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8964831" w:displacedByCustomXml="next"/>
    <w:bookmarkEnd w:id="0" w:displacedByCustomXml="next"/>
    <w:sdt>
      <w:sdtPr>
        <w:rPr>
          <w:color w:val="auto"/>
          <w:sz w:val="22"/>
          <w:szCs w:val="22"/>
        </w:rPr>
        <w:id w:val="-809237571"/>
        <w:docPartObj>
          <w:docPartGallery w:val="Cover Pages"/>
          <w:docPartUnique/>
        </w:docPartObj>
      </w:sdtPr>
      <w:sdtEndPr/>
      <w:sdtContent>
        <w:p w14:paraId="2DC4EDA6" w14:textId="53D41342" w:rsidR="00ED72A1" w:rsidRDefault="006849B8" w:rsidP="007F63EF">
          <w:pPr>
            <w:pStyle w:val="Figuresource"/>
          </w:pPr>
          <w:r>
            <w:rPr>
              <w:noProof/>
              <w:lang w:eastAsia="en-GB"/>
            </w:rPr>
            <w:drawing>
              <wp:anchor distT="0" distB="0" distL="114300" distR="114300" simplePos="0" relativeHeight="251658247" behindDoc="1" locked="0" layoutInCell="1" allowOverlap="1" wp14:anchorId="631E6406" wp14:editId="1EEBE13B">
                <wp:simplePos x="0" y="0"/>
                <wp:positionH relativeFrom="page">
                  <wp:posOffset>6985</wp:posOffset>
                </wp:positionH>
                <wp:positionV relativeFrom="paragraph">
                  <wp:posOffset>-906780</wp:posOffset>
                </wp:positionV>
                <wp:extent cx="7548535" cy="1067752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7548535" cy="10677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D7FC2">
            <w:tab/>
          </w:r>
        </w:p>
        <w:p w14:paraId="76DDCB0C" w14:textId="5692ABC2" w:rsidR="00ED72A1" w:rsidRDefault="009C2E77">
          <w:pPr>
            <w:rPr>
              <w:color w:val="000000"/>
            </w:rPr>
          </w:pPr>
          <w:r>
            <w:rPr>
              <w:noProof/>
              <w:lang w:eastAsia="en-GB"/>
            </w:rPr>
            <w:drawing>
              <wp:anchor distT="0" distB="0" distL="114300" distR="114300" simplePos="0" relativeHeight="251658244" behindDoc="1" locked="0" layoutInCell="1" allowOverlap="1" wp14:anchorId="608FC956" wp14:editId="302552FE">
                <wp:simplePos x="0" y="0"/>
                <wp:positionH relativeFrom="page">
                  <wp:posOffset>0</wp:posOffset>
                </wp:positionH>
                <wp:positionV relativeFrom="paragraph">
                  <wp:posOffset>4732020</wp:posOffset>
                </wp:positionV>
                <wp:extent cx="7557770" cy="3512820"/>
                <wp:effectExtent l="0" t="0" r="5080" b="0"/>
                <wp:wrapNone/>
                <wp:docPr id="6" name="Picture 6" descr="Person using micros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erson using microscope"/>
                        <pic:cNvPicPr/>
                      </pic:nvPicPr>
                      <pic:blipFill>
                        <a:blip r:embed="rId12" cstate="print">
                          <a:extLst>
                            <a:ext uri="{28A0092B-C50C-407E-A947-70E740481C1C}">
                              <a14:useLocalDpi xmlns:a14="http://schemas.microsoft.com/office/drawing/2010/main" val="0"/>
                            </a:ext>
                          </a:extLst>
                        </a:blip>
                        <a:srcRect t="2658" b="2658"/>
                        <a:stretch>
                          <a:fillRect/>
                        </a:stretch>
                      </pic:blipFill>
                      <pic:spPr bwMode="auto">
                        <a:xfrm>
                          <a:off x="0" y="0"/>
                          <a:ext cx="7557770" cy="35128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50A7A">
            <w:rPr>
              <w:noProof/>
              <w:lang w:eastAsia="en-GB"/>
            </w:rPr>
            <mc:AlternateContent>
              <mc:Choice Requires="wps">
                <w:drawing>
                  <wp:anchor distT="0" distB="0" distL="114300" distR="114300" simplePos="0" relativeHeight="251658242" behindDoc="0" locked="0" layoutInCell="1" allowOverlap="1" wp14:anchorId="5936EA3C" wp14:editId="2E571BC8">
                    <wp:simplePos x="0" y="0"/>
                    <wp:positionH relativeFrom="column">
                      <wp:posOffset>94615</wp:posOffset>
                    </wp:positionH>
                    <wp:positionV relativeFrom="paragraph">
                      <wp:posOffset>769620</wp:posOffset>
                    </wp:positionV>
                    <wp:extent cx="5751195" cy="3036570"/>
                    <wp:effectExtent l="0" t="0" r="1905" b="11430"/>
                    <wp:wrapSquare wrapText="bothSides"/>
                    <wp:docPr id="1" name="Text Box 1"/>
                    <wp:cNvGraphicFramePr/>
                    <a:graphic xmlns:a="http://schemas.openxmlformats.org/drawingml/2006/main">
                      <a:graphicData uri="http://schemas.microsoft.com/office/word/2010/wordprocessingShape">
                        <wps:wsp>
                          <wps:cNvSpPr txBox="1"/>
                          <wps:spPr>
                            <a:xfrm>
                              <a:off x="0" y="0"/>
                              <a:ext cx="5751195" cy="30365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6FC59FA" w14:textId="77777777" w:rsidR="00DD0F1A" w:rsidRDefault="00DD0F1A" w:rsidP="00150A7A">
                                <w:pPr>
                                  <w:pStyle w:val="ItadMainTitle2"/>
                                  <w:rPr>
                                    <w:rFonts w:ascii="CubeOT" w:hAnsi="CubeOT" w:cs="CubeOT"/>
                                    <w:color w:val="E37230" w:themeColor="accent2"/>
                                    <w:sz w:val="72"/>
                                    <w:szCs w:val="72"/>
                                  </w:rPr>
                                </w:pPr>
                                <w:r w:rsidRPr="00DD0F1A">
                                  <w:rPr>
                                    <w:rFonts w:ascii="CubeOT" w:hAnsi="CubeOT" w:cs="CubeOT"/>
                                    <w:color w:val="E37230" w:themeColor="accent2"/>
                                    <w:sz w:val="72"/>
                                    <w:szCs w:val="72"/>
                                  </w:rPr>
                                  <w:t>Independent Evaluation of the Fleming Fund Grants Programme</w:t>
                                </w:r>
                              </w:p>
                              <w:p w14:paraId="34DEEC58" w14:textId="267AD6DE" w:rsidR="00215994" w:rsidRPr="00150A7A" w:rsidRDefault="0083318C" w:rsidP="00150A7A">
                                <w:pPr>
                                  <w:pStyle w:val="ItadMainTitle2"/>
                                  <w:rPr>
                                    <w:rFonts w:asciiTheme="minorHAnsi" w:hAnsiTheme="minorHAnsi" w:cstheme="minorHAnsi"/>
                                    <w:b/>
                                    <w:bCs/>
                                    <w:color w:val="767171" w:themeColor="background2" w:themeShade="80"/>
                                    <w:sz w:val="48"/>
                                    <w:szCs w:val="48"/>
                                  </w:rPr>
                                </w:pPr>
                                <w:r>
                                  <w:rPr>
                                    <w:rFonts w:asciiTheme="minorHAnsi" w:hAnsiTheme="minorHAnsi" w:cstheme="minorHAnsi"/>
                                    <w:b/>
                                    <w:bCs/>
                                    <w:color w:val="767171" w:themeColor="background2" w:themeShade="80"/>
                                    <w:sz w:val="48"/>
                                    <w:szCs w:val="48"/>
                                  </w:rPr>
                                  <w:t xml:space="preserve">Volume </w:t>
                                </w:r>
                                <w:r w:rsidR="00F45A4B">
                                  <w:rPr>
                                    <w:rFonts w:asciiTheme="minorHAnsi" w:hAnsiTheme="minorHAnsi" w:cstheme="minorHAnsi"/>
                                    <w:b/>
                                    <w:bCs/>
                                    <w:color w:val="767171" w:themeColor="background2" w:themeShade="80"/>
                                    <w:sz w:val="48"/>
                                    <w:szCs w:val="48"/>
                                  </w:rPr>
                                  <w:t>II</w:t>
                                </w:r>
                                <w:r>
                                  <w:rPr>
                                    <w:rFonts w:asciiTheme="minorHAnsi" w:hAnsiTheme="minorHAnsi" w:cstheme="minorHAnsi"/>
                                    <w:b/>
                                    <w:bCs/>
                                    <w:color w:val="767171" w:themeColor="background2" w:themeShade="80"/>
                                    <w:sz w:val="48"/>
                                    <w:szCs w:val="48"/>
                                  </w:rPr>
                                  <w:t xml:space="preserve">: </w:t>
                                </w:r>
                                <w:r w:rsidR="00150A7A">
                                  <w:rPr>
                                    <w:rFonts w:asciiTheme="minorHAnsi" w:hAnsiTheme="minorHAnsi" w:cstheme="minorHAnsi"/>
                                    <w:b/>
                                    <w:bCs/>
                                    <w:color w:val="767171" w:themeColor="background2" w:themeShade="80"/>
                                    <w:sz w:val="48"/>
                                    <w:szCs w:val="48"/>
                                  </w:rPr>
                                  <w:t>Summative Report Annexes</w:t>
                                </w:r>
                              </w:p>
                              <w:p w14:paraId="671DC847" w14:textId="6ABC8087" w:rsidR="00215994" w:rsidRPr="00FB446E" w:rsidRDefault="00215994" w:rsidP="00333C8C">
                                <w:pPr>
                                  <w:pStyle w:val="ItadMainTitle3"/>
                                  <w:rPr>
                                    <w:color w:val="767171" w:themeColor="background2" w:themeShade="80"/>
                                    <w:sz w:val="28"/>
                                    <w:szCs w:val="28"/>
                                  </w:rPr>
                                </w:pPr>
                                <w:r w:rsidRPr="00FB446E">
                                  <w:rPr>
                                    <w:color w:val="767171" w:themeColor="background2" w:themeShade="80"/>
                                    <w:sz w:val="28"/>
                                    <w:szCs w:val="28"/>
                                  </w:rPr>
                                  <w:t xml:space="preserve">Date: </w:t>
                                </w:r>
                                <w:r w:rsidRPr="00FB446E">
                                  <w:rPr>
                                    <w:color w:val="767171" w:themeColor="background2" w:themeShade="80"/>
                                    <w:sz w:val="28"/>
                                    <w:szCs w:val="28"/>
                                  </w:rPr>
                                  <w:fldChar w:fldCharType="begin"/>
                                </w:r>
                                <w:r w:rsidRPr="00FB446E">
                                  <w:rPr>
                                    <w:color w:val="767171" w:themeColor="background2" w:themeShade="80"/>
                                    <w:sz w:val="28"/>
                                    <w:szCs w:val="28"/>
                                  </w:rPr>
                                  <w:instrText xml:space="preserve"> DATE \@ "d MMMM yyyy" </w:instrText>
                                </w:r>
                                <w:r w:rsidRPr="00FB446E">
                                  <w:rPr>
                                    <w:color w:val="767171" w:themeColor="background2" w:themeShade="80"/>
                                    <w:sz w:val="28"/>
                                    <w:szCs w:val="28"/>
                                  </w:rPr>
                                  <w:fldChar w:fldCharType="separate"/>
                                </w:r>
                                <w:r w:rsidR="007B247E">
                                  <w:rPr>
                                    <w:noProof/>
                                    <w:color w:val="767171" w:themeColor="background2" w:themeShade="80"/>
                                    <w:sz w:val="28"/>
                                    <w:szCs w:val="28"/>
                                  </w:rPr>
                                  <w:t>24 April 2024</w:t>
                                </w:r>
                                <w:r w:rsidRPr="00FB446E">
                                  <w:rPr>
                                    <w:color w:val="767171" w:themeColor="background2" w:themeShade="80"/>
                                    <w:sz w:val="28"/>
                                    <w:szCs w:val="28"/>
                                  </w:rPr>
                                  <w:fldChar w:fldCharType="end"/>
                                </w:r>
                              </w:p>
                              <w:p w14:paraId="2519F3E5" w14:textId="6E95E53F" w:rsidR="00BC1AC4" w:rsidRPr="00FB446E" w:rsidRDefault="00215994" w:rsidP="00BC1AC4">
                                <w:pPr>
                                  <w:pStyle w:val="ItadMainTitle3"/>
                                  <w:rPr>
                                    <w:color w:val="767171" w:themeColor="background2" w:themeShade="80"/>
                                    <w:sz w:val="28"/>
                                    <w:szCs w:val="28"/>
                                  </w:rPr>
                                </w:pPr>
                                <w:r w:rsidRPr="00FB446E">
                                  <w:rPr>
                                    <w:color w:val="767171" w:themeColor="background2" w:themeShade="80"/>
                                    <w:sz w:val="28"/>
                                    <w:szCs w:val="28"/>
                                  </w:rPr>
                                  <w:t xml:space="preserve">Authors: </w:t>
                                </w:r>
                                <w:r w:rsidR="00BC1AC4" w:rsidRPr="00D02458">
                                  <w:rPr>
                                    <w:color w:val="767171" w:themeColor="background2" w:themeShade="80"/>
                                    <w:sz w:val="28"/>
                                    <w:szCs w:val="28"/>
                                  </w:rPr>
                                  <w:t>Tim Shorten, Giada Tu Thanh, Ankur Gupta-Wright, Jennifer Armitage, Abbas Syed, Archie Drake</w:t>
                                </w:r>
                                <w:r w:rsidR="00A33824">
                                  <w:rPr>
                                    <w:color w:val="767171" w:themeColor="background2" w:themeShade="80"/>
                                    <w:sz w:val="28"/>
                                    <w:szCs w:val="28"/>
                                  </w:rPr>
                                  <w:t>, Julie-Anne Darsley, Juliette Gautron</w:t>
                                </w:r>
                                <w:r w:rsidR="00BC1AC4" w:rsidRPr="00D02458">
                                  <w:rPr>
                                    <w:color w:val="767171" w:themeColor="background2" w:themeShade="80"/>
                                    <w:sz w:val="28"/>
                                    <w:szCs w:val="28"/>
                                  </w:rPr>
                                  <w:t xml:space="preserve"> &amp; Paul Balogun</w:t>
                                </w:r>
                              </w:p>
                              <w:p w14:paraId="7C99439A" w14:textId="6FAE5A47" w:rsidR="00215994" w:rsidRPr="00FB446E" w:rsidRDefault="00215994" w:rsidP="00333C8C">
                                <w:pPr>
                                  <w:pStyle w:val="ItadMainTitle3"/>
                                  <w:rPr>
                                    <w:color w:val="767171" w:themeColor="background2" w:themeShade="80"/>
                                    <w:sz w:val="28"/>
                                    <w:szCs w:val="28"/>
                                  </w:rPr>
                                </w:pPr>
                              </w:p>
                              <w:p w14:paraId="1EC355CC" w14:textId="77777777" w:rsidR="00215994" w:rsidRPr="00FB446E" w:rsidRDefault="00215994" w:rsidP="00333C8C">
                                <w:pPr>
                                  <w:pStyle w:val="ItadMainTitle3"/>
                                  <w:rPr>
                                    <w:color w:val="767171" w:themeColor="background2" w:themeShade="80"/>
                                    <w:sz w:val="28"/>
                                    <w:szCs w:val="28"/>
                                  </w:rPr>
                                </w:pPr>
                              </w:p>
                              <w:p w14:paraId="46BF277C" w14:textId="77777777" w:rsidR="00215994" w:rsidRPr="00FB446E" w:rsidRDefault="00215994" w:rsidP="00333C8C">
                                <w:pPr>
                                  <w:pStyle w:val="ItadMainTitle3"/>
                                  <w:rPr>
                                    <w:color w:val="767171" w:themeColor="background2" w:themeShade="80"/>
                                    <w:sz w:val="28"/>
                                    <w:szCs w:val="28"/>
                                  </w:rPr>
                                </w:pPr>
                                <w:r w:rsidRPr="00FB446E">
                                  <w:rPr>
                                    <w:color w:val="767171" w:themeColor="background2" w:themeShade="80"/>
                                    <w:sz w:val="28"/>
                                    <w:szCs w:val="28"/>
                                  </w:rPr>
                                  <w:t>Submitted by Itad</w:t>
                                </w:r>
                              </w:p>
                              <w:p w14:paraId="2E5A989D" w14:textId="67BC5CB9" w:rsidR="00215994" w:rsidRPr="00FB446E" w:rsidRDefault="00215994" w:rsidP="00333C8C">
                                <w:pPr>
                                  <w:pStyle w:val="ItadMainTitle3"/>
                                  <w:rPr>
                                    <w:color w:val="767171" w:themeColor="background2" w:themeShade="80"/>
                                    <w:sz w:val="28"/>
                                    <w:szCs w:val="2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36EA3C" id="_x0000_t202" coordsize="21600,21600" o:spt="202" path="m,l,21600r21600,l21600,xe">
                    <v:stroke joinstyle="miter"/>
                    <v:path gradientshapeok="t" o:connecttype="rect"/>
                  </v:shapetype>
                  <v:shape id="Text Box 1" o:spid="_x0000_s1026" type="#_x0000_t202" style="position:absolute;margin-left:7.45pt;margin-top:60.6pt;width:452.85pt;height:239.1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" filled="f" stroked="f">
                    <v:textbox inset="0,0,0,0">
                      <w:txbxContent>
                        <w:p w14:paraId="36FC59FA" w14:textId="77777777" w:rsidR="00DD0F1A" w:rsidRDefault="00DD0F1A" w:rsidP="00150A7A">
                          <w:pPr>
                            <w:pStyle w:val="ItadMainTitle2"/>
                            <w:rPr>
                              <w:rFonts w:ascii="CubeOT" w:hAnsi="CubeOT" w:cs="CubeOT"/>
                              <w:color w:val="E37230" w:themeColor="accent2"/>
                              <w:sz w:val="72"/>
                              <w:szCs w:val="72"/>
                            </w:rPr>
                          </w:pPr>
                          <w:r w:rsidRPr="00DD0F1A">
                            <w:rPr>
                              <w:rFonts w:ascii="CubeOT" w:hAnsi="CubeOT" w:cs="CubeOT"/>
                              <w:color w:val="E37230" w:themeColor="accent2"/>
                              <w:sz w:val="72"/>
                              <w:szCs w:val="72"/>
                            </w:rPr>
                            <w:t>Independent Evaluation of the Fleming Fund Grants Programme</w:t>
                          </w:r>
                        </w:p>
                        <w:p w14:paraId="34DEEC58" w14:textId="267AD6DE" w:rsidR="00215994" w:rsidRPr="00150A7A" w:rsidRDefault="0083318C" w:rsidP="00150A7A">
                          <w:pPr>
                            <w:pStyle w:val="ItadMainTitle2"/>
                            <w:rPr>
                              <w:rFonts w:asciiTheme="minorHAnsi" w:hAnsiTheme="minorHAnsi" w:cstheme="minorHAnsi"/>
                              <w:b/>
                              <w:bCs/>
                              <w:color w:val="767171" w:themeColor="background2" w:themeShade="80"/>
                              <w:sz w:val="48"/>
                              <w:szCs w:val="48"/>
                            </w:rPr>
                          </w:pPr>
                          <w:r>
                            <w:rPr>
                              <w:rFonts w:asciiTheme="minorHAnsi" w:hAnsiTheme="minorHAnsi" w:cstheme="minorHAnsi"/>
                              <w:b/>
                              <w:bCs/>
                              <w:color w:val="767171" w:themeColor="background2" w:themeShade="80"/>
                              <w:sz w:val="48"/>
                              <w:szCs w:val="48"/>
                            </w:rPr>
                            <w:t xml:space="preserve">Volume </w:t>
                          </w:r>
                          <w:r w:rsidR="00F45A4B">
                            <w:rPr>
                              <w:rFonts w:asciiTheme="minorHAnsi" w:hAnsiTheme="minorHAnsi" w:cstheme="minorHAnsi"/>
                              <w:b/>
                              <w:bCs/>
                              <w:color w:val="767171" w:themeColor="background2" w:themeShade="80"/>
                              <w:sz w:val="48"/>
                              <w:szCs w:val="48"/>
                            </w:rPr>
                            <w:t>II</w:t>
                          </w:r>
                          <w:r>
                            <w:rPr>
                              <w:rFonts w:asciiTheme="minorHAnsi" w:hAnsiTheme="minorHAnsi" w:cstheme="minorHAnsi"/>
                              <w:b/>
                              <w:bCs/>
                              <w:color w:val="767171" w:themeColor="background2" w:themeShade="80"/>
                              <w:sz w:val="48"/>
                              <w:szCs w:val="48"/>
                            </w:rPr>
                            <w:t xml:space="preserve">: </w:t>
                          </w:r>
                          <w:r w:rsidR="00150A7A">
                            <w:rPr>
                              <w:rFonts w:asciiTheme="minorHAnsi" w:hAnsiTheme="minorHAnsi" w:cstheme="minorHAnsi"/>
                              <w:b/>
                              <w:bCs/>
                              <w:color w:val="767171" w:themeColor="background2" w:themeShade="80"/>
                              <w:sz w:val="48"/>
                              <w:szCs w:val="48"/>
                            </w:rPr>
                            <w:t>Summative Report Annexes</w:t>
                          </w:r>
                        </w:p>
                        <w:p w14:paraId="671DC847" w14:textId="6ABC8087" w:rsidR="00215994" w:rsidRPr="00FB446E" w:rsidRDefault="00215994" w:rsidP="00333C8C">
                          <w:pPr>
                            <w:pStyle w:val="ItadMainTitle3"/>
                            <w:rPr>
                              <w:color w:val="767171" w:themeColor="background2" w:themeShade="80"/>
                              <w:sz w:val="28"/>
                              <w:szCs w:val="28"/>
                            </w:rPr>
                          </w:pPr>
                          <w:r w:rsidRPr="00FB446E">
                            <w:rPr>
                              <w:color w:val="767171" w:themeColor="background2" w:themeShade="80"/>
                              <w:sz w:val="28"/>
                              <w:szCs w:val="28"/>
                            </w:rPr>
                            <w:t xml:space="preserve">Date: </w:t>
                          </w:r>
                          <w:r w:rsidRPr="00FB446E">
                            <w:rPr>
                              <w:color w:val="767171" w:themeColor="background2" w:themeShade="80"/>
                              <w:sz w:val="28"/>
                              <w:szCs w:val="28"/>
                            </w:rPr>
                            <w:fldChar w:fldCharType="begin"/>
                          </w:r>
                          <w:r w:rsidRPr="00FB446E">
                            <w:rPr>
                              <w:color w:val="767171" w:themeColor="background2" w:themeShade="80"/>
                              <w:sz w:val="28"/>
                              <w:szCs w:val="28"/>
                            </w:rPr>
                            <w:instrText xml:space="preserve"> DATE \@ "d MMMM yyyy" </w:instrText>
                          </w:r>
                          <w:r w:rsidRPr="00FB446E">
                            <w:rPr>
                              <w:color w:val="767171" w:themeColor="background2" w:themeShade="80"/>
                              <w:sz w:val="28"/>
                              <w:szCs w:val="28"/>
                            </w:rPr>
                            <w:fldChar w:fldCharType="separate"/>
                          </w:r>
                          <w:r w:rsidR="007B247E">
                            <w:rPr>
                              <w:noProof/>
                              <w:color w:val="767171" w:themeColor="background2" w:themeShade="80"/>
                              <w:sz w:val="28"/>
                              <w:szCs w:val="28"/>
                            </w:rPr>
                            <w:t>24 April 2024</w:t>
                          </w:r>
                          <w:r w:rsidRPr="00FB446E">
                            <w:rPr>
                              <w:color w:val="767171" w:themeColor="background2" w:themeShade="80"/>
                              <w:sz w:val="28"/>
                              <w:szCs w:val="28"/>
                            </w:rPr>
                            <w:fldChar w:fldCharType="end"/>
                          </w:r>
                        </w:p>
                        <w:p w14:paraId="2519F3E5" w14:textId="6E95E53F" w:rsidR="00BC1AC4" w:rsidRPr="00FB446E" w:rsidRDefault="00215994" w:rsidP="00BC1AC4">
                          <w:pPr>
                            <w:pStyle w:val="ItadMainTitle3"/>
                            <w:rPr>
                              <w:color w:val="767171" w:themeColor="background2" w:themeShade="80"/>
                              <w:sz w:val="28"/>
                              <w:szCs w:val="28"/>
                            </w:rPr>
                          </w:pPr>
                          <w:r w:rsidRPr="00FB446E">
                            <w:rPr>
                              <w:color w:val="767171" w:themeColor="background2" w:themeShade="80"/>
                              <w:sz w:val="28"/>
                              <w:szCs w:val="28"/>
                            </w:rPr>
                            <w:t xml:space="preserve">Authors: </w:t>
                          </w:r>
                          <w:r w:rsidR="00BC1AC4" w:rsidRPr="00D02458">
                            <w:rPr>
                              <w:color w:val="767171" w:themeColor="background2" w:themeShade="80"/>
                              <w:sz w:val="28"/>
                              <w:szCs w:val="28"/>
                            </w:rPr>
                            <w:t>Tim Shorten, Giada Tu Thanh, Ankur Gupta-Wright, Jennifer Armitage, Abbas Syed, Archie Drake</w:t>
                          </w:r>
                          <w:r w:rsidR="00A33824">
                            <w:rPr>
                              <w:color w:val="767171" w:themeColor="background2" w:themeShade="80"/>
                              <w:sz w:val="28"/>
                              <w:szCs w:val="28"/>
                            </w:rPr>
                            <w:t>, Julie-Anne Darsley, Juliette Gautron</w:t>
                          </w:r>
                          <w:r w:rsidR="00BC1AC4" w:rsidRPr="00D02458">
                            <w:rPr>
                              <w:color w:val="767171" w:themeColor="background2" w:themeShade="80"/>
                              <w:sz w:val="28"/>
                              <w:szCs w:val="28"/>
                            </w:rPr>
                            <w:t xml:space="preserve"> &amp; Paul Balogun</w:t>
                          </w:r>
                        </w:p>
                        <w:p w14:paraId="7C99439A" w14:textId="6FAE5A47" w:rsidR="00215994" w:rsidRPr="00FB446E" w:rsidRDefault="00215994" w:rsidP="00333C8C">
                          <w:pPr>
                            <w:pStyle w:val="ItadMainTitle3"/>
                            <w:rPr>
                              <w:color w:val="767171" w:themeColor="background2" w:themeShade="80"/>
                              <w:sz w:val="28"/>
                              <w:szCs w:val="28"/>
                            </w:rPr>
                          </w:pPr>
                        </w:p>
                        <w:p w14:paraId="1EC355CC" w14:textId="77777777" w:rsidR="00215994" w:rsidRPr="00FB446E" w:rsidRDefault="00215994" w:rsidP="00333C8C">
                          <w:pPr>
                            <w:pStyle w:val="ItadMainTitle3"/>
                            <w:rPr>
                              <w:color w:val="767171" w:themeColor="background2" w:themeShade="80"/>
                              <w:sz w:val="28"/>
                              <w:szCs w:val="28"/>
                            </w:rPr>
                          </w:pPr>
                        </w:p>
                        <w:p w14:paraId="46BF277C" w14:textId="77777777" w:rsidR="00215994" w:rsidRPr="00FB446E" w:rsidRDefault="00215994" w:rsidP="00333C8C">
                          <w:pPr>
                            <w:pStyle w:val="ItadMainTitle3"/>
                            <w:rPr>
                              <w:color w:val="767171" w:themeColor="background2" w:themeShade="80"/>
                              <w:sz w:val="28"/>
                              <w:szCs w:val="28"/>
                            </w:rPr>
                          </w:pPr>
                          <w:r w:rsidRPr="00FB446E">
                            <w:rPr>
                              <w:color w:val="767171" w:themeColor="background2" w:themeShade="80"/>
                              <w:sz w:val="28"/>
                              <w:szCs w:val="28"/>
                            </w:rPr>
                            <w:t>Submitted by Itad</w:t>
                          </w:r>
                        </w:p>
                        <w:p w14:paraId="2E5A989D" w14:textId="67BC5CB9" w:rsidR="00215994" w:rsidRPr="00FB446E" w:rsidRDefault="00215994" w:rsidP="00333C8C">
                          <w:pPr>
                            <w:pStyle w:val="ItadMainTitle3"/>
                            <w:rPr>
                              <w:color w:val="767171" w:themeColor="background2" w:themeShade="80"/>
                              <w:sz w:val="28"/>
                              <w:szCs w:val="28"/>
                            </w:rPr>
                          </w:pPr>
                        </w:p>
                      </w:txbxContent>
                    </v:textbox>
                    <w10:wrap type="square"/>
                  </v:shape>
                </w:pict>
              </mc:Fallback>
            </mc:AlternateContent>
          </w:r>
          <w:r w:rsidR="00ED72A1">
            <w:br w:type="page"/>
          </w:r>
        </w:p>
      </w:sdtContent>
    </w:sdt>
    <w:p w14:paraId="0E887C53" w14:textId="77777777" w:rsidR="0018229C" w:rsidRDefault="0018229C" w:rsidP="00215994">
      <w:pPr>
        <w:pStyle w:val="ItadNormalText"/>
        <w:sectPr w:rsidR="0018229C" w:rsidSect="00372520">
          <w:headerReference w:type="default" r:id="rId13"/>
          <w:footerReference w:type="default" r:id="rId14"/>
          <w:footerReference w:type="first" r:id="rId15"/>
          <w:pgSz w:w="11900" w:h="16840" w:code="9"/>
          <w:pgMar w:top="1134" w:right="1191" w:bottom="1134" w:left="1191" w:header="720" w:footer="680" w:gutter="0"/>
          <w:pgNumType w:fmt="lowerRoman" w:start="0"/>
          <w:cols w:space="720"/>
          <w:docGrid w:linePitch="360"/>
        </w:sectPr>
      </w:pPr>
    </w:p>
    <w:p w14:paraId="36DC0950" w14:textId="7C6C1243" w:rsidR="00CB0C9E" w:rsidRDefault="0066140D" w:rsidP="00084C33">
      <w:pPr>
        <w:pStyle w:val="TOC1"/>
        <w:rPr>
          <w:rFonts w:asciiTheme="minorHAnsi" w:hAnsiTheme="minorHAnsi" w:cstheme="minorBidi"/>
          <w:color w:val="auto"/>
          <w:kern w:val="2"/>
          <w:lang w:eastAsia="ja-JP"/>
          <w14:ligatures w14:val="standardContextual"/>
        </w:rPr>
      </w:pPr>
      <w:r>
        <w:lastRenderedPageBreak/>
        <w:fldChar w:fldCharType="begin"/>
      </w:r>
      <w:r>
        <w:instrText xml:space="preserve"> TOC \o "1-3" \h \z \t "Header,1" </w:instrText>
      </w:r>
      <w:r>
        <w:fldChar w:fldCharType="separate"/>
      </w:r>
      <w:hyperlink w:anchor="_Toc142383129" w:history="1">
        <w:r w:rsidR="00CB0C9E" w:rsidRPr="009E17C6">
          <w:rPr>
            <w:rStyle w:val="Hyperlink"/>
          </w:rPr>
          <w:t>List of figures</w:t>
        </w:r>
        <w:r w:rsidR="001549E6">
          <w:rPr>
            <w:rStyle w:val="Hyperlink"/>
          </w:rPr>
          <w:t>, boxes and tables</w:t>
        </w:r>
        <w:r w:rsidR="00CB0C9E">
          <w:rPr>
            <w:webHidden/>
          </w:rPr>
          <w:tab/>
        </w:r>
        <w:r w:rsidR="00CB0C9E">
          <w:rPr>
            <w:webHidden/>
          </w:rPr>
          <w:fldChar w:fldCharType="begin"/>
        </w:r>
        <w:r w:rsidR="00CB0C9E">
          <w:rPr>
            <w:webHidden/>
          </w:rPr>
          <w:instrText xml:space="preserve"> PAGEREF _Toc142383129 \h </w:instrText>
        </w:r>
        <w:r w:rsidR="00CB0C9E">
          <w:rPr>
            <w:webHidden/>
          </w:rPr>
        </w:r>
        <w:r w:rsidR="00CB0C9E">
          <w:rPr>
            <w:webHidden/>
          </w:rPr>
          <w:fldChar w:fldCharType="separate"/>
        </w:r>
        <w:r w:rsidR="00084C33">
          <w:rPr>
            <w:webHidden/>
          </w:rPr>
          <w:t>v</w:t>
        </w:r>
        <w:r w:rsidR="00CB0C9E">
          <w:rPr>
            <w:webHidden/>
          </w:rPr>
          <w:fldChar w:fldCharType="end"/>
        </w:r>
      </w:hyperlink>
    </w:p>
    <w:p w14:paraId="75E8AED4" w14:textId="7FC52F85" w:rsidR="00CB0C9E" w:rsidRDefault="007B247E" w:rsidP="00084C33">
      <w:pPr>
        <w:pStyle w:val="TOC1"/>
        <w:rPr>
          <w:rFonts w:asciiTheme="minorHAnsi" w:hAnsiTheme="minorHAnsi" w:cstheme="minorBidi"/>
          <w:color w:val="auto"/>
          <w:kern w:val="2"/>
          <w:lang w:eastAsia="ja-JP"/>
          <w14:ligatures w14:val="standardContextual"/>
        </w:rPr>
      </w:pPr>
      <w:hyperlink w:anchor="_Toc142383132" w:history="1">
        <w:r w:rsidR="00CB0C9E" w:rsidRPr="009E17C6">
          <w:rPr>
            <w:rStyle w:val="Hyperlink"/>
          </w:rPr>
          <w:t>List of acronyms</w:t>
        </w:r>
        <w:r w:rsidR="00CB0C9E">
          <w:rPr>
            <w:webHidden/>
          </w:rPr>
          <w:tab/>
        </w:r>
        <w:r w:rsidR="00CB0C9E">
          <w:rPr>
            <w:webHidden/>
          </w:rPr>
          <w:fldChar w:fldCharType="begin"/>
        </w:r>
        <w:r w:rsidR="00CB0C9E">
          <w:rPr>
            <w:webHidden/>
          </w:rPr>
          <w:instrText xml:space="preserve"> PAGEREF _Toc142383132 \h </w:instrText>
        </w:r>
        <w:r w:rsidR="00CB0C9E">
          <w:rPr>
            <w:webHidden/>
          </w:rPr>
        </w:r>
        <w:r w:rsidR="00CB0C9E">
          <w:rPr>
            <w:webHidden/>
          </w:rPr>
          <w:fldChar w:fldCharType="separate"/>
        </w:r>
        <w:r w:rsidR="00084C33">
          <w:rPr>
            <w:webHidden/>
          </w:rPr>
          <w:t>vii</w:t>
        </w:r>
        <w:r w:rsidR="00CB0C9E">
          <w:rPr>
            <w:webHidden/>
          </w:rPr>
          <w:fldChar w:fldCharType="end"/>
        </w:r>
      </w:hyperlink>
    </w:p>
    <w:p w14:paraId="7A87FCA3" w14:textId="6D24D5E6" w:rsidR="00CB0C9E" w:rsidRDefault="007B247E" w:rsidP="00084C33">
      <w:pPr>
        <w:pStyle w:val="TOC1"/>
        <w:rPr>
          <w:rFonts w:asciiTheme="minorHAnsi" w:hAnsiTheme="minorHAnsi" w:cstheme="minorBidi"/>
          <w:color w:val="auto"/>
          <w:kern w:val="2"/>
          <w:lang w:eastAsia="ja-JP"/>
          <w14:ligatures w14:val="standardContextual"/>
        </w:rPr>
      </w:pPr>
      <w:hyperlink w:anchor="_Toc142383133" w:history="1">
        <w:r w:rsidR="00CB0C9E" w:rsidRPr="009E17C6">
          <w:rPr>
            <w:rStyle w:val="Hyperlink"/>
          </w:rPr>
          <w:t>Introduction</w:t>
        </w:r>
        <w:r w:rsidR="00CB0C9E">
          <w:rPr>
            <w:webHidden/>
          </w:rPr>
          <w:tab/>
        </w:r>
        <w:r w:rsidR="00CB0C9E">
          <w:rPr>
            <w:webHidden/>
          </w:rPr>
          <w:fldChar w:fldCharType="begin"/>
        </w:r>
        <w:r w:rsidR="00CB0C9E">
          <w:rPr>
            <w:webHidden/>
          </w:rPr>
          <w:instrText xml:space="preserve"> PAGEREF _Toc142383133 \h </w:instrText>
        </w:r>
        <w:r w:rsidR="00CB0C9E">
          <w:rPr>
            <w:webHidden/>
          </w:rPr>
        </w:r>
        <w:r w:rsidR="00CB0C9E">
          <w:rPr>
            <w:webHidden/>
          </w:rPr>
          <w:fldChar w:fldCharType="separate"/>
        </w:r>
        <w:r w:rsidR="00084C33">
          <w:rPr>
            <w:webHidden/>
          </w:rPr>
          <w:t>10</w:t>
        </w:r>
        <w:r w:rsidR="00CB0C9E">
          <w:rPr>
            <w:webHidden/>
          </w:rPr>
          <w:fldChar w:fldCharType="end"/>
        </w:r>
      </w:hyperlink>
    </w:p>
    <w:p w14:paraId="4DF402B5" w14:textId="3274327D" w:rsidR="00CB0C9E" w:rsidRDefault="007B247E" w:rsidP="00084C33">
      <w:pPr>
        <w:pStyle w:val="TOC1"/>
        <w:rPr>
          <w:rFonts w:asciiTheme="minorHAnsi" w:hAnsiTheme="minorHAnsi" w:cstheme="minorBidi"/>
          <w:color w:val="auto"/>
          <w:kern w:val="2"/>
          <w:lang w:eastAsia="ja-JP"/>
          <w14:ligatures w14:val="standardContextual"/>
        </w:rPr>
      </w:pPr>
      <w:hyperlink w:anchor="_Toc142383134" w:history="1">
        <w:r w:rsidR="00CB0C9E" w:rsidRPr="009E17C6">
          <w:rPr>
            <w:rStyle w:val="Hyperlink"/>
          </w:rPr>
          <w:t>Annex 1: Terms of Reference</w:t>
        </w:r>
        <w:r w:rsidR="00CB0C9E">
          <w:rPr>
            <w:webHidden/>
          </w:rPr>
          <w:tab/>
        </w:r>
        <w:r w:rsidR="00CB0C9E">
          <w:rPr>
            <w:webHidden/>
          </w:rPr>
          <w:fldChar w:fldCharType="begin"/>
        </w:r>
        <w:r w:rsidR="00CB0C9E">
          <w:rPr>
            <w:webHidden/>
          </w:rPr>
          <w:instrText xml:space="preserve"> PAGEREF _Toc142383134 \h </w:instrText>
        </w:r>
        <w:r w:rsidR="00CB0C9E">
          <w:rPr>
            <w:webHidden/>
          </w:rPr>
        </w:r>
        <w:r w:rsidR="00CB0C9E">
          <w:rPr>
            <w:webHidden/>
          </w:rPr>
          <w:fldChar w:fldCharType="separate"/>
        </w:r>
        <w:r w:rsidR="00084C33">
          <w:rPr>
            <w:webHidden/>
          </w:rPr>
          <w:t>11</w:t>
        </w:r>
        <w:r w:rsidR="00CB0C9E">
          <w:rPr>
            <w:webHidden/>
          </w:rPr>
          <w:fldChar w:fldCharType="end"/>
        </w:r>
      </w:hyperlink>
    </w:p>
    <w:p w14:paraId="2518BF95" w14:textId="3FEB686C" w:rsidR="00CB0C9E" w:rsidRDefault="007B247E" w:rsidP="00084C33">
      <w:pPr>
        <w:pStyle w:val="TOC1"/>
        <w:rPr>
          <w:rFonts w:asciiTheme="minorHAnsi" w:hAnsiTheme="minorHAnsi" w:cstheme="minorBidi"/>
          <w:color w:val="auto"/>
          <w:kern w:val="2"/>
          <w:lang w:eastAsia="ja-JP"/>
          <w14:ligatures w14:val="standardContextual"/>
        </w:rPr>
      </w:pPr>
      <w:hyperlink w:anchor="_Toc142383135" w:history="1">
        <w:r w:rsidR="00CB0C9E" w:rsidRPr="009E17C6">
          <w:rPr>
            <w:rStyle w:val="Hyperlink"/>
          </w:rPr>
          <w:t>Annex 2: Evaluation Matrix</w:t>
        </w:r>
        <w:r w:rsidR="00CB0C9E">
          <w:rPr>
            <w:webHidden/>
          </w:rPr>
          <w:tab/>
        </w:r>
        <w:r w:rsidR="00CB0C9E">
          <w:rPr>
            <w:webHidden/>
          </w:rPr>
          <w:fldChar w:fldCharType="begin"/>
        </w:r>
        <w:r w:rsidR="00CB0C9E">
          <w:rPr>
            <w:webHidden/>
          </w:rPr>
          <w:instrText xml:space="preserve"> PAGEREF _Toc142383135 \h </w:instrText>
        </w:r>
        <w:r w:rsidR="00CB0C9E">
          <w:rPr>
            <w:webHidden/>
          </w:rPr>
        </w:r>
        <w:r w:rsidR="00CB0C9E">
          <w:rPr>
            <w:webHidden/>
          </w:rPr>
          <w:fldChar w:fldCharType="separate"/>
        </w:r>
        <w:r w:rsidR="00084C33">
          <w:rPr>
            <w:webHidden/>
          </w:rPr>
          <w:t>38</w:t>
        </w:r>
        <w:r w:rsidR="00CB0C9E">
          <w:rPr>
            <w:webHidden/>
          </w:rPr>
          <w:fldChar w:fldCharType="end"/>
        </w:r>
      </w:hyperlink>
    </w:p>
    <w:p w14:paraId="417A8B33" w14:textId="675BEA93" w:rsidR="00CB0C9E" w:rsidRDefault="007B247E" w:rsidP="00084C33">
      <w:pPr>
        <w:pStyle w:val="TOC1"/>
        <w:rPr>
          <w:rFonts w:asciiTheme="minorHAnsi" w:hAnsiTheme="minorHAnsi" w:cstheme="minorBidi"/>
          <w:color w:val="auto"/>
          <w:kern w:val="2"/>
          <w:lang w:eastAsia="ja-JP"/>
          <w14:ligatures w14:val="standardContextual"/>
        </w:rPr>
      </w:pPr>
      <w:hyperlink w:anchor="_Toc142383136" w:history="1">
        <w:r w:rsidR="00CB0C9E" w:rsidRPr="009E17C6">
          <w:rPr>
            <w:rStyle w:val="Hyperlink"/>
          </w:rPr>
          <w:t>Annex 3: Overview of Evaluation</w:t>
        </w:r>
        <w:r w:rsidR="00CB0C9E">
          <w:rPr>
            <w:webHidden/>
          </w:rPr>
          <w:tab/>
        </w:r>
        <w:r w:rsidR="00CB0C9E">
          <w:rPr>
            <w:webHidden/>
          </w:rPr>
          <w:fldChar w:fldCharType="begin"/>
        </w:r>
        <w:r w:rsidR="00CB0C9E">
          <w:rPr>
            <w:webHidden/>
          </w:rPr>
          <w:instrText xml:space="preserve"> PAGEREF _Toc142383136 \h </w:instrText>
        </w:r>
        <w:r w:rsidR="00CB0C9E">
          <w:rPr>
            <w:webHidden/>
          </w:rPr>
        </w:r>
        <w:r w:rsidR="00CB0C9E">
          <w:rPr>
            <w:webHidden/>
          </w:rPr>
          <w:fldChar w:fldCharType="separate"/>
        </w:r>
        <w:r w:rsidR="00084C33">
          <w:rPr>
            <w:webHidden/>
          </w:rPr>
          <w:t>40</w:t>
        </w:r>
        <w:r w:rsidR="00CB0C9E">
          <w:rPr>
            <w:webHidden/>
          </w:rPr>
          <w:fldChar w:fldCharType="end"/>
        </w:r>
      </w:hyperlink>
    </w:p>
    <w:p w14:paraId="153AF5BA" w14:textId="4A5E8BA0"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37" w:history="1">
        <w:r w:rsidR="00CB0C9E" w:rsidRPr="009E17C6">
          <w:rPr>
            <w:rStyle w:val="Hyperlink"/>
            <w14:scene3d>
              <w14:camera w14:prst="orthographicFront"/>
              <w14:lightRig w14:rig="threePt" w14:dir="t">
                <w14:rot w14:lat="0" w14:lon="0" w14:rev="0"/>
              </w14:lightRig>
            </w14:scene3d>
          </w:rPr>
          <w:t>1.1</w:t>
        </w:r>
        <w:r w:rsidR="00CB0C9E">
          <w:rPr>
            <w:rFonts w:asciiTheme="minorHAnsi" w:eastAsiaTheme="minorEastAsia" w:hAnsiTheme="minorHAnsi" w:cstheme="minorBidi"/>
            <w:iCs w:val="0"/>
            <w:kern w:val="2"/>
            <w:lang w:eastAsia="ja-JP"/>
            <w14:ligatures w14:val="standardContextual"/>
          </w:rPr>
          <w:tab/>
        </w:r>
        <w:r w:rsidR="00CB0C9E" w:rsidRPr="009E17C6">
          <w:rPr>
            <w:rStyle w:val="Hyperlink"/>
          </w:rPr>
          <w:t xml:space="preserve">Objectives of the </w:t>
        </w:r>
        <w:r w:rsidR="001549E6">
          <w:rPr>
            <w:rStyle w:val="Hyperlink"/>
          </w:rPr>
          <w:t>e</w:t>
        </w:r>
        <w:r w:rsidR="00CB0C9E" w:rsidRPr="009E17C6">
          <w:rPr>
            <w:rStyle w:val="Hyperlink"/>
          </w:rPr>
          <w:t>valuation</w:t>
        </w:r>
        <w:r w:rsidR="00CB0C9E">
          <w:rPr>
            <w:webHidden/>
          </w:rPr>
          <w:tab/>
        </w:r>
        <w:r w:rsidR="00CB0C9E">
          <w:rPr>
            <w:webHidden/>
          </w:rPr>
          <w:fldChar w:fldCharType="begin"/>
        </w:r>
        <w:r w:rsidR="00CB0C9E">
          <w:rPr>
            <w:webHidden/>
          </w:rPr>
          <w:instrText xml:space="preserve"> PAGEREF _Toc142383137 \h </w:instrText>
        </w:r>
        <w:r w:rsidR="00CB0C9E">
          <w:rPr>
            <w:webHidden/>
          </w:rPr>
        </w:r>
        <w:r w:rsidR="00CB0C9E">
          <w:rPr>
            <w:webHidden/>
          </w:rPr>
          <w:fldChar w:fldCharType="separate"/>
        </w:r>
        <w:r w:rsidR="00084C33">
          <w:rPr>
            <w:webHidden/>
          </w:rPr>
          <w:t>40</w:t>
        </w:r>
        <w:r w:rsidR="00CB0C9E">
          <w:rPr>
            <w:webHidden/>
          </w:rPr>
          <w:fldChar w:fldCharType="end"/>
        </w:r>
      </w:hyperlink>
    </w:p>
    <w:p w14:paraId="11F19E04" w14:textId="31EC43E7"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38" w:history="1">
        <w:r w:rsidR="00CB0C9E" w:rsidRPr="009E17C6">
          <w:rPr>
            <w:rStyle w:val="Hyperlink"/>
            <w14:scene3d>
              <w14:camera w14:prst="orthographicFront"/>
              <w14:lightRig w14:rig="threePt" w14:dir="t">
                <w14:rot w14:lat="0" w14:lon="0" w14:rev="0"/>
              </w14:lightRig>
            </w14:scene3d>
          </w:rPr>
          <w:t>1.2</w:t>
        </w:r>
        <w:r w:rsidR="00CB0C9E">
          <w:rPr>
            <w:rFonts w:asciiTheme="minorHAnsi" w:eastAsiaTheme="minorEastAsia" w:hAnsiTheme="minorHAnsi" w:cstheme="minorBidi"/>
            <w:iCs w:val="0"/>
            <w:kern w:val="2"/>
            <w:lang w:eastAsia="ja-JP"/>
            <w14:ligatures w14:val="standardContextual"/>
          </w:rPr>
          <w:tab/>
        </w:r>
        <w:r w:rsidR="00CB0C9E" w:rsidRPr="009E17C6">
          <w:rPr>
            <w:rStyle w:val="Hyperlink"/>
          </w:rPr>
          <w:t>Methodology</w:t>
        </w:r>
        <w:r w:rsidR="00CB0C9E">
          <w:rPr>
            <w:webHidden/>
          </w:rPr>
          <w:tab/>
        </w:r>
        <w:r w:rsidR="00CB0C9E">
          <w:rPr>
            <w:webHidden/>
          </w:rPr>
          <w:fldChar w:fldCharType="begin"/>
        </w:r>
        <w:r w:rsidR="00CB0C9E">
          <w:rPr>
            <w:webHidden/>
          </w:rPr>
          <w:instrText xml:space="preserve"> PAGEREF _Toc142383138 \h </w:instrText>
        </w:r>
        <w:r w:rsidR="00CB0C9E">
          <w:rPr>
            <w:webHidden/>
          </w:rPr>
        </w:r>
        <w:r w:rsidR="00CB0C9E">
          <w:rPr>
            <w:webHidden/>
          </w:rPr>
          <w:fldChar w:fldCharType="separate"/>
        </w:r>
        <w:r w:rsidR="00084C33">
          <w:rPr>
            <w:webHidden/>
          </w:rPr>
          <w:t>42</w:t>
        </w:r>
        <w:r w:rsidR="00CB0C9E">
          <w:rPr>
            <w:webHidden/>
          </w:rPr>
          <w:fldChar w:fldCharType="end"/>
        </w:r>
      </w:hyperlink>
    </w:p>
    <w:p w14:paraId="7D47B0D4" w14:textId="648D05E7"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39" w:history="1">
        <w:r w:rsidR="00CB0C9E" w:rsidRPr="009E17C6">
          <w:rPr>
            <w:rStyle w:val="Hyperlink"/>
            <w14:scene3d>
              <w14:camera w14:prst="orthographicFront"/>
              <w14:lightRig w14:rig="threePt" w14:dir="t">
                <w14:rot w14:lat="0" w14:lon="0" w14:rev="0"/>
              </w14:lightRig>
            </w14:scene3d>
          </w:rPr>
          <w:t>1.3</w:t>
        </w:r>
        <w:r w:rsidR="00CB0C9E">
          <w:rPr>
            <w:rFonts w:asciiTheme="minorHAnsi" w:eastAsiaTheme="minorEastAsia" w:hAnsiTheme="minorHAnsi" w:cstheme="minorBidi"/>
            <w:iCs w:val="0"/>
            <w:kern w:val="2"/>
            <w:lang w:eastAsia="ja-JP"/>
            <w14:ligatures w14:val="standardContextual"/>
          </w:rPr>
          <w:tab/>
        </w:r>
        <w:r w:rsidR="00CB0C9E" w:rsidRPr="009E17C6">
          <w:rPr>
            <w:rStyle w:val="Hyperlink"/>
          </w:rPr>
          <w:t xml:space="preserve">Main </w:t>
        </w:r>
        <w:r w:rsidR="001549E6">
          <w:rPr>
            <w:rStyle w:val="Hyperlink"/>
          </w:rPr>
          <w:t>a</w:t>
        </w:r>
        <w:r w:rsidR="001549E6" w:rsidRPr="009E17C6">
          <w:rPr>
            <w:rStyle w:val="Hyperlink"/>
          </w:rPr>
          <w:t>nalytical metho</w:t>
        </w:r>
        <w:r w:rsidR="00CB0C9E" w:rsidRPr="009E17C6">
          <w:rPr>
            <w:rStyle w:val="Hyperlink"/>
          </w:rPr>
          <w:t>ds</w:t>
        </w:r>
        <w:r w:rsidR="00CB0C9E">
          <w:rPr>
            <w:webHidden/>
          </w:rPr>
          <w:tab/>
        </w:r>
        <w:r w:rsidR="00CB0C9E">
          <w:rPr>
            <w:webHidden/>
          </w:rPr>
          <w:fldChar w:fldCharType="begin"/>
        </w:r>
        <w:r w:rsidR="00CB0C9E">
          <w:rPr>
            <w:webHidden/>
          </w:rPr>
          <w:instrText xml:space="preserve"> PAGEREF _Toc142383139 \h </w:instrText>
        </w:r>
        <w:r w:rsidR="00CB0C9E">
          <w:rPr>
            <w:webHidden/>
          </w:rPr>
        </w:r>
        <w:r w:rsidR="00CB0C9E">
          <w:rPr>
            <w:webHidden/>
          </w:rPr>
          <w:fldChar w:fldCharType="separate"/>
        </w:r>
        <w:r w:rsidR="00084C33">
          <w:rPr>
            <w:webHidden/>
          </w:rPr>
          <w:t>46</w:t>
        </w:r>
        <w:r w:rsidR="00CB0C9E">
          <w:rPr>
            <w:webHidden/>
          </w:rPr>
          <w:fldChar w:fldCharType="end"/>
        </w:r>
      </w:hyperlink>
    </w:p>
    <w:p w14:paraId="4257A9C1" w14:textId="46E73777" w:rsidR="00CB0C9E" w:rsidRDefault="007B247E">
      <w:pPr>
        <w:pStyle w:val="TOC3"/>
        <w:rPr>
          <w:rFonts w:asciiTheme="minorHAnsi" w:eastAsiaTheme="minorEastAsia" w:hAnsiTheme="minorHAnsi" w:cstheme="minorBidi"/>
          <w:kern w:val="2"/>
          <w:lang w:eastAsia="ja-JP"/>
          <w14:ligatures w14:val="standardContextual"/>
        </w:rPr>
      </w:pPr>
      <w:hyperlink w:anchor="_Toc142383140" w:history="1">
        <w:r w:rsidR="00CB0C9E" w:rsidRPr="009E17C6">
          <w:rPr>
            <w:rStyle w:val="Hyperlink"/>
            <w14:scene3d>
              <w14:camera w14:prst="orthographicFront"/>
              <w14:lightRig w14:rig="threePt" w14:dir="t">
                <w14:rot w14:lat="0" w14:lon="0" w14:rev="0"/>
              </w14:lightRig>
            </w14:scene3d>
          </w:rPr>
          <w:t>1.3.1</w:t>
        </w:r>
        <w:r w:rsidR="00CB0C9E">
          <w:rPr>
            <w:rFonts w:asciiTheme="minorHAnsi" w:eastAsiaTheme="minorEastAsia" w:hAnsiTheme="minorHAnsi" w:cstheme="minorBidi"/>
            <w:kern w:val="2"/>
            <w:lang w:eastAsia="ja-JP"/>
            <w14:ligatures w14:val="standardContextual"/>
          </w:rPr>
          <w:tab/>
        </w:r>
        <w:r w:rsidR="00CB0C9E" w:rsidRPr="009E17C6">
          <w:rPr>
            <w:rStyle w:val="Hyperlink"/>
          </w:rPr>
          <w:t xml:space="preserve">Contribution </w:t>
        </w:r>
        <w:r w:rsidR="001549E6">
          <w:rPr>
            <w:rStyle w:val="Hyperlink"/>
          </w:rPr>
          <w:t>a</w:t>
        </w:r>
        <w:r w:rsidR="00CB0C9E" w:rsidRPr="009E17C6">
          <w:rPr>
            <w:rStyle w:val="Hyperlink"/>
          </w:rPr>
          <w:t>nalysis</w:t>
        </w:r>
        <w:r w:rsidR="00CB0C9E">
          <w:rPr>
            <w:webHidden/>
          </w:rPr>
          <w:tab/>
        </w:r>
        <w:r w:rsidR="00CB0C9E">
          <w:rPr>
            <w:webHidden/>
          </w:rPr>
          <w:fldChar w:fldCharType="begin"/>
        </w:r>
        <w:r w:rsidR="00CB0C9E">
          <w:rPr>
            <w:webHidden/>
          </w:rPr>
          <w:instrText xml:space="preserve"> PAGEREF _Toc142383140 \h </w:instrText>
        </w:r>
        <w:r w:rsidR="00CB0C9E">
          <w:rPr>
            <w:webHidden/>
          </w:rPr>
        </w:r>
        <w:r w:rsidR="00CB0C9E">
          <w:rPr>
            <w:webHidden/>
          </w:rPr>
          <w:fldChar w:fldCharType="separate"/>
        </w:r>
        <w:r w:rsidR="00084C33">
          <w:rPr>
            <w:webHidden/>
          </w:rPr>
          <w:t>46</w:t>
        </w:r>
        <w:r w:rsidR="00CB0C9E">
          <w:rPr>
            <w:webHidden/>
          </w:rPr>
          <w:fldChar w:fldCharType="end"/>
        </w:r>
      </w:hyperlink>
    </w:p>
    <w:p w14:paraId="38182AF4" w14:textId="4B0B7705" w:rsidR="00CB0C9E" w:rsidRDefault="007B247E">
      <w:pPr>
        <w:pStyle w:val="TOC3"/>
        <w:rPr>
          <w:rFonts w:asciiTheme="minorHAnsi" w:eastAsiaTheme="minorEastAsia" w:hAnsiTheme="minorHAnsi" w:cstheme="minorBidi"/>
          <w:kern w:val="2"/>
          <w:lang w:eastAsia="ja-JP"/>
          <w14:ligatures w14:val="standardContextual"/>
        </w:rPr>
      </w:pPr>
      <w:hyperlink w:anchor="_Toc142383141" w:history="1">
        <w:r w:rsidR="00CB0C9E" w:rsidRPr="009E17C6">
          <w:rPr>
            <w:rStyle w:val="Hyperlink"/>
            <w14:scene3d>
              <w14:camera w14:prst="orthographicFront"/>
              <w14:lightRig w14:rig="threePt" w14:dir="t">
                <w14:rot w14:lat="0" w14:lon="0" w14:rev="0"/>
              </w14:lightRig>
            </w14:scene3d>
          </w:rPr>
          <w:t>1.3.2</w:t>
        </w:r>
        <w:r w:rsidR="00CB0C9E">
          <w:rPr>
            <w:rFonts w:asciiTheme="minorHAnsi" w:eastAsiaTheme="minorEastAsia" w:hAnsiTheme="minorHAnsi" w:cstheme="minorBidi"/>
            <w:kern w:val="2"/>
            <w:lang w:eastAsia="ja-JP"/>
            <w14:ligatures w14:val="standardContextual"/>
          </w:rPr>
          <w:tab/>
        </w:r>
        <w:r w:rsidR="00CB0C9E" w:rsidRPr="009E17C6">
          <w:rPr>
            <w:rStyle w:val="Hyperlink"/>
          </w:rPr>
          <w:t>Alignment and coherence</w:t>
        </w:r>
        <w:r w:rsidR="00CB0C9E">
          <w:rPr>
            <w:webHidden/>
          </w:rPr>
          <w:tab/>
        </w:r>
        <w:r w:rsidR="00CB0C9E">
          <w:rPr>
            <w:webHidden/>
          </w:rPr>
          <w:fldChar w:fldCharType="begin"/>
        </w:r>
        <w:r w:rsidR="00CB0C9E">
          <w:rPr>
            <w:webHidden/>
          </w:rPr>
          <w:instrText xml:space="preserve"> PAGEREF _Toc142383141 \h </w:instrText>
        </w:r>
        <w:r w:rsidR="00CB0C9E">
          <w:rPr>
            <w:webHidden/>
          </w:rPr>
        </w:r>
        <w:r w:rsidR="00CB0C9E">
          <w:rPr>
            <w:webHidden/>
          </w:rPr>
          <w:fldChar w:fldCharType="separate"/>
        </w:r>
        <w:r w:rsidR="00084C33">
          <w:rPr>
            <w:webHidden/>
          </w:rPr>
          <w:t>51</w:t>
        </w:r>
        <w:r w:rsidR="00CB0C9E">
          <w:rPr>
            <w:webHidden/>
          </w:rPr>
          <w:fldChar w:fldCharType="end"/>
        </w:r>
      </w:hyperlink>
    </w:p>
    <w:p w14:paraId="1234A451" w14:textId="778AFDA5" w:rsidR="00CB0C9E" w:rsidRDefault="007B247E">
      <w:pPr>
        <w:pStyle w:val="TOC3"/>
        <w:rPr>
          <w:rFonts w:asciiTheme="minorHAnsi" w:eastAsiaTheme="minorEastAsia" w:hAnsiTheme="minorHAnsi" w:cstheme="minorBidi"/>
          <w:kern w:val="2"/>
          <w:lang w:eastAsia="ja-JP"/>
          <w14:ligatures w14:val="standardContextual"/>
        </w:rPr>
      </w:pPr>
      <w:hyperlink w:anchor="_Toc142383142" w:history="1">
        <w:r w:rsidR="00CB0C9E" w:rsidRPr="009E17C6">
          <w:rPr>
            <w:rStyle w:val="Hyperlink"/>
            <w14:scene3d>
              <w14:camera w14:prst="orthographicFront"/>
              <w14:lightRig w14:rig="threePt" w14:dir="t">
                <w14:rot w14:lat="0" w14:lon="0" w14:rev="0"/>
              </w14:lightRig>
            </w14:scene3d>
          </w:rPr>
          <w:t>1.3.3</w:t>
        </w:r>
        <w:r w:rsidR="00CB0C9E">
          <w:rPr>
            <w:rFonts w:asciiTheme="minorHAnsi" w:eastAsiaTheme="minorEastAsia" w:hAnsiTheme="minorHAnsi" w:cstheme="minorBidi"/>
            <w:kern w:val="2"/>
            <w:lang w:eastAsia="ja-JP"/>
            <w14:ligatures w14:val="standardContextual"/>
          </w:rPr>
          <w:tab/>
        </w:r>
        <w:r w:rsidR="00CB0C9E" w:rsidRPr="009E17C6">
          <w:rPr>
            <w:rStyle w:val="Hyperlink"/>
          </w:rPr>
          <w:t>National policy agenda analysis</w:t>
        </w:r>
        <w:r w:rsidR="00CB0C9E">
          <w:rPr>
            <w:webHidden/>
          </w:rPr>
          <w:tab/>
        </w:r>
        <w:r w:rsidR="00CB0C9E">
          <w:rPr>
            <w:webHidden/>
          </w:rPr>
          <w:fldChar w:fldCharType="begin"/>
        </w:r>
        <w:r w:rsidR="00CB0C9E">
          <w:rPr>
            <w:webHidden/>
          </w:rPr>
          <w:instrText xml:space="preserve"> PAGEREF _Toc142383142 \h </w:instrText>
        </w:r>
        <w:r w:rsidR="00CB0C9E">
          <w:rPr>
            <w:webHidden/>
          </w:rPr>
        </w:r>
        <w:r w:rsidR="00CB0C9E">
          <w:rPr>
            <w:webHidden/>
          </w:rPr>
          <w:fldChar w:fldCharType="separate"/>
        </w:r>
        <w:r w:rsidR="00084C33">
          <w:rPr>
            <w:webHidden/>
          </w:rPr>
          <w:t>52</w:t>
        </w:r>
        <w:r w:rsidR="00CB0C9E">
          <w:rPr>
            <w:webHidden/>
          </w:rPr>
          <w:fldChar w:fldCharType="end"/>
        </w:r>
      </w:hyperlink>
    </w:p>
    <w:p w14:paraId="08906A75" w14:textId="60720AED" w:rsidR="00CB0C9E" w:rsidRDefault="007B247E">
      <w:pPr>
        <w:pStyle w:val="TOC3"/>
        <w:rPr>
          <w:rFonts w:asciiTheme="minorHAnsi" w:eastAsiaTheme="minorEastAsia" w:hAnsiTheme="minorHAnsi" w:cstheme="minorBidi"/>
          <w:kern w:val="2"/>
          <w:lang w:eastAsia="ja-JP"/>
          <w14:ligatures w14:val="standardContextual"/>
        </w:rPr>
      </w:pPr>
      <w:hyperlink w:anchor="_Toc142383143" w:history="1">
        <w:r w:rsidR="00CB0C9E" w:rsidRPr="009E17C6">
          <w:rPr>
            <w:rStyle w:val="Hyperlink"/>
            <w14:scene3d>
              <w14:camera w14:prst="orthographicFront"/>
              <w14:lightRig w14:rig="threePt" w14:dir="t">
                <w14:rot w14:lat="0" w14:lon="0" w14:rev="0"/>
              </w14:lightRig>
            </w14:scene3d>
          </w:rPr>
          <w:t>1.3.4</w:t>
        </w:r>
        <w:r w:rsidR="00CB0C9E">
          <w:rPr>
            <w:rFonts w:asciiTheme="minorHAnsi" w:eastAsiaTheme="minorEastAsia" w:hAnsiTheme="minorHAnsi" w:cstheme="minorBidi"/>
            <w:kern w:val="2"/>
            <w:lang w:eastAsia="ja-JP"/>
            <w14:ligatures w14:val="standardContextual"/>
          </w:rPr>
          <w:tab/>
        </w:r>
        <w:r w:rsidR="00CB0C9E" w:rsidRPr="009E17C6">
          <w:rPr>
            <w:rStyle w:val="Hyperlink"/>
          </w:rPr>
          <w:t xml:space="preserve">Examples of </w:t>
        </w:r>
        <w:r w:rsidR="001549E6">
          <w:rPr>
            <w:rStyle w:val="Hyperlink"/>
          </w:rPr>
          <w:t>u</w:t>
        </w:r>
        <w:r w:rsidR="00CB0C9E" w:rsidRPr="009E17C6">
          <w:rPr>
            <w:rStyle w:val="Hyperlink"/>
          </w:rPr>
          <w:t>se of data at the facility level</w:t>
        </w:r>
        <w:r w:rsidR="00CB0C9E">
          <w:rPr>
            <w:webHidden/>
          </w:rPr>
          <w:tab/>
        </w:r>
        <w:r w:rsidR="00CB0C9E">
          <w:rPr>
            <w:webHidden/>
          </w:rPr>
          <w:fldChar w:fldCharType="begin"/>
        </w:r>
        <w:r w:rsidR="00CB0C9E">
          <w:rPr>
            <w:webHidden/>
          </w:rPr>
          <w:instrText xml:space="preserve"> PAGEREF _Toc142383143 \h </w:instrText>
        </w:r>
        <w:r w:rsidR="00CB0C9E">
          <w:rPr>
            <w:webHidden/>
          </w:rPr>
        </w:r>
        <w:r w:rsidR="00CB0C9E">
          <w:rPr>
            <w:webHidden/>
          </w:rPr>
          <w:fldChar w:fldCharType="separate"/>
        </w:r>
        <w:r w:rsidR="00084C33">
          <w:rPr>
            <w:webHidden/>
          </w:rPr>
          <w:t>54</w:t>
        </w:r>
        <w:r w:rsidR="00CB0C9E">
          <w:rPr>
            <w:webHidden/>
          </w:rPr>
          <w:fldChar w:fldCharType="end"/>
        </w:r>
      </w:hyperlink>
    </w:p>
    <w:p w14:paraId="2750B25E" w14:textId="64C035AA" w:rsidR="00CB0C9E" w:rsidRDefault="007B247E">
      <w:pPr>
        <w:pStyle w:val="TOC3"/>
        <w:rPr>
          <w:rFonts w:asciiTheme="minorHAnsi" w:eastAsiaTheme="minorEastAsia" w:hAnsiTheme="minorHAnsi" w:cstheme="minorBidi"/>
          <w:kern w:val="2"/>
          <w:lang w:eastAsia="ja-JP"/>
          <w14:ligatures w14:val="standardContextual"/>
        </w:rPr>
      </w:pPr>
      <w:hyperlink w:anchor="_Toc142383144" w:history="1">
        <w:r w:rsidR="00CB0C9E" w:rsidRPr="009E17C6">
          <w:rPr>
            <w:rStyle w:val="Hyperlink"/>
            <w14:scene3d>
              <w14:camera w14:prst="orthographicFront"/>
              <w14:lightRig w14:rig="threePt" w14:dir="t">
                <w14:rot w14:lat="0" w14:lon="0" w14:rev="0"/>
              </w14:lightRig>
            </w14:scene3d>
          </w:rPr>
          <w:t>1.3.5</w:t>
        </w:r>
        <w:r w:rsidR="00CB0C9E">
          <w:rPr>
            <w:rFonts w:asciiTheme="minorHAnsi" w:eastAsiaTheme="minorEastAsia" w:hAnsiTheme="minorHAnsi" w:cstheme="minorBidi"/>
            <w:kern w:val="2"/>
            <w:lang w:eastAsia="ja-JP"/>
            <w14:ligatures w14:val="standardContextual"/>
          </w:rPr>
          <w:tab/>
        </w:r>
        <w:r w:rsidR="00CB0C9E" w:rsidRPr="009E17C6">
          <w:rPr>
            <w:rStyle w:val="Hyperlink"/>
          </w:rPr>
          <w:t xml:space="preserve">Value for </w:t>
        </w:r>
        <w:r w:rsidR="001549E6">
          <w:rPr>
            <w:rStyle w:val="Hyperlink"/>
          </w:rPr>
          <w:t>m</w:t>
        </w:r>
        <w:r w:rsidR="00CB0C9E" w:rsidRPr="009E17C6">
          <w:rPr>
            <w:rStyle w:val="Hyperlink"/>
          </w:rPr>
          <w:t>oney</w:t>
        </w:r>
        <w:r w:rsidR="00CB0C9E">
          <w:rPr>
            <w:webHidden/>
          </w:rPr>
          <w:tab/>
        </w:r>
        <w:r w:rsidR="00CB0C9E">
          <w:rPr>
            <w:webHidden/>
          </w:rPr>
          <w:fldChar w:fldCharType="begin"/>
        </w:r>
        <w:r w:rsidR="00CB0C9E">
          <w:rPr>
            <w:webHidden/>
          </w:rPr>
          <w:instrText xml:space="preserve"> PAGEREF _Toc142383144 \h </w:instrText>
        </w:r>
        <w:r w:rsidR="00CB0C9E">
          <w:rPr>
            <w:webHidden/>
          </w:rPr>
        </w:r>
        <w:r w:rsidR="00CB0C9E">
          <w:rPr>
            <w:webHidden/>
          </w:rPr>
          <w:fldChar w:fldCharType="separate"/>
        </w:r>
        <w:r w:rsidR="00084C33">
          <w:rPr>
            <w:webHidden/>
          </w:rPr>
          <w:t>55</w:t>
        </w:r>
        <w:r w:rsidR="00CB0C9E">
          <w:rPr>
            <w:webHidden/>
          </w:rPr>
          <w:fldChar w:fldCharType="end"/>
        </w:r>
      </w:hyperlink>
    </w:p>
    <w:p w14:paraId="5DD78BE6" w14:textId="0BD96907" w:rsidR="00CB0C9E" w:rsidRDefault="007B247E">
      <w:pPr>
        <w:pStyle w:val="TOC3"/>
        <w:rPr>
          <w:rFonts w:asciiTheme="minorHAnsi" w:eastAsiaTheme="minorEastAsia" w:hAnsiTheme="minorHAnsi" w:cstheme="minorBidi"/>
          <w:kern w:val="2"/>
          <w:lang w:eastAsia="ja-JP"/>
          <w14:ligatures w14:val="standardContextual"/>
        </w:rPr>
      </w:pPr>
      <w:hyperlink w:anchor="_Toc142383145" w:history="1">
        <w:r w:rsidR="00CB0C9E" w:rsidRPr="009E17C6">
          <w:rPr>
            <w:rStyle w:val="Hyperlink"/>
            <w14:scene3d>
              <w14:camera w14:prst="orthographicFront"/>
              <w14:lightRig w14:rig="threePt" w14:dir="t">
                <w14:rot w14:lat="0" w14:lon="0" w14:rev="0"/>
              </w14:lightRig>
            </w14:scene3d>
          </w:rPr>
          <w:t>1.3.6</w:t>
        </w:r>
        <w:r w:rsidR="00CB0C9E">
          <w:rPr>
            <w:rFonts w:asciiTheme="minorHAnsi" w:eastAsiaTheme="minorEastAsia" w:hAnsiTheme="minorHAnsi" w:cstheme="minorBidi"/>
            <w:kern w:val="2"/>
            <w:lang w:eastAsia="ja-JP"/>
            <w14:ligatures w14:val="standardContextual"/>
          </w:rPr>
          <w:tab/>
        </w:r>
        <w:r w:rsidR="00CB0C9E" w:rsidRPr="009E17C6">
          <w:rPr>
            <w:rStyle w:val="Hyperlink"/>
          </w:rPr>
          <w:t>Sustainability analysis</w:t>
        </w:r>
        <w:r w:rsidR="00CB0C9E">
          <w:rPr>
            <w:webHidden/>
          </w:rPr>
          <w:tab/>
        </w:r>
        <w:r w:rsidR="00CB0C9E">
          <w:rPr>
            <w:webHidden/>
          </w:rPr>
          <w:fldChar w:fldCharType="begin"/>
        </w:r>
        <w:r w:rsidR="00CB0C9E">
          <w:rPr>
            <w:webHidden/>
          </w:rPr>
          <w:instrText xml:space="preserve"> PAGEREF _Toc142383145 \h </w:instrText>
        </w:r>
        <w:r w:rsidR="00CB0C9E">
          <w:rPr>
            <w:webHidden/>
          </w:rPr>
        </w:r>
        <w:r w:rsidR="00CB0C9E">
          <w:rPr>
            <w:webHidden/>
          </w:rPr>
          <w:fldChar w:fldCharType="separate"/>
        </w:r>
        <w:r w:rsidR="00084C33">
          <w:rPr>
            <w:webHidden/>
          </w:rPr>
          <w:t>57</w:t>
        </w:r>
        <w:r w:rsidR="00CB0C9E">
          <w:rPr>
            <w:webHidden/>
          </w:rPr>
          <w:fldChar w:fldCharType="end"/>
        </w:r>
      </w:hyperlink>
    </w:p>
    <w:p w14:paraId="311EE8E6" w14:textId="51004459" w:rsidR="00CB0C9E" w:rsidRDefault="007B247E">
      <w:pPr>
        <w:pStyle w:val="TOC3"/>
        <w:rPr>
          <w:rFonts w:asciiTheme="minorHAnsi" w:eastAsiaTheme="minorEastAsia" w:hAnsiTheme="minorHAnsi" w:cstheme="minorBidi"/>
          <w:kern w:val="2"/>
          <w:lang w:eastAsia="ja-JP"/>
          <w14:ligatures w14:val="standardContextual"/>
        </w:rPr>
      </w:pPr>
      <w:hyperlink w:anchor="_Toc142383146" w:history="1">
        <w:r w:rsidR="00CB0C9E" w:rsidRPr="009E17C6">
          <w:rPr>
            <w:rStyle w:val="Hyperlink"/>
            <w14:scene3d>
              <w14:camera w14:prst="orthographicFront"/>
              <w14:lightRig w14:rig="threePt" w14:dir="t">
                <w14:rot w14:lat="0" w14:lon="0" w14:rev="0"/>
              </w14:lightRig>
            </w14:scene3d>
          </w:rPr>
          <w:t>1.3.7</w:t>
        </w:r>
        <w:r w:rsidR="00CB0C9E">
          <w:rPr>
            <w:rFonts w:asciiTheme="minorHAnsi" w:eastAsiaTheme="minorEastAsia" w:hAnsiTheme="minorHAnsi" w:cstheme="minorBidi"/>
            <w:kern w:val="2"/>
            <w:lang w:eastAsia="ja-JP"/>
            <w14:ligatures w14:val="standardContextual"/>
          </w:rPr>
          <w:tab/>
        </w:r>
        <w:r w:rsidR="00CB0C9E" w:rsidRPr="009E17C6">
          <w:rPr>
            <w:rStyle w:val="Hyperlink"/>
          </w:rPr>
          <w:t>Cross-case synthesis</w:t>
        </w:r>
        <w:r w:rsidR="00CB0C9E">
          <w:rPr>
            <w:webHidden/>
          </w:rPr>
          <w:tab/>
        </w:r>
        <w:r w:rsidR="00CB0C9E">
          <w:rPr>
            <w:webHidden/>
          </w:rPr>
          <w:fldChar w:fldCharType="begin"/>
        </w:r>
        <w:r w:rsidR="00CB0C9E">
          <w:rPr>
            <w:webHidden/>
          </w:rPr>
          <w:instrText xml:space="preserve"> PAGEREF _Toc142383146 \h </w:instrText>
        </w:r>
        <w:r w:rsidR="00CB0C9E">
          <w:rPr>
            <w:webHidden/>
          </w:rPr>
        </w:r>
        <w:r w:rsidR="00CB0C9E">
          <w:rPr>
            <w:webHidden/>
          </w:rPr>
          <w:fldChar w:fldCharType="separate"/>
        </w:r>
        <w:r w:rsidR="00084C33">
          <w:rPr>
            <w:webHidden/>
          </w:rPr>
          <w:t>59</w:t>
        </w:r>
        <w:r w:rsidR="00CB0C9E">
          <w:rPr>
            <w:webHidden/>
          </w:rPr>
          <w:fldChar w:fldCharType="end"/>
        </w:r>
      </w:hyperlink>
    </w:p>
    <w:p w14:paraId="09D97A14" w14:textId="2F426653" w:rsidR="00CB0C9E" w:rsidRDefault="007B247E" w:rsidP="00084C33">
      <w:pPr>
        <w:pStyle w:val="TOC1"/>
        <w:rPr>
          <w:rFonts w:asciiTheme="minorHAnsi" w:hAnsiTheme="minorHAnsi" w:cstheme="minorBidi"/>
          <w:color w:val="auto"/>
          <w:kern w:val="2"/>
          <w:lang w:eastAsia="ja-JP"/>
          <w14:ligatures w14:val="standardContextual"/>
        </w:rPr>
      </w:pPr>
      <w:hyperlink w:anchor="_Toc142383147" w:history="1">
        <w:r w:rsidR="00CB0C9E" w:rsidRPr="009E17C6">
          <w:rPr>
            <w:rStyle w:val="Hyperlink"/>
          </w:rPr>
          <w:t xml:space="preserve">Annex 4: Data </w:t>
        </w:r>
        <w:r w:rsidR="001549E6" w:rsidRPr="009E17C6">
          <w:rPr>
            <w:rStyle w:val="Hyperlink"/>
          </w:rPr>
          <w:t>collection and analysi</w:t>
        </w:r>
        <w:r w:rsidR="00CB0C9E" w:rsidRPr="009E17C6">
          <w:rPr>
            <w:rStyle w:val="Hyperlink"/>
          </w:rPr>
          <w:t>s</w:t>
        </w:r>
        <w:r w:rsidR="00CB0C9E">
          <w:rPr>
            <w:webHidden/>
          </w:rPr>
          <w:tab/>
        </w:r>
        <w:r w:rsidR="00CB0C9E">
          <w:rPr>
            <w:webHidden/>
          </w:rPr>
          <w:fldChar w:fldCharType="begin"/>
        </w:r>
        <w:r w:rsidR="00CB0C9E">
          <w:rPr>
            <w:webHidden/>
          </w:rPr>
          <w:instrText xml:space="preserve"> PAGEREF _Toc142383147 \h </w:instrText>
        </w:r>
        <w:r w:rsidR="00CB0C9E">
          <w:rPr>
            <w:webHidden/>
          </w:rPr>
        </w:r>
        <w:r w:rsidR="00CB0C9E">
          <w:rPr>
            <w:webHidden/>
          </w:rPr>
          <w:fldChar w:fldCharType="separate"/>
        </w:r>
        <w:r w:rsidR="00084C33">
          <w:rPr>
            <w:webHidden/>
          </w:rPr>
          <w:t>62</w:t>
        </w:r>
        <w:r w:rsidR="00CB0C9E">
          <w:rPr>
            <w:webHidden/>
          </w:rPr>
          <w:fldChar w:fldCharType="end"/>
        </w:r>
      </w:hyperlink>
    </w:p>
    <w:p w14:paraId="772CFF6B" w14:textId="6F6EB2DC"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48" w:history="1">
        <w:r w:rsidR="00CB0C9E" w:rsidRPr="009E17C6">
          <w:rPr>
            <w:rStyle w:val="Hyperlink"/>
          </w:rPr>
          <w:t xml:space="preserve">Country </w:t>
        </w:r>
        <w:r w:rsidR="001549E6">
          <w:rPr>
            <w:rStyle w:val="Hyperlink"/>
          </w:rPr>
          <w:t>v</w:t>
        </w:r>
        <w:r w:rsidR="00CB0C9E" w:rsidRPr="009E17C6">
          <w:rPr>
            <w:rStyle w:val="Hyperlink"/>
          </w:rPr>
          <w:t>isits</w:t>
        </w:r>
        <w:r w:rsidR="00CB0C9E">
          <w:rPr>
            <w:webHidden/>
          </w:rPr>
          <w:tab/>
        </w:r>
        <w:r w:rsidR="00CB0C9E">
          <w:rPr>
            <w:webHidden/>
          </w:rPr>
          <w:fldChar w:fldCharType="begin"/>
        </w:r>
        <w:r w:rsidR="00CB0C9E">
          <w:rPr>
            <w:webHidden/>
          </w:rPr>
          <w:instrText xml:space="preserve"> PAGEREF _Toc142383148 \h </w:instrText>
        </w:r>
        <w:r w:rsidR="00CB0C9E">
          <w:rPr>
            <w:webHidden/>
          </w:rPr>
        </w:r>
        <w:r w:rsidR="00CB0C9E">
          <w:rPr>
            <w:webHidden/>
          </w:rPr>
          <w:fldChar w:fldCharType="separate"/>
        </w:r>
        <w:r w:rsidR="00084C33">
          <w:rPr>
            <w:webHidden/>
          </w:rPr>
          <w:t>62</w:t>
        </w:r>
        <w:r w:rsidR="00CB0C9E">
          <w:rPr>
            <w:webHidden/>
          </w:rPr>
          <w:fldChar w:fldCharType="end"/>
        </w:r>
      </w:hyperlink>
    </w:p>
    <w:p w14:paraId="144FA7E1" w14:textId="7E9259BC" w:rsidR="00CB0C9E" w:rsidRDefault="007B247E">
      <w:pPr>
        <w:pStyle w:val="TOC3"/>
        <w:rPr>
          <w:rFonts w:asciiTheme="minorHAnsi" w:eastAsiaTheme="minorEastAsia" w:hAnsiTheme="minorHAnsi" w:cstheme="minorBidi"/>
          <w:kern w:val="2"/>
          <w:lang w:eastAsia="ja-JP"/>
          <w14:ligatures w14:val="standardContextual"/>
        </w:rPr>
      </w:pPr>
      <w:hyperlink w:anchor="_Toc142383149" w:history="1">
        <w:r w:rsidR="00CB0C9E" w:rsidRPr="009E17C6">
          <w:rPr>
            <w:rStyle w:val="Hyperlink"/>
            <w:rFonts w:eastAsia="Calibri" w:cs="Calibri"/>
          </w:rPr>
          <w:t xml:space="preserve">Country </w:t>
        </w:r>
        <w:r w:rsidR="001549E6">
          <w:rPr>
            <w:rStyle w:val="Hyperlink"/>
            <w:rFonts w:eastAsia="Calibri" w:cs="Calibri"/>
          </w:rPr>
          <w:t>d</w:t>
        </w:r>
        <w:r w:rsidR="00CB0C9E" w:rsidRPr="009E17C6">
          <w:rPr>
            <w:rStyle w:val="Hyperlink"/>
            <w:rFonts w:eastAsia="Calibri" w:cs="Calibri"/>
          </w:rPr>
          <w:t>ocument review</w:t>
        </w:r>
        <w:r w:rsidR="00CB0C9E">
          <w:rPr>
            <w:webHidden/>
          </w:rPr>
          <w:tab/>
        </w:r>
        <w:r w:rsidR="00CB0C9E">
          <w:rPr>
            <w:webHidden/>
          </w:rPr>
          <w:fldChar w:fldCharType="begin"/>
        </w:r>
        <w:r w:rsidR="00CB0C9E">
          <w:rPr>
            <w:webHidden/>
          </w:rPr>
          <w:instrText xml:space="preserve"> PAGEREF _Toc142383149 \h </w:instrText>
        </w:r>
        <w:r w:rsidR="00CB0C9E">
          <w:rPr>
            <w:webHidden/>
          </w:rPr>
        </w:r>
        <w:r w:rsidR="00CB0C9E">
          <w:rPr>
            <w:webHidden/>
          </w:rPr>
          <w:fldChar w:fldCharType="separate"/>
        </w:r>
        <w:r w:rsidR="00084C33">
          <w:rPr>
            <w:webHidden/>
          </w:rPr>
          <w:t>62</w:t>
        </w:r>
        <w:r w:rsidR="00CB0C9E">
          <w:rPr>
            <w:webHidden/>
          </w:rPr>
          <w:fldChar w:fldCharType="end"/>
        </w:r>
      </w:hyperlink>
    </w:p>
    <w:p w14:paraId="4EE82DE4" w14:textId="40A12CBA" w:rsidR="00CB0C9E" w:rsidRDefault="007B247E">
      <w:pPr>
        <w:pStyle w:val="TOC3"/>
        <w:rPr>
          <w:rFonts w:asciiTheme="minorHAnsi" w:eastAsiaTheme="minorEastAsia" w:hAnsiTheme="minorHAnsi" w:cstheme="minorBidi"/>
          <w:kern w:val="2"/>
          <w:lang w:eastAsia="ja-JP"/>
          <w14:ligatures w14:val="standardContextual"/>
        </w:rPr>
      </w:pPr>
      <w:hyperlink w:anchor="_Toc142383150" w:history="1">
        <w:r w:rsidR="00CB0C9E" w:rsidRPr="009E17C6">
          <w:rPr>
            <w:rStyle w:val="Hyperlink"/>
            <w:rFonts w:eastAsia="Calibri" w:cs="Calibri"/>
          </w:rPr>
          <w:t>Key informant interviews</w:t>
        </w:r>
        <w:r w:rsidR="00CB0C9E">
          <w:rPr>
            <w:webHidden/>
          </w:rPr>
          <w:tab/>
        </w:r>
        <w:r w:rsidR="00CB0C9E">
          <w:rPr>
            <w:webHidden/>
          </w:rPr>
          <w:fldChar w:fldCharType="begin"/>
        </w:r>
        <w:r w:rsidR="00CB0C9E">
          <w:rPr>
            <w:webHidden/>
          </w:rPr>
          <w:instrText xml:space="preserve"> PAGEREF _Toc142383150 \h </w:instrText>
        </w:r>
        <w:r w:rsidR="00CB0C9E">
          <w:rPr>
            <w:webHidden/>
          </w:rPr>
        </w:r>
        <w:r w:rsidR="00CB0C9E">
          <w:rPr>
            <w:webHidden/>
          </w:rPr>
          <w:fldChar w:fldCharType="separate"/>
        </w:r>
        <w:r w:rsidR="00084C33">
          <w:rPr>
            <w:webHidden/>
          </w:rPr>
          <w:t>64</w:t>
        </w:r>
        <w:r w:rsidR="00CB0C9E">
          <w:rPr>
            <w:webHidden/>
          </w:rPr>
          <w:fldChar w:fldCharType="end"/>
        </w:r>
      </w:hyperlink>
    </w:p>
    <w:p w14:paraId="3C3564C9" w14:textId="3271C123" w:rsidR="00CB0C9E" w:rsidRDefault="007B247E">
      <w:pPr>
        <w:pStyle w:val="TOC3"/>
        <w:rPr>
          <w:rFonts w:asciiTheme="minorHAnsi" w:eastAsiaTheme="minorEastAsia" w:hAnsiTheme="minorHAnsi" w:cstheme="minorBidi"/>
          <w:kern w:val="2"/>
          <w:lang w:eastAsia="ja-JP"/>
          <w14:ligatures w14:val="standardContextual"/>
        </w:rPr>
      </w:pPr>
      <w:hyperlink w:anchor="_Toc142383151" w:history="1">
        <w:r w:rsidR="00CB0C9E" w:rsidRPr="009E17C6">
          <w:rPr>
            <w:rStyle w:val="Hyperlink"/>
            <w:rFonts w:eastAsia="Calibri" w:cs="Calibri"/>
          </w:rPr>
          <w:t>Site visits</w:t>
        </w:r>
        <w:r w:rsidR="00CB0C9E">
          <w:rPr>
            <w:webHidden/>
          </w:rPr>
          <w:tab/>
        </w:r>
        <w:r w:rsidR="00CB0C9E">
          <w:rPr>
            <w:webHidden/>
          </w:rPr>
          <w:fldChar w:fldCharType="begin"/>
        </w:r>
        <w:r w:rsidR="00CB0C9E">
          <w:rPr>
            <w:webHidden/>
          </w:rPr>
          <w:instrText xml:space="preserve"> PAGEREF _Toc142383151 \h </w:instrText>
        </w:r>
        <w:r w:rsidR="00CB0C9E">
          <w:rPr>
            <w:webHidden/>
          </w:rPr>
        </w:r>
        <w:r w:rsidR="00CB0C9E">
          <w:rPr>
            <w:webHidden/>
          </w:rPr>
          <w:fldChar w:fldCharType="separate"/>
        </w:r>
        <w:r w:rsidR="00084C33">
          <w:rPr>
            <w:webHidden/>
          </w:rPr>
          <w:t>65</w:t>
        </w:r>
        <w:r w:rsidR="00CB0C9E">
          <w:rPr>
            <w:webHidden/>
          </w:rPr>
          <w:fldChar w:fldCharType="end"/>
        </w:r>
      </w:hyperlink>
    </w:p>
    <w:p w14:paraId="67684E81" w14:textId="1B81C938"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52" w:history="1">
        <w:r w:rsidR="00CB0C9E" w:rsidRPr="009E17C6">
          <w:rPr>
            <w:rStyle w:val="Hyperlink"/>
          </w:rPr>
          <w:t xml:space="preserve">Global and Regional Grants </w:t>
        </w:r>
        <w:r w:rsidR="001549E6">
          <w:rPr>
            <w:rStyle w:val="Hyperlink"/>
          </w:rPr>
          <w:t>a</w:t>
        </w:r>
        <w:r w:rsidR="00CB0C9E" w:rsidRPr="009E17C6">
          <w:rPr>
            <w:rStyle w:val="Hyperlink"/>
          </w:rPr>
          <w:t>nalysis</w:t>
        </w:r>
        <w:r w:rsidR="00CB0C9E">
          <w:rPr>
            <w:webHidden/>
          </w:rPr>
          <w:tab/>
        </w:r>
        <w:r w:rsidR="00CB0C9E">
          <w:rPr>
            <w:webHidden/>
          </w:rPr>
          <w:fldChar w:fldCharType="begin"/>
        </w:r>
        <w:r w:rsidR="00CB0C9E">
          <w:rPr>
            <w:webHidden/>
          </w:rPr>
          <w:instrText xml:space="preserve"> PAGEREF _Toc142383152 \h </w:instrText>
        </w:r>
        <w:r w:rsidR="00CB0C9E">
          <w:rPr>
            <w:webHidden/>
          </w:rPr>
        </w:r>
        <w:r w:rsidR="00CB0C9E">
          <w:rPr>
            <w:webHidden/>
          </w:rPr>
          <w:fldChar w:fldCharType="separate"/>
        </w:r>
        <w:r w:rsidR="00084C33">
          <w:rPr>
            <w:webHidden/>
          </w:rPr>
          <w:t>66</w:t>
        </w:r>
        <w:r w:rsidR="00CB0C9E">
          <w:rPr>
            <w:webHidden/>
          </w:rPr>
          <w:fldChar w:fldCharType="end"/>
        </w:r>
      </w:hyperlink>
    </w:p>
    <w:p w14:paraId="2798A2C0" w14:textId="47C5D55D" w:rsidR="00CB0C9E" w:rsidRDefault="007B247E">
      <w:pPr>
        <w:pStyle w:val="TOC3"/>
        <w:rPr>
          <w:rFonts w:asciiTheme="minorHAnsi" w:eastAsiaTheme="minorEastAsia" w:hAnsiTheme="minorHAnsi" w:cstheme="minorBidi"/>
          <w:kern w:val="2"/>
          <w:lang w:eastAsia="ja-JP"/>
          <w14:ligatures w14:val="standardContextual"/>
        </w:rPr>
      </w:pPr>
      <w:hyperlink w:anchor="_Toc142383153" w:history="1">
        <w:r w:rsidR="00CB0C9E" w:rsidRPr="009E17C6">
          <w:rPr>
            <w:rStyle w:val="Hyperlink"/>
          </w:rPr>
          <w:t>Global and Regional Grants Document review</w:t>
        </w:r>
        <w:r w:rsidR="00CB0C9E">
          <w:rPr>
            <w:webHidden/>
          </w:rPr>
          <w:tab/>
        </w:r>
        <w:r w:rsidR="00CB0C9E">
          <w:rPr>
            <w:webHidden/>
          </w:rPr>
          <w:fldChar w:fldCharType="begin"/>
        </w:r>
        <w:r w:rsidR="00CB0C9E">
          <w:rPr>
            <w:webHidden/>
          </w:rPr>
          <w:instrText xml:space="preserve"> PAGEREF _Toc142383153 \h </w:instrText>
        </w:r>
        <w:r w:rsidR="00CB0C9E">
          <w:rPr>
            <w:webHidden/>
          </w:rPr>
        </w:r>
        <w:r w:rsidR="00CB0C9E">
          <w:rPr>
            <w:webHidden/>
          </w:rPr>
          <w:fldChar w:fldCharType="separate"/>
        </w:r>
        <w:r w:rsidR="00084C33">
          <w:rPr>
            <w:webHidden/>
          </w:rPr>
          <w:t>66</w:t>
        </w:r>
        <w:r w:rsidR="00CB0C9E">
          <w:rPr>
            <w:webHidden/>
          </w:rPr>
          <w:fldChar w:fldCharType="end"/>
        </w:r>
      </w:hyperlink>
    </w:p>
    <w:p w14:paraId="25A86B34" w14:textId="1E8D565E" w:rsidR="00CB0C9E" w:rsidRDefault="007B247E">
      <w:pPr>
        <w:pStyle w:val="TOC3"/>
        <w:rPr>
          <w:rFonts w:asciiTheme="minorHAnsi" w:eastAsiaTheme="minorEastAsia" w:hAnsiTheme="minorHAnsi" w:cstheme="minorBidi"/>
          <w:kern w:val="2"/>
          <w:lang w:eastAsia="ja-JP"/>
          <w14:ligatures w14:val="standardContextual"/>
        </w:rPr>
      </w:pPr>
      <w:hyperlink w:anchor="_Toc142383154" w:history="1">
        <w:r w:rsidR="00CB0C9E" w:rsidRPr="009E17C6">
          <w:rPr>
            <w:rStyle w:val="Hyperlink"/>
            <w:rFonts w:eastAsia="Calibri" w:cs="Calibri"/>
          </w:rPr>
          <w:t>Global, Regional and Direct Grants KIIs</w:t>
        </w:r>
        <w:r w:rsidR="00CB0C9E">
          <w:rPr>
            <w:webHidden/>
          </w:rPr>
          <w:tab/>
        </w:r>
        <w:r w:rsidR="00CB0C9E">
          <w:rPr>
            <w:webHidden/>
          </w:rPr>
          <w:fldChar w:fldCharType="begin"/>
        </w:r>
        <w:r w:rsidR="00CB0C9E">
          <w:rPr>
            <w:webHidden/>
          </w:rPr>
          <w:instrText xml:space="preserve"> PAGEREF _Toc142383154 \h </w:instrText>
        </w:r>
        <w:r w:rsidR="00CB0C9E">
          <w:rPr>
            <w:webHidden/>
          </w:rPr>
        </w:r>
        <w:r w:rsidR="00CB0C9E">
          <w:rPr>
            <w:webHidden/>
          </w:rPr>
          <w:fldChar w:fldCharType="separate"/>
        </w:r>
        <w:r w:rsidR="00084C33">
          <w:rPr>
            <w:webHidden/>
          </w:rPr>
          <w:t>67</w:t>
        </w:r>
        <w:r w:rsidR="00CB0C9E">
          <w:rPr>
            <w:webHidden/>
          </w:rPr>
          <w:fldChar w:fldCharType="end"/>
        </w:r>
      </w:hyperlink>
    </w:p>
    <w:p w14:paraId="4925805C" w14:textId="4C20DD02"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55" w:history="1">
        <w:r w:rsidR="00CB0C9E" w:rsidRPr="009E17C6">
          <w:rPr>
            <w:rStyle w:val="Hyperlink"/>
          </w:rPr>
          <w:t>Ensuring quality in the evaluation</w:t>
        </w:r>
        <w:r w:rsidR="00CB0C9E">
          <w:rPr>
            <w:webHidden/>
          </w:rPr>
          <w:tab/>
        </w:r>
        <w:r w:rsidR="00CB0C9E">
          <w:rPr>
            <w:webHidden/>
          </w:rPr>
          <w:fldChar w:fldCharType="begin"/>
        </w:r>
        <w:r w:rsidR="00CB0C9E">
          <w:rPr>
            <w:webHidden/>
          </w:rPr>
          <w:instrText xml:space="preserve"> PAGEREF _Toc142383155 \h </w:instrText>
        </w:r>
        <w:r w:rsidR="00CB0C9E">
          <w:rPr>
            <w:webHidden/>
          </w:rPr>
        </w:r>
        <w:r w:rsidR="00CB0C9E">
          <w:rPr>
            <w:webHidden/>
          </w:rPr>
          <w:fldChar w:fldCharType="separate"/>
        </w:r>
        <w:r w:rsidR="00084C33">
          <w:rPr>
            <w:webHidden/>
          </w:rPr>
          <w:t>67</w:t>
        </w:r>
        <w:r w:rsidR="00CB0C9E">
          <w:rPr>
            <w:webHidden/>
          </w:rPr>
          <w:fldChar w:fldCharType="end"/>
        </w:r>
      </w:hyperlink>
    </w:p>
    <w:p w14:paraId="3EBA146D" w14:textId="49504272" w:rsidR="00CB0C9E" w:rsidRDefault="007B247E" w:rsidP="00084C33">
      <w:pPr>
        <w:pStyle w:val="TOC1"/>
        <w:rPr>
          <w:rFonts w:asciiTheme="minorHAnsi" w:hAnsiTheme="minorHAnsi" w:cstheme="minorBidi"/>
          <w:color w:val="auto"/>
          <w:kern w:val="2"/>
          <w:lang w:eastAsia="ja-JP"/>
          <w14:ligatures w14:val="standardContextual"/>
        </w:rPr>
      </w:pPr>
      <w:hyperlink w:anchor="_Toc142383156" w:history="1">
        <w:r w:rsidR="00CB0C9E" w:rsidRPr="009E17C6">
          <w:rPr>
            <w:rStyle w:val="Hyperlink"/>
          </w:rPr>
          <w:t xml:space="preserve">Annex 5: Mapping of </w:t>
        </w:r>
        <w:r w:rsidR="001549E6" w:rsidRPr="009E17C6">
          <w:rPr>
            <w:rStyle w:val="Hyperlink"/>
          </w:rPr>
          <w:t>evaluation questions to report sections</w:t>
        </w:r>
        <w:r w:rsidR="00CB0C9E">
          <w:rPr>
            <w:webHidden/>
          </w:rPr>
          <w:tab/>
        </w:r>
        <w:r w:rsidR="00CB0C9E">
          <w:rPr>
            <w:webHidden/>
          </w:rPr>
          <w:fldChar w:fldCharType="begin"/>
        </w:r>
        <w:r w:rsidR="00CB0C9E">
          <w:rPr>
            <w:webHidden/>
          </w:rPr>
          <w:instrText xml:space="preserve"> PAGEREF _Toc142383156 \h </w:instrText>
        </w:r>
        <w:r w:rsidR="00CB0C9E">
          <w:rPr>
            <w:webHidden/>
          </w:rPr>
        </w:r>
        <w:r w:rsidR="00CB0C9E">
          <w:rPr>
            <w:webHidden/>
          </w:rPr>
          <w:fldChar w:fldCharType="separate"/>
        </w:r>
        <w:r w:rsidR="00084C33">
          <w:rPr>
            <w:webHidden/>
          </w:rPr>
          <w:t>70</w:t>
        </w:r>
        <w:r w:rsidR="00CB0C9E">
          <w:rPr>
            <w:webHidden/>
          </w:rPr>
          <w:fldChar w:fldCharType="end"/>
        </w:r>
      </w:hyperlink>
    </w:p>
    <w:p w14:paraId="03AE6C9F" w14:textId="09DC7412" w:rsidR="00CB0C9E" w:rsidRDefault="007B247E" w:rsidP="00084C33">
      <w:pPr>
        <w:pStyle w:val="TOC1"/>
        <w:rPr>
          <w:rFonts w:asciiTheme="minorHAnsi" w:hAnsiTheme="minorHAnsi" w:cstheme="minorBidi"/>
          <w:color w:val="auto"/>
          <w:kern w:val="2"/>
          <w:lang w:eastAsia="ja-JP"/>
          <w14:ligatures w14:val="standardContextual"/>
        </w:rPr>
      </w:pPr>
      <w:hyperlink w:anchor="_Toc142383157" w:history="1">
        <w:r w:rsidR="00CB0C9E" w:rsidRPr="009E17C6">
          <w:rPr>
            <w:rStyle w:val="Hyperlink"/>
          </w:rPr>
          <w:t xml:space="preserve">Annex 6: Value for </w:t>
        </w:r>
        <w:r w:rsidR="001549E6">
          <w:rPr>
            <w:rStyle w:val="Hyperlink"/>
          </w:rPr>
          <w:t>m</w:t>
        </w:r>
        <w:r w:rsidR="00CB0C9E" w:rsidRPr="009E17C6">
          <w:rPr>
            <w:rStyle w:val="Hyperlink"/>
          </w:rPr>
          <w:t>oney</w:t>
        </w:r>
        <w:r w:rsidR="00CB0C9E">
          <w:rPr>
            <w:webHidden/>
          </w:rPr>
          <w:tab/>
        </w:r>
        <w:r w:rsidR="00CB0C9E">
          <w:rPr>
            <w:webHidden/>
          </w:rPr>
          <w:fldChar w:fldCharType="begin"/>
        </w:r>
        <w:r w:rsidR="00CB0C9E">
          <w:rPr>
            <w:webHidden/>
          </w:rPr>
          <w:instrText xml:space="preserve"> PAGEREF _Toc142383157 \h </w:instrText>
        </w:r>
        <w:r w:rsidR="00CB0C9E">
          <w:rPr>
            <w:webHidden/>
          </w:rPr>
        </w:r>
        <w:r w:rsidR="00CB0C9E">
          <w:rPr>
            <w:webHidden/>
          </w:rPr>
          <w:fldChar w:fldCharType="separate"/>
        </w:r>
        <w:r w:rsidR="00084C33">
          <w:rPr>
            <w:webHidden/>
          </w:rPr>
          <w:t>71</w:t>
        </w:r>
        <w:r w:rsidR="00CB0C9E">
          <w:rPr>
            <w:webHidden/>
          </w:rPr>
          <w:fldChar w:fldCharType="end"/>
        </w:r>
      </w:hyperlink>
    </w:p>
    <w:p w14:paraId="5589CD21" w14:textId="44982BA2"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58" w:history="1">
        <w:r w:rsidR="00CB0C9E" w:rsidRPr="009E17C6">
          <w:rPr>
            <w:rStyle w:val="Hyperlink"/>
          </w:rPr>
          <w:t>Background</w:t>
        </w:r>
        <w:r w:rsidR="00CB0C9E">
          <w:rPr>
            <w:webHidden/>
          </w:rPr>
          <w:tab/>
        </w:r>
        <w:r w:rsidR="00CB0C9E">
          <w:rPr>
            <w:webHidden/>
          </w:rPr>
          <w:fldChar w:fldCharType="begin"/>
        </w:r>
        <w:r w:rsidR="00CB0C9E">
          <w:rPr>
            <w:webHidden/>
          </w:rPr>
          <w:instrText xml:space="preserve"> PAGEREF _Toc142383158 \h </w:instrText>
        </w:r>
        <w:r w:rsidR="00CB0C9E">
          <w:rPr>
            <w:webHidden/>
          </w:rPr>
        </w:r>
        <w:r w:rsidR="00CB0C9E">
          <w:rPr>
            <w:webHidden/>
          </w:rPr>
          <w:fldChar w:fldCharType="separate"/>
        </w:r>
        <w:r w:rsidR="00084C33">
          <w:rPr>
            <w:webHidden/>
          </w:rPr>
          <w:t>71</w:t>
        </w:r>
        <w:r w:rsidR="00CB0C9E">
          <w:rPr>
            <w:webHidden/>
          </w:rPr>
          <w:fldChar w:fldCharType="end"/>
        </w:r>
      </w:hyperlink>
    </w:p>
    <w:p w14:paraId="228F3BC3" w14:textId="69C09D93"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59" w:history="1">
        <w:r w:rsidR="00CB0C9E" w:rsidRPr="009E17C6">
          <w:rPr>
            <w:rStyle w:val="Hyperlink"/>
          </w:rPr>
          <w:t>Findings</w:t>
        </w:r>
        <w:r w:rsidR="00CB0C9E">
          <w:rPr>
            <w:webHidden/>
          </w:rPr>
          <w:tab/>
        </w:r>
        <w:r w:rsidR="00CB0C9E">
          <w:rPr>
            <w:webHidden/>
          </w:rPr>
          <w:fldChar w:fldCharType="begin"/>
        </w:r>
        <w:r w:rsidR="00CB0C9E">
          <w:rPr>
            <w:webHidden/>
          </w:rPr>
          <w:instrText xml:space="preserve"> PAGEREF _Toc142383159 \h </w:instrText>
        </w:r>
        <w:r w:rsidR="00CB0C9E">
          <w:rPr>
            <w:webHidden/>
          </w:rPr>
        </w:r>
        <w:r w:rsidR="00CB0C9E">
          <w:rPr>
            <w:webHidden/>
          </w:rPr>
          <w:fldChar w:fldCharType="separate"/>
        </w:r>
        <w:r w:rsidR="00084C33">
          <w:rPr>
            <w:webHidden/>
          </w:rPr>
          <w:t>71</w:t>
        </w:r>
        <w:r w:rsidR="00CB0C9E">
          <w:rPr>
            <w:webHidden/>
          </w:rPr>
          <w:fldChar w:fldCharType="end"/>
        </w:r>
      </w:hyperlink>
    </w:p>
    <w:p w14:paraId="6BF47A55" w14:textId="185E4CB2" w:rsidR="00CB0C9E" w:rsidRDefault="007B247E">
      <w:pPr>
        <w:pStyle w:val="TOC3"/>
        <w:rPr>
          <w:rFonts w:asciiTheme="minorHAnsi" w:eastAsiaTheme="minorEastAsia" w:hAnsiTheme="minorHAnsi" w:cstheme="minorBidi"/>
          <w:kern w:val="2"/>
          <w:lang w:eastAsia="ja-JP"/>
          <w14:ligatures w14:val="standardContextual"/>
        </w:rPr>
      </w:pPr>
      <w:hyperlink w:anchor="_Toc142383160" w:history="1">
        <w:r w:rsidR="00CB0C9E" w:rsidRPr="009E17C6">
          <w:rPr>
            <w:rStyle w:val="Hyperlink"/>
          </w:rPr>
          <w:t>DHSC and MA’s approach to VfM</w:t>
        </w:r>
        <w:r w:rsidR="00CB0C9E">
          <w:rPr>
            <w:webHidden/>
          </w:rPr>
          <w:tab/>
        </w:r>
        <w:r w:rsidR="00CB0C9E">
          <w:rPr>
            <w:webHidden/>
          </w:rPr>
          <w:fldChar w:fldCharType="begin"/>
        </w:r>
        <w:r w:rsidR="00CB0C9E">
          <w:rPr>
            <w:webHidden/>
          </w:rPr>
          <w:instrText xml:space="preserve"> PAGEREF _Toc142383160 \h </w:instrText>
        </w:r>
        <w:r w:rsidR="00CB0C9E">
          <w:rPr>
            <w:webHidden/>
          </w:rPr>
        </w:r>
        <w:r w:rsidR="00CB0C9E">
          <w:rPr>
            <w:webHidden/>
          </w:rPr>
          <w:fldChar w:fldCharType="separate"/>
        </w:r>
        <w:r w:rsidR="00084C33">
          <w:rPr>
            <w:webHidden/>
          </w:rPr>
          <w:t>71</w:t>
        </w:r>
        <w:r w:rsidR="00CB0C9E">
          <w:rPr>
            <w:webHidden/>
          </w:rPr>
          <w:fldChar w:fldCharType="end"/>
        </w:r>
      </w:hyperlink>
    </w:p>
    <w:p w14:paraId="1D060E8F" w14:textId="414625C2" w:rsidR="00CB0C9E" w:rsidRDefault="007B247E">
      <w:pPr>
        <w:pStyle w:val="TOC3"/>
        <w:rPr>
          <w:rFonts w:asciiTheme="minorHAnsi" w:eastAsiaTheme="minorEastAsia" w:hAnsiTheme="minorHAnsi" w:cstheme="minorBidi"/>
          <w:kern w:val="2"/>
          <w:lang w:eastAsia="ja-JP"/>
          <w14:ligatures w14:val="standardContextual"/>
        </w:rPr>
      </w:pPr>
      <w:hyperlink w:anchor="_Toc142383161" w:history="1">
        <w:r w:rsidR="00CB0C9E" w:rsidRPr="009E17C6">
          <w:rPr>
            <w:rStyle w:val="Hyperlink"/>
          </w:rPr>
          <w:t>Have DHSC and MA managed for VfM at country level?</w:t>
        </w:r>
        <w:r w:rsidR="00CB0C9E">
          <w:rPr>
            <w:webHidden/>
          </w:rPr>
          <w:tab/>
        </w:r>
        <w:r w:rsidR="00CB0C9E">
          <w:rPr>
            <w:webHidden/>
          </w:rPr>
          <w:fldChar w:fldCharType="begin"/>
        </w:r>
        <w:r w:rsidR="00CB0C9E">
          <w:rPr>
            <w:webHidden/>
          </w:rPr>
          <w:instrText xml:space="preserve"> PAGEREF _Toc142383161 \h </w:instrText>
        </w:r>
        <w:r w:rsidR="00CB0C9E">
          <w:rPr>
            <w:webHidden/>
          </w:rPr>
        </w:r>
        <w:r w:rsidR="00CB0C9E">
          <w:rPr>
            <w:webHidden/>
          </w:rPr>
          <w:fldChar w:fldCharType="separate"/>
        </w:r>
        <w:r w:rsidR="00084C33">
          <w:rPr>
            <w:webHidden/>
          </w:rPr>
          <w:t>72</w:t>
        </w:r>
        <w:r w:rsidR="00CB0C9E">
          <w:rPr>
            <w:webHidden/>
          </w:rPr>
          <w:fldChar w:fldCharType="end"/>
        </w:r>
      </w:hyperlink>
    </w:p>
    <w:p w14:paraId="0C694B36" w14:textId="4DC47D1D" w:rsidR="00CB0C9E" w:rsidRDefault="007B247E">
      <w:pPr>
        <w:pStyle w:val="TOC3"/>
        <w:rPr>
          <w:rFonts w:asciiTheme="minorHAnsi" w:eastAsiaTheme="minorEastAsia" w:hAnsiTheme="minorHAnsi" w:cstheme="minorBidi"/>
          <w:kern w:val="2"/>
          <w:lang w:eastAsia="ja-JP"/>
          <w14:ligatures w14:val="standardContextual"/>
        </w:rPr>
      </w:pPr>
      <w:hyperlink w:anchor="_Toc142383162" w:history="1">
        <w:r w:rsidR="00CB0C9E" w:rsidRPr="009E17C6">
          <w:rPr>
            <w:rStyle w:val="Hyperlink"/>
          </w:rPr>
          <w:t>VfM Measures</w:t>
        </w:r>
        <w:r w:rsidR="00CB0C9E">
          <w:rPr>
            <w:webHidden/>
          </w:rPr>
          <w:tab/>
        </w:r>
        <w:r w:rsidR="00CB0C9E">
          <w:rPr>
            <w:webHidden/>
          </w:rPr>
          <w:fldChar w:fldCharType="begin"/>
        </w:r>
        <w:r w:rsidR="00CB0C9E">
          <w:rPr>
            <w:webHidden/>
          </w:rPr>
          <w:instrText xml:space="preserve"> PAGEREF _Toc142383162 \h </w:instrText>
        </w:r>
        <w:r w:rsidR="00CB0C9E">
          <w:rPr>
            <w:webHidden/>
          </w:rPr>
        </w:r>
        <w:r w:rsidR="00CB0C9E">
          <w:rPr>
            <w:webHidden/>
          </w:rPr>
          <w:fldChar w:fldCharType="separate"/>
        </w:r>
        <w:r w:rsidR="00084C33">
          <w:rPr>
            <w:webHidden/>
          </w:rPr>
          <w:t>75</w:t>
        </w:r>
        <w:r w:rsidR="00CB0C9E">
          <w:rPr>
            <w:webHidden/>
          </w:rPr>
          <w:fldChar w:fldCharType="end"/>
        </w:r>
      </w:hyperlink>
    </w:p>
    <w:p w14:paraId="3E770021" w14:textId="0AE4854A" w:rsidR="00CB0C9E" w:rsidRDefault="007B247E" w:rsidP="00084C33">
      <w:pPr>
        <w:pStyle w:val="TOC1"/>
        <w:rPr>
          <w:rFonts w:asciiTheme="minorHAnsi" w:hAnsiTheme="minorHAnsi" w:cstheme="minorBidi"/>
          <w:color w:val="auto"/>
          <w:kern w:val="2"/>
          <w:lang w:eastAsia="ja-JP"/>
          <w14:ligatures w14:val="standardContextual"/>
        </w:rPr>
      </w:pPr>
      <w:hyperlink w:anchor="_Toc142383163" w:history="1">
        <w:r w:rsidR="00CB0C9E" w:rsidRPr="009E17C6">
          <w:rPr>
            <w:rStyle w:val="Hyperlink"/>
          </w:rPr>
          <w:t>Annex 7: One Health</w:t>
        </w:r>
        <w:r w:rsidR="00CB0C9E">
          <w:rPr>
            <w:webHidden/>
          </w:rPr>
          <w:tab/>
        </w:r>
        <w:r w:rsidR="00CB0C9E">
          <w:rPr>
            <w:webHidden/>
          </w:rPr>
          <w:fldChar w:fldCharType="begin"/>
        </w:r>
        <w:r w:rsidR="00CB0C9E">
          <w:rPr>
            <w:webHidden/>
          </w:rPr>
          <w:instrText xml:space="preserve"> PAGEREF _Toc142383163 \h </w:instrText>
        </w:r>
        <w:r w:rsidR="00CB0C9E">
          <w:rPr>
            <w:webHidden/>
          </w:rPr>
        </w:r>
        <w:r w:rsidR="00CB0C9E">
          <w:rPr>
            <w:webHidden/>
          </w:rPr>
          <w:fldChar w:fldCharType="separate"/>
        </w:r>
        <w:r w:rsidR="00084C33">
          <w:rPr>
            <w:webHidden/>
          </w:rPr>
          <w:t>85</w:t>
        </w:r>
        <w:r w:rsidR="00CB0C9E">
          <w:rPr>
            <w:webHidden/>
          </w:rPr>
          <w:fldChar w:fldCharType="end"/>
        </w:r>
      </w:hyperlink>
    </w:p>
    <w:p w14:paraId="764CBD97" w14:textId="4433FFCA"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64" w:history="1">
        <w:r w:rsidR="00CB0C9E" w:rsidRPr="009E17C6">
          <w:rPr>
            <w:rStyle w:val="Hyperlink"/>
          </w:rPr>
          <w:t>Background</w:t>
        </w:r>
        <w:r w:rsidR="00CB0C9E">
          <w:rPr>
            <w:webHidden/>
          </w:rPr>
          <w:tab/>
        </w:r>
        <w:r w:rsidR="00CB0C9E">
          <w:rPr>
            <w:webHidden/>
          </w:rPr>
          <w:fldChar w:fldCharType="begin"/>
        </w:r>
        <w:r w:rsidR="00CB0C9E">
          <w:rPr>
            <w:webHidden/>
          </w:rPr>
          <w:instrText xml:space="preserve"> PAGEREF _Toc142383164 \h </w:instrText>
        </w:r>
        <w:r w:rsidR="00CB0C9E">
          <w:rPr>
            <w:webHidden/>
          </w:rPr>
        </w:r>
        <w:r w:rsidR="00CB0C9E">
          <w:rPr>
            <w:webHidden/>
          </w:rPr>
          <w:fldChar w:fldCharType="separate"/>
        </w:r>
        <w:r w:rsidR="00084C33">
          <w:rPr>
            <w:webHidden/>
          </w:rPr>
          <w:t>85</w:t>
        </w:r>
        <w:r w:rsidR="00CB0C9E">
          <w:rPr>
            <w:webHidden/>
          </w:rPr>
          <w:fldChar w:fldCharType="end"/>
        </w:r>
      </w:hyperlink>
    </w:p>
    <w:p w14:paraId="79122E42" w14:textId="33070AAE"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65" w:history="1">
        <w:r w:rsidR="00CB0C9E" w:rsidRPr="009E17C6">
          <w:rPr>
            <w:rStyle w:val="Hyperlink"/>
          </w:rPr>
          <w:t xml:space="preserve">Evaluation </w:t>
        </w:r>
        <w:r w:rsidR="001549E6">
          <w:rPr>
            <w:rStyle w:val="Hyperlink"/>
          </w:rPr>
          <w:t>q</w:t>
        </w:r>
        <w:r w:rsidR="00CB0C9E" w:rsidRPr="009E17C6">
          <w:rPr>
            <w:rStyle w:val="Hyperlink"/>
          </w:rPr>
          <w:t>uestion</w:t>
        </w:r>
        <w:r w:rsidR="00CB0C9E">
          <w:rPr>
            <w:webHidden/>
          </w:rPr>
          <w:tab/>
        </w:r>
        <w:r w:rsidR="00CB0C9E">
          <w:rPr>
            <w:webHidden/>
          </w:rPr>
          <w:fldChar w:fldCharType="begin"/>
        </w:r>
        <w:r w:rsidR="00CB0C9E">
          <w:rPr>
            <w:webHidden/>
          </w:rPr>
          <w:instrText xml:space="preserve"> PAGEREF _Toc142383165 \h </w:instrText>
        </w:r>
        <w:r w:rsidR="00CB0C9E">
          <w:rPr>
            <w:webHidden/>
          </w:rPr>
        </w:r>
        <w:r w:rsidR="00CB0C9E">
          <w:rPr>
            <w:webHidden/>
          </w:rPr>
          <w:fldChar w:fldCharType="separate"/>
        </w:r>
        <w:r w:rsidR="00084C33">
          <w:rPr>
            <w:webHidden/>
          </w:rPr>
          <w:t>86</w:t>
        </w:r>
        <w:r w:rsidR="00CB0C9E">
          <w:rPr>
            <w:webHidden/>
          </w:rPr>
          <w:fldChar w:fldCharType="end"/>
        </w:r>
      </w:hyperlink>
    </w:p>
    <w:p w14:paraId="4985831A" w14:textId="5B60DDD2" w:rsidR="00CB0C9E" w:rsidRDefault="007B247E">
      <w:pPr>
        <w:pStyle w:val="TOC3"/>
        <w:rPr>
          <w:rFonts w:asciiTheme="minorHAnsi" w:eastAsiaTheme="minorEastAsia" w:hAnsiTheme="minorHAnsi" w:cstheme="minorBidi"/>
          <w:kern w:val="2"/>
          <w:lang w:eastAsia="ja-JP"/>
          <w14:ligatures w14:val="standardContextual"/>
        </w:rPr>
      </w:pPr>
      <w:hyperlink w:anchor="_Toc142383166" w:history="1">
        <w:r w:rsidR="00CB0C9E" w:rsidRPr="009E17C6">
          <w:rPr>
            <w:rStyle w:val="Hyperlink"/>
          </w:rPr>
          <w:t>Starting position: What is One Health</w:t>
        </w:r>
        <w:r w:rsidR="00CB0C9E">
          <w:rPr>
            <w:webHidden/>
          </w:rPr>
          <w:tab/>
        </w:r>
        <w:r w:rsidR="00CB0C9E">
          <w:rPr>
            <w:webHidden/>
          </w:rPr>
          <w:fldChar w:fldCharType="begin"/>
        </w:r>
        <w:r w:rsidR="00CB0C9E">
          <w:rPr>
            <w:webHidden/>
          </w:rPr>
          <w:instrText xml:space="preserve"> PAGEREF _Toc142383166 \h </w:instrText>
        </w:r>
        <w:r w:rsidR="00CB0C9E">
          <w:rPr>
            <w:webHidden/>
          </w:rPr>
        </w:r>
        <w:r w:rsidR="00CB0C9E">
          <w:rPr>
            <w:webHidden/>
          </w:rPr>
          <w:fldChar w:fldCharType="separate"/>
        </w:r>
        <w:r w:rsidR="00084C33">
          <w:rPr>
            <w:webHidden/>
          </w:rPr>
          <w:t>86</w:t>
        </w:r>
        <w:r w:rsidR="00CB0C9E">
          <w:rPr>
            <w:webHidden/>
          </w:rPr>
          <w:fldChar w:fldCharType="end"/>
        </w:r>
      </w:hyperlink>
    </w:p>
    <w:p w14:paraId="2203504B" w14:textId="7614E2CD" w:rsidR="00CB0C9E" w:rsidRDefault="007B247E">
      <w:pPr>
        <w:pStyle w:val="TOC3"/>
        <w:rPr>
          <w:rFonts w:asciiTheme="minorHAnsi" w:eastAsiaTheme="minorEastAsia" w:hAnsiTheme="minorHAnsi" w:cstheme="minorBidi"/>
          <w:kern w:val="2"/>
          <w:lang w:eastAsia="ja-JP"/>
          <w14:ligatures w14:val="standardContextual"/>
        </w:rPr>
      </w:pPr>
      <w:hyperlink w:anchor="_Toc142383167" w:history="1">
        <w:r w:rsidR="00CB0C9E" w:rsidRPr="009E17C6">
          <w:rPr>
            <w:rStyle w:val="Hyperlink"/>
          </w:rPr>
          <w:t>Evolving approach to One Health and its evaluation</w:t>
        </w:r>
        <w:r w:rsidR="00CB0C9E">
          <w:rPr>
            <w:webHidden/>
          </w:rPr>
          <w:tab/>
        </w:r>
        <w:r w:rsidR="00CB0C9E">
          <w:rPr>
            <w:webHidden/>
          </w:rPr>
          <w:fldChar w:fldCharType="begin"/>
        </w:r>
        <w:r w:rsidR="00CB0C9E">
          <w:rPr>
            <w:webHidden/>
          </w:rPr>
          <w:instrText xml:space="preserve"> PAGEREF _Toc142383167 \h </w:instrText>
        </w:r>
        <w:r w:rsidR="00CB0C9E">
          <w:rPr>
            <w:webHidden/>
          </w:rPr>
        </w:r>
        <w:r w:rsidR="00CB0C9E">
          <w:rPr>
            <w:webHidden/>
          </w:rPr>
          <w:fldChar w:fldCharType="separate"/>
        </w:r>
        <w:r w:rsidR="00084C33">
          <w:rPr>
            <w:webHidden/>
          </w:rPr>
          <w:t>87</w:t>
        </w:r>
        <w:r w:rsidR="00CB0C9E">
          <w:rPr>
            <w:webHidden/>
          </w:rPr>
          <w:fldChar w:fldCharType="end"/>
        </w:r>
      </w:hyperlink>
    </w:p>
    <w:p w14:paraId="742C0A89" w14:textId="6E743556" w:rsidR="00CB0C9E" w:rsidRDefault="007B247E">
      <w:pPr>
        <w:pStyle w:val="TOC3"/>
        <w:rPr>
          <w:rFonts w:asciiTheme="minorHAnsi" w:eastAsiaTheme="minorEastAsia" w:hAnsiTheme="minorHAnsi" w:cstheme="minorBidi"/>
          <w:kern w:val="2"/>
          <w:lang w:eastAsia="ja-JP"/>
          <w14:ligatures w14:val="standardContextual"/>
        </w:rPr>
      </w:pPr>
      <w:hyperlink w:anchor="_Toc142383168" w:history="1">
        <w:r w:rsidR="00CB0C9E" w:rsidRPr="009E17C6">
          <w:rPr>
            <w:rStyle w:val="Hyperlink"/>
          </w:rPr>
          <w:t xml:space="preserve">Evaluation </w:t>
        </w:r>
        <w:r w:rsidR="00B66AA7">
          <w:rPr>
            <w:rStyle w:val="Hyperlink"/>
          </w:rPr>
          <w:t>q</w:t>
        </w:r>
        <w:r w:rsidR="00CB0C9E" w:rsidRPr="009E17C6">
          <w:rPr>
            <w:rStyle w:val="Hyperlink"/>
          </w:rPr>
          <w:t>uestions and approach</w:t>
        </w:r>
        <w:r w:rsidR="00CB0C9E">
          <w:rPr>
            <w:webHidden/>
          </w:rPr>
          <w:tab/>
        </w:r>
        <w:r w:rsidR="00CB0C9E">
          <w:rPr>
            <w:webHidden/>
          </w:rPr>
          <w:fldChar w:fldCharType="begin"/>
        </w:r>
        <w:r w:rsidR="00CB0C9E">
          <w:rPr>
            <w:webHidden/>
          </w:rPr>
          <w:instrText xml:space="preserve"> PAGEREF _Toc142383168 \h </w:instrText>
        </w:r>
        <w:r w:rsidR="00CB0C9E">
          <w:rPr>
            <w:webHidden/>
          </w:rPr>
        </w:r>
        <w:r w:rsidR="00CB0C9E">
          <w:rPr>
            <w:webHidden/>
          </w:rPr>
          <w:fldChar w:fldCharType="separate"/>
        </w:r>
        <w:r w:rsidR="00084C33">
          <w:rPr>
            <w:webHidden/>
          </w:rPr>
          <w:t>88</w:t>
        </w:r>
        <w:r w:rsidR="00CB0C9E">
          <w:rPr>
            <w:webHidden/>
          </w:rPr>
          <w:fldChar w:fldCharType="end"/>
        </w:r>
      </w:hyperlink>
    </w:p>
    <w:p w14:paraId="589D19F0" w14:textId="24C324ED"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69" w:history="1">
        <w:r w:rsidR="00CB0C9E" w:rsidRPr="009E17C6">
          <w:rPr>
            <w:rStyle w:val="Hyperlink"/>
          </w:rPr>
          <w:t>Key findings</w:t>
        </w:r>
        <w:r w:rsidR="00CB0C9E">
          <w:rPr>
            <w:webHidden/>
          </w:rPr>
          <w:tab/>
        </w:r>
        <w:r w:rsidR="00CB0C9E">
          <w:rPr>
            <w:webHidden/>
          </w:rPr>
          <w:fldChar w:fldCharType="begin"/>
        </w:r>
        <w:r w:rsidR="00CB0C9E">
          <w:rPr>
            <w:webHidden/>
          </w:rPr>
          <w:instrText xml:space="preserve"> PAGEREF _Toc142383169 \h </w:instrText>
        </w:r>
        <w:r w:rsidR="00CB0C9E">
          <w:rPr>
            <w:webHidden/>
          </w:rPr>
        </w:r>
        <w:r w:rsidR="00CB0C9E">
          <w:rPr>
            <w:webHidden/>
          </w:rPr>
          <w:fldChar w:fldCharType="separate"/>
        </w:r>
        <w:r w:rsidR="00084C33">
          <w:rPr>
            <w:webHidden/>
          </w:rPr>
          <w:t>89</w:t>
        </w:r>
        <w:r w:rsidR="00CB0C9E">
          <w:rPr>
            <w:webHidden/>
          </w:rPr>
          <w:fldChar w:fldCharType="end"/>
        </w:r>
      </w:hyperlink>
    </w:p>
    <w:p w14:paraId="1DF8E2E2" w14:textId="4B980D95" w:rsidR="00CB0C9E" w:rsidRDefault="007B247E">
      <w:pPr>
        <w:pStyle w:val="TOC3"/>
        <w:rPr>
          <w:rFonts w:asciiTheme="minorHAnsi" w:eastAsiaTheme="minorEastAsia" w:hAnsiTheme="minorHAnsi" w:cstheme="minorBidi"/>
          <w:kern w:val="2"/>
          <w:lang w:eastAsia="ja-JP"/>
          <w14:ligatures w14:val="standardContextual"/>
        </w:rPr>
      </w:pPr>
      <w:hyperlink w:anchor="_Toc142383170" w:history="1">
        <w:r w:rsidR="00CB0C9E" w:rsidRPr="009E17C6">
          <w:rPr>
            <w:rStyle w:val="Hyperlink"/>
          </w:rPr>
          <w:t>Situation in 2018</w:t>
        </w:r>
        <w:r w:rsidR="00CB0C9E">
          <w:rPr>
            <w:webHidden/>
          </w:rPr>
          <w:tab/>
        </w:r>
        <w:r w:rsidR="00CB0C9E">
          <w:rPr>
            <w:webHidden/>
          </w:rPr>
          <w:fldChar w:fldCharType="begin"/>
        </w:r>
        <w:r w:rsidR="00CB0C9E">
          <w:rPr>
            <w:webHidden/>
          </w:rPr>
          <w:instrText xml:space="preserve"> PAGEREF _Toc142383170 \h </w:instrText>
        </w:r>
        <w:r w:rsidR="00CB0C9E">
          <w:rPr>
            <w:webHidden/>
          </w:rPr>
        </w:r>
        <w:r w:rsidR="00CB0C9E">
          <w:rPr>
            <w:webHidden/>
          </w:rPr>
          <w:fldChar w:fldCharType="separate"/>
        </w:r>
        <w:r w:rsidR="00084C33">
          <w:rPr>
            <w:webHidden/>
          </w:rPr>
          <w:t>89</w:t>
        </w:r>
        <w:r w:rsidR="00CB0C9E">
          <w:rPr>
            <w:webHidden/>
          </w:rPr>
          <w:fldChar w:fldCharType="end"/>
        </w:r>
      </w:hyperlink>
    </w:p>
    <w:p w14:paraId="7024B1A5" w14:textId="6DF24EAF" w:rsidR="00CB0C9E" w:rsidRDefault="007B247E">
      <w:pPr>
        <w:pStyle w:val="TOC3"/>
        <w:rPr>
          <w:rFonts w:asciiTheme="minorHAnsi" w:eastAsiaTheme="minorEastAsia" w:hAnsiTheme="minorHAnsi" w:cstheme="minorBidi"/>
          <w:kern w:val="2"/>
          <w:lang w:eastAsia="ja-JP"/>
          <w14:ligatures w14:val="standardContextual"/>
        </w:rPr>
      </w:pPr>
      <w:hyperlink w:anchor="_Toc142383171" w:history="1">
        <w:r w:rsidR="00CB0C9E" w:rsidRPr="009E17C6">
          <w:rPr>
            <w:rStyle w:val="Hyperlink"/>
          </w:rPr>
          <w:t>Progress made across 16 countries</w:t>
        </w:r>
        <w:r w:rsidR="00CB0C9E">
          <w:rPr>
            <w:webHidden/>
          </w:rPr>
          <w:tab/>
        </w:r>
        <w:r w:rsidR="00CB0C9E">
          <w:rPr>
            <w:webHidden/>
          </w:rPr>
          <w:fldChar w:fldCharType="begin"/>
        </w:r>
        <w:r w:rsidR="00CB0C9E">
          <w:rPr>
            <w:webHidden/>
          </w:rPr>
          <w:instrText xml:space="preserve"> PAGEREF _Toc142383171 \h </w:instrText>
        </w:r>
        <w:r w:rsidR="00CB0C9E">
          <w:rPr>
            <w:webHidden/>
          </w:rPr>
        </w:r>
        <w:r w:rsidR="00CB0C9E">
          <w:rPr>
            <w:webHidden/>
          </w:rPr>
          <w:fldChar w:fldCharType="separate"/>
        </w:r>
        <w:r w:rsidR="00084C33">
          <w:rPr>
            <w:webHidden/>
          </w:rPr>
          <w:t>89</w:t>
        </w:r>
        <w:r w:rsidR="00CB0C9E">
          <w:rPr>
            <w:webHidden/>
          </w:rPr>
          <w:fldChar w:fldCharType="end"/>
        </w:r>
      </w:hyperlink>
    </w:p>
    <w:p w14:paraId="4ABFF3F6" w14:textId="03396771"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72" w:history="1">
        <w:r w:rsidR="00CB0C9E" w:rsidRPr="009E17C6">
          <w:rPr>
            <w:rStyle w:val="Hyperlink"/>
          </w:rPr>
          <w:t>Variation and possible explanations</w:t>
        </w:r>
        <w:r w:rsidR="00CB0C9E">
          <w:rPr>
            <w:webHidden/>
          </w:rPr>
          <w:tab/>
        </w:r>
        <w:r w:rsidR="00CB0C9E">
          <w:rPr>
            <w:webHidden/>
          </w:rPr>
          <w:fldChar w:fldCharType="begin"/>
        </w:r>
        <w:r w:rsidR="00CB0C9E">
          <w:rPr>
            <w:webHidden/>
          </w:rPr>
          <w:instrText xml:space="preserve"> PAGEREF _Toc142383172 \h </w:instrText>
        </w:r>
        <w:r w:rsidR="00CB0C9E">
          <w:rPr>
            <w:webHidden/>
          </w:rPr>
        </w:r>
        <w:r w:rsidR="00CB0C9E">
          <w:rPr>
            <w:webHidden/>
          </w:rPr>
          <w:fldChar w:fldCharType="separate"/>
        </w:r>
        <w:r w:rsidR="00084C33">
          <w:rPr>
            <w:webHidden/>
          </w:rPr>
          <w:t>92</w:t>
        </w:r>
        <w:r w:rsidR="00CB0C9E">
          <w:rPr>
            <w:webHidden/>
          </w:rPr>
          <w:fldChar w:fldCharType="end"/>
        </w:r>
      </w:hyperlink>
    </w:p>
    <w:p w14:paraId="40FF094C" w14:textId="7464F053"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73" w:history="1">
        <w:r w:rsidR="00CB0C9E" w:rsidRPr="009E17C6">
          <w:rPr>
            <w:rStyle w:val="Hyperlink"/>
          </w:rPr>
          <w:t>Headline messages</w:t>
        </w:r>
        <w:r w:rsidR="00CB0C9E">
          <w:rPr>
            <w:webHidden/>
          </w:rPr>
          <w:tab/>
        </w:r>
        <w:r w:rsidR="00CB0C9E">
          <w:rPr>
            <w:webHidden/>
          </w:rPr>
          <w:fldChar w:fldCharType="begin"/>
        </w:r>
        <w:r w:rsidR="00CB0C9E">
          <w:rPr>
            <w:webHidden/>
          </w:rPr>
          <w:instrText xml:space="preserve"> PAGEREF _Toc142383173 \h </w:instrText>
        </w:r>
        <w:r w:rsidR="00CB0C9E">
          <w:rPr>
            <w:webHidden/>
          </w:rPr>
        </w:r>
        <w:r w:rsidR="00CB0C9E">
          <w:rPr>
            <w:webHidden/>
          </w:rPr>
          <w:fldChar w:fldCharType="separate"/>
        </w:r>
        <w:r w:rsidR="00084C33">
          <w:rPr>
            <w:webHidden/>
          </w:rPr>
          <w:t>94</w:t>
        </w:r>
        <w:r w:rsidR="00CB0C9E">
          <w:rPr>
            <w:webHidden/>
          </w:rPr>
          <w:fldChar w:fldCharType="end"/>
        </w:r>
      </w:hyperlink>
    </w:p>
    <w:p w14:paraId="131475CA" w14:textId="2358EF6B" w:rsidR="00CB0C9E" w:rsidRDefault="007B247E" w:rsidP="00084C33">
      <w:pPr>
        <w:pStyle w:val="TOC1"/>
        <w:rPr>
          <w:rFonts w:asciiTheme="minorHAnsi" w:hAnsiTheme="minorHAnsi" w:cstheme="minorBidi"/>
          <w:color w:val="auto"/>
          <w:kern w:val="2"/>
          <w:lang w:eastAsia="ja-JP"/>
          <w14:ligatures w14:val="standardContextual"/>
        </w:rPr>
      </w:pPr>
      <w:hyperlink w:anchor="_Toc142383174" w:history="1">
        <w:r w:rsidR="00CB0C9E" w:rsidRPr="009E17C6">
          <w:rPr>
            <w:rStyle w:val="Hyperlink"/>
          </w:rPr>
          <w:t xml:space="preserve">Annex 8: Quality and </w:t>
        </w:r>
        <w:r w:rsidR="00B66AA7">
          <w:rPr>
            <w:rStyle w:val="Hyperlink"/>
          </w:rPr>
          <w:t>q</w:t>
        </w:r>
        <w:r w:rsidR="00CB0C9E" w:rsidRPr="009E17C6">
          <w:rPr>
            <w:rStyle w:val="Hyperlink"/>
          </w:rPr>
          <w:t>uantity</w:t>
        </w:r>
        <w:r w:rsidR="00CB0C9E">
          <w:rPr>
            <w:webHidden/>
          </w:rPr>
          <w:tab/>
        </w:r>
        <w:r w:rsidR="00CB0C9E">
          <w:rPr>
            <w:webHidden/>
          </w:rPr>
          <w:fldChar w:fldCharType="begin"/>
        </w:r>
        <w:r w:rsidR="00CB0C9E">
          <w:rPr>
            <w:webHidden/>
          </w:rPr>
          <w:instrText xml:space="preserve"> PAGEREF _Toc142383174 \h </w:instrText>
        </w:r>
        <w:r w:rsidR="00CB0C9E">
          <w:rPr>
            <w:webHidden/>
          </w:rPr>
        </w:r>
        <w:r w:rsidR="00CB0C9E">
          <w:rPr>
            <w:webHidden/>
          </w:rPr>
          <w:fldChar w:fldCharType="separate"/>
        </w:r>
        <w:r w:rsidR="00084C33">
          <w:rPr>
            <w:webHidden/>
          </w:rPr>
          <w:t>96</w:t>
        </w:r>
        <w:r w:rsidR="00CB0C9E">
          <w:rPr>
            <w:webHidden/>
          </w:rPr>
          <w:fldChar w:fldCharType="end"/>
        </w:r>
      </w:hyperlink>
    </w:p>
    <w:p w14:paraId="12F77D4F" w14:textId="43CEC053"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75" w:history="1">
        <w:r w:rsidR="00CB0C9E" w:rsidRPr="009E17C6">
          <w:rPr>
            <w:rStyle w:val="Hyperlink"/>
          </w:rPr>
          <w:t>Changes in quantity of AMR data</w:t>
        </w:r>
        <w:r w:rsidR="00CB0C9E">
          <w:rPr>
            <w:webHidden/>
          </w:rPr>
          <w:tab/>
        </w:r>
        <w:r w:rsidR="00CB0C9E">
          <w:rPr>
            <w:webHidden/>
          </w:rPr>
          <w:fldChar w:fldCharType="begin"/>
        </w:r>
        <w:r w:rsidR="00CB0C9E">
          <w:rPr>
            <w:webHidden/>
          </w:rPr>
          <w:instrText xml:space="preserve"> PAGEREF _Toc142383175 \h </w:instrText>
        </w:r>
        <w:r w:rsidR="00CB0C9E">
          <w:rPr>
            <w:webHidden/>
          </w:rPr>
        </w:r>
        <w:r w:rsidR="00CB0C9E">
          <w:rPr>
            <w:webHidden/>
          </w:rPr>
          <w:fldChar w:fldCharType="separate"/>
        </w:r>
        <w:r w:rsidR="00084C33">
          <w:rPr>
            <w:webHidden/>
          </w:rPr>
          <w:t>96</w:t>
        </w:r>
        <w:r w:rsidR="00CB0C9E">
          <w:rPr>
            <w:webHidden/>
          </w:rPr>
          <w:fldChar w:fldCharType="end"/>
        </w:r>
      </w:hyperlink>
    </w:p>
    <w:p w14:paraId="3B8EF8A5" w14:textId="5063023E" w:rsidR="00CB0C9E" w:rsidRDefault="007B247E">
      <w:pPr>
        <w:pStyle w:val="TOC3"/>
        <w:rPr>
          <w:rFonts w:asciiTheme="minorHAnsi" w:eastAsiaTheme="minorEastAsia" w:hAnsiTheme="minorHAnsi" w:cstheme="minorBidi"/>
          <w:kern w:val="2"/>
          <w:lang w:eastAsia="ja-JP"/>
          <w14:ligatures w14:val="standardContextual"/>
        </w:rPr>
      </w:pPr>
      <w:hyperlink w:anchor="_Toc142383176" w:history="1">
        <w:r w:rsidR="00CB0C9E" w:rsidRPr="009E17C6">
          <w:rPr>
            <w:rStyle w:val="Hyperlink"/>
          </w:rPr>
          <w:t>Situation in 2018</w:t>
        </w:r>
        <w:r w:rsidR="00CB0C9E">
          <w:rPr>
            <w:webHidden/>
          </w:rPr>
          <w:tab/>
        </w:r>
        <w:r w:rsidR="00CB0C9E">
          <w:rPr>
            <w:webHidden/>
          </w:rPr>
          <w:fldChar w:fldCharType="begin"/>
        </w:r>
        <w:r w:rsidR="00CB0C9E">
          <w:rPr>
            <w:webHidden/>
          </w:rPr>
          <w:instrText xml:space="preserve"> PAGEREF _Toc142383176 \h </w:instrText>
        </w:r>
        <w:r w:rsidR="00CB0C9E">
          <w:rPr>
            <w:webHidden/>
          </w:rPr>
        </w:r>
        <w:r w:rsidR="00CB0C9E">
          <w:rPr>
            <w:webHidden/>
          </w:rPr>
          <w:fldChar w:fldCharType="separate"/>
        </w:r>
        <w:r w:rsidR="00084C33">
          <w:rPr>
            <w:webHidden/>
          </w:rPr>
          <w:t>96</w:t>
        </w:r>
        <w:r w:rsidR="00CB0C9E">
          <w:rPr>
            <w:webHidden/>
          </w:rPr>
          <w:fldChar w:fldCharType="end"/>
        </w:r>
      </w:hyperlink>
    </w:p>
    <w:p w14:paraId="76E5AD93" w14:textId="393ACF24" w:rsidR="00CB0C9E" w:rsidRDefault="007B247E">
      <w:pPr>
        <w:pStyle w:val="TOC3"/>
        <w:rPr>
          <w:rFonts w:asciiTheme="minorHAnsi" w:eastAsiaTheme="minorEastAsia" w:hAnsiTheme="minorHAnsi" w:cstheme="minorBidi"/>
          <w:kern w:val="2"/>
          <w:lang w:eastAsia="ja-JP"/>
          <w14:ligatures w14:val="standardContextual"/>
        </w:rPr>
      </w:pPr>
      <w:hyperlink w:anchor="_Toc142383177" w:history="1">
        <w:r w:rsidR="00CB0C9E" w:rsidRPr="009E17C6">
          <w:rPr>
            <w:rStyle w:val="Hyperlink"/>
            <w:rFonts w:cstheme="minorHAnsi"/>
          </w:rPr>
          <w:t>Data on changes in quantity of AMR at national level</w:t>
        </w:r>
        <w:r w:rsidR="00CB0C9E">
          <w:rPr>
            <w:webHidden/>
          </w:rPr>
          <w:tab/>
        </w:r>
        <w:r w:rsidR="00CB0C9E">
          <w:rPr>
            <w:webHidden/>
          </w:rPr>
          <w:fldChar w:fldCharType="begin"/>
        </w:r>
        <w:r w:rsidR="00CB0C9E">
          <w:rPr>
            <w:webHidden/>
          </w:rPr>
          <w:instrText xml:space="preserve"> PAGEREF _Toc142383177 \h </w:instrText>
        </w:r>
        <w:r w:rsidR="00CB0C9E">
          <w:rPr>
            <w:webHidden/>
          </w:rPr>
        </w:r>
        <w:r w:rsidR="00CB0C9E">
          <w:rPr>
            <w:webHidden/>
          </w:rPr>
          <w:fldChar w:fldCharType="separate"/>
        </w:r>
        <w:r w:rsidR="00084C33">
          <w:rPr>
            <w:webHidden/>
          </w:rPr>
          <w:t>98</w:t>
        </w:r>
        <w:r w:rsidR="00CB0C9E">
          <w:rPr>
            <w:webHidden/>
          </w:rPr>
          <w:fldChar w:fldCharType="end"/>
        </w:r>
      </w:hyperlink>
    </w:p>
    <w:p w14:paraId="6440E639" w14:textId="03438928" w:rsidR="00CB0C9E" w:rsidRDefault="007B247E">
      <w:pPr>
        <w:pStyle w:val="TOC3"/>
        <w:rPr>
          <w:rFonts w:asciiTheme="minorHAnsi" w:eastAsiaTheme="minorEastAsia" w:hAnsiTheme="minorHAnsi" w:cstheme="minorBidi"/>
          <w:kern w:val="2"/>
          <w:lang w:eastAsia="ja-JP"/>
          <w14:ligatures w14:val="standardContextual"/>
        </w:rPr>
      </w:pPr>
      <w:hyperlink w:anchor="_Toc142383178" w:history="1">
        <w:r w:rsidR="00CB0C9E" w:rsidRPr="009E17C6">
          <w:rPr>
            <w:rStyle w:val="Hyperlink"/>
            <w:rFonts w:cstheme="minorHAnsi"/>
          </w:rPr>
          <w:t>Data on changes in quantity of AMR at international level</w:t>
        </w:r>
        <w:r w:rsidR="00CB0C9E">
          <w:rPr>
            <w:webHidden/>
          </w:rPr>
          <w:tab/>
        </w:r>
        <w:r w:rsidR="00CB0C9E">
          <w:rPr>
            <w:webHidden/>
          </w:rPr>
          <w:fldChar w:fldCharType="begin"/>
        </w:r>
        <w:r w:rsidR="00CB0C9E">
          <w:rPr>
            <w:webHidden/>
          </w:rPr>
          <w:instrText xml:space="preserve"> PAGEREF _Toc142383178 \h </w:instrText>
        </w:r>
        <w:r w:rsidR="00CB0C9E">
          <w:rPr>
            <w:webHidden/>
          </w:rPr>
        </w:r>
        <w:r w:rsidR="00CB0C9E">
          <w:rPr>
            <w:webHidden/>
          </w:rPr>
          <w:fldChar w:fldCharType="separate"/>
        </w:r>
        <w:r w:rsidR="00084C33">
          <w:rPr>
            <w:webHidden/>
          </w:rPr>
          <w:t>102</w:t>
        </w:r>
        <w:r w:rsidR="00CB0C9E">
          <w:rPr>
            <w:webHidden/>
          </w:rPr>
          <w:fldChar w:fldCharType="end"/>
        </w:r>
      </w:hyperlink>
    </w:p>
    <w:p w14:paraId="28CD026F" w14:textId="300D5D72" w:rsidR="00CB0C9E" w:rsidRDefault="007B247E">
      <w:pPr>
        <w:pStyle w:val="TOC3"/>
        <w:rPr>
          <w:rFonts w:asciiTheme="minorHAnsi" w:eastAsiaTheme="minorEastAsia" w:hAnsiTheme="minorHAnsi" w:cstheme="minorBidi"/>
          <w:kern w:val="2"/>
          <w:lang w:eastAsia="ja-JP"/>
          <w14:ligatures w14:val="standardContextual"/>
        </w:rPr>
      </w:pPr>
      <w:hyperlink w:anchor="_Toc142383179" w:history="1">
        <w:r w:rsidR="00CB0C9E" w:rsidRPr="009E17C6">
          <w:rPr>
            <w:rStyle w:val="Hyperlink"/>
            <w:rFonts w:cstheme="minorHAnsi"/>
          </w:rPr>
          <w:t>Performance compared to the MA implementation plan targets</w:t>
        </w:r>
        <w:r w:rsidR="00CB0C9E">
          <w:rPr>
            <w:webHidden/>
          </w:rPr>
          <w:tab/>
        </w:r>
        <w:r w:rsidR="00CB0C9E">
          <w:rPr>
            <w:webHidden/>
          </w:rPr>
          <w:fldChar w:fldCharType="begin"/>
        </w:r>
        <w:r w:rsidR="00CB0C9E">
          <w:rPr>
            <w:webHidden/>
          </w:rPr>
          <w:instrText xml:space="preserve"> PAGEREF _Toc142383179 \h </w:instrText>
        </w:r>
        <w:r w:rsidR="00CB0C9E">
          <w:rPr>
            <w:webHidden/>
          </w:rPr>
        </w:r>
        <w:r w:rsidR="00CB0C9E">
          <w:rPr>
            <w:webHidden/>
          </w:rPr>
          <w:fldChar w:fldCharType="separate"/>
        </w:r>
        <w:r w:rsidR="00084C33">
          <w:rPr>
            <w:webHidden/>
          </w:rPr>
          <w:t>106</w:t>
        </w:r>
        <w:r w:rsidR="00CB0C9E">
          <w:rPr>
            <w:webHidden/>
          </w:rPr>
          <w:fldChar w:fldCharType="end"/>
        </w:r>
      </w:hyperlink>
    </w:p>
    <w:p w14:paraId="5BE31B1D" w14:textId="32E6C550"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80" w:history="1">
        <w:r w:rsidR="00CB0C9E" w:rsidRPr="009E17C6">
          <w:rPr>
            <w:rStyle w:val="Hyperlink"/>
          </w:rPr>
          <w:t>Changes in quality of AMR data</w:t>
        </w:r>
        <w:r w:rsidR="00CB0C9E">
          <w:rPr>
            <w:webHidden/>
          </w:rPr>
          <w:tab/>
        </w:r>
        <w:r w:rsidR="00CB0C9E">
          <w:rPr>
            <w:webHidden/>
          </w:rPr>
          <w:fldChar w:fldCharType="begin"/>
        </w:r>
        <w:r w:rsidR="00CB0C9E">
          <w:rPr>
            <w:webHidden/>
          </w:rPr>
          <w:instrText xml:space="preserve"> PAGEREF _Toc142383180 \h </w:instrText>
        </w:r>
        <w:r w:rsidR="00CB0C9E">
          <w:rPr>
            <w:webHidden/>
          </w:rPr>
        </w:r>
        <w:r w:rsidR="00CB0C9E">
          <w:rPr>
            <w:webHidden/>
          </w:rPr>
          <w:fldChar w:fldCharType="separate"/>
        </w:r>
        <w:r w:rsidR="00084C33">
          <w:rPr>
            <w:webHidden/>
          </w:rPr>
          <w:t>107</w:t>
        </w:r>
        <w:r w:rsidR="00CB0C9E">
          <w:rPr>
            <w:webHidden/>
          </w:rPr>
          <w:fldChar w:fldCharType="end"/>
        </w:r>
      </w:hyperlink>
    </w:p>
    <w:p w14:paraId="3294099E" w14:textId="7609533C" w:rsidR="00CB0C9E" w:rsidRDefault="007B247E" w:rsidP="00084C33">
      <w:pPr>
        <w:pStyle w:val="TOC1"/>
        <w:rPr>
          <w:rFonts w:asciiTheme="minorHAnsi" w:hAnsiTheme="minorHAnsi" w:cstheme="minorBidi"/>
          <w:color w:val="auto"/>
          <w:kern w:val="2"/>
          <w:lang w:eastAsia="ja-JP"/>
          <w14:ligatures w14:val="standardContextual"/>
        </w:rPr>
      </w:pPr>
      <w:hyperlink w:anchor="_Toc142383181" w:history="1">
        <w:r w:rsidR="00CB0C9E" w:rsidRPr="009E17C6">
          <w:rPr>
            <w:rStyle w:val="Hyperlink"/>
          </w:rPr>
          <w:t xml:space="preserve">Annex 9: Data </w:t>
        </w:r>
        <w:r w:rsidR="00B66AA7">
          <w:rPr>
            <w:rStyle w:val="Hyperlink"/>
          </w:rPr>
          <w:t>u</w:t>
        </w:r>
        <w:r w:rsidR="00CB0C9E" w:rsidRPr="009E17C6">
          <w:rPr>
            <w:rStyle w:val="Hyperlink"/>
          </w:rPr>
          <w:t>se</w:t>
        </w:r>
        <w:r w:rsidR="00CB0C9E">
          <w:rPr>
            <w:webHidden/>
          </w:rPr>
          <w:tab/>
        </w:r>
        <w:r w:rsidR="00CB0C9E">
          <w:rPr>
            <w:webHidden/>
          </w:rPr>
          <w:fldChar w:fldCharType="begin"/>
        </w:r>
        <w:r w:rsidR="00CB0C9E">
          <w:rPr>
            <w:webHidden/>
          </w:rPr>
          <w:instrText xml:space="preserve"> PAGEREF _Toc142383181 \h </w:instrText>
        </w:r>
        <w:r w:rsidR="00CB0C9E">
          <w:rPr>
            <w:webHidden/>
          </w:rPr>
        </w:r>
        <w:r w:rsidR="00CB0C9E">
          <w:rPr>
            <w:webHidden/>
          </w:rPr>
          <w:fldChar w:fldCharType="separate"/>
        </w:r>
        <w:r w:rsidR="00084C33">
          <w:rPr>
            <w:webHidden/>
          </w:rPr>
          <w:t>111</w:t>
        </w:r>
        <w:r w:rsidR="00CB0C9E">
          <w:rPr>
            <w:webHidden/>
          </w:rPr>
          <w:fldChar w:fldCharType="end"/>
        </w:r>
      </w:hyperlink>
    </w:p>
    <w:p w14:paraId="7441C351" w14:textId="37F54797"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82" w:history="1">
        <w:r w:rsidR="00CB0C9E" w:rsidRPr="009E17C6">
          <w:rPr>
            <w:rStyle w:val="Hyperlink"/>
          </w:rPr>
          <w:t>Observed data use at the national level</w:t>
        </w:r>
        <w:r w:rsidR="00CB0C9E">
          <w:rPr>
            <w:webHidden/>
          </w:rPr>
          <w:tab/>
        </w:r>
        <w:r w:rsidR="00CB0C9E">
          <w:rPr>
            <w:webHidden/>
          </w:rPr>
          <w:fldChar w:fldCharType="begin"/>
        </w:r>
        <w:r w:rsidR="00CB0C9E">
          <w:rPr>
            <w:webHidden/>
          </w:rPr>
          <w:instrText xml:space="preserve"> PAGEREF _Toc142383182 \h </w:instrText>
        </w:r>
        <w:r w:rsidR="00CB0C9E">
          <w:rPr>
            <w:webHidden/>
          </w:rPr>
        </w:r>
        <w:r w:rsidR="00CB0C9E">
          <w:rPr>
            <w:webHidden/>
          </w:rPr>
          <w:fldChar w:fldCharType="separate"/>
        </w:r>
        <w:r w:rsidR="00084C33">
          <w:rPr>
            <w:webHidden/>
          </w:rPr>
          <w:t>111</w:t>
        </w:r>
        <w:r w:rsidR="00CB0C9E">
          <w:rPr>
            <w:webHidden/>
          </w:rPr>
          <w:fldChar w:fldCharType="end"/>
        </w:r>
      </w:hyperlink>
    </w:p>
    <w:p w14:paraId="19EF0139" w14:textId="44C65FF3"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83" w:history="1">
        <w:r w:rsidR="00CB0C9E" w:rsidRPr="009E17C6">
          <w:rPr>
            <w:rStyle w:val="Hyperlink"/>
          </w:rPr>
          <w:t>National policy agenda analysis (Kingdon Multiple Streams Analysis MSA)</w:t>
        </w:r>
        <w:r w:rsidR="00CB0C9E">
          <w:rPr>
            <w:webHidden/>
          </w:rPr>
          <w:tab/>
        </w:r>
        <w:r w:rsidR="00CB0C9E">
          <w:rPr>
            <w:webHidden/>
          </w:rPr>
          <w:fldChar w:fldCharType="begin"/>
        </w:r>
        <w:r w:rsidR="00CB0C9E">
          <w:rPr>
            <w:webHidden/>
          </w:rPr>
          <w:instrText xml:space="preserve"> PAGEREF _Toc142383183 \h </w:instrText>
        </w:r>
        <w:r w:rsidR="00CB0C9E">
          <w:rPr>
            <w:webHidden/>
          </w:rPr>
        </w:r>
        <w:r w:rsidR="00CB0C9E">
          <w:rPr>
            <w:webHidden/>
          </w:rPr>
          <w:fldChar w:fldCharType="separate"/>
        </w:r>
        <w:r w:rsidR="00084C33">
          <w:rPr>
            <w:webHidden/>
          </w:rPr>
          <w:t>114</w:t>
        </w:r>
        <w:r w:rsidR="00CB0C9E">
          <w:rPr>
            <w:webHidden/>
          </w:rPr>
          <w:fldChar w:fldCharType="end"/>
        </w:r>
      </w:hyperlink>
    </w:p>
    <w:p w14:paraId="010EB8DC" w14:textId="51967128"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184" w:history="1">
        <w:r w:rsidR="00CB0C9E" w:rsidRPr="009E17C6">
          <w:rPr>
            <w:rStyle w:val="Hyperlink"/>
          </w:rPr>
          <w:t xml:space="preserve">Examples of </w:t>
        </w:r>
        <w:r w:rsidR="00B66AA7">
          <w:rPr>
            <w:rStyle w:val="Hyperlink"/>
          </w:rPr>
          <w:t>u</w:t>
        </w:r>
        <w:r w:rsidR="00CB0C9E" w:rsidRPr="009E17C6">
          <w:rPr>
            <w:rStyle w:val="Hyperlink"/>
          </w:rPr>
          <w:t>se at facility level</w:t>
        </w:r>
        <w:r w:rsidR="00CB0C9E">
          <w:rPr>
            <w:webHidden/>
          </w:rPr>
          <w:tab/>
        </w:r>
        <w:r w:rsidR="00CB0C9E">
          <w:rPr>
            <w:webHidden/>
          </w:rPr>
          <w:fldChar w:fldCharType="begin"/>
        </w:r>
        <w:r w:rsidR="00CB0C9E">
          <w:rPr>
            <w:webHidden/>
          </w:rPr>
          <w:instrText xml:space="preserve"> PAGEREF _Toc142383184 \h </w:instrText>
        </w:r>
        <w:r w:rsidR="00CB0C9E">
          <w:rPr>
            <w:webHidden/>
          </w:rPr>
        </w:r>
        <w:r w:rsidR="00CB0C9E">
          <w:rPr>
            <w:webHidden/>
          </w:rPr>
          <w:fldChar w:fldCharType="separate"/>
        </w:r>
        <w:r w:rsidR="00084C33">
          <w:rPr>
            <w:webHidden/>
          </w:rPr>
          <w:t>119</w:t>
        </w:r>
        <w:r w:rsidR="00CB0C9E">
          <w:rPr>
            <w:webHidden/>
          </w:rPr>
          <w:fldChar w:fldCharType="end"/>
        </w:r>
      </w:hyperlink>
    </w:p>
    <w:p w14:paraId="2CD67889" w14:textId="3F036F53" w:rsidR="00CB0C9E" w:rsidRDefault="007B247E" w:rsidP="00084C33">
      <w:pPr>
        <w:pStyle w:val="TOC1"/>
        <w:rPr>
          <w:rFonts w:asciiTheme="minorHAnsi" w:hAnsiTheme="minorHAnsi" w:cstheme="minorBidi"/>
          <w:color w:val="auto"/>
          <w:kern w:val="2"/>
          <w:lang w:eastAsia="ja-JP"/>
          <w14:ligatures w14:val="standardContextual"/>
        </w:rPr>
      </w:pPr>
      <w:hyperlink w:anchor="_Toc142383185" w:history="1">
        <w:r w:rsidR="00CB0C9E" w:rsidRPr="009E17C6">
          <w:rPr>
            <w:rStyle w:val="Hyperlink"/>
          </w:rPr>
          <w:t>Annex 10: Sustainability</w:t>
        </w:r>
        <w:r w:rsidR="00CB0C9E">
          <w:rPr>
            <w:webHidden/>
          </w:rPr>
          <w:tab/>
        </w:r>
        <w:r w:rsidR="00CB0C9E">
          <w:rPr>
            <w:webHidden/>
          </w:rPr>
          <w:fldChar w:fldCharType="begin"/>
        </w:r>
        <w:r w:rsidR="00CB0C9E">
          <w:rPr>
            <w:webHidden/>
          </w:rPr>
          <w:instrText xml:space="preserve"> PAGEREF _Toc142383185 \h </w:instrText>
        </w:r>
        <w:r w:rsidR="00CB0C9E">
          <w:rPr>
            <w:webHidden/>
          </w:rPr>
        </w:r>
        <w:r w:rsidR="00CB0C9E">
          <w:rPr>
            <w:webHidden/>
          </w:rPr>
          <w:fldChar w:fldCharType="separate"/>
        </w:r>
        <w:r w:rsidR="00084C33">
          <w:rPr>
            <w:webHidden/>
          </w:rPr>
          <w:t>122</w:t>
        </w:r>
        <w:r w:rsidR="00CB0C9E">
          <w:rPr>
            <w:webHidden/>
          </w:rPr>
          <w:fldChar w:fldCharType="end"/>
        </w:r>
      </w:hyperlink>
    </w:p>
    <w:p w14:paraId="3ADAE47B" w14:textId="7B7830A8" w:rsidR="00CB0C9E" w:rsidRDefault="007B247E" w:rsidP="00084C33">
      <w:pPr>
        <w:pStyle w:val="TOC1"/>
        <w:rPr>
          <w:rFonts w:asciiTheme="minorHAnsi" w:hAnsiTheme="minorHAnsi" w:cstheme="minorBidi"/>
          <w:color w:val="auto"/>
          <w:kern w:val="2"/>
          <w:lang w:eastAsia="ja-JP"/>
          <w14:ligatures w14:val="standardContextual"/>
        </w:rPr>
      </w:pPr>
      <w:hyperlink w:anchor="_Toc142383186" w:history="1">
        <w:r w:rsidR="00CB0C9E" w:rsidRPr="009E17C6">
          <w:rPr>
            <w:rStyle w:val="Hyperlink"/>
          </w:rPr>
          <w:t>Annex 11: Departures from the ToRs</w:t>
        </w:r>
        <w:r w:rsidR="00CB0C9E">
          <w:rPr>
            <w:webHidden/>
          </w:rPr>
          <w:tab/>
        </w:r>
        <w:r w:rsidR="00CB0C9E">
          <w:rPr>
            <w:webHidden/>
          </w:rPr>
          <w:fldChar w:fldCharType="begin"/>
        </w:r>
        <w:r w:rsidR="00CB0C9E">
          <w:rPr>
            <w:webHidden/>
          </w:rPr>
          <w:instrText xml:space="preserve"> PAGEREF _Toc142383186 \h </w:instrText>
        </w:r>
        <w:r w:rsidR="00CB0C9E">
          <w:rPr>
            <w:webHidden/>
          </w:rPr>
        </w:r>
        <w:r w:rsidR="00CB0C9E">
          <w:rPr>
            <w:webHidden/>
          </w:rPr>
          <w:fldChar w:fldCharType="separate"/>
        </w:r>
        <w:r w:rsidR="00084C33">
          <w:rPr>
            <w:webHidden/>
          </w:rPr>
          <w:t>125</w:t>
        </w:r>
        <w:r w:rsidR="00CB0C9E">
          <w:rPr>
            <w:webHidden/>
          </w:rPr>
          <w:fldChar w:fldCharType="end"/>
        </w:r>
      </w:hyperlink>
    </w:p>
    <w:p w14:paraId="7A7C1750" w14:textId="2262DBB8" w:rsidR="00CB0C9E" w:rsidRDefault="007B247E" w:rsidP="00084C33">
      <w:pPr>
        <w:pStyle w:val="TOC1"/>
        <w:rPr>
          <w:rFonts w:asciiTheme="minorHAnsi" w:hAnsiTheme="minorHAnsi" w:cstheme="minorBidi"/>
          <w:color w:val="auto"/>
          <w:kern w:val="2"/>
          <w:lang w:eastAsia="ja-JP"/>
          <w14:ligatures w14:val="standardContextual"/>
        </w:rPr>
      </w:pPr>
      <w:hyperlink w:anchor="_Toc142383187" w:history="1">
        <w:r w:rsidR="00CB0C9E" w:rsidRPr="009E17C6">
          <w:rPr>
            <w:rStyle w:val="Hyperlink"/>
          </w:rPr>
          <w:t xml:space="preserve">Annex 12: Ethics and </w:t>
        </w:r>
        <w:r w:rsidR="00B66AA7">
          <w:rPr>
            <w:rStyle w:val="Hyperlink"/>
          </w:rPr>
          <w:t>s</w:t>
        </w:r>
        <w:r w:rsidR="00CB0C9E" w:rsidRPr="009E17C6">
          <w:rPr>
            <w:rStyle w:val="Hyperlink"/>
          </w:rPr>
          <w:t>afeguarding</w:t>
        </w:r>
        <w:r w:rsidR="00CB0C9E">
          <w:rPr>
            <w:webHidden/>
          </w:rPr>
          <w:tab/>
        </w:r>
        <w:r w:rsidR="00CB0C9E">
          <w:rPr>
            <w:webHidden/>
          </w:rPr>
          <w:fldChar w:fldCharType="begin"/>
        </w:r>
        <w:r w:rsidR="00CB0C9E">
          <w:rPr>
            <w:webHidden/>
          </w:rPr>
          <w:instrText xml:space="preserve"> PAGEREF _Toc142383187 \h </w:instrText>
        </w:r>
        <w:r w:rsidR="00CB0C9E">
          <w:rPr>
            <w:webHidden/>
          </w:rPr>
        </w:r>
        <w:r w:rsidR="00CB0C9E">
          <w:rPr>
            <w:webHidden/>
          </w:rPr>
          <w:fldChar w:fldCharType="separate"/>
        </w:r>
        <w:r w:rsidR="00084C33">
          <w:rPr>
            <w:webHidden/>
          </w:rPr>
          <w:t>128</w:t>
        </w:r>
        <w:r w:rsidR="00CB0C9E">
          <w:rPr>
            <w:webHidden/>
          </w:rPr>
          <w:fldChar w:fldCharType="end"/>
        </w:r>
      </w:hyperlink>
    </w:p>
    <w:p w14:paraId="411DB5A2" w14:textId="2D6BD9F2" w:rsidR="00CB0C9E" w:rsidRDefault="007B247E" w:rsidP="00084C33">
      <w:pPr>
        <w:pStyle w:val="TOC1"/>
        <w:rPr>
          <w:rFonts w:asciiTheme="minorHAnsi" w:hAnsiTheme="minorHAnsi" w:cstheme="minorBidi"/>
          <w:color w:val="auto"/>
          <w:kern w:val="2"/>
          <w:lang w:eastAsia="ja-JP"/>
          <w14:ligatures w14:val="standardContextual"/>
        </w:rPr>
      </w:pPr>
      <w:hyperlink w:anchor="_Toc142383191" w:history="1">
        <w:r w:rsidR="00CB0C9E" w:rsidRPr="009E17C6">
          <w:rPr>
            <w:rStyle w:val="Hyperlink"/>
          </w:rPr>
          <w:t>Annex 13: Risks, Challenges and Mitigating Strategies</w:t>
        </w:r>
        <w:r w:rsidR="00CB0C9E">
          <w:rPr>
            <w:webHidden/>
          </w:rPr>
          <w:tab/>
        </w:r>
        <w:r w:rsidR="00CB0C9E">
          <w:rPr>
            <w:webHidden/>
          </w:rPr>
          <w:fldChar w:fldCharType="begin"/>
        </w:r>
        <w:r w:rsidR="00CB0C9E">
          <w:rPr>
            <w:webHidden/>
          </w:rPr>
          <w:instrText xml:space="preserve"> PAGEREF _Toc142383191 \h </w:instrText>
        </w:r>
        <w:r w:rsidR="00CB0C9E">
          <w:rPr>
            <w:webHidden/>
          </w:rPr>
        </w:r>
        <w:r w:rsidR="00CB0C9E">
          <w:rPr>
            <w:webHidden/>
          </w:rPr>
          <w:fldChar w:fldCharType="separate"/>
        </w:r>
        <w:r w:rsidR="00084C33">
          <w:rPr>
            <w:webHidden/>
          </w:rPr>
          <w:t>135</w:t>
        </w:r>
        <w:r w:rsidR="00CB0C9E">
          <w:rPr>
            <w:webHidden/>
          </w:rPr>
          <w:fldChar w:fldCharType="end"/>
        </w:r>
      </w:hyperlink>
    </w:p>
    <w:p w14:paraId="2BCDCFC9" w14:textId="112EF487" w:rsidR="00CB0C9E" w:rsidRDefault="007B247E" w:rsidP="00084C33">
      <w:pPr>
        <w:pStyle w:val="TOC1"/>
        <w:rPr>
          <w:rFonts w:asciiTheme="minorHAnsi" w:hAnsiTheme="minorHAnsi" w:cstheme="minorBidi"/>
          <w:color w:val="auto"/>
          <w:kern w:val="2"/>
          <w:lang w:eastAsia="ja-JP"/>
          <w14:ligatures w14:val="standardContextual"/>
        </w:rPr>
      </w:pPr>
      <w:hyperlink w:anchor="_Toc142383192" w:history="1">
        <w:r w:rsidR="00CB0C9E" w:rsidRPr="009E17C6">
          <w:rPr>
            <w:rStyle w:val="Hyperlink"/>
          </w:rPr>
          <w:t>Annex 14: Evaluation Management and Roles and Responsibilities</w:t>
        </w:r>
        <w:r w:rsidR="00CB0C9E">
          <w:rPr>
            <w:webHidden/>
          </w:rPr>
          <w:tab/>
        </w:r>
        <w:r w:rsidR="00CB0C9E">
          <w:rPr>
            <w:webHidden/>
          </w:rPr>
          <w:fldChar w:fldCharType="begin"/>
        </w:r>
        <w:r w:rsidR="00CB0C9E">
          <w:rPr>
            <w:webHidden/>
          </w:rPr>
          <w:instrText xml:space="preserve"> PAGEREF _Toc142383192 \h </w:instrText>
        </w:r>
        <w:r w:rsidR="00CB0C9E">
          <w:rPr>
            <w:webHidden/>
          </w:rPr>
        </w:r>
        <w:r w:rsidR="00CB0C9E">
          <w:rPr>
            <w:webHidden/>
          </w:rPr>
          <w:fldChar w:fldCharType="separate"/>
        </w:r>
        <w:r w:rsidR="00084C33">
          <w:rPr>
            <w:webHidden/>
          </w:rPr>
          <w:t>149</w:t>
        </w:r>
        <w:r w:rsidR="00CB0C9E">
          <w:rPr>
            <w:webHidden/>
          </w:rPr>
          <w:fldChar w:fldCharType="end"/>
        </w:r>
      </w:hyperlink>
    </w:p>
    <w:p w14:paraId="46290B99" w14:textId="2711BCF9" w:rsidR="00CB0C9E" w:rsidRDefault="007B247E" w:rsidP="00084C33">
      <w:pPr>
        <w:pStyle w:val="TOC1"/>
        <w:rPr>
          <w:rFonts w:asciiTheme="minorHAnsi" w:hAnsiTheme="minorHAnsi" w:cstheme="minorBidi"/>
          <w:color w:val="auto"/>
          <w:kern w:val="2"/>
          <w:lang w:eastAsia="ja-JP"/>
          <w14:ligatures w14:val="standardContextual"/>
        </w:rPr>
      </w:pPr>
      <w:hyperlink w:anchor="_Toc142383195" w:history="1">
        <w:r w:rsidR="00CB0C9E" w:rsidRPr="009E17C6">
          <w:rPr>
            <w:rStyle w:val="Hyperlink"/>
          </w:rPr>
          <w:t>Annex 15: Country Categorisation</w:t>
        </w:r>
        <w:r w:rsidR="00CB0C9E">
          <w:rPr>
            <w:webHidden/>
          </w:rPr>
          <w:tab/>
        </w:r>
        <w:r w:rsidR="00CB0C9E">
          <w:rPr>
            <w:webHidden/>
          </w:rPr>
          <w:fldChar w:fldCharType="begin"/>
        </w:r>
        <w:r w:rsidR="00CB0C9E">
          <w:rPr>
            <w:webHidden/>
          </w:rPr>
          <w:instrText xml:space="preserve"> PAGEREF _Toc142383195 \h </w:instrText>
        </w:r>
        <w:r w:rsidR="00CB0C9E">
          <w:rPr>
            <w:webHidden/>
          </w:rPr>
        </w:r>
        <w:r w:rsidR="00CB0C9E">
          <w:rPr>
            <w:webHidden/>
          </w:rPr>
          <w:fldChar w:fldCharType="separate"/>
        </w:r>
        <w:r w:rsidR="00084C33">
          <w:rPr>
            <w:webHidden/>
          </w:rPr>
          <w:t>156</w:t>
        </w:r>
        <w:r w:rsidR="00CB0C9E">
          <w:rPr>
            <w:webHidden/>
          </w:rPr>
          <w:fldChar w:fldCharType="end"/>
        </w:r>
      </w:hyperlink>
    </w:p>
    <w:p w14:paraId="2FAEB603" w14:textId="0604AB6C" w:rsidR="00CB0C9E" w:rsidRDefault="007B247E" w:rsidP="00084C33">
      <w:pPr>
        <w:pStyle w:val="TOC1"/>
        <w:rPr>
          <w:rFonts w:asciiTheme="minorHAnsi" w:hAnsiTheme="minorHAnsi" w:cstheme="minorBidi"/>
          <w:color w:val="auto"/>
          <w:kern w:val="2"/>
          <w:lang w:eastAsia="ja-JP"/>
          <w14:ligatures w14:val="standardContextual"/>
        </w:rPr>
      </w:pPr>
      <w:hyperlink w:anchor="_Toc142383196" w:history="1">
        <w:r w:rsidR="00CB0C9E" w:rsidRPr="009E17C6">
          <w:rPr>
            <w:rStyle w:val="Hyperlink"/>
          </w:rPr>
          <w:t>Annex 16: Participation of Stakeholders</w:t>
        </w:r>
        <w:r w:rsidR="00CB0C9E">
          <w:rPr>
            <w:webHidden/>
          </w:rPr>
          <w:tab/>
        </w:r>
        <w:r w:rsidR="00CB0C9E">
          <w:rPr>
            <w:webHidden/>
          </w:rPr>
          <w:fldChar w:fldCharType="begin"/>
        </w:r>
        <w:r w:rsidR="00CB0C9E">
          <w:rPr>
            <w:webHidden/>
          </w:rPr>
          <w:instrText xml:space="preserve"> PAGEREF _Toc142383196 \h </w:instrText>
        </w:r>
        <w:r w:rsidR="00CB0C9E">
          <w:rPr>
            <w:webHidden/>
          </w:rPr>
        </w:r>
        <w:r w:rsidR="00CB0C9E">
          <w:rPr>
            <w:webHidden/>
          </w:rPr>
          <w:fldChar w:fldCharType="separate"/>
        </w:r>
        <w:r w:rsidR="00084C33">
          <w:rPr>
            <w:webHidden/>
          </w:rPr>
          <w:t>158</w:t>
        </w:r>
        <w:r w:rsidR="00CB0C9E">
          <w:rPr>
            <w:webHidden/>
          </w:rPr>
          <w:fldChar w:fldCharType="end"/>
        </w:r>
      </w:hyperlink>
    </w:p>
    <w:p w14:paraId="5C896B3A" w14:textId="02354CC9" w:rsidR="00CB0C9E" w:rsidRDefault="007B247E" w:rsidP="00084C33">
      <w:pPr>
        <w:pStyle w:val="TOC1"/>
        <w:rPr>
          <w:rFonts w:asciiTheme="minorHAnsi" w:hAnsiTheme="minorHAnsi" w:cstheme="minorBidi"/>
          <w:color w:val="auto"/>
          <w:kern w:val="2"/>
          <w:lang w:eastAsia="ja-JP"/>
          <w14:ligatures w14:val="standardContextual"/>
        </w:rPr>
      </w:pPr>
      <w:hyperlink w:anchor="_Toc142383197" w:history="1">
        <w:r w:rsidR="00CB0C9E" w:rsidRPr="009E17C6">
          <w:rPr>
            <w:rStyle w:val="Hyperlink"/>
          </w:rPr>
          <w:t>Annex 17: Use and Influence Plan</w:t>
        </w:r>
        <w:r w:rsidR="00CB0C9E">
          <w:rPr>
            <w:webHidden/>
          </w:rPr>
          <w:tab/>
        </w:r>
        <w:r w:rsidR="00CB0C9E">
          <w:rPr>
            <w:webHidden/>
          </w:rPr>
          <w:fldChar w:fldCharType="begin"/>
        </w:r>
        <w:r w:rsidR="00CB0C9E">
          <w:rPr>
            <w:webHidden/>
          </w:rPr>
          <w:instrText xml:space="preserve"> PAGEREF _Toc142383197 \h </w:instrText>
        </w:r>
        <w:r w:rsidR="00CB0C9E">
          <w:rPr>
            <w:webHidden/>
          </w:rPr>
        </w:r>
        <w:r w:rsidR="00CB0C9E">
          <w:rPr>
            <w:webHidden/>
          </w:rPr>
          <w:fldChar w:fldCharType="separate"/>
        </w:r>
        <w:r w:rsidR="00084C33">
          <w:rPr>
            <w:webHidden/>
          </w:rPr>
          <w:t>160</w:t>
        </w:r>
        <w:r w:rsidR="00CB0C9E">
          <w:rPr>
            <w:webHidden/>
          </w:rPr>
          <w:fldChar w:fldCharType="end"/>
        </w:r>
      </w:hyperlink>
    </w:p>
    <w:p w14:paraId="1EE37D9E" w14:textId="44EB5FC0" w:rsidR="00CB0C9E" w:rsidRDefault="007B247E">
      <w:pPr>
        <w:pStyle w:val="TOC3"/>
        <w:rPr>
          <w:rFonts w:asciiTheme="minorHAnsi" w:eastAsiaTheme="minorEastAsia" w:hAnsiTheme="minorHAnsi" w:cstheme="minorBidi"/>
          <w:kern w:val="2"/>
          <w:lang w:eastAsia="ja-JP"/>
          <w14:ligatures w14:val="standardContextual"/>
        </w:rPr>
      </w:pPr>
      <w:hyperlink w:anchor="_Toc142383198" w:history="1">
        <w:r w:rsidR="00CB0C9E" w:rsidRPr="009E17C6">
          <w:rPr>
            <w:rStyle w:val="Hyperlink"/>
          </w:rPr>
          <w:t>Purpose of use and influence plan</w:t>
        </w:r>
        <w:r w:rsidR="00CB0C9E">
          <w:rPr>
            <w:webHidden/>
          </w:rPr>
          <w:tab/>
        </w:r>
        <w:r w:rsidR="00CB0C9E">
          <w:rPr>
            <w:webHidden/>
          </w:rPr>
          <w:fldChar w:fldCharType="begin"/>
        </w:r>
        <w:r w:rsidR="00CB0C9E">
          <w:rPr>
            <w:webHidden/>
          </w:rPr>
          <w:instrText xml:space="preserve"> PAGEREF _Toc142383198 \h </w:instrText>
        </w:r>
        <w:r w:rsidR="00CB0C9E">
          <w:rPr>
            <w:webHidden/>
          </w:rPr>
        </w:r>
        <w:r w:rsidR="00CB0C9E">
          <w:rPr>
            <w:webHidden/>
          </w:rPr>
          <w:fldChar w:fldCharType="separate"/>
        </w:r>
        <w:r w:rsidR="00084C33">
          <w:rPr>
            <w:webHidden/>
          </w:rPr>
          <w:t>160</w:t>
        </w:r>
        <w:r w:rsidR="00CB0C9E">
          <w:rPr>
            <w:webHidden/>
          </w:rPr>
          <w:fldChar w:fldCharType="end"/>
        </w:r>
      </w:hyperlink>
    </w:p>
    <w:p w14:paraId="1856DF4E" w14:textId="1173DBCC" w:rsidR="00CB0C9E" w:rsidRDefault="007B247E">
      <w:pPr>
        <w:pStyle w:val="TOC3"/>
        <w:rPr>
          <w:rFonts w:asciiTheme="minorHAnsi" w:eastAsiaTheme="minorEastAsia" w:hAnsiTheme="minorHAnsi" w:cstheme="minorBidi"/>
          <w:kern w:val="2"/>
          <w:lang w:eastAsia="ja-JP"/>
          <w14:ligatures w14:val="standardContextual"/>
        </w:rPr>
      </w:pPr>
      <w:hyperlink w:anchor="_Toc142383199" w:history="1">
        <w:r w:rsidR="00CB0C9E" w:rsidRPr="009E17C6">
          <w:rPr>
            <w:rStyle w:val="Hyperlink"/>
          </w:rPr>
          <w:t>Target audience and key stakeholders</w:t>
        </w:r>
        <w:r w:rsidR="00CB0C9E">
          <w:rPr>
            <w:webHidden/>
          </w:rPr>
          <w:tab/>
        </w:r>
        <w:r w:rsidR="00CB0C9E">
          <w:rPr>
            <w:webHidden/>
          </w:rPr>
          <w:fldChar w:fldCharType="begin"/>
        </w:r>
        <w:r w:rsidR="00CB0C9E">
          <w:rPr>
            <w:webHidden/>
          </w:rPr>
          <w:instrText xml:space="preserve"> PAGEREF _Toc142383199 \h </w:instrText>
        </w:r>
        <w:r w:rsidR="00CB0C9E">
          <w:rPr>
            <w:webHidden/>
          </w:rPr>
        </w:r>
        <w:r w:rsidR="00CB0C9E">
          <w:rPr>
            <w:webHidden/>
          </w:rPr>
          <w:fldChar w:fldCharType="separate"/>
        </w:r>
        <w:r w:rsidR="00084C33">
          <w:rPr>
            <w:webHidden/>
          </w:rPr>
          <w:t>160</w:t>
        </w:r>
        <w:r w:rsidR="00CB0C9E">
          <w:rPr>
            <w:webHidden/>
          </w:rPr>
          <w:fldChar w:fldCharType="end"/>
        </w:r>
      </w:hyperlink>
    </w:p>
    <w:p w14:paraId="57C1830F" w14:textId="2F1DF7DC" w:rsidR="00CB0C9E" w:rsidRDefault="007B247E">
      <w:pPr>
        <w:pStyle w:val="TOC3"/>
        <w:rPr>
          <w:rFonts w:asciiTheme="minorHAnsi" w:eastAsiaTheme="minorEastAsia" w:hAnsiTheme="minorHAnsi" w:cstheme="minorBidi"/>
          <w:kern w:val="2"/>
          <w:lang w:eastAsia="ja-JP"/>
          <w14:ligatures w14:val="standardContextual"/>
        </w:rPr>
      </w:pPr>
      <w:hyperlink w:anchor="_Toc142383200" w:history="1">
        <w:r w:rsidR="00CB0C9E" w:rsidRPr="009E17C6">
          <w:rPr>
            <w:rStyle w:val="Hyperlink"/>
          </w:rPr>
          <w:t>Planned activity</w:t>
        </w:r>
        <w:r w:rsidR="00CB0C9E">
          <w:rPr>
            <w:webHidden/>
          </w:rPr>
          <w:tab/>
        </w:r>
        <w:r w:rsidR="00CB0C9E">
          <w:rPr>
            <w:webHidden/>
          </w:rPr>
          <w:fldChar w:fldCharType="begin"/>
        </w:r>
        <w:r w:rsidR="00CB0C9E">
          <w:rPr>
            <w:webHidden/>
          </w:rPr>
          <w:instrText xml:space="preserve"> PAGEREF _Toc142383200 \h </w:instrText>
        </w:r>
        <w:r w:rsidR="00CB0C9E">
          <w:rPr>
            <w:webHidden/>
          </w:rPr>
        </w:r>
        <w:r w:rsidR="00CB0C9E">
          <w:rPr>
            <w:webHidden/>
          </w:rPr>
          <w:fldChar w:fldCharType="separate"/>
        </w:r>
        <w:r w:rsidR="00084C33">
          <w:rPr>
            <w:webHidden/>
          </w:rPr>
          <w:t>161</w:t>
        </w:r>
        <w:r w:rsidR="00CB0C9E">
          <w:rPr>
            <w:webHidden/>
          </w:rPr>
          <w:fldChar w:fldCharType="end"/>
        </w:r>
      </w:hyperlink>
    </w:p>
    <w:p w14:paraId="35CDBA7B" w14:textId="3AB58E7D" w:rsidR="00CB0C9E" w:rsidRDefault="007B247E">
      <w:pPr>
        <w:pStyle w:val="TOC3"/>
        <w:rPr>
          <w:rFonts w:asciiTheme="minorHAnsi" w:eastAsiaTheme="minorEastAsia" w:hAnsiTheme="minorHAnsi" w:cstheme="minorBidi"/>
          <w:kern w:val="2"/>
          <w:lang w:eastAsia="ja-JP"/>
          <w14:ligatures w14:val="standardContextual"/>
        </w:rPr>
      </w:pPr>
      <w:hyperlink w:anchor="_Toc142383201" w:history="1">
        <w:r w:rsidR="00CB0C9E" w:rsidRPr="009E17C6">
          <w:rPr>
            <w:rStyle w:val="Hyperlink"/>
          </w:rPr>
          <w:t>The Plan</w:t>
        </w:r>
        <w:r w:rsidR="00CB0C9E">
          <w:rPr>
            <w:webHidden/>
          </w:rPr>
          <w:tab/>
        </w:r>
        <w:r w:rsidR="00CB0C9E">
          <w:rPr>
            <w:webHidden/>
          </w:rPr>
          <w:fldChar w:fldCharType="begin"/>
        </w:r>
        <w:r w:rsidR="00CB0C9E">
          <w:rPr>
            <w:webHidden/>
          </w:rPr>
          <w:instrText xml:space="preserve"> PAGEREF _Toc142383201 \h </w:instrText>
        </w:r>
        <w:r w:rsidR="00CB0C9E">
          <w:rPr>
            <w:webHidden/>
          </w:rPr>
        </w:r>
        <w:r w:rsidR="00CB0C9E">
          <w:rPr>
            <w:webHidden/>
          </w:rPr>
          <w:fldChar w:fldCharType="separate"/>
        </w:r>
        <w:r w:rsidR="00084C33">
          <w:rPr>
            <w:webHidden/>
          </w:rPr>
          <w:t>164</w:t>
        </w:r>
        <w:r w:rsidR="00CB0C9E">
          <w:rPr>
            <w:webHidden/>
          </w:rPr>
          <w:fldChar w:fldCharType="end"/>
        </w:r>
      </w:hyperlink>
    </w:p>
    <w:p w14:paraId="3077C6F8" w14:textId="1732997A" w:rsidR="00CB0C9E" w:rsidRDefault="007B247E">
      <w:pPr>
        <w:pStyle w:val="TOC3"/>
        <w:rPr>
          <w:rFonts w:asciiTheme="minorHAnsi" w:eastAsiaTheme="minorEastAsia" w:hAnsiTheme="minorHAnsi" w:cstheme="minorBidi"/>
          <w:kern w:val="2"/>
          <w:lang w:eastAsia="ja-JP"/>
          <w14:ligatures w14:val="standardContextual"/>
        </w:rPr>
      </w:pPr>
      <w:hyperlink w:anchor="_Toc142383202" w:history="1">
        <w:r w:rsidR="00CB0C9E" w:rsidRPr="009E17C6">
          <w:rPr>
            <w:rStyle w:val="Hyperlink"/>
          </w:rPr>
          <w:t>Dependencies:</w:t>
        </w:r>
        <w:r w:rsidR="00CB0C9E">
          <w:rPr>
            <w:webHidden/>
          </w:rPr>
          <w:tab/>
        </w:r>
        <w:r w:rsidR="00CB0C9E">
          <w:rPr>
            <w:webHidden/>
          </w:rPr>
          <w:fldChar w:fldCharType="begin"/>
        </w:r>
        <w:r w:rsidR="00CB0C9E">
          <w:rPr>
            <w:webHidden/>
          </w:rPr>
          <w:instrText xml:space="preserve"> PAGEREF _Toc142383202 \h </w:instrText>
        </w:r>
        <w:r w:rsidR="00CB0C9E">
          <w:rPr>
            <w:webHidden/>
          </w:rPr>
        </w:r>
        <w:r w:rsidR="00CB0C9E">
          <w:rPr>
            <w:webHidden/>
          </w:rPr>
          <w:fldChar w:fldCharType="separate"/>
        </w:r>
        <w:r w:rsidR="00084C33">
          <w:rPr>
            <w:webHidden/>
          </w:rPr>
          <w:t>165</w:t>
        </w:r>
        <w:r w:rsidR="00CB0C9E">
          <w:rPr>
            <w:webHidden/>
          </w:rPr>
          <w:fldChar w:fldCharType="end"/>
        </w:r>
      </w:hyperlink>
    </w:p>
    <w:p w14:paraId="7E18DA1A" w14:textId="64C84CBA" w:rsidR="00CB0C9E" w:rsidRDefault="007B247E">
      <w:pPr>
        <w:pStyle w:val="TOC3"/>
        <w:rPr>
          <w:rFonts w:asciiTheme="minorHAnsi" w:eastAsiaTheme="minorEastAsia" w:hAnsiTheme="minorHAnsi" w:cstheme="minorBidi"/>
          <w:kern w:val="2"/>
          <w:lang w:eastAsia="ja-JP"/>
          <w14:ligatures w14:val="standardContextual"/>
        </w:rPr>
      </w:pPr>
      <w:hyperlink w:anchor="_Toc142383203" w:history="1">
        <w:r w:rsidR="00CB0C9E" w:rsidRPr="009E17C6">
          <w:rPr>
            <w:rStyle w:val="Hyperlink"/>
          </w:rPr>
          <w:t>How we will monitor and report on learning and dissemination:</w:t>
        </w:r>
        <w:r w:rsidR="00CB0C9E">
          <w:rPr>
            <w:webHidden/>
          </w:rPr>
          <w:tab/>
        </w:r>
        <w:r w:rsidR="00CB0C9E">
          <w:rPr>
            <w:webHidden/>
          </w:rPr>
          <w:fldChar w:fldCharType="begin"/>
        </w:r>
        <w:r w:rsidR="00CB0C9E">
          <w:rPr>
            <w:webHidden/>
          </w:rPr>
          <w:instrText xml:space="preserve"> PAGEREF _Toc142383203 \h </w:instrText>
        </w:r>
        <w:r w:rsidR="00CB0C9E">
          <w:rPr>
            <w:webHidden/>
          </w:rPr>
        </w:r>
        <w:r w:rsidR="00CB0C9E">
          <w:rPr>
            <w:webHidden/>
          </w:rPr>
          <w:fldChar w:fldCharType="separate"/>
        </w:r>
        <w:r w:rsidR="00084C33">
          <w:rPr>
            <w:webHidden/>
          </w:rPr>
          <w:t>165</w:t>
        </w:r>
        <w:r w:rsidR="00CB0C9E">
          <w:rPr>
            <w:webHidden/>
          </w:rPr>
          <w:fldChar w:fldCharType="end"/>
        </w:r>
      </w:hyperlink>
    </w:p>
    <w:p w14:paraId="1A7418A0" w14:textId="696A1029" w:rsidR="00CB0C9E" w:rsidRDefault="007B247E">
      <w:pPr>
        <w:pStyle w:val="TOC3"/>
        <w:rPr>
          <w:rFonts w:asciiTheme="minorHAnsi" w:eastAsiaTheme="minorEastAsia" w:hAnsiTheme="minorHAnsi" w:cstheme="minorBidi"/>
          <w:kern w:val="2"/>
          <w:lang w:eastAsia="ja-JP"/>
          <w14:ligatures w14:val="standardContextual"/>
        </w:rPr>
      </w:pPr>
      <w:hyperlink w:anchor="_Toc142383204" w:history="1">
        <w:r w:rsidR="00B66AA7" w:rsidRPr="009E17C6">
          <w:rPr>
            <w:rStyle w:val="Hyperlink"/>
          </w:rPr>
          <w:t>Proposed Indicators For Learning And Dissemination Activities</w:t>
        </w:r>
        <w:r w:rsidR="00B66AA7">
          <w:rPr>
            <w:webHidden/>
          </w:rPr>
          <w:tab/>
        </w:r>
        <w:r w:rsidR="00CB0C9E">
          <w:rPr>
            <w:webHidden/>
          </w:rPr>
          <w:fldChar w:fldCharType="begin"/>
        </w:r>
        <w:r w:rsidR="00CB0C9E">
          <w:rPr>
            <w:webHidden/>
          </w:rPr>
          <w:instrText xml:space="preserve"> PAGEREF _Toc142383204 \h </w:instrText>
        </w:r>
        <w:r w:rsidR="00CB0C9E">
          <w:rPr>
            <w:webHidden/>
          </w:rPr>
        </w:r>
        <w:r w:rsidR="00CB0C9E">
          <w:rPr>
            <w:webHidden/>
          </w:rPr>
          <w:fldChar w:fldCharType="separate"/>
        </w:r>
        <w:r w:rsidR="00084C33">
          <w:rPr>
            <w:webHidden/>
          </w:rPr>
          <w:t>166</w:t>
        </w:r>
        <w:r w:rsidR="00CB0C9E">
          <w:rPr>
            <w:webHidden/>
          </w:rPr>
          <w:fldChar w:fldCharType="end"/>
        </w:r>
      </w:hyperlink>
    </w:p>
    <w:p w14:paraId="72E16B4B" w14:textId="43D09D3C" w:rsidR="00CB0C9E" w:rsidRDefault="007B247E" w:rsidP="00084C33">
      <w:pPr>
        <w:pStyle w:val="TOC1"/>
        <w:rPr>
          <w:rFonts w:asciiTheme="minorHAnsi" w:hAnsiTheme="minorHAnsi" w:cstheme="minorBidi"/>
          <w:color w:val="auto"/>
          <w:kern w:val="2"/>
          <w:lang w:eastAsia="ja-JP"/>
          <w14:ligatures w14:val="standardContextual"/>
        </w:rPr>
      </w:pPr>
      <w:hyperlink w:anchor="_Toc142383205" w:history="1">
        <w:r w:rsidR="00CB0C9E" w:rsidRPr="009E17C6">
          <w:rPr>
            <w:rStyle w:val="Hyperlink"/>
          </w:rPr>
          <w:t xml:space="preserve">Annex 18: Fleming Fund </w:t>
        </w:r>
        <w:r w:rsidR="00B66AA7">
          <w:rPr>
            <w:rStyle w:val="Hyperlink"/>
          </w:rPr>
          <w:t>p</w:t>
        </w:r>
        <w:r w:rsidR="00CB0C9E" w:rsidRPr="009E17C6">
          <w:rPr>
            <w:rStyle w:val="Hyperlink"/>
          </w:rPr>
          <w:t xml:space="preserve">rogramme </w:t>
        </w:r>
        <w:r w:rsidR="00B66AA7" w:rsidRPr="009E17C6">
          <w:rPr>
            <w:rStyle w:val="Hyperlink"/>
          </w:rPr>
          <w:t>theory of chang</w:t>
        </w:r>
        <w:r w:rsidR="00CB0C9E" w:rsidRPr="009E17C6">
          <w:rPr>
            <w:rStyle w:val="Hyperlink"/>
          </w:rPr>
          <w:t>e</w:t>
        </w:r>
        <w:r w:rsidR="00CB0C9E">
          <w:rPr>
            <w:webHidden/>
          </w:rPr>
          <w:tab/>
        </w:r>
        <w:r w:rsidR="00CB0C9E">
          <w:rPr>
            <w:webHidden/>
          </w:rPr>
          <w:fldChar w:fldCharType="begin"/>
        </w:r>
        <w:r w:rsidR="00CB0C9E">
          <w:rPr>
            <w:webHidden/>
          </w:rPr>
          <w:instrText xml:space="preserve"> PAGEREF _Toc142383205 \h </w:instrText>
        </w:r>
        <w:r w:rsidR="00CB0C9E">
          <w:rPr>
            <w:webHidden/>
          </w:rPr>
        </w:r>
        <w:r w:rsidR="00CB0C9E">
          <w:rPr>
            <w:webHidden/>
          </w:rPr>
          <w:fldChar w:fldCharType="separate"/>
        </w:r>
        <w:r w:rsidR="00084C33">
          <w:rPr>
            <w:webHidden/>
          </w:rPr>
          <w:t>168</w:t>
        </w:r>
        <w:r w:rsidR="00CB0C9E">
          <w:rPr>
            <w:webHidden/>
          </w:rPr>
          <w:fldChar w:fldCharType="end"/>
        </w:r>
      </w:hyperlink>
    </w:p>
    <w:p w14:paraId="4CDE0CCA" w14:textId="2F35959B" w:rsidR="00CB0C9E" w:rsidRDefault="007B247E" w:rsidP="00084C33">
      <w:pPr>
        <w:pStyle w:val="TOC1"/>
        <w:rPr>
          <w:rFonts w:asciiTheme="minorHAnsi" w:hAnsiTheme="minorHAnsi" w:cstheme="minorBidi"/>
          <w:color w:val="auto"/>
          <w:kern w:val="2"/>
          <w:lang w:eastAsia="ja-JP"/>
          <w14:ligatures w14:val="standardContextual"/>
        </w:rPr>
      </w:pPr>
      <w:hyperlink w:anchor="_Toc142383206" w:history="1">
        <w:r w:rsidR="00CB0C9E" w:rsidRPr="009E17C6">
          <w:rPr>
            <w:rStyle w:val="Hyperlink"/>
            <w:bCs/>
          </w:rPr>
          <w:t>Annex 19: Bibliography</w:t>
        </w:r>
        <w:r w:rsidR="00CB0C9E">
          <w:rPr>
            <w:webHidden/>
          </w:rPr>
          <w:tab/>
        </w:r>
        <w:r w:rsidR="00CB0C9E">
          <w:rPr>
            <w:webHidden/>
          </w:rPr>
          <w:fldChar w:fldCharType="begin"/>
        </w:r>
        <w:r w:rsidR="00CB0C9E">
          <w:rPr>
            <w:webHidden/>
          </w:rPr>
          <w:instrText xml:space="preserve"> PAGEREF _Toc142383206 \h </w:instrText>
        </w:r>
        <w:r w:rsidR="00CB0C9E">
          <w:rPr>
            <w:webHidden/>
          </w:rPr>
        </w:r>
        <w:r w:rsidR="00CB0C9E">
          <w:rPr>
            <w:webHidden/>
          </w:rPr>
          <w:fldChar w:fldCharType="separate"/>
        </w:r>
        <w:r w:rsidR="00084C33">
          <w:rPr>
            <w:webHidden/>
          </w:rPr>
          <w:t>169</w:t>
        </w:r>
        <w:r w:rsidR="00CB0C9E">
          <w:rPr>
            <w:webHidden/>
          </w:rPr>
          <w:fldChar w:fldCharType="end"/>
        </w:r>
      </w:hyperlink>
    </w:p>
    <w:p w14:paraId="7D9D74A0" w14:textId="0DBF9418" w:rsidR="00CB0C9E" w:rsidRDefault="007B247E" w:rsidP="00084C33">
      <w:pPr>
        <w:pStyle w:val="TOC1"/>
        <w:rPr>
          <w:rFonts w:asciiTheme="minorHAnsi" w:hAnsiTheme="minorHAnsi" w:cstheme="minorBidi"/>
          <w:color w:val="auto"/>
          <w:kern w:val="2"/>
          <w:lang w:eastAsia="ja-JP"/>
          <w14:ligatures w14:val="standardContextual"/>
        </w:rPr>
      </w:pPr>
      <w:hyperlink w:anchor="_Toc142383207" w:history="1">
        <w:r w:rsidR="00CB0C9E" w:rsidRPr="009E17C6">
          <w:rPr>
            <w:rStyle w:val="Hyperlink"/>
          </w:rPr>
          <w:t xml:space="preserve">Annex 20: List of </w:t>
        </w:r>
        <w:r w:rsidR="00B66AA7">
          <w:rPr>
            <w:rStyle w:val="Hyperlink"/>
          </w:rPr>
          <w:t>c</w:t>
        </w:r>
        <w:r w:rsidR="00CB0C9E" w:rsidRPr="009E17C6">
          <w:rPr>
            <w:rStyle w:val="Hyperlink"/>
          </w:rPr>
          <w:t>onsultees</w:t>
        </w:r>
        <w:r w:rsidR="00CB0C9E">
          <w:rPr>
            <w:webHidden/>
          </w:rPr>
          <w:tab/>
        </w:r>
        <w:r w:rsidR="00CB0C9E">
          <w:rPr>
            <w:webHidden/>
          </w:rPr>
          <w:fldChar w:fldCharType="begin"/>
        </w:r>
        <w:r w:rsidR="00CB0C9E">
          <w:rPr>
            <w:webHidden/>
          </w:rPr>
          <w:instrText xml:space="preserve"> PAGEREF _Toc142383207 \h </w:instrText>
        </w:r>
        <w:r w:rsidR="00CB0C9E">
          <w:rPr>
            <w:webHidden/>
          </w:rPr>
        </w:r>
        <w:r w:rsidR="00CB0C9E">
          <w:rPr>
            <w:webHidden/>
          </w:rPr>
          <w:fldChar w:fldCharType="separate"/>
        </w:r>
        <w:r w:rsidR="00084C33">
          <w:rPr>
            <w:webHidden/>
          </w:rPr>
          <w:t>172</w:t>
        </w:r>
        <w:r w:rsidR="00CB0C9E">
          <w:rPr>
            <w:webHidden/>
          </w:rPr>
          <w:fldChar w:fldCharType="end"/>
        </w:r>
      </w:hyperlink>
    </w:p>
    <w:p w14:paraId="1C9016C3" w14:textId="1BB5FA5B"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08" w:history="1">
        <w:r w:rsidR="00CB0C9E" w:rsidRPr="009E17C6">
          <w:rPr>
            <w:rStyle w:val="Hyperlink"/>
          </w:rPr>
          <w:t>Global KIIs</w:t>
        </w:r>
        <w:r w:rsidR="00CB0C9E">
          <w:rPr>
            <w:webHidden/>
          </w:rPr>
          <w:tab/>
        </w:r>
        <w:r w:rsidR="00CB0C9E">
          <w:rPr>
            <w:webHidden/>
          </w:rPr>
          <w:fldChar w:fldCharType="begin"/>
        </w:r>
        <w:r w:rsidR="00CB0C9E">
          <w:rPr>
            <w:webHidden/>
          </w:rPr>
          <w:instrText xml:space="preserve"> PAGEREF _Toc142383208 \h </w:instrText>
        </w:r>
        <w:r w:rsidR="00CB0C9E">
          <w:rPr>
            <w:webHidden/>
          </w:rPr>
        </w:r>
        <w:r w:rsidR="00CB0C9E">
          <w:rPr>
            <w:webHidden/>
          </w:rPr>
          <w:fldChar w:fldCharType="separate"/>
        </w:r>
        <w:r w:rsidR="00084C33">
          <w:rPr>
            <w:webHidden/>
          </w:rPr>
          <w:t>172</w:t>
        </w:r>
        <w:r w:rsidR="00CB0C9E">
          <w:rPr>
            <w:webHidden/>
          </w:rPr>
          <w:fldChar w:fldCharType="end"/>
        </w:r>
      </w:hyperlink>
    </w:p>
    <w:p w14:paraId="5EC5FB66" w14:textId="13D97AED"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09" w:history="1">
        <w:r w:rsidR="00CB0C9E" w:rsidRPr="009E17C6">
          <w:rPr>
            <w:rStyle w:val="Hyperlink"/>
          </w:rPr>
          <w:t>Host Institutions KIIs</w:t>
        </w:r>
        <w:r w:rsidR="00CB0C9E">
          <w:rPr>
            <w:webHidden/>
          </w:rPr>
          <w:tab/>
        </w:r>
        <w:r w:rsidR="00CB0C9E">
          <w:rPr>
            <w:webHidden/>
          </w:rPr>
          <w:fldChar w:fldCharType="begin"/>
        </w:r>
        <w:r w:rsidR="00CB0C9E">
          <w:rPr>
            <w:webHidden/>
          </w:rPr>
          <w:instrText xml:space="preserve"> PAGEREF _Toc142383209 \h </w:instrText>
        </w:r>
        <w:r w:rsidR="00CB0C9E">
          <w:rPr>
            <w:webHidden/>
          </w:rPr>
        </w:r>
        <w:r w:rsidR="00CB0C9E">
          <w:rPr>
            <w:webHidden/>
          </w:rPr>
          <w:fldChar w:fldCharType="separate"/>
        </w:r>
        <w:r w:rsidR="00084C33">
          <w:rPr>
            <w:webHidden/>
          </w:rPr>
          <w:t>172</w:t>
        </w:r>
        <w:r w:rsidR="00CB0C9E">
          <w:rPr>
            <w:webHidden/>
          </w:rPr>
          <w:fldChar w:fldCharType="end"/>
        </w:r>
      </w:hyperlink>
    </w:p>
    <w:p w14:paraId="6C4A599C" w14:textId="001C8040"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10" w:history="1">
        <w:r w:rsidR="00CB0C9E" w:rsidRPr="009E17C6">
          <w:rPr>
            <w:rStyle w:val="Hyperlink"/>
          </w:rPr>
          <w:t>Regional Grants KIIs</w:t>
        </w:r>
        <w:r w:rsidR="00CB0C9E">
          <w:rPr>
            <w:webHidden/>
          </w:rPr>
          <w:tab/>
        </w:r>
        <w:r w:rsidR="00CB0C9E">
          <w:rPr>
            <w:webHidden/>
          </w:rPr>
          <w:fldChar w:fldCharType="begin"/>
        </w:r>
        <w:r w:rsidR="00CB0C9E">
          <w:rPr>
            <w:webHidden/>
          </w:rPr>
          <w:instrText xml:space="preserve"> PAGEREF _Toc142383210 \h </w:instrText>
        </w:r>
        <w:r w:rsidR="00CB0C9E">
          <w:rPr>
            <w:webHidden/>
          </w:rPr>
        </w:r>
        <w:r w:rsidR="00CB0C9E">
          <w:rPr>
            <w:webHidden/>
          </w:rPr>
          <w:fldChar w:fldCharType="separate"/>
        </w:r>
        <w:r w:rsidR="00084C33">
          <w:rPr>
            <w:webHidden/>
          </w:rPr>
          <w:t>173</w:t>
        </w:r>
        <w:r w:rsidR="00CB0C9E">
          <w:rPr>
            <w:webHidden/>
          </w:rPr>
          <w:fldChar w:fldCharType="end"/>
        </w:r>
      </w:hyperlink>
    </w:p>
    <w:p w14:paraId="7B5CA28A" w14:textId="2A4448CB"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11" w:history="1">
        <w:r w:rsidR="00CB0C9E" w:rsidRPr="009E17C6">
          <w:rPr>
            <w:rStyle w:val="Hyperlink"/>
          </w:rPr>
          <w:t>Bangladesh</w:t>
        </w:r>
        <w:r w:rsidR="00CB0C9E">
          <w:rPr>
            <w:webHidden/>
          </w:rPr>
          <w:tab/>
        </w:r>
        <w:r w:rsidR="00CB0C9E">
          <w:rPr>
            <w:webHidden/>
          </w:rPr>
          <w:fldChar w:fldCharType="begin"/>
        </w:r>
        <w:r w:rsidR="00CB0C9E">
          <w:rPr>
            <w:webHidden/>
          </w:rPr>
          <w:instrText xml:space="preserve"> PAGEREF _Toc142383211 \h </w:instrText>
        </w:r>
        <w:r w:rsidR="00CB0C9E">
          <w:rPr>
            <w:webHidden/>
          </w:rPr>
        </w:r>
        <w:r w:rsidR="00CB0C9E">
          <w:rPr>
            <w:webHidden/>
          </w:rPr>
          <w:fldChar w:fldCharType="separate"/>
        </w:r>
        <w:r w:rsidR="00084C33">
          <w:rPr>
            <w:webHidden/>
          </w:rPr>
          <w:t>174</w:t>
        </w:r>
        <w:r w:rsidR="00CB0C9E">
          <w:rPr>
            <w:webHidden/>
          </w:rPr>
          <w:fldChar w:fldCharType="end"/>
        </w:r>
      </w:hyperlink>
    </w:p>
    <w:p w14:paraId="2BD4857D" w14:textId="71BB5F9E"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12" w:history="1">
        <w:r w:rsidR="00CB0C9E" w:rsidRPr="009E17C6">
          <w:rPr>
            <w:rStyle w:val="Hyperlink"/>
          </w:rPr>
          <w:t>Bhutan</w:t>
        </w:r>
        <w:r w:rsidR="00CB0C9E">
          <w:rPr>
            <w:webHidden/>
          </w:rPr>
          <w:tab/>
        </w:r>
        <w:r w:rsidR="009A383C">
          <w:rPr>
            <w:webHidden/>
          </w:rPr>
          <w:tab/>
        </w:r>
        <w:r w:rsidR="00CB0C9E">
          <w:rPr>
            <w:webHidden/>
          </w:rPr>
          <w:fldChar w:fldCharType="begin"/>
        </w:r>
        <w:r w:rsidR="00CB0C9E">
          <w:rPr>
            <w:webHidden/>
          </w:rPr>
          <w:instrText xml:space="preserve"> PAGEREF _Toc142383212 \h </w:instrText>
        </w:r>
        <w:r w:rsidR="00CB0C9E">
          <w:rPr>
            <w:webHidden/>
          </w:rPr>
        </w:r>
        <w:r w:rsidR="00CB0C9E">
          <w:rPr>
            <w:webHidden/>
          </w:rPr>
          <w:fldChar w:fldCharType="separate"/>
        </w:r>
        <w:r w:rsidR="00084C33">
          <w:rPr>
            <w:webHidden/>
          </w:rPr>
          <w:t>175</w:t>
        </w:r>
        <w:r w:rsidR="00CB0C9E">
          <w:rPr>
            <w:webHidden/>
          </w:rPr>
          <w:fldChar w:fldCharType="end"/>
        </w:r>
      </w:hyperlink>
    </w:p>
    <w:p w14:paraId="1311E1E8" w14:textId="263DC804"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13" w:history="1">
        <w:r w:rsidR="00CB0C9E" w:rsidRPr="009E17C6">
          <w:rPr>
            <w:rStyle w:val="Hyperlink"/>
          </w:rPr>
          <w:t>Ghana</w:t>
        </w:r>
        <w:r w:rsidR="00CB0C9E">
          <w:rPr>
            <w:webHidden/>
          </w:rPr>
          <w:tab/>
        </w:r>
        <w:r w:rsidR="009A383C">
          <w:rPr>
            <w:webHidden/>
          </w:rPr>
          <w:tab/>
        </w:r>
        <w:r w:rsidR="00CB0C9E">
          <w:rPr>
            <w:webHidden/>
          </w:rPr>
          <w:fldChar w:fldCharType="begin"/>
        </w:r>
        <w:r w:rsidR="00CB0C9E">
          <w:rPr>
            <w:webHidden/>
          </w:rPr>
          <w:instrText xml:space="preserve"> PAGEREF _Toc142383213 \h </w:instrText>
        </w:r>
        <w:r w:rsidR="00CB0C9E">
          <w:rPr>
            <w:webHidden/>
          </w:rPr>
        </w:r>
        <w:r w:rsidR="00CB0C9E">
          <w:rPr>
            <w:webHidden/>
          </w:rPr>
          <w:fldChar w:fldCharType="separate"/>
        </w:r>
        <w:r w:rsidR="00084C33">
          <w:rPr>
            <w:webHidden/>
          </w:rPr>
          <w:t>176</w:t>
        </w:r>
        <w:r w:rsidR="00CB0C9E">
          <w:rPr>
            <w:webHidden/>
          </w:rPr>
          <w:fldChar w:fldCharType="end"/>
        </w:r>
      </w:hyperlink>
    </w:p>
    <w:p w14:paraId="30143E6D" w14:textId="70961C02"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14" w:history="1">
        <w:r w:rsidR="00CB0C9E" w:rsidRPr="009E17C6">
          <w:rPr>
            <w:rStyle w:val="Hyperlink"/>
          </w:rPr>
          <w:t>Indonesia</w:t>
        </w:r>
        <w:r w:rsidR="00CB0C9E">
          <w:rPr>
            <w:webHidden/>
          </w:rPr>
          <w:tab/>
        </w:r>
        <w:r w:rsidR="00CB0C9E">
          <w:rPr>
            <w:webHidden/>
          </w:rPr>
          <w:fldChar w:fldCharType="begin"/>
        </w:r>
        <w:r w:rsidR="00CB0C9E">
          <w:rPr>
            <w:webHidden/>
          </w:rPr>
          <w:instrText xml:space="preserve"> PAGEREF _Toc142383214 \h </w:instrText>
        </w:r>
        <w:r w:rsidR="00CB0C9E">
          <w:rPr>
            <w:webHidden/>
          </w:rPr>
        </w:r>
        <w:r w:rsidR="00CB0C9E">
          <w:rPr>
            <w:webHidden/>
          </w:rPr>
          <w:fldChar w:fldCharType="separate"/>
        </w:r>
        <w:r w:rsidR="00084C33">
          <w:rPr>
            <w:webHidden/>
          </w:rPr>
          <w:t>178</w:t>
        </w:r>
        <w:r w:rsidR="00CB0C9E">
          <w:rPr>
            <w:webHidden/>
          </w:rPr>
          <w:fldChar w:fldCharType="end"/>
        </w:r>
      </w:hyperlink>
    </w:p>
    <w:p w14:paraId="13AB9778" w14:textId="75C34C90"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15" w:history="1">
        <w:r w:rsidR="00CB0C9E" w:rsidRPr="009E17C6">
          <w:rPr>
            <w:rStyle w:val="Hyperlink"/>
          </w:rPr>
          <w:t>Kenya</w:t>
        </w:r>
        <w:r w:rsidR="00CB0C9E">
          <w:rPr>
            <w:webHidden/>
          </w:rPr>
          <w:tab/>
        </w:r>
        <w:r w:rsidR="009A383C">
          <w:rPr>
            <w:webHidden/>
          </w:rPr>
          <w:tab/>
        </w:r>
        <w:r w:rsidR="00CB0C9E">
          <w:rPr>
            <w:webHidden/>
          </w:rPr>
          <w:fldChar w:fldCharType="begin"/>
        </w:r>
        <w:r w:rsidR="00CB0C9E">
          <w:rPr>
            <w:webHidden/>
          </w:rPr>
          <w:instrText xml:space="preserve"> PAGEREF _Toc142383215 \h </w:instrText>
        </w:r>
        <w:r w:rsidR="00CB0C9E">
          <w:rPr>
            <w:webHidden/>
          </w:rPr>
        </w:r>
        <w:r w:rsidR="00CB0C9E">
          <w:rPr>
            <w:webHidden/>
          </w:rPr>
          <w:fldChar w:fldCharType="separate"/>
        </w:r>
        <w:r w:rsidR="00084C33">
          <w:rPr>
            <w:webHidden/>
          </w:rPr>
          <w:t>179</w:t>
        </w:r>
        <w:r w:rsidR="00CB0C9E">
          <w:rPr>
            <w:webHidden/>
          </w:rPr>
          <w:fldChar w:fldCharType="end"/>
        </w:r>
      </w:hyperlink>
    </w:p>
    <w:p w14:paraId="38DE8F17" w14:textId="1530EA88"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16" w:history="1">
        <w:r w:rsidR="00CB0C9E" w:rsidRPr="009E17C6">
          <w:rPr>
            <w:rStyle w:val="Hyperlink"/>
          </w:rPr>
          <w:t>Laos</w:t>
        </w:r>
        <w:r w:rsidR="00CB0C9E">
          <w:rPr>
            <w:webHidden/>
          </w:rPr>
          <w:tab/>
        </w:r>
        <w:r w:rsidR="009A383C">
          <w:rPr>
            <w:webHidden/>
          </w:rPr>
          <w:tab/>
        </w:r>
        <w:r w:rsidR="00CB0C9E">
          <w:rPr>
            <w:webHidden/>
          </w:rPr>
          <w:fldChar w:fldCharType="begin"/>
        </w:r>
        <w:r w:rsidR="00CB0C9E">
          <w:rPr>
            <w:webHidden/>
          </w:rPr>
          <w:instrText xml:space="preserve"> PAGEREF _Toc142383216 \h </w:instrText>
        </w:r>
        <w:r w:rsidR="00CB0C9E">
          <w:rPr>
            <w:webHidden/>
          </w:rPr>
        </w:r>
        <w:r w:rsidR="00CB0C9E">
          <w:rPr>
            <w:webHidden/>
          </w:rPr>
          <w:fldChar w:fldCharType="separate"/>
        </w:r>
        <w:r w:rsidR="00084C33">
          <w:rPr>
            <w:webHidden/>
          </w:rPr>
          <w:t>181</w:t>
        </w:r>
        <w:r w:rsidR="00CB0C9E">
          <w:rPr>
            <w:webHidden/>
          </w:rPr>
          <w:fldChar w:fldCharType="end"/>
        </w:r>
      </w:hyperlink>
    </w:p>
    <w:p w14:paraId="4D243D8C" w14:textId="392EDA2F"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17" w:history="1">
        <w:r w:rsidR="00CB0C9E" w:rsidRPr="009E17C6">
          <w:rPr>
            <w:rStyle w:val="Hyperlink"/>
          </w:rPr>
          <w:t>Nepal</w:t>
        </w:r>
        <w:r w:rsidR="00CB0C9E">
          <w:rPr>
            <w:webHidden/>
          </w:rPr>
          <w:tab/>
        </w:r>
        <w:r w:rsidR="009A383C">
          <w:rPr>
            <w:webHidden/>
          </w:rPr>
          <w:tab/>
        </w:r>
        <w:r w:rsidR="00CB0C9E">
          <w:rPr>
            <w:webHidden/>
          </w:rPr>
          <w:fldChar w:fldCharType="begin"/>
        </w:r>
        <w:r w:rsidR="00CB0C9E">
          <w:rPr>
            <w:webHidden/>
          </w:rPr>
          <w:instrText xml:space="preserve"> PAGEREF _Toc142383217 \h </w:instrText>
        </w:r>
        <w:r w:rsidR="00CB0C9E">
          <w:rPr>
            <w:webHidden/>
          </w:rPr>
        </w:r>
        <w:r w:rsidR="00CB0C9E">
          <w:rPr>
            <w:webHidden/>
          </w:rPr>
          <w:fldChar w:fldCharType="separate"/>
        </w:r>
        <w:r w:rsidR="00084C33">
          <w:rPr>
            <w:webHidden/>
          </w:rPr>
          <w:t>183</w:t>
        </w:r>
        <w:r w:rsidR="00CB0C9E">
          <w:rPr>
            <w:webHidden/>
          </w:rPr>
          <w:fldChar w:fldCharType="end"/>
        </w:r>
      </w:hyperlink>
    </w:p>
    <w:p w14:paraId="0259F5AF" w14:textId="55700D99"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18" w:history="1">
        <w:r w:rsidR="00CB0C9E" w:rsidRPr="009E17C6">
          <w:rPr>
            <w:rStyle w:val="Hyperlink"/>
          </w:rPr>
          <w:t>Nigeria</w:t>
        </w:r>
        <w:r w:rsidR="00CB0C9E">
          <w:rPr>
            <w:webHidden/>
          </w:rPr>
          <w:tab/>
        </w:r>
        <w:r w:rsidR="009A383C">
          <w:rPr>
            <w:webHidden/>
          </w:rPr>
          <w:tab/>
        </w:r>
        <w:r w:rsidR="00CB0C9E">
          <w:rPr>
            <w:webHidden/>
          </w:rPr>
          <w:fldChar w:fldCharType="begin"/>
        </w:r>
        <w:r w:rsidR="00CB0C9E">
          <w:rPr>
            <w:webHidden/>
          </w:rPr>
          <w:instrText xml:space="preserve"> PAGEREF _Toc142383218 \h </w:instrText>
        </w:r>
        <w:r w:rsidR="00CB0C9E">
          <w:rPr>
            <w:webHidden/>
          </w:rPr>
        </w:r>
        <w:r w:rsidR="00CB0C9E">
          <w:rPr>
            <w:webHidden/>
          </w:rPr>
          <w:fldChar w:fldCharType="separate"/>
        </w:r>
        <w:r w:rsidR="00084C33">
          <w:rPr>
            <w:webHidden/>
          </w:rPr>
          <w:t>184</w:t>
        </w:r>
        <w:r w:rsidR="00CB0C9E">
          <w:rPr>
            <w:webHidden/>
          </w:rPr>
          <w:fldChar w:fldCharType="end"/>
        </w:r>
      </w:hyperlink>
    </w:p>
    <w:p w14:paraId="5032FB89" w14:textId="601AF7AE"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19" w:history="1">
        <w:r w:rsidR="00CB0C9E" w:rsidRPr="009E17C6">
          <w:rPr>
            <w:rStyle w:val="Hyperlink"/>
          </w:rPr>
          <w:t>Pakistan</w:t>
        </w:r>
        <w:r w:rsidR="00CB0C9E">
          <w:rPr>
            <w:webHidden/>
          </w:rPr>
          <w:tab/>
        </w:r>
        <w:r w:rsidR="00CB0C9E">
          <w:rPr>
            <w:webHidden/>
          </w:rPr>
          <w:fldChar w:fldCharType="begin"/>
        </w:r>
        <w:r w:rsidR="00CB0C9E">
          <w:rPr>
            <w:webHidden/>
          </w:rPr>
          <w:instrText xml:space="preserve"> PAGEREF _Toc142383219 \h </w:instrText>
        </w:r>
        <w:r w:rsidR="00CB0C9E">
          <w:rPr>
            <w:webHidden/>
          </w:rPr>
        </w:r>
        <w:r w:rsidR="00CB0C9E">
          <w:rPr>
            <w:webHidden/>
          </w:rPr>
          <w:fldChar w:fldCharType="separate"/>
        </w:r>
        <w:r w:rsidR="00084C33">
          <w:rPr>
            <w:webHidden/>
          </w:rPr>
          <w:t>185</w:t>
        </w:r>
        <w:r w:rsidR="00CB0C9E">
          <w:rPr>
            <w:webHidden/>
          </w:rPr>
          <w:fldChar w:fldCharType="end"/>
        </w:r>
      </w:hyperlink>
    </w:p>
    <w:p w14:paraId="4EE8A31E" w14:textId="1D86DD5A" w:rsidR="00CB0C9E" w:rsidRDefault="007B247E">
      <w:pPr>
        <w:pStyle w:val="TOC3"/>
        <w:rPr>
          <w:rFonts w:asciiTheme="minorHAnsi" w:eastAsiaTheme="minorEastAsia" w:hAnsiTheme="minorHAnsi" w:cstheme="minorBidi"/>
          <w:kern w:val="2"/>
          <w:lang w:eastAsia="ja-JP"/>
          <w14:ligatures w14:val="standardContextual"/>
        </w:rPr>
      </w:pPr>
      <w:hyperlink w:anchor="_Toc142383220" w:history="1">
        <w:r w:rsidR="00CB0C9E" w:rsidRPr="009E17C6">
          <w:rPr>
            <w:rStyle w:val="Hyperlink"/>
          </w:rPr>
          <w:t>Pilot</w:t>
        </w:r>
        <w:r w:rsidR="00CB0C9E">
          <w:rPr>
            <w:webHidden/>
          </w:rPr>
          <w:tab/>
        </w:r>
        <w:r w:rsidR="009A383C">
          <w:rPr>
            <w:webHidden/>
          </w:rPr>
          <w:tab/>
        </w:r>
        <w:r w:rsidR="00CB0C9E">
          <w:rPr>
            <w:webHidden/>
          </w:rPr>
          <w:fldChar w:fldCharType="begin"/>
        </w:r>
        <w:r w:rsidR="00CB0C9E">
          <w:rPr>
            <w:webHidden/>
          </w:rPr>
          <w:instrText xml:space="preserve"> PAGEREF _Toc142383220 \h </w:instrText>
        </w:r>
        <w:r w:rsidR="00CB0C9E">
          <w:rPr>
            <w:webHidden/>
          </w:rPr>
        </w:r>
        <w:r w:rsidR="00CB0C9E">
          <w:rPr>
            <w:webHidden/>
          </w:rPr>
          <w:fldChar w:fldCharType="separate"/>
        </w:r>
        <w:r w:rsidR="00084C33">
          <w:rPr>
            <w:webHidden/>
          </w:rPr>
          <w:t>185</w:t>
        </w:r>
        <w:r w:rsidR="00CB0C9E">
          <w:rPr>
            <w:webHidden/>
          </w:rPr>
          <w:fldChar w:fldCharType="end"/>
        </w:r>
      </w:hyperlink>
    </w:p>
    <w:p w14:paraId="4DC69967" w14:textId="77ED27A2" w:rsidR="00CB0C9E" w:rsidRDefault="007B247E">
      <w:pPr>
        <w:pStyle w:val="TOC3"/>
        <w:rPr>
          <w:rFonts w:asciiTheme="minorHAnsi" w:eastAsiaTheme="minorEastAsia" w:hAnsiTheme="minorHAnsi" w:cstheme="minorBidi"/>
          <w:kern w:val="2"/>
          <w:lang w:eastAsia="ja-JP"/>
          <w14:ligatures w14:val="standardContextual"/>
        </w:rPr>
      </w:pPr>
      <w:hyperlink w:anchor="_Toc142383221" w:history="1">
        <w:r w:rsidR="00CB0C9E" w:rsidRPr="009E17C6">
          <w:rPr>
            <w:rStyle w:val="Hyperlink"/>
          </w:rPr>
          <w:t>Country Visit 2022</w:t>
        </w:r>
        <w:r w:rsidR="00CB0C9E">
          <w:rPr>
            <w:webHidden/>
          </w:rPr>
          <w:tab/>
        </w:r>
        <w:r w:rsidR="00CB0C9E">
          <w:rPr>
            <w:webHidden/>
          </w:rPr>
          <w:fldChar w:fldCharType="begin"/>
        </w:r>
        <w:r w:rsidR="00CB0C9E">
          <w:rPr>
            <w:webHidden/>
          </w:rPr>
          <w:instrText xml:space="preserve"> PAGEREF _Toc142383221 \h </w:instrText>
        </w:r>
        <w:r w:rsidR="00CB0C9E">
          <w:rPr>
            <w:webHidden/>
          </w:rPr>
        </w:r>
        <w:r w:rsidR="00CB0C9E">
          <w:rPr>
            <w:webHidden/>
          </w:rPr>
          <w:fldChar w:fldCharType="separate"/>
        </w:r>
        <w:r w:rsidR="00084C33">
          <w:rPr>
            <w:webHidden/>
          </w:rPr>
          <w:t>186</w:t>
        </w:r>
        <w:r w:rsidR="00CB0C9E">
          <w:rPr>
            <w:webHidden/>
          </w:rPr>
          <w:fldChar w:fldCharType="end"/>
        </w:r>
      </w:hyperlink>
    </w:p>
    <w:p w14:paraId="56F7E6A6" w14:textId="494257CD"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22" w:history="1">
        <w:r w:rsidR="00CB0C9E" w:rsidRPr="009E17C6">
          <w:rPr>
            <w:rStyle w:val="Hyperlink"/>
          </w:rPr>
          <w:t>Senegal</w:t>
        </w:r>
        <w:r w:rsidR="00CB0C9E">
          <w:rPr>
            <w:webHidden/>
          </w:rPr>
          <w:tab/>
        </w:r>
        <w:r w:rsidR="009A383C">
          <w:rPr>
            <w:webHidden/>
          </w:rPr>
          <w:tab/>
        </w:r>
        <w:r w:rsidR="00CB0C9E">
          <w:rPr>
            <w:webHidden/>
          </w:rPr>
          <w:fldChar w:fldCharType="begin"/>
        </w:r>
        <w:r w:rsidR="00CB0C9E">
          <w:rPr>
            <w:webHidden/>
          </w:rPr>
          <w:instrText xml:space="preserve"> PAGEREF _Toc142383222 \h </w:instrText>
        </w:r>
        <w:r w:rsidR="00CB0C9E">
          <w:rPr>
            <w:webHidden/>
          </w:rPr>
        </w:r>
        <w:r w:rsidR="00CB0C9E">
          <w:rPr>
            <w:webHidden/>
          </w:rPr>
          <w:fldChar w:fldCharType="separate"/>
        </w:r>
        <w:r w:rsidR="00084C33">
          <w:rPr>
            <w:webHidden/>
          </w:rPr>
          <w:t>187</w:t>
        </w:r>
        <w:r w:rsidR="00CB0C9E">
          <w:rPr>
            <w:webHidden/>
          </w:rPr>
          <w:fldChar w:fldCharType="end"/>
        </w:r>
      </w:hyperlink>
    </w:p>
    <w:p w14:paraId="7F584D29" w14:textId="7C282BEE"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23" w:history="1">
        <w:r w:rsidR="00CB0C9E" w:rsidRPr="009E17C6">
          <w:rPr>
            <w:rStyle w:val="Hyperlink"/>
          </w:rPr>
          <w:t>Sierra Leone</w:t>
        </w:r>
        <w:r w:rsidR="00CB0C9E">
          <w:rPr>
            <w:webHidden/>
          </w:rPr>
          <w:tab/>
        </w:r>
        <w:r w:rsidR="00CB0C9E">
          <w:rPr>
            <w:webHidden/>
          </w:rPr>
          <w:fldChar w:fldCharType="begin"/>
        </w:r>
        <w:r w:rsidR="00CB0C9E">
          <w:rPr>
            <w:webHidden/>
          </w:rPr>
          <w:instrText xml:space="preserve"> PAGEREF _Toc142383223 \h </w:instrText>
        </w:r>
        <w:r w:rsidR="00CB0C9E">
          <w:rPr>
            <w:webHidden/>
          </w:rPr>
        </w:r>
        <w:r w:rsidR="00CB0C9E">
          <w:rPr>
            <w:webHidden/>
          </w:rPr>
          <w:fldChar w:fldCharType="separate"/>
        </w:r>
        <w:r w:rsidR="00084C33">
          <w:rPr>
            <w:webHidden/>
          </w:rPr>
          <w:t>189</w:t>
        </w:r>
        <w:r w:rsidR="00CB0C9E">
          <w:rPr>
            <w:webHidden/>
          </w:rPr>
          <w:fldChar w:fldCharType="end"/>
        </w:r>
      </w:hyperlink>
    </w:p>
    <w:p w14:paraId="79951C72" w14:textId="101E26F8"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24" w:history="1">
        <w:r w:rsidR="00CB0C9E" w:rsidRPr="009E17C6">
          <w:rPr>
            <w:rStyle w:val="Hyperlink"/>
          </w:rPr>
          <w:t>Tanzania</w:t>
        </w:r>
        <w:r w:rsidR="00CB0C9E">
          <w:rPr>
            <w:webHidden/>
          </w:rPr>
          <w:tab/>
        </w:r>
        <w:r w:rsidR="00CB0C9E">
          <w:rPr>
            <w:webHidden/>
          </w:rPr>
          <w:fldChar w:fldCharType="begin"/>
        </w:r>
        <w:r w:rsidR="00CB0C9E">
          <w:rPr>
            <w:webHidden/>
          </w:rPr>
          <w:instrText xml:space="preserve"> PAGEREF _Toc142383224 \h </w:instrText>
        </w:r>
        <w:r w:rsidR="00CB0C9E">
          <w:rPr>
            <w:webHidden/>
          </w:rPr>
        </w:r>
        <w:r w:rsidR="00CB0C9E">
          <w:rPr>
            <w:webHidden/>
          </w:rPr>
          <w:fldChar w:fldCharType="separate"/>
        </w:r>
        <w:r w:rsidR="00084C33">
          <w:rPr>
            <w:webHidden/>
          </w:rPr>
          <w:t>190</w:t>
        </w:r>
        <w:r w:rsidR="00CB0C9E">
          <w:rPr>
            <w:webHidden/>
          </w:rPr>
          <w:fldChar w:fldCharType="end"/>
        </w:r>
      </w:hyperlink>
    </w:p>
    <w:p w14:paraId="687139AC" w14:textId="7A33A007"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25" w:history="1">
        <w:r w:rsidR="00CB0C9E" w:rsidRPr="009E17C6">
          <w:rPr>
            <w:rStyle w:val="Hyperlink"/>
          </w:rPr>
          <w:t>Timor</w:t>
        </w:r>
        <w:r w:rsidR="009A383C">
          <w:rPr>
            <w:rStyle w:val="Hyperlink"/>
          </w:rPr>
          <w:t>-</w:t>
        </w:r>
        <w:r w:rsidR="00CB0C9E" w:rsidRPr="009E17C6">
          <w:rPr>
            <w:rStyle w:val="Hyperlink"/>
          </w:rPr>
          <w:t>Leste</w:t>
        </w:r>
        <w:r w:rsidR="00CB0C9E">
          <w:rPr>
            <w:webHidden/>
          </w:rPr>
          <w:tab/>
        </w:r>
        <w:r w:rsidR="00CB0C9E">
          <w:rPr>
            <w:webHidden/>
          </w:rPr>
          <w:fldChar w:fldCharType="begin"/>
        </w:r>
        <w:r w:rsidR="00CB0C9E">
          <w:rPr>
            <w:webHidden/>
          </w:rPr>
          <w:instrText xml:space="preserve"> PAGEREF _Toc142383225 \h </w:instrText>
        </w:r>
        <w:r w:rsidR="00CB0C9E">
          <w:rPr>
            <w:webHidden/>
          </w:rPr>
        </w:r>
        <w:r w:rsidR="00CB0C9E">
          <w:rPr>
            <w:webHidden/>
          </w:rPr>
          <w:fldChar w:fldCharType="separate"/>
        </w:r>
        <w:r w:rsidR="00084C33">
          <w:rPr>
            <w:webHidden/>
          </w:rPr>
          <w:t>192</w:t>
        </w:r>
        <w:r w:rsidR="00CB0C9E">
          <w:rPr>
            <w:webHidden/>
          </w:rPr>
          <w:fldChar w:fldCharType="end"/>
        </w:r>
      </w:hyperlink>
    </w:p>
    <w:p w14:paraId="5ABE69DA" w14:textId="59AC0E67"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26" w:history="1">
        <w:r w:rsidR="00CB0C9E" w:rsidRPr="009E17C6">
          <w:rPr>
            <w:rStyle w:val="Hyperlink"/>
          </w:rPr>
          <w:t>Uganda</w:t>
        </w:r>
        <w:r w:rsidR="00CB0C9E">
          <w:rPr>
            <w:webHidden/>
          </w:rPr>
          <w:tab/>
        </w:r>
        <w:r w:rsidR="009A383C">
          <w:rPr>
            <w:webHidden/>
          </w:rPr>
          <w:tab/>
        </w:r>
        <w:r w:rsidR="00CB0C9E">
          <w:rPr>
            <w:webHidden/>
          </w:rPr>
          <w:fldChar w:fldCharType="begin"/>
        </w:r>
        <w:r w:rsidR="00CB0C9E">
          <w:rPr>
            <w:webHidden/>
          </w:rPr>
          <w:instrText xml:space="preserve"> PAGEREF _Toc142383226 \h </w:instrText>
        </w:r>
        <w:r w:rsidR="00CB0C9E">
          <w:rPr>
            <w:webHidden/>
          </w:rPr>
        </w:r>
        <w:r w:rsidR="00CB0C9E">
          <w:rPr>
            <w:webHidden/>
          </w:rPr>
          <w:fldChar w:fldCharType="separate"/>
        </w:r>
        <w:r w:rsidR="00084C33">
          <w:rPr>
            <w:webHidden/>
          </w:rPr>
          <w:t>193</w:t>
        </w:r>
        <w:r w:rsidR="00CB0C9E">
          <w:rPr>
            <w:webHidden/>
          </w:rPr>
          <w:fldChar w:fldCharType="end"/>
        </w:r>
      </w:hyperlink>
    </w:p>
    <w:p w14:paraId="55EFBF63" w14:textId="14C546B6"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27" w:history="1">
        <w:r w:rsidR="00CB0C9E" w:rsidRPr="009E17C6">
          <w:rPr>
            <w:rStyle w:val="Hyperlink"/>
          </w:rPr>
          <w:t>Vietnam</w:t>
        </w:r>
        <w:r w:rsidR="00CB0C9E">
          <w:rPr>
            <w:webHidden/>
          </w:rPr>
          <w:tab/>
        </w:r>
        <w:r w:rsidR="00CB0C9E">
          <w:rPr>
            <w:webHidden/>
          </w:rPr>
          <w:fldChar w:fldCharType="begin"/>
        </w:r>
        <w:r w:rsidR="00CB0C9E">
          <w:rPr>
            <w:webHidden/>
          </w:rPr>
          <w:instrText xml:space="preserve"> PAGEREF _Toc142383227 \h </w:instrText>
        </w:r>
        <w:r w:rsidR="00CB0C9E">
          <w:rPr>
            <w:webHidden/>
          </w:rPr>
        </w:r>
        <w:r w:rsidR="00CB0C9E">
          <w:rPr>
            <w:webHidden/>
          </w:rPr>
          <w:fldChar w:fldCharType="separate"/>
        </w:r>
        <w:r w:rsidR="00084C33">
          <w:rPr>
            <w:webHidden/>
          </w:rPr>
          <w:t>194</w:t>
        </w:r>
        <w:r w:rsidR="00CB0C9E">
          <w:rPr>
            <w:webHidden/>
          </w:rPr>
          <w:fldChar w:fldCharType="end"/>
        </w:r>
      </w:hyperlink>
    </w:p>
    <w:p w14:paraId="698E2815" w14:textId="0136C7E1" w:rsidR="00CB0C9E" w:rsidRDefault="007B247E">
      <w:pPr>
        <w:pStyle w:val="TOC2"/>
        <w:rPr>
          <w:rFonts w:asciiTheme="minorHAnsi" w:eastAsiaTheme="minorEastAsia" w:hAnsiTheme="minorHAnsi" w:cstheme="minorBidi"/>
          <w:iCs w:val="0"/>
          <w:kern w:val="2"/>
          <w:lang w:eastAsia="ja-JP"/>
          <w14:ligatures w14:val="standardContextual"/>
        </w:rPr>
      </w:pPr>
      <w:hyperlink w:anchor="_Toc142383228" w:history="1">
        <w:r w:rsidR="00CB0C9E" w:rsidRPr="009E17C6">
          <w:rPr>
            <w:rStyle w:val="Hyperlink"/>
          </w:rPr>
          <w:t>Zambia</w:t>
        </w:r>
        <w:r w:rsidR="00CB0C9E">
          <w:rPr>
            <w:webHidden/>
          </w:rPr>
          <w:tab/>
        </w:r>
        <w:r w:rsidR="009A383C">
          <w:rPr>
            <w:webHidden/>
          </w:rPr>
          <w:tab/>
        </w:r>
        <w:r w:rsidR="00CB0C9E">
          <w:rPr>
            <w:webHidden/>
          </w:rPr>
          <w:fldChar w:fldCharType="begin"/>
        </w:r>
        <w:r w:rsidR="00CB0C9E">
          <w:rPr>
            <w:webHidden/>
          </w:rPr>
          <w:instrText xml:space="preserve"> PAGEREF _Toc142383228 \h </w:instrText>
        </w:r>
        <w:r w:rsidR="00CB0C9E">
          <w:rPr>
            <w:webHidden/>
          </w:rPr>
        </w:r>
        <w:r w:rsidR="00CB0C9E">
          <w:rPr>
            <w:webHidden/>
          </w:rPr>
          <w:fldChar w:fldCharType="separate"/>
        </w:r>
        <w:r w:rsidR="00084C33">
          <w:rPr>
            <w:webHidden/>
          </w:rPr>
          <w:t>195</w:t>
        </w:r>
        <w:r w:rsidR="00CB0C9E">
          <w:rPr>
            <w:webHidden/>
          </w:rPr>
          <w:fldChar w:fldCharType="end"/>
        </w:r>
      </w:hyperlink>
    </w:p>
    <w:p w14:paraId="0DA495C8" w14:textId="09CC0886" w:rsidR="00CB0C9E" w:rsidRDefault="007B247E">
      <w:pPr>
        <w:pStyle w:val="TOC3"/>
        <w:rPr>
          <w:rFonts w:asciiTheme="minorHAnsi" w:eastAsiaTheme="minorEastAsia" w:hAnsiTheme="minorHAnsi" w:cstheme="minorBidi"/>
          <w:kern w:val="2"/>
          <w:lang w:eastAsia="ja-JP"/>
          <w14:ligatures w14:val="standardContextual"/>
        </w:rPr>
      </w:pPr>
      <w:hyperlink w:anchor="_Toc142383229" w:history="1">
        <w:r w:rsidR="00CB0C9E" w:rsidRPr="009E17C6">
          <w:rPr>
            <w:rStyle w:val="Hyperlink"/>
          </w:rPr>
          <w:t>Pilot</w:t>
        </w:r>
        <w:r w:rsidR="00CB0C9E">
          <w:rPr>
            <w:webHidden/>
          </w:rPr>
          <w:tab/>
        </w:r>
        <w:r w:rsidR="009A383C">
          <w:rPr>
            <w:webHidden/>
          </w:rPr>
          <w:tab/>
        </w:r>
        <w:r w:rsidR="00CB0C9E">
          <w:rPr>
            <w:webHidden/>
          </w:rPr>
          <w:fldChar w:fldCharType="begin"/>
        </w:r>
        <w:r w:rsidR="00CB0C9E">
          <w:rPr>
            <w:webHidden/>
          </w:rPr>
          <w:instrText xml:space="preserve"> PAGEREF _Toc142383229 \h </w:instrText>
        </w:r>
        <w:r w:rsidR="00CB0C9E">
          <w:rPr>
            <w:webHidden/>
          </w:rPr>
        </w:r>
        <w:r w:rsidR="00CB0C9E">
          <w:rPr>
            <w:webHidden/>
          </w:rPr>
          <w:fldChar w:fldCharType="separate"/>
        </w:r>
        <w:r w:rsidR="00084C33">
          <w:rPr>
            <w:webHidden/>
          </w:rPr>
          <w:t>195</w:t>
        </w:r>
        <w:r w:rsidR="00CB0C9E">
          <w:rPr>
            <w:webHidden/>
          </w:rPr>
          <w:fldChar w:fldCharType="end"/>
        </w:r>
      </w:hyperlink>
    </w:p>
    <w:p w14:paraId="7E12DF90" w14:textId="54EE5B17" w:rsidR="00CB0C9E" w:rsidRDefault="007B247E">
      <w:pPr>
        <w:pStyle w:val="TOC3"/>
        <w:rPr>
          <w:rFonts w:asciiTheme="minorHAnsi" w:eastAsiaTheme="minorEastAsia" w:hAnsiTheme="minorHAnsi" w:cstheme="minorBidi"/>
          <w:kern w:val="2"/>
          <w:lang w:eastAsia="ja-JP"/>
          <w14:ligatures w14:val="standardContextual"/>
        </w:rPr>
      </w:pPr>
      <w:hyperlink w:anchor="_Toc142383230" w:history="1">
        <w:r w:rsidR="00CB0C9E" w:rsidRPr="009E17C6">
          <w:rPr>
            <w:rStyle w:val="Hyperlink"/>
          </w:rPr>
          <w:t>Country Visit 2022</w:t>
        </w:r>
        <w:r w:rsidR="00CB0C9E">
          <w:rPr>
            <w:webHidden/>
          </w:rPr>
          <w:tab/>
        </w:r>
        <w:r w:rsidR="00CB0C9E">
          <w:rPr>
            <w:webHidden/>
          </w:rPr>
          <w:fldChar w:fldCharType="begin"/>
        </w:r>
        <w:r w:rsidR="00CB0C9E">
          <w:rPr>
            <w:webHidden/>
          </w:rPr>
          <w:instrText xml:space="preserve"> PAGEREF _Toc142383230 \h </w:instrText>
        </w:r>
        <w:r w:rsidR="00CB0C9E">
          <w:rPr>
            <w:webHidden/>
          </w:rPr>
        </w:r>
        <w:r w:rsidR="00CB0C9E">
          <w:rPr>
            <w:webHidden/>
          </w:rPr>
          <w:fldChar w:fldCharType="separate"/>
        </w:r>
        <w:r w:rsidR="00084C33">
          <w:rPr>
            <w:webHidden/>
          </w:rPr>
          <w:t>196</w:t>
        </w:r>
        <w:r w:rsidR="00CB0C9E">
          <w:rPr>
            <w:webHidden/>
          </w:rPr>
          <w:fldChar w:fldCharType="end"/>
        </w:r>
      </w:hyperlink>
    </w:p>
    <w:p w14:paraId="35178336" w14:textId="3BB6615E" w:rsidR="00CB0C9E" w:rsidRDefault="007B247E" w:rsidP="00084C33">
      <w:pPr>
        <w:pStyle w:val="TOC1"/>
        <w:rPr>
          <w:rFonts w:asciiTheme="minorHAnsi" w:hAnsiTheme="minorHAnsi" w:cstheme="minorBidi"/>
          <w:color w:val="auto"/>
          <w:kern w:val="2"/>
          <w:lang w:eastAsia="ja-JP"/>
          <w14:ligatures w14:val="standardContextual"/>
        </w:rPr>
      </w:pPr>
      <w:hyperlink w:anchor="_Toc142383231" w:history="1">
        <w:r w:rsidR="00CB0C9E" w:rsidRPr="009E17C6">
          <w:rPr>
            <w:rStyle w:val="Hyperlink"/>
          </w:rPr>
          <w:t>Annex 21: Line of sight between findings, conclusions and recommendations</w:t>
        </w:r>
        <w:r w:rsidR="00CB0C9E">
          <w:rPr>
            <w:webHidden/>
          </w:rPr>
          <w:tab/>
        </w:r>
        <w:r w:rsidR="00CB0C9E">
          <w:rPr>
            <w:webHidden/>
          </w:rPr>
          <w:fldChar w:fldCharType="begin"/>
        </w:r>
        <w:r w:rsidR="00CB0C9E">
          <w:rPr>
            <w:webHidden/>
          </w:rPr>
          <w:instrText xml:space="preserve"> PAGEREF _Toc142383231 \h </w:instrText>
        </w:r>
        <w:r w:rsidR="00CB0C9E">
          <w:rPr>
            <w:webHidden/>
          </w:rPr>
        </w:r>
        <w:r w:rsidR="00CB0C9E">
          <w:rPr>
            <w:webHidden/>
          </w:rPr>
          <w:fldChar w:fldCharType="separate"/>
        </w:r>
        <w:r w:rsidR="00084C33">
          <w:rPr>
            <w:webHidden/>
          </w:rPr>
          <w:t>198</w:t>
        </w:r>
        <w:r w:rsidR="00CB0C9E">
          <w:rPr>
            <w:webHidden/>
          </w:rPr>
          <w:fldChar w:fldCharType="end"/>
        </w:r>
      </w:hyperlink>
    </w:p>
    <w:p w14:paraId="621177AC" w14:textId="4EA30547" w:rsidR="00CB0C9E" w:rsidRDefault="007B247E" w:rsidP="00084C33">
      <w:pPr>
        <w:pStyle w:val="TOC1"/>
        <w:rPr>
          <w:rFonts w:asciiTheme="minorHAnsi" w:hAnsiTheme="minorHAnsi" w:cstheme="minorBidi"/>
          <w:color w:val="auto"/>
          <w:kern w:val="2"/>
          <w:lang w:eastAsia="ja-JP"/>
          <w14:ligatures w14:val="standardContextual"/>
        </w:rPr>
      </w:pPr>
      <w:hyperlink w:anchor="_Toc142383232" w:history="1">
        <w:r w:rsidR="00CB0C9E" w:rsidRPr="009E17C6">
          <w:rPr>
            <w:rStyle w:val="Hyperlink"/>
          </w:rPr>
          <w:t>Annex 22: Contribution Analysis visual summaries</w:t>
        </w:r>
        <w:r w:rsidR="00CB0C9E">
          <w:rPr>
            <w:webHidden/>
          </w:rPr>
          <w:tab/>
        </w:r>
        <w:r w:rsidR="00CB0C9E">
          <w:rPr>
            <w:webHidden/>
          </w:rPr>
          <w:fldChar w:fldCharType="begin"/>
        </w:r>
        <w:r w:rsidR="00CB0C9E">
          <w:rPr>
            <w:webHidden/>
          </w:rPr>
          <w:instrText xml:space="preserve"> PAGEREF _Toc142383232 \h </w:instrText>
        </w:r>
        <w:r w:rsidR="00CB0C9E">
          <w:rPr>
            <w:webHidden/>
          </w:rPr>
        </w:r>
        <w:r w:rsidR="00CB0C9E">
          <w:rPr>
            <w:webHidden/>
          </w:rPr>
          <w:fldChar w:fldCharType="separate"/>
        </w:r>
        <w:r w:rsidR="00084C33">
          <w:rPr>
            <w:webHidden/>
          </w:rPr>
          <w:t>204</w:t>
        </w:r>
        <w:r w:rsidR="00CB0C9E">
          <w:rPr>
            <w:webHidden/>
          </w:rPr>
          <w:fldChar w:fldCharType="end"/>
        </w:r>
      </w:hyperlink>
    </w:p>
    <w:p w14:paraId="5328DF25" w14:textId="14253128" w:rsidR="00CB0C9E" w:rsidRDefault="007B247E">
      <w:pPr>
        <w:pStyle w:val="TOC3"/>
        <w:rPr>
          <w:rFonts w:asciiTheme="minorHAnsi" w:eastAsiaTheme="minorEastAsia" w:hAnsiTheme="minorHAnsi" w:cstheme="minorBidi"/>
          <w:kern w:val="2"/>
          <w:lang w:eastAsia="ja-JP"/>
          <w14:ligatures w14:val="standardContextual"/>
        </w:rPr>
      </w:pPr>
      <w:hyperlink w:anchor="_Toc142383233" w:history="1">
        <w:r w:rsidR="00CB0C9E" w:rsidRPr="009E17C6">
          <w:rPr>
            <w:rStyle w:val="Hyperlink"/>
          </w:rPr>
          <w:t>C1a Changes in quantity of HH AMR data</w:t>
        </w:r>
        <w:r w:rsidR="00CB0C9E">
          <w:rPr>
            <w:webHidden/>
          </w:rPr>
          <w:tab/>
        </w:r>
        <w:r w:rsidR="00CB0C9E">
          <w:rPr>
            <w:webHidden/>
          </w:rPr>
          <w:fldChar w:fldCharType="begin"/>
        </w:r>
        <w:r w:rsidR="00CB0C9E">
          <w:rPr>
            <w:webHidden/>
          </w:rPr>
          <w:instrText xml:space="preserve"> PAGEREF _Toc142383233 \h </w:instrText>
        </w:r>
        <w:r w:rsidR="00CB0C9E">
          <w:rPr>
            <w:webHidden/>
          </w:rPr>
        </w:r>
        <w:r w:rsidR="00CB0C9E">
          <w:rPr>
            <w:webHidden/>
          </w:rPr>
          <w:fldChar w:fldCharType="separate"/>
        </w:r>
        <w:r w:rsidR="00084C33">
          <w:rPr>
            <w:webHidden/>
          </w:rPr>
          <w:t>204</w:t>
        </w:r>
        <w:r w:rsidR="00CB0C9E">
          <w:rPr>
            <w:webHidden/>
          </w:rPr>
          <w:fldChar w:fldCharType="end"/>
        </w:r>
      </w:hyperlink>
    </w:p>
    <w:p w14:paraId="62056A3A" w14:textId="5FF8EFAB" w:rsidR="00CB0C9E" w:rsidRDefault="007B247E">
      <w:pPr>
        <w:pStyle w:val="TOC3"/>
        <w:rPr>
          <w:rFonts w:asciiTheme="minorHAnsi" w:eastAsiaTheme="minorEastAsia" w:hAnsiTheme="minorHAnsi" w:cstheme="minorBidi"/>
          <w:kern w:val="2"/>
          <w:lang w:eastAsia="ja-JP"/>
          <w14:ligatures w14:val="standardContextual"/>
        </w:rPr>
      </w:pPr>
      <w:hyperlink w:anchor="_Toc142383234" w:history="1">
        <w:r w:rsidR="00CB0C9E" w:rsidRPr="009E17C6">
          <w:rPr>
            <w:rStyle w:val="Hyperlink"/>
          </w:rPr>
          <w:t>C1b Changes in quality of HH AMR data</w:t>
        </w:r>
        <w:r w:rsidR="00CB0C9E">
          <w:rPr>
            <w:webHidden/>
          </w:rPr>
          <w:tab/>
        </w:r>
        <w:r w:rsidR="00CB0C9E">
          <w:rPr>
            <w:webHidden/>
          </w:rPr>
          <w:fldChar w:fldCharType="begin"/>
        </w:r>
        <w:r w:rsidR="00CB0C9E">
          <w:rPr>
            <w:webHidden/>
          </w:rPr>
          <w:instrText xml:space="preserve"> PAGEREF _Toc142383234 \h </w:instrText>
        </w:r>
        <w:r w:rsidR="00CB0C9E">
          <w:rPr>
            <w:webHidden/>
          </w:rPr>
        </w:r>
        <w:r w:rsidR="00CB0C9E">
          <w:rPr>
            <w:webHidden/>
          </w:rPr>
          <w:fldChar w:fldCharType="separate"/>
        </w:r>
        <w:r w:rsidR="00084C33">
          <w:rPr>
            <w:webHidden/>
          </w:rPr>
          <w:t>205</w:t>
        </w:r>
        <w:r w:rsidR="00CB0C9E">
          <w:rPr>
            <w:webHidden/>
          </w:rPr>
          <w:fldChar w:fldCharType="end"/>
        </w:r>
      </w:hyperlink>
    </w:p>
    <w:p w14:paraId="04C92078" w14:textId="7A1414FE" w:rsidR="00CB0C9E" w:rsidRDefault="007B247E">
      <w:pPr>
        <w:pStyle w:val="TOC3"/>
        <w:rPr>
          <w:rFonts w:asciiTheme="minorHAnsi" w:eastAsiaTheme="minorEastAsia" w:hAnsiTheme="minorHAnsi" w:cstheme="minorBidi"/>
          <w:kern w:val="2"/>
          <w:lang w:eastAsia="ja-JP"/>
          <w14:ligatures w14:val="standardContextual"/>
        </w:rPr>
      </w:pPr>
      <w:hyperlink w:anchor="_Toc142383235" w:history="1">
        <w:r w:rsidR="00CB0C9E" w:rsidRPr="009E17C6">
          <w:rPr>
            <w:rStyle w:val="Hyperlink"/>
          </w:rPr>
          <w:t>C2a Changes in quantity of AH AMR data</w:t>
        </w:r>
        <w:r w:rsidR="00CB0C9E">
          <w:rPr>
            <w:webHidden/>
          </w:rPr>
          <w:tab/>
        </w:r>
        <w:r w:rsidR="00CB0C9E">
          <w:rPr>
            <w:webHidden/>
          </w:rPr>
          <w:fldChar w:fldCharType="begin"/>
        </w:r>
        <w:r w:rsidR="00CB0C9E">
          <w:rPr>
            <w:webHidden/>
          </w:rPr>
          <w:instrText xml:space="preserve"> PAGEREF _Toc142383235 \h </w:instrText>
        </w:r>
        <w:r w:rsidR="00CB0C9E">
          <w:rPr>
            <w:webHidden/>
          </w:rPr>
        </w:r>
        <w:r w:rsidR="00CB0C9E">
          <w:rPr>
            <w:webHidden/>
          </w:rPr>
          <w:fldChar w:fldCharType="separate"/>
        </w:r>
        <w:r w:rsidR="00084C33">
          <w:rPr>
            <w:webHidden/>
          </w:rPr>
          <w:t>206</w:t>
        </w:r>
        <w:r w:rsidR="00CB0C9E">
          <w:rPr>
            <w:webHidden/>
          </w:rPr>
          <w:fldChar w:fldCharType="end"/>
        </w:r>
      </w:hyperlink>
    </w:p>
    <w:p w14:paraId="32EF5690" w14:textId="372683D2" w:rsidR="00CB0C9E" w:rsidRDefault="007B247E">
      <w:pPr>
        <w:pStyle w:val="TOC3"/>
        <w:rPr>
          <w:rFonts w:asciiTheme="minorHAnsi" w:eastAsiaTheme="minorEastAsia" w:hAnsiTheme="minorHAnsi" w:cstheme="minorBidi"/>
          <w:kern w:val="2"/>
          <w:lang w:eastAsia="ja-JP"/>
          <w14:ligatures w14:val="standardContextual"/>
        </w:rPr>
      </w:pPr>
      <w:hyperlink w:anchor="_Toc142383236" w:history="1">
        <w:r w:rsidR="00CB0C9E" w:rsidRPr="009E17C6">
          <w:rPr>
            <w:rStyle w:val="Hyperlink"/>
          </w:rPr>
          <w:t>C2b Changes in quality of AH AMR data</w:t>
        </w:r>
        <w:r w:rsidR="00CB0C9E">
          <w:rPr>
            <w:webHidden/>
          </w:rPr>
          <w:tab/>
        </w:r>
        <w:r w:rsidR="00CB0C9E">
          <w:rPr>
            <w:webHidden/>
          </w:rPr>
          <w:fldChar w:fldCharType="begin"/>
        </w:r>
        <w:r w:rsidR="00CB0C9E">
          <w:rPr>
            <w:webHidden/>
          </w:rPr>
          <w:instrText xml:space="preserve"> PAGEREF _Toc142383236 \h </w:instrText>
        </w:r>
        <w:r w:rsidR="00CB0C9E">
          <w:rPr>
            <w:webHidden/>
          </w:rPr>
        </w:r>
        <w:r w:rsidR="00CB0C9E">
          <w:rPr>
            <w:webHidden/>
          </w:rPr>
          <w:fldChar w:fldCharType="separate"/>
        </w:r>
        <w:r w:rsidR="00084C33">
          <w:rPr>
            <w:webHidden/>
          </w:rPr>
          <w:t>207</w:t>
        </w:r>
        <w:r w:rsidR="00CB0C9E">
          <w:rPr>
            <w:webHidden/>
          </w:rPr>
          <w:fldChar w:fldCharType="end"/>
        </w:r>
      </w:hyperlink>
    </w:p>
    <w:p w14:paraId="22D8AA48" w14:textId="73F80F8C" w:rsidR="00CB0C9E" w:rsidRDefault="007B247E">
      <w:pPr>
        <w:pStyle w:val="TOC3"/>
        <w:rPr>
          <w:rFonts w:asciiTheme="minorHAnsi" w:eastAsiaTheme="minorEastAsia" w:hAnsiTheme="minorHAnsi" w:cstheme="minorBidi"/>
          <w:kern w:val="2"/>
          <w:lang w:eastAsia="ja-JP"/>
          <w14:ligatures w14:val="standardContextual"/>
        </w:rPr>
      </w:pPr>
      <w:hyperlink w:anchor="_Toc142383237" w:history="1">
        <w:r w:rsidR="00CB0C9E" w:rsidRPr="009E17C6">
          <w:rPr>
            <w:rStyle w:val="Hyperlink"/>
          </w:rPr>
          <w:t>C3 Changes in data sharing with relevant committees</w:t>
        </w:r>
        <w:r w:rsidR="00CB0C9E">
          <w:rPr>
            <w:webHidden/>
          </w:rPr>
          <w:tab/>
        </w:r>
        <w:r w:rsidR="00CB0C9E">
          <w:rPr>
            <w:webHidden/>
          </w:rPr>
          <w:fldChar w:fldCharType="begin"/>
        </w:r>
        <w:r w:rsidR="00CB0C9E">
          <w:rPr>
            <w:webHidden/>
          </w:rPr>
          <w:instrText xml:space="preserve"> PAGEREF _Toc142383237 \h </w:instrText>
        </w:r>
        <w:r w:rsidR="00CB0C9E">
          <w:rPr>
            <w:webHidden/>
          </w:rPr>
        </w:r>
        <w:r w:rsidR="00CB0C9E">
          <w:rPr>
            <w:webHidden/>
          </w:rPr>
          <w:fldChar w:fldCharType="separate"/>
        </w:r>
        <w:r w:rsidR="00084C33">
          <w:rPr>
            <w:webHidden/>
          </w:rPr>
          <w:t>208</w:t>
        </w:r>
        <w:r w:rsidR="00CB0C9E">
          <w:rPr>
            <w:webHidden/>
          </w:rPr>
          <w:fldChar w:fldCharType="end"/>
        </w:r>
      </w:hyperlink>
    </w:p>
    <w:p w14:paraId="6D094912" w14:textId="429B0AEB" w:rsidR="00CB0C9E" w:rsidRDefault="007B247E">
      <w:pPr>
        <w:pStyle w:val="TOC3"/>
        <w:rPr>
          <w:rFonts w:asciiTheme="minorHAnsi" w:eastAsiaTheme="minorEastAsia" w:hAnsiTheme="minorHAnsi" w:cstheme="minorBidi"/>
          <w:kern w:val="2"/>
          <w:lang w:eastAsia="ja-JP"/>
          <w14:ligatures w14:val="standardContextual"/>
        </w:rPr>
      </w:pPr>
      <w:hyperlink w:anchor="_Toc142383238" w:history="1">
        <w:r w:rsidR="00CB0C9E" w:rsidRPr="009E17C6">
          <w:rPr>
            <w:rStyle w:val="Hyperlink"/>
          </w:rPr>
          <w:t>C4 Changes in data sharing with GLASS</w:t>
        </w:r>
        <w:r w:rsidR="00CB0C9E">
          <w:rPr>
            <w:webHidden/>
          </w:rPr>
          <w:tab/>
        </w:r>
        <w:r w:rsidR="00CB0C9E">
          <w:rPr>
            <w:webHidden/>
          </w:rPr>
          <w:fldChar w:fldCharType="begin"/>
        </w:r>
        <w:r w:rsidR="00CB0C9E">
          <w:rPr>
            <w:webHidden/>
          </w:rPr>
          <w:instrText xml:space="preserve"> PAGEREF _Toc142383238 \h </w:instrText>
        </w:r>
        <w:r w:rsidR="00CB0C9E">
          <w:rPr>
            <w:webHidden/>
          </w:rPr>
        </w:r>
        <w:r w:rsidR="00CB0C9E">
          <w:rPr>
            <w:webHidden/>
          </w:rPr>
          <w:fldChar w:fldCharType="separate"/>
        </w:r>
        <w:r w:rsidR="00084C33">
          <w:rPr>
            <w:webHidden/>
          </w:rPr>
          <w:t>209</w:t>
        </w:r>
        <w:r w:rsidR="00CB0C9E">
          <w:rPr>
            <w:webHidden/>
          </w:rPr>
          <w:fldChar w:fldCharType="end"/>
        </w:r>
      </w:hyperlink>
    </w:p>
    <w:p w14:paraId="18452B3B" w14:textId="45A60DAF" w:rsidR="00CB0C9E" w:rsidRDefault="007B247E">
      <w:pPr>
        <w:pStyle w:val="TOC3"/>
        <w:rPr>
          <w:rFonts w:asciiTheme="minorHAnsi" w:eastAsiaTheme="minorEastAsia" w:hAnsiTheme="minorHAnsi" w:cstheme="minorBidi"/>
          <w:kern w:val="2"/>
          <w:lang w:eastAsia="ja-JP"/>
          <w14:ligatures w14:val="standardContextual"/>
        </w:rPr>
      </w:pPr>
      <w:hyperlink w:anchor="_Toc142383239" w:history="1">
        <w:r w:rsidR="00CB0C9E" w:rsidRPr="009E17C6">
          <w:rPr>
            <w:rStyle w:val="Hyperlink"/>
          </w:rPr>
          <w:t>C5 Changes in data sharing with WOAH</w:t>
        </w:r>
        <w:r w:rsidR="00CB0C9E">
          <w:rPr>
            <w:webHidden/>
          </w:rPr>
          <w:tab/>
        </w:r>
        <w:r w:rsidR="00CB0C9E">
          <w:rPr>
            <w:webHidden/>
          </w:rPr>
          <w:fldChar w:fldCharType="begin"/>
        </w:r>
        <w:r w:rsidR="00CB0C9E">
          <w:rPr>
            <w:webHidden/>
          </w:rPr>
          <w:instrText xml:space="preserve"> PAGEREF _Toc142383239 \h </w:instrText>
        </w:r>
        <w:r w:rsidR="00CB0C9E">
          <w:rPr>
            <w:webHidden/>
          </w:rPr>
        </w:r>
        <w:r w:rsidR="00CB0C9E">
          <w:rPr>
            <w:webHidden/>
          </w:rPr>
          <w:fldChar w:fldCharType="separate"/>
        </w:r>
        <w:r w:rsidR="00084C33">
          <w:rPr>
            <w:webHidden/>
          </w:rPr>
          <w:t>210</w:t>
        </w:r>
        <w:r w:rsidR="00CB0C9E">
          <w:rPr>
            <w:webHidden/>
          </w:rPr>
          <w:fldChar w:fldCharType="end"/>
        </w:r>
      </w:hyperlink>
    </w:p>
    <w:p w14:paraId="30983B4B" w14:textId="47BF4C11" w:rsidR="00CB0C9E" w:rsidRDefault="007B247E" w:rsidP="00084C33">
      <w:pPr>
        <w:pStyle w:val="TOC1"/>
        <w:rPr>
          <w:rFonts w:asciiTheme="minorHAnsi" w:hAnsiTheme="minorHAnsi" w:cstheme="minorBidi"/>
          <w:color w:val="auto"/>
          <w:kern w:val="2"/>
          <w:lang w:eastAsia="ja-JP"/>
          <w14:ligatures w14:val="standardContextual"/>
        </w:rPr>
      </w:pPr>
      <w:hyperlink w:anchor="_Toc142383240" w:history="1">
        <w:r w:rsidR="00CB0C9E" w:rsidRPr="009E17C6">
          <w:rPr>
            <w:rStyle w:val="Hyperlink"/>
          </w:rPr>
          <w:t>Annex 23: Examples of Itad support to adaptations within phase 1 of the Fleming Fund</w:t>
        </w:r>
        <w:r w:rsidR="00CB0C9E">
          <w:rPr>
            <w:webHidden/>
          </w:rPr>
          <w:tab/>
        </w:r>
        <w:r w:rsidR="00CB0C9E">
          <w:rPr>
            <w:webHidden/>
          </w:rPr>
          <w:fldChar w:fldCharType="begin"/>
        </w:r>
        <w:r w:rsidR="00CB0C9E">
          <w:rPr>
            <w:webHidden/>
          </w:rPr>
          <w:instrText xml:space="preserve"> PAGEREF _Toc142383240 \h </w:instrText>
        </w:r>
        <w:r w:rsidR="00CB0C9E">
          <w:rPr>
            <w:webHidden/>
          </w:rPr>
        </w:r>
        <w:r w:rsidR="00CB0C9E">
          <w:rPr>
            <w:webHidden/>
          </w:rPr>
          <w:fldChar w:fldCharType="separate"/>
        </w:r>
        <w:r w:rsidR="00084C33">
          <w:rPr>
            <w:webHidden/>
          </w:rPr>
          <w:t>211</w:t>
        </w:r>
        <w:r w:rsidR="00CB0C9E">
          <w:rPr>
            <w:webHidden/>
          </w:rPr>
          <w:fldChar w:fldCharType="end"/>
        </w:r>
      </w:hyperlink>
    </w:p>
    <w:p w14:paraId="5B278350" w14:textId="7730A9CE" w:rsidR="00CB0C9E" w:rsidRDefault="007B247E" w:rsidP="00084C33">
      <w:pPr>
        <w:pStyle w:val="TOC1"/>
        <w:rPr>
          <w:rFonts w:asciiTheme="minorHAnsi" w:hAnsiTheme="minorHAnsi" w:cstheme="minorBidi"/>
          <w:color w:val="auto"/>
          <w:kern w:val="2"/>
          <w:lang w:eastAsia="ja-JP"/>
          <w14:ligatures w14:val="standardContextual"/>
        </w:rPr>
      </w:pPr>
      <w:hyperlink w:anchor="_Toc142383241" w:history="1">
        <w:r w:rsidR="00CB0C9E" w:rsidRPr="009E17C6">
          <w:rPr>
            <w:rStyle w:val="Hyperlink"/>
          </w:rPr>
          <w:t>Annex 24: Alignment and coherence of Fleming Fund interventions</w:t>
        </w:r>
        <w:r w:rsidR="00CB0C9E">
          <w:rPr>
            <w:webHidden/>
          </w:rPr>
          <w:tab/>
        </w:r>
        <w:r w:rsidR="00CB0C9E">
          <w:rPr>
            <w:webHidden/>
          </w:rPr>
          <w:fldChar w:fldCharType="begin"/>
        </w:r>
        <w:r w:rsidR="00CB0C9E">
          <w:rPr>
            <w:webHidden/>
          </w:rPr>
          <w:instrText xml:space="preserve"> PAGEREF _Toc142383241 \h </w:instrText>
        </w:r>
        <w:r w:rsidR="00CB0C9E">
          <w:rPr>
            <w:webHidden/>
          </w:rPr>
        </w:r>
        <w:r w:rsidR="00CB0C9E">
          <w:rPr>
            <w:webHidden/>
          </w:rPr>
          <w:fldChar w:fldCharType="separate"/>
        </w:r>
        <w:r w:rsidR="00084C33">
          <w:rPr>
            <w:webHidden/>
          </w:rPr>
          <w:t>213</w:t>
        </w:r>
        <w:r w:rsidR="00CB0C9E">
          <w:rPr>
            <w:webHidden/>
          </w:rPr>
          <w:fldChar w:fldCharType="end"/>
        </w:r>
      </w:hyperlink>
    </w:p>
    <w:p w14:paraId="15E57074" w14:textId="4FF7ED90" w:rsidR="00CB0C9E" w:rsidRDefault="007B247E" w:rsidP="00084C33">
      <w:pPr>
        <w:pStyle w:val="TOC1"/>
        <w:rPr>
          <w:rFonts w:asciiTheme="minorHAnsi" w:hAnsiTheme="minorHAnsi" w:cstheme="minorBidi"/>
          <w:color w:val="auto"/>
          <w:kern w:val="2"/>
          <w:lang w:eastAsia="ja-JP"/>
          <w14:ligatures w14:val="standardContextual"/>
        </w:rPr>
      </w:pPr>
      <w:hyperlink w:anchor="_Toc142383242" w:history="1">
        <w:r w:rsidR="00CB0C9E" w:rsidRPr="009E17C6">
          <w:rPr>
            <w:rStyle w:val="Hyperlink"/>
          </w:rPr>
          <w:t>Annex 25: Mapping of grants by sample country</w:t>
        </w:r>
        <w:r w:rsidR="00CB0C9E">
          <w:rPr>
            <w:webHidden/>
          </w:rPr>
          <w:tab/>
        </w:r>
        <w:r w:rsidR="00CB0C9E">
          <w:rPr>
            <w:webHidden/>
          </w:rPr>
          <w:fldChar w:fldCharType="begin"/>
        </w:r>
        <w:r w:rsidR="00CB0C9E">
          <w:rPr>
            <w:webHidden/>
          </w:rPr>
          <w:instrText xml:space="preserve"> PAGEREF _Toc142383242 \h </w:instrText>
        </w:r>
        <w:r w:rsidR="00CB0C9E">
          <w:rPr>
            <w:webHidden/>
          </w:rPr>
        </w:r>
        <w:r w:rsidR="00CB0C9E">
          <w:rPr>
            <w:webHidden/>
          </w:rPr>
          <w:fldChar w:fldCharType="separate"/>
        </w:r>
        <w:r w:rsidR="00084C33">
          <w:rPr>
            <w:webHidden/>
          </w:rPr>
          <w:t>220</w:t>
        </w:r>
        <w:r w:rsidR="00CB0C9E">
          <w:rPr>
            <w:webHidden/>
          </w:rPr>
          <w:fldChar w:fldCharType="end"/>
        </w:r>
      </w:hyperlink>
    </w:p>
    <w:p w14:paraId="1E17C432" w14:textId="48E649F1" w:rsidR="00CB0C9E" w:rsidRDefault="007B247E" w:rsidP="00084C33">
      <w:pPr>
        <w:pStyle w:val="TOC1"/>
        <w:rPr>
          <w:rFonts w:asciiTheme="minorHAnsi" w:hAnsiTheme="minorHAnsi" w:cstheme="minorBidi"/>
          <w:color w:val="auto"/>
          <w:kern w:val="2"/>
          <w:lang w:eastAsia="ja-JP"/>
          <w14:ligatures w14:val="standardContextual"/>
        </w:rPr>
      </w:pPr>
      <w:hyperlink w:anchor="_Toc142383243" w:history="1">
        <w:r w:rsidR="00CB0C9E" w:rsidRPr="009E17C6">
          <w:rPr>
            <w:rStyle w:val="Hyperlink"/>
          </w:rPr>
          <w:t xml:space="preserve">Annex 26: Data Collection Tools: KII </w:t>
        </w:r>
        <w:r w:rsidR="00B66AA7">
          <w:rPr>
            <w:rStyle w:val="Hyperlink"/>
          </w:rPr>
          <w:t>g</w:t>
        </w:r>
        <w:r w:rsidR="00CB0C9E" w:rsidRPr="009E17C6">
          <w:rPr>
            <w:rStyle w:val="Hyperlink"/>
          </w:rPr>
          <w:t>uides</w:t>
        </w:r>
        <w:r w:rsidR="00CB0C9E">
          <w:rPr>
            <w:webHidden/>
          </w:rPr>
          <w:tab/>
        </w:r>
        <w:r w:rsidR="00CB0C9E">
          <w:rPr>
            <w:webHidden/>
          </w:rPr>
          <w:fldChar w:fldCharType="begin"/>
        </w:r>
        <w:r w:rsidR="00CB0C9E">
          <w:rPr>
            <w:webHidden/>
          </w:rPr>
          <w:instrText xml:space="preserve"> PAGEREF _Toc142383243 \h </w:instrText>
        </w:r>
        <w:r w:rsidR="00CB0C9E">
          <w:rPr>
            <w:webHidden/>
          </w:rPr>
        </w:r>
        <w:r w:rsidR="00CB0C9E">
          <w:rPr>
            <w:webHidden/>
          </w:rPr>
          <w:fldChar w:fldCharType="separate"/>
        </w:r>
        <w:r w:rsidR="00084C33">
          <w:rPr>
            <w:webHidden/>
          </w:rPr>
          <w:t>221</w:t>
        </w:r>
        <w:r w:rsidR="00CB0C9E">
          <w:rPr>
            <w:webHidden/>
          </w:rPr>
          <w:fldChar w:fldCharType="end"/>
        </w:r>
      </w:hyperlink>
    </w:p>
    <w:p w14:paraId="10CE7288" w14:textId="25B0CB4A" w:rsidR="00CB0C9E" w:rsidRDefault="007B247E">
      <w:pPr>
        <w:pStyle w:val="TOC3"/>
        <w:rPr>
          <w:rFonts w:asciiTheme="minorHAnsi" w:eastAsiaTheme="minorEastAsia" w:hAnsiTheme="minorHAnsi" w:cstheme="minorBidi"/>
          <w:kern w:val="2"/>
          <w:lang w:eastAsia="ja-JP"/>
          <w14:ligatures w14:val="standardContextual"/>
        </w:rPr>
      </w:pPr>
      <w:hyperlink w:anchor="_Toc142383244" w:history="1">
        <w:r w:rsidR="00CB0C9E" w:rsidRPr="009E17C6">
          <w:rPr>
            <w:rStyle w:val="Hyperlink"/>
          </w:rPr>
          <w:t>KII Guide for AH AMR FP</w:t>
        </w:r>
        <w:r w:rsidR="00CB0C9E">
          <w:rPr>
            <w:webHidden/>
          </w:rPr>
          <w:tab/>
        </w:r>
        <w:r w:rsidR="00CB0C9E">
          <w:rPr>
            <w:webHidden/>
          </w:rPr>
          <w:fldChar w:fldCharType="begin"/>
        </w:r>
        <w:r w:rsidR="00CB0C9E">
          <w:rPr>
            <w:webHidden/>
          </w:rPr>
          <w:instrText xml:space="preserve"> PAGEREF _Toc142383244 \h </w:instrText>
        </w:r>
        <w:r w:rsidR="00CB0C9E">
          <w:rPr>
            <w:webHidden/>
          </w:rPr>
        </w:r>
        <w:r w:rsidR="00CB0C9E">
          <w:rPr>
            <w:webHidden/>
          </w:rPr>
          <w:fldChar w:fldCharType="separate"/>
        </w:r>
        <w:r w:rsidR="00084C33">
          <w:rPr>
            <w:webHidden/>
          </w:rPr>
          <w:t>221</w:t>
        </w:r>
        <w:r w:rsidR="00CB0C9E">
          <w:rPr>
            <w:webHidden/>
          </w:rPr>
          <w:fldChar w:fldCharType="end"/>
        </w:r>
      </w:hyperlink>
    </w:p>
    <w:p w14:paraId="5B0C8001" w14:textId="21833637" w:rsidR="00CB0C9E" w:rsidRDefault="007B247E">
      <w:pPr>
        <w:pStyle w:val="TOC3"/>
        <w:rPr>
          <w:rFonts w:asciiTheme="minorHAnsi" w:eastAsiaTheme="minorEastAsia" w:hAnsiTheme="minorHAnsi" w:cstheme="minorBidi"/>
          <w:kern w:val="2"/>
          <w:lang w:eastAsia="ja-JP"/>
          <w14:ligatures w14:val="standardContextual"/>
        </w:rPr>
      </w:pPr>
      <w:hyperlink w:anchor="_Toc142383245" w:history="1">
        <w:r w:rsidR="00CB0C9E" w:rsidRPr="009E17C6">
          <w:rPr>
            <w:rStyle w:val="Hyperlink"/>
          </w:rPr>
          <w:t>KII Guide for AH Fellows</w:t>
        </w:r>
        <w:r w:rsidR="00CB0C9E">
          <w:rPr>
            <w:webHidden/>
          </w:rPr>
          <w:tab/>
        </w:r>
        <w:r w:rsidR="00CB0C9E">
          <w:rPr>
            <w:webHidden/>
          </w:rPr>
          <w:fldChar w:fldCharType="begin"/>
        </w:r>
        <w:r w:rsidR="00CB0C9E">
          <w:rPr>
            <w:webHidden/>
          </w:rPr>
          <w:instrText xml:space="preserve"> PAGEREF _Toc142383245 \h </w:instrText>
        </w:r>
        <w:r w:rsidR="00CB0C9E">
          <w:rPr>
            <w:webHidden/>
          </w:rPr>
        </w:r>
        <w:r w:rsidR="00CB0C9E">
          <w:rPr>
            <w:webHidden/>
          </w:rPr>
          <w:fldChar w:fldCharType="separate"/>
        </w:r>
        <w:r w:rsidR="00084C33">
          <w:rPr>
            <w:webHidden/>
          </w:rPr>
          <w:t>228</w:t>
        </w:r>
        <w:r w:rsidR="00CB0C9E">
          <w:rPr>
            <w:webHidden/>
          </w:rPr>
          <w:fldChar w:fldCharType="end"/>
        </w:r>
      </w:hyperlink>
    </w:p>
    <w:p w14:paraId="099793D6" w14:textId="45DE1A45" w:rsidR="00CB0C9E" w:rsidRDefault="007B247E">
      <w:pPr>
        <w:pStyle w:val="TOC3"/>
        <w:rPr>
          <w:rFonts w:asciiTheme="minorHAnsi" w:eastAsiaTheme="minorEastAsia" w:hAnsiTheme="minorHAnsi" w:cstheme="minorBidi"/>
          <w:kern w:val="2"/>
          <w:lang w:eastAsia="ja-JP"/>
          <w14:ligatures w14:val="standardContextual"/>
        </w:rPr>
      </w:pPr>
      <w:hyperlink w:anchor="_Toc142383246" w:history="1">
        <w:r w:rsidR="00CB0C9E" w:rsidRPr="009E17C6">
          <w:rPr>
            <w:rStyle w:val="Hyperlink"/>
          </w:rPr>
          <w:t>KII Guide for AH NRL</w:t>
        </w:r>
        <w:r w:rsidR="00CB0C9E">
          <w:rPr>
            <w:webHidden/>
          </w:rPr>
          <w:tab/>
        </w:r>
        <w:r w:rsidR="00CB0C9E">
          <w:rPr>
            <w:webHidden/>
          </w:rPr>
          <w:fldChar w:fldCharType="begin"/>
        </w:r>
        <w:r w:rsidR="00CB0C9E">
          <w:rPr>
            <w:webHidden/>
          </w:rPr>
          <w:instrText xml:space="preserve"> PAGEREF _Toc142383246 \h </w:instrText>
        </w:r>
        <w:r w:rsidR="00CB0C9E">
          <w:rPr>
            <w:webHidden/>
          </w:rPr>
        </w:r>
        <w:r w:rsidR="00CB0C9E">
          <w:rPr>
            <w:webHidden/>
          </w:rPr>
          <w:fldChar w:fldCharType="separate"/>
        </w:r>
        <w:r w:rsidR="00084C33">
          <w:rPr>
            <w:webHidden/>
          </w:rPr>
          <w:t>234</w:t>
        </w:r>
        <w:r w:rsidR="00CB0C9E">
          <w:rPr>
            <w:webHidden/>
          </w:rPr>
          <w:fldChar w:fldCharType="end"/>
        </w:r>
      </w:hyperlink>
    </w:p>
    <w:p w14:paraId="170F3AAF" w14:textId="0A17161E" w:rsidR="00CB0C9E" w:rsidRDefault="007B247E">
      <w:pPr>
        <w:pStyle w:val="TOC3"/>
        <w:rPr>
          <w:rFonts w:asciiTheme="minorHAnsi" w:eastAsiaTheme="minorEastAsia" w:hAnsiTheme="minorHAnsi" w:cstheme="minorBidi"/>
          <w:kern w:val="2"/>
          <w:lang w:eastAsia="ja-JP"/>
          <w14:ligatures w14:val="standardContextual"/>
        </w:rPr>
      </w:pPr>
      <w:hyperlink w:anchor="_Toc142383247" w:history="1">
        <w:r w:rsidR="00CB0C9E" w:rsidRPr="009E17C6">
          <w:rPr>
            <w:rStyle w:val="Hyperlink"/>
          </w:rPr>
          <w:t>KII Guide for AH Site</w:t>
        </w:r>
        <w:r w:rsidR="00CB0C9E">
          <w:rPr>
            <w:webHidden/>
          </w:rPr>
          <w:tab/>
        </w:r>
        <w:r w:rsidR="00CB0C9E">
          <w:rPr>
            <w:webHidden/>
          </w:rPr>
          <w:fldChar w:fldCharType="begin"/>
        </w:r>
        <w:r w:rsidR="00CB0C9E">
          <w:rPr>
            <w:webHidden/>
          </w:rPr>
          <w:instrText xml:space="preserve"> PAGEREF _Toc142383247 \h </w:instrText>
        </w:r>
        <w:r w:rsidR="00CB0C9E">
          <w:rPr>
            <w:webHidden/>
          </w:rPr>
        </w:r>
        <w:r w:rsidR="00CB0C9E">
          <w:rPr>
            <w:webHidden/>
          </w:rPr>
          <w:fldChar w:fldCharType="separate"/>
        </w:r>
        <w:r w:rsidR="00084C33">
          <w:rPr>
            <w:webHidden/>
          </w:rPr>
          <w:t>240</w:t>
        </w:r>
        <w:r w:rsidR="00CB0C9E">
          <w:rPr>
            <w:webHidden/>
          </w:rPr>
          <w:fldChar w:fldCharType="end"/>
        </w:r>
      </w:hyperlink>
    </w:p>
    <w:p w14:paraId="3E4AF90E" w14:textId="1A1CD5F5" w:rsidR="00CB0C9E" w:rsidRDefault="007B247E">
      <w:pPr>
        <w:pStyle w:val="TOC3"/>
        <w:rPr>
          <w:rFonts w:asciiTheme="minorHAnsi" w:eastAsiaTheme="minorEastAsia" w:hAnsiTheme="minorHAnsi" w:cstheme="minorBidi"/>
          <w:kern w:val="2"/>
          <w:lang w:eastAsia="ja-JP"/>
          <w14:ligatures w14:val="standardContextual"/>
        </w:rPr>
      </w:pPr>
      <w:hyperlink w:anchor="_Toc142383248" w:history="1">
        <w:r w:rsidR="00CB0C9E" w:rsidRPr="009E17C6">
          <w:rPr>
            <w:rStyle w:val="Hyperlink"/>
          </w:rPr>
          <w:t>KII Guide for AMRCC</w:t>
        </w:r>
        <w:r w:rsidR="00CB0C9E">
          <w:rPr>
            <w:webHidden/>
          </w:rPr>
          <w:tab/>
        </w:r>
        <w:r w:rsidR="00CB0C9E">
          <w:rPr>
            <w:webHidden/>
          </w:rPr>
          <w:fldChar w:fldCharType="begin"/>
        </w:r>
        <w:r w:rsidR="00CB0C9E">
          <w:rPr>
            <w:webHidden/>
          </w:rPr>
          <w:instrText xml:space="preserve"> PAGEREF _Toc142383248 \h </w:instrText>
        </w:r>
        <w:r w:rsidR="00CB0C9E">
          <w:rPr>
            <w:webHidden/>
          </w:rPr>
        </w:r>
        <w:r w:rsidR="00CB0C9E">
          <w:rPr>
            <w:webHidden/>
          </w:rPr>
          <w:fldChar w:fldCharType="separate"/>
        </w:r>
        <w:r w:rsidR="00084C33">
          <w:rPr>
            <w:webHidden/>
          </w:rPr>
          <w:t>246</w:t>
        </w:r>
        <w:r w:rsidR="00CB0C9E">
          <w:rPr>
            <w:webHidden/>
          </w:rPr>
          <w:fldChar w:fldCharType="end"/>
        </w:r>
      </w:hyperlink>
    </w:p>
    <w:p w14:paraId="5D4171BD" w14:textId="66DF6A33" w:rsidR="00CB0C9E" w:rsidRDefault="007B247E">
      <w:pPr>
        <w:pStyle w:val="TOC3"/>
        <w:rPr>
          <w:rFonts w:asciiTheme="minorHAnsi" w:eastAsiaTheme="minorEastAsia" w:hAnsiTheme="minorHAnsi" w:cstheme="minorBidi"/>
          <w:kern w:val="2"/>
          <w:lang w:eastAsia="ja-JP"/>
          <w14:ligatures w14:val="standardContextual"/>
        </w:rPr>
      </w:pPr>
      <w:hyperlink w:anchor="_Toc142383249" w:history="1">
        <w:r w:rsidR="00CB0C9E" w:rsidRPr="009E17C6">
          <w:rPr>
            <w:rStyle w:val="Hyperlink"/>
          </w:rPr>
          <w:t>KII Guide for CG teams</w:t>
        </w:r>
        <w:r w:rsidR="00CB0C9E">
          <w:rPr>
            <w:webHidden/>
          </w:rPr>
          <w:tab/>
        </w:r>
        <w:r w:rsidR="00CB0C9E">
          <w:rPr>
            <w:webHidden/>
          </w:rPr>
          <w:fldChar w:fldCharType="begin"/>
        </w:r>
        <w:r w:rsidR="00CB0C9E">
          <w:rPr>
            <w:webHidden/>
          </w:rPr>
          <w:instrText xml:space="preserve"> PAGEREF _Toc142383249 \h </w:instrText>
        </w:r>
        <w:r w:rsidR="00CB0C9E">
          <w:rPr>
            <w:webHidden/>
          </w:rPr>
        </w:r>
        <w:r w:rsidR="00CB0C9E">
          <w:rPr>
            <w:webHidden/>
          </w:rPr>
          <w:fldChar w:fldCharType="separate"/>
        </w:r>
        <w:r w:rsidR="00084C33">
          <w:rPr>
            <w:webHidden/>
          </w:rPr>
          <w:t>252</w:t>
        </w:r>
        <w:r w:rsidR="00CB0C9E">
          <w:rPr>
            <w:webHidden/>
          </w:rPr>
          <w:fldChar w:fldCharType="end"/>
        </w:r>
      </w:hyperlink>
    </w:p>
    <w:p w14:paraId="32B54FD4" w14:textId="4B05186C" w:rsidR="00CB0C9E" w:rsidRDefault="007B247E">
      <w:pPr>
        <w:pStyle w:val="TOC3"/>
        <w:rPr>
          <w:rFonts w:asciiTheme="minorHAnsi" w:eastAsiaTheme="minorEastAsia" w:hAnsiTheme="minorHAnsi" w:cstheme="minorBidi"/>
          <w:kern w:val="2"/>
          <w:lang w:eastAsia="ja-JP"/>
          <w14:ligatures w14:val="standardContextual"/>
        </w:rPr>
      </w:pPr>
      <w:hyperlink w:anchor="_Toc142383250" w:history="1">
        <w:r w:rsidR="00CB0C9E" w:rsidRPr="009E17C6">
          <w:rPr>
            <w:rStyle w:val="Hyperlink"/>
          </w:rPr>
          <w:t>KII Guide for FAO</w:t>
        </w:r>
        <w:r w:rsidR="00CB0C9E">
          <w:rPr>
            <w:webHidden/>
          </w:rPr>
          <w:tab/>
        </w:r>
        <w:r w:rsidR="00CB0C9E">
          <w:rPr>
            <w:webHidden/>
          </w:rPr>
          <w:fldChar w:fldCharType="begin"/>
        </w:r>
        <w:r w:rsidR="00CB0C9E">
          <w:rPr>
            <w:webHidden/>
          </w:rPr>
          <w:instrText xml:space="preserve"> PAGEREF _Toc142383250 \h </w:instrText>
        </w:r>
        <w:r w:rsidR="00CB0C9E">
          <w:rPr>
            <w:webHidden/>
          </w:rPr>
        </w:r>
        <w:r w:rsidR="00CB0C9E">
          <w:rPr>
            <w:webHidden/>
          </w:rPr>
          <w:fldChar w:fldCharType="separate"/>
        </w:r>
        <w:r w:rsidR="00084C33">
          <w:rPr>
            <w:webHidden/>
          </w:rPr>
          <w:t>264</w:t>
        </w:r>
        <w:r w:rsidR="00CB0C9E">
          <w:rPr>
            <w:webHidden/>
          </w:rPr>
          <w:fldChar w:fldCharType="end"/>
        </w:r>
      </w:hyperlink>
    </w:p>
    <w:p w14:paraId="70C44EA1" w14:textId="598A6AD0" w:rsidR="00CB0C9E" w:rsidRDefault="007B247E">
      <w:pPr>
        <w:pStyle w:val="TOC3"/>
        <w:rPr>
          <w:rFonts w:asciiTheme="minorHAnsi" w:eastAsiaTheme="minorEastAsia" w:hAnsiTheme="minorHAnsi" w:cstheme="minorBidi"/>
          <w:kern w:val="2"/>
          <w:lang w:eastAsia="ja-JP"/>
          <w14:ligatures w14:val="standardContextual"/>
        </w:rPr>
      </w:pPr>
      <w:hyperlink w:anchor="_Toc142383251" w:history="1">
        <w:r w:rsidR="00CB0C9E" w:rsidRPr="009E17C6">
          <w:rPr>
            <w:rStyle w:val="Hyperlink"/>
          </w:rPr>
          <w:t>KII Guide for GLASS FP</w:t>
        </w:r>
        <w:r w:rsidR="00CB0C9E">
          <w:rPr>
            <w:webHidden/>
          </w:rPr>
          <w:tab/>
        </w:r>
        <w:r w:rsidR="00CB0C9E">
          <w:rPr>
            <w:webHidden/>
          </w:rPr>
          <w:fldChar w:fldCharType="begin"/>
        </w:r>
        <w:r w:rsidR="00CB0C9E">
          <w:rPr>
            <w:webHidden/>
          </w:rPr>
          <w:instrText xml:space="preserve"> PAGEREF _Toc142383251 \h </w:instrText>
        </w:r>
        <w:r w:rsidR="00CB0C9E">
          <w:rPr>
            <w:webHidden/>
          </w:rPr>
        </w:r>
        <w:r w:rsidR="00CB0C9E">
          <w:rPr>
            <w:webHidden/>
          </w:rPr>
          <w:fldChar w:fldCharType="separate"/>
        </w:r>
        <w:r w:rsidR="00084C33">
          <w:rPr>
            <w:webHidden/>
          </w:rPr>
          <w:t>268</w:t>
        </w:r>
        <w:r w:rsidR="00CB0C9E">
          <w:rPr>
            <w:webHidden/>
          </w:rPr>
          <w:fldChar w:fldCharType="end"/>
        </w:r>
      </w:hyperlink>
    </w:p>
    <w:p w14:paraId="360975CB" w14:textId="3D765233" w:rsidR="00CB0C9E" w:rsidRDefault="007B247E">
      <w:pPr>
        <w:pStyle w:val="TOC3"/>
        <w:rPr>
          <w:rFonts w:asciiTheme="minorHAnsi" w:eastAsiaTheme="minorEastAsia" w:hAnsiTheme="minorHAnsi" w:cstheme="minorBidi"/>
          <w:kern w:val="2"/>
          <w:lang w:eastAsia="ja-JP"/>
          <w14:ligatures w14:val="standardContextual"/>
        </w:rPr>
      </w:pPr>
      <w:hyperlink w:anchor="_Toc142383252" w:history="1">
        <w:r w:rsidR="00CB0C9E" w:rsidRPr="009E17C6">
          <w:rPr>
            <w:rStyle w:val="Hyperlink"/>
          </w:rPr>
          <w:t>KII Guide for HH AMR FP</w:t>
        </w:r>
        <w:r w:rsidR="00CB0C9E">
          <w:rPr>
            <w:webHidden/>
          </w:rPr>
          <w:tab/>
        </w:r>
        <w:r w:rsidR="00CB0C9E">
          <w:rPr>
            <w:webHidden/>
          </w:rPr>
          <w:fldChar w:fldCharType="begin"/>
        </w:r>
        <w:r w:rsidR="00CB0C9E">
          <w:rPr>
            <w:webHidden/>
          </w:rPr>
          <w:instrText xml:space="preserve"> PAGEREF _Toc142383252 \h </w:instrText>
        </w:r>
        <w:r w:rsidR="00CB0C9E">
          <w:rPr>
            <w:webHidden/>
          </w:rPr>
        </w:r>
        <w:r w:rsidR="00CB0C9E">
          <w:rPr>
            <w:webHidden/>
          </w:rPr>
          <w:fldChar w:fldCharType="separate"/>
        </w:r>
        <w:r w:rsidR="00084C33">
          <w:rPr>
            <w:webHidden/>
          </w:rPr>
          <w:t>275</w:t>
        </w:r>
        <w:r w:rsidR="00CB0C9E">
          <w:rPr>
            <w:webHidden/>
          </w:rPr>
          <w:fldChar w:fldCharType="end"/>
        </w:r>
      </w:hyperlink>
    </w:p>
    <w:p w14:paraId="23F8B79A" w14:textId="159DA7C3" w:rsidR="00CB0C9E" w:rsidRDefault="007B247E">
      <w:pPr>
        <w:pStyle w:val="TOC3"/>
        <w:rPr>
          <w:rFonts w:asciiTheme="minorHAnsi" w:eastAsiaTheme="minorEastAsia" w:hAnsiTheme="minorHAnsi" w:cstheme="minorBidi"/>
          <w:kern w:val="2"/>
          <w:lang w:eastAsia="ja-JP"/>
          <w14:ligatures w14:val="standardContextual"/>
        </w:rPr>
      </w:pPr>
      <w:hyperlink w:anchor="_Toc142383253" w:history="1">
        <w:r w:rsidR="00CB0C9E" w:rsidRPr="009E17C6">
          <w:rPr>
            <w:rStyle w:val="Hyperlink"/>
          </w:rPr>
          <w:t>KII Guide for HH Fellows</w:t>
        </w:r>
        <w:r w:rsidR="00CB0C9E">
          <w:rPr>
            <w:webHidden/>
          </w:rPr>
          <w:tab/>
        </w:r>
        <w:r w:rsidR="00CB0C9E">
          <w:rPr>
            <w:webHidden/>
          </w:rPr>
          <w:fldChar w:fldCharType="begin"/>
        </w:r>
        <w:r w:rsidR="00CB0C9E">
          <w:rPr>
            <w:webHidden/>
          </w:rPr>
          <w:instrText xml:space="preserve"> PAGEREF _Toc142383253 \h </w:instrText>
        </w:r>
        <w:r w:rsidR="00CB0C9E">
          <w:rPr>
            <w:webHidden/>
          </w:rPr>
        </w:r>
        <w:r w:rsidR="00CB0C9E">
          <w:rPr>
            <w:webHidden/>
          </w:rPr>
          <w:fldChar w:fldCharType="separate"/>
        </w:r>
        <w:r w:rsidR="00084C33">
          <w:rPr>
            <w:webHidden/>
          </w:rPr>
          <w:t>281</w:t>
        </w:r>
        <w:r w:rsidR="00CB0C9E">
          <w:rPr>
            <w:webHidden/>
          </w:rPr>
          <w:fldChar w:fldCharType="end"/>
        </w:r>
      </w:hyperlink>
    </w:p>
    <w:p w14:paraId="17A85408" w14:textId="044C5629" w:rsidR="00CB0C9E" w:rsidRDefault="007B247E">
      <w:pPr>
        <w:pStyle w:val="TOC3"/>
        <w:rPr>
          <w:rFonts w:asciiTheme="minorHAnsi" w:eastAsiaTheme="minorEastAsia" w:hAnsiTheme="minorHAnsi" w:cstheme="minorBidi"/>
          <w:kern w:val="2"/>
          <w:lang w:eastAsia="ja-JP"/>
          <w14:ligatures w14:val="standardContextual"/>
        </w:rPr>
      </w:pPr>
      <w:hyperlink w:anchor="_Toc142383254" w:history="1">
        <w:r w:rsidR="00CB0C9E" w:rsidRPr="009E17C6">
          <w:rPr>
            <w:rStyle w:val="Hyperlink"/>
          </w:rPr>
          <w:t>KII Guide for HH NRL</w:t>
        </w:r>
        <w:r w:rsidR="00CB0C9E">
          <w:rPr>
            <w:webHidden/>
          </w:rPr>
          <w:tab/>
        </w:r>
        <w:r w:rsidR="00CB0C9E">
          <w:rPr>
            <w:webHidden/>
          </w:rPr>
          <w:fldChar w:fldCharType="begin"/>
        </w:r>
        <w:r w:rsidR="00CB0C9E">
          <w:rPr>
            <w:webHidden/>
          </w:rPr>
          <w:instrText xml:space="preserve"> PAGEREF _Toc142383254 \h </w:instrText>
        </w:r>
        <w:r w:rsidR="00CB0C9E">
          <w:rPr>
            <w:webHidden/>
          </w:rPr>
        </w:r>
        <w:r w:rsidR="00CB0C9E">
          <w:rPr>
            <w:webHidden/>
          </w:rPr>
          <w:fldChar w:fldCharType="separate"/>
        </w:r>
        <w:r w:rsidR="00084C33">
          <w:rPr>
            <w:webHidden/>
          </w:rPr>
          <w:t>287</w:t>
        </w:r>
        <w:r w:rsidR="00CB0C9E">
          <w:rPr>
            <w:webHidden/>
          </w:rPr>
          <w:fldChar w:fldCharType="end"/>
        </w:r>
      </w:hyperlink>
    </w:p>
    <w:p w14:paraId="2FAC7C84" w14:textId="69DD34F7" w:rsidR="00CB0C9E" w:rsidRDefault="007B247E">
      <w:pPr>
        <w:pStyle w:val="TOC3"/>
        <w:rPr>
          <w:rFonts w:asciiTheme="minorHAnsi" w:eastAsiaTheme="minorEastAsia" w:hAnsiTheme="minorHAnsi" w:cstheme="minorBidi"/>
          <w:kern w:val="2"/>
          <w:lang w:eastAsia="ja-JP"/>
          <w14:ligatures w14:val="standardContextual"/>
        </w:rPr>
      </w:pPr>
      <w:hyperlink w:anchor="_Toc142383255" w:history="1">
        <w:r w:rsidR="00CB0C9E" w:rsidRPr="009E17C6">
          <w:rPr>
            <w:rStyle w:val="Hyperlink"/>
          </w:rPr>
          <w:t>KII Guide for HH Site</w:t>
        </w:r>
        <w:r w:rsidR="00CB0C9E">
          <w:rPr>
            <w:webHidden/>
          </w:rPr>
          <w:tab/>
        </w:r>
        <w:r w:rsidR="00CB0C9E">
          <w:rPr>
            <w:webHidden/>
          </w:rPr>
          <w:fldChar w:fldCharType="begin"/>
        </w:r>
        <w:r w:rsidR="00CB0C9E">
          <w:rPr>
            <w:webHidden/>
          </w:rPr>
          <w:instrText xml:space="preserve"> PAGEREF _Toc142383255 \h </w:instrText>
        </w:r>
        <w:r w:rsidR="00CB0C9E">
          <w:rPr>
            <w:webHidden/>
          </w:rPr>
        </w:r>
        <w:r w:rsidR="00CB0C9E">
          <w:rPr>
            <w:webHidden/>
          </w:rPr>
          <w:fldChar w:fldCharType="separate"/>
        </w:r>
        <w:r w:rsidR="00084C33">
          <w:rPr>
            <w:webHidden/>
          </w:rPr>
          <w:t>292</w:t>
        </w:r>
        <w:r w:rsidR="00CB0C9E">
          <w:rPr>
            <w:webHidden/>
          </w:rPr>
          <w:fldChar w:fldCharType="end"/>
        </w:r>
      </w:hyperlink>
    </w:p>
    <w:p w14:paraId="0731A3FB" w14:textId="0329D78C" w:rsidR="00CB0C9E" w:rsidRDefault="007B247E">
      <w:pPr>
        <w:pStyle w:val="TOC3"/>
        <w:rPr>
          <w:rFonts w:asciiTheme="minorHAnsi" w:eastAsiaTheme="minorEastAsia" w:hAnsiTheme="minorHAnsi" w:cstheme="minorBidi"/>
          <w:kern w:val="2"/>
          <w:lang w:eastAsia="ja-JP"/>
          <w14:ligatures w14:val="standardContextual"/>
        </w:rPr>
      </w:pPr>
      <w:hyperlink w:anchor="_Toc142383256" w:history="1">
        <w:r w:rsidR="00CB0C9E" w:rsidRPr="009E17C6">
          <w:rPr>
            <w:rStyle w:val="Hyperlink"/>
          </w:rPr>
          <w:t>KII Guide for HI teams</w:t>
        </w:r>
        <w:r w:rsidR="00CB0C9E">
          <w:rPr>
            <w:webHidden/>
          </w:rPr>
          <w:tab/>
        </w:r>
        <w:r w:rsidR="00CB0C9E">
          <w:rPr>
            <w:webHidden/>
          </w:rPr>
          <w:fldChar w:fldCharType="begin"/>
        </w:r>
        <w:r w:rsidR="00CB0C9E">
          <w:rPr>
            <w:webHidden/>
          </w:rPr>
          <w:instrText xml:space="preserve"> PAGEREF _Toc142383256 \h </w:instrText>
        </w:r>
        <w:r w:rsidR="00CB0C9E">
          <w:rPr>
            <w:webHidden/>
          </w:rPr>
        </w:r>
        <w:r w:rsidR="00CB0C9E">
          <w:rPr>
            <w:webHidden/>
          </w:rPr>
          <w:fldChar w:fldCharType="separate"/>
        </w:r>
        <w:r w:rsidR="00084C33">
          <w:rPr>
            <w:webHidden/>
          </w:rPr>
          <w:t>296</w:t>
        </w:r>
        <w:r w:rsidR="00CB0C9E">
          <w:rPr>
            <w:webHidden/>
          </w:rPr>
          <w:fldChar w:fldCharType="end"/>
        </w:r>
      </w:hyperlink>
    </w:p>
    <w:p w14:paraId="166C875D" w14:textId="23C0B0DD" w:rsidR="00CB0C9E" w:rsidRDefault="007B247E">
      <w:pPr>
        <w:pStyle w:val="TOC3"/>
        <w:rPr>
          <w:rFonts w:asciiTheme="minorHAnsi" w:eastAsiaTheme="minorEastAsia" w:hAnsiTheme="minorHAnsi" w:cstheme="minorBidi"/>
          <w:kern w:val="2"/>
          <w:lang w:eastAsia="ja-JP"/>
          <w14:ligatures w14:val="standardContextual"/>
        </w:rPr>
      </w:pPr>
      <w:hyperlink w:anchor="_Toc142383257" w:history="1">
        <w:r w:rsidR="00CB0C9E" w:rsidRPr="009E17C6">
          <w:rPr>
            <w:rStyle w:val="Hyperlink"/>
          </w:rPr>
          <w:t>KII Guide for MA Regional teams</w:t>
        </w:r>
        <w:r w:rsidR="00CB0C9E">
          <w:rPr>
            <w:webHidden/>
          </w:rPr>
          <w:tab/>
        </w:r>
        <w:r w:rsidR="00CB0C9E">
          <w:rPr>
            <w:webHidden/>
          </w:rPr>
          <w:fldChar w:fldCharType="begin"/>
        </w:r>
        <w:r w:rsidR="00CB0C9E">
          <w:rPr>
            <w:webHidden/>
          </w:rPr>
          <w:instrText xml:space="preserve"> PAGEREF _Toc142383257 \h </w:instrText>
        </w:r>
        <w:r w:rsidR="00CB0C9E">
          <w:rPr>
            <w:webHidden/>
          </w:rPr>
        </w:r>
        <w:r w:rsidR="00CB0C9E">
          <w:rPr>
            <w:webHidden/>
          </w:rPr>
          <w:fldChar w:fldCharType="separate"/>
        </w:r>
        <w:r w:rsidR="00084C33">
          <w:rPr>
            <w:webHidden/>
          </w:rPr>
          <w:t>302</w:t>
        </w:r>
        <w:r w:rsidR="00CB0C9E">
          <w:rPr>
            <w:webHidden/>
          </w:rPr>
          <w:fldChar w:fldCharType="end"/>
        </w:r>
      </w:hyperlink>
    </w:p>
    <w:p w14:paraId="5C91B095" w14:textId="09700D30" w:rsidR="00CB0C9E" w:rsidRDefault="007B247E">
      <w:pPr>
        <w:pStyle w:val="TOC3"/>
        <w:rPr>
          <w:rFonts w:asciiTheme="minorHAnsi" w:eastAsiaTheme="minorEastAsia" w:hAnsiTheme="minorHAnsi" w:cstheme="minorBidi"/>
          <w:kern w:val="2"/>
          <w:lang w:eastAsia="ja-JP"/>
          <w14:ligatures w14:val="standardContextual"/>
        </w:rPr>
      </w:pPr>
      <w:hyperlink w:anchor="_Toc142383258" w:history="1">
        <w:r w:rsidR="00CB0C9E" w:rsidRPr="009E17C6">
          <w:rPr>
            <w:rStyle w:val="Hyperlink"/>
          </w:rPr>
          <w:t>KII Guide for OIE FP</w:t>
        </w:r>
        <w:r w:rsidR="00CB0C9E">
          <w:rPr>
            <w:webHidden/>
          </w:rPr>
          <w:tab/>
        </w:r>
        <w:r w:rsidR="00CB0C9E">
          <w:rPr>
            <w:webHidden/>
          </w:rPr>
          <w:fldChar w:fldCharType="begin"/>
        </w:r>
        <w:r w:rsidR="00CB0C9E">
          <w:rPr>
            <w:webHidden/>
          </w:rPr>
          <w:instrText xml:space="preserve"> PAGEREF _Toc142383258 \h </w:instrText>
        </w:r>
        <w:r w:rsidR="00CB0C9E">
          <w:rPr>
            <w:webHidden/>
          </w:rPr>
        </w:r>
        <w:r w:rsidR="00CB0C9E">
          <w:rPr>
            <w:webHidden/>
          </w:rPr>
          <w:fldChar w:fldCharType="separate"/>
        </w:r>
        <w:r w:rsidR="00084C33">
          <w:rPr>
            <w:webHidden/>
          </w:rPr>
          <w:t>305</w:t>
        </w:r>
        <w:r w:rsidR="00CB0C9E">
          <w:rPr>
            <w:webHidden/>
          </w:rPr>
          <w:fldChar w:fldCharType="end"/>
        </w:r>
      </w:hyperlink>
    </w:p>
    <w:p w14:paraId="5C302E00" w14:textId="4E9BEE2A" w:rsidR="00CB0C9E" w:rsidRDefault="007B247E">
      <w:pPr>
        <w:pStyle w:val="TOC3"/>
        <w:rPr>
          <w:rFonts w:asciiTheme="minorHAnsi" w:eastAsiaTheme="minorEastAsia" w:hAnsiTheme="minorHAnsi" w:cstheme="minorBidi"/>
          <w:kern w:val="2"/>
          <w:lang w:eastAsia="ja-JP"/>
          <w14:ligatures w14:val="standardContextual"/>
        </w:rPr>
      </w:pPr>
      <w:hyperlink w:anchor="_Toc142383259" w:history="1">
        <w:r w:rsidR="00CB0C9E" w:rsidRPr="009E17C6">
          <w:rPr>
            <w:rStyle w:val="Hyperlink"/>
          </w:rPr>
          <w:t>KII Guide for Other decision makes</w:t>
        </w:r>
        <w:r w:rsidR="00CB0C9E">
          <w:rPr>
            <w:webHidden/>
          </w:rPr>
          <w:tab/>
        </w:r>
        <w:r w:rsidR="00CB0C9E">
          <w:rPr>
            <w:webHidden/>
          </w:rPr>
          <w:fldChar w:fldCharType="begin"/>
        </w:r>
        <w:r w:rsidR="00CB0C9E">
          <w:rPr>
            <w:webHidden/>
          </w:rPr>
          <w:instrText xml:space="preserve"> PAGEREF _Toc142383259 \h </w:instrText>
        </w:r>
        <w:r w:rsidR="00CB0C9E">
          <w:rPr>
            <w:webHidden/>
          </w:rPr>
        </w:r>
        <w:r w:rsidR="00CB0C9E">
          <w:rPr>
            <w:webHidden/>
          </w:rPr>
          <w:fldChar w:fldCharType="separate"/>
        </w:r>
        <w:r w:rsidR="00084C33">
          <w:rPr>
            <w:webHidden/>
          </w:rPr>
          <w:t>312</w:t>
        </w:r>
        <w:r w:rsidR="00CB0C9E">
          <w:rPr>
            <w:webHidden/>
          </w:rPr>
          <w:fldChar w:fldCharType="end"/>
        </w:r>
      </w:hyperlink>
    </w:p>
    <w:p w14:paraId="3F61A917" w14:textId="1267EF9C" w:rsidR="00CB0C9E" w:rsidRDefault="007B247E">
      <w:pPr>
        <w:pStyle w:val="TOC3"/>
        <w:rPr>
          <w:rFonts w:asciiTheme="minorHAnsi" w:eastAsiaTheme="minorEastAsia" w:hAnsiTheme="minorHAnsi" w:cstheme="minorBidi"/>
          <w:kern w:val="2"/>
          <w:lang w:eastAsia="ja-JP"/>
          <w14:ligatures w14:val="standardContextual"/>
        </w:rPr>
      </w:pPr>
      <w:hyperlink w:anchor="_Toc142383260" w:history="1">
        <w:r w:rsidR="00CB0C9E" w:rsidRPr="009E17C6">
          <w:rPr>
            <w:rStyle w:val="Hyperlink"/>
          </w:rPr>
          <w:t>KII Guide for other DPs</w:t>
        </w:r>
        <w:r w:rsidR="00CB0C9E">
          <w:rPr>
            <w:webHidden/>
          </w:rPr>
          <w:tab/>
        </w:r>
        <w:r w:rsidR="00CB0C9E">
          <w:rPr>
            <w:webHidden/>
          </w:rPr>
          <w:fldChar w:fldCharType="begin"/>
        </w:r>
        <w:r w:rsidR="00CB0C9E">
          <w:rPr>
            <w:webHidden/>
          </w:rPr>
          <w:instrText xml:space="preserve"> PAGEREF _Toc142383260 \h </w:instrText>
        </w:r>
        <w:r w:rsidR="00CB0C9E">
          <w:rPr>
            <w:webHidden/>
          </w:rPr>
        </w:r>
        <w:r w:rsidR="00CB0C9E">
          <w:rPr>
            <w:webHidden/>
          </w:rPr>
          <w:fldChar w:fldCharType="separate"/>
        </w:r>
        <w:r w:rsidR="00084C33">
          <w:rPr>
            <w:webHidden/>
          </w:rPr>
          <w:t>318</w:t>
        </w:r>
        <w:r w:rsidR="00CB0C9E">
          <w:rPr>
            <w:webHidden/>
          </w:rPr>
          <w:fldChar w:fldCharType="end"/>
        </w:r>
      </w:hyperlink>
    </w:p>
    <w:p w14:paraId="20A0B132" w14:textId="3B7DE0BE" w:rsidR="00CB0C9E" w:rsidRDefault="007B247E">
      <w:pPr>
        <w:pStyle w:val="TOC3"/>
        <w:rPr>
          <w:rFonts w:asciiTheme="minorHAnsi" w:eastAsiaTheme="minorEastAsia" w:hAnsiTheme="minorHAnsi" w:cstheme="minorBidi"/>
          <w:kern w:val="2"/>
          <w:lang w:eastAsia="ja-JP"/>
          <w14:ligatures w14:val="standardContextual"/>
        </w:rPr>
      </w:pPr>
      <w:hyperlink w:anchor="_Toc142383261" w:history="1">
        <w:r w:rsidR="00CB0C9E" w:rsidRPr="009E17C6">
          <w:rPr>
            <w:rStyle w:val="Hyperlink"/>
          </w:rPr>
          <w:t>KII Guide for Policy Fellows</w:t>
        </w:r>
        <w:r w:rsidR="00CB0C9E">
          <w:rPr>
            <w:webHidden/>
          </w:rPr>
          <w:tab/>
        </w:r>
        <w:r w:rsidR="00CB0C9E">
          <w:rPr>
            <w:webHidden/>
          </w:rPr>
          <w:fldChar w:fldCharType="begin"/>
        </w:r>
        <w:r w:rsidR="00CB0C9E">
          <w:rPr>
            <w:webHidden/>
          </w:rPr>
          <w:instrText xml:space="preserve"> PAGEREF _Toc142383261 \h </w:instrText>
        </w:r>
        <w:r w:rsidR="00CB0C9E">
          <w:rPr>
            <w:webHidden/>
          </w:rPr>
        </w:r>
        <w:r w:rsidR="00CB0C9E">
          <w:rPr>
            <w:webHidden/>
          </w:rPr>
          <w:fldChar w:fldCharType="separate"/>
        </w:r>
        <w:r w:rsidR="00084C33">
          <w:rPr>
            <w:webHidden/>
          </w:rPr>
          <w:t>321</w:t>
        </w:r>
        <w:r w:rsidR="00CB0C9E">
          <w:rPr>
            <w:webHidden/>
          </w:rPr>
          <w:fldChar w:fldCharType="end"/>
        </w:r>
      </w:hyperlink>
    </w:p>
    <w:p w14:paraId="4FBA9CD6" w14:textId="1EBA3B10" w:rsidR="00CB0C9E" w:rsidRDefault="007B247E">
      <w:pPr>
        <w:pStyle w:val="TOC3"/>
        <w:rPr>
          <w:rFonts w:asciiTheme="minorHAnsi" w:eastAsiaTheme="minorEastAsia" w:hAnsiTheme="minorHAnsi" w:cstheme="minorBidi"/>
          <w:kern w:val="2"/>
          <w:lang w:eastAsia="ja-JP"/>
          <w14:ligatures w14:val="standardContextual"/>
        </w:rPr>
      </w:pPr>
      <w:hyperlink w:anchor="_Toc142383262" w:history="1">
        <w:r w:rsidR="00CB0C9E" w:rsidRPr="009E17C6">
          <w:rPr>
            <w:rStyle w:val="Hyperlink"/>
          </w:rPr>
          <w:t>KII Guide for WHO</w:t>
        </w:r>
        <w:r w:rsidR="00CB0C9E">
          <w:rPr>
            <w:webHidden/>
          </w:rPr>
          <w:tab/>
        </w:r>
        <w:r w:rsidR="00CB0C9E">
          <w:rPr>
            <w:webHidden/>
          </w:rPr>
          <w:fldChar w:fldCharType="begin"/>
        </w:r>
        <w:r w:rsidR="00CB0C9E">
          <w:rPr>
            <w:webHidden/>
          </w:rPr>
          <w:instrText xml:space="preserve"> PAGEREF _Toc142383262 \h </w:instrText>
        </w:r>
        <w:r w:rsidR="00CB0C9E">
          <w:rPr>
            <w:webHidden/>
          </w:rPr>
        </w:r>
        <w:r w:rsidR="00CB0C9E">
          <w:rPr>
            <w:webHidden/>
          </w:rPr>
          <w:fldChar w:fldCharType="separate"/>
        </w:r>
        <w:r w:rsidR="00084C33">
          <w:rPr>
            <w:webHidden/>
          </w:rPr>
          <w:t>327</w:t>
        </w:r>
        <w:r w:rsidR="00CB0C9E">
          <w:rPr>
            <w:webHidden/>
          </w:rPr>
          <w:fldChar w:fldCharType="end"/>
        </w:r>
      </w:hyperlink>
    </w:p>
    <w:p w14:paraId="5F77E6F8" w14:textId="77777777" w:rsidR="00B66AA7" w:rsidRDefault="0066140D" w:rsidP="007458AC">
      <w:pPr>
        <w:pStyle w:val="ItadH1"/>
      </w:pPr>
      <w:r>
        <w:fldChar w:fldCharType="end"/>
      </w:r>
      <w:bookmarkStart w:id="1" w:name="_Toc122352626"/>
      <w:bookmarkStart w:id="2" w:name="_Toc142383129"/>
    </w:p>
    <w:p w14:paraId="7DCAA377" w14:textId="77777777" w:rsidR="00B66AA7" w:rsidRDefault="00B66AA7">
      <w:pPr>
        <w:rPr>
          <w:b/>
          <w:bCs/>
          <w:color w:val="588B46" w:themeColor="text2"/>
          <w:sz w:val="32"/>
          <w:szCs w:val="32"/>
        </w:rPr>
      </w:pPr>
      <w:r>
        <w:br w:type="page"/>
      </w:r>
    </w:p>
    <w:p w14:paraId="468F2169" w14:textId="15E498E7" w:rsidR="007458AC" w:rsidRPr="009E7B14" w:rsidRDefault="007458AC" w:rsidP="007458AC">
      <w:pPr>
        <w:pStyle w:val="ItadH1"/>
      </w:pPr>
      <w:r>
        <w:t>List of figures</w:t>
      </w:r>
      <w:bookmarkEnd w:id="1"/>
      <w:bookmarkEnd w:id="2"/>
    </w:p>
    <w:p w14:paraId="10A88421" w14:textId="769ABBFB" w:rsidR="00552411" w:rsidRDefault="00AC1FB0">
      <w:pPr>
        <w:pStyle w:val="TableofFigures"/>
        <w:tabs>
          <w:tab w:val="right" w:leader="dot" w:pos="9508"/>
        </w:tabs>
        <w:rPr>
          <w:rFonts w:asciiTheme="minorHAnsi" w:eastAsiaTheme="minorEastAsia" w:hAnsiTheme="minorHAnsi" w:cstheme="minorBidi"/>
          <w:noProof/>
          <w:kern w:val="2"/>
          <w:lang w:eastAsia="en-GB"/>
          <w14:ligatures w14:val="standardContextual"/>
        </w:rPr>
      </w:pPr>
      <w:r>
        <w:fldChar w:fldCharType="begin"/>
      </w:r>
      <w:r>
        <w:instrText xml:space="preserve"> TOC \h \z \c "Figure" </w:instrText>
      </w:r>
      <w:r>
        <w:fldChar w:fldCharType="separate"/>
      </w:r>
      <w:hyperlink w:anchor="_Toc143858055" w:history="1">
        <w:r w:rsidR="00552411" w:rsidRPr="008732FD">
          <w:rPr>
            <w:rStyle w:val="Hyperlink"/>
            <w:noProof/>
          </w:rPr>
          <w:t>Figure 1 Organogram of Fleming Fund workstreams</w:t>
        </w:r>
        <w:r w:rsidR="00552411">
          <w:rPr>
            <w:noProof/>
            <w:webHidden/>
          </w:rPr>
          <w:tab/>
        </w:r>
        <w:r w:rsidR="00552411">
          <w:rPr>
            <w:noProof/>
            <w:webHidden/>
          </w:rPr>
          <w:fldChar w:fldCharType="begin"/>
        </w:r>
        <w:r w:rsidR="00552411">
          <w:rPr>
            <w:noProof/>
            <w:webHidden/>
          </w:rPr>
          <w:instrText xml:space="preserve"> PAGEREF _Toc143858055 \h </w:instrText>
        </w:r>
        <w:r w:rsidR="00552411">
          <w:rPr>
            <w:noProof/>
            <w:webHidden/>
          </w:rPr>
        </w:r>
        <w:r w:rsidR="00552411">
          <w:rPr>
            <w:noProof/>
            <w:webHidden/>
          </w:rPr>
          <w:fldChar w:fldCharType="separate"/>
        </w:r>
        <w:r w:rsidR="00F47CAA">
          <w:rPr>
            <w:noProof/>
            <w:webHidden/>
          </w:rPr>
          <w:t>41</w:t>
        </w:r>
        <w:r w:rsidR="00552411">
          <w:rPr>
            <w:noProof/>
            <w:webHidden/>
          </w:rPr>
          <w:fldChar w:fldCharType="end"/>
        </w:r>
      </w:hyperlink>
    </w:p>
    <w:p w14:paraId="2BE1914C" w14:textId="5F1F31E2"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56" w:history="1">
        <w:r w:rsidR="00552411" w:rsidRPr="008732FD">
          <w:rPr>
            <w:rStyle w:val="Hyperlink"/>
            <w:noProof/>
          </w:rPr>
          <w:t>Figure 2 Six EQs or ‘agreed measures of success’</w:t>
        </w:r>
        <w:r w:rsidR="00552411">
          <w:rPr>
            <w:noProof/>
            <w:webHidden/>
          </w:rPr>
          <w:tab/>
        </w:r>
        <w:r w:rsidR="00552411">
          <w:rPr>
            <w:noProof/>
            <w:webHidden/>
          </w:rPr>
          <w:fldChar w:fldCharType="begin"/>
        </w:r>
        <w:r w:rsidR="00552411">
          <w:rPr>
            <w:noProof/>
            <w:webHidden/>
          </w:rPr>
          <w:instrText xml:space="preserve"> PAGEREF _Toc143858056 \h </w:instrText>
        </w:r>
        <w:r w:rsidR="00552411">
          <w:rPr>
            <w:noProof/>
            <w:webHidden/>
          </w:rPr>
        </w:r>
        <w:r w:rsidR="00552411">
          <w:rPr>
            <w:noProof/>
            <w:webHidden/>
          </w:rPr>
          <w:fldChar w:fldCharType="separate"/>
        </w:r>
        <w:r w:rsidR="00F47CAA">
          <w:rPr>
            <w:noProof/>
            <w:webHidden/>
          </w:rPr>
          <w:t>42</w:t>
        </w:r>
        <w:r w:rsidR="00552411">
          <w:rPr>
            <w:noProof/>
            <w:webHidden/>
          </w:rPr>
          <w:fldChar w:fldCharType="end"/>
        </w:r>
      </w:hyperlink>
    </w:p>
    <w:p w14:paraId="078FEA01" w14:textId="3056FF37"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r:id="rId16" w:anchor="_Toc143858057" w:history="1">
        <w:r w:rsidR="00552411" w:rsidRPr="008732FD">
          <w:rPr>
            <w:rStyle w:val="Hyperlink"/>
            <w:noProof/>
          </w:rPr>
          <w:t>Figure 3 Overview of evaluation framework</w:t>
        </w:r>
        <w:r w:rsidR="00552411">
          <w:rPr>
            <w:noProof/>
            <w:webHidden/>
          </w:rPr>
          <w:tab/>
        </w:r>
        <w:r w:rsidR="00552411">
          <w:rPr>
            <w:noProof/>
            <w:webHidden/>
          </w:rPr>
          <w:fldChar w:fldCharType="begin"/>
        </w:r>
        <w:r w:rsidR="00552411">
          <w:rPr>
            <w:noProof/>
            <w:webHidden/>
          </w:rPr>
          <w:instrText xml:space="preserve"> PAGEREF _Toc143858057 \h </w:instrText>
        </w:r>
        <w:r w:rsidR="00552411">
          <w:rPr>
            <w:noProof/>
            <w:webHidden/>
          </w:rPr>
        </w:r>
        <w:r w:rsidR="00552411">
          <w:rPr>
            <w:noProof/>
            <w:webHidden/>
          </w:rPr>
          <w:fldChar w:fldCharType="separate"/>
        </w:r>
        <w:r w:rsidR="00F47CAA">
          <w:rPr>
            <w:noProof/>
            <w:webHidden/>
          </w:rPr>
          <w:t>45</w:t>
        </w:r>
        <w:r w:rsidR="00552411">
          <w:rPr>
            <w:noProof/>
            <w:webHidden/>
          </w:rPr>
          <w:fldChar w:fldCharType="end"/>
        </w:r>
      </w:hyperlink>
    </w:p>
    <w:p w14:paraId="3710D03A" w14:textId="00D9D299"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58" w:history="1">
        <w:r w:rsidR="00552411" w:rsidRPr="008732FD">
          <w:rPr>
            <w:rStyle w:val="Hyperlink"/>
            <w:noProof/>
          </w:rPr>
          <w:t>Figure 4 Six steps of contribution analysis</w:t>
        </w:r>
        <w:r w:rsidR="00552411">
          <w:rPr>
            <w:noProof/>
            <w:webHidden/>
          </w:rPr>
          <w:tab/>
        </w:r>
        <w:r w:rsidR="00552411">
          <w:rPr>
            <w:noProof/>
            <w:webHidden/>
          </w:rPr>
          <w:fldChar w:fldCharType="begin"/>
        </w:r>
        <w:r w:rsidR="00552411">
          <w:rPr>
            <w:noProof/>
            <w:webHidden/>
          </w:rPr>
          <w:instrText xml:space="preserve"> PAGEREF _Toc143858058 \h </w:instrText>
        </w:r>
        <w:r w:rsidR="00552411">
          <w:rPr>
            <w:noProof/>
            <w:webHidden/>
          </w:rPr>
        </w:r>
        <w:r w:rsidR="00552411">
          <w:rPr>
            <w:noProof/>
            <w:webHidden/>
          </w:rPr>
          <w:fldChar w:fldCharType="separate"/>
        </w:r>
        <w:r w:rsidR="00F47CAA">
          <w:rPr>
            <w:noProof/>
            <w:webHidden/>
          </w:rPr>
          <w:t>48</w:t>
        </w:r>
        <w:r w:rsidR="00552411">
          <w:rPr>
            <w:noProof/>
            <w:webHidden/>
          </w:rPr>
          <w:fldChar w:fldCharType="end"/>
        </w:r>
      </w:hyperlink>
    </w:p>
    <w:p w14:paraId="1B110CD3" w14:textId="68BD1E37"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59" w:history="1">
        <w:r w:rsidR="00552411" w:rsidRPr="008732FD">
          <w:rPr>
            <w:rStyle w:val="Hyperlink"/>
            <w:noProof/>
          </w:rPr>
          <w:t>Figure 5 Fleming Fund country-level ToC for contribution analysis</w:t>
        </w:r>
        <w:r w:rsidR="00552411">
          <w:rPr>
            <w:noProof/>
            <w:webHidden/>
          </w:rPr>
          <w:tab/>
        </w:r>
        <w:r w:rsidR="00552411">
          <w:rPr>
            <w:noProof/>
            <w:webHidden/>
          </w:rPr>
          <w:fldChar w:fldCharType="begin"/>
        </w:r>
        <w:r w:rsidR="00552411">
          <w:rPr>
            <w:noProof/>
            <w:webHidden/>
          </w:rPr>
          <w:instrText xml:space="preserve"> PAGEREF _Toc143858059 \h </w:instrText>
        </w:r>
        <w:r w:rsidR="00552411">
          <w:rPr>
            <w:noProof/>
            <w:webHidden/>
          </w:rPr>
        </w:r>
        <w:r w:rsidR="00552411">
          <w:rPr>
            <w:noProof/>
            <w:webHidden/>
          </w:rPr>
          <w:fldChar w:fldCharType="separate"/>
        </w:r>
        <w:r w:rsidR="00F47CAA">
          <w:rPr>
            <w:noProof/>
            <w:webHidden/>
          </w:rPr>
          <w:t>50</w:t>
        </w:r>
        <w:r w:rsidR="00552411">
          <w:rPr>
            <w:noProof/>
            <w:webHidden/>
          </w:rPr>
          <w:fldChar w:fldCharType="end"/>
        </w:r>
      </w:hyperlink>
    </w:p>
    <w:p w14:paraId="7825C6A0" w14:textId="569C3101"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60" w:history="1">
        <w:r w:rsidR="00552411" w:rsidRPr="008732FD">
          <w:rPr>
            <w:rStyle w:val="Hyperlink"/>
            <w:noProof/>
          </w:rPr>
          <w:t>Figure 6 Six steps of necessary and sufficient analysis</w:t>
        </w:r>
        <w:r w:rsidR="00552411">
          <w:rPr>
            <w:noProof/>
            <w:webHidden/>
          </w:rPr>
          <w:tab/>
        </w:r>
        <w:r w:rsidR="00552411">
          <w:rPr>
            <w:noProof/>
            <w:webHidden/>
          </w:rPr>
          <w:fldChar w:fldCharType="begin"/>
        </w:r>
        <w:r w:rsidR="00552411">
          <w:rPr>
            <w:noProof/>
            <w:webHidden/>
          </w:rPr>
          <w:instrText xml:space="preserve"> PAGEREF _Toc143858060 \h </w:instrText>
        </w:r>
        <w:r w:rsidR="00552411">
          <w:rPr>
            <w:noProof/>
            <w:webHidden/>
          </w:rPr>
        </w:r>
        <w:r w:rsidR="00552411">
          <w:rPr>
            <w:noProof/>
            <w:webHidden/>
          </w:rPr>
          <w:fldChar w:fldCharType="separate"/>
        </w:r>
        <w:r w:rsidR="00F47CAA">
          <w:rPr>
            <w:noProof/>
            <w:webHidden/>
          </w:rPr>
          <w:t>52</w:t>
        </w:r>
        <w:r w:rsidR="00552411">
          <w:rPr>
            <w:noProof/>
            <w:webHidden/>
          </w:rPr>
          <w:fldChar w:fldCharType="end"/>
        </w:r>
      </w:hyperlink>
    </w:p>
    <w:p w14:paraId="5C41EF5F" w14:textId="3DC8081D"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61" w:history="1">
        <w:r w:rsidR="00552411" w:rsidRPr="008732FD">
          <w:rPr>
            <w:rStyle w:val="Hyperlink"/>
            <w:noProof/>
          </w:rPr>
          <w:t>Figure 7 An indicative example of cross-case synthesis</w:t>
        </w:r>
        <w:r w:rsidR="00552411">
          <w:rPr>
            <w:noProof/>
            <w:webHidden/>
          </w:rPr>
          <w:tab/>
        </w:r>
        <w:r w:rsidR="00552411">
          <w:rPr>
            <w:noProof/>
            <w:webHidden/>
          </w:rPr>
          <w:fldChar w:fldCharType="begin"/>
        </w:r>
        <w:r w:rsidR="00552411">
          <w:rPr>
            <w:noProof/>
            <w:webHidden/>
          </w:rPr>
          <w:instrText xml:space="preserve"> PAGEREF _Toc143858061 \h </w:instrText>
        </w:r>
        <w:r w:rsidR="00552411">
          <w:rPr>
            <w:noProof/>
            <w:webHidden/>
          </w:rPr>
        </w:r>
        <w:r w:rsidR="00552411">
          <w:rPr>
            <w:noProof/>
            <w:webHidden/>
          </w:rPr>
          <w:fldChar w:fldCharType="separate"/>
        </w:r>
        <w:r w:rsidR="00F47CAA">
          <w:rPr>
            <w:noProof/>
            <w:webHidden/>
          </w:rPr>
          <w:t>60</w:t>
        </w:r>
        <w:r w:rsidR="00552411">
          <w:rPr>
            <w:noProof/>
            <w:webHidden/>
          </w:rPr>
          <w:fldChar w:fldCharType="end"/>
        </w:r>
      </w:hyperlink>
    </w:p>
    <w:p w14:paraId="6888E41B" w14:textId="24AE72B5"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62" w:history="1">
        <w:r w:rsidR="00552411" w:rsidRPr="008732FD">
          <w:rPr>
            <w:rStyle w:val="Hyperlink"/>
            <w:noProof/>
          </w:rPr>
          <w:t>Figure 8 Fleming Fund Country Grants Expenditure September 2019 to June 2022 by budget category (Source: Management Agent)</w:t>
        </w:r>
        <w:r w:rsidR="00552411">
          <w:rPr>
            <w:noProof/>
            <w:webHidden/>
          </w:rPr>
          <w:tab/>
        </w:r>
        <w:r w:rsidR="00552411">
          <w:rPr>
            <w:noProof/>
            <w:webHidden/>
          </w:rPr>
          <w:fldChar w:fldCharType="begin"/>
        </w:r>
        <w:r w:rsidR="00552411">
          <w:rPr>
            <w:noProof/>
            <w:webHidden/>
          </w:rPr>
          <w:instrText xml:space="preserve"> PAGEREF _Toc143858062 \h </w:instrText>
        </w:r>
        <w:r w:rsidR="00552411">
          <w:rPr>
            <w:noProof/>
            <w:webHidden/>
          </w:rPr>
        </w:r>
        <w:r w:rsidR="00552411">
          <w:rPr>
            <w:noProof/>
            <w:webHidden/>
          </w:rPr>
          <w:fldChar w:fldCharType="separate"/>
        </w:r>
        <w:r w:rsidR="00F47CAA">
          <w:rPr>
            <w:noProof/>
            <w:webHidden/>
          </w:rPr>
          <w:t>83</w:t>
        </w:r>
        <w:r w:rsidR="00552411">
          <w:rPr>
            <w:noProof/>
            <w:webHidden/>
          </w:rPr>
          <w:fldChar w:fldCharType="end"/>
        </w:r>
      </w:hyperlink>
    </w:p>
    <w:p w14:paraId="66A3BC6B" w14:textId="077F4C6B"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63" w:history="1">
        <w:r w:rsidR="00552411" w:rsidRPr="008732FD">
          <w:rPr>
            <w:rStyle w:val="Hyperlink"/>
            <w:noProof/>
          </w:rPr>
          <w:t>Figure 9 Fleming Fund Country Grants Expenditure September 2019 to June 2022 by investment area (Source: Management Agent)</w:t>
        </w:r>
        <w:r w:rsidR="00552411">
          <w:rPr>
            <w:noProof/>
            <w:webHidden/>
          </w:rPr>
          <w:tab/>
        </w:r>
        <w:r w:rsidR="00552411">
          <w:rPr>
            <w:noProof/>
            <w:webHidden/>
          </w:rPr>
          <w:fldChar w:fldCharType="begin"/>
        </w:r>
        <w:r w:rsidR="00552411">
          <w:rPr>
            <w:noProof/>
            <w:webHidden/>
          </w:rPr>
          <w:instrText xml:space="preserve"> PAGEREF _Toc143858063 \h </w:instrText>
        </w:r>
        <w:r w:rsidR="00552411">
          <w:rPr>
            <w:noProof/>
            <w:webHidden/>
          </w:rPr>
        </w:r>
        <w:r w:rsidR="00552411">
          <w:rPr>
            <w:noProof/>
            <w:webHidden/>
          </w:rPr>
          <w:fldChar w:fldCharType="separate"/>
        </w:r>
        <w:r w:rsidR="00F47CAA">
          <w:rPr>
            <w:noProof/>
            <w:webHidden/>
          </w:rPr>
          <w:t>83</w:t>
        </w:r>
        <w:r w:rsidR="00552411">
          <w:rPr>
            <w:noProof/>
            <w:webHidden/>
          </w:rPr>
          <w:fldChar w:fldCharType="end"/>
        </w:r>
      </w:hyperlink>
    </w:p>
    <w:p w14:paraId="32804231" w14:textId="4C024EAC"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64" w:history="1">
        <w:r w:rsidR="00552411" w:rsidRPr="008732FD">
          <w:rPr>
            <w:rStyle w:val="Hyperlink"/>
            <w:noProof/>
          </w:rPr>
          <w:t>Figure 10 One Health partnerships in Fleming Fund- Implementation Plan (June 2017)</w:t>
        </w:r>
        <w:r w:rsidR="00552411">
          <w:rPr>
            <w:noProof/>
            <w:webHidden/>
          </w:rPr>
          <w:tab/>
        </w:r>
        <w:r w:rsidR="00552411">
          <w:rPr>
            <w:noProof/>
            <w:webHidden/>
          </w:rPr>
          <w:fldChar w:fldCharType="begin"/>
        </w:r>
        <w:r w:rsidR="00552411">
          <w:rPr>
            <w:noProof/>
            <w:webHidden/>
          </w:rPr>
          <w:instrText xml:space="preserve"> PAGEREF _Toc143858064 \h </w:instrText>
        </w:r>
        <w:r w:rsidR="00552411">
          <w:rPr>
            <w:noProof/>
            <w:webHidden/>
          </w:rPr>
        </w:r>
        <w:r w:rsidR="00552411">
          <w:rPr>
            <w:noProof/>
            <w:webHidden/>
          </w:rPr>
          <w:fldChar w:fldCharType="separate"/>
        </w:r>
        <w:r w:rsidR="00F47CAA">
          <w:rPr>
            <w:noProof/>
            <w:webHidden/>
          </w:rPr>
          <w:t>86</w:t>
        </w:r>
        <w:r w:rsidR="00552411">
          <w:rPr>
            <w:noProof/>
            <w:webHidden/>
          </w:rPr>
          <w:fldChar w:fldCharType="end"/>
        </w:r>
      </w:hyperlink>
    </w:p>
    <w:p w14:paraId="7D782C29" w14:textId="4AB07882"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65" w:history="1">
        <w:r w:rsidR="00552411" w:rsidRPr="008732FD">
          <w:rPr>
            <w:rStyle w:val="Hyperlink"/>
            <w:noProof/>
          </w:rPr>
          <w:t>Figure 11 MA Position paper on assessing One Health Implementation (September 2019)</w:t>
        </w:r>
        <w:r w:rsidR="00552411">
          <w:rPr>
            <w:noProof/>
            <w:webHidden/>
          </w:rPr>
          <w:tab/>
        </w:r>
        <w:r w:rsidR="00552411">
          <w:rPr>
            <w:noProof/>
            <w:webHidden/>
          </w:rPr>
          <w:fldChar w:fldCharType="begin"/>
        </w:r>
        <w:r w:rsidR="00552411">
          <w:rPr>
            <w:noProof/>
            <w:webHidden/>
          </w:rPr>
          <w:instrText xml:space="preserve"> PAGEREF _Toc143858065 \h </w:instrText>
        </w:r>
        <w:r w:rsidR="00552411">
          <w:rPr>
            <w:noProof/>
            <w:webHidden/>
          </w:rPr>
        </w:r>
        <w:r w:rsidR="00552411">
          <w:rPr>
            <w:noProof/>
            <w:webHidden/>
          </w:rPr>
          <w:fldChar w:fldCharType="separate"/>
        </w:r>
        <w:r w:rsidR="00F47CAA">
          <w:rPr>
            <w:noProof/>
            <w:webHidden/>
          </w:rPr>
          <w:t>87</w:t>
        </w:r>
        <w:r w:rsidR="00552411">
          <w:rPr>
            <w:noProof/>
            <w:webHidden/>
          </w:rPr>
          <w:fldChar w:fldCharType="end"/>
        </w:r>
      </w:hyperlink>
    </w:p>
    <w:p w14:paraId="06432359" w14:textId="397B20DD"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66" w:history="1">
        <w:r w:rsidR="00552411" w:rsidRPr="008732FD">
          <w:rPr>
            <w:rStyle w:val="Hyperlink"/>
            <w:noProof/>
          </w:rPr>
          <w:t>Figure 12 Other ways of characterising One Health partnerships (Itad literature review)</w:t>
        </w:r>
        <w:r w:rsidR="00552411">
          <w:rPr>
            <w:noProof/>
            <w:webHidden/>
          </w:rPr>
          <w:tab/>
        </w:r>
        <w:r w:rsidR="00552411">
          <w:rPr>
            <w:noProof/>
            <w:webHidden/>
          </w:rPr>
          <w:fldChar w:fldCharType="begin"/>
        </w:r>
        <w:r w:rsidR="00552411">
          <w:rPr>
            <w:noProof/>
            <w:webHidden/>
          </w:rPr>
          <w:instrText xml:space="preserve"> PAGEREF _Toc143858066 \h </w:instrText>
        </w:r>
        <w:r w:rsidR="00552411">
          <w:rPr>
            <w:noProof/>
            <w:webHidden/>
          </w:rPr>
        </w:r>
        <w:r w:rsidR="00552411">
          <w:rPr>
            <w:noProof/>
            <w:webHidden/>
          </w:rPr>
          <w:fldChar w:fldCharType="separate"/>
        </w:r>
        <w:r w:rsidR="00F47CAA">
          <w:rPr>
            <w:noProof/>
            <w:webHidden/>
          </w:rPr>
          <w:t>88</w:t>
        </w:r>
        <w:r w:rsidR="00552411">
          <w:rPr>
            <w:noProof/>
            <w:webHidden/>
          </w:rPr>
          <w:fldChar w:fldCharType="end"/>
        </w:r>
      </w:hyperlink>
    </w:p>
    <w:p w14:paraId="58AFC9F3" w14:textId="344E6767"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67" w:history="1">
        <w:r w:rsidR="00552411" w:rsidRPr="008732FD">
          <w:rPr>
            <w:rStyle w:val="Hyperlink"/>
            <w:noProof/>
          </w:rPr>
          <w:t>Figure 13 Characterising One Health partnerships, by strength of integration (Itad literature review)</w:t>
        </w:r>
        <w:r w:rsidR="00552411">
          <w:rPr>
            <w:noProof/>
            <w:webHidden/>
          </w:rPr>
          <w:tab/>
        </w:r>
        <w:r w:rsidR="00552411">
          <w:rPr>
            <w:noProof/>
            <w:webHidden/>
          </w:rPr>
          <w:fldChar w:fldCharType="begin"/>
        </w:r>
        <w:r w:rsidR="00552411">
          <w:rPr>
            <w:noProof/>
            <w:webHidden/>
          </w:rPr>
          <w:instrText xml:space="preserve"> PAGEREF _Toc143858067 \h </w:instrText>
        </w:r>
        <w:r w:rsidR="00552411">
          <w:rPr>
            <w:noProof/>
            <w:webHidden/>
          </w:rPr>
        </w:r>
        <w:r w:rsidR="00552411">
          <w:rPr>
            <w:noProof/>
            <w:webHidden/>
          </w:rPr>
          <w:fldChar w:fldCharType="separate"/>
        </w:r>
        <w:r w:rsidR="00F47CAA">
          <w:rPr>
            <w:noProof/>
            <w:webHidden/>
          </w:rPr>
          <w:t>88</w:t>
        </w:r>
        <w:r w:rsidR="00552411">
          <w:rPr>
            <w:noProof/>
            <w:webHidden/>
          </w:rPr>
          <w:fldChar w:fldCharType="end"/>
        </w:r>
      </w:hyperlink>
    </w:p>
    <w:p w14:paraId="6AE34717" w14:textId="73F557D6"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68" w:history="1">
        <w:r w:rsidR="00552411" w:rsidRPr="008732FD">
          <w:rPr>
            <w:rStyle w:val="Hyperlink"/>
            <w:noProof/>
          </w:rPr>
          <w:t>Figure 14 Approach to evaluating One Health across different country visits</w:t>
        </w:r>
        <w:r w:rsidR="00552411">
          <w:rPr>
            <w:noProof/>
            <w:webHidden/>
          </w:rPr>
          <w:tab/>
        </w:r>
        <w:r w:rsidR="00552411">
          <w:rPr>
            <w:noProof/>
            <w:webHidden/>
          </w:rPr>
          <w:fldChar w:fldCharType="begin"/>
        </w:r>
        <w:r w:rsidR="00552411">
          <w:rPr>
            <w:noProof/>
            <w:webHidden/>
          </w:rPr>
          <w:instrText xml:space="preserve"> PAGEREF _Toc143858068 \h </w:instrText>
        </w:r>
        <w:r w:rsidR="00552411">
          <w:rPr>
            <w:noProof/>
            <w:webHidden/>
          </w:rPr>
        </w:r>
        <w:r w:rsidR="00552411">
          <w:rPr>
            <w:noProof/>
            <w:webHidden/>
          </w:rPr>
          <w:fldChar w:fldCharType="separate"/>
        </w:r>
        <w:r w:rsidR="00F47CAA">
          <w:rPr>
            <w:noProof/>
            <w:webHidden/>
          </w:rPr>
          <w:t>89</w:t>
        </w:r>
        <w:r w:rsidR="00552411">
          <w:rPr>
            <w:noProof/>
            <w:webHidden/>
          </w:rPr>
          <w:fldChar w:fldCharType="end"/>
        </w:r>
      </w:hyperlink>
    </w:p>
    <w:p w14:paraId="2C2B3910" w14:textId="3DFBB3CE"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69" w:history="1">
        <w:r w:rsidR="00552411" w:rsidRPr="008732FD">
          <w:rPr>
            <w:rStyle w:val="Hyperlink"/>
            <w:noProof/>
          </w:rPr>
          <w:t>Figure 15 Functional status of One Health partnerships (expectations and findings)</w:t>
        </w:r>
        <w:r w:rsidR="00552411">
          <w:rPr>
            <w:noProof/>
            <w:webHidden/>
          </w:rPr>
          <w:tab/>
        </w:r>
        <w:r w:rsidR="00552411">
          <w:rPr>
            <w:noProof/>
            <w:webHidden/>
          </w:rPr>
          <w:fldChar w:fldCharType="begin"/>
        </w:r>
        <w:r w:rsidR="00552411">
          <w:rPr>
            <w:noProof/>
            <w:webHidden/>
          </w:rPr>
          <w:instrText xml:space="preserve"> PAGEREF _Toc143858069 \h </w:instrText>
        </w:r>
        <w:r w:rsidR="00552411">
          <w:rPr>
            <w:noProof/>
            <w:webHidden/>
          </w:rPr>
        </w:r>
        <w:r w:rsidR="00552411">
          <w:rPr>
            <w:noProof/>
            <w:webHidden/>
          </w:rPr>
          <w:fldChar w:fldCharType="separate"/>
        </w:r>
        <w:r w:rsidR="00F47CAA">
          <w:rPr>
            <w:noProof/>
            <w:webHidden/>
          </w:rPr>
          <w:t>90</w:t>
        </w:r>
        <w:r w:rsidR="00552411">
          <w:rPr>
            <w:noProof/>
            <w:webHidden/>
          </w:rPr>
          <w:fldChar w:fldCharType="end"/>
        </w:r>
      </w:hyperlink>
    </w:p>
    <w:p w14:paraId="1138F075" w14:textId="7F6A60AF"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70" w:history="1">
        <w:r w:rsidR="00552411" w:rsidRPr="008732FD">
          <w:rPr>
            <w:rStyle w:val="Hyperlink"/>
            <w:noProof/>
          </w:rPr>
          <w:t>Figure 16 Nature of One Health partnerships, Country Visit 2 and Country Visit 3</w:t>
        </w:r>
        <w:r w:rsidR="00552411">
          <w:rPr>
            <w:noProof/>
            <w:webHidden/>
          </w:rPr>
          <w:tab/>
        </w:r>
        <w:r w:rsidR="00552411">
          <w:rPr>
            <w:noProof/>
            <w:webHidden/>
          </w:rPr>
          <w:fldChar w:fldCharType="begin"/>
        </w:r>
        <w:r w:rsidR="00552411">
          <w:rPr>
            <w:noProof/>
            <w:webHidden/>
          </w:rPr>
          <w:instrText xml:space="preserve"> PAGEREF _Toc143858070 \h </w:instrText>
        </w:r>
        <w:r w:rsidR="00552411">
          <w:rPr>
            <w:noProof/>
            <w:webHidden/>
          </w:rPr>
        </w:r>
        <w:r w:rsidR="00552411">
          <w:rPr>
            <w:noProof/>
            <w:webHidden/>
          </w:rPr>
          <w:fldChar w:fldCharType="separate"/>
        </w:r>
        <w:r w:rsidR="00F47CAA">
          <w:rPr>
            <w:noProof/>
            <w:webHidden/>
          </w:rPr>
          <w:t>90</w:t>
        </w:r>
        <w:r w:rsidR="00552411">
          <w:rPr>
            <w:noProof/>
            <w:webHidden/>
          </w:rPr>
          <w:fldChar w:fldCharType="end"/>
        </w:r>
      </w:hyperlink>
    </w:p>
    <w:p w14:paraId="506D8395" w14:textId="7D93810E"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71" w:history="1">
        <w:r w:rsidR="00552411" w:rsidRPr="008732FD">
          <w:rPr>
            <w:rStyle w:val="Hyperlink"/>
            <w:noProof/>
          </w:rPr>
          <w:t>Figure 17 Strength of One Health partnerships, Country Visit 2 and Country Visit 3</w:t>
        </w:r>
        <w:r w:rsidR="00552411">
          <w:rPr>
            <w:noProof/>
            <w:webHidden/>
          </w:rPr>
          <w:tab/>
        </w:r>
        <w:r w:rsidR="00552411">
          <w:rPr>
            <w:noProof/>
            <w:webHidden/>
          </w:rPr>
          <w:fldChar w:fldCharType="begin"/>
        </w:r>
        <w:r w:rsidR="00552411">
          <w:rPr>
            <w:noProof/>
            <w:webHidden/>
          </w:rPr>
          <w:instrText xml:space="preserve"> PAGEREF _Toc143858071 \h </w:instrText>
        </w:r>
        <w:r w:rsidR="00552411">
          <w:rPr>
            <w:noProof/>
            <w:webHidden/>
          </w:rPr>
        </w:r>
        <w:r w:rsidR="00552411">
          <w:rPr>
            <w:noProof/>
            <w:webHidden/>
          </w:rPr>
          <w:fldChar w:fldCharType="separate"/>
        </w:r>
        <w:r w:rsidR="00F47CAA">
          <w:rPr>
            <w:noProof/>
            <w:webHidden/>
          </w:rPr>
          <w:t>91</w:t>
        </w:r>
        <w:r w:rsidR="00552411">
          <w:rPr>
            <w:noProof/>
            <w:webHidden/>
          </w:rPr>
          <w:fldChar w:fldCharType="end"/>
        </w:r>
      </w:hyperlink>
    </w:p>
    <w:p w14:paraId="145DC51F" w14:textId="6A5D31CE"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72" w:history="1">
        <w:r w:rsidR="00552411" w:rsidRPr="008732FD">
          <w:rPr>
            <w:rStyle w:val="Hyperlink"/>
            <w:noProof/>
          </w:rPr>
          <w:t>Figure 18 GLASS pathogens tested in national systems</w:t>
        </w:r>
        <w:r w:rsidR="00552411">
          <w:rPr>
            <w:noProof/>
            <w:webHidden/>
          </w:rPr>
          <w:tab/>
        </w:r>
        <w:r w:rsidR="00552411">
          <w:rPr>
            <w:noProof/>
            <w:webHidden/>
          </w:rPr>
          <w:fldChar w:fldCharType="begin"/>
        </w:r>
        <w:r w:rsidR="00552411">
          <w:rPr>
            <w:noProof/>
            <w:webHidden/>
          </w:rPr>
          <w:instrText xml:space="preserve"> PAGEREF _Toc143858072 \h </w:instrText>
        </w:r>
        <w:r w:rsidR="00552411">
          <w:rPr>
            <w:noProof/>
            <w:webHidden/>
          </w:rPr>
        </w:r>
        <w:r w:rsidR="00552411">
          <w:rPr>
            <w:noProof/>
            <w:webHidden/>
          </w:rPr>
          <w:fldChar w:fldCharType="separate"/>
        </w:r>
        <w:r w:rsidR="00F47CAA">
          <w:rPr>
            <w:noProof/>
            <w:webHidden/>
          </w:rPr>
          <w:t>100</w:t>
        </w:r>
        <w:r w:rsidR="00552411">
          <w:rPr>
            <w:noProof/>
            <w:webHidden/>
          </w:rPr>
          <w:fldChar w:fldCharType="end"/>
        </w:r>
      </w:hyperlink>
    </w:p>
    <w:p w14:paraId="6C5FEF81" w14:textId="589C9967"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73" w:history="1">
        <w:r w:rsidR="00552411" w:rsidRPr="008732FD">
          <w:rPr>
            <w:rStyle w:val="Hyperlink"/>
            <w:noProof/>
          </w:rPr>
          <w:t>Figure 19 Number of countries reporting</w:t>
        </w:r>
        <w:r w:rsidR="00552411">
          <w:rPr>
            <w:noProof/>
            <w:webHidden/>
          </w:rPr>
          <w:tab/>
        </w:r>
        <w:r w:rsidR="00552411">
          <w:rPr>
            <w:noProof/>
            <w:webHidden/>
          </w:rPr>
          <w:fldChar w:fldCharType="begin"/>
        </w:r>
        <w:r w:rsidR="00552411">
          <w:rPr>
            <w:noProof/>
            <w:webHidden/>
          </w:rPr>
          <w:instrText xml:space="preserve"> PAGEREF _Toc143858073 \h </w:instrText>
        </w:r>
        <w:r w:rsidR="00552411">
          <w:rPr>
            <w:noProof/>
            <w:webHidden/>
          </w:rPr>
        </w:r>
        <w:r w:rsidR="00552411">
          <w:rPr>
            <w:noProof/>
            <w:webHidden/>
          </w:rPr>
          <w:fldChar w:fldCharType="separate"/>
        </w:r>
        <w:r w:rsidR="00F47CAA">
          <w:rPr>
            <w:noProof/>
            <w:webHidden/>
          </w:rPr>
          <w:t>104</w:t>
        </w:r>
        <w:r w:rsidR="00552411">
          <w:rPr>
            <w:noProof/>
            <w:webHidden/>
          </w:rPr>
          <w:fldChar w:fldCharType="end"/>
        </w:r>
      </w:hyperlink>
    </w:p>
    <w:p w14:paraId="37741F60" w14:textId="01AB92A8"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74" w:history="1">
        <w:r w:rsidR="00552411" w:rsidRPr="008732FD">
          <w:rPr>
            <w:rStyle w:val="Hyperlink"/>
            <w:noProof/>
          </w:rPr>
          <w:t>Figure 20 Percentage of countries reporting more data</w:t>
        </w:r>
        <w:r w:rsidR="00552411">
          <w:rPr>
            <w:noProof/>
            <w:webHidden/>
          </w:rPr>
          <w:tab/>
        </w:r>
        <w:r w:rsidR="00552411">
          <w:rPr>
            <w:noProof/>
            <w:webHidden/>
          </w:rPr>
          <w:fldChar w:fldCharType="begin"/>
        </w:r>
        <w:r w:rsidR="00552411">
          <w:rPr>
            <w:noProof/>
            <w:webHidden/>
          </w:rPr>
          <w:instrText xml:space="preserve"> PAGEREF _Toc143858074 \h </w:instrText>
        </w:r>
        <w:r w:rsidR="00552411">
          <w:rPr>
            <w:noProof/>
            <w:webHidden/>
          </w:rPr>
        </w:r>
        <w:r w:rsidR="00552411">
          <w:rPr>
            <w:noProof/>
            <w:webHidden/>
          </w:rPr>
          <w:fldChar w:fldCharType="separate"/>
        </w:r>
        <w:r w:rsidR="00F47CAA">
          <w:rPr>
            <w:noProof/>
            <w:webHidden/>
          </w:rPr>
          <w:t>104</w:t>
        </w:r>
        <w:r w:rsidR="00552411">
          <w:rPr>
            <w:noProof/>
            <w:webHidden/>
          </w:rPr>
          <w:fldChar w:fldCharType="end"/>
        </w:r>
      </w:hyperlink>
    </w:p>
    <w:p w14:paraId="7CE474EC" w14:textId="7F43732A"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r:id="rId17" w:anchor="_Toc143858075" w:history="1">
        <w:r w:rsidR="00552411" w:rsidRPr="008732FD">
          <w:rPr>
            <w:rStyle w:val="Hyperlink"/>
            <w:noProof/>
          </w:rPr>
          <w:t>Figure 21 Number of Fleming Fund supported HH sites showing progress through the LSHTM roadmap</w:t>
        </w:r>
        <w:r w:rsidR="00552411">
          <w:rPr>
            <w:noProof/>
            <w:webHidden/>
          </w:rPr>
          <w:tab/>
        </w:r>
        <w:r w:rsidR="00552411">
          <w:rPr>
            <w:noProof/>
            <w:webHidden/>
          </w:rPr>
          <w:fldChar w:fldCharType="begin"/>
        </w:r>
        <w:r w:rsidR="00552411">
          <w:rPr>
            <w:noProof/>
            <w:webHidden/>
          </w:rPr>
          <w:instrText xml:space="preserve"> PAGEREF _Toc143858075 \h </w:instrText>
        </w:r>
        <w:r w:rsidR="00552411">
          <w:rPr>
            <w:noProof/>
            <w:webHidden/>
          </w:rPr>
        </w:r>
        <w:r w:rsidR="00552411">
          <w:rPr>
            <w:noProof/>
            <w:webHidden/>
          </w:rPr>
          <w:fldChar w:fldCharType="separate"/>
        </w:r>
        <w:r w:rsidR="00F47CAA">
          <w:rPr>
            <w:noProof/>
            <w:webHidden/>
          </w:rPr>
          <w:t>110</w:t>
        </w:r>
        <w:r w:rsidR="00552411">
          <w:rPr>
            <w:noProof/>
            <w:webHidden/>
          </w:rPr>
          <w:fldChar w:fldCharType="end"/>
        </w:r>
      </w:hyperlink>
    </w:p>
    <w:p w14:paraId="636673C6" w14:textId="53E281D2"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r:id="rId18" w:anchor="_Toc143858076" w:history="1">
        <w:r w:rsidR="00552411" w:rsidRPr="008732FD">
          <w:rPr>
            <w:rStyle w:val="Hyperlink"/>
            <w:noProof/>
          </w:rPr>
          <w:t>Figure 22 Number of Fleming Fund supported AH sites showing progress through the LSHTM roadmap</w:t>
        </w:r>
        <w:r w:rsidR="00552411">
          <w:rPr>
            <w:noProof/>
            <w:webHidden/>
          </w:rPr>
          <w:tab/>
        </w:r>
        <w:r w:rsidR="00552411">
          <w:rPr>
            <w:noProof/>
            <w:webHidden/>
          </w:rPr>
          <w:fldChar w:fldCharType="begin"/>
        </w:r>
        <w:r w:rsidR="00552411">
          <w:rPr>
            <w:noProof/>
            <w:webHidden/>
          </w:rPr>
          <w:instrText xml:space="preserve"> PAGEREF _Toc143858076 \h </w:instrText>
        </w:r>
        <w:r w:rsidR="00552411">
          <w:rPr>
            <w:noProof/>
            <w:webHidden/>
          </w:rPr>
        </w:r>
        <w:r w:rsidR="00552411">
          <w:rPr>
            <w:noProof/>
            <w:webHidden/>
          </w:rPr>
          <w:fldChar w:fldCharType="separate"/>
        </w:r>
        <w:r w:rsidR="00F47CAA">
          <w:rPr>
            <w:noProof/>
            <w:webHidden/>
          </w:rPr>
          <w:t>110</w:t>
        </w:r>
        <w:r w:rsidR="00552411">
          <w:rPr>
            <w:noProof/>
            <w:webHidden/>
          </w:rPr>
          <w:fldChar w:fldCharType="end"/>
        </w:r>
      </w:hyperlink>
    </w:p>
    <w:p w14:paraId="6C745E73" w14:textId="62A57F95"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77" w:history="1">
        <w:r w:rsidR="00552411" w:rsidRPr="008732FD">
          <w:rPr>
            <w:rStyle w:val="Hyperlink"/>
            <w:noProof/>
          </w:rPr>
          <w:t>Figure 23 Diagram of the Multiple Streams Approach</w:t>
        </w:r>
        <w:r w:rsidR="00552411">
          <w:rPr>
            <w:noProof/>
            <w:webHidden/>
          </w:rPr>
          <w:tab/>
        </w:r>
        <w:r w:rsidR="00552411">
          <w:rPr>
            <w:noProof/>
            <w:webHidden/>
          </w:rPr>
          <w:fldChar w:fldCharType="begin"/>
        </w:r>
        <w:r w:rsidR="00552411">
          <w:rPr>
            <w:noProof/>
            <w:webHidden/>
          </w:rPr>
          <w:instrText xml:space="preserve"> PAGEREF _Toc143858077 \h </w:instrText>
        </w:r>
        <w:r w:rsidR="00552411">
          <w:rPr>
            <w:noProof/>
            <w:webHidden/>
          </w:rPr>
        </w:r>
        <w:r w:rsidR="00552411">
          <w:rPr>
            <w:noProof/>
            <w:webHidden/>
          </w:rPr>
          <w:fldChar w:fldCharType="separate"/>
        </w:r>
        <w:r w:rsidR="00F47CAA">
          <w:rPr>
            <w:noProof/>
            <w:webHidden/>
          </w:rPr>
          <w:t>116</w:t>
        </w:r>
        <w:r w:rsidR="00552411">
          <w:rPr>
            <w:noProof/>
            <w:webHidden/>
          </w:rPr>
          <w:fldChar w:fldCharType="end"/>
        </w:r>
      </w:hyperlink>
    </w:p>
    <w:p w14:paraId="475854B8" w14:textId="15A85142"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78" w:history="1">
        <w:r w:rsidR="00552411" w:rsidRPr="008732FD">
          <w:rPr>
            <w:rStyle w:val="Hyperlink"/>
            <w:noProof/>
          </w:rPr>
          <w:t>Figure 24 Local/facility level Examples of Use across Fleming Fund countries evaluated (EoU)</w:t>
        </w:r>
        <w:r w:rsidR="00552411">
          <w:rPr>
            <w:noProof/>
            <w:webHidden/>
          </w:rPr>
          <w:tab/>
        </w:r>
        <w:r w:rsidR="00552411">
          <w:rPr>
            <w:noProof/>
            <w:webHidden/>
          </w:rPr>
          <w:fldChar w:fldCharType="begin"/>
        </w:r>
        <w:r w:rsidR="00552411">
          <w:rPr>
            <w:noProof/>
            <w:webHidden/>
          </w:rPr>
          <w:instrText xml:space="preserve"> PAGEREF _Toc143858078 \h </w:instrText>
        </w:r>
        <w:r w:rsidR="00552411">
          <w:rPr>
            <w:noProof/>
            <w:webHidden/>
          </w:rPr>
        </w:r>
        <w:r w:rsidR="00552411">
          <w:rPr>
            <w:noProof/>
            <w:webHidden/>
          </w:rPr>
          <w:fldChar w:fldCharType="separate"/>
        </w:r>
        <w:r w:rsidR="00F47CAA">
          <w:rPr>
            <w:noProof/>
            <w:webHidden/>
          </w:rPr>
          <w:t>120</w:t>
        </w:r>
        <w:r w:rsidR="00552411">
          <w:rPr>
            <w:noProof/>
            <w:webHidden/>
          </w:rPr>
          <w:fldChar w:fldCharType="end"/>
        </w:r>
      </w:hyperlink>
    </w:p>
    <w:p w14:paraId="22B6E2E6" w14:textId="0080E105"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79" w:history="1">
        <w:r w:rsidR="00552411" w:rsidRPr="008732FD">
          <w:rPr>
            <w:rStyle w:val="Hyperlink"/>
            <w:noProof/>
          </w:rPr>
          <w:t>Figure 25 Human Health Examples of Use</w:t>
        </w:r>
        <w:r w:rsidR="00552411">
          <w:rPr>
            <w:noProof/>
            <w:webHidden/>
          </w:rPr>
          <w:tab/>
        </w:r>
        <w:r w:rsidR="00552411">
          <w:rPr>
            <w:noProof/>
            <w:webHidden/>
          </w:rPr>
          <w:fldChar w:fldCharType="begin"/>
        </w:r>
        <w:r w:rsidR="00552411">
          <w:rPr>
            <w:noProof/>
            <w:webHidden/>
          </w:rPr>
          <w:instrText xml:space="preserve"> PAGEREF _Toc143858079 \h </w:instrText>
        </w:r>
        <w:r w:rsidR="00552411">
          <w:rPr>
            <w:noProof/>
            <w:webHidden/>
          </w:rPr>
        </w:r>
        <w:r w:rsidR="00552411">
          <w:rPr>
            <w:noProof/>
            <w:webHidden/>
          </w:rPr>
          <w:fldChar w:fldCharType="separate"/>
        </w:r>
        <w:r w:rsidR="00F47CAA">
          <w:rPr>
            <w:noProof/>
            <w:webHidden/>
          </w:rPr>
          <w:t>120</w:t>
        </w:r>
        <w:r w:rsidR="00552411">
          <w:rPr>
            <w:noProof/>
            <w:webHidden/>
          </w:rPr>
          <w:fldChar w:fldCharType="end"/>
        </w:r>
      </w:hyperlink>
    </w:p>
    <w:p w14:paraId="5D2B530A" w14:textId="55ED9ADA"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80" w:history="1">
        <w:r w:rsidR="00552411" w:rsidRPr="008732FD">
          <w:rPr>
            <w:rStyle w:val="Hyperlink"/>
            <w:noProof/>
          </w:rPr>
          <w:t>Figure 26 Governance and internal management structure for the Evaluation Supplier</w:t>
        </w:r>
        <w:r w:rsidR="00552411">
          <w:rPr>
            <w:noProof/>
            <w:webHidden/>
          </w:rPr>
          <w:tab/>
        </w:r>
        <w:r w:rsidR="00552411">
          <w:rPr>
            <w:noProof/>
            <w:webHidden/>
          </w:rPr>
          <w:fldChar w:fldCharType="begin"/>
        </w:r>
        <w:r w:rsidR="00552411">
          <w:rPr>
            <w:noProof/>
            <w:webHidden/>
          </w:rPr>
          <w:instrText xml:space="preserve"> PAGEREF _Toc143858080 \h </w:instrText>
        </w:r>
        <w:r w:rsidR="00552411">
          <w:rPr>
            <w:noProof/>
            <w:webHidden/>
          </w:rPr>
        </w:r>
        <w:r w:rsidR="00552411">
          <w:rPr>
            <w:noProof/>
            <w:webHidden/>
          </w:rPr>
          <w:fldChar w:fldCharType="separate"/>
        </w:r>
        <w:r w:rsidR="00F47CAA">
          <w:rPr>
            <w:noProof/>
            <w:webHidden/>
          </w:rPr>
          <w:t>149</w:t>
        </w:r>
        <w:r w:rsidR="00552411">
          <w:rPr>
            <w:noProof/>
            <w:webHidden/>
          </w:rPr>
          <w:fldChar w:fldCharType="end"/>
        </w:r>
      </w:hyperlink>
    </w:p>
    <w:p w14:paraId="621D9D64" w14:textId="0769C55B"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r:id="rId19" w:anchor="_Toc143858081" w:history="1">
        <w:r w:rsidR="00552411" w:rsidRPr="008732FD">
          <w:rPr>
            <w:rStyle w:val="Hyperlink"/>
            <w:noProof/>
          </w:rPr>
          <w:t>Figure 27 Country Categorisation</w:t>
        </w:r>
        <w:r w:rsidR="00552411">
          <w:rPr>
            <w:noProof/>
            <w:webHidden/>
          </w:rPr>
          <w:tab/>
        </w:r>
        <w:r w:rsidR="00552411">
          <w:rPr>
            <w:noProof/>
            <w:webHidden/>
          </w:rPr>
          <w:fldChar w:fldCharType="begin"/>
        </w:r>
        <w:r w:rsidR="00552411">
          <w:rPr>
            <w:noProof/>
            <w:webHidden/>
          </w:rPr>
          <w:instrText xml:space="preserve"> PAGEREF _Toc143858081 \h </w:instrText>
        </w:r>
        <w:r w:rsidR="00552411">
          <w:rPr>
            <w:noProof/>
            <w:webHidden/>
          </w:rPr>
        </w:r>
        <w:r w:rsidR="00552411">
          <w:rPr>
            <w:noProof/>
            <w:webHidden/>
          </w:rPr>
          <w:fldChar w:fldCharType="separate"/>
        </w:r>
        <w:r w:rsidR="00F47CAA">
          <w:rPr>
            <w:noProof/>
            <w:webHidden/>
          </w:rPr>
          <w:t>156</w:t>
        </w:r>
        <w:r w:rsidR="00552411">
          <w:rPr>
            <w:noProof/>
            <w:webHidden/>
          </w:rPr>
          <w:fldChar w:fldCharType="end"/>
        </w:r>
      </w:hyperlink>
    </w:p>
    <w:p w14:paraId="252C01B6" w14:textId="3F7A89E0"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r:id="rId20" w:anchor="_Toc143858082" w:history="1">
        <w:r w:rsidR="00552411" w:rsidRPr="008732FD">
          <w:rPr>
            <w:rStyle w:val="Hyperlink"/>
            <w:noProof/>
          </w:rPr>
          <w:t>Figure 28 Hierarchy of learning uptake indicators</w:t>
        </w:r>
        <w:r w:rsidR="00552411">
          <w:rPr>
            <w:noProof/>
            <w:webHidden/>
          </w:rPr>
          <w:tab/>
        </w:r>
        <w:r w:rsidR="00552411">
          <w:rPr>
            <w:noProof/>
            <w:webHidden/>
          </w:rPr>
          <w:fldChar w:fldCharType="begin"/>
        </w:r>
        <w:r w:rsidR="00552411">
          <w:rPr>
            <w:noProof/>
            <w:webHidden/>
          </w:rPr>
          <w:instrText xml:space="preserve"> PAGEREF _Toc143858082 \h </w:instrText>
        </w:r>
        <w:r w:rsidR="00552411">
          <w:rPr>
            <w:noProof/>
            <w:webHidden/>
          </w:rPr>
        </w:r>
        <w:r w:rsidR="00552411">
          <w:rPr>
            <w:noProof/>
            <w:webHidden/>
          </w:rPr>
          <w:fldChar w:fldCharType="separate"/>
        </w:r>
        <w:r w:rsidR="00F47CAA">
          <w:rPr>
            <w:noProof/>
            <w:webHidden/>
          </w:rPr>
          <w:t>166</w:t>
        </w:r>
        <w:r w:rsidR="00552411">
          <w:rPr>
            <w:noProof/>
            <w:webHidden/>
          </w:rPr>
          <w:fldChar w:fldCharType="end"/>
        </w:r>
      </w:hyperlink>
    </w:p>
    <w:p w14:paraId="244A6AAD" w14:textId="614EA0C2" w:rsidR="00552411"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8083" w:history="1">
        <w:r w:rsidR="00552411" w:rsidRPr="008732FD">
          <w:rPr>
            <w:rStyle w:val="Hyperlink"/>
            <w:noProof/>
          </w:rPr>
          <w:t>Figure 29 Fleming Fund ToC diagram</w:t>
        </w:r>
        <w:r w:rsidR="00552411">
          <w:rPr>
            <w:noProof/>
            <w:webHidden/>
          </w:rPr>
          <w:tab/>
        </w:r>
        <w:r w:rsidR="00552411">
          <w:rPr>
            <w:noProof/>
            <w:webHidden/>
          </w:rPr>
          <w:fldChar w:fldCharType="begin"/>
        </w:r>
        <w:r w:rsidR="00552411">
          <w:rPr>
            <w:noProof/>
            <w:webHidden/>
          </w:rPr>
          <w:instrText xml:space="preserve"> PAGEREF _Toc143858083 \h </w:instrText>
        </w:r>
        <w:r w:rsidR="00552411">
          <w:rPr>
            <w:noProof/>
            <w:webHidden/>
          </w:rPr>
        </w:r>
        <w:r w:rsidR="00552411">
          <w:rPr>
            <w:noProof/>
            <w:webHidden/>
          </w:rPr>
          <w:fldChar w:fldCharType="separate"/>
        </w:r>
        <w:r w:rsidR="00F47CAA">
          <w:rPr>
            <w:noProof/>
            <w:webHidden/>
          </w:rPr>
          <w:t>168</w:t>
        </w:r>
        <w:r w:rsidR="00552411">
          <w:rPr>
            <w:noProof/>
            <w:webHidden/>
          </w:rPr>
          <w:fldChar w:fldCharType="end"/>
        </w:r>
      </w:hyperlink>
    </w:p>
    <w:p w14:paraId="18E14F35" w14:textId="7CF27838" w:rsidR="009F6E65" w:rsidRDefault="00AC1FB0" w:rsidP="009C2E77">
      <w:pPr>
        <w:pStyle w:val="ItadH1"/>
      </w:pPr>
      <w:r>
        <w:fldChar w:fldCharType="end"/>
      </w:r>
      <w:bookmarkStart w:id="3" w:name="_Toc122352627"/>
      <w:bookmarkStart w:id="4" w:name="_Toc122525838"/>
      <w:bookmarkStart w:id="5" w:name="_Toc142383130"/>
      <w:r w:rsidR="009F6E65">
        <w:t>List of boxes</w:t>
      </w:r>
      <w:bookmarkEnd w:id="3"/>
      <w:bookmarkEnd w:id="4"/>
      <w:bookmarkEnd w:id="5"/>
    </w:p>
    <w:p w14:paraId="664C7AE5" w14:textId="0805F0C5" w:rsidR="00E12B8E" w:rsidRDefault="00AC1FB0">
      <w:pPr>
        <w:pStyle w:val="TableofFigures"/>
        <w:tabs>
          <w:tab w:val="right" w:pos="9508"/>
        </w:tabs>
        <w:rPr>
          <w:rFonts w:asciiTheme="minorHAnsi" w:eastAsiaTheme="minorEastAsia" w:hAnsiTheme="minorHAnsi" w:cstheme="minorBidi"/>
          <w:noProof/>
          <w:kern w:val="2"/>
          <w:lang w:eastAsia="en-GB"/>
          <w14:ligatures w14:val="standardContextual"/>
        </w:rPr>
      </w:pPr>
      <w:r w:rsidRPr="00DE2655">
        <w:rPr>
          <w:b/>
          <w:bCs/>
        </w:rPr>
        <w:fldChar w:fldCharType="begin"/>
      </w:r>
      <w:r w:rsidRPr="00DE2655">
        <w:instrText xml:space="preserve"> TOC \h \z \c "Box" </w:instrText>
      </w:r>
      <w:r w:rsidRPr="00DE2655">
        <w:rPr>
          <w:b/>
          <w:bCs/>
        </w:rPr>
        <w:fldChar w:fldCharType="separate"/>
      </w:r>
      <w:hyperlink w:anchor="_Toc136382658" w:history="1">
        <w:r w:rsidR="00E12B8E" w:rsidRPr="00116520">
          <w:rPr>
            <w:rStyle w:val="Hyperlink"/>
            <w:noProof/>
          </w:rPr>
          <w:t>Box 1 Key findings on Efficiency</w:t>
        </w:r>
        <w:r w:rsidR="00E12B8E">
          <w:rPr>
            <w:noProof/>
            <w:webHidden/>
          </w:rPr>
          <w:tab/>
        </w:r>
        <w:r w:rsidR="00E12B8E">
          <w:rPr>
            <w:noProof/>
            <w:webHidden/>
          </w:rPr>
          <w:fldChar w:fldCharType="begin"/>
        </w:r>
        <w:r w:rsidR="00E12B8E">
          <w:rPr>
            <w:noProof/>
            <w:webHidden/>
          </w:rPr>
          <w:instrText xml:space="preserve"> PAGEREF _Toc136382658 \h </w:instrText>
        </w:r>
        <w:r w:rsidR="00E12B8E">
          <w:rPr>
            <w:noProof/>
            <w:webHidden/>
          </w:rPr>
        </w:r>
        <w:r w:rsidR="00E12B8E">
          <w:rPr>
            <w:noProof/>
            <w:webHidden/>
          </w:rPr>
          <w:fldChar w:fldCharType="separate"/>
        </w:r>
        <w:r w:rsidR="00F47CAA">
          <w:rPr>
            <w:noProof/>
            <w:webHidden/>
          </w:rPr>
          <w:t>79</w:t>
        </w:r>
        <w:r w:rsidR="00E12B8E">
          <w:rPr>
            <w:noProof/>
            <w:webHidden/>
          </w:rPr>
          <w:fldChar w:fldCharType="end"/>
        </w:r>
      </w:hyperlink>
    </w:p>
    <w:p w14:paraId="1F138D84" w14:textId="7D7813DF" w:rsidR="00E12B8E" w:rsidRDefault="007B247E">
      <w:pPr>
        <w:pStyle w:val="TableofFigures"/>
        <w:tabs>
          <w:tab w:val="right" w:pos="9508"/>
        </w:tabs>
        <w:rPr>
          <w:rFonts w:asciiTheme="minorHAnsi" w:eastAsiaTheme="minorEastAsia" w:hAnsiTheme="minorHAnsi" w:cstheme="minorBidi"/>
          <w:noProof/>
          <w:kern w:val="2"/>
          <w:lang w:eastAsia="en-GB"/>
          <w14:ligatures w14:val="standardContextual"/>
        </w:rPr>
      </w:pPr>
      <w:hyperlink r:id="rId21" w:anchor="_Toc136382659" w:history="1">
        <w:r w:rsidR="00E12B8E" w:rsidRPr="00116520">
          <w:rPr>
            <w:rStyle w:val="Hyperlink"/>
            <w:noProof/>
          </w:rPr>
          <w:t>Box 2 Key messages from the Itad literature review [here]</w:t>
        </w:r>
        <w:r w:rsidR="00E12B8E">
          <w:rPr>
            <w:noProof/>
            <w:webHidden/>
          </w:rPr>
          <w:tab/>
        </w:r>
        <w:r w:rsidR="00E12B8E">
          <w:rPr>
            <w:noProof/>
            <w:webHidden/>
          </w:rPr>
          <w:fldChar w:fldCharType="begin"/>
        </w:r>
        <w:r w:rsidR="00E12B8E">
          <w:rPr>
            <w:noProof/>
            <w:webHidden/>
          </w:rPr>
          <w:instrText xml:space="preserve"> PAGEREF _Toc136382659 \h </w:instrText>
        </w:r>
        <w:r w:rsidR="00E12B8E">
          <w:rPr>
            <w:noProof/>
            <w:webHidden/>
          </w:rPr>
        </w:r>
        <w:r w:rsidR="00E12B8E">
          <w:rPr>
            <w:noProof/>
            <w:webHidden/>
          </w:rPr>
          <w:fldChar w:fldCharType="separate"/>
        </w:r>
        <w:r w:rsidR="00F47CAA">
          <w:rPr>
            <w:noProof/>
            <w:webHidden/>
          </w:rPr>
          <w:t>92</w:t>
        </w:r>
        <w:r w:rsidR="00E12B8E">
          <w:rPr>
            <w:noProof/>
            <w:webHidden/>
          </w:rPr>
          <w:fldChar w:fldCharType="end"/>
        </w:r>
      </w:hyperlink>
    </w:p>
    <w:p w14:paraId="4C28D120" w14:textId="33502EAE" w:rsidR="00E12B8E" w:rsidRPr="00E12B8E" w:rsidRDefault="007B247E">
      <w:pPr>
        <w:pStyle w:val="TableofFigures"/>
        <w:tabs>
          <w:tab w:val="right" w:pos="9508"/>
        </w:tabs>
        <w:rPr>
          <w:rFonts w:asciiTheme="minorHAnsi" w:eastAsiaTheme="minorEastAsia" w:hAnsiTheme="minorHAnsi" w:cstheme="minorBidi"/>
          <w:noProof/>
          <w:kern w:val="2"/>
          <w:lang w:eastAsia="en-GB"/>
          <w14:ligatures w14:val="standardContextual"/>
        </w:rPr>
      </w:pPr>
      <w:hyperlink r:id="rId22" w:anchor="_Toc136382660" w:history="1">
        <w:r w:rsidR="00E12B8E" w:rsidRPr="00A20CEB">
          <w:rPr>
            <w:rStyle w:val="Hyperlink"/>
            <w:noProof/>
          </w:rPr>
          <w:t>Box 3 Observations from countries – Two different ways in which One Health has been operationalised</w:t>
        </w:r>
        <w:r w:rsidR="00E12B8E" w:rsidRPr="00E12B8E">
          <w:rPr>
            <w:noProof/>
            <w:webHidden/>
          </w:rPr>
          <w:tab/>
        </w:r>
        <w:r w:rsidR="00E12B8E" w:rsidRPr="000A4959">
          <w:rPr>
            <w:noProof/>
            <w:webHidden/>
          </w:rPr>
          <w:fldChar w:fldCharType="begin"/>
        </w:r>
        <w:r w:rsidR="00E12B8E" w:rsidRPr="00E12B8E">
          <w:rPr>
            <w:noProof/>
            <w:webHidden/>
          </w:rPr>
          <w:instrText xml:space="preserve"> PAGEREF _Toc136382660 \h </w:instrText>
        </w:r>
        <w:r w:rsidR="00E12B8E" w:rsidRPr="000A4959">
          <w:rPr>
            <w:noProof/>
            <w:webHidden/>
          </w:rPr>
        </w:r>
        <w:r w:rsidR="00E12B8E" w:rsidRPr="000A4959">
          <w:rPr>
            <w:noProof/>
            <w:webHidden/>
          </w:rPr>
          <w:fldChar w:fldCharType="separate"/>
        </w:r>
        <w:r w:rsidR="00F47CAA">
          <w:rPr>
            <w:noProof/>
            <w:webHidden/>
          </w:rPr>
          <w:t>94</w:t>
        </w:r>
        <w:r w:rsidR="00E12B8E" w:rsidRPr="000A4959">
          <w:rPr>
            <w:noProof/>
            <w:webHidden/>
          </w:rPr>
          <w:fldChar w:fldCharType="end"/>
        </w:r>
      </w:hyperlink>
    </w:p>
    <w:p w14:paraId="54EBA01A" w14:textId="0AD58EB9" w:rsidR="00E12B8E" w:rsidRDefault="007B247E">
      <w:pPr>
        <w:pStyle w:val="TableofFigures"/>
        <w:tabs>
          <w:tab w:val="right" w:pos="9508"/>
        </w:tabs>
        <w:rPr>
          <w:rFonts w:asciiTheme="minorHAnsi" w:eastAsiaTheme="minorEastAsia" w:hAnsiTheme="minorHAnsi" w:cstheme="minorBidi"/>
          <w:noProof/>
          <w:kern w:val="2"/>
          <w:lang w:eastAsia="en-GB"/>
          <w14:ligatures w14:val="standardContextual"/>
        </w:rPr>
      </w:pPr>
      <w:hyperlink w:anchor="_Toc136382661" w:history="1">
        <w:r w:rsidR="00E12B8E" w:rsidRPr="00116520">
          <w:rPr>
            <w:rStyle w:val="Hyperlink"/>
            <w:noProof/>
            <w:lang w:eastAsia="en-GB"/>
          </w:rPr>
          <w:t>Box 4</w:t>
        </w:r>
        <w:r w:rsidR="00E12B8E" w:rsidRPr="00116520">
          <w:rPr>
            <w:rStyle w:val="Hyperlink"/>
            <w:noProof/>
          </w:rPr>
          <w:t xml:space="preserve"> Kingdon's Multiple Streams Analysis</w:t>
        </w:r>
        <w:r w:rsidR="00E12B8E">
          <w:rPr>
            <w:noProof/>
            <w:webHidden/>
          </w:rPr>
          <w:tab/>
        </w:r>
        <w:r w:rsidR="00E12B8E">
          <w:rPr>
            <w:noProof/>
            <w:webHidden/>
          </w:rPr>
          <w:fldChar w:fldCharType="begin"/>
        </w:r>
        <w:r w:rsidR="00E12B8E">
          <w:rPr>
            <w:noProof/>
            <w:webHidden/>
          </w:rPr>
          <w:instrText xml:space="preserve"> PAGEREF _Toc136382661 \h </w:instrText>
        </w:r>
        <w:r w:rsidR="00E12B8E">
          <w:rPr>
            <w:noProof/>
            <w:webHidden/>
          </w:rPr>
        </w:r>
        <w:r w:rsidR="00E12B8E">
          <w:rPr>
            <w:noProof/>
            <w:webHidden/>
          </w:rPr>
          <w:fldChar w:fldCharType="separate"/>
        </w:r>
        <w:r w:rsidR="00F47CAA">
          <w:rPr>
            <w:noProof/>
            <w:webHidden/>
          </w:rPr>
          <w:t>115</w:t>
        </w:r>
        <w:r w:rsidR="00E12B8E">
          <w:rPr>
            <w:noProof/>
            <w:webHidden/>
          </w:rPr>
          <w:fldChar w:fldCharType="end"/>
        </w:r>
      </w:hyperlink>
    </w:p>
    <w:p w14:paraId="6E69D95D" w14:textId="17F8F2E2" w:rsidR="00E12B8E" w:rsidRDefault="007B247E">
      <w:pPr>
        <w:pStyle w:val="TableofFigures"/>
        <w:tabs>
          <w:tab w:val="right" w:pos="9508"/>
        </w:tabs>
        <w:rPr>
          <w:rFonts w:asciiTheme="minorHAnsi" w:eastAsiaTheme="minorEastAsia" w:hAnsiTheme="minorHAnsi" w:cstheme="minorBidi"/>
          <w:noProof/>
          <w:kern w:val="2"/>
          <w:lang w:eastAsia="en-GB"/>
          <w14:ligatures w14:val="standardContextual"/>
        </w:rPr>
      </w:pPr>
      <w:hyperlink w:anchor="_Toc136382662" w:history="1">
        <w:r w:rsidR="00E12B8E" w:rsidRPr="00116520">
          <w:rPr>
            <w:rStyle w:val="Hyperlink"/>
            <w:noProof/>
            <w:lang w:eastAsia="en-GB"/>
          </w:rPr>
          <w:t>Box 5 COVID-19 and national AMR agendas, 2020-22</w:t>
        </w:r>
        <w:r w:rsidR="00E12B8E">
          <w:rPr>
            <w:noProof/>
            <w:webHidden/>
          </w:rPr>
          <w:tab/>
        </w:r>
        <w:r w:rsidR="00E12B8E">
          <w:rPr>
            <w:noProof/>
            <w:webHidden/>
          </w:rPr>
          <w:fldChar w:fldCharType="begin"/>
        </w:r>
        <w:r w:rsidR="00E12B8E">
          <w:rPr>
            <w:noProof/>
            <w:webHidden/>
          </w:rPr>
          <w:instrText xml:space="preserve"> PAGEREF _Toc136382662 \h </w:instrText>
        </w:r>
        <w:r w:rsidR="00E12B8E">
          <w:rPr>
            <w:noProof/>
            <w:webHidden/>
          </w:rPr>
        </w:r>
        <w:r w:rsidR="00E12B8E">
          <w:rPr>
            <w:noProof/>
            <w:webHidden/>
          </w:rPr>
          <w:fldChar w:fldCharType="separate"/>
        </w:r>
        <w:r w:rsidR="00F47CAA">
          <w:rPr>
            <w:noProof/>
            <w:webHidden/>
          </w:rPr>
          <w:t>118</w:t>
        </w:r>
        <w:r w:rsidR="00E12B8E">
          <w:rPr>
            <w:noProof/>
            <w:webHidden/>
          </w:rPr>
          <w:fldChar w:fldCharType="end"/>
        </w:r>
      </w:hyperlink>
    </w:p>
    <w:p w14:paraId="7ECBF3D6" w14:textId="52A4065B" w:rsidR="00AC1FB0" w:rsidRDefault="00AC1FB0" w:rsidP="009C2E77">
      <w:pPr>
        <w:pStyle w:val="ItadH1"/>
      </w:pPr>
      <w:r w:rsidRPr="00DE2655">
        <w:rPr>
          <w:b w:val="0"/>
          <w:bCs w:val="0"/>
        </w:rPr>
        <w:fldChar w:fldCharType="end"/>
      </w:r>
      <w:bookmarkStart w:id="6" w:name="_Toc122352628"/>
      <w:bookmarkStart w:id="7" w:name="_Toc122525839"/>
      <w:bookmarkStart w:id="8" w:name="_Toc142383131"/>
      <w:r w:rsidR="007458AC">
        <w:t>List of tables</w:t>
      </w:r>
      <w:bookmarkEnd w:id="6"/>
      <w:bookmarkEnd w:id="7"/>
      <w:bookmarkEnd w:id="8"/>
    </w:p>
    <w:p w14:paraId="156161DA" w14:textId="13EC7DD0" w:rsidR="00C613BA" w:rsidRDefault="00AC1FB0">
      <w:pPr>
        <w:pStyle w:val="TableofFigures"/>
        <w:tabs>
          <w:tab w:val="right" w:leader="dot" w:pos="9508"/>
        </w:tabs>
        <w:rPr>
          <w:rFonts w:asciiTheme="minorHAnsi" w:eastAsiaTheme="minorEastAsia" w:hAnsiTheme="minorHAnsi" w:cstheme="minorBidi"/>
          <w:noProof/>
          <w:kern w:val="2"/>
          <w:lang w:eastAsia="en-GB"/>
          <w14:ligatures w14:val="standardContextual"/>
        </w:rPr>
      </w:pPr>
      <w:r>
        <w:fldChar w:fldCharType="begin"/>
      </w:r>
      <w:r>
        <w:instrText xml:space="preserve"> TOC \h \z \c "Table" </w:instrText>
      </w:r>
      <w:r>
        <w:fldChar w:fldCharType="separate"/>
      </w:r>
      <w:hyperlink w:anchor="_Toc143857869" w:history="1">
        <w:r w:rsidR="00C613BA" w:rsidRPr="00313C74">
          <w:rPr>
            <w:rStyle w:val="Hyperlink"/>
            <w:noProof/>
          </w:rPr>
          <w:t>Table 1 The Evaluation Matrix</w:t>
        </w:r>
        <w:r w:rsidR="00C613BA">
          <w:rPr>
            <w:noProof/>
            <w:webHidden/>
          </w:rPr>
          <w:tab/>
        </w:r>
        <w:r w:rsidR="00C613BA">
          <w:rPr>
            <w:noProof/>
            <w:webHidden/>
          </w:rPr>
          <w:fldChar w:fldCharType="begin"/>
        </w:r>
        <w:r w:rsidR="00C613BA">
          <w:rPr>
            <w:noProof/>
            <w:webHidden/>
          </w:rPr>
          <w:instrText xml:space="preserve"> PAGEREF _Toc143857869 \h </w:instrText>
        </w:r>
        <w:r w:rsidR="00C613BA">
          <w:rPr>
            <w:noProof/>
            <w:webHidden/>
          </w:rPr>
        </w:r>
        <w:r w:rsidR="00C613BA">
          <w:rPr>
            <w:noProof/>
            <w:webHidden/>
          </w:rPr>
          <w:fldChar w:fldCharType="separate"/>
        </w:r>
        <w:r w:rsidR="00F47CAA">
          <w:rPr>
            <w:noProof/>
            <w:webHidden/>
          </w:rPr>
          <w:t>38</w:t>
        </w:r>
        <w:r w:rsidR="00C613BA">
          <w:rPr>
            <w:noProof/>
            <w:webHidden/>
          </w:rPr>
          <w:fldChar w:fldCharType="end"/>
        </w:r>
      </w:hyperlink>
    </w:p>
    <w:p w14:paraId="53F3A423" w14:textId="007F11BC"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70" w:history="1">
        <w:r w:rsidR="00C613BA" w:rsidRPr="00313C74">
          <w:rPr>
            <w:rStyle w:val="Hyperlink"/>
            <w:noProof/>
          </w:rPr>
          <w:t>Table 2 Summary of sampling strategies</w:t>
        </w:r>
        <w:r w:rsidR="00C613BA">
          <w:rPr>
            <w:noProof/>
            <w:webHidden/>
          </w:rPr>
          <w:tab/>
        </w:r>
        <w:r w:rsidR="00C613BA">
          <w:rPr>
            <w:noProof/>
            <w:webHidden/>
          </w:rPr>
          <w:fldChar w:fldCharType="begin"/>
        </w:r>
        <w:r w:rsidR="00C613BA">
          <w:rPr>
            <w:noProof/>
            <w:webHidden/>
          </w:rPr>
          <w:instrText xml:space="preserve"> PAGEREF _Toc143857870 \h </w:instrText>
        </w:r>
        <w:r w:rsidR="00C613BA">
          <w:rPr>
            <w:noProof/>
            <w:webHidden/>
          </w:rPr>
        </w:r>
        <w:r w:rsidR="00C613BA">
          <w:rPr>
            <w:noProof/>
            <w:webHidden/>
          </w:rPr>
          <w:fldChar w:fldCharType="separate"/>
        </w:r>
        <w:r w:rsidR="00F47CAA">
          <w:rPr>
            <w:noProof/>
            <w:webHidden/>
          </w:rPr>
          <w:t>43</w:t>
        </w:r>
        <w:r w:rsidR="00C613BA">
          <w:rPr>
            <w:noProof/>
            <w:webHidden/>
          </w:rPr>
          <w:fldChar w:fldCharType="end"/>
        </w:r>
      </w:hyperlink>
    </w:p>
    <w:p w14:paraId="44ECB88B" w14:textId="6D1B51D7"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71" w:history="1">
        <w:r w:rsidR="00C613BA" w:rsidRPr="00313C74">
          <w:rPr>
            <w:rStyle w:val="Hyperlink"/>
            <w:noProof/>
          </w:rPr>
          <w:t>Table 3 Possible outcomes that may be prioritised by the countries</w:t>
        </w:r>
        <w:r w:rsidR="00C613BA">
          <w:rPr>
            <w:noProof/>
            <w:webHidden/>
          </w:rPr>
          <w:tab/>
        </w:r>
        <w:r w:rsidR="00C613BA">
          <w:rPr>
            <w:noProof/>
            <w:webHidden/>
          </w:rPr>
          <w:fldChar w:fldCharType="begin"/>
        </w:r>
        <w:r w:rsidR="00C613BA">
          <w:rPr>
            <w:noProof/>
            <w:webHidden/>
          </w:rPr>
          <w:instrText xml:space="preserve"> PAGEREF _Toc143857871 \h </w:instrText>
        </w:r>
        <w:r w:rsidR="00C613BA">
          <w:rPr>
            <w:noProof/>
            <w:webHidden/>
          </w:rPr>
        </w:r>
        <w:r w:rsidR="00C613BA">
          <w:rPr>
            <w:noProof/>
            <w:webHidden/>
          </w:rPr>
          <w:fldChar w:fldCharType="separate"/>
        </w:r>
        <w:r w:rsidR="00F47CAA">
          <w:rPr>
            <w:noProof/>
            <w:webHidden/>
          </w:rPr>
          <w:t>53</w:t>
        </w:r>
        <w:r w:rsidR="00C613BA">
          <w:rPr>
            <w:noProof/>
            <w:webHidden/>
          </w:rPr>
          <w:fldChar w:fldCharType="end"/>
        </w:r>
      </w:hyperlink>
    </w:p>
    <w:p w14:paraId="48708091" w14:textId="742E33E4"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72" w:history="1">
        <w:r w:rsidR="00C613BA" w:rsidRPr="00313C74">
          <w:rPr>
            <w:rStyle w:val="Hyperlink"/>
            <w:noProof/>
          </w:rPr>
          <w:t>Table 4 Themes for assessment of country and regional grants</w:t>
        </w:r>
        <w:r w:rsidR="00C613BA">
          <w:rPr>
            <w:noProof/>
            <w:webHidden/>
          </w:rPr>
          <w:tab/>
        </w:r>
        <w:r w:rsidR="00C613BA">
          <w:rPr>
            <w:noProof/>
            <w:webHidden/>
          </w:rPr>
          <w:fldChar w:fldCharType="begin"/>
        </w:r>
        <w:r w:rsidR="00C613BA">
          <w:rPr>
            <w:noProof/>
            <w:webHidden/>
          </w:rPr>
          <w:instrText xml:space="preserve"> PAGEREF _Toc143857872 \h </w:instrText>
        </w:r>
        <w:r w:rsidR="00C613BA">
          <w:rPr>
            <w:noProof/>
            <w:webHidden/>
          </w:rPr>
        </w:r>
        <w:r w:rsidR="00C613BA">
          <w:rPr>
            <w:noProof/>
            <w:webHidden/>
          </w:rPr>
          <w:fldChar w:fldCharType="separate"/>
        </w:r>
        <w:r w:rsidR="00F47CAA">
          <w:rPr>
            <w:noProof/>
            <w:webHidden/>
          </w:rPr>
          <w:t>56</w:t>
        </w:r>
        <w:r w:rsidR="00C613BA">
          <w:rPr>
            <w:noProof/>
            <w:webHidden/>
          </w:rPr>
          <w:fldChar w:fldCharType="end"/>
        </w:r>
      </w:hyperlink>
    </w:p>
    <w:p w14:paraId="1F010CE0" w14:textId="5BF894A8"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73" w:history="1">
        <w:r w:rsidR="00C613BA" w:rsidRPr="00313C74">
          <w:rPr>
            <w:rStyle w:val="Hyperlink"/>
            <w:noProof/>
          </w:rPr>
          <w:t>Table 5 Expected and planned pillars of sustainability</w:t>
        </w:r>
        <w:r w:rsidR="00C613BA">
          <w:rPr>
            <w:noProof/>
            <w:webHidden/>
          </w:rPr>
          <w:tab/>
        </w:r>
        <w:r w:rsidR="00C613BA">
          <w:rPr>
            <w:noProof/>
            <w:webHidden/>
          </w:rPr>
          <w:fldChar w:fldCharType="begin"/>
        </w:r>
        <w:r w:rsidR="00C613BA">
          <w:rPr>
            <w:noProof/>
            <w:webHidden/>
          </w:rPr>
          <w:instrText xml:space="preserve"> PAGEREF _Toc143857873 \h </w:instrText>
        </w:r>
        <w:r w:rsidR="00C613BA">
          <w:rPr>
            <w:noProof/>
            <w:webHidden/>
          </w:rPr>
        </w:r>
        <w:r w:rsidR="00C613BA">
          <w:rPr>
            <w:noProof/>
            <w:webHidden/>
          </w:rPr>
          <w:fldChar w:fldCharType="separate"/>
        </w:r>
        <w:r w:rsidR="00F47CAA">
          <w:rPr>
            <w:noProof/>
            <w:webHidden/>
          </w:rPr>
          <w:t>58</w:t>
        </w:r>
        <w:r w:rsidR="00C613BA">
          <w:rPr>
            <w:noProof/>
            <w:webHidden/>
          </w:rPr>
          <w:fldChar w:fldCharType="end"/>
        </w:r>
      </w:hyperlink>
    </w:p>
    <w:p w14:paraId="0657AAD2" w14:textId="44893C3A"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74" w:history="1">
        <w:r w:rsidR="00C613BA" w:rsidRPr="00313C74">
          <w:rPr>
            <w:rStyle w:val="Hyperlink"/>
            <w:noProof/>
          </w:rPr>
          <w:t>Table 6 Rubrics applied to generate RAG ratings for each key sustainability pillar</w:t>
        </w:r>
        <w:r w:rsidR="00C613BA">
          <w:rPr>
            <w:noProof/>
            <w:webHidden/>
          </w:rPr>
          <w:tab/>
        </w:r>
        <w:r w:rsidR="00C613BA">
          <w:rPr>
            <w:noProof/>
            <w:webHidden/>
          </w:rPr>
          <w:fldChar w:fldCharType="begin"/>
        </w:r>
        <w:r w:rsidR="00C613BA">
          <w:rPr>
            <w:noProof/>
            <w:webHidden/>
          </w:rPr>
          <w:instrText xml:space="preserve"> PAGEREF _Toc143857874 \h </w:instrText>
        </w:r>
        <w:r w:rsidR="00C613BA">
          <w:rPr>
            <w:noProof/>
            <w:webHidden/>
          </w:rPr>
        </w:r>
        <w:r w:rsidR="00C613BA">
          <w:rPr>
            <w:noProof/>
            <w:webHidden/>
          </w:rPr>
          <w:fldChar w:fldCharType="separate"/>
        </w:r>
        <w:r w:rsidR="00F47CAA">
          <w:rPr>
            <w:noProof/>
            <w:webHidden/>
          </w:rPr>
          <w:t>58</w:t>
        </w:r>
        <w:r w:rsidR="00C613BA">
          <w:rPr>
            <w:noProof/>
            <w:webHidden/>
          </w:rPr>
          <w:fldChar w:fldCharType="end"/>
        </w:r>
      </w:hyperlink>
    </w:p>
    <w:p w14:paraId="6C40EBAA" w14:textId="093D5DD0"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75" w:history="1">
        <w:r w:rsidR="00C613BA" w:rsidRPr="00313C74">
          <w:rPr>
            <w:rStyle w:val="Hyperlink"/>
            <w:noProof/>
          </w:rPr>
          <w:t>Table 7 Documents reviewed per country</w:t>
        </w:r>
        <w:r w:rsidR="00C613BA">
          <w:rPr>
            <w:noProof/>
            <w:webHidden/>
          </w:rPr>
          <w:tab/>
        </w:r>
        <w:r w:rsidR="00C613BA">
          <w:rPr>
            <w:noProof/>
            <w:webHidden/>
          </w:rPr>
          <w:fldChar w:fldCharType="begin"/>
        </w:r>
        <w:r w:rsidR="00C613BA">
          <w:rPr>
            <w:noProof/>
            <w:webHidden/>
          </w:rPr>
          <w:instrText xml:space="preserve"> PAGEREF _Toc143857875 \h </w:instrText>
        </w:r>
        <w:r w:rsidR="00C613BA">
          <w:rPr>
            <w:noProof/>
            <w:webHidden/>
          </w:rPr>
        </w:r>
        <w:r w:rsidR="00C613BA">
          <w:rPr>
            <w:noProof/>
            <w:webHidden/>
          </w:rPr>
          <w:fldChar w:fldCharType="separate"/>
        </w:r>
        <w:r w:rsidR="00F47CAA">
          <w:rPr>
            <w:noProof/>
            <w:webHidden/>
          </w:rPr>
          <w:t>62</w:t>
        </w:r>
        <w:r w:rsidR="00C613BA">
          <w:rPr>
            <w:noProof/>
            <w:webHidden/>
          </w:rPr>
          <w:fldChar w:fldCharType="end"/>
        </w:r>
      </w:hyperlink>
    </w:p>
    <w:p w14:paraId="119DCD80" w14:textId="6E4B80AC"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76" w:history="1">
        <w:r w:rsidR="00C613BA" w:rsidRPr="00313C74">
          <w:rPr>
            <w:rStyle w:val="Hyperlink"/>
            <w:noProof/>
          </w:rPr>
          <w:t>Table 8 Number of documents reviewed by theme</w:t>
        </w:r>
        <w:r w:rsidR="00C613BA">
          <w:rPr>
            <w:noProof/>
            <w:webHidden/>
          </w:rPr>
          <w:tab/>
        </w:r>
        <w:r w:rsidR="00C613BA">
          <w:rPr>
            <w:noProof/>
            <w:webHidden/>
          </w:rPr>
          <w:fldChar w:fldCharType="begin"/>
        </w:r>
        <w:r w:rsidR="00C613BA">
          <w:rPr>
            <w:noProof/>
            <w:webHidden/>
          </w:rPr>
          <w:instrText xml:space="preserve"> PAGEREF _Toc143857876 \h </w:instrText>
        </w:r>
        <w:r w:rsidR="00C613BA">
          <w:rPr>
            <w:noProof/>
            <w:webHidden/>
          </w:rPr>
        </w:r>
        <w:r w:rsidR="00C613BA">
          <w:rPr>
            <w:noProof/>
            <w:webHidden/>
          </w:rPr>
          <w:fldChar w:fldCharType="separate"/>
        </w:r>
        <w:r w:rsidR="00F47CAA">
          <w:rPr>
            <w:noProof/>
            <w:webHidden/>
          </w:rPr>
          <w:t>63</w:t>
        </w:r>
        <w:r w:rsidR="00C613BA">
          <w:rPr>
            <w:noProof/>
            <w:webHidden/>
          </w:rPr>
          <w:fldChar w:fldCharType="end"/>
        </w:r>
      </w:hyperlink>
    </w:p>
    <w:p w14:paraId="6DE15AF9" w14:textId="110C783E"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77" w:history="1">
        <w:r w:rsidR="00C613BA" w:rsidRPr="00313C74">
          <w:rPr>
            <w:rStyle w:val="Hyperlink"/>
            <w:noProof/>
          </w:rPr>
          <w:t>Table 9 Key Informant Categories and their estimated numbers</w:t>
        </w:r>
        <w:r w:rsidR="00C613BA">
          <w:rPr>
            <w:noProof/>
            <w:webHidden/>
          </w:rPr>
          <w:tab/>
        </w:r>
        <w:r w:rsidR="00C613BA">
          <w:rPr>
            <w:noProof/>
            <w:webHidden/>
          </w:rPr>
          <w:fldChar w:fldCharType="begin"/>
        </w:r>
        <w:r w:rsidR="00C613BA">
          <w:rPr>
            <w:noProof/>
            <w:webHidden/>
          </w:rPr>
          <w:instrText xml:space="preserve"> PAGEREF _Toc143857877 \h </w:instrText>
        </w:r>
        <w:r w:rsidR="00C613BA">
          <w:rPr>
            <w:noProof/>
            <w:webHidden/>
          </w:rPr>
        </w:r>
        <w:r w:rsidR="00C613BA">
          <w:rPr>
            <w:noProof/>
            <w:webHidden/>
          </w:rPr>
          <w:fldChar w:fldCharType="separate"/>
        </w:r>
        <w:r w:rsidR="00F47CAA">
          <w:rPr>
            <w:noProof/>
            <w:webHidden/>
          </w:rPr>
          <w:t>64</w:t>
        </w:r>
        <w:r w:rsidR="00C613BA">
          <w:rPr>
            <w:noProof/>
            <w:webHidden/>
          </w:rPr>
          <w:fldChar w:fldCharType="end"/>
        </w:r>
      </w:hyperlink>
    </w:p>
    <w:p w14:paraId="796BFA7D" w14:textId="5459F898"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78" w:history="1">
        <w:r w:rsidR="00C613BA" w:rsidRPr="00313C74">
          <w:rPr>
            <w:rStyle w:val="Hyperlink"/>
            <w:noProof/>
          </w:rPr>
          <w:t>Table 10 Criteria for selecting sites to be visited</w:t>
        </w:r>
        <w:r w:rsidR="00C613BA">
          <w:rPr>
            <w:noProof/>
            <w:webHidden/>
          </w:rPr>
          <w:tab/>
        </w:r>
        <w:r w:rsidR="00C613BA">
          <w:rPr>
            <w:noProof/>
            <w:webHidden/>
          </w:rPr>
          <w:fldChar w:fldCharType="begin"/>
        </w:r>
        <w:r w:rsidR="00C613BA">
          <w:rPr>
            <w:noProof/>
            <w:webHidden/>
          </w:rPr>
          <w:instrText xml:space="preserve"> PAGEREF _Toc143857878 \h </w:instrText>
        </w:r>
        <w:r w:rsidR="00C613BA">
          <w:rPr>
            <w:noProof/>
            <w:webHidden/>
          </w:rPr>
        </w:r>
        <w:r w:rsidR="00C613BA">
          <w:rPr>
            <w:noProof/>
            <w:webHidden/>
          </w:rPr>
          <w:fldChar w:fldCharType="separate"/>
        </w:r>
        <w:r w:rsidR="00F47CAA">
          <w:rPr>
            <w:noProof/>
            <w:webHidden/>
          </w:rPr>
          <w:t>66</w:t>
        </w:r>
        <w:r w:rsidR="00C613BA">
          <w:rPr>
            <w:noProof/>
            <w:webHidden/>
          </w:rPr>
          <w:fldChar w:fldCharType="end"/>
        </w:r>
      </w:hyperlink>
    </w:p>
    <w:p w14:paraId="3E758D50" w14:textId="71EF8B9B"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79" w:history="1">
        <w:r w:rsidR="00C613BA" w:rsidRPr="00313C74">
          <w:rPr>
            <w:rStyle w:val="Hyperlink"/>
            <w:noProof/>
          </w:rPr>
          <w:t>Table 11 Direct and regional grants reviewed</w:t>
        </w:r>
        <w:r w:rsidR="00C613BA">
          <w:rPr>
            <w:noProof/>
            <w:webHidden/>
          </w:rPr>
          <w:tab/>
        </w:r>
        <w:r w:rsidR="00C613BA">
          <w:rPr>
            <w:noProof/>
            <w:webHidden/>
          </w:rPr>
          <w:fldChar w:fldCharType="begin"/>
        </w:r>
        <w:r w:rsidR="00C613BA">
          <w:rPr>
            <w:noProof/>
            <w:webHidden/>
          </w:rPr>
          <w:instrText xml:space="preserve"> PAGEREF _Toc143857879 \h </w:instrText>
        </w:r>
        <w:r w:rsidR="00C613BA">
          <w:rPr>
            <w:noProof/>
            <w:webHidden/>
          </w:rPr>
        </w:r>
        <w:r w:rsidR="00C613BA">
          <w:rPr>
            <w:noProof/>
            <w:webHidden/>
          </w:rPr>
          <w:fldChar w:fldCharType="separate"/>
        </w:r>
        <w:r w:rsidR="00F47CAA">
          <w:rPr>
            <w:noProof/>
            <w:webHidden/>
          </w:rPr>
          <w:t>66</w:t>
        </w:r>
        <w:r w:rsidR="00C613BA">
          <w:rPr>
            <w:noProof/>
            <w:webHidden/>
          </w:rPr>
          <w:fldChar w:fldCharType="end"/>
        </w:r>
      </w:hyperlink>
    </w:p>
    <w:p w14:paraId="3EBB124D" w14:textId="5B67CA9C"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80" w:history="1">
        <w:r w:rsidR="00C613BA" w:rsidRPr="00313C74">
          <w:rPr>
            <w:rStyle w:val="Hyperlink"/>
            <w:noProof/>
          </w:rPr>
          <w:t>Table 12 Number of documents reviewed per document type</w:t>
        </w:r>
        <w:r w:rsidR="00C613BA">
          <w:rPr>
            <w:noProof/>
            <w:webHidden/>
          </w:rPr>
          <w:tab/>
        </w:r>
        <w:r w:rsidR="00C613BA">
          <w:rPr>
            <w:noProof/>
            <w:webHidden/>
          </w:rPr>
          <w:fldChar w:fldCharType="begin"/>
        </w:r>
        <w:r w:rsidR="00C613BA">
          <w:rPr>
            <w:noProof/>
            <w:webHidden/>
          </w:rPr>
          <w:instrText xml:space="preserve"> PAGEREF _Toc143857880 \h </w:instrText>
        </w:r>
        <w:r w:rsidR="00C613BA">
          <w:rPr>
            <w:noProof/>
            <w:webHidden/>
          </w:rPr>
        </w:r>
        <w:r w:rsidR="00C613BA">
          <w:rPr>
            <w:noProof/>
            <w:webHidden/>
          </w:rPr>
          <w:fldChar w:fldCharType="separate"/>
        </w:r>
        <w:r w:rsidR="00F47CAA">
          <w:rPr>
            <w:noProof/>
            <w:webHidden/>
          </w:rPr>
          <w:t>67</w:t>
        </w:r>
        <w:r w:rsidR="00C613BA">
          <w:rPr>
            <w:noProof/>
            <w:webHidden/>
          </w:rPr>
          <w:fldChar w:fldCharType="end"/>
        </w:r>
      </w:hyperlink>
    </w:p>
    <w:p w14:paraId="29B9DE74" w14:textId="738AB37D"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81" w:history="1">
        <w:r w:rsidR="00C613BA" w:rsidRPr="00313C74">
          <w:rPr>
            <w:rStyle w:val="Hyperlink"/>
            <w:noProof/>
          </w:rPr>
          <w:t>Table 13 Framework for ensuring quality in the evaluation</w:t>
        </w:r>
        <w:r w:rsidR="00C613BA">
          <w:rPr>
            <w:noProof/>
            <w:webHidden/>
          </w:rPr>
          <w:tab/>
        </w:r>
        <w:r w:rsidR="00C613BA">
          <w:rPr>
            <w:noProof/>
            <w:webHidden/>
          </w:rPr>
          <w:fldChar w:fldCharType="begin"/>
        </w:r>
        <w:r w:rsidR="00C613BA">
          <w:rPr>
            <w:noProof/>
            <w:webHidden/>
          </w:rPr>
          <w:instrText xml:space="preserve"> PAGEREF _Toc143857881 \h </w:instrText>
        </w:r>
        <w:r w:rsidR="00C613BA">
          <w:rPr>
            <w:noProof/>
            <w:webHidden/>
          </w:rPr>
        </w:r>
        <w:r w:rsidR="00C613BA">
          <w:rPr>
            <w:noProof/>
            <w:webHidden/>
          </w:rPr>
          <w:fldChar w:fldCharType="separate"/>
        </w:r>
        <w:r w:rsidR="00F47CAA">
          <w:rPr>
            <w:noProof/>
            <w:webHidden/>
          </w:rPr>
          <w:t>68</w:t>
        </w:r>
        <w:r w:rsidR="00C613BA">
          <w:rPr>
            <w:noProof/>
            <w:webHidden/>
          </w:rPr>
          <w:fldChar w:fldCharType="end"/>
        </w:r>
      </w:hyperlink>
    </w:p>
    <w:p w14:paraId="5A97D0BF" w14:textId="57B4249C"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82" w:history="1">
        <w:r w:rsidR="00C613BA" w:rsidRPr="00313C74">
          <w:rPr>
            <w:rStyle w:val="Hyperlink"/>
            <w:noProof/>
          </w:rPr>
          <w:t>Table 14 Example of overbudgeting in RG FF10/11</w:t>
        </w:r>
        <w:r w:rsidR="00C613BA">
          <w:rPr>
            <w:noProof/>
            <w:webHidden/>
          </w:rPr>
          <w:tab/>
        </w:r>
        <w:r w:rsidR="00C613BA">
          <w:rPr>
            <w:noProof/>
            <w:webHidden/>
          </w:rPr>
          <w:fldChar w:fldCharType="begin"/>
        </w:r>
        <w:r w:rsidR="00C613BA">
          <w:rPr>
            <w:noProof/>
            <w:webHidden/>
          </w:rPr>
          <w:instrText xml:space="preserve"> PAGEREF _Toc143857882 \h </w:instrText>
        </w:r>
        <w:r w:rsidR="00C613BA">
          <w:rPr>
            <w:noProof/>
            <w:webHidden/>
          </w:rPr>
        </w:r>
        <w:r w:rsidR="00C613BA">
          <w:rPr>
            <w:noProof/>
            <w:webHidden/>
          </w:rPr>
          <w:fldChar w:fldCharType="separate"/>
        </w:r>
        <w:r w:rsidR="00F47CAA">
          <w:rPr>
            <w:noProof/>
            <w:webHidden/>
          </w:rPr>
          <w:t>72</w:t>
        </w:r>
        <w:r w:rsidR="00C613BA">
          <w:rPr>
            <w:noProof/>
            <w:webHidden/>
          </w:rPr>
          <w:fldChar w:fldCharType="end"/>
        </w:r>
      </w:hyperlink>
    </w:p>
    <w:p w14:paraId="0D30099B" w14:textId="1084D6C5"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83" w:history="1">
        <w:r w:rsidR="00C613BA" w:rsidRPr="00313C74">
          <w:rPr>
            <w:rStyle w:val="Hyperlink"/>
            <w:noProof/>
          </w:rPr>
          <w:t>Table 15 VfM Measures of Economy achieved across country grants</w:t>
        </w:r>
        <w:r w:rsidR="00C613BA">
          <w:rPr>
            <w:noProof/>
            <w:webHidden/>
          </w:rPr>
          <w:tab/>
        </w:r>
        <w:r w:rsidR="00C613BA">
          <w:rPr>
            <w:noProof/>
            <w:webHidden/>
          </w:rPr>
          <w:fldChar w:fldCharType="begin"/>
        </w:r>
        <w:r w:rsidR="00C613BA">
          <w:rPr>
            <w:noProof/>
            <w:webHidden/>
          </w:rPr>
          <w:instrText xml:space="preserve"> PAGEREF _Toc143857883 \h </w:instrText>
        </w:r>
        <w:r w:rsidR="00C613BA">
          <w:rPr>
            <w:noProof/>
            <w:webHidden/>
          </w:rPr>
        </w:r>
        <w:r w:rsidR="00C613BA">
          <w:rPr>
            <w:noProof/>
            <w:webHidden/>
          </w:rPr>
          <w:fldChar w:fldCharType="separate"/>
        </w:r>
        <w:r w:rsidR="00F47CAA">
          <w:rPr>
            <w:noProof/>
            <w:webHidden/>
          </w:rPr>
          <w:t>75</w:t>
        </w:r>
        <w:r w:rsidR="00C613BA">
          <w:rPr>
            <w:noProof/>
            <w:webHidden/>
          </w:rPr>
          <w:fldChar w:fldCharType="end"/>
        </w:r>
      </w:hyperlink>
    </w:p>
    <w:p w14:paraId="06ED2719" w14:textId="75BFE927"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84" w:history="1">
        <w:r w:rsidR="00C613BA" w:rsidRPr="00313C74">
          <w:rPr>
            <w:rStyle w:val="Hyperlink"/>
            <w:noProof/>
          </w:rPr>
          <w:t>Table 16 VfM Measures of Economy achieved across regional grants</w:t>
        </w:r>
        <w:r w:rsidR="00C613BA">
          <w:rPr>
            <w:noProof/>
            <w:webHidden/>
          </w:rPr>
          <w:tab/>
        </w:r>
        <w:r w:rsidR="00C613BA">
          <w:rPr>
            <w:noProof/>
            <w:webHidden/>
          </w:rPr>
          <w:fldChar w:fldCharType="begin"/>
        </w:r>
        <w:r w:rsidR="00C613BA">
          <w:rPr>
            <w:noProof/>
            <w:webHidden/>
          </w:rPr>
          <w:instrText xml:space="preserve"> PAGEREF _Toc143857884 \h </w:instrText>
        </w:r>
        <w:r w:rsidR="00C613BA">
          <w:rPr>
            <w:noProof/>
            <w:webHidden/>
          </w:rPr>
        </w:r>
        <w:r w:rsidR="00C613BA">
          <w:rPr>
            <w:noProof/>
            <w:webHidden/>
          </w:rPr>
          <w:fldChar w:fldCharType="separate"/>
        </w:r>
        <w:r w:rsidR="00F47CAA">
          <w:rPr>
            <w:noProof/>
            <w:webHidden/>
          </w:rPr>
          <w:t>75</w:t>
        </w:r>
        <w:r w:rsidR="00C613BA">
          <w:rPr>
            <w:noProof/>
            <w:webHidden/>
          </w:rPr>
          <w:fldChar w:fldCharType="end"/>
        </w:r>
      </w:hyperlink>
    </w:p>
    <w:p w14:paraId="5301AEDE" w14:textId="33DF380E"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85" w:history="1">
        <w:r w:rsidR="00C613BA" w:rsidRPr="00313C74">
          <w:rPr>
            <w:rStyle w:val="Hyperlink"/>
            <w:noProof/>
          </w:rPr>
          <w:t>Table 17 Rubric for VfM Measures of Economy</w:t>
        </w:r>
        <w:r w:rsidR="00C613BA">
          <w:rPr>
            <w:noProof/>
            <w:webHidden/>
          </w:rPr>
          <w:tab/>
        </w:r>
        <w:r w:rsidR="00C613BA">
          <w:rPr>
            <w:noProof/>
            <w:webHidden/>
          </w:rPr>
          <w:fldChar w:fldCharType="begin"/>
        </w:r>
        <w:r w:rsidR="00C613BA">
          <w:rPr>
            <w:noProof/>
            <w:webHidden/>
          </w:rPr>
          <w:instrText xml:space="preserve"> PAGEREF _Toc143857885 \h </w:instrText>
        </w:r>
        <w:r w:rsidR="00C613BA">
          <w:rPr>
            <w:noProof/>
            <w:webHidden/>
          </w:rPr>
        </w:r>
        <w:r w:rsidR="00C613BA">
          <w:rPr>
            <w:noProof/>
            <w:webHidden/>
          </w:rPr>
          <w:fldChar w:fldCharType="separate"/>
        </w:r>
        <w:r w:rsidR="00F47CAA">
          <w:rPr>
            <w:noProof/>
            <w:webHidden/>
          </w:rPr>
          <w:t>76</w:t>
        </w:r>
        <w:r w:rsidR="00C613BA">
          <w:rPr>
            <w:noProof/>
            <w:webHidden/>
          </w:rPr>
          <w:fldChar w:fldCharType="end"/>
        </w:r>
      </w:hyperlink>
    </w:p>
    <w:p w14:paraId="029E4AC0" w14:textId="737076EF"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86" w:history="1">
        <w:r w:rsidR="00C613BA" w:rsidRPr="00313C74">
          <w:rPr>
            <w:rStyle w:val="Hyperlink"/>
            <w:noProof/>
          </w:rPr>
          <w:t>Table 18 Budgeted and Actual Overhead costs in CGs</w:t>
        </w:r>
        <w:r w:rsidR="00C613BA">
          <w:rPr>
            <w:noProof/>
            <w:webHidden/>
          </w:rPr>
          <w:tab/>
        </w:r>
        <w:r w:rsidR="00C613BA">
          <w:rPr>
            <w:noProof/>
            <w:webHidden/>
          </w:rPr>
          <w:fldChar w:fldCharType="begin"/>
        </w:r>
        <w:r w:rsidR="00C613BA">
          <w:rPr>
            <w:noProof/>
            <w:webHidden/>
          </w:rPr>
          <w:instrText xml:space="preserve"> PAGEREF _Toc143857886 \h </w:instrText>
        </w:r>
        <w:r w:rsidR="00C613BA">
          <w:rPr>
            <w:noProof/>
            <w:webHidden/>
          </w:rPr>
        </w:r>
        <w:r w:rsidR="00C613BA">
          <w:rPr>
            <w:noProof/>
            <w:webHidden/>
          </w:rPr>
          <w:fldChar w:fldCharType="separate"/>
        </w:r>
        <w:r w:rsidR="00F47CAA">
          <w:rPr>
            <w:noProof/>
            <w:webHidden/>
          </w:rPr>
          <w:t>77</w:t>
        </w:r>
        <w:r w:rsidR="00C613BA">
          <w:rPr>
            <w:noProof/>
            <w:webHidden/>
          </w:rPr>
          <w:fldChar w:fldCharType="end"/>
        </w:r>
      </w:hyperlink>
    </w:p>
    <w:p w14:paraId="0DA661E6" w14:textId="6E85595C"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87" w:history="1">
        <w:r w:rsidR="00C613BA" w:rsidRPr="00313C74">
          <w:rPr>
            <w:rStyle w:val="Hyperlink"/>
            <w:noProof/>
          </w:rPr>
          <w:t>Table 19 VfM measures of efficiency</w:t>
        </w:r>
        <w:r w:rsidR="00C613BA">
          <w:rPr>
            <w:noProof/>
            <w:webHidden/>
          </w:rPr>
          <w:tab/>
        </w:r>
        <w:r w:rsidR="00C613BA">
          <w:rPr>
            <w:noProof/>
            <w:webHidden/>
          </w:rPr>
          <w:fldChar w:fldCharType="begin"/>
        </w:r>
        <w:r w:rsidR="00C613BA">
          <w:rPr>
            <w:noProof/>
            <w:webHidden/>
          </w:rPr>
          <w:instrText xml:space="preserve"> PAGEREF _Toc143857887 \h </w:instrText>
        </w:r>
        <w:r w:rsidR="00C613BA">
          <w:rPr>
            <w:noProof/>
            <w:webHidden/>
          </w:rPr>
        </w:r>
        <w:r w:rsidR="00C613BA">
          <w:rPr>
            <w:noProof/>
            <w:webHidden/>
          </w:rPr>
          <w:fldChar w:fldCharType="separate"/>
        </w:r>
        <w:r w:rsidR="00F47CAA">
          <w:rPr>
            <w:noProof/>
            <w:webHidden/>
          </w:rPr>
          <w:t>77</w:t>
        </w:r>
        <w:r w:rsidR="00C613BA">
          <w:rPr>
            <w:noProof/>
            <w:webHidden/>
          </w:rPr>
          <w:fldChar w:fldCharType="end"/>
        </w:r>
      </w:hyperlink>
    </w:p>
    <w:p w14:paraId="4306663C" w14:textId="0CB6621E"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88" w:history="1">
        <w:r w:rsidR="00C613BA" w:rsidRPr="00313C74">
          <w:rPr>
            <w:rStyle w:val="Hyperlink"/>
            <w:noProof/>
          </w:rPr>
          <w:t>Table 20 VfM Measures of Efficiency achieved across regional grants</w:t>
        </w:r>
        <w:r w:rsidR="00C613BA">
          <w:rPr>
            <w:noProof/>
            <w:webHidden/>
          </w:rPr>
          <w:tab/>
        </w:r>
        <w:r w:rsidR="00C613BA">
          <w:rPr>
            <w:noProof/>
            <w:webHidden/>
          </w:rPr>
          <w:fldChar w:fldCharType="begin"/>
        </w:r>
        <w:r w:rsidR="00C613BA">
          <w:rPr>
            <w:noProof/>
            <w:webHidden/>
          </w:rPr>
          <w:instrText xml:space="preserve"> PAGEREF _Toc143857888 \h </w:instrText>
        </w:r>
        <w:r w:rsidR="00C613BA">
          <w:rPr>
            <w:noProof/>
            <w:webHidden/>
          </w:rPr>
        </w:r>
        <w:r w:rsidR="00C613BA">
          <w:rPr>
            <w:noProof/>
            <w:webHidden/>
          </w:rPr>
          <w:fldChar w:fldCharType="separate"/>
        </w:r>
        <w:r w:rsidR="00F47CAA">
          <w:rPr>
            <w:noProof/>
            <w:webHidden/>
          </w:rPr>
          <w:t>78</w:t>
        </w:r>
        <w:r w:rsidR="00C613BA">
          <w:rPr>
            <w:noProof/>
            <w:webHidden/>
          </w:rPr>
          <w:fldChar w:fldCharType="end"/>
        </w:r>
      </w:hyperlink>
    </w:p>
    <w:p w14:paraId="678CE6AF" w14:textId="3C0E7F29"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89" w:history="1">
        <w:r w:rsidR="00C613BA" w:rsidRPr="00313C74">
          <w:rPr>
            <w:rStyle w:val="Hyperlink"/>
            <w:noProof/>
          </w:rPr>
          <w:t>Table 21 Rubric for VfM Measures of Efficiency</w:t>
        </w:r>
        <w:r w:rsidR="00C613BA">
          <w:rPr>
            <w:noProof/>
            <w:webHidden/>
          </w:rPr>
          <w:tab/>
        </w:r>
        <w:r w:rsidR="00C613BA">
          <w:rPr>
            <w:noProof/>
            <w:webHidden/>
          </w:rPr>
          <w:fldChar w:fldCharType="begin"/>
        </w:r>
        <w:r w:rsidR="00C613BA">
          <w:rPr>
            <w:noProof/>
            <w:webHidden/>
          </w:rPr>
          <w:instrText xml:space="preserve"> PAGEREF _Toc143857889 \h </w:instrText>
        </w:r>
        <w:r w:rsidR="00C613BA">
          <w:rPr>
            <w:noProof/>
            <w:webHidden/>
          </w:rPr>
        </w:r>
        <w:r w:rsidR="00C613BA">
          <w:rPr>
            <w:noProof/>
            <w:webHidden/>
          </w:rPr>
          <w:fldChar w:fldCharType="separate"/>
        </w:r>
        <w:r w:rsidR="00F47CAA">
          <w:rPr>
            <w:noProof/>
            <w:webHidden/>
          </w:rPr>
          <w:t>78</w:t>
        </w:r>
        <w:r w:rsidR="00C613BA">
          <w:rPr>
            <w:noProof/>
            <w:webHidden/>
          </w:rPr>
          <w:fldChar w:fldCharType="end"/>
        </w:r>
      </w:hyperlink>
    </w:p>
    <w:p w14:paraId="237AAE14" w14:textId="5FA2D290"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90" w:history="1">
        <w:r w:rsidR="00C613BA" w:rsidRPr="00313C74">
          <w:rPr>
            <w:rStyle w:val="Hyperlink"/>
            <w:noProof/>
          </w:rPr>
          <w:t>Table 22 VfM measures of effectiveness</w:t>
        </w:r>
        <w:r w:rsidR="00C613BA">
          <w:rPr>
            <w:noProof/>
            <w:webHidden/>
          </w:rPr>
          <w:tab/>
        </w:r>
        <w:r w:rsidR="00C613BA">
          <w:rPr>
            <w:noProof/>
            <w:webHidden/>
          </w:rPr>
          <w:fldChar w:fldCharType="begin"/>
        </w:r>
        <w:r w:rsidR="00C613BA">
          <w:rPr>
            <w:noProof/>
            <w:webHidden/>
          </w:rPr>
          <w:instrText xml:space="preserve"> PAGEREF _Toc143857890 \h </w:instrText>
        </w:r>
        <w:r w:rsidR="00C613BA">
          <w:rPr>
            <w:noProof/>
            <w:webHidden/>
          </w:rPr>
        </w:r>
        <w:r w:rsidR="00C613BA">
          <w:rPr>
            <w:noProof/>
            <w:webHidden/>
          </w:rPr>
          <w:fldChar w:fldCharType="separate"/>
        </w:r>
        <w:r w:rsidR="00F47CAA">
          <w:rPr>
            <w:noProof/>
            <w:webHidden/>
          </w:rPr>
          <w:t>79</w:t>
        </w:r>
        <w:r w:rsidR="00C613BA">
          <w:rPr>
            <w:noProof/>
            <w:webHidden/>
          </w:rPr>
          <w:fldChar w:fldCharType="end"/>
        </w:r>
      </w:hyperlink>
    </w:p>
    <w:p w14:paraId="3474FB53" w14:textId="0CD22175"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91" w:history="1">
        <w:r w:rsidR="00C613BA" w:rsidRPr="00313C74">
          <w:rPr>
            <w:rStyle w:val="Hyperlink"/>
            <w:noProof/>
          </w:rPr>
          <w:t>Table 23 Country grant rating based on the change from baseline and contribution analysis rubric scoring matrix</w:t>
        </w:r>
        <w:r w:rsidR="00C613BA">
          <w:rPr>
            <w:noProof/>
            <w:webHidden/>
          </w:rPr>
          <w:tab/>
        </w:r>
        <w:r w:rsidR="00C613BA">
          <w:rPr>
            <w:noProof/>
            <w:webHidden/>
          </w:rPr>
          <w:fldChar w:fldCharType="begin"/>
        </w:r>
        <w:r w:rsidR="00C613BA">
          <w:rPr>
            <w:noProof/>
            <w:webHidden/>
          </w:rPr>
          <w:instrText xml:space="preserve"> PAGEREF _Toc143857891 \h </w:instrText>
        </w:r>
        <w:r w:rsidR="00C613BA">
          <w:rPr>
            <w:noProof/>
            <w:webHidden/>
          </w:rPr>
        </w:r>
        <w:r w:rsidR="00C613BA">
          <w:rPr>
            <w:noProof/>
            <w:webHidden/>
          </w:rPr>
          <w:fldChar w:fldCharType="separate"/>
        </w:r>
        <w:r w:rsidR="00F47CAA">
          <w:rPr>
            <w:noProof/>
            <w:webHidden/>
          </w:rPr>
          <w:t>81</w:t>
        </w:r>
        <w:r w:rsidR="00C613BA">
          <w:rPr>
            <w:noProof/>
            <w:webHidden/>
          </w:rPr>
          <w:fldChar w:fldCharType="end"/>
        </w:r>
      </w:hyperlink>
    </w:p>
    <w:p w14:paraId="06DA72A0" w14:textId="425D3CF8"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92" w:history="1">
        <w:r w:rsidR="00C613BA" w:rsidRPr="00313C74">
          <w:rPr>
            <w:rStyle w:val="Hyperlink"/>
            <w:noProof/>
          </w:rPr>
          <w:t>Table 24 Mapping of investment areas to contribution analysis drivers</w:t>
        </w:r>
        <w:r w:rsidR="00C613BA">
          <w:rPr>
            <w:noProof/>
            <w:webHidden/>
          </w:rPr>
          <w:tab/>
        </w:r>
        <w:r w:rsidR="00C613BA">
          <w:rPr>
            <w:noProof/>
            <w:webHidden/>
          </w:rPr>
          <w:fldChar w:fldCharType="begin"/>
        </w:r>
        <w:r w:rsidR="00C613BA">
          <w:rPr>
            <w:noProof/>
            <w:webHidden/>
          </w:rPr>
          <w:instrText xml:space="preserve"> PAGEREF _Toc143857892 \h </w:instrText>
        </w:r>
        <w:r w:rsidR="00C613BA">
          <w:rPr>
            <w:noProof/>
            <w:webHidden/>
          </w:rPr>
        </w:r>
        <w:r w:rsidR="00C613BA">
          <w:rPr>
            <w:noProof/>
            <w:webHidden/>
          </w:rPr>
          <w:fldChar w:fldCharType="separate"/>
        </w:r>
        <w:r w:rsidR="00F47CAA">
          <w:rPr>
            <w:noProof/>
            <w:webHidden/>
          </w:rPr>
          <w:t>82</w:t>
        </w:r>
        <w:r w:rsidR="00C613BA">
          <w:rPr>
            <w:noProof/>
            <w:webHidden/>
          </w:rPr>
          <w:fldChar w:fldCharType="end"/>
        </w:r>
      </w:hyperlink>
    </w:p>
    <w:p w14:paraId="056C24F1" w14:textId="1F5EBDB4"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93" w:history="1">
        <w:r w:rsidR="00C613BA" w:rsidRPr="00313C74">
          <w:rPr>
            <w:rStyle w:val="Hyperlink"/>
            <w:noProof/>
          </w:rPr>
          <w:t>Table 25 NAPs in place in 2018</w:t>
        </w:r>
        <w:r w:rsidR="00C613BA">
          <w:rPr>
            <w:noProof/>
            <w:webHidden/>
          </w:rPr>
          <w:tab/>
        </w:r>
        <w:r w:rsidR="00C613BA">
          <w:rPr>
            <w:noProof/>
            <w:webHidden/>
          </w:rPr>
          <w:fldChar w:fldCharType="begin"/>
        </w:r>
        <w:r w:rsidR="00C613BA">
          <w:rPr>
            <w:noProof/>
            <w:webHidden/>
          </w:rPr>
          <w:instrText xml:space="preserve"> PAGEREF _Toc143857893 \h </w:instrText>
        </w:r>
        <w:r w:rsidR="00C613BA">
          <w:rPr>
            <w:noProof/>
            <w:webHidden/>
          </w:rPr>
        </w:r>
        <w:r w:rsidR="00C613BA">
          <w:rPr>
            <w:noProof/>
            <w:webHidden/>
          </w:rPr>
          <w:fldChar w:fldCharType="separate"/>
        </w:r>
        <w:r w:rsidR="00F47CAA">
          <w:rPr>
            <w:noProof/>
            <w:webHidden/>
          </w:rPr>
          <w:t>96</w:t>
        </w:r>
        <w:r w:rsidR="00C613BA">
          <w:rPr>
            <w:noProof/>
            <w:webHidden/>
          </w:rPr>
          <w:fldChar w:fldCharType="end"/>
        </w:r>
      </w:hyperlink>
    </w:p>
    <w:p w14:paraId="20D1E999" w14:textId="7352A893"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94" w:history="1">
        <w:r w:rsidR="00C613BA" w:rsidRPr="00313C74">
          <w:rPr>
            <w:rStyle w:val="Hyperlink"/>
            <w:noProof/>
          </w:rPr>
          <w:t>Table 26 Availability of AMR data in 2018</w:t>
        </w:r>
        <w:r w:rsidR="00C613BA">
          <w:rPr>
            <w:noProof/>
            <w:webHidden/>
          </w:rPr>
          <w:tab/>
        </w:r>
        <w:r w:rsidR="00C613BA">
          <w:rPr>
            <w:noProof/>
            <w:webHidden/>
          </w:rPr>
          <w:fldChar w:fldCharType="begin"/>
        </w:r>
        <w:r w:rsidR="00C613BA">
          <w:rPr>
            <w:noProof/>
            <w:webHidden/>
          </w:rPr>
          <w:instrText xml:space="preserve"> PAGEREF _Toc143857894 \h </w:instrText>
        </w:r>
        <w:r w:rsidR="00C613BA">
          <w:rPr>
            <w:noProof/>
            <w:webHidden/>
          </w:rPr>
        </w:r>
        <w:r w:rsidR="00C613BA">
          <w:rPr>
            <w:noProof/>
            <w:webHidden/>
          </w:rPr>
          <w:fldChar w:fldCharType="separate"/>
        </w:r>
        <w:r w:rsidR="00F47CAA">
          <w:rPr>
            <w:noProof/>
            <w:webHidden/>
          </w:rPr>
          <w:t>97</w:t>
        </w:r>
        <w:r w:rsidR="00C613BA">
          <w:rPr>
            <w:noProof/>
            <w:webHidden/>
          </w:rPr>
          <w:fldChar w:fldCharType="end"/>
        </w:r>
      </w:hyperlink>
    </w:p>
    <w:p w14:paraId="2FFB6754" w14:textId="125A1021"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95" w:history="1">
        <w:r w:rsidR="00C613BA" w:rsidRPr="00313C74">
          <w:rPr>
            <w:rStyle w:val="Hyperlink"/>
            <w:noProof/>
          </w:rPr>
          <w:t>Table 27 Human Health AMR data from country visits</w:t>
        </w:r>
        <w:r w:rsidR="00C613BA">
          <w:rPr>
            <w:noProof/>
            <w:webHidden/>
          </w:rPr>
          <w:tab/>
        </w:r>
        <w:r w:rsidR="00C613BA">
          <w:rPr>
            <w:noProof/>
            <w:webHidden/>
          </w:rPr>
          <w:fldChar w:fldCharType="begin"/>
        </w:r>
        <w:r w:rsidR="00C613BA">
          <w:rPr>
            <w:noProof/>
            <w:webHidden/>
          </w:rPr>
          <w:instrText xml:space="preserve"> PAGEREF _Toc143857895 \h </w:instrText>
        </w:r>
        <w:r w:rsidR="00C613BA">
          <w:rPr>
            <w:noProof/>
            <w:webHidden/>
          </w:rPr>
        </w:r>
        <w:r w:rsidR="00C613BA">
          <w:rPr>
            <w:noProof/>
            <w:webHidden/>
          </w:rPr>
          <w:fldChar w:fldCharType="separate"/>
        </w:r>
        <w:r w:rsidR="00F47CAA">
          <w:rPr>
            <w:noProof/>
            <w:webHidden/>
          </w:rPr>
          <w:t>99</w:t>
        </w:r>
        <w:r w:rsidR="00C613BA">
          <w:rPr>
            <w:noProof/>
            <w:webHidden/>
          </w:rPr>
          <w:fldChar w:fldCharType="end"/>
        </w:r>
      </w:hyperlink>
    </w:p>
    <w:p w14:paraId="5AB7C5B3" w14:textId="678EB0C0"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96" w:history="1">
        <w:r w:rsidR="00C613BA" w:rsidRPr="00313C74">
          <w:rPr>
            <w:rStyle w:val="Hyperlink"/>
            <w:noProof/>
          </w:rPr>
          <w:t>Table 28 Data for AH AMR collected during country visits and from document review</w:t>
        </w:r>
        <w:r w:rsidR="00C613BA">
          <w:rPr>
            <w:noProof/>
            <w:webHidden/>
          </w:rPr>
          <w:tab/>
        </w:r>
        <w:r w:rsidR="00C613BA">
          <w:rPr>
            <w:noProof/>
            <w:webHidden/>
          </w:rPr>
          <w:fldChar w:fldCharType="begin"/>
        </w:r>
        <w:r w:rsidR="00C613BA">
          <w:rPr>
            <w:noProof/>
            <w:webHidden/>
          </w:rPr>
          <w:instrText xml:space="preserve"> PAGEREF _Toc143857896 \h </w:instrText>
        </w:r>
        <w:r w:rsidR="00C613BA">
          <w:rPr>
            <w:noProof/>
            <w:webHidden/>
          </w:rPr>
        </w:r>
        <w:r w:rsidR="00C613BA">
          <w:rPr>
            <w:noProof/>
            <w:webHidden/>
          </w:rPr>
          <w:fldChar w:fldCharType="separate"/>
        </w:r>
        <w:r w:rsidR="00F47CAA">
          <w:rPr>
            <w:noProof/>
            <w:webHidden/>
          </w:rPr>
          <w:t>100</w:t>
        </w:r>
        <w:r w:rsidR="00C613BA">
          <w:rPr>
            <w:noProof/>
            <w:webHidden/>
          </w:rPr>
          <w:fldChar w:fldCharType="end"/>
        </w:r>
      </w:hyperlink>
    </w:p>
    <w:p w14:paraId="5728491B" w14:textId="22329339"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97" w:history="1">
        <w:r w:rsidR="00C613BA" w:rsidRPr="00313C74">
          <w:rPr>
            <w:rStyle w:val="Hyperlink"/>
            <w:noProof/>
          </w:rPr>
          <w:t>Table 29 GLASS Data</w:t>
        </w:r>
        <w:r w:rsidR="00C613BA">
          <w:rPr>
            <w:noProof/>
            <w:webHidden/>
          </w:rPr>
          <w:tab/>
        </w:r>
        <w:r w:rsidR="00C613BA">
          <w:rPr>
            <w:noProof/>
            <w:webHidden/>
          </w:rPr>
          <w:fldChar w:fldCharType="begin"/>
        </w:r>
        <w:r w:rsidR="00C613BA">
          <w:rPr>
            <w:noProof/>
            <w:webHidden/>
          </w:rPr>
          <w:instrText xml:space="preserve"> PAGEREF _Toc143857897 \h </w:instrText>
        </w:r>
        <w:r w:rsidR="00C613BA">
          <w:rPr>
            <w:noProof/>
            <w:webHidden/>
          </w:rPr>
        </w:r>
        <w:r w:rsidR="00C613BA">
          <w:rPr>
            <w:noProof/>
            <w:webHidden/>
          </w:rPr>
          <w:fldChar w:fldCharType="separate"/>
        </w:r>
        <w:r w:rsidR="00F47CAA">
          <w:rPr>
            <w:noProof/>
            <w:webHidden/>
          </w:rPr>
          <w:t>102</w:t>
        </w:r>
        <w:r w:rsidR="00C613BA">
          <w:rPr>
            <w:noProof/>
            <w:webHidden/>
          </w:rPr>
          <w:fldChar w:fldCharType="end"/>
        </w:r>
      </w:hyperlink>
    </w:p>
    <w:p w14:paraId="3F896BEC" w14:textId="7763E06C"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98" w:history="1">
        <w:r w:rsidR="00C613BA" w:rsidRPr="00313C74">
          <w:rPr>
            <w:rStyle w:val="Hyperlink"/>
            <w:noProof/>
          </w:rPr>
          <w:t>Table 30 Country data on AMU reporting to WOAH (from KIIs)</w:t>
        </w:r>
        <w:r w:rsidR="00C613BA">
          <w:rPr>
            <w:noProof/>
            <w:webHidden/>
          </w:rPr>
          <w:tab/>
        </w:r>
        <w:r w:rsidR="00C613BA">
          <w:rPr>
            <w:noProof/>
            <w:webHidden/>
          </w:rPr>
          <w:fldChar w:fldCharType="begin"/>
        </w:r>
        <w:r w:rsidR="00C613BA">
          <w:rPr>
            <w:noProof/>
            <w:webHidden/>
          </w:rPr>
          <w:instrText xml:space="preserve"> PAGEREF _Toc143857898 \h </w:instrText>
        </w:r>
        <w:r w:rsidR="00C613BA">
          <w:rPr>
            <w:noProof/>
            <w:webHidden/>
          </w:rPr>
        </w:r>
        <w:r w:rsidR="00C613BA">
          <w:rPr>
            <w:noProof/>
            <w:webHidden/>
          </w:rPr>
          <w:fldChar w:fldCharType="separate"/>
        </w:r>
        <w:r w:rsidR="00F47CAA">
          <w:rPr>
            <w:noProof/>
            <w:webHidden/>
          </w:rPr>
          <w:t>105</w:t>
        </w:r>
        <w:r w:rsidR="00C613BA">
          <w:rPr>
            <w:noProof/>
            <w:webHidden/>
          </w:rPr>
          <w:fldChar w:fldCharType="end"/>
        </w:r>
      </w:hyperlink>
    </w:p>
    <w:p w14:paraId="15FE11C8" w14:textId="630C7267"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899" w:history="1">
        <w:r w:rsidR="00C613BA" w:rsidRPr="00313C74">
          <w:rPr>
            <w:rStyle w:val="Hyperlink"/>
            <w:noProof/>
            <w:lang w:val="fr-FR"/>
          </w:rPr>
          <w:t>Table 31 MA implementation plan targets (v2.5)</w:t>
        </w:r>
        <w:r w:rsidR="00C613BA">
          <w:rPr>
            <w:noProof/>
            <w:webHidden/>
          </w:rPr>
          <w:tab/>
        </w:r>
        <w:r w:rsidR="00C613BA">
          <w:rPr>
            <w:noProof/>
            <w:webHidden/>
          </w:rPr>
          <w:fldChar w:fldCharType="begin"/>
        </w:r>
        <w:r w:rsidR="00C613BA">
          <w:rPr>
            <w:noProof/>
            <w:webHidden/>
          </w:rPr>
          <w:instrText xml:space="preserve"> PAGEREF _Toc143857899 \h </w:instrText>
        </w:r>
        <w:r w:rsidR="00C613BA">
          <w:rPr>
            <w:noProof/>
            <w:webHidden/>
          </w:rPr>
        </w:r>
        <w:r w:rsidR="00C613BA">
          <w:rPr>
            <w:noProof/>
            <w:webHidden/>
          </w:rPr>
          <w:fldChar w:fldCharType="separate"/>
        </w:r>
        <w:r w:rsidR="00F47CAA">
          <w:rPr>
            <w:noProof/>
            <w:webHidden/>
          </w:rPr>
          <w:t>106</w:t>
        </w:r>
        <w:r w:rsidR="00C613BA">
          <w:rPr>
            <w:noProof/>
            <w:webHidden/>
          </w:rPr>
          <w:fldChar w:fldCharType="end"/>
        </w:r>
      </w:hyperlink>
    </w:p>
    <w:p w14:paraId="4EFCDF5A" w14:textId="2B2850E2"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00" w:history="1">
        <w:r w:rsidR="00C613BA" w:rsidRPr="00313C74">
          <w:rPr>
            <w:rStyle w:val="Hyperlink"/>
            <w:noProof/>
          </w:rPr>
          <w:t>Table 32 Mapping duration of support with available evidence on whether data is being generated</w:t>
        </w:r>
        <w:r w:rsidR="00C613BA">
          <w:rPr>
            <w:noProof/>
            <w:webHidden/>
          </w:rPr>
          <w:tab/>
        </w:r>
        <w:r w:rsidR="00C613BA">
          <w:rPr>
            <w:noProof/>
            <w:webHidden/>
          </w:rPr>
          <w:fldChar w:fldCharType="begin"/>
        </w:r>
        <w:r w:rsidR="00C613BA">
          <w:rPr>
            <w:noProof/>
            <w:webHidden/>
          </w:rPr>
          <w:instrText xml:space="preserve"> PAGEREF _Toc143857900 \h </w:instrText>
        </w:r>
        <w:r w:rsidR="00C613BA">
          <w:rPr>
            <w:noProof/>
            <w:webHidden/>
          </w:rPr>
        </w:r>
        <w:r w:rsidR="00C613BA">
          <w:rPr>
            <w:noProof/>
            <w:webHidden/>
          </w:rPr>
          <w:fldChar w:fldCharType="separate"/>
        </w:r>
        <w:r w:rsidR="00F47CAA">
          <w:rPr>
            <w:noProof/>
            <w:webHidden/>
          </w:rPr>
          <w:t>106</w:t>
        </w:r>
        <w:r w:rsidR="00C613BA">
          <w:rPr>
            <w:noProof/>
            <w:webHidden/>
          </w:rPr>
          <w:fldChar w:fldCharType="end"/>
        </w:r>
      </w:hyperlink>
    </w:p>
    <w:p w14:paraId="5611544A" w14:textId="3B86AE36"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01" w:history="1">
        <w:r w:rsidR="00C613BA" w:rsidRPr="00313C74">
          <w:rPr>
            <w:rStyle w:val="Hyperlink"/>
            <w:noProof/>
          </w:rPr>
          <w:t>Table 33 Quality of AMR data - data collection template</w:t>
        </w:r>
        <w:r w:rsidR="00C613BA">
          <w:rPr>
            <w:noProof/>
            <w:webHidden/>
          </w:rPr>
          <w:tab/>
        </w:r>
        <w:r w:rsidR="00C613BA">
          <w:rPr>
            <w:noProof/>
            <w:webHidden/>
          </w:rPr>
          <w:fldChar w:fldCharType="begin"/>
        </w:r>
        <w:r w:rsidR="00C613BA">
          <w:rPr>
            <w:noProof/>
            <w:webHidden/>
          </w:rPr>
          <w:instrText xml:space="preserve"> PAGEREF _Toc143857901 \h </w:instrText>
        </w:r>
        <w:r w:rsidR="00C613BA">
          <w:rPr>
            <w:noProof/>
            <w:webHidden/>
          </w:rPr>
        </w:r>
        <w:r w:rsidR="00C613BA">
          <w:rPr>
            <w:noProof/>
            <w:webHidden/>
          </w:rPr>
          <w:fldChar w:fldCharType="separate"/>
        </w:r>
        <w:r w:rsidR="00F47CAA">
          <w:rPr>
            <w:noProof/>
            <w:webHidden/>
          </w:rPr>
          <w:t>107</w:t>
        </w:r>
        <w:r w:rsidR="00C613BA">
          <w:rPr>
            <w:noProof/>
            <w:webHidden/>
          </w:rPr>
          <w:fldChar w:fldCharType="end"/>
        </w:r>
      </w:hyperlink>
    </w:p>
    <w:p w14:paraId="71DB777E" w14:textId="0BB179CC"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02" w:history="1">
        <w:r w:rsidR="00C613BA" w:rsidRPr="00313C74">
          <w:rPr>
            <w:rStyle w:val="Hyperlink"/>
            <w:noProof/>
          </w:rPr>
          <w:t>Table 34 Changes in quality of AMR data (Human Health)</w:t>
        </w:r>
        <w:r w:rsidR="00C613BA">
          <w:rPr>
            <w:noProof/>
            <w:webHidden/>
          </w:rPr>
          <w:tab/>
        </w:r>
        <w:r w:rsidR="00C613BA">
          <w:rPr>
            <w:noProof/>
            <w:webHidden/>
          </w:rPr>
          <w:fldChar w:fldCharType="begin"/>
        </w:r>
        <w:r w:rsidR="00C613BA">
          <w:rPr>
            <w:noProof/>
            <w:webHidden/>
          </w:rPr>
          <w:instrText xml:space="preserve"> PAGEREF _Toc143857902 \h </w:instrText>
        </w:r>
        <w:r w:rsidR="00C613BA">
          <w:rPr>
            <w:noProof/>
            <w:webHidden/>
          </w:rPr>
        </w:r>
        <w:r w:rsidR="00C613BA">
          <w:rPr>
            <w:noProof/>
            <w:webHidden/>
          </w:rPr>
          <w:fldChar w:fldCharType="separate"/>
        </w:r>
        <w:r w:rsidR="00F47CAA">
          <w:rPr>
            <w:noProof/>
            <w:webHidden/>
          </w:rPr>
          <w:t>108</w:t>
        </w:r>
        <w:r w:rsidR="00C613BA">
          <w:rPr>
            <w:noProof/>
            <w:webHidden/>
          </w:rPr>
          <w:fldChar w:fldCharType="end"/>
        </w:r>
      </w:hyperlink>
    </w:p>
    <w:p w14:paraId="0B840A19" w14:textId="64D9FABA"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03" w:history="1">
        <w:r w:rsidR="00C613BA" w:rsidRPr="00313C74">
          <w:rPr>
            <w:rStyle w:val="Hyperlink"/>
            <w:noProof/>
          </w:rPr>
          <w:t>Table 35 Changes in quality of AMR data (Animal Health)</w:t>
        </w:r>
        <w:r w:rsidR="00C613BA">
          <w:rPr>
            <w:noProof/>
            <w:webHidden/>
          </w:rPr>
          <w:tab/>
        </w:r>
        <w:r w:rsidR="00C613BA">
          <w:rPr>
            <w:noProof/>
            <w:webHidden/>
          </w:rPr>
          <w:fldChar w:fldCharType="begin"/>
        </w:r>
        <w:r w:rsidR="00C613BA">
          <w:rPr>
            <w:noProof/>
            <w:webHidden/>
          </w:rPr>
          <w:instrText xml:space="preserve"> PAGEREF _Toc143857903 \h </w:instrText>
        </w:r>
        <w:r w:rsidR="00C613BA">
          <w:rPr>
            <w:noProof/>
            <w:webHidden/>
          </w:rPr>
        </w:r>
        <w:r w:rsidR="00C613BA">
          <w:rPr>
            <w:noProof/>
            <w:webHidden/>
          </w:rPr>
          <w:fldChar w:fldCharType="separate"/>
        </w:r>
        <w:r w:rsidR="00F47CAA">
          <w:rPr>
            <w:noProof/>
            <w:webHidden/>
          </w:rPr>
          <w:t>109</w:t>
        </w:r>
        <w:r w:rsidR="00C613BA">
          <w:rPr>
            <w:noProof/>
            <w:webHidden/>
          </w:rPr>
          <w:fldChar w:fldCharType="end"/>
        </w:r>
      </w:hyperlink>
    </w:p>
    <w:p w14:paraId="63841528" w14:textId="2A456817"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04" w:history="1">
        <w:r w:rsidR="00C613BA" w:rsidRPr="00313C74">
          <w:rPr>
            <w:rStyle w:val="Hyperlink"/>
            <w:noProof/>
          </w:rPr>
          <w:t>Table 36 Examples of use of relevant data for decision making</w:t>
        </w:r>
        <w:r w:rsidR="00C613BA">
          <w:rPr>
            <w:noProof/>
            <w:webHidden/>
          </w:rPr>
          <w:tab/>
        </w:r>
        <w:r w:rsidR="00C613BA">
          <w:rPr>
            <w:noProof/>
            <w:webHidden/>
          </w:rPr>
          <w:fldChar w:fldCharType="begin"/>
        </w:r>
        <w:r w:rsidR="00C613BA">
          <w:rPr>
            <w:noProof/>
            <w:webHidden/>
          </w:rPr>
          <w:instrText xml:space="preserve"> PAGEREF _Toc143857904 \h </w:instrText>
        </w:r>
        <w:r w:rsidR="00C613BA">
          <w:rPr>
            <w:noProof/>
            <w:webHidden/>
          </w:rPr>
        </w:r>
        <w:r w:rsidR="00C613BA">
          <w:rPr>
            <w:noProof/>
            <w:webHidden/>
          </w:rPr>
          <w:fldChar w:fldCharType="separate"/>
        </w:r>
        <w:r w:rsidR="00F47CAA">
          <w:rPr>
            <w:noProof/>
            <w:webHidden/>
          </w:rPr>
          <w:t>111</w:t>
        </w:r>
        <w:r w:rsidR="00C613BA">
          <w:rPr>
            <w:noProof/>
            <w:webHidden/>
          </w:rPr>
          <w:fldChar w:fldCharType="end"/>
        </w:r>
      </w:hyperlink>
    </w:p>
    <w:p w14:paraId="5D2C8296" w14:textId="5E91F63C"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05" w:history="1">
        <w:r w:rsidR="00C613BA" w:rsidRPr="00313C74">
          <w:rPr>
            <w:rStyle w:val="Hyperlink"/>
            <w:noProof/>
          </w:rPr>
          <w:t>Table 37 Examples where use in decision making looks promising but is not confirmed</w:t>
        </w:r>
        <w:r w:rsidR="00C613BA">
          <w:rPr>
            <w:noProof/>
            <w:webHidden/>
          </w:rPr>
          <w:tab/>
        </w:r>
        <w:r w:rsidR="00C613BA">
          <w:rPr>
            <w:noProof/>
            <w:webHidden/>
          </w:rPr>
          <w:fldChar w:fldCharType="begin"/>
        </w:r>
        <w:r w:rsidR="00C613BA">
          <w:rPr>
            <w:noProof/>
            <w:webHidden/>
          </w:rPr>
          <w:instrText xml:space="preserve"> PAGEREF _Toc143857905 \h </w:instrText>
        </w:r>
        <w:r w:rsidR="00C613BA">
          <w:rPr>
            <w:noProof/>
            <w:webHidden/>
          </w:rPr>
        </w:r>
        <w:r w:rsidR="00C613BA">
          <w:rPr>
            <w:noProof/>
            <w:webHidden/>
          </w:rPr>
          <w:fldChar w:fldCharType="separate"/>
        </w:r>
        <w:r w:rsidR="00F47CAA">
          <w:rPr>
            <w:noProof/>
            <w:webHidden/>
          </w:rPr>
          <w:t>112</w:t>
        </w:r>
        <w:r w:rsidR="00C613BA">
          <w:rPr>
            <w:noProof/>
            <w:webHidden/>
          </w:rPr>
          <w:fldChar w:fldCharType="end"/>
        </w:r>
      </w:hyperlink>
    </w:p>
    <w:p w14:paraId="0F9A9348" w14:textId="40725AA4"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06" w:history="1">
        <w:r w:rsidR="00C613BA" w:rsidRPr="00313C74">
          <w:rPr>
            <w:rStyle w:val="Hyperlink"/>
            <w:noProof/>
          </w:rPr>
          <w:t>Table 38 Data sharing not yet connected with action/current systematic collation and analysis leading towards data use</w:t>
        </w:r>
        <w:r w:rsidR="00C613BA">
          <w:rPr>
            <w:noProof/>
            <w:webHidden/>
          </w:rPr>
          <w:tab/>
        </w:r>
        <w:r w:rsidR="00C613BA">
          <w:rPr>
            <w:noProof/>
            <w:webHidden/>
          </w:rPr>
          <w:fldChar w:fldCharType="begin"/>
        </w:r>
        <w:r w:rsidR="00C613BA">
          <w:rPr>
            <w:noProof/>
            <w:webHidden/>
          </w:rPr>
          <w:instrText xml:space="preserve"> PAGEREF _Toc143857906 \h </w:instrText>
        </w:r>
        <w:r w:rsidR="00C613BA">
          <w:rPr>
            <w:noProof/>
            <w:webHidden/>
          </w:rPr>
        </w:r>
        <w:r w:rsidR="00C613BA">
          <w:rPr>
            <w:noProof/>
            <w:webHidden/>
          </w:rPr>
          <w:fldChar w:fldCharType="separate"/>
        </w:r>
        <w:r w:rsidR="00F47CAA">
          <w:rPr>
            <w:noProof/>
            <w:webHidden/>
          </w:rPr>
          <w:t>113</w:t>
        </w:r>
        <w:r w:rsidR="00C613BA">
          <w:rPr>
            <w:noProof/>
            <w:webHidden/>
          </w:rPr>
          <w:fldChar w:fldCharType="end"/>
        </w:r>
      </w:hyperlink>
    </w:p>
    <w:p w14:paraId="3810DC04" w14:textId="3268DA2E"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07" w:history="1">
        <w:r w:rsidR="00C613BA" w:rsidRPr="00313C74">
          <w:rPr>
            <w:rStyle w:val="Hyperlink"/>
            <w:noProof/>
          </w:rPr>
          <w:t>Table 39 Progress towards data sharing/developments increasing potential for future data use</w:t>
        </w:r>
        <w:r w:rsidR="00C613BA">
          <w:rPr>
            <w:noProof/>
            <w:webHidden/>
          </w:rPr>
          <w:tab/>
        </w:r>
        <w:r w:rsidR="00C613BA">
          <w:rPr>
            <w:noProof/>
            <w:webHidden/>
          </w:rPr>
          <w:fldChar w:fldCharType="begin"/>
        </w:r>
        <w:r w:rsidR="00C613BA">
          <w:rPr>
            <w:noProof/>
            <w:webHidden/>
          </w:rPr>
          <w:instrText xml:space="preserve"> PAGEREF _Toc143857907 \h </w:instrText>
        </w:r>
        <w:r w:rsidR="00C613BA">
          <w:rPr>
            <w:noProof/>
            <w:webHidden/>
          </w:rPr>
        </w:r>
        <w:r w:rsidR="00C613BA">
          <w:rPr>
            <w:noProof/>
            <w:webHidden/>
          </w:rPr>
          <w:fldChar w:fldCharType="separate"/>
        </w:r>
        <w:r w:rsidR="00F47CAA">
          <w:rPr>
            <w:noProof/>
            <w:webHidden/>
          </w:rPr>
          <w:t>113</w:t>
        </w:r>
        <w:r w:rsidR="00C613BA">
          <w:rPr>
            <w:noProof/>
            <w:webHidden/>
          </w:rPr>
          <w:fldChar w:fldCharType="end"/>
        </w:r>
      </w:hyperlink>
    </w:p>
    <w:p w14:paraId="79D55B65" w14:textId="03E695F7"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08" w:history="1">
        <w:r w:rsidR="00C613BA" w:rsidRPr="00313C74">
          <w:rPr>
            <w:rStyle w:val="Hyperlink"/>
            <w:noProof/>
          </w:rPr>
          <w:t>Table 40 No substantial progress towards data sharing/unclear prospects for future data use</w:t>
        </w:r>
        <w:r w:rsidR="00C613BA">
          <w:rPr>
            <w:noProof/>
            <w:webHidden/>
          </w:rPr>
          <w:tab/>
        </w:r>
        <w:r w:rsidR="00C613BA">
          <w:rPr>
            <w:noProof/>
            <w:webHidden/>
          </w:rPr>
          <w:fldChar w:fldCharType="begin"/>
        </w:r>
        <w:r w:rsidR="00C613BA">
          <w:rPr>
            <w:noProof/>
            <w:webHidden/>
          </w:rPr>
          <w:instrText xml:space="preserve"> PAGEREF _Toc143857908 \h </w:instrText>
        </w:r>
        <w:r w:rsidR="00C613BA">
          <w:rPr>
            <w:noProof/>
            <w:webHidden/>
          </w:rPr>
        </w:r>
        <w:r w:rsidR="00C613BA">
          <w:rPr>
            <w:noProof/>
            <w:webHidden/>
          </w:rPr>
          <w:fldChar w:fldCharType="separate"/>
        </w:r>
        <w:r w:rsidR="00F47CAA">
          <w:rPr>
            <w:noProof/>
            <w:webHidden/>
          </w:rPr>
          <w:t>114</w:t>
        </w:r>
        <w:r w:rsidR="00C613BA">
          <w:rPr>
            <w:noProof/>
            <w:webHidden/>
          </w:rPr>
          <w:fldChar w:fldCharType="end"/>
        </w:r>
      </w:hyperlink>
    </w:p>
    <w:p w14:paraId="092018A6" w14:textId="55CA2A5F"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09" w:history="1">
        <w:r w:rsidR="00C613BA" w:rsidRPr="00313C74">
          <w:rPr>
            <w:rStyle w:val="Hyperlink"/>
            <w:noProof/>
          </w:rPr>
          <w:t>Table 41 Notes on changes in analysis, 2020-2022 (reflections on Fleming Fund contribution in wider policy context)</w:t>
        </w:r>
        <w:r w:rsidR="00C613BA">
          <w:rPr>
            <w:noProof/>
            <w:webHidden/>
          </w:rPr>
          <w:tab/>
        </w:r>
        <w:r w:rsidR="00C613BA">
          <w:rPr>
            <w:noProof/>
            <w:webHidden/>
          </w:rPr>
          <w:fldChar w:fldCharType="begin"/>
        </w:r>
        <w:r w:rsidR="00C613BA">
          <w:rPr>
            <w:noProof/>
            <w:webHidden/>
          </w:rPr>
          <w:instrText xml:space="preserve"> PAGEREF _Toc143857909 \h </w:instrText>
        </w:r>
        <w:r w:rsidR="00C613BA">
          <w:rPr>
            <w:noProof/>
            <w:webHidden/>
          </w:rPr>
        </w:r>
        <w:r w:rsidR="00C613BA">
          <w:rPr>
            <w:noProof/>
            <w:webHidden/>
          </w:rPr>
          <w:fldChar w:fldCharType="separate"/>
        </w:r>
        <w:r w:rsidR="00F47CAA">
          <w:rPr>
            <w:noProof/>
            <w:webHidden/>
          </w:rPr>
          <w:t>116</w:t>
        </w:r>
        <w:r w:rsidR="00C613BA">
          <w:rPr>
            <w:noProof/>
            <w:webHidden/>
          </w:rPr>
          <w:fldChar w:fldCharType="end"/>
        </w:r>
      </w:hyperlink>
    </w:p>
    <w:p w14:paraId="2F5E3B99" w14:textId="6D50F696"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10" w:history="1">
        <w:r w:rsidR="00C613BA" w:rsidRPr="00313C74">
          <w:rPr>
            <w:rStyle w:val="Hyperlink"/>
            <w:noProof/>
          </w:rPr>
          <w:t>Table 42 Sustainability Data – Animal Health</w:t>
        </w:r>
        <w:r w:rsidR="00C613BA">
          <w:rPr>
            <w:noProof/>
            <w:webHidden/>
          </w:rPr>
          <w:tab/>
        </w:r>
        <w:r w:rsidR="00C613BA">
          <w:rPr>
            <w:noProof/>
            <w:webHidden/>
          </w:rPr>
          <w:fldChar w:fldCharType="begin"/>
        </w:r>
        <w:r w:rsidR="00C613BA">
          <w:rPr>
            <w:noProof/>
            <w:webHidden/>
          </w:rPr>
          <w:instrText xml:space="preserve"> PAGEREF _Toc143857910 \h </w:instrText>
        </w:r>
        <w:r w:rsidR="00C613BA">
          <w:rPr>
            <w:noProof/>
            <w:webHidden/>
          </w:rPr>
        </w:r>
        <w:r w:rsidR="00C613BA">
          <w:rPr>
            <w:noProof/>
            <w:webHidden/>
          </w:rPr>
          <w:fldChar w:fldCharType="separate"/>
        </w:r>
        <w:r w:rsidR="00F47CAA">
          <w:rPr>
            <w:noProof/>
            <w:webHidden/>
          </w:rPr>
          <w:t>122</w:t>
        </w:r>
        <w:r w:rsidR="00C613BA">
          <w:rPr>
            <w:noProof/>
            <w:webHidden/>
          </w:rPr>
          <w:fldChar w:fldCharType="end"/>
        </w:r>
      </w:hyperlink>
    </w:p>
    <w:p w14:paraId="4D212543" w14:textId="5EA97E2B"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11" w:history="1">
        <w:r w:rsidR="00C613BA" w:rsidRPr="00313C74">
          <w:rPr>
            <w:rStyle w:val="Hyperlink"/>
            <w:noProof/>
          </w:rPr>
          <w:t>Table 43 Sustainability Data – Human Health</w:t>
        </w:r>
        <w:r w:rsidR="00C613BA">
          <w:rPr>
            <w:noProof/>
            <w:webHidden/>
          </w:rPr>
          <w:tab/>
        </w:r>
        <w:r w:rsidR="00C613BA">
          <w:rPr>
            <w:noProof/>
            <w:webHidden/>
          </w:rPr>
          <w:fldChar w:fldCharType="begin"/>
        </w:r>
        <w:r w:rsidR="00C613BA">
          <w:rPr>
            <w:noProof/>
            <w:webHidden/>
          </w:rPr>
          <w:instrText xml:space="preserve"> PAGEREF _Toc143857911 \h </w:instrText>
        </w:r>
        <w:r w:rsidR="00C613BA">
          <w:rPr>
            <w:noProof/>
            <w:webHidden/>
          </w:rPr>
        </w:r>
        <w:r w:rsidR="00C613BA">
          <w:rPr>
            <w:noProof/>
            <w:webHidden/>
          </w:rPr>
          <w:fldChar w:fldCharType="separate"/>
        </w:r>
        <w:r w:rsidR="00F47CAA">
          <w:rPr>
            <w:noProof/>
            <w:webHidden/>
          </w:rPr>
          <w:t>123</w:t>
        </w:r>
        <w:r w:rsidR="00C613BA">
          <w:rPr>
            <w:noProof/>
            <w:webHidden/>
          </w:rPr>
          <w:fldChar w:fldCharType="end"/>
        </w:r>
      </w:hyperlink>
    </w:p>
    <w:p w14:paraId="0B9F5C86" w14:textId="48E624CD"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12" w:history="1">
        <w:r w:rsidR="00C613BA" w:rsidRPr="00313C74">
          <w:rPr>
            <w:rStyle w:val="Hyperlink"/>
            <w:noProof/>
          </w:rPr>
          <w:t>Table 44 Sustainability Data Rubric</w:t>
        </w:r>
        <w:r w:rsidR="00C613BA">
          <w:rPr>
            <w:noProof/>
            <w:webHidden/>
          </w:rPr>
          <w:tab/>
        </w:r>
        <w:r w:rsidR="00C613BA">
          <w:rPr>
            <w:noProof/>
            <w:webHidden/>
          </w:rPr>
          <w:fldChar w:fldCharType="begin"/>
        </w:r>
        <w:r w:rsidR="00C613BA">
          <w:rPr>
            <w:noProof/>
            <w:webHidden/>
          </w:rPr>
          <w:instrText xml:space="preserve"> PAGEREF _Toc143857912 \h </w:instrText>
        </w:r>
        <w:r w:rsidR="00C613BA">
          <w:rPr>
            <w:noProof/>
            <w:webHidden/>
          </w:rPr>
        </w:r>
        <w:r w:rsidR="00C613BA">
          <w:rPr>
            <w:noProof/>
            <w:webHidden/>
          </w:rPr>
          <w:fldChar w:fldCharType="separate"/>
        </w:r>
        <w:r w:rsidR="00F47CAA">
          <w:rPr>
            <w:noProof/>
            <w:webHidden/>
          </w:rPr>
          <w:t>124</w:t>
        </w:r>
        <w:r w:rsidR="00C613BA">
          <w:rPr>
            <w:noProof/>
            <w:webHidden/>
          </w:rPr>
          <w:fldChar w:fldCharType="end"/>
        </w:r>
      </w:hyperlink>
    </w:p>
    <w:p w14:paraId="7BAD4AB5" w14:textId="73BC72C6"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13" w:history="1">
        <w:r w:rsidR="00C613BA" w:rsidRPr="00313C74">
          <w:rPr>
            <w:rStyle w:val="Hyperlink"/>
            <w:noProof/>
          </w:rPr>
          <w:t>Table 45 Risks and mitigating strategies</w:t>
        </w:r>
        <w:r w:rsidR="00C613BA">
          <w:rPr>
            <w:noProof/>
            <w:webHidden/>
          </w:rPr>
          <w:tab/>
        </w:r>
        <w:r w:rsidR="00C613BA">
          <w:rPr>
            <w:noProof/>
            <w:webHidden/>
          </w:rPr>
          <w:fldChar w:fldCharType="begin"/>
        </w:r>
        <w:r w:rsidR="00C613BA">
          <w:rPr>
            <w:noProof/>
            <w:webHidden/>
          </w:rPr>
          <w:instrText xml:space="preserve"> PAGEREF _Toc143857913 \h </w:instrText>
        </w:r>
        <w:r w:rsidR="00C613BA">
          <w:rPr>
            <w:noProof/>
            <w:webHidden/>
          </w:rPr>
        </w:r>
        <w:r w:rsidR="00C613BA">
          <w:rPr>
            <w:noProof/>
            <w:webHidden/>
          </w:rPr>
          <w:fldChar w:fldCharType="separate"/>
        </w:r>
        <w:r w:rsidR="00F47CAA">
          <w:rPr>
            <w:noProof/>
            <w:webHidden/>
          </w:rPr>
          <w:t>135</w:t>
        </w:r>
        <w:r w:rsidR="00C613BA">
          <w:rPr>
            <w:noProof/>
            <w:webHidden/>
          </w:rPr>
          <w:fldChar w:fldCharType="end"/>
        </w:r>
      </w:hyperlink>
    </w:p>
    <w:p w14:paraId="4217ED47" w14:textId="5A991AED"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14" w:history="1">
        <w:r w:rsidR="00C613BA" w:rsidRPr="00313C74">
          <w:rPr>
            <w:rStyle w:val="Hyperlink"/>
            <w:noProof/>
          </w:rPr>
          <w:t>Table 46 Evaluation team members</w:t>
        </w:r>
        <w:r w:rsidR="00C613BA">
          <w:rPr>
            <w:noProof/>
            <w:webHidden/>
          </w:rPr>
          <w:tab/>
        </w:r>
        <w:r w:rsidR="00C613BA">
          <w:rPr>
            <w:noProof/>
            <w:webHidden/>
          </w:rPr>
          <w:fldChar w:fldCharType="begin"/>
        </w:r>
        <w:r w:rsidR="00C613BA">
          <w:rPr>
            <w:noProof/>
            <w:webHidden/>
          </w:rPr>
          <w:instrText xml:space="preserve"> PAGEREF _Toc143857914 \h </w:instrText>
        </w:r>
        <w:r w:rsidR="00C613BA">
          <w:rPr>
            <w:noProof/>
            <w:webHidden/>
          </w:rPr>
        </w:r>
        <w:r w:rsidR="00C613BA">
          <w:rPr>
            <w:noProof/>
            <w:webHidden/>
          </w:rPr>
          <w:fldChar w:fldCharType="separate"/>
        </w:r>
        <w:r w:rsidR="00F47CAA">
          <w:rPr>
            <w:noProof/>
            <w:webHidden/>
          </w:rPr>
          <w:t>151</w:t>
        </w:r>
        <w:r w:rsidR="00C613BA">
          <w:rPr>
            <w:noProof/>
            <w:webHidden/>
          </w:rPr>
          <w:fldChar w:fldCharType="end"/>
        </w:r>
      </w:hyperlink>
    </w:p>
    <w:p w14:paraId="2AF68972" w14:textId="398DA0A5"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15" w:history="1">
        <w:r w:rsidR="00C613BA" w:rsidRPr="00313C74">
          <w:rPr>
            <w:rStyle w:val="Hyperlink"/>
            <w:noProof/>
          </w:rPr>
          <w:t>Table 47 Country Categorisation A-D</w:t>
        </w:r>
        <w:r w:rsidR="00C613BA">
          <w:rPr>
            <w:noProof/>
            <w:webHidden/>
          </w:rPr>
          <w:tab/>
        </w:r>
        <w:r w:rsidR="00C613BA">
          <w:rPr>
            <w:noProof/>
            <w:webHidden/>
          </w:rPr>
          <w:fldChar w:fldCharType="begin"/>
        </w:r>
        <w:r w:rsidR="00C613BA">
          <w:rPr>
            <w:noProof/>
            <w:webHidden/>
          </w:rPr>
          <w:instrText xml:space="preserve"> PAGEREF _Toc143857915 \h </w:instrText>
        </w:r>
        <w:r w:rsidR="00C613BA">
          <w:rPr>
            <w:noProof/>
            <w:webHidden/>
          </w:rPr>
        </w:r>
        <w:r w:rsidR="00C613BA">
          <w:rPr>
            <w:noProof/>
            <w:webHidden/>
          </w:rPr>
          <w:fldChar w:fldCharType="separate"/>
        </w:r>
        <w:r w:rsidR="00F47CAA">
          <w:rPr>
            <w:noProof/>
            <w:webHidden/>
          </w:rPr>
          <w:t>157</w:t>
        </w:r>
        <w:r w:rsidR="00C613BA">
          <w:rPr>
            <w:noProof/>
            <w:webHidden/>
          </w:rPr>
          <w:fldChar w:fldCharType="end"/>
        </w:r>
      </w:hyperlink>
    </w:p>
    <w:p w14:paraId="4F03AD49" w14:textId="2ABF33C9"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16" w:history="1">
        <w:r w:rsidR="00C613BA" w:rsidRPr="00313C74">
          <w:rPr>
            <w:rStyle w:val="Hyperlink"/>
            <w:noProof/>
          </w:rPr>
          <w:t>Table 48 Participation of stakeholders</w:t>
        </w:r>
        <w:r w:rsidR="00C613BA">
          <w:rPr>
            <w:noProof/>
            <w:webHidden/>
          </w:rPr>
          <w:tab/>
        </w:r>
        <w:r w:rsidR="00C613BA">
          <w:rPr>
            <w:noProof/>
            <w:webHidden/>
          </w:rPr>
          <w:fldChar w:fldCharType="begin"/>
        </w:r>
        <w:r w:rsidR="00C613BA">
          <w:rPr>
            <w:noProof/>
            <w:webHidden/>
          </w:rPr>
          <w:instrText xml:space="preserve"> PAGEREF _Toc143857916 \h </w:instrText>
        </w:r>
        <w:r w:rsidR="00C613BA">
          <w:rPr>
            <w:noProof/>
            <w:webHidden/>
          </w:rPr>
        </w:r>
        <w:r w:rsidR="00C613BA">
          <w:rPr>
            <w:noProof/>
            <w:webHidden/>
          </w:rPr>
          <w:fldChar w:fldCharType="separate"/>
        </w:r>
        <w:r w:rsidR="00F47CAA">
          <w:rPr>
            <w:noProof/>
            <w:webHidden/>
          </w:rPr>
          <w:t>158</w:t>
        </w:r>
        <w:r w:rsidR="00C613BA">
          <w:rPr>
            <w:noProof/>
            <w:webHidden/>
          </w:rPr>
          <w:fldChar w:fldCharType="end"/>
        </w:r>
      </w:hyperlink>
    </w:p>
    <w:p w14:paraId="5B1B9F50" w14:textId="208B0AA8" w:rsidR="00C613BA" w:rsidRDefault="007B247E">
      <w:pPr>
        <w:pStyle w:val="TableofFigures"/>
        <w:tabs>
          <w:tab w:val="right" w:leader="dot" w:pos="9508"/>
        </w:tabs>
        <w:rPr>
          <w:rFonts w:asciiTheme="minorHAnsi" w:eastAsiaTheme="minorEastAsia" w:hAnsiTheme="minorHAnsi" w:cstheme="minorBidi"/>
          <w:noProof/>
          <w:kern w:val="2"/>
          <w:lang w:eastAsia="en-GB"/>
          <w14:ligatures w14:val="standardContextual"/>
        </w:rPr>
      </w:pPr>
      <w:hyperlink w:anchor="_Toc143857917" w:history="1">
        <w:r w:rsidR="00C613BA" w:rsidRPr="00313C74">
          <w:rPr>
            <w:rStyle w:val="Hyperlink"/>
            <w:noProof/>
          </w:rPr>
          <w:t>Table 49 Proposed indicators for L&amp;D Activities</w:t>
        </w:r>
        <w:r w:rsidR="00C613BA">
          <w:rPr>
            <w:noProof/>
            <w:webHidden/>
          </w:rPr>
          <w:tab/>
        </w:r>
        <w:r w:rsidR="00C613BA">
          <w:rPr>
            <w:noProof/>
            <w:webHidden/>
          </w:rPr>
          <w:fldChar w:fldCharType="begin"/>
        </w:r>
        <w:r w:rsidR="00C613BA">
          <w:rPr>
            <w:noProof/>
            <w:webHidden/>
          </w:rPr>
          <w:instrText xml:space="preserve"> PAGEREF _Toc143857917 \h </w:instrText>
        </w:r>
        <w:r w:rsidR="00C613BA">
          <w:rPr>
            <w:noProof/>
            <w:webHidden/>
          </w:rPr>
        </w:r>
        <w:r w:rsidR="00C613BA">
          <w:rPr>
            <w:noProof/>
            <w:webHidden/>
          </w:rPr>
          <w:fldChar w:fldCharType="separate"/>
        </w:r>
        <w:r w:rsidR="00F47CAA">
          <w:rPr>
            <w:noProof/>
            <w:webHidden/>
          </w:rPr>
          <w:t>167</w:t>
        </w:r>
        <w:r w:rsidR="00C613BA">
          <w:rPr>
            <w:noProof/>
            <w:webHidden/>
          </w:rPr>
          <w:fldChar w:fldCharType="end"/>
        </w:r>
      </w:hyperlink>
    </w:p>
    <w:p w14:paraId="4C3025DC" w14:textId="4DBB9914" w:rsidR="006455D4" w:rsidRPr="00E94C04" w:rsidRDefault="00AC1FB0" w:rsidP="009C2E77">
      <w:pPr>
        <w:pStyle w:val="ItadH1"/>
      </w:pPr>
      <w:r>
        <w:fldChar w:fldCharType="end"/>
      </w:r>
      <w:r w:rsidR="006455D4" w:rsidRPr="009E7B14">
        <w:br w:type="page"/>
      </w:r>
      <w:bookmarkStart w:id="9" w:name="_Toc496540680"/>
      <w:bookmarkStart w:id="10" w:name="_Toc498427489"/>
      <w:bookmarkStart w:id="11" w:name="_Toc142383132"/>
      <w:r w:rsidR="006455D4" w:rsidRPr="00E94C04">
        <w:t xml:space="preserve">List of </w:t>
      </w:r>
      <w:r w:rsidR="002E3501" w:rsidRPr="00E94C04">
        <w:t>a</w:t>
      </w:r>
      <w:r w:rsidR="006455D4" w:rsidRPr="00E94C04">
        <w:t>cronyms</w:t>
      </w:r>
      <w:bookmarkEnd w:id="9"/>
      <w:bookmarkEnd w:id="10"/>
      <w:bookmarkEnd w:id="11"/>
    </w:p>
    <w:p w14:paraId="05D0CF0A" w14:textId="77777777" w:rsidR="00CF6448" w:rsidRPr="00CF6448" w:rsidRDefault="00CF6448" w:rsidP="003614E2">
      <w:pPr>
        <w:pStyle w:val="ItadNormalText"/>
        <w:spacing w:before="100" w:after="100"/>
      </w:pPr>
      <w:bookmarkStart w:id="12" w:name="_Hlk121792198"/>
      <w:r w:rsidRPr="00CF6448">
        <w:t>AH</w:t>
      </w:r>
      <w:r w:rsidRPr="00CF6448">
        <w:tab/>
        <w:t>Animal Health</w:t>
      </w:r>
    </w:p>
    <w:p w14:paraId="36A363DD" w14:textId="77777777" w:rsidR="00CF6448" w:rsidRPr="00CF6448" w:rsidRDefault="00CF6448" w:rsidP="003614E2">
      <w:pPr>
        <w:pStyle w:val="ItadNormalText"/>
        <w:spacing w:before="100" w:after="100"/>
      </w:pPr>
      <w:r w:rsidRPr="00CF6448">
        <w:t>AMC</w:t>
      </w:r>
      <w:r w:rsidRPr="00CF6448">
        <w:tab/>
        <w:t xml:space="preserve">Antimicrobial Consumption </w:t>
      </w:r>
    </w:p>
    <w:p w14:paraId="353AD5B9" w14:textId="77777777" w:rsidR="00CF6448" w:rsidRPr="00CF6448" w:rsidRDefault="00CF6448" w:rsidP="003614E2">
      <w:pPr>
        <w:pStyle w:val="ItadNormalText"/>
        <w:spacing w:before="100" w:after="100"/>
      </w:pPr>
      <w:r w:rsidRPr="00CF6448">
        <w:t>AMR</w:t>
      </w:r>
      <w:r w:rsidRPr="00CF6448">
        <w:tab/>
        <w:t xml:space="preserve">Antimicrobial Resistance </w:t>
      </w:r>
    </w:p>
    <w:p w14:paraId="2D25FC24" w14:textId="77777777" w:rsidR="00CF6448" w:rsidRPr="00CF6448" w:rsidRDefault="00CF6448" w:rsidP="003614E2">
      <w:pPr>
        <w:pStyle w:val="ItadNormalText"/>
        <w:spacing w:before="100" w:after="100"/>
      </w:pPr>
      <w:r w:rsidRPr="00CF6448">
        <w:t>AMRCC</w:t>
      </w:r>
      <w:r w:rsidRPr="00CF6448">
        <w:tab/>
        <w:t xml:space="preserve">Antimicrobial Resistance Coordinating Committee </w:t>
      </w:r>
    </w:p>
    <w:p w14:paraId="2546B411" w14:textId="77777777" w:rsidR="00CF6448" w:rsidRPr="00CF6448" w:rsidRDefault="00CF6448" w:rsidP="003614E2">
      <w:pPr>
        <w:pStyle w:val="ItadNormalText"/>
        <w:spacing w:before="100" w:after="100"/>
      </w:pPr>
      <w:r w:rsidRPr="00CF6448">
        <w:t>AMS</w:t>
      </w:r>
      <w:r w:rsidRPr="00CF6448">
        <w:tab/>
        <w:t>Antimicrobial Stewardship</w:t>
      </w:r>
    </w:p>
    <w:p w14:paraId="2476B27D" w14:textId="77777777" w:rsidR="00CF6448" w:rsidRPr="00CF6448" w:rsidRDefault="00CF6448" w:rsidP="003614E2">
      <w:pPr>
        <w:pStyle w:val="ItadNormalText"/>
        <w:spacing w:before="100" w:after="100"/>
      </w:pPr>
      <w:r w:rsidRPr="00CF6448">
        <w:t>AMU</w:t>
      </w:r>
      <w:r w:rsidRPr="00CF6448">
        <w:tab/>
        <w:t xml:space="preserve">Antimicrobial Use </w:t>
      </w:r>
    </w:p>
    <w:p w14:paraId="78AA35BB" w14:textId="77777777" w:rsidR="00CF6448" w:rsidRPr="00CF6448" w:rsidRDefault="00CF6448" w:rsidP="003614E2">
      <w:pPr>
        <w:pStyle w:val="ItadNormalText"/>
        <w:spacing w:before="100" w:after="100"/>
      </w:pPr>
      <w:r w:rsidRPr="00CF6448">
        <w:t>ASLM</w:t>
      </w:r>
      <w:r w:rsidRPr="00CF6448">
        <w:tab/>
        <w:t xml:space="preserve">African Society for Laboratory Medicine </w:t>
      </w:r>
    </w:p>
    <w:p w14:paraId="72347F70" w14:textId="77777777" w:rsidR="003A2AB5" w:rsidRPr="00492F21" w:rsidRDefault="003A2AB5" w:rsidP="003614E2">
      <w:pPr>
        <w:tabs>
          <w:tab w:val="left" w:pos="1418"/>
        </w:tabs>
        <w:spacing w:before="100" w:after="100"/>
        <w:rPr>
          <w:rFonts w:eastAsia="Calibri"/>
        </w:rPr>
      </w:pPr>
      <w:r>
        <w:rPr>
          <w:rFonts w:eastAsia="Calibri"/>
        </w:rPr>
        <w:t>ASM</w:t>
      </w:r>
      <w:r>
        <w:rPr>
          <w:rFonts w:eastAsia="Calibri"/>
        </w:rPr>
        <w:tab/>
      </w:r>
      <w:r w:rsidRPr="00FB556E">
        <w:rPr>
          <w:rFonts w:eastAsia="Calibri"/>
        </w:rPr>
        <w:t>American Society for Microbiology</w:t>
      </w:r>
    </w:p>
    <w:p w14:paraId="34DC3C59" w14:textId="77777777" w:rsidR="00CF6448" w:rsidRPr="00CF6448" w:rsidRDefault="00CF6448" w:rsidP="003614E2">
      <w:pPr>
        <w:pStyle w:val="ItadNormalText"/>
        <w:spacing w:before="100" w:after="100"/>
      </w:pPr>
      <w:r w:rsidRPr="00CF6448">
        <w:t>AST</w:t>
      </w:r>
      <w:r w:rsidRPr="00CF6448">
        <w:tab/>
        <w:t>Antimicrobial Susceptibility Test</w:t>
      </w:r>
    </w:p>
    <w:p w14:paraId="0003EE17" w14:textId="77777777" w:rsidR="00CF6448" w:rsidRPr="00CF6448" w:rsidRDefault="00CF6448" w:rsidP="003614E2">
      <w:pPr>
        <w:pStyle w:val="ItadNormalText"/>
        <w:spacing w:before="100" w:after="100"/>
      </w:pPr>
      <w:r w:rsidRPr="00CF6448">
        <w:t>BBLK</w:t>
      </w:r>
      <w:r w:rsidRPr="00CF6448">
        <w:tab/>
        <w:t>Balai Besar Laboratorium Kesehatan</w:t>
      </w:r>
    </w:p>
    <w:p w14:paraId="31D18DF8" w14:textId="77777777" w:rsidR="00CF6448" w:rsidRPr="00CF6448" w:rsidRDefault="00CF6448" w:rsidP="003614E2">
      <w:pPr>
        <w:pStyle w:val="ItadNormalText"/>
        <w:spacing w:before="100" w:after="100"/>
      </w:pPr>
      <w:r w:rsidRPr="00CF6448">
        <w:t>BL</w:t>
      </w:r>
      <w:r w:rsidRPr="00CF6448">
        <w:tab/>
        <w:t>Baseline</w:t>
      </w:r>
    </w:p>
    <w:p w14:paraId="4F4043FA" w14:textId="77777777" w:rsidR="00CF6448" w:rsidRPr="00CF6448" w:rsidRDefault="00CF6448" w:rsidP="003614E2">
      <w:pPr>
        <w:pStyle w:val="ItadNormalText"/>
        <w:spacing w:before="100" w:after="100"/>
      </w:pPr>
      <w:r w:rsidRPr="00CF6448">
        <w:t>CAPTURA</w:t>
      </w:r>
      <w:r w:rsidRPr="00CF6448">
        <w:tab/>
        <w:t>Capturing Data on AMR Patterns and Trends in Use in Regions of Asia</w:t>
      </w:r>
    </w:p>
    <w:p w14:paraId="33A19CC7" w14:textId="77777777" w:rsidR="006D5E29" w:rsidRPr="00492F21" w:rsidRDefault="006D5E29" w:rsidP="003614E2">
      <w:pPr>
        <w:tabs>
          <w:tab w:val="left" w:pos="1418"/>
        </w:tabs>
        <w:spacing w:before="100" w:after="100"/>
        <w:rPr>
          <w:rFonts w:eastAsia="Calibri"/>
        </w:rPr>
      </w:pPr>
      <w:r>
        <w:rPr>
          <w:rFonts w:eastAsia="Calibri"/>
        </w:rPr>
        <w:t>CCM</w:t>
      </w:r>
      <w:r>
        <w:rPr>
          <w:rFonts w:eastAsia="Calibri"/>
        </w:rPr>
        <w:tab/>
        <w:t>Country Coordination Meeting</w:t>
      </w:r>
    </w:p>
    <w:p w14:paraId="6F7CB029" w14:textId="77777777" w:rsidR="00CF6448" w:rsidRPr="00CF6448" w:rsidRDefault="00CF6448" w:rsidP="003614E2">
      <w:pPr>
        <w:pStyle w:val="ItadNormalText"/>
        <w:spacing w:before="100" w:after="100"/>
      </w:pPr>
      <w:r w:rsidRPr="00CF6448">
        <w:t>CDC</w:t>
      </w:r>
      <w:r w:rsidRPr="00CF6448">
        <w:tab/>
        <w:t xml:space="preserve">Centers for Disease Control and Prevention </w:t>
      </w:r>
    </w:p>
    <w:p w14:paraId="1D7F116E" w14:textId="77777777" w:rsidR="00CF6448" w:rsidRPr="00CF6448" w:rsidRDefault="00CF6448" w:rsidP="003614E2">
      <w:pPr>
        <w:pStyle w:val="ItadNormalText"/>
        <w:spacing w:before="100" w:after="100"/>
      </w:pPr>
      <w:r w:rsidRPr="00CF6448">
        <w:t>CG</w:t>
      </w:r>
      <w:r w:rsidRPr="00CF6448">
        <w:tab/>
        <w:t xml:space="preserve">Country Grant/ee </w:t>
      </w:r>
    </w:p>
    <w:p w14:paraId="2ECC583E" w14:textId="77777777" w:rsidR="00CF6448" w:rsidRPr="00CF6448" w:rsidRDefault="00CF6448" w:rsidP="003614E2">
      <w:pPr>
        <w:pStyle w:val="ItadNormalText"/>
        <w:spacing w:before="100" w:after="100"/>
      </w:pPr>
      <w:r w:rsidRPr="00CF6448">
        <w:t>CoI</w:t>
      </w:r>
      <w:r w:rsidRPr="00CF6448">
        <w:tab/>
        <w:t>Conflict of Interest</w:t>
      </w:r>
    </w:p>
    <w:p w14:paraId="3113A44E" w14:textId="6B2835DA" w:rsidR="006D5E29" w:rsidRPr="00492F21" w:rsidRDefault="006D5E29" w:rsidP="003614E2">
      <w:pPr>
        <w:tabs>
          <w:tab w:val="left" w:pos="1418"/>
        </w:tabs>
        <w:spacing w:before="100" w:after="100"/>
        <w:rPr>
          <w:rFonts w:eastAsia="Calibri"/>
        </w:rPr>
      </w:pPr>
      <w:r>
        <w:rPr>
          <w:rFonts w:eastAsia="Calibri"/>
        </w:rPr>
        <w:t>CVL</w:t>
      </w:r>
      <w:r>
        <w:rPr>
          <w:rFonts w:eastAsia="Calibri"/>
        </w:rPr>
        <w:tab/>
      </w:r>
      <w:r w:rsidR="00E84140">
        <w:rPr>
          <w:rFonts w:eastAsia="Calibri"/>
        </w:rPr>
        <w:t>Central Veterinary Laboratory</w:t>
      </w:r>
    </w:p>
    <w:p w14:paraId="627DDE48" w14:textId="77777777" w:rsidR="006051F6" w:rsidRDefault="006051F6" w:rsidP="003614E2">
      <w:pPr>
        <w:pStyle w:val="ItadNormalText"/>
        <w:spacing w:before="100" w:after="100"/>
      </w:pPr>
      <w:r w:rsidRPr="006051F6">
        <w:t>CVRI</w:t>
      </w:r>
      <w:r w:rsidRPr="006051F6">
        <w:tab/>
        <w:t>Central Veterinary Research Institute (Zambia)</w:t>
      </w:r>
    </w:p>
    <w:p w14:paraId="70620D99" w14:textId="6D61F842" w:rsidR="00CF6448" w:rsidRPr="00CF6448" w:rsidRDefault="00CF6448" w:rsidP="003614E2">
      <w:pPr>
        <w:pStyle w:val="ItadNormalText"/>
        <w:spacing w:before="100" w:after="100"/>
      </w:pPr>
      <w:r w:rsidRPr="00CF6448">
        <w:t>CwPAMS</w:t>
      </w:r>
      <w:r w:rsidRPr="00CF6448">
        <w:tab/>
        <w:t>Commonwealth Pharmacists Association</w:t>
      </w:r>
    </w:p>
    <w:p w14:paraId="7CB0A6EE" w14:textId="77777777" w:rsidR="00CF6448" w:rsidRPr="00CF6448" w:rsidRDefault="00CF6448" w:rsidP="003614E2">
      <w:pPr>
        <w:pStyle w:val="ItadNormalText"/>
        <w:spacing w:before="100" w:after="100"/>
      </w:pPr>
      <w:r w:rsidRPr="00CF6448">
        <w:t>DAC</w:t>
      </w:r>
      <w:r w:rsidRPr="00CF6448">
        <w:tab/>
        <w:t xml:space="preserve">Development Assistance Committee </w:t>
      </w:r>
    </w:p>
    <w:p w14:paraId="2000FE83" w14:textId="77777777" w:rsidR="00CF6448" w:rsidRDefault="00CF6448" w:rsidP="003614E2">
      <w:pPr>
        <w:pStyle w:val="ItadNormalText"/>
        <w:spacing w:before="100" w:after="100"/>
      </w:pPr>
      <w:r w:rsidRPr="00CF6448">
        <w:t>DFID</w:t>
      </w:r>
      <w:r w:rsidRPr="00CF6448">
        <w:tab/>
        <w:t>Department for International Development</w:t>
      </w:r>
    </w:p>
    <w:p w14:paraId="5A63687A" w14:textId="6DC613EF" w:rsidR="00B57446" w:rsidRPr="00CF6448" w:rsidRDefault="00B57446" w:rsidP="003614E2">
      <w:pPr>
        <w:pStyle w:val="ItadNormalText"/>
        <w:spacing w:before="100" w:after="100"/>
      </w:pPr>
      <w:r>
        <w:t>DGDA</w:t>
      </w:r>
      <w:r>
        <w:tab/>
      </w:r>
      <w:r w:rsidRPr="00B57446">
        <w:t>Directorate General of Drug Administration</w:t>
      </w:r>
    </w:p>
    <w:p w14:paraId="6130996A" w14:textId="0F79EB06" w:rsidR="00CF6448" w:rsidRDefault="00CF6448" w:rsidP="003614E2">
      <w:pPr>
        <w:pStyle w:val="ItadNormalText"/>
        <w:spacing w:before="100" w:after="100"/>
      </w:pPr>
      <w:r w:rsidRPr="00CF6448">
        <w:t>DHSC</w:t>
      </w:r>
      <w:r w:rsidRPr="00CF6448">
        <w:tab/>
        <w:t>Department of Health and Social Care</w:t>
      </w:r>
    </w:p>
    <w:p w14:paraId="70A6667A" w14:textId="2C59AF4E" w:rsidR="001770A9" w:rsidRPr="00CF6448" w:rsidRDefault="001770A9" w:rsidP="003614E2">
      <w:pPr>
        <w:pStyle w:val="ItadNormalText"/>
        <w:spacing w:before="100" w:after="100"/>
      </w:pPr>
      <w:r>
        <w:t>DLS</w:t>
      </w:r>
      <w:r>
        <w:tab/>
      </w:r>
      <w:r w:rsidRPr="001770A9">
        <w:t>Department of Livestock Services</w:t>
      </w:r>
    </w:p>
    <w:p w14:paraId="207A6FB2" w14:textId="77777777" w:rsidR="00CF6448" w:rsidRDefault="00CF6448" w:rsidP="003614E2">
      <w:pPr>
        <w:pStyle w:val="ItadNormalText"/>
        <w:spacing w:before="100" w:after="100"/>
      </w:pPr>
      <w:r w:rsidRPr="00CF6448">
        <w:t>DP</w:t>
      </w:r>
      <w:r w:rsidRPr="00CF6448">
        <w:tab/>
        <w:t xml:space="preserve">Delivery Partner </w:t>
      </w:r>
    </w:p>
    <w:p w14:paraId="414B727A" w14:textId="1D9E7702" w:rsidR="00992F1D" w:rsidRPr="00CF6448" w:rsidRDefault="00992F1D" w:rsidP="003614E2">
      <w:pPr>
        <w:pStyle w:val="ItadNormalText"/>
        <w:spacing w:before="100" w:after="100"/>
      </w:pPr>
      <w:r>
        <w:t>DVS</w:t>
      </w:r>
      <w:r>
        <w:tab/>
      </w:r>
      <w:r w:rsidRPr="00992F1D">
        <w:t>Directorate of Veterinary Services</w:t>
      </w:r>
    </w:p>
    <w:p w14:paraId="141BC0A1" w14:textId="77777777" w:rsidR="00CF6448" w:rsidRDefault="00CF6448" w:rsidP="003614E2">
      <w:pPr>
        <w:pStyle w:val="ItadNormalText"/>
        <w:spacing w:before="100" w:after="100"/>
      </w:pPr>
      <w:r w:rsidRPr="00CF6448">
        <w:t>EAG</w:t>
      </w:r>
      <w:r w:rsidRPr="00CF6448">
        <w:tab/>
        <w:t>Expert Advisory Group</w:t>
      </w:r>
    </w:p>
    <w:p w14:paraId="3CB6803C" w14:textId="04DCB909" w:rsidR="00E628FC" w:rsidRPr="00CF6448" w:rsidRDefault="00E628FC" w:rsidP="003614E2">
      <w:pPr>
        <w:pStyle w:val="ItadNormalText"/>
        <w:spacing w:before="100" w:after="100"/>
      </w:pPr>
      <w:r>
        <w:t>ECTAD</w:t>
      </w:r>
      <w:r>
        <w:tab/>
      </w:r>
      <w:r w:rsidRPr="00E628FC">
        <w:t>Emergency Centre for Transboundary Animal Diseases</w:t>
      </w:r>
    </w:p>
    <w:p w14:paraId="068B5FE7" w14:textId="3AD86C38" w:rsidR="006D5E29" w:rsidRPr="00492F21" w:rsidRDefault="006D5E29" w:rsidP="003614E2">
      <w:pPr>
        <w:tabs>
          <w:tab w:val="left" w:pos="1418"/>
        </w:tabs>
        <w:spacing w:before="100" w:after="100"/>
        <w:rPr>
          <w:rFonts w:eastAsia="Calibri"/>
        </w:rPr>
      </w:pPr>
      <w:r>
        <w:rPr>
          <w:rFonts w:eastAsia="Calibri"/>
        </w:rPr>
        <w:t>EML</w:t>
      </w:r>
      <w:r>
        <w:rPr>
          <w:rFonts w:eastAsia="Calibri"/>
        </w:rPr>
        <w:tab/>
      </w:r>
      <w:r w:rsidR="00BE0F06" w:rsidRPr="00BE0F06">
        <w:rPr>
          <w:rFonts w:eastAsia="Calibri"/>
        </w:rPr>
        <w:t xml:space="preserve">List of </w:t>
      </w:r>
      <w:r w:rsidR="00BE0F06">
        <w:rPr>
          <w:rFonts w:eastAsia="Calibri"/>
        </w:rPr>
        <w:t>E</w:t>
      </w:r>
      <w:r w:rsidR="00BE0F06" w:rsidRPr="00BE0F06">
        <w:rPr>
          <w:rFonts w:eastAsia="Calibri"/>
        </w:rPr>
        <w:t xml:space="preserve">ssential </w:t>
      </w:r>
      <w:r w:rsidR="00BE0F06">
        <w:rPr>
          <w:rFonts w:eastAsia="Calibri"/>
        </w:rPr>
        <w:t>M</w:t>
      </w:r>
      <w:r w:rsidR="00BE0F06" w:rsidRPr="00BE0F06">
        <w:rPr>
          <w:rFonts w:eastAsia="Calibri"/>
        </w:rPr>
        <w:t>edicines</w:t>
      </w:r>
    </w:p>
    <w:p w14:paraId="07B9A67A" w14:textId="77777777" w:rsidR="00CF6448" w:rsidRPr="00CF6448" w:rsidRDefault="00CF6448" w:rsidP="003614E2">
      <w:pPr>
        <w:pStyle w:val="ItadNormalText"/>
        <w:spacing w:before="100" w:after="100"/>
      </w:pPr>
      <w:r w:rsidRPr="00CF6448">
        <w:t>EoU</w:t>
      </w:r>
      <w:r w:rsidRPr="00CF6448">
        <w:tab/>
        <w:t>Examples of Use</w:t>
      </w:r>
    </w:p>
    <w:p w14:paraId="78343C75" w14:textId="77777777" w:rsidR="00CF6448" w:rsidRPr="00264CBC" w:rsidRDefault="00CF6448" w:rsidP="003614E2">
      <w:pPr>
        <w:pStyle w:val="ItadNormalText"/>
        <w:spacing w:before="100" w:after="100"/>
      </w:pPr>
      <w:r w:rsidRPr="00264CBC">
        <w:t>EQ</w:t>
      </w:r>
      <w:r w:rsidRPr="00264CBC">
        <w:tab/>
        <w:t xml:space="preserve">Evaluation Question </w:t>
      </w:r>
    </w:p>
    <w:p w14:paraId="07003FCE" w14:textId="77777777" w:rsidR="00CF6448" w:rsidRPr="00264CBC" w:rsidRDefault="00CF6448" w:rsidP="003614E2">
      <w:pPr>
        <w:pStyle w:val="ItadNormalText"/>
        <w:spacing w:before="100" w:after="100"/>
      </w:pPr>
      <w:r w:rsidRPr="00264CBC">
        <w:t>EQA</w:t>
      </w:r>
      <w:r w:rsidRPr="00264CBC">
        <w:tab/>
        <w:t>External Quality Assurance</w:t>
      </w:r>
    </w:p>
    <w:p w14:paraId="2F9C7982" w14:textId="77777777" w:rsidR="00CF6448" w:rsidRPr="00CF6448" w:rsidRDefault="00CF6448" w:rsidP="003614E2">
      <w:pPr>
        <w:pStyle w:val="ItadNormalText"/>
        <w:spacing w:before="100" w:after="100"/>
      </w:pPr>
      <w:r w:rsidRPr="00CF6448">
        <w:t>EQuALS</w:t>
      </w:r>
      <w:r w:rsidRPr="00CF6448">
        <w:tab/>
        <w:t>Evaluation QA and Learning Service</w:t>
      </w:r>
    </w:p>
    <w:p w14:paraId="20EE487F" w14:textId="77777777" w:rsidR="00CF6448" w:rsidRPr="00CF6448" w:rsidRDefault="00CF6448" w:rsidP="003614E2">
      <w:pPr>
        <w:pStyle w:val="ItadNormalText"/>
        <w:spacing w:before="100" w:after="100"/>
      </w:pPr>
      <w:r w:rsidRPr="00CF6448">
        <w:t>ES</w:t>
      </w:r>
      <w:r w:rsidRPr="00CF6448">
        <w:tab/>
        <w:t>Evaluation Supplier</w:t>
      </w:r>
    </w:p>
    <w:p w14:paraId="705FE290" w14:textId="77777777" w:rsidR="00CF6448" w:rsidRPr="00CF6448" w:rsidRDefault="00CF6448" w:rsidP="003614E2">
      <w:pPr>
        <w:pStyle w:val="ItadNormalText"/>
        <w:spacing w:before="100" w:after="100"/>
      </w:pPr>
      <w:r w:rsidRPr="00CF6448">
        <w:t>EUCAST</w:t>
      </w:r>
      <w:r w:rsidRPr="00CF6448">
        <w:tab/>
        <w:t>European Committee on Antimicrobial Susceptibility Testing</w:t>
      </w:r>
    </w:p>
    <w:p w14:paraId="29839185" w14:textId="77777777" w:rsidR="00CF6448" w:rsidRPr="00CF6448" w:rsidRDefault="00CF6448" w:rsidP="003614E2">
      <w:pPr>
        <w:pStyle w:val="ItadNormalText"/>
        <w:spacing w:before="100" w:after="100"/>
      </w:pPr>
      <w:r w:rsidRPr="00CF6448">
        <w:t>FAO</w:t>
      </w:r>
      <w:r w:rsidRPr="00CF6448">
        <w:tab/>
        <w:t xml:space="preserve">Food and Agriculture Organization </w:t>
      </w:r>
    </w:p>
    <w:p w14:paraId="377261AD" w14:textId="77777777" w:rsidR="00CF6448" w:rsidRPr="00CF6448" w:rsidRDefault="00CF6448" w:rsidP="003614E2">
      <w:pPr>
        <w:pStyle w:val="ItadNormalText"/>
        <w:spacing w:before="100" w:after="100"/>
      </w:pPr>
      <w:r w:rsidRPr="00CF6448">
        <w:t>FCDO</w:t>
      </w:r>
      <w:r w:rsidRPr="00CF6448">
        <w:tab/>
        <w:t xml:space="preserve">Foreign, Commonwealth &amp; Development Office </w:t>
      </w:r>
    </w:p>
    <w:p w14:paraId="3A19F2D4" w14:textId="77777777" w:rsidR="00CF6448" w:rsidRPr="00CF6448" w:rsidRDefault="00CF6448" w:rsidP="003614E2">
      <w:pPr>
        <w:pStyle w:val="ItadNormalText"/>
        <w:spacing w:before="100" w:after="100"/>
      </w:pPr>
      <w:r w:rsidRPr="00CF6448">
        <w:t>GAP</w:t>
      </w:r>
      <w:r w:rsidRPr="00CF6448">
        <w:tab/>
        <w:t xml:space="preserve">Global Action Plan </w:t>
      </w:r>
    </w:p>
    <w:p w14:paraId="108585B6" w14:textId="77777777" w:rsidR="00CF6448" w:rsidRPr="00CF6448" w:rsidRDefault="00CF6448" w:rsidP="003614E2">
      <w:pPr>
        <w:pStyle w:val="ItadNormalText"/>
        <w:spacing w:before="100" w:after="100"/>
      </w:pPr>
      <w:r w:rsidRPr="00CF6448">
        <w:t>GARP</w:t>
      </w:r>
      <w:r w:rsidRPr="00CF6448">
        <w:tab/>
        <w:t>Global Antibiotic Resistance Partnership</w:t>
      </w:r>
    </w:p>
    <w:p w14:paraId="6D6750A9" w14:textId="77777777" w:rsidR="00CF6448" w:rsidRPr="00CF6448" w:rsidRDefault="00CF6448" w:rsidP="003614E2">
      <w:pPr>
        <w:pStyle w:val="ItadNormalText"/>
        <w:spacing w:before="100" w:after="100"/>
      </w:pPr>
      <w:r w:rsidRPr="00CF6448">
        <w:t>GHS</w:t>
      </w:r>
      <w:r w:rsidRPr="00CF6448">
        <w:tab/>
        <w:t xml:space="preserve">Global Health Security </w:t>
      </w:r>
    </w:p>
    <w:p w14:paraId="2F8E506B" w14:textId="77777777" w:rsidR="00CF6448" w:rsidRPr="00CF6448" w:rsidRDefault="00CF6448" w:rsidP="003614E2">
      <w:pPr>
        <w:pStyle w:val="ItadNormalText"/>
        <w:spacing w:before="100" w:after="100"/>
      </w:pPr>
      <w:r w:rsidRPr="00CF6448">
        <w:t>GLASS</w:t>
      </w:r>
      <w:r w:rsidRPr="00CF6448">
        <w:tab/>
        <w:t xml:space="preserve">Global Antimicrobial Resistance Surveillance System </w:t>
      </w:r>
    </w:p>
    <w:p w14:paraId="01AFD771" w14:textId="77777777" w:rsidR="00CF6448" w:rsidRPr="00CF6448" w:rsidRDefault="00CF6448" w:rsidP="003614E2">
      <w:pPr>
        <w:pStyle w:val="ItadNormalText"/>
        <w:spacing w:before="100" w:after="100"/>
      </w:pPr>
      <w:r w:rsidRPr="00CF6448">
        <w:t>GRAM</w:t>
      </w:r>
      <w:r w:rsidRPr="00CF6448">
        <w:tab/>
        <w:t xml:space="preserve">Global Research on Antimicrobial Resistance </w:t>
      </w:r>
    </w:p>
    <w:p w14:paraId="51E8B0DD" w14:textId="77777777" w:rsidR="00CF6448" w:rsidRPr="00CF6448" w:rsidRDefault="00CF6448" w:rsidP="003614E2">
      <w:pPr>
        <w:pStyle w:val="ItadNormalText"/>
        <w:spacing w:before="100" w:after="100"/>
      </w:pPr>
      <w:r w:rsidRPr="00CF6448">
        <w:t>HI</w:t>
      </w:r>
      <w:r w:rsidRPr="00CF6448">
        <w:tab/>
        <w:t xml:space="preserve">Host Institution </w:t>
      </w:r>
    </w:p>
    <w:p w14:paraId="66D5EB92" w14:textId="77777777" w:rsidR="00CF6448" w:rsidRPr="00CF6448" w:rsidRDefault="00CF6448" w:rsidP="003614E2">
      <w:pPr>
        <w:pStyle w:val="ItadNormalText"/>
        <w:spacing w:before="100" w:after="100"/>
      </w:pPr>
      <w:r w:rsidRPr="00CF6448">
        <w:t>HH</w:t>
      </w:r>
      <w:r w:rsidRPr="00CF6448">
        <w:tab/>
        <w:t>Human Health</w:t>
      </w:r>
    </w:p>
    <w:p w14:paraId="37BB365A" w14:textId="77777777" w:rsidR="00CF6448" w:rsidRPr="00CF6448" w:rsidRDefault="00CF6448" w:rsidP="003614E2">
      <w:pPr>
        <w:pStyle w:val="ItadNormalText"/>
        <w:spacing w:before="100" w:after="100"/>
      </w:pPr>
      <w:r w:rsidRPr="00CF6448">
        <w:t>HMG</w:t>
      </w:r>
      <w:r w:rsidRPr="00CF6448">
        <w:tab/>
        <w:t>His Majesty’s Government</w:t>
      </w:r>
    </w:p>
    <w:p w14:paraId="2420ED45" w14:textId="77777777" w:rsidR="00CF6448" w:rsidRDefault="00CF6448" w:rsidP="003614E2">
      <w:pPr>
        <w:pStyle w:val="ItadNormalText"/>
        <w:spacing w:before="100" w:after="100"/>
      </w:pPr>
      <w:r w:rsidRPr="00CF6448">
        <w:t>HMT</w:t>
      </w:r>
      <w:r w:rsidRPr="00CF6448">
        <w:tab/>
        <w:t>His Majesty's Treasury</w:t>
      </w:r>
    </w:p>
    <w:p w14:paraId="63669A02" w14:textId="77777777" w:rsidR="006D5E29" w:rsidRPr="00492F21" w:rsidRDefault="006D5E29" w:rsidP="003614E2">
      <w:pPr>
        <w:tabs>
          <w:tab w:val="left" w:pos="1418"/>
        </w:tabs>
        <w:spacing w:before="100" w:after="100"/>
        <w:rPr>
          <w:rFonts w:eastAsia="Calibri"/>
        </w:rPr>
      </w:pPr>
      <w:r>
        <w:rPr>
          <w:rFonts w:eastAsia="Calibri"/>
        </w:rPr>
        <w:t>IDDS</w:t>
      </w:r>
      <w:r>
        <w:rPr>
          <w:rFonts w:eastAsia="Calibri"/>
        </w:rPr>
        <w:tab/>
        <w:t>Infectious Diseases Detection and Surveillance</w:t>
      </w:r>
    </w:p>
    <w:p w14:paraId="26DA07B5" w14:textId="79D0387A" w:rsidR="00156E75" w:rsidRPr="00CF6448" w:rsidRDefault="00156E75" w:rsidP="003614E2">
      <w:pPr>
        <w:pStyle w:val="ItadNormalText"/>
        <w:spacing w:before="100" w:after="100"/>
      </w:pPr>
      <w:r>
        <w:t>IEDCR</w:t>
      </w:r>
      <w:r>
        <w:tab/>
      </w:r>
      <w:r w:rsidRPr="00156E75">
        <w:t xml:space="preserve">Institute of Epidemiology, Disease Control </w:t>
      </w:r>
      <w:r w:rsidR="001441A2" w:rsidRPr="00156E75">
        <w:t>and</w:t>
      </w:r>
      <w:r w:rsidRPr="00156E75">
        <w:t xml:space="preserve"> Research</w:t>
      </w:r>
    </w:p>
    <w:p w14:paraId="1E3B29FD" w14:textId="77777777" w:rsidR="00CF6448" w:rsidRPr="00A44110" w:rsidRDefault="00CF6448" w:rsidP="003614E2">
      <w:pPr>
        <w:pStyle w:val="ItadNormalText"/>
        <w:spacing w:before="100" w:after="100"/>
        <w:rPr>
          <w:lang w:val="fr-FR"/>
        </w:rPr>
      </w:pPr>
      <w:r w:rsidRPr="00A44110">
        <w:rPr>
          <w:lang w:val="fr-FR"/>
        </w:rPr>
        <w:t>IPA</w:t>
      </w:r>
      <w:r w:rsidRPr="00A44110">
        <w:rPr>
          <w:lang w:val="fr-FR"/>
        </w:rPr>
        <w:tab/>
        <w:t xml:space="preserve">International </w:t>
      </w:r>
      <w:r w:rsidRPr="007F63EF">
        <w:rPr>
          <w:lang w:val="fr-FR"/>
        </w:rPr>
        <w:t>Procurement</w:t>
      </w:r>
      <w:r w:rsidRPr="00A44110">
        <w:rPr>
          <w:lang w:val="fr-FR"/>
        </w:rPr>
        <w:t xml:space="preserve"> Agent </w:t>
      </w:r>
    </w:p>
    <w:p w14:paraId="5EC6920B" w14:textId="77777777" w:rsidR="00CF6448" w:rsidRPr="00A44110" w:rsidRDefault="00CF6448" w:rsidP="003614E2">
      <w:pPr>
        <w:pStyle w:val="ItadNormalText"/>
        <w:spacing w:before="100" w:after="100"/>
        <w:rPr>
          <w:lang w:val="fr-FR"/>
        </w:rPr>
      </w:pPr>
      <w:r w:rsidRPr="00A44110">
        <w:rPr>
          <w:lang w:val="fr-FR"/>
        </w:rPr>
        <w:t>IPC</w:t>
      </w:r>
      <w:r w:rsidRPr="00A44110">
        <w:rPr>
          <w:lang w:val="fr-FR"/>
        </w:rPr>
        <w:tab/>
        <w:t xml:space="preserve">Infection Prevention &amp; Control </w:t>
      </w:r>
    </w:p>
    <w:p w14:paraId="29F73D47" w14:textId="5DF05D2C" w:rsidR="00DF3B79" w:rsidRPr="00CF6448" w:rsidRDefault="00DF3B79" w:rsidP="003614E2">
      <w:pPr>
        <w:pStyle w:val="ItadNormalText"/>
        <w:spacing w:before="100" w:after="100"/>
      </w:pPr>
      <w:r>
        <w:t>IVI</w:t>
      </w:r>
      <w:r>
        <w:tab/>
      </w:r>
      <w:r w:rsidRPr="00DF3B79">
        <w:t>International Vaccine Institute</w:t>
      </w:r>
    </w:p>
    <w:p w14:paraId="02DDA69D" w14:textId="77777777" w:rsidR="00CF6448" w:rsidRPr="00CF6448" w:rsidRDefault="00CF6448" w:rsidP="003614E2">
      <w:pPr>
        <w:pStyle w:val="ItadNormalText"/>
        <w:spacing w:before="100" w:after="100"/>
      </w:pPr>
      <w:r w:rsidRPr="00CF6448">
        <w:t>KEMRI</w:t>
      </w:r>
      <w:r w:rsidRPr="00CF6448">
        <w:tab/>
        <w:t xml:space="preserve">Kenya Medical Research Institute </w:t>
      </w:r>
    </w:p>
    <w:p w14:paraId="0C4D76C2" w14:textId="77777777" w:rsidR="00CF6448" w:rsidRPr="00CF6448" w:rsidRDefault="00CF6448" w:rsidP="003614E2">
      <w:pPr>
        <w:pStyle w:val="ItadNormalText"/>
        <w:spacing w:before="100" w:after="100"/>
      </w:pPr>
      <w:r w:rsidRPr="00CF6448">
        <w:t>KI</w:t>
      </w:r>
      <w:r w:rsidRPr="00CF6448">
        <w:tab/>
        <w:t>Key Informant</w:t>
      </w:r>
    </w:p>
    <w:p w14:paraId="12D199EB" w14:textId="77777777" w:rsidR="00CF6448" w:rsidRPr="00CF6448" w:rsidRDefault="00CF6448" w:rsidP="003614E2">
      <w:pPr>
        <w:pStyle w:val="ItadNormalText"/>
        <w:spacing w:before="100" w:after="100"/>
      </w:pPr>
      <w:r w:rsidRPr="00CF6448">
        <w:t>KII</w:t>
      </w:r>
      <w:r w:rsidRPr="00CF6448">
        <w:tab/>
        <w:t xml:space="preserve">Key Informant Interview </w:t>
      </w:r>
    </w:p>
    <w:p w14:paraId="0E0A81A4" w14:textId="77777777" w:rsidR="00CF6448" w:rsidRPr="00CF6448" w:rsidRDefault="00CF6448" w:rsidP="003614E2">
      <w:pPr>
        <w:pStyle w:val="ItadNormalText"/>
        <w:spacing w:before="100" w:after="100"/>
      </w:pPr>
      <w:r w:rsidRPr="00CF6448">
        <w:t>L&amp;D</w:t>
      </w:r>
      <w:r w:rsidRPr="00CF6448">
        <w:tab/>
        <w:t>Learning and Dissemination</w:t>
      </w:r>
    </w:p>
    <w:p w14:paraId="441C1A6D" w14:textId="77777777" w:rsidR="00CF6448" w:rsidRPr="00CF6448" w:rsidRDefault="00CF6448" w:rsidP="003614E2">
      <w:pPr>
        <w:pStyle w:val="ItadNormalText"/>
        <w:spacing w:before="100" w:after="100"/>
      </w:pPr>
      <w:r w:rsidRPr="00CF6448">
        <w:t>LMICs</w:t>
      </w:r>
      <w:r w:rsidRPr="00CF6448">
        <w:tab/>
        <w:t xml:space="preserve">Low-and Middle-Income Countries </w:t>
      </w:r>
    </w:p>
    <w:p w14:paraId="052E9F61" w14:textId="77777777" w:rsidR="00CF6448" w:rsidRPr="00CF6448" w:rsidRDefault="00CF6448" w:rsidP="003614E2">
      <w:pPr>
        <w:pStyle w:val="ItadNormalText"/>
        <w:spacing w:before="100" w:after="100"/>
      </w:pPr>
      <w:r w:rsidRPr="00CF6448">
        <w:t>LSHTM</w:t>
      </w:r>
      <w:r w:rsidRPr="00CF6448">
        <w:tab/>
        <w:t xml:space="preserve">The London School of Hygiene &amp; Tropical Medicine </w:t>
      </w:r>
    </w:p>
    <w:p w14:paraId="68A50AE0" w14:textId="77777777" w:rsidR="00CF6448" w:rsidRPr="00CF6448" w:rsidRDefault="00CF6448" w:rsidP="003614E2">
      <w:pPr>
        <w:pStyle w:val="ItadNormalText"/>
        <w:spacing w:before="100" w:after="100"/>
      </w:pPr>
      <w:r w:rsidRPr="00CF6448">
        <w:t>LY</w:t>
      </w:r>
      <w:r w:rsidRPr="00CF6448">
        <w:tab/>
        <w:t>Latest Year</w:t>
      </w:r>
    </w:p>
    <w:p w14:paraId="1E9F2DE3" w14:textId="77777777" w:rsidR="00CF6448" w:rsidRPr="00CF6448" w:rsidRDefault="00CF6448" w:rsidP="003614E2">
      <w:pPr>
        <w:pStyle w:val="ItadNormalText"/>
        <w:spacing w:before="100" w:after="100"/>
      </w:pPr>
      <w:r w:rsidRPr="00CF6448">
        <w:t>M&amp;E</w:t>
      </w:r>
      <w:r w:rsidRPr="00CF6448">
        <w:tab/>
        <w:t xml:space="preserve">Monitoring and Evaluation </w:t>
      </w:r>
    </w:p>
    <w:p w14:paraId="5BB01044" w14:textId="77777777" w:rsidR="00CF6448" w:rsidRPr="00A10C26" w:rsidRDefault="00CF6448" w:rsidP="003614E2">
      <w:pPr>
        <w:pStyle w:val="ItadNormalText"/>
        <w:spacing w:before="100" w:after="100"/>
        <w:rPr>
          <w:lang w:val="sv-SE"/>
        </w:rPr>
      </w:pPr>
      <w:r w:rsidRPr="00A10C26">
        <w:rPr>
          <w:lang w:val="sv-SE"/>
        </w:rPr>
        <w:t>MA</w:t>
      </w:r>
      <w:r w:rsidRPr="00A10C26">
        <w:rPr>
          <w:lang w:val="sv-SE"/>
        </w:rPr>
        <w:tab/>
        <w:t xml:space="preserve">Managing Agent (Mott MacDonald) </w:t>
      </w:r>
    </w:p>
    <w:p w14:paraId="0C6CE064" w14:textId="77777777" w:rsidR="00CF6448" w:rsidRDefault="00CF6448" w:rsidP="003614E2">
      <w:pPr>
        <w:pStyle w:val="ItadNormalText"/>
        <w:spacing w:before="100" w:after="100"/>
      </w:pPr>
      <w:r w:rsidRPr="00CF6448">
        <w:t>MAAP</w:t>
      </w:r>
      <w:r w:rsidRPr="00CF6448">
        <w:tab/>
        <w:t>Mapping Antimicrobial Resistance and Antimicrobial Use Partnership</w:t>
      </w:r>
    </w:p>
    <w:p w14:paraId="10917E39" w14:textId="4EEDF6F8" w:rsidR="000726C0" w:rsidRDefault="000726C0" w:rsidP="003614E2">
      <w:pPr>
        <w:pStyle w:val="ItadNormalText"/>
        <w:spacing w:before="100" w:after="100"/>
      </w:pPr>
      <w:r w:rsidRPr="000726C0">
        <w:t>MoHS</w:t>
      </w:r>
      <w:r w:rsidRPr="000726C0">
        <w:tab/>
        <w:t>Ministry of Health and Sanitation</w:t>
      </w:r>
    </w:p>
    <w:p w14:paraId="4AF4198B" w14:textId="380A3865" w:rsidR="00A8412D" w:rsidRDefault="00A8412D" w:rsidP="003614E2">
      <w:pPr>
        <w:pStyle w:val="ItadNormalText"/>
        <w:spacing w:before="100" w:after="100"/>
      </w:pPr>
      <w:r>
        <w:t>MOAF</w:t>
      </w:r>
      <w:r>
        <w:tab/>
      </w:r>
      <w:r w:rsidRPr="00A8412D">
        <w:t>Ministry of Agriculture and Forests</w:t>
      </w:r>
    </w:p>
    <w:p w14:paraId="7AAE5995" w14:textId="2A1A3864" w:rsidR="0064708D" w:rsidRDefault="0064708D" w:rsidP="003614E2">
      <w:pPr>
        <w:pStyle w:val="ItadNormalText"/>
        <w:spacing w:before="100" w:after="100"/>
      </w:pPr>
      <w:r>
        <w:t>MoLF</w:t>
      </w:r>
      <w:r>
        <w:tab/>
      </w:r>
      <w:r w:rsidR="0095132B" w:rsidRPr="0095132B">
        <w:t>Ministry of Agriculture Livestock Fisheries and Cooperatives</w:t>
      </w:r>
    </w:p>
    <w:p w14:paraId="5EED70C6" w14:textId="2A591648" w:rsidR="00463B81" w:rsidRPr="00CF6448" w:rsidRDefault="00463B81" w:rsidP="003614E2">
      <w:pPr>
        <w:pStyle w:val="ItadNormalText"/>
        <w:spacing w:before="100" w:after="100"/>
      </w:pPr>
      <w:r>
        <w:t>MONF</w:t>
      </w:r>
      <w:r w:rsidR="00156EAC">
        <w:t>SR</w:t>
      </w:r>
      <w:r w:rsidR="00156EAC">
        <w:tab/>
      </w:r>
      <w:r w:rsidR="00156EAC" w:rsidRPr="00156EAC">
        <w:t>Ministry of National Food Security &amp; Research</w:t>
      </w:r>
    </w:p>
    <w:p w14:paraId="47E90E15" w14:textId="77777777" w:rsidR="00CF6448" w:rsidRPr="00CF6448" w:rsidRDefault="00CF6448" w:rsidP="003614E2">
      <w:pPr>
        <w:pStyle w:val="ItadNormalText"/>
        <w:spacing w:before="100" w:after="100"/>
      </w:pPr>
      <w:r w:rsidRPr="00CF6448">
        <w:t>MSA</w:t>
      </w:r>
      <w:r w:rsidRPr="00CF6448">
        <w:tab/>
        <w:t>Multiple Streams Analysis</w:t>
      </w:r>
    </w:p>
    <w:p w14:paraId="52CE067B" w14:textId="77777777" w:rsidR="00CF6448" w:rsidRPr="00CF6448" w:rsidRDefault="00CF6448" w:rsidP="003614E2">
      <w:pPr>
        <w:pStyle w:val="ItadNormalText"/>
        <w:spacing w:before="100" w:after="100"/>
      </w:pPr>
      <w:r w:rsidRPr="00CF6448">
        <w:t>MSP</w:t>
      </w:r>
      <w:r w:rsidRPr="00CF6448">
        <w:tab/>
        <w:t xml:space="preserve">Multisector Partnerships </w:t>
      </w:r>
    </w:p>
    <w:p w14:paraId="44DB8821" w14:textId="77777777" w:rsidR="00CF6448" w:rsidRPr="00CF6448" w:rsidRDefault="00CF6448" w:rsidP="003614E2">
      <w:pPr>
        <w:pStyle w:val="ItadNormalText"/>
        <w:spacing w:before="100" w:after="100"/>
      </w:pPr>
      <w:r w:rsidRPr="00CF6448">
        <w:t>MTaPs</w:t>
      </w:r>
      <w:r w:rsidRPr="00CF6448">
        <w:tab/>
        <w:t xml:space="preserve">The Medicines, Technologies, and Pharmaceutical Services Programme </w:t>
      </w:r>
    </w:p>
    <w:p w14:paraId="350245F6" w14:textId="77777777" w:rsidR="00CF6448" w:rsidRPr="00CF6448" w:rsidRDefault="00CF6448" w:rsidP="003614E2">
      <w:pPr>
        <w:pStyle w:val="ItadNormalText"/>
        <w:spacing w:before="100" w:after="100"/>
      </w:pPr>
      <w:r w:rsidRPr="00CF6448">
        <w:t>NAO</w:t>
      </w:r>
      <w:r w:rsidRPr="00CF6448">
        <w:tab/>
        <w:t xml:space="preserve">National Audit Office </w:t>
      </w:r>
    </w:p>
    <w:p w14:paraId="3342BE64" w14:textId="77777777" w:rsidR="00CF6448" w:rsidRPr="00CF6448" w:rsidRDefault="00CF6448" w:rsidP="003614E2">
      <w:pPr>
        <w:pStyle w:val="ItadNormalText"/>
        <w:spacing w:before="100" w:after="100"/>
      </w:pPr>
      <w:r w:rsidRPr="00CF6448">
        <w:t>NAP</w:t>
      </w:r>
      <w:r w:rsidRPr="00CF6448">
        <w:tab/>
        <w:t xml:space="preserve">National Action Plan </w:t>
      </w:r>
    </w:p>
    <w:p w14:paraId="228EDBDF" w14:textId="77777777" w:rsidR="00CF6448" w:rsidRPr="00CF6448" w:rsidRDefault="00CF6448" w:rsidP="003614E2">
      <w:pPr>
        <w:pStyle w:val="ItadNormalText"/>
        <w:spacing w:before="100" w:after="100"/>
      </w:pPr>
      <w:r w:rsidRPr="00CF6448">
        <w:t>NCAH</w:t>
      </w:r>
      <w:r w:rsidRPr="00CF6448">
        <w:tab/>
        <w:t>National Centre for Animal Health</w:t>
      </w:r>
    </w:p>
    <w:p w14:paraId="5D95AFCF" w14:textId="77777777" w:rsidR="00CF6448" w:rsidRPr="00CF6448" w:rsidRDefault="00CF6448" w:rsidP="003614E2">
      <w:pPr>
        <w:pStyle w:val="ItadNormalText"/>
        <w:spacing w:before="100" w:after="100"/>
      </w:pPr>
      <w:r w:rsidRPr="00CF6448">
        <w:t>NCDC</w:t>
      </w:r>
      <w:r w:rsidRPr="00CF6448">
        <w:tab/>
        <w:t>Nigeria Centre for Disease Control</w:t>
      </w:r>
    </w:p>
    <w:p w14:paraId="52868212" w14:textId="77777777" w:rsidR="00CF6448" w:rsidRPr="00CF6448" w:rsidRDefault="00CF6448" w:rsidP="003614E2">
      <w:pPr>
        <w:pStyle w:val="ItadNormalText"/>
        <w:spacing w:before="100" w:after="100"/>
      </w:pPr>
      <w:r w:rsidRPr="00CF6448">
        <w:t>NE</w:t>
      </w:r>
      <w:r w:rsidRPr="00CF6448">
        <w:tab/>
        <w:t>No Evidence</w:t>
      </w:r>
    </w:p>
    <w:p w14:paraId="0C7FD007" w14:textId="77777777" w:rsidR="006D5E29" w:rsidRPr="00492F21" w:rsidRDefault="006D5E29" w:rsidP="003614E2">
      <w:pPr>
        <w:tabs>
          <w:tab w:val="left" w:pos="1418"/>
        </w:tabs>
        <w:spacing w:before="100" w:after="100"/>
        <w:rPr>
          <w:rFonts w:eastAsia="Calibri"/>
        </w:rPr>
      </w:pPr>
      <w:r>
        <w:rPr>
          <w:rFonts w:eastAsia="Calibri"/>
        </w:rPr>
        <w:t>NIH</w:t>
      </w:r>
      <w:r>
        <w:rPr>
          <w:rFonts w:eastAsia="Calibri"/>
        </w:rPr>
        <w:tab/>
        <w:t>National Institute of Health</w:t>
      </w:r>
    </w:p>
    <w:p w14:paraId="0D38DFA2" w14:textId="7F40C534" w:rsidR="00CF6448" w:rsidRDefault="00CF6448" w:rsidP="003614E2">
      <w:pPr>
        <w:pStyle w:val="ItadNormalText"/>
        <w:spacing w:before="100" w:after="100"/>
      </w:pPr>
      <w:r w:rsidRPr="00CF6448">
        <w:t>NRL</w:t>
      </w:r>
      <w:r w:rsidRPr="00CF6448">
        <w:tab/>
        <w:t xml:space="preserve">National Reference </w:t>
      </w:r>
      <w:r w:rsidR="00F25C0E">
        <w:t xml:space="preserve">Laboratory </w:t>
      </w:r>
    </w:p>
    <w:p w14:paraId="7489BDA8" w14:textId="30FF0831" w:rsidR="005A1CFB" w:rsidRPr="00CF6448" w:rsidRDefault="005A1CFB" w:rsidP="003614E2">
      <w:pPr>
        <w:pStyle w:val="ItadNormalText"/>
        <w:spacing w:before="100" w:after="100"/>
      </w:pPr>
      <w:r>
        <w:t>NVL</w:t>
      </w:r>
      <w:r>
        <w:tab/>
      </w:r>
      <w:r w:rsidRPr="005A1CFB">
        <w:t>National Veterinary Laboratories</w:t>
      </w:r>
    </w:p>
    <w:p w14:paraId="59E7FD53" w14:textId="77777777" w:rsidR="00CF6448" w:rsidRPr="00CF6448" w:rsidRDefault="00CF6448" w:rsidP="003614E2">
      <w:pPr>
        <w:pStyle w:val="ItadNormalText"/>
        <w:spacing w:before="100" w:after="100"/>
      </w:pPr>
      <w:r w:rsidRPr="00CF6448">
        <w:t>OECD</w:t>
      </w:r>
      <w:r w:rsidRPr="00CF6448">
        <w:tab/>
        <w:t>Organisation for Economic Co-operation</w:t>
      </w:r>
    </w:p>
    <w:p w14:paraId="33EE5130" w14:textId="77777777" w:rsidR="00CF6448" w:rsidRPr="00CF6448" w:rsidRDefault="00CF6448" w:rsidP="003614E2">
      <w:pPr>
        <w:pStyle w:val="ItadNormalText"/>
        <w:spacing w:before="100" w:after="100"/>
      </w:pPr>
      <w:r w:rsidRPr="00CF6448">
        <w:t>PE</w:t>
      </w:r>
      <w:r w:rsidRPr="00CF6448">
        <w:tab/>
        <w:t xml:space="preserve">Political Economy </w:t>
      </w:r>
    </w:p>
    <w:p w14:paraId="58AD77D3" w14:textId="77777777" w:rsidR="00CF6448" w:rsidRPr="00CF6448" w:rsidRDefault="00CF6448" w:rsidP="003614E2">
      <w:pPr>
        <w:pStyle w:val="ItadNormalText"/>
        <w:spacing w:before="100" w:after="100"/>
      </w:pPr>
      <w:r w:rsidRPr="00CF6448">
        <w:t>PHSG</w:t>
      </w:r>
      <w:r w:rsidRPr="00CF6448">
        <w:tab/>
        <w:t>Public Health Surveillance Group</w:t>
      </w:r>
    </w:p>
    <w:p w14:paraId="3679349A" w14:textId="77777777" w:rsidR="006D5E29" w:rsidRPr="006D5E29" w:rsidRDefault="006D5E29" w:rsidP="003614E2">
      <w:pPr>
        <w:tabs>
          <w:tab w:val="left" w:pos="1418"/>
        </w:tabs>
        <w:spacing w:before="100" w:after="100"/>
        <w:rPr>
          <w:rFonts w:eastAsia="Calibri"/>
        </w:rPr>
      </w:pPr>
      <w:r w:rsidRPr="006D5E29">
        <w:rPr>
          <w:rFonts w:eastAsia="Calibri"/>
        </w:rPr>
        <w:t>PPS</w:t>
      </w:r>
      <w:r w:rsidRPr="006D5E29">
        <w:rPr>
          <w:rFonts w:eastAsia="Calibri"/>
        </w:rPr>
        <w:tab/>
        <w:t>Point Prevalence Survey</w:t>
      </w:r>
    </w:p>
    <w:p w14:paraId="11DACE3E" w14:textId="77777777" w:rsidR="00CF6448" w:rsidRPr="00CF6448" w:rsidRDefault="00CF6448" w:rsidP="003614E2">
      <w:pPr>
        <w:pStyle w:val="ItadNormalText"/>
        <w:spacing w:before="100" w:after="100"/>
      </w:pPr>
      <w:r w:rsidRPr="00CF6448">
        <w:t>QA</w:t>
      </w:r>
      <w:r w:rsidRPr="00CF6448">
        <w:tab/>
        <w:t xml:space="preserve">Quality Assurance </w:t>
      </w:r>
    </w:p>
    <w:p w14:paraId="1226EC47" w14:textId="77777777" w:rsidR="00CF6448" w:rsidRPr="00CF6448" w:rsidRDefault="00CF6448" w:rsidP="003614E2">
      <w:pPr>
        <w:pStyle w:val="ItadNormalText"/>
        <w:spacing w:before="100" w:after="100"/>
      </w:pPr>
      <w:r w:rsidRPr="00CF6448">
        <w:t>QR</w:t>
      </w:r>
      <w:r w:rsidRPr="00CF6448">
        <w:tab/>
        <w:t>Quarterly Report</w:t>
      </w:r>
    </w:p>
    <w:p w14:paraId="7A432BC4" w14:textId="77777777" w:rsidR="00CF6448" w:rsidRPr="00CF6448" w:rsidRDefault="00CF6448" w:rsidP="003614E2">
      <w:pPr>
        <w:pStyle w:val="ItadNormalText"/>
        <w:spacing w:before="100" w:after="100"/>
      </w:pPr>
      <w:r w:rsidRPr="00CF6448">
        <w:t>RA</w:t>
      </w:r>
      <w:r w:rsidRPr="00CF6448">
        <w:tab/>
        <w:t>Research Analyst</w:t>
      </w:r>
    </w:p>
    <w:p w14:paraId="7DF30572" w14:textId="77777777" w:rsidR="00CF6448" w:rsidRPr="00CF6448" w:rsidRDefault="00CF6448" w:rsidP="003614E2">
      <w:pPr>
        <w:pStyle w:val="ItadNormalText"/>
        <w:spacing w:before="100" w:after="100"/>
      </w:pPr>
      <w:r w:rsidRPr="00CF6448">
        <w:t>RADAAR</w:t>
      </w:r>
      <w:r w:rsidRPr="00CF6448">
        <w:tab/>
        <w:t>Regional Antimicrobial resistance Data Analysis for Advocacy, Response and Policy</w:t>
      </w:r>
    </w:p>
    <w:p w14:paraId="6F24E15E" w14:textId="77777777" w:rsidR="00CF6448" w:rsidRPr="00CF6448" w:rsidRDefault="00CF6448" w:rsidP="003614E2">
      <w:pPr>
        <w:pStyle w:val="ItadNormalText"/>
        <w:spacing w:before="100" w:after="100"/>
      </w:pPr>
      <w:r w:rsidRPr="00CF6448">
        <w:t>RAG</w:t>
      </w:r>
      <w:r w:rsidRPr="00CF6448">
        <w:tab/>
        <w:t xml:space="preserve">Red, Amber, Green </w:t>
      </w:r>
    </w:p>
    <w:p w14:paraId="74E6D632" w14:textId="77777777" w:rsidR="00CF6448" w:rsidRPr="00CF6448" w:rsidRDefault="00CF6448" w:rsidP="003614E2">
      <w:pPr>
        <w:pStyle w:val="ItadNormalText"/>
        <w:spacing w:before="100" w:after="100"/>
      </w:pPr>
      <w:r w:rsidRPr="00CF6448">
        <w:t>RC</w:t>
      </w:r>
      <w:r w:rsidRPr="00CF6448">
        <w:tab/>
        <w:t>Regional Coordinator</w:t>
      </w:r>
    </w:p>
    <w:p w14:paraId="56B43087" w14:textId="77777777" w:rsidR="00CF6448" w:rsidRPr="00CF6448" w:rsidRDefault="00CF6448" w:rsidP="003614E2">
      <w:pPr>
        <w:pStyle w:val="ItadNormalText"/>
        <w:spacing w:before="100" w:after="100"/>
      </w:pPr>
      <w:r w:rsidRPr="00CF6448">
        <w:t>RCDC</w:t>
      </w:r>
      <w:r w:rsidRPr="00CF6448">
        <w:tab/>
        <w:t>Royal Center for Disease Control</w:t>
      </w:r>
    </w:p>
    <w:p w14:paraId="59B68854" w14:textId="77777777" w:rsidR="00CF6448" w:rsidRPr="00CF6448" w:rsidRDefault="00CF6448" w:rsidP="003614E2">
      <w:pPr>
        <w:pStyle w:val="ItadNormalText"/>
        <w:spacing w:before="100" w:after="100"/>
      </w:pPr>
      <w:r w:rsidRPr="00CF6448">
        <w:t>RFP</w:t>
      </w:r>
      <w:r w:rsidRPr="00CF6448">
        <w:tab/>
        <w:t xml:space="preserve">Request for Proposal </w:t>
      </w:r>
    </w:p>
    <w:p w14:paraId="4A98DDD3" w14:textId="77777777" w:rsidR="00CF6448" w:rsidRPr="00CF6448" w:rsidRDefault="00CF6448" w:rsidP="003614E2">
      <w:pPr>
        <w:pStyle w:val="ItadNormalText"/>
        <w:spacing w:before="100" w:after="100"/>
      </w:pPr>
      <w:r w:rsidRPr="00CF6448">
        <w:t>RG</w:t>
      </w:r>
      <w:r w:rsidRPr="00CF6448">
        <w:tab/>
        <w:t xml:space="preserve">Regional Grant </w:t>
      </w:r>
    </w:p>
    <w:p w14:paraId="6582C34A" w14:textId="77777777" w:rsidR="00CF6448" w:rsidRPr="00CF6448" w:rsidRDefault="00CF6448" w:rsidP="003614E2">
      <w:pPr>
        <w:pStyle w:val="ItadNormalText"/>
        <w:spacing w:before="100" w:after="100"/>
      </w:pPr>
      <w:r w:rsidRPr="00CF6448">
        <w:t>RGOB</w:t>
      </w:r>
      <w:r w:rsidRPr="00CF6448">
        <w:tab/>
        <w:t>Royal Government of Bhutan</w:t>
      </w:r>
    </w:p>
    <w:p w14:paraId="648ACD57" w14:textId="77777777" w:rsidR="00CF6448" w:rsidRPr="00CF6448" w:rsidRDefault="00CF6448" w:rsidP="003614E2">
      <w:pPr>
        <w:pStyle w:val="ItadNormalText"/>
        <w:spacing w:before="100" w:after="100"/>
      </w:pPr>
      <w:r w:rsidRPr="00CF6448">
        <w:t>RT</w:t>
      </w:r>
      <w:r w:rsidRPr="00CF6448">
        <w:tab/>
        <w:t xml:space="preserve">Regional Teams </w:t>
      </w:r>
    </w:p>
    <w:p w14:paraId="341A294E" w14:textId="093DB737" w:rsidR="006D5E29" w:rsidRPr="00492F21" w:rsidRDefault="006D5E29" w:rsidP="003614E2">
      <w:pPr>
        <w:tabs>
          <w:tab w:val="left" w:pos="1418"/>
        </w:tabs>
        <w:spacing w:before="100" w:after="100"/>
        <w:rPr>
          <w:rFonts w:eastAsia="Calibri"/>
        </w:rPr>
      </w:pPr>
      <w:r>
        <w:rPr>
          <w:rFonts w:eastAsia="Calibri"/>
        </w:rPr>
        <w:t>SMT</w:t>
      </w:r>
      <w:r>
        <w:rPr>
          <w:rFonts w:eastAsia="Calibri"/>
        </w:rPr>
        <w:tab/>
      </w:r>
      <w:r w:rsidR="00D27A19" w:rsidRPr="00D27A19">
        <w:rPr>
          <w:rFonts w:eastAsia="Calibri"/>
        </w:rPr>
        <w:t>Senior Management Team</w:t>
      </w:r>
    </w:p>
    <w:p w14:paraId="3BF46C2E" w14:textId="77777777" w:rsidR="00CF6448" w:rsidRPr="00CF6448" w:rsidRDefault="00CF6448" w:rsidP="003614E2">
      <w:pPr>
        <w:pStyle w:val="ItadNormalText"/>
        <w:spacing w:before="100" w:after="100"/>
      </w:pPr>
      <w:r w:rsidRPr="00CF6448">
        <w:t>SOP</w:t>
      </w:r>
      <w:r w:rsidRPr="00CF6448">
        <w:tab/>
        <w:t xml:space="preserve">Standard Operating Procedure </w:t>
      </w:r>
    </w:p>
    <w:p w14:paraId="003C49FE" w14:textId="292F8BC8" w:rsidR="006D5E29" w:rsidRPr="00492F21" w:rsidRDefault="006D5E29" w:rsidP="003614E2">
      <w:pPr>
        <w:tabs>
          <w:tab w:val="left" w:pos="1418"/>
        </w:tabs>
        <w:spacing w:before="100" w:after="100"/>
        <w:rPr>
          <w:rFonts w:eastAsia="Calibri"/>
        </w:rPr>
      </w:pPr>
      <w:r>
        <w:rPr>
          <w:rFonts w:eastAsia="Calibri"/>
        </w:rPr>
        <w:t>STG</w:t>
      </w:r>
      <w:r>
        <w:rPr>
          <w:rFonts w:eastAsia="Calibri"/>
        </w:rPr>
        <w:tab/>
      </w:r>
      <w:r w:rsidR="002C4664">
        <w:rPr>
          <w:rFonts w:eastAsia="Calibri"/>
        </w:rPr>
        <w:t>S</w:t>
      </w:r>
      <w:r w:rsidR="002C4664" w:rsidRPr="002C4664">
        <w:rPr>
          <w:rFonts w:eastAsia="Calibri"/>
        </w:rPr>
        <w:t xml:space="preserve">tandard </w:t>
      </w:r>
      <w:r w:rsidR="002C4664">
        <w:rPr>
          <w:rFonts w:eastAsia="Calibri"/>
        </w:rPr>
        <w:t>T</w:t>
      </w:r>
      <w:r w:rsidR="002C4664" w:rsidRPr="002C4664">
        <w:rPr>
          <w:rFonts w:eastAsia="Calibri"/>
        </w:rPr>
        <w:t xml:space="preserve">reatment </w:t>
      </w:r>
      <w:r w:rsidR="002C4664">
        <w:rPr>
          <w:rFonts w:eastAsia="Calibri"/>
        </w:rPr>
        <w:t>G</w:t>
      </w:r>
      <w:r w:rsidR="002C4664" w:rsidRPr="002C4664">
        <w:rPr>
          <w:rFonts w:eastAsia="Calibri"/>
        </w:rPr>
        <w:t>uidelines</w:t>
      </w:r>
    </w:p>
    <w:p w14:paraId="2AE6F7EE" w14:textId="77777777" w:rsidR="00CF6448" w:rsidRPr="00CF6448" w:rsidRDefault="00CF6448" w:rsidP="003614E2">
      <w:pPr>
        <w:pStyle w:val="ItadNormalText"/>
        <w:spacing w:before="100" w:after="100"/>
      </w:pPr>
      <w:r w:rsidRPr="00CF6448">
        <w:t>TAG</w:t>
      </w:r>
      <w:r w:rsidRPr="00CF6448">
        <w:tab/>
        <w:t>Technical Advisory Group</w:t>
      </w:r>
    </w:p>
    <w:p w14:paraId="79C2296B" w14:textId="77777777" w:rsidR="00CF6448" w:rsidRPr="00CF6448" w:rsidRDefault="00CF6448" w:rsidP="003614E2">
      <w:pPr>
        <w:pStyle w:val="ItadNormalText"/>
        <w:spacing w:before="100" w:after="100"/>
      </w:pPr>
      <w:r w:rsidRPr="00CF6448">
        <w:t>ToC</w:t>
      </w:r>
      <w:r w:rsidRPr="00CF6448">
        <w:tab/>
        <w:t xml:space="preserve">Theory of Change </w:t>
      </w:r>
    </w:p>
    <w:p w14:paraId="28BBE469" w14:textId="77777777" w:rsidR="00CF6448" w:rsidRPr="00CF6448" w:rsidRDefault="00CF6448" w:rsidP="003614E2">
      <w:pPr>
        <w:pStyle w:val="ItadNormalText"/>
        <w:spacing w:before="100" w:after="100"/>
      </w:pPr>
      <w:r w:rsidRPr="00CF6448">
        <w:t>ToR</w:t>
      </w:r>
      <w:r w:rsidRPr="00CF6448">
        <w:tab/>
        <w:t xml:space="preserve">Terms of Reference </w:t>
      </w:r>
    </w:p>
    <w:p w14:paraId="4B365168" w14:textId="77777777" w:rsidR="00CF6448" w:rsidRPr="00CF6448" w:rsidRDefault="00CF6448" w:rsidP="003614E2">
      <w:pPr>
        <w:pStyle w:val="ItadNormalText"/>
        <w:spacing w:before="100" w:after="100"/>
      </w:pPr>
      <w:r w:rsidRPr="00CF6448">
        <w:t>TrACSS</w:t>
      </w:r>
      <w:r w:rsidRPr="00CF6448">
        <w:tab/>
        <w:t>Global Database for Tracking AMR Country Self-Assessment Survey</w:t>
      </w:r>
    </w:p>
    <w:p w14:paraId="7DDDE4A2" w14:textId="77777777" w:rsidR="00CF6448" w:rsidRPr="00CF6448" w:rsidRDefault="00CF6448" w:rsidP="003614E2">
      <w:pPr>
        <w:pStyle w:val="ItadNormalText"/>
        <w:spacing w:before="100" w:after="100"/>
      </w:pPr>
      <w:r w:rsidRPr="00CF6448">
        <w:t>TWG</w:t>
      </w:r>
      <w:r w:rsidRPr="00CF6448">
        <w:tab/>
        <w:t xml:space="preserve">Technical Working Group </w:t>
      </w:r>
    </w:p>
    <w:p w14:paraId="44992399" w14:textId="77777777" w:rsidR="00CF6448" w:rsidRPr="00CF6448" w:rsidRDefault="00CF6448" w:rsidP="003614E2">
      <w:pPr>
        <w:pStyle w:val="ItadNormalText"/>
        <w:spacing w:before="100" w:after="100"/>
      </w:pPr>
      <w:r w:rsidRPr="00CF6448">
        <w:t>UN</w:t>
      </w:r>
      <w:r w:rsidRPr="00CF6448">
        <w:tab/>
        <w:t>United Nations</w:t>
      </w:r>
    </w:p>
    <w:p w14:paraId="41F76B17" w14:textId="77777777" w:rsidR="00CF6448" w:rsidRPr="00CF6448" w:rsidRDefault="00CF6448" w:rsidP="003614E2">
      <w:pPr>
        <w:pStyle w:val="ItadNormalText"/>
        <w:spacing w:before="100" w:after="100"/>
      </w:pPr>
      <w:r w:rsidRPr="00CF6448">
        <w:t>UNOPS</w:t>
      </w:r>
      <w:r w:rsidRPr="00CF6448">
        <w:tab/>
        <w:t>United Nations Office for Project Services</w:t>
      </w:r>
    </w:p>
    <w:p w14:paraId="4BD42846" w14:textId="77777777" w:rsidR="00CF6448" w:rsidRPr="00CF6448" w:rsidRDefault="00CF6448" w:rsidP="003614E2">
      <w:pPr>
        <w:pStyle w:val="ItadNormalText"/>
        <w:spacing w:before="100" w:after="100"/>
      </w:pPr>
      <w:r w:rsidRPr="00CF6448">
        <w:t>USAID</w:t>
      </w:r>
      <w:r w:rsidRPr="00CF6448">
        <w:tab/>
        <w:t xml:space="preserve">United States Agency for International Development </w:t>
      </w:r>
    </w:p>
    <w:p w14:paraId="2519D3E2" w14:textId="77777777" w:rsidR="00CF6448" w:rsidRDefault="00CF6448" w:rsidP="003614E2">
      <w:pPr>
        <w:pStyle w:val="ItadNormalText"/>
        <w:spacing w:before="100" w:after="100"/>
      </w:pPr>
      <w:r w:rsidRPr="00CF6448">
        <w:t>VfM</w:t>
      </w:r>
      <w:r w:rsidRPr="00CF6448">
        <w:tab/>
        <w:t xml:space="preserve">Value for Money </w:t>
      </w:r>
    </w:p>
    <w:p w14:paraId="6E832D5B" w14:textId="52755CB8" w:rsidR="00E12B8E" w:rsidRPr="00CF6448" w:rsidRDefault="00E12B8E" w:rsidP="003614E2">
      <w:pPr>
        <w:pStyle w:val="ItadNormalText"/>
        <w:spacing w:before="100" w:after="100"/>
      </w:pPr>
      <w:r>
        <w:t>WGS</w:t>
      </w:r>
      <w:r>
        <w:tab/>
        <w:t>Whole Genome Sequencing</w:t>
      </w:r>
    </w:p>
    <w:p w14:paraId="6AE23F65" w14:textId="77777777" w:rsidR="00CF6448" w:rsidRPr="00CF6448" w:rsidRDefault="00CF6448" w:rsidP="003614E2">
      <w:pPr>
        <w:pStyle w:val="ItadNormalText"/>
        <w:spacing w:before="100" w:after="100"/>
      </w:pPr>
      <w:r w:rsidRPr="00CF6448">
        <w:t>WHO</w:t>
      </w:r>
      <w:r w:rsidRPr="00CF6448">
        <w:tab/>
        <w:t xml:space="preserve">World Health Organization </w:t>
      </w:r>
    </w:p>
    <w:p w14:paraId="424E79A4" w14:textId="2E067352" w:rsidR="00783D49" w:rsidRDefault="00CF6448" w:rsidP="003614E2">
      <w:pPr>
        <w:pStyle w:val="ItadNormalText"/>
        <w:spacing w:before="100" w:after="100"/>
      </w:pPr>
      <w:r w:rsidRPr="00CF6448">
        <w:t>WOAH</w:t>
      </w:r>
      <w:r w:rsidRPr="00CF6448">
        <w:tab/>
        <w:t>World Organisation for Animal Health</w:t>
      </w:r>
    </w:p>
    <w:p w14:paraId="4ACA2092" w14:textId="3D279706" w:rsidR="00783D49" w:rsidRPr="001957A5" w:rsidRDefault="00783D49" w:rsidP="003614E2">
      <w:pPr>
        <w:pStyle w:val="ItadNormalText"/>
        <w:spacing w:before="100" w:after="100"/>
      </w:pPr>
      <w:r w:rsidRPr="00783D49">
        <w:t>ZNPHI</w:t>
      </w:r>
      <w:r w:rsidRPr="00783D49">
        <w:tab/>
        <w:t>Zambia National Public Health Institute</w:t>
      </w:r>
    </w:p>
    <w:bookmarkEnd w:id="12"/>
    <w:p w14:paraId="26817E74" w14:textId="77777777" w:rsidR="000E5680" w:rsidRDefault="000E5680" w:rsidP="003B290A">
      <w:pPr>
        <w:pStyle w:val="ItadNormalText"/>
      </w:pPr>
    </w:p>
    <w:p w14:paraId="50DCE129" w14:textId="77777777" w:rsidR="0021001A" w:rsidRDefault="0021001A" w:rsidP="00215994">
      <w:pPr>
        <w:pStyle w:val="ItadNormalText"/>
        <w:sectPr w:rsidR="0021001A" w:rsidSect="00372520">
          <w:headerReference w:type="default" r:id="rId23"/>
          <w:pgSz w:w="11900" w:h="16840" w:code="9"/>
          <w:pgMar w:top="1134" w:right="1191" w:bottom="1134" w:left="1191" w:header="720" w:footer="680" w:gutter="0"/>
          <w:pgNumType w:fmt="lowerRoman"/>
          <w:cols w:space="720"/>
          <w:docGrid w:linePitch="360"/>
        </w:sectPr>
      </w:pPr>
    </w:p>
    <w:p w14:paraId="5981261F" w14:textId="2C76CC41" w:rsidR="00CC4914" w:rsidRPr="00CC4914" w:rsidRDefault="00CC4914" w:rsidP="00CC4914">
      <w:pPr>
        <w:pStyle w:val="ItadH1"/>
        <w:rPr>
          <w:lang w:eastAsia="en-GB"/>
        </w:rPr>
      </w:pPr>
      <w:bookmarkStart w:id="13" w:name="_Toc504479256"/>
      <w:bookmarkStart w:id="14" w:name="_Toc118968493"/>
      <w:bookmarkStart w:id="15" w:name="_Toc142383133"/>
      <w:r w:rsidRPr="00CC4914">
        <w:rPr>
          <w:lang w:eastAsia="en-GB"/>
        </w:rPr>
        <w:t>Introduction</w:t>
      </w:r>
      <w:bookmarkEnd w:id="13"/>
      <w:bookmarkEnd w:id="14"/>
      <w:bookmarkEnd w:id="15"/>
      <w:r w:rsidR="00AB52E3">
        <w:rPr>
          <w:lang w:eastAsia="en-GB"/>
        </w:rPr>
        <w:t xml:space="preserve"> </w:t>
      </w:r>
    </w:p>
    <w:p w14:paraId="4AA0630E" w14:textId="2527B3F6" w:rsidR="00CC4914" w:rsidRPr="00CC4914" w:rsidRDefault="00CC4914" w:rsidP="00C9594E">
      <w:pPr>
        <w:pStyle w:val="FFNormal"/>
        <w:rPr>
          <w:b/>
        </w:rPr>
      </w:pPr>
      <w:r w:rsidRPr="00CC4914">
        <w:t xml:space="preserve">This document forms part of </w:t>
      </w:r>
      <w:r w:rsidRPr="00B04B19">
        <w:t>the Summative Report of the Evaluation of The Fleming Fund Grants Programme</w:t>
      </w:r>
      <w:r w:rsidR="00B04B19" w:rsidRPr="00B04B19">
        <w:t>.</w:t>
      </w:r>
      <w:bookmarkStart w:id="16" w:name="_Hlk500216981"/>
      <w:r w:rsidR="007458AC">
        <w:rPr>
          <w:b/>
        </w:rPr>
        <w:t xml:space="preserve"> </w:t>
      </w:r>
      <w:r w:rsidRPr="00CC4914">
        <w:t xml:space="preserve">We have split the report into </w:t>
      </w:r>
      <w:r w:rsidR="00B04B19">
        <w:t xml:space="preserve">two </w:t>
      </w:r>
      <w:r w:rsidRPr="00CC4914">
        <w:t xml:space="preserve">distinct sections to aid readability: </w:t>
      </w:r>
    </w:p>
    <w:p w14:paraId="0604EA3B" w14:textId="2CCCF5D2" w:rsidR="00CC4914" w:rsidRPr="00CC4914" w:rsidRDefault="00F64E14" w:rsidP="00C9594E">
      <w:pPr>
        <w:pStyle w:val="FFNormal"/>
        <w:ind w:left="720"/>
      </w:pPr>
      <w:r>
        <w:t>Volume I</w:t>
      </w:r>
      <w:r w:rsidR="00CC4914" w:rsidRPr="00CC4914">
        <w:t xml:space="preserve">: </w:t>
      </w:r>
      <w:r w:rsidR="00CC4914" w:rsidRPr="00CC4914">
        <w:tab/>
        <w:t xml:space="preserve">The main report is deliberately kept short and focuses on </w:t>
      </w:r>
      <w:r w:rsidR="00B04B19">
        <w:t xml:space="preserve">the evaluation findings and recommendations. </w:t>
      </w:r>
    </w:p>
    <w:p w14:paraId="428F360A" w14:textId="4B2717DB" w:rsidR="00CC4914" w:rsidRPr="00C9594E" w:rsidRDefault="002240BD" w:rsidP="00C9594E">
      <w:pPr>
        <w:pStyle w:val="FFNormal"/>
        <w:ind w:left="720"/>
      </w:pPr>
      <w:r>
        <w:t>Volume II</w:t>
      </w:r>
      <w:r w:rsidR="00CC4914" w:rsidRPr="00CC4914">
        <w:t xml:space="preserve">: </w:t>
      </w:r>
      <w:r w:rsidR="00CC4914" w:rsidRPr="00CC4914">
        <w:tab/>
      </w:r>
      <w:bookmarkEnd w:id="16"/>
      <w:r w:rsidR="001778BD">
        <w:t xml:space="preserve">The Annexes included in </w:t>
      </w:r>
      <w:r w:rsidR="00F64E14">
        <w:t>Volume</w:t>
      </w:r>
      <w:r>
        <w:t xml:space="preserve"> II</w:t>
      </w:r>
      <w:r w:rsidR="001778BD">
        <w:t xml:space="preserve"> p</w:t>
      </w:r>
      <w:r w:rsidR="007F1A87">
        <w:t>rovide further detail on how the evaluation was conducted.</w:t>
      </w:r>
    </w:p>
    <w:p w14:paraId="7863364C" w14:textId="2540BEA0" w:rsidR="00CC4914" w:rsidRDefault="00CC4914" w:rsidP="00C9594E">
      <w:pPr>
        <w:pStyle w:val="FFNormal"/>
      </w:pPr>
      <w:r w:rsidRPr="00CC4914">
        <w:rPr>
          <w:rFonts w:eastAsia="Times New Roman"/>
          <w:lang w:eastAsia="en-GB"/>
        </w:rPr>
        <w:t>The following text (</w:t>
      </w:r>
      <w:r w:rsidR="00F64E14">
        <w:rPr>
          <w:rFonts w:eastAsia="Times New Roman"/>
          <w:lang w:eastAsia="en-GB"/>
        </w:rPr>
        <w:t>Volume</w:t>
      </w:r>
      <w:r w:rsidR="002240BD">
        <w:rPr>
          <w:rFonts w:eastAsia="Times New Roman"/>
          <w:lang w:eastAsia="en-GB"/>
        </w:rPr>
        <w:t xml:space="preserve"> II</w:t>
      </w:r>
      <w:r w:rsidRPr="00CC4914">
        <w:rPr>
          <w:rFonts w:eastAsia="Times New Roman"/>
          <w:lang w:eastAsia="en-GB"/>
        </w:rPr>
        <w:t xml:space="preserve">) provides </w:t>
      </w:r>
      <w:r w:rsidR="007F1A87">
        <w:rPr>
          <w:rFonts w:eastAsia="Times New Roman"/>
          <w:b/>
          <w:bCs/>
          <w:lang w:eastAsia="en-GB"/>
        </w:rPr>
        <w:t xml:space="preserve">the detail on how the evaluation was conducted and should be read in conjunction with </w:t>
      </w:r>
      <w:r w:rsidR="00F64E14">
        <w:rPr>
          <w:rFonts w:eastAsia="Times New Roman"/>
          <w:b/>
          <w:bCs/>
          <w:lang w:eastAsia="en-GB"/>
        </w:rPr>
        <w:t>Volume I</w:t>
      </w:r>
      <w:r w:rsidR="007F1A87">
        <w:rPr>
          <w:rFonts w:eastAsia="Times New Roman"/>
          <w:b/>
          <w:bCs/>
          <w:lang w:eastAsia="en-GB"/>
        </w:rPr>
        <w:t xml:space="preserve">. </w:t>
      </w:r>
    </w:p>
    <w:p w14:paraId="1D1381A0" w14:textId="77777777" w:rsidR="00CC4914" w:rsidRDefault="00CC4914" w:rsidP="00A93C53"/>
    <w:p w14:paraId="6771F0E9" w14:textId="77777777" w:rsidR="00CC4914" w:rsidRDefault="00CC4914" w:rsidP="00A93C53"/>
    <w:p w14:paraId="7C5EC660" w14:textId="77777777" w:rsidR="00CC4914" w:rsidRDefault="00CC4914" w:rsidP="00A93C53"/>
    <w:p w14:paraId="304282B6" w14:textId="77777777" w:rsidR="00CC4914" w:rsidRDefault="00CC4914" w:rsidP="00A93C53"/>
    <w:p w14:paraId="6A48D566" w14:textId="77777777" w:rsidR="00CC4914" w:rsidRDefault="00CC4914" w:rsidP="00A93C53"/>
    <w:p w14:paraId="458A895E" w14:textId="77777777" w:rsidR="00CC4914" w:rsidRDefault="00CC4914" w:rsidP="00A93C53"/>
    <w:p w14:paraId="089FDF45" w14:textId="77777777" w:rsidR="00CC4914" w:rsidRDefault="00CC4914" w:rsidP="00A93C53"/>
    <w:p w14:paraId="0DEB8ABD" w14:textId="77777777" w:rsidR="00CC4914" w:rsidRDefault="00CC4914" w:rsidP="00A93C53"/>
    <w:p w14:paraId="58C5975A" w14:textId="77777777" w:rsidR="00CC4914" w:rsidRDefault="00CC4914" w:rsidP="00A93C53"/>
    <w:p w14:paraId="19D2DDE9" w14:textId="77777777" w:rsidR="00CC4914" w:rsidRDefault="00CC4914" w:rsidP="00A93C53"/>
    <w:p w14:paraId="62F4E8A8" w14:textId="77777777" w:rsidR="00CC4914" w:rsidRDefault="00CC4914" w:rsidP="00A93C53"/>
    <w:p w14:paraId="39C1ACAA" w14:textId="77777777" w:rsidR="00CC4914" w:rsidRDefault="00CC4914" w:rsidP="00A93C53"/>
    <w:p w14:paraId="4E041992" w14:textId="77777777" w:rsidR="00CC4914" w:rsidRDefault="00CC4914" w:rsidP="00A93C53"/>
    <w:p w14:paraId="0B0993F3" w14:textId="77777777" w:rsidR="00CC4914" w:rsidRDefault="00CC4914" w:rsidP="00A93C53"/>
    <w:p w14:paraId="32740E18" w14:textId="77777777" w:rsidR="00CC4914" w:rsidRDefault="00CC4914" w:rsidP="00A93C53"/>
    <w:p w14:paraId="1AB11356" w14:textId="77777777" w:rsidR="00CC4914" w:rsidRDefault="00CC4914" w:rsidP="00A93C53"/>
    <w:p w14:paraId="1E7BB9DC" w14:textId="77777777" w:rsidR="00CC4914" w:rsidRDefault="00CC4914" w:rsidP="00A93C53"/>
    <w:p w14:paraId="139A0F04" w14:textId="77777777" w:rsidR="00CC4914" w:rsidRDefault="00CC4914" w:rsidP="00A93C53"/>
    <w:p w14:paraId="0DA7F273" w14:textId="77777777" w:rsidR="007F1A87" w:rsidRDefault="007F1A87" w:rsidP="00A93C53"/>
    <w:p w14:paraId="2E897B29" w14:textId="77777777" w:rsidR="007F1A87" w:rsidRDefault="007F1A87" w:rsidP="00A93C53"/>
    <w:p w14:paraId="5C29EB26" w14:textId="77777777" w:rsidR="00CC4914" w:rsidRDefault="00CC4914" w:rsidP="00A93C53"/>
    <w:p w14:paraId="270EF19D" w14:textId="77777777" w:rsidR="00A93C53" w:rsidRDefault="00A93C53">
      <w:pPr>
        <w:rPr>
          <w:b/>
          <w:bCs/>
          <w:color w:val="588B46" w:themeColor="text2"/>
          <w:sz w:val="32"/>
          <w:szCs w:val="32"/>
        </w:rPr>
      </w:pPr>
      <w:r>
        <w:br w:type="page"/>
      </w:r>
    </w:p>
    <w:p w14:paraId="0F88A0E2" w14:textId="1B8D6B17" w:rsidR="0028600E" w:rsidRPr="007D191E" w:rsidRDefault="6A7BF3BC" w:rsidP="007D191E">
      <w:pPr>
        <w:pStyle w:val="ItadH1"/>
      </w:pPr>
      <w:bookmarkStart w:id="17" w:name="_Toc118968494"/>
      <w:bookmarkStart w:id="18" w:name="_Toc142383134"/>
      <w:r w:rsidRPr="007D191E">
        <w:t>Annex 1:</w:t>
      </w:r>
      <w:r w:rsidR="007458AC">
        <w:t xml:space="preserve"> </w:t>
      </w:r>
      <w:r w:rsidRPr="007D191E">
        <w:t xml:space="preserve">Terms of </w:t>
      </w:r>
      <w:r w:rsidR="00764EB0">
        <w:t>r</w:t>
      </w:r>
      <w:r w:rsidRPr="007D191E">
        <w:t>eference</w:t>
      </w:r>
      <w:bookmarkEnd w:id="17"/>
      <w:bookmarkEnd w:id="18"/>
    </w:p>
    <w:p w14:paraId="694CE1D2" w14:textId="6C1AE7B7" w:rsidR="0028600E" w:rsidRPr="00CF0CAE" w:rsidRDefault="6A7BF3BC" w:rsidP="6A7BF3BC">
      <w:pPr>
        <w:spacing w:after="200" w:line="276" w:lineRule="auto"/>
        <w:jc w:val="both"/>
        <w:rPr>
          <w:rFonts w:eastAsia="Calibri" w:cs="Calibri"/>
          <w:color w:val="000000"/>
          <w:lang w:val="en-US"/>
        </w:rPr>
      </w:pPr>
      <w:r w:rsidRPr="6A7BF3BC">
        <w:rPr>
          <w:rFonts w:eastAsia="Calibri" w:cs="Calibri"/>
          <w:b/>
          <w:bCs/>
          <w:color w:val="000000"/>
        </w:rPr>
        <w:t>Executive Summary</w:t>
      </w:r>
    </w:p>
    <w:p w14:paraId="29C64BA3" w14:textId="33547C75" w:rsidR="0028600E" w:rsidRPr="00CF0CAE" w:rsidRDefault="6A7BF3BC" w:rsidP="6A7BF3BC">
      <w:pPr>
        <w:pStyle w:val="StyleHeading2"/>
        <w:jc w:val="both"/>
        <w:rPr>
          <w:rFonts w:ascii="Calibri" w:eastAsia="Calibri" w:hAnsi="Calibri" w:cs="Calibri"/>
          <w:color w:val="000000"/>
          <w:sz w:val="22"/>
          <w:szCs w:val="22"/>
          <w:lang w:val="en-US"/>
        </w:rPr>
      </w:pPr>
      <w:r w:rsidRPr="6A7BF3BC">
        <w:rPr>
          <w:rFonts w:ascii="Calibri" w:eastAsia="Calibri" w:hAnsi="Calibri" w:cs="Calibri"/>
          <w:color w:val="000000"/>
          <w:sz w:val="22"/>
          <w:szCs w:val="22"/>
        </w:rPr>
        <w:t>This section provides information on the Fleming Fund, and the independent Evaluation Supplier role (the latter being the subject of this requirement).</w:t>
      </w:r>
    </w:p>
    <w:p w14:paraId="69F8BB24" w14:textId="4CAFAAD4" w:rsidR="0028600E" w:rsidRPr="00CF0CAE" w:rsidRDefault="0028600E" w:rsidP="6A7BF3BC">
      <w:pPr>
        <w:jc w:val="both"/>
        <w:rPr>
          <w:rFonts w:eastAsia="Calibri" w:cs="Calibri"/>
          <w:color w:val="000000"/>
          <w:lang w:val="en-US"/>
        </w:rPr>
      </w:pPr>
    </w:p>
    <w:p w14:paraId="52FB9A8D" w14:textId="0578A5E6" w:rsidR="0028600E" w:rsidRPr="006F018C" w:rsidRDefault="6A7BF3BC" w:rsidP="6A7BF3BC">
      <w:pPr>
        <w:spacing w:after="200" w:line="276" w:lineRule="auto"/>
        <w:jc w:val="both"/>
        <w:rPr>
          <w:rFonts w:eastAsia="Calibri" w:cs="Calibri"/>
          <w:color w:val="000000"/>
          <w:lang w:val="it-IT"/>
        </w:rPr>
      </w:pPr>
      <w:r w:rsidRPr="6A7BF3BC">
        <w:rPr>
          <w:rFonts w:eastAsia="Calibri" w:cs="Calibri"/>
          <w:b/>
          <w:bCs/>
          <w:color w:val="000000"/>
        </w:rPr>
        <w:t xml:space="preserve">1. Introduction </w:t>
      </w:r>
    </w:p>
    <w:p w14:paraId="59A5EF0F" w14:textId="1215A065"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The Department of Health (</w:t>
      </w:r>
      <w:r w:rsidR="004B603A">
        <w:rPr>
          <w:rFonts w:eastAsia="Calibri" w:cs="Calibri"/>
          <w:color w:val="000000"/>
        </w:rPr>
        <w:t>DHSC</w:t>
      </w:r>
      <w:r w:rsidRPr="6A7BF3BC">
        <w:rPr>
          <w:rFonts w:eastAsia="Calibri" w:cs="Calibri"/>
          <w:color w:val="000000"/>
        </w:rPr>
        <w:t xml:space="preserve">) has launched the Fleming Fund, a £265 million One Health programme to support low and middle income countries (LMICs) in tackling antimicrobial resistance (AMR). </w:t>
      </w:r>
    </w:p>
    <w:p w14:paraId="696F6752" w14:textId="20595DEF"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To help deliver the Fleming Fund, </w:t>
      </w:r>
      <w:r w:rsidR="004B603A">
        <w:rPr>
          <w:rFonts w:eastAsia="Calibri" w:cs="Calibri"/>
          <w:color w:val="000000"/>
        </w:rPr>
        <w:t>DHSC</w:t>
      </w:r>
      <w:r w:rsidRPr="6A7BF3BC">
        <w:rPr>
          <w:rFonts w:eastAsia="Calibri" w:cs="Calibri"/>
          <w:color w:val="000000"/>
        </w:rPr>
        <w:t xml:space="preserve"> is intending to contract a supplier to deliver an independent evaluation of the Fleming Fund country and regional level projects. </w:t>
      </w:r>
    </w:p>
    <w:p w14:paraId="5A4DB2FC" w14:textId="5D5F2182"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The Evaluation Supplier will evaluate how far the outputs of the portfolio of country and regional grants will contribute to the outcomes and impact</w:t>
      </w:r>
      <w:r w:rsidRPr="6A7BF3BC">
        <w:rPr>
          <w:rFonts w:eastAsia="Calibri" w:cs="Calibri"/>
          <w:i/>
          <w:iCs/>
          <w:color w:val="000000"/>
        </w:rPr>
        <w:t xml:space="preserve"> </w:t>
      </w:r>
      <w:r w:rsidRPr="6A7BF3BC">
        <w:rPr>
          <w:rFonts w:eastAsia="Calibri" w:cs="Calibri"/>
          <w:color w:val="000000"/>
        </w:rPr>
        <w:t>defined within the agreed Fleming Fund Theory of Change (see Annex B). It is understood that this analysis would be indicative, due to the amount of external variables which could affect the desired Fleming Fund impact as stated.</w:t>
      </w:r>
    </w:p>
    <w:p w14:paraId="2EB45310" w14:textId="0428C88F"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The formative aspect of the evaluation (see section 5.10 for detailed information) will indicatively answer the evaluation questions agreed during the inception phase, and produce recommendations to guide the portfolio of country and regional grants in how their outputs can best achieve and contribute to the outcomes and impact of the Fleming Fund. The formative report will be a key opportunity for any course correction suggestions.</w:t>
      </w:r>
    </w:p>
    <w:p w14:paraId="3A1FA709" w14:textId="518B8537"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The have contributed, or will contribute, to the</w:t>
      </w:r>
      <w:r w:rsidRPr="6A7BF3BC">
        <w:rPr>
          <w:rFonts w:eastAsia="Calibri" w:cs="Calibri"/>
          <w:i/>
          <w:iCs/>
          <w:color w:val="000000"/>
        </w:rPr>
        <w:t xml:space="preserve"> </w:t>
      </w:r>
      <w:r w:rsidRPr="6A7BF3BC">
        <w:rPr>
          <w:rFonts w:eastAsia="Calibri" w:cs="Calibri"/>
          <w:color w:val="000000"/>
        </w:rPr>
        <w:t xml:space="preserve">outcomes and impact of the overarching Fleming </w:t>
      </w:r>
      <w:r w:rsidR="00EE17B7" w:rsidRPr="6A7BF3BC">
        <w:rPr>
          <w:rFonts w:eastAsia="Calibri" w:cs="Calibri"/>
          <w:color w:val="000000"/>
        </w:rPr>
        <w:t xml:space="preserve">summative aspect of the evaluation (see section 5.10 for detailed information) will answer the evaluation questions agreed during the inception phase and evaluate how far the outputs of the portfolio of country and regional grants </w:t>
      </w:r>
      <w:r w:rsidRPr="6A7BF3BC">
        <w:rPr>
          <w:rFonts w:eastAsia="Calibri" w:cs="Calibri"/>
          <w:color w:val="000000"/>
        </w:rPr>
        <w:t>Fund.</w:t>
      </w:r>
    </w:p>
    <w:p w14:paraId="4F6240E1" w14:textId="6C8D2097"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This document outlines the shape of the Fleming Fund Programme, initial work already underway and the specification for an Evaluation Supplier. </w:t>
      </w:r>
    </w:p>
    <w:p w14:paraId="00037B8D" w14:textId="5C26DFDB"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AMR is a global problem that needs concerted action at both national and global levels using a One Health approach that spans work across the human, veterinary, environment and development sectors. The UK is at the forefront of action to address the threat of AMR. </w:t>
      </w:r>
    </w:p>
    <w:p w14:paraId="0E8D8934" w14:textId="3CD83D9D"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Drug-resistant infections could kill an extra 10 million people across the world every year by 2050 if they are not tackled. By this date they could also cost the world around $100 trillion in lost output: more than the size of the current world economy</w:t>
      </w:r>
      <w:r w:rsidRPr="6A7BF3BC">
        <w:rPr>
          <w:rFonts w:eastAsia="Calibri" w:cs="Calibri"/>
          <w:color w:val="000000"/>
          <w:vertAlign w:val="superscript"/>
        </w:rPr>
        <w:t>1</w:t>
      </w:r>
      <w:r w:rsidRPr="6A7BF3BC">
        <w:rPr>
          <w:rFonts w:eastAsia="Calibri" w:cs="Calibri"/>
          <w:color w:val="000000"/>
        </w:rPr>
        <w:t xml:space="preserve">. See Annex A for detailed background information on the challenge of AMR in LMICs. </w:t>
      </w:r>
    </w:p>
    <w:p w14:paraId="42C9144B" w14:textId="2DADDD15"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Ongoing systematic collection, analysis, and interpretation of health data is essential to the planning, implementation and evaluation of public health practice, closely integrated with the dissemination of these data to those who need to know and linked to prevention and control.</w:t>
      </w:r>
      <w:r w:rsidRPr="6A7BF3BC">
        <w:rPr>
          <w:rFonts w:eastAsia="Calibri" w:cs="Calibri"/>
          <w:color w:val="000000"/>
          <w:vertAlign w:val="superscript"/>
        </w:rPr>
        <w:t>2</w:t>
      </w:r>
    </w:p>
    <w:p w14:paraId="24427B34" w14:textId="78BC0100" w:rsidR="0028600E" w:rsidRPr="00CF0CAE" w:rsidRDefault="6A7BF3BC" w:rsidP="00C6374D">
      <w:pPr>
        <w:pStyle w:val="ListParagraph"/>
        <w:numPr>
          <w:ilvl w:val="1"/>
          <w:numId w:val="34"/>
        </w:numPr>
        <w:spacing w:before="120" w:after="120"/>
        <w:ind w:left="284" w:hanging="568"/>
        <w:jc w:val="both"/>
        <w:rPr>
          <w:rFonts w:eastAsia="Calibri" w:cs="Calibri"/>
          <w:color w:val="000000"/>
          <w:lang w:val="en-US"/>
        </w:rPr>
      </w:pPr>
      <w:r w:rsidRPr="6A7BF3BC">
        <w:rPr>
          <w:rFonts w:eastAsia="Calibri" w:cs="Calibri"/>
          <w:color w:val="000000"/>
        </w:rPr>
        <w:t xml:space="preserve">Both the Prime Minister and Chief Medical Officer are clear that tackling AMR at home and abroad is a key priority and that the UK will help lead a global response. </w:t>
      </w:r>
    </w:p>
    <w:p w14:paraId="4E75B856" w14:textId="3E0865B8" w:rsidR="0028600E" w:rsidRPr="00CF0CAE" w:rsidRDefault="6A7BF3BC" w:rsidP="00C6374D">
      <w:pPr>
        <w:pStyle w:val="ListParagraph"/>
        <w:numPr>
          <w:ilvl w:val="1"/>
          <w:numId w:val="34"/>
        </w:numPr>
        <w:spacing w:before="120" w:after="120"/>
        <w:ind w:left="284" w:hanging="568"/>
        <w:jc w:val="both"/>
        <w:rPr>
          <w:rFonts w:eastAsia="Calibri" w:cs="Calibri"/>
          <w:color w:val="000000"/>
          <w:lang w:val="en-US"/>
        </w:rPr>
      </w:pPr>
      <w:r w:rsidRPr="6A7BF3BC">
        <w:rPr>
          <w:rFonts w:eastAsia="Calibri" w:cs="Calibri"/>
          <w:color w:val="000000"/>
        </w:rPr>
        <w:t xml:space="preserve">The Fleming Fund will aim to improve laboratory capacity and diagnosis as well as data and surveillance of AMR in LMICs. </w:t>
      </w:r>
    </w:p>
    <w:p w14:paraId="572F3AE5" w14:textId="45937514" w:rsidR="0028600E" w:rsidRPr="00093F07" w:rsidRDefault="6A7BF3BC" w:rsidP="00C6374D">
      <w:pPr>
        <w:pStyle w:val="ListParagraph"/>
        <w:numPr>
          <w:ilvl w:val="1"/>
          <w:numId w:val="34"/>
        </w:numPr>
        <w:spacing w:before="120" w:after="120"/>
        <w:ind w:left="284" w:hanging="568"/>
        <w:jc w:val="both"/>
        <w:rPr>
          <w:rFonts w:eastAsia="Calibri" w:cs="Calibri"/>
          <w:color w:val="000000"/>
          <w:lang w:val="en-US"/>
        </w:rPr>
      </w:pPr>
      <w:r w:rsidRPr="6A7BF3BC">
        <w:rPr>
          <w:rFonts w:eastAsia="Calibri" w:cs="Calibri"/>
          <w:color w:val="000000"/>
        </w:rPr>
        <w:t>The Fleming Fund itself is funded through Official Development Assistance (ODA).</w:t>
      </w:r>
      <w:r w:rsidRPr="6A7BF3BC">
        <w:rPr>
          <w:rFonts w:eastAsia="Calibri" w:cs="Calibri"/>
          <w:color w:val="000000"/>
          <w:vertAlign w:val="superscript"/>
        </w:rPr>
        <w:t>3</w:t>
      </w:r>
      <w:r w:rsidRPr="6A7BF3BC">
        <w:rPr>
          <w:rFonts w:eastAsia="Calibri" w:cs="Calibri"/>
          <w:color w:val="000000"/>
        </w:rPr>
        <w:t xml:space="preserve"> Evaluating the impact and lessons of aid programmes is a crucial part of ODA funded work. A high quality evaluation helps ensure funding is being spent effectively to meet the aim of the Fund. </w:t>
      </w:r>
    </w:p>
    <w:p w14:paraId="6194DD81" w14:textId="77777777" w:rsidR="00093F07" w:rsidRPr="00CF0CAE" w:rsidRDefault="00093F07" w:rsidP="00093F07">
      <w:pPr>
        <w:pStyle w:val="ListParagraph"/>
        <w:spacing w:before="120" w:after="120"/>
        <w:ind w:left="284"/>
        <w:jc w:val="both"/>
        <w:rPr>
          <w:rFonts w:eastAsia="Calibri" w:cs="Calibri"/>
          <w:color w:val="000000"/>
          <w:lang w:val="en-US"/>
        </w:rPr>
      </w:pPr>
    </w:p>
    <w:p w14:paraId="2C2AC5F2" w14:textId="2E8E5E8F" w:rsidR="0028600E" w:rsidRPr="006F018C" w:rsidRDefault="6A7BF3BC" w:rsidP="00C6374D">
      <w:pPr>
        <w:pStyle w:val="ListParagraph"/>
        <w:numPr>
          <w:ilvl w:val="0"/>
          <w:numId w:val="34"/>
        </w:numPr>
        <w:spacing w:before="120" w:after="240" w:line="360" w:lineRule="exact"/>
        <w:ind w:left="284" w:hanging="284"/>
        <w:jc w:val="both"/>
        <w:rPr>
          <w:rFonts w:eastAsia="Calibri" w:cs="Calibri"/>
          <w:color w:val="000000"/>
          <w:lang w:val="it-IT"/>
        </w:rPr>
      </w:pPr>
      <w:r w:rsidRPr="6A7BF3BC">
        <w:rPr>
          <w:rFonts w:eastAsia="Calibri" w:cs="Calibri"/>
          <w:b/>
          <w:bCs/>
          <w:color w:val="000000"/>
          <w:u w:val="single"/>
        </w:rPr>
        <w:t>Programme Description and Features</w:t>
      </w:r>
    </w:p>
    <w:p w14:paraId="194C6DBC" w14:textId="4ADE05E0" w:rsidR="0028600E" w:rsidRPr="006F018C" w:rsidRDefault="6A7BF3BC" w:rsidP="6A7BF3BC">
      <w:pPr>
        <w:spacing w:before="120" w:after="360" w:line="540" w:lineRule="exact"/>
        <w:ind w:left="284"/>
        <w:jc w:val="both"/>
        <w:rPr>
          <w:rFonts w:eastAsia="Calibri" w:cs="Calibri"/>
          <w:color w:val="000000"/>
          <w:lang w:val="it-IT"/>
        </w:rPr>
      </w:pPr>
      <w:r w:rsidRPr="6A7BF3BC">
        <w:rPr>
          <w:rFonts w:eastAsia="Calibri" w:cs="Calibri"/>
          <w:b/>
          <w:bCs/>
          <w:color w:val="000000"/>
        </w:rPr>
        <w:t>Programme aims, activities and approach</w:t>
      </w:r>
    </w:p>
    <w:p w14:paraId="2065B646" w14:textId="46AA7A37" w:rsidR="0028600E" w:rsidRPr="00093F07" w:rsidRDefault="6A7BF3BC" w:rsidP="00C6374D">
      <w:pPr>
        <w:pStyle w:val="ListParagraph"/>
        <w:numPr>
          <w:ilvl w:val="1"/>
          <w:numId w:val="34"/>
        </w:numPr>
        <w:spacing w:before="120" w:after="120"/>
        <w:ind w:left="284" w:hanging="426"/>
        <w:jc w:val="both"/>
        <w:rPr>
          <w:rFonts w:eastAsia="Calibri" w:cs="Calibri"/>
          <w:color w:val="000000"/>
        </w:rPr>
      </w:pPr>
      <w:r w:rsidRPr="00093F07">
        <w:rPr>
          <w:rFonts w:eastAsia="Calibri" w:cs="Calibri"/>
          <w:color w:val="000000"/>
        </w:rPr>
        <w:t>The aim of the Fleming Fund is to improve laboratory capacity and diagnosis as well as data and surveillance of AMR in LMICs through a One Health approach: building capacity to collect drug resistance data; enabling the sharing of drug resistance data locally, regionally and internationally; collating data on AMR; and encouraging the application of these data to promote the rational use of antimicrobials.</w:t>
      </w:r>
    </w:p>
    <w:p w14:paraId="40DA8573" w14:textId="7034E744" w:rsidR="0028600E" w:rsidRPr="00093F07" w:rsidRDefault="6A7BF3BC" w:rsidP="00C6374D">
      <w:pPr>
        <w:pStyle w:val="ListParagraph"/>
        <w:numPr>
          <w:ilvl w:val="1"/>
          <w:numId w:val="34"/>
        </w:numPr>
        <w:spacing w:before="120" w:after="120"/>
        <w:ind w:left="284" w:hanging="426"/>
        <w:jc w:val="both"/>
        <w:rPr>
          <w:rFonts w:eastAsia="Calibri" w:cs="Calibri"/>
          <w:color w:val="000000"/>
        </w:rPr>
      </w:pPr>
      <w:r w:rsidRPr="00093F07">
        <w:rPr>
          <w:rFonts w:eastAsia="Calibri" w:cs="Calibri"/>
          <w:color w:val="000000"/>
        </w:rPr>
        <w:t>The Fund will do this by:</w:t>
      </w:r>
    </w:p>
    <w:p w14:paraId="4D2545CD" w14:textId="4A7B4AB0" w:rsidR="0028600E" w:rsidRPr="00CF0CAE" w:rsidRDefault="6A7BF3BC" w:rsidP="00C6374D">
      <w:pPr>
        <w:pStyle w:val="ListParagraph"/>
        <w:numPr>
          <w:ilvl w:val="1"/>
          <w:numId w:val="33"/>
        </w:numPr>
        <w:spacing w:before="120" w:after="120" w:line="280" w:lineRule="exact"/>
        <w:ind w:left="567" w:hanging="283"/>
        <w:jc w:val="both"/>
        <w:rPr>
          <w:rFonts w:eastAsia="Calibri" w:cs="Calibri"/>
          <w:color w:val="000000"/>
          <w:lang w:val="en-US"/>
        </w:rPr>
      </w:pPr>
      <w:r w:rsidRPr="00093F07">
        <w:rPr>
          <w:rFonts w:eastAsia="Calibri" w:cs="Calibri"/>
          <w:color w:val="000000"/>
        </w:rPr>
        <w:t>Building</w:t>
      </w:r>
      <w:r w:rsidRPr="6A7BF3BC">
        <w:rPr>
          <w:rFonts w:eastAsia="Calibri" w:cs="Calibri"/>
          <w:color w:val="000000"/>
        </w:rPr>
        <w:t xml:space="preserve"> laboratory capacity for diagnosis.</w:t>
      </w:r>
    </w:p>
    <w:p w14:paraId="7C78D1FE" w14:textId="58053DB6" w:rsidR="0028600E" w:rsidRPr="006F018C" w:rsidRDefault="6A7BF3BC" w:rsidP="00C6374D">
      <w:pPr>
        <w:pStyle w:val="ListParagraph"/>
        <w:numPr>
          <w:ilvl w:val="1"/>
          <w:numId w:val="33"/>
        </w:numPr>
        <w:spacing w:before="120" w:after="120" w:line="280" w:lineRule="exact"/>
        <w:ind w:left="567" w:hanging="283"/>
        <w:jc w:val="both"/>
        <w:rPr>
          <w:rFonts w:eastAsia="Calibri" w:cs="Calibri"/>
          <w:color w:val="000000"/>
          <w:lang w:val="it-IT"/>
        </w:rPr>
      </w:pPr>
      <w:r w:rsidRPr="6A7BF3BC">
        <w:rPr>
          <w:rFonts w:eastAsia="Calibri" w:cs="Calibri"/>
          <w:color w:val="000000"/>
          <w:u w:val="single"/>
        </w:rPr>
        <w:t>Collecting</w:t>
      </w:r>
      <w:r w:rsidRPr="6A7BF3BC">
        <w:rPr>
          <w:rFonts w:eastAsia="Calibri" w:cs="Calibri"/>
          <w:color w:val="000000"/>
        </w:rPr>
        <w:t xml:space="preserve"> drug resistance data.</w:t>
      </w:r>
    </w:p>
    <w:p w14:paraId="2302A9B4" w14:textId="45AEA516" w:rsidR="0028600E" w:rsidRPr="00CF0CAE" w:rsidRDefault="6A7BF3BC" w:rsidP="00C6374D">
      <w:pPr>
        <w:pStyle w:val="ListParagraph"/>
        <w:numPr>
          <w:ilvl w:val="1"/>
          <w:numId w:val="33"/>
        </w:numPr>
        <w:spacing w:before="120" w:after="120" w:line="280" w:lineRule="exact"/>
        <w:ind w:left="567" w:hanging="283"/>
        <w:jc w:val="both"/>
        <w:rPr>
          <w:rFonts w:eastAsia="Calibri" w:cs="Calibri"/>
          <w:color w:val="000000"/>
          <w:lang w:val="en-US"/>
        </w:rPr>
      </w:pPr>
      <w:r w:rsidRPr="6A7BF3BC">
        <w:rPr>
          <w:rFonts w:eastAsia="Calibri" w:cs="Calibri"/>
          <w:color w:val="000000"/>
        </w:rPr>
        <w:t xml:space="preserve">Enabling the </w:t>
      </w:r>
      <w:r w:rsidRPr="6A7BF3BC">
        <w:rPr>
          <w:rFonts w:eastAsia="Calibri" w:cs="Calibri"/>
          <w:color w:val="000000"/>
          <w:u w:val="single"/>
        </w:rPr>
        <w:t>sharing</w:t>
      </w:r>
      <w:r w:rsidRPr="6A7BF3BC">
        <w:rPr>
          <w:rFonts w:eastAsia="Calibri" w:cs="Calibri"/>
          <w:color w:val="000000"/>
        </w:rPr>
        <w:t xml:space="preserve"> of drug resistance data locally, regionally and internationally. </w:t>
      </w:r>
    </w:p>
    <w:p w14:paraId="11CA77E0" w14:textId="3EF35A44" w:rsidR="0028600E" w:rsidRPr="00CF0CAE" w:rsidRDefault="6A7BF3BC" w:rsidP="00C6374D">
      <w:pPr>
        <w:pStyle w:val="ListParagraph"/>
        <w:numPr>
          <w:ilvl w:val="1"/>
          <w:numId w:val="33"/>
        </w:numPr>
        <w:spacing w:before="120" w:after="120" w:line="280" w:lineRule="exact"/>
        <w:ind w:left="567" w:hanging="283"/>
        <w:jc w:val="both"/>
        <w:rPr>
          <w:rFonts w:eastAsia="Calibri" w:cs="Calibri"/>
          <w:color w:val="000000"/>
          <w:lang w:val="en-US"/>
        </w:rPr>
      </w:pPr>
      <w:r w:rsidRPr="6A7BF3BC">
        <w:rPr>
          <w:rFonts w:eastAsia="Calibri" w:cs="Calibri"/>
          <w:color w:val="000000"/>
          <w:u w:val="single"/>
        </w:rPr>
        <w:t>Collating and analysing</w:t>
      </w:r>
      <w:r w:rsidRPr="6A7BF3BC">
        <w:rPr>
          <w:rFonts w:eastAsia="Calibri" w:cs="Calibri"/>
          <w:color w:val="000000"/>
        </w:rPr>
        <w:t xml:space="preserve"> data on the sale and use of antimicrobial medicines, particularly antibiotics.</w:t>
      </w:r>
    </w:p>
    <w:p w14:paraId="41A7033A" w14:textId="5CBDAD40" w:rsidR="0028600E" w:rsidRPr="00CF0CAE" w:rsidRDefault="6A7BF3BC" w:rsidP="00C6374D">
      <w:pPr>
        <w:pStyle w:val="ListParagraph"/>
        <w:numPr>
          <w:ilvl w:val="1"/>
          <w:numId w:val="33"/>
        </w:numPr>
        <w:spacing w:before="120" w:after="120" w:line="280" w:lineRule="exact"/>
        <w:ind w:left="567" w:hanging="283"/>
        <w:jc w:val="both"/>
        <w:rPr>
          <w:rFonts w:eastAsia="Calibri" w:cs="Calibri"/>
          <w:color w:val="000000"/>
          <w:lang w:val="en-US"/>
        </w:rPr>
      </w:pPr>
      <w:r w:rsidRPr="6A7BF3BC">
        <w:rPr>
          <w:rFonts w:eastAsia="Calibri" w:cs="Calibri"/>
          <w:color w:val="000000"/>
          <w:u w:val="single"/>
        </w:rPr>
        <w:t>Advocating</w:t>
      </w:r>
      <w:r w:rsidRPr="6A7BF3BC">
        <w:rPr>
          <w:rFonts w:eastAsia="Calibri" w:cs="Calibri"/>
          <w:color w:val="000000"/>
        </w:rPr>
        <w:t xml:space="preserve"> the </w:t>
      </w:r>
      <w:r w:rsidRPr="6A7BF3BC">
        <w:rPr>
          <w:rFonts w:eastAsia="Calibri" w:cs="Calibri"/>
          <w:color w:val="000000"/>
          <w:u w:val="single"/>
        </w:rPr>
        <w:t>application</w:t>
      </w:r>
      <w:r w:rsidRPr="6A7BF3BC">
        <w:rPr>
          <w:rFonts w:eastAsia="Calibri" w:cs="Calibri"/>
          <w:color w:val="000000"/>
        </w:rPr>
        <w:t xml:space="preserve"> of these data to promote the rational </w:t>
      </w:r>
      <w:r w:rsidRPr="6A7BF3BC">
        <w:rPr>
          <w:rFonts w:eastAsia="Calibri" w:cs="Calibri"/>
          <w:color w:val="000000"/>
          <w:u w:val="single"/>
        </w:rPr>
        <w:t>use</w:t>
      </w:r>
      <w:r w:rsidRPr="6A7BF3BC">
        <w:rPr>
          <w:rFonts w:eastAsia="Calibri" w:cs="Calibri"/>
          <w:color w:val="000000"/>
        </w:rPr>
        <w:t xml:space="preserve"> of antimicrobials for human health, animal health and agriculture.</w:t>
      </w:r>
    </w:p>
    <w:p w14:paraId="4E99830A" w14:textId="3601A258" w:rsidR="0028600E" w:rsidRPr="00CF0CAE" w:rsidRDefault="6A7BF3BC" w:rsidP="00C6374D">
      <w:pPr>
        <w:pStyle w:val="ListParagraph"/>
        <w:numPr>
          <w:ilvl w:val="1"/>
          <w:numId w:val="33"/>
        </w:numPr>
        <w:spacing w:before="120" w:after="120" w:line="280" w:lineRule="exact"/>
        <w:ind w:left="567" w:hanging="283"/>
        <w:jc w:val="both"/>
        <w:rPr>
          <w:rFonts w:eastAsia="Calibri" w:cs="Calibri"/>
          <w:color w:val="000000"/>
          <w:lang w:val="en-US"/>
        </w:rPr>
      </w:pPr>
      <w:r w:rsidRPr="6A7BF3BC">
        <w:rPr>
          <w:rFonts w:eastAsia="Calibri" w:cs="Calibri"/>
          <w:color w:val="000000"/>
          <w:u w:val="single"/>
        </w:rPr>
        <w:t>Shaping</w:t>
      </w:r>
      <w:r w:rsidRPr="6A7BF3BC">
        <w:rPr>
          <w:rFonts w:eastAsia="Calibri" w:cs="Calibri"/>
          <w:color w:val="000000"/>
        </w:rPr>
        <w:t xml:space="preserve"> a sustainable system for AMR surveillance and data sharing. </w:t>
      </w:r>
    </w:p>
    <w:p w14:paraId="6954BBC8" w14:textId="725AA048" w:rsidR="0028600E" w:rsidRPr="00093F07" w:rsidRDefault="0028600E" w:rsidP="00093F07">
      <w:pPr>
        <w:spacing w:before="120" w:after="120" w:line="280" w:lineRule="exact"/>
        <w:jc w:val="both"/>
        <w:rPr>
          <w:rFonts w:eastAsia="Calibri" w:cs="Calibri"/>
          <w:color w:val="000000"/>
          <w:lang w:val="en-US"/>
        </w:rPr>
      </w:pPr>
    </w:p>
    <w:p w14:paraId="00080C2F" w14:textId="31B4D349"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2.3</w:t>
      </w:r>
      <w:r w:rsidR="0028600E">
        <w:tab/>
      </w:r>
      <w:r w:rsidRPr="6A7BF3BC">
        <w:rPr>
          <w:rFonts w:eastAsia="Calibri" w:cs="Calibri"/>
          <w:color w:val="000000"/>
        </w:rPr>
        <w:t>For details of initial scoping activities, technical support and guidance, and Fleming Fund Core Principles, see Annex G.</w:t>
      </w:r>
    </w:p>
    <w:p w14:paraId="3D75455F" w14:textId="54CD8F9F" w:rsidR="0028600E" w:rsidRPr="006F018C" w:rsidRDefault="6A7BF3BC" w:rsidP="6A7BF3BC">
      <w:pPr>
        <w:spacing w:before="120" w:after="120" w:line="280" w:lineRule="exact"/>
        <w:ind w:left="284"/>
        <w:jc w:val="both"/>
        <w:rPr>
          <w:rFonts w:eastAsia="Calibri" w:cs="Calibri"/>
          <w:color w:val="000000"/>
          <w:lang w:val="it-IT"/>
        </w:rPr>
      </w:pPr>
      <w:r w:rsidRPr="6A7BF3BC">
        <w:rPr>
          <w:rFonts w:eastAsia="Calibri" w:cs="Calibri"/>
          <w:b/>
          <w:bCs/>
          <w:color w:val="000000"/>
          <w:u w:val="single"/>
        </w:rPr>
        <w:t>Country and regional focus</w:t>
      </w:r>
    </w:p>
    <w:p w14:paraId="05692D3A" w14:textId="34223A75"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b/>
          <w:bCs/>
          <w:i/>
          <w:iCs/>
          <w:color w:val="000000"/>
        </w:rPr>
        <w:t>Country focus:</w:t>
      </w:r>
      <w:r w:rsidRPr="6A7BF3BC">
        <w:rPr>
          <w:rFonts w:eastAsia="Calibri" w:cs="Calibri"/>
          <w:i/>
          <w:iCs/>
          <w:color w:val="000000"/>
        </w:rPr>
        <w:t xml:space="preserve"> </w:t>
      </w:r>
      <w:r w:rsidRPr="6A7BF3BC">
        <w:rPr>
          <w:rFonts w:eastAsia="Calibri" w:cs="Calibri"/>
          <w:color w:val="000000"/>
        </w:rPr>
        <w:t xml:space="preserve">The Fund will have a focus principally on countries which are encompassed by a high level set of priority principles set out by </w:t>
      </w:r>
      <w:r w:rsidR="004B603A">
        <w:rPr>
          <w:rFonts w:eastAsia="Calibri" w:cs="Calibri"/>
          <w:color w:val="000000"/>
        </w:rPr>
        <w:t>DHSC</w:t>
      </w:r>
      <w:r w:rsidRPr="6A7BF3BC">
        <w:rPr>
          <w:rFonts w:eastAsia="Calibri" w:cs="Calibri"/>
          <w:color w:val="000000"/>
        </w:rPr>
        <w:t xml:space="preserve"> such as ODA eligibility, countries in Sub-Saharan Africa, Southern and South Eastern Asia, and countries with existing UK diplomatic relations. These high level principles will be the first maker in country selection and are detailed in Annex C. Within this selection the Management Agent - the identification of which is the subject of a separate procurement exercise - will be expected to work with </w:t>
      </w:r>
      <w:r w:rsidR="004B603A">
        <w:rPr>
          <w:rFonts w:eastAsia="Calibri" w:cs="Calibri"/>
          <w:color w:val="000000"/>
        </w:rPr>
        <w:t>DHSC</w:t>
      </w:r>
      <w:r w:rsidRPr="6A7BF3BC">
        <w:rPr>
          <w:rFonts w:eastAsia="Calibri" w:cs="Calibri"/>
          <w:color w:val="000000"/>
        </w:rPr>
        <w:t xml:space="preserve"> to further shortlist countries through a series of country assessments to understand where investments will be most effectively targeted. Fleming Fund country investments will benefit from being implemented alongside other DFID programming where relevant, but projects will not be limited to DFID priority countries. </w:t>
      </w:r>
    </w:p>
    <w:p w14:paraId="0C7DB3C3" w14:textId="4DC677AE" w:rsidR="0028600E" w:rsidRPr="00CF0CAE" w:rsidRDefault="0028600E" w:rsidP="6A7BF3BC">
      <w:pPr>
        <w:spacing w:before="120" w:after="120" w:line="280" w:lineRule="exact"/>
        <w:ind w:left="284"/>
        <w:jc w:val="both"/>
        <w:rPr>
          <w:rFonts w:eastAsia="Calibri" w:cs="Calibri"/>
          <w:color w:val="000000"/>
          <w:lang w:val="en-US"/>
        </w:rPr>
      </w:pPr>
    </w:p>
    <w:p w14:paraId="4D6E04B6" w14:textId="488342F4"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b/>
          <w:bCs/>
          <w:i/>
          <w:iCs/>
          <w:color w:val="000000"/>
        </w:rPr>
        <w:t>Regional focus</w:t>
      </w:r>
      <w:r w:rsidRPr="6A7BF3BC">
        <w:rPr>
          <w:rFonts w:eastAsia="Calibri" w:cs="Calibri"/>
          <w:b/>
          <w:bCs/>
          <w:color w:val="000000"/>
        </w:rPr>
        <w:t>:</w:t>
      </w:r>
      <w:r w:rsidRPr="6A7BF3BC">
        <w:rPr>
          <w:rFonts w:eastAsia="Calibri" w:cs="Calibri"/>
          <w:color w:val="000000"/>
        </w:rPr>
        <w:t xml:space="preserve"> The Management Agent will be expected to run a call for regional grants to support the development of networks and data sharing. However, the makeup of a regional network can remain flexible to reflect geographical proximity, a specific collection of countries with similar priorities or regional partnerships. </w:t>
      </w:r>
    </w:p>
    <w:p w14:paraId="58CCF9D9" w14:textId="55A446F9"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b/>
          <w:bCs/>
          <w:i/>
          <w:iCs/>
          <w:color w:val="000000"/>
        </w:rPr>
        <w:t>Cross-border thematic focus</w:t>
      </w:r>
      <w:r w:rsidRPr="6A7BF3BC">
        <w:rPr>
          <w:rFonts w:eastAsia="Calibri" w:cs="Calibri"/>
          <w:b/>
          <w:bCs/>
          <w:color w:val="000000"/>
        </w:rPr>
        <w:t>:</w:t>
      </w:r>
      <w:r w:rsidRPr="6A7BF3BC">
        <w:rPr>
          <w:rFonts w:eastAsia="Calibri" w:cs="Calibri"/>
          <w:color w:val="000000"/>
        </w:rPr>
        <w:t xml:space="preserve"> The Fleming Fund will target country and regional grants which can demonstrate a clear path to impact through a One Health approach</w:t>
      </w:r>
      <w:r w:rsidRPr="6A7BF3BC">
        <w:rPr>
          <w:rFonts w:eastAsia="Calibri" w:cs="Calibri"/>
          <w:color w:val="000000"/>
          <w:vertAlign w:val="superscript"/>
        </w:rPr>
        <w:t>4</w:t>
      </w:r>
      <w:r w:rsidRPr="6A7BF3BC">
        <w:rPr>
          <w:rFonts w:eastAsia="Calibri" w:cs="Calibri"/>
          <w:color w:val="000000"/>
        </w:rPr>
        <w:t xml:space="preserve">; this may include a One Health commitment from governments as part of AMR National Action Plans. </w:t>
      </w:r>
    </w:p>
    <w:p w14:paraId="4E456B52" w14:textId="20C84DE3" w:rsidR="0028600E" w:rsidRPr="006F018C" w:rsidRDefault="6A7BF3BC" w:rsidP="6A7BF3BC">
      <w:pPr>
        <w:spacing w:after="200" w:line="276" w:lineRule="auto"/>
        <w:ind w:left="284"/>
        <w:jc w:val="both"/>
        <w:rPr>
          <w:rFonts w:eastAsia="Calibri" w:cs="Calibri"/>
          <w:color w:val="000000"/>
          <w:lang w:val="it-IT"/>
        </w:rPr>
      </w:pPr>
      <w:r w:rsidRPr="6A7BF3BC">
        <w:rPr>
          <w:rFonts w:eastAsia="Calibri" w:cs="Calibri"/>
          <w:b/>
          <w:bCs/>
          <w:color w:val="000000"/>
          <w:u w:val="single"/>
        </w:rPr>
        <w:t xml:space="preserve">Technical focus </w:t>
      </w:r>
    </w:p>
    <w:p w14:paraId="40D8B765" w14:textId="6F479DD2"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The Fleming Fund will focus on detecting and reporting on pathogenic bacteria-antibacterial drug combinations in line with those that were identified as of international public health concern by WHO in the </w:t>
      </w:r>
      <w:r w:rsidRPr="6A7BF3BC">
        <w:rPr>
          <w:rFonts w:eastAsia="Calibri" w:cs="Calibri"/>
          <w:i/>
          <w:iCs/>
          <w:color w:val="000000"/>
        </w:rPr>
        <w:t>Antimicrobial Resistance Global Report on Surveillance</w:t>
      </w:r>
      <w:r w:rsidRPr="6A7BF3BC">
        <w:rPr>
          <w:rFonts w:eastAsia="Calibri" w:cs="Calibri"/>
          <w:color w:val="000000"/>
        </w:rPr>
        <w:t xml:space="preserve"> </w:t>
      </w:r>
      <w:r w:rsidRPr="6A7BF3BC">
        <w:rPr>
          <w:rFonts w:eastAsia="Calibri" w:cs="Calibri"/>
          <w:i/>
          <w:iCs/>
          <w:color w:val="000000"/>
        </w:rPr>
        <w:t>2014</w:t>
      </w:r>
      <w:r w:rsidRPr="6A7BF3BC">
        <w:rPr>
          <w:rFonts w:eastAsia="Calibri" w:cs="Calibri"/>
          <w:color w:val="000000"/>
          <w:vertAlign w:val="superscript"/>
        </w:rPr>
        <w:t>5</w:t>
      </w:r>
      <w:r w:rsidRPr="6A7BF3BC">
        <w:rPr>
          <w:rFonts w:eastAsia="Calibri" w:cs="Calibri"/>
          <w:color w:val="000000"/>
        </w:rPr>
        <w:t xml:space="preserve">, </w:t>
      </w:r>
      <w:r w:rsidRPr="6A7BF3BC">
        <w:rPr>
          <w:rFonts w:eastAsia="Calibri" w:cs="Calibri"/>
          <w:b/>
          <w:bCs/>
          <w:color w:val="000000"/>
        </w:rPr>
        <w:t xml:space="preserve">subject to adaptation to suit local priorities and infectious disease prevalence (including zoonotic infections). </w:t>
      </w:r>
      <w:r w:rsidR="004B603A">
        <w:rPr>
          <w:rFonts w:eastAsia="Calibri" w:cs="Calibri"/>
          <w:color w:val="000000"/>
        </w:rPr>
        <w:t>DHSC</w:t>
      </w:r>
      <w:r w:rsidRPr="6A7BF3BC">
        <w:rPr>
          <w:rFonts w:eastAsia="Calibri" w:cs="Calibri"/>
          <w:color w:val="000000"/>
        </w:rPr>
        <w:t xml:space="preserve"> expects that programmes will include some of the following pathogenic bacteria-antibacterial drug combinations:</w:t>
      </w:r>
    </w:p>
    <w:p w14:paraId="153E2382" w14:textId="74F9603A" w:rsidR="0028600E" w:rsidRPr="006F018C" w:rsidRDefault="6A7BF3BC" w:rsidP="00C6374D">
      <w:pPr>
        <w:pStyle w:val="ListParagraph"/>
        <w:numPr>
          <w:ilvl w:val="0"/>
          <w:numId w:val="32"/>
        </w:numPr>
        <w:spacing w:before="120" w:after="120" w:line="280" w:lineRule="exact"/>
        <w:ind w:left="567" w:hanging="283"/>
        <w:jc w:val="both"/>
        <w:rPr>
          <w:rFonts w:eastAsia="Calibri" w:cs="Calibri"/>
          <w:color w:val="000000"/>
          <w:lang w:val="it-IT"/>
        </w:rPr>
      </w:pPr>
      <w:r w:rsidRPr="6A7BF3BC">
        <w:rPr>
          <w:rFonts w:eastAsia="Calibri" w:cs="Calibri"/>
          <w:color w:val="000000"/>
        </w:rPr>
        <w:t>Escherichia coli vs. 3</w:t>
      </w:r>
      <w:r w:rsidRPr="6A7BF3BC">
        <w:rPr>
          <w:rFonts w:eastAsia="Calibri" w:cs="Calibri"/>
          <w:color w:val="000000"/>
          <w:vertAlign w:val="superscript"/>
        </w:rPr>
        <w:t>rd</w:t>
      </w:r>
      <w:r w:rsidRPr="6A7BF3BC">
        <w:rPr>
          <w:rFonts w:eastAsia="Calibri" w:cs="Calibri"/>
          <w:color w:val="000000"/>
        </w:rPr>
        <w:t xml:space="preserve"> generation cephalosporins and </w:t>
      </w:r>
      <w:r w:rsidR="00B81BAE" w:rsidRPr="6A7BF3BC">
        <w:rPr>
          <w:rFonts w:eastAsia="Calibri" w:cs="Calibri"/>
          <w:color w:val="000000"/>
        </w:rPr>
        <w:t>flu</w:t>
      </w:r>
      <w:r w:rsidR="00B81BAE">
        <w:rPr>
          <w:rFonts w:eastAsia="Calibri" w:cs="Calibri"/>
          <w:color w:val="000000"/>
        </w:rPr>
        <w:t>o</w:t>
      </w:r>
      <w:r w:rsidR="00B81BAE" w:rsidRPr="6A7BF3BC">
        <w:rPr>
          <w:rFonts w:eastAsia="Calibri" w:cs="Calibri"/>
          <w:color w:val="000000"/>
        </w:rPr>
        <w:t>roquinolones</w:t>
      </w:r>
      <w:r w:rsidRPr="6A7BF3BC">
        <w:rPr>
          <w:rFonts w:eastAsia="Calibri" w:cs="Calibri"/>
          <w:color w:val="000000"/>
        </w:rPr>
        <w:t>.</w:t>
      </w:r>
    </w:p>
    <w:p w14:paraId="7057F2D3" w14:textId="6764A945" w:rsidR="0028600E" w:rsidRPr="004503BD" w:rsidRDefault="6A7BF3BC" w:rsidP="00C6374D">
      <w:pPr>
        <w:pStyle w:val="ListParagraph"/>
        <w:numPr>
          <w:ilvl w:val="0"/>
          <w:numId w:val="32"/>
        </w:numPr>
        <w:spacing w:before="120" w:after="120" w:line="280" w:lineRule="exact"/>
        <w:ind w:left="567" w:hanging="283"/>
        <w:jc w:val="both"/>
        <w:rPr>
          <w:rFonts w:eastAsia="Calibri" w:cs="Calibri"/>
          <w:color w:val="000000"/>
          <w:lang w:val="it-IT"/>
        </w:rPr>
      </w:pPr>
      <w:r w:rsidRPr="004503BD">
        <w:rPr>
          <w:rFonts w:eastAsia="Calibri" w:cs="Calibri"/>
          <w:color w:val="000000"/>
          <w:lang w:val="it-IT"/>
        </w:rPr>
        <w:t>Klebsiella pneumoniae vs. 3</w:t>
      </w:r>
      <w:r w:rsidRPr="004503BD">
        <w:rPr>
          <w:rFonts w:eastAsia="Calibri" w:cs="Calibri"/>
          <w:color w:val="000000"/>
          <w:vertAlign w:val="superscript"/>
          <w:lang w:val="it-IT"/>
        </w:rPr>
        <w:t>rd</w:t>
      </w:r>
      <w:r w:rsidRPr="004503BD">
        <w:rPr>
          <w:rFonts w:eastAsia="Calibri" w:cs="Calibri"/>
          <w:color w:val="000000"/>
          <w:lang w:val="it-IT"/>
        </w:rPr>
        <w:t xml:space="preserve"> generation cephalosporins and carbapenems.</w:t>
      </w:r>
    </w:p>
    <w:p w14:paraId="422F0695" w14:textId="013BA067" w:rsidR="0028600E" w:rsidRPr="006F018C" w:rsidRDefault="6A7BF3BC" w:rsidP="00C6374D">
      <w:pPr>
        <w:pStyle w:val="ListParagraph"/>
        <w:numPr>
          <w:ilvl w:val="0"/>
          <w:numId w:val="32"/>
        </w:numPr>
        <w:spacing w:before="120" w:after="120" w:line="280" w:lineRule="exact"/>
        <w:ind w:left="567" w:hanging="283"/>
        <w:jc w:val="both"/>
        <w:rPr>
          <w:rFonts w:eastAsia="Calibri" w:cs="Calibri"/>
          <w:color w:val="000000"/>
          <w:lang w:val="it-IT"/>
        </w:rPr>
      </w:pPr>
      <w:r w:rsidRPr="6A7BF3BC">
        <w:rPr>
          <w:rFonts w:eastAsia="Calibri" w:cs="Calibri"/>
          <w:color w:val="000000"/>
        </w:rPr>
        <w:t>Staphylococcus aureus vs. methicillin.</w:t>
      </w:r>
    </w:p>
    <w:p w14:paraId="7BC5CF93" w14:textId="5A10A679" w:rsidR="0028600E" w:rsidRPr="006F018C" w:rsidRDefault="6A7BF3BC" w:rsidP="00C6374D">
      <w:pPr>
        <w:pStyle w:val="ListParagraph"/>
        <w:numPr>
          <w:ilvl w:val="0"/>
          <w:numId w:val="32"/>
        </w:numPr>
        <w:spacing w:before="120" w:after="120" w:line="280" w:lineRule="exact"/>
        <w:ind w:left="567" w:hanging="283"/>
        <w:jc w:val="both"/>
        <w:rPr>
          <w:rFonts w:eastAsia="Calibri" w:cs="Calibri"/>
          <w:color w:val="000000"/>
          <w:lang w:val="it-IT"/>
        </w:rPr>
      </w:pPr>
      <w:r w:rsidRPr="6A7BF3BC">
        <w:rPr>
          <w:rFonts w:eastAsia="Calibri" w:cs="Calibri"/>
          <w:color w:val="000000"/>
        </w:rPr>
        <w:t>Streptococcus pneumoniae vs penicillin.</w:t>
      </w:r>
    </w:p>
    <w:p w14:paraId="10FA0B67" w14:textId="1DED75BD" w:rsidR="0028600E" w:rsidRPr="006F018C" w:rsidRDefault="6A7BF3BC" w:rsidP="00C6374D">
      <w:pPr>
        <w:pStyle w:val="ListParagraph"/>
        <w:numPr>
          <w:ilvl w:val="0"/>
          <w:numId w:val="32"/>
        </w:numPr>
        <w:spacing w:before="120" w:after="120" w:line="280" w:lineRule="exact"/>
        <w:ind w:left="567" w:hanging="283"/>
        <w:jc w:val="both"/>
        <w:rPr>
          <w:rFonts w:eastAsia="Calibri" w:cs="Calibri"/>
          <w:color w:val="000000"/>
          <w:lang w:val="it-IT"/>
        </w:rPr>
      </w:pPr>
      <w:r w:rsidRPr="6A7BF3BC">
        <w:rPr>
          <w:rFonts w:eastAsia="Calibri" w:cs="Calibri"/>
          <w:color w:val="000000"/>
        </w:rPr>
        <w:t xml:space="preserve">Salmonella species vs. </w:t>
      </w:r>
      <w:r w:rsidR="00B81BAE" w:rsidRPr="6A7BF3BC">
        <w:rPr>
          <w:rFonts w:eastAsia="Calibri" w:cs="Calibri"/>
          <w:color w:val="000000"/>
        </w:rPr>
        <w:t>fluoroquinolones</w:t>
      </w:r>
      <w:r w:rsidRPr="6A7BF3BC">
        <w:rPr>
          <w:rFonts w:eastAsia="Calibri" w:cs="Calibri"/>
          <w:color w:val="000000"/>
        </w:rPr>
        <w:t>.</w:t>
      </w:r>
    </w:p>
    <w:p w14:paraId="72154C28" w14:textId="39CA9BAB" w:rsidR="0028600E" w:rsidRPr="006F018C" w:rsidRDefault="6A7BF3BC" w:rsidP="00C6374D">
      <w:pPr>
        <w:pStyle w:val="ListParagraph"/>
        <w:numPr>
          <w:ilvl w:val="0"/>
          <w:numId w:val="32"/>
        </w:numPr>
        <w:spacing w:before="120" w:after="120" w:line="280" w:lineRule="exact"/>
        <w:ind w:left="567" w:hanging="283"/>
        <w:jc w:val="both"/>
        <w:rPr>
          <w:rFonts w:eastAsia="Calibri" w:cs="Calibri"/>
          <w:color w:val="000000"/>
          <w:lang w:val="it-IT"/>
        </w:rPr>
      </w:pPr>
      <w:r w:rsidRPr="6A7BF3BC">
        <w:rPr>
          <w:rFonts w:eastAsia="Calibri" w:cs="Calibri"/>
          <w:color w:val="000000"/>
        </w:rPr>
        <w:t xml:space="preserve">Shigella species vs. </w:t>
      </w:r>
      <w:r w:rsidR="00B81BAE" w:rsidRPr="6A7BF3BC">
        <w:rPr>
          <w:rFonts w:eastAsia="Calibri" w:cs="Calibri"/>
          <w:color w:val="000000"/>
        </w:rPr>
        <w:t>flu</w:t>
      </w:r>
      <w:r w:rsidR="00B81BAE">
        <w:rPr>
          <w:rFonts w:eastAsia="Calibri" w:cs="Calibri"/>
          <w:color w:val="000000"/>
        </w:rPr>
        <w:t>o</w:t>
      </w:r>
      <w:r w:rsidR="00B81BAE" w:rsidRPr="6A7BF3BC">
        <w:rPr>
          <w:rFonts w:eastAsia="Calibri" w:cs="Calibri"/>
          <w:color w:val="000000"/>
        </w:rPr>
        <w:t>roquinolones</w:t>
      </w:r>
      <w:r w:rsidRPr="6A7BF3BC">
        <w:rPr>
          <w:rFonts w:eastAsia="Calibri" w:cs="Calibri"/>
          <w:color w:val="000000"/>
        </w:rPr>
        <w:t>.</w:t>
      </w:r>
    </w:p>
    <w:p w14:paraId="4B37BB6C" w14:textId="79F1F138" w:rsidR="0028600E" w:rsidRPr="006F018C" w:rsidRDefault="6A7BF3BC" w:rsidP="00C6374D">
      <w:pPr>
        <w:pStyle w:val="ListParagraph"/>
        <w:numPr>
          <w:ilvl w:val="0"/>
          <w:numId w:val="32"/>
        </w:numPr>
        <w:spacing w:before="120" w:after="120" w:line="280" w:lineRule="exact"/>
        <w:ind w:left="567" w:hanging="283"/>
        <w:jc w:val="both"/>
        <w:rPr>
          <w:rFonts w:eastAsia="Calibri" w:cs="Calibri"/>
          <w:color w:val="000000"/>
          <w:lang w:val="it-IT"/>
        </w:rPr>
      </w:pPr>
      <w:r w:rsidRPr="6A7BF3BC">
        <w:rPr>
          <w:rFonts w:eastAsia="Calibri" w:cs="Calibri"/>
          <w:color w:val="000000"/>
        </w:rPr>
        <w:t>Neisseria gonorrhoeae vs. 3</w:t>
      </w:r>
      <w:r w:rsidRPr="6A7BF3BC">
        <w:rPr>
          <w:rFonts w:eastAsia="Calibri" w:cs="Calibri"/>
          <w:color w:val="000000"/>
          <w:vertAlign w:val="superscript"/>
        </w:rPr>
        <w:t>rd</w:t>
      </w:r>
      <w:r w:rsidRPr="6A7BF3BC">
        <w:rPr>
          <w:rFonts w:eastAsia="Calibri" w:cs="Calibri"/>
          <w:color w:val="000000"/>
        </w:rPr>
        <w:t xml:space="preserve"> generation cephalosporins.</w:t>
      </w:r>
    </w:p>
    <w:p w14:paraId="32CDEC54" w14:textId="59F52551" w:rsidR="0028600E" w:rsidRPr="00E9624F" w:rsidRDefault="6A7BF3BC" w:rsidP="00E9624F">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Specific countries and regions may have identified priorities within this list dependent on their country burden of disease and reported resistance, or additional priorities such as tuberculosis. The aim of the Fund, aligned with the Global Health Security Agenda (GHSA) AMR target, is to encourage each country receiving Fleming funding to begin improving laboratory capacity for, and surveillance of, a minimum of three of the above pathogenic bacteria antibacterial drug combinations as a starting point, with the ambition of improving capacity to test for all. However, in consultation with country governments and national stakeholders, the Programme can support additional pathogens alongside those in the WHO list, if this is a national priority.</w:t>
      </w:r>
    </w:p>
    <w:p w14:paraId="73CD5AF0" w14:textId="7DF8FFD7" w:rsidR="0028600E" w:rsidRPr="00CF0CAE" w:rsidRDefault="6A7BF3BC" w:rsidP="6A7BF3BC">
      <w:pPr>
        <w:spacing w:after="120" w:line="276" w:lineRule="auto"/>
        <w:ind w:left="284"/>
        <w:jc w:val="both"/>
        <w:rPr>
          <w:rFonts w:eastAsia="Calibri" w:cs="Calibri"/>
          <w:color w:val="000000"/>
          <w:lang w:val="en-US"/>
        </w:rPr>
      </w:pPr>
      <w:r w:rsidRPr="6A7BF3BC">
        <w:rPr>
          <w:rFonts w:eastAsia="Calibri" w:cs="Calibri"/>
          <w:b/>
          <w:bCs/>
          <w:color w:val="000000"/>
          <w:u w:val="single"/>
        </w:rPr>
        <w:t>What the programme will not fund</w:t>
      </w:r>
    </w:p>
    <w:p w14:paraId="376EBED6" w14:textId="1C583185" w:rsidR="0028600E" w:rsidRPr="00093F07" w:rsidRDefault="6A7BF3BC" w:rsidP="00C6374D">
      <w:pPr>
        <w:pStyle w:val="ListParagraph"/>
        <w:numPr>
          <w:ilvl w:val="1"/>
          <w:numId w:val="34"/>
        </w:numPr>
        <w:spacing w:before="120" w:after="120"/>
        <w:ind w:left="284" w:hanging="426"/>
        <w:jc w:val="both"/>
        <w:rPr>
          <w:rFonts w:eastAsia="Calibri" w:cs="Calibri"/>
          <w:color w:val="000000"/>
        </w:rPr>
      </w:pPr>
      <w:r w:rsidRPr="6A7BF3BC">
        <w:rPr>
          <w:rFonts w:eastAsia="Calibri" w:cs="Calibri"/>
          <w:color w:val="000000"/>
        </w:rPr>
        <w:t xml:space="preserve">Research: although it will be informed by research agendas, have close links with researchers and generate useful new knowledge on AMR, the prime objective of the Fund is not AMR research. </w:t>
      </w:r>
    </w:p>
    <w:p w14:paraId="0BD0C3F5" w14:textId="699E3B3A" w:rsidR="0028600E" w:rsidRPr="00093F07" w:rsidRDefault="6A7BF3BC" w:rsidP="00C6374D">
      <w:pPr>
        <w:pStyle w:val="ListParagraph"/>
        <w:numPr>
          <w:ilvl w:val="1"/>
          <w:numId w:val="34"/>
        </w:numPr>
        <w:spacing w:before="120" w:after="120"/>
        <w:ind w:left="284" w:hanging="426"/>
        <w:jc w:val="both"/>
        <w:rPr>
          <w:rFonts w:eastAsia="Calibri" w:cs="Calibri"/>
          <w:color w:val="000000"/>
        </w:rPr>
      </w:pPr>
      <w:r w:rsidRPr="6A7BF3BC">
        <w:rPr>
          <w:rFonts w:eastAsia="Calibri" w:cs="Calibri"/>
          <w:color w:val="000000"/>
        </w:rPr>
        <w:t xml:space="preserve">New product development: other funding mechanisms and relationships will be required to do this. </w:t>
      </w:r>
    </w:p>
    <w:p w14:paraId="74DF58D5" w14:textId="5943C7DF" w:rsidR="0028600E" w:rsidRPr="00093F07" w:rsidRDefault="6A7BF3BC" w:rsidP="00C6374D">
      <w:pPr>
        <w:pStyle w:val="ListParagraph"/>
        <w:numPr>
          <w:ilvl w:val="1"/>
          <w:numId w:val="34"/>
        </w:numPr>
        <w:spacing w:before="120" w:after="120"/>
        <w:ind w:left="284" w:hanging="426"/>
        <w:jc w:val="both"/>
        <w:rPr>
          <w:rFonts w:eastAsia="Calibri" w:cs="Calibri"/>
          <w:color w:val="000000"/>
        </w:rPr>
      </w:pPr>
      <w:r w:rsidRPr="6A7BF3BC">
        <w:rPr>
          <w:rFonts w:eastAsia="Calibri" w:cs="Calibri"/>
          <w:color w:val="000000"/>
        </w:rPr>
        <w:t>Support to non-ODA eligible countries.</w:t>
      </w:r>
    </w:p>
    <w:p w14:paraId="70E8C6A9" w14:textId="27F0D568" w:rsidR="0028600E" w:rsidRPr="00E9624F" w:rsidRDefault="6A7BF3BC" w:rsidP="00E9624F">
      <w:pPr>
        <w:pStyle w:val="ListParagraph"/>
        <w:numPr>
          <w:ilvl w:val="1"/>
          <w:numId w:val="34"/>
        </w:numPr>
        <w:spacing w:before="120" w:after="120"/>
        <w:ind w:left="284" w:hanging="426"/>
        <w:jc w:val="both"/>
        <w:rPr>
          <w:rFonts w:eastAsia="Calibri" w:cs="Calibri"/>
          <w:color w:val="000000"/>
        </w:rPr>
      </w:pPr>
      <w:r w:rsidRPr="6A7BF3BC">
        <w:rPr>
          <w:rFonts w:eastAsia="Calibri" w:cs="Calibri"/>
          <w:color w:val="000000"/>
        </w:rPr>
        <w:t>Financial disbursements directly to governments.</w:t>
      </w:r>
    </w:p>
    <w:p w14:paraId="1C732F65" w14:textId="192B03CB" w:rsidR="0028600E" w:rsidRPr="00093F07" w:rsidRDefault="6A7BF3BC" w:rsidP="00C6374D">
      <w:pPr>
        <w:pStyle w:val="ListParagraph"/>
        <w:numPr>
          <w:ilvl w:val="0"/>
          <w:numId w:val="34"/>
        </w:numPr>
        <w:spacing w:before="120" w:after="240" w:line="360" w:lineRule="exact"/>
        <w:ind w:left="284" w:hanging="284"/>
        <w:jc w:val="both"/>
        <w:rPr>
          <w:rFonts w:eastAsia="Calibri" w:cs="Calibri"/>
          <w:b/>
          <w:bCs/>
          <w:color w:val="000000"/>
          <w:u w:val="single"/>
        </w:rPr>
      </w:pPr>
      <w:r w:rsidRPr="6A7BF3BC">
        <w:rPr>
          <w:rFonts w:eastAsia="Calibri" w:cs="Calibri"/>
          <w:b/>
          <w:bCs/>
          <w:color w:val="000000"/>
        </w:rPr>
        <w:t xml:space="preserve"> </w:t>
      </w:r>
      <w:r w:rsidRPr="00093F07">
        <w:rPr>
          <w:rFonts w:eastAsia="Calibri" w:cs="Calibri"/>
          <w:b/>
          <w:bCs/>
          <w:color w:val="000000"/>
          <w:u w:val="single"/>
        </w:rPr>
        <w:t>Programme Activities</w:t>
      </w:r>
    </w:p>
    <w:p w14:paraId="424D23EA" w14:textId="14FE1B34" w:rsidR="0028600E" w:rsidRPr="006F018C" w:rsidRDefault="0028600E" w:rsidP="00093F07">
      <w:pPr>
        <w:pStyle w:val="ListParagraph"/>
        <w:spacing w:before="200" w:after="200" w:line="276" w:lineRule="auto"/>
        <w:jc w:val="both"/>
        <w:rPr>
          <w:rFonts w:eastAsia="Calibri" w:cs="Calibri"/>
          <w:color w:val="000000"/>
          <w:lang w:val="it-IT"/>
        </w:rPr>
      </w:pPr>
    </w:p>
    <w:p w14:paraId="52EDB3C0" w14:textId="75AAAB8C"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With initial projects underway (see Annex G), </w:t>
      </w:r>
      <w:r w:rsidR="004B603A">
        <w:rPr>
          <w:rFonts w:eastAsia="Calibri" w:cs="Calibri"/>
          <w:color w:val="000000"/>
        </w:rPr>
        <w:t>DHSC</w:t>
      </w:r>
      <w:r w:rsidRPr="6A7BF3BC">
        <w:rPr>
          <w:rFonts w:eastAsia="Calibri" w:cs="Calibri"/>
          <w:color w:val="000000"/>
        </w:rPr>
        <w:t xml:space="preserve"> is commissioning a set of Fleming Fund projects which will be sustained through the five year funding cycle. The following represents the shape of the programme as a whole over this five year period with detail on each work stream. </w:t>
      </w:r>
    </w:p>
    <w:p w14:paraId="7910BA02" w14:textId="28412C0B"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The Fleming Fund Programme will be managed by </w:t>
      </w:r>
      <w:r w:rsidR="004B603A">
        <w:rPr>
          <w:rFonts w:eastAsia="Calibri" w:cs="Calibri"/>
          <w:color w:val="000000"/>
        </w:rPr>
        <w:t>DHSC</w:t>
      </w:r>
      <w:r w:rsidRPr="6A7BF3BC">
        <w:rPr>
          <w:rFonts w:eastAsia="Calibri" w:cs="Calibri"/>
          <w:color w:val="000000"/>
        </w:rPr>
        <w:t xml:space="preserve"> and will be made up of </w:t>
      </w:r>
      <w:r w:rsidRPr="6A7BF3BC">
        <w:rPr>
          <w:rFonts w:eastAsia="Calibri" w:cs="Calibri"/>
          <w:b/>
          <w:bCs/>
          <w:color w:val="000000"/>
        </w:rPr>
        <w:t xml:space="preserve">five interdependent </w:t>
      </w:r>
      <w:r w:rsidR="004932C7">
        <w:rPr>
          <w:rFonts w:eastAsia="Calibri" w:cs="Calibri"/>
          <w:b/>
          <w:bCs/>
          <w:color w:val="000000"/>
        </w:rPr>
        <w:t>workstreams</w:t>
      </w:r>
      <w:r w:rsidRPr="6A7BF3BC">
        <w:rPr>
          <w:rFonts w:eastAsia="Calibri" w:cs="Calibri"/>
          <w:b/>
          <w:bCs/>
          <w:color w:val="000000"/>
        </w:rPr>
        <w:t xml:space="preserve"> </w:t>
      </w:r>
      <w:r w:rsidRPr="6A7BF3BC">
        <w:rPr>
          <w:rFonts w:eastAsia="Calibri" w:cs="Calibri"/>
          <w:color w:val="000000"/>
        </w:rPr>
        <w:t xml:space="preserve">as shown below. </w:t>
      </w:r>
      <w:r w:rsidR="004B603A">
        <w:rPr>
          <w:rFonts w:eastAsia="Calibri" w:cs="Calibri"/>
          <w:color w:val="000000"/>
        </w:rPr>
        <w:t>DHSC</w:t>
      </w:r>
      <w:r w:rsidRPr="6A7BF3BC">
        <w:rPr>
          <w:rFonts w:eastAsia="Calibri" w:cs="Calibri"/>
          <w:color w:val="000000"/>
        </w:rPr>
        <w:t xml:space="preserve"> is separately tendering to procure a Management Agent who will deliver the country and regional projects and the Fleming Fellows (</w:t>
      </w:r>
      <w:r w:rsidR="004932C7">
        <w:rPr>
          <w:rFonts w:eastAsia="Calibri" w:cs="Calibri"/>
          <w:color w:val="000000"/>
        </w:rPr>
        <w:t>workstreams</w:t>
      </w:r>
      <w:r w:rsidRPr="6A7BF3BC">
        <w:rPr>
          <w:rFonts w:eastAsia="Calibri" w:cs="Calibri"/>
          <w:color w:val="000000"/>
        </w:rPr>
        <w:t xml:space="preserve"> 1 and 2), although alignment is expected between all </w:t>
      </w:r>
      <w:r w:rsidR="004932C7">
        <w:rPr>
          <w:rFonts w:eastAsia="Calibri" w:cs="Calibri"/>
          <w:color w:val="000000"/>
        </w:rPr>
        <w:t>workstreams</w:t>
      </w:r>
      <w:r w:rsidRPr="6A7BF3BC">
        <w:rPr>
          <w:rFonts w:eastAsia="Calibri" w:cs="Calibri"/>
          <w:color w:val="000000"/>
        </w:rPr>
        <w:t xml:space="preserve"> in the Programme. The current tender is to procure an Evaluation Supplier to deliver an independent evaluation of the country and regional projects. </w:t>
      </w:r>
    </w:p>
    <w:p w14:paraId="7EC390FC" w14:textId="58A3F7F6"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Work stream 1 and 2 and 5 will be structured into two phases:</w:t>
      </w:r>
    </w:p>
    <w:p w14:paraId="09FF1390" w14:textId="3FDDD94A" w:rsidR="0028600E" w:rsidRPr="00CF0CAE" w:rsidRDefault="009E2AC2" w:rsidP="00C6374D">
      <w:pPr>
        <w:pStyle w:val="ListParagraph"/>
        <w:numPr>
          <w:ilvl w:val="0"/>
          <w:numId w:val="31"/>
        </w:numPr>
        <w:spacing w:before="120" w:after="120" w:line="280" w:lineRule="exact"/>
        <w:ind w:left="426" w:hanging="142"/>
        <w:jc w:val="both"/>
        <w:rPr>
          <w:rFonts w:eastAsia="Calibri" w:cs="Calibri"/>
          <w:color w:val="000000"/>
          <w:lang w:val="en-US"/>
        </w:rPr>
      </w:pPr>
      <w:r>
        <w:rPr>
          <w:rFonts w:eastAsia="Calibri" w:cs="Calibri"/>
          <w:b/>
          <w:bCs/>
          <w:color w:val="000000"/>
        </w:rPr>
        <w:t>phase 1</w:t>
      </w:r>
      <w:r w:rsidR="6A7BF3BC" w:rsidRPr="6A7BF3BC">
        <w:rPr>
          <w:rFonts w:eastAsia="Calibri" w:cs="Calibri"/>
          <w:b/>
          <w:bCs/>
          <w:color w:val="000000"/>
        </w:rPr>
        <w:t>:</w:t>
      </w:r>
      <w:r w:rsidR="6A7BF3BC" w:rsidRPr="6A7BF3BC">
        <w:rPr>
          <w:rFonts w:eastAsia="Calibri" w:cs="Calibri"/>
          <w:color w:val="000000"/>
        </w:rPr>
        <w:t xml:space="preserve"> The eight month </w:t>
      </w:r>
      <w:r w:rsidR="6A7BF3BC" w:rsidRPr="6A7BF3BC">
        <w:rPr>
          <w:rFonts w:eastAsia="Calibri" w:cs="Calibri"/>
          <w:b/>
          <w:bCs/>
          <w:color w:val="000000"/>
        </w:rPr>
        <w:t>inception phase</w:t>
      </w:r>
      <w:r w:rsidR="6A7BF3BC" w:rsidRPr="6A7BF3BC">
        <w:rPr>
          <w:rFonts w:eastAsia="Calibri" w:cs="Calibri"/>
          <w:color w:val="000000"/>
        </w:rPr>
        <w:t xml:space="preserve"> to design the programme portfolio of country and regional grants, Fleming Fellows and the independent evaluation alongside </w:t>
      </w:r>
      <w:r w:rsidR="004B603A">
        <w:rPr>
          <w:rFonts w:eastAsia="Calibri" w:cs="Calibri"/>
          <w:color w:val="000000"/>
        </w:rPr>
        <w:t>DHSC</w:t>
      </w:r>
      <w:r w:rsidR="6A7BF3BC" w:rsidRPr="6A7BF3BC">
        <w:rPr>
          <w:rFonts w:eastAsia="Calibri" w:cs="Calibri"/>
          <w:color w:val="000000"/>
        </w:rPr>
        <w:t xml:space="preserve">. </w:t>
      </w:r>
    </w:p>
    <w:p w14:paraId="7284EF5A" w14:textId="3CE5CB91" w:rsidR="0028600E" w:rsidRPr="00CF0CAE" w:rsidRDefault="009E2AC2" w:rsidP="00C6374D">
      <w:pPr>
        <w:pStyle w:val="ListParagraph"/>
        <w:numPr>
          <w:ilvl w:val="0"/>
          <w:numId w:val="31"/>
        </w:numPr>
        <w:spacing w:before="120" w:after="120" w:line="280" w:lineRule="exact"/>
        <w:ind w:left="426" w:hanging="142"/>
        <w:jc w:val="both"/>
        <w:rPr>
          <w:rFonts w:eastAsia="Calibri" w:cs="Calibri"/>
          <w:color w:val="000000"/>
          <w:lang w:val="en-US"/>
        </w:rPr>
      </w:pPr>
      <w:r>
        <w:rPr>
          <w:rFonts w:eastAsia="Calibri" w:cs="Calibri"/>
          <w:b/>
          <w:bCs/>
          <w:color w:val="000000"/>
        </w:rPr>
        <w:t>phase 2</w:t>
      </w:r>
      <w:r w:rsidR="6A7BF3BC" w:rsidRPr="6A7BF3BC">
        <w:rPr>
          <w:rFonts w:eastAsia="Calibri" w:cs="Calibri"/>
          <w:b/>
          <w:bCs/>
          <w:color w:val="000000"/>
        </w:rPr>
        <w:t xml:space="preserve">: </w:t>
      </w:r>
      <w:r w:rsidR="6A7BF3BC" w:rsidRPr="6A7BF3BC">
        <w:rPr>
          <w:rFonts w:eastAsia="Calibri" w:cs="Calibri"/>
          <w:color w:val="000000"/>
        </w:rPr>
        <w:t xml:space="preserve">The </w:t>
      </w:r>
      <w:r w:rsidR="6A7BF3BC" w:rsidRPr="6A7BF3BC">
        <w:rPr>
          <w:rFonts w:eastAsia="Calibri" w:cs="Calibri"/>
          <w:b/>
          <w:bCs/>
          <w:color w:val="000000"/>
        </w:rPr>
        <w:t>implementation phase</w:t>
      </w:r>
      <w:r w:rsidR="6A7BF3BC" w:rsidRPr="6A7BF3BC">
        <w:rPr>
          <w:rFonts w:eastAsia="Calibri" w:cs="Calibri"/>
          <w:color w:val="000000"/>
        </w:rPr>
        <w:t xml:space="preserve"> to set up and manage the portfolio of country and regional grants, Fleming Fellows and the delivery of the independent evaluation. </w:t>
      </w:r>
    </w:p>
    <w:p w14:paraId="113F3C72" w14:textId="67436342" w:rsidR="0028600E" w:rsidRPr="00CF0CAE" w:rsidRDefault="00CF0CAE" w:rsidP="6A7BF3BC">
      <w:pPr>
        <w:spacing w:after="200" w:line="276" w:lineRule="auto"/>
        <w:ind w:left="-284"/>
        <w:jc w:val="both"/>
        <w:rPr>
          <w:rFonts w:eastAsia="Calibri" w:cs="Calibri"/>
          <w:color w:val="000000"/>
          <w:lang w:val="en-US"/>
        </w:rPr>
      </w:pPr>
      <w:r>
        <w:rPr>
          <w:noProof/>
        </w:rPr>
        <w:drawing>
          <wp:anchor distT="0" distB="0" distL="114300" distR="114300" simplePos="0" relativeHeight="251658240" behindDoc="1" locked="0" layoutInCell="1" allowOverlap="1" wp14:anchorId="2AF4FE40" wp14:editId="48BE17D3">
            <wp:simplePos x="0" y="0"/>
            <wp:positionH relativeFrom="column">
              <wp:posOffset>491490</wp:posOffset>
            </wp:positionH>
            <wp:positionV relativeFrom="paragraph">
              <wp:posOffset>454025</wp:posOffset>
            </wp:positionV>
            <wp:extent cx="4572000" cy="1619250"/>
            <wp:effectExtent l="0" t="0" r="0" b="0"/>
            <wp:wrapTopAndBottom/>
            <wp:docPr id="1415503973" name="Picture 141550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4572000" cy="1619250"/>
                    </a:xfrm>
                    <a:prstGeom prst="rect">
                      <a:avLst/>
                    </a:prstGeom>
                  </pic:spPr>
                </pic:pic>
              </a:graphicData>
            </a:graphic>
          </wp:anchor>
        </w:drawing>
      </w:r>
      <w:r w:rsidR="6A7BF3BC" w:rsidRPr="6A7BF3BC">
        <w:rPr>
          <w:rFonts w:eastAsia="Calibri" w:cs="Calibri"/>
          <w:b/>
          <w:bCs/>
          <w:color w:val="000000"/>
        </w:rPr>
        <w:t xml:space="preserve"> Figure 1. Organogram of Fleming Fund </w:t>
      </w:r>
      <w:r w:rsidR="004932C7">
        <w:rPr>
          <w:rFonts w:eastAsia="Calibri" w:cs="Calibri"/>
          <w:b/>
          <w:bCs/>
          <w:color w:val="000000"/>
        </w:rPr>
        <w:t>workstreams</w:t>
      </w:r>
      <w:r w:rsidR="6A7BF3BC" w:rsidRPr="6A7BF3BC">
        <w:rPr>
          <w:rFonts w:eastAsia="Calibri" w:cs="Calibri"/>
          <w:b/>
          <w:bCs/>
          <w:color w:val="000000"/>
        </w:rPr>
        <w:t xml:space="preserve"> </w:t>
      </w:r>
    </w:p>
    <w:p w14:paraId="257D9780" w14:textId="0C0A6219" w:rsidR="0028600E" w:rsidRPr="00345474" w:rsidRDefault="0028600E" w:rsidP="6A7BF3BC">
      <w:pPr>
        <w:spacing w:after="200" w:line="276" w:lineRule="auto"/>
        <w:ind w:left="-851"/>
        <w:jc w:val="both"/>
        <w:rPr>
          <w:rFonts w:eastAsia="Calibri" w:cs="Calibri"/>
          <w:color w:val="000000"/>
          <w:lang w:val="en-US"/>
        </w:rPr>
      </w:pPr>
    </w:p>
    <w:p w14:paraId="3DCC33B6" w14:textId="4DD4E7FB" w:rsidR="0028600E" w:rsidRPr="00345474" w:rsidRDefault="0028600E" w:rsidP="6A7BF3BC">
      <w:pPr>
        <w:jc w:val="both"/>
        <w:rPr>
          <w:rFonts w:eastAsia="Calibri" w:cs="Calibri"/>
          <w:b/>
          <w:bCs/>
          <w:color w:val="73B632"/>
          <w:lang w:val="en-US"/>
        </w:rPr>
      </w:pPr>
    </w:p>
    <w:p w14:paraId="4AE1725A" w14:textId="6ED90983" w:rsidR="0028600E" w:rsidRPr="00093F07" w:rsidRDefault="6A7BF3BC" w:rsidP="00C6374D">
      <w:pPr>
        <w:pStyle w:val="ListParagraph"/>
        <w:numPr>
          <w:ilvl w:val="1"/>
          <w:numId w:val="34"/>
        </w:numPr>
        <w:spacing w:before="120" w:after="120"/>
        <w:ind w:left="284" w:hanging="426"/>
        <w:jc w:val="both"/>
        <w:rPr>
          <w:rFonts w:eastAsia="Calibri" w:cs="Calibri"/>
          <w:color w:val="000000"/>
        </w:rPr>
      </w:pPr>
      <w:r w:rsidRPr="00093F07">
        <w:rPr>
          <w:rFonts w:eastAsia="Calibri" w:cs="Calibri"/>
          <w:b/>
          <w:bCs/>
          <w:color w:val="000000"/>
        </w:rPr>
        <w:t>Work stream 1 – Portfolio of country and regional projects (Management Agent):</w:t>
      </w:r>
      <w:r w:rsidRPr="00093F07">
        <w:rPr>
          <w:rFonts w:eastAsia="Calibri" w:cs="Calibri"/>
          <w:color w:val="000000"/>
        </w:rPr>
        <w:t xml:space="preserve"> This work stream is the focal point of the Fleming Fund and will be delivered by the selected Management Agent supplier. </w:t>
      </w:r>
    </w:p>
    <w:p w14:paraId="404EC532" w14:textId="23996FDF" w:rsidR="0028600E" w:rsidRDefault="6A7BF3BC" w:rsidP="00C6374D">
      <w:pPr>
        <w:pStyle w:val="ListParagraph"/>
        <w:numPr>
          <w:ilvl w:val="1"/>
          <w:numId w:val="34"/>
        </w:numPr>
        <w:spacing w:before="120" w:after="120"/>
        <w:ind w:left="284" w:hanging="426"/>
        <w:jc w:val="both"/>
        <w:rPr>
          <w:rFonts w:eastAsia="Calibri" w:cs="Calibri"/>
          <w:color w:val="000000"/>
        </w:rPr>
      </w:pPr>
      <w:r w:rsidRPr="00093F07">
        <w:rPr>
          <w:rFonts w:eastAsia="Calibri" w:cs="Calibri"/>
          <w:color w:val="000000"/>
        </w:rPr>
        <w:t>The focus of country and regional grants will be to improve laboratory capacity for diagnosis as well as surveillance on AMR, and surveillance of the use of antimicrobial medicines. It is recognised that any improvements to laboratory infrastructure and capacity will not happen in isolation, but will rather need to complement the sustaining ecosystem around the laboratory including: external quality assurance; effective collection of samples; flow of samples to the laboratory; trained staff to undertake sample testing; and efficient mechanisms to share data.</w:t>
      </w:r>
    </w:p>
    <w:p w14:paraId="6B1C5455" w14:textId="77777777" w:rsidR="00093F07" w:rsidRPr="00093F07" w:rsidRDefault="00093F07" w:rsidP="00093F07">
      <w:pPr>
        <w:pStyle w:val="ListParagraph"/>
        <w:spacing w:before="120" w:after="120"/>
        <w:ind w:left="284"/>
        <w:jc w:val="both"/>
        <w:rPr>
          <w:rFonts w:eastAsia="Calibri" w:cs="Calibri"/>
          <w:color w:val="000000"/>
        </w:rPr>
      </w:pPr>
    </w:p>
    <w:p w14:paraId="4D747836" w14:textId="387E6753" w:rsidR="0028600E" w:rsidRPr="00CF0CAE" w:rsidRDefault="6A7BF3BC" w:rsidP="00C6374D">
      <w:pPr>
        <w:pStyle w:val="ListParagraph"/>
        <w:numPr>
          <w:ilvl w:val="1"/>
          <w:numId w:val="34"/>
        </w:numPr>
        <w:spacing w:before="120" w:after="120"/>
        <w:ind w:left="284" w:hanging="426"/>
        <w:jc w:val="both"/>
        <w:rPr>
          <w:rFonts w:eastAsia="Calibri" w:cs="Calibri"/>
          <w:b/>
          <w:bCs/>
          <w:iCs/>
          <w:color w:val="73B632"/>
          <w:lang w:val="en-US"/>
        </w:rPr>
      </w:pPr>
      <w:r w:rsidRPr="00093F07">
        <w:rPr>
          <w:rFonts w:eastAsia="Calibri" w:cs="Calibri"/>
          <w:color w:val="000000"/>
        </w:rPr>
        <w:t>Cou</w:t>
      </w:r>
      <w:r w:rsidRPr="00093F07">
        <w:rPr>
          <w:rFonts w:eastAsia="Calibri" w:cs="Calibri"/>
          <w:u w:val="single"/>
        </w:rPr>
        <w:t>ntry One Health grants during implementation phase may include but are not limited to</w:t>
      </w:r>
      <w:r w:rsidRPr="6A7BF3BC">
        <w:rPr>
          <w:rFonts w:eastAsia="Calibri" w:cs="Calibri"/>
          <w:color w:val="73B632"/>
          <w:u w:val="single"/>
        </w:rPr>
        <w:t>:</w:t>
      </w:r>
    </w:p>
    <w:p w14:paraId="5FD0DED9" w14:textId="18503112" w:rsidR="0028600E" w:rsidRPr="00093F07" w:rsidRDefault="6A7BF3BC" w:rsidP="00C6374D">
      <w:pPr>
        <w:pStyle w:val="ListParagraph"/>
        <w:numPr>
          <w:ilvl w:val="0"/>
          <w:numId w:val="30"/>
        </w:numPr>
        <w:spacing w:before="120"/>
        <w:ind w:left="1134"/>
        <w:jc w:val="both"/>
        <w:rPr>
          <w:rFonts w:eastAsia="Calibri" w:cs="Calibri"/>
          <w:color w:val="000000"/>
        </w:rPr>
      </w:pPr>
      <w:r w:rsidRPr="6A7BF3BC">
        <w:rPr>
          <w:rFonts w:eastAsia="Calibri" w:cs="Calibri"/>
          <w:color w:val="000000"/>
        </w:rPr>
        <w:t>Equipping and refurbishing laboratories so that they are able to reliably undertake bacterial diagnosis and antimicrobial sensitivity testing.</w:t>
      </w:r>
    </w:p>
    <w:p w14:paraId="5EF2B981" w14:textId="6AE054C0" w:rsidR="0028600E" w:rsidRPr="00CF0CAE" w:rsidRDefault="6A7BF3BC" w:rsidP="00C6374D">
      <w:pPr>
        <w:pStyle w:val="ListParagraph"/>
        <w:numPr>
          <w:ilvl w:val="0"/>
          <w:numId w:val="30"/>
        </w:numPr>
        <w:spacing w:before="120"/>
        <w:ind w:left="1134"/>
        <w:jc w:val="both"/>
        <w:rPr>
          <w:rFonts w:eastAsia="Calibri" w:cs="Calibri"/>
          <w:color w:val="000000"/>
          <w:lang w:val="en-US"/>
        </w:rPr>
      </w:pPr>
      <w:r w:rsidRPr="6A7BF3BC">
        <w:rPr>
          <w:rFonts w:eastAsia="Calibri" w:cs="Calibri"/>
          <w:color w:val="000000"/>
        </w:rPr>
        <w:t xml:space="preserve">Supporting biosafety and biosecurity improvements within and around the laboratory and sample sharing context. </w:t>
      </w:r>
    </w:p>
    <w:p w14:paraId="0CE5C006" w14:textId="7925862C" w:rsidR="0028600E" w:rsidRPr="00CF0CAE" w:rsidRDefault="6A7BF3BC" w:rsidP="00C6374D">
      <w:pPr>
        <w:pStyle w:val="ListParagraph"/>
        <w:numPr>
          <w:ilvl w:val="0"/>
          <w:numId w:val="30"/>
        </w:numPr>
        <w:spacing w:before="120"/>
        <w:ind w:left="1134"/>
        <w:jc w:val="both"/>
        <w:rPr>
          <w:rFonts w:eastAsia="Calibri" w:cs="Calibri"/>
          <w:color w:val="000000"/>
          <w:lang w:val="en-US"/>
        </w:rPr>
      </w:pPr>
      <w:r w:rsidRPr="6A7BF3BC">
        <w:rPr>
          <w:rFonts w:eastAsia="Calibri" w:cs="Calibri"/>
          <w:color w:val="000000"/>
        </w:rPr>
        <w:t>Training staff on diagnosis and antimicrobial sensitivity testing, using laboratory equipment and undertaking AMR surveillance.</w:t>
      </w:r>
    </w:p>
    <w:p w14:paraId="7BD964CD" w14:textId="07690BBA" w:rsidR="0028600E" w:rsidRPr="00CF0CAE" w:rsidRDefault="6A7BF3BC" w:rsidP="00C6374D">
      <w:pPr>
        <w:pStyle w:val="ListParagraph"/>
        <w:numPr>
          <w:ilvl w:val="0"/>
          <w:numId w:val="30"/>
        </w:numPr>
        <w:spacing w:before="120"/>
        <w:ind w:left="1134"/>
        <w:jc w:val="both"/>
        <w:rPr>
          <w:rFonts w:eastAsia="Calibri" w:cs="Calibri"/>
          <w:color w:val="000000"/>
          <w:lang w:val="en-US"/>
        </w:rPr>
      </w:pPr>
      <w:r w:rsidRPr="6A7BF3BC">
        <w:rPr>
          <w:rFonts w:eastAsia="Calibri" w:cs="Calibri"/>
          <w:color w:val="000000"/>
        </w:rPr>
        <w:t xml:space="preserve">Running hardware and software to support epidemiological investigation and improved surveillance of resistance trends. </w:t>
      </w:r>
    </w:p>
    <w:p w14:paraId="4FA752F0" w14:textId="4672E856" w:rsidR="0028600E" w:rsidRPr="00CF0CAE" w:rsidRDefault="6A7BF3BC" w:rsidP="00C6374D">
      <w:pPr>
        <w:pStyle w:val="ListParagraph"/>
        <w:numPr>
          <w:ilvl w:val="0"/>
          <w:numId w:val="30"/>
        </w:numPr>
        <w:spacing w:before="120"/>
        <w:ind w:left="1134"/>
        <w:jc w:val="both"/>
        <w:rPr>
          <w:rFonts w:eastAsia="Calibri" w:cs="Calibri"/>
          <w:color w:val="000000"/>
          <w:lang w:val="en-US"/>
        </w:rPr>
      </w:pPr>
      <w:r w:rsidRPr="6A7BF3BC">
        <w:rPr>
          <w:rFonts w:eastAsia="Calibri" w:cs="Calibri"/>
          <w:color w:val="000000"/>
        </w:rPr>
        <w:t>Developing surveillance systems that are capable of delivering real time AMR surveillance that can be shared nationally, regionally and globally.</w:t>
      </w:r>
    </w:p>
    <w:p w14:paraId="55F9B9D7" w14:textId="1575DDC5" w:rsidR="0028600E" w:rsidRPr="00CF0CAE" w:rsidRDefault="6A7BF3BC" w:rsidP="00C6374D">
      <w:pPr>
        <w:pStyle w:val="ListParagraph"/>
        <w:numPr>
          <w:ilvl w:val="0"/>
          <w:numId w:val="30"/>
        </w:numPr>
        <w:spacing w:before="120"/>
        <w:ind w:left="1134"/>
        <w:jc w:val="both"/>
        <w:rPr>
          <w:rFonts w:eastAsia="Calibri" w:cs="Calibri"/>
          <w:color w:val="000000"/>
          <w:lang w:val="en-US"/>
        </w:rPr>
      </w:pPr>
      <w:r w:rsidRPr="6A7BF3BC">
        <w:rPr>
          <w:rFonts w:eastAsia="Calibri" w:cs="Calibri"/>
          <w:color w:val="000000"/>
        </w:rPr>
        <w:t>Undertaking point prevalence studies to gain a snapshot of the AMR burden in specific areas.</w:t>
      </w:r>
    </w:p>
    <w:p w14:paraId="50BB8506" w14:textId="0F4CCBDE" w:rsidR="0028600E" w:rsidRPr="00CF0CAE" w:rsidRDefault="6A7BF3BC" w:rsidP="00C6374D">
      <w:pPr>
        <w:pStyle w:val="ListParagraph"/>
        <w:numPr>
          <w:ilvl w:val="0"/>
          <w:numId w:val="30"/>
        </w:numPr>
        <w:spacing w:before="120"/>
        <w:ind w:left="1134"/>
        <w:jc w:val="both"/>
        <w:rPr>
          <w:rFonts w:eastAsia="Calibri" w:cs="Calibri"/>
          <w:color w:val="000000"/>
          <w:lang w:val="en-US"/>
        </w:rPr>
      </w:pPr>
      <w:r w:rsidRPr="6A7BF3BC">
        <w:rPr>
          <w:rFonts w:eastAsia="Calibri" w:cs="Calibri"/>
          <w:color w:val="000000"/>
        </w:rPr>
        <w:t>Collating and analysing data on the sale and use of antimicrobial medicines, particularly antibiotics at a country level.</w:t>
      </w:r>
    </w:p>
    <w:p w14:paraId="48FE2A49" w14:textId="689C483E" w:rsidR="0028600E" w:rsidRPr="00CF0CAE" w:rsidRDefault="6A7BF3BC" w:rsidP="00C6374D">
      <w:pPr>
        <w:pStyle w:val="ListParagraph"/>
        <w:numPr>
          <w:ilvl w:val="0"/>
          <w:numId w:val="30"/>
        </w:numPr>
        <w:spacing w:before="120"/>
        <w:ind w:left="1134"/>
        <w:jc w:val="both"/>
        <w:rPr>
          <w:rFonts w:eastAsia="Calibri" w:cs="Calibri"/>
          <w:color w:val="000000"/>
          <w:lang w:val="en-US"/>
        </w:rPr>
      </w:pPr>
      <w:r w:rsidRPr="6A7BF3BC">
        <w:rPr>
          <w:rFonts w:eastAsia="Calibri" w:cs="Calibri"/>
          <w:color w:val="000000"/>
        </w:rPr>
        <w:t>Undertaking policy and advocacy work with national governments, using AMR data and analysis collected to make the case for evidence-based public health interventions.</w:t>
      </w:r>
    </w:p>
    <w:p w14:paraId="177B0A1B" w14:textId="36875CAA" w:rsidR="0028600E" w:rsidRPr="00093F07" w:rsidRDefault="6A7BF3BC" w:rsidP="00C6374D">
      <w:pPr>
        <w:pStyle w:val="ListParagraph"/>
        <w:numPr>
          <w:ilvl w:val="0"/>
          <w:numId w:val="30"/>
        </w:numPr>
        <w:spacing w:before="120"/>
        <w:ind w:left="1134"/>
        <w:jc w:val="both"/>
        <w:rPr>
          <w:rFonts w:eastAsia="Calibri" w:cs="Calibri"/>
          <w:color w:val="000000"/>
          <w:lang w:val="en-US"/>
        </w:rPr>
      </w:pPr>
      <w:r w:rsidRPr="6A7BF3BC">
        <w:rPr>
          <w:rFonts w:eastAsia="Calibri" w:cs="Calibri"/>
          <w:color w:val="000000"/>
        </w:rPr>
        <w:t>Improving national capacity to regularly collate and upload data to an international data sharing platform represented by GLASS</w:t>
      </w:r>
      <w:r w:rsidRPr="6A7BF3BC">
        <w:rPr>
          <w:rFonts w:eastAsia="Calibri" w:cs="Calibri"/>
          <w:color w:val="000000"/>
          <w:vertAlign w:val="superscript"/>
        </w:rPr>
        <w:t>6</w:t>
      </w:r>
      <w:r w:rsidRPr="6A7BF3BC">
        <w:rPr>
          <w:rFonts w:eastAsia="Calibri" w:cs="Calibri"/>
          <w:color w:val="000000"/>
        </w:rPr>
        <w:t>, and other data sharing platforms such as the Institute of Health Metrics Evaluation (IHME) GBD</w:t>
      </w:r>
      <w:r w:rsidRPr="6A7BF3BC">
        <w:rPr>
          <w:rFonts w:eastAsia="Calibri" w:cs="Calibri"/>
          <w:color w:val="000000"/>
          <w:vertAlign w:val="superscript"/>
        </w:rPr>
        <w:t>7</w:t>
      </w:r>
    </w:p>
    <w:p w14:paraId="0AF42980" w14:textId="77777777" w:rsidR="00093F07" w:rsidRPr="00CF0CAE" w:rsidRDefault="00093F07" w:rsidP="00093F07">
      <w:pPr>
        <w:pStyle w:val="ListParagraph"/>
        <w:spacing w:before="120"/>
        <w:ind w:left="1134"/>
        <w:jc w:val="both"/>
        <w:rPr>
          <w:rFonts w:eastAsia="Calibri" w:cs="Calibri"/>
          <w:color w:val="000000"/>
          <w:lang w:val="en-US"/>
        </w:rPr>
      </w:pPr>
    </w:p>
    <w:p w14:paraId="08043E9E" w14:textId="436F8D18" w:rsidR="0028600E" w:rsidRPr="00093F07" w:rsidRDefault="6A7BF3BC" w:rsidP="00C6374D">
      <w:pPr>
        <w:pStyle w:val="ListParagraph"/>
        <w:numPr>
          <w:ilvl w:val="1"/>
          <w:numId w:val="34"/>
        </w:numPr>
        <w:spacing w:before="120" w:after="120"/>
        <w:ind w:left="284" w:hanging="426"/>
        <w:jc w:val="both"/>
        <w:rPr>
          <w:rFonts w:eastAsia="Calibri" w:cs="Calibri"/>
          <w:color w:val="000000"/>
          <w:lang w:val="en-US"/>
        </w:rPr>
      </w:pPr>
      <w:r w:rsidRPr="00093F07">
        <w:rPr>
          <w:rFonts w:eastAsia="Calibri" w:cs="Calibri"/>
          <w:color w:val="000000"/>
        </w:rPr>
        <w:t>National grants must be effectively embedded in national public health systems, acceptable under principles for support set out by the relevant Ministry of Health in the chosen location and integrated as part of a sustainable plan to improve laboratory capacity for bacterial diagnosis, data collection and surveillance on AMR long term. Grants should align with wider national work on achieving the International Health Regulation Core Capacities</w:t>
      </w:r>
      <w:r w:rsidRPr="00093F07">
        <w:rPr>
          <w:rFonts w:eastAsia="Calibri" w:cs="Calibri"/>
          <w:color w:val="000000"/>
          <w:vertAlign w:val="superscript"/>
        </w:rPr>
        <w:t>8</w:t>
      </w:r>
      <w:r w:rsidRPr="00093F07">
        <w:rPr>
          <w:rFonts w:eastAsia="Calibri" w:cs="Calibri"/>
          <w:color w:val="000000"/>
        </w:rPr>
        <w:t xml:space="preserve"> and make a </w:t>
      </w:r>
      <w:r w:rsidR="009F1B79" w:rsidRPr="00093F07">
        <w:rPr>
          <w:rFonts w:eastAsia="Calibri" w:cs="Calibri"/>
          <w:color w:val="000000"/>
        </w:rPr>
        <w:t>measurable</w:t>
      </w:r>
      <w:r w:rsidRPr="00093F07">
        <w:rPr>
          <w:rFonts w:eastAsia="Calibri" w:cs="Calibri"/>
          <w:color w:val="000000"/>
        </w:rPr>
        <w:t xml:space="preserve"> contribution to this progress. </w:t>
      </w:r>
    </w:p>
    <w:p w14:paraId="45EDCF5F" w14:textId="2964E93D" w:rsidR="0028600E" w:rsidRPr="00CF0CAE" w:rsidRDefault="0028600E" w:rsidP="6A7BF3BC">
      <w:pPr>
        <w:spacing w:before="120" w:after="160" w:line="252" w:lineRule="auto"/>
        <w:ind w:left="425"/>
        <w:jc w:val="both"/>
        <w:rPr>
          <w:rFonts w:eastAsia="Calibri" w:cs="Calibri"/>
          <w:color w:val="000000"/>
          <w:lang w:val="en-US"/>
        </w:rPr>
      </w:pPr>
    </w:p>
    <w:p w14:paraId="68CEFC30" w14:textId="0C2CB730" w:rsidR="0028600E" w:rsidRPr="00093F07" w:rsidRDefault="6A7BF3BC" w:rsidP="00C6374D">
      <w:pPr>
        <w:pStyle w:val="ListParagraph"/>
        <w:numPr>
          <w:ilvl w:val="1"/>
          <w:numId w:val="34"/>
        </w:numPr>
        <w:spacing w:before="120" w:after="120"/>
        <w:ind w:left="284" w:hanging="426"/>
        <w:jc w:val="both"/>
        <w:rPr>
          <w:rFonts w:eastAsia="Calibri" w:cs="Calibri"/>
          <w:color w:val="000000"/>
          <w:lang w:val="en-US"/>
        </w:rPr>
      </w:pPr>
      <w:r w:rsidRPr="00093F07">
        <w:rPr>
          <w:rFonts w:eastAsia="Calibri" w:cs="Calibri"/>
          <w:color w:val="000000"/>
          <w:u w:val="single"/>
        </w:rPr>
        <w:t>Regional One Health grants during implementation may include but are not limited to:</w:t>
      </w:r>
    </w:p>
    <w:p w14:paraId="7C2B08AC" w14:textId="31C2F265" w:rsidR="0028600E" w:rsidRPr="00CF0CAE" w:rsidRDefault="6A7BF3BC" w:rsidP="00C6374D">
      <w:pPr>
        <w:pStyle w:val="ListParagraph"/>
        <w:numPr>
          <w:ilvl w:val="0"/>
          <w:numId w:val="29"/>
        </w:numPr>
        <w:spacing w:before="120"/>
        <w:ind w:left="1134"/>
        <w:jc w:val="both"/>
        <w:rPr>
          <w:rFonts w:eastAsia="Calibri" w:cs="Calibri"/>
          <w:color w:val="000000"/>
          <w:lang w:val="en-US"/>
        </w:rPr>
      </w:pPr>
      <w:r w:rsidRPr="6A7BF3BC">
        <w:rPr>
          <w:rFonts w:eastAsia="Calibri" w:cs="Calibri"/>
          <w:color w:val="000000"/>
        </w:rPr>
        <w:t>Enhancing the capability of existing regional surveillance networks.</w:t>
      </w:r>
    </w:p>
    <w:p w14:paraId="39FA2EE0" w14:textId="11E269E9" w:rsidR="0028600E" w:rsidRPr="00CF0CAE" w:rsidRDefault="6A7BF3BC" w:rsidP="00C6374D">
      <w:pPr>
        <w:pStyle w:val="ListParagraph"/>
        <w:numPr>
          <w:ilvl w:val="0"/>
          <w:numId w:val="29"/>
        </w:numPr>
        <w:spacing w:before="120"/>
        <w:ind w:left="1134"/>
        <w:jc w:val="both"/>
        <w:rPr>
          <w:rFonts w:eastAsia="Calibri" w:cs="Calibri"/>
          <w:color w:val="000000"/>
          <w:lang w:val="en-US"/>
        </w:rPr>
      </w:pPr>
      <w:r w:rsidRPr="6A7BF3BC">
        <w:rPr>
          <w:rFonts w:eastAsia="Calibri" w:cs="Calibri"/>
          <w:color w:val="000000"/>
        </w:rPr>
        <w:t>Training and development on laboratory testing, AMR surveillance at a regional level and undertaking regional quality assurance of surveillance data.</w:t>
      </w:r>
    </w:p>
    <w:p w14:paraId="2DD8D03F" w14:textId="5149F0D4" w:rsidR="0028600E" w:rsidRPr="00CF0CAE" w:rsidRDefault="6A7BF3BC" w:rsidP="00C6374D">
      <w:pPr>
        <w:pStyle w:val="ListParagraph"/>
        <w:numPr>
          <w:ilvl w:val="0"/>
          <w:numId w:val="29"/>
        </w:numPr>
        <w:spacing w:before="120"/>
        <w:ind w:left="1134"/>
        <w:jc w:val="both"/>
        <w:rPr>
          <w:rFonts w:eastAsia="Calibri" w:cs="Calibri"/>
          <w:color w:val="000000"/>
          <w:lang w:val="en-US"/>
        </w:rPr>
      </w:pPr>
      <w:r w:rsidRPr="6A7BF3BC">
        <w:rPr>
          <w:rFonts w:eastAsia="Calibri" w:cs="Calibri"/>
          <w:color w:val="000000"/>
        </w:rPr>
        <w:t xml:space="preserve">Delivering external quality assurance services. </w:t>
      </w:r>
    </w:p>
    <w:p w14:paraId="4D58D326" w14:textId="07F82DCE" w:rsidR="0028600E" w:rsidRPr="00CF0CAE" w:rsidRDefault="6A7BF3BC" w:rsidP="00C6374D">
      <w:pPr>
        <w:pStyle w:val="ListParagraph"/>
        <w:numPr>
          <w:ilvl w:val="0"/>
          <w:numId w:val="29"/>
        </w:numPr>
        <w:spacing w:before="120"/>
        <w:ind w:left="1134"/>
        <w:jc w:val="both"/>
        <w:rPr>
          <w:rFonts w:eastAsia="Calibri" w:cs="Calibri"/>
          <w:color w:val="000000"/>
          <w:lang w:val="en-US"/>
        </w:rPr>
      </w:pPr>
      <w:r w:rsidRPr="6A7BF3BC">
        <w:rPr>
          <w:rFonts w:eastAsia="Calibri" w:cs="Calibri"/>
          <w:color w:val="000000"/>
        </w:rPr>
        <w:t>Improving regional capacity to regularly collate and upload data to an international data sharing platform represented by GLASS, and other data sharing platforms such as the GBD.</w:t>
      </w:r>
    </w:p>
    <w:p w14:paraId="22EF1366" w14:textId="739AAF86" w:rsidR="0028600E" w:rsidRPr="00CF0CAE" w:rsidRDefault="6A7BF3BC" w:rsidP="00C6374D">
      <w:pPr>
        <w:pStyle w:val="ListParagraph"/>
        <w:numPr>
          <w:ilvl w:val="0"/>
          <w:numId w:val="29"/>
        </w:numPr>
        <w:spacing w:before="120"/>
        <w:ind w:left="1134"/>
        <w:jc w:val="both"/>
        <w:rPr>
          <w:rFonts w:eastAsia="Calibri" w:cs="Calibri"/>
          <w:color w:val="000000"/>
          <w:lang w:val="en-US"/>
        </w:rPr>
      </w:pPr>
      <w:r w:rsidRPr="6A7BF3BC">
        <w:rPr>
          <w:rFonts w:eastAsia="Calibri" w:cs="Calibri"/>
          <w:color w:val="000000"/>
        </w:rPr>
        <w:t>Collating and analysing data on the sale and use of antimicrobial medicines, particularly antibiotics at a regional level.</w:t>
      </w:r>
    </w:p>
    <w:p w14:paraId="688D6274" w14:textId="63D76442" w:rsidR="0028600E" w:rsidRPr="00CF0CAE" w:rsidRDefault="6A7BF3BC" w:rsidP="00C6374D">
      <w:pPr>
        <w:pStyle w:val="ListParagraph"/>
        <w:numPr>
          <w:ilvl w:val="0"/>
          <w:numId w:val="29"/>
        </w:numPr>
        <w:spacing w:before="120"/>
        <w:ind w:left="1134"/>
        <w:jc w:val="both"/>
        <w:rPr>
          <w:rFonts w:eastAsia="Calibri" w:cs="Calibri"/>
          <w:color w:val="000000"/>
          <w:lang w:val="en-US"/>
        </w:rPr>
      </w:pPr>
      <w:r w:rsidRPr="6A7BF3BC">
        <w:rPr>
          <w:rFonts w:eastAsia="Calibri" w:cs="Calibri"/>
          <w:color w:val="000000"/>
        </w:rPr>
        <w:t>Convening regional meetings and conferences to share skills and learning on improving laboratory capacity, data collection and surveillance of AMR in low resource settings.</w:t>
      </w:r>
    </w:p>
    <w:p w14:paraId="379BE793" w14:textId="5F6DDAAF" w:rsidR="0028600E" w:rsidRPr="00093F07" w:rsidRDefault="6A7BF3BC" w:rsidP="00C6374D">
      <w:pPr>
        <w:pStyle w:val="ListParagraph"/>
        <w:numPr>
          <w:ilvl w:val="0"/>
          <w:numId w:val="29"/>
        </w:numPr>
        <w:spacing w:before="120"/>
        <w:ind w:left="1134"/>
        <w:jc w:val="both"/>
        <w:rPr>
          <w:rFonts w:eastAsia="Calibri" w:cs="Calibri"/>
          <w:color w:val="000000"/>
          <w:lang w:val="en-US"/>
        </w:rPr>
      </w:pPr>
      <w:r w:rsidRPr="6A7BF3BC">
        <w:rPr>
          <w:rFonts w:eastAsia="Calibri" w:cs="Calibri"/>
          <w:color w:val="000000"/>
        </w:rPr>
        <w:t xml:space="preserve">Developing Massive Open Online Courses (MOOCs) to disseminate information on AMR, infection prevention control, surveillance protocols and other relevant subject areas required to improve national, regional and international understanding. </w:t>
      </w:r>
    </w:p>
    <w:p w14:paraId="4C17FCF2" w14:textId="77777777" w:rsidR="00093F07" w:rsidRPr="00CF0CAE" w:rsidRDefault="00093F07" w:rsidP="00093F07">
      <w:pPr>
        <w:pStyle w:val="ListParagraph"/>
        <w:spacing w:before="120"/>
        <w:ind w:left="1134"/>
        <w:jc w:val="both"/>
        <w:rPr>
          <w:rFonts w:eastAsia="Calibri" w:cs="Calibri"/>
          <w:color w:val="000000"/>
          <w:lang w:val="en-US"/>
        </w:rPr>
      </w:pPr>
    </w:p>
    <w:p w14:paraId="47A32B3E" w14:textId="0DF55FB4" w:rsidR="00093F07" w:rsidRPr="00093F07" w:rsidRDefault="6A7BF3BC" w:rsidP="00C6374D">
      <w:pPr>
        <w:pStyle w:val="ListParagraph"/>
        <w:numPr>
          <w:ilvl w:val="1"/>
          <w:numId w:val="34"/>
        </w:numPr>
        <w:spacing w:before="120" w:after="120"/>
        <w:ind w:left="284" w:hanging="426"/>
        <w:jc w:val="both"/>
        <w:rPr>
          <w:rFonts w:eastAsia="Calibri" w:cs="Calibri"/>
          <w:b/>
          <w:bCs/>
          <w:iCs/>
          <w:lang w:val="en-US"/>
        </w:rPr>
      </w:pPr>
      <w:r w:rsidRPr="00093F07">
        <w:rPr>
          <w:rFonts w:eastAsia="Calibri" w:cs="Calibri"/>
          <w:u w:val="single"/>
        </w:rPr>
        <w:t>Country eligibility for receipt of grant funding will be:</w:t>
      </w:r>
    </w:p>
    <w:p w14:paraId="542F5B3C" w14:textId="63D7C588" w:rsidR="0028600E" w:rsidRPr="00CF0CAE" w:rsidRDefault="6A7BF3BC" w:rsidP="00C6374D">
      <w:pPr>
        <w:pStyle w:val="ListParagraph"/>
        <w:numPr>
          <w:ilvl w:val="0"/>
          <w:numId w:val="29"/>
        </w:numPr>
        <w:spacing w:before="120" w:after="120" w:line="280" w:lineRule="exact"/>
        <w:ind w:left="1134"/>
        <w:jc w:val="both"/>
        <w:rPr>
          <w:rFonts w:eastAsia="Calibri" w:cs="Calibri"/>
          <w:color w:val="000000"/>
          <w:lang w:val="en-US"/>
        </w:rPr>
      </w:pPr>
      <w:r w:rsidRPr="6A7BF3BC">
        <w:rPr>
          <w:rFonts w:eastAsia="Calibri" w:cs="Calibri"/>
          <w:color w:val="000000"/>
        </w:rPr>
        <w:t>An ODA eligible country with a particular focus on the low or lower-middle income group</w:t>
      </w:r>
      <w:r w:rsidRPr="6A7BF3BC">
        <w:rPr>
          <w:rFonts w:eastAsia="Calibri" w:cs="Calibri"/>
          <w:color w:val="000000"/>
          <w:vertAlign w:val="superscript"/>
        </w:rPr>
        <w:t>9</w:t>
      </w:r>
      <w:r w:rsidRPr="6A7BF3BC">
        <w:rPr>
          <w:rFonts w:eastAsia="Calibri" w:cs="Calibri"/>
          <w:color w:val="000000"/>
        </w:rPr>
        <w:t>.</w:t>
      </w:r>
    </w:p>
    <w:p w14:paraId="5E89FD93" w14:textId="65D965DA" w:rsidR="0028600E" w:rsidRPr="00CF0CAE" w:rsidRDefault="6A7BF3BC" w:rsidP="00C6374D">
      <w:pPr>
        <w:pStyle w:val="ListParagraph"/>
        <w:numPr>
          <w:ilvl w:val="0"/>
          <w:numId w:val="29"/>
        </w:numPr>
        <w:spacing w:before="120" w:after="120" w:line="280" w:lineRule="exact"/>
        <w:ind w:left="1134"/>
        <w:jc w:val="both"/>
        <w:rPr>
          <w:rFonts w:eastAsia="Calibri" w:cs="Calibri"/>
          <w:color w:val="000000"/>
          <w:lang w:val="en-US"/>
        </w:rPr>
      </w:pPr>
      <w:r w:rsidRPr="6A7BF3BC">
        <w:rPr>
          <w:rFonts w:eastAsia="Calibri" w:cs="Calibri"/>
          <w:color w:val="000000"/>
        </w:rPr>
        <w:t>Evidence of a robust National Action Plan or considerable effort towards developing this plan</w:t>
      </w:r>
    </w:p>
    <w:p w14:paraId="224E5B4B" w14:textId="5ACB5ECD" w:rsidR="0028600E" w:rsidRPr="00CF0CAE" w:rsidRDefault="6A7BF3BC" w:rsidP="00C6374D">
      <w:pPr>
        <w:pStyle w:val="ListParagraph"/>
        <w:numPr>
          <w:ilvl w:val="0"/>
          <w:numId w:val="29"/>
        </w:numPr>
        <w:spacing w:before="120" w:after="120" w:line="280" w:lineRule="exact"/>
        <w:ind w:left="1134"/>
        <w:jc w:val="both"/>
        <w:rPr>
          <w:rFonts w:eastAsia="Calibri" w:cs="Calibri"/>
          <w:color w:val="000000"/>
          <w:lang w:val="en-US"/>
        </w:rPr>
      </w:pPr>
      <w:r w:rsidRPr="6A7BF3BC">
        <w:rPr>
          <w:rFonts w:eastAsia="Calibri" w:cs="Calibri"/>
          <w:color w:val="000000"/>
        </w:rPr>
        <w:t>Evidence of recognition and commitment to Fleming Fund projects by the national government. This may be a memorandum of understanding or letter of intent with the relevant Ministry of Health with details of any national engagement or resources that could be used to support the projects.</w:t>
      </w:r>
    </w:p>
    <w:p w14:paraId="5E90E35A" w14:textId="442B0FA3" w:rsidR="0028600E" w:rsidRPr="00CF0CAE" w:rsidRDefault="0028600E" w:rsidP="6A7BF3BC">
      <w:pPr>
        <w:spacing w:after="160" w:line="252" w:lineRule="auto"/>
        <w:ind w:left="360"/>
        <w:jc w:val="both"/>
        <w:rPr>
          <w:rFonts w:eastAsia="Calibri" w:cs="Calibri"/>
          <w:color w:val="000000"/>
          <w:lang w:val="en-US"/>
        </w:rPr>
      </w:pPr>
    </w:p>
    <w:p w14:paraId="2E96A2E9" w14:textId="5D64BC45" w:rsidR="0028600E" w:rsidRPr="00CF0CAE" w:rsidRDefault="6A7BF3BC" w:rsidP="00093F07">
      <w:pPr>
        <w:spacing w:after="160" w:line="252" w:lineRule="auto"/>
        <w:ind w:left="284"/>
        <w:jc w:val="both"/>
        <w:rPr>
          <w:rFonts w:eastAsia="Calibri" w:cs="Calibri"/>
          <w:color w:val="000000"/>
          <w:lang w:val="en-US"/>
        </w:rPr>
      </w:pPr>
      <w:r w:rsidRPr="6A7BF3BC">
        <w:rPr>
          <w:rFonts w:eastAsia="Calibri" w:cs="Calibri"/>
          <w:color w:val="000000"/>
        </w:rPr>
        <w:t>The Fleming Fund will not expect explicit country financial or in-kind buy-in to receive Fleming Fund investments but evidence of country ownership and commitment to support the Fund’s activities will be a requirement.</w:t>
      </w:r>
    </w:p>
    <w:p w14:paraId="0ADC99AA" w14:textId="77777777" w:rsidR="00093F07" w:rsidRPr="00093F07" w:rsidRDefault="6A7BF3BC" w:rsidP="00C6374D">
      <w:pPr>
        <w:pStyle w:val="ListParagraph"/>
        <w:numPr>
          <w:ilvl w:val="1"/>
          <w:numId w:val="34"/>
        </w:numPr>
        <w:spacing w:before="120" w:after="120"/>
        <w:ind w:left="284" w:hanging="426"/>
        <w:jc w:val="both"/>
        <w:rPr>
          <w:rFonts w:eastAsia="Calibri" w:cs="Calibri"/>
          <w:color w:val="000000"/>
        </w:rPr>
      </w:pPr>
      <w:r w:rsidRPr="00093F07">
        <w:rPr>
          <w:rFonts w:eastAsia="Calibri" w:cs="Calibri"/>
          <w:color w:val="000000"/>
        </w:rPr>
        <w:t xml:space="preserve">Between £200 and £235 million (excluding VAT) will be utilised through the selected Management Agent, profiled to rise incrementally over the five year period to reach the total budget. There may also be a possibility of absorbing additional budget into the Fund from other donors to further increase the capacity of the programme. </w:t>
      </w:r>
    </w:p>
    <w:p w14:paraId="17B8BEA6" w14:textId="77777777" w:rsidR="00093F07" w:rsidRDefault="00093F07" w:rsidP="00093F07">
      <w:pPr>
        <w:pStyle w:val="ListParagraph"/>
        <w:spacing w:before="120" w:after="120"/>
        <w:ind w:left="284"/>
        <w:jc w:val="both"/>
        <w:rPr>
          <w:rFonts w:eastAsia="Calibri" w:cs="Calibri"/>
          <w:color w:val="000000"/>
        </w:rPr>
      </w:pPr>
    </w:p>
    <w:p w14:paraId="47B29002" w14:textId="7BB2DC42" w:rsidR="0028600E" w:rsidRPr="00093F07" w:rsidRDefault="6A7BF3BC" w:rsidP="00C6374D">
      <w:pPr>
        <w:pStyle w:val="ListParagraph"/>
        <w:numPr>
          <w:ilvl w:val="1"/>
          <w:numId w:val="34"/>
        </w:numPr>
        <w:spacing w:before="120" w:after="120"/>
        <w:ind w:left="284" w:hanging="426"/>
        <w:jc w:val="both"/>
        <w:rPr>
          <w:rFonts w:eastAsia="Calibri" w:cs="Calibri"/>
          <w:color w:val="000000"/>
          <w:u w:val="single"/>
        </w:rPr>
      </w:pPr>
      <w:r w:rsidRPr="00093F07">
        <w:rPr>
          <w:rFonts w:eastAsia="Calibri" w:cs="Calibri"/>
          <w:color w:val="000000"/>
          <w:u w:val="single"/>
        </w:rPr>
        <w:t>Funding by region</w:t>
      </w:r>
    </w:p>
    <w:p w14:paraId="4A60DF7E" w14:textId="75518061" w:rsidR="0028600E" w:rsidRDefault="004B603A" w:rsidP="00093F07">
      <w:pPr>
        <w:pStyle w:val="ListParagraph"/>
        <w:spacing w:before="120" w:after="120"/>
        <w:ind w:left="284"/>
        <w:jc w:val="both"/>
        <w:rPr>
          <w:rFonts w:eastAsia="Calibri" w:cs="Calibri"/>
          <w:color w:val="000000"/>
        </w:rPr>
      </w:pPr>
      <w:r>
        <w:rPr>
          <w:rFonts w:eastAsia="Calibri" w:cs="Calibri"/>
          <w:color w:val="000000"/>
        </w:rPr>
        <w:t>DHSC</w:t>
      </w:r>
      <w:r w:rsidR="6A7BF3BC" w:rsidRPr="00093F07">
        <w:rPr>
          <w:rFonts w:eastAsia="Calibri" w:cs="Calibri"/>
          <w:color w:val="000000"/>
        </w:rPr>
        <w:t xml:space="preserve"> will not prescribe the exact split of funding across the two key regions, but will rather look to country and regional capability assessments carried out by the Management Agent during the design of the implementation phase to dictate the number of countries selected between the two regions and the absorptive capacity for funding of each of these countries to make up the total regional budget available. At a minimum, it is expected that a single region would receive 30% of the total budget for country and regional projects.</w:t>
      </w:r>
    </w:p>
    <w:p w14:paraId="510E8CC9" w14:textId="77777777" w:rsidR="00093F07" w:rsidRPr="00093F07" w:rsidRDefault="00093F07" w:rsidP="00093F07">
      <w:pPr>
        <w:pStyle w:val="ListParagraph"/>
        <w:spacing w:before="120" w:after="120"/>
        <w:ind w:left="284"/>
        <w:jc w:val="both"/>
        <w:rPr>
          <w:rFonts w:eastAsia="Calibri" w:cs="Calibri"/>
          <w:color w:val="000000"/>
        </w:rPr>
      </w:pPr>
    </w:p>
    <w:p w14:paraId="385A69CD" w14:textId="338B3D88" w:rsidR="0028600E" w:rsidRPr="00093F07" w:rsidRDefault="6A7BF3BC" w:rsidP="00C6374D">
      <w:pPr>
        <w:pStyle w:val="ListParagraph"/>
        <w:numPr>
          <w:ilvl w:val="1"/>
          <w:numId w:val="34"/>
        </w:numPr>
        <w:spacing w:before="120" w:after="120"/>
        <w:ind w:left="284" w:hanging="426"/>
        <w:jc w:val="both"/>
        <w:rPr>
          <w:rFonts w:eastAsia="Calibri" w:cs="Calibri"/>
          <w:color w:val="000000"/>
          <w:u w:val="single"/>
        </w:rPr>
      </w:pPr>
      <w:r w:rsidRPr="00093F07">
        <w:rPr>
          <w:rFonts w:eastAsia="Calibri" w:cs="Calibri"/>
          <w:color w:val="000000"/>
          <w:u w:val="single"/>
        </w:rPr>
        <w:t xml:space="preserve">Funding by country </w:t>
      </w:r>
    </w:p>
    <w:p w14:paraId="40BB8BF9" w14:textId="758A1CB2" w:rsidR="00093F07" w:rsidRDefault="004B603A" w:rsidP="00093F07">
      <w:pPr>
        <w:pStyle w:val="ListParagraph"/>
        <w:spacing w:before="120" w:after="120"/>
        <w:ind w:left="284"/>
        <w:jc w:val="both"/>
        <w:rPr>
          <w:rFonts w:eastAsia="Calibri" w:cs="Calibri"/>
          <w:color w:val="000000"/>
        </w:rPr>
      </w:pPr>
      <w:r>
        <w:rPr>
          <w:rFonts w:eastAsia="Calibri" w:cs="Calibri"/>
          <w:color w:val="000000"/>
        </w:rPr>
        <w:t>DHSC</w:t>
      </w:r>
      <w:r w:rsidR="6A7BF3BC" w:rsidRPr="6A7BF3BC">
        <w:rPr>
          <w:rFonts w:eastAsia="Calibri" w:cs="Calibri"/>
          <w:color w:val="000000"/>
        </w:rPr>
        <w:t xml:space="preserve"> will not prescribe how many grants can be agreed in each country, but where multiple grants are agreed in a country there is an expectation that they will link together or align, and this may need to be supported through the Management Agent coordination function. During the design of the implementation phase, </w:t>
      </w:r>
      <w:r>
        <w:rPr>
          <w:rFonts w:eastAsia="Calibri" w:cs="Calibri"/>
          <w:color w:val="000000"/>
        </w:rPr>
        <w:t>DHSC</w:t>
      </w:r>
      <w:r w:rsidR="6A7BF3BC" w:rsidRPr="6A7BF3BC">
        <w:rPr>
          <w:rFonts w:eastAsia="Calibri" w:cs="Calibri"/>
          <w:color w:val="000000"/>
        </w:rPr>
        <w:t xml:space="preserve"> will decide with the Management Agent whether the amount of funding per country will be allocated in advance of a call for funding, and the number of grants will depend on the amount of projects that can be funded under this budget; or rather if the budget allocated per country will depend on the total budget of the accepted grants. </w:t>
      </w:r>
    </w:p>
    <w:p w14:paraId="72E30695" w14:textId="77777777" w:rsidR="00093F07" w:rsidRPr="00093F07" w:rsidRDefault="00093F07" w:rsidP="00093F07">
      <w:pPr>
        <w:pStyle w:val="ListParagraph"/>
        <w:spacing w:before="120" w:after="120"/>
        <w:ind w:left="284"/>
        <w:jc w:val="both"/>
        <w:rPr>
          <w:rFonts w:eastAsia="Calibri" w:cs="Calibri"/>
          <w:color w:val="000000"/>
        </w:rPr>
      </w:pPr>
    </w:p>
    <w:p w14:paraId="7422C92D" w14:textId="1F64DEC2" w:rsidR="0028600E" w:rsidRPr="00093F07" w:rsidRDefault="6A7BF3BC" w:rsidP="00C6374D">
      <w:pPr>
        <w:pStyle w:val="ListParagraph"/>
        <w:numPr>
          <w:ilvl w:val="1"/>
          <w:numId w:val="34"/>
        </w:numPr>
        <w:spacing w:before="120" w:after="120"/>
        <w:ind w:left="284" w:hanging="426"/>
        <w:jc w:val="both"/>
        <w:rPr>
          <w:rFonts w:eastAsia="Calibri" w:cs="Calibri"/>
          <w:iCs/>
          <w:color w:val="000000"/>
        </w:rPr>
      </w:pPr>
      <w:r w:rsidRPr="00093F07">
        <w:rPr>
          <w:rFonts w:eastAsia="Calibri" w:cs="Calibri"/>
          <w:color w:val="000000"/>
        </w:rPr>
        <w:t xml:space="preserve">During implementation, the Management Agent is expected to manage the portfolio of country and regional grants. </w:t>
      </w:r>
    </w:p>
    <w:p w14:paraId="5C166754" w14:textId="77777777" w:rsidR="00093F07" w:rsidRPr="00093F07" w:rsidRDefault="00093F07" w:rsidP="00093F07">
      <w:pPr>
        <w:pStyle w:val="ListParagraph"/>
        <w:spacing w:before="120" w:after="120"/>
        <w:ind w:left="284"/>
        <w:jc w:val="both"/>
        <w:rPr>
          <w:rFonts w:eastAsia="Calibri" w:cs="Calibri"/>
          <w:iCs/>
          <w:color w:val="000000"/>
        </w:rPr>
      </w:pPr>
    </w:p>
    <w:p w14:paraId="6EEA5629" w14:textId="1F43BCD6" w:rsidR="0028600E" w:rsidRPr="00093F07" w:rsidRDefault="6A7BF3BC" w:rsidP="00C6374D">
      <w:pPr>
        <w:pStyle w:val="ListParagraph"/>
        <w:numPr>
          <w:ilvl w:val="1"/>
          <w:numId w:val="34"/>
        </w:numPr>
        <w:spacing w:before="120" w:after="120"/>
        <w:ind w:left="284" w:hanging="426"/>
        <w:jc w:val="both"/>
        <w:rPr>
          <w:rFonts w:eastAsia="Calibri" w:cs="Calibri"/>
          <w:iCs/>
          <w:color w:val="000000"/>
        </w:rPr>
      </w:pPr>
      <w:r w:rsidRPr="00093F07">
        <w:rPr>
          <w:rFonts w:eastAsia="Calibri" w:cs="Calibri"/>
          <w:color w:val="000000"/>
        </w:rPr>
        <w:t>The Fleming Fund will initially run for a five year period from 2016</w:t>
      </w:r>
      <w:r w:rsidR="00681B65">
        <w:rPr>
          <w:rFonts w:eastAsia="Calibri" w:cs="Calibri"/>
          <w:color w:val="000000"/>
        </w:rPr>
        <w:t xml:space="preserve"> to </w:t>
      </w:r>
      <w:r w:rsidRPr="00093F07">
        <w:rPr>
          <w:rFonts w:eastAsia="Calibri" w:cs="Calibri"/>
          <w:color w:val="000000"/>
        </w:rPr>
        <w:t xml:space="preserve">2017. Individual grants under the Fleming Fund would normally be expected to run for between two to three and a half years. The independent evaluation carried out by the Evaluation Supplier, which is the subject of this procurement, will evaluate how far the outputs of the portfolio of country and regional grants will contribute, or have contributed, to the outcomes and impact defined within the agreed Fleming Fund Theory of Change (see Annex B), while suggesting areas for course correction and improvement throughout the programme lifecycle. This will help to inform any decision by the UK government to extend funding beyond the initial five year period. Additional funding from other partners or host governments may be considered. </w:t>
      </w:r>
    </w:p>
    <w:p w14:paraId="57AAFC03" w14:textId="77777777" w:rsidR="00093F07" w:rsidRPr="00093F07" w:rsidRDefault="00093F07" w:rsidP="00093F07">
      <w:pPr>
        <w:spacing w:before="120" w:after="120"/>
        <w:jc w:val="both"/>
        <w:rPr>
          <w:rFonts w:eastAsia="Calibri" w:cs="Calibri"/>
          <w:iCs/>
          <w:color w:val="000000"/>
        </w:rPr>
      </w:pPr>
    </w:p>
    <w:p w14:paraId="34C5C4F7" w14:textId="28812453" w:rsidR="0028600E" w:rsidRPr="00093F07" w:rsidRDefault="6A7BF3BC" w:rsidP="00C6374D">
      <w:pPr>
        <w:pStyle w:val="ListParagraph"/>
        <w:numPr>
          <w:ilvl w:val="1"/>
          <w:numId w:val="34"/>
        </w:numPr>
        <w:spacing w:before="120" w:after="120"/>
        <w:ind w:left="284" w:hanging="426"/>
        <w:jc w:val="both"/>
        <w:rPr>
          <w:rFonts w:eastAsia="Calibri" w:cs="Calibri"/>
          <w:color w:val="000000"/>
        </w:rPr>
      </w:pPr>
      <w:r w:rsidRPr="00093F07">
        <w:rPr>
          <w:rFonts w:eastAsia="Calibri" w:cs="Calibri"/>
          <w:b/>
          <w:bCs/>
          <w:color w:val="000000"/>
        </w:rPr>
        <w:t>Work Stream 2 – Fleming Fellows (Management Agent):</w:t>
      </w:r>
      <w:r w:rsidRPr="00093F07">
        <w:rPr>
          <w:rFonts w:eastAsia="Calibri" w:cs="Calibri"/>
          <w:color w:val="000000"/>
        </w:rPr>
        <w:t xml:space="preserve"> The Fleming Fellowship scheme will be a network of practitioners from different disciplines and sectors such as laboratory technicians, clinicians, policymakers, community leaders, hospital managers and more. The network will focus on professional development facilitating the cross-pollination of ideas and experience, peer-to-peer learning, and finding creative solutions as part of a multidisciplinary network to tackle AMR in LMICs. The scheme would facilitate the kind of cross-pollination of experience and ideas that cannot be delivered on a course or through academic programmes. Our offer to Fellows can include:</w:t>
      </w:r>
    </w:p>
    <w:p w14:paraId="7C9D3AE7" w14:textId="6A1D1B09" w:rsidR="0028600E" w:rsidRPr="00093F07" w:rsidRDefault="6A7BF3BC" w:rsidP="00C6374D">
      <w:pPr>
        <w:pStyle w:val="ListParagraph"/>
        <w:numPr>
          <w:ilvl w:val="0"/>
          <w:numId w:val="29"/>
        </w:numPr>
        <w:spacing w:before="120" w:after="120" w:line="280" w:lineRule="exact"/>
        <w:ind w:left="1134"/>
        <w:jc w:val="both"/>
        <w:rPr>
          <w:rFonts w:eastAsia="Calibri" w:cs="Calibri"/>
          <w:color w:val="000000"/>
        </w:rPr>
      </w:pPr>
      <w:r w:rsidRPr="00093F07">
        <w:rPr>
          <w:rFonts w:eastAsia="Calibri" w:cs="Calibri"/>
          <w:color w:val="000000"/>
          <w:u w:val="single"/>
        </w:rPr>
        <w:t>Mentoring:</w:t>
      </w:r>
      <w:r w:rsidRPr="6A7BF3BC">
        <w:rPr>
          <w:rFonts w:eastAsia="Calibri" w:cs="Calibri"/>
          <w:color w:val="000000"/>
        </w:rPr>
        <w:t xml:space="preserve"> Fleming Fellows will be allocated a regional mentor who is an expert in their field and could offer support and advice for tackling AMR in their specific context.</w:t>
      </w:r>
    </w:p>
    <w:p w14:paraId="5765D3D8" w14:textId="4DC7E978" w:rsidR="0028600E" w:rsidRPr="00093F07" w:rsidRDefault="6A7BF3BC" w:rsidP="00C6374D">
      <w:pPr>
        <w:pStyle w:val="ListParagraph"/>
        <w:numPr>
          <w:ilvl w:val="0"/>
          <w:numId w:val="29"/>
        </w:numPr>
        <w:spacing w:before="120" w:after="120" w:line="280" w:lineRule="exact"/>
        <w:ind w:left="1134"/>
        <w:jc w:val="both"/>
        <w:rPr>
          <w:rFonts w:eastAsia="Calibri" w:cs="Calibri"/>
          <w:color w:val="000000"/>
        </w:rPr>
      </w:pPr>
      <w:r w:rsidRPr="00093F07">
        <w:rPr>
          <w:rFonts w:eastAsia="Calibri" w:cs="Calibri"/>
          <w:color w:val="000000"/>
          <w:u w:val="single"/>
        </w:rPr>
        <w:t>Secondments:</w:t>
      </w:r>
      <w:r w:rsidRPr="6A7BF3BC">
        <w:rPr>
          <w:rFonts w:eastAsia="Calibri" w:cs="Calibri"/>
          <w:color w:val="000000"/>
        </w:rPr>
        <w:t xml:space="preserve"> With agreement from their home institutions, Fellows could be offered the opportunity to spend three months on placement being given formal training on their subject matter e.g. for laboratory technicians spending time at a high quality laboratory in their region to gain experience and bringing back learning to their host country of standards and processes used.</w:t>
      </w:r>
    </w:p>
    <w:p w14:paraId="480F47FC" w14:textId="0DC97C32" w:rsidR="0028600E" w:rsidRPr="00093F07" w:rsidRDefault="6A7BF3BC" w:rsidP="00C6374D">
      <w:pPr>
        <w:pStyle w:val="ListParagraph"/>
        <w:numPr>
          <w:ilvl w:val="0"/>
          <w:numId w:val="29"/>
        </w:numPr>
        <w:spacing w:before="120" w:after="120" w:line="280" w:lineRule="exact"/>
        <w:ind w:left="1134"/>
        <w:jc w:val="both"/>
        <w:rPr>
          <w:rFonts w:eastAsia="Calibri" w:cs="Calibri"/>
          <w:color w:val="000000"/>
        </w:rPr>
      </w:pPr>
      <w:r w:rsidRPr="00093F07">
        <w:rPr>
          <w:rFonts w:eastAsia="Calibri" w:cs="Calibri"/>
          <w:color w:val="000000"/>
          <w:u w:val="single"/>
        </w:rPr>
        <w:t>Training:</w:t>
      </w:r>
      <w:r w:rsidRPr="6A7BF3BC">
        <w:rPr>
          <w:rFonts w:eastAsia="Calibri" w:cs="Calibri"/>
          <w:color w:val="000000"/>
        </w:rPr>
        <w:t xml:space="preserve"> Fellows will be offered written and verbal communication training to present their findings and support them as key influencers in their fields.</w:t>
      </w:r>
    </w:p>
    <w:p w14:paraId="3A87AC1A" w14:textId="6F4A0C5A" w:rsidR="0028600E" w:rsidRPr="00093F07" w:rsidRDefault="6A7BF3BC" w:rsidP="00C6374D">
      <w:pPr>
        <w:pStyle w:val="ListParagraph"/>
        <w:numPr>
          <w:ilvl w:val="0"/>
          <w:numId w:val="29"/>
        </w:numPr>
        <w:spacing w:before="120" w:after="120" w:line="280" w:lineRule="exact"/>
        <w:ind w:left="1134"/>
        <w:jc w:val="both"/>
        <w:rPr>
          <w:rFonts w:eastAsia="Calibri" w:cs="Calibri"/>
          <w:color w:val="000000"/>
        </w:rPr>
      </w:pPr>
      <w:r w:rsidRPr="00093F07">
        <w:rPr>
          <w:rFonts w:eastAsia="Calibri" w:cs="Calibri"/>
          <w:color w:val="000000"/>
          <w:u w:val="single"/>
        </w:rPr>
        <w:t>Support for travel:</w:t>
      </w:r>
      <w:r w:rsidRPr="6A7BF3BC">
        <w:rPr>
          <w:rFonts w:eastAsia="Calibri" w:cs="Calibri"/>
          <w:color w:val="000000"/>
        </w:rPr>
        <w:t xml:space="preserve"> Fellows would be alerted to learning opportunities in their region around infectious disease and drug-resistant infections and given travel and subsistence funding to make the most of these opportunities.</w:t>
      </w:r>
    </w:p>
    <w:p w14:paraId="0C6C5AC3" w14:textId="0ACB4AC7" w:rsidR="0028600E" w:rsidRPr="00093F07" w:rsidRDefault="6A7BF3BC" w:rsidP="00C6374D">
      <w:pPr>
        <w:pStyle w:val="ListParagraph"/>
        <w:numPr>
          <w:ilvl w:val="0"/>
          <w:numId w:val="29"/>
        </w:numPr>
        <w:spacing w:before="120" w:after="120" w:line="280" w:lineRule="exact"/>
        <w:ind w:left="1134"/>
        <w:jc w:val="both"/>
        <w:rPr>
          <w:rFonts w:eastAsia="Calibri" w:cs="Calibri"/>
          <w:color w:val="000000"/>
        </w:rPr>
      </w:pPr>
      <w:r w:rsidRPr="00093F07">
        <w:rPr>
          <w:rFonts w:eastAsia="Calibri" w:cs="Calibri"/>
          <w:color w:val="000000"/>
          <w:u w:val="single"/>
        </w:rPr>
        <w:t>Networks:</w:t>
      </w:r>
      <w:r w:rsidRPr="6A7BF3BC">
        <w:rPr>
          <w:rFonts w:eastAsia="Calibri" w:cs="Calibri"/>
          <w:color w:val="000000"/>
        </w:rPr>
        <w:t xml:space="preserve"> Fellows will be linked into a network of other Fellows and Friends of the Fleming Fund working on drug-resistance and brought together annually to share their learning and experiences at a regional conference.</w:t>
      </w:r>
    </w:p>
    <w:p w14:paraId="2E1E9EDC" w14:textId="086C6D5F" w:rsidR="0028600E" w:rsidRPr="00093F07" w:rsidRDefault="6A7BF3BC" w:rsidP="00C6374D">
      <w:pPr>
        <w:pStyle w:val="ListParagraph"/>
        <w:numPr>
          <w:ilvl w:val="0"/>
          <w:numId w:val="29"/>
        </w:numPr>
        <w:spacing w:before="120" w:after="120" w:line="280" w:lineRule="exact"/>
        <w:ind w:left="1134"/>
        <w:jc w:val="both"/>
        <w:rPr>
          <w:rFonts w:eastAsia="Calibri" w:cs="Calibri"/>
          <w:color w:val="000000"/>
        </w:rPr>
      </w:pPr>
      <w:r w:rsidRPr="00093F07">
        <w:rPr>
          <w:rFonts w:eastAsia="Calibri" w:cs="Calibri"/>
          <w:color w:val="000000"/>
          <w:u w:val="single"/>
        </w:rPr>
        <w:t>Collaborative projects:</w:t>
      </w:r>
      <w:r w:rsidRPr="6A7BF3BC">
        <w:rPr>
          <w:rFonts w:eastAsia="Calibri" w:cs="Calibri"/>
          <w:color w:val="000000"/>
        </w:rPr>
        <w:t xml:space="preserve"> Fellows would commit a set period of time within their one or two year fellowship to join together with other Fellows to undertake scoping work, link with in-country Fleming Fund projects, travel to regional or other country projects, share experiences and bring local challenges to the network to find creative solutions as a group.</w:t>
      </w:r>
    </w:p>
    <w:p w14:paraId="1D7643FB" w14:textId="0268B589" w:rsidR="0028600E" w:rsidRPr="00093F07" w:rsidRDefault="6A7BF3BC" w:rsidP="00C6374D">
      <w:pPr>
        <w:pStyle w:val="ListParagraph"/>
        <w:numPr>
          <w:ilvl w:val="0"/>
          <w:numId w:val="29"/>
        </w:numPr>
        <w:spacing w:before="120" w:after="120" w:line="280" w:lineRule="exact"/>
        <w:ind w:left="1134"/>
        <w:jc w:val="both"/>
        <w:rPr>
          <w:rFonts w:eastAsia="Calibri" w:cs="Calibri"/>
          <w:color w:val="000000"/>
        </w:rPr>
      </w:pPr>
      <w:r w:rsidRPr="00093F07">
        <w:rPr>
          <w:rFonts w:eastAsia="Calibri" w:cs="Calibri"/>
          <w:color w:val="000000"/>
          <w:u w:val="single"/>
        </w:rPr>
        <w:t>Other initiatives</w:t>
      </w:r>
      <w:r w:rsidRPr="6A7BF3BC">
        <w:rPr>
          <w:rFonts w:eastAsia="Calibri" w:cs="Calibri"/>
          <w:color w:val="000000"/>
        </w:rPr>
        <w:t xml:space="preserve">: Small amounts of funding would be available to support Fleming Fellows projects or initiatives/solutions devised as a group. </w:t>
      </w:r>
    </w:p>
    <w:p w14:paraId="2AA705F7" w14:textId="7D51E28C" w:rsidR="0028600E" w:rsidRPr="00093F07" w:rsidRDefault="6A7BF3BC" w:rsidP="6A7BF3BC">
      <w:pPr>
        <w:pStyle w:val="Caption"/>
        <w:spacing w:after="120"/>
        <w:ind w:left="284"/>
        <w:jc w:val="both"/>
        <w:rPr>
          <w:rFonts w:eastAsia="Calibri" w:cs="Calibri"/>
          <w:iCs w:val="0"/>
          <w:color w:val="000000"/>
          <w:sz w:val="22"/>
          <w:szCs w:val="22"/>
        </w:rPr>
      </w:pPr>
      <w:r w:rsidRPr="00093F07">
        <w:rPr>
          <w:rFonts w:eastAsia="Calibri" w:cs="Calibri"/>
          <w:iCs w:val="0"/>
          <w:color w:val="000000"/>
          <w:sz w:val="22"/>
          <w:szCs w:val="22"/>
        </w:rPr>
        <w:t>The Management Agent will be expected to design this Fellowship scheme during inception phase and launch during implementation. Fellows may choose to bid for country funding or may be identified out of developed relationships with country grantees. Conflict of interest must be monitored by the Management Agent closely, but Fellows will be identified for their unique influence on country AMR laboratory and surveillance systems, which could be an asset to the portfolio of country and regional grants. Fellowships will be piloted initially in a small number of countries.</w:t>
      </w:r>
    </w:p>
    <w:p w14:paraId="41F7F5D4" w14:textId="04B019C4" w:rsidR="0028600E" w:rsidRDefault="6A7BF3BC" w:rsidP="00C6374D">
      <w:pPr>
        <w:pStyle w:val="ListParagraph"/>
        <w:numPr>
          <w:ilvl w:val="1"/>
          <w:numId w:val="34"/>
        </w:numPr>
        <w:spacing w:before="120" w:after="120"/>
        <w:ind w:left="284" w:hanging="426"/>
        <w:jc w:val="both"/>
        <w:rPr>
          <w:rFonts w:eastAsia="Calibri" w:cs="Calibri"/>
          <w:b/>
          <w:bCs/>
          <w:color w:val="000000"/>
          <w:u w:val="single"/>
        </w:rPr>
      </w:pPr>
      <w:r w:rsidRPr="00093F07">
        <w:rPr>
          <w:rFonts w:eastAsia="Calibri" w:cs="Calibri"/>
          <w:b/>
          <w:bCs/>
          <w:color w:val="000000"/>
          <w:u w:val="single"/>
        </w:rPr>
        <w:t xml:space="preserve">To support the portfolio of country and regional projects, additional activities will be commissioned through the Fleming Fund. These three </w:t>
      </w:r>
      <w:r w:rsidR="004932C7">
        <w:rPr>
          <w:rFonts w:eastAsia="Calibri" w:cs="Calibri"/>
          <w:b/>
          <w:bCs/>
          <w:color w:val="000000"/>
          <w:u w:val="single"/>
        </w:rPr>
        <w:t>workstreams</w:t>
      </w:r>
      <w:r w:rsidRPr="00093F07">
        <w:rPr>
          <w:rFonts w:eastAsia="Calibri" w:cs="Calibri"/>
          <w:b/>
          <w:bCs/>
          <w:color w:val="000000"/>
          <w:u w:val="single"/>
        </w:rPr>
        <w:t xml:space="preserve"> are detailed below.</w:t>
      </w:r>
    </w:p>
    <w:p w14:paraId="56F9D28A" w14:textId="77777777" w:rsidR="00093F07" w:rsidRPr="00093F07" w:rsidRDefault="00093F07" w:rsidP="00093F07">
      <w:pPr>
        <w:pStyle w:val="ListParagraph"/>
        <w:spacing w:before="120" w:after="120"/>
        <w:ind w:left="284"/>
        <w:jc w:val="both"/>
        <w:rPr>
          <w:rFonts w:eastAsia="Calibri" w:cs="Calibri"/>
          <w:b/>
          <w:bCs/>
          <w:color w:val="000000"/>
          <w:u w:val="single"/>
        </w:rPr>
      </w:pPr>
    </w:p>
    <w:p w14:paraId="063EF9C4" w14:textId="7E2D85FC"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b/>
          <w:bCs/>
          <w:color w:val="000000"/>
        </w:rPr>
        <w:t>Work Stream 3 – Grants to multilateral organisations (</w:t>
      </w:r>
      <w:r w:rsidR="004B603A">
        <w:rPr>
          <w:rFonts w:eastAsia="Calibri" w:cs="Calibri"/>
          <w:b/>
          <w:bCs/>
          <w:color w:val="000000"/>
        </w:rPr>
        <w:t>DHSC</w:t>
      </w:r>
      <w:r w:rsidRPr="6A7BF3BC">
        <w:rPr>
          <w:rFonts w:eastAsia="Calibri" w:cs="Calibri"/>
          <w:b/>
          <w:bCs/>
          <w:color w:val="000000"/>
        </w:rPr>
        <w:t xml:space="preserve">): </w:t>
      </w:r>
      <w:r w:rsidRPr="6A7BF3BC">
        <w:rPr>
          <w:rFonts w:eastAsia="Calibri" w:cs="Calibri"/>
          <w:color w:val="000000"/>
        </w:rPr>
        <w:t>An essential part of delivering the ambition of the Fleming Fund is to ensure there is support for international AMR surveillance and alignment of activities at the international level. WHO, FAO and OIE have a central role in providing global leadership not only within each of their sectors, but also through their tripartite collaboration in promoting the One Health approach. Going forward, the expectation is that the three organisations continue to work together to drive forward the international work on data and surveillance and directly linked to this, for them to be supported in providing additional support to LMICs in developing, agreeing and implementing National Action Plans.</w:t>
      </w:r>
    </w:p>
    <w:p w14:paraId="0BF1BD51" w14:textId="6B7292FA"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It is intended that grants be agreed for the first three years of the Fleming Fund aimed predominantly at supporting LMIC development. The Management Agent will be provided with the outputs of these activities, planned activities and key contacts to ensure alignment of international and country/regional level activities. The management and disbursement of funds to these organisations will remain with </w:t>
      </w:r>
      <w:r w:rsidR="004B603A">
        <w:rPr>
          <w:rFonts w:eastAsia="Calibri" w:cs="Calibri"/>
          <w:color w:val="000000"/>
        </w:rPr>
        <w:t>DHSC</w:t>
      </w:r>
      <w:r w:rsidRPr="6A7BF3BC">
        <w:rPr>
          <w:rFonts w:eastAsia="Calibri" w:cs="Calibri"/>
          <w:color w:val="000000"/>
        </w:rPr>
        <w:t>.</w:t>
      </w:r>
    </w:p>
    <w:p w14:paraId="347A41AB" w14:textId="409F5F35"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b/>
          <w:bCs/>
          <w:color w:val="000000"/>
        </w:rPr>
        <w:t>Work Stream 4 – Surveillance protocol and platform (</w:t>
      </w:r>
      <w:r w:rsidR="004B603A">
        <w:rPr>
          <w:rFonts w:eastAsia="Calibri" w:cs="Calibri"/>
          <w:b/>
          <w:bCs/>
          <w:color w:val="000000"/>
        </w:rPr>
        <w:t>DHSC</w:t>
      </w:r>
      <w:r w:rsidRPr="6A7BF3BC">
        <w:rPr>
          <w:rFonts w:eastAsia="Calibri" w:cs="Calibri"/>
          <w:b/>
          <w:bCs/>
          <w:color w:val="000000"/>
        </w:rPr>
        <w:t xml:space="preserve">): </w:t>
      </w:r>
      <w:r w:rsidR="004B603A">
        <w:rPr>
          <w:rFonts w:eastAsia="Calibri" w:cs="Calibri"/>
          <w:color w:val="000000"/>
        </w:rPr>
        <w:t>DHSC</w:t>
      </w:r>
      <w:r w:rsidRPr="6A7BF3BC">
        <w:rPr>
          <w:rFonts w:eastAsia="Calibri" w:cs="Calibri"/>
          <w:color w:val="000000"/>
        </w:rPr>
        <w:t xml:space="preserve"> is commissioning the writing of a set of tiered protocols for initiating AMR surveillance in low resource settings. This will build on the recently published WHO manual for early implementation of GLASS. </w:t>
      </w:r>
    </w:p>
    <w:p w14:paraId="3ECDFB38" w14:textId="0CEB9162"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The aim of the work stream is to develop of a set of standard protocols for improving laboratory</w:t>
      </w:r>
      <w:r w:rsidR="007458AC">
        <w:rPr>
          <w:rFonts w:eastAsia="Calibri" w:cs="Calibri"/>
          <w:color w:val="000000"/>
        </w:rPr>
        <w:t xml:space="preserve"> </w:t>
      </w:r>
      <w:r w:rsidRPr="6A7BF3BC">
        <w:rPr>
          <w:rFonts w:eastAsia="Calibri" w:cs="Calibri"/>
          <w:color w:val="000000"/>
        </w:rPr>
        <w:t>capacity and initiating AMR surveillance that:</w:t>
      </w:r>
    </w:p>
    <w:p w14:paraId="710CCDAE" w14:textId="384CE291" w:rsidR="0028600E" w:rsidRPr="005F0478" w:rsidRDefault="6A7BF3BC" w:rsidP="00C6374D">
      <w:pPr>
        <w:pStyle w:val="ListParagraph"/>
        <w:numPr>
          <w:ilvl w:val="0"/>
          <w:numId w:val="29"/>
        </w:numPr>
        <w:spacing w:before="120" w:after="120" w:line="280" w:lineRule="exact"/>
        <w:ind w:left="1134"/>
        <w:jc w:val="both"/>
        <w:rPr>
          <w:rFonts w:eastAsia="Calibri" w:cs="Calibri"/>
          <w:color w:val="000000"/>
          <w:u w:val="single"/>
        </w:rPr>
      </w:pPr>
      <w:r w:rsidRPr="005F0478">
        <w:rPr>
          <w:rFonts w:eastAsia="Calibri" w:cs="Calibri"/>
          <w:color w:val="000000"/>
          <w:u w:val="single"/>
        </w:rPr>
        <w:t>Are suitable for use by low income countries, recognising the context of different health systems.</w:t>
      </w:r>
    </w:p>
    <w:p w14:paraId="256C2DD3" w14:textId="7B38B55B" w:rsidR="0028600E" w:rsidRPr="005F0478" w:rsidRDefault="6A7BF3BC" w:rsidP="00C6374D">
      <w:pPr>
        <w:pStyle w:val="ListParagraph"/>
        <w:numPr>
          <w:ilvl w:val="0"/>
          <w:numId w:val="29"/>
        </w:numPr>
        <w:spacing w:before="120" w:after="120" w:line="280" w:lineRule="exact"/>
        <w:ind w:left="1134"/>
        <w:jc w:val="both"/>
        <w:rPr>
          <w:rFonts w:eastAsia="Calibri" w:cs="Calibri"/>
          <w:color w:val="000000"/>
          <w:u w:val="single"/>
        </w:rPr>
      </w:pPr>
      <w:r w:rsidRPr="005F0478">
        <w:rPr>
          <w:rFonts w:eastAsia="Calibri" w:cs="Calibri"/>
          <w:color w:val="000000"/>
          <w:u w:val="single"/>
        </w:rPr>
        <w:t>Are based on an assessment of available evidence and review of established protocols in comparable resource settings.</w:t>
      </w:r>
    </w:p>
    <w:p w14:paraId="76E51216" w14:textId="7E7D79D9" w:rsidR="0028600E" w:rsidRPr="005F0478" w:rsidRDefault="6A7BF3BC" w:rsidP="00C6374D">
      <w:pPr>
        <w:pStyle w:val="ListParagraph"/>
        <w:numPr>
          <w:ilvl w:val="0"/>
          <w:numId w:val="29"/>
        </w:numPr>
        <w:spacing w:before="120" w:after="120" w:line="280" w:lineRule="exact"/>
        <w:ind w:left="1134"/>
        <w:jc w:val="both"/>
        <w:rPr>
          <w:rFonts w:eastAsia="Calibri" w:cs="Calibri"/>
          <w:color w:val="000000"/>
          <w:u w:val="single"/>
        </w:rPr>
      </w:pPr>
      <w:r w:rsidRPr="005F0478">
        <w:rPr>
          <w:rFonts w:eastAsia="Calibri" w:cs="Calibri"/>
          <w:color w:val="000000"/>
          <w:u w:val="single"/>
        </w:rPr>
        <w:t>Provide a basis for early collection and analysis of data on AMR that will help countries to rapidly assess the impact of AMR and participate in global and regional surveillance (GLASS).</w:t>
      </w:r>
    </w:p>
    <w:p w14:paraId="59001065" w14:textId="61181BCE" w:rsidR="0028600E" w:rsidRPr="005F0478" w:rsidRDefault="6A7BF3BC" w:rsidP="00C6374D">
      <w:pPr>
        <w:pStyle w:val="ListParagraph"/>
        <w:numPr>
          <w:ilvl w:val="0"/>
          <w:numId w:val="29"/>
        </w:numPr>
        <w:spacing w:before="120" w:after="120" w:line="280" w:lineRule="exact"/>
        <w:ind w:left="1134"/>
        <w:jc w:val="both"/>
        <w:rPr>
          <w:rFonts w:eastAsia="Calibri" w:cs="Calibri"/>
          <w:color w:val="000000"/>
          <w:u w:val="single"/>
        </w:rPr>
      </w:pPr>
      <w:r w:rsidRPr="005F0478">
        <w:rPr>
          <w:rFonts w:eastAsia="Calibri" w:cs="Calibri"/>
          <w:color w:val="000000"/>
          <w:u w:val="single"/>
        </w:rPr>
        <w:t xml:space="preserve">Take into account the need for epidemiological and statistical validity and quality assurance, so that the data can be used, shared and combined (multicentre and multinational analysis) to provide evidence of prevalence of AMR and effectiveness of interventions with confidence. </w:t>
      </w:r>
    </w:p>
    <w:p w14:paraId="1A3FDB3B" w14:textId="18EDFD87" w:rsidR="0028600E" w:rsidRPr="005F0478" w:rsidRDefault="6A7BF3BC" w:rsidP="00C6374D">
      <w:pPr>
        <w:pStyle w:val="ListParagraph"/>
        <w:numPr>
          <w:ilvl w:val="0"/>
          <w:numId w:val="29"/>
        </w:numPr>
        <w:spacing w:before="120" w:after="120" w:line="280" w:lineRule="exact"/>
        <w:ind w:left="1134"/>
        <w:jc w:val="both"/>
        <w:rPr>
          <w:rFonts w:eastAsia="Calibri" w:cs="Calibri"/>
          <w:color w:val="000000"/>
          <w:u w:val="single"/>
        </w:rPr>
      </w:pPr>
      <w:r w:rsidRPr="005F0478">
        <w:rPr>
          <w:rFonts w:eastAsia="Calibri" w:cs="Calibri"/>
          <w:color w:val="000000"/>
          <w:u w:val="single"/>
        </w:rPr>
        <w:t>Are structured as a set of tiered options so that countries can select the types of surveillance, samples and scale of operation to suit their circumstances, with the ability to expand and broaden the scope of surveillance with time.</w:t>
      </w:r>
    </w:p>
    <w:p w14:paraId="3DB141A7" w14:textId="006DB829" w:rsidR="0028600E" w:rsidRPr="005F0478" w:rsidRDefault="6A7BF3BC" w:rsidP="00C6374D">
      <w:pPr>
        <w:pStyle w:val="ListParagraph"/>
        <w:numPr>
          <w:ilvl w:val="0"/>
          <w:numId w:val="29"/>
        </w:numPr>
        <w:spacing w:before="120" w:after="120" w:line="280" w:lineRule="exact"/>
        <w:ind w:left="1134"/>
        <w:jc w:val="both"/>
        <w:rPr>
          <w:rFonts w:eastAsia="Calibri" w:cs="Calibri"/>
          <w:color w:val="000000"/>
          <w:u w:val="single"/>
        </w:rPr>
      </w:pPr>
      <w:r w:rsidRPr="005F0478">
        <w:rPr>
          <w:rFonts w:eastAsia="Calibri" w:cs="Calibri"/>
          <w:color w:val="000000"/>
          <w:u w:val="single"/>
        </w:rPr>
        <w:t>Can be used as a basis for supporting the development of National Action Plans, and assessing applications to the Fleming Fund.</w:t>
      </w:r>
    </w:p>
    <w:p w14:paraId="12FA525A" w14:textId="12F02401" w:rsidR="0028600E" w:rsidRPr="005F0478" w:rsidRDefault="6A7BF3BC" w:rsidP="00C6374D">
      <w:pPr>
        <w:pStyle w:val="ListParagraph"/>
        <w:numPr>
          <w:ilvl w:val="0"/>
          <w:numId w:val="29"/>
        </w:numPr>
        <w:spacing w:before="120" w:after="120" w:line="280" w:lineRule="exact"/>
        <w:ind w:left="1134"/>
        <w:jc w:val="both"/>
        <w:rPr>
          <w:rFonts w:eastAsia="Calibri" w:cs="Calibri"/>
          <w:color w:val="000000"/>
          <w:u w:val="single"/>
        </w:rPr>
      </w:pPr>
      <w:r w:rsidRPr="005F0478">
        <w:rPr>
          <w:rFonts w:eastAsia="Calibri" w:cs="Calibri"/>
          <w:color w:val="000000"/>
          <w:u w:val="single"/>
        </w:rPr>
        <w:t>Provide a roadmap for how to improve laboratory capacity, data collection and surveillance for AMR with an effective One Health approach.</w:t>
      </w:r>
    </w:p>
    <w:p w14:paraId="390DB801" w14:textId="3E251D2B"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It is anticipated that the above set of protocols will be completed by the time the Management Agent and Evaluation Supplier have been selected.</w:t>
      </w:r>
    </w:p>
    <w:p w14:paraId="77B624C3" w14:textId="55D10FB4"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The protocols will then be tested with experts and will be available for piloting by the Management Agent supplier during the inception phase. Fleming Fund country and regional projects will need to demonstrate how they contribute to and improve the use of these surveillance protocols. </w:t>
      </w:r>
    </w:p>
    <w:p w14:paraId="24CF21D4" w14:textId="6D14F3D3"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The Fleming Fund will require all grants to share data on an international platform represented by GLASS and will provide financial support to ensure these platforms are fit for purpose. </w:t>
      </w:r>
    </w:p>
    <w:p w14:paraId="120B9151" w14:textId="05C765F4"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In addition to sharing data through GLASS, the Fleming Fund will expect partners to share data on other international platforms such as the GBD.</w:t>
      </w:r>
    </w:p>
    <w:p w14:paraId="452B65C4" w14:textId="50B10D1F"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b/>
          <w:bCs/>
          <w:color w:val="000000"/>
        </w:rPr>
        <w:t>Work stream 5 – Independent Evaluation (</w:t>
      </w:r>
      <w:r w:rsidRPr="6A7BF3BC">
        <w:rPr>
          <w:rFonts w:eastAsia="Calibri" w:cs="Calibri"/>
          <w:b/>
          <w:bCs/>
          <w:color w:val="000000"/>
          <w:u w:val="single"/>
        </w:rPr>
        <w:t>Delivered by the independent Evaluation Supplier</w:t>
      </w:r>
      <w:r w:rsidRPr="6A7BF3BC">
        <w:rPr>
          <w:rFonts w:eastAsia="Calibri" w:cs="Calibri"/>
          <w:b/>
          <w:bCs/>
          <w:color w:val="000000"/>
        </w:rPr>
        <w:t>):</w:t>
      </w:r>
      <w:r w:rsidRPr="6A7BF3BC">
        <w:rPr>
          <w:rFonts w:eastAsia="Calibri" w:cs="Calibri"/>
          <w:color w:val="000000"/>
        </w:rPr>
        <w:t xml:space="preserve"> A core principle of the Fleming Fund is a robust and independent evaluation, which is being commissioned to run alongside and evaluate the portfolio of country and regional projects. This evaluation will be carried out by an Evaluation Supplier procured by </w:t>
      </w:r>
      <w:r w:rsidR="004B603A">
        <w:rPr>
          <w:rFonts w:eastAsia="Calibri" w:cs="Calibri"/>
          <w:color w:val="000000"/>
        </w:rPr>
        <w:t>DHSC</w:t>
      </w:r>
      <w:r w:rsidRPr="6A7BF3BC">
        <w:rPr>
          <w:rFonts w:eastAsia="Calibri" w:cs="Calibri"/>
          <w:color w:val="000000"/>
        </w:rPr>
        <w:t xml:space="preserve"> and is the subject of this procurement exercise. The selected Evaluation Supplier will be expected to work alongside the Management Agent to design a monitoring strategy that can feed information into the evaluation.</w:t>
      </w:r>
    </w:p>
    <w:p w14:paraId="3CCA283A" w14:textId="4DC83048" w:rsidR="0028600E" w:rsidRPr="00CF0CAE" w:rsidRDefault="004B603A" w:rsidP="00C6374D">
      <w:pPr>
        <w:pStyle w:val="ListParagraph"/>
        <w:numPr>
          <w:ilvl w:val="1"/>
          <w:numId w:val="34"/>
        </w:numPr>
        <w:spacing w:before="120" w:after="120"/>
        <w:ind w:left="284" w:hanging="426"/>
        <w:jc w:val="both"/>
        <w:rPr>
          <w:rFonts w:eastAsia="Calibri" w:cs="Calibri"/>
          <w:color w:val="000000"/>
          <w:lang w:val="en-US"/>
        </w:rPr>
      </w:pPr>
      <w:r>
        <w:rPr>
          <w:rFonts w:eastAsia="Calibri" w:cs="Calibri"/>
          <w:color w:val="000000"/>
        </w:rPr>
        <w:t>DHSC</w:t>
      </w:r>
      <w:r w:rsidR="6A7BF3BC" w:rsidRPr="6A7BF3BC">
        <w:rPr>
          <w:rFonts w:eastAsia="Calibri" w:cs="Calibri"/>
          <w:color w:val="000000"/>
        </w:rPr>
        <w:t xml:space="preserve"> aims to award a contract to both the independent Evaluation Supplier and Fleming Fund Management Agent at around the same time, at which point both organisations will commence their inception phase expected to last eight months.</w:t>
      </w:r>
    </w:p>
    <w:p w14:paraId="52EFC687" w14:textId="78B393D6"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The Fleming Fund has been designed so that, in having the Evaluation Supplier and Management Agent working together closely during the inception phase, evaluation considerations are ‘embedded’ in the programmes across the project cycle. This means clear assessments of the evidence for what does or doesn’t work in the initial stages of programme design, analysis of baseline data and effective evaluation over the life of the programme and beyond. It is key, however, that the Evaluation Supplier retains independence in order to deliver their independent evaluation of the programme as delivered by the Management Agent to ensure a balanced, accurate and unbiased evaluation. </w:t>
      </w:r>
    </w:p>
    <w:p w14:paraId="3B3CBA47" w14:textId="678755AE"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The Evaluation Supplier will evaluate how far the outputs of the portfolio of country and regional grants will contribute to the outcomes</w:t>
      </w:r>
      <w:r w:rsidRPr="6A7BF3BC">
        <w:rPr>
          <w:rFonts w:eastAsia="Calibri" w:cs="Calibri"/>
          <w:i/>
          <w:iCs/>
          <w:color w:val="000000"/>
        </w:rPr>
        <w:t xml:space="preserve"> </w:t>
      </w:r>
      <w:r w:rsidRPr="6A7BF3BC">
        <w:rPr>
          <w:rFonts w:eastAsia="Calibri" w:cs="Calibri"/>
          <w:color w:val="000000"/>
        </w:rPr>
        <w:t>and impact</w:t>
      </w:r>
      <w:r w:rsidRPr="6A7BF3BC">
        <w:rPr>
          <w:rFonts w:eastAsia="Calibri" w:cs="Calibri"/>
          <w:i/>
          <w:iCs/>
          <w:color w:val="000000"/>
        </w:rPr>
        <w:t xml:space="preserve"> </w:t>
      </w:r>
      <w:r w:rsidRPr="6A7BF3BC">
        <w:rPr>
          <w:rFonts w:eastAsia="Calibri" w:cs="Calibri"/>
          <w:color w:val="000000"/>
        </w:rPr>
        <w:t>defined within the agreed Fleming Fund Theory of Change (see Annex B). It is understood that this analysis would be indicative, due to the amount of external variables which could affect the desired Fleming Fund impact as stated.</w:t>
      </w:r>
    </w:p>
    <w:p w14:paraId="3CEA6AFC" w14:textId="7BC2D7B9"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The formative aspect of the evaluation will indicatively answer the evaluation questions agreed during the inception phase, and produce recommendations to guide the portfolio of country and regional grants in how their outputs can best achieve and contribute to the outcomes and impact of the Fleming Fund. The formative report will be a key opportunity for any course correction suggestions.</w:t>
      </w:r>
    </w:p>
    <w:p w14:paraId="6EED73C4" w14:textId="2F6B5913"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The summative aspect of the evaluation will answer the evaluation questions agreed during the inception phase and evaluate how far the outputs of the portfolio of country and regional grants have contributed, or will contribute, to the outcomes and impact of the overarching Fleming Fund.</w:t>
      </w:r>
    </w:p>
    <w:p w14:paraId="147DE4E6" w14:textId="69487406"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The evaluation questions (see ‘Proposed Evaluation Questions’ at 5.4 below, and ‘Indicative Evaluation Sub-Questions’ at Annex D) will be used to evaluate the overall impact of the Fund at agreed intervals.</w:t>
      </w:r>
    </w:p>
    <w:p w14:paraId="09137032" w14:textId="73FB18C2" w:rsidR="0028600E" w:rsidRPr="00CF0CAE" w:rsidRDefault="0028600E" w:rsidP="6A7BF3BC">
      <w:pPr>
        <w:spacing w:before="60" w:after="60"/>
        <w:jc w:val="both"/>
        <w:rPr>
          <w:rFonts w:eastAsia="Calibri" w:cs="Calibri"/>
          <w:i/>
          <w:iCs/>
          <w:color w:val="000000"/>
          <w:lang w:val="en-US"/>
        </w:rPr>
      </w:pPr>
    </w:p>
    <w:p w14:paraId="7B44268A" w14:textId="0785698A" w:rsidR="0028600E" w:rsidRPr="005F0478" w:rsidRDefault="6A7BF3BC" w:rsidP="00C6374D">
      <w:pPr>
        <w:pStyle w:val="ListParagraph"/>
        <w:numPr>
          <w:ilvl w:val="0"/>
          <w:numId w:val="34"/>
        </w:numPr>
        <w:spacing w:before="120" w:after="240" w:line="360" w:lineRule="exact"/>
        <w:ind w:left="284" w:hanging="284"/>
        <w:jc w:val="both"/>
        <w:rPr>
          <w:rFonts w:eastAsia="Calibri" w:cs="Calibri"/>
          <w:b/>
          <w:bCs/>
          <w:color w:val="000000"/>
          <w:u w:val="single"/>
        </w:rPr>
      </w:pPr>
      <w:r w:rsidRPr="005F0478">
        <w:rPr>
          <w:rFonts w:eastAsia="Calibri" w:cs="Calibri"/>
          <w:b/>
          <w:bCs/>
          <w:color w:val="000000"/>
          <w:u w:val="single"/>
        </w:rPr>
        <w:t>Programme Approach and Governance</w:t>
      </w:r>
    </w:p>
    <w:p w14:paraId="0A94430C" w14:textId="31A4D47A" w:rsidR="0028600E" w:rsidRPr="005F0478" w:rsidRDefault="6A7BF3BC" w:rsidP="005F0478">
      <w:pPr>
        <w:tabs>
          <w:tab w:val="left" w:pos="284"/>
        </w:tabs>
        <w:spacing w:after="200" w:line="276" w:lineRule="auto"/>
        <w:ind w:left="284"/>
        <w:jc w:val="both"/>
        <w:rPr>
          <w:rFonts w:eastAsia="Calibri" w:cs="Calibri"/>
          <w:color w:val="000000"/>
          <w:lang w:val="en-US"/>
        </w:rPr>
      </w:pPr>
      <w:r w:rsidRPr="6A7BF3BC">
        <w:rPr>
          <w:rFonts w:eastAsia="Calibri" w:cs="Calibri"/>
          <w:b/>
          <w:bCs/>
          <w:color w:val="000000"/>
          <w:u w:val="single"/>
        </w:rPr>
        <w:t>Programme approach</w:t>
      </w:r>
    </w:p>
    <w:p w14:paraId="55668A21" w14:textId="4F249551"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For details on Technical Support and Guidance, see Annex G. </w:t>
      </w:r>
    </w:p>
    <w:p w14:paraId="43619C5B" w14:textId="12A25DB9" w:rsidR="0028600E" w:rsidRPr="00CF0CAE" w:rsidRDefault="6A7BF3BC" w:rsidP="6A7BF3BC">
      <w:pPr>
        <w:spacing w:after="200" w:line="276" w:lineRule="auto"/>
        <w:ind w:left="284"/>
        <w:jc w:val="both"/>
        <w:rPr>
          <w:rFonts w:eastAsia="Calibri" w:cs="Calibri"/>
          <w:color w:val="000000"/>
          <w:lang w:val="en-US"/>
        </w:rPr>
      </w:pPr>
      <w:r w:rsidRPr="6A7BF3BC">
        <w:rPr>
          <w:rFonts w:eastAsia="Calibri" w:cs="Calibri"/>
          <w:b/>
          <w:bCs/>
          <w:color w:val="000000"/>
          <w:u w:val="single"/>
        </w:rPr>
        <w:t>Collaboration and partnership with Department of Health</w:t>
      </w:r>
    </w:p>
    <w:p w14:paraId="28E0D4E4" w14:textId="34D3A2EB"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The </w:t>
      </w:r>
      <w:r w:rsidR="004B603A">
        <w:rPr>
          <w:rFonts w:eastAsia="Calibri" w:cs="Calibri"/>
          <w:color w:val="000000"/>
        </w:rPr>
        <w:t>DHSC</w:t>
      </w:r>
      <w:r w:rsidRPr="6A7BF3BC">
        <w:rPr>
          <w:rFonts w:eastAsia="Calibri" w:cs="Calibri"/>
          <w:color w:val="000000"/>
        </w:rPr>
        <w:t xml:space="preserve"> is dedicated to ensuring that a close and collaborative working relationship is developed with the Evaluation Supplier and Management Agent. A key focus of evaluating Evaluation Supplier and Management Agent bids will be to assess the strength of proposals for working with the </w:t>
      </w:r>
      <w:r w:rsidR="004B603A">
        <w:rPr>
          <w:rFonts w:eastAsia="Calibri" w:cs="Calibri"/>
          <w:color w:val="000000"/>
        </w:rPr>
        <w:t>DHSC</w:t>
      </w:r>
      <w:r w:rsidRPr="6A7BF3BC">
        <w:rPr>
          <w:rFonts w:eastAsia="Calibri" w:cs="Calibri"/>
          <w:color w:val="000000"/>
        </w:rPr>
        <w:t xml:space="preserve"> in both the inception and implementation phases. </w:t>
      </w:r>
    </w:p>
    <w:p w14:paraId="21A241F9" w14:textId="7D46494B"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The </w:t>
      </w:r>
      <w:r w:rsidR="004B603A">
        <w:rPr>
          <w:rFonts w:eastAsia="Calibri" w:cs="Calibri"/>
          <w:color w:val="000000"/>
        </w:rPr>
        <w:t>DHSC</w:t>
      </w:r>
      <w:r w:rsidRPr="6A7BF3BC">
        <w:rPr>
          <w:rFonts w:eastAsia="Calibri" w:cs="Calibri"/>
          <w:color w:val="000000"/>
        </w:rPr>
        <w:t xml:space="preserve"> has one dedicated Full-Time Equivalent (FTE) acting as lead for country and regional project delivery for the Fleming Fund, who will work closely with the selected Management Agent, and one dedicated FTE policy and programme adviser who will act as the point person dedicated to delivering the evaluation. This lead will be the main </w:t>
      </w:r>
      <w:r w:rsidR="004B603A">
        <w:rPr>
          <w:rFonts w:eastAsia="Calibri" w:cs="Calibri"/>
          <w:color w:val="000000"/>
        </w:rPr>
        <w:t>DHSC</w:t>
      </w:r>
      <w:r w:rsidRPr="6A7BF3BC">
        <w:rPr>
          <w:rFonts w:eastAsia="Calibri" w:cs="Calibri"/>
          <w:color w:val="000000"/>
        </w:rPr>
        <w:t xml:space="preserve"> focal point for the selected Evaluation Supplier; however, additional support is available from an AMR expert consultant working with the department and further policy support within the Global Health Security Team. </w:t>
      </w:r>
    </w:p>
    <w:p w14:paraId="2AF59F19" w14:textId="51421BCA"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 xml:space="preserve">Consultation time with the programme Senior Responsible Officer (SRO) and access to the Chief Medical Officer will be coordinated through the Fleming Fund country lead. There will be considerable scope for regular discussions, particularly while shaping and designing the portfolio of country and regional grants. </w:t>
      </w:r>
    </w:p>
    <w:p w14:paraId="62441F65" w14:textId="0EB0F76B" w:rsidR="0028600E" w:rsidRPr="00CF0CAE" w:rsidRDefault="6A7BF3BC" w:rsidP="6A7BF3BC">
      <w:pPr>
        <w:pStyle w:val="InA"/>
        <w:ind w:left="284"/>
        <w:rPr>
          <w:rFonts w:ascii="Calibri" w:eastAsia="Calibri" w:hAnsi="Calibri" w:cs="Calibri"/>
          <w:color w:val="000000"/>
          <w:lang w:val="en-US"/>
        </w:rPr>
      </w:pPr>
      <w:r w:rsidRPr="6A7BF3BC">
        <w:rPr>
          <w:rFonts w:ascii="Calibri" w:eastAsia="Calibri" w:hAnsi="Calibri" w:cs="Calibri"/>
          <w:b/>
          <w:bCs/>
          <w:i w:val="0"/>
          <w:iCs w:val="0"/>
          <w:color w:val="000000"/>
          <w:u w:val="single"/>
        </w:rPr>
        <w:t xml:space="preserve">Governance </w:t>
      </w:r>
    </w:p>
    <w:p w14:paraId="5E9938E0" w14:textId="6FB0C75D" w:rsidR="0028600E" w:rsidRPr="00CF0CAE" w:rsidRDefault="6A7BF3BC" w:rsidP="6A7BF3BC">
      <w:pPr>
        <w:pStyle w:val="InA"/>
        <w:ind w:left="284"/>
        <w:rPr>
          <w:rFonts w:ascii="Calibri" w:eastAsia="Calibri" w:hAnsi="Calibri" w:cs="Calibri"/>
          <w:color w:val="000000"/>
          <w:lang w:val="en-US"/>
        </w:rPr>
      </w:pPr>
      <w:r w:rsidRPr="6A7BF3BC">
        <w:rPr>
          <w:rFonts w:ascii="Calibri" w:eastAsia="Calibri" w:hAnsi="Calibri" w:cs="Calibri"/>
          <w:i w:val="0"/>
          <w:iCs w:val="0"/>
          <w:color w:val="000000"/>
        </w:rPr>
        <w:t xml:space="preserve">Red lines indicate accountability chains and blue lines indicate a working relationship. </w:t>
      </w:r>
    </w:p>
    <w:p w14:paraId="6A72B5ED" w14:textId="409623FA" w:rsidR="0028600E" w:rsidRPr="004B603A" w:rsidRDefault="6A7BF3BC" w:rsidP="00C6374D">
      <w:pPr>
        <w:pStyle w:val="ListParagraph"/>
        <w:numPr>
          <w:ilvl w:val="1"/>
          <w:numId w:val="34"/>
        </w:numPr>
        <w:spacing w:before="120" w:after="120"/>
        <w:ind w:left="284" w:hanging="426"/>
        <w:jc w:val="both"/>
        <w:rPr>
          <w:rFonts w:eastAsia="Calibri" w:cs="Calibri"/>
          <w:color w:val="000000"/>
        </w:rPr>
      </w:pPr>
      <w:r w:rsidRPr="6A7BF3BC">
        <w:rPr>
          <w:rFonts w:eastAsia="Calibri" w:cs="Calibri"/>
          <w:b/>
          <w:bCs/>
          <w:color w:val="000000"/>
        </w:rPr>
        <w:t>Governance during inception phase - Figure 2</w:t>
      </w:r>
      <w:r w:rsidRPr="6A7BF3BC">
        <w:rPr>
          <w:rFonts w:eastAsia="Calibri" w:cs="Calibri"/>
          <w:color w:val="000000"/>
        </w:rPr>
        <w:t xml:space="preserve">: The inception stage of the programme assumes regular collaboration between the </w:t>
      </w:r>
      <w:r w:rsidR="004B603A">
        <w:rPr>
          <w:rFonts w:eastAsia="Calibri" w:cs="Calibri"/>
          <w:color w:val="000000"/>
        </w:rPr>
        <w:t>DHSC</w:t>
      </w:r>
      <w:r w:rsidRPr="6A7BF3BC">
        <w:rPr>
          <w:rFonts w:eastAsia="Calibri" w:cs="Calibri"/>
          <w:color w:val="000000"/>
        </w:rPr>
        <w:t xml:space="preserve"> Fleming Fund Project Team, the Evaluation Supplier and the Management Agent, as well as other key grantees such as the WHO. The following represents the governance of the inception phase.</w:t>
      </w:r>
    </w:p>
    <w:p w14:paraId="20D1B378" w14:textId="31B6787A" w:rsidR="0028600E" w:rsidRPr="004B603A" w:rsidRDefault="0028600E" w:rsidP="6A7BF3BC">
      <w:pPr>
        <w:spacing w:before="120" w:after="120" w:line="280" w:lineRule="exact"/>
        <w:ind w:left="284"/>
        <w:jc w:val="both"/>
        <w:rPr>
          <w:rFonts w:eastAsia="Calibri" w:cs="Calibri"/>
          <w:color w:val="000000"/>
        </w:rPr>
      </w:pPr>
    </w:p>
    <w:p w14:paraId="7E850CB6" w14:textId="2072E5AC" w:rsidR="0028600E" w:rsidRPr="00CF0CAE" w:rsidRDefault="6A7BF3BC" w:rsidP="00A20CEB">
      <w:pPr>
        <w:keepNext/>
        <w:spacing w:before="120" w:after="120" w:line="280" w:lineRule="exact"/>
        <w:ind w:left="284"/>
        <w:jc w:val="both"/>
        <w:rPr>
          <w:rFonts w:eastAsia="Calibri" w:cs="Calibri"/>
          <w:color w:val="000000"/>
          <w:lang w:val="en-US"/>
        </w:rPr>
      </w:pPr>
      <w:r w:rsidRPr="6A7BF3BC">
        <w:rPr>
          <w:rFonts w:eastAsia="Calibri" w:cs="Calibri"/>
          <w:b/>
          <w:bCs/>
          <w:color w:val="000000"/>
        </w:rPr>
        <w:t>Figure2: Governance of the inception phase of the programme</w:t>
      </w:r>
    </w:p>
    <w:p w14:paraId="195AA4FC" w14:textId="00F52DDF" w:rsidR="0028600E" w:rsidRPr="00CF0CAE" w:rsidRDefault="000B7513" w:rsidP="000B7513">
      <w:pPr>
        <w:spacing w:before="120" w:after="120" w:line="280" w:lineRule="exact"/>
        <w:ind w:left="284"/>
        <w:jc w:val="both"/>
        <w:rPr>
          <w:rFonts w:eastAsia="Calibri" w:cs="Calibri"/>
          <w:color w:val="000000"/>
          <w:lang w:val="en-US"/>
        </w:rPr>
      </w:pPr>
      <w:r>
        <w:rPr>
          <w:noProof/>
        </w:rPr>
        <w:drawing>
          <wp:anchor distT="0" distB="0" distL="114300" distR="114300" simplePos="0" relativeHeight="251658241" behindDoc="0" locked="0" layoutInCell="1" allowOverlap="1" wp14:anchorId="67617EA8" wp14:editId="34A750CA">
            <wp:simplePos x="0" y="0"/>
            <wp:positionH relativeFrom="column">
              <wp:posOffset>520065</wp:posOffset>
            </wp:positionH>
            <wp:positionV relativeFrom="paragraph">
              <wp:posOffset>196850</wp:posOffset>
            </wp:positionV>
            <wp:extent cx="4572000" cy="2266950"/>
            <wp:effectExtent l="0" t="0" r="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4572000" cy="2266950"/>
                    </a:xfrm>
                    <a:prstGeom prst="rect">
                      <a:avLst/>
                    </a:prstGeom>
                  </pic:spPr>
                </pic:pic>
              </a:graphicData>
            </a:graphic>
          </wp:anchor>
        </w:drawing>
      </w:r>
    </w:p>
    <w:p w14:paraId="4DE3086A" w14:textId="5FEA9C69" w:rsidR="0028600E" w:rsidRPr="000B7513" w:rsidRDefault="0028600E" w:rsidP="000B7513">
      <w:pPr>
        <w:spacing w:after="200" w:line="276" w:lineRule="auto"/>
        <w:ind w:left="360"/>
        <w:jc w:val="both"/>
        <w:rPr>
          <w:rFonts w:eastAsia="Calibri" w:cs="Calibri"/>
          <w:color w:val="000000"/>
          <w:lang w:val="en-US"/>
        </w:rPr>
      </w:pPr>
    </w:p>
    <w:p w14:paraId="18B8A703" w14:textId="1DE35D21" w:rsidR="0028600E" w:rsidRPr="00CF0CAE" w:rsidRDefault="6A7BF3BC" w:rsidP="005F0478">
      <w:pPr>
        <w:pStyle w:val="ItadNormalText"/>
        <w:rPr>
          <w:lang w:val="en-US"/>
        </w:rPr>
      </w:pPr>
      <w:r w:rsidRPr="6A7BF3BC">
        <w:rPr>
          <w:b/>
          <w:bCs/>
        </w:rPr>
        <w:t>A:</w:t>
      </w:r>
      <w:r w:rsidRPr="6A7BF3BC">
        <w:t xml:space="preserve"> During inception phase - proposals, decisions and approaches will be discussed and approved by this group of </w:t>
      </w:r>
      <w:r w:rsidR="004B603A">
        <w:t>DHSC</w:t>
      </w:r>
      <w:r w:rsidRPr="6A7BF3BC">
        <w:t xml:space="preserve"> seniors, including the SRO for the Global Health Security portfolio. </w:t>
      </w:r>
    </w:p>
    <w:p w14:paraId="2986BE07" w14:textId="23CBC2EA" w:rsidR="0028600E" w:rsidRPr="00CF0CAE" w:rsidRDefault="6A7BF3BC" w:rsidP="005F0478">
      <w:pPr>
        <w:pStyle w:val="ItadNormalText"/>
        <w:rPr>
          <w:lang w:val="en-US"/>
        </w:rPr>
      </w:pPr>
      <w:r w:rsidRPr="6A7BF3BC">
        <w:rPr>
          <w:b/>
          <w:bCs/>
        </w:rPr>
        <w:t>B:</w:t>
      </w:r>
      <w:r w:rsidRPr="6A7BF3BC">
        <w:t xml:space="preserve"> The Fleming Fund is part of the </w:t>
      </w:r>
      <w:r w:rsidR="004B603A">
        <w:t>DHSC</w:t>
      </w:r>
      <w:r w:rsidRPr="6A7BF3BC">
        <w:t xml:space="preserve"> portfolio of work on Global Health Security. This work is regularly reviewed and governed by a Global Health Security Programme Board chaired by the </w:t>
      </w:r>
      <w:r w:rsidR="004B603A">
        <w:t>DHSC</w:t>
      </w:r>
      <w:r w:rsidRPr="6A7BF3BC">
        <w:t xml:space="preserve"> SRO for the funds. The Project Team will report progress on the Fleming Fund design into this group. </w:t>
      </w:r>
    </w:p>
    <w:p w14:paraId="74B8EB2B" w14:textId="5B39BC09" w:rsidR="0028600E" w:rsidRPr="00CF0CAE" w:rsidRDefault="6A7BF3BC" w:rsidP="005F0478">
      <w:pPr>
        <w:pStyle w:val="ItadNormalText"/>
        <w:rPr>
          <w:lang w:val="en-US"/>
        </w:rPr>
      </w:pPr>
      <w:r w:rsidRPr="6A7BF3BC">
        <w:rPr>
          <w:b/>
          <w:bCs/>
        </w:rPr>
        <w:t xml:space="preserve">C: </w:t>
      </w:r>
      <w:r w:rsidRPr="6A7BF3BC">
        <w:t xml:space="preserve">The Fleming Fund is part of the broader Ross Fund, which is a joint initiative between </w:t>
      </w:r>
      <w:r w:rsidR="004B603A">
        <w:t>DHSC</w:t>
      </w:r>
      <w:r w:rsidRPr="6A7BF3BC">
        <w:t xml:space="preserve"> and DFID as announced in the 2015 government Spending Review. To ensure all activities across Whitehall are aligned and on track, a cross-Whitehall group will meet to review and discuss interdependencies between projects and give assurance to ministers that planned activities are on track. </w:t>
      </w:r>
    </w:p>
    <w:p w14:paraId="6F7A1155" w14:textId="0FACBE2F" w:rsidR="0028600E" w:rsidRDefault="6A7BF3BC" w:rsidP="005F0478">
      <w:pPr>
        <w:pStyle w:val="ItadNormalText"/>
      </w:pPr>
      <w:r w:rsidRPr="6A7BF3BC">
        <w:rPr>
          <w:b/>
          <w:bCs/>
        </w:rPr>
        <w:t>D:</w:t>
      </w:r>
      <w:r w:rsidRPr="6A7BF3BC">
        <w:t xml:space="preserve"> The Technical Advisory Group will be a small group of multidisciplinary experts that </w:t>
      </w:r>
      <w:r w:rsidR="004B603A">
        <w:t>DHSC</w:t>
      </w:r>
      <w:r w:rsidRPr="6A7BF3BC">
        <w:t>, the Management Agent or the Evaluation Supplier are able to call on during either the inception or implementation phases to advise, input or quality assure elements of the wider Fleming Fund.</w:t>
      </w:r>
    </w:p>
    <w:p w14:paraId="23AB9F93" w14:textId="77777777" w:rsidR="005F0478" w:rsidRPr="00CF0CAE" w:rsidRDefault="005F0478" w:rsidP="005F0478">
      <w:pPr>
        <w:pStyle w:val="ItadNormalText"/>
        <w:rPr>
          <w:lang w:val="en-US"/>
        </w:rPr>
      </w:pPr>
    </w:p>
    <w:p w14:paraId="43FEAF03" w14:textId="67CD73EC"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b/>
          <w:bCs/>
          <w:color w:val="000000"/>
        </w:rPr>
        <w:t>Governance during the implementation phase – Figure 3:</w:t>
      </w:r>
      <w:r w:rsidRPr="6A7BF3BC">
        <w:rPr>
          <w:rFonts w:eastAsia="Calibri" w:cs="Calibri"/>
          <w:color w:val="000000"/>
        </w:rPr>
        <w:t xml:space="preserve"> The implementation phase of the programme will devolve much of the day-to-day management decisions to the Management Agent with approvals being taken and decisions reviewed where necessary by a Steering Committee. The Steering Committee will be a high-level group, including representatives from the key programme areas. </w:t>
      </w:r>
    </w:p>
    <w:p w14:paraId="4B4A1816" w14:textId="0D5C2D15" w:rsidR="0028600E" w:rsidRPr="00CF0CAE" w:rsidRDefault="0028600E" w:rsidP="6A7BF3BC">
      <w:pPr>
        <w:spacing w:before="120" w:after="120" w:line="280" w:lineRule="exact"/>
        <w:ind w:left="284"/>
        <w:jc w:val="both"/>
        <w:rPr>
          <w:rFonts w:eastAsia="Calibri" w:cs="Calibri"/>
          <w:color w:val="000000"/>
          <w:lang w:val="en-US"/>
        </w:rPr>
      </w:pPr>
    </w:p>
    <w:p w14:paraId="34F2A625" w14:textId="50A3643C" w:rsidR="0028600E" w:rsidRPr="00CF0CAE" w:rsidRDefault="6A7BF3BC" w:rsidP="00A20CEB">
      <w:pPr>
        <w:keepNext/>
        <w:spacing w:before="120" w:after="120" w:line="280" w:lineRule="exact"/>
        <w:ind w:left="284"/>
        <w:jc w:val="both"/>
        <w:rPr>
          <w:rFonts w:eastAsia="Calibri" w:cs="Calibri"/>
          <w:color w:val="000000"/>
          <w:lang w:val="en-US"/>
        </w:rPr>
      </w:pPr>
      <w:r w:rsidRPr="6A7BF3BC">
        <w:rPr>
          <w:rFonts w:eastAsia="Calibri" w:cs="Calibri"/>
          <w:b/>
          <w:bCs/>
          <w:color w:val="000000"/>
        </w:rPr>
        <w:t>Figure 3: Governance of the implementation phase of the programme</w:t>
      </w:r>
    </w:p>
    <w:p w14:paraId="015BEFD4" w14:textId="27493C0C" w:rsidR="0028600E" w:rsidRPr="000B7513" w:rsidRDefault="000B7513" w:rsidP="6A7BF3BC">
      <w:pPr>
        <w:spacing w:after="200" w:line="276" w:lineRule="auto"/>
        <w:jc w:val="both"/>
        <w:rPr>
          <w:rFonts w:eastAsia="Calibri" w:cs="Calibri"/>
          <w:color w:val="000000"/>
          <w:lang w:val="en-US"/>
        </w:rPr>
      </w:pPr>
      <w:r>
        <w:rPr>
          <w:noProof/>
        </w:rPr>
        <w:drawing>
          <wp:anchor distT="0" distB="0" distL="114300" distR="114300" simplePos="0" relativeHeight="251658243" behindDoc="0" locked="0" layoutInCell="1" allowOverlap="1" wp14:anchorId="321B9D84" wp14:editId="0E5EF06D">
            <wp:simplePos x="0" y="0"/>
            <wp:positionH relativeFrom="column">
              <wp:posOffset>367665</wp:posOffset>
            </wp:positionH>
            <wp:positionV relativeFrom="paragraph">
              <wp:posOffset>234950</wp:posOffset>
            </wp:positionV>
            <wp:extent cx="4572000" cy="3209925"/>
            <wp:effectExtent l="0" t="0" r="0" b="9525"/>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4572000" cy="3209925"/>
                    </a:xfrm>
                    <a:prstGeom prst="rect">
                      <a:avLst/>
                    </a:prstGeom>
                  </pic:spPr>
                </pic:pic>
              </a:graphicData>
            </a:graphic>
          </wp:anchor>
        </w:drawing>
      </w:r>
    </w:p>
    <w:p w14:paraId="6DB8A16F" w14:textId="6F9B0361" w:rsidR="0028600E" w:rsidRPr="000B7513" w:rsidRDefault="0028600E" w:rsidP="6A7BF3BC">
      <w:pPr>
        <w:spacing w:after="200" w:line="276" w:lineRule="auto"/>
        <w:jc w:val="both"/>
        <w:rPr>
          <w:rFonts w:eastAsia="Calibri" w:cs="Calibri"/>
          <w:color w:val="000000"/>
          <w:lang w:val="en-US"/>
        </w:rPr>
      </w:pPr>
    </w:p>
    <w:p w14:paraId="752356A6" w14:textId="067C3AA6" w:rsidR="0028600E" w:rsidRPr="005F0478" w:rsidRDefault="6A7BF3BC" w:rsidP="005F0478">
      <w:pPr>
        <w:pStyle w:val="ItadNormalTextBold"/>
        <w:rPr>
          <w:b w:val="0"/>
          <w:bCs w:val="0"/>
        </w:rPr>
      </w:pPr>
      <w:r w:rsidRPr="6A7BF3BC">
        <w:rPr>
          <w:rFonts w:eastAsia="Calibri" w:cs="Calibri"/>
          <w:color w:val="000000"/>
        </w:rPr>
        <w:t xml:space="preserve">E: </w:t>
      </w:r>
      <w:r w:rsidRPr="005F0478">
        <w:rPr>
          <w:b w:val="0"/>
          <w:bCs w:val="0"/>
        </w:rPr>
        <w:t xml:space="preserve">When fully operational, the Fleming Fund portfolio of country and regional grants will be governed by a Steering Committee. Representation on this committee will include, but not be limited to, senior members of </w:t>
      </w:r>
      <w:r w:rsidR="004B603A">
        <w:rPr>
          <w:b w:val="0"/>
          <w:bCs w:val="0"/>
        </w:rPr>
        <w:t>DHSC</w:t>
      </w:r>
      <w:r w:rsidRPr="005F0478">
        <w:rPr>
          <w:b w:val="0"/>
          <w:bCs w:val="0"/>
        </w:rPr>
        <w:t xml:space="preserve">, DFID, the Management Agent and the Evaluation Supplier, and may also include independent experts. This group will likely meet to review and approve key documents including the funding call specification, proposed grantees, annual reports, results and recommendations from the independent evaluation. This group will have the opportunity to provide strategic challenge and will be charged with using their remit of challenge and approval to keep the programme working towards the desired impact in the most effective and efficient way. The terms of reference for this group will be defined between the Management Agent, the Evaluation Supplier and </w:t>
      </w:r>
      <w:r w:rsidR="004B603A">
        <w:rPr>
          <w:b w:val="0"/>
          <w:bCs w:val="0"/>
        </w:rPr>
        <w:t>DHSC</w:t>
      </w:r>
      <w:r w:rsidRPr="005F0478">
        <w:rPr>
          <w:b w:val="0"/>
          <w:bCs w:val="0"/>
        </w:rPr>
        <w:t xml:space="preserve"> during the inception phase. Although day-to-day management for the Fund will be devolved to </w:t>
      </w:r>
      <w:r w:rsidR="004B603A">
        <w:rPr>
          <w:b w:val="0"/>
          <w:bCs w:val="0"/>
        </w:rPr>
        <w:t>DHSC</w:t>
      </w:r>
      <w:r w:rsidRPr="005F0478">
        <w:rPr>
          <w:b w:val="0"/>
          <w:bCs w:val="0"/>
        </w:rPr>
        <w:t xml:space="preserve">, the Management Agent and the Evaluation Supplier respectively, all elements of the Fund will be accountable to this group. </w:t>
      </w:r>
    </w:p>
    <w:p w14:paraId="0D940308" w14:textId="1F49A37A" w:rsidR="0028600E" w:rsidRDefault="6A7BF3BC" w:rsidP="005F0478">
      <w:pPr>
        <w:pStyle w:val="ItadNormalTextBold"/>
        <w:rPr>
          <w:b w:val="0"/>
          <w:bCs w:val="0"/>
        </w:rPr>
      </w:pPr>
      <w:r w:rsidRPr="005F0478">
        <w:t>F:</w:t>
      </w:r>
      <w:r w:rsidRPr="005F0478">
        <w:rPr>
          <w:b w:val="0"/>
          <w:bCs w:val="0"/>
        </w:rPr>
        <w:t xml:space="preserve"> Country and regional grant holders will be accountable directly to the Management Agent on financial and delivery related matters. Devolved responsibility for decision making, monitoring, risk, and management with these suppliers rests with the Management Agent. If required, an issue can be escalated to either the </w:t>
      </w:r>
      <w:r w:rsidR="004B603A">
        <w:rPr>
          <w:b w:val="0"/>
          <w:bCs w:val="0"/>
        </w:rPr>
        <w:t>DHSC</w:t>
      </w:r>
      <w:r w:rsidRPr="005F0478">
        <w:rPr>
          <w:b w:val="0"/>
          <w:bCs w:val="0"/>
        </w:rPr>
        <w:t xml:space="preserve"> Project Team informally or formally to the Fleming Fund Steering Committee. </w:t>
      </w:r>
    </w:p>
    <w:p w14:paraId="6E829A3A" w14:textId="77777777" w:rsidR="005F0478" w:rsidRPr="005F0478" w:rsidRDefault="005F0478" w:rsidP="005F0478">
      <w:pPr>
        <w:pStyle w:val="ItadNormalText"/>
      </w:pPr>
    </w:p>
    <w:p w14:paraId="593E5F44" w14:textId="6C06685D" w:rsidR="0028600E" w:rsidRPr="00CF0CAE" w:rsidRDefault="6A7BF3BC" w:rsidP="6A7BF3BC">
      <w:pPr>
        <w:spacing w:before="120" w:after="120" w:line="280" w:lineRule="exact"/>
        <w:ind w:left="284"/>
        <w:jc w:val="both"/>
        <w:rPr>
          <w:rFonts w:eastAsia="Calibri" w:cs="Calibri"/>
          <w:color w:val="000000"/>
          <w:lang w:val="en-US"/>
        </w:rPr>
      </w:pPr>
      <w:r w:rsidRPr="6A7BF3BC">
        <w:rPr>
          <w:rFonts w:eastAsia="Calibri" w:cs="Calibri"/>
          <w:b/>
          <w:bCs/>
          <w:color w:val="000000"/>
          <w:u w:val="single"/>
        </w:rPr>
        <w:t>Specific Governance for the Evaluation Supplier</w:t>
      </w:r>
    </w:p>
    <w:p w14:paraId="08274EC5" w14:textId="443508E2"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The Evaluation Supplier and Management Agent are viewed as equal independencies, both of whom will report through the governance structures outlined above. To ensure independence of the Evaluation Supplier through the inception phase, the Evaluation Supplier will have an advisory and consultancy role whilst working collaboratively with the Management Agent in designing the monitoring strategy of the Fund, but ultimate accountability for the strategy put in place will rest with the Management Agent. Furthermore, if required, conflict of interest can be declared at any time.</w:t>
      </w:r>
      <w:r w:rsidR="007458AC">
        <w:rPr>
          <w:rFonts w:eastAsia="Calibri" w:cs="Calibri"/>
          <w:color w:val="000000"/>
        </w:rPr>
        <w:t xml:space="preserve"> </w:t>
      </w:r>
    </w:p>
    <w:p w14:paraId="4B60AD19" w14:textId="7F53E64B" w:rsidR="0028600E" w:rsidRPr="00AB52E3" w:rsidRDefault="6A7BF3BC" w:rsidP="00AB52E3">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During implementation, the Management Agent will answer to the Steering Committee if they are not collecting the data based on the best advice provided by the Evaluation Supplier.</w:t>
      </w:r>
      <w:r w:rsidR="007458AC">
        <w:rPr>
          <w:rFonts w:eastAsia="Calibri" w:cs="Calibri"/>
          <w:color w:val="000000"/>
        </w:rPr>
        <w:t xml:space="preserve">  </w:t>
      </w:r>
    </w:p>
    <w:p w14:paraId="725974FA" w14:textId="6BD15D69" w:rsidR="0028600E" w:rsidRPr="005F0478" w:rsidRDefault="6A7BF3BC" w:rsidP="00C6374D">
      <w:pPr>
        <w:pStyle w:val="ListParagraph"/>
        <w:numPr>
          <w:ilvl w:val="0"/>
          <w:numId w:val="34"/>
        </w:numPr>
        <w:spacing w:before="120" w:after="240" w:line="360" w:lineRule="exact"/>
        <w:ind w:left="284" w:hanging="284"/>
        <w:jc w:val="both"/>
        <w:rPr>
          <w:rFonts w:eastAsia="Calibri" w:cs="Calibri"/>
          <w:color w:val="000000"/>
          <w:u w:val="single"/>
          <w:lang w:val="en-US"/>
        </w:rPr>
      </w:pPr>
      <w:r w:rsidRPr="005F0478">
        <w:rPr>
          <w:rFonts w:eastAsia="Calibri" w:cs="Calibri"/>
          <w:b/>
          <w:bCs/>
          <w:color w:val="000000"/>
          <w:u w:val="single"/>
        </w:rPr>
        <w:t xml:space="preserve">Scope and Deliverables of the Fleming Fund Evaluation </w:t>
      </w:r>
    </w:p>
    <w:p w14:paraId="5C445AF4" w14:textId="77777777" w:rsidR="005F0478" w:rsidRPr="00CF0CAE" w:rsidRDefault="005F0478" w:rsidP="005F0478">
      <w:pPr>
        <w:pStyle w:val="ListParagraph"/>
        <w:spacing w:before="120" w:after="240" w:line="360" w:lineRule="exact"/>
        <w:ind w:left="284"/>
        <w:jc w:val="both"/>
        <w:rPr>
          <w:rFonts w:eastAsia="Calibri" w:cs="Calibri"/>
          <w:color w:val="000000"/>
          <w:lang w:val="en-US"/>
        </w:rPr>
      </w:pPr>
    </w:p>
    <w:p w14:paraId="444E9DAD" w14:textId="6F3938AE" w:rsidR="0028600E" w:rsidRPr="000B2DEA" w:rsidRDefault="6A7BF3BC" w:rsidP="00C6374D">
      <w:pPr>
        <w:pStyle w:val="ListParagraph"/>
        <w:numPr>
          <w:ilvl w:val="1"/>
          <w:numId w:val="34"/>
        </w:numPr>
        <w:spacing w:before="120" w:after="120"/>
        <w:ind w:left="284" w:hanging="426"/>
        <w:jc w:val="both"/>
        <w:rPr>
          <w:rFonts w:eastAsia="Calibri" w:cs="Calibri"/>
          <w:color w:val="000000"/>
        </w:rPr>
      </w:pPr>
      <w:r w:rsidRPr="6A7BF3BC">
        <w:rPr>
          <w:rFonts w:eastAsia="Calibri" w:cs="Calibri"/>
          <w:color w:val="000000"/>
        </w:rPr>
        <w:t>The ultimate desired impact of the Fleming Fund Theory of Change is reduced morbidity and mortality associated with AMR. The Evaluation Supplier will evaluate how far the outputs of the portfolio of country and regional grants will contribute to the outcomes</w:t>
      </w:r>
      <w:r w:rsidRPr="000B2DEA">
        <w:rPr>
          <w:rFonts w:eastAsia="Calibri" w:cs="Calibri"/>
          <w:color w:val="000000"/>
        </w:rPr>
        <w:t xml:space="preserve"> </w:t>
      </w:r>
      <w:r w:rsidRPr="6A7BF3BC">
        <w:rPr>
          <w:rFonts w:eastAsia="Calibri" w:cs="Calibri"/>
          <w:color w:val="000000"/>
        </w:rPr>
        <w:t>and impact</w:t>
      </w:r>
      <w:r w:rsidRPr="000B2DEA">
        <w:rPr>
          <w:rFonts w:eastAsia="Calibri" w:cs="Calibri"/>
          <w:color w:val="000000"/>
        </w:rPr>
        <w:t xml:space="preserve"> </w:t>
      </w:r>
      <w:r w:rsidRPr="6A7BF3BC">
        <w:rPr>
          <w:rFonts w:eastAsia="Calibri" w:cs="Calibri"/>
          <w:color w:val="000000"/>
        </w:rPr>
        <w:t>defined within the agreed Fleming Fund Theory of Change (see Annex B). It is understood that this analysis would be indicative, due to the amount of external variables which could affect the desired Fleming Fund impact as stated.</w:t>
      </w:r>
    </w:p>
    <w:p w14:paraId="40698AA9" w14:textId="6029C186" w:rsidR="0028600E" w:rsidRPr="000B2DEA" w:rsidRDefault="6A7BF3BC" w:rsidP="00C6374D">
      <w:pPr>
        <w:pStyle w:val="ListParagraph"/>
        <w:numPr>
          <w:ilvl w:val="1"/>
          <w:numId w:val="34"/>
        </w:numPr>
        <w:spacing w:before="120" w:after="120"/>
        <w:ind w:left="284" w:hanging="426"/>
        <w:jc w:val="both"/>
        <w:rPr>
          <w:rFonts w:eastAsia="Calibri" w:cs="Calibri"/>
          <w:color w:val="000000"/>
        </w:rPr>
      </w:pPr>
      <w:r w:rsidRPr="6A7BF3BC">
        <w:rPr>
          <w:rFonts w:eastAsia="Calibri" w:cs="Calibri"/>
          <w:color w:val="000000"/>
        </w:rPr>
        <w:t>The formative aspect of the evaluation will indicatively answer the evaluation questions agreed during the inception phase, and produce recommendations to guide the portfolio of country and regional grants in how their outputs can best achieve and contribute to the outcomes and impact of the Fleming Fund. The formative report will be a key opportunity for any course correction suggestions.</w:t>
      </w:r>
    </w:p>
    <w:p w14:paraId="463939F8" w14:textId="11D4D82B" w:rsidR="0028600E" w:rsidRPr="000B2DEA" w:rsidRDefault="6A7BF3BC" w:rsidP="00C6374D">
      <w:pPr>
        <w:pStyle w:val="ListParagraph"/>
        <w:numPr>
          <w:ilvl w:val="1"/>
          <w:numId w:val="34"/>
        </w:numPr>
        <w:spacing w:before="120" w:after="120"/>
        <w:ind w:left="284" w:hanging="426"/>
        <w:jc w:val="both"/>
        <w:rPr>
          <w:rFonts w:eastAsia="Calibri" w:cs="Calibri"/>
          <w:color w:val="000000"/>
        </w:rPr>
      </w:pPr>
      <w:r w:rsidRPr="6A7BF3BC">
        <w:rPr>
          <w:rFonts w:eastAsia="Calibri" w:cs="Calibri"/>
          <w:color w:val="000000"/>
        </w:rPr>
        <w:t>The summative aspect of the evaluation will answer the evaluation questions agreed during the inception phase and evaluate how far the outputs of the portfolio of country and regional grants have contributed, or will contribute, to the outcomes and impact of the overarching Fleming Fund.</w:t>
      </w:r>
    </w:p>
    <w:p w14:paraId="05667B5F" w14:textId="7BCA789A" w:rsidR="0028600E" w:rsidRPr="006F018C" w:rsidRDefault="6A7BF3BC" w:rsidP="6A7BF3BC">
      <w:pPr>
        <w:spacing w:after="200" w:line="276" w:lineRule="auto"/>
        <w:jc w:val="both"/>
        <w:rPr>
          <w:rFonts w:eastAsia="Calibri" w:cs="Calibri"/>
          <w:color w:val="000000"/>
          <w:lang w:val="it-IT"/>
        </w:rPr>
      </w:pPr>
      <w:r w:rsidRPr="6A7BF3BC">
        <w:rPr>
          <w:rFonts w:eastAsia="Calibri" w:cs="Calibri"/>
          <w:b/>
          <w:bCs/>
          <w:color w:val="000000"/>
          <w:u w:val="single"/>
        </w:rPr>
        <w:t>Proposed evaluation questions</w:t>
      </w:r>
    </w:p>
    <w:p w14:paraId="38090182" w14:textId="1EBAB97C" w:rsidR="0028600E" w:rsidRPr="00CF0CAE"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The following are the minimum proposed evaluation questions to be answered by the successful Evaluation Supplier as part of the provision of the services:</w:t>
      </w:r>
    </w:p>
    <w:p w14:paraId="712336C1" w14:textId="0C461548" w:rsidR="0028600E" w:rsidRPr="00CD4B01" w:rsidRDefault="6A7BF3BC" w:rsidP="00C6374D">
      <w:pPr>
        <w:pStyle w:val="ItadNormalTextWhite"/>
        <w:numPr>
          <w:ilvl w:val="0"/>
          <w:numId w:val="52"/>
        </w:numPr>
        <w:rPr>
          <w:color w:val="auto"/>
          <w:lang w:val="it-IT"/>
        </w:rPr>
      </w:pPr>
      <w:r w:rsidRPr="00CD4B01">
        <w:rPr>
          <w:color w:val="auto"/>
        </w:rPr>
        <w:t xml:space="preserve">How relevant are the Fleming Fund investments to influencing data use within the country context? (OECD DAC Criteria – Relevance) </w:t>
      </w:r>
    </w:p>
    <w:p w14:paraId="38F8625C" w14:textId="652E981A" w:rsidR="0028600E" w:rsidRPr="00CD4B01" w:rsidRDefault="6A7BF3BC" w:rsidP="00C6374D">
      <w:pPr>
        <w:pStyle w:val="ItadNormalTextWhite"/>
        <w:numPr>
          <w:ilvl w:val="0"/>
          <w:numId w:val="52"/>
        </w:numPr>
        <w:rPr>
          <w:color w:val="auto"/>
          <w:lang w:val="it-IT"/>
        </w:rPr>
      </w:pPr>
      <w:r w:rsidRPr="00CD4B01">
        <w:rPr>
          <w:color w:val="auto"/>
        </w:rPr>
        <w:t>What is the effect of a common protocol(s) to collect AMR data on programme implementation and results? (OECD DAC Criteria – Efficiency)</w:t>
      </w:r>
    </w:p>
    <w:p w14:paraId="2B67219A" w14:textId="57C5D4B3" w:rsidR="0028600E" w:rsidRPr="00CD4B01" w:rsidRDefault="6A7BF3BC" w:rsidP="00C6374D">
      <w:pPr>
        <w:pStyle w:val="ItadNormalTextWhite"/>
        <w:numPr>
          <w:ilvl w:val="0"/>
          <w:numId w:val="52"/>
        </w:numPr>
        <w:rPr>
          <w:color w:val="auto"/>
          <w:lang w:val="it-IT"/>
        </w:rPr>
      </w:pPr>
      <w:r w:rsidRPr="00CD4B01">
        <w:rPr>
          <w:color w:val="auto"/>
        </w:rPr>
        <w:t>To what extent has the AMR data collected been used to support national level policy and regulation of antimicrobials? (OECD DAC Criteria – Effectiveness)</w:t>
      </w:r>
    </w:p>
    <w:p w14:paraId="35EED2E1" w14:textId="3CC3EB91" w:rsidR="0028600E" w:rsidRPr="00CD4B01" w:rsidRDefault="6A7BF3BC" w:rsidP="00C6374D">
      <w:pPr>
        <w:pStyle w:val="ItadNormalTextWhite"/>
        <w:numPr>
          <w:ilvl w:val="0"/>
          <w:numId w:val="52"/>
        </w:numPr>
        <w:rPr>
          <w:color w:val="auto"/>
          <w:lang w:val="it-IT"/>
        </w:rPr>
      </w:pPr>
      <w:r w:rsidRPr="00CD4B01">
        <w:rPr>
          <w:color w:val="auto"/>
        </w:rPr>
        <w:t>To what extent has the AMR data collected impacted on clinical and social practice surrounding antimicrobials? (OECD DAC Criteria – Effectiveness)</w:t>
      </w:r>
    </w:p>
    <w:p w14:paraId="10277E81" w14:textId="5EEE6791" w:rsidR="0028600E" w:rsidRPr="00CD4B01" w:rsidRDefault="6A7BF3BC" w:rsidP="00C6374D">
      <w:pPr>
        <w:pStyle w:val="ItadNormalTextWhite"/>
        <w:numPr>
          <w:ilvl w:val="0"/>
          <w:numId w:val="52"/>
        </w:numPr>
        <w:rPr>
          <w:color w:val="auto"/>
          <w:lang w:val="it-IT"/>
        </w:rPr>
      </w:pPr>
      <w:r w:rsidRPr="00CD4B01">
        <w:rPr>
          <w:color w:val="auto"/>
        </w:rPr>
        <w:t>To what extent has the AMR data collected been used on an international level to inform relevant agenda? (OECD DAC Criteria – Effectiveness)</w:t>
      </w:r>
    </w:p>
    <w:p w14:paraId="3F080959" w14:textId="05ECD314" w:rsidR="0028600E" w:rsidRPr="00CD4B01" w:rsidRDefault="6A7BF3BC" w:rsidP="00C6374D">
      <w:pPr>
        <w:pStyle w:val="ItadNormalTextWhite"/>
        <w:numPr>
          <w:ilvl w:val="0"/>
          <w:numId w:val="52"/>
        </w:numPr>
        <w:rPr>
          <w:color w:val="auto"/>
          <w:lang w:val="it-IT"/>
        </w:rPr>
      </w:pPr>
      <w:r w:rsidRPr="00CD4B01">
        <w:rPr>
          <w:color w:val="auto"/>
        </w:rPr>
        <w:t>How successfully has the Fleming Fund aligned with other international work on AMR? (OECD DAC Criteria – Efficiency)</w:t>
      </w:r>
    </w:p>
    <w:p w14:paraId="63DA956C" w14:textId="7C0B2457" w:rsidR="0028600E" w:rsidRPr="00CD4B01" w:rsidRDefault="6A7BF3BC" w:rsidP="00C6374D">
      <w:pPr>
        <w:pStyle w:val="ListParagraph"/>
        <w:numPr>
          <w:ilvl w:val="1"/>
          <w:numId w:val="34"/>
        </w:numPr>
        <w:spacing w:before="120" w:after="120"/>
        <w:ind w:left="284" w:hanging="426"/>
        <w:jc w:val="both"/>
        <w:rPr>
          <w:rFonts w:eastAsia="Calibri" w:cs="Calibri"/>
          <w:color w:val="000000"/>
        </w:rPr>
      </w:pPr>
      <w:r w:rsidRPr="6A7BF3BC">
        <w:rPr>
          <w:rFonts w:eastAsia="Calibri" w:cs="Calibri"/>
          <w:color w:val="000000"/>
        </w:rPr>
        <w:t xml:space="preserve">Indicative sub-questions for the evaluation are presented in Annex D. The successful bidder will be expected to develop and refine these questions during the inception phase. </w:t>
      </w:r>
    </w:p>
    <w:p w14:paraId="66C6ACCC" w14:textId="1E2EFBBC" w:rsidR="0028600E" w:rsidRPr="00CD4B01" w:rsidRDefault="004B603A" w:rsidP="00C6374D">
      <w:pPr>
        <w:pStyle w:val="ListParagraph"/>
        <w:numPr>
          <w:ilvl w:val="1"/>
          <w:numId w:val="34"/>
        </w:numPr>
        <w:spacing w:before="120" w:after="120"/>
        <w:ind w:left="284" w:hanging="426"/>
        <w:jc w:val="both"/>
        <w:rPr>
          <w:rFonts w:eastAsia="Calibri" w:cs="Calibri"/>
          <w:color w:val="000000"/>
        </w:rPr>
      </w:pPr>
      <w:r>
        <w:rPr>
          <w:rFonts w:eastAsia="Calibri" w:cs="Calibri"/>
          <w:color w:val="000000"/>
        </w:rPr>
        <w:t>DHSC</w:t>
      </w:r>
      <w:r w:rsidR="6A7BF3BC" w:rsidRPr="6A7BF3BC">
        <w:rPr>
          <w:rFonts w:eastAsia="Calibri" w:cs="Calibri"/>
          <w:color w:val="000000"/>
        </w:rPr>
        <w:t xml:space="preserve"> welcomes advice on any other products which may be of value when evaluating the Fleming Fund projects and the programme as a whole. Bidders are encouraged to include any suggestions in their proposals. </w:t>
      </w:r>
    </w:p>
    <w:p w14:paraId="5F2B91B7" w14:textId="33B3D80E" w:rsidR="0028600E" w:rsidRPr="00CD4B01" w:rsidRDefault="004B603A" w:rsidP="00C6374D">
      <w:pPr>
        <w:pStyle w:val="ListParagraph"/>
        <w:numPr>
          <w:ilvl w:val="1"/>
          <w:numId w:val="34"/>
        </w:numPr>
        <w:spacing w:before="120" w:after="120"/>
        <w:ind w:left="284" w:hanging="426"/>
        <w:jc w:val="both"/>
        <w:rPr>
          <w:rFonts w:eastAsia="Calibri" w:cs="Calibri"/>
          <w:color w:val="000000"/>
        </w:rPr>
      </w:pPr>
      <w:r>
        <w:rPr>
          <w:rFonts w:eastAsia="Calibri" w:cs="Calibri"/>
          <w:color w:val="000000"/>
        </w:rPr>
        <w:t>DHSC</w:t>
      </w:r>
      <w:r w:rsidR="6A7BF3BC" w:rsidRPr="6A7BF3BC">
        <w:rPr>
          <w:rFonts w:eastAsia="Calibri" w:cs="Calibri"/>
          <w:color w:val="000000"/>
        </w:rPr>
        <w:t xml:space="preserve"> would welcome any suggestions around how counterfactual or quasi-experimental designs could be built into the evaluation process linked to improvements in AMR data collection processes.</w:t>
      </w:r>
    </w:p>
    <w:p w14:paraId="5C30E8D6" w14:textId="2DDFAA7C" w:rsidR="0028600E" w:rsidRPr="00CF0CAE" w:rsidRDefault="6A7BF3BC" w:rsidP="6A7BF3BC">
      <w:pPr>
        <w:spacing w:after="200" w:line="276" w:lineRule="auto"/>
        <w:ind w:left="284"/>
        <w:jc w:val="both"/>
        <w:rPr>
          <w:rFonts w:eastAsia="Calibri" w:cs="Calibri"/>
          <w:color w:val="000000"/>
          <w:lang w:val="en-US"/>
        </w:rPr>
      </w:pPr>
      <w:r w:rsidRPr="6A7BF3BC">
        <w:rPr>
          <w:rFonts w:eastAsia="Calibri" w:cs="Calibri"/>
          <w:b/>
          <w:bCs/>
          <w:color w:val="000000"/>
          <w:u w:val="single"/>
        </w:rPr>
        <w:t>Evaluation Supplier Deliverables</w:t>
      </w:r>
    </w:p>
    <w:p w14:paraId="215E1DC3" w14:textId="63945774" w:rsidR="0028600E" w:rsidRPr="00CD4B01" w:rsidRDefault="6A7BF3BC" w:rsidP="00C6374D">
      <w:pPr>
        <w:pStyle w:val="ListParagraph"/>
        <w:numPr>
          <w:ilvl w:val="1"/>
          <w:numId w:val="34"/>
        </w:numPr>
        <w:spacing w:before="120" w:after="120"/>
        <w:ind w:left="284" w:hanging="426"/>
        <w:jc w:val="both"/>
        <w:rPr>
          <w:rFonts w:eastAsia="Calibri" w:cs="Calibri"/>
          <w:color w:val="000000"/>
          <w:lang w:val="en-US"/>
        </w:rPr>
      </w:pPr>
      <w:r w:rsidRPr="6A7BF3BC">
        <w:rPr>
          <w:rFonts w:eastAsia="Calibri" w:cs="Calibri"/>
          <w:color w:val="000000"/>
        </w:rPr>
        <w:t>The expected deliverables for the Evaluation Supplier are detailed below.</w:t>
      </w:r>
    </w:p>
    <w:p w14:paraId="5162C39E" w14:textId="77777777" w:rsidR="00CD4B01" w:rsidRPr="00CF0CAE" w:rsidRDefault="00CD4B01" w:rsidP="00CD4B01">
      <w:pPr>
        <w:pStyle w:val="ListParagraph"/>
        <w:spacing w:before="120" w:after="120"/>
        <w:ind w:left="284"/>
        <w:jc w:val="both"/>
        <w:rPr>
          <w:rFonts w:eastAsia="Calibri" w:cs="Calibri"/>
          <w:color w:val="000000"/>
          <w:lang w:val="en-US"/>
        </w:rPr>
      </w:pPr>
    </w:p>
    <w:p w14:paraId="34EA64DF" w14:textId="349A269D" w:rsidR="0028600E" w:rsidRPr="006F018C" w:rsidRDefault="6A7BF3BC" w:rsidP="00C6374D">
      <w:pPr>
        <w:pStyle w:val="ListParagraph"/>
        <w:numPr>
          <w:ilvl w:val="1"/>
          <w:numId w:val="34"/>
        </w:numPr>
        <w:spacing w:before="120" w:after="120"/>
        <w:ind w:left="284" w:hanging="426"/>
        <w:jc w:val="both"/>
        <w:rPr>
          <w:rFonts w:eastAsia="Calibri" w:cs="Calibri"/>
          <w:color w:val="000000"/>
          <w:lang w:val="it-IT"/>
        </w:rPr>
      </w:pPr>
      <w:r w:rsidRPr="6A7BF3BC">
        <w:rPr>
          <w:rFonts w:eastAsia="Calibri" w:cs="Calibri"/>
          <w:b/>
          <w:bCs/>
          <w:color w:val="000000"/>
          <w:u w:val="single"/>
        </w:rPr>
        <w:t>Inception Phase</w:t>
      </w:r>
    </w:p>
    <w:p w14:paraId="0E1DBE2B" w14:textId="20A2596F" w:rsidR="0028600E" w:rsidRPr="00CF0CAE" w:rsidRDefault="6A7BF3BC" w:rsidP="6A7BF3BC">
      <w:pPr>
        <w:spacing w:after="200" w:line="276" w:lineRule="auto"/>
        <w:ind w:left="284"/>
        <w:jc w:val="both"/>
        <w:rPr>
          <w:rFonts w:eastAsia="Calibri" w:cs="Calibri"/>
          <w:color w:val="000000"/>
          <w:lang w:val="en-US"/>
        </w:rPr>
      </w:pPr>
      <w:r w:rsidRPr="6A7BF3BC">
        <w:rPr>
          <w:rFonts w:eastAsia="Calibri" w:cs="Calibri"/>
          <w:color w:val="000000"/>
        </w:rPr>
        <w:t>The selected Evaluation Supplier will be required to achieve, at a minimum, the following deliverables (see Table 1 below) during the inception phase.</w:t>
      </w:r>
    </w:p>
    <w:p w14:paraId="40B49708" w14:textId="50285DF6" w:rsidR="0028600E" w:rsidRPr="00CF0CAE" w:rsidRDefault="6A7BF3BC" w:rsidP="6A7BF3BC">
      <w:pPr>
        <w:spacing w:after="200" w:line="276" w:lineRule="auto"/>
        <w:jc w:val="both"/>
        <w:rPr>
          <w:rFonts w:eastAsia="Calibri" w:cs="Calibri"/>
          <w:color w:val="000000"/>
          <w:lang w:val="en-US"/>
        </w:rPr>
      </w:pPr>
      <w:r w:rsidRPr="6A7BF3BC">
        <w:rPr>
          <w:rFonts w:eastAsia="Calibri" w:cs="Calibri"/>
          <w:b/>
          <w:bCs/>
          <w:color w:val="000000"/>
        </w:rPr>
        <w:t>Table 1: Expected activities and deliverables during the inception phase</w:t>
      </w:r>
    </w:p>
    <w:tbl>
      <w:tblPr>
        <w:tblW w:w="8490" w:type="dxa"/>
        <w:tblLayout w:type="fixed"/>
        <w:tblLook w:val="04A0" w:firstRow="1" w:lastRow="0" w:firstColumn="1" w:lastColumn="0" w:noHBand="0" w:noVBand="1"/>
      </w:tblPr>
      <w:tblGrid>
        <w:gridCol w:w="333"/>
        <w:gridCol w:w="2932"/>
        <w:gridCol w:w="5225"/>
      </w:tblGrid>
      <w:tr w:rsidR="6A7BF3BC" w14:paraId="687B3D39" w14:textId="77777777" w:rsidTr="00AB52E3">
        <w:trPr>
          <w:tblHeader/>
        </w:trPr>
        <w:tc>
          <w:tcPr>
            <w:tcW w:w="333" w:type="dxa"/>
            <w:tcBorders>
              <w:top w:val="single" w:sz="6" w:space="0" w:color="auto"/>
              <w:left w:val="single" w:sz="6" w:space="0" w:color="auto"/>
              <w:bottom w:val="single" w:sz="6" w:space="0" w:color="auto"/>
              <w:right w:val="single" w:sz="6" w:space="0" w:color="auto"/>
            </w:tcBorders>
          </w:tcPr>
          <w:p w14:paraId="4744AF61" w14:textId="64DD64D6" w:rsidR="6A7BF3BC" w:rsidRDefault="6A7BF3BC" w:rsidP="6A7BF3BC">
            <w:pPr>
              <w:spacing w:after="200" w:line="276" w:lineRule="auto"/>
              <w:jc w:val="both"/>
              <w:rPr>
                <w:rFonts w:eastAsia="Calibri" w:cs="Calibri"/>
              </w:rPr>
            </w:pPr>
          </w:p>
        </w:tc>
        <w:tc>
          <w:tcPr>
            <w:tcW w:w="2932" w:type="dxa"/>
            <w:tcBorders>
              <w:top w:val="single" w:sz="6" w:space="0" w:color="auto"/>
              <w:left w:val="single" w:sz="6" w:space="0" w:color="auto"/>
              <w:bottom w:val="single" w:sz="6" w:space="0" w:color="auto"/>
              <w:right w:val="single" w:sz="6" w:space="0" w:color="auto"/>
            </w:tcBorders>
          </w:tcPr>
          <w:p w14:paraId="30991313" w14:textId="19C90AAE" w:rsidR="6A7BF3BC" w:rsidRDefault="6A7BF3BC" w:rsidP="00AB52E3">
            <w:pPr>
              <w:spacing w:after="200" w:line="276" w:lineRule="auto"/>
              <w:rPr>
                <w:rFonts w:eastAsia="Calibri" w:cs="Calibri"/>
              </w:rPr>
            </w:pPr>
            <w:r w:rsidRPr="6A7BF3BC">
              <w:rPr>
                <w:rFonts w:eastAsia="Calibri" w:cs="Calibri"/>
                <w:b/>
                <w:bCs/>
              </w:rPr>
              <w:t>Inception Phase Milestone/Deliverable</w:t>
            </w:r>
          </w:p>
        </w:tc>
        <w:tc>
          <w:tcPr>
            <w:tcW w:w="5225" w:type="dxa"/>
            <w:tcBorders>
              <w:top w:val="single" w:sz="6" w:space="0" w:color="auto"/>
              <w:left w:val="single" w:sz="6" w:space="0" w:color="auto"/>
              <w:bottom w:val="single" w:sz="6" w:space="0" w:color="auto"/>
              <w:right w:val="single" w:sz="6" w:space="0" w:color="auto"/>
            </w:tcBorders>
          </w:tcPr>
          <w:p w14:paraId="0800A795" w14:textId="4EEBA621" w:rsidR="6A7BF3BC" w:rsidRDefault="6A7BF3BC" w:rsidP="6A7BF3BC">
            <w:pPr>
              <w:spacing w:after="200" w:line="276" w:lineRule="auto"/>
              <w:jc w:val="both"/>
              <w:rPr>
                <w:rFonts w:eastAsia="Calibri" w:cs="Calibri"/>
              </w:rPr>
            </w:pPr>
            <w:r w:rsidRPr="6A7BF3BC">
              <w:rPr>
                <w:rFonts w:eastAsia="Calibri" w:cs="Calibri"/>
                <w:b/>
                <w:bCs/>
              </w:rPr>
              <w:t>Expected activities and deliverables</w:t>
            </w:r>
          </w:p>
        </w:tc>
      </w:tr>
      <w:tr w:rsidR="6A7BF3BC" w14:paraId="3CFB0BDA" w14:textId="77777777" w:rsidTr="00AB52E3">
        <w:tc>
          <w:tcPr>
            <w:tcW w:w="333" w:type="dxa"/>
            <w:tcBorders>
              <w:top w:val="single" w:sz="6" w:space="0" w:color="auto"/>
              <w:left w:val="single" w:sz="6" w:space="0" w:color="auto"/>
              <w:bottom w:val="single" w:sz="6" w:space="0" w:color="auto"/>
              <w:right w:val="single" w:sz="6" w:space="0" w:color="auto"/>
            </w:tcBorders>
          </w:tcPr>
          <w:p w14:paraId="283FB7AD" w14:textId="2B63CA0F" w:rsidR="6A7BF3BC" w:rsidRDefault="6A7BF3BC" w:rsidP="6A7BF3BC">
            <w:pPr>
              <w:spacing w:after="200" w:line="276" w:lineRule="auto"/>
              <w:jc w:val="both"/>
              <w:rPr>
                <w:rFonts w:eastAsia="Calibri" w:cs="Calibri"/>
              </w:rPr>
            </w:pPr>
          </w:p>
          <w:p w14:paraId="44D084DC" w14:textId="2C480BDB" w:rsidR="6A7BF3BC" w:rsidRDefault="6A7BF3BC" w:rsidP="6A7BF3BC">
            <w:pPr>
              <w:spacing w:after="200" w:line="276" w:lineRule="auto"/>
              <w:jc w:val="both"/>
              <w:rPr>
                <w:rFonts w:eastAsia="Calibri" w:cs="Calibri"/>
              </w:rPr>
            </w:pPr>
            <w:r w:rsidRPr="6A7BF3BC">
              <w:rPr>
                <w:rFonts w:eastAsia="Calibri" w:cs="Calibri"/>
              </w:rPr>
              <w:t>1</w:t>
            </w:r>
          </w:p>
        </w:tc>
        <w:tc>
          <w:tcPr>
            <w:tcW w:w="2932" w:type="dxa"/>
            <w:tcBorders>
              <w:top w:val="single" w:sz="6" w:space="0" w:color="auto"/>
              <w:left w:val="single" w:sz="6" w:space="0" w:color="auto"/>
              <w:bottom w:val="single" w:sz="6" w:space="0" w:color="auto"/>
              <w:right w:val="single" w:sz="6" w:space="0" w:color="auto"/>
            </w:tcBorders>
          </w:tcPr>
          <w:p w14:paraId="76F43889" w14:textId="00870E91" w:rsidR="6A7BF3BC" w:rsidRDefault="6A7BF3BC" w:rsidP="6A7BF3BC">
            <w:pPr>
              <w:spacing w:after="200" w:line="276" w:lineRule="auto"/>
              <w:jc w:val="both"/>
              <w:rPr>
                <w:rFonts w:eastAsia="Calibri" w:cs="Calibri"/>
              </w:rPr>
            </w:pPr>
          </w:p>
          <w:p w14:paraId="2D978EEB" w14:textId="525B6FA8" w:rsidR="6A7BF3BC" w:rsidRDefault="6A7BF3BC" w:rsidP="6A7BF3BC">
            <w:pPr>
              <w:spacing w:after="200" w:line="276" w:lineRule="auto"/>
              <w:jc w:val="both"/>
              <w:rPr>
                <w:rFonts w:eastAsia="Calibri" w:cs="Calibri"/>
              </w:rPr>
            </w:pPr>
            <w:r w:rsidRPr="6A7BF3BC">
              <w:rPr>
                <w:rFonts w:eastAsia="Calibri" w:cs="Calibri"/>
                <w:u w:val="single"/>
              </w:rPr>
              <w:t>An approved joint strategy between the Evaluation Supplier and the Management Agent</w:t>
            </w:r>
          </w:p>
        </w:tc>
        <w:tc>
          <w:tcPr>
            <w:tcW w:w="5225" w:type="dxa"/>
            <w:tcBorders>
              <w:top w:val="single" w:sz="6" w:space="0" w:color="auto"/>
              <w:left w:val="single" w:sz="6" w:space="0" w:color="auto"/>
              <w:bottom w:val="single" w:sz="6" w:space="0" w:color="auto"/>
              <w:right w:val="single" w:sz="6" w:space="0" w:color="auto"/>
            </w:tcBorders>
          </w:tcPr>
          <w:p w14:paraId="48A64339" w14:textId="13A41887" w:rsidR="6A7BF3BC" w:rsidRDefault="6A7BF3BC" w:rsidP="6A7BF3BC">
            <w:pPr>
              <w:spacing w:after="200" w:line="276" w:lineRule="auto"/>
              <w:jc w:val="both"/>
              <w:rPr>
                <w:rFonts w:eastAsia="Calibri" w:cs="Calibri"/>
              </w:rPr>
            </w:pPr>
            <w:r w:rsidRPr="6A7BF3BC">
              <w:rPr>
                <w:rFonts w:eastAsia="Calibri" w:cs="Calibri"/>
              </w:rPr>
              <w:t>The Evaluation Supplier is expected to agree a draft protocol for ways of working with the Management Agent including proposed meetings and workshops inviting the Authority.</w:t>
            </w:r>
            <w:r w:rsidR="007458AC">
              <w:rPr>
                <w:rFonts w:eastAsia="Calibri" w:cs="Calibri"/>
              </w:rPr>
              <w:t xml:space="preserve"> </w:t>
            </w:r>
          </w:p>
          <w:p w14:paraId="24215ED5" w14:textId="74D24062" w:rsidR="6A7BF3BC" w:rsidRDefault="6A7BF3BC" w:rsidP="6A7BF3BC">
            <w:pPr>
              <w:spacing w:after="200" w:line="276" w:lineRule="auto"/>
              <w:jc w:val="both"/>
              <w:rPr>
                <w:rFonts w:eastAsia="Calibri" w:cs="Calibri"/>
              </w:rPr>
            </w:pPr>
            <w:r w:rsidRPr="6A7BF3BC">
              <w:rPr>
                <w:rFonts w:eastAsia="Calibri" w:cs="Calibri"/>
              </w:rPr>
              <w:t>The Evaluation Supplier is expected to agree with the Management Agent a draft monitoring and evaluation framework for the portfolio of country and regional grants, containing at a minimum the following:</w:t>
            </w:r>
          </w:p>
          <w:p w14:paraId="71205412" w14:textId="35099A67" w:rsidR="6A7BF3BC" w:rsidRDefault="6A7BF3BC" w:rsidP="00C6374D">
            <w:pPr>
              <w:pStyle w:val="ListParagraph"/>
              <w:numPr>
                <w:ilvl w:val="0"/>
                <w:numId w:val="28"/>
              </w:numPr>
              <w:jc w:val="both"/>
              <w:rPr>
                <w:rFonts w:eastAsia="Calibri" w:cs="Calibri"/>
              </w:rPr>
            </w:pPr>
            <w:r w:rsidRPr="6A7BF3BC">
              <w:rPr>
                <w:rFonts w:eastAsia="Calibri" w:cs="Calibri"/>
              </w:rPr>
              <w:t>Key data collection points.</w:t>
            </w:r>
          </w:p>
          <w:p w14:paraId="7ADFF21F" w14:textId="64E5645C" w:rsidR="6A7BF3BC" w:rsidRDefault="6A7BF3BC" w:rsidP="00C6374D">
            <w:pPr>
              <w:pStyle w:val="ListParagraph"/>
              <w:numPr>
                <w:ilvl w:val="0"/>
                <w:numId w:val="28"/>
              </w:numPr>
              <w:jc w:val="both"/>
              <w:rPr>
                <w:rFonts w:eastAsia="Calibri" w:cs="Calibri"/>
              </w:rPr>
            </w:pPr>
            <w:r w:rsidRPr="6A7BF3BC">
              <w:rPr>
                <w:rFonts w:eastAsia="Calibri" w:cs="Calibri"/>
              </w:rPr>
              <w:t>A detailed description of the focus for analysis and the outputs to be analysed throughout the evaluation.</w:t>
            </w:r>
          </w:p>
          <w:p w14:paraId="6D24FB35" w14:textId="1662A414" w:rsidR="6A7BF3BC" w:rsidRDefault="6A7BF3BC" w:rsidP="00C6374D">
            <w:pPr>
              <w:pStyle w:val="ListParagraph"/>
              <w:numPr>
                <w:ilvl w:val="0"/>
                <w:numId w:val="28"/>
              </w:numPr>
              <w:jc w:val="both"/>
              <w:rPr>
                <w:rFonts w:eastAsia="Calibri" w:cs="Calibri"/>
              </w:rPr>
            </w:pPr>
            <w:r w:rsidRPr="6A7BF3BC">
              <w:rPr>
                <w:rFonts w:eastAsia="Calibri" w:cs="Calibri"/>
              </w:rPr>
              <w:t>A monitoring and evaluation framework for the portfolio of country and regional grants.</w:t>
            </w:r>
          </w:p>
        </w:tc>
      </w:tr>
      <w:tr w:rsidR="6A7BF3BC" w14:paraId="3CD30AD1" w14:textId="77777777" w:rsidTr="00AB52E3">
        <w:tc>
          <w:tcPr>
            <w:tcW w:w="333" w:type="dxa"/>
            <w:tcBorders>
              <w:top w:val="single" w:sz="6" w:space="0" w:color="auto"/>
              <w:left w:val="single" w:sz="6" w:space="0" w:color="auto"/>
              <w:bottom w:val="single" w:sz="6" w:space="0" w:color="auto"/>
              <w:right w:val="single" w:sz="6" w:space="0" w:color="auto"/>
            </w:tcBorders>
          </w:tcPr>
          <w:p w14:paraId="7F3E8C7D" w14:textId="7A23860D" w:rsidR="6A7BF3BC" w:rsidRDefault="6A7BF3BC" w:rsidP="6A7BF3BC">
            <w:pPr>
              <w:spacing w:after="200" w:line="276" w:lineRule="auto"/>
              <w:jc w:val="both"/>
              <w:rPr>
                <w:rFonts w:eastAsia="Calibri" w:cs="Calibri"/>
              </w:rPr>
            </w:pPr>
          </w:p>
          <w:p w14:paraId="3553BA83" w14:textId="3B9CB765" w:rsidR="6A7BF3BC" w:rsidRDefault="6A7BF3BC" w:rsidP="6A7BF3BC">
            <w:pPr>
              <w:spacing w:after="200" w:line="276" w:lineRule="auto"/>
              <w:jc w:val="both"/>
              <w:rPr>
                <w:rFonts w:eastAsia="Calibri" w:cs="Calibri"/>
              </w:rPr>
            </w:pPr>
            <w:r w:rsidRPr="6A7BF3BC">
              <w:rPr>
                <w:rFonts w:eastAsia="Calibri" w:cs="Calibri"/>
              </w:rPr>
              <w:t>2</w:t>
            </w:r>
          </w:p>
        </w:tc>
        <w:tc>
          <w:tcPr>
            <w:tcW w:w="2932" w:type="dxa"/>
            <w:tcBorders>
              <w:top w:val="single" w:sz="6" w:space="0" w:color="auto"/>
              <w:left w:val="single" w:sz="6" w:space="0" w:color="auto"/>
              <w:bottom w:val="single" w:sz="6" w:space="0" w:color="auto"/>
              <w:right w:val="single" w:sz="6" w:space="0" w:color="auto"/>
            </w:tcBorders>
          </w:tcPr>
          <w:p w14:paraId="336A1451" w14:textId="1133C3C9" w:rsidR="6A7BF3BC" w:rsidRDefault="6A7BF3BC" w:rsidP="6A7BF3BC">
            <w:pPr>
              <w:spacing w:after="200" w:line="276" w:lineRule="auto"/>
              <w:jc w:val="both"/>
              <w:rPr>
                <w:rFonts w:eastAsia="Calibri" w:cs="Calibri"/>
              </w:rPr>
            </w:pPr>
          </w:p>
          <w:p w14:paraId="1589BC80" w14:textId="399992CD" w:rsidR="6A7BF3BC" w:rsidRDefault="6A7BF3BC" w:rsidP="6A7BF3BC">
            <w:pPr>
              <w:spacing w:after="200" w:line="276" w:lineRule="auto"/>
              <w:jc w:val="both"/>
              <w:rPr>
                <w:rFonts w:eastAsia="Calibri" w:cs="Calibri"/>
              </w:rPr>
            </w:pPr>
            <w:r w:rsidRPr="6A7BF3BC">
              <w:rPr>
                <w:rFonts w:eastAsia="Calibri" w:cs="Calibri"/>
                <w:u w:val="single"/>
              </w:rPr>
              <w:t>An approved refined Theory of Change</w:t>
            </w:r>
          </w:p>
        </w:tc>
        <w:tc>
          <w:tcPr>
            <w:tcW w:w="5225" w:type="dxa"/>
            <w:tcBorders>
              <w:top w:val="single" w:sz="6" w:space="0" w:color="auto"/>
              <w:left w:val="single" w:sz="6" w:space="0" w:color="auto"/>
              <w:bottom w:val="single" w:sz="6" w:space="0" w:color="auto"/>
              <w:right w:val="single" w:sz="6" w:space="0" w:color="auto"/>
            </w:tcBorders>
          </w:tcPr>
          <w:p w14:paraId="43A3D1A1" w14:textId="35763326" w:rsidR="6A7BF3BC" w:rsidRDefault="6A7BF3BC" w:rsidP="6A7BF3BC">
            <w:pPr>
              <w:pStyle w:val="CommentText"/>
              <w:spacing w:after="200"/>
              <w:jc w:val="both"/>
              <w:rPr>
                <w:rFonts w:eastAsia="Calibri" w:cs="Calibri"/>
                <w:sz w:val="22"/>
                <w:szCs w:val="22"/>
              </w:rPr>
            </w:pPr>
            <w:r w:rsidRPr="6A7BF3BC">
              <w:rPr>
                <w:rFonts w:eastAsia="Calibri" w:cs="Calibri"/>
                <w:sz w:val="22"/>
                <w:szCs w:val="22"/>
              </w:rPr>
              <w:t>The independent Evaluation Supplier will collaborate with the Authority and with the appointed Management Agent to refine the theory of change set out in Annex B of the Specification.</w:t>
            </w:r>
          </w:p>
          <w:p w14:paraId="37599DC0" w14:textId="2ED4F0A8" w:rsidR="6A7BF3BC" w:rsidRDefault="6A7BF3BC" w:rsidP="6A7BF3BC">
            <w:pPr>
              <w:pStyle w:val="CommentText"/>
              <w:spacing w:after="200"/>
              <w:jc w:val="both"/>
              <w:rPr>
                <w:rFonts w:eastAsia="Calibri" w:cs="Calibri"/>
                <w:sz w:val="22"/>
                <w:szCs w:val="22"/>
              </w:rPr>
            </w:pPr>
            <w:r w:rsidRPr="6A7BF3BC">
              <w:rPr>
                <w:rFonts w:eastAsia="Calibri" w:cs="Calibri"/>
                <w:sz w:val="22"/>
                <w:szCs w:val="22"/>
              </w:rPr>
              <w:t xml:space="preserve">The theory of change document will be submitted to </w:t>
            </w:r>
            <w:r w:rsidR="004B603A">
              <w:rPr>
                <w:rFonts w:eastAsia="Calibri" w:cs="Calibri"/>
                <w:sz w:val="22"/>
                <w:szCs w:val="22"/>
              </w:rPr>
              <w:t>DHSC</w:t>
            </w:r>
            <w:r w:rsidRPr="6A7BF3BC">
              <w:rPr>
                <w:rFonts w:eastAsia="Calibri" w:cs="Calibri"/>
                <w:sz w:val="22"/>
                <w:szCs w:val="22"/>
              </w:rPr>
              <w:t xml:space="preserve"> for approval.</w:t>
            </w:r>
          </w:p>
        </w:tc>
      </w:tr>
      <w:tr w:rsidR="6A7BF3BC" w14:paraId="661AA9CC" w14:textId="77777777" w:rsidTr="00AB52E3">
        <w:tc>
          <w:tcPr>
            <w:tcW w:w="333" w:type="dxa"/>
            <w:tcBorders>
              <w:top w:val="single" w:sz="6" w:space="0" w:color="auto"/>
              <w:left w:val="single" w:sz="6" w:space="0" w:color="auto"/>
              <w:bottom w:val="single" w:sz="6" w:space="0" w:color="auto"/>
              <w:right w:val="single" w:sz="6" w:space="0" w:color="auto"/>
            </w:tcBorders>
          </w:tcPr>
          <w:p w14:paraId="5C88B29D" w14:textId="3D21411D" w:rsidR="6A7BF3BC" w:rsidRDefault="6A7BF3BC" w:rsidP="6A7BF3BC">
            <w:pPr>
              <w:spacing w:after="200" w:line="276" w:lineRule="auto"/>
              <w:jc w:val="both"/>
              <w:rPr>
                <w:rFonts w:eastAsia="Calibri" w:cs="Calibri"/>
              </w:rPr>
            </w:pPr>
          </w:p>
          <w:p w14:paraId="3B7C1FE4" w14:textId="3C1186AE" w:rsidR="6A7BF3BC" w:rsidRDefault="6A7BF3BC" w:rsidP="6A7BF3BC">
            <w:pPr>
              <w:spacing w:after="200" w:line="276" w:lineRule="auto"/>
              <w:jc w:val="both"/>
              <w:rPr>
                <w:rFonts w:eastAsia="Calibri" w:cs="Calibri"/>
              </w:rPr>
            </w:pPr>
            <w:r w:rsidRPr="6A7BF3BC">
              <w:rPr>
                <w:rFonts w:eastAsia="Calibri" w:cs="Calibri"/>
              </w:rPr>
              <w:t>3</w:t>
            </w:r>
          </w:p>
        </w:tc>
        <w:tc>
          <w:tcPr>
            <w:tcW w:w="2932" w:type="dxa"/>
            <w:tcBorders>
              <w:top w:val="single" w:sz="6" w:space="0" w:color="auto"/>
              <w:left w:val="single" w:sz="6" w:space="0" w:color="auto"/>
              <w:bottom w:val="single" w:sz="6" w:space="0" w:color="auto"/>
              <w:right w:val="single" w:sz="6" w:space="0" w:color="auto"/>
            </w:tcBorders>
          </w:tcPr>
          <w:p w14:paraId="5CB0EE0F" w14:textId="1F82519F" w:rsidR="6A7BF3BC" w:rsidRDefault="6A7BF3BC" w:rsidP="6A7BF3BC">
            <w:pPr>
              <w:spacing w:before="120" w:after="200" w:line="276" w:lineRule="auto"/>
              <w:jc w:val="both"/>
              <w:rPr>
                <w:rFonts w:eastAsia="Calibri" w:cs="Calibri"/>
              </w:rPr>
            </w:pPr>
            <w:r w:rsidRPr="6A7BF3BC">
              <w:rPr>
                <w:rFonts w:eastAsia="Calibri" w:cs="Calibri"/>
                <w:u w:val="single"/>
              </w:rPr>
              <w:t xml:space="preserve">An approved evaluation approach/ methodology </w:t>
            </w:r>
          </w:p>
        </w:tc>
        <w:tc>
          <w:tcPr>
            <w:tcW w:w="5225" w:type="dxa"/>
            <w:tcBorders>
              <w:top w:val="single" w:sz="6" w:space="0" w:color="auto"/>
              <w:left w:val="single" w:sz="6" w:space="0" w:color="auto"/>
              <w:bottom w:val="single" w:sz="6" w:space="0" w:color="auto"/>
              <w:right w:val="single" w:sz="6" w:space="0" w:color="auto"/>
            </w:tcBorders>
          </w:tcPr>
          <w:p w14:paraId="51E747E9" w14:textId="27B8B562" w:rsidR="6A7BF3BC" w:rsidRDefault="6A7BF3BC" w:rsidP="6A7BF3BC">
            <w:pPr>
              <w:spacing w:after="200" w:line="276" w:lineRule="auto"/>
              <w:jc w:val="both"/>
              <w:rPr>
                <w:rFonts w:eastAsia="Calibri" w:cs="Calibri"/>
              </w:rPr>
            </w:pPr>
            <w:r w:rsidRPr="6A7BF3BC">
              <w:rPr>
                <w:rFonts w:eastAsia="Calibri" w:cs="Calibri"/>
              </w:rPr>
              <w:t xml:space="preserve">The Evaluation Supplier will be required to work collaboratively with </w:t>
            </w:r>
            <w:r w:rsidR="004B603A">
              <w:rPr>
                <w:rFonts w:eastAsia="Calibri" w:cs="Calibri"/>
              </w:rPr>
              <w:t>DHSC</w:t>
            </w:r>
            <w:r w:rsidRPr="6A7BF3BC">
              <w:rPr>
                <w:rFonts w:eastAsia="Calibri" w:cs="Calibri"/>
              </w:rPr>
              <w:t xml:space="preserve"> and with the appointed Management Agent during the inception phase in order to create a detailed methodology for the evaluation</w:t>
            </w:r>
          </w:p>
          <w:p w14:paraId="1140A585" w14:textId="158488C2" w:rsidR="6A7BF3BC" w:rsidRDefault="6A7BF3BC" w:rsidP="6A7BF3BC">
            <w:pPr>
              <w:spacing w:after="200" w:line="276" w:lineRule="auto"/>
              <w:jc w:val="both"/>
              <w:rPr>
                <w:rFonts w:eastAsia="Calibri" w:cs="Calibri"/>
              </w:rPr>
            </w:pPr>
            <w:r w:rsidRPr="6A7BF3BC">
              <w:rPr>
                <w:rFonts w:eastAsia="Calibri" w:cs="Calibri"/>
              </w:rPr>
              <w:t>This work will include discussions and decisions about what data and information will need to be collected regularly by the Management Agent in order to feed the analysis needed for the evaluation questions. This, in turn, will help to shape and feed into the monitoring strategy.</w:t>
            </w:r>
          </w:p>
          <w:p w14:paraId="565D503A" w14:textId="273F9A9C" w:rsidR="6A7BF3BC" w:rsidRDefault="6A7BF3BC" w:rsidP="6A7BF3BC">
            <w:pPr>
              <w:spacing w:after="200" w:line="276" w:lineRule="auto"/>
              <w:jc w:val="both"/>
              <w:rPr>
                <w:rFonts w:eastAsia="Calibri" w:cs="Calibri"/>
              </w:rPr>
            </w:pPr>
            <w:r w:rsidRPr="6A7BF3BC">
              <w:rPr>
                <w:rFonts w:eastAsia="Calibri" w:cs="Calibri"/>
              </w:rPr>
              <w:t>The Evaluation Supplier will refine, expand and revise the evaluation questions laid out at paragraph 5.4 of the Specification. The Evaluation Supplier will refine, expand and revise the indicative evaluation sub questions laid out at Annex D of the Specification.</w:t>
            </w:r>
          </w:p>
          <w:p w14:paraId="0A5EF416" w14:textId="4D28D5E0" w:rsidR="6A7BF3BC" w:rsidRDefault="6A7BF3BC" w:rsidP="6A7BF3BC">
            <w:pPr>
              <w:spacing w:after="200" w:line="276" w:lineRule="auto"/>
              <w:jc w:val="both"/>
              <w:rPr>
                <w:rFonts w:eastAsia="Calibri" w:cs="Calibri"/>
              </w:rPr>
            </w:pPr>
            <w:r w:rsidRPr="6A7BF3BC">
              <w:rPr>
                <w:rFonts w:eastAsia="Calibri" w:cs="Calibri"/>
              </w:rPr>
              <w:t>It is expected that the evaluation implementation and reporting will comply with the OECD-DAC quality standards for development evaluation</w:t>
            </w:r>
          </w:p>
          <w:p w14:paraId="11485ACE" w14:textId="20B75E45" w:rsidR="6A7BF3BC" w:rsidRDefault="6A7BF3BC" w:rsidP="6A7BF3BC">
            <w:pPr>
              <w:spacing w:before="120" w:after="200" w:line="276" w:lineRule="auto"/>
              <w:jc w:val="both"/>
              <w:rPr>
                <w:rFonts w:eastAsia="Calibri" w:cs="Calibri"/>
              </w:rPr>
            </w:pPr>
            <w:r w:rsidRPr="6A7BF3BC">
              <w:rPr>
                <w:rFonts w:eastAsia="Calibri" w:cs="Calibri"/>
              </w:rPr>
              <w:t xml:space="preserve">The methodology submitted to </w:t>
            </w:r>
            <w:r w:rsidR="004B603A">
              <w:rPr>
                <w:rFonts w:eastAsia="Calibri" w:cs="Calibri"/>
              </w:rPr>
              <w:t>DHSC</w:t>
            </w:r>
            <w:r w:rsidRPr="6A7BF3BC">
              <w:rPr>
                <w:rFonts w:eastAsia="Calibri" w:cs="Calibri"/>
              </w:rPr>
              <w:t xml:space="preserve"> for approval will include, but is not limited to:</w:t>
            </w:r>
          </w:p>
          <w:p w14:paraId="628F6898" w14:textId="410136BB" w:rsidR="6A7BF3BC" w:rsidRDefault="6A7BF3BC" w:rsidP="00C6374D">
            <w:pPr>
              <w:pStyle w:val="ListParagraph"/>
              <w:numPr>
                <w:ilvl w:val="0"/>
                <w:numId w:val="27"/>
              </w:numPr>
              <w:spacing w:before="120"/>
              <w:jc w:val="both"/>
              <w:rPr>
                <w:rFonts w:eastAsia="Calibri" w:cs="Calibri"/>
              </w:rPr>
            </w:pPr>
            <w:r w:rsidRPr="6A7BF3BC">
              <w:rPr>
                <w:rFonts w:eastAsia="Calibri" w:cs="Calibri"/>
              </w:rPr>
              <w:t>The final evaluation questions and sub-questions.</w:t>
            </w:r>
          </w:p>
          <w:p w14:paraId="46BBFF3C" w14:textId="399B7348" w:rsidR="6A7BF3BC" w:rsidRDefault="6A7BF3BC" w:rsidP="00C6374D">
            <w:pPr>
              <w:pStyle w:val="ListParagraph"/>
              <w:numPr>
                <w:ilvl w:val="0"/>
                <w:numId w:val="27"/>
              </w:numPr>
              <w:spacing w:before="120"/>
              <w:jc w:val="both"/>
              <w:rPr>
                <w:rFonts w:eastAsia="Calibri" w:cs="Calibri"/>
              </w:rPr>
            </w:pPr>
            <w:r w:rsidRPr="6A7BF3BC">
              <w:rPr>
                <w:rFonts w:eastAsia="Calibri" w:cs="Calibri"/>
              </w:rPr>
              <w:t>Key data collection points.</w:t>
            </w:r>
          </w:p>
          <w:p w14:paraId="1B22E302" w14:textId="45D691D7" w:rsidR="6A7BF3BC" w:rsidRDefault="6A7BF3BC" w:rsidP="00C6374D">
            <w:pPr>
              <w:pStyle w:val="ListParagraph"/>
              <w:numPr>
                <w:ilvl w:val="0"/>
                <w:numId w:val="27"/>
              </w:numPr>
              <w:spacing w:before="120"/>
              <w:jc w:val="both"/>
              <w:rPr>
                <w:rFonts w:eastAsia="Calibri" w:cs="Calibri"/>
              </w:rPr>
            </w:pPr>
            <w:r w:rsidRPr="6A7BF3BC">
              <w:rPr>
                <w:rFonts w:eastAsia="Calibri" w:cs="Calibri"/>
              </w:rPr>
              <w:t>A detailed description of the focus for analysis and the outputs to be analysed throughout evaluation.</w:t>
            </w:r>
          </w:p>
          <w:p w14:paraId="6B19D236" w14:textId="1CDEFC49" w:rsidR="6A7BF3BC" w:rsidRDefault="6A7BF3BC" w:rsidP="00C6374D">
            <w:pPr>
              <w:pStyle w:val="ListParagraph"/>
              <w:numPr>
                <w:ilvl w:val="0"/>
                <w:numId w:val="27"/>
              </w:numPr>
              <w:spacing w:before="120"/>
              <w:jc w:val="both"/>
              <w:rPr>
                <w:rFonts w:eastAsia="Calibri" w:cs="Calibri"/>
              </w:rPr>
            </w:pPr>
            <w:r w:rsidRPr="6A7BF3BC">
              <w:rPr>
                <w:rFonts w:eastAsia="Calibri" w:cs="Calibri"/>
              </w:rPr>
              <w:t>A detailed evaluation approach, including a framework of collaborative typologies and levels to be used in the mapping and sample selection.</w:t>
            </w:r>
          </w:p>
        </w:tc>
      </w:tr>
      <w:tr w:rsidR="6A7BF3BC" w14:paraId="1618FD9A" w14:textId="77777777" w:rsidTr="00AB52E3">
        <w:tc>
          <w:tcPr>
            <w:tcW w:w="333" w:type="dxa"/>
            <w:tcBorders>
              <w:top w:val="single" w:sz="6" w:space="0" w:color="auto"/>
              <w:left w:val="single" w:sz="6" w:space="0" w:color="auto"/>
              <w:bottom w:val="single" w:sz="6" w:space="0" w:color="auto"/>
              <w:right w:val="single" w:sz="6" w:space="0" w:color="auto"/>
            </w:tcBorders>
          </w:tcPr>
          <w:p w14:paraId="741AFCFD" w14:textId="15BD3A4D" w:rsidR="6A7BF3BC" w:rsidRDefault="6A7BF3BC" w:rsidP="6A7BF3BC">
            <w:pPr>
              <w:spacing w:after="200" w:line="276" w:lineRule="auto"/>
              <w:jc w:val="both"/>
              <w:rPr>
                <w:rFonts w:eastAsia="Calibri" w:cs="Calibri"/>
              </w:rPr>
            </w:pPr>
          </w:p>
          <w:p w14:paraId="6C6D5737" w14:textId="4DDA9E13" w:rsidR="6A7BF3BC" w:rsidRDefault="6A7BF3BC" w:rsidP="6A7BF3BC">
            <w:pPr>
              <w:spacing w:after="200" w:line="276" w:lineRule="auto"/>
              <w:jc w:val="both"/>
              <w:rPr>
                <w:rFonts w:eastAsia="Calibri" w:cs="Calibri"/>
              </w:rPr>
            </w:pPr>
            <w:r w:rsidRPr="6A7BF3BC">
              <w:rPr>
                <w:rFonts w:eastAsia="Calibri" w:cs="Calibri"/>
              </w:rPr>
              <w:t>4</w:t>
            </w:r>
          </w:p>
        </w:tc>
        <w:tc>
          <w:tcPr>
            <w:tcW w:w="2932" w:type="dxa"/>
            <w:tcBorders>
              <w:top w:val="single" w:sz="6" w:space="0" w:color="auto"/>
              <w:left w:val="single" w:sz="6" w:space="0" w:color="auto"/>
              <w:bottom w:val="single" w:sz="6" w:space="0" w:color="auto"/>
              <w:right w:val="single" w:sz="6" w:space="0" w:color="auto"/>
            </w:tcBorders>
          </w:tcPr>
          <w:p w14:paraId="3F72E118" w14:textId="0EE6BCC7" w:rsidR="6A7BF3BC" w:rsidRDefault="6A7BF3BC" w:rsidP="6A7BF3BC">
            <w:pPr>
              <w:spacing w:after="200" w:line="276" w:lineRule="auto"/>
              <w:jc w:val="both"/>
              <w:rPr>
                <w:rFonts w:eastAsia="Calibri" w:cs="Calibri"/>
              </w:rPr>
            </w:pPr>
          </w:p>
          <w:p w14:paraId="7362AC45" w14:textId="49ADDB2F" w:rsidR="6A7BF3BC" w:rsidRDefault="6A7BF3BC" w:rsidP="6A7BF3BC">
            <w:pPr>
              <w:spacing w:after="200" w:line="276" w:lineRule="auto"/>
              <w:jc w:val="both"/>
              <w:rPr>
                <w:rFonts w:eastAsia="Calibri" w:cs="Calibri"/>
              </w:rPr>
            </w:pPr>
            <w:r w:rsidRPr="6A7BF3BC">
              <w:rPr>
                <w:rFonts w:eastAsia="Calibri" w:cs="Calibri"/>
                <w:u w:val="single"/>
              </w:rPr>
              <w:t>Regular reporting</w:t>
            </w:r>
          </w:p>
          <w:p w14:paraId="290EC668" w14:textId="6D650F13" w:rsidR="6A7BF3BC" w:rsidRDefault="6A7BF3BC" w:rsidP="00C6374D">
            <w:pPr>
              <w:pStyle w:val="ListParagraph"/>
              <w:numPr>
                <w:ilvl w:val="0"/>
                <w:numId w:val="26"/>
              </w:numPr>
              <w:jc w:val="both"/>
              <w:rPr>
                <w:rFonts w:eastAsia="Calibri" w:cs="Calibri"/>
              </w:rPr>
            </w:pPr>
            <w:r w:rsidRPr="6A7BF3BC">
              <w:rPr>
                <w:rFonts w:eastAsia="Calibri" w:cs="Calibri"/>
              </w:rPr>
              <w:t>Quarterly</w:t>
            </w:r>
          </w:p>
          <w:p w14:paraId="608A6866" w14:textId="57953D9E" w:rsidR="6A7BF3BC" w:rsidRDefault="6A7BF3BC" w:rsidP="00C6374D">
            <w:pPr>
              <w:pStyle w:val="ListParagraph"/>
              <w:numPr>
                <w:ilvl w:val="0"/>
                <w:numId w:val="26"/>
              </w:numPr>
              <w:jc w:val="both"/>
              <w:rPr>
                <w:rFonts w:eastAsia="Calibri" w:cs="Calibri"/>
              </w:rPr>
            </w:pPr>
            <w:r w:rsidRPr="6A7BF3BC">
              <w:rPr>
                <w:rFonts w:eastAsia="Calibri" w:cs="Calibri"/>
              </w:rPr>
              <w:t>Continued collaboration with the Authority Representative / appointed Contract Manager</w:t>
            </w:r>
          </w:p>
        </w:tc>
        <w:tc>
          <w:tcPr>
            <w:tcW w:w="5225" w:type="dxa"/>
            <w:tcBorders>
              <w:top w:val="single" w:sz="6" w:space="0" w:color="auto"/>
              <w:left w:val="single" w:sz="6" w:space="0" w:color="auto"/>
              <w:bottom w:val="single" w:sz="6" w:space="0" w:color="auto"/>
              <w:right w:val="single" w:sz="6" w:space="0" w:color="auto"/>
            </w:tcBorders>
          </w:tcPr>
          <w:p w14:paraId="3219EF82" w14:textId="155D1C7E" w:rsidR="6A7BF3BC" w:rsidRDefault="6A7BF3BC" w:rsidP="6A7BF3BC">
            <w:pPr>
              <w:spacing w:after="200" w:line="276" w:lineRule="auto"/>
              <w:jc w:val="both"/>
              <w:rPr>
                <w:rFonts w:eastAsia="Calibri" w:cs="Calibri"/>
              </w:rPr>
            </w:pPr>
            <w:r w:rsidRPr="6A7BF3BC">
              <w:rPr>
                <w:rFonts w:eastAsia="Calibri" w:cs="Calibri"/>
              </w:rPr>
              <w:t xml:space="preserve">Regular reporting will be in the form of an activity update to </w:t>
            </w:r>
            <w:r w:rsidR="004B603A">
              <w:rPr>
                <w:rFonts w:eastAsia="Calibri" w:cs="Calibri"/>
              </w:rPr>
              <w:t>DHSC</w:t>
            </w:r>
            <w:r w:rsidRPr="6A7BF3BC">
              <w:rPr>
                <w:rFonts w:eastAsia="Calibri" w:cs="Calibri"/>
              </w:rPr>
              <w:t xml:space="preserve"> submitted on a quarterly basis, either through a document, presentation with PowerPoint summary or a face-to-face meeting. This opportunity will allow the Evaluation Supplier to provide evidence of working against the agreed activities, as well as a chance to share lessons learnt.</w:t>
            </w:r>
          </w:p>
          <w:p w14:paraId="2E8344EA" w14:textId="0DE780C1" w:rsidR="6A7BF3BC" w:rsidRDefault="004B603A" w:rsidP="6A7BF3BC">
            <w:pPr>
              <w:spacing w:after="200" w:line="276" w:lineRule="auto"/>
              <w:jc w:val="both"/>
              <w:rPr>
                <w:rFonts w:eastAsia="Calibri" w:cs="Calibri"/>
              </w:rPr>
            </w:pPr>
            <w:r>
              <w:rPr>
                <w:rFonts w:eastAsia="Calibri" w:cs="Calibri"/>
              </w:rPr>
              <w:t>DHSC</w:t>
            </w:r>
            <w:r w:rsidR="6A7BF3BC" w:rsidRPr="6A7BF3BC">
              <w:rPr>
                <w:rFonts w:eastAsia="Calibri" w:cs="Calibri"/>
              </w:rPr>
              <w:t xml:space="preserve"> will require interim reporting throughout the life of the contract to ensure progress and that the financial status of the evaluation is monitored as being within planned funding / budget, as well as ensuring continued learning from the analysis throughout the programme. </w:t>
            </w:r>
          </w:p>
        </w:tc>
      </w:tr>
      <w:tr w:rsidR="6A7BF3BC" w14:paraId="3CC7FC9A" w14:textId="77777777" w:rsidTr="00AB52E3">
        <w:tc>
          <w:tcPr>
            <w:tcW w:w="333" w:type="dxa"/>
            <w:tcBorders>
              <w:top w:val="single" w:sz="6" w:space="0" w:color="auto"/>
              <w:left w:val="single" w:sz="6" w:space="0" w:color="auto"/>
              <w:bottom w:val="single" w:sz="6" w:space="0" w:color="auto"/>
              <w:right w:val="single" w:sz="6" w:space="0" w:color="auto"/>
            </w:tcBorders>
          </w:tcPr>
          <w:p w14:paraId="33DB3533" w14:textId="41F6BB22" w:rsidR="6A7BF3BC" w:rsidRDefault="6A7BF3BC" w:rsidP="6A7BF3BC">
            <w:pPr>
              <w:spacing w:after="200" w:line="276" w:lineRule="auto"/>
              <w:jc w:val="both"/>
              <w:rPr>
                <w:rFonts w:eastAsia="Calibri" w:cs="Calibri"/>
              </w:rPr>
            </w:pPr>
          </w:p>
          <w:p w14:paraId="522EA0DE" w14:textId="1F65DA9B" w:rsidR="6A7BF3BC" w:rsidRDefault="6A7BF3BC" w:rsidP="6A7BF3BC">
            <w:pPr>
              <w:spacing w:after="200" w:line="276" w:lineRule="auto"/>
              <w:jc w:val="both"/>
              <w:rPr>
                <w:rFonts w:eastAsia="Calibri" w:cs="Calibri"/>
              </w:rPr>
            </w:pPr>
            <w:r w:rsidRPr="6A7BF3BC">
              <w:rPr>
                <w:rFonts w:eastAsia="Calibri" w:cs="Calibri"/>
              </w:rPr>
              <w:t>5</w:t>
            </w:r>
          </w:p>
        </w:tc>
        <w:tc>
          <w:tcPr>
            <w:tcW w:w="2932" w:type="dxa"/>
            <w:tcBorders>
              <w:top w:val="single" w:sz="6" w:space="0" w:color="auto"/>
              <w:left w:val="single" w:sz="6" w:space="0" w:color="auto"/>
              <w:bottom w:val="single" w:sz="6" w:space="0" w:color="auto"/>
              <w:right w:val="single" w:sz="6" w:space="0" w:color="auto"/>
            </w:tcBorders>
          </w:tcPr>
          <w:p w14:paraId="470BEBC4" w14:textId="5FA0CB80" w:rsidR="6A7BF3BC" w:rsidRDefault="6A7BF3BC" w:rsidP="6A7BF3BC">
            <w:pPr>
              <w:spacing w:after="200" w:line="276" w:lineRule="auto"/>
              <w:jc w:val="both"/>
              <w:rPr>
                <w:rFonts w:eastAsia="Calibri" w:cs="Calibri"/>
              </w:rPr>
            </w:pPr>
          </w:p>
          <w:p w14:paraId="6C6C6025" w14:textId="21AE8C9D" w:rsidR="6A7BF3BC" w:rsidRDefault="6A7BF3BC" w:rsidP="6A7BF3BC">
            <w:pPr>
              <w:spacing w:after="200" w:line="276" w:lineRule="auto"/>
              <w:jc w:val="both"/>
              <w:rPr>
                <w:rFonts w:eastAsia="Calibri" w:cs="Calibri"/>
              </w:rPr>
            </w:pPr>
            <w:r w:rsidRPr="6A7BF3BC">
              <w:rPr>
                <w:rFonts w:eastAsia="Calibri" w:cs="Calibri"/>
                <w:u w:val="single"/>
              </w:rPr>
              <w:t>An approved Implementation Plan</w:t>
            </w:r>
          </w:p>
          <w:p w14:paraId="4A915E66" w14:textId="1DEDDC00" w:rsidR="6A7BF3BC" w:rsidRDefault="6A7BF3BC" w:rsidP="6A7BF3BC">
            <w:pPr>
              <w:spacing w:after="200" w:line="276" w:lineRule="auto"/>
              <w:jc w:val="both"/>
              <w:rPr>
                <w:rFonts w:eastAsia="Calibri" w:cs="Calibri"/>
              </w:rPr>
            </w:pPr>
          </w:p>
          <w:p w14:paraId="11DE26CF" w14:textId="1EBABF44" w:rsidR="6A7BF3BC" w:rsidRDefault="6A7BF3BC" w:rsidP="6A7BF3BC">
            <w:pPr>
              <w:spacing w:after="200" w:line="276" w:lineRule="auto"/>
              <w:jc w:val="both"/>
              <w:rPr>
                <w:rFonts w:eastAsia="Calibri" w:cs="Calibri"/>
              </w:rPr>
            </w:pPr>
          </w:p>
        </w:tc>
        <w:tc>
          <w:tcPr>
            <w:tcW w:w="5225" w:type="dxa"/>
            <w:tcBorders>
              <w:top w:val="single" w:sz="6" w:space="0" w:color="auto"/>
              <w:left w:val="single" w:sz="6" w:space="0" w:color="auto"/>
              <w:bottom w:val="single" w:sz="6" w:space="0" w:color="auto"/>
              <w:right w:val="single" w:sz="6" w:space="0" w:color="auto"/>
            </w:tcBorders>
          </w:tcPr>
          <w:p w14:paraId="3C4603BA" w14:textId="5D2B7985" w:rsidR="6A7BF3BC" w:rsidRDefault="6A7BF3BC" w:rsidP="6A7BF3BC">
            <w:pPr>
              <w:spacing w:after="200" w:line="276" w:lineRule="auto"/>
              <w:jc w:val="both"/>
              <w:rPr>
                <w:rFonts w:eastAsia="Calibri" w:cs="Calibri"/>
              </w:rPr>
            </w:pPr>
            <w:r w:rsidRPr="6A7BF3BC">
              <w:rPr>
                <w:rFonts w:eastAsia="Calibri" w:cs="Calibri"/>
              </w:rPr>
              <w:t>The Evaluation Supplier will be expected to conduct workshops with the Management Agent and with grantees from the pilot schemes to gather learning and help to ensure that learning from these projects informs the Implementation Plan.</w:t>
            </w:r>
          </w:p>
          <w:p w14:paraId="0A1938B4" w14:textId="6C542E2B" w:rsidR="6A7BF3BC" w:rsidRDefault="6A7BF3BC" w:rsidP="6A7BF3BC">
            <w:pPr>
              <w:spacing w:after="200" w:line="276" w:lineRule="auto"/>
              <w:jc w:val="both"/>
              <w:rPr>
                <w:rFonts w:eastAsia="Calibri" w:cs="Calibri"/>
              </w:rPr>
            </w:pPr>
            <w:r w:rsidRPr="6A7BF3BC">
              <w:rPr>
                <w:rFonts w:eastAsia="Calibri" w:cs="Calibri"/>
              </w:rPr>
              <w:t>The independent Evaluation Supplier will be expected to support and work with the Management Agent to design and draft the Implementation Plan for the Fleming Fund. This early involvement of the Evaluation Supplier is intended to ensure that evaluation considerations are ‘embedded’ within the Implementation Plan. It is expected that the evaluation implementation and reporting will comply with the OECD-DAC quality standards for development evaluation.</w:t>
            </w:r>
          </w:p>
          <w:p w14:paraId="0E83CFCC" w14:textId="6478203A" w:rsidR="6A7BF3BC" w:rsidRDefault="6A7BF3BC" w:rsidP="6A7BF3BC">
            <w:pPr>
              <w:pStyle w:val="CommentText"/>
              <w:spacing w:after="200"/>
              <w:jc w:val="both"/>
              <w:rPr>
                <w:rFonts w:eastAsia="Calibri" w:cs="Calibri"/>
                <w:sz w:val="22"/>
                <w:szCs w:val="22"/>
              </w:rPr>
            </w:pPr>
            <w:r w:rsidRPr="6A7BF3BC">
              <w:rPr>
                <w:rFonts w:eastAsia="Calibri" w:cs="Calibri"/>
                <w:sz w:val="22"/>
                <w:szCs w:val="22"/>
              </w:rPr>
              <w:t>The Evaluation Supplier will hold regular meetings with the Authority and Management Agent to discuss requirements and progress of the draft Implementation Plan. The format of the meetings will be agreed between the parties.</w:t>
            </w:r>
          </w:p>
          <w:p w14:paraId="5F3FF076" w14:textId="50A2504F" w:rsidR="6A7BF3BC" w:rsidRDefault="6A7BF3BC" w:rsidP="6A7BF3BC">
            <w:pPr>
              <w:pStyle w:val="CommentText"/>
              <w:spacing w:after="200"/>
              <w:jc w:val="both"/>
              <w:rPr>
                <w:rFonts w:eastAsia="Calibri" w:cs="Calibri"/>
                <w:sz w:val="22"/>
                <w:szCs w:val="22"/>
              </w:rPr>
            </w:pPr>
            <w:r w:rsidRPr="6A7BF3BC">
              <w:rPr>
                <w:rFonts w:eastAsia="Calibri" w:cs="Calibri"/>
                <w:sz w:val="22"/>
                <w:szCs w:val="22"/>
              </w:rPr>
              <w:t>The Evaluation Supplier will collaborate with the Authority and Management Agent to identify data collection required to answer the evaluation questions developed and approved in accordance with Milestone/Deliverable 3.</w:t>
            </w:r>
          </w:p>
          <w:p w14:paraId="3D01BBD1" w14:textId="62D130EC" w:rsidR="6A7BF3BC" w:rsidRDefault="6A7BF3BC" w:rsidP="6A7BF3BC">
            <w:pPr>
              <w:pStyle w:val="CommentText"/>
              <w:spacing w:after="200"/>
              <w:jc w:val="both"/>
              <w:rPr>
                <w:rFonts w:eastAsia="Calibri" w:cs="Calibri"/>
                <w:sz w:val="22"/>
                <w:szCs w:val="22"/>
              </w:rPr>
            </w:pPr>
            <w:r w:rsidRPr="6A7BF3BC">
              <w:rPr>
                <w:rFonts w:eastAsia="Calibri" w:cs="Calibri"/>
                <w:sz w:val="22"/>
                <w:szCs w:val="22"/>
              </w:rPr>
              <w:t>The Evaluation Supplier will work with the Management Agent to provide a draft Implementation Plan, to be submitted by the Management Agent to the Authority by a date to be agreed.</w:t>
            </w:r>
          </w:p>
          <w:p w14:paraId="49596EE1" w14:textId="2B1C0EEF" w:rsidR="6A7BF3BC" w:rsidRDefault="6A7BF3BC" w:rsidP="6A7BF3BC">
            <w:pPr>
              <w:pStyle w:val="CommentText"/>
              <w:spacing w:after="200"/>
              <w:jc w:val="both"/>
              <w:rPr>
                <w:rFonts w:eastAsia="Calibri" w:cs="Calibri"/>
                <w:sz w:val="22"/>
                <w:szCs w:val="22"/>
              </w:rPr>
            </w:pPr>
            <w:r w:rsidRPr="6A7BF3BC">
              <w:rPr>
                <w:rFonts w:eastAsia="Calibri" w:cs="Calibri"/>
                <w:sz w:val="22"/>
                <w:szCs w:val="22"/>
              </w:rPr>
              <w:t xml:space="preserve">The draft Implementation Plan must contain, but is not limited to: </w:t>
            </w:r>
          </w:p>
          <w:p w14:paraId="57F22871" w14:textId="5029470C" w:rsidR="6A7BF3BC" w:rsidRDefault="6A7BF3BC" w:rsidP="00C6374D">
            <w:pPr>
              <w:pStyle w:val="CommentText"/>
              <w:numPr>
                <w:ilvl w:val="0"/>
                <w:numId w:val="53"/>
              </w:numPr>
              <w:jc w:val="both"/>
              <w:rPr>
                <w:rFonts w:eastAsia="Calibri" w:cs="Calibri"/>
                <w:sz w:val="22"/>
                <w:szCs w:val="22"/>
              </w:rPr>
            </w:pPr>
            <w:r w:rsidRPr="6A7BF3BC">
              <w:rPr>
                <w:rFonts w:eastAsia="Calibri" w:cs="Calibri"/>
                <w:sz w:val="22"/>
                <w:szCs w:val="22"/>
              </w:rPr>
              <w:t>A detailed methodology for data collection, analysis and regular reporting, including proposals for verifying the baseline information for each project granted funding by the Management Agent.</w:t>
            </w:r>
          </w:p>
          <w:p w14:paraId="547AD669" w14:textId="0654CFC4" w:rsidR="6A7BF3BC" w:rsidRDefault="6A7BF3BC" w:rsidP="6A7BF3BC">
            <w:pPr>
              <w:spacing w:after="200"/>
              <w:ind w:left="1080"/>
              <w:jc w:val="both"/>
              <w:rPr>
                <w:rFonts w:eastAsia="Calibri" w:cs="Calibri"/>
              </w:rPr>
            </w:pPr>
          </w:p>
          <w:p w14:paraId="3D4C0528" w14:textId="194DB79B" w:rsidR="6A7BF3BC" w:rsidRDefault="6A7BF3BC" w:rsidP="00C6374D">
            <w:pPr>
              <w:pStyle w:val="CommentText"/>
              <w:numPr>
                <w:ilvl w:val="0"/>
                <w:numId w:val="53"/>
              </w:numPr>
              <w:jc w:val="both"/>
              <w:rPr>
                <w:rFonts w:eastAsia="Calibri" w:cs="Calibri"/>
                <w:sz w:val="22"/>
                <w:szCs w:val="22"/>
              </w:rPr>
            </w:pPr>
            <w:r w:rsidRPr="6A7BF3BC">
              <w:rPr>
                <w:rFonts w:eastAsia="Calibri" w:cs="Calibri"/>
                <w:sz w:val="22"/>
                <w:szCs w:val="22"/>
              </w:rPr>
              <w:t>A detailed work plan outlining timeframe, details of the final project time, defined output payments and a detailed financial plan for the implementation phase. The financial plan must draw on the pricing structures provided by the Evaluation Supplier within the tendered rate cards, and be accompanied by narrative explanation and reasoning for any planned costs exceeding the average price given within those rate cards.</w:t>
            </w:r>
            <w:r w:rsidR="007458AC">
              <w:rPr>
                <w:rFonts w:eastAsia="Calibri" w:cs="Calibri"/>
                <w:sz w:val="22"/>
                <w:szCs w:val="22"/>
              </w:rPr>
              <w:t xml:space="preserve"> </w:t>
            </w:r>
            <w:r w:rsidRPr="6A7BF3BC">
              <w:rPr>
                <w:rFonts w:eastAsia="Calibri" w:cs="Calibri"/>
                <w:sz w:val="22"/>
                <w:szCs w:val="22"/>
              </w:rPr>
              <w:t>Any costs exceeding the maximum price given within those rate cards will require the Authority’s prior written approval before the costs can be incurred.</w:t>
            </w:r>
          </w:p>
          <w:p w14:paraId="181F3B6B" w14:textId="7669F578" w:rsidR="6A7BF3BC" w:rsidRDefault="6A7BF3BC" w:rsidP="6A7BF3BC">
            <w:pPr>
              <w:spacing w:after="200"/>
              <w:ind w:left="1080"/>
              <w:jc w:val="both"/>
              <w:rPr>
                <w:rFonts w:eastAsia="Calibri" w:cs="Calibri"/>
              </w:rPr>
            </w:pPr>
          </w:p>
          <w:p w14:paraId="5EC64AA9" w14:textId="33A8E910" w:rsidR="6A7BF3BC" w:rsidRDefault="6A7BF3BC" w:rsidP="00C6374D">
            <w:pPr>
              <w:pStyle w:val="CommentText"/>
              <w:numPr>
                <w:ilvl w:val="0"/>
                <w:numId w:val="53"/>
              </w:numPr>
              <w:jc w:val="both"/>
              <w:rPr>
                <w:rFonts w:eastAsia="Calibri" w:cs="Calibri"/>
                <w:sz w:val="22"/>
                <w:szCs w:val="22"/>
              </w:rPr>
            </w:pPr>
            <w:r w:rsidRPr="6A7BF3BC">
              <w:rPr>
                <w:rFonts w:eastAsia="Calibri" w:cs="Calibri"/>
                <w:sz w:val="22"/>
                <w:szCs w:val="22"/>
              </w:rPr>
              <w:t>The evaluation methodology, questions and sub questions approved in accordance with Milestone/Deliverable 3.</w:t>
            </w:r>
          </w:p>
          <w:p w14:paraId="4BF0BC09" w14:textId="6CE3A203" w:rsidR="6A7BF3BC" w:rsidRDefault="6A7BF3BC" w:rsidP="6A7BF3BC">
            <w:pPr>
              <w:spacing w:line="252" w:lineRule="auto"/>
              <w:ind w:left="720"/>
              <w:jc w:val="both"/>
              <w:rPr>
                <w:rFonts w:eastAsia="Calibri" w:cs="Calibri"/>
              </w:rPr>
            </w:pPr>
          </w:p>
          <w:p w14:paraId="7D8012C9" w14:textId="7DA0EA72" w:rsidR="6A7BF3BC" w:rsidRDefault="6A7BF3BC" w:rsidP="00C6374D">
            <w:pPr>
              <w:pStyle w:val="CommentText"/>
              <w:numPr>
                <w:ilvl w:val="0"/>
                <w:numId w:val="53"/>
              </w:numPr>
              <w:jc w:val="both"/>
              <w:rPr>
                <w:rFonts w:eastAsia="Calibri" w:cs="Calibri"/>
                <w:sz w:val="22"/>
                <w:szCs w:val="22"/>
              </w:rPr>
            </w:pPr>
            <w:r w:rsidRPr="6A7BF3BC">
              <w:rPr>
                <w:rFonts w:eastAsia="Calibri" w:cs="Calibri"/>
                <w:sz w:val="22"/>
                <w:szCs w:val="22"/>
              </w:rPr>
              <w:t xml:space="preserve">Any learning gathered from the workshops conducted in relation to the pilot schemes. </w:t>
            </w:r>
          </w:p>
          <w:p w14:paraId="57CA76D5" w14:textId="46FD2FD0" w:rsidR="6A7BF3BC" w:rsidRDefault="6A7BF3BC" w:rsidP="6A7BF3BC">
            <w:pPr>
              <w:spacing w:line="252" w:lineRule="auto"/>
              <w:ind w:left="720"/>
              <w:jc w:val="both"/>
              <w:rPr>
                <w:rFonts w:eastAsia="Calibri" w:cs="Calibri"/>
              </w:rPr>
            </w:pPr>
          </w:p>
          <w:p w14:paraId="0E9572BE" w14:textId="76874295" w:rsidR="6A7BF3BC" w:rsidRDefault="6A7BF3BC" w:rsidP="00C6374D">
            <w:pPr>
              <w:pStyle w:val="CommentText"/>
              <w:numPr>
                <w:ilvl w:val="0"/>
                <w:numId w:val="53"/>
              </w:numPr>
              <w:jc w:val="both"/>
              <w:rPr>
                <w:rFonts w:eastAsia="Calibri" w:cs="Calibri"/>
                <w:sz w:val="22"/>
                <w:szCs w:val="22"/>
              </w:rPr>
            </w:pPr>
            <w:r w:rsidRPr="6A7BF3BC">
              <w:rPr>
                <w:rFonts w:eastAsia="Calibri" w:cs="Calibri"/>
                <w:sz w:val="22"/>
                <w:szCs w:val="22"/>
              </w:rPr>
              <w:t>A proposed approach for working with grantees and other key stakeholders throughout the life of the contract.</w:t>
            </w:r>
          </w:p>
          <w:p w14:paraId="3C24F773" w14:textId="147CC45E" w:rsidR="6A7BF3BC" w:rsidRDefault="6A7BF3BC" w:rsidP="6A7BF3BC">
            <w:pPr>
              <w:spacing w:after="200"/>
              <w:ind w:left="1080"/>
              <w:jc w:val="both"/>
              <w:rPr>
                <w:rFonts w:eastAsia="Calibri" w:cs="Calibri"/>
              </w:rPr>
            </w:pPr>
          </w:p>
          <w:p w14:paraId="1453221F" w14:textId="423C01C8" w:rsidR="6A7BF3BC" w:rsidRDefault="6A7BF3BC" w:rsidP="00C6374D">
            <w:pPr>
              <w:pStyle w:val="CommentText"/>
              <w:numPr>
                <w:ilvl w:val="0"/>
                <w:numId w:val="53"/>
              </w:numPr>
              <w:jc w:val="both"/>
              <w:rPr>
                <w:rFonts w:eastAsia="Calibri" w:cs="Calibri"/>
                <w:sz w:val="22"/>
                <w:szCs w:val="22"/>
              </w:rPr>
            </w:pPr>
            <w:r w:rsidRPr="6A7BF3BC">
              <w:rPr>
                <w:rFonts w:eastAsia="Calibri" w:cs="Calibri"/>
                <w:sz w:val="22"/>
                <w:szCs w:val="22"/>
              </w:rPr>
              <w:t>Proposals for detailing the service levels in Annex 1 to Part A of Schedule 6 (Service Levels and Performance Monitoring).</w:t>
            </w:r>
          </w:p>
          <w:p w14:paraId="43C4877C" w14:textId="75405B23" w:rsidR="6A7BF3BC" w:rsidRDefault="6A7BF3BC" w:rsidP="6A7BF3BC">
            <w:pPr>
              <w:spacing w:line="252" w:lineRule="auto"/>
              <w:ind w:left="720"/>
              <w:jc w:val="both"/>
              <w:rPr>
                <w:rFonts w:eastAsia="Calibri" w:cs="Calibri"/>
              </w:rPr>
            </w:pPr>
          </w:p>
          <w:p w14:paraId="0D4BBCF6" w14:textId="77777777" w:rsidR="00CD4B01" w:rsidRDefault="6A7BF3BC" w:rsidP="00C6374D">
            <w:pPr>
              <w:pStyle w:val="CommentText"/>
              <w:numPr>
                <w:ilvl w:val="0"/>
                <w:numId w:val="53"/>
              </w:numPr>
              <w:jc w:val="both"/>
              <w:rPr>
                <w:rFonts w:eastAsia="Calibri" w:cs="Calibri"/>
                <w:sz w:val="22"/>
                <w:szCs w:val="22"/>
              </w:rPr>
            </w:pPr>
            <w:r w:rsidRPr="6A7BF3BC">
              <w:rPr>
                <w:rFonts w:eastAsia="Calibri" w:cs="Calibri"/>
                <w:sz w:val="22"/>
                <w:szCs w:val="22"/>
              </w:rPr>
              <w:t>Proposals for delay payments for Part A of Schedule 4 (Inception Plan) and Annex 1 of Schedule 2 (Implementation Plan).</w:t>
            </w:r>
          </w:p>
          <w:p w14:paraId="2D9CDBB8" w14:textId="77777777" w:rsidR="00CD4B01" w:rsidRDefault="00CD4B01" w:rsidP="00CD4B01">
            <w:pPr>
              <w:pStyle w:val="ListParagraph"/>
              <w:rPr>
                <w:rFonts w:eastAsia="Calibri" w:cs="Calibri"/>
              </w:rPr>
            </w:pPr>
          </w:p>
          <w:p w14:paraId="3109F40B" w14:textId="6104B976" w:rsidR="6A7BF3BC" w:rsidRPr="00CD4B01" w:rsidRDefault="6A7BF3BC" w:rsidP="00C6374D">
            <w:pPr>
              <w:pStyle w:val="CommentText"/>
              <w:numPr>
                <w:ilvl w:val="0"/>
                <w:numId w:val="53"/>
              </w:numPr>
              <w:jc w:val="both"/>
              <w:rPr>
                <w:rFonts w:eastAsia="Calibri" w:cs="Calibri"/>
                <w:sz w:val="22"/>
                <w:szCs w:val="22"/>
              </w:rPr>
            </w:pPr>
            <w:r w:rsidRPr="00CD4B01">
              <w:rPr>
                <w:rFonts w:eastAsia="Calibri" w:cs="Calibri"/>
                <w:sz w:val="22"/>
                <w:szCs w:val="22"/>
              </w:rPr>
              <w:t xml:space="preserve">Proposals for the capability-building activities to be undertaken with grantees in understanding the Monitoring and Evaluation (M&amp;E) and the theory of change laid out in Annex B of the Specification. </w:t>
            </w:r>
          </w:p>
          <w:p w14:paraId="4561222B" w14:textId="6E0A6B57" w:rsidR="6A7BF3BC" w:rsidRDefault="6A7BF3BC" w:rsidP="6A7BF3BC">
            <w:pPr>
              <w:spacing w:after="200"/>
              <w:jc w:val="both"/>
              <w:rPr>
                <w:rFonts w:eastAsia="Calibri" w:cs="Calibri"/>
              </w:rPr>
            </w:pPr>
          </w:p>
          <w:p w14:paraId="43144321" w14:textId="2EF2FF40" w:rsidR="6A7BF3BC" w:rsidRDefault="6A7BF3BC" w:rsidP="00C6374D">
            <w:pPr>
              <w:pStyle w:val="CommentText"/>
              <w:numPr>
                <w:ilvl w:val="0"/>
                <w:numId w:val="53"/>
              </w:numPr>
              <w:jc w:val="both"/>
              <w:rPr>
                <w:rFonts w:eastAsia="Calibri" w:cs="Calibri"/>
                <w:sz w:val="22"/>
                <w:szCs w:val="22"/>
              </w:rPr>
            </w:pPr>
            <w:r w:rsidRPr="6A7BF3BC">
              <w:rPr>
                <w:rFonts w:eastAsia="Calibri" w:cs="Calibri"/>
                <w:sz w:val="22"/>
                <w:szCs w:val="22"/>
              </w:rPr>
              <w:t>Proposals to ensure compliance with the quality standards referred to in paragraph 5.13 of the Specification, or equivalent quality standards.</w:t>
            </w:r>
          </w:p>
          <w:p w14:paraId="53E009F2" w14:textId="3DB0FEF6" w:rsidR="6A7BF3BC" w:rsidRDefault="6A7BF3BC" w:rsidP="6A7BF3BC">
            <w:pPr>
              <w:spacing w:line="252" w:lineRule="auto"/>
              <w:ind w:left="720"/>
              <w:jc w:val="both"/>
              <w:rPr>
                <w:rFonts w:eastAsia="Calibri" w:cs="Calibri"/>
              </w:rPr>
            </w:pPr>
          </w:p>
          <w:p w14:paraId="5242EDC3" w14:textId="25BB50B2" w:rsidR="6A7BF3BC" w:rsidRDefault="6A7BF3BC" w:rsidP="00C6374D">
            <w:pPr>
              <w:pStyle w:val="CommentText"/>
              <w:numPr>
                <w:ilvl w:val="0"/>
                <w:numId w:val="53"/>
              </w:numPr>
              <w:jc w:val="both"/>
              <w:rPr>
                <w:rFonts w:eastAsia="Calibri" w:cs="Calibri"/>
                <w:sz w:val="22"/>
                <w:szCs w:val="22"/>
              </w:rPr>
            </w:pPr>
            <w:r w:rsidRPr="6A7BF3BC">
              <w:rPr>
                <w:rFonts w:eastAsia="Calibri" w:cs="Calibri"/>
                <w:sz w:val="22"/>
                <w:szCs w:val="22"/>
              </w:rPr>
              <w:t>A detailed business continuity and disaster recovery plan.</w:t>
            </w:r>
          </w:p>
          <w:p w14:paraId="752440EE" w14:textId="7B4D6B58" w:rsidR="6A7BF3BC" w:rsidRDefault="6A7BF3BC" w:rsidP="6A7BF3BC">
            <w:pPr>
              <w:spacing w:line="252" w:lineRule="auto"/>
              <w:ind w:left="720"/>
              <w:jc w:val="both"/>
              <w:rPr>
                <w:rFonts w:eastAsia="Calibri" w:cs="Calibri"/>
              </w:rPr>
            </w:pPr>
          </w:p>
          <w:p w14:paraId="791AB606" w14:textId="413C2369" w:rsidR="6A7BF3BC" w:rsidRDefault="6A7BF3BC" w:rsidP="00C6374D">
            <w:pPr>
              <w:pStyle w:val="CommentText"/>
              <w:numPr>
                <w:ilvl w:val="0"/>
                <w:numId w:val="53"/>
              </w:numPr>
              <w:jc w:val="both"/>
              <w:rPr>
                <w:rFonts w:eastAsia="Calibri" w:cs="Calibri"/>
                <w:sz w:val="22"/>
                <w:szCs w:val="22"/>
              </w:rPr>
            </w:pPr>
            <w:r w:rsidRPr="6A7BF3BC">
              <w:rPr>
                <w:rFonts w:eastAsia="Calibri" w:cs="Calibri"/>
                <w:sz w:val="22"/>
                <w:szCs w:val="22"/>
              </w:rPr>
              <w:t>Proposals for the provision of a mid-point review report, which answers the evaluation questions indicatively and supplies formative recommendations for the remainder of the Fleming Fund.</w:t>
            </w:r>
          </w:p>
          <w:p w14:paraId="2E143079" w14:textId="32054A05" w:rsidR="6A7BF3BC" w:rsidRDefault="6A7BF3BC" w:rsidP="6A7BF3BC">
            <w:pPr>
              <w:spacing w:line="252" w:lineRule="auto"/>
              <w:ind w:left="720"/>
              <w:jc w:val="both"/>
              <w:rPr>
                <w:rFonts w:eastAsia="Calibri" w:cs="Calibri"/>
              </w:rPr>
            </w:pPr>
          </w:p>
          <w:p w14:paraId="232B8566" w14:textId="02E3C37F" w:rsidR="6A7BF3BC" w:rsidRDefault="6A7BF3BC" w:rsidP="00C6374D">
            <w:pPr>
              <w:pStyle w:val="CommentText"/>
              <w:numPr>
                <w:ilvl w:val="0"/>
                <w:numId w:val="53"/>
              </w:numPr>
              <w:jc w:val="both"/>
              <w:rPr>
                <w:rFonts w:eastAsia="Calibri" w:cs="Calibri"/>
                <w:sz w:val="22"/>
                <w:szCs w:val="22"/>
              </w:rPr>
            </w:pPr>
            <w:r w:rsidRPr="6A7BF3BC">
              <w:rPr>
                <w:rFonts w:eastAsia="Calibri" w:cs="Calibri"/>
                <w:sz w:val="22"/>
                <w:szCs w:val="22"/>
              </w:rPr>
              <w:t>Proposals for the provision of a final summative evaluation report that answers the evaluation questions agreed in accordance with Milestone/Deliverable 3.</w:t>
            </w:r>
          </w:p>
          <w:p w14:paraId="744B310C" w14:textId="2E1E3973" w:rsidR="6A7BF3BC" w:rsidRDefault="6A7BF3BC" w:rsidP="6A7BF3BC">
            <w:pPr>
              <w:spacing w:after="200"/>
              <w:jc w:val="both"/>
              <w:rPr>
                <w:rFonts w:eastAsia="Calibri" w:cs="Calibri"/>
              </w:rPr>
            </w:pPr>
          </w:p>
        </w:tc>
      </w:tr>
    </w:tbl>
    <w:p w14:paraId="0CA7A018" w14:textId="57F8CD83" w:rsidR="1EA17281" w:rsidRDefault="1EA17281"/>
    <w:p w14:paraId="425C3D88" w14:textId="77777777" w:rsidR="00CD4B01" w:rsidRPr="00CD4B01" w:rsidRDefault="00CD4B01" w:rsidP="00C6374D">
      <w:pPr>
        <w:pStyle w:val="ListParagraph"/>
        <w:numPr>
          <w:ilvl w:val="1"/>
          <w:numId w:val="34"/>
        </w:numPr>
        <w:spacing w:before="120" w:after="120"/>
        <w:ind w:left="284" w:hanging="426"/>
        <w:jc w:val="both"/>
        <w:rPr>
          <w:rFonts w:eastAsia="Calibri" w:cs="Calibri"/>
          <w:color w:val="000000"/>
        </w:rPr>
      </w:pPr>
      <w:r w:rsidRPr="00CD4B01">
        <w:rPr>
          <w:rFonts w:eastAsia="Calibri" w:cs="Calibri"/>
          <w:b/>
          <w:bCs/>
          <w:color w:val="000000"/>
          <w:u w:val="single"/>
        </w:rPr>
        <w:t>Implementation Phase</w:t>
      </w:r>
      <w:r w:rsidRPr="00CD4B01">
        <w:rPr>
          <w:rFonts w:eastAsia="Calibri" w:cs="Calibri"/>
          <w:color w:val="000000"/>
        </w:rPr>
        <w:t> </w:t>
      </w:r>
    </w:p>
    <w:p w14:paraId="67B16751" w14:textId="795989F5"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xml:space="preserve">Specific objectives and Deliverables for the implementation phase will be developed in consultation between the Evaluation Supplier and </w:t>
      </w:r>
      <w:r w:rsidR="004B603A">
        <w:rPr>
          <w:rFonts w:eastAsia="Calibri" w:cs="Calibri"/>
          <w:color w:val="000000"/>
        </w:rPr>
        <w:t>DHSC</w:t>
      </w:r>
      <w:r w:rsidRPr="00CD4B01">
        <w:rPr>
          <w:rFonts w:eastAsia="Calibri" w:cs="Calibri"/>
          <w:color w:val="000000"/>
        </w:rPr>
        <w:t xml:space="preserve"> during the inception stage of the Contract. The Evaluation Supplier will be held financially accountable for the agreed outputs and should show effective progress towards these targets through the lifetime of the programme. </w:t>
      </w:r>
    </w:p>
    <w:p w14:paraId="1BD57142"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w:t>
      </w:r>
    </w:p>
    <w:p w14:paraId="6666BADB" w14:textId="75865196"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xml:space="preserve">Although specific objectives, Deliverables and Milestones will be defined in consultation with </w:t>
      </w:r>
      <w:r w:rsidR="004B603A">
        <w:rPr>
          <w:rFonts w:eastAsia="Calibri" w:cs="Calibri"/>
          <w:color w:val="000000"/>
        </w:rPr>
        <w:t>DHSC</w:t>
      </w:r>
      <w:r w:rsidRPr="00CD4B01">
        <w:rPr>
          <w:rFonts w:eastAsia="Calibri" w:cs="Calibri"/>
          <w:color w:val="000000"/>
        </w:rPr>
        <w:t xml:space="preserve"> during inception phase, the table indicates the minimum expected Deliverables. </w:t>
      </w:r>
    </w:p>
    <w:p w14:paraId="0E1B4126"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w:t>
      </w:r>
    </w:p>
    <w:tbl>
      <w:tblPr>
        <w:tblStyle w:val="GridTable1Light"/>
        <w:tblW w:w="0" w:type="dxa"/>
        <w:tblLook w:val="04A0" w:firstRow="1" w:lastRow="0" w:firstColumn="1" w:lastColumn="0" w:noHBand="0" w:noVBand="1"/>
      </w:tblPr>
      <w:tblGrid>
        <w:gridCol w:w="804"/>
        <w:gridCol w:w="3039"/>
        <w:gridCol w:w="4645"/>
      </w:tblGrid>
      <w:tr w:rsidR="00CD4B01" w:rsidRPr="00CD4B01" w14:paraId="556F896C" w14:textId="77777777" w:rsidTr="00AB52E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75" w:type="dxa"/>
            <w:hideMark/>
          </w:tcPr>
          <w:p w14:paraId="469EFD43"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w:t>
            </w:r>
          </w:p>
        </w:tc>
        <w:tc>
          <w:tcPr>
            <w:tcW w:w="3165" w:type="dxa"/>
            <w:hideMark/>
          </w:tcPr>
          <w:p w14:paraId="5C66BE7E" w14:textId="77777777" w:rsidR="00CD4B01" w:rsidRPr="00CD4B01" w:rsidRDefault="00CD4B01" w:rsidP="00AB52E3">
            <w:pPr>
              <w:spacing w:before="120" w:after="120" w:line="276" w:lineRule="auto"/>
              <w:ind w:left="426"/>
              <w:cnfStyle w:val="100000000000" w:firstRow="1"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Implementation Phase Milestone/Deliverable </w:t>
            </w:r>
          </w:p>
        </w:tc>
        <w:tc>
          <w:tcPr>
            <w:tcW w:w="5460" w:type="dxa"/>
            <w:hideMark/>
          </w:tcPr>
          <w:p w14:paraId="6CA6C8BA" w14:textId="55897080" w:rsidR="00CD4B01" w:rsidRPr="00CD4B01" w:rsidRDefault="00CD4B01" w:rsidP="00AB52E3">
            <w:pPr>
              <w:spacing w:before="120" w:after="120" w:line="276" w:lineRule="auto"/>
              <w:ind w:left="426"/>
              <w:cnfStyle w:val="100000000000" w:firstRow="1"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Expected activities and minimum Deliverables</w:t>
            </w:r>
            <w:r w:rsidR="007458AC">
              <w:rPr>
                <w:rFonts w:eastAsia="Calibri" w:cs="Calibri"/>
                <w:color w:val="000000"/>
              </w:rPr>
              <w:t xml:space="preserve"> </w:t>
            </w:r>
          </w:p>
        </w:tc>
      </w:tr>
      <w:tr w:rsidR="00CD4B01" w:rsidRPr="00CD4B01" w14:paraId="151A9AF5" w14:textId="77777777" w:rsidTr="00CD4B01">
        <w:tc>
          <w:tcPr>
            <w:cnfStyle w:val="001000000000" w:firstRow="0" w:lastRow="0" w:firstColumn="1" w:lastColumn="0" w:oddVBand="0" w:evenVBand="0" w:oddHBand="0" w:evenHBand="0" w:firstRowFirstColumn="0" w:firstRowLastColumn="0" w:lastRowFirstColumn="0" w:lastRowLastColumn="0"/>
            <w:tcW w:w="375" w:type="dxa"/>
            <w:hideMark/>
          </w:tcPr>
          <w:p w14:paraId="32F7C5D5"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w:t>
            </w:r>
          </w:p>
          <w:p w14:paraId="666D4ECC"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1 </w:t>
            </w:r>
          </w:p>
        </w:tc>
        <w:tc>
          <w:tcPr>
            <w:tcW w:w="3165" w:type="dxa"/>
            <w:hideMark/>
          </w:tcPr>
          <w:p w14:paraId="0A74E0D3"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u w:val="single"/>
              </w:rPr>
              <w:t>Regular reporting</w:t>
            </w:r>
            <w:r w:rsidRPr="00CD4B01">
              <w:rPr>
                <w:rFonts w:eastAsia="Calibri" w:cs="Calibri"/>
                <w:color w:val="000000"/>
              </w:rPr>
              <w:t> </w:t>
            </w:r>
          </w:p>
          <w:p w14:paraId="40E1A3AB" w14:textId="77777777" w:rsidR="00CD4B01" w:rsidRPr="00CD4B01" w:rsidRDefault="00CD4B01" w:rsidP="00C6374D">
            <w:pPr>
              <w:numPr>
                <w:ilvl w:val="0"/>
                <w:numId w:val="44"/>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Quarterly </w:t>
            </w:r>
          </w:p>
          <w:p w14:paraId="2B50A69F" w14:textId="77777777" w:rsidR="00CD4B01" w:rsidRPr="00CD4B01" w:rsidRDefault="00CD4B01" w:rsidP="00C6374D">
            <w:pPr>
              <w:numPr>
                <w:ilvl w:val="0"/>
                <w:numId w:val="44"/>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Continued collaboration with the Authority Representative / appointed Contract Manager </w:t>
            </w:r>
          </w:p>
        </w:tc>
        <w:tc>
          <w:tcPr>
            <w:tcW w:w="5460" w:type="dxa"/>
            <w:hideMark/>
          </w:tcPr>
          <w:p w14:paraId="5014F0E3"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p>
          <w:p w14:paraId="4E6A071C" w14:textId="1681166B"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xml:space="preserve">Regular reporting will be in the form of an activity update to </w:t>
            </w:r>
            <w:r w:rsidR="004B603A">
              <w:rPr>
                <w:rFonts w:eastAsia="Calibri" w:cs="Calibri"/>
                <w:color w:val="000000"/>
              </w:rPr>
              <w:t>DHSC</w:t>
            </w:r>
            <w:r w:rsidRPr="00CD4B01">
              <w:rPr>
                <w:rFonts w:eastAsia="Calibri" w:cs="Calibri"/>
                <w:color w:val="000000"/>
              </w:rPr>
              <w:t xml:space="preserve"> submitted on a quarterly basis, either through a document, presentation with PowerPoint summary or a face-to-face meeting. This opportunity will allow the Evaluation Supplier to provide evidence of working against the agreed activities as well as a chance to share lessons learnt. </w:t>
            </w:r>
          </w:p>
          <w:p w14:paraId="549FA46C"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p>
          <w:p w14:paraId="0B73A89E" w14:textId="14ADCB60" w:rsidR="00CD4B01" w:rsidRPr="00CD4B01" w:rsidRDefault="004B603A"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Pr>
                <w:rFonts w:eastAsia="Calibri" w:cs="Calibri"/>
                <w:color w:val="000000"/>
              </w:rPr>
              <w:t>DHSC</w:t>
            </w:r>
            <w:r w:rsidR="00CD4B01" w:rsidRPr="00CD4B01">
              <w:rPr>
                <w:rFonts w:eastAsia="Calibri" w:cs="Calibri"/>
                <w:color w:val="000000"/>
              </w:rPr>
              <w:t xml:space="preserve"> will require interim reporting throughout the life of the contract to ensure progress and the financial status of the evaluation is monitored as being within planned funding / budget, as well as ensuring continued learning from the analysis throughout the programme.</w:t>
            </w:r>
            <w:r w:rsidR="007458AC">
              <w:rPr>
                <w:rFonts w:eastAsia="Calibri" w:cs="Calibri"/>
                <w:color w:val="000000"/>
              </w:rPr>
              <w:t xml:space="preserve"> </w:t>
            </w:r>
          </w:p>
          <w:p w14:paraId="6F185FA8"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p>
        </w:tc>
      </w:tr>
      <w:tr w:rsidR="00CD4B01" w:rsidRPr="00CD4B01" w14:paraId="63E5AF27" w14:textId="77777777" w:rsidTr="00CD4B01">
        <w:tc>
          <w:tcPr>
            <w:cnfStyle w:val="001000000000" w:firstRow="0" w:lastRow="0" w:firstColumn="1" w:lastColumn="0" w:oddVBand="0" w:evenVBand="0" w:oddHBand="0" w:evenHBand="0" w:firstRowFirstColumn="0" w:firstRowLastColumn="0" w:lastRowFirstColumn="0" w:lastRowLastColumn="0"/>
            <w:tcW w:w="375" w:type="dxa"/>
            <w:hideMark/>
          </w:tcPr>
          <w:p w14:paraId="38B76446"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w:t>
            </w:r>
          </w:p>
          <w:p w14:paraId="6E8E9EE7"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2 </w:t>
            </w:r>
          </w:p>
        </w:tc>
        <w:tc>
          <w:tcPr>
            <w:tcW w:w="3165" w:type="dxa"/>
            <w:hideMark/>
          </w:tcPr>
          <w:p w14:paraId="7072FD13"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u w:val="single"/>
              </w:rPr>
              <w:t>Continued collaboration, data analysis and provision of recommendations for course correction with the Management Agent</w:t>
            </w:r>
            <w:r w:rsidRPr="00CD4B01">
              <w:rPr>
                <w:rFonts w:eastAsia="Calibri" w:cs="Calibri"/>
                <w:color w:val="000000"/>
              </w:rPr>
              <w:t> </w:t>
            </w:r>
          </w:p>
        </w:tc>
        <w:tc>
          <w:tcPr>
            <w:tcW w:w="5460" w:type="dxa"/>
            <w:hideMark/>
          </w:tcPr>
          <w:p w14:paraId="0663B72B"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p>
          <w:p w14:paraId="3A76AA70" w14:textId="6A5FD26D"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The Evaluation Supplier will gather data from the Management Agent and undertake analysis during the programme’s implementation period.</w:t>
            </w:r>
            <w:r w:rsidR="007458AC">
              <w:rPr>
                <w:rFonts w:eastAsia="Calibri" w:cs="Calibri"/>
                <w:color w:val="000000"/>
              </w:rPr>
              <w:t xml:space="preserve"> </w:t>
            </w:r>
          </w:p>
          <w:p w14:paraId="75755EE7"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p>
          <w:p w14:paraId="32C6CA6A" w14:textId="79189468"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Country and regional grants under the Fleming Fund may start at different times, will be at different stages of implementation, and will have had different levels of engagement with the linked scientific and clinical institutions (such as local hospitals and universities). The Evaluation Supplier will be required to take account of this in its approach and analysis.</w:t>
            </w:r>
            <w:r w:rsidR="007458AC">
              <w:rPr>
                <w:rFonts w:eastAsia="Calibri" w:cs="Calibri"/>
                <w:color w:val="000000"/>
              </w:rPr>
              <w:t xml:space="preserve"> </w:t>
            </w:r>
          </w:p>
          <w:p w14:paraId="0F502026"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p>
          <w:p w14:paraId="0FEE0AE7"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The Evaluation Supplier will be expected to verify the baseline information for each project granted funding, completed by the Management Agent. </w:t>
            </w:r>
          </w:p>
          <w:p w14:paraId="3A250321"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p>
          <w:p w14:paraId="38F5E035"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Any formative recommendations would be made through the reporting mechanism built into the programme structure which will be finalised during the inception phase. </w:t>
            </w:r>
          </w:p>
          <w:p w14:paraId="4BA71537"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p>
        </w:tc>
      </w:tr>
      <w:tr w:rsidR="00CD4B01" w:rsidRPr="00CD4B01" w14:paraId="208BE242" w14:textId="77777777" w:rsidTr="00CD4B01">
        <w:tc>
          <w:tcPr>
            <w:cnfStyle w:val="001000000000" w:firstRow="0" w:lastRow="0" w:firstColumn="1" w:lastColumn="0" w:oddVBand="0" w:evenVBand="0" w:oddHBand="0" w:evenHBand="0" w:firstRowFirstColumn="0" w:firstRowLastColumn="0" w:lastRowFirstColumn="0" w:lastRowLastColumn="0"/>
            <w:tcW w:w="375" w:type="dxa"/>
            <w:hideMark/>
          </w:tcPr>
          <w:p w14:paraId="7D7D52A4"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w:t>
            </w:r>
          </w:p>
          <w:p w14:paraId="4BD857DC"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3 </w:t>
            </w:r>
          </w:p>
        </w:tc>
        <w:tc>
          <w:tcPr>
            <w:tcW w:w="3165" w:type="dxa"/>
            <w:hideMark/>
          </w:tcPr>
          <w:p w14:paraId="45AF7D8B"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u w:val="single"/>
              </w:rPr>
              <w:t>Strong stakeholder collaboration and support to grantees</w:t>
            </w:r>
            <w:r w:rsidRPr="00CD4B01">
              <w:rPr>
                <w:rFonts w:eastAsia="Calibri" w:cs="Calibri"/>
                <w:color w:val="000000"/>
              </w:rPr>
              <w:t> </w:t>
            </w:r>
          </w:p>
        </w:tc>
        <w:tc>
          <w:tcPr>
            <w:tcW w:w="5460" w:type="dxa"/>
            <w:hideMark/>
          </w:tcPr>
          <w:p w14:paraId="7870298A"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p>
          <w:p w14:paraId="01F6907E" w14:textId="56BF51CA" w:rsidR="00CD4B01" w:rsidRPr="00CD4B01" w:rsidRDefault="004B603A"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Pr>
                <w:rFonts w:eastAsia="Calibri" w:cs="Calibri"/>
                <w:color w:val="000000"/>
              </w:rPr>
              <w:t>DHSC</w:t>
            </w:r>
            <w:r w:rsidR="00CD4B01" w:rsidRPr="00CD4B01">
              <w:rPr>
                <w:rFonts w:eastAsia="Calibri" w:cs="Calibri"/>
                <w:color w:val="000000"/>
              </w:rPr>
              <w:t xml:space="preserve"> will encourage strong collaboration between key stakeholders throughout the evaluation period. This will include national and international </w:t>
            </w:r>
            <w:r w:rsidR="00AC71ED">
              <w:rPr>
                <w:rFonts w:eastAsia="Calibri" w:cs="Calibri"/>
                <w:color w:val="000000"/>
              </w:rPr>
              <w:t>policymak</w:t>
            </w:r>
            <w:r w:rsidR="00CD4B01" w:rsidRPr="00CD4B01">
              <w:rPr>
                <w:rFonts w:eastAsia="Calibri" w:cs="Calibri"/>
                <w:color w:val="000000"/>
              </w:rPr>
              <w:t xml:space="preserve">ers. The Management Agent is expected to complete advocacy work with national governments, and so will be able to provide entry points to national government officials where necessary for the purposes of evaluating the programme. </w:t>
            </w:r>
            <w:r>
              <w:rPr>
                <w:rFonts w:eastAsia="Calibri" w:cs="Calibri"/>
                <w:color w:val="000000"/>
              </w:rPr>
              <w:t>DHSC</w:t>
            </w:r>
            <w:r w:rsidR="00CD4B01" w:rsidRPr="00CD4B01">
              <w:rPr>
                <w:rFonts w:eastAsia="Calibri" w:cs="Calibri"/>
                <w:color w:val="000000"/>
              </w:rPr>
              <w:t xml:space="preserve"> is managing the relationship with multilaterals such as WHO, FAO and OIE and therefore will be able to provide entry points and contacts within such organisations.</w:t>
            </w:r>
            <w:r w:rsidR="007458AC">
              <w:rPr>
                <w:rFonts w:eastAsia="Calibri" w:cs="Calibri"/>
                <w:color w:val="000000"/>
              </w:rPr>
              <w:t xml:space="preserve">  </w:t>
            </w:r>
          </w:p>
          <w:p w14:paraId="6B11E0E7"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p>
          <w:p w14:paraId="27EDE16D"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The Evaluation Supplier will be expected to provide workshops with grantees in order to support understanding of Monitoring and Evaluation and the theory of change (see Annex B for Theory of Change). </w:t>
            </w:r>
          </w:p>
          <w:p w14:paraId="6BEDE58A"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p>
        </w:tc>
      </w:tr>
      <w:tr w:rsidR="00CD4B01" w:rsidRPr="00CD4B01" w14:paraId="1B1945C4" w14:textId="77777777" w:rsidTr="00CD4B01">
        <w:tc>
          <w:tcPr>
            <w:cnfStyle w:val="001000000000" w:firstRow="0" w:lastRow="0" w:firstColumn="1" w:lastColumn="0" w:oddVBand="0" w:evenVBand="0" w:oddHBand="0" w:evenHBand="0" w:firstRowFirstColumn="0" w:firstRowLastColumn="0" w:lastRowFirstColumn="0" w:lastRowLastColumn="0"/>
            <w:tcW w:w="375" w:type="dxa"/>
            <w:hideMark/>
          </w:tcPr>
          <w:p w14:paraId="3173D305"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w:t>
            </w:r>
          </w:p>
          <w:p w14:paraId="437346E0"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4 </w:t>
            </w:r>
          </w:p>
        </w:tc>
        <w:tc>
          <w:tcPr>
            <w:tcW w:w="3165" w:type="dxa"/>
            <w:hideMark/>
          </w:tcPr>
          <w:p w14:paraId="3872D3F8"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u w:val="single"/>
              </w:rPr>
              <w:t>Formative report</w:t>
            </w:r>
            <w:r w:rsidRPr="00CD4B01">
              <w:rPr>
                <w:rFonts w:eastAsia="Calibri" w:cs="Calibri"/>
                <w:color w:val="000000"/>
              </w:rPr>
              <w:t> </w:t>
            </w:r>
          </w:p>
        </w:tc>
        <w:tc>
          <w:tcPr>
            <w:tcW w:w="5460" w:type="dxa"/>
            <w:hideMark/>
          </w:tcPr>
          <w:p w14:paraId="283AADB5"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p>
          <w:p w14:paraId="6E26BFB5"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The Independent Evaluation Supplier will be expected to complete and submit for approval a mid-point review of the programme, indicatively answering the evaluation questions agreed during the Inception Phase, and producing recommendations to guide the portfolio of country and regional grants in how their outputs can best achieve and contribute to the outcomes and impact of the Fleming Fund. The formative report will be a key opportunity for any course correction suggestions </w:t>
            </w:r>
          </w:p>
          <w:p w14:paraId="5F95837B"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p>
          <w:p w14:paraId="05E1E1ED"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It is expected that the evaluation implementation and reporting will comply with the OECD-DAC quality standards for development evaluation. </w:t>
            </w:r>
          </w:p>
          <w:p w14:paraId="45A4E537" w14:textId="4D2DA386"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Generally, the Evaluation Supplier should seek to</w:t>
            </w:r>
            <w:r w:rsidR="007458AC">
              <w:rPr>
                <w:rFonts w:eastAsia="Calibri" w:cs="Calibri"/>
                <w:color w:val="000000"/>
              </w:rPr>
              <w:t xml:space="preserve"> </w:t>
            </w:r>
          </w:p>
          <w:p w14:paraId="61FA3796" w14:textId="77777777" w:rsidR="00CD4B01" w:rsidRPr="00CD4B01" w:rsidRDefault="00CD4B01" w:rsidP="00C6374D">
            <w:pPr>
              <w:numPr>
                <w:ilvl w:val="0"/>
                <w:numId w:val="45"/>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Support grantees at appropriate points during the life of the Fund, supporting an adaptive approach to implementation that is able to continually improve the quality of the programme and help to achieve the stated outcomes of each project; </w:t>
            </w:r>
          </w:p>
          <w:p w14:paraId="57334FB4" w14:textId="6AE733C1" w:rsidR="00CD4B01" w:rsidRPr="00CD4B01" w:rsidRDefault="00CD4B01" w:rsidP="00C6374D">
            <w:pPr>
              <w:numPr>
                <w:ilvl w:val="0"/>
                <w:numId w:val="45"/>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If possible, analyse how effectively the application of the standard surveillance protocols is working across the portfolio of country and regional projects and contributing to the collection and sharing of global surveillance data through the WHO Global AMR Surveillance System (GLASS).</w:t>
            </w:r>
            <w:r w:rsidR="007458AC">
              <w:rPr>
                <w:rFonts w:eastAsia="Calibri" w:cs="Calibri"/>
                <w:color w:val="000000"/>
              </w:rPr>
              <w:t xml:space="preserve"> </w:t>
            </w:r>
            <w:r w:rsidRPr="00CD4B01">
              <w:rPr>
                <w:rFonts w:eastAsia="Calibri" w:cs="Calibri"/>
                <w:color w:val="000000"/>
              </w:rPr>
              <w:t> </w:t>
            </w:r>
          </w:p>
          <w:p w14:paraId="6685A0E7" w14:textId="42B9586B" w:rsidR="00CD4B01" w:rsidRPr="00CD4B01" w:rsidRDefault="00CD4B01" w:rsidP="00C6374D">
            <w:pPr>
              <w:numPr>
                <w:ilvl w:val="0"/>
                <w:numId w:val="45"/>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Evaluate how far the outputs of Fleming Fund portfolio of country and regional grants have contributed/are contributing to the outcomes and impact of the Fleming Fund Theory of Change.</w:t>
            </w:r>
            <w:r w:rsidR="007458AC">
              <w:rPr>
                <w:rFonts w:eastAsia="Calibri" w:cs="Calibri"/>
                <w:color w:val="000000"/>
              </w:rPr>
              <w:t xml:space="preserve"> </w:t>
            </w:r>
          </w:p>
          <w:p w14:paraId="0FB4C147" w14:textId="41CA2286"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 </w:t>
            </w:r>
            <w:r w:rsidRPr="00CD4B01">
              <w:rPr>
                <w:rFonts w:eastAsia="Calibri" w:cs="Calibri"/>
                <w:color w:val="000000"/>
                <w:u w:val="single"/>
              </w:rPr>
              <w:t>The formative aspect</w:t>
            </w:r>
            <w:r w:rsidRPr="00CD4B01">
              <w:rPr>
                <w:rFonts w:eastAsia="Calibri" w:cs="Calibri"/>
                <w:color w:val="000000"/>
              </w:rPr>
              <w:t xml:space="preserve"> of the evaluation will encourage the grantees to provide honest reflections on their achievements and challenges and be open to recommendations from the Evaluation Supplier that aim towards continual improvement for the portfolio of grants. It will also encourage grantees, as well as the Management Agent and </w:t>
            </w:r>
            <w:r w:rsidR="004B603A">
              <w:rPr>
                <w:rFonts w:eastAsia="Calibri" w:cs="Calibri"/>
                <w:color w:val="000000"/>
              </w:rPr>
              <w:t>DHSC</w:t>
            </w:r>
            <w:r w:rsidRPr="00CD4B01">
              <w:rPr>
                <w:rFonts w:eastAsia="Calibri" w:cs="Calibri"/>
                <w:color w:val="000000"/>
              </w:rPr>
              <w:t>, to see how each project fits with the overarching aim of the Fund and ensure the outcomes of each project are aligned and relevant to achieving the outcomes and impact of the Fleming Fund as a whole.</w:t>
            </w:r>
            <w:r w:rsidR="007458AC">
              <w:rPr>
                <w:rFonts w:eastAsia="Calibri" w:cs="Calibri"/>
                <w:color w:val="000000"/>
              </w:rPr>
              <w:t xml:space="preserve"> </w:t>
            </w:r>
          </w:p>
          <w:p w14:paraId="30E4213B" w14:textId="1F9F1426"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Formative recommendations would be made through the reporting mechanism built into the programme structure which will be finalised during the inception phase.</w:t>
            </w:r>
            <w:r w:rsidR="007458AC">
              <w:rPr>
                <w:rFonts w:eastAsia="Calibri" w:cs="Calibri"/>
                <w:color w:val="000000"/>
              </w:rPr>
              <w:t xml:space="preserve"> </w:t>
            </w:r>
          </w:p>
          <w:p w14:paraId="156F4AFF" w14:textId="6F0DB8F7" w:rsidR="00CD4B01" w:rsidRPr="00CD4B01" w:rsidRDefault="004B603A"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Pr>
                <w:rFonts w:eastAsia="Calibri" w:cs="Calibri"/>
                <w:color w:val="000000"/>
              </w:rPr>
              <w:t>DHSC</w:t>
            </w:r>
            <w:r w:rsidR="00CD4B01" w:rsidRPr="00CD4B01">
              <w:rPr>
                <w:rFonts w:eastAsia="Calibri" w:cs="Calibri"/>
                <w:color w:val="000000"/>
              </w:rPr>
              <w:t xml:space="preserve"> is keen to ensure that the evaluation results in learning for: </w:t>
            </w:r>
          </w:p>
          <w:p w14:paraId="699CDDDE" w14:textId="7F82DE93" w:rsidR="00CD4B01" w:rsidRPr="00CD4B01" w:rsidRDefault="004B603A" w:rsidP="00C6374D">
            <w:pPr>
              <w:numPr>
                <w:ilvl w:val="0"/>
                <w:numId w:val="46"/>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Pr>
                <w:rFonts w:eastAsia="Calibri" w:cs="Calibri"/>
                <w:color w:val="000000"/>
              </w:rPr>
              <w:t>DHSC</w:t>
            </w:r>
            <w:r w:rsidR="00CD4B01" w:rsidRPr="00CD4B01">
              <w:rPr>
                <w:rFonts w:eastAsia="Calibri" w:cs="Calibri"/>
                <w:color w:val="000000"/>
              </w:rPr>
              <w:t>; </w:t>
            </w:r>
          </w:p>
          <w:p w14:paraId="41F8878F" w14:textId="77777777" w:rsidR="00CD4B01" w:rsidRPr="00CD4B01" w:rsidRDefault="00CD4B01" w:rsidP="00C6374D">
            <w:pPr>
              <w:numPr>
                <w:ilvl w:val="0"/>
                <w:numId w:val="46"/>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Country and regional grantees during the life of the Fleming Fund; </w:t>
            </w:r>
          </w:p>
          <w:p w14:paraId="767540BA" w14:textId="77777777" w:rsidR="00CD4B01" w:rsidRPr="00CD4B01" w:rsidRDefault="00CD4B01" w:rsidP="00C6374D">
            <w:pPr>
              <w:numPr>
                <w:ilvl w:val="0"/>
                <w:numId w:val="46"/>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Ministries of Health, Agriculture and Finance in Fleming Fund investment countries; </w:t>
            </w:r>
          </w:p>
          <w:p w14:paraId="0B41203A" w14:textId="77777777" w:rsidR="00CD4B01" w:rsidRPr="00CD4B01" w:rsidRDefault="00CD4B01" w:rsidP="00C6374D">
            <w:pPr>
              <w:numPr>
                <w:ilvl w:val="0"/>
                <w:numId w:val="46"/>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AMR policy community more broadly, including Ministries of Health, Agriculture and Finance in countries broader than the Fleming Fund investment countries; </w:t>
            </w:r>
          </w:p>
          <w:p w14:paraId="5C7DFFE6" w14:textId="77777777" w:rsidR="00CD4B01" w:rsidRPr="00CD4B01" w:rsidRDefault="00CD4B01" w:rsidP="00C6374D">
            <w:pPr>
              <w:numPr>
                <w:ilvl w:val="0"/>
                <w:numId w:val="46"/>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AMR scientific community; </w:t>
            </w:r>
          </w:p>
          <w:p w14:paraId="6987D593" w14:textId="0340B78A" w:rsidR="00CD4B01" w:rsidRPr="00AB52E3" w:rsidRDefault="00CD4B01" w:rsidP="00AB52E3">
            <w:pPr>
              <w:numPr>
                <w:ilvl w:val="0"/>
                <w:numId w:val="46"/>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Multilateral organisations, such as the World Health Organization (WHO), Food and Agriculture Organisation (FAO) and the World Organisation for Animal Health (OIE) and their respective member states.</w:t>
            </w:r>
            <w:r w:rsidR="007458AC">
              <w:rPr>
                <w:rFonts w:eastAsia="Calibri" w:cs="Calibri"/>
                <w:color w:val="000000"/>
              </w:rPr>
              <w:t xml:space="preserve"> </w:t>
            </w:r>
            <w:r w:rsidRPr="00CD4B01">
              <w:rPr>
                <w:rFonts w:eastAsia="Calibri" w:cs="Calibri"/>
                <w:color w:val="000000"/>
              </w:rPr>
              <w:t> </w:t>
            </w:r>
          </w:p>
        </w:tc>
      </w:tr>
      <w:tr w:rsidR="00CD4B01" w:rsidRPr="00CD4B01" w14:paraId="6A0300D6" w14:textId="77777777" w:rsidTr="00CD4B01">
        <w:tc>
          <w:tcPr>
            <w:cnfStyle w:val="001000000000" w:firstRow="0" w:lastRow="0" w:firstColumn="1" w:lastColumn="0" w:oddVBand="0" w:evenVBand="0" w:oddHBand="0" w:evenHBand="0" w:firstRowFirstColumn="0" w:firstRowLastColumn="0" w:lastRowFirstColumn="0" w:lastRowLastColumn="0"/>
            <w:tcW w:w="375" w:type="dxa"/>
            <w:hideMark/>
          </w:tcPr>
          <w:p w14:paraId="3396301E"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w:t>
            </w:r>
          </w:p>
          <w:p w14:paraId="23C0C66B"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5 </w:t>
            </w:r>
          </w:p>
        </w:tc>
        <w:tc>
          <w:tcPr>
            <w:tcW w:w="3165" w:type="dxa"/>
            <w:hideMark/>
          </w:tcPr>
          <w:p w14:paraId="3588B058"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u w:val="single"/>
              </w:rPr>
              <w:t>Summative final report</w:t>
            </w:r>
            <w:r w:rsidRPr="00CD4B01">
              <w:rPr>
                <w:rFonts w:eastAsia="Calibri" w:cs="Calibri"/>
                <w:color w:val="000000"/>
              </w:rPr>
              <w:t> </w:t>
            </w:r>
          </w:p>
        </w:tc>
        <w:tc>
          <w:tcPr>
            <w:tcW w:w="5460" w:type="dxa"/>
            <w:hideMark/>
          </w:tcPr>
          <w:p w14:paraId="0F4E1902"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The Evaluation Supplier is expected to complete and submit for approval an evaluation report at the agreed time within the Implementation Plan, answering the evaluation questions agreed during the Inception Phase and evaluating how far the outputs of the portfolio of country and regional grants have contributed, or will contribute, to the outcomes and impact of the overarching Fleming Fund. </w:t>
            </w:r>
          </w:p>
          <w:p w14:paraId="33547DE1"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It is expected that the evaluation implementation and reporting will comply with the OECD-DAC quality standards for development evaluation. </w:t>
            </w:r>
          </w:p>
          <w:p w14:paraId="534D074B"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u w:val="single"/>
              </w:rPr>
              <w:t>The summative aspect</w:t>
            </w:r>
            <w:r w:rsidRPr="00CD4B01">
              <w:rPr>
                <w:rFonts w:eastAsia="Calibri" w:cs="Calibri"/>
                <w:color w:val="000000"/>
              </w:rPr>
              <w:t xml:space="preserve"> of the evaluation will, at a minimum, </w:t>
            </w:r>
          </w:p>
          <w:p w14:paraId="4D1DA78E" w14:textId="77777777" w:rsidR="00CD4B01" w:rsidRPr="00CD4B01" w:rsidRDefault="00CD4B01" w:rsidP="00C6374D">
            <w:pPr>
              <w:numPr>
                <w:ilvl w:val="0"/>
                <w:numId w:val="47"/>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Answer the agreed evaluation questions and sub-questions identified during the inception phase </w:t>
            </w:r>
          </w:p>
          <w:p w14:paraId="05B1CE3A" w14:textId="1633055C" w:rsidR="00CD4B01" w:rsidRPr="00CD4B01" w:rsidRDefault="00CD4B01" w:rsidP="00C6374D">
            <w:pPr>
              <w:numPr>
                <w:ilvl w:val="0"/>
                <w:numId w:val="47"/>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Discuss how far portfolio outputs contributed to the desired outcomes and impact of the Fleming Fund. It is understood that this analysis would be indicative, due to the amount of external variables which will impact the level of mortality and morbidity due to AMR.</w:t>
            </w:r>
            <w:r w:rsidR="007458AC">
              <w:rPr>
                <w:rFonts w:eastAsia="Calibri" w:cs="Calibri"/>
                <w:color w:val="000000"/>
              </w:rPr>
              <w:t xml:space="preserve"> </w:t>
            </w:r>
          </w:p>
          <w:p w14:paraId="1141402B" w14:textId="3E615F95" w:rsidR="00CD4B01" w:rsidRPr="00CD4B01" w:rsidRDefault="00CD4B01" w:rsidP="00C6374D">
            <w:pPr>
              <w:numPr>
                <w:ilvl w:val="0"/>
                <w:numId w:val="47"/>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Analyse how effectively the application of the standard surveillance protocols have worked across the projects and contributed to the collection and sharing of global surveillance data through the WHO Global AMR Surveillance System (GLASS).</w:t>
            </w:r>
            <w:r w:rsidR="007458AC">
              <w:rPr>
                <w:rFonts w:eastAsia="Calibri" w:cs="Calibri"/>
                <w:color w:val="000000"/>
              </w:rPr>
              <w:t xml:space="preserve"> </w:t>
            </w:r>
            <w:r w:rsidRPr="00CD4B01">
              <w:rPr>
                <w:rFonts w:eastAsia="Calibri" w:cs="Calibri"/>
                <w:color w:val="000000"/>
              </w:rPr>
              <w:t> </w:t>
            </w:r>
          </w:p>
          <w:p w14:paraId="4359E698" w14:textId="7508DBF8" w:rsidR="00CD4B01" w:rsidRPr="00AB52E3" w:rsidRDefault="00CD4B01" w:rsidP="00AB52E3">
            <w:pPr>
              <w:numPr>
                <w:ilvl w:val="0"/>
                <w:numId w:val="47"/>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Identify which funded approaches/projects have been the most effective in delivering the desired outcomes and impact. </w:t>
            </w:r>
            <w:r w:rsidRPr="00AB52E3">
              <w:rPr>
                <w:rFonts w:eastAsia="Calibri" w:cs="Calibri"/>
                <w:color w:val="000000"/>
              </w:rPr>
              <w:t> </w:t>
            </w:r>
          </w:p>
          <w:p w14:paraId="6AF03F8A" w14:textId="04FE828C" w:rsidR="00CD4B01" w:rsidRPr="00CD4B01" w:rsidRDefault="004B603A"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Pr>
                <w:rFonts w:eastAsia="Calibri" w:cs="Calibri"/>
                <w:color w:val="000000"/>
              </w:rPr>
              <w:t>DHSC</w:t>
            </w:r>
            <w:r w:rsidR="00CD4B01" w:rsidRPr="00CD4B01">
              <w:rPr>
                <w:rFonts w:eastAsia="Calibri" w:cs="Calibri"/>
                <w:color w:val="000000"/>
              </w:rPr>
              <w:t xml:space="preserve"> is keen to ensure that the evaluation results in learning for: </w:t>
            </w:r>
          </w:p>
          <w:p w14:paraId="1DC287AC" w14:textId="4406B34A" w:rsidR="00CD4B01" w:rsidRPr="00CD4B01" w:rsidRDefault="004B603A" w:rsidP="00C6374D">
            <w:pPr>
              <w:numPr>
                <w:ilvl w:val="0"/>
                <w:numId w:val="48"/>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Pr>
                <w:rFonts w:eastAsia="Calibri" w:cs="Calibri"/>
                <w:color w:val="000000"/>
              </w:rPr>
              <w:t>DHSC</w:t>
            </w:r>
            <w:r w:rsidR="00CD4B01" w:rsidRPr="00CD4B01">
              <w:rPr>
                <w:rFonts w:eastAsia="Calibri" w:cs="Calibri"/>
                <w:color w:val="000000"/>
              </w:rPr>
              <w:t>; </w:t>
            </w:r>
          </w:p>
          <w:p w14:paraId="4ADB92BF" w14:textId="77777777" w:rsidR="00CD4B01" w:rsidRPr="00CD4B01" w:rsidRDefault="00CD4B01" w:rsidP="00C6374D">
            <w:pPr>
              <w:numPr>
                <w:ilvl w:val="0"/>
                <w:numId w:val="48"/>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Country and regional grantees during the life of the Fleming Fund; </w:t>
            </w:r>
          </w:p>
          <w:p w14:paraId="64998B3E" w14:textId="77777777" w:rsidR="00CD4B01" w:rsidRPr="00CD4B01" w:rsidRDefault="00CD4B01" w:rsidP="00C6374D">
            <w:pPr>
              <w:numPr>
                <w:ilvl w:val="0"/>
                <w:numId w:val="48"/>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Ministries of Health, Agriculture and Finance in Fleming Fund investment countries; </w:t>
            </w:r>
          </w:p>
          <w:p w14:paraId="717FABE7" w14:textId="77777777" w:rsidR="00CD4B01" w:rsidRPr="00CD4B01" w:rsidRDefault="00CD4B01" w:rsidP="00C6374D">
            <w:pPr>
              <w:numPr>
                <w:ilvl w:val="0"/>
                <w:numId w:val="48"/>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AMR policy community more broadly, including Ministries of Health, Agriculture and Finance in countries broader than the Fleming Fund investment countries; </w:t>
            </w:r>
          </w:p>
          <w:p w14:paraId="49F2A9B7" w14:textId="77777777" w:rsidR="00CD4B01" w:rsidRPr="00CD4B01" w:rsidRDefault="00CD4B01" w:rsidP="00C6374D">
            <w:pPr>
              <w:numPr>
                <w:ilvl w:val="0"/>
                <w:numId w:val="48"/>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AMR scientific community; </w:t>
            </w:r>
          </w:p>
          <w:p w14:paraId="3EEECB88" w14:textId="232521CF" w:rsidR="00CD4B01" w:rsidRPr="00AB52E3" w:rsidRDefault="00CD4B01" w:rsidP="00AB52E3">
            <w:pPr>
              <w:numPr>
                <w:ilvl w:val="0"/>
                <w:numId w:val="48"/>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Multilateral organisations, such as the World Health Organization (WHO), Food and Agriculture Organisation (FAO) and the World Organisation for Animal Health (OIE) and their respective member states.</w:t>
            </w:r>
            <w:r w:rsidR="007458AC">
              <w:rPr>
                <w:rFonts w:eastAsia="Calibri" w:cs="Calibri"/>
                <w:color w:val="000000"/>
              </w:rPr>
              <w:t xml:space="preserve"> </w:t>
            </w:r>
            <w:r w:rsidRPr="00CD4B01">
              <w:rPr>
                <w:rFonts w:eastAsia="Calibri" w:cs="Calibri"/>
                <w:color w:val="000000"/>
              </w:rPr>
              <w:t> </w:t>
            </w:r>
          </w:p>
        </w:tc>
      </w:tr>
      <w:tr w:rsidR="00CD4B01" w:rsidRPr="00CD4B01" w14:paraId="1930EB74" w14:textId="77777777" w:rsidTr="00CD4B01">
        <w:tc>
          <w:tcPr>
            <w:cnfStyle w:val="001000000000" w:firstRow="0" w:lastRow="0" w:firstColumn="1" w:lastColumn="0" w:oddVBand="0" w:evenVBand="0" w:oddHBand="0" w:evenHBand="0" w:firstRowFirstColumn="0" w:firstRowLastColumn="0" w:lastRowFirstColumn="0" w:lastRowLastColumn="0"/>
            <w:tcW w:w="375" w:type="dxa"/>
            <w:hideMark/>
          </w:tcPr>
          <w:p w14:paraId="1044092E"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w:t>
            </w:r>
          </w:p>
          <w:p w14:paraId="1D20F1B8"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6 </w:t>
            </w:r>
          </w:p>
        </w:tc>
        <w:tc>
          <w:tcPr>
            <w:tcW w:w="3165" w:type="dxa"/>
            <w:hideMark/>
          </w:tcPr>
          <w:p w14:paraId="13E5E8AD"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u w:val="single"/>
              </w:rPr>
              <w:t>Evidence briefs of key thematic lessons.</w:t>
            </w:r>
            <w:r w:rsidRPr="00CD4B01">
              <w:rPr>
                <w:rFonts w:eastAsia="Calibri" w:cs="Calibri"/>
                <w:color w:val="000000"/>
              </w:rPr>
              <w:t> </w:t>
            </w:r>
          </w:p>
        </w:tc>
        <w:tc>
          <w:tcPr>
            <w:tcW w:w="5460" w:type="dxa"/>
            <w:hideMark/>
          </w:tcPr>
          <w:p w14:paraId="761BFD9A" w14:textId="77777777" w:rsidR="00CD4B01" w:rsidRPr="00CD4B01" w:rsidRDefault="00CD4B01"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An evidence brief is designed to provide an overview of the key evidence included in a systematic review/evaluation, to assist policy-makers and researchers in assessing the evidence in the field being researched. It summarises key findings, and provides links and references to the included studies. </w:t>
            </w:r>
          </w:p>
          <w:p w14:paraId="2ADCE519" w14:textId="666EC233" w:rsidR="00CD4B01" w:rsidRPr="00CD4B01" w:rsidRDefault="004B603A" w:rsidP="00CD4B01">
            <w:pPr>
              <w:spacing w:before="120" w:after="120" w:line="276" w:lineRule="auto"/>
              <w:ind w:left="426"/>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Pr>
                <w:rFonts w:eastAsia="Calibri" w:cs="Calibri"/>
                <w:color w:val="000000"/>
              </w:rPr>
              <w:t>DHSC</w:t>
            </w:r>
            <w:r w:rsidR="00CD4B01" w:rsidRPr="00CD4B01">
              <w:rPr>
                <w:rFonts w:eastAsia="Calibri" w:cs="Calibri"/>
                <w:color w:val="000000"/>
              </w:rPr>
              <w:t xml:space="preserve"> is keen to ensure that the evaluation results in learning for: </w:t>
            </w:r>
          </w:p>
          <w:p w14:paraId="774DB623" w14:textId="6F64FDCE" w:rsidR="00CD4B01" w:rsidRPr="00CD4B01" w:rsidRDefault="004B603A" w:rsidP="00C6374D">
            <w:pPr>
              <w:numPr>
                <w:ilvl w:val="0"/>
                <w:numId w:val="49"/>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Pr>
                <w:rFonts w:eastAsia="Calibri" w:cs="Calibri"/>
                <w:color w:val="000000"/>
              </w:rPr>
              <w:t>DHSC</w:t>
            </w:r>
            <w:r w:rsidR="00CD4B01" w:rsidRPr="00CD4B01">
              <w:rPr>
                <w:rFonts w:eastAsia="Calibri" w:cs="Calibri"/>
                <w:color w:val="000000"/>
              </w:rPr>
              <w:t>; </w:t>
            </w:r>
          </w:p>
          <w:p w14:paraId="7B51568C" w14:textId="77777777" w:rsidR="00CD4B01" w:rsidRPr="00CD4B01" w:rsidRDefault="00CD4B01" w:rsidP="00C6374D">
            <w:pPr>
              <w:numPr>
                <w:ilvl w:val="0"/>
                <w:numId w:val="49"/>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Country and regional grantees during the life of the Fleming Fund; </w:t>
            </w:r>
          </w:p>
          <w:p w14:paraId="7A72202F" w14:textId="77777777" w:rsidR="00CD4B01" w:rsidRPr="00CD4B01" w:rsidRDefault="00CD4B01" w:rsidP="00C6374D">
            <w:pPr>
              <w:numPr>
                <w:ilvl w:val="0"/>
                <w:numId w:val="49"/>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Ministries of Health, Agriculture and Finance in Fleming Fund investment countries; </w:t>
            </w:r>
          </w:p>
          <w:p w14:paraId="07499780" w14:textId="77777777" w:rsidR="00CD4B01" w:rsidRPr="00CD4B01" w:rsidRDefault="00CD4B01" w:rsidP="00C6374D">
            <w:pPr>
              <w:numPr>
                <w:ilvl w:val="0"/>
                <w:numId w:val="49"/>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AMR policy community more broadly, including Ministries of Health, Agriculture and Finance in countries broader than the Fleming Fund investment countries; </w:t>
            </w:r>
          </w:p>
          <w:p w14:paraId="2D45B6AF" w14:textId="77777777" w:rsidR="00CD4B01" w:rsidRPr="00CD4B01" w:rsidRDefault="00CD4B01" w:rsidP="00C6374D">
            <w:pPr>
              <w:numPr>
                <w:ilvl w:val="0"/>
                <w:numId w:val="49"/>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AMR scientific community; </w:t>
            </w:r>
          </w:p>
          <w:p w14:paraId="0F85C05A" w14:textId="4D6CEE96" w:rsidR="00CD4B01" w:rsidRPr="00AB52E3" w:rsidRDefault="00CD4B01" w:rsidP="00AB52E3">
            <w:pPr>
              <w:numPr>
                <w:ilvl w:val="0"/>
                <w:numId w:val="49"/>
              </w:numPr>
              <w:spacing w:before="120" w:after="120" w:line="276" w:lineRule="auto"/>
              <w:jc w:val="both"/>
              <w:cnfStyle w:val="000000000000" w:firstRow="0" w:lastRow="0" w:firstColumn="0" w:lastColumn="0" w:oddVBand="0" w:evenVBand="0" w:oddHBand="0" w:evenHBand="0" w:firstRowFirstColumn="0" w:firstRowLastColumn="0" w:lastRowFirstColumn="0" w:lastRowLastColumn="0"/>
              <w:rPr>
                <w:rFonts w:eastAsia="Calibri" w:cs="Calibri"/>
                <w:color w:val="000000"/>
              </w:rPr>
            </w:pPr>
            <w:r w:rsidRPr="00CD4B01">
              <w:rPr>
                <w:rFonts w:eastAsia="Calibri" w:cs="Calibri"/>
                <w:color w:val="000000"/>
              </w:rPr>
              <w:t>Multilateral organisations, such as the World Health Organization (WHO), Food and Agriculture Organisation (FAO) and the World Organisation for Animal Health (OIE) and their respective member states.</w:t>
            </w:r>
            <w:r w:rsidR="007458AC">
              <w:rPr>
                <w:rFonts w:eastAsia="Calibri" w:cs="Calibri"/>
                <w:color w:val="000000"/>
              </w:rPr>
              <w:t xml:space="preserve"> </w:t>
            </w:r>
            <w:r w:rsidRPr="00CD4B01">
              <w:rPr>
                <w:rFonts w:eastAsia="Calibri" w:cs="Calibri"/>
                <w:color w:val="000000"/>
              </w:rPr>
              <w:t> </w:t>
            </w:r>
          </w:p>
        </w:tc>
      </w:tr>
    </w:tbl>
    <w:p w14:paraId="04C581CF"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w:t>
      </w:r>
    </w:p>
    <w:p w14:paraId="5FA2677B" w14:textId="77777777" w:rsidR="00AB52E3" w:rsidRDefault="00AB52E3">
      <w:pPr>
        <w:rPr>
          <w:rFonts w:eastAsia="Calibri" w:cs="Calibri"/>
          <w:b/>
          <w:bCs/>
          <w:color w:val="000000"/>
          <w:u w:val="single"/>
        </w:rPr>
      </w:pPr>
      <w:r>
        <w:rPr>
          <w:rFonts w:eastAsia="Calibri" w:cs="Calibri"/>
          <w:b/>
          <w:bCs/>
          <w:color w:val="000000"/>
          <w:u w:val="single"/>
        </w:rPr>
        <w:br w:type="page"/>
      </w:r>
    </w:p>
    <w:p w14:paraId="28118C50" w14:textId="34D4B7F8"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u w:val="single"/>
        </w:rPr>
        <w:t>Available Data</w:t>
      </w:r>
      <w:r w:rsidRPr="00CD4B01">
        <w:rPr>
          <w:rFonts w:eastAsia="Calibri" w:cs="Calibri"/>
          <w:color w:val="000000"/>
        </w:rPr>
        <w:t> </w:t>
      </w:r>
    </w:p>
    <w:p w14:paraId="44408FAF" w14:textId="77777777" w:rsidR="00CD4B01" w:rsidRPr="00C8136F" w:rsidRDefault="00CD4B01" w:rsidP="00C6374D">
      <w:pPr>
        <w:pStyle w:val="ListParagraph"/>
        <w:numPr>
          <w:ilvl w:val="1"/>
          <w:numId w:val="34"/>
        </w:numPr>
        <w:spacing w:before="120" w:after="120"/>
        <w:ind w:left="284" w:hanging="426"/>
        <w:jc w:val="both"/>
      </w:pPr>
      <w:r w:rsidRPr="00C8136F">
        <w:t>It is anticipated that the Evaluation Supplier would join the project during inception phase and would help to shape the data collected by the programme in order to best answer the proposed evaluation questions. Below are the resources available to the selected Bidder: </w:t>
      </w:r>
    </w:p>
    <w:p w14:paraId="7BD5165F" w14:textId="43A7EAC4" w:rsidR="00CD4B01" w:rsidRPr="00C8136F" w:rsidRDefault="00CD4B01" w:rsidP="00C6374D">
      <w:pPr>
        <w:pStyle w:val="ItadNormalTextWhite"/>
        <w:numPr>
          <w:ilvl w:val="0"/>
          <w:numId w:val="54"/>
        </w:numPr>
        <w:rPr>
          <w:color w:val="auto"/>
        </w:rPr>
      </w:pPr>
      <w:r w:rsidRPr="00C8136F">
        <w:rPr>
          <w:color w:val="auto"/>
        </w:rPr>
        <w:t xml:space="preserve">Scoping reports commissioned by </w:t>
      </w:r>
      <w:r w:rsidR="004B603A">
        <w:rPr>
          <w:color w:val="auto"/>
        </w:rPr>
        <w:t>DHSC</w:t>
      </w:r>
      <w:r w:rsidRPr="00C8136F">
        <w:rPr>
          <w:color w:val="auto"/>
        </w:rPr>
        <w:t xml:space="preserve"> to the Wellcome Trust on: an analysis of approaches to laboratory capacity strengthening; networks and education resources supporting drug resistant infection surveillance; and an analysis of the human/animal interface with a focus on LMICs; </w:t>
      </w:r>
    </w:p>
    <w:p w14:paraId="38C826A2" w14:textId="77777777" w:rsidR="00CD4B01" w:rsidRPr="00C8136F" w:rsidRDefault="00CD4B01" w:rsidP="00C6374D">
      <w:pPr>
        <w:pStyle w:val="ItadNormalTextWhite"/>
        <w:numPr>
          <w:ilvl w:val="0"/>
          <w:numId w:val="54"/>
        </w:numPr>
        <w:rPr>
          <w:color w:val="auto"/>
        </w:rPr>
      </w:pPr>
      <w:r w:rsidRPr="00C8136F">
        <w:rPr>
          <w:color w:val="auto"/>
        </w:rPr>
        <w:t>Individual project start up forms (showing project outcomes and indicators, many of which involve a specific outcome on learning and collaboration); </w:t>
      </w:r>
    </w:p>
    <w:p w14:paraId="717EF2E2" w14:textId="77777777" w:rsidR="00CD4B01" w:rsidRPr="00C8136F" w:rsidRDefault="00CD4B01" w:rsidP="00C6374D">
      <w:pPr>
        <w:pStyle w:val="ItadNormalTextWhite"/>
        <w:numPr>
          <w:ilvl w:val="0"/>
          <w:numId w:val="54"/>
        </w:numPr>
        <w:rPr>
          <w:color w:val="auto"/>
        </w:rPr>
      </w:pPr>
      <w:r w:rsidRPr="00C8136F">
        <w:rPr>
          <w:color w:val="auto"/>
        </w:rPr>
        <w:t>Project baseline information; </w:t>
      </w:r>
    </w:p>
    <w:p w14:paraId="2E38C6BB" w14:textId="19DB60F3" w:rsidR="00CD4B01" w:rsidRPr="00C8136F" w:rsidRDefault="00CD4B01" w:rsidP="00C6374D">
      <w:pPr>
        <w:pStyle w:val="ItadNormalTextWhite"/>
        <w:numPr>
          <w:ilvl w:val="0"/>
          <w:numId w:val="54"/>
        </w:numPr>
        <w:rPr>
          <w:color w:val="auto"/>
        </w:rPr>
      </w:pPr>
      <w:r w:rsidRPr="00C8136F">
        <w:rPr>
          <w:color w:val="auto"/>
        </w:rPr>
        <w:t>The bidding institutions supporting documents, such as operational reports;</w:t>
      </w:r>
      <w:r w:rsidR="007458AC">
        <w:rPr>
          <w:color w:val="auto"/>
        </w:rPr>
        <w:t xml:space="preserve"> </w:t>
      </w:r>
    </w:p>
    <w:p w14:paraId="532CCCDF" w14:textId="77777777" w:rsidR="00CD4B01" w:rsidRPr="00C8136F" w:rsidRDefault="00CD4B01" w:rsidP="00C6374D">
      <w:pPr>
        <w:pStyle w:val="ItadNormalTextWhite"/>
        <w:numPr>
          <w:ilvl w:val="0"/>
          <w:numId w:val="54"/>
        </w:numPr>
        <w:rPr>
          <w:color w:val="auto"/>
        </w:rPr>
      </w:pPr>
      <w:r w:rsidRPr="00C8136F">
        <w:rPr>
          <w:color w:val="auto"/>
        </w:rPr>
        <w:t>Any existing quantitative and qualitative data already being collected by projects’ own monitoring and evaluation systems (although it is important, as with the general approach taken throughout the evaluation, that this is approached in a manner that is sensitive to grantees’ capacities and avoids overburdening grantees). The quality of the data available is likely to be variable. </w:t>
      </w:r>
    </w:p>
    <w:p w14:paraId="78BC7826"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w:t>
      </w:r>
    </w:p>
    <w:p w14:paraId="715A54A5" w14:textId="1022FC8F" w:rsidR="00CD4B01" w:rsidRPr="00CD4B01" w:rsidRDefault="00CD4B01" w:rsidP="00C6374D">
      <w:pPr>
        <w:pStyle w:val="ListParagraph"/>
        <w:numPr>
          <w:ilvl w:val="1"/>
          <w:numId w:val="34"/>
        </w:numPr>
        <w:spacing w:before="120" w:after="120"/>
        <w:ind w:left="284" w:hanging="426"/>
        <w:jc w:val="both"/>
        <w:rPr>
          <w:rFonts w:eastAsia="Calibri" w:cs="Calibri"/>
          <w:color w:val="000000"/>
        </w:rPr>
      </w:pPr>
      <w:r w:rsidRPr="00CD4B01">
        <w:rPr>
          <w:rFonts w:eastAsia="Calibri" w:cs="Calibri"/>
          <w:color w:val="000000"/>
        </w:rPr>
        <w:t>Also available to the Evaluation Supplier throughout the programme will be:</w:t>
      </w:r>
      <w:r w:rsidR="007458AC">
        <w:rPr>
          <w:rFonts w:eastAsia="Calibri" w:cs="Calibri"/>
          <w:color w:val="000000"/>
        </w:rPr>
        <w:t xml:space="preserve"> </w:t>
      </w:r>
    </w:p>
    <w:p w14:paraId="316E2E1C" w14:textId="75681F38" w:rsidR="00CD4B01" w:rsidRPr="00CD4B01" w:rsidRDefault="00CD4B01" w:rsidP="00C6374D">
      <w:pPr>
        <w:numPr>
          <w:ilvl w:val="0"/>
          <w:numId w:val="50"/>
        </w:numPr>
        <w:spacing w:before="120" w:after="120" w:line="276" w:lineRule="auto"/>
        <w:jc w:val="both"/>
      </w:pPr>
      <w:r w:rsidRPr="00CD4B01">
        <w:t>Annual project reports submitted by grantees to Management Agent (including progress against each project outcome indicators</w:t>
      </w:r>
      <w:r w:rsidR="002C3D28" w:rsidRPr="00CD4B01">
        <w:t>).</w:t>
      </w:r>
      <w:r w:rsidRPr="00CD4B01">
        <w:t> </w:t>
      </w:r>
    </w:p>
    <w:p w14:paraId="6AEBBEDD" w14:textId="293FA8DB" w:rsidR="00CD4B01" w:rsidRPr="00CD4B01" w:rsidRDefault="00CD4B01" w:rsidP="00C6374D">
      <w:pPr>
        <w:numPr>
          <w:ilvl w:val="0"/>
          <w:numId w:val="50"/>
        </w:numPr>
        <w:spacing w:before="120" w:after="120" w:line="276" w:lineRule="auto"/>
        <w:jc w:val="both"/>
      </w:pPr>
      <w:r w:rsidRPr="00CD4B01">
        <w:t xml:space="preserve">Annual reports from the Management Agent to </w:t>
      </w:r>
      <w:r w:rsidR="004B603A">
        <w:t>DHSC</w:t>
      </w:r>
      <w:r w:rsidRPr="00CD4B01">
        <w:t>.</w:t>
      </w:r>
      <w:r w:rsidR="007458AC">
        <w:t xml:space="preserve"> </w:t>
      </w:r>
      <w:r w:rsidRPr="00CD4B01">
        <w:t> </w:t>
      </w:r>
    </w:p>
    <w:p w14:paraId="0EDBB8D3" w14:textId="7468B0F9"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w:t>
      </w:r>
      <w:r w:rsidRPr="00CD4B01">
        <w:rPr>
          <w:rFonts w:eastAsia="Calibri" w:cs="Calibri"/>
          <w:b/>
          <w:bCs/>
          <w:color w:val="000000"/>
          <w:u w:val="single"/>
        </w:rPr>
        <w:t>Quality Standards</w:t>
      </w:r>
      <w:r w:rsidRPr="00CD4B01">
        <w:rPr>
          <w:rFonts w:eastAsia="Calibri" w:cs="Calibri"/>
          <w:color w:val="000000"/>
        </w:rPr>
        <w:t> </w:t>
      </w:r>
    </w:p>
    <w:p w14:paraId="1E4E3538" w14:textId="0A3DA829" w:rsidR="00CD4B01" w:rsidRPr="00CD4B01" w:rsidRDefault="00CD4B01" w:rsidP="00C6374D">
      <w:pPr>
        <w:pStyle w:val="ListParagraph"/>
        <w:numPr>
          <w:ilvl w:val="1"/>
          <w:numId w:val="34"/>
        </w:numPr>
        <w:spacing w:before="120" w:after="120"/>
        <w:ind w:left="284" w:hanging="426"/>
        <w:jc w:val="both"/>
        <w:rPr>
          <w:rFonts w:eastAsia="Calibri" w:cs="Calibri"/>
          <w:color w:val="000000"/>
        </w:rPr>
      </w:pPr>
      <w:r w:rsidRPr="00CD4B01">
        <w:rPr>
          <w:rFonts w:eastAsia="Calibri" w:cs="Calibri"/>
          <w:color w:val="000000"/>
        </w:rPr>
        <w:t>It is expected that the evaluation implementation and reporting will comply with the OECD-DAC quality standards for development evaluation.</w:t>
      </w:r>
      <w:r w:rsidRPr="00CD4B01">
        <w:rPr>
          <w:rFonts w:eastAsia="Calibri" w:cs="Calibri"/>
          <w:color w:val="000000"/>
          <w:vertAlign w:val="superscript"/>
        </w:rPr>
        <w:t>10</w:t>
      </w:r>
      <w:r w:rsidR="007458AC">
        <w:rPr>
          <w:rFonts w:eastAsia="Calibri" w:cs="Calibri"/>
          <w:color w:val="000000"/>
        </w:rPr>
        <w:t xml:space="preserve"> </w:t>
      </w:r>
    </w:p>
    <w:p w14:paraId="395C7285" w14:textId="77777777" w:rsidR="00CD4B01" w:rsidRPr="00CD4B01" w:rsidRDefault="00CD4B01" w:rsidP="00C6374D">
      <w:pPr>
        <w:pStyle w:val="ListParagraph"/>
        <w:numPr>
          <w:ilvl w:val="1"/>
          <w:numId w:val="34"/>
        </w:numPr>
        <w:spacing w:before="120" w:after="120"/>
        <w:ind w:left="284" w:hanging="426"/>
        <w:jc w:val="both"/>
        <w:rPr>
          <w:rFonts w:eastAsia="Calibri" w:cs="Calibri"/>
          <w:color w:val="000000"/>
        </w:rPr>
      </w:pPr>
      <w:r w:rsidRPr="00CD4B01">
        <w:rPr>
          <w:rFonts w:eastAsia="Calibri" w:cs="Calibri"/>
          <w:color w:val="000000"/>
        </w:rPr>
        <w:t>Bidders are expected to outline an appropriate quality assurance process for the evaluation implementation and outputs, and the ethical guidelines they will follow in carrying out the evaluation in their response. </w:t>
      </w:r>
    </w:p>
    <w:p w14:paraId="2AA2359B" w14:textId="111035E5" w:rsidR="00CD4B01" w:rsidRPr="00CD4B01" w:rsidRDefault="00CD4B01" w:rsidP="00C6374D">
      <w:pPr>
        <w:pStyle w:val="ListParagraph"/>
        <w:numPr>
          <w:ilvl w:val="1"/>
          <w:numId w:val="34"/>
        </w:numPr>
        <w:spacing w:before="120" w:after="120"/>
        <w:ind w:left="284" w:hanging="426"/>
        <w:jc w:val="both"/>
        <w:rPr>
          <w:rFonts w:eastAsia="Calibri" w:cs="Calibri"/>
          <w:color w:val="000000"/>
        </w:rPr>
      </w:pPr>
      <w:r w:rsidRPr="00CD4B01">
        <w:rPr>
          <w:rFonts w:eastAsia="Calibri" w:cs="Calibri"/>
          <w:color w:val="000000"/>
        </w:rPr>
        <w:t xml:space="preserve">The evaluation products produced by the Evaluation Supplier will also be submitted to </w:t>
      </w:r>
      <w:r w:rsidR="004B603A">
        <w:rPr>
          <w:rFonts w:eastAsia="Calibri" w:cs="Calibri"/>
          <w:color w:val="000000"/>
        </w:rPr>
        <w:t>DHSC</w:t>
      </w:r>
      <w:r w:rsidRPr="00CD4B01">
        <w:rPr>
          <w:rFonts w:eastAsia="Calibri" w:cs="Calibri"/>
          <w:color w:val="000000"/>
        </w:rPr>
        <w:t xml:space="preserve"> and peer reviewed before being published. </w:t>
      </w:r>
    </w:p>
    <w:p w14:paraId="2BEF3441" w14:textId="7A68F51F" w:rsidR="00CD4B01" w:rsidRPr="00CD4B01" w:rsidRDefault="007458AC" w:rsidP="00CD4B01">
      <w:pPr>
        <w:spacing w:before="120" w:after="120" w:line="276" w:lineRule="auto"/>
        <w:ind w:left="426"/>
        <w:jc w:val="both"/>
        <w:rPr>
          <w:rFonts w:eastAsia="Calibri" w:cs="Calibri"/>
          <w:color w:val="000000"/>
        </w:rPr>
      </w:pPr>
      <w:r>
        <w:rPr>
          <w:rFonts w:eastAsia="Calibri" w:cs="Calibri"/>
          <w:color w:val="000000"/>
        </w:rPr>
        <w:t xml:space="preserve"> </w:t>
      </w:r>
    </w:p>
    <w:p w14:paraId="12B47D41" w14:textId="73E46E40" w:rsidR="00CD4B01" w:rsidRPr="00CD4B01" w:rsidRDefault="00CD4B01" w:rsidP="00C6374D">
      <w:pPr>
        <w:pStyle w:val="ListParagraph"/>
        <w:numPr>
          <w:ilvl w:val="0"/>
          <w:numId w:val="34"/>
        </w:numPr>
        <w:spacing w:before="120" w:after="240" w:line="360" w:lineRule="exact"/>
        <w:ind w:left="284" w:hanging="284"/>
        <w:jc w:val="both"/>
        <w:rPr>
          <w:rFonts w:eastAsia="Calibri" w:cs="Calibri"/>
          <w:color w:val="000000"/>
        </w:rPr>
      </w:pPr>
      <w:r w:rsidRPr="00CD4B01">
        <w:rPr>
          <w:rFonts w:eastAsia="Calibri" w:cs="Calibri"/>
          <w:b/>
          <w:bCs/>
          <w:color w:val="000000"/>
          <w:u w:val="single"/>
        </w:rPr>
        <w:t>Contracting Phases and Management</w:t>
      </w:r>
      <w:r w:rsidR="007458AC">
        <w:rPr>
          <w:rFonts w:eastAsia="Calibri" w:cs="Calibri"/>
          <w:b/>
          <w:bCs/>
          <w:color w:val="000000"/>
          <w:u w:val="single"/>
        </w:rPr>
        <w:t xml:space="preserve"> </w:t>
      </w:r>
    </w:p>
    <w:p w14:paraId="3135DFB6" w14:textId="3B48F982"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u w:val="single"/>
        </w:rPr>
        <w:t>Contracting Phases and Outputs</w:t>
      </w:r>
      <w:r w:rsidRPr="00CD4B01">
        <w:rPr>
          <w:rFonts w:eastAsia="Calibri" w:cs="Calibri"/>
          <w:color w:val="000000"/>
        </w:rPr>
        <w:t> </w:t>
      </w:r>
    </w:p>
    <w:p w14:paraId="7AD40C53" w14:textId="1D667D7F" w:rsidR="00CD4B01" w:rsidRPr="00CD4B01" w:rsidRDefault="00CD4B01" w:rsidP="00C6374D">
      <w:pPr>
        <w:pStyle w:val="ListParagraph"/>
        <w:numPr>
          <w:ilvl w:val="1"/>
          <w:numId w:val="34"/>
        </w:numPr>
        <w:spacing w:before="120" w:after="120"/>
        <w:ind w:left="284" w:hanging="426"/>
        <w:jc w:val="both"/>
        <w:rPr>
          <w:rFonts w:eastAsia="Calibri" w:cs="Calibri"/>
          <w:color w:val="000000"/>
        </w:rPr>
      </w:pPr>
      <w:r w:rsidRPr="00CD4B01">
        <w:rPr>
          <w:rFonts w:eastAsia="Calibri" w:cs="Calibri"/>
          <w:color w:val="000000"/>
        </w:rPr>
        <w:t xml:space="preserve">The evaluation will follow three distinct phases, with an </w:t>
      </w:r>
      <w:r w:rsidRPr="00CD4B01">
        <w:rPr>
          <w:rFonts w:eastAsia="Calibri" w:cs="Calibri"/>
          <w:i/>
          <w:iCs/>
          <w:color w:val="000000"/>
        </w:rPr>
        <w:t>indicative</w:t>
      </w:r>
      <w:r w:rsidRPr="00CD4B01">
        <w:rPr>
          <w:rFonts w:eastAsia="Calibri" w:cs="Calibri"/>
          <w:color w:val="000000"/>
        </w:rPr>
        <w:t xml:space="preserve"> schedule as follows.</w:t>
      </w:r>
      <w:r w:rsidR="007458AC">
        <w:rPr>
          <w:rFonts w:eastAsia="Calibri" w:cs="Calibri"/>
          <w:color w:val="000000"/>
        </w:rPr>
        <w:t xml:space="preserve"> </w:t>
      </w:r>
    </w:p>
    <w:p w14:paraId="72335ECD" w14:textId="77777777" w:rsidR="00AB52E3" w:rsidRDefault="00AB52E3">
      <w:pPr>
        <w:rPr>
          <w:rFonts w:eastAsia="Calibri" w:cs="Calibri"/>
          <w:b/>
          <w:bCs/>
          <w:color w:val="000000"/>
        </w:rPr>
      </w:pPr>
      <w:r>
        <w:rPr>
          <w:rFonts w:eastAsia="Calibri" w:cs="Calibri"/>
          <w:b/>
          <w:bCs/>
          <w:color w:val="000000"/>
        </w:rPr>
        <w:br w:type="page"/>
      </w:r>
    </w:p>
    <w:p w14:paraId="33E9C9BC" w14:textId="6F5A31BF"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rPr>
        <w:t>Figure 4: Indicative evaluation phases and schedule</w:t>
      </w:r>
      <w:r w:rsidR="007458AC">
        <w:rPr>
          <w:rFonts w:eastAsia="Calibri" w:cs="Calibri"/>
          <w:b/>
          <w:bCs/>
          <w:color w:val="000000"/>
        </w:rPr>
        <w:t xml:space="preserve"> </w:t>
      </w:r>
    </w:p>
    <w:tbl>
      <w:tblPr>
        <w:tblStyle w:val="TableGrid"/>
        <w:tblW w:w="0" w:type="dxa"/>
        <w:tblLook w:val="04A0" w:firstRow="1" w:lastRow="0" w:firstColumn="1" w:lastColumn="0" w:noHBand="0" w:noVBand="1"/>
      </w:tblPr>
      <w:tblGrid>
        <w:gridCol w:w="2729"/>
        <w:gridCol w:w="1792"/>
        <w:gridCol w:w="3967"/>
      </w:tblGrid>
      <w:tr w:rsidR="00CD4B01" w:rsidRPr="00CD4B01" w14:paraId="6C4F5013" w14:textId="77777777" w:rsidTr="00C8136F">
        <w:tc>
          <w:tcPr>
            <w:tcW w:w="2805" w:type="dxa"/>
            <w:hideMark/>
          </w:tcPr>
          <w:p w14:paraId="2AECF542"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rPr>
              <w:t>Period of Activity</w:t>
            </w:r>
            <w:r w:rsidRPr="00CD4B01">
              <w:rPr>
                <w:rFonts w:eastAsia="Calibri" w:cs="Calibri"/>
                <w:color w:val="000000"/>
              </w:rPr>
              <w:t> </w:t>
            </w:r>
          </w:p>
        </w:tc>
        <w:tc>
          <w:tcPr>
            <w:tcW w:w="1830" w:type="dxa"/>
            <w:hideMark/>
          </w:tcPr>
          <w:p w14:paraId="5F89B526"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rPr>
              <w:t>Timeline</w:t>
            </w:r>
            <w:r w:rsidRPr="00CD4B01">
              <w:rPr>
                <w:rFonts w:eastAsia="Calibri" w:cs="Calibri"/>
                <w:color w:val="000000"/>
              </w:rPr>
              <w:t> </w:t>
            </w:r>
          </w:p>
        </w:tc>
        <w:tc>
          <w:tcPr>
            <w:tcW w:w="4245" w:type="dxa"/>
            <w:hideMark/>
          </w:tcPr>
          <w:p w14:paraId="40F75A48"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rPr>
              <w:t>Activities and Outputs</w:t>
            </w:r>
            <w:r w:rsidRPr="00CD4B01">
              <w:rPr>
                <w:rFonts w:eastAsia="Calibri" w:cs="Calibri"/>
                <w:color w:val="000000"/>
              </w:rPr>
              <w:t> </w:t>
            </w:r>
          </w:p>
        </w:tc>
      </w:tr>
      <w:tr w:rsidR="00CD4B01" w:rsidRPr="00CD4B01" w14:paraId="02B710A0" w14:textId="77777777" w:rsidTr="00C8136F">
        <w:tc>
          <w:tcPr>
            <w:tcW w:w="2805" w:type="dxa"/>
            <w:hideMark/>
          </w:tcPr>
          <w:p w14:paraId="39BFD387"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rPr>
              <w:t>Inception phase (8 months)</w:t>
            </w:r>
            <w:r w:rsidRPr="00CD4B01">
              <w:rPr>
                <w:rFonts w:eastAsia="Calibri" w:cs="Calibri"/>
                <w:color w:val="000000"/>
              </w:rPr>
              <w:t> </w:t>
            </w:r>
          </w:p>
        </w:tc>
        <w:tc>
          <w:tcPr>
            <w:tcW w:w="1830" w:type="dxa"/>
            <w:hideMark/>
          </w:tcPr>
          <w:p w14:paraId="0F22A7CE"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Autumn 2016 – Spring 2017 </w:t>
            </w:r>
          </w:p>
        </w:tc>
        <w:tc>
          <w:tcPr>
            <w:tcW w:w="4245" w:type="dxa"/>
            <w:hideMark/>
          </w:tcPr>
          <w:p w14:paraId="3F8C416F"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See table of deliverables and activities above, at 5.9 </w:t>
            </w:r>
          </w:p>
        </w:tc>
      </w:tr>
      <w:tr w:rsidR="00CD4B01" w:rsidRPr="00CD4B01" w14:paraId="1CCC49FD" w14:textId="77777777" w:rsidTr="00C8136F">
        <w:tc>
          <w:tcPr>
            <w:tcW w:w="2805" w:type="dxa"/>
            <w:hideMark/>
          </w:tcPr>
          <w:p w14:paraId="440580AC" w14:textId="2F42A4F4"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rPr>
              <w:t>Implementation –</w:t>
            </w:r>
            <w:r w:rsidR="007458AC">
              <w:rPr>
                <w:rFonts w:eastAsia="Calibri" w:cs="Calibri"/>
                <w:b/>
                <w:bCs/>
                <w:color w:val="000000"/>
              </w:rPr>
              <w:t xml:space="preserve"> </w:t>
            </w:r>
          </w:p>
          <w:p w14:paraId="22262952"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rPr>
              <w:t>Data analysis mid-programme</w:t>
            </w:r>
            <w:r w:rsidRPr="00CD4B01">
              <w:rPr>
                <w:rFonts w:eastAsia="Calibri" w:cs="Calibri"/>
                <w:color w:val="000000"/>
              </w:rPr>
              <w:t> </w:t>
            </w:r>
          </w:p>
        </w:tc>
        <w:tc>
          <w:tcPr>
            <w:tcW w:w="1830" w:type="dxa"/>
            <w:hideMark/>
          </w:tcPr>
          <w:p w14:paraId="2D0BE94F" w14:textId="2ABEF0D8"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Spring 2017 – Autumn 2019</w:t>
            </w:r>
            <w:r w:rsidR="007458AC">
              <w:rPr>
                <w:rFonts w:eastAsia="Calibri" w:cs="Calibri"/>
                <w:color w:val="000000"/>
              </w:rPr>
              <w:t xml:space="preserve"> </w:t>
            </w:r>
          </w:p>
        </w:tc>
        <w:tc>
          <w:tcPr>
            <w:tcW w:w="4245" w:type="dxa"/>
            <w:hideMark/>
          </w:tcPr>
          <w:p w14:paraId="3D025038"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See table of deliverables and activities above, at 5.10 </w:t>
            </w:r>
          </w:p>
        </w:tc>
      </w:tr>
      <w:tr w:rsidR="00CD4B01" w:rsidRPr="00CD4B01" w14:paraId="4C7E37D5" w14:textId="77777777" w:rsidTr="00C8136F">
        <w:tc>
          <w:tcPr>
            <w:tcW w:w="2805" w:type="dxa"/>
            <w:hideMark/>
          </w:tcPr>
          <w:p w14:paraId="643F39FD" w14:textId="4660E259"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rPr>
              <w:t>Implementation –</w:t>
            </w:r>
            <w:r w:rsidR="007458AC">
              <w:rPr>
                <w:rFonts w:eastAsia="Calibri" w:cs="Calibri"/>
                <w:b/>
                <w:bCs/>
                <w:color w:val="000000"/>
              </w:rPr>
              <w:t xml:space="preserve"> </w:t>
            </w:r>
          </w:p>
          <w:p w14:paraId="68A078E6"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rPr>
              <w:t>Data analysis and final reporting</w:t>
            </w:r>
            <w:r w:rsidRPr="00CD4B01">
              <w:rPr>
                <w:rFonts w:eastAsia="Calibri" w:cs="Calibri"/>
                <w:color w:val="000000"/>
              </w:rPr>
              <w:t> </w:t>
            </w:r>
          </w:p>
        </w:tc>
        <w:tc>
          <w:tcPr>
            <w:tcW w:w="1830" w:type="dxa"/>
            <w:hideMark/>
          </w:tcPr>
          <w:p w14:paraId="6F4AEF29"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Autumn 2019 – Autumn 2021 </w:t>
            </w:r>
          </w:p>
        </w:tc>
        <w:tc>
          <w:tcPr>
            <w:tcW w:w="4245" w:type="dxa"/>
            <w:hideMark/>
          </w:tcPr>
          <w:p w14:paraId="28C5EF68"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See table of deliverables and activities above, at 5.10 </w:t>
            </w:r>
          </w:p>
        </w:tc>
      </w:tr>
    </w:tbl>
    <w:p w14:paraId="2130B20F"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u w:val="single"/>
        </w:rPr>
        <w:t>Contract Period</w:t>
      </w:r>
      <w:r w:rsidRPr="00CD4B01">
        <w:rPr>
          <w:rFonts w:eastAsia="Calibri" w:cs="Calibri"/>
          <w:color w:val="000000"/>
        </w:rPr>
        <w:t> </w:t>
      </w:r>
    </w:p>
    <w:p w14:paraId="642BAE75" w14:textId="0DD8472D" w:rsidR="00CD4B01" w:rsidRPr="00CD4B01" w:rsidRDefault="004B603A" w:rsidP="00C6374D">
      <w:pPr>
        <w:pStyle w:val="ListParagraph"/>
        <w:numPr>
          <w:ilvl w:val="1"/>
          <w:numId w:val="34"/>
        </w:numPr>
        <w:spacing w:before="120" w:after="120"/>
        <w:ind w:left="284" w:hanging="426"/>
        <w:jc w:val="both"/>
        <w:rPr>
          <w:rFonts w:eastAsia="Calibri" w:cs="Calibri"/>
          <w:color w:val="000000"/>
        </w:rPr>
      </w:pPr>
      <w:r>
        <w:rPr>
          <w:rFonts w:eastAsia="Calibri" w:cs="Calibri"/>
          <w:color w:val="000000"/>
        </w:rPr>
        <w:t>DHSC</w:t>
      </w:r>
      <w:r w:rsidR="00CD4B01" w:rsidRPr="00CD4B01">
        <w:rPr>
          <w:rFonts w:eastAsia="Calibri" w:cs="Calibri"/>
          <w:color w:val="000000"/>
        </w:rPr>
        <w:t xml:space="preserve"> intend to award one single contract to the successful bidder for the five year funding period to cover both inception and implementation phase.</w:t>
      </w:r>
      <w:r w:rsidR="007458AC">
        <w:rPr>
          <w:rFonts w:eastAsia="Calibri" w:cs="Calibri"/>
          <w:color w:val="000000"/>
        </w:rPr>
        <w:t xml:space="preserve"> </w:t>
      </w:r>
      <w:r w:rsidR="00CD4B01" w:rsidRPr="00CD4B01">
        <w:rPr>
          <w:rFonts w:eastAsia="Calibri" w:cs="Calibri"/>
          <w:color w:val="000000"/>
        </w:rPr>
        <w:t>The contract will include a break clause after: </w:t>
      </w:r>
    </w:p>
    <w:p w14:paraId="7AD0A381" w14:textId="3D2F50D4" w:rsidR="00CD4B01" w:rsidRPr="00CD4B01" w:rsidRDefault="00CD4B01" w:rsidP="00C6374D">
      <w:pPr>
        <w:pStyle w:val="ListParagraph"/>
        <w:numPr>
          <w:ilvl w:val="0"/>
          <w:numId w:val="55"/>
        </w:numPr>
        <w:spacing w:before="120" w:after="120"/>
        <w:jc w:val="both"/>
        <w:rPr>
          <w:rFonts w:eastAsia="Calibri" w:cs="Calibri"/>
          <w:color w:val="000000"/>
        </w:rPr>
      </w:pPr>
      <w:r w:rsidRPr="00CD4B01">
        <w:rPr>
          <w:rFonts w:eastAsia="Calibri" w:cs="Calibri"/>
          <w:color w:val="000000"/>
        </w:rPr>
        <w:t>8 months, at the end of the inception period;</w:t>
      </w:r>
      <w:r w:rsidR="007458AC">
        <w:rPr>
          <w:rFonts w:eastAsia="Calibri" w:cs="Calibri"/>
          <w:color w:val="000000"/>
        </w:rPr>
        <w:t xml:space="preserve"> </w:t>
      </w:r>
    </w:p>
    <w:p w14:paraId="311D865F" w14:textId="77777777" w:rsidR="00CD4B01" w:rsidRPr="00CD4B01" w:rsidRDefault="00CD4B01" w:rsidP="00C6374D">
      <w:pPr>
        <w:pStyle w:val="ListParagraph"/>
        <w:numPr>
          <w:ilvl w:val="0"/>
          <w:numId w:val="55"/>
        </w:numPr>
        <w:spacing w:before="120" w:after="120"/>
        <w:jc w:val="both"/>
        <w:rPr>
          <w:rFonts w:eastAsia="Calibri" w:cs="Calibri"/>
          <w:color w:val="000000"/>
        </w:rPr>
      </w:pPr>
      <w:r w:rsidRPr="00CD4B01">
        <w:rPr>
          <w:rFonts w:eastAsia="Calibri" w:cs="Calibri"/>
          <w:color w:val="000000"/>
        </w:rPr>
        <w:t>3 years. </w:t>
      </w:r>
    </w:p>
    <w:p w14:paraId="54B8C3C0" w14:textId="58C028EA" w:rsidR="00CD4B01" w:rsidRPr="00CD4B01" w:rsidRDefault="00CD4B01" w:rsidP="00C6374D">
      <w:pPr>
        <w:pStyle w:val="ListParagraph"/>
        <w:numPr>
          <w:ilvl w:val="1"/>
          <w:numId w:val="34"/>
        </w:numPr>
        <w:spacing w:before="120" w:after="120"/>
        <w:ind w:left="284" w:hanging="426"/>
        <w:jc w:val="both"/>
        <w:rPr>
          <w:rFonts w:eastAsia="Calibri" w:cs="Calibri"/>
          <w:color w:val="000000"/>
        </w:rPr>
      </w:pPr>
      <w:r w:rsidRPr="00CD4B01">
        <w:rPr>
          <w:rFonts w:eastAsia="Calibri" w:cs="Calibri"/>
          <w:color w:val="000000"/>
        </w:rPr>
        <w:t xml:space="preserve">Ahead of the break point at the end of the inception phase, </w:t>
      </w:r>
      <w:r w:rsidR="004B603A">
        <w:rPr>
          <w:rFonts w:eastAsia="Calibri" w:cs="Calibri"/>
          <w:color w:val="000000"/>
        </w:rPr>
        <w:t>DHSC</w:t>
      </w:r>
      <w:r w:rsidRPr="00CD4B01">
        <w:rPr>
          <w:rFonts w:eastAsia="Calibri" w:cs="Calibri"/>
          <w:color w:val="000000"/>
        </w:rPr>
        <w:t xml:space="preserve"> will review the Evaluation Supplier deliverables and Implementation Plan. At this point a final set of objectives and deliverables will be agreed and payment schedule suggested. Subject to strong performance by the supplier during the inception phase, and on basis that </w:t>
      </w:r>
      <w:r w:rsidR="004B603A">
        <w:rPr>
          <w:rFonts w:eastAsia="Calibri" w:cs="Calibri"/>
          <w:color w:val="000000"/>
        </w:rPr>
        <w:t>DHSC</w:t>
      </w:r>
      <w:r w:rsidRPr="00CD4B01">
        <w:rPr>
          <w:rFonts w:eastAsia="Calibri" w:cs="Calibri"/>
          <w:color w:val="000000"/>
        </w:rPr>
        <w:t xml:space="preserve"> has fully accepted all proposals, work-plans and budgets for the implementation period, </w:t>
      </w:r>
      <w:r w:rsidR="004B603A">
        <w:rPr>
          <w:rFonts w:eastAsia="Calibri" w:cs="Calibri"/>
          <w:color w:val="000000"/>
        </w:rPr>
        <w:t>DHSC</w:t>
      </w:r>
      <w:r w:rsidRPr="00CD4B01">
        <w:rPr>
          <w:rFonts w:eastAsia="Calibri" w:cs="Calibri"/>
          <w:color w:val="000000"/>
        </w:rPr>
        <w:t xml:space="preserve"> will proceed to the implementation phase. </w:t>
      </w:r>
    </w:p>
    <w:p w14:paraId="4F3A8367" w14:textId="7DCF93F5" w:rsidR="00CD4B01" w:rsidRPr="00CD4B01" w:rsidRDefault="00CD4B01" w:rsidP="00C6374D">
      <w:pPr>
        <w:pStyle w:val="ListParagraph"/>
        <w:numPr>
          <w:ilvl w:val="1"/>
          <w:numId w:val="34"/>
        </w:numPr>
        <w:spacing w:before="120" w:after="120"/>
        <w:ind w:left="284" w:hanging="426"/>
        <w:jc w:val="both"/>
        <w:rPr>
          <w:rFonts w:eastAsia="Calibri" w:cs="Calibri"/>
          <w:color w:val="000000"/>
        </w:rPr>
      </w:pPr>
      <w:r w:rsidRPr="00CD4B01">
        <w:rPr>
          <w:rFonts w:eastAsia="Calibri" w:cs="Calibri"/>
          <w:color w:val="000000"/>
        </w:rPr>
        <w:t xml:space="preserve">If there is ongoing need and further funding is available beyond the original five year period </w:t>
      </w:r>
      <w:r w:rsidR="004B603A">
        <w:rPr>
          <w:rFonts w:eastAsia="Calibri" w:cs="Calibri"/>
          <w:color w:val="000000"/>
        </w:rPr>
        <w:t>DHSC</w:t>
      </w:r>
      <w:r w:rsidRPr="00CD4B01">
        <w:rPr>
          <w:rFonts w:eastAsia="Calibri" w:cs="Calibri"/>
          <w:color w:val="000000"/>
        </w:rPr>
        <w:t xml:space="preserve"> may seek to extend this contract by any period up to a further five years. This would only be considered if it makes sense from a Value for Money perspective, and further break points would be included. </w:t>
      </w:r>
    </w:p>
    <w:p w14:paraId="12CFDA6A" w14:textId="43B08659"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u w:val="single"/>
        </w:rPr>
        <w:t>Payment by Results</w:t>
      </w:r>
      <w:r w:rsidR="007458AC">
        <w:rPr>
          <w:rFonts w:eastAsia="Calibri" w:cs="Calibri"/>
          <w:b/>
          <w:bCs/>
          <w:color w:val="000000"/>
          <w:u w:val="single"/>
        </w:rPr>
        <w:t xml:space="preserve"> </w:t>
      </w:r>
    </w:p>
    <w:p w14:paraId="4AFADFBC" w14:textId="503DD19B" w:rsidR="00CD4B01" w:rsidRPr="00CD4B01" w:rsidRDefault="004B603A" w:rsidP="00C6374D">
      <w:pPr>
        <w:pStyle w:val="ListParagraph"/>
        <w:numPr>
          <w:ilvl w:val="1"/>
          <w:numId w:val="34"/>
        </w:numPr>
        <w:spacing w:before="120" w:after="120"/>
        <w:ind w:left="284" w:hanging="426"/>
        <w:jc w:val="both"/>
        <w:rPr>
          <w:rFonts w:eastAsia="Calibri" w:cs="Calibri"/>
          <w:color w:val="000000"/>
        </w:rPr>
      </w:pPr>
      <w:r>
        <w:rPr>
          <w:rFonts w:eastAsia="Calibri" w:cs="Calibri"/>
          <w:color w:val="000000"/>
        </w:rPr>
        <w:t>DHSC</w:t>
      </w:r>
      <w:r w:rsidR="00CD4B01" w:rsidRPr="00CD4B01">
        <w:rPr>
          <w:rFonts w:eastAsia="Calibri" w:cs="Calibri"/>
          <w:color w:val="000000"/>
        </w:rPr>
        <w:t xml:space="preserve"> is committed to ensuring value for money through the commissioning of the Evaluation Supplier contract. </w:t>
      </w:r>
      <w:r>
        <w:rPr>
          <w:rFonts w:eastAsia="Calibri" w:cs="Calibri"/>
          <w:color w:val="000000"/>
        </w:rPr>
        <w:t>DHSC</w:t>
      </w:r>
      <w:r w:rsidR="00CD4B01" w:rsidRPr="00CD4B01">
        <w:rPr>
          <w:rFonts w:eastAsia="Calibri" w:cs="Calibri"/>
          <w:color w:val="000000"/>
        </w:rPr>
        <w:t xml:space="preserve"> will look to agree an output or milestone based payment model, recognising the need to release payments for both the evaluation outputs and key activities. Bidders must propose a detailed output/milestone based payment schedule for the Inception phase of the contract within Pricing Schedule Two. </w:t>
      </w:r>
    </w:p>
    <w:p w14:paraId="1566173A"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u w:val="single"/>
        </w:rPr>
        <w:t>Resources available to the Evaluation Supplier</w:t>
      </w:r>
      <w:r w:rsidRPr="00CD4B01">
        <w:rPr>
          <w:rFonts w:eastAsia="Calibri" w:cs="Calibri"/>
          <w:color w:val="000000"/>
        </w:rPr>
        <w:t> </w:t>
      </w:r>
    </w:p>
    <w:p w14:paraId="0895BD14" w14:textId="64A2C47C" w:rsidR="00CD4B01" w:rsidRPr="00CD4B01" w:rsidRDefault="004B603A" w:rsidP="00C6374D">
      <w:pPr>
        <w:pStyle w:val="ListParagraph"/>
        <w:numPr>
          <w:ilvl w:val="1"/>
          <w:numId w:val="34"/>
        </w:numPr>
        <w:spacing w:before="120" w:after="120"/>
        <w:ind w:left="284" w:hanging="426"/>
        <w:jc w:val="both"/>
        <w:rPr>
          <w:rFonts w:eastAsia="Calibri" w:cs="Calibri"/>
          <w:color w:val="000000"/>
        </w:rPr>
      </w:pPr>
      <w:r>
        <w:rPr>
          <w:rFonts w:eastAsia="Calibri" w:cs="Calibri"/>
          <w:color w:val="000000"/>
        </w:rPr>
        <w:t>DHSC</w:t>
      </w:r>
      <w:r w:rsidR="00CD4B01" w:rsidRPr="00CD4B01">
        <w:rPr>
          <w:rFonts w:eastAsia="Calibri" w:cs="Calibri"/>
          <w:color w:val="000000"/>
        </w:rPr>
        <w:t xml:space="preserve"> and the Management Agent will provide support to the Evaluation Supplier in contacting and liaising with grantees, particularly at the start of the evaluation. </w:t>
      </w:r>
    </w:p>
    <w:p w14:paraId="738353CC" w14:textId="77777777" w:rsidR="00CD4B01" w:rsidRPr="00CD4B01" w:rsidRDefault="00CD4B01" w:rsidP="00C6374D">
      <w:pPr>
        <w:pStyle w:val="ListParagraph"/>
        <w:numPr>
          <w:ilvl w:val="1"/>
          <w:numId w:val="34"/>
        </w:numPr>
        <w:spacing w:before="120" w:after="120"/>
        <w:ind w:left="284" w:hanging="426"/>
        <w:jc w:val="both"/>
        <w:rPr>
          <w:rFonts w:eastAsia="Calibri" w:cs="Calibri"/>
          <w:color w:val="000000"/>
        </w:rPr>
      </w:pPr>
      <w:r w:rsidRPr="00CD4B01">
        <w:rPr>
          <w:rFonts w:eastAsia="Calibri" w:cs="Calibri"/>
          <w:color w:val="000000"/>
        </w:rPr>
        <w:t>The Evaluation Supplier is expected to supply and manage its own logistics, including for in-country visits, and to be responsible for the organisation and delivery of all events carried out under the evaluation. Multi-country evaluations can raise significant logistical and coordination challenges, and proposals will need to demonstrate that the Evaluation Supplier has sufficient management and coordination structures and processes to address these challenges. </w:t>
      </w:r>
    </w:p>
    <w:p w14:paraId="1032A768"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b/>
          <w:bCs/>
          <w:color w:val="000000"/>
          <w:u w:val="single"/>
        </w:rPr>
        <w:t>Duty of care</w:t>
      </w:r>
      <w:r w:rsidRPr="00CD4B01">
        <w:rPr>
          <w:rFonts w:eastAsia="Calibri" w:cs="Calibri"/>
          <w:color w:val="000000"/>
        </w:rPr>
        <w:t> </w:t>
      </w:r>
    </w:p>
    <w:p w14:paraId="024D02A6" w14:textId="77777777" w:rsidR="00CD4B01" w:rsidRPr="00CD4B01" w:rsidRDefault="00CD4B01" w:rsidP="00C6374D">
      <w:pPr>
        <w:pStyle w:val="ListParagraph"/>
        <w:numPr>
          <w:ilvl w:val="1"/>
          <w:numId w:val="34"/>
        </w:numPr>
        <w:spacing w:before="120" w:after="120"/>
        <w:ind w:left="284" w:hanging="426"/>
        <w:jc w:val="both"/>
        <w:rPr>
          <w:rFonts w:eastAsia="Calibri" w:cs="Calibri"/>
          <w:color w:val="000000"/>
        </w:rPr>
      </w:pPr>
      <w:r w:rsidRPr="00CD4B01">
        <w:rPr>
          <w:rFonts w:eastAsia="Calibri" w:cs="Calibri"/>
          <w:color w:val="000000"/>
        </w:rPr>
        <w:t>The Evaluation Supplier will be responsible for the safety and well-being, including appropriate security arrangements for its team. The Evaluation Supplier will also be responsible for the provision of suitable security arrangements for their domestic and business properties. The Evaluation Supplier is responsible for ensuring appropriate safety and security briefings for all of its Personnel working under the Evaluation Supplier contract. Travel advice is available on the FCO website and the Evaluation Supplier must ensure that it is up to date with the latest position. Please also see Annex E and Annex F for DFID Duty of Care Assessments for Sierra Leone and Burma, which are likely to be pilot countries.11 </w:t>
      </w:r>
    </w:p>
    <w:p w14:paraId="5F6B40D1" w14:textId="661EE9DC" w:rsidR="00CD4B01" w:rsidRPr="00CD4B01" w:rsidRDefault="00CD4B01" w:rsidP="00C6374D">
      <w:pPr>
        <w:pStyle w:val="ListParagraph"/>
        <w:numPr>
          <w:ilvl w:val="1"/>
          <w:numId w:val="34"/>
        </w:numPr>
        <w:spacing w:before="120" w:after="120"/>
        <w:ind w:left="284" w:hanging="426"/>
        <w:jc w:val="both"/>
        <w:rPr>
          <w:rFonts w:eastAsia="Calibri" w:cs="Calibri"/>
          <w:color w:val="000000"/>
        </w:rPr>
      </w:pPr>
      <w:r w:rsidRPr="00CD4B01">
        <w:rPr>
          <w:rFonts w:eastAsia="Calibri" w:cs="Calibri"/>
          <w:color w:val="000000"/>
        </w:rPr>
        <w:t>Bidders must develop their proposal on the basis of having a duty of care towards, and being fully responsible for, their Personnel in line with the details provided in section 6.8 above. Bidders must confirm in the proposal that they have capability to manage their duty of care responsibilities throughout the life of the Evaluation Supplier contract. Bidders should consider the following questions in this regard:</w:t>
      </w:r>
      <w:r w:rsidR="007458AC">
        <w:rPr>
          <w:rFonts w:eastAsia="Calibri" w:cs="Calibri"/>
          <w:color w:val="000000"/>
        </w:rPr>
        <w:t xml:space="preserve"> </w:t>
      </w:r>
    </w:p>
    <w:p w14:paraId="30A279B4" w14:textId="4AFE7B7B" w:rsidR="00CD4B01" w:rsidRPr="00C8136F" w:rsidRDefault="00CD4B01" w:rsidP="00C6374D">
      <w:pPr>
        <w:pStyle w:val="ItadNormalTextWhite"/>
        <w:numPr>
          <w:ilvl w:val="0"/>
          <w:numId w:val="56"/>
        </w:numPr>
        <w:rPr>
          <w:color w:val="auto"/>
        </w:rPr>
      </w:pPr>
      <w:r w:rsidRPr="00C8136F">
        <w:rPr>
          <w:color w:val="auto"/>
        </w:rPr>
        <w:t>Have you completed an initial assessment of potential risks that demonstrates your knowledge and understanding, and are you satisfied that you understand the risk management implications?</w:t>
      </w:r>
      <w:r w:rsidR="007458AC">
        <w:rPr>
          <w:color w:val="auto"/>
        </w:rPr>
        <w:t xml:space="preserve"> </w:t>
      </w:r>
    </w:p>
    <w:p w14:paraId="6423CED2" w14:textId="1FD4005E" w:rsidR="00CD4B01" w:rsidRPr="00C8136F" w:rsidRDefault="00CD4B01" w:rsidP="00C6374D">
      <w:pPr>
        <w:pStyle w:val="ItadNormalTextWhite"/>
        <w:numPr>
          <w:ilvl w:val="0"/>
          <w:numId w:val="56"/>
        </w:numPr>
        <w:rPr>
          <w:color w:val="auto"/>
        </w:rPr>
      </w:pPr>
      <w:r w:rsidRPr="00C8136F">
        <w:rPr>
          <w:color w:val="auto"/>
        </w:rPr>
        <w:t>Have you prepared an outline plan that you consider appropriate to manage these risks at this stage and are you confident/comfortable that you can implement this effectively?</w:t>
      </w:r>
      <w:r w:rsidR="007458AC">
        <w:rPr>
          <w:color w:val="auto"/>
        </w:rPr>
        <w:t xml:space="preserve"> </w:t>
      </w:r>
    </w:p>
    <w:p w14:paraId="4CC245B9" w14:textId="231ED218" w:rsidR="00CD4B01" w:rsidRPr="00C8136F" w:rsidRDefault="00CD4B01" w:rsidP="00C6374D">
      <w:pPr>
        <w:pStyle w:val="ItadNormalTextWhite"/>
        <w:numPr>
          <w:ilvl w:val="0"/>
          <w:numId w:val="56"/>
        </w:numPr>
        <w:rPr>
          <w:color w:val="auto"/>
        </w:rPr>
      </w:pPr>
      <w:r w:rsidRPr="00C8136F">
        <w:rPr>
          <w:color w:val="auto"/>
        </w:rPr>
        <w:t>Have you ensured or will you ensure that your Personnel (if any), are appropriately trained (including specialist training where required) before they are deployed and will you ensure that on-going training is provided where necessary?</w:t>
      </w:r>
      <w:r w:rsidR="007458AC">
        <w:rPr>
          <w:color w:val="auto"/>
        </w:rPr>
        <w:t xml:space="preserve"> </w:t>
      </w:r>
    </w:p>
    <w:p w14:paraId="53F9B893" w14:textId="706EA22E" w:rsidR="00CD4B01" w:rsidRPr="00C8136F" w:rsidRDefault="00CD4B01" w:rsidP="00C6374D">
      <w:pPr>
        <w:pStyle w:val="ItadNormalTextWhite"/>
        <w:numPr>
          <w:ilvl w:val="0"/>
          <w:numId w:val="56"/>
        </w:numPr>
        <w:rPr>
          <w:color w:val="auto"/>
        </w:rPr>
      </w:pPr>
      <w:r w:rsidRPr="00C8136F">
        <w:rPr>
          <w:color w:val="auto"/>
        </w:rPr>
        <w:t>Have you an appropriate mechanism in place to monitor risk on a live / on-going basis?</w:t>
      </w:r>
      <w:r w:rsidR="007458AC">
        <w:rPr>
          <w:color w:val="auto"/>
        </w:rPr>
        <w:t xml:space="preserve"> </w:t>
      </w:r>
    </w:p>
    <w:p w14:paraId="2E2ACE99" w14:textId="5F50B924" w:rsidR="00CD4B01" w:rsidRPr="00C8136F" w:rsidRDefault="00CD4B01" w:rsidP="00C6374D">
      <w:pPr>
        <w:pStyle w:val="ItadNormalTextWhite"/>
        <w:numPr>
          <w:ilvl w:val="0"/>
          <w:numId w:val="56"/>
        </w:numPr>
        <w:rPr>
          <w:color w:val="auto"/>
        </w:rPr>
      </w:pPr>
      <w:r w:rsidRPr="00C8136F">
        <w:rPr>
          <w:color w:val="auto"/>
        </w:rPr>
        <w:t>Have you ensured or will you ensure that your Personnel (if any) are provided with and have access to suitable equipment and will you ensure that this is reviewed and provided on an on-going basis?</w:t>
      </w:r>
      <w:r w:rsidR="007458AC">
        <w:rPr>
          <w:color w:val="auto"/>
        </w:rPr>
        <w:t xml:space="preserve"> </w:t>
      </w:r>
    </w:p>
    <w:p w14:paraId="3B448C57" w14:textId="77777777" w:rsidR="00CD4B01" w:rsidRPr="00C8136F" w:rsidRDefault="00CD4B01" w:rsidP="00C6374D">
      <w:pPr>
        <w:pStyle w:val="ItadNormalTextWhite"/>
        <w:numPr>
          <w:ilvl w:val="0"/>
          <w:numId w:val="56"/>
        </w:numPr>
        <w:rPr>
          <w:color w:val="auto"/>
        </w:rPr>
      </w:pPr>
      <w:r w:rsidRPr="00C8136F">
        <w:rPr>
          <w:color w:val="auto"/>
        </w:rPr>
        <w:t>Have you appropriate systems in place to manage an emergency / incident if one arises? </w:t>
      </w:r>
    </w:p>
    <w:p w14:paraId="4FC8A764" w14:textId="77777777" w:rsidR="00CD4B01" w:rsidRPr="00CD4B01" w:rsidRDefault="00CD4B01" w:rsidP="00CD4B01">
      <w:pPr>
        <w:spacing w:before="120" w:after="120" w:line="276" w:lineRule="auto"/>
        <w:ind w:left="426"/>
        <w:jc w:val="both"/>
        <w:rPr>
          <w:rFonts w:eastAsia="Calibri" w:cs="Calibri"/>
          <w:color w:val="000000"/>
        </w:rPr>
      </w:pPr>
      <w:r w:rsidRPr="00CD4B01">
        <w:rPr>
          <w:rFonts w:eastAsia="Calibri" w:cs="Calibri"/>
          <w:color w:val="000000"/>
        </w:rPr>
        <w:t> </w:t>
      </w:r>
    </w:p>
    <w:p w14:paraId="798D407A" w14:textId="37C8C666" w:rsidR="00CD4B01" w:rsidRPr="00CD4B01" w:rsidRDefault="00CD4B01" w:rsidP="00AB52E3">
      <w:pPr>
        <w:spacing w:before="120" w:after="120" w:line="276" w:lineRule="auto"/>
        <w:ind w:left="426"/>
        <w:jc w:val="both"/>
        <w:rPr>
          <w:rFonts w:eastAsia="Calibri" w:cs="Calibri"/>
          <w:color w:val="000000"/>
        </w:rPr>
      </w:pPr>
      <w:r w:rsidRPr="00CD4B01">
        <w:rPr>
          <w:rFonts w:eastAsia="Calibri" w:cs="Calibri"/>
          <w:b/>
          <w:bCs/>
          <w:color w:val="000000"/>
          <w:u w:val="single"/>
        </w:rPr>
        <w:t>Authority Responsibilities</w:t>
      </w:r>
      <w:r w:rsidRPr="00CD4B01">
        <w:rPr>
          <w:rFonts w:eastAsia="Calibri" w:cs="Calibri"/>
          <w:color w:val="000000"/>
        </w:rPr>
        <w:t>  </w:t>
      </w:r>
    </w:p>
    <w:p w14:paraId="0FD16B66" w14:textId="0C451AEE" w:rsidR="00CD4B01" w:rsidRPr="00C8136F" w:rsidRDefault="00CD4B01" w:rsidP="00C6374D">
      <w:pPr>
        <w:pStyle w:val="ListParagraph"/>
        <w:numPr>
          <w:ilvl w:val="1"/>
          <w:numId w:val="34"/>
        </w:numPr>
        <w:spacing w:before="120" w:after="120"/>
        <w:ind w:left="284" w:hanging="426"/>
        <w:jc w:val="both"/>
        <w:rPr>
          <w:rFonts w:eastAsia="Calibri" w:cs="Calibri"/>
          <w:color w:val="000000"/>
        </w:rPr>
      </w:pPr>
      <w:r w:rsidRPr="00CD4B01">
        <w:rPr>
          <w:rFonts w:eastAsia="Calibri" w:cs="Calibri"/>
          <w:color w:val="000000"/>
        </w:rPr>
        <w:t xml:space="preserve">Alongside the work detailed at paragraphs 4.2-4.4 above, </w:t>
      </w:r>
      <w:r w:rsidR="004B603A">
        <w:rPr>
          <w:rFonts w:eastAsia="Calibri" w:cs="Calibri"/>
          <w:color w:val="000000"/>
        </w:rPr>
        <w:t>DHSC</w:t>
      </w:r>
      <w:r w:rsidRPr="00CD4B01">
        <w:rPr>
          <w:rFonts w:eastAsia="Calibri" w:cs="Calibri"/>
          <w:color w:val="000000"/>
        </w:rPr>
        <w:t xml:space="preserve"> and the Management Agent will provide support to the Evaluation Supplier in contacting and liaising with grantees, particularly at the start of the evaluation; </w:t>
      </w:r>
    </w:p>
    <w:p w14:paraId="7975D2AF" w14:textId="70DFC52A" w:rsidR="00CD4B01" w:rsidRPr="00AB52E3" w:rsidRDefault="004B603A" w:rsidP="00AB52E3">
      <w:pPr>
        <w:pStyle w:val="ListParagraph"/>
        <w:numPr>
          <w:ilvl w:val="1"/>
          <w:numId w:val="34"/>
        </w:numPr>
        <w:spacing w:before="120" w:after="120"/>
        <w:ind w:left="284" w:hanging="426"/>
        <w:jc w:val="both"/>
        <w:rPr>
          <w:rFonts w:eastAsia="Calibri" w:cs="Calibri"/>
          <w:color w:val="000000"/>
        </w:rPr>
      </w:pPr>
      <w:r>
        <w:rPr>
          <w:rFonts w:eastAsia="Calibri" w:cs="Calibri"/>
          <w:color w:val="000000"/>
        </w:rPr>
        <w:t>DHSC</w:t>
      </w:r>
      <w:r w:rsidR="00CD4B01" w:rsidRPr="00CD4B01">
        <w:rPr>
          <w:rFonts w:eastAsia="Calibri" w:cs="Calibri"/>
          <w:color w:val="000000"/>
        </w:rPr>
        <w:t xml:space="preserve"> will appoint a nominated Contract manager (the Authority Representative) to oversee the</w:t>
      </w:r>
      <w:r w:rsidR="007458AC">
        <w:rPr>
          <w:rFonts w:eastAsia="Calibri" w:cs="Calibri"/>
          <w:color w:val="000000"/>
        </w:rPr>
        <w:t xml:space="preserve"> </w:t>
      </w:r>
      <w:r w:rsidR="00CD4B01" w:rsidRPr="00CD4B01">
        <w:rPr>
          <w:rFonts w:eastAsia="Calibri" w:cs="Calibri"/>
          <w:color w:val="000000"/>
        </w:rPr>
        <w:t>Services, in accordance with Clause 15 of the Contract terms and conditions;</w:t>
      </w:r>
      <w:r w:rsidR="007458AC">
        <w:rPr>
          <w:rFonts w:eastAsia="Calibri" w:cs="Calibri"/>
          <w:color w:val="000000"/>
        </w:rPr>
        <w:t xml:space="preserve"> </w:t>
      </w:r>
    </w:p>
    <w:p w14:paraId="539CED55" w14:textId="539BD9D6" w:rsidR="00CD4B01" w:rsidRPr="00AB52E3" w:rsidRDefault="00CD4B01" w:rsidP="00AB52E3">
      <w:pPr>
        <w:spacing w:before="120" w:after="120" w:line="276" w:lineRule="auto"/>
        <w:ind w:left="426"/>
        <w:jc w:val="both"/>
        <w:rPr>
          <w:rFonts w:eastAsia="Calibri" w:cs="Calibri"/>
          <w:b/>
          <w:bCs/>
          <w:color w:val="000000"/>
          <w:u w:val="single"/>
        </w:rPr>
      </w:pPr>
      <w:r w:rsidRPr="00CD4B01">
        <w:rPr>
          <w:rFonts w:eastAsia="Calibri" w:cs="Calibri"/>
          <w:b/>
          <w:bCs/>
          <w:color w:val="000000"/>
          <w:u w:val="single"/>
        </w:rPr>
        <w:t>Supplier Responsibilities</w:t>
      </w:r>
      <w:r w:rsidRPr="00A20CEB">
        <w:rPr>
          <w:rFonts w:eastAsia="Calibri" w:cs="Calibri"/>
          <w:b/>
          <w:bCs/>
          <w:color w:val="000000"/>
          <w:u w:val="single"/>
        </w:rPr>
        <w:t> </w:t>
      </w:r>
      <w:r w:rsidRPr="00CD4B01">
        <w:rPr>
          <w:rFonts w:eastAsia="Calibri" w:cs="Calibri"/>
          <w:color w:val="000000"/>
        </w:rPr>
        <w:t> </w:t>
      </w:r>
    </w:p>
    <w:p w14:paraId="12A7E5E0" w14:textId="795E7A56" w:rsidR="00CD4B01" w:rsidRPr="00C8136F" w:rsidRDefault="00CD4B01" w:rsidP="00C6374D">
      <w:pPr>
        <w:pStyle w:val="ListParagraph"/>
        <w:numPr>
          <w:ilvl w:val="1"/>
          <w:numId w:val="34"/>
        </w:numPr>
        <w:spacing w:before="120" w:after="120"/>
        <w:ind w:left="284" w:hanging="426"/>
        <w:jc w:val="both"/>
        <w:rPr>
          <w:rFonts w:eastAsia="Calibri" w:cs="Calibri"/>
          <w:color w:val="000000"/>
        </w:rPr>
      </w:pPr>
      <w:r w:rsidRPr="00CD4B01">
        <w:rPr>
          <w:rFonts w:eastAsia="Calibri" w:cs="Calibri"/>
          <w:color w:val="000000"/>
        </w:rPr>
        <w:t>The Supplier shall</w:t>
      </w:r>
      <w:r w:rsidR="007458AC">
        <w:rPr>
          <w:rFonts w:eastAsia="Calibri" w:cs="Calibri"/>
          <w:color w:val="000000"/>
        </w:rPr>
        <w:t xml:space="preserve"> </w:t>
      </w:r>
    </w:p>
    <w:p w14:paraId="4E2A727A" w14:textId="6D045E6A" w:rsidR="00CD4B01" w:rsidRPr="00CD4B01" w:rsidRDefault="00CD4B01" w:rsidP="00C6374D">
      <w:pPr>
        <w:pStyle w:val="ItadNormalText"/>
        <w:numPr>
          <w:ilvl w:val="0"/>
          <w:numId w:val="57"/>
        </w:numPr>
      </w:pPr>
      <w:r w:rsidRPr="00CD4B01">
        <w:t xml:space="preserve">Appoint a Contract manager (Supplier Representative) in accordance with Clause 15 of the Contract terms and conditions to oversee the work and liaise with / report as </w:t>
      </w:r>
      <w:r w:rsidR="004B603A">
        <w:t>DHSC</w:t>
      </w:r>
      <w:r w:rsidRPr="00CD4B01">
        <w:t xml:space="preserve"> requires to </w:t>
      </w:r>
      <w:r w:rsidR="004B603A">
        <w:t>DHSC</w:t>
      </w:r>
      <w:r w:rsidRPr="00CD4B01">
        <w:t>’s Authority Representative; </w:t>
      </w:r>
    </w:p>
    <w:p w14:paraId="4D76A3B0" w14:textId="77777777" w:rsidR="00CD4B01" w:rsidRPr="00CD4B01" w:rsidRDefault="00CD4B01" w:rsidP="00C6374D">
      <w:pPr>
        <w:pStyle w:val="ItadNormalText"/>
        <w:numPr>
          <w:ilvl w:val="0"/>
          <w:numId w:val="57"/>
        </w:numPr>
      </w:pPr>
      <w:r w:rsidRPr="00CD4B01">
        <w:t>The Evaluation Supplier is expected to supply and manage its own logistics, including for in-country visits, and to be responsible for the organisation, logistics and delivery of all events carried out under the evaluation (which should be included in the Charges submitted as part of the bidder’s proposal). Multi-country evaluations can raise significant logistical and coordination challenges, and bidder’s proposals will need to demonstrate that the evaluation team has sufficient management and coordination structures and processes to address these challenges. </w:t>
      </w:r>
    </w:p>
    <w:p w14:paraId="5B7269F5" w14:textId="38882ABB" w:rsidR="00CD4B01" w:rsidRPr="00CD4B01" w:rsidRDefault="00CD4B01" w:rsidP="00C6374D">
      <w:pPr>
        <w:pStyle w:val="ItadNormalText"/>
        <w:numPr>
          <w:ilvl w:val="0"/>
          <w:numId w:val="57"/>
        </w:numPr>
      </w:pPr>
      <w:r w:rsidRPr="00CD4B01">
        <w:t>Monitor the quality of the Service provision to ensure customer satisfaction in accordance with the key performance indicators outlined in the Contract (Schedule 6:</w:t>
      </w:r>
      <w:r w:rsidR="007458AC">
        <w:t xml:space="preserve"> </w:t>
      </w:r>
      <w:r w:rsidRPr="00CD4B01">
        <w:t>Service Levels and Performance Monitoring), unless otherwise approved by the Authority Representative; </w:t>
      </w:r>
    </w:p>
    <w:p w14:paraId="4F57BFBC" w14:textId="2EECA38F" w:rsidR="00CD4B01" w:rsidRPr="00CD4B01" w:rsidRDefault="00CD4B01" w:rsidP="00C6374D">
      <w:pPr>
        <w:pStyle w:val="ItadNormalText"/>
        <w:numPr>
          <w:ilvl w:val="0"/>
          <w:numId w:val="57"/>
        </w:numPr>
      </w:pPr>
      <w:r w:rsidRPr="00CD4B01">
        <w:t xml:space="preserve">Provide regular reporting as and when required by the Authority Representative. This will be in the form of, at a minimum, a quarterly activity and financial update to </w:t>
      </w:r>
      <w:r w:rsidR="004B603A">
        <w:t>DHSC</w:t>
      </w:r>
      <w:r w:rsidRPr="00CD4B01">
        <w:t xml:space="preserve"> either through a document, presentation or a face-to-face meeting. This opportunity will allow the Evaluation Supplier to provide evidence of working against the agreed activities detailed in the inception report as well as being a continuing opportunity to provide lessons learnt. </w:t>
      </w:r>
    </w:p>
    <w:p w14:paraId="74636011" w14:textId="04B1A39A" w:rsidR="00CD4B01" w:rsidRPr="00CD4B01" w:rsidRDefault="00CD4B01" w:rsidP="00C6374D">
      <w:pPr>
        <w:pStyle w:val="ItadNormalText"/>
        <w:numPr>
          <w:ilvl w:val="0"/>
          <w:numId w:val="57"/>
        </w:numPr>
      </w:pPr>
      <w:r w:rsidRPr="00CD4B01">
        <w:t xml:space="preserve">Provide updates on costs to be incurred under the Contract on a quarterly </w:t>
      </w:r>
      <w:r w:rsidR="00BB35E1" w:rsidRPr="00CD4B01">
        <w:t>basis.</w:t>
      </w:r>
      <w:r w:rsidRPr="00CD4B01">
        <w:t> </w:t>
      </w:r>
    </w:p>
    <w:p w14:paraId="2369650A" w14:textId="5ADC1A94" w:rsidR="00CD4B01" w:rsidRPr="00CD4B01" w:rsidRDefault="00CD4B01" w:rsidP="00C6374D">
      <w:pPr>
        <w:pStyle w:val="ItadNormalText"/>
        <w:numPr>
          <w:ilvl w:val="0"/>
          <w:numId w:val="57"/>
        </w:numPr>
      </w:pPr>
      <w:r w:rsidRPr="00CD4B01">
        <w:t>Attend meetings on site by phone or by video conference to review progress and discuss the Service, as required by the Authority Representative;</w:t>
      </w:r>
      <w:r w:rsidR="007458AC">
        <w:t xml:space="preserve"> </w:t>
      </w:r>
    </w:p>
    <w:p w14:paraId="1D55E3A9" w14:textId="35408915" w:rsidR="00CD4B01" w:rsidRPr="00CD4B01" w:rsidRDefault="00CD4B01" w:rsidP="00C6374D">
      <w:pPr>
        <w:pStyle w:val="ItadNormalText"/>
        <w:numPr>
          <w:ilvl w:val="0"/>
          <w:numId w:val="57"/>
        </w:numPr>
      </w:pPr>
      <w:r w:rsidRPr="00CD4B01">
        <w:t xml:space="preserve">Attend a post Contract review with </w:t>
      </w:r>
      <w:r w:rsidR="004B603A">
        <w:t>DHSC</w:t>
      </w:r>
      <w:r w:rsidRPr="00CD4B01">
        <w:t xml:space="preserve"> to discuss the Evaluation Supplier’s final evaluation report, and review whether the objectives of the Contract were met, to review the benefits achieved and to identify any lessons learnt for future projects. </w:t>
      </w:r>
    </w:p>
    <w:p w14:paraId="030B98A0" w14:textId="7B7962AF" w:rsidR="00CD4B01" w:rsidRPr="00CD4B01" w:rsidRDefault="004B603A" w:rsidP="00C6374D">
      <w:pPr>
        <w:pStyle w:val="ItadNormalText"/>
        <w:numPr>
          <w:ilvl w:val="0"/>
          <w:numId w:val="57"/>
        </w:numPr>
      </w:pPr>
      <w:r>
        <w:t>DHSC</w:t>
      </w:r>
      <w:r w:rsidR="00CD4B01" w:rsidRPr="00CD4B01">
        <w:t xml:space="preserve"> has a zero tolerance approach to corruption. Although the appointed Management Agent will have full responsibility for monitoring and mitigating the risk of fraud and corruption in the procurement and delivery of country and regional grants, the Evaluation Supplier will be expected to report any suspected corruption to the Authority Representative. </w:t>
      </w:r>
    </w:p>
    <w:p w14:paraId="6EEAD783" w14:textId="77777777" w:rsidR="00CD4B01" w:rsidRPr="00CD4B01" w:rsidRDefault="00CD4B01" w:rsidP="00C6374D">
      <w:pPr>
        <w:numPr>
          <w:ilvl w:val="0"/>
          <w:numId w:val="34"/>
        </w:numPr>
        <w:spacing w:before="120" w:after="120" w:line="276" w:lineRule="auto"/>
        <w:jc w:val="both"/>
        <w:rPr>
          <w:rFonts w:eastAsia="Calibri" w:cs="Calibri"/>
          <w:color w:val="000000"/>
        </w:rPr>
      </w:pPr>
      <w:r w:rsidRPr="00CD4B01">
        <w:rPr>
          <w:rFonts w:eastAsia="Calibri" w:cs="Calibri"/>
          <w:color w:val="000000"/>
        </w:rPr>
        <w:br w:type="page"/>
      </w:r>
    </w:p>
    <w:p w14:paraId="2A0A2821" w14:textId="389262E2" w:rsidR="00CE0F23" w:rsidRDefault="6A7BF3BC" w:rsidP="00093F07">
      <w:pPr>
        <w:pStyle w:val="ItadH1Numbered"/>
        <w:numPr>
          <w:ilvl w:val="0"/>
          <w:numId w:val="0"/>
        </w:numPr>
      </w:pPr>
      <w:bookmarkStart w:id="19" w:name="_Toc118968495"/>
      <w:bookmarkStart w:id="20" w:name="_Toc142383135"/>
      <w:r w:rsidRPr="00E14096">
        <w:t xml:space="preserve">Annex 2: Evaluation </w:t>
      </w:r>
      <w:r w:rsidR="00764EB0">
        <w:t>m</w:t>
      </w:r>
      <w:r w:rsidRPr="00E14096">
        <w:t>atrix</w:t>
      </w:r>
      <w:bookmarkEnd w:id="19"/>
      <w:bookmarkEnd w:id="20"/>
      <w:r w:rsidR="00E007A1" w:rsidRPr="00E14096">
        <w:t xml:space="preserve"> </w:t>
      </w:r>
    </w:p>
    <w:p w14:paraId="140E6BDC" w14:textId="2DDE1008" w:rsidR="00CE0F23" w:rsidRPr="00CF0CAE" w:rsidRDefault="6A7BF3BC" w:rsidP="00280268">
      <w:pPr>
        <w:pStyle w:val="FFNormal"/>
        <w:rPr>
          <w:lang w:val="en-US"/>
        </w:rPr>
      </w:pPr>
      <w:r w:rsidRPr="004B6614">
        <w:t xml:space="preserve">In </w:t>
      </w:r>
      <w:r w:rsidR="005F6514" w:rsidRPr="004B6614">
        <w:t xml:space="preserve">section </w:t>
      </w:r>
      <w:r w:rsidR="004B0B26" w:rsidRPr="005A0F69">
        <w:t>1</w:t>
      </w:r>
      <w:r w:rsidR="004B6614" w:rsidRPr="005A0F69">
        <w:t>.2</w:t>
      </w:r>
      <w:r w:rsidR="005F6514" w:rsidRPr="004B6614">
        <w:t xml:space="preserve"> of the</w:t>
      </w:r>
      <w:r w:rsidR="005F6514" w:rsidRPr="00DC3792">
        <w:t xml:space="preserve"> Summative report and in Annex </w:t>
      </w:r>
      <w:r w:rsidR="00DC3792" w:rsidRPr="00DC3792">
        <w:t>3</w:t>
      </w:r>
      <w:r w:rsidR="00F13E4A">
        <w:t>,</w:t>
      </w:r>
      <w:r w:rsidRPr="00DC3792">
        <w:t xml:space="preserve"> we have set out an overarching framework for the evaluation design.</w:t>
      </w:r>
      <w:r w:rsidR="007458AC">
        <w:t xml:space="preserve"> </w:t>
      </w:r>
      <w:r w:rsidRPr="6A7BF3BC">
        <w:t>This provides an overview of the relationship between evaluation questions</w:t>
      </w:r>
      <w:r w:rsidR="00F21D1C">
        <w:t xml:space="preserve"> (EQs)</w:t>
      </w:r>
      <w:r w:rsidRPr="6A7BF3BC">
        <w:t xml:space="preserve">, data sources, analytical </w:t>
      </w:r>
      <w:r w:rsidR="00BB35E1" w:rsidRPr="6A7BF3BC">
        <w:t>methods,</w:t>
      </w:r>
      <w:r w:rsidRPr="6A7BF3BC">
        <w:t xml:space="preserve"> and evaluation </w:t>
      </w:r>
      <w:r w:rsidR="004932C7">
        <w:t>workstreams</w:t>
      </w:r>
      <w:r w:rsidRPr="6A7BF3BC">
        <w:t xml:space="preserve"> and outputs.</w:t>
      </w:r>
      <w:r w:rsidR="007458AC">
        <w:t xml:space="preserve"> </w:t>
      </w:r>
      <w:r w:rsidRPr="6A7BF3BC">
        <w:t xml:space="preserve">This overview is unpacked in the </w:t>
      </w:r>
      <w:r w:rsidR="00612D21">
        <w:t>e</w:t>
      </w:r>
      <w:r w:rsidRPr="6A7BF3BC">
        <w:t xml:space="preserve">valuation </w:t>
      </w:r>
      <w:r w:rsidR="00612D21">
        <w:t>m</w:t>
      </w:r>
      <w:r w:rsidRPr="6A7BF3BC">
        <w:t xml:space="preserve">atrix below, with an indication of which methods and data sources will be used to address each </w:t>
      </w:r>
      <w:r w:rsidR="00F21D1C">
        <w:t>EQ</w:t>
      </w:r>
      <w:r w:rsidRPr="6A7BF3BC">
        <w:t>.</w:t>
      </w:r>
    </w:p>
    <w:p w14:paraId="4525D728" w14:textId="3349A065" w:rsidR="00856F40" w:rsidRPr="00856F40" w:rsidRDefault="00856F40" w:rsidP="00C04C3C">
      <w:pPr>
        <w:pStyle w:val="ItadCaption"/>
      </w:pPr>
      <w:bookmarkStart w:id="21" w:name="_Ref122267383"/>
      <w:bookmarkStart w:id="22" w:name="_Toc143857869"/>
      <w:r w:rsidRPr="00856F40">
        <w:t xml:space="preserve">Table </w:t>
      </w:r>
      <w:r>
        <w:fldChar w:fldCharType="begin"/>
      </w:r>
      <w:r>
        <w:instrText>SEQ Table \* ARABIC</w:instrText>
      </w:r>
      <w:r>
        <w:fldChar w:fldCharType="separate"/>
      </w:r>
      <w:r w:rsidR="009A383C">
        <w:rPr>
          <w:noProof/>
        </w:rPr>
        <w:t>1</w:t>
      </w:r>
      <w:r>
        <w:fldChar w:fldCharType="end"/>
      </w:r>
      <w:bookmarkEnd w:id="21"/>
      <w:r w:rsidR="00F940FA">
        <w:t xml:space="preserve"> </w:t>
      </w:r>
      <w:r w:rsidRPr="00856F40">
        <w:t>The Evaluation Matrix</w:t>
      </w:r>
      <w:bookmarkEnd w:id="22"/>
    </w:p>
    <w:tbl>
      <w:tblPr>
        <w:tblStyle w:val="ItadGreenHeaderRow"/>
        <w:tblW w:w="10295" w:type="dxa"/>
        <w:tblInd w:w="-998" w:type="dxa"/>
        <w:tblLayout w:type="fixed"/>
        <w:tblLook w:val="04A0" w:firstRow="1" w:lastRow="0" w:firstColumn="1" w:lastColumn="0" w:noHBand="0" w:noVBand="1"/>
      </w:tblPr>
      <w:tblGrid>
        <w:gridCol w:w="522"/>
        <w:gridCol w:w="2482"/>
        <w:gridCol w:w="2809"/>
        <w:gridCol w:w="2000"/>
        <w:gridCol w:w="2482"/>
      </w:tblGrid>
      <w:tr w:rsidR="00BB35E1" w:rsidRPr="00AA7A9C" w14:paraId="644551DC" w14:textId="36419A5E" w:rsidTr="00AB52E3">
        <w:trPr>
          <w:cnfStyle w:val="100000000000" w:firstRow="1" w:lastRow="0" w:firstColumn="0" w:lastColumn="0" w:oddVBand="0" w:evenVBand="0" w:oddHBand="0" w:evenHBand="0" w:firstRowFirstColumn="0" w:firstRowLastColumn="0" w:lastRowFirstColumn="0" w:lastRowLastColumn="0"/>
          <w:cantSplit/>
          <w:trHeight w:val="882"/>
          <w:tblHeader/>
        </w:trPr>
        <w:tc>
          <w:tcPr>
            <w:tcW w:w="522" w:type="dxa"/>
            <w:textDirection w:val="btLr"/>
            <w:vAlign w:val="center"/>
          </w:tcPr>
          <w:p w14:paraId="00829EEA" w14:textId="6EAAEE06" w:rsidR="0005594D" w:rsidRPr="007F63EF" w:rsidRDefault="0005594D" w:rsidP="007F63EF">
            <w:pPr>
              <w:spacing w:after="120" w:line="276" w:lineRule="auto"/>
              <w:ind w:left="113" w:right="113"/>
              <w:jc w:val="center"/>
              <w:rPr>
                <w:rFonts w:eastAsia="Calibri" w:cs="Calibri"/>
                <w:b/>
                <w:bCs/>
                <w:color w:val="auto"/>
                <w:sz w:val="20"/>
                <w:szCs w:val="20"/>
              </w:rPr>
            </w:pPr>
            <w:r w:rsidRPr="00AA7A9C">
              <w:rPr>
                <w:rFonts w:eastAsia="Calibri" w:cs="Calibri"/>
                <w:b/>
                <w:bCs/>
                <w:sz w:val="20"/>
                <w:szCs w:val="20"/>
              </w:rPr>
              <w:t>criteria</w:t>
            </w:r>
            <w:r w:rsidRPr="00AA7A9C">
              <w:rPr>
                <w:rStyle w:val="FootnoteReference"/>
                <w:rFonts w:eastAsia="Calibri"/>
                <w:b/>
                <w:bCs/>
              </w:rPr>
              <w:footnoteReference w:id="2"/>
            </w:r>
          </w:p>
        </w:tc>
        <w:tc>
          <w:tcPr>
            <w:tcW w:w="2482" w:type="dxa"/>
          </w:tcPr>
          <w:p w14:paraId="226B88EA" w14:textId="635CF728" w:rsidR="0005594D" w:rsidRPr="00AB52E3" w:rsidRDefault="0005594D" w:rsidP="6A7BF3BC">
            <w:pPr>
              <w:spacing w:after="120" w:line="276" w:lineRule="auto"/>
              <w:jc w:val="both"/>
              <w:rPr>
                <w:rFonts w:eastAsia="Calibri" w:cs="Calibri"/>
                <w:b/>
                <w:bCs/>
                <w:color w:val="auto"/>
                <w:sz w:val="20"/>
                <w:szCs w:val="20"/>
              </w:rPr>
            </w:pPr>
            <w:r w:rsidRPr="00AB52E3">
              <w:rPr>
                <w:rFonts w:eastAsia="Calibri" w:cs="Calibri"/>
                <w:b/>
                <w:bCs/>
                <w:sz w:val="20"/>
                <w:szCs w:val="20"/>
              </w:rPr>
              <w:t>Evaluation Questions</w:t>
            </w:r>
          </w:p>
        </w:tc>
        <w:tc>
          <w:tcPr>
            <w:tcW w:w="2809" w:type="dxa"/>
          </w:tcPr>
          <w:p w14:paraId="3AF1A9BE" w14:textId="2288C92D" w:rsidR="0005594D" w:rsidRPr="00AB52E3" w:rsidRDefault="0005594D" w:rsidP="6A7BF3BC">
            <w:pPr>
              <w:spacing w:after="120" w:line="276" w:lineRule="auto"/>
              <w:jc w:val="both"/>
              <w:rPr>
                <w:rFonts w:eastAsia="Calibri" w:cs="Calibri"/>
                <w:b/>
                <w:bCs/>
                <w:color w:val="auto"/>
                <w:sz w:val="20"/>
                <w:szCs w:val="20"/>
              </w:rPr>
            </w:pPr>
            <w:r w:rsidRPr="00AB52E3">
              <w:rPr>
                <w:rFonts w:eastAsia="Calibri" w:cs="Calibri"/>
                <w:b/>
                <w:bCs/>
                <w:sz w:val="20"/>
                <w:szCs w:val="20"/>
              </w:rPr>
              <w:t>Indicators</w:t>
            </w:r>
          </w:p>
        </w:tc>
        <w:tc>
          <w:tcPr>
            <w:tcW w:w="2000" w:type="dxa"/>
          </w:tcPr>
          <w:p w14:paraId="00651B7F" w14:textId="66288135" w:rsidR="0005594D" w:rsidRPr="00AB52E3" w:rsidRDefault="0005594D" w:rsidP="6A7BF3BC">
            <w:pPr>
              <w:spacing w:after="120" w:line="276" w:lineRule="auto"/>
              <w:jc w:val="both"/>
              <w:rPr>
                <w:rFonts w:eastAsia="Calibri" w:cs="Calibri"/>
                <w:b/>
                <w:bCs/>
                <w:color w:val="auto"/>
                <w:sz w:val="20"/>
                <w:szCs w:val="20"/>
              </w:rPr>
            </w:pPr>
            <w:r w:rsidRPr="00AB52E3">
              <w:rPr>
                <w:rFonts w:eastAsia="Calibri" w:cs="Calibri"/>
                <w:b/>
                <w:bCs/>
                <w:sz w:val="20"/>
                <w:szCs w:val="20"/>
              </w:rPr>
              <w:t>Analytical Methods</w:t>
            </w:r>
          </w:p>
        </w:tc>
        <w:tc>
          <w:tcPr>
            <w:tcW w:w="2482" w:type="dxa"/>
          </w:tcPr>
          <w:p w14:paraId="25DC3A21" w14:textId="340A9FE7" w:rsidR="0005594D" w:rsidRPr="00AB52E3" w:rsidRDefault="0005594D" w:rsidP="6A7BF3BC">
            <w:pPr>
              <w:spacing w:after="120" w:line="276" w:lineRule="auto"/>
              <w:jc w:val="both"/>
              <w:rPr>
                <w:rFonts w:eastAsia="Calibri" w:cs="Calibri"/>
                <w:b/>
                <w:bCs/>
                <w:color w:val="auto"/>
                <w:sz w:val="20"/>
                <w:szCs w:val="20"/>
              </w:rPr>
            </w:pPr>
            <w:r w:rsidRPr="00AB52E3">
              <w:rPr>
                <w:rFonts w:eastAsia="Calibri" w:cs="Calibri"/>
                <w:b/>
                <w:bCs/>
                <w:sz w:val="20"/>
                <w:szCs w:val="20"/>
              </w:rPr>
              <w:t>Data Sources</w:t>
            </w:r>
          </w:p>
        </w:tc>
      </w:tr>
      <w:tr w:rsidR="00BB35E1" w:rsidRPr="00AA7A9C" w14:paraId="76800AFC" w14:textId="2578DF63" w:rsidTr="0005594D">
        <w:trPr>
          <w:cnfStyle w:val="000000100000" w:firstRow="0" w:lastRow="0" w:firstColumn="0" w:lastColumn="0" w:oddVBand="0" w:evenVBand="0" w:oddHBand="1" w:evenHBand="0" w:firstRowFirstColumn="0" w:firstRowLastColumn="0" w:lastRowFirstColumn="0" w:lastRowLastColumn="0"/>
          <w:cantSplit/>
          <w:trHeight w:val="1134"/>
        </w:trPr>
        <w:tc>
          <w:tcPr>
            <w:tcW w:w="522" w:type="dxa"/>
            <w:textDirection w:val="btLr"/>
            <w:vAlign w:val="center"/>
          </w:tcPr>
          <w:p w14:paraId="1614A332" w14:textId="6D947C9E" w:rsidR="0005594D" w:rsidRPr="007F63EF" w:rsidRDefault="0005594D" w:rsidP="007F63EF">
            <w:pPr>
              <w:spacing w:after="120" w:line="276" w:lineRule="auto"/>
              <w:ind w:left="113" w:right="113"/>
              <w:jc w:val="center"/>
              <w:rPr>
                <w:rFonts w:eastAsia="Calibri" w:cs="Calibri"/>
                <w:color w:val="auto"/>
                <w:sz w:val="20"/>
                <w:szCs w:val="20"/>
              </w:rPr>
            </w:pPr>
            <w:r w:rsidRPr="00AA7A9C">
              <w:rPr>
                <w:rFonts w:eastAsia="Calibri" w:cs="Calibri"/>
                <w:sz w:val="20"/>
                <w:szCs w:val="20"/>
              </w:rPr>
              <w:t>Relevance &amp; effectiveness</w:t>
            </w:r>
          </w:p>
        </w:tc>
        <w:tc>
          <w:tcPr>
            <w:tcW w:w="2482" w:type="dxa"/>
          </w:tcPr>
          <w:p w14:paraId="45A694CC" w14:textId="43119F2F"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(EQ1) What has been the increase in the quantity and/or quality of data on Antimicrobial Resistance (AMR) at a country level and to what extent has the Fleming Fund contributed to this increase?</w:t>
            </w:r>
          </w:p>
        </w:tc>
        <w:tc>
          <w:tcPr>
            <w:tcW w:w="2809" w:type="dxa"/>
          </w:tcPr>
          <w:p w14:paraId="13FDEF9C" w14:textId="38341CE3" w:rsidR="0005594D" w:rsidRPr="007F63EF" w:rsidRDefault="00174DDD" w:rsidP="6A7BF3BC">
            <w:pPr>
              <w:spacing w:after="120" w:line="276" w:lineRule="auto"/>
              <w:jc w:val="both"/>
              <w:rPr>
                <w:rFonts w:eastAsia="Calibri" w:cs="Calibri"/>
                <w:color w:val="auto"/>
                <w:sz w:val="20"/>
                <w:szCs w:val="20"/>
              </w:rPr>
            </w:pPr>
            <w:r w:rsidRPr="00AA7A9C">
              <w:rPr>
                <w:rFonts w:eastAsia="Calibri" w:cs="Calibri"/>
                <w:sz w:val="20"/>
                <w:szCs w:val="20"/>
              </w:rPr>
              <w:t>Changes in availability of HH and AH data</w:t>
            </w:r>
            <w:r w:rsidR="00484485" w:rsidRPr="00AA7A9C">
              <w:rPr>
                <w:rFonts w:eastAsia="Calibri" w:cs="Calibri"/>
                <w:sz w:val="20"/>
                <w:szCs w:val="20"/>
              </w:rPr>
              <w:t>:</w:t>
            </w:r>
          </w:p>
          <w:p w14:paraId="5522FE5E" w14:textId="77777777" w:rsidR="00484485" w:rsidRPr="007F63EF" w:rsidRDefault="00484485" w:rsidP="00C6374D">
            <w:pPr>
              <w:pStyle w:val="ListParagraph"/>
              <w:numPr>
                <w:ilvl w:val="1"/>
                <w:numId w:val="51"/>
              </w:numPr>
              <w:spacing w:after="120" w:line="276" w:lineRule="auto"/>
              <w:ind w:left="296" w:hanging="283"/>
              <w:jc w:val="both"/>
              <w:rPr>
                <w:rFonts w:eastAsia="Calibri" w:cs="Calibri"/>
                <w:color w:val="auto"/>
                <w:sz w:val="20"/>
                <w:szCs w:val="20"/>
              </w:rPr>
            </w:pPr>
            <w:r w:rsidRPr="00AA7A9C">
              <w:rPr>
                <w:rFonts w:eastAsia="Calibri" w:cs="Calibri"/>
                <w:sz w:val="20"/>
                <w:szCs w:val="20"/>
              </w:rPr>
              <w:t># patients tested</w:t>
            </w:r>
          </w:p>
          <w:p w14:paraId="6CDDF247" w14:textId="77777777" w:rsidR="00484485" w:rsidRPr="007F63EF" w:rsidRDefault="00484485" w:rsidP="00C6374D">
            <w:pPr>
              <w:pStyle w:val="ListParagraph"/>
              <w:numPr>
                <w:ilvl w:val="1"/>
                <w:numId w:val="51"/>
              </w:numPr>
              <w:spacing w:after="120" w:line="276" w:lineRule="auto"/>
              <w:ind w:left="296" w:hanging="283"/>
              <w:jc w:val="both"/>
              <w:rPr>
                <w:rFonts w:eastAsia="Calibri" w:cs="Calibri"/>
                <w:color w:val="auto"/>
                <w:sz w:val="20"/>
                <w:szCs w:val="20"/>
              </w:rPr>
            </w:pPr>
            <w:r w:rsidRPr="00AA7A9C">
              <w:rPr>
                <w:rFonts w:eastAsia="Calibri" w:cs="Calibri"/>
                <w:sz w:val="20"/>
                <w:szCs w:val="20"/>
              </w:rPr>
              <w:t xml:space="preserve"># isolates </w:t>
            </w:r>
          </w:p>
          <w:p w14:paraId="6E9A9E80" w14:textId="77777777" w:rsidR="00484485" w:rsidRPr="007F63EF" w:rsidRDefault="00484485" w:rsidP="00C6374D">
            <w:pPr>
              <w:pStyle w:val="ListParagraph"/>
              <w:numPr>
                <w:ilvl w:val="1"/>
                <w:numId w:val="51"/>
              </w:numPr>
              <w:spacing w:after="120" w:line="276" w:lineRule="auto"/>
              <w:ind w:left="296" w:hanging="283"/>
              <w:jc w:val="both"/>
              <w:rPr>
                <w:rFonts w:eastAsia="Calibri" w:cs="Calibri"/>
                <w:color w:val="auto"/>
                <w:sz w:val="20"/>
                <w:szCs w:val="20"/>
              </w:rPr>
            </w:pPr>
            <w:r w:rsidRPr="00AA7A9C">
              <w:rPr>
                <w:rFonts w:eastAsia="Calibri" w:cs="Calibri"/>
                <w:sz w:val="20"/>
                <w:szCs w:val="20"/>
              </w:rPr>
              <w:t># samples</w:t>
            </w:r>
          </w:p>
          <w:p w14:paraId="67BEFFE9" w14:textId="1BDF8634" w:rsidR="003176C9" w:rsidRPr="007F63EF" w:rsidRDefault="003176C9" w:rsidP="00C6374D">
            <w:pPr>
              <w:pStyle w:val="ListParagraph"/>
              <w:numPr>
                <w:ilvl w:val="1"/>
                <w:numId w:val="51"/>
              </w:numPr>
              <w:spacing w:after="120" w:line="276" w:lineRule="auto"/>
              <w:ind w:left="296" w:hanging="283"/>
              <w:jc w:val="both"/>
              <w:rPr>
                <w:rFonts w:eastAsia="Calibri" w:cs="Calibri"/>
                <w:color w:val="auto"/>
                <w:sz w:val="20"/>
                <w:szCs w:val="20"/>
              </w:rPr>
            </w:pPr>
            <w:r w:rsidRPr="00AA7A9C">
              <w:rPr>
                <w:rFonts w:eastAsia="Calibri" w:cs="Calibri"/>
                <w:sz w:val="20"/>
                <w:szCs w:val="20"/>
              </w:rPr>
              <w:t xml:space="preserve"># </w:t>
            </w:r>
            <w:r w:rsidR="00AE688B" w:rsidRPr="00AA7A9C">
              <w:rPr>
                <w:rFonts w:eastAsia="Calibri" w:cs="Calibri"/>
                <w:sz w:val="20"/>
                <w:szCs w:val="20"/>
              </w:rPr>
              <w:t>rounds of active sampling (AH only)</w:t>
            </w:r>
          </w:p>
          <w:p w14:paraId="4EC52BF5" w14:textId="1DE89775" w:rsidR="00484485" w:rsidRPr="007F63EF" w:rsidRDefault="00484485" w:rsidP="00484485">
            <w:pPr>
              <w:spacing w:after="120" w:line="276" w:lineRule="auto"/>
              <w:jc w:val="both"/>
              <w:rPr>
                <w:rFonts w:eastAsia="Calibri" w:cs="Calibri"/>
                <w:color w:val="auto"/>
                <w:sz w:val="20"/>
                <w:szCs w:val="20"/>
                <w:lang w:val="fr-FR"/>
              </w:rPr>
            </w:pPr>
            <w:r w:rsidRPr="007F63EF">
              <w:rPr>
                <w:rFonts w:eastAsia="Calibri" w:cs="Calibri"/>
                <w:sz w:val="20"/>
                <w:szCs w:val="20"/>
                <w:lang w:val="fr-FR"/>
              </w:rPr>
              <w:t># surveillance sites</w:t>
            </w:r>
          </w:p>
          <w:p w14:paraId="5B12B468" w14:textId="43DD8E28" w:rsidR="00484485" w:rsidRPr="007F63EF" w:rsidRDefault="003176C9" w:rsidP="00AE688B">
            <w:pPr>
              <w:spacing w:after="120" w:line="276" w:lineRule="auto"/>
              <w:jc w:val="both"/>
              <w:rPr>
                <w:rFonts w:eastAsia="Calibri" w:cs="Calibri"/>
                <w:color w:val="auto"/>
                <w:sz w:val="20"/>
                <w:szCs w:val="20"/>
                <w:lang w:val="fr-FR"/>
              </w:rPr>
            </w:pPr>
            <w:r w:rsidRPr="007F63EF">
              <w:rPr>
                <w:rFonts w:eastAsia="Calibri" w:cs="Calibri"/>
                <w:sz w:val="20"/>
                <w:szCs w:val="20"/>
                <w:lang w:val="fr-FR"/>
              </w:rPr>
              <w:t xml:space="preserve"># GLASS </w:t>
            </w:r>
            <w:r w:rsidRPr="008E341B">
              <w:rPr>
                <w:rFonts w:eastAsia="Calibri" w:cs="Calibri"/>
                <w:sz w:val="20"/>
                <w:szCs w:val="20"/>
                <w:lang w:val="fr-FR"/>
              </w:rPr>
              <w:t>pathogens tested</w:t>
            </w:r>
            <w:r w:rsidRPr="007F63EF">
              <w:rPr>
                <w:rFonts w:eastAsia="Calibri" w:cs="Calibri"/>
                <w:sz w:val="20"/>
                <w:szCs w:val="20"/>
                <w:lang w:val="fr-FR"/>
              </w:rPr>
              <w:t xml:space="preserve"> </w:t>
            </w:r>
          </w:p>
        </w:tc>
        <w:tc>
          <w:tcPr>
            <w:tcW w:w="2000" w:type="dxa"/>
          </w:tcPr>
          <w:p w14:paraId="174CD9DE" w14:textId="3C8F2888"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Contribution analysis</w:t>
            </w:r>
          </w:p>
          <w:p w14:paraId="6F00A2C6" w14:textId="339A7043"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Cross-case Synthesis</w:t>
            </w:r>
          </w:p>
          <w:p w14:paraId="29C33C33" w14:textId="349D604F"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Quantity and Quality analysis</w:t>
            </w:r>
          </w:p>
        </w:tc>
        <w:tc>
          <w:tcPr>
            <w:tcW w:w="2482" w:type="dxa"/>
          </w:tcPr>
          <w:p w14:paraId="323553D5" w14:textId="46D18259"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AMR National Action Plan (NAP) monitoring reports and reports on the implementation of the Global Antimicrobial Resistance Surveillance System (GLASS)</w:t>
            </w:r>
          </w:p>
          <w:p w14:paraId="4EE99A50" w14:textId="6E825929" w:rsidR="0005594D" w:rsidRPr="007F63EF" w:rsidRDefault="0005594D" w:rsidP="00DC3792">
            <w:pPr>
              <w:spacing w:after="120" w:line="276" w:lineRule="auto"/>
              <w:jc w:val="both"/>
              <w:rPr>
                <w:rFonts w:eastAsia="Calibri" w:cs="Calibri"/>
                <w:color w:val="auto"/>
                <w:sz w:val="20"/>
                <w:szCs w:val="20"/>
              </w:rPr>
            </w:pPr>
            <w:r w:rsidRPr="00AA7A9C">
              <w:rPr>
                <w:rFonts w:eastAsia="Calibri" w:cs="Calibri"/>
                <w:sz w:val="20"/>
                <w:szCs w:val="20"/>
              </w:rPr>
              <w:t xml:space="preserve">Managing Agent (Mott MacDonald) (MA) within grant monitoring reports. </w:t>
            </w:r>
          </w:p>
          <w:p w14:paraId="5C7D06CE" w14:textId="1FE95E28"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Key Informant Interviews (KIIs)</w:t>
            </w:r>
          </w:p>
        </w:tc>
      </w:tr>
      <w:tr w:rsidR="00BB35E1" w:rsidRPr="00AA7A9C" w14:paraId="190A7618" w14:textId="374A3B65" w:rsidTr="0005594D">
        <w:trPr>
          <w:cnfStyle w:val="000000010000" w:firstRow="0" w:lastRow="0" w:firstColumn="0" w:lastColumn="0" w:oddVBand="0" w:evenVBand="0" w:oddHBand="0" w:evenHBand="1" w:firstRowFirstColumn="0" w:firstRowLastColumn="0" w:lastRowFirstColumn="0" w:lastRowLastColumn="0"/>
          <w:cantSplit/>
          <w:trHeight w:val="1134"/>
        </w:trPr>
        <w:tc>
          <w:tcPr>
            <w:tcW w:w="522" w:type="dxa"/>
            <w:textDirection w:val="btLr"/>
            <w:vAlign w:val="center"/>
          </w:tcPr>
          <w:p w14:paraId="376B8A7E" w14:textId="4A256C35" w:rsidR="0005594D" w:rsidRPr="007F63EF" w:rsidRDefault="0005594D" w:rsidP="007F63EF">
            <w:pPr>
              <w:spacing w:after="120" w:line="276" w:lineRule="auto"/>
              <w:ind w:left="113" w:right="113"/>
              <w:jc w:val="center"/>
              <w:rPr>
                <w:rFonts w:eastAsia="Calibri" w:cs="Calibri"/>
                <w:color w:val="auto"/>
                <w:sz w:val="20"/>
                <w:szCs w:val="20"/>
              </w:rPr>
            </w:pPr>
            <w:r w:rsidRPr="00AA7A9C">
              <w:rPr>
                <w:rFonts w:eastAsia="Calibri" w:cs="Calibri"/>
                <w:sz w:val="20"/>
                <w:szCs w:val="20"/>
              </w:rPr>
              <w:t>coherence</w:t>
            </w:r>
          </w:p>
        </w:tc>
        <w:tc>
          <w:tcPr>
            <w:tcW w:w="2482" w:type="dxa"/>
          </w:tcPr>
          <w:p w14:paraId="4284D67F" w14:textId="75D99665"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(EQ2) To what extent have the Fleming Fund's investments been aligned and coherent with other relevant investments at the country level?</w:t>
            </w:r>
          </w:p>
        </w:tc>
        <w:tc>
          <w:tcPr>
            <w:tcW w:w="2809" w:type="dxa"/>
          </w:tcPr>
          <w:p w14:paraId="0B9C8F51" w14:textId="77777777" w:rsidR="0005594D" w:rsidRPr="007F63EF" w:rsidRDefault="00B753A5" w:rsidP="6A7BF3BC">
            <w:pPr>
              <w:spacing w:after="120" w:line="276" w:lineRule="auto"/>
              <w:jc w:val="both"/>
              <w:rPr>
                <w:rFonts w:eastAsia="Calibri" w:cs="Calibri"/>
                <w:color w:val="auto"/>
                <w:sz w:val="20"/>
                <w:szCs w:val="20"/>
              </w:rPr>
            </w:pPr>
            <w:r w:rsidRPr="007F63EF">
              <w:rPr>
                <w:rFonts w:eastAsia="Calibri" w:cs="Calibri"/>
                <w:sz w:val="20"/>
                <w:szCs w:val="20"/>
              </w:rPr>
              <w:t>Alignment of FF interventions with national priorities as set out in NAPs</w:t>
            </w:r>
          </w:p>
          <w:p w14:paraId="03FDDF33" w14:textId="743998B9" w:rsidR="00B753A5" w:rsidRPr="007F63EF" w:rsidRDefault="00D45991" w:rsidP="6A7BF3BC">
            <w:pPr>
              <w:spacing w:after="120" w:line="276" w:lineRule="auto"/>
              <w:jc w:val="both"/>
              <w:rPr>
                <w:rFonts w:eastAsia="Calibri" w:cs="Calibri"/>
                <w:color w:val="auto"/>
                <w:sz w:val="20"/>
                <w:szCs w:val="20"/>
              </w:rPr>
            </w:pPr>
            <w:r w:rsidRPr="00AA7A9C">
              <w:rPr>
                <w:rFonts w:eastAsia="Calibri" w:cs="Calibri"/>
                <w:sz w:val="20"/>
                <w:szCs w:val="20"/>
              </w:rPr>
              <w:t xml:space="preserve">Evidence of internal coordination </w:t>
            </w:r>
            <w:r w:rsidR="007A14FE" w:rsidRPr="00AA7A9C">
              <w:rPr>
                <w:rFonts w:eastAsia="Calibri" w:cs="Calibri"/>
                <w:sz w:val="20"/>
                <w:szCs w:val="20"/>
              </w:rPr>
              <w:t xml:space="preserve">and coherence between CGs, RGs, </w:t>
            </w:r>
            <w:r w:rsidR="00B17D35" w:rsidRPr="00AA7A9C">
              <w:rPr>
                <w:rFonts w:eastAsia="Calibri" w:cs="Calibri"/>
                <w:sz w:val="20"/>
                <w:szCs w:val="20"/>
              </w:rPr>
              <w:t xml:space="preserve">Fleming </w:t>
            </w:r>
            <w:r w:rsidR="007A14FE" w:rsidRPr="00AA7A9C">
              <w:rPr>
                <w:rFonts w:eastAsia="Calibri" w:cs="Calibri"/>
                <w:sz w:val="20"/>
                <w:szCs w:val="20"/>
              </w:rPr>
              <w:t>Fellowships and global projects</w:t>
            </w:r>
          </w:p>
          <w:p w14:paraId="56305AF1" w14:textId="7D5F994A" w:rsidR="007A14FE" w:rsidRPr="007F63EF" w:rsidRDefault="004617CE" w:rsidP="6A7BF3BC">
            <w:pPr>
              <w:spacing w:after="120" w:line="276" w:lineRule="auto"/>
              <w:jc w:val="both"/>
              <w:rPr>
                <w:rFonts w:eastAsia="Calibri" w:cs="Calibri"/>
                <w:color w:val="auto"/>
                <w:sz w:val="20"/>
                <w:szCs w:val="20"/>
              </w:rPr>
            </w:pPr>
            <w:r w:rsidRPr="00AA7A9C">
              <w:rPr>
                <w:rFonts w:eastAsia="Calibri" w:cs="Calibri"/>
                <w:sz w:val="20"/>
                <w:szCs w:val="20"/>
              </w:rPr>
              <w:t>A</w:t>
            </w:r>
            <w:r w:rsidR="007A14FE" w:rsidRPr="00AA7A9C">
              <w:rPr>
                <w:rFonts w:eastAsia="Calibri" w:cs="Calibri"/>
                <w:sz w:val="20"/>
                <w:szCs w:val="20"/>
              </w:rPr>
              <w:t xml:space="preserve">lignment </w:t>
            </w:r>
            <w:r w:rsidRPr="00AA7A9C">
              <w:rPr>
                <w:rFonts w:eastAsia="Calibri" w:cs="Calibri"/>
                <w:sz w:val="20"/>
                <w:szCs w:val="20"/>
              </w:rPr>
              <w:t>of FF interventions with interventions funded by other donors</w:t>
            </w:r>
          </w:p>
        </w:tc>
        <w:tc>
          <w:tcPr>
            <w:tcW w:w="2000" w:type="dxa"/>
          </w:tcPr>
          <w:p w14:paraId="20224F5E" w14:textId="19FB3BC3"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Contribution analysis</w:t>
            </w:r>
          </w:p>
          <w:p w14:paraId="56C0AB3C" w14:textId="390E5C20"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 xml:space="preserve">Alignment and Coherence Analysis </w:t>
            </w:r>
          </w:p>
          <w:p w14:paraId="48F5B13E" w14:textId="19A36904"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Cross-case Synthesis</w:t>
            </w:r>
          </w:p>
        </w:tc>
        <w:tc>
          <w:tcPr>
            <w:tcW w:w="2482" w:type="dxa"/>
          </w:tcPr>
          <w:p w14:paraId="6AFE9F9D" w14:textId="4E787103"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MA’s assessment of the surveillance systems and responses in grant assessment formats</w:t>
            </w:r>
          </w:p>
          <w:p w14:paraId="38EB2C02" w14:textId="77777777"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 xml:space="preserve">KIIs </w:t>
            </w:r>
          </w:p>
          <w:p w14:paraId="589AB8FE" w14:textId="3981857F"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Documentation of other delivery partners (DPs) on their support</w:t>
            </w:r>
          </w:p>
        </w:tc>
      </w:tr>
      <w:tr w:rsidR="00BB35E1" w:rsidRPr="00AA7A9C" w14:paraId="113F8DFE" w14:textId="3DAC67D6" w:rsidTr="0005594D">
        <w:trPr>
          <w:cnfStyle w:val="000000100000" w:firstRow="0" w:lastRow="0" w:firstColumn="0" w:lastColumn="0" w:oddVBand="0" w:evenVBand="0" w:oddHBand="1" w:evenHBand="0" w:firstRowFirstColumn="0" w:firstRowLastColumn="0" w:lastRowFirstColumn="0" w:lastRowLastColumn="0"/>
          <w:cantSplit/>
          <w:trHeight w:val="1134"/>
        </w:trPr>
        <w:tc>
          <w:tcPr>
            <w:tcW w:w="522" w:type="dxa"/>
            <w:textDirection w:val="btLr"/>
            <w:vAlign w:val="center"/>
          </w:tcPr>
          <w:p w14:paraId="76334152" w14:textId="6A55A3E8" w:rsidR="0005594D" w:rsidRPr="007F63EF" w:rsidRDefault="0005594D" w:rsidP="007F63EF">
            <w:pPr>
              <w:spacing w:after="120" w:line="276" w:lineRule="auto"/>
              <w:ind w:left="113" w:right="113"/>
              <w:jc w:val="center"/>
              <w:rPr>
                <w:rFonts w:eastAsia="Calibri" w:cs="Calibri"/>
                <w:color w:val="auto"/>
                <w:sz w:val="20"/>
                <w:szCs w:val="20"/>
              </w:rPr>
            </w:pPr>
            <w:r w:rsidRPr="00AA7A9C">
              <w:rPr>
                <w:rFonts w:eastAsia="Calibri" w:cs="Calibri"/>
                <w:sz w:val="20"/>
                <w:szCs w:val="20"/>
              </w:rPr>
              <w:t>sustainability</w:t>
            </w:r>
          </w:p>
        </w:tc>
        <w:tc>
          <w:tcPr>
            <w:tcW w:w="2482" w:type="dxa"/>
          </w:tcPr>
          <w:p w14:paraId="7D2338BE" w14:textId="7F979B71"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(EQ3) How likely are the Fleming Fund's country-level results to be sustained?</w:t>
            </w:r>
          </w:p>
        </w:tc>
        <w:tc>
          <w:tcPr>
            <w:tcW w:w="2809" w:type="dxa"/>
          </w:tcPr>
          <w:p w14:paraId="0CD99198" w14:textId="668FA3ED" w:rsidR="00113626" w:rsidRPr="007F63EF" w:rsidRDefault="00F47B30" w:rsidP="00113626">
            <w:pPr>
              <w:spacing w:after="120" w:line="276" w:lineRule="auto"/>
              <w:jc w:val="both"/>
              <w:rPr>
                <w:rFonts w:eastAsia="Calibri" w:cs="Calibri"/>
                <w:color w:val="auto"/>
                <w:sz w:val="20"/>
                <w:szCs w:val="20"/>
              </w:rPr>
            </w:pPr>
            <w:r w:rsidRPr="00AA7A9C">
              <w:rPr>
                <w:rFonts w:eastAsia="Calibri" w:cs="Calibri"/>
                <w:sz w:val="20"/>
                <w:szCs w:val="20"/>
              </w:rPr>
              <w:t>Existence of current and planned</w:t>
            </w:r>
            <w:r w:rsidR="00113626" w:rsidRPr="00AA7A9C">
              <w:rPr>
                <w:rFonts w:eastAsia="Calibri" w:cs="Calibri"/>
                <w:sz w:val="20"/>
                <w:szCs w:val="20"/>
              </w:rPr>
              <w:t xml:space="preserve"> </w:t>
            </w:r>
            <w:r w:rsidRPr="00AA7A9C">
              <w:rPr>
                <w:rFonts w:eastAsia="Calibri" w:cs="Calibri"/>
                <w:sz w:val="20"/>
                <w:szCs w:val="20"/>
              </w:rPr>
              <w:t xml:space="preserve">arrangements </w:t>
            </w:r>
            <w:r w:rsidR="00113626" w:rsidRPr="00AA7A9C">
              <w:rPr>
                <w:rFonts w:eastAsia="Calibri" w:cs="Calibri"/>
                <w:sz w:val="20"/>
                <w:szCs w:val="20"/>
              </w:rPr>
              <w:t>to ensure key pillars of sustainability in place:</w:t>
            </w:r>
            <w:r w:rsidR="00113626" w:rsidRPr="00AA7A9C">
              <w:rPr>
                <w:rFonts w:eastAsia="Calibri" w:cs="Calibri"/>
                <w:sz w:val="20"/>
                <w:szCs w:val="20"/>
              </w:rPr>
              <w:br/>
              <w:t>- Resources</w:t>
            </w:r>
          </w:p>
          <w:p w14:paraId="701C4B36" w14:textId="77777777" w:rsidR="00113626" w:rsidRPr="007F63EF" w:rsidRDefault="00113626" w:rsidP="00113626">
            <w:pPr>
              <w:spacing w:after="120" w:line="276" w:lineRule="auto"/>
              <w:jc w:val="both"/>
              <w:rPr>
                <w:rFonts w:eastAsia="Calibri" w:cs="Calibri"/>
                <w:color w:val="auto"/>
                <w:sz w:val="20"/>
                <w:szCs w:val="20"/>
              </w:rPr>
            </w:pPr>
            <w:r w:rsidRPr="00AA7A9C">
              <w:rPr>
                <w:rFonts w:eastAsia="Calibri" w:cs="Calibri"/>
                <w:sz w:val="20"/>
                <w:szCs w:val="20"/>
              </w:rPr>
              <w:t xml:space="preserve">- </w:t>
            </w:r>
            <w:r w:rsidRPr="007F63EF">
              <w:rPr>
                <w:rFonts w:eastAsia="Calibri" w:cs="Calibri"/>
                <w:sz w:val="20"/>
                <w:szCs w:val="20"/>
              </w:rPr>
              <w:t>Capacity</w:t>
            </w:r>
          </w:p>
          <w:p w14:paraId="355D8ABE" w14:textId="77777777" w:rsidR="00113626" w:rsidRPr="007F63EF" w:rsidRDefault="00113626" w:rsidP="00113626">
            <w:pPr>
              <w:spacing w:after="120" w:line="276" w:lineRule="auto"/>
              <w:jc w:val="both"/>
              <w:rPr>
                <w:rFonts w:eastAsia="Calibri" w:cs="Calibri"/>
                <w:color w:val="auto"/>
                <w:sz w:val="20"/>
                <w:szCs w:val="20"/>
              </w:rPr>
            </w:pPr>
            <w:r w:rsidRPr="00AA7A9C">
              <w:rPr>
                <w:rFonts w:eastAsia="Calibri" w:cs="Calibri"/>
                <w:sz w:val="20"/>
                <w:szCs w:val="20"/>
              </w:rPr>
              <w:t>- Motivation</w:t>
            </w:r>
          </w:p>
          <w:p w14:paraId="7C083DFA" w14:textId="087BA3F4" w:rsidR="00113626" w:rsidRPr="007F63EF" w:rsidRDefault="00113626" w:rsidP="00113626">
            <w:pPr>
              <w:spacing w:after="120" w:line="276" w:lineRule="auto"/>
              <w:jc w:val="both"/>
              <w:rPr>
                <w:rFonts w:eastAsia="Calibri" w:cs="Calibri"/>
                <w:color w:val="auto"/>
                <w:sz w:val="20"/>
                <w:szCs w:val="20"/>
              </w:rPr>
            </w:pPr>
            <w:r w:rsidRPr="00AA7A9C">
              <w:rPr>
                <w:rFonts w:eastAsia="Calibri" w:cs="Calibri"/>
                <w:sz w:val="20"/>
                <w:szCs w:val="20"/>
              </w:rPr>
              <w:t>- Plans (e.g. exit strategies)</w:t>
            </w:r>
          </w:p>
        </w:tc>
        <w:tc>
          <w:tcPr>
            <w:tcW w:w="2000" w:type="dxa"/>
          </w:tcPr>
          <w:p w14:paraId="3FAF806F" w14:textId="4BBBBB2B"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Sustainability Analysis</w:t>
            </w:r>
          </w:p>
          <w:p w14:paraId="176A9786" w14:textId="0747704E"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Cross-case Synthesis</w:t>
            </w:r>
          </w:p>
        </w:tc>
        <w:tc>
          <w:tcPr>
            <w:tcW w:w="2482" w:type="dxa"/>
          </w:tcPr>
          <w:p w14:paraId="5861A7BE" w14:textId="3A2C1A0B"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MA’s assessment of the surveillance systems and responses in grant assessment formats</w:t>
            </w:r>
          </w:p>
          <w:p w14:paraId="0D448F47" w14:textId="67A0B20E"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 xml:space="preserve">MA within grant monitoring reports evidence on </w:t>
            </w:r>
          </w:p>
          <w:p w14:paraId="1723DA70" w14:textId="0613AD56"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KIIs</w:t>
            </w:r>
          </w:p>
        </w:tc>
      </w:tr>
      <w:tr w:rsidR="00BB35E1" w:rsidRPr="00AA7A9C" w14:paraId="6BADD1C7" w14:textId="7EE9A8C9" w:rsidTr="0005594D">
        <w:trPr>
          <w:cnfStyle w:val="000000010000" w:firstRow="0" w:lastRow="0" w:firstColumn="0" w:lastColumn="0" w:oddVBand="0" w:evenVBand="0" w:oddHBand="0" w:evenHBand="1" w:firstRowFirstColumn="0" w:firstRowLastColumn="0" w:lastRowFirstColumn="0" w:lastRowLastColumn="0"/>
          <w:cantSplit/>
          <w:trHeight w:val="1134"/>
        </w:trPr>
        <w:tc>
          <w:tcPr>
            <w:tcW w:w="522" w:type="dxa"/>
            <w:textDirection w:val="btLr"/>
            <w:vAlign w:val="center"/>
          </w:tcPr>
          <w:p w14:paraId="3CDF30C9" w14:textId="44D068F2" w:rsidR="0005594D" w:rsidRPr="007F63EF" w:rsidRDefault="0005594D" w:rsidP="007F63EF">
            <w:pPr>
              <w:spacing w:after="120" w:line="276" w:lineRule="auto"/>
              <w:ind w:left="113" w:right="113"/>
              <w:jc w:val="center"/>
              <w:rPr>
                <w:rFonts w:eastAsia="Calibri" w:cs="Calibri"/>
                <w:color w:val="auto"/>
                <w:sz w:val="20"/>
                <w:szCs w:val="20"/>
              </w:rPr>
            </w:pPr>
            <w:r w:rsidRPr="00AA7A9C">
              <w:rPr>
                <w:rFonts w:eastAsia="Calibri" w:cs="Calibri"/>
                <w:sz w:val="20"/>
                <w:szCs w:val="20"/>
              </w:rPr>
              <w:t>Effectiveness</w:t>
            </w:r>
          </w:p>
        </w:tc>
        <w:tc>
          <w:tcPr>
            <w:tcW w:w="2482" w:type="dxa"/>
          </w:tcPr>
          <w:p w14:paraId="76B23786" w14:textId="109EF30F"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(EQ4) Has, or is it likely that, the increase in AMR data influenced: (a) changes in national policies/regulations; and/or (b) changes in practice and attitudes in country?</w:t>
            </w:r>
          </w:p>
        </w:tc>
        <w:tc>
          <w:tcPr>
            <w:tcW w:w="2809" w:type="dxa"/>
          </w:tcPr>
          <w:p w14:paraId="5F20946E" w14:textId="29F154B1" w:rsidR="0005594D" w:rsidRPr="007F63EF" w:rsidRDefault="009C2943" w:rsidP="6A7BF3BC">
            <w:pPr>
              <w:spacing w:after="120" w:line="276" w:lineRule="auto"/>
              <w:jc w:val="both"/>
              <w:rPr>
                <w:rFonts w:eastAsia="Calibri" w:cs="Calibri"/>
                <w:color w:val="auto"/>
                <w:sz w:val="20"/>
                <w:szCs w:val="20"/>
              </w:rPr>
            </w:pPr>
            <w:r w:rsidRPr="00AA7A9C">
              <w:rPr>
                <w:rFonts w:eastAsia="Calibri" w:cs="Calibri"/>
                <w:sz w:val="20"/>
                <w:szCs w:val="20"/>
              </w:rPr>
              <w:t xml:space="preserve">Existence of key conditions to promote use of AMR </w:t>
            </w:r>
            <w:r w:rsidR="006003F4" w:rsidRPr="00AA7A9C">
              <w:rPr>
                <w:rFonts w:eastAsia="Calibri" w:cs="Calibri"/>
                <w:sz w:val="20"/>
                <w:szCs w:val="20"/>
              </w:rPr>
              <w:t xml:space="preserve">surveillance </w:t>
            </w:r>
            <w:r w:rsidRPr="00AA7A9C">
              <w:rPr>
                <w:rFonts w:eastAsia="Calibri" w:cs="Calibri"/>
                <w:sz w:val="20"/>
                <w:szCs w:val="20"/>
              </w:rPr>
              <w:t>data for national-level policy</w:t>
            </w:r>
            <w:r w:rsidR="006003F4" w:rsidRPr="00AA7A9C">
              <w:rPr>
                <w:rFonts w:eastAsia="Calibri" w:cs="Calibri"/>
                <w:sz w:val="20"/>
                <w:szCs w:val="20"/>
              </w:rPr>
              <w:t>/</w:t>
            </w:r>
            <w:r w:rsidRPr="00AA7A9C">
              <w:rPr>
                <w:rFonts w:eastAsia="Calibri" w:cs="Calibri"/>
                <w:sz w:val="20"/>
                <w:szCs w:val="20"/>
              </w:rPr>
              <w:t>regulation</w:t>
            </w:r>
            <w:r w:rsidR="006003F4" w:rsidRPr="00AA7A9C">
              <w:rPr>
                <w:rFonts w:eastAsia="Calibri" w:cs="Calibri"/>
                <w:sz w:val="20"/>
                <w:szCs w:val="20"/>
              </w:rPr>
              <w:t xml:space="preserve"> change</w:t>
            </w:r>
          </w:p>
          <w:p w14:paraId="721F7744" w14:textId="2C5BF3E3" w:rsidR="006003F4" w:rsidRPr="007F63EF" w:rsidRDefault="006003F4" w:rsidP="6A7BF3BC">
            <w:pPr>
              <w:spacing w:after="120" w:line="276" w:lineRule="auto"/>
              <w:jc w:val="both"/>
              <w:rPr>
                <w:rFonts w:eastAsia="Calibri" w:cs="Calibri"/>
                <w:color w:val="auto"/>
                <w:sz w:val="20"/>
                <w:szCs w:val="20"/>
              </w:rPr>
            </w:pPr>
            <w:r w:rsidRPr="00AA7A9C">
              <w:rPr>
                <w:rFonts w:eastAsia="Calibri" w:cs="Calibri"/>
                <w:sz w:val="20"/>
                <w:szCs w:val="20"/>
              </w:rPr>
              <w:t>Evidence of use of AMR surveillance data at facility level</w:t>
            </w:r>
          </w:p>
        </w:tc>
        <w:tc>
          <w:tcPr>
            <w:tcW w:w="2000" w:type="dxa"/>
          </w:tcPr>
          <w:p w14:paraId="4E387A63" w14:textId="024A294F"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National policy agenda analysis (Multiple Streams Analysis)</w:t>
            </w:r>
          </w:p>
          <w:p w14:paraId="30DCE7AE" w14:textId="2223BD1B" w:rsidR="0005594D" w:rsidRPr="007F63EF" w:rsidRDefault="0005594D" w:rsidP="06450652">
            <w:pPr>
              <w:spacing w:after="120" w:line="276" w:lineRule="auto"/>
              <w:jc w:val="both"/>
              <w:rPr>
                <w:rFonts w:eastAsia="Calibri" w:cs="Calibri"/>
                <w:color w:val="auto"/>
                <w:sz w:val="20"/>
                <w:szCs w:val="20"/>
              </w:rPr>
            </w:pPr>
            <w:r w:rsidRPr="00AA7A9C">
              <w:rPr>
                <w:rFonts w:eastAsia="Calibri" w:cs="Calibri"/>
                <w:sz w:val="20"/>
                <w:szCs w:val="20"/>
              </w:rPr>
              <w:t>Stories of change case studies (Examples of USE analysis)</w:t>
            </w:r>
          </w:p>
          <w:p w14:paraId="68BE43BF" w14:textId="75A07410" w:rsidR="0005594D" w:rsidRPr="007F63EF" w:rsidRDefault="0005594D" w:rsidP="06450652">
            <w:pPr>
              <w:spacing w:after="120" w:line="276" w:lineRule="auto"/>
              <w:jc w:val="both"/>
              <w:rPr>
                <w:rFonts w:eastAsia="Calibri" w:cs="Calibri"/>
                <w:color w:val="auto"/>
                <w:sz w:val="20"/>
                <w:szCs w:val="20"/>
              </w:rPr>
            </w:pPr>
            <w:r w:rsidRPr="00AA7A9C">
              <w:rPr>
                <w:rFonts w:eastAsia="Calibri" w:cs="Calibri"/>
                <w:sz w:val="20"/>
                <w:szCs w:val="20"/>
              </w:rPr>
              <w:t>Contribution analysis</w:t>
            </w:r>
          </w:p>
          <w:p w14:paraId="567EEE42" w14:textId="04E66462"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Cross-case Synthesis</w:t>
            </w:r>
          </w:p>
        </w:tc>
        <w:tc>
          <w:tcPr>
            <w:tcW w:w="2482" w:type="dxa"/>
          </w:tcPr>
          <w:p w14:paraId="2CA9E5F9" w14:textId="1A0F85D4"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 xml:space="preserve">AMR NAP monitoring reports </w:t>
            </w:r>
          </w:p>
          <w:p w14:paraId="11E0CD5C" w14:textId="6FB37202" w:rsidR="0005594D" w:rsidRPr="007F63EF" w:rsidRDefault="0005594D" w:rsidP="06450652">
            <w:pPr>
              <w:spacing w:after="120" w:line="276" w:lineRule="auto"/>
              <w:jc w:val="both"/>
              <w:rPr>
                <w:rFonts w:eastAsia="Calibri" w:cs="Calibri"/>
                <w:color w:val="auto"/>
                <w:sz w:val="20"/>
                <w:szCs w:val="20"/>
              </w:rPr>
            </w:pPr>
            <w:r w:rsidRPr="00AA7A9C">
              <w:rPr>
                <w:rFonts w:eastAsia="Calibri" w:cs="Calibri"/>
                <w:sz w:val="20"/>
                <w:szCs w:val="20"/>
              </w:rPr>
              <w:t>TrACSS survey</w:t>
            </w:r>
          </w:p>
          <w:p w14:paraId="709D06B8" w14:textId="362E7B53" w:rsidR="0005594D" w:rsidRPr="007F63EF" w:rsidRDefault="0005594D" w:rsidP="06450652">
            <w:pPr>
              <w:spacing w:after="120" w:line="276" w:lineRule="auto"/>
              <w:jc w:val="both"/>
              <w:rPr>
                <w:rFonts w:eastAsia="Calibri" w:cs="Calibri"/>
                <w:color w:val="auto"/>
                <w:sz w:val="20"/>
                <w:szCs w:val="20"/>
              </w:rPr>
            </w:pPr>
            <w:r w:rsidRPr="00AA7A9C">
              <w:rPr>
                <w:rFonts w:eastAsia="Calibri" w:cs="Calibri"/>
                <w:sz w:val="20"/>
                <w:szCs w:val="20"/>
              </w:rPr>
              <w:t>National AMR policy literature</w:t>
            </w:r>
          </w:p>
          <w:p w14:paraId="2E4F9CE3" w14:textId="0B950AB8" w:rsidR="0005594D" w:rsidRPr="007F63EF" w:rsidRDefault="0005594D" w:rsidP="00DC3792">
            <w:pPr>
              <w:spacing w:after="120" w:line="276" w:lineRule="auto"/>
              <w:jc w:val="both"/>
              <w:rPr>
                <w:rFonts w:eastAsia="Calibri" w:cs="Calibri"/>
                <w:color w:val="auto"/>
                <w:sz w:val="20"/>
                <w:szCs w:val="20"/>
              </w:rPr>
            </w:pPr>
            <w:r w:rsidRPr="00AA7A9C">
              <w:rPr>
                <w:rFonts w:eastAsia="Calibri" w:cs="Calibri"/>
                <w:sz w:val="20"/>
                <w:szCs w:val="20"/>
              </w:rPr>
              <w:t>MA within grant monitoring reports</w:t>
            </w:r>
          </w:p>
          <w:p w14:paraId="10528926" w14:textId="14412390"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KIIs</w:t>
            </w:r>
          </w:p>
        </w:tc>
      </w:tr>
      <w:tr w:rsidR="00BB35E1" w:rsidRPr="00AA7A9C" w14:paraId="111829D7" w14:textId="688D38D4" w:rsidTr="0005594D">
        <w:trPr>
          <w:cnfStyle w:val="000000100000" w:firstRow="0" w:lastRow="0" w:firstColumn="0" w:lastColumn="0" w:oddVBand="0" w:evenVBand="0" w:oddHBand="1" w:evenHBand="0" w:firstRowFirstColumn="0" w:firstRowLastColumn="0" w:lastRowFirstColumn="0" w:lastRowLastColumn="0"/>
          <w:cantSplit/>
          <w:trHeight w:val="2484"/>
        </w:trPr>
        <w:tc>
          <w:tcPr>
            <w:tcW w:w="522" w:type="dxa"/>
            <w:textDirection w:val="btLr"/>
            <w:vAlign w:val="center"/>
          </w:tcPr>
          <w:p w14:paraId="665A512B" w14:textId="020A751E" w:rsidR="0005594D" w:rsidRPr="007F63EF" w:rsidRDefault="0005594D" w:rsidP="007F63EF">
            <w:pPr>
              <w:spacing w:after="120" w:line="276" w:lineRule="auto"/>
              <w:ind w:left="113" w:right="113"/>
              <w:jc w:val="center"/>
              <w:rPr>
                <w:rFonts w:eastAsia="Calibri" w:cs="Calibri"/>
                <w:color w:val="auto"/>
                <w:sz w:val="20"/>
                <w:szCs w:val="20"/>
              </w:rPr>
            </w:pPr>
            <w:r w:rsidRPr="00AA7A9C">
              <w:rPr>
                <w:rFonts w:eastAsia="Calibri" w:cs="Calibri"/>
                <w:sz w:val="20"/>
                <w:szCs w:val="20"/>
              </w:rPr>
              <w:t>Relevance &amp; effectiveness</w:t>
            </w:r>
          </w:p>
        </w:tc>
        <w:tc>
          <w:tcPr>
            <w:tcW w:w="2482" w:type="dxa"/>
          </w:tcPr>
          <w:p w14:paraId="08B4A549" w14:textId="33C34C7E"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 xml:space="preserve">(EQ5) What has been the increase in quality data shared and reported internationally and has the Fleming Fund contributed to this? </w:t>
            </w:r>
          </w:p>
        </w:tc>
        <w:tc>
          <w:tcPr>
            <w:tcW w:w="2809" w:type="dxa"/>
          </w:tcPr>
          <w:p w14:paraId="7061C95A" w14:textId="77777777" w:rsidR="00AE688B" w:rsidRPr="007F63EF" w:rsidRDefault="00AE688B" w:rsidP="00C6374D">
            <w:pPr>
              <w:pStyle w:val="ListParagraph"/>
              <w:numPr>
                <w:ilvl w:val="1"/>
                <w:numId w:val="51"/>
              </w:numPr>
              <w:spacing w:after="120" w:line="276" w:lineRule="auto"/>
              <w:ind w:left="296" w:hanging="283"/>
              <w:jc w:val="both"/>
              <w:rPr>
                <w:rFonts w:eastAsia="Calibri" w:cs="Calibri"/>
                <w:color w:val="auto"/>
                <w:sz w:val="20"/>
                <w:szCs w:val="20"/>
              </w:rPr>
            </w:pPr>
            <w:r w:rsidRPr="00AA7A9C">
              <w:rPr>
                <w:rFonts w:eastAsia="Calibri" w:cs="Calibri"/>
                <w:sz w:val="20"/>
                <w:szCs w:val="20"/>
              </w:rPr>
              <w:t># patients tested</w:t>
            </w:r>
          </w:p>
          <w:p w14:paraId="7276663F" w14:textId="77777777" w:rsidR="00AE688B" w:rsidRPr="007F63EF" w:rsidRDefault="00AE688B" w:rsidP="00C6374D">
            <w:pPr>
              <w:pStyle w:val="ListParagraph"/>
              <w:numPr>
                <w:ilvl w:val="1"/>
                <w:numId w:val="51"/>
              </w:numPr>
              <w:spacing w:after="120" w:line="276" w:lineRule="auto"/>
              <w:ind w:left="296" w:hanging="283"/>
              <w:jc w:val="both"/>
              <w:rPr>
                <w:rFonts w:eastAsia="Calibri" w:cs="Calibri"/>
                <w:color w:val="auto"/>
                <w:sz w:val="20"/>
                <w:szCs w:val="20"/>
              </w:rPr>
            </w:pPr>
            <w:r w:rsidRPr="00AA7A9C">
              <w:rPr>
                <w:rFonts w:eastAsia="Calibri" w:cs="Calibri"/>
                <w:sz w:val="20"/>
                <w:szCs w:val="20"/>
              </w:rPr>
              <w:t xml:space="preserve"># isolates </w:t>
            </w:r>
          </w:p>
          <w:p w14:paraId="433D7619" w14:textId="77777777" w:rsidR="00AE688B" w:rsidRPr="007F63EF" w:rsidRDefault="00AE688B" w:rsidP="00C6374D">
            <w:pPr>
              <w:pStyle w:val="ListParagraph"/>
              <w:numPr>
                <w:ilvl w:val="1"/>
                <w:numId w:val="51"/>
              </w:numPr>
              <w:spacing w:after="120" w:line="276" w:lineRule="auto"/>
              <w:ind w:left="296" w:hanging="283"/>
              <w:jc w:val="both"/>
              <w:rPr>
                <w:rFonts w:eastAsia="Calibri" w:cs="Calibri"/>
                <w:color w:val="auto"/>
                <w:sz w:val="20"/>
                <w:szCs w:val="20"/>
              </w:rPr>
            </w:pPr>
            <w:r w:rsidRPr="00AA7A9C">
              <w:rPr>
                <w:rFonts w:eastAsia="Calibri" w:cs="Calibri"/>
                <w:sz w:val="20"/>
                <w:szCs w:val="20"/>
              </w:rPr>
              <w:t># samples</w:t>
            </w:r>
          </w:p>
          <w:p w14:paraId="27E876A0" w14:textId="77777777" w:rsidR="00AE688B" w:rsidRPr="007F63EF" w:rsidRDefault="00AE688B" w:rsidP="00C6374D">
            <w:pPr>
              <w:pStyle w:val="ListParagraph"/>
              <w:numPr>
                <w:ilvl w:val="1"/>
                <w:numId w:val="51"/>
              </w:numPr>
              <w:spacing w:after="120" w:line="276" w:lineRule="auto"/>
              <w:ind w:left="296" w:hanging="283"/>
              <w:jc w:val="both"/>
              <w:rPr>
                <w:rFonts w:eastAsia="Calibri" w:cs="Calibri"/>
                <w:color w:val="auto"/>
                <w:sz w:val="20"/>
                <w:szCs w:val="20"/>
              </w:rPr>
            </w:pPr>
            <w:r w:rsidRPr="00AA7A9C">
              <w:rPr>
                <w:rFonts w:eastAsia="Calibri" w:cs="Calibri"/>
                <w:sz w:val="20"/>
                <w:szCs w:val="20"/>
              </w:rPr>
              <w:t># rounds of active sampling (AH only)</w:t>
            </w:r>
          </w:p>
          <w:p w14:paraId="1C1B8DED" w14:textId="77777777" w:rsidR="00AE688B" w:rsidRPr="007F63EF" w:rsidRDefault="00AE688B" w:rsidP="00AE688B">
            <w:pPr>
              <w:spacing w:after="120" w:line="276" w:lineRule="auto"/>
              <w:jc w:val="both"/>
              <w:rPr>
                <w:rFonts w:eastAsia="Calibri" w:cs="Calibri"/>
                <w:color w:val="auto"/>
                <w:sz w:val="20"/>
                <w:szCs w:val="20"/>
                <w:lang w:val="fr-FR"/>
              </w:rPr>
            </w:pPr>
            <w:r w:rsidRPr="007F63EF">
              <w:rPr>
                <w:rFonts w:eastAsia="Calibri" w:cs="Calibri"/>
                <w:sz w:val="20"/>
                <w:szCs w:val="20"/>
                <w:lang w:val="fr-FR"/>
              </w:rPr>
              <w:t># surveillance sites</w:t>
            </w:r>
          </w:p>
          <w:p w14:paraId="1E6B6F9D" w14:textId="6FC6AD2C" w:rsidR="0005594D" w:rsidRPr="007F63EF" w:rsidRDefault="00AE688B" w:rsidP="00AE688B">
            <w:pPr>
              <w:spacing w:after="120" w:line="276" w:lineRule="auto"/>
              <w:jc w:val="both"/>
              <w:rPr>
                <w:rFonts w:eastAsia="Calibri" w:cs="Calibri"/>
                <w:color w:val="auto"/>
                <w:sz w:val="20"/>
                <w:szCs w:val="20"/>
                <w:lang w:val="fr-FR"/>
              </w:rPr>
            </w:pPr>
            <w:r w:rsidRPr="007F63EF">
              <w:rPr>
                <w:rFonts w:eastAsia="Calibri" w:cs="Calibri"/>
                <w:sz w:val="20"/>
                <w:szCs w:val="20"/>
                <w:lang w:val="fr-FR"/>
              </w:rPr>
              <w:t xml:space="preserve"># </w:t>
            </w:r>
            <w:r w:rsidRPr="008E341B">
              <w:rPr>
                <w:rFonts w:eastAsia="Calibri" w:cs="Calibri"/>
                <w:sz w:val="20"/>
                <w:szCs w:val="20"/>
                <w:lang w:val="fr-FR"/>
              </w:rPr>
              <w:t>GLASS pathogens tested</w:t>
            </w:r>
            <w:r w:rsidRPr="007F63EF">
              <w:rPr>
                <w:rFonts w:eastAsia="Calibri" w:cs="Calibri"/>
                <w:sz w:val="20"/>
                <w:szCs w:val="20"/>
                <w:lang w:val="fr-FR"/>
              </w:rPr>
              <w:t xml:space="preserve"> </w:t>
            </w:r>
          </w:p>
        </w:tc>
        <w:tc>
          <w:tcPr>
            <w:tcW w:w="2000" w:type="dxa"/>
          </w:tcPr>
          <w:p w14:paraId="1DA80E08" w14:textId="4563BD8C"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Contribution analysis</w:t>
            </w:r>
          </w:p>
          <w:p w14:paraId="2FA5DE17" w14:textId="532F0393"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Quantity and Quality analysis</w:t>
            </w:r>
          </w:p>
        </w:tc>
        <w:tc>
          <w:tcPr>
            <w:tcW w:w="2482" w:type="dxa"/>
          </w:tcPr>
          <w:p w14:paraId="4B1E18A5" w14:textId="7E0EBCD2" w:rsidR="0005594D" w:rsidRPr="007F63EF" w:rsidRDefault="0005594D" w:rsidP="007D191E">
            <w:pPr>
              <w:spacing w:after="120" w:line="276" w:lineRule="auto"/>
              <w:jc w:val="both"/>
              <w:rPr>
                <w:rFonts w:eastAsia="Calibri" w:cs="Calibri"/>
                <w:color w:val="auto"/>
                <w:sz w:val="20"/>
                <w:szCs w:val="20"/>
              </w:rPr>
            </w:pPr>
            <w:r w:rsidRPr="00AA7A9C">
              <w:rPr>
                <w:rFonts w:eastAsia="Calibri" w:cs="Calibri"/>
                <w:sz w:val="20"/>
                <w:szCs w:val="20"/>
              </w:rPr>
              <w:t xml:space="preserve">MA within grant monitoring reports. </w:t>
            </w:r>
          </w:p>
          <w:p w14:paraId="514621F1" w14:textId="5A538CFA"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World Health Organization (WHO) GLASS reports late 2017, late 2019, and late 2021</w:t>
            </w:r>
          </w:p>
          <w:p w14:paraId="61021145" w14:textId="518E544B"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KIIs</w:t>
            </w:r>
          </w:p>
        </w:tc>
      </w:tr>
      <w:tr w:rsidR="00BB35E1" w:rsidRPr="00AA7A9C" w14:paraId="56783559" w14:textId="613E99C4" w:rsidTr="0005594D">
        <w:trPr>
          <w:cnfStyle w:val="000000010000" w:firstRow="0" w:lastRow="0" w:firstColumn="0" w:lastColumn="0" w:oddVBand="0" w:evenVBand="0" w:oddHBand="0" w:evenHBand="1" w:firstRowFirstColumn="0" w:firstRowLastColumn="0" w:lastRowFirstColumn="0" w:lastRowLastColumn="0"/>
          <w:cantSplit/>
          <w:trHeight w:val="1134"/>
        </w:trPr>
        <w:tc>
          <w:tcPr>
            <w:tcW w:w="522" w:type="dxa"/>
            <w:textDirection w:val="btLr"/>
            <w:vAlign w:val="center"/>
          </w:tcPr>
          <w:p w14:paraId="496DA724" w14:textId="0A88BD97" w:rsidR="0005594D" w:rsidRPr="007F63EF" w:rsidRDefault="0005594D" w:rsidP="007F63EF">
            <w:pPr>
              <w:spacing w:after="120" w:line="276" w:lineRule="auto"/>
              <w:ind w:left="113" w:right="113"/>
              <w:jc w:val="center"/>
              <w:rPr>
                <w:rFonts w:eastAsia="Calibri" w:cs="Calibri"/>
                <w:color w:val="auto"/>
                <w:sz w:val="20"/>
                <w:szCs w:val="20"/>
              </w:rPr>
            </w:pPr>
            <w:r w:rsidRPr="00AA7A9C">
              <w:rPr>
                <w:rFonts w:eastAsia="Calibri" w:cs="Calibri"/>
                <w:sz w:val="20"/>
                <w:szCs w:val="20"/>
              </w:rPr>
              <w:t>Efficiency</w:t>
            </w:r>
          </w:p>
        </w:tc>
        <w:tc>
          <w:tcPr>
            <w:tcW w:w="2482" w:type="dxa"/>
          </w:tcPr>
          <w:p w14:paraId="73F68210" w14:textId="6127A83A"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(EQ6) Did the Fleming Fund's investments at the country level offer Value for Money (VfM)?</w:t>
            </w:r>
          </w:p>
        </w:tc>
        <w:tc>
          <w:tcPr>
            <w:tcW w:w="2809" w:type="dxa"/>
          </w:tcPr>
          <w:p w14:paraId="470FCD0A" w14:textId="77777777" w:rsidR="0005594D" w:rsidRPr="007F63EF" w:rsidRDefault="00CC5A33" w:rsidP="6A7BF3BC">
            <w:pPr>
              <w:spacing w:after="120" w:line="276" w:lineRule="auto"/>
              <w:jc w:val="both"/>
              <w:rPr>
                <w:rFonts w:eastAsia="Calibri" w:cs="Calibri"/>
                <w:color w:val="auto"/>
                <w:sz w:val="20"/>
                <w:szCs w:val="20"/>
              </w:rPr>
            </w:pPr>
            <w:r w:rsidRPr="00AA7A9C">
              <w:rPr>
                <w:rFonts w:eastAsia="Calibri" w:cs="Calibri"/>
                <w:sz w:val="20"/>
                <w:szCs w:val="20"/>
              </w:rPr>
              <w:t>Evidence that systems to manage for VfM are in place and aligned with best practice</w:t>
            </w:r>
          </w:p>
          <w:p w14:paraId="2F6AC977" w14:textId="2719B41D" w:rsidR="00CC5A33" w:rsidRPr="007F63EF" w:rsidRDefault="00CC5A33" w:rsidP="6A7BF3BC">
            <w:pPr>
              <w:spacing w:after="120" w:line="276" w:lineRule="auto"/>
              <w:jc w:val="both"/>
              <w:rPr>
                <w:rFonts w:eastAsia="Calibri" w:cs="Calibri"/>
                <w:color w:val="auto"/>
                <w:sz w:val="20"/>
                <w:szCs w:val="20"/>
              </w:rPr>
            </w:pPr>
            <w:r w:rsidRPr="00AA7A9C">
              <w:rPr>
                <w:rFonts w:eastAsia="Calibri" w:cs="Calibri"/>
                <w:sz w:val="20"/>
                <w:szCs w:val="20"/>
              </w:rPr>
              <w:t xml:space="preserve">Evidence that VfM systems are delivering VfM in terms of economy, efficiency, </w:t>
            </w:r>
            <w:r w:rsidR="00C06312" w:rsidRPr="00AA7A9C">
              <w:rPr>
                <w:rFonts w:eastAsia="Calibri" w:cs="Calibri"/>
                <w:sz w:val="20"/>
                <w:szCs w:val="20"/>
              </w:rPr>
              <w:t>effectiveness.</w:t>
            </w:r>
          </w:p>
        </w:tc>
        <w:tc>
          <w:tcPr>
            <w:tcW w:w="2000" w:type="dxa"/>
          </w:tcPr>
          <w:p w14:paraId="134F0278" w14:textId="7AF8A1F9"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VfM analysis</w:t>
            </w:r>
          </w:p>
          <w:p w14:paraId="1562BBA5" w14:textId="77B0494F"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Contribution analysis</w:t>
            </w:r>
          </w:p>
          <w:p w14:paraId="1A1D7B87" w14:textId="15A5A625"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Cross-case Synthesis</w:t>
            </w:r>
          </w:p>
        </w:tc>
        <w:tc>
          <w:tcPr>
            <w:tcW w:w="2482" w:type="dxa"/>
          </w:tcPr>
          <w:p w14:paraId="6A1F0DF5" w14:textId="5454C288"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MA’s assessment of the surveillance systems and responses in grant assessment formats on efficiency and economy</w:t>
            </w:r>
          </w:p>
          <w:p w14:paraId="0C1171D6" w14:textId="0EE3A92B"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MA within grant monitoring reports evidence of efficiency and economy achieved</w:t>
            </w:r>
          </w:p>
          <w:p w14:paraId="119A231D" w14:textId="52234874" w:rsidR="0005594D" w:rsidRPr="007F63EF" w:rsidRDefault="0005594D" w:rsidP="6A7BF3BC">
            <w:pPr>
              <w:spacing w:after="120" w:line="276" w:lineRule="auto"/>
              <w:jc w:val="both"/>
              <w:rPr>
                <w:rFonts w:eastAsia="Calibri" w:cs="Calibri"/>
                <w:color w:val="auto"/>
                <w:sz w:val="20"/>
                <w:szCs w:val="20"/>
              </w:rPr>
            </w:pPr>
            <w:r w:rsidRPr="00AA7A9C">
              <w:rPr>
                <w:rFonts w:eastAsia="Calibri" w:cs="Calibri"/>
                <w:sz w:val="20"/>
                <w:szCs w:val="20"/>
              </w:rPr>
              <w:t>KIIs</w:t>
            </w:r>
          </w:p>
        </w:tc>
      </w:tr>
    </w:tbl>
    <w:p w14:paraId="76078C53" w14:textId="77777777" w:rsidR="001321EC" w:rsidRDefault="000B7513" w:rsidP="00093F07">
      <w:pPr>
        <w:pStyle w:val="ItadH1"/>
        <w:rPr>
          <w:lang w:val="it-IT"/>
        </w:rPr>
      </w:pPr>
      <w:r>
        <w:rPr>
          <w:lang w:val="it-IT"/>
        </w:rPr>
        <w:br w:type="page"/>
      </w:r>
    </w:p>
    <w:p w14:paraId="4F02D97A" w14:textId="03889427" w:rsidR="00CE014E" w:rsidRDefault="00CE014E" w:rsidP="00CE014E">
      <w:pPr>
        <w:pStyle w:val="ItadH1Numbered"/>
        <w:numPr>
          <w:ilvl w:val="0"/>
          <w:numId w:val="0"/>
        </w:numPr>
      </w:pPr>
      <w:bookmarkStart w:id="23" w:name="_Toc118968496"/>
      <w:bookmarkStart w:id="24" w:name="_Toc142383136"/>
      <w:r w:rsidRPr="007C65F2">
        <w:t xml:space="preserve">Annex </w:t>
      </w:r>
      <w:r w:rsidR="00C33665">
        <w:t>3</w:t>
      </w:r>
      <w:r w:rsidRPr="007C65F2">
        <w:t xml:space="preserve">: </w:t>
      </w:r>
      <w:r>
        <w:t xml:space="preserve">Overview of </w:t>
      </w:r>
      <w:r w:rsidR="00764EB0">
        <w:t>e</w:t>
      </w:r>
      <w:r>
        <w:t>valuation</w:t>
      </w:r>
      <w:bookmarkEnd w:id="23"/>
      <w:bookmarkEnd w:id="24"/>
    </w:p>
    <w:p w14:paraId="1A4AACB9" w14:textId="0823E4C2" w:rsidR="00D970EC" w:rsidRPr="00C510FB" w:rsidRDefault="00D970EC" w:rsidP="00424A6D">
      <w:pPr>
        <w:pStyle w:val="FFNormal"/>
      </w:pPr>
      <w:r w:rsidRPr="00C510FB">
        <w:t>This section provides an overview of our evaluation design</w:t>
      </w:r>
      <w:r w:rsidR="00424A6D">
        <w:t xml:space="preserve"> described in more detail in our inception report</w:t>
      </w:r>
      <w:r w:rsidR="00A02589">
        <w:t>,</w:t>
      </w:r>
      <w:r w:rsidR="003B2864">
        <w:rPr>
          <w:rStyle w:val="FootnoteReference"/>
        </w:rPr>
        <w:footnoteReference w:id="3"/>
      </w:r>
      <w:r w:rsidRPr="00C510FB">
        <w:t xml:space="preserve"> the methods that have been used to address the EQs</w:t>
      </w:r>
      <w:r w:rsidR="00280A8C">
        <w:t>,</w:t>
      </w:r>
      <w:r w:rsidRPr="00C510FB">
        <w:t xml:space="preserve"> and a description of our sampling</w:t>
      </w:r>
      <w:r w:rsidR="00280A8C" w:rsidRPr="00C510FB">
        <w:t xml:space="preserve"> approach</w:t>
      </w:r>
      <w:r w:rsidRPr="00C510FB">
        <w:t xml:space="preserve">. </w:t>
      </w:r>
      <w:r w:rsidR="00412D5B" w:rsidRPr="00C510FB">
        <w:t xml:space="preserve">The </w:t>
      </w:r>
      <w:r w:rsidR="00B91306" w:rsidRPr="00C510FB">
        <w:t>analytical</w:t>
      </w:r>
      <w:r w:rsidRPr="00C510FB">
        <w:t xml:space="preserve"> methods include </w:t>
      </w:r>
      <w:r w:rsidR="00E12587" w:rsidRPr="00C510FB">
        <w:t>contribution</w:t>
      </w:r>
      <w:r w:rsidRPr="00C510FB">
        <w:t xml:space="preserve"> analysis, </w:t>
      </w:r>
      <w:r w:rsidR="00CB51CB" w:rsidRPr="00C510FB">
        <w:t>national policy agenda analysis</w:t>
      </w:r>
      <w:r w:rsidR="00E12587" w:rsidRPr="00C510FB">
        <w:t>,</w:t>
      </w:r>
      <w:r w:rsidR="00B4513E" w:rsidRPr="00C510FB">
        <w:t xml:space="preserve"> </w:t>
      </w:r>
      <w:r w:rsidR="00E12587" w:rsidRPr="00C510FB">
        <w:t>data use</w:t>
      </w:r>
      <w:r w:rsidR="00B4513E" w:rsidRPr="00C510FB">
        <w:t xml:space="preserve"> analysis, </w:t>
      </w:r>
      <w:r w:rsidR="00605EE4" w:rsidRPr="00C510FB">
        <w:t>alignment and coherence</w:t>
      </w:r>
      <w:r w:rsidR="00B4513E" w:rsidRPr="00C510FB">
        <w:t xml:space="preserve"> analysis</w:t>
      </w:r>
      <w:r w:rsidR="005C2754" w:rsidRPr="00C510FB">
        <w:t>,</w:t>
      </w:r>
      <w:r w:rsidRPr="00C510FB">
        <w:t xml:space="preserve"> </w:t>
      </w:r>
      <w:r w:rsidR="00256C1E" w:rsidRPr="00C510FB">
        <w:t>VfM</w:t>
      </w:r>
      <w:r w:rsidRPr="00C510FB">
        <w:t xml:space="preserve"> analysis</w:t>
      </w:r>
      <w:r w:rsidR="005C2754" w:rsidRPr="00C510FB">
        <w:t xml:space="preserve">, </w:t>
      </w:r>
      <w:r w:rsidRPr="00C510FB">
        <w:t xml:space="preserve">sustainability analysis, </w:t>
      </w:r>
      <w:r w:rsidR="00B4513E" w:rsidRPr="00C510FB">
        <w:t xml:space="preserve">data quantity and quality analysis </w:t>
      </w:r>
      <w:r w:rsidRPr="00C510FB">
        <w:t xml:space="preserve">and </w:t>
      </w:r>
      <w:r w:rsidR="000E7658" w:rsidRPr="00C510FB">
        <w:t>cross-case</w:t>
      </w:r>
      <w:r w:rsidRPr="00C510FB">
        <w:t xml:space="preserve"> synthesis. For each method, we describe what the method is, what it was used for, and why we felt it was appropriate.</w:t>
      </w:r>
    </w:p>
    <w:p w14:paraId="497C66CB" w14:textId="167FA595" w:rsidR="00D970EC" w:rsidRPr="00C510FB" w:rsidRDefault="00DA31CE" w:rsidP="00BB4743">
      <w:pPr>
        <w:pStyle w:val="FFNormal"/>
      </w:pPr>
      <w:r w:rsidRPr="00C510FB">
        <w:t>In Annex 4</w:t>
      </w:r>
      <w:r w:rsidR="00B4513E" w:rsidRPr="00C510FB">
        <w:t xml:space="preserve"> a</w:t>
      </w:r>
      <w:r w:rsidR="00D970EC" w:rsidRPr="00C510FB">
        <w:t xml:space="preserve"> description of core data collection tools</w:t>
      </w:r>
      <w:r w:rsidR="00B4513E" w:rsidRPr="00C510FB">
        <w:t xml:space="preserve"> is included</w:t>
      </w:r>
      <w:r w:rsidR="00D970EC" w:rsidRPr="00C510FB">
        <w:t>, before highlighting our</w:t>
      </w:r>
      <w:r w:rsidR="005C2754" w:rsidRPr="00C510FB">
        <w:t xml:space="preserve"> </w:t>
      </w:r>
      <w:r w:rsidR="00D970EC" w:rsidRPr="00C510FB">
        <w:t>approach to cross-case synthesis and to ensuring quality in the evaluation.</w:t>
      </w:r>
    </w:p>
    <w:p w14:paraId="0AA32CB4" w14:textId="383827CC" w:rsidR="00D970EC" w:rsidRDefault="00D970EC" w:rsidP="00134C63">
      <w:pPr>
        <w:pStyle w:val="ItadH2Numbered"/>
      </w:pPr>
      <w:bookmarkStart w:id="25" w:name="_Toc118968497"/>
      <w:bookmarkStart w:id="26" w:name="_Toc142383137"/>
      <w:r w:rsidRPr="00F047DD">
        <w:t xml:space="preserve">Objectives of </w:t>
      </w:r>
      <w:r w:rsidR="00F047DD">
        <w:t xml:space="preserve">the </w:t>
      </w:r>
      <w:r w:rsidR="00764EB0">
        <w:t>e</w:t>
      </w:r>
      <w:r w:rsidR="00F047DD" w:rsidRPr="00F047DD">
        <w:t>valuation</w:t>
      </w:r>
      <w:bookmarkEnd w:id="25"/>
      <w:bookmarkEnd w:id="26"/>
    </w:p>
    <w:p w14:paraId="30F69A2F" w14:textId="387FAA3B" w:rsidR="00D970EC" w:rsidRDefault="005B5B44" w:rsidP="00D970EC">
      <w:pPr>
        <w:spacing w:after="120"/>
      </w:pPr>
      <w:r>
        <w:rPr>
          <w:b/>
        </w:rPr>
        <w:t>The Department of Health and Social Care (</w:t>
      </w:r>
      <w:r w:rsidR="00D970EC">
        <w:rPr>
          <w:b/>
        </w:rPr>
        <w:t>DHSC</w:t>
      </w:r>
      <w:r>
        <w:rPr>
          <w:b/>
        </w:rPr>
        <w:t>)</w:t>
      </w:r>
      <w:r w:rsidR="00D970EC">
        <w:rPr>
          <w:b/>
        </w:rPr>
        <w:t xml:space="preserve"> commissioned Itad to undertake an independent evaluation of the </w:t>
      </w:r>
      <w:r w:rsidR="00F21D1C" w:rsidRPr="00F21D1C">
        <w:rPr>
          <w:b/>
        </w:rPr>
        <w:t>Fleming Fund</w:t>
      </w:r>
      <w:r w:rsidR="00D970EC">
        <w:rPr>
          <w:b/>
        </w:rPr>
        <w:t xml:space="preserve"> grants programme. T</w:t>
      </w:r>
      <w:r w:rsidR="00D970EC" w:rsidRPr="00A24222">
        <w:rPr>
          <w:b/>
        </w:rPr>
        <w:t xml:space="preserve">he </w:t>
      </w:r>
      <w:r w:rsidR="00D970EC">
        <w:rPr>
          <w:b/>
        </w:rPr>
        <w:t xml:space="preserve">focus of the </w:t>
      </w:r>
      <w:r w:rsidR="00D970EC" w:rsidRPr="00A24222">
        <w:rPr>
          <w:b/>
        </w:rPr>
        <w:t xml:space="preserve">evaluation </w:t>
      </w:r>
      <w:r w:rsidR="00D970EC">
        <w:rPr>
          <w:b/>
        </w:rPr>
        <w:t xml:space="preserve">is on how </w:t>
      </w:r>
      <w:r w:rsidR="00D970EC" w:rsidRPr="00A24222">
        <w:rPr>
          <w:b/>
        </w:rPr>
        <w:t xml:space="preserve">far the </w:t>
      </w:r>
      <w:r w:rsidR="00D970EC" w:rsidRPr="00A24222">
        <w:rPr>
          <w:b/>
          <w:i/>
        </w:rPr>
        <w:t>outputs</w:t>
      </w:r>
      <w:r w:rsidR="00D970EC" w:rsidRPr="00A24222">
        <w:rPr>
          <w:b/>
        </w:rPr>
        <w:t xml:space="preserve"> of the portfolio of country and regional grants, and the Fleming Fellowships </w:t>
      </w:r>
      <w:r w:rsidR="00D970EC">
        <w:rPr>
          <w:b/>
        </w:rPr>
        <w:t xml:space="preserve">have </w:t>
      </w:r>
      <w:r w:rsidR="00D970EC" w:rsidRPr="00A24222">
        <w:rPr>
          <w:b/>
        </w:rPr>
        <w:t>contribute</w:t>
      </w:r>
      <w:r w:rsidR="00D970EC">
        <w:rPr>
          <w:b/>
        </w:rPr>
        <w:t>d</w:t>
      </w:r>
      <w:r w:rsidR="00D970EC" w:rsidRPr="00A24222">
        <w:rPr>
          <w:b/>
        </w:rPr>
        <w:t xml:space="preserve"> to the </w:t>
      </w:r>
      <w:r w:rsidR="00D970EC" w:rsidRPr="00A24222">
        <w:rPr>
          <w:b/>
          <w:i/>
        </w:rPr>
        <w:t xml:space="preserve">outcomes </w:t>
      </w:r>
      <w:r w:rsidR="00D970EC" w:rsidRPr="00A24222">
        <w:rPr>
          <w:b/>
        </w:rPr>
        <w:t xml:space="preserve">and </w:t>
      </w:r>
      <w:r w:rsidR="00D970EC" w:rsidRPr="00A24222">
        <w:rPr>
          <w:b/>
          <w:i/>
        </w:rPr>
        <w:t xml:space="preserve">impact </w:t>
      </w:r>
      <w:r w:rsidR="00D970EC" w:rsidRPr="00A24222">
        <w:rPr>
          <w:b/>
        </w:rPr>
        <w:t>identified by</w:t>
      </w:r>
      <w:r w:rsidR="000E7658">
        <w:rPr>
          <w:b/>
        </w:rPr>
        <w:t xml:space="preserve"> the</w:t>
      </w:r>
      <w:r w:rsidR="00D970EC" w:rsidRPr="00A24222">
        <w:rPr>
          <w:b/>
        </w:rPr>
        <w:t xml:space="preserve"> DH</w:t>
      </w:r>
      <w:r w:rsidR="00D970EC">
        <w:rPr>
          <w:b/>
        </w:rPr>
        <w:t>SC</w:t>
      </w:r>
      <w:r w:rsidR="00D970EC" w:rsidRPr="00A24222">
        <w:rPr>
          <w:b/>
        </w:rPr>
        <w:t>.</w:t>
      </w:r>
      <w:r w:rsidR="007458AC">
        <w:t xml:space="preserve"> </w:t>
      </w:r>
      <w:r w:rsidR="00D970EC">
        <w:t>As such the results from workstreams 3 and 4 in the overall Fleming Fund (</w:t>
      </w:r>
      <w:r w:rsidR="00924C5F">
        <w:t xml:space="preserve">outlined in </w:t>
      </w:r>
      <w:r w:rsidR="00924C5F">
        <w:fldChar w:fldCharType="begin"/>
      </w:r>
      <w:r w:rsidR="00924C5F">
        <w:instrText xml:space="preserve"> REF _Ref120642556 \h </w:instrText>
      </w:r>
      <w:r w:rsidR="00924C5F">
        <w:fldChar w:fldCharType="separate"/>
      </w:r>
      <w:r w:rsidR="009A383C" w:rsidRPr="00C96798">
        <w:t xml:space="preserve">Figure </w:t>
      </w:r>
      <w:r w:rsidR="009A383C">
        <w:rPr>
          <w:noProof/>
        </w:rPr>
        <w:t>1</w:t>
      </w:r>
      <w:r w:rsidR="00924C5F">
        <w:fldChar w:fldCharType="end"/>
      </w:r>
      <w:r w:rsidR="00D970EC">
        <w:t xml:space="preserve">) are within scope; outputs from </w:t>
      </w:r>
      <w:r w:rsidR="004932C7">
        <w:t>workstreams</w:t>
      </w:r>
      <w:r w:rsidR="00D970EC">
        <w:t xml:space="preserve"> 1 and 2 are not directly evaluated, except to the extent that they are identified as </w:t>
      </w:r>
      <w:r w:rsidR="00280A8C">
        <w:t>contributing</w:t>
      </w:r>
      <w:r w:rsidR="00D970EC">
        <w:t xml:space="preserve"> to change in surveillance systems and outcomes in the countries in which we evaluate </w:t>
      </w:r>
      <w:r w:rsidR="004932C7">
        <w:t>workstreams</w:t>
      </w:r>
      <w:r w:rsidR="00D970EC">
        <w:t>.</w:t>
      </w:r>
      <w:r w:rsidR="007458AC">
        <w:t xml:space="preserve"> </w:t>
      </w:r>
    </w:p>
    <w:p w14:paraId="7F85B7AA" w14:textId="7A767520" w:rsidR="00D970EC" w:rsidRDefault="00D970EC" w:rsidP="00D970EC">
      <w:pPr>
        <w:spacing w:after="120"/>
        <w:jc w:val="both"/>
      </w:pPr>
      <w:r>
        <w:rPr>
          <w:b/>
        </w:rPr>
        <w:t>Over the past five</w:t>
      </w:r>
      <w:r w:rsidR="007458AC">
        <w:rPr>
          <w:b/>
        </w:rPr>
        <w:t xml:space="preserve"> </w:t>
      </w:r>
      <w:r>
        <w:rPr>
          <w:b/>
        </w:rPr>
        <w:t xml:space="preserve">years, the evaluation has had both </w:t>
      </w:r>
      <w:r w:rsidRPr="00A24222">
        <w:rPr>
          <w:b/>
        </w:rPr>
        <w:t>learning and accountability objectives.</w:t>
      </w:r>
      <w:r w:rsidR="007458AC">
        <w:t xml:space="preserve"> </w:t>
      </w:r>
      <w:r>
        <w:t>Between 2018 and 2021, the evaluation identified instances of good practice to inform course correction and adaptation</w:t>
      </w:r>
      <w:r>
        <w:rPr>
          <w:rStyle w:val="FootnoteReference"/>
        </w:rPr>
        <w:footnoteReference w:id="4"/>
      </w:r>
      <w:r>
        <w:t>.</w:t>
      </w:r>
      <w:r w:rsidR="007458AC">
        <w:t xml:space="preserve"> </w:t>
      </w:r>
      <w:r>
        <w:t>It also identified challenges to</w:t>
      </w:r>
      <w:r w:rsidR="000E7658">
        <w:t xml:space="preserve"> the</w:t>
      </w:r>
      <w:r>
        <w:t xml:space="preserve"> achievement of the Fund's objectives under </w:t>
      </w:r>
      <w:r w:rsidR="004932C7">
        <w:t>workstreams</w:t>
      </w:r>
      <w:r>
        <w:t xml:space="preserve"> 3 and 4 </w:t>
      </w:r>
      <w:r w:rsidRPr="00CB6D8C">
        <w:t>(</w:t>
      </w:r>
      <w:r w:rsidR="00952EAD">
        <w:t xml:space="preserve">outlined in </w:t>
      </w:r>
      <w:r w:rsidR="00952EAD">
        <w:fldChar w:fldCharType="begin"/>
      </w:r>
      <w:r w:rsidR="00952EAD">
        <w:instrText xml:space="preserve"> REF _Ref120642556 \h </w:instrText>
      </w:r>
      <w:r w:rsidR="00952EAD">
        <w:fldChar w:fldCharType="separate"/>
      </w:r>
      <w:r w:rsidR="009A383C" w:rsidRPr="00C96798">
        <w:t xml:space="preserve">Figure </w:t>
      </w:r>
      <w:r w:rsidR="009A383C">
        <w:rPr>
          <w:noProof/>
        </w:rPr>
        <w:t>1</w:t>
      </w:r>
      <w:r w:rsidR="00952EAD">
        <w:fldChar w:fldCharType="end"/>
      </w:r>
      <w:r w:rsidRPr="00CB6D8C">
        <w:t>).</w:t>
      </w:r>
      <w:r w:rsidR="007458AC">
        <w:t xml:space="preserve"> </w:t>
      </w:r>
      <w:r>
        <w:t>The evaluation outputs have also been used to inform the decision by</w:t>
      </w:r>
      <w:r w:rsidR="000E7658">
        <w:t xml:space="preserve"> the</w:t>
      </w:r>
      <w:r>
        <w:t xml:space="preserve"> DHSC and </w:t>
      </w:r>
      <w:r w:rsidR="005B5B44" w:rsidRPr="005B5B44">
        <w:t xml:space="preserve">His Majesty's Treasury </w:t>
      </w:r>
      <w:r w:rsidR="005B5B44">
        <w:t>(</w:t>
      </w:r>
      <w:r>
        <w:t>HMT</w:t>
      </w:r>
      <w:r w:rsidR="005B5B44">
        <w:t>)</w:t>
      </w:r>
      <w:r>
        <w:t xml:space="preserve"> on whether to fund another phase of work under the Fleming Fund and how the approach might be strengthened based on experience to date.</w:t>
      </w:r>
      <w:r w:rsidR="007458AC">
        <w:t xml:space="preserve"> </w:t>
      </w:r>
      <w:r>
        <w:t>A second phase of the Fleming Fund, worth £1</w:t>
      </w:r>
      <w:r w:rsidRPr="00732691">
        <w:t>93.5</w:t>
      </w:r>
      <w:r w:rsidR="000E7658">
        <w:t xml:space="preserve"> </w:t>
      </w:r>
      <w:r w:rsidRPr="00732691">
        <w:t>m</w:t>
      </w:r>
      <w:r w:rsidR="000E7658">
        <w:t>illion</w:t>
      </w:r>
      <w:r w:rsidRPr="00732691">
        <w:t xml:space="preserve"> over three years (F</w:t>
      </w:r>
      <w:r w:rsidR="00952EAD">
        <w:t>inancial</w:t>
      </w:r>
      <w:r w:rsidR="007458AC">
        <w:t xml:space="preserve"> </w:t>
      </w:r>
      <w:r w:rsidR="00952EAD">
        <w:t>year</w:t>
      </w:r>
      <w:r w:rsidR="00280A8C">
        <w:t xml:space="preserve"> </w:t>
      </w:r>
      <w:r w:rsidRPr="00732691">
        <w:t xml:space="preserve">22/23 to </w:t>
      </w:r>
      <w:r w:rsidR="00952EAD">
        <w:t>financial</w:t>
      </w:r>
      <w:r w:rsidR="007458AC">
        <w:t xml:space="preserve"> </w:t>
      </w:r>
      <w:r w:rsidR="00280A8C">
        <w:t xml:space="preserve">year </w:t>
      </w:r>
      <w:r w:rsidR="00280A8C" w:rsidRPr="00732691">
        <w:t>24</w:t>
      </w:r>
      <w:r w:rsidRPr="00732691">
        <w:t>/25) has</w:t>
      </w:r>
      <w:r>
        <w:t xml:space="preserve"> been approved.</w:t>
      </w:r>
      <w:r w:rsidR="007458AC">
        <w:t xml:space="preserve"> </w:t>
      </w:r>
      <w:r>
        <w:t xml:space="preserve">Formative work from the evaluation has been delivered to </w:t>
      </w:r>
      <w:r w:rsidR="000E7658">
        <w:t xml:space="preserve">the </w:t>
      </w:r>
      <w:r>
        <w:t>DHSC but is not covered in this report.</w:t>
      </w:r>
      <w:r w:rsidR="007458AC">
        <w:t xml:space="preserve"> </w:t>
      </w:r>
    </w:p>
    <w:p w14:paraId="1A6EB9B4" w14:textId="0A27E4CB" w:rsidR="00A7467C" w:rsidRDefault="00D970EC" w:rsidP="00A7467C">
      <w:pPr>
        <w:keepNext/>
        <w:spacing w:after="120"/>
        <w:jc w:val="both"/>
      </w:pPr>
      <w:r>
        <w:t> </w:t>
      </w:r>
      <w:r w:rsidR="00DA5265">
        <w:rPr>
          <w:noProof/>
        </w:rPr>
        <w:drawing>
          <wp:inline distT="0" distB="0" distL="0" distR="0" wp14:anchorId="42E74F9A" wp14:editId="3780E9A2">
            <wp:extent cx="5396230" cy="3234148"/>
            <wp:effectExtent l="0" t="0" r="0" b="4445"/>
            <wp:docPr id="781338957" name="Picture 781338957" descr="A diagram of a company's work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338957" name="Picture 781338957" descr="A diagram of a company's work flow&#10;&#10;Description automatically generated"/>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6230" cy="3234148"/>
                    </a:xfrm>
                    <a:prstGeom prst="rect">
                      <a:avLst/>
                    </a:prstGeom>
                    <a:noFill/>
                    <a:ln>
                      <a:noFill/>
                    </a:ln>
                  </pic:spPr>
                </pic:pic>
              </a:graphicData>
            </a:graphic>
          </wp:inline>
        </w:drawing>
      </w:r>
    </w:p>
    <w:p w14:paraId="47E3F69C" w14:textId="1F296B02" w:rsidR="00D970EC" w:rsidRPr="00C96798" w:rsidRDefault="00A7467C" w:rsidP="00C04C3C">
      <w:pPr>
        <w:pStyle w:val="ItadCaption"/>
      </w:pPr>
      <w:bookmarkStart w:id="27" w:name="_Ref120642556"/>
      <w:bookmarkStart w:id="28" w:name="_Toc143858055"/>
      <w:r w:rsidRPr="00C96798">
        <w:t xml:space="preserve">Figure </w:t>
      </w:r>
      <w:r w:rsidRPr="00C96798">
        <w:fldChar w:fldCharType="begin"/>
      </w:r>
      <w:r w:rsidRPr="00C96798">
        <w:instrText>SEQ Figure \* ARABIC</w:instrText>
      </w:r>
      <w:r w:rsidRPr="00C96798">
        <w:fldChar w:fldCharType="separate"/>
      </w:r>
      <w:r w:rsidR="009A383C">
        <w:rPr>
          <w:noProof/>
        </w:rPr>
        <w:t>1</w:t>
      </w:r>
      <w:r w:rsidRPr="00C96798">
        <w:fldChar w:fldCharType="end"/>
      </w:r>
      <w:bookmarkEnd w:id="27"/>
      <w:r w:rsidR="00856F40" w:rsidRPr="00C96798">
        <w:t xml:space="preserve"> </w:t>
      </w:r>
      <w:r w:rsidRPr="00C96798">
        <w:t xml:space="preserve">Organogram of Fleming Fund </w:t>
      </w:r>
      <w:r w:rsidR="004932C7" w:rsidRPr="00C96798">
        <w:t>workstreams</w:t>
      </w:r>
      <w:bookmarkEnd w:id="28"/>
    </w:p>
    <w:p w14:paraId="1F43797D" w14:textId="77777777" w:rsidR="00D970EC" w:rsidRDefault="00D970EC" w:rsidP="00D970EC">
      <w:pPr>
        <w:spacing w:after="120"/>
        <w:jc w:val="both"/>
      </w:pPr>
    </w:p>
    <w:p w14:paraId="47DD17DB" w14:textId="6FA2BDA7" w:rsidR="00D970EC" w:rsidRDefault="00D970EC" w:rsidP="00BB4743">
      <w:pPr>
        <w:pStyle w:val="FFNormal"/>
      </w:pPr>
      <w:r w:rsidRPr="00D93838">
        <w:rPr>
          <w:b/>
          <w:bCs/>
        </w:rPr>
        <w:t xml:space="preserve">In 2021, the evaluation focus shifted to provide an independent summative judgement of the Fund's results and achievements as set out in </w:t>
      </w:r>
      <w:r>
        <w:rPr>
          <w:b/>
          <w:bCs/>
        </w:rPr>
        <w:t xml:space="preserve">the main </w:t>
      </w:r>
      <w:r w:rsidRPr="00D93838">
        <w:rPr>
          <w:b/>
          <w:bCs/>
        </w:rPr>
        <w:t>report.</w:t>
      </w:r>
      <w:r w:rsidR="007458AC">
        <w:t xml:space="preserve"> </w:t>
      </w:r>
      <w:r>
        <w:rPr>
          <w:bCs/>
        </w:rPr>
        <w:t xml:space="preserve">We </w:t>
      </w:r>
      <w:r w:rsidRPr="0073283A">
        <w:rPr>
          <w:bCs/>
        </w:rPr>
        <w:t>present evidence for six EQs</w:t>
      </w:r>
      <w:r w:rsidRPr="00CB6D8C">
        <w:t xml:space="preserve"> (or ‘agreed measures of success’</w:t>
      </w:r>
      <w:r>
        <w:t xml:space="preserve">) which reflect the priorities of both Ministers and the Chief Medical Officer within </w:t>
      </w:r>
      <w:r w:rsidR="000E7658">
        <w:t xml:space="preserve">the </w:t>
      </w:r>
      <w:r>
        <w:t>DHSC.</w:t>
      </w:r>
      <w:r w:rsidR="007458AC">
        <w:t xml:space="preserve"> </w:t>
      </w:r>
      <w:r w:rsidRPr="00295F3C">
        <w:t xml:space="preserve">These EQs (outlined in </w:t>
      </w:r>
      <w:r w:rsidR="00856F40" w:rsidRPr="00295F3C">
        <w:fldChar w:fldCharType="begin"/>
      </w:r>
      <w:r w:rsidR="00856F40" w:rsidRPr="00295F3C">
        <w:instrText xml:space="preserve"> REF _Ref119921707 \h </w:instrText>
      </w:r>
      <w:r w:rsidR="00295F3C">
        <w:instrText xml:space="preserve"> \* MERGEFORMAT </w:instrText>
      </w:r>
      <w:r w:rsidR="00856F40" w:rsidRPr="00295F3C">
        <w:fldChar w:fldCharType="separate"/>
      </w:r>
      <w:r w:rsidR="009A383C">
        <w:rPr>
          <w:noProof/>
        </w:rPr>
        <w:drawing>
          <wp:inline distT="0" distB="0" distL="0" distR="0" wp14:anchorId="71CC7E0B" wp14:editId="636F5738">
            <wp:extent cx="5396230" cy="3305857"/>
            <wp:effectExtent l="0" t="0" r="0" b="8890"/>
            <wp:docPr id="14" name="Picture 1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Timeline&#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96230" cy="3305857"/>
                    </a:xfrm>
                    <a:prstGeom prst="rect">
                      <a:avLst/>
                    </a:prstGeom>
                    <a:noFill/>
                    <a:ln>
                      <a:noFill/>
                    </a:ln>
                  </pic:spPr>
                </pic:pic>
              </a:graphicData>
            </a:graphic>
          </wp:inline>
        </w:drawing>
      </w:r>
      <w:r w:rsidR="009A383C" w:rsidRPr="00454E78">
        <w:rPr>
          <w:noProof/>
        </w:rPr>
        <w:t xml:space="preserve">Figure </w:t>
      </w:r>
      <w:r w:rsidR="009A383C">
        <w:rPr>
          <w:noProof/>
        </w:rPr>
        <w:t>2</w:t>
      </w:r>
      <w:r w:rsidR="00856F40" w:rsidRPr="00295F3C">
        <w:fldChar w:fldCharType="end"/>
      </w:r>
      <w:r w:rsidRPr="00295F3C">
        <w:t>)</w:t>
      </w:r>
      <w:r>
        <w:t xml:space="preserve"> have been used to structure data collection and analysis, but not to structure this report</w:t>
      </w:r>
      <w:r w:rsidR="001603DD">
        <w:t>.</w:t>
      </w:r>
    </w:p>
    <w:p w14:paraId="02546E97" w14:textId="46E00410" w:rsidR="00D970EC" w:rsidRPr="00454E78" w:rsidRDefault="00BC4D76" w:rsidP="00C04C3C">
      <w:pPr>
        <w:pStyle w:val="ItadCaption"/>
      </w:pPr>
      <w:bookmarkStart w:id="29" w:name="_Ref119921707"/>
      <w:bookmarkStart w:id="30" w:name="_Toc143858056"/>
      <w:r>
        <w:rPr>
          <w:noProof/>
        </w:rPr>
        <w:drawing>
          <wp:inline distT="0" distB="0" distL="0" distR="0" wp14:anchorId="72F19B19" wp14:editId="60A98C11">
            <wp:extent cx="5396230" cy="3305857"/>
            <wp:effectExtent l="0" t="0" r="0" b="8890"/>
            <wp:docPr id="61" name="Picture 6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Timeline&#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96230" cy="3305857"/>
                    </a:xfrm>
                    <a:prstGeom prst="rect">
                      <a:avLst/>
                    </a:prstGeom>
                    <a:noFill/>
                    <a:ln>
                      <a:noFill/>
                    </a:ln>
                  </pic:spPr>
                </pic:pic>
              </a:graphicData>
            </a:graphic>
          </wp:inline>
        </w:drawing>
      </w:r>
      <w:r w:rsidR="00A7467C" w:rsidRPr="00454E78">
        <w:t xml:space="preserve">Figure </w:t>
      </w:r>
      <w:r w:rsidR="00A7467C" w:rsidRPr="00454E78">
        <w:fldChar w:fldCharType="begin"/>
      </w:r>
      <w:r w:rsidR="00A7467C" w:rsidRPr="00454E78">
        <w:instrText>SEQ Figure \* ARABIC</w:instrText>
      </w:r>
      <w:r w:rsidR="00A7467C" w:rsidRPr="00454E78">
        <w:fldChar w:fldCharType="separate"/>
      </w:r>
      <w:r w:rsidR="009A383C">
        <w:rPr>
          <w:noProof/>
        </w:rPr>
        <w:t>2</w:t>
      </w:r>
      <w:r w:rsidR="00A7467C" w:rsidRPr="00454E78">
        <w:fldChar w:fldCharType="end"/>
      </w:r>
      <w:bookmarkEnd w:id="29"/>
      <w:r w:rsidR="00A7467C" w:rsidRPr="00454E78">
        <w:t xml:space="preserve"> Six EQs or ‘agreed measures of success’</w:t>
      </w:r>
      <w:bookmarkEnd w:id="30"/>
    </w:p>
    <w:p w14:paraId="70E7708D" w14:textId="362E6D13" w:rsidR="00D970EC" w:rsidRPr="008F52FD" w:rsidRDefault="00D970EC" w:rsidP="00134C63">
      <w:pPr>
        <w:pStyle w:val="ItadH2Numbered"/>
      </w:pPr>
      <w:bookmarkStart w:id="31" w:name="_Toc122209849"/>
      <w:bookmarkStart w:id="32" w:name="_Toc118968498"/>
      <w:bookmarkStart w:id="33" w:name="_Toc142383138"/>
      <w:bookmarkEnd w:id="31"/>
      <w:r w:rsidRPr="00B94743">
        <w:t>Methodology</w:t>
      </w:r>
      <w:bookmarkEnd w:id="32"/>
      <w:bookmarkEnd w:id="33"/>
    </w:p>
    <w:p w14:paraId="4C838D53" w14:textId="50D5B736" w:rsidR="0077653A" w:rsidRDefault="00D970EC" w:rsidP="00002C44">
      <w:pPr>
        <w:pStyle w:val="ItadMainTitle3"/>
        <w:spacing w:after="120"/>
        <w:contextualSpacing w:val="0"/>
        <w:rPr>
          <w:color w:val="000000"/>
        </w:rPr>
      </w:pPr>
      <w:r w:rsidRPr="007F63EF">
        <w:rPr>
          <w:b/>
          <w:color w:val="auto"/>
        </w:rPr>
        <w:t>To address the EQs we have collected data in 16 case study countries</w:t>
      </w:r>
      <w:r w:rsidR="00A93E37" w:rsidRPr="007F63EF">
        <w:rPr>
          <w:b/>
          <w:color w:val="auto"/>
        </w:rPr>
        <w:t>,</w:t>
      </w:r>
      <w:r w:rsidRPr="007F63EF">
        <w:rPr>
          <w:rStyle w:val="FootnoteReference"/>
          <w:b/>
          <w:color w:val="auto"/>
        </w:rPr>
        <w:footnoteReference w:id="5"/>
      </w:r>
      <w:r w:rsidRPr="007F63EF">
        <w:rPr>
          <w:b/>
          <w:color w:val="auto"/>
        </w:rPr>
        <w:t xml:space="preserve"> selected to maximise the extent of implementation evidence. </w:t>
      </w:r>
      <w:r w:rsidR="00FD26FC" w:rsidRPr="007F63EF">
        <w:rPr>
          <w:rFonts w:cs="Calibri"/>
          <w:bCs/>
          <w:color w:val="auto"/>
        </w:rPr>
        <w:t>This is based on our understanding of the MA</w:t>
      </w:r>
      <w:r w:rsidR="00A02589" w:rsidRPr="007F63EF">
        <w:rPr>
          <w:rFonts w:cs="Calibri"/>
          <w:bCs/>
          <w:color w:val="auto"/>
        </w:rPr>
        <w:t>’s</w:t>
      </w:r>
      <w:r w:rsidR="00FD26FC" w:rsidRPr="007F63EF">
        <w:rPr>
          <w:rFonts w:cs="Calibri"/>
          <w:bCs/>
          <w:color w:val="auto"/>
        </w:rPr>
        <w:t xml:space="preserve"> country roll-out schedule, and the number of countries in which data/results will be available ahead of each of the key evaluation deliverables.</w:t>
      </w:r>
      <w:r w:rsidR="008B2602" w:rsidRPr="007F63EF">
        <w:rPr>
          <w:bCs/>
          <w:color w:val="auto"/>
        </w:rPr>
        <w:t xml:space="preserve"> </w:t>
      </w:r>
      <w:r w:rsidR="009D7D86" w:rsidRPr="007F63EF">
        <w:rPr>
          <w:bCs/>
          <w:color w:val="auto"/>
        </w:rPr>
        <w:t xml:space="preserve">At the time of finalising </w:t>
      </w:r>
      <w:r w:rsidR="00363F4C">
        <w:rPr>
          <w:bCs/>
          <w:color w:val="auto"/>
        </w:rPr>
        <w:t>the</w:t>
      </w:r>
      <w:r w:rsidR="009D7D86" w:rsidRPr="007F63EF">
        <w:rPr>
          <w:bCs/>
          <w:color w:val="auto"/>
        </w:rPr>
        <w:t xml:space="preserve"> inception report in mid-2018, t</w:t>
      </w:r>
      <w:r w:rsidR="0077653A" w:rsidRPr="007F63EF">
        <w:rPr>
          <w:rFonts w:cs="Calibri"/>
          <w:color w:val="auto"/>
        </w:rPr>
        <w:t>he MA’s implementation plan indicate</w:t>
      </w:r>
      <w:r w:rsidR="009D7D86" w:rsidRPr="007F63EF">
        <w:rPr>
          <w:rFonts w:cs="Calibri"/>
          <w:color w:val="auto"/>
        </w:rPr>
        <w:t>d</w:t>
      </w:r>
      <w:r w:rsidR="0077653A" w:rsidRPr="007F63EF">
        <w:rPr>
          <w:rFonts w:cs="Calibri"/>
          <w:color w:val="auto"/>
        </w:rPr>
        <w:t xml:space="preserve"> that s</w:t>
      </w:r>
      <w:r w:rsidR="0077653A" w:rsidRPr="007F63EF">
        <w:rPr>
          <w:color w:val="auto"/>
        </w:rPr>
        <w:t>econd round country grants w</w:t>
      </w:r>
      <w:r w:rsidR="009D7D86" w:rsidRPr="007F63EF">
        <w:rPr>
          <w:color w:val="auto"/>
        </w:rPr>
        <w:t>ould</w:t>
      </w:r>
      <w:r w:rsidR="0077653A" w:rsidRPr="007F63EF">
        <w:rPr>
          <w:color w:val="auto"/>
        </w:rPr>
        <w:t xml:space="preserve"> have been rolled out across </w:t>
      </w:r>
      <w:r w:rsidR="00363F4C">
        <w:rPr>
          <w:color w:val="auto"/>
        </w:rPr>
        <w:t>a total of</w:t>
      </w:r>
      <w:r w:rsidR="0077653A" w:rsidRPr="007F63EF">
        <w:rPr>
          <w:color w:val="auto"/>
        </w:rPr>
        <w:t xml:space="preserve"> 2</w:t>
      </w:r>
      <w:r w:rsidR="00B3660F">
        <w:rPr>
          <w:color w:val="auto"/>
        </w:rPr>
        <w:t>3</w:t>
      </w:r>
      <w:r w:rsidR="0077653A" w:rsidRPr="007F63EF">
        <w:rPr>
          <w:color w:val="auto"/>
        </w:rPr>
        <w:t xml:space="preserve"> countries by the </w:t>
      </w:r>
      <w:r w:rsidR="002C7182" w:rsidRPr="007F63EF">
        <w:rPr>
          <w:color w:val="auto"/>
        </w:rPr>
        <w:t xml:space="preserve">time data </w:t>
      </w:r>
      <w:r w:rsidR="00363F4C">
        <w:rPr>
          <w:color w:val="auto"/>
        </w:rPr>
        <w:t xml:space="preserve">collection </w:t>
      </w:r>
      <w:r w:rsidR="002C7182" w:rsidRPr="007F63EF">
        <w:rPr>
          <w:color w:val="auto"/>
        </w:rPr>
        <w:t xml:space="preserve">for </w:t>
      </w:r>
      <w:r w:rsidR="00363F4C">
        <w:rPr>
          <w:color w:val="auto"/>
        </w:rPr>
        <w:t>the</w:t>
      </w:r>
      <w:r w:rsidR="002C7182" w:rsidRPr="007F63EF">
        <w:rPr>
          <w:color w:val="auto"/>
        </w:rPr>
        <w:t xml:space="preserve"> summative report</w:t>
      </w:r>
      <w:r w:rsidR="00363F4C">
        <w:rPr>
          <w:color w:val="auto"/>
        </w:rPr>
        <w:t xml:space="preserve"> needed to be done</w:t>
      </w:r>
      <w:r w:rsidR="002C7182" w:rsidRPr="007F63EF">
        <w:rPr>
          <w:color w:val="auto"/>
        </w:rPr>
        <w:t>.</w:t>
      </w:r>
      <w:r w:rsidR="0077653A" w:rsidRPr="007F63EF">
        <w:rPr>
          <w:color w:val="auto"/>
        </w:rPr>
        <w:t xml:space="preserve"> </w:t>
      </w:r>
      <w:r w:rsidR="002C7182" w:rsidRPr="007F63EF">
        <w:rPr>
          <w:color w:val="auto"/>
        </w:rPr>
        <w:t xml:space="preserve">To answer </w:t>
      </w:r>
      <w:r w:rsidR="00363F4C">
        <w:rPr>
          <w:color w:val="auto"/>
        </w:rPr>
        <w:t>the</w:t>
      </w:r>
      <w:r w:rsidR="002C7182" w:rsidRPr="007F63EF">
        <w:rPr>
          <w:color w:val="auto"/>
        </w:rPr>
        <w:t xml:space="preserve"> EQs, i</w:t>
      </w:r>
      <w:r w:rsidR="0077653A" w:rsidRPr="007F63EF">
        <w:rPr>
          <w:color w:val="auto"/>
        </w:rPr>
        <w:t xml:space="preserve">t </w:t>
      </w:r>
      <w:r w:rsidR="002C7182" w:rsidRPr="007F63EF">
        <w:rPr>
          <w:color w:val="auto"/>
        </w:rPr>
        <w:t xml:space="preserve">was </w:t>
      </w:r>
      <w:r w:rsidR="0077653A" w:rsidRPr="007F63EF">
        <w:rPr>
          <w:color w:val="auto"/>
        </w:rPr>
        <w:t xml:space="preserve">important </w:t>
      </w:r>
      <w:r w:rsidR="00363F4C">
        <w:rPr>
          <w:color w:val="auto"/>
        </w:rPr>
        <w:t>to allow</w:t>
      </w:r>
      <w:r w:rsidR="002C7182" w:rsidRPr="007F63EF">
        <w:rPr>
          <w:color w:val="auto"/>
        </w:rPr>
        <w:t xml:space="preserve"> </w:t>
      </w:r>
      <w:r w:rsidR="0077653A" w:rsidRPr="007F63EF">
        <w:rPr>
          <w:color w:val="auto"/>
        </w:rPr>
        <w:t xml:space="preserve">some time for each second-round grant to demonstrate effectiveness and to generate data on outcomes prior to </w:t>
      </w:r>
      <w:r w:rsidR="00363F4C">
        <w:rPr>
          <w:color w:val="auto"/>
        </w:rPr>
        <w:t xml:space="preserve">the </w:t>
      </w:r>
      <w:r w:rsidR="0077653A" w:rsidRPr="007F63EF">
        <w:rPr>
          <w:color w:val="auto"/>
        </w:rPr>
        <w:t xml:space="preserve">evaluation. To </w:t>
      </w:r>
      <w:r w:rsidR="0077653A" w:rsidRPr="00E243DF">
        <w:rPr>
          <w:color w:val="000000"/>
        </w:rPr>
        <w:t xml:space="preserve">facilitate this, </w:t>
      </w:r>
      <w:r w:rsidR="0077653A">
        <w:rPr>
          <w:color w:val="000000"/>
        </w:rPr>
        <w:t xml:space="preserve">in </w:t>
      </w:r>
      <w:r w:rsidR="0077653A" w:rsidRPr="00E243DF">
        <w:rPr>
          <w:color w:val="000000"/>
        </w:rPr>
        <w:t xml:space="preserve">our view, at least </w:t>
      </w:r>
      <w:r w:rsidR="0077653A">
        <w:rPr>
          <w:color w:val="000000"/>
        </w:rPr>
        <w:t>six</w:t>
      </w:r>
      <w:r w:rsidR="0077653A" w:rsidRPr="00E243DF">
        <w:rPr>
          <w:color w:val="000000"/>
        </w:rPr>
        <w:t xml:space="preserve"> months of second grant implementation</w:t>
      </w:r>
      <w:r w:rsidR="0077653A">
        <w:rPr>
          <w:color w:val="000000"/>
        </w:rPr>
        <w:t xml:space="preserve"> </w:t>
      </w:r>
      <w:r w:rsidR="002C7182">
        <w:rPr>
          <w:color w:val="000000"/>
        </w:rPr>
        <w:t xml:space="preserve">was </w:t>
      </w:r>
      <w:r w:rsidR="0077653A">
        <w:rPr>
          <w:color w:val="000000"/>
        </w:rPr>
        <w:t>required before evaluation activities t</w:t>
      </w:r>
      <w:r w:rsidR="002C7182">
        <w:rPr>
          <w:color w:val="000000"/>
        </w:rPr>
        <w:t>ook</w:t>
      </w:r>
      <w:r w:rsidR="0077653A">
        <w:rPr>
          <w:color w:val="000000"/>
        </w:rPr>
        <w:t xml:space="preserve"> place</w:t>
      </w:r>
      <w:r w:rsidR="0077653A" w:rsidRPr="00E243DF">
        <w:rPr>
          <w:color w:val="000000"/>
        </w:rPr>
        <w:t xml:space="preserve"> in order to strike the balance between data availability and maximising the number of countries in the sample. </w:t>
      </w:r>
      <w:r w:rsidR="002C7182">
        <w:rPr>
          <w:color w:val="000000"/>
        </w:rPr>
        <w:t>I</w:t>
      </w:r>
      <w:r w:rsidR="0077653A" w:rsidRPr="00E243DF">
        <w:rPr>
          <w:color w:val="000000"/>
        </w:rPr>
        <w:t xml:space="preserve">t </w:t>
      </w:r>
      <w:r w:rsidR="002C7182">
        <w:rPr>
          <w:color w:val="000000"/>
        </w:rPr>
        <w:t xml:space="preserve">was </w:t>
      </w:r>
      <w:r w:rsidR="0077653A" w:rsidRPr="00E243DF">
        <w:rPr>
          <w:color w:val="000000"/>
        </w:rPr>
        <w:t>anticipated that</w:t>
      </w:r>
      <w:r w:rsidR="002C7182">
        <w:rPr>
          <w:color w:val="000000"/>
        </w:rPr>
        <w:t>,</w:t>
      </w:r>
      <w:r w:rsidR="0077653A" w:rsidRPr="00E243DF">
        <w:rPr>
          <w:color w:val="000000"/>
        </w:rPr>
        <w:t xml:space="preserve"> by the end of Q2 2020, second round grants w</w:t>
      </w:r>
      <w:r w:rsidR="002C7182">
        <w:rPr>
          <w:color w:val="000000"/>
        </w:rPr>
        <w:t>ould</w:t>
      </w:r>
      <w:r w:rsidR="0077653A" w:rsidRPr="00E243DF">
        <w:rPr>
          <w:color w:val="000000"/>
        </w:rPr>
        <w:t xml:space="preserve"> have been rolled out in 14</w:t>
      </w:r>
      <w:r w:rsidR="00363F4C">
        <w:rPr>
          <w:color w:val="000000"/>
        </w:rPr>
        <w:t xml:space="preserve"> to </w:t>
      </w:r>
      <w:r w:rsidR="0077653A" w:rsidRPr="00E243DF">
        <w:rPr>
          <w:color w:val="000000"/>
        </w:rPr>
        <w:t xml:space="preserve">18 countries. </w:t>
      </w:r>
      <w:r w:rsidR="00363F4C">
        <w:rPr>
          <w:color w:val="000000"/>
        </w:rPr>
        <w:t>This would have allowed</w:t>
      </w:r>
      <w:r w:rsidR="0077653A" w:rsidRPr="00E243DF">
        <w:rPr>
          <w:color w:val="000000"/>
        </w:rPr>
        <w:t xml:space="preserve"> for </w:t>
      </w:r>
      <w:r w:rsidR="0077653A">
        <w:rPr>
          <w:color w:val="000000"/>
        </w:rPr>
        <w:t>potential implementation delays</w:t>
      </w:r>
      <w:r w:rsidR="0077653A" w:rsidRPr="00E243DF">
        <w:rPr>
          <w:color w:val="000000"/>
        </w:rPr>
        <w:t>, and on careful consideration of available resources, we propose</w:t>
      </w:r>
      <w:r w:rsidR="002C7182">
        <w:rPr>
          <w:color w:val="000000"/>
        </w:rPr>
        <w:t>d</w:t>
      </w:r>
      <w:r w:rsidR="0077653A" w:rsidRPr="00E243DF">
        <w:rPr>
          <w:color w:val="000000"/>
        </w:rPr>
        <w:t xml:space="preserve"> to include 16 countries in our sample. These </w:t>
      </w:r>
      <w:r w:rsidR="002C7182">
        <w:rPr>
          <w:color w:val="000000"/>
        </w:rPr>
        <w:t xml:space="preserve">were </w:t>
      </w:r>
      <w:r w:rsidR="00363F4C">
        <w:rPr>
          <w:color w:val="000000"/>
        </w:rPr>
        <w:t>the</w:t>
      </w:r>
      <w:r w:rsidR="0077653A" w:rsidRPr="00E243DF">
        <w:rPr>
          <w:color w:val="000000"/>
        </w:rPr>
        <w:t xml:space="preserve"> 16 where implementation beg</w:t>
      </w:r>
      <w:r w:rsidR="002C7182">
        <w:rPr>
          <w:color w:val="000000"/>
        </w:rPr>
        <w:t>a</w:t>
      </w:r>
      <w:r w:rsidR="0077653A" w:rsidRPr="00E243DF">
        <w:rPr>
          <w:color w:val="000000"/>
        </w:rPr>
        <w:t>n first – i</w:t>
      </w:r>
      <w:r w:rsidR="0077653A">
        <w:rPr>
          <w:color w:val="000000"/>
        </w:rPr>
        <w:t>.</w:t>
      </w:r>
      <w:r w:rsidR="0077653A" w:rsidRPr="00E243DF">
        <w:rPr>
          <w:color w:val="000000"/>
        </w:rPr>
        <w:t>e</w:t>
      </w:r>
      <w:r w:rsidR="0077653A">
        <w:rPr>
          <w:color w:val="000000"/>
        </w:rPr>
        <w:t>.</w:t>
      </w:r>
      <w:r w:rsidR="0077653A" w:rsidRPr="00E243DF">
        <w:rPr>
          <w:color w:val="000000"/>
        </w:rPr>
        <w:t xml:space="preserve"> </w:t>
      </w:r>
      <w:r w:rsidR="002C7182">
        <w:rPr>
          <w:color w:val="000000"/>
        </w:rPr>
        <w:t xml:space="preserve">those </w:t>
      </w:r>
      <w:r w:rsidR="0077653A" w:rsidRPr="00E243DF">
        <w:rPr>
          <w:color w:val="000000"/>
        </w:rPr>
        <w:t xml:space="preserve">not included in our sample </w:t>
      </w:r>
      <w:r w:rsidR="002C7182">
        <w:rPr>
          <w:color w:val="000000"/>
        </w:rPr>
        <w:t xml:space="preserve">were </w:t>
      </w:r>
      <w:r w:rsidR="0077653A" w:rsidRPr="00E243DF">
        <w:rPr>
          <w:color w:val="000000"/>
        </w:rPr>
        <w:t xml:space="preserve">the last recipients of second </w:t>
      </w:r>
      <w:r w:rsidR="0077653A" w:rsidRPr="00C613BA">
        <w:rPr>
          <w:color w:val="000000"/>
        </w:rPr>
        <w:t>round grants.</w:t>
      </w:r>
      <w:r w:rsidR="001357B3" w:rsidRPr="00C613BA">
        <w:rPr>
          <w:color w:val="000000"/>
        </w:rPr>
        <w:t xml:space="preserve"> A summary of our sampling strategy across key data sources is included in table </w:t>
      </w:r>
      <w:r w:rsidR="00C613BA" w:rsidRPr="00C613BA">
        <w:rPr>
          <w:color w:val="000000"/>
        </w:rPr>
        <w:t>2</w:t>
      </w:r>
      <w:r w:rsidR="001357B3" w:rsidRPr="00C613BA">
        <w:rPr>
          <w:color w:val="000000"/>
        </w:rPr>
        <w:t>.</w:t>
      </w:r>
    </w:p>
    <w:p w14:paraId="0AF4CF31" w14:textId="33FA8B46" w:rsidR="00F642FD" w:rsidRPr="00056EBA" w:rsidRDefault="002C7182" w:rsidP="00002C44">
      <w:pPr>
        <w:spacing w:after="120"/>
        <w:jc w:val="both"/>
        <w:rPr>
          <w:rFonts w:cs="Calibri"/>
          <w:i/>
        </w:rPr>
      </w:pPr>
      <w:r>
        <w:rPr>
          <w:b/>
          <w:color w:val="000000"/>
        </w:rPr>
        <w:t xml:space="preserve">In each country </w:t>
      </w:r>
      <w:r w:rsidR="00363F4C">
        <w:rPr>
          <w:b/>
          <w:color w:val="000000"/>
        </w:rPr>
        <w:t xml:space="preserve">we </w:t>
      </w:r>
      <w:r w:rsidR="00F642FD" w:rsidRPr="00531D58">
        <w:rPr>
          <w:b/>
          <w:color w:val="000000"/>
        </w:rPr>
        <w:t>use</w:t>
      </w:r>
      <w:r>
        <w:rPr>
          <w:b/>
          <w:color w:val="000000"/>
        </w:rPr>
        <w:t>d</w:t>
      </w:r>
      <w:r w:rsidR="00F642FD" w:rsidRPr="00531D58">
        <w:rPr>
          <w:b/>
          <w:color w:val="000000"/>
        </w:rPr>
        <w:t xml:space="preserve"> standard interviewing techniques for qualitative work, starting with an agreed list of </w:t>
      </w:r>
      <w:r w:rsidR="00F642FD">
        <w:rPr>
          <w:b/>
          <w:color w:val="000000"/>
        </w:rPr>
        <w:t>KIs</w:t>
      </w:r>
      <w:r w:rsidR="00F642FD" w:rsidRPr="00531D58">
        <w:rPr>
          <w:b/>
          <w:color w:val="000000"/>
        </w:rPr>
        <w:t xml:space="preserve"> and then snowballing</w:t>
      </w:r>
      <w:r w:rsidR="00363F4C">
        <w:rPr>
          <w:b/>
          <w:color w:val="000000"/>
        </w:rPr>
        <w:t>.</w:t>
      </w:r>
      <w:r w:rsidR="00F642FD">
        <w:rPr>
          <w:rStyle w:val="FootnoteReference"/>
          <w:b/>
          <w:color w:val="000000"/>
        </w:rPr>
        <w:footnoteReference w:id="6"/>
      </w:r>
      <w:r w:rsidR="00F642FD" w:rsidRPr="00531D58">
        <w:rPr>
          <w:color w:val="000000"/>
        </w:rPr>
        <w:t xml:space="preserve"> </w:t>
      </w:r>
      <w:r w:rsidR="00F642FD">
        <w:rPr>
          <w:color w:val="000000"/>
        </w:rPr>
        <w:t xml:space="preserve">We proposed snowball sampling </w:t>
      </w:r>
      <w:r w:rsidR="00363F4C">
        <w:rPr>
          <w:color w:val="000000"/>
        </w:rPr>
        <w:t>because</w:t>
      </w:r>
      <w:r w:rsidR="00F642FD">
        <w:rPr>
          <w:color w:val="000000"/>
        </w:rPr>
        <w:t xml:space="preserve"> it is an appropriate and cost-effective approach for the identification of relevant stakeholders across multiple countries, where we d</w:t>
      </w:r>
      <w:r>
        <w:rPr>
          <w:color w:val="000000"/>
        </w:rPr>
        <w:t>id</w:t>
      </w:r>
      <w:r w:rsidR="00363F4C">
        <w:rPr>
          <w:color w:val="000000"/>
        </w:rPr>
        <w:t xml:space="preserve"> </w:t>
      </w:r>
      <w:r w:rsidR="00F642FD">
        <w:rPr>
          <w:color w:val="000000"/>
        </w:rPr>
        <w:t>n</w:t>
      </w:r>
      <w:r w:rsidR="00363F4C">
        <w:rPr>
          <w:color w:val="000000"/>
        </w:rPr>
        <w:t>o</w:t>
      </w:r>
      <w:r w:rsidR="00F642FD">
        <w:rPr>
          <w:color w:val="000000"/>
        </w:rPr>
        <w:t>t have established and up</w:t>
      </w:r>
      <w:r w:rsidR="00363F4C">
        <w:rPr>
          <w:color w:val="000000"/>
        </w:rPr>
        <w:t>-</w:t>
      </w:r>
      <w:r w:rsidR="00F642FD">
        <w:rPr>
          <w:color w:val="000000"/>
        </w:rPr>
        <w:t>to</w:t>
      </w:r>
      <w:r w:rsidR="00363F4C">
        <w:rPr>
          <w:color w:val="000000"/>
        </w:rPr>
        <w:t>-</w:t>
      </w:r>
      <w:r w:rsidR="00F642FD">
        <w:rPr>
          <w:color w:val="000000"/>
        </w:rPr>
        <w:t xml:space="preserve">date networks of relevant stakeholders. </w:t>
      </w:r>
      <w:r w:rsidR="00F642FD" w:rsidRPr="00531D58">
        <w:rPr>
          <w:color w:val="000000"/>
        </w:rPr>
        <w:t>Technically, we look</w:t>
      </w:r>
      <w:r w:rsidR="0016602F">
        <w:rPr>
          <w:color w:val="000000"/>
        </w:rPr>
        <w:t>ed</w:t>
      </w:r>
      <w:r w:rsidR="00F642FD" w:rsidRPr="00531D58">
        <w:rPr>
          <w:color w:val="000000"/>
        </w:rPr>
        <w:t xml:space="preserve"> to stop interviewing people when we reach</w:t>
      </w:r>
      <w:r w:rsidR="0016602F">
        <w:rPr>
          <w:color w:val="000000"/>
        </w:rPr>
        <w:t>ed</w:t>
      </w:r>
      <w:r w:rsidR="00F642FD" w:rsidRPr="00531D58">
        <w:rPr>
          <w:color w:val="000000"/>
        </w:rPr>
        <w:t xml:space="preserve"> analytical saturation</w:t>
      </w:r>
      <w:r w:rsidR="00363F4C">
        <w:rPr>
          <w:color w:val="000000"/>
        </w:rPr>
        <w:t>;</w:t>
      </w:r>
      <w:r w:rsidR="00F642FD">
        <w:rPr>
          <w:rStyle w:val="FootnoteReference"/>
          <w:color w:val="000000"/>
        </w:rPr>
        <w:footnoteReference w:id="7"/>
      </w:r>
      <w:r w:rsidR="00F642FD" w:rsidRPr="00531D58">
        <w:rPr>
          <w:color w:val="000000"/>
        </w:rPr>
        <w:t xml:space="preserve"> however, in reality we snowball</w:t>
      </w:r>
      <w:r w:rsidR="0016602F">
        <w:rPr>
          <w:color w:val="000000"/>
        </w:rPr>
        <w:t>ed</w:t>
      </w:r>
      <w:r w:rsidR="00F642FD" w:rsidRPr="00531D58">
        <w:rPr>
          <w:color w:val="000000"/>
        </w:rPr>
        <w:t xml:space="preserve"> to the degree that we </w:t>
      </w:r>
      <w:r w:rsidR="0016602F">
        <w:rPr>
          <w:color w:val="000000"/>
        </w:rPr>
        <w:t xml:space="preserve">could </w:t>
      </w:r>
      <w:r w:rsidR="00F642FD" w:rsidRPr="00531D58">
        <w:rPr>
          <w:color w:val="000000"/>
        </w:rPr>
        <w:t xml:space="preserve">within </w:t>
      </w:r>
      <w:r w:rsidR="00363F4C">
        <w:rPr>
          <w:color w:val="000000"/>
        </w:rPr>
        <w:t xml:space="preserve">the </w:t>
      </w:r>
      <w:r w:rsidR="00F642FD" w:rsidRPr="00531D58">
        <w:rPr>
          <w:color w:val="000000"/>
        </w:rPr>
        <w:t xml:space="preserve">available time and resources.  </w:t>
      </w:r>
    </w:p>
    <w:p w14:paraId="79D5C1B0" w14:textId="6370FC40" w:rsidR="00D970EC" w:rsidRDefault="00D970EC" w:rsidP="00D970EC">
      <w:pPr>
        <w:keepNext/>
        <w:spacing w:after="120"/>
        <w:jc w:val="both"/>
      </w:pPr>
      <w:r w:rsidRPr="00CC07E7">
        <w:rPr>
          <w:b/>
        </w:rPr>
        <w:t xml:space="preserve">Our focus is on </w:t>
      </w:r>
      <w:r w:rsidR="00A93E37">
        <w:rPr>
          <w:b/>
        </w:rPr>
        <w:t xml:space="preserve">the </w:t>
      </w:r>
      <w:r w:rsidRPr="00CC07E7">
        <w:rPr>
          <w:b/>
        </w:rPr>
        <w:t>country- as opposed to regional- or global-level changes at three distinct levels</w:t>
      </w:r>
      <w:r>
        <w:rPr>
          <w:b/>
        </w:rPr>
        <w:t xml:space="preserve"> across human, animal and environment sectors</w:t>
      </w:r>
      <w:r w:rsidRPr="00CC07E7">
        <w:rPr>
          <w:b/>
        </w:rPr>
        <w:t>:</w:t>
      </w:r>
      <w:r w:rsidRPr="00124EF1">
        <w:rPr>
          <w:bCs/>
        </w:rPr>
        <w:t xml:space="preserve"> 1) at the level of the surveillance system</w:t>
      </w:r>
      <w:r>
        <w:rPr>
          <w:b/>
        </w:rPr>
        <w:t xml:space="preserve"> </w:t>
      </w:r>
      <w:r w:rsidRPr="006558DB">
        <w:t>(EQ2, EQ3 and EQ6)</w:t>
      </w:r>
      <w:r>
        <w:t xml:space="preserve">, to see if changes are sustainable and have been delivered with economy, efficiency and effectiveness – including the extent to which interventions are aligned with </w:t>
      </w:r>
      <w:r w:rsidR="000E7658">
        <w:t xml:space="preserve">the </w:t>
      </w:r>
      <w:r>
        <w:t>work of others</w:t>
      </w:r>
      <w:r w:rsidR="0066738F">
        <w:t xml:space="preserve">; </w:t>
      </w:r>
      <w:r>
        <w:t>2) a</w:t>
      </w:r>
      <w:r w:rsidRPr="006558DB">
        <w:t>t the level of availability of more and better data</w:t>
      </w:r>
      <w:r>
        <w:t>, where our focus is on w</w:t>
      </w:r>
      <w:r w:rsidRPr="003E36AA">
        <w:t>hat has been the increase in the quantity and/or quality of data on AMR at country level and to what extent has the Fleming Fund contributed to this increase</w:t>
      </w:r>
      <w:r>
        <w:t xml:space="preserve"> </w:t>
      </w:r>
      <w:r w:rsidRPr="006558DB">
        <w:t>(EQ1)</w:t>
      </w:r>
      <w:r>
        <w:t>; a</w:t>
      </w:r>
      <w:r w:rsidRPr="006558DB">
        <w:t xml:space="preserve">t </w:t>
      </w:r>
      <w:r>
        <w:t xml:space="preserve">outcome </w:t>
      </w:r>
      <w:r w:rsidRPr="006558DB">
        <w:t>level</w:t>
      </w:r>
      <w:r>
        <w:t xml:space="preserve"> - </w:t>
      </w:r>
      <w:r w:rsidRPr="006558DB">
        <w:t xml:space="preserve">whether the availability of more and better data leads to </w:t>
      </w:r>
      <w:r w:rsidR="00C510FB">
        <w:t xml:space="preserve">a </w:t>
      </w:r>
      <w:r w:rsidRPr="006558DB">
        <w:t>significant change in the country or the availability of more and better data internationally (EQ2, EQ3, EQ4, EQ5 and EQ6).</w:t>
      </w:r>
      <w:r>
        <w:t xml:space="preserve"> </w:t>
      </w:r>
      <w:r w:rsidRPr="00D93838">
        <w:rPr>
          <w:bCs/>
        </w:rPr>
        <w:t>The Fleming Fund has adopted a One Health approach</w:t>
      </w:r>
      <w:r w:rsidRPr="00D93838">
        <w:rPr>
          <w:rStyle w:val="FootnoteReference"/>
          <w:bCs/>
        </w:rPr>
        <w:footnoteReference w:id="8"/>
      </w:r>
      <w:r w:rsidRPr="00D93838">
        <w:rPr>
          <w:bCs/>
        </w:rPr>
        <w:t xml:space="preserve"> to improving the capacity of </w:t>
      </w:r>
      <w:r w:rsidR="00664368" w:rsidRPr="00664368">
        <w:rPr>
          <w:bCs/>
        </w:rPr>
        <w:t>Low-and Middle-Income Countries</w:t>
      </w:r>
      <w:r w:rsidR="007458AC">
        <w:rPr>
          <w:bCs/>
        </w:rPr>
        <w:t xml:space="preserve"> </w:t>
      </w:r>
      <w:r w:rsidR="00664368">
        <w:rPr>
          <w:bCs/>
        </w:rPr>
        <w:t>(</w:t>
      </w:r>
      <w:r w:rsidRPr="00D93838">
        <w:rPr>
          <w:bCs/>
        </w:rPr>
        <w:t>LMICs</w:t>
      </w:r>
      <w:r w:rsidR="00664368">
        <w:rPr>
          <w:bCs/>
        </w:rPr>
        <w:t>)</w:t>
      </w:r>
      <w:r w:rsidRPr="00D93838">
        <w:rPr>
          <w:bCs/>
        </w:rPr>
        <w:t xml:space="preserve"> to collect data, enable its sharing, collation and use to encourage</w:t>
      </w:r>
      <w:r w:rsidR="000E7658">
        <w:rPr>
          <w:bCs/>
        </w:rPr>
        <w:t xml:space="preserve"> the</w:t>
      </w:r>
      <w:r w:rsidRPr="00D93838">
        <w:rPr>
          <w:bCs/>
        </w:rPr>
        <w:t xml:space="preserve"> appropriate use of antibiotics.</w:t>
      </w:r>
      <w:r w:rsidR="007458AC">
        <w:t xml:space="preserve"> </w:t>
      </w:r>
      <w:r>
        <w:t xml:space="preserve">As such the evaluation has focused on </w:t>
      </w:r>
      <w:r w:rsidR="00105650">
        <w:t>H</w:t>
      </w:r>
      <w:r w:rsidR="00913E01">
        <w:t xml:space="preserve">uman </w:t>
      </w:r>
      <w:r w:rsidR="00105650">
        <w:t>H</w:t>
      </w:r>
      <w:r w:rsidR="00913E01">
        <w:t>ealth (HH)</w:t>
      </w:r>
      <w:r w:rsidR="00105650">
        <w:t xml:space="preserve"> and </w:t>
      </w:r>
      <w:r w:rsidR="00913E01">
        <w:t>Animal Health</w:t>
      </w:r>
      <w:r w:rsidR="00265143">
        <w:t xml:space="preserve"> (AH)</w:t>
      </w:r>
      <w:r>
        <w:t xml:space="preserve"> surveillance systems but in a more limited number of countries, also the environment.</w:t>
      </w:r>
      <w:r w:rsidRPr="006558DB">
        <w:t xml:space="preserve"> </w:t>
      </w:r>
    </w:p>
    <w:p w14:paraId="39A001A7" w14:textId="75F0DAE7" w:rsidR="00C613BA" w:rsidRDefault="00C613BA" w:rsidP="00C613BA">
      <w:pPr>
        <w:pStyle w:val="Caption"/>
        <w:keepNext/>
      </w:pPr>
      <w:bookmarkStart w:id="34" w:name="_Toc143857870"/>
      <w:r>
        <w:t xml:space="preserve">Table </w:t>
      </w:r>
      <w:r>
        <w:fldChar w:fldCharType="begin"/>
      </w:r>
      <w:r>
        <w:instrText>SEQ Table \* ARABIC</w:instrText>
      </w:r>
      <w:r>
        <w:fldChar w:fldCharType="separate"/>
      </w:r>
      <w:r w:rsidR="009A383C">
        <w:rPr>
          <w:noProof/>
        </w:rPr>
        <w:t>2</w:t>
      </w:r>
      <w:r>
        <w:fldChar w:fldCharType="end"/>
      </w:r>
      <w:r>
        <w:t xml:space="preserve"> Summary of sampling strategies</w:t>
      </w:r>
      <w:bookmarkEnd w:id="34"/>
    </w:p>
    <w:tbl>
      <w:tblPr>
        <w:tblStyle w:val="TableGrid"/>
        <w:tblW w:w="0" w:type="auto"/>
        <w:tblLook w:val="04A0" w:firstRow="1" w:lastRow="0" w:firstColumn="1" w:lastColumn="0" w:noHBand="0" w:noVBand="1"/>
      </w:tblPr>
      <w:tblGrid>
        <w:gridCol w:w="1250"/>
        <w:gridCol w:w="3575"/>
        <w:gridCol w:w="3663"/>
      </w:tblGrid>
      <w:tr w:rsidR="001357B3" w:rsidRPr="005045EA" w14:paraId="2AB5497E" w14:textId="77777777" w:rsidTr="00C613BA">
        <w:trPr>
          <w:tblHeader/>
        </w:trPr>
        <w:tc>
          <w:tcPr>
            <w:tcW w:w="1250" w:type="dxa"/>
            <w:tcBorders>
              <w:bottom w:val="single" w:sz="4" w:space="0" w:color="auto"/>
            </w:tcBorders>
            <w:shd w:val="clear" w:color="auto" w:fill="D0E9B4" w:themeFill="accent6" w:themeFillTint="66"/>
          </w:tcPr>
          <w:p w14:paraId="7DA2D3DE" w14:textId="77777777" w:rsidR="001357B3" w:rsidRPr="005045EA" w:rsidRDefault="001357B3" w:rsidP="0081582A">
            <w:pPr>
              <w:rPr>
                <w:sz w:val="20"/>
                <w:szCs w:val="20"/>
              </w:rPr>
            </w:pPr>
            <w:r w:rsidRPr="005045EA">
              <w:rPr>
                <w:sz w:val="20"/>
                <w:szCs w:val="20"/>
              </w:rPr>
              <w:t>Data source</w:t>
            </w:r>
          </w:p>
        </w:tc>
        <w:tc>
          <w:tcPr>
            <w:tcW w:w="3575" w:type="dxa"/>
            <w:tcBorders>
              <w:bottom w:val="single" w:sz="4" w:space="0" w:color="auto"/>
            </w:tcBorders>
            <w:shd w:val="clear" w:color="auto" w:fill="D0E9B4" w:themeFill="accent6" w:themeFillTint="66"/>
          </w:tcPr>
          <w:p w14:paraId="6AA6D585" w14:textId="77777777" w:rsidR="001357B3" w:rsidRPr="005045EA" w:rsidRDefault="001357B3" w:rsidP="0081582A">
            <w:pPr>
              <w:rPr>
                <w:sz w:val="20"/>
                <w:szCs w:val="20"/>
              </w:rPr>
            </w:pPr>
            <w:r w:rsidRPr="005045EA">
              <w:rPr>
                <w:sz w:val="20"/>
                <w:szCs w:val="20"/>
              </w:rPr>
              <w:t>Purpose / target</w:t>
            </w:r>
          </w:p>
        </w:tc>
        <w:tc>
          <w:tcPr>
            <w:tcW w:w="3663" w:type="dxa"/>
            <w:tcBorders>
              <w:bottom w:val="single" w:sz="4" w:space="0" w:color="auto"/>
            </w:tcBorders>
            <w:shd w:val="clear" w:color="auto" w:fill="D0E9B4" w:themeFill="accent6" w:themeFillTint="66"/>
          </w:tcPr>
          <w:p w14:paraId="1D5A427C" w14:textId="77777777" w:rsidR="001357B3" w:rsidRPr="005045EA" w:rsidRDefault="001357B3" w:rsidP="0081582A">
            <w:pPr>
              <w:rPr>
                <w:sz w:val="20"/>
                <w:szCs w:val="20"/>
              </w:rPr>
            </w:pPr>
            <w:r w:rsidRPr="005045EA">
              <w:rPr>
                <w:sz w:val="20"/>
                <w:szCs w:val="20"/>
              </w:rPr>
              <w:t>Sampling strategy</w:t>
            </w:r>
          </w:p>
        </w:tc>
      </w:tr>
      <w:tr w:rsidR="001357B3" w:rsidRPr="005045EA" w14:paraId="7841C57C" w14:textId="77777777" w:rsidTr="00C613BA">
        <w:tc>
          <w:tcPr>
            <w:tcW w:w="1250" w:type="dxa"/>
            <w:tcBorders>
              <w:top w:val="single" w:sz="4" w:space="0" w:color="auto"/>
            </w:tcBorders>
          </w:tcPr>
          <w:p w14:paraId="07D13454" w14:textId="77777777" w:rsidR="001357B3" w:rsidRPr="005045EA" w:rsidRDefault="001357B3" w:rsidP="0081582A">
            <w:pPr>
              <w:rPr>
                <w:sz w:val="20"/>
                <w:szCs w:val="20"/>
              </w:rPr>
            </w:pPr>
            <w:r w:rsidRPr="005045EA">
              <w:rPr>
                <w:sz w:val="20"/>
                <w:szCs w:val="20"/>
              </w:rPr>
              <w:t>Documents</w:t>
            </w:r>
          </w:p>
        </w:tc>
        <w:tc>
          <w:tcPr>
            <w:tcW w:w="3575" w:type="dxa"/>
            <w:tcBorders>
              <w:top w:val="single" w:sz="4" w:space="0" w:color="auto"/>
            </w:tcBorders>
          </w:tcPr>
          <w:p w14:paraId="7FD12DEA" w14:textId="77777777" w:rsidR="001357B3" w:rsidRPr="00A14EE8" w:rsidRDefault="001357B3" w:rsidP="00C6374D">
            <w:pPr>
              <w:pStyle w:val="ListParagraph"/>
              <w:numPr>
                <w:ilvl w:val="0"/>
                <w:numId w:val="123"/>
              </w:numPr>
              <w:rPr>
                <w:sz w:val="20"/>
                <w:szCs w:val="20"/>
              </w:rPr>
            </w:pPr>
            <w:r w:rsidRPr="00A14EE8">
              <w:rPr>
                <w:sz w:val="20"/>
                <w:szCs w:val="20"/>
              </w:rPr>
              <w:t>Comprehensive overview of design and implementation. Primarily generated MA or it’s subgrantees, but sometimes other sources such as DHSC or wider literature for context.</w:t>
            </w:r>
          </w:p>
        </w:tc>
        <w:tc>
          <w:tcPr>
            <w:tcW w:w="3663" w:type="dxa"/>
            <w:tcBorders>
              <w:top w:val="single" w:sz="4" w:space="0" w:color="auto"/>
            </w:tcBorders>
          </w:tcPr>
          <w:p w14:paraId="16DB5B14" w14:textId="77777777" w:rsidR="001357B3" w:rsidRPr="005045EA" w:rsidRDefault="001357B3" w:rsidP="0081582A">
            <w:pPr>
              <w:rPr>
                <w:sz w:val="20"/>
                <w:szCs w:val="20"/>
              </w:rPr>
            </w:pPr>
            <w:r w:rsidRPr="005045EA">
              <w:rPr>
                <w:sz w:val="20"/>
                <w:szCs w:val="20"/>
              </w:rPr>
              <w:t>All relevant available documents were reviewed.</w:t>
            </w:r>
          </w:p>
        </w:tc>
      </w:tr>
      <w:tr w:rsidR="001357B3" w:rsidRPr="005045EA" w14:paraId="2A10CEF6" w14:textId="77777777" w:rsidTr="00C613BA">
        <w:tc>
          <w:tcPr>
            <w:tcW w:w="1250" w:type="dxa"/>
          </w:tcPr>
          <w:p w14:paraId="0E42213B" w14:textId="77777777" w:rsidR="001357B3" w:rsidRPr="005045EA" w:rsidRDefault="001357B3" w:rsidP="0081582A">
            <w:pPr>
              <w:rPr>
                <w:sz w:val="20"/>
                <w:szCs w:val="20"/>
              </w:rPr>
            </w:pPr>
            <w:r w:rsidRPr="005045EA">
              <w:rPr>
                <w:sz w:val="20"/>
                <w:szCs w:val="20"/>
              </w:rPr>
              <w:t>Countries</w:t>
            </w:r>
          </w:p>
        </w:tc>
        <w:tc>
          <w:tcPr>
            <w:tcW w:w="3575" w:type="dxa"/>
          </w:tcPr>
          <w:p w14:paraId="1A019F97" w14:textId="77777777" w:rsidR="001357B3" w:rsidRPr="00A14EE8" w:rsidRDefault="001357B3" w:rsidP="00C6374D">
            <w:pPr>
              <w:pStyle w:val="ListParagraph"/>
              <w:numPr>
                <w:ilvl w:val="0"/>
                <w:numId w:val="122"/>
              </w:numPr>
              <w:rPr>
                <w:sz w:val="20"/>
                <w:szCs w:val="20"/>
              </w:rPr>
            </w:pPr>
            <w:r w:rsidRPr="00A14EE8">
              <w:rPr>
                <w:sz w:val="20"/>
                <w:szCs w:val="20"/>
              </w:rPr>
              <w:t>Unit of data collection, to provide basis for cross-country/portfolio-level analysis.</w:t>
            </w:r>
          </w:p>
          <w:p w14:paraId="4B541E73" w14:textId="77777777" w:rsidR="001357B3" w:rsidRDefault="001357B3" w:rsidP="00C6374D">
            <w:pPr>
              <w:pStyle w:val="ListParagraph"/>
              <w:numPr>
                <w:ilvl w:val="0"/>
                <w:numId w:val="122"/>
              </w:numPr>
              <w:rPr>
                <w:sz w:val="20"/>
                <w:szCs w:val="20"/>
              </w:rPr>
            </w:pPr>
            <w:r w:rsidRPr="00A14EE8">
              <w:rPr>
                <w:sz w:val="20"/>
                <w:szCs w:val="20"/>
              </w:rPr>
              <w:t xml:space="preserve">Not aiming </w:t>
            </w:r>
            <w:r>
              <w:rPr>
                <w:sz w:val="20"/>
                <w:szCs w:val="20"/>
              </w:rPr>
              <w:t xml:space="preserve">to draw out lessons, so </w:t>
            </w:r>
            <w:r w:rsidRPr="00A14EE8">
              <w:rPr>
                <w:sz w:val="20"/>
                <w:szCs w:val="20"/>
              </w:rPr>
              <w:t xml:space="preserve">generalisability </w:t>
            </w:r>
            <w:r>
              <w:rPr>
                <w:sz w:val="20"/>
                <w:szCs w:val="20"/>
              </w:rPr>
              <w:t xml:space="preserve">less of a concern. </w:t>
            </w:r>
          </w:p>
          <w:p w14:paraId="0DA0EB3A" w14:textId="3D9D6E0D" w:rsidR="001357B3" w:rsidRPr="005045EA" w:rsidRDefault="001357B3" w:rsidP="00FC149F">
            <w:pPr>
              <w:pStyle w:val="ListParagraph"/>
              <w:numPr>
                <w:ilvl w:val="0"/>
                <w:numId w:val="122"/>
              </w:numPr>
              <w:rPr>
                <w:sz w:val="20"/>
                <w:szCs w:val="20"/>
              </w:rPr>
            </w:pPr>
            <w:r>
              <w:rPr>
                <w:sz w:val="20"/>
                <w:szCs w:val="20"/>
              </w:rPr>
              <w:t>B</w:t>
            </w:r>
            <w:r w:rsidRPr="00A14EE8">
              <w:rPr>
                <w:sz w:val="20"/>
                <w:szCs w:val="20"/>
              </w:rPr>
              <w:t>ut important to have geographic balance across four regions: East &amp; Southern Africa, West Africa, South Asia, South East Asia.</w:t>
            </w:r>
          </w:p>
        </w:tc>
        <w:tc>
          <w:tcPr>
            <w:tcW w:w="3663" w:type="dxa"/>
          </w:tcPr>
          <w:p w14:paraId="716CDB85" w14:textId="77777777" w:rsidR="001357B3" w:rsidRPr="005045EA" w:rsidRDefault="001357B3" w:rsidP="00C6374D">
            <w:pPr>
              <w:pStyle w:val="ItadMainTitle3"/>
              <w:numPr>
                <w:ilvl w:val="0"/>
                <w:numId w:val="121"/>
              </w:numPr>
              <w:spacing w:before="0" w:after="120"/>
              <w:rPr>
                <w:sz w:val="20"/>
                <w:szCs w:val="20"/>
              </w:rPr>
            </w:pPr>
            <w:r w:rsidRPr="005045EA">
              <w:rPr>
                <w:rFonts w:cs="Calibri"/>
                <w:sz w:val="20"/>
                <w:szCs w:val="20"/>
              </w:rPr>
              <w:t xml:space="preserve">Selection designed to balance availability of data for the summative report while covering as many countries as possible. </w:t>
            </w:r>
            <w:r w:rsidRPr="005045EA">
              <w:rPr>
                <w:color w:val="000000"/>
                <w:sz w:val="20"/>
                <w:szCs w:val="20"/>
              </w:rPr>
              <w:t xml:space="preserve">The eight that are not included in our sample will be the last recipients of second round grants.  </w:t>
            </w:r>
          </w:p>
          <w:p w14:paraId="782E7A25" w14:textId="77777777" w:rsidR="001357B3" w:rsidRPr="005045EA" w:rsidRDefault="001357B3" w:rsidP="00C6374D">
            <w:pPr>
              <w:pStyle w:val="ItadMainTitle3"/>
              <w:numPr>
                <w:ilvl w:val="0"/>
                <w:numId w:val="121"/>
              </w:numPr>
              <w:spacing w:before="0" w:after="120"/>
              <w:rPr>
                <w:sz w:val="20"/>
                <w:szCs w:val="20"/>
              </w:rPr>
            </w:pPr>
            <w:r w:rsidRPr="005045EA">
              <w:rPr>
                <w:sz w:val="20"/>
                <w:szCs w:val="20"/>
              </w:rPr>
              <w:t>Sample included</w:t>
            </w:r>
            <w:r w:rsidRPr="005045EA">
              <w:rPr>
                <w:bCs/>
                <w:sz w:val="20"/>
                <w:szCs w:val="20"/>
              </w:rPr>
              <w:t xml:space="preserve"> </w:t>
            </w:r>
            <w:r w:rsidRPr="005045EA">
              <w:rPr>
                <w:sz w:val="20"/>
                <w:szCs w:val="20"/>
              </w:rPr>
              <w:t>countries that were due, at the time of finalising our inception report in mid-2018,</w:t>
            </w:r>
            <w:r w:rsidRPr="005045EA">
              <w:rPr>
                <w:bCs/>
                <w:sz w:val="20"/>
                <w:szCs w:val="20"/>
              </w:rPr>
              <w:t xml:space="preserve"> </w:t>
            </w:r>
            <w:r w:rsidRPr="005045EA">
              <w:rPr>
                <w:sz w:val="20"/>
                <w:szCs w:val="20"/>
              </w:rPr>
              <w:t>to receive at least six</w:t>
            </w:r>
            <w:r w:rsidRPr="005045EA">
              <w:rPr>
                <w:bCs/>
                <w:sz w:val="20"/>
                <w:szCs w:val="20"/>
              </w:rPr>
              <w:t xml:space="preserve"> </w:t>
            </w:r>
            <w:r w:rsidRPr="005045EA">
              <w:rPr>
                <w:sz w:val="20"/>
                <w:szCs w:val="20"/>
              </w:rPr>
              <w:t>months of support under second country grants</w:t>
            </w:r>
            <w:r w:rsidRPr="005045EA">
              <w:rPr>
                <w:bCs/>
                <w:sz w:val="20"/>
                <w:szCs w:val="20"/>
              </w:rPr>
              <w:t xml:space="preserve">. </w:t>
            </w:r>
            <w:r w:rsidRPr="005045EA">
              <w:rPr>
                <w:sz w:val="20"/>
                <w:szCs w:val="20"/>
              </w:rPr>
              <w:t>Therefore,</w:t>
            </w:r>
            <w:r w:rsidRPr="005045EA">
              <w:rPr>
                <w:bCs/>
                <w:sz w:val="20"/>
                <w:szCs w:val="20"/>
              </w:rPr>
              <w:t xml:space="preserve"> </w:t>
            </w:r>
            <w:r w:rsidRPr="005045EA">
              <w:rPr>
                <w:sz w:val="20"/>
                <w:szCs w:val="20"/>
              </w:rPr>
              <w:t>those countries had the greatest prospect of substantive results and were the countries that were most relevant to answering our EQs</w:t>
            </w:r>
            <w:r w:rsidRPr="005045EA">
              <w:rPr>
                <w:bCs/>
                <w:sz w:val="20"/>
                <w:szCs w:val="20"/>
              </w:rPr>
              <w:t xml:space="preserve">. </w:t>
            </w:r>
          </w:p>
        </w:tc>
      </w:tr>
      <w:tr w:rsidR="001357B3" w:rsidRPr="005045EA" w14:paraId="19114BE3" w14:textId="77777777" w:rsidTr="00C613BA">
        <w:tc>
          <w:tcPr>
            <w:tcW w:w="1250" w:type="dxa"/>
          </w:tcPr>
          <w:p w14:paraId="61E06E09" w14:textId="77777777" w:rsidR="001357B3" w:rsidRPr="005045EA" w:rsidRDefault="001357B3" w:rsidP="0081582A">
            <w:pPr>
              <w:rPr>
                <w:sz w:val="20"/>
                <w:szCs w:val="20"/>
              </w:rPr>
            </w:pPr>
            <w:r w:rsidRPr="005045EA">
              <w:rPr>
                <w:sz w:val="20"/>
                <w:szCs w:val="20"/>
              </w:rPr>
              <w:t>Grants</w:t>
            </w:r>
          </w:p>
        </w:tc>
        <w:tc>
          <w:tcPr>
            <w:tcW w:w="3575" w:type="dxa"/>
          </w:tcPr>
          <w:p w14:paraId="79EA31B9" w14:textId="77777777" w:rsidR="001357B3" w:rsidRPr="00A14EE8" w:rsidRDefault="001357B3" w:rsidP="00C6374D">
            <w:pPr>
              <w:pStyle w:val="ListParagraph"/>
              <w:numPr>
                <w:ilvl w:val="0"/>
                <w:numId w:val="124"/>
              </w:numPr>
              <w:rPr>
                <w:sz w:val="20"/>
                <w:szCs w:val="20"/>
              </w:rPr>
            </w:pPr>
            <w:r>
              <w:rPr>
                <w:sz w:val="20"/>
                <w:szCs w:val="20"/>
              </w:rPr>
              <w:t>Understand Fleming Fund expected outputs (and actual delivery) in order to inform EQs.</w:t>
            </w:r>
          </w:p>
        </w:tc>
        <w:tc>
          <w:tcPr>
            <w:tcW w:w="3663" w:type="dxa"/>
          </w:tcPr>
          <w:p w14:paraId="288279F9" w14:textId="77777777" w:rsidR="001357B3" w:rsidRDefault="001357B3" w:rsidP="00C6374D">
            <w:pPr>
              <w:pStyle w:val="ListParagraph"/>
              <w:numPr>
                <w:ilvl w:val="0"/>
                <w:numId w:val="124"/>
              </w:numPr>
              <w:rPr>
                <w:sz w:val="20"/>
                <w:szCs w:val="20"/>
              </w:rPr>
            </w:pPr>
            <w:r w:rsidRPr="00A14EE8">
              <w:rPr>
                <w:sz w:val="20"/>
                <w:szCs w:val="20"/>
              </w:rPr>
              <w:t>All active MA grants in sample countries</w:t>
            </w:r>
            <w:r>
              <w:rPr>
                <w:sz w:val="20"/>
                <w:szCs w:val="20"/>
              </w:rPr>
              <w:t xml:space="preserve"> were included</w:t>
            </w:r>
          </w:p>
          <w:p w14:paraId="308E115C" w14:textId="77777777" w:rsidR="001357B3" w:rsidRDefault="001357B3" w:rsidP="00C6374D">
            <w:pPr>
              <w:pStyle w:val="ListParagraph"/>
              <w:numPr>
                <w:ilvl w:val="0"/>
                <w:numId w:val="124"/>
              </w:numPr>
              <w:rPr>
                <w:sz w:val="20"/>
                <w:szCs w:val="20"/>
              </w:rPr>
            </w:pPr>
            <w:r>
              <w:rPr>
                <w:sz w:val="20"/>
                <w:szCs w:val="20"/>
              </w:rPr>
              <w:t>All MA grants that were non-country specific were included</w:t>
            </w:r>
          </w:p>
          <w:p w14:paraId="553CD056" w14:textId="77777777" w:rsidR="001357B3" w:rsidRPr="00A14EE8" w:rsidRDefault="001357B3" w:rsidP="00C6374D">
            <w:pPr>
              <w:pStyle w:val="ListParagraph"/>
              <w:numPr>
                <w:ilvl w:val="0"/>
                <w:numId w:val="124"/>
              </w:numPr>
              <w:rPr>
                <w:sz w:val="20"/>
                <w:szCs w:val="20"/>
              </w:rPr>
            </w:pPr>
            <w:r>
              <w:rPr>
                <w:sz w:val="20"/>
                <w:szCs w:val="20"/>
              </w:rPr>
              <w:t>Direct grants managed by DHSC were not included.</w:t>
            </w:r>
          </w:p>
        </w:tc>
      </w:tr>
      <w:tr w:rsidR="001357B3" w:rsidRPr="005045EA" w14:paraId="6875978D" w14:textId="77777777" w:rsidTr="00C613BA">
        <w:tc>
          <w:tcPr>
            <w:tcW w:w="1250" w:type="dxa"/>
          </w:tcPr>
          <w:p w14:paraId="4798F25F" w14:textId="77777777" w:rsidR="001357B3" w:rsidRPr="005045EA" w:rsidRDefault="001357B3" w:rsidP="0081582A">
            <w:pPr>
              <w:rPr>
                <w:sz w:val="20"/>
                <w:szCs w:val="20"/>
              </w:rPr>
            </w:pPr>
            <w:r w:rsidRPr="005045EA">
              <w:rPr>
                <w:sz w:val="20"/>
                <w:szCs w:val="20"/>
              </w:rPr>
              <w:t xml:space="preserve">Key informant interviews </w:t>
            </w:r>
          </w:p>
        </w:tc>
        <w:tc>
          <w:tcPr>
            <w:tcW w:w="3575" w:type="dxa"/>
          </w:tcPr>
          <w:p w14:paraId="5196F51C" w14:textId="77777777" w:rsidR="001357B3" w:rsidRDefault="001357B3" w:rsidP="00C6374D">
            <w:pPr>
              <w:pStyle w:val="ListParagraph"/>
              <w:numPr>
                <w:ilvl w:val="0"/>
                <w:numId w:val="115"/>
              </w:numPr>
              <w:ind w:left="322" w:hanging="283"/>
              <w:rPr>
                <w:sz w:val="20"/>
                <w:szCs w:val="20"/>
              </w:rPr>
            </w:pPr>
            <w:r w:rsidRPr="005045EA">
              <w:rPr>
                <w:sz w:val="20"/>
                <w:szCs w:val="20"/>
              </w:rPr>
              <w:t xml:space="preserve">Qualitative perspective from multiple stakeholder groups to generate evidence against EQs and enable cross country comparison. </w:t>
            </w:r>
          </w:p>
          <w:p w14:paraId="274621C5" w14:textId="77777777" w:rsidR="001357B3" w:rsidRPr="005045EA" w:rsidRDefault="001357B3" w:rsidP="00C6374D">
            <w:pPr>
              <w:pStyle w:val="ListParagraph"/>
              <w:numPr>
                <w:ilvl w:val="0"/>
                <w:numId w:val="115"/>
              </w:numPr>
              <w:ind w:left="322" w:hanging="283"/>
              <w:rPr>
                <w:sz w:val="20"/>
                <w:szCs w:val="20"/>
              </w:rPr>
            </w:pPr>
            <w:r w:rsidRPr="00A14EE8">
              <w:rPr>
                <w:rFonts w:cs="Calibri"/>
                <w:sz w:val="20"/>
                <w:szCs w:val="20"/>
              </w:rPr>
              <w:t>To ensure maximum coverage and representation of key stakeholders in order to enhance</w:t>
            </w:r>
            <w:r w:rsidRPr="005045EA">
              <w:rPr>
                <w:rFonts w:cs="Calibri"/>
                <w:sz w:val="20"/>
                <w:szCs w:val="20"/>
              </w:rPr>
              <w:t xml:space="preserve"> and complement data from documentation, especially for areas that are were not well covered and/or that require more qualitative information.</w:t>
            </w:r>
          </w:p>
          <w:p w14:paraId="488A39F0" w14:textId="77777777" w:rsidR="001357B3" w:rsidRPr="005045EA" w:rsidRDefault="001357B3" w:rsidP="00C6374D">
            <w:pPr>
              <w:pStyle w:val="ListParagraph"/>
              <w:numPr>
                <w:ilvl w:val="0"/>
                <w:numId w:val="115"/>
              </w:numPr>
              <w:ind w:left="322" w:hanging="283"/>
              <w:rPr>
                <w:sz w:val="20"/>
                <w:szCs w:val="20"/>
              </w:rPr>
            </w:pPr>
            <w:r w:rsidRPr="005045EA">
              <w:rPr>
                <w:sz w:val="20"/>
                <w:szCs w:val="20"/>
              </w:rPr>
              <w:t>Number of interviews determined by resources – approximate</w:t>
            </w:r>
            <w:r>
              <w:rPr>
                <w:sz w:val="20"/>
                <w:szCs w:val="20"/>
              </w:rPr>
              <w:t>ly</w:t>
            </w:r>
            <w:r w:rsidRPr="005045EA">
              <w:rPr>
                <w:sz w:val="20"/>
                <w:szCs w:val="20"/>
              </w:rPr>
              <w:t xml:space="preserve"> 15</w:t>
            </w:r>
            <w:r>
              <w:rPr>
                <w:sz w:val="20"/>
                <w:szCs w:val="20"/>
              </w:rPr>
              <w:t>-20</w:t>
            </w:r>
            <w:r w:rsidRPr="005045EA">
              <w:rPr>
                <w:sz w:val="20"/>
                <w:szCs w:val="20"/>
              </w:rPr>
              <w:t xml:space="preserve"> per country visit</w:t>
            </w:r>
            <w:r>
              <w:rPr>
                <w:sz w:val="20"/>
                <w:szCs w:val="20"/>
              </w:rPr>
              <w:t xml:space="preserve"> (not including site visits)</w:t>
            </w:r>
            <w:r w:rsidRPr="005045EA">
              <w:rPr>
                <w:sz w:val="20"/>
                <w:szCs w:val="20"/>
              </w:rPr>
              <w:t>. Number of global and Regional KIIs determined by number of non-country grants and number of thematic leads within MA team.</w:t>
            </w:r>
          </w:p>
          <w:p w14:paraId="79DD8EF1" w14:textId="77777777" w:rsidR="001357B3" w:rsidRPr="005045EA" w:rsidRDefault="001357B3" w:rsidP="00FC149F">
            <w:pPr>
              <w:rPr>
                <w:sz w:val="20"/>
                <w:szCs w:val="20"/>
              </w:rPr>
            </w:pPr>
          </w:p>
        </w:tc>
        <w:tc>
          <w:tcPr>
            <w:tcW w:w="3663" w:type="dxa"/>
          </w:tcPr>
          <w:p w14:paraId="43C19CD3" w14:textId="77777777" w:rsidR="001357B3" w:rsidRPr="005045EA" w:rsidRDefault="001357B3" w:rsidP="00C6374D">
            <w:pPr>
              <w:pStyle w:val="ListParagraph"/>
              <w:numPr>
                <w:ilvl w:val="0"/>
                <w:numId w:val="115"/>
              </w:numPr>
              <w:ind w:left="322" w:hanging="283"/>
              <w:rPr>
                <w:sz w:val="20"/>
                <w:szCs w:val="20"/>
              </w:rPr>
            </w:pPr>
            <w:r w:rsidRPr="005045EA">
              <w:rPr>
                <w:sz w:val="20"/>
                <w:szCs w:val="20"/>
              </w:rPr>
              <w:t>Stakeholder analysis to identify relevant people in each country</w:t>
            </w:r>
            <w:r>
              <w:rPr>
                <w:sz w:val="20"/>
                <w:szCs w:val="20"/>
              </w:rPr>
              <w:t xml:space="preserve"> </w:t>
            </w:r>
          </w:p>
          <w:p w14:paraId="75AA2C6E" w14:textId="77777777" w:rsidR="001357B3" w:rsidRPr="005045EA" w:rsidRDefault="001357B3" w:rsidP="00C6374D">
            <w:pPr>
              <w:pStyle w:val="ListParagraph"/>
              <w:numPr>
                <w:ilvl w:val="0"/>
                <w:numId w:val="115"/>
              </w:numPr>
              <w:ind w:left="322" w:hanging="283"/>
              <w:rPr>
                <w:sz w:val="20"/>
                <w:szCs w:val="20"/>
              </w:rPr>
            </w:pPr>
            <w:r w:rsidRPr="005045EA">
              <w:rPr>
                <w:sz w:val="20"/>
                <w:szCs w:val="20"/>
              </w:rPr>
              <w:t>Balanced perspectives across key categories of KI</w:t>
            </w:r>
            <w:r>
              <w:rPr>
                <w:sz w:val="20"/>
                <w:szCs w:val="20"/>
              </w:rPr>
              <w:t xml:space="preserve"> (identified through above stakeholder analysis)</w:t>
            </w:r>
            <w:r w:rsidRPr="005045EA">
              <w:rPr>
                <w:sz w:val="20"/>
                <w:szCs w:val="20"/>
              </w:rPr>
              <w:t xml:space="preserve">: Country grantee, AMR focal point, OIE/GLASS focal point, National Reference Lab staff, Fleming Fellows, AMRCC members, other decision makers, development partners. </w:t>
            </w:r>
          </w:p>
          <w:p w14:paraId="1C7779BD" w14:textId="77777777" w:rsidR="001357B3" w:rsidRDefault="001357B3" w:rsidP="00C6374D">
            <w:pPr>
              <w:pStyle w:val="ListParagraph"/>
              <w:numPr>
                <w:ilvl w:val="0"/>
                <w:numId w:val="115"/>
              </w:numPr>
              <w:ind w:left="322" w:hanging="283"/>
              <w:rPr>
                <w:sz w:val="20"/>
                <w:szCs w:val="20"/>
              </w:rPr>
            </w:pPr>
            <w:r>
              <w:rPr>
                <w:sz w:val="20"/>
                <w:szCs w:val="20"/>
              </w:rPr>
              <w:t xml:space="preserve">Purposive sample. </w:t>
            </w:r>
            <w:r w:rsidRPr="005045EA">
              <w:rPr>
                <w:sz w:val="20"/>
                <w:szCs w:val="20"/>
              </w:rPr>
              <w:t>Country leads within the evaluation team worked with country grantees to identify specific individuals for each category up to an indicative maximum as set out in guidance developed by evaluation senior leadership team.</w:t>
            </w:r>
          </w:p>
          <w:p w14:paraId="2E861237" w14:textId="77777777" w:rsidR="001357B3" w:rsidRPr="00A14EE8" w:rsidRDefault="001357B3" w:rsidP="00C6374D">
            <w:pPr>
              <w:pStyle w:val="ListParagraph"/>
              <w:numPr>
                <w:ilvl w:val="0"/>
                <w:numId w:val="115"/>
              </w:numPr>
              <w:ind w:left="322" w:hanging="283"/>
              <w:rPr>
                <w:sz w:val="20"/>
                <w:szCs w:val="20"/>
              </w:rPr>
            </w:pPr>
            <w:r w:rsidRPr="00A14EE8">
              <w:rPr>
                <w:sz w:val="20"/>
                <w:szCs w:val="20"/>
              </w:rPr>
              <w:t>Snowballing</w:t>
            </w:r>
            <w:r>
              <w:rPr>
                <w:sz w:val="20"/>
                <w:szCs w:val="20"/>
              </w:rPr>
              <w:t xml:space="preserve">: </w:t>
            </w:r>
            <w:r w:rsidRPr="00A14EE8">
              <w:rPr>
                <w:sz w:val="20"/>
                <w:szCs w:val="20"/>
              </w:rPr>
              <w:t>including additional KIs suggested by other KIs when deemed relevant</w:t>
            </w:r>
            <w:r w:rsidRPr="00A14EE8">
              <w:rPr>
                <w:bCs/>
                <w:sz w:val="20"/>
                <w:szCs w:val="20"/>
              </w:rPr>
              <w:t>.</w:t>
            </w:r>
            <w:r w:rsidRPr="00A14EE8">
              <w:rPr>
                <w:rStyle w:val="FootnoteReference"/>
              </w:rPr>
              <w:footnoteReference w:id="9"/>
            </w:r>
            <w:r w:rsidRPr="00A14EE8">
              <w:rPr>
                <w:sz w:val="20"/>
                <w:szCs w:val="20"/>
              </w:rPr>
              <w:t xml:space="preserve"> Technically, we looked to stop interviewing people when we reached analytical saturation</w:t>
            </w:r>
            <w:r w:rsidRPr="00A14EE8">
              <w:rPr>
                <w:bCs/>
                <w:sz w:val="20"/>
                <w:szCs w:val="20"/>
              </w:rPr>
              <w:t>;</w:t>
            </w:r>
            <w:r w:rsidRPr="00A14EE8">
              <w:rPr>
                <w:rStyle w:val="FootnoteReference"/>
              </w:rPr>
              <w:footnoteReference w:id="10"/>
            </w:r>
            <w:r w:rsidRPr="00A14EE8">
              <w:rPr>
                <w:sz w:val="20"/>
                <w:szCs w:val="20"/>
              </w:rPr>
              <w:t xml:space="preserve"> however, in reality we snowballed to the degree possible within the available time and resources.</w:t>
            </w:r>
          </w:p>
        </w:tc>
      </w:tr>
      <w:tr w:rsidR="001357B3" w:rsidRPr="005045EA" w14:paraId="16002A7A" w14:textId="77777777" w:rsidTr="00C613BA">
        <w:tc>
          <w:tcPr>
            <w:tcW w:w="1250" w:type="dxa"/>
          </w:tcPr>
          <w:p w14:paraId="0243F8AF" w14:textId="77777777" w:rsidR="001357B3" w:rsidRPr="005045EA" w:rsidRDefault="001357B3" w:rsidP="0081582A">
            <w:pPr>
              <w:rPr>
                <w:sz w:val="20"/>
                <w:szCs w:val="20"/>
              </w:rPr>
            </w:pPr>
            <w:r w:rsidRPr="005045EA">
              <w:rPr>
                <w:sz w:val="20"/>
                <w:szCs w:val="20"/>
              </w:rPr>
              <w:t>Site visits</w:t>
            </w:r>
          </w:p>
        </w:tc>
        <w:tc>
          <w:tcPr>
            <w:tcW w:w="3575" w:type="dxa"/>
          </w:tcPr>
          <w:p w14:paraId="04A7F9BD" w14:textId="77777777" w:rsidR="001357B3" w:rsidRPr="00A14EE8" w:rsidRDefault="001357B3" w:rsidP="00C6374D">
            <w:pPr>
              <w:pStyle w:val="ListParagraph"/>
              <w:numPr>
                <w:ilvl w:val="0"/>
                <w:numId w:val="125"/>
              </w:numPr>
              <w:rPr>
                <w:sz w:val="20"/>
                <w:szCs w:val="20"/>
              </w:rPr>
            </w:pPr>
            <w:r w:rsidRPr="00A14EE8">
              <w:rPr>
                <w:sz w:val="20"/>
                <w:szCs w:val="20"/>
              </w:rPr>
              <w:t>To generate a more granular understanding  of how Fleming Fund support worked in practice, albeit on an illustrative rather than representative basis.</w:t>
            </w:r>
          </w:p>
          <w:p w14:paraId="3B2488ED" w14:textId="77777777" w:rsidR="001357B3" w:rsidRPr="00A14EE8" w:rsidRDefault="001357B3" w:rsidP="00C6374D">
            <w:pPr>
              <w:pStyle w:val="ListParagraph"/>
              <w:numPr>
                <w:ilvl w:val="0"/>
                <w:numId w:val="125"/>
              </w:numPr>
            </w:pPr>
            <w:r w:rsidRPr="00A14EE8">
              <w:rPr>
                <w:sz w:val="20"/>
                <w:szCs w:val="20"/>
              </w:rPr>
              <w:t>To enable identification of examples of use at facility-level.</w:t>
            </w:r>
          </w:p>
          <w:p w14:paraId="03A5BE97" w14:textId="77777777" w:rsidR="001357B3" w:rsidRPr="005045EA" w:rsidRDefault="001357B3" w:rsidP="00C6374D">
            <w:pPr>
              <w:pStyle w:val="ListParagraph"/>
              <w:numPr>
                <w:ilvl w:val="0"/>
                <w:numId w:val="125"/>
              </w:numPr>
            </w:pPr>
            <w:r w:rsidRPr="00A14EE8">
              <w:rPr>
                <w:sz w:val="20"/>
                <w:szCs w:val="20"/>
              </w:rPr>
              <w:t>3-5 sites per sector</w:t>
            </w:r>
          </w:p>
        </w:tc>
        <w:tc>
          <w:tcPr>
            <w:tcW w:w="3663" w:type="dxa"/>
          </w:tcPr>
          <w:p w14:paraId="088D4A86" w14:textId="77777777" w:rsidR="001357B3" w:rsidRPr="005045EA" w:rsidRDefault="001357B3" w:rsidP="0081582A">
            <w:pPr>
              <w:rPr>
                <w:rFonts w:asciiTheme="minorHAnsi" w:hAnsiTheme="minorHAnsi" w:cstheme="minorHAnsi"/>
                <w:sz w:val="20"/>
                <w:szCs w:val="20"/>
              </w:rPr>
            </w:pPr>
            <w:r w:rsidRPr="005045EA">
              <w:rPr>
                <w:rFonts w:asciiTheme="minorHAnsi" w:hAnsiTheme="minorHAnsi" w:cstheme="minorHAnsi"/>
                <w:sz w:val="20"/>
                <w:szCs w:val="20"/>
              </w:rPr>
              <w:t>Criteria for selecting sites:</w:t>
            </w:r>
          </w:p>
          <w:p w14:paraId="2F70BBD7" w14:textId="77777777" w:rsidR="001357B3" w:rsidRPr="005045EA" w:rsidRDefault="001357B3" w:rsidP="00C6374D">
            <w:pPr>
              <w:pStyle w:val="pf0"/>
              <w:numPr>
                <w:ilvl w:val="0"/>
                <w:numId w:val="116"/>
              </w:numPr>
              <w:spacing w:before="0" w:beforeAutospacing="0" w:after="0" w:afterAutospacing="0"/>
              <w:ind w:left="280" w:hanging="280"/>
              <w:rPr>
                <w:rFonts w:asciiTheme="minorHAnsi" w:hAnsiTheme="minorHAnsi" w:cstheme="minorHAnsi"/>
                <w:sz w:val="20"/>
                <w:szCs w:val="20"/>
              </w:rPr>
            </w:pPr>
            <w:r w:rsidRPr="005045EA">
              <w:rPr>
                <w:rStyle w:val="cf01"/>
                <w:rFonts w:asciiTheme="minorHAnsi" w:hAnsiTheme="minorHAnsi" w:cstheme="minorHAnsi"/>
                <w:sz w:val="20"/>
                <w:szCs w:val="20"/>
              </w:rPr>
              <w:t>At least one Human Health (HH) and one Animal Health (AH) surveillance site should be visited; ideally two or three for each sector. It may be preferable therefore to focus on sites where HH and AH are supported in the same location and sites that are easy to reach. </w:t>
            </w:r>
          </w:p>
          <w:p w14:paraId="12E2F3AF" w14:textId="77777777" w:rsidR="001357B3" w:rsidRPr="005045EA" w:rsidRDefault="001357B3" w:rsidP="00C6374D">
            <w:pPr>
              <w:pStyle w:val="pf0"/>
              <w:numPr>
                <w:ilvl w:val="0"/>
                <w:numId w:val="117"/>
              </w:numPr>
              <w:spacing w:before="0" w:beforeAutospacing="0" w:after="0" w:afterAutospacing="0"/>
              <w:ind w:left="280" w:hanging="280"/>
              <w:rPr>
                <w:rFonts w:asciiTheme="minorHAnsi" w:hAnsiTheme="minorHAnsi" w:cstheme="minorHAnsi"/>
                <w:sz w:val="20"/>
                <w:szCs w:val="20"/>
              </w:rPr>
            </w:pPr>
            <w:r w:rsidRPr="005045EA">
              <w:rPr>
                <w:rStyle w:val="cf01"/>
                <w:rFonts w:asciiTheme="minorHAnsi" w:hAnsiTheme="minorHAnsi" w:cstheme="minorHAnsi"/>
                <w:sz w:val="20"/>
                <w:szCs w:val="20"/>
              </w:rPr>
              <w:t>Sites that have received investment in either physical infrastructure/renovation or equipment; and or training. </w:t>
            </w:r>
          </w:p>
          <w:p w14:paraId="27AB4C7A" w14:textId="77777777" w:rsidR="001357B3" w:rsidRPr="005045EA" w:rsidRDefault="001357B3" w:rsidP="00C6374D">
            <w:pPr>
              <w:pStyle w:val="pf0"/>
              <w:numPr>
                <w:ilvl w:val="0"/>
                <w:numId w:val="118"/>
              </w:numPr>
              <w:spacing w:before="0" w:beforeAutospacing="0" w:after="0" w:afterAutospacing="0"/>
              <w:ind w:left="280" w:hanging="280"/>
              <w:rPr>
                <w:rFonts w:asciiTheme="minorHAnsi" w:hAnsiTheme="minorHAnsi" w:cstheme="minorHAnsi"/>
                <w:sz w:val="20"/>
                <w:szCs w:val="20"/>
              </w:rPr>
            </w:pPr>
            <w:r w:rsidRPr="005045EA">
              <w:rPr>
                <w:rStyle w:val="cf01"/>
                <w:rFonts w:asciiTheme="minorHAnsi" w:hAnsiTheme="minorHAnsi" w:cstheme="minorHAnsi"/>
                <w:sz w:val="20"/>
                <w:szCs w:val="20"/>
              </w:rPr>
              <w:t>Sites that have a Quality Manager in place </w:t>
            </w:r>
          </w:p>
          <w:p w14:paraId="71A1BE3B" w14:textId="77777777" w:rsidR="001357B3" w:rsidRPr="005045EA" w:rsidRDefault="001357B3" w:rsidP="00C6374D">
            <w:pPr>
              <w:pStyle w:val="pf0"/>
              <w:numPr>
                <w:ilvl w:val="0"/>
                <w:numId w:val="119"/>
              </w:numPr>
              <w:spacing w:before="0" w:beforeAutospacing="0" w:after="0" w:afterAutospacing="0"/>
              <w:ind w:left="280" w:hanging="280"/>
              <w:rPr>
                <w:rFonts w:asciiTheme="minorHAnsi" w:hAnsiTheme="minorHAnsi" w:cstheme="minorHAnsi"/>
                <w:sz w:val="20"/>
                <w:szCs w:val="20"/>
              </w:rPr>
            </w:pPr>
            <w:r w:rsidRPr="005045EA">
              <w:rPr>
                <w:rStyle w:val="cf01"/>
                <w:rFonts w:asciiTheme="minorHAnsi" w:hAnsiTheme="minorHAnsi" w:cstheme="minorHAnsi"/>
                <w:sz w:val="20"/>
                <w:szCs w:val="20"/>
              </w:rPr>
              <w:t>Sites that can be expected to have implemented SOPs developed through FF support </w:t>
            </w:r>
          </w:p>
          <w:p w14:paraId="13148A09" w14:textId="2BEDF0D2" w:rsidR="001357B3" w:rsidRPr="005045EA" w:rsidRDefault="001357B3" w:rsidP="00FC149F">
            <w:pPr>
              <w:pStyle w:val="pf0"/>
              <w:numPr>
                <w:ilvl w:val="0"/>
                <w:numId w:val="120"/>
              </w:numPr>
              <w:spacing w:before="0" w:beforeAutospacing="0" w:after="0" w:afterAutospacing="0"/>
              <w:ind w:left="280" w:hanging="280"/>
              <w:rPr>
                <w:rFonts w:asciiTheme="minorHAnsi" w:hAnsiTheme="minorHAnsi" w:cstheme="minorHAnsi"/>
                <w:sz w:val="20"/>
                <w:szCs w:val="20"/>
              </w:rPr>
            </w:pPr>
            <w:r w:rsidRPr="005045EA">
              <w:rPr>
                <w:rStyle w:val="cf01"/>
                <w:rFonts w:asciiTheme="minorHAnsi" w:hAnsiTheme="minorHAnsi" w:cstheme="minorHAnsi"/>
                <w:sz w:val="20"/>
                <w:szCs w:val="20"/>
              </w:rPr>
              <w:t>Sites that have given examples of use at facility level </w:t>
            </w:r>
          </w:p>
        </w:tc>
      </w:tr>
    </w:tbl>
    <w:p w14:paraId="18746F81" w14:textId="0CE5233F" w:rsidR="00D970EC" w:rsidRDefault="00D970EC" w:rsidP="00CA247E">
      <w:pPr>
        <w:spacing w:before="240" w:after="120"/>
        <w:jc w:val="both"/>
        <w:rPr>
          <w:rFonts w:eastAsia="MS Mincho" w:cs="Calibri"/>
        </w:rPr>
      </w:pPr>
      <w:r w:rsidRPr="302609AF">
        <w:rPr>
          <w:rFonts w:eastAsia="MS Mincho" w:cs="Calibri"/>
          <w:b/>
          <w:bCs/>
        </w:rPr>
        <w:t xml:space="preserve">Our overall evaluation framework is reflected </w:t>
      </w:r>
      <w:r w:rsidRPr="00F02052">
        <w:rPr>
          <w:rFonts w:eastAsia="MS Mincho" w:cs="Calibri"/>
          <w:b/>
          <w:bCs/>
        </w:rPr>
        <w:t xml:space="preserve">in </w:t>
      </w:r>
      <w:r w:rsidR="00F02052" w:rsidRPr="00F02052">
        <w:rPr>
          <w:rFonts w:eastAsia="MS Mincho" w:cs="Calibri"/>
          <w:b/>
          <w:bCs/>
        </w:rPr>
        <w:fldChar w:fldCharType="begin"/>
      </w:r>
      <w:r w:rsidR="00F02052" w:rsidRPr="00F02052">
        <w:rPr>
          <w:rFonts w:eastAsia="MS Mincho" w:cs="Calibri"/>
          <w:b/>
          <w:bCs/>
        </w:rPr>
        <w:instrText xml:space="preserve"> REF _Ref118377042 \h  \* MERGEFORMAT </w:instrText>
      </w:r>
      <w:r w:rsidR="00F02052" w:rsidRPr="00F02052">
        <w:rPr>
          <w:rFonts w:eastAsia="MS Mincho" w:cs="Calibri"/>
          <w:b/>
          <w:bCs/>
        </w:rPr>
      </w:r>
      <w:r w:rsidR="00F02052" w:rsidRPr="00F02052">
        <w:rPr>
          <w:rFonts w:eastAsia="MS Mincho" w:cs="Calibri"/>
          <w:b/>
          <w:bCs/>
        </w:rPr>
        <w:fldChar w:fldCharType="separate"/>
      </w:r>
      <w:r w:rsidR="009A383C" w:rsidRPr="009A383C">
        <w:rPr>
          <w:b/>
          <w:bCs/>
        </w:rPr>
        <w:t xml:space="preserve">Figure </w:t>
      </w:r>
      <w:r w:rsidR="009A383C" w:rsidRPr="009A383C">
        <w:rPr>
          <w:b/>
          <w:bCs/>
          <w:noProof/>
        </w:rPr>
        <w:t>3</w:t>
      </w:r>
      <w:r w:rsidR="00F02052" w:rsidRPr="00F02052">
        <w:rPr>
          <w:rFonts w:eastAsia="MS Mincho" w:cs="Calibri"/>
          <w:b/>
          <w:bCs/>
        </w:rPr>
        <w:fldChar w:fldCharType="end"/>
      </w:r>
      <w:r w:rsidRPr="302609AF">
        <w:rPr>
          <w:rFonts w:eastAsia="MS Mincho" w:cs="Calibri"/>
          <w:b/>
          <w:bCs/>
        </w:rPr>
        <w:t xml:space="preserve"> below.</w:t>
      </w:r>
      <w:r w:rsidR="007458AC">
        <w:rPr>
          <w:rStyle w:val="fontstyle01"/>
          <w:rFonts w:ascii="Calibri" w:hAnsi="Calibri" w:cs="Calibri"/>
          <w:sz w:val="22"/>
          <w:szCs w:val="22"/>
        </w:rPr>
        <w:t xml:space="preserve"> </w:t>
      </w:r>
      <w:r w:rsidRPr="00606245">
        <w:rPr>
          <w:rFonts w:eastAsia="MS Mincho"/>
        </w:rPr>
        <w:t xml:space="preserve">This highlights that the agreed EQs provide the foundation of our framework and that we will draw on a range of data sources </w:t>
      </w:r>
      <w:r w:rsidRPr="00606245">
        <w:rPr>
          <w:rFonts w:eastAsia="MS Mincho" w:cs="Calibri"/>
        </w:rPr>
        <w:t xml:space="preserve">to answer each evaluation question through the </w:t>
      </w:r>
      <w:r w:rsidRPr="00606245">
        <w:rPr>
          <w:rFonts w:eastAsia="MS Mincho"/>
        </w:rPr>
        <w:t>application of</w:t>
      </w:r>
      <w:r w:rsidRPr="00606245">
        <w:rPr>
          <w:rFonts w:eastAsia="MS Mincho" w:cs="Calibri"/>
        </w:rPr>
        <w:t xml:space="preserve"> a mixed methods approach, using a range of analytical methods.</w:t>
      </w:r>
      <w:r w:rsidR="007458AC">
        <w:rPr>
          <w:rFonts w:eastAsia="MS Mincho" w:cs="Calibri"/>
        </w:rPr>
        <w:t xml:space="preserve"> </w:t>
      </w:r>
      <w:r w:rsidR="00D82A7F">
        <w:rPr>
          <w:rFonts w:eastAsia="MS Mincho" w:cs="Calibri"/>
        </w:rPr>
        <w:t>(</w:t>
      </w:r>
      <w:r w:rsidR="004A0010">
        <w:rPr>
          <w:rFonts w:eastAsia="MS Mincho" w:cs="Calibri"/>
        </w:rPr>
        <w:t>It should be noted that the main analytical methods have changed from what was outlined in the inception report to what was used in the summative evaluation</w:t>
      </w:r>
      <w:r w:rsidR="00A32290">
        <w:rPr>
          <w:rFonts w:eastAsia="MS Mincho" w:cs="Calibri"/>
        </w:rPr>
        <w:t xml:space="preserve"> (outlined above). The analytical methods </w:t>
      </w:r>
      <w:r w:rsidR="00D82A7F">
        <w:rPr>
          <w:rFonts w:eastAsia="MS Mincho" w:cs="Calibri"/>
        </w:rPr>
        <w:t xml:space="preserve">used were selected to best answer the EQs and the overarching evaluation objective. Details on why the chosen methods were suitable are outlined later in </w:t>
      </w:r>
      <w:r w:rsidR="000A0E9F">
        <w:rPr>
          <w:rFonts w:eastAsia="MS Mincho" w:cs="Calibri"/>
        </w:rPr>
        <w:t>section 1.3</w:t>
      </w:r>
      <w:r w:rsidR="00D82A7F">
        <w:rPr>
          <w:rFonts w:eastAsia="MS Mincho" w:cs="Calibri"/>
        </w:rPr>
        <w:t>.)</w:t>
      </w:r>
      <w:r w:rsidR="000E7658">
        <w:rPr>
          <w:rFonts w:eastAsia="MS Mincho" w:cs="Calibri"/>
        </w:rPr>
        <w:t>.</w:t>
      </w:r>
      <w:r w:rsidR="00D82A7F">
        <w:rPr>
          <w:rFonts w:eastAsia="MS Mincho" w:cs="Calibri"/>
        </w:rPr>
        <w:t xml:space="preserve"> </w:t>
      </w:r>
      <w:r w:rsidRPr="00606245">
        <w:rPr>
          <w:rFonts w:eastAsia="MS Mincho" w:cs="Calibri"/>
        </w:rPr>
        <w:t>It is not a theory</w:t>
      </w:r>
      <w:r w:rsidR="000E7658">
        <w:rPr>
          <w:rFonts w:eastAsia="MS Mincho" w:cs="Calibri"/>
        </w:rPr>
        <w:t>-</w:t>
      </w:r>
      <w:r w:rsidRPr="00606245">
        <w:rPr>
          <w:rFonts w:eastAsia="MS Mincho" w:cs="Calibri"/>
        </w:rPr>
        <w:t xml:space="preserve">based evaluation, but we have supported </w:t>
      </w:r>
      <w:r w:rsidR="000E7658">
        <w:rPr>
          <w:rFonts w:eastAsia="MS Mincho" w:cs="Calibri"/>
        </w:rPr>
        <w:t xml:space="preserve">the </w:t>
      </w:r>
      <w:r w:rsidRPr="00606245">
        <w:rPr>
          <w:rFonts w:eastAsia="MS Mincho" w:cs="Calibri"/>
        </w:rPr>
        <w:t>DHSC to articulate a portfolio-level</w:t>
      </w:r>
      <w:r w:rsidR="007458AC">
        <w:rPr>
          <w:rFonts w:eastAsia="MS Mincho" w:cs="Calibri"/>
        </w:rPr>
        <w:t xml:space="preserve"> </w:t>
      </w:r>
      <w:r w:rsidR="00BC52F2" w:rsidRPr="00400A00">
        <w:rPr>
          <w:rFonts w:eastAsia="MS Mincho" w:cs="Calibri"/>
        </w:rPr>
        <w:t>Theory of Change (</w:t>
      </w:r>
      <w:r w:rsidRPr="00606245">
        <w:rPr>
          <w:rFonts w:eastAsia="MS Mincho" w:cs="Calibri"/>
        </w:rPr>
        <w:t>ToC</w:t>
      </w:r>
      <w:r w:rsidR="00BC52F2" w:rsidRPr="00400A00">
        <w:rPr>
          <w:rFonts w:eastAsia="MS Mincho" w:cs="Calibri"/>
        </w:rPr>
        <w:t>)</w:t>
      </w:r>
      <w:r w:rsidRPr="00606245">
        <w:rPr>
          <w:rFonts w:eastAsia="MS Mincho" w:cs="Calibri"/>
        </w:rPr>
        <w:t xml:space="preserve"> as set out in </w:t>
      </w:r>
      <w:r w:rsidRPr="00400A00">
        <w:rPr>
          <w:rFonts w:eastAsia="MS Mincho" w:cs="Calibri"/>
        </w:rPr>
        <w:t xml:space="preserve">Annex </w:t>
      </w:r>
      <w:r w:rsidR="001603DD">
        <w:rPr>
          <w:rFonts w:eastAsia="MS Mincho" w:cs="Calibri"/>
        </w:rPr>
        <w:t>18</w:t>
      </w:r>
      <w:r w:rsidRPr="00606245">
        <w:rPr>
          <w:rFonts w:eastAsia="MS Mincho" w:cs="Calibri"/>
        </w:rPr>
        <w:t xml:space="preserve"> which has informed our data collection and analysis.</w:t>
      </w:r>
      <w:r w:rsidR="007458AC">
        <w:rPr>
          <w:rFonts w:eastAsia="MS Mincho" w:cs="Calibri"/>
        </w:rPr>
        <w:t xml:space="preserve"> </w:t>
      </w:r>
      <w:r w:rsidRPr="00606245">
        <w:rPr>
          <w:rFonts w:eastAsia="MS Mincho" w:cs="Calibri"/>
        </w:rPr>
        <w:t xml:space="preserve">The specific application of methods and data sources to each </w:t>
      </w:r>
      <w:r w:rsidR="00CE24CE">
        <w:rPr>
          <w:rFonts w:eastAsia="MS Mincho" w:cs="Calibri"/>
        </w:rPr>
        <w:t>EQ</w:t>
      </w:r>
      <w:r w:rsidR="001732A6">
        <w:rPr>
          <w:rFonts w:eastAsia="MS Mincho" w:cs="Calibri"/>
        </w:rPr>
        <w:t xml:space="preserve"> </w:t>
      </w:r>
      <w:r w:rsidRPr="00606245">
        <w:rPr>
          <w:rFonts w:eastAsia="MS Mincho" w:cs="Calibri"/>
        </w:rPr>
        <w:t xml:space="preserve">is set out in an </w:t>
      </w:r>
      <w:r w:rsidRPr="003B016A">
        <w:rPr>
          <w:rFonts w:eastAsia="MS Mincho" w:cs="Calibri"/>
        </w:rPr>
        <w:t xml:space="preserve">evaluation matrix in Annex </w:t>
      </w:r>
      <w:r w:rsidR="003B016A" w:rsidRPr="003B016A">
        <w:rPr>
          <w:rFonts w:eastAsia="MS Mincho" w:cs="Calibri"/>
        </w:rPr>
        <w:t>2</w:t>
      </w:r>
      <w:r w:rsidRPr="00606245">
        <w:rPr>
          <w:rFonts w:eastAsia="MS Mincho" w:cs="Calibri"/>
        </w:rPr>
        <w:t>.</w:t>
      </w:r>
      <w:r w:rsidR="007458AC">
        <w:rPr>
          <w:rFonts w:eastAsia="MS Mincho" w:cs="Calibri"/>
        </w:rPr>
        <w:t xml:space="preserve"> </w:t>
      </w:r>
      <w:r w:rsidRPr="00502665">
        <w:rPr>
          <w:rFonts w:eastAsia="MS Mincho" w:cs="Calibri"/>
        </w:rPr>
        <w:t xml:space="preserve">Our framework also highlights </w:t>
      </w:r>
      <w:r>
        <w:rPr>
          <w:rFonts w:eastAsia="MS Mincho" w:cs="Calibri"/>
        </w:rPr>
        <w:t xml:space="preserve">the evaluation’s </w:t>
      </w:r>
      <w:r w:rsidRPr="00502665">
        <w:rPr>
          <w:rFonts w:eastAsia="MS Mincho" w:cs="Calibri"/>
        </w:rPr>
        <w:t>twin objectives around learning and accountability</w:t>
      </w:r>
      <w:r>
        <w:rPr>
          <w:rFonts w:eastAsia="MS Mincho" w:cs="Calibri"/>
        </w:rPr>
        <w:t xml:space="preserve">, as </w:t>
      </w:r>
      <w:r w:rsidRPr="00502665">
        <w:rPr>
          <w:rFonts w:eastAsia="MS Mincho" w:cs="Calibri"/>
        </w:rPr>
        <w:t>descri</w:t>
      </w:r>
      <w:r>
        <w:rPr>
          <w:rFonts w:eastAsia="MS Mincho" w:cs="Calibri"/>
        </w:rPr>
        <w:t>b</w:t>
      </w:r>
      <w:r w:rsidRPr="00502665">
        <w:rPr>
          <w:rFonts w:eastAsia="MS Mincho" w:cs="Calibri"/>
        </w:rPr>
        <w:t xml:space="preserve">ed </w:t>
      </w:r>
      <w:r>
        <w:rPr>
          <w:rFonts w:eastAsia="MS Mincho" w:cs="Calibri"/>
        </w:rPr>
        <w:t>above</w:t>
      </w:r>
      <w:r w:rsidR="0066738F">
        <w:rPr>
          <w:rFonts w:eastAsia="MS Mincho" w:cs="Calibri"/>
        </w:rPr>
        <w:t>.</w:t>
      </w:r>
    </w:p>
    <w:p w14:paraId="14A71075" w14:textId="5DDFE35F" w:rsidR="001357B3" w:rsidRDefault="00D970EC" w:rsidP="00D970EC">
      <w:pPr>
        <w:spacing w:after="120"/>
        <w:jc w:val="both"/>
        <w:rPr>
          <w:rFonts w:eastAsia="MS Mincho" w:cs="Calibri"/>
        </w:rPr>
      </w:pPr>
      <w:r w:rsidRPr="006E3FD6">
        <w:rPr>
          <w:rFonts w:eastAsia="MS Mincho" w:cs="Calibri"/>
          <w:b/>
          <w:bCs/>
        </w:rPr>
        <w:t xml:space="preserve">Whilst the entire </w:t>
      </w:r>
      <w:r w:rsidR="009E2AC2">
        <w:rPr>
          <w:rFonts w:eastAsia="MS Mincho" w:cs="Calibri"/>
          <w:b/>
          <w:bCs/>
        </w:rPr>
        <w:t>phase 1</w:t>
      </w:r>
      <w:r w:rsidRPr="006E3FD6">
        <w:rPr>
          <w:rFonts w:eastAsia="MS Mincho" w:cs="Calibri"/>
          <w:b/>
          <w:bCs/>
        </w:rPr>
        <w:t xml:space="preserve"> evaluation has been conducted </w:t>
      </w:r>
      <w:r w:rsidR="00C510FB">
        <w:rPr>
          <w:rFonts w:eastAsia="MS Mincho" w:cs="Calibri"/>
          <w:b/>
          <w:bCs/>
        </w:rPr>
        <w:t>from</w:t>
      </w:r>
      <w:r w:rsidRPr="006E3FD6">
        <w:rPr>
          <w:rFonts w:eastAsia="MS Mincho" w:cs="Calibri"/>
          <w:b/>
          <w:bCs/>
        </w:rPr>
        <w:t xml:space="preserve"> </w:t>
      </w:r>
      <w:r>
        <w:rPr>
          <w:rFonts w:eastAsia="MS Mincho" w:cs="Calibri"/>
          <w:b/>
          <w:bCs/>
        </w:rPr>
        <w:t>2018</w:t>
      </w:r>
      <w:r w:rsidR="00C510FB">
        <w:rPr>
          <w:rFonts w:eastAsia="MS Mincho" w:cs="Calibri"/>
          <w:b/>
          <w:bCs/>
        </w:rPr>
        <w:t xml:space="preserve"> to </w:t>
      </w:r>
      <w:r>
        <w:rPr>
          <w:rFonts w:eastAsia="MS Mincho" w:cs="Calibri"/>
          <w:b/>
          <w:bCs/>
        </w:rPr>
        <w:t>2022</w:t>
      </w:r>
      <w:r w:rsidRPr="006E3FD6">
        <w:rPr>
          <w:rFonts w:eastAsia="MS Mincho" w:cs="Calibri"/>
          <w:b/>
          <w:bCs/>
        </w:rPr>
        <w:t>, the data collection and analysis for this summative report started in September 2021 and concluded in July 2022</w:t>
      </w:r>
      <w:r>
        <w:rPr>
          <w:rFonts w:eastAsia="MS Mincho" w:cs="Calibri"/>
        </w:rPr>
        <w:t>.</w:t>
      </w:r>
      <w:r w:rsidR="007458AC">
        <w:rPr>
          <w:rFonts w:eastAsia="MS Mincho" w:cs="Calibri"/>
        </w:rPr>
        <w:t xml:space="preserve"> </w:t>
      </w:r>
      <w:r>
        <w:rPr>
          <w:rFonts w:eastAsia="MS Mincho" w:cs="Calibri"/>
        </w:rPr>
        <w:t xml:space="preserve">Tools were piloted in two of our 16 focus countries (Zambia and Pakistan) and revisions </w:t>
      </w:r>
      <w:r w:rsidR="00C510FB">
        <w:rPr>
          <w:rFonts w:eastAsia="MS Mincho" w:cs="Calibri"/>
        </w:rPr>
        <w:t xml:space="preserve">were </w:t>
      </w:r>
      <w:r>
        <w:rPr>
          <w:rFonts w:eastAsia="MS Mincho" w:cs="Calibri"/>
        </w:rPr>
        <w:t xml:space="preserve">made to rationalise and ensure </w:t>
      </w:r>
      <w:r w:rsidR="00400A00">
        <w:rPr>
          <w:rFonts w:eastAsia="MS Mincho" w:cs="Calibri"/>
        </w:rPr>
        <w:t xml:space="preserve">they were </w:t>
      </w:r>
      <w:r>
        <w:rPr>
          <w:rFonts w:eastAsia="MS Mincho" w:cs="Calibri"/>
        </w:rPr>
        <w:t>fit for purpose. Data collection was completed in two waves</w:t>
      </w:r>
      <w:r>
        <w:rPr>
          <w:rStyle w:val="FootnoteReference"/>
          <w:rFonts w:eastAsia="MS Mincho" w:cs="Calibri"/>
        </w:rPr>
        <w:footnoteReference w:id="11"/>
      </w:r>
      <w:r>
        <w:rPr>
          <w:rFonts w:eastAsia="MS Mincho" w:cs="Calibri"/>
        </w:rPr>
        <w:t xml:space="preserve">, with </w:t>
      </w:r>
      <w:r w:rsidR="00C510FB">
        <w:rPr>
          <w:rFonts w:eastAsia="MS Mincho" w:cs="Calibri"/>
        </w:rPr>
        <w:t xml:space="preserve">the </w:t>
      </w:r>
      <w:r>
        <w:rPr>
          <w:rFonts w:eastAsia="MS Mincho" w:cs="Calibri"/>
        </w:rPr>
        <w:t xml:space="preserve">identification of preliminary findings and further rationalisation </w:t>
      </w:r>
      <w:r w:rsidR="00C510FB">
        <w:rPr>
          <w:rFonts w:eastAsia="MS Mincho" w:cs="Calibri"/>
        </w:rPr>
        <w:t xml:space="preserve">of </w:t>
      </w:r>
      <w:r>
        <w:rPr>
          <w:rFonts w:eastAsia="MS Mincho" w:cs="Calibri"/>
        </w:rPr>
        <w:t>tools completed in March 2022.</w:t>
      </w:r>
      <w:r w:rsidR="007458AC">
        <w:rPr>
          <w:rFonts w:eastAsia="MS Mincho" w:cs="Calibri"/>
        </w:rPr>
        <w:t xml:space="preserve"> </w:t>
      </w:r>
      <w:r w:rsidR="008F5B45" w:rsidRPr="008F5B45">
        <w:rPr>
          <w:rFonts w:eastAsia="MS Mincho" w:cs="Calibri"/>
        </w:rPr>
        <w:t>In total our analysis reflected on an evidence base of over 1</w:t>
      </w:r>
      <w:r w:rsidR="000E7658">
        <w:rPr>
          <w:rFonts w:eastAsia="MS Mincho" w:cs="Calibri"/>
        </w:rPr>
        <w:t>,</w:t>
      </w:r>
      <w:r w:rsidR="008F5B45" w:rsidRPr="008F5B45">
        <w:rPr>
          <w:rFonts w:eastAsia="MS Mincho" w:cs="Calibri"/>
        </w:rPr>
        <w:t xml:space="preserve">900 documents (Vol. II, Annex 4) and over 400 </w:t>
      </w:r>
      <w:r w:rsidR="00892E27" w:rsidRPr="00892E27">
        <w:rPr>
          <w:rFonts w:eastAsia="MS Mincho" w:cs="Calibri"/>
        </w:rPr>
        <w:t>KIIs</w:t>
      </w:r>
      <w:r w:rsidR="008F5B45" w:rsidRPr="008F5B45">
        <w:rPr>
          <w:rFonts w:eastAsia="MS Mincho" w:cs="Calibri"/>
        </w:rPr>
        <w:t xml:space="preserve"> (Vol. II, Annex </w:t>
      </w:r>
      <w:r w:rsidR="001456A1">
        <w:rPr>
          <w:rFonts w:eastAsia="MS Mincho" w:cs="Calibri"/>
        </w:rPr>
        <w:t>2</w:t>
      </w:r>
      <w:r w:rsidR="001603DD">
        <w:rPr>
          <w:rFonts w:eastAsia="MS Mincho" w:cs="Calibri"/>
        </w:rPr>
        <w:t>0</w:t>
      </w:r>
      <w:r w:rsidR="008F5B45" w:rsidRPr="008F5B45">
        <w:rPr>
          <w:rFonts w:eastAsia="MS Mincho" w:cs="Calibri"/>
        </w:rPr>
        <w:t>), plus work completed in the period 2018-2021.</w:t>
      </w:r>
      <w:r w:rsidR="008F5B45">
        <w:rPr>
          <w:rFonts w:eastAsia="MS Mincho" w:cs="Calibri"/>
        </w:rPr>
        <w:t xml:space="preserve"> </w:t>
      </w:r>
      <w:bookmarkStart w:id="35" w:name="_Hlk129563748"/>
      <w:r w:rsidR="00363F4C">
        <w:rPr>
          <w:rFonts w:eastAsia="MS Mincho" w:cs="Calibri"/>
        </w:rPr>
        <w:t>The evaluation team ‘thematic leads’ completed data analysis</w:t>
      </w:r>
      <w:r>
        <w:rPr>
          <w:rFonts w:eastAsia="MS Mincho" w:cs="Calibri"/>
        </w:rPr>
        <w:t xml:space="preserve"> for each EQ, including at a cross-theme workshop in September 2022.</w:t>
      </w:r>
      <w:r w:rsidR="007458AC">
        <w:rPr>
          <w:rFonts w:eastAsia="MS Mincho" w:cs="Calibri"/>
        </w:rPr>
        <w:t xml:space="preserve"> </w:t>
      </w:r>
      <w:r>
        <w:rPr>
          <w:rFonts w:eastAsia="MS Mincho" w:cs="Calibri"/>
        </w:rPr>
        <w:t>A draft report was reviewed by our Evaluation Advisory Group in November 2022, in parallel with checks for factual accuracy by the MA (which were incorporated as required in the final draft).</w:t>
      </w:r>
    </w:p>
    <w:p w14:paraId="45E6775D" w14:textId="71228F12" w:rsidR="00D970EC" w:rsidRDefault="00047FD9" w:rsidP="00D970EC">
      <w:pPr>
        <w:spacing w:after="120"/>
        <w:jc w:val="both"/>
        <w:rPr>
          <w:rFonts w:eastAsia="MS Mincho" w:cs="Calibri"/>
        </w:rPr>
      </w:pPr>
      <w:r>
        <w:rPr>
          <w:noProof/>
        </w:rPr>
        <mc:AlternateContent>
          <mc:Choice Requires="wps">
            <w:drawing>
              <wp:anchor distT="0" distB="0" distL="114300" distR="114300" simplePos="0" relativeHeight="251658250" behindDoc="1" locked="0" layoutInCell="1" allowOverlap="1" wp14:anchorId="008A3560" wp14:editId="25C5F2F8">
                <wp:simplePos x="0" y="0"/>
                <wp:positionH relativeFrom="margin">
                  <wp:posOffset>76200</wp:posOffset>
                </wp:positionH>
                <wp:positionV relativeFrom="page">
                  <wp:posOffset>1162050</wp:posOffset>
                </wp:positionV>
                <wp:extent cx="3328035" cy="266700"/>
                <wp:effectExtent l="0" t="0" r="5715" b="0"/>
                <wp:wrapTight wrapText="bothSides">
                  <wp:wrapPolygon edited="0">
                    <wp:start x="0" y="0"/>
                    <wp:lineTo x="0" y="20057"/>
                    <wp:lineTo x="21513" y="20057"/>
                    <wp:lineTo x="21513" y="0"/>
                    <wp:lineTo x="0" y="0"/>
                  </wp:wrapPolygon>
                </wp:wrapTight>
                <wp:docPr id="3" name="Text Box 3"/>
                <wp:cNvGraphicFramePr/>
                <a:graphic xmlns:a="http://schemas.openxmlformats.org/drawingml/2006/main">
                  <a:graphicData uri="http://schemas.microsoft.com/office/word/2010/wordprocessingShape">
                    <wps:wsp>
                      <wps:cNvSpPr txBox="1"/>
                      <wps:spPr>
                        <a:xfrm>
                          <a:off x="0" y="0"/>
                          <a:ext cx="3328035" cy="266700"/>
                        </a:xfrm>
                        <a:prstGeom prst="rect">
                          <a:avLst/>
                        </a:prstGeom>
                        <a:solidFill>
                          <a:prstClr val="white"/>
                        </a:solidFill>
                        <a:ln>
                          <a:noFill/>
                        </a:ln>
                      </wps:spPr>
                      <wps:txbx>
                        <w:txbxContent>
                          <w:p w14:paraId="09463A34" w14:textId="0573847B" w:rsidR="00A7467C" w:rsidRPr="002134B0" w:rsidRDefault="00A7467C" w:rsidP="00C04C3C">
                            <w:pPr>
                              <w:pStyle w:val="ItadCaption"/>
                              <w:rPr>
                                <w:rFonts w:eastAsia="MS Mincho" w:cs="Calibri"/>
                                <w:b/>
                                <w:bCs/>
                              </w:rPr>
                            </w:pPr>
                            <w:bookmarkStart w:id="36" w:name="_Ref118377042"/>
                            <w:bookmarkStart w:id="37" w:name="_Toc143858057"/>
                            <w:r>
                              <w:t xml:space="preserve">Figure </w:t>
                            </w:r>
                            <w:r>
                              <w:fldChar w:fldCharType="begin"/>
                            </w:r>
                            <w:r>
                              <w:instrText>SEQ Figure \* ARABIC</w:instrText>
                            </w:r>
                            <w:r>
                              <w:fldChar w:fldCharType="separate"/>
                            </w:r>
                            <w:r w:rsidR="00777FDB">
                              <w:rPr>
                                <w:noProof/>
                              </w:rPr>
                              <w:t>3</w:t>
                            </w:r>
                            <w:r>
                              <w:fldChar w:fldCharType="end"/>
                            </w:r>
                            <w:bookmarkEnd w:id="36"/>
                            <w:r>
                              <w:t xml:space="preserve"> </w:t>
                            </w:r>
                            <w:r w:rsidRPr="002E5ED4">
                              <w:t>Overview of evaluation framework</w:t>
                            </w:r>
                            <w:bookmarkEnd w:id="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08A3560" id="Text Box 3" o:spid="_x0000_s1027" type="#_x0000_t202" style="position:absolute;left:0;text-align:left;margin-left:6pt;margin-top:91.5pt;width:262.05pt;height:21pt;z-index:-251658230;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" stroked="f">
                <v:textbox style="mso-fit-shape-to-text:t" inset="0,0,0,0">
                  <w:txbxContent>
                    <w:p w14:paraId="09463A34" w14:textId="0573847B" w:rsidR="00A7467C" w:rsidRPr="002134B0" w:rsidRDefault="00A7467C" w:rsidP="00C04C3C">
                      <w:pPr>
                        <w:pStyle w:val="ItadCaption"/>
                        <w:rPr>
                          <w:rFonts w:eastAsia="MS Mincho" w:cs="Calibri"/>
                          <w:b/>
                          <w:bCs/>
                        </w:rPr>
                      </w:pPr>
                      <w:bookmarkStart w:id="38" w:name="_Ref118377042"/>
                      <w:bookmarkStart w:id="39" w:name="_Toc143858057"/>
                      <w:r>
                        <w:t xml:space="preserve">Figure </w:t>
                      </w:r>
                      <w:r>
                        <w:fldChar w:fldCharType="begin"/>
                      </w:r>
                      <w:r>
                        <w:instrText>SEQ Figure \* ARABIC</w:instrText>
                      </w:r>
                      <w:r>
                        <w:fldChar w:fldCharType="separate"/>
                      </w:r>
                      <w:r w:rsidR="00777FDB">
                        <w:rPr>
                          <w:noProof/>
                        </w:rPr>
                        <w:t>3</w:t>
                      </w:r>
                      <w:r>
                        <w:fldChar w:fldCharType="end"/>
                      </w:r>
                      <w:bookmarkEnd w:id="38"/>
                      <w:r>
                        <w:t xml:space="preserve"> </w:t>
                      </w:r>
                      <w:r w:rsidRPr="002E5ED4">
                        <w:t>Overview of evaluation framework</w:t>
                      </w:r>
                      <w:bookmarkEnd w:id="39"/>
                    </w:p>
                  </w:txbxContent>
                </v:textbox>
                <w10:wrap type="tight" anchorx="margin" anchory="page"/>
              </v:shape>
            </w:pict>
          </mc:Fallback>
        </mc:AlternateContent>
      </w:r>
      <w:r w:rsidR="00CA247E">
        <w:rPr>
          <w:noProof/>
        </w:rPr>
        <w:drawing>
          <wp:anchor distT="0" distB="0" distL="114300" distR="114300" simplePos="0" relativeHeight="251658249" behindDoc="1" locked="0" layoutInCell="1" allowOverlap="1" wp14:anchorId="2278C7A0" wp14:editId="71A5CA97">
            <wp:simplePos x="0" y="0"/>
            <wp:positionH relativeFrom="margin">
              <wp:align>left</wp:align>
            </wp:positionH>
            <wp:positionV relativeFrom="paragraph">
              <wp:posOffset>316230</wp:posOffset>
            </wp:positionV>
            <wp:extent cx="4686300" cy="6287770"/>
            <wp:effectExtent l="0" t="0" r="0" b="0"/>
            <wp:wrapTight wrapText="bothSides">
              <wp:wrapPolygon edited="0">
                <wp:start x="0" y="0"/>
                <wp:lineTo x="0" y="21530"/>
                <wp:lineTo x="21512" y="21530"/>
                <wp:lineTo x="21512" y="0"/>
                <wp:lineTo x="0" y="0"/>
              </wp:wrapPolygon>
            </wp:wrapTight>
            <wp:docPr id="37" name="Picture 3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imelin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4694221" cy="6298791"/>
                    </a:xfrm>
                    <a:prstGeom prst="rect">
                      <a:avLst/>
                    </a:prstGeom>
                  </pic:spPr>
                </pic:pic>
              </a:graphicData>
            </a:graphic>
            <wp14:sizeRelH relativeFrom="page">
              <wp14:pctWidth>0</wp14:pctWidth>
            </wp14:sizeRelH>
            <wp14:sizeRelV relativeFrom="page">
              <wp14:pctHeight>0</wp14:pctHeight>
            </wp14:sizeRelV>
          </wp:anchor>
        </w:drawing>
      </w:r>
      <w:r w:rsidR="00D970EC">
        <w:rPr>
          <w:rFonts w:eastAsia="MS Mincho" w:cs="Calibri"/>
        </w:rPr>
        <w:t xml:space="preserve"> </w:t>
      </w:r>
    </w:p>
    <w:p w14:paraId="6F6C25C8" w14:textId="6845A668" w:rsidR="00D970EC" w:rsidRPr="00733355" w:rsidRDefault="00D970EC" w:rsidP="00134C63">
      <w:pPr>
        <w:pStyle w:val="ItadH2Numbered"/>
      </w:pPr>
      <w:bookmarkStart w:id="40" w:name="_Toc122209851"/>
      <w:bookmarkStart w:id="41" w:name="_Toc118968499"/>
      <w:bookmarkStart w:id="42" w:name="_Toc142383139"/>
      <w:bookmarkEnd w:id="40"/>
      <w:r w:rsidRPr="00733355">
        <w:t xml:space="preserve">Main </w:t>
      </w:r>
      <w:r w:rsidR="00764EB0" w:rsidRPr="00733355">
        <w:t>analytical methods</w:t>
      </w:r>
      <w:bookmarkEnd w:id="41"/>
      <w:bookmarkEnd w:id="42"/>
    </w:p>
    <w:p w14:paraId="45EE5009" w14:textId="194998EE" w:rsidR="00D970EC" w:rsidRDefault="00D970EC" w:rsidP="00D970EC">
      <w:pPr>
        <w:pStyle w:val="ItadNormalText"/>
      </w:pPr>
      <w:r>
        <w:t xml:space="preserve">The main analytical methods that were used in the evaluation </w:t>
      </w:r>
      <w:r w:rsidRPr="00302D4F">
        <w:t>were</w:t>
      </w:r>
      <w:r w:rsidR="004E47C2" w:rsidRPr="00302D4F">
        <w:t xml:space="preserve"> </w:t>
      </w:r>
      <w:r w:rsidRPr="00302D4F">
        <w:t xml:space="preserve">contribution analysis, </w:t>
      </w:r>
      <w:r w:rsidR="002052C9" w:rsidRPr="00302D4F">
        <w:t>alignment</w:t>
      </w:r>
      <w:r w:rsidR="00FD1FDB">
        <w:t>,</w:t>
      </w:r>
      <w:r w:rsidR="002052C9" w:rsidRPr="00302D4F">
        <w:t xml:space="preserve"> and coherence analysis, </w:t>
      </w:r>
      <w:r w:rsidR="00CB51CB" w:rsidRPr="00302D4F">
        <w:t>national policy agenda analysis</w:t>
      </w:r>
      <w:r w:rsidRPr="00302D4F">
        <w:t xml:space="preserve">, </w:t>
      </w:r>
      <w:r w:rsidR="002052C9" w:rsidRPr="00302D4F">
        <w:t>data use analysis,</w:t>
      </w:r>
      <w:r w:rsidRPr="00302D4F">
        <w:t xml:space="preserve"> sustainability analysis</w:t>
      </w:r>
      <w:r w:rsidR="0098507A" w:rsidRPr="00302D4F">
        <w:t xml:space="preserve">, </w:t>
      </w:r>
      <w:r w:rsidR="002052C9" w:rsidRPr="00302D4F">
        <w:t xml:space="preserve">data </w:t>
      </w:r>
      <w:r w:rsidR="0098507A" w:rsidRPr="00302D4F">
        <w:t>quantity and quality analysis</w:t>
      </w:r>
      <w:r w:rsidR="00FD1FDB">
        <w:t>,</w:t>
      </w:r>
      <w:r w:rsidRPr="00302D4F">
        <w:t xml:space="preserve"> and VfM analysis. The following sections will provide more detail on each of these methods.</w:t>
      </w:r>
      <w:r w:rsidR="007458AC">
        <w:t xml:space="preserve"> </w:t>
      </w:r>
    </w:p>
    <w:p w14:paraId="62813EB0" w14:textId="571B2A47" w:rsidR="00D970EC" w:rsidRPr="006E7ECD" w:rsidRDefault="00D970EC" w:rsidP="00134C63">
      <w:pPr>
        <w:pStyle w:val="ItadH3Numbered"/>
      </w:pPr>
      <w:bookmarkStart w:id="43" w:name="_Toc504479278"/>
      <w:bookmarkStart w:id="44" w:name="_Toc118968500"/>
      <w:bookmarkStart w:id="45" w:name="_Ref121835071"/>
      <w:bookmarkStart w:id="46" w:name="_Ref121836579"/>
      <w:bookmarkStart w:id="47" w:name="_Toc142383140"/>
      <w:r w:rsidRPr="006E7ECD">
        <w:t xml:space="preserve">Contribution </w:t>
      </w:r>
      <w:r w:rsidR="00764EB0">
        <w:t>a</w:t>
      </w:r>
      <w:r w:rsidRPr="006E7ECD">
        <w:t>nalysis</w:t>
      </w:r>
      <w:bookmarkEnd w:id="43"/>
      <w:bookmarkEnd w:id="44"/>
      <w:bookmarkEnd w:id="45"/>
      <w:bookmarkEnd w:id="46"/>
      <w:bookmarkEnd w:id="47"/>
      <w:r w:rsidRPr="006E7ECD">
        <w:t xml:space="preserve"> </w:t>
      </w:r>
    </w:p>
    <w:p w14:paraId="134EC27A" w14:textId="77777777" w:rsidR="00D970EC" w:rsidRPr="0066738F" w:rsidRDefault="00D970EC" w:rsidP="0066738F">
      <w:pPr>
        <w:pStyle w:val="ItadH4"/>
      </w:pPr>
      <w:r w:rsidRPr="0066738F">
        <w:t>What the method is</w:t>
      </w:r>
    </w:p>
    <w:p w14:paraId="68A49B18" w14:textId="626AE5B3" w:rsidR="005530D3" w:rsidRDefault="009346DD" w:rsidP="005530D3">
      <w:pPr>
        <w:pStyle w:val="ItadNormalText"/>
        <w:rPr>
          <w:rFonts w:asciiTheme="minorHAnsi" w:hAnsiTheme="minorHAnsi"/>
        </w:rPr>
      </w:pPr>
      <w:r w:rsidRPr="004D3491">
        <w:t xml:space="preserve">Contribution analysis is a method that is used to answer EQs about </w:t>
      </w:r>
      <w:r w:rsidRPr="00474791">
        <w:rPr>
          <w:i/>
          <w:iCs/>
        </w:rPr>
        <w:t>how</w:t>
      </w:r>
      <w:r w:rsidRPr="004D3491">
        <w:t xml:space="preserve"> and </w:t>
      </w:r>
      <w:r w:rsidRPr="00474791">
        <w:rPr>
          <w:i/>
          <w:iCs/>
        </w:rPr>
        <w:t>why</w:t>
      </w:r>
      <w:r w:rsidRPr="004D3491">
        <w:t xml:space="preserve"> things happened, rather than to establish whether they happened. It is a method that is based on the existence of, or </w:t>
      </w:r>
      <w:r w:rsidRPr="004D3491">
        <w:rPr>
          <w:rFonts w:asciiTheme="minorHAnsi" w:hAnsiTheme="minorHAnsi"/>
        </w:rPr>
        <w:t xml:space="preserve">the development of, a postulated ToC for the intervention being examined. A ToC sets out </w:t>
      </w:r>
      <w:r w:rsidRPr="001D3BAE">
        <w:rPr>
          <w:rFonts w:asciiTheme="minorHAnsi" w:hAnsiTheme="minorHAnsi"/>
          <w:i/>
          <w:iCs/>
        </w:rPr>
        <w:t>how</w:t>
      </w:r>
      <w:r w:rsidRPr="004D3491">
        <w:rPr>
          <w:rFonts w:asciiTheme="minorHAnsi" w:hAnsiTheme="minorHAnsi"/>
        </w:rPr>
        <w:t xml:space="preserve"> and </w:t>
      </w:r>
      <w:r w:rsidRPr="001D3BAE">
        <w:rPr>
          <w:rFonts w:asciiTheme="minorHAnsi" w:hAnsiTheme="minorHAnsi"/>
          <w:i/>
          <w:iCs/>
        </w:rPr>
        <w:t>why</w:t>
      </w:r>
      <w:r w:rsidRPr="004D3491">
        <w:rPr>
          <w:rFonts w:asciiTheme="minorHAnsi" w:hAnsiTheme="minorHAnsi"/>
        </w:rPr>
        <w:t xml:space="preserve"> it is believed that the intervention’s activities will lead to a contribution to the intended results. Contribution analysis then tests this theory against the evidence available on the results observed and the various assumptions behind the ToC and examines the role of other influencing factors. The analysis either confirms—verifies—the postulated ToC or suggests revisions in the theory (based on iterations of data collection and analysis) where the reality appears otherwise.</w:t>
      </w:r>
    </w:p>
    <w:p w14:paraId="0DDEDEEF" w14:textId="77777777" w:rsidR="00D970EC" w:rsidRPr="002B4181" w:rsidRDefault="00D970EC" w:rsidP="00906697">
      <w:pPr>
        <w:pStyle w:val="ItadH4"/>
        <w:rPr>
          <w:b w:val="0"/>
        </w:rPr>
      </w:pPr>
      <w:r w:rsidRPr="002B4181">
        <w:t xml:space="preserve">Which </w:t>
      </w:r>
      <w:r w:rsidR="00F21D1C">
        <w:t>EQ</w:t>
      </w:r>
      <w:r w:rsidRPr="002B4181">
        <w:t>s does this method help answer?</w:t>
      </w:r>
    </w:p>
    <w:tbl>
      <w:tblPr>
        <w:tblStyle w:val="ItadPulloutBoxGrey"/>
        <w:tblpPr w:leftFromText="180" w:rightFromText="180" w:vertAnchor="text" w:horzAnchor="margin" w:tblpY="307"/>
        <w:tblW w:w="9088" w:type="dxa"/>
        <w:tblInd w:w="0" w:type="dxa"/>
        <w:tblLook w:val="04A0" w:firstRow="1" w:lastRow="0" w:firstColumn="1" w:lastColumn="0" w:noHBand="0" w:noVBand="1"/>
      </w:tblPr>
      <w:tblGrid>
        <w:gridCol w:w="9088"/>
      </w:tblGrid>
      <w:tr w:rsidR="005530D3" w14:paraId="08366781" w14:textId="77777777">
        <w:tc>
          <w:tcPr>
            <w:tcW w:w="9088" w:type="dxa"/>
          </w:tcPr>
          <w:p w14:paraId="4296B697" w14:textId="05F45F8B" w:rsidR="005530D3" w:rsidRPr="006D6366" w:rsidRDefault="005530D3">
            <w:pPr>
              <w:pStyle w:val="ItadNormalText"/>
              <w:rPr>
                <w:rFonts w:asciiTheme="minorHAnsi" w:hAnsiTheme="minorHAnsi" w:cstheme="minorHAnsi"/>
                <w:b/>
                <w:bCs/>
              </w:rPr>
            </w:pPr>
            <w:r w:rsidRPr="006D6366">
              <w:rPr>
                <w:i/>
                <w:iCs/>
              </w:rPr>
              <w:t>Directly</w:t>
            </w:r>
            <w:r w:rsidR="007458AC">
              <w:rPr>
                <w:i/>
                <w:iCs/>
              </w:rPr>
              <w:t xml:space="preserve"> </w:t>
            </w:r>
          </w:p>
          <w:p w14:paraId="2AE78750" w14:textId="77777777" w:rsidR="005530D3" w:rsidRPr="006D6366" w:rsidRDefault="005530D3">
            <w:pPr>
              <w:pStyle w:val="ItadNormalText"/>
              <w:rPr>
                <w:rFonts w:asciiTheme="minorHAnsi" w:hAnsiTheme="minorHAnsi" w:cstheme="minorHAnsi"/>
              </w:rPr>
            </w:pPr>
            <w:r w:rsidRPr="006D6366">
              <w:rPr>
                <w:rFonts w:asciiTheme="minorHAnsi" w:hAnsiTheme="minorHAnsi" w:cstheme="minorHAnsi"/>
                <w:b/>
                <w:bCs/>
              </w:rPr>
              <w:t>EQ1</w:t>
            </w:r>
            <w:r w:rsidRPr="006D6366">
              <w:rPr>
                <w:rFonts w:asciiTheme="minorHAnsi" w:hAnsiTheme="minorHAnsi" w:cstheme="minorHAnsi"/>
              </w:rPr>
              <w:t xml:space="preserve"> What has been the </w:t>
            </w:r>
            <w:r w:rsidRPr="006D6366">
              <w:rPr>
                <w:rFonts w:asciiTheme="minorHAnsi" w:hAnsiTheme="minorHAnsi" w:cstheme="minorHAnsi"/>
                <w:b/>
                <w:bCs/>
              </w:rPr>
              <w:t>increase in the quantity and/or quality of data</w:t>
            </w:r>
            <w:r w:rsidRPr="006D6366">
              <w:rPr>
                <w:rFonts w:asciiTheme="minorHAnsi" w:hAnsiTheme="minorHAnsi" w:cstheme="minorHAnsi"/>
              </w:rPr>
              <w:t xml:space="preserve"> on AMR at country level and </w:t>
            </w:r>
            <w:r w:rsidRPr="006D6366">
              <w:rPr>
                <w:rFonts w:asciiTheme="minorHAnsi" w:hAnsiTheme="minorHAnsi" w:cstheme="minorHAnsi"/>
                <w:u w:val="single"/>
              </w:rPr>
              <w:t>to what extent has the Fleming Fund contributed to this increase</w:t>
            </w:r>
            <w:r w:rsidRPr="006D6366">
              <w:rPr>
                <w:rFonts w:asciiTheme="minorHAnsi" w:hAnsiTheme="minorHAnsi" w:cstheme="minorHAnsi"/>
              </w:rPr>
              <w:t>?</w:t>
            </w:r>
          </w:p>
          <w:p w14:paraId="0F3ED458" w14:textId="77777777" w:rsidR="005530D3" w:rsidRPr="006D6366" w:rsidRDefault="005530D3">
            <w:pPr>
              <w:pStyle w:val="ItadNormalText"/>
              <w:rPr>
                <w:rFonts w:asciiTheme="minorHAnsi" w:hAnsiTheme="minorHAnsi" w:cstheme="minorHAnsi"/>
              </w:rPr>
            </w:pPr>
            <w:r w:rsidRPr="006D6366">
              <w:rPr>
                <w:rFonts w:asciiTheme="minorHAnsi" w:hAnsiTheme="minorHAnsi" w:cstheme="minorHAnsi"/>
                <w:b/>
                <w:bCs/>
              </w:rPr>
              <w:t>EQ5</w:t>
            </w:r>
            <w:r w:rsidRPr="006D6366">
              <w:rPr>
                <w:rFonts w:asciiTheme="minorHAnsi" w:hAnsiTheme="minorHAnsi" w:cstheme="minorHAnsi"/>
              </w:rPr>
              <w:t xml:space="preserve"> What has been the </w:t>
            </w:r>
            <w:r w:rsidRPr="006D6366">
              <w:rPr>
                <w:rFonts w:asciiTheme="minorHAnsi" w:hAnsiTheme="minorHAnsi" w:cstheme="minorHAnsi"/>
                <w:b/>
                <w:bCs/>
              </w:rPr>
              <w:t>increase in quality data shared and reported internationally</w:t>
            </w:r>
            <w:r w:rsidRPr="006D6366">
              <w:rPr>
                <w:rFonts w:asciiTheme="minorHAnsi" w:hAnsiTheme="minorHAnsi" w:cstheme="minorHAnsi"/>
              </w:rPr>
              <w:t xml:space="preserve"> and </w:t>
            </w:r>
            <w:r w:rsidRPr="006D6366">
              <w:rPr>
                <w:rFonts w:asciiTheme="minorHAnsi" w:hAnsiTheme="minorHAnsi" w:cstheme="minorHAnsi"/>
                <w:u w:val="single"/>
              </w:rPr>
              <w:t>has the Fleming Fund contributed to this</w:t>
            </w:r>
            <w:r w:rsidRPr="006D6366">
              <w:rPr>
                <w:rFonts w:asciiTheme="minorHAnsi" w:hAnsiTheme="minorHAnsi" w:cstheme="minorHAnsi"/>
              </w:rPr>
              <w:t>?</w:t>
            </w:r>
          </w:p>
          <w:p w14:paraId="5D401FE4" w14:textId="77777777" w:rsidR="001841FF" w:rsidRDefault="001841FF" w:rsidP="000E5A0A">
            <w:pPr>
              <w:pStyle w:val="ItadNormalText"/>
              <w:keepNext/>
              <w:rPr>
                <w:i/>
                <w:iCs/>
              </w:rPr>
            </w:pPr>
          </w:p>
          <w:p w14:paraId="7864E3FF" w14:textId="02A05DEE" w:rsidR="005530D3" w:rsidRPr="006D6366" w:rsidRDefault="005530D3" w:rsidP="00BB4743">
            <w:pPr>
              <w:pStyle w:val="ItadNormalText"/>
              <w:keepNext/>
              <w:rPr>
                <w:i/>
                <w:iCs/>
              </w:rPr>
            </w:pPr>
            <w:r w:rsidRPr="006D6366">
              <w:rPr>
                <w:i/>
                <w:iCs/>
              </w:rPr>
              <w:t xml:space="preserve">Indirectly </w:t>
            </w:r>
          </w:p>
          <w:p w14:paraId="518B9809" w14:textId="77777777" w:rsidR="005530D3" w:rsidRPr="006D6366" w:rsidRDefault="005530D3">
            <w:pPr>
              <w:pStyle w:val="ItadNormalText"/>
              <w:rPr>
                <w:rFonts w:asciiTheme="minorHAnsi" w:hAnsiTheme="minorHAnsi" w:cstheme="minorHAnsi"/>
              </w:rPr>
            </w:pPr>
            <w:r w:rsidRPr="006D6366">
              <w:rPr>
                <w:rFonts w:asciiTheme="minorHAnsi" w:hAnsiTheme="minorHAnsi" w:cstheme="minorHAnsi"/>
                <w:b/>
                <w:bCs/>
              </w:rPr>
              <w:t>EQ2</w:t>
            </w:r>
            <w:r w:rsidRPr="006D6366">
              <w:rPr>
                <w:rFonts w:asciiTheme="minorHAnsi" w:hAnsiTheme="minorHAnsi" w:cstheme="minorHAnsi"/>
              </w:rPr>
              <w:t xml:space="preserve"> To what extent have the Fleming Fund's </w:t>
            </w:r>
            <w:r w:rsidRPr="006D6366">
              <w:rPr>
                <w:rFonts w:asciiTheme="minorHAnsi" w:hAnsiTheme="minorHAnsi" w:cstheme="minorHAnsi"/>
                <w:b/>
                <w:bCs/>
              </w:rPr>
              <w:t>investments</w:t>
            </w:r>
            <w:r w:rsidRPr="006D6366">
              <w:rPr>
                <w:rFonts w:asciiTheme="minorHAnsi" w:hAnsiTheme="minorHAnsi" w:cstheme="minorHAnsi"/>
              </w:rPr>
              <w:t xml:space="preserve"> been </w:t>
            </w:r>
            <w:r w:rsidRPr="006D6366">
              <w:rPr>
                <w:rFonts w:asciiTheme="minorHAnsi" w:hAnsiTheme="minorHAnsi" w:cstheme="minorHAnsi"/>
                <w:b/>
                <w:bCs/>
              </w:rPr>
              <w:t>aligned and coherent</w:t>
            </w:r>
            <w:r w:rsidRPr="006D6366">
              <w:rPr>
                <w:rFonts w:asciiTheme="minorHAnsi" w:hAnsiTheme="minorHAnsi" w:cstheme="minorHAnsi"/>
              </w:rPr>
              <w:t xml:space="preserve"> with other relevant investments at country level?</w:t>
            </w:r>
          </w:p>
          <w:p w14:paraId="73546869" w14:textId="77777777" w:rsidR="005530D3" w:rsidRPr="00BB6B1E" w:rsidRDefault="005530D3">
            <w:pPr>
              <w:pStyle w:val="ItadNormalText"/>
              <w:rPr>
                <w:i/>
                <w:iCs/>
              </w:rPr>
            </w:pPr>
            <w:r w:rsidRPr="006D6366">
              <w:rPr>
                <w:rFonts w:asciiTheme="minorHAnsi" w:hAnsiTheme="minorHAnsi" w:cstheme="minorHAnsi"/>
                <w:b/>
                <w:bCs/>
              </w:rPr>
              <w:t>EQ6</w:t>
            </w:r>
            <w:r w:rsidRPr="006D6366">
              <w:rPr>
                <w:rFonts w:asciiTheme="minorHAnsi" w:hAnsiTheme="minorHAnsi" w:cstheme="minorHAnsi"/>
              </w:rPr>
              <w:t xml:space="preserve"> Did the Fleming Fund's investments at country level offer </w:t>
            </w:r>
            <w:r w:rsidRPr="006D6366">
              <w:rPr>
                <w:rFonts w:asciiTheme="minorHAnsi" w:hAnsiTheme="minorHAnsi" w:cstheme="minorHAnsi"/>
                <w:b/>
                <w:bCs/>
              </w:rPr>
              <w:t>VfM</w:t>
            </w:r>
            <w:r w:rsidRPr="006D6366">
              <w:rPr>
                <w:rFonts w:asciiTheme="minorHAnsi" w:hAnsiTheme="minorHAnsi" w:cstheme="minorHAnsi"/>
              </w:rPr>
              <w:t>?</w:t>
            </w:r>
          </w:p>
        </w:tc>
      </w:tr>
    </w:tbl>
    <w:p w14:paraId="7F5C507B" w14:textId="7150BA76" w:rsidR="005530D3" w:rsidRPr="005530D3" w:rsidRDefault="005530D3" w:rsidP="005530D3">
      <w:pPr>
        <w:pStyle w:val="ItadH4"/>
      </w:pPr>
      <w:r w:rsidRPr="0066738F">
        <w:t xml:space="preserve">How </w:t>
      </w:r>
      <w:r w:rsidR="00B512B8">
        <w:t>was it</w:t>
      </w:r>
      <w:r w:rsidR="00B512B8" w:rsidRPr="0066738F">
        <w:t xml:space="preserve"> </w:t>
      </w:r>
      <w:r w:rsidRPr="0066738F">
        <w:t>applied</w:t>
      </w:r>
      <w:r>
        <w:t>?</w:t>
      </w:r>
    </w:p>
    <w:p w14:paraId="48279721" w14:textId="6550BD78" w:rsidR="009479B0" w:rsidRDefault="005530D3" w:rsidP="005530D3">
      <w:pPr>
        <w:pStyle w:val="ItadNormalText"/>
        <w:rPr>
          <w:rFonts w:asciiTheme="minorHAnsi" w:eastAsia="Times New Roman" w:hAnsiTheme="minorHAnsi"/>
          <w:lang w:val="en-US" w:eastAsia="en-GB"/>
        </w:rPr>
      </w:pPr>
      <w:r w:rsidRPr="001A558D">
        <w:rPr>
          <w:rFonts w:asciiTheme="minorHAnsi" w:eastAsia="Times New Roman" w:hAnsiTheme="minorHAnsi"/>
          <w:lang w:val="en-US" w:eastAsia="en-GB"/>
        </w:rPr>
        <w:t xml:space="preserve">Contribution analysis is </w:t>
      </w:r>
      <w:r w:rsidR="00B512B8">
        <w:rPr>
          <w:rFonts w:asciiTheme="minorHAnsi" w:eastAsia="Times New Roman" w:hAnsiTheme="minorHAnsi"/>
          <w:lang w:val="en-US" w:eastAsia="en-GB"/>
        </w:rPr>
        <w:t xml:space="preserve">usually </w:t>
      </w:r>
      <w:r w:rsidRPr="001A558D">
        <w:rPr>
          <w:rFonts w:asciiTheme="minorHAnsi" w:eastAsia="Times New Roman" w:hAnsiTheme="minorHAnsi"/>
          <w:lang w:val="en-US" w:eastAsia="en-GB"/>
        </w:rPr>
        <w:t>applied through six clear steps</w:t>
      </w:r>
      <w:r w:rsidRPr="00303B1D">
        <w:rPr>
          <w:rFonts w:asciiTheme="minorHAnsi" w:eastAsia="Times New Roman" w:hAnsiTheme="minorHAnsi"/>
          <w:lang w:eastAsia="en-GB"/>
        </w:rPr>
        <w:t xml:space="preserve"> (see </w:t>
      </w:r>
      <w:r w:rsidR="0098507A">
        <w:rPr>
          <w:rFonts w:asciiTheme="minorHAnsi" w:eastAsia="Times New Roman" w:hAnsiTheme="minorHAnsi"/>
          <w:highlight w:val="yellow"/>
          <w:lang w:eastAsia="en-GB"/>
        </w:rPr>
        <w:fldChar w:fldCharType="begin"/>
      </w:r>
      <w:r w:rsidR="0098507A">
        <w:rPr>
          <w:rFonts w:asciiTheme="minorHAnsi" w:eastAsia="Times New Roman" w:hAnsiTheme="minorHAnsi"/>
          <w:lang w:eastAsia="en-GB"/>
        </w:rPr>
        <w:instrText xml:space="preserve"> REF _Ref119921923 \h </w:instrText>
      </w:r>
      <w:r w:rsidR="0098507A">
        <w:rPr>
          <w:rFonts w:asciiTheme="minorHAnsi" w:eastAsia="Times New Roman" w:hAnsiTheme="minorHAnsi"/>
          <w:highlight w:val="yellow"/>
          <w:lang w:eastAsia="en-GB"/>
        </w:rPr>
      </w:r>
      <w:r w:rsidR="0098507A">
        <w:rPr>
          <w:rFonts w:asciiTheme="minorHAnsi" w:eastAsia="Times New Roman" w:hAnsiTheme="minorHAnsi"/>
          <w:highlight w:val="yellow"/>
          <w:lang w:eastAsia="en-GB"/>
        </w:rPr>
        <w:fldChar w:fldCharType="separate"/>
      </w:r>
      <w:r w:rsidR="009A383C">
        <w:t xml:space="preserve">Figure </w:t>
      </w:r>
      <w:r w:rsidR="009A383C">
        <w:rPr>
          <w:noProof/>
        </w:rPr>
        <w:t>4</w:t>
      </w:r>
      <w:r w:rsidR="0098507A">
        <w:rPr>
          <w:rFonts w:asciiTheme="minorHAnsi" w:eastAsia="Times New Roman" w:hAnsiTheme="minorHAnsi"/>
          <w:highlight w:val="yellow"/>
          <w:lang w:eastAsia="en-GB"/>
        </w:rPr>
        <w:fldChar w:fldCharType="end"/>
      </w:r>
      <w:r>
        <w:rPr>
          <w:rFonts w:asciiTheme="minorHAnsi" w:eastAsia="Times New Roman" w:hAnsiTheme="minorHAnsi"/>
          <w:lang w:eastAsia="en-GB"/>
        </w:rPr>
        <w:t xml:space="preserve"> below</w:t>
      </w:r>
      <w:r w:rsidRPr="00303B1D">
        <w:rPr>
          <w:rFonts w:asciiTheme="minorHAnsi" w:eastAsia="Times New Roman" w:hAnsiTheme="minorHAnsi"/>
          <w:lang w:eastAsia="en-GB"/>
        </w:rPr>
        <w:t xml:space="preserve">). </w:t>
      </w:r>
      <w:r w:rsidRPr="00303B1D">
        <w:rPr>
          <w:rFonts w:asciiTheme="minorHAnsi" w:eastAsia="Times New Roman" w:hAnsiTheme="minorHAnsi"/>
          <w:lang w:val="en-US" w:eastAsia="en-GB"/>
        </w:rPr>
        <w:t>It is important to note that these steps incorporate a process of iteration around the ToC and the contribution story (steps 4, 5</w:t>
      </w:r>
      <w:r w:rsidR="00FD1FDB">
        <w:rPr>
          <w:rFonts w:asciiTheme="minorHAnsi" w:eastAsia="Times New Roman" w:hAnsiTheme="minorHAnsi"/>
          <w:lang w:val="en-US" w:eastAsia="en-GB"/>
        </w:rPr>
        <w:t>,</w:t>
      </w:r>
      <w:r w:rsidRPr="00303B1D">
        <w:rPr>
          <w:rFonts w:asciiTheme="minorHAnsi" w:eastAsia="Times New Roman" w:hAnsiTheme="minorHAnsi"/>
          <w:lang w:val="en-US" w:eastAsia="en-GB"/>
        </w:rPr>
        <w:t xml:space="preserve"> and 6) which can lead to revising the ToC if appropriate. </w:t>
      </w:r>
    </w:p>
    <w:bookmarkEnd w:id="35"/>
    <w:p w14:paraId="2B7E40C5" w14:textId="5141D738" w:rsidR="00BB244F" w:rsidRDefault="00BB244F" w:rsidP="005530D3">
      <w:pPr>
        <w:pStyle w:val="ItadNormalText"/>
        <w:rPr>
          <w:rFonts w:asciiTheme="minorHAnsi" w:eastAsia="Times New Roman" w:hAnsiTheme="minorHAnsi"/>
          <w:lang w:val="en-US" w:eastAsia="en-GB"/>
        </w:rPr>
      </w:pPr>
      <w:r>
        <w:rPr>
          <w:noProof/>
        </w:rPr>
        <w:drawing>
          <wp:inline distT="0" distB="0" distL="0" distR="0" wp14:anchorId="65EA5D60" wp14:editId="6B0D2A80">
            <wp:extent cx="3613150" cy="3234962"/>
            <wp:effectExtent l="0" t="0" r="6350" b="381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503937" name="Picture 1415503937" descr="Diagram&#10;&#10;Description automatically generated"/>
                    <pic:cNvPicPr/>
                  </pic:nvPicPr>
                  <pic:blipFill>
                    <a:blip r:embed="rId30"/>
                    <a:stretch>
                      <a:fillRect/>
                    </a:stretch>
                  </pic:blipFill>
                  <pic:spPr>
                    <a:xfrm>
                      <a:off x="0" y="0"/>
                      <a:ext cx="3627681" cy="3247972"/>
                    </a:xfrm>
                    <a:prstGeom prst="rect">
                      <a:avLst/>
                    </a:prstGeom>
                  </pic:spPr>
                </pic:pic>
              </a:graphicData>
            </a:graphic>
          </wp:inline>
        </w:drawing>
      </w:r>
    </w:p>
    <w:p w14:paraId="2FA0F48F" w14:textId="208E31D8" w:rsidR="00BB244F" w:rsidRDefault="00BB244F" w:rsidP="00C04C3C">
      <w:pPr>
        <w:pStyle w:val="ItadCaption"/>
        <w:rPr>
          <w:rFonts w:eastAsia="Calibri" w:cs="Calibri"/>
          <w:bCs/>
          <w:color w:val="000000"/>
        </w:rPr>
      </w:pPr>
      <w:bookmarkStart w:id="48" w:name="_Ref119921923"/>
      <w:bookmarkStart w:id="49" w:name="_Toc143858058"/>
      <w:r>
        <w:t xml:space="preserve">Figure </w:t>
      </w:r>
      <w:r>
        <w:fldChar w:fldCharType="begin"/>
      </w:r>
      <w:r>
        <w:instrText>SEQ Figure \* ARABIC</w:instrText>
      </w:r>
      <w:r>
        <w:fldChar w:fldCharType="separate"/>
      </w:r>
      <w:r w:rsidR="009A383C">
        <w:rPr>
          <w:noProof/>
        </w:rPr>
        <w:t>4</w:t>
      </w:r>
      <w:r>
        <w:fldChar w:fldCharType="end"/>
      </w:r>
      <w:bookmarkEnd w:id="48"/>
      <w:r>
        <w:t xml:space="preserve"> </w:t>
      </w:r>
      <w:r w:rsidRPr="00676B76">
        <w:t>Six steps of contribution analysis</w:t>
      </w:r>
      <w:bookmarkEnd w:id="49"/>
    </w:p>
    <w:p w14:paraId="32FD4F29" w14:textId="3B452DF0" w:rsidR="00F44187" w:rsidRDefault="00BB244F" w:rsidP="009479B0">
      <w:pPr>
        <w:pStyle w:val="ItadNormalText"/>
      </w:pPr>
      <w:bookmarkStart w:id="50" w:name="_Hlk129563924"/>
      <w:r>
        <w:t xml:space="preserve">In the context of this evaluation, we have operationalised Contribution Analysis through </w:t>
      </w:r>
      <w:r w:rsidR="00363F4C">
        <w:t>three</w:t>
      </w:r>
      <w:r>
        <w:t xml:space="preserve"> clear steps</w:t>
      </w:r>
      <w:r w:rsidR="00F44187">
        <w:t xml:space="preserve"> to </w:t>
      </w:r>
      <w:r w:rsidR="00F44187" w:rsidRPr="0089552F">
        <w:t>buil</w:t>
      </w:r>
      <w:r w:rsidR="00F44187">
        <w:t>d</w:t>
      </w:r>
      <w:r w:rsidR="00F44187" w:rsidRPr="0089552F">
        <w:t xml:space="preserve"> a ‘</w:t>
      </w:r>
      <w:r w:rsidR="00F44187" w:rsidRPr="0089552F">
        <w:rPr>
          <w:b/>
          <w:bCs/>
        </w:rPr>
        <w:t>contribution story</w:t>
      </w:r>
      <w:r w:rsidR="00F44187" w:rsidRPr="0089552F">
        <w:t xml:space="preserve">’ for </w:t>
      </w:r>
      <w:r w:rsidR="00F44187" w:rsidRPr="0089552F">
        <w:rPr>
          <w:b/>
          <w:bCs/>
        </w:rPr>
        <w:t xml:space="preserve">each of </w:t>
      </w:r>
      <w:r w:rsidR="00FD1FDB">
        <w:rPr>
          <w:b/>
          <w:bCs/>
        </w:rPr>
        <w:t xml:space="preserve">the </w:t>
      </w:r>
      <w:r w:rsidR="00F44187">
        <w:rPr>
          <w:b/>
          <w:bCs/>
        </w:rPr>
        <w:t>five</w:t>
      </w:r>
      <w:r w:rsidR="00F44187" w:rsidRPr="0089552F">
        <w:rPr>
          <w:b/>
          <w:bCs/>
        </w:rPr>
        <w:t xml:space="preserve"> changes</w:t>
      </w:r>
      <w:r w:rsidR="00F44187" w:rsidRPr="0089552F">
        <w:t xml:space="preserve"> in each of our </w:t>
      </w:r>
      <w:r w:rsidR="00F44187" w:rsidRPr="0089552F">
        <w:rPr>
          <w:b/>
          <w:bCs/>
        </w:rPr>
        <w:t>16</w:t>
      </w:r>
      <w:r w:rsidR="00F44187" w:rsidRPr="0089552F">
        <w:t xml:space="preserve"> sample </w:t>
      </w:r>
      <w:r w:rsidR="00F44187" w:rsidRPr="0089552F">
        <w:rPr>
          <w:b/>
          <w:bCs/>
        </w:rPr>
        <w:t>countries</w:t>
      </w:r>
      <w:r w:rsidR="00F44187">
        <w:rPr>
          <w:b/>
          <w:bCs/>
        </w:rPr>
        <w:t xml:space="preserve"> as a unit of analysis</w:t>
      </w:r>
      <w:r w:rsidR="00F44187" w:rsidRPr="0089552F">
        <w:t>.</w:t>
      </w:r>
      <w:r w:rsidR="00F44187">
        <w:t xml:space="preserve"> </w:t>
      </w:r>
    </w:p>
    <w:p w14:paraId="2DCB44DC" w14:textId="2774A256" w:rsidR="009479B0" w:rsidRPr="007F2ACC" w:rsidRDefault="007F286B" w:rsidP="009479B0">
      <w:pPr>
        <w:pStyle w:val="ItadNormalText"/>
      </w:pPr>
      <w:r>
        <w:t>Firstly</w:t>
      </w:r>
      <w:r w:rsidR="00F05D77">
        <w:t>,</w:t>
      </w:r>
      <w:r>
        <w:t xml:space="preserve"> we assessed the exten</w:t>
      </w:r>
      <w:r w:rsidR="00116AAA">
        <w:t xml:space="preserve">t </w:t>
      </w:r>
      <w:r w:rsidR="00FD1FDB">
        <w:t xml:space="preserve">to which </w:t>
      </w:r>
      <w:r w:rsidR="00116AAA">
        <w:t>five key changes were observable</w:t>
      </w:r>
      <w:r w:rsidR="00CA6C07">
        <w:t xml:space="preserve"> within the implementation timeframe</w:t>
      </w:r>
      <w:r w:rsidR="009479B0" w:rsidRPr="007F2ACC">
        <w:t>:</w:t>
      </w:r>
    </w:p>
    <w:p w14:paraId="6A1D6E15" w14:textId="77777777" w:rsidR="009479B0" w:rsidRPr="0089552F" w:rsidRDefault="009479B0" w:rsidP="00C6374D">
      <w:pPr>
        <w:pStyle w:val="ItadNormalText"/>
        <w:numPr>
          <w:ilvl w:val="0"/>
          <w:numId w:val="95"/>
        </w:numPr>
      </w:pPr>
      <w:r w:rsidRPr="0089552F">
        <w:t xml:space="preserve">C1: Changes in the </w:t>
      </w:r>
      <w:r w:rsidRPr="0089552F">
        <w:rPr>
          <w:b/>
          <w:bCs/>
        </w:rPr>
        <w:t>quantity</w:t>
      </w:r>
      <w:r>
        <w:rPr>
          <w:b/>
          <w:bCs/>
        </w:rPr>
        <w:t xml:space="preserve"> (C1a) and </w:t>
      </w:r>
      <w:r w:rsidRPr="0089552F">
        <w:rPr>
          <w:b/>
          <w:bCs/>
        </w:rPr>
        <w:t>quality</w:t>
      </w:r>
      <w:r>
        <w:rPr>
          <w:b/>
          <w:bCs/>
        </w:rPr>
        <w:t xml:space="preserve"> (C1b)</w:t>
      </w:r>
      <w:r w:rsidRPr="0089552F">
        <w:rPr>
          <w:b/>
          <w:bCs/>
        </w:rPr>
        <w:t xml:space="preserve"> </w:t>
      </w:r>
      <w:r w:rsidRPr="0089552F">
        <w:t xml:space="preserve">of country-level </w:t>
      </w:r>
      <w:r w:rsidRPr="0089552F">
        <w:rPr>
          <w:b/>
          <w:bCs/>
        </w:rPr>
        <w:t>HH</w:t>
      </w:r>
      <w:r w:rsidRPr="0089552F">
        <w:t xml:space="preserve"> </w:t>
      </w:r>
      <w:r w:rsidRPr="00084484">
        <w:rPr>
          <w:b/>
          <w:bCs/>
        </w:rPr>
        <w:t>AMR/C/U</w:t>
      </w:r>
      <w:r w:rsidRPr="00084484">
        <w:t xml:space="preserve"> </w:t>
      </w:r>
      <w:r w:rsidRPr="0089552F">
        <w:t xml:space="preserve">data </w:t>
      </w:r>
      <w:r w:rsidRPr="0089552F">
        <w:rPr>
          <w:b/>
          <w:bCs/>
        </w:rPr>
        <w:t>generated</w:t>
      </w:r>
      <w:r w:rsidRPr="0089552F">
        <w:t xml:space="preserve"> at country level</w:t>
      </w:r>
      <w:r>
        <w:t>.</w:t>
      </w:r>
    </w:p>
    <w:p w14:paraId="06150462" w14:textId="77777777" w:rsidR="009479B0" w:rsidRPr="0089552F" w:rsidRDefault="009479B0" w:rsidP="00C6374D">
      <w:pPr>
        <w:pStyle w:val="ItadNormalText"/>
        <w:numPr>
          <w:ilvl w:val="0"/>
          <w:numId w:val="95"/>
        </w:numPr>
      </w:pPr>
      <w:r w:rsidRPr="0089552F">
        <w:t xml:space="preserve">C2: Changes in the </w:t>
      </w:r>
      <w:r w:rsidRPr="0089552F">
        <w:rPr>
          <w:b/>
          <w:bCs/>
        </w:rPr>
        <w:t>quantity</w:t>
      </w:r>
      <w:r>
        <w:rPr>
          <w:b/>
          <w:bCs/>
        </w:rPr>
        <w:t xml:space="preserve"> (C2a) and </w:t>
      </w:r>
      <w:r w:rsidRPr="0089552F">
        <w:rPr>
          <w:b/>
          <w:bCs/>
        </w:rPr>
        <w:t>quality</w:t>
      </w:r>
      <w:r>
        <w:rPr>
          <w:b/>
          <w:bCs/>
        </w:rPr>
        <w:t xml:space="preserve"> (C2b) </w:t>
      </w:r>
      <w:r w:rsidRPr="0089552F">
        <w:t xml:space="preserve">of country-level </w:t>
      </w:r>
      <w:r w:rsidRPr="0089552F">
        <w:rPr>
          <w:b/>
          <w:bCs/>
        </w:rPr>
        <w:t>AH</w:t>
      </w:r>
      <w:r w:rsidRPr="0089552F">
        <w:t xml:space="preserve"> </w:t>
      </w:r>
      <w:r w:rsidRPr="00084484">
        <w:rPr>
          <w:b/>
          <w:bCs/>
        </w:rPr>
        <w:t>AMR/C/U</w:t>
      </w:r>
      <w:r w:rsidRPr="00084484">
        <w:t xml:space="preserve"> </w:t>
      </w:r>
      <w:r w:rsidRPr="0089552F">
        <w:t xml:space="preserve">data </w:t>
      </w:r>
      <w:r w:rsidRPr="0089552F">
        <w:rPr>
          <w:b/>
          <w:bCs/>
        </w:rPr>
        <w:t>generated</w:t>
      </w:r>
      <w:r w:rsidRPr="0089552F">
        <w:t xml:space="preserve"> at country level</w:t>
      </w:r>
      <w:r>
        <w:t>.</w:t>
      </w:r>
    </w:p>
    <w:p w14:paraId="6F55D487" w14:textId="77777777" w:rsidR="009479B0" w:rsidRPr="0089552F" w:rsidRDefault="009479B0" w:rsidP="00C6374D">
      <w:pPr>
        <w:pStyle w:val="ItadNormalText"/>
        <w:numPr>
          <w:ilvl w:val="0"/>
          <w:numId w:val="95"/>
        </w:numPr>
      </w:pPr>
      <w:r>
        <w:t xml:space="preserve">C3: </w:t>
      </w:r>
      <w:r w:rsidRPr="0089552F">
        <w:t>Changes in</w:t>
      </w:r>
      <w:r>
        <w:t xml:space="preserve"> the</w:t>
      </w:r>
      <w:r w:rsidRPr="0089552F">
        <w:t xml:space="preserve"> </w:t>
      </w:r>
      <w:r w:rsidRPr="0089552F">
        <w:rPr>
          <w:b/>
          <w:bCs/>
        </w:rPr>
        <w:t xml:space="preserve">quantity </w:t>
      </w:r>
      <w:r w:rsidRPr="0089552F">
        <w:t xml:space="preserve">of </w:t>
      </w:r>
      <w:r w:rsidRPr="0089552F">
        <w:rPr>
          <w:b/>
          <w:bCs/>
        </w:rPr>
        <w:t>HH/</w:t>
      </w:r>
      <w:r w:rsidRPr="00CD2DFD">
        <w:t xml:space="preserve"> </w:t>
      </w:r>
      <w:r w:rsidRPr="0089552F">
        <w:rPr>
          <w:b/>
          <w:bCs/>
        </w:rPr>
        <w:t>AH</w:t>
      </w:r>
      <w:r w:rsidRPr="0089552F">
        <w:t xml:space="preserve"> </w:t>
      </w:r>
      <w:r w:rsidRPr="00084484">
        <w:rPr>
          <w:b/>
          <w:bCs/>
        </w:rPr>
        <w:t>AMR</w:t>
      </w:r>
      <w:r w:rsidRPr="0089552F">
        <w:rPr>
          <w:b/>
          <w:bCs/>
        </w:rPr>
        <w:t>/C/U</w:t>
      </w:r>
      <w:r w:rsidRPr="0089552F">
        <w:t xml:space="preserve"> data shared at </w:t>
      </w:r>
      <w:r>
        <w:t xml:space="preserve">the </w:t>
      </w:r>
      <w:r w:rsidRPr="0089552F">
        <w:t>country level with relevant committees (</w:t>
      </w:r>
      <w:r w:rsidRPr="000F3AC3">
        <w:t xml:space="preserve">Antimicrobial Resistance Coordinating Committee </w:t>
      </w:r>
      <w:r>
        <w:t>(</w:t>
      </w:r>
      <w:r w:rsidRPr="0089552F">
        <w:t>AMRCC</w:t>
      </w:r>
      <w:r>
        <w:t>)</w:t>
      </w:r>
      <w:r w:rsidRPr="0089552F">
        <w:t>)</w:t>
      </w:r>
      <w:r>
        <w:t>.</w:t>
      </w:r>
    </w:p>
    <w:p w14:paraId="4AC73056" w14:textId="77777777" w:rsidR="009479B0" w:rsidRPr="0089552F" w:rsidRDefault="009479B0" w:rsidP="00C6374D">
      <w:pPr>
        <w:pStyle w:val="ItadNormalText"/>
        <w:numPr>
          <w:ilvl w:val="0"/>
          <w:numId w:val="95"/>
        </w:numPr>
      </w:pPr>
      <w:r>
        <w:t xml:space="preserve">C4: </w:t>
      </w:r>
      <w:r w:rsidRPr="0089552F">
        <w:t xml:space="preserve">Changes in the </w:t>
      </w:r>
      <w:r w:rsidRPr="0089552F">
        <w:rPr>
          <w:b/>
        </w:rPr>
        <w:t>quantity</w:t>
      </w:r>
      <w:r w:rsidRPr="0089552F">
        <w:t xml:space="preserve"> of country-level HH </w:t>
      </w:r>
      <w:r w:rsidRPr="00084484">
        <w:rPr>
          <w:b/>
          <w:bCs/>
        </w:rPr>
        <w:t>AMR</w:t>
      </w:r>
      <w:r w:rsidRPr="0089552F">
        <w:t xml:space="preserve"> data </w:t>
      </w:r>
      <w:r w:rsidRPr="0089552F">
        <w:rPr>
          <w:b/>
          <w:bCs/>
        </w:rPr>
        <w:t>shared internationally</w:t>
      </w:r>
      <w:r w:rsidRPr="0089552F">
        <w:t xml:space="preserve"> with WHO GLASS</w:t>
      </w:r>
      <w:r>
        <w:t>.</w:t>
      </w:r>
    </w:p>
    <w:p w14:paraId="56961F4B" w14:textId="77777777" w:rsidR="009479B0" w:rsidRPr="0089552F" w:rsidRDefault="009479B0" w:rsidP="00C6374D">
      <w:pPr>
        <w:pStyle w:val="ItadNormalText"/>
        <w:numPr>
          <w:ilvl w:val="0"/>
          <w:numId w:val="95"/>
        </w:numPr>
      </w:pPr>
      <w:r>
        <w:t xml:space="preserve">C5: </w:t>
      </w:r>
      <w:r w:rsidRPr="0089552F">
        <w:t xml:space="preserve">Changes in the </w:t>
      </w:r>
      <w:r w:rsidRPr="0089552F">
        <w:rPr>
          <w:b/>
          <w:bCs/>
        </w:rPr>
        <w:t>quantity</w:t>
      </w:r>
      <w:r w:rsidRPr="0089552F">
        <w:t xml:space="preserve"> of country-level AH </w:t>
      </w:r>
      <w:r w:rsidRPr="00084484">
        <w:rPr>
          <w:b/>
          <w:bCs/>
        </w:rPr>
        <w:t>AM</w:t>
      </w:r>
      <w:r>
        <w:rPr>
          <w:b/>
          <w:bCs/>
        </w:rPr>
        <w:t>U</w:t>
      </w:r>
      <w:r w:rsidRPr="0089552F">
        <w:t xml:space="preserve"> data </w:t>
      </w:r>
      <w:r w:rsidRPr="0089552F">
        <w:rPr>
          <w:b/>
          <w:bCs/>
        </w:rPr>
        <w:t>shared internationally</w:t>
      </w:r>
      <w:r w:rsidRPr="0089552F">
        <w:t xml:space="preserve"> with </w:t>
      </w:r>
      <w:r w:rsidRPr="00B87FAF">
        <w:t xml:space="preserve">World Organisation for Animal Health </w:t>
      </w:r>
      <w:r>
        <w:t>(WOAH formerly OIE)</w:t>
      </w:r>
      <w:r w:rsidRPr="0089552F">
        <w:t xml:space="preserve">. </w:t>
      </w:r>
    </w:p>
    <w:p w14:paraId="675EC407" w14:textId="3F4C0A64" w:rsidR="00461276" w:rsidRDefault="00D734ED" w:rsidP="005530D3">
      <w:pPr>
        <w:pStyle w:val="ItadNormalText"/>
        <w:rPr>
          <w:rFonts w:asciiTheme="minorHAnsi" w:eastAsia="Times New Roman" w:hAnsiTheme="minorHAnsi"/>
          <w:lang w:val="en-US" w:eastAsia="en-GB"/>
        </w:rPr>
      </w:pPr>
      <w:r>
        <w:rPr>
          <w:rFonts w:asciiTheme="minorHAnsi" w:eastAsia="Times New Roman" w:hAnsiTheme="minorHAnsi"/>
          <w:lang w:val="en-US" w:eastAsia="en-GB"/>
        </w:rPr>
        <w:t>Secondly, for each key change</w:t>
      </w:r>
      <w:r w:rsidR="00CD34E1">
        <w:rPr>
          <w:rFonts w:asciiTheme="minorHAnsi" w:eastAsia="Times New Roman" w:hAnsiTheme="minorHAnsi"/>
          <w:lang w:val="en-US" w:eastAsia="en-GB"/>
        </w:rPr>
        <w:t>,</w:t>
      </w:r>
      <w:r>
        <w:rPr>
          <w:rFonts w:asciiTheme="minorHAnsi" w:eastAsia="Times New Roman" w:hAnsiTheme="minorHAnsi"/>
          <w:lang w:val="en-US" w:eastAsia="en-GB"/>
        </w:rPr>
        <w:t xml:space="preserve"> we </w:t>
      </w:r>
      <w:r w:rsidR="00CD34E1">
        <w:rPr>
          <w:rFonts w:asciiTheme="minorHAnsi" w:eastAsia="Times New Roman" w:hAnsiTheme="minorHAnsi"/>
          <w:lang w:val="en-US" w:eastAsia="en-GB"/>
        </w:rPr>
        <w:t xml:space="preserve">established what the </w:t>
      </w:r>
      <w:r w:rsidR="00363F4C">
        <w:rPr>
          <w:rFonts w:asciiTheme="minorHAnsi" w:eastAsia="Times New Roman" w:hAnsiTheme="minorHAnsi"/>
          <w:lang w:val="en-US" w:eastAsia="en-GB"/>
        </w:rPr>
        <w:t xml:space="preserve">three </w:t>
      </w:r>
      <w:r w:rsidR="00CD34E1">
        <w:rPr>
          <w:rFonts w:asciiTheme="minorHAnsi" w:eastAsia="Times New Roman" w:hAnsiTheme="minorHAnsi"/>
          <w:lang w:val="en-US" w:eastAsia="en-GB"/>
        </w:rPr>
        <w:t>key drivers h</w:t>
      </w:r>
      <w:r w:rsidR="00461276">
        <w:rPr>
          <w:rFonts w:asciiTheme="minorHAnsi" w:eastAsia="Times New Roman" w:hAnsiTheme="minorHAnsi"/>
          <w:lang w:val="en-US" w:eastAsia="en-GB"/>
        </w:rPr>
        <w:t xml:space="preserve">ad been. </w:t>
      </w:r>
    </w:p>
    <w:p w14:paraId="296E6AEA" w14:textId="63377013" w:rsidR="00E11B87" w:rsidRDefault="00E11B87" w:rsidP="00E11B87">
      <w:pPr>
        <w:pStyle w:val="ItadNormalText"/>
      </w:pPr>
      <w:r>
        <w:t xml:space="preserve">Thirdly, our contribution analysis approach then assessed </w:t>
      </w:r>
      <w:r>
        <w:rPr>
          <w:b/>
          <w:bCs/>
        </w:rPr>
        <w:t>the</w:t>
      </w:r>
      <w:r w:rsidRPr="00A0643C">
        <w:rPr>
          <w:b/>
          <w:bCs/>
        </w:rPr>
        <w:t xml:space="preserve"> extent </w:t>
      </w:r>
      <w:r>
        <w:rPr>
          <w:b/>
          <w:bCs/>
        </w:rPr>
        <w:t xml:space="preserve">to which it </w:t>
      </w:r>
      <w:r w:rsidRPr="00A0643C">
        <w:rPr>
          <w:b/>
          <w:bCs/>
        </w:rPr>
        <w:t>is plausible to believe</w:t>
      </w:r>
      <w:r>
        <w:t xml:space="preserve"> that </w:t>
      </w:r>
      <w:r w:rsidRPr="00A0643C">
        <w:rPr>
          <w:b/>
          <w:bCs/>
        </w:rPr>
        <w:t>CG</w:t>
      </w:r>
      <w:r>
        <w:rPr>
          <w:b/>
          <w:bCs/>
        </w:rPr>
        <w:t>s</w:t>
      </w:r>
      <w:r w:rsidRPr="00A0643C">
        <w:rPr>
          <w:b/>
          <w:bCs/>
        </w:rPr>
        <w:t>, RG</w:t>
      </w:r>
      <w:r>
        <w:rPr>
          <w:b/>
          <w:bCs/>
        </w:rPr>
        <w:t>s</w:t>
      </w:r>
      <w:r w:rsidR="00C21770">
        <w:rPr>
          <w:b/>
          <w:bCs/>
        </w:rPr>
        <w:t>,</w:t>
      </w:r>
      <w:r w:rsidRPr="00A0643C">
        <w:rPr>
          <w:b/>
          <w:bCs/>
        </w:rPr>
        <w:t xml:space="preserve"> and Fleming Fellowships have collectively contributed to the observed changes </w:t>
      </w:r>
      <w:r w:rsidRPr="00BB4743">
        <w:rPr>
          <w:b/>
          <w:bCs/>
          <w:i/>
          <w:iCs/>
        </w:rPr>
        <w:t>vis-à-vis</w:t>
      </w:r>
      <w:r>
        <w:rPr>
          <w:b/>
          <w:bCs/>
        </w:rPr>
        <w:t xml:space="preserve"> </w:t>
      </w:r>
      <w:r>
        <w:t xml:space="preserve">the contribution of </w:t>
      </w:r>
      <w:r w:rsidRPr="0077399D">
        <w:rPr>
          <w:b/>
        </w:rPr>
        <w:t>other influencing factors</w:t>
      </w:r>
      <w:r>
        <w:t>. We have considered three types of contributors:</w:t>
      </w:r>
    </w:p>
    <w:p w14:paraId="0C08679B" w14:textId="45C172EE" w:rsidR="00E11B87" w:rsidRDefault="00E11B87" w:rsidP="00E11B87">
      <w:pPr>
        <w:pStyle w:val="ItadBullets"/>
        <w:ind w:left="1070" w:hanging="360"/>
      </w:pPr>
      <w:r>
        <w:t>Contribution by CGs, RGs</w:t>
      </w:r>
      <w:r w:rsidR="00C21770">
        <w:t>,</w:t>
      </w:r>
      <w:r>
        <w:t xml:space="preserve"> and Fleming Fellowships (that are directly in scope for our evaluation);</w:t>
      </w:r>
    </w:p>
    <w:p w14:paraId="397B5B8F" w14:textId="2979F972" w:rsidR="00E11B87" w:rsidRDefault="00E11B87" w:rsidP="00E11B87">
      <w:pPr>
        <w:pStyle w:val="ItadBullets"/>
        <w:ind w:left="1070" w:hanging="360"/>
      </w:pPr>
      <w:r>
        <w:t>Contribution by the DHSC-managed Fleming Fund grants (known as Global Projects);</w:t>
      </w:r>
    </w:p>
    <w:p w14:paraId="4C7443E8" w14:textId="4763568B" w:rsidR="00E11B87" w:rsidRDefault="00E11B87" w:rsidP="00E11B87">
      <w:pPr>
        <w:pStyle w:val="ItadBullets"/>
        <w:ind w:left="1070" w:hanging="360"/>
      </w:pPr>
      <w:r>
        <w:t xml:space="preserve">Other influencing factors – i.e. interventions by other development partners (such as USA </w:t>
      </w:r>
      <w:r w:rsidRPr="00AA7BDC">
        <w:t>Centers for Disease Control</w:t>
      </w:r>
      <w:r>
        <w:t xml:space="preserve"> and </w:t>
      </w:r>
      <w:r w:rsidRPr="00AA7BDC">
        <w:t xml:space="preserve">Prevention </w:t>
      </w:r>
      <w:r>
        <w:t xml:space="preserve">(CDC) and </w:t>
      </w:r>
      <w:r w:rsidRPr="00AA7BDC">
        <w:t xml:space="preserve">Food and Agriculture Organization </w:t>
      </w:r>
      <w:r>
        <w:t xml:space="preserve">(FAO) with non-Fleming Fund funds), and government-funded interventions. </w:t>
      </w:r>
    </w:p>
    <w:p w14:paraId="235DF5A6" w14:textId="77777777" w:rsidR="00E11B87" w:rsidRPr="008317CA" w:rsidRDefault="00E11B87" w:rsidP="00E11B87">
      <w:pPr>
        <w:pStyle w:val="ItadNormalText"/>
      </w:pPr>
      <w:r w:rsidRPr="007E1FCA">
        <w:rPr>
          <w:b/>
          <w:bCs/>
        </w:rPr>
        <w:t>I</w:t>
      </w:r>
      <w:r>
        <w:rPr>
          <w:b/>
          <w:bCs/>
        </w:rPr>
        <w:t xml:space="preserve">n cases in which </w:t>
      </w:r>
      <w:r w:rsidRPr="007E1FCA">
        <w:rPr>
          <w:b/>
          <w:bCs/>
        </w:rPr>
        <w:t xml:space="preserve">there has </w:t>
      </w:r>
      <w:r>
        <w:rPr>
          <w:b/>
          <w:bCs/>
        </w:rPr>
        <w:t xml:space="preserve">not </w:t>
      </w:r>
      <w:r w:rsidRPr="007E1FCA">
        <w:rPr>
          <w:b/>
          <w:bCs/>
        </w:rPr>
        <w:t xml:space="preserve">been </w:t>
      </w:r>
      <w:r>
        <w:rPr>
          <w:b/>
          <w:bCs/>
        </w:rPr>
        <w:t>a</w:t>
      </w:r>
      <w:r w:rsidRPr="007E1FCA">
        <w:rPr>
          <w:b/>
          <w:bCs/>
        </w:rPr>
        <w:t xml:space="preserve"> visible/measurable change</w:t>
      </w:r>
      <w:r w:rsidRPr="007E1FCA">
        <w:t xml:space="preserve">, </w:t>
      </w:r>
      <w:r>
        <w:t>we have used our contribution analysis approach to</w:t>
      </w:r>
      <w:r w:rsidRPr="007E1FCA">
        <w:t xml:space="preserve"> document </w:t>
      </w:r>
      <w:r>
        <w:t xml:space="preserve">the main reasons why, and </w:t>
      </w:r>
      <w:r w:rsidRPr="007E1FCA">
        <w:rPr>
          <w:i/>
          <w:iCs/>
        </w:rPr>
        <w:t>whether</w:t>
      </w:r>
      <w:r w:rsidRPr="007E1FCA">
        <w:t xml:space="preserve"> and </w:t>
      </w:r>
      <w:r w:rsidRPr="007E1FCA">
        <w:rPr>
          <w:i/>
          <w:iCs/>
        </w:rPr>
        <w:t>how</w:t>
      </w:r>
      <w:r w:rsidRPr="007E1FCA">
        <w:t xml:space="preserve"> the Fleming Fund is supporting progress in the right direction.</w:t>
      </w:r>
      <w:r>
        <w:t xml:space="preserve"> </w:t>
      </w:r>
    </w:p>
    <w:p w14:paraId="193C9339" w14:textId="6D2F1EA6" w:rsidR="006B399D" w:rsidRDefault="00E637D6" w:rsidP="005530D3">
      <w:pPr>
        <w:pStyle w:val="ItadNormalText"/>
        <w:rPr>
          <w:rFonts w:asciiTheme="minorHAnsi" w:eastAsia="Times New Roman" w:hAnsiTheme="minorHAnsi"/>
          <w:lang w:val="en-US" w:eastAsia="en-GB"/>
        </w:rPr>
      </w:pPr>
      <w:r>
        <w:rPr>
          <w:rFonts w:asciiTheme="minorHAnsi" w:eastAsia="Times New Roman" w:hAnsiTheme="minorHAnsi"/>
          <w:lang w:val="en-US" w:eastAsia="en-GB"/>
        </w:rPr>
        <w:t xml:space="preserve">To assess </w:t>
      </w:r>
      <w:r w:rsidR="00C21770">
        <w:rPr>
          <w:rFonts w:asciiTheme="minorHAnsi" w:eastAsia="Times New Roman" w:hAnsiTheme="minorHAnsi"/>
          <w:lang w:val="en-US" w:eastAsia="en-GB"/>
        </w:rPr>
        <w:t xml:space="preserve">the </w:t>
      </w:r>
      <w:r>
        <w:rPr>
          <w:rFonts w:asciiTheme="minorHAnsi" w:eastAsia="Times New Roman" w:hAnsiTheme="minorHAnsi"/>
          <w:lang w:val="en-US" w:eastAsia="en-GB"/>
        </w:rPr>
        <w:t xml:space="preserve">relative contribution </w:t>
      </w:r>
      <w:r w:rsidR="00461276">
        <w:rPr>
          <w:rFonts w:asciiTheme="minorHAnsi" w:eastAsia="Times New Roman" w:hAnsiTheme="minorHAnsi"/>
          <w:lang w:val="en-US" w:eastAsia="en-GB"/>
        </w:rPr>
        <w:t xml:space="preserve">against each main driver </w:t>
      </w:r>
      <w:r>
        <w:rPr>
          <w:rFonts w:asciiTheme="minorHAnsi" w:eastAsia="Times New Roman" w:hAnsiTheme="minorHAnsi"/>
          <w:lang w:val="en-US" w:eastAsia="en-GB"/>
        </w:rPr>
        <w:t>we used</w:t>
      </w:r>
      <w:r w:rsidR="00461276">
        <w:rPr>
          <w:rFonts w:asciiTheme="minorHAnsi" w:eastAsia="Times New Roman" w:hAnsiTheme="minorHAnsi"/>
          <w:lang w:val="en-US" w:eastAsia="en-GB"/>
        </w:rPr>
        <w:t xml:space="preserve"> the following scale: </w:t>
      </w:r>
    </w:p>
    <w:p w14:paraId="6ED7FE6D" w14:textId="69755A3D" w:rsidR="006B399D" w:rsidRPr="007F63EF" w:rsidRDefault="000A01C1" w:rsidP="00C6374D">
      <w:pPr>
        <w:pStyle w:val="ItadNormalText"/>
        <w:numPr>
          <w:ilvl w:val="0"/>
          <w:numId w:val="111"/>
        </w:numPr>
        <w:rPr>
          <w:rFonts w:asciiTheme="minorHAnsi" w:eastAsia="Times New Roman" w:hAnsiTheme="minorHAnsi"/>
          <w:lang w:val="en-US" w:eastAsia="en-GB"/>
        </w:rPr>
      </w:pPr>
      <w:r w:rsidRPr="007F63EF">
        <w:rPr>
          <w:rFonts w:asciiTheme="minorHAnsi" w:eastAsia="Times New Roman" w:hAnsiTheme="minorHAnsi"/>
          <w:b/>
          <w:bCs/>
          <w:lang w:val="en-US" w:eastAsia="en-GB"/>
        </w:rPr>
        <w:t>Vital</w:t>
      </w:r>
      <w:r w:rsidR="006B399D" w:rsidRPr="007F63EF">
        <w:rPr>
          <w:rFonts w:asciiTheme="minorHAnsi" w:eastAsia="Times New Roman" w:hAnsiTheme="minorHAnsi"/>
          <w:lang w:val="en-US" w:eastAsia="en-GB"/>
        </w:rPr>
        <w:t xml:space="preserve">: </w:t>
      </w:r>
      <w:r w:rsidR="00DB56A4" w:rsidRPr="007F63EF">
        <w:rPr>
          <w:rFonts w:asciiTheme="minorHAnsi" w:eastAsia="Times New Roman" w:hAnsiTheme="minorHAnsi"/>
          <w:lang w:val="en-US" w:eastAsia="en-GB"/>
        </w:rPr>
        <w:t xml:space="preserve">Fleming Fund interventions were the only or main contributor to the driver. </w:t>
      </w:r>
      <w:r w:rsidR="00BF38A6" w:rsidRPr="002D2792">
        <w:rPr>
          <w:rFonts w:asciiTheme="minorHAnsi" w:eastAsia="Times New Roman" w:hAnsiTheme="minorHAnsi"/>
          <w:lang w:val="en-US" w:eastAsia="en-GB"/>
        </w:rPr>
        <w:t xml:space="preserve">Without them, the change would </w:t>
      </w:r>
      <w:r w:rsidR="009C3546" w:rsidRPr="002D2792">
        <w:rPr>
          <w:rFonts w:asciiTheme="minorHAnsi" w:eastAsia="Times New Roman" w:hAnsiTheme="minorHAnsi"/>
          <w:lang w:val="en-US" w:eastAsia="en-GB"/>
        </w:rPr>
        <w:t>not have</w:t>
      </w:r>
      <w:r w:rsidR="00BF38A6">
        <w:rPr>
          <w:rFonts w:asciiTheme="minorHAnsi" w:eastAsia="Times New Roman" w:hAnsiTheme="minorHAnsi"/>
          <w:lang w:val="en-US" w:eastAsia="en-GB"/>
        </w:rPr>
        <w:t xml:space="preserve"> </w:t>
      </w:r>
      <w:r w:rsidR="00C21770">
        <w:rPr>
          <w:rFonts w:asciiTheme="minorHAnsi" w:eastAsia="Times New Roman" w:hAnsiTheme="minorHAnsi"/>
          <w:lang w:val="en-US" w:eastAsia="en-GB"/>
        </w:rPr>
        <w:t>materialised or</w:t>
      </w:r>
      <w:r w:rsidR="00BF38A6">
        <w:rPr>
          <w:rFonts w:asciiTheme="minorHAnsi" w:eastAsia="Times New Roman" w:hAnsiTheme="minorHAnsi"/>
          <w:lang w:val="en-US" w:eastAsia="en-GB"/>
        </w:rPr>
        <w:t xml:space="preserve"> would be </w:t>
      </w:r>
      <w:r w:rsidR="00BF38A6" w:rsidRPr="002D2792">
        <w:rPr>
          <w:rFonts w:asciiTheme="minorHAnsi" w:eastAsia="Times New Roman" w:hAnsiTheme="minorHAnsi"/>
          <w:lang w:val="en-US" w:eastAsia="en-GB"/>
        </w:rPr>
        <w:t xml:space="preserve">most likely </w:t>
      </w:r>
      <w:r w:rsidR="00BF38A6">
        <w:rPr>
          <w:rFonts w:asciiTheme="minorHAnsi" w:eastAsia="Times New Roman" w:hAnsiTheme="minorHAnsi"/>
          <w:lang w:val="en-US" w:eastAsia="en-GB"/>
        </w:rPr>
        <w:t>much</w:t>
      </w:r>
      <w:r w:rsidR="00BF38A6" w:rsidRPr="002D2792">
        <w:rPr>
          <w:rFonts w:asciiTheme="minorHAnsi" w:eastAsia="Times New Roman" w:hAnsiTheme="minorHAnsi"/>
          <w:lang w:val="en-US" w:eastAsia="en-GB"/>
        </w:rPr>
        <w:t xml:space="preserve"> smaller than observed.  </w:t>
      </w:r>
    </w:p>
    <w:p w14:paraId="47E01941" w14:textId="5613B8CD" w:rsidR="006B399D" w:rsidRPr="007F63EF" w:rsidRDefault="000A01C1" w:rsidP="00C6374D">
      <w:pPr>
        <w:pStyle w:val="ItadNormalText"/>
        <w:numPr>
          <w:ilvl w:val="0"/>
          <w:numId w:val="111"/>
        </w:numPr>
        <w:rPr>
          <w:rFonts w:asciiTheme="minorHAnsi" w:eastAsia="Times New Roman" w:hAnsiTheme="minorHAnsi"/>
          <w:lang w:val="en-US" w:eastAsia="en-GB"/>
        </w:rPr>
      </w:pPr>
      <w:r w:rsidRPr="007F63EF">
        <w:rPr>
          <w:rFonts w:asciiTheme="minorHAnsi" w:eastAsia="Times New Roman" w:hAnsiTheme="minorHAnsi"/>
          <w:b/>
          <w:bCs/>
          <w:lang w:val="en-US" w:eastAsia="en-GB"/>
        </w:rPr>
        <w:t>Important</w:t>
      </w:r>
      <w:r w:rsidR="00DB56A4" w:rsidRPr="007F63EF">
        <w:rPr>
          <w:rFonts w:asciiTheme="minorHAnsi" w:eastAsia="Times New Roman" w:hAnsiTheme="minorHAnsi"/>
          <w:lang w:val="en-US" w:eastAsia="en-GB"/>
        </w:rPr>
        <w:t xml:space="preserve">: Fleming Fund interventions were </w:t>
      </w:r>
      <w:r w:rsidR="005916EA">
        <w:rPr>
          <w:rFonts w:asciiTheme="minorHAnsi" w:eastAsia="Times New Roman" w:hAnsiTheme="minorHAnsi"/>
          <w:lang w:val="en-US" w:eastAsia="en-GB"/>
        </w:rPr>
        <w:t xml:space="preserve">one of </w:t>
      </w:r>
      <w:r w:rsidR="00DB56A4" w:rsidRPr="007F63EF">
        <w:rPr>
          <w:rFonts w:asciiTheme="minorHAnsi" w:eastAsia="Times New Roman" w:hAnsiTheme="minorHAnsi"/>
          <w:lang w:val="en-US" w:eastAsia="en-GB"/>
        </w:rPr>
        <w:t xml:space="preserve">the main </w:t>
      </w:r>
      <w:r w:rsidR="009C3546" w:rsidRPr="009C3546">
        <w:rPr>
          <w:rFonts w:asciiTheme="minorHAnsi" w:eastAsia="Times New Roman" w:hAnsiTheme="minorHAnsi"/>
          <w:lang w:val="en-US" w:eastAsia="en-GB"/>
        </w:rPr>
        <w:t>contributors</w:t>
      </w:r>
      <w:r w:rsidR="00DB56A4" w:rsidRPr="007F63EF">
        <w:rPr>
          <w:rFonts w:asciiTheme="minorHAnsi" w:eastAsia="Times New Roman" w:hAnsiTheme="minorHAnsi"/>
          <w:lang w:val="en-US" w:eastAsia="en-GB"/>
        </w:rPr>
        <w:t xml:space="preserve"> to the driver</w:t>
      </w:r>
      <w:r w:rsidR="00D82A30" w:rsidRPr="007F63EF">
        <w:rPr>
          <w:rFonts w:asciiTheme="minorHAnsi" w:eastAsia="Times New Roman" w:hAnsiTheme="minorHAnsi"/>
          <w:lang w:val="en-US" w:eastAsia="en-GB"/>
        </w:rPr>
        <w:t xml:space="preserve">. Without them, the </w:t>
      </w:r>
      <w:r w:rsidR="00056140" w:rsidRPr="007F63EF">
        <w:rPr>
          <w:rFonts w:asciiTheme="minorHAnsi" w:eastAsia="Times New Roman" w:hAnsiTheme="minorHAnsi"/>
          <w:lang w:val="en-US" w:eastAsia="en-GB"/>
        </w:rPr>
        <w:t xml:space="preserve">extent of change would have most likely been smaller than observed.  </w:t>
      </w:r>
    </w:p>
    <w:p w14:paraId="3B0B568B" w14:textId="4DA58283" w:rsidR="006B399D" w:rsidRPr="007F63EF" w:rsidRDefault="000A01C1" w:rsidP="00C6374D">
      <w:pPr>
        <w:pStyle w:val="ItadNormalText"/>
        <w:numPr>
          <w:ilvl w:val="0"/>
          <w:numId w:val="111"/>
        </w:numPr>
        <w:rPr>
          <w:rFonts w:asciiTheme="minorHAnsi" w:eastAsia="Times New Roman" w:hAnsiTheme="minorHAnsi"/>
          <w:lang w:val="en-US" w:eastAsia="en-GB"/>
        </w:rPr>
      </w:pPr>
      <w:r w:rsidRPr="007F63EF">
        <w:rPr>
          <w:rFonts w:asciiTheme="minorHAnsi" w:eastAsia="Times New Roman" w:hAnsiTheme="minorHAnsi"/>
          <w:b/>
          <w:bCs/>
          <w:lang w:val="en-US" w:eastAsia="en-GB"/>
        </w:rPr>
        <w:t>Some</w:t>
      </w:r>
      <w:r w:rsidR="00056140" w:rsidRPr="007F63EF">
        <w:rPr>
          <w:rFonts w:asciiTheme="minorHAnsi" w:eastAsia="Times New Roman" w:hAnsiTheme="minorHAnsi"/>
          <w:lang w:val="en-US" w:eastAsia="en-GB"/>
        </w:rPr>
        <w:t xml:space="preserve">: </w:t>
      </w:r>
      <w:r w:rsidR="000131E7">
        <w:rPr>
          <w:rFonts w:asciiTheme="minorHAnsi" w:eastAsia="Times New Roman" w:hAnsiTheme="minorHAnsi"/>
          <w:lang w:val="en-US" w:eastAsia="en-GB"/>
        </w:rPr>
        <w:t xml:space="preserve">Evidence points to </w:t>
      </w:r>
      <w:r w:rsidR="00056140" w:rsidRPr="007F63EF">
        <w:rPr>
          <w:rFonts w:asciiTheme="minorHAnsi" w:eastAsia="Times New Roman" w:hAnsiTheme="minorHAnsi"/>
          <w:lang w:val="en-US" w:eastAsia="en-GB"/>
        </w:rPr>
        <w:t xml:space="preserve">Fleming Fund interventions </w:t>
      </w:r>
      <w:r w:rsidR="000131E7">
        <w:rPr>
          <w:rFonts w:asciiTheme="minorHAnsi" w:eastAsia="Times New Roman" w:hAnsiTheme="minorHAnsi"/>
          <w:lang w:val="en-US" w:eastAsia="en-GB"/>
        </w:rPr>
        <w:t>being</w:t>
      </w:r>
      <w:r w:rsidR="00056140" w:rsidRPr="007F63EF">
        <w:rPr>
          <w:rFonts w:asciiTheme="minorHAnsi" w:eastAsia="Times New Roman" w:hAnsiTheme="minorHAnsi"/>
          <w:lang w:val="en-US" w:eastAsia="en-GB"/>
        </w:rPr>
        <w:t xml:space="preserve"> one of the contributory </w:t>
      </w:r>
      <w:r w:rsidR="00BD538B" w:rsidRPr="007F63EF">
        <w:rPr>
          <w:rFonts w:asciiTheme="minorHAnsi" w:eastAsia="Times New Roman" w:hAnsiTheme="minorHAnsi"/>
          <w:lang w:val="en-US" w:eastAsia="en-GB"/>
        </w:rPr>
        <w:t xml:space="preserve">factors to the driver, among multiple others. </w:t>
      </w:r>
    </w:p>
    <w:p w14:paraId="12603E13" w14:textId="618CC6F6" w:rsidR="006B399D" w:rsidRPr="007F63EF" w:rsidRDefault="000A01C1" w:rsidP="51278347">
      <w:pPr>
        <w:pStyle w:val="ItadNormalText"/>
        <w:numPr>
          <w:ilvl w:val="0"/>
          <w:numId w:val="111"/>
        </w:numPr>
        <w:rPr>
          <w:rFonts w:asciiTheme="minorHAnsi" w:eastAsia="Times New Roman" w:hAnsiTheme="minorHAnsi"/>
          <w:lang w:eastAsia="en-GB"/>
        </w:rPr>
      </w:pPr>
      <w:r w:rsidRPr="51278347">
        <w:rPr>
          <w:rFonts w:asciiTheme="minorHAnsi" w:eastAsia="Times New Roman" w:hAnsiTheme="minorHAnsi"/>
          <w:b/>
          <w:bCs/>
          <w:lang w:eastAsia="en-GB"/>
        </w:rPr>
        <w:t>Limited</w:t>
      </w:r>
      <w:r w:rsidR="00BD538B" w:rsidRPr="51278347">
        <w:rPr>
          <w:rFonts w:asciiTheme="minorHAnsi" w:eastAsia="Times New Roman" w:hAnsiTheme="minorHAnsi"/>
          <w:lang w:eastAsia="en-GB"/>
        </w:rPr>
        <w:t xml:space="preserve">: </w:t>
      </w:r>
      <w:r w:rsidR="00DA0172" w:rsidRPr="51278347">
        <w:rPr>
          <w:rFonts w:asciiTheme="minorHAnsi" w:eastAsia="Times New Roman" w:hAnsiTheme="minorHAnsi"/>
          <w:lang w:eastAsia="en-GB"/>
        </w:rPr>
        <w:t>I</w:t>
      </w:r>
      <w:r w:rsidR="00BD538B" w:rsidRPr="51278347">
        <w:rPr>
          <w:rFonts w:asciiTheme="minorHAnsi" w:eastAsia="Times New Roman" w:hAnsiTheme="minorHAnsi"/>
          <w:lang w:eastAsia="en-GB"/>
        </w:rPr>
        <w:t xml:space="preserve">t is hard to establish a </w:t>
      </w:r>
      <w:r w:rsidR="00DA0172" w:rsidRPr="51278347">
        <w:rPr>
          <w:rFonts w:asciiTheme="minorHAnsi" w:eastAsia="Times New Roman" w:hAnsiTheme="minorHAnsi"/>
          <w:lang w:eastAsia="en-GB"/>
        </w:rPr>
        <w:t xml:space="preserve">causal </w:t>
      </w:r>
      <w:r w:rsidR="00BD538B" w:rsidRPr="51278347">
        <w:rPr>
          <w:rFonts w:asciiTheme="minorHAnsi" w:eastAsia="Times New Roman" w:hAnsiTheme="minorHAnsi"/>
          <w:lang w:eastAsia="en-GB"/>
        </w:rPr>
        <w:t xml:space="preserve">link between Fleming Fund interventions and the driver </w:t>
      </w:r>
      <w:r w:rsidR="00280963" w:rsidRPr="51278347">
        <w:rPr>
          <w:rFonts w:asciiTheme="minorHAnsi" w:eastAsia="Times New Roman" w:hAnsiTheme="minorHAnsi"/>
          <w:lang w:eastAsia="en-GB"/>
        </w:rPr>
        <w:t>of change being in place</w:t>
      </w:r>
      <w:r w:rsidR="00DA0172" w:rsidRPr="51278347">
        <w:rPr>
          <w:rFonts w:asciiTheme="minorHAnsi" w:eastAsia="Times New Roman" w:hAnsiTheme="minorHAnsi"/>
          <w:lang w:eastAsia="en-GB"/>
        </w:rPr>
        <w:t>,</w:t>
      </w:r>
      <w:r w:rsidR="00280963" w:rsidRPr="51278347">
        <w:rPr>
          <w:rFonts w:asciiTheme="minorHAnsi" w:eastAsia="Times New Roman" w:hAnsiTheme="minorHAnsi"/>
          <w:lang w:eastAsia="en-GB"/>
        </w:rPr>
        <w:t xml:space="preserve"> but it is possible that </w:t>
      </w:r>
      <w:r w:rsidR="00066E5B" w:rsidRPr="51278347">
        <w:rPr>
          <w:rFonts w:asciiTheme="minorHAnsi" w:eastAsia="Times New Roman" w:hAnsiTheme="minorHAnsi"/>
          <w:lang w:eastAsia="en-GB"/>
        </w:rPr>
        <w:t>such link</w:t>
      </w:r>
      <w:r w:rsidR="009C3546" w:rsidRPr="51278347">
        <w:rPr>
          <w:rFonts w:asciiTheme="minorHAnsi" w:eastAsia="Times New Roman" w:hAnsiTheme="minorHAnsi"/>
          <w:lang w:eastAsia="en-GB"/>
        </w:rPr>
        <w:t>s</w:t>
      </w:r>
      <w:r w:rsidR="00066E5B" w:rsidRPr="51278347">
        <w:rPr>
          <w:rFonts w:asciiTheme="minorHAnsi" w:eastAsia="Times New Roman" w:hAnsiTheme="minorHAnsi"/>
          <w:lang w:eastAsia="en-GB"/>
        </w:rPr>
        <w:t xml:space="preserve"> </w:t>
      </w:r>
      <w:r w:rsidR="00C21770" w:rsidRPr="51278347">
        <w:rPr>
          <w:rFonts w:asciiTheme="minorHAnsi" w:eastAsia="Times New Roman" w:hAnsiTheme="minorHAnsi"/>
          <w:lang w:eastAsia="en-GB"/>
        </w:rPr>
        <w:t>exist</w:t>
      </w:r>
      <w:r w:rsidR="00DA0172" w:rsidRPr="51278347">
        <w:rPr>
          <w:rFonts w:asciiTheme="minorHAnsi" w:eastAsia="Times New Roman" w:hAnsiTheme="minorHAnsi"/>
          <w:lang w:eastAsia="en-GB"/>
        </w:rPr>
        <w:t xml:space="preserve">. </w:t>
      </w:r>
      <w:r w:rsidR="00066E5B" w:rsidRPr="51278347">
        <w:rPr>
          <w:rFonts w:asciiTheme="minorHAnsi" w:eastAsia="Times New Roman" w:hAnsiTheme="minorHAnsi"/>
          <w:lang w:eastAsia="en-GB"/>
        </w:rPr>
        <w:t xml:space="preserve"> </w:t>
      </w:r>
    </w:p>
    <w:p w14:paraId="1D47FC59" w14:textId="035D23DE" w:rsidR="00D210EA" w:rsidRPr="003E69AA" w:rsidRDefault="000A01C1" w:rsidP="00C6374D">
      <w:pPr>
        <w:pStyle w:val="ItadNormalText"/>
        <w:numPr>
          <w:ilvl w:val="0"/>
          <w:numId w:val="111"/>
        </w:numPr>
        <w:rPr>
          <w:rFonts w:asciiTheme="minorHAnsi" w:eastAsia="Times New Roman" w:hAnsiTheme="minorHAnsi"/>
          <w:lang w:val="en-US" w:eastAsia="en-GB"/>
        </w:rPr>
      </w:pPr>
      <w:r w:rsidRPr="007F63EF">
        <w:rPr>
          <w:rFonts w:asciiTheme="minorHAnsi" w:eastAsia="Times New Roman" w:hAnsiTheme="minorHAnsi"/>
          <w:b/>
          <w:bCs/>
          <w:lang w:val="en-US" w:eastAsia="en-GB"/>
        </w:rPr>
        <w:t>None</w:t>
      </w:r>
      <w:r w:rsidR="00066E5B" w:rsidRPr="007F63EF">
        <w:rPr>
          <w:rFonts w:asciiTheme="minorHAnsi" w:eastAsia="Times New Roman" w:hAnsiTheme="minorHAnsi"/>
          <w:lang w:val="en-US" w:eastAsia="en-GB"/>
        </w:rPr>
        <w:t xml:space="preserve">: </w:t>
      </w:r>
      <w:r w:rsidR="00DA0172" w:rsidRPr="003E69AA">
        <w:rPr>
          <w:rFonts w:asciiTheme="minorHAnsi" w:eastAsia="Times New Roman" w:hAnsiTheme="minorHAnsi"/>
          <w:lang w:val="en-US" w:eastAsia="en-GB"/>
        </w:rPr>
        <w:t>W</w:t>
      </w:r>
      <w:r w:rsidR="00066E5B" w:rsidRPr="007F63EF">
        <w:rPr>
          <w:rFonts w:asciiTheme="minorHAnsi" w:eastAsia="Times New Roman" w:hAnsiTheme="minorHAnsi"/>
          <w:lang w:val="en-US" w:eastAsia="en-GB"/>
        </w:rPr>
        <w:t xml:space="preserve">e could not observe </w:t>
      </w:r>
      <w:r w:rsidR="00066E5B" w:rsidRPr="003E69AA">
        <w:t>any link</w:t>
      </w:r>
      <w:r w:rsidR="00DA0172" w:rsidRPr="003E69AA">
        <w:t>s</w:t>
      </w:r>
      <w:r w:rsidR="00066E5B" w:rsidRPr="003E69AA">
        <w:t xml:space="preserve"> between </w:t>
      </w:r>
      <w:r w:rsidR="00066E5B" w:rsidRPr="007F63EF">
        <w:t>Fleming Fund interventions</w:t>
      </w:r>
      <w:r w:rsidR="00066E5B" w:rsidRPr="003E69AA">
        <w:t xml:space="preserve"> and the driver </w:t>
      </w:r>
      <w:r w:rsidR="00C40DA5" w:rsidRPr="003E69AA">
        <w:t xml:space="preserve">of change. </w:t>
      </w:r>
    </w:p>
    <w:p w14:paraId="7998E012" w14:textId="77777777" w:rsidR="00D210EA" w:rsidRDefault="00D210EA" w:rsidP="005530D3">
      <w:pPr>
        <w:pStyle w:val="ItadNormalText"/>
        <w:rPr>
          <w:rFonts w:asciiTheme="minorHAnsi" w:eastAsia="Times New Roman" w:hAnsiTheme="minorHAnsi"/>
          <w:lang w:val="en-US" w:eastAsia="en-GB"/>
        </w:rPr>
      </w:pPr>
    </w:p>
    <w:p w14:paraId="13888389" w14:textId="18444E75" w:rsidR="005530D3" w:rsidRPr="00303B1D" w:rsidRDefault="0097683A" w:rsidP="005530D3">
      <w:pPr>
        <w:pStyle w:val="ItadNormalText"/>
        <w:rPr>
          <w:rFonts w:asciiTheme="minorHAnsi" w:eastAsia="Times New Roman" w:hAnsiTheme="minorHAnsi"/>
          <w:lang w:eastAsia="en-GB"/>
        </w:rPr>
      </w:pPr>
      <w:r>
        <w:rPr>
          <w:rFonts w:asciiTheme="minorHAnsi" w:eastAsia="Times New Roman" w:hAnsiTheme="minorHAnsi"/>
          <w:lang w:val="en-US" w:eastAsia="en-GB"/>
        </w:rPr>
        <w:t>Our c</w:t>
      </w:r>
      <w:r w:rsidR="005530D3" w:rsidRPr="00303B1D">
        <w:rPr>
          <w:rFonts w:asciiTheme="minorHAnsi" w:eastAsia="Times New Roman" w:hAnsiTheme="minorHAnsi"/>
          <w:lang w:val="en-US" w:eastAsia="en-GB"/>
        </w:rPr>
        <w:t xml:space="preserve">ontribution stories set out </w:t>
      </w:r>
      <w:r w:rsidR="005530D3" w:rsidRPr="001246A2">
        <w:rPr>
          <w:rFonts w:asciiTheme="minorHAnsi" w:eastAsia="Times New Roman" w:hAnsiTheme="minorHAnsi"/>
          <w:i/>
          <w:iCs/>
          <w:lang w:val="en-US" w:eastAsia="en-GB"/>
        </w:rPr>
        <w:t>whether</w:t>
      </w:r>
      <w:r w:rsidR="005530D3">
        <w:rPr>
          <w:rFonts w:asciiTheme="minorHAnsi" w:eastAsia="Times New Roman" w:hAnsiTheme="minorHAnsi"/>
          <w:lang w:val="en-US" w:eastAsia="en-GB"/>
        </w:rPr>
        <w:t xml:space="preserve"> and </w:t>
      </w:r>
      <w:r w:rsidR="005530D3" w:rsidRPr="001246A2">
        <w:rPr>
          <w:rFonts w:asciiTheme="minorHAnsi" w:eastAsia="Times New Roman" w:hAnsiTheme="minorHAnsi"/>
          <w:i/>
          <w:iCs/>
          <w:lang w:val="en-US" w:eastAsia="en-GB"/>
        </w:rPr>
        <w:t>why</w:t>
      </w:r>
      <w:r w:rsidR="005530D3" w:rsidRPr="00303B1D">
        <w:rPr>
          <w:rFonts w:asciiTheme="minorHAnsi" w:eastAsia="Times New Roman" w:hAnsiTheme="minorHAnsi"/>
          <w:lang w:val="en-US" w:eastAsia="en-GB"/>
        </w:rPr>
        <w:t xml:space="preserve"> it is reasonable to assume that the </w:t>
      </w:r>
      <w:r w:rsidR="00F05D77">
        <w:rPr>
          <w:rFonts w:asciiTheme="minorHAnsi" w:eastAsia="Times New Roman" w:hAnsiTheme="minorHAnsi"/>
          <w:lang w:val="en-US" w:eastAsia="en-GB"/>
        </w:rPr>
        <w:t xml:space="preserve">interventions supported by </w:t>
      </w:r>
      <w:r w:rsidR="005530D3" w:rsidRPr="00303B1D">
        <w:rPr>
          <w:rFonts w:asciiTheme="minorHAnsi" w:eastAsia="Times New Roman" w:hAnsiTheme="minorHAnsi"/>
          <w:lang w:val="en-US" w:eastAsia="en-GB"/>
        </w:rPr>
        <w:t xml:space="preserve">the </w:t>
      </w:r>
      <w:r w:rsidR="00F05D77">
        <w:rPr>
          <w:rFonts w:asciiTheme="minorHAnsi" w:eastAsia="Times New Roman" w:hAnsiTheme="minorHAnsi"/>
          <w:lang w:val="en-US" w:eastAsia="en-GB"/>
        </w:rPr>
        <w:t xml:space="preserve">Fleming </w:t>
      </w:r>
      <w:r w:rsidR="005530D3" w:rsidRPr="00303B1D">
        <w:rPr>
          <w:rFonts w:asciiTheme="minorHAnsi" w:eastAsia="Times New Roman" w:hAnsiTheme="minorHAnsi"/>
          <w:lang w:val="en-US" w:eastAsia="en-GB"/>
        </w:rPr>
        <w:t xml:space="preserve">Fund have contributed to the </w:t>
      </w:r>
      <w:r w:rsidR="005530D3" w:rsidRPr="00A71228">
        <w:rPr>
          <w:rFonts w:asciiTheme="minorHAnsi" w:eastAsia="Times New Roman" w:hAnsiTheme="minorHAnsi"/>
          <w:lang w:val="en-US" w:eastAsia="en-GB"/>
        </w:rPr>
        <w:t>observed changes. The evaluation team then assess</w:t>
      </w:r>
      <w:r>
        <w:rPr>
          <w:rFonts w:asciiTheme="minorHAnsi" w:eastAsia="Times New Roman" w:hAnsiTheme="minorHAnsi"/>
          <w:lang w:val="en-US" w:eastAsia="en-GB"/>
        </w:rPr>
        <w:t>ed</w:t>
      </w:r>
      <w:r w:rsidR="005530D3" w:rsidRPr="00A71228">
        <w:rPr>
          <w:rFonts w:asciiTheme="minorHAnsi" w:eastAsia="Times New Roman" w:hAnsiTheme="minorHAnsi"/>
          <w:lang w:val="en-US" w:eastAsia="en-GB"/>
        </w:rPr>
        <w:t xml:space="preserve"> how credible these stories </w:t>
      </w:r>
      <w:r w:rsidR="00800D85">
        <w:rPr>
          <w:rFonts w:asciiTheme="minorHAnsi" w:eastAsia="Times New Roman" w:hAnsiTheme="minorHAnsi"/>
          <w:lang w:val="en-US" w:eastAsia="en-GB"/>
        </w:rPr>
        <w:t>were and</w:t>
      </w:r>
      <w:r w:rsidR="005530D3" w:rsidRPr="00303B1D">
        <w:rPr>
          <w:rFonts w:asciiTheme="minorHAnsi" w:eastAsia="Times New Roman" w:hAnsiTheme="minorHAnsi"/>
          <w:lang w:eastAsia="en-GB"/>
        </w:rPr>
        <w:t xml:space="preserve"> look</w:t>
      </w:r>
      <w:r w:rsidR="0099448D">
        <w:rPr>
          <w:rFonts w:asciiTheme="minorHAnsi" w:eastAsia="Times New Roman" w:hAnsiTheme="minorHAnsi"/>
          <w:lang w:eastAsia="en-GB"/>
        </w:rPr>
        <w:t>ed</w:t>
      </w:r>
      <w:r w:rsidR="005530D3" w:rsidRPr="00303B1D">
        <w:rPr>
          <w:rFonts w:asciiTheme="minorHAnsi" w:eastAsia="Times New Roman" w:hAnsiTheme="minorHAnsi"/>
          <w:lang w:eastAsia="en-GB"/>
        </w:rPr>
        <w:t xml:space="preserve"> for additional evidence th</w:t>
      </w:r>
      <w:r w:rsidR="005530D3">
        <w:rPr>
          <w:rFonts w:asciiTheme="minorHAnsi" w:eastAsia="Times New Roman" w:hAnsiTheme="minorHAnsi"/>
          <w:lang w:eastAsia="en-GB"/>
        </w:rPr>
        <w:t>r</w:t>
      </w:r>
      <w:r w:rsidR="005530D3" w:rsidRPr="00303B1D">
        <w:rPr>
          <w:rFonts w:asciiTheme="minorHAnsi" w:eastAsia="Times New Roman" w:hAnsiTheme="minorHAnsi"/>
          <w:lang w:eastAsia="en-GB"/>
        </w:rPr>
        <w:t xml:space="preserve">ough further data collection and sense checking of the </w:t>
      </w:r>
      <w:r w:rsidR="005530D3">
        <w:rPr>
          <w:rFonts w:asciiTheme="minorHAnsi" w:eastAsia="Times New Roman" w:hAnsiTheme="minorHAnsi"/>
          <w:lang w:eastAsia="en-GB"/>
        </w:rPr>
        <w:t>‘</w:t>
      </w:r>
      <w:r w:rsidR="005530D3" w:rsidRPr="00303B1D">
        <w:rPr>
          <w:rFonts w:asciiTheme="minorHAnsi" w:eastAsia="Times New Roman" w:hAnsiTheme="minorHAnsi"/>
          <w:lang w:eastAsia="en-GB"/>
        </w:rPr>
        <w:t>contribution story</w:t>
      </w:r>
      <w:r w:rsidR="005530D3">
        <w:rPr>
          <w:rFonts w:asciiTheme="minorHAnsi" w:eastAsia="Times New Roman" w:hAnsiTheme="minorHAnsi"/>
          <w:lang w:eastAsia="en-GB"/>
        </w:rPr>
        <w:t>’</w:t>
      </w:r>
      <w:r w:rsidR="005530D3" w:rsidRPr="00303B1D">
        <w:rPr>
          <w:rFonts w:asciiTheme="minorHAnsi" w:eastAsia="Times New Roman" w:hAnsiTheme="minorHAnsi"/>
          <w:lang w:eastAsia="en-GB"/>
        </w:rPr>
        <w:t xml:space="preserve"> with grantees, the MA and external stakeholders such as other </w:t>
      </w:r>
      <w:r w:rsidR="00EA2532">
        <w:rPr>
          <w:rFonts w:asciiTheme="minorHAnsi" w:eastAsia="Times New Roman" w:hAnsiTheme="minorHAnsi"/>
          <w:lang w:eastAsia="en-GB"/>
        </w:rPr>
        <w:t>d</w:t>
      </w:r>
      <w:r w:rsidR="005530D3" w:rsidRPr="00EA2532">
        <w:rPr>
          <w:rFonts w:asciiTheme="minorHAnsi" w:eastAsia="Times New Roman" w:hAnsiTheme="minorHAnsi"/>
          <w:lang w:eastAsia="en-GB"/>
        </w:rPr>
        <w:t xml:space="preserve">evelopment </w:t>
      </w:r>
      <w:r w:rsidR="00EA2532">
        <w:rPr>
          <w:rFonts w:asciiTheme="minorHAnsi" w:eastAsia="Times New Roman" w:hAnsiTheme="minorHAnsi"/>
          <w:lang w:eastAsia="en-GB"/>
        </w:rPr>
        <w:t>p</w:t>
      </w:r>
      <w:r w:rsidR="005530D3" w:rsidRPr="00EA2532">
        <w:rPr>
          <w:rFonts w:asciiTheme="minorHAnsi" w:eastAsia="Times New Roman" w:hAnsiTheme="minorHAnsi"/>
          <w:lang w:eastAsia="en-GB"/>
        </w:rPr>
        <w:t>artners.</w:t>
      </w:r>
    </w:p>
    <w:p w14:paraId="13DC9723" w14:textId="0930CF09" w:rsidR="005530D3" w:rsidRPr="005530D3" w:rsidRDefault="005530D3" w:rsidP="005530D3">
      <w:pPr>
        <w:pStyle w:val="ItadNormalText"/>
        <w:rPr>
          <w:rFonts w:asciiTheme="minorHAnsi" w:hAnsiTheme="minorHAnsi"/>
        </w:rPr>
        <w:sectPr w:rsidR="005530D3" w:rsidRPr="005530D3" w:rsidSect="004503BD">
          <w:headerReference w:type="first" r:id="rId31"/>
          <w:footerReference w:type="first" r:id="rId32"/>
          <w:pgSz w:w="11900" w:h="16840" w:code="9"/>
          <w:pgMar w:top="1134" w:right="1701" w:bottom="1134" w:left="1701" w:header="720" w:footer="680" w:gutter="0"/>
          <w:pgNumType w:start="1"/>
          <w:cols w:space="720"/>
          <w:docGrid w:linePitch="360"/>
        </w:sectPr>
      </w:pPr>
      <w:r w:rsidRPr="25431D89">
        <w:rPr>
          <w:rFonts w:asciiTheme="minorHAnsi" w:eastAsia="Times New Roman" w:hAnsiTheme="minorHAnsi"/>
          <w:lang w:eastAsia="en-GB"/>
        </w:rPr>
        <w:t xml:space="preserve">For standardisation and given that what the Fleming Fund is trying to achieve in each country is fairly similar, we </w:t>
      </w:r>
      <w:r w:rsidR="0099448D">
        <w:rPr>
          <w:rFonts w:asciiTheme="minorHAnsi" w:eastAsia="Times New Roman" w:hAnsiTheme="minorHAnsi"/>
          <w:lang w:eastAsia="en-GB"/>
        </w:rPr>
        <w:t>used</w:t>
      </w:r>
      <w:r w:rsidRPr="25431D89">
        <w:rPr>
          <w:rFonts w:asciiTheme="minorHAnsi" w:eastAsia="Times New Roman" w:hAnsiTheme="minorHAnsi"/>
          <w:lang w:eastAsia="en-GB"/>
        </w:rPr>
        <w:t xml:space="preserve"> a standardised country-level </w:t>
      </w:r>
      <w:r w:rsidR="00BC52F2">
        <w:rPr>
          <w:rFonts w:asciiTheme="minorHAnsi" w:eastAsia="Times New Roman" w:hAnsiTheme="minorHAnsi"/>
          <w:lang w:eastAsia="en-GB"/>
        </w:rPr>
        <w:t>ToC</w:t>
      </w:r>
      <w:r w:rsidRPr="25431D89">
        <w:rPr>
          <w:rFonts w:asciiTheme="minorHAnsi" w:eastAsia="Times New Roman" w:hAnsiTheme="minorHAnsi"/>
          <w:lang w:eastAsia="en-GB"/>
        </w:rPr>
        <w:t xml:space="preserve"> </w:t>
      </w:r>
      <w:r>
        <w:rPr>
          <w:rFonts w:asciiTheme="minorHAnsi" w:eastAsia="Times New Roman" w:hAnsiTheme="minorHAnsi"/>
          <w:lang w:eastAsia="en-GB"/>
        </w:rPr>
        <w:t>(</w:t>
      </w:r>
      <w:r w:rsidR="00B702C4">
        <w:rPr>
          <w:rFonts w:asciiTheme="minorHAnsi" w:eastAsia="Times New Roman" w:hAnsiTheme="minorHAnsi"/>
          <w:lang w:eastAsia="en-GB"/>
        </w:rPr>
        <w:fldChar w:fldCharType="begin"/>
      </w:r>
      <w:r w:rsidR="00B702C4">
        <w:rPr>
          <w:rFonts w:asciiTheme="minorHAnsi" w:eastAsia="Times New Roman" w:hAnsiTheme="minorHAnsi"/>
          <w:lang w:eastAsia="en-GB"/>
        </w:rPr>
        <w:instrText xml:space="preserve"> REF _Ref118377304 \h </w:instrText>
      </w:r>
      <w:r w:rsidR="00B702C4">
        <w:rPr>
          <w:rFonts w:asciiTheme="minorHAnsi" w:eastAsia="Times New Roman" w:hAnsiTheme="minorHAnsi"/>
          <w:lang w:eastAsia="en-GB"/>
        </w:rPr>
      </w:r>
      <w:r w:rsidR="00B702C4">
        <w:rPr>
          <w:rFonts w:asciiTheme="minorHAnsi" w:eastAsia="Times New Roman" w:hAnsiTheme="minorHAnsi"/>
          <w:lang w:eastAsia="en-GB"/>
        </w:rPr>
        <w:fldChar w:fldCharType="separate"/>
      </w:r>
      <w:r w:rsidR="009A383C">
        <w:t xml:space="preserve">Figure </w:t>
      </w:r>
      <w:r w:rsidR="009A383C">
        <w:rPr>
          <w:noProof/>
        </w:rPr>
        <w:t>5</w:t>
      </w:r>
      <w:r w:rsidR="00B702C4">
        <w:rPr>
          <w:rFonts w:asciiTheme="minorHAnsi" w:eastAsia="Times New Roman" w:hAnsiTheme="minorHAnsi"/>
          <w:lang w:eastAsia="en-GB"/>
        </w:rPr>
        <w:fldChar w:fldCharType="end"/>
      </w:r>
      <w:r>
        <w:rPr>
          <w:rFonts w:asciiTheme="minorHAnsi" w:eastAsia="Times New Roman" w:hAnsiTheme="minorHAnsi"/>
          <w:lang w:eastAsia="en-GB"/>
        </w:rPr>
        <w:t xml:space="preserve">) </w:t>
      </w:r>
      <w:r w:rsidRPr="25431D89">
        <w:rPr>
          <w:rFonts w:asciiTheme="minorHAnsi" w:eastAsia="Times New Roman" w:hAnsiTheme="minorHAnsi"/>
          <w:lang w:eastAsia="en-GB"/>
        </w:rPr>
        <w:t>based on the Fleming Fund portfolio level ToC and further thinking done during the design phase of the summative evaluation.</w:t>
      </w:r>
      <w:bookmarkEnd w:id="50"/>
      <w:r w:rsidRPr="25431D89">
        <w:rPr>
          <w:rFonts w:asciiTheme="minorHAnsi" w:eastAsia="Times New Roman" w:hAnsiTheme="minorHAnsi"/>
          <w:lang w:eastAsia="en-GB"/>
        </w:rPr>
        <w:t xml:space="preserve"> </w:t>
      </w:r>
    </w:p>
    <w:p w14:paraId="2E836308" w14:textId="43B6B67F" w:rsidR="002D494C" w:rsidRDefault="007A52A7" w:rsidP="002D494C">
      <w:pPr>
        <w:pStyle w:val="NormalWeb"/>
        <w:keepNext/>
        <w:jc w:val="center"/>
      </w:pPr>
      <w:r>
        <w:rPr>
          <w:noProof/>
        </w:rPr>
        <w:drawing>
          <wp:inline distT="0" distB="0" distL="0" distR="0" wp14:anchorId="294154A2" wp14:editId="487F133E">
            <wp:extent cx="9023350" cy="4594651"/>
            <wp:effectExtent l="0" t="0" r="6350" b="0"/>
            <wp:docPr id="1415503938" name="Picture 14155039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503938" name="Picture 1415503938" descr="Diagram&#10;&#10;Description automatically generated"/>
                    <pic:cNvPicPr/>
                  </pic:nvPicPr>
                  <pic:blipFill>
                    <a:blip r:embed="rId33"/>
                    <a:stretch>
                      <a:fillRect/>
                    </a:stretch>
                  </pic:blipFill>
                  <pic:spPr>
                    <a:xfrm>
                      <a:off x="0" y="0"/>
                      <a:ext cx="9032728" cy="4599426"/>
                    </a:xfrm>
                    <a:prstGeom prst="rect">
                      <a:avLst/>
                    </a:prstGeom>
                  </pic:spPr>
                </pic:pic>
              </a:graphicData>
            </a:graphic>
          </wp:inline>
        </w:drawing>
      </w:r>
    </w:p>
    <w:p w14:paraId="6E20A5C2" w14:textId="25D4386D" w:rsidR="005530D3" w:rsidRDefault="002D494C" w:rsidP="00C04C3C">
      <w:pPr>
        <w:pStyle w:val="ItadCaption"/>
      </w:pPr>
      <w:bookmarkStart w:id="51" w:name="_Ref118377304"/>
      <w:bookmarkStart w:id="52" w:name="_Toc143858059"/>
      <w:r>
        <w:t xml:space="preserve">Figure </w:t>
      </w:r>
      <w:r>
        <w:fldChar w:fldCharType="begin"/>
      </w:r>
      <w:r>
        <w:instrText>SEQ Figure \* ARABIC</w:instrText>
      </w:r>
      <w:r>
        <w:fldChar w:fldCharType="separate"/>
      </w:r>
      <w:r w:rsidR="009A383C">
        <w:rPr>
          <w:noProof/>
        </w:rPr>
        <w:t>5</w:t>
      </w:r>
      <w:r>
        <w:fldChar w:fldCharType="end"/>
      </w:r>
      <w:bookmarkEnd w:id="51"/>
      <w:r>
        <w:t xml:space="preserve"> </w:t>
      </w:r>
      <w:r w:rsidRPr="00005AD0">
        <w:t>Fleming Fund country-level ToC for contribution analysis</w:t>
      </w:r>
      <w:bookmarkEnd w:id="52"/>
    </w:p>
    <w:p w14:paraId="388E6C36" w14:textId="77777777" w:rsidR="005530D3" w:rsidRDefault="005530D3" w:rsidP="007A3C76">
      <w:pPr>
        <w:pStyle w:val="ItadNormalText"/>
        <w:sectPr w:rsidR="005530D3" w:rsidSect="00235A15">
          <w:headerReference w:type="first" r:id="rId34"/>
          <w:footerReference w:type="first" r:id="rId35"/>
          <w:pgSz w:w="16840" w:h="11900" w:orient="landscape"/>
          <w:pgMar w:top="1191" w:right="1134" w:bottom="1191" w:left="1134" w:header="720" w:footer="255" w:gutter="0"/>
          <w:cols w:space="720"/>
          <w:titlePg/>
          <w:docGrid w:linePitch="360"/>
        </w:sectPr>
      </w:pPr>
    </w:p>
    <w:p w14:paraId="64B60FD5" w14:textId="174C1002" w:rsidR="007A3C76" w:rsidRDefault="004B5AF7" w:rsidP="007A3C76">
      <w:pPr>
        <w:pStyle w:val="ItadNormalText"/>
      </w:pPr>
      <w:bookmarkStart w:id="53" w:name="_Hlk129564683"/>
      <w:r w:rsidRPr="00833EE8">
        <w:rPr>
          <w:b/>
        </w:rPr>
        <w:t>Annex 8 (</w:t>
      </w:r>
      <w:r w:rsidR="007A3C76" w:rsidRPr="00833EE8">
        <w:rPr>
          <w:b/>
        </w:rPr>
        <w:t>on quantity</w:t>
      </w:r>
      <w:r w:rsidRPr="00833EE8">
        <w:rPr>
          <w:b/>
        </w:rPr>
        <w:t xml:space="preserve"> and</w:t>
      </w:r>
      <w:r w:rsidR="007A3C76" w:rsidRPr="00833EE8">
        <w:rPr>
          <w:b/>
        </w:rPr>
        <w:t xml:space="preserve"> quality)</w:t>
      </w:r>
      <w:r w:rsidRPr="00833EE8">
        <w:rPr>
          <w:b/>
        </w:rPr>
        <w:t xml:space="preserve"> and section</w:t>
      </w:r>
      <w:r w:rsidR="007A3C76" w:rsidRPr="00833EE8">
        <w:rPr>
          <w:b/>
        </w:rPr>
        <w:t xml:space="preserve"> </w:t>
      </w:r>
      <w:r w:rsidR="00AA7BDC" w:rsidRPr="00833EE8">
        <w:rPr>
          <w:b/>
        </w:rPr>
        <w:t>1.3.4</w:t>
      </w:r>
      <w:r w:rsidR="007A3C76" w:rsidRPr="00833EE8">
        <w:rPr>
          <w:b/>
        </w:rPr>
        <w:t xml:space="preserve"> (on data use) </w:t>
      </w:r>
      <w:r w:rsidR="007A3C76" w:rsidRPr="00833EE8">
        <w:t>set out the</w:t>
      </w:r>
      <w:r w:rsidR="007A3C76" w:rsidRPr="00133B35">
        <w:t xml:space="preserve"> methodology we </w:t>
      </w:r>
      <w:r w:rsidR="00ED4F06">
        <w:t>have</w:t>
      </w:r>
      <w:r w:rsidR="007A3C76" w:rsidRPr="00133B35">
        <w:t xml:space="preserve"> appl</w:t>
      </w:r>
      <w:r w:rsidR="00ED4F06">
        <w:t>ied</w:t>
      </w:r>
      <w:r w:rsidR="007A3C76">
        <w:t xml:space="preserve"> to measure what changes in these areas </w:t>
      </w:r>
      <w:r w:rsidR="000A6E05">
        <w:t>could be observed</w:t>
      </w:r>
      <w:r w:rsidR="007A3C76">
        <w:t xml:space="preserve"> at the </w:t>
      </w:r>
      <w:r w:rsidR="00A72AAD">
        <w:t xml:space="preserve">time </w:t>
      </w:r>
      <w:r w:rsidR="007A3C76">
        <w:t>of data collection in 2022</w:t>
      </w:r>
      <w:r w:rsidR="00A72AAD">
        <w:t>,</w:t>
      </w:r>
      <w:r w:rsidR="007A3C76">
        <w:t xml:space="preserve"> compared to the baseline we have collected (2018). </w:t>
      </w:r>
    </w:p>
    <w:bookmarkEnd w:id="53"/>
    <w:p w14:paraId="27AAAFD3" w14:textId="77777777" w:rsidR="00D970EC" w:rsidRPr="0072406A" w:rsidRDefault="00D970EC" w:rsidP="0066738F">
      <w:pPr>
        <w:pStyle w:val="ItadH4"/>
      </w:pPr>
      <w:r w:rsidRPr="0072406A">
        <w:t xml:space="preserve">Why is contribution analysis an appropriate method for this evaluation? </w:t>
      </w:r>
    </w:p>
    <w:p w14:paraId="5A27F3BD" w14:textId="174DECFD" w:rsidR="00D970EC" w:rsidRDefault="002B6D96" w:rsidP="00D970EC">
      <w:pPr>
        <w:spacing w:after="160" w:line="259" w:lineRule="auto"/>
        <w:jc w:val="both"/>
      </w:pPr>
      <w:r>
        <w:t>C</w:t>
      </w:r>
      <w:r w:rsidR="00821E23">
        <w:t xml:space="preserve">ontribution </w:t>
      </w:r>
      <w:r w:rsidR="008764B5">
        <w:t>analysis</w:t>
      </w:r>
      <w:r>
        <w:t xml:space="preserve"> </w:t>
      </w:r>
      <w:r w:rsidR="00821E23">
        <w:t>was</w:t>
      </w:r>
      <w:r w:rsidR="00D970EC">
        <w:t xml:space="preserve"> an appropriate method </w:t>
      </w:r>
      <w:r w:rsidR="00A44110">
        <w:t xml:space="preserve">because </w:t>
      </w:r>
      <w:r w:rsidR="00D970EC">
        <w:t>the stakeholders</w:t>
      </w:r>
      <w:r w:rsidR="00A44110">
        <w:t xml:space="preserve"> wanted</w:t>
      </w:r>
      <w:r w:rsidR="00D970EC">
        <w:t xml:space="preserve"> to understand what works and why, and the complex multistakeholder field in which AMR interventions are being implemented. A number of methods were considered for answering these questions. Experimental and quasi-experimental methods were rejected because the basic pre-conditions needed for credibly using such methods </w:t>
      </w:r>
      <w:r w:rsidR="00FA2C15">
        <w:t xml:space="preserve">were </w:t>
      </w:r>
      <w:r w:rsidR="00D970EC">
        <w:t>not in place. Basically, given the bottom</w:t>
      </w:r>
      <w:r w:rsidR="00CB16D3">
        <w:t>-</w:t>
      </w:r>
      <w:r w:rsidR="00D970EC">
        <w:t xml:space="preserve">up implementation design process used, the ’treatment’ in each country and surveillance system, </w:t>
      </w:r>
      <w:r w:rsidR="00834930">
        <w:t xml:space="preserve">would </w:t>
      </w:r>
      <w:r w:rsidR="00D970EC">
        <w:t xml:space="preserve">be different, while all other factors </w:t>
      </w:r>
      <w:r w:rsidR="00AF1938">
        <w:t>would</w:t>
      </w:r>
      <w:r w:rsidR="00D970EC">
        <w:t xml:space="preserve"> not be the same across the 23 countries, while change is likely to come from the complex interaction of </w:t>
      </w:r>
      <w:r w:rsidR="00CB16D3">
        <w:t>several</w:t>
      </w:r>
      <w:r w:rsidR="00D970EC">
        <w:t xml:space="preserve"> factors. As flagged in a 2012 paper on impact evaluation for</w:t>
      </w:r>
      <w:r w:rsidR="00AF1938">
        <w:t xml:space="preserve"> the</w:t>
      </w:r>
      <w:r w:rsidR="00D970EC">
        <w:t xml:space="preserve"> </w:t>
      </w:r>
      <w:r w:rsidR="002F40D4" w:rsidRPr="002F40D4">
        <w:t xml:space="preserve">Department for International </w:t>
      </w:r>
      <w:r w:rsidR="002F40D4" w:rsidRPr="00C0704B">
        <w:t>Development (</w:t>
      </w:r>
      <w:r w:rsidR="00D970EC" w:rsidRPr="00C0704B">
        <w:t>DFID</w:t>
      </w:r>
      <w:r w:rsidR="002F40D4" w:rsidRPr="00C0704B">
        <w:t>)</w:t>
      </w:r>
      <w:r w:rsidR="00C0704B">
        <w:rPr>
          <w:rStyle w:val="FootnoteReference"/>
        </w:rPr>
        <w:footnoteReference w:id="12"/>
      </w:r>
      <w:r w:rsidR="00D970EC">
        <w:t xml:space="preserve"> there are </w:t>
      </w:r>
      <w:r w:rsidR="00CB16D3">
        <w:t>many</w:t>
      </w:r>
      <w:r w:rsidR="00D970EC">
        <w:t xml:space="preserve"> alternative theory-based methods we could have selected but we chose </w:t>
      </w:r>
      <w:r w:rsidR="009001CB">
        <w:t>contribution analysis</w:t>
      </w:r>
      <w:r>
        <w:t xml:space="preserve"> </w:t>
      </w:r>
      <w:r w:rsidR="00D970EC">
        <w:t>as the most appropriate for the following reasons. First, it is currently the main method used in development evaluation when using theory-based methods to verify a programme’s theory, based on evaluation of empirical evidence, and we have strong and extensive experience in how to use it well. Second, it is the method that other stakeholders are most likely to be familiar with, which enhances the possibilit</w:t>
      </w:r>
      <w:r w:rsidR="00AA7BDC">
        <w:t>y</w:t>
      </w:r>
      <w:r w:rsidR="00D970EC">
        <w:t xml:space="preserve"> of their getting value from the results. Third, we concluded that </w:t>
      </w:r>
      <w:r w:rsidR="00905298">
        <w:t xml:space="preserve">the </w:t>
      </w:r>
      <w:r w:rsidR="00D970EC">
        <w:t xml:space="preserve">application of the other possible methods, such as process tracing, was unlikely to deliver a significantly more credible and robust evaluation. Fourth, we </w:t>
      </w:r>
      <w:r w:rsidR="005A1C68">
        <w:t>had</w:t>
      </w:r>
      <w:r w:rsidR="00D970EC">
        <w:t xml:space="preserve"> the scope to conclude three trips through the evaluation, which enable</w:t>
      </w:r>
      <w:r w:rsidR="005A1C68">
        <w:t>d</w:t>
      </w:r>
      <w:r w:rsidR="00D970EC">
        <w:t xml:space="preserve"> us to </w:t>
      </w:r>
      <w:r w:rsidR="005A1C68">
        <w:t xml:space="preserve">iteratively </w:t>
      </w:r>
      <w:r w:rsidR="00D970EC">
        <w:t>build and refine a ‘contribution story’</w:t>
      </w:r>
      <w:r w:rsidR="005A1C68">
        <w:t>.</w:t>
      </w:r>
    </w:p>
    <w:p w14:paraId="667985EB" w14:textId="74BC63CD" w:rsidR="004066FD" w:rsidRPr="006E7ECD" w:rsidRDefault="003D1536" w:rsidP="00134C63">
      <w:pPr>
        <w:pStyle w:val="ItadH3Numbered"/>
      </w:pPr>
      <w:bookmarkStart w:id="54" w:name="_Toc118968501"/>
      <w:bookmarkStart w:id="55" w:name="_Toc142383141"/>
      <w:r>
        <w:t>Alignment and c</w:t>
      </w:r>
      <w:r w:rsidR="004066FD">
        <w:t>oherence</w:t>
      </w:r>
      <w:bookmarkEnd w:id="54"/>
      <w:bookmarkEnd w:id="55"/>
    </w:p>
    <w:p w14:paraId="7AA9FDC6" w14:textId="1C1BBD41" w:rsidR="004066FD" w:rsidRPr="005010CD" w:rsidRDefault="005010CD" w:rsidP="005010CD">
      <w:pPr>
        <w:pStyle w:val="ItadH4"/>
      </w:pPr>
      <w:r w:rsidRPr="0066738F">
        <w:t>What the method is</w:t>
      </w:r>
    </w:p>
    <w:p w14:paraId="7EB5D591" w14:textId="4DCF1EEB" w:rsidR="005A7EF3" w:rsidRDefault="005A7EF3" w:rsidP="005A7EF3">
      <w:pPr>
        <w:pStyle w:val="ItadNormalText"/>
      </w:pPr>
      <w:r>
        <w:t xml:space="preserve">According to the </w:t>
      </w:r>
      <w:r w:rsidR="00AA7BDC" w:rsidRPr="00AA7BDC">
        <w:t xml:space="preserve">Development Assistance Committee </w:t>
      </w:r>
      <w:r w:rsidR="00AA7BDC">
        <w:t>(</w:t>
      </w:r>
      <w:r>
        <w:t>DAC</w:t>
      </w:r>
      <w:r w:rsidR="00AA7BDC">
        <w:t>)</w:t>
      </w:r>
      <w:r>
        <w:t xml:space="preserve"> definition of coherence,</w:t>
      </w:r>
      <w:r>
        <w:rPr>
          <w:rStyle w:val="FootnoteReference"/>
        </w:rPr>
        <w:footnoteReference w:id="13"/>
      </w:r>
      <w:r>
        <w:t xml:space="preserve"> </w:t>
      </w:r>
      <w:r w:rsidR="00BD10FF">
        <w:t>our approach</w:t>
      </w:r>
      <w:r w:rsidR="00CB16D3">
        <w:t xml:space="preserve"> is</w:t>
      </w:r>
      <w:r>
        <w:t xml:space="preserve"> both </w:t>
      </w:r>
      <w:r w:rsidRPr="00747C2F">
        <w:rPr>
          <w:b/>
          <w:bCs/>
        </w:rPr>
        <w:t>internal coherence</w:t>
      </w:r>
      <w:r w:rsidRPr="00747C2F">
        <w:t xml:space="preserve"> (addressing the synergies and interlinkages between the intervention and other interventions carried out by the same institution/government, as well as the consistency of the intervention with the relevant international norms and standards to which that institution/government adheres) and </w:t>
      </w:r>
      <w:r w:rsidRPr="00747C2F">
        <w:rPr>
          <w:b/>
          <w:bCs/>
        </w:rPr>
        <w:t>external coherence</w:t>
      </w:r>
      <w:r w:rsidRPr="00747C2F">
        <w:t xml:space="preserve"> (considering the consistency of the intervention with other actors’ interventions in the same context</w:t>
      </w:r>
      <w:r>
        <w:t>)</w:t>
      </w:r>
      <w:r w:rsidRPr="00747C2F">
        <w:t xml:space="preserve">. This includes complementarity, harmonisation and </w:t>
      </w:r>
      <w:r w:rsidR="00245F7E">
        <w:t>coordinat</w:t>
      </w:r>
      <w:r w:rsidRPr="00747C2F">
        <w:t>ion with others, and the extent to which the intervention is adding value while avoiding duplication of effort</w:t>
      </w:r>
      <w:r>
        <w:t>)</w:t>
      </w:r>
      <w:r w:rsidRPr="00747C2F">
        <w:t>.</w:t>
      </w:r>
      <w:r>
        <w:t xml:space="preserve"> </w:t>
      </w:r>
    </w:p>
    <w:p w14:paraId="456D8612" w14:textId="77777777" w:rsidR="00967B29" w:rsidRPr="002B4181" w:rsidRDefault="00967B29" w:rsidP="00967B29">
      <w:pPr>
        <w:pStyle w:val="ItadH4"/>
        <w:rPr>
          <w:b w:val="0"/>
        </w:rPr>
      </w:pPr>
      <w:r w:rsidRPr="002B4181">
        <w:t xml:space="preserve">Which </w:t>
      </w:r>
      <w:r>
        <w:t>EQ</w:t>
      </w:r>
      <w:r w:rsidRPr="002B4181">
        <w:t>s does this method help answer?</w:t>
      </w:r>
    </w:p>
    <w:tbl>
      <w:tblPr>
        <w:tblStyle w:val="ItadPulloutBoxGrey"/>
        <w:tblpPr w:leftFromText="180" w:rightFromText="180" w:vertAnchor="text" w:horzAnchor="margin" w:tblpY="66"/>
        <w:tblW w:w="9088" w:type="dxa"/>
        <w:tblInd w:w="0" w:type="dxa"/>
        <w:tblLook w:val="04A0" w:firstRow="1" w:lastRow="0" w:firstColumn="1" w:lastColumn="0" w:noHBand="0" w:noVBand="1"/>
      </w:tblPr>
      <w:tblGrid>
        <w:gridCol w:w="9088"/>
      </w:tblGrid>
      <w:tr w:rsidR="002A5E59" w14:paraId="06391614" w14:textId="77777777">
        <w:tc>
          <w:tcPr>
            <w:tcW w:w="9088" w:type="dxa"/>
          </w:tcPr>
          <w:p w14:paraId="2B6614CF" w14:textId="77777777" w:rsidR="002A5E59" w:rsidRPr="00692E6F" w:rsidRDefault="002A5E59" w:rsidP="0008026C">
            <w:pPr>
              <w:rPr>
                <w:color w:val="3B3B3C" w:themeColor="text1"/>
              </w:rPr>
            </w:pPr>
            <w:bookmarkStart w:id="56" w:name="_Toc87226512"/>
            <w:bookmarkStart w:id="57" w:name="_Toc87265476"/>
            <w:r w:rsidRPr="0008026C">
              <w:rPr>
                <w:rFonts w:asciiTheme="minorHAnsi" w:hAnsiTheme="minorHAnsi" w:cstheme="minorHAnsi"/>
                <w:b/>
              </w:rPr>
              <w:t>EQ2</w:t>
            </w:r>
            <w:r w:rsidRPr="006D6366">
              <w:rPr>
                <w:rFonts w:asciiTheme="minorHAnsi" w:hAnsiTheme="minorHAnsi" w:cstheme="minorHAnsi"/>
              </w:rPr>
              <w:t xml:space="preserve"> </w:t>
            </w:r>
            <w:r w:rsidRPr="006D6366">
              <w:rPr>
                <w:rFonts w:asciiTheme="minorHAnsi" w:hAnsiTheme="minorHAnsi" w:cstheme="minorHAnsi"/>
                <w:b/>
                <w:bCs/>
              </w:rPr>
              <w:t>To what extent have the Fleming Fund's investments been aligned and coherent with other relevant investments at country level?</w:t>
            </w:r>
            <w:bookmarkEnd w:id="56"/>
            <w:bookmarkEnd w:id="57"/>
          </w:p>
        </w:tc>
      </w:tr>
    </w:tbl>
    <w:p w14:paraId="20CF26AC" w14:textId="03079531" w:rsidR="005A7EF3" w:rsidRDefault="005A7EF3" w:rsidP="005A7EF3">
      <w:pPr>
        <w:pStyle w:val="ItadNormalText"/>
      </w:pPr>
      <w:r>
        <w:t xml:space="preserve">While previous rounds of data collection have </w:t>
      </w:r>
      <w:r w:rsidR="00FF54BC">
        <w:t>focused</w:t>
      </w:r>
      <w:r>
        <w:t xml:space="preserve"> on approaches to internal coherence and linkages between CG, RG</w:t>
      </w:r>
      <w:r w:rsidR="00A72AAD">
        <w:t>,</w:t>
      </w:r>
      <w:r>
        <w:t xml:space="preserve"> and Fellowship investments alone, the summative evaluation </w:t>
      </w:r>
      <w:r w:rsidR="004C1705">
        <w:t>has</w:t>
      </w:r>
      <w:r>
        <w:t xml:space="preserve"> focus</w:t>
      </w:r>
      <w:r w:rsidR="004C1705">
        <w:t>ed</w:t>
      </w:r>
      <w:r>
        <w:t xml:space="preserve"> on 1. </w:t>
      </w:r>
      <w:r w:rsidR="00A72AAD">
        <w:t>alignment</w:t>
      </w:r>
      <w:r>
        <w:t xml:space="preserve"> with national priorities; 2. </w:t>
      </w:r>
      <w:r w:rsidR="00A72AAD">
        <w:t xml:space="preserve">internal </w:t>
      </w:r>
      <w:r>
        <w:t>coherence (</w:t>
      </w:r>
      <w:r w:rsidR="004C1705">
        <w:t>including</w:t>
      </w:r>
      <w:r>
        <w:t xml:space="preserve"> coherence with Global Projects); </w:t>
      </w:r>
      <w:r w:rsidR="00A72AAD">
        <w:t xml:space="preserve">and </w:t>
      </w:r>
      <w:r>
        <w:t xml:space="preserve">3. </w:t>
      </w:r>
      <w:r w:rsidR="00A72AAD">
        <w:t xml:space="preserve">external </w:t>
      </w:r>
      <w:r>
        <w:t xml:space="preserve">coherence with interventions by other DPs. We </w:t>
      </w:r>
      <w:r w:rsidR="000211EB">
        <w:t>have</w:t>
      </w:r>
      <w:r>
        <w:t xml:space="preserve"> also look</w:t>
      </w:r>
      <w:r w:rsidR="002E3064">
        <w:t>ed</w:t>
      </w:r>
      <w:r>
        <w:t xml:space="preserve"> at mechanisms to maximise alignment and coherence and to coordinate with other DPs, with a focus on Country Coordination </w:t>
      </w:r>
      <w:r w:rsidRPr="005276F4">
        <w:t xml:space="preserve">Mechanisms </w:t>
      </w:r>
      <w:r w:rsidR="00A72AAD">
        <w:t xml:space="preserve">(CCMs) </w:t>
      </w:r>
      <w:r w:rsidRPr="005276F4">
        <w:t>establish</w:t>
      </w:r>
      <w:r w:rsidRPr="006E68E0">
        <w:t>ed in 2019</w:t>
      </w:r>
      <w:r w:rsidRPr="00747C2F">
        <w:t>/</w:t>
      </w:r>
      <w:r w:rsidRPr="001409E4">
        <w:t>20.</w:t>
      </w:r>
      <w:r>
        <w:t xml:space="preserve"> </w:t>
      </w:r>
    </w:p>
    <w:p w14:paraId="2976BB90" w14:textId="465714E3" w:rsidR="5205A6E4" w:rsidRDefault="06E10E83" w:rsidP="00134C63">
      <w:pPr>
        <w:pStyle w:val="ItadH3Numbered"/>
      </w:pPr>
      <w:bookmarkStart w:id="58" w:name="_Toc118968502"/>
      <w:bookmarkStart w:id="59" w:name="_Ref120644256"/>
      <w:bookmarkStart w:id="60" w:name="_Toc142383142"/>
      <w:r w:rsidRPr="310D842E">
        <w:t>National policy agenda analysis</w:t>
      </w:r>
      <w:bookmarkEnd w:id="58"/>
      <w:bookmarkEnd w:id="59"/>
      <w:bookmarkEnd w:id="60"/>
    </w:p>
    <w:p w14:paraId="3A264B98" w14:textId="39D8E0F4" w:rsidR="5205A6E4" w:rsidRDefault="06E10E83" w:rsidP="00F40790">
      <w:pPr>
        <w:pStyle w:val="ItadH4"/>
      </w:pPr>
      <w:r w:rsidRPr="310D842E">
        <w:t xml:space="preserve">What is national policy agenda analysis and what did we use it for? </w:t>
      </w:r>
    </w:p>
    <w:p w14:paraId="05DFD9FB" w14:textId="1EF58CB1" w:rsidR="001E64D3" w:rsidRPr="00BB4743" w:rsidRDefault="06E10E83" w:rsidP="00BB4743">
      <w:pPr>
        <w:pStyle w:val="ItadNormalText"/>
      </w:pPr>
      <w:r w:rsidRPr="00BB4743">
        <w:t>National policy agenda analysis is an approach to understanding public policy which concentrates on how countries take action, based on the decisions of governments and other actors like legislatures</w:t>
      </w:r>
      <w:r w:rsidR="00A31F2A" w:rsidRPr="00BB4743">
        <w:t>.</w:t>
      </w:r>
      <w:r w:rsidRPr="00BB4743">
        <w:footnoteReference w:id="14"/>
      </w:r>
    </w:p>
    <w:p w14:paraId="32C1E71A" w14:textId="0B3170B1" w:rsidR="5205A6E4" w:rsidRDefault="06E10E83" w:rsidP="00BB4743">
      <w:pPr>
        <w:pStyle w:val="ItadNormalText"/>
      </w:pPr>
      <w:r w:rsidRPr="00BB4743">
        <w:t xml:space="preserve">We used national policy agenda analysis as a structure for assessing national-level AMR data use comparatively across </w:t>
      </w:r>
      <w:r w:rsidR="00336E96" w:rsidRPr="00BB4743">
        <w:t xml:space="preserve">the </w:t>
      </w:r>
      <w:r w:rsidR="002F1591" w:rsidRPr="00BB4743">
        <w:t>Fleming Fund</w:t>
      </w:r>
      <w:r w:rsidRPr="00BB4743">
        <w:t xml:space="preserve"> countries. This was a useful approach because it locate</w:t>
      </w:r>
      <w:r w:rsidR="00DA6EA8" w:rsidRPr="00BB4743">
        <w:t>d</w:t>
      </w:r>
      <w:r w:rsidRPr="00BB4743">
        <w:t xml:space="preserve"> national AMR data use in the context of broader political economy </w:t>
      </w:r>
      <w:r w:rsidR="00645345" w:rsidRPr="00BB4743">
        <w:t>(PE)</w:t>
      </w:r>
      <w:r w:rsidRPr="00BB4743">
        <w:t xml:space="preserve"> dynamics.</w:t>
      </w:r>
    </w:p>
    <w:p w14:paraId="32806F4C" w14:textId="7D99FA8F" w:rsidR="5205A6E4" w:rsidRDefault="06E10E83" w:rsidP="00F40790">
      <w:pPr>
        <w:pStyle w:val="ItadH4"/>
      </w:pPr>
      <w:r w:rsidRPr="00F40790">
        <w:t xml:space="preserve">Which evaluation question does this method help answer? </w:t>
      </w:r>
    </w:p>
    <w:p w14:paraId="722BA037" w14:textId="14931758" w:rsidR="5205A6E4" w:rsidRDefault="06E10E83" w:rsidP="310D842E">
      <w:pPr>
        <w:jc w:val="both"/>
      </w:pPr>
      <w:r w:rsidRPr="310D842E">
        <w:rPr>
          <w:rFonts w:eastAsia="Calibri" w:cs="Calibri"/>
        </w:rPr>
        <w:t xml:space="preserve">This method will be used to answer the following evaluation question: </w:t>
      </w:r>
    </w:p>
    <w:tbl>
      <w:tblPr>
        <w:tblStyle w:val="ItadPulloutBoxGrey"/>
        <w:tblpPr w:leftFromText="180" w:rightFromText="180" w:vertAnchor="text" w:horzAnchor="margin" w:tblpY="66"/>
        <w:tblW w:w="9088" w:type="dxa"/>
        <w:tblInd w:w="0" w:type="dxa"/>
        <w:tblLook w:val="04A0" w:firstRow="1" w:lastRow="0" w:firstColumn="1" w:lastColumn="0" w:noHBand="0" w:noVBand="1"/>
      </w:tblPr>
      <w:tblGrid>
        <w:gridCol w:w="9088"/>
      </w:tblGrid>
      <w:tr w:rsidR="00DA5014" w14:paraId="533D58CA" w14:textId="77777777" w:rsidTr="008C1BFD">
        <w:tc>
          <w:tcPr>
            <w:tcW w:w="9088" w:type="dxa"/>
          </w:tcPr>
          <w:p w14:paraId="0EAE63F5" w14:textId="156998D7" w:rsidR="00DA5014" w:rsidRPr="00692E6F" w:rsidRDefault="00DA5014" w:rsidP="008C1BFD">
            <w:pPr>
              <w:rPr>
                <w:color w:val="3B3B3C" w:themeColor="text1"/>
              </w:rPr>
            </w:pPr>
            <w:r w:rsidRPr="0008026C">
              <w:rPr>
                <w:rFonts w:asciiTheme="minorHAnsi" w:hAnsiTheme="minorHAnsi" w:cstheme="minorHAnsi"/>
                <w:b/>
              </w:rPr>
              <w:t>EQ</w:t>
            </w:r>
            <w:r>
              <w:rPr>
                <w:rFonts w:asciiTheme="minorHAnsi" w:hAnsiTheme="minorHAnsi" w:cstheme="minorHAnsi"/>
                <w:b/>
              </w:rPr>
              <w:t xml:space="preserve">4 </w:t>
            </w:r>
            <w:r w:rsidRPr="00F44D05">
              <w:rPr>
                <w:rFonts w:asciiTheme="minorHAnsi" w:hAnsiTheme="minorHAnsi" w:cstheme="minorHAnsi"/>
                <w:bCs/>
              </w:rPr>
              <w:t>Has, or is it likely that, the increase in AMR data influenced: a) changes in national policies/</w:t>
            </w:r>
            <w:r w:rsidR="007458AC">
              <w:rPr>
                <w:rFonts w:asciiTheme="minorHAnsi" w:hAnsiTheme="minorHAnsi" w:cstheme="minorHAnsi"/>
                <w:bCs/>
              </w:rPr>
              <w:t xml:space="preserve"> </w:t>
            </w:r>
            <w:r w:rsidRPr="00F44D05">
              <w:rPr>
                <w:rFonts w:asciiTheme="minorHAnsi" w:hAnsiTheme="minorHAnsi" w:cstheme="minorHAnsi"/>
                <w:bCs/>
              </w:rPr>
              <w:t xml:space="preserve">regulations? and/or b) changes in practice and attitudes </w:t>
            </w:r>
            <w:r w:rsidR="00F44D05" w:rsidRPr="00F44D05">
              <w:rPr>
                <w:rFonts w:asciiTheme="minorHAnsi" w:hAnsiTheme="minorHAnsi" w:cstheme="minorHAnsi"/>
                <w:bCs/>
              </w:rPr>
              <w:t>in country?</w:t>
            </w:r>
            <w:r w:rsidR="00F44D05">
              <w:rPr>
                <w:rFonts w:asciiTheme="minorHAnsi" w:hAnsiTheme="minorHAnsi" w:cstheme="minorHAnsi"/>
                <w:b/>
                <w:bCs/>
              </w:rPr>
              <w:t xml:space="preserve"> </w:t>
            </w:r>
          </w:p>
        </w:tc>
      </w:tr>
    </w:tbl>
    <w:p w14:paraId="72CA73F9" w14:textId="34649FEE" w:rsidR="5205A6E4" w:rsidRDefault="06E10E83" w:rsidP="00F40790">
      <w:pPr>
        <w:pStyle w:val="ItadH4"/>
      </w:pPr>
      <w:r w:rsidRPr="00F40790">
        <w:t xml:space="preserve">How we applied the method </w:t>
      </w:r>
    </w:p>
    <w:p w14:paraId="055156A2" w14:textId="703AC379" w:rsidR="5205A6E4" w:rsidRDefault="06E10E83" w:rsidP="00BB4743">
      <w:pPr>
        <w:pStyle w:val="ItadNormalText"/>
      </w:pPr>
      <w:r w:rsidRPr="310D842E">
        <w:t>Our application of national policy agenda analysis in this instance drew on two main approaches</w:t>
      </w:r>
      <w:r w:rsidR="00DA6EA8">
        <w:t>,</w:t>
      </w:r>
      <w:r w:rsidRPr="310D842E">
        <w:t xml:space="preserve"> </w:t>
      </w:r>
      <w:r w:rsidR="00FB56B8">
        <w:t xml:space="preserve">the </w:t>
      </w:r>
      <w:r w:rsidRPr="310D842E">
        <w:t xml:space="preserve">process from necessary and sufficient analysis; and theory from Multiple Streams Analysis (MSA). We used necessary </w:t>
      </w:r>
      <w:r w:rsidR="00DA6EA8">
        <w:t>and</w:t>
      </w:r>
      <w:r w:rsidRPr="310D842E">
        <w:t xml:space="preserve"> sufficient analysis to assess whether conditions are in place that make it plausible to believe that AMR surveillance data will be used to affect policy/regulatory behaviour change at the national level. </w:t>
      </w:r>
      <w:r w:rsidR="13E954BC" w:rsidRPr="310D842E">
        <w:t>This analysis was in turn based on Kingdon’s multiple streams framewor</w:t>
      </w:r>
      <w:r w:rsidR="13E954BC" w:rsidRPr="06450652">
        <w:rPr>
          <w:color w:val="000000"/>
        </w:rPr>
        <w:t>k</w:t>
      </w:r>
      <w:r w:rsidR="00FC6A03">
        <w:rPr>
          <w:rStyle w:val="FootnoteReference"/>
          <w:rFonts w:eastAsia="Calibri"/>
          <w:color w:val="000000"/>
        </w:rPr>
        <w:footnoteReference w:id="15"/>
      </w:r>
      <w:r w:rsidR="13E954BC" w:rsidRPr="310D842E">
        <w:t xml:space="preserve"> which is a well-developed theory explaining how policy processes happen, how evidence can contribute to them and what other conditions need to be in place for successful evidence-informed policymaking. See </w:t>
      </w:r>
      <w:r w:rsidR="13E954BC" w:rsidRPr="005663C3">
        <w:t xml:space="preserve">Annex </w:t>
      </w:r>
      <w:r w:rsidR="001603DD">
        <w:t>9</w:t>
      </w:r>
      <w:r w:rsidRPr="310D842E">
        <w:t xml:space="preserve"> for more detail on Kingdon’s approach and the results of our MSA</w:t>
      </w:r>
      <w:r w:rsidR="15231D03">
        <w:t>.</w:t>
      </w:r>
    </w:p>
    <w:p w14:paraId="0416B4C6" w14:textId="08F4292E" w:rsidR="5205A6E4" w:rsidRDefault="06E10E83" w:rsidP="00BB4743">
      <w:pPr>
        <w:pStyle w:val="ItadNormalText"/>
      </w:pPr>
      <w:r w:rsidRPr="310D842E">
        <w:t xml:space="preserve">Our approach included </w:t>
      </w:r>
      <w:r w:rsidR="00886353">
        <w:t>six</w:t>
      </w:r>
      <w:r w:rsidR="00886353" w:rsidRPr="310D842E">
        <w:t xml:space="preserve"> </w:t>
      </w:r>
      <w:r w:rsidRPr="310D842E">
        <w:t xml:space="preserve">steps as shown in </w:t>
      </w:r>
      <w:r w:rsidR="005162FE">
        <w:fldChar w:fldCharType="begin"/>
      </w:r>
      <w:r w:rsidR="005162FE">
        <w:instrText xml:space="preserve"> REF _Ref120644872 \h </w:instrText>
      </w:r>
      <w:r w:rsidR="00FB56B8">
        <w:instrText xml:space="preserve"> \* MERGEFORMAT </w:instrText>
      </w:r>
      <w:r w:rsidR="005162FE">
        <w:fldChar w:fldCharType="separate"/>
      </w:r>
      <w:r w:rsidR="009A383C">
        <w:t xml:space="preserve">Figure </w:t>
      </w:r>
      <w:r w:rsidR="009A383C">
        <w:rPr>
          <w:noProof/>
        </w:rPr>
        <w:t>6</w:t>
      </w:r>
      <w:r w:rsidR="005162FE">
        <w:fldChar w:fldCharType="end"/>
      </w:r>
      <w:r w:rsidR="005162FE">
        <w:t>,</w:t>
      </w:r>
      <w:r w:rsidR="00B702C4">
        <w:rPr>
          <w:color w:val="000000"/>
        </w:rPr>
        <w:t xml:space="preserve"> </w:t>
      </w:r>
      <w:r w:rsidRPr="310D842E">
        <w:t>and described in more detail below</w:t>
      </w:r>
      <w:r w:rsidRPr="310D842E">
        <w:rPr>
          <w:i/>
          <w:iCs/>
        </w:rPr>
        <w:t>.</w:t>
      </w:r>
      <w:r w:rsidRPr="310D842E">
        <w:t xml:space="preserve"> </w:t>
      </w:r>
    </w:p>
    <w:p w14:paraId="469EE2E5" w14:textId="77777777" w:rsidR="00B702C4" w:rsidRDefault="253FFE99" w:rsidP="00B702C4">
      <w:pPr>
        <w:keepNext/>
        <w:jc w:val="both"/>
      </w:pPr>
      <w:r>
        <w:rPr>
          <w:noProof/>
        </w:rPr>
        <w:drawing>
          <wp:inline distT="0" distB="0" distL="0" distR="0" wp14:anchorId="5E3E7168" wp14:editId="0AD84EB0">
            <wp:extent cx="4572000" cy="628650"/>
            <wp:effectExtent l="0" t="0" r="0" b="0"/>
            <wp:docPr id="1977043185" name="Picture 197704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4572000" cy="628650"/>
                    </a:xfrm>
                    <a:prstGeom prst="rect">
                      <a:avLst/>
                    </a:prstGeom>
                  </pic:spPr>
                </pic:pic>
              </a:graphicData>
            </a:graphic>
          </wp:inline>
        </w:drawing>
      </w:r>
    </w:p>
    <w:p w14:paraId="002ED5F8" w14:textId="5E663E9B" w:rsidR="5205A6E4" w:rsidRDefault="00B702C4" w:rsidP="00C04C3C">
      <w:pPr>
        <w:pStyle w:val="ItadCaption"/>
      </w:pPr>
      <w:bookmarkStart w:id="61" w:name="_Ref120644872"/>
      <w:bookmarkStart w:id="62" w:name="_Toc143858060"/>
      <w:r>
        <w:t xml:space="preserve">Figure </w:t>
      </w:r>
      <w:r>
        <w:fldChar w:fldCharType="begin"/>
      </w:r>
      <w:r>
        <w:instrText>SEQ Figure \* ARABIC</w:instrText>
      </w:r>
      <w:r>
        <w:fldChar w:fldCharType="separate"/>
      </w:r>
      <w:r w:rsidR="009A383C">
        <w:rPr>
          <w:noProof/>
        </w:rPr>
        <w:t>6</w:t>
      </w:r>
      <w:r>
        <w:fldChar w:fldCharType="end"/>
      </w:r>
      <w:bookmarkEnd w:id="61"/>
      <w:r>
        <w:t xml:space="preserve"> </w:t>
      </w:r>
      <w:r w:rsidRPr="00F21CC8">
        <w:t>Six steps of necessary and sufficient analysis</w:t>
      </w:r>
      <w:bookmarkEnd w:id="62"/>
    </w:p>
    <w:p w14:paraId="0CBD57BF" w14:textId="37D5ABA2" w:rsidR="5205A6E4" w:rsidRPr="00FA3EC3" w:rsidRDefault="06E10E83" w:rsidP="00FA3EC3">
      <w:pPr>
        <w:rPr>
          <w:rFonts w:eastAsia="Calibri" w:cs="Calibri"/>
          <w:b/>
        </w:rPr>
      </w:pPr>
      <w:bookmarkStart w:id="63" w:name="_Hlk121867140"/>
      <w:r w:rsidRPr="00FA3EC3">
        <w:rPr>
          <w:rFonts w:eastAsia="Calibri" w:cs="Calibri"/>
          <w:b/>
        </w:rPr>
        <w:t xml:space="preserve">Step 1. Identifying the outcomes prioritised by the AMR Coordinating Committee or other key stakeholders. </w:t>
      </w:r>
    </w:p>
    <w:p w14:paraId="7E836137" w14:textId="6981E381" w:rsidR="00FB56B8" w:rsidRDefault="06E10E83" w:rsidP="00FB56B8">
      <w:pPr>
        <w:pStyle w:val="ItadNormalText"/>
      </w:pPr>
      <w:r w:rsidRPr="310D842E">
        <w:t>In any one country, there are multiple outcomes where change may plausibly happen.</w:t>
      </w:r>
      <w:r w:rsidRPr="310D842E">
        <w:rPr>
          <w:b/>
          <w:bCs/>
        </w:rPr>
        <w:t xml:space="preserve"> </w:t>
      </w:r>
      <w:r w:rsidRPr="310D842E">
        <w:t xml:space="preserve">Additionally, how </w:t>
      </w:r>
      <w:r w:rsidR="00FE4649">
        <w:t xml:space="preserve">the </w:t>
      </w:r>
      <w:r w:rsidRPr="310D842E">
        <w:t>use of more or better-quality evidence on AMR might contribute to change at</w:t>
      </w:r>
      <w:r w:rsidR="00354171">
        <w:t xml:space="preserve"> the</w:t>
      </w:r>
      <w:r w:rsidRPr="310D842E">
        <w:t xml:space="preserve"> outcome level will vary significantly both within and between outcomes. For instance, the role of evidence in changing government policy or regulation is different from in a stewardship initiative within a health facility or nationally. Working with the MA</w:t>
      </w:r>
      <w:r w:rsidR="00193B05">
        <w:t>,</w:t>
      </w:r>
      <w:r w:rsidRPr="310D842E">
        <w:t xml:space="preserve"> we were able to identify the outcomes that have been prioritised by AMRCCs. NAPs and associated documentation were also reviewed </w:t>
      </w:r>
      <w:r w:rsidR="00193B05" w:rsidRPr="310D842E">
        <w:t>to</w:t>
      </w:r>
      <w:r w:rsidRPr="310D842E">
        <w:t xml:space="preserve"> identify any cases of variation from the Global Action Plan </w:t>
      </w:r>
      <w:r w:rsidR="004E72EC">
        <w:t>(GAP)</w:t>
      </w:r>
      <w:r w:rsidRPr="310D842E">
        <w:t xml:space="preserve"> structure for action on AMR</w:t>
      </w:r>
      <w:r w:rsidR="004569ED">
        <w:t>,</w:t>
      </w:r>
      <w:r w:rsidRPr="310D842E">
        <w:t xml:space="preserve"> or evidence of action from implementation or resourcing plans and evaluative material (where available).</w:t>
      </w:r>
    </w:p>
    <w:p w14:paraId="7D3E7E75" w14:textId="77777777" w:rsidR="00FB56B8" w:rsidRDefault="00FB56B8" w:rsidP="00BB4743">
      <w:pPr>
        <w:pStyle w:val="ItadNormalText"/>
      </w:pPr>
    </w:p>
    <w:p w14:paraId="16E368FE" w14:textId="3701CC5E" w:rsidR="00B702C4" w:rsidRDefault="00B702C4" w:rsidP="00BB4743">
      <w:pPr>
        <w:pStyle w:val="ItadNormalText"/>
      </w:pPr>
    </w:p>
    <w:p w14:paraId="61630138" w14:textId="5376652C" w:rsidR="00FA3EC3" w:rsidRDefault="00FA3EC3" w:rsidP="00C04C3C">
      <w:pPr>
        <w:pStyle w:val="ItadCaption"/>
      </w:pPr>
      <w:bookmarkStart w:id="64" w:name="_Toc143857871"/>
      <w:r>
        <w:t xml:space="preserve">Table </w:t>
      </w:r>
      <w:r>
        <w:fldChar w:fldCharType="begin"/>
      </w:r>
      <w:r>
        <w:instrText>SEQ Table \* ARABIC</w:instrText>
      </w:r>
      <w:r>
        <w:fldChar w:fldCharType="separate"/>
      </w:r>
      <w:r w:rsidR="009A383C">
        <w:rPr>
          <w:noProof/>
        </w:rPr>
        <w:t>3</w:t>
      </w:r>
      <w:r>
        <w:fldChar w:fldCharType="end"/>
      </w:r>
      <w:r>
        <w:t xml:space="preserve"> </w:t>
      </w:r>
      <w:r w:rsidRPr="00264ADB">
        <w:t>Possible outcomes that may be prioritised by the countries</w:t>
      </w:r>
      <w:bookmarkEnd w:id="64"/>
    </w:p>
    <w:tbl>
      <w:tblPr>
        <w:tblStyle w:val="ItadGreenHeaderRow"/>
        <w:tblW w:w="5000" w:type="pct"/>
        <w:tblInd w:w="0" w:type="dxa"/>
        <w:tblLayout w:type="fixed"/>
        <w:tblLook w:val="04A0" w:firstRow="1" w:lastRow="0" w:firstColumn="1" w:lastColumn="0" w:noHBand="0" w:noVBand="1"/>
      </w:tblPr>
      <w:tblGrid>
        <w:gridCol w:w="3124"/>
        <w:gridCol w:w="2111"/>
        <w:gridCol w:w="2111"/>
        <w:gridCol w:w="2162"/>
      </w:tblGrid>
      <w:tr w:rsidR="310D842E" w14:paraId="350F84A1" w14:textId="77777777" w:rsidTr="00BB4743">
        <w:trPr>
          <w:cnfStyle w:val="100000000000" w:firstRow="1" w:lastRow="0" w:firstColumn="0" w:lastColumn="0" w:oddVBand="0" w:evenVBand="0" w:oddHBand="0" w:evenHBand="0" w:firstRowFirstColumn="0" w:firstRowLastColumn="0" w:lastRowFirstColumn="0" w:lastRowLastColumn="0"/>
        </w:trPr>
        <w:tc>
          <w:tcPr>
            <w:tcW w:w="1643" w:type="pct"/>
            <w:vMerge w:val="restart"/>
          </w:tcPr>
          <w:p w14:paraId="32163D6B" w14:textId="1B9A2EB2" w:rsidR="310D842E" w:rsidRDefault="310D842E" w:rsidP="310D842E">
            <w:pPr>
              <w:jc w:val="both"/>
            </w:pPr>
            <w:r w:rsidRPr="310D842E">
              <w:rPr>
                <w:rFonts w:eastAsia="Calibri" w:cs="Calibri"/>
                <w:b/>
                <w:bCs/>
                <w:sz w:val="20"/>
                <w:szCs w:val="20"/>
              </w:rPr>
              <w:t>Outcome of interest</w:t>
            </w:r>
            <w:r w:rsidRPr="310D842E">
              <w:rPr>
                <w:rFonts w:eastAsia="Calibri" w:cs="Calibri"/>
                <w:sz w:val="20"/>
                <w:szCs w:val="20"/>
              </w:rPr>
              <w:t xml:space="preserve"> </w:t>
            </w:r>
          </w:p>
        </w:tc>
        <w:tc>
          <w:tcPr>
            <w:tcW w:w="3357" w:type="pct"/>
            <w:gridSpan w:val="3"/>
          </w:tcPr>
          <w:p w14:paraId="187DFE3E" w14:textId="27C0A02C" w:rsidR="310D842E" w:rsidRDefault="310D842E" w:rsidP="310D842E">
            <w:pPr>
              <w:jc w:val="center"/>
            </w:pPr>
            <w:r w:rsidRPr="310D842E">
              <w:rPr>
                <w:rFonts w:eastAsia="Calibri" w:cs="Calibri"/>
                <w:b/>
                <w:bCs/>
                <w:sz w:val="20"/>
                <w:szCs w:val="20"/>
              </w:rPr>
              <w:t>Related to which sector:</w:t>
            </w:r>
            <w:r w:rsidRPr="310D842E">
              <w:rPr>
                <w:rFonts w:eastAsia="Calibri" w:cs="Calibri"/>
                <w:sz w:val="20"/>
                <w:szCs w:val="20"/>
              </w:rPr>
              <w:t xml:space="preserve"> </w:t>
            </w:r>
          </w:p>
        </w:tc>
      </w:tr>
      <w:tr w:rsidR="310D842E" w14:paraId="4BD6C8E8" w14:textId="77777777" w:rsidTr="00BB4743">
        <w:trPr>
          <w:cnfStyle w:val="000000100000" w:firstRow="0" w:lastRow="0" w:firstColumn="0" w:lastColumn="0" w:oddVBand="0" w:evenVBand="0" w:oddHBand="1" w:evenHBand="0" w:firstRowFirstColumn="0" w:firstRowLastColumn="0" w:lastRowFirstColumn="0" w:lastRowLastColumn="0"/>
        </w:trPr>
        <w:tc>
          <w:tcPr>
            <w:tcW w:w="1643" w:type="pct"/>
            <w:vMerge/>
          </w:tcPr>
          <w:p w14:paraId="5C792B00" w14:textId="77777777" w:rsidR="00783DAE" w:rsidRDefault="00783DAE"/>
        </w:tc>
        <w:tc>
          <w:tcPr>
            <w:tcW w:w="1110" w:type="pct"/>
          </w:tcPr>
          <w:p w14:paraId="75ADBDC5" w14:textId="51959E82" w:rsidR="310D842E" w:rsidRDefault="310D842E" w:rsidP="310D842E">
            <w:pPr>
              <w:jc w:val="center"/>
            </w:pPr>
            <w:r w:rsidRPr="310D842E">
              <w:rPr>
                <w:rFonts w:eastAsia="Calibri" w:cs="Calibri"/>
                <w:b/>
                <w:bCs/>
                <w:sz w:val="20"/>
                <w:szCs w:val="20"/>
              </w:rPr>
              <w:t>Human health</w:t>
            </w:r>
            <w:r w:rsidRPr="310D842E">
              <w:rPr>
                <w:rFonts w:eastAsia="Calibri" w:cs="Calibri"/>
                <w:sz w:val="20"/>
                <w:szCs w:val="20"/>
              </w:rPr>
              <w:t xml:space="preserve"> </w:t>
            </w:r>
          </w:p>
        </w:tc>
        <w:tc>
          <w:tcPr>
            <w:tcW w:w="1110" w:type="pct"/>
          </w:tcPr>
          <w:p w14:paraId="27FF5D97" w14:textId="19C4E2C4" w:rsidR="310D842E" w:rsidRDefault="310D842E" w:rsidP="310D842E">
            <w:pPr>
              <w:jc w:val="center"/>
            </w:pPr>
            <w:r w:rsidRPr="310D842E">
              <w:rPr>
                <w:rFonts w:eastAsia="Calibri" w:cs="Calibri"/>
                <w:b/>
                <w:bCs/>
                <w:sz w:val="20"/>
                <w:szCs w:val="20"/>
              </w:rPr>
              <w:t>Animal Health</w:t>
            </w:r>
            <w:r w:rsidRPr="310D842E">
              <w:rPr>
                <w:rFonts w:eastAsia="Calibri" w:cs="Calibri"/>
                <w:sz w:val="20"/>
                <w:szCs w:val="20"/>
              </w:rPr>
              <w:t xml:space="preserve"> </w:t>
            </w:r>
          </w:p>
        </w:tc>
        <w:tc>
          <w:tcPr>
            <w:tcW w:w="1137" w:type="pct"/>
          </w:tcPr>
          <w:p w14:paraId="41D5874D" w14:textId="47E64689" w:rsidR="310D842E" w:rsidRDefault="310D842E" w:rsidP="310D842E">
            <w:pPr>
              <w:jc w:val="center"/>
            </w:pPr>
            <w:r w:rsidRPr="310D842E">
              <w:rPr>
                <w:rFonts w:eastAsia="Calibri" w:cs="Calibri"/>
                <w:b/>
                <w:bCs/>
                <w:sz w:val="20"/>
                <w:szCs w:val="20"/>
              </w:rPr>
              <w:t>Environment</w:t>
            </w:r>
            <w:r w:rsidRPr="310D842E">
              <w:rPr>
                <w:rFonts w:eastAsia="Calibri" w:cs="Calibri"/>
                <w:sz w:val="20"/>
                <w:szCs w:val="20"/>
              </w:rPr>
              <w:t xml:space="preserve"> </w:t>
            </w:r>
          </w:p>
        </w:tc>
      </w:tr>
      <w:tr w:rsidR="310D842E" w14:paraId="0721E1F4" w14:textId="77777777" w:rsidTr="00BB4743">
        <w:trPr>
          <w:cnfStyle w:val="000000010000" w:firstRow="0" w:lastRow="0" w:firstColumn="0" w:lastColumn="0" w:oddVBand="0" w:evenVBand="0" w:oddHBand="0" w:evenHBand="1" w:firstRowFirstColumn="0" w:firstRowLastColumn="0" w:lastRowFirstColumn="0" w:lastRowLastColumn="0"/>
        </w:trPr>
        <w:tc>
          <w:tcPr>
            <w:tcW w:w="1643" w:type="pct"/>
          </w:tcPr>
          <w:p w14:paraId="151377AB" w14:textId="5B09F954" w:rsidR="310D842E" w:rsidRDefault="310D842E">
            <w:r w:rsidRPr="310D842E">
              <w:rPr>
                <w:rFonts w:eastAsia="Calibri" w:cs="Calibri"/>
                <w:sz w:val="20"/>
                <w:szCs w:val="20"/>
              </w:rPr>
              <w:t xml:space="preserve">Has, or is it likely that the increase in AMR data influenced changes in national policies/regulations? </w:t>
            </w:r>
          </w:p>
        </w:tc>
        <w:tc>
          <w:tcPr>
            <w:tcW w:w="1110" w:type="pct"/>
          </w:tcPr>
          <w:p w14:paraId="438F0A90" w14:textId="49BBF6BA" w:rsidR="310D842E" w:rsidRDefault="310D842E" w:rsidP="310D842E">
            <w:pPr>
              <w:jc w:val="center"/>
            </w:pPr>
            <w:r w:rsidRPr="002747D7">
              <w:rPr>
                <w:rFonts w:eastAsia="Calibri" w:cs="Calibri"/>
                <w:sz w:val="36"/>
                <w:szCs w:val="36"/>
              </w:rPr>
              <w:t>?</w:t>
            </w:r>
            <w:r w:rsidRPr="310D842E">
              <w:rPr>
                <w:rFonts w:eastAsia="Calibri" w:cs="Calibri"/>
                <w:sz w:val="36"/>
                <w:szCs w:val="36"/>
              </w:rPr>
              <w:t xml:space="preserve"> </w:t>
            </w:r>
          </w:p>
        </w:tc>
        <w:tc>
          <w:tcPr>
            <w:tcW w:w="1110" w:type="pct"/>
          </w:tcPr>
          <w:p w14:paraId="6B3727D5" w14:textId="16F6379B" w:rsidR="310D842E" w:rsidRDefault="310D842E" w:rsidP="310D842E">
            <w:pPr>
              <w:jc w:val="center"/>
            </w:pPr>
            <w:r w:rsidRPr="002747D7">
              <w:rPr>
                <w:rFonts w:eastAsia="Calibri" w:cs="Calibri"/>
                <w:sz w:val="36"/>
                <w:szCs w:val="36"/>
              </w:rPr>
              <w:t>?</w:t>
            </w:r>
            <w:r w:rsidRPr="310D842E">
              <w:rPr>
                <w:rFonts w:eastAsia="Calibri" w:cs="Calibri"/>
                <w:sz w:val="36"/>
                <w:szCs w:val="36"/>
              </w:rPr>
              <w:t xml:space="preserve"> </w:t>
            </w:r>
          </w:p>
        </w:tc>
        <w:tc>
          <w:tcPr>
            <w:tcW w:w="1137" w:type="pct"/>
          </w:tcPr>
          <w:p w14:paraId="7E074CFD" w14:textId="6EDA663C" w:rsidR="310D842E" w:rsidRDefault="310D842E" w:rsidP="310D842E">
            <w:pPr>
              <w:jc w:val="center"/>
            </w:pPr>
            <w:r w:rsidRPr="002747D7">
              <w:rPr>
                <w:rFonts w:eastAsia="Calibri" w:cs="Calibri"/>
                <w:sz w:val="36"/>
                <w:szCs w:val="36"/>
              </w:rPr>
              <w:t>?</w:t>
            </w:r>
            <w:r w:rsidRPr="310D842E">
              <w:rPr>
                <w:rFonts w:eastAsia="Calibri" w:cs="Calibri"/>
                <w:sz w:val="36"/>
                <w:szCs w:val="36"/>
              </w:rPr>
              <w:t xml:space="preserve"> </w:t>
            </w:r>
          </w:p>
        </w:tc>
      </w:tr>
      <w:tr w:rsidR="310D842E" w14:paraId="1FE5B5A6" w14:textId="77777777" w:rsidTr="00BB4743">
        <w:trPr>
          <w:cnfStyle w:val="000000100000" w:firstRow="0" w:lastRow="0" w:firstColumn="0" w:lastColumn="0" w:oddVBand="0" w:evenVBand="0" w:oddHBand="1" w:evenHBand="0" w:firstRowFirstColumn="0" w:firstRowLastColumn="0" w:lastRowFirstColumn="0" w:lastRowLastColumn="0"/>
        </w:trPr>
        <w:tc>
          <w:tcPr>
            <w:tcW w:w="1643" w:type="pct"/>
          </w:tcPr>
          <w:p w14:paraId="3613AC65" w14:textId="28AEFAC9" w:rsidR="310D842E" w:rsidRDefault="310D842E">
            <w:r w:rsidRPr="310D842E">
              <w:rPr>
                <w:rFonts w:eastAsia="Calibri" w:cs="Calibri"/>
                <w:sz w:val="20"/>
                <w:szCs w:val="20"/>
              </w:rPr>
              <w:t xml:space="preserve">Has, or is it likely that the increase in AMR data influenced changes in practice and attitudes in country? </w:t>
            </w:r>
          </w:p>
        </w:tc>
        <w:tc>
          <w:tcPr>
            <w:tcW w:w="1110" w:type="pct"/>
          </w:tcPr>
          <w:p w14:paraId="207A7535" w14:textId="34D542D6" w:rsidR="310D842E" w:rsidRDefault="310D842E" w:rsidP="310D842E">
            <w:pPr>
              <w:jc w:val="center"/>
            </w:pPr>
            <w:r w:rsidRPr="002747D7">
              <w:rPr>
                <w:rFonts w:eastAsia="Calibri" w:cs="Calibri"/>
                <w:sz w:val="36"/>
                <w:szCs w:val="36"/>
              </w:rPr>
              <w:t>?</w:t>
            </w:r>
            <w:r w:rsidRPr="310D842E">
              <w:rPr>
                <w:rFonts w:eastAsia="Calibri" w:cs="Calibri"/>
                <w:sz w:val="36"/>
                <w:szCs w:val="36"/>
              </w:rPr>
              <w:t xml:space="preserve"> </w:t>
            </w:r>
          </w:p>
        </w:tc>
        <w:tc>
          <w:tcPr>
            <w:tcW w:w="1110" w:type="pct"/>
          </w:tcPr>
          <w:p w14:paraId="44FB22AA" w14:textId="1DC2CCB6" w:rsidR="310D842E" w:rsidRDefault="310D842E" w:rsidP="310D842E">
            <w:pPr>
              <w:jc w:val="center"/>
            </w:pPr>
            <w:r w:rsidRPr="002747D7">
              <w:rPr>
                <w:rFonts w:eastAsia="Calibri" w:cs="Calibri"/>
                <w:sz w:val="36"/>
                <w:szCs w:val="36"/>
              </w:rPr>
              <w:t>?</w:t>
            </w:r>
            <w:r w:rsidRPr="310D842E">
              <w:rPr>
                <w:rFonts w:eastAsia="Calibri" w:cs="Calibri"/>
                <w:sz w:val="36"/>
                <w:szCs w:val="36"/>
              </w:rPr>
              <w:t xml:space="preserve"> </w:t>
            </w:r>
          </w:p>
        </w:tc>
        <w:tc>
          <w:tcPr>
            <w:tcW w:w="1137" w:type="pct"/>
          </w:tcPr>
          <w:p w14:paraId="2EDB51BB" w14:textId="4FD6851B" w:rsidR="310D842E" w:rsidRDefault="310D842E" w:rsidP="310D842E">
            <w:pPr>
              <w:jc w:val="center"/>
            </w:pPr>
            <w:r w:rsidRPr="002747D7">
              <w:rPr>
                <w:rFonts w:eastAsia="Calibri" w:cs="Calibri"/>
                <w:sz w:val="36"/>
                <w:szCs w:val="36"/>
              </w:rPr>
              <w:t>?</w:t>
            </w:r>
            <w:r w:rsidRPr="310D842E">
              <w:rPr>
                <w:rFonts w:eastAsia="Calibri" w:cs="Calibri"/>
                <w:sz w:val="36"/>
                <w:szCs w:val="36"/>
              </w:rPr>
              <w:t xml:space="preserve"> </w:t>
            </w:r>
          </w:p>
        </w:tc>
      </w:tr>
    </w:tbl>
    <w:p w14:paraId="0D1DF383" w14:textId="24670792" w:rsidR="5205A6E4" w:rsidRDefault="06E10E83" w:rsidP="310D842E">
      <w:pPr>
        <w:jc w:val="both"/>
      </w:pPr>
      <w:r w:rsidRPr="310D842E">
        <w:rPr>
          <w:rFonts w:ascii="Segoe UI" w:eastAsia="Segoe UI" w:hAnsi="Segoe UI" w:cs="Segoe UI"/>
          <w:sz w:val="18"/>
          <w:szCs w:val="18"/>
        </w:rPr>
        <w:t xml:space="preserve"> </w:t>
      </w:r>
    </w:p>
    <w:p w14:paraId="53568283" w14:textId="704BE8D9" w:rsidR="5205A6E4" w:rsidRPr="00FA3EC3" w:rsidRDefault="06E10E83" w:rsidP="00FA3EC3">
      <w:pPr>
        <w:rPr>
          <w:rFonts w:eastAsia="Calibri" w:cs="Calibri"/>
          <w:b/>
        </w:rPr>
      </w:pPr>
      <w:r w:rsidRPr="00FA3EC3">
        <w:rPr>
          <w:rFonts w:eastAsia="Calibri" w:cs="Calibri"/>
          <w:b/>
        </w:rPr>
        <w:t>Step 2.</w:t>
      </w:r>
      <w:r w:rsidR="5205A6E4" w:rsidRPr="00FA3EC3">
        <w:rPr>
          <w:rFonts w:eastAsia="Calibri" w:cs="Calibri"/>
          <w:b/>
        </w:rPr>
        <w:tab/>
      </w:r>
      <w:r w:rsidRPr="00FA3EC3">
        <w:rPr>
          <w:rFonts w:eastAsia="Calibri" w:cs="Calibri"/>
          <w:b/>
        </w:rPr>
        <w:t xml:space="preserve">Clarifying how the stakeholders believe more, or better, evidence will or has been used to contribute towards </w:t>
      </w:r>
      <w:r w:rsidR="00354171">
        <w:rPr>
          <w:rFonts w:eastAsia="Calibri" w:cs="Calibri"/>
          <w:b/>
        </w:rPr>
        <w:t xml:space="preserve">the </w:t>
      </w:r>
      <w:r w:rsidRPr="00FA3EC3">
        <w:rPr>
          <w:rFonts w:eastAsia="Calibri" w:cs="Calibri"/>
          <w:b/>
        </w:rPr>
        <w:t xml:space="preserve">achievement of the outcome. </w:t>
      </w:r>
    </w:p>
    <w:p w14:paraId="6B3E70F1" w14:textId="110151A6" w:rsidR="5205A6E4" w:rsidRDefault="06E10E83" w:rsidP="00BB4743">
      <w:pPr>
        <w:pStyle w:val="ItadNormalText"/>
      </w:pPr>
      <w:r w:rsidRPr="310D842E">
        <w:t xml:space="preserve">Through refinement of </w:t>
      </w:r>
      <w:r w:rsidR="00884D96">
        <w:t xml:space="preserve">the </w:t>
      </w:r>
      <w:r w:rsidRPr="310D842E">
        <w:t xml:space="preserve">programme ToC </w:t>
      </w:r>
      <w:r w:rsidRPr="005663C3">
        <w:rPr>
          <w:color w:val="000000"/>
        </w:rPr>
        <w:t xml:space="preserve">(Annex </w:t>
      </w:r>
      <w:r w:rsidR="002B6FB5" w:rsidRPr="005663C3">
        <w:rPr>
          <w:color w:val="000000"/>
        </w:rPr>
        <w:t>1</w:t>
      </w:r>
      <w:r w:rsidR="001603DD">
        <w:rPr>
          <w:color w:val="000000"/>
        </w:rPr>
        <w:t>8</w:t>
      </w:r>
      <w:r w:rsidRPr="005663C3">
        <w:rPr>
          <w:color w:val="000000"/>
        </w:rPr>
        <w:t>),</w:t>
      </w:r>
      <w:r w:rsidRPr="310D842E">
        <w:t xml:space="preserve"> we clarified how stakeholders believe more, or better, data will or has been used to contribute towards </w:t>
      </w:r>
      <w:r w:rsidR="00354171">
        <w:t xml:space="preserve">the </w:t>
      </w:r>
      <w:r w:rsidRPr="310D842E">
        <w:t>achievement of the outcomes.</w:t>
      </w:r>
      <w:r w:rsidR="007458AC">
        <w:t xml:space="preserve"> </w:t>
      </w:r>
    </w:p>
    <w:p w14:paraId="654597D8" w14:textId="4BB1A306" w:rsidR="5205A6E4" w:rsidRPr="00FA3EC3" w:rsidRDefault="06E10E83" w:rsidP="00BB4743">
      <w:pPr>
        <w:pStyle w:val="ItadNormalTextBold"/>
        <w:rPr>
          <w:rFonts w:eastAsia="Calibri" w:cs="Calibri"/>
        </w:rPr>
      </w:pPr>
      <w:r w:rsidRPr="00FA3EC3">
        <w:rPr>
          <w:rFonts w:eastAsia="Calibri" w:cs="Calibri"/>
        </w:rPr>
        <w:t>Step 3</w:t>
      </w:r>
      <w:r w:rsidR="00C83BFF">
        <w:rPr>
          <w:rFonts w:eastAsia="Calibri" w:cs="Calibri"/>
        </w:rPr>
        <w:t xml:space="preserve">. </w:t>
      </w:r>
      <w:r w:rsidRPr="00FA3EC3">
        <w:rPr>
          <w:rFonts w:eastAsia="Calibri" w:cs="Calibri"/>
        </w:rPr>
        <w:t xml:space="preserve">Identifying the underlying theory for how and why this approach will work. </w:t>
      </w:r>
    </w:p>
    <w:p w14:paraId="3776F13F" w14:textId="2CCEF04C" w:rsidR="5205A6E4" w:rsidRDefault="06E10E83" w:rsidP="00BB4743">
      <w:pPr>
        <w:pStyle w:val="ItadNormalText"/>
      </w:pPr>
      <w:r w:rsidRPr="310D842E">
        <w:t>John Kingdon’s Multiple Streams Framework theory on agenda</w:t>
      </w:r>
      <w:r w:rsidR="00411FEF">
        <w:t xml:space="preserve"> </w:t>
      </w:r>
      <w:r w:rsidRPr="310D842E">
        <w:t>setting was identified as the most appropriate theory for the necessary and sufficient analysis.</w:t>
      </w:r>
      <w:r w:rsidR="007458AC">
        <w:t xml:space="preserve"> </w:t>
      </w:r>
      <w:r w:rsidRPr="310D842E">
        <w:t xml:space="preserve">Kingdon’s theory posits that policy agendas are set and influenced by a range of conditions that form three process streams. These streams include: </w:t>
      </w:r>
    </w:p>
    <w:p w14:paraId="404FF408" w14:textId="0F2C42E7" w:rsidR="5205A6E4" w:rsidRDefault="06E10E83" w:rsidP="00C6374D">
      <w:pPr>
        <w:pStyle w:val="ListParagraph"/>
        <w:numPr>
          <w:ilvl w:val="0"/>
          <w:numId w:val="86"/>
        </w:numPr>
      </w:pPr>
      <w:r w:rsidRPr="310D842E">
        <w:t xml:space="preserve">Problem stream: </w:t>
      </w:r>
      <w:r w:rsidR="00354171">
        <w:t>how</w:t>
      </w:r>
      <w:r w:rsidRPr="310D842E">
        <w:t xml:space="preserve"> social conditions come to be defined as a problem to policymakers. </w:t>
      </w:r>
    </w:p>
    <w:p w14:paraId="3546927F" w14:textId="6E92D09E" w:rsidR="5205A6E4" w:rsidRDefault="06E10E83" w:rsidP="00C6374D">
      <w:pPr>
        <w:pStyle w:val="ListParagraph"/>
        <w:numPr>
          <w:ilvl w:val="0"/>
          <w:numId w:val="86"/>
        </w:numPr>
      </w:pPr>
      <w:r w:rsidRPr="310D842E">
        <w:t xml:space="preserve">Policy stream: the solutions generated to address problems. </w:t>
      </w:r>
    </w:p>
    <w:p w14:paraId="5BB77180" w14:textId="7D0D7D7B" w:rsidR="5205A6E4" w:rsidRDefault="06E10E83" w:rsidP="00C6374D">
      <w:pPr>
        <w:pStyle w:val="ListParagraph"/>
        <w:numPr>
          <w:ilvl w:val="0"/>
          <w:numId w:val="86"/>
        </w:numPr>
      </w:pPr>
      <w:r w:rsidRPr="310D842E">
        <w:t xml:space="preserve">Political stream: political factors, including the influence of interest groups, the ‘national mood’ and turnover of elected officials. </w:t>
      </w:r>
    </w:p>
    <w:p w14:paraId="3030DDA7" w14:textId="1F858AAB" w:rsidR="5205A6E4" w:rsidRDefault="06E10E83" w:rsidP="00BB4743">
      <w:pPr>
        <w:pStyle w:val="ItadNormalText"/>
      </w:pPr>
      <w:r w:rsidRPr="310D842E">
        <w:t xml:space="preserve">Kingdon’s theory is well-suited to </w:t>
      </w:r>
      <w:r w:rsidR="00411FEF">
        <w:t xml:space="preserve">the </w:t>
      </w:r>
      <w:r w:rsidRPr="310D842E">
        <w:t xml:space="preserve">assessment of the influence of data or evidence on </w:t>
      </w:r>
      <w:r w:rsidR="00354171">
        <w:t xml:space="preserve">the </w:t>
      </w:r>
      <w:r w:rsidRPr="310D842E">
        <w:t>action in this instance for several reasons, including substantial conceptual and applied elaboration in the field of health policy and policy in LMIC</w:t>
      </w:r>
      <w:r w:rsidR="003E1638">
        <w:t>s</w:t>
      </w:r>
      <w:r w:rsidRPr="310D842E">
        <w:t>.</w:t>
      </w:r>
    </w:p>
    <w:p w14:paraId="2BD3210C" w14:textId="415D7DD0" w:rsidR="5205A6E4" w:rsidRPr="00FA3EC3" w:rsidRDefault="06E10E83" w:rsidP="00BB4743">
      <w:pPr>
        <w:pStyle w:val="ItadNormalText"/>
        <w:rPr>
          <w:rFonts w:eastAsia="Calibri" w:cs="Calibri"/>
          <w:b/>
        </w:rPr>
      </w:pPr>
      <w:r w:rsidRPr="00FA3EC3">
        <w:rPr>
          <w:rFonts w:eastAsia="Calibri" w:cs="Calibri"/>
          <w:b/>
        </w:rPr>
        <w:t>Step 4.</w:t>
      </w:r>
      <w:r w:rsidR="5205A6E4" w:rsidRPr="00FA3EC3">
        <w:rPr>
          <w:rFonts w:eastAsia="Calibri" w:cs="Calibri"/>
          <w:b/>
        </w:rPr>
        <w:tab/>
      </w:r>
      <w:r w:rsidRPr="00FA3EC3">
        <w:rPr>
          <w:rFonts w:eastAsia="Calibri" w:cs="Calibri"/>
          <w:b/>
        </w:rPr>
        <w:t xml:space="preserve">Casting the theory as a set of necessary and sufficient conditions that need to be in place for change to happen at </w:t>
      </w:r>
      <w:r w:rsidR="00354171">
        <w:rPr>
          <w:rFonts w:eastAsia="Calibri" w:cs="Calibri"/>
          <w:b/>
        </w:rPr>
        <w:t xml:space="preserve">the </w:t>
      </w:r>
      <w:r w:rsidRPr="00FA3EC3">
        <w:rPr>
          <w:rFonts w:eastAsia="Calibri" w:cs="Calibri"/>
          <w:b/>
        </w:rPr>
        <w:t xml:space="preserve">outcome level. </w:t>
      </w:r>
    </w:p>
    <w:p w14:paraId="4F15D7F3" w14:textId="5712067F" w:rsidR="5205A6E4" w:rsidRDefault="06E10E83" w:rsidP="00BB4743">
      <w:pPr>
        <w:pStyle w:val="ItadNormalText"/>
      </w:pPr>
      <w:r w:rsidRPr="310D842E">
        <w:t>According to Kingdon’s research, issues have a high propensity to attract the attention of policymakers when the above process streams converge to create a ‘policy window’. During this period of opportunity</w:t>
      </w:r>
      <w:r w:rsidR="00354171">
        <w:t>,</w:t>
      </w:r>
      <w:r w:rsidRPr="310D842E">
        <w:t xml:space="preserve"> actors can influence policy processes</w:t>
      </w:r>
      <w:r w:rsidR="00483A7E">
        <w:t>,</w:t>
      </w:r>
      <w:r w:rsidRPr="310D842E">
        <w:t xml:space="preserve"> for example, through the introduction of existing or new evidence. The evaluation team reviewed Kingdon’s model, identifying various conditions under each of the three process streams.</w:t>
      </w:r>
      <w:r w:rsidR="007458AC">
        <w:t xml:space="preserve"> </w:t>
      </w:r>
    </w:p>
    <w:p w14:paraId="5E3471D0" w14:textId="4DAF67DF" w:rsidR="5205A6E4" w:rsidRDefault="06E10E83" w:rsidP="00BB4743">
      <w:pPr>
        <w:pStyle w:val="ItadNormalText"/>
      </w:pPr>
      <w:r w:rsidRPr="310D842E">
        <w:t xml:space="preserve">See </w:t>
      </w:r>
      <w:r w:rsidRPr="005663C3">
        <w:rPr>
          <w:color w:val="000000"/>
        </w:rPr>
        <w:t xml:space="preserve">Annex </w:t>
      </w:r>
      <w:r w:rsidR="001603DD">
        <w:rPr>
          <w:color w:val="000000"/>
        </w:rPr>
        <w:t>9</w:t>
      </w:r>
      <w:r w:rsidRPr="310D842E">
        <w:t xml:space="preserve"> for details of the substantive results of our MSA applying Kingdon’s theory to the national policy agenda context of </w:t>
      </w:r>
      <w:r w:rsidR="002F1591" w:rsidRPr="002F1591">
        <w:t>Fleming Fund</w:t>
      </w:r>
      <w:r w:rsidRPr="310D842E">
        <w:t xml:space="preserve"> countries. </w:t>
      </w:r>
    </w:p>
    <w:p w14:paraId="7A32C6A8" w14:textId="75424211" w:rsidR="5205A6E4" w:rsidRPr="00FA3EC3" w:rsidRDefault="06E10E83" w:rsidP="00FA3EC3">
      <w:pPr>
        <w:rPr>
          <w:rFonts w:eastAsia="Calibri" w:cs="Calibri"/>
          <w:b/>
        </w:rPr>
      </w:pPr>
      <w:r w:rsidRPr="00FA3EC3">
        <w:rPr>
          <w:rFonts w:eastAsia="Calibri" w:cs="Calibri"/>
          <w:b/>
        </w:rPr>
        <w:t>Step 5.</w:t>
      </w:r>
      <w:r w:rsidR="5205A6E4" w:rsidRPr="00FA3EC3">
        <w:rPr>
          <w:rFonts w:eastAsia="Calibri" w:cs="Calibri"/>
          <w:b/>
        </w:rPr>
        <w:tab/>
      </w:r>
      <w:r w:rsidRPr="00FA3EC3">
        <w:rPr>
          <w:rFonts w:eastAsia="Calibri" w:cs="Calibri"/>
          <w:b/>
        </w:rPr>
        <w:t xml:space="preserve">Gathering empirical evidence to test whether necessary and sufficient conditions are in place. </w:t>
      </w:r>
    </w:p>
    <w:p w14:paraId="6B202864" w14:textId="60C92E06" w:rsidR="5205A6E4" w:rsidRDefault="06E10E83" w:rsidP="00BB4743">
      <w:pPr>
        <w:pStyle w:val="ItadNormalText"/>
      </w:pPr>
      <w:r w:rsidRPr="310D842E">
        <w:t>Once conditions have been identified through theory, the method then requires that we define how we will judge that the condition is either present or absent in a country. Systematic searches were undertaken for relevant documentary evidence (including from research, official and media sources) at specified time intervals (2020</w:t>
      </w:r>
      <w:r w:rsidR="2A6D161B" w:rsidRPr="06450652">
        <w:t xml:space="preserve"> and</w:t>
      </w:r>
      <w:r w:rsidRPr="310D842E">
        <w:t xml:space="preserve"> 2022). This material was then reviewed using Kingdon MSA subcomponents as an analytical structure, leading to summary statements on each of the three streams generated from across the subcomponent observations. Any crucial insights or gaps for each country were then tested in conversation with key stakeholders as part of the </w:t>
      </w:r>
      <w:r w:rsidR="13E954BC" w:rsidRPr="06450652">
        <w:t>KII</w:t>
      </w:r>
      <w:r w:rsidR="6C34F414" w:rsidRPr="06450652">
        <w:t>s</w:t>
      </w:r>
      <w:r w:rsidR="13E954BC" w:rsidRPr="06450652">
        <w:t>,</w:t>
      </w:r>
      <w:r w:rsidRPr="310D842E">
        <w:t xml:space="preserve"> especially focusing on the </w:t>
      </w:r>
      <w:r w:rsidR="002E46A7" w:rsidRPr="310D842E">
        <w:t>problem</w:t>
      </w:r>
      <w:r w:rsidRPr="310D842E">
        <w:t xml:space="preserve"> stream.</w:t>
      </w:r>
    </w:p>
    <w:p w14:paraId="1D8779C8" w14:textId="2D477021" w:rsidR="5205A6E4" w:rsidRPr="00FA3EC3" w:rsidRDefault="06E10E83" w:rsidP="00FA3EC3">
      <w:pPr>
        <w:rPr>
          <w:rFonts w:eastAsia="Calibri" w:cs="Calibri"/>
          <w:b/>
        </w:rPr>
      </w:pPr>
      <w:r w:rsidRPr="00FA3EC3">
        <w:rPr>
          <w:rFonts w:eastAsia="Calibri" w:cs="Calibri"/>
          <w:b/>
        </w:rPr>
        <w:t>Step 6.</w:t>
      </w:r>
      <w:r w:rsidR="5205A6E4" w:rsidRPr="00FA3EC3">
        <w:rPr>
          <w:rFonts w:eastAsia="Calibri" w:cs="Calibri"/>
          <w:b/>
        </w:rPr>
        <w:tab/>
      </w:r>
      <w:r w:rsidRPr="00FA3EC3">
        <w:rPr>
          <w:rFonts w:eastAsia="Calibri" w:cs="Calibri"/>
          <w:b/>
        </w:rPr>
        <w:t xml:space="preserve">Judging whether the Fleming Fund’s investments are focused on influencing the right conditions. </w:t>
      </w:r>
    </w:p>
    <w:p w14:paraId="242EADA8" w14:textId="54F3369E" w:rsidR="5205A6E4" w:rsidRDefault="00C83BFF" w:rsidP="00BB4743">
      <w:pPr>
        <w:pStyle w:val="ItadNormalText"/>
      </w:pPr>
      <w:r w:rsidRPr="310D842E">
        <w:t>Finally,</w:t>
      </w:r>
      <w:r w:rsidR="06E10E83" w:rsidRPr="310D842E">
        <w:t xml:space="preserve"> the information assembled through this analytical process was fed into overall judgements about the conditions necessary for national data use, with </w:t>
      </w:r>
      <w:r w:rsidR="002E46A7">
        <w:t>c</w:t>
      </w:r>
      <w:r w:rsidR="06E10E83" w:rsidRPr="310D842E">
        <w:t xml:space="preserve">ontribution </w:t>
      </w:r>
      <w:r w:rsidR="002E46A7">
        <w:t>a</w:t>
      </w:r>
      <w:r w:rsidR="06E10E83" w:rsidRPr="310D842E">
        <w:t xml:space="preserve">nalysis observations on data use considered for assessments of </w:t>
      </w:r>
      <w:r w:rsidR="009E2AC2">
        <w:t>phase 1</w:t>
      </w:r>
      <w:r w:rsidR="009830ED">
        <w:t>’s</w:t>
      </w:r>
      <w:r w:rsidR="06E10E83" w:rsidRPr="310D842E">
        <w:t xml:space="preserve"> focus.</w:t>
      </w:r>
    </w:p>
    <w:p w14:paraId="3817A9B1" w14:textId="389E6B43" w:rsidR="5205A6E4" w:rsidRDefault="06E10E83" w:rsidP="00FA3EC3">
      <w:pPr>
        <w:pStyle w:val="ItadH4"/>
      </w:pPr>
      <w:r w:rsidRPr="310D842E">
        <w:t>Why was national policy agenda analysis an appropriate method for this evaluation?</w:t>
      </w:r>
      <w:r w:rsidR="007458AC">
        <w:t xml:space="preserve"> </w:t>
      </w:r>
    </w:p>
    <w:p w14:paraId="722421EB" w14:textId="1FFBC527" w:rsidR="5205A6E4" w:rsidRDefault="06E10E83" w:rsidP="00BB4743">
      <w:pPr>
        <w:jc w:val="both"/>
      </w:pPr>
      <w:r w:rsidRPr="310D842E">
        <w:rPr>
          <w:rFonts w:eastAsia="Calibri" w:cs="Calibri"/>
        </w:rPr>
        <w:t xml:space="preserve">National policy agenda analysis was especially helpful in answering part (a) of EQ4, which concerns changes in national policies/regulations. It was deployed in combination with </w:t>
      </w:r>
      <w:r w:rsidR="0023559D" w:rsidRPr="310D842E">
        <w:rPr>
          <w:rFonts w:eastAsia="Calibri" w:cs="Calibri"/>
        </w:rPr>
        <w:t>contribution analysis</w:t>
      </w:r>
      <w:r w:rsidRPr="310D842E">
        <w:rPr>
          <w:rFonts w:eastAsia="Calibri" w:cs="Calibri"/>
        </w:rPr>
        <w:t xml:space="preserve"> (see </w:t>
      </w:r>
      <w:r w:rsidR="0023559D">
        <w:rPr>
          <w:rFonts w:eastAsia="Calibri" w:cs="Calibri"/>
        </w:rPr>
        <w:fldChar w:fldCharType="begin"/>
      </w:r>
      <w:r w:rsidR="0023559D">
        <w:rPr>
          <w:rFonts w:eastAsia="Calibri" w:cs="Calibri"/>
        </w:rPr>
        <w:instrText xml:space="preserve"> REF _Ref121835071 \r \h </w:instrText>
      </w:r>
      <w:r w:rsidR="0023559D">
        <w:rPr>
          <w:rFonts w:eastAsia="Calibri" w:cs="Calibri"/>
        </w:rPr>
      </w:r>
      <w:r w:rsidR="0023559D">
        <w:rPr>
          <w:rFonts w:eastAsia="Calibri" w:cs="Calibri"/>
        </w:rPr>
        <w:fldChar w:fldCharType="separate"/>
      </w:r>
      <w:r w:rsidR="009A383C">
        <w:rPr>
          <w:rFonts w:eastAsia="Calibri" w:cs="Calibri"/>
        </w:rPr>
        <w:t>1.3.1</w:t>
      </w:r>
      <w:r w:rsidR="0023559D">
        <w:rPr>
          <w:rFonts w:eastAsia="Calibri" w:cs="Calibri"/>
        </w:rPr>
        <w:fldChar w:fldCharType="end"/>
      </w:r>
      <w:r w:rsidR="0023559D">
        <w:rPr>
          <w:rFonts w:eastAsia="Calibri" w:cs="Calibri"/>
        </w:rPr>
        <w:t xml:space="preserve"> </w:t>
      </w:r>
      <w:r w:rsidRPr="310D842E">
        <w:rPr>
          <w:rFonts w:eastAsia="Calibri" w:cs="Calibri"/>
        </w:rPr>
        <w:t xml:space="preserve">above), which provided insight into what has happened to date as a result of AMR data increases, in order to add predictive power (what can be considered likely to happen in the future) and to broaden the scope through which data influence is considered. Applying national policy agenda analysis for this evaluation enabled us to draw on previous evidence of how and why change happens, grounding </w:t>
      </w:r>
      <w:r w:rsidR="00C56AAB">
        <w:rPr>
          <w:rFonts w:eastAsia="Calibri" w:cs="Calibri"/>
        </w:rPr>
        <w:t xml:space="preserve">the </w:t>
      </w:r>
      <w:r w:rsidRPr="310D842E">
        <w:rPr>
          <w:rFonts w:eastAsia="Calibri" w:cs="Calibri"/>
        </w:rPr>
        <w:t xml:space="preserve">data use assessments in a large body of </w:t>
      </w:r>
      <w:r w:rsidR="007A77B8" w:rsidRPr="310D842E">
        <w:rPr>
          <w:rFonts w:eastAsia="Calibri" w:cs="Calibri"/>
        </w:rPr>
        <w:t>theoretically based</w:t>
      </w:r>
      <w:r w:rsidRPr="310D842E">
        <w:rPr>
          <w:rFonts w:eastAsia="Calibri" w:cs="Calibri"/>
        </w:rPr>
        <w:t xml:space="preserve"> policy research and linking it to state-of-the-art development practice for adaptive management in political contexts. This enhances the credibility of our judgements about what is plausible to expect in the 23 countries.</w:t>
      </w:r>
      <w:r w:rsidR="007458AC">
        <w:rPr>
          <w:rFonts w:eastAsia="Calibri" w:cs="Calibri"/>
        </w:rPr>
        <w:t xml:space="preserve"> </w:t>
      </w:r>
      <w:bookmarkEnd w:id="63"/>
    </w:p>
    <w:p w14:paraId="6413C985" w14:textId="76BC7C98" w:rsidR="5205A6E4" w:rsidRDefault="06E10E83" w:rsidP="00AA7BDC">
      <w:pPr>
        <w:pStyle w:val="ItadH3Numbered"/>
      </w:pPr>
      <w:bookmarkStart w:id="65" w:name="_Ref120644462"/>
      <w:bookmarkStart w:id="66" w:name="_Toc142383143"/>
      <w:r w:rsidRPr="310D842E">
        <w:t>Examples of Use of data at the facility level</w:t>
      </w:r>
      <w:bookmarkEnd w:id="65"/>
      <w:bookmarkEnd w:id="66"/>
    </w:p>
    <w:p w14:paraId="3FC288FF" w14:textId="158C8D18" w:rsidR="5205A6E4" w:rsidRDefault="06E10E83" w:rsidP="310D842E">
      <w:r w:rsidRPr="310D842E">
        <w:rPr>
          <w:rFonts w:eastAsia="Calibri" w:cs="Calibri"/>
          <w:b/>
          <w:bCs/>
        </w:rPr>
        <w:t>What are Examples of Use and what did we use them for?</w:t>
      </w:r>
      <w:r w:rsidRPr="310D842E">
        <w:rPr>
          <w:rFonts w:eastAsia="Calibri" w:cs="Calibri"/>
        </w:rPr>
        <w:t xml:space="preserve"> </w:t>
      </w:r>
    </w:p>
    <w:p w14:paraId="414FA3F7" w14:textId="1AC673BF" w:rsidR="5205A6E4" w:rsidRDefault="06E10E83" w:rsidP="00BB4743">
      <w:pPr>
        <w:pStyle w:val="ItadNormalText"/>
      </w:pPr>
      <w:r w:rsidRPr="310D842E">
        <w:t>‘</w:t>
      </w:r>
      <w:bookmarkStart w:id="67" w:name="_Hlk121868273"/>
      <w:r w:rsidRPr="310D842E">
        <w:t xml:space="preserve">Examples of Use’ (EoU) were short-form narrative reports in a consistent format gathered from </w:t>
      </w:r>
      <w:r w:rsidR="002F1591" w:rsidRPr="002F1591">
        <w:t>Fleming Fund</w:t>
      </w:r>
      <w:r w:rsidRPr="310D842E">
        <w:t xml:space="preserve"> stakeholders as part of data collection for this evaluation with a specific focus on uses of AMR data at the facility level. </w:t>
      </w:r>
      <w:r w:rsidR="13E954BC" w:rsidRPr="310D842E">
        <w:t>These were small, local versions of ‘Stories of Change’</w:t>
      </w:r>
      <w:r w:rsidRPr="00BB4743">
        <w:rPr>
          <w:vertAlign w:val="superscript"/>
        </w:rPr>
        <w:footnoteReference w:id="16"/>
      </w:r>
      <w:r w:rsidR="002562DF">
        <w:t xml:space="preserve"> </w:t>
      </w:r>
      <w:r w:rsidR="13E954BC" w:rsidRPr="06450652">
        <w:t xml:space="preserve">which were developed to offer facility-level stakeholders a way of communicating results from </w:t>
      </w:r>
      <w:r w:rsidR="3DA5BD28" w:rsidRPr="002F1591">
        <w:t>Fleming Fund</w:t>
      </w:r>
      <w:r w:rsidR="003C0E5D">
        <w:t>’s</w:t>
      </w:r>
      <w:r w:rsidR="13E954BC" w:rsidRPr="310D842E">
        <w:t xml:space="preserve"> </w:t>
      </w:r>
      <w:r w:rsidR="009E2AC2">
        <w:t>phase 1</w:t>
      </w:r>
      <w:r w:rsidR="13E954BC" w:rsidRPr="310D842E">
        <w:t>. The E</w:t>
      </w:r>
      <w:r w:rsidR="1A25A0F9" w:rsidRPr="310D842E">
        <w:t>o</w:t>
      </w:r>
      <w:r w:rsidR="13E954BC" w:rsidRPr="310D842E">
        <w:t>U</w:t>
      </w:r>
      <w:r w:rsidRPr="310D842E">
        <w:t xml:space="preserve"> approach was developed by our evaluation team</w:t>
      </w:r>
      <w:r w:rsidR="00304CA5">
        <w:t>,</w:t>
      </w:r>
      <w:r w:rsidRPr="310D842E">
        <w:t xml:space="preserve"> in conversation with the MA and </w:t>
      </w:r>
      <w:r w:rsidR="009310A3">
        <w:t xml:space="preserve">the </w:t>
      </w:r>
      <w:r w:rsidRPr="310D842E">
        <w:t>DHSC</w:t>
      </w:r>
      <w:r w:rsidR="00304CA5">
        <w:t>,</w:t>
      </w:r>
      <w:r w:rsidRPr="310D842E">
        <w:t xml:space="preserve"> </w:t>
      </w:r>
      <w:r w:rsidR="00304CA5">
        <w:t>to improve</w:t>
      </w:r>
      <w:r w:rsidRPr="310D842E">
        <w:t xml:space="preserve"> evaluative insights at the facility level, responding to growing programme interest in results at that level.</w:t>
      </w:r>
    </w:p>
    <w:p w14:paraId="4D241699" w14:textId="07F25BBA" w:rsidR="5205A6E4" w:rsidRDefault="06E10E83" w:rsidP="00C83BFF">
      <w:pPr>
        <w:pStyle w:val="ItadNormalText"/>
      </w:pPr>
      <w:r w:rsidRPr="310D842E">
        <w:t xml:space="preserve">The immediate purpose for developing and implementing the EoU approach as part of evaluation methods was outcome harvesting. Outcome </w:t>
      </w:r>
      <w:r w:rsidR="00417EBB" w:rsidRPr="310D842E">
        <w:t xml:space="preserve">harvesting </w:t>
      </w:r>
      <w:r w:rsidRPr="310D842E">
        <w:t xml:space="preserve">is a method in evaluation practice </w:t>
      </w:r>
      <w:r w:rsidR="00245CA7">
        <w:t>that</w:t>
      </w:r>
      <w:r w:rsidR="00245CA7" w:rsidRPr="310D842E">
        <w:t xml:space="preserve"> </w:t>
      </w:r>
      <w:r w:rsidRPr="310D842E">
        <w:t>addresses longer-term, higher-level (</w:t>
      </w:r>
      <w:r w:rsidR="006C4F49" w:rsidRPr="310D842E">
        <w:t>i.e.</w:t>
      </w:r>
      <w:r w:rsidRPr="310D842E">
        <w:t xml:space="preserve"> outcome or impact) results in complex settings with low reliance on established programme theory</w:t>
      </w:r>
      <w:r w:rsidR="13E954BC" w:rsidRPr="310D842E">
        <w:t>.</w:t>
      </w:r>
      <w:r w:rsidRPr="06450652">
        <w:rPr>
          <w:rStyle w:val="FootnoteReference"/>
          <w:rFonts w:eastAsia="Calibri"/>
        </w:rPr>
        <w:footnoteReference w:id="17"/>
      </w:r>
      <w:r w:rsidRPr="310D842E">
        <w:t xml:space="preserve"> </w:t>
      </w:r>
    </w:p>
    <w:p w14:paraId="7FB65AE8" w14:textId="3B0B352E" w:rsidR="5205A6E4" w:rsidRDefault="06E10E83" w:rsidP="00FA3EC3">
      <w:pPr>
        <w:rPr>
          <w:rFonts w:eastAsia="Calibri" w:cs="Calibri"/>
          <w:b/>
          <w:color w:val="767171" w:themeColor="background2" w:themeShade="80"/>
        </w:rPr>
      </w:pPr>
      <w:r w:rsidRPr="00FA3EC3">
        <w:rPr>
          <w:rFonts w:eastAsia="Calibri" w:cs="Calibri"/>
          <w:b/>
          <w:color w:val="767171" w:themeColor="background2" w:themeShade="80"/>
        </w:rPr>
        <w:t xml:space="preserve">Which evaluation question did this method help answer? </w:t>
      </w:r>
    </w:p>
    <w:p w14:paraId="511913A6" w14:textId="3419B1E6" w:rsidR="5205A6E4" w:rsidRDefault="06E10E83" w:rsidP="00BB4743">
      <w:pPr>
        <w:pStyle w:val="ItadNormalText"/>
      </w:pPr>
      <w:r w:rsidRPr="310D842E">
        <w:t xml:space="preserve">This method will be used to answer the following evaluation question: </w:t>
      </w:r>
    </w:p>
    <w:tbl>
      <w:tblPr>
        <w:tblStyle w:val="ItadPulloutBoxGrey"/>
        <w:tblpPr w:leftFromText="180" w:rightFromText="180" w:vertAnchor="text" w:horzAnchor="margin" w:tblpY="66"/>
        <w:tblW w:w="9088" w:type="dxa"/>
        <w:tblInd w:w="0" w:type="dxa"/>
        <w:tblLook w:val="04A0" w:firstRow="1" w:lastRow="0" w:firstColumn="1" w:lastColumn="0" w:noHBand="0" w:noVBand="1"/>
      </w:tblPr>
      <w:tblGrid>
        <w:gridCol w:w="9088"/>
      </w:tblGrid>
      <w:tr w:rsidR="001A406E" w:rsidRPr="00692E6F" w14:paraId="23EF0084" w14:textId="77777777" w:rsidTr="008C1BFD">
        <w:tc>
          <w:tcPr>
            <w:tcW w:w="9088" w:type="dxa"/>
          </w:tcPr>
          <w:p w14:paraId="0C2C8B77" w14:textId="6443874B" w:rsidR="001A406E" w:rsidRPr="00692E6F" w:rsidRDefault="001A406E" w:rsidP="008C1BFD">
            <w:pPr>
              <w:rPr>
                <w:color w:val="3B3B3C" w:themeColor="text1"/>
              </w:rPr>
            </w:pPr>
            <w:r w:rsidRPr="0008026C">
              <w:rPr>
                <w:rFonts w:asciiTheme="minorHAnsi" w:hAnsiTheme="minorHAnsi" w:cstheme="minorHAnsi"/>
                <w:b/>
              </w:rPr>
              <w:t>EQ</w:t>
            </w:r>
            <w:r>
              <w:rPr>
                <w:rFonts w:asciiTheme="minorHAnsi" w:hAnsiTheme="minorHAnsi" w:cstheme="minorHAnsi"/>
                <w:b/>
              </w:rPr>
              <w:t xml:space="preserve">4 </w:t>
            </w:r>
            <w:r w:rsidRPr="00F44D05">
              <w:rPr>
                <w:rFonts w:asciiTheme="minorHAnsi" w:hAnsiTheme="minorHAnsi" w:cstheme="minorHAnsi"/>
                <w:bCs/>
              </w:rPr>
              <w:t>Has, or is it likely that the increase in AMR data influenced: a) changes in national policies/</w:t>
            </w:r>
            <w:r w:rsidR="00D14A32">
              <w:rPr>
                <w:rFonts w:asciiTheme="minorHAnsi" w:hAnsiTheme="minorHAnsi" w:cstheme="minorHAnsi"/>
                <w:bCs/>
              </w:rPr>
              <w:t xml:space="preserve"> </w:t>
            </w:r>
            <w:r w:rsidRPr="00F44D05">
              <w:rPr>
                <w:rFonts w:asciiTheme="minorHAnsi" w:hAnsiTheme="minorHAnsi" w:cstheme="minorHAnsi"/>
                <w:bCs/>
              </w:rPr>
              <w:t>regulations? and/or b) changes in practice and attitudes in country?</w:t>
            </w:r>
            <w:r>
              <w:rPr>
                <w:rFonts w:asciiTheme="minorHAnsi" w:hAnsiTheme="minorHAnsi" w:cstheme="minorHAnsi"/>
                <w:b/>
                <w:bCs/>
              </w:rPr>
              <w:t xml:space="preserve"> </w:t>
            </w:r>
          </w:p>
        </w:tc>
      </w:tr>
    </w:tbl>
    <w:p w14:paraId="4B417FDD" w14:textId="7FF1BF15" w:rsidR="5205A6E4" w:rsidRDefault="5205A6E4" w:rsidP="310D842E">
      <w:pPr>
        <w:jc w:val="both"/>
      </w:pPr>
    </w:p>
    <w:p w14:paraId="7087DF9A" w14:textId="60EF6EA7" w:rsidR="5205A6E4" w:rsidRPr="001A406E" w:rsidRDefault="06E10E83" w:rsidP="001A406E">
      <w:pPr>
        <w:rPr>
          <w:rFonts w:eastAsia="Calibri" w:cs="Calibri"/>
          <w:b/>
          <w:color w:val="767171" w:themeColor="background2" w:themeShade="80"/>
        </w:rPr>
      </w:pPr>
      <w:r w:rsidRPr="001A406E">
        <w:rPr>
          <w:rFonts w:eastAsia="Calibri" w:cs="Calibri"/>
          <w:b/>
          <w:color w:val="767171" w:themeColor="background2" w:themeShade="80"/>
        </w:rPr>
        <w:t xml:space="preserve">How we applied the method </w:t>
      </w:r>
    </w:p>
    <w:p w14:paraId="43C9460D" w14:textId="07E5D788" w:rsidR="5205A6E4" w:rsidRDefault="06E10E83" w:rsidP="00BB4743">
      <w:pPr>
        <w:pStyle w:val="ItadNormalText"/>
      </w:pPr>
      <w:r w:rsidRPr="310D842E">
        <w:t>The EoU method was applied over a standard design – implement – analyse – reflect cycle.</w:t>
      </w:r>
    </w:p>
    <w:p w14:paraId="4AA12FBB" w14:textId="1C1C9380" w:rsidR="5205A6E4" w:rsidRDefault="06E10E83" w:rsidP="00BB4743">
      <w:pPr>
        <w:pStyle w:val="ItadNormalText"/>
      </w:pPr>
      <w:r w:rsidRPr="310D842E">
        <w:t xml:space="preserve">The EoU approach was developed for maximum simplicity. A one-page template was developed for facility-level narrative reporting of examples of data use. Template completion was integrated into </w:t>
      </w:r>
      <w:r w:rsidR="00D14A32">
        <w:t xml:space="preserve">the </w:t>
      </w:r>
      <w:r w:rsidRPr="310D842E">
        <w:t xml:space="preserve">wider evaluation data collection as an opportunity for </w:t>
      </w:r>
      <w:r w:rsidR="00D14A32">
        <w:t xml:space="preserve">a </w:t>
      </w:r>
      <w:r w:rsidRPr="310D842E">
        <w:t xml:space="preserve">repeated offering to stakeholders including </w:t>
      </w:r>
      <w:r w:rsidR="00C8452F">
        <w:t xml:space="preserve">the </w:t>
      </w:r>
      <w:r w:rsidRPr="310D842E">
        <w:t xml:space="preserve">MA and CG </w:t>
      </w:r>
      <w:r w:rsidR="004A19D7">
        <w:t>collaborating on</w:t>
      </w:r>
      <w:r w:rsidRPr="310D842E">
        <w:t xml:space="preserve"> country data collection </w:t>
      </w:r>
      <w:r w:rsidR="00EB1294" w:rsidRPr="310D842E">
        <w:t>and</w:t>
      </w:r>
      <w:r w:rsidRPr="310D842E">
        <w:t xml:space="preserve"> KII</w:t>
      </w:r>
      <w:r w:rsidR="00AE607F">
        <w:t>s</w:t>
      </w:r>
      <w:r w:rsidRPr="310D842E">
        <w:t xml:space="preserve"> when making claims about local data uses. This approach was piloted </w:t>
      </w:r>
      <w:r w:rsidR="00F60804">
        <w:t xml:space="preserve">in the </w:t>
      </w:r>
      <w:r w:rsidRPr="310D842E">
        <w:t>initial evaluation data collection countries, with adjustments then made for wider application.</w:t>
      </w:r>
    </w:p>
    <w:p w14:paraId="4F1DB4B1" w14:textId="39D0E7E5" w:rsidR="5205A6E4" w:rsidRDefault="06E10E83" w:rsidP="00BB4743">
      <w:pPr>
        <w:pStyle w:val="ItadNormalText"/>
      </w:pPr>
      <w:r w:rsidRPr="310D842E">
        <w:t>EoU were then gathered country by country as part of wider engagement for evaluation data collection, using an approach akin to snowball sampling in which E</w:t>
      </w:r>
      <w:r w:rsidR="00C90BF7">
        <w:t>o</w:t>
      </w:r>
      <w:r w:rsidRPr="310D842E">
        <w:t>U were requested following any indication that stakeholders may have relevant information to provide. For example</w:t>
      </w:r>
      <w:r w:rsidR="00C90BF7">
        <w:t>, the</w:t>
      </w:r>
      <w:r w:rsidRPr="310D842E">
        <w:t xml:space="preserve"> MA and CG were invited to submit EoU in order to communicate programme results</w:t>
      </w:r>
      <w:r w:rsidR="00245CA7">
        <w:t>,</w:t>
      </w:r>
      <w:r w:rsidRPr="310D842E">
        <w:t xml:space="preserve"> </w:t>
      </w:r>
      <w:r w:rsidR="00F35ED0">
        <w:t>key informants</w:t>
      </w:r>
      <w:r w:rsidR="00AE607F">
        <w:t xml:space="preserve"> (</w:t>
      </w:r>
      <w:r w:rsidRPr="310D842E">
        <w:t>KI</w:t>
      </w:r>
      <w:r w:rsidR="00AE607F">
        <w:t>s)</w:t>
      </w:r>
      <w:r w:rsidRPr="310D842E">
        <w:t xml:space="preserve"> were prompted to back up any verbal claims about local change by providing</w:t>
      </w:r>
      <w:r w:rsidR="00F60804">
        <w:t xml:space="preserve"> the</w:t>
      </w:r>
      <w:r w:rsidRPr="310D842E">
        <w:t xml:space="preserve"> details on an EoU form</w:t>
      </w:r>
      <w:r w:rsidR="00245CA7">
        <w:t>,</w:t>
      </w:r>
      <w:r w:rsidRPr="310D842E">
        <w:t xml:space="preserve"> and staff engaged in lab</w:t>
      </w:r>
      <w:r w:rsidR="0073725C">
        <w:t>or</w:t>
      </w:r>
      <w:r w:rsidR="001D3BF4">
        <w:t>atory</w:t>
      </w:r>
      <w:r w:rsidRPr="310D842E">
        <w:t xml:space="preserve"> visits were invited to complete an EoU to record known uses of the data they produce. </w:t>
      </w:r>
    </w:p>
    <w:p w14:paraId="7367E278" w14:textId="2184EB23" w:rsidR="5205A6E4" w:rsidRDefault="06E10E83" w:rsidP="00BB4743">
      <w:pPr>
        <w:pStyle w:val="ItadNormalText"/>
      </w:pPr>
      <w:r w:rsidRPr="310D842E">
        <w:t>EoU analysis proceeded using basic qualitative techniques. Individual EoU were first checked for inclusion based on valid claims about data use. No independent verification was attempted. EoU were then added to a database assigning categories to each example, for example</w:t>
      </w:r>
      <w:r w:rsidR="00245CA7">
        <w:t>,</w:t>
      </w:r>
      <w:r w:rsidRPr="310D842E">
        <w:t xml:space="preserve"> based on </w:t>
      </w:r>
      <w:r w:rsidR="00963708">
        <w:t xml:space="preserve">the </w:t>
      </w:r>
      <w:r w:rsidRPr="310D842E">
        <w:t>assessment of the evident objective (</w:t>
      </w:r>
      <w:r w:rsidR="0091198B">
        <w:t>Antimicrobial Stewardship (</w:t>
      </w:r>
      <w:r w:rsidRPr="310D842E">
        <w:t>AMS</w:t>
      </w:r>
      <w:r w:rsidR="0091198B">
        <w:t>)</w:t>
      </w:r>
      <w:r w:rsidRPr="310D842E">
        <w:t xml:space="preserve">, </w:t>
      </w:r>
      <w:r w:rsidR="008357CD" w:rsidRPr="008357CD">
        <w:t xml:space="preserve">Infection Prevention </w:t>
      </w:r>
      <w:r w:rsidR="00DA6EA8">
        <w:t>and</w:t>
      </w:r>
      <w:r w:rsidR="008357CD" w:rsidRPr="008357CD">
        <w:t xml:space="preserve"> Control </w:t>
      </w:r>
      <w:r w:rsidR="008357CD">
        <w:t>(</w:t>
      </w:r>
      <w:r w:rsidRPr="310D842E">
        <w:t>IPC</w:t>
      </w:r>
      <w:r w:rsidR="008357CD">
        <w:t>)</w:t>
      </w:r>
      <w:r w:rsidRPr="310D842E">
        <w:t xml:space="preserve">, both or other) and result (attitudes, practice, policy, regulation) of the specified data use. Simple thematic analysis was also undertaken, notably considering text from the ‘what changed’ section of the EoU form. </w:t>
      </w:r>
    </w:p>
    <w:p w14:paraId="2B00D045" w14:textId="38B6773B" w:rsidR="5205A6E4" w:rsidRDefault="06E10E83" w:rsidP="00BB4743">
      <w:pPr>
        <w:pStyle w:val="ItadNormalText"/>
      </w:pPr>
      <w:r w:rsidRPr="310D842E">
        <w:t xml:space="preserve">Final reflections were then generated </w:t>
      </w:r>
      <w:r w:rsidR="006A7684" w:rsidRPr="310D842E">
        <w:t>based on</w:t>
      </w:r>
      <w:r w:rsidRPr="310D842E">
        <w:t xml:space="preserve"> EoU analysis, notably combining EoU insights with observations from other methods relevant to data use evaluation (</w:t>
      </w:r>
      <w:r w:rsidR="009029DA" w:rsidRPr="310D842E">
        <w:t>i.e.</w:t>
      </w:r>
      <w:r w:rsidRPr="310D842E">
        <w:t xml:space="preserve"> national policy agenda analysis and contribution analysis – </w:t>
      </w:r>
      <w:r w:rsidRPr="009029DA">
        <w:t>see</w:t>
      </w:r>
      <w:r w:rsidR="00966D5F">
        <w:t xml:space="preserve"> </w:t>
      </w:r>
      <w:r w:rsidR="00966D5F">
        <w:fldChar w:fldCharType="begin"/>
      </w:r>
      <w:r w:rsidR="00966D5F">
        <w:instrText xml:space="preserve"> REF _Ref121836579 \r \h </w:instrText>
      </w:r>
      <w:r w:rsidR="00C83BFF">
        <w:instrText xml:space="preserve"> \* MERGEFORMAT </w:instrText>
      </w:r>
      <w:r w:rsidR="00966D5F">
        <w:fldChar w:fldCharType="separate"/>
      </w:r>
      <w:r w:rsidR="009A383C">
        <w:t>1.3.1</w:t>
      </w:r>
      <w:r w:rsidR="00966D5F">
        <w:fldChar w:fldCharType="end"/>
      </w:r>
      <w:r w:rsidRPr="009029DA">
        <w:t xml:space="preserve"> above</w:t>
      </w:r>
      <w:r w:rsidRPr="310D842E">
        <w:t xml:space="preserve">). </w:t>
      </w:r>
    </w:p>
    <w:p w14:paraId="01352CD6" w14:textId="51BF39FA" w:rsidR="5205A6E4" w:rsidRDefault="06E10E83" w:rsidP="001A406E">
      <w:pPr>
        <w:pStyle w:val="ItadH4"/>
      </w:pPr>
      <w:r w:rsidRPr="310D842E">
        <w:t>Why were Examples of Use an appropriate method for this evaluation?</w:t>
      </w:r>
      <w:r w:rsidR="007458AC">
        <w:t xml:space="preserve"> </w:t>
      </w:r>
    </w:p>
    <w:p w14:paraId="0CD946A4" w14:textId="6EBC4763" w:rsidR="5205A6E4" w:rsidRDefault="06E10E83" w:rsidP="00BB4743">
      <w:pPr>
        <w:pStyle w:val="ItadNormalText"/>
      </w:pPr>
      <w:r w:rsidRPr="310D842E">
        <w:t>EoU were especially helpful in answering part (b) of EQ4, which concerns changes in practice and attitudes in country. The existing evidence for practice and attitudes around AMR data use is relatively weak and unreliable, forming one aspect of the relative under-development of AMR social science</w:t>
      </w:r>
      <w:r w:rsidR="539C0527" w:rsidRPr="06450652">
        <w:t>.</w:t>
      </w:r>
      <w:r w:rsidRPr="00BB4743">
        <w:rPr>
          <w:vertAlign w:val="superscript"/>
        </w:rPr>
        <w:footnoteReference w:id="18"/>
      </w:r>
      <w:r w:rsidRPr="310D842E">
        <w:t xml:space="preserve"> Typically, isolated local studies in LMIC indicate cause for concern about AMR practices and attitudes generally, often implied from </w:t>
      </w:r>
      <w:r w:rsidR="001B493E">
        <w:t xml:space="preserve">the </w:t>
      </w:r>
      <w:r w:rsidRPr="310D842E">
        <w:t xml:space="preserve">assessed issues of awareness and knowledge. There is little evidence </w:t>
      </w:r>
      <w:r w:rsidR="006209DE">
        <w:t>o</w:t>
      </w:r>
      <w:r w:rsidR="00A4797E">
        <w:t>f</w:t>
      </w:r>
      <w:r w:rsidR="006209DE" w:rsidRPr="310D842E">
        <w:t xml:space="preserve"> </w:t>
      </w:r>
      <w:r w:rsidRPr="310D842E">
        <w:t xml:space="preserve">the relationship of AMR data to local practices or attitudes at the facility level and none that might be used to assess the results of </w:t>
      </w:r>
      <w:r w:rsidR="002F1591" w:rsidRPr="002F1591">
        <w:t>Fleming Fund</w:t>
      </w:r>
      <w:r w:rsidRPr="310D842E">
        <w:t xml:space="preserve"> investments. It was therefore appropriate to seek primary data collection about these phenomena. </w:t>
      </w:r>
    </w:p>
    <w:p w14:paraId="63EC86E2" w14:textId="4A532EFE" w:rsidR="5205A6E4" w:rsidRDefault="06E10E83" w:rsidP="00BB4743">
      <w:pPr>
        <w:pStyle w:val="ItadNormalText"/>
      </w:pPr>
      <w:r w:rsidRPr="310D842E">
        <w:t xml:space="preserve">EoU design as an Outcome Harvesting approach was appropriate because </w:t>
      </w:r>
      <w:r w:rsidR="00A44110" w:rsidRPr="00A44110">
        <w:t xml:space="preserve">the </w:t>
      </w:r>
      <w:r w:rsidR="009E2AC2">
        <w:t>phase 1</w:t>
      </w:r>
      <w:r w:rsidR="00A44110" w:rsidRPr="00A44110">
        <w:t xml:space="preserve"> ToC was not very specific about the intended facility-level changes and results</w:t>
      </w:r>
      <w:r w:rsidRPr="310D842E">
        <w:t>. Although facility-level change was considered as a possible priority at the inception phase</w:t>
      </w:r>
      <w:r w:rsidR="13E954BC" w:rsidRPr="06450652">
        <w:t>,</w:t>
      </w:r>
      <w:r w:rsidRPr="310D842E">
        <w:t xml:space="preserve"> ToC outcome statements were left relatively open and the Results Framework emphasised national-level change. Growing programme demand for evaluative insights into facility-level change therefore required the application of an inductive approach rather than the deductive techniques more favoured by convention.</w:t>
      </w:r>
    </w:p>
    <w:p w14:paraId="77B0C390" w14:textId="2F8C533B" w:rsidR="06450652" w:rsidRDefault="06E10E83" w:rsidP="00BB4743">
      <w:pPr>
        <w:pStyle w:val="ItadNormalText"/>
        <w:rPr>
          <w:rFonts w:eastAsia="Calibri" w:cs="Calibri"/>
        </w:rPr>
      </w:pPr>
      <w:r w:rsidRPr="310D842E">
        <w:t xml:space="preserve">EoU were also appropriate for this evaluation because of the way that they combined Outcome Harvesting with Stories of Change narrative reporting techniques. This is a </w:t>
      </w:r>
      <w:r w:rsidR="00526015" w:rsidRPr="310D842E">
        <w:t>constructive</w:t>
      </w:r>
      <w:r w:rsidRPr="310D842E">
        <w:t xml:space="preserve"> approach to Outcome Harvesting aimed at maximum learning, emphasising the benefits of stakeholder participation in ‘bottom-up’ approaches to programme implementation and the potential for improved communication of programme results. Its validity is confirmed by prior </w:t>
      </w:r>
      <w:r w:rsidR="005D6AF7">
        <w:t>His Majesty’s Government (</w:t>
      </w:r>
      <w:r w:rsidRPr="310D842E">
        <w:t>HMG</w:t>
      </w:r>
      <w:r w:rsidR="005D6AF7">
        <w:t>)</w:t>
      </w:r>
      <w:r w:rsidRPr="310D842E">
        <w:t xml:space="preserve"> experience with evaluation in global programmes involving development partnership subject to high levels of potential contextual variation across countries and several layers of reporting between ‘ground truth’ and </w:t>
      </w:r>
      <w:r w:rsidR="00EA1F27">
        <w:t xml:space="preserve">the </w:t>
      </w:r>
      <w:r w:rsidRPr="310D842E">
        <w:t>investing agency decision-making.</w:t>
      </w:r>
      <w:r w:rsidR="00B6022A">
        <w:t xml:space="preserve"> </w:t>
      </w:r>
      <w:r w:rsidR="00B6022A" w:rsidRPr="310D842E">
        <w:t xml:space="preserve">See </w:t>
      </w:r>
      <w:r w:rsidR="00B6022A" w:rsidRPr="005663C3">
        <w:t xml:space="preserve">Annex </w:t>
      </w:r>
      <w:r w:rsidR="001603DD">
        <w:t>9</w:t>
      </w:r>
      <w:r w:rsidR="00B6022A" w:rsidRPr="310D842E">
        <w:t xml:space="preserve"> for more detail on </w:t>
      </w:r>
      <w:r w:rsidR="00B6022A">
        <w:t>EoU.</w:t>
      </w:r>
    </w:p>
    <w:p w14:paraId="2BB578D7" w14:textId="34BAA65E" w:rsidR="00D970EC" w:rsidRDefault="00D970EC" w:rsidP="00BB4743">
      <w:pPr>
        <w:pStyle w:val="ItadH3Numbered"/>
        <w:keepNext/>
      </w:pPr>
      <w:bookmarkStart w:id="68" w:name="_Toc118968503"/>
      <w:bookmarkStart w:id="69" w:name="_Toc142383144"/>
      <w:r w:rsidRPr="006E7ECD">
        <w:t xml:space="preserve">Value for </w:t>
      </w:r>
      <w:r w:rsidR="00764EB0">
        <w:t>m</w:t>
      </w:r>
      <w:r w:rsidRPr="006E7ECD">
        <w:t>oney</w:t>
      </w:r>
      <w:bookmarkEnd w:id="68"/>
      <w:bookmarkEnd w:id="69"/>
      <w:r w:rsidRPr="006E7ECD">
        <w:t xml:space="preserve"> </w:t>
      </w:r>
    </w:p>
    <w:p w14:paraId="37A67976" w14:textId="77777777" w:rsidR="00C94980" w:rsidRPr="00216A42" w:rsidRDefault="00C94980" w:rsidP="00BB4743">
      <w:pPr>
        <w:pStyle w:val="ItadH4"/>
        <w:keepNext/>
        <w:rPr>
          <w:rFonts w:asciiTheme="minorHAnsi" w:eastAsia="Times New Roman" w:hAnsiTheme="minorHAnsi" w:cstheme="minorHAnsi"/>
          <w:b w:val="0"/>
          <w:bCs w:val="0"/>
          <w:color w:val="000000"/>
        </w:rPr>
      </w:pPr>
      <w:r w:rsidRPr="00216A42">
        <w:t>Our approach</w:t>
      </w:r>
    </w:p>
    <w:p w14:paraId="420781F1" w14:textId="77777777" w:rsidR="001A406E" w:rsidRPr="002B4181" w:rsidRDefault="001A406E" w:rsidP="00BB4743">
      <w:pPr>
        <w:pStyle w:val="ItadH4"/>
        <w:keepNext/>
      </w:pPr>
      <w:r w:rsidRPr="002B4181">
        <w:t xml:space="preserve">Which </w:t>
      </w:r>
      <w:r>
        <w:t>EQ</w:t>
      </w:r>
      <w:r w:rsidRPr="002B4181">
        <w:t>s does this method help answer?</w:t>
      </w:r>
    </w:p>
    <w:p w14:paraId="3510C1CF" w14:textId="7C60F8FB" w:rsidR="001A406E" w:rsidRDefault="001A406E" w:rsidP="001A406E">
      <w:pPr>
        <w:spacing w:before="120" w:after="160" w:line="264" w:lineRule="auto"/>
        <w:jc w:val="both"/>
      </w:pPr>
      <w:r>
        <w:t xml:space="preserve">VfM analyses </w:t>
      </w:r>
      <w:r w:rsidR="00BB42A9">
        <w:t xml:space="preserve">have </w:t>
      </w:r>
      <w:r>
        <w:t>been used to answer the</w:t>
      </w:r>
      <w:r w:rsidRPr="008658EB">
        <w:t xml:space="preserve"> following </w:t>
      </w:r>
      <w:r>
        <w:t xml:space="preserve">EQ: </w:t>
      </w:r>
    </w:p>
    <w:tbl>
      <w:tblPr>
        <w:tblStyle w:val="ItadPulloutBoxGrey"/>
        <w:tblpPr w:leftFromText="180" w:rightFromText="180" w:vertAnchor="text" w:horzAnchor="margin" w:tblpY="66"/>
        <w:tblW w:w="9088" w:type="dxa"/>
        <w:tblInd w:w="0" w:type="dxa"/>
        <w:tblLook w:val="04A0" w:firstRow="1" w:lastRow="0" w:firstColumn="1" w:lastColumn="0" w:noHBand="0" w:noVBand="1"/>
      </w:tblPr>
      <w:tblGrid>
        <w:gridCol w:w="9088"/>
      </w:tblGrid>
      <w:tr w:rsidR="001A406E" w:rsidRPr="00692E6F" w14:paraId="033E8E82" w14:textId="77777777" w:rsidTr="008C1BFD">
        <w:tc>
          <w:tcPr>
            <w:tcW w:w="9088" w:type="dxa"/>
          </w:tcPr>
          <w:p w14:paraId="5EE7F212" w14:textId="0BED5FC7" w:rsidR="001A406E" w:rsidRPr="00692E6F" w:rsidRDefault="001A406E" w:rsidP="008C1BFD">
            <w:pPr>
              <w:rPr>
                <w:color w:val="3B3B3C" w:themeColor="text1"/>
              </w:rPr>
            </w:pPr>
            <w:r w:rsidRPr="0008026C">
              <w:rPr>
                <w:rFonts w:asciiTheme="minorHAnsi" w:hAnsiTheme="minorHAnsi" w:cstheme="minorHAnsi"/>
                <w:b/>
              </w:rPr>
              <w:t>EQ</w:t>
            </w:r>
            <w:r w:rsidR="00E65D64">
              <w:rPr>
                <w:rFonts w:asciiTheme="minorHAnsi" w:hAnsiTheme="minorHAnsi" w:cstheme="minorHAnsi"/>
                <w:b/>
              </w:rPr>
              <w:t>6</w:t>
            </w:r>
            <w:r w:rsidR="007458AC">
              <w:rPr>
                <w:rFonts w:asciiTheme="minorHAnsi" w:hAnsiTheme="minorHAnsi" w:cstheme="minorHAnsi"/>
                <w:b/>
              </w:rPr>
              <w:t xml:space="preserve"> </w:t>
            </w:r>
            <w:r w:rsidR="00E65D64" w:rsidRPr="00E65D64">
              <w:rPr>
                <w:rFonts w:asciiTheme="minorHAnsi" w:hAnsiTheme="minorHAnsi" w:cstheme="minorHAnsi"/>
                <w:bCs/>
              </w:rPr>
              <w:t xml:space="preserve">Did the Fleming Fund's investments at country level offer </w:t>
            </w:r>
            <w:r w:rsidR="00A927E3" w:rsidRPr="00E65D64">
              <w:rPr>
                <w:rFonts w:asciiTheme="minorHAnsi" w:hAnsiTheme="minorHAnsi" w:cstheme="minorHAnsi"/>
                <w:bCs/>
              </w:rPr>
              <w:t>V</w:t>
            </w:r>
            <w:r w:rsidR="00A927E3">
              <w:rPr>
                <w:rFonts w:asciiTheme="minorHAnsi" w:hAnsiTheme="minorHAnsi" w:cstheme="minorHAnsi"/>
                <w:bCs/>
              </w:rPr>
              <w:t>f</w:t>
            </w:r>
            <w:r w:rsidR="00A927E3" w:rsidRPr="00E65D64">
              <w:rPr>
                <w:rFonts w:asciiTheme="minorHAnsi" w:hAnsiTheme="minorHAnsi" w:cstheme="minorHAnsi"/>
                <w:bCs/>
              </w:rPr>
              <w:t>M</w:t>
            </w:r>
            <w:r w:rsidR="00E65D64" w:rsidRPr="00E65D64">
              <w:rPr>
                <w:rFonts w:asciiTheme="minorHAnsi" w:hAnsiTheme="minorHAnsi" w:cstheme="minorHAnsi"/>
                <w:bCs/>
              </w:rPr>
              <w:t>?</w:t>
            </w:r>
          </w:p>
        </w:tc>
      </w:tr>
    </w:tbl>
    <w:p w14:paraId="72F5F700" w14:textId="77777777" w:rsidR="00E65D64" w:rsidRDefault="00E65D64" w:rsidP="00C94980">
      <w:pPr>
        <w:jc w:val="both"/>
        <w:rPr>
          <w:rFonts w:eastAsia="Times New Roman" w:cstheme="minorHAnsi"/>
          <w:color w:val="000000"/>
        </w:rPr>
      </w:pPr>
    </w:p>
    <w:p w14:paraId="088E8128" w14:textId="7CD78428" w:rsidR="00C94980" w:rsidRPr="00216A42" w:rsidRDefault="00C94980" w:rsidP="00C94980">
      <w:pPr>
        <w:jc w:val="both"/>
        <w:rPr>
          <w:rFonts w:asciiTheme="minorHAnsi" w:eastAsia="Times New Roman" w:hAnsiTheme="minorHAnsi" w:cstheme="minorHAnsi"/>
          <w:color w:val="000000"/>
        </w:rPr>
      </w:pPr>
      <w:r w:rsidRPr="00216A42">
        <w:rPr>
          <w:rFonts w:asciiTheme="minorHAnsi" w:eastAsia="Times New Roman" w:hAnsiTheme="minorHAnsi" w:cstheme="minorHAnsi"/>
          <w:color w:val="000000"/>
        </w:rPr>
        <w:t>To answer this, we addressed two sub-questions, as follows:</w:t>
      </w:r>
    </w:p>
    <w:p w14:paraId="5DFD947A" w14:textId="77777777" w:rsidR="00C94980" w:rsidRPr="00216A42" w:rsidRDefault="00C94980" w:rsidP="00C94980">
      <w:pPr>
        <w:jc w:val="both"/>
        <w:rPr>
          <w:rFonts w:asciiTheme="minorHAnsi" w:eastAsia="Times New Roman" w:hAnsiTheme="minorHAnsi" w:cstheme="minorHAnsi"/>
          <w:color w:val="000000"/>
        </w:rPr>
      </w:pPr>
    </w:p>
    <w:p w14:paraId="6435E7F5" w14:textId="3098C9FE" w:rsidR="00C94980" w:rsidRPr="00216A42" w:rsidRDefault="00CE24CE" w:rsidP="00C6374D">
      <w:pPr>
        <w:pStyle w:val="ListParagraph"/>
        <w:numPr>
          <w:ilvl w:val="0"/>
          <w:numId w:val="88"/>
        </w:numPr>
        <w:spacing w:after="160" w:line="256" w:lineRule="auto"/>
        <w:jc w:val="both"/>
        <w:rPr>
          <w:rFonts w:eastAsia="Times New Roman" w:cstheme="minorHAnsi"/>
          <w:color w:val="000000"/>
        </w:rPr>
      </w:pPr>
      <w:r>
        <w:rPr>
          <w:rFonts w:eastAsia="Times New Roman" w:cstheme="minorHAnsi"/>
          <w:color w:val="000000"/>
        </w:rPr>
        <w:t>EQ</w:t>
      </w:r>
      <w:r w:rsidR="00C94980" w:rsidRPr="00216A42">
        <w:rPr>
          <w:rFonts w:eastAsia="Times New Roman" w:cstheme="minorHAnsi"/>
          <w:color w:val="000000"/>
        </w:rPr>
        <w:t xml:space="preserve">6A To what extent did the </w:t>
      </w:r>
      <w:r w:rsidR="002F1591" w:rsidRPr="002F1591">
        <w:rPr>
          <w:rFonts w:eastAsia="Times New Roman" w:cstheme="minorHAnsi"/>
          <w:color w:val="000000"/>
        </w:rPr>
        <w:t>Fleming Fund</w:t>
      </w:r>
      <w:r w:rsidR="00C94980" w:rsidRPr="00216A42">
        <w:rPr>
          <w:rFonts w:eastAsia="Times New Roman" w:cstheme="minorHAnsi"/>
          <w:color w:val="000000"/>
        </w:rPr>
        <w:t xml:space="preserve"> (MA and DHSC) manage </w:t>
      </w:r>
      <w:r w:rsidR="00E42026" w:rsidRPr="00216A42">
        <w:rPr>
          <w:rFonts w:eastAsia="Times New Roman" w:cstheme="minorHAnsi"/>
          <w:color w:val="000000"/>
        </w:rPr>
        <w:t>for</w:t>
      </w:r>
      <w:r w:rsidR="00E42026">
        <w:rPr>
          <w:rFonts w:eastAsia="Times New Roman" w:cstheme="minorHAnsi"/>
          <w:color w:val="000000"/>
        </w:rPr>
        <w:t xml:space="preserve"> </w:t>
      </w:r>
      <w:r w:rsidR="00E42026" w:rsidRPr="00216A42">
        <w:rPr>
          <w:rFonts w:eastAsia="Times New Roman" w:cstheme="minorHAnsi"/>
          <w:color w:val="000000"/>
        </w:rPr>
        <w:t>V</w:t>
      </w:r>
      <w:r w:rsidR="00E42026">
        <w:rPr>
          <w:rFonts w:eastAsia="Times New Roman" w:cstheme="minorHAnsi"/>
          <w:color w:val="000000"/>
        </w:rPr>
        <w:t>f</w:t>
      </w:r>
      <w:r w:rsidR="00E42026" w:rsidRPr="00216A42">
        <w:rPr>
          <w:rFonts w:eastAsia="Times New Roman" w:cstheme="minorHAnsi"/>
          <w:color w:val="000000"/>
        </w:rPr>
        <w:t>M</w:t>
      </w:r>
      <w:r w:rsidR="00C94980" w:rsidRPr="00216A42">
        <w:rPr>
          <w:rFonts w:eastAsia="Times New Roman" w:cstheme="minorHAnsi"/>
          <w:color w:val="000000"/>
        </w:rPr>
        <w:t>? Have resources been managed to achieve impact at country level?</w:t>
      </w:r>
    </w:p>
    <w:p w14:paraId="03108177" w14:textId="743EA07C" w:rsidR="00C94980" w:rsidRPr="00216A42" w:rsidRDefault="00CE24CE" w:rsidP="00C6374D">
      <w:pPr>
        <w:pStyle w:val="ListParagraph"/>
        <w:numPr>
          <w:ilvl w:val="0"/>
          <w:numId w:val="88"/>
        </w:numPr>
        <w:spacing w:after="160" w:line="256" w:lineRule="auto"/>
        <w:jc w:val="both"/>
        <w:rPr>
          <w:rFonts w:eastAsia="Times New Roman" w:cstheme="minorHAnsi"/>
          <w:color w:val="000000"/>
        </w:rPr>
      </w:pPr>
      <w:r>
        <w:rPr>
          <w:rFonts w:eastAsia="Times New Roman" w:cstheme="minorHAnsi"/>
          <w:color w:val="000000"/>
        </w:rPr>
        <w:t>EQ</w:t>
      </w:r>
      <w:r w:rsidR="00C94980" w:rsidRPr="00216A42">
        <w:rPr>
          <w:rFonts w:eastAsia="Times New Roman" w:cstheme="minorHAnsi"/>
          <w:color w:val="000000"/>
        </w:rPr>
        <w:t xml:space="preserve">6B To what extent did the </w:t>
      </w:r>
      <w:r w:rsidR="002F1591" w:rsidRPr="002F1591">
        <w:rPr>
          <w:rFonts w:eastAsia="Times New Roman" w:cstheme="minorHAnsi"/>
          <w:color w:val="000000"/>
        </w:rPr>
        <w:t>Fleming Fund</w:t>
      </w:r>
      <w:r w:rsidR="00C94980" w:rsidRPr="00216A42">
        <w:rPr>
          <w:rFonts w:eastAsia="Times New Roman" w:cstheme="minorHAnsi"/>
          <w:color w:val="000000"/>
        </w:rPr>
        <w:t xml:space="preserve"> </w:t>
      </w:r>
      <w:r w:rsidR="00E42026" w:rsidRPr="00216A42">
        <w:rPr>
          <w:rFonts w:eastAsia="Times New Roman" w:cstheme="minorHAnsi"/>
          <w:color w:val="000000"/>
        </w:rPr>
        <w:t>deliver</w:t>
      </w:r>
      <w:r w:rsidR="00E42026">
        <w:rPr>
          <w:rFonts w:eastAsia="Times New Roman" w:cstheme="minorHAnsi"/>
          <w:color w:val="000000"/>
        </w:rPr>
        <w:t xml:space="preserve"> </w:t>
      </w:r>
      <w:r w:rsidR="00E42026" w:rsidRPr="00216A42">
        <w:rPr>
          <w:rFonts w:eastAsia="Times New Roman" w:cstheme="minorHAnsi"/>
          <w:color w:val="000000"/>
        </w:rPr>
        <w:t>V</w:t>
      </w:r>
      <w:r w:rsidR="00E42026">
        <w:rPr>
          <w:rFonts w:eastAsia="Times New Roman" w:cstheme="minorHAnsi"/>
          <w:color w:val="000000"/>
        </w:rPr>
        <w:t>f</w:t>
      </w:r>
      <w:r w:rsidR="00E42026" w:rsidRPr="00216A42">
        <w:rPr>
          <w:rFonts w:eastAsia="Times New Roman" w:cstheme="minorHAnsi"/>
          <w:color w:val="000000"/>
        </w:rPr>
        <w:t>M</w:t>
      </w:r>
      <w:r w:rsidR="00C94980" w:rsidRPr="00216A42">
        <w:rPr>
          <w:rFonts w:eastAsia="Times New Roman" w:cstheme="minorHAnsi"/>
          <w:color w:val="000000"/>
        </w:rPr>
        <w:t xml:space="preserve">? Has </w:t>
      </w:r>
      <w:r w:rsidR="009E2AC2">
        <w:rPr>
          <w:rFonts w:eastAsia="Times New Roman" w:cstheme="minorHAnsi"/>
          <w:color w:val="000000"/>
        </w:rPr>
        <w:t>phase 1</w:t>
      </w:r>
      <w:r w:rsidR="00C94980" w:rsidRPr="00216A42">
        <w:rPr>
          <w:rFonts w:eastAsia="Times New Roman" w:cstheme="minorHAnsi"/>
          <w:color w:val="000000"/>
        </w:rPr>
        <w:t xml:space="preserve"> achieved what i</w:t>
      </w:r>
      <w:r w:rsidR="00E42026">
        <w:rPr>
          <w:rFonts w:eastAsia="Times New Roman" w:cstheme="minorHAnsi"/>
          <w:color w:val="000000"/>
        </w:rPr>
        <w:t>t</w:t>
      </w:r>
      <w:r w:rsidR="00C94980" w:rsidRPr="00216A42">
        <w:rPr>
          <w:rFonts w:eastAsia="Times New Roman" w:cstheme="minorHAnsi"/>
          <w:color w:val="000000"/>
        </w:rPr>
        <w:t xml:space="preserve"> set out to do at country level and delivered good </w:t>
      </w:r>
      <w:r w:rsidR="00256C1E">
        <w:rPr>
          <w:rFonts w:eastAsia="Times New Roman" w:cstheme="minorHAnsi"/>
          <w:color w:val="000000"/>
        </w:rPr>
        <w:t>VfM</w:t>
      </w:r>
      <w:r w:rsidR="00C94980" w:rsidRPr="00216A42">
        <w:rPr>
          <w:rFonts w:eastAsia="Times New Roman" w:cstheme="minorHAnsi"/>
          <w:color w:val="000000"/>
        </w:rPr>
        <w:t>?</w:t>
      </w:r>
    </w:p>
    <w:p w14:paraId="2B437571" w14:textId="77777777" w:rsidR="00C94980" w:rsidRPr="00216A42" w:rsidRDefault="00C94980" w:rsidP="001A406E">
      <w:pPr>
        <w:pStyle w:val="ItadH4"/>
        <w:rPr>
          <w:rFonts w:asciiTheme="minorHAnsi" w:eastAsia="Times New Roman" w:hAnsiTheme="minorHAnsi" w:cstheme="minorHAnsi"/>
          <w:b w:val="0"/>
          <w:bCs w:val="0"/>
          <w:color w:val="000000"/>
        </w:rPr>
      </w:pPr>
      <w:r w:rsidRPr="00216A42">
        <w:t>Methods</w:t>
      </w:r>
    </w:p>
    <w:p w14:paraId="55FD4745" w14:textId="0F2490C7" w:rsidR="00C94980" w:rsidRPr="00216A42" w:rsidRDefault="00C94980" w:rsidP="00C94980">
      <w:pPr>
        <w:jc w:val="both"/>
        <w:rPr>
          <w:rFonts w:asciiTheme="minorHAnsi" w:eastAsia="Times New Roman" w:hAnsiTheme="minorHAnsi" w:cstheme="minorHAnsi"/>
          <w:color w:val="000000"/>
        </w:rPr>
      </w:pPr>
      <w:r w:rsidRPr="00216A42">
        <w:rPr>
          <w:rFonts w:asciiTheme="minorHAnsi" w:eastAsia="Times New Roman" w:hAnsiTheme="minorHAnsi" w:cstheme="minorHAnsi"/>
          <w:color w:val="000000"/>
        </w:rPr>
        <w:t xml:space="preserve">We applied the UK </w:t>
      </w:r>
      <w:r w:rsidR="00D14C6B" w:rsidRPr="00D14C6B">
        <w:rPr>
          <w:rFonts w:asciiTheme="minorHAnsi" w:eastAsia="Times New Roman" w:hAnsiTheme="minorHAnsi" w:cstheme="minorHAnsi"/>
          <w:color w:val="000000"/>
        </w:rPr>
        <w:t xml:space="preserve">National Audit Office </w:t>
      </w:r>
      <w:r w:rsidR="00D14C6B">
        <w:rPr>
          <w:rFonts w:asciiTheme="minorHAnsi" w:eastAsia="Times New Roman" w:hAnsiTheme="minorHAnsi" w:cstheme="minorHAnsi"/>
          <w:color w:val="000000"/>
        </w:rPr>
        <w:t>(</w:t>
      </w:r>
      <w:r w:rsidRPr="00216A42">
        <w:rPr>
          <w:rFonts w:asciiTheme="minorHAnsi" w:eastAsia="Times New Roman" w:hAnsiTheme="minorHAnsi" w:cstheme="minorHAnsi"/>
          <w:color w:val="000000"/>
        </w:rPr>
        <w:t>NAO</w:t>
      </w:r>
      <w:r w:rsidR="00D14C6B">
        <w:rPr>
          <w:rFonts w:asciiTheme="minorHAnsi" w:eastAsia="Times New Roman" w:hAnsiTheme="minorHAnsi" w:cstheme="minorHAnsi"/>
          <w:color w:val="000000"/>
        </w:rPr>
        <w:t>)</w:t>
      </w:r>
      <w:r w:rsidRPr="00216A42">
        <w:rPr>
          <w:rFonts w:asciiTheme="minorHAnsi" w:eastAsia="Times New Roman" w:hAnsiTheme="minorHAnsi" w:cstheme="minorHAnsi"/>
          <w:color w:val="000000"/>
        </w:rPr>
        <w:t xml:space="preserve"> 3E (Economy, Efficiency, Effectiveness) framework to review if </w:t>
      </w:r>
      <w:r w:rsidR="00E97997">
        <w:rPr>
          <w:rFonts w:asciiTheme="minorHAnsi" w:eastAsia="Times New Roman" w:hAnsiTheme="minorHAnsi" w:cstheme="minorHAnsi"/>
          <w:color w:val="000000"/>
        </w:rPr>
        <w:t xml:space="preserve">the </w:t>
      </w:r>
      <w:r w:rsidR="002F1591" w:rsidRPr="002F1591">
        <w:rPr>
          <w:rFonts w:asciiTheme="minorHAnsi" w:eastAsia="Times New Roman" w:hAnsiTheme="minorHAnsi" w:cstheme="minorHAnsi"/>
          <w:color w:val="000000"/>
        </w:rPr>
        <w:t>Fleming Fund</w:t>
      </w:r>
      <w:r w:rsidRPr="00216A42">
        <w:rPr>
          <w:rFonts w:asciiTheme="minorHAnsi" w:eastAsia="Times New Roman" w:hAnsiTheme="minorHAnsi" w:cstheme="minorHAnsi"/>
          <w:color w:val="000000"/>
        </w:rPr>
        <w:t xml:space="preserve"> managed </w:t>
      </w:r>
      <w:r w:rsidR="00A955E1" w:rsidRPr="00216A42">
        <w:rPr>
          <w:rFonts w:asciiTheme="minorHAnsi" w:eastAsia="Times New Roman" w:hAnsiTheme="minorHAnsi" w:cstheme="minorHAnsi"/>
          <w:color w:val="000000"/>
        </w:rPr>
        <w:t>V</w:t>
      </w:r>
      <w:r w:rsidR="00A955E1">
        <w:rPr>
          <w:rFonts w:asciiTheme="minorHAnsi" w:eastAsia="Times New Roman" w:hAnsiTheme="minorHAnsi" w:cstheme="minorHAnsi"/>
          <w:color w:val="000000"/>
        </w:rPr>
        <w:t>f</w:t>
      </w:r>
      <w:r w:rsidR="00A955E1" w:rsidRPr="00216A42">
        <w:rPr>
          <w:rFonts w:asciiTheme="minorHAnsi" w:eastAsia="Times New Roman" w:hAnsiTheme="minorHAnsi" w:cstheme="minorHAnsi"/>
          <w:color w:val="000000"/>
        </w:rPr>
        <w:t xml:space="preserve">M </w:t>
      </w:r>
      <w:r w:rsidRPr="00216A42">
        <w:rPr>
          <w:rFonts w:asciiTheme="minorHAnsi" w:eastAsia="Times New Roman" w:hAnsiTheme="minorHAnsi" w:cstheme="minorHAnsi"/>
          <w:color w:val="000000"/>
        </w:rPr>
        <w:t>both at country and regional level</w:t>
      </w:r>
      <w:r w:rsidR="00A04187">
        <w:rPr>
          <w:rFonts w:asciiTheme="minorHAnsi" w:eastAsia="Times New Roman" w:hAnsiTheme="minorHAnsi" w:cstheme="minorHAnsi"/>
          <w:color w:val="000000"/>
        </w:rPr>
        <w:t>s</w:t>
      </w:r>
      <w:r w:rsidRPr="00216A42">
        <w:rPr>
          <w:rFonts w:asciiTheme="minorHAnsi" w:eastAsia="Times New Roman" w:hAnsiTheme="minorHAnsi" w:cstheme="minorHAnsi"/>
          <w:color w:val="000000"/>
        </w:rPr>
        <w:t>.</w:t>
      </w:r>
      <w:r w:rsidR="007458AC">
        <w:rPr>
          <w:rFonts w:asciiTheme="minorHAnsi" w:eastAsia="Times New Roman" w:hAnsiTheme="minorHAnsi" w:cstheme="minorHAnsi"/>
          <w:color w:val="000000"/>
        </w:rPr>
        <w:t xml:space="preserve"> </w:t>
      </w:r>
      <w:r w:rsidRPr="00216A42">
        <w:rPr>
          <w:rFonts w:asciiTheme="minorHAnsi" w:eastAsia="Times New Roman" w:hAnsiTheme="minorHAnsi" w:cstheme="minorHAnsi"/>
          <w:color w:val="000000"/>
        </w:rPr>
        <w:t xml:space="preserve">Our approach looks at how well resources have been managed to achieve impact (EQ6A – management) as well as what the </w:t>
      </w:r>
      <w:r w:rsidR="002F1591" w:rsidRPr="002F1591">
        <w:rPr>
          <w:rFonts w:asciiTheme="minorHAnsi" w:eastAsia="Times New Roman" w:hAnsiTheme="minorHAnsi" w:cstheme="minorHAnsi"/>
          <w:color w:val="000000"/>
        </w:rPr>
        <w:t>Fleming Fund</w:t>
      </w:r>
      <w:r w:rsidRPr="00216A42">
        <w:rPr>
          <w:rFonts w:asciiTheme="minorHAnsi" w:eastAsia="Times New Roman" w:hAnsiTheme="minorHAnsi" w:cstheme="minorHAnsi"/>
          <w:color w:val="000000"/>
        </w:rPr>
        <w:t xml:space="preserve"> has delivered in terms of </w:t>
      </w:r>
      <w:r w:rsidR="00A955E1" w:rsidRPr="00216A42">
        <w:rPr>
          <w:rFonts w:asciiTheme="minorHAnsi" w:eastAsia="Times New Roman" w:hAnsiTheme="minorHAnsi" w:cstheme="minorHAnsi"/>
          <w:color w:val="000000"/>
        </w:rPr>
        <w:t>V</w:t>
      </w:r>
      <w:r w:rsidR="00A955E1">
        <w:rPr>
          <w:rFonts w:asciiTheme="minorHAnsi" w:eastAsia="Times New Roman" w:hAnsiTheme="minorHAnsi" w:cstheme="minorHAnsi"/>
          <w:color w:val="000000"/>
        </w:rPr>
        <w:t>f</w:t>
      </w:r>
      <w:r w:rsidR="00A955E1" w:rsidRPr="00216A42">
        <w:rPr>
          <w:rFonts w:asciiTheme="minorHAnsi" w:eastAsia="Times New Roman" w:hAnsiTheme="minorHAnsi" w:cstheme="minorHAnsi"/>
          <w:color w:val="000000"/>
        </w:rPr>
        <w:t xml:space="preserve">M </w:t>
      </w:r>
      <w:r w:rsidRPr="00216A42">
        <w:rPr>
          <w:rFonts w:asciiTheme="minorHAnsi" w:eastAsia="Times New Roman" w:hAnsiTheme="minorHAnsi" w:cstheme="minorHAnsi"/>
          <w:color w:val="000000"/>
        </w:rPr>
        <w:t xml:space="preserve">(EQ6B – measurement). We used this framework to assess both </w:t>
      </w:r>
      <w:r w:rsidR="00CD3561">
        <w:rPr>
          <w:rFonts w:asciiTheme="minorHAnsi" w:eastAsia="Times New Roman" w:hAnsiTheme="minorHAnsi" w:cstheme="minorHAnsi"/>
          <w:color w:val="000000"/>
        </w:rPr>
        <w:t>CGs and RGs</w:t>
      </w:r>
      <w:r w:rsidRPr="00216A42">
        <w:rPr>
          <w:rFonts w:asciiTheme="minorHAnsi" w:eastAsia="Times New Roman" w:hAnsiTheme="minorHAnsi" w:cstheme="minorHAnsi"/>
          <w:color w:val="000000"/>
        </w:rPr>
        <w:t>.</w:t>
      </w:r>
    </w:p>
    <w:p w14:paraId="70A3FD07" w14:textId="77777777" w:rsidR="00C94980" w:rsidRPr="00216A42" w:rsidRDefault="00C94980" w:rsidP="00C94980">
      <w:pPr>
        <w:jc w:val="both"/>
        <w:rPr>
          <w:rFonts w:asciiTheme="minorHAnsi" w:eastAsia="Times New Roman" w:hAnsiTheme="minorHAnsi" w:cstheme="minorHAnsi"/>
          <w:color w:val="000000"/>
        </w:rPr>
      </w:pPr>
    </w:p>
    <w:p w14:paraId="4EC2E990" w14:textId="6770B311" w:rsidR="00C94980" w:rsidRDefault="00C94980" w:rsidP="00C04C3C">
      <w:pPr>
        <w:pStyle w:val="ItadCaption"/>
      </w:pPr>
      <w:bookmarkStart w:id="70" w:name="_Toc143857872"/>
      <w:r>
        <w:t xml:space="preserve">Table </w:t>
      </w:r>
      <w:r>
        <w:fldChar w:fldCharType="begin"/>
      </w:r>
      <w:r>
        <w:instrText>SEQ Table \* ARABIC</w:instrText>
      </w:r>
      <w:r>
        <w:fldChar w:fldCharType="separate"/>
      </w:r>
      <w:r w:rsidR="009A383C">
        <w:rPr>
          <w:noProof/>
        </w:rPr>
        <w:t>4</w:t>
      </w:r>
      <w:r>
        <w:fldChar w:fldCharType="end"/>
      </w:r>
      <w:r>
        <w:t xml:space="preserve"> </w:t>
      </w:r>
      <w:r w:rsidRPr="008B74AF">
        <w:t>Themes for assessment of country and regional grants</w:t>
      </w:r>
      <w:bookmarkEnd w:id="70"/>
    </w:p>
    <w:tbl>
      <w:tblPr>
        <w:tblStyle w:val="ItadGreenHeaderRow"/>
        <w:tblW w:w="5000" w:type="pct"/>
        <w:tblInd w:w="0" w:type="dxa"/>
        <w:tblLook w:val="04A0" w:firstRow="1" w:lastRow="0" w:firstColumn="1" w:lastColumn="0" w:noHBand="0" w:noVBand="1"/>
      </w:tblPr>
      <w:tblGrid>
        <w:gridCol w:w="1506"/>
        <w:gridCol w:w="4225"/>
        <w:gridCol w:w="3777"/>
      </w:tblGrid>
      <w:tr w:rsidR="00451194" w:rsidRPr="005A71D2" w14:paraId="13425788" w14:textId="77777777" w:rsidTr="00451194">
        <w:trPr>
          <w:cnfStyle w:val="100000000000" w:firstRow="1" w:lastRow="0" w:firstColumn="0" w:lastColumn="0" w:oddVBand="0" w:evenVBand="0" w:oddHBand="0" w:evenHBand="0" w:firstRowFirstColumn="0" w:firstRowLastColumn="0" w:lastRowFirstColumn="0" w:lastRowLastColumn="0"/>
        </w:trPr>
        <w:tc>
          <w:tcPr>
            <w:tcW w:w="792" w:type="pct"/>
          </w:tcPr>
          <w:p w14:paraId="5E2EE303" w14:textId="77777777" w:rsidR="00C94980" w:rsidRPr="00BB4743" w:rsidRDefault="00C94980">
            <w:pPr>
              <w:jc w:val="both"/>
              <w:rPr>
                <w:rFonts w:asciiTheme="minorHAnsi" w:eastAsia="Times New Roman" w:hAnsiTheme="minorHAnsi" w:cstheme="minorHAnsi"/>
                <w:b/>
                <w:bCs/>
                <w:sz w:val="20"/>
                <w:szCs w:val="20"/>
              </w:rPr>
            </w:pPr>
            <w:r w:rsidRPr="00BB4743">
              <w:rPr>
                <w:rFonts w:asciiTheme="minorHAnsi" w:eastAsia="Times New Roman" w:hAnsiTheme="minorHAnsi" w:cstheme="minorHAnsi"/>
                <w:b/>
                <w:bCs/>
                <w:color w:val="auto"/>
                <w:sz w:val="20"/>
                <w:szCs w:val="20"/>
              </w:rPr>
              <w:tab/>
            </w:r>
          </w:p>
        </w:tc>
        <w:tc>
          <w:tcPr>
            <w:tcW w:w="2222" w:type="pct"/>
          </w:tcPr>
          <w:p w14:paraId="47C7D277" w14:textId="77777777" w:rsidR="00C94980" w:rsidRPr="00BB4743" w:rsidRDefault="00C94980">
            <w:pPr>
              <w:jc w:val="both"/>
              <w:rPr>
                <w:rFonts w:asciiTheme="minorHAnsi" w:eastAsia="Times New Roman" w:hAnsiTheme="minorHAnsi" w:cstheme="minorHAnsi"/>
                <w:b/>
                <w:bCs/>
                <w:sz w:val="20"/>
                <w:szCs w:val="20"/>
              </w:rPr>
            </w:pPr>
            <w:r w:rsidRPr="00BB4743">
              <w:rPr>
                <w:rFonts w:asciiTheme="minorHAnsi" w:eastAsia="Times New Roman" w:hAnsiTheme="minorHAnsi" w:cstheme="minorHAnsi"/>
                <w:b/>
                <w:bCs/>
                <w:color w:val="auto"/>
                <w:sz w:val="20"/>
                <w:szCs w:val="20"/>
              </w:rPr>
              <w:t>EQ6A themes</w:t>
            </w:r>
          </w:p>
        </w:tc>
        <w:tc>
          <w:tcPr>
            <w:tcW w:w="1986" w:type="pct"/>
          </w:tcPr>
          <w:p w14:paraId="57E1FA0B" w14:textId="77777777" w:rsidR="00C94980" w:rsidRPr="00BB4743" w:rsidRDefault="00C94980">
            <w:pPr>
              <w:jc w:val="both"/>
              <w:rPr>
                <w:rFonts w:asciiTheme="minorHAnsi" w:eastAsia="Times New Roman" w:hAnsiTheme="minorHAnsi" w:cstheme="minorHAnsi"/>
                <w:b/>
                <w:bCs/>
                <w:sz w:val="20"/>
                <w:szCs w:val="20"/>
              </w:rPr>
            </w:pPr>
            <w:r w:rsidRPr="00BB4743">
              <w:rPr>
                <w:rFonts w:asciiTheme="minorHAnsi" w:eastAsia="Times New Roman" w:hAnsiTheme="minorHAnsi" w:cstheme="minorHAnsi"/>
                <w:b/>
                <w:bCs/>
                <w:color w:val="auto"/>
                <w:sz w:val="20"/>
                <w:szCs w:val="20"/>
              </w:rPr>
              <w:t>EQ6B themes</w:t>
            </w:r>
          </w:p>
        </w:tc>
      </w:tr>
      <w:tr w:rsidR="00451194" w:rsidRPr="005A71D2" w14:paraId="612D478D" w14:textId="77777777" w:rsidTr="00451194">
        <w:trPr>
          <w:cnfStyle w:val="000000100000" w:firstRow="0" w:lastRow="0" w:firstColumn="0" w:lastColumn="0" w:oddVBand="0" w:evenVBand="0" w:oddHBand="1" w:evenHBand="0" w:firstRowFirstColumn="0" w:firstRowLastColumn="0" w:lastRowFirstColumn="0" w:lastRowLastColumn="0"/>
        </w:trPr>
        <w:tc>
          <w:tcPr>
            <w:tcW w:w="792" w:type="pct"/>
          </w:tcPr>
          <w:p w14:paraId="7324C695" w14:textId="77777777" w:rsidR="00C94980" w:rsidRPr="00BB4743" w:rsidRDefault="00C94980">
            <w:pPr>
              <w:jc w:val="both"/>
              <w:rPr>
                <w:rFonts w:asciiTheme="minorHAnsi" w:eastAsia="Times New Roman" w:hAnsiTheme="minorHAnsi" w:cstheme="minorHAnsi"/>
                <w:sz w:val="20"/>
                <w:szCs w:val="20"/>
              </w:rPr>
            </w:pPr>
            <w:r w:rsidRPr="00BB4743">
              <w:rPr>
                <w:rFonts w:asciiTheme="minorHAnsi" w:eastAsia="Times New Roman" w:hAnsiTheme="minorHAnsi" w:cstheme="minorHAnsi"/>
                <w:color w:val="auto"/>
                <w:sz w:val="20"/>
                <w:szCs w:val="20"/>
              </w:rPr>
              <w:t>Economy</w:t>
            </w:r>
          </w:p>
        </w:tc>
        <w:tc>
          <w:tcPr>
            <w:tcW w:w="2222" w:type="pct"/>
          </w:tcPr>
          <w:p w14:paraId="64E33B96" w14:textId="77777777"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Evidence of arrangements in place for the planning, controlling and monitoring of financial resources at country and regional level.</w:t>
            </w:r>
          </w:p>
          <w:p w14:paraId="7C71D443" w14:textId="77777777"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Evidence of steps taken to maximise economy in operational support</w:t>
            </w:r>
          </w:p>
          <w:p w14:paraId="35E90853" w14:textId="5033C21C"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Evidence that inputs are being purchased at</w:t>
            </w:r>
            <w:r w:rsidR="00A955E1" w:rsidRPr="00BB4743">
              <w:rPr>
                <w:rFonts w:eastAsia="Times New Roman" w:cstheme="minorHAnsi"/>
                <w:color w:val="auto"/>
                <w:sz w:val="20"/>
                <w:szCs w:val="20"/>
              </w:rPr>
              <w:t xml:space="preserve"> the</w:t>
            </w:r>
            <w:r w:rsidRPr="00BB4743">
              <w:rPr>
                <w:rFonts w:eastAsia="Times New Roman" w:cstheme="minorHAnsi"/>
                <w:color w:val="auto"/>
                <w:sz w:val="20"/>
                <w:szCs w:val="20"/>
              </w:rPr>
              <w:t xml:space="preserve"> appropriate quality and the right price at country and regional level.</w:t>
            </w:r>
          </w:p>
        </w:tc>
        <w:tc>
          <w:tcPr>
            <w:tcW w:w="1986" w:type="pct"/>
          </w:tcPr>
          <w:p w14:paraId="47F126E7" w14:textId="08D2D7B8" w:rsidR="00C94980" w:rsidRPr="00BB4743" w:rsidRDefault="00A955E1"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 xml:space="preserve">VfM </w:t>
            </w:r>
            <w:r w:rsidR="00C94980" w:rsidRPr="00BB4743">
              <w:rPr>
                <w:rFonts w:eastAsia="Times New Roman" w:cstheme="minorHAnsi"/>
                <w:color w:val="auto"/>
                <w:sz w:val="20"/>
                <w:szCs w:val="20"/>
              </w:rPr>
              <w:t>Savings (not including leveraging)</w:t>
            </w:r>
          </w:p>
          <w:p w14:paraId="096E4217" w14:textId="77777777"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Unit costs - costs contained</w:t>
            </w:r>
          </w:p>
          <w:p w14:paraId="65EA1B7C" w14:textId="77777777" w:rsidR="00C94980" w:rsidRPr="00BB4743" w:rsidRDefault="00C94980">
            <w:pPr>
              <w:jc w:val="both"/>
              <w:rPr>
                <w:rFonts w:asciiTheme="minorHAnsi" w:eastAsia="Times New Roman" w:hAnsiTheme="minorHAnsi" w:cstheme="minorHAnsi"/>
                <w:sz w:val="20"/>
                <w:szCs w:val="20"/>
              </w:rPr>
            </w:pPr>
          </w:p>
        </w:tc>
      </w:tr>
      <w:tr w:rsidR="00451194" w:rsidRPr="005A71D2" w14:paraId="31096DCA" w14:textId="77777777" w:rsidTr="00451194">
        <w:trPr>
          <w:cnfStyle w:val="000000010000" w:firstRow="0" w:lastRow="0" w:firstColumn="0" w:lastColumn="0" w:oddVBand="0" w:evenVBand="0" w:oddHBand="0" w:evenHBand="1" w:firstRowFirstColumn="0" w:firstRowLastColumn="0" w:lastRowFirstColumn="0" w:lastRowLastColumn="0"/>
        </w:trPr>
        <w:tc>
          <w:tcPr>
            <w:tcW w:w="792" w:type="pct"/>
          </w:tcPr>
          <w:p w14:paraId="211ECE75" w14:textId="77777777" w:rsidR="00C94980" w:rsidRPr="00BB4743" w:rsidRDefault="00C94980">
            <w:pPr>
              <w:jc w:val="both"/>
              <w:rPr>
                <w:rFonts w:asciiTheme="minorHAnsi" w:eastAsia="Times New Roman" w:hAnsiTheme="minorHAnsi" w:cstheme="minorHAnsi"/>
                <w:sz w:val="20"/>
                <w:szCs w:val="20"/>
              </w:rPr>
            </w:pPr>
            <w:r w:rsidRPr="00BB4743">
              <w:rPr>
                <w:rFonts w:asciiTheme="minorHAnsi" w:eastAsia="Times New Roman" w:hAnsiTheme="minorHAnsi" w:cstheme="minorHAnsi"/>
                <w:color w:val="auto"/>
                <w:sz w:val="20"/>
                <w:szCs w:val="20"/>
              </w:rPr>
              <w:t>Efficiency</w:t>
            </w:r>
          </w:p>
        </w:tc>
        <w:tc>
          <w:tcPr>
            <w:tcW w:w="2222" w:type="pct"/>
          </w:tcPr>
          <w:p w14:paraId="35E31700" w14:textId="092AD7B0"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Evidence of arrangements</w:t>
            </w:r>
            <w:r w:rsidR="00A955E1" w:rsidRPr="00BB4743">
              <w:rPr>
                <w:rFonts w:eastAsia="Times New Roman" w:cstheme="minorHAnsi"/>
                <w:color w:val="auto"/>
                <w:sz w:val="20"/>
                <w:szCs w:val="20"/>
              </w:rPr>
              <w:t xml:space="preserve"> being</w:t>
            </w:r>
            <w:r w:rsidRPr="00BB4743">
              <w:rPr>
                <w:rFonts w:eastAsia="Times New Roman" w:cstheme="minorHAnsi"/>
                <w:color w:val="auto"/>
                <w:sz w:val="20"/>
                <w:szCs w:val="20"/>
              </w:rPr>
              <w:t xml:space="preserve"> in place for activity planning, review and adaptation</w:t>
            </w:r>
            <w:r w:rsidR="00A955E1" w:rsidRPr="00BB4743">
              <w:rPr>
                <w:rFonts w:eastAsia="Times New Roman" w:cstheme="minorHAnsi"/>
                <w:color w:val="auto"/>
                <w:sz w:val="20"/>
                <w:szCs w:val="20"/>
              </w:rPr>
              <w:t>.</w:t>
            </w:r>
          </w:p>
          <w:p w14:paraId="63F63330" w14:textId="00CD9898"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 xml:space="preserve">Evidence of </w:t>
            </w:r>
            <w:r w:rsidR="00A955E1" w:rsidRPr="00BB4743">
              <w:rPr>
                <w:rFonts w:eastAsia="Times New Roman" w:cstheme="minorHAnsi"/>
                <w:color w:val="auto"/>
                <w:sz w:val="20"/>
                <w:szCs w:val="20"/>
              </w:rPr>
              <w:t>a monitoring and evaluation</w:t>
            </w:r>
            <w:r w:rsidR="00664368" w:rsidRPr="00BB4743">
              <w:rPr>
                <w:rFonts w:eastAsia="Times New Roman" w:cstheme="minorHAnsi"/>
                <w:color w:val="auto"/>
                <w:sz w:val="20"/>
                <w:szCs w:val="20"/>
              </w:rPr>
              <w:t xml:space="preserve"> (</w:t>
            </w:r>
            <w:r w:rsidRPr="00BB4743">
              <w:rPr>
                <w:rFonts w:eastAsia="Times New Roman" w:cstheme="minorHAnsi"/>
                <w:color w:val="auto"/>
                <w:sz w:val="20"/>
                <w:szCs w:val="20"/>
              </w:rPr>
              <w:t>M&amp;E</w:t>
            </w:r>
            <w:r w:rsidR="00664368" w:rsidRPr="00BB4743">
              <w:rPr>
                <w:rFonts w:eastAsia="Times New Roman" w:cstheme="minorHAnsi"/>
                <w:color w:val="auto"/>
                <w:sz w:val="20"/>
                <w:szCs w:val="20"/>
              </w:rPr>
              <w:t>)</w:t>
            </w:r>
            <w:r w:rsidRPr="00BB4743">
              <w:rPr>
                <w:rFonts w:eastAsia="Times New Roman" w:cstheme="minorHAnsi"/>
                <w:color w:val="auto"/>
                <w:sz w:val="20"/>
                <w:szCs w:val="20"/>
              </w:rPr>
              <w:t xml:space="preserve"> system in place to support </w:t>
            </w:r>
            <w:r w:rsidR="00A04187" w:rsidRPr="00BB4743">
              <w:rPr>
                <w:rFonts w:eastAsia="Times New Roman" w:cstheme="minorHAnsi"/>
                <w:color w:val="auto"/>
                <w:sz w:val="20"/>
                <w:szCs w:val="20"/>
              </w:rPr>
              <w:t xml:space="preserve">the </w:t>
            </w:r>
            <w:r w:rsidRPr="00BB4743">
              <w:rPr>
                <w:rFonts w:eastAsia="Times New Roman" w:cstheme="minorHAnsi"/>
                <w:color w:val="auto"/>
                <w:sz w:val="20"/>
                <w:szCs w:val="20"/>
              </w:rPr>
              <w:t>delivery of quality results</w:t>
            </w:r>
          </w:p>
          <w:p w14:paraId="7716B09F" w14:textId="77777777"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Evidence of risk management</w:t>
            </w:r>
          </w:p>
        </w:tc>
        <w:tc>
          <w:tcPr>
            <w:tcW w:w="1986" w:type="pct"/>
          </w:tcPr>
          <w:p w14:paraId="3C82AB17" w14:textId="77777777"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Percentage overhead</w:t>
            </w:r>
          </w:p>
          <w:p w14:paraId="7BEA5769" w14:textId="77777777"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Activity and budget implementation rates</w:t>
            </w:r>
          </w:p>
          <w:p w14:paraId="682850FA" w14:textId="77777777"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Value of leveraged resources</w:t>
            </w:r>
          </w:p>
          <w:p w14:paraId="6DB76E25" w14:textId="77777777" w:rsidR="00C94980" w:rsidRPr="00BB4743" w:rsidRDefault="00C94980">
            <w:pPr>
              <w:jc w:val="both"/>
              <w:rPr>
                <w:rFonts w:asciiTheme="minorHAnsi" w:eastAsia="Times New Roman" w:hAnsiTheme="minorHAnsi" w:cstheme="minorHAnsi"/>
                <w:sz w:val="20"/>
                <w:szCs w:val="20"/>
              </w:rPr>
            </w:pPr>
          </w:p>
        </w:tc>
      </w:tr>
      <w:tr w:rsidR="00451194" w:rsidRPr="005A71D2" w14:paraId="2E215E3E" w14:textId="77777777" w:rsidTr="00451194">
        <w:trPr>
          <w:cnfStyle w:val="000000100000" w:firstRow="0" w:lastRow="0" w:firstColumn="0" w:lastColumn="0" w:oddVBand="0" w:evenVBand="0" w:oddHBand="1" w:evenHBand="0" w:firstRowFirstColumn="0" w:firstRowLastColumn="0" w:lastRowFirstColumn="0" w:lastRowLastColumn="0"/>
        </w:trPr>
        <w:tc>
          <w:tcPr>
            <w:tcW w:w="792" w:type="pct"/>
          </w:tcPr>
          <w:p w14:paraId="51C5AB09" w14:textId="77777777" w:rsidR="00C94980" w:rsidRPr="00BB4743" w:rsidRDefault="00C94980">
            <w:pPr>
              <w:jc w:val="both"/>
              <w:rPr>
                <w:rFonts w:asciiTheme="minorHAnsi" w:eastAsia="Times New Roman" w:hAnsiTheme="minorHAnsi" w:cstheme="minorHAnsi"/>
                <w:sz w:val="20"/>
                <w:szCs w:val="20"/>
              </w:rPr>
            </w:pPr>
            <w:r w:rsidRPr="00BB4743">
              <w:rPr>
                <w:rFonts w:asciiTheme="minorHAnsi" w:eastAsia="Times New Roman" w:hAnsiTheme="minorHAnsi" w:cstheme="minorHAnsi"/>
                <w:color w:val="auto"/>
                <w:sz w:val="20"/>
                <w:szCs w:val="20"/>
              </w:rPr>
              <w:t>Effectiveness</w:t>
            </w:r>
          </w:p>
        </w:tc>
        <w:tc>
          <w:tcPr>
            <w:tcW w:w="2222" w:type="pct"/>
          </w:tcPr>
          <w:p w14:paraId="273F4B24" w14:textId="77777777"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Evidence that grants were set up to deliver impact at country and regional level.</w:t>
            </w:r>
          </w:p>
          <w:p w14:paraId="423279DF" w14:textId="77777777"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Evidence that processes were in place to support learning and adaptive management to deliver improved results</w:t>
            </w:r>
            <w:r w:rsidRPr="00BB4743">
              <w:rPr>
                <w:rFonts w:cstheme="minorHAnsi"/>
                <w:sz w:val="20"/>
                <w:szCs w:val="20"/>
              </w:rPr>
              <w:t xml:space="preserve"> at the (intermediate) outcome level.</w:t>
            </w:r>
          </w:p>
        </w:tc>
        <w:tc>
          <w:tcPr>
            <w:tcW w:w="1986" w:type="pct"/>
          </w:tcPr>
          <w:p w14:paraId="257A3907" w14:textId="77777777"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Evidence of increased quantity and quality of AMR data</w:t>
            </w:r>
          </w:p>
          <w:p w14:paraId="5CEA934A" w14:textId="77777777" w:rsidR="00C94980" w:rsidRPr="00BB4743" w:rsidRDefault="00C94980" w:rsidP="00C6374D">
            <w:pPr>
              <w:pStyle w:val="ListParagraph"/>
              <w:numPr>
                <w:ilvl w:val="0"/>
                <w:numId w:val="87"/>
              </w:numPr>
              <w:spacing w:after="160" w:line="256" w:lineRule="auto"/>
              <w:jc w:val="both"/>
              <w:rPr>
                <w:rFonts w:eastAsia="Times New Roman" w:cstheme="minorHAnsi"/>
                <w:sz w:val="20"/>
                <w:szCs w:val="20"/>
              </w:rPr>
            </w:pPr>
            <w:r w:rsidRPr="00BB4743">
              <w:rPr>
                <w:rFonts w:eastAsia="Times New Roman" w:cstheme="minorHAnsi"/>
                <w:color w:val="auto"/>
                <w:sz w:val="20"/>
                <w:szCs w:val="20"/>
              </w:rPr>
              <w:t>(intermediate) Outcomes have been achieved as expected: Evidence of data use/ in GLASS</w:t>
            </w:r>
          </w:p>
        </w:tc>
      </w:tr>
    </w:tbl>
    <w:p w14:paraId="35BAFE9E" w14:textId="77777777" w:rsidR="00C94980" w:rsidRPr="00216A42" w:rsidRDefault="00C94980" w:rsidP="00C94980">
      <w:pPr>
        <w:jc w:val="both"/>
        <w:rPr>
          <w:rFonts w:asciiTheme="minorHAnsi" w:eastAsia="Times New Roman" w:hAnsiTheme="minorHAnsi" w:cstheme="minorHAnsi"/>
          <w:color w:val="000000"/>
        </w:rPr>
      </w:pPr>
    </w:p>
    <w:p w14:paraId="61C6BBDA" w14:textId="7C6C75B7" w:rsidR="00C94980" w:rsidRPr="00C94980" w:rsidRDefault="00C94980" w:rsidP="00C94980">
      <w:pPr>
        <w:jc w:val="both"/>
        <w:rPr>
          <w:b/>
          <w:bCs/>
        </w:rPr>
      </w:pPr>
      <w:r w:rsidRPr="00C94980">
        <w:rPr>
          <w:b/>
          <w:bCs/>
        </w:rPr>
        <w:t xml:space="preserve">Data for the analyses were retrieved in </w:t>
      </w:r>
      <w:r w:rsidR="00A955E1">
        <w:rPr>
          <w:b/>
          <w:bCs/>
        </w:rPr>
        <w:t>two</w:t>
      </w:r>
      <w:r w:rsidRPr="00C94980">
        <w:rPr>
          <w:b/>
          <w:bCs/>
        </w:rPr>
        <w:t xml:space="preserve"> ways:</w:t>
      </w:r>
    </w:p>
    <w:p w14:paraId="20218CD6" w14:textId="77777777" w:rsidR="00C94980" w:rsidRPr="00216A42" w:rsidRDefault="00C94980" w:rsidP="00C6374D">
      <w:pPr>
        <w:pStyle w:val="ListParagraph"/>
        <w:numPr>
          <w:ilvl w:val="0"/>
          <w:numId w:val="89"/>
        </w:numPr>
        <w:spacing w:after="160" w:line="256" w:lineRule="auto"/>
        <w:jc w:val="both"/>
        <w:rPr>
          <w:rFonts w:eastAsia="Times New Roman" w:cstheme="minorHAnsi"/>
          <w:color w:val="000000"/>
        </w:rPr>
      </w:pPr>
      <w:r w:rsidRPr="00BB4743">
        <w:rPr>
          <w:rFonts w:eastAsia="Times New Roman" w:cstheme="minorHAnsi"/>
          <w:b/>
          <w:bCs/>
          <w:color w:val="000000"/>
        </w:rPr>
        <w:t>Desk reviews:</w:t>
      </w:r>
      <w:r w:rsidRPr="00216A42">
        <w:rPr>
          <w:rFonts w:eastAsia="Times New Roman" w:cstheme="minorHAnsi"/>
          <w:color w:val="000000"/>
        </w:rPr>
        <w:t xml:space="preserve"> The following documents were reviewed to provide answers to the questions:</w:t>
      </w:r>
    </w:p>
    <w:p w14:paraId="4224C422" w14:textId="08D713C5" w:rsidR="00C94980" w:rsidRPr="00216A42" w:rsidRDefault="00C94980" w:rsidP="00C6374D">
      <w:pPr>
        <w:pStyle w:val="ListParagraph"/>
        <w:numPr>
          <w:ilvl w:val="1"/>
          <w:numId w:val="89"/>
        </w:numPr>
        <w:spacing w:after="160" w:line="256" w:lineRule="auto"/>
        <w:jc w:val="both"/>
        <w:rPr>
          <w:rFonts w:eastAsia="Times New Roman" w:cstheme="minorHAnsi"/>
          <w:color w:val="000000"/>
        </w:rPr>
      </w:pPr>
      <w:r w:rsidRPr="00BB4743">
        <w:rPr>
          <w:rFonts w:cstheme="minorHAnsi"/>
          <w:b/>
          <w:bCs/>
        </w:rPr>
        <w:t xml:space="preserve">Grant recommendations, </w:t>
      </w:r>
      <w:r w:rsidR="00A955E1" w:rsidRPr="00BB4743">
        <w:rPr>
          <w:rFonts w:cstheme="minorHAnsi"/>
          <w:b/>
          <w:bCs/>
        </w:rPr>
        <w:t xml:space="preserve">the </w:t>
      </w:r>
      <w:r w:rsidRPr="00BB4743">
        <w:rPr>
          <w:rFonts w:cstheme="minorHAnsi"/>
          <w:b/>
          <w:bCs/>
        </w:rPr>
        <w:t>DHSC Response, Grant Agreement:</w:t>
      </w:r>
      <w:r w:rsidRPr="00216A42">
        <w:rPr>
          <w:rFonts w:cstheme="minorHAnsi"/>
        </w:rPr>
        <w:t xml:space="preserve"> provided</w:t>
      </w:r>
      <w:r>
        <w:rPr>
          <w:rFonts w:cstheme="minorHAnsi"/>
        </w:rPr>
        <w:t xml:space="preserve"> useful</w:t>
      </w:r>
      <w:r w:rsidRPr="00216A42">
        <w:rPr>
          <w:rFonts w:cstheme="minorHAnsi"/>
        </w:rPr>
        <w:t xml:space="preserve"> information on the grant-making process</w:t>
      </w:r>
      <w:r>
        <w:rPr>
          <w:rFonts w:cstheme="minorHAnsi"/>
        </w:rPr>
        <w:t xml:space="preserve"> for countries, especially in terms of competitive tendering for the </w:t>
      </w:r>
      <w:r w:rsidR="00A955E1">
        <w:rPr>
          <w:rFonts w:cstheme="minorHAnsi"/>
        </w:rPr>
        <w:t xml:space="preserve">CGs </w:t>
      </w:r>
      <w:r>
        <w:rPr>
          <w:rFonts w:cstheme="minorHAnsi"/>
        </w:rPr>
        <w:t xml:space="preserve">and </w:t>
      </w:r>
      <w:r w:rsidR="00CD3561">
        <w:rPr>
          <w:rFonts w:cstheme="minorHAnsi"/>
        </w:rPr>
        <w:t>RGs</w:t>
      </w:r>
      <w:r>
        <w:rPr>
          <w:rFonts w:cstheme="minorHAnsi"/>
        </w:rPr>
        <w:t xml:space="preserve">. Reviewing the grant processes also revealed </w:t>
      </w:r>
      <w:r w:rsidR="00A955E1">
        <w:rPr>
          <w:rFonts w:cstheme="minorHAnsi"/>
        </w:rPr>
        <w:t xml:space="preserve">the </w:t>
      </w:r>
      <w:r>
        <w:rPr>
          <w:rFonts w:cstheme="minorHAnsi"/>
        </w:rPr>
        <w:t>feedback provided on grantee budgets and cost drivers, especially with regard to overheads and comparative pricing, all essential processes of achieving economy. For a few countries, documents for grant extension were also available and reviewed.</w:t>
      </w:r>
    </w:p>
    <w:p w14:paraId="178536C1" w14:textId="3E1E3027" w:rsidR="00C94980" w:rsidRPr="00216A42" w:rsidRDefault="00C94980" w:rsidP="00C6374D">
      <w:pPr>
        <w:pStyle w:val="ListParagraph"/>
        <w:numPr>
          <w:ilvl w:val="1"/>
          <w:numId w:val="89"/>
        </w:numPr>
        <w:spacing w:after="160" w:line="256" w:lineRule="auto"/>
        <w:jc w:val="both"/>
        <w:rPr>
          <w:rFonts w:eastAsia="Times New Roman" w:cstheme="minorHAnsi"/>
          <w:color w:val="000000"/>
        </w:rPr>
      </w:pPr>
      <w:r w:rsidRPr="00BB4743">
        <w:rPr>
          <w:rFonts w:cstheme="minorHAnsi"/>
          <w:b/>
          <w:bCs/>
        </w:rPr>
        <w:t>Annex 9A and 9B:</w:t>
      </w:r>
      <w:r>
        <w:rPr>
          <w:rFonts w:cstheme="minorHAnsi"/>
        </w:rPr>
        <w:t xml:space="preserve"> These documents provided evidence that budgets were reviewed and signed at the grant kick-off.</w:t>
      </w:r>
    </w:p>
    <w:p w14:paraId="6C923AE4" w14:textId="272A1BDD" w:rsidR="00C94980" w:rsidRPr="00216A42" w:rsidRDefault="00C94980" w:rsidP="00C6374D">
      <w:pPr>
        <w:pStyle w:val="ListParagraph"/>
        <w:numPr>
          <w:ilvl w:val="1"/>
          <w:numId w:val="89"/>
        </w:numPr>
        <w:spacing w:after="160" w:line="256" w:lineRule="auto"/>
        <w:jc w:val="both"/>
        <w:rPr>
          <w:rFonts w:eastAsia="Times New Roman" w:cstheme="minorHAnsi"/>
          <w:color w:val="000000"/>
        </w:rPr>
      </w:pPr>
      <w:r w:rsidRPr="00BB4743">
        <w:rPr>
          <w:rFonts w:cstheme="minorHAnsi"/>
          <w:b/>
          <w:bCs/>
        </w:rPr>
        <w:t xml:space="preserve">Quarterly Reports for </w:t>
      </w:r>
      <w:r w:rsidR="00BF101D" w:rsidRPr="00BB4743">
        <w:rPr>
          <w:rFonts w:cstheme="minorHAnsi"/>
          <w:b/>
          <w:bCs/>
        </w:rPr>
        <w:t>CGs</w:t>
      </w:r>
      <w:r w:rsidRPr="00BB4743">
        <w:rPr>
          <w:rFonts w:cstheme="minorHAnsi"/>
          <w:b/>
          <w:bCs/>
        </w:rPr>
        <w:t>:</w:t>
      </w:r>
      <w:r w:rsidRPr="00216A42">
        <w:rPr>
          <w:rFonts w:cstheme="minorHAnsi"/>
        </w:rPr>
        <w:t xml:space="preserve"> </w:t>
      </w:r>
      <w:r>
        <w:rPr>
          <w:rFonts w:cstheme="minorHAnsi"/>
        </w:rPr>
        <w:t xml:space="preserve">These highlighted good </w:t>
      </w:r>
      <w:r w:rsidR="00664368">
        <w:rPr>
          <w:rFonts w:cstheme="minorHAnsi"/>
        </w:rPr>
        <w:t>M&amp;E</w:t>
      </w:r>
      <w:r>
        <w:rPr>
          <w:rFonts w:cstheme="minorHAnsi"/>
        </w:rPr>
        <w:t xml:space="preserve"> practices, provided evidence of risk management</w:t>
      </w:r>
      <w:r w:rsidR="00A04187">
        <w:rPr>
          <w:rFonts w:cstheme="minorHAnsi"/>
        </w:rPr>
        <w:t>,</w:t>
      </w:r>
      <w:r>
        <w:rPr>
          <w:rFonts w:cstheme="minorHAnsi"/>
        </w:rPr>
        <w:t xml:space="preserve"> and highlighted good</w:t>
      </w:r>
      <w:r w:rsidRPr="00216A42">
        <w:rPr>
          <w:rFonts w:cstheme="minorHAnsi"/>
        </w:rPr>
        <w:t xml:space="preserve"> </w:t>
      </w:r>
      <w:r w:rsidR="007E6106" w:rsidRPr="00216A42">
        <w:rPr>
          <w:rFonts w:cstheme="minorHAnsi"/>
        </w:rPr>
        <w:t>V</w:t>
      </w:r>
      <w:r w:rsidR="007E6106">
        <w:rPr>
          <w:rFonts w:cstheme="minorHAnsi"/>
        </w:rPr>
        <w:t>f</w:t>
      </w:r>
      <w:r w:rsidR="007E6106" w:rsidRPr="00216A42">
        <w:rPr>
          <w:rFonts w:cstheme="minorHAnsi"/>
        </w:rPr>
        <w:t xml:space="preserve">M </w:t>
      </w:r>
      <w:r>
        <w:rPr>
          <w:rFonts w:cstheme="minorHAnsi"/>
        </w:rPr>
        <w:t>practices.</w:t>
      </w:r>
    </w:p>
    <w:p w14:paraId="40EA202F" w14:textId="15C5C504" w:rsidR="00C94980" w:rsidRPr="00216A42" w:rsidRDefault="00C94980" w:rsidP="00C6374D">
      <w:pPr>
        <w:pStyle w:val="ListParagraph"/>
        <w:numPr>
          <w:ilvl w:val="1"/>
          <w:numId w:val="89"/>
        </w:numPr>
        <w:spacing w:after="160" w:line="256" w:lineRule="auto"/>
        <w:jc w:val="both"/>
        <w:rPr>
          <w:rFonts w:eastAsia="Times New Roman" w:cstheme="minorHAnsi"/>
          <w:color w:val="000000"/>
        </w:rPr>
      </w:pPr>
      <w:r w:rsidRPr="00BB4743">
        <w:rPr>
          <w:rFonts w:cstheme="minorHAnsi"/>
          <w:b/>
          <w:bCs/>
        </w:rPr>
        <w:t xml:space="preserve">Previous country and regional </w:t>
      </w:r>
      <w:r w:rsidR="00382A7A" w:rsidRPr="00BB4743">
        <w:rPr>
          <w:rFonts w:cstheme="minorHAnsi"/>
          <w:b/>
          <w:bCs/>
        </w:rPr>
        <w:t xml:space="preserve">VfM </w:t>
      </w:r>
      <w:r w:rsidRPr="00BB4743">
        <w:rPr>
          <w:rFonts w:cstheme="minorHAnsi"/>
          <w:b/>
          <w:bCs/>
        </w:rPr>
        <w:t>Grant Reviews:</w:t>
      </w:r>
      <w:r>
        <w:rPr>
          <w:rFonts w:cstheme="minorHAnsi"/>
        </w:rPr>
        <w:t xml:space="preserve"> most </w:t>
      </w:r>
      <w:r w:rsidR="00CD3561">
        <w:rPr>
          <w:rFonts w:cstheme="minorHAnsi"/>
        </w:rPr>
        <w:t>CGs</w:t>
      </w:r>
      <w:r>
        <w:rPr>
          <w:rFonts w:cstheme="minorHAnsi"/>
        </w:rPr>
        <w:t xml:space="preserve"> and </w:t>
      </w:r>
      <w:r w:rsidR="00CD3561">
        <w:rPr>
          <w:rFonts w:cstheme="minorHAnsi"/>
        </w:rPr>
        <w:t>RGs</w:t>
      </w:r>
      <w:r>
        <w:rPr>
          <w:rFonts w:cstheme="minorHAnsi"/>
        </w:rPr>
        <w:t xml:space="preserve"> had at least </w:t>
      </w:r>
      <w:r w:rsidR="00737FF0">
        <w:rPr>
          <w:rFonts w:cstheme="minorHAnsi"/>
        </w:rPr>
        <w:t>one</w:t>
      </w:r>
      <w:r>
        <w:rPr>
          <w:rFonts w:cstheme="minorHAnsi"/>
        </w:rPr>
        <w:t xml:space="preserve"> </w:t>
      </w:r>
      <w:r w:rsidR="00737FF0">
        <w:rPr>
          <w:rFonts w:cstheme="minorHAnsi"/>
        </w:rPr>
        <w:t xml:space="preserve">VfM </w:t>
      </w:r>
      <w:r>
        <w:rPr>
          <w:rFonts w:cstheme="minorHAnsi"/>
        </w:rPr>
        <w:t>review which showed grant performance for economy and efficiency domains, as well as recommendations for improvements.</w:t>
      </w:r>
    </w:p>
    <w:p w14:paraId="70E17F84" w14:textId="7EF17A86" w:rsidR="00C94980" w:rsidRPr="00216A42" w:rsidRDefault="00C94980" w:rsidP="00C6374D">
      <w:pPr>
        <w:pStyle w:val="ListParagraph"/>
        <w:numPr>
          <w:ilvl w:val="1"/>
          <w:numId w:val="89"/>
        </w:numPr>
        <w:spacing w:after="160" w:line="256" w:lineRule="auto"/>
        <w:jc w:val="both"/>
        <w:rPr>
          <w:rFonts w:eastAsia="Times New Roman" w:cstheme="minorHAnsi"/>
          <w:color w:val="000000"/>
        </w:rPr>
      </w:pPr>
      <w:r w:rsidRPr="00BB4743">
        <w:rPr>
          <w:rFonts w:cstheme="minorHAnsi"/>
          <w:b/>
          <w:bCs/>
        </w:rPr>
        <w:t>Notes from KIIs</w:t>
      </w:r>
      <w:r w:rsidR="00A2295E">
        <w:rPr>
          <w:rFonts w:cstheme="minorHAnsi"/>
        </w:rPr>
        <w:t>:</w:t>
      </w:r>
      <w:r w:rsidRPr="00216A42">
        <w:rPr>
          <w:rFonts w:cstheme="minorHAnsi"/>
        </w:rPr>
        <w:t xml:space="preserve"> conducted during </w:t>
      </w:r>
      <w:r w:rsidR="00737FF0">
        <w:rPr>
          <w:rFonts w:cstheme="minorHAnsi"/>
        </w:rPr>
        <w:t xml:space="preserve">the </w:t>
      </w:r>
      <w:r w:rsidRPr="00216A42">
        <w:rPr>
          <w:rFonts w:cstheme="minorHAnsi"/>
        </w:rPr>
        <w:t xml:space="preserve">earlier stages of implementation </w:t>
      </w:r>
      <w:r w:rsidR="00386E26">
        <w:rPr>
          <w:rFonts w:cstheme="minorHAnsi"/>
        </w:rPr>
        <w:t>showed</w:t>
      </w:r>
      <w:r w:rsidRPr="00216A42">
        <w:rPr>
          <w:rFonts w:cstheme="minorHAnsi"/>
        </w:rPr>
        <w:t xml:space="preserve"> how the issues identified from the interviews had been addressed</w:t>
      </w:r>
      <w:r>
        <w:rPr>
          <w:rFonts w:cstheme="minorHAnsi"/>
        </w:rPr>
        <w:t>.</w:t>
      </w:r>
    </w:p>
    <w:p w14:paraId="15E5DFFE" w14:textId="267899E3" w:rsidR="00C94980" w:rsidRPr="00216A42" w:rsidRDefault="00C94980" w:rsidP="00C6374D">
      <w:pPr>
        <w:pStyle w:val="ListParagraph"/>
        <w:numPr>
          <w:ilvl w:val="1"/>
          <w:numId w:val="89"/>
        </w:numPr>
        <w:spacing w:after="160" w:line="256" w:lineRule="auto"/>
        <w:jc w:val="both"/>
        <w:rPr>
          <w:rFonts w:eastAsia="Times New Roman" w:cstheme="minorHAnsi"/>
          <w:color w:val="000000"/>
        </w:rPr>
      </w:pPr>
      <w:r w:rsidRPr="00BB4743">
        <w:rPr>
          <w:rFonts w:cstheme="minorHAnsi"/>
          <w:b/>
          <w:bCs/>
        </w:rPr>
        <w:t>Financial reports:</w:t>
      </w:r>
      <w:r w:rsidRPr="00216A42">
        <w:rPr>
          <w:rFonts w:cstheme="minorHAnsi"/>
        </w:rPr>
        <w:t xml:space="preserve"> </w:t>
      </w:r>
      <w:r w:rsidR="00386E26">
        <w:rPr>
          <w:rFonts w:cstheme="minorHAnsi"/>
        </w:rPr>
        <w:t xml:space="preserve">were </w:t>
      </w:r>
      <w:r w:rsidRPr="00216A42">
        <w:rPr>
          <w:rFonts w:cstheme="minorHAnsi"/>
        </w:rPr>
        <w:t xml:space="preserve">not available for all countries, and where available in some cases, </w:t>
      </w:r>
      <w:r w:rsidR="00C12396">
        <w:rPr>
          <w:rFonts w:cstheme="minorHAnsi"/>
        </w:rPr>
        <w:t xml:space="preserve">were </w:t>
      </w:r>
      <w:r w:rsidRPr="00216A42">
        <w:rPr>
          <w:rFonts w:cstheme="minorHAnsi"/>
        </w:rPr>
        <w:t>not summarised by intervention areas</w:t>
      </w:r>
      <w:r w:rsidR="00C12396">
        <w:rPr>
          <w:rFonts w:cstheme="minorHAnsi"/>
        </w:rPr>
        <w:t>.</w:t>
      </w:r>
    </w:p>
    <w:p w14:paraId="2ECEE2A0" w14:textId="10F66DC7" w:rsidR="00C94980" w:rsidRPr="00216A42" w:rsidRDefault="00C94980" w:rsidP="00C94980">
      <w:pPr>
        <w:pStyle w:val="ListParagraph"/>
        <w:jc w:val="both"/>
        <w:rPr>
          <w:rFonts w:eastAsia="Times New Roman" w:cstheme="minorHAnsi"/>
          <w:color w:val="000000"/>
        </w:rPr>
      </w:pPr>
      <w:r w:rsidRPr="00216A42">
        <w:rPr>
          <w:rFonts w:eastAsia="Times New Roman" w:cstheme="minorHAnsi"/>
          <w:color w:val="000000"/>
        </w:rPr>
        <w:t xml:space="preserve">It is important to note that the information for the effectiveness section at </w:t>
      </w:r>
      <w:r w:rsidR="00A04187">
        <w:rPr>
          <w:rFonts w:eastAsia="Times New Roman" w:cstheme="minorHAnsi"/>
          <w:color w:val="000000"/>
        </w:rPr>
        <w:t xml:space="preserve">the </w:t>
      </w:r>
      <w:r w:rsidRPr="00216A42">
        <w:rPr>
          <w:rFonts w:eastAsia="Times New Roman" w:cstheme="minorHAnsi"/>
          <w:color w:val="000000"/>
        </w:rPr>
        <w:t xml:space="preserve">country level, especially with regards to improvements in quantity, quality and use of </w:t>
      </w:r>
      <w:r w:rsidR="00B87FAF">
        <w:rPr>
          <w:rFonts w:eastAsia="Times New Roman" w:cstheme="minorHAnsi"/>
          <w:color w:val="000000"/>
        </w:rPr>
        <w:t>HH</w:t>
      </w:r>
      <w:r w:rsidRPr="00216A42">
        <w:rPr>
          <w:rFonts w:eastAsia="Times New Roman" w:cstheme="minorHAnsi"/>
          <w:color w:val="000000"/>
        </w:rPr>
        <w:t xml:space="preserve"> and </w:t>
      </w:r>
      <w:r w:rsidR="00273580">
        <w:rPr>
          <w:rFonts w:eastAsia="Times New Roman" w:cstheme="minorHAnsi"/>
          <w:color w:val="000000"/>
        </w:rPr>
        <w:t>AH</w:t>
      </w:r>
      <w:r w:rsidRPr="00216A42">
        <w:rPr>
          <w:rFonts w:eastAsia="Times New Roman" w:cstheme="minorHAnsi"/>
          <w:color w:val="000000"/>
        </w:rPr>
        <w:t xml:space="preserve"> data, </w:t>
      </w:r>
      <w:r w:rsidR="00A04187">
        <w:rPr>
          <w:rFonts w:eastAsia="Times New Roman" w:cstheme="minorHAnsi"/>
          <w:color w:val="000000"/>
        </w:rPr>
        <w:t>was</w:t>
      </w:r>
      <w:r w:rsidR="00A04187" w:rsidRPr="00216A42">
        <w:rPr>
          <w:rFonts w:eastAsia="Times New Roman" w:cstheme="minorHAnsi"/>
          <w:color w:val="000000"/>
        </w:rPr>
        <w:t xml:space="preserve"> </w:t>
      </w:r>
      <w:r w:rsidRPr="00216A42">
        <w:rPr>
          <w:rFonts w:eastAsia="Times New Roman" w:cstheme="minorHAnsi"/>
          <w:color w:val="000000"/>
        </w:rPr>
        <w:t xml:space="preserve">retrieved from </w:t>
      </w:r>
      <w:r>
        <w:rPr>
          <w:rFonts w:eastAsia="Times New Roman" w:cstheme="minorHAnsi"/>
          <w:color w:val="000000"/>
        </w:rPr>
        <w:t>the general coding workbook and revealed outcome</w:t>
      </w:r>
      <w:r w:rsidRPr="00216A42">
        <w:rPr>
          <w:rFonts w:cstheme="minorHAnsi"/>
        </w:rPr>
        <w:t xml:space="preserve"> level results by country</w:t>
      </w:r>
      <w:r>
        <w:rPr>
          <w:rFonts w:cstheme="minorHAnsi"/>
        </w:rPr>
        <w:t>.</w:t>
      </w:r>
    </w:p>
    <w:p w14:paraId="51D8D550" w14:textId="0470D597" w:rsidR="00C94980" w:rsidRPr="00216A42" w:rsidRDefault="00892E27" w:rsidP="00C6374D">
      <w:pPr>
        <w:pStyle w:val="ListParagraph"/>
        <w:numPr>
          <w:ilvl w:val="0"/>
          <w:numId w:val="89"/>
        </w:numPr>
        <w:spacing w:after="160" w:line="256" w:lineRule="auto"/>
        <w:jc w:val="both"/>
        <w:rPr>
          <w:rFonts w:eastAsia="Times New Roman" w:cstheme="minorHAnsi"/>
          <w:color w:val="000000"/>
        </w:rPr>
      </w:pPr>
      <w:r w:rsidRPr="00892E27">
        <w:rPr>
          <w:rFonts w:eastAsia="Times New Roman" w:cstheme="minorHAnsi"/>
          <w:color w:val="000000"/>
        </w:rPr>
        <w:t>KIIs</w:t>
      </w:r>
      <w:r w:rsidR="00C94980" w:rsidRPr="00216A42">
        <w:rPr>
          <w:rFonts w:eastAsia="Times New Roman" w:cstheme="minorHAnsi"/>
          <w:color w:val="000000"/>
        </w:rPr>
        <w:t xml:space="preserve"> were conducted with members of the regional team </w:t>
      </w:r>
      <w:r w:rsidR="00960B5F">
        <w:rPr>
          <w:rFonts w:eastAsia="Times New Roman" w:cstheme="minorHAnsi"/>
          <w:color w:val="000000"/>
        </w:rPr>
        <w:t>(RT)</w:t>
      </w:r>
      <w:r w:rsidR="00C94980" w:rsidRPr="00216A42">
        <w:rPr>
          <w:rFonts w:eastAsia="Times New Roman" w:cstheme="minorHAnsi"/>
          <w:color w:val="000000"/>
        </w:rPr>
        <w:t xml:space="preserve"> and </w:t>
      </w:r>
      <w:r w:rsidR="00BF101D">
        <w:rPr>
          <w:rFonts w:eastAsia="Times New Roman" w:cstheme="minorHAnsi"/>
          <w:color w:val="000000"/>
        </w:rPr>
        <w:t>CG</w:t>
      </w:r>
      <w:r w:rsidR="00C94980" w:rsidRPr="00216A42">
        <w:rPr>
          <w:rFonts w:eastAsia="Times New Roman" w:cstheme="minorHAnsi"/>
          <w:color w:val="000000"/>
        </w:rPr>
        <w:t xml:space="preserve"> teams to supplement and/or provide clarification for information available through the desk review. The KIIs provided a lot of views/experiences on the </w:t>
      </w:r>
      <w:r w:rsidR="00C94980">
        <w:rPr>
          <w:rFonts w:cstheme="minorHAnsi"/>
        </w:rPr>
        <w:t xml:space="preserve">implementation </w:t>
      </w:r>
      <w:r w:rsidR="00C94980" w:rsidRPr="00216A42">
        <w:rPr>
          <w:rFonts w:cstheme="minorHAnsi"/>
        </w:rPr>
        <w:t>approach</w:t>
      </w:r>
      <w:r w:rsidR="00C94980" w:rsidRPr="00216A42">
        <w:rPr>
          <w:rFonts w:eastAsia="Times New Roman" w:cstheme="minorHAnsi"/>
          <w:color w:val="000000"/>
        </w:rPr>
        <w:t xml:space="preserve"> </w:t>
      </w:r>
      <w:r w:rsidR="00C94980">
        <w:rPr>
          <w:rFonts w:eastAsia="Times New Roman" w:cstheme="minorHAnsi"/>
          <w:color w:val="000000"/>
        </w:rPr>
        <w:t>in each country and region and w</w:t>
      </w:r>
      <w:r w:rsidR="00C94980" w:rsidRPr="00216A42">
        <w:rPr>
          <w:rFonts w:eastAsia="Times New Roman" w:cstheme="minorHAnsi"/>
          <w:color w:val="000000"/>
        </w:rPr>
        <w:t xml:space="preserve">ere conducted between </w:t>
      </w:r>
      <w:r w:rsidR="00C94980" w:rsidRPr="00112D8F">
        <w:rPr>
          <w:rFonts w:eastAsia="Times New Roman" w:cstheme="minorHAnsi"/>
          <w:color w:val="000000"/>
        </w:rPr>
        <w:t xml:space="preserve">January </w:t>
      </w:r>
      <w:r w:rsidR="00112D8F">
        <w:rPr>
          <w:rFonts w:eastAsia="Times New Roman" w:cstheme="minorHAnsi"/>
          <w:color w:val="000000"/>
        </w:rPr>
        <w:t>and</w:t>
      </w:r>
      <w:r w:rsidR="00C94980" w:rsidRPr="00112D8F">
        <w:rPr>
          <w:rFonts w:eastAsia="Times New Roman" w:cstheme="minorHAnsi"/>
          <w:color w:val="000000"/>
        </w:rPr>
        <w:t xml:space="preserve"> August</w:t>
      </w:r>
      <w:r w:rsidR="00C94980" w:rsidRPr="00216A42">
        <w:rPr>
          <w:rFonts w:eastAsia="Times New Roman" w:cstheme="minorHAnsi"/>
          <w:color w:val="000000"/>
        </w:rPr>
        <w:t xml:space="preserve"> 2022. A full list of interviews conducted with</w:t>
      </w:r>
      <w:r w:rsidR="00A04187">
        <w:rPr>
          <w:rFonts w:eastAsia="Times New Roman" w:cstheme="minorHAnsi"/>
          <w:color w:val="000000"/>
        </w:rPr>
        <w:t xml:space="preserve"> the</w:t>
      </w:r>
      <w:r w:rsidR="00C94980" w:rsidRPr="00216A42">
        <w:rPr>
          <w:rFonts w:eastAsia="Times New Roman" w:cstheme="minorHAnsi"/>
          <w:color w:val="000000"/>
        </w:rPr>
        <w:t xml:space="preserve"> country and </w:t>
      </w:r>
      <w:r w:rsidR="00960B5F">
        <w:rPr>
          <w:rFonts w:eastAsia="Times New Roman" w:cstheme="minorHAnsi"/>
          <w:color w:val="000000"/>
        </w:rPr>
        <w:t>RTs</w:t>
      </w:r>
      <w:r w:rsidR="00C94980" w:rsidRPr="00216A42">
        <w:rPr>
          <w:rFonts w:eastAsia="Times New Roman" w:cstheme="minorHAnsi"/>
          <w:color w:val="000000"/>
        </w:rPr>
        <w:t xml:space="preserve"> is available in </w:t>
      </w:r>
      <w:r w:rsidR="00266BB5">
        <w:rPr>
          <w:rFonts w:eastAsia="Times New Roman" w:cstheme="minorHAnsi"/>
          <w:color w:val="000000"/>
        </w:rPr>
        <w:t>A</w:t>
      </w:r>
      <w:r w:rsidR="00C94980" w:rsidRPr="00216A42">
        <w:rPr>
          <w:rFonts w:eastAsia="Times New Roman" w:cstheme="minorHAnsi"/>
          <w:color w:val="000000"/>
        </w:rPr>
        <w:t>nne</w:t>
      </w:r>
      <w:r w:rsidR="00C94980">
        <w:rPr>
          <w:rFonts w:eastAsia="Times New Roman" w:cstheme="minorHAnsi"/>
          <w:color w:val="000000"/>
        </w:rPr>
        <w:t xml:space="preserve">x </w:t>
      </w:r>
      <w:r w:rsidR="0029606B">
        <w:rPr>
          <w:rFonts w:eastAsia="Times New Roman" w:cstheme="minorHAnsi"/>
          <w:color w:val="000000"/>
        </w:rPr>
        <w:t>2</w:t>
      </w:r>
      <w:r w:rsidR="001603DD">
        <w:rPr>
          <w:rFonts w:eastAsia="Times New Roman" w:cstheme="minorHAnsi"/>
          <w:color w:val="000000"/>
        </w:rPr>
        <w:t>0</w:t>
      </w:r>
      <w:r w:rsidR="00C94980" w:rsidRPr="00216A42">
        <w:rPr>
          <w:rFonts w:eastAsia="Times New Roman" w:cstheme="minorHAnsi"/>
          <w:color w:val="000000"/>
        </w:rPr>
        <w:t>. KIIs with</w:t>
      </w:r>
      <w:r w:rsidR="00717561">
        <w:rPr>
          <w:rFonts w:eastAsia="Times New Roman" w:cstheme="minorHAnsi"/>
          <w:color w:val="000000"/>
        </w:rPr>
        <w:t xml:space="preserve"> the</w:t>
      </w:r>
      <w:r w:rsidR="00C94980" w:rsidRPr="00216A42">
        <w:rPr>
          <w:rFonts w:eastAsia="Times New Roman" w:cstheme="minorHAnsi"/>
          <w:color w:val="000000"/>
        </w:rPr>
        <w:t xml:space="preserve"> global team </w:t>
      </w:r>
      <w:r w:rsidR="00C94980">
        <w:rPr>
          <w:rFonts w:eastAsia="Times New Roman" w:cstheme="minorHAnsi"/>
          <w:color w:val="000000"/>
        </w:rPr>
        <w:t xml:space="preserve">were also reviewed for insights </w:t>
      </w:r>
      <w:r w:rsidR="00A04187">
        <w:rPr>
          <w:rFonts w:eastAsia="Times New Roman" w:cstheme="minorHAnsi"/>
          <w:color w:val="000000"/>
        </w:rPr>
        <w:t xml:space="preserve">into </w:t>
      </w:r>
      <w:r w:rsidR="00C94980">
        <w:rPr>
          <w:rFonts w:eastAsia="Times New Roman" w:cstheme="minorHAnsi"/>
          <w:color w:val="000000"/>
        </w:rPr>
        <w:t>their</w:t>
      </w:r>
      <w:r w:rsidR="00C94980" w:rsidRPr="00216A42">
        <w:rPr>
          <w:rFonts w:eastAsia="Times New Roman" w:cstheme="minorHAnsi"/>
          <w:color w:val="000000"/>
        </w:rPr>
        <w:t xml:space="preserve"> </w:t>
      </w:r>
      <w:r w:rsidR="00C94980" w:rsidRPr="00216A42">
        <w:rPr>
          <w:rFonts w:cstheme="minorHAnsi"/>
        </w:rPr>
        <w:t xml:space="preserve">management </w:t>
      </w:r>
      <w:r w:rsidR="00C94980">
        <w:rPr>
          <w:rFonts w:cstheme="minorHAnsi"/>
        </w:rPr>
        <w:t>approach.</w:t>
      </w:r>
    </w:p>
    <w:p w14:paraId="067C38F4" w14:textId="10A0CCA1" w:rsidR="00C94980" w:rsidRPr="00C94980" w:rsidRDefault="00C94980" w:rsidP="00C94980">
      <w:pPr>
        <w:jc w:val="both"/>
        <w:rPr>
          <w:b/>
          <w:bCs/>
        </w:rPr>
      </w:pPr>
      <w:r w:rsidRPr="00C94980">
        <w:rPr>
          <w:b/>
          <w:bCs/>
        </w:rPr>
        <w:t>Data from the above sources were analysed and synthesi</w:t>
      </w:r>
      <w:r w:rsidR="0029606B">
        <w:rPr>
          <w:b/>
          <w:bCs/>
        </w:rPr>
        <w:t>s</w:t>
      </w:r>
      <w:r w:rsidRPr="00C94980">
        <w:rPr>
          <w:b/>
          <w:bCs/>
        </w:rPr>
        <w:t>ed via the following processes:</w:t>
      </w:r>
    </w:p>
    <w:p w14:paraId="66A1A8C7" w14:textId="77777777" w:rsidR="00C94980" w:rsidRPr="00C94980" w:rsidRDefault="00C94980" w:rsidP="00C6374D">
      <w:pPr>
        <w:pStyle w:val="ListParagraph"/>
        <w:numPr>
          <w:ilvl w:val="0"/>
          <w:numId w:val="90"/>
        </w:numPr>
        <w:jc w:val="both"/>
      </w:pPr>
      <w:r w:rsidRPr="00BB4743">
        <w:rPr>
          <w:b/>
          <w:bCs/>
        </w:rPr>
        <w:t>Coding workbook:</w:t>
      </w:r>
      <w:r w:rsidRPr="00C94980">
        <w:t xml:space="preserve"> Available source documents were reviewed based on the themes set out in the framework and relevant information was inputted into the coding workbook based on the relevant themes across Economy, Efficiency and Effectiveness domains. </w:t>
      </w:r>
    </w:p>
    <w:p w14:paraId="62D4C6B6" w14:textId="60040EFE" w:rsidR="00C94980" w:rsidRPr="00C94980" w:rsidRDefault="00C94980" w:rsidP="00C6374D">
      <w:pPr>
        <w:pStyle w:val="ListParagraph"/>
        <w:numPr>
          <w:ilvl w:val="0"/>
          <w:numId w:val="90"/>
        </w:numPr>
        <w:jc w:val="both"/>
      </w:pPr>
      <w:r w:rsidRPr="00BB4743">
        <w:rPr>
          <w:b/>
          <w:bCs/>
        </w:rPr>
        <w:t>Assessment framework:</w:t>
      </w:r>
      <w:r w:rsidRPr="00C94980">
        <w:t xml:space="preserve"> All </w:t>
      </w:r>
      <w:r w:rsidR="00CD3561">
        <w:t>CGs</w:t>
      </w:r>
      <w:r w:rsidRPr="00C94980">
        <w:t xml:space="preserve"> and </w:t>
      </w:r>
      <w:r w:rsidR="00CD3561">
        <w:t>RGs</w:t>
      </w:r>
      <w:r w:rsidRPr="00C94980">
        <w:t xml:space="preserve"> were rated based on the degree to which they each achieved economy and efficiency. Where information identified from the desk review </w:t>
      </w:r>
      <w:r w:rsidR="00D72D65">
        <w:t>was</w:t>
      </w:r>
      <w:r w:rsidR="00D72D65" w:rsidRPr="00C94980">
        <w:t xml:space="preserve"> </w:t>
      </w:r>
      <w:r w:rsidRPr="00C94980">
        <w:t xml:space="preserve">conflicting because </w:t>
      </w:r>
      <w:r w:rsidR="009E326D">
        <w:t>it was</w:t>
      </w:r>
      <w:r w:rsidRPr="00C94980">
        <w:t xml:space="preserve"> captured at different points during implementation, e.g. multiple V</w:t>
      </w:r>
      <w:r w:rsidR="00C4751F">
        <w:t>f</w:t>
      </w:r>
      <w:r w:rsidRPr="00C94980">
        <w:t xml:space="preserve">M reviews, the latest data was </w:t>
      </w:r>
      <w:r w:rsidR="00C4751F">
        <w:t xml:space="preserve">used </w:t>
      </w:r>
      <w:r w:rsidRPr="00C94980">
        <w:t xml:space="preserve">as the basis for rating the </w:t>
      </w:r>
      <w:r w:rsidR="00CD3561">
        <w:t>CG/RG</w:t>
      </w:r>
      <w:r w:rsidRPr="00C94980">
        <w:t>.</w:t>
      </w:r>
    </w:p>
    <w:p w14:paraId="17D82DF4" w14:textId="1BF5805F" w:rsidR="00C94980" w:rsidRPr="00C94980" w:rsidRDefault="00C94980" w:rsidP="00C6374D">
      <w:pPr>
        <w:pStyle w:val="ListParagraph"/>
        <w:numPr>
          <w:ilvl w:val="0"/>
          <w:numId w:val="90"/>
        </w:numPr>
        <w:jc w:val="both"/>
      </w:pPr>
      <w:r w:rsidRPr="00BB4743">
        <w:rPr>
          <w:b/>
          <w:bCs/>
        </w:rPr>
        <w:t>Contribution analysis:</w:t>
      </w:r>
      <w:r w:rsidRPr="00C94980">
        <w:t xml:space="preserve"> This served to identify the drivers of the results seen for the outcome level results (Effectiveness) by quantifying and rating the strength of the underlying drivers of positive improvements in </w:t>
      </w:r>
      <w:r w:rsidR="00A04187">
        <w:t xml:space="preserve">the </w:t>
      </w:r>
      <w:r w:rsidRPr="00C94980">
        <w:t>quality and quantity of HH and AH data seen.</w:t>
      </w:r>
    </w:p>
    <w:p w14:paraId="5B67AA74" w14:textId="77777777" w:rsidR="00C94980" w:rsidRPr="00216A42" w:rsidRDefault="00C94980" w:rsidP="00C94980">
      <w:pPr>
        <w:jc w:val="both"/>
        <w:rPr>
          <w:rFonts w:asciiTheme="minorHAnsi" w:eastAsia="Times New Roman" w:hAnsiTheme="minorHAnsi" w:cstheme="minorHAnsi"/>
          <w:color w:val="000000"/>
        </w:rPr>
      </w:pPr>
    </w:p>
    <w:p w14:paraId="3303028D" w14:textId="77777777" w:rsidR="00C94980" w:rsidRPr="00C94980" w:rsidRDefault="00C94980" w:rsidP="00C94980">
      <w:pPr>
        <w:jc w:val="both"/>
        <w:rPr>
          <w:b/>
          <w:bCs/>
        </w:rPr>
      </w:pPr>
      <w:r w:rsidRPr="00C94980">
        <w:rPr>
          <w:b/>
          <w:bCs/>
        </w:rPr>
        <w:t>We encountered a few limitations during these analyses:</w:t>
      </w:r>
    </w:p>
    <w:p w14:paraId="1585AFF8" w14:textId="77777777" w:rsidR="00C94980" w:rsidRPr="00C94980" w:rsidRDefault="00C94980" w:rsidP="00C6374D">
      <w:pPr>
        <w:pStyle w:val="ListParagraph"/>
        <w:numPr>
          <w:ilvl w:val="0"/>
          <w:numId w:val="91"/>
        </w:numPr>
        <w:jc w:val="both"/>
      </w:pPr>
      <w:r w:rsidRPr="00C94980">
        <w:t xml:space="preserve">Outcome level results were unavailable for the review of regional level grants and therefore limited the VfM reviews and analyses that could be completed. </w:t>
      </w:r>
    </w:p>
    <w:p w14:paraId="44BC8147" w14:textId="77777777" w:rsidR="00C94980" w:rsidRPr="00C94980" w:rsidRDefault="00C94980" w:rsidP="00C6374D">
      <w:pPr>
        <w:pStyle w:val="ListParagraph"/>
        <w:numPr>
          <w:ilvl w:val="0"/>
          <w:numId w:val="91"/>
        </w:numPr>
        <w:jc w:val="both"/>
        <w:rPr>
          <w:rFonts w:cstheme="minorHAnsi"/>
        </w:rPr>
      </w:pPr>
      <w:r w:rsidRPr="00C94980">
        <w:t>Financial reporting by grant/location/intervention areas for countries and regions were not all available</w:t>
      </w:r>
      <w:r w:rsidRPr="00C94980">
        <w:rPr>
          <w:rFonts w:cstheme="minorHAnsi"/>
        </w:rPr>
        <w:t>.</w:t>
      </w:r>
    </w:p>
    <w:p w14:paraId="2F40C51F" w14:textId="02966354" w:rsidR="00C94980" w:rsidRPr="00C94980" w:rsidRDefault="00D970EC" w:rsidP="00C94980">
      <w:pPr>
        <w:pStyle w:val="ItadH4"/>
      </w:pPr>
      <w:r w:rsidRPr="004B2D21">
        <w:t xml:space="preserve">Why is VfM analysis an appropriate method for this evaluation? </w:t>
      </w:r>
    </w:p>
    <w:p w14:paraId="308FD139" w14:textId="1D1AD4C6" w:rsidR="00D970EC" w:rsidRPr="004C27CE" w:rsidRDefault="00D970EC" w:rsidP="00D970EC">
      <w:pPr>
        <w:jc w:val="both"/>
      </w:pPr>
      <w:r>
        <w:t xml:space="preserve">We believe VfM analysis is appropriate for this evaluation because it directly addresses </w:t>
      </w:r>
      <w:r w:rsidR="00CE24CE">
        <w:t>EQ</w:t>
      </w:r>
      <w:r>
        <w:t>6. Our approach to VfM is consistent with best practice</w:t>
      </w:r>
      <w:r w:rsidR="00A04187">
        <w:t>s</w:t>
      </w:r>
      <w:r>
        <w:t xml:space="preserve"> within the sector, and is aligned with </w:t>
      </w:r>
      <w:r w:rsidRPr="002A0C0D">
        <w:t xml:space="preserve">DFID </w:t>
      </w:r>
      <w:r w:rsidR="771BAF52" w:rsidRPr="002A0C0D">
        <w:t>guidance</w:t>
      </w:r>
      <w:r w:rsidR="006D6991">
        <w:t>.</w:t>
      </w:r>
      <w:r w:rsidR="002A0C0D">
        <w:rPr>
          <w:rStyle w:val="FootnoteReference"/>
        </w:rPr>
        <w:footnoteReference w:id="19"/>
      </w:r>
      <w:r>
        <w:t xml:space="preserve"> We have drawn on a variety of sources, including from the MA, external benchmarks and KIIs. Quantitative information has been analysed against</w:t>
      </w:r>
      <w:r w:rsidR="00A04187">
        <w:t xml:space="preserve"> the</w:t>
      </w:r>
      <w:r>
        <w:t xml:space="preserve"> plan, trend</w:t>
      </w:r>
      <w:r w:rsidR="00A04187">
        <w:t>,</w:t>
      </w:r>
      <w:r>
        <w:t xml:space="preserve"> and where possible, against external benchmarks. Qualitative evidence has been used to assess how VfM has been embedded in country-level activities, what processes are in place to promote and achieve good VfM, and provide contextual information to support analysis of reported quantitative metrics. </w:t>
      </w:r>
    </w:p>
    <w:p w14:paraId="2E8D2554" w14:textId="74195B90" w:rsidR="00D970EC" w:rsidRPr="006E7ECD" w:rsidRDefault="00D970EC" w:rsidP="00134C63">
      <w:pPr>
        <w:pStyle w:val="ItadH3Numbered"/>
      </w:pPr>
      <w:bookmarkStart w:id="71" w:name="_Toc118968504"/>
      <w:bookmarkStart w:id="72" w:name="_Toc142383145"/>
      <w:r w:rsidRPr="006E7ECD">
        <w:t xml:space="preserve">Sustainability </w:t>
      </w:r>
      <w:r w:rsidR="00134C63">
        <w:t>analysis</w:t>
      </w:r>
      <w:bookmarkEnd w:id="71"/>
      <w:bookmarkEnd w:id="72"/>
      <w:r w:rsidR="00AA16CC">
        <w:t xml:space="preserve"> </w:t>
      </w:r>
    </w:p>
    <w:p w14:paraId="13946ED5" w14:textId="2D91A633" w:rsidR="00D970EC" w:rsidRDefault="00327728" w:rsidP="00D970EC">
      <w:pPr>
        <w:pStyle w:val="ItadNormalText"/>
        <w:rPr>
          <w:rStyle w:val="eop"/>
          <w:rFonts w:cs="Calibri"/>
          <w:color w:val="3B3B3C"/>
          <w:shd w:val="clear" w:color="auto" w:fill="FFFFFF"/>
        </w:rPr>
      </w:pPr>
      <w:r w:rsidRPr="00D34083">
        <w:rPr>
          <w:rStyle w:val="normaltextrun"/>
          <w:rFonts w:cs="Calibri"/>
          <w:color w:val="3B3B3C"/>
          <w:shd w:val="clear" w:color="auto" w:fill="FFFFFF"/>
        </w:rPr>
        <w:t>In</w:t>
      </w:r>
      <w:r w:rsidR="00D970EC">
        <w:rPr>
          <w:rStyle w:val="normaltextrun"/>
          <w:rFonts w:cs="Calibri"/>
          <w:color w:val="3B3B3C"/>
          <w:shd w:val="clear" w:color="auto" w:fill="FFFFFF"/>
        </w:rPr>
        <w:t xml:space="preserve"> </w:t>
      </w:r>
      <w:r w:rsidR="00D970EC" w:rsidRPr="00D34083">
        <w:rPr>
          <w:rStyle w:val="normaltextrun"/>
          <w:rFonts w:cs="Calibri"/>
          <w:color w:val="3B3B3C"/>
          <w:shd w:val="clear" w:color="auto" w:fill="FFFFFF"/>
        </w:rPr>
        <w:t>201</w:t>
      </w:r>
      <w:r w:rsidR="00D970EC">
        <w:rPr>
          <w:rStyle w:val="normaltextrun"/>
          <w:rFonts w:cs="Calibri"/>
          <w:color w:val="3B3B3C"/>
          <w:shd w:val="clear" w:color="auto" w:fill="FFFFFF"/>
        </w:rPr>
        <w:t>9</w:t>
      </w:r>
      <w:r w:rsidR="00532B63">
        <w:rPr>
          <w:rStyle w:val="normaltextrun"/>
          <w:rFonts w:cs="Calibri"/>
          <w:color w:val="3B3B3C"/>
          <w:shd w:val="clear" w:color="auto" w:fill="FFFFFF"/>
        </w:rPr>
        <w:t>,</w:t>
      </w:r>
      <w:r w:rsidR="00D970EC" w:rsidRPr="00D34083">
        <w:rPr>
          <w:rStyle w:val="normaltextrun"/>
          <w:rFonts w:cs="Calibri"/>
          <w:color w:val="3B3B3C"/>
          <w:shd w:val="clear" w:color="auto" w:fill="FFFFFF"/>
        </w:rPr>
        <w:t xml:space="preserve"> </w:t>
      </w:r>
      <w:r w:rsidRPr="00D34083">
        <w:rPr>
          <w:rStyle w:val="normaltextrun"/>
          <w:rFonts w:cs="Calibri"/>
          <w:color w:val="3B3B3C"/>
          <w:shd w:val="clear" w:color="auto" w:fill="FFFFFF"/>
        </w:rPr>
        <w:t xml:space="preserve">we conducted a </w:t>
      </w:r>
      <w:r w:rsidR="00D970EC" w:rsidRPr="00D34083">
        <w:rPr>
          <w:rStyle w:val="normaltextrun"/>
          <w:rFonts w:cs="Calibri"/>
          <w:color w:val="3B3B3C"/>
          <w:shd w:val="clear" w:color="auto" w:fill="FFFFFF"/>
        </w:rPr>
        <w:t>literature review</w:t>
      </w:r>
      <w:r w:rsidR="00D970EC">
        <w:rPr>
          <w:rStyle w:val="normaltextrun"/>
          <w:rFonts w:cs="Calibri"/>
          <w:color w:val="3B3B3C"/>
          <w:shd w:val="clear" w:color="auto" w:fill="FFFFFF"/>
        </w:rPr>
        <w:t xml:space="preserve"> </w:t>
      </w:r>
      <w:r w:rsidR="00D27F0A" w:rsidRPr="00D34083">
        <w:rPr>
          <w:rStyle w:val="normaltextrun"/>
          <w:rFonts w:cs="Calibri"/>
          <w:color w:val="3B3B3C"/>
          <w:shd w:val="clear" w:color="auto" w:fill="FFFFFF"/>
        </w:rPr>
        <w:t>to identify</w:t>
      </w:r>
      <w:r w:rsidR="00D27F0A">
        <w:rPr>
          <w:rStyle w:val="normaltextrun"/>
          <w:rFonts w:cs="Calibri"/>
          <w:color w:val="3B3B3C"/>
          <w:shd w:val="clear" w:color="auto" w:fill="FFFFFF"/>
        </w:rPr>
        <w:t xml:space="preserve"> elements of good practice in delivering sustainability in development programmes.</w:t>
      </w:r>
      <w:r w:rsidR="007458AC">
        <w:rPr>
          <w:rStyle w:val="normaltextrun"/>
          <w:rFonts w:cs="Calibri"/>
          <w:color w:val="3B3B3C"/>
          <w:shd w:val="clear" w:color="auto" w:fill="FFFFFF"/>
        </w:rPr>
        <w:t xml:space="preserve"> </w:t>
      </w:r>
      <w:r w:rsidR="00D27F0A">
        <w:rPr>
          <w:rStyle w:val="normaltextrun"/>
          <w:rFonts w:cs="Calibri"/>
          <w:color w:val="3B3B3C"/>
          <w:shd w:val="clear" w:color="auto" w:fill="FFFFFF"/>
        </w:rPr>
        <w:t xml:space="preserve">This review </w:t>
      </w:r>
      <w:r w:rsidR="00D970EC">
        <w:rPr>
          <w:rStyle w:val="normaltextrun"/>
          <w:rFonts w:cs="Calibri"/>
          <w:color w:val="3B3B3C"/>
          <w:shd w:val="clear" w:color="auto" w:fill="FFFFFF"/>
        </w:rPr>
        <w:t>highlighted the importance of four factors in achieving sustainability</w:t>
      </w:r>
      <w:r w:rsidR="00D56F4C">
        <w:rPr>
          <w:rStyle w:val="normaltextrun"/>
          <w:rFonts w:cs="Calibri"/>
          <w:color w:val="3B3B3C"/>
          <w:shd w:val="clear" w:color="auto" w:fill="FFFFFF"/>
        </w:rPr>
        <w:t>;</w:t>
      </w:r>
      <w:r w:rsidR="00D970EC">
        <w:rPr>
          <w:rStyle w:val="normaltextrun"/>
          <w:rFonts w:cs="Calibri"/>
          <w:color w:val="3B3B3C"/>
          <w:shd w:val="clear" w:color="auto" w:fill="FFFFFF"/>
        </w:rPr>
        <w:t xml:space="preserve"> resources, capacity, motivation and planning.</w:t>
      </w:r>
      <w:r w:rsidR="00386198">
        <w:rPr>
          <w:rStyle w:val="FootnoteReference"/>
          <w:color w:val="3B3B3C"/>
          <w:shd w:val="clear" w:color="auto" w:fill="FFFFFF"/>
        </w:rPr>
        <w:footnoteReference w:id="20"/>
      </w:r>
      <w:r w:rsidR="00D970EC">
        <w:rPr>
          <w:rStyle w:val="normaltextrun"/>
          <w:rFonts w:cs="Calibri"/>
          <w:color w:val="3B3B3C"/>
          <w:shd w:val="clear" w:color="auto" w:fill="FFFFFF"/>
        </w:rPr>
        <w:t xml:space="preserve"> These provide a framework for making a judgement about the plausibility that Fleming Fund outputs will be sustained.</w:t>
      </w:r>
      <w:r w:rsidR="00D970EC">
        <w:rPr>
          <w:rStyle w:val="eop"/>
          <w:rFonts w:cs="Calibri"/>
          <w:color w:val="3B3B3C"/>
          <w:shd w:val="clear" w:color="auto" w:fill="FFFFFF"/>
        </w:rPr>
        <w:t> </w:t>
      </w:r>
    </w:p>
    <w:p w14:paraId="406C9B00" w14:textId="5D8637A3" w:rsidR="00D970EC" w:rsidRPr="002B4181" w:rsidRDefault="00D970EC" w:rsidP="0066738F">
      <w:pPr>
        <w:pStyle w:val="ItadH4"/>
      </w:pPr>
      <w:r w:rsidRPr="002B4181">
        <w:t xml:space="preserve">Which </w:t>
      </w:r>
      <w:r w:rsidR="00F21D1C">
        <w:t>EQ</w:t>
      </w:r>
      <w:r w:rsidRPr="002B4181">
        <w:t>s does this method help answer?</w:t>
      </w:r>
    </w:p>
    <w:p w14:paraId="21831CA1" w14:textId="10DA6556" w:rsidR="00D970EC" w:rsidRPr="0016187D" w:rsidRDefault="00D970EC" w:rsidP="00D970EC">
      <w:pPr>
        <w:spacing w:before="120" w:after="160" w:line="264" w:lineRule="auto"/>
        <w:jc w:val="both"/>
      </w:pPr>
      <w:r>
        <w:t>Sustainability Analysis has been used to answer the</w:t>
      </w:r>
      <w:r w:rsidRPr="008658EB">
        <w:t xml:space="preserve"> following </w:t>
      </w:r>
      <w:r w:rsidR="00F21D1C">
        <w:t>EQ</w:t>
      </w:r>
      <w:r>
        <w:t xml:space="preserve">: </w:t>
      </w:r>
    </w:p>
    <w:tbl>
      <w:tblPr>
        <w:tblStyle w:val="ItadPulloutBoxGrey"/>
        <w:tblpPr w:leftFromText="180" w:rightFromText="180" w:vertAnchor="text" w:horzAnchor="margin" w:tblpY="66"/>
        <w:tblW w:w="9088" w:type="dxa"/>
        <w:tblInd w:w="0" w:type="dxa"/>
        <w:tblLook w:val="04A0" w:firstRow="1" w:lastRow="0" w:firstColumn="1" w:lastColumn="0" w:noHBand="0" w:noVBand="1"/>
      </w:tblPr>
      <w:tblGrid>
        <w:gridCol w:w="9088"/>
      </w:tblGrid>
      <w:tr w:rsidR="001A406E" w:rsidRPr="00692E6F" w14:paraId="69B589F6" w14:textId="77777777" w:rsidTr="008C1BFD">
        <w:tc>
          <w:tcPr>
            <w:tcW w:w="9088" w:type="dxa"/>
          </w:tcPr>
          <w:p w14:paraId="51CE12D6" w14:textId="6BC01D10" w:rsidR="001A406E" w:rsidRPr="00692E6F" w:rsidRDefault="001A406E" w:rsidP="008C1BFD">
            <w:pPr>
              <w:rPr>
                <w:color w:val="3B3B3C" w:themeColor="text1"/>
              </w:rPr>
            </w:pPr>
            <w:r w:rsidRPr="0008026C">
              <w:rPr>
                <w:rFonts w:asciiTheme="minorHAnsi" w:hAnsiTheme="minorHAnsi" w:cstheme="minorHAnsi"/>
                <w:b/>
              </w:rPr>
              <w:t>EQ</w:t>
            </w:r>
            <w:r>
              <w:rPr>
                <w:rFonts w:asciiTheme="minorHAnsi" w:hAnsiTheme="minorHAnsi" w:cstheme="minorHAnsi"/>
                <w:b/>
              </w:rPr>
              <w:t xml:space="preserve">3 </w:t>
            </w:r>
            <w:r>
              <w:rPr>
                <w:rFonts w:asciiTheme="minorHAnsi" w:hAnsiTheme="minorHAnsi" w:cstheme="minorHAnsi"/>
                <w:bCs/>
              </w:rPr>
              <w:t>How likely are the Fleming Fund’s country</w:t>
            </w:r>
            <w:r w:rsidR="00A04187">
              <w:rPr>
                <w:rFonts w:asciiTheme="minorHAnsi" w:hAnsiTheme="minorHAnsi" w:cstheme="minorHAnsi"/>
                <w:bCs/>
              </w:rPr>
              <w:t>-</w:t>
            </w:r>
            <w:r>
              <w:rPr>
                <w:rFonts w:asciiTheme="minorHAnsi" w:hAnsiTheme="minorHAnsi" w:cstheme="minorHAnsi"/>
                <w:bCs/>
              </w:rPr>
              <w:t>level results to be sustained?</w:t>
            </w:r>
            <w:r w:rsidR="007458AC">
              <w:rPr>
                <w:rFonts w:asciiTheme="minorHAnsi" w:hAnsiTheme="minorHAnsi" w:cstheme="minorHAnsi"/>
                <w:bCs/>
              </w:rPr>
              <w:t xml:space="preserve"> </w:t>
            </w:r>
          </w:p>
        </w:tc>
      </w:tr>
    </w:tbl>
    <w:p w14:paraId="1FBABBB8" w14:textId="77777777" w:rsidR="00D970EC" w:rsidRDefault="00D970EC" w:rsidP="00D970EC">
      <w:pPr>
        <w:textAlignment w:val="baseline"/>
        <w:rPr>
          <w:rFonts w:eastAsia="Times New Roman" w:cs="Calibri"/>
          <w:color w:val="3B3B3C"/>
          <w:lang w:eastAsia="en-GB"/>
        </w:rPr>
      </w:pPr>
    </w:p>
    <w:p w14:paraId="37CE0628" w14:textId="4427E62C" w:rsidR="00D970EC" w:rsidRDefault="00D970EC" w:rsidP="00D970EC">
      <w:pPr>
        <w:textAlignment w:val="baseline"/>
        <w:rPr>
          <w:rFonts w:eastAsia="Times New Roman" w:cs="Calibri"/>
          <w:color w:val="3B3B3C"/>
          <w:lang w:eastAsia="en-GB"/>
        </w:rPr>
      </w:pPr>
      <w:r>
        <w:rPr>
          <w:rFonts w:eastAsia="Times New Roman" w:cs="Calibri"/>
          <w:color w:val="3B3B3C"/>
          <w:lang w:eastAsia="en-GB"/>
        </w:rPr>
        <w:t>T</w:t>
      </w:r>
      <w:r w:rsidRPr="00E546E0">
        <w:rPr>
          <w:rFonts w:eastAsia="Times New Roman" w:cs="Calibri"/>
          <w:color w:val="3B3B3C"/>
          <w:lang w:eastAsia="en-GB"/>
        </w:rPr>
        <w:t xml:space="preserve">hrough a combination of document review and KIIs we </w:t>
      </w:r>
      <w:r w:rsidR="00386198">
        <w:rPr>
          <w:rFonts w:eastAsia="Times New Roman" w:cs="Calibri"/>
          <w:color w:val="3B3B3C"/>
          <w:lang w:eastAsia="en-GB"/>
        </w:rPr>
        <w:t>gathered evidence on the extent to which these key pillars of sustainability were a) currently in place and b) expected or planned to be in place</w:t>
      </w:r>
      <w:r w:rsidRPr="00E546E0">
        <w:rPr>
          <w:rFonts w:eastAsia="Times New Roman" w:cs="Calibri"/>
          <w:color w:val="3B3B3C"/>
          <w:lang w:eastAsia="en-GB"/>
        </w:rPr>
        <w:t>.</w:t>
      </w:r>
      <w:r w:rsidR="007458AC">
        <w:rPr>
          <w:rFonts w:eastAsia="Times New Roman" w:cs="Calibri"/>
          <w:color w:val="3B3B3C"/>
          <w:lang w:eastAsia="en-GB"/>
        </w:rPr>
        <w:t xml:space="preserve"> </w:t>
      </w:r>
    </w:p>
    <w:p w14:paraId="3EEFE243" w14:textId="77777777" w:rsidR="005A71D2" w:rsidRPr="00E546E0" w:rsidRDefault="005A71D2" w:rsidP="00BB4743">
      <w:pPr>
        <w:pStyle w:val="ItadNormalText"/>
        <w:rPr>
          <w:lang w:eastAsia="en-GB"/>
        </w:rPr>
      </w:pPr>
    </w:p>
    <w:p w14:paraId="75CEEE2A" w14:textId="70F83573" w:rsidR="00D970EC" w:rsidRPr="00E546E0" w:rsidRDefault="005A71D2" w:rsidP="00BB4743">
      <w:pPr>
        <w:pStyle w:val="Caption"/>
      </w:pPr>
      <w:bookmarkStart w:id="73" w:name="_Toc143857873"/>
      <w:r>
        <w:t xml:space="preserve">Table </w:t>
      </w:r>
      <w:r>
        <w:fldChar w:fldCharType="begin"/>
      </w:r>
      <w:r>
        <w:instrText>SEQ Table \* ARABIC</w:instrText>
      </w:r>
      <w:r>
        <w:fldChar w:fldCharType="separate"/>
      </w:r>
      <w:r w:rsidR="009A383C">
        <w:rPr>
          <w:noProof/>
        </w:rPr>
        <w:t>5</w:t>
      </w:r>
      <w:r>
        <w:fldChar w:fldCharType="end"/>
      </w:r>
      <w:r>
        <w:t xml:space="preserve"> </w:t>
      </w:r>
      <w:r w:rsidR="009F1D9B">
        <w:t>Expected and planned pillars of sustainability</w:t>
      </w:r>
      <w:bookmarkEnd w:id="73"/>
    </w:p>
    <w:tbl>
      <w:tblPr>
        <w:tblStyle w:val="ItadGreenHeaderRow"/>
        <w:tblW w:w="5000" w:type="pct"/>
        <w:tblInd w:w="0" w:type="dxa"/>
        <w:tblLook w:val="04A0" w:firstRow="1" w:lastRow="0" w:firstColumn="1" w:lastColumn="0" w:noHBand="0" w:noVBand="1"/>
      </w:tblPr>
      <w:tblGrid>
        <w:gridCol w:w="3068"/>
        <w:gridCol w:w="3373"/>
        <w:gridCol w:w="3067"/>
      </w:tblGrid>
      <w:tr w:rsidR="009F1D9B" w:rsidRPr="009F1D9B" w14:paraId="0E9F68F7" w14:textId="77777777" w:rsidTr="00BB4743">
        <w:trPr>
          <w:cnfStyle w:val="100000000000" w:firstRow="1" w:lastRow="0" w:firstColumn="0" w:lastColumn="0" w:oddVBand="0" w:evenVBand="0" w:oddHBand="0" w:evenHBand="0" w:firstRowFirstColumn="0" w:firstRowLastColumn="0" w:lastRowFirstColumn="0" w:lastRowLastColumn="0"/>
          <w:trHeight w:val="229"/>
        </w:trPr>
        <w:tc>
          <w:tcPr>
            <w:tcW w:w="1613" w:type="pct"/>
            <w:hideMark/>
          </w:tcPr>
          <w:p w14:paraId="1E93C5F5" w14:textId="77777777" w:rsidR="00D970EC" w:rsidRPr="00BB4743" w:rsidRDefault="00D970EC" w:rsidP="00B94743">
            <w:pPr>
              <w:textAlignment w:val="baseline"/>
              <w:rPr>
                <w:rFonts w:ascii="Times New Roman" w:eastAsia="Times New Roman" w:hAnsi="Times New Roman" w:cs="Times New Roman"/>
                <w:b/>
                <w:bCs/>
                <w:sz w:val="20"/>
                <w:szCs w:val="20"/>
                <w:lang w:eastAsia="en-GB"/>
              </w:rPr>
            </w:pPr>
            <w:r w:rsidRPr="00BB4743">
              <w:rPr>
                <w:rFonts w:eastAsia="Times New Roman" w:cs="Calibri"/>
                <w:b/>
                <w:bCs/>
                <w:color w:val="auto"/>
                <w:sz w:val="20"/>
                <w:szCs w:val="20"/>
                <w:lang w:eastAsia="en-GB"/>
              </w:rPr>
              <w:t>Expected changes </w:t>
            </w:r>
          </w:p>
        </w:tc>
        <w:tc>
          <w:tcPr>
            <w:tcW w:w="1774" w:type="pct"/>
            <w:hideMark/>
          </w:tcPr>
          <w:p w14:paraId="261E15DB" w14:textId="77777777" w:rsidR="00D970EC" w:rsidRPr="00BB4743" w:rsidRDefault="00D970EC" w:rsidP="00B94743">
            <w:pPr>
              <w:textAlignment w:val="baseline"/>
              <w:rPr>
                <w:rFonts w:ascii="Times New Roman" w:eastAsia="Times New Roman" w:hAnsi="Times New Roman" w:cs="Times New Roman"/>
                <w:b/>
                <w:bCs/>
                <w:sz w:val="20"/>
                <w:szCs w:val="20"/>
                <w:lang w:eastAsia="en-GB"/>
              </w:rPr>
            </w:pPr>
            <w:r w:rsidRPr="00BB4743">
              <w:rPr>
                <w:rFonts w:eastAsia="Times New Roman" w:cs="Calibri"/>
                <w:b/>
                <w:bCs/>
                <w:color w:val="auto"/>
                <w:sz w:val="20"/>
                <w:szCs w:val="20"/>
                <w:lang w:eastAsia="en-GB"/>
              </w:rPr>
              <w:t>Indicator </w:t>
            </w:r>
          </w:p>
        </w:tc>
        <w:tc>
          <w:tcPr>
            <w:tcW w:w="1614" w:type="pct"/>
            <w:hideMark/>
          </w:tcPr>
          <w:p w14:paraId="6B3941D5" w14:textId="77777777" w:rsidR="00D970EC" w:rsidRPr="00BB4743" w:rsidRDefault="00D970EC" w:rsidP="00B94743">
            <w:pPr>
              <w:textAlignment w:val="baseline"/>
              <w:rPr>
                <w:rFonts w:ascii="Times New Roman" w:eastAsia="Times New Roman" w:hAnsi="Times New Roman" w:cs="Times New Roman"/>
                <w:b/>
                <w:bCs/>
                <w:sz w:val="20"/>
                <w:szCs w:val="20"/>
                <w:lang w:eastAsia="en-GB"/>
              </w:rPr>
            </w:pPr>
            <w:r w:rsidRPr="00BB4743">
              <w:rPr>
                <w:rFonts w:eastAsia="Times New Roman" w:cs="Calibri"/>
                <w:b/>
                <w:bCs/>
                <w:color w:val="auto"/>
                <w:sz w:val="20"/>
                <w:szCs w:val="20"/>
                <w:lang w:eastAsia="en-GB"/>
              </w:rPr>
              <w:t>Source </w:t>
            </w:r>
          </w:p>
        </w:tc>
      </w:tr>
      <w:tr w:rsidR="00D970EC" w:rsidRPr="009F1D9B" w14:paraId="2EEA0F3C" w14:textId="77777777" w:rsidTr="00BB4743">
        <w:trPr>
          <w:cnfStyle w:val="000000100000" w:firstRow="0" w:lastRow="0" w:firstColumn="0" w:lastColumn="0" w:oddVBand="0" w:evenVBand="0" w:oddHBand="1" w:evenHBand="0" w:firstRowFirstColumn="0" w:firstRowLastColumn="0" w:lastRowFirstColumn="0" w:lastRowLastColumn="0"/>
          <w:trHeight w:val="1187"/>
        </w:trPr>
        <w:tc>
          <w:tcPr>
            <w:tcW w:w="1613" w:type="pct"/>
            <w:hideMark/>
          </w:tcPr>
          <w:p w14:paraId="148A8474" w14:textId="49B60D76" w:rsidR="00D970EC" w:rsidRPr="00BB4743" w:rsidRDefault="00D970EC" w:rsidP="00B94743">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color w:val="3B3B3C"/>
                <w:sz w:val="20"/>
                <w:szCs w:val="20"/>
                <w:lang w:eastAsia="en-GB"/>
              </w:rPr>
              <w:t>Resources exist to maintain</w:t>
            </w:r>
            <w:r w:rsidR="007A1981" w:rsidRPr="00BB4743">
              <w:rPr>
                <w:rFonts w:asciiTheme="minorHAnsi" w:eastAsia="Times New Roman" w:hAnsiTheme="minorHAnsi" w:cstheme="minorHAnsi"/>
                <w:color w:val="3B3B3C"/>
                <w:sz w:val="20"/>
                <w:szCs w:val="20"/>
                <w:lang w:eastAsia="en-GB"/>
              </w:rPr>
              <w:t xml:space="preserve"> the</w:t>
            </w:r>
            <w:r w:rsidRPr="00BB4743">
              <w:rPr>
                <w:rFonts w:asciiTheme="minorHAnsi" w:eastAsia="Times New Roman" w:hAnsiTheme="minorHAnsi" w:cstheme="minorHAnsi"/>
                <w:color w:val="3B3B3C"/>
                <w:sz w:val="20"/>
                <w:szCs w:val="20"/>
                <w:lang w:eastAsia="en-GB"/>
              </w:rPr>
              <w:t xml:space="preserve"> production of quality AMR surveillance data</w:t>
            </w:r>
            <w:r w:rsidR="007458AC" w:rsidRPr="00BB4743">
              <w:rPr>
                <w:rFonts w:asciiTheme="minorHAnsi" w:eastAsia="Times New Roman" w:hAnsiTheme="minorHAnsi" w:cstheme="minorHAnsi"/>
                <w:color w:val="3B3B3C"/>
                <w:sz w:val="20"/>
                <w:szCs w:val="20"/>
                <w:lang w:eastAsia="en-GB"/>
              </w:rPr>
              <w:t xml:space="preserve"> </w:t>
            </w:r>
          </w:p>
        </w:tc>
        <w:tc>
          <w:tcPr>
            <w:tcW w:w="1774" w:type="pct"/>
            <w:hideMark/>
          </w:tcPr>
          <w:p w14:paraId="21081CE0" w14:textId="771578A4" w:rsidR="00D970EC" w:rsidRPr="00BB4743" w:rsidRDefault="00D970EC" w:rsidP="00B94743">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color w:val="3B3B3C"/>
                <w:sz w:val="20"/>
                <w:szCs w:val="20"/>
                <w:lang w:eastAsia="en-GB"/>
              </w:rPr>
              <w:t>Extent and source of non-</w:t>
            </w:r>
            <w:r w:rsidR="00F21D1C" w:rsidRPr="00BB4743">
              <w:rPr>
                <w:rFonts w:asciiTheme="minorHAnsi" w:eastAsia="Times New Roman" w:hAnsiTheme="minorHAnsi" w:cstheme="minorHAnsi"/>
                <w:color w:val="3B3B3C"/>
                <w:sz w:val="20"/>
                <w:szCs w:val="20"/>
                <w:lang w:eastAsia="en-GB"/>
              </w:rPr>
              <w:t xml:space="preserve">Fleming Fund </w:t>
            </w:r>
            <w:r w:rsidRPr="00BB4743">
              <w:rPr>
                <w:rFonts w:asciiTheme="minorHAnsi" w:eastAsia="Times New Roman" w:hAnsiTheme="minorHAnsi" w:cstheme="minorHAnsi"/>
                <w:color w:val="3B3B3C"/>
                <w:sz w:val="20"/>
                <w:szCs w:val="20"/>
                <w:lang w:eastAsia="en-GB"/>
              </w:rPr>
              <w:t>funding vs needed</w:t>
            </w:r>
            <w:r w:rsidR="00035054" w:rsidRPr="00BB4743">
              <w:rPr>
                <w:rFonts w:asciiTheme="minorHAnsi" w:eastAsia="Times New Roman" w:hAnsiTheme="minorHAnsi" w:cstheme="minorHAnsi"/>
                <w:color w:val="3B3B3C"/>
                <w:sz w:val="20"/>
                <w:szCs w:val="20"/>
                <w:lang w:eastAsia="en-GB"/>
              </w:rPr>
              <w:t xml:space="preserve"> funding</w:t>
            </w:r>
          </w:p>
          <w:p w14:paraId="4F4882D5" w14:textId="77777777" w:rsidR="00D970EC" w:rsidRPr="00BB4743" w:rsidRDefault="00D970EC" w:rsidP="00B94743">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color w:val="3B3B3C"/>
                <w:sz w:val="20"/>
                <w:szCs w:val="20"/>
                <w:lang w:eastAsia="en-GB"/>
              </w:rPr>
              <w:t>Adequacy of available resources </w:t>
            </w:r>
          </w:p>
        </w:tc>
        <w:tc>
          <w:tcPr>
            <w:tcW w:w="1614" w:type="pct"/>
            <w:hideMark/>
          </w:tcPr>
          <w:p w14:paraId="2BD00DD5" w14:textId="681A004D" w:rsidR="00D970EC" w:rsidRPr="00A10C26" w:rsidRDefault="00D970EC" w:rsidP="00B94743">
            <w:pPr>
              <w:textAlignment w:val="baseline"/>
              <w:rPr>
                <w:rFonts w:asciiTheme="minorHAnsi" w:eastAsia="Times New Roman" w:hAnsiTheme="minorHAnsi" w:cstheme="minorHAnsi"/>
                <w:color w:val="3B3B3C"/>
                <w:sz w:val="20"/>
                <w:szCs w:val="20"/>
                <w:lang w:eastAsia="en-GB"/>
              </w:rPr>
            </w:pPr>
            <w:r w:rsidRPr="00A10C26">
              <w:rPr>
                <w:rFonts w:asciiTheme="minorHAnsi" w:eastAsia="Times New Roman" w:hAnsiTheme="minorHAnsi" w:cstheme="minorHAnsi"/>
                <w:color w:val="3B3B3C"/>
                <w:sz w:val="20"/>
                <w:szCs w:val="20"/>
                <w:lang w:eastAsia="en-GB"/>
              </w:rPr>
              <w:t>NAP</w:t>
            </w:r>
          </w:p>
          <w:p w14:paraId="67AF5FCC" w14:textId="19A1BF34" w:rsidR="00D970EC" w:rsidRPr="00A10C26" w:rsidRDefault="00D970EC" w:rsidP="00B94743">
            <w:pPr>
              <w:textAlignment w:val="baseline"/>
              <w:rPr>
                <w:rFonts w:asciiTheme="minorHAnsi" w:eastAsia="Times New Roman" w:hAnsiTheme="minorHAnsi" w:cstheme="minorHAnsi"/>
                <w:color w:val="3B3B3C"/>
                <w:sz w:val="20"/>
                <w:szCs w:val="20"/>
                <w:lang w:eastAsia="en-GB"/>
              </w:rPr>
            </w:pPr>
            <w:r w:rsidRPr="00A10C26">
              <w:rPr>
                <w:rFonts w:asciiTheme="minorHAnsi" w:eastAsia="Times New Roman" w:hAnsiTheme="minorHAnsi" w:cstheme="minorHAnsi"/>
                <w:color w:val="3B3B3C"/>
                <w:sz w:val="20"/>
                <w:szCs w:val="20"/>
                <w:lang w:eastAsia="en-GB"/>
              </w:rPr>
              <w:t>Checklist (Annex 3) in S</w:t>
            </w:r>
            <w:r w:rsidR="00A10C26" w:rsidRPr="00A10C26">
              <w:rPr>
                <w:rFonts w:asciiTheme="minorHAnsi" w:eastAsia="Times New Roman" w:hAnsiTheme="minorHAnsi" w:cstheme="minorHAnsi"/>
                <w:color w:val="3B3B3C"/>
                <w:sz w:val="20"/>
                <w:szCs w:val="20"/>
                <w:lang w:eastAsia="en-GB"/>
              </w:rPr>
              <w:t xml:space="preserve">ustainability </w:t>
            </w:r>
            <w:r w:rsidRPr="00A10C26">
              <w:rPr>
                <w:rFonts w:asciiTheme="minorHAnsi" w:eastAsia="Times New Roman" w:hAnsiTheme="minorHAnsi" w:cstheme="minorHAnsi"/>
                <w:color w:val="3B3B3C"/>
                <w:sz w:val="20"/>
                <w:szCs w:val="20"/>
                <w:lang w:eastAsia="en-GB"/>
              </w:rPr>
              <w:t>A</w:t>
            </w:r>
            <w:r w:rsidR="00A10C26" w:rsidRPr="00A10C26">
              <w:rPr>
                <w:rFonts w:asciiTheme="minorHAnsi" w:eastAsia="Times New Roman" w:hAnsiTheme="minorHAnsi" w:cstheme="minorHAnsi"/>
                <w:color w:val="3B3B3C"/>
                <w:sz w:val="20"/>
                <w:szCs w:val="20"/>
                <w:lang w:eastAsia="en-GB"/>
              </w:rPr>
              <w:t xml:space="preserve">ssessment (SA) </w:t>
            </w:r>
            <w:r w:rsidRPr="00A10C26">
              <w:rPr>
                <w:rFonts w:asciiTheme="minorHAnsi" w:eastAsia="Times New Roman" w:hAnsiTheme="minorHAnsi" w:cstheme="minorHAnsi"/>
                <w:color w:val="3B3B3C"/>
                <w:sz w:val="20"/>
                <w:szCs w:val="20"/>
                <w:lang w:eastAsia="en-GB"/>
              </w:rPr>
              <w:t>/</w:t>
            </w:r>
            <w:r w:rsidR="00A10C26" w:rsidRPr="00A10C26">
              <w:rPr>
                <w:rFonts w:asciiTheme="minorHAnsi" w:eastAsia="Times New Roman" w:hAnsiTheme="minorHAnsi" w:cstheme="minorHAnsi"/>
                <w:color w:val="3B3B3C"/>
                <w:sz w:val="20"/>
                <w:szCs w:val="20"/>
                <w:lang w:eastAsia="en-GB"/>
              </w:rPr>
              <w:t xml:space="preserve"> </w:t>
            </w:r>
            <w:r w:rsidRPr="00A10C26">
              <w:rPr>
                <w:rFonts w:asciiTheme="minorHAnsi" w:eastAsia="Times New Roman" w:hAnsiTheme="minorHAnsi" w:cstheme="minorHAnsi"/>
                <w:color w:val="3B3B3C"/>
                <w:sz w:val="20"/>
                <w:szCs w:val="20"/>
                <w:lang w:eastAsia="en-GB"/>
              </w:rPr>
              <w:t>C</w:t>
            </w:r>
            <w:r w:rsidR="00A10C26" w:rsidRPr="00A10C26">
              <w:rPr>
                <w:rFonts w:asciiTheme="minorHAnsi" w:eastAsia="Times New Roman" w:hAnsiTheme="minorHAnsi" w:cstheme="minorHAnsi"/>
                <w:color w:val="3B3B3C"/>
                <w:sz w:val="20"/>
                <w:szCs w:val="20"/>
                <w:lang w:eastAsia="en-GB"/>
              </w:rPr>
              <w:t>ompr</w:t>
            </w:r>
            <w:r w:rsidR="00A10C26">
              <w:rPr>
                <w:rFonts w:asciiTheme="minorHAnsi" w:eastAsia="Times New Roman" w:hAnsiTheme="minorHAnsi" w:cstheme="minorHAnsi"/>
                <w:color w:val="3B3B3C"/>
                <w:sz w:val="20"/>
                <w:szCs w:val="20"/>
                <w:lang w:eastAsia="en-GB"/>
              </w:rPr>
              <w:t xml:space="preserve">ehensive </w:t>
            </w:r>
            <w:r w:rsidRPr="00A10C26">
              <w:rPr>
                <w:rFonts w:asciiTheme="minorHAnsi" w:eastAsia="Times New Roman" w:hAnsiTheme="minorHAnsi" w:cstheme="minorHAnsi"/>
                <w:color w:val="3B3B3C"/>
                <w:sz w:val="20"/>
                <w:szCs w:val="20"/>
                <w:lang w:eastAsia="en-GB"/>
              </w:rPr>
              <w:t>S</w:t>
            </w:r>
            <w:r w:rsidR="00A10C26">
              <w:rPr>
                <w:rFonts w:asciiTheme="minorHAnsi" w:eastAsia="Times New Roman" w:hAnsiTheme="minorHAnsi" w:cstheme="minorHAnsi"/>
                <w:color w:val="3B3B3C"/>
                <w:sz w:val="20"/>
                <w:szCs w:val="20"/>
                <w:lang w:eastAsia="en-GB"/>
              </w:rPr>
              <w:t xml:space="preserve">takeholder </w:t>
            </w:r>
            <w:r w:rsidRPr="00A10C26">
              <w:rPr>
                <w:rFonts w:asciiTheme="minorHAnsi" w:eastAsia="Times New Roman" w:hAnsiTheme="minorHAnsi" w:cstheme="minorHAnsi"/>
                <w:color w:val="3B3B3C"/>
                <w:sz w:val="20"/>
                <w:szCs w:val="20"/>
                <w:lang w:eastAsia="en-GB"/>
              </w:rPr>
              <w:t>A</w:t>
            </w:r>
            <w:r w:rsidR="00A10C26">
              <w:rPr>
                <w:rFonts w:asciiTheme="minorHAnsi" w:eastAsia="Times New Roman" w:hAnsiTheme="minorHAnsi" w:cstheme="minorHAnsi"/>
                <w:color w:val="3B3B3C"/>
                <w:sz w:val="20"/>
                <w:szCs w:val="20"/>
                <w:lang w:eastAsia="en-GB"/>
              </w:rPr>
              <w:t>nalysis (CSA)</w:t>
            </w:r>
            <w:r w:rsidR="00A10C26" w:rsidRPr="00A10C26">
              <w:rPr>
                <w:rFonts w:asciiTheme="minorHAnsi" w:eastAsia="Times New Roman" w:hAnsiTheme="minorHAnsi" w:cstheme="minorHAnsi"/>
                <w:color w:val="3B3B3C"/>
                <w:sz w:val="20"/>
                <w:szCs w:val="20"/>
                <w:lang w:eastAsia="en-GB"/>
              </w:rPr>
              <w:t xml:space="preserve"> </w:t>
            </w:r>
            <w:r w:rsidRPr="00A10C26">
              <w:rPr>
                <w:rFonts w:asciiTheme="minorHAnsi" w:eastAsia="Times New Roman" w:hAnsiTheme="minorHAnsi" w:cstheme="minorHAnsi"/>
                <w:color w:val="3B3B3C"/>
                <w:sz w:val="20"/>
                <w:szCs w:val="20"/>
                <w:lang w:eastAsia="en-GB"/>
              </w:rPr>
              <w:t> </w:t>
            </w:r>
          </w:p>
          <w:p w14:paraId="4DFAF085" w14:textId="77777777" w:rsidR="00D970EC" w:rsidRPr="00BB4743" w:rsidRDefault="00D970EC" w:rsidP="00B94743">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color w:val="3B3B3C"/>
                <w:sz w:val="20"/>
                <w:szCs w:val="20"/>
                <w:lang w:eastAsia="en-GB"/>
              </w:rPr>
              <w:t>KIIs </w:t>
            </w:r>
          </w:p>
        </w:tc>
      </w:tr>
      <w:tr w:rsidR="00D970EC" w:rsidRPr="009F1D9B" w14:paraId="0C6CA83A" w14:textId="77777777" w:rsidTr="00BB4743">
        <w:trPr>
          <w:cnfStyle w:val="000000010000" w:firstRow="0" w:lastRow="0" w:firstColumn="0" w:lastColumn="0" w:oddVBand="0" w:evenVBand="0" w:oddHBand="0" w:evenHBand="1" w:firstRowFirstColumn="0" w:firstRowLastColumn="0" w:lastRowFirstColumn="0" w:lastRowLastColumn="0"/>
          <w:trHeight w:val="948"/>
        </w:trPr>
        <w:tc>
          <w:tcPr>
            <w:tcW w:w="1613" w:type="pct"/>
            <w:hideMark/>
          </w:tcPr>
          <w:p w14:paraId="6457405E" w14:textId="20BCA0E7" w:rsidR="00D970EC" w:rsidRPr="00BB4743" w:rsidRDefault="00D970EC" w:rsidP="00B94743">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color w:val="3B3B3C"/>
                <w:sz w:val="20"/>
                <w:szCs w:val="20"/>
                <w:lang w:eastAsia="en-GB"/>
              </w:rPr>
              <w:t xml:space="preserve">Capacity exists to maintain </w:t>
            </w:r>
            <w:r w:rsidR="00C975EA" w:rsidRPr="00BB4743">
              <w:rPr>
                <w:rFonts w:asciiTheme="minorHAnsi" w:eastAsia="Times New Roman" w:hAnsiTheme="minorHAnsi" w:cstheme="minorHAnsi"/>
                <w:color w:val="3B3B3C"/>
                <w:sz w:val="20"/>
                <w:szCs w:val="20"/>
                <w:lang w:eastAsia="en-GB"/>
              </w:rPr>
              <w:t xml:space="preserve">the </w:t>
            </w:r>
            <w:r w:rsidRPr="00BB4743">
              <w:rPr>
                <w:rFonts w:asciiTheme="minorHAnsi" w:eastAsia="Times New Roman" w:hAnsiTheme="minorHAnsi" w:cstheme="minorHAnsi"/>
                <w:color w:val="3B3B3C"/>
                <w:sz w:val="20"/>
                <w:szCs w:val="20"/>
                <w:lang w:eastAsia="en-GB"/>
              </w:rPr>
              <w:t>production of quality AMR surveillance data </w:t>
            </w:r>
          </w:p>
        </w:tc>
        <w:tc>
          <w:tcPr>
            <w:tcW w:w="1774" w:type="pct"/>
            <w:hideMark/>
          </w:tcPr>
          <w:p w14:paraId="024D529C" w14:textId="2FDC100F" w:rsidR="00D970EC" w:rsidRPr="00BB4743" w:rsidRDefault="00D970EC" w:rsidP="00B94743">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color w:val="3B3B3C"/>
                <w:sz w:val="20"/>
                <w:szCs w:val="20"/>
                <w:lang w:eastAsia="en-GB"/>
              </w:rPr>
              <w:t xml:space="preserve">Extent to which </w:t>
            </w:r>
            <w:r w:rsidR="00F21D1C" w:rsidRPr="00BB4743">
              <w:rPr>
                <w:rFonts w:asciiTheme="minorHAnsi" w:eastAsia="Times New Roman" w:hAnsiTheme="minorHAnsi" w:cstheme="minorHAnsi"/>
                <w:color w:val="3B3B3C"/>
                <w:sz w:val="20"/>
                <w:szCs w:val="20"/>
                <w:lang w:eastAsia="en-GB"/>
              </w:rPr>
              <w:t xml:space="preserve">Fleming Fund </w:t>
            </w:r>
            <w:r w:rsidRPr="00BB4743">
              <w:rPr>
                <w:rFonts w:asciiTheme="minorHAnsi" w:eastAsia="Times New Roman" w:hAnsiTheme="minorHAnsi" w:cstheme="minorHAnsi"/>
                <w:color w:val="3B3B3C"/>
                <w:sz w:val="20"/>
                <w:szCs w:val="20"/>
                <w:lang w:eastAsia="en-GB"/>
              </w:rPr>
              <w:t>supported sites have reached core</w:t>
            </w:r>
            <w:r w:rsidR="007A1981" w:rsidRPr="00BB4743">
              <w:rPr>
                <w:rFonts w:asciiTheme="minorHAnsi" w:eastAsia="Times New Roman" w:hAnsiTheme="minorHAnsi" w:cstheme="minorHAnsi"/>
                <w:color w:val="3B3B3C"/>
                <w:sz w:val="20"/>
                <w:szCs w:val="20"/>
                <w:lang w:eastAsia="en-GB"/>
              </w:rPr>
              <w:t xml:space="preserve"> </w:t>
            </w:r>
            <w:r w:rsidRPr="00BB4743">
              <w:rPr>
                <w:rFonts w:asciiTheme="minorHAnsi" w:eastAsia="Times New Roman" w:hAnsiTheme="minorHAnsi" w:cstheme="minorHAnsi"/>
                <w:color w:val="3B3B3C"/>
                <w:sz w:val="20"/>
                <w:szCs w:val="20"/>
                <w:lang w:eastAsia="en-GB"/>
              </w:rPr>
              <w:t xml:space="preserve">level across </w:t>
            </w:r>
            <w:r w:rsidR="00664368" w:rsidRPr="00BB4743">
              <w:rPr>
                <w:rFonts w:asciiTheme="minorHAnsi" w:eastAsia="Times New Roman" w:hAnsiTheme="minorHAnsi" w:cstheme="minorHAnsi"/>
                <w:color w:val="3B3B3C"/>
                <w:sz w:val="20"/>
                <w:szCs w:val="20"/>
                <w:lang w:eastAsia="en-GB"/>
              </w:rPr>
              <w:t xml:space="preserve">The London School of Hygiene </w:t>
            </w:r>
            <w:r w:rsidR="00DA6EA8" w:rsidRPr="00BB4743">
              <w:rPr>
                <w:rFonts w:asciiTheme="minorHAnsi" w:eastAsia="Times New Roman" w:hAnsiTheme="minorHAnsi" w:cstheme="minorHAnsi"/>
                <w:color w:val="3B3B3C"/>
                <w:sz w:val="20"/>
                <w:szCs w:val="20"/>
                <w:lang w:eastAsia="en-GB"/>
              </w:rPr>
              <w:t>and</w:t>
            </w:r>
            <w:r w:rsidR="00664368" w:rsidRPr="00BB4743">
              <w:rPr>
                <w:rFonts w:asciiTheme="minorHAnsi" w:eastAsia="Times New Roman" w:hAnsiTheme="minorHAnsi" w:cstheme="minorHAnsi"/>
                <w:color w:val="3B3B3C"/>
                <w:sz w:val="20"/>
                <w:szCs w:val="20"/>
                <w:lang w:eastAsia="en-GB"/>
              </w:rPr>
              <w:t xml:space="preserve"> Tropical Medicine (</w:t>
            </w:r>
            <w:r w:rsidRPr="00BB4743">
              <w:rPr>
                <w:rFonts w:asciiTheme="minorHAnsi" w:eastAsia="Times New Roman" w:hAnsiTheme="minorHAnsi" w:cstheme="minorHAnsi"/>
                <w:color w:val="3B3B3C"/>
                <w:sz w:val="20"/>
                <w:szCs w:val="20"/>
                <w:lang w:eastAsia="en-GB"/>
              </w:rPr>
              <w:t>LSHTM</w:t>
            </w:r>
            <w:r w:rsidR="00664368" w:rsidRPr="00BB4743">
              <w:rPr>
                <w:rFonts w:asciiTheme="minorHAnsi" w:eastAsia="Times New Roman" w:hAnsiTheme="minorHAnsi" w:cstheme="minorHAnsi"/>
                <w:color w:val="3B3B3C"/>
                <w:sz w:val="20"/>
                <w:szCs w:val="20"/>
                <w:lang w:eastAsia="en-GB"/>
              </w:rPr>
              <w:t>)</w:t>
            </w:r>
            <w:r w:rsidRPr="00BB4743">
              <w:rPr>
                <w:rFonts w:asciiTheme="minorHAnsi" w:eastAsia="Times New Roman" w:hAnsiTheme="minorHAnsi" w:cstheme="minorHAnsi"/>
                <w:color w:val="3B3B3C"/>
                <w:sz w:val="20"/>
                <w:szCs w:val="20"/>
                <w:lang w:eastAsia="en-GB"/>
              </w:rPr>
              <w:t xml:space="preserve"> capacities</w:t>
            </w:r>
            <w:r w:rsidR="007458AC" w:rsidRPr="00BB4743">
              <w:rPr>
                <w:rFonts w:asciiTheme="minorHAnsi" w:eastAsia="Times New Roman" w:hAnsiTheme="minorHAnsi" w:cstheme="minorHAnsi"/>
                <w:color w:val="3B3B3C"/>
                <w:sz w:val="20"/>
                <w:szCs w:val="20"/>
                <w:lang w:eastAsia="en-GB"/>
              </w:rPr>
              <w:t xml:space="preserve"> </w:t>
            </w:r>
          </w:p>
        </w:tc>
        <w:tc>
          <w:tcPr>
            <w:tcW w:w="1614" w:type="pct"/>
            <w:hideMark/>
          </w:tcPr>
          <w:p w14:paraId="6B66D2D5" w14:textId="0C2014FA" w:rsidR="00D970EC" w:rsidRPr="00BB4743" w:rsidRDefault="00313F47" w:rsidP="00B94743">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color w:val="3B3B3C"/>
                <w:sz w:val="20"/>
                <w:szCs w:val="20"/>
                <w:lang w:eastAsia="en-GB"/>
              </w:rPr>
              <w:t xml:space="preserve">MA </w:t>
            </w:r>
            <w:r w:rsidR="00243846" w:rsidRPr="00BB4743">
              <w:rPr>
                <w:rFonts w:asciiTheme="minorHAnsi" w:eastAsia="Times New Roman" w:hAnsiTheme="minorHAnsi" w:cstheme="minorHAnsi"/>
                <w:color w:val="3B3B3C"/>
                <w:sz w:val="20"/>
                <w:szCs w:val="20"/>
                <w:lang w:eastAsia="en-GB"/>
              </w:rPr>
              <w:t>quarterly</w:t>
            </w:r>
            <w:r w:rsidR="00D970EC" w:rsidRPr="00BB4743">
              <w:rPr>
                <w:rFonts w:asciiTheme="minorHAnsi" w:eastAsia="Times New Roman" w:hAnsiTheme="minorHAnsi" w:cstheme="minorHAnsi"/>
                <w:color w:val="3B3B3C"/>
                <w:sz w:val="20"/>
                <w:szCs w:val="20"/>
                <w:lang w:eastAsia="en-GB"/>
              </w:rPr>
              <w:t xml:space="preserve"> reporting </w:t>
            </w:r>
          </w:p>
          <w:p w14:paraId="62B31D01" w14:textId="4A9E5753" w:rsidR="00D970EC" w:rsidRPr="00BB4743" w:rsidRDefault="00D970EC" w:rsidP="00B94743">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color w:val="3B3B3C"/>
                <w:sz w:val="20"/>
                <w:szCs w:val="20"/>
                <w:lang w:eastAsia="en-GB"/>
              </w:rPr>
              <w:t> </w:t>
            </w:r>
            <w:r w:rsidR="00313F47" w:rsidRPr="00BB4743">
              <w:rPr>
                <w:rFonts w:asciiTheme="minorHAnsi" w:eastAsia="Times New Roman" w:hAnsiTheme="minorHAnsi" w:cstheme="minorHAnsi"/>
                <w:color w:val="3B3B3C"/>
                <w:sz w:val="20"/>
                <w:szCs w:val="20"/>
                <w:lang w:eastAsia="en-GB"/>
              </w:rPr>
              <w:t>KIIs</w:t>
            </w:r>
          </w:p>
        </w:tc>
      </w:tr>
      <w:tr w:rsidR="00D970EC" w:rsidRPr="009F1D9B" w14:paraId="1D571D28" w14:textId="77777777" w:rsidTr="00BB4743">
        <w:trPr>
          <w:cnfStyle w:val="000000100000" w:firstRow="0" w:lastRow="0" w:firstColumn="0" w:lastColumn="0" w:oddVBand="0" w:evenVBand="0" w:oddHBand="1" w:evenHBand="0" w:firstRowFirstColumn="0" w:firstRowLastColumn="0" w:lastRowFirstColumn="0" w:lastRowLastColumn="0"/>
          <w:trHeight w:val="948"/>
        </w:trPr>
        <w:tc>
          <w:tcPr>
            <w:tcW w:w="1613" w:type="pct"/>
            <w:hideMark/>
          </w:tcPr>
          <w:p w14:paraId="3F7E6C06" w14:textId="2860E3BF" w:rsidR="00D970EC" w:rsidRPr="00BB4743" w:rsidRDefault="00D970EC" w:rsidP="00B94743">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color w:val="3B3B3C"/>
                <w:sz w:val="20"/>
                <w:szCs w:val="20"/>
                <w:lang w:eastAsia="en-GB"/>
              </w:rPr>
              <w:t>Systems: Incentives/ motivation to maintain and apply capacity</w:t>
            </w:r>
            <w:r w:rsidR="007458AC" w:rsidRPr="00BB4743">
              <w:rPr>
                <w:rFonts w:asciiTheme="minorHAnsi" w:eastAsia="Times New Roman" w:hAnsiTheme="minorHAnsi" w:cstheme="minorHAnsi"/>
                <w:color w:val="3B3B3C"/>
                <w:sz w:val="20"/>
                <w:szCs w:val="20"/>
                <w:lang w:eastAsia="en-GB"/>
              </w:rPr>
              <w:t xml:space="preserve"> </w:t>
            </w:r>
          </w:p>
        </w:tc>
        <w:tc>
          <w:tcPr>
            <w:tcW w:w="1774" w:type="pct"/>
            <w:hideMark/>
          </w:tcPr>
          <w:p w14:paraId="7002E96F" w14:textId="5B7673E6" w:rsidR="00D970EC" w:rsidRPr="00BB4743" w:rsidRDefault="00D970EC" w:rsidP="00B94743">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color w:val="3B3B3C"/>
                <w:sz w:val="20"/>
                <w:szCs w:val="20"/>
                <w:lang w:eastAsia="en-GB"/>
              </w:rPr>
              <w:t>Institutional/organisational systems and structures recognise, value and reward</w:t>
            </w:r>
            <w:r w:rsidR="007A1981" w:rsidRPr="00BB4743">
              <w:rPr>
                <w:rFonts w:asciiTheme="minorHAnsi" w:eastAsia="Times New Roman" w:hAnsiTheme="minorHAnsi" w:cstheme="minorHAnsi"/>
                <w:color w:val="3B3B3C"/>
                <w:sz w:val="20"/>
                <w:szCs w:val="20"/>
                <w:lang w:eastAsia="en-GB"/>
              </w:rPr>
              <w:t xml:space="preserve"> the</w:t>
            </w:r>
            <w:r w:rsidRPr="00BB4743">
              <w:rPr>
                <w:rFonts w:asciiTheme="minorHAnsi" w:eastAsia="Times New Roman" w:hAnsiTheme="minorHAnsi" w:cstheme="minorHAnsi"/>
                <w:color w:val="3B3B3C"/>
                <w:sz w:val="20"/>
                <w:szCs w:val="20"/>
                <w:lang w:eastAsia="en-GB"/>
              </w:rPr>
              <w:t xml:space="preserve"> acquisition of relevant skills </w:t>
            </w:r>
          </w:p>
        </w:tc>
        <w:tc>
          <w:tcPr>
            <w:tcW w:w="1614" w:type="pct"/>
            <w:hideMark/>
          </w:tcPr>
          <w:p w14:paraId="3AC23D90" w14:textId="77777777" w:rsidR="00D970EC" w:rsidRPr="00BB4743" w:rsidRDefault="00D970EC" w:rsidP="00B94743">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color w:val="3B3B3C"/>
                <w:sz w:val="20"/>
                <w:szCs w:val="20"/>
                <w:lang w:eastAsia="en-GB"/>
              </w:rPr>
              <w:t>KIIs </w:t>
            </w:r>
          </w:p>
          <w:p w14:paraId="48C08911" w14:textId="77777777" w:rsidR="00D970EC" w:rsidRPr="00BB4743" w:rsidRDefault="00D970EC" w:rsidP="00B94743">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color w:val="3B3B3C"/>
                <w:sz w:val="20"/>
                <w:szCs w:val="20"/>
                <w:lang w:eastAsia="en-GB"/>
              </w:rPr>
              <w:t> </w:t>
            </w:r>
          </w:p>
        </w:tc>
      </w:tr>
      <w:tr w:rsidR="00456BF0" w:rsidRPr="009F1D9B" w14:paraId="0DEA9B5F" w14:textId="77777777" w:rsidTr="00BB4743">
        <w:trPr>
          <w:cnfStyle w:val="000000010000" w:firstRow="0" w:lastRow="0" w:firstColumn="0" w:lastColumn="0" w:oddVBand="0" w:evenVBand="0" w:oddHBand="0" w:evenHBand="1" w:firstRowFirstColumn="0" w:firstRowLastColumn="0" w:lastRowFirstColumn="0" w:lastRowLastColumn="0"/>
          <w:trHeight w:val="948"/>
        </w:trPr>
        <w:tc>
          <w:tcPr>
            <w:tcW w:w="1613" w:type="pct"/>
          </w:tcPr>
          <w:p w14:paraId="376FF9BF" w14:textId="5F4BECCC" w:rsidR="00456BF0" w:rsidRPr="00BB4743" w:rsidRDefault="00456BF0" w:rsidP="00456BF0">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color w:val="3B3B3C"/>
                <w:sz w:val="20"/>
                <w:szCs w:val="20"/>
                <w:lang w:eastAsia="en-GB"/>
              </w:rPr>
              <w:t>Planning</w:t>
            </w:r>
          </w:p>
        </w:tc>
        <w:tc>
          <w:tcPr>
            <w:tcW w:w="1774" w:type="pct"/>
          </w:tcPr>
          <w:p w14:paraId="5DCCD4E6" w14:textId="280DD720" w:rsidR="00456BF0" w:rsidRPr="00BB4743" w:rsidRDefault="00456BF0" w:rsidP="00456BF0">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sz w:val="20"/>
                <w:szCs w:val="20"/>
                <w:lang w:eastAsia="en-GB"/>
              </w:rPr>
              <w:t xml:space="preserve">Exit or sustainability plans </w:t>
            </w:r>
            <w:r w:rsidR="00526015" w:rsidRPr="00BB4743">
              <w:rPr>
                <w:rFonts w:asciiTheme="minorHAnsi" w:eastAsia="Times New Roman" w:hAnsiTheme="minorHAnsi" w:cstheme="minorHAnsi"/>
                <w:sz w:val="20"/>
                <w:szCs w:val="20"/>
                <w:lang w:eastAsia="en-GB"/>
              </w:rPr>
              <w:t>are developed by grantees, implemented,</w:t>
            </w:r>
            <w:r w:rsidRPr="00BB4743">
              <w:rPr>
                <w:rFonts w:asciiTheme="minorHAnsi" w:eastAsia="Times New Roman" w:hAnsiTheme="minorHAnsi" w:cstheme="minorHAnsi"/>
                <w:sz w:val="20"/>
                <w:szCs w:val="20"/>
                <w:lang w:eastAsia="en-GB"/>
              </w:rPr>
              <w:t xml:space="preserve"> and reviewed</w:t>
            </w:r>
          </w:p>
        </w:tc>
        <w:tc>
          <w:tcPr>
            <w:tcW w:w="1614" w:type="pct"/>
          </w:tcPr>
          <w:p w14:paraId="614F5453" w14:textId="77777777" w:rsidR="00456BF0" w:rsidRPr="00BB4743" w:rsidRDefault="00456BF0" w:rsidP="00456BF0">
            <w:pPr>
              <w:rPr>
                <w:rFonts w:asciiTheme="minorHAnsi" w:eastAsia="Times New Roman" w:hAnsiTheme="minorHAnsi" w:cstheme="minorHAnsi"/>
                <w:sz w:val="20"/>
                <w:szCs w:val="20"/>
                <w:lang w:eastAsia="en-GB"/>
              </w:rPr>
            </w:pPr>
            <w:r w:rsidRPr="00BB4743">
              <w:rPr>
                <w:rFonts w:asciiTheme="minorHAnsi" w:eastAsia="Times New Roman" w:hAnsiTheme="minorHAnsi" w:cstheme="minorHAnsi"/>
                <w:sz w:val="20"/>
                <w:szCs w:val="20"/>
                <w:lang w:eastAsia="en-GB"/>
              </w:rPr>
              <w:t>Document review</w:t>
            </w:r>
          </w:p>
          <w:p w14:paraId="16106475" w14:textId="3B62E213" w:rsidR="00456BF0" w:rsidRPr="00BB4743" w:rsidRDefault="00456BF0" w:rsidP="00456BF0">
            <w:pPr>
              <w:textAlignment w:val="baseline"/>
              <w:rPr>
                <w:rFonts w:asciiTheme="minorHAnsi" w:eastAsia="Times New Roman" w:hAnsiTheme="minorHAnsi" w:cstheme="minorHAnsi"/>
                <w:color w:val="3B3B3C"/>
                <w:sz w:val="20"/>
                <w:szCs w:val="20"/>
                <w:lang w:eastAsia="en-GB"/>
              </w:rPr>
            </w:pPr>
            <w:r w:rsidRPr="00BB4743">
              <w:rPr>
                <w:rFonts w:asciiTheme="minorHAnsi" w:eastAsia="Times New Roman" w:hAnsiTheme="minorHAnsi" w:cstheme="minorHAnsi"/>
                <w:sz w:val="20"/>
                <w:szCs w:val="20"/>
                <w:lang w:eastAsia="en-GB"/>
              </w:rPr>
              <w:t>KIIs</w:t>
            </w:r>
          </w:p>
        </w:tc>
      </w:tr>
    </w:tbl>
    <w:p w14:paraId="79775E03" w14:textId="5C3158D7" w:rsidR="00D970EC" w:rsidRDefault="007F44A3" w:rsidP="00D970EC">
      <w:pPr>
        <w:pStyle w:val="ItadNormalText"/>
      </w:pPr>
      <w:r>
        <w:t>We applied the following rubrics to generate a</w:t>
      </w:r>
      <w:r w:rsidR="00722B9C">
        <w:t xml:space="preserve"> visual overview using </w:t>
      </w:r>
      <w:r w:rsidR="00B25D09" w:rsidRPr="00B25D09">
        <w:t xml:space="preserve">Red, Amber, </w:t>
      </w:r>
      <w:r w:rsidR="007A1981">
        <w:t xml:space="preserve">and </w:t>
      </w:r>
      <w:r w:rsidR="00B25D09" w:rsidRPr="00B25D09">
        <w:t xml:space="preserve">Green </w:t>
      </w:r>
      <w:r w:rsidR="00B25D09">
        <w:t>(</w:t>
      </w:r>
      <w:r w:rsidR="00722B9C">
        <w:t>RAG</w:t>
      </w:r>
      <w:r w:rsidR="00B25D09">
        <w:t>)</w:t>
      </w:r>
      <w:r w:rsidR="00722B9C">
        <w:t xml:space="preserve"> ratings</w:t>
      </w:r>
      <w:r w:rsidR="003947A5">
        <w:t xml:space="preserve"> </w:t>
      </w:r>
      <w:r w:rsidR="00595A3E">
        <w:t>for each of</w:t>
      </w:r>
      <w:r w:rsidR="003947A5">
        <w:t xml:space="preserve"> the </w:t>
      </w:r>
      <w:r w:rsidR="00595A3E">
        <w:t>key sustainability pillars</w:t>
      </w:r>
      <w:r w:rsidR="00722B9C">
        <w:t>.</w:t>
      </w:r>
    </w:p>
    <w:p w14:paraId="51A5D8E2" w14:textId="6005C70A" w:rsidR="00503FF0" w:rsidRDefault="00503FF0" w:rsidP="00BB4743">
      <w:pPr>
        <w:pStyle w:val="Caption"/>
      </w:pPr>
      <w:bookmarkStart w:id="74" w:name="_Toc143857874"/>
      <w:r>
        <w:t xml:space="preserve">Table </w:t>
      </w:r>
      <w:r>
        <w:fldChar w:fldCharType="begin"/>
      </w:r>
      <w:r>
        <w:instrText>SEQ Table \* ARABIC</w:instrText>
      </w:r>
      <w:r>
        <w:fldChar w:fldCharType="separate"/>
      </w:r>
      <w:r w:rsidR="009A383C">
        <w:rPr>
          <w:noProof/>
        </w:rPr>
        <w:t>6</w:t>
      </w:r>
      <w:r>
        <w:fldChar w:fldCharType="end"/>
      </w:r>
      <w:r w:rsidR="0044341A">
        <w:t xml:space="preserve"> Rubrics applied to generate RAG ratings for each key sustainability pillar</w:t>
      </w:r>
      <w:bookmarkEnd w:id="74"/>
    </w:p>
    <w:tbl>
      <w:tblPr>
        <w:tblStyle w:val="TableGrid1"/>
        <w:tblW w:w="0" w:type="auto"/>
        <w:tblLook w:val="04A0" w:firstRow="1" w:lastRow="0" w:firstColumn="1" w:lastColumn="0" w:noHBand="0" w:noVBand="1"/>
      </w:tblPr>
      <w:tblGrid>
        <w:gridCol w:w="2326"/>
        <w:gridCol w:w="2326"/>
        <w:gridCol w:w="2326"/>
        <w:gridCol w:w="2326"/>
      </w:tblGrid>
      <w:tr w:rsidR="00E56E3E" w14:paraId="52C2CD5C" w14:textId="77777777" w:rsidTr="00BB4743">
        <w:trPr>
          <w:trHeight w:val="256"/>
          <w:tblHeader/>
        </w:trPr>
        <w:tc>
          <w:tcPr>
            <w:tcW w:w="2326" w:type="dxa"/>
          </w:tcPr>
          <w:p w14:paraId="45707B0F" w14:textId="0224A9BD" w:rsidR="00E56E3E" w:rsidRPr="00D432AF" w:rsidRDefault="00E3769B" w:rsidP="00D970EC">
            <w:pPr>
              <w:pStyle w:val="ItadNormalText"/>
              <w:rPr>
                <w:sz w:val="20"/>
                <w:szCs w:val="20"/>
              </w:rPr>
            </w:pPr>
            <w:r w:rsidRPr="00D432AF">
              <w:rPr>
                <w:sz w:val="20"/>
                <w:szCs w:val="20"/>
              </w:rPr>
              <w:t>Rubric</w:t>
            </w:r>
          </w:p>
        </w:tc>
        <w:tc>
          <w:tcPr>
            <w:tcW w:w="2326" w:type="dxa"/>
            <w:shd w:val="clear" w:color="auto" w:fill="FF0000"/>
          </w:tcPr>
          <w:p w14:paraId="072DCB5D" w14:textId="27377792" w:rsidR="00E56E3E" w:rsidRPr="00D432AF" w:rsidRDefault="00E3769B" w:rsidP="00D970EC">
            <w:pPr>
              <w:pStyle w:val="ItadNormalText"/>
              <w:rPr>
                <w:sz w:val="20"/>
                <w:szCs w:val="20"/>
              </w:rPr>
            </w:pPr>
            <w:r w:rsidRPr="00D432AF">
              <w:rPr>
                <w:sz w:val="20"/>
                <w:szCs w:val="20"/>
              </w:rPr>
              <w:t>Red</w:t>
            </w:r>
          </w:p>
        </w:tc>
        <w:tc>
          <w:tcPr>
            <w:tcW w:w="2326" w:type="dxa"/>
            <w:shd w:val="clear" w:color="auto" w:fill="FFC000"/>
          </w:tcPr>
          <w:p w14:paraId="02DF6B42" w14:textId="571043A3" w:rsidR="00E56E3E" w:rsidRPr="00D432AF" w:rsidRDefault="00E3769B" w:rsidP="00D970EC">
            <w:pPr>
              <w:pStyle w:val="ItadNormalText"/>
              <w:rPr>
                <w:sz w:val="20"/>
                <w:szCs w:val="20"/>
              </w:rPr>
            </w:pPr>
            <w:r w:rsidRPr="00D432AF">
              <w:rPr>
                <w:sz w:val="20"/>
                <w:szCs w:val="20"/>
              </w:rPr>
              <w:t>Amber</w:t>
            </w:r>
          </w:p>
        </w:tc>
        <w:tc>
          <w:tcPr>
            <w:tcW w:w="2326" w:type="dxa"/>
            <w:shd w:val="clear" w:color="auto" w:fill="92D050"/>
          </w:tcPr>
          <w:p w14:paraId="5022667E" w14:textId="66047BC0" w:rsidR="00E56E3E" w:rsidRPr="00D432AF" w:rsidRDefault="00E3769B" w:rsidP="00D970EC">
            <w:pPr>
              <w:pStyle w:val="ItadNormalText"/>
              <w:rPr>
                <w:sz w:val="20"/>
                <w:szCs w:val="20"/>
              </w:rPr>
            </w:pPr>
            <w:r w:rsidRPr="00D432AF">
              <w:rPr>
                <w:sz w:val="20"/>
                <w:szCs w:val="20"/>
              </w:rPr>
              <w:t>Green</w:t>
            </w:r>
          </w:p>
        </w:tc>
      </w:tr>
      <w:tr w:rsidR="00E56E3E" w14:paraId="04513EF6" w14:textId="77777777" w:rsidTr="00D432AF">
        <w:trPr>
          <w:trHeight w:val="256"/>
        </w:trPr>
        <w:tc>
          <w:tcPr>
            <w:tcW w:w="2326" w:type="dxa"/>
          </w:tcPr>
          <w:p w14:paraId="164D2E3F" w14:textId="3BFFCC61" w:rsidR="00E56E3E" w:rsidRPr="00D432AF" w:rsidRDefault="00E3769B" w:rsidP="00D970EC">
            <w:pPr>
              <w:pStyle w:val="ItadNormalText"/>
              <w:rPr>
                <w:sz w:val="20"/>
                <w:szCs w:val="20"/>
              </w:rPr>
            </w:pPr>
            <w:r w:rsidRPr="00D432AF">
              <w:rPr>
                <w:sz w:val="20"/>
                <w:szCs w:val="20"/>
              </w:rPr>
              <w:t>Current</w:t>
            </w:r>
          </w:p>
        </w:tc>
        <w:tc>
          <w:tcPr>
            <w:tcW w:w="2326" w:type="dxa"/>
          </w:tcPr>
          <w:p w14:paraId="29F3E8FA" w14:textId="795B05C9" w:rsidR="00E56E3E" w:rsidRPr="00D432AF" w:rsidRDefault="0048172F" w:rsidP="00D970EC">
            <w:pPr>
              <w:pStyle w:val="ItadNormalText"/>
              <w:rPr>
                <w:sz w:val="20"/>
                <w:szCs w:val="20"/>
              </w:rPr>
            </w:pPr>
            <w:r w:rsidRPr="00D432AF">
              <w:rPr>
                <w:sz w:val="20"/>
                <w:szCs w:val="20"/>
              </w:rPr>
              <w:t>insufficient</w:t>
            </w:r>
          </w:p>
        </w:tc>
        <w:tc>
          <w:tcPr>
            <w:tcW w:w="2326" w:type="dxa"/>
          </w:tcPr>
          <w:p w14:paraId="0D3D7A3E" w14:textId="63833E57" w:rsidR="00E56E3E" w:rsidRPr="00D432AF" w:rsidRDefault="0048172F" w:rsidP="00D970EC">
            <w:pPr>
              <w:pStyle w:val="ItadNormalText"/>
              <w:rPr>
                <w:sz w:val="20"/>
                <w:szCs w:val="20"/>
              </w:rPr>
            </w:pPr>
            <w:r w:rsidRPr="00D432AF">
              <w:rPr>
                <w:sz w:val="20"/>
                <w:szCs w:val="20"/>
              </w:rPr>
              <w:t>Partially sufficient</w:t>
            </w:r>
          </w:p>
        </w:tc>
        <w:tc>
          <w:tcPr>
            <w:tcW w:w="2326" w:type="dxa"/>
          </w:tcPr>
          <w:p w14:paraId="0A875194" w14:textId="63C437D2" w:rsidR="00E56E3E" w:rsidRPr="00D432AF" w:rsidRDefault="0048172F" w:rsidP="00D970EC">
            <w:pPr>
              <w:pStyle w:val="ItadNormalText"/>
              <w:rPr>
                <w:sz w:val="20"/>
                <w:szCs w:val="20"/>
              </w:rPr>
            </w:pPr>
            <w:r w:rsidRPr="00D432AF">
              <w:rPr>
                <w:sz w:val="20"/>
                <w:szCs w:val="20"/>
              </w:rPr>
              <w:t>Sufficient</w:t>
            </w:r>
          </w:p>
        </w:tc>
      </w:tr>
      <w:tr w:rsidR="00E56E3E" w14:paraId="4CBD9B7D" w14:textId="77777777" w:rsidTr="00D432AF">
        <w:trPr>
          <w:trHeight w:val="256"/>
        </w:trPr>
        <w:tc>
          <w:tcPr>
            <w:tcW w:w="2326" w:type="dxa"/>
          </w:tcPr>
          <w:p w14:paraId="3BE90C94" w14:textId="3363E254" w:rsidR="00E56E3E" w:rsidRPr="00D432AF" w:rsidRDefault="00E3769B" w:rsidP="00D970EC">
            <w:pPr>
              <w:pStyle w:val="ItadNormalText"/>
              <w:rPr>
                <w:sz w:val="20"/>
                <w:szCs w:val="20"/>
              </w:rPr>
            </w:pPr>
            <w:r w:rsidRPr="00D432AF">
              <w:rPr>
                <w:sz w:val="20"/>
                <w:szCs w:val="20"/>
              </w:rPr>
              <w:t>Plans</w:t>
            </w:r>
          </w:p>
        </w:tc>
        <w:tc>
          <w:tcPr>
            <w:tcW w:w="2326" w:type="dxa"/>
          </w:tcPr>
          <w:p w14:paraId="76945FDB" w14:textId="783404C4" w:rsidR="00E56E3E" w:rsidRPr="00D432AF" w:rsidRDefault="00AD2AD3" w:rsidP="00D970EC">
            <w:pPr>
              <w:pStyle w:val="ItadNormalText"/>
              <w:rPr>
                <w:sz w:val="20"/>
                <w:szCs w:val="20"/>
              </w:rPr>
            </w:pPr>
            <w:r w:rsidRPr="00D432AF">
              <w:rPr>
                <w:sz w:val="20"/>
                <w:szCs w:val="20"/>
              </w:rPr>
              <w:t>No plans in place</w:t>
            </w:r>
          </w:p>
        </w:tc>
        <w:tc>
          <w:tcPr>
            <w:tcW w:w="2326" w:type="dxa"/>
          </w:tcPr>
          <w:p w14:paraId="352E4973" w14:textId="27184551" w:rsidR="00E56E3E" w:rsidRPr="00D432AF" w:rsidRDefault="00AD2AD3" w:rsidP="00D970EC">
            <w:pPr>
              <w:pStyle w:val="ItadNormalText"/>
              <w:rPr>
                <w:sz w:val="20"/>
                <w:szCs w:val="20"/>
              </w:rPr>
            </w:pPr>
            <w:r w:rsidRPr="00D432AF">
              <w:rPr>
                <w:sz w:val="20"/>
                <w:szCs w:val="20"/>
              </w:rPr>
              <w:t xml:space="preserve">Plans </w:t>
            </w:r>
            <w:r w:rsidR="007A1981">
              <w:rPr>
                <w:sz w:val="20"/>
                <w:szCs w:val="20"/>
              </w:rPr>
              <w:t xml:space="preserve">are </w:t>
            </w:r>
            <w:r w:rsidRPr="00D432AF">
              <w:rPr>
                <w:sz w:val="20"/>
                <w:szCs w:val="20"/>
              </w:rPr>
              <w:t>in place but partially cover issues</w:t>
            </w:r>
          </w:p>
        </w:tc>
        <w:tc>
          <w:tcPr>
            <w:tcW w:w="2326" w:type="dxa"/>
          </w:tcPr>
          <w:p w14:paraId="4BC4820A" w14:textId="47497623" w:rsidR="00E56E3E" w:rsidRPr="00D432AF" w:rsidRDefault="00AD2AD3" w:rsidP="00D970EC">
            <w:pPr>
              <w:pStyle w:val="ItadNormalText"/>
              <w:rPr>
                <w:sz w:val="20"/>
                <w:szCs w:val="20"/>
              </w:rPr>
            </w:pPr>
            <w:r w:rsidRPr="00D432AF">
              <w:rPr>
                <w:sz w:val="20"/>
                <w:szCs w:val="20"/>
              </w:rPr>
              <w:t>Relevant/adequate plans in place and being implemented</w:t>
            </w:r>
          </w:p>
        </w:tc>
      </w:tr>
      <w:tr w:rsidR="00305CF1" w14:paraId="05D6D54E" w14:textId="77777777" w:rsidTr="00D432AF">
        <w:trPr>
          <w:trHeight w:val="256"/>
        </w:trPr>
        <w:tc>
          <w:tcPr>
            <w:tcW w:w="2326" w:type="dxa"/>
          </w:tcPr>
          <w:p w14:paraId="35423D95" w14:textId="070E523D" w:rsidR="00305CF1" w:rsidRPr="00D432AF" w:rsidRDefault="00E3769B" w:rsidP="00D970EC">
            <w:pPr>
              <w:pStyle w:val="ItadNormalText"/>
              <w:rPr>
                <w:sz w:val="20"/>
                <w:szCs w:val="20"/>
              </w:rPr>
            </w:pPr>
            <w:r w:rsidRPr="00D432AF">
              <w:rPr>
                <w:sz w:val="20"/>
                <w:szCs w:val="20"/>
              </w:rPr>
              <w:t>F</w:t>
            </w:r>
            <w:r w:rsidR="00D432AF" w:rsidRPr="00D432AF">
              <w:rPr>
                <w:sz w:val="20"/>
                <w:szCs w:val="20"/>
              </w:rPr>
              <w:t xml:space="preserve">leming </w:t>
            </w:r>
            <w:r w:rsidRPr="00D432AF">
              <w:rPr>
                <w:sz w:val="20"/>
                <w:szCs w:val="20"/>
              </w:rPr>
              <w:t>F</w:t>
            </w:r>
            <w:r w:rsidR="00D432AF" w:rsidRPr="00D432AF">
              <w:rPr>
                <w:sz w:val="20"/>
                <w:szCs w:val="20"/>
              </w:rPr>
              <w:t>und</w:t>
            </w:r>
            <w:r w:rsidRPr="00D432AF">
              <w:rPr>
                <w:sz w:val="20"/>
                <w:szCs w:val="20"/>
              </w:rPr>
              <w:t xml:space="preserve"> contribution</w:t>
            </w:r>
          </w:p>
        </w:tc>
        <w:tc>
          <w:tcPr>
            <w:tcW w:w="2326" w:type="dxa"/>
          </w:tcPr>
          <w:p w14:paraId="49414DAD" w14:textId="1C033C9A" w:rsidR="00305CF1" w:rsidRPr="00D432AF" w:rsidRDefault="00AD2AD3" w:rsidP="00D970EC">
            <w:pPr>
              <w:pStyle w:val="ItadNormalText"/>
              <w:rPr>
                <w:sz w:val="20"/>
                <w:szCs w:val="20"/>
              </w:rPr>
            </w:pPr>
            <w:r w:rsidRPr="00D432AF">
              <w:rPr>
                <w:sz w:val="20"/>
                <w:szCs w:val="20"/>
              </w:rPr>
              <w:t>Not an area of focus</w:t>
            </w:r>
          </w:p>
        </w:tc>
        <w:tc>
          <w:tcPr>
            <w:tcW w:w="2326" w:type="dxa"/>
          </w:tcPr>
          <w:p w14:paraId="694DC9CD" w14:textId="3602BE11" w:rsidR="00305CF1" w:rsidRPr="00D432AF" w:rsidRDefault="00146E98" w:rsidP="00D970EC">
            <w:pPr>
              <w:pStyle w:val="ItadNormalText"/>
              <w:rPr>
                <w:sz w:val="20"/>
                <w:szCs w:val="20"/>
              </w:rPr>
            </w:pPr>
            <w:r>
              <w:rPr>
                <w:sz w:val="20"/>
                <w:szCs w:val="20"/>
              </w:rPr>
              <w:t>S</w:t>
            </w:r>
            <w:r w:rsidR="00AD2AD3" w:rsidRPr="00D432AF">
              <w:rPr>
                <w:sz w:val="20"/>
                <w:szCs w:val="20"/>
              </w:rPr>
              <w:t xml:space="preserve">ome work </w:t>
            </w:r>
            <w:r w:rsidR="007A1981">
              <w:rPr>
                <w:sz w:val="20"/>
                <w:szCs w:val="20"/>
              </w:rPr>
              <w:t xml:space="preserve">was </w:t>
            </w:r>
            <w:r w:rsidR="00AD2AD3" w:rsidRPr="00D432AF">
              <w:rPr>
                <w:sz w:val="20"/>
                <w:szCs w:val="20"/>
              </w:rPr>
              <w:t>planned, but no significant implementation</w:t>
            </w:r>
          </w:p>
        </w:tc>
        <w:tc>
          <w:tcPr>
            <w:tcW w:w="2326" w:type="dxa"/>
          </w:tcPr>
          <w:p w14:paraId="6843A326" w14:textId="22426B0B" w:rsidR="00305CF1" w:rsidRPr="00D432AF" w:rsidRDefault="001E45CF" w:rsidP="00D970EC">
            <w:pPr>
              <w:pStyle w:val="ItadNormalText"/>
              <w:rPr>
                <w:sz w:val="20"/>
                <w:szCs w:val="20"/>
              </w:rPr>
            </w:pPr>
            <w:r>
              <w:rPr>
                <w:sz w:val="20"/>
                <w:szCs w:val="20"/>
              </w:rPr>
              <w:t>W</w:t>
            </w:r>
            <w:r w:rsidR="00AD2AD3" w:rsidRPr="00D432AF">
              <w:rPr>
                <w:sz w:val="20"/>
                <w:szCs w:val="20"/>
              </w:rPr>
              <w:t>ork planned and ongoing (specify which grants/interventions)</w:t>
            </w:r>
          </w:p>
        </w:tc>
      </w:tr>
    </w:tbl>
    <w:p w14:paraId="135D0651" w14:textId="77777777" w:rsidR="003947A5" w:rsidRDefault="003947A5" w:rsidP="003947A5">
      <w:pPr>
        <w:pStyle w:val="ItadNormalText"/>
        <w:spacing w:before="0" w:after="0"/>
        <w:rPr>
          <w:rFonts w:eastAsia="Times New Roman" w:cs="Calibri"/>
          <w:sz w:val="18"/>
          <w:szCs w:val="18"/>
          <w:lang w:eastAsia="en-GB"/>
        </w:rPr>
      </w:pPr>
      <w:bookmarkStart w:id="75" w:name="_Toc504479281"/>
    </w:p>
    <w:p w14:paraId="769DBDE0" w14:textId="691148CE" w:rsidR="00595A3E" w:rsidRPr="00595A3E" w:rsidRDefault="00595A3E" w:rsidP="003947A5">
      <w:pPr>
        <w:pStyle w:val="ItadNormalText"/>
        <w:spacing w:before="0" w:after="0"/>
        <w:rPr>
          <w:rFonts w:eastAsia="Times New Roman" w:cs="Calibri"/>
          <w:lang w:eastAsia="en-GB"/>
        </w:rPr>
      </w:pPr>
      <w:r w:rsidRPr="00595A3E">
        <w:rPr>
          <w:rFonts w:eastAsia="Times New Roman" w:cs="Calibri"/>
          <w:lang w:eastAsia="en-GB"/>
        </w:rPr>
        <w:t>We used the template below to capture a summary of evidence and RAG ratings.</w:t>
      </w:r>
      <w:r w:rsidR="007458AC">
        <w:rPr>
          <w:rFonts w:eastAsia="Times New Roman" w:cs="Calibri"/>
          <w:lang w:eastAsia="en-GB"/>
        </w:rPr>
        <w:t xml:space="preserve"> </w:t>
      </w:r>
      <w:r>
        <w:rPr>
          <w:rFonts w:eastAsia="Times New Roman" w:cs="Calibri"/>
          <w:lang w:eastAsia="en-GB"/>
        </w:rPr>
        <w:t xml:space="preserve">One template was completed for </w:t>
      </w:r>
      <w:r w:rsidR="007130C8">
        <w:rPr>
          <w:rFonts w:eastAsia="Times New Roman" w:cs="Calibri"/>
          <w:lang w:eastAsia="en-GB"/>
        </w:rPr>
        <w:t>each sector in each of our 16 focus countries.</w:t>
      </w:r>
    </w:p>
    <w:p w14:paraId="7BBFCB10" w14:textId="77777777" w:rsidR="00595A3E" w:rsidRDefault="00595A3E" w:rsidP="003947A5">
      <w:pPr>
        <w:pStyle w:val="ItadNormalText"/>
        <w:spacing w:before="0" w:after="0"/>
        <w:rPr>
          <w:rFonts w:eastAsia="Times New Roman" w:cs="Calibri"/>
          <w:sz w:val="18"/>
          <w:szCs w:val="18"/>
          <w:lang w:eastAsia="en-GB"/>
        </w:rPr>
      </w:pPr>
    </w:p>
    <w:tbl>
      <w:tblPr>
        <w:tblStyle w:val="ItadGreenHeaderRow"/>
        <w:tblW w:w="6230" w:type="dxa"/>
        <w:tblLook w:val="04A0" w:firstRow="1" w:lastRow="0" w:firstColumn="1" w:lastColumn="0" w:noHBand="0" w:noVBand="1"/>
      </w:tblPr>
      <w:tblGrid>
        <w:gridCol w:w="1278"/>
        <w:gridCol w:w="1431"/>
        <w:gridCol w:w="1761"/>
        <w:gridCol w:w="1760"/>
      </w:tblGrid>
      <w:tr w:rsidR="003947A5" w14:paraId="1C2A0DE9" w14:textId="77777777" w:rsidTr="00B92447">
        <w:trPr>
          <w:cnfStyle w:val="100000000000" w:firstRow="1" w:lastRow="0" w:firstColumn="0" w:lastColumn="0" w:oddVBand="0" w:evenVBand="0" w:oddHBand="0" w:evenHBand="0" w:firstRowFirstColumn="0" w:firstRowLastColumn="0" w:lastRowFirstColumn="0" w:lastRowLastColumn="0"/>
          <w:trHeight w:val="458"/>
        </w:trPr>
        <w:tc>
          <w:tcPr>
            <w:tcW w:w="1278" w:type="dxa"/>
            <w:hideMark/>
          </w:tcPr>
          <w:p w14:paraId="10922148" w14:textId="77777777" w:rsidR="003947A5" w:rsidRPr="00252BB1" w:rsidRDefault="003947A5">
            <w:pPr>
              <w:pStyle w:val="ItadNormalText"/>
              <w:spacing w:after="0"/>
              <w:rPr>
                <w:sz w:val="20"/>
                <w:szCs w:val="20"/>
              </w:rPr>
            </w:pPr>
            <w:r w:rsidRPr="00252BB1">
              <w:rPr>
                <w:b/>
                <w:bCs/>
                <w:sz w:val="20"/>
                <w:szCs w:val="20"/>
              </w:rPr>
              <w:t>Human Health</w:t>
            </w:r>
          </w:p>
        </w:tc>
        <w:tc>
          <w:tcPr>
            <w:tcW w:w="1431" w:type="dxa"/>
            <w:hideMark/>
          </w:tcPr>
          <w:p w14:paraId="511373AA" w14:textId="77777777" w:rsidR="003947A5" w:rsidRPr="00252BB1" w:rsidRDefault="003947A5">
            <w:pPr>
              <w:pStyle w:val="ItadNormalText"/>
              <w:spacing w:after="0"/>
              <w:rPr>
                <w:sz w:val="20"/>
                <w:szCs w:val="20"/>
              </w:rPr>
            </w:pPr>
            <w:r w:rsidRPr="00252BB1">
              <w:rPr>
                <w:b/>
                <w:bCs/>
                <w:sz w:val="20"/>
                <w:szCs w:val="20"/>
              </w:rPr>
              <w:t>Current</w:t>
            </w:r>
          </w:p>
        </w:tc>
        <w:tc>
          <w:tcPr>
            <w:tcW w:w="1761" w:type="dxa"/>
            <w:hideMark/>
          </w:tcPr>
          <w:p w14:paraId="7249168C" w14:textId="77777777" w:rsidR="003947A5" w:rsidRPr="00252BB1" w:rsidRDefault="003947A5">
            <w:pPr>
              <w:pStyle w:val="ItadNormalText"/>
              <w:spacing w:after="0"/>
              <w:rPr>
                <w:sz w:val="20"/>
                <w:szCs w:val="20"/>
              </w:rPr>
            </w:pPr>
            <w:r w:rsidRPr="00252BB1">
              <w:rPr>
                <w:b/>
                <w:bCs/>
                <w:sz w:val="20"/>
                <w:szCs w:val="20"/>
              </w:rPr>
              <w:t>Plans</w:t>
            </w:r>
          </w:p>
        </w:tc>
        <w:tc>
          <w:tcPr>
            <w:tcW w:w="1760" w:type="dxa"/>
            <w:hideMark/>
          </w:tcPr>
          <w:p w14:paraId="78F2F83C" w14:textId="7495432B" w:rsidR="003947A5" w:rsidRPr="00252BB1" w:rsidRDefault="003947A5">
            <w:pPr>
              <w:pStyle w:val="ItadNormalText"/>
              <w:spacing w:after="0"/>
              <w:rPr>
                <w:sz w:val="20"/>
                <w:szCs w:val="20"/>
              </w:rPr>
            </w:pPr>
            <w:r w:rsidRPr="00252BB1">
              <w:rPr>
                <w:b/>
                <w:bCs/>
                <w:sz w:val="20"/>
                <w:szCs w:val="20"/>
              </w:rPr>
              <w:t>F</w:t>
            </w:r>
            <w:r w:rsidR="00D432AF">
              <w:rPr>
                <w:b/>
                <w:bCs/>
                <w:sz w:val="20"/>
                <w:szCs w:val="20"/>
              </w:rPr>
              <w:t xml:space="preserve">leming </w:t>
            </w:r>
            <w:r w:rsidRPr="00252BB1">
              <w:rPr>
                <w:b/>
                <w:bCs/>
                <w:sz w:val="20"/>
                <w:szCs w:val="20"/>
              </w:rPr>
              <w:t>F</w:t>
            </w:r>
            <w:r w:rsidR="00D432AF">
              <w:rPr>
                <w:b/>
                <w:bCs/>
                <w:sz w:val="20"/>
                <w:szCs w:val="20"/>
              </w:rPr>
              <w:t>und</w:t>
            </w:r>
            <w:r w:rsidRPr="00252BB1">
              <w:rPr>
                <w:b/>
                <w:bCs/>
                <w:sz w:val="20"/>
                <w:szCs w:val="20"/>
              </w:rPr>
              <w:t xml:space="preserve"> contribution</w:t>
            </w:r>
          </w:p>
        </w:tc>
      </w:tr>
      <w:tr w:rsidR="003947A5" w14:paraId="47F6F07A" w14:textId="77777777" w:rsidTr="005A32AD">
        <w:trPr>
          <w:cnfStyle w:val="000000100000" w:firstRow="0" w:lastRow="0" w:firstColumn="0" w:lastColumn="0" w:oddVBand="0" w:evenVBand="0" w:oddHBand="1" w:evenHBand="0" w:firstRowFirstColumn="0" w:firstRowLastColumn="0" w:lastRowFirstColumn="0" w:lastRowLastColumn="0"/>
          <w:trHeight w:val="569"/>
        </w:trPr>
        <w:tc>
          <w:tcPr>
            <w:tcW w:w="1278" w:type="dxa"/>
            <w:hideMark/>
          </w:tcPr>
          <w:p w14:paraId="14645DB8" w14:textId="77777777" w:rsidR="003947A5" w:rsidRPr="00252BB1" w:rsidRDefault="003947A5">
            <w:pPr>
              <w:pStyle w:val="ItadNormalText"/>
              <w:rPr>
                <w:sz w:val="20"/>
                <w:szCs w:val="20"/>
              </w:rPr>
            </w:pPr>
            <w:r w:rsidRPr="00252BB1">
              <w:rPr>
                <w:b/>
                <w:bCs/>
                <w:sz w:val="20"/>
                <w:szCs w:val="20"/>
              </w:rPr>
              <w:t>Summary statement</w:t>
            </w:r>
          </w:p>
        </w:tc>
        <w:tc>
          <w:tcPr>
            <w:tcW w:w="4952" w:type="dxa"/>
            <w:gridSpan w:val="3"/>
          </w:tcPr>
          <w:p w14:paraId="04FBB90E" w14:textId="0D2F8819" w:rsidR="003947A5" w:rsidRPr="00252BB1" w:rsidRDefault="003947A5">
            <w:pPr>
              <w:pStyle w:val="ItadNormalText"/>
              <w:rPr>
                <w:sz w:val="20"/>
                <w:szCs w:val="20"/>
              </w:rPr>
            </w:pPr>
          </w:p>
        </w:tc>
      </w:tr>
      <w:tr w:rsidR="003947A5" w14:paraId="06FA90A7" w14:textId="77777777" w:rsidTr="00B92447">
        <w:trPr>
          <w:cnfStyle w:val="000000010000" w:firstRow="0" w:lastRow="0" w:firstColumn="0" w:lastColumn="0" w:oddVBand="0" w:evenVBand="0" w:oddHBand="0" w:evenHBand="1" w:firstRowFirstColumn="0" w:firstRowLastColumn="0" w:lastRowFirstColumn="0" w:lastRowLastColumn="0"/>
          <w:trHeight w:val="406"/>
        </w:trPr>
        <w:tc>
          <w:tcPr>
            <w:tcW w:w="1278" w:type="dxa"/>
            <w:hideMark/>
          </w:tcPr>
          <w:p w14:paraId="67746078" w14:textId="77777777" w:rsidR="003947A5" w:rsidRDefault="003947A5">
            <w:pPr>
              <w:pStyle w:val="ItadNormalText"/>
              <w:rPr>
                <w:i/>
                <w:iCs/>
                <w:sz w:val="20"/>
                <w:szCs w:val="20"/>
              </w:rPr>
            </w:pPr>
            <w:r>
              <w:rPr>
                <w:i/>
                <w:iCs/>
                <w:sz w:val="20"/>
                <w:szCs w:val="20"/>
              </w:rPr>
              <w:t>Resources</w:t>
            </w:r>
            <w:r>
              <w:rPr>
                <w:rStyle w:val="FootnoteReference"/>
                <w:i/>
                <w:iCs/>
              </w:rPr>
              <w:footnoteReference w:id="21"/>
            </w:r>
          </w:p>
        </w:tc>
        <w:tc>
          <w:tcPr>
            <w:tcW w:w="1431" w:type="dxa"/>
          </w:tcPr>
          <w:p w14:paraId="76A5C7DD" w14:textId="541E521E" w:rsidR="003947A5" w:rsidRDefault="003947A5">
            <w:pPr>
              <w:pStyle w:val="ItadNormalText"/>
              <w:rPr>
                <w:sz w:val="20"/>
                <w:szCs w:val="20"/>
              </w:rPr>
            </w:pPr>
          </w:p>
        </w:tc>
        <w:tc>
          <w:tcPr>
            <w:tcW w:w="1761" w:type="dxa"/>
          </w:tcPr>
          <w:p w14:paraId="50F1552E" w14:textId="3DDCA121" w:rsidR="003947A5" w:rsidRDefault="003947A5">
            <w:pPr>
              <w:pStyle w:val="ItadNormalText"/>
              <w:rPr>
                <w:sz w:val="20"/>
                <w:szCs w:val="20"/>
              </w:rPr>
            </w:pPr>
          </w:p>
        </w:tc>
        <w:tc>
          <w:tcPr>
            <w:tcW w:w="1760" w:type="dxa"/>
          </w:tcPr>
          <w:p w14:paraId="555DB521" w14:textId="571AE554" w:rsidR="003947A5" w:rsidRDefault="003947A5">
            <w:pPr>
              <w:pStyle w:val="ItadNormalText"/>
              <w:rPr>
                <w:sz w:val="20"/>
                <w:szCs w:val="20"/>
              </w:rPr>
            </w:pPr>
          </w:p>
        </w:tc>
      </w:tr>
      <w:tr w:rsidR="003947A5" w14:paraId="4B36395E" w14:textId="77777777" w:rsidTr="00B92447">
        <w:trPr>
          <w:cnfStyle w:val="000000100000" w:firstRow="0" w:lastRow="0" w:firstColumn="0" w:lastColumn="0" w:oddVBand="0" w:evenVBand="0" w:oddHBand="1" w:evenHBand="0" w:firstRowFirstColumn="0" w:firstRowLastColumn="0" w:lastRowFirstColumn="0" w:lastRowLastColumn="0"/>
          <w:trHeight w:val="318"/>
        </w:trPr>
        <w:tc>
          <w:tcPr>
            <w:tcW w:w="1278" w:type="dxa"/>
            <w:hideMark/>
          </w:tcPr>
          <w:p w14:paraId="558C0C17" w14:textId="77777777" w:rsidR="003947A5" w:rsidRDefault="003947A5">
            <w:pPr>
              <w:pStyle w:val="ItadNormalText"/>
              <w:rPr>
                <w:i/>
                <w:iCs/>
                <w:sz w:val="20"/>
                <w:szCs w:val="20"/>
              </w:rPr>
            </w:pPr>
            <w:r>
              <w:rPr>
                <w:i/>
                <w:iCs/>
                <w:sz w:val="20"/>
                <w:szCs w:val="20"/>
              </w:rPr>
              <w:t>Capacity</w:t>
            </w:r>
            <w:r>
              <w:rPr>
                <w:rStyle w:val="FootnoteReference"/>
                <w:i/>
                <w:iCs/>
              </w:rPr>
              <w:footnoteReference w:id="22"/>
            </w:r>
          </w:p>
        </w:tc>
        <w:tc>
          <w:tcPr>
            <w:tcW w:w="1431" w:type="dxa"/>
          </w:tcPr>
          <w:p w14:paraId="78B8BBBF" w14:textId="335D20E3" w:rsidR="003947A5" w:rsidRDefault="003947A5">
            <w:pPr>
              <w:pStyle w:val="ItadNormalText"/>
              <w:rPr>
                <w:sz w:val="20"/>
                <w:szCs w:val="20"/>
              </w:rPr>
            </w:pPr>
          </w:p>
        </w:tc>
        <w:tc>
          <w:tcPr>
            <w:tcW w:w="1761" w:type="dxa"/>
          </w:tcPr>
          <w:p w14:paraId="62079615" w14:textId="21A789C5" w:rsidR="003947A5" w:rsidRDefault="003947A5">
            <w:pPr>
              <w:pStyle w:val="ItadNormalText"/>
              <w:rPr>
                <w:sz w:val="20"/>
                <w:szCs w:val="20"/>
              </w:rPr>
            </w:pPr>
          </w:p>
        </w:tc>
        <w:tc>
          <w:tcPr>
            <w:tcW w:w="1760" w:type="dxa"/>
          </w:tcPr>
          <w:p w14:paraId="58157BAB" w14:textId="2A412EA7" w:rsidR="003947A5" w:rsidRDefault="003947A5">
            <w:pPr>
              <w:pStyle w:val="ItadNormalText"/>
              <w:rPr>
                <w:sz w:val="20"/>
                <w:szCs w:val="20"/>
              </w:rPr>
            </w:pPr>
          </w:p>
        </w:tc>
      </w:tr>
      <w:tr w:rsidR="003947A5" w14:paraId="0143C543" w14:textId="77777777" w:rsidTr="00B92447">
        <w:trPr>
          <w:cnfStyle w:val="000000010000" w:firstRow="0" w:lastRow="0" w:firstColumn="0" w:lastColumn="0" w:oddVBand="0" w:evenVBand="0" w:oddHBand="0" w:evenHBand="1" w:firstRowFirstColumn="0" w:firstRowLastColumn="0" w:lastRowFirstColumn="0" w:lastRowLastColumn="0"/>
          <w:trHeight w:val="305"/>
        </w:trPr>
        <w:tc>
          <w:tcPr>
            <w:tcW w:w="1278" w:type="dxa"/>
            <w:hideMark/>
          </w:tcPr>
          <w:p w14:paraId="7A43BAB7" w14:textId="77777777" w:rsidR="003947A5" w:rsidRDefault="003947A5">
            <w:pPr>
              <w:pStyle w:val="ItadNormalText"/>
              <w:rPr>
                <w:i/>
                <w:iCs/>
                <w:sz w:val="20"/>
                <w:szCs w:val="20"/>
              </w:rPr>
            </w:pPr>
            <w:r>
              <w:rPr>
                <w:i/>
                <w:iCs/>
                <w:sz w:val="20"/>
                <w:szCs w:val="20"/>
              </w:rPr>
              <w:t>Motivation</w:t>
            </w:r>
            <w:r>
              <w:rPr>
                <w:rStyle w:val="FootnoteReference"/>
                <w:i/>
                <w:iCs/>
              </w:rPr>
              <w:footnoteReference w:id="23"/>
            </w:r>
          </w:p>
        </w:tc>
        <w:tc>
          <w:tcPr>
            <w:tcW w:w="1431" w:type="dxa"/>
          </w:tcPr>
          <w:p w14:paraId="135EEA15" w14:textId="62257819" w:rsidR="003947A5" w:rsidRDefault="003947A5">
            <w:pPr>
              <w:pStyle w:val="ItadNormalText"/>
              <w:rPr>
                <w:sz w:val="20"/>
                <w:szCs w:val="20"/>
              </w:rPr>
            </w:pPr>
          </w:p>
        </w:tc>
        <w:tc>
          <w:tcPr>
            <w:tcW w:w="1761" w:type="dxa"/>
          </w:tcPr>
          <w:p w14:paraId="3B46D4D0" w14:textId="608179AB" w:rsidR="003947A5" w:rsidRDefault="003947A5">
            <w:pPr>
              <w:pStyle w:val="ItadNormalText"/>
              <w:rPr>
                <w:sz w:val="20"/>
                <w:szCs w:val="20"/>
              </w:rPr>
            </w:pPr>
          </w:p>
        </w:tc>
        <w:tc>
          <w:tcPr>
            <w:tcW w:w="1760" w:type="dxa"/>
          </w:tcPr>
          <w:p w14:paraId="275EF758" w14:textId="16C36189" w:rsidR="003947A5" w:rsidRDefault="003947A5">
            <w:pPr>
              <w:pStyle w:val="ItadNormalText"/>
              <w:rPr>
                <w:sz w:val="20"/>
                <w:szCs w:val="20"/>
              </w:rPr>
            </w:pPr>
          </w:p>
        </w:tc>
      </w:tr>
      <w:tr w:rsidR="003947A5" w14:paraId="72EFCC5C" w14:textId="77777777" w:rsidTr="00B92447">
        <w:trPr>
          <w:cnfStyle w:val="000000100000" w:firstRow="0" w:lastRow="0" w:firstColumn="0" w:lastColumn="0" w:oddVBand="0" w:evenVBand="0" w:oddHBand="1" w:evenHBand="0" w:firstRowFirstColumn="0" w:firstRowLastColumn="0" w:lastRowFirstColumn="0" w:lastRowLastColumn="0"/>
          <w:trHeight w:val="402"/>
        </w:trPr>
        <w:tc>
          <w:tcPr>
            <w:tcW w:w="1278" w:type="dxa"/>
            <w:hideMark/>
          </w:tcPr>
          <w:p w14:paraId="1FF34A19" w14:textId="77777777" w:rsidR="003947A5" w:rsidRDefault="003947A5">
            <w:pPr>
              <w:pStyle w:val="ItadNormalText"/>
              <w:rPr>
                <w:i/>
                <w:iCs/>
                <w:sz w:val="20"/>
                <w:szCs w:val="20"/>
              </w:rPr>
            </w:pPr>
            <w:r>
              <w:rPr>
                <w:i/>
                <w:iCs/>
                <w:sz w:val="20"/>
                <w:szCs w:val="20"/>
              </w:rPr>
              <w:t>Planning</w:t>
            </w:r>
          </w:p>
        </w:tc>
        <w:tc>
          <w:tcPr>
            <w:tcW w:w="1431" w:type="dxa"/>
          </w:tcPr>
          <w:p w14:paraId="536E61BF" w14:textId="0EB8CF25" w:rsidR="003947A5" w:rsidRDefault="003947A5">
            <w:pPr>
              <w:pStyle w:val="ItadNormalText"/>
              <w:rPr>
                <w:sz w:val="20"/>
                <w:szCs w:val="20"/>
              </w:rPr>
            </w:pPr>
          </w:p>
        </w:tc>
        <w:tc>
          <w:tcPr>
            <w:tcW w:w="1761" w:type="dxa"/>
          </w:tcPr>
          <w:p w14:paraId="4CA8B85C" w14:textId="2D3CC0AF" w:rsidR="003947A5" w:rsidRDefault="003947A5">
            <w:pPr>
              <w:pStyle w:val="ItadNormalText"/>
              <w:rPr>
                <w:sz w:val="20"/>
                <w:szCs w:val="20"/>
              </w:rPr>
            </w:pPr>
          </w:p>
        </w:tc>
        <w:tc>
          <w:tcPr>
            <w:tcW w:w="1760" w:type="dxa"/>
          </w:tcPr>
          <w:p w14:paraId="7FB58D04" w14:textId="527D5543" w:rsidR="003947A5" w:rsidRDefault="003947A5">
            <w:pPr>
              <w:pStyle w:val="ItadNormalText"/>
              <w:rPr>
                <w:sz w:val="20"/>
                <w:szCs w:val="20"/>
              </w:rPr>
            </w:pPr>
          </w:p>
        </w:tc>
      </w:tr>
    </w:tbl>
    <w:p w14:paraId="7D517085" w14:textId="77777777" w:rsidR="003947A5" w:rsidRDefault="003947A5" w:rsidP="003947A5">
      <w:pPr>
        <w:pStyle w:val="ItadNormalText"/>
        <w:spacing w:before="0" w:after="0"/>
        <w:rPr>
          <w:i/>
          <w:iCs/>
          <w:sz w:val="18"/>
          <w:szCs w:val="18"/>
        </w:rPr>
      </w:pPr>
    </w:p>
    <w:p w14:paraId="735E9F0F" w14:textId="77777777" w:rsidR="00D970EC" w:rsidRDefault="00D970EC" w:rsidP="00134C63">
      <w:pPr>
        <w:pStyle w:val="ItadH3Numbered"/>
      </w:pPr>
      <w:bookmarkStart w:id="76" w:name="_Toc118968505"/>
      <w:bookmarkStart w:id="77" w:name="_Toc142383146"/>
      <w:r w:rsidRPr="006558DB">
        <w:t>Cross</w:t>
      </w:r>
      <w:r>
        <w:t>-</w:t>
      </w:r>
      <w:r w:rsidRPr="006558DB">
        <w:t xml:space="preserve">case </w:t>
      </w:r>
      <w:r>
        <w:t>synthesis</w:t>
      </w:r>
      <w:bookmarkEnd w:id="75"/>
      <w:bookmarkEnd w:id="76"/>
      <w:bookmarkEnd w:id="77"/>
    </w:p>
    <w:p w14:paraId="1008F9F7" w14:textId="5722EF6F" w:rsidR="00D970EC" w:rsidRDefault="00D970EC" w:rsidP="00D970EC">
      <w:pPr>
        <w:spacing w:before="120" w:after="160" w:line="264" w:lineRule="auto"/>
        <w:jc w:val="both"/>
      </w:pPr>
      <w:r>
        <w:t xml:space="preserve">Synthesis of evidence derived </w:t>
      </w:r>
      <w:r w:rsidR="00526015">
        <w:t>from</w:t>
      </w:r>
      <w:r>
        <w:t xml:space="preserve"> the methods above is our main way to answer all six EQs. However, our approach to synthesis is influenced by two main factors: </w:t>
      </w:r>
    </w:p>
    <w:p w14:paraId="436A216B" w14:textId="7248650A" w:rsidR="00D970EC" w:rsidRDefault="00D970EC" w:rsidP="00D970EC">
      <w:pPr>
        <w:spacing w:before="120" w:after="160" w:line="264" w:lineRule="auto"/>
        <w:ind w:left="720"/>
        <w:jc w:val="both"/>
      </w:pPr>
      <w:r>
        <w:t xml:space="preserve">1. The imperative to deliver evaluation outputs ahead of key decision points for the MA and </w:t>
      </w:r>
      <w:r w:rsidR="00286F10">
        <w:t xml:space="preserve">the </w:t>
      </w:r>
      <w:r>
        <w:t>DHSC. This means the evaluation team ha</w:t>
      </w:r>
      <w:r w:rsidR="00A16B6A">
        <w:t>d</w:t>
      </w:r>
      <w:r>
        <w:t xml:space="preserve"> to deliver findings, conclusions</w:t>
      </w:r>
      <w:r w:rsidR="007A1981">
        <w:t>,</w:t>
      </w:r>
      <w:r>
        <w:t xml:space="preserve"> and recommendations for adaptive learning purposes in 2018, in the first half of 2019; while the findings, conclusions and recommendations from 2020 have supported a decision by </w:t>
      </w:r>
      <w:r w:rsidR="00286F10">
        <w:t xml:space="preserve">the </w:t>
      </w:r>
      <w:r>
        <w:t xml:space="preserve">DHSC/HMG on a further phase of support to AMR through the Fleming Fund. </w:t>
      </w:r>
    </w:p>
    <w:p w14:paraId="5990D18C" w14:textId="77777777" w:rsidR="00D970EC" w:rsidRPr="006F19BB" w:rsidRDefault="00D970EC" w:rsidP="00D970EC">
      <w:pPr>
        <w:spacing w:before="120" w:after="160" w:line="264" w:lineRule="auto"/>
        <w:ind w:left="720"/>
        <w:jc w:val="both"/>
      </w:pPr>
      <w:r>
        <w:t xml:space="preserve">2. We needed to manage the fact that the implementation approach for grants being used by the MA was staggered. This affects what was available for evaluation in 2021-2022. </w:t>
      </w:r>
    </w:p>
    <w:p w14:paraId="2A8B6370" w14:textId="77777777" w:rsidR="00D970EC" w:rsidRPr="00CA0016" w:rsidRDefault="00D970EC" w:rsidP="0066738F">
      <w:pPr>
        <w:pStyle w:val="ItadH4"/>
      </w:pPr>
      <w:r w:rsidRPr="00CA0016">
        <w:t xml:space="preserve">Focus of synthesis and methods to be used for each deliverable </w:t>
      </w:r>
    </w:p>
    <w:p w14:paraId="407293D5" w14:textId="219F625C" w:rsidR="00D970EC" w:rsidRDefault="00D970EC" w:rsidP="00D970EC">
      <w:pPr>
        <w:spacing w:before="120" w:after="160" w:line="264" w:lineRule="auto"/>
        <w:jc w:val="both"/>
      </w:pPr>
      <w:r>
        <w:t xml:space="preserve">At </w:t>
      </w:r>
      <w:r w:rsidR="007A1981">
        <w:t xml:space="preserve">the </w:t>
      </w:r>
      <w:r>
        <w:t>country level, our analysis will provide four sources of analysis:</w:t>
      </w:r>
    </w:p>
    <w:p w14:paraId="069E2B8C" w14:textId="01255895" w:rsidR="00D970EC" w:rsidRDefault="00D970EC" w:rsidP="00C6374D">
      <w:pPr>
        <w:pStyle w:val="ListParagraph"/>
        <w:numPr>
          <w:ilvl w:val="0"/>
          <w:numId w:val="72"/>
        </w:numPr>
        <w:spacing w:before="120" w:after="160" w:line="264" w:lineRule="auto"/>
        <w:jc w:val="both"/>
      </w:pPr>
      <w:r>
        <w:t xml:space="preserve">Contribution analyses around the </w:t>
      </w:r>
      <w:r w:rsidR="00265143">
        <w:t xml:space="preserve">HH </w:t>
      </w:r>
      <w:r>
        <w:t xml:space="preserve">and </w:t>
      </w:r>
      <w:r w:rsidR="00265143">
        <w:t>AH</w:t>
      </w:r>
      <w:r>
        <w:t xml:space="preserve"> surveillance systems; </w:t>
      </w:r>
    </w:p>
    <w:p w14:paraId="169521B8" w14:textId="7C8711B1" w:rsidR="006E504D" w:rsidRDefault="006E504D" w:rsidP="00C6374D">
      <w:pPr>
        <w:pStyle w:val="ListParagraph"/>
        <w:numPr>
          <w:ilvl w:val="0"/>
          <w:numId w:val="72"/>
        </w:numPr>
        <w:spacing w:before="120" w:after="160" w:line="264" w:lineRule="auto"/>
        <w:jc w:val="both"/>
      </w:pPr>
      <w:r>
        <w:t>Alignment and Coherence Analysis</w:t>
      </w:r>
      <w:r w:rsidR="00F40899">
        <w:t>;</w:t>
      </w:r>
    </w:p>
    <w:p w14:paraId="7CF9532D" w14:textId="51DC58EC" w:rsidR="00D970EC" w:rsidRDefault="00623CF0" w:rsidP="00C6374D">
      <w:pPr>
        <w:pStyle w:val="ListParagraph"/>
        <w:numPr>
          <w:ilvl w:val="0"/>
          <w:numId w:val="72"/>
        </w:numPr>
      </w:pPr>
      <w:r w:rsidRPr="00623CF0">
        <w:t>National policy agenda analysis</w:t>
      </w:r>
      <w:r w:rsidR="00D970EC">
        <w:t xml:space="preserve">; </w:t>
      </w:r>
    </w:p>
    <w:p w14:paraId="2061DFCF" w14:textId="4088CB4C" w:rsidR="006E504D" w:rsidRDefault="006E504D" w:rsidP="00C6374D">
      <w:pPr>
        <w:pStyle w:val="ListParagraph"/>
        <w:numPr>
          <w:ilvl w:val="0"/>
          <w:numId w:val="72"/>
        </w:numPr>
      </w:pPr>
      <w:r>
        <w:t>Data Use analysis;</w:t>
      </w:r>
    </w:p>
    <w:p w14:paraId="284C6FF4" w14:textId="00785DE3" w:rsidR="006E504D" w:rsidRDefault="006E504D" w:rsidP="00C6374D">
      <w:pPr>
        <w:pStyle w:val="ListParagraph"/>
        <w:numPr>
          <w:ilvl w:val="0"/>
          <w:numId w:val="72"/>
        </w:numPr>
      </w:pPr>
      <w:r>
        <w:t xml:space="preserve">Quantity and quality analysis; </w:t>
      </w:r>
    </w:p>
    <w:p w14:paraId="03F8E3D5" w14:textId="77777777" w:rsidR="00D970EC" w:rsidRDefault="00D970EC" w:rsidP="00C6374D">
      <w:pPr>
        <w:pStyle w:val="ListParagraph"/>
        <w:numPr>
          <w:ilvl w:val="0"/>
          <w:numId w:val="72"/>
        </w:numPr>
        <w:spacing w:before="120" w:after="160" w:line="264" w:lineRule="auto"/>
        <w:jc w:val="both"/>
      </w:pPr>
      <w:r>
        <w:t>Sustainability analyses; and,</w:t>
      </w:r>
    </w:p>
    <w:p w14:paraId="7E4906DE" w14:textId="08F20040" w:rsidR="00D970EC" w:rsidRDefault="00D970EC" w:rsidP="00C6374D">
      <w:pPr>
        <w:pStyle w:val="ListParagraph"/>
        <w:numPr>
          <w:ilvl w:val="0"/>
          <w:numId w:val="72"/>
        </w:numPr>
        <w:spacing w:before="120" w:after="160" w:line="264" w:lineRule="auto"/>
        <w:jc w:val="both"/>
      </w:pPr>
      <w:r>
        <w:t>VfM analyses</w:t>
      </w:r>
      <w:r w:rsidR="004A23B3">
        <w:t>,</w:t>
      </w:r>
      <w:r>
        <w:t xml:space="preserve"> looking at efficiency, economy and effectiveness. </w:t>
      </w:r>
    </w:p>
    <w:p w14:paraId="52995E18" w14:textId="0A1ED260" w:rsidR="00D970EC" w:rsidRDefault="00D970EC" w:rsidP="00D970EC">
      <w:pPr>
        <w:spacing w:before="120" w:after="160" w:line="264" w:lineRule="auto"/>
        <w:jc w:val="both"/>
      </w:pPr>
      <w:r>
        <w:t xml:space="preserve">For each form of analysis, evidence and conclusions are presented in the same format across each case. The focus in the evaluation design on ensuring that all analysis is presented in a standardised way was deliberate and the key to our approach to synthesis. The use of consistent frameworks across both countries and analytical methods allowed us to easily provide overviews of what is found across cases or analytical methods, using presentational methods such as RAG ratings. </w:t>
      </w:r>
    </w:p>
    <w:p w14:paraId="60BBAAD7" w14:textId="5B795183" w:rsidR="00D970EC" w:rsidRDefault="00D970EC" w:rsidP="00D970EC">
      <w:pPr>
        <w:spacing w:before="120" w:after="160" w:line="264" w:lineRule="auto"/>
        <w:jc w:val="both"/>
      </w:pPr>
      <w:r>
        <w:t xml:space="preserve">Such an approach has the advantage of being both systematic and transparent whilst at the same time being feasible to implement within the resources and time available. Consistency across the evidence tells us that our understanding of what happens is supported by the empirical evidence. Divergence in patterns beyond what </w:t>
      </w:r>
      <w:r w:rsidR="00EF6D86">
        <w:t xml:space="preserve">is </w:t>
      </w:r>
      <w:r>
        <w:t>expected, on the other hand</w:t>
      </w:r>
      <w:r w:rsidR="007A1981">
        <w:t>,</w:t>
      </w:r>
      <w:r>
        <w:t xml:space="preserve"> indicates areas into which we need to look further to try to understand how and why we are finding something unexpected and consider the implications for either what we can conclude or recommend. </w:t>
      </w:r>
    </w:p>
    <w:p w14:paraId="1A95D811" w14:textId="5CC5D772" w:rsidR="00D970EC" w:rsidRDefault="00C62D69" w:rsidP="00D970EC">
      <w:pPr>
        <w:spacing w:before="120" w:after="160" w:line="264" w:lineRule="auto"/>
        <w:jc w:val="both"/>
      </w:pPr>
      <w:r>
        <w:rPr>
          <w:highlight w:val="yellow"/>
        </w:rPr>
        <w:fldChar w:fldCharType="begin"/>
      </w:r>
      <w:r>
        <w:rPr>
          <w:highlight w:val="yellow"/>
        </w:rPr>
        <w:instrText xml:space="preserve"> REF _Ref118797273 \h </w:instrText>
      </w:r>
      <w:r>
        <w:rPr>
          <w:highlight w:val="yellow"/>
        </w:rPr>
      </w:r>
      <w:r>
        <w:rPr>
          <w:highlight w:val="yellow"/>
        </w:rPr>
        <w:fldChar w:fldCharType="separate"/>
      </w:r>
      <w:r w:rsidR="009A383C">
        <w:t xml:space="preserve">Figure </w:t>
      </w:r>
      <w:r w:rsidR="009A383C">
        <w:rPr>
          <w:noProof/>
        </w:rPr>
        <w:t>7</w:t>
      </w:r>
      <w:r>
        <w:rPr>
          <w:highlight w:val="yellow"/>
        </w:rPr>
        <w:fldChar w:fldCharType="end"/>
      </w:r>
      <w:r w:rsidR="00D970EC">
        <w:t xml:space="preserve"> below is an example of how a necessary and sufficient synthesis across three countries helps to explain the approach. In the example below, we identified that in three of the countries, the </w:t>
      </w:r>
      <w:r w:rsidR="00DF35C5">
        <w:t>AMRCC</w:t>
      </w:r>
      <w:r w:rsidR="00D970EC">
        <w:t xml:space="preserve"> has identified a particular outcome as important to achieve, say reform of legislation. In </w:t>
      </w:r>
      <w:r w:rsidR="009E2AC2">
        <w:t>phase 1</w:t>
      </w:r>
      <w:r w:rsidR="00AB5B26">
        <w:t xml:space="preserve"> of our analysis</w:t>
      </w:r>
      <w:r w:rsidR="00D970EC">
        <w:t xml:space="preserve">, based on our review of existing theoretical literature, we identified eight conditions (see </w:t>
      </w:r>
      <w:r w:rsidR="009E2AC2">
        <w:t>phase 1</w:t>
      </w:r>
      <w:r w:rsidR="00D970EC">
        <w:t xml:space="preserve">) that need to be in place for that outcome to be achieved. </w:t>
      </w:r>
    </w:p>
    <w:p w14:paraId="6A7F9827" w14:textId="4A39083A" w:rsidR="00B702C4" w:rsidRDefault="00B92447" w:rsidP="00B702C4">
      <w:pPr>
        <w:keepNext/>
        <w:spacing w:before="120" w:after="160" w:line="264" w:lineRule="auto"/>
        <w:jc w:val="both"/>
      </w:pPr>
      <w:r>
        <w:rPr>
          <w:noProof/>
        </w:rPr>
        <w:drawing>
          <wp:inline distT="0" distB="0" distL="0" distR="0" wp14:anchorId="75EF439C" wp14:editId="64A88583">
            <wp:extent cx="5570886" cy="2946400"/>
            <wp:effectExtent l="0" t="0" r="0" b="6350"/>
            <wp:docPr id="1415503939" name="Picture 141550393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503939" name="Picture 1415503939" descr="Table&#10;&#10;Description automatically generated"/>
                    <pic:cNvPicPr/>
                  </pic:nvPicPr>
                  <pic:blipFill>
                    <a:blip r:embed="rId37"/>
                    <a:stretch>
                      <a:fillRect/>
                    </a:stretch>
                  </pic:blipFill>
                  <pic:spPr>
                    <a:xfrm>
                      <a:off x="0" y="0"/>
                      <a:ext cx="5581048" cy="2951775"/>
                    </a:xfrm>
                    <a:prstGeom prst="rect">
                      <a:avLst/>
                    </a:prstGeom>
                  </pic:spPr>
                </pic:pic>
              </a:graphicData>
            </a:graphic>
          </wp:inline>
        </w:drawing>
      </w:r>
    </w:p>
    <w:p w14:paraId="30BB0607" w14:textId="3A266C32" w:rsidR="00D970EC" w:rsidRDefault="00B702C4" w:rsidP="00C04C3C">
      <w:pPr>
        <w:pStyle w:val="ItadCaption"/>
      </w:pPr>
      <w:bookmarkStart w:id="78" w:name="_Ref118797273"/>
      <w:bookmarkStart w:id="79" w:name="_Ref118797268"/>
      <w:bookmarkStart w:id="80" w:name="_Toc143858061"/>
      <w:r>
        <w:t xml:space="preserve">Figure </w:t>
      </w:r>
      <w:r>
        <w:fldChar w:fldCharType="begin"/>
      </w:r>
      <w:r>
        <w:instrText>SEQ Figure \* ARABIC</w:instrText>
      </w:r>
      <w:r>
        <w:fldChar w:fldCharType="separate"/>
      </w:r>
      <w:r w:rsidR="009A383C">
        <w:rPr>
          <w:noProof/>
        </w:rPr>
        <w:t>7</w:t>
      </w:r>
      <w:r>
        <w:fldChar w:fldCharType="end"/>
      </w:r>
      <w:bookmarkEnd w:id="78"/>
      <w:r w:rsidR="00F82DB8">
        <w:t xml:space="preserve"> </w:t>
      </w:r>
      <w:r w:rsidRPr="006A30D0">
        <w:t>An indicative example of cross-case synthesis</w:t>
      </w:r>
      <w:bookmarkEnd w:id="79"/>
      <w:bookmarkEnd w:id="80"/>
    </w:p>
    <w:p w14:paraId="11E3101D" w14:textId="6CE4750C" w:rsidR="00D970EC" w:rsidRDefault="00D970EC" w:rsidP="00D970EC">
      <w:pPr>
        <w:spacing w:before="120" w:after="160" w:line="264" w:lineRule="auto"/>
        <w:jc w:val="both"/>
      </w:pPr>
      <w:r>
        <w:t xml:space="preserve">Data collection at </w:t>
      </w:r>
      <w:r w:rsidR="007A1981">
        <w:t xml:space="preserve">the </w:t>
      </w:r>
      <w:r>
        <w:t xml:space="preserve">country level then, in </w:t>
      </w:r>
      <w:r w:rsidR="009E2AC2">
        <w:t>phase 2</w:t>
      </w:r>
      <w:r w:rsidR="00AB5B26">
        <w:t xml:space="preserve"> </w:t>
      </w:r>
      <w:r w:rsidR="00214C55">
        <w:t xml:space="preserve">of </w:t>
      </w:r>
      <w:r w:rsidR="00AB5B26">
        <w:t>our analysis</w:t>
      </w:r>
      <w:r>
        <w:t xml:space="preserve">, allowed us to verify which of the conditions was already in </w:t>
      </w:r>
      <w:r w:rsidR="007A77B8">
        <w:t>place and</w:t>
      </w:r>
      <w:r>
        <w:t xml:space="preserve"> which were not</w:t>
      </w:r>
      <w:r w:rsidR="00740448">
        <w:t xml:space="preserve">. </w:t>
      </w:r>
      <w:r>
        <w:t xml:space="preserve">In </w:t>
      </w:r>
      <w:r w:rsidR="00604D75">
        <w:t>P</w:t>
      </w:r>
      <w:r>
        <w:t>hase 3</w:t>
      </w:r>
      <w:r w:rsidR="00214C55">
        <w:t xml:space="preserve"> of our analysis</w:t>
      </w:r>
      <w:r>
        <w:t xml:space="preserve">, we then identified which of the conditions the grants had contributed towards. Conclusions from synthesis, and answering </w:t>
      </w:r>
      <w:r w:rsidR="00CE24CE">
        <w:t>EQ</w:t>
      </w:r>
      <w:r>
        <w:t xml:space="preserve">4, would from the above include: </w:t>
      </w:r>
    </w:p>
    <w:p w14:paraId="4EEDECA5" w14:textId="6C1C910E" w:rsidR="00D970EC" w:rsidRDefault="00D970EC" w:rsidP="00C6374D">
      <w:pPr>
        <w:pStyle w:val="ListParagraph"/>
        <w:numPr>
          <w:ilvl w:val="0"/>
          <w:numId w:val="73"/>
        </w:numPr>
        <w:spacing w:before="120" w:after="160" w:line="264" w:lineRule="auto"/>
        <w:jc w:val="both"/>
      </w:pPr>
      <w:r>
        <w:t>The conditions needed to trigger the desired outcome were not in place in any of the countries, so it is</w:t>
      </w:r>
      <w:r w:rsidR="00F05418">
        <w:t xml:space="preserve"> not </w:t>
      </w:r>
      <w:r>
        <w:t xml:space="preserve">plausible to conclude that the outcome will be achieved in the near future; </w:t>
      </w:r>
    </w:p>
    <w:p w14:paraId="189C540E" w14:textId="77777777" w:rsidR="00D970EC" w:rsidRDefault="00D970EC" w:rsidP="00C6374D">
      <w:pPr>
        <w:pStyle w:val="ListParagraph"/>
        <w:numPr>
          <w:ilvl w:val="0"/>
          <w:numId w:val="73"/>
        </w:numPr>
        <w:spacing w:before="120" w:after="160" w:line="264" w:lineRule="auto"/>
        <w:jc w:val="both"/>
      </w:pPr>
      <w:r>
        <w:t xml:space="preserve">On the other hand, the Fleming Fund grants have, in this case contributed to ensuring that some of the necessary conditions are in place; </w:t>
      </w:r>
    </w:p>
    <w:p w14:paraId="405155F5" w14:textId="77777777" w:rsidR="00D970EC" w:rsidRDefault="00D970EC" w:rsidP="00C6374D">
      <w:pPr>
        <w:pStyle w:val="ListParagraph"/>
        <w:numPr>
          <w:ilvl w:val="0"/>
          <w:numId w:val="73"/>
        </w:numPr>
        <w:spacing w:before="120" w:after="160" w:line="264" w:lineRule="auto"/>
        <w:jc w:val="both"/>
      </w:pPr>
      <w:r>
        <w:t xml:space="preserve">The Fleming Fund grants have contributed to different conditions in different countries, so we would need to explain whether this shows that the grant design and targeting process is effective at identifying the right things to support or whether this was due to something else. </w:t>
      </w:r>
    </w:p>
    <w:p w14:paraId="0B5B6CAD" w14:textId="1EF5AA7E" w:rsidR="00D970EC" w:rsidRDefault="00D970EC" w:rsidP="00C6374D">
      <w:pPr>
        <w:pStyle w:val="ListParagraph"/>
        <w:numPr>
          <w:ilvl w:val="0"/>
          <w:numId w:val="73"/>
        </w:numPr>
        <w:spacing w:before="120" w:after="160" w:line="264" w:lineRule="auto"/>
        <w:jc w:val="both"/>
      </w:pPr>
      <w:r>
        <w:t xml:space="preserve">We would need to explain why the Fleming Fund did not contribute to ensuring </w:t>
      </w:r>
      <w:r w:rsidR="00A2165D">
        <w:t>all</w:t>
      </w:r>
      <w:r>
        <w:t xml:space="preserve"> the right conditions are in place. An explanation could be that it was assumed that either the country partners or another development partner was dealing with those conditions or it was not possible for any of the partners to affect those conditions. </w:t>
      </w:r>
    </w:p>
    <w:p w14:paraId="4D64E610" w14:textId="519A6689" w:rsidR="00D970EC" w:rsidRPr="002545CD" w:rsidRDefault="00D970EC" w:rsidP="00D970EC">
      <w:pPr>
        <w:spacing w:before="120" w:after="160" w:line="264" w:lineRule="auto"/>
        <w:jc w:val="both"/>
      </w:pPr>
      <w:r>
        <w:t>Because the same analysis is presented in the same way across the cases throughout our design, the important point is that it allows the rapid inspection, across cases, to see if the same pattern is repeated across the relevant cases and/or differing analytical methods or whether there is divergence from either what we expected to observe or between what was found using differ</w:t>
      </w:r>
      <w:r w:rsidR="007A1981">
        <w:t>ent</w:t>
      </w:r>
      <w:r>
        <w:t xml:space="preserve"> analytical methods.</w:t>
      </w:r>
    </w:p>
    <w:bookmarkEnd w:id="67"/>
    <w:p w14:paraId="6D2BC177" w14:textId="77777777" w:rsidR="002E6973" w:rsidRDefault="002E6973" w:rsidP="00D970EC">
      <w:pPr>
        <w:pStyle w:val="ItadNormalText"/>
        <w:ind w:left="720"/>
        <w:rPr>
          <w:lang w:val="en-US"/>
        </w:rPr>
      </w:pPr>
    </w:p>
    <w:p w14:paraId="16FD80FB" w14:textId="77777777" w:rsidR="008833AF" w:rsidRDefault="008833AF" w:rsidP="00D970EC">
      <w:pPr>
        <w:pStyle w:val="ItadNormalText"/>
        <w:ind w:left="720"/>
        <w:rPr>
          <w:lang w:val="en-US"/>
        </w:rPr>
      </w:pPr>
    </w:p>
    <w:p w14:paraId="0A0500A8" w14:textId="77777777" w:rsidR="00354171" w:rsidRDefault="00354171" w:rsidP="00BB4743">
      <w:pPr>
        <w:pStyle w:val="ItadNormalText"/>
        <w:ind w:left="720"/>
      </w:pPr>
      <w:bookmarkStart w:id="81" w:name="_Toc118968506"/>
      <w:r>
        <w:br w:type="page"/>
      </w:r>
    </w:p>
    <w:p w14:paraId="2F2F8FD9" w14:textId="756A603E" w:rsidR="0090729C" w:rsidRDefault="0090729C" w:rsidP="0090729C">
      <w:pPr>
        <w:pStyle w:val="ItadH1Numbered"/>
        <w:numPr>
          <w:ilvl w:val="0"/>
          <w:numId w:val="0"/>
        </w:numPr>
      </w:pPr>
      <w:bookmarkStart w:id="82" w:name="_Toc142383147"/>
      <w:r>
        <w:t xml:space="preserve">Annex </w:t>
      </w:r>
      <w:r w:rsidR="00C33665">
        <w:t>4</w:t>
      </w:r>
      <w:r>
        <w:t xml:space="preserve">: Data </w:t>
      </w:r>
      <w:r w:rsidR="00764EB0">
        <w:t>collection and analysis</w:t>
      </w:r>
      <w:bookmarkEnd w:id="81"/>
      <w:bookmarkEnd w:id="82"/>
    </w:p>
    <w:p w14:paraId="5C71F899" w14:textId="45987C34" w:rsidR="00B3052A" w:rsidRPr="00BD45A7" w:rsidRDefault="00B3052A" w:rsidP="00B3052A">
      <w:pPr>
        <w:jc w:val="both"/>
        <w:rPr>
          <w:rFonts w:asciiTheme="minorHAnsi" w:hAnsiTheme="minorHAnsi" w:cstheme="minorHAnsi"/>
        </w:rPr>
      </w:pPr>
      <w:r w:rsidRPr="00BD45A7">
        <w:rPr>
          <w:rFonts w:asciiTheme="minorHAnsi" w:hAnsiTheme="minorHAnsi" w:cstheme="minorHAnsi"/>
        </w:rPr>
        <w:t>This section briefly describes our approach to the key data collection methods that</w:t>
      </w:r>
      <w:r>
        <w:rPr>
          <w:rFonts w:asciiTheme="minorHAnsi" w:hAnsiTheme="minorHAnsi" w:cstheme="minorHAnsi"/>
        </w:rPr>
        <w:t xml:space="preserve"> facilitated the application of the evaluation methods described above. Four sources of evidence were used within the evaluation: Interviews with stakeholders, within the MA, at country and regional level and with a small selection of </w:t>
      </w:r>
      <w:r w:rsidR="00417F18">
        <w:rPr>
          <w:rFonts w:asciiTheme="minorHAnsi" w:hAnsiTheme="minorHAnsi" w:cstheme="minorHAnsi"/>
        </w:rPr>
        <w:t>DPs</w:t>
      </w:r>
      <w:r>
        <w:rPr>
          <w:rFonts w:asciiTheme="minorHAnsi" w:hAnsiTheme="minorHAnsi" w:cstheme="minorHAnsi"/>
        </w:rPr>
        <w:t>;</w:t>
      </w:r>
      <w:r w:rsidRPr="00BD45A7">
        <w:rPr>
          <w:rFonts w:asciiTheme="minorHAnsi" w:hAnsiTheme="minorHAnsi" w:cstheme="minorHAnsi"/>
        </w:rPr>
        <w:t xml:space="preserve"> </w:t>
      </w:r>
      <w:r>
        <w:rPr>
          <w:rFonts w:asciiTheme="minorHAnsi" w:hAnsiTheme="minorHAnsi" w:cstheme="minorHAnsi"/>
        </w:rPr>
        <w:t>e</w:t>
      </w:r>
      <w:r w:rsidRPr="00BD45A7">
        <w:rPr>
          <w:rFonts w:asciiTheme="minorHAnsi" w:hAnsiTheme="minorHAnsi" w:cstheme="minorHAnsi"/>
        </w:rPr>
        <w:t>vidence from the MA’s monitoring and other reports</w:t>
      </w:r>
      <w:r w:rsidR="009475C9">
        <w:rPr>
          <w:rFonts w:asciiTheme="minorHAnsi" w:hAnsiTheme="minorHAnsi" w:cstheme="minorHAnsi"/>
        </w:rPr>
        <w:t>,</w:t>
      </w:r>
      <w:r>
        <w:rPr>
          <w:rFonts w:asciiTheme="minorHAnsi" w:hAnsiTheme="minorHAnsi" w:cstheme="minorHAnsi"/>
        </w:rPr>
        <w:t xml:space="preserve"> s</w:t>
      </w:r>
      <w:r w:rsidRPr="00BD45A7">
        <w:rPr>
          <w:rFonts w:asciiTheme="minorHAnsi" w:hAnsiTheme="minorHAnsi" w:cstheme="minorHAnsi"/>
        </w:rPr>
        <w:t xml:space="preserve">econdary evidence drawn from </w:t>
      </w:r>
      <w:r w:rsidR="009475C9">
        <w:rPr>
          <w:rFonts w:asciiTheme="minorHAnsi" w:hAnsiTheme="minorHAnsi" w:cstheme="minorHAnsi"/>
        </w:rPr>
        <w:t xml:space="preserve">the </w:t>
      </w:r>
      <w:r w:rsidRPr="00BD45A7">
        <w:rPr>
          <w:rFonts w:asciiTheme="minorHAnsi" w:hAnsiTheme="minorHAnsi" w:cstheme="minorHAnsi"/>
        </w:rPr>
        <w:t>documentation of other stakeholders</w:t>
      </w:r>
      <w:r>
        <w:rPr>
          <w:rFonts w:asciiTheme="minorHAnsi" w:hAnsiTheme="minorHAnsi" w:cstheme="minorHAnsi"/>
        </w:rPr>
        <w:t xml:space="preserve"> and </w:t>
      </w:r>
      <w:r w:rsidR="00417F18">
        <w:rPr>
          <w:rFonts w:asciiTheme="minorHAnsi" w:hAnsiTheme="minorHAnsi" w:cstheme="minorHAnsi"/>
        </w:rPr>
        <w:t>DPs</w:t>
      </w:r>
      <w:r w:rsidR="009475C9">
        <w:rPr>
          <w:rFonts w:asciiTheme="minorHAnsi" w:hAnsiTheme="minorHAnsi" w:cstheme="minorHAnsi"/>
        </w:rPr>
        <w:t>,</w:t>
      </w:r>
      <w:r>
        <w:rPr>
          <w:rFonts w:asciiTheme="minorHAnsi" w:hAnsiTheme="minorHAnsi" w:cstheme="minorHAnsi"/>
        </w:rPr>
        <w:t xml:space="preserve"> and finally from site visits conducted during the country visits. </w:t>
      </w:r>
    </w:p>
    <w:p w14:paraId="0F2434CF" w14:textId="3C65BD34" w:rsidR="0090729C" w:rsidRPr="00B3052A" w:rsidRDefault="0090729C" w:rsidP="0090729C">
      <w:pPr>
        <w:pStyle w:val="ItadNormalText"/>
        <w:rPr>
          <w:rFonts w:asciiTheme="minorHAnsi" w:hAnsiTheme="minorHAnsi" w:cstheme="minorHAnsi"/>
        </w:rPr>
      </w:pPr>
      <w:r w:rsidRPr="00B3052A">
        <w:rPr>
          <w:rFonts w:asciiTheme="minorHAnsi" w:hAnsiTheme="minorHAnsi" w:cstheme="minorHAnsi"/>
        </w:rPr>
        <w:t xml:space="preserve">Through a combination of extensive reviews of secondary evidence contained in a range of documentation, and a focused period of primary data collection in each of </w:t>
      </w:r>
      <w:r w:rsidR="00C0743E">
        <w:rPr>
          <w:rFonts w:asciiTheme="minorHAnsi" w:hAnsiTheme="minorHAnsi" w:cstheme="minorHAnsi"/>
        </w:rPr>
        <w:t>the</w:t>
      </w:r>
      <w:r w:rsidR="00C0743E" w:rsidRPr="00B3052A">
        <w:rPr>
          <w:rFonts w:asciiTheme="minorHAnsi" w:hAnsiTheme="minorHAnsi" w:cstheme="minorHAnsi"/>
        </w:rPr>
        <w:t xml:space="preserve"> </w:t>
      </w:r>
      <w:r w:rsidRPr="00B3052A">
        <w:rPr>
          <w:rFonts w:asciiTheme="minorHAnsi" w:hAnsiTheme="minorHAnsi" w:cstheme="minorHAnsi"/>
        </w:rPr>
        <w:t xml:space="preserve">16 </w:t>
      </w:r>
      <w:r w:rsidR="00C0743E">
        <w:rPr>
          <w:rFonts w:asciiTheme="minorHAnsi" w:hAnsiTheme="minorHAnsi" w:cstheme="minorHAnsi"/>
        </w:rPr>
        <w:t xml:space="preserve">focus </w:t>
      </w:r>
      <w:r w:rsidRPr="00B3052A">
        <w:rPr>
          <w:rFonts w:asciiTheme="minorHAnsi" w:hAnsiTheme="minorHAnsi" w:cstheme="minorHAnsi"/>
        </w:rPr>
        <w:t>countries, we gathered relevant data to enable</w:t>
      </w:r>
      <w:r w:rsidR="00C0743E">
        <w:rPr>
          <w:rFonts w:asciiTheme="minorHAnsi" w:hAnsiTheme="minorHAnsi" w:cstheme="minorHAnsi"/>
        </w:rPr>
        <w:t xml:space="preserve"> the</w:t>
      </w:r>
      <w:r w:rsidRPr="00B3052A">
        <w:rPr>
          <w:rFonts w:asciiTheme="minorHAnsi" w:hAnsiTheme="minorHAnsi" w:cstheme="minorHAnsi"/>
        </w:rPr>
        <w:t xml:space="preserve"> completion of a </w:t>
      </w:r>
      <w:r w:rsidRPr="00A30E19">
        <w:rPr>
          <w:rFonts w:asciiTheme="minorHAnsi" w:hAnsiTheme="minorHAnsi" w:cstheme="minorHAnsi"/>
        </w:rPr>
        <w:t>set of analytic tools.</w:t>
      </w:r>
      <w:r w:rsidRPr="00B3052A">
        <w:rPr>
          <w:rFonts w:asciiTheme="minorHAnsi" w:hAnsiTheme="minorHAnsi" w:cstheme="minorHAnsi"/>
        </w:rPr>
        <w:t xml:space="preserve"> The approach across all three rounds of data collection has been broadly consistent.</w:t>
      </w:r>
    </w:p>
    <w:p w14:paraId="7B0A9C26" w14:textId="544393BD" w:rsidR="0090729C" w:rsidRPr="00B3052A" w:rsidRDefault="0090729C" w:rsidP="0090729C">
      <w:pPr>
        <w:pStyle w:val="ItadNormalText"/>
        <w:rPr>
          <w:rFonts w:asciiTheme="minorHAnsi" w:hAnsiTheme="minorHAnsi" w:cstheme="minorHAnsi"/>
        </w:rPr>
      </w:pPr>
      <w:r w:rsidRPr="00B3052A">
        <w:rPr>
          <w:rFonts w:asciiTheme="minorHAnsi" w:hAnsiTheme="minorHAnsi" w:cstheme="minorHAnsi"/>
        </w:rPr>
        <w:t>In line with best practice</w:t>
      </w:r>
      <w:r w:rsidR="00C0743E">
        <w:rPr>
          <w:rFonts w:asciiTheme="minorHAnsi" w:hAnsiTheme="minorHAnsi" w:cstheme="minorHAnsi"/>
        </w:rPr>
        <w:t>s</w:t>
      </w:r>
      <w:r w:rsidRPr="00B3052A">
        <w:rPr>
          <w:rFonts w:asciiTheme="minorHAnsi" w:hAnsiTheme="minorHAnsi" w:cstheme="minorHAnsi"/>
        </w:rPr>
        <w:t>, we have piloted our tools and processes in two countries (</w:t>
      </w:r>
      <w:r w:rsidR="00A30E19">
        <w:rPr>
          <w:rFonts w:asciiTheme="minorHAnsi" w:hAnsiTheme="minorHAnsi" w:cstheme="minorHAnsi"/>
        </w:rPr>
        <w:t>Nepal</w:t>
      </w:r>
      <w:r w:rsidRPr="00B3052A">
        <w:rPr>
          <w:rFonts w:asciiTheme="minorHAnsi" w:hAnsiTheme="minorHAnsi" w:cstheme="minorHAnsi"/>
        </w:rPr>
        <w:t xml:space="preserve"> and Uganda for</w:t>
      </w:r>
      <w:r w:rsidRPr="000F36D9">
        <w:t xml:space="preserve"> </w:t>
      </w:r>
      <w:r w:rsidR="00C56BCB">
        <w:rPr>
          <w:rFonts w:asciiTheme="minorHAnsi" w:hAnsiTheme="minorHAnsi" w:cstheme="minorHAnsi"/>
        </w:rPr>
        <w:t>Country Visit 2</w:t>
      </w:r>
      <w:r w:rsidRPr="00B3052A">
        <w:rPr>
          <w:rFonts w:asciiTheme="minorHAnsi" w:hAnsiTheme="minorHAnsi" w:cstheme="minorHAnsi"/>
        </w:rPr>
        <w:t xml:space="preserve">, Pakistan and Zambia for </w:t>
      </w:r>
      <w:r w:rsidR="00C56BCB">
        <w:rPr>
          <w:rFonts w:asciiTheme="minorHAnsi" w:hAnsiTheme="minorHAnsi" w:cstheme="minorHAnsi"/>
        </w:rPr>
        <w:t>Country Visit 3</w:t>
      </w:r>
      <w:r w:rsidRPr="00B3052A">
        <w:rPr>
          <w:rFonts w:asciiTheme="minorHAnsi" w:hAnsiTheme="minorHAnsi" w:cstheme="minorHAnsi"/>
        </w:rPr>
        <w:t>) and we have revised them before full implementation across all 16 countries.</w:t>
      </w:r>
      <w:r w:rsidR="007458AC">
        <w:rPr>
          <w:rFonts w:asciiTheme="minorHAnsi" w:hAnsiTheme="minorHAnsi" w:cstheme="minorHAnsi"/>
        </w:rPr>
        <w:t xml:space="preserve"> </w:t>
      </w:r>
    </w:p>
    <w:p w14:paraId="2F4D216F" w14:textId="196C8149" w:rsidR="0090729C" w:rsidRDefault="0090729C" w:rsidP="00CA3C0B">
      <w:pPr>
        <w:pStyle w:val="ItadH2"/>
      </w:pPr>
      <w:bookmarkStart w:id="83" w:name="_Toc118968507"/>
      <w:bookmarkStart w:id="84" w:name="_Toc142383148"/>
      <w:r>
        <w:t xml:space="preserve">Country </w:t>
      </w:r>
      <w:r w:rsidR="00764EB0">
        <w:t>v</w:t>
      </w:r>
      <w:r>
        <w:t>isits</w:t>
      </w:r>
      <w:bookmarkEnd w:id="83"/>
      <w:bookmarkEnd w:id="84"/>
    </w:p>
    <w:p w14:paraId="4958906E" w14:textId="1117D8EB" w:rsidR="0090729C" w:rsidRDefault="00F65223" w:rsidP="0090729C">
      <w:pPr>
        <w:jc w:val="both"/>
        <w:rPr>
          <w:rFonts w:cs="Calibri"/>
        </w:rPr>
      </w:pPr>
      <w:r>
        <w:rPr>
          <w:rFonts w:cs="Calibri"/>
        </w:rPr>
        <w:t>During</w:t>
      </w:r>
      <w:r w:rsidR="0090729C" w:rsidRPr="7938E1C9">
        <w:rPr>
          <w:rFonts w:cs="Calibri"/>
        </w:rPr>
        <w:t xml:space="preserve"> the evaluation, the evaluation team completed three rounds of country visits (2018, 2019-2020</w:t>
      </w:r>
      <w:r w:rsidR="00DA6EA8">
        <w:rPr>
          <w:rFonts w:cs="Calibri"/>
        </w:rPr>
        <w:t xml:space="preserve"> and </w:t>
      </w:r>
      <w:r w:rsidR="0090729C" w:rsidRPr="7938E1C9">
        <w:rPr>
          <w:rFonts w:cs="Calibri"/>
        </w:rPr>
        <w:t xml:space="preserve">2021-2022). The third and final round of country visits were conducted to inform the Summative Evaluation. The country visit consisted of </w:t>
      </w:r>
      <w:r w:rsidR="00C0743E">
        <w:rPr>
          <w:rFonts w:cs="Calibri"/>
        </w:rPr>
        <w:t>d</w:t>
      </w:r>
      <w:r w:rsidR="00C0743E" w:rsidRPr="7938E1C9">
        <w:rPr>
          <w:rFonts w:cs="Calibri"/>
        </w:rPr>
        <w:t xml:space="preserve">ocument </w:t>
      </w:r>
      <w:r w:rsidR="0090729C" w:rsidRPr="7938E1C9">
        <w:rPr>
          <w:rFonts w:cs="Calibri"/>
        </w:rPr>
        <w:t xml:space="preserve">reviews, KIIs and </w:t>
      </w:r>
      <w:r w:rsidR="00C0743E" w:rsidRPr="7938E1C9">
        <w:rPr>
          <w:rFonts w:cs="Calibri"/>
        </w:rPr>
        <w:t>site visits</w:t>
      </w:r>
      <w:r w:rsidR="0090729C" w:rsidRPr="7938E1C9">
        <w:rPr>
          <w:rFonts w:cs="Calibri"/>
        </w:rPr>
        <w:t>.</w:t>
      </w:r>
    </w:p>
    <w:p w14:paraId="04548907" w14:textId="49D8F539" w:rsidR="0090729C" w:rsidRDefault="0090729C" w:rsidP="0090729C">
      <w:pPr>
        <w:pStyle w:val="ItadH3Numbered"/>
        <w:numPr>
          <w:ilvl w:val="2"/>
          <w:numId w:val="0"/>
        </w:numPr>
        <w:spacing w:line="259" w:lineRule="auto"/>
        <w:rPr>
          <w:rFonts w:eastAsia="Calibri" w:cs="Calibri"/>
        </w:rPr>
      </w:pPr>
      <w:bookmarkStart w:id="85" w:name="_Toc118968508"/>
      <w:bookmarkStart w:id="86" w:name="_Toc142383149"/>
      <w:r w:rsidRPr="42AF9C30">
        <w:rPr>
          <w:rFonts w:eastAsia="Calibri" w:cs="Calibri"/>
        </w:rPr>
        <w:t xml:space="preserve">Country </w:t>
      </w:r>
      <w:r w:rsidR="00764EB0">
        <w:rPr>
          <w:rFonts w:eastAsia="Calibri" w:cs="Calibri"/>
        </w:rPr>
        <w:t>d</w:t>
      </w:r>
      <w:r w:rsidRPr="42AF9C30">
        <w:rPr>
          <w:rFonts w:eastAsia="Calibri" w:cs="Calibri"/>
        </w:rPr>
        <w:t>ocument review</w:t>
      </w:r>
      <w:bookmarkEnd w:id="85"/>
      <w:bookmarkEnd w:id="86"/>
    </w:p>
    <w:p w14:paraId="3A197B6E" w14:textId="03FA2055" w:rsidR="0090729C" w:rsidRDefault="0090729C" w:rsidP="0090729C">
      <w:pPr>
        <w:pStyle w:val="ItadNormalText"/>
      </w:pPr>
      <w:r w:rsidRPr="7938E1C9">
        <w:rPr>
          <w:rFonts w:eastAsia="Calibri" w:cs="Calibri"/>
        </w:rPr>
        <w:t>Document review</w:t>
      </w:r>
      <w:r w:rsidR="001C7008">
        <w:rPr>
          <w:rFonts w:eastAsia="Calibri" w:cs="Calibri"/>
        </w:rPr>
        <w:t>s were</w:t>
      </w:r>
      <w:r w:rsidRPr="7938E1C9">
        <w:rPr>
          <w:rFonts w:eastAsia="Calibri" w:cs="Calibri"/>
        </w:rPr>
        <w:t xml:space="preserve"> carried out for each country case study. </w:t>
      </w:r>
      <w:r w:rsidRPr="7938E1C9">
        <w:rPr>
          <w:lang w:val="en-US"/>
        </w:rPr>
        <w:t xml:space="preserve">The evaluation team reviewed over 729 documents as part of the country level document review. This included </w:t>
      </w:r>
      <w:r w:rsidR="00AC51E7" w:rsidRPr="7938E1C9">
        <w:t>quarterly reports, annual reviews, sustainability assessments,</w:t>
      </w:r>
      <w:r w:rsidRPr="7938E1C9">
        <w:t xml:space="preserve"> VfM reports</w:t>
      </w:r>
      <w:r w:rsidR="00B47440">
        <w:t>,</w:t>
      </w:r>
      <w:r w:rsidRPr="7938E1C9">
        <w:t xml:space="preserve"> </w:t>
      </w:r>
      <w:r w:rsidR="00AC51E7" w:rsidRPr="7938E1C9">
        <w:t>country coordinating meeting</w:t>
      </w:r>
      <w:r w:rsidRPr="7938E1C9">
        <w:t xml:space="preserve"> minutes, GLASS reports, </w:t>
      </w:r>
      <w:r w:rsidR="00B87F2F">
        <w:t>l</w:t>
      </w:r>
      <w:r w:rsidRPr="7938E1C9">
        <w:t>ab</w:t>
      </w:r>
      <w:r w:rsidR="00AC51E7">
        <w:t>oratory</w:t>
      </w:r>
      <w:r w:rsidRPr="7938E1C9">
        <w:t xml:space="preserve"> assessments and project documents that detailed </w:t>
      </w:r>
      <w:r w:rsidR="00D75B85">
        <w:t xml:space="preserve">the </w:t>
      </w:r>
      <w:r w:rsidRPr="7938E1C9">
        <w:t>activities of other DPs involved in strengthening lab</w:t>
      </w:r>
      <w:r w:rsidR="00D75B85">
        <w:t>oratorie</w:t>
      </w:r>
      <w:r w:rsidRPr="7938E1C9">
        <w:t>s or</w:t>
      </w:r>
      <w:r w:rsidR="00F15311">
        <w:t>,</w:t>
      </w:r>
      <w:r w:rsidR="00F15311" w:rsidRPr="00F15311">
        <w:t xml:space="preserve"> </w:t>
      </w:r>
      <w:r w:rsidR="00F15311" w:rsidRPr="7938E1C9">
        <w:t>more broadly</w:t>
      </w:r>
      <w:r w:rsidRPr="7938E1C9">
        <w:t xml:space="preserve"> in AMR at country level. The documents were used to prepare the team for country visits, they were also </w:t>
      </w:r>
      <w:r w:rsidR="001E6808" w:rsidRPr="7938E1C9">
        <w:t>coded,</w:t>
      </w:r>
      <w:r w:rsidRPr="7938E1C9">
        <w:t xml:space="preserve"> and </w:t>
      </w:r>
      <w:r w:rsidR="00CF092F">
        <w:t xml:space="preserve">the </w:t>
      </w:r>
      <w:r w:rsidRPr="7938E1C9">
        <w:t xml:space="preserve">relevant information </w:t>
      </w:r>
      <w:r w:rsidR="00CF092F">
        <w:t xml:space="preserve">was </w:t>
      </w:r>
      <w:r w:rsidRPr="7938E1C9">
        <w:t>extracted and used to complete analytical tools.</w:t>
      </w:r>
    </w:p>
    <w:p w14:paraId="5CD8A4BD" w14:textId="5716CF29" w:rsidR="00D4090A" w:rsidRPr="00623CF0" w:rsidRDefault="0090729C" w:rsidP="00623CF0">
      <w:pPr>
        <w:pStyle w:val="ItadNormalText"/>
        <w:rPr>
          <w:rFonts w:eastAsia="Calibri" w:cs="Calibri"/>
        </w:rPr>
      </w:pPr>
      <w:r w:rsidRPr="1CE87FA5">
        <w:rPr>
          <w:rFonts w:eastAsia="Calibri" w:cs="Calibri"/>
        </w:rPr>
        <w:t>The table below outlines the number of documents reviewed per country.</w:t>
      </w:r>
    </w:p>
    <w:p w14:paraId="0DBD8F00" w14:textId="73B196B7" w:rsidR="00B702C4" w:rsidRDefault="00B702C4" w:rsidP="00C04C3C">
      <w:pPr>
        <w:pStyle w:val="ItadCaption"/>
      </w:pPr>
      <w:bookmarkStart w:id="87" w:name="_Toc143857875"/>
      <w:r>
        <w:t xml:space="preserve">Table </w:t>
      </w:r>
      <w:r>
        <w:fldChar w:fldCharType="begin"/>
      </w:r>
      <w:r>
        <w:instrText>SEQ Table \* ARABIC</w:instrText>
      </w:r>
      <w:r>
        <w:fldChar w:fldCharType="separate"/>
      </w:r>
      <w:r w:rsidR="009A383C">
        <w:rPr>
          <w:noProof/>
        </w:rPr>
        <w:t>7</w:t>
      </w:r>
      <w:r>
        <w:fldChar w:fldCharType="end"/>
      </w:r>
      <w:r w:rsidR="00F940FA">
        <w:t xml:space="preserve"> </w:t>
      </w:r>
      <w:r w:rsidRPr="002466AA">
        <w:t>Documents reviewed per country</w:t>
      </w:r>
      <w:bookmarkEnd w:id="87"/>
    </w:p>
    <w:tbl>
      <w:tblPr>
        <w:tblStyle w:val="ItadGreenHeaderRow"/>
        <w:tblW w:w="5000" w:type="pct"/>
        <w:tblInd w:w="0" w:type="dxa"/>
        <w:tblLook w:val="06A0" w:firstRow="1" w:lastRow="0" w:firstColumn="1" w:lastColumn="0" w:noHBand="1" w:noVBand="1"/>
      </w:tblPr>
      <w:tblGrid>
        <w:gridCol w:w="4758"/>
        <w:gridCol w:w="4750"/>
      </w:tblGrid>
      <w:tr w:rsidR="001E6808" w:rsidRPr="001E6808" w14:paraId="4E399C5F" w14:textId="77777777" w:rsidTr="00BB4743">
        <w:trPr>
          <w:cnfStyle w:val="100000000000" w:firstRow="1" w:lastRow="0" w:firstColumn="0" w:lastColumn="0" w:oddVBand="0" w:evenVBand="0" w:oddHBand="0" w:evenHBand="0" w:firstRowFirstColumn="0" w:firstRowLastColumn="0" w:lastRowFirstColumn="0" w:lastRowLastColumn="0"/>
          <w:tblHeader/>
        </w:trPr>
        <w:tc>
          <w:tcPr>
            <w:tcW w:w="0" w:type="pct"/>
          </w:tcPr>
          <w:p w14:paraId="218FA2D2" w14:textId="77777777" w:rsidR="0090729C" w:rsidRPr="007F63EF" w:rsidRDefault="0090729C">
            <w:pPr>
              <w:spacing w:line="259" w:lineRule="auto"/>
              <w:rPr>
                <w:color w:val="auto"/>
                <w:sz w:val="20"/>
                <w:szCs w:val="20"/>
              </w:rPr>
            </w:pPr>
            <w:r w:rsidRPr="001E6808">
              <w:rPr>
                <w:rFonts w:eastAsia="Calibri" w:cs="Calibri"/>
                <w:b/>
                <w:bCs/>
                <w:color w:val="auto"/>
                <w:sz w:val="20"/>
                <w:szCs w:val="20"/>
              </w:rPr>
              <w:t>Country</w:t>
            </w:r>
          </w:p>
        </w:tc>
        <w:tc>
          <w:tcPr>
            <w:tcW w:w="0" w:type="pct"/>
          </w:tcPr>
          <w:p w14:paraId="1E661B7F" w14:textId="77777777" w:rsidR="0090729C" w:rsidRPr="007F63EF" w:rsidRDefault="0090729C">
            <w:pPr>
              <w:spacing w:line="259" w:lineRule="auto"/>
              <w:rPr>
                <w:color w:val="auto"/>
                <w:sz w:val="20"/>
                <w:szCs w:val="20"/>
              </w:rPr>
            </w:pPr>
            <w:r w:rsidRPr="001E6808">
              <w:rPr>
                <w:rFonts w:eastAsia="Calibri" w:cs="Calibri"/>
                <w:b/>
                <w:bCs/>
                <w:color w:val="auto"/>
                <w:sz w:val="20"/>
                <w:szCs w:val="20"/>
              </w:rPr>
              <w:t>Number of documents reviewed</w:t>
            </w:r>
          </w:p>
        </w:tc>
      </w:tr>
      <w:tr w:rsidR="001E6808" w:rsidRPr="001E6808" w14:paraId="7AA4D8B8" w14:textId="77777777" w:rsidTr="005A32AD">
        <w:tc>
          <w:tcPr>
            <w:tcW w:w="0" w:type="pct"/>
            <w:shd w:val="clear" w:color="auto" w:fill="auto"/>
          </w:tcPr>
          <w:p w14:paraId="1330BC0F" w14:textId="77777777" w:rsidR="0090729C" w:rsidRPr="007F63EF" w:rsidRDefault="0090729C">
            <w:pPr>
              <w:spacing w:line="259" w:lineRule="auto"/>
              <w:rPr>
                <w:color w:val="auto"/>
                <w:sz w:val="20"/>
                <w:szCs w:val="20"/>
              </w:rPr>
            </w:pPr>
            <w:r w:rsidRPr="001E6808">
              <w:rPr>
                <w:rFonts w:eastAsia="Calibri" w:cs="Calibri"/>
                <w:sz w:val="20"/>
                <w:szCs w:val="20"/>
              </w:rPr>
              <w:t>Bangladesh</w:t>
            </w:r>
          </w:p>
        </w:tc>
        <w:tc>
          <w:tcPr>
            <w:tcW w:w="0" w:type="pct"/>
            <w:shd w:val="clear" w:color="auto" w:fill="auto"/>
          </w:tcPr>
          <w:p w14:paraId="4FAB533B" w14:textId="19EB7ABE" w:rsidR="0090729C" w:rsidRPr="007F63EF" w:rsidRDefault="69ECE8F1">
            <w:pPr>
              <w:jc w:val="center"/>
              <w:rPr>
                <w:rFonts w:eastAsia="Calibri" w:cs="Calibri"/>
                <w:color w:val="auto"/>
                <w:sz w:val="20"/>
                <w:szCs w:val="20"/>
              </w:rPr>
            </w:pPr>
            <w:r w:rsidRPr="001E6808">
              <w:rPr>
                <w:rFonts w:eastAsia="Calibri" w:cs="Calibri"/>
                <w:color w:val="auto"/>
                <w:sz w:val="20"/>
                <w:szCs w:val="20"/>
              </w:rPr>
              <w:t>45</w:t>
            </w:r>
          </w:p>
        </w:tc>
      </w:tr>
      <w:tr w:rsidR="001E6808" w:rsidRPr="001E6808" w14:paraId="21D80630" w14:textId="77777777" w:rsidTr="005A32AD">
        <w:tc>
          <w:tcPr>
            <w:tcW w:w="0" w:type="pct"/>
            <w:shd w:val="clear" w:color="auto" w:fill="auto"/>
          </w:tcPr>
          <w:p w14:paraId="211B0654" w14:textId="77777777" w:rsidR="0090729C" w:rsidRPr="007F63EF" w:rsidRDefault="0090729C">
            <w:pPr>
              <w:spacing w:line="259" w:lineRule="auto"/>
              <w:rPr>
                <w:color w:val="auto"/>
                <w:sz w:val="20"/>
                <w:szCs w:val="20"/>
              </w:rPr>
            </w:pPr>
            <w:r w:rsidRPr="001E6808">
              <w:rPr>
                <w:rFonts w:eastAsia="Calibri" w:cs="Calibri"/>
                <w:sz w:val="20"/>
                <w:szCs w:val="20"/>
              </w:rPr>
              <w:t>Bhutan</w:t>
            </w:r>
          </w:p>
        </w:tc>
        <w:tc>
          <w:tcPr>
            <w:tcW w:w="0" w:type="pct"/>
            <w:shd w:val="clear" w:color="auto" w:fill="auto"/>
          </w:tcPr>
          <w:p w14:paraId="24CE852E"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30</w:t>
            </w:r>
          </w:p>
        </w:tc>
      </w:tr>
      <w:tr w:rsidR="001E6808" w:rsidRPr="001E6808" w14:paraId="1C7F8803" w14:textId="77777777" w:rsidTr="005A32AD">
        <w:tc>
          <w:tcPr>
            <w:tcW w:w="0" w:type="pct"/>
            <w:shd w:val="clear" w:color="auto" w:fill="auto"/>
          </w:tcPr>
          <w:p w14:paraId="7772160F" w14:textId="77777777" w:rsidR="0090729C" w:rsidRPr="007F63EF" w:rsidRDefault="0090729C">
            <w:pPr>
              <w:rPr>
                <w:rFonts w:eastAsia="Calibri" w:cs="Calibri"/>
                <w:color w:val="auto"/>
                <w:sz w:val="20"/>
                <w:szCs w:val="20"/>
              </w:rPr>
            </w:pPr>
            <w:r w:rsidRPr="001E6808">
              <w:rPr>
                <w:rFonts w:eastAsia="Calibri" w:cs="Calibri"/>
                <w:color w:val="auto"/>
                <w:sz w:val="20"/>
                <w:szCs w:val="20"/>
              </w:rPr>
              <w:t>Ghana</w:t>
            </w:r>
          </w:p>
        </w:tc>
        <w:tc>
          <w:tcPr>
            <w:tcW w:w="0" w:type="pct"/>
            <w:shd w:val="clear" w:color="auto" w:fill="auto"/>
          </w:tcPr>
          <w:p w14:paraId="6EC5273F"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50</w:t>
            </w:r>
          </w:p>
        </w:tc>
      </w:tr>
      <w:tr w:rsidR="001E6808" w:rsidRPr="001E6808" w14:paraId="4BF4B399" w14:textId="77777777" w:rsidTr="005A32AD">
        <w:tc>
          <w:tcPr>
            <w:tcW w:w="0" w:type="pct"/>
            <w:shd w:val="clear" w:color="auto" w:fill="auto"/>
          </w:tcPr>
          <w:p w14:paraId="639192C2" w14:textId="77777777" w:rsidR="0090729C" w:rsidRPr="007F63EF" w:rsidRDefault="0090729C">
            <w:pPr>
              <w:rPr>
                <w:rFonts w:eastAsia="Calibri" w:cs="Calibri"/>
                <w:color w:val="auto"/>
                <w:sz w:val="20"/>
                <w:szCs w:val="20"/>
              </w:rPr>
            </w:pPr>
            <w:r w:rsidRPr="001E6808">
              <w:rPr>
                <w:rFonts w:eastAsia="Calibri" w:cs="Calibri"/>
                <w:color w:val="auto"/>
                <w:sz w:val="20"/>
                <w:szCs w:val="20"/>
              </w:rPr>
              <w:t>Indonesia</w:t>
            </w:r>
          </w:p>
        </w:tc>
        <w:tc>
          <w:tcPr>
            <w:tcW w:w="0" w:type="pct"/>
            <w:shd w:val="clear" w:color="auto" w:fill="auto"/>
          </w:tcPr>
          <w:p w14:paraId="62B81B1B"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90</w:t>
            </w:r>
          </w:p>
        </w:tc>
      </w:tr>
      <w:tr w:rsidR="001E6808" w:rsidRPr="001E6808" w14:paraId="7DBC1000" w14:textId="77777777" w:rsidTr="005A32AD">
        <w:tc>
          <w:tcPr>
            <w:tcW w:w="0" w:type="pct"/>
            <w:shd w:val="clear" w:color="auto" w:fill="auto"/>
          </w:tcPr>
          <w:p w14:paraId="059AD7CA" w14:textId="77777777" w:rsidR="0090729C" w:rsidRPr="007F63EF" w:rsidRDefault="0090729C">
            <w:pPr>
              <w:spacing w:line="259" w:lineRule="auto"/>
              <w:rPr>
                <w:color w:val="auto"/>
                <w:sz w:val="20"/>
                <w:szCs w:val="20"/>
              </w:rPr>
            </w:pPr>
            <w:r w:rsidRPr="001E6808">
              <w:rPr>
                <w:rFonts w:eastAsia="Calibri" w:cs="Calibri"/>
                <w:color w:val="auto"/>
                <w:sz w:val="20"/>
                <w:szCs w:val="20"/>
              </w:rPr>
              <w:t>Kenya</w:t>
            </w:r>
          </w:p>
        </w:tc>
        <w:tc>
          <w:tcPr>
            <w:tcW w:w="0" w:type="pct"/>
            <w:shd w:val="clear" w:color="auto" w:fill="auto"/>
          </w:tcPr>
          <w:p w14:paraId="205526BE"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23</w:t>
            </w:r>
          </w:p>
        </w:tc>
      </w:tr>
      <w:tr w:rsidR="001E6808" w:rsidRPr="001E6808" w14:paraId="509DEA2A" w14:textId="77777777" w:rsidTr="005A32AD">
        <w:tc>
          <w:tcPr>
            <w:tcW w:w="0" w:type="pct"/>
            <w:shd w:val="clear" w:color="auto" w:fill="auto"/>
          </w:tcPr>
          <w:p w14:paraId="32BECD0E" w14:textId="77777777" w:rsidR="0090729C" w:rsidRPr="007F63EF" w:rsidRDefault="0090729C">
            <w:pPr>
              <w:spacing w:line="259" w:lineRule="auto"/>
              <w:rPr>
                <w:color w:val="auto"/>
                <w:sz w:val="20"/>
                <w:szCs w:val="20"/>
              </w:rPr>
            </w:pPr>
            <w:r w:rsidRPr="001E6808">
              <w:rPr>
                <w:rFonts w:eastAsia="Calibri" w:cs="Calibri"/>
                <w:color w:val="auto"/>
                <w:sz w:val="20"/>
                <w:szCs w:val="20"/>
              </w:rPr>
              <w:t>Laos</w:t>
            </w:r>
          </w:p>
        </w:tc>
        <w:tc>
          <w:tcPr>
            <w:tcW w:w="0" w:type="pct"/>
            <w:shd w:val="clear" w:color="auto" w:fill="auto"/>
          </w:tcPr>
          <w:p w14:paraId="5CCD7211"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65</w:t>
            </w:r>
          </w:p>
        </w:tc>
      </w:tr>
      <w:tr w:rsidR="001E6808" w:rsidRPr="001E6808" w14:paraId="561AC271" w14:textId="77777777" w:rsidTr="005A32AD">
        <w:tc>
          <w:tcPr>
            <w:tcW w:w="0" w:type="pct"/>
            <w:shd w:val="clear" w:color="auto" w:fill="auto"/>
          </w:tcPr>
          <w:p w14:paraId="552D2DFD" w14:textId="77777777" w:rsidR="0090729C" w:rsidRPr="007F63EF" w:rsidRDefault="0090729C">
            <w:pPr>
              <w:rPr>
                <w:rFonts w:eastAsia="Calibri" w:cs="Calibri"/>
                <w:color w:val="auto"/>
                <w:sz w:val="20"/>
                <w:szCs w:val="20"/>
              </w:rPr>
            </w:pPr>
            <w:r w:rsidRPr="001E6808">
              <w:rPr>
                <w:rFonts w:eastAsia="Calibri" w:cs="Calibri"/>
                <w:color w:val="auto"/>
                <w:sz w:val="20"/>
                <w:szCs w:val="20"/>
              </w:rPr>
              <w:t>Nepal</w:t>
            </w:r>
          </w:p>
        </w:tc>
        <w:tc>
          <w:tcPr>
            <w:tcW w:w="0" w:type="pct"/>
            <w:shd w:val="clear" w:color="auto" w:fill="auto"/>
          </w:tcPr>
          <w:p w14:paraId="414A2FDB"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60</w:t>
            </w:r>
          </w:p>
        </w:tc>
      </w:tr>
      <w:tr w:rsidR="001E6808" w:rsidRPr="001E6808" w14:paraId="519D8E8A" w14:textId="77777777" w:rsidTr="005A32AD">
        <w:tc>
          <w:tcPr>
            <w:tcW w:w="0" w:type="pct"/>
            <w:shd w:val="clear" w:color="auto" w:fill="auto"/>
          </w:tcPr>
          <w:p w14:paraId="5BA259BE" w14:textId="77777777" w:rsidR="0090729C" w:rsidRPr="007F63EF" w:rsidRDefault="0090729C">
            <w:pPr>
              <w:rPr>
                <w:rFonts w:eastAsia="Calibri" w:cs="Calibri"/>
                <w:color w:val="auto"/>
                <w:sz w:val="20"/>
                <w:szCs w:val="20"/>
              </w:rPr>
            </w:pPr>
            <w:r w:rsidRPr="001E6808">
              <w:rPr>
                <w:rFonts w:eastAsia="Calibri" w:cs="Calibri"/>
                <w:color w:val="auto"/>
                <w:sz w:val="20"/>
                <w:szCs w:val="20"/>
              </w:rPr>
              <w:t>Nigeria</w:t>
            </w:r>
          </w:p>
        </w:tc>
        <w:tc>
          <w:tcPr>
            <w:tcW w:w="0" w:type="pct"/>
            <w:shd w:val="clear" w:color="auto" w:fill="auto"/>
          </w:tcPr>
          <w:p w14:paraId="7E59AF0D"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80</w:t>
            </w:r>
          </w:p>
        </w:tc>
      </w:tr>
      <w:tr w:rsidR="001E6808" w:rsidRPr="001E6808" w14:paraId="550DDC54" w14:textId="77777777" w:rsidTr="005A32AD">
        <w:tc>
          <w:tcPr>
            <w:tcW w:w="0" w:type="pct"/>
            <w:shd w:val="clear" w:color="auto" w:fill="auto"/>
          </w:tcPr>
          <w:p w14:paraId="2472380D" w14:textId="77777777" w:rsidR="0090729C" w:rsidRPr="007F63EF" w:rsidRDefault="0090729C">
            <w:pPr>
              <w:rPr>
                <w:rFonts w:eastAsia="Calibri" w:cs="Calibri"/>
                <w:color w:val="auto"/>
                <w:sz w:val="20"/>
                <w:szCs w:val="20"/>
              </w:rPr>
            </w:pPr>
            <w:r w:rsidRPr="001E6808">
              <w:rPr>
                <w:rFonts w:eastAsia="Calibri" w:cs="Calibri"/>
                <w:color w:val="auto"/>
                <w:sz w:val="20"/>
                <w:szCs w:val="20"/>
              </w:rPr>
              <w:t>Pakistan</w:t>
            </w:r>
          </w:p>
        </w:tc>
        <w:tc>
          <w:tcPr>
            <w:tcW w:w="0" w:type="pct"/>
            <w:shd w:val="clear" w:color="auto" w:fill="auto"/>
          </w:tcPr>
          <w:p w14:paraId="4CDCFE1F"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25</w:t>
            </w:r>
          </w:p>
        </w:tc>
      </w:tr>
      <w:tr w:rsidR="001E6808" w:rsidRPr="001E6808" w14:paraId="6C4583F7" w14:textId="77777777" w:rsidTr="005A32AD">
        <w:tc>
          <w:tcPr>
            <w:tcW w:w="0" w:type="pct"/>
            <w:shd w:val="clear" w:color="auto" w:fill="auto"/>
          </w:tcPr>
          <w:p w14:paraId="0FCA6008" w14:textId="77777777" w:rsidR="0090729C" w:rsidRPr="007F63EF" w:rsidRDefault="0090729C">
            <w:pPr>
              <w:rPr>
                <w:rFonts w:eastAsia="Calibri" w:cs="Calibri"/>
                <w:color w:val="auto"/>
                <w:sz w:val="20"/>
                <w:szCs w:val="20"/>
              </w:rPr>
            </w:pPr>
            <w:r w:rsidRPr="001E6808">
              <w:rPr>
                <w:rFonts w:eastAsia="Calibri" w:cs="Calibri"/>
                <w:color w:val="auto"/>
                <w:sz w:val="20"/>
                <w:szCs w:val="20"/>
              </w:rPr>
              <w:t>Senegal</w:t>
            </w:r>
          </w:p>
        </w:tc>
        <w:tc>
          <w:tcPr>
            <w:tcW w:w="0" w:type="pct"/>
            <w:shd w:val="clear" w:color="auto" w:fill="auto"/>
          </w:tcPr>
          <w:p w14:paraId="61D2BA64"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50</w:t>
            </w:r>
          </w:p>
        </w:tc>
      </w:tr>
      <w:tr w:rsidR="001E6808" w:rsidRPr="001E6808" w14:paraId="53F5F789" w14:textId="77777777" w:rsidTr="005A32AD">
        <w:tc>
          <w:tcPr>
            <w:tcW w:w="0" w:type="pct"/>
            <w:shd w:val="clear" w:color="auto" w:fill="auto"/>
          </w:tcPr>
          <w:p w14:paraId="41E47B50" w14:textId="77777777" w:rsidR="0090729C" w:rsidRPr="007F63EF" w:rsidRDefault="0090729C">
            <w:pPr>
              <w:rPr>
                <w:rFonts w:eastAsia="Calibri" w:cs="Calibri"/>
                <w:color w:val="auto"/>
                <w:sz w:val="20"/>
                <w:szCs w:val="20"/>
              </w:rPr>
            </w:pPr>
            <w:r w:rsidRPr="001E6808">
              <w:rPr>
                <w:rFonts w:eastAsia="Calibri" w:cs="Calibri"/>
                <w:color w:val="auto"/>
                <w:sz w:val="20"/>
                <w:szCs w:val="20"/>
              </w:rPr>
              <w:t>Sierra Leone</w:t>
            </w:r>
          </w:p>
        </w:tc>
        <w:tc>
          <w:tcPr>
            <w:tcW w:w="0" w:type="pct"/>
            <w:shd w:val="clear" w:color="auto" w:fill="auto"/>
          </w:tcPr>
          <w:p w14:paraId="755B8B25"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70</w:t>
            </w:r>
          </w:p>
        </w:tc>
      </w:tr>
      <w:tr w:rsidR="001E6808" w:rsidRPr="001E6808" w14:paraId="6B47751D" w14:textId="77777777" w:rsidTr="005A32AD">
        <w:tc>
          <w:tcPr>
            <w:tcW w:w="0" w:type="pct"/>
            <w:shd w:val="clear" w:color="auto" w:fill="auto"/>
          </w:tcPr>
          <w:p w14:paraId="1E262E98" w14:textId="77777777" w:rsidR="0090729C" w:rsidRPr="007F63EF" w:rsidRDefault="0090729C">
            <w:pPr>
              <w:rPr>
                <w:rFonts w:eastAsia="Calibri" w:cs="Calibri"/>
                <w:color w:val="auto"/>
                <w:sz w:val="20"/>
                <w:szCs w:val="20"/>
              </w:rPr>
            </w:pPr>
            <w:r w:rsidRPr="001E6808">
              <w:rPr>
                <w:rFonts w:eastAsia="Calibri" w:cs="Calibri"/>
                <w:color w:val="auto"/>
                <w:sz w:val="20"/>
                <w:szCs w:val="20"/>
              </w:rPr>
              <w:t>Tanzania</w:t>
            </w:r>
          </w:p>
        </w:tc>
        <w:tc>
          <w:tcPr>
            <w:tcW w:w="0" w:type="pct"/>
            <w:shd w:val="clear" w:color="auto" w:fill="auto"/>
          </w:tcPr>
          <w:p w14:paraId="39D63F4E"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18</w:t>
            </w:r>
          </w:p>
        </w:tc>
      </w:tr>
      <w:tr w:rsidR="001E6808" w:rsidRPr="001E6808" w14:paraId="318DBAF9" w14:textId="77777777" w:rsidTr="005A32AD">
        <w:tc>
          <w:tcPr>
            <w:tcW w:w="0" w:type="pct"/>
            <w:shd w:val="clear" w:color="auto" w:fill="auto"/>
          </w:tcPr>
          <w:p w14:paraId="2F64DB50" w14:textId="3E02960C" w:rsidR="0090729C" w:rsidRPr="007F63EF" w:rsidRDefault="00260B8A">
            <w:pPr>
              <w:rPr>
                <w:rFonts w:eastAsia="Calibri" w:cs="Calibri"/>
                <w:color w:val="auto"/>
                <w:sz w:val="20"/>
                <w:szCs w:val="20"/>
              </w:rPr>
            </w:pPr>
            <w:r>
              <w:rPr>
                <w:rFonts w:eastAsia="Calibri" w:cs="Calibri"/>
                <w:color w:val="auto"/>
                <w:sz w:val="20"/>
                <w:szCs w:val="20"/>
              </w:rPr>
              <w:t>Timor-Leste</w:t>
            </w:r>
          </w:p>
        </w:tc>
        <w:tc>
          <w:tcPr>
            <w:tcW w:w="0" w:type="pct"/>
            <w:shd w:val="clear" w:color="auto" w:fill="auto"/>
          </w:tcPr>
          <w:p w14:paraId="4B3E569E"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60</w:t>
            </w:r>
          </w:p>
        </w:tc>
      </w:tr>
      <w:tr w:rsidR="001E6808" w:rsidRPr="001E6808" w14:paraId="3979D203" w14:textId="77777777" w:rsidTr="005A32AD">
        <w:tc>
          <w:tcPr>
            <w:tcW w:w="0" w:type="pct"/>
            <w:shd w:val="clear" w:color="auto" w:fill="auto"/>
          </w:tcPr>
          <w:p w14:paraId="254AB88D" w14:textId="77777777" w:rsidR="0090729C" w:rsidRPr="007F63EF" w:rsidRDefault="0090729C">
            <w:pPr>
              <w:rPr>
                <w:rFonts w:eastAsia="Calibri" w:cs="Calibri"/>
                <w:color w:val="auto"/>
                <w:sz w:val="20"/>
                <w:szCs w:val="20"/>
              </w:rPr>
            </w:pPr>
            <w:r w:rsidRPr="001E6808">
              <w:rPr>
                <w:rFonts w:eastAsia="Calibri" w:cs="Calibri"/>
                <w:color w:val="auto"/>
                <w:sz w:val="20"/>
                <w:szCs w:val="20"/>
              </w:rPr>
              <w:t>Uganda</w:t>
            </w:r>
          </w:p>
        </w:tc>
        <w:tc>
          <w:tcPr>
            <w:tcW w:w="0" w:type="pct"/>
            <w:shd w:val="clear" w:color="auto" w:fill="auto"/>
          </w:tcPr>
          <w:p w14:paraId="3E96C7BF"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30</w:t>
            </w:r>
          </w:p>
        </w:tc>
      </w:tr>
      <w:tr w:rsidR="001E6808" w:rsidRPr="001E6808" w14:paraId="6983060A" w14:textId="77777777" w:rsidTr="005A32AD">
        <w:tc>
          <w:tcPr>
            <w:tcW w:w="0" w:type="pct"/>
            <w:shd w:val="clear" w:color="auto" w:fill="auto"/>
          </w:tcPr>
          <w:p w14:paraId="117A9EF3" w14:textId="77777777" w:rsidR="0090729C" w:rsidRPr="007F63EF" w:rsidRDefault="0090729C">
            <w:pPr>
              <w:rPr>
                <w:rFonts w:eastAsia="Calibri" w:cs="Calibri"/>
                <w:color w:val="auto"/>
                <w:sz w:val="20"/>
                <w:szCs w:val="20"/>
              </w:rPr>
            </w:pPr>
            <w:r w:rsidRPr="001E6808">
              <w:rPr>
                <w:rFonts w:eastAsia="Calibri" w:cs="Calibri"/>
                <w:color w:val="auto"/>
                <w:sz w:val="20"/>
                <w:szCs w:val="20"/>
              </w:rPr>
              <w:t>Vietnam</w:t>
            </w:r>
          </w:p>
        </w:tc>
        <w:tc>
          <w:tcPr>
            <w:tcW w:w="0" w:type="pct"/>
            <w:shd w:val="clear" w:color="auto" w:fill="auto"/>
          </w:tcPr>
          <w:p w14:paraId="28308C4C"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53</w:t>
            </w:r>
          </w:p>
        </w:tc>
      </w:tr>
      <w:tr w:rsidR="001E6808" w:rsidRPr="001E6808" w14:paraId="59326E54" w14:textId="77777777" w:rsidTr="005A32AD">
        <w:tc>
          <w:tcPr>
            <w:tcW w:w="0" w:type="pct"/>
            <w:shd w:val="clear" w:color="auto" w:fill="auto"/>
          </w:tcPr>
          <w:p w14:paraId="628BA3F1" w14:textId="77777777" w:rsidR="0090729C" w:rsidRPr="007F63EF" w:rsidRDefault="0090729C">
            <w:pPr>
              <w:rPr>
                <w:rFonts w:eastAsia="Calibri" w:cs="Calibri"/>
                <w:color w:val="auto"/>
                <w:sz w:val="20"/>
                <w:szCs w:val="20"/>
              </w:rPr>
            </w:pPr>
            <w:r w:rsidRPr="001E6808">
              <w:rPr>
                <w:rFonts w:eastAsia="Calibri" w:cs="Calibri"/>
                <w:color w:val="auto"/>
                <w:sz w:val="20"/>
                <w:szCs w:val="20"/>
              </w:rPr>
              <w:t>Zambia</w:t>
            </w:r>
          </w:p>
        </w:tc>
        <w:tc>
          <w:tcPr>
            <w:tcW w:w="0" w:type="pct"/>
            <w:shd w:val="clear" w:color="auto" w:fill="auto"/>
          </w:tcPr>
          <w:p w14:paraId="221D4D7D"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25</w:t>
            </w:r>
          </w:p>
        </w:tc>
      </w:tr>
      <w:tr w:rsidR="001E6808" w:rsidRPr="001E6808" w14:paraId="550E8C8C" w14:textId="77777777" w:rsidTr="005A32AD">
        <w:tc>
          <w:tcPr>
            <w:tcW w:w="0" w:type="pct"/>
            <w:shd w:val="clear" w:color="auto" w:fill="auto"/>
          </w:tcPr>
          <w:p w14:paraId="7EBF7603" w14:textId="77777777" w:rsidR="0090729C" w:rsidRPr="007F63EF" w:rsidRDefault="0090729C">
            <w:pPr>
              <w:rPr>
                <w:rFonts w:eastAsia="Calibri" w:cs="Calibri"/>
                <w:color w:val="auto"/>
                <w:sz w:val="20"/>
                <w:szCs w:val="20"/>
              </w:rPr>
            </w:pPr>
            <w:r w:rsidRPr="001E6808">
              <w:rPr>
                <w:rFonts w:eastAsia="Calibri" w:cs="Calibri"/>
                <w:color w:val="auto"/>
                <w:sz w:val="20"/>
                <w:szCs w:val="20"/>
              </w:rPr>
              <w:t>Total</w:t>
            </w:r>
          </w:p>
        </w:tc>
        <w:tc>
          <w:tcPr>
            <w:tcW w:w="0" w:type="pct"/>
            <w:shd w:val="clear" w:color="auto" w:fill="auto"/>
          </w:tcPr>
          <w:p w14:paraId="121F47B4"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729</w:t>
            </w:r>
          </w:p>
        </w:tc>
      </w:tr>
    </w:tbl>
    <w:p w14:paraId="2805D4CB" w14:textId="676D9FAE" w:rsidR="0090729C" w:rsidRDefault="0090729C" w:rsidP="0090729C">
      <w:pPr>
        <w:rPr>
          <w:rFonts w:eastAsia="Calibri" w:cs="Calibri"/>
          <w:color w:val="000000"/>
        </w:rPr>
      </w:pPr>
    </w:p>
    <w:p w14:paraId="3A4EA97F" w14:textId="0B40F6F7" w:rsidR="00320986" w:rsidRDefault="0090729C" w:rsidP="0090729C">
      <w:pPr>
        <w:rPr>
          <w:rFonts w:eastAsia="Calibri" w:cs="Calibri"/>
          <w:color w:val="000000"/>
        </w:rPr>
      </w:pPr>
      <w:r w:rsidRPr="479E0EEA">
        <w:rPr>
          <w:rFonts w:eastAsia="Calibri" w:cs="Calibri"/>
          <w:color w:val="000000"/>
        </w:rPr>
        <w:t xml:space="preserve">The desk review helped focus and shape subsequent data collection during KIIs </w:t>
      </w:r>
      <w:r w:rsidR="00A2165D" w:rsidRPr="479E0EEA">
        <w:rPr>
          <w:rFonts w:eastAsia="Calibri" w:cs="Calibri"/>
          <w:color w:val="000000"/>
        </w:rPr>
        <w:t>to</w:t>
      </w:r>
      <w:r w:rsidRPr="479E0EEA">
        <w:rPr>
          <w:rFonts w:eastAsia="Calibri" w:cs="Calibri"/>
          <w:color w:val="000000"/>
        </w:rPr>
        <w:t xml:space="preserve"> reduce transaction costs for interviewees and collect the best possible information during the short time available. </w:t>
      </w:r>
      <w:r w:rsidR="002771D9">
        <w:rPr>
          <w:rFonts w:eastAsia="Calibri" w:cs="Calibri"/>
          <w:color w:val="000000"/>
        </w:rPr>
        <w:t xml:space="preserve">The document review </w:t>
      </w:r>
      <w:r w:rsidRPr="479E0EEA">
        <w:rPr>
          <w:rFonts w:eastAsia="Calibri" w:cs="Calibri"/>
          <w:color w:val="000000"/>
        </w:rPr>
        <w:t>yielded the following:</w:t>
      </w:r>
    </w:p>
    <w:p w14:paraId="476B2821" w14:textId="2DB7081D" w:rsidR="0090729C" w:rsidRDefault="0090729C" w:rsidP="00C6374D">
      <w:pPr>
        <w:pStyle w:val="ItadNormalText"/>
        <w:numPr>
          <w:ilvl w:val="0"/>
          <w:numId w:val="79"/>
        </w:numPr>
        <w:rPr>
          <w:rFonts w:eastAsia="Calibri" w:cs="Calibri"/>
        </w:rPr>
      </w:pPr>
      <w:r w:rsidRPr="479E0EEA">
        <w:rPr>
          <w:rFonts w:eastAsia="Calibri" w:cs="Calibri"/>
          <w:b/>
          <w:bCs/>
        </w:rPr>
        <w:t>Coding workbook</w:t>
      </w:r>
      <w:r w:rsidRPr="479E0EEA">
        <w:rPr>
          <w:rFonts w:eastAsia="Calibri" w:cs="Calibri"/>
        </w:rPr>
        <w:t xml:space="preserve"> filled in with </w:t>
      </w:r>
      <w:r w:rsidRPr="1CE87FA5">
        <w:rPr>
          <w:rFonts w:eastAsia="Calibri" w:cs="Calibri"/>
        </w:rPr>
        <w:t>excerpts</w:t>
      </w:r>
      <w:r w:rsidRPr="479E0EEA">
        <w:rPr>
          <w:rFonts w:eastAsia="Calibri" w:cs="Calibri"/>
        </w:rPr>
        <w:t xml:space="preserve"> of relevant documents against the codes that have been developed on the basis of our </w:t>
      </w:r>
      <w:r w:rsidR="00421294">
        <w:rPr>
          <w:rFonts w:eastAsia="Calibri" w:cs="Calibri"/>
        </w:rPr>
        <w:t>six</w:t>
      </w:r>
      <w:r w:rsidR="00421294" w:rsidRPr="479E0EEA">
        <w:rPr>
          <w:rFonts w:eastAsia="Calibri" w:cs="Calibri"/>
        </w:rPr>
        <w:t xml:space="preserve"> </w:t>
      </w:r>
      <w:r w:rsidRPr="479E0EEA">
        <w:rPr>
          <w:rFonts w:eastAsia="Calibri" w:cs="Calibri"/>
        </w:rPr>
        <w:t xml:space="preserve">EQs and the information needs of each thematic </w:t>
      </w:r>
      <w:r w:rsidR="001E6808" w:rsidRPr="479E0EEA">
        <w:rPr>
          <w:rFonts w:eastAsia="Calibri" w:cs="Calibri"/>
        </w:rPr>
        <w:t>approach.</w:t>
      </w:r>
      <w:r w:rsidRPr="479E0EEA">
        <w:rPr>
          <w:rFonts w:eastAsia="Calibri" w:cs="Calibri"/>
        </w:rPr>
        <w:t xml:space="preserve"> </w:t>
      </w:r>
    </w:p>
    <w:p w14:paraId="74EF461D" w14:textId="3A73D6CE" w:rsidR="0090729C" w:rsidRDefault="0090729C" w:rsidP="00C6374D">
      <w:pPr>
        <w:pStyle w:val="ItadNormalText"/>
        <w:numPr>
          <w:ilvl w:val="0"/>
          <w:numId w:val="79"/>
        </w:numPr>
        <w:rPr>
          <w:rFonts w:eastAsia="Calibri" w:cs="Calibri"/>
        </w:rPr>
      </w:pPr>
      <w:r w:rsidRPr="479E0EEA">
        <w:rPr>
          <w:rFonts w:eastAsia="Calibri" w:cs="Calibri"/>
          <w:b/>
          <w:bCs/>
        </w:rPr>
        <w:t>Prefilled tools</w:t>
      </w:r>
      <w:r w:rsidRPr="479E0EEA">
        <w:rPr>
          <w:rFonts w:eastAsia="Calibri" w:cs="Calibri"/>
        </w:rPr>
        <w:t xml:space="preserve"> </w:t>
      </w:r>
      <w:r w:rsidR="000B0FD3">
        <w:rPr>
          <w:rFonts w:eastAsia="Calibri" w:cs="Calibri"/>
        </w:rPr>
        <w:t xml:space="preserve">filled </w:t>
      </w:r>
      <w:r w:rsidR="005F4C12">
        <w:rPr>
          <w:rFonts w:eastAsia="Calibri" w:cs="Calibri"/>
        </w:rPr>
        <w:t xml:space="preserve">in with findings from the desk review, this outlined key gaps that the country visit needed to address. </w:t>
      </w:r>
    </w:p>
    <w:p w14:paraId="1A61CC5C" w14:textId="242F84DF" w:rsidR="0090729C" w:rsidRDefault="0090729C" w:rsidP="00C6374D">
      <w:pPr>
        <w:pStyle w:val="ItadNormalText"/>
        <w:numPr>
          <w:ilvl w:val="0"/>
          <w:numId w:val="79"/>
        </w:numPr>
        <w:rPr>
          <w:rFonts w:eastAsia="Calibri" w:cs="Calibri"/>
        </w:rPr>
      </w:pPr>
      <w:r w:rsidRPr="479E0EEA">
        <w:rPr>
          <w:rFonts w:eastAsia="Calibri" w:cs="Calibri"/>
          <w:b/>
          <w:bCs/>
        </w:rPr>
        <w:t>Prompts/hypothesis</w:t>
      </w:r>
      <w:r w:rsidRPr="479E0EEA">
        <w:rPr>
          <w:rFonts w:eastAsia="Calibri" w:cs="Calibri"/>
        </w:rPr>
        <w:t xml:space="preserve"> </w:t>
      </w:r>
      <w:r w:rsidR="002771D9">
        <w:rPr>
          <w:rFonts w:eastAsia="Calibri" w:cs="Calibri"/>
        </w:rPr>
        <w:t>for the country team</w:t>
      </w:r>
      <w:r w:rsidRPr="479E0EEA">
        <w:rPr>
          <w:rFonts w:eastAsia="Calibri" w:cs="Calibri"/>
        </w:rPr>
        <w:t xml:space="preserve"> to follow up on during primary data collection.</w:t>
      </w:r>
    </w:p>
    <w:p w14:paraId="305D4A66" w14:textId="33382090" w:rsidR="0090729C" w:rsidRDefault="0090729C" w:rsidP="0090729C">
      <w:pPr>
        <w:pStyle w:val="ItadNormalText"/>
        <w:rPr>
          <w:rFonts w:eastAsia="Calibri" w:cs="Calibri"/>
        </w:rPr>
      </w:pPr>
      <w:r w:rsidRPr="479E0EEA">
        <w:rPr>
          <w:rFonts w:eastAsia="Calibri" w:cs="Calibri"/>
        </w:rPr>
        <w:t xml:space="preserve">Besides the documents </w:t>
      </w:r>
      <w:r w:rsidR="007D0AB6">
        <w:rPr>
          <w:rFonts w:eastAsia="Calibri" w:cs="Calibri"/>
        </w:rPr>
        <w:t>listed earlier, the country teams</w:t>
      </w:r>
      <w:r w:rsidRPr="479E0EEA">
        <w:rPr>
          <w:rFonts w:eastAsia="Calibri" w:cs="Calibri"/>
        </w:rPr>
        <w:t xml:space="preserve"> also reviewed </w:t>
      </w:r>
      <w:r w:rsidR="007D0AB6">
        <w:rPr>
          <w:rFonts w:eastAsia="Calibri" w:cs="Calibri"/>
        </w:rPr>
        <w:t>additional</w:t>
      </w:r>
      <w:r w:rsidRPr="479E0EEA">
        <w:rPr>
          <w:rFonts w:eastAsia="Calibri" w:cs="Calibri"/>
        </w:rPr>
        <w:t xml:space="preserve"> documents giving a good understanding of </w:t>
      </w:r>
      <w:r w:rsidR="00F21D1C">
        <w:t>Fleming Fund</w:t>
      </w:r>
      <w:r w:rsidR="00F21D1C" w:rsidRPr="479E0EEA">
        <w:rPr>
          <w:rFonts w:eastAsia="Calibri" w:cs="Calibri"/>
        </w:rPr>
        <w:t xml:space="preserve"> </w:t>
      </w:r>
      <w:r w:rsidRPr="479E0EEA">
        <w:rPr>
          <w:rFonts w:eastAsia="Calibri" w:cs="Calibri"/>
        </w:rPr>
        <w:t>investments in the country.</w:t>
      </w:r>
      <w:r w:rsidR="007458AC">
        <w:rPr>
          <w:rFonts w:eastAsia="Calibri" w:cs="Calibri"/>
        </w:rPr>
        <w:t xml:space="preserve"> </w:t>
      </w:r>
      <w:r w:rsidRPr="479E0EEA">
        <w:rPr>
          <w:rFonts w:eastAsia="Calibri" w:cs="Calibri"/>
        </w:rPr>
        <w:t>In particular, this included:</w:t>
      </w:r>
    </w:p>
    <w:p w14:paraId="05FBF3F7" w14:textId="0B4615A6" w:rsidR="0090729C" w:rsidRDefault="00DE41C0" w:rsidP="00C6374D">
      <w:pPr>
        <w:pStyle w:val="ItadNormalText"/>
        <w:numPr>
          <w:ilvl w:val="0"/>
          <w:numId w:val="81"/>
        </w:numPr>
        <w:rPr>
          <w:rFonts w:eastAsia="Calibri" w:cs="Calibri"/>
        </w:rPr>
      </w:pPr>
      <w:r w:rsidRPr="00DE41C0">
        <w:rPr>
          <w:rFonts w:eastAsia="Calibri" w:cs="Calibri"/>
        </w:rPr>
        <w:t>Request for Proposal</w:t>
      </w:r>
      <w:r w:rsidR="00421294">
        <w:rPr>
          <w:rFonts w:eastAsia="Calibri" w:cs="Calibri"/>
        </w:rPr>
        <w:t>s</w:t>
      </w:r>
      <w:r>
        <w:rPr>
          <w:rFonts w:eastAsia="Calibri" w:cs="Calibri"/>
        </w:rPr>
        <w:t xml:space="preserve"> (</w:t>
      </w:r>
      <w:r w:rsidR="0090729C" w:rsidRPr="479E0EEA">
        <w:rPr>
          <w:rFonts w:eastAsia="Calibri" w:cs="Calibri"/>
        </w:rPr>
        <w:t>RfP</w:t>
      </w:r>
      <w:r w:rsidR="00421294">
        <w:rPr>
          <w:rFonts w:eastAsia="Calibri" w:cs="Calibri"/>
        </w:rPr>
        <w:t>s</w:t>
      </w:r>
      <w:r>
        <w:rPr>
          <w:rFonts w:eastAsia="Calibri" w:cs="Calibri"/>
        </w:rPr>
        <w:t>)</w:t>
      </w:r>
      <w:r w:rsidR="0090729C" w:rsidRPr="479E0EEA">
        <w:rPr>
          <w:rFonts w:eastAsia="Calibri" w:cs="Calibri"/>
        </w:rPr>
        <w:t xml:space="preserve"> for CG1, CG2 and any extensions</w:t>
      </w:r>
    </w:p>
    <w:p w14:paraId="2DCAF418" w14:textId="0891D8B9" w:rsidR="0090729C" w:rsidRDefault="006C7AD4" w:rsidP="00C6374D">
      <w:pPr>
        <w:pStyle w:val="ItadNormalText"/>
        <w:numPr>
          <w:ilvl w:val="0"/>
          <w:numId w:val="81"/>
        </w:numPr>
        <w:rPr>
          <w:rFonts w:eastAsia="Calibri" w:cs="Calibri"/>
        </w:rPr>
      </w:pPr>
      <w:r>
        <w:rPr>
          <w:rFonts w:eastAsia="Calibri" w:cs="Calibri"/>
        </w:rPr>
        <w:t>Quarterly</w:t>
      </w:r>
      <w:r w:rsidR="0090729C" w:rsidRPr="479E0EEA">
        <w:rPr>
          <w:rFonts w:eastAsia="Calibri" w:cs="Calibri"/>
        </w:rPr>
        <w:t xml:space="preserve"> and annual repor</w:t>
      </w:r>
      <w:r>
        <w:rPr>
          <w:rFonts w:eastAsia="Calibri" w:cs="Calibri"/>
        </w:rPr>
        <w:t>ts</w:t>
      </w:r>
    </w:p>
    <w:p w14:paraId="5E02FA62" w14:textId="77777777" w:rsidR="0090729C" w:rsidRDefault="0090729C" w:rsidP="00C6374D">
      <w:pPr>
        <w:pStyle w:val="ItadNormalText"/>
        <w:numPr>
          <w:ilvl w:val="0"/>
          <w:numId w:val="81"/>
        </w:numPr>
        <w:rPr>
          <w:rFonts w:eastAsia="Calibri" w:cs="Calibri"/>
        </w:rPr>
      </w:pPr>
      <w:r w:rsidRPr="479E0EEA">
        <w:rPr>
          <w:rFonts w:eastAsia="Calibri" w:cs="Calibri"/>
        </w:rPr>
        <w:t>Sustainability assessments</w:t>
      </w:r>
    </w:p>
    <w:p w14:paraId="334C6E40" w14:textId="77777777" w:rsidR="0090729C" w:rsidRDefault="0090729C" w:rsidP="00C6374D">
      <w:pPr>
        <w:pStyle w:val="ItadNormalText"/>
        <w:numPr>
          <w:ilvl w:val="0"/>
          <w:numId w:val="81"/>
        </w:numPr>
        <w:rPr>
          <w:rFonts w:eastAsia="Calibri" w:cs="Calibri"/>
        </w:rPr>
      </w:pPr>
      <w:r w:rsidRPr="479E0EEA">
        <w:rPr>
          <w:rFonts w:eastAsia="Calibri" w:cs="Calibri"/>
        </w:rPr>
        <w:t>VfM reports</w:t>
      </w:r>
    </w:p>
    <w:p w14:paraId="162E4F44" w14:textId="4DE2D190" w:rsidR="0090729C" w:rsidRDefault="0090729C" w:rsidP="00C6374D">
      <w:pPr>
        <w:pStyle w:val="ItadNormalText"/>
        <w:numPr>
          <w:ilvl w:val="0"/>
          <w:numId w:val="81"/>
        </w:numPr>
        <w:rPr>
          <w:rFonts w:eastAsia="Calibri" w:cs="Calibri"/>
        </w:rPr>
      </w:pPr>
      <w:r w:rsidRPr="479E0EEA">
        <w:rPr>
          <w:rFonts w:eastAsia="Calibri" w:cs="Calibri"/>
        </w:rPr>
        <w:t>Debriefs/outputs from previous evaluation rounds</w:t>
      </w:r>
      <w:r w:rsidR="003C7546">
        <w:rPr>
          <w:rFonts w:eastAsia="Calibri" w:cs="Calibri"/>
        </w:rPr>
        <w:t>.</w:t>
      </w:r>
    </w:p>
    <w:p w14:paraId="09A39828" w14:textId="77777777" w:rsidR="0090729C" w:rsidRDefault="0090729C" w:rsidP="0090729C">
      <w:pPr>
        <w:pStyle w:val="ItadNormalText"/>
        <w:rPr>
          <w:rFonts w:eastAsia="Calibri" w:cs="Calibri"/>
        </w:rPr>
      </w:pPr>
      <w:r w:rsidRPr="479E0EEA">
        <w:rPr>
          <w:rFonts w:eastAsia="Calibri" w:cs="Calibri"/>
        </w:rPr>
        <w:t>Country teams also received inputs generated centrally:</w:t>
      </w:r>
    </w:p>
    <w:p w14:paraId="6410EFB3" w14:textId="1B6BAE71" w:rsidR="0090729C" w:rsidRDefault="0090729C" w:rsidP="00C6374D">
      <w:pPr>
        <w:pStyle w:val="ItadNormalText"/>
        <w:numPr>
          <w:ilvl w:val="0"/>
          <w:numId w:val="80"/>
        </w:numPr>
        <w:rPr>
          <w:rFonts w:eastAsia="Calibri" w:cs="Calibri"/>
        </w:rPr>
      </w:pPr>
      <w:r w:rsidRPr="479E0EEA">
        <w:rPr>
          <w:rFonts w:eastAsia="Calibri" w:cs="Calibri"/>
        </w:rPr>
        <w:t xml:space="preserve">KII notes/findings from centrally conducted KIIs with RGs, </w:t>
      </w:r>
      <w:r w:rsidR="003C7546" w:rsidRPr="004E72EC">
        <w:rPr>
          <w:rFonts w:eastAsia="Calibri" w:cs="Calibri"/>
        </w:rPr>
        <w:t>host institution</w:t>
      </w:r>
      <w:r w:rsidR="003C7546">
        <w:rPr>
          <w:rFonts w:eastAsia="Calibri" w:cs="Calibri"/>
        </w:rPr>
        <w:t>s</w:t>
      </w:r>
      <w:r w:rsidR="004E72EC" w:rsidRPr="004E72EC">
        <w:rPr>
          <w:rFonts w:eastAsia="Calibri" w:cs="Calibri"/>
        </w:rPr>
        <w:t xml:space="preserve"> </w:t>
      </w:r>
      <w:r w:rsidR="004E72EC">
        <w:rPr>
          <w:rFonts w:eastAsia="Calibri" w:cs="Calibri"/>
        </w:rPr>
        <w:t>(</w:t>
      </w:r>
      <w:r w:rsidRPr="479E0EEA">
        <w:rPr>
          <w:rFonts w:eastAsia="Calibri" w:cs="Calibri"/>
        </w:rPr>
        <w:t>HIs</w:t>
      </w:r>
      <w:r w:rsidR="004E72EC">
        <w:rPr>
          <w:rFonts w:eastAsia="Calibri" w:cs="Calibri"/>
        </w:rPr>
        <w:t>)</w:t>
      </w:r>
      <w:r w:rsidRPr="479E0EEA">
        <w:rPr>
          <w:rFonts w:eastAsia="Calibri" w:cs="Calibri"/>
        </w:rPr>
        <w:t xml:space="preserve"> and </w:t>
      </w:r>
      <w:r w:rsidR="003C7546" w:rsidRPr="479E0EEA">
        <w:rPr>
          <w:rFonts w:eastAsia="Calibri" w:cs="Calibri"/>
        </w:rPr>
        <w:t xml:space="preserve">global projects </w:t>
      </w:r>
    </w:p>
    <w:p w14:paraId="42453222" w14:textId="09ACEBEB" w:rsidR="0090729C" w:rsidRDefault="00CE07B8" w:rsidP="00C6374D">
      <w:pPr>
        <w:pStyle w:val="ItadNormalText"/>
        <w:numPr>
          <w:ilvl w:val="0"/>
          <w:numId w:val="80"/>
        </w:numPr>
        <w:rPr>
          <w:rFonts w:eastAsia="Calibri" w:cs="Calibri"/>
        </w:rPr>
      </w:pPr>
      <w:r>
        <w:rPr>
          <w:rFonts w:eastAsia="Calibri" w:cs="Calibri"/>
        </w:rPr>
        <w:t>VfM related p</w:t>
      </w:r>
      <w:r w:rsidR="0090729C" w:rsidRPr="479E0EEA">
        <w:rPr>
          <w:rFonts w:eastAsia="Calibri" w:cs="Calibri"/>
        </w:rPr>
        <w:t xml:space="preserve">rompts/questions based on </w:t>
      </w:r>
      <w:r w:rsidR="003C7546">
        <w:rPr>
          <w:rFonts w:eastAsia="Calibri" w:cs="Calibri"/>
        </w:rPr>
        <w:t xml:space="preserve">the </w:t>
      </w:r>
      <w:r w:rsidR="0090729C" w:rsidRPr="479E0EEA">
        <w:rPr>
          <w:rFonts w:eastAsia="Calibri" w:cs="Calibri"/>
        </w:rPr>
        <w:t>central document review</w:t>
      </w:r>
    </w:p>
    <w:p w14:paraId="73A12D1F" w14:textId="02F5D2F4" w:rsidR="0090729C" w:rsidRDefault="00B4571A" w:rsidP="00C6374D">
      <w:pPr>
        <w:pStyle w:val="ItadNormalText"/>
        <w:numPr>
          <w:ilvl w:val="0"/>
          <w:numId w:val="80"/>
        </w:numPr>
        <w:rPr>
          <w:rFonts w:eastAsia="Calibri" w:cs="Calibri"/>
        </w:rPr>
      </w:pPr>
      <w:r w:rsidRPr="00B4571A">
        <w:rPr>
          <w:rFonts w:eastAsia="Calibri" w:cs="Calibri"/>
        </w:rPr>
        <w:t xml:space="preserve">Global Database for Tracking AMR Country Self- Assessment Survey </w:t>
      </w:r>
      <w:r>
        <w:rPr>
          <w:rFonts w:eastAsia="Calibri" w:cs="Calibri"/>
        </w:rPr>
        <w:t>(</w:t>
      </w:r>
      <w:r w:rsidR="0090729C" w:rsidRPr="479E0EEA">
        <w:rPr>
          <w:rFonts w:eastAsia="Calibri" w:cs="Calibri"/>
        </w:rPr>
        <w:t>TrACSS</w:t>
      </w:r>
      <w:r>
        <w:rPr>
          <w:rFonts w:eastAsia="Calibri" w:cs="Calibri"/>
        </w:rPr>
        <w:t>)</w:t>
      </w:r>
      <w:r w:rsidR="0090729C" w:rsidRPr="479E0EEA">
        <w:rPr>
          <w:rFonts w:eastAsia="Calibri" w:cs="Calibri"/>
        </w:rPr>
        <w:t xml:space="preserve"> summary for each country (for analysis on USE, EQ4) </w:t>
      </w:r>
    </w:p>
    <w:p w14:paraId="434C93A2" w14:textId="26FB17DB" w:rsidR="00CE07B8" w:rsidRDefault="0090729C" w:rsidP="00C6374D">
      <w:pPr>
        <w:pStyle w:val="ItadNormalText"/>
        <w:numPr>
          <w:ilvl w:val="0"/>
          <w:numId w:val="80"/>
        </w:numPr>
      </w:pPr>
      <w:r w:rsidRPr="00CE07B8">
        <w:rPr>
          <w:rFonts w:eastAsia="Calibri" w:cs="Calibri"/>
        </w:rPr>
        <w:t xml:space="preserve">MSA analysis </w:t>
      </w:r>
      <w:r w:rsidR="003C7546" w:rsidRPr="1CE87FA5">
        <w:t>thematic document</w:t>
      </w:r>
      <w:r w:rsidRPr="1CE87FA5">
        <w:t xml:space="preserve"> review</w:t>
      </w:r>
      <w:r w:rsidR="003C7546">
        <w:t>.</w:t>
      </w:r>
    </w:p>
    <w:p w14:paraId="601D7762" w14:textId="430F5A9F" w:rsidR="008840D4" w:rsidRPr="008840D4" w:rsidRDefault="0090729C" w:rsidP="008840D4">
      <w:pPr>
        <w:pStyle w:val="ItadNormalText"/>
        <w:rPr>
          <w:rFonts w:eastAsia="Calibri" w:cs="Calibri"/>
        </w:rPr>
      </w:pPr>
      <w:r w:rsidRPr="1CE87FA5">
        <w:rPr>
          <w:rFonts w:eastAsia="Calibri" w:cs="Calibri"/>
        </w:rPr>
        <w:t>Thematic leads conducted document reviews for each workstream analysis. The table below outlines the additional documents reviewed by thematic leads.</w:t>
      </w:r>
    </w:p>
    <w:p w14:paraId="2CAA1CEC" w14:textId="113E2A38" w:rsidR="00E44881" w:rsidRDefault="00E44881" w:rsidP="00C04C3C">
      <w:pPr>
        <w:pStyle w:val="ItadCaption"/>
      </w:pPr>
      <w:bookmarkStart w:id="88" w:name="_Toc143857876"/>
      <w:r>
        <w:t xml:space="preserve">Table </w:t>
      </w:r>
      <w:r>
        <w:fldChar w:fldCharType="begin"/>
      </w:r>
      <w:r>
        <w:instrText>SEQ Table \* ARABIC</w:instrText>
      </w:r>
      <w:r>
        <w:fldChar w:fldCharType="separate"/>
      </w:r>
      <w:r w:rsidR="009A383C">
        <w:rPr>
          <w:noProof/>
        </w:rPr>
        <w:t>8</w:t>
      </w:r>
      <w:r>
        <w:fldChar w:fldCharType="end"/>
      </w:r>
      <w:r w:rsidR="00F940FA">
        <w:t xml:space="preserve"> </w:t>
      </w:r>
      <w:r w:rsidRPr="00C57892">
        <w:t>Number of document</w:t>
      </w:r>
      <w:r w:rsidR="00DD06AD">
        <w:t>s</w:t>
      </w:r>
      <w:r w:rsidRPr="00C57892">
        <w:t xml:space="preserve"> reviewed by theme</w:t>
      </w:r>
      <w:bookmarkEnd w:id="88"/>
    </w:p>
    <w:tbl>
      <w:tblPr>
        <w:tblStyle w:val="ItadGreenHeaderRow"/>
        <w:tblW w:w="5000" w:type="pct"/>
        <w:tblInd w:w="0" w:type="dxa"/>
        <w:tblLook w:val="06A0" w:firstRow="1" w:lastRow="0" w:firstColumn="1" w:lastColumn="0" w:noHBand="1" w:noVBand="1"/>
      </w:tblPr>
      <w:tblGrid>
        <w:gridCol w:w="4830"/>
        <w:gridCol w:w="4678"/>
      </w:tblGrid>
      <w:tr w:rsidR="001E6808" w:rsidRPr="001E6808" w14:paraId="373D3BF0" w14:textId="77777777" w:rsidTr="00BB4743">
        <w:trPr>
          <w:cnfStyle w:val="100000000000" w:firstRow="1" w:lastRow="0" w:firstColumn="0" w:lastColumn="0" w:oddVBand="0" w:evenVBand="0" w:oddHBand="0" w:evenHBand="0" w:firstRowFirstColumn="0" w:firstRowLastColumn="0" w:lastRowFirstColumn="0" w:lastRowLastColumn="0"/>
        </w:trPr>
        <w:tc>
          <w:tcPr>
            <w:tcW w:w="2540" w:type="pct"/>
          </w:tcPr>
          <w:p w14:paraId="69D22B18" w14:textId="77777777" w:rsidR="0090729C" w:rsidRPr="007F63EF" w:rsidRDefault="0090729C">
            <w:pPr>
              <w:spacing w:line="259" w:lineRule="auto"/>
              <w:rPr>
                <w:rFonts w:eastAsia="Calibri" w:cs="Calibri"/>
                <w:b/>
                <w:bCs/>
                <w:color w:val="auto"/>
                <w:sz w:val="20"/>
                <w:szCs w:val="20"/>
              </w:rPr>
            </w:pPr>
            <w:r w:rsidRPr="001E6808">
              <w:rPr>
                <w:rFonts w:eastAsia="Calibri" w:cs="Calibri"/>
                <w:b/>
                <w:bCs/>
                <w:color w:val="auto"/>
                <w:sz w:val="20"/>
                <w:szCs w:val="20"/>
              </w:rPr>
              <w:t>Workstreams</w:t>
            </w:r>
          </w:p>
        </w:tc>
        <w:tc>
          <w:tcPr>
            <w:tcW w:w="2460" w:type="pct"/>
          </w:tcPr>
          <w:p w14:paraId="3ECC1B39" w14:textId="77777777" w:rsidR="0090729C" w:rsidRPr="007F63EF" w:rsidRDefault="0090729C">
            <w:pPr>
              <w:spacing w:line="259" w:lineRule="auto"/>
              <w:rPr>
                <w:color w:val="auto"/>
                <w:sz w:val="20"/>
                <w:szCs w:val="20"/>
              </w:rPr>
            </w:pPr>
            <w:r w:rsidRPr="001E6808">
              <w:rPr>
                <w:rFonts w:eastAsia="Calibri" w:cs="Calibri"/>
                <w:b/>
                <w:bCs/>
                <w:color w:val="auto"/>
                <w:sz w:val="20"/>
                <w:szCs w:val="20"/>
              </w:rPr>
              <w:t>Number of additional documents reviewed</w:t>
            </w:r>
          </w:p>
        </w:tc>
      </w:tr>
      <w:tr w:rsidR="001E6808" w:rsidRPr="001E6808" w14:paraId="386BB40C" w14:textId="77777777" w:rsidTr="005A32AD">
        <w:tc>
          <w:tcPr>
            <w:tcW w:w="2540" w:type="pct"/>
            <w:shd w:val="clear" w:color="auto" w:fill="auto"/>
          </w:tcPr>
          <w:p w14:paraId="4331450C" w14:textId="77777777" w:rsidR="0090729C" w:rsidRPr="007F63EF" w:rsidRDefault="0090729C">
            <w:pPr>
              <w:spacing w:line="259" w:lineRule="auto"/>
              <w:rPr>
                <w:rFonts w:eastAsia="Calibri" w:cs="Calibri"/>
                <w:color w:val="auto"/>
                <w:sz w:val="20"/>
                <w:szCs w:val="20"/>
              </w:rPr>
            </w:pPr>
            <w:r w:rsidRPr="001E6808">
              <w:rPr>
                <w:rFonts w:eastAsia="Calibri" w:cs="Calibri"/>
                <w:sz w:val="20"/>
                <w:szCs w:val="20"/>
              </w:rPr>
              <w:t>One Health Analysis</w:t>
            </w:r>
          </w:p>
        </w:tc>
        <w:tc>
          <w:tcPr>
            <w:tcW w:w="2460" w:type="pct"/>
            <w:shd w:val="clear" w:color="auto" w:fill="auto"/>
          </w:tcPr>
          <w:p w14:paraId="5432B58D"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Included in the country document review</w:t>
            </w:r>
          </w:p>
        </w:tc>
      </w:tr>
      <w:tr w:rsidR="001E6808" w:rsidRPr="001E6808" w14:paraId="7B7EE237" w14:textId="77777777" w:rsidTr="005A32AD">
        <w:tc>
          <w:tcPr>
            <w:tcW w:w="2540" w:type="pct"/>
            <w:shd w:val="clear" w:color="auto" w:fill="auto"/>
          </w:tcPr>
          <w:p w14:paraId="16E6F153" w14:textId="77777777" w:rsidR="0090729C" w:rsidRPr="007F63EF" w:rsidRDefault="0090729C">
            <w:pPr>
              <w:spacing w:line="259" w:lineRule="auto"/>
              <w:rPr>
                <w:rFonts w:eastAsia="Calibri" w:cs="Calibri"/>
                <w:color w:val="auto"/>
                <w:sz w:val="20"/>
                <w:szCs w:val="20"/>
              </w:rPr>
            </w:pPr>
            <w:r w:rsidRPr="001E6808">
              <w:rPr>
                <w:rFonts w:eastAsia="Calibri" w:cs="Calibri"/>
                <w:sz w:val="20"/>
                <w:szCs w:val="20"/>
              </w:rPr>
              <w:t>Quantitative Analysis</w:t>
            </w:r>
          </w:p>
        </w:tc>
        <w:tc>
          <w:tcPr>
            <w:tcW w:w="2460" w:type="pct"/>
            <w:shd w:val="clear" w:color="auto" w:fill="auto"/>
          </w:tcPr>
          <w:p w14:paraId="34C4C323"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Included in the country document review</w:t>
            </w:r>
          </w:p>
        </w:tc>
      </w:tr>
      <w:tr w:rsidR="001E6808" w:rsidRPr="001E6808" w14:paraId="39C91548" w14:textId="77777777" w:rsidTr="005A32AD">
        <w:tc>
          <w:tcPr>
            <w:tcW w:w="2540" w:type="pct"/>
            <w:shd w:val="clear" w:color="auto" w:fill="auto"/>
          </w:tcPr>
          <w:p w14:paraId="4DB94347" w14:textId="77777777" w:rsidR="0090729C" w:rsidRPr="007F63EF" w:rsidRDefault="0090729C">
            <w:pPr>
              <w:rPr>
                <w:rFonts w:eastAsia="Calibri" w:cs="Calibri"/>
                <w:color w:val="auto"/>
                <w:sz w:val="20"/>
                <w:szCs w:val="20"/>
              </w:rPr>
            </w:pPr>
            <w:r w:rsidRPr="001E6808">
              <w:rPr>
                <w:rFonts w:eastAsia="Calibri" w:cs="Calibri"/>
                <w:color w:val="auto"/>
                <w:sz w:val="20"/>
                <w:szCs w:val="20"/>
              </w:rPr>
              <w:t>Qualitative Analysis</w:t>
            </w:r>
          </w:p>
        </w:tc>
        <w:tc>
          <w:tcPr>
            <w:tcW w:w="2460" w:type="pct"/>
            <w:shd w:val="clear" w:color="auto" w:fill="auto"/>
          </w:tcPr>
          <w:p w14:paraId="5756D8D4"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Included in the country document review</w:t>
            </w:r>
          </w:p>
        </w:tc>
      </w:tr>
      <w:tr w:rsidR="001E6808" w:rsidRPr="001E6808" w14:paraId="6634319E" w14:textId="77777777" w:rsidTr="005A32AD">
        <w:tc>
          <w:tcPr>
            <w:tcW w:w="2540" w:type="pct"/>
            <w:shd w:val="clear" w:color="auto" w:fill="auto"/>
          </w:tcPr>
          <w:p w14:paraId="724243F2" w14:textId="77777777" w:rsidR="0090729C" w:rsidRPr="007F63EF" w:rsidRDefault="0090729C">
            <w:pPr>
              <w:rPr>
                <w:rFonts w:eastAsia="Calibri" w:cs="Calibri"/>
                <w:color w:val="auto"/>
                <w:sz w:val="20"/>
                <w:szCs w:val="20"/>
              </w:rPr>
            </w:pPr>
            <w:r w:rsidRPr="001E6808">
              <w:rPr>
                <w:rFonts w:eastAsia="Calibri" w:cs="Calibri"/>
                <w:color w:val="auto"/>
                <w:sz w:val="20"/>
                <w:szCs w:val="20"/>
              </w:rPr>
              <w:t>MSA Analysis</w:t>
            </w:r>
          </w:p>
        </w:tc>
        <w:tc>
          <w:tcPr>
            <w:tcW w:w="2460" w:type="pct"/>
            <w:shd w:val="clear" w:color="auto" w:fill="auto"/>
          </w:tcPr>
          <w:p w14:paraId="73357E1E"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501</w:t>
            </w:r>
          </w:p>
        </w:tc>
      </w:tr>
      <w:tr w:rsidR="001E6808" w:rsidRPr="001E6808" w14:paraId="6C61DA6D" w14:textId="77777777" w:rsidTr="005A32AD">
        <w:tc>
          <w:tcPr>
            <w:tcW w:w="2540" w:type="pct"/>
            <w:shd w:val="clear" w:color="auto" w:fill="auto"/>
          </w:tcPr>
          <w:p w14:paraId="7B6069D0" w14:textId="77777777" w:rsidR="0090729C" w:rsidRPr="007F63EF" w:rsidRDefault="0090729C">
            <w:pPr>
              <w:spacing w:line="259" w:lineRule="auto"/>
              <w:rPr>
                <w:rFonts w:eastAsia="Calibri" w:cs="Calibri"/>
                <w:color w:val="auto"/>
                <w:sz w:val="20"/>
                <w:szCs w:val="20"/>
              </w:rPr>
            </w:pPr>
            <w:r w:rsidRPr="001E6808">
              <w:rPr>
                <w:rFonts w:eastAsia="Calibri" w:cs="Calibri"/>
                <w:color w:val="auto"/>
                <w:sz w:val="20"/>
                <w:szCs w:val="20"/>
              </w:rPr>
              <w:t>Use Analysis</w:t>
            </w:r>
          </w:p>
        </w:tc>
        <w:tc>
          <w:tcPr>
            <w:tcW w:w="2460" w:type="pct"/>
            <w:shd w:val="clear" w:color="auto" w:fill="auto"/>
          </w:tcPr>
          <w:p w14:paraId="3CC85496"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120</w:t>
            </w:r>
          </w:p>
        </w:tc>
      </w:tr>
      <w:tr w:rsidR="001E6808" w:rsidRPr="001E6808" w14:paraId="0B8662AF" w14:textId="77777777" w:rsidTr="005A32AD">
        <w:tc>
          <w:tcPr>
            <w:tcW w:w="2540" w:type="pct"/>
            <w:shd w:val="clear" w:color="auto" w:fill="auto"/>
          </w:tcPr>
          <w:p w14:paraId="010582EF" w14:textId="77777777" w:rsidR="0090729C" w:rsidRPr="007F63EF" w:rsidRDefault="0090729C">
            <w:pPr>
              <w:spacing w:line="259" w:lineRule="auto"/>
              <w:rPr>
                <w:rFonts w:eastAsia="Calibri" w:cs="Calibri"/>
                <w:color w:val="auto"/>
                <w:sz w:val="20"/>
                <w:szCs w:val="20"/>
              </w:rPr>
            </w:pPr>
            <w:r w:rsidRPr="001E6808">
              <w:rPr>
                <w:rFonts w:eastAsia="Calibri" w:cs="Calibri"/>
                <w:color w:val="auto"/>
                <w:sz w:val="20"/>
                <w:szCs w:val="20"/>
              </w:rPr>
              <w:t>Coherence Analysis</w:t>
            </w:r>
          </w:p>
        </w:tc>
        <w:tc>
          <w:tcPr>
            <w:tcW w:w="2460" w:type="pct"/>
            <w:shd w:val="clear" w:color="auto" w:fill="auto"/>
          </w:tcPr>
          <w:p w14:paraId="4B7CBDB3"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Included in the country document review</w:t>
            </w:r>
          </w:p>
        </w:tc>
      </w:tr>
      <w:tr w:rsidR="001E6808" w:rsidRPr="001E6808" w14:paraId="4CEB34E1" w14:textId="77777777" w:rsidTr="005A32AD">
        <w:tc>
          <w:tcPr>
            <w:tcW w:w="2540" w:type="pct"/>
            <w:shd w:val="clear" w:color="auto" w:fill="auto"/>
          </w:tcPr>
          <w:p w14:paraId="3D848CAC" w14:textId="77777777" w:rsidR="0090729C" w:rsidRPr="007F63EF" w:rsidRDefault="0090729C">
            <w:pPr>
              <w:rPr>
                <w:rFonts w:eastAsia="Calibri" w:cs="Calibri"/>
                <w:color w:val="auto"/>
                <w:sz w:val="20"/>
                <w:szCs w:val="20"/>
              </w:rPr>
            </w:pPr>
            <w:r w:rsidRPr="001E6808">
              <w:rPr>
                <w:rFonts w:eastAsia="Calibri" w:cs="Calibri"/>
                <w:color w:val="auto"/>
                <w:sz w:val="20"/>
                <w:szCs w:val="20"/>
              </w:rPr>
              <w:t>Contribution Analysis</w:t>
            </w:r>
          </w:p>
        </w:tc>
        <w:tc>
          <w:tcPr>
            <w:tcW w:w="2460" w:type="pct"/>
            <w:shd w:val="clear" w:color="auto" w:fill="auto"/>
          </w:tcPr>
          <w:p w14:paraId="211565B3" w14:textId="77777777" w:rsidR="0090729C" w:rsidRPr="007F63EF" w:rsidRDefault="0090729C">
            <w:pPr>
              <w:spacing w:line="259" w:lineRule="auto"/>
              <w:jc w:val="center"/>
              <w:rPr>
                <w:rFonts w:eastAsia="Calibri" w:cs="Calibri"/>
                <w:color w:val="auto"/>
                <w:sz w:val="20"/>
                <w:szCs w:val="20"/>
              </w:rPr>
            </w:pPr>
            <w:r w:rsidRPr="001E6808">
              <w:rPr>
                <w:rFonts w:eastAsia="Calibri" w:cs="Calibri"/>
                <w:color w:val="auto"/>
                <w:sz w:val="20"/>
                <w:szCs w:val="20"/>
              </w:rPr>
              <w:t>5</w:t>
            </w:r>
          </w:p>
        </w:tc>
      </w:tr>
      <w:tr w:rsidR="001E6808" w:rsidRPr="001E6808" w14:paraId="7206222C" w14:textId="77777777" w:rsidTr="005A32AD">
        <w:tc>
          <w:tcPr>
            <w:tcW w:w="2540" w:type="pct"/>
            <w:shd w:val="clear" w:color="auto" w:fill="auto"/>
          </w:tcPr>
          <w:p w14:paraId="7658860F" w14:textId="77777777" w:rsidR="0090729C" w:rsidRPr="007F63EF" w:rsidRDefault="0090729C">
            <w:pPr>
              <w:rPr>
                <w:rFonts w:eastAsia="Calibri" w:cs="Calibri"/>
                <w:color w:val="auto"/>
                <w:sz w:val="20"/>
                <w:szCs w:val="20"/>
              </w:rPr>
            </w:pPr>
            <w:r w:rsidRPr="001E6808">
              <w:rPr>
                <w:rFonts w:eastAsia="Calibri" w:cs="Calibri"/>
                <w:color w:val="auto"/>
                <w:sz w:val="20"/>
                <w:szCs w:val="20"/>
              </w:rPr>
              <w:t>Sustainability Analysis</w:t>
            </w:r>
          </w:p>
        </w:tc>
        <w:tc>
          <w:tcPr>
            <w:tcW w:w="2460" w:type="pct"/>
            <w:shd w:val="clear" w:color="auto" w:fill="auto"/>
          </w:tcPr>
          <w:p w14:paraId="3D1BE3FC"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Included in the country document review</w:t>
            </w:r>
          </w:p>
        </w:tc>
      </w:tr>
      <w:tr w:rsidR="001E6808" w:rsidRPr="001E6808" w14:paraId="20B15EA9" w14:textId="77777777" w:rsidTr="005A32AD">
        <w:tc>
          <w:tcPr>
            <w:tcW w:w="2540" w:type="pct"/>
            <w:shd w:val="clear" w:color="auto" w:fill="auto"/>
          </w:tcPr>
          <w:p w14:paraId="7059D3D7" w14:textId="77777777" w:rsidR="0090729C" w:rsidRPr="007F63EF" w:rsidRDefault="0090729C">
            <w:pPr>
              <w:rPr>
                <w:rFonts w:eastAsia="Calibri" w:cs="Calibri"/>
                <w:color w:val="auto"/>
                <w:sz w:val="20"/>
                <w:szCs w:val="20"/>
              </w:rPr>
            </w:pPr>
            <w:r w:rsidRPr="001E6808">
              <w:rPr>
                <w:rFonts w:eastAsia="Calibri" w:cs="Calibri"/>
                <w:color w:val="auto"/>
                <w:sz w:val="20"/>
                <w:szCs w:val="20"/>
              </w:rPr>
              <w:t>VfM Analysis</w:t>
            </w:r>
          </w:p>
        </w:tc>
        <w:tc>
          <w:tcPr>
            <w:tcW w:w="2460" w:type="pct"/>
            <w:shd w:val="clear" w:color="auto" w:fill="auto"/>
          </w:tcPr>
          <w:p w14:paraId="4120C1A3" w14:textId="77777777" w:rsidR="0090729C" w:rsidRPr="007F63EF" w:rsidRDefault="0090729C">
            <w:pPr>
              <w:jc w:val="center"/>
              <w:rPr>
                <w:rFonts w:eastAsia="Calibri" w:cs="Calibri"/>
                <w:color w:val="auto"/>
                <w:sz w:val="20"/>
                <w:szCs w:val="20"/>
              </w:rPr>
            </w:pPr>
            <w:r w:rsidRPr="001E6808">
              <w:rPr>
                <w:rFonts w:eastAsia="Calibri" w:cs="Calibri"/>
                <w:color w:val="auto"/>
                <w:sz w:val="20"/>
                <w:szCs w:val="20"/>
              </w:rPr>
              <w:t>364</w:t>
            </w:r>
          </w:p>
        </w:tc>
      </w:tr>
    </w:tbl>
    <w:p w14:paraId="4F894812" w14:textId="77777777" w:rsidR="0090729C" w:rsidRDefault="0090729C" w:rsidP="00BB4743">
      <w:pPr>
        <w:pStyle w:val="ItadH3Numbered"/>
        <w:keepNext/>
        <w:numPr>
          <w:ilvl w:val="2"/>
          <w:numId w:val="0"/>
        </w:numPr>
        <w:spacing w:line="259" w:lineRule="auto"/>
        <w:ind w:left="210"/>
        <w:rPr>
          <w:rFonts w:eastAsia="Calibri" w:cs="Calibri"/>
        </w:rPr>
      </w:pPr>
      <w:bookmarkStart w:id="89" w:name="_Toc118968509"/>
      <w:bookmarkStart w:id="90" w:name="_Toc142383150"/>
      <w:r w:rsidRPr="1C732485">
        <w:rPr>
          <w:rFonts w:eastAsia="Calibri" w:cs="Calibri"/>
        </w:rPr>
        <w:t>Key informant interviews</w:t>
      </w:r>
      <w:bookmarkEnd w:id="89"/>
      <w:bookmarkEnd w:id="90"/>
    </w:p>
    <w:p w14:paraId="667FA4AD" w14:textId="5C8C373D" w:rsidR="0090729C" w:rsidRDefault="00892E27" w:rsidP="0090729C">
      <w:pPr>
        <w:jc w:val="both"/>
        <w:rPr>
          <w:rFonts w:cs="Calibri"/>
        </w:rPr>
      </w:pPr>
      <w:r w:rsidRPr="00892E27">
        <w:rPr>
          <w:rFonts w:cs="Calibri"/>
        </w:rPr>
        <w:t>KIIs</w:t>
      </w:r>
      <w:r w:rsidR="0090729C" w:rsidRPr="1CE87FA5">
        <w:rPr>
          <w:rFonts w:cs="Calibri"/>
        </w:rPr>
        <w:t xml:space="preserve"> were conducted to enhance and complement the data, especially for areas that are were not well covered by existing documentation and/or that require more qualitative information. KIIs were carried out using a semi-structured interview protocol, recorded with the interviewee’s permission before being written up and coded. </w:t>
      </w:r>
    </w:p>
    <w:p w14:paraId="49DD6F97" w14:textId="77777777" w:rsidR="0090729C" w:rsidRDefault="0090729C" w:rsidP="0090729C">
      <w:pPr>
        <w:jc w:val="both"/>
        <w:rPr>
          <w:rFonts w:cs="Calibri"/>
        </w:rPr>
      </w:pPr>
    </w:p>
    <w:p w14:paraId="4F0EDF87" w14:textId="728548DE" w:rsidR="0090729C" w:rsidRDefault="0090729C" w:rsidP="0090729C">
      <w:pPr>
        <w:jc w:val="both"/>
        <w:rPr>
          <w:rFonts w:asciiTheme="minorHAnsi" w:hAnsiTheme="minorHAnsi" w:cstheme="minorBidi"/>
          <w:color w:val="000000"/>
        </w:rPr>
      </w:pPr>
      <w:r w:rsidRPr="1CE87FA5">
        <w:rPr>
          <w:rFonts w:cs="Calibri"/>
        </w:rPr>
        <w:t xml:space="preserve">The approach to sampling was flexible and aimed at ensuring maximum coverage and representation of key stakeholders to cover the EQs. </w:t>
      </w:r>
      <w:r w:rsidRPr="1CE87FA5">
        <w:rPr>
          <w:color w:val="000000"/>
        </w:rPr>
        <w:t xml:space="preserve">Standard interviewing techniques for qualitative work were used, starting with an agreed list of </w:t>
      </w:r>
      <w:r w:rsidR="02A3DABA">
        <w:rPr>
          <w:color w:val="000000"/>
        </w:rPr>
        <w:t>KIs</w:t>
      </w:r>
      <w:r w:rsidRPr="1CE87FA5">
        <w:rPr>
          <w:color w:val="000000"/>
        </w:rPr>
        <w:t xml:space="preserve"> and then snowballing</w:t>
      </w:r>
      <w:r w:rsidRPr="1CE87FA5">
        <w:rPr>
          <w:rStyle w:val="FootnoteReference"/>
          <w:color w:val="000000"/>
        </w:rPr>
        <w:footnoteReference w:id="24"/>
      </w:r>
      <w:r w:rsidRPr="1CE87FA5">
        <w:rPr>
          <w:color w:val="000000"/>
        </w:rPr>
        <w:t xml:space="preserve"> until we had reached saturation</w:t>
      </w:r>
      <w:r w:rsidR="00D11917">
        <w:rPr>
          <w:color w:val="000000"/>
        </w:rPr>
        <w:t>.</w:t>
      </w:r>
      <w:r w:rsidRPr="1CE87FA5">
        <w:rPr>
          <w:rStyle w:val="FootnoteReference"/>
          <w:color w:val="000000"/>
        </w:rPr>
        <w:footnoteReference w:id="25"/>
      </w:r>
      <w:r w:rsidRPr="1CE87FA5">
        <w:rPr>
          <w:color w:val="000000"/>
        </w:rPr>
        <w:t xml:space="preserve"> To ensure e</w:t>
      </w:r>
      <w:r w:rsidRPr="1CE87FA5">
        <w:rPr>
          <w:rFonts w:asciiTheme="minorHAnsi" w:hAnsiTheme="minorHAnsi" w:cstheme="minorBidi"/>
          <w:color w:val="000000"/>
        </w:rPr>
        <w:t>quitable and appropriate representation in our list of KIs, and wider engagement in this evaluation, we categorised KIs before sampling to ensure we capture</w:t>
      </w:r>
      <w:r w:rsidR="00856AA9">
        <w:rPr>
          <w:rFonts w:asciiTheme="minorHAnsi" w:hAnsiTheme="minorHAnsi" w:cstheme="minorBidi"/>
          <w:color w:val="000000"/>
        </w:rPr>
        <w:t>d</w:t>
      </w:r>
      <w:r w:rsidRPr="1CE87FA5">
        <w:rPr>
          <w:rFonts w:asciiTheme="minorHAnsi" w:hAnsiTheme="minorHAnsi" w:cstheme="minorBidi"/>
          <w:color w:val="000000"/>
        </w:rPr>
        <w:t xml:space="preserve"> an appropriate balance of views. </w:t>
      </w:r>
    </w:p>
    <w:p w14:paraId="08A2188F" w14:textId="77777777" w:rsidR="0090729C" w:rsidRDefault="0090729C" w:rsidP="0090729C">
      <w:pPr>
        <w:jc w:val="both"/>
        <w:rPr>
          <w:rFonts w:cs="Calibri"/>
        </w:rPr>
      </w:pPr>
    </w:p>
    <w:p w14:paraId="0E2A6364" w14:textId="6BAEBE74" w:rsidR="0090729C" w:rsidRDefault="0090729C" w:rsidP="001B185D">
      <w:pPr>
        <w:jc w:val="both"/>
        <w:rPr>
          <w:color w:val="000000"/>
        </w:rPr>
      </w:pPr>
      <w:r w:rsidRPr="1CE87FA5">
        <w:rPr>
          <w:rFonts w:cs="Calibri"/>
        </w:rPr>
        <w:t xml:space="preserve">A stakeholder mapping exercise was conducted to identify a range of categories of KIs, </w:t>
      </w:r>
      <w:r w:rsidR="000F726F">
        <w:rPr>
          <w:rFonts w:cs="Calibri"/>
        </w:rPr>
        <w:t>(</w:t>
      </w:r>
      <w:r w:rsidRPr="1CE87FA5">
        <w:rPr>
          <w:rFonts w:cs="Calibri"/>
        </w:rPr>
        <w:t xml:space="preserve">as outlined in </w:t>
      </w:r>
      <w:r w:rsidR="00E44881">
        <w:rPr>
          <w:rFonts w:cs="Calibri"/>
          <w:highlight w:val="yellow"/>
        </w:rPr>
        <w:fldChar w:fldCharType="begin"/>
      </w:r>
      <w:r w:rsidR="00E44881">
        <w:rPr>
          <w:rFonts w:cs="Calibri"/>
        </w:rPr>
        <w:instrText xml:space="preserve"> REF _Ref118377572 \h </w:instrText>
      </w:r>
      <w:r w:rsidR="00E44881">
        <w:rPr>
          <w:rFonts w:cs="Calibri"/>
          <w:highlight w:val="yellow"/>
        </w:rPr>
      </w:r>
      <w:r w:rsidR="00E44881">
        <w:rPr>
          <w:rFonts w:cs="Calibri"/>
          <w:highlight w:val="yellow"/>
        </w:rPr>
        <w:fldChar w:fldCharType="separate"/>
      </w:r>
      <w:r w:rsidR="009A383C">
        <w:t xml:space="preserve">Table </w:t>
      </w:r>
      <w:r w:rsidR="009A383C">
        <w:rPr>
          <w:noProof/>
        </w:rPr>
        <w:t>9</w:t>
      </w:r>
      <w:r w:rsidR="00E44881">
        <w:rPr>
          <w:rFonts w:cs="Calibri"/>
          <w:highlight w:val="yellow"/>
        </w:rPr>
        <w:fldChar w:fldCharType="end"/>
      </w:r>
      <w:r w:rsidRPr="1CE87FA5">
        <w:rPr>
          <w:rFonts w:cs="Calibri"/>
        </w:rPr>
        <w:t xml:space="preserve"> below) that we wanted to interview to help finalise our analytical tools – e.g. to help triangulate and provide nuance to evidence from document review. The country teams worked with the </w:t>
      </w:r>
      <w:r w:rsidR="003B75D8" w:rsidRPr="00C6726A">
        <w:rPr>
          <w:rFonts w:cs="Calibri"/>
        </w:rPr>
        <w:t>regional coordinator</w:t>
      </w:r>
      <w:r w:rsidR="00C6726A">
        <w:rPr>
          <w:rFonts w:cs="Calibri"/>
        </w:rPr>
        <w:t xml:space="preserve"> (</w:t>
      </w:r>
      <w:r w:rsidRPr="1CE87FA5">
        <w:rPr>
          <w:rFonts w:cs="Calibri"/>
        </w:rPr>
        <w:t>RC and CG for each country, to identify specific, relevant individuals for each category – drawing on KI lists from previous rounds of data collection – and ensuring we complied with General Data Protection Regulation</w:t>
      </w:r>
      <w:r w:rsidR="007E003B">
        <w:rPr>
          <w:rFonts w:cs="Calibri"/>
        </w:rPr>
        <w:t>.</w:t>
      </w:r>
      <w:r w:rsidR="001B185D">
        <w:rPr>
          <w:rFonts w:cs="Calibri"/>
        </w:rPr>
        <w:t xml:space="preserve"> </w:t>
      </w:r>
      <w:r w:rsidRPr="1CE87FA5">
        <w:rPr>
          <w:color w:val="000000"/>
        </w:rPr>
        <w:t xml:space="preserve">We also used our networks to identify other relevant KIs. </w:t>
      </w:r>
    </w:p>
    <w:p w14:paraId="1000B62C" w14:textId="77777777" w:rsidR="001B185D" w:rsidRDefault="001B185D" w:rsidP="001B185D">
      <w:pPr>
        <w:jc w:val="both"/>
        <w:rPr>
          <w:lang w:val="en-US"/>
        </w:rPr>
      </w:pPr>
    </w:p>
    <w:p w14:paraId="2E74EEF9" w14:textId="1DA081C6" w:rsidR="00E44881" w:rsidRDefault="00E44881" w:rsidP="00C04C3C">
      <w:pPr>
        <w:pStyle w:val="ItadCaption"/>
      </w:pPr>
      <w:bookmarkStart w:id="91" w:name="_Ref118377572"/>
      <w:bookmarkStart w:id="92" w:name="_Toc143857877"/>
      <w:r>
        <w:t xml:space="preserve">Table </w:t>
      </w:r>
      <w:r>
        <w:fldChar w:fldCharType="begin"/>
      </w:r>
      <w:r>
        <w:instrText>SEQ Table \* ARABIC</w:instrText>
      </w:r>
      <w:r>
        <w:fldChar w:fldCharType="separate"/>
      </w:r>
      <w:r w:rsidR="009A383C">
        <w:rPr>
          <w:noProof/>
        </w:rPr>
        <w:t>9</w:t>
      </w:r>
      <w:r>
        <w:fldChar w:fldCharType="end"/>
      </w:r>
      <w:bookmarkEnd w:id="91"/>
      <w:r w:rsidR="00F940FA">
        <w:t xml:space="preserve"> </w:t>
      </w:r>
      <w:r w:rsidRPr="005C1643">
        <w:t>Key Informant Categories and their estimated numbers</w:t>
      </w:r>
      <w:bookmarkEnd w:id="92"/>
    </w:p>
    <w:tbl>
      <w:tblPr>
        <w:tblStyle w:val="Itadalternaterows"/>
        <w:tblW w:w="0" w:type="auto"/>
        <w:tblLook w:val="0000" w:firstRow="0" w:lastRow="0" w:firstColumn="0" w:lastColumn="0" w:noHBand="0" w:noVBand="0"/>
      </w:tblPr>
      <w:tblGrid>
        <w:gridCol w:w="1354"/>
        <w:gridCol w:w="3599"/>
        <w:gridCol w:w="2044"/>
        <w:gridCol w:w="2398"/>
      </w:tblGrid>
      <w:tr w:rsidR="00EA7BFE" w:rsidRPr="00EA7BFE" w14:paraId="6B4723A2" w14:textId="77777777" w:rsidTr="00F940FA">
        <w:trPr>
          <w:cnfStyle w:val="000000010000" w:firstRow="0" w:lastRow="0" w:firstColumn="0" w:lastColumn="0" w:oddVBand="0" w:evenVBand="0" w:oddHBand="0" w:evenHBand="1" w:firstRowFirstColumn="0" w:firstRowLastColumn="0" w:lastRowFirstColumn="0" w:lastRowLastColumn="0"/>
          <w:trHeight w:val="945"/>
          <w:tblHeader/>
        </w:trPr>
        <w:tc>
          <w:tcPr>
            <w:tcW w:w="1186" w:type="dxa"/>
            <w:shd w:val="clear" w:color="auto" w:fill="96C286" w:themeFill="text2" w:themeFillTint="99"/>
          </w:tcPr>
          <w:p w14:paraId="26F88DBD" w14:textId="77777777" w:rsidR="0090729C" w:rsidRPr="00BB4743" w:rsidRDefault="0090729C" w:rsidP="004B68E3">
            <w:pPr>
              <w:spacing w:line="259" w:lineRule="auto"/>
              <w:rPr>
                <w:rFonts w:eastAsia="Calibri" w:cs="Calibri"/>
                <w:b/>
                <w:bCs/>
                <w:sz w:val="20"/>
                <w:szCs w:val="20"/>
              </w:rPr>
            </w:pPr>
            <w:r w:rsidRPr="00BB4743">
              <w:rPr>
                <w:rFonts w:eastAsia="Calibri" w:cs="Calibri"/>
                <w:b/>
                <w:bCs/>
                <w:color w:val="auto"/>
                <w:sz w:val="20"/>
                <w:szCs w:val="20"/>
              </w:rPr>
              <w:t>Category</w:t>
            </w:r>
          </w:p>
        </w:tc>
        <w:tc>
          <w:tcPr>
            <w:tcW w:w="3676" w:type="dxa"/>
            <w:shd w:val="clear" w:color="auto" w:fill="96C286" w:themeFill="text2" w:themeFillTint="99"/>
          </w:tcPr>
          <w:p w14:paraId="28625E4F" w14:textId="77777777" w:rsidR="0090729C" w:rsidRPr="00BB4743" w:rsidRDefault="0090729C" w:rsidP="004B68E3">
            <w:pPr>
              <w:spacing w:line="259" w:lineRule="auto"/>
              <w:rPr>
                <w:rFonts w:eastAsia="Calibri" w:cs="Calibri"/>
                <w:b/>
                <w:bCs/>
                <w:sz w:val="20"/>
                <w:szCs w:val="20"/>
              </w:rPr>
            </w:pPr>
            <w:r w:rsidRPr="00BB4743">
              <w:rPr>
                <w:rFonts w:eastAsia="Calibri" w:cs="Calibri"/>
                <w:b/>
                <w:bCs/>
                <w:color w:val="auto"/>
                <w:sz w:val="20"/>
                <w:szCs w:val="20"/>
              </w:rPr>
              <w:t>Indicative number of KIIs</w:t>
            </w:r>
          </w:p>
        </w:tc>
        <w:tc>
          <w:tcPr>
            <w:tcW w:w="2085" w:type="dxa"/>
            <w:shd w:val="clear" w:color="auto" w:fill="96C286" w:themeFill="text2" w:themeFillTint="99"/>
          </w:tcPr>
          <w:p w14:paraId="60C8BD96" w14:textId="2E413960" w:rsidR="0090729C" w:rsidRPr="00BB4743" w:rsidRDefault="0090729C" w:rsidP="004B68E3">
            <w:pPr>
              <w:spacing w:line="259" w:lineRule="auto"/>
              <w:rPr>
                <w:rFonts w:eastAsia="Calibri" w:cs="Calibri"/>
                <w:b/>
                <w:bCs/>
                <w:sz w:val="20"/>
                <w:szCs w:val="20"/>
              </w:rPr>
            </w:pPr>
            <w:r w:rsidRPr="00BB4743">
              <w:rPr>
                <w:rFonts w:eastAsia="Calibri" w:cs="Calibri"/>
                <w:b/>
                <w:bCs/>
                <w:color w:val="auto"/>
                <w:sz w:val="20"/>
                <w:szCs w:val="20"/>
              </w:rPr>
              <w:t xml:space="preserve">Estimated </w:t>
            </w:r>
            <w:r w:rsidR="00526F74" w:rsidRPr="00BB4743">
              <w:rPr>
                <w:rFonts w:eastAsia="Calibri" w:cs="Calibri"/>
                <w:b/>
                <w:bCs/>
                <w:color w:val="auto"/>
                <w:sz w:val="20"/>
                <w:szCs w:val="20"/>
              </w:rPr>
              <w:t>number</w:t>
            </w:r>
            <w:r w:rsidRPr="00BB4743">
              <w:rPr>
                <w:rFonts w:eastAsia="Calibri" w:cs="Calibri"/>
                <w:b/>
                <w:bCs/>
                <w:color w:val="auto"/>
                <w:sz w:val="20"/>
                <w:szCs w:val="20"/>
              </w:rPr>
              <w:t xml:space="preserve"> of questions</w:t>
            </w:r>
          </w:p>
        </w:tc>
        <w:tc>
          <w:tcPr>
            <w:tcW w:w="2448" w:type="dxa"/>
            <w:shd w:val="clear" w:color="auto" w:fill="96C286" w:themeFill="text2" w:themeFillTint="99"/>
          </w:tcPr>
          <w:p w14:paraId="101E08E0" w14:textId="19E6D4D5" w:rsidR="0090729C" w:rsidRPr="00BB4743" w:rsidRDefault="0090729C" w:rsidP="004B68E3">
            <w:pPr>
              <w:spacing w:line="259" w:lineRule="auto"/>
              <w:rPr>
                <w:rFonts w:eastAsia="Calibri" w:cs="Calibri"/>
                <w:b/>
                <w:bCs/>
                <w:sz w:val="20"/>
                <w:szCs w:val="20"/>
              </w:rPr>
            </w:pPr>
            <w:r w:rsidRPr="00BB4743">
              <w:rPr>
                <w:rFonts w:eastAsia="Calibri" w:cs="Calibri"/>
                <w:b/>
                <w:bCs/>
                <w:color w:val="auto"/>
                <w:sz w:val="20"/>
                <w:szCs w:val="20"/>
              </w:rPr>
              <w:t>Estimated number/ duration of KIIs</w:t>
            </w:r>
          </w:p>
        </w:tc>
      </w:tr>
      <w:tr w:rsidR="00EA7BFE" w:rsidRPr="00EA7BFE" w14:paraId="0386BD8A" w14:textId="77777777" w:rsidTr="00E44881">
        <w:trPr>
          <w:cnfStyle w:val="000000100000" w:firstRow="0" w:lastRow="0" w:firstColumn="0" w:lastColumn="0" w:oddVBand="0" w:evenVBand="0" w:oddHBand="1" w:evenHBand="0" w:firstRowFirstColumn="0" w:firstRowLastColumn="0" w:lastRowFirstColumn="0" w:lastRowLastColumn="0"/>
          <w:trHeight w:val="468"/>
        </w:trPr>
        <w:tc>
          <w:tcPr>
            <w:tcW w:w="1186" w:type="dxa"/>
            <w:shd w:val="clear" w:color="auto" w:fill="auto"/>
          </w:tcPr>
          <w:p w14:paraId="232EE8C7" w14:textId="77777777"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CG team</w:t>
            </w:r>
          </w:p>
        </w:tc>
        <w:tc>
          <w:tcPr>
            <w:tcW w:w="3676" w:type="dxa"/>
            <w:shd w:val="clear" w:color="auto" w:fill="auto"/>
          </w:tcPr>
          <w:p w14:paraId="59A4D58F" w14:textId="77777777"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1 (but more team members might be involved at different stages; and the CG may want to split this into several calls accordingly)</w:t>
            </w:r>
          </w:p>
        </w:tc>
        <w:tc>
          <w:tcPr>
            <w:tcW w:w="2085" w:type="dxa"/>
            <w:shd w:val="clear" w:color="auto" w:fill="auto"/>
          </w:tcPr>
          <w:p w14:paraId="23A1C2CA"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53</w:t>
            </w:r>
          </w:p>
        </w:tc>
        <w:tc>
          <w:tcPr>
            <w:tcW w:w="2448" w:type="dxa"/>
            <w:shd w:val="clear" w:color="auto" w:fill="auto"/>
          </w:tcPr>
          <w:p w14:paraId="0FBA922F"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3+ hours divided up in multiple interactions if needed</w:t>
            </w:r>
          </w:p>
        </w:tc>
      </w:tr>
      <w:tr w:rsidR="00EA7BFE" w:rsidRPr="00EA7BFE" w14:paraId="2688C04B" w14:textId="77777777" w:rsidTr="00E44881">
        <w:trPr>
          <w:cnfStyle w:val="000000010000" w:firstRow="0" w:lastRow="0" w:firstColumn="0" w:lastColumn="0" w:oddVBand="0" w:evenVBand="0" w:oddHBand="0" w:evenHBand="1" w:firstRowFirstColumn="0" w:firstRowLastColumn="0" w:lastRowFirstColumn="0" w:lastRowLastColumn="0"/>
          <w:trHeight w:val="477"/>
        </w:trPr>
        <w:tc>
          <w:tcPr>
            <w:tcW w:w="1186" w:type="dxa"/>
            <w:shd w:val="clear" w:color="auto" w:fill="auto"/>
          </w:tcPr>
          <w:p w14:paraId="63220DE7" w14:textId="3D6B1252"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 xml:space="preserve">AMR Focal Point </w:t>
            </w:r>
          </w:p>
        </w:tc>
        <w:tc>
          <w:tcPr>
            <w:tcW w:w="3676" w:type="dxa"/>
            <w:shd w:val="clear" w:color="auto" w:fill="auto"/>
          </w:tcPr>
          <w:p w14:paraId="2C7C4EA8" w14:textId="594D1F9F"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1 for HH 1 for A</w:t>
            </w:r>
            <w:r w:rsidRPr="00BB4743">
              <w:rPr>
                <w:rFonts w:eastAsia="Calibri"/>
                <w:color w:val="auto"/>
                <w:sz w:val="20"/>
                <w:szCs w:val="20"/>
              </w:rPr>
              <w:t>H</w:t>
            </w:r>
            <w:r w:rsidRPr="00BB4743">
              <w:rPr>
                <w:rFonts w:eastAsia="Calibri" w:cs="Calibri"/>
                <w:color w:val="auto"/>
                <w:sz w:val="20"/>
                <w:szCs w:val="20"/>
              </w:rPr>
              <w:t xml:space="preserve"> </w:t>
            </w:r>
          </w:p>
        </w:tc>
        <w:tc>
          <w:tcPr>
            <w:tcW w:w="2085" w:type="dxa"/>
            <w:shd w:val="clear" w:color="auto" w:fill="auto"/>
          </w:tcPr>
          <w:p w14:paraId="37E2408C"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20</w:t>
            </w:r>
          </w:p>
        </w:tc>
        <w:tc>
          <w:tcPr>
            <w:tcW w:w="2448" w:type="dxa"/>
            <w:shd w:val="clear" w:color="auto" w:fill="auto"/>
          </w:tcPr>
          <w:p w14:paraId="7DD31991"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1.5 hours</w:t>
            </w:r>
          </w:p>
        </w:tc>
      </w:tr>
      <w:tr w:rsidR="00EA7BFE" w:rsidRPr="00EA7BFE" w14:paraId="2228FF02" w14:textId="77777777" w:rsidTr="00E44881">
        <w:trPr>
          <w:cnfStyle w:val="000000100000" w:firstRow="0" w:lastRow="0" w:firstColumn="0" w:lastColumn="0" w:oddVBand="0" w:evenVBand="0" w:oddHBand="1" w:evenHBand="0" w:firstRowFirstColumn="0" w:firstRowLastColumn="0" w:lastRowFirstColumn="0" w:lastRowLastColumn="0"/>
          <w:trHeight w:val="477"/>
        </w:trPr>
        <w:tc>
          <w:tcPr>
            <w:tcW w:w="1186" w:type="dxa"/>
            <w:shd w:val="clear" w:color="auto" w:fill="auto"/>
          </w:tcPr>
          <w:p w14:paraId="6745D762" w14:textId="2F37615D" w:rsidR="0090729C" w:rsidRPr="00BB4743" w:rsidRDefault="00E67ED8" w:rsidP="004B68E3">
            <w:pPr>
              <w:spacing w:line="259" w:lineRule="auto"/>
              <w:rPr>
                <w:rFonts w:eastAsia="Calibri" w:cs="Calibri"/>
                <w:sz w:val="20"/>
                <w:szCs w:val="20"/>
              </w:rPr>
            </w:pPr>
            <w:r w:rsidRPr="00BB4743">
              <w:rPr>
                <w:rFonts w:eastAsia="Calibri" w:cs="Calibri"/>
                <w:color w:val="auto"/>
                <w:sz w:val="20"/>
                <w:szCs w:val="20"/>
              </w:rPr>
              <w:t>WOAH</w:t>
            </w:r>
            <w:r w:rsidR="0090729C" w:rsidRPr="00BB4743">
              <w:rPr>
                <w:rFonts w:eastAsia="Calibri" w:cs="Calibri"/>
                <w:color w:val="auto"/>
                <w:sz w:val="20"/>
                <w:szCs w:val="20"/>
              </w:rPr>
              <w:t xml:space="preserve">/GLASS </w:t>
            </w:r>
            <w:r w:rsidR="007E003B" w:rsidRPr="00BB4743">
              <w:rPr>
                <w:rFonts w:eastAsia="Calibri" w:cs="Calibri"/>
                <w:color w:val="auto"/>
                <w:sz w:val="20"/>
                <w:szCs w:val="20"/>
              </w:rPr>
              <w:t>Focal Point</w:t>
            </w:r>
          </w:p>
        </w:tc>
        <w:tc>
          <w:tcPr>
            <w:tcW w:w="3676" w:type="dxa"/>
            <w:shd w:val="clear" w:color="auto" w:fill="auto"/>
          </w:tcPr>
          <w:p w14:paraId="7D64B825" w14:textId="1B8FB93D"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1 for HH 1 for A</w:t>
            </w:r>
            <w:r w:rsidRPr="00BB4743">
              <w:rPr>
                <w:rFonts w:eastAsia="Calibri"/>
                <w:color w:val="auto"/>
                <w:sz w:val="20"/>
                <w:szCs w:val="20"/>
              </w:rPr>
              <w:t>H</w:t>
            </w:r>
            <w:r w:rsidRPr="00BB4743">
              <w:rPr>
                <w:rFonts w:eastAsia="Calibri" w:cs="Calibri"/>
                <w:color w:val="auto"/>
                <w:sz w:val="20"/>
                <w:szCs w:val="20"/>
              </w:rPr>
              <w:t xml:space="preserve"> (if different from above)</w:t>
            </w:r>
          </w:p>
        </w:tc>
        <w:tc>
          <w:tcPr>
            <w:tcW w:w="2085" w:type="dxa"/>
            <w:shd w:val="clear" w:color="auto" w:fill="auto"/>
          </w:tcPr>
          <w:p w14:paraId="1BF952B6"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24</w:t>
            </w:r>
          </w:p>
        </w:tc>
        <w:tc>
          <w:tcPr>
            <w:tcW w:w="2448" w:type="dxa"/>
            <w:shd w:val="clear" w:color="auto" w:fill="auto"/>
          </w:tcPr>
          <w:p w14:paraId="46E6DFEA"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1.5 hours</w:t>
            </w:r>
          </w:p>
        </w:tc>
      </w:tr>
      <w:tr w:rsidR="00EA7BFE" w:rsidRPr="00EA7BFE" w14:paraId="11E35C7A" w14:textId="77777777" w:rsidTr="00E44881">
        <w:trPr>
          <w:cnfStyle w:val="000000010000" w:firstRow="0" w:lastRow="0" w:firstColumn="0" w:lastColumn="0" w:oddVBand="0" w:evenVBand="0" w:oddHBand="0" w:evenHBand="1" w:firstRowFirstColumn="0" w:firstRowLastColumn="0" w:lastRowFirstColumn="0" w:lastRowLastColumn="0"/>
          <w:trHeight w:val="468"/>
        </w:trPr>
        <w:tc>
          <w:tcPr>
            <w:tcW w:w="1186" w:type="dxa"/>
            <w:shd w:val="clear" w:color="auto" w:fill="auto"/>
          </w:tcPr>
          <w:p w14:paraId="19CBB1E4" w14:textId="46AE6092"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National Reference Lab</w:t>
            </w:r>
            <w:r w:rsidR="007C29AC" w:rsidRPr="00BB4743">
              <w:rPr>
                <w:rFonts w:eastAsia="Calibri" w:cs="Calibri"/>
                <w:color w:val="auto"/>
                <w:sz w:val="20"/>
                <w:szCs w:val="20"/>
              </w:rPr>
              <w:t>oratory</w:t>
            </w:r>
            <w:r w:rsidRPr="00BB4743">
              <w:rPr>
                <w:rFonts w:eastAsia="Calibri" w:cs="Calibri"/>
                <w:color w:val="auto"/>
                <w:sz w:val="20"/>
                <w:szCs w:val="20"/>
              </w:rPr>
              <w:t xml:space="preserve"> (NRL)</w:t>
            </w:r>
          </w:p>
        </w:tc>
        <w:tc>
          <w:tcPr>
            <w:tcW w:w="3676" w:type="dxa"/>
            <w:shd w:val="clear" w:color="auto" w:fill="auto"/>
          </w:tcPr>
          <w:p w14:paraId="36743A37" w14:textId="3718E9DA"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1 for HH 1 for A</w:t>
            </w:r>
            <w:r w:rsidRPr="00BB4743">
              <w:rPr>
                <w:rFonts w:eastAsia="Calibri"/>
                <w:color w:val="auto"/>
                <w:sz w:val="20"/>
                <w:szCs w:val="20"/>
              </w:rPr>
              <w:t>H</w:t>
            </w:r>
            <w:r w:rsidRPr="00BB4743">
              <w:rPr>
                <w:rFonts w:eastAsia="Calibri" w:cs="Calibri"/>
                <w:color w:val="auto"/>
                <w:sz w:val="20"/>
                <w:szCs w:val="20"/>
              </w:rPr>
              <w:t xml:space="preserve"> (but more team members might be involved – typically the director and the AMR/microbiology lead). Also note that the NRL may be </w:t>
            </w:r>
            <w:r w:rsidR="0085412A" w:rsidRPr="00BB4743">
              <w:rPr>
                <w:rFonts w:eastAsia="Calibri" w:cs="Calibri"/>
                <w:color w:val="auto"/>
                <w:sz w:val="20"/>
                <w:szCs w:val="20"/>
              </w:rPr>
              <w:t xml:space="preserve">the </w:t>
            </w:r>
            <w:r w:rsidRPr="00BB4743">
              <w:rPr>
                <w:rFonts w:eastAsia="Calibri" w:cs="Calibri"/>
                <w:color w:val="auto"/>
                <w:sz w:val="20"/>
                <w:szCs w:val="20"/>
              </w:rPr>
              <w:t xml:space="preserve">same person as </w:t>
            </w:r>
            <w:r w:rsidR="0085412A" w:rsidRPr="00BB4743">
              <w:rPr>
                <w:rFonts w:eastAsia="Calibri" w:cs="Calibri"/>
                <w:color w:val="auto"/>
                <w:sz w:val="20"/>
                <w:szCs w:val="20"/>
              </w:rPr>
              <w:t xml:space="preserve">the </w:t>
            </w:r>
            <w:r w:rsidRPr="00BB4743">
              <w:rPr>
                <w:rFonts w:eastAsia="Calibri" w:cs="Calibri"/>
                <w:color w:val="auto"/>
                <w:sz w:val="20"/>
                <w:szCs w:val="20"/>
              </w:rPr>
              <w:t xml:space="preserve">AMR </w:t>
            </w:r>
            <w:r w:rsidR="007E003B" w:rsidRPr="00BB4743">
              <w:rPr>
                <w:rFonts w:eastAsia="Calibri" w:cs="Calibri"/>
                <w:color w:val="auto"/>
                <w:sz w:val="20"/>
                <w:szCs w:val="20"/>
              </w:rPr>
              <w:t>Focal Point</w:t>
            </w:r>
          </w:p>
        </w:tc>
        <w:tc>
          <w:tcPr>
            <w:tcW w:w="2085" w:type="dxa"/>
            <w:shd w:val="clear" w:color="auto" w:fill="auto"/>
          </w:tcPr>
          <w:p w14:paraId="23EA2746"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13</w:t>
            </w:r>
          </w:p>
        </w:tc>
        <w:tc>
          <w:tcPr>
            <w:tcW w:w="2448" w:type="dxa"/>
            <w:shd w:val="clear" w:color="auto" w:fill="auto"/>
          </w:tcPr>
          <w:p w14:paraId="68F1735B"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1.5 hours</w:t>
            </w:r>
          </w:p>
        </w:tc>
      </w:tr>
      <w:tr w:rsidR="00EA7BFE" w:rsidRPr="00EA7BFE" w14:paraId="21F87240" w14:textId="77777777" w:rsidTr="00E44881">
        <w:trPr>
          <w:cnfStyle w:val="000000100000" w:firstRow="0" w:lastRow="0" w:firstColumn="0" w:lastColumn="0" w:oddVBand="0" w:evenVBand="0" w:oddHBand="1" w:evenHBand="0" w:firstRowFirstColumn="0" w:firstRowLastColumn="0" w:lastRowFirstColumn="0" w:lastRowLastColumn="0"/>
          <w:trHeight w:val="468"/>
        </w:trPr>
        <w:tc>
          <w:tcPr>
            <w:tcW w:w="1186" w:type="dxa"/>
            <w:shd w:val="clear" w:color="auto" w:fill="auto"/>
          </w:tcPr>
          <w:p w14:paraId="5A5F75CE" w14:textId="77777777"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Fellows</w:t>
            </w:r>
          </w:p>
        </w:tc>
        <w:tc>
          <w:tcPr>
            <w:tcW w:w="3676" w:type="dxa"/>
            <w:shd w:val="clear" w:color="auto" w:fill="auto"/>
          </w:tcPr>
          <w:p w14:paraId="1B37569A" w14:textId="477FC10D"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 xml:space="preserve">Minimum 4 (at least one surveyor and one </w:t>
            </w:r>
            <w:r w:rsidR="00290E4A" w:rsidRPr="00BB4743">
              <w:rPr>
                <w:rFonts w:eastAsia="Calibri" w:cs="Calibri"/>
                <w:color w:val="auto"/>
                <w:sz w:val="20"/>
                <w:szCs w:val="20"/>
              </w:rPr>
              <w:t xml:space="preserve">laboratory </w:t>
            </w:r>
            <w:r w:rsidRPr="00BB4743">
              <w:rPr>
                <w:rFonts w:eastAsia="Calibri" w:cs="Calibri"/>
                <w:color w:val="auto"/>
                <w:sz w:val="20"/>
                <w:szCs w:val="20"/>
              </w:rPr>
              <w:t xml:space="preserve">fellow for both sectors) or perhaps a </w:t>
            </w:r>
            <w:r w:rsidR="006A5ADE" w:rsidRPr="00BB4743">
              <w:rPr>
                <w:rFonts w:eastAsia="Calibri" w:cs="Calibri"/>
                <w:color w:val="auto"/>
                <w:sz w:val="20"/>
                <w:szCs w:val="20"/>
              </w:rPr>
              <w:t>focus group discussion</w:t>
            </w:r>
            <w:r w:rsidRPr="00BB4743">
              <w:rPr>
                <w:rFonts w:eastAsia="Calibri" w:cs="Calibri"/>
                <w:color w:val="auto"/>
                <w:sz w:val="20"/>
                <w:szCs w:val="20"/>
              </w:rPr>
              <w:t xml:space="preserve"> with more. Note not active in Sierra Leone.</w:t>
            </w:r>
          </w:p>
        </w:tc>
        <w:tc>
          <w:tcPr>
            <w:tcW w:w="2085" w:type="dxa"/>
            <w:shd w:val="clear" w:color="auto" w:fill="auto"/>
          </w:tcPr>
          <w:p w14:paraId="3502019A"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16</w:t>
            </w:r>
          </w:p>
        </w:tc>
        <w:tc>
          <w:tcPr>
            <w:tcW w:w="2448" w:type="dxa"/>
            <w:shd w:val="clear" w:color="auto" w:fill="auto"/>
          </w:tcPr>
          <w:p w14:paraId="29043881"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1.5 hours</w:t>
            </w:r>
          </w:p>
        </w:tc>
      </w:tr>
      <w:tr w:rsidR="00EA7BFE" w:rsidRPr="00EA7BFE" w14:paraId="60A7802F" w14:textId="77777777" w:rsidTr="00E44881">
        <w:trPr>
          <w:cnfStyle w:val="000000010000" w:firstRow="0" w:lastRow="0" w:firstColumn="0" w:lastColumn="0" w:oddVBand="0" w:evenVBand="0" w:oddHBand="0" w:evenHBand="1" w:firstRowFirstColumn="0" w:firstRowLastColumn="0" w:lastRowFirstColumn="0" w:lastRowLastColumn="0"/>
          <w:trHeight w:val="234"/>
        </w:trPr>
        <w:tc>
          <w:tcPr>
            <w:tcW w:w="1186" w:type="dxa"/>
            <w:shd w:val="clear" w:color="auto" w:fill="auto"/>
          </w:tcPr>
          <w:p w14:paraId="5343BC5E" w14:textId="77777777"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Policy Fellows</w:t>
            </w:r>
          </w:p>
        </w:tc>
        <w:tc>
          <w:tcPr>
            <w:tcW w:w="3676" w:type="dxa"/>
            <w:shd w:val="clear" w:color="auto" w:fill="auto"/>
          </w:tcPr>
          <w:p w14:paraId="689E480C" w14:textId="77777777"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2 (i.e. all). Note not active in all countries</w:t>
            </w:r>
            <w:r w:rsidRPr="00BB4743">
              <w:rPr>
                <w:rFonts w:eastAsia="Calibri" w:cs="Calibri"/>
                <w:color w:val="auto"/>
                <w:sz w:val="20"/>
                <w:szCs w:val="20"/>
                <w:vertAlign w:val="superscript"/>
              </w:rPr>
              <w:footnoteReference w:id="26"/>
            </w:r>
            <w:r w:rsidRPr="00BB4743">
              <w:rPr>
                <w:rFonts w:eastAsia="Calibri" w:cs="Calibri"/>
                <w:color w:val="auto"/>
                <w:sz w:val="20"/>
                <w:szCs w:val="20"/>
              </w:rPr>
              <w:t xml:space="preserve">. </w:t>
            </w:r>
          </w:p>
        </w:tc>
        <w:tc>
          <w:tcPr>
            <w:tcW w:w="2085" w:type="dxa"/>
            <w:shd w:val="clear" w:color="auto" w:fill="auto"/>
          </w:tcPr>
          <w:p w14:paraId="1B3EF5C3"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18</w:t>
            </w:r>
          </w:p>
        </w:tc>
        <w:tc>
          <w:tcPr>
            <w:tcW w:w="2448" w:type="dxa"/>
            <w:shd w:val="clear" w:color="auto" w:fill="auto"/>
          </w:tcPr>
          <w:p w14:paraId="596707EA"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1.5 hours</w:t>
            </w:r>
          </w:p>
        </w:tc>
      </w:tr>
      <w:tr w:rsidR="00EA7BFE" w:rsidRPr="00EA7BFE" w14:paraId="0C933BBC" w14:textId="77777777" w:rsidTr="00E44881">
        <w:trPr>
          <w:cnfStyle w:val="000000100000" w:firstRow="0" w:lastRow="0" w:firstColumn="0" w:lastColumn="0" w:oddVBand="0" w:evenVBand="0" w:oddHBand="1" w:evenHBand="0" w:firstRowFirstColumn="0" w:firstRowLastColumn="0" w:lastRowFirstColumn="0" w:lastRowLastColumn="0"/>
          <w:trHeight w:val="468"/>
        </w:trPr>
        <w:tc>
          <w:tcPr>
            <w:tcW w:w="1186" w:type="dxa"/>
            <w:shd w:val="clear" w:color="auto" w:fill="auto"/>
          </w:tcPr>
          <w:p w14:paraId="14ED85A9" w14:textId="77777777"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AMRCC members</w:t>
            </w:r>
          </w:p>
        </w:tc>
        <w:tc>
          <w:tcPr>
            <w:tcW w:w="3676" w:type="dxa"/>
            <w:shd w:val="clear" w:color="auto" w:fill="auto"/>
          </w:tcPr>
          <w:p w14:paraId="772D5E29" w14:textId="0B1DE91E"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2-3 split between HH</w:t>
            </w:r>
            <w:r w:rsidR="00DA6EA8" w:rsidRPr="00BB4743">
              <w:rPr>
                <w:rFonts w:eastAsia="Calibri" w:cs="Calibri"/>
                <w:color w:val="auto"/>
                <w:sz w:val="20"/>
                <w:szCs w:val="20"/>
              </w:rPr>
              <w:t xml:space="preserve"> and </w:t>
            </w:r>
            <w:r w:rsidRPr="00BB4743">
              <w:rPr>
                <w:rFonts w:eastAsia="Calibri" w:cs="Calibri"/>
                <w:color w:val="auto"/>
                <w:sz w:val="20"/>
                <w:szCs w:val="20"/>
              </w:rPr>
              <w:t>AH</w:t>
            </w:r>
          </w:p>
        </w:tc>
        <w:tc>
          <w:tcPr>
            <w:tcW w:w="2085" w:type="dxa"/>
            <w:shd w:val="clear" w:color="auto" w:fill="auto"/>
          </w:tcPr>
          <w:p w14:paraId="22824CD3"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18</w:t>
            </w:r>
          </w:p>
        </w:tc>
        <w:tc>
          <w:tcPr>
            <w:tcW w:w="2448" w:type="dxa"/>
            <w:shd w:val="clear" w:color="auto" w:fill="auto"/>
          </w:tcPr>
          <w:p w14:paraId="7BC9ECED"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1-1.5 hours</w:t>
            </w:r>
          </w:p>
        </w:tc>
      </w:tr>
      <w:tr w:rsidR="00EA7BFE" w:rsidRPr="00EA7BFE" w14:paraId="3320C5BC" w14:textId="77777777" w:rsidTr="00E44881">
        <w:trPr>
          <w:cnfStyle w:val="000000010000" w:firstRow="0" w:lastRow="0" w:firstColumn="0" w:lastColumn="0" w:oddVBand="0" w:evenVBand="0" w:oddHBand="0" w:evenHBand="1" w:firstRowFirstColumn="0" w:firstRowLastColumn="0" w:lastRowFirstColumn="0" w:lastRowLastColumn="0"/>
          <w:trHeight w:val="711"/>
        </w:trPr>
        <w:tc>
          <w:tcPr>
            <w:tcW w:w="1186" w:type="dxa"/>
            <w:shd w:val="clear" w:color="auto" w:fill="auto"/>
          </w:tcPr>
          <w:p w14:paraId="076743B0" w14:textId="77777777"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Other decision makers </w:t>
            </w:r>
          </w:p>
        </w:tc>
        <w:tc>
          <w:tcPr>
            <w:tcW w:w="3676" w:type="dxa"/>
            <w:shd w:val="clear" w:color="auto" w:fill="auto"/>
          </w:tcPr>
          <w:p w14:paraId="1F9C66BE" w14:textId="77777777"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2-3</w:t>
            </w:r>
          </w:p>
        </w:tc>
        <w:tc>
          <w:tcPr>
            <w:tcW w:w="2085" w:type="dxa"/>
            <w:shd w:val="clear" w:color="auto" w:fill="auto"/>
          </w:tcPr>
          <w:p w14:paraId="4E1E5C84"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17</w:t>
            </w:r>
          </w:p>
        </w:tc>
        <w:tc>
          <w:tcPr>
            <w:tcW w:w="2448" w:type="dxa"/>
            <w:shd w:val="clear" w:color="auto" w:fill="auto"/>
          </w:tcPr>
          <w:p w14:paraId="7DD01774"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1-1.5 hours</w:t>
            </w:r>
          </w:p>
        </w:tc>
      </w:tr>
      <w:tr w:rsidR="00EA7BFE" w:rsidRPr="00EA7BFE" w14:paraId="7AE5FC5C" w14:textId="77777777" w:rsidTr="00E44881">
        <w:trPr>
          <w:cnfStyle w:val="000000100000" w:firstRow="0" w:lastRow="0" w:firstColumn="0" w:lastColumn="0" w:oddVBand="0" w:evenVBand="0" w:oddHBand="1" w:evenHBand="0" w:firstRowFirstColumn="0" w:firstRowLastColumn="0" w:lastRowFirstColumn="0" w:lastRowLastColumn="0"/>
          <w:trHeight w:val="468"/>
        </w:trPr>
        <w:tc>
          <w:tcPr>
            <w:tcW w:w="1186" w:type="dxa"/>
            <w:shd w:val="clear" w:color="auto" w:fill="auto"/>
          </w:tcPr>
          <w:p w14:paraId="0B4E9C3C" w14:textId="1584CBC3"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DPs/ academia</w:t>
            </w:r>
          </w:p>
        </w:tc>
        <w:tc>
          <w:tcPr>
            <w:tcW w:w="3676" w:type="dxa"/>
            <w:shd w:val="clear" w:color="auto" w:fill="auto"/>
          </w:tcPr>
          <w:p w14:paraId="61CC6297" w14:textId="3B8F486D"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 xml:space="preserve">WHO, FAO + other 1-2 depending on </w:t>
            </w:r>
            <w:r w:rsidR="00BF4197" w:rsidRPr="00BB4743">
              <w:rPr>
                <w:rFonts w:eastAsia="Calibri" w:cs="Calibri"/>
                <w:color w:val="auto"/>
                <w:sz w:val="20"/>
                <w:szCs w:val="20"/>
              </w:rPr>
              <w:t xml:space="preserve">the </w:t>
            </w:r>
            <w:r w:rsidRPr="00BB4743">
              <w:rPr>
                <w:rFonts w:eastAsia="Calibri" w:cs="Calibri"/>
                <w:color w:val="auto"/>
                <w:sz w:val="20"/>
                <w:szCs w:val="20"/>
              </w:rPr>
              <w:t>country</w:t>
            </w:r>
          </w:p>
        </w:tc>
        <w:tc>
          <w:tcPr>
            <w:tcW w:w="2085" w:type="dxa"/>
            <w:shd w:val="clear" w:color="auto" w:fill="auto"/>
          </w:tcPr>
          <w:p w14:paraId="78EF2EEB"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10 (20 for WHO)</w:t>
            </w:r>
          </w:p>
        </w:tc>
        <w:tc>
          <w:tcPr>
            <w:tcW w:w="2448" w:type="dxa"/>
            <w:shd w:val="clear" w:color="auto" w:fill="auto"/>
          </w:tcPr>
          <w:p w14:paraId="0AE7D513"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 hour</w:t>
            </w:r>
          </w:p>
        </w:tc>
      </w:tr>
      <w:tr w:rsidR="00EA7BFE" w:rsidRPr="00EA7BFE" w14:paraId="0DF6D981" w14:textId="77777777" w:rsidTr="00E44881">
        <w:trPr>
          <w:cnfStyle w:val="000000010000" w:firstRow="0" w:lastRow="0" w:firstColumn="0" w:lastColumn="0" w:oddVBand="0" w:evenVBand="0" w:oddHBand="0" w:evenHBand="1" w:firstRowFirstColumn="0" w:firstRowLastColumn="0" w:lastRowFirstColumn="0" w:lastRowLastColumn="0"/>
          <w:trHeight w:val="234"/>
        </w:trPr>
        <w:tc>
          <w:tcPr>
            <w:tcW w:w="1186" w:type="dxa"/>
            <w:shd w:val="clear" w:color="auto" w:fill="auto"/>
          </w:tcPr>
          <w:p w14:paraId="640F5A0B" w14:textId="77777777"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Sites</w:t>
            </w:r>
          </w:p>
        </w:tc>
        <w:tc>
          <w:tcPr>
            <w:tcW w:w="3676" w:type="dxa"/>
            <w:shd w:val="clear" w:color="auto" w:fill="auto"/>
          </w:tcPr>
          <w:p w14:paraId="3BFE4551" w14:textId="3CDF8AE3"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4 split between HH &amp; AH</w:t>
            </w:r>
          </w:p>
        </w:tc>
        <w:tc>
          <w:tcPr>
            <w:tcW w:w="2085" w:type="dxa"/>
            <w:shd w:val="clear" w:color="auto" w:fill="auto"/>
          </w:tcPr>
          <w:p w14:paraId="24B60ECB"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13</w:t>
            </w:r>
          </w:p>
        </w:tc>
        <w:tc>
          <w:tcPr>
            <w:tcW w:w="2448" w:type="dxa"/>
            <w:shd w:val="clear" w:color="auto" w:fill="auto"/>
          </w:tcPr>
          <w:p w14:paraId="77623777"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2.5 hours</w:t>
            </w:r>
          </w:p>
        </w:tc>
      </w:tr>
      <w:tr w:rsidR="00EA7BFE" w:rsidRPr="00EA7BFE" w14:paraId="226A4335" w14:textId="77777777" w:rsidTr="00E44881">
        <w:trPr>
          <w:cnfStyle w:val="000000100000" w:firstRow="0" w:lastRow="0" w:firstColumn="0" w:lastColumn="0" w:oddVBand="0" w:evenVBand="0" w:oddHBand="1" w:evenHBand="0" w:firstRowFirstColumn="0" w:firstRowLastColumn="0" w:lastRowFirstColumn="0" w:lastRowLastColumn="0"/>
          <w:trHeight w:val="945"/>
        </w:trPr>
        <w:tc>
          <w:tcPr>
            <w:tcW w:w="1186" w:type="dxa"/>
            <w:shd w:val="clear" w:color="auto" w:fill="auto"/>
          </w:tcPr>
          <w:p w14:paraId="5202D459" w14:textId="77777777"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Total target</w:t>
            </w:r>
          </w:p>
        </w:tc>
        <w:tc>
          <w:tcPr>
            <w:tcW w:w="3676" w:type="dxa"/>
            <w:shd w:val="clear" w:color="auto" w:fill="auto"/>
          </w:tcPr>
          <w:p w14:paraId="519933CC" w14:textId="77777777" w:rsidR="0090729C" w:rsidRPr="00BB4743" w:rsidRDefault="0090729C" w:rsidP="004B68E3">
            <w:pPr>
              <w:spacing w:line="259" w:lineRule="auto"/>
              <w:rPr>
                <w:rFonts w:eastAsia="Calibri" w:cs="Calibri"/>
                <w:sz w:val="20"/>
                <w:szCs w:val="20"/>
              </w:rPr>
            </w:pPr>
            <w:r w:rsidRPr="00BB4743">
              <w:rPr>
                <w:rFonts w:eastAsia="Calibri" w:cs="Calibri"/>
                <w:color w:val="auto"/>
                <w:sz w:val="20"/>
                <w:szCs w:val="20"/>
              </w:rPr>
              <w:t xml:space="preserve">15*-20 + site visits </w:t>
            </w:r>
          </w:p>
          <w:p w14:paraId="7D64EE4D" w14:textId="77777777"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 </w:t>
            </w:r>
          </w:p>
          <w:p w14:paraId="2416EDF8" w14:textId="7F9C8FA6" w:rsidR="0090729C" w:rsidRPr="00BB4743" w:rsidRDefault="0090729C" w:rsidP="004B68E3">
            <w:pPr>
              <w:spacing w:line="259" w:lineRule="auto"/>
              <w:jc w:val="center"/>
              <w:rPr>
                <w:rFonts w:eastAsia="Calibri" w:cs="Calibri"/>
                <w:sz w:val="20"/>
                <w:szCs w:val="20"/>
              </w:rPr>
            </w:pPr>
            <w:r w:rsidRPr="00BB4743">
              <w:rPr>
                <w:rFonts w:eastAsia="Calibri" w:cs="Calibri"/>
                <w:color w:val="auto"/>
                <w:sz w:val="20"/>
                <w:szCs w:val="20"/>
              </w:rPr>
              <w:t>*Depending on whether we conduct</w:t>
            </w:r>
            <w:r w:rsidR="00847024" w:rsidRPr="00BB4743">
              <w:rPr>
                <w:rFonts w:eastAsia="Calibri" w:cs="Calibri"/>
                <w:color w:val="auto"/>
                <w:sz w:val="20"/>
                <w:szCs w:val="20"/>
              </w:rPr>
              <w:t>ed</w:t>
            </w:r>
            <w:r w:rsidRPr="00BB4743">
              <w:rPr>
                <w:rFonts w:eastAsia="Calibri" w:cs="Calibri"/>
                <w:color w:val="auto"/>
                <w:sz w:val="20"/>
                <w:szCs w:val="20"/>
              </w:rPr>
              <w:t xml:space="preserve"> a </w:t>
            </w:r>
            <w:r w:rsidR="006A5ADE" w:rsidRPr="00BB4743">
              <w:rPr>
                <w:rFonts w:eastAsia="Calibri" w:cs="Calibri"/>
                <w:color w:val="auto"/>
                <w:sz w:val="20"/>
                <w:szCs w:val="20"/>
              </w:rPr>
              <w:t>focus group discussion</w:t>
            </w:r>
            <w:r w:rsidRPr="00BB4743">
              <w:rPr>
                <w:rFonts w:eastAsia="Calibri" w:cs="Calibri"/>
                <w:color w:val="auto"/>
                <w:sz w:val="20"/>
                <w:szCs w:val="20"/>
              </w:rPr>
              <w:t xml:space="preserve"> or separate interviews with the Fellows</w:t>
            </w:r>
          </w:p>
        </w:tc>
        <w:tc>
          <w:tcPr>
            <w:tcW w:w="2085" w:type="dxa"/>
            <w:shd w:val="clear" w:color="auto" w:fill="auto"/>
          </w:tcPr>
          <w:p w14:paraId="1EB40F73" w14:textId="77777777" w:rsidR="0090729C" w:rsidRPr="00BB4743" w:rsidRDefault="0090729C" w:rsidP="004B68E3">
            <w:pPr>
              <w:spacing w:line="259" w:lineRule="auto"/>
              <w:jc w:val="center"/>
              <w:rPr>
                <w:rFonts w:eastAsia="Calibri" w:cs="Calibri"/>
                <w:sz w:val="20"/>
                <w:szCs w:val="20"/>
              </w:rPr>
            </w:pPr>
          </w:p>
        </w:tc>
        <w:tc>
          <w:tcPr>
            <w:tcW w:w="2448" w:type="dxa"/>
            <w:shd w:val="clear" w:color="auto" w:fill="auto"/>
          </w:tcPr>
          <w:p w14:paraId="7CC165C5" w14:textId="77777777" w:rsidR="0090729C" w:rsidRPr="00BB4743" w:rsidRDefault="0090729C" w:rsidP="004B68E3">
            <w:pPr>
              <w:spacing w:line="259" w:lineRule="auto"/>
              <w:jc w:val="center"/>
              <w:rPr>
                <w:rFonts w:eastAsia="Calibri" w:cs="Calibri"/>
                <w:sz w:val="20"/>
                <w:szCs w:val="20"/>
              </w:rPr>
            </w:pPr>
          </w:p>
        </w:tc>
      </w:tr>
    </w:tbl>
    <w:p w14:paraId="61A11FD8" w14:textId="77777777" w:rsidR="0090729C" w:rsidRDefault="0090729C" w:rsidP="0090729C">
      <w:pPr>
        <w:jc w:val="both"/>
        <w:rPr>
          <w:color w:val="000000"/>
        </w:rPr>
      </w:pPr>
    </w:p>
    <w:p w14:paraId="6F2BA0FF" w14:textId="44D75662" w:rsidR="0090729C" w:rsidRDefault="0090729C" w:rsidP="0090729C">
      <w:pPr>
        <w:jc w:val="both"/>
      </w:pPr>
      <w:r w:rsidRPr="1CE87FA5">
        <w:rPr>
          <w:rFonts w:asciiTheme="minorHAnsi" w:hAnsiTheme="minorHAnsi" w:cstheme="minorBidi"/>
        </w:rPr>
        <w:t>Interviews were semi-structured and based on interview guides.</w:t>
      </w:r>
      <w:r w:rsidRPr="1CE87FA5">
        <w:rPr>
          <w:rFonts w:asciiTheme="minorHAnsi" w:hAnsiTheme="minorHAnsi" w:cstheme="minorBidi"/>
          <w:b/>
          <w:bCs/>
        </w:rPr>
        <w:t xml:space="preserve"> </w:t>
      </w:r>
      <w:r>
        <w:t xml:space="preserve">Best practice in research is to record and then transcribe the interview for analysis. This has advantages in that it produces greater transparency in what is said and allows the interviewer to focus on the interview and doing it well and guarding against bias. However, time and cost limitations mean that transcribing all interviews was not an option. The common strategy in evaluations in such situations is </w:t>
      </w:r>
      <w:r w:rsidR="00B8579D">
        <w:t xml:space="preserve">for </w:t>
      </w:r>
      <w:r>
        <w:t xml:space="preserve">the interviewer to write notes during the interview, and then </w:t>
      </w:r>
      <w:r w:rsidR="00B8579D">
        <w:t xml:space="preserve">use </w:t>
      </w:r>
      <w:r>
        <w:t>these to write up the interview. But there are considerable risks to validity in this strategy</w:t>
      </w:r>
      <w:r w:rsidR="00B8579D">
        <w:t xml:space="preserve">, </w:t>
      </w:r>
      <w:r>
        <w:t xml:space="preserve">especially for rich, semi-structured interviews. There is also no scope for transparency and review of what has been recorded, so its accuracy depends on how well the interviewer can simultaneously engage in an interview and take notes, the accuracy of their understanding of what is being said and their ability to overcome cognitive biases, such as finding it easier to remember things that fit with one's own views. To overcome this we adopted two strategies: </w:t>
      </w:r>
    </w:p>
    <w:p w14:paraId="77CC400F" w14:textId="77777777" w:rsidR="0090729C" w:rsidRDefault="0090729C" w:rsidP="0090729C">
      <w:pPr>
        <w:jc w:val="both"/>
      </w:pPr>
    </w:p>
    <w:p w14:paraId="71C26F2A" w14:textId="1E8C6C7C" w:rsidR="0090729C" w:rsidRDefault="0090729C" w:rsidP="00C6374D">
      <w:pPr>
        <w:pStyle w:val="ListParagraph"/>
        <w:numPr>
          <w:ilvl w:val="0"/>
          <w:numId w:val="74"/>
        </w:numPr>
        <w:spacing w:after="200" w:line="276" w:lineRule="auto"/>
        <w:jc w:val="both"/>
      </w:pPr>
      <w:r>
        <w:t>Recording interviews (where permission from the KI was provided) and then writ</w:t>
      </w:r>
      <w:r w:rsidR="005A7C0E">
        <w:t>ing</w:t>
      </w:r>
      <w:r>
        <w:t xml:space="preserve"> up notes afterwards based on the recording. Written notes </w:t>
      </w:r>
      <w:r w:rsidR="005A7C0E">
        <w:t>were</w:t>
      </w:r>
      <w:r>
        <w:t xml:space="preserve"> also taken during this process as </w:t>
      </w:r>
      <w:r w:rsidR="00C51677">
        <w:t xml:space="preserve">a </w:t>
      </w:r>
      <w:r>
        <w:t xml:space="preserve">backup in case of technical issues. </w:t>
      </w:r>
    </w:p>
    <w:p w14:paraId="260D8F04" w14:textId="1F16442F" w:rsidR="0090729C" w:rsidRPr="006E7ECD" w:rsidRDefault="00116155" w:rsidP="00C6374D">
      <w:pPr>
        <w:pStyle w:val="ListParagraph"/>
        <w:numPr>
          <w:ilvl w:val="0"/>
          <w:numId w:val="74"/>
        </w:numPr>
        <w:tabs>
          <w:tab w:val="left" w:pos="680"/>
        </w:tabs>
        <w:spacing w:after="200" w:line="276" w:lineRule="auto"/>
        <w:jc w:val="both"/>
        <w:rPr>
          <w:rFonts w:cs="Calibri"/>
        </w:rPr>
      </w:pPr>
      <w:r>
        <w:rPr>
          <w:rFonts w:eastAsia="Times New Roman"/>
          <w:color w:val="000000"/>
        </w:rPr>
        <w:t>Notes were made</w:t>
      </w:r>
      <w:r w:rsidR="0090729C" w:rsidRPr="1CE87FA5">
        <w:rPr>
          <w:rFonts w:eastAsia="Times New Roman"/>
          <w:color w:val="000000"/>
        </w:rPr>
        <w:t xml:space="preserve"> of important points and quotes </w:t>
      </w:r>
      <w:r w:rsidR="005A7C0E">
        <w:rPr>
          <w:rFonts w:eastAsia="Times New Roman"/>
          <w:color w:val="000000"/>
        </w:rPr>
        <w:t>made</w:t>
      </w:r>
      <w:r>
        <w:rPr>
          <w:rFonts w:eastAsia="Times New Roman"/>
          <w:color w:val="000000"/>
        </w:rPr>
        <w:t xml:space="preserve"> </w:t>
      </w:r>
      <w:r w:rsidR="0090729C" w:rsidRPr="1CE87FA5">
        <w:rPr>
          <w:rFonts w:eastAsia="Times New Roman"/>
          <w:color w:val="000000"/>
        </w:rPr>
        <w:t xml:space="preserve">during the interview, but at the end </w:t>
      </w:r>
      <w:r w:rsidR="0090729C" w:rsidRPr="1CE87FA5">
        <w:rPr>
          <w:color w:val="000000"/>
        </w:rPr>
        <w:t xml:space="preserve">of the interview, we took a few moments to go back through the notes with </w:t>
      </w:r>
      <w:r>
        <w:rPr>
          <w:color w:val="000000"/>
        </w:rPr>
        <w:t>key informants</w:t>
      </w:r>
      <w:r w:rsidR="0090729C" w:rsidRPr="1CE87FA5">
        <w:rPr>
          <w:color w:val="000000"/>
        </w:rPr>
        <w:t xml:space="preserve">, validating and confirming </w:t>
      </w:r>
      <w:r w:rsidR="00C51677">
        <w:rPr>
          <w:color w:val="000000"/>
        </w:rPr>
        <w:t xml:space="preserve">the </w:t>
      </w:r>
      <w:r w:rsidR="0090729C" w:rsidRPr="1CE87FA5">
        <w:rPr>
          <w:color w:val="000000"/>
        </w:rPr>
        <w:t>correct understanding of</w:t>
      </w:r>
      <w:r w:rsidR="00C51677">
        <w:rPr>
          <w:color w:val="000000"/>
        </w:rPr>
        <w:t xml:space="preserve"> the</w:t>
      </w:r>
      <w:r w:rsidR="0090729C" w:rsidRPr="1CE87FA5">
        <w:rPr>
          <w:color w:val="000000"/>
        </w:rPr>
        <w:t xml:space="preserve"> points raised. </w:t>
      </w:r>
    </w:p>
    <w:p w14:paraId="1EC7462E" w14:textId="5BDEFD4B" w:rsidR="006E7ECD" w:rsidRDefault="0090729C" w:rsidP="00AA6025">
      <w:pPr>
        <w:pStyle w:val="FFNormal"/>
      </w:pPr>
      <w:r w:rsidRPr="00AA6025">
        <w:t>KIIs lasted between 60 and 90 minutes, following verbal consent obtained at the start of each interview. We produced tailored KII guides that could be covered within this time, and which we reviewed and revised based on experience in the two pilot countries. However, as some KI categories were of such central importance to our data collection, it wa</w:t>
      </w:r>
      <w:r w:rsidR="00E24215" w:rsidRPr="00AA6025">
        <w:t>s</w:t>
      </w:r>
      <w:r w:rsidRPr="00AA6025">
        <w:t xml:space="preserve"> necessary at times to ask for more of their time (either at once, or through repeated interactions). These categories included – </w:t>
      </w:r>
      <w:r w:rsidR="00F22188" w:rsidRPr="00AA6025">
        <w:t>CGs</w:t>
      </w:r>
      <w:r w:rsidRPr="00AA6025">
        <w:t>, MA RTs, Fleming Fellows.</w:t>
      </w:r>
      <w:r w:rsidR="00B872F7" w:rsidRPr="00AA6025">
        <w:t xml:space="preserve"> </w:t>
      </w:r>
      <w:r w:rsidR="00E24215" w:rsidRPr="00AA6025">
        <w:t xml:space="preserve">A shortlist </w:t>
      </w:r>
      <w:r w:rsidR="00CF22D5">
        <w:t xml:space="preserve">of questions </w:t>
      </w:r>
      <w:r w:rsidR="00E24215" w:rsidRPr="00AA6025">
        <w:t xml:space="preserve">was developed according to each stakeholder prior to the interview, based on the allocation of </w:t>
      </w:r>
      <w:r w:rsidR="00DB78BE" w:rsidRPr="00AA6025">
        <w:t>country</w:t>
      </w:r>
      <w:r w:rsidR="00E24215" w:rsidRPr="00AA6025">
        <w:t xml:space="preserve"> teams</w:t>
      </w:r>
      <w:r w:rsidRPr="00AA6025">
        <w:t xml:space="preserve"> tweaked questions</w:t>
      </w:r>
      <w:r w:rsidR="00AA6025" w:rsidRPr="00AA6025">
        <w:t>,</w:t>
      </w:r>
      <w:r w:rsidRPr="00AA6025">
        <w:t xml:space="preserve"> and asked relevant probes based on existing gaps and needs of different thematic approaches.</w:t>
      </w:r>
    </w:p>
    <w:p w14:paraId="021DF2FE" w14:textId="77777777" w:rsidR="0090729C" w:rsidRDefault="0090729C" w:rsidP="0090729C">
      <w:pPr>
        <w:pStyle w:val="ItadH3Numbered"/>
        <w:numPr>
          <w:ilvl w:val="2"/>
          <w:numId w:val="0"/>
        </w:numPr>
        <w:spacing w:line="259" w:lineRule="auto"/>
        <w:rPr>
          <w:rFonts w:eastAsia="Calibri" w:cs="Calibri"/>
        </w:rPr>
      </w:pPr>
      <w:bookmarkStart w:id="93" w:name="_Toc118968510"/>
      <w:bookmarkStart w:id="94" w:name="_Toc142383151"/>
      <w:r w:rsidRPr="1C732485">
        <w:rPr>
          <w:rFonts w:eastAsia="Calibri" w:cs="Calibri"/>
        </w:rPr>
        <w:t>Site visits</w:t>
      </w:r>
      <w:bookmarkEnd w:id="93"/>
      <w:bookmarkEnd w:id="94"/>
    </w:p>
    <w:p w14:paraId="64245E1C" w14:textId="02E7B0DE" w:rsidR="00E44881" w:rsidRDefault="0090729C" w:rsidP="00AA6025">
      <w:pPr>
        <w:pStyle w:val="FFNormal"/>
        <w:rPr>
          <w:lang w:val="en-US"/>
        </w:rPr>
      </w:pPr>
      <w:r w:rsidRPr="1CE87FA5">
        <w:rPr>
          <w:lang w:val="en-US"/>
        </w:rPr>
        <w:t xml:space="preserve">The country-level data collection incorporated a </w:t>
      </w:r>
      <w:r>
        <w:t xml:space="preserve">limited number of site visits (where </w:t>
      </w:r>
      <w:r w:rsidR="0075181D">
        <w:t>COVID-</w:t>
      </w:r>
      <w:r>
        <w:t xml:space="preserve">19 restrictions did not prevent travel within a country or face-to-face meetings). The country teams worked with the CG in each country to identify the most appropriate sites to visit during </w:t>
      </w:r>
      <w:r w:rsidRPr="1CE87FA5">
        <w:rPr>
          <w:lang w:val="en-US"/>
        </w:rPr>
        <w:t xml:space="preserve">country-level data collection, drawing on the criteria outlined below. The site visit </w:t>
      </w:r>
      <w:r w:rsidR="0075181D" w:rsidRPr="1CE87FA5">
        <w:rPr>
          <w:lang w:val="en-US"/>
        </w:rPr>
        <w:t>include</w:t>
      </w:r>
      <w:r w:rsidR="0075181D">
        <w:rPr>
          <w:lang w:val="en-US"/>
        </w:rPr>
        <w:t>d</w:t>
      </w:r>
      <w:r w:rsidRPr="1CE87FA5">
        <w:rPr>
          <w:lang w:val="en-US"/>
        </w:rPr>
        <w:t xml:space="preserve"> a tour of the facility, KIIs and photography of equipment, lab</w:t>
      </w:r>
      <w:r w:rsidR="0075181D">
        <w:rPr>
          <w:lang w:val="en-US"/>
        </w:rPr>
        <w:t>oratory</w:t>
      </w:r>
      <w:r w:rsidRPr="1CE87FA5">
        <w:rPr>
          <w:lang w:val="en-US"/>
        </w:rPr>
        <w:t xml:space="preserve"> space and renovation work</w:t>
      </w:r>
      <w:r w:rsidR="00C05B48">
        <w:rPr>
          <w:lang w:val="en-US"/>
        </w:rPr>
        <w:t xml:space="preserve"> </w:t>
      </w:r>
      <w:r w:rsidR="00C05B48" w:rsidRPr="479E0EEA">
        <w:rPr>
          <w:rFonts w:cs="Calibri"/>
        </w:rPr>
        <w:t xml:space="preserve">(including of equipment that is yet to be installed/does not fit specifications, if that </w:t>
      </w:r>
      <w:r w:rsidR="0075181D">
        <w:rPr>
          <w:rFonts w:cs="Calibri"/>
        </w:rPr>
        <w:t>was</w:t>
      </w:r>
      <w:r w:rsidR="0075181D" w:rsidRPr="479E0EEA">
        <w:rPr>
          <w:rFonts w:cs="Calibri"/>
        </w:rPr>
        <w:t xml:space="preserve"> </w:t>
      </w:r>
      <w:r w:rsidR="00C05B48" w:rsidRPr="479E0EEA">
        <w:rPr>
          <w:rFonts w:cs="Calibri"/>
        </w:rPr>
        <w:t>the case</w:t>
      </w:r>
      <w:r w:rsidR="00C05B48" w:rsidRPr="7F3BC40A">
        <w:rPr>
          <w:rFonts w:cs="Calibri"/>
        </w:rPr>
        <w:t>)</w:t>
      </w:r>
      <w:r w:rsidRPr="1CE87FA5">
        <w:rPr>
          <w:lang w:val="en-US"/>
        </w:rPr>
        <w:t>.</w:t>
      </w:r>
      <w:r w:rsidR="00C05B48">
        <w:rPr>
          <w:lang w:val="en-US"/>
        </w:rPr>
        <w:t xml:space="preserve"> The photos were included in the country visit debriefs. </w:t>
      </w:r>
    </w:p>
    <w:p w14:paraId="296026EB" w14:textId="49DEAA84" w:rsidR="00E44881" w:rsidRDefault="00E44881" w:rsidP="00C04C3C">
      <w:pPr>
        <w:pStyle w:val="ItadCaption"/>
      </w:pPr>
      <w:bookmarkStart w:id="95" w:name="_Toc143857878"/>
      <w:r>
        <w:t xml:space="preserve">Table </w:t>
      </w:r>
      <w:r>
        <w:fldChar w:fldCharType="begin"/>
      </w:r>
      <w:r>
        <w:instrText>SEQ Table \* ARABIC</w:instrText>
      </w:r>
      <w:r>
        <w:fldChar w:fldCharType="separate"/>
      </w:r>
      <w:r w:rsidR="009A383C">
        <w:rPr>
          <w:noProof/>
        </w:rPr>
        <w:t>10</w:t>
      </w:r>
      <w:r>
        <w:fldChar w:fldCharType="end"/>
      </w:r>
      <w:r w:rsidR="00F940FA">
        <w:t xml:space="preserve"> </w:t>
      </w:r>
      <w:r w:rsidRPr="007E196C">
        <w:t>Criteria for selecting sites to be visited</w:t>
      </w:r>
      <w:bookmarkEnd w:id="95"/>
    </w:p>
    <w:tbl>
      <w:tblPr>
        <w:tblStyle w:val="ItadGreenHeaderRow"/>
        <w:tblW w:w="5000" w:type="pct"/>
        <w:tblInd w:w="0" w:type="dxa"/>
        <w:tblLook w:val="06A0" w:firstRow="1" w:lastRow="0" w:firstColumn="1" w:lastColumn="0" w:noHBand="1" w:noVBand="1"/>
      </w:tblPr>
      <w:tblGrid>
        <w:gridCol w:w="9508"/>
      </w:tblGrid>
      <w:tr w:rsidR="001E6808" w:rsidRPr="001E6808" w14:paraId="45511BB8" w14:textId="77777777" w:rsidTr="00BB4743">
        <w:trPr>
          <w:cnfStyle w:val="100000000000" w:firstRow="1" w:lastRow="0" w:firstColumn="0" w:lastColumn="0" w:oddVBand="0" w:evenVBand="0" w:oddHBand="0" w:evenHBand="0" w:firstRowFirstColumn="0" w:firstRowLastColumn="0" w:lastRowFirstColumn="0" w:lastRowLastColumn="0"/>
          <w:trHeight w:val="20"/>
        </w:trPr>
        <w:tc>
          <w:tcPr>
            <w:tcW w:w="5000" w:type="pct"/>
          </w:tcPr>
          <w:p w14:paraId="7DDE0AE0" w14:textId="5221E14B" w:rsidR="00265143" w:rsidRPr="007F63EF" w:rsidRDefault="00265143" w:rsidP="00265143">
            <w:pPr>
              <w:spacing w:line="259" w:lineRule="auto"/>
              <w:rPr>
                <w:b/>
                <w:bCs/>
                <w:color w:val="auto"/>
              </w:rPr>
            </w:pPr>
            <w:r w:rsidRPr="001E6808">
              <w:rPr>
                <w:b/>
                <w:bCs/>
                <w:color w:val="auto"/>
                <w:sz w:val="20"/>
                <w:szCs w:val="20"/>
              </w:rPr>
              <w:t>Criteria for site visit selection</w:t>
            </w:r>
          </w:p>
        </w:tc>
      </w:tr>
      <w:tr w:rsidR="001E6808" w:rsidRPr="001E6808" w14:paraId="67CA796C" w14:textId="77777777" w:rsidTr="005A32AD">
        <w:trPr>
          <w:trHeight w:val="20"/>
        </w:trPr>
        <w:tc>
          <w:tcPr>
            <w:tcW w:w="5000" w:type="pct"/>
            <w:shd w:val="clear" w:color="auto" w:fill="auto"/>
          </w:tcPr>
          <w:p w14:paraId="53A12A73" w14:textId="443864CD" w:rsidR="00265143" w:rsidRPr="007F63EF" w:rsidRDefault="00265143" w:rsidP="00265143">
            <w:pPr>
              <w:rPr>
                <w:rFonts w:eastAsia="Calibri" w:cs="Calibri"/>
                <w:color w:val="auto"/>
                <w:sz w:val="20"/>
                <w:szCs w:val="20"/>
              </w:rPr>
            </w:pPr>
            <w:r w:rsidRPr="001E6808">
              <w:rPr>
                <w:rFonts w:eastAsia="Calibri" w:cs="Calibri"/>
                <w:sz w:val="20"/>
                <w:szCs w:val="20"/>
              </w:rPr>
              <w:t>At least one HH and one AH surveillance site should be visited; ideally two or three for each sector. It may be preferable therefore to focus on sites where HH and AH are supported in the same location and sites that are easy to reach.</w:t>
            </w:r>
          </w:p>
        </w:tc>
      </w:tr>
      <w:tr w:rsidR="001E6808" w:rsidRPr="001E6808" w14:paraId="25869D89" w14:textId="77777777" w:rsidTr="005A32AD">
        <w:trPr>
          <w:trHeight w:val="20"/>
        </w:trPr>
        <w:tc>
          <w:tcPr>
            <w:tcW w:w="5000" w:type="pct"/>
            <w:shd w:val="clear" w:color="auto" w:fill="auto"/>
          </w:tcPr>
          <w:p w14:paraId="5DA10F61" w14:textId="780275A1" w:rsidR="00265143" w:rsidRPr="007F63EF" w:rsidRDefault="00265143" w:rsidP="00265143">
            <w:pPr>
              <w:rPr>
                <w:rFonts w:eastAsia="Calibri" w:cs="Calibri"/>
                <w:color w:val="auto"/>
                <w:sz w:val="20"/>
                <w:szCs w:val="20"/>
              </w:rPr>
            </w:pPr>
            <w:r w:rsidRPr="001E6808">
              <w:rPr>
                <w:rFonts w:eastAsia="Calibri" w:cs="Calibri"/>
                <w:sz w:val="20"/>
                <w:szCs w:val="20"/>
              </w:rPr>
              <w:t>Sites that have received investment in either physical infrastructure/renovation or equipment; and or training.</w:t>
            </w:r>
          </w:p>
        </w:tc>
      </w:tr>
      <w:tr w:rsidR="001E6808" w:rsidRPr="001E6808" w14:paraId="1E2D7FFC" w14:textId="77777777" w:rsidTr="005A32AD">
        <w:trPr>
          <w:trHeight w:val="20"/>
        </w:trPr>
        <w:tc>
          <w:tcPr>
            <w:tcW w:w="5000" w:type="pct"/>
            <w:shd w:val="clear" w:color="auto" w:fill="auto"/>
          </w:tcPr>
          <w:p w14:paraId="385668D0" w14:textId="50D807DB" w:rsidR="00265143" w:rsidRPr="007F63EF" w:rsidRDefault="00265143" w:rsidP="00265143">
            <w:pPr>
              <w:rPr>
                <w:rFonts w:eastAsia="Calibri" w:cs="Calibri"/>
                <w:color w:val="auto"/>
                <w:sz w:val="20"/>
                <w:szCs w:val="20"/>
              </w:rPr>
            </w:pPr>
            <w:r w:rsidRPr="001E6808">
              <w:rPr>
                <w:rFonts w:eastAsia="Calibri" w:cs="Calibri"/>
                <w:sz w:val="20"/>
                <w:szCs w:val="20"/>
              </w:rPr>
              <w:t>Sites that have a Quality Manager in place</w:t>
            </w:r>
          </w:p>
        </w:tc>
      </w:tr>
      <w:tr w:rsidR="001E6808" w:rsidRPr="001E6808" w14:paraId="4418F1AC" w14:textId="77777777" w:rsidTr="005A32AD">
        <w:trPr>
          <w:trHeight w:val="20"/>
        </w:trPr>
        <w:tc>
          <w:tcPr>
            <w:tcW w:w="5000" w:type="pct"/>
            <w:shd w:val="clear" w:color="auto" w:fill="auto"/>
          </w:tcPr>
          <w:p w14:paraId="5293ABC8" w14:textId="6F45096B" w:rsidR="00265143" w:rsidRPr="007F63EF" w:rsidRDefault="00265143" w:rsidP="00265143">
            <w:pPr>
              <w:rPr>
                <w:rFonts w:eastAsia="Calibri" w:cs="Calibri"/>
                <w:color w:val="auto"/>
                <w:sz w:val="20"/>
                <w:szCs w:val="20"/>
              </w:rPr>
            </w:pPr>
            <w:r w:rsidRPr="001E6808">
              <w:rPr>
                <w:rFonts w:eastAsia="Calibri" w:cs="Calibri"/>
                <w:sz w:val="20"/>
                <w:szCs w:val="20"/>
              </w:rPr>
              <w:t xml:space="preserve">Sites that can be expected to have implemented </w:t>
            </w:r>
            <w:r w:rsidR="00BC52F2" w:rsidRPr="001E6808">
              <w:rPr>
                <w:rFonts w:eastAsia="Calibri" w:cs="Calibri"/>
                <w:sz w:val="20"/>
                <w:szCs w:val="20"/>
              </w:rPr>
              <w:t>Standard Operating Procedure</w:t>
            </w:r>
            <w:r w:rsidR="0075181D" w:rsidRPr="001E6808">
              <w:rPr>
                <w:rFonts w:eastAsia="Calibri" w:cs="Calibri"/>
                <w:sz w:val="20"/>
                <w:szCs w:val="20"/>
              </w:rPr>
              <w:t>s</w:t>
            </w:r>
            <w:r w:rsidR="00BC52F2" w:rsidRPr="001E6808">
              <w:rPr>
                <w:rFonts w:eastAsia="Calibri" w:cs="Calibri"/>
                <w:sz w:val="20"/>
                <w:szCs w:val="20"/>
              </w:rPr>
              <w:t xml:space="preserve"> (</w:t>
            </w:r>
            <w:r w:rsidRPr="001E6808">
              <w:rPr>
                <w:rFonts w:eastAsia="Calibri" w:cs="Calibri"/>
                <w:sz w:val="20"/>
                <w:szCs w:val="20"/>
              </w:rPr>
              <w:t>SOP</w:t>
            </w:r>
            <w:r w:rsidR="00BC52F2" w:rsidRPr="001E6808">
              <w:rPr>
                <w:rFonts w:eastAsia="Calibri" w:cs="Calibri"/>
                <w:sz w:val="20"/>
                <w:szCs w:val="20"/>
              </w:rPr>
              <w:t>)s</w:t>
            </w:r>
            <w:r w:rsidRPr="001E6808">
              <w:rPr>
                <w:rFonts w:eastAsia="Calibri" w:cs="Calibri"/>
                <w:sz w:val="20"/>
                <w:szCs w:val="20"/>
              </w:rPr>
              <w:t xml:space="preserve"> developed through </w:t>
            </w:r>
            <w:r w:rsidR="00F21D1C" w:rsidRPr="001E6808">
              <w:rPr>
                <w:rFonts w:eastAsia="Calibri" w:cs="Calibri"/>
                <w:sz w:val="20"/>
                <w:szCs w:val="20"/>
              </w:rPr>
              <w:t xml:space="preserve">Fleming Fund </w:t>
            </w:r>
            <w:r w:rsidRPr="001E6808">
              <w:rPr>
                <w:rFonts w:eastAsia="Calibri" w:cs="Calibri"/>
                <w:sz w:val="20"/>
                <w:szCs w:val="20"/>
              </w:rPr>
              <w:t>support</w:t>
            </w:r>
          </w:p>
        </w:tc>
      </w:tr>
      <w:tr w:rsidR="001E6808" w:rsidRPr="001E6808" w14:paraId="71DDE562" w14:textId="77777777" w:rsidTr="005A32AD">
        <w:trPr>
          <w:trHeight w:val="20"/>
        </w:trPr>
        <w:tc>
          <w:tcPr>
            <w:tcW w:w="5000" w:type="pct"/>
            <w:shd w:val="clear" w:color="auto" w:fill="auto"/>
          </w:tcPr>
          <w:p w14:paraId="0BFC2DC7" w14:textId="4BB821D8" w:rsidR="00265143" w:rsidRPr="007F63EF" w:rsidRDefault="00265143" w:rsidP="00265143">
            <w:pPr>
              <w:rPr>
                <w:rFonts w:eastAsia="Calibri" w:cs="Calibri"/>
                <w:color w:val="auto"/>
                <w:sz w:val="20"/>
                <w:szCs w:val="20"/>
              </w:rPr>
            </w:pPr>
            <w:r w:rsidRPr="001E6808">
              <w:rPr>
                <w:rFonts w:eastAsia="Calibri" w:cs="Calibri"/>
                <w:sz w:val="20"/>
                <w:szCs w:val="20"/>
              </w:rPr>
              <w:t>Sites that have given examples of use at facility level</w:t>
            </w:r>
          </w:p>
        </w:tc>
      </w:tr>
    </w:tbl>
    <w:p w14:paraId="056DBBFB" w14:textId="77777777" w:rsidR="008833AF" w:rsidRPr="00441A58" w:rsidRDefault="008833AF" w:rsidP="00441A58"/>
    <w:p w14:paraId="750744C0" w14:textId="152E988C" w:rsidR="0090729C" w:rsidRDefault="0090729C" w:rsidP="0090729C">
      <w:pPr>
        <w:pStyle w:val="ItadH2"/>
        <w:tabs>
          <w:tab w:val="num" w:pos="680"/>
          <w:tab w:val="left" w:pos="907"/>
          <w:tab w:val="left" w:pos="680"/>
        </w:tabs>
        <w:spacing w:line="259" w:lineRule="auto"/>
      </w:pPr>
      <w:bookmarkStart w:id="96" w:name="_Toc118968511"/>
      <w:bookmarkStart w:id="97" w:name="_Toc142383152"/>
      <w:r>
        <w:t>Global</w:t>
      </w:r>
      <w:r w:rsidR="00B6022A">
        <w:t xml:space="preserve"> and </w:t>
      </w:r>
      <w:r>
        <w:t xml:space="preserve">Regional Grants </w:t>
      </w:r>
      <w:r w:rsidR="00764EB0">
        <w:t>a</w:t>
      </w:r>
      <w:r>
        <w:t>nalysis</w:t>
      </w:r>
      <w:bookmarkEnd w:id="96"/>
      <w:bookmarkEnd w:id="97"/>
    </w:p>
    <w:p w14:paraId="32E569D8" w14:textId="09BF202C" w:rsidR="0090729C" w:rsidRPr="008239CE" w:rsidRDefault="00B6022A" w:rsidP="004317EB">
      <w:pPr>
        <w:pStyle w:val="ItadH3"/>
        <w:rPr>
          <w:lang w:val="en-GB"/>
        </w:rPr>
      </w:pPr>
      <w:bookmarkStart w:id="98" w:name="_Toc118968512"/>
      <w:bookmarkStart w:id="99" w:name="_Toc142383153"/>
      <w:r>
        <w:rPr>
          <w:lang w:val="en-GB"/>
        </w:rPr>
        <w:t xml:space="preserve">Global and </w:t>
      </w:r>
      <w:r w:rsidR="008833AF" w:rsidRPr="008239CE">
        <w:rPr>
          <w:lang w:val="en-GB"/>
        </w:rPr>
        <w:t>Regional</w:t>
      </w:r>
      <w:r w:rsidR="0090729C" w:rsidRPr="008239CE">
        <w:rPr>
          <w:lang w:val="en-GB"/>
        </w:rPr>
        <w:t xml:space="preserve"> Grants Document review</w:t>
      </w:r>
      <w:bookmarkEnd w:id="98"/>
      <w:bookmarkEnd w:id="99"/>
    </w:p>
    <w:p w14:paraId="16AC85A6" w14:textId="15F2555B" w:rsidR="0090729C" w:rsidRDefault="0090729C" w:rsidP="0090729C">
      <w:pPr>
        <w:pStyle w:val="ItadNormalText"/>
        <w:rPr>
          <w:rFonts w:cs="Calibri"/>
        </w:rPr>
      </w:pPr>
      <w:r w:rsidRPr="1C732485">
        <w:rPr>
          <w:rFonts w:cs="Calibri"/>
        </w:rPr>
        <w:t xml:space="preserve">In addition to the country visits, data collection was also carried out at a </w:t>
      </w:r>
      <w:r w:rsidR="00B6022A" w:rsidRPr="1C732485">
        <w:rPr>
          <w:rFonts w:cs="Calibri"/>
        </w:rPr>
        <w:t>g</w:t>
      </w:r>
      <w:r w:rsidR="00B6022A">
        <w:rPr>
          <w:rFonts w:cs="Calibri"/>
        </w:rPr>
        <w:t>lobal and r</w:t>
      </w:r>
      <w:r w:rsidRPr="1C732485">
        <w:rPr>
          <w:rFonts w:cs="Calibri"/>
        </w:rPr>
        <w:t xml:space="preserve">egional </w:t>
      </w:r>
      <w:r w:rsidR="00B6022A">
        <w:rPr>
          <w:rFonts w:cs="Calibri"/>
        </w:rPr>
        <w:t xml:space="preserve">grant </w:t>
      </w:r>
      <w:r w:rsidRPr="1C732485">
        <w:rPr>
          <w:rFonts w:cs="Calibri"/>
        </w:rPr>
        <w:t>level. Regional and global data collection consisted of</w:t>
      </w:r>
      <w:r w:rsidR="00CB1843" w:rsidRPr="1C732485">
        <w:rPr>
          <w:rFonts w:cs="Calibri"/>
        </w:rPr>
        <w:t xml:space="preserve"> document</w:t>
      </w:r>
      <w:r w:rsidRPr="1C732485">
        <w:rPr>
          <w:rFonts w:cs="Calibri"/>
        </w:rPr>
        <w:t xml:space="preserve"> reviews and KIIs. </w:t>
      </w:r>
    </w:p>
    <w:p w14:paraId="5AF382F5" w14:textId="0CC14793" w:rsidR="0090729C" w:rsidRDefault="0090729C" w:rsidP="0090729C">
      <w:pPr>
        <w:pStyle w:val="ItadNormalText"/>
        <w:tabs>
          <w:tab w:val="num" w:pos="680"/>
          <w:tab w:val="left" w:pos="907"/>
          <w:tab w:val="left" w:pos="680"/>
        </w:tabs>
      </w:pPr>
      <w:r w:rsidRPr="1C732485">
        <w:t xml:space="preserve">Documents were collated by </w:t>
      </w:r>
      <w:r w:rsidR="00CC7597">
        <w:t>Itad</w:t>
      </w:r>
      <w:r w:rsidRPr="1C732485">
        <w:t>, working with the MA team. R</w:t>
      </w:r>
      <w:r w:rsidR="0094558D">
        <w:t xml:space="preserve">esearch </w:t>
      </w:r>
      <w:r w:rsidR="00245555">
        <w:t>analysts</w:t>
      </w:r>
      <w:r w:rsidR="0094558D">
        <w:t xml:space="preserve"> (R</w:t>
      </w:r>
      <w:r w:rsidRPr="1C732485">
        <w:t>A</w:t>
      </w:r>
      <w:r w:rsidR="00245555">
        <w:t>s</w:t>
      </w:r>
      <w:r w:rsidR="0094558D">
        <w:t>)</w:t>
      </w:r>
      <w:r w:rsidRPr="1C732485">
        <w:t xml:space="preserve"> assigned to specific grants reviewed these documents and filled the coding workbook, according to the set codes. </w:t>
      </w:r>
    </w:p>
    <w:p w14:paraId="4AF3E1C5" w14:textId="63BFE72E" w:rsidR="0090729C" w:rsidRDefault="0090729C" w:rsidP="0090729C">
      <w:pPr>
        <w:pStyle w:val="ItadNormalText"/>
        <w:tabs>
          <w:tab w:val="num" w:pos="680"/>
          <w:tab w:val="left" w:pos="907"/>
          <w:tab w:val="left" w:pos="680"/>
        </w:tabs>
      </w:pPr>
      <w:r w:rsidRPr="1C732485">
        <w:t>The table below presents the grants that each review focused on.</w:t>
      </w:r>
    </w:p>
    <w:p w14:paraId="0EBC2167" w14:textId="13DFA9EB" w:rsidR="00E809F9" w:rsidRDefault="00E809F9" w:rsidP="00C04C3C">
      <w:pPr>
        <w:pStyle w:val="ItadCaption"/>
      </w:pPr>
      <w:bookmarkStart w:id="100" w:name="_Toc143857879"/>
      <w:r>
        <w:t xml:space="preserve">Table </w:t>
      </w:r>
      <w:r>
        <w:fldChar w:fldCharType="begin"/>
      </w:r>
      <w:r>
        <w:instrText>SEQ Table \* ARABIC</w:instrText>
      </w:r>
      <w:r>
        <w:fldChar w:fldCharType="separate"/>
      </w:r>
      <w:r w:rsidR="009A383C">
        <w:rPr>
          <w:noProof/>
        </w:rPr>
        <w:t>11</w:t>
      </w:r>
      <w:r>
        <w:fldChar w:fldCharType="end"/>
      </w:r>
      <w:r>
        <w:t xml:space="preserve"> Direct and regional grants reviewed</w:t>
      </w:r>
      <w:bookmarkEnd w:id="100"/>
    </w:p>
    <w:tbl>
      <w:tblPr>
        <w:tblStyle w:val="Itadalternaterows"/>
        <w:tblW w:w="5000" w:type="pct"/>
        <w:tblInd w:w="0" w:type="dxa"/>
        <w:tblLook w:val="06A0" w:firstRow="1" w:lastRow="0" w:firstColumn="1" w:lastColumn="0" w:noHBand="1" w:noVBand="1"/>
      </w:tblPr>
      <w:tblGrid>
        <w:gridCol w:w="4634"/>
        <w:gridCol w:w="4874"/>
      </w:tblGrid>
      <w:tr w:rsidR="00921D8B" w:rsidRPr="00FC4B42" w14:paraId="3377069B" w14:textId="77777777" w:rsidTr="00BB4743">
        <w:trPr>
          <w:cnfStyle w:val="100000000000" w:firstRow="1" w:lastRow="0" w:firstColumn="0" w:lastColumn="0" w:oddVBand="0" w:evenVBand="0" w:oddHBand="0" w:evenHBand="0" w:firstRowFirstColumn="0" w:firstRowLastColumn="0" w:lastRowFirstColumn="0" w:lastRowLastColumn="0"/>
          <w:trHeight w:val="30"/>
          <w:tblHeader/>
        </w:trPr>
        <w:tc>
          <w:tcPr>
            <w:tcW w:w="0" w:type="pct"/>
          </w:tcPr>
          <w:p w14:paraId="09292A92" w14:textId="77777777" w:rsidR="00AE6B88" w:rsidRPr="00FC4B42" w:rsidRDefault="00AE6B88">
            <w:pPr>
              <w:spacing w:line="259" w:lineRule="auto"/>
              <w:rPr>
                <w:sz w:val="20"/>
                <w:szCs w:val="20"/>
              </w:rPr>
            </w:pPr>
            <w:r w:rsidRPr="00BB4743">
              <w:rPr>
                <w:rFonts w:eastAsia="Calibri" w:cs="Calibri"/>
                <w:b/>
                <w:color w:val="auto"/>
                <w:sz w:val="20"/>
                <w:szCs w:val="20"/>
              </w:rPr>
              <w:t>Direct Grants Review</w:t>
            </w:r>
          </w:p>
        </w:tc>
        <w:tc>
          <w:tcPr>
            <w:tcW w:w="0" w:type="pct"/>
          </w:tcPr>
          <w:p w14:paraId="04A8CFDF" w14:textId="6D76023F" w:rsidR="00AE6B88" w:rsidRPr="00BB4743" w:rsidRDefault="00AE6B88" w:rsidP="00FC4B42">
            <w:pPr>
              <w:spacing w:line="259" w:lineRule="auto"/>
              <w:rPr>
                <w:rFonts w:eastAsia="Calibri" w:cs="Calibri"/>
                <w:b/>
                <w:sz w:val="20"/>
                <w:szCs w:val="20"/>
              </w:rPr>
            </w:pPr>
            <w:r w:rsidRPr="00BB4743">
              <w:rPr>
                <w:rFonts w:eastAsia="Calibri" w:cs="Calibri"/>
                <w:b/>
                <w:color w:val="auto"/>
                <w:sz w:val="20"/>
                <w:szCs w:val="20"/>
              </w:rPr>
              <w:t>Regional Grants Review</w:t>
            </w:r>
          </w:p>
        </w:tc>
      </w:tr>
      <w:tr w:rsidR="00921D8B" w:rsidRPr="00FC4B42" w14:paraId="37CFC92E" w14:textId="77777777" w:rsidTr="005A32AD">
        <w:trPr>
          <w:trHeight w:val="427"/>
        </w:trPr>
        <w:tc>
          <w:tcPr>
            <w:tcW w:w="2437" w:type="pct"/>
            <w:shd w:val="clear" w:color="auto" w:fill="auto"/>
          </w:tcPr>
          <w:p w14:paraId="78452B97" w14:textId="63411E33" w:rsidR="00AE6B88" w:rsidRPr="00BB4743" w:rsidRDefault="00CE59BF">
            <w:pPr>
              <w:rPr>
                <w:rFonts w:eastAsia="Calibri" w:cs="Calibri"/>
                <w:sz w:val="20"/>
                <w:szCs w:val="20"/>
              </w:rPr>
            </w:pPr>
            <w:r w:rsidRPr="00BB4743">
              <w:rPr>
                <w:rFonts w:eastAsia="Calibri" w:cs="Calibri"/>
                <w:color w:val="auto"/>
                <w:sz w:val="20"/>
                <w:szCs w:val="20"/>
              </w:rPr>
              <w:t>Commonwealth Pharmacists Association</w:t>
            </w:r>
            <w:r w:rsidR="007458AC" w:rsidRPr="00BB4743">
              <w:rPr>
                <w:rFonts w:eastAsia="Calibri" w:cs="Calibri"/>
                <w:color w:val="auto"/>
                <w:sz w:val="20"/>
                <w:szCs w:val="20"/>
              </w:rPr>
              <w:t xml:space="preserve"> </w:t>
            </w:r>
            <w:r w:rsidRPr="00BB4743">
              <w:rPr>
                <w:rFonts w:eastAsia="Calibri" w:cs="Calibri"/>
                <w:color w:val="auto"/>
                <w:sz w:val="20"/>
                <w:szCs w:val="20"/>
              </w:rPr>
              <w:t>(</w:t>
            </w:r>
            <w:r w:rsidR="00AE6B88" w:rsidRPr="00BB4743">
              <w:rPr>
                <w:rFonts w:eastAsia="Calibri" w:cs="Calibri"/>
                <w:color w:val="auto"/>
                <w:sz w:val="20"/>
                <w:szCs w:val="20"/>
              </w:rPr>
              <w:t>CwPAM</w:t>
            </w:r>
            <w:r w:rsidR="004F1B82" w:rsidRPr="00BB4743">
              <w:rPr>
                <w:rFonts w:eastAsia="Calibri" w:cs="Calibri"/>
                <w:color w:val="auto"/>
                <w:sz w:val="20"/>
                <w:szCs w:val="20"/>
              </w:rPr>
              <w:t>S</w:t>
            </w:r>
            <w:r w:rsidRPr="00BB4743">
              <w:rPr>
                <w:rFonts w:eastAsia="Calibri" w:cs="Calibri"/>
                <w:color w:val="auto"/>
                <w:sz w:val="20"/>
                <w:szCs w:val="20"/>
              </w:rPr>
              <w:t>)</w:t>
            </w:r>
          </w:p>
        </w:tc>
        <w:tc>
          <w:tcPr>
            <w:tcW w:w="2563" w:type="pct"/>
            <w:shd w:val="clear" w:color="auto" w:fill="auto"/>
          </w:tcPr>
          <w:p w14:paraId="10A64468" w14:textId="2BBB854F" w:rsidR="00AE6B88" w:rsidRPr="00BB4743" w:rsidRDefault="00164140">
            <w:pPr>
              <w:rPr>
                <w:rFonts w:eastAsia="Calibri" w:cs="Calibri"/>
                <w:sz w:val="20"/>
                <w:szCs w:val="20"/>
              </w:rPr>
            </w:pPr>
            <w:r w:rsidRPr="00BB4743">
              <w:rPr>
                <w:rFonts w:eastAsia="Calibri" w:cs="Calibri"/>
                <w:color w:val="auto"/>
                <w:sz w:val="20"/>
                <w:szCs w:val="20"/>
              </w:rPr>
              <w:t>Capturing Data on AMR Patterns and Trends in Use in Regions of Asia (</w:t>
            </w:r>
            <w:r w:rsidR="00AE6B88" w:rsidRPr="00BB4743">
              <w:rPr>
                <w:rFonts w:eastAsia="Calibri" w:cs="Calibri"/>
                <w:color w:val="auto"/>
                <w:sz w:val="20"/>
                <w:szCs w:val="20"/>
              </w:rPr>
              <w:t>CAPTURA</w:t>
            </w:r>
            <w:r w:rsidRPr="00BB4743">
              <w:rPr>
                <w:rFonts w:eastAsia="Calibri" w:cs="Calibri"/>
                <w:color w:val="auto"/>
                <w:sz w:val="20"/>
                <w:szCs w:val="20"/>
              </w:rPr>
              <w:t>)</w:t>
            </w:r>
            <w:r w:rsidR="00AE6B88" w:rsidRPr="00BB4743">
              <w:rPr>
                <w:rFonts w:eastAsia="Calibri" w:cs="Calibri"/>
                <w:color w:val="auto"/>
                <w:sz w:val="20"/>
                <w:szCs w:val="20"/>
              </w:rPr>
              <w:t xml:space="preserve"> FF10 SA</w:t>
            </w:r>
          </w:p>
        </w:tc>
      </w:tr>
      <w:tr w:rsidR="00921D8B" w:rsidRPr="00FC4B42" w14:paraId="47004593" w14:textId="77777777" w:rsidTr="005A32AD">
        <w:trPr>
          <w:trHeight w:val="427"/>
        </w:trPr>
        <w:tc>
          <w:tcPr>
            <w:tcW w:w="2437" w:type="pct"/>
            <w:shd w:val="clear" w:color="auto" w:fill="auto"/>
          </w:tcPr>
          <w:p w14:paraId="3965C98C" w14:textId="77777777" w:rsidR="00AE6B88" w:rsidRPr="00BB4743" w:rsidRDefault="00AE6B88">
            <w:pPr>
              <w:rPr>
                <w:rFonts w:eastAsia="Calibri" w:cs="Calibri"/>
                <w:sz w:val="20"/>
                <w:szCs w:val="20"/>
              </w:rPr>
            </w:pPr>
            <w:r w:rsidRPr="00BB4743">
              <w:rPr>
                <w:rFonts w:eastAsia="Calibri" w:cs="Calibri"/>
                <w:color w:val="auto"/>
                <w:sz w:val="20"/>
                <w:szCs w:val="20"/>
              </w:rPr>
              <w:t>WHO</w:t>
            </w:r>
          </w:p>
        </w:tc>
        <w:tc>
          <w:tcPr>
            <w:tcW w:w="2563" w:type="pct"/>
            <w:shd w:val="clear" w:color="auto" w:fill="auto"/>
          </w:tcPr>
          <w:p w14:paraId="10F1BF8D" w14:textId="77777777" w:rsidR="00AE6B88" w:rsidRPr="00BB4743" w:rsidRDefault="00AE6B88">
            <w:pPr>
              <w:rPr>
                <w:rFonts w:eastAsia="Calibri" w:cs="Calibri"/>
                <w:sz w:val="20"/>
                <w:szCs w:val="20"/>
              </w:rPr>
            </w:pPr>
            <w:r w:rsidRPr="00BB4743">
              <w:rPr>
                <w:rFonts w:eastAsia="Calibri" w:cs="Calibri"/>
                <w:color w:val="auto"/>
                <w:sz w:val="20"/>
                <w:szCs w:val="20"/>
              </w:rPr>
              <w:t>CAPTURA FF11 SEA</w:t>
            </w:r>
          </w:p>
        </w:tc>
      </w:tr>
      <w:tr w:rsidR="00921D8B" w:rsidRPr="00FC4B42" w14:paraId="470D8490" w14:textId="77777777" w:rsidTr="005A32AD">
        <w:trPr>
          <w:trHeight w:val="427"/>
        </w:trPr>
        <w:tc>
          <w:tcPr>
            <w:tcW w:w="2437" w:type="pct"/>
            <w:shd w:val="clear" w:color="auto" w:fill="auto"/>
          </w:tcPr>
          <w:p w14:paraId="7079FD54" w14:textId="694C4098" w:rsidR="00AE6B88" w:rsidRPr="00BB4743" w:rsidRDefault="0008011C">
            <w:pPr>
              <w:rPr>
                <w:rFonts w:eastAsia="Calibri" w:cs="Calibri"/>
                <w:sz w:val="20"/>
                <w:szCs w:val="20"/>
              </w:rPr>
            </w:pPr>
            <w:r w:rsidRPr="00BB4743">
              <w:rPr>
                <w:rFonts w:eastAsia="Calibri" w:cs="Calibri"/>
                <w:color w:val="auto"/>
                <w:sz w:val="20"/>
                <w:szCs w:val="20"/>
              </w:rPr>
              <w:t>Foundation of Innovative and New Diagnostics (</w:t>
            </w:r>
            <w:r w:rsidR="00AE6B88" w:rsidRPr="00BB4743">
              <w:rPr>
                <w:rFonts w:eastAsia="Calibri" w:cs="Calibri"/>
                <w:color w:val="auto"/>
                <w:sz w:val="20"/>
                <w:szCs w:val="20"/>
              </w:rPr>
              <w:t>FIND</w:t>
            </w:r>
            <w:r w:rsidRPr="00BB4743">
              <w:rPr>
                <w:rFonts w:eastAsia="Calibri" w:cs="Calibri"/>
                <w:color w:val="auto"/>
                <w:sz w:val="20"/>
                <w:szCs w:val="20"/>
              </w:rPr>
              <w:t>)</w:t>
            </w:r>
          </w:p>
        </w:tc>
        <w:tc>
          <w:tcPr>
            <w:tcW w:w="2563" w:type="pct"/>
            <w:shd w:val="clear" w:color="auto" w:fill="auto"/>
          </w:tcPr>
          <w:p w14:paraId="12F8730F" w14:textId="77777777" w:rsidR="00AE6B88" w:rsidRPr="00BB4743" w:rsidRDefault="00AE6B88">
            <w:pPr>
              <w:rPr>
                <w:rFonts w:eastAsia="Calibri" w:cs="Calibri"/>
                <w:sz w:val="20"/>
                <w:szCs w:val="20"/>
              </w:rPr>
            </w:pPr>
            <w:r w:rsidRPr="00BB4743">
              <w:rPr>
                <w:rFonts w:eastAsia="Calibri" w:cs="Calibri"/>
                <w:color w:val="auto"/>
                <w:sz w:val="20"/>
                <w:szCs w:val="20"/>
              </w:rPr>
              <w:t>MAAP FF8</w:t>
            </w:r>
          </w:p>
        </w:tc>
      </w:tr>
      <w:tr w:rsidR="00921D8B" w:rsidRPr="00FC4B42" w14:paraId="388EACED" w14:textId="77777777" w:rsidTr="005A32AD">
        <w:trPr>
          <w:trHeight w:val="427"/>
        </w:trPr>
        <w:tc>
          <w:tcPr>
            <w:tcW w:w="2437" w:type="pct"/>
            <w:shd w:val="clear" w:color="auto" w:fill="auto"/>
          </w:tcPr>
          <w:p w14:paraId="6CA35BB5" w14:textId="2CDAFA41" w:rsidR="00AE6B88" w:rsidRPr="00BB4743" w:rsidRDefault="00E67ED8">
            <w:pPr>
              <w:rPr>
                <w:rFonts w:eastAsia="Calibri" w:cs="Calibri"/>
                <w:sz w:val="20"/>
                <w:szCs w:val="20"/>
              </w:rPr>
            </w:pPr>
            <w:r w:rsidRPr="00BB4743">
              <w:rPr>
                <w:rFonts w:eastAsia="Calibri" w:cs="Calibri"/>
                <w:color w:val="auto"/>
                <w:sz w:val="20"/>
                <w:szCs w:val="20"/>
              </w:rPr>
              <w:t>WOAH</w:t>
            </w:r>
          </w:p>
        </w:tc>
        <w:tc>
          <w:tcPr>
            <w:tcW w:w="2563" w:type="pct"/>
            <w:shd w:val="clear" w:color="auto" w:fill="auto"/>
          </w:tcPr>
          <w:p w14:paraId="52020EF6" w14:textId="77777777" w:rsidR="00AE6B88" w:rsidRPr="00BB4743" w:rsidRDefault="00AE6B88">
            <w:pPr>
              <w:rPr>
                <w:rFonts w:eastAsia="Calibri" w:cs="Calibri"/>
                <w:sz w:val="20"/>
                <w:szCs w:val="20"/>
              </w:rPr>
            </w:pPr>
            <w:r w:rsidRPr="00BB4743">
              <w:rPr>
                <w:rFonts w:eastAsia="Calibri" w:cs="Calibri"/>
                <w:color w:val="auto"/>
                <w:sz w:val="20"/>
                <w:szCs w:val="20"/>
              </w:rPr>
              <w:t>MAAP FF9</w:t>
            </w:r>
          </w:p>
        </w:tc>
      </w:tr>
      <w:tr w:rsidR="00921D8B" w:rsidRPr="00FC4B42" w14:paraId="49DD2C38" w14:textId="77777777" w:rsidTr="005A32AD">
        <w:trPr>
          <w:trHeight w:val="408"/>
        </w:trPr>
        <w:tc>
          <w:tcPr>
            <w:tcW w:w="2437" w:type="pct"/>
            <w:shd w:val="clear" w:color="auto" w:fill="auto"/>
          </w:tcPr>
          <w:p w14:paraId="548CC7CE" w14:textId="3E4AB3BF" w:rsidR="00AE6B88" w:rsidRPr="00BB4743" w:rsidRDefault="00755029">
            <w:pPr>
              <w:rPr>
                <w:rFonts w:eastAsia="Calibri" w:cs="Calibri"/>
                <w:sz w:val="20"/>
                <w:szCs w:val="20"/>
              </w:rPr>
            </w:pPr>
            <w:r w:rsidRPr="00BB4743">
              <w:rPr>
                <w:rFonts w:eastAsia="Calibri" w:cs="Calibri"/>
                <w:color w:val="auto"/>
                <w:sz w:val="20"/>
                <w:szCs w:val="20"/>
              </w:rPr>
              <w:t>Tropical Health &amp; Education Trust (</w:t>
            </w:r>
            <w:r w:rsidR="00AE6B88" w:rsidRPr="00BB4743">
              <w:rPr>
                <w:rFonts w:eastAsia="Calibri" w:cs="Calibri"/>
                <w:color w:val="auto"/>
                <w:sz w:val="20"/>
                <w:szCs w:val="20"/>
              </w:rPr>
              <w:t>THET</w:t>
            </w:r>
            <w:r w:rsidRPr="00BB4743">
              <w:rPr>
                <w:rFonts w:eastAsia="Calibri" w:cs="Calibri"/>
                <w:color w:val="auto"/>
                <w:sz w:val="20"/>
                <w:szCs w:val="20"/>
              </w:rPr>
              <w:t>)</w:t>
            </w:r>
          </w:p>
        </w:tc>
        <w:tc>
          <w:tcPr>
            <w:tcW w:w="2563" w:type="pct"/>
            <w:shd w:val="clear" w:color="auto" w:fill="auto"/>
          </w:tcPr>
          <w:p w14:paraId="37D9FD28" w14:textId="77777777" w:rsidR="00AE6B88" w:rsidRPr="00BB4743" w:rsidRDefault="00AE6B88">
            <w:pPr>
              <w:rPr>
                <w:rFonts w:eastAsia="Calibri" w:cs="Calibri"/>
                <w:sz w:val="20"/>
                <w:szCs w:val="20"/>
              </w:rPr>
            </w:pPr>
            <w:r w:rsidRPr="00BB4743">
              <w:rPr>
                <w:rFonts w:eastAsia="Calibri" w:cs="Calibri"/>
                <w:color w:val="auto"/>
                <w:sz w:val="20"/>
                <w:szCs w:val="20"/>
              </w:rPr>
              <w:t>DTU Africa FF25 (WGS)</w:t>
            </w:r>
          </w:p>
        </w:tc>
      </w:tr>
      <w:tr w:rsidR="00921D8B" w:rsidRPr="00FC4B42" w14:paraId="33EDA6B4" w14:textId="77777777" w:rsidTr="005A32AD">
        <w:trPr>
          <w:trHeight w:val="427"/>
        </w:trPr>
        <w:tc>
          <w:tcPr>
            <w:tcW w:w="2437" w:type="pct"/>
            <w:shd w:val="clear" w:color="auto" w:fill="auto"/>
          </w:tcPr>
          <w:p w14:paraId="44F63457" w14:textId="77777777" w:rsidR="00AE6B88" w:rsidRPr="00BB4743" w:rsidRDefault="00AE6B88">
            <w:pPr>
              <w:rPr>
                <w:rFonts w:eastAsia="Calibri" w:cs="Calibri"/>
                <w:sz w:val="20"/>
                <w:szCs w:val="20"/>
              </w:rPr>
            </w:pPr>
            <w:r w:rsidRPr="00BB4743">
              <w:rPr>
                <w:rFonts w:eastAsia="Calibri" w:cs="Calibri"/>
                <w:color w:val="auto"/>
                <w:sz w:val="20"/>
                <w:szCs w:val="20"/>
              </w:rPr>
              <w:t>South Centre</w:t>
            </w:r>
          </w:p>
        </w:tc>
        <w:tc>
          <w:tcPr>
            <w:tcW w:w="2563" w:type="pct"/>
            <w:shd w:val="clear" w:color="auto" w:fill="auto"/>
          </w:tcPr>
          <w:p w14:paraId="3442B8D6" w14:textId="0B7233AA" w:rsidR="00AE6B88" w:rsidRPr="00BB4743" w:rsidRDefault="00AE6B88">
            <w:pPr>
              <w:rPr>
                <w:rFonts w:eastAsia="Calibri" w:cs="Calibri"/>
                <w:sz w:val="20"/>
                <w:szCs w:val="20"/>
              </w:rPr>
            </w:pPr>
            <w:r w:rsidRPr="00BB4743">
              <w:rPr>
                <w:rFonts w:eastAsia="Calibri" w:cs="Calibri"/>
                <w:color w:val="auto"/>
                <w:sz w:val="20"/>
                <w:szCs w:val="20"/>
              </w:rPr>
              <w:t>DTU Asia FF64 (</w:t>
            </w:r>
            <w:r w:rsidR="00CD42A7" w:rsidRPr="00BB4743">
              <w:rPr>
                <w:rStyle w:val="eop"/>
                <w:rFonts w:cs="Calibri"/>
                <w:color w:val="auto"/>
                <w:sz w:val="20"/>
                <w:szCs w:val="20"/>
              </w:rPr>
              <w:t xml:space="preserve">External Quality Assurance </w:t>
            </w:r>
            <w:r w:rsidR="00164140" w:rsidRPr="00BB4743">
              <w:rPr>
                <w:rFonts w:eastAsia="Calibri" w:cs="Calibri"/>
                <w:color w:val="auto"/>
                <w:sz w:val="20"/>
                <w:szCs w:val="20"/>
              </w:rPr>
              <w:t>(</w:t>
            </w:r>
            <w:r w:rsidRPr="00BB4743">
              <w:rPr>
                <w:rFonts w:eastAsia="Calibri" w:cs="Calibri"/>
                <w:color w:val="auto"/>
                <w:sz w:val="20"/>
                <w:szCs w:val="20"/>
              </w:rPr>
              <w:t>EQA)</w:t>
            </w:r>
            <w:r w:rsidR="00164140" w:rsidRPr="00BB4743">
              <w:rPr>
                <w:rFonts w:eastAsia="Calibri" w:cs="Calibri"/>
                <w:color w:val="auto"/>
                <w:sz w:val="20"/>
                <w:szCs w:val="20"/>
              </w:rPr>
              <w:t>)</w:t>
            </w:r>
          </w:p>
        </w:tc>
      </w:tr>
      <w:tr w:rsidR="00921D8B" w:rsidRPr="00FC4B42" w14:paraId="446964BD" w14:textId="77777777" w:rsidTr="005A32AD">
        <w:trPr>
          <w:trHeight w:val="427"/>
        </w:trPr>
        <w:tc>
          <w:tcPr>
            <w:tcW w:w="2437" w:type="pct"/>
            <w:shd w:val="clear" w:color="auto" w:fill="auto"/>
          </w:tcPr>
          <w:p w14:paraId="3F211970" w14:textId="373F388A" w:rsidR="00AE6B88" w:rsidRPr="00BB4743" w:rsidRDefault="00121E83">
            <w:pPr>
              <w:rPr>
                <w:rFonts w:eastAsia="Calibri" w:cs="Calibri"/>
                <w:sz w:val="20"/>
                <w:szCs w:val="20"/>
              </w:rPr>
            </w:pPr>
            <w:r w:rsidRPr="00BB4743">
              <w:rPr>
                <w:rFonts w:eastAsia="Calibri" w:cs="Calibri"/>
                <w:color w:val="auto"/>
                <w:sz w:val="20"/>
                <w:szCs w:val="20"/>
              </w:rPr>
              <w:t>FAO</w:t>
            </w:r>
          </w:p>
        </w:tc>
        <w:tc>
          <w:tcPr>
            <w:tcW w:w="2563" w:type="pct"/>
            <w:shd w:val="clear" w:color="auto" w:fill="auto"/>
          </w:tcPr>
          <w:p w14:paraId="73D9B38D" w14:textId="403ABC13" w:rsidR="00AE6B88" w:rsidRPr="00BB4743" w:rsidRDefault="005A3AEF">
            <w:pPr>
              <w:rPr>
                <w:rFonts w:eastAsia="Calibri" w:cs="Calibri"/>
                <w:sz w:val="20"/>
                <w:szCs w:val="20"/>
              </w:rPr>
            </w:pPr>
            <w:r w:rsidRPr="00BB4743">
              <w:rPr>
                <w:rFonts w:eastAsia="Calibri" w:cs="Calibri"/>
                <w:color w:val="auto"/>
                <w:sz w:val="20"/>
                <w:szCs w:val="20"/>
              </w:rPr>
              <w:t>Regional Antimicrobial resistance Data Analysis for Advocacy, Response and Policy (</w:t>
            </w:r>
            <w:r w:rsidR="00AE6B88" w:rsidRPr="00BB4743">
              <w:rPr>
                <w:rFonts w:eastAsia="Calibri" w:cs="Calibri"/>
                <w:color w:val="auto"/>
                <w:sz w:val="20"/>
                <w:szCs w:val="20"/>
              </w:rPr>
              <w:t>RADAAR</w:t>
            </w:r>
            <w:r w:rsidRPr="00BB4743">
              <w:rPr>
                <w:rFonts w:eastAsia="Calibri" w:cs="Calibri"/>
                <w:color w:val="auto"/>
                <w:sz w:val="20"/>
                <w:szCs w:val="20"/>
              </w:rPr>
              <w:t>)</w:t>
            </w:r>
            <w:r w:rsidR="00AE6B88" w:rsidRPr="00BB4743">
              <w:rPr>
                <w:rFonts w:eastAsia="Calibri" w:cs="Calibri"/>
                <w:color w:val="auto"/>
                <w:sz w:val="20"/>
                <w:szCs w:val="20"/>
              </w:rPr>
              <w:t xml:space="preserve"> FF54</w:t>
            </w:r>
          </w:p>
        </w:tc>
      </w:tr>
      <w:tr w:rsidR="00921D8B" w:rsidRPr="00FC4B42" w14:paraId="181CB00C" w14:textId="77777777" w:rsidTr="005A32AD">
        <w:trPr>
          <w:trHeight w:val="427"/>
        </w:trPr>
        <w:tc>
          <w:tcPr>
            <w:tcW w:w="2437" w:type="pct"/>
            <w:shd w:val="clear" w:color="auto" w:fill="auto"/>
          </w:tcPr>
          <w:p w14:paraId="1A4A8E5E" w14:textId="62AC179B" w:rsidR="00AE6B88" w:rsidRPr="00BB4743" w:rsidRDefault="00664368">
            <w:pPr>
              <w:rPr>
                <w:rFonts w:eastAsia="Calibri" w:cs="Calibri"/>
                <w:sz w:val="20"/>
                <w:szCs w:val="20"/>
              </w:rPr>
            </w:pPr>
            <w:r w:rsidRPr="00BB4743">
              <w:rPr>
                <w:rFonts w:eastAsia="Calibri" w:cs="Calibri"/>
                <w:color w:val="auto"/>
                <w:sz w:val="20"/>
                <w:szCs w:val="20"/>
              </w:rPr>
              <w:t>Multi</w:t>
            </w:r>
            <w:r w:rsidR="00C576D5" w:rsidRPr="00921D8B">
              <w:rPr>
                <w:rFonts w:eastAsia="Calibri" w:cs="Calibri"/>
                <w:sz w:val="20"/>
                <w:szCs w:val="20"/>
              </w:rPr>
              <w:t>-</w:t>
            </w:r>
            <w:r w:rsidRPr="00BB4743">
              <w:rPr>
                <w:rFonts w:eastAsia="Calibri" w:cs="Calibri"/>
                <w:color w:val="auto"/>
                <w:sz w:val="20"/>
                <w:szCs w:val="20"/>
              </w:rPr>
              <w:t>Partner Trust Fund</w:t>
            </w:r>
            <w:r w:rsidR="007458AC" w:rsidRPr="00BB4743">
              <w:rPr>
                <w:rFonts w:eastAsia="Calibri" w:cs="Calibri"/>
                <w:color w:val="auto"/>
                <w:sz w:val="20"/>
                <w:szCs w:val="20"/>
              </w:rPr>
              <w:t xml:space="preserve"> </w:t>
            </w:r>
          </w:p>
        </w:tc>
        <w:tc>
          <w:tcPr>
            <w:tcW w:w="2563" w:type="pct"/>
            <w:shd w:val="clear" w:color="auto" w:fill="auto"/>
          </w:tcPr>
          <w:p w14:paraId="39445F40" w14:textId="77777777" w:rsidR="00AE6B88" w:rsidRPr="00BB4743" w:rsidRDefault="00AE6B88">
            <w:pPr>
              <w:rPr>
                <w:rFonts w:eastAsia="Calibri" w:cs="Calibri"/>
                <w:sz w:val="20"/>
                <w:szCs w:val="20"/>
              </w:rPr>
            </w:pPr>
            <w:r w:rsidRPr="00BB4743">
              <w:rPr>
                <w:rFonts w:eastAsia="Calibri" w:cs="Calibri"/>
                <w:color w:val="auto"/>
                <w:sz w:val="20"/>
                <w:szCs w:val="20"/>
              </w:rPr>
              <w:t>Ending Pandemics FF49</w:t>
            </w:r>
          </w:p>
        </w:tc>
      </w:tr>
      <w:tr w:rsidR="00921D8B" w:rsidRPr="00FC4B42" w14:paraId="17EA9E1A" w14:textId="77777777" w:rsidTr="005A32AD">
        <w:trPr>
          <w:trHeight w:val="427"/>
        </w:trPr>
        <w:tc>
          <w:tcPr>
            <w:tcW w:w="2437" w:type="pct"/>
            <w:shd w:val="clear" w:color="auto" w:fill="auto"/>
          </w:tcPr>
          <w:p w14:paraId="1F9A88B7" w14:textId="7F129210" w:rsidR="00AE6B88" w:rsidRPr="00BB4743" w:rsidRDefault="00DC5E52">
            <w:pPr>
              <w:rPr>
                <w:rFonts w:eastAsia="Calibri" w:cs="Calibri"/>
                <w:sz w:val="20"/>
                <w:szCs w:val="20"/>
              </w:rPr>
            </w:pPr>
            <w:r w:rsidRPr="00BB4743">
              <w:rPr>
                <w:rFonts w:eastAsia="Calibri" w:cs="Calibri"/>
                <w:color w:val="auto"/>
                <w:sz w:val="20"/>
                <w:szCs w:val="20"/>
              </w:rPr>
              <w:t>Overseas Development Institute</w:t>
            </w:r>
            <w:r w:rsidR="007458AC" w:rsidRPr="00BB4743">
              <w:rPr>
                <w:rFonts w:eastAsia="Calibri" w:cs="Calibri"/>
                <w:color w:val="auto"/>
                <w:sz w:val="20"/>
                <w:szCs w:val="20"/>
              </w:rPr>
              <w:t xml:space="preserve"> </w:t>
            </w:r>
          </w:p>
        </w:tc>
        <w:tc>
          <w:tcPr>
            <w:tcW w:w="2563" w:type="pct"/>
            <w:shd w:val="clear" w:color="auto" w:fill="auto"/>
          </w:tcPr>
          <w:p w14:paraId="067B8B7B" w14:textId="138B66C7" w:rsidR="00AE6B88" w:rsidRPr="00BB4743" w:rsidRDefault="007067EC">
            <w:pPr>
              <w:rPr>
                <w:rFonts w:eastAsia="Calibri" w:cs="Calibri"/>
                <w:sz w:val="20"/>
                <w:szCs w:val="20"/>
              </w:rPr>
            </w:pPr>
            <w:r w:rsidRPr="00BB4743">
              <w:rPr>
                <w:rFonts w:eastAsia="Calibri" w:cs="Calibri"/>
                <w:color w:val="auto"/>
                <w:sz w:val="20"/>
                <w:szCs w:val="20"/>
              </w:rPr>
              <w:t>African Society for Laboratory Medicine (</w:t>
            </w:r>
            <w:r w:rsidR="00AE6B88" w:rsidRPr="00BB4743">
              <w:rPr>
                <w:rFonts w:eastAsia="Calibri" w:cs="Calibri"/>
                <w:color w:val="auto"/>
                <w:sz w:val="20"/>
                <w:szCs w:val="20"/>
              </w:rPr>
              <w:t>ASLM</w:t>
            </w:r>
            <w:r w:rsidRPr="00BB4743">
              <w:rPr>
                <w:rFonts w:eastAsia="Calibri" w:cs="Calibri"/>
                <w:color w:val="auto"/>
                <w:sz w:val="20"/>
                <w:szCs w:val="20"/>
              </w:rPr>
              <w:t>)</w:t>
            </w:r>
            <w:r w:rsidR="00AE6B88" w:rsidRPr="00BB4743">
              <w:rPr>
                <w:rFonts w:eastAsia="Calibri" w:cs="Calibri"/>
                <w:color w:val="auto"/>
                <w:sz w:val="20"/>
                <w:szCs w:val="20"/>
              </w:rPr>
              <w:t xml:space="preserve"> Global FF60 (training)</w:t>
            </w:r>
          </w:p>
        </w:tc>
      </w:tr>
      <w:tr w:rsidR="00921D8B" w:rsidRPr="0018207B" w14:paraId="2372A66F" w14:textId="77777777" w:rsidTr="005A32AD">
        <w:trPr>
          <w:trHeight w:val="427"/>
        </w:trPr>
        <w:tc>
          <w:tcPr>
            <w:tcW w:w="2437" w:type="pct"/>
            <w:shd w:val="clear" w:color="auto" w:fill="auto"/>
          </w:tcPr>
          <w:p w14:paraId="1EC004EB" w14:textId="245AF2B3" w:rsidR="00AE6B88" w:rsidRPr="00BB4743" w:rsidRDefault="004E72EC">
            <w:pPr>
              <w:rPr>
                <w:rFonts w:eastAsia="Calibri" w:cs="Calibri"/>
                <w:sz w:val="20"/>
                <w:szCs w:val="20"/>
              </w:rPr>
            </w:pPr>
            <w:r w:rsidRPr="00BB4743">
              <w:rPr>
                <w:rFonts w:eastAsia="Calibri" w:cs="Calibri"/>
                <w:color w:val="auto"/>
                <w:sz w:val="20"/>
                <w:szCs w:val="20"/>
              </w:rPr>
              <w:t>Global Research on Antimicrobial Resistance (</w:t>
            </w:r>
            <w:r w:rsidR="00D90317" w:rsidRPr="00BB4743">
              <w:rPr>
                <w:rFonts w:eastAsia="Calibri" w:cs="Calibri"/>
                <w:color w:val="auto"/>
                <w:sz w:val="20"/>
                <w:szCs w:val="20"/>
              </w:rPr>
              <w:t>GRAM</w:t>
            </w:r>
            <w:r w:rsidRPr="00BB4743">
              <w:rPr>
                <w:rFonts w:eastAsia="Calibri" w:cs="Calibri"/>
                <w:color w:val="auto"/>
                <w:sz w:val="20"/>
                <w:szCs w:val="20"/>
              </w:rPr>
              <w:t>)</w:t>
            </w:r>
          </w:p>
        </w:tc>
        <w:tc>
          <w:tcPr>
            <w:tcW w:w="2563" w:type="pct"/>
            <w:shd w:val="clear" w:color="auto" w:fill="auto"/>
          </w:tcPr>
          <w:p w14:paraId="47896B0F" w14:textId="45531BFC" w:rsidR="00AE6B88" w:rsidRPr="00BB4743" w:rsidRDefault="008357CD">
            <w:pPr>
              <w:rPr>
                <w:rFonts w:eastAsia="Calibri" w:cs="Calibri"/>
                <w:sz w:val="20"/>
                <w:szCs w:val="20"/>
                <w:lang w:val="fr-FR"/>
              </w:rPr>
            </w:pPr>
            <w:r w:rsidRPr="00BB4743">
              <w:rPr>
                <w:rFonts w:eastAsia="Calibri" w:cs="Calibri"/>
                <w:color w:val="auto"/>
                <w:sz w:val="20"/>
                <w:szCs w:val="20"/>
                <w:lang w:val="fr-FR"/>
              </w:rPr>
              <w:t xml:space="preserve">International </w:t>
            </w:r>
            <w:r w:rsidR="007067EC" w:rsidRPr="00B3660F">
              <w:rPr>
                <w:rFonts w:eastAsia="Calibri" w:cs="Calibri"/>
                <w:sz w:val="20"/>
                <w:szCs w:val="20"/>
                <w:lang w:val="fr-FR"/>
              </w:rPr>
              <w:t>Procurement</w:t>
            </w:r>
            <w:r w:rsidRPr="00BB4743">
              <w:rPr>
                <w:rFonts w:eastAsia="Calibri" w:cs="Calibri"/>
                <w:color w:val="auto"/>
                <w:sz w:val="20"/>
                <w:szCs w:val="20"/>
                <w:lang w:val="fr-FR"/>
              </w:rPr>
              <w:t xml:space="preserve"> Agent (</w:t>
            </w:r>
            <w:r w:rsidR="00AE6B88" w:rsidRPr="00BB4743">
              <w:rPr>
                <w:rFonts w:eastAsia="Calibri" w:cs="Calibri"/>
                <w:color w:val="auto"/>
                <w:sz w:val="20"/>
                <w:szCs w:val="20"/>
                <w:lang w:val="fr-FR"/>
              </w:rPr>
              <w:t>IPA</w:t>
            </w:r>
            <w:r w:rsidRPr="00BB4743">
              <w:rPr>
                <w:rFonts w:eastAsia="Calibri" w:cs="Calibri"/>
                <w:color w:val="auto"/>
                <w:sz w:val="20"/>
                <w:szCs w:val="20"/>
                <w:lang w:val="fr-FR"/>
              </w:rPr>
              <w:t>)</w:t>
            </w:r>
            <w:r w:rsidR="00AE6B88" w:rsidRPr="00BB4743">
              <w:rPr>
                <w:rFonts w:eastAsia="Calibri" w:cs="Calibri"/>
                <w:color w:val="auto"/>
                <w:sz w:val="20"/>
                <w:szCs w:val="20"/>
                <w:lang w:val="fr-FR"/>
              </w:rPr>
              <w:t xml:space="preserve"> FF70</w:t>
            </w:r>
          </w:p>
        </w:tc>
      </w:tr>
    </w:tbl>
    <w:p w14:paraId="0067AEE5" w14:textId="77777777" w:rsidR="0090729C" w:rsidRPr="008357CD" w:rsidRDefault="0090729C" w:rsidP="0090729C">
      <w:pPr>
        <w:jc w:val="both"/>
        <w:rPr>
          <w:lang w:val="fr-FR"/>
        </w:rPr>
      </w:pPr>
    </w:p>
    <w:p w14:paraId="24AD2E02" w14:textId="7A471359" w:rsidR="0090729C" w:rsidRDefault="0090729C" w:rsidP="0090729C">
      <w:pPr>
        <w:jc w:val="both"/>
      </w:pPr>
      <w:r w:rsidRPr="1C732485">
        <w:rPr>
          <w:lang w:val="en-US"/>
        </w:rPr>
        <w:t xml:space="preserve">The evaluation team reviewed over 104 documents as part of the </w:t>
      </w:r>
      <w:r w:rsidR="00B6022A">
        <w:rPr>
          <w:lang w:val="en-US"/>
        </w:rPr>
        <w:t>global and regional</w:t>
      </w:r>
      <w:r w:rsidRPr="1C732485">
        <w:rPr>
          <w:lang w:val="en-US"/>
        </w:rPr>
        <w:t xml:space="preserve"> grant document reviews. This included quarterly reports, annual reports and grant summaries as well as any </w:t>
      </w:r>
      <w:r w:rsidRPr="1C732485">
        <w:rPr>
          <w:rFonts w:cs="Calibri"/>
        </w:rPr>
        <w:t xml:space="preserve">synthesis done by the MA at the global level. </w:t>
      </w:r>
      <w:r>
        <w:t xml:space="preserve">The documents were </w:t>
      </w:r>
      <w:r w:rsidR="001E6808">
        <w:t>coded,</w:t>
      </w:r>
      <w:r>
        <w:t xml:space="preserve"> and relevant information extracted and used to complete analytical tools.</w:t>
      </w:r>
    </w:p>
    <w:p w14:paraId="22CAB9A7" w14:textId="77777777" w:rsidR="0090729C" w:rsidRDefault="0090729C" w:rsidP="0090729C">
      <w:pPr>
        <w:pStyle w:val="ItadNormalText"/>
        <w:tabs>
          <w:tab w:val="num" w:pos="680"/>
          <w:tab w:val="left" w:pos="907"/>
          <w:tab w:val="left" w:pos="680"/>
        </w:tabs>
      </w:pPr>
      <w:r w:rsidRPr="1C732485">
        <w:t>The table below shows the breakdown the number of documents reviewed per type of document.</w:t>
      </w:r>
    </w:p>
    <w:p w14:paraId="0096275C" w14:textId="60BE3F6B" w:rsidR="00FF16BD" w:rsidRDefault="00FF16BD" w:rsidP="00C04C3C">
      <w:pPr>
        <w:pStyle w:val="ItadCaption"/>
      </w:pPr>
      <w:bookmarkStart w:id="101" w:name="_Toc143857880"/>
      <w:r>
        <w:t xml:space="preserve">Table </w:t>
      </w:r>
      <w:r>
        <w:fldChar w:fldCharType="begin"/>
      </w:r>
      <w:r>
        <w:instrText>SEQ Table \* ARABIC</w:instrText>
      </w:r>
      <w:r>
        <w:fldChar w:fldCharType="separate"/>
      </w:r>
      <w:r w:rsidR="009A383C">
        <w:rPr>
          <w:noProof/>
        </w:rPr>
        <w:t>12</w:t>
      </w:r>
      <w:r>
        <w:fldChar w:fldCharType="end"/>
      </w:r>
      <w:r>
        <w:t xml:space="preserve"> </w:t>
      </w:r>
      <w:r w:rsidR="007368F2">
        <w:t>Number of documents reviewed per document type</w:t>
      </w:r>
      <w:bookmarkEnd w:id="101"/>
    </w:p>
    <w:tbl>
      <w:tblPr>
        <w:tblStyle w:val="ItadGreenHeaderRow"/>
        <w:tblW w:w="5000" w:type="pct"/>
        <w:tblInd w:w="0" w:type="dxa"/>
        <w:tblLook w:val="06A0" w:firstRow="1" w:lastRow="0" w:firstColumn="1" w:lastColumn="0" w:noHBand="1" w:noVBand="1"/>
      </w:tblPr>
      <w:tblGrid>
        <w:gridCol w:w="3349"/>
        <w:gridCol w:w="3065"/>
        <w:gridCol w:w="3094"/>
      </w:tblGrid>
      <w:tr w:rsidR="001E6808" w:rsidRPr="00A02589" w14:paraId="772E5FB0" w14:textId="77777777" w:rsidTr="00BB4743">
        <w:trPr>
          <w:cnfStyle w:val="100000000000" w:firstRow="1" w:lastRow="0" w:firstColumn="0" w:lastColumn="0" w:oddVBand="0" w:evenVBand="0" w:oddHBand="0" w:evenHBand="0" w:firstRowFirstColumn="0" w:firstRowLastColumn="0" w:lastRowFirstColumn="0" w:lastRowLastColumn="0"/>
        </w:trPr>
        <w:tc>
          <w:tcPr>
            <w:tcW w:w="1761" w:type="pct"/>
          </w:tcPr>
          <w:p w14:paraId="56410300" w14:textId="77777777" w:rsidR="0090729C" w:rsidRPr="007F63EF" w:rsidRDefault="0090729C">
            <w:pPr>
              <w:rPr>
                <w:rFonts w:eastAsia="Calibri" w:cs="Calibri"/>
                <w:b/>
                <w:bCs/>
                <w:color w:val="auto"/>
                <w:sz w:val="20"/>
                <w:szCs w:val="20"/>
              </w:rPr>
            </w:pPr>
            <w:r w:rsidRPr="00A02589">
              <w:rPr>
                <w:rFonts w:eastAsia="Calibri" w:cs="Calibri"/>
                <w:b/>
                <w:bCs/>
                <w:color w:val="auto"/>
                <w:sz w:val="20"/>
                <w:szCs w:val="20"/>
              </w:rPr>
              <w:t>Type of document</w:t>
            </w:r>
          </w:p>
        </w:tc>
        <w:tc>
          <w:tcPr>
            <w:tcW w:w="1612" w:type="pct"/>
          </w:tcPr>
          <w:p w14:paraId="171CEDD8" w14:textId="7F321FE0" w:rsidR="0090729C" w:rsidRPr="007F63EF" w:rsidRDefault="00B6022A">
            <w:pPr>
              <w:spacing w:line="259" w:lineRule="auto"/>
              <w:rPr>
                <w:rFonts w:eastAsia="Calibri" w:cs="Calibri"/>
                <w:b/>
                <w:bCs/>
                <w:color w:val="auto"/>
                <w:sz w:val="20"/>
                <w:szCs w:val="20"/>
              </w:rPr>
            </w:pPr>
            <w:r w:rsidRPr="00A02589">
              <w:rPr>
                <w:rFonts w:eastAsia="Calibri" w:cs="Calibri"/>
                <w:b/>
                <w:bCs/>
                <w:color w:val="auto"/>
                <w:sz w:val="20"/>
                <w:szCs w:val="20"/>
              </w:rPr>
              <w:t>Global</w:t>
            </w:r>
            <w:r w:rsidR="00AE6B88" w:rsidRPr="00A02589">
              <w:rPr>
                <w:rFonts w:eastAsia="Calibri" w:cs="Calibri"/>
                <w:b/>
                <w:bCs/>
                <w:color w:val="auto"/>
                <w:sz w:val="20"/>
                <w:szCs w:val="20"/>
              </w:rPr>
              <w:t xml:space="preserve"> grant</w:t>
            </w:r>
            <w:r w:rsidR="0090729C" w:rsidRPr="00A02589">
              <w:rPr>
                <w:rFonts w:eastAsia="Calibri" w:cs="Calibri"/>
                <w:b/>
                <w:bCs/>
                <w:color w:val="auto"/>
                <w:sz w:val="20"/>
                <w:szCs w:val="20"/>
              </w:rPr>
              <w:t xml:space="preserve"> documents reviewed</w:t>
            </w:r>
          </w:p>
        </w:tc>
        <w:tc>
          <w:tcPr>
            <w:tcW w:w="1627" w:type="pct"/>
          </w:tcPr>
          <w:p w14:paraId="4BDD3EF3" w14:textId="77777777" w:rsidR="0090729C" w:rsidRPr="007F63EF" w:rsidRDefault="0090729C">
            <w:pPr>
              <w:spacing w:line="259" w:lineRule="auto"/>
              <w:rPr>
                <w:rFonts w:eastAsia="Calibri" w:cs="Calibri"/>
                <w:b/>
                <w:bCs/>
                <w:color w:val="auto"/>
                <w:sz w:val="20"/>
                <w:szCs w:val="20"/>
              </w:rPr>
            </w:pPr>
            <w:r w:rsidRPr="00A02589">
              <w:rPr>
                <w:rFonts w:eastAsia="Calibri" w:cs="Calibri"/>
                <w:b/>
                <w:bCs/>
                <w:color w:val="auto"/>
                <w:sz w:val="20"/>
                <w:szCs w:val="20"/>
              </w:rPr>
              <w:t>Regional Grants Review documents reviewed</w:t>
            </w:r>
          </w:p>
        </w:tc>
      </w:tr>
      <w:tr w:rsidR="001E6808" w:rsidRPr="00A02589" w14:paraId="4C32E9FA" w14:textId="77777777" w:rsidTr="005A32AD">
        <w:tc>
          <w:tcPr>
            <w:tcW w:w="1761" w:type="pct"/>
            <w:shd w:val="clear" w:color="auto" w:fill="auto"/>
          </w:tcPr>
          <w:p w14:paraId="4919C878" w14:textId="07068D97" w:rsidR="0090729C" w:rsidRPr="007F63EF" w:rsidRDefault="0090729C">
            <w:pPr>
              <w:rPr>
                <w:rFonts w:eastAsia="Calibri" w:cs="Calibri"/>
                <w:color w:val="auto"/>
                <w:sz w:val="20"/>
                <w:szCs w:val="20"/>
              </w:rPr>
            </w:pPr>
            <w:r w:rsidRPr="001E6808">
              <w:rPr>
                <w:rFonts w:eastAsia="Calibri" w:cs="Calibri"/>
                <w:sz w:val="20"/>
                <w:szCs w:val="20"/>
              </w:rPr>
              <w:t>Quarterly Reports/Progress Reports</w:t>
            </w:r>
          </w:p>
        </w:tc>
        <w:tc>
          <w:tcPr>
            <w:tcW w:w="1612" w:type="pct"/>
            <w:shd w:val="clear" w:color="auto" w:fill="auto"/>
          </w:tcPr>
          <w:p w14:paraId="7D2C72CA" w14:textId="45C4F39F" w:rsidR="0090729C" w:rsidRPr="007F63EF" w:rsidRDefault="7A73DFE4">
            <w:pPr>
              <w:jc w:val="center"/>
              <w:rPr>
                <w:rFonts w:eastAsia="Calibri" w:cs="Calibri"/>
                <w:color w:val="auto"/>
                <w:sz w:val="20"/>
                <w:szCs w:val="20"/>
              </w:rPr>
            </w:pPr>
            <w:r w:rsidRPr="00A02589">
              <w:rPr>
                <w:rFonts w:eastAsia="Calibri" w:cs="Calibri"/>
                <w:color w:val="auto"/>
                <w:sz w:val="20"/>
                <w:szCs w:val="20"/>
              </w:rPr>
              <w:t>31</w:t>
            </w:r>
          </w:p>
        </w:tc>
        <w:tc>
          <w:tcPr>
            <w:tcW w:w="1627" w:type="pct"/>
            <w:shd w:val="clear" w:color="auto" w:fill="auto"/>
          </w:tcPr>
          <w:p w14:paraId="2D3CAF5D" w14:textId="77777777" w:rsidR="0090729C" w:rsidRPr="007F63EF" w:rsidRDefault="0090729C">
            <w:pPr>
              <w:jc w:val="center"/>
              <w:rPr>
                <w:rFonts w:eastAsia="Calibri" w:cs="Calibri"/>
                <w:color w:val="auto"/>
                <w:sz w:val="20"/>
                <w:szCs w:val="20"/>
              </w:rPr>
            </w:pPr>
            <w:r w:rsidRPr="00A02589">
              <w:rPr>
                <w:rFonts w:eastAsia="Calibri" w:cs="Calibri"/>
                <w:color w:val="auto"/>
                <w:sz w:val="20"/>
                <w:szCs w:val="20"/>
              </w:rPr>
              <w:t>52</w:t>
            </w:r>
          </w:p>
        </w:tc>
      </w:tr>
      <w:tr w:rsidR="001E6808" w:rsidRPr="00A02589" w14:paraId="39EAD7F1" w14:textId="77777777" w:rsidTr="005A32AD">
        <w:tc>
          <w:tcPr>
            <w:tcW w:w="1761" w:type="pct"/>
            <w:shd w:val="clear" w:color="auto" w:fill="auto"/>
          </w:tcPr>
          <w:p w14:paraId="5846E8EC" w14:textId="4248CBB0" w:rsidR="0090729C" w:rsidRPr="007F63EF" w:rsidRDefault="0090729C">
            <w:pPr>
              <w:rPr>
                <w:rFonts w:eastAsia="Calibri" w:cs="Calibri"/>
                <w:color w:val="auto"/>
                <w:sz w:val="20"/>
                <w:szCs w:val="20"/>
              </w:rPr>
            </w:pPr>
            <w:r w:rsidRPr="001E6808">
              <w:rPr>
                <w:rFonts w:eastAsia="Calibri" w:cs="Calibri"/>
                <w:sz w:val="20"/>
                <w:szCs w:val="20"/>
              </w:rPr>
              <w:t>Annual Reports/Final Reports</w:t>
            </w:r>
          </w:p>
        </w:tc>
        <w:tc>
          <w:tcPr>
            <w:tcW w:w="1612" w:type="pct"/>
            <w:shd w:val="clear" w:color="auto" w:fill="auto"/>
          </w:tcPr>
          <w:p w14:paraId="33627C0E" w14:textId="77777777" w:rsidR="0090729C" w:rsidRPr="007F63EF" w:rsidRDefault="0090729C">
            <w:pPr>
              <w:jc w:val="center"/>
              <w:rPr>
                <w:rFonts w:eastAsia="Calibri" w:cs="Calibri"/>
                <w:color w:val="auto"/>
                <w:sz w:val="20"/>
                <w:szCs w:val="20"/>
              </w:rPr>
            </w:pPr>
            <w:r w:rsidRPr="00A02589">
              <w:rPr>
                <w:rFonts w:eastAsia="Calibri" w:cs="Calibri"/>
                <w:color w:val="auto"/>
                <w:sz w:val="20"/>
                <w:szCs w:val="20"/>
              </w:rPr>
              <w:t>2</w:t>
            </w:r>
          </w:p>
        </w:tc>
        <w:tc>
          <w:tcPr>
            <w:tcW w:w="1627" w:type="pct"/>
            <w:shd w:val="clear" w:color="auto" w:fill="auto"/>
          </w:tcPr>
          <w:p w14:paraId="643DE227" w14:textId="77777777" w:rsidR="0090729C" w:rsidRPr="007F63EF" w:rsidRDefault="0090729C">
            <w:pPr>
              <w:jc w:val="center"/>
              <w:rPr>
                <w:rFonts w:eastAsia="Calibri" w:cs="Calibri"/>
                <w:color w:val="auto"/>
                <w:sz w:val="20"/>
                <w:szCs w:val="20"/>
              </w:rPr>
            </w:pPr>
            <w:r w:rsidRPr="00A02589">
              <w:rPr>
                <w:rFonts w:eastAsia="Calibri" w:cs="Calibri"/>
                <w:color w:val="auto"/>
                <w:sz w:val="20"/>
                <w:szCs w:val="20"/>
              </w:rPr>
              <w:t>10</w:t>
            </w:r>
          </w:p>
        </w:tc>
      </w:tr>
      <w:tr w:rsidR="001E6808" w:rsidRPr="00A02589" w14:paraId="0A66E58A" w14:textId="77777777" w:rsidTr="005A32AD">
        <w:tc>
          <w:tcPr>
            <w:tcW w:w="1761" w:type="pct"/>
            <w:shd w:val="clear" w:color="auto" w:fill="auto"/>
          </w:tcPr>
          <w:p w14:paraId="016B105F" w14:textId="77777777" w:rsidR="0090729C" w:rsidRPr="007F63EF" w:rsidRDefault="0090729C">
            <w:pPr>
              <w:rPr>
                <w:rFonts w:eastAsia="Calibri" w:cs="Calibri"/>
                <w:color w:val="auto"/>
                <w:sz w:val="20"/>
                <w:szCs w:val="20"/>
              </w:rPr>
            </w:pPr>
            <w:r w:rsidRPr="00A02589">
              <w:rPr>
                <w:rFonts w:eastAsia="Calibri" w:cs="Calibri"/>
                <w:color w:val="auto"/>
                <w:sz w:val="20"/>
                <w:szCs w:val="20"/>
              </w:rPr>
              <w:t>Grant one-pagers</w:t>
            </w:r>
          </w:p>
        </w:tc>
        <w:tc>
          <w:tcPr>
            <w:tcW w:w="1612" w:type="pct"/>
            <w:shd w:val="clear" w:color="auto" w:fill="auto"/>
          </w:tcPr>
          <w:p w14:paraId="035FBB7F" w14:textId="77777777" w:rsidR="0090729C" w:rsidRPr="007F63EF" w:rsidRDefault="0090729C">
            <w:pPr>
              <w:jc w:val="center"/>
              <w:rPr>
                <w:rFonts w:eastAsia="Calibri" w:cs="Calibri"/>
                <w:color w:val="auto"/>
                <w:sz w:val="20"/>
                <w:szCs w:val="20"/>
              </w:rPr>
            </w:pPr>
            <w:r w:rsidRPr="00A02589">
              <w:rPr>
                <w:rFonts w:eastAsia="Calibri" w:cs="Calibri"/>
                <w:color w:val="auto"/>
                <w:sz w:val="20"/>
                <w:szCs w:val="20"/>
              </w:rPr>
              <w:t>7</w:t>
            </w:r>
          </w:p>
        </w:tc>
        <w:tc>
          <w:tcPr>
            <w:tcW w:w="1627" w:type="pct"/>
            <w:shd w:val="clear" w:color="auto" w:fill="auto"/>
          </w:tcPr>
          <w:p w14:paraId="0AA8A659" w14:textId="77777777" w:rsidR="0090729C" w:rsidRPr="007F63EF" w:rsidRDefault="0090729C">
            <w:pPr>
              <w:jc w:val="center"/>
              <w:rPr>
                <w:rFonts w:eastAsia="Calibri" w:cs="Calibri"/>
                <w:color w:val="auto"/>
                <w:sz w:val="20"/>
                <w:szCs w:val="20"/>
              </w:rPr>
            </w:pPr>
            <w:r w:rsidRPr="00A02589">
              <w:rPr>
                <w:rFonts w:eastAsia="Calibri" w:cs="Calibri"/>
                <w:color w:val="auto"/>
                <w:sz w:val="20"/>
                <w:szCs w:val="20"/>
              </w:rPr>
              <w:t>-</w:t>
            </w:r>
          </w:p>
        </w:tc>
      </w:tr>
      <w:tr w:rsidR="001E6808" w:rsidRPr="00A02589" w14:paraId="1387458B" w14:textId="77777777" w:rsidTr="005A32AD">
        <w:tc>
          <w:tcPr>
            <w:tcW w:w="1761" w:type="pct"/>
            <w:shd w:val="clear" w:color="auto" w:fill="auto"/>
          </w:tcPr>
          <w:p w14:paraId="2880A2B4" w14:textId="77777777" w:rsidR="0090729C" w:rsidRPr="007F63EF" w:rsidRDefault="0090729C">
            <w:pPr>
              <w:rPr>
                <w:rFonts w:eastAsia="Calibri" w:cs="Calibri"/>
                <w:color w:val="auto"/>
                <w:sz w:val="20"/>
                <w:szCs w:val="20"/>
              </w:rPr>
            </w:pPr>
            <w:r w:rsidRPr="00A02589">
              <w:rPr>
                <w:rFonts w:eastAsia="Calibri" w:cs="Calibri"/>
                <w:color w:val="auto"/>
                <w:sz w:val="20"/>
                <w:szCs w:val="20"/>
              </w:rPr>
              <w:t>Six-monthly reports</w:t>
            </w:r>
          </w:p>
        </w:tc>
        <w:tc>
          <w:tcPr>
            <w:tcW w:w="1612" w:type="pct"/>
            <w:shd w:val="clear" w:color="auto" w:fill="auto"/>
          </w:tcPr>
          <w:p w14:paraId="69EE9F90" w14:textId="77777777" w:rsidR="0090729C" w:rsidRPr="007F63EF" w:rsidRDefault="0090729C">
            <w:pPr>
              <w:jc w:val="center"/>
              <w:rPr>
                <w:rFonts w:eastAsia="Calibri" w:cs="Calibri"/>
                <w:color w:val="auto"/>
                <w:sz w:val="20"/>
                <w:szCs w:val="20"/>
              </w:rPr>
            </w:pPr>
            <w:r w:rsidRPr="00A02589">
              <w:rPr>
                <w:rFonts w:eastAsia="Calibri" w:cs="Calibri"/>
                <w:color w:val="auto"/>
                <w:sz w:val="20"/>
                <w:szCs w:val="20"/>
              </w:rPr>
              <w:t>5</w:t>
            </w:r>
          </w:p>
        </w:tc>
        <w:tc>
          <w:tcPr>
            <w:tcW w:w="1627" w:type="pct"/>
            <w:shd w:val="clear" w:color="auto" w:fill="auto"/>
          </w:tcPr>
          <w:p w14:paraId="026C45B0" w14:textId="77777777" w:rsidR="0090729C" w:rsidRPr="007F63EF" w:rsidRDefault="0090729C">
            <w:pPr>
              <w:jc w:val="center"/>
              <w:rPr>
                <w:rFonts w:eastAsia="Calibri" w:cs="Calibri"/>
                <w:color w:val="auto"/>
                <w:sz w:val="20"/>
                <w:szCs w:val="20"/>
              </w:rPr>
            </w:pPr>
            <w:r w:rsidRPr="00A02589">
              <w:rPr>
                <w:rFonts w:eastAsia="Calibri" w:cs="Calibri"/>
                <w:color w:val="auto"/>
                <w:sz w:val="20"/>
                <w:szCs w:val="20"/>
              </w:rPr>
              <w:t>-</w:t>
            </w:r>
          </w:p>
        </w:tc>
      </w:tr>
      <w:tr w:rsidR="001E6808" w:rsidRPr="00A02589" w14:paraId="0C2499D2" w14:textId="77777777" w:rsidTr="005A32AD">
        <w:tc>
          <w:tcPr>
            <w:tcW w:w="1761" w:type="pct"/>
            <w:shd w:val="clear" w:color="auto" w:fill="auto"/>
          </w:tcPr>
          <w:p w14:paraId="478397EC" w14:textId="77777777" w:rsidR="0090729C" w:rsidRPr="007F63EF" w:rsidRDefault="0090729C">
            <w:pPr>
              <w:rPr>
                <w:rFonts w:eastAsia="Calibri" w:cs="Calibri"/>
                <w:color w:val="auto"/>
                <w:sz w:val="20"/>
                <w:szCs w:val="20"/>
              </w:rPr>
            </w:pPr>
            <w:r w:rsidRPr="00A02589">
              <w:rPr>
                <w:rFonts w:eastAsia="Calibri" w:cs="Calibri"/>
                <w:color w:val="auto"/>
                <w:sz w:val="20"/>
                <w:szCs w:val="20"/>
              </w:rPr>
              <w:t>Grant Agreements</w:t>
            </w:r>
          </w:p>
        </w:tc>
        <w:tc>
          <w:tcPr>
            <w:tcW w:w="1612" w:type="pct"/>
            <w:shd w:val="clear" w:color="auto" w:fill="auto"/>
          </w:tcPr>
          <w:p w14:paraId="1E681BF1" w14:textId="77777777" w:rsidR="0090729C" w:rsidRPr="007F63EF" w:rsidRDefault="0090729C">
            <w:pPr>
              <w:jc w:val="center"/>
              <w:rPr>
                <w:rFonts w:eastAsia="Calibri" w:cs="Calibri"/>
                <w:color w:val="auto"/>
                <w:sz w:val="20"/>
                <w:szCs w:val="20"/>
              </w:rPr>
            </w:pPr>
            <w:r w:rsidRPr="00A02589">
              <w:rPr>
                <w:rFonts w:eastAsia="Calibri" w:cs="Calibri"/>
                <w:color w:val="auto"/>
                <w:sz w:val="20"/>
                <w:szCs w:val="20"/>
              </w:rPr>
              <w:t>3</w:t>
            </w:r>
          </w:p>
        </w:tc>
        <w:tc>
          <w:tcPr>
            <w:tcW w:w="1627" w:type="pct"/>
            <w:shd w:val="clear" w:color="auto" w:fill="auto"/>
          </w:tcPr>
          <w:p w14:paraId="1B04B2E9" w14:textId="77777777" w:rsidR="0090729C" w:rsidRPr="007F63EF" w:rsidRDefault="0090729C">
            <w:pPr>
              <w:jc w:val="center"/>
              <w:rPr>
                <w:rFonts w:eastAsia="Calibri" w:cs="Calibri"/>
                <w:color w:val="auto"/>
                <w:sz w:val="20"/>
                <w:szCs w:val="20"/>
              </w:rPr>
            </w:pPr>
            <w:r w:rsidRPr="00A02589">
              <w:rPr>
                <w:rFonts w:eastAsia="Calibri" w:cs="Calibri"/>
                <w:color w:val="auto"/>
                <w:sz w:val="20"/>
                <w:szCs w:val="20"/>
              </w:rPr>
              <w:t>-</w:t>
            </w:r>
          </w:p>
        </w:tc>
      </w:tr>
      <w:tr w:rsidR="001E6808" w:rsidRPr="00A02589" w14:paraId="72E8197D" w14:textId="77777777" w:rsidTr="005A32AD">
        <w:tc>
          <w:tcPr>
            <w:tcW w:w="1761" w:type="pct"/>
            <w:shd w:val="clear" w:color="auto" w:fill="auto"/>
          </w:tcPr>
          <w:p w14:paraId="732DC6D5" w14:textId="7DBB091C" w:rsidR="0090729C" w:rsidRPr="007F63EF" w:rsidRDefault="0090729C">
            <w:pPr>
              <w:rPr>
                <w:rFonts w:eastAsia="Calibri" w:cs="Calibri"/>
                <w:color w:val="auto"/>
                <w:sz w:val="20"/>
                <w:szCs w:val="20"/>
              </w:rPr>
            </w:pPr>
            <w:r w:rsidRPr="00A02589">
              <w:rPr>
                <w:rFonts w:eastAsia="Calibri" w:cs="Calibri"/>
                <w:color w:val="auto"/>
                <w:sz w:val="20"/>
                <w:szCs w:val="20"/>
              </w:rPr>
              <w:t>Other/</w:t>
            </w:r>
            <w:r w:rsidR="00AF7BE7" w:rsidRPr="00A02589">
              <w:rPr>
                <w:rFonts w:eastAsia="Calibri" w:cs="Calibri"/>
                <w:color w:val="auto"/>
                <w:sz w:val="20"/>
                <w:szCs w:val="20"/>
              </w:rPr>
              <w:t>Miscellaneous</w:t>
            </w:r>
            <w:r w:rsidRPr="00A02589">
              <w:rPr>
                <w:rFonts w:eastAsia="Calibri" w:cs="Calibri"/>
                <w:color w:val="auto"/>
                <w:sz w:val="20"/>
                <w:szCs w:val="20"/>
              </w:rPr>
              <w:t xml:space="preserve"> (Grant Activity Summary, Meeting Minutes, …)</w:t>
            </w:r>
          </w:p>
        </w:tc>
        <w:tc>
          <w:tcPr>
            <w:tcW w:w="1612" w:type="pct"/>
            <w:shd w:val="clear" w:color="auto" w:fill="auto"/>
          </w:tcPr>
          <w:p w14:paraId="3E31C666" w14:textId="525FFB3C" w:rsidR="0090729C" w:rsidRPr="007F63EF" w:rsidRDefault="6200986E">
            <w:pPr>
              <w:jc w:val="center"/>
              <w:rPr>
                <w:rFonts w:eastAsia="Calibri" w:cs="Calibri"/>
                <w:color w:val="auto"/>
                <w:sz w:val="20"/>
                <w:szCs w:val="20"/>
              </w:rPr>
            </w:pPr>
            <w:r w:rsidRPr="00A02589">
              <w:rPr>
                <w:rFonts w:eastAsia="Calibri" w:cs="Calibri"/>
                <w:color w:val="auto"/>
                <w:sz w:val="20"/>
                <w:szCs w:val="20"/>
              </w:rPr>
              <w:t>16</w:t>
            </w:r>
          </w:p>
        </w:tc>
        <w:tc>
          <w:tcPr>
            <w:tcW w:w="1627" w:type="pct"/>
            <w:shd w:val="clear" w:color="auto" w:fill="auto"/>
          </w:tcPr>
          <w:p w14:paraId="16951BFC" w14:textId="77777777" w:rsidR="0090729C" w:rsidRPr="007F63EF" w:rsidRDefault="0090729C">
            <w:pPr>
              <w:jc w:val="center"/>
              <w:rPr>
                <w:rFonts w:eastAsia="Calibri" w:cs="Calibri"/>
                <w:color w:val="auto"/>
                <w:sz w:val="20"/>
                <w:szCs w:val="20"/>
              </w:rPr>
            </w:pPr>
            <w:r w:rsidRPr="00A02589">
              <w:rPr>
                <w:rFonts w:eastAsia="Calibri" w:cs="Calibri"/>
                <w:color w:val="auto"/>
                <w:sz w:val="20"/>
                <w:szCs w:val="20"/>
              </w:rPr>
              <w:t>-</w:t>
            </w:r>
          </w:p>
        </w:tc>
      </w:tr>
      <w:tr w:rsidR="001E6808" w:rsidRPr="00A02589" w14:paraId="42DE5B62" w14:textId="77777777" w:rsidTr="005A32AD">
        <w:tc>
          <w:tcPr>
            <w:tcW w:w="1761" w:type="pct"/>
            <w:shd w:val="clear" w:color="auto" w:fill="auto"/>
          </w:tcPr>
          <w:p w14:paraId="4D26D628" w14:textId="77777777" w:rsidR="0090729C" w:rsidRPr="007F63EF" w:rsidRDefault="0090729C">
            <w:pPr>
              <w:rPr>
                <w:rFonts w:eastAsia="Calibri" w:cs="Calibri"/>
                <w:color w:val="auto"/>
                <w:sz w:val="20"/>
                <w:szCs w:val="20"/>
              </w:rPr>
            </w:pPr>
            <w:r w:rsidRPr="00A02589">
              <w:rPr>
                <w:rFonts w:eastAsia="Calibri" w:cs="Calibri"/>
                <w:color w:val="auto"/>
                <w:sz w:val="20"/>
                <w:szCs w:val="20"/>
              </w:rPr>
              <w:t>VfM</w:t>
            </w:r>
          </w:p>
        </w:tc>
        <w:tc>
          <w:tcPr>
            <w:tcW w:w="1612" w:type="pct"/>
            <w:shd w:val="clear" w:color="auto" w:fill="auto"/>
          </w:tcPr>
          <w:p w14:paraId="65F29F36" w14:textId="77777777" w:rsidR="0090729C" w:rsidRPr="007F63EF" w:rsidRDefault="0090729C">
            <w:pPr>
              <w:jc w:val="center"/>
              <w:rPr>
                <w:rFonts w:eastAsia="Calibri" w:cs="Calibri"/>
                <w:color w:val="auto"/>
                <w:sz w:val="20"/>
                <w:szCs w:val="20"/>
              </w:rPr>
            </w:pPr>
            <w:r w:rsidRPr="00A02589">
              <w:rPr>
                <w:rFonts w:eastAsia="Calibri" w:cs="Calibri"/>
                <w:color w:val="auto"/>
                <w:sz w:val="20"/>
                <w:szCs w:val="20"/>
              </w:rPr>
              <w:t>-</w:t>
            </w:r>
          </w:p>
        </w:tc>
        <w:tc>
          <w:tcPr>
            <w:tcW w:w="1627" w:type="pct"/>
            <w:shd w:val="clear" w:color="auto" w:fill="auto"/>
          </w:tcPr>
          <w:p w14:paraId="27D2BCED" w14:textId="77777777" w:rsidR="0090729C" w:rsidRPr="007F63EF" w:rsidRDefault="0090729C">
            <w:pPr>
              <w:jc w:val="center"/>
              <w:rPr>
                <w:rFonts w:eastAsia="Calibri" w:cs="Calibri"/>
                <w:color w:val="auto"/>
                <w:sz w:val="20"/>
                <w:szCs w:val="20"/>
              </w:rPr>
            </w:pPr>
            <w:r w:rsidRPr="00A02589">
              <w:rPr>
                <w:rFonts w:eastAsia="Calibri" w:cs="Calibri"/>
                <w:color w:val="auto"/>
                <w:sz w:val="20"/>
                <w:szCs w:val="20"/>
              </w:rPr>
              <w:t>75</w:t>
            </w:r>
          </w:p>
        </w:tc>
      </w:tr>
      <w:tr w:rsidR="001E6808" w:rsidRPr="00A02589" w14:paraId="3D546A51" w14:textId="77777777" w:rsidTr="005A32AD">
        <w:tc>
          <w:tcPr>
            <w:tcW w:w="1761" w:type="pct"/>
            <w:shd w:val="clear" w:color="auto" w:fill="auto"/>
          </w:tcPr>
          <w:p w14:paraId="676490CC" w14:textId="77777777" w:rsidR="0090729C" w:rsidRPr="007F63EF" w:rsidRDefault="0090729C">
            <w:pPr>
              <w:rPr>
                <w:rFonts w:eastAsia="Calibri" w:cs="Calibri"/>
                <w:color w:val="auto"/>
                <w:sz w:val="20"/>
                <w:szCs w:val="20"/>
              </w:rPr>
            </w:pPr>
            <w:r w:rsidRPr="00A02589">
              <w:rPr>
                <w:rFonts w:eastAsia="Calibri" w:cs="Calibri"/>
                <w:color w:val="auto"/>
                <w:sz w:val="20"/>
                <w:szCs w:val="20"/>
              </w:rPr>
              <w:t>Total</w:t>
            </w:r>
          </w:p>
        </w:tc>
        <w:tc>
          <w:tcPr>
            <w:tcW w:w="1612" w:type="pct"/>
            <w:shd w:val="clear" w:color="auto" w:fill="auto"/>
          </w:tcPr>
          <w:p w14:paraId="1813C5EB" w14:textId="37F9BFF3" w:rsidR="0090729C" w:rsidRPr="007F63EF" w:rsidRDefault="7DD9CBEB">
            <w:pPr>
              <w:jc w:val="center"/>
              <w:rPr>
                <w:rFonts w:eastAsia="Calibri" w:cs="Calibri"/>
                <w:color w:val="auto"/>
                <w:sz w:val="20"/>
                <w:szCs w:val="20"/>
              </w:rPr>
            </w:pPr>
            <w:r w:rsidRPr="00A02589">
              <w:rPr>
                <w:rFonts w:eastAsia="Calibri" w:cs="Calibri"/>
                <w:color w:val="auto"/>
                <w:sz w:val="20"/>
                <w:szCs w:val="20"/>
              </w:rPr>
              <w:t>66</w:t>
            </w:r>
          </w:p>
        </w:tc>
        <w:tc>
          <w:tcPr>
            <w:tcW w:w="1627" w:type="pct"/>
            <w:shd w:val="clear" w:color="auto" w:fill="auto"/>
          </w:tcPr>
          <w:p w14:paraId="499C79C0" w14:textId="77777777" w:rsidR="0090729C" w:rsidRPr="007F63EF" w:rsidRDefault="0090729C">
            <w:pPr>
              <w:jc w:val="center"/>
              <w:rPr>
                <w:rFonts w:eastAsia="Calibri" w:cs="Calibri"/>
                <w:color w:val="auto"/>
                <w:sz w:val="20"/>
                <w:szCs w:val="20"/>
              </w:rPr>
            </w:pPr>
            <w:r w:rsidRPr="00A02589">
              <w:rPr>
                <w:rFonts w:eastAsia="Calibri" w:cs="Calibri"/>
                <w:color w:val="auto"/>
                <w:sz w:val="20"/>
                <w:szCs w:val="20"/>
              </w:rPr>
              <w:t>62</w:t>
            </w:r>
          </w:p>
        </w:tc>
      </w:tr>
    </w:tbl>
    <w:p w14:paraId="1DDC9062" w14:textId="297C8A49" w:rsidR="007C6455" w:rsidRPr="00441A58" w:rsidRDefault="007C6455" w:rsidP="00441A58"/>
    <w:p w14:paraId="6A7F6929" w14:textId="5411FA89" w:rsidR="0090729C" w:rsidRDefault="0090729C" w:rsidP="0090729C">
      <w:pPr>
        <w:pStyle w:val="ItadH3Numbered"/>
        <w:numPr>
          <w:ilvl w:val="2"/>
          <w:numId w:val="0"/>
        </w:numPr>
        <w:tabs>
          <w:tab w:val="num" w:pos="680"/>
          <w:tab w:val="left" w:pos="680"/>
        </w:tabs>
        <w:spacing w:line="259" w:lineRule="auto"/>
        <w:rPr>
          <w:rFonts w:eastAsia="Calibri" w:cs="Calibri"/>
        </w:rPr>
      </w:pPr>
      <w:bookmarkStart w:id="102" w:name="_Toc118968513"/>
      <w:bookmarkStart w:id="103" w:name="_Toc142383154"/>
      <w:r w:rsidRPr="1C732485">
        <w:rPr>
          <w:rFonts w:eastAsia="Calibri" w:cs="Calibri"/>
        </w:rPr>
        <w:t>Global, Regional and Direct Grant</w:t>
      </w:r>
      <w:r w:rsidR="007C6455">
        <w:rPr>
          <w:rFonts w:eastAsia="Calibri" w:cs="Calibri"/>
        </w:rPr>
        <w:t xml:space="preserve">s </w:t>
      </w:r>
      <w:r w:rsidRPr="1C732485">
        <w:rPr>
          <w:rFonts w:eastAsia="Calibri" w:cs="Calibri"/>
        </w:rPr>
        <w:t>KIIs</w:t>
      </w:r>
      <w:bookmarkEnd w:id="102"/>
      <w:bookmarkEnd w:id="103"/>
    </w:p>
    <w:p w14:paraId="0F96B992" w14:textId="65AEA1FD" w:rsidR="00B076DB" w:rsidRDefault="0090729C" w:rsidP="007F52CD">
      <w:pPr>
        <w:jc w:val="both"/>
        <w:rPr>
          <w:rFonts w:cs="Calibri"/>
        </w:rPr>
      </w:pPr>
      <w:r>
        <w:t xml:space="preserve">KIIs were conducted with key stakeholders at </w:t>
      </w:r>
      <w:r w:rsidR="009856EB">
        <w:t xml:space="preserve">the </w:t>
      </w:r>
      <w:r>
        <w:t xml:space="preserve">DHSC and </w:t>
      </w:r>
      <w:r w:rsidR="009856EB">
        <w:t xml:space="preserve">the </w:t>
      </w:r>
      <w:r>
        <w:t xml:space="preserve">MA as well as with RCs, HIs and a small number of DPs. The KIIs were conducted as per the country level KIIs, using </w:t>
      </w:r>
      <w:r w:rsidRPr="1C732485">
        <w:rPr>
          <w:rFonts w:cs="Calibri"/>
        </w:rPr>
        <w:t>a semi-structured interview protocol, recorded with the interviewee’s permission before being written up and coded.</w:t>
      </w:r>
    </w:p>
    <w:p w14:paraId="078438B2" w14:textId="6208E68A" w:rsidR="007C6455" w:rsidRDefault="007C6455" w:rsidP="007F52CD">
      <w:pPr>
        <w:jc w:val="both"/>
      </w:pPr>
    </w:p>
    <w:p w14:paraId="73274586" w14:textId="5D0EA45D" w:rsidR="00182A7E" w:rsidRDefault="00182A7E" w:rsidP="008833AF">
      <w:pPr>
        <w:pStyle w:val="ItadH2"/>
      </w:pPr>
      <w:bookmarkStart w:id="104" w:name="_Toc117604490"/>
      <w:bookmarkStart w:id="105" w:name="_Toc118968514"/>
      <w:bookmarkStart w:id="106" w:name="_Toc142383155"/>
      <w:r w:rsidRPr="00DE3A7A">
        <w:t>Ensuring quality in the evaluation</w:t>
      </w:r>
      <w:bookmarkEnd w:id="104"/>
      <w:bookmarkEnd w:id="105"/>
      <w:bookmarkEnd w:id="106"/>
      <w:r w:rsidRPr="00DE3A7A">
        <w:t xml:space="preserve"> </w:t>
      </w:r>
    </w:p>
    <w:p w14:paraId="44A32C53" w14:textId="0488207F" w:rsidR="00182A7E" w:rsidRDefault="00182A7E" w:rsidP="00182A7E">
      <w:pPr>
        <w:pStyle w:val="FFNormal"/>
      </w:pPr>
      <w:r>
        <w:t xml:space="preserve">Itad is a values-based organisation, and our </w:t>
      </w:r>
      <w:r w:rsidR="53051551">
        <w:t>Quality Assurance (QA)</w:t>
      </w:r>
      <w:r>
        <w:t xml:space="preserve"> regime that monitors, measures and assures quality outcomes, which has evolved over the course of many evaluations</w:t>
      </w:r>
      <w:r w:rsidR="009F0136">
        <w:t xml:space="preserve"> is at the kernel of our core values of ‘making a difference’ and ‘technical excellence’</w:t>
      </w:r>
      <w:r>
        <w:t xml:space="preserve">. It has four stages: a) establishing quality </w:t>
      </w:r>
      <w:r w:rsidRPr="00BB4743">
        <w:rPr>
          <w:i/>
          <w:iCs/>
        </w:rPr>
        <w:t>ex-ante</w:t>
      </w:r>
      <w:r>
        <w:t xml:space="preserve"> – engaging the right team, b) quality of the evaluation process – selecting and implementing the best evaluation design, c) quality of the end product – ensuring the timeliness and quality of all deliverables, and d) improving quality </w:t>
      </w:r>
      <w:r w:rsidRPr="00BB4743">
        <w:rPr>
          <w:i/>
          <w:iCs/>
        </w:rPr>
        <w:t>ex-post</w:t>
      </w:r>
      <w:r>
        <w:t xml:space="preserve"> - securing feedback on the quality of the evaluation. This process also includes the assignment of an Itad Director to provide </w:t>
      </w:r>
      <w:r w:rsidR="53051551">
        <w:t>QA</w:t>
      </w:r>
      <w:r>
        <w:t xml:space="preserve"> to the assignment, in this case Jon Cooper. QA will assure that the evaluation adheres to relevant standards</w:t>
      </w:r>
      <w:r w:rsidR="00514EEE">
        <w:t>.</w:t>
      </w:r>
      <w:r>
        <w:rPr>
          <w:rStyle w:val="FootnoteReference"/>
        </w:rPr>
        <w:footnoteReference w:id="27"/>
      </w:r>
      <w:r>
        <w:t xml:space="preserve"> </w:t>
      </w:r>
    </w:p>
    <w:p w14:paraId="42E855BA" w14:textId="36E61558" w:rsidR="00182A7E" w:rsidRDefault="00182A7E" w:rsidP="00182A7E">
      <w:pPr>
        <w:pStyle w:val="FFNormal"/>
      </w:pPr>
      <w:r>
        <w:t>Throughout the evaluation</w:t>
      </w:r>
      <w:r w:rsidR="00514EEE">
        <w:t>,</w:t>
      </w:r>
      <w:r>
        <w:t xml:space="preserve"> we have called on key stakeholders, such as the evaluation’s own Evaluation Expert Advisory Group</w:t>
      </w:r>
      <w:r w:rsidR="00CE1889">
        <w:t xml:space="preserve"> (EAG)</w:t>
      </w:r>
      <w:r>
        <w:t xml:space="preserve">, </w:t>
      </w:r>
      <w:r w:rsidR="00514EEE">
        <w:t xml:space="preserve">the </w:t>
      </w:r>
      <w:r>
        <w:t xml:space="preserve">DHSC’s own </w:t>
      </w:r>
      <w:r w:rsidR="00DC0CD5">
        <w:t>T</w:t>
      </w:r>
      <w:r>
        <w:t xml:space="preserve">echnical </w:t>
      </w:r>
      <w:r w:rsidR="00DC0CD5">
        <w:t>A</w:t>
      </w:r>
      <w:r>
        <w:t xml:space="preserve">dvisory </w:t>
      </w:r>
      <w:r w:rsidR="00DC0CD5">
        <w:t>G</w:t>
      </w:r>
      <w:r>
        <w:t xml:space="preserve">roup (TAG) and the </w:t>
      </w:r>
      <w:r w:rsidR="00CE1889">
        <w:t>DHSC project team</w:t>
      </w:r>
      <w:r>
        <w:t xml:space="preserve"> to help assure and guide key elements of our work. We understand that</w:t>
      </w:r>
      <w:r w:rsidR="00514EEE">
        <w:t xml:space="preserve"> the</w:t>
      </w:r>
      <w:r>
        <w:t xml:space="preserve"> DHSC intends to utili</w:t>
      </w:r>
      <w:r w:rsidR="00514EEE">
        <w:t>s</w:t>
      </w:r>
      <w:r>
        <w:t xml:space="preserve">e </w:t>
      </w:r>
      <w:r w:rsidR="00D25711" w:rsidRPr="00D25711">
        <w:t xml:space="preserve">Evaluation QA and Learning Service </w:t>
      </w:r>
      <w:r w:rsidR="00D25711">
        <w:t>(</w:t>
      </w:r>
      <w:r>
        <w:t>EQ</w:t>
      </w:r>
      <w:r w:rsidR="004505D9">
        <w:t>u</w:t>
      </w:r>
      <w:r>
        <w:t>ALS</w:t>
      </w:r>
      <w:r w:rsidR="00D25711">
        <w:t>)</w:t>
      </w:r>
      <w:r>
        <w:t xml:space="preserve">, an external service established to deliver independent </w:t>
      </w:r>
      <w:r w:rsidR="00B25D09">
        <w:t>QA</w:t>
      </w:r>
      <w:r>
        <w:t xml:space="preserve"> of certain Fleming Fund evaluation products. Itad is used to working within the EQ</w:t>
      </w:r>
      <w:r w:rsidR="004505D9">
        <w:t>u</w:t>
      </w:r>
      <w:r>
        <w:t xml:space="preserve">ALS framework and welcomes this assessment process. To that end, the report has also been </w:t>
      </w:r>
      <w:r w:rsidR="00C7399D" w:rsidRPr="00C7399D">
        <w:t>quality assured</w:t>
      </w:r>
      <w:r w:rsidR="00C7399D" w:rsidRPr="00C7399D" w:rsidDel="00C7399D">
        <w:t xml:space="preserve"> </w:t>
      </w:r>
      <w:r w:rsidR="004D05C4">
        <w:t>(</w:t>
      </w:r>
      <w:r>
        <w:t>QA’d</w:t>
      </w:r>
      <w:r w:rsidR="004D05C4">
        <w:t>)</w:t>
      </w:r>
      <w:r>
        <w:t xml:space="preserve"> by senior advisor Paul Balogun, an EQ</w:t>
      </w:r>
      <w:r w:rsidR="004505D9">
        <w:t>u</w:t>
      </w:r>
      <w:r>
        <w:t xml:space="preserve">ALS consultant. </w:t>
      </w:r>
    </w:p>
    <w:p w14:paraId="662D97C9" w14:textId="7C3A0436" w:rsidR="00182A7E" w:rsidRDefault="00182A7E" w:rsidP="00182A7E">
      <w:pPr>
        <w:pStyle w:val="FFNormal"/>
      </w:pPr>
      <w:r>
        <w:t>Our evaluation design complies with established standards on ensuring quality in evaluation</w:t>
      </w:r>
      <w:r w:rsidR="0068674F">
        <w:t>s</w:t>
      </w:r>
      <w:r>
        <w:t xml:space="preserve">. </w:t>
      </w:r>
      <w:r w:rsidR="2B9A2622">
        <w:t xml:space="preserve">The </w:t>
      </w:r>
      <w:r w:rsidR="04650658">
        <w:t>terms of reference (</w:t>
      </w:r>
      <w:r>
        <w:t>ToR</w:t>
      </w:r>
      <w:r w:rsidR="04650658">
        <w:t>)</w:t>
      </w:r>
      <w:r>
        <w:t xml:space="preserve"> states that it is expected that the evaluation implementation and reporting will comply with the </w:t>
      </w:r>
      <w:r w:rsidR="6C42A6DF" w:rsidRPr="00DC5E52">
        <w:t>Organisation for Economic Co-operation and Development</w:t>
      </w:r>
      <w:r w:rsidR="007458AC">
        <w:t xml:space="preserve"> </w:t>
      </w:r>
      <w:r w:rsidR="6C42A6DF" w:rsidRPr="00DC5E52">
        <w:t>- Development Assistance Committee</w:t>
      </w:r>
      <w:r w:rsidR="6C42A6DF">
        <w:t xml:space="preserve"> (</w:t>
      </w:r>
      <w:r>
        <w:t>OECD-DAC</w:t>
      </w:r>
      <w:r w:rsidR="6C42A6DF">
        <w:t>)</w:t>
      </w:r>
      <w:r w:rsidR="007458AC">
        <w:t xml:space="preserve"> </w:t>
      </w:r>
      <w:r>
        <w:t xml:space="preserve">quality standards for development evaluation. Our evaluation design is </w:t>
      </w:r>
      <w:r w:rsidR="005C1EB2">
        <w:t>based</w:t>
      </w:r>
      <w:r>
        <w:t xml:space="preserve"> on the use of qualitative evaluation methods. To ensure quality, we have therefore drawn on the approach to </w:t>
      </w:r>
      <w:r w:rsidR="53051551">
        <w:t>QA</w:t>
      </w:r>
      <w:r>
        <w:t xml:space="preserve"> for qualitative evaluation developed by the Cabinet Office (2003)</w:t>
      </w:r>
      <w:r>
        <w:rPr>
          <w:rStyle w:val="FootnoteReference"/>
        </w:rPr>
        <w:footnoteReference w:id="28"/>
      </w:r>
      <w:r w:rsidR="004B010B">
        <w:t xml:space="preserve"> </w:t>
      </w:r>
      <w:r>
        <w:t>and cited in Stern et al (2012</w:t>
      </w:r>
      <w:r w:rsidR="00EA1DDA">
        <w:t>: 22</w:t>
      </w:r>
      <w:r>
        <w:t>)</w:t>
      </w:r>
      <w:r w:rsidR="004B010B">
        <w:t>.</w:t>
      </w:r>
      <w:r>
        <w:rPr>
          <w:rStyle w:val="FootnoteReference"/>
        </w:rPr>
        <w:footnoteReference w:id="29"/>
      </w:r>
      <w:r>
        <w:t xml:space="preserve"> This framework is not substantively at odds with the OECD-DAC quality standards but is better tailored to use with evaluations using qualitative methods. </w:t>
      </w:r>
    </w:p>
    <w:p w14:paraId="0066126F" w14:textId="557A5D69" w:rsidR="00FE0155" w:rsidRDefault="00FE0155" w:rsidP="00C04C3C">
      <w:pPr>
        <w:pStyle w:val="ItadCaption"/>
      </w:pPr>
      <w:bookmarkStart w:id="107" w:name="_Toc143857881"/>
      <w:r>
        <w:t xml:space="preserve">Table </w:t>
      </w:r>
      <w:r>
        <w:fldChar w:fldCharType="begin"/>
      </w:r>
      <w:r>
        <w:instrText>SEQ Table \* ARABIC</w:instrText>
      </w:r>
      <w:r>
        <w:fldChar w:fldCharType="separate"/>
      </w:r>
      <w:r w:rsidR="009A383C">
        <w:rPr>
          <w:noProof/>
        </w:rPr>
        <w:t>13</w:t>
      </w:r>
      <w:r>
        <w:fldChar w:fldCharType="end"/>
      </w:r>
      <w:r>
        <w:t xml:space="preserve"> Framework for ensuring quality in the evaluation</w:t>
      </w:r>
      <w:bookmarkEnd w:id="107"/>
    </w:p>
    <w:tbl>
      <w:tblPr>
        <w:tblStyle w:val="ItadGreenHeaderRow"/>
        <w:tblW w:w="5000" w:type="pct"/>
        <w:tblInd w:w="0" w:type="dxa"/>
        <w:tblLook w:val="04A0" w:firstRow="1" w:lastRow="0" w:firstColumn="1" w:lastColumn="0" w:noHBand="0" w:noVBand="1"/>
      </w:tblPr>
      <w:tblGrid>
        <w:gridCol w:w="2419"/>
        <w:gridCol w:w="3482"/>
        <w:gridCol w:w="3489"/>
        <w:gridCol w:w="118"/>
      </w:tblGrid>
      <w:tr w:rsidR="00182A7E" w:rsidRPr="00DD0622" w14:paraId="5657EB3F" w14:textId="77777777" w:rsidTr="00BB4743">
        <w:trPr>
          <w:gridAfter w:val="1"/>
          <w:cnfStyle w:val="100000000000" w:firstRow="1" w:lastRow="0" w:firstColumn="0" w:lastColumn="0" w:oddVBand="0" w:evenVBand="0" w:oddHBand="0" w:evenHBand="0" w:firstRowFirstColumn="0" w:firstRowLastColumn="0" w:lastRowFirstColumn="0" w:lastRowLastColumn="0"/>
          <w:wAfter w:w="62" w:type="pct"/>
          <w:tblHeader/>
        </w:trPr>
        <w:tc>
          <w:tcPr>
            <w:tcW w:w="1272" w:type="pct"/>
          </w:tcPr>
          <w:p w14:paraId="7E24E457" w14:textId="77777777" w:rsidR="00182A7E" w:rsidRPr="00DD0622" w:rsidRDefault="00182A7E">
            <w:pPr>
              <w:jc w:val="both"/>
              <w:rPr>
                <w:rFonts w:cs="Calibri"/>
                <w:b/>
                <w:bCs/>
                <w:color w:val="000000"/>
                <w:sz w:val="20"/>
                <w:szCs w:val="20"/>
              </w:rPr>
            </w:pPr>
            <w:r w:rsidRPr="00BB4743">
              <w:rPr>
                <w:rFonts w:cs="Calibri"/>
                <w:b/>
                <w:bCs/>
                <w:color w:val="000000"/>
                <w:sz w:val="20"/>
                <w:szCs w:val="20"/>
              </w:rPr>
              <w:t>Underlying concern</w:t>
            </w:r>
          </w:p>
        </w:tc>
        <w:tc>
          <w:tcPr>
            <w:tcW w:w="1831" w:type="pct"/>
          </w:tcPr>
          <w:p w14:paraId="6858D424" w14:textId="77777777" w:rsidR="00182A7E" w:rsidRPr="00DD0622" w:rsidRDefault="00182A7E">
            <w:pPr>
              <w:jc w:val="both"/>
              <w:rPr>
                <w:rFonts w:cs="Calibri"/>
                <w:b/>
                <w:bCs/>
                <w:color w:val="000000"/>
                <w:sz w:val="20"/>
                <w:szCs w:val="20"/>
              </w:rPr>
            </w:pPr>
            <w:r w:rsidRPr="00BB4743">
              <w:rPr>
                <w:rFonts w:cs="Calibri"/>
                <w:b/>
                <w:bCs/>
                <w:color w:val="000000"/>
                <w:sz w:val="20"/>
                <w:szCs w:val="20"/>
              </w:rPr>
              <w:t>Ways of ensuring quality (examples)</w:t>
            </w:r>
          </w:p>
        </w:tc>
        <w:tc>
          <w:tcPr>
            <w:tcW w:w="1835" w:type="pct"/>
          </w:tcPr>
          <w:p w14:paraId="32CF50B5" w14:textId="77777777" w:rsidR="00182A7E" w:rsidRPr="00DD0622" w:rsidRDefault="00182A7E">
            <w:pPr>
              <w:jc w:val="both"/>
              <w:rPr>
                <w:rFonts w:cs="Calibri"/>
                <w:b/>
                <w:bCs/>
                <w:color w:val="000000"/>
                <w:sz w:val="20"/>
                <w:szCs w:val="20"/>
              </w:rPr>
            </w:pPr>
            <w:r w:rsidRPr="00BB4743">
              <w:rPr>
                <w:rFonts w:cs="Calibri"/>
                <w:b/>
                <w:bCs/>
                <w:color w:val="000000"/>
                <w:sz w:val="20"/>
                <w:szCs w:val="20"/>
              </w:rPr>
              <w:t>What we have done</w:t>
            </w:r>
          </w:p>
        </w:tc>
      </w:tr>
      <w:tr w:rsidR="00404180" w:rsidRPr="00DD0622" w14:paraId="4C9B9359" w14:textId="77777777" w:rsidTr="00BB4743">
        <w:trPr>
          <w:cnfStyle w:val="000000100000" w:firstRow="0" w:lastRow="0" w:firstColumn="0" w:lastColumn="0" w:oddVBand="0" w:evenVBand="0" w:oddHBand="1" w:evenHBand="0" w:firstRowFirstColumn="0" w:firstRowLastColumn="0" w:lastRowFirstColumn="0" w:lastRowLastColumn="0"/>
        </w:trPr>
        <w:tc>
          <w:tcPr>
            <w:tcW w:w="1272" w:type="pct"/>
            <w:vMerge w:val="restart"/>
          </w:tcPr>
          <w:p w14:paraId="05E8B245" w14:textId="77777777" w:rsidR="00404180" w:rsidRPr="00DD0622" w:rsidRDefault="00404180" w:rsidP="00404180">
            <w:pPr>
              <w:jc w:val="both"/>
              <w:rPr>
                <w:rFonts w:cs="Calibri"/>
                <w:color w:val="000000"/>
                <w:sz w:val="20"/>
                <w:szCs w:val="20"/>
              </w:rPr>
            </w:pPr>
            <w:r w:rsidRPr="00DD0622">
              <w:rPr>
                <w:rFonts w:cs="Calibri"/>
                <w:color w:val="000000"/>
                <w:sz w:val="20"/>
                <w:szCs w:val="20"/>
              </w:rPr>
              <w:t>The defensibility of the approach</w:t>
            </w:r>
          </w:p>
        </w:tc>
        <w:tc>
          <w:tcPr>
            <w:tcW w:w="1831" w:type="pct"/>
          </w:tcPr>
          <w:p w14:paraId="4B0BC780" w14:textId="77777777" w:rsidR="00404180" w:rsidRPr="00DD0622" w:rsidRDefault="00404180" w:rsidP="00404180">
            <w:pPr>
              <w:jc w:val="both"/>
              <w:rPr>
                <w:rFonts w:cs="Calibri"/>
                <w:color w:val="000000"/>
                <w:sz w:val="20"/>
                <w:szCs w:val="20"/>
              </w:rPr>
            </w:pPr>
            <w:r w:rsidRPr="00DD0622">
              <w:rPr>
                <w:rFonts w:cs="Calibri"/>
                <w:color w:val="000000"/>
                <w:sz w:val="20"/>
                <w:szCs w:val="20"/>
              </w:rPr>
              <w:t>A clear logic of enquiry</w:t>
            </w:r>
          </w:p>
        </w:tc>
        <w:tc>
          <w:tcPr>
            <w:tcW w:w="1897" w:type="pct"/>
            <w:gridSpan w:val="2"/>
          </w:tcPr>
          <w:p w14:paraId="1DF14973" w14:textId="43071821" w:rsidR="00404180" w:rsidRPr="00404180" w:rsidRDefault="00404180" w:rsidP="00404180">
            <w:pPr>
              <w:jc w:val="both"/>
              <w:rPr>
                <w:color w:val="000000"/>
                <w:sz w:val="20"/>
                <w:szCs w:val="20"/>
              </w:rPr>
            </w:pPr>
            <w:r w:rsidRPr="00404180">
              <w:rPr>
                <w:color w:val="000000"/>
                <w:sz w:val="20"/>
                <w:szCs w:val="20"/>
              </w:rPr>
              <w:t xml:space="preserve">See </w:t>
            </w:r>
            <w:r w:rsidRPr="00DD0622">
              <w:rPr>
                <w:color w:val="000000"/>
                <w:sz w:val="20"/>
                <w:szCs w:val="20"/>
              </w:rPr>
              <w:t>Volume II</w:t>
            </w:r>
            <w:r w:rsidRPr="00404180">
              <w:rPr>
                <w:color w:val="000000"/>
                <w:sz w:val="20"/>
                <w:szCs w:val="20"/>
              </w:rPr>
              <w:t xml:space="preserve"> Annex 3, and inception report</w:t>
            </w:r>
          </w:p>
        </w:tc>
      </w:tr>
      <w:tr w:rsidR="00404180" w:rsidRPr="00DD0622" w14:paraId="366180E6" w14:textId="77777777" w:rsidTr="00BB4743">
        <w:trPr>
          <w:cnfStyle w:val="000000010000" w:firstRow="0" w:lastRow="0" w:firstColumn="0" w:lastColumn="0" w:oddVBand="0" w:evenVBand="0" w:oddHBand="0" w:evenHBand="1" w:firstRowFirstColumn="0" w:firstRowLastColumn="0" w:lastRowFirstColumn="0" w:lastRowLastColumn="0"/>
        </w:trPr>
        <w:tc>
          <w:tcPr>
            <w:tcW w:w="1272" w:type="pct"/>
            <w:vMerge/>
          </w:tcPr>
          <w:p w14:paraId="07709D9E" w14:textId="77777777" w:rsidR="00404180" w:rsidRPr="00DD0622" w:rsidRDefault="00404180" w:rsidP="00404180">
            <w:pPr>
              <w:jc w:val="both"/>
              <w:rPr>
                <w:rFonts w:cs="Calibri"/>
                <w:color w:val="000000"/>
                <w:sz w:val="20"/>
                <w:szCs w:val="20"/>
              </w:rPr>
            </w:pPr>
          </w:p>
        </w:tc>
        <w:tc>
          <w:tcPr>
            <w:tcW w:w="1831" w:type="pct"/>
          </w:tcPr>
          <w:p w14:paraId="065B798A" w14:textId="77777777" w:rsidR="00404180" w:rsidRPr="00DD0622" w:rsidRDefault="00404180" w:rsidP="00404180">
            <w:pPr>
              <w:jc w:val="both"/>
              <w:rPr>
                <w:rFonts w:cs="Calibri"/>
                <w:color w:val="000000"/>
                <w:sz w:val="20"/>
                <w:szCs w:val="20"/>
              </w:rPr>
            </w:pPr>
            <w:r w:rsidRPr="00DD0622">
              <w:rPr>
                <w:rFonts w:cs="Calibri"/>
                <w:color w:val="000000"/>
                <w:sz w:val="20"/>
                <w:szCs w:val="20"/>
              </w:rPr>
              <w:t>Clarity of questions posed</w:t>
            </w:r>
          </w:p>
        </w:tc>
        <w:tc>
          <w:tcPr>
            <w:tcW w:w="1897" w:type="pct"/>
            <w:gridSpan w:val="2"/>
            <w:shd w:val="clear" w:color="auto" w:fill="auto"/>
          </w:tcPr>
          <w:p w14:paraId="7E524D04" w14:textId="5A6569CE" w:rsidR="00404180" w:rsidRPr="00404180" w:rsidRDefault="00404180" w:rsidP="00404180">
            <w:pPr>
              <w:jc w:val="both"/>
              <w:rPr>
                <w:color w:val="000000"/>
                <w:sz w:val="20"/>
                <w:szCs w:val="20"/>
              </w:rPr>
            </w:pPr>
            <w:r w:rsidRPr="00404180">
              <w:rPr>
                <w:color w:val="000000"/>
                <w:sz w:val="20"/>
                <w:szCs w:val="20"/>
              </w:rPr>
              <w:t xml:space="preserve">See </w:t>
            </w:r>
            <w:r w:rsidRPr="00DD0622">
              <w:rPr>
                <w:color w:val="000000"/>
                <w:sz w:val="20"/>
                <w:szCs w:val="20"/>
              </w:rPr>
              <w:t>Volume II</w:t>
            </w:r>
            <w:r w:rsidRPr="00404180">
              <w:rPr>
                <w:color w:val="000000"/>
                <w:sz w:val="20"/>
                <w:szCs w:val="20"/>
              </w:rPr>
              <w:t xml:space="preserve"> Annex 3 and 4 (EQs)</w:t>
            </w:r>
          </w:p>
        </w:tc>
      </w:tr>
      <w:tr w:rsidR="00404180" w:rsidRPr="00DD0622" w14:paraId="14AFDFD0" w14:textId="77777777" w:rsidTr="00BB4743">
        <w:trPr>
          <w:cnfStyle w:val="000000100000" w:firstRow="0" w:lastRow="0" w:firstColumn="0" w:lastColumn="0" w:oddVBand="0" w:evenVBand="0" w:oddHBand="1" w:evenHBand="0" w:firstRowFirstColumn="0" w:firstRowLastColumn="0" w:lastRowFirstColumn="0" w:lastRowLastColumn="0"/>
        </w:trPr>
        <w:tc>
          <w:tcPr>
            <w:tcW w:w="1272" w:type="pct"/>
            <w:vMerge/>
          </w:tcPr>
          <w:p w14:paraId="559AC781" w14:textId="77777777" w:rsidR="00404180" w:rsidRPr="00DD0622" w:rsidRDefault="00404180" w:rsidP="00404180">
            <w:pPr>
              <w:jc w:val="both"/>
              <w:rPr>
                <w:rFonts w:cs="Calibri"/>
                <w:color w:val="000000"/>
                <w:sz w:val="20"/>
                <w:szCs w:val="20"/>
              </w:rPr>
            </w:pPr>
          </w:p>
        </w:tc>
        <w:tc>
          <w:tcPr>
            <w:tcW w:w="1831" w:type="pct"/>
          </w:tcPr>
          <w:p w14:paraId="2DE47270" w14:textId="77777777" w:rsidR="00404180" w:rsidRPr="00DD0622" w:rsidRDefault="00404180" w:rsidP="00404180">
            <w:pPr>
              <w:jc w:val="both"/>
              <w:rPr>
                <w:rFonts w:cs="Calibri"/>
                <w:color w:val="000000"/>
                <w:sz w:val="20"/>
                <w:szCs w:val="20"/>
              </w:rPr>
            </w:pPr>
            <w:r w:rsidRPr="00DD0622">
              <w:rPr>
                <w:rFonts w:cs="Calibri"/>
                <w:color w:val="000000"/>
                <w:sz w:val="20"/>
                <w:szCs w:val="20"/>
              </w:rPr>
              <w:t>Rationale for questions</w:t>
            </w:r>
          </w:p>
        </w:tc>
        <w:tc>
          <w:tcPr>
            <w:tcW w:w="1897" w:type="pct"/>
            <w:gridSpan w:val="2"/>
          </w:tcPr>
          <w:p w14:paraId="3006EC9C" w14:textId="4A261E14" w:rsidR="00404180" w:rsidRPr="00404180" w:rsidRDefault="00404180" w:rsidP="00404180">
            <w:pPr>
              <w:jc w:val="both"/>
              <w:rPr>
                <w:color w:val="000000"/>
                <w:sz w:val="20"/>
                <w:szCs w:val="20"/>
              </w:rPr>
            </w:pPr>
            <w:r w:rsidRPr="00404180">
              <w:rPr>
                <w:color w:val="000000"/>
                <w:sz w:val="20"/>
                <w:szCs w:val="20"/>
              </w:rPr>
              <w:t>See inception report</w:t>
            </w:r>
          </w:p>
        </w:tc>
      </w:tr>
      <w:tr w:rsidR="00404180" w:rsidRPr="00DD0622" w14:paraId="51AC5BEA" w14:textId="77777777" w:rsidTr="00BB4743">
        <w:trPr>
          <w:cnfStyle w:val="000000010000" w:firstRow="0" w:lastRow="0" w:firstColumn="0" w:lastColumn="0" w:oddVBand="0" w:evenVBand="0" w:oddHBand="0" w:evenHBand="1" w:firstRowFirstColumn="0" w:firstRowLastColumn="0" w:lastRowFirstColumn="0" w:lastRowLastColumn="0"/>
        </w:trPr>
        <w:tc>
          <w:tcPr>
            <w:tcW w:w="1272" w:type="pct"/>
            <w:vMerge/>
          </w:tcPr>
          <w:p w14:paraId="3A29D873" w14:textId="77777777" w:rsidR="00404180" w:rsidRPr="00DD0622" w:rsidRDefault="00404180" w:rsidP="00404180">
            <w:pPr>
              <w:jc w:val="both"/>
              <w:rPr>
                <w:rFonts w:cs="Calibri"/>
                <w:color w:val="000000"/>
                <w:sz w:val="20"/>
                <w:szCs w:val="20"/>
              </w:rPr>
            </w:pPr>
          </w:p>
        </w:tc>
        <w:tc>
          <w:tcPr>
            <w:tcW w:w="1831" w:type="pct"/>
          </w:tcPr>
          <w:p w14:paraId="72617BDB" w14:textId="77777777" w:rsidR="00404180" w:rsidRPr="00DD0622" w:rsidRDefault="00404180" w:rsidP="00404180">
            <w:pPr>
              <w:jc w:val="both"/>
              <w:rPr>
                <w:rFonts w:cs="Calibri"/>
                <w:color w:val="000000"/>
                <w:sz w:val="20"/>
                <w:szCs w:val="20"/>
              </w:rPr>
            </w:pPr>
            <w:r w:rsidRPr="00DD0622">
              <w:rPr>
                <w:rFonts w:cs="Calibri"/>
                <w:color w:val="000000"/>
                <w:sz w:val="20"/>
                <w:szCs w:val="20"/>
              </w:rPr>
              <w:t>Responsiveness to real life context</w:t>
            </w:r>
          </w:p>
        </w:tc>
        <w:tc>
          <w:tcPr>
            <w:tcW w:w="1897" w:type="pct"/>
            <w:gridSpan w:val="2"/>
          </w:tcPr>
          <w:p w14:paraId="20D976B9" w14:textId="77BACF8E" w:rsidR="00404180" w:rsidRPr="00404180" w:rsidRDefault="00404180" w:rsidP="00404180">
            <w:pPr>
              <w:jc w:val="both"/>
              <w:rPr>
                <w:color w:val="000000"/>
                <w:sz w:val="20"/>
                <w:szCs w:val="20"/>
              </w:rPr>
            </w:pPr>
            <w:r w:rsidRPr="00404180">
              <w:rPr>
                <w:color w:val="000000"/>
                <w:sz w:val="20"/>
                <w:szCs w:val="20"/>
              </w:rPr>
              <w:t xml:space="preserve">See </w:t>
            </w:r>
            <w:r w:rsidRPr="00DD0622">
              <w:rPr>
                <w:color w:val="000000"/>
                <w:sz w:val="20"/>
                <w:szCs w:val="20"/>
              </w:rPr>
              <w:t>Volume I</w:t>
            </w:r>
            <w:r w:rsidRPr="00404180">
              <w:rPr>
                <w:color w:val="000000"/>
                <w:sz w:val="20"/>
                <w:szCs w:val="20"/>
              </w:rPr>
              <w:t xml:space="preserve"> section 1</w:t>
            </w:r>
          </w:p>
        </w:tc>
      </w:tr>
      <w:tr w:rsidR="00C8376A" w:rsidRPr="00DD0622" w14:paraId="29EB2F71" w14:textId="77777777" w:rsidTr="00BB4743">
        <w:trPr>
          <w:cnfStyle w:val="000000100000" w:firstRow="0" w:lastRow="0" w:firstColumn="0" w:lastColumn="0" w:oddVBand="0" w:evenVBand="0" w:oddHBand="1" w:evenHBand="0" w:firstRowFirstColumn="0" w:firstRowLastColumn="0" w:lastRowFirstColumn="0" w:lastRowLastColumn="0"/>
        </w:trPr>
        <w:tc>
          <w:tcPr>
            <w:tcW w:w="1272" w:type="pct"/>
            <w:vMerge/>
          </w:tcPr>
          <w:p w14:paraId="5C4F0F80" w14:textId="77777777" w:rsidR="00C8376A" w:rsidRPr="00DD0622" w:rsidRDefault="00C8376A" w:rsidP="00C8376A">
            <w:pPr>
              <w:jc w:val="both"/>
              <w:rPr>
                <w:rFonts w:cs="Calibri"/>
                <w:color w:val="000000"/>
                <w:sz w:val="20"/>
                <w:szCs w:val="20"/>
              </w:rPr>
            </w:pPr>
          </w:p>
        </w:tc>
        <w:tc>
          <w:tcPr>
            <w:tcW w:w="1831" w:type="pct"/>
          </w:tcPr>
          <w:p w14:paraId="60128621" w14:textId="77777777" w:rsidR="00C8376A" w:rsidRPr="00DD0622" w:rsidRDefault="00C8376A" w:rsidP="00C8376A">
            <w:pPr>
              <w:jc w:val="both"/>
              <w:rPr>
                <w:rFonts w:cs="Calibri"/>
                <w:color w:val="000000"/>
                <w:sz w:val="20"/>
                <w:szCs w:val="20"/>
              </w:rPr>
            </w:pPr>
            <w:r w:rsidRPr="00DD0622">
              <w:rPr>
                <w:rFonts w:cs="Calibri"/>
                <w:color w:val="000000"/>
                <w:sz w:val="20"/>
                <w:szCs w:val="20"/>
              </w:rPr>
              <w:t>Fitness for purpose</w:t>
            </w:r>
          </w:p>
        </w:tc>
        <w:tc>
          <w:tcPr>
            <w:tcW w:w="1897" w:type="pct"/>
            <w:gridSpan w:val="2"/>
          </w:tcPr>
          <w:p w14:paraId="41B077A8" w14:textId="05DA39D8" w:rsidR="00C8376A" w:rsidRPr="00404180" w:rsidRDefault="00C8376A" w:rsidP="00C8376A">
            <w:pPr>
              <w:jc w:val="both"/>
              <w:rPr>
                <w:color w:val="000000"/>
                <w:sz w:val="20"/>
                <w:szCs w:val="20"/>
              </w:rPr>
            </w:pPr>
            <w:r w:rsidRPr="00404180">
              <w:rPr>
                <w:color w:val="000000"/>
                <w:sz w:val="20"/>
                <w:szCs w:val="20"/>
              </w:rPr>
              <w:t xml:space="preserve">See </w:t>
            </w:r>
            <w:r w:rsidRPr="00DD0622">
              <w:rPr>
                <w:color w:val="000000"/>
                <w:sz w:val="20"/>
                <w:szCs w:val="20"/>
              </w:rPr>
              <w:t>Volume II</w:t>
            </w:r>
            <w:r w:rsidRPr="00404180">
              <w:rPr>
                <w:color w:val="000000"/>
                <w:sz w:val="20"/>
                <w:szCs w:val="20"/>
              </w:rPr>
              <w:t xml:space="preserve"> Annex </w:t>
            </w:r>
            <w:r>
              <w:rPr>
                <w:color w:val="000000"/>
                <w:sz w:val="20"/>
                <w:szCs w:val="20"/>
              </w:rPr>
              <w:t>17</w:t>
            </w:r>
          </w:p>
        </w:tc>
      </w:tr>
      <w:tr w:rsidR="00C8376A" w:rsidRPr="00DD0622" w14:paraId="35B6DA22" w14:textId="77777777" w:rsidTr="00BB4743">
        <w:trPr>
          <w:cnfStyle w:val="000000010000" w:firstRow="0" w:lastRow="0" w:firstColumn="0" w:lastColumn="0" w:oddVBand="0" w:evenVBand="0" w:oddHBand="0" w:evenHBand="1" w:firstRowFirstColumn="0" w:firstRowLastColumn="0" w:lastRowFirstColumn="0" w:lastRowLastColumn="0"/>
        </w:trPr>
        <w:tc>
          <w:tcPr>
            <w:tcW w:w="1272" w:type="pct"/>
            <w:vMerge w:val="restart"/>
          </w:tcPr>
          <w:p w14:paraId="3E87B980" w14:textId="77777777" w:rsidR="00C8376A" w:rsidRPr="00DD0622" w:rsidRDefault="00C8376A" w:rsidP="00C8376A">
            <w:pPr>
              <w:jc w:val="both"/>
              <w:rPr>
                <w:rFonts w:cs="Calibri"/>
                <w:color w:val="000000"/>
                <w:sz w:val="20"/>
                <w:szCs w:val="20"/>
              </w:rPr>
            </w:pPr>
            <w:r w:rsidRPr="00DD0622">
              <w:rPr>
                <w:rFonts w:cs="Calibri"/>
                <w:color w:val="000000"/>
                <w:sz w:val="20"/>
                <w:szCs w:val="20"/>
              </w:rPr>
              <w:t>The rigour of conduct</w:t>
            </w:r>
          </w:p>
        </w:tc>
        <w:tc>
          <w:tcPr>
            <w:tcW w:w="1831" w:type="pct"/>
          </w:tcPr>
          <w:p w14:paraId="77E426DC" w14:textId="77777777" w:rsidR="00C8376A" w:rsidRPr="00DD0622" w:rsidRDefault="00C8376A" w:rsidP="00C8376A">
            <w:pPr>
              <w:jc w:val="both"/>
              <w:rPr>
                <w:rFonts w:cs="Calibri"/>
                <w:color w:val="000000"/>
                <w:sz w:val="20"/>
                <w:szCs w:val="20"/>
              </w:rPr>
            </w:pPr>
            <w:r w:rsidRPr="00DD0622">
              <w:rPr>
                <w:rFonts w:cs="Calibri"/>
                <w:color w:val="000000"/>
                <w:sz w:val="20"/>
                <w:szCs w:val="20"/>
              </w:rPr>
              <w:t xml:space="preserve">Collection of in-depth data </w:t>
            </w:r>
          </w:p>
        </w:tc>
        <w:tc>
          <w:tcPr>
            <w:tcW w:w="1897" w:type="pct"/>
            <w:gridSpan w:val="2"/>
          </w:tcPr>
          <w:p w14:paraId="06B3AB14" w14:textId="64E2BAB4" w:rsidR="00C8376A" w:rsidRPr="00DD0622" w:rsidRDefault="00C8376A" w:rsidP="00C8376A">
            <w:pPr>
              <w:jc w:val="both"/>
              <w:rPr>
                <w:rFonts w:cs="Calibri"/>
                <w:color w:val="000000"/>
                <w:sz w:val="20"/>
                <w:szCs w:val="20"/>
                <w:highlight w:val="yellow"/>
              </w:rPr>
            </w:pPr>
            <w:r w:rsidRPr="00DD0622">
              <w:rPr>
                <w:rFonts w:cs="Calibri"/>
                <w:color w:val="000000"/>
                <w:sz w:val="20"/>
                <w:szCs w:val="20"/>
              </w:rPr>
              <w:t>S</w:t>
            </w:r>
            <w:r w:rsidRPr="00DD0622">
              <w:rPr>
                <w:color w:val="000000"/>
                <w:sz w:val="20"/>
                <w:szCs w:val="20"/>
              </w:rPr>
              <w:t>ee Volume II Annex 4</w:t>
            </w:r>
          </w:p>
        </w:tc>
      </w:tr>
      <w:tr w:rsidR="00C8376A" w:rsidRPr="00DD0622" w14:paraId="56173624" w14:textId="77777777" w:rsidTr="00BB4743">
        <w:trPr>
          <w:cnfStyle w:val="000000100000" w:firstRow="0" w:lastRow="0" w:firstColumn="0" w:lastColumn="0" w:oddVBand="0" w:evenVBand="0" w:oddHBand="1" w:evenHBand="0" w:firstRowFirstColumn="0" w:firstRowLastColumn="0" w:lastRowFirstColumn="0" w:lastRowLastColumn="0"/>
        </w:trPr>
        <w:tc>
          <w:tcPr>
            <w:tcW w:w="1272" w:type="pct"/>
            <w:vMerge/>
          </w:tcPr>
          <w:p w14:paraId="42DB2936" w14:textId="77777777" w:rsidR="00C8376A" w:rsidRPr="00DD0622" w:rsidRDefault="00C8376A" w:rsidP="00C8376A">
            <w:pPr>
              <w:jc w:val="both"/>
              <w:rPr>
                <w:rFonts w:cs="Calibri"/>
                <w:color w:val="000000"/>
                <w:sz w:val="20"/>
                <w:szCs w:val="20"/>
              </w:rPr>
            </w:pPr>
          </w:p>
        </w:tc>
        <w:tc>
          <w:tcPr>
            <w:tcW w:w="1831" w:type="pct"/>
          </w:tcPr>
          <w:p w14:paraId="6CC8D4CE" w14:textId="77777777" w:rsidR="00C8376A" w:rsidRPr="00DD0622" w:rsidRDefault="00C8376A" w:rsidP="00C8376A">
            <w:pPr>
              <w:jc w:val="both"/>
              <w:rPr>
                <w:rFonts w:cs="Calibri"/>
                <w:color w:val="000000"/>
                <w:sz w:val="20"/>
                <w:szCs w:val="20"/>
              </w:rPr>
            </w:pPr>
            <w:r w:rsidRPr="00DD0622">
              <w:rPr>
                <w:rFonts w:cs="Calibri"/>
                <w:color w:val="000000"/>
                <w:sz w:val="20"/>
                <w:szCs w:val="20"/>
              </w:rPr>
              <w:t>Careful recording of data</w:t>
            </w:r>
          </w:p>
        </w:tc>
        <w:tc>
          <w:tcPr>
            <w:tcW w:w="1897" w:type="pct"/>
            <w:gridSpan w:val="2"/>
          </w:tcPr>
          <w:p w14:paraId="6F98DB05" w14:textId="69218466" w:rsidR="00C8376A" w:rsidRPr="00DD0622" w:rsidRDefault="00C8376A" w:rsidP="00C8376A">
            <w:pPr>
              <w:jc w:val="both"/>
              <w:rPr>
                <w:rFonts w:cs="Calibri"/>
                <w:color w:val="000000"/>
                <w:sz w:val="20"/>
                <w:szCs w:val="20"/>
                <w:highlight w:val="yellow"/>
              </w:rPr>
            </w:pPr>
            <w:r w:rsidRPr="00DD0622">
              <w:rPr>
                <w:rFonts w:cs="Calibri"/>
                <w:color w:val="000000"/>
                <w:sz w:val="20"/>
                <w:szCs w:val="20"/>
              </w:rPr>
              <w:t>S</w:t>
            </w:r>
            <w:r w:rsidRPr="00DD0622">
              <w:rPr>
                <w:color w:val="000000"/>
                <w:sz w:val="20"/>
                <w:szCs w:val="20"/>
              </w:rPr>
              <w:t>ee Volume II Annex 4</w:t>
            </w:r>
          </w:p>
        </w:tc>
      </w:tr>
      <w:tr w:rsidR="00C8376A" w:rsidRPr="00DD0622" w14:paraId="0FFBD67B" w14:textId="77777777" w:rsidTr="00BB4743">
        <w:trPr>
          <w:cnfStyle w:val="000000010000" w:firstRow="0" w:lastRow="0" w:firstColumn="0" w:lastColumn="0" w:oddVBand="0" w:evenVBand="0" w:oddHBand="0" w:evenHBand="1" w:firstRowFirstColumn="0" w:firstRowLastColumn="0" w:lastRowFirstColumn="0" w:lastRowLastColumn="0"/>
        </w:trPr>
        <w:tc>
          <w:tcPr>
            <w:tcW w:w="1272" w:type="pct"/>
            <w:vMerge/>
          </w:tcPr>
          <w:p w14:paraId="5384EF80" w14:textId="77777777" w:rsidR="00C8376A" w:rsidRPr="00DD0622" w:rsidRDefault="00C8376A" w:rsidP="00C8376A">
            <w:pPr>
              <w:jc w:val="both"/>
              <w:rPr>
                <w:rFonts w:cs="Calibri"/>
                <w:color w:val="000000"/>
                <w:sz w:val="20"/>
                <w:szCs w:val="20"/>
              </w:rPr>
            </w:pPr>
          </w:p>
        </w:tc>
        <w:tc>
          <w:tcPr>
            <w:tcW w:w="1831" w:type="pct"/>
          </w:tcPr>
          <w:p w14:paraId="2DE4D4F9" w14:textId="77777777" w:rsidR="00C8376A" w:rsidRPr="00DD0622" w:rsidRDefault="00C8376A" w:rsidP="00C8376A">
            <w:pPr>
              <w:jc w:val="both"/>
              <w:rPr>
                <w:rFonts w:cs="Calibri"/>
                <w:color w:val="000000"/>
                <w:sz w:val="20"/>
                <w:szCs w:val="20"/>
              </w:rPr>
            </w:pPr>
            <w:r w:rsidRPr="00DD0622">
              <w:rPr>
                <w:rFonts w:cs="Calibri"/>
                <w:color w:val="000000"/>
                <w:sz w:val="20"/>
                <w:szCs w:val="20"/>
              </w:rPr>
              <w:t>Contextual documentation</w:t>
            </w:r>
          </w:p>
        </w:tc>
        <w:tc>
          <w:tcPr>
            <w:tcW w:w="1897" w:type="pct"/>
            <w:gridSpan w:val="2"/>
          </w:tcPr>
          <w:p w14:paraId="3ECB1545" w14:textId="45E1244E" w:rsidR="00C8376A" w:rsidRPr="00DD0622" w:rsidRDefault="00C8376A" w:rsidP="00C8376A">
            <w:pPr>
              <w:jc w:val="both"/>
              <w:rPr>
                <w:rFonts w:cs="Calibri"/>
                <w:color w:val="000000"/>
                <w:sz w:val="20"/>
                <w:szCs w:val="20"/>
                <w:highlight w:val="yellow"/>
              </w:rPr>
            </w:pPr>
            <w:r w:rsidRPr="00DD0622">
              <w:rPr>
                <w:rFonts w:cs="Calibri"/>
                <w:color w:val="000000"/>
                <w:sz w:val="20"/>
                <w:szCs w:val="20"/>
              </w:rPr>
              <w:t>S</w:t>
            </w:r>
            <w:r w:rsidRPr="00DD0622">
              <w:rPr>
                <w:color w:val="000000"/>
                <w:sz w:val="20"/>
                <w:szCs w:val="20"/>
              </w:rPr>
              <w:t>ee Volume II Annex 4</w:t>
            </w:r>
          </w:p>
        </w:tc>
      </w:tr>
      <w:tr w:rsidR="00C8376A" w:rsidRPr="00DD0622" w14:paraId="03B2569E" w14:textId="77777777" w:rsidTr="00BB4743">
        <w:trPr>
          <w:cnfStyle w:val="000000100000" w:firstRow="0" w:lastRow="0" w:firstColumn="0" w:lastColumn="0" w:oddVBand="0" w:evenVBand="0" w:oddHBand="1" w:evenHBand="0" w:firstRowFirstColumn="0" w:firstRowLastColumn="0" w:lastRowFirstColumn="0" w:lastRowLastColumn="0"/>
        </w:trPr>
        <w:tc>
          <w:tcPr>
            <w:tcW w:w="1272" w:type="pct"/>
            <w:vMerge/>
          </w:tcPr>
          <w:p w14:paraId="4B5FDB10" w14:textId="77777777" w:rsidR="00C8376A" w:rsidRPr="00DD0622" w:rsidRDefault="00C8376A" w:rsidP="00C8376A">
            <w:pPr>
              <w:jc w:val="both"/>
              <w:rPr>
                <w:rFonts w:cs="Calibri"/>
                <w:color w:val="000000"/>
                <w:sz w:val="20"/>
                <w:szCs w:val="20"/>
              </w:rPr>
            </w:pPr>
          </w:p>
        </w:tc>
        <w:tc>
          <w:tcPr>
            <w:tcW w:w="1831" w:type="pct"/>
          </w:tcPr>
          <w:p w14:paraId="3763DF5D" w14:textId="77777777" w:rsidR="00C8376A" w:rsidRPr="00DD0622" w:rsidRDefault="00C8376A" w:rsidP="00C8376A">
            <w:pPr>
              <w:jc w:val="both"/>
              <w:rPr>
                <w:rFonts w:cs="Calibri"/>
                <w:color w:val="000000"/>
                <w:sz w:val="20"/>
                <w:szCs w:val="20"/>
              </w:rPr>
            </w:pPr>
            <w:r w:rsidRPr="00DD0622">
              <w:rPr>
                <w:rFonts w:cs="Calibri"/>
                <w:color w:val="000000"/>
                <w:sz w:val="20"/>
                <w:szCs w:val="20"/>
              </w:rPr>
              <w:t>Systematic and thorough analysis</w:t>
            </w:r>
          </w:p>
        </w:tc>
        <w:tc>
          <w:tcPr>
            <w:tcW w:w="1897" w:type="pct"/>
            <w:gridSpan w:val="2"/>
          </w:tcPr>
          <w:p w14:paraId="0D7CB181" w14:textId="693AA9B6" w:rsidR="00C8376A" w:rsidRPr="00DD0622" w:rsidRDefault="00C8376A" w:rsidP="00C8376A">
            <w:pPr>
              <w:jc w:val="both"/>
              <w:rPr>
                <w:rFonts w:cs="Calibri"/>
                <w:color w:val="000000"/>
                <w:sz w:val="20"/>
                <w:szCs w:val="20"/>
                <w:highlight w:val="yellow"/>
              </w:rPr>
            </w:pPr>
            <w:r w:rsidRPr="00DD0622">
              <w:rPr>
                <w:rFonts w:cs="Calibri"/>
                <w:color w:val="000000"/>
                <w:sz w:val="20"/>
                <w:szCs w:val="20"/>
              </w:rPr>
              <w:t>S</w:t>
            </w:r>
            <w:r w:rsidRPr="00DD0622">
              <w:rPr>
                <w:color w:val="000000"/>
                <w:sz w:val="20"/>
                <w:szCs w:val="20"/>
              </w:rPr>
              <w:t>ee Volume II Annex 3 and Annex 4</w:t>
            </w:r>
          </w:p>
        </w:tc>
      </w:tr>
      <w:tr w:rsidR="00C8376A" w:rsidRPr="00DD0622" w14:paraId="545608BD" w14:textId="77777777" w:rsidTr="00BB4743">
        <w:trPr>
          <w:cnfStyle w:val="000000010000" w:firstRow="0" w:lastRow="0" w:firstColumn="0" w:lastColumn="0" w:oddVBand="0" w:evenVBand="0" w:oddHBand="0" w:evenHBand="1" w:firstRowFirstColumn="0" w:firstRowLastColumn="0" w:lastRowFirstColumn="0" w:lastRowLastColumn="0"/>
        </w:trPr>
        <w:tc>
          <w:tcPr>
            <w:tcW w:w="1272" w:type="pct"/>
            <w:vMerge/>
          </w:tcPr>
          <w:p w14:paraId="6BB19A14" w14:textId="77777777" w:rsidR="00C8376A" w:rsidRPr="00DD0622" w:rsidRDefault="00C8376A" w:rsidP="00C8376A">
            <w:pPr>
              <w:jc w:val="both"/>
              <w:rPr>
                <w:rFonts w:cs="Calibri"/>
                <w:color w:val="000000"/>
                <w:sz w:val="20"/>
                <w:szCs w:val="20"/>
              </w:rPr>
            </w:pPr>
          </w:p>
        </w:tc>
        <w:tc>
          <w:tcPr>
            <w:tcW w:w="1831" w:type="pct"/>
          </w:tcPr>
          <w:p w14:paraId="1770D154" w14:textId="77777777" w:rsidR="00C8376A" w:rsidRPr="00DD0622" w:rsidRDefault="00C8376A" w:rsidP="00C8376A">
            <w:pPr>
              <w:jc w:val="both"/>
              <w:rPr>
                <w:rFonts w:cs="Calibri"/>
                <w:color w:val="000000"/>
                <w:sz w:val="20"/>
                <w:szCs w:val="20"/>
              </w:rPr>
            </w:pPr>
            <w:r w:rsidRPr="00DD0622">
              <w:rPr>
                <w:rFonts w:cs="Calibri"/>
                <w:color w:val="000000"/>
                <w:sz w:val="20"/>
                <w:szCs w:val="20"/>
              </w:rPr>
              <w:t>Explication of conceptual and analytic process</w:t>
            </w:r>
          </w:p>
        </w:tc>
        <w:tc>
          <w:tcPr>
            <w:tcW w:w="1897" w:type="pct"/>
            <w:gridSpan w:val="2"/>
          </w:tcPr>
          <w:p w14:paraId="5E1B31E5" w14:textId="0A8DA21B" w:rsidR="00C8376A" w:rsidRPr="00DD0622" w:rsidRDefault="00C8376A" w:rsidP="00C8376A">
            <w:pPr>
              <w:jc w:val="both"/>
              <w:rPr>
                <w:rFonts w:cs="Calibri"/>
                <w:color w:val="000000"/>
                <w:sz w:val="20"/>
                <w:szCs w:val="20"/>
                <w:highlight w:val="yellow"/>
              </w:rPr>
            </w:pPr>
            <w:r w:rsidRPr="00DD0622">
              <w:rPr>
                <w:rFonts w:cs="Calibri"/>
                <w:color w:val="000000"/>
                <w:sz w:val="20"/>
                <w:szCs w:val="20"/>
              </w:rPr>
              <w:t>S</w:t>
            </w:r>
            <w:r w:rsidRPr="00DD0622">
              <w:rPr>
                <w:color w:val="000000"/>
                <w:sz w:val="20"/>
                <w:szCs w:val="20"/>
              </w:rPr>
              <w:t>ee Volume II Annex 3 and Annex 4</w:t>
            </w:r>
          </w:p>
        </w:tc>
      </w:tr>
      <w:tr w:rsidR="00C8376A" w:rsidRPr="00DD0622" w14:paraId="1C6AA085" w14:textId="77777777" w:rsidTr="00BB4743">
        <w:trPr>
          <w:cnfStyle w:val="000000100000" w:firstRow="0" w:lastRow="0" w:firstColumn="0" w:lastColumn="0" w:oddVBand="0" w:evenVBand="0" w:oddHBand="1" w:evenHBand="0" w:firstRowFirstColumn="0" w:firstRowLastColumn="0" w:lastRowFirstColumn="0" w:lastRowLastColumn="0"/>
        </w:trPr>
        <w:tc>
          <w:tcPr>
            <w:tcW w:w="1272" w:type="pct"/>
            <w:vMerge/>
          </w:tcPr>
          <w:p w14:paraId="039A1FBE" w14:textId="77777777" w:rsidR="00C8376A" w:rsidRPr="00DD0622" w:rsidRDefault="00C8376A" w:rsidP="00C8376A">
            <w:pPr>
              <w:jc w:val="both"/>
              <w:rPr>
                <w:rFonts w:cs="Calibri"/>
                <w:color w:val="000000"/>
                <w:sz w:val="20"/>
                <w:szCs w:val="20"/>
              </w:rPr>
            </w:pPr>
          </w:p>
        </w:tc>
        <w:tc>
          <w:tcPr>
            <w:tcW w:w="1831" w:type="pct"/>
          </w:tcPr>
          <w:p w14:paraId="4AC070C6" w14:textId="77777777" w:rsidR="00C8376A" w:rsidRPr="00DD0622" w:rsidRDefault="00C8376A" w:rsidP="00C8376A">
            <w:pPr>
              <w:jc w:val="both"/>
              <w:rPr>
                <w:rFonts w:cs="Calibri"/>
                <w:color w:val="000000"/>
                <w:sz w:val="20"/>
                <w:szCs w:val="20"/>
              </w:rPr>
            </w:pPr>
            <w:r w:rsidRPr="00DD0622">
              <w:rPr>
                <w:rFonts w:cs="Calibri"/>
                <w:color w:val="000000"/>
                <w:sz w:val="20"/>
                <w:szCs w:val="20"/>
              </w:rPr>
              <w:t>Auditable documentation</w:t>
            </w:r>
          </w:p>
        </w:tc>
        <w:tc>
          <w:tcPr>
            <w:tcW w:w="1897" w:type="pct"/>
            <w:gridSpan w:val="2"/>
          </w:tcPr>
          <w:p w14:paraId="53B330F9" w14:textId="26E4B9B5" w:rsidR="00C8376A" w:rsidRPr="00DD0622" w:rsidRDefault="00C8376A" w:rsidP="00C8376A">
            <w:pPr>
              <w:jc w:val="both"/>
              <w:rPr>
                <w:rFonts w:cs="Calibri"/>
                <w:color w:val="000000"/>
                <w:sz w:val="20"/>
                <w:szCs w:val="20"/>
                <w:highlight w:val="yellow"/>
              </w:rPr>
            </w:pPr>
            <w:r w:rsidRPr="00DD0622">
              <w:rPr>
                <w:rFonts w:cs="Calibri"/>
                <w:color w:val="000000"/>
                <w:sz w:val="20"/>
                <w:szCs w:val="20"/>
              </w:rPr>
              <w:t>S</w:t>
            </w:r>
            <w:r w:rsidRPr="00DD0622">
              <w:rPr>
                <w:color w:val="000000"/>
                <w:sz w:val="20"/>
                <w:szCs w:val="20"/>
              </w:rPr>
              <w:t>ee Volume II Annex 4</w:t>
            </w:r>
          </w:p>
        </w:tc>
      </w:tr>
      <w:tr w:rsidR="00C8376A" w:rsidRPr="00DD0622" w14:paraId="1A2C4EC0" w14:textId="77777777" w:rsidTr="00BB4743">
        <w:trPr>
          <w:cnfStyle w:val="000000010000" w:firstRow="0" w:lastRow="0" w:firstColumn="0" w:lastColumn="0" w:oddVBand="0" w:evenVBand="0" w:oddHBand="0" w:evenHBand="1" w:firstRowFirstColumn="0" w:firstRowLastColumn="0" w:lastRowFirstColumn="0" w:lastRowLastColumn="0"/>
        </w:trPr>
        <w:tc>
          <w:tcPr>
            <w:tcW w:w="1272" w:type="pct"/>
            <w:vMerge w:val="restart"/>
          </w:tcPr>
          <w:p w14:paraId="419CBC8C" w14:textId="77777777" w:rsidR="00C8376A" w:rsidRPr="00DD0622" w:rsidRDefault="00C8376A" w:rsidP="00C8376A">
            <w:pPr>
              <w:jc w:val="both"/>
              <w:rPr>
                <w:rFonts w:cs="Calibri"/>
                <w:color w:val="000000"/>
                <w:sz w:val="20"/>
                <w:szCs w:val="20"/>
              </w:rPr>
            </w:pPr>
            <w:r w:rsidRPr="00DD0622">
              <w:rPr>
                <w:rFonts w:cs="Calibri"/>
                <w:color w:val="000000"/>
                <w:sz w:val="20"/>
                <w:szCs w:val="20"/>
              </w:rPr>
              <w:t>The relationship of the researcher</w:t>
            </w:r>
          </w:p>
          <w:p w14:paraId="34FA2379" w14:textId="77777777" w:rsidR="00C8376A" w:rsidRPr="00DD0622" w:rsidRDefault="00C8376A" w:rsidP="00C8376A">
            <w:pPr>
              <w:jc w:val="both"/>
              <w:rPr>
                <w:rFonts w:cs="Calibri"/>
                <w:color w:val="000000"/>
                <w:sz w:val="20"/>
                <w:szCs w:val="20"/>
              </w:rPr>
            </w:pPr>
            <w:r w:rsidRPr="00DD0622">
              <w:rPr>
                <w:rFonts w:cs="Calibri"/>
                <w:color w:val="000000"/>
                <w:sz w:val="20"/>
                <w:szCs w:val="20"/>
              </w:rPr>
              <w:t>to the researched</w:t>
            </w:r>
          </w:p>
        </w:tc>
        <w:tc>
          <w:tcPr>
            <w:tcW w:w="1831" w:type="pct"/>
          </w:tcPr>
          <w:p w14:paraId="7B2F9FE9" w14:textId="77777777" w:rsidR="00C8376A" w:rsidRPr="00DD0622" w:rsidRDefault="00C8376A" w:rsidP="00C8376A">
            <w:pPr>
              <w:jc w:val="both"/>
              <w:rPr>
                <w:rFonts w:cs="Calibri"/>
                <w:color w:val="000000"/>
                <w:sz w:val="20"/>
                <w:szCs w:val="20"/>
              </w:rPr>
            </w:pPr>
            <w:r w:rsidRPr="00DD0622">
              <w:rPr>
                <w:rFonts w:cs="Calibri"/>
                <w:color w:val="000000"/>
                <w:sz w:val="20"/>
                <w:szCs w:val="20"/>
              </w:rPr>
              <w:t xml:space="preserve">Ethical behaviour (e.g. gaining consent) </w:t>
            </w:r>
          </w:p>
        </w:tc>
        <w:tc>
          <w:tcPr>
            <w:tcW w:w="1897" w:type="pct"/>
            <w:gridSpan w:val="2"/>
          </w:tcPr>
          <w:p w14:paraId="6D16AE5E" w14:textId="144F9B64" w:rsidR="00C8376A" w:rsidRPr="00DD0622" w:rsidRDefault="00C8376A" w:rsidP="00C8376A">
            <w:pPr>
              <w:jc w:val="both"/>
              <w:rPr>
                <w:rFonts w:cs="Calibri"/>
                <w:color w:val="000000"/>
                <w:sz w:val="20"/>
                <w:szCs w:val="20"/>
                <w:highlight w:val="yellow"/>
              </w:rPr>
            </w:pPr>
            <w:r w:rsidRPr="00DD0622">
              <w:rPr>
                <w:rFonts w:cs="Calibri"/>
                <w:color w:val="000000"/>
                <w:sz w:val="20"/>
                <w:szCs w:val="20"/>
              </w:rPr>
              <w:t>S</w:t>
            </w:r>
            <w:r w:rsidRPr="00DD0622">
              <w:rPr>
                <w:color w:val="000000"/>
                <w:sz w:val="20"/>
                <w:szCs w:val="20"/>
              </w:rPr>
              <w:t>ee Volume II Annex 4 and Volume II Annex 1</w:t>
            </w:r>
            <w:r w:rsidR="00544902">
              <w:rPr>
                <w:color w:val="000000"/>
                <w:sz w:val="20"/>
                <w:szCs w:val="20"/>
              </w:rPr>
              <w:t>2</w:t>
            </w:r>
          </w:p>
        </w:tc>
      </w:tr>
      <w:tr w:rsidR="00C8376A" w:rsidRPr="00DD0622" w14:paraId="50DE162F" w14:textId="77777777" w:rsidTr="00BB4743">
        <w:trPr>
          <w:cnfStyle w:val="000000100000" w:firstRow="0" w:lastRow="0" w:firstColumn="0" w:lastColumn="0" w:oddVBand="0" w:evenVBand="0" w:oddHBand="1" w:evenHBand="0" w:firstRowFirstColumn="0" w:firstRowLastColumn="0" w:lastRowFirstColumn="0" w:lastRowLastColumn="0"/>
        </w:trPr>
        <w:tc>
          <w:tcPr>
            <w:tcW w:w="1272" w:type="pct"/>
            <w:vMerge/>
          </w:tcPr>
          <w:p w14:paraId="30D5E64E" w14:textId="77777777" w:rsidR="00C8376A" w:rsidRPr="00DD0622" w:rsidRDefault="00C8376A" w:rsidP="00C8376A">
            <w:pPr>
              <w:jc w:val="both"/>
              <w:rPr>
                <w:rFonts w:cs="Calibri"/>
                <w:color w:val="000000"/>
                <w:sz w:val="20"/>
                <w:szCs w:val="20"/>
              </w:rPr>
            </w:pPr>
          </w:p>
        </w:tc>
        <w:tc>
          <w:tcPr>
            <w:tcW w:w="1831" w:type="pct"/>
          </w:tcPr>
          <w:p w14:paraId="18F10DEA" w14:textId="77777777" w:rsidR="00C8376A" w:rsidRPr="00DD0622" w:rsidRDefault="00C8376A" w:rsidP="00C8376A">
            <w:pPr>
              <w:jc w:val="both"/>
              <w:rPr>
                <w:rFonts w:cs="Calibri"/>
                <w:color w:val="000000"/>
                <w:sz w:val="20"/>
                <w:szCs w:val="20"/>
              </w:rPr>
            </w:pPr>
            <w:r w:rsidRPr="00DD0622">
              <w:rPr>
                <w:rFonts w:cs="Calibri"/>
                <w:color w:val="000000"/>
                <w:sz w:val="20"/>
                <w:szCs w:val="20"/>
              </w:rPr>
              <w:t>Involvement of participants in study</w:t>
            </w:r>
          </w:p>
        </w:tc>
        <w:tc>
          <w:tcPr>
            <w:tcW w:w="1897" w:type="pct"/>
            <w:gridSpan w:val="2"/>
          </w:tcPr>
          <w:p w14:paraId="72AF79BC" w14:textId="041D9FA3" w:rsidR="00C8376A" w:rsidRPr="00DD0622" w:rsidRDefault="00C8376A" w:rsidP="00C8376A">
            <w:pPr>
              <w:jc w:val="both"/>
              <w:rPr>
                <w:color w:val="000000"/>
                <w:sz w:val="20"/>
                <w:szCs w:val="20"/>
              </w:rPr>
            </w:pPr>
            <w:r w:rsidRPr="00DD0622">
              <w:rPr>
                <w:color w:val="000000"/>
                <w:sz w:val="20"/>
                <w:szCs w:val="20"/>
              </w:rPr>
              <w:t>See Volume II Annex 4, Annex 1</w:t>
            </w:r>
            <w:r w:rsidR="0064248B">
              <w:rPr>
                <w:color w:val="000000"/>
                <w:sz w:val="20"/>
                <w:szCs w:val="20"/>
              </w:rPr>
              <w:t>2</w:t>
            </w:r>
            <w:r w:rsidRPr="00DD0622">
              <w:rPr>
                <w:color w:val="000000"/>
                <w:sz w:val="20"/>
                <w:szCs w:val="20"/>
              </w:rPr>
              <w:t xml:space="preserve"> and Annex 1</w:t>
            </w:r>
            <w:r w:rsidR="0064248B">
              <w:rPr>
                <w:color w:val="000000"/>
                <w:sz w:val="20"/>
                <w:szCs w:val="20"/>
              </w:rPr>
              <w:t>6</w:t>
            </w:r>
          </w:p>
        </w:tc>
      </w:tr>
      <w:tr w:rsidR="00C8376A" w:rsidRPr="00DD0622" w14:paraId="0C4EDF39" w14:textId="77777777" w:rsidTr="00BB4743">
        <w:trPr>
          <w:cnfStyle w:val="000000010000" w:firstRow="0" w:lastRow="0" w:firstColumn="0" w:lastColumn="0" w:oddVBand="0" w:evenVBand="0" w:oddHBand="0" w:evenHBand="1" w:firstRowFirstColumn="0" w:firstRowLastColumn="0" w:lastRowFirstColumn="0" w:lastRowLastColumn="0"/>
        </w:trPr>
        <w:tc>
          <w:tcPr>
            <w:tcW w:w="1272" w:type="pct"/>
            <w:vMerge/>
          </w:tcPr>
          <w:p w14:paraId="7305F0B2" w14:textId="77777777" w:rsidR="00C8376A" w:rsidRPr="00DD0622" w:rsidRDefault="00C8376A" w:rsidP="00C8376A">
            <w:pPr>
              <w:jc w:val="both"/>
              <w:rPr>
                <w:rFonts w:cs="Calibri"/>
                <w:color w:val="000000"/>
                <w:sz w:val="20"/>
                <w:szCs w:val="20"/>
              </w:rPr>
            </w:pPr>
          </w:p>
        </w:tc>
        <w:tc>
          <w:tcPr>
            <w:tcW w:w="1831" w:type="pct"/>
          </w:tcPr>
          <w:p w14:paraId="45EFE4E2" w14:textId="77777777" w:rsidR="00C8376A" w:rsidRPr="00DD0622" w:rsidRDefault="00C8376A" w:rsidP="00C8376A">
            <w:pPr>
              <w:jc w:val="both"/>
              <w:rPr>
                <w:rFonts w:cs="Calibri"/>
                <w:color w:val="000000"/>
                <w:sz w:val="20"/>
                <w:szCs w:val="20"/>
              </w:rPr>
            </w:pPr>
            <w:r w:rsidRPr="00DD0622">
              <w:rPr>
                <w:rFonts w:cs="Calibri"/>
                <w:color w:val="000000"/>
                <w:sz w:val="20"/>
                <w:szCs w:val="20"/>
              </w:rPr>
              <w:t>Reflexive awareness of investigators’ role</w:t>
            </w:r>
          </w:p>
        </w:tc>
        <w:tc>
          <w:tcPr>
            <w:tcW w:w="1897" w:type="pct"/>
            <w:gridSpan w:val="2"/>
          </w:tcPr>
          <w:p w14:paraId="1F2C94A2" w14:textId="3E0F261D" w:rsidR="00C8376A" w:rsidRPr="00DD0622" w:rsidRDefault="00C8376A" w:rsidP="00C8376A">
            <w:pPr>
              <w:jc w:val="both"/>
              <w:rPr>
                <w:color w:val="000000"/>
                <w:sz w:val="20"/>
                <w:szCs w:val="20"/>
              </w:rPr>
            </w:pPr>
            <w:r w:rsidRPr="00DD0622">
              <w:rPr>
                <w:color w:val="000000"/>
                <w:sz w:val="20"/>
                <w:szCs w:val="20"/>
              </w:rPr>
              <w:t>The team has been selected for its skills and experience, as set out in Annex 1</w:t>
            </w:r>
            <w:r>
              <w:rPr>
                <w:color w:val="000000"/>
                <w:sz w:val="20"/>
                <w:szCs w:val="20"/>
              </w:rPr>
              <w:t>4</w:t>
            </w:r>
            <w:r w:rsidRPr="00DD0622">
              <w:rPr>
                <w:color w:val="000000"/>
                <w:sz w:val="20"/>
                <w:szCs w:val="20"/>
              </w:rPr>
              <w:t>. Comprehensive training will be provided as required.</w:t>
            </w:r>
          </w:p>
        </w:tc>
      </w:tr>
      <w:tr w:rsidR="00C8376A" w:rsidRPr="00DD0622" w14:paraId="0D82D045" w14:textId="77777777" w:rsidTr="00BB4743">
        <w:trPr>
          <w:cnfStyle w:val="000000100000" w:firstRow="0" w:lastRow="0" w:firstColumn="0" w:lastColumn="0" w:oddVBand="0" w:evenVBand="0" w:oddHBand="1" w:evenHBand="0" w:firstRowFirstColumn="0" w:firstRowLastColumn="0" w:lastRowFirstColumn="0" w:lastRowLastColumn="0"/>
        </w:trPr>
        <w:tc>
          <w:tcPr>
            <w:tcW w:w="1272" w:type="pct"/>
            <w:vMerge/>
          </w:tcPr>
          <w:p w14:paraId="48D6556A" w14:textId="77777777" w:rsidR="00C8376A" w:rsidRPr="00DD0622" w:rsidRDefault="00C8376A" w:rsidP="00C8376A">
            <w:pPr>
              <w:jc w:val="both"/>
              <w:rPr>
                <w:rFonts w:cs="Calibri"/>
                <w:color w:val="000000"/>
                <w:sz w:val="20"/>
                <w:szCs w:val="20"/>
              </w:rPr>
            </w:pPr>
          </w:p>
        </w:tc>
        <w:tc>
          <w:tcPr>
            <w:tcW w:w="1831" w:type="pct"/>
          </w:tcPr>
          <w:p w14:paraId="619796D4" w14:textId="77777777" w:rsidR="00C8376A" w:rsidRPr="00DD0622" w:rsidRDefault="00C8376A" w:rsidP="00C8376A">
            <w:pPr>
              <w:jc w:val="both"/>
              <w:rPr>
                <w:rFonts w:cs="Calibri"/>
                <w:color w:val="000000"/>
                <w:sz w:val="20"/>
                <w:szCs w:val="20"/>
              </w:rPr>
            </w:pPr>
            <w:r w:rsidRPr="00DD0622">
              <w:rPr>
                <w:rFonts w:cs="Calibri"/>
                <w:color w:val="000000"/>
                <w:sz w:val="20"/>
                <w:szCs w:val="20"/>
              </w:rPr>
              <w:t>Open and empathetic fieldwork skills</w:t>
            </w:r>
          </w:p>
        </w:tc>
        <w:tc>
          <w:tcPr>
            <w:tcW w:w="1897" w:type="pct"/>
            <w:gridSpan w:val="2"/>
          </w:tcPr>
          <w:p w14:paraId="0F821C42" w14:textId="76797301" w:rsidR="00C8376A" w:rsidRPr="00DD0622" w:rsidRDefault="00C8376A" w:rsidP="00C8376A">
            <w:pPr>
              <w:jc w:val="both"/>
              <w:rPr>
                <w:rFonts w:cs="Calibri"/>
                <w:color w:val="000000"/>
                <w:sz w:val="20"/>
                <w:szCs w:val="20"/>
                <w:highlight w:val="yellow"/>
              </w:rPr>
            </w:pPr>
            <w:r w:rsidRPr="00DD0622">
              <w:rPr>
                <w:rFonts w:cs="Calibri"/>
                <w:color w:val="000000"/>
                <w:sz w:val="20"/>
                <w:szCs w:val="20"/>
              </w:rPr>
              <w:t>S</w:t>
            </w:r>
            <w:r w:rsidRPr="00DD0622">
              <w:rPr>
                <w:color w:val="000000"/>
                <w:sz w:val="20"/>
                <w:szCs w:val="20"/>
              </w:rPr>
              <w:t>ee Volume II Annex 4 and Volume II Annex 1</w:t>
            </w:r>
            <w:r>
              <w:rPr>
                <w:color w:val="000000"/>
                <w:sz w:val="20"/>
                <w:szCs w:val="20"/>
              </w:rPr>
              <w:t>2.</w:t>
            </w:r>
          </w:p>
        </w:tc>
      </w:tr>
      <w:tr w:rsidR="00C8376A" w:rsidRPr="00DD0622" w14:paraId="3AA96880" w14:textId="77777777" w:rsidTr="00BB4743">
        <w:trPr>
          <w:cnfStyle w:val="000000010000" w:firstRow="0" w:lastRow="0" w:firstColumn="0" w:lastColumn="0" w:oddVBand="0" w:evenVBand="0" w:oddHBand="0" w:evenHBand="1" w:firstRowFirstColumn="0" w:firstRowLastColumn="0" w:lastRowFirstColumn="0" w:lastRowLastColumn="0"/>
        </w:trPr>
        <w:tc>
          <w:tcPr>
            <w:tcW w:w="1272" w:type="pct"/>
            <w:vMerge/>
          </w:tcPr>
          <w:p w14:paraId="6E7C94B2" w14:textId="77777777" w:rsidR="00C8376A" w:rsidRPr="00DD0622" w:rsidRDefault="00C8376A" w:rsidP="00C8376A">
            <w:pPr>
              <w:jc w:val="both"/>
              <w:rPr>
                <w:rFonts w:cs="Calibri"/>
                <w:color w:val="000000"/>
                <w:sz w:val="20"/>
                <w:szCs w:val="20"/>
              </w:rPr>
            </w:pPr>
          </w:p>
        </w:tc>
        <w:tc>
          <w:tcPr>
            <w:tcW w:w="1831" w:type="pct"/>
          </w:tcPr>
          <w:p w14:paraId="3C616242" w14:textId="77777777" w:rsidR="00C8376A" w:rsidRPr="00DD0622" w:rsidRDefault="00C8376A" w:rsidP="00C8376A">
            <w:pPr>
              <w:jc w:val="both"/>
              <w:rPr>
                <w:rFonts w:cs="Calibri"/>
                <w:color w:val="000000"/>
                <w:sz w:val="20"/>
                <w:szCs w:val="20"/>
              </w:rPr>
            </w:pPr>
            <w:r w:rsidRPr="00DD0622">
              <w:rPr>
                <w:rFonts w:cs="Calibri"/>
                <w:color w:val="000000"/>
                <w:sz w:val="20"/>
                <w:szCs w:val="20"/>
              </w:rPr>
              <w:t>Recognition of different subjective perspectives.</w:t>
            </w:r>
          </w:p>
        </w:tc>
        <w:tc>
          <w:tcPr>
            <w:tcW w:w="1897" w:type="pct"/>
            <w:gridSpan w:val="2"/>
          </w:tcPr>
          <w:p w14:paraId="7F033F89" w14:textId="02355CFB" w:rsidR="00C8376A" w:rsidRPr="00DD0622" w:rsidRDefault="00E314C0" w:rsidP="00C8376A">
            <w:pPr>
              <w:jc w:val="both"/>
              <w:rPr>
                <w:rFonts w:cs="Calibri"/>
                <w:color w:val="000000"/>
                <w:sz w:val="20"/>
                <w:szCs w:val="20"/>
                <w:highlight w:val="yellow"/>
              </w:rPr>
            </w:pPr>
            <w:r w:rsidRPr="00DD0622">
              <w:rPr>
                <w:rFonts w:cs="Calibri"/>
                <w:color w:val="000000"/>
                <w:sz w:val="20"/>
                <w:szCs w:val="20"/>
              </w:rPr>
              <w:t>S</w:t>
            </w:r>
            <w:r w:rsidRPr="00DD0622">
              <w:rPr>
                <w:color w:val="000000"/>
                <w:sz w:val="20"/>
                <w:szCs w:val="20"/>
              </w:rPr>
              <w:t>ee Volume II Annex 4</w:t>
            </w:r>
            <w:r w:rsidR="005D0311">
              <w:rPr>
                <w:color w:val="000000"/>
                <w:sz w:val="20"/>
                <w:szCs w:val="20"/>
              </w:rPr>
              <w:t xml:space="preserve"> and </w:t>
            </w:r>
            <w:r w:rsidR="005D0311" w:rsidRPr="00DD0622">
              <w:rPr>
                <w:color w:val="000000"/>
                <w:sz w:val="20"/>
                <w:szCs w:val="20"/>
              </w:rPr>
              <w:t xml:space="preserve">Volume I </w:t>
            </w:r>
            <w:r w:rsidR="00B104E9">
              <w:rPr>
                <w:color w:val="000000"/>
                <w:sz w:val="20"/>
                <w:szCs w:val="20"/>
              </w:rPr>
              <w:t>section 1.3.</w:t>
            </w:r>
          </w:p>
        </w:tc>
      </w:tr>
      <w:tr w:rsidR="00C8376A" w:rsidRPr="00DD0622" w14:paraId="0E2BB04A" w14:textId="77777777" w:rsidTr="00BB4743">
        <w:trPr>
          <w:cnfStyle w:val="000000100000" w:firstRow="0" w:lastRow="0" w:firstColumn="0" w:lastColumn="0" w:oddVBand="0" w:evenVBand="0" w:oddHBand="1" w:evenHBand="0" w:firstRowFirstColumn="0" w:firstRowLastColumn="0" w:lastRowFirstColumn="0" w:lastRowLastColumn="0"/>
        </w:trPr>
        <w:tc>
          <w:tcPr>
            <w:tcW w:w="1272" w:type="pct"/>
            <w:vMerge w:val="restart"/>
          </w:tcPr>
          <w:p w14:paraId="101AC88D" w14:textId="77777777" w:rsidR="00C8376A" w:rsidRPr="00DD0622" w:rsidRDefault="00C8376A" w:rsidP="00C8376A">
            <w:pPr>
              <w:jc w:val="both"/>
              <w:rPr>
                <w:rFonts w:cs="Calibri"/>
                <w:color w:val="000000"/>
                <w:sz w:val="20"/>
                <w:szCs w:val="20"/>
              </w:rPr>
            </w:pPr>
            <w:r w:rsidRPr="00DD0622">
              <w:rPr>
                <w:rFonts w:cs="Calibri"/>
                <w:color w:val="000000"/>
                <w:sz w:val="20"/>
                <w:szCs w:val="20"/>
              </w:rPr>
              <w:t>The credibility of claims</w:t>
            </w:r>
          </w:p>
        </w:tc>
        <w:tc>
          <w:tcPr>
            <w:tcW w:w="1831" w:type="pct"/>
          </w:tcPr>
          <w:p w14:paraId="6E8C78BA" w14:textId="77777777" w:rsidR="00C8376A" w:rsidRPr="00DD0622" w:rsidRDefault="00C8376A" w:rsidP="00C8376A">
            <w:pPr>
              <w:jc w:val="both"/>
              <w:rPr>
                <w:rFonts w:cs="Calibri"/>
                <w:color w:val="000000"/>
                <w:sz w:val="20"/>
                <w:szCs w:val="20"/>
              </w:rPr>
            </w:pPr>
            <w:r w:rsidRPr="00DD0622">
              <w:rPr>
                <w:rFonts w:cs="Calibri"/>
                <w:color w:val="000000"/>
                <w:sz w:val="20"/>
                <w:szCs w:val="20"/>
              </w:rPr>
              <w:t>Triangulation</w:t>
            </w:r>
          </w:p>
        </w:tc>
        <w:tc>
          <w:tcPr>
            <w:tcW w:w="1897" w:type="pct"/>
            <w:gridSpan w:val="2"/>
          </w:tcPr>
          <w:p w14:paraId="1E00578E" w14:textId="6A424514" w:rsidR="00C8376A" w:rsidRPr="00DD0622" w:rsidRDefault="00C8376A" w:rsidP="00C8376A">
            <w:pPr>
              <w:jc w:val="both"/>
              <w:rPr>
                <w:rFonts w:cs="Calibri"/>
                <w:color w:val="000000"/>
                <w:sz w:val="20"/>
                <w:szCs w:val="20"/>
              </w:rPr>
            </w:pPr>
            <w:r w:rsidRPr="00DD0622">
              <w:rPr>
                <w:rFonts w:cs="Calibri"/>
                <w:color w:val="000000"/>
                <w:sz w:val="20"/>
                <w:szCs w:val="20"/>
              </w:rPr>
              <w:t xml:space="preserve">Findings presented have been fully triangulated at different levels. Findings from country visits have been generated by triangulating evidence across documents reviewed, and different categories of stakeholders interviewed. They have also been refined and validated through country level debriefings involving the DHSC and the MA. Evidence from country visits have then been triangulated with information from global and regional level document reviews and KIIs through multiple analysis workshops with the wider team. </w:t>
            </w:r>
          </w:p>
        </w:tc>
      </w:tr>
      <w:tr w:rsidR="00C8376A" w:rsidRPr="00DD0622" w14:paraId="1530B4E9" w14:textId="77777777" w:rsidTr="00BB4743">
        <w:trPr>
          <w:cnfStyle w:val="000000010000" w:firstRow="0" w:lastRow="0" w:firstColumn="0" w:lastColumn="0" w:oddVBand="0" w:evenVBand="0" w:oddHBand="0" w:evenHBand="1" w:firstRowFirstColumn="0" w:firstRowLastColumn="0" w:lastRowFirstColumn="0" w:lastRowLastColumn="0"/>
        </w:trPr>
        <w:tc>
          <w:tcPr>
            <w:tcW w:w="1272" w:type="pct"/>
            <w:vMerge/>
          </w:tcPr>
          <w:p w14:paraId="3D16C839" w14:textId="77777777" w:rsidR="00C8376A" w:rsidRPr="00DD0622" w:rsidRDefault="00C8376A" w:rsidP="00C8376A">
            <w:pPr>
              <w:jc w:val="both"/>
              <w:rPr>
                <w:rFonts w:cs="Calibri"/>
                <w:color w:val="000000"/>
                <w:sz w:val="20"/>
                <w:szCs w:val="20"/>
              </w:rPr>
            </w:pPr>
          </w:p>
        </w:tc>
        <w:tc>
          <w:tcPr>
            <w:tcW w:w="1831" w:type="pct"/>
          </w:tcPr>
          <w:p w14:paraId="2E0BF52B" w14:textId="77777777" w:rsidR="00C8376A" w:rsidRPr="00DD0622" w:rsidRDefault="00C8376A" w:rsidP="00C8376A">
            <w:pPr>
              <w:jc w:val="both"/>
              <w:rPr>
                <w:rFonts w:cs="Calibri"/>
                <w:color w:val="000000"/>
                <w:sz w:val="20"/>
                <w:szCs w:val="20"/>
              </w:rPr>
            </w:pPr>
            <w:r w:rsidRPr="00DD0622">
              <w:rPr>
                <w:rFonts w:cs="Calibri"/>
                <w:color w:val="000000"/>
                <w:sz w:val="20"/>
                <w:szCs w:val="20"/>
              </w:rPr>
              <w:t>Validation by informants/respondents</w:t>
            </w:r>
          </w:p>
        </w:tc>
        <w:tc>
          <w:tcPr>
            <w:tcW w:w="1897" w:type="pct"/>
            <w:gridSpan w:val="2"/>
          </w:tcPr>
          <w:p w14:paraId="1BC950E2" w14:textId="0B60FDD0" w:rsidR="00C8376A" w:rsidRPr="00DD0622" w:rsidRDefault="00C8376A" w:rsidP="00C8376A">
            <w:pPr>
              <w:jc w:val="both"/>
              <w:rPr>
                <w:rFonts w:cs="Calibri"/>
                <w:color w:val="000000"/>
                <w:sz w:val="20"/>
                <w:szCs w:val="20"/>
                <w:highlight w:val="yellow"/>
              </w:rPr>
            </w:pPr>
            <w:r w:rsidRPr="00DD0622">
              <w:rPr>
                <w:rFonts w:cs="Calibri"/>
                <w:color w:val="000000"/>
                <w:sz w:val="20"/>
                <w:szCs w:val="20"/>
              </w:rPr>
              <w:t>S</w:t>
            </w:r>
            <w:r w:rsidRPr="00DD0622">
              <w:rPr>
                <w:color w:val="000000"/>
                <w:sz w:val="20"/>
                <w:szCs w:val="20"/>
              </w:rPr>
              <w:t>ee Volume II Annex 4</w:t>
            </w:r>
          </w:p>
        </w:tc>
      </w:tr>
      <w:tr w:rsidR="00C8376A" w:rsidRPr="00DD0622" w14:paraId="08A3D1E1" w14:textId="77777777" w:rsidTr="00BB4743">
        <w:trPr>
          <w:cnfStyle w:val="000000100000" w:firstRow="0" w:lastRow="0" w:firstColumn="0" w:lastColumn="0" w:oddVBand="0" w:evenVBand="0" w:oddHBand="1" w:evenHBand="0" w:firstRowFirstColumn="0" w:firstRowLastColumn="0" w:lastRowFirstColumn="0" w:lastRowLastColumn="0"/>
        </w:trPr>
        <w:tc>
          <w:tcPr>
            <w:tcW w:w="1272" w:type="pct"/>
            <w:vMerge/>
          </w:tcPr>
          <w:p w14:paraId="08991B13" w14:textId="77777777" w:rsidR="00C8376A" w:rsidRPr="00DD0622" w:rsidRDefault="00C8376A" w:rsidP="00C8376A">
            <w:pPr>
              <w:jc w:val="both"/>
              <w:rPr>
                <w:rFonts w:cs="Calibri"/>
                <w:color w:val="000000"/>
                <w:sz w:val="20"/>
                <w:szCs w:val="20"/>
              </w:rPr>
            </w:pPr>
          </w:p>
        </w:tc>
        <w:tc>
          <w:tcPr>
            <w:tcW w:w="1831" w:type="pct"/>
          </w:tcPr>
          <w:p w14:paraId="74B065DD" w14:textId="77777777" w:rsidR="00C8376A" w:rsidRPr="00DD0622" w:rsidRDefault="00C8376A" w:rsidP="00C8376A">
            <w:pPr>
              <w:jc w:val="both"/>
              <w:rPr>
                <w:rFonts w:cs="Calibri"/>
                <w:color w:val="000000"/>
                <w:sz w:val="20"/>
                <w:szCs w:val="20"/>
              </w:rPr>
            </w:pPr>
            <w:r w:rsidRPr="00DD0622">
              <w:rPr>
                <w:rFonts w:cs="Calibri"/>
                <w:color w:val="000000"/>
                <w:sz w:val="20"/>
                <w:szCs w:val="20"/>
              </w:rPr>
              <w:t>Peer review</w:t>
            </w:r>
          </w:p>
        </w:tc>
        <w:tc>
          <w:tcPr>
            <w:tcW w:w="1897" w:type="pct"/>
            <w:gridSpan w:val="2"/>
          </w:tcPr>
          <w:p w14:paraId="2E40D7CE" w14:textId="6008F740" w:rsidR="00C8376A" w:rsidRPr="00DD0622" w:rsidRDefault="00C8376A" w:rsidP="00C8376A">
            <w:pPr>
              <w:jc w:val="both"/>
              <w:rPr>
                <w:rFonts w:cs="Calibri"/>
                <w:color w:val="000000"/>
                <w:sz w:val="20"/>
                <w:szCs w:val="20"/>
                <w:highlight w:val="yellow"/>
              </w:rPr>
            </w:pPr>
            <w:r w:rsidRPr="00DD0622">
              <w:rPr>
                <w:rFonts w:cs="Calibri"/>
                <w:color w:val="000000"/>
                <w:sz w:val="20"/>
                <w:szCs w:val="20"/>
              </w:rPr>
              <w:t>S</w:t>
            </w:r>
            <w:r w:rsidRPr="00DD0622">
              <w:rPr>
                <w:color w:val="000000"/>
                <w:sz w:val="20"/>
                <w:szCs w:val="20"/>
              </w:rPr>
              <w:t>ee Volume II Annex 1</w:t>
            </w:r>
            <w:r>
              <w:rPr>
                <w:color w:val="000000"/>
                <w:sz w:val="20"/>
                <w:szCs w:val="20"/>
              </w:rPr>
              <w:t>6</w:t>
            </w:r>
          </w:p>
        </w:tc>
      </w:tr>
      <w:tr w:rsidR="00C8376A" w:rsidRPr="00DD0622" w14:paraId="7D4A8914" w14:textId="77777777" w:rsidTr="00BB4743">
        <w:trPr>
          <w:cnfStyle w:val="000000010000" w:firstRow="0" w:lastRow="0" w:firstColumn="0" w:lastColumn="0" w:oddVBand="0" w:evenVBand="0" w:oddHBand="0" w:evenHBand="1" w:firstRowFirstColumn="0" w:firstRowLastColumn="0" w:lastRowFirstColumn="0" w:lastRowLastColumn="0"/>
        </w:trPr>
        <w:tc>
          <w:tcPr>
            <w:tcW w:w="1272" w:type="pct"/>
            <w:vMerge/>
          </w:tcPr>
          <w:p w14:paraId="0FB768A0" w14:textId="77777777" w:rsidR="00C8376A" w:rsidRPr="00DD0622" w:rsidRDefault="00C8376A" w:rsidP="00C8376A">
            <w:pPr>
              <w:jc w:val="both"/>
              <w:rPr>
                <w:rFonts w:cs="Calibri"/>
                <w:color w:val="000000"/>
                <w:sz w:val="20"/>
                <w:szCs w:val="20"/>
              </w:rPr>
            </w:pPr>
          </w:p>
        </w:tc>
        <w:tc>
          <w:tcPr>
            <w:tcW w:w="1831" w:type="pct"/>
          </w:tcPr>
          <w:p w14:paraId="0A358B55" w14:textId="77777777" w:rsidR="00C8376A" w:rsidRPr="00DD0622" w:rsidRDefault="00C8376A" w:rsidP="00C8376A">
            <w:pPr>
              <w:jc w:val="both"/>
              <w:rPr>
                <w:rFonts w:cs="Calibri"/>
                <w:color w:val="000000"/>
                <w:sz w:val="20"/>
                <w:szCs w:val="20"/>
              </w:rPr>
            </w:pPr>
            <w:r w:rsidRPr="00DD0622">
              <w:rPr>
                <w:rFonts w:cs="Calibri"/>
                <w:color w:val="000000"/>
                <w:sz w:val="20"/>
                <w:szCs w:val="20"/>
              </w:rPr>
              <w:t>Consideration of alternative explanations and negative cases</w:t>
            </w:r>
          </w:p>
        </w:tc>
        <w:tc>
          <w:tcPr>
            <w:tcW w:w="1897" w:type="pct"/>
            <w:gridSpan w:val="2"/>
          </w:tcPr>
          <w:p w14:paraId="432F011D" w14:textId="4856F1E0" w:rsidR="00C8376A" w:rsidRPr="00DD0622" w:rsidRDefault="00B831F2" w:rsidP="00C8376A">
            <w:pPr>
              <w:jc w:val="both"/>
              <w:rPr>
                <w:rFonts w:cs="Calibri"/>
                <w:color w:val="000000"/>
                <w:sz w:val="20"/>
                <w:szCs w:val="20"/>
                <w:highlight w:val="yellow"/>
              </w:rPr>
            </w:pPr>
            <w:r w:rsidRPr="00DD0622">
              <w:rPr>
                <w:rFonts w:cs="Calibri"/>
                <w:color w:val="000000"/>
                <w:sz w:val="20"/>
                <w:szCs w:val="20"/>
              </w:rPr>
              <w:t>S</w:t>
            </w:r>
            <w:r w:rsidRPr="00DD0622">
              <w:rPr>
                <w:color w:val="000000"/>
                <w:sz w:val="20"/>
                <w:szCs w:val="20"/>
              </w:rPr>
              <w:t xml:space="preserve">ee Volume I </w:t>
            </w:r>
            <w:r>
              <w:rPr>
                <w:color w:val="000000"/>
                <w:sz w:val="20"/>
                <w:szCs w:val="20"/>
              </w:rPr>
              <w:t>section 2</w:t>
            </w:r>
          </w:p>
        </w:tc>
      </w:tr>
      <w:tr w:rsidR="00C8376A" w:rsidRPr="00DD0622" w14:paraId="35A924DC" w14:textId="77777777" w:rsidTr="00BB4743">
        <w:trPr>
          <w:cnfStyle w:val="000000100000" w:firstRow="0" w:lastRow="0" w:firstColumn="0" w:lastColumn="0" w:oddVBand="0" w:evenVBand="0" w:oddHBand="1" w:evenHBand="0" w:firstRowFirstColumn="0" w:firstRowLastColumn="0" w:lastRowFirstColumn="0" w:lastRowLastColumn="0"/>
        </w:trPr>
        <w:tc>
          <w:tcPr>
            <w:tcW w:w="1272" w:type="pct"/>
            <w:vMerge/>
          </w:tcPr>
          <w:p w14:paraId="2F79B269" w14:textId="77777777" w:rsidR="00C8376A" w:rsidRPr="00DD0622" w:rsidRDefault="00C8376A" w:rsidP="00C8376A">
            <w:pPr>
              <w:jc w:val="both"/>
              <w:rPr>
                <w:rFonts w:cs="Calibri"/>
                <w:color w:val="000000"/>
                <w:sz w:val="20"/>
                <w:szCs w:val="20"/>
              </w:rPr>
            </w:pPr>
          </w:p>
        </w:tc>
        <w:tc>
          <w:tcPr>
            <w:tcW w:w="1831" w:type="pct"/>
          </w:tcPr>
          <w:p w14:paraId="6ABE4095" w14:textId="77777777" w:rsidR="00C8376A" w:rsidRPr="00DD0622" w:rsidRDefault="00C8376A" w:rsidP="00C8376A">
            <w:pPr>
              <w:jc w:val="both"/>
              <w:rPr>
                <w:rFonts w:cs="Calibri"/>
                <w:color w:val="000000"/>
                <w:sz w:val="20"/>
                <w:szCs w:val="20"/>
              </w:rPr>
            </w:pPr>
            <w:r w:rsidRPr="00DD0622">
              <w:rPr>
                <w:rFonts w:cs="Calibri"/>
                <w:color w:val="000000"/>
                <w:sz w:val="20"/>
                <w:szCs w:val="20"/>
              </w:rPr>
              <w:t>Balanced presentation of evidence</w:t>
            </w:r>
          </w:p>
        </w:tc>
        <w:tc>
          <w:tcPr>
            <w:tcW w:w="1897" w:type="pct"/>
            <w:gridSpan w:val="2"/>
          </w:tcPr>
          <w:p w14:paraId="1FC07730" w14:textId="4F3E304E" w:rsidR="00C8376A" w:rsidRPr="00DD0622" w:rsidRDefault="00B831F2" w:rsidP="00C8376A">
            <w:pPr>
              <w:jc w:val="both"/>
              <w:rPr>
                <w:rFonts w:cs="Calibri"/>
                <w:color w:val="000000"/>
                <w:sz w:val="20"/>
                <w:szCs w:val="20"/>
              </w:rPr>
            </w:pPr>
            <w:r w:rsidRPr="00DD0622">
              <w:rPr>
                <w:rFonts w:cs="Calibri"/>
                <w:color w:val="000000"/>
                <w:sz w:val="20"/>
                <w:szCs w:val="20"/>
              </w:rPr>
              <w:t>S</w:t>
            </w:r>
            <w:r w:rsidRPr="00DD0622">
              <w:rPr>
                <w:color w:val="000000"/>
                <w:sz w:val="20"/>
                <w:szCs w:val="20"/>
              </w:rPr>
              <w:t xml:space="preserve">ee Volume I </w:t>
            </w:r>
            <w:r>
              <w:rPr>
                <w:color w:val="000000"/>
                <w:sz w:val="20"/>
                <w:szCs w:val="20"/>
              </w:rPr>
              <w:t>section 2</w:t>
            </w:r>
          </w:p>
        </w:tc>
      </w:tr>
      <w:tr w:rsidR="00C8376A" w:rsidRPr="00DD0622" w14:paraId="12F60918" w14:textId="77777777" w:rsidTr="00BB4743">
        <w:trPr>
          <w:cnfStyle w:val="000000010000" w:firstRow="0" w:lastRow="0" w:firstColumn="0" w:lastColumn="0" w:oddVBand="0" w:evenVBand="0" w:oddHBand="0" w:evenHBand="1" w:firstRowFirstColumn="0" w:firstRowLastColumn="0" w:lastRowFirstColumn="0" w:lastRowLastColumn="0"/>
        </w:trPr>
        <w:tc>
          <w:tcPr>
            <w:tcW w:w="1272" w:type="pct"/>
            <w:vMerge/>
          </w:tcPr>
          <w:p w14:paraId="34F7DD25" w14:textId="77777777" w:rsidR="00C8376A" w:rsidRPr="00DD0622" w:rsidRDefault="00C8376A" w:rsidP="00C8376A">
            <w:pPr>
              <w:jc w:val="both"/>
              <w:rPr>
                <w:rFonts w:cs="Calibri"/>
                <w:color w:val="000000"/>
                <w:sz w:val="20"/>
                <w:szCs w:val="20"/>
              </w:rPr>
            </w:pPr>
          </w:p>
        </w:tc>
        <w:tc>
          <w:tcPr>
            <w:tcW w:w="1831" w:type="pct"/>
          </w:tcPr>
          <w:p w14:paraId="23EBAA63" w14:textId="77777777" w:rsidR="00C8376A" w:rsidRPr="00DD0622" w:rsidRDefault="00C8376A" w:rsidP="00C8376A">
            <w:pPr>
              <w:jc w:val="both"/>
              <w:rPr>
                <w:rFonts w:cs="Calibri"/>
                <w:color w:val="000000"/>
                <w:sz w:val="20"/>
                <w:szCs w:val="20"/>
              </w:rPr>
            </w:pPr>
            <w:r w:rsidRPr="00DD0622">
              <w:rPr>
                <w:rFonts w:cs="Calibri"/>
                <w:color w:val="000000"/>
                <w:sz w:val="20"/>
                <w:szCs w:val="20"/>
              </w:rPr>
              <w:t>Demonstrating links between data and conclusions</w:t>
            </w:r>
          </w:p>
        </w:tc>
        <w:tc>
          <w:tcPr>
            <w:tcW w:w="1897" w:type="pct"/>
            <w:gridSpan w:val="2"/>
            <w:shd w:val="clear" w:color="auto" w:fill="auto"/>
          </w:tcPr>
          <w:p w14:paraId="22F4588E" w14:textId="16FD4D89" w:rsidR="00C8376A" w:rsidRPr="00DD0622" w:rsidRDefault="00C8376A" w:rsidP="00C8376A">
            <w:pPr>
              <w:jc w:val="both"/>
              <w:rPr>
                <w:rFonts w:cs="Calibri"/>
                <w:color w:val="000000"/>
                <w:sz w:val="20"/>
                <w:szCs w:val="20"/>
              </w:rPr>
            </w:pPr>
            <w:r w:rsidRPr="00DD0622">
              <w:rPr>
                <w:rFonts w:cs="Calibri"/>
                <w:color w:val="000000"/>
                <w:sz w:val="20"/>
                <w:szCs w:val="20"/>
              </w:rPr>
              <w:t>See Volume II Annex 2</w:t>
            </w:r>
            <w:r>
              <w:rPr>
                <w:rFonts w:cs="Calibri"/>
                <w:color w:val="000000"/>
                <w:sz w:val="20"/>
                <w:szCs w:val="20"/>
              </w:rPr>
              <w:t>1</w:t>
            </w:r>
          </w:p>
        </w:tc>
      </w:tr>
      <w:tr w:rsidR="00C8376A" w:rsidRPr="00DD0622" w14:paraId="16A2853F" w14:textId="77777777" w:rsidTr="00BB4743">
        <w:trPr>
          <w:cnfStyle w:val="000000100000" w:firstRow="0" w:lastRow="0" w:firstColumn="0" w:lastColumn="0" w:oddVBand="0" w:evenVBand="0" w:oddHBand="1" w:evenHBand="0" w:firstRowFirstColumn="0" w:firstRowLastColumn="0" w:lastRowFirstColumn="0" w:lastRowLastColumn="0"/>
        </w:trPr>
        <w:tc>
          <w:tcPr>
            <w:tcW w:w="1272" w:type="pct"/>
            <w:vMerge w:val="restart"/>
          </w:tcPr>
          <w:p w14:paraId="03C79877" w14:textId="77777777" w:rsidR="00C8376A" w:rsidRPr="00DD0622" w:rsidRDefault="00C8376A" w:rsidP="00C8376A">
            <w:pPr>
              <w:jc w:val="both"/>
              <w:rPr>
                <w:rFonts w:cs="Calibri"/>
                <w:color w:val="000000"/>
                <w:sz w:val="20"/>
                <w:szCs w:val="20"/>
              </w:rPr>
            </w:pPr>
            <w:r w:rsidRPr="00DD0622">
              <w:rPr>
                <w:rFonts w:cs="Calibri"/>
                <w:color w:val="000000"/>
                <w:sz w:val="20"/>
                <w:szCs w:val="20"/>
              </w:rPr>
              <w:t>The broader contribution of the study</w:t>
            </w:r>
          </w:p>
        </w:tc>
        <w:tc>
          <w:tcPr>
            <w:tcW w:w="1831" w:type="pct"/>
          </w:tcPr>
          <w:p w14:paraId="1B30D04B" w14:textId="77777777" w:rsidR="00C8376A" w:rsidRPr="00DD0622" w:rsidRDefault="00C8376A" w:rsidP="00C8376A">
            <w:pPr>
              <w:jc w:val="both"/>
              <w:rPr>
                <w:rFonts w:cs="Calibri"/>
                <w:color w:val="000000"/>
                <w:sz w:val="20"/>
                <w:szCs w:val="20"/>
              </w:rPr>
            </w:pPr>
            <w:r w:rsidRPr="00DD0622">
              <w:rPr>
                <w:rFonts w:cs="Calibri"/>
                <w:color w:val="000000"/>
                <w:sz w:val="20"/>
                <w:szCs w:val="20"/>
              </w:rPr>
              <w:t xml:space="preserve">Relevance and utility to policy </w:t>
            </w:r>
          </w:p>
        </w:tc>
        <w:tc>
          <w:tcPr>
            <w:tcW w:w="1897" w:type="pct"/>
            <w:gridSpan w:val="2"/>
          </w:tcPr>
          <w:p w14:paraId="3AB39687" w14:textId="5ECAA698" w:rsidR="00C8376A" w:rsidRPr="00DD0622" w:rsidRDefault="00C8376A" w:rsidP="00C8376A">
            <w:pPr>
              <w:jc w:val="both"/>
              <w:rPr>
                <w:rFonts w:cs="Calibri"/>
                <w:color w:val="000000"/>
                <w:sz w:val="20"/>
                <w:szCs w:val="20"/>
                <w:highlight w:val="yellow"/>
              </w:rPr>
            </w:pPr>
            <w:r w:rsidRPr="00C10B61">
              <w:rPr>
                <w:rFonts w:cs="Calibri"/>
                <w:color w:val="000000"/>
                <w:sz w:val="20"/>
                <w:szCs w:val="20"/>
              </w:rPr>
              <w:t>The entire evaluation has been conducted with a utilisation focus, meaning that primary intended users have been involved at key stages to maximise their ownership of the process and the results of this evaluation. Conclusions and recommendations have be</w:t>
            </w:r>
            <w:r w:rsidR="00C10B61" w:rsidRPr="00C10B61">
              <w:rPr>
                <w:rFonts w:cs="Calibri"/>
                <w:color w:val="000000"/>
                <w:sz w:val="20"/>
                <w:szCs w:val="20"/>
              </w:rPr>
              <w:t>e</w:t>
            </w:r>
            <w:r w:rsidRPr="00C10B61">
              <w:rPr>
                <w:rFonts w:cs="Calibri"/>
                <w:color w:val="000000"/>
                <w:sz w:val="20"/>
                <w:szCs w:val="20"/>
              </w:rPr>
              <w:t xml:space="preserve">n formulated with relevance and utility in mind. </w:t>
            </w:r>
          </w:p>
        </w:tc>
      </w:tr>
      <w:tr w:rsidR="00C8376A" w:rsidRPr="00DD0622" w14:paraId="4B10E9EB" w14:textId="77777777" w:rsidTr="00BB4743">
        <w:trPr>
          <w:cnfStyle w:val="000000010000" w:firstRow="0" w:lastRow="0" w:firstColumn="0" w:lastColumn="0" w:oddVBand="0" w:evenVBand="0" w:oddHBand="0" w:evenHBand="1" w:firstRowFirstColumn="0" w:firstRowLastColumn="0" w:lastRowFirstColumn="0" w:lastRowLastColumn="0"/>
        </w:trPr>
        <w:tc>
          <w:tcPr>
            <w:tcW w:w="1272" w:type="pct"/>
            <w:vMerge/>
          </w:tcPr>
          <w:p w14:paraId="73DE914F" w14:textId="77777777" w:rsidR="00C8376A" w:rsidRPr="00DD0622" w:rsidRDefault="00C8376A" w:rsidP="00C8376A">
            <w:pPr>
              <w:jc w:val="both"/>
              <w:rPr>
                <w:rFonts w:cs="Calibri"/>
                <w:color w:val="000000"/>
                <w:sz w:val="20"/>
                <w:szCs w:val="20"/>
              </w:rPr>
            </w:pPr>
          </w:p>
        </w:tc>
        <w:tc>
          <w:tcPr>
            <w:tcW w:w="1831" w:type="pct"/>
          </w:tcPr>
          <w:p w14:paraId="3C797238" w14:textId="77777777" w:rsidR="00C8376A" w:rsidRPr="00DD0622" w:rsidRDefault="00C8376A" w:rsidP="00C8376A">
            <w:pPr>
              <w:jc w:val="both"/>
              <w:rPr>
                <w:rFonts w:cs="Calibri"/>
                <w:color w:val="000000"/>
                <w:sz w:val="20"/>
                <w:szCs w:val="20"/>
              </w:rPr>
            </w:pPr>
            <w:r w:rsidRPr="00DD0622">
              <w:rPr>
                <w:rFonts w:cs="Calibri"/>
                <w:color w:val="000000"/>
                <w:sz w:val="20"/>
                <w:szCs w:val="20"/>
              </w:rPr>
              <w:t>Ongoing involvement of potential users in planning and discussing recommendations</w:t>
            </w:r>
          </w:p>
        </w:tc>
        <w:tc>
          <w:tcPr>
            <w:tcW w:w="1897" w:type="pct"/>
            <w:gridSpan w:val="2"/>
          </w:tcPr>
          <w:p w14:paraId="1A1FA530" w14:textId="6A3FDD0B" w:rsidR="00C8376A" w:rsidRPr="00DD0622" w:rsidRDefault="00C8376A" w:rsidP="00C8376A">
            <w:pPr>
              <w:jc w:val="both"/>
              <w:rPr>
                <w:rFonts w:cs="Calibri"/>
                <w:color w:val="000000"/>
                <w:sz w:val="20"/>
                <w:szCs w:val="20"/>
                <w:highlight w:val="yellow"/>
              </w:rPr>
            </w:pPr>
            <w:r w:rsidRPr="00DD0622">
              <w:rPr>
                <w:rFonts w:cs="Calibri"/>
                <w:color w:val="000000"/>
                <w:sz w:val="20"/>
                <w:szCs w:val="20"/>
              </w:rPr>
              <w:t>See Volume II Annex 1</w:t>
            </w:r>
            <w:r>
              <w:rPr>
                <w:rFonts w:cs="Calibri"/>
                <w:color w:val="000000"/>
                <w:sz w:val="20"/>
                <w:szCs w:val="20"/>
              </w:rPr>
              <w:t>7</w:t>
            </w:r>
          </w:p>
        </w:tc>
      </w:tr>
      <w:tr w:rsidR="00C8376A" w:rsidRPr="00DD0622" w14:paraId="3B24B842" w14:textId="77777777" w:rsidTr="00BB4743">
        <w:trPr>
          <w:cnfStyle w:val="000000100000" w:firstRow="0" w:lastRow="0" w:firstColumn="0" w:lastColumn="0" w:oddVBand="0" w:evenVBand="0" w:oddHBand="1" w:evenHBand="0" w:firstRowFirstColumn="0" w:firstRowLastColumn="0" w:lastRowFirstColumn="0" w:lastRowLastColumn="0"/>
        </w:trPr>
        <w:tc>
          <w:tcPr>
            <w:tcW w:w="1272" w:type="pct"/>
            <w:vMerge/>
          </w:tcPr>
          <w:p w14:paraId="62EAC126" w14:textId="77777777" w:rsidR="00C8376A" w:rsidRPr="00DD0622" w:rsidRDefault="00C8376A" w:rsidP="00C8376A">
            <w:pPr>
              <w:jc w:val="both"/>
              <w:rPr>
                <w:rFonts w:cs="Calibri"/>
                <w:color w:val="000000"/>
                <w:sz w:val="20"/>
                <w:szCs w:val="20"/>
              </w:rPr>
            </w:pPr>
          </w:p>
        </w:tc>
        <w:tc>
          <w:tcPr>
            <w:tcW w:w="1831" w:type="pct"/>
          </w:tcPr>
          <w:p w14:paraId="6300B468" w14:textId="77777777" w:rsidR="00C8376A" w:rsidRPr="00DD0622" w:rsidRDefault="00C8376A" w:rsidP="00C8376A">
            <w:pPr>
              <w:jc w:val="both"/>
              <w:rPr>
                <w:rFonts w:cs="Calibri"/>
                <w:color w:val="000000"/>
                <w:sz w:val="20"/>
                <w:szCs w:val="20"/>
              </w:rPr>
            </w:pPr>
            <w:r w:rsidRPr="00DD0622">
              <w:rPr>
                <w:rFonts w:cs="Calibri"/>
                <w:color w:val="000000"/>
                <w:sz w:val="20"/>
                <w:szCs w:val="20"/>
              </w:rPr>
              <w:t>Timeliness</w:t>
            </w:r>
          </w:p>
        </w:tc>
        <w:tc>
          <w:tcPr>
            <w:tcW w:w="1897" w:type="pct"/>
            <w:gridSpan w:val="2"/>
          </w:tcPr>
          <w:p w14:paraId="2D15DF50" w14:textId="443A0BF6" w:rsidR="00C8376A" w:rsidRPr="00DD0622" w:rsidRDefault="0094600A" w:rsidP="00C8376A">
            <w:pPr>
              <w:jc w:val="both"/>
              <w:rPr>
                <w:rFonts w:cs="Calibri"/>
                <w:color w:val="000000"/>
                <w:sz w:val="20"/>
                <w:szCs w:val="20"/>
                <w:highlight w:val="yellow"/>
              </w:rPr>
            </w:pPr>
            <w:r w:rsidRPr="00DD0622">
              <w:rPr>
                <w:rFonts w:cs="Calibri"/>
                <w:color w:val="000000"/>
                <w:sz w:val="20"/>
                <w:szCs w:val="20"/>
              </w:rPr>
              <w:t>See Volume I</w:t>
            </w:r>
            <w:r>
              <w:rPr>
                <w:rFonts w:cs="Calibri"/>
                <w:color w:val="000000"/>
                <w:sz w:val="20"/>
                <w:szCs w:val="20"/>
              </w:rPr>
              <w:t xml:space="preserve"> section </w:t>
            </w:r>
            <w:r w:rsidR="00721F2E">
              <w:rPr>
                <w:rFonts w:cs="Calibri"/>
                <w:color w:val="000000"/>
                <w:sz w:val="20"/>
                <w:szCs w:val="20"/>
              </w:rPr>
              <w:t xml:space="preserve">1 and </w:t>
            </w:r>
            <w:r w:rsidRPr="00DD0622">
              <w:rPr>
                <w:rFonts w:cs="Calibri"/>
                <w:color w:val="000000"/>
                <w:sz w:val="20"/>
                <w:szCs w:val="20"/>
              </w:rPr>
              <w:t>Volume II</w:t>
            </w:r>
            <w:r>
              <w:rPr>
                <w:rFonts w:cs="Calibri"/>
                <w:color w:val="000000"/>
                <w:sz w:val="20"/>
                <w:szCs w:val="20"/>
              </w:rPr>
              <w:t xml:space="preserve"> </w:t>
            </w:r>
            <w:r w:rsidRPr="00DD0622">
              <w:rPr>
                <w:rFonts w:cs="Calibri"/>
                <w:color w:val="000000"/>
                <w:sz w:val="20"/>
                <w:szCs w:val="20"/>
              </w:rPr>
              <w:t>Annex 1</w:t>
            </w:r>
            <w:r>
              <w:rPr>
                <w:rFonts w:cs="Calibri"/>
                <w:color w:val="000000"/>
                <w:sz w:val="20"/>
                <w:szCs w:val="20"/>
              </w:rPr>
              <w:t>7</w:t>
            </w:r>
          </w:p>
        </w:tc>
      </w:tr>
      <w:tr w:rsidR="00C8376A" w:rsidRPr="00DD0622" w14:paraId="755C689B" w14:textId="77777777" w:rsidTr="00BB4743">
        <w:trPr>
          <w:cnfStyle w:val="000000010000" w:firstRow="0" w:lastRow="0" w:firstColumn="0" w:lastColumn="0" w:oddVBand="0" w:evenVBand="0" w:oddHBand="0" w:evenHBand="1" w:firstRowFirstColumn="0" w:firstRowLastColumn="0" w:lastRowFirstColumn="0" w:lastRowLastColumn="0"/>
        </w:trPr>
        <w:tc>
          <w:tcPr>
            <w:tcW w:w="1272" w:type="pct"/>
            <w:vMerge/>
          </w:tcPr>
          <w:p w14:paraId="0ABD9EA9" w14:textId="77777777" w:rsidR="00C8376A" w:rsidRPr="00DD0622" w:rsidRDefault="00C8376A" w:rsidP="00C8376A">
            <w:pPr>
              <w:jc w:val="both"/>
              <w:rPr>
                <w:rFonts w:cs="Calibri"/>
                <w:color w:val="000000"/>
                <w:sz w:val="20"/>
                <w:szCs w:val="20"/>
              </w:rPr>
            </w:pPr>
          </w:p>
        </w:tc>
        <w:tc>
          <w:tcPr>
            <w:tcW w:w="1831" w:type="pct"/>
          </w:tcPr>
          <w:p w14:paraId="277C7557" w14:textId="77777777" w:rsidR="00C8376A" w:rsidRPr="00DD0622" w:rsidRDefault="00C8376A" w:rsidP="00C8376A">
            <w:pPr>
              <w:jc w:val="both"/>
              <w:rPr>
                <w:rFonts w:cs="Calibri"/>
                <w:color w:val="000000"/>
                <w:sz w:val="20"/>
                <w:szCs w:val="20"/>
              </w:rPr>
            </w:pPr>
            <w:r w:rsidRPr="00DD0622">
              <w:rPr>
                <w:rFonts w:cs="Calibri"/>
                <w:color w:val="000000"/>
                <w:sz w:val="20"/>
                <w:szCs w:val="20"/>
              </w:rPr>
              <w:t>Clear reporting and active dissemination</w:t>
            </w:r>
          </w:p>
        </w:tc>
        <w:tc>
          <w:tcPr>
            <w:tcW w:w="1897" w:type="pct"/>
            <w:gridSpan w:val="2"/>
          </w:tcPr>
          <w:p w14:paraId="6CAE4A11" w14:textId="0E8109EC" w:rsidR="00C8376A" w:rsidRPr="00DD0622" w:rsidRDefault="00C8376A" w:rsidP="00C8376A">
            <w:pPr>
              <w:jc w:val="both"/>
              <w:rPr>
                <w:rFonts w:cs="Calibri"/>
                <w:color w:val="000000"/>
                <w:sz w:val="20"/>
                <w:szCs w:val="20"/>
                <w:highlight w:val="yellow"/>
              </w:rPr>
            </w:pPr>
            <w:r w:rsidRPr="00DD0622">
              <w:rPr>
                <w:rFonts w:cs="Calibri"/>
                <w:color w:val="000000"/>
                <w:sz w:val="20"/>
                <w:szCs w:val="20"/>
              </w:rPr>
              <w:t>See Volume II Annex 1</w:t>
            </w:r>
            <w:r>
              <w:rPr>
                <w:rFonts w:cs="Calibri"/>
                <w:color w:val="000000"/>
                <w:sz w:val="20"/>
                <w:szCs w:val="20"/>
              </w:rPr>
              <w:t>7</w:t>
            </w:r>
          </w:p>
        </w:tc>
      </w:tr>
      <w:tr w:rsidR="00C8376A" w:rsidRPr="00DD0622" w14:paraId="2C5495A5" w14:textId="77777777" w:rsidTr="00BB4743">
        <w:trPr>
          <w:cnfStyle w:val="000000100000" w:firstRow="0" w:lastRow="0" w:firstColumn="0" w:lastColumn="0" w:oddVBand="0" w:evenVBand="0" w:oddHBand="1" w:evenHBand="0" w:firstRowFirstColumn="0" w:firstRowLastColumn="0" w:lastRowFirstColumn="0" w:lastRowLastColumn="0"/>
          <w:trHeight w:val="50"/>
        </w:trPr>
        <w:tc>
          <w:tcPr>
            <w:tcW w:w="1272" w:type="pct"/>
            <w:vMerge/>
          </w:tcPr>
          <w:p w14:paraId="7525FB04" w14:textId="77777777" w:rsidR="00C8376A" w:rsidRPr="00DD0622" w:rsidRDefault="00C8376A" w:rsidP="00C8376A">
            <w:pPr>
              <w:jc w:val="both"/>
              <w:rPr>
                <w:rFonts w:cs="Calibri"/>
                <w:color w:val="000000"/>
                <w:sz w:val="20"/>
                <w:szCs w:val="20"/>
              </w:rPr>
            </w:pPr>
          </w:p>
        </w:tc>
        <w:tc>
          <w:tcPr>
            <w:tcW w:w="1831" w:type="pct"/>
          </w:tcPr>
          <w:p w14:paraId="4D1BBA45" w14:textId="77777777" w:rsidR="00C8376A" w:rsidRPr="00DD0622" w:rsidRDefault="00C8376A" w:rsidP="00C8376A">
            <w:pPr>
              <w:jc w:val="both"/>
              <w:rPr>
                <w:rFonts w:cs="Calibri"/>
                <w:color w:val="000000"/>
                <w:sz w:val="20"/>
                <w:szCs w:val="20"/>
              </w:rPr>
            </w:pPr>
            <w:r w:rsidRPr="00DD0622">
              <w:rPr>
                <w:rFonts w:cs="Calibri"/>
                <w:color w:val="000000"/>
                <w:sz w:val="20"/>
                <w:szCs w:val="20"/>
              </w:rPr>
              <w:t>Linking findings to broader research and theory</w:t>
            </w:r>
          </w:p>
        </w:tc>
        <w:tc>
          <w:tcPr>
            <w:tcW w:w="1897" w:type="pct"/>
            <w:gridSpan w:val="2"/>
          </w:tcPr>
          <w:p w14:paraId="3BC5BF9C" w14:textId="370D71C1" w:rsidR="00C8376A" w:rsidRPr="00DD0622" w:rsidRDefault="0094600A" w:rsidP="00C8376A">
            <w:pPr>
              <w:jc w:val="both"/>
              <w:rPr>
                <w:rFonts w:cs="Calibri"/>
                <w:color w:val="000000"/>
                <w:sz w:val="20"/>
                <w:szCs w:val="20"/>
                <w:highlight w:val="yellow"/>
              </w:rPr>
            </w:pPr>
            <w:r w:rsidRPr="00DD0622">
              <w:rPr>
                <w:rFonts w:cs="Calibri"/>
                <w:color w:val="000000"/>
                <w:sz w:val="20"/>
                <w:szCs w:val="20"/>
              </w:rPr>
              <w:t>See Volume II</w:t>
            </w:r>
            <w:r w:rsidR="00721F2E">
              <w:rPr>
                <w:rFonts w:cs="Calibri"/>
                <w:color w:val="000000"/>
                <w:sz w:val="20"/>
                <w:szCs w:val="20"/>
              </w:rPr>
              <w:t xml:space="preserve"> </w:t>
            </w:r>
            <w:r w:rsidR="00721F2E" w:rsidRPr="00DD0622">
              <w:rPr>
                <w:rFonts w:cs="Calibri"/>
                <w:color w:val="000000"/>
                <w:sz w:val="20"/>
                <w:szCs w:val="20"/>
              </w:rPr>
              <w:t xml:space="preserve">Annex </w:t>
            </w:r>
            <w:r w:rsidR="008B5F84">
              <w:rPr>
                <w:rFonts w:cs="Calibri"/>
                <w:color w:val="000000"/>
                <w:sz w:val="20"/>
                <w:szCs w:val="20"/>
              </w:rPr>
              <w:t xml:space="preserve">7, </w:t>
            </w:r>
            <w:r w:rsidR="00CC38E9" w:rsidRPr="00DD0622">
              <w:rPr>
                <w:rFonts w:cs="Calibri"/>
                <w:color w:val="000000"/>
                <w:sz w:val="20"/>
                <w:szCs w:val="20"/>
              </w:rPr>
              <w:t>Annex</w:t>
            </w:r>
            <w:r w:rsidR="00CC38E9">
              <w:rPr>
                <w:rFonts w:cs="Calibri"/>
                <w:color w:val="000000"/>
                <w:sz w:val="20"/>
                <w:szCs w:val="20"/>
              </w:rPr>
              <w:t xml:space="preserve"> 8</w:t>
            </w:r>
            <w:r w:rsidR="008B5F84">
              <w:rPr>
                <w:rFonts w:cs="Calibri"/>
                <w:color w:val="000000"/>
                <w:sz w:val="20"/>
                <w:szCs w:val="20"/>
              </w:rPr>
              <w:t xml:space="preserve">, </w:t>
            </w:r>
            <w:r w:rsidR="008B5F84" w:rsidRPr="00DD0622">
              <w:rPr>
                <w:rFonts w:cs="Calibri"/>
                <w:color w:val="000000"/>
                <w:sz w:val="20"/>
                <w:szCs w:val="20"/>
              </w:rPr>
              <w:t>Annex</w:t>
            </w:r>
            <w:r w:rsidR="008B5F84">
              <w:rPr>
                <w:rFonts w:cs="Calibri"/>
                <w:color w:val="000000"/>
                <w:sz w:val="20"/>
                <w:szCs w:val="20"/>
              </w:rPr>
              <w:t xml:space="preserve">  9, </w:t>
            </w:r>
            <w:r w:rsidR="008B5F84" w:rsidRPr="00DD0622">
              <w:rPr>
                <w:rFonts w:cs="Calibri"/>
                <w:color w:val="000000"/>
                <w:sz w:val="20"/>
                <w:szCs w:val="20"/>
              </w:rPr>
              <w:t>Annex</w:t>
            </w:r>
            <w:r w:rsidR="008B5F84">
              <w:rPr>
                <w:rFonts w:cs="Calibri"/>
                <w:color w:val="000000"/>
                <w:sz w:val="20"/>
                <w:szCs w:val="20"/>
              </w:rPr>
              <w:t xml:space="preserve"> 10 and Inception report. </w:t>
            </w:r>
            <w:r w:rsidR="00721F2E">
              <w:rPr>
                <w:rFonts w:cs="Calibri"/>
                <w:color w:val="000000"/>
                <w:sz w:val="20"/>
                <w:szCs w:val="20"/>
              </w:rPr>
              <w:t xml:space="preserve"> </w:t>
            </w:r>
          </w:p>
        </w:tc>
      </w:tr>
    </w:tbl>
    <w:p w14:paraId="42C424CE" w14:textId="77777777" w:rsidR="00B728D8" w:rsidRDefault="00B728D8" w:rsidP="007A2CDA">
      <w:pPr>
        <w:pStyle w:val="ItadNormalText"/>
      </w:pPr>
    </w:p>
    <w:p w14:paraId="28E49686" w14:textId="0220BB8E" w:rsidR="002959B9" w:rsidRPr="007A2CDA" w:rsidRDefault="002959B9" w:rsidP="007A2CDA">
      <w:pPr>
        <w:pStyle w:val="ItadNormalText"/>
        <w:sectPr w:rsidR="002959B9" w:rsidRPr="007A2CDA" w:rsidSect="007F1B4B">
          <w:pgSz w:w="11900" w:h="16840"/>
          <w:pgMar w:top="1134" w:right="1191" w:bottom="1134" w:left="1191" w:header="720" w:footer="258" w:gutter="0"/>
          <w:cols w:space="720"/>
          <w:titlePg/>
          <w:docGrid w:linePitch="360"/>
        </w:sectPr>
      </w:pPr>
      <w:r>
        <w:t xml:space="preserve">We note that the above framework is not explicit on requirements for disaggregation. This is of relevance to understanding differences between countries and between sectors, and we have ensured that </w:t>
      </w:r>
      <w:r w:rsidR="007A2CDA">
        <w:t xml:space="preserve">implementation and results are collected separately for human, </w:t>
      </w:r>
      <w:r w:rsidR="001E6808">
        <w:t>animal,</w:t>
      </w:r>
      <w:r w:rsidR="007A2CDA">
        <w:t xml:space="preserve"> and other sectors where relevant.  </w:t>
      </w:r>
    </w:p>
    <w:p w14:paraId="78BD317E" w14:textId="3258F8FD" w:rsidR="002C58B7" w:rsidRDefault="002C58B7" w:rsidP="002C58B7">
      <w:pPr>
        <w:pStyle w:val="ItadH1Numbered"/>
        <w:numPr>
          <w:ilvl w:val="0"/>
          <w:numId w:val="0"/>
        </w:numPr>
      </w:pPr>
      <w:bookmarkStart w:id="108" w:name="_Toc118968516"/>
      <w:bookmarkStart w:id="109" w:name="_Toc142383156"/>
      <w:r>
        <w:t xml:space="preserve">Annex </w:t>
      </w:r>
      <w:r w:rsidR="00A70655">
        <w:t>5</w:t>
      </w:r>
      <w:r>
        <w:t>: M</w:t>
      </w:r>
      <w:r w:rsidRPr="002C58B7">
        <w:t xml:space="preserve">apping of </w:t>
      </w:r>
      <w:r w:rsidR="00764EB0">
        <w:t>evaluation questions</w:t>
      </w:r>
      <w:r w:rsidR="00764EB0" w:rsidRPr="002C58B7">
        <w:t xml:space="preserve"> to </w:t>
      </w:r>
      <w:r w:rsidR="00764EB0">
        <w:t>r</w:t>
      </w:r>
      <w:r w:rsidR="00764EB0" w:rsidRPr="002C58B7">
        <w:t xml:space="preserve">eport </w:t>
      </w:r>
      <w:r w:rsidR="00764EB0">
        <w:t>s</w:t>
      </w:r>
      <w:r w:rsidR="00764EB0" w:rsidRPr="002C58B7">
        <w:t>ections</w:t>
      </w:r>
      <w:bookmarkEnd w:id="108"/>
      <w:bookmarkEnd w:id="109"/>
    </w:p>
    <w:p w14:paraId="366B9CCE" w14:textId="77777777" w:rsidR="00250C16" w:rsidRDefault="00250C16" w:rsidP="00250C16">
      <w:pPr>
        <w:pStyle w:val="ItadNormalText"/>
      </w:pPr>
    </w:p>
    <w:tbl>
      <w:tblPr>
        <w:tblStyle w:val="ItadGreenHeaderRow"/>
        <w:tblW w:w="5000" w:type="pct"/>
        <w:tblLayout w:type="fixed"/>
        <w:tblLook w:val="04A0" w:firstRow="1" w:lastRow="0" w:firstColumn="1" w:lastColumn="0" w:noHBand="0" w:noVBand="1"/>
      </w:tblPr>
      <w:tblGrid>
        <w:gridCol w:w="3940"/>
        <w:gridCol w:w="5076"/>
      </w:tblGrid>
      <w:tr w:rsidR="0047178D" w:rsidRPr="00737A7E" w14:paraId="0CAD5423" w14:textId="77777777" w:rsidTr="004B2D21">
        <w:trPr>
          <w:cnfStyle w:val="100000000000" w:firstRow="1" w:lastRow="0" w:firstColumn="0" w:lastColumn="0" w:oddVBand="0" w:evenVBand="0" w:oddHBand="0" w:evenHBand="0" w:firstRowFirstColumn="0" w:firstRowLastColumn="0" w:lastRowFirstColumn="0" w:lastRowLastColumn="0"/>
          <w:trHeight w:val="216"/>
        </w:trPr>
        <w:tc>
          <w:tcPr>
            <w:tcW w:w="2185" w:type="pct"/>
          </w:tcPr>
          <w:p w14:paraId="2037549F" w14:textId="35CA12B9" w:rsidR="0047178D" w:rsidRPr="00BB4743" w:rsidRDefault="00F21D1C">
            <w:pPr>
              <w:pStyle w:val="ItadNormalTextWhite"/>
              <w:rPr>
                <w:rFonts w:asciiTheme="minorHAnsi" w:hAnsiTheme="minorHAnsi" w:cstheme="minorHAnsi"/>
                <w:b/>
                <w:bCs/>
                <w:color w:val="auto"/>
              </w:rPr>
            </w:pPr>
            <w:r w:rsidRPr="00BB4743">
              <w:rPr>
                <w:rFonts w:asciiTheme="minorHAnsi" w:hAnsiTheme="minorHAnsi" w:cstheme="minorHAnsi"/>
                <w:b/>
                <w:bCs/>
                <w:color w:val="auto"/>
              </w:rPr>
              <w:t>Evaluation Question</w:t>
            </w:r>
          </w:p>
        </w:tc>
        <w:tc>
          <w:tcPr>
            <w:tcW w:w="2815" w:type="pct"/>
          </w:tcPr>
          <w:p w14:paraId="05B61402" w14:textId="715A8A6E" w:rsidR="0047178D" w:rsidRPr="00BB4743" w:rsidRDefault="0047178D">
            <w:pPr>
              <w:pStyle w:val="ItadNormalTextWhite"/>
              <w:rPr>
                <w:rFonts w:asciiTheme="minorHAnsi" w:hAnsiTheme="minorHAnsi" w:cstheme="minorHAnsi"/>
                <w:b/>
                <w:bCs/>
                <w:color w:val="auto"/>
              </w:rPr>
            </w:pPr>
            <w:r w:rsidRPr="00BB4743">
              <w:rPr>
                <w:rFonts w:asciiTheme="minorHAnsi" w:hAnsiTheme="minorHAnsi" w:cstheme="minorHAnsi"/>
                <w:b/>
                <w:bCs/>
                <w:color w:val="auto"/>
              </w:rPr>
              <w:t>Report Section</w:t>
            </w:r>
            <w:r w:rsidR="00672C18" w:rsidRPr="00BB4743">
              <w:rPr>
                <w:rFonts w:asciiTheme="minorHAnsi" w:hAnsiTheme="minorHAnsi" w:cstheme="minorHAnsi"/>
                <w:b/>
                <w:bCs/>
                <w:color w:val="auto"/>
              </w:rPr>
              <w:t>/s</w:t>
            </w:r>
          </w:p>
        </w:tc>
      </w:tr>
      <w:tr w:rsidR="0047178D" w:rsidRPr="00EA56E3" w14:paraId="1679F830" w14:textId="77777777" w:rsidTr="004B2D21">
        <w:trPr>
          <w:cnfStyle w:val="000000100000" w:firstRow="0" w:lastRow="0" w:firstColumn="0" w:lastColumn="0" w:oddVBand="0" w:evenVBand="0" w:oddHBand="1" w:evenHBand="0" w:firstRowFirstColumn="0" w:firstRowLastColumn="0" w:lastRowFirstColumn="0" w:lastRowLastColumn="0"/>
          <w:trHeight w:val="1175"/>
        </w:trPr>
        <w:tc>
          <w:tcPr>
            <w:tcW w:w="2185" w:type="pct"/>
          </w:tcPr>
          <w:p w14:paraId="70817D15" w14:textId="77777777" w:rsidR="0047178D" w:rsidRPr="00EA56E3" w:rsidRDefault="0047178D">
            <w:pPr>
              <w:pStyle w:val="ItadNormalText"/>
              <w:jc w:val="center"/>
              <w:rPr>
                <w:rFonts w:asciiTheme="minorHAnsi" w:hAnsiTheme="minorHAnsi" w:cstheme="minorHAnsi"/>
              </w:rPr>
            </w:pPr>
            <w:r w:rsidRPr="00EA56E3">
              <w:rPr>
                <w:rFonts w:asciiTheme="minorHAnsi" w:hAnsiTheme="minorHAnsi" w:cstheme="minorHAnsi"/>
                <w:b/>
              </w:rPr>
              <w:t>EQ1</w:t>
            </w:r>
            <w:r w:rsidRPr="00EA56E3">
              <w:rPr>
                <w:rFonts w:asciiTheme="minorHAnsi" w:hAnsiTheme="minorHAnsi" w:cstheme="minorHAnsi"/>
              </w:rPr>
              <w:t xml:space="preserve"> What has been the </w:t>
            </w:r>
            <w:r w:rsidRPr="00EA56E3">
              <w:rPr>
                <w:rFonts w:asciiTheme="minorHAnsi" w:hAnsiTheme="minorHAnsi" w:cstheme="minorHAnsi"/>
                <w:b/>
              </w:rPr>
              <w:t>increase in the quantity and/or quality of data</w:t>
            </w:r>
            <w:r w:rsidRPr="00EA56E3">
              <w:rPr>
                <w:rFonts w:asciiTheme="minorHAnsi" w:hAnsiTheme="minorHAnsi" w:cstheme="minorHAnsi"/>
              </w:rPr>
              <w:t xml:space="preserve"> on AMR at country level and to what extent has the Fleming Fund contributed to this increase?</w:t>
            </w:r>
          </w:p>
        </w:tc>
        <w:tc>
          <w:tcPr>
            <w:tcW w:w="2815" w:type="pct"/>
          </w:tcPr>
          <w:p w14:paraId="32A87B93" w14:textId="1E20673B" w:rsidR="0047178D" w:rsidRPr="00EA56E3" w:rsidRDefault="009F6622">
            <w:pPr>
              <w:pStyle w:val="ItadNormalText"/>
              <w:rPr>
                <w:rFonts w:asciiTheme="minorHAnsi" w:hAnsiTheme="minorHAnsi" w:cstheme="minorHAnsi"/>
              </w:rPr>
            </w:pPr>
            <w:r>
              <w:rPr>
                <w:rFonts w:asciiTheme="minorHAnsi" w:hAnsiTheme="minorHAnsi" w:cstheme="minorHAnsi"/>
              </w:rPr>
              <w:t xml:space="preserve">Executive Summary and sections: </w:t>
            </w:r>
            <w:r w:rsidR="004549A9">
              <w:rPr>
                <w:rFonts w:asciiTheme="minorHAnsi" w:hAnsiTheme="minorHAnsi" w:cstheme="minorHAnsi"/>
              </w:rPr>
              <w:t xml:space="preserve">2.1, </w:t>
            </w:r>
            <w:r w:rsidR="00BE7DB4">
              <w:rPr>
                <w:rFonts w:asciiTheme="minorHAnsi" w:hAnsiTheme="minorHAnsi" w:cstheme="minorHAnsi"/>
              </w:rPr>
              <w:t>2.1.2, 2.1.3</w:t>
            </w:r>
          </w:p>
        </w:tc>
      </w:tr>
      <w:tr w:rsidR="0047178D" w:rsidRPr="00EA56E3" w14:paraId="70893CB6" w14:textId="77777777" w:rsidTr="004B2D21">
        <w:trPr>
          <w:cnfStyle w:val="000000010000" w:firstRow="0" w:lastRow="0" w:firstColumn="0" w:lastColumn="0" w:oddVBand="0" w:evenVBand="0" w:oddHBand="0" w:evenHBand="1" w:firstRowFirstColumn="0" w:firstRowLastColumn="0" w:lastRowFirstColumn="0" w:lastRowLastColumn="0"/>
          <w:trHeight w:val="204"/>
        </w:trPr>
        <w:tc>
          <w:tcPr>
            <w:tcW w:w="2185" w:type="pct"/>
          </w:tcPr>
          <w:p w14:paraId="60331018" w14:textId="77777777" w:rsidR="0047178D" w:rsidRPr="00EA56E3" w:rsidRDefault="0047178D">
            <w:pPr>
              <w:pStyle w:val="ItadNormalText"/>
              <w:jc w:val="center"/>
              <w:rPr>
                <w:rFonts w:asciiTheme="minorHAnsi" w:hAnsiTheme="minorHAnsi" w:cstheme="minorHAnsi"/>
              </w:rPr>
            </w:pPr>
            <w:r w:rsidRPr="00EA56E3">
              <w:rPr>
                <w:rFonts w:asciiTheme="minorHAnsi" w:hAnsiTheme="minorHAnsi" w:cstheme="minorHAnsi"/>
                <w:b/>
              </w:rPr>
              <w:t>EQ2</w:t>
            </w:r>
            <w:r w:rsidRPr="00EA56E3">
              <w:rPr>
                <w:rFonts w:asciiTheme="minorHAnsi" w:hAnsiTheme="minorHAnsi" w:cstheme="minorHAnsi"/>
              </w:rPr>
              <w:t xml:space="preserve"> To what extent have the Fleming Fund's </w:t>
            </w:r>
            <w:r w:rsidRPr="00EA56E3">
              <w:rPr>
                <w:rFonts w:asciiTheme="minorHAnsi" w:hAnsiTheme="minorHAnsi" w:cstheme="minorHAnsi"/>
                <w:b/>
              </w:rPr>
              <w:t>investments</w:t>
            </w:r>
            <w:r w:rsidRPr="00EA56E3">
              <w:rPr>
                <w:rFonts w:asciiTheme="minorHAnsi" w:hAnsiTheme="minorHAnsi" w:cstheme="minorHAnsi"/>
              </w:rPr>
              <w:t xml:space="preserve"> been </w:t>
            </w:r>
            <w:r w:rsidRPr="00EA56E3">
              <w:rPr>
                <w:rFonts w:asciiTheme="minorHAnsi" w:hAnsiTheme="minorHAnsi" w:cstheme="minorHAnsi"/>
                <w:b/>
              </w:rPr>
              <w:t>aligned and coherent</w:t>
            </w:r>
            <w:r w:rsidRPr="00EA56E3">
              <w:rPr>
                <w:rFonts w:asciiTheme="minorHAnsi" w:hAnsiTheme="minorHAnsi" w:cstheme="minorHAnsi"/>
              </w:rPr>
              <w:t xml:space="preserve"> with other relevant investments at country level?</w:t>
            </w:r>
          </w:p>
        </w:tc>
        <w:tc>
          <w:tcPr>
            <w:tcW w:w="2815" w:type="pct"/>
          </w:tcPr>
          <w:p w14:paraId="21FD4D93" w14:textId="5D6EC858" w:rsidR="0047178D" w:rsidRPr="00EA56E3" w:rsidRDefault="009F6622">
            <w:pPr>
              <w:pStyle w:val="ItadNormalText"/>
              <w:rPr>
                <w:rFonts w:asciiTheme="minorHAnsi" w:hAnsiTheme="minorHAnsi" w:cstheme="minorHAnsi"/>
              </w:rPr>
            </w:pPr>
            <w:r>
              <w:rPr>
                <w:rFonts w:asciiTheme="minorHAnsi" w:hAnsiTheme="minorHAnsi" w:cstheme="minorHAnsi"/>
              </w:rPr>
              <w:t xml:space="preserve">Executive Summary and section: </w:t>
            </w:r>
            <w:r w:rsidR="007E051A">
              <w:rPr>
                <w:rFonts w:asciiTheme="minorHAnsi" w:hAnsiTheme="minorHAnsi" w:cstheme="minorHAnsi"/>
              </w:rPr>
              <w:t>2.3.2</w:t>
            </w:r>
          </w:p>
        </w:tc>
      </w:tr>
      <w:tr w:rsidR="0047178D" w:rsidRPr="00EA56E3" w14:paraId="4C359AED" w14:textId="77777777" w:rsidTr="004B2D21">
        <w:trPr>
          <w:cnfStyle w:val="000000100000" w:firstRow="0" w:lastRow="0" w:firstColumn="0" w:lastColumn="0" w:oddVBand="0" w:evenVBand="0" w:oddHBand="1" w:evenHBand="0" w:firstRowFirstColumn="0" w:firstRowLastColumn="0" w:lastRowFirstColumn="0" w:lastRowLastColumn="0"/>
          <w:trHeight w:val="204"/>
        </w:trPr>
        <w:tc>
          <w:tcPr>
            <w:tcW w:w="2185" w:type="pct"/>
          </w:tcPr>
          <w:p w14:paraId="5BEB0641" w14:textId="77777777" w:rsidR="0047178D" w:rsidRPr="00EA56E3" w:rsidRDefault="0047178D">
            <w:pPr>
              <w:pStyle w:val="ItadNormalText"/>
              <w:jc w:val="center"/>
              <w:rPr>
                <w:rFonts w:asciiTheme="minorHAnsi" w:hAnsiTheme="minorHAnsi" w:cstheme="minorHAnsi"/>
                <w:b/>
              </w:rPr>
            </w:pPr>
            <w:r w:rsidRPr="00EA56E3">
              <w:rPr>
                <w:rFonts w:asciiTheme="minorHAnsi" w:hAnsiTheme="minorHAnsi" w:cstheme="minorHAnsi"/>
                <w:b/>
              </w:rPr>
              <w:t>EQ3</w:t>
            </w:r>
            <w:r w:rsidRPr="00EA56E3">
              <w:rPr>
                <w:rFonts w:asciiTheme="minorHAnsi" w:hAnsiTheme="minorHAnsi" w:cstheme="minorHAnsi"/>
              </w:rPr>
              <w:t xml:space="preserve"> How likely are the Fleming Fund's country level </w:t>
            </w:r>
            <w:r w:rsidRPr="00EA56E3">
              <w:rPr>
                <w:rFonts w:asciiTheme="minorHAnsi" w:hAnsiTheme="minorHAnsi" w:cstheme="minorHAnsi"/>
                <w:b/>
              </w:rPr>
              <w:t>results to be sustained</w:t>
            </w:r>
            <w:r w:rsidRPr="00EA56E3">
              <w:rPr>
                <w:rFonts w:asciiTheme="minorHAnsi" w:hAnsiTheme="minorHAnsi" w:cstheme="minorHAnsi"/>
              </w:rPr>
              <w:t>?</w:t>
            </w:r>
          </w:p>
        </w:tc>
        <w:tc>
          <w:tcPr>
            <w:tcW w:w="2815" w:type="pct"/>
          </w:tcPr>
          <w:p w14:paraId="625BDA6E" w14:textId="77461B1D" w:rsidR="0047178D" w:rsidRPr="00EA56E3" w:rsidRDefault="009F6622">
            <w:pPr>
              <w:pStyle w:val="ItadNormalText"/>
              <w:rPr>
                <w:rFonts w:asciiTheme="minorHAnsi" w:hAnsiTheme="minorHAnsi" w:cstheme="minorHAnsi"/>
              </w:rPr>
            </w:pPr>
            <w:r>
              <w:rPr>
                <w:rFonts w:asciiTheme="minorHAnsi" w:hAnsiTheme="minorHAnsi" w:cstheme="minorHAnsi"/>
              </w:rPr>
              <w:t xml:space="preserve">Executive Summary and section: </w:t>
            </w:r>
            <w:r w:rsidR="007E051A">
              <w:rPr>
                <w:rFonts w:asciiTheme="minorHAnsi" w:hAnsiTheme="minorHAnsi" w:cstheme="minorHAnsi"/>
              </w:rPr>
              <w:t>2.3.1</w:t>
            </w:r>
          </w:p>
        </w:tc>
      </w:tr>
      <w:tr w:rsidR="0047178D" w:rsidRPr="00EA56E3" w14:paraId="536870AA" w14:textId="77777777" w:rsidTr="004B2D21">
        <w:trPr>
          <w:cnfStyle w:val="000000010000" w:firstRow="0" w:lastRow="0" w:firstColumn="0" w:lastColumn="0" w:oddVBand="0" w:evenVBand="0" w:oddHBand="0" w:evenHBand="1" w:firstRowFirstColumn="0" w:firstRowLastColumn="0" w:lastRowFirstColumn="0" w:lastRowLastColumn="0"/>
          <w:trHeight w:val="204"/>
        </w:trPr>
        <w:tc>
          <w:tcPr>
            <w:tcW w:w="2185" w:type="pct"/>
          </w:tcPr>
          <w:p w14:paraId="3F8560DF" w14:textId="77777777" w:rsidR="0047178D" w:rsidRPr="00EA56E3" w:rsidRDefault="0047178D">
            <w:pPr>
              <w:pStyle w:val="ItadNormalText"/>
              <w:jc w:val="center"/>
              <w:rPr>
                <w:rFonts w:asciiTheme="minorHAnsi" w:hAnsiTheme="minorHAnsi" w:cstheme="minorHAnsi"/>
                <w:b/>
              </w:rPr>
            </w:pPr>
            <w:r w:rsidRPr="00EA56E3">
              <w:rPr>
                <w:rFonts w:asciiTheme="minorHAnsi" w:hAnsiTheme="minorHAnsi" w:cstheme="minorHAnsi"/>
                <w:b/>
              </w:rPr>
              <w:t>EQ4</w:t>
            </w:r>
            <w:r w:rsidRPr="00EA56E3">
              <w:rPr>
                <w:rFonts w:asciiTheme="minorHAnsi" w:hAnsiTheme="minorHAnsi" w:cstheme="minorHAnsi"/>
              </w:rPr>
              <w:t xml:space="preserve"> Has, or is it likely that, the increase in AMR data </w:t>
            </w:r>
            <w:r w:rsidRPr="00EA56E3">
              <w:rPr>
                <w:rFonts w:asciiTheme="minorHAnsi" w:hAnsiTheme="minorHAnsi" w:cstheme="minorHAnsi"/>
                <w:b/>
              </w:rPr>
              <w:t>influenced</w:t>
            </w:r>
            <w:r w:rsidRPr="00EA56E3">
              <w:rPr>
                <w:rFonts w:asciiTheme="minorHAnsi" w:hAnsiTheme="minorHAnsi" w:cstheme="minorHAnsi"/>
              </w:rPr>
              <w:t xml:space="preserve">: (a) </w:t>
            </w:r>
            <w:r w:rsidRPr="00EA56E3">
              <w:rPr>
                <w:rFonts w:asciiTheme="minorHAnsi" w:hAnsiTheme="minorHAnsi" w:cstheme="minorHAnsi"/>
                <w:b/>
              </w:rPr>
              <w:t>changes in national policies/regulations</w:t>
            </w:r>
            <w:r w:rsidRPr="00EA56E3">
              <w:rPr>
                <w:rFonts w:asciiTheme="minorHAnsi" w:hAnsiTheme="minorHAnsi" w:cstheme="minorHAnsi"/>
              </w:rPr>
              <w:t xml:space="preserve">?; and/or (b) changes in </w:t>
            </w:r>
            <w:r w:rsidRPr="00EA56E3">
              <w:rPr>
                <w:rFonts w:asciiTheme="minorHAnsi" w:hAnsiTheme="minorHAnsi" w:cstheme="minorHAnsi"/>
                <w:b/>
              </w:rPr>
              <w:t>practice and attitudes</w:t>
            </w:r>
            <w:r w:rsidRPr="00EA56E3">
              <w:rPr>
                <w:rFonts w:asciiTheme="minorHAnsi" w:hAnsiTheme="minorHAnsi" w:cstheme="minorHAnsi"/>
              </w:rPr>
              <w:t xml:space="preserve"> in country?</w:t>
            </w:r>
          </w:p>
        </w:tc>
        <w:tc>
          <w:tcPr>
            <w:tcW w:w="2815" w:type="pct"/>
          </w:tcPr>
          <w:p w14:paraId="7AE21EA1" w14:textId="384DA8B5" w:rsidR="0047178D" w:rsidRPr="00EA56E3" w:rsidRDefault="009F6622">
            <w:pPr>
              <w:pStyle w:val="ItadNormalText"/>
              <w:rPr>
                <w:rFonts w:asciiTheme="minorHAnsi" w:hAnsiTheme="minorHAnsi" w:cstheme="minorHAnsi"/>
              </w:rPr>
            </w:pPr>
            <w:r>
              <w:rPr>
                <w:rFonts w:asciiTheme="minorHAnsi" w:hAnsiTheme="minorHAnsi" w:cstheme="minorHAnsi"/>
              </w:rPr>
              <w:t xml:space="preserve">Executive Summary and sections: </w:t>
            </w:r>
            <w:r w:rsidR="00334207">
              <w:rPr>
                <w:rFonts w:asciiTheme="minorHAnsi" w:hAnsiTheme="minorHAnsi" w:cstheme="minorHAnsi"/>
              </w:rPr>
              <w:t>2.2</w:t>
            </w:r>
            <w:r w:rsidR="0000236B">
              <w:rPr>
                <w:rFonts w:asciiTheme="minorHAnsi" w:hAnsiTheme="minorHAnsi" w:cstheme="minorHAnsi"/>
              </w:rPr>
              <w:t>, 2.2.2</w:t>
            </w:r>
            <w:r w:rsidR="0071312C">
              <w:rPr>
                <w:rFonts w:asciiTheme="minorHAnsi" w:hAnsiTheme="minorHAnsi" w:cstheme="minorHAnsi"/>
              </w:rPr>
              <w:t>, 2.2.3, 2.2.4</w:t>
            </w:r>
            <w:r w:rsidR="00FC38DE">
              <w:rPr>
                <w:rFonts w:asciiTheme="minorHAnsi" w:hAnsiTheme="minorHAnsi" w:cstheme="minorHAnsi"/>
              </w:rPr>
              <w:t>, 2.2.5, 2.2.6</w:t>
            </w:r>
            <w:r w:rsidR="00DC2684">
              <w:rPr>
                <w:rFonts w:asciiTheme="minorHAnsi" w:hAnsiTheme="minorHAnsi" w:cstheme="minorHAnsi"/>
              </w:rPr>
              <w:t>, 2.2.7</w:t>
            </w:r>
            <w:r w:rsidR="007E051A">
              <w:rPr>
                <w:rFonts w:asciiTheme="minorHAnsi" w:hAnsiTheme="minorHAnsi" w:cstheme="minorHAnsi"/>
              </w:rPr>
              <w:t>, 2.2.8</w:t>
            </w:r>
          </w:p>
        </w:tc>
      </w:tr>
      <w:tr w:rsidR="0047178D" w:rsidRPr="00EA56E3" w14:paraId="63150ED7" w14:textId="77777777" w:rsidTr="004B2D21">
        <w:trPr>
          <w:cnfStyle w:val="000000100000" w:firstRow="0" w:lastRow="0" w:firstColumn="0" w:lastColumn="0" w:oddVBand="0" w:evenVBand="0" w:oddHBand="1" w:evenHBand="0" w:firstRowFirstColumn="0" w:firstRowLastColumn="0" w:lastRowFirstColumn="0" w:lastRowLastColumn="0"/>
          <w:trHeight w:val="204"/>
        </w:trPr>
        <w:tc>
          <w:tcPr>
            <w:tcW w:w="2185" w:type="pct"/>
          </w:tcPr>
          <w:p w14:paraId="68B6FC1A" w14:textId="77777777" w:rsidR="0047178D" w:rsidRPr="00EA56E3" w:rsidRDefault="0047178D">
            <w:pPr>
              <w:pStyle w:val="ItadNormalText"/>
              <w:jc w:val="center"/>
              <w:rPr>
                <w:rFonts w:asciiTheme="minorHAnsi" w:hAnsiTheme="minorHAnsi" w:cstheme="minorHAnsi"/>
                <w:b/>
              </w:rPr>
            </w:pPr>
            <w:r w:rsidRPr="00EA56E3">
              <w:rPr>
                <w:rFonts w:asciiTheme="minorHAnsi" w:hAnsiTheme="minorHAnsi" w:cstheme="minorHAnsi"/>
                <w:b/>
              </w:rPr>
              <w:t>EQ5</w:t>
            </w:r>
            <w:r w:rsidRPr="00EA56E3">
              <w:rPr>
                <w:rFonts w:asciiTheme="minorHAnsi" w:hAnsiTheme="minorHAnsi" w:cstheme="minorHAnsi"/>
              </w:rPr>
              <w:t xml:space="preserve"> What has been the </w:t>
            </w:r>
            <w:r w:rsidRPr="00EA56E3">
              <w:rPr>
                <w:rFonts w:asciiTheme="minorHAnsi" w:hAnsiTheme="minorHAnsi" w:cstheme="minorHAnsi"/>
                <w:b/>
              </w:rPr>
              <w:t>increase in quality data shared and reported internationally</w:t>
            </w:r>
            <w:r w:rsidRPr="00EA56E3">
              <w:rPr>
                <w:rFonts w:asciiTheme="minorHAnsi" w:hAnsiTheme="minorHAnsi" w:cstheme="minorHAnsi"/>
              </w:rPr>
              <w:t xml:space="preserve"> and has the Fleming Fund contributed to this?</w:t>
            </w:r>
          </w:p>
        </w:tc>
        <w:tc>
          <w:tcPr>
            <w:tcW w:w="2815" w:type="pct"/>
          </w:tcPr>
          <w:p w14:paraId="4EF26330" w14:textId="15C95F5D" w:rsidR="0047178D" w:rsidRPr="00EA56E3" w:rsidRDefault="009F6622">
            <w:pPr>
              <w:pStyle w:val="ItadNormalText"/>
              <w:rPr>
                <w:rFonts w:asciiTheme="minorHAnsi" w:hAnsiTheme="minorHAnsi" w:cstheme="minorHAnsi"/>
              </w:rPr>
            </w:pPr>
            <w:r>
              <w:rPr>
                <w:rFonts w:asciiTheme="minorHAnsi" w:hAnsiTheme="minorHAnsi" w:cstheme="minorHAnsi"/>
              </w:rPr>
              <w:t xml:space="preserve">Executive Summary and sections: </w:t>
            </w:r>
            <w:r w:rsidR="004549A9">
              <w:rPr>
                <w:rFonts w:asciiTheme="minorHAnsi" w:hAnsiTheme="minorHAnsi" w:cstheme="minorHAnsi"/>
              </w:rPr>
              <w:t>2.1</w:t>
            </w:r>
            <w:r w:rsidR="00334207">
              <w:rPr>
                <w:rFonts w:asciiTheme="minorHAnsi" w:hAnsiTheme="minorHAnsi" w:cstheme="minorHAnsi"/>
              </w:rPr>
              <w:t>, 2.2</w:t>
            </w:r>
            <w:r w:rsidR="00352BA7">
              <w:rPr>
                <w:rFonts w:asciiTheme="minorHAnsi" w:hAnsiTheme="minorHAnsi" w:cstheme="minorHAnsi"/>
              </w:rPr>
              <w:t>, 2.2.4</w:t>
            </w:r>
          </w:p>
        </w:tc>
      </w:tr>
      <w:tr w:rsidR="003D1744" w:rsidRPr="00EA56E3" w14:paraId="197BBFB4" w14:textId="77777777" w:rsidTr="004B2D21">
        <w:trPr>
          <w:cnfStyle w:val="000000010000" w:firstRow="0" w:lastRow="0" w:firstColumn="0" w:lastColumn="0" w:oddVBand="0" w:evenVBand="0" w:oddHBand="0" w:evenHBand="1" w:firstRowFirstColumn="0" w:firstRowLastColumn="0" w:lastRowFirstColumn="0" w:lastRowLastColumn="0"/>
          <w:trHeight w:val="204"/>
        </w:trPr>
        <w:tc>
          <w:tcPr>
            <w:tcW w:w="2185" w:type="pct"/>
          </w:tcPr>
          <w:p w14:paraId="39E73B20" w14:textId="2903DF16" w:rsidR="003D1744" w:rsidRPr="00EA56E3" w:rsidRDefault="003D1744" w:rsidP="003D1744">
            <w:pPr>
              <w:pStyle w:val="ItadNormalText"/>
              <w:jc w:val="center"/>
              <w:rPr>
                <w:rFonts w:asciiTheme="minorHAnsi" w:hAnsiTheme="minorHAnsi" w:cstheme="minorHAnsi"/>
                <w:b/>
              </w:rPr>
            </w:pPr>
            <w:r w:rsidRPr="00EA56E3">
              <w:rPr>
                <w:rFonts w:asciiTheme="minorHAnsi" w:hAnsiTheme="minorHAnsi" w:cstheme="minorHAnsi"/>
                <w:b/>
              </w:rPr>
              <w:t>EQ6</w:t>
            </w:r>
            <w:r w:rsidRPr="00EA56E3">
              <w:rPr>
                <w:rFonts w:asciiTheme="minorHAnsi" w:hAnsiTheme="minorHAnsi" w:cstheme="minorHAnsi"/>
              </w:rPr>
              <w:t xml:space="preserve"> Did the Fleming Fund's investments at country level offer </w:t>
            </w:r>
            <w:r w:rsidRPr="00EA56E3">
              <w:rPr>
                <w:rFonts w:asciiTheme="minorHAnsi" w:hAnsiTheme="minorHAnsi" w:cstheme="minorHAnsi"/>
                <w:b/>
              </w:rPr>
              <w:t>VfM</w:t>
            </w:r>
            <w:r w:rsidRPr="00EA56E3">
              <w:rPr>
                <w:rFonts w:asciiTheme="minorHAnsi" w:hAnsiTheme="minorHAnsi" w:cstheme="minorHAnsi"/>
              </w:rPr>
              <w:t>?</w:t>
            </w:r>
          </w:p>
        </w:tc>
        <w:tc>
          <w:tcPr>
            <w:tcW w:w="2815" w:type="pct"/>
          </w:tcPr>
          <w:p w14:paraId="76D41F7A" w14:textId="4443355E" w:rsidR="003D1744" w:rsidRPr="00EA56E3" w:rsidRDefault="009F6622" w:rsidP="003D1744">
            <w:pPr>
              <w:pStyle w:val="ItadNormalText"/>
              <w:rPr>
                <w:rFonts w:asciiTheme="minorHAnsi" w:hAnsiTheme="minorHAnsi" w:cstheme="minorHAnsi"/>
              </w:rPr>
            </w:pPr>
            <w:r>
              <w:rPr>
                <w:rFonts w:asciiTheme="minorHAnsi" w:hAnsiTheme="minorHAnsi" w:cstheme="minorHAnsi"/>
              </w:rPr>
              <w:t xml:space="preserve">Executive Summary and section: </w:t>
            </w:r>
            <w:r w:rsidR="007E051A">
              <w:rPr>
                <w:rFonts w:asciiTheme="minorHAnsi" w:hAnsiTheme="minorHAnsi" w:cstheme="minorHAnsi"/>
              </w:rPr>
              <w:t>2.3.2</w:t>
            </w:r>
          </w:p>
        </w:tc>
      </w:tr>
    </w:tbl>
    <w:p w14:paraId="75F7E522" w14:textId="279C3BDD" w:rsidR="008239CE" w:rsidRDefault="008239CE" w:rsidP="00250C16">
      <w:pPr>
        <w:pStyle w:val="ItadNormalText"/>
      </w:pPr>
    </w:p>
    <w:p w14:paraId="3D84F4C7" w14:textId="279C3BDD" w:rsidR="008239CE" w:rsidRDefault="008239CE" w:rsidP="00250C16">
      <w:pPr>
        <w:pStyle w:val="ItadNormalText"/>
      </w:pPr>
    </w:p>
    <w:p w14:paraId="36C20D61" w14:textId="77777777" w:rsidR="00B728D8" w:rsidRDefault="00B728D8" w:rsidP="006C219A">
      <w:pPr>
        <w:pStyle w:val="ItadH1Numbered"/>
        <w:numPr>
          <w:ilvl w:val="0"/>
          <w:numId w:val="0"/>
        </w:numPr>
      </w:pPr>
      <w:bookmarkStart w:id="110" w:name="_Toc118968517"/>
      <w:r>
        <w:br w:type="page"/>
      </w:r>
    </w:p>
    <w:p w14:paraId="2E7881C3" w14:textId="44FAC0DC" w:rsidR="001A7D53" w:rsidRDefault="0018231A" w:rsidP="006C219A">
      <w:pPr>
        <w:pStyle w:val="ItadH1Numbered"/>
        <w:numPr>
          <w:ilvl w:val="0"/>
          <w:numId w:val="0"/>
        </w:numPr>
      </w:pPr>
      <w:bookmarkStart w:id="111" w:name="_Toc142383157"/>
      <w:r w:rsidRPr="007C65F2">
        <w:t xml:space="preserve">Annex </w:t>
      </w:r>
      <w:r w:rsidR="00A70655">
        <w:t>6</w:t>
      </w:r>
      <w:r w:rsidRPr="007C65F2">
        <w:t xml:space="preserve">: </w:t>
      </w:r>
      <w:r>
        <w:t>Value for</w:t>
      </w:r>
      <w:r w:rsidR="007458AC">
        <w:t xml:space="preserve"> </w:t>
      </w:r>
      <w:r w:rsidR="00764EB0">
        <w:t>m</w:t>
      </w:r>
      <w:r>
        <w:t>oney</w:t>
      </w:r>
      <w:bookmarkEnd w:id="110"/>
      <w:bookmarkEnd w:id="111"/>
    </w:p>
    <w:p w14:paraId="129E26E3" w14:textId="77777777" w:rsidR="001A7D53" w:rsidRPr="0068490D" w:rsidRDefault="001A7D53" w:rsidP="00D43FF3">
      <w:pPr>
        <w:pStyle w:val="ItadH2"/>
      </w:pPr>
      <w:bookmarkStart w:id="112" w:name="_Toc118968518"/>
      <w:bookmarkStart w:id="113" w:name="_Toc142383158"/>
      <w:r w:rsidRPr="187C3E0F">
        <w:t>Background</w:t>
      </w:r>
      <w:bookmarkEnd w:id="112"/>
      <w:bookmarkEnd w:id="113"/>
    </w:p>
    <w:p w14:paraId="5846869D" w14:textId="3CC7ED49" w:rsidR="001A7D53" w:rsidRDefault="001A7D53" w:rsidP="001A7D53">
      <w:pPr>
        <w:spacing w:line="257" w:lineRule="auto"/>
        <w:jc w:val="both"/>
      </w:pPr>
      <w:bookmarkStart w:id="114" w:name="_Hlk129556327"/>
      <w:r w:rsidRPr="187C3E0F">
        <w:rPr>
          <w:rFonts w:eastAsia="Calibri" w:cs="Calibri"/>
        </w:rPr>
        <w:t xml:space="preserve">Investing in AMR Surveillance is one of 10 cost-effective solutions recommended to tackle </w:t>
      </w:r>
      <w:r w:rsidRPr="00A61F9D">
        <w:rPr>
          <w:rFonts w:eastAsia="Calibri" w:cs="Calibri"/>
        </w:rPr>
        <w:t>d</w:t>
      </w:r>
      <w:r w:rsidRPr="187C3E0F">
        <w:rPr>
          <w:rFonts w:eastAsia="Calibri" w:cs="Calibri"/>
        </w:rPr>
        <w:t>rug-resistant infections globally</w:t>
      </w:r>
      <w:r w:rsidR="001103AF">
        <w:rPr>
          <w:rFonts w:eastAsia="Calibri" w:cs="Calibri"/>
        </w:rPr>
        <w:t>.</w:t>
      </w:r>
      <w:r w:rsidRPr="187C3E0F">
        <w:rPr>
          <w:rStyle w:val="FootnoteReference"/>
          <w:rFonts w:eastAsia="Calibri" w:cs="Calibri"/>
        </w:rPr>
        <w:footnoteReference w:id="30"/>
      </w:r>
      <w:r w:rsidR="007458AC">
        <w:rPr>
          <w:rFonts w:eastAsia="Calibri" w:cs="Calibri"/>
        </w:rPr>
        <w:t xml:space="preserve"> </w:t>
      </w:r>
      <w:r w:rsidRPr="187C3E0F">
        <w:rPr>
          <w:rFonts w:eastAsia="Calibri" w:cs="Calibri"/>
        </w:rPr>
        <w:t xml:space="preserve">As part of a broader response to the global health threat of AMR, </w:t>
      </w:r>
      <w:r w:rsidR="009E714E">
        <w:rPr>
          <w:rFonts w:eastAsia="Calibri" w:cs="Calibri"/>
        </w:rPr>
        <w:t xml:space="preserve">the </w:t>
      </w:r>
      <w:r w:rsidRPr="187C3E0F">
        <w:rPr>
          <w:rFonts w:eastAsia="Calibri" w:cs="Calibri"/>
        </w:rPr>
        <w:t>Fleming Fund Grants Programme is the UK investment in strengthening surveillance systems.</w:t>
      </w:r>
      <w:r w:rsidR="007458AC">
        <w:rPr>
          <w:rFonts w:eastAsia="Calibri" w:cs="Calibri"/>
        </w:rPr>
        <w:t xml:space="preserve"> </w:t>
      </w:r>
      <w:r w:rsidRPr="187C3E0F">
        <w:rPr>
          <w:rFonts w:eastAsia="Calibri" w:cs="Calibri"/>
        </w:rPr>
        <w:t>Although there is a clear return on investment for reducing AMR, the benefits of investing in strengthening AMR surveillance systems are less easily quantified and valued. This is in part due to the type of intervention and when and where benefits are realised.</w:t>
      </w:r>
      <w:r w:rsidR="007458AC">
        <w:rPr>
          <w:rFonts w:eastAsia="Calibri" w:cs="Calibri"/>
        </w:rPr>
        <w:t xml:space="preserve"> </w:t>
      </w:r>
      <w:r w:rsidRPr="187C3E0F">
        <w:rPr>
          <w:rFonts w:eastAsia="Calibri" w:cs="Calibri"/>
        </w:rPr>
        <w:t xml:space="preserve">Benefits from investing in stronger systems result over a longer timeframe and </w:t>
      </w:r>
      <w:r w:rsidR="007A2CFC">
        <w:rPr>
          <w:rFonts w:eastAsia="Calibri" w:cs="Calibri"/>
        </w:rPr>
        <w:t>contribute</w:t>
      </w:r>
      <w:r w:rsidRPr="187C3E0F">
        <w:rPr>
          <w:rFonts w:eastAsia="Calibri" w:cs="Calibri"/>
        </w:rPr>
        <w:t xml:space="preserve"> to health outcomes through service delivery.</w:t>
      </w:r>
      <w:r w:rsidR="007458AC">
        <w:rPr>
          <w:rFonts w:eastAsia="Calibri" w:cs="Calibri"/>
        </w:rPr>
        <w:t xml:space="preserve"> </w:t>
      </w:r>
      <w:r w:rsidRPr="187C3E0F">
        <w:rPr>
          <w:rFonts w:eastAsia="Calibri" w:cs="Calibri"/>
        </w:rPr>
        <w:t>Benefits from investing in health system</w:t>
      </w:r>
      <w:r w:rsidR="00631B45">
        <w:rPr>
          <w:rFonts w:eastAsia="Calibri" w:cs="Calibri"/>
        </w:rPr>
        <w:t>s</w:t>
      </w:r>
      <w:r w:rsidR="007A2CFC">
        <w:rPr>
          <w:rFonts w:eastAsia="Calibri" w:cs="Calibri"/>
        </w:rPr>
        <w:t>’</w:t>
      </w:r>
      <w:r w:rsidRPr="187C3E0F">
        <w:rPr>
          <w:rFonts w:eastAsia="Calibri" w:cs="Calibri"/>
        </w:rPr>
        <w:t xml:space="preserve"> resilience and response to global health threats are also realised globally as well as locally.</w:t>
      </w:r>
      <w:r w:rsidR="007458AC">
        <w:rPr>
          <w:rFonts w:eastAsia="Calibri" w:cs="Calibri"/>
        </w:rPr>
        <w:t xml:space="preserve"> </w:t>
      </w:r>
      <w:r w:rsidRPr="187C3E0F">
        <w:rPr>
          <w:rFonts w:eastAsia="Calibri" w:cs="Calibri"/>
        </w:rPr>
        <w:t xml:space="preserve">Therefore, our approach to evaluating the </w:t>
      </w:r>
      <w:r w:rsidR="04650658">
        <w:rPr>
          <w:rFonts w:eastAsia="Calibri" w:cs="Calibri"/>
        </w:rPr>
        <w:t>VfM</w:t>
      </w:r>
      <w:r w:rsidRPr="187C3E0F">
        <w:rPr>
          <w:rFonts w:eastAsia="Calibri" w:cs="Calibri"/>
        </w:rPr>
        <w:t xml:space="preserve"> of the Fleming Fund is not based on a cost-benefit analysis (one was not included in the economic case for investing in this programme).</w:t>
      </w:r>
      <w:r w:rsidR="007458AC">
        <w:rPr>
          <w:rFonts w:eastAsia="Calibri" w:cs="Calibri"/>
        </w:rPr>
        <w:t xml:space="preserve"> </w:t>
      </w:r>
      <w:r w:rsidRPr="187C3E0F">
        <w:rPr>
          <w:rFonts w:eastAsia="Calibri" w:cs="Calibri"/>
        </w:rPr>
        <w:t xml:space="preserve">We have applied the UK </w:t>
      </w:r>
      <w:r w:rsidRPr="0060760F">
        <w:rPr>
          <w:rFonts w:eastAsia="Calibri" w:cs="Calibri"/>
        </w:rPr>
        <w:t>NAO</w:t>
      </w:r>
      <w:r w:rsidRPr="187C3E0F">
        <w:rPr>
          <w:rFonts w:eastAsia="Calibri" w:cs="Calibri"/>
        </w:rPr>
        <w:t xml:space="preserve"> 3E framework</w:t>
      </w:r>
      <w:r w:rsidRPr="0C9D1CA5">
        <w:rPr>
          <w:rStyle w:val="FootnoteReference"/>
          <w:rFonts w:eastAsia="Calibri" w:cs="Calibri"/>
        </w:rPr>
        <w:footnoteReference w:id="31"/>
      </w:r>
      <w:r w:rsidRPr="187C3E0F">
        <w:rPr>
          <w:rFonts w:eastAsia="Calibri" w:cs="Calibri"/>
        </w:rPr>
        <w:t xml:space="preserve"> to review </w:t>
      </w:r>
      <w:r w:rsidR="00597238" w:rsidRPr="187C3E0F">
        <w:rPr>
          <w:rFonts w:eastAsia="Calibri" w:cs="Calibri"/>
        </w:rPr>
        <w:t>V</w:t>
      </w:r>
      <w:r w:rsidR="00597238">
        <w:rPr>
          <w:rFonts w:eastAsia="Calibri" w:cs="Calibri"/>
        </w:rPr>
        <w:t>f</w:t>
      </w:r>
      <w:r w:rsidR="00597238" w:rsidRPr="187C3E0F">
        <w:rPr>
          <w:rFonts w:eastAsia="Calibri" w:cs="Calibri"/>
        </w:rPr>
        <w:t>M</w:t>
      </w:r>
      <w:r w:rsidRPr="187C3E0F">
        <w:rPr>
          <w:rFonts w:eastAsia="Calibri" w:cs="Calibri"/>
        </w:rPr>
        <w:t>.</w:t>
      </w:r>
      <w:r w:rsidR="007458AC">
        <w:rPr>
          <w:rFonts w:eastAsia="Calibri" w:cs="Calibri"/>
        </w:rPr>
        <w:t xml:space="preserve"> </w:t>
      </w:r>
      <w:r w:rsidRPr="187C3E0F">
        <w:rPr>
          <w:rFonts w:eastAsia="Calibri" w:cs="Calibri"/>
        </w:rPr>
        <w:t xml:space="preserve">Our approach looks at what the </w:t>
      </w:r>
      <w:r w:rsidR="00F21D1C">
        <w:t>Fleming Fund</w:t>
      </w:r>
      <w:r w:rsidR="00F21D1C" w:rsidRPr="187C3E0F">
        <w:rPr>
          <w:rFonts w:eastAsia="Calibri" w:cs="Calibri"/>
        </w:rPr>
        <w:t xml:space="preserve"> </w:t>
      </w:r>
      <w:r w:rsidRPr="187C3E0F">
        <w:rPr>
          <w:rFonts w:eastAsia="Calibri" w:cs="Calibri"/>
        </w:rPr>
        <w:t xml:space="preserve">has delivered in terms of </w:t>
      </w:r>
      <w:r w:rsidR="008D4417" w:rsidRPr="187C3E0F">
        <w:rPr>
          <w:rFonts w:eastAsia="Calibri" w:cs="Calibri"/>
        </w:rPr>
        <w:t>V</w:t>
      </w:r>
      <w:r w:rsidR="008D4417">
        <w:rPr>
          <w:rFonts w:eastAsia="Calibri" w:cs="Calibri"/>
        </w:rPr>
        <w:t>f</w:t>
      </w:r>
      <w:r w:rsidR="008D4417" w:rsidRPr="187C3E0F">
        <w:rPr>
          <w:rFonts w:eastAsia="Calibri" w:cs="Calibri"/>
        </w:rPr>
        <w:t xml:space="preserve">M </w:t>
      </w:r>
      <w:r w:rsidRPr="187C3E0F">
        <w:rPr>
          <w:rFonts w:eastAsia="Calibri" w:cs="Calibri"/>
        </w:rPr>
        <w:t>(measurement) as well as how well resources have been managed to achieve impact (management).</w:t>
      </w:r>
    </w:p>
    <w:p w14:paraId="3A5F5D1D" w14:textId="77777777" w:rsidR="001A7D53" w:rsidRDefault="001A7D53" w:rsidP="007B133C">
      <w:pPr>
        <w:pStyle w:val="ItadH2"/>
      </w:pPr>
      <w:bookmarkStart w:id="115" w:name="_Toc118968519"/>
      <w:bookmarkStart w:id="116" w:name="_Toc142383159"/>
      <w:bookmarkEnd w:id="114"/>
      <w:r>
        <w:t>Findings</w:t>
      </w:r>
      <w:bookmarkEnd w:id="115"/>
      <w:bookmarkEnd w:id="116"/>
    </w:p>
    <w:p w14:paraId="707C2917" w14:textId="7B5525E5" w:rsidR="007B133C" w:rsidRPr="008E5462" w:rsidRDefault="001A7D53" w:rsidP="008C6AF0">
      <w:pPr>
        <w:pStyle w:val="ItadH3"/>
        <w:spacing w:before="0"/>
        <w:rPr>
          <w:lang w:val="en-GB"/>
        </w:rPr>
      </w:pPr>
      <w:bookmarkStart w:id="117" w:name="_Toc118968520"/>
      <w:bookmarkStart w:id="118" w:name="_Toc142383160"/>
      <w:r w:rsidRPr="008E5462">
        <w:rPr>
          <w:lang w:val="en-GB"/>
        </w:rPr>
        <w:t>DHSC and MA’s approach to VfM</w:t>
      </w:r>
      <w:bookmarkEnd w:id="117"/>
      <w:bookmarkEnd w:id="118"/>
    </w:p>
    <w:p w14:paraId="1C1331C6" w14:textId="615D70B9" w:rsidR="001A7D53" w:rsidRDefault="00E720E9" w:rsidP="0085545E">
      <w:pPr>
        <w:pStyle w:val="FFNormal"/>
      </w:pPr>
      <w:r>
        <w:t xml:space="preserve">The </w:t>
      </w:r>
      <w:r w:rsidR="001A7D53">
        <w:t xml:space="preserve">DHSC and </w:t>
      </w:r>
      <w:r>
        <w:t xml:space="preserve">the </w:t>
      </w:r>
      <w:r w:rsidR="00ED0674">
        <w:t xml:space="preserve">MA </w:t>
      </w:r>
      <w:r w:rsidR="001A7D53">
        <w:t xml:space="preserve">considered VfM from the outset of the programme. RfPs included </w:t>
      </w:r>
      <w:r w:rsidR="00A61F9D">
        <w:t>a</w:t>
      </w:r>
      <w:r w:rsidR="001A7D53">
        <w:t xml:space="preserve"> requirement for grantees to include their approach to </w:t>
      </w:r>
      <w:r>
        <w:t xml:space="preserve">VfM </w:t>
      </w:r>
      <w:r w:rsidR="001A7D53">
        <w:t xml:space="preserve">in the grant proposal. The MA also developed an approach to </w:t>
      </w:r>
      <w:r w:rsidR="00891858">
        <w:t>VfM</w:t>
      </w:r>
      <w:r w:rsidR="001A7D53">
        <w:t>, which was revised twice during implementation and rolled out across the grants.</w:t>
      </w:r>
      <w:r w:rsidR="007458AC">
        <w:t xml:space="preserve"> </w:t>
      </w:r>
      <w:r w:rsidR="001A7D53">
        <w:t>A</w:t>
      </w:r>
      <w:r w:rsidR="001A7D53" w:rsidRPr="005F175E">
        <w:rPr>
          <w:rFonts w:cs="Calibri"/>
        </w:rPr>
        <w:t xml:space="preserve"> literature review of common practice in VfM in grant management, as part of our first evaluation deliverable (Jan</w:t>
      </w:r>
      <w:r w:rsidR="00EF236B">
        <w:rPr>
          <w:rFonts w:cs="Calibri"/>
        </w:rPr>
        <w:t>uary</w:t>
      </w:r>
      <w:r w:rsidR="001A7D53" w:rsidRPr="005F175E">
        <w:rPr>
          <w:rFonts w:cs="Calibri"/>
        </w:rPr>
        <w:t xml:space="preserve"> 2019), enabled us to benchmark the MA approach to VfM with best practice. During the grant period, the MA continued to refine their approach to VfM (updating their Approach document twice) and implement the approach at</w:t>
      </w:r>
      <w:r w:rsidR="00FA2D03">
        <w:rPr>
          <w:rFonts w:cs="Calibri"/>
        </w:rPr>
        <w:t xml:space="preserve"> the</w:t>
      </w:r>
      <w:r w:rsidR="001A7D53" w:rsidRPr="005F175E">
        <w:rPr>
          <w:rFonts w:cs="Calibri"/>
        </w:rPr>
        <w:t xml:space="preserve"> grant level.</w:t>
      </w:r>
      <w:r w:rsidR="007458AC">
        <w:rPr>
          <w:rFonts w:cs="Calibri"/>
        </w:rPr>
        <w:t xml:space="preserve"> </w:t>
      </w:r>
    </w:p>
    <w:p w14:paraId="27694B47" w14:textId="3EAAD785" w:rsidR="001A7D53" w:rsidRDefault="001A7D53" w:rsidP="0085545E">
      <w:pPr>
        <w:pStyle w:val="FFNormal"/>
      </w:pPr>
      <w:r>
        <w:t>Grantee quarterly reporting templates include</w:t>
      </w:r>
      <w:r w:rsidR="0038096E">
        <w:t>d</w:t>
      </w:r>
      <w:r>
        <w:t xml:space="preserve"> a section on VfM (and Sustainability) </w:t>
      </w:r>
      <w:r w:rsidR="00F9748B">
        <w:t xml:space="preserve">in </w:t>
      </w:r>
      <w:r>
        <w:t xml:space="preserve">which grantees </w:t>
      </w:r>
      <w:r w:rsidR="00847B5C">
        <w:t xml:space="preserve">give </w:t>
      </w:r>
      <w:r>
        <w:t>examples of VfM.</w:t>
      </w:r>
      <w:r w:rsidR="007458AC">
        <w:t xml:space="preserve"> </w:t>
      </w:r>
      <w:r>
        <w:t xml:space="preserve">Over the implementation period, there has been a shift away from reporting economy examples to including efficiency and effectiveness, though almost all </w:t>
      </w:r>
      <w:r w:rsidR="00D566F2">
        <w:t xml:space="preserve">the </w:t>
      </w:r>
      <w:r>
        <w:t>examples remain</w:t>
      </w:r>
      <w:r w:rsidR="0038096E">
        <w:t>ed</w:t>
      </w:r>
      <w:r>
        <w:t xml:space="preserve"> qualitative. Whilst training was conducted with </w:t>
      </w:r>
      <w:r w:rsidR="00960B5F">
        <w:t>RTs</w:t>
      </w:r>
      <w:r>
        <w:t xml:space="preserve"> and cascaded to</w:t>
      </w:r>
      <w:r w:rsidR="00FA2D03">
        <w:t xml:space="preserve"> the</w:t>
      </w:r>
      <w:r>
        <w:t xml:space="preserve"> country level</w:t>
      </w:r>
      <w:r w:rsidR="00492741">
        <w:t>,</w:t>
      </w:r>
      <w:r w:rsidR="007458AC">
        <w:t xml:space="preserve"> </w:t>
      </w:r>
      <w:r w:rsidR="00492741">
        <w:t>there</w:t>
      </w:r>
      <w:r>
        <w:t xml:space="preserve"> has been an evolution of grantees</w:t>
      </w:r>
      <w:r w:rsidR="00FA2D03">
        <w:t>’</w:t>
      </w:r>
      <w:r>
        <w:t xml:space="preserve"> understanding of </w:t>
      </w:r>
      <w:r w:rsidR="00492741">
        <w:t>VfM</w:t>
      </w:r>
      <w:r>
        <w:t>, reflected in more examples of efficiency and effectiveness in the quarterly reports.</w:t>
      </w:r>
      <w:r w:rsidR="007458AC">
        <w:t xml:space="preserve"> </w:t>
      </w:r>
      <w:r>
        <w:t xml:space="preserve">However, this was not seen in the </w:t>
      </w:r>
      <w:r w:rsidR="004E72EC">
        <w:t>HIs</w:t>
      </w:r>
      <w:r>
        <w:t xml:space="preserve"> for F</w:t>
      </w:r>
      <w:r w:rsidR="00797215">
        <w:t xml:space="preserve">leming </w:t>
      </w:r>
      <w:r>
        <w:t>F</w:t>
      </w:r>
      <w:r w:rsidR="00797215">
        <w:t>ellows</w:t>
      </w:r>
      <w:r>
        <w:t xml:space="preserve"> where </w:t>
      </w:r>
      <w:r w:rsidR="00256C1E">
        <w:t>VfM</w:t>
      </w:r>
      <w:r>
        <w:t xml:space="preserve"> </w:t>
      </w:r>
      <w:r w:rsidR="0038096E">
        <w:t xml:space="preserve">was </w:t>
      </w:r>
      <w:r>
        <w:t>equated with cost saving</w:t>
      </w:r>
      <w:r w:rsidR="00036F7B">
        <w:t>s</w:t>
      </w:r>
      <w:r>
        <w:t>.</w:t>
      </w:r>
      <w:r w:rsidR="007458AC">
        <w:t xml:space="preserve"> </w:t>
      </w:r>
      <w:r>
        <w:t xml:space="preserve">At the same time, there </w:t>
      </w:r>
      <w:r w:rsidR="0038096E">
        <w:t xml:space="preserve">was </w:t>
      </w:r>
      <w:r w:rsidR="00EF236B">
        <w:t xml:space="preserve">a </w:t>
      </w:r>
      <w:r>
        <w:t xml:space="preserve">high level of buy-in to the </w:t>
      </w:r>
      <w:r w:rsidR="00797215">
        <w:t>Fleming Fellows</w:t>
      </w:r>
      <w:r>
        <w:t xml:space="preserve"> by </w:t>
      </w:r>
      <w:r w:rsidR="008357CD">
        <w:t>HIs</w:t>
      </w:r>
      <w:r>
        <w:t xml:space="preserve"> demonstrated by</w:t>
      </w:r>
      <w:r w:rsidR="00036F7B">
        <w:t xml:space="preserve"> their</w:t>
      </w:r>
      <w:r>
        <w:t xml:space="preserve"> willingness to invest</w:t>
      </w:r>
      <w:r w:rsidR="00FA2D03">
        <w:t xml:space="preserve"> their</w:t>
      </w:r>
      <w:r>
        <w:t xml:space="preserve"> own resources in the scheme</w:t>
      </w:r>
      <w:r w:rsidR="00AF203E">
        <w:t>,</w:t>
      </w:r>
      <w:r>
        <w:t xml:space="preserve"> indicating</w:t>
      </w:r>
      <w:r w:rsidR="00AF203E">
        <w:t xml:space="preserve"> </w:t>
      </w:r>
      <w:r w:rsidR="0038096E">
        <w:t>their recognition of</w:t>
      </w:r>
      <w:r w:rsidR="00AF203E">
        <w:t xml:space="preserve"> </w:t>
      </w:r>
      <w:r w:rsidR="00DD20B9">
        <w:t>its</w:t>
      </w:r>
      <w:r>
        <w:t xml:space="preserve"> value</w:t>
      </w:r>
      <w:r w:rsidR="00DD20B9">
        <w:t>.</w:t>
      </w:r>
    </w:p>
    <w:p w14:paraId="0D79AE2D" w14:textId="396D1E60" w:rsidR="001A7D53" w:rsidRDefault="001A7D53" w:rsidP="0085545E">
      <w:pPr>
        <w:pStyle w:val="FFNormal"/>
      </w:pPr>
      <w:r>
        <w:t>During implementation, V</w:t>
      </w:r>
      <w:r w:rsidR="00AF203E">
        <w:t>f</w:t>
      </w:r>
      <w:r>
        <w:t xml:space="preserve">M Grant Reviews </w:t>
      </w:r>
      <w:r w:rsidR="0038096E">
        <w:t>were</w:t>
      </w:r>
      <w:r>
        <w:t xml:space="preserve"> undertaken.</w:t>
      </w:r>
      <w:r w:rsidR="007458AC">
        <w:t xml:space="preserve"> </w:t>
      </w:r>
      <w:r>
        <w:t>These combine</w:t>
      </w:r>
      <w:r w:rsidR="0038096E">
        <w:t>d</w:t>
      </w:r>
      <w:r>
        <w:t xml:space="preserve"> VfM metrics (e.g. tracking unit costs of inputs; budget and activity implementation rates; overhead; gender split of grantee team) with narrative</w:t>
      </w:r>
      <w:r w:rsidR="00995535">
        <w:t>s</w:t>
      </w:r>
      <w:r>
        <w:t xml:space="preserve"> (explanations of performance against metrics; examples of adaptive management) and present</w:t>
      </w:r>
      <w:r w:rsidR="0038096E">
        <w:t>ed</w:t>
      </w:r>
      <w:r>
        <w:t xml:space="preserve"> a RAG rating against the 4E</w:t>
      </w:r>
      <w:r w:rsidR="00F21D1C">
        <w:t>’</w:t>
      </w:r>
      <w:r>
        <w:t xml:space="preserve">s together with recommendations for </w:t>
      </w:r>
      <w:r w:rsidR="004C23DC">
        <w:t xml:space="preserve">the </w:t>
      </w:r>
      <w:r>
        <w:t xml:space="preserve">Grantee, </w:t>
      </w:r>
      <w:r w:rsidR="004C23DC">
        <w:t xml:space="preserve">the </w:t>
      </w:r>
      <w:r>
        <w:t>MA and</w:t>
      </w:r>
      <w:r w:rsidR="004C23DC">
        <w:t xml:space="preserve"> the</w:t>
      </w:r>
      <w:r>
        <w:t xml:space="preserve"> DHSC. Whilst the reviews enabled</w:t>
      </w:r>
      <w:r w:rsidR="0044432D">
        <w:t xml:space="preserve"> the</w:t>
      </w:r>
      <w:r>
        <w:t xml:space="preserve"> tracking of </w:t>
      </w:r>
      <w:r w:rsidR="0044432D">
        <w:t>VfM</w:t>
      </w:r>
      <w:r>
        <w:t xml:space="preserve"> against a standard set of indicators, the reviews </w:t>
      </w:r>
      <w:r w:rsidR="0038096E">
        <w:t xml:space="preserve">were </w:t>
      </w:r>
      <w:r>
        <w:t>limited in scope and d</w:t>
      </w:r>
      <w:r w:rsidR="0038096E">
        <w:t>id</w:t>
      </w:r>
      <w:r w:rsidR="00E505CE">
        <w:t xml:space="preserve"> not </w:t>
      </w:r>
      <w:r>
        <w:t xml:space="preserve">go into detail </w:t>
      </w:r>
      <w:r w:rsidR="0098466D">
        <w:t xml:space="preserve">about </w:t>
      </w:r>
      <w:r>
        <w:t xml:space="preserve">what </w:t>
      </w:r>
      <w:r w:rsidR="0038096E">
        <w:t>wa</w:t>
      </w:r>
      <w:r>
        <w:t>s being delivered in terms of outputs, the quality of the outputs</w:t>
      </w:r>
      <w:r w:rsidR="0098466D">
        <w:t>,</w:t>
      </w:r>
      <w:r>
        <w:t xml:space="preserve"> or the value of outputs and outcomes </w:t>
      </w:r>
      <w:r w:rsidR="008E2487">
        <w:t>compared</w:t>
      </w:r>
      <w:r>
        <w:t xml:space="preserve"> with the investment. </w:t>
      </w:r>
      <w:r w:rsidR="003302CC">
        <w:t xml:space="preserve">The </w:t>
      </w:r>
      <w:r w:rsidR="00797215">
        <w:t xml:space="preserve">Fleming Fellows </w:t>
      </w:r>
      <w:r w:rsidR="0038096E">
        <w:t>did not have</w:t>
      </w:r>
      <w:r>
        <w:t xml:space="preserve"> </w:t>
      </w:r>
      <w:r w:rsidR="0044432D">
        <w:t>VfM</w:t>
      </w:r>
      <w:r>
        <w:t xml:space="preserve"> Reviews and </w:t>
      </w:r>
      <w:r w:rsidR="003302CC">
        <w:t xml:space="preserve">the </w:t>
      </w:r>
      <w:r>
        <w:t xml:space="preserve">quarterly reporting template </w:t>
      </w:r>
      <w:r w:rsidR="0038096E">
        <w:t xml:space="preserve">did </w:t>
      </w:r>
      <w:r>
        <w:t xml:space="preserve">not include </w:t>
      </w:r>
      <w:r w:rsidR="0044432D">
        <w:t>VfM</w:t>
      </w:r>
      <w:r>
        <w:t>.</w:t>
      </w:r>
    </w:p>
    <w:p w14:paraId="0E756D2D" w14:textId="1FBB26CC" w:rsidR="001A7D53" w:rsidRDefault="001A7D53" w:rsidP="00E34216">
      <w:pPr>
        <w:pStyle w:val="FFNormal"/>
      </w:pPr>
      <w:r>
        <w:t xml:space="preserve">Reporting on VfM by </w:t>
      </w:r>
      <w:r w:rsidR="00D42920">
        <w:t xml:space="preserve">the </w:t>
      </w:r>
      <w:r>
        <w:t xml:space="preserve">MA to </w:t>
      </w:r>
      <w:r w:rsidR="00D42920">
        <w:t xml:space="preserve">the </w:t>
      </w:r>
      <w:r>
        <w:t>DHSC include</w:t>
      </w:r>
      <w:r w:rsidR="0038096E">
        <w:t>d</w:t>
      </w:r>
      <w:r>
        <w:t xml:space="preserve"> a summary of the RAG rating across all grants.</w:t>
      </w:r>
      <w:r w:rsidR="007458AC">
        <w:t xml:space="preserve"> </w:t>
      </w:r>
      <w:r>
        <w:t>This provide</w:t>
      </w:r>
      <w:r w:rsidR="0038096E">
        <w:t>d</w:t>
      </w:r>
      <w:r>
        <w:t xml:space="preserve"> a snapshot rather than continuous tracking of VfM given</w:t>
      </w:r>
      <w:r w:rsidR="00D42920">
        <w:t xml:space="preserve"> that</w:t>
      </w:r>
      <w:r>
        <w:t xml:space="preserve"> the grant reviews </w:t>
      </w:r>
      <w:r w:rsidR="0038096E">
        <w:t xml:space="preserve">were </w:t>
      </w:r>
      <w:r>
        <w:t xml:space="preserve">usually conducted twice (once during implementation then updated at the end of the grant). 14 </w:t>
      </w:r>
      <w:r w:rsidR="00D42920">
        <w:t xml:space="preserve">out </w:t>
      </w:r>
      <w:r>
        <w:t xml:space="preserve">of 16 CGs and all the RGs </w:t>
      </w:r>
      <w:r w:rsidR="0038096E">
        <w:t>undertook</w:t>
      </w:r>
      <w:r>
        <w:t xml:space="preserve"> at least one </w:t>
      </w:r>
      <w:r w:rsidR="0044432D">
        <w:t>VfM</w:t>
      </w:r>
      <w:r>
        <w:t xml:space="preserve"> Grant review, based on the </w:t>
      </w:r>
      <w:r w:rsidR="0044432D">
        <w:t>VfM</w:t>
      </w:r>
      <w:r>
        <w:t xml:space="preserve"> reports available. The </w:t>
      </w:r>
      <w:r w:rsidR="00797215">
        <w:t>Fleming Fellows</w:t>
      </w:r>
      <w:r>
        <w:t xml:space="preserve"> </w:t>
      </w:r>
      <w:r w:rsidR="00E141CD">
        <w:t xml:space="preserve">have </w:t>
      </w:r>
      <w:r>
        <w:t xml:space="preserve">not established </w:t>
      </w:r>
      <w:r w:rsidR="006A13A8">
        <w:t xml:space="preserve">VfM </w:t>
      </w:r>
      <w:r>
        <w:t>measures and reporting.</w:t>
      </w:r>
      <w:r w:rsidR="007458AC">
        <w:t xml:space="preserve"> </w:t>
      </w:r>
      <w:r w:rsidR="0038096E">
        <w:t>The</w:t>
      </w:r>
      <w:r>
        <w:t xml:space="preserve"> processes </w:t>
      </w:r>
      <w:r w:rsidR="009F798E">
        <w:t xml:space="preserve">they had </w:t>
      </w:r>
      <w:r>
        <w:t xml:space="preserve">in place to </w:t>
      </w:r>
      <w:r w:rsidR="00EA798A">
        <w:t>manage</w:t>
      </w:r>
      <w:r>
        <w:t xml:space="preserve"> </w:t>
      </w:r>
      <w:r w:rsidR="00EA798A">
        <w:t xml:space="preserve">VfM </w:t>
      </w:r>
      <w:r w:rsidR="0038096E">
        <w:t>did not</w:t>
      </w:r>
      <w:r>
        <w:t xml:space="preserve"> focus on the input and </w:t>
      </w:r>
      <w:r w:rsidR="00FB10B9">
        <w:t>work plan</w:t>
      </w:r>
      <w:r>
        <w:t xml:space="preserve"> completion level, and </w:t>
      </w:r>
      <w:r w:rsidR="00C81D0B">
        <w:t xml:space="preserve">there </w:t>
      </w:r>
      <w:r>
        <w:t>has not been any analysis of common indicators such as unit cost per fellowship, as seen in other similar programmes.</w:t>
      </w:r>
      <w:r w:rsidR="007458AC">
        <w:t xml:space="preserve"> </w:t>
      </w:r>
      <w:r>
        <w:t xml:space="preserve">There is a risk therefore that the </w:t>
      </w:r>
      <w:r w:rsidR="00797215">
        <w:t>Fleming Fellows</w:t>
      </w:r>
      <w:r>
        <w:t xml:space="preserve"> focus too much on economy, at the risk of efficiency and effectiveness. For example, </w:t>
      </w:r>
      <w:r w:rsidR="00ED2AC8">
        <w:t xml:space="preserve">the VfM </w:t>
      </w:r>
      <w:r>
        <w:t xml:space="preserve">discussion focuses on capped rates for per diems, rather than how the fellowships can contribute more cost-effectively to improving the quantity, </w:t>
      </w:r>
      <w:r w:rsidR="0098466D">
        <w:t>quality,</w:t>
      </w:r>
      <w:r>
        <w:t xml:space="preserve"> and use of AMR surveillance data in a sustainable way.</w:t>
      </w:r>
    </w:p>
    <w:p w14:paraId="49EA03A1" w14:textId="63817303" w:rsidR="001A7D53" w:rsidRPr="00E007A1" w:rsidRDefault="001A7D53" w:rsidP="007B133C">
      <w:pPr>
        <w:pStyle w:val="ItadH3"/>
        <w:rPr>
          <w:lang w:val="en-GB"/>
        </w:rPr>
      </w:pPr>
      <w:bookmarkStart w:id="119" w:name="_Toc118968521"/>
      <w:bookmarkStart w:id="120" w:name="_Toc142383161"/>
      <w:r w:rsidRPr="00E007A1">
        <w:rPr>
          <w:lang w:val="en-GB"/>
        </w:rPr>
        <w:t xml:space="preserve">Have </w:t>
      </w:r>
      <w:r w:rsidR="00ED76E0">
        <w:rPr>
          <w:lang w:val="en-GB"/>
        </w:rPr>
        <w:t>DHSC</w:t>
      </w:r>
      <w:r w:rsidRPr="00E007A1">
        <w:rPr>
          <w:lang w:val="en-GB"/>
        </w:rPr>
        <w:t xml:space="preserve"> and MA managed for VfM at country level?</w:t>
      </w:r>
      <w:bookmarkEnd w:id="119"/>
      <w:bookmarkEnd w:id="120"/>
    </w:p>
    <w:p w14:paraId="319A1EBE" w14:textId="77777777" w:rsidR="001A7D53" w:rsidRPr="00355C7A" w:rsidRDefault="001A7D53" w:rsidP="00E34216">
      <w:pPr>
        <w:pStyle w:val="ItadH4"/>
        <w:spacing w:before="0"/>
      </w:pPr>
      <w:r w:rsidRPr="27A241B2">
        <w:t>Economy</w:t>
      </w:r>
    </w:p>
    <w:p w14:paraId="009A1E0B" w14:textId="694B14B1" w:rsidR="001A7D53" w:rsidRPr="00BF7F29" w:rsidRDefault="001A7D53" w:rsidP="0085545E">
      <w:pPr>
        <w:pStyle w:val="FFNormal"/>
        <w:rPr>
          <w:color w:val="FF0000"/>
        </w:rPr>
      </w:pPr>
      <w:r>
        <w:t xml:space="preserve">At the grant proposal stage, and during the no-cost extension process, there is evidence across </w:t>
      </w:r>
      <w:r w:rsidR="00CD3561">
        <w:t>CGs</w:t>
      </w:r>
      <w:r>
        <w:t xml:space="preserve"> and </w:t>
      </w:r>
      <w:r w:rsidR="00CD3561">
        <w:t>RGs</w:t>
      </w:r>
      <w:r>
        <w:t xml:space="preserve"> that unit costs were reviewed and, in some cases, challenged and revised.</w:t>
      </w:r>
      <w:r w:rsidR="007458AC">
        <w:t xml:space="preserve"> </w:t>
      </w:r>
      <w:r>
        <w:t xml:space="preserve">This was as a result of </w:t>
      </w:r>
      <w:r w:rsidR="00D01DE7">
        <w:t xml:space="preserve">the </w:t>
      </w:r>
      <w:r>
        <w:t>MA reviews as well as</w:t>
      </w:r>
      <w:r w:rsidRPr="45CDE7E8">
        <w:rPr>
          <w:color w:val="FF0000"/>
        </w:rPr>
        <w:t xml:space="preserve"> </w:t>
      </w:r>
      <w:r>
        <w:t>feedback from</w:t>
      </w:r>
      <w:r w:rsidR="009B6033">
        <w:t xml:space="preserve"> the</w:t>
      </w:r>
      <w:r>
        <w:t xml:space="preserve"> DHSC. For example, the DHSC provided input and feedback on overhead costs  and cost</w:t>
      </w:r>
      <w:r w:rsidR="005974C0">
        <w:t>s</w:t>
      </w:r>
      <w:r>
        <w:t xml:space="preserve"> of personnel  at the grant proposal </w:t>
      </w:r>
      <w:r w:rsidR="00884DFC">
        <w:t>stage</w:t>
      </w:r>
      <w:r>
        <w:t>.</w:t>
      </w:r>
      <w:r w:rsidR="007458AC">
        <w:t xml:space="preserve"> </w:t>
      </w:r>
      <w:r>
        <w:t xml:space="preserve">Once budgets were agreed and in place, unit costs were reviewed during </w:t>
      </w:r>
      <w:r w:rsidR="0044432D">
        <w:t>VfM</w:t>
      </w:r>
      <w:r>
        <w:t xml:space="preserve"> grant reviews (i.e. once during implementation). See </w:t>
      </w:r>
      <w:r>
        <w:fldChar w:fldCharType="begin"/>
      </w:r>
      <w:r>
        <w:instrText xml:space="preserve"> REF _Ref118966718 \h </w:instrText>
      </w:r>
      <w:r>
        <w:fldChar w:fldCharType="separate"/>
      </w:r>
      <w:r w:rsidR="009A383C">
        <w:t xml:space="preserve">Table </w:t>
      </w:r>
      <w:r w:rsidR="009A383C" w:rsidRPr="45CDE7E8">
        <w:rPr>
          <w:noProof/>
        </w:rPr>
        <w:t>15</w:t>
      </w:r>
      <w:r>
        <w:fldChar w:fldCharType="end"/>
      </w:r>
      <w:r>
        <w:t xml:space="preserve"> for the summary of performance against tracked unit costs. There is less evidence that unit costs </w:t>
      </w:r>
      <w:r w:rsidR="009F798E">
        <w:t xml:space="preserve">were </w:t>
      </w:r>
      <w:r>
        <w:t>benchmarked systematically across the grants</w:t>
      </w:r>
      <w:r w:rsidR="009F798E">
        <w:t>; and t</w:t>
      </w:r>
      <w:r w:rsidR="00D76D7B">
        <w:t>here is evidence that, during</w:t>
      </w:r>
      <w:r>
        <w:t xml:space="preserve"> the grant review process, unit costs were compared across</w:t>
      </w:r>
      <w:r w:rsidR="009F798E">
        <w:t xml:space="preserve"> the</w:t>
      </w:r>
      <w:r>
        <w:t xml:space="preserve"> submitted proposals .</w:t>
      </w:r>
    </w:p>
    <w:p w14:paraId="0C28222D" w14:textId="40F25EBF" w:rsidR="00E34216" w:rsidRDefault="001A7D53" w:rsidP="00B974FE">
      <w:pPr>
        <w:pStyle w:val="FFNormal"/>
      </w:pPr>
      <w:r>
        <w:t>In some cases, tracking unit costs of inputs (not including procurement of lab</w:t>
      </w:r>
      <w:r w:rsidR="00EF59CD">
        <w:t>oratory</w:t>
      </w:r>
      <w:r>
        <w:t xml:space="preserve"> equipment and consumables) revealed </w:t>
      </w:r>
      <w:r w:rsidR="00EF59CD">
        <w:t xml:space="preserve">that </w:t>
      </w:r>
      <w:r>
        <w:t>budget unit costs were much higher than actual cost</w:t>
      </w:r>
      <w:r w:rsidR="00EF59CD">
        <w:t>s</w:t>
      </w:r>
      <w:r>
        <w:t xml:space="preserve"> e.g. RG FF10/11. (See </w:t>
      </w:r>
      <w:r>
        <w:fldChar w:fldCharType="begin"/>
      </w:r>
      <w:r>
        <w:instrText xml:space="preserve"> REF _Ref118377684 \h </w:instrText>
      </w:r>
      <w:r>
        <w:fldChar w:fldCharType="separate"/>
      </w:r>
      <w:r w:rsidR="009A383C">
        <w:t xml:space="preserve">Table </w:t>
      </w:r>
      <w:r w:rsidR="009A383C" w:rsidRPr="45CDE7E8">
        <w:rPr>
          <w:noProof/>
        </w:rPr>
        <w:t>14</w:t>
      </w:r>
      <w:r>
        <w:fldChar w:fldCharType="end"/>
      </w:r>
      <w:r>
        <w:t xml:space="preserve"> below for example from a RG).</w:t>
      </w:r>
      <w:r w:rsidR="007458AC">
        <w:t xml:space="preserve"> </w:t>
      </w:r>
      <w:r>
        <w:t xml:space="preserve">Budgeted costs for most inputs were higher than actual costs in most countries. Whilst this may demonstrate economy in terms of lower costs of inputs, it had an impact on budget absorption rates. There were also examples  where a few unit costs were higher than had been budgeted (see </w:t>
      </w:r>
      <w:r>
        <w:fldChar w:fldCharType="begin"/>
      </w:r>
      <w:r>
        <w:instrText xml:space="preserve"> REF _Ref118966718 \h </w:instrText>
      </w:r>
      <w:r>
        <w:fldChar w:fldCharType="separate"/>
      </w:r>
      <w:r w:rsidR="009A383C">
        <w:t xml:space="preserve">Table </w:t>
      </w:r>
      <w:r w:rsidR="009A383C" w:rsidRPr="45CDE7E8">
        <w:rPr>
          <w:noProof/>
        </w:rPr>
        <w:t>15</w:t>
      </w:r>
      <w:r>
        <w:fldChar w:fldCharType="end"/>
      </w:r>
      <w:r>
        <w:fldChar w:fldCharType="begin"/>
      </w:r>
      <w:r>
        <w:instrText xml:space="preserve"> REF _Ref120648386 \h </w:instrText>
      </w:r>
      <w:r>
        <w:fldChar w:fldCharType="separate"/>
      </w:r>
      <w:r w:rsidR="009A383C">
        <w:t xml:space="preserve">Table </w:t>
      </w:r>
      <w:r w:rsidR="009A383C" w:rsidRPr="45CDE7E8">
        <w:rPr>
          <w:noProof/>
        </w:rPr>
        <w:t>15</w:t>
      </w:r>
      <w:r w:rsidR="009A383C">
        <w:t xml:space="preserve"> VfM Measures of Economy achieved across country grants</w:t>
      </w:r>
      <w:r>
        <w:fldChar w:fldCharType="end"/>
      </w:r>
      <w:r w:rsidR="005756F2">
        <w:t xml:space="preserve"> </w:t>
      </w:r>
      <w:r>
        <w:t>for analysis of tracked unit costs).</w:t>
      </w:r>
    </w:p>
    <w:p w14:paraId="7DE60A92" w14:textId="55228839" w:rsidR="001A1A5F" w:rsidRDefault="001A1A5F" w:rsidP="00C04C3C">
      <w:pPr>
        <w:pStyle w:val="ItadCaption"/>
      </w:pPr>
      <w:bookmarkStart w:id="121" w:name="_Ref118377684"/>
      <w:bookmarkStart w:id="122" w:name="_Toc143857882"/>
      <w:r>
        <w:t xml:space="preserve">Table </w:t>
      </w:r>
      <w:r>
        <w:fldChar w:fldCharType="begin"/>
      </w:r>
      <w:r>
        <w:instrText>SEQ Table \* ARABIC</w:instrText>
      </w:r>
      <w:r>
        <w:fldChar w:fldCharType="separate"/>
      </w:r>
      <w:r w:rsidR="009A383C">
        <w:rPr>
          <w:noProof/>
        </w:rPr>
        <w:t>14</w:t>
      </w:r>
      <w:r>
        <w:fldChar w:fldCharType="end"/>
      </w:r>
      <w:bookmarkEnd w:id="121"/>
      <w:r w:rsidR="00EC2B6F">
        <w:t xml:space="preserve"> </w:t>
      </w:r>
      <w:r w:rsidRPr="007E7F09">
        <w:t>Example of overbudgeting in RG FF10/11</w:t>
      </w:r>
      <w:bookmarkEnd w:id="122"/>
    </w:p>
    <w:tbl>
      <w:tblPr>
        <w:tblStyle w:val="ItadGreenHeaderRow"/>
        <w:tblW w:w="5000" w:type="pct"/>
        <w:tblInd w:w="0" w:type="dxa"/>
        <w:tblLayout w:type="fixed"/>
        <w:tblLook w:val="06A0" w:firstRow="1" w:lastRow="0" w:firstColumn="1" w:lastColumn="0" w:noHBand="1" w:noVBand="1"/>
      </w:tblPr>
      <w:tblGrid>
        <w:gridCol w:w="2900"/>
        <w:gridCol w:w="2103"/>
        <w:gridCol w:w="1910"/>
        <w:gridCol w:w="2103"/>
      </w:tblGrid>
      <w:tr w:rsidR="009F798E" w:rsidRPr="009F798E" w14:paraId="7891FA0A" w14:textId="77777777" w:rsidTr="00BB4743">
        <w:trPr>
          <w:cnfStyle w:val="100000000000" w:firstRow="1" w:lastRow="0" w:firstColumn="0" w:lastColumn="0" w:oddVBand="0" w:evenVBand="0" w:oddHBand="0" w:evenHBand="0" w:firstRowFirstColumn="0" w:firstRowLastColumn="0" w:lastRowFirstColumn="0" w:lastRowLastColumn="0"/>
          <w:tblHeader/>
        </w:trPr>
        <w:tc>
          <w:tcPr>
            <w:tcW w:w="1608" w:type="pct"/>
          </w:tcPr>
          <w:p w14:paraId="730BE2D3" w14:textId="77777777" w:rsidR="001A7D53" w:rsidRPr="007F63EF" w:rsidRDefault="001A7D53">
            <w:pPr>
              <w:rPr>
                <w:b/>
                <w:bCs/>
                <w:color w:val="auto"/>
                <w:sz w:val="20"/>
                <w:szCs w:val="20"/>
              </w:rPr>
            </w:pPr>
            <w:r w:rsidRPr="009F798E">
              <w:rPr>
                <w:b/>
                <w:bCs/>
                <w:sz w:val="20"/>
                <w:szCs w:val="20"/>
              </w:rPr>
              <w:t>Tracked cost items</w:t>
            </w:r>
          </w:p>
        </w:tc>
        <w:tc>
          <w:tcPr>
            <w:tcW w:w="1166" w:type="pct"/>
          </w:tcPr>
          <w:p w14:paraId="2A09B42C" w14:textId="77777777" w:rsidR="001A7D53" w:rsidRPr="007F63EF" w:rsidRDefault="001A7D53">
            <w:pPr>
              <w:rPr>
                <w:b/>
                <w:bCs/>
                <w:color w:val="auto"/>
                <w:sz w:val="20"/>
                <w:szCs w:val="20"/>
              </w:rPr>
            </w:pPr>
            <w:r w:rsidRPr="009F798E">
              <w:rPr>
                <w:b/>
                <w:bCs/>
                <w:sz w:val="20"/>
                <w:szCs w:val="20"/>
              </w:rPr>
              <w:t>Budgeted cost</w:t>
            </w:r>
          </w:p>
        </w:tc>
        <w:tc>
          <w:tcPr>
            <w:tcW w:w="1059" w:type="pct"/>
          </w:tcPr>
          <w:p w14:paraId="5151D36D" w14:textId="77777777" w:rsidR="001A7D53" w:rsidRPr="007F63EF" w:rsidRDefault="001A7D53">
            <w:pPr>
              <w:rPr>
                <w:b/>
                <w:bCs/>
                <w:color w:val="auto"/>
                <w:sz w:val="20"/>
                <w:szCs w:val="20"/>
              </w:rPr>
            </w:pPr>
            <w:r w:rsidRPr="009F798E">
              <w:rPr>
                <w:b/>
                <w:bCs/>
                <w:sz w:val="20"/>
                <w:szCs w:val="20"/>
              </w:rPr>
              <w:t>Actual cost</w:t>
            </w:r>
          </w:p>
        </w:tc>
        <w:tc>
          <w:tcPr>
            <w:tcW w:w="1166" w:type="pct"/>
          </w:tcPr>
          <w:p w14:paraId="4B28D576" w14:textId="77777777" w:rsidR="001A7D53" w:rsidRPr="007F63EF" w:rsidRDefault="001A7D53">
            <w:pPr>
              <w:rPr>
                <w:b/>
                <w:bCs/>
                <w:color w:val="auto"/>
                <w:sz w:val="20"/>
                <w:szCs w:val="20"/>
              </w:rPr>
            </w:pPr>
            <w:r w:rsidRPr="009F798E">
              <w:rPr>
                <w:b/>
                <w:bCs/>
                <w:sz w:val="20"/>
                <w:szCs w:val="20"/>
              </w:rPr>
              <w:t>% Variation</w:t>
            </w:r>
          </w:p>
        </w:tc>
      </w:tr>
      <w:tr w:rsidR="009F798E" w:rsidRPr="009F798E" w14:paraId="192D372E" w14:textId="77777777" w:rsidTr="005A32AD">
        <w:tc>
          <w:tcPr>
            <w:tcW w:w="1608" w:type="pct"/>
            <w:shd w:val="clear" w:color="auto" w:fill="auto"/>
          </w:tcPr>
          <w:p w14:paraId="13323A3C" w14:textId="7C2F5FE9" w:rsidR="001A7D53" w:rsidRPr="007F63EF" w:rsidRDefault="001A7D53">
            <w:pPr>
              <w:rPr>
                <w:color w:val="auto"/>
                <w:sz w:val="20"/>
                <w:szCs w:val="20"/>
              </w:rPr>
            </w:pPr>
            <w:r w:rsidRPr="009F798E">
              <w:rPr>
                <w:rFonts w:eastAsia="Calibri" w:cs="Calibri"/>
                <w:sz w:val="20"/>
                <w:szCs w:val="20"/>
              </w:rPr>
              <w:t>Epidemiologist, M&amp;E specialist (</w:t>
            </w:r>
            <w:r w:rsidR="004E618B" w:rsidRPr="009F798E">
              <w:rPr>
                <w:rFonts w:eastAsia="Calibri" w:cs="Calibri"/>
                <w:sz w:val="20"/>
                <w:szCs w:val="20"/>
              </w:rPr>
              <w:t>Public Health Surveillance Group (</w:t>
            </w:r>
            <w:r w:rsidRPr="009F798E">
              <w:rPr>
                <w:rFonts w:eastAsia="Calibri" w:cs="Calibri"/>
                <w:sz w:val="20"/>
                <w:szCs w:val="20"/>
              </w:rPr>
              <w:t>PHSG</w:t>
            </w:r>
            <w:r w:rsidR="004E618B" w:rsidRPr="009F798E">
              <w:rPr>
                <w:rFonts w:eastAsia="Calibri" w:cs="Calibri"/>
                <w:sz w:val="20"/>
                <w:szCs w:val="20"/>
              </w:rPr>
              <w:t>)</w:t>
            </w:r>
            <w:r w:rsidRPr="009F798E">
              <w:rPr>
                <w:rFonts w:eastAsia="Calibri" w:cs="Calibri"/>
                <w:sz w:val="20"/>
                <w:szCs w:val="20"/>
              </w:rPr>
              <w:t>) FF10</w:t>
            </w:r>
          </w:p>
        </w:tc>
        <w:tc>
          <w:tcPr>
            <w:tcW w:w="1166" w:type="pct"/>
            <w:shd w:val="clear" w:color="auto" w:fill="auto"/>
          </w:tcPr>
          <w:p w14:paraId="08F0D928" w14:textId="3D61B877" w:rsidR="001A7D53" w:rsidRPr="007F63EF" w:rsidRDefault="001A7D53">
            <w:pPr>
              <w:rPr>
                <w:color w:val="auto"/>
                <w:sz w:val="20"/>
                <w:szCs w:val="20"/>
              </w:rPr>
            </w:pPr>
            <w:r w:rsidRPr="009F798E">
              <w:rPr>
                <w:rFonts w:eastAsia="Calibri" w:cs="Calibri"/>
                <w:sz w:val="20"/>
                <w:szCs w:val="20"/>
              </w:rPr>
              <w:t>£2,504/m</w:t>
            </w:r>
            <w:r w:rsidR="000C7EE4" w:rsidRPr="009F798E">
              <w:rPr>
                <w:rFonts w:eastAsia="Calibri" w:cs="Calibri"/>
                <w:sz w:val="20"/>
                <w:szCs w:val="20"/>
              </w:rPr>
              <w:t>onth</w:t>
            </w:r>
          </w:p>
        </w:tc>
        <w:tc>
          <w:tcPr>
            <w:tcW w:w="1059" w:type="pct"/>
            <w:shd w:val="clear" w:color="auto" w:fill="auto"/>
          </w:tcPr>
          <w:p w14:paraId="1AC78057" w14:textId="6D15204B" w:rsidR="001A7D53" w:rsidRPr="007F63EF" w:rsidRDefault="001A7D53">
            <w:pPr>
              <w:rPr>
                <w:color w:val="auto"/>
                <w:sz w:val="20"/>
                <w:szCs w:val="20"/>
              </w:rPr>
            </w:pPr>
            <w:r w:rsidRPr="009F798E">
              <w:rPr>
                <w:rFonts w:eastAsia="Calibri" w:cs="Calibri"/>
                <w:sz w:val="20"/>
                <w:szCs w:val="20"/>
              </w:rPr>
              <w:t>£1,787/m</w:t>
            </w:r>
            <w:r w:rsidR="000C7EE4" w:rsidRPr="009F798E">
              <w:rPr>
                <w:rFonts w:eastAsia="Calibri" w:cs="Calibri"/>
                <w:sz w:val="20"/>
                <w:szCs w:val="20"/>
              </w:rPr>
              <w:t>onth</w:t>
            </w:r>
          </w:p>
        </w:tc>
        <w:tc>
          <w:tcPr>
            <w:tcW w:w="1166" w:type="pct"/>
            <w:shd w:val="clear" w:color="auto" w:fill="auto"/>
          </w:tcPr>
          <w:p w14:paraId="729354E8" w14:textId="77777777" w:rsidR="001A7D53" w:rsidRPr="007F63EF" w:rsidRDefault="001A7D53">
            <w:pPr>
              <w:rPr>
                <w:color w:val="auto"/>
                <w:sz w:val="20"/>
                <w:szCs w:val="20"/>
              </w:rPr>
            </w:pPr>
            <w:r w:rsidRPr="009F798E">
              <w:rPr>
                <w:sz w:val="20"/>
                <w:szCs w:val="20"/>
              </w:rPr>
              <w:t>+28%</w:t>
            </w:r>
          </w:p>
        </w:tc>
      </w:tr>
      <w:tr w:rsidR="009F798E" w:rsidRPr="009F798E" w14:paraId="36119432" w14:textId="77777777" w:rsidTr="005A32AD">
        <w:tc>
          <w:tcPr>
            <w:tcW w:w="1608" w:type="pct"/>
            <w:shd w:val="clear" w:color="auto" w:fill="auto"/>
          </w:tcPr>
          <w:p w14:paraId="76AA8C97" w14:textId="77777777" w:rsidR="001A7D53" w:rsidRPr="007F63EF" w:rsidRDefault="001A7D53">
            <w:pPr>
              <w:rPr>
                <w:color w:val="auto"/>
                <w:sz w:val="20"/>
                <w:szCs w:val="20"/>
              </w:rPr>
            </w:pPr>
            <w:r w:rsidRPr="009F798E">
              <w:rPr>
                <w:rFonts w:eastAsia="Calibri" w:cs="Calibri"/>
                <w:sz w:val="20"/>
                <w:szCs w:val="20"/>
              </w:rPr>
              <w:t>Software engineer/Interface developer (WHONET) FF10</w:t>
            </w:r>
          </w:p>
        </w:tc>
        <w:tc>
          <w:tcPr>
            <w:tcW w:w="1166" w:type="pct"/>
            <w:shd w:val="clear" w:color="auto" w:fill="auto"/>
          </w:tcPr>
          <w:p w14:paraId="07E0757E" w14:textId="3ED0EA6D" w:rsidR="001A7D53" w:rsidRPr="007F63EF" w:rsidRDefault="001A7D53">
            <w:pPr>
              <w:rPr>
                <w:color w:val="auto"/>
                <w:sz w:val="20"/>
                <w:szCs w:val="20"/>
              </w:rPr>
            </w:pPr>
            <w:r w:rsidRPr="009F798E">
              <w:rPr>
                <w:rFonts w:eastAsia="Calibri" w:cs="Calibri"/>
                <w:sz w:val="20"/>
                <w:szCs w:val="20"/>
              </w:rPr>
              <w:t>£3,126/m</w:t>
            </w:r>
            <w:r w:rsidR="000C7EE4" w:rsidRPr="009F798E">
              <w:rPr>
                <w:rFonts w:eastAsia="Calibri" w:cs="Calibri"/>
                <w:sz w:val="20"/>
                <w:szCs w:val="20"/>
              </w:rPr>
              <w:t>onth</w:t>
            </w:r>
          </w:p>
        </w:tc>
        <w:tc>
          <w:tcPr>
            <w:tcW w:w="1059" w:type="pct"/>
            <w:shd w:val="clear" w:color="auto" w:fill="auto"/>
          </w:tcPr>
          <w:p w14:paraId="49082755" w14:textId="3A616B08" w:rsidR="001A7D53" w:rsidRPr="007F63EF" w:rsidRDefault="001A7D53">
            <w:pPr>
              <w:rPr>
                <w:color w:val="auto"/>
                <w:sz w:val="20"/>
                <w:szCs w:val="20"/>
              </w:rPr>
            </w:pPr>
            <w:r w:rsidRPr="009F798E">
              <w:rPr>
                <w:rFonts w:eastAsia="Calibri" w:cs="Calibri"/>
                <w:sz w:val="20"/>
                <w:szCs w:val="20"/>
              </w:rPr>
              <w:t>£1,648/m</w:t>
            </w:r>
            <w:r w:rsidR="003755B9" w:rsidRPr="009F798E">
              <w:rPr>
                <w:rFonts w:eastAsia="Calibri" w:cs="Calibri"/>
                <w:sz w:val="20"/>
                <w:szCs w:val="20"/>
              </w:rPr>
              <w:t>onth</w:t>
            </w:r>
          </w:p>
        </w:tc>
        <w:tc>
          <w:tcPr>
            <w:tcW w:w="1166" w:type="pct"/>
            <w:shd w:val="clear" w:color="auto" w:fill="auto"/>
          </w:tcPr>
          <w:p w14:paraId="58D9C96F" w14:textId="77777777" w:rsidR="001A7D53" w:rsidRPr="007F63EF" w:rsidRDefault="001A7D53">
            <w:pPr>
              <w:rPr>
                <w:color w:val="auto"/>
                <w:sz w:val="20"/>
                <w:szCs w:val="20"/>
              </w:rPr>
            </w:pPr>
            <w:r w:rsidRPr="009F798E">
              <w:rPr>
                <w:sz w:val="20"/>
                <w:szCs w:val="20"/>
              </w:rPr>
              <w:t>+47%</w:t>
            </w:r>
          </w:p>
        </w:tc>
      </w:tr>
      <w:tr w:rsidR="009F798E" w:rsidRPr="009F798E" w14:paraId="106DC320" w14:textId="77777777" w:rsidTr="005A32AD">
        <w:tc>
          <w:tcPr>
            <w:tcW w:w="1608" w:type="pct"/>
            <w:shd w:val="clear" w:color="auto" w:fill="auto"/>
          </w:tcPr>
          <w:p w14:paraId="5B6F1914" w14:textId="77777777" w:rsidR="001A7D53" w:rsidRPr="007F63EF" w:rsidRDefault="001A7D53">
            <w:pPr>
              <w:rPr>
                <w:color w:val="auto"/>
                <w:sz w:val="20"/>
                <w:szCs w:val="20"/>
              </w:rPr>
            </w:pPr>
            <w:r w:rsidRPr="009F798E">
              <w:rPr>
                <w:rFonts w:eastAsia="Calibri" w:cs="Calibri"/>
                <w:sz w:val="20"/>
                <w:szCs w:val="20"/>
              </w:rPr>
              <w:t>BWH PI, John Stelling (WHONET) FF11</w:t>
            </w:r>
          </w:p>
        </w:tc>
        <w:tc>
          <w:tcPr>
            <w:tcW w:w="1166" w:type="pct"/>
            <w:shd w:val="clear" w:color="auto" w:fill="auto"/>
          </w:tcPr>
          <w:p w14:paraId="50220914" w14:textId="5EF6A42C" w:rsidR="001A7D53" w:rsidRPr="007F63EF" w:rsidRDefault="001A7D53">
            <w:pPr>
              <w:rPr>
                <w:color w:val="auto"/>
                <w:sz w:val="20"/>
                <w:szCs w:val="20"/>
              </w:rPr>
            </w:pPr>
            <w:r w:rsidRPr="009F798E">
              <w:rPr>
                <w:rFonts w:eastAsia="Calibri" w:cs="Calibri"/>
                <w:sz w:val="20"/>
                <w:szCs w:val="20"/>
              </w:rPr>
              <w:t>£2,624/m</w:t>
            </w:r>
            <w:r w:rsidR="003755B9" w:rsidRPr="009F798E">
              <w:rPr>
                <w:rFonts w:eastAsia="Calibri" w:cs="Calibri"/>
                <w:sz w:val="20"/>
                <w:szCs w:val="20"/>
              </w:rPr>
              <w:t>onth</w:t>
            </w:r>
            <w:r w:rsidRPr="009F798E">
              <w:rPr>
                <w:rFonts w:eastAsia="Calibri" w:cs="Calibri"/>
                <w:sz w:val="20"/>
                <w:szCs w:val="20"/>
              </w:rPr>
              <w:t xml:space="preserve"> </w:t>
            </w:r>
          </w:p>
        </w:tc>
        <w:tc>
          <w:tcPr>
            <w:tcW w:w="1059" w:type="pct"/>
            <w:shd w:val="clear" w:color="auto" w:fill="auto"/>
          </w:tcPr>
          <w:p w14:paraId="44C324EC" w14:textId="282C51FF" w:rsidR="001A7D53" w:rsidRPr="007F63EF" w:rsidRDefault="001A7D53">
            <w:pPr>
              <w:rPr>
                <w:color w:val="auto"/>
                <w:sz w:val="20"/>
                <w:szCs w:val="20"/>
              </w:rPr>
            </w:pPr>
            <w:r w:rsidRPr="009F798E">
              <w:rPr>
                <w:rFonts w:eastAsia="Calibri" w:cs="Calibri"/>
                <w:sz w:val="20"/>
                <w:szCs w:val="20"/>
              </w:rPr>
              <w:t>£1,683/m</w:t>
            </w:r>
            <w:r w:rsidR="003755B9" w:rsidRPr="009F798E">
              <w:rPr>
                <w:rFonts w:eastAsia="Calibri" w:cs="Calibri"/>
                <w:sz w:val="20"/>
                <w:szCs w:val="20"/>
              </w:rPr>
              <w:t>onth</w:t>
            </w:r>
          </w:p>
        </w:tc>
        <w:tc>
          <w:tcPr>
            <w:tcW w:w="1166" w:type="pct"/>
            <w:shd w:val="clear" w:color="auto" w:fill="auto"/>
          </w:tcPr>
          <w:p w14:paraId="0D6C57B7" w14:textId="77777777" w:rsidR="001A7D53" w:rsidRPr="007F63EF" w:rsidRDefault="001A7D53">
            <w:pPr>
              <w:rPr>
                <w:color w:val="auto"/>
                <w:sz w:val="20"/>
                <w:szCs w:val="20"/>
              </w:rPr>
            </w:pPr>
            <w:r w:rsidRPr="009F798E">
              <w:rPr>
                <w:sz w:val="20"/>
                <w:szCs w:val="20"/>
              </w:rPr>
              <w:t>+36%</w:t>
            </w:r>
          </w:p>
        </w:tc>
      </w:tr>
      <w:tr w:rsidR="009F798E" w:rsidRPr="009F798E" w14:paraId="4351527E" w14:textId="77777777" w:rsidTr="005A32AD">
        <w:tc>
          <w:tcPr>
            <w:tcW w:w="1608" w:type="pct"/>
            <w:shd w:val="clear" w:color="auto" w:fill="auto"/>
          </w:tcPr>
          <w:p w14:paraId="5DE36C94" w14:textId="77777777" w:rsidR="001A7D53" w:rsidRPr="007F63EF" w:rsidRDefault="001A7D53">
            <w:pPr>
              <w:rPr>
                <w:color w:val="auto"/>
                <w:sz w:val="20"/>
                <w:szCs w:val="20"/>
              </w:rPr>
            </w:pPr>
            <w:r w:rsidRPr="009F798E">
              <w:rPr>
                <w:rFonts w:eastAsia="Calibri" w:cs="Calibri"/>
                <w:sz w:val="20"/>
                <w:szCs w:val="20"/>
              </w:rPr>
              <w:t>BDI Primary Investigator FF11</w:t>
            </w:r>
          </w:p>
        </w:tc>
        <w:tc>
          <w:tcPr>
            <w:tcW w:w="1166" w:type="pct"/>
            <w:shd w:val="clear" w:color="auto" w:fill="auto"/>
          </w:tcPr>
          <w:p w14:paraId="78C94E51" w14:textId="7953A87F" w:rsidR="001A7D53" w:rsidRPr="007F63EF" w:rsidRDefault="001A7D53">
            <w:pPr>
              <w:rPr>
                <w:color w:val="auto"/>
                <w:sz w:val="20"/>
                <w:szCs w:val="20"/>
              </w:rPr>
            </w:pPr>
            <w:r w:rsidRPr="009F798E">
              <w:rPr>
                <w:rFonts w:eastAsia="Calibri" w:cs="Calibri"/>
                <w:sz w:val="20"/>
                <w:szCs w:val="20"/>
              </w:rPr>
              <w:t>£2,335/m</w:t>
            </w:r>
            <w:r w:rsidR="003755B9" w:rsidRPr="009F798E">
              <w:rPr>
                <w:rFonts w:eastAsia="Calibri" w:cs="Calibri"/>
                <w:sz w:val="20"/>
                <w:szCs w:val="20"/>
              </w:rPr>
              <w:t>on</w:t>
            </w:r>
            <w:r w:rsidR="00C212FF" w:rsidRPr="009F798E">
              <w:rPr>
                <w:rFonts w:eastAsia="Calibri" w:cs="Calibri"/>
                <w:sz w:val="20"/>
                <w:szCs w:val="20"/>
              </w:rPr>
              <w:t>t</w:t>
            </w:r>
            <w:r w:rsidR="003755B9" w:rsidRPr="009F798E">
              <w:rPr>
                <w:rFonts w:eastAsia="Calibri" w:cs="Calibri"/>
                <w:sz w:val="20"/>
                <w:szCs w:val="20"/>
              </w:rPr>
              <w:t>h</w:t>
            </w:r>
            <w:r w:rsidRPr="009F798E">
              <w:rPr>
                <w:rFonts w:eastAsia="Calibri" w:cs="Calibri"/>
                <w:sz w:val="20"/>
                <w:szCs w:val="20"/>
              </w:rPr>
              <w:t xml:space="preserve"> </w:t>
            </w:r>
          </w:p>
        </w:tc>
        <w:tc>
          <w:tcPr>
            <w:tcW w:w="1059" w:type="pct"/>
            <w:shd w:val="clear" w:color="auto" w:fill="auto"/>
          </w:tcPr>
          <w:p w14:paraId="5DCE707C" w14:textId="323F73F3" w:rsidR="001A7D53" w:rsidRPr="007F63EF" w:rsidRDefault="001A7D53">
            <w:pPr>
              <w:rPr>
                <w:color w:val="auto"/>
                <w:sz w:val="20"/>
                <w:szCs w:val="20"/>
              </w:rPr>
            </w:pPr>
            <w:r w:rsidRPr="009F798E">
              <w:rPr>
                <w:rFonts w:eastAsia="Calibri" w:cs="Calibri"/>
                <w:sz w:val="20"/>
                <w:szCs w:val="20"/>
              </w:rPr>
              <w:t>£560/m</w:t>
            </w:r>
            <w:r w:rsidR="003755B9" w:rsidRPr="009F798E">
              <w:rPr>
                <w:rFonts w:eastAsia="Calibri" w:cs="Calibri"/>
                <w:sz w:val="20"/>
                <w:szCs w:val="20"/>
              </w:rPr>
              <w:t>onth</w:t>
            </w:r>
          </w:p>
        </w:tc>
        <w:tc>
          <w:tcPr>
            <w:tcW w:w="1166" w:type="pct"/>
            <w:shd w:val="clear" w:color="auto" w:fill="auto"/>
          </w:tcPr>
          <w:p w14:paraId="53BE3703" w14:textId="77777777" w:rsidR="001A7D53" w:rsidRPr="007F63EF" w:rsidRDefault="001A7D53">
            <w:pPr>
              <w:rPr>
                <w:color w:val="auto"/>
                <w:sz w:val="20"/>
                <w:szCs w:val="20"/>
              </w:rPr>
            </w:pPr>
            <w:r w:rsidRPr="009F798E">
              <w:rPr>
                <w:sz w:val="20"/>
                <w:szCs w:val="20"/>
              </w:rPr>
              <w:t>+76%</w:t>
            </w:r>
          </w:p>
        </w:tc>
      </w:tr>
      <w:tr w:rsidR="009F798E" w:rsidRPr="009F798E" w14:paraId="12852E27" w14:textId="77777777" w:rsidTr="005A32AD">
        <w:tc>
          <w:tcPr>
            <w:tcW w:w="1608" w:type="pct"/>
            <w:shd w:val="clear" w:color="auto" w:fill="auto"/>
          </w:tcPr>
          <w:p w14:paraId="21D694E6" w14:textId="77777777" w:rsidR="001A7D53" w:rsidRPr="007F63EF" w:rsidRDefault="001A7D53">
            <w:pPr>
              <w:rPr>
                <w:color w:val="auto"/>
                <w:sz w:val="20"/>
                <w:szCs w:val="20"/>
              </w:rPr>
            </w:pPr>
            <w:r w:rsidRPr="009F798E">
              <w:rPr>
                <w:rFonts w:eastAsia="Calibri" w:cs="Calibri"/>
                <w:sz w:val="20"/>
                <w:szCs w:val="20"/>
              </w:rPr>
              <w:t>PHSG Administrative Support FF11</w:t>
            </w:r>
          </w:p>
        </w:tc>
        <w:tc>
          <w:tcPr>
            <w:tcW w:w="1166" w:type="pct"/>
            <w:shd w:val="clear" w:color="auto" w:fill="auto"/>
          </w:tcPr>
          <w:p w14:paraId="401B0F53" w14:textId="53717420" w:rsidR="001A7D53" w:rsidRPr="007F63EF" w:rsidRDefault="001A7D53">
            <w:pPr>
              <w:rPr>
                <w:color w:val="auto"/>
                <w:sz w:val="20"/>
                <w:szCs w:val="20"/>
              </w:rPr>
            </w:pPr>
            <w:r w:rsidRPr="009F798E">
              <w:rPr>
                <w:rFonts w:eastAsia="Calibri" w:cs="Calibri"/>
                <w:sz w:val="20"/>
                <w:szCs w:val="20"/>
              </w:rPr>
              <w:t>£850/m</w:t>
            </w:r>
            <w:r w:rsidR="003755B9" w:rsidRPr="009F798E">
              <w:rPr>
                <w:rFonts w:eastAsia="Calibri" w:cs="Calibri"/>
                <w:sz w:val="20"/>
                <w:szCs w:val="20"/>
              </w:rPr>
              <w:t>onth</w:t>
            </w:r>
            <w:r w:rsidRPr="009F798E">
              <w:rPr>
                <w:rFonts w:eastAsia="Calibri" w:cs="Calibri"/>
                <w:sz w:val="20"/>
                <w:szCs w:val="20"/>
              </w:rPr>
              <w:t xml:space="preserve"> </w:t>
            </w:r>
          </w:p>
        </w:tc>
        <w:tc>
          <w:tcPr>
            <w:tcW w:w="1059" w:type="pct"/>
            <w:shd w:val="clear" w:color="auto" w:fill="auto"/>
          </w:tcPr>
          <w:p w14:paraId="6927BFD6" w14:textId="13E445C9" w:rsidR="001A7D53" w:rsidRPr="007F63EF" w:rsidRDefault="001A7D53">
            <w:pPr>
              <w:rPr>
                <w:color w:val="auto"/>
                <w:sz w:val="20"/>
                <w:szCs w:val="20"/>
              </w:rPr>
            </w:pPr>
            <w:r w:rsidRPr="009F798E">
              <w:rPr>
                <w:rFonts w:eastAsia="Calibri" w:cs="Calibri"/>
                <w:sz w:val="20"/>
                <w:szCs w:val="20"/>
              </w:rPr>
              <w:t>£656/m</w:t>
            </w:r>
            <w:r w:rsidR="003755B9" w:rsidRPr="009F798E">
              <w:rPr>
                <w:rFonts w:eastAsia="Calibri" w:cs="Calibri"/>
                <w:sz w:val="20"/>
                <w:szCs w:val="20"/>
              </w:rPr>
              <w:t>onth</w:t>
            </w:r>
          </w:p>
        </w:tc>
        <w:tc>
          <w:tcPr>
            <w:tcW w:w="1166" w:type="pct"/>
            <w:shd w:val="clear" w:color="auto" w:fill="auto"/>
          </w:tcPr>
          <w:p w14:paraId="34F76908" w14:textId="77777777" w:rsidR="001A7D53" w:rsidRPr="007F63EF" w:rsidRDefault="001A7D53">
            <w:pPr>
              <w:rPr>
                <w:color w:val="auto"/>
                <w:sz w:val="20"/>
                <w:szCs w:val="20"/>
              </w:rPr>
            </w:pPr>
            <w:r w:rsidRPr="009F798E">
              <w:rPr>
                <w:sz w:val="20"/>
                <w:szCs w:val="20"/>
              </w:rPr>
              <w:t>+23%</w:t>
            </w:r>
          </w:p>
        </w:tc>
      </w:tr>
      <w:tr w:rsidR="009F798E" w:rsidRPr="009F798E" w14:paraId="0ED8BB53" w14:textId="77777777" w:rsidTr="005A32AD">
        <w:tc>
          <w:tcPr>
            <w:tcW w:w="1608" w:type="pct"/>
            <w:shd w:val="clear" w:color="auto" w:fill="auto"/>
          </w:tcPr>
          <w:p w14:paraId="1A484445" w14:textId="77777777" w:rsidR="001A7D53" w:rsidRPr="007F63EF" w:rsidRDefault="001A7D53">
            <w:pPr>
              <w:rPr>
                <w:color w:val="auto"/>
                <w:sz w:val="20"/>
                <w:szCs w:val="20"/>
              </w:rPr>
            </w:pPr>
            <w:r w:rsidRPr="009F798E">
              <w:rPr>
                <w:rFonts w:eastAsia="Calibri" w:cs="Calibri"/>
                <w:sz w:val="20"/>
                <w:szCs w:val="20"/>
              </w:rPr>
              <w:t>Laptop BDI FF11</w:t>
            </w:r>
          </w:p>
        </w:tc>
        <w:tc>
          <w:tcPr>
            <w:tcW w:w="1166" w:type="pct"/>
            <w:shd w:val="clear" w:color="auto" w:fill="auto"/>
          </w:tcPr>
          <w:p w14:paraId="616FC416" w14:textId="3B2977E6" w:rsidR="001A7D53" w:rsidRPr="007F63EF" w:rsidRDefault="001A7D53">
            <w:pPr>
              <w:rPr>
                <w:rFonts w:eastAsia="Calibri" w:cs="Calibri"/>
                <w:color w:val="auto"/>
                <w:sz w:val="20"/>
                <w:szCs w:val="20"/>
              </w:rPr>
            </w:pPr>
            <w:r w:rsidRPr="009F798E">
              <w:rPr>
                <w:rFonts w:eastAsia="Calibri" w:cs="Calibri"/>
                <w:sz w:val="20"/>
                <w:szCs w:val="20"/>
              </w:rPr>
              <w:t>£748 ea</w:t>
            </w:r>
            <w:r w:rsidR="00C212FF" w:rsidRPr="009F798E">
              <w:rPr>
                <w:rFonts w:eastAsia="Calibri" w:cs="Calibri"/>
                <w:sz w:val="20"/>
                <w:szCs w:val="20"/>
              </w:rPr>
              <w:t>ch</w:t>
            </w:r>
            <w:r w:rsidRPr="009F798E">
              <w:rPr>
                <w:rFonts w:eastAsia="Calibri" w:cs="Calibri"/>
                <w:sz w:val="20"/>
                <w:szCs w:val="20"/>
              </w:rPr>
              <w:t xml:space="preserve"> </w:t>
            </w:r>
          </w:p>
        </w:tc>
        <w:tc>
          <w:tcPr>
            <w:tcW w:w="1059" w:type="pct"/>
            <w:shd w:val="clear" w:color="auto" w:fill="auto"/>
          </w:tcPr>
          <w:p w14:paraId="17C2629A" w14:textId="5CA19A81" w:rsidR="001A7D53" w:rsidRPr="007F63EF" w:rsidRDefault="001A7D53">
            <w:pPr>
              <w:rPr>
                <w:rFonts w:eastAsia="Calibri" w:cs="Calibri"/>
                <w:color w:val="auto"/>
                <w:sz w:val="20"/>
                <w:szCs w:val="20"/>
              </w:rPr>
            </w:pPr>
            <w:r w:rsidRPr="009F798E">
              <w:rPr>
                <w:rFonts w:eastAsia="Calibri" w:cs="Calibri"/>
                <w:sz w:val="20"/>
                <w:szCs w:val="20"/>
              </w:rPr>
              <w:t>£646 ea</w:t>
            </w:r>
            <w:r w:rsidR="00C212FF" w:rsidRPr="009F798E">
              <w:rPr>
                <w:rFonts w:eastAsia="Calibri" w:cs="Calibri"/>
                <w:sz w:val="20"/>
                <w:szCs w:val="20"/>
              </w:rPr>
              <w:t>ch</w:t>
            </w:r>
          </w:p>
        </w:tc>
        <w:tc>
          <w:tcPr>
            <w:tcW w:w="1166" w:type="pct"/>
            <w:shd w:val="clear" w:color="auto" w:fill="auto"/>
          </w:tcPr>
          <w:p w14:paraId="174D62EC" w14:textId="77777777" w:rsidR="001A7D53" w:rsidRPr="007F63EF" w:rsidRDefault="001A7D53">
            <w:pPr>
              <w:rPr>
                <w:color w:val="auto"/>
                <w:sz w:val="20"/>
                <w:szCs w:val="20"/>
              </w:rPr>
            </w:pPr>
            <w:r w:rsidRPr="009F798E">
              <w:rPr>
                <w:sz w:val="20"/>
                <w:szCs w:val="20"/>
              </w:rPr>
              <w:t>+14%</w:t>
            </w:r>
          </w:p>
        </w:tc>
      </w:tr>
      <w:tr w:rsidR="009F798E" w:rsidRPr="009F798E" w14:paraId="1C444EE2" w14:textId="77777777" w:rsidTr="005A32AD">
        <w:tc>
          <w:tcPr>
            <w:tcW w:w="1608" w:type="pct"/>
            <w:shd w:val="clear" w:color="auto" w:fill="auto"/>
          </w:tcPr>
          <w:p w14:paraId="2B970C7C" w14:textId="77777777" w:rsidR="001A7D53" w:rsidRPr="007F63EF" w:rsidRDefault="001A7D53">
            <w:pPr>
              <w:rPr>
                <w:color w:val="auto"/>
                <w:sz w:val="20"/>
                <w:szCs w:val="20"/>
              </w:rPr>
            </w:pPr>
            <w:r w:rsidRPr="009F798E">
              <w:rPr>
                <w:rFonts w:eastAsia="Calibri" w:cs="Calibri"/>
                <w:sz w:val="20"/>
                <w:szCs w:val="20"/>
              </w:rPr>
              <w:t>IVI Office supplies FF11</w:t>
            </w:r>
          </w:p>
        </w:tc>
        <w:tc>
          <w:tcPr>
            <w:tcW w:w="1166" w:type="pct"/>
            <w:shd w:val="clear" w:color="auto" w:fill="auto"/>
          </w:tcPr>
          <w:p w14:paraId="5CC6C6C3" w14:textId="1BDE3F2B" w:rsidR="001A7D53" w:rsidRPr="007F63EF" w:rsidRDefault="001A7D53">
            <w:pPr>
              <w:rPr>
                <w:color w:val="auto"/>
                <w:sz w:val="20"/>
                <w:szCs w:val="20"/>
              </w:rPr>
            </w:pPr>
            <w:r w:rsidRPr="009F798E">
              <w:rPr>
                <w:rFonts w:eastAsia="Calibri" w:cs="Calibri"/>
                <w:sz w:val="20"/>
                <w:szCs w:val="20"/>
              </w:rPr>
              <w:t>£37/m</w:t>
            </w:r>
            <w:r w:rsidR="003755B9" w:rsidRPr="009F798E">
              <w:rPr>
                <w:rFonts w:eastAsia="Calibri" w:cs="Calibri"/>
                <w:sz w:val="20"/>
                <w:szCs w:val="20"/>
              </w:rPr>
              <w:t>onth</w:t>
            </w:r>
            <w:r w:rsidRPr="009F798E">
              <w:rPr>
                <w:rFonts w:eastAsia="Calibri" w:cs="Calibri"/>
                <w:sz w:val="20"/>
                <w:szCs w:val="20"/>
              </w:rPr>
              <w:t xml:space="preserve"> </w:t>
            </w:r>
          </w:p>
        </w:tc>
        <w:tc>
          <w:tcPr>
            <w:tcW w:w="1059" w:type="pct"/>
            <w:shd w:val="clear" w:color="auto" w:fill="auto"/>
          </w:tcPr>
          <w:p w14:paraId="50C41F40" w14:textId="66F1CFCB" w:rsidR="001A7D53" w:rsidRPr="007F63EF" w:rsidRDefault="001A7D53">
            <w:pPr>
              <w:rPr>
                <w:color w:val="auto"/>
                <w:sz w:val="20"/>
                <w:szCs w:val="20"/>
              </w:rPr>
            </w:pPr>
            <w:r w:rsidRPr="009F798E">
              <w:rPr>
                <w:rFonts w:eastAsia="Calibri" w:cs="Calibri"/>
                <w:sz w:val="20"/>
                <w:szCs w:val="20"/>
              </w:rPr>
              <w:t>£60/m</w:t>
            </w:r>
            <w:r w:rsidR="003755B9" w:rsidRPr="009F798E">
              <w:rPr>
                <w:rFonts w:eastAsia="Calibri" w:cs="Calibri"/>
                <w:sz w:val="20"/>
                <w:szCs w:val="20"/>
              </w:rPr>
              <w:t>onth</w:t>
            </w:r>
          </w:p>
        </w:tc>
        <w:tc>
          <w:tcPr>
            <w:tcW w:w="1166" w:type="pct"/>
            <w:shd w:val="clear" w:color="auto" w:fill="auto"/>
          </w:tcPr>
          <w:p w14:paraId="0EEFB01F" w14:textId="77777777" w:rsidR="001A7D53" w:rsidRPr="007F63EF" w:rsidRDefault="001A7D53">
            <w:pPr>
              <w:rPr>
                <w:color w:val="auto"/>
                <w:sz w:val="20"/>
                <w:szCs w:val="20"/>
              </w:rPr>
            </w:pPr>
            <w:r w:rsidRPr="009F798E">
              <w:rPr>
                <w:sz w:val="20"/>
                <w:szCs w:val="20"/>
              </w:rPr>
              <w:t>-62%</w:t>
            </w:r>
          </w:p>
        </w:tc>
      </w:tr>
    </w:tbl>
    <w:p w14:paraId="039301BB" w14:textId="77777777" w:rsidR="001A7D53" w:rsidRDefault="001A7D53" w:rsidP="001A7D53"/>
    <w:p w14:paraId="39B61D4E" w14:textId="1B84673C" w:rsidR="001A7D53" w:rsidRDefault="001A7D53" w:rsidP="0085545E">
      <w:pPr>
        <w:pStyle w:val="FFNormal"/>
      </w:pPr>
      <w:r>
        <w:t>Financial management processes have been used to control costs and allowable expenditure</w:t>
      </w:r>
      <w:r w:rsidR="001E1A3D">
        <w:t>s</w:t>
      </w:r>
      <w:r>
        <w:t>.</w:t>
      </w:r>
      <w:r w:rsidR="007458AC">
        <w:t xml:space="preserve"> </w:t>
      </w:r>
      <w:r w:rsidR="00240E27">
        <w:t xml:space="preserve">Examples </w:t>
      </w:r>
      <w:r>
        <w:t>of such financial processes include</w:t>
      </w:r>
      <w:r w:rsidR="009F798E">
        <w:t>d</w:t>
      </w:r>
      <w:r>
        <w:t xml:space="preserve"> </w:t>
      </w:r>
      <w:r w:rsidR="0073533D">
        <w:t xml:space="preserve">a </w:t>
      </w:r>
      <w:r>
        <w:t>review of quarterly work plan</w:t>
      </w:r>
      <w:r w:rsidR="00240E27">
        <w:t>s</w:t>
      </w:r>
      <w:r>
        <w:t xml:space="preserve"> and budget</w:t>
      </w:r>
      <w:r w:rsidR="00240E27">
        <w:t>s</w:t>
      </w:r>
      <w:r>
        <w:t xml:space="preserve"> with the MA to approve allowable expenses and </w:t>
      </w:r>
      <w:r w:rsidR="002760F6">
        <w:t xml:space="preserve">assess </w:t>
      </w:r>
      <w:r>
        <w:t xml:space="preserve">alignment with the overall </w:t>
      </w:r>
      <w:r w:rsidR="00FB10B9">
        <w:t>work plan</w:t>
      </w:r>
      <w:r>
        <w:t>. At the end of each quarter, expenditure review and variance analys</w:t>
      </w:r>
      <w:r w:rsidR="002760F6">
        <w:t>e</w:t>
      </w:r>
      <w:r>
        <w:t xml:space="preserve">s </w:t>
      </w:r>
      <w:r w:rsidR="009F798E">
        <w:t>wer</w:t>
      </w:r>
      <w:r>
        <w:t xml:space="preserve">e also conducted by the finance team for each </w:t>
      </w:r>
      <w:r w:rsidR="00BF101D">
        <w:t>CG</w:t>
      </w:r>
      <w:r>
        <w:t xml:space="preserve"> using already-developed templates.</w:t>
      </w:r>
      <w:r w:rsidR="007458AC">
        <w:t xml:space="preserve"> </w:t>
      </w:r>
      <w:r>
        <w:t>Some grantees reported templates as initially difficult to use but most grantees received training and support to use over the period of the grant. An exception to this was Laos where the CG was WHO and had different financial reporting systems and therefore did not provide quarterly reports using the MA’s financial reporting templates.</w:t>
      </w:r>
      <w:r w:rsidR="00C711F6">
        <w:t xml:space="preserve"> </w:t>
      </w:r>
      <w:r w:rsidR="003D6E68">
        <w:t xml:space="preserve">In general, it is harder for </w:t>
      </w:r>
      <w:r w:rsidR="002F5623">
        <w:t>United Nations (</w:t>
      </w:r>
      <w:r w:rsidR="003D6E68">
        <w:rPr>
          <w:rFonts w:eastAsia="Times New Roman"/>
        </w:rPr>
        <w:t>UN</w:t>
      </w:r>
      <w:r w:rsidR="002F5623">
        <w:rPr>
          <w:rFonts w:eastAsia="Times New Roman"/>
        </w:rPr>
        <w:t>)</w:t>
      </w:r>
      <w:r w:rsidR="003D6E68">
        <w:rPr>
          <w:rFonts w:eastAsia="Times New Roman"/>
        </w:rPr>
        <w:t xml:space="preserve"> agency grants to report in the templates due to the lower level of detail provided in their financial reporting. This means </w:t>
      </w:r>
      <w:r w:rsidR="003B3D42">
        <w:rPr>
          <w:rFonts w:eastAsia="Times New Roman"/>
        </w:rPr>
        <w:t>limited</w:t>
      </w:r>
      <w:r w:rsidR="003D6E68">
        <w:rPr>
          <w:rFonts w:eastAsia="Times New Roman"/>
        </w:rPr>
        <w:t xml:space="preserve"> grantee data on Sierra Leone HH (WHO), Sierra Leone AH (FAO), Senegal AH (FAO), Laos CG1 (</w:t>
      </w:r>
      <w:r w:rsidR="00BC3B3C" w:rsidRPr="00BC3B3C">
        <w:rPr>
          <w:rFonts w:eastAsia="Times New Roman"/>
        </w:rPr>
        <w:t xml:space="preserve">United Nations Office for Project Services </w:t>
      </w:r>
      <w:r w:rsidR="00BC3B3C">
        <w:rPr>
          <w:rFonts w:eastAsia="Times New Roman"/>
        </w:rPr>
        <w:t>(</w:t>
      </w:r>
      <w:r w:rsidR="003D6E68">
        <w:rPr>
          <w:rFonts w:eastAsia="Times New Roman"/>
        </w:rPr>
        <w:t>UNOPS</w:t>
      </w:r>
      <w:r w:rsidR="00BC3B3C">
        <w:rPr>
          <w:rFonts w:eastAsia="Times New Roman"/>
        </w:rPr>
        <w:t>)</w:t>
      </w:r>
      <w:r w:rsidR="003D6E68">
        <w:rPr>
          <w:rFonts w:eastAsia="Times New Roman"/>
        </w:rPr>
        <w:t>)</w:t>
      </w:r>
      <w:r w:rsidR="003B3D42">
        <w:rPr>
          <w:rFonts w:eastAsia="Times New Roman"/>
        </w:rPr>
        <w:t xml:space="preserve"> </w:t>
      </w:r>
      <w:r w:rsidR="009F798E">
        <w:rPr>
          <w:rFonts w:eastAsia="Times New Roman"/>
        </w:rPr>
        <w:t xml:space="preserve">was </w:t>
      </w:r>
      <w:r w:rsidR="003B3D42">
        <w:rPr>
          <w:rFonts w:eastAsia="Times New Roman"/>
        </w:rPr>
        <w:t xml:space="preserve">available for </w:t>
      </w:r>
      <w:r w:rsidR="00C11BAA">
        <w:rPr>
          <w:rFonts w:eastAsia="Times New Roman"/>
        </w:rPr>
        <w:t>VfM</w:t>
      </w:r>
      <w:r w:rsidR="003B3D42">
        <w:rPr>
          <w:rFonts w:eastAsia="Times New Roman"/>
        </w:rPr>
        <w:t xml:space="preserve"> analys</w:t>
      </w:r>
      <w:r w:rsidR="009069A5">
        <w:rPr>
          <w:rFonts w:eastAsia="Times New Roman"/>
        </w:rPr>
        <w:t>e</w:t>
      </w:r>
      <w:r w:rsidR="003B3D42">
        <w:rPr>
          <w:rFonts w:eastAsia="Times New Roman"/>
        </w:rPr>
        <w:t>s.</w:t>
      </w:r>
    </w:p>
    <w:p w14:paraId="1A8EFFEC" w14:textId="6DE52166" w:rsidR="001A7D53" w:rsidRDefault="001A7D53" w:rsidP="0085545E">
      <w:pPr>
        <w:pStyle w:val="FFNormal"/>
      </w:pPr>
      <w:r>
        <w:t xml:space="preserve">The quarterly monitoring led to well-managed grants where expenditure </w:t>
      </w:r>
      <w:r w:rsidR="009F798E">
        <w:t>was</w:t>
      </w:r>
      <w:r>
        <w:t xml:space="preserve"> aligned to the </w:t>
      </w:r>
      <w:r w:rsidR="00FB10B9">
        <w:t>work plan</w:t>
      </w:r>
      <w:r>
        <w:t xml:space="preserve">, which itself </w:t>
      </w:r>
      <w:r w:rsidR="009F798E">
        <w:t xml:space="preserve">was </w:t>
      </w:r>
      <w:r>
        <w:t xml:space="preserve">based on the country NAP. </w:t>
      </w:r>
      <w:r w:rsidR="009E2AC2">
        <w:t>Phase 2</w:t>
      </w:r>
      <w:r w:rsidR="00E8792A">
        <w:t xml:space="preserve"> </w:t>
      </w:r>
      <w:r>
        <w:t xml:space="preserve">plans to continue and strengthen reviews of allowable expenses. However, focusing the quarterly </w:t>
      </w:r>
      <w:r w:rsidR="00FB10B9">
        <w:t>work plan</w:t>
      </w:r>
      <w:r>
        <w:t xml:space="preserve"> and budget reviews reporting (both implementation and financial) at activity level mostly risks funds being spent on inputs and activities without linking these to the grant outputs and outcomes.</w:t>
      </w:r>
      <w:r w:rsidR="007458AC">
        <w:t xml:space="preserve"> </w:t>
      </w:r>
      <w:r>
        <w:t xml:space="preserve">Some grantees agree with </w:t>
      </w:r>
      <w:r w:rsidR="0027232E">
        <w:t xml:space="preserve">this </w:t>
      </w:r>
      <w:r>
        <w:t xml:space="preserve">level of control, others </w:t>
      </w:r>
      <w:r w:rsidR="00722598">
        <w:t xml:space="preserve">find </w:t>
      </w:r>
      <w:r>
        <w:t>it too restrictive.</w:t>
      </w:r>
      <w:r w:rsidR="007458AC">
        <w:t xml:space="preserve"> </w:t>
      </w:r>
      <w:r>
        <w:t xml:space="preserve">It also focuses the level of adaptive management at the </w:t>
      </w:r>
      <w:r w:rsidR="00FB10B9">
        <w:t>work plan</w:t>
      </w:r>
      <w:r>
        <w:t xml:space="preserve"> activity level to maintain budget absorption rates rather than adapting activities to course</w:t>
      </w:r>
      <w:r w:rsidR="00204E01">
        <w:t xml:space="preserve"> </w:t>
      </w:r>
      <w:r>
        <w:t>correct at the outcome level.</w:t>
      </w:r>
    </w:p>
    <w:p w14:paraId="7AFCB841" w14:textId="3A9A3FFE" w:rsidR="001A7D53" w:rsidRDefault="001A7D53" w:rsidP="0085545E">
      <w:pPr>
        <w:pStyle w:val="FFNormal"/>
      </w:pPr>
      <w:r>
        <w:t xml:space="preserve">Each </w:t>
      </w:r>
      <w:r w:rsidR="00BF101D">
        <w:t>CG</w:t>
      </w:r>
      <w:r>
        <w:t xml:space="preserve"> had a procurement budget for purchasing equipment and consumables for laboratories and </w:t>
      </w:r>
      <w:r w:rsidR="00290E4A">
        <w:t xml:space="preserve">laboratory </w:t>
      </w:r>
      <w:r>
        <w:t xml:space="preserve">renovations. There were </w:t>
      </w:r>
      <w:r w:rsidR="00E13CCB">
        <w:t>two</w:t>
      </w:r>
      <w:r>
        <w:t xml:space="preserve"> streams for procurement – central procurement by IPA as the international procurement across the </w:t>
      </w:r>
      <w:r w:rsidR="00CD3561">
        <w:t>CGs</w:t>
      </w:r>
      <w:r>
        <w:t xml:space="preserve"> and </w:t>
      </w:r>
      <w:r w:rsidR="00CD3561">
        <w:t>RGs</w:t>
      </w:r>
      <w:r>
        <w:t xml:space="preserve">, as well as local procurement led by the </w:t>
      </w:r>
      <w:r w:rsidR="005B5B44">
        <w:t>CG</w:t>
      </w:r>
      <w:r>
        <w:t xml:space="preserve">s in partnership with the government. For the local procurement, many countries set up processes such as prequalification of local vendors, and competitive bidding/tendering for the selection of best prices and quality. For central procurement, each </w:t>
      </w:r>
      <w:r w:rsidR="00BF101D">
        <w:t>CG</w:t>
      </w:r>
      <w:r>
        <w:t xml:space="preserve"> conducted site visits to identify</w:t>
      </w:r>
      <w:r w:rsidR="006961E2">
        <w:t xml:space="preserve"> the</w:t>
      </w:r>
      <w:r>
        <w:t xml:space="preserve"> required renovations and develop procurement catalogues detailed with the required specifications for each site. </w:t>
      </w:r>
    </w:p>
    <w:p w14:paraId="4C35864E" w14:textId="3643BD12" w:rsidR="001A7D53" w:rsidRDefault="001A7D53" w:rsidP="0085545E">
      <w:pPr>
        <w:pStyle w:val="FFNormal"/>
      </w:pPr>
      <w:r>
        <w:t xml:space="preserve">Due to the </w:t>
      </w:r>
      <w:r w:rsidR="0075181D">
        <w:t>COVID-</w:t>
      </w:r>
      <w:r>
        <w:t>19 pandemic</w:t>
      </w:r>
      <w:r w:rsidR="006961E2">
        <w:t>,</w:t>
      </w:r>
      <w:r>
        <w:t xml:space="preserve"> among other factors, site reports indicate</w:t>
      </w:r>
      <w:r w:rsidR="009F798E">
        <w:t>d</w:t>
      </w:r>
      <w:r>
        <w:t xml:space="preserve"> delays in procurement and installation of equipment across most sites.</w:t>
      </w:r>
      <w:r w:rsidR="007458AC">
        <w:t xml:space="preserve"> </w:t>
      </w:r>
      <w:r>
        <w:t xml:space="preserve">Trainings and capacity building sessions were also put on hold at first during the pandemic but later conducted virtually. This introduced some lag in implementation in many countries. Other </w:t>
      </w:r>
      <w:r w:rsidR="004E30B5">
        <w:t xml:space="preserve">than the </w:t>
      </w:r>
      <w:r>
        <w:t xml:space="preserve">delays (which have impacted </w:t>
      </w:r>
      <w:r w:rsidR="004E30B5">
        <w:t xml:space="preserve">the </w:t>
      </w:r>
      <w:r>
        <w:t xml:space="preserve">pace of programme implementation – see Efficiency or other sections in report) there is general satisfaction with procurement. However, there are cases of potentially unsuitable equipment and concerns about the quality </w:t>
      </w:r>
      <w:r w:rsidR="009F798E">
        <w:t xml:space="preserve">and </w:t>
      </w:r>
      <w:r>
        <w:t>suitability of supplied equipment.</w:t>
      </w:r>
      <w:r w:rsidR="007458AC">
        <w:t xml:space="preserve"> </w:t>
      </w:r>
      <w:r>
        <w:t>These have been raised in some sites, notably Kenya, Nepal and Uganda.</w:t>
      </w:r>
      <w:r w:rsidR="007458AC">
        <w:t xml:space="preserve"> </w:t>
      </w:r>
      <w:r w:rsidR="009F798E">
        <w:t>Concerns were also</w:t>
      </w:r>
      <w:r>
        <w:t xml:space="preserve"> raised in some sites on the availability of comprehensive insurance cover for maintenance and sustainability.</w:t>
      </w:r>
    </w:p>
    <w:p w14:paraId="3C6E3F5E" w14:textId="7CA8A475" w:rsidR="001A7D53" w:rsidRDefault="001A7D53" w:rsidP="0085545E">
      <w:pPr>
        <w:pStyle w:val="FFNormal"/>
      </w:pPr>
      <w:r>
        <w:t xml:space="preserve">Opportunities to benefit from economies of scale </w:t>
      </w:r>
      <w:r w:rsidR="00243195">
        <w:t xml:space="preserve">were </w:t>
      </w:r>
      <w:r>
        <w:t xml:space="preserve">not always taken, for example resulting in Fleming Fellows purchasing </w:t>
      </w:r>
      <w:r w:rsidR="00AB424E">
        <w:t xml:space="preserve">their </w:t>
      </w:r>
      <w:r>
        <w:t>own reagents rather than benefit</w:t>
      </w:r>
      <w:r w:rsidR="00623415">
        <w:t>t</w:t>
      </w:r>
      <w:r>
        <w:t xml:space="preserve">ing from access to supplies purchased through the </w:t>
      </w:r>
      <w:r w:rsidR="00BF101D">
        <w:t>CG</w:t>
      </w:r>
      <w:r>
        <w:t xml:space="preserve"> arrangements or other pooled procurement with lower negotiated prices.</w:t>
      </w:r>
      <w:r w:rsidR="007458AC">
        <w:t xml:space="preserve"> </w:t>
      </w:r>
      <w:r>
        <w:t xml:space="preserve">This is an opportunity for greater coordination and coherence being considered in </w:t>
      </w:r>
      <w:r w:rsidR="009E2AC2">
        <w:t>phase 2</w:t>
      </w:r>
      <w:r>
        <w:t>.</w:t>
      </w:r>
    </w:p>
    <w:p w14:paraId="4CD296B6" w14:textId="77777777" w:rsidR="001A7D53" w:rsidRPr="00355C7A" w:rsidRDefault="001A7D53" w:rsidP="008D5843">
      <w:pPr>
        <w:pStyle w:val="ItadH4"/>
      </w:pPr>
      <w:r w:rsidRPr="27A241B2">
        <w:t>Efficiency</w:t>
      </w:r>
    </w:p>
    <w:p w14:paraId="45EC9005" w14:textId="292C5EDA" w:rsidR="001A7D53" w:rsidRDefault="001A7D53" w:rsidP="0085545E">
      <w:pPr>
        <w:pStyle w:val="FFNormal"/>
        <w:rPr>
          <w:lang w:val="en-US"/>
        </w:rPr>
      </w:pPr>
      <w:r>
        <w:t>The MA put in place processes to support grantees</w:t>
      </w:r>
      <w:r w:rsidR="001731C6">
        <w:t xml:space="preserve"> to</w:t>
      </w:r>
      <w:r>
        <w:t xml:space="preserve"> deliver planned activities on time and within budget. </w:t>
      </w:r>
      <w:r w:rsidRPr="45CDE7E8">
        <w:rPr>
          <w:lang w:val="en-US"/>
        </w:rPr>
        <w:t xml:space="preserve">All </w:t>
      </w:r>
      <w:r w:rsidR="00CD3561" w:rsidRPr="45CDE7E8">
        <w:rPr>
          <w:lang w:val="en-US"/>
        </w:rPr>
        <w:t>CGs</w:t>
      </w:r>
      <w:r w:rsidRPr="45CDE7E8">
        <w:rPr>
          <w:lang w:val="en-US"/>
        </w:rPr>
        <w:t xml:space="preserve"> and </w:t>
      </w:r>
      <w:r w:rsidR="00CD3561" w:rsidRPr="45CDE7E8">
        <w:rPr>
          <w:lang w:val="en-US"/>
        </w:rPr>
        <w:t>RGs</w:t>
      </w:r>
      <w:r w:rsidRPr="45CDE7E8">
        <w:rPr>
          <w:lang w:val="en-US"/>
        </w:rPr>
        <w:t xml:space="preserve"> were set up with comprehensive </w:t>
      </w:r>
      <w:r w:rsidR="00FB10B9" w:rsidRPr="45CDE7E8">
        <w:rPr>
          <w:lang w:val="en-US"/>
        </w:rPr>
        <w:t>work plan</w:t>
      </w:r>
      <w:r w:rsidRPr="45CDE7E8">
        <w:rPr>
          <w:lang w:val="en-US"/>
        </w:rPr>
        <w:t>s, which themselves were based on RfPs. CGs reported rigorous activity tracking system</w:t>
      </w:r>
      <w:r w:rsidR="00BF4814" w:rsidRPr="45CDE7E8">
        <w:rPr>
          <w:lang w:val="en-US"/>
        </w:rPr>
        <w:t>s</w:t>
      </w:r>
      <w:r w:rsidRPr="45CDE7E8">
        <w:rPr>
          <w:lang w:val="en-US"/>
        </w:rPr>
        <w:t xml:space="preserve"> in place consisting of quarterly reports based on templates provided by the MA as well as quarterly review meetings with the global team, weekly or biweekly review meetings at RT level , and monthly at CG level .</w:t>
      </w:r>
    </w:p>
    <w:p w14:paraId="75E4FFEC" w14:textId="263F8B1E" w:rsidR="00FB57FB" w:rsidRPr="00ED0674" w:rsidRDefault="001A7D53" w:rsidP="0085545E">
      <w:pPr>
        <w:pStyle w:val="FFNormal"/>
      </w:pPr>
      <w:r w:rsidRPr="45CDE7E8">
        <w:rPr>
          <w:lang w:val="en-US"/>
        </w:rPr>
        <w:t xml:space="preserve">There was also evidence of flexibility in </w:t>
      </w:r>
      <w:r w:rsidR="00FB10B9" w:rsidRPr="45CDE7E8">
        <w:rPr>
          <w:lang w:val="en-US"/>
        </w:rPr>
        <w:t>work plan</w:t>
      </w:r>
      <w:r w:rsidRPr="45CDE7E8">
        <w:rPr>
          <w:lang w:val="en-US"/>
        </w:rPr>
        <w:t xml:space="preserve"> implementation where quarterly </w:t>
      </w:r>
      <w:r w:rsidR="00FB10B9" w:rsidRPr="45CDE7E8">
        <w:rPr>
          <w:lang w:val="en-US"/>
        </w:rPr>
        <w:t>work plan</w:t>
      </w:r>
      <w:r w:rsidRPr="45CDE7E8">
        <w:rPr>
          <w:lang w:val="en-US"/>
        </w:rPr>
        <w:t xml:space="preserve"> review with </w:t>
      </w:r>
      <w:r w:rsidR="005B6674" w:rsidRPr="45CDE7E8">
        <w:rPr>
          <w:lang w:val="en-US"/>
        </w:rPr>
        <w:t xml:space="preserve">the </w:t>
      </w:r>
      <w:r w:rsidRPr="45CDE7E8">
        <w:rPr>
          <w:lang w:val="en-US"/>
        </w:rPr>
        <w:t>RT led to fund reallocation and deprioriti</w:t>
      </w:r>
      <w:r w:rsidR="00AB424E" w:rsidRPr="45CDE7E8">
        <w:rPr>
          <w:lang w:val="en-US"/>
        </w:rPr>
        <w:t>s</w:t>
      </w:r>
      <w:r w:rsidRPr="45CDE7E8">
        <w:rPr>
          <w:lang w:val="en-US"/>
        </w:rPr>
        <w:t xml:space="preserve">ation of unnecessary activities. Where the initial RFP work plan did not fit with the needs and current situation in the country, </w:t>
      </w:r>
      <w:r w:rsidR="00FB10B9" w:rsidRPr="45CDE7E8">
        <w:rPr>
          <w:lang w:val="en-US"/>
        </w:rPr>
        <w:t>work plan</w:t>
      </w:r>
      <w:r w:rsidRPr="45CDE7E8">
        <w:rPr>
          <w:lang w:val="en-US"/>
        </w:rPr>
        <w:t xml:space="preserve">s and budgets were adapted during implementation. </w:t>
      </w:r>
      <w:r>
        <w:t xml:space="preserve">This often happened to ensure the </w:t>
      </w:r>
      <w:r w:rsidR="00FB10B9">
        <w:t>work plan</w:t>
      </w:r>
      <w:r>
        <w:t>s and budgets were well-suited to the current realities in the country, and to eliminate unnecessary</w:t>
      </w:r>
      <w:r w:rsidR="00FB57FB">
        <w:t xml:space="preserve"> a</w:t>
      </w:r>
      <w:r>
        <w:t xml:space="preserve">ctivities </w:t>
      </w:r>
      <w:r w:rsidRPr="45CDE7E8">
        <w:rPr>
          <w:lang w:val="en-US"/>
        </w:rPr>
        <w:t xml:space="preserve">. In addition, </w:t>
      </w:r>
      <w:r w:rsidR="00FB57FB">
        <w:t>between May</w:t>
      </w:r>
      <w:r w:rsidR="004B6BDB">
        <w:t xml:space="preserve"> 20</w:t>
      </w:r>
      <w:r w:rsidR="00FB57FB">
        <w:t>21 and Sep</w:t>
      </w:r>
      <w:r w:rsidR="004B6BDB">
        <w:t>tember 20</w:t>
      </w:r>
      <w:r w:rsidR="00FB57FB">
        <w:t xml:space="preserve">22, </w:t>
      </w:r>
      <w:r w:rsidR="00FB57FB" w:rsidRPr="45CDE7E8">
        <w:rPr>
          <w:lang w:val="en-US"/>
        </w:rPr>
        <w:t>45</w:t>
      </w:r>
      <w:r w:rsidRPr="45CDE7E8">
        <w:rPr>
          <w:lang w:val="en-US"/>
        </w:rPr>
        <w:t xml:space="preserve"> </w:t>
      </w:r>
      <w:r w:rsidR="00CD3561" w:rsidRPr="45CDE7E8">
        <w:rPr>
          <w:lang w:val="en-US"/>
        </w:rPr>
        <w:t>CGs</w:t>
      </w:r>
      <w:r w:rsidRPr="45CDE7E8">
        <w:rPr>
          <w:lang w:val="en-US"/>
        </w:rPr>
        <w:t xml:space="preserve"> and </w:t>
      </w:r>
      <w:r w:rsidR="00CD3561" w:rsidRPr="45CDE7E8">
        <w:rPr>
          <w:lang w:val="en-US"/>
        </w:rPr>
        <w:t>RGs</w:t>
      </w:r>
      <w:r w:rsidRPr="45CDE7E8">
        <w:rPr>
          <w:lang w:val="en-US"/>
        </w:rPr>
        <w:t xml:space="preserve"> </w:t>
      </w:r>
      <w:r w:rsidR="00FB57FB" w:rsidRPr="45CDE7E8">
        <w:rPr>
          <w:lang w:val="en-US"/>
        </w:rPr>
        <w:t>were extended.</w:t>
      </w:r>
      <w:r w:rsidR="007458AC" w:rsidRPr="45CDE7E8">
        <w:rPr>
          <w:lang w:val="en-US"/>
        </w:rPr>
        <w:t xml:space="preserve"> </w:t>
      </w:r>
      <w:r w:rsidR="00FB57FB" w:rsidRPr="45CDE7E8">
        <w:rPr>
          <w:lang w:val="en-US"/>
        </w:rPr>
        <w:t>Most of these (39) were no-cost extensions, demonstrating how unutili</w:t>
      </w:r>
      <w:r w:rsidR="00AB424E" w:rsidRPr="45CDE7E8">
        <w:rPr>
          <w:lang w:val="en-US"/>
        </w:rPr>
        <w:t>s</w:t>
      </w:r>
      <w:r w:rsidR="00FB57FB" w:rsidRPr="45CDE7E8">
        <w:rPr>
          <w:lang w:val="en-US"/>
        </w:rPr>
        <w:t>ed budgets were reprogrammed and delays in implementing activities were addressed.</w:t>
      </w:r>
    </w:p>
    <w:p w14:paraId="70DC8392" w14:textId="7B61F01E" w:rsidR="001A7D53" w:rsidRDefault="001A7D53" w:rsidP="0085545E">
      <w:pPr>
        <w:pStyle w:val="FFNormal"/>
        <w:rPr>
          <w:lang w:val="en-US"/>
        </w:rPr>
      </w:pPr>
      <w:r w:rsidRPr="648374B5">
        <w:rPr>
          <w:lang w:val="en-US"/>
        </w:rPr>
        <w:t>Cost-savings were identified and reallocated to other activities during implementation. This happened on a quarterly basis for many CGs, and in the cases of some RGs, as part of</w:t>
      </w:r>
      <w:r w:rsidR="00CB6C3C">
        <w:rPr>
          <w:lang w:val="en-US"/>
        </w:rPr>
        <w:t xml:space="preserve"> the</w:t>
      </w:r>
      <w:r w:rsidRPr="648374B5">
        <w:rPr>
          <w:lang w:val="en-US"/>
        </w:rPr>
        <w:t xml:space="preserve"> implementation of recommendations from the </w:t>
      </w:r>
      <w:r w:rsidR="0044432D">
        <w:rPr>
          <w:lang w:val="en-US"/>
        </w:rPr>
        <w:t>VfM</w:t>
      </w:r>
      <w:r w:rsidRPr="648374B5">
        <w:rPr>
          <w:lang w:val="en-US"/>
        </w:rPr>
        <w:t xml:space="preserve"> review.</w:t>
      </w:r>
      <w:r w:rsidR="007458AC">
        <w:rPr>
          <w:lang w:val="en-US"/>
        </w:rPr>
        <w:t xml:space="preserve"> </w:t>
      </w:r>
      <w:r w:rsidRPr="648374B5">
        <w:rPr>
          <w:lang w:val="en-US"/>
        </w:rPr>
        <w:t>A strict caveat was noted for the quarterly reallocation and use of cost-savings – operational costs could not be reallocated to management costs.</w:t>
      </w:r>
    </w:p>
    <w:p w14:paraId="56B073AB" w14:textId="77459938" w:rsidR="001A7D53" w:rsidRDefault="001A7D53" w:rsidP="0085545E">
      <w:pPr>
        <w:pStyle w:val="FFNormal"/>
      </w:pPr>
      <w:r w:rsidRPr="71AD1D3B">
        <w:rPr>
          <w:lang w:val="en-US"/>
        </w:rPr>
        <w:t xml:space="preserve">Delays occurred at various points during the grant lifecycle but there were notable delays that seemed common to most grantees – first, many CGs reported delays in </w:t>
      </w:r>
      <w:r w:rsidR="00272177">
        <w:rPr>
          <w:lang w:val="en-US"/>
        </w:rPr>
        <w:t xml:space="preserve">the </w:t>
      </w:r>
      <w:r w:rsidRPr="71AD1D3B">
        <w:rPr>
          <w:lang w:val="en-US"/>
        </w:rPr>
        <w:t xml:space="preserve">commencement of grant implementation. This was often due to lengthy grant kick-off processes. Secondly, there were also delays during implementation specifically for laboratory-dependent activities where </w:t>
      </w:r>
      <w:r w:rsidR="0075181D">
        <w:rPr>
          <w:lang w:val="en-US"/>
        </w:rPr>
        <w:t>COVID-</w:t>
      </w:r>
      <w:r w:rsidRPr="71AD1D3B">
        <w:rPr>
          <w:lang w:val="en-US"/>
        </w:rPr>
        <w:t xml:space="preserve">19 slowed down </w:t>
      </w:r>
      <w:r w:rsidR="00DA1D75">
        <w:rPr>
          <w:lang w:val="en-US"/>
        </w:rPr>
        <w:t xml:space="preserve">the </w:t>
      </w:r>
      <w:r w:rsidRPr="71AD1D3B">
        <w:rPr>
          <w:lang w:val="en-US"/>
        </w:rPr>
        <w:t>procurement of necessary equipment. In addition to the pandemic, slow buy-in from government stakeholders also delayed kick-off activities.</w:t>
      </w:r>
    </w:p>
    <w:p w14:paraId="4A525C3C" w14:textId="2FF6507E" w:rsidR="001A7D53" w:rsidRPr="001B03C0" w:rsidRDefault="001A7D53" w:rsidP="0085545E">
      <w:pPr>
        <w:pStyle w:val="FFNormal"/>
        <w:rPr>
          <w:highlight w:val="yellow"/>
        </w:rPr>
      </w:pPr>
      <w:r>
        <w:t xml:space="preserve">Monitoring and tracking of output level results </w:t>
      </w:r>
      <w:r w:rsidR="00243195">
        <w:t xml:space="preserve">took </w:t>
      </w:r>
      <w:r>
        <w:t>place during the annual review process</w:t>
      </w:r>
      <w:r w:rsidR="00DF5EA2">
        <w:t xml:space="preserve">, although this </w:t>
      </w:r>
      <w:r w:rsidR="00243195">
        <w:t xml:space="preserve">was </w:t>
      </w:r>
      <w:r w:rsidR="00DF5EA2">
        <w:t>largely a qualitative exercise</w:t>
      </w:r>
      <w:r>
        <w:t xml:space="preserve">. In addition, due in part to the delays in implementation and also due to resource constraints, </w:t>
      </w:r>
      <w:r w:rsidR="00F95821">
        <w:t>annual reviews</w:t>
      </w:r>
      <w:r>
        <w:t xml:space="preserve"> </w:t>
      </w:r>
      <w:r w:rsidR="00243195">
        <w:t xml:space="preserve">were </w:t>
      </w:r>
      <w:r>
        <w:t xml:space="preserve">usually conducted </w:t>
      </w:r>
      <w:r w:rsidR="00DF5EA2">
        <w:t>only</w:t>
      </w:r>
      <w:r>
        <w:t xml:space="preserve"> once during grant implementation. </w:t>
      </w:r>
    </w:p>
    <w:p w14:paraId="54A93FF7" w14:textId="5C01E1CB" w:rsidR="001A7D53" w:rsidRDefault="001A7D53" w:rsidP="0085545E">
      <w:pPr>
        <w:pStyle w:val="FFNormal"/>
      </w:pPr>
      <w:r>
        <w:t>Risk management processes are in place.</w:t>
      </w:r>
      <w:r w:rsidR="007458AC">
        <w:t xml:space="preserve"> </w:t>
      </w:r>
      <w:r>
        <w:t xml:space="preserve">A risk matrix </w:t>
      </w:r>
      <w:r w:rsidR="00763D99">
        <w:t xml:space="preserve">was </w:t>
      </w:r>
      <w:r>
        <w:t xml:space="preserve">updated on a quarterly basis and RTs worked with CGs to review and mitigate the risks each quarter. Some of the risks identified on a quarterly basis included issues around buy-in from government stakeholders and bureaucracy, as well as challenges with </w:t>
      </w:r>
      <w:r w:rsidR="0022546F">
        <w:t xml:space="preserve">the </w:t>
      </w:r>
      <w:r>
        <w:t>poor capacity of staff at the laboratories. Many of these</w:t>
      </w:r>
      <w:r w:rsidR="00763D99">
        <w:t xml:space="preserve"> risks</w:t>
      </w:r>
      <w:r>
        <w:t xml:space="preserve"> were managed via multiple advocacy activities and training events. Whilst most grants seem to be managed well in terms of risk, it was notable that some grant risk registers did not identify and track key risks such as</w:t>
      </w:r>
      <w:r w:rsidR="00C2556E">
        <w:t xml:space="preserve"> the</w:t>
      </w:r>
      <w:r>
        <w:t xml:space="preserve"> procurement (of </w:t>
      </w:r>
      <w:r w:rsidR="00290E4A">
        <w:t xml:space="preserve">laboratory </w:t>
      </w:r>
      <w:r>
        <w:t xml:space="preserve">equipment and consumables) delays which </w:t>
      </w:r>
      <w:r w:rsidR="0031105E">
        <w:t>were</w:t>
      </w:r>
      <w:r>
        <w:t xml:space="preserve"> a significant factor in implementation delays and slowed progress towards achieving improved quantitative and qualitative AMR data.</w:t>
      </w:r>
    </w:p>
    <w:p w14:paraId="7C07BC38" w14:textId="3ED423E3" w:rsidR="001A7D53" w:rsidRDefault="003C76C5" w:rsidP="0085545E">
      <w:pPr>
        <w:pStyle w:val="FFNormal"/>
      </w:pPr>
      <w:r>
        <w:t>A k</w:t>
      </w:r>
      <w:r w:rsidR="001A7D53">
        <w:t xml:space="preserve">ey driver of </w:t>
      </w:r>
      <w:r w:rsidR="0044432D">
        <w:t>VfM</w:t>
      </w:r>
      <w:r w:rsidR="001A7D53">
        <w:t xml:space="preserve"> was the </w:t>
      </w:r>
      <w:r w:rsidR="005F5871">
        <w:t>grantees’</w:t>
      </w:r>
      <w:r w:rsidR="001A7D53">
        <w:t xml:space="preserve"> or </w:t>
      </w:r>
      <w:r w:rsidR="008357CD">
        <w:t>H</w:t>
      </w:r>
      <w:r w:rsidR="00AB0CB8">
        <w:t>I</w:t>
      </w:r>
      <w:r w:rsidR="008357CD">
        <w:t>s</w:t>
      </w:r>
      <w:r w:rsidR="00AB0CB8">
        <w:t>’</w:t>
      </w:r>
      <w:r w:rsidR="001A7D53">
        <w:t xml:space="preserve"> existing processes and policies.</w:t>
      </w:r>
      <w:r w:rsidR="007458AC">
        <w:t xml:space="preserve"> </w:t>
      </w:r>
      <w:r w:rsidR="001A7D53">
        <w:t xml:space="preserve">For example, we saw examples of stronger efficiency where grantees had less bureaucratic processes, stronger relationships with the government and non-government stakeholders as well as stronger institutional AMR technical capacity. For economy however, </w:t>
      </w:r>
      <w:r w:rsidR="005B5B44">
        <w:t>CG</w:t>
      </w:r>
      <w:r w:rsidR="001A7D53">
        <w:t>s with already existing progra</w:t>
      </w:r>
      <w:r w:rsidR="00E227DA">
        <w:t>m</w:t>
      </w:r>
      <w:r w:rsidR="001A7D53">
        <w:t>m</w:t>
      </w:r>
      <w:r w:rsidR="00E227DA">
        <w:t>e</w:t>
      </w:r>
      <w:r w:rsidR="001A7D53">
        <w:t xml:space="preserve">s and alliances such as WHO could achieve greater leverage of already existing resources. This was similar for Bhutan where the grantee was the </w:t>
      </w:r>
      <w:r w:rsidR="00206098" w:rsidRPr="00206098">
        <w:t>Royal Government of Bhutan</w:t>
      </w:r>
      <w:r w:rsidR="001A7D53">
        <w:t xml:space="preserve"> and this led to use of government resources during implementation. A balance was recommended during annual reviews where more technical (and nimble) partners were included to support </w:t>
      </w:r>
      <w:r w:rsidR="001041BA">
        <w:t xml:space="preserve">the </w:t>
      </w:r>
      <w:r w:rsidR="001A7D53">
        <w:t xml:space="preserve">implementation of the grants. For </w:t>
      </w:r>
      <w:r w:rsidR="004E72EC">
        <w:t>HIs</w:t>
      </w:r>
      <w:r w:rsidR="001A7D53">
        <w:t>, the cost of mentors depended on the costing regime</w:t>
      </w:r>
      <w:r w:rsidR="005C4E58">
        <w:t xml:space="preserve"> or the </w:t>
      </w:r>
      <w:r w:rsidR="001A7D53">
        <w:t>established rates of the institution e.g. whether a mentor was paid a stipend or as an independent consultant.</w:t>
      </w:r>
    </w:p>
    <w:p w14:paraId="4FCCBA36" w14:textId="67CC6DD9" w:rsidR="001A7D53" w:rsidRPr="00960BCB" w:rsidRDefault="0063050A" w:rsidP="0085545E">
      <w:pPr>
        <w:pStyle w:val="FFNormal"/>
      </w:pPr>
      <w:r w:rsidRPr="00960BCB">
        <w:t xml:space="preserve">It is not clear (November 2022) to </w:t>
      </w:r>
      <w:r w:rsidR="001A7D53" w:rsidRPr="00960BCB">
        <w:t xml:space="preserve">what extent these issues </w:t>
      </w:r>
      <w:r w:rsidRPr="00960BCB">
        <w:t xml:space="preserve">are </w:t>
      </w:r>
      <w:r w:rsidR="001A7D53" w:rsidRPr="00960BCB">
        <w:t xml:space="preserve">addressed by </w:t>
      </w:r>
      <w:r w:rsidRPr="00960BCB">
        <w:t xml:space="preserve">the </w:t>
      </w:r>
      <w:r w:rsidR="001A7D53" w:rsidRPr="00960BCB">
        <w:t xml:space="preserve">MA </w:t>
      </w:r>
      <w:r w:rsidR="00206098">
        <w:t>for</w:t>
      </w:r>
      <w:r w:rsidR="001A7D53" w:rsidRPr="00960BCB">
        <w:t xml:space="preserve"> </w:t>
      </w:r>
      <w:r w:rsidR="009E2AC2">
        <w:t>phase 2</w:t>
      </w:r>
      <w:r w:rsidR="00406049" w:rsidRPr="00960BCB">
        <w:t xml:space="preserve"> as we have not </w:t>
      </w:r>
      <w:r w:rsidR="00960BCB" w:rsidRPr="00960BCB">
        <w:t xml:space="preserve">yet </w:t>
      </w:r>
      <w:r w:rsidR="00406049" w:rsidRPr="00960BCB">
        <w:t>seen the implementation plan</w:t>
      </w:r>
      <w:r w:rsidR="00960BCB" w:rsidRPr="00960BCB">
        <w:t xml:space="preserve"> for </w:t>
      </w:r>
      <w:r w:rsidR="009E2AC2">
        <w:t>phase 2</w:t>
      </w:r>
      <w:r w:rsidR="00960BCB" w:rsidRPr="00960BCB">
        <w:t>.</w:t>
      </w:r>
    </w:p>
    <w:p w14:paraId="7C108BD8" w14:textId="77777777" w:rsidR="001A7D53" w:rsidRPr="00E007A1" w:rsidRDefault="001A7D53" w:rsidP="008D5843">
      <w:pPr>
        <w:pStyle w:val="ItadH3"/>
        <w:rPr>
          <w:lang w:val="en-GB"/>
        </w:rPr>
      </w:pPr>
      <w:bookmarkStart w:id="123" w:name="_Toc118968522"/>
      <w:bookmarkStart w:id="124" w:name="_Toc142383162"/>
      <w:r w:rsidRPr="00E007A1">
        <w:rPr>
          <w:lang w:val="en-GB"/>
        </w:rPr>
        <w:t>VfM Measures</w:t>
      </w:r>
      <w:bookmarkEnd w:id="123"/>
      <w:bookmarkEnd w:id="124"/>
      <w:r w:rsidRPr="00E007A1">
        <w:rPr>
          <w:lang w:val="en-GB"/>
        </w:rPr>
        <w:t xml:space="preserve"> </w:t>
      </w:r>
    </w:p>
    <w:p w14:paraId="21D1E2B2" w14:textId="77777777" w:rsidR="001A7D53" w:rsidRDefault="001A7D53" w:rsidP="008D5843">
      <w:pPr>
        <w:pStyle w:val="ItadH4"/>
      </w:pPr>
      <w:r>
        <w:t>Economy</w:t>
      </w:r>
    </w:p>
    <w:p w14:paraId="38632CA7" w14:textId="4ADF83DC" w:rsidR="001A1A5F" w:rsidRDefault="00BF101D" w:rsidP="00632712">
      <w:pPr>
        <w:jc w:val="both"/>
      </w:pPr>
      <w:r>
        <w:t>CGs</w:t>
      </w:r>
      <w:r w:rsidR="001A7D53">
        <w:t xml:space="preserve"> have demonstrated good </w:t>
      </w:r>
      <w:r w:rsidR="00256C1E">
        <w:t>VfM</w:t>
      </w:r>
      <w:r w:rsidR="001A7D53">
        <w:t xml:space="preserve"> in terms of economy. This is based on the assessment of two VfM measures: (1) Cost-savings achieved and (2) Selected tracked unit cost of inputs (actual vs. budget).</w:t>
      </w:r>
      <w:r w:rsidR="007458AC">
        <w:t xml:space="preserve"> </w:t>
      </w:r>
      <w:r w:rsidR="001A7D53">
        <w:t xml:space="preserve">These measures are sourced from the </w:t>
      </w:r>
      <w:r w:rsidR="0044432D">
        <w:t>VfM</w:t>
      </w:r>
      <w:r w:rsidR="001A7D53">
        <w:t xml:space="preserve"> Grant reviews, apart from Senegal and Sierra Leone where </w:t>
      </w:r>
      <w:r w:rsidR="0044432D">
        <w:t>VfM</w:t>
      </w:r>
      <w:r w:rsidR="001A7D53">
        <w:t xml:space="preserve"> savings are sourced from quarterly reports and there is no evidence (NE) of routinely tracked unit costs.</w:t>
      </w:r>
    </w:p>
    <w:p w14:paraId="4F81DBB2" w14:textId="77777777" w:rsidR="00855D83" w:rsidRDefault="00855D83" w:rsidP="00632712">
      <w:pPr>
        <w:jc w:val="both"/>
      </w:pPr>
    </w:p>
    <w:p w14:paraId="587BADCD" w14:textId="138612D1" w:rsidR="001A1A5F" w:rsidRDefault="001A1A5F" w:rsidP="00C04C3C">
      <w:pPr>
        <w:pStyle w:val="ItadCaption"/>
      </w:pPr>
      <w:bookmarkStart w:id="125" w:name="_Ref118966718"/>
      <w:bookmarkStart w:id="126" w:name="_Ref120648386"/>
      <w:bookmarkStart w:id="127" w:name="_Toc143857883"/>
      <w:r>
        <w:t xml:space="preserve">Table </w:t>
      </w:r>
      <w:r>
        <w:fldChar w:fldCharType="begin"/>
      </w:r>
      <w:r>
        <w:instrText>SEQ Table \* ARABIC</w:instrText>
      </w:r>
      <w:r>
        <w:fldChar w:fldCharType="separate"/>
      </w:r>
      <w:r w:rsidR="009A383C">
        <w:rPr>
          <w:noProof/>
        </w:rPr>
        <w:t>15</w:t>
      </w:r>
      <w:r>
        <w:fldChar w:fldCharType="end"/>
      </w:r>
      <w:bookmarkEnd w:id="125"/>
      <w:r w:rsidR="00EC2B6F">
        <w:t xml:space="preserve"> </w:t>
      </w:r>
      <w:r w:rsidR="0044432D">
        <w:t>VfM</w:t>
      </w:r>
      <w:r>
        <w:t xml:space="preserve"> Measures of Economy achieved across country grants</w:t>
      </w:r>
      <w:bookmarkEnd w:id="126"/>
      <w:bookmarkEnd w:id="127"/>
    </w:p>
    <w:tbl>
      <w:tblPr>
        <w:tblStyle w:val="ItadGreenHeaderRow"/>
        <w:tblW w:w="5000" w:type="pct"/>
        <w:tblInd w:w="0" w:type="dxa"/>
        <w:tblLook w:val="04A0" w:firstRow="1" w:lastRow="0" w:firstColumn="1" w:lastColumn="0" w:noHBand="0" w:noVBand="1"/>
      </w:tblPr>
      <w:tblGrid>
        <w:gridCol w:w="1292"/>
        <w:gridCol w:w="522"/>
        <w:gridCol w:w="521"/>
        <w:gridCol w:w="521"/>
        <w:gridCol w:w="521"/>
        <w:gridCol w:w="521"/>
        <w:gridCol w:w="521"/>
        <w:gridCol w:w="521"/>
        <w:gridCol w:w="521"/>
        <w:gridCol w:w="521"/>
        <w:gridCol w:w="521"/>
        <w:gridCol w:w="521"/>
        <w:gridCol w:w="521"/>
        <w:gridCol w:w="494"/>
        <w:gridCol w:w="494"/>
        <w:gridCol w:w="483"/>
      </w:tblGrid>
      <w:tr w:rsidR="00264CBC" w:rsidRPr="0031105E" w14:paraId="27F6E641" w14:textId="77777777" w:rsidTr="00855D83">
        <w:trPr>
          <w:cnfStyle w:val="100000000000" w:firstRow="1" w:lastRow="0" w:firstColumn="0" w:lastColumn="0" w:oddVBand="0" w:evenVBand="0" w:oddHBand="0" w:evenHBand="0" w:firstRowFirstColumn="0" w:firstRowLastColumn="0" w:lastRowFirstColumn="0" w:lastRowLastColumn="0"/>
          <w:trHeight w:val="690"/>
        </w:trPr>
        <w:tc>
          <w:tcPr>
            <w:tcW w:w="716" w:type="pct"/>
            <w:hideMark/>
          </w:tcPr>
          <w:p w14:paraId="4EA2A328" w14:textId="67D8C43A" w:rsidR="00ED0674" w:rsidRPr="007F63EF" w:rsidRDefault="0044432D">
            <w:pPr>
              <w:rPr>
                <w:rFonts w:eastAsia="Times New Roman" w:cs="Calibri"/>
                <w:color w:val="auto"/>
                <w:sz w:val="20"/>
                <w:szCs w:val="20"/>
                <w:lang w:eastAsia="en-GB"/>
              </w:rPr>
            </w:pPr>
            <w:r w:rsidRPr="007F63EF">
              <w:rPr>
                <w:rFonts w:eastAsia="Times New Roman" w:cs="Calibri"/>
                <w:color w:val="auto"/>
                <w:sz w:val="20"/>
                <w:szCs w:val="20"/>
                <w:lang w:eastAsia="en-GB"/>
              </w:rPr>
              <w:t>VfM</w:t>
            </w:r>
            <w:r w:rsidR="00ED0674" w:rsidRPr="007F63EF">
              <w:rPr>
                <w:rFonts w:eastAsia="Times New Roman" w:cs="Calibri"/>
                <w:color w:val="auto"/>
                <w:sz w:val="20"/>
                <w:szCs w:val="20"/>
                <w:lang w:eastAsia="en-GB"/>
              </w:rPr>
              <w:t xml:space="preserve"> Savings</w:t>
            </w:r>
          </w:p>
        </w:tc>
        <w:tc>
          <w:tcPr>
            <w:tcW w:w="289" w:type="pct"/>
            <w:shd w:val="clear" w:color="auto" w:fill="FFC000"/>
            <w:noWrap/>
            <w:textDirection w:val="btLr"/>
            <w:hideMark/>
          </w:tcPr>
          <w:p w14:paraId="505A02A2" w14:textId="77777777" w:rsidR="00ED0674" w:rsidRPr="007F63EF" w:rsidRDefault="00ED0674">
            <w:pPr>
              <w:rPr>
                <w:rFonts w:eastAsia="Times New Roman" w:cs="Calibri"/>
                <w:color w:val="auto"/>
                <w:sz w:val="18"/>
                <w:szCs w:val="18"/>
                <w:lang w:eastAsia="en-GB"/>
              </w:rPr>
            </w:pPr>
            <w:r w:rsidRPr="007F63EF">
              <w:rPr>
                <w:rFonts w:eastAsia="Times New Roman" w:cs="Calibri"/>
                <w:color w:val="auto"/>
                <w:sz w:val="18"/>
                <w:szCs w:val="18"/>
                <w:lang w:eastAsia="en-GB"/>
              </w:rPr>
              <w:t> </w:t>
            </w:r>
          </w:p>
        </w:tc>
        <w:tc>
          <w:tcPr>
            <w:tcW w:w="289" w:type="pct"/>
            <w:shd w:val="clear" w:color="auto" w:fill="FFC000"/>
            <w:noWrap/>
            <w:textDirection w:val="btLr"/>
            <w:hideMark/>
          </w:tcPr>
          <w:p w14:paraId="2823D72C" w14:textId="77777777" w:rsidR="00ED0674" w:rsidRPr="007F63EF" w:rsidRDefault="00ED0674">
            <w:pPr>
              <w:rPr>
                <w:rFonts w:eastAsia="Times New Roman" w:cs="Calibri"/>
                <w:color w:val="auto"/>
                <w:sz w:val="18"/>
                <w:szCs w:val="18"/>
                <w:lang w:eastAsia="en-GB"/>
              </w:rPr>
            </w:pPr>
            <w:r w:rsidRPr="007F63EF">
              <w:rPr>
                <w:rFonts w:eastAsia="Times New Roman" w:cs="Calibri"/>
                <w:color w:val="auto"/>
                <w:sz w:val="18"/>
                <w:szCs w:val="18"/>
                <w:lang w:eastAsia="en-GB"/>
              </w:rPr>
              <w:t> </w:t>
            </w:r>
          </w:p>
        </w:tc>
        <w:tc>
          <w:tcPr>
            <w:tcW w:w="289" w:type="pct"/>
            <w:shd w:val="clear" w:color="auto" w:fill="FFC000"/>
            <w:noWrap/>
            <w:textDirection w:val="btLr"/>
            <w:hideMark/>
          </w:tcPr>
          <w:p w14:paraId="0202700E" w14:textId="77777777" w:rsidR="00ED0674" w:rsidRPr="007F63EF" w:rsidRDefault="00ED0674">
            <w:pPr>
              <w:rPr>
                <w:rFonts w:eastAsia="Times New Roman" w:cs="Calibri"/>
                <w:color w:val="auto"/>
                <w:sz w:val="18"/>
                <w:szCs w:val="18"/>
                <w:lang w:eastAsia="en-GB"/>
              </w:rPr>
            </w:pPr>
            <w:r w:rsidRPr="007F63EF">
              <w:rPr>
                <w:rFonts w:eastAsia="Times New Roman" w:cs="Calibri"/>
                <w:color w:val="auto"/>
                <w:sz w:val="18"/>
                <w:szCs w:val="18"/>
                <w:lang w:eastAsia="en-GB"/>
              </w:rPr>
              <w:t> </w:t>
            </w:r>
          </w:p>
        </w:tc>
        <w:tc>
          <w:tcPr>
            <w:tcW w:w="289" w:type="pct"/>
            <w:shd w:val="clear" w:color="auto" w:fill="FFC000"/>
            <w:noWrap/>
            <w:textDirection w:val="btLr"/>
            <w:hideMark/>
          </w:tcPr>
          <w:p w14:paraId="32917DFD" w14:textId="77777777" w:rsidR="00ED0674" w:rsidRPr="007F63EF" w:rsidRDefault="00ED0674">
            <w:pPr>
              <w:rPr>
                <w:rFonts w:eastAsia="Times New Roman" w:cs="Calibri"/>
                <w:color w:val="auto"/>
                <w:sz w:val="18"/>
                <w:szCs w:val="18"/>
                <w:lang w:eastAsia="en-GB"/>
              </w:rPr>
            </w:pPr>
            <w:r w:rsidRPr="007F63EF">
              <w:rPr>
                <w:rFonts w:eastAsia="Times New Roman" w:cs="Calibri"/>
                <w:color w:val="auto"/>
                <w:sz w:val="18"/>
                <w:szCs w:val="18"/>
                <w:lang w:eastAsia="en-GB"/>
              </w:rPr>
              <w:t> </w:t>
            </w:r>
          </w:p>
        </w:tc>
        <w:tc>
          <w:tcPr>
            <w:tcW w:w="289" w:type="pct"/>
            <w:shd w:val="clear" w:color="auto" w:fill="FFC000"/>
            <w:noWrap/>
            <w:textDirection w:val="btLr"/>
            <w:hideMark/>
          </w:tcPr>
          <w:p w14:paraId="129B0F88" w14:textId="77777777" w:rsidR="00ED0674" w:rsidRPr="007F63EF" w:rsidRDefault="00ED0674">
            <w:pPr>
              <w:rPr>
                <w:rFonts w:eastAsia="Times New Roman" w:cs="Calibri"/>
                <w:color w:val="auto"/>
                <w:sz w:val="18"/>
                <w:szCs w:val="18"/>
                <w:lang w:eastAsia="en-GB"/>
              </w:rPr>
            </w:pPr>
          </w:p>
        </w:tc>
        <w:tc>
          <w:tcPr>
            <w:tcW w:w="289" w:type="pct"/>
            <w:shd w:val="clear" w:color="auto" w:fill="699D2D" w:themeFill="accent6" w:themeFillShade="BF"/>
            <w:noWrap/>
            <w:textDirection w:val="btLr"/>
            <w:hideMark/>
          </w:tcPr>
          <w:p w14:paraId="61AF9CDC" w14:textId="77777777" w:rsidR="00ED0674" w:rsidRPr="007F63EF" w:rsidRDefault="00ED0674">
            <w:pPr>
              <w:jc w:val="right"/>
              <w:rPr>
                <w:rFonts w:eastAsia="Times New Roman" w:cs="Calibri"/>
                <w:color w:val="auto"/>
                <w:sz w:val="20"/>
                <w:szCs w:val="20"/>
                <w:lang w:eastAsia="en-GB"/>
              </w:rPr>
            </w:pPr>
            <w:r w:rsidRPr="007F63EF">
              <w:rPr>
                <w:rFonts w:cs="Calibri"/>
                <w:color w:val="auto"/>
              </w:rPr>
              <w:t> </w:t>
            </w:r>
          </w:p>
        </w:tc>
        <w:tc>
          <w:tcPr>
            <w:tcW w:w="289" w:type="pct"/>
            <w:shd w:val="clear" w:color="auto" w:fill="699D2D" w:themeFill="accent6" w:themeFillShade="BF"/>
            <w:noWrap/>
            <w:textDirection w:val="btLr"/>
            <w:hideMark/>
          </w:tcPr>
          <w:p w14:paraId="29219690" w14:textId="77777777" w:rsidR="00ED0674" w:rsidRPr="007F63EF" w:rsidRDefault="00ED0674">
            <w:pPr>
              <w:jc w:val="right"/>
              <w:rPr>
                <w:rFonts w:eastAsia="Times New Roman" w:cs="Calibri"/>
                <w:color w:val="auto"/>
                <w:sz w:val="20"/>
                <w:szCs w:val="20"/>
                <w:lang w:eastAsia="en-GB"/>
              </w:rPr>
            </w:pPr>
            <w:r w:rsidRPr="007F63EF">
              <w:rPr>
                <w:rFonts w:cs="Calibri"/>
                <w:color w:val="auto"/>
              </w:rPr>
              <w:t> </w:t>
            </w:r>
          </w:p>
        </w:tc>
        <w:tc>
          <w:tcPr>
            <w:tcW w:w="289" w:type="pct"/>
            <w:shd w:val="clear" w:color="auto" w:fill="92D050"/>
            <w:noWrap/>
            <w:textDirection w:val="btLr"/>
            <w:hideMark/>
          </w:tcPr>
          <w:p w14:paraId="0899E8B5" w14:textId="77777777" w:rsidR="00ED0674" w:rsidRPr="007F63EF" w:rsidRDefault="00ED0674">
            <w:pPr>
              <w:jc w:val="right"/>
              <w:rPr>
                <w:rFonts w:cs="Calibri"/>
                <w:color w:val="auto"/>
              </w:rPr>
            </w:pPr>
            <w:r w:rsidRPr="007F63EF">
              <w:rPr>
                <w:rFonts w:cs="Calibri"/>
                <w:color w:val="auto"/>
              </w:rPr>
              <w:t> </w:t>
            </w:r>
          </w:p>
        </w:tc>
        <w:tc>
          <w:tcPr>
            <w:tcW w:w="289" w:type="pct"/>
            <w:shd w:val="clear" w:color="auto" w:fill="92D050"/>
            <w:noWrap/>
            <w:textDirection w:val="btLr"/>
            <w:hideMark/>
          </w:tcPr>
          <w:p w14:paraId="13812BCB" w14:textId="77777777" w:rsidR="00ED0674" w:rsidRPr="007F63EF" w:rsidRDefault="00ED0674">
            <w:pPr>
              <w:jc w:val="center"/>
              <w:rPr>
                <w:rFonts w:cs="Calibri"/>
                <w:color w:val="auto"/>
              </w:rPr>
            </w:pPr>
            <w:r w:rsidRPr="007F63EF">
              <w:rPr>
                <w:rFonts w:cs="Calibri"/>
                <w:color w:val="auto"/>
              </w:rPr>
              <w:t> </w:t>
            </w:r>
          </w:p>
        </w:tc>
        <w:tc>
          <w:tcPr>
            <w:tcW w:w="289" w:type="pct"/>
            <w:shd w:val="clear" w:color="auto" w:fill="699D2D" w:themeFill="accent6" w:themeFillShade="BF"/>
            <w:noWrap/>
            <w:textDirection w:val="btLr"/>
            <w:hideMark/>
          </w:tcPr>
          <w:p w14:paraId="5D79BB86" w14:textId="77777777" w:rsidR="00ED0674" w:rsidRPr="007F63EF" w:rsidRDefault="00ED0674">
            <w:pPr>
              <w:jc w:val="center"/>
              <w:rPr>
                <w:rFonts w:eastAsia="Times New Roman" w:cs="Calibri"/>
                <w:color w:val="auto"/>
                <w:sz w:val="20"/>
                <w:szCs w:val="20"/>
                <w:lang w:eastAsia="en-GB"/>
              </w:rPr>
            </w:pPr>
            <w:r w:rsidRPr="007F63EF">
              <w:rPr>
                <w:rFonts w:cs="Calibri"/>
                <w:color w:val="auto"/>
              </w:rPr>
              <w:t> </w:t>
            </w:r>
          </w:p>
        </w:tc>
        <w:tc>
          <w:tcPr>
            <w:tcW w:w="289" w:type="pct"/>
            <w:shd w:val="clear" w:color="auto" w:fill="E37230" w:themeFill="accent2"/>
            <w:noWrap/>
            <w:textDirection w:val="btLr"/>
            <w:hideMark/>
          </w:tcPr>
          <w:p w14:paraId="221BE709" w14:textId="77777777" w:rsidR="00ED0674" w:rsidRPr="007F63EF" w:rsidRDefault="00ED0674">
            <w:pPr>
              <w:jc w:val="center"/>
              <w:rPr>
                <w:rFonts w:eastAsia="Times New Roman" w:cs="Calibri"/>
                <w:color w:val="auto"/>
                <w:sz w:val="20"/>
                <w:szCs w:val="20"/>
                <w:lang w:eastAsia="en-GB"/>
              </w:rPr>
            </w:pPr>
            <w:r w:rsidRPr="007F63EF">
              <w:rPr>
                <w:rFonts w:cs="Calibri"/>
                <w:color w:val="auto"/>
              </w:rPr>
              <w:t> </w:t>
            </w:r>
          </w:p>
        </w:tc>
        <w:tc>
          <w:tcPr>
            <w:tcW w:w="289" w:type="pct"/>
            <w:shd w:val="clear" w:color="auto" w:fill="8CCA45" w:themeFill="accent6"/>
            <w:noWrap/>
            <w:textDirection w:val="btLr"/>
            <w:hideMark/>
          </w:tcPr>
          <w:p w14:paraId="237B1891" w14:textId="77777777" w:rsidR="00ED0674" w:rsidRPr="007F63EF" w:rsidRDefault="00ED0674">
            <w:pPr>
              <w:jc w:val="center"/>
              <w:rPr>
                <w:rFonts w:eastAsia="Times New Roman" w:cs="Calibri"/>
                <w:color w:val="auto"/>
                <w:sz w:val="20"/>
                <w:szCs w:val="20"/>
                <w:lang w:eastAsia="en-GB"/>
              </w:rPr>
            </w:pPr>
            <w:r w:rsidRPr="007F63EF">
              <w:rPr>
                <w:rFonts w:cs="Calibri"/>
                <w:color w:val="auto"/>
              </w:rPr>
              <w:t> </w:t>
            </w:r>
          </w:p>
        </w:tc>
        <w:tc>
          <w:tcPr>
            <w:tcW w:w="274" w:type="pct"/>
            <w:shd w:val="clear" w:color="auto" w:fill="E37230" w:themeFill="accent2"/>
            <w:noWrap/>
            <w:hideMark/>
          </w:tcPr>
          <w:p w14:paraId="446A336A" w14:textId="77777777" w:rsidR="00ED0674" w:rsidRPr="007F63EF" w:rsidRDefault="00ED0674">
            <w:pPr>
              <w:jc w:val="center"/>
              <w:rPr>
                <w:rFonts w:eastAsia="Times New Roman" w:cs="Calibri"/>
                <w:color w:val="auto"/>
                <w:sz w:val="20"/>
                <w:szCs w:val="20"/>
                <w:lang w:eastAsia="en-GB"/>
              </w:rPr>
            </w:pPr>
          </w:p>
        </w:tc>
        <w:tc>
          <w:tcPr>
            <w:tcW w:w="274" w:type="pct"/>
            <w:shd w:val="clear" w:color="auto" w:fill="E37230" w:themeFill="accent2"/>
            <w:noWrap/>
            <w:hideMark/>
          </w:tcPr>
          <w:p w14:paraId="394340F3" w14:textId="77777777" w:rsidR="00ED0674" w:rsidRPr="007F63EF" w:rsidRDefault="00ED0674">
            <w:pPr>
              <w:jc w:val="center"/>
              <w:rPr>
                <w:rFonts w:eastAsia="Times New Roman" w:cs="Calibri"/>
                <w:color w:val="auto"/>
                <w:sz w:val="20"/>
                <w:szCs w:val="20"/>
                <w:lang w:eastAsia="en-GB"/>
              </w:rPr>
            </w:pPr>
          </w:p>
        </w:tc>
        <w:tc>
          <w:tcPr>
            <w:tcW w:w="274" w:type="pct"/>
            <w:shd w:val="clear" w:color="auto" w:fill="E37230" w:themeFill="accent2"/>
            <w:noWrap/>
            <w:hideMark/>
          </w:tcPr>
          <w:p w14:paraId="641F8324" w14:textId="77777777" w:rsidR="00ED0674" w:rsidRPr="007F63EF" w:rsidRDefault="00ED0674">
            <w:pPr>
              <w:jc w:val="center"/>
              <w:rPr>
                <w:rFonts w:ascii="Times New Roman" w:eastAsia="Times New Roman" w:hAnsi="Times New Roman" w:cs="Times New Roman"/>
                <w:color w:val="auto"/>
                <w:sz w:val="20"/>
                <w:szCs w:val="20"/>
                <w:lang w:eastAsia="en-GB"/>
              </w:rPr>
            </w:pPr>
          </w:p>
        </w:tc>
      </w:tr>
      <w:tr w:rsidR="00264CBC" w:rsidRPr="0031105E" w14:paraId="6624EC4C" w14:textId="77777777" w:rsidTr="00855D83">
        <w:trPr>
          <w:cnfStyle w:val="000000100000" w:firstRow="0" w:lastRow="0" w:firstColumn="0" w:lastColumn="0" w:oddVBand="0" w:evenVBand="0" w:oddHBand="1" w:evenHBand="0" w:firstRowFirstColumn="0" w:firstRowLastColumn="0" w:lastRowFirstColumn="0" w:lastRowLastColumn="0"/>
          <w:trHeight w:val="690"/>
        </w:trPr>
        <w:tc>
          <w:tcPr>
            <w:tcW w:w="716" w:type="pct"/>
            <w:hideMark/>
          </w:tcPr>
          <w:p w14:paraId="45EC0DDA" w14:textId="77777777" w:rsidR="00ED0674" w:rsidRPr="007F63EF" w:rsidRDefault="00ED0674">
            <w:pPr>
              <w:rPr>
                <w:rFonts w:eastAsia="Times New Roman" w:cs="Calibri"/>
                <w:color w:val="auto"/>
                <w:sz w:val="20"/>
                <w:szCs w:val="20"/>
                <w:lang w:eastAsia="en-GB"/>
              </w:rPr>
            </w:pPr>
            <w:r w:rsidRPr="007F63EF">
              <w:rPr>
                <w:rFonts w:eastAsia="Times New Roman" w:cs="Calibri"/>
                <w:color w:val="auto"/>
                <w:sz w:val="20"/>
                <w:szCs w:val="20"/>
                <w:lang w:eastAsia="en-GB"/>
              </w:rPr>
              <w:t>Unit cost of inputs tracked</w:t>
            </w:r>
          </w:p>
        </w:tc>
        <w:tc>
          <w:tcPr>
            <w:tcW w:w="289" w:type="pct"/>
            <w:shd w:val="clear" w:color="auto" w:fill="FFC000"/>
            <w:noWrap/>
            <w:textDirection w:val="btLr"/>
            <w:hideMark/>
          </w:tcPr>
          <w:p w14:paraId="0BDC2D8E" w14:textId="77777777" w:rsidR="00ED0674" w:rsidRPr="007F63EF" w:rsidRDefault="00ED0674">
            <w:pPr>
              <w:jc w:val="right"/>
              <w:rPr>
                <w:rFonts w:eastAsia="Times New Roman" w:cs="Calibri"/>
                <w:color w:val="auto"/>
                <w:sz w:val="20"/>
                <w:szCs w:val="20"/>
                <w:lang w:eastAsia="en-GB"/>
              </w:rPr>
            </w:pPr>
            <w:r w:rsidRPr="007F63EF">
              <w:rPr>
                <w:rFonts w:cs="Calibri"/>
                <w:color w:val="auto"/>
              </w:rPr>
              <w:t> </w:t>
            </w:r>
          </w:p>
        </w:tc>
        <w:tc>
          <w:tcPr>
            <w:tcW w:w="289" w:type="pct"/>
            <w:shd w:val="clear" w:color="auto" w:fill="699D2D" w:themeFill="accent6" w:themeFillShade="BF"/>
            <w:noWrap/>
            <w:textDirection w:val="btLr"/>
            <w:hideMark/>
          </w:tcPr>
          <w:p w14:paraId="18CC4D65" w14:textId="77777777" w:rsidR="00ED0674" w:rsidRPr="007F63EF" w:rsidRDefault="00ED0674">
            <w:pPr>
              <w:jc w:val="right"/>
              <w:rPr>
                <w:rFonts w:eastAsia="Times New Roman" w:cs="Calibri"/>
                <w:color w:val="auto"/>
                <w:sz w:val="20"/>
                <w:szCs w:val="20"/>
                <w:lang w:eastAsia="en-GB"/>
              </w:rPr>
            </w:pPr>
            <w:r w:rsidRPr="007F63EF">
              <w:rPr>
                <w:rFonts w:cs="Calibri"/>
                <w:color w:val="auto"/>
              </w:rPr>
              <w:t> </w:t>
            </w:r>
          </w:p>
        </w:tc>
        <w:tc>
          <w:tcPr>
            <w:tcW w:w="289" w:type="pct"/>
            <w:shd w:val="clear" w:color="auto" w:fill="FFC000"/>
            <w:noWrap/>
            <w:textDirection w:val="btLr"/>
            <w:hideMark/>
          </w:tcPr>
          <w:p w14:paraId="70C1E6FE" w14:textId="77777777" w:rsidR="00ED0674" w:rsidRPr="007F63EF" w:rsidRDefault="00ED0674">
            <w:pPr>
              <w:jc w:val="right"/>
              <w:rPr>
                <w:rFonts w:eastAsia="Times New Roman" w:cs="Calibri"/>
                <w:color w:val="auto"/>
                <w:sz w:val="20"/>
                <w:szCs w:val="20"/>
                <w:lang w:eastAsia="en-GB"/>
              </w:rPr>
            </w:pPr>
            <w:r w:rsidRPr="007F63EF">
              <w:rPr>
                <w:rFonts w:cs="Calibri"/>
                <w:color w:val="auto"/>
              </w:rPr>
              <w:t> </w:t>
            </w:r>
          </w:p>
        </w:tc>
        <w:tc>
          <w:tcPr>
            <w:tcW w:w="289" w:type="pct"/>
            <w:shd w:val="clear" w:color="auto" w:fill="699D2D" w:themeFill="accent6" w:themeFillShade="BF"/>
            <w:noWrap/>
            <w:textDirection w:val="btLr"/>
            <w:hideMark/>
          </w:tcPr>
          <w:p w14:paraId="59C78D2B" w14:textId="77777777" w:rsidR="00ED0674" w:rsidRPr="007F63EF" w:rsidRDefault="00ED0674">
            <w:pPr>
              <w:jc w:val="right"/>
              <w:rPr>
                <w:rFonts w:eastAsia="Times New Roman" w:cs="Calibri"/>
                <w:color w:val="auto"/>
                <w:sz w:val="20"/>
                <w:szCs w:val="20"/>
                <w:lang w:eastAsia="en-GB"/>
              </w:rPr>
            </w:pPr>
            <w:r w:rsidRPr="007F63EF">
              <w:rPr>
                <w:rFonts w:cs="Calibri"/>
                <w:color w:val="auto"/>
              </w:rPr>
              <w:t> </w:t>
            </w:r>
          </w:p>
        </w:tc>
        <w:tc>
          <w:tcPr>
            <w:tcW w:w="289" w:type="pct"/>
            <w:shd w:val="clear" w:color="auto" w:fill="699D2D" w:themeFill="accent6" w:themeFillShade="BF"/>
            <w:noWrap/>
            <w:textDirection w:val="btLr"/>
            <w:hideMark/>
          </w:tcPr>
          <w:p w14:paraId="577F7DDE" w14:textId="77777777" w:rsidR="00ED0674" w:rsidRPr="007F63EF" w:rsidRDefault="00ED0674">
            <w:pPr>
              <w:jc w:val="right"/>
              <w:rPr>
                <w:rFonts w:eastAsia="Times New Roman" w:cs="Calibri"/>
                <w:color w:val="auto"/>
                <w:sz w:val="20"/>
                <w:szCs w:val="20"/>
                <w:lang w:eastAsia="en-GB"/>
              </w:rPr>
            </w:pPr>
          </w:p>
        </w:tc>
        <w:tc>
          <w:tcPr>
            <w:tcW w:w="289" w:type="pct"/>
            <w:shd w:val="clear" w:color="auto" w:fill="FFC000"/>
            <w:noWrap/>
            <w:textDirection w:val="btLr"/>
            <w:hideMark/>
          </w:tcPr>
          <w:p w14:paraId="510C7FEB" w14:textId="77777777" w:rsidR="00ED0674" w:rsidRPr="007F63EF" w:rsidRDefault="00ED0674">
            <w:pPr>
              <w:jc w:val="right"/>
              <w:rPr>
                <w:rFonts w:eastAsia="Times New Roman" w:cs="Calibri"/>
                <w:color w:val="auto"/>
                <w:sz w:val="20"/>
                <w:szCs w:val="20"/>
                <w:lang w:eastAsia="en-GB"/>
              </w:rPr>
            </w:pPr>
            <w:r w:rsidRPr="007F63EF">
              <w:rPr>
                <w:rFonts w:cs="Calibri"/>
                <w:color w:val="auto"/>
              </w:rPr>
              <w:t> </w:t>
            </w:r>
          </w:p>
        </w:tc>
        <w:tc>
          <w:tcPr>
            <w:tcW w:w="289" w:type="pct"/>
            <w:shd w:val="clear" w:color="auto" w:fill="FFC000"/>
            <w:noWrap/>
            <w:textDirection w:val="btLr"/>
            <w:hideMark/>
          </w:tcPr>
          <w:p w14:paraId="67944524" w14:textId="77777777" w:rsidR="00ED0674" w:rsidRPr="007F63EF" w:rsidRDefault="00ED0674">
            <w:pPr>
              <w:jc w:val="right"/>
              <w:rPr>
                <w:rFonts w:eastAsia="Times New Roman" w:cs="Calibri"/>
                <w:color w:val="auto"/>
                <w:sz w:val="20"/>
                <w:szCs w:val="20"/>
                <w:lang w:eastAsia="en-GB"/>
              </w:rPr>
            </w:pPr>
            <w:r w:rsidRPr="007F63EF">
              <w:rPr>
                <w:rFonts w:cs="Calibri"/>
                <w:color w:val="auto"/>
              </w:rPr>
              <w:t> </w:t>
            </w:r>
          </w:p>
        </w:tc>
        <w:tc>
          <w:tcPr>
            <w:tcW w:w="289" w:type="pct"/>
            <w:shd w:val="clear" w:color="auto" w:fill="699D2D" w:themeFill="accent6" w:themeFillShade="BF"/>
            <w:noWrap/>
            <w:textDirection w:val="btLr"/>
            <w:hideMark/>
          </w:tcPr>
          <w:p w14:paraId="3E2D7010" w14:textId="77777777" w:rsidR="00ED0674" w:rsidRPr="007F63EF" w:rsidRDefault="00ED0674">
            <w:pPr>
              <w:jc w:val="right"/>
              <w:rPr>
                <w:rFonts w:eastAsia="Times New Roman" w:cs="Calibri"/>
                <w:color w:val="auto"/>
                <w:sz w:val="20"/>
                <w:szCs w:val="20"/>
                <w:lang w:eastAsia="en-GB"/>
              </w:rPr>
            </w:pPr>
            <w:r w:rsidRPr="007F63EF">
              <w:rPr>
                <w:rFonts w:cs="Calibri"/>
                <w:color w:val="auto"/>
              </w:rPr>
              <w:t> </w:t>
            </w:r>
          </w:p>
        </w:tc>
        <w:tc>
          <w:tcPr>
            <w:tcW w:w="289" w:type="pct"/>
            <w:shd w:val="clear" w:color="auto" w:fill="699D2D" w:themeFill="accent6" w:themeFillShade="BF"/>
            <w:noWrap/>
            <w:textDirection w:val="btLr"/>
            <w:hideMark/>
          </w:tcPr>
          <w:p w14:paraId="7030E48F" w14:textId="77777777" w:rsidR="00ED0674" w:rsidRPr="007F63EF" w:rsidRDefault="00ED0674">
            <w:pPr>
              <w:jc w:val="right"/>
              <w:rPr>
                <w:rFonts w:eastAsia="Times New Roman" w:cs="Calibri"/>
                <w:color w:val="auto"/>
                <w:sz w:val="20"/>
                <w:szCs w:val="20"/>
                <w:lang w:eastAsia="en-GB"/>
              </w:rPr>
            </w:pPr>
            <w:r w:rsidRPr="007F63EF">
              <w:rPr>
                <w:rFonts w:cs="Calibri"/>
                <w:color w:val="auto"/>
              </w:rPr>
              <w:t> </w:t>
            </w:r>
          </w:p>
        </w:tc>
        <w:tc>
          <w:tcPr>
            <w:tcW w:w="289" w:type="pct"/>
            <w:shd w:val="clear" w:color="auto" w:fill="699D2D" w:themeFill="accent6" w:themeFillShade="BF"/>
            <w:noWrap/>
            <w:textDirection w:val="btLr"/>
            <w:hideMark/>
          </w:tcPr>
          <w:p w14:paraId="1EBD3E7B" w14:textId="77777777" w:rsidR="00ED0674" w:rsidRPr="007F63EF" w:rsidRDefault="00ED0674">
            <w:pPr>
              <w:jc w:val="right"/>
              <w:rPr>
                <w:rFonts w:eastAsia="Times New Roman" w:cs="Calibri"/>
                <w:color w:val="auto"/>
                <w:sz w:val="20"/>
                <w:szCs w:val="20"/>
                <w:lang w:eastAsia="en-GB"/>
              </w:rPr>
            </w:pPr>
            <w:r w:rsidRPr="007F63EF">
              <w:rPr>
                <w:rFonts w:cs="Calibri"/>
                <w:color w:val="auto"/>
              </w:rPr>
              <w:t> </w:t>
            </w:r>
          </w:p>
        </w:tc>
        <w:tc>
          <w:tcPr>
            <w:tcW w:w="289" w:type="pct"/>
            <w:shd w:val="clear" w:color="auto" w:fill="92D050"/>
            <w:noWrap/>
            <w:textDirection w:val="btLr"/>
            <w:hideMark/>
          </w:tcPr>
          <w:p w14:paraId="5D12CA53" w14:textId="77777777" w:rsidR="00ED0674" w:rsidRPr="007F63EF" w:rsidRDefault="00ED0674">
            <w:pPr>
              <w:jc w:val="center"/>
              <w:rPr>
                <w:rFonts w:eastAsia="Times New Roman" w:cs="Calibri"/>
                <w:color w:val="auto"/>
                <w:sz w:val="20"/>
                <w:szCs w:val="20"/>
                <w:lang w:eastAsia="en-GB"/>
              </w:rPr>
            </w:pPr>
          </w:p>
        </w:tc>
        <w:tc>
          <w:tcPr>
            <w:tcW w:w="289" w:type="pct"/>
            <w:shd w:val="clear" w:color="auto" w:fill="92D050"/>
            <w:noWrap/>
            <w:textDirection w:val="btLr"/>
            <w:hideMark/>
          </w:tcPr>
          <w:p w14:paraId="34E8C398" w14:textId="77777777" w:rsidR="00ED0674" w:rsidRPr="007F63EF" w:rsidRDefault="00ED0674">
            <w:pPr>
              <w:jc w:val="center"/>
              <w:rPr>
                <w:rFonts w:eastAsia="Times New Roman" w:cs="Calibri"/>
                <w:color w:val="auto"/>
                <w:sz w:val="20"/>
                <w:szCs w:val="20"/>
                <w:lang w:eastAsia="en-GB"/>
              </w:rPr>
            </w:pPr>
            <w:r w:rsidRPr="007F63EF">
              <w:rPr>
                <w:rFonts w:cs="Calibri"/>
                <w:color w:val="auto"/>
              </w:rPr>
              <w:t> </w:t>
            </w:r>
          </w:p>
        </w:tc>
        <w:tc>
          <w:tcPr>
            <w:tcW w:w="274" w:type="pct"/>
            <w:noWrap/>
            <w:hideMark/>
          </w:tcPr>
          <w:p w14:paraId="60A47835" w14:textId="77777777" w:rsidR="00ED0674" w:rsidRPr="007F63EF" w:rsidRDefault="00ED0674">
            <w:pPr>
              <w:jc w:val="center"/>
              <w:rPr>
                <w:rFonts w:eastAsia="Times New Roman" w:cs="Calibri"/>
                <w:color w:val="auto"/>
                <w:sz w:val="20"/>
                <w:szCs w:val="20"/>
                <w:lang w:eastAsia="en-GB"/>
              </w:rPr>
            </w:pPr>
            <w:r w:rsidRPr="007F63EF">
              <w:rPr>
                <w:rFonts w:eastAsia="Times New Roman" w:cs="Calibri"/>
                <w:color w:val="auto"/>
                <w:sz w:val="20"/>
                <w:szCs w:val="20"/>
                <w:lang w:eastAsia="en-GB"/>
              </w:rPr>
              <w:t>NE</w:t>
            </w:r>
          </w:p>
        </w:tc>
        <w:tc>
          <w:tcPr>
            <w:tcW w:w="274" w:type="pct"/>
            <w:noWrap/>
            <w:hideMark/>
          </w:tcPr>
          <w:p w14:paraId="20A468DD" w14:textId="77777777" w:rsidR="00ED0674" w:rsidRPr="007F63EF" w:rsidRDefault="00ED0674">
            <w:pPr>
              <w:jc w:val="center"/>
              <w:rPr>
                <w:rFonts w:eastAsia="Times New Roman" w:cs="Calibri"/>
                <w:color w:val="auto"/>
                <w:sz w:val="20"/>
                <w:szCs w:val="20"/>
                <w:lang w:eastAsia="en-GB"/>
              </w:rPr>
            </w:pPr>
            <w:r w:rsidRPr="007F63EF">
              <w:rPr>
                <w:rFonts w:eastAsia="Times New Roman" w:cs="Calibri"/>
                <w:color w:val="auto"/>
                <w:sz w:val="20"/>
                <w:szCs w:val="20"/>
                <w:lang w:eastAsia="en-GB"/>
              </w:rPr>
              <w:t>NE</w:t>
            </w:r>
          </w:p>
        </w:tc>
        <w:tc>
          <w:tcPr>
            <w:tcW w:w="274" w:type="pct"/>
            <w:shd w:val="clear" w:color="auto" w:fill="F1B249" w:themeFill="accent4"/>
            <w:noWrap/>
            <w:hideMark/>
          </w:tcPr>
          <w:p w14:paraId="5E57B76E" w14:textId="77777777" w:rsidR="00ED0674" w:rsidRPr="007F63EF" w:rsidRDefault="00ED0674">
            <w:pPr>
              <w:jc w:val="center"/>
              <w:rPr>
                <w:rFonts w:ascii="Times New Roman" w:eastAsia="Times New Roman" w:hAnsi="Times New Roman" w:cs="Times New Roman"/>
                <w:color w:val="auto"/>
                <w:sz w:val="20"/>
                <w:szCs w:val="20"/>
                <w:lang w:eastAsia="en-GB"/>
              </w:rPr>
            </w:pPr>
          </w:p>
        </w:tc>
      </w:tr>
    </w:tbl>
    <w:p w14:paraId="7B2326DD" w14:textId="77777777" w:rsidR="0031105E" w:rsidRDefault="0031105E" w:rsidP="00C04C3C">
      <w:pPr>
        <w:pStyle w:val="ItadCaption"/>
      </w:pPr>
      <w:bookmarkStart w:id="128" w:name="_Ref121248778"/>
    </w:p>
    <w:p w14:paraId="66FDC41B" w14:textId="01D02C1E" w:rsidR="001A1A5F" w:rsidRDefault="001A1A5F" w:rsidP="00C04C3C">
      <w:pPr>
        <w:pStyle w:val="ItadCaption"/>
      </w:pPr>
      <w:bookmarkStart w:id="129" w:name="_Toc143857884"/>
      <w:r>
        <w:t xml:space="preserve">Table </w:t>
      </w:r>
      <w:r>
        <w:fldChar w:fldCharType="begin"/>
      </w:r>
      <w:r>
        <w:instrText>SEQ Table \* ARABIC</w:instrText>
      </w:r>
      <w:r>
        <w:fldChar w:fldCharType="separate"/>
      </w:r>
      <w:r w:rsidR="009A383C">
        <w:rPr>
          <w:noProof/>
        </w:rPr>
        <w:t>16</w:t>
      </w:r>
      <w:r>
        <w:fldChar w:fldCharType="end"/>
      </w:r>
      <w:bookmarkEnd w:id="128"/>
      <w:r w:rsidR="00EC2B6F">
        <w:t xml:space="preserve"> </w:t>
      </w:r>
      <w:r w:rsidR="0044432D">
        <w:t>VfM</w:t>
      </w:r>
      <w:r w:rsidRPr="00C90DE5">
        <w:t xml:space="preserve"> Measures of Economy achieved across regional grants</w:t>
      </w:r>
      <w:bookmarkEnd w:id="129"/>
    </w:p>
    <w:tbl>
      <w:tblPr>
        <w:tblStyle w:val="ItadGreenHeaderRow"/>
        <w:tblW w:w="5000" w:type="pct"/>
        <w:tblInd w:w="0" w:type="dxa"/>
        <w:tblLook w:val="04A0" w:firstRow="1" w:lastRow="0" w:firstColumn="1" w:lastColumn="0" w:noHBand="0" w:noVBand="1"/>
      </w:tblPr>
      <w:tblGrid>
        <w:gridCol w:w="1496"/>
        <w:gridCol w:w="1145"/>
        <w:gridCol w:w="1075"/>
        <w:gridCol w:w="1089"/>
        <w:gridCol w:w="1035"/>
        <w:gridCol w:w="967"/>
        <w:gridCol w:w="1093"/>
        <w:gridCol w:w="1116"/>
      </w:tblGrid>
      <w:tr w:rsidR="0031105E" w:rsidRPr="0031105E" w14:paraId="0BF98F34" w14:textId="77777777" w:rsidTr="00BB4743">
        <w:trPr>
          <w:cnfStyle w:val="100000000000" w:firstRow="1" w:lastRow="0" w:firstColumn="0" w:lastColumn="0" w:oddVBand="0" w:evenVBand="0" w:oddHBand="0" w:evenHBand="0" w:firstRowFirstColumn="0" w:firstRowLastColumn="0" w:lastRowFirstColumn="0" w:lastRowLastColumn="0"/>
          <w:trHeight w:val="1096"/>
        </w:trPr>
        <w:tc>
          <w:tcPr>
            <w:tcW w:w="829" w:type="pct"/>
          </w:tcPr>
          <w:p w14:paraId="07637206" w14:textId="77777777" w:rsidR="001A7D53" w:rsidRPr="007F63EF" w:rsidRDefault="001A7D53">
            <w:pPr>
              <w:rPr>
                <w:rFonts w:eastAsia="Times New Roman" w:cs="Calibri"/>
                <w:b/>
                <w:bCs/>
                <w:color w:val="auto"/>
                <w:sz w:val="20"/>
                <w:szCs w:val="20"/>
                <w:lang w:eastAsia="en-GB"/>
              </w:rPr>
            </w:pPr>
            <w:r w:rsidRPr="0031105E">
              <w:rPr>
                <w:rFonts w:eastAsia="Times New Roman" w:cs="Calibri"/>
                <w:b/>
                <w:bCs/>
                <w:sz w:val="20"/>
                <w:szCs w:val="20"/>
                <w:lang w:eastAsia="en-GB"/>
              </w:rPr>
              <w:t>VfM measures Economy</w:t>
            </w:r>
          </w:p>
        </w:tc>
        <w:tc>
          <w:tcPr>
            <w:tcW w:w="635" w:type="pct"/>
          </w:tcPr>
          <w:p w14:paraId="0D1A017C" w14:textId="77777777" w:rsidR="001A7D53" w:rsidRPr="007F63EF" w:rsidRDefault="001A7D53">
            <w:pPr>
              <w:rPr>
                <w:rFonts w:eastAsia="Calibri" w:cs="Calibri"/>
                <w:b/>
                <w:bCs/>
                <w:color w:val="auto"/>
                <w:sz w:val="20"/>
                <w:szCs w:val="20"/>
              </w:rPr>
            </w:pPr>
            <w:r w:rsidRPr="0031105E">
              <w:rPr>
                <w:rFonts w:eastAsia="Calibri" w:cs="Calibri"/>
                <w:b/>
                <w:bCs/>
                <w:sz w:val="20"/>
                <w:szCs w:val="20"/>
              </w:rPr>
              <w:t>FF8 FF9</w:t>
            </w:r>
          </w:p>
        </w:tc>
        <w:tc>
          <w:tcPr>
            <w:tcW w:w="596" w:type="pct"/>
          </w:tcPr>
          <w:p w14:paraId="39B7B974" w14:textId="77777777" w:rsidR="001A7D53" w:rsidRPr="007F63EF" w:rsidRDefault="001A7D53">
            <w:pPr>
              <w:rPr>
                <w:rFonts w:eastAsia="Calibri" w:cs="Calibri"/>
                <w:b/>
                <w:bCs/>
                <w:color w:val="auto"/>
                <w:sz w:val="20"/>
                <w:szCs w:val="20"/>
              </w:rPr>
            </w:pPr>
            <w:r w:rsidRPr="0031105E">
              <w:rPr>
                <w:rFonts w:eastAsia="Calibri" w:cs="Calibri"/>
                <w:b/>
                <w:bCs/>
                <w:sz w:val="20"/>
                <w:szCs w:val="20"/>
              </w:rPr>
              <w:t>FF10 FF11</w:t>
            </w:r>
          </w:p>
        </w:tc>
        <w:tc>
          <w:tcPr>
            <w:tcW w:w="604" w:type="pct"/>
          </w:tcPr>
          <w:p w14:paraId="585274F3" w14:textId="77777777" w:rsidR="001A7D53" w:rsidRPr="007F63EF" w:rsidRDefault="001A7D53">
            <w:pPr>
              <w:rPr>
                <w:rFonts w:eastAsia="Calibri" w:cs="Calibri"/>
                <w:b/>
                <w:bCs/>
                <w:color w:val="auto"/>
                <w:sz w:val="20"/>
                <w:szCs w:val="20"/>
              </w:rPr>
            </w:pPr>
            <w:r w:rsidRPr="0031105E">
              <w:rPr>
                <w:rFonts w:eastAsia="Calibri" w:cs="Calibri"/>
                <w:b/>
                <w:bCs/>
                <w:sz w:val="20"/>
                <w:szCs w:val="20"/>
              </w:rPr>
              <w:t>FF49</w:t>
            </w:r>
          </w:p>
        </w:tc>
        <w:tc>
          <w:tcPr>
            <w:tcW w:w="574" w:type="pct"/>
          </w:tcPr>
          <w:p w14:paraId="6E5D7800" w14:textId="77777777" w:rsidR="001A7D53" w:rsidRPr="007F63EF" w:rsidRDefault="001A7D53">
            <w:pPr>
              <w:rPr>
                <w:rFonts w:eastAsia="Calibri" w:cs="Calibri"/>
                <w:b/>
                <w:bCs/>
                <w:color w:val="auto"/>
                <w:sz w:val="20"/>
                <w:szCs w:val="20"/>
              </w:rPr>
            </w:pPr>
            <w:r w:rsidRPr="0031105E">
              <w:rPr>
                <w:rFonts w:eastAsia="Calibri" w:cs="Calibri"/>
                <w:b/>
                <w:bCs/>
                <w:sz w:val="20"/>
                <w:szCs w:val="20"/>
              </w:rPr>
              <w:t>FF55</w:t>
            </w:r>
          </w:p>
        </w:tc>
        <w:tc>
          <w:tcPr>
            <w:tcW w:w="536" w:type="pct"/>
          </w:tcPr>
          <w:p w14:paraId="12D17D28" w14:textId="77777777" w:rsidR="001A7D53" w:rsidRPr="007F63EF" w:rsidRDefault="001A7D53">
            <w:pPr>
              <w:rPr>
                <w:rFonts w:eastAsia="Calibri" w:cs="Calibri"/>
                <w:b/>
                <w:bCs/>
                <w:color w:val="auto"/>
                <w:sz w:val="20"/>
                <w:szCs w:val="20"/>
              </w:rPr>
            </w:pPr>
            <w:r w:rsidRPr="0031105E">
              <w:rPr>
                <w:rFonts w:eastAsia="Calibri" w:cs="Calibri"/>
                <w:b/>
                <w:bCs/>
                <w:sz w:val="20"/>
                <w:szCs w:val="20"/>
              </w:rPr>
              <w:t>FF64</w:t>
            </w:r>
          </w:p>
        </w:tc>
        <w:tc>
          <w:tcPr>
            <w:tcW w:w="606" w:type="pct"/>
          </w:tcPr>
          <w:p w14:paraId="09BB2367" w14:textId="77777777" w:rsidR="001A7D53" w:rsidRPr="007F63EF" w:rsidRDefault="001A7D53">
            <w:pPr>
              <w:rPr>
                <w:rFonts w:eastAsia="Calibri" w:cs="Calibri"/>
                <w:b/>
                <w:bCs/>
                <w:color w:val="auto"/>
                <w:sz w:val="20"/>
                <w:szCs w:val="20"/>
              </w:rPr>
            </w:pPr>
            <w:r w:rsidRPr="0031105E">
              <w:rPr>
                <w:rFonts w:eastAsia="Calibri" w:cs="Calibri"/>
                <w:b/>
                <w:bCs/>
                <w:sz w:val="20"/>
                <w:szCs w:val="20"/>
              </w:rPr>
              <w:t>FF54</w:t>
            </w:r>
          </w:p>
        </w:tc>
        <w:tc>
          <w:tcPr>
            <w:tcW w:w="619" w:type="pct"/>
          </w:tcPr>
          <w:p w14:paraId="6B49DEE9" w14:textId="77777777" w:rsidR="001A7D53" w:rsidRPr="007F63EF" w:rsidRDefault="001A7D53">
            <w:pPr>
              <w:rPr>
                <w:rFonts w:eastAsia="Calibri" w:cs="Calibri"/>
                <w:b/>
                <w:bCs/>
                <w:color w:val="auto"/>
                <w:sz w:val="20"/>
                <w:szCs w:val="20"/>
              </w:rPr>
            </w:pPr>
            <w:r w:rsidRPr="0031105E">
              <w:rPr>
                <w:rFonts w:eastAsia="Calibri" w:cs="Calibri"/>
                <w:b/>
                <w:bCs/>
                <w:sz w:val="20"/>
                <w:szCs w:val="20"/>
              </w:rPr>
              <w:t>FF25</w:t>
            </w:r>
          </w:p>
        </w:tc>
      </w:tr>
      <w:tr w:rsidR="0031105E" w:rsidRPr="0031105E" w14:paraId="658A19D7" w14:textId="77777777" w:rsidTr="00BB4743">
        <w:trPr>
          <w:cnfStyle w:val="000000100000" w:firstRow="0" w:lastRow="0" w:firstColumn="0" w:lastColumn="0" w:oddVBand="0" w:evenVBand="0" w:oddHBand="1" w:evenHBand="0" w:firstRowFirstColumn="0" w:firstRowLastColumn="0" w:lastRowFirstColumn="0" w:lastRowLastColumn="0"/>
          <w:trHeight w:val="690"/>
        </w:trPr>
        <w:tc>
          <w:tcPr>
            <w:tcW w:w="829" w:type="pct"/>
          </w:tcPr>
          <w:p w14:paraId="7FF7696C" w14:textId="703A9FCC" w:rsidR="001A7D53" w:rsidRPr="007F63EF" w:rsidRDefault="0044432D">
            <w:pPr>
              <w:rPr>
                <w:rFonts w:eastAsia="Times New Roman" w:cs="Calibri"/>
                <w:color w:val="auto"/>
                <w:sz w:val="20"/>
                <w:szCs w:val="20"/>
                <w:lang w:eastAsia="en-GB"/>
              </w:rPr>
            </w:pPr>
            <w:r w:rsidRPr="0031105E">
              <w:rPr>
                <w:rFonts w:eastAsia="Times New Roman" w:cs="Calibri"/>
                <w:sz w:val="20"/>
                <w:szCs w:val="20"/>
                <w:lang w:eastAsia="en-GB"/>
              </w:rPr>
              <w:t>VfM</w:t>
            </w:r>
            <w:r w:rsidR="001A7D53" w:rsidRPr="0031105E">
              <w:rPr>
                <w:rFonts w:eastAsia="Times New Roman" w:cs="Calibri"/>
                <w:sz w:val="20"/>
                <w:szCs w:val="20"/>
                <w:lang w:eastAsia="en-GB"/>
              </w:rPr>
              <w:t xml:space="preserve"> Savings</w:t>
            </w:r>
          </w:p>
        </w:tc>
        <w:tc>
          <w:tcPr>
            <w:tcW w:w="635" w:type="pct"/>
            <w:shd w:val="clear" w:color="auto" w:fill="92D050"/>
          </w:tcPr>
          <w:p w14:paraId="51944287" w14:textId="77777777" w:rsidR="001A7D53" w:rsidRPr="007F63EF" w:rsidRDefault="001A7D53">
            <w:pPr>
              <w:jc w:val="right"/>
              <w:rPr>
                <w:rFonts w:eastAsia="Times New Roman" w:cs="Calibri"/>
                <w:i/>
                <w:iCs/>
                <w:color w:val="auto"/>
                <w:sz w:val="20"/>
                <w:szCs w:val="20"/>
                <w:lang w:eastAsia="en-GB"/>
              </w:rPr>
            </w:pPr>
            <w:r w:rsidRPr="0031105E">
              <w:rPr>
                <w:rFonts w:cs="Calibri"/>
                <w:i/>
                <w:iCs/>
              </w:rPr>
              <w:t> </w:t>
            </w:r>
          </w:p>
        </w:tc>
        <w:tc>
          <w:tcPr>
            <w:tcW w:w="596" w:type="pct"/>
            <w:shd w:val="clear" w:color="auto" w:fill="92D050"/>
          </w:tcPr>
          <w:p w14:paraId="3FC91D45" w14:textId="77777777" w:rsidR="001A7D53" w:rsidRPr="007F63EF" w:rsidRDefault="001A7D53">
            <w:pPr>
              <w:jc w:val="right"/>
              <w:rPr>
                <w:rFonts w:eastAsia="Times New Roman" w:cs="Calibri"/>
                <w:i/>
                <w:iCs/>
                <w:color w:val="auto"/>
                <w:sz w:val="20"/>
                <w:szCs w:val="20"/>
                <w:lang w:eastAsia="en-GB"/>
              </w:rPr>
            </w:pPr>
            <w:r w:rsidRPr="0031105E">
              <w:rPr>
                <w:rFonts w:cs="Calibri"/>
                <w:i/>
                <w:iCs/>
              </w:rPr>
              <w:t> </w:t>
            </w:r>
          </w:p>
        </w:tc>
        <w:tc>
          <w:tcPr>
            <w:tcW w:w="604" w:type="pct"/>
          </w:tcPr>
          <w:p w14:paraId="2174ACF2" w14:textId="77777777" w:rsidR="001A7D53" w:rsidRPr="007F63EF" w:rsidRDefault="001A7D53">
            <w:pPr>
              <w:rPr>
                <w:rFonts w:eastAsia="Times New Roman" w:cs="Calibri"/>
                <w:color w:val="auto"/>
                <w:sz w:val="18"/>
                <w:szCs w:val="18"/>
                <w:lang w:eastAsia="en-GB"/>
              </w:rPr>
            </w:pPr>
            <w:r w:rsidRPr="0031105E">
              <w:rPr>
                <w:rFonts w:eastAsia="Times New Roman" w:cs="Calibri"/>
                <w:sz w:val="18"/>
                <w:szCs w:val="18"/>
                <w:lang w:eastAsia="en-GB"/>
              </w:rPr>
              <w:t> </w:t>
            </w:r>
          </w:p>
        </w:tc>
        <w:tc>
          <w:tcPr>
            <w:tcW w:w="574" w:type="pct"/>
            <w:shd w:val="clear" w:color="auto" w:fill="92D050"/>
          </w:tcPr>
          <w:p w14:paraId="141B8154" w14:textId="77777777" w:rsidR="001A7D53" w:rsidRPr="007F63EF" w:rsidRDefault="001A7D53">
            <w:pPr>
              <w:jc w:val="right"/>
              <w:rPr>
                <w:rFonts w:cs="Calibri"/>
                <w:i/>
                <w:iCs/>
                <w:color w:val="auto"/>
              </w:rPr>
            </w:pPr>
            <w:r w:rsidRPr="0031105E">
              <w:rPr>
                <w:rFonts w:cs="Calibri"/>
                <w:i/>
                <w:iCs/>
              </w:rPr>
              <w:t> </w:t>
            </w:r>
          </w:p>
        </w:tc>
        <w:tc>
          <w:tcPr>
            <w:tcW w:w="536" w:type="pct"/>
            <w:shd w:val="clear" w:color="auto" w:fill="92D050"/>
          </w:tcPr>
          <w:p w14:paraId="7E3D3CF1" w14:textId="77777777" w:rsidR="001A7D53" w:rsidRPr="007F63EF" w:rsidRDefault="001A7D53">
            <w:pPr>
              <w:jc w:val="center"/>
              <w:rPr>
                <w:rFonts w:cs="Calibri"/>
                <w:i/>
                <w:iCs/>
                <w:color w:val="auto"/>
              </w:rPr>
            </w:pPr>
            <w:r w:rsidRPr="0031105E">
              <w:rPr>
                <w:rFonts w:cs="Calibri"/>
                <w:i/>
                <w:iCs/>
              </w:rPr>
              <w:t> </w:t>
            </w:r>
          </w:p>
        </w:tc>
        <w:tc>
          <w:tcPr>
            <w:tcW w:w="606" w:type="pct"/>
          </w:tcPr>
          <w:p w14:paraId="0E57EA0E" w14:textId="77777777" w:rsidR="001A7D53" w:rsidRPr="007F63EF" w:rsidRDefault="001A7D53">
            <w:pPr>
              <w:jc w:val="right"/>
              <w:rPr>
                <w:rFonts w:eastAsia="Times New Roman" w:cs="Calibri"/>
                <w:color w:val="auto"/>
                <w:sz w:val="20"/>
                <w:szCs w:val="20"/>
                <w:lang w:eastAsia="en-GB"/>
              </w:rPr>
            </w:pPr>
            <w:r w:rsidRPr="0031105E">
              <w:rPr>
                <w:rFonts w:cs="Calibri"/>
              </w:rPr>
              <w:t> </w:t>
            </w:r>
          </w:p>
        </w:tc>
        <w:tc>
          <w:tcPr>
            <w:tcW w:w="619" w:type="pct"/>
          </w:tcPr>
          <w:p w14:paraId="5DBAE257" w14:textId="77777777" w:rsidR="001A7D53" w:rsidRPr="007F63EF" w:rsidRDefault="001A7D53">
            <w:pPr>
              <w:jc w:val="right"/>
              <w:rPr>
                <w:rFonts w:eastAsia="Times New Roman" w:cs="Calibri"/>
                <w:color w:val="auto"/>
                <w:sz w:val="20"/>
                <w:szCs w:val="20"/>
                <w:lang w:eastAsia="en-GB"/>
              </w:rPr>
            </w:pPr>
            <w:r w:rsidRPr="0031105E">
              <w:rPr>
                <w:rFonts w:cs="Calibri"/>
              </w:rPr>
              <w:t> </w:t>
            </w:r>
          </w:p>
        </w:tc>
      </w:tr>
      <w:tr w:rsidR="0031105E" w:rsidRPr="0031105E" w14:paraId="2614CDBA" w14:textId="77777777" w:rsidTr="00086F5E">
        <w:trPr>
          <w:cnfStyle w:val="000000010000" w:firstRow="0" w:lastRow="0" w:firstColumn="0" w:lastColumn="0" w:oddVBand="0" w:evenVBand="0" w:oddHBand="0" w:evenHBand="1" w:firstRowFirstColumn="0" w:firstRowLastColumn="0" w:lastRowFirstColumn="0" w:lastRowLastColumn="0"/>
          <w:trHeight w:val="690"/>
        </w:trPr>
        <w:tc>
          <w:tcPr>
            <w:tcW w:w="829" w:type="pct"/>
          </w:tcPr>
          <w:p w14:paraId="7E0E3F11" w14:textId="77777777" w:rsidR="001A7D53" w:rsidRPr="007F63EF" w:rsidRDefault="001A7D53">
            <w:pPr>
              <w:rPr>
                <w:rFonts w:eastAsia="Times New Roman" w:cs="Calibri"/>
                <w:color w:val="auto"/>
                <w:sz w:val="20"/>
                <w:szCs w:val="20"/>
                <w:lang w:eastAsia="en-GB"/>
              </w:rPr>
            </w:pPr>
            <w:r w:rsidRPr="0031105E">
              <w:rPr>
                <w:rFonts w:eastAsia="Times New Roman" w:cs="Calibri"/>
                <w:sz w:val="20"/>
                <w:szCs w:val="20"/>
                <w:lang w:eastAsia="en-GB"/>
              </w:rPr>
              <w:t>Unit cost of inputs tracked</w:t>
            </w:r>
          </w:p>
        </w:tc>
        <w:tc>
          <w:tcPr>
            <w:tcW w:w="635" w:type="pct"/>
            <w:shd w:val="clear" w:color="auto" w:fill="F1B249" w:themeFill="accent4"/>
          </w:tcPr>
          <w:p w14:paraId="039679F2" w14:textId="77777777" w:rsidR="001A7D53" w:rsidRPr="007F63EF" w:rsidRDefault="001A7D53">
            <w:pPr>
              <w:jc w:val="right"/>
              <w:rPr>
                <w:rFonts w:eastAsia="Times New Roman" w:cs="Calibri"/>
                <w:color w:val="auto"/>
                <w:sz w:val="20"/>
                <w:szCs w:val="20"/>
                <w:lang w:eastAsia="en-GB"/>
              </w:rPr>
            </w:pPr>
            <w:r w:rsidRPr="0031105E">
              <w:rPr>
                <w:rFonts w:cs="Calibri"/>
              </w:rPr>
              <w:t> </w:t>
            </w:r>
          </w:p>
        </w:tc>
        <w:tc>
          <w:tcPr>
            <w:tcW w:w="596" w:type="pct"/>
            <w:shd w:val="clear" w:color="auto" w:fill="F1B249" w:themeFill="accent4"/>
          </w:tcPr>
          <w:p w14:paraId="3ED0FBAD" w14:textId="77777777" w:rsidR="001A7D53" w:rsidRPr="007F63EF" w:rsidRDefault="001A7D53">
            <w:pPr>
              <w:jc w:val="right"/>
              <w:rPr>
                <w:rFonts w:eastAsia="Times New Roman" w:cs="Calibri"/>
                <w:color w:val="auto"/>
                <w:sz w:val="20"/>
                <w:szCs w:val="20"/>
                <w:lang w:eastAsia="en-GB"/>
              </w:rPr>
            </w:pPr>
            <w:r w:rsidRPr="0031105E">
              <w:rPr>
                <w:rFonts w:cs="Calibri"/>
              </w:rPr>
              <w:t> </w:t>
            </w:r>
          </w:p>
        </w:tc>
        <w:tc>
          <w:tcPr>
            <w:tcW w:w="604" w:type="pct"/>
            <w:shd w:val="clear" w:color="auto" w:fill="F1B249" w:themeFill="accent4"/>
          </w:tcPr>
          <w:p w14:paraId="7253EF9D" w14:textId="77777777" w:rsidR="001A7D53" w:rsidRPr="007F63EF" w:rsidRDefault="001A7D53">
            <w:pPr>
              <w:jc w:val="right"/>
              <w:rPr>
                <w:rFonts w:eastAsia="Times New Roman" w:cs="Calibri"/>
                <w:color w:val="auto"/>
                <w:sz w:val="20"/>
                <w:szCs w:val="20"/>
                <w:lang w:eastAsia="en-GB"/>
              </w:rPr>
            </w:pPr>
            <w:r w:rsidRPr="0031105E">
              <w:rPr>
                <w:rFonts w:cs="Calibri"/>
              </w:rPr>
              <w:t> </w:t>
            </w:r>
          </w:p>
        </w:tc>
        <w:tc>
          <w:tcPr>
            <w:tcW w:w="574" w:type="pct"/>
            <w:shd w:val="clear" w:color="auto" w:fill="8CCA45" w:themeFill="accent6"/>
          </w:tcPr>
          <w:p w14:paraId="191C5D16" w14:textId="77777777" w:rsidR="001A7D53" w:rsidRPr="007F63EF" w:rsidRDefault="001A7D53">
            <w:pPr>
              <w:jc w:val="right"/>
              <w:rPr>
                <w:rFonts w:eastAsia="Times New Roman" w:cs="Calibri"/>
                <w:color w:val="auto"/>
                <w:sz w:val="20"/>
                <w:szCs w:val="20"/>
                <w:lang w:eastAsia="en-GB"/>
              </w:rPr>
            </w:pPr>
            <w:r w:rsidRPr="0031105E">
              <w:rPr>
                <w:rFonts w:cs="Calibri"/>
              </w:rPr>
              <w:t> </w:t>
            </w:r>
          </w:p>
        </w:tc>
        <w:tc>
          <w:tcPr>
            <w:tcW w:w="536" w:type="pct"/>
            <w:shd w:val="clear" w:color="auto" w:fill="F1B249" w:themeFill="accent4"/>
          </w:tcPr>
          <w:p w14:paraId="702BE2FD" w14:textId="77777777" w:rsidR="001A7D53" w:rsidRPr="007F63EF" w:rsidRDefault="001A7D53">
            <w:pPr>
              <w:jc w:val="right"/>
              <w:rPr>
                <w:rFonts w:eastAsia="Times New Roman" w:cs="Calibri"/>
                <w:color w:val="auto"/>
                <w:sz w:val="20"/>
                <w:szCs w:val="20"/>
                <w:lang w:eastAsia="en-GB"/>
              </w:rPr>
            </w:pPr>
          </w:p>
        </w:tc>
        <w:tc>
          <w:tcPr>
            <w:tcW w:w="606" w:type="pct"/>
            <w:shd w:val="clear" w:color="auto" w:fill="F1B249" w:themeFill="accent4"/>
          </w:tcPr>
          <w:p w14:paraId="5EB0077C" w14:textId="77777777" w:rsidR="001A7D53" w:rsidRPr="007F63EF" w:rsidRDefault="001A7D53">
            <w:pPr>
              <w:jc w:val="right"/>
              <w:rPr>
                <w:rFonts w:eastAsia="Times New Roman" w:cs="Calibri"/>
                <w:color w:val="auto"/>
                <w:sz w:val="20"/>
                <w:szCs w:val="20"/>
                <w:lang w:eastAsia="en-GB"/>
              </w:rPr>
            </w:pPr>
            <w:r w:rsidRPr="0031105E">
              <w:rPr>
                <w:rFonts w:cs="Calibri"/>
              </w:rPr>
              <w:t> </w:t>
            </w:r>
          </w:p>
        </w:tc>
        <w:tc>
          <w:tcPr>
            <w:tcW w:w="619" w:type="pct"/>
            <w:shd w:val="clear" w:color="auto" w:fill="8CCA45" w:themeFill="accent6"/>
          </w:tcPr>
          <w:p w14:paraId="221BF864" w14:textId="77777777" w:rsidR="001A7D53" w:rsidRPr="007F63EF" w:rsidRDefault="001A7D53">
            <w:pPr>
              <w:jc w:val="right"/>
              <w:rPr>
                <w:rFonts w:eastAsia="Times New Roman" w:cs="Calibri"/>
                <w:color w:val="auto"/>
                <w:sz w:val="20"/>
                <w:szCs w:val="20"/>
                <w:lang w:eastAsia="en-GB"/>
              </w:rPr>
            </w:pPr>
            <w:r w:rsidRPr="0031105E">
              <w:rPr>
                <w:rFonts w:cs="Calibri"/>
              </w:rPr>
              <w:t> </w:t>
            </w:r>
          </w:p>
        </w:tc>
      </w:tr>
    </w:tbl>
    <w:p w14:paraId="0CF20058" w14:textId="4AFC3AEB" w:rsidR="001A1A5F" w:rsidRDefault="001A1A5F" w:rsidP="00C04C3C">
      <w:pPr>
        <w:pStyle w:val="ItadCaption"/>
      </w:pPr>
      <w:bookmarkStart w:id="130" w:name="_Ref120693021"/>
      <w:bookmarkStart w:id="131" w:name="_Toc143857885"/>
      <w:r>
        <w:t xml:space="preserve">Table </w:t>
      </w:r>
      <w:r>
        <w:fldChar w:fldCharType="begin"/>
      </w:r>
      <w:r>
        <w:instrText>SEQ Table \* ARABIC</w:instrText>
      </w:r>
      <w:r>
        <w:fldChar w:fldCharType="separate"/>
      </w:r>
      <w:r w:rsidR="009A383C">
        <w:rPr>
          <w:noProof/>
        </w:rPr>
        <w:t>17</w:t>
      </w:r>
      <w:r>
        <w:fldChar w:fldCharType="end"/>
      </w:r>
      <w:bookmarkEnd w:id="130"/>
      <w:r w:rsidR="00EC2B6F">
        <w:t xml:space="preserve"> </w:t>
      </w:r>
      <w:r w:rsidRPr="00FC1086">
        <w:t xml:space="preserve">Rubric for </w:t>
      </w:r>
      <w:r w:rsidR="0044432D">
        <w:t>VfM</w:t>
      </w:r>
      <w:r w:rsidRPr="00FC1086">
        <w:t xml:space="preserve"> Measures of Economy</w:t>
      </w:r>
      <w:bookmarkEnd w:id="131"/>
    </w:p>
    <w:tbl>
      <w:tblPr>
        <w:tblStyle w:val="Itadalternaterows"/>
        <w:tblW w:w="9072" w:type="dxa"/>
        <w:tblLook w:val="04A0" w:firstRow="1" w:lastRow="0" w:firstColumn="1" w:lastColumn="0" w:noHBand="0" w:noVBand="1"/>
      </w:tblPr>
      <w:tblGrid>
        <w:gridCol w:w="1560"/>
        <w:gridCol w:w="1984"/>
        <w:gridCol w:w="1985"/>
        <w:gridCol w:w="1701"/>
        <w:gridCol w:w="1842"/>
      </w:tblGrid>
      <w:tr w:rsidR="001A7D53" w:rsidRPr="002A3F81" w14:paraId="7C144DF7" w14:textId="77777777" w:rsidTr="00E00150">
        <w:trPr>
          <w:cnfStyle w:val="100000000000" w:firstRow="1" w:lastRow="0" w:firstColumn="0" w:lastColumn="0" w:oddVBand="0" w:evenVBand="0" w:oddHBand="0" w:evenHBand="0" w:firstRowFirstColumn="0" w:firstRowLastColumn="0" w:lastRowFirstColumn="0" w:lastRowLastColumn="0"/>
          <w:trHeight w:val="300"/>
        </w:trPr>
        <w:tc>
          <w:tcPr>
            <w:tcW w:w="1560" w:type="dxa"/>
            <w:hideMark/>
          </w:tcPr>
          <w:p w14:paraId="5011C607" w14:textId="77777777" w:rsidR="001A7D53" w:rsidRPr="002A3F81" w:rsidRDefault="001A7D53">
            <w:pPr>
              <w:rPr>
                <w:rFonts w:eastAsia="Times New Roman" w:cs="Calibri"/>
                <w:color w:val="000000"/>
                <w:sz w:val="18"/>
                <w:szCs w:val="18"/>
                <w:lang w:eastAsia="en-GB"/>
              </w:rPr>
            </w:pPr>
            <w:r>
              <w:rPr>
                <w:rFonts w:eastAsia="Times New Roman" w:cs="Calibri"/>
                <w:color w:val="000000"/>
                <w:sz w:val="18"/>
                <w:szCs w:val="18"/>
                <w:lang w:eastAsia="en-GB"/>
              </w:rPr>
              <w:t>RUBRIC</w:t>
            </w:r>
          </w:p>
        </w:tc>
        <w:tc>
          <w:tcPr>
            <w:tcW w:w="1984" w:type="dxa"/>
            <w:shd w:val="clear" w:color="auto" w:fill="8CCA45" w:themeFill="accent6"/>
            <w:noWrap/>
            <w:hideMark/>
          </w:tcPr>
          <w:p w14:paraId="54E6DC53" w14:textId="4A6C1FF2" w:rsidR="001A7D53" w:rsidRPr="002A3F81" w:rsidRDefault="001A7D53">
            <w:pPr>
              <w:rPr>
                <w:rFonts w:eastAsia="Times New Roman" w:cs="Calibri"/>
                <w:color w:val="000000"/>
                <w:sz w:val="18"/>
                <w:szCs w:val="18"/>
                <w:lang w:eastAsia="en-GB"/>
              </w:rPr>
            </w:pPr>
            <w:r w:rsidRPr="002A3F81">
              <w:rPr>
                <w:rFonts w:eastAsia="Times New Roman" w:cs="Calibri"/>
                <w:color w:val="000000"/>
                <w:sz w:val="18"/>
                <w:szCs w:val="18"/>
                <w:lang w:eastAsia="en-GB"/>
              </w:rPr>
              <w:t>G</w:t>
            </w:r>
            <w:r w:rsidR="00206098">
              <w:rPr>
                <w:rFonts w:eastAsia="Times New Roman" w:cs="Calibri"/>
                <w:color w:val="000000"/>
                <w:sz w:val="18"/>
                <w:szCs w:val="18"/>
                <w:lang w:eastAsia="en-GB"/>
              </w:rPr>
              <w:t>reen</w:t>
            </w:r>
          </w:p>
        </w:tc>
        <w:tc>
          <w:tcPr>
            <w:tcW w:w="1985" w:type="dxa"/>
            <w:shd w:val="clear" w:color="auto" w:fill="FFC000"/>
            <w:noWrap/>
            <w:hideMark/>
          </w:tcPr>
          <w:p w14:paraId="379F3791" w14:textId="183702AB" w:rsidR="001A7D53" w:rsidRPr="002A3F81" w:rsidRDefault="001A7D53">
            <w:pPr>
              <w:rPr>
                <w:rFonts w:eastAsia="Times New Roman" w:cs="Calibri"/>
                <w:color w:val="000000"/>
                <w:sz w:val="18"/>
                <w:szCs w:val="18"/>
                <w:lang w:eastAsia="en-GB"/>
              </w:rPr>
            </w:pPr>
            <w:r w:rsidRPr="002A3F81">
              <w:rPr>
                <w:rFonts w:eastAsia="Times New Roman" w:cs="Calibri"/>
                <w:color w:val="000000"/>
                <w:sz w:val="18"/>
                <w:szCs w:val="18"/>
                <w:lang w:eastAsia="en-GB"/>
              </w:rPr>
              <w:t>A</w:t>
            </w:r>
            <w:r w:rsidR="00206098">
              <w:rPr>
                <w:rFonts w:eastAsia="Times New Roman" w:cs="Calibri"/>
                <w:color w:val="000000"/>
                <w:sz w:val="18"/>
                <w:szCs w:val="18"/>
                <w:lang w:eastAsia="en-GB"/>
              </w:rPr>
              <w:t>mber</w:t>
            </w:r>
            <w:r w:rsidRPr="002A3F81">
              <w:rPr>
                <w:rFonts w:eastAsia="Times New Roman" w:cs="Calibri"/>
                <w:color w:val="000000"/>
                <w:sz w:val="18"/>
                <w:szCs w:val="18"/>
                <w:lang w:eastAsia="en-GB"/>
              </w:rPr>
              <w:t>/G</w:t>
            </w:r>
            <w:r w:rsidR="00206098">
              <w:rPr>
                <w:rFonts w:eastAsia="Times New Roman" w:cs="Calibri"/>
                <w:color w:val="000000"/>
                <w:sz w:val="18"/>
                <w:szCs w:val="18"/>
                <w:lang w:eastAsia="en-GB"/>
              </w:rPr>
              <w:t>reen</w:t>
            </w:r>
          </w:p>
        </w:tc>
        <w:tc>
          <w:tcPr>
            <w:tcW w:w="1701" w:type="dxa"/>
            <w:shd w:val="clear" w:color="auto" w:fill="E37230" w:themeFill="accent2"/>
            <w:noWrap/>
            <w:hideMark/>
          </w:tcPr>
          <w:p w14:paraId="7223803A" w14:textId="04DFD48A" w:rsidR="001A7D53" w:rsidRPr="002A3F81" w:rsidRDefault="001A7D53">
            <w:pPr>
              <w:rPr>
                <w:rFonts w:eastAsia="Times New Roman" w:cs="Calibri"/>
                <w:color w:val="000000"/>
                <w:sz w:val="18"/>
                <w:szCs w:val="18"/>
                <w:lang w:eastAsia="en-GB"/>
              </w:rPr>
            </w:pPr>
            <w:r w:rsidRPr="002A3F81">
              <w:rPr>
                <w:rFonts w:eastAsia="Times New Roman" w:cs="Calibri"/>
                <w:color w:val="000000"/>
                <w:sz w:val="18"/>
                <w:szCs w:val="18"/>
                <w:lang w:eastAsia="en-GB"/>
              </w:rPr>
              <w:t>A</w:t>
            </w:r>
            <w:r w:rsidR="00206098">
              <w:rPr>
                <w:rFonts w:eastAsia="Times New Roman" w:cs="Calibri"/>
                <w:color w:val="000000"/>
                <w:sz w:val="18"/>
                <w:szCs w:val="18"/>
                <w:lang w:eastAsia="en-GB"/>
              </w:rPr>
              <w:t>mber</w:t>
            </w:r>
            <w:r w:rsidRPr="002A3F81">
              <w:rPr>
                <w:rFonts w:eastAsia="Times New Roman" w:cs="Calibri"/>
                <w:color w:val="000000"/>
                <w:sz w:val="18"/>
                <w:szCs w:val="18"/>
                <w:lang w:eastAsia="en-GB"/>
              </w:rPr>
              <w:t>/R</w:t>
            </w:r>
            <w:r w:rsidR="00206098">
              <w:rPr>
                <w:rFonts w:eastAsia="Times New Roman" w:cs="Calibri"/>
                <w:color w:val="000000"/>
                <w:sz w:val="18"/>
                <w:szCs w:val="18"/>
                <w:lang w:eastAsia="en-GB"/>
              </w:rPr>
              <w:t>ed</w:t>
            </w:r>
          </w:p>
        </w:tc>
        <w:tc>
          <w:tcPr>
            <w:tcW w:w="1842" w:type="dxa"/>
            <w:shd w:val="clear" w:color="auto" w:fill="FF0000"/>
            <w:noWrap/>
            <w:hideMark/>
          </w:tcPr>
          <w:p w14:paraId="56FB2702" w14:textId="45154360" w:rsidR="001A7D53" w:rsidRPr="002A3F81" w:rsidRDefault="001A7D53">
            <w:pPr>
              <w:rPr>
                <w:rFonts w:eastAsia="Times New Roman" w:cs="Calibri"/>
                <w:color w:val="000000"/>
                <w:sz w:val="18"/>
                <w:szCs w:val="18"/>
                <w:lang w:eastAsia="en-GB"/>
              </w:rPr>
            </w:pPr>
            <w:r w:rsidRPr="002A3F81">
              <w:rPr>
                <w:rFonts w:eastAsia="Times New Roman" w:cs="Calibri"/>
                <w:color w:val="000000"/>
                <w:sz w:val="18"/>
                <w:szCs w:val="18"/>
                <w:lang w:eastAsia="en-GB"/>
              </w:rPr>
              <w:t>R</w:t>
            </w:r>
            <w:r w:rsidR="00206098">
              <w:rPr>
                <w:rFonts w:eastAsia="Times New Roman" w:cs="Calibri"/>
                <w:color w:val="000000"/>
                <w:sz w:val="18"/>
                <w:szCs w:val="18"/>
                <w:lang w:eastAsia="en-GB"/>
              </w:rPr>
              <w:t>ed</w:t>
            </w:r>
          </w:p>
        </w:tc>
      </w:tr>
      <w:tr w:rsidR="001A7D53" w:rsidRPr="002A3F81" w14:paraId="31C776BB" w14:textId="77777777" w:rsidTr="005A32AD">
        <w:trPr>
          <w:cnfStyle w:val="000000100000" w:firstRow="0" w:lastRow="0" w:firstColumn="0" w:lastColumn="0" w:oddVBand="0" w:evenVBand="0" w:oddHBand="1" w:evenHBand="0" w:firstRowFirstColumn="0" w:firstRowLastColumn="0" w:lastRowFirstColumn="0" w:lastRowLastColumn="0"/>
          <w:trHeight w:val="915"/>
        </w:trPr>
        <w:tc>
          <w:tcPr>
            <w:tcW w:w="1560" w:type="dxa"/>
            <w:shd w:val="clear" w:color="auto" w:fill="auto"/>
            <w:hideMark/>
          </w:tcPr>
          <w:p w14:paraId="31FFFF8E" w14:textId="66E50C86" w:rsidR="001A7D53" w:rsidRPr="002A3F81" w:rsidRDefault="0044432D">
            <w:pPr>
              <w:rPr>
                <w:rFonts w:eastAsia="Times New Roman" w:cs="Calibri"/>
                <w:b/>
                <w:bCs/>
                <w:color w:val="000000"/>
                <w:sz w:val="18"/>
                <w:szCs w:val="18"/>
                <w:lang w:eastAsia="en-GB"/>
              </w:rPr>
            </w:pPr>
            <w:r>
              <w:rPr>
                <w:rFonts w:eastAsia="Times New Roman" w:cs="Calibri"/>
                <w:b/>
                <w:bCs/>
                <w:color w:val="000000"/>
                <w:sz w:val="18"/>
                <w:szCs w:val="18"/>
                <w:lang w:eastAsia="en-GB"/>
              </w:rPr>
              <w:t>VfM</w:t>
            </w:r>
            <w:r w:rsidR="001A7D53" w:rsidRPr="002A3F81">
              <w:rPr>
                <w:rFonts w:eastAsia="Times New Roman" w:cs="Calibri"/>
                <w:b/>
                <w:bCs/>
                <w:color w:val="000000"/>
                <w:sz w:val="18"/>
                <w:szCs w:val="18"/>
                <w:lang w:eastAsia="en-GB"/>
              </w:rPr>
              <w:t xml:space="preserve"> Savings </w:t>
            </w:r>
          </w:p>
        </w:tc>
        <w:tc>
          <w:tcPr>
            <w:tcW w:w="1984" w:type="dxa"/>
            <w:shd w:val="clear" w:color="auto" w:fill="auto"/>
            <w:hideMark/>
          </w:tcPr>
          <w:p w14:paraId="44FBCA1F" w14:textId="77777777" w:rsidR="001A7D53" w:rsidRPr="002A3F81" w:rsidRDefault="001A7D53">
            <w:pPr>
              <w:rPr>
                <w:rFonts w:eastAsia="Times New Roman" w:cs="Calibri"/>
                <w:color w:val="000000"/>
                <w:sz w:val="16"/>
                <w:szCs w:val="16"/>
                <w:lang w:eastAsia="en-GB"/>
              </w:rPr>
            </w:pPr>
            <w:r w:rsidRPr="002A3F81">
              <w:rPr>
                <w:rFonts w:eastAsia="Times New Roman" w:cs="Calibri"/>
                <w:color w:val="000000"/>
                <w:sz w:val="16"/>
                <w:szCs w:val="16"/>
                <w:lang w:eastAsia="en-GB"/>
              </w:rPr>
              <w:t>Savings documented and value estimated</w:t>
            </w:r>
            <w:r w:rsidRPr="00BD6932">
              <w:rPr>
                <w:rFonts w:eastAsia="Times New Roman" w:cs="Calibri"/>
                <w:color w:val="000000"/>
                <w:sz w:val="16"/>
                <w:szCs w:val="16"/>
                <w:lang w:eastAsia="en-GB"/>
              </w:rPr>
              <w:t xml:space="preserve">. </w:t>
            </w:r>
            <w:r w:rsidRPr="002A3F81">
              <w:rPr>
                <w:rFonts w:eastAsia="Times New Roman" w:cs="Calibri"/>
                <w:color w:val="000000"/>
                <w:sz w:val="16"/>
                <w:szCs w:val="16"/>
                <w:lang w:eastAsia="en-GB"/>
              </w:rPr>
              <w:br/>
              <w:t>Estimated value equates to &gt;3% of programme expenditure</w:t>
            </w:r>
          </w:p>
        </w:tc>
        <w:tc>
          <w:tcPr>
            <w:tcW w:w="1985" w:type="dxa"/>
            <w:shd w:val="clear" w:color="auto" w:fill="auto"/>
            <w:hideMark/>
          </w:tcPr>
          <w:p w14:paraId="0A85D172" w14:textId="77777777" w:rsidR="001A7D53" w:rsidRPr="002A3F81" w:rsidRDefault="001A7D53">
            <w:pPr>
              <w:rPr>
                <w:rFonts w:eastAsia="Times New Roman" w:cs="Calibri"/>
                <w:color w:val="000000"/>
                <w:sz w:val="16"/>
                <w:szCs w:val="16"/>
                <w:lang w:eastAsia="en-GB"/>
              </w:rPr>
            </w:pPr>
            <w:r w:rsidRPr="002A3F81">
              <w:rPr>
                <w:rFonts w:eastAsia="Times New Roman" w:cs="Calibri"/>
                <w:color w:val="000000"/>
                <w:sz w:val="16"/>
                <w:szCs w:val="16"/>
                <w:lang w:eastAsia="en-GB"/>
              </w:rPr>
              <w:t>Savings documented and value estimated</w:t>
            </w:r>
            <w:r w:rsidRPr="00BD6932">
              <w:rPr>
                <w:rFonts w:eastAsia="Times New Roman" w:cs="Calibri"/>
                <w:color w:val="000000"/>
                <w:sz w:val="16"/>
                <w:szCs w:val="16"/>
                <w:lang w:eastAsia="en-GB"/>
              </w:rPr>
              <w:t xml:space="preserve">. </w:t>
            </w:r>
            <w:r w:rsidRPr="002A3F81">
              <w:rPr>
                <w:rFonts w:eastAsia="Times New Roman" w:cs="Calibri"/>
                <w:color w:val="000000"/>
                <w:sz w:val="16"/>
                <w:szCs w:val="16"/>
                <w:lang w:eastAsia="en-GB"/>
              </w:rPr>
              <w:br/>
              <w:t>Estimated value equates to &lt;3% of programme expenditure</w:t>
            </w:r>
          </w:p>
        </w:tc>
        <w:tc>
          <w:tcPr>
            <w:tcW w:w="1701" w:type="dxa"/>
            <w:shd w:val="clear" w:color="auto" w:fill="auto"/>
            <w:hideMark/>
          </w:tcPr>
          <w:p w14:paraId="4AC0AF25" w14:textId="77777777" w:rsidR="001A7D53" w:rsidRPr="002A3F81" w:rsidRDefault="001A7D53">
            <w:pPr>
              <w:rPr>
                <w:rFonts w:eastAsia="Times New Roman" w:cs="Calibri"/>
                <w:color w:val="000000"/>
                <w:sz w:val="16"/>
                <w:szCs w:val="16"/>
                <w:lang w:eastAsia="en-GB"/>
              </w:rPr>
            </w:pPr>
            <w:r w:rsidRPr="002A3F81">
              <w:rPr>
                <w:rFonts w:eastAsia="Times New Roman" w:cs="Calibri"/>
                <w:color w:val="000000"/>
                <w:sz w:val="16"/>
                <w:szCs w:val="16"/>
                <w:lang w:eastAsia="en-GB"/>
              </w:rPr>
              <w:t>Savings documented but not valued</w:t>
            </w:r>
            <w:r w:rsidRPr="00BD6932">
              <w:rPr>
                <w:rFonts w:eastAsia="Times New Roman" w:cs="Calibri"/>
                <w:color w:val="000000"/>
                <w:sz w:val="16"/>
                <w:szCs w:val="16"/>
                <w:lang w:eastAsia="en-GB"/>
              </w:rPr>
              <w:t>.</w:t>
            </w:r>
          </w:p>
        </w:tc>
        <w:tc>
          <w:tcPr>
            <w:tcW w:w="1842" w:type="dxa"/>
            <w:shd w:val="clear" w:color="auto" w:fill="auto"/>
            <w:hideMark/>
          </w:tcPr>
          <w:p w14:paraId="5D0C0923" w14:textId="2755B9F1" w:rsidR="001A7D53" w:rsidRPr="002A3F81" w:rsidRDefault="001A7D53">
            <w:pPr>
              <w:rPr>
                <w:rFonts w:eastAsia="Times New Roman" w:cs="Calibri"/>
                <w:color w:val="000000"/>
                <w:sz w:val="16"/>
                <w:szCs w:val="16"/>
                <w:lang w:eastAsia="en-GB"/>
              </w:rPr>
            </w:pPr>
            <w:r w:rsidRPr="002A3F81">
              <w:rPr>
                <w:rFonts w:eastAsia="Times New Roman" w:cs="Calibri"/>
                <w:color w:val="000000"/>
                <w:sz w:val="16"/>
                <w:szCs w:val="16"/>
                <w:lang w:eastAsia="en-GB"/>
              </w:rPr>
              <w:t xml:space="preserve">No savings made (NB if not documented note as </w:t>
            </w:r>
            <w:r w:rsidRPr="00BD6932">
              <w:rPr>
                <w:rFonts w:eastAsia="Times New Roman" w:cs="Calibri"/>
                <w:color w:val="000000"/>
                <w:sz w:val="16"/>
                <w:szCs w:val="16"/>
                <w:lang w:eastAsia="en-GB"/>
              </w:rPr>
              <w:t xml:space="preserve">NE </w:t>
            </w:r>
            <w:r w:rsidRPr="002A3F81">
              <w:rPr>
                <w:rFonts w:eastAsia="Times New Roman" w:cs="Calibri"/>
                <w:color w:val="000000"/>
                <w:sz w:val="16"/>
                <w:szCs w:val="16"/>
                <w:lang w:eastAsia="en-GB"/>
              </w:rPr>
              <w:t>rather than Red rated</w:t>
            </w:r>
          </w:p>
        </w:tc>
      </w:tr>
      <w:tr w:rsidR="001A7D53" w:rsidRPr="002A3F81" w14:paraId="5250BF29" w14:textId="77777777" w:rsidTr="005A32AD">
        <w:trPr>
          <w:cnfStyle w:val="000000010000" w:firstRow="0" w:lastRow="0" w:firstColumn="0" w:lastColumn="0" w:oddVBand="0" w:evenVBand="0" w:oddHBand="0" w:evenHBand="1" w:firstRowFirstColumn="0" w:firstRowLastColumn="0" w:lastRowFirstColumn="0" w:lastRowLastColumn="0"/>
          <w:trHeight w:val="615"/>
        </w:trPr>
        <w:tc>
          <w:tcPr>
            <w:tcW w:w="1560" w:type="dxa"/>
            <w:shd w:val="clear" w:color="auto" w:fill="auto"/>
            <w:hideMark/>
          </w:tcPr>
          <w:p w14:paraId="4C22B6CE" w14:textId="77777777" w:rsidR="001A7D53" w:rsidRPr="002A3F81" w:rsidRDefault="001A7D53">
            <w:pPr>
              <w:rPr>
                <w:rFonts w:eastAsia="Times New Roman" w:cs="Calibri"/>
                <w:b/>
                <w:bCs/>
                <w:color w:val="000000"/>
                <w:sz w:val="18"/>
                <w:szCs w:val="18"/>
                <w:lang w:eastAsia="en-GB"/>
              </w:rPr>
            </w:pPr>
            <w:r w:rsidRPr="002A3F81">
              <w:rPr>
                <w:rFonts w:eastAsia="Times New Roman" w:cs="Calibri"/>
                <w:b/>
                <w:bCs/>
                <w:color w:val="000000"/>
                <w:sz w:val="18"/>
                <w:szCs w:val="18"/>
                <w:lang w:eastAsia="en-GB"/>
              </w:rPr>
              <w:t xml:space="preserve">Unit costs </w:t>
            </w:r>
          </w:p>
        </w:tc>
        <w:tc>
          <w:tcPr>
            <w:tcW w:w="1984" w:type="dxa"/>
            <w:shd w:val="clear" w:color="auto" w:fill="auto"/>
            <w:noWrap/>
            <w:hideMark/>
          </w:tcPr>
          <w:p w14:paraId="6ACBD2A0" w14:textId="77777777" w:rsidR="001A7D53" w:rsidRPr="002A3F81" w:rsidRDefault="001A7D53">
            <w:pPr>
              <w:rPr>
                <w:rFonts w:eastAsia="Times New Roman" w:cs="Calibri"/>
                <w:color w:val="000000"/>
                <w:sz w:val="16"/>
                <w:szCs w:val="16"/>
                <w:lang w:eastAsia="en-GB"/>
              </w:rPr>
            </w:pPr>
            <w:r w:rsidRPr="002A3F81">
              <w:rPr>
                <w:rFonts w:eastAsia="Times New Roman" w:cs="Calibri"/>
                <w:color w:val="000000"/>
                <w:sz w:val="16"/>
                <w:szCs w:val="16"/>
                <w:lang w:eastAsia="en-GB"/>
              </w:rPr>
              <w:t>All tracked unit costs within 10% of plan (or below)</w:t>
            </w:r>
          </w:p>
        </w:tc>
        <w:tc>
          <w:tcPr>
            <w:tcW w:w="1985" w:type="dxa"/>
            <w:shd w:val="clear" w:color="auto" w:fill="auto"/>
            <w:noWrap/>
            <w:hideMark/>
          </w:tcPr>
          <w:p w14:paraId="285C4381" w14:textId="77777777" w:rsidR="001A7D53" w:rsidRPr="002A3F81" w:rsidRDefault="001A7D53">
            <w:pPr>
              <w:rPr>
                <w:rFonts w:eastAsia="Times New Roman" w:cs="Calibri"/>
                <w:color w:val="000000"/>
                <w:sz w:val="16"/>
                <w:szCs w:val="16"/>
                <w:lang w:eastAsia="en-GB"/>
              </w:rPr>
            </w:pPr>
            <w:r w:rsidRPr="002A3F81">
              <w:rPr>
                <w:rFonts w:eastAsia="Times New Roman" w:cs="Calibri"/>
                <w:color w:val="000000"/>
                <w:sz w:val="16"/>
                <w:szCs w:val="16"/>
                <w:lang w:eastAsia="en-GB"/>
              </w:rPr>
              <w:t>&gt;50% of tracked unit costs within 10% of plan</w:t>
            </w:r>
          </w:p>
        </w:tc>
        <w:tc>
          <w:tcPr>
            <w:tcW w:w="1701" w:type="dxa"/>
            <w:shd w:val="clear" w:color="auto" w:fill="auto"/>
            <w:noWrap/>
            <w:hideMark/>
          </w:tcPr>
          <w:p w14:paraId="76967D9B" w14:textId="77777777" w:rsidR="001A7D53" w:rsidRPr="002A3F81" w:rsidRDefault="001A7D53">
            <w:pPr>
              <w:rPr>
                <w:rFonts w:eastAsia="Times New Roman" w:cs="Calibri"/>
                <w:color w:val="000000"/>
                <w:sz w:val="16"/>
                <w:szCs w:val="16"/>
                <w:lang w:eastAsia="en-GB"/>
              </w:rPr>
            </w:pPr>
            <w:r w:rsidRPr="002A3F81">
              <w:rPr>
                <w:rFonts w:eastAsia="Times New Roman" w:cs="Calibri"/>
                <w:color w:val="000000"/>
                <w:sz w:val="16"/>
                <w:szCs w:val="16"/>
                <w:lang w:eastAsia="en-GB"/>
              </w:rPr>
              <w:t>&lt;50% of tracked unit costs within 10% of plan</w:t>
            </w:r>
          </w:p>
        </w:tc>
        <w:tc>
          <w:tcPr>
            <w:tcW w:w="1842" w:type="dxa"/>
            <w:shd w:val="clear" w:color="auto" w:fill="auto"/>
            <w:noWrap/>
            <w:hideMark/>
          </w:tcPr>
          <w:p w14:paraId="065DAA09" w14:textId="77777777" w:rsidR="001A7D53" w:rsidRPr="002A3F81" w:rsidRDefault="001A7D53">
            <w:pPr>
              <w:rPr>
                <w:rFonts w:eastAsia="Times New Roman" w:cs="Calibri"/>
                <w:color w:val="000000"/>
                <w:sz w:val="16"/>
                <w:szCs w:val="16"/>
                <w:lang w:eastAsia="en-GB"/>
              </w:rPr>
            </w:pPr>
            <w:r w:rsidRPr="002A3F81">
              <w:rPr>
                <w:rFonts w:eastAsia="Times New Roman" w:cs="Calibri"/>
                <w:color w:val="000000"/>
                <w:sz w:val="16"/>
                <w:szCs w:val="16"/>
                <w:lang w:eastAsia="en-GB"/>
              </w:rPr>
              <w:t>All tracked costs above 10% of plan</w:t>
            </w:r>
          </w:p>
        </w:tc>
      </w:tr>
    </w:tbl>
    <w:p w14:paraId="7EC261F4" w14:textId="77777777" w:rsidR="001A7D53" w:rsidRDefault="001A7D53" w:rsidP="001A7D53">
      <w:pPr>
        <w:jc w:val="both"/>
      </w:pPr>
    </w:p>
    <w:p w14:paraId="0234DA96" w14:textId="2965B0E1" w:rsidR="001A7D53" w:rsidRDefault="002D5895" w:rsidP="00E00150">
      <w:pPr>
        <w:pStyle w:val="FFNormal"/>
      </w:pPr>
      <w:r>
        <w:t>Six out</w:t>
      </w:r>
      <w:r w:rsidR="001A7D53">
        <w:t xml:space="preserve"> of 15 CGs achieved and reported cost-savings from planned expenditure that were equivalent to at least 3% of the grant value while </w:t>
      </w:r>
      <w:r w:rsidR="00956985">
        <w:t>five</w:t>
      </w:r>
      <w:r w:rsidR="001A7D53">
        <w:t xml:space="preserve"> other countries recorded cost savings but less than 3% of </w:t>
      </w:r>
      <w:r w:rsidR="006B0768">
        <w:t xml:space="preserve">the </w:t>
      </w:r>
      <w:r w:rsidR="001A7D53">
        <w:t xml:space="preserve">total cost. For </w:t>
      </w:r>
      <w:r w:rsidR="00B56682">
        <w:t>RGs</w:t>
      </w:r>
      <w:r w:rsidR="001A7D53">
        <w:t xml:space="preserve">, all </w:t>
      </w:r>
      <w:r w:rsidR="00AD4932">
        <w:t>seven</w:t>
      </w:r>
      <w:r w:rsidR="001A7D53">
        <w:t xml:space="preserve"> RGs reported significant cost-savings ranging from </w:t>
      </w:r>
      <w:r w:rsidR="00987096">
        <w:t>£53</w:t>
      </w:r>
      <w:r w:rsidR="001A7D53">
        <w:t xml:space="preserve">,531 to </w:t>
      </w:r>
      <w:r w:rsidR="003D23B1">
        <w:t>£239</w:t>
      </w:r>
      <w:r w:rsidR="001A7D53">
        <w:t xml:space="preserve">,916 with </w:t>
      </w:r>
      <w:r w:rsidR="00AD4932">
        <w:t xml:space="preserve">the </w:t>
      </w:r>
      <w:r w:rsidR="001A7D53">
        <w:t>proportion of expenditure saved ranging from 4.3% to 46.9%. Cost</w:t>
      </w:r>
      <w:r w:rsidR="006B0768">
        <w:t xml:space="preserve"> </w:t>
      </w:r>
      <w:r w:rsidR="001A7D53">
        <w:t xml:space="preserve">savings were achieved </w:t>
      </w:r>
      <w:r w:rsidR="006B0768">
        <w:t xml:space="preserve">through </w:t>
      </w:r>
      <w:r w:rsidR="001A7D53">
        <w:t>various strategies such as sharing costs for training activities, meetings and other events with other partners</w:t>
      </w:r>
      <w:r w:rsidR="00BB7BD3">
        <w:t>,</w:t>
      </w:r>
      <w:r w:rsidR="001A7D53">
        <w:t xml:space="preserve"> </w:t>
      </w:r>
      <w:r w:rsidR="006B0768">
        <w:t xml:space="preserve">and </w:t>
      </w:r>
      <w:r w:rsidR="001A7D53">
        <w:t>use of government-owned spaces for teaching and training events and as offices</w:t>
      </w:r>
      <w:r w:rsidR="00BB7BD3">
        <w:t>,</w:t>
      </w:r>
      <w:r w:rsidR="001A7D53">
        <w:t xml:space="preserve"> </w:t>
      </w:r>
      <w:r w:rsidR="00BB7BD3">
        <w:t xml:space="preserve">the </w:t>
      </w:r>
      <w:r w:rsidR="001A7D53">
        <w:t xml:space="preserve">unintended </w:t>
      </w:r>
      <w:r w:rsidR="0075181D">
        <w:t>COVID-</w:t>
      </w:r>
      <w:r w:rsidR="001A7D53">
        <w:t xml:space="preserve">19 effects where grantees switched to virtual meetings and training thus </w:t>
      </w:r>
      <w:r w:rsidR="00283D87">
        <w:t>reducing</w:t>
      </w:r>
      <w:r w:rsidR="001A7D53">
        <w:t xml:space="preserve"> travel costs</w:t>
      </w:r>
      <w:r w:rsidR="00537C00">
        <w:t>,</w:t>
      </w:r>
      <w:r w:rsidR="001A7D53">
        <w:t xml:space="preserve"> </w:t>
      </w:r>
      <w:r w:rsidR="00537C00">
        <w:t xml:space="preserve">the </w:t>
      </w:r>
      <w:r w:rsidR="001A7D53">
        <w:t xml:space="preserve">use of local trainers rather than international ones; requesting waivers on import duty for procured equipment. </w:t>
      </w:r>
    </w:p>
    <w:p w14:paraId="2F9810E0" w14:textId="77777777" w:rsidR="009A383C" w:rsidRDefault="001A7D53" w:rsidP="00C04C3C">
      <w:pPr>
        <w:pStyle w:val="ItadCaption"/>
      </w:pPr>
      <w:r>
        <w:t xml:space="preserve">In terms of </w:t>
      </w:r>
      <w:r w:rsidR="00F67C58">
        <w:t xml:space="preserve">the </w:t>
      </w:r>
      <w:r>
        <w:t xml:space="preserve">comparison of unit costs to budgeted costs, </w:t>
      </w:r>
      <w:r w:rsidR="00F67C58">
        <w:t>eight</w:t>
      </w:r>
      <w:r>
        <w:t xml:space="preserve"> of the 16 CGs had all tracked unit costs within 10% of planned </w:t>
      </w:r>
      <w:r w:rsidR="00011E8B">
        <w:t xml:space="preserve">costs </w:t>
      </w:r>
      <w:r>
        <w:t xml:space="preserve">or below. In many cases, the actual cost of the input (e.g. staff salary, travel costs) were significantly below budgeted costs thus indicating the unit costs were not realistic or sufficiently benchmarked during the budget and proposal review process. (See </w:t>
      </w:r>
      <w:r w:rsidR="00F64270">
        <w:fldChar w:fldCharType="begin"/>
      </w:r>
      <w:r w:rsidR="00F64270">
        <w:instrText xml:space="preserve"> REF _Ref121248778 \h </w:instrText>
      </w:r>
      <w:r w:rsidR="00F64270">
        <w:fldChar w:fldCharType="separate"/>
      </w:r>
    </w:p>
    <w:p w14:paraId="40B2533B" w14:textId="6FB54DE9" w:rsidR="001A7D53" w:rsidRDefault="009A383C" w:rsidP="00E00150">
      <w:pPr>
        <w:pStyle w:val="FFNormal"/>
      </w:pPr>
      <w:r>
        <w:t xml:space="preserve">Table </w:t>
      </w:r>
      <w:r>
        <w:rPr>
          <w:noProof/>
        </w:rPr>
        <w:t>16</w:t>
      </w:r>
      <w:r w:rsidR="00F64270">
        <w:fldChar w:fldCharType="end"/>
      </w:r>
      <w:r w:rsidR="001A7D53">
        <w:t>) These resulted in cost</w:t>
      </w:r>
      <w:r w:rsidR="006B0768">
        <w:t xml:space="preserve"> </w:t>
      </w:r>
      <w:r w:rsidR="001A7D53">
        <w:t>savings that were reprogrammed from quarter to quarter, where required.</w:t>
      </w:r>
    </w:p>
    <w:p w14:paraId="0A01C430" w14:textId="12C219D1" w:rsidR="001A7D53" w:rsidRDefault="001A7D53" w:rsidP="0027728F">
      <w:pPr>
        <w:pStyle w:val="FFNormal"/>
        <w:rPr>
          <w:highlight w:val="yellow"/>
        </w:rPr>
      </w:pPr>
      <w:r>
        <w:t xml:space="preserve">Savings </w:t>
      </w:r>
      <w:r w:rsidR="00E245DA">
        <w:t>were</w:t>
      </w:r>
      <w:r>
        <w:t xml:space="preserve"> identified through central procurement negotiations. Overall </w:t>
      </w:r>
      <w:r w:rsidR="00E245DA">
        <w:t xml:space="preserve">the </w:t>
      </w:r>
      <w:r>
        <w:t xml:space="preserve">estimated savings through central procurement reported by the </w:t>
      </w:r>
      <w:r w:rsidR="00C212FF">
        <w:t>MA</w:t>
      </w:r>
      <w:r>
        <w:t xml:space="preserve"> </w:t>
      </w:r>
      <w:r w:rsidR="00E245DA">
        <w:t xml:space="preserve">were </w:t>
      </w:r>
      <w:r w:rsidR="00774735">
        <w:rPr>
          <w:rFonts w:cs="Calibri"/>
        </w:rPr>
        <w:t>€</w:t>
      </w:r>
      <w:r>
        <w:t>2.73</w:t>
      </w:r>
      <w:r w:rsidR="00774735">
        <w:t xml:space="preserve"> </w:t>
      </w:r>
      <w:r>
        <w:t>m</w:t>
      </w:r>
      <w:r w:rsidR="00774735">
        <w:t>illion</w:t>
      </w:r>
      <w:r>
        <w:t>.</w:t>
      </w:r>
      <w:r w:rsidR="007458AC">
        <w:t xml:space="preserve"> </w:t>
      </w:r>
      <w:r>
        <w:t xml:space="preserve">Of which, </w:t>
      </w:r>
      <w:r w:rsidR="00774735">
        <w:rPr>
          <w:rFonts w:cs="Calibri"/>
        </w:rPr>
        <w:t>€</w:t>
      </w:r>
      <w:r>
        <w:t>2.06</w:t>
      </w:r>
      <w:r w:rsidR="00774735">
        <w:t xml:space="preserve"> </w:t>
      </w:r>
      <w:r>
        <w:t>m</w:t>
      </w:r>
      <w:r w:rsidR="00774735">
        <w:t>illion</w:t>
      </w:r>
      <w:r>
        <w:t xml:space="preserve"> is through </w:t>
      </w:r>
      <w:r w:rsidR="00E245DA">
        <w:t xml:space="preserve">the </w:t>
      </w:r>
      <w:r>
        <w:t xml:space="preserve">central procurement of mass spectrometry </w:t>
      </w:r>
      <w:r w:rsidRPr="00F64270">
        <w:t>instruments</w:t>
      </w:r>
      <w:r w:rsidR="00F64270" w:rsidRPr="00443C5E">
        <w:t>.</w:t>
      </w:r>
      <w:r w:rsidR="00F90765" w:rsidRPr="00443C5E">
        <w:rPr>
          <w:rStyle w:val="FootnoteReference"/>
        </w:rPr>
        <w:footnoteReference w:id="32"/>
      </w:r>
    </w:p>
    <w:p w14:paraId="00D01146" w14:textId="77777777" w:rsidR="001A7D53" w:rsidRDefault="001A7D53" w:rsidP="008D2F84">
      <w:pPr>
        <w:pStyle w:val="ItadH4"/>
      </w:pPr>
      <w:r>
        <w:t>Efficiency</w:t>
      </w:r>
    </w:p>
    <w:p w14:paraId="5424ADC1" w14:textId="26A24685" w:rsidR="001A7D53" w:rsidRDefault="001A7D53" w:rsidP="0027728F">
      <w:pPr>
        <w:pStyle w:val="FFNormal"/>
      </w:pPr>
      <w:r>
        <w:t xml:space="preserve">In </w:t>
      </w:r>
      <w:r w:rsidR="00FB57FB">
        <w:t>a few countries</w:t>
      </w:r>
      <w:r>
        <w:t>, overheads (budget and actual) are higher than in similar grant programmes.</w:t>
      </w:r>
      <w:r w:rsidR="007458AC">
        <w:t xml:space="preserve"> </w:t>
      </w:r>
      <w:r>
        <w:t xml:space="preserve">The value of actual overhead costs ranged from as low as 6% to as high as 62% . (See </w:t>
      </w:r>
      <w:r>
        <w:fldChar w:fldCharType="begin"/>
      </w:r>
      <w:r>
        <w:instrText xml:space="preserve"> REF _Ref120693164 \h  \* MERGEFORMAT </w:instrText>
      </w:r>
      <w:r>
        <w:fldChar w:fldCharType="separate"/>
      </w:r>
      <w:r w:rsidR="009A383C">
        <w:t>Table 18</w:t>
      </w:r>
      <w:r>
        <w:fldChar w:fldCharType="end"/>
      </w:r>
      <w:r w:rsidR="007D13B3">
        <w:t>)</w:t>
      </w:r>
      <w:r>
        <w:t xml:space="preserve">. </w:t>
      </w:r>
      <w:r w:rsidR="00FB57FB">
        <w:t>The range can be due to the way the definition is applied and also the differences in the way the grants were structured and their financial systems.</w:t>
      </w:r>
      <w:r w:rsidR="007458AC">
        <w:t xml:space="preserve"> </w:t>
      </w:r>
      <w:r w:rsidR="00FB57FB">
        <w:t>Overheads are defined as ‘IDC’ indirect costs which cover the grantees’ overhead costs i.e. a portion of their operating costs, and ‘</w:t>
      </w:r>
      <w:r w:rsidR="00FB57FB" w:rsidRPr="45CDE7E8">
        <w:rPr>
          <w:rFonts w:eastAsia="Times New Roman"/>
        </w:rPr>
        <w:t>management and overhead expense’</w:t>
      </w:r>
      <w:r w:rsidR="00E006D6" w:rsidRPr="45CDE7E8">
        <w:rPr>
          <w:rFonts w:eastAsia="Times New Roman"/>
        </w:rPr>
        <w:t xml:space="preserve"> (M&amp;OH)</w:t>
      </w:r>
      <w:r w:rsidR="00FB57FB" w:rsidRPr="45CDE7E8">
        <w:rPr>
          <w:rFonts w:eastAsia="Times New Roman"/>
        </w:rPr>
        <w:t xml:space="preserve"> that is directly attributable to the grant such as personnel (Project Managers/administrators/finance staff/etc) and expenses (office costs, rent, etc). </w:t>
      </w:r>
      <w:r>
        <w:t xml:space="preserve">For </w:t>
      </w:r>
      <w:r w:rsidR="00B56682">
        <w:t>RGs</w:t>
      </w:r>
      <w:r>
        <w:t>, overheads range from 7% (FF8/FF9) to 19% (FF10/FF11). During the proposal review and grant processes, selected grantees received feedback on high overhead costs from the DHSC and MA. In terms of actual overheads, these became higher than expected due to implementation delays. For example, salary costs for program</w:t>
      </w:r>
      <w:r w:rsidR="00FB57FB">
        <w:t>me</w:t>
      </w:r>
      <w:r>
        <w:t xml:space="preserve"> staff even though </w:t>
      </w:r>
      <w:r w:rsidR="00A25914">
        <w:t xml:space="preserve">the </w:t>
      </w:r>
      <w:r>
        <w:t>implementation of lab</w:t>
      </w:r>
      <w:r w:rsidR="00A25914">
        <w:t>oratory</w:t>
      </w:r>
      <w:r>
        <w:t>-related activities</w:t>
      </w:r>
      <w:r w:rsidR="00BD3A52">
        <w:t xml:space="preserve"> and</w:t>
      </w:r>
      <w:r>
        <w:t xml:space="preserve"> engagements with government stakeholders were on hold due to the </w:t>
      </w:r>
      <w:r w:rsidR="0075181D">
        <w:t>COVID-</w:t>
      </w:r>
      <w:r>
        <w:t xml:space="preserve">19 pandemic. </w:t>
      </w:r>
    </w:p>
    <w:p w14:paraId="58C8DA70" w14:textId="0670BDDB" w:rsidR="001A1A5F" w:rsidRDefault="001A1A5F" w:rsidP="00C04C3C">
      <w:pPr>
        <w:pStyle w:val="ItadCaption"/>
      </w:pPr>
      <w:bookmarkStart w:id="132" w:name="_Ref120693164"/>
      <w:bookmarkStart w:id="133" w:name="_Toc143857886"/>
      <w:r>
        <w:t>Tabl</w:t>
      </w:r>
      <w:r w:rsidRPr="001A1A5F">
        <w:rPr>
          <w:rStyle w:val="ItadCaptionChar"/>
        </w:rPr>
        <w:t xml:space="preserve">e </w:t>
      </w:r>
      <w:r w:rsidRPr="001A1A5F">
        <w:rPr>
          <w:rStyle w:val="ItadCaptionChar"/>
        </w:rPr>
        <w:fldChar w:fldCharType="begin"/>
      </w:r>
      <w:r w:rsidRPr="001A1A5F">
        <w:rPr>
          <w:rStyle w:val="ItadCaptionChar"/>
        </w:rPr>
        <w:instrText xml:space="preserve"> SEQ Table \* ARABIC </w:instrText>
      </w:r>
      <w:r w:rsidRPr="001A1A5F">
        <w:rPr>
          <w:rStyle w:val="ItadCaptionChar"/>
        </w:rPr>
        <w:fldChar w:fldCharType="separate"/>
      </w:r>
      <w:r w:rsidR="009A383C">
        <w:rPr>
          <w:rStyle w:val="ItadCaptionChar"/>
          <w:noProof/>
        </w:rPr>
        <w:t>18</w:t>
      </w:r>
      <w:r w:rsidRPr="001A1A5F">
        <w:rPr>
          <w:rStyle w:val="ItadCaptionChar"/>
        </w:rPr>
        <w:fldChar w:fldCharType="end"/>
      </w:r>
      <w:bookmarkEnd w:id="132"/>
      <w:r w:rsidR="00EC2B6F">
        <w:rPr>
          <w:rStyle w:val="ItadCaptionChar"/>
        </w:rPr>
        <w:t xml:space="preserve"> </w:t>
      </w:r>
      <w:r w:rsidRPr="001A1A5F">
        <w:rPr>
          <w:rStyle w:val="ItadCaptionChar"/>
        </w:rPr>
        <w:t>Budgeted and Actual Overhead costs in CGs</w:t>
      </w:r>
      <w:bookmarkEnd w:id="133"/>
    </w:p>
    <w:tbl>
      <w:tblPr>
        <w:tblStyle w:val="Itadalternaterows"/>
        <w:tblW w:w="9171" w:type="dxa"/>
        <w:tblLook w:val="04A0" w:firstRow="1" w:lastRow="0" w:firstColumn="1" w:lastColumn="0" w:noHBand="0" w:noVBand="1"/>
      </w:tblPr>
      <w:tblGrid>
        <w:gridCol w:w="1076"/>
        <w:gridCol w:w="676"/>
        <w:gridCol w:w="580"/>
        <w:gridCol w:w="536"/>
        <w:gridCol w:w="526"/>
        <w:gridCol w:w="667"/>
        <w:gridCol w:w="498"/>
        <w:gridCol w:w="498"/>
        <w:gridCol w:w="498"/>
        <w:gridCol w:w="536"/>
        <w:gridCol w:w="536"/>
        <w:gridCol w:w="536"/>
        <w:gridCol w:w="536"/>
        <w:gridCol w:w="473"/>
        <w:gridCol w:w="473"/>
        <w:gridCol w:w="526"/>
      </w:tblGrid>
      <w:tr w:rsidR="00B875AC" w:rsidRPr="00B875AC" w14:paraId="0ED513A5" w14:textId="77777777" w:rsidTr="001A1A5F">
        <w:trPr>
          <w:cnfStyle w:val="100000000000" w:firstRow="1" w:lastRow="0" w:firstColumn="0" w:lastColumn="0" w:oddVBand="0" w:evenVBand="0" w:oddHBand="0" w:evenHBand="0" w:firstRowFirstColumn="0" w:firstRowLastColumn="0" w:lastRowFirstColumn="0" w:lastRowLastColumn="0"/>
          <w:trHeight w:val="1096"/>
        </w:trPr>
        <w:tc>
          <w:tcPr>
            <w:tcW w:w="1076" w:type="dxa"/>
            <w:hideMark/>
          </w:tcPr>
          <w:p w14:paraId="1E2A9EF4" w14:textId="77777777" w:rsidR="001A7D53" w:rsidRPr="00BB4743" w:rsidRDefault="001A7D53">
            <w:pPr>
              <w:rPr>
                <w:rFonts w:eastAsia="Times New Roman" w:cs="Calibri"/>
                <w:b/>
                <w:bCs/>
                <w:sz w:val="19"/>
                <w:szCs w:val="19"/>
                <w:lang w:eastAsia="en-GB"/>
              </w:rPr>
            </w:pPr>
            <w:r w:rsidRPr="00BB4743">
              <w:rPr>
                <w:rFonts w:eastAsia="Times New Roman" w:cs="Calibri"/>
                <w:b/>
                <w:bCs/>
                <w:color w:val="auto"/>
                <w:sz w:val="19"/>
                <w:szCs w:val="19"/>
                <w:lang w:eastAsia="en-GB"/>
              </w:rPr>
              <w:t xml:space="preserve">Proportion of overhead costs </w:t>
            </w:r>
          </w:p>
        </w:tc>
        <w:tc>
          <w:tcPr>
            <w:tcW w:w="676" w:type="dxa"/>
            <w:noWrap/>
            <w:textDirection w:val="btLr"/>
            <w:hideMark/>
          </w:tcPr>
          <w:p w14:paraId="6420C850" w14:textId="77777777" w:rsidR="001A7D53" w:rsidRPr="00BB4743" w:rsidRDefault="001A7D53">
            <w:pPr>
              <w:rPr>
                <w:rFonts w:eastAsia="Times New Roman" w:cs="Calibri"/>
                <w:sz w:val="19"/>
                <w:szCs w:val="19"/>
                <w:lang w:eastAsia="en-GB"/>
              </w:rPr>
            </w:pPr>
            <w:r w:rsidRPr="00BB4743">
              <w:rPr>
                <w:rFonts w:cs="Calibri"/>
                <w:color w:val="auto"/>
              </w:rPr>
              <w:t>Bangladesh</w:t>
            </w:r>
          </w:p>
        </w:tc>
        <w:tc>
          <w:tcPr>
            <w:tcW w:w="580" w:type="dxa"/>
            <w:noWrap/>
            <w:textDirection w:val="btLr"/>
            <w:hideMark/>
          </w:tcPr>
          <w:p w14:paraId="58B17E73" w14:textId="77777777" w:rsidR="001A7D53" w:rsidRPr="00BB4743" w:rsidRDefault="001A7D53">
            <w:pPr>
              <w:rPr>
                <w:rFonts w:eastAsia="Times New Roman" w:cs="Calibri"/>
                <w:sz w:val="19"/>
                <w:szCs w:val="19"/>
                <w:lang w:eastAsia="en-GB"/>
              </w:rPr>
            </w:pPr>
            <w:r w:rsidRPr="00BB4743">
              <w:rPr>
                <w:rFonts w:cs="Calibri"/>
                <w:color w:val="auto"/>
              </w:rPr>
              <w:t>Bhutan</w:t>
            </w:r>
          </w:p>
        </w:tc>
        <w:tc>
          <w:tcPr>
            <w:tcW w:w="536" w:type="dxa"/>
            <w:noWrap/>
            <w:textDirection w:val="btLr"/>
            <w:hideMark/>
          </w:tcPr>
          <w:p w14:paraId="2C4CF65E" w14:textId="77777777" w:rsidR="001A7D53" w:rsidRPr="00BB4743" w:rsidRDefault="001A7D53">
            <w:pPr>
              <w:rPr>
                <w:rFonts w:eastAsia="Times New Roman" w:cs="Calibri"/>
                <w:sz w:val="19"/>
                <w:szCs w:val="19"/>
                <w:lang w:eastAsia="en-GB"/>
              </w:rPr>
            </w:pPr>
            <w:r w:rsidRPr="00BB4743">
              <w:rPr>
                <w:rFonts w:cs="Calibri"/>
                <w:color w:val="auto"/>
              </w:rPr>
              <w:t>Indonesia</w:t>
            </w:r>
          </w:p>
        </w:tc>
        <w:tc>
          <w:tcPr>
            <w:tcW w:w="526" w:type="dxa"/>
            <w:noWrap/>
            <w:textDirection w:val="btLr"/>
            <w:hideMark/>
          </w:tcPr>
          <w:p w14:paraId="1F943FE7" w14:textId="77777777" w:rsidR="001A7D53" w:rsidRPr="00BB4743" w:rsidRDefault="001A7D53">
            <w:pPr>
              <w:rPr>
                <w:rFonts w:eastAsia="Times New Roman" w:cs="Calibri"/>
                <w:sz w:val="19"/>
                <w:szCs w:val="19"/>
                <w:lang w:eastAsia="en-GB"/>
              </w:rPr>
            </w:pPr>
            <w:r w:rsidRPr="00BB4743">
              <w:rPr>
                <w:rFonts w:cs="Calibri"/>
                <w:color w:val="auto"/>
              </w:rPr>
              <w:t xml:space="preserve">Laos </w:t>
            </w:r>
          </w:p>
        </w:tc>
        <w:tc>
          <w:tcPr>
            <w:tcW w:w="667" w:type="dxa"/>
            <w:noWrap/>
            <w:textDirection w:val="btLr"/>
            <w:hideMark/>
          </w:tcPr>
          <w:p w14:paraId="15644CE6" w14:textId="77777777" w:rsidR="001A7D53" w:rsidRPr="00BB4743" w:rsidRDefault="001A7D53">
            <w:pPr>
              <w:rPr>
                <w:rFonts w:eastAsia="Times New Roman" w:cs="Calibri"/>
                <w:sz w:val="19"/>
                <w:szCs w:val="19"/>
                <w:lang w:eastAsia="en-GB"/>
              </w:rPr>
            </w:pPr>
            <w:r w:rsidRPr="00BB4743">
              <w:rPr>
                <w:rFonts w:cs="Calibri"/>
                <w:color w:val="auto"/>
              </w:rPr>
              <w:t xml:space="preserve">Nepal </w:t>
            </w:r>
          </w:p>
        </w:tc>
        <w:tc>
          <w:tcPr>
            <w:tcW w:w="498" w:type="dxa"/>
            <w:noWrap/>
            <w:textDirection w:val="btLr"/>
            <w:hideMark/>
          </w:tcPr>
          <w:p w14:paraId="43E6CE13" w14:textId="77777777" w:rsidR="001A7D53" w:rsidRPr="00BB4743" w:rsidRDefault="001A7D53">
            <w:pPr>
              <w:rPr>
                <w:rFonts w:eastAsia="Times New Roman" w:cs="Calibri"/>
                <w:sz w:val="19"/>
                <w:szCs w:val="19"/>
                <w:lang w:eastAsia="en-GB"/>
              </w:rPr>
            </w:pPr>
            <w:r w:rsidRPr="00BB4743">
              <w:rPr>
                <w:rFonts w:cs="Calibri"/>
                <w:color w:val="auto"/>
              </w:rPr>
              <w:t>Pakistan</w:t>
            </w:r>
          </w:p>
        </w:tc>
        <w:tc>
          <w:tcPr>
            <w:tcW w:w="498" w:type="dxa"/>
            <w:noWrap/>
            <w:textDirection w:val="btLr"/>
            <w:hideMark/>
          </w:tcPr>
          <w:p w14:paraId="087C836D" w14:textId="77777777" w:rsidR="001A7D53" w:rsidRPr="00BB4743" w:rsidRDefault="001A7D53">
            <w:pPr>
              <w:rPr>
                <w:rFonts w:eastAsia="Times New Roman" w:cs="Calibri"/>
                <w:sz w:val="19"/>
                <w:szCs w:val="19"/>
                <w:lang w:eastAsia="en-GB"/>
              </w:rPr>
            </w:pPr>
            <w:r w:rsidRPr="00BB4743">
              <w:rPr>
                <w:rFonts w:cs="Calibri"/>
                <w:color w:val="auto"/>
              </w:rPr>
              <w:t>Timor-Leste</w:t>
            </w:r>
          </w:p>
        </w:tc>
        <w:tc>
          <w:tcPr>
            <w:tcW w:w="498" w:type="dxa"/>
            <w:noWrap/>
            <w:textDirection w:val="btLr"/>
            <w:hideMark/>
          </w:tcPr>
          <w:p w14:paraId="2BCA9BE1" w14:textId="77777777" w:rsidR="001A7D53" w:rsidRPr="00BB4743" w:rsidRDefault="001A7D53">
            <w:pPr>
              <w:rPr>
                <w:rFonts w:eastAsia="Times New Roman" w:cs="Calibri"/>
                <w:sz w:val="19"/>
                <w:szCs w:val="19"/>
                <w:lang w:eastAsia="en-GB"/>
              </w:rPr>
            </w:pPr>
            <w:r w:rsidRPr="00BB4743">
              <w:rPr>
                <w:rFonts w:cs="Calibri"/>
                <w:color w:val="auto"/>
              </w:rPr>
              <w:t>Vietnam</w:t>
            </w:r>
          </w:p>
        </w:tc>
        <w:tc>
          <w:tcPr>
            <w:tcW w:w="536" w:type="dxa"/>
            <w:noWrap/>
            <w:textDirection w:val="btLr"/>
            <w:hideMark/>
          </w:tcPr>
          <w:p w14:paraId="16CAD1D2" w14:textId="77777777" w:rsidR="001A7D53" w:rsidRPr="00BB4743" w:rsidRDefault="001A7D53">
            <w:pPr>
              <w:rPr>
                <w:rFonts w:eastAsia="Times New Roman" w:cs="Calibri"/>
                <w:sz w:val="19"/>
                <w:szCs w:val="19"/>
                <w:lang w:eastAsia="en-GB"/>
              </w:rPr>
            </w:pPr>
            <w:r w:rsidRPr="00BB4743">
              <w:rPr>
                <w:rFonts w:cs="Calibri"/>
                <w:color w:val="auto"/>
              </w:rPr>
              <w:t>Ghana</w:t>
            </w:r>
          </w:p>
        </w:tc>
        <w:tc>
          <w:tcPr>
            <w:tcW w:w="536" w:type="dxa"/>
            <w:noWrap/>
            <w:textDirection w:val="btLr"/>
            <w:hideMark/>
          </w:tcPr>
          <w:p w14:paraId="7DE018E9" w14:textId="77777777" w:rsidR="001A7D53" w:rsidRPr="00BB4743" w:rsidRDefault="001A7D53">
            <w:pPr>
              <w:rPr>
                <w:rFonts w:eastAsia="Times New Roman" w:cs="Calibri"/>
                <w:sz w:val="19"/>
                <w:szCs w:val="19"/>
                <w:lang w:eastAsia="en-GB"/>
              </w:rPr>
            </w:pPr>
            <w:r w:rsidRPr="00BB4743">
              <w:rPr>
                <w:rFonts w:cs="Calibri"/>
                <w:color w:val="auto"/>
              </w:rPr>
              <w:t xml:space="preserve">Kenya </w:t>
            </w:r>
          </w:p>
        </w:tc>
        <w:tc>
          <w:tcPr>
            <w:tcW w:w="536" w:type="dxa"/>
            <w:noWrap/>
            <w:textDirection w:val="btLr"/>
            <w:hideMark/>
          </w:tcPr>
          <w:p w14:paraId="1928A89E" w14:textId="77777777" w:rsidR="001A7D53" w:rsidRPr="00BB4743" w:rsidRDefault="001A7D53">
            <w:pPr>
              <w:rPr>
                <w:rFonts w:eastAsia="Times New Roman" w:cs="Calibri"/>
                <w:sz w:val="19"/>
                <w:szCs w:val="19"/>
                <w:lang w:eastAsia="en-GB"/>
              </w:rPr>
            </w:pPr>
            <w:r w:rsidRPr="00BB4743">
              <w:rPr>
                <w:rFonts w:eastAsia="Times New Roman" w:cs="Calibri"/>
                <w:color w:val="auto"/>
                <w:sz w:val="20"/>
                <w:szCs w:val="20"/>
                <w:lang w:eastAsia="en-GB"/>
              </w:rPr>
              <w:t>Tanzania</w:t>
            </w:r>
          </w:p>
        </w:tc>
        <w:tc>
          <w:tcPr>
            <w:tcW w:w="536" w:type="dxa"/>
            <w:noWrap/>
            <w:textDirection w:val="btLr"/>
            <w:hideMark/>
          </w:tcPr>
          <w:p w14:paraId="47D9868C" w14:textId="77777777" w:rsidR="001A7D53" w:rsidRPr="00BB4743" w:rsidRDefault="001A7D53">
            <w:pPr>
              <w:rPr>
                <w:rFonts w:eastAsia="Times New Roman" w:cs="Calibri"/>
                <w:sz w:val="19"/>
                <w:szCs w:val="19"/>
                <w:lang w:eastAsia="en-GB"/>
              </w:rPr>
            </w:pPr>
            <w:r w:rsidRPr="00BB4743">
              <w:rPr>
                <w:rFonts w:cs="Calibri"/>
                <w:color w:val="auto"/>
              </w:rPr>
              <w:t>Nigeria</w:t>
            </w:r>
          </w:p>
        </w:tc>
        <w:tc>
          <w:tcPr>
            <w:tcW w:w="473" w:type="dxa"/>
            <w:noWrap/>
            <w:textDirection w:val="btLr"/>
            <w:hideMark/>
          </w:tcPr>
          <w:p w14:paraId="7F0B77D5" w14:textId="77777777" w:rsidR="001A7D53" w:rsidRPr="00BB4743" w:rsidRDefault="001A7D53">
            <w:pPr>
              <w:rPr>
                <w:rFonts w:eastAsia="Times New Roman" w:cs="Calibri"/>
                <w:sz w:val="19"/>
                <w:szCs w:val="19"/>
                <w:lang w:eastAsia="en-GB"/>
              </w:rPr>
            </w:pPr>
            <w:r w:rsidRPr="00BB4743">
              <w:rPr>
                <w:rFonts w:eastAsia="Times New Roman" w:cs="Calibri"/>
                <w:color w:val="auto"/>
                <w:sz w:val="20"/>
                <w:szCs w:val="20"/>
                <w:lang w:eastAsia="en-GB"/>
              </w:rPr>
              <w:t>Senegal</w:t>
            </w:r>
          </w:p>
        </w:tc>
        <w:tc>
          <w:tcPr>
            <w:tcW w:w="473" w:type="dxa"/>
            <w:noWrap/>
            <w:textDirection w:val="btLr"/>
            <w:hideMark/>
          </w:tcPr>
          <w:p w14:paraId="76011173" w14:textId="77777777" w:rsidR="001A7D53" w:rsidRPr="00BB4743" w:rsidRDefault="001A7D53">
            <w:pPr>
              <w:rPr>
                <w:rFonts w:eastAsia="Times New Roman" w:cs="Calibri"/>
                <w:sz w:val="19"/>
                <w:szCs w:val="19"/>
                <w:lang w:eastAsia="en-GB"/>
              </w:rPr>
            </w:pPr>
            <w:r w:rsidRPr="00BB4743">
              <w:rPr>
                <w:rFonts w:eastAsia="Times New Roman" w:cs="Calibri"/>
                <w:color w:val="auto"/>
                <w:sz w:val="20"/>
                <w:szCs w:val="20"/>
                <w:lang w:eastAsia="en-GB"/>
              </w:rPr>
              <w:t>Uganda</w:t>
            </w:r>
          </w:p>
        </w:tc>
        <w:tc>
          <w:tcPr>
            <w:tcW w:w="526" w:type="dxa"/>
            <w:noWrap/>
            <w:textDirection w:val="btLr"/>
            <w:hideMark/>
          </w:tcPr>
          <w:p w14:paraId="22075859" w14:textId="77777777" w:rsidR="001A7D53" w:rsidRPr="00BB4743" w:rsidRDefault="001A7D53">
            <w:pPr>
              <w:rPr>
                <w:rFonts w:eastAsia="Times New Roman" w:cs="Calibri"/>
                <w:sz w:val="19"/>
                <w:szCs w:val="19"/>
                <w:lang w:eastAsia="en-GB"/>
              </w:rPr>
            </w:pPr>
            <w:r w:rsidRPr="00BB4743">
              <w:rPr>
                <w:rFonts w:eastAsia="Times New Roman" w:cs="Calibri"/>
                <w:color w:val="auto"/>
                <w:sz w:val="20"/>
                <w:szCs w:val="20"/>
                <w:lang w:eastAsia="en-GB"/>
              </w:rPr>
              <w:t>Zambia</w:t>
            </w:r>
          </w:p>
        </w:tc>
      </w:tr>
      <w:tr w:rsidR="005A32AD" w:rsidRPr="00B875AC" w14:paraId="3D315802" w14:textId="77777777" w:rsidTr="005A32AD">
        <w:trPr>
          <w:cnfStyle w:val="000000100000" w:firstRow="0" w:lastRow="0" w:firstColumn="0" w:lastColumn="0" w:oddVBand="0" w:evenVBand="0" w:oddHBand="1" w:evenHBand="0" w:firstRowFirstColumn="0" w:firstRowLastColumn="0" w:lastRowFirstColumn="0" w:lastRowLastColumn="0"/>
          <w:trHeight w:val="690"/>
        </w:trPr>
        <w:tc>
          <w:tcPr>
            <w:tcW w:w="1076" w:type="dxa"/>
            <w:shd w:val="clear" w:color="auto" w:fill="auto"/>
            <w:hideMark/>
          </w:tcPr>
          <w:p w14:paraId="1F5F5518" w14:textId="77777777" w:rsidR="001A7D53" w:rsidRPr="00BB4743" w:rsidRDefault="001A7D53">
            <w:pPr>
              <w:rPr>
                <w:rFonts w:eastAsia="Times New Roman" w:cs="Calibri"/>
                <w:sz w:val="19"/>
                <w:szCs w:val="19"/>
                <w:lang w:eastAsia="en-GB"/>
              </w:rPr>
            </w:pPr>
            <w:r w:rsidRPr="00BB4743">
              <w:rPr>
                <w:rFonts w:eastAsia="Times New Roman" w:cs="Calibri"/>
                <w:color w:val="auto"/>
                <w:sz w:val="19"/>
                <w:szCs w:val="19"/>
                <w:lang w:eastAsia="en-GB"/>
              </w:rPr>
              <w:t>Budgeted (%)</w:t>
            </w:r>
          </w:p>
        </w:tc>
        <w:tc>
          <w:tcPr>
            <w:tcW w:w="676" w:type="dxa"/>
            <w:shd w:val="clear" w:color="auto" w:fill="auto"/>
            <w:noWrap/>
          </w:tcPr>
          <w:p w14:paraId="27503D61" w14:textId="77777777" w:rsidR="001A7D53" w:rsidRPr="00BB4743" w:rsidRDefault="001A7D53">
            <w:pPr>
              <w:jc w:val="right"/>
              <w:outlineLvl w:val="0"/>
              <w:rPr>
                <w:rFonts w:eastAsia="Times New Roman" w:cs="Calibri"/>
                <w:sz w:val="19"/>
                <w:szCs w:val="19"/>
                <w:lang w:eastAsia="en-GB"/>
              </w:rPr>
            </w:pPr>
            <w:r w:rsidRPr="00B875AC">
              <w:rPr>
                <w:sz w:val="19"/>
                <w:szCs w:val="19"/>
              </w:rPr>
              <w:t>9.2</w:t>
            </w:r>
          </w:p>
        </w:tc>
        <w:tc>
          <w:tcPr>
            <w:tcW w:w="580" w:type="dxa"/>
            <w:shd w:val="clear" w:color="auto" w:fill="auto"/>
            <w:noWrap/>
          </w:tcPr>
          <w:p w14:paraId="4C4F8CE7" w14:textId="77777777" w:rsidR="001A7D53" w:rsidRPr="00BB4743" w:rsidRDefault="001A7D53">
            <w:pPr>
              <w:jc w:val="right"/>
              <w:outlineLvl w:val="0"/>
              <w:rPr>
                <w:rFonts w:eastAsia="Times New Roman" w:cs="Calibri"/>
                <w:sz w:val="19"/>
                <w:szCs w:val="19"/>
                <w:lang w:eastAsia="en-GB"/>
              </w:rPr>
            </w:pPr>
            <w:r w:rsidRPr="00B875AC">
              <w:rPr>
                <w:sz w:val="19"/>
                <w:szCs w:val="19"/>
              </w:rPr>
              <w:t>6.3</w:t>
            </w:r>
          </w:p>
        </w:tc>
        <w:tc>
          <w:tcPr>
            <w:tcW w:w="536" w:type="dxa"/>
            <w:shd w:val="clear" w:color="auto" w:fill="auto"/>
            <w:noWrap/>
          </w:tcPr>
          <w:p w14:paraId="22DD4B84" w14:textId="77777777" w:rsidR="001A7D53" w:rsidRPr="00BB4743" w:rsidRDefault="001A7D53">
            <w:pPr>
              <w:jc w:val="right"/>
              <w:outlineLvl w:val="0"/>
              <w:rPr>
                <w:rFonts w:eastAsia="Times New Roman" w:cs="Calibri"/>
                <w:sz w:val="19"/>
                <w:szCs w:val="19"/>
                <w:lang w:eastAsia="en-GB"/>
              </w:rPr>
            </w:pPr>
            <w:r w:rsidRPr="00B875AC">
              <w:rPr>
                <w:sz w:val="19"/>
                <w:szCs w:val="19"/>
              </w:rPr>
              <w:t>14</w:t>
            </w:r>
          </w:p>
        </w:tc>
        <w:tc>
          <w:tcPr>
            <w:tcW w:w="526" w:type="dxa"/>
            <w:shd w:val="clear" w:color="auto" w:fill="auto"/>
            <w:noWrap/>
          </w:tcPr>
          <w:p w14:paraId="1EA6D960" w14:textId="77777777" w:rsidR="001A7D53" w:rsidRPr="00BB4743" w:rsidRDefault="001A7D53">
            <w:pPr>
              <w:jc w:val="right"/>
              <w:outlineLvl w:val="0"/>
              <w:rPr>
                <w:rFonts w:eastAsia="Times New Roman" w:cs="Calibri"/>
                <w:sz w:val="19"/>
                <w:szCs w:val="19"/>
                <w:lang w:eastAsia="en-GB"/>
              </w:rPr>
            </w:pPr>
            <w:r w:rsidRPr="00B875AC">
              <w:rPr>
                <w:sz w:val="19"/>
                <w:szCs w:val="19"/>
              </w:rPr>
              <w:t>12</w:t>
            </w:r>
          </w:p>
        </w:tc>
        <w:tc>
          <w:tcPr>
            <w:tcW w:w="667" w:type="dxa"/>
            <w:shd w:val="clear" w:color="auto" w:fill="auto"/>
            <w:noWrap/>
          </w:tcPr>
          <w:p w14:paraId="01EE0A3A" w14:textId="77777777" w:rsidR="001A7D53" w:rsidRPr="00BB4743" w:rsidRDefault="001A7D53">
            <w:pPr>
              <w:jc w:val="right"/>
              <w:outlineLvl w:val="0"/>
              <w:rPr>
                <w:rFonts w:eastAsia="Times New Roman" w:cs="Calibri"/>
                <w:sz w:val="19"/>
                <w:szCs w:val="19"/>
                <w:lang w:eastAsia="en-GB"/>
              </w:rPr>
            </w:pPr>
            <w:r w:rsidRPr="00B875AC">
              <w:rPr>
                <w:sz w:val="19"/>
                <w:szCs w:val="19"/>
              </w:rPr>
              <w:t>6</w:t>
            </w:r>
          </w:p>
        </w:tc>
        <w:tc>
          <w:tcPr>
            <w:tcW w:w="498" w:type="dxa"/>
            <w:shd w:val="clear" w:color="auto" w:fill="auto"/>
            <w:noWrap/>
          </w:tcPr>
          <w:p w14:paraId="240AF816" w14:textId="77777777" w:rsidR="001A7D53" w:rsidRPr="00BB4743" w:rsidRDefault="001A7D53">
            <w:pPr>
              <w:jc w:val="right"/>
              <w:outlineLvl w:val="0"/>
              <w:rPr>
                <w:rFonts w:eastAsia="Times New Roman" w:cs="Calibri"/>
                <w:sz w:val="19"/>
                <w:szCs w:val="19"/>
                <w:lang w:eastAsia="en-GB"/>
              </w:rPr>
            </w:pPr>
            <w:r w:rsidRPr="00B875AC">
              <w:rPr>
                <w:sz w:val="19"/>
                <w:szCs w:val="19"/>
              </w:rPr>
              <w:t>34</w:t>
            </w:r>
          </w:p>
        </w:tc>
        <w:tc>
          <w:tcPr>
            <w:tcW w:w="498" w:type="dxa"/>
            <w:shd w:val="clear" w:color="auto" w:fill="auto"/>
            <w:noWrap/>
          </w:tcPr>
          <w:p w14:paraId="53DC337E" w14:textId="77777777" w:rsidR="001A7D53" w:rsidRPr="00BB4743" w:rsidRDefault="001A7D53">
            <w:pPr>
              <w:jc w:val="right"/>
              <w:outlineLvl w:val="0"/>
              <w:rPr>
                <w:rFonts w:eastAsia="Times New Roman" w:cs="Calibri"/>
                <w:sz w:val="19"/>
                <w:szCs w:val="19"/>
                <w:lang w:eastAsia="en-GB"/>
              </w:rPr>
            </w:pPr>
            <w:r w:rsidRPr="00B875AC">
              <w:rPr>
                <w:sz w:val="19"/>
                <w:szCs w:val="19"/>
              </w:rPr>
              <w:t>27</w:t>
            </w:r>
          </w:p>
        </w:tc>
        <w:tc>
          <w:tcPr>
            <w:tcW w:w="498" w:type="dxa"/>
            <w:shd w:val="clear" w:color="auto" w:fill="auto"/>
            <w:noWrap/>
          </w:tcPr>
          <w:p w14:paraId="41B04EE7" w14:textId="77777777" w:rsidR="001A7D53" w:rsidRPr="00BB4743" w:rsidRDefault="001A7D53">
            <w:pPr>
              <w:jc w:val="right"/>
              <w:outlineLvl w:val="0"/>
              <w:rPr>
                <w:rFonts w:eastAsia="Times New Roman" w:cs="Calibri"/>
                <w:sz w:val="19"/>
                <w:szCs w:val="19"/>
                <w:lang w:eastAsia="en-GB"/>
              </w:rPr>
            </w:pPr>
            <w:r w:rsidRPr="00B875AC">
              <w:rPr>
                <w:sz w:val="19"/>
                <w:szCs w:val="19"/>
              </w:rPr>
              <w:t>16</w:t>
            </w:r>
          </w:p>
        </w:tc>
        <w:tc>
          <w:tcPr>
            <w:tcW w:w="536" w:type="dxa"/>
            <w:shd w:val="clear" w:color="auto" w:fill="auto"/>
            <w:noWrap/>
          </w:tcPr>
          <w:p w14:paraId="23CFBD80" w14:textId="77777777" w:rsidR="001A7D53" w:rsidRPr="00BB4743" w:rsidRDefault="001A7D53">
            <w:pPr>
              <w:jc w:val="right"/>
              <w:outlineLvl w:val="0"/>
              <w:rPr>
                <w:rFonts w:eastAsia="Times New Roman" w:cs="Calibri"/>
                <w:sz w:val="19"/>
                <w:szCs w:val="19"/>
                <w:lang w:eastAsia="en-GB"/>
              </w:rPr>
            </w:pPr>
            <w:r w:rsidRPr="00B875AC">
              <w:rPr>
                <w:sz w:val="19"/>
                <w:szCs w:val="19"/>
              </w:rPr>
              <w:t>27</w:t>
            </w:r>
          </w:p>
        </w:tc>
        <w:tc>
          <w:tcPr>
            <w:tcW w:w="536" w:type="dxa"/>
            <w:shd w:val="clear" w:color="auto" w:fill="auto"/>
            <w:noWrap/>
          </w:tcPr>
          <w:p w14:paraId="73A59936" w14:textId="77777777" w:rsidR="001A7D53" w:rsidRPr="00BB4743" w:rsidRDefault="001A7D53">
            <w:pPr>
              <w:jc w:val="right"/>
              <w:outlineLvl w:val="0"/>
              <w:rPr>
                <w:rFonts w:eastAsia="Times New Roman" w:cs="Calibri"/>
                <w:sz w:val="19"/>
                <w:szCs w:val="19"/>
                <w:lang w:eastAsia="en-GB"/>
              </w:rPr>
            </w:pPr>
            <w:r w:rsidRPr="00B875AC">
              <w:rPr>
                <w:sz w:val="19"/>
                <w:szCs w:val="19"/>
              </w:rPr>
              <w:t>12</w:t>
            </w:r>
          </w:p>
        </w:tc>
        <w:tc>
          <w:tcPr>
            <w:tcW w:w="536" w:type="dxa"/>
            <w:shd w:val="clear" w:color="auto" w:fill="auto"/>
            <w:noWrap/>
          </w:tcPr>
          <w:p w14:paraId="32F391EC" w14:textId="77777777" w:rsidR="001A7D53" w:rsidRPr="00BB4743" w:rsidRDefault="001A7D53">
            <w:pPr>
              <w:jc w:val="right"/>
              <w:outlineLvl w:val="0"/>
              <w:rPr>
                <w:rFonts w:eastAsia="Times New Roman" w:cs="Calibri"/>
                <w:sz w:val="19"/>
                <w:szCs w:val="19"/>
                <w:lang w:eastAsia="en-GB"/>
              </w:rPr>
            </w:pPr>
            <w:r w:rsidRPr="00B875AC">
              <w:rPr>
                <w:sz w:val="19"/>
                <w:szCs w:val="19"/>
              </w:rPr>
              <w:t>49</w:t>
            </w:r>
          </w:p>
        </w:tc>
        <w:tc>
          <w:tcPr>
            <w:tcW w:w="536" w:type="dxa"/>
            <w:shd w:val="clear" w:color="auto" w:fill="auto"/>
            <w:noWrap/>
          </w:tcPr>
          <w:p w14:paraId="4531D464" w14:textId="77777777" w:rsidR="001A7D53" w:rsidRPr="00BB4743" w:rsidRDefault="001A7D53">
            <w:pPr>
              <w:jc w:val="right"/>
              <w:outlineLvl w:val="0"/>
              <w:rPr>
                <w:rFonts w:eastAsia="Times New Roman" w:cs="Calibri"/>
                <w:sz w:val="19"/>
                <w:szCs w:val="19"/>
                <w:lang w:eastAsia="en-GB"/>
              </w:rPr>
            </w:pPr>
            <w:r w:rsidRPr="00B875AC">
              <w:rPr>
                <w:sz w:val="19"/>
                <w:szCs w:val="19"/>
              </w:rPr>
              <w:t>10</w:t>
            </w:r>
          </w:p>
        </w:tc>
        <w:tc>
          <w:tcPr>
            <w:tcW w:w="473" w:type="dxa"/>
            <w:shd w:val="clear" w:color="auto" w:fill="auto"/>
            <w:noWrap/>
          </w:tcPr>
          <w:p w14:paraId="23ADC903" w14:textId="77777777" w:rsidR="001A7D53" w:rsidRPr="00BB4743" w:rsidRDefault="001A7D53">
            <w:pPr>
              <w:jc w:val="right"/>
              <w:outlineLvl w:val="0"/>
              <w:rPr>
                <w:rFonts w:eastAsia="Times New Roman" w:cs="Calibri"/>
                <w:sz w:val="19"/>
                <w:szCs w:val="19"/>
                <w:lang w:eastAsia="en-GB"/>
              </w:rPr>
            </w:pPr>
            <w:r w:rsidRPr="00BB4743">
              <w:rPr>
                <w:rFonts w:eastAsia="Times New Roman" w:cs="Calibri"/>
                <w:i/>
                <w:iCs/>
                <w:color w:val="auto"/>
                <w:sz w:val="19"/>
                <w:szCs w:val="19"/>
                <w:lang w:eastAsia="en-GB"/>
              </w:rPr>
              <w:t>NA</w:t>
            </w:r>
          </w:p>
        </w:tc>
        <w:tc>
          <w:tcPr>
            <w:tcW w:w="473" w:type="dxa"/>
            <w:shd w:val="clear" w:color="auto" w:fill="auto"/>
            <w:noWrap/>
          </w:tcPr>
          <w:p w14:paraId="5D0532E8" w14:textId="77777777" w:rsidR="001A7D53" w:rsidRPr="00BB4743" w:rsidRDefault="001A7D53">
            <w:pPr>
              <w:jc w:val="right"/>
              <w:outlineLvl w:val="0"/>
              <w:rPr>
                <w:rFonts w:eastAsia="Times New Roman" w:cs="Calibri"/>
                <w:sz w:val="19"/>
                <w:szCs w:val="19"/>
                <w:lang w:eastAsia="en-GB"/>
              </w:rPr>
            </w:pPr>
            <w:r w:rsidRPr="00BB4743">
              <w:rPr>
                <w:rFonts w:eastAsia="Times New Roman" w:cs="Calibri"/>
                <w:i/>
                <w:iCs/>
                <w:color w:val="auto"/>
                <w:sz w:val="19"/>
                <w:szCs w:val="19"/>
                <w:lang w:eastAsia="en-GB"/>
              </w:rPr>
              <w:t>NA</w:t>
            </w:r>
          </w:p>
        </w:tc>
        <w:tc>
          <w:tcPr>
            <w:tcW w:w="526" w:type="dxa"/>
            <w:shd w:val="clear" w:color="auto" w:fill="auto"/>
            <w:noWrap/>
          </w:tcPr>
          <w:p w14:paraId="2B7EDEAD" w14:textId="77777777" w:rsidR="001A7D53" w:rsidRPr="00BB4743" w:rsidRDefault="001A7D53">
            <w:pPr>
              <w:jc w:val="right"/>
              <w:outlineLvl w:val="0"/>
              <w:rPr>
                <w:rFonts w:eastAsia="Times New Roman" w:cs="Calibri"/>
                <w:sz w:val="19"/>
                <w:szCs w:val="19"/>
                <w:lang w:eastAsia="en-GB"/>
              </w:rPr>
            </w:pPr>
            <w:r w:rsidRPr="00B875AC">
              <w:rPr>
                <w:sz w:val="19"/>
                <w:szCs w:val="19"/>
              </w:rPr>
              <w:t>27</w:t>
            </w:r>
          </w:p>
        </w:tc>
      </w:tr>
      <w:tr w:rsidR="005A32AD" w:rsidRPr="00B875AC" w14:paraId="628C13FF" w14:textId="77777777" w:rsidTr="005A32AD">
        <w:trPr>
          <w:cnfStyle w:val="000000010000" w:firstRow="0" w:lastRow="0" w:firstColumn="0" w:lastColumn="0" w:oddVBand="0" w:evenVBand="0" w:oddHBand="0" w:evenHBand="1" w:firstRowFirstColumn="0" w:firstRowLastColumn="0" w:lastRowFirstColumn="0" w:lastRowLastColumn="0"/>
          <w:trHeight w:val="690"/>
        </w:trPr>
        <w:tc>
          <w:tcPr>
            <w:tcW w:w="1076" w:type="dxa"/>
            <w:shd w:val="clear" w:color="auto" w:fill="auto"/>
            <w:hideMark/>
          </w:tcPr>
          <w:p w14:paraId="290A114E" w14:textId="77777777" w:rsidR="001A7D53" w:rsidRPr="00BB4743" w:rsidRDefault="001A7D53">
            <w:pPr>
              <w:rPr>
                <w:rFonts w:eastAsia="Times New Roman" w:cs="Calibri"/>
                <w:sz w:val="19"/>
                <w:szCs w:val="19"/>
                <w:lang w:eastAsia="en-GB"/>
              </w:rPr>
            </w:pPr>
            <w:r w:rsidRPr="00BB4743">
              <w:rPr>
                <w:rFonts w:eastAsia="Times New Roman" w:cs="Calibri"/>
                <w:color w:val="auto"/>
                <w:sz w:val="19"/>
                <w:szCs w:val="19"/>
                <w:lang w:eastAsia="en-GB"/>
              </w:rPr>
              <w:t>Actual (%)</w:t>
            </w:r>
          </w:p>
        </w:tc>
        <w:tc>
          <w:tcPr>
            <w:tcW w:w="676" w:type="dxa"/>
            <w:shd w:val="clear" w:color="auto" w:fill="auto"/>
            <w:noWrap/>
          </w:tcPr>
          <w:p w14:paraId="0246A93E" w14:textId="77777777" w:rsidR="001A7D53" w:rsidRPr="00BB4743" w:rsidRDefault="001A7D53">
            <w:pPr>
              <w:jc w:val="right"/>
              <w:outlineLvl w:val="0"/>
              <w:rPr>
                <w:rFonts w:eastAsia="Times New Roman" w:cs="Calibri"/>
                <w:sz w:val="19"/>
                <w:szCs w:val="19"/>
                <w:lang w:eastAsia="en-GB"/>
              </w:rPr>
            </w:pPr>
            <w:r w:rsidRPr="00B875AC">
              <w:rPr>
                <w:sz w:val="19"/>
                <w:szCs w:val="19"/>
              </w:rPr>
              <w:t>62</w:t>
            </w:r>
          </w:p>
        </w:tc>
        <w:tc>
          <w:tcPr>
            <w:tcW w:w="580" w:type="dxa"/>
            <w:shd w:val="clear" w:color="auto" w:fill="auto"/>
            <w:noWrap/>
          </w:tcPr>
          <w:p w14:paraId="6BD76312" w14:textId="77777777" w:rsidR="001A7D53" w:rsidRPr="00BB4743" w:rsidRDefault="001A7D53">
            <w:pPr>
              <w:jc w:val="right"/>
              <w:outlineLvl w:val="0"/>
              <w:rPr>
                <w:rFonts w:eastAsia="Times New Roman" w:cs="Calibri"/>
                <w:sz w:val="19"/>
                <w:szCs w:val="19"/>
                <w:lang w:eastAsia="en-GB"/>
              </w:rPr>
            </w:pPr>
            <w:r w:rsidRPr="00B875AC">
              <w:rPr>
                <w:sz w:val="19"/>
                <w:szCs w:val="19"/>
              </w:rPr>
              <w:t>6.3</w:t>
            </w:r>
          </w:p>
        </w:tc>
        <w:tc>
          <w:tcPr>
            <w:tcW w:w="536" w:type="dxa"/>
            <w:shd w:val="clear" w:color="auto" w:fill="auto"/>
            <w:noWrap/>
          </w:tcPr>
          <w:p w14:paraId="4100A88C" w14:textId="77777777" w:rsidR="001A7D53" w:rsidRPr="00BB4743" w:rsidRDefault="001A7D53">
            <w:pPr>
              <w:jc w:val="right"/>
              <w:outlineLvl w:val="0"/>
              <w:rPr>
                <w:rFonts w:eastAsia="Times New Roman" w:cs="Calibri"/>
                <w:sz w:val="19"/>
                <w:szCs w:val="19"/>
                <w:lang w:eastAsia="en-GB"/>
              </w:rPr>
            </w:pPr>
            <w:r w:rsidRPr="00B875AC">
              <w:rPr>
                <w:sz w:val="19"/>
                <w:szCs w:val="19"/>
              </w:rPr>
              <w:t>21</w:t>
            </w:r>
          </w:p>
        </w:tc>
        <w:tc>
          <w:tcPr>
            <w:tcW w:w="526" w:type="dxa"/>
            <w:shd w:val="clear" w:color="auto" w:fill="auto"/>
            <w:noWrap/>
          </w:tcPr>
          <w:p w14:paraId="514EC8C4" w14:textId="77777777" w:rsidR="001A7D53" w:rsidRPr="00BB4743" w:rsidRDefault="001A7D53">
            <w:pPr>
              <w:jc w:val="right"/>
              <w:outlineLvl w:val="0"/>
              <w:rPr>
                <w:rFonts w:eastAsia="Times New Roman" w:cs="Calibri"/>
                <w:sz w:val="19"/>
                <w:szCs w:val="19"/>
                <w:lang w:eastAsia="en-GB"/>
              </w:rPr>
            </w:pPr>
            <w:r w:rsidRPr="00B875AC">
              <w:rPr>
                <w:sz w:val="19"/>
                <w:szCs w:val="19"/>
              </w:rPr>
              <w:t>8</w:t>
            </w:r>
          </w:p>
        </w:tc>
        <w:tc>
          <w:tcPr>
            <w:tcW w:w="667" w:type="dxa"/>
            <w:shd w:val="clear" w:color="auto" w:fill="auto"/>
            <w:noWrap/>
          </w:tcPr>
          <w:p w14:paraId="5678F319" w14:textId="77777777" w:rsidR="001A7D53" w:rsidRPr="00BB4743" w:rsidRDefault="001A7D53">
            <w:pPr>
              <w:jc w:val="right"/>
              <w:outlineLvl w:val="0"/>
              <w:rPr>
                <w:rFonts w:eastAsia="Times New Roman" w:cs="Calibri"/>
                <w:sz w:val="19"/>
                <w:szCs w:val="19"/>
                <w:lang w:eastAsia="en-GB"/>
              </w:rPr>
            </w:pPr>
            <w:r w:rsidRPr="00B875AC">
              <w:rPr>
                <w:sz w:val="19"/>
                <w:szCs w:val="19"/>
              </w:rPr>
              <w:t>20</w:t>
            </w:r>
          </w:p>
        </w:tc>
        <w:tc>
          <w:tcPr>
            <w:tcW w:w="498" w:type="dxa"/>
            <w:shd w:val="clear" w:color="auto" w:fill="auto"/>
            <w:noWrap/>
          </w:tcPr>
          <w:p w14:paraId="7912F57F" w14:textId="77777777" w:rsidR="001A7D53" w:rsidRPr="00BB4743" w:rsidRDefault="001A7D53">
            <w:pPr>
              <w:jc w:val="right"/>
              <w:outlineLvl w:val="0"/>
              <w:rPr>
                <w:rFonts w:eastAsia="Times New Roman" w:cs="Calibri"/>
                <w:sz w:val="19"/>
                <w:szCs w:val="19"/>
                <w:lang w:eastAsia="en-GB"/>
              </w:rPr>
            </w:pPr>
            <w:r w:rsidRPr="00B875AC">
              <w:rPr>
                <w:sz w:val="19"/>
                <w:szCs w:val="19"/>
              </w:rPr>
              <w:t>32</w:t>
            </w:r>
          </w:p>
        </w:tc>
        <w:tc>
          <w:tcPr>
            <w:tcW w:w="498" w:type="dxa"/>
            <w:shd w:val="clear" w:color="auto" w:fill="auto"/>
            <w:noWrap/>
          </w:tcPr>
          <w:p w14:paraId="67610D29" w14:textId="77777777" w:rsidR="001A7D53" w:rsidRPr="00BB4743" w:rsidRDefault="001A7D53">
            <w:pPr>
              <w:jc w:val="right"/>
              <w:outlineLvl w:val="0"/>
              <w:rPr>
                <w:rFonts w:eastAsia="Times New Roman" w:cs="Calibri"/>
                <w:sz w:val="19"/>
                <w:szCs w:val="19"/>
                <w:lang w:eastAsia="en-GB"/>
              </w:rPr>
            </w:pPr>
            <w:r w:rsidRPr="00B875AC">
              <w:rPr>
                <w:sz w:val="19"/>
                <w:szCs w:val="19"/>
              </w:rPr>
              <w:t>34</w:t>
            </w:r>
          </w:p>
        </w:tc>
        <w:tc>
          <w:tcPr>
            <w:tcW w:w="498" w:type="dxa"/>
            <w:shd w:val="clear" w:color="auto" w:fill="auto"/>
            <w:noWrap/>
          </w:tcPr>
          <w:p w14:paraId="1142B9D6" w14:textId="77777777" w:rsidR="001A7D53" w:rsidRPr="00BB4743" w:rsidRDefault="001A7D53">
            <w:pPr>
              <w:jc w:val="right"/>
              <w:outlineLvl w:val="0"/>
              <w:rPr>
                <w:rFonts w:eastAsia="Times New Roman" w:cs="Calibri"/>
                <w:sz w:val="19"/>
                <w:szCs w:val="19"/>
                <w:lang w:eastAsia="en-GB"/>
              </w:rPr>
            </w:pPr>
            <w:r w:rsidRPr="00B875AC">
              <w:rPr>
                <w:sz w:val="19"/>
                <w:szCs w:val="19"/>
              </w:rPr>
              <w:t>33</w:t>
            </w:r>
          </w:p>
        </w:tc>
        <w:tc>
          <w:tcPr>
            <w:tcW w:w="536" w:type="dxa"/>
            <w:shd w:val="clear" w:color="auto" w:fill="auto"/>
            <w:noWrap/>
          </w:tcPr>
          <w:p w14:paraId="47DFF559" w14:textId="77777777" w:rsidR="001A7D53" w:rsidRPr="00BB4743" w:rsidRDefault="001A7D53">
            <w:pPr>
              <w:jc w:val="right"/>
              <w:outlineLvl w:val="0"/>
              <w:rPr>
                <w:rFonts w:eastAsia="Times New Roman" w:cs="Calibri"/>
                <w:sz w:val="19"/>
                <w:szCs w:val="19"/>
                <w:lang w:eastAsia="en-GB"/>
              </w:rPr>
            </w:pPr>
            <w:r w:rsidRPr="00B875AC">
              <w:rPr>
                <w:sz w:val="19"/>
                <w:szCs w:val="19"/>
              </w:rPr>
              <w:t>16</w:t>
            </w:r>
          </w:p>
        </w:tc>
        <w:tc>
          <w:tcPr>
            <w:tcW w:w="536" w:type="dxa"/>
            <w:shd w:val="clear" w:color="auto" w:fill="auto"/>
            <w:noWrap/>
          </w:tcPr>
          <w:p w14:paraId="75D4306B" w14:textId="77777777" w:rsidR="001A7D53" w:rsidRPr="00BB4743" w:rsidRDefault="001A7D53">
            <w:pPr>
              <w:jc w:val="right"/>
              <w:outlineLvl w:val="0"/>
              <w:rPr>
                <w:rFonts w:eastAsia="Times New Roman" w:cs="Calibri"/>
                <w:sz w:val="19"/>
                <w:szCs w:val="19"/>
                <w:lang w:eastAsia="en-GB"/>
              </w:rPr>
            </w:pPr>
            <w:r w:rsidRPr="00B875AC">
              <w:rPr>
                <w:sz w:val="19"/>
                <w:szCs w:val="19"/>
              </w:rPr>
              <w:t>7</w:t>
            </w:r>
          </w:p>
        </w:tc>
        <w:tc>
          <w:tcPr>
            <w:tcW w:w="536" w:type="dxa"/>
            <w:shd w:val="clear" w:color="auto" w:fill="auto"/>
            <w:noWrap/>
          </w:tcPr>
          <w:p w14:paraId="685277F3" w14:textId="77777777" w:rsidR="001A7D53" w:rsidRPr="00BB4743" w:rsidRDefault="001A7D53">
            <w:pPr>
              <w:jc w:val="right"/>
              <w:outlineLvl w:val="0"/>
              <w:rPr>
                <w:rFonts w:eastAsia="Times New Roman" w:cs="Calibri"/>
                <w:sz w:val="19"/>
                <w:szCs w:val="19"/>
                <w:lang w:eastAsia="en-GB"/>
              </w:rPr>
            </w:pPr>
            <w:r w:rsidRPr="00B875AC">
              <w:rPr>
                <w:sz w:val="19"/>
                <w:szCs w:val="19"/>
              </w:rPr>
              <w:t>61</w:t>
            </w:r>
          </w:p>
        </w:tc>
        <w:tc>
          <w:tcPr>
            <w:tcW w:w="536" w:type="dxa"/>
            <w:shd w:val="clear" w:color="auto" w:fill="auto"/>
            <w:noWrap/>
          </w:tcPr>
          <w:p w14:paraId="3ED08184" w14:textId="77777777" w:rsidR="001A7D53" w:rsidRPr="00BB4743" w:rsidRDefault="001A7D53">
            <w:pPr>
              <w:jc w:val="right"/>
              <w:outlineLvl w:val="0"/>
              <w:rPr>
                <w:rFonts w:eastAsia="Times New Roman" w:cs="Calibri"/>
                <w:sz w:val="19"/>
                <w:szCs w:val="19"/>
                <w:lang w:eastAsia="en-GB"/>
              </w:rPr>
            </w:pPr>
            <w:r w:rsidRPr="00B875AC">
              <w:rPr>
                <w:sz w:val="19"/>
                <w:szCs w:val="19"/>
              </w:rPr>
              <w:t>11</w:t>
            </w:r>
          </w:p>
        </w:tc>
        <w:tc>
          <w:tcPr>
            <w:tcW w:w="473" w:type="dxa"/>
            <w:shd w:val="clear" w:color="auto" w:fill="auto"/>
            <w:noWrap/>
          </w:tcPr>
          <w:p w14:paraId="60056F6E" w14:textId="77777777" w:rsidR="001A7D53" w:rsidRPr="00BB4743" w:rsidRDefault="001A7D53">
            <w:pPr>
              <w:jc w:val="right"/>
              <w:outlineLvl w:val="0"/>
              <w:rPr>
                <w:rFonts w:eastAsia="Times New Roman" w:cs="Calibri"/>
                <w:i/>
                <w:iCs/>
                <w:sz w:val="19"/>
                <w:szCs w:val="19"/>
                <w:lang w:eastAsia="en-GB"/>
              </w:rPr>
            </w:pPr>
            <w:r w:rsidRPr="00BB4743">
              <w:rPr>
                <w:rFonts w:eastAsia="Times New Roman" w:cs="Calibri"/>
                <w:i/>
                <w:iCs/>
                <w:color w:val="auto"/>
                <w:sz w:val="19"/>
                <w:szCs w:val="19"/>
                <w:lang w:eastAsia="en-GB"/>
              </w:rPr>
              <w:t>NA</w:t>
            </w:r>
          </w:p>
        </w:tc>
        <w:tc>
          <w:tcPr>
            <w:tcW w:w="473" w:type="dxa"/>
            <w:shd w:val="clear" w:color="auto" w:fill="auto"/>
            <w:noWrap/>
          </w:tcPr>
          <w:p w14:paraId="4B90BDEE" w14:textId="77777777" w:rsidR="001A7D53" w:rsidRPr="00BB4743" w:rsidRDefault="001A7D53">
            <w:pPr>
              <w:jc w:val="right"/>
              <w:outlineLvl w:val="0"/>
              <w:rPr>
                <w:rFonts w:eastAsia="Times New Roman" w:cs="Calibri"/>
                <w:i/>
                <w:iCs/>
                <w:sz w:val="19"/>
                <w:szCs w:val="19"/>
                <w:lang w:eastAsia="en-GB"/>
              </w:rPr>
            </w:pPr>
            <w:r w:rsidRPr="00BB4743">
              <w:rPr>
                <w:rFonts w:eastAsia="Times New Roman" w:cs="Calibri"/>
                <w:i/>
                <w:iCs/>
                <w:color w:val="auto"/>
                <w:sz w:val="19"/>
                <w:szCs w:val="19"/>
                <w:lang w:eastAsia="en-GB"/>
              </w:rPr>
              <w:t>NA</w:t>
            </w:r>
          </w:p>
        </w:tc>
        <w:tc>
          <w:tcPr>
            <w:tcW w:w="526" w:type="dxa"/>
            <w:shd w:val="clear" w:color="auto" w:fill="auto"/>
            <w:noWrap/>
          </w:tcPr>
          <w:p w14:paraId="0AD32DAE" w14:textId="77777777" w:rsidR="001A7D53" w:rsidRPr="00BB4743" w:rsidRDefault="001A7D53">
            <w:pPr>
              <w:jc w:val="right"/>
              <w:outlineLvl w:val="0"/>
              <w:rPr>
                <w:rFonts w:eastAsia="Times New Roman" w:cs="Calibri"/>
                <w:sz w:val="19"/>
                <w:szCs w:val="19"/>
                <w:lang w:eastAsia="en-GB"/>
              </w:rPr>
            </w:pPr>
            <w:r w:rsidRPr="00B875AC">
              <w:rPr>
                <w:sz w:val="19"/>
                <w:szCs w:val="19"/>
              </w:rPr>
              <w:t>14</w:t>
            </w:r>
          </w:p>
        </w:tc>
      </w:tr>
    </w:tbl>
    <w:p w14:paraId="32E808C9" w14:textId="77777777" w:rsidR="001A7D53" w:rsidRDefault="001A7D53" w:rsidP="001A7D53">
      <w:pPr>
        <w:jc w:val="both"/>
      </w:pPr>
    </w:p>
    <w:p w14:paraId="0AA5D71F" w14:textId="2E1C0CBA" w:rsidR="001A7D53" w:rsidRDefault="001A7D53" w:rsidP="00E00150">
      <w:pPr>
        <w:pStyle w:val="FFNormal"/>
      </w:pPr>
      <w:bookmarkStart w:id="134" w:name="_Hlk129559975"/>
      <w:r>
        <w:t xml:space="preserve">Activity and budget implementation rates reveal the greatest variation across </w:t>
      </w:r>
      <w:r w:rsidR="00BF101D">
        <w:t>CGs</w:t>
      </w:r>
      <w:r>
        <w:t>, and within countries, variations also existed among activity implementation, budget use</w:t>
      </w:r>
      <w:r w:rsidR="00A06208">
        <w:t>,</w:t>
      </w:r>
      <w:r>
        <w:t xml:space="preserve"> and output seen. For example, some countries achieved increased quant</w:t>
      </w:r>
      <w:r w:rsidR="0054415E">
        <w:t>ity</w:t>
      </w:r>
      <w:r>
        <w:t xml:space="preserve"> and qual</w:t>
      </w:r>
      <w:r w:rsidR="0054415E">
        <w:t>ity</w:t>
      </w:r>
      <w:r>
        <w:t xml:space="preserve"> of data even though activity and budget implementation rates were off track</w:t>
      </w:r>
      <w:r w:rsidR="00E05423">
        <w:t xml:space="preserve"> (</w:t>
      </w:r>
      <w:r w:rsidR="004A194F">
        <w:t>s</w:t>
      </w:r>
      <w:r>
        <w:t xml:space="preserve">ee  </w:t>
      </w:r>
      <w:r>
        <w:fldChar w:fldCharType="begin"/>
      </w:r>
      <w:r>
        <w:instrText xml:space="preserve"> REF _Ref120693070 \h </w:instrText>
      </w:r>
      <w:r>
        <w:fldChar w:fldCharType="separate"/>
      </w:r>
      <w:r w:rsidR="009A383C">
        <w:t xml:space="preserve">Table </w:t>
      </w:r>
      <w:r w:rsidR="009A383C" w:rsidRPr="45CDE7E8">
        <w:rPr>
          <w:noProof/>
        </w:rPr>
        <w:t>19</w:t>
      </w:r>
      <w:r>
        <w:fldChar w:fldCharType="end"/>
      </w:r>
      <w:r>
        <w:t xml:space="preserve"> below</w:t>
      </w:r>
      <w:r w:rsidR="00E05423">
        <w:t>)</w:t>
      </w:r>
      <w:r>
        <w:t xml:space="preserve">. It is therefore more of an indicator of how well grantees are planning and managing resources at the input and activity level, rather than a measure of efficiency defined as how well inputs </w:t>
      </w:r>
      <w:r w:rsidR="00B02C21">
        <w:t xml:space="preserve">are </w:t>
      </w:r>
      <w:r>
        <w:t>convert</w:t>
      </w:r>
      <w:r w:rsidR="00B02C21">
        <w:t>ed</w:t>
      </w:r>
      <w:r>
        <w:t xml:space="preserve"> to outputs.</w:t>
      </w:r>
      <w:r w:rsidR="007458AC">
        <w:t xml:space="preserve"> </w:t>
      </w:r>
    </w:p>
    <w:p w14:paraId="1BA9C58A" w14:textId="080F8CEA" w:rsidR="001A7D53" w:rsidRDefault="001A7D53" w:rsidP="0027728F">
      <w:pPr>
        <w:pStyle w:val="FFNormal"/>
      </w:pPr>
      <w:r>
        <w:t>There is some evidence that the value of leveraged resources</w:t>
      </w:r>
      <w:r w:rsidR="00EE3F00">
        <w:rPr>
          <w:rStyle w:val="FootnoteReference"/>
        </w:rPr>
        <w:footnoteReference w:id="33"/>
      </w:r>
      <w:r>
        <w:t xml:space="preserve"> is reasonably significant </w:t>
      </w:r>
      <w:r w:rsidR="3EFD1725">
        <w:t>(</w:t>
      </w:r>
      <w:r w:rsidR="003D23B1">
        <w:t>£7</w:t>
      </w:r>
      <w:r>
        <w:t xml:space="preserve">,310 – </w:t>
      </w:r>
      <w:r w:rsidR="003D23B1">
        <w:t>£398</w:t>
      </w:r>
      <w:r>
        <w:t xml:space="preserve">,195 </w:t>
      </w:r>
      <w:r w:rsidR="7A75B6DE">
        <w:t>)</w:t>
      </w:r>
      <w:r>
        <w:t xml:space="preserve">, although these have not been reported or consistently tracked across all grants. This occurred </w:t>
      </w:r>
      <w:r w:rsidR="00A06208">
        <w:t xml:space="preserve">when </w:t>
      </w:r>
      <w:r>
        <w:t xml:space="preserve">CGs leveraged already ongoing activities within the health system, either government-led or partner-supported, to complete </w:t>
      </w:r>
      <w:r w:rsidR="00413099">
        <w:t xml:space="preserve">programme </w:t>
      </w:r>
      <w:r>
        <w:t>activities. This indicator helps to demonstrate alignment with existing resources and whether grants are set up taking account of other programmes operating in the same area. It may also indicate sustainability if resources leveraged are from the country’s existing health budgets and could be included as indicators to track at</w:t>
      </w:r>
      <w:r w:rsidR="00A06208">
        <w:t xml:space="preserve"> the</w:t>
      </w:r>
      <w:r>
        <w:t xml:space="preserve"> CG level in a systematic way</w:t>
      </w:r>
      <w:r w:rsidR="007B4769">
        <w:t>,</w:t>
      </w:r>
      <w:r>
        <w:t xml:space="preserve"> during </w:t>
      </w:r>
      <w:r w:rsidR="009E2AC2">
        <w:t>phase 2</w:t>
      </w:r>
      <w:r>
        <w:t xml:space="preserve">. </w:t>
      </w:r>
    </w:p>
    <w:p w14:paraId="766CBDF6" w14:textId="4A51B5C7" w:rsidR="001A1A5F" w:rsidRDefault="001A1A5F" w:rsidP="00C04C3C">
      <w:pPr>
        <w:pStyle w:val="ItadCaption"/>
      </w:pPr>
      <w:bookmarkStart w:id="135" w:name="_Ref120693070"/>
      <w:bookmarkStart w:id="136" w:name="_Toc143857887"/>
      <w:bookmarkEnd w:id="134"/>
      <w:r>
        <w:t xml:space="preserve">Table </w:t>
      </w:r>
      <w:r>
        <w:fldChar w:fldCharType="begin"/>
      </w:r>
      <w:r>
        <w:instrText>SEQ Table \* ARABIC</w:instrText>
      </w:r>
      <w:r>
        <w:fldChar w:fldCharType="separate"/>
      </w:r>
      <w:r w:rsidR="009A383C">
        <w:rPr>
          <w:noProof/>
        </w:rPr>
        <w:t>19</w:t>
      </w:r>
      <w:r>
        <w:fldChar w:fldCharType="end"/>
      </w:r>
      <w:bookmarkEnd w:id="135"/>
      <w:r w:rsidR="00EC2B6F">
        <w:t xml:space="preserve"> </w:t>
      </w:r>
      <w:r w:rsidR="0044432D">
        <w:t>VfM</w:t>
      </w:r>
      <w:r w:rsidRPr="00BD1283">
        <w:t xml:space="preserve"> measures of efficiency</w:t>
      </w:r>
      <w:bookmarkEnd w:id="136"/>
    </w:p>
    <w:tbl>
      <w:tblPr>
        <w:tblStyle w:val="Itadalternaterows"/>
        <w:tblW w:w="5000" w:type="pct"/>
        <w:tblInd w:w="0" w:type="dxa"/>
        <w:tblLook w:val="04A0" w:firstRow="1" w:lastRow="0" w:firstColumn="1" w:lastColumn="0" w:noHBand="0" w:noVBand="1"/>
      </w:tblPr>
      <w:tblGrid>
        <w:gridCol w:w="1439"/>
        <w:gridCol w:w="506"/>
        <w:gridCol w:w="506"/>
        <w:gridCol w:w="505"/>
        <w:gridCol w:w="505"/>
        <w:gridCol w:w="505"/>
        <w:gridCol w:w="505"/>
        <w:gridCol w:w="505"/>
        <w:gridCol w:w="505"/>
        <w:gridCol w:w="505"/>
        <w:gridCol w:w="505"/>
        <w:gridCol w:w="505"/>
        <w:gridCol w:w="505"/>
        <w:gridCol w:w="505"/>
        <w:gridCol w:w="505"/>
        <w:gridCol w:w="505"/>
      </w:tblGrid>
      <w:tr w:rsidR="00A44110" w:rsidRPr="00BD6932" w14:paraId="119FF064" w14:textId="77777777" w:rsidTr="00BB4743">
        <w:trPr>
          <w:cnfStyle w:val="100000000000" w:firstRow="1" w:lastRow="0" w:firstColumn="0" w:lastColumn="0" w:oddVBand="0" w:evenVBand="0" w:oddHBand="0" w:evenHBand="0" w:firstRowFirstColumn="0" w:firstRowLastColumn="0" w:lastRowFirstColumn="0" w:lastRowLastColumn="0"/>
          <w:trHeight w:val="1209"/>
        </w:trPr>
        <w:tc>
          <w:tcPr>
            <w:tcW w:w="0" w:type="pct"/>
            <w:hideMark/>
          </w:tcPr>
          <w:p w14:paraId="02B2F977" w14:textId="77777777" w:rsidR="00E00150" w:rsidRPr="00BD6932" w:rsidRDefault="00E00150">
            <w:pPr>
              <w:rPr>
                <w:rFonts w:eastAsia="Times New Roman" w:cs="Calibri"/>
                <w:b/>
                <w:bCs/>
                <w:color w:val="000000"/>
                <w:sz w:val="20"/>
                <w:szCs w:val="20"/>
                <w:lang w:eastAsia="en-GB"/>
              </w:rPr>
            </w:pPr>
            <w:r w:rsidRPr="00BD6932">
              <w:rPr>
                <w:rFonts w:eastAsia="Times New Roman" w:cs="Calibri"/>
                <w:b/>
                <w:bCs/>
                <w:color w:val="000000"/>
                <w:sz w:val="20"/>
                <w:szCs w:val="20"/>
                <w:lang w:eastAsia="en-GB"/>
              </w:rPr>
              <w:t>VfM measures</w:t>
            </w:r>
          </w:p>
          <w:p w14:paraId="2719049A" w14:textId="77777777" w:rsidR="00E00150" w:rsidRPr="00BD6932" w:rsidRDefault="00E00150">
            <w:pPr>
              <w:rPr>
                <w:rFonts w:eastAsia="Times New Roman" w:cs="Calibri"/>
                <w:b/>
                <w:bCs/>
                <w:color w:val="000000"/>
                <w:sz w:val="20"/>
                <w:szCs w:val="20"/>
                <w:lang w:eastAsia="en-GB"/>
              </w:rPr>
            </w:pPr>
            <w:r w:rsidRPr="00BD6932">
              <w:rPr>
                <w:rFonts w:eastAsia="Times New Roman" w:cs="Calibri"/>
                <w:b/>
                <w:bCs/>
                <w:color w:val="000000"/>
                <w:sz w:val="20"/>
                <w:szCs w:val="20"/>
                <w:lang w:eastAsia="en-GB"/>
              </w:rPr>
              <w:t>Efficiency</w:t>
            </w:r>
          </w:p>
        </w:tc>
        <w:tc>
          <w:tcPr>
            <w:tcW w:w="0" w:type="pct"/>
            <w:noWrap/>
            <w:textDirection w:val="btLr"/>
            <w:hideMark/>
          </w:tcPr>
          <w:p w14:paraId="05D24E89" w14:textId="77777777" w:rsidR="00E00150" w:rsidRPr="007A441F" w:rsidRDefault="00E00150">
            <w:pPr>
              <w:rPr>
                <w:rFonts w:eastAsia="Times New Roman" w:cs="Calibri"/>
                <w:color w:val="000000"/>
                <w:sz w:val="19"/>
                <w:szCs w:val="19"/>
                <w:lang w:eastAsia="en-GB"/>
              </w:rPr>
            </w:pPr>
            <w:r w:rsidRPr="007A441F">
              <w:rPr>
                <w:rFonts w:cs="Calibri"/>
                <w:color w:val="000000"/>
                <w:sz w:val="19"/>
                <w:szCs w:val="19"/>
              </w:rPr>
              <w:t>Bangladesh</w:t>
            </w:r>
          </w:p>
        </w:tc>
        <w:tc>
          <w:tcPr>
            <w:tcW w:w="0" w:type="pct"/>
            <w:noWrap/>
            <w:textDirection w:val="btLr"/>
            <w:hideMark/>
          </w:tcPr>
          <w:p w14:paraId="701B85EE" w14:textId="77777777" w:rsidR="00E00150" w:rsidRPr="007A441F" w:rsidRDefault="00E00150">
            <w:pPr>
              <w:rPr>
                <w:rFonts w:eastAsia="Times New Roman" w:cs="Calibri"/>
                <w:color w:val="000000"/>
                <w:sz w:val="19"/>
                <w:szCs w:val="19"/>
                <w:lang w:eastAsia="en-GB"/>
              </w:rPr>
            </w:pPr>
            <w:r w:rsidRPr="007A441F">
              <w:rPr>
                <w:rFonts w:cs="Calibri"/>
                <w:color w:val="000000"/>
                <w:sz w:val="19"/>
                <w:szCs w:val="19"/>
              </w:rPr>
              <w:t>Bhutan</w:t>
            </w:r>
          </w:p>
        </w:tc>
        <w:tc>
          <w:tcPr>
            <w:tcW w:w="0" w:type="pct"/>
            <w:noWrap/>
            <w:textDirection w:val="btLr"/>
            <w:hideMark/>
          </w:tcPr>
          <w:p w14:paraId="6AEDE316" w14:textId="77777777" w:rsidR="00E00150" w:rsidRPr="007A441F" w:rsidRDefault="00E00150">
            <w:pPr>
              <w:rPr>
                <w:rFonts w:eastAsia="Times New Roman" w:cs="Calibri"/>
                <w:color w:val="000000"/>
                <w:sz w:val="19"/>
                <w:szCs w:val="19"/>
                <w:lang w:eastAsia="en-GB"/>
              </w:rPr>
            </w:pPr>
            <w:r w:rsidRPr="007A441F">
              <w:rPr>
                <w:rFonts w:cs="Calibri"/>
                <w:color w:val="000000"/>
                <w:sz w:val="19"/>
                <w:szCs w:val="19"/>
              </w:rPr>
              <w:t>Indonesia</w:t>
            </w:r>
          </w:p>
        </w:tc>
        <w:tc>
          <w:tcPr>
            <w:tcW w:w="0" w:type="pct"/>
            <w:noWrap/>
            <w:textDirection w:val="btLr"/>
            <w:hideMark/>
          </w:tcPr>
          <w:p w14:paraId="432DA4EC" w14:textId="77777777" w:rsidR="00E00150" w:rsidRPr="007A441F" w:rsidRDefault="00E00150">
            <w:pPr>
              <w:rPr>
                <w:rFonts w:eastAsia="Times New Roman" w:cs="Calibri"/>
                <w:color w:val="000000"/>
                <w:sz w:val="19"/>
                <w:szCs w:val="19"/>
                <w:lang w:eastAsia="en-GB"/>
              </w:rPr>
            </w:pPr>
            <w:r w:rsidRPr="007A441F">
              <w:rPr>
                <w:rFonts w:cs="Calibri"/>
                <w:color w:val="000000"/>
                <w:sz w:val="19"/>
                <w:szCs w:val="19"/>
              </w:rPr>
              <w:t xml:space="preserve">Laos </w:t>
            </w:r>
          </w:p>
        </w:tc>
        <w:tc>
          <w:tcPr>
            <w:tcW w:w="0" w:type="pct"/>
            <w:noWrap/>
            <w:textDirection w:val="btLr"/>
            <w:hideMark/>
          </w:tcPr>
          <w:p w14:paraId="491CDB29" w14:textId="77777777" w:rsidR="00E00150" w:rsidRPr="007A441F" w:rsidRDefault="00E00150">
            <w:pPr>
              <w:rPr>
                <w:rFonts w:eastAsia="Times New Roman" w:cs="Calibri"/>
                <w:color w:val="000000"/>
                <w:sz w:val="19"/>
                <w:szCs w:val="19"/>
                <w:lang w:eastAsia="en-GB"/>
              </w:rPr>
            </w:pPr>
            <w:r w:rsidRPr="007A441F">
              <w:rPr>
                <w:rFonts w:cs="Calibri"/>
                <w:color w:val="000000"/>
                <w:sz w:val="19"/>
                <w:szCs w:val="19"/>
              </w:rPr>
              <w:t xml:space="preserve">Nepal </w:t>
            </w:r>
          </w:p>
        </w:tc>
        <w:tc>
          <w:tcPr>
            <w:tcW w:w="0" w:type="pct"/>
            <w:noWrap/>
            <w:textDirection w:val="btLr"/>
            <w:hideMark/>
          </w:tcPr>
          <w:p w14:paraId="73107D2C" w14:textId="77777777" w:rsidR="00E00150" w:rsidRPr="007A441F" w:rsidRDefault="00E00150">
            <w:pPr>
              <w:rPr>
                <w:rFonts w:eastAsia="Times New Roman" w:cs="Calibri"/>
                <w:color w:val="000000"/>
                <w:sz w:val="19"/>
                <w:szCs w:val="19"/>
                <w:lang w:eastAsia="en-GB"/>
              </w:rPr>
            </w:pPr>
            <w:r w:rsidRPr="007A441F">
              <w:rPr>
                <w:rFonts w:cs="Calibri"/>
                <w:color w:val="000000"/>
                <w:sz w:val="19"/>
                <w:szCs w:val="19"/>
              </w:rPr>
              <w:t>Pakistan</w:t>
            </w:r>
          </w:p>
        </w:tc>
        <w:tc>
          <w:tcPr>
            <w:tcW w:w="0" w:type="pct"/>
            <w:noWrap/>
            <w:textDirection w:val="btLr"/>
            <w:hideMark/>
          </w:tcPr>
          <w:p w14:paraId="5A9EF38C" w14:textId="77777777" w:rsidR="00E00150" w:rsidRPr="007A441F" w:rsidRDefault="00E00150">
            <w:pPr>
              <w:rPr>
                <w:rFonts w:eastAsia="Times New Roman" w:cs="Calibri"/>
                <w:color w:val="000000"/>
                <w:sz w:val="19"/>
                <w:szCs w:val="19"/>
                <w:lang w:eastAsia="en-GB"/>
              </w:rPr>
            </w:pPr>
            <w:r w:rsidRPr="007A441F">
              <w:rPr>
                <w:rFonts w:cs="Calibri"/>
                <w:color w:val="000000"/>
                <w:sz w:val="19"/>
                <w:szCs w:val="19"/>
              </w:rPr>
              <w:t>Timor-Leste</w:t>
            </w:r>
          </w:p>
        </w:tc>
        <w:tc>
          <w:tcPr>
            <w:tcW w:w="0" w:type="pct"/>
            <w:noWrap/>
            <w:textDirection w:val="btLr"/>
            <w:hideMark/>
          </w:tcPr>
          <w:p w14:paraId="1EF237B9" w14:textId="77777777" w:rsidR="00E00150" w:rsidRPr="007A441F" w:rsidRDefault="00E00150">
            <w:pPr>
              <w:rPr>
                <w:rFonts w:eastAsia="Times New Roman" w:cs="Calibri"/>
                <w:color w:val="000000"/>
                <w:sz w:val="19"/>
                <w:szCs w:val="19"/>
                <w:lang w:eastAsia="en-GB"/>
              </w:rPr>
            </w:pPr>
            <w:r w:rsidRPr="007A441F">
              <w:rPr>
                <w:rFonts w:cs="Calibri"/>
                <w:color w:val="000000"/>
                <w:sz w:val="19"/>
                <w:szCs w:val="19"/>
              </w:rPr>
              <w:t>Vietnam</w:t>
            </w:r>
          </w:p>
        </w:tc>
        <w:tc>
          <w:tcPr>
            <w:tcW w:w="0" w:type="pct"/>
            <w:noWrap/>
            <w:textDirection w:val="btLr"/>
            <w:hideMark/>
          </w:tcPr>
          <w:p w14:paraId="4D508355" w14:textId="77777777" w:rsidR="00E00150" w:rsidRPr="007A441F" w:rsidRDefault="00E00150">
            <w:pPr>
              <w:rPr>
                <w:rFonts w:eastAsia="Times New Roman" w:cs="Calibri"/>
                <w:color w:val="000000"/>
                <w:sz w:val="19"/>
                <w:szCs w:val="19"/>
                <w:lang w:eastAsia="en-GB"/>
              </w:rPr>
            </w:pPr>
            <w:r w:rsidRPr="007A441F">
              <w:rPr>
                <w:rFonts w:cs="Calibri"/>
                <w:color w:val="000000"/>
                <w:sz w:val="19"/>
                <w:szCs w:val="19"/>
              </w:rPr>
              <w:t>Ghana</w:t>
            </w:r>
          </w:p>
        </w:tc>
        <w:tc>
          <w:tcPr>
            <w:tcW w:w="0" w:type="pct"/>
            <w:noWrap/>
            <w:textDirection w:val="btLr"/>
            <w:hideMark/>
          </w:tcPr>
          <w:p w14:paraId="24CB2687" w14:textId="77777777" w:rsidR="00E00150" w:rsidRPr="007A441F" w:rsidRDefault="00E00150">
            <w:pPr>
              <w:rPr>
                <w:rFonts w:eastAsia="Times New Roman" w:cs="Calibri"/>
                <w:color w:val="000000"/>
                <w:sz w:val="19"/>
                <w:szCs w:val="19"/>
                <w:lang w:eastAsia="en-GB"/>
              </w:rPr>
            </w:pPr>
            <w:r w:rsidRPr="007A441F">
              <w:rPr>
                <w:rFonts w:cs="Calibri"/>
                <w:color w:val="000000"/>
                <w:sz w:val="19"/>
                <w:szCs w:val="19"/>
              </w:rPr>
              <w:t xml:space="preserve">Kenya </w:t>
            </w:r>
          </w:p>
        </w:tc>
        <w:tc>
          <w:tcPr>
            <w:tcW w:w="0" w:type="pct"/>
            <w:noWrap/>
            <w:textDirection w:val="btLr"/>
            <w:hideMark/>
          </w:tcPr>
          <w:p w14:paraId="2091C9EF" w14:textId="77777777" w:rsidR="00E00150" w:rsidRPr="007A441F" w:rsidRDefault="00E00150">
            <w:pPr>
              <w:rPr>
                <w:rFonts w:eastAsia="Times New Roman" w:cs="Calibri"/>
                <w:color w:val="000000"/>
                <w:sz w:val="19"/>
                <w:szCs w:val="19"/>
                <w:lang w:eastAsia="en-GB"/>
              </w:rPr>
            </w:pPr>
            <w:r w:rsidRPr="007A441F">
              <w:rPr>
                <w:rFonts w:eastAsia="Times New Roman" w:cs="Calibri"/>
                <w:color w:val="000000"/>
                <w:sz w:val="19"/>
                <w:szCs w:val="19"/>
                <w:lang w:eastAsia="en-GB"/>
              </w:rPr>
              <w:t>Tanzania</w:t>
            </w:r>
          </w:p>
        </w:tc>
        <w:tc>
          <w:tcPr>
            <w:tcW w:w="0" w:type="pct"/>
            <w:noWrap/>
            <w:textDirection w:val="btLr"/>
            <w:hideMark/>
          </w:tcPr>
          <w:p w14:paraId="13FC94D8" w14:textId="77777777" w:rsidR="00E00150" w:rsidRPr="007A441F" w:rsidRDefault="00E00150">
            <w:pPr>
              <w:rPr>
                <w:rFonts w:eastAsia="Times New Roman" w:cs="Calibri"/>
                <w:color w:val="000000"/>
                <w:sz w:val="19"/>
                <w:szCs w:val="19"/>
                <w:lang w:eastAsia="en-GB"/>
              </w:rPr>
            </w:pPr>
            <w:r w:rsidRPr="007A441F">
              <w:rPr>
                <w:rFonts w:cs="Calibri"/>
                <w:color w:val="000000"/>
                <w:sz w:val="19"/>
                <w:szCs w:val="19"/>
              </w:rPr>
              <w:t>Nigeria</w:t>
            </w:r>
          </w:p>
        </w:tc>
        <w:tc>
          <w:tcPr>
            <w:tcW w:w="0" w:type="pct"/>
            <w:noWrap/>
            <w:textDirection w:val="btLr"/>
            <w:hideMark/>
          </w:tcPr>
          <w:p w14:paraId="5BE6CCBA" w14:textId="77777777" w:rsidR="00E00150" w:rsidRPr="007A441F" w:rsidRDefault="00E00150">
            <w:pPr>
              <w:rPr>
                <w:rFonts w:eastAsia="Times New Roman" w:cs="Calibri"/>
                <w:color w:val="000000"/>
                <w:sz w:val="19"/>
                <w:szCs w:val="19"/>
                <w:lang w:eastAsia="en-GB"/>
              </w:rPr>
            </w:pPr>
            <w:r w:rsidRPr="007A441F">
              <w:rPr>
                <w:rFonts w:eastAsia="Times New Roman" w:cs="Calibri"/>
                <w:color w:val="000000"/>
                <w:sz w:val="19"/>
                <w:szCs w:val="19"/>
                <w:lang w:eastAsia="en-GB"/>
              </w:rPr>
              <w:t>Senegal</w:t>
            </w:r>
          </w:p>
        </w:tc>
        <w:tc>
          <w:tcPr>
            <w:tcW w:w="0" w:type="pct"/>
            <w:noWrap/>
            <w:textDirection w:val="btLr"/>
            <w:hideMark/>
          </w:tcPr>
          <w:p w14:paraId="4048E67E" w14:textId="77777777" w:rsidR="00E00150" w:rsidRPr="007A441F" w:rsidRDefault="00E00150">
            <w:pPr>
              <w:rPr>
                <w:rFonts w:eastAsia="Times New Roman" w:cs="Calibri"/>
                <w:color w:val="000000"/>
                <w:sz w:val="19"/>
                <w:szCs w:val="19"/>
                <w:lang w:eastAsia="en-GB"/>
              </w:rPr>
            </w:pPr>
            <w:r w:rsidRPr="007A441F">
              <w:rPr>
                <w:rFonts w:eastAsia="Times New Roman" w:cs="Calibri"/>
                <w:color w:val="000000"/>
                <w:sz w:val="19"/>
                <w:szCs w:val="19"/>
                <w:lang w:eastAsia="en-GB"/>
              </w:rPr>
              <w:t>Uganda</w:t>
            </w:r>
          </w:p>
        </w:tc>
        <w:tc>
          <w:tcPr>
            <w:tcW w:w="0" w:type="pct"/>
            <w:noWrap/>
            <w:textDirection w:val="btLr"/>
            <w:hideMark/>
          </w:tcPr>
          <w:p w14:paraId="47BF5154" w14:textId="77777777" w:rsidR="00E00150" w:rsidRPr="007A441F" w:rsidRDefault="00E00150">
            <w:pPr>
              <w:rPr>
                <w:rFonts w:eastAsia="Times New Roman" w:cs="Calibri"/>
                <w:color w:val="000000"/>
                <w:sz w:val="19"/>
                <w:szCs w:val="19"/>
                <w:lang w:eastAsia="en-GB"/>
              </w:rPr>
            </w:pPr>
            <w:r w:rsidRPr="007A441F">
              <w:rPr>
                <w:rFonts w:eastAsia="Times New Roman" w:cs="Calibri"/>
                <w:color w:val="000000"/>
                <w:sz w:val="19"/>
                <w:szCs w:val="19"/>
                <w:lang w:eastAsia="en-GB"/>
              </w:rPr>
              <w:t>Zambia</w:t>
            </w:r>
          </w:p>
        </w:tc>
      </w:tr>
      <w:tr w:rsidR="00264CBC" w:rsidRPr="00BD6932" w14:paraId="78C515B7" w14:textId="77777777" w:rsidTr="00086F5E">
        <w:trPr>
          <w:cnfStyle w:val="000000100000" w:firstRow="0" w:lastRow="0" w:firstColumn="0" w:lastColumn="0" w:oddVBand="0" w:evenVBand="0" w:oddHBand="1" w:evenHBand="0" w:firstRowFirstColumn="0" w:firstRowLastColumn="0" w:lastRowFirstColumn="0" w:lastRowLastColumn="0"/>
          <w:trHeight w:val="690"/>
        </w:trPr>
        <w:tc>
          <w:tcPr>
            <w:tcW w:w="0" w:type="pct"/>
            <w:shd w:val="clear" w:color="auto" w:fill="FFFFFF" w:themeFill="background1"/>
            <w:hideMark/>
          </w:tcPr>
          <w:p w14:paraId="3FD5DCE2" w14:textId="77777777" w:rsidR="00E00150" w:rsidRPr="00BD6932" w:rsidRDefault="00E00150">
            <w:pPr>
              <w:rPr>
                <w:rFonts w:eastAsia="Times New Roman" w:cs="Calibri"/>
                <w:color w:val="000000"/>
                <w:sz w:val="18"/>
                <w:szCs w:val="18"/>
                <w:lang w:eastAsia="en-GB"/>
              </w:rPr>
            </w:pPr>
            <w:r w:rsidRPr="00BD6932">
              <w:rPr>
                <w:rFonts w:eastAsia="Times New Roman" w:cs="Calibri"/>
                <w:color w:val="000000"/>
                <w:sz w:val="18"/>
                <w:szCs w:val="18"/>
                <w:lang w:eastAsia="en-GB"/>
              </w:rPr>
              <w:t>Percentage of overhead</w:t>
            </w:r>
          </w:p>
        </w:tc>
        <w:tc>
          <w:tcPr>
            <w:tcW w:w="0" w:type="pct"/>
            <w:shd w:val="clear" w:color="auto" w:fill="E37230" w:themeFill="accent2"/>
            <w:noWrap/>
            <w:hideMark/>
          </w:tcPr>
          <w:p w14:paraId="0A87988E"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8CCA45" w:themeFill="accent6"/>
            <w:noWrap/>
            <w:hideMark/>
          </w:tcPr>
          <w:p w14:paraId="0EF439E2"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F1B249" w:themeFill="accent4"/>
            <w:noWrap/>
            <w:hideMark/>
          </w:tcPr>
          <w:p w14:paraId="4A5D52B7"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8CCA45" w:themeFill="accent6"/>
            <w:noWrap/>
            <w:hideMark/>
          </w:tcPr>
          <w:p w14:paraId="793B187C"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F1B249" w:themeFill="accent4"/>
            <w:noWrap/>
            <w:hideMark/>
          </w:tcPr>
          <w:p w14:paraId="6B273D5D"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E37230" w:themeFill="accent2"/>
            <w:noWrap/>
            <w:hideMark/>
          </w:tcPr>
          <w:p w14:paraId="5B69FD6A"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E37230" w:themeFill="accent2"/>
            <w:noWrap/>
            <w:hideMark/>
          </w:tcPr>
          <w:p w14:paraId="0C2BA341"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E37230" w:themeFill="accent2"/>
            <w:noWrap/>
            <w:hideMark/>
          </w:tcPr>
          <w:p w14:paraId="01229CA1"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F1B249" w:themeFill="accent4"/>
            <w:noWrap/>
            <w:hideMark/>
          </w:tcPr>
          <w:p w14:paraId="27DF7FD1"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8CCA45" w:themeFill="accent6"/>
            <w:noWrap/>
            <w:hideMark/>
          </w:tcPr>
          <w:p w14:paraId="443738AA"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8CCA45" w:themeFill="accent6"/>
            <w:noWrap/>
            <w:hideMark/>
          </w:tcPr>
          <w:p w14:paraId="15859888"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FF0000"/>
            <w:noWrap/>
            <w:hideMark/>
          </w:tcPr>
          <w:p w14:paraId="41394F34"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FFFFFF" w:themeFill="background1"/>
            <w:noWrap/>
            <w:hideMark/>
          </w:tcPr>
          <w:p w14:paraId="4EA067C4" w14:textId="77777777" w:rsidR="00E00150" w:rsidRPr="00FB6642" w:rsidRDefault="00E00150">
            <w:pPr>
              <w:jc w:val="right"/>
              <w:rPr>
                <w:rFonts w:eastAsia="Times New Roman" w:cs="Calibri"/>
                <w:i/>
                <w:iCs/>
                <w:color w:val="000000"/>
                <w:sz w:val="20"/>
                <w:szCs w:val="20"/>
                <w:lang w:eastAsia="en-GB"/>
              </w:rPr>
            </w:pPr>
            <w:r w:rsidRPr="00E540AC">
              <w:rPr>
                <w:rFonts w:eastAsia="Times New Roman" w:cs="Calibri"/>
                <w:i/>
                <w:iCs/>
                <w:color w:val="000000"/>
                <w:sz w:val="20"/>
                <w:szCs w:val="20"/>
                <w:lang w:eastAsia="en-GB"/>
              </w:rPr>
              <w:t>NE</w:t>
            </w:r>
          </w:p>
        </w:tc>
        <w:tc>
          <w:tcPr>
            <w:tcW w:w="0" w:type="pct"/>
            <w:shd w:val="clear" w:color="auto" w:fill="FFFFFF" w:themeFill="background1"/>
            <w:noWrap/>
            <w:hideMark/>
          </w:tcPr>
          <w:p w14:paraId="7AB996ED" w14:textId="77777777" w:rsidR="00E00150" w:rsidRPr="00FB6642" w:rsidRDefault="00E00150">
            <w:pPr>
              <w:rPr>
                <w:rFonts w:eastAsia="Times New Roman" w:cs="Calibri"/>
                <w:i/>
                <w:iCs/>
                <w:color w:val="000000"/>
                <w:sz w:val="20"/>
                <w:szCs w:val="20"/>
                <w:lang w:eastAsia="en-GB"/>
              </w:rPr>
            </w:pPr>
            <w:r w:rsidRPr="00E540AC">
              <w:rPr>
                <w:rFonts w:eastAsia="Times New Roman" w:cs="Calibri"/>
                <w:i/>
                <w:iCs/>
                <w:color w:val="000000"/>
                <w:sz w:val="20"/>
                <w:szCs w:val="20"/>
                <w:lang w:eastAsia="en-GB"/>
              </w:rPr>
              <w:t>NE</w:t>
            </w:r>
          </w:p>
        </w:tc>
        <w:tc>
          <w:tcPr>
            <w:tcW w:w="0" w:type="pct"/>
            <w:shd w:val="clear" w:color="auto" w:fill="E37230" w:themeFill="accent2"/>
            <w:noWrap/>
            <w:hideMark/>
          </w:tcPr>
          <w:p w14:paraId="3CE0024D" w14:textId="77777777" w:rsidR="00E00150" w:rsidRPr="00BD6932" w:rsidRDefault="00E00150">
            <w:pPr>
              <w:rPr>
                <w:rFonts w:eastAsia="Times New Roman" w:cs="Calibri"/>
                <w:color w:val="000000"/>
                <w:sz w:val="20"/>
                <w:szCs w:val="20"/>
                <w:lang w:eastAsia="en-GB"/>
              </w:rPr>
            </w:pPr>
            <w:r w:rsidRPr="00BD6932">
              <w:rPr>
                <w:rFonts w:eastAsia="Times New Roman" w:cs="Calibri"/>
                <w:color w:val="000000"/>
                <w:sz w:val="20"/>
                <w:szCs w:val="20"/>
                <w:lang w:eastAsia="en-GB"/>
              </w:rPr>
              <w:t> </w:t>
            </w:r>
          </w:p>
        </w:tc>
      </w:tr>
      <w:tr w:rsidR="00264CBC" w:rsidRPr="00BD6932" w14:paraId="32F065BC" w14:textId="77777777" w:rsidTr="00086F5E">
        <w:trPr>
          <w:cnfStyle w:val="000000010000" w:firstRow="0" w:lastRow="0" w:firstColumn="0" w:lastColumn="0" w:oddVBand="0" w:evenVBand="0" w:oddHBand="0" w:evenHBand="1" w:firstRowFirstColumn="0" w:firstRowLastColumn="0" w:lastRowFirstColumn="0" w:lastRowLastColumn="0"/>
          <w:trHeight w:val="690"/>
        </w:trPr>
        <w:tc>
          <w:tcPr>
            <w:tcW w:w="0" w:type="pct"/>
            <w:hideMark/>
          </w:tcPr>
          <w:p w14:paraId="3BDF1434" w14:textId="3B9C44E4" w:rsidR="00E00150" w:rsidRPr="00BD6932" w:rsidRDefault="00E00150">
            <w:pPr>
              <w:rPr>
                <w:rFonts w:eastAsia="Times New Roman" w:cs="Calibri"/>
                <w:color w:val="000000"/>
                <w:sz w:val="18"/>
                <w:szCs w:val="18"/>
                <w:lang w:eastAsia="en-GB"/>
              </w:rPr>
            </w:pPr>
            <w:r w:rsidRPr="00BD6932">
              <w:rPr>
                <w:rFonts w:eastAsia="Times New Roman" w:cs="Calibri"/>
                <w:color w:val="000000"/>
                <w:sz w:val="18"/>
                <w:szCs w:val="18"/>
                <w:lang w:eastAsia="en-GB"/>
              </w:rPr>
              <w:t>Activity/budget implementation rates</w:t>
            </w:r>
          </w:p>
        </w:tc>
        <w:tc>
          <w:tcPr>
            <w:tcW w:w="0" w:type="pct"/>
            <w:shd w:val="clear" w:color="auto" w:fill="FF0000"/>
            <w:noWrap/>
            <w:hideMark/>
          </w:tcPr>
          <w:p w14:paraId="7816D924"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E37230" w:themeFill="accent2"/>
            <w:noWrap/>
            <w:hideMark/>
          </w:tcPr>
          <w:p w14:paraId="1F953A82"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8CCA45" w:themeFill="accent6"/>
            <w:noWrap/>
            <w:hideMark/>
          </w:tcPr>
          <w:p w14:paraId="3AF24D97" w14:textId="77777777" w:rsidR="00E00150" w:rsidRPr="00BD6932" w:rsidRDefault="00E00150">
            <w:pPr>
              <w:jc w:val="right"/>
              <w:rPr>
                <w:rFonts w:eastAsia="Times New Roman" w:cs="Calibri"/>
                <w:color w:val="000000"/>
                <w:sz w:val="20"/>
                <w:szCs w:val="20"/>
                <w:lang w:eastAsia="en-GB"/>
              </w:rPr>
            </w:pPr>
          </w:p>
        </w:tc>
        <w:tc>
          <w:tcPr>
            <w:tcW w:w="0" w:type="pct"/>
            <w:shd w:val="clear" w:color="auto" w:fill="F1B249" w:themeFill="accent4"/>
            <w:noWrap/>
            <w:hideMark/>
          </w:tcPr>
          <w:p w14:paraId="7C9774D1"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8CCA45" w:themeFill="accent6"/>
            <w:noWrap/>
            <w:hideMark/>
          </w:tcPr>
          <w:p w14:paraId="59696365"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8CCA45" w:themeFill="accent6"/>
            <w:noWrap/>
            <w:hideMark/>
          </w:tcPr>
          <w:p w14:paraId="3B170211"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F1B249" w:themeFill="accent4"/>
            <w:noWrap/>
            <w:hideMark/>
          </w:tcPr>
          <w:p w14:paraId="7CB720FC"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FF0000"/>
            <w:noWrap/>
            <w:hideMark/>
          </w:tcPr>
          <w:p w14:paraId="18796972"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8CCA45" w:themeFill="accent6"/>
            <w:noWrap/>
            <w:hideMark/>
          </w:tcPr>
          <w:p w14:paraId="04CF04AC"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FF0000"/>
            <w:noWrap/>
            <w:hideMark/>
          </w:tcPr>
          <w:p w14:paraId="14F2EE30"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F1B249" w:themeFill="accent4"/>
            <w:noWrap/>
            <w:hideMark/>
          </w:tcPr>
          <w:p w14:paraId="46A867A7"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F1B249" w:themeFill="accent4"/>
            <w:noWrap/>
            <w:hideMark/>
          </w:tcPr>
          <w:p w14:paraId="459D3EB2"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noWrap/>
            <w:hideMark/>
          </w:tcPr>
          <w:p w14:paraId="3C7B0203" w14:textId="77777777" w:rsidR="00E00150" w:rsidRPr="00FB6642" w:rsidRDefault="00E00150">
            <w:pPr>
              <w:jc w:val="right"/>
              <w:rPr>
                <w:rFonts w:eastAsia="Times New Roman" w:cs="Calibri"/>
                <w:i/>
                <w:iCs/>
                <w:color w:val="000000"/>
                <w:sz w:val="20"/>
                <w:szCs w:val="20"/>
                <w:lang w:eastAsia="en-GB"/>
              </w:rPr>
            </w:pPr>
            <w:r w:rsidRPr="00EF0153">
              <w:rPr>
                <w:rFonts w:eastAsia="Times New Roman" w:cs="Calibri"/>
                <w:i/>
                <w:iCs/>
                <w:color w:val="000000"/>
                <w:sz w:val="20"/>
                <w:szCs w:val="20"/>
                <w:lang w:eastAsia="en-GB"/>
              </w:rPr>
              <w:t>NE</w:t>
            </w:r>
          </w:p>
        </w:tc>
        <w:tc>
          <w:tcPr>
            <w:tcW w:w="0" w:type="pct"/>
            <w:noWrap/>
            <w:hideMark/>
          </w:tcPr>
          <w:p w14:paraId="560914A4" w14:textId="77777777" w:rsidR="00E00150" w:rsidRPr="00FB6642" w:rsidRDefault="00E00150">
            <w:pPr>
              <w:rPr>
                <w:rFonts w:eastAsia="Times New Roman" w:cs="Calibri"/>
                <w:i/>
                <w:iCs/>
                <w:color w:val="000000"/>
                <w:sz w:val="20"/>
                <w:szCs w:val="20"/>
                <w:lang w:eastAsia="en-GB"/>
              </w:rPr>
            </w:pPr>
            <w:r w:rsidRPr="00EF0153">
              <w:rPr>
                <w:rFonts w:eastAsia="Times New Roman" w:cs="Calibri"/>
                <w:i/>
                <w:iCs/>
                <w:color w:val="000000"/>
                <w:sz w:val="20"/>
                <w:szCs w:val="20"/>
                <w:lang w:eastAsia="en-GB"/>
              </w:rPr>
              <w:t>NE</w:t>
            </w:r>
          </w:p>
        </w:tc>
        <w:tc>
          <w:tcPr>
            <w:tcW w:w="0" w:type="pct"/>
            <w:shd w:val="clear" w:color="auto" w:fill="F1B249" w:themeFill="accent4"/>
            <w:noWrap/>
            <w:hideMark/>
          </w:tcPr>
          <w:p w14:paraId="3569B278" w14:textId="77777777" w:rsidR="00E00150" w:rsidRPr="00BD6932" w:rsidRDefault="00E00150">
            <w:pPr>
              <w:rPr>
                <w:rFonts w:eastAsia="Times New Roman" w:cs="Calibri"/>
                <w:color w:val="000000"/>
                <w:sz w:val="20"/>
                <w:szCs w:val="20"/>
                <w:lang w:eastAsia="en-GB"/>
              </w:rPr>
            </w:pPr>
            <w:r w:rsidRPr="00BD6932">
              <w:rPr>
                <w:rFonts w:eastAsia="Times New Roman" w:cs="Calibri"/>
                <w:color w:val="000000"/>
                <w:sz w:val="20"/>
                <w:szCs w:val="20"/>
                <w:lang w:eastAsia="en-GB"/>
              </w:rPr>
              <w:t> </w:t>
            </w:r>
          </w:p>
        </w:tc>
      </w:tr>
      <w:tr w:rsidR="00264CBC" w:rsidRPr="00BD6932" w14:paraId="0465D0B8" w14:textId="77777777" w:rsidTr="00086F5E">
        <w:trPr>
          <w:cnfStyle w:val="000000100000" w:firstRow="0" w:lastRow="0" w:firstColumn="0" w:lastColumn="0" w:oddVBand="0" w:evenVBand="0" w:oddHBand="1" w:evenHBand="0" w:firstRowFirstColumn="0" w:firstRowLastColumn="0" w:lastRowFirstColumn="0" w:lastRowLastColumn="0"/>
          <w:trHeight w:val="690"/>
        </w:trPr>
        <w:tc>
          <w:tcPr>
            <w:tcW w:w="0" w:type="pct"/>
            <w:shd w:val="clear" w:color="auto" w:fill="FFFFFF" w:themeFill="background1"/>
            <w:hideMark/>
          </w:tcPr>
          <w:p w14:paraId="4B7BA35B" w14:textId="77777777" w:rsidR="00E00150" w:rsidRPr="00BD6932" w:rsidRDefault="00E00150">
            <w:pPr>
              <w:rPr>
                <w:rFonts w:eastAsia="Times New Roman" w:cs="Calibri"/>
                <w:color w:val="000000"/>
                <w:sz w:val="18"/>
                <w:szCs w:val="18"/>
                <w:lang w:eastAsia="en-GB"/>
              </w:rPr>
            </w:pPr>
            <w:r w:rsidRPr="00BD6932">
              <w:rPr>
                <w:rFonts w:eastAsia="Times New Roman" w:cs="Calibri"/>
                <w:color w:val="000000"/>
                <w:sz w:val="18"/>
                <w:szCs w:val="18"/>
                <w:lang w:eastAsia="en-GB"/>
              </w:rPr>
              <w:t>Value of leveraged resources</w:t>
            </w:r>
          </w:p>
        </w:tc>
        <w:tc>
          <w:tcPr>
            <w:tcW w:w="0" w:type="pct"/>
            <w:shd w:val="clear" w:color="auto" w:fill="FFFFFF" w:themeFill="background1"/>
            <w:noWrap/>
            <w:hideMark/>
          </w:tcPr>
          <w:p w14:paraId="6136AD87" w14:textId="77777777" w:rsidR="00E00150" w:rsidRPr="00BD6932" w:rsidRDefault="00E00150">
            <w:pPr>
              <w:jc w:val="center"/>
              <w:rPr>
                <w:rFonts w:eastAsia="Times New Roman" w:cs="Calibri"/>
                <w:color w:val="000000"/>
                <w:sz w:val="20"/>
                <w:szCs w:val="20"/>
                <w:lang w:eastAsia="en-GB"/>
              </w:rPr>
            </w:pPr>
            <w:r w:rsidRPr="003A6486">
              <w:rPr>
                <w:rFonts w:eastAsia="Times New Roman" w:cs="Calibri"/>
                <w:i/>
                <w:iCs/>
                <w:color w:val="000000"/>
                <w:sz w:val="20"/>
                <w:szCs w:val="20"/>
                <w:lang w:eastAsia="en-GB"/>
              </w:rPr>
              <w:t>NE</w:t>
            </w:r>
          </w:p>
        </w:tc>
        <w:tc>
          <w:tcPr>
            <w:tcW w:w="0" w:type="pct"/>
            <w:shd w:val="clear" w:color="auto" w:fill="FFFFFF" w:themeFill="background1"/>
            <w:noWrap/>
            <w:hideMark/>
          </w:tcPr>
          <w:p w14:paraId="09ABFB39" w14:textId="77777777" w:rsidR="00E00150" w:rsidRPr="00BD6932" w:rsidRDefault="00E00150">
            <w:pPr>
              <w:jc w:val="center"/>
              <w:rPr>
                <w:rFonts w:eastAsia="Times New Roman" w:cs="Calibri"/>
                <w:color w:val="000000"/>
                <w:sz w:val="20"/>
                <w:szCs w:val="20"/>
                <w:lang w:eastAsia="en-GB"/>
              </w:rPr>
            </w:pPr>
            <w:r w:rsidRPr="003A6486">
              <w:rPr>
                <w:rFonts w:eastAsia="Times New Roman" w:cs="Calibri"/>
                <w:i/>
                <w:iCs/>
                <w:color w:val="000000"/>
                <w:sz w:val="20"/>
                <w:szCs w:val="20"/>
                <w:lang w:eastAsia="en-GB"/>
              </w:rPr>
              <w:t>NE</w:t>
            </w:r>
          </w:p>
        </w:tc>
        <w:tc>
          <w:tcPr>
            <w:tcW w:w="0" w:type="pct"/>
            <w:shd w:val="clear" w:color="auto" w:fill="FFFFFF" w:themeFill="background1"/>
            <w:noWrap/>
            <w:hideMark/>
          </w:tcPr>
          <w:p w14:paraId="25D171C1" w14:textId="77777777" w:rsidR="00E00150" w:rsidRPr="00BD6932" w:rsidRDefault="00E00150">
            <w:pPr>
              <w:jc w:val="center"/>
              <w:rPr>
                <w:rFonts w:eastAsia="Times New Roman" w:cs="Calibri"/>
                <w:color w:val="000000"/>
                <w:sz w:val="20"/>
                <w:szCs w:val="20"/>
                <w:lang w:eastAsia="en-GB"/>
              </w:rPr>
            </w:pPr>
            <w:r w:rsidRPr="003A6486">
              <w:rPr>
                <w:rFonts w:eastAsia="Times New Roman" w:cs="Calibri"/>
                <w:i/>
                <w:iCs/>
                <w:color w:val="000000"/>
                <w:sz w:val="20"/>
                <w:szCs w:val="20"/>
                <w:lang w:eastAsia="en-GB"/>
              </w:rPr>
              <w:t>NE</w:t>
            </w:r>
          </w:p>
        </w:tc>
        <w:tc>
          <w:tcPr>
            <w:tcW w:w="0" w:type="pct"/>
            <w:shd w:val="clear" w:color="auto" w:fill="8CCA45" w:themeFill="accent6"/>
            <w:noWrap/>
            <w:hideMark/>
          </w:tcPr>
          <w:p w14:paraId="6F05CDDB"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FFFFFF" w:themeFill="background1"/>
            <w:noWrap/>
            <w:hideMark/>
          </w:tcPr>
          <w:p w14:paraId="4CB7351B" w14:textId="77777777" w:rsidR="00E00150" w:rsidRPr="00BD6932" w:rsidRDefault="00E00150">
            <w:pPr>
              <w:rPr>
                <w:rFonts w:eastAsia="Times New Roman" w:cs="Calibri"/>
                <w:color w:val="000000"/>
                <w:sz w:val="20"/>
                <w:szCs w:val="20"/>
                <w:lang w:eastAsia="en-GB"/>
              </w:rPr>
            </w:pPr>
            <w:r w:rsidRPr="003A6486">
              <w:rPr>
                <w:rFonts w:eastAsia="Times New Roman" w:cs="Calibri"/>
                <w:i/>
                <w:iCs/>
                <w:color w:val="000000"/>
                <w:sz w:val="20"/>
                <w:szCs w:val="20"/>
                <w:lang w:eastAsia="en-GB"/>
              </w:rPr>
              <w:t>NE</w:t>
            </w:r>
          </w:p>
        </w:tc>
        <w:tc>
          <w:tcPr>
            <w:tcW w:w="0" w:type="pct"/>
            <w:shd w:val="clear" w:color="auto" w:fill="F1B249" w:themeFill="accent4"/>
            <w:noWrap/>
            <w:hideMark/>
          </w:tcPr>
          <w:p w14:paraId="2B7D320A"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8CCA45" w:themeFill="accent6"/>
            <w:noWrap/>
            <w:hideMark/>
          </w:tcPr>
          <w:p w14:paraId="7CF56C51"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F1B249" w:themeFill="accent4"/>
            <w:noWrap/>
            <w:hideMark/>
          </w:tcPr>
          <w:p w14:paraId="6E495297"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E37230" w:themeFill="accent2"/>
            <w:noWrap/>
            <w:hideMark/>
          </w:tcPr>
          <w:p w14:paraId="0DF24BBE" w14:textId="77777777" w:rsidR="00E00150" w:rsidRPr="00BD6932" w:rsidRDefault="00E00150">
            <w:pPr>
              <w:jc w:val="center"/>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E37230" w:themeFill="accent2"/>
            <w:noWrap/>
            <w:hideMark/>
          </w:tcPr>
          <w:p w14:paraId="23506642" w14:textId="77777777" w:rsidR="00E00150" w:rsidRPr="00BD6932" w:rsidRDefault="00E00150">
            <w:pPr>
              <w:jc w:val="right"/>
              <w:rPr>
                <w:rFonts w:eastAsia="Times New Roman" w:cs="Calibri"/>
                <w:color w:val="000000"/>
                <w:sz w:val="20"/>
                <w:szCs w:val="20"/>
                <w:lang w:eastAsia="en-GB"/>
              </w:rPr>
            </w:pPr>
            <w:r w:rsidRPr="00BD6932">
              <w:rPr>
                <w:rFonts w:eastAsia="Times New Roman" w:cs="Calibri"/>
                <w:color w:val="000000"/>
                <w:sz w:val="20"/>
                <w:szCs w:val="20"/>
                <w:lang w:eastAsia="en-GB"/>
              </w:rPr>
              <w:t> </w:t>
            </w:r>
          </w:p>
        </w:tc>
        <w:tc>
          <w:tcPr>
            <w:tcW w:w="0" w:type="pct"/>
            <w:shd w:val="clear" w:color="auto" w:fill="FFFFFF" w:themeFill="background1"/>
            <w:noWrap/>
            <w:hideMark/>
          </w:tcPr>
          <w:p w14:paraId="5E6FA839" w14:textId="77777777" w:rsidR="00E00150" w:rsidRPr="00BD6932" w:rsidRDefault="00E00150">
            <w:pPr>
              <w:jc w:val="center"/>
              <w:rPr>
                <w:rFonts w:eastAsia="Times New Roman" w:cs="Calibri"/>
                <w:color w:val="000000"/>
                <w:sz w:val="20"/>
                <w:szCs w:val="20"/>
                <w:lang w:eastAsia="en-GB"/>
              </w:rPr>
            </w:pPr>
            <w:r w:rsidRPr="00584661">
              <w:rPr>
                <w:rFonts w:eastAsia="Times New Roman" w:cs="Calibri"/>
                <w:i/>
                <w:iCs/>
                <w:color w:val="000000"/>
                <w:sz w:val="20"/>
                <w:szCs w:val="20"/>
                <w:lang w:eastAsia="en-GB"/>
              </w:rPr>
              <w:t>NE</w:t>
            </w:r>
          </w:p>
        </w:tc>
        <w:tc>
          <w:tcPr>
            <w:tcW w:w="0" w:type="pct"/>
            <w:shd w:val="clear" w:color="auto" w:fill="FFFFFF" w:themeFill="background1"/>
            <w:noWrap/>
            <w:hideMark/>
          </w:tcPr>
          <w:p w14:paraId="7C958006" w14:textId="77777777" w:rsidR="00E00150" w:rsidRPr="00BD6932" w:rsidRDefault="00E00150">
            <w:pPr>
              <w:jc w:val="center"/>
              <w:rPr>
                <w:rFonts w:eastAsia="Times New Roman" w:cs="Calibri"/>
                <w:color w:val="000000"/>
                <w:sz w:val="20"/>
                <w:szCs w:val="20"/>
                <w:lang w:eastAsia="en-GB"/>
              </w:rPr>
            </w:pPr>
            <w:r w:rsidRPr="00584661">
              <w:rPr>
                <w:rFonts w:eastAsia="Times New Roman" w:cs="Calibri"/>
                <w:i/>
                <w:iCs/>
                <w:color w:val="000000"/>
                <w:sz w:val="20"/>
                <w:szCs w:val="20"/>
                <w:lang w:eastAsia="en-GB"/>
              </w:rPr>
              <w:t>NE</w:t>
            </w:r>
          </w:p>
        </w:tc>
        <w:tc>
          <w:tcPr>
            <w:tcW w:w="0" w:type="pct"/>
            <w:shd w:val="clear" w:color="auto" w:fill="FFFFFF" w:themeFill="background1"/>
            <w:noWrap/>
            <w:hideMark/>
          </w:tcPr>
          <w:p w14:paraId="0E5D66E9" w14:textId="77777777" w:rsidR="00E00150" w:rsidRPr="00BD6932" w:rsidRDefault="00E00150">
            <w:pPr>
              <w:jc w:val="center"/>
              <w:rPr>
                <w:rFonts w:eastAsia="Times New Roman" w:cs="Calibri"/>
                <w:color w:val="000000"/>
                <w:sz w:val="20"/>
                <w:szCs w:val="20"/>
                <w:lang w:eastAsia="en-GB"/>
              </w:rPr>
            </w:pPr>
            <w:r w:rsidRPr="00584661">
              <w:rPr>
                <w:rFonts w:eastAsia="Times New Roman" w:cs="Calibri"/>
                <w:i/>
                <w:iCs/>
                <w:color w:val="000000"/>
                <w:sz w:val="20"/>
                <w:szCs w:val="20"/>
                <w:lang w:eastAsia="en-GB"/>
              </w:rPr>
              <w:t>NE</w:t>
            </w:r>
          </w:p>
        </w:tc>
        <w:tc>
          <w:tcPr>
            <w:tcW w:w="0" w:type="pct"/>
            <w:shd w:val="clear" w:color="auto" w:fill="FFFFFF" w:themeFill="background1"/>
            <w:noWrap/>
            <w:hideMark/>
          </w:tcPr>
          <w:p w14:paraId="3041AE85" w14:textId="77777777" w:rsidR="00E00150" w:rsidRPr="00BD6932" w:rsidRDefault="00E00150">
            <w:pPr>
              <w:jc w:val="right"/>
              <w:rPr>
                <w:rFonts w:eastAsia="Times New Roman" w:cs="Calibri"/>
                <w:color w:val="000000"/>
                <w:sz w:val="20"/>
                <w:szCs w:val="20"/>
                <w:lang w:eastAsia="en-GB"/>
              </w:rPr>
            </w:pPr>
            <w:r w:rsidRPr="003A6486">
              <w:rPr>
                <w:rFonts w:eastAsia="Times New Roman" w:cs="Calibri"/>
                <w:i/>
                <w:iCs/>
                <w:color w:val="000000"/>
                <w:sz w:val="20"/>
                <w:szCs w:val="20"/>
                <w:lang w:eastAsia="en-GB"/>
              </w:rPr>
              <w:t>NE</w:t>
            </w:r>
          </w:p>
        </w:tc>
        <w:tc>
          <w:tcPr>
            <w:tcW w:w="0" w:type="pct"/>
            <w:shd w:val="clear" w:color="auto" w:fill="FFFFFF" w:themeFill="background1"/>
            <w:noWrap/>
            <w:hideMark/>
          </w:tcPr>
          <w:p w14:paraId="62D0EECB" w14:textId="77777777" w:rsidR="00E00150" w:rsidRPr="00BD6932" w:rsidRDefault="00E00150">
            <w:pPr>
              <w:rPr>
                <w:rFonts w:ascii="Times New Roman" w:eastAsia="Times New Roman" w:hAnsi="Times New Roman" w:cs="Times New Roman"/>
                <w:sz w:val="20"/>
                <w:szCs w:val="20"/>
                <w:lang w:eastAsia="en-GB"/>
              </w:rPr>
            </w:pPr>
            <w:r w:rsidRPr="003A6486">
              <w:rPr>
                <w:rFonts w:eastAsia="Times New Roman" w:cs="Calibri"/>
                <w:i/>
                <w:iCs/>
                <w:color w:val="000000"/>
                <w:sz w:val="20"/>
                <w:szCs w:val="20"/>
                <w:lang w:eastAsia="en-GB"/>
              </w:rPr>
              <w:t>NE</w:t>
            </w:r>
          </w:p>
        </w:tc>
      </w:tr>
    </w:tbl>
    <w:p w14:paraId="77D549F6" w14:textId="6F6A16E9" w:rsidR="001A1A5F" w:rsidRDefault="001A1A5F" w:rsidP="00C04C3C">
      <w:pPr>
        <w:pStyle w:val="ItadCaption"/>
      </w:pPr>
      <w:bookmarkStart w:id="137" w:name="_Toc143857888"/>
      <w:r>
        <w:t xml:space="preserve">Table </w:t>
      </w:r>
      <w:r>
        <w:fldChar w:fldCharType="begin"/>
      </w:r>
      <w:r>
        <w:instrText>SEQ Table \* ARABIC</w:instrText>
      </w:r>
      <w:r>
        <w:fldChar w:fldCharType="separate"/>
      </w:r>
      <w:r w:rsidR="009A383C">
        <w:rPr>
          <w:noProof/>
        </w:rPr>
        <w:t>20</w:t>
      </w:r>
      <w:r>
        <w:fldChar w:fldCharType="end"/>
      </w:r>
      <w:r w:rsidR="00EC2B6F">
        <w:t xml:space="preserve"> </w:t>
      </w:r>
      <w:r w:rsidR="0044432D">
        <w:t>VfM</w:t>
      </w:r>
      <w:r w:rsidRPr="00E35310">
        <w:t xml:space="preserve"> Measures of Efficiency achieved across regional grants</w:t>
      </w:r>
      <w:bookmarkEnd w:id="137"/>
    </w:p>
    <w:tbl>
      <w:tblPr>
        <w:tblStyle w:val="ItadGreenHeaderRow"/>
        <w:tblW w:w="5000" w:type="pct"/>
        <w:tblInd w:w="0" w:type="dxa"/>
        <w:tblLook w:val="04A0" w:firstRow="1" w:lastRow="0" w:firstColumn="1" w:lastColumn="0" w:noHBand="0" w:noVBand="1"/>
      </w:tblPr>
      <w:tblGrid>
        <w:gridCol w:w="1652"/>
        <w:gridCol w:w="1120"/>
        <w:gridCol w:w="1053"/>
        <w:gridCol w:w="1067"/>
        <w:gridCol w:w="1013"/>
        <w:gridCol w:w="947"/>
        <w:gridCol w:w="1071"/>
        <w:gridCol w:w="1093"/>
      </w:tblGrid>
      <w:tr w:rsidR="0030093F" w:rsidRPr="0030093F" w14:paraId="24E9F3B4" w14:textId="77777777" w:rsidTr="00BB4743">
        <w:trPr>
          <w:cnfStyle w:val="100000000000" w:firstRow="1" w:lastRow="0" w:firstColumn="0" w:lastColumn="0" w:oddVBand="0" w:evenVBand="0" w:oddHBand="0" w:evenHBand="0" w:firstRowFirstColumn="0" w:firstRowLastColumn="0" w:lastRowFirstColumn="0" w:lastRowLastColumn="0"/>
          <w:trHeight w:val="1096"/>
        </w:trPr>
        <w:tc>
          <w:tcPr>
            <w:tcW w:w="916" w:type="pct"/>
          </w:tcPr>
          <w:p w14:paraId="7B4A60FF" w14:textId="77777777" w:rsidR="001A7D53" w:rsidRPr="007F63EF" w:rsidRDefault="001A7D53">
            <w:pPr>
              <w:rPr>
                <w:rFonts w:eastAsia="Times New Roman" w:cs="Calibri"/>
                <w:b/>
                <w:bCs/>
                <w:color w:val="auto"/>
                <w:sz w:val="20"/>
                <w:szCs w:val="20"/>
                <w:lang w:eastAsia="en-GB"/>
              </w:rPr>
            </w:pPr>
            <w:r w:rsidRPr="0030093F">
              <w:rPr>
                <w:rFonts w:eastAsia="Times New Roman" w:cs="Calibri"/>
                <w:b/>
                <w:bCs/>
                <w:sz w:val="20"/>
                <w:szCs w:val="20"/>
                <w:lang w:eastAsia="en-GB"/>
              </w:rPr>
              <w:t>VfM measures Economy</w:t>
            </w:r>
          </w:p>
        </w:tc>
        <w:tc>
          <w:tcPr>
            <w:tcW w:w="621" w:type="pct"/>
          </w:tcPr>
          <w:p w14:paraId="6F780B13" w14:textId="77777777" w:rsidR="001A7D53" w:rsidRPr="007F63EF" w:rsidRDefault="001A7D53">
            <w:pPr>
              <w:rPr>
                <w:rFonts w:eastAsia="Calibri" w:cs="Calibri"/>
                <w:b/>
                <w:bCs/>
                <w:color w:val="auto"/>
                <w:sz w:val="20"/>
                <w:szCs w:val="20"/>
              </w:rPr>
            </w:pPr>
            <w:r w:rsidRPr="0030093F">
              <w:rPr>
                <w:rFonts w:eastAsia="Calibri" w:cs="Calibri"/>
                <w:b/>
                <w:bCs/>
                <w:sz w:val="20"/>
                <w:szCs w:val="20"/>
              </w:rPr>
              <w:t>FF8 FF9</w:t>
            </w:r>
          </w:p>
        </w:tc>
        <w:tc>
          <w:tcPr>
            <w:tcW w:w="584" w:type="pct"/>
          </w:tcPr>
          <w:p w14:paraId="6B4DBC3B" w14:textId="77777777" w:rsidR="001A7D53" w:rsidRPr="007F63EF" w:rsidRDefault="001A7D53">
            <w:pPr>
              <w:rPr>
                <w:rFonts w:eastAsia="Calibri" w:cs="Calibri"/>
                <w:b/>
                <w:bCs/>
                <w:color w:val="auto"/>
                <w:sz w:val="20"/>
                <w:szCs w:val="20"/>
              </w:rPr>
            </w:pPr>
            <w:r w:rsidRPr="0030093F">
              <w:rPr>
                <w:rFonts w:eastAsia="Calibri" w:cs="Calibri"/>
                <w:b/>
                <w:bCs/>
                <w:sz w:val="20"/>
                <w:szCs w:val="20"/>
              </w:rPr>
              <w:t>FF10 FF11</w:t>
            </w:r>
          </w:p>
        </w:tc>
        <w:tc>
          <w:tcPr>
            <w:tcW w:w="592" w:type="pct"/>
          </w:tcPr>
          <w:p w14:paraId="203B05AB" w14:textId="77777777" w:rsidR="001A7D53" w:rsidRPr="007F63EF" w:rsidRDefault="001A7D53">
            <w:pPr>
              <w:rPr>
                <w:rFonts w:eastAsia="Calibri" w:cs="Calibri"/>
                <w:b/>
                <w:bCs/>
                <w:color w:val="auto"/>
                <w:sz w:val="20"/>
                <w:szCs w:val="20"/>
              </w:rPr>
            </w:pPr>
            <w:r w:rsidRPr="0030093F">
              <w:rPr>
                <w:rFonts w:eastAsia="Calibri" w:cs="Calibri"/>
                <w:b/>
                <w:bCs/>
                <w:sz w:val="20"/>
                <w:szCs w:val="20"/>
              </w:rPr>
              <w:t>FF49</w:t>
            </w:r>
          </w:p>
        </w:tc>
        <w:tc>
          <w:tcPr>
            <w:tcW w:w="562" w:type="pct"/>
          </w:tcPr>
          <w:p w14:paraId="135529B2" w14:textId="77777777" w:rsidR="001A7D53" w:rsidRPr="007F63EF" w:rsidRDefault="001A7D53">
            <w:pPr>
              <w:rPr>
                <w:rFonts w:eastAsia="Calibri" w:cs="Calibri"/>
                <w:b/>
                <w:bCs/>
                <w:color w:val="auto"/>
                <w:sz w:val="20"/>
                <w:szCs w:val="20"/>
              </w:rPr>
            </w:pPr>
            <w:r w:rsidRPr="0030093F">
              <w:rPr>
                <w:rFonts w:eastAsia="Calibri" w:cs="Calibri"/>
                <w:b/>
                <w:bCs/>
                <w:sz w:val="20"/>
                <w:szCs w:val="20"/>
              </w:rPr>
              <w:t>FF55</w:t>
            </w:r>
          </w:p>
        </w:tc>
        <w:tc>
          <w:tcPr>
            <w:tcW w:w="525" w:type="pct"/>
          </w:tcPr>
          <w:p w14:paraId="452D4A76" w14:textId="77777777" w:rsidR="001A7D53" w:rsidRPr="007F63EF" w:rsidRDefault="001A7D53">
            <w:pPr>
              <w:rPr>
                <w:rFonts w:eastAsia="Calibri" w:cs="Calibri"/>
                <w:b/>
                <w:bCs/>
                <w:color w:val="auto"/>
                <w:sz w:val="20"/>
                <w:szCs w:val="20"/>
              </w:rPr>
            </w:pPr>
            <w:r w:rsidRPr="0030093F">
              <w:rPr>
                <w:rFonts w:eastAsia="Calibri" w:cs="Calibri"/>
                <w:b/>
                <w:bCs/>
                <w:sz w:val="20"/>
                <w:szCs w:val="20"/>
              </w:rPr>
              <w:t>FF64</w:t>
            </w:r>
          </w:p>
        </w:tc>
        <w:tc>
          <w:tcPr>
            <w:tcW w:w="594" w:type="pct"/>
          </w:tcPr>
          <w:p w14:paraId="758E5E91" w14:textId="77777777" w:rsidR="001A7D53" w:rsidRPr="007F63EF" w:rsidRDefault="001A7D53">
            <w:pPr>
              <w:rPr>
                <w:rFonts w:eastAsia="Calibri" w:cs="Calibri"/>
                <w:b/>
                <w:bCs/>
                <w:color w:val="auto"/>
                <w:sz w:val="20"/>
                <w:szCs w:val="20"/>
              </w:rPr>
            </w:pPr>
            <w:r w:rsidRPr="0030093F">
              <w:rPr>
                <w:rFonts w:eastAsia="Calibri" w:cs="Calibri"/>
                <w:b/>
                <w:bCs/>
                <w:sz w:val="20"/>
                <w:szCs w:val="20"/>
              </w:rPr>
              <w:t>FF54</w:t>
            </w:r>
          </w:p>
        </w:tc>
        <w:tc>
          <w:tcPr>
            <w:tcW w:w="606" w:type="pct"/>
          </w:tcPr>
          <w:p w14:paraId="71CEC860" w14:textId="77777777" w:rsidR="001A7D53" w:rsidRPr="007F63EF" w:rsidRDefault="001A7D53">
            <w:pPr>
              <w:rPr>
                <w:rFonts w:eastAsia="Calibri" w:cs="Calibri"/>
                <w:b/>
                <w:bCs/>
                <w:color w:val="auto"/>
                <w:sz w:val="20"/>
                <w:szCs w:val="20"/>
              </w:rPr>
            </w:pPr>
            <w:r w:rsidRPr="0030093F">
              <w:rPr>
                <w:rFonts w:eastAsia="Calibri" w:cs="Calibri"/>
                <w:b/>
                <w:bCs/>
                <w:sz w:val="20"/>
                <w:szCs w:val="20"/>
              </w:rPr>
              <w:t>FF25</w:t>
            </w:r>
          </w:p>
        </w:tc>
      </w:tr>
      <w:tr w:rsidR="0030093F" w:rsidRPr="0030093F" w14:paraId="4C514EE9" w14:textId="77777777" w:rsidTr="00086F5E">
        <w:trPr>
          <w:cnfStyle w:val="000000100000" w:firstRow="0" w:lastRow="0" w:firstColumn="0" w:lastColumn="0" w:oddVBand="0" w:evenVBand="0" w:oddHBand="1" w:evenHBand="0" w:firstRowFirstColumn="0" w:firstRowLastColumn="0" w:lastRowFirstColumn="0" w:lastRowLastColumn="0"/>
          <w:trHeight w:val="690"/>
        </w:trPr>
        <w:tc>
          <w:tcPr>
            <w:tcW w:w="916" w:type="pct"/>
          </w:tcPr>
          <w:p w14:paraId="3E36F85D" w14:textId="77777777" w:rsidR="001A7D53" w:rsidRPr="007F63EF" w:rsidRDefault="001A7D53">
            <w:pPr>
              <w:rPr>
                <w:rFonts w:eastAsia="Times New Roman" w:cs="Calibri"/>
                <w:color w:val="auto"/>
                <w:sz w:val="18"/>
                <w:szCs w:val="18"/>
                <w:lang w:eastAsia="en-GB"/>
              </w:rPr>
            </w:pPr>
            <w:r w:rsidRPr="0030093F">
              <w:rPr>
                <w:rFonts w:eastAsia="Times New Roman" w:cs="Calibri"/>
                <w:sz w:val="18"/>
                <w:szCs w:val="18"/>
                <w:lang w:eastAsia="en-GB"/>
              </w:rPr>
              <w:t>Percentage of overhead</w:t>
            </w:r>
          </w:p>
        </w:tc>
        <w:tc>
          <w:tcPr>
            <w:tcW w:w="621" w:type="pct"/>
            <w:shd w:val="clear" w:color="auto" w:fill="8CCA45" w:themeFill="accent6"/>
          </w:tcPr>
          <w:p w14:paraId="5DE2D58F" w14:textId="77777777" w:rsidR="001A7D53" w:rsidRPr="007F63EF" w:rsidRDefault="001A7D53">
            <w:pPr>
              <w:jc w:val="right"/>
              <w:rPr>
                <w:rFonts w:eastAsia="Times New Roman" w:cs="Calibri"/>
                <w:color w:val="auto"/>
                <w:sz w:val="20"/>
                <w:szCs w:val="20"/>
                <w:lang w:eastAsia="en-GB"/>
              </w:rPr>
            </w:pPr>
            <w:r w:rsidRPr="0030093F">
              <w:rPr>
                <w:rFonts w:cs="Calibri"/>
              </w:rPr>
              <w:t> </w:t>
            </w:r>
          </w:p>
        </w:tc>
        <w:tc>
          <w:tcPr>
            <w:tcW w:w="584" w:type="pct"/>
            <w:shd w:val="clear" w:color="auto" w:fill="F1B249" w:themeFill="accent4"/>
          </w:tcPr>
          <w:p w14:paraId="6227BD9E" w14:textId="77777777" w:rsidR="001A7D53" w:rsidRPr="007F63EF" w:rsidRDefault="001A7D53">
            <w:pPr>
              <w:jc w:val="right"/>
              <w:rPr>
                <w:rFonts w:eastAsia="Times New Roman" w:cs="Calibri"/>
                <w:color w:val="auto"/>
                <w:sz w:val="20"/>
                <w:szCs w:val="20"/>
                <w:lang w:eastAsia="en-GB"/>
              </w:rPr>
            </w:pPr>
            <w:r w:rsidRPr="0030093F">
              <w:rPr>
                <w:rFonts w:cs="Calibri"/>
              </w:rPr>
              <w:t> </w:t>
            </w:r>
          </w:p>
        </w:tc>
        <w:tc>
          <w:tcPr>
            <w:tcW w:w="592" w:type="pct"/>
            <w:shd w:val="clear" w:color="auto" w:fill="8CCA45" w:themeFill="accent6"/>
          </w:tcPr>
          <w:p w14:paraId="29A23B1B" w14:textId="77777777" w:rsidR="001A7D53" w:rsidRPr="007F63EF" w:rsidRDefault="001A7D53">
            <w:pPr>
              <w:rPr>
                <w:rFonts w:eastAsia="Times New Roman" w:cs="Calibri"/>
                <w:color w:val="auto"/>
                <w:sz w:val="18"/>
                <w:szCs w:val="18"/>
                <w:lang w:eastAsia="en-GB"/>
              </w:rPr>
            </w:pPr>
            <w:r w:rsidRPr="0030093F">
              <w:rPr>
                <w:rFonts w:eastAsia="Times New Roman" w:cs="Calibri"/>
                <w:sz w:val="18"/>
                <w:szCs w:val="18"/>
                <w:lang w:eastAsia="en-GB"/>
              </w:rPr>
              <w:t> </w:t>
            </w:r>
          </w:p>
        </w:tc>
        <w:tc>
          <w:tcPr>
            <w:tcW w:w="562" w:type="pct"/>
            <w:shd w:val="clear" w:color="auto" w:fill="F1B249" w:themeFill="accent4"/>
          </w:tcPr>
          <w:p w14:paraId="4FC23314" w14:textId="77777777" w:rsidR="001A7D53" w:rsidRPr="007F63EF" w:rsidRDefault="001A7D53">
            <w:pPr>
              <w:jc w:val="right"/>
              <w:rPr>
                <w:rFonts w:cs="Calibri"/>
                <w:color w:val="auto"/>
              </w:rPr>
            </w:pPr>
            <w:r w:rsidRPr="0030093F">
              <w:rPr>
                <w:rFonts w:cs="Calibri"/>
              </w:rPr>
              <w:t> </w:t>
            </w:r>
          </w:p>
        </w:tc>
        <w:tc>
          <w:tcPr>
            <w:tcW w:w="525" w:type="pct"/>
            <w:shd w:val="clear" w:color="auto" w:fill="F1B249" w:themeFill="accent4"/>
          </w:tcPr>
          <w:p w14:paraId="682E6FEA" w14:textId="77777777" w:rsidR="001A7D53" w:rsidRPr="007F63EF" w:rsidRDefault="001A7D53">
            <w:pPr>
              <w:jc w:val="center"/>
              <w:rPr>
                <w:rFonts w:cs="Calibri"/>
                <w:color w:val="auto"/>
              </w:rPr>
            </w:pPr>
            <w:r w:rsidRPr="0030093F">
              <w:rPr>
                <w:rFonts w:cs="Calibri"/>
              </w:rPr>
              <w:t> </w:t>
            </w:r>
          </w:p>
        </w:tc>
        <w:tc>
          <w:tcPr>
            <w:tcW w:w="594" w:type="pct"/>
            <w:shd w:val="clear" w:color="auto" w:fill="F1B249" w:themeFill="accent4"/>
          </w:tcPr>
          <w:p w14:paraId="58884231" w14:textId="77777777" w:rsidR="001A7D53" w:rsidRPr="007F63EF" w:rsidRDefault="001A7D53">
            <w:pPr>
              <w:jc w:val="right"/>
              <w:rPr>
                <w:rFonts w:eastAsia="Times New Roman" w:cs="Calibri"/>
                <w:color w:val="auto"/>
                <w:sz w:val="20"/>
                <w:szCs w:val="20"/>
                <w:lang w:eastAsia="en-GB"/>
              </w:rPr>
            </w:pPr>
            <w:r w:rsidRPr="0030093F">
              <w:rPr>
                <w:rFonts w:cs="Calibri"/>
              </w:rPr>
              <w:t> </w:t>
            </w:r>
          </w:p>
        </w:tc>
        <w:tc>
          <w:tcPr>
            <w:tcW w:w="606" w:type="pct"/>
            <w:shd w:val="clear" w:color="auto" w:fill="F1B249" w:themeFill="accent4"/>
          </w:tcPr>
          <w:p w14:paraId="7E603800" w14:textId="77777777" w:rsidR="001A7D53" w:rsidRPr="007F63EF" w:rsidRDefault="001A7D53">
            <w:pPr>
              <w:jc w:val="right"/>
              <w:rPr>
                <w:rFonts w:eastAsia="Times New Roman" w:cs="Calibri"/>
                <w:color w:val="auto"/>
                <w:sz w:val="20"/>
                <w:szCs w:val="20"/>
                <w:lang w:eastAsia="en-GB"/>
              </w:rPr>
            </w:pPr>
            <w:r w:rsidRPr="0030093F">
              <w:rPr>
                <w:rFonts w:cs="Calibri"/>
              </w:rPr>
              <w:t> </w:t>
            </w:r>
          </w:p>
        </w:tc>
      </w:tr>
      <w:tr w:rsidR="0030093F" w:rsidRPr="0030093F" w14:paraId="00A3711F" w14:textId="77777777" w:rsidTr="00086F5E">
        <w:trPr>
          <w:cnfStyle w:val="000000010000" w:firstRow="0" w:lastRow="0" w:firstColumn="0" w:lastColumn="0" w:oddVBand="0" w:evenVBand="0" w:oddHBand="0" w:evenHBand="1" w:firstRowFirstColumn="0" w:firstRowLastColumn="0" w:lastRowFirstColumn="0" w:lastRowLastColumn="0"/>
          <w:trHeight w:val="690"/>
        </w:trPr>
        <w:tc>
          <w:tcPr>
            <w:tcW w:w="916" w:type="pct"/>
          </w:tcPr>
          <w:p w14:paraId="664D24AC" w14:textId="33DC857B" w:rsidR="001A7D53" w:rsidRPr="007F63EF" w:rsidRDefault="001A7D53">
            <w:pPr>
              <w:rPr>
                <w:rFonts w:eastAsia="Times New Roman" w:cs="Calibri"/>
                <w:color w:val="auto"/>
                <w:sz w:val="18"/>
                <w:szCs w:val="18"/>
                <w:lang w:eastAsia="en-GB"/>
              </w:rPr>
            </w:pPr>
            <w:r w:rsidRPr="0030093F">
              <w:rPr>
                <w:rFonts w:eastAsia="Times New Roman" w:cs="Calibri"/>
                <w:sz w:val="18"/>
                <w:szCs w:val="18"/>
                <w:lang w:eastAsia="en-GB"/>
              </w:rPr>
              <w:t>Activity/budget implementation rates</w:t>
            </w:r>
          </w:p>
        </w:tc>
        <w:tc>
          <w:tcPr>
            <w:tcW w:w="621" w:type="pct"/>
            <w:shd w:val="clear" w:color="auto" w:fill="F1B249" w:themeFill="accent4"/>
          </w:tcPr>
          <w:p w14:paraId="3884C722" w14:textId="77777777" w:rsidR="001A7D53" w:rsidRPr="007F63EF" w:rsidRDefault="001A7D53">
            <w:pPr>
              <w:jc w:val="right"/>
              <w:rPr>
                <w:rFonts w:eastAsia="Times New Roman" w:cs="Calibri"/>
                <w:color w:val="auto"/>
                <w:sz w:val="20"/>
                <w:szCs w:val="20"/>
                <w:lang w:eastAsia="en-GB"/>
              </w:rPr>
            </w:pPr>
            <w:r w:rsidRPr="0030093F">
              <w:rPr>
                <w:rFonts w:cs="Calibri"/>
              </w:rPr>
              <w:t> </w:t>
            </w:r>
          </w:p>
        </w:tc>
        <w:tc>
          <w:tcPr>
            <w:tcW w:w="584" w:type="pct"/>
            <w:shd w:val="clear" w:color="auto" w:fill="F1B249" w:themeFill="accent4"/>
          </w:tcPr>
          <w:p w14:paraId="58D8255D" w14:textId="77777777" w:rsidR="001A7D53" w:rsidRPr="007F63EF" w:rsidRDefault="001A7D53">
            <w:pPr>
              <w:jc w:val="right"/>
              <w:rPr>
                <w:rFonts w:eastAsia="Times New Roman" w:cs="Calibri"/>
                <w:color w:val="auto"/>
                <w:sz w:val="20"/>
                <w:szCs w:val="20"/>
                <w:lang w:eastAsia="en-GB"/>
              </w:rPr>
            </w:pPr>
            <w:r w:rsidRPr="0030093F">
              <w:rPr>
                <w:rFonts w:cs="Calibri"/>
              </w:rPr>
              <w:t> </w:t>
            </w:r>
          </w:p>
        </w:tc>
        <w:tc>
          <w:tcPr>
            <w:tcW w:w="592" w:type="pct"/>
            <w:shd w:val="clear" w:color="auto" w:fill="8CCA45" w:themeFill="accent6"/>
          </w:tcPr>
          <w:p w14:paraId="771E3B98" w14:textId="77777777" w:rsidR="001A7D53" w:rsidRPr="007F63EF" w:rsidRDefault="001A7D53">
            <w:pPr>
              <w:jc w:val="right"/>
              <w:rPr>
                <w:rFonts w:eastAsia="Times New Roman" w:cs="Calibri"/>
                <w:color w:val="auto"/>
                <w:sz w:val="20"/>
                <w:szCs w:val="20"/>
                <w:lang w:eastAsia="en-GB"/>
              </w:rPr>
            </w:pPr>
            <w:r w:rsidRPr="0030093F">
              <w:rPr>
                <w:rFonts w:cs="Calibri"/>
              </w:rPr>
              <w:t> </w:t>
            </w:r>
          </w:p>
        </w:tc>
        <w:tc>
          <w:tcPr>
            <w:tcW w:w="562" w:type="pct"/>
            <w:shd w:val="clear" w:color="auto" w:fill="F1B249" w:themeFill="accent4"/>
          </w:tcPr>
          <w:p w14:paraId="5DE13C1D" w14:textId="77777777" w:rsidR="001A7D53" w:rsidRPr="007F63EF" w:rsidRDefault="001A7D53">
            <w:pPr>
              <w:jc w:val="right"/>
              <w:rPr>
                <w:rFonts w:eastAsia="Times New Roman" w:cs="Calibri"/>
                <w:color w:val="auto"/>
                <w:sz w:val="20"/>
                <w:szCs w:val="20"/>
                <w:lang w:eastAsia="en-GB"/>
              </w:rPr>
            </w:pPr>
            <w:r w:rsidRPr="0030093F">
              <w:rPr>
                <w:rFonts w:cs="Calibri"/>
              </w:rPr>
              <w:t> </w:t>
            </w:r>
          </w:p>
        </w:tc>
        <w:tc>
          <w:tcPr>
            <w:tcW w:w="525" w:type="pct"/>
            <w:shd w:val="clear" w:color="auto" w:fill="8CCA45" w:themeFill="accent6"/>
          </w:tcPr>
          <w:p w14:paraId="24CC1528" w14:textId="77777777" w:rsidR="001A7D53" w:rsidRPr="007F63EF" w:rsidRDefault="001A7D53">
            <w:pPr>
              <w:jc w:val="right"/>
              <w:rPr>
                <w:rFonts w:eastAsia="Times New Roman" w:cs="Calibri"/>
                <w:color w:val="auto"/>
                <w:sz w:val="20"/>
                <w:szCs w:val="20"/>
                <w:lang w:eastAsia="en-GB"/>
              </w:rPr>
            </w:pPr>
          </w:p>
        </w:tc>
        <w:tc>
          <w:tcPr>
            <w:tcW w:w="594" w:type="pct"/>
            <w:shd w:val="clear" w:color="auto" w:fill="E37230" w:themeFill="accent2"/>
          </w:tcPr>
          <w:p w14:paraId="4454533B" w14:textId="77777777" w:rsidR="001A7D53" w:rsidRPr="007F63EF" w:rsidRDefault="001A7D53">
            <w:pPr>
              <w:jc w:val="right"/>
              <w:rPr>
                <w:rFonts w:eastAsia="Times New Roman" w:cs="Calibri"/>
                <w:color w:val="auto"/>
                <w:sz w:val="20"/>
                <w:szCs w:val="20"/>
                <w:lang w:eastAsia="en-GB"/>
              </w:rPr>
            </w:pPr>
            <w:r w:rsidRPr="0030093F">
              <w:rPr>
                <w:rFonts w:cs="Calibri"/>
              </w:rPr>
              <w:t> </w:t>
            </w:r>
          </w:p>
        </w:tc>
        <w:tc>
          <w:tcPr>
            <w:tcW w:w="606" w:type="pct"/>
            <w:shd w:val="clear" w:color="auto" w:fill="8CCA45" w:themeFill="accent6"/>
          </w:tcPr>
          <w:p w14:paraId="7209E502" w14:textId="77777777" w:rsidR="001A7D53" w:rsidRPr="007F63EF" w:rsidRDefault="001A7D53">
            <w:pPr>
              <w:jc w:val="right"/>
              <w:rPr>
                <w:rFonts w:eastAsia="Times New Roman" w:cs="Calibri"/>
                <w:color w:val="auto"/>
                <w:sz w:val="20"/>
                <w:szCs w:val="20"/>
                <w:lang w:eastAsia="en-GB"/>
              </w:rPr>
            </w:pPr>
            <w:r w:rsidRPr="0030093F">
              <w:rPr>
                <w:rFonts w:cs="Calibri"/>
              </w:rPr>
              <w:t> </w:t>
            </w:r>
          </w:p>
        </w:tc>
      </w:tr>
    </w:tbl>
    <w:p w14:paraId="19375B40" w14:textId="77777777" w:rsidR="001A7D53" w:rsidRDefault="001A7D53" w:rsidP="001A7D53">
      <w:pPr>
        <w:jc w:val="both"/>
      </w:pPr>
    </w:p>
    <w:p w14:paraId="61C20371" w14:textId="1CE46A50" w:rsidR="001A1A5F" w:rsidRDefault="001A1A5F" w:rsidP="00C04C3C">
      <w:pPr>
        <w:pStyle w:val="ItadCaption"/>
      </w:pPr>
      <w:bookmarkStart w:id="138" w:name="_Toc143857889"/>
      <w:r>
        <w:t xml:space="preserve">Table </w:t>
      </w:r>
      <w:r>
        <w:fldChar w:fldCharType="begin"/>
      </w:r>
      <w:r>
        <w:instrText>SEQ Table \* ARABIC</w:instrText>
      </w:r>
      <w:r>
        <w:fldChar w:fldCharType="separate"/>
      </w:r>
      <w:r w:rsidR="009A383C">
        <w:rPr>
          <w:noProof/>
        </w:rPr>
        <w:t>21</w:t>
      </w:r>
      <w:r>
        <w:fldChar w:fldCharType="end"/>
      </w:r>
      <w:r w:rsidR="00EC2B6F">
        <w:t xml:space="preserve"> </w:t>
      </w:r>
      <w:r w:rsidRPr="000A0F40">
        <w:t xml:space="preserve">Rubric for </w:t>
      </w:r>
      <w:r w:rsidR="0044432D">
        <w:t>VfM</w:t>
      </w:r>
      <w:r w:rsidRPr="000A0F40">
        <w:t xml:space="preserve"> Measures of Efficiency</w:t>
      </w:r>
      <w:bookmarkEnd w:id="138"/>
    </w:p>
    <w:tbl>
      <w:tblPr>
        <w:tblStyle w:val="ItadGreenHeaderRow"/>
        <w:tblW w:w="9072" w:type="dxa"/>
        <w:tblLook w:val="04A0" w:firstRow="1" w:lastRow="0" w:firstColumn="1" w:lastColumn="0" w:noHBand="0" w:noVBand="1"/>
      </w:tblPr>
      <w:tblGrid>
        <w:gridCol w:w="1560"/>
        <w:gridCol w:w="1984"/>
        <w:gridCol w:w="1985"/>
        <w:gridCol w:w="1701"/>
        <w:gridCol w:w="1842"/>
      </w:tblGrid>
      <w:tr w:rsidR="0030093F" w:rsidRPr="0030093F" w14:paraId="0E10A8DF" w14:textId="77777777" w:rsidTr="006E2E5E">
        <w:trPr>
          <w:cnfStyle w:val="100000000000" w:firstRow="1" w:lastRow="0" w:firstColumn="0" w:lastColumn="0" w:oddVBand="0" w:evenVBand="0" w:oddHBand="0" w:evenHBand="0" w:firstRowFirstColumn="0" w:firstRowLastColumn="0" w:lastRowFirstColumn="0" w:lastRowLastColumn="0"/>
          <w:trHeight w:val="300"/>
        </w:trPr>
        <w:tc>
          <w:tcPr>
            <w:tcW w:w="1560" w:type="dxa"/>
            <w:hideMark/>
          </w:tcPr>
          <w:p w14:paraId="52F11A14" w14:textId="77777777" w:rsidR="001A7D53" w:rsidRPr="007F63EF" w:rsidRDefault="001A7D53">
            <w:pPr>
              <w:rPr>
                <w:rFonts w:eastAsia="Times New Roman" w:cs="Calibri"/>
                <w:b/>
                <w:bCs/>
                <w:color w:val="auto"/>
                <w:sz w:val="18"/>
                <w:szCs w:val="18"/>
                <w:lang w:eastAsia="en-GB"/>
              </w:rPr>
            </w:pPr>
            <w:r w:rsidRPr="007F63EF">
              <w:rPr>
                <w:rFonts w:eastAsia="Times New Roman" w:cs="Calibri"/>
                <w:b/>
                <w:bCs/>
                <w:color w:val="auto"/>
                <w:sz w:val="18"/>
                <w:szCs w:val="18"/>
                <w:lang w:eastAsia="en-GB"/>
              </w:rPr>
              <w:t>RUBRIC</w:t>
            </w:r>
          </w:p>
        </w:tc>
        <w:tc>
          <w:tcPr>
            <w:tcW w:w="1984" w:type="dxa"/>
            <w:shd w:val="clear" w:color="auto" w:fill="92D050"/>
            <w:noWrap/>
            <w:hideMark/>
          </w:tcPr>
          <w:p w14:paraId="0682402B" w14:textId="71BFB467" w:rsidR="001A7D53" w:rsidRPr="007F63EF" w:rsidRDefault="00AD56E8">
            <w:pPr>
              <w:rPr>
                <w:rFonts w:eastAsia="Times New Roman" w:cs="Calibri"/>
                <w:b/>
                <w:bCs/>
                <w:color w:val="auto"/>
                <w:sz w:val="18"/>
                <w:szCs w:val="18"/>
                <w:lang w:eastAsia="en-GB"/>
              </w:rPr>
            </w:pPr>
            <w:r w:rsidRPr="007F63EF">
              <w:rPr>
                <w:rFonts w:eastAsia="Times New Roman" w:cs="Calibri"/>
                <w:b/>
                <w:bCs/>
                <w:color w:val="auto"/>
                <w:sz w:val="18"/>
                <w:szCs w:val="18"/>
                <w:lang w:eastAsia="en-GB"/>
              </w:rPr>
              <w:t>Green</w:t>
            </w:r>
          </w:p>
        </w:tc>
        <w:tc>
          <w:tcPr>
            <w:tcW w:w="1985" w:type="dxa"/>
            <w:shd w:val="clear" w:color="auto" w:fill="FFC000"/>
            <w:noWrap/>
            <w:hideMark/>
          </w:tcPr>
          <w:p w14:paraId="4DE46F5D" w14:textId="4DC91596" w:rsidR="001A7D53" w:rsidRPr="007F63EF" w:rsidRDefault="00AD56E8">
            <w:pPr>
              <w:rPr>
                <w:rFonts w:eastAsia="Times New Roman" w:cs="Calibri"/>
                <w:b/>
                <w:bCs/>
                <w:color w:val="auto"/>
                <w:sz w:val="18"/>
                <w:szCs w:val="18"/>
                <w:lang w:eastAsia="en-GB"/>
              </w:rPr>
            </w:pPr>
            <w:r w:rsidRPr="007F63EF">
              <w:rPr>
                <w:rFonts w:eastAsia="Times New Roman" w:cs="Calibri"/>
                <w:b/>
                <w:bCs/>
                <w:color w:val="auto"/>
                <w:sz w:val="18"/>
                <w:szCs w:val="18"/>
                <w:lang w:eastAsia="en-GB"/>
              </w:rPr>
              <w:t>Amber/Green</w:t>
            </w:r>
          </w:p>
        </w:tc>
        <w:tc>
          <w:tcPr>
            <w:tcW w:w="1701" w:type="dxa"/>
            <w:shd w:val="clear" w:color="auto" w:fill="E37230" w:themeFill="accent2"/>
            <w:noWrap/>
            <w:hideMark/>
          </w:tcPr>
          <w:p w14:paraId="4F911009" w14:textId="6B028A6F" w:rsidR="001A7D53" w:rsidRPr="007F63EF" w:rsidRDefault="00AD56E8">
            <w:pPr>
              <w:rPr>
                <w:rFonts w:eastAsia="Times New Roman" w:cs="Calibri"/>
                <w:b/>
                <w:bCs/>
                <w:color w:val="auto"/>
                <w:sz w:val="18"/>
                <w:szCs w:val="18"/>
                <w:lang w:eastAsia="en-GB"/>
              </w:rPr>
            </w:pPr>
            <w:r w:rsidRPr="007F63EF">
              <w:rPr>
                <w:rFonts w:eastAsia="Times New Roman" w:cs="Calibri"/>
                <w:b/>
                <w:bCs/>
                <w:color w:val="auto"/>
                <w:sz w:val="18"/>
                <w:szCs w:val="18"/>
                <w:lang w:eastAsia="en-GB"/>
              </w:rPr>
              <w:t>Amber/Red</w:t>
            </w:r>
          </w:p>
        </w:tc>
        <w:tc>
          <w:tcPr>
            <w:tcW w:w="1842" w:type="dxa"/>
            <w:shd w:val="clear" w:color="auto" w:fill="FF0000"/>
            <w:noWrap/>
            <w:hideMark/>
          </w:tcPr>
          <w:p w14:paraId="0B210D87" w14:textId="30FA5875" w:rsidR="001A7D53" w:rsidRPr="007F63EF" w:rsidRDefault="00AD56E8">
            <w:pPr>
              <w:rPr>
                <w:rFonts w:eastAsia="Times New Roman" w:cs="Calibri"/>
                <w:b/>
                <w:bCs/>
                <w:color w:val="auto"/>
                <w:sz w:val="18"/>
                <w:szCs w:val="18"/>
                <w:lang w:eastAsia="en-GB"/>
              </w:rPr>
            </w:pPr>
            <w:r w:rsidRPr="007F63EF">
              <w:rPr>
                <w:rFonts w:eastAsia="Times New Roman" w:cs="Calibri"/>
                <w:b/>
                <w:bCs/>
                <w:color w:val="auto"/>
                <w:sz w:val="18"/>
                <w:szCs w:val="18"/>
                <w:lang w:eastAsia="en-GB"/>
              </w:rPr>
              <w:t>Red</w:t>
            </w:r>
          </w:p>
        </w:tc>
      </w:tr>
      <w:tr w:rsidR="0030093F" w:rsidRPr="0030093F" w14:paraId="42906F63" w14:textId="77777777" w:rsidTr="006E2E5E">
        <w:trPr>
          <w:cnfStyle w:val="000000100000" w:firstRow="0" w:lastRow="0" w:firstColumn="0" w:lastColumn="0" w:oddVBand="0" w:evenVBand="0" w:oddHBand="1" w:evenHBand="0" w:firstRowFirstColumn="0" w:firstRowLastColumn="0" w:lastRowFirstColumn="0" w:lastRowLastColumn="0"/>
          <w:trHeight w:val="915"/>
        </w:trPr>
        <w:tc>
          <w:tcPr>
            <w:tcW w:w="1560" w:type="dxa"/>
            <w:hideMark/>
          </w:tcPr>
          <w:p w14:paraId="302B28A9" w14:textId="77777777" w:rsidR="001A7D53" w:rsidRPr="007F63EF" w:rsidRDefault="001A7D53">
            <w:pPr>
              <w:rPr>
                <w:rFonts w:eastAsia="Times New Roman" w:cs="Calibri"/>
                <w:b/>
                <w:bCs/>
                <w:color w:val="auto"/>
                <w:sz w:val="16"/>
                <w:szCs w:val="16"/>
                <w:lang w:eastAsia="en-GB"/>
              </w:rPr>
            </w:pPr>
            <w:r w:rsidRPr="0030093F">
              <w:rPr>
                <w:b/>
                <w:bCs/>
                <w:sz w:val="16"/>
                <w:szCs w:val="16"/>
              </w:rPr>
              <w:t>Percentage overhead</w:t>
            </w:r>
          </w:p>
        </w:tc>
        <w:tc>
          <w:tcPr>
            <w:tcW w:w="1984" w:type="dxa"/>
            <w:hideMark/>
          </w:tcPr>
          <w:p w14:paraId="02C3B756" w14:textId="77777777" w:rsidR="001A7D53" w:rsidRPr="007F63EF" w:rsidRDefault="001A7D53">
            <w:pPr>
              <w:rPr>
                <w:rFonts w:eastAsia="Times New Roman" w:cs="Calibri"/>
                <w:color w:val="auto"/>
                <w:sz w:val="16"/>
                <w:szCs w:val="16"/>
                <w:lang w:eastAsia="en-GB"/>
              </w:rPr>
            </w:pPr>
            <w:r w:rsidRPr="0030093F">
              <w:rPr>
                <w:sz w:val="16"/>
                <w:szCs w:val="16"/>
              </w:rPr>
              <w:t>Budget and actual overhead costs are below 12.5%</w:t>
            </w:r>
          </w:p>
        </w:tc>
        <w:tc>
          <w:tcPr>
            <w:tcW w:w="1985" w:type="dxa"/>
            <w:hideMark/>
          </w:tcPr>
          <w:p w14:paraId="295D0CD9" w14:textId="44638FAA" w:rsidR="001A7D53" w:rsidRPr="007F63EF" w:rsidRDefault="001A7D53">
            <w:pPr>
              <w:rPr>
                <w:rFonts w:eastAsia="Times New Roman" w:cs="Calibri"/>
                <w:color w:val="auto"/>
                <w:sz w:val="16"/>
                <w:szCs w:val="16"/>
                <w:lang w:eastAsia="en-GB"/>
              </w:rPr>
            </w:pPr>
            <w:r w:rsidRPr="0030093F">
              <w:rPr>
                <w:sz w:val="16"/>
                <w:szCs w:val="16"/>
              </w:rPr>
              <w:t>Actual overhead between 12.5% and 25% and budget is at or below 25%</w:t>
            </w:r>
          </w:p>
        </w:tc>
        <w:tc>
          <w:tcPr>
            <w:tcW w:w="1701" w:type="dxa"/>
            <w:hideMark/>
          </w:tcPr>
          <w:p w14:paraId="71C2B9EC" w14:textId="77777777" w:rsidR="001A7D53" w:rsidRPr="007F63EF" w:rsidRDefault="001A7D53">
            <w:pPr>
              <w:rPr>
                <w:rFonts w:eastAsia="Times New Roman" w:cs="Calibri"/>
                <w:color w:val="auto"/>
                <w:sz w:val="16"/>
                <w:szCs w:val="16"/>
                <w:lang w:eastAsia="en-GB"/>
              </w:rPr>
            </w:pPr>
            <w:r w:rsidRPr="0030093F">
              <w:rPr>
                <w:sz w:val="16"/>
                <w:szCs w:val="16"/>
              </w:rPr>
              <w:t>Actual overhead between 25% and 50% and/or budget is over 25%</w:t>
            </w:r>
          </w:p>
        </w:tc>
        <w:tc>
          <w:tcPr>
            <w:tcW w:w="1842" w:type="dxa"/>
            <w:hideMark/>
          </w:tcPr>
          <w:p w14:paraId="56638274" w14:textId="77777777" w:rsidR="001A7D53" w:rsidRPr="007F63EF" w:rsidRDefault="001A7D53">
            <w:pPr>
              <w:rPr>
                <w:rFonts w:eastAsia="Times New Roman" w:cs="Calibri"/>
                <w:color w:val="auto"/>
                <w:sz w:val="16"/>
                <w:szCs w:val="16"/>
                <w:lang w:eastAsia="en-GB"/>
              </w:rPr>
            </w:pPr>
            <w:r w:rsidRPr="0030093F">
              <w:rPr>
                <w:sz w:val="16"/>
                <w:szCs w:val="16"/>
              </w:rPr>
              <w:t>Actual overhead above 50% and budget is over 12.5%</w:t>
            </w:r>
          </w:p>
        </w:tc>
      </w:tr>
      <w:tr w:rsidR="0030093F" w:rsidRPr="0030093F" w14:paraId="0C0F702B" w14:textId="77777777" w:rsidTr="006E2E5E">
        <w:trPr>
          <w:cnfStyle w:val="000000010000" w:firstRow="0" w:lastRow="0" w:firstColumn="0" w:lastColumn="0" w:oddVBand="0" w:evenVBand="0" w:oddHBand="0" w:evenHBand="1" w:firstRowFirstColumn="0" w:firstRowLastColumn="0" w:lastRowFirstColumn="0" w:lastRowLastColumn="0"/>
          <w:trHeight w:val="615"/>
        </w:trPr>
        <w:tc>
          <w:tcPr>
            <w:tcW w:w="1560" w:type="dxa"/>
            <w:hideMark/>
          </w:tcPr>
          <w:p w14:paraId="3A0DFB3D" w14:textId="77777777" w:rsidR="001A7D53" w:rsidRPr="007F63EF" w:rsidRDefault="001A7D53">
            <w:pPr>
              <w:rPr>
                <w:rFonts w:eastAsia="Times New Roman" w:cs="Calibri"/>
                <w:b/>
                <w:bCs/>
                <w:color w:val="auto"/>
                <w:sz w:val="16"/>
                <w:szCs w:val="16"/>
                <w:lang w:eastAsia="en-GB"/>
              </w:rPr>
            </w:pPr>
            <w:r w:rsidRPr="0030093F">
              <w:rPr>
                <w:b/>
                <w:bCs/>
                <w:sz w:val="16"/>
                <w:szCs w:val="16"/>
              </w:rPr>
              <w:t>Activity and budget implementation rates</w:t>
            </w:r>
          </w:p>
        </w:tc>
        <w:tc>
          <w:tcPr>
            <w:tcW w:w="1984" w:type="dxa"/>
            <w:noWrap/>
            <w:hideMark/>
          </w:tcPr>
          <w:p w14:paraId="456C1792" w14:textId="77777777" w:rsidR="001A7D53" w:rsidRPr="007F63EF" w:rsidRDefault="001A7D53">
            <w:pPr>
              <w:rPr>
                <w:rFonts w:eastAsia="Times New Roman" w:cs="Calibri"/>
                <w:color w:val="auto"/>
                <w:sz w:val="16"/>
                <w:szCs w:val="16"/>
                <w:lang w:eastAsia="en-GB"/>
              </w:rPr>
            </w:pPr>
            <w:r w:rsidRPr="0030093F">
              <w:rPr>
                <w:sz w:val="16"/>
                <w:szCs w:val="16"/>
              </w:rPr>
              <w:t>Activity implementation rate above 60% and budget implementation rate above 60%</w:t>
            </w:r>
          </w:p>
        </w:tc>
        <w:tc>
          <w:tcPr>
            <w:tcW w:w="1985" w:type="dxa"/>
            <w:noWrap/>
            <w:hideMark/>
          </w:tcPr>
          <w:p w14:paraId="5ED10FA8" w14:textId="77777777" w:rsidR="001A7D53" w:rsidRPr="007F63EF" w:rsidRDefault="001A7D53">
            <w:pPr>
              <w:rPr>
                <w:rFonts w:eastAsia="Times New Roman" w:cs="Calibri"/>
                <w:color w:val="auto"/>
                <w:sz w:val="16"/>
                <w:szCs w:val="16"/>
                <w:lang w:eastAsia="en-GB"/>
              </w:rPr>
            </w:pPr>
            <w:r w:rsidRPr="0030093F">
              <w:rPr>
                <w:sz w:val="16"/>
                <w:szCs w:val="16"/>
              </w:rPr>
              <w:t>Activity implementation rate between 40-60% and budget implementation not higher than 60%</w:t>
            </w:r>
          </w:p>
        </w:tc>
        <w:tc>
          <w:tcPr>
            <w:tcW w:w="1701" w:type="dxa"/>
            <w:noWrap/>
            <w:hideMark/>
          </w:tcPr>
          <w:p w14:paraId="15529526" w14:textId="77777777" w:rsidR="001A7D53" w:rsidRPr="007F63EF" w:rsidRDefault="001A7D53">
            <w:pPr>
              <w:rPr>
                <w:rFonts w:eastAsia="Times New Roman" w:cs="Calibri"/>
                <w:color w:val="auto"/>
                <w:sz w:val="16"/>
                <w:szCs w:val="16"/>
                <w:lang w:eastAsia="en-GB"/>
              </w:rPr>
            </w:pPr>
            <w:r w:rsidRPr="0030093F">
              <w:rPr>
                <w:sz w:val="16"/>
                <w:szCs w:val="16"/>
              </w:rPr>
              <w:t>Activity implementation rate between 40-60% and/or budget implementation higher than 60%</w:t>
            </w:r>
          </w:p>
        </w:tc>
        <w:tc>
          <w:tcPr>
            <w:tcW w:w="1842" w:type="dxa"/>
            <w:noWrap/>
            <w:hideMark/>
          </w:tcPr>
          <w:p w14:paraId="1C30829D" w14:textId="77777777" w:rsidR="001A7D53" w:rsidRPr="007F63EF" w:rsidRDefault="001A7D53">
            <w:pPr>
              <w:rPr>
                <w:rFonts w:eastAsia="Times New Roman" w:cs="Calibri"/>
                <w:color w:val="auto"/>
                <w:sz w:val="16"/>
                <w:szCs w:val="16"/>
                <w:lang w:eastAsia="en-GB"/>
              </w:rPr>
            </w:pPr>
            <w:r w:rsidRPr="0030093F">
              <w:rPr>
                <w:sz w:val="16"/>
                <w:szCs w:val="16"/>
              </w:rPr>
              <w:t>Activity implementation rate below 40% and/or budget implementation rate higher 40%</w:t>
            </w:r>
          </w:p>
        </w:tc>
      </w:tr>
      <w:tr w:rsidR="0030093F" w:rsidRPr="0030093F" w14:paraId="715B5014" w14:textId="77777777" w:rsidTr="006E2E5E">
        <w:trPr>
          <w:cnfStyle w:val="000000100000" w:firstRow="0" w:lastRow="0" w:firstColumn="0" w:lastColumn="0" w:oddVBand="0" w:evenVBand="0" w:oddHBand="1" w:evenHBand="0" w:firstRowFirstColumn="0" w:firstRowLastColumn="0" w:lastRowFirstColumn="0" w:lastRowLastColumn="0"/>
          <w:trHeight w:val="615"/>
        </w:trPr>
        <w:tc>
          <w:tcPr>
            <w:tcW w:w="1560" w:type="dxa"/>
          </w:tcPr>
          <w:p w14:paraId="474EDEC3" w14:textId="77777777" w:rsidR="001A7D53" w:rsidRPr="007F63EF" w:rsidRDefault="001A7D53">
            <w:pPr>
              <w:rPr>
                <w:rFonts w:eastAsia="Times New Roman" w:cs="Calibri"/>
                <w:b/>
                <w:bCs/>
                <w:color w:val="auto"/>
                <w:sz w:val="16"/>
                <w:szCs w:val="16"/>
                <w:lang w:eastAsia="en-GB"/>
              </w:rPr>
            </w:pPr>
            <w:r w:rsidRPr="0030093F">
              <w:rPr>
                <w:b/>
                <w:bCs/>
                <w:sz w:val="16"/>
                <w:szCs w:val="16"/>
              </w:rPr>
              <w:t>Value of leveraged resources</w:t>
            </w:r>
          </w:p>
        </w:tc>
        <w:tc>
          <w:tcPr>
            <w:tcW w:w="1984" w:type="dxa"/>
            <w:noWrap/>
          </w:tcPr>
          <w:p w14:paraId="37C4C112" w14:textId="77777777" w:rsidR="001A7D53" w:rsidRPr="007F63EF" w:rsidRDefault="001A7D53">
            <w:pPr>
              <w:rPr>
                <w:rFonts w:eastAsia="Times New Roman" w:cs="Calibri"/>
                <w:color w:val="auto"/>
                <w:sz w:val="16"/>
                <w:szCs w:val="16"/>
                <w:lang w:eastAsia="en-GB"/>
              </w:rPr>
            </w:pPr>
            <w:r w:rsidRPr="0030093F">
              <w:rPr>
                <w:sz w:val="16"/>
                <w:szCs w:val="16"/>
              </w:rPr>
              <w:t>Resources leveraged have been estimated and equates to &gt;5% of programme expenditure</w:t>
            </w:r>
          </w:p>
        </w:tc>
        <w:tc>
          <w:tcPr>
            <w:tcW w:w="1985" w:type="dxa"/>
            <w:noWrap/>
          </w:tcPr>
          <w:p w14:paraId="122FAE67" w14:textId="3A8B47B9" w:rsidR="001A7D53" w:rsidRPr="007F63EF" w:rsidRDefault="001A7D53">
            <w:pPr>
              <w:rPr>
                <w:rFonts w:eastAsia="Times New Roman" w:cs="Calibri"/>
                <w:color w:val="auto"/>
                <w:sz w:val="16"/>
                <w:szCs w:val="16"/>
                <w:lang w:eastAsia="en-GB"/>
              </w:rPr>
            </w:pPr>
            <w:r w:rsidRPr="0030093F">
              <w:rPr>
                <w:sz w:val="16"/>
                <w:szCs w:val="16"/>
              </w:rPr>
              <w:t>Resources leveraged have been estimated and equate to &lt;5% of programme expenditure</w:t>
            </w:r>
          </w:p>
        </w:tc>
        <w:tc>
          <w:tcPr>
            <w:tcW w:w="1701" w:type="dxa"/>
            <w:noWrap/>
          </w:tcPr>
          <w:p w14:paraId="4A42573F" w14:textId="77777777" w:rsidR="001A7D53" w:rsidRPr="007F63EF" w:rsidRDefault="001A7D53">
            <w:pPr>
              <w:rPr>
                <w:rFonts w:eastAsia="Times New Roman" w:cs="Calibri"/>
                <w:color w:val="auto"/>
                <w:sz w:val="16"/>
                <w:szCs w:val="16"/>
                <w:lang w:eastAsia="en-GB"/>
              </w:rPr>
            </w:pPr>
            <w:r w:rsidRPr="0030093F">
              <w:rPr>
                <w:sz w:val="16"/>
                <w:szCs w:val="16"/>
              </w:rPr>
              <w:t>Resources leveraged have been documented but not valued</w:t>
            </w:r>
          </w:p>
        </w:tc>
        <w:tc>
          <w:tcPr>
            <w:tcW w:w="1842" w:type="dxa"/>
            <w:noWrap/>
          </w:tcPr>
          <w:p w14:paraId="6E19DDB5" w14:textId="3FDCFCA8" w:rsidR="001A7D53" w:rsidRPr="007F63EF" w:rsidRDefault="001A7D53">
            <w:pPr>
              <w:rPr>
                <w:rFonts w:eastAsia="Times New Roman" w:cs="Calibri"/>
                <w:color w:val="auto"/>
                <w:sz w:val="16"/>
                <w:szCs w:val="16"/>
                <w:lang w:eastAsia="en-GB"/>
              </w:rPr>
            </w:pPr>
            <w:r w:rsidRPr="0030093F">
              <w:rPr>
                <w:sz w:val="16"/>
                <w:szCs w:val="16"/>
              </w:rPr>
              <w:t xml:space="preserve">No resources leveraged (NB if not documented note as </w:t>
            </w:r>
            <w:r w:rsidR="00F22188" w:rsidRPr="0030093F">
              <w:rPr>
                <w:sz w:val="16"/>
                <w:szCs w:val="16"/>
              </w:rPr>
              <w:t>NE</w:t>
            </w:r>
            <w:r w:rsidRPr="0030093F">
              <w:rPr>
                <w:sz w:val="16"/>
                <w:szCs w:val="16"/>
              </w:rPr>
              <w:t>, rather than Red rated)</w:t>
            </w:r>
          </w:p>
        </w:tc>
      </w:tr>
      <w:tr w:rsidR="0030093F" w:rsidRPr="0030093F" w14:paraId="766E3F2A" w14:textId="77777777" w:rsidTr="006E2E5E">
        <w:trPr>
          <w:cnfStyle w:val="000000010000" w:firstRow="0" w:lastRow="0" w:firstColumn="0" w:lastColumn="0" w:oddVBand="0" w:evenVBand="0" w:oddHBand="0" w:evenHBand="1" w:firstRowFirstColumn="0" w:firstRowLastColumn="0" w:lastRowFirstColumn="0" w:lastRowLastColumn="0"/>
          <w:trHeight w:val="615"/>
        </w:trPr>
        <w:tc>
          <w:tcPr>
            <w:tcW w:w="1560" w:type="dxa"/>
          </w:tcPr>
          <w:p w14:paraId="571BFBB0" w14:textId="77777777" w:rsidR="001A7D53" w:rsidRPr="007F63EF" w:rsidRDefault="001A7D53">
            <w:pPr>
              <w:rPr>
                <w:rFonts w:eastAsia="Times New Roman" w:cs="Calibri"/>
                <w:b/>
                <w:bCs/>
                <w:color w:val="auto"/>
                <w:sz w:val="16"/>
                <w:szCs w:val="16"/>
                <w:lang w:eastAsia="en-GB"/>
              </w:rPr>
            </w:pPr>
            <w:r w:rsidRPr="0030093F">
              <w:rPr>
                <w:b/>
                <w:bCs/>
                <w:sz w:val="16"/>
                <w:szCs w:val="16"/>
              </w:rPr>
              <w:t>Outputs have been achieved as expected: Evidence of increased quantity and quality of AMR data</w:t>
            </w:r>
          </w:p>
        </w:tc>
        <w:tc>
          <w:tcPr>
            <w:tcW w:w="1984" w:type="dxa"/>
            <w:noWrap/>
          </w:tcPr>
          <w:p w14:paraId="6793627B" w14:textId="0C4B4B51" w:rsidR="001A7D53" w:rsidRPr="007F63EF" w:rsidRDefault="001A7D53">
            <w:pPr>
              <w:rPr>
                <w:rFonts w:eastAsia="Times New Roman" w:cs="Calibri"/>
                <w:color w:val="auto"/>
                <w:sz w:val="16"/>
                <w:szCs w:val="16"/>
                <w:lang w:eastAsia="en-GB"/>
              </w:rPr>
            </w:pPr>
            <w:r w:rsidRPr="0030093F">
              <w:rPr>
                <w:sz w:val="16"/>
                <w:szCs w:val="16"/>
              </w:rPr>
              <w:t>Increased quantity and quality of AMR data for AH and HH</w:t>
            </w:r>
            <w:r w:rsidR="007458AC" w:rsidRPr="0030093F">
              <w:rPr>
                <w:sz w:val="16"/>
                <w:szCs w:val="16"/>
              </w:rPr>
              <w:t xml:space="preserve"> </w:t>
            </w:r>
            <w:r w:rsidRPr="0030093F">
              <w:rPr>
                <w:sz w:val="16"/>
                <w:szCs w:val="16"/>
              </w:rPr>
              <w:t xml:space="preserve">(where </w:t>
            </w:r>
            <w:r w:rsidR="00F21D1C" w:rsidRPr="0030093F">
              <w:rPr>
                <w:sz w:val="16"/>
                <w:szCs w:val="16"/>
              </w:rPr>
              <w:t xml:space="preserve">Fleming Fund </w:t>
            </w:r>
            <w:r w:rsidRPr="0030093F">
              <w:rPr>
                <w:sz w:val="16"/>
                <w:szCs w:val="16"/>
              </w:rPr>
              <w:t xml:space="preserve">has made </w:t>
            </w:r>
            <w:r w:rsidR="000E5174" w:rsidRPr="0030093F">
              <w:rPr>
                <w:sz w:val="16"/>
                <w:szCs w:val="16"/>
              </w:rPr>
              <w:t xml:space="preserve">a </w:t>
            </w:r>
            <w:r w:rsidRPr="0030093F">
              <w:rPr>
                <w:sz w:val="16"/>
                <w:szCs w:val="16"/>
              </w:rPr>
              <w:t>contribution)</w:t>
            </w:r>
          </w:p>
        </w:tc>
        <w:tc>
          <w:tcPr>
            <w:tcW w:w="1985" w:type="dxa"/>
            <w:noWrap/>
          </w:tcPr>
          <w:p w14:paraId="1C35F6D5" w14:textId="1FA7476C" w:rsidR="001A7D53" w:rsidRPr="007F63EF" w:rsidRDefault="001A7D53">
            <w:pPr>
              <w:rPr>
                <w:rFonts w:eastAsia="Times New Roman" w:cs="Calibri"/>
                <w:color w:val="auto"/>
                <w:sz w:val="16"/>
                <w:szCs w:val="16"/>
                <w:lang w:eastAsia="en-GB"/>
              </w:rPr>
            </w:pPr>
            <w:r w:rsidRPr="0030093F">
              <w:rPr>
                <w:sz w:val="16"/>
                <w:szCs w:val="16"/>
              </w:rPr>
              <w:t xml:space="preserve">Increased quantity and/or quality in AH and/or HH (where </w:t>
            </w:r>
            <w:r w:rsidR="00F21D1C" w:rsidRPr="0030093F">
              <w:rPr>
                <w:sz w:val="16"/>
                <w:szCs w:val="16"/>
              </w:rPr>
              <w:t xml:space="preserve">Fleming Fund </w:t>
            </w:r>
            <w:r w:rsidRPr="0030093F">
              <w:rPr>
                <w:sz w:val="16"/>
                <w:szCs w:val="16"/>
              </w:rPr>
              <w:t xml:space="preserve">has made </w:t>
            </w:r>
            <w:r w:rsidR="00FA1091" w:rsidRPr="0030093F">
              <w:rPr>
                <w:sz w:val="16"/>
                <w:szCs w:val="16"/>
              </w:rPr>
              <w:t xml:space="preserve">a </w:t>
            </w:r>
            <w:r w:rsidRPr="0030093F">
              <w:rPr>
                <w:sz w:val="16"/>
                <w:szCs w:val="16"/>
              </w:rPr>
              <w:t>contribution)</w:t>
            </w:r>
          </w:p>
        </w:tc>
        <w:tc>
          <w:tcPr>
            <w:tcW w:w="1701" w:type="dxa"/>
            <w:noWrap/>
          </w:tcPr>
          <w:p w14:paraId="5D4AFD4E" w14:textId="77777777" w:rsidR="001A7D53" w:rsidRPr="007F63EF" w:rsidRDefault="001A7D53">
            <w:pPr>
              <w:rPr>
                <w:rFonts w:eastAsia="Times New Roman" w:cs="Calibri"/>
                <w:color w:val="auto"/>
                <w:sz w:val="16"/>
                <w:szCs w:val="16"/>
                <w:lang w:eastAsia="en-GB"/>
              </w:rPr>
            </w:pPr>
            <w:r w:rsidRPr="0030093F">
              <w:rPr>
                <w:sz w:val="16"/>
                <w:szCs w:val="16"/>
              </w:rPr>
              <w:t>No or modest increase in quantity and/or quality in AH and/or HH (where non-programme related factors explain)</w:t>
            </w:r>
          </w:p>
        </w:tc>
        <w:tc>
          <w:tcPr>
            <w:tcW w:w="1842" w:type="dxa"/>
            <w:noWrap/>
          </w:tcPr>
          <w:p w14:paraId="20E46E75" w14:textId="77777777" w:rsidR="001A7D53" w:rsidRPr="007F63EF" w:rsidRDefault="001A7D53">
            <w:pPr>
              <w:rPr>
                <w:rFonts w:eastAsia="Times New Roman" w:cs="Calibri"/>
                <w:color w:val="auto"/>
                <w:sz w:val="16"/>
                <w:szCs w:val="16"/>
                <w:lang w:eastAsia="en-GB"/>
              </w:rPr>
            </w:pPr>
            <w:r w:rsidRPr="0030093F">
              <w:rPr>
                <w:sz w:val="16"/>
                <w:szCs w:val="16"/>
              </w:rPr>
              <w:t>No or modest increase in quantity and/or quality in AH and/or HH (where programme related factors explain)</w:t>
            </w:r>
          </w:p>
        </w:tc>
      </w:tr>
      <w:tr w:rsidR="0030093F" w:rsidRPr="0030093F" w14:paraId="6F70B39F" w14:textId="77777777" w:rsidTr="006E2E5E">
        <w:trPr>
          <w:cnfStyle w:val="000000100000" w:firstRow="0" w:lastRow="0" w:firstColumn="0" w:lastColumn="0" w:oddVBand="0" w:evenVBand="0" w:oddHBand="1" w:evenHBand="0" w:firstRowFirstColumn="0" w:firstRowLastColumn="0" w:lastRowFirstColumn="0" w:lastRowLastColumn="0"/>
          <w:trHeight w:val="615"/>
        </w:trPr>
        <w:tc>
          <w:tcPr>
            <w:tcW w:w="1560" w:type="dxa"/>
          </w:tcPr>
          <w:p w14:paraId="7E7A2517" w14:textId="77777777" w:rsidR="001A7D53" w:rsidRPr="007F63EF" w:rsidRDefault="001A7D53">
            <w:pPr>
              <w:rPr>
                <w:rFonts w:eastAsia="Times New Roman" w:cs="Calibri"/>
                <w:b/>
                <w:bCs/>
                <w:color w:val="auto"/>
                <w:sz w:val="16"/>
                <w:szCs w:val="16"/>
                <w:lang w:eastAsia="en-GB"/>
              </w:rPr>
            </w:pPr>
            <w:r w:rsidRPr="0030093F">
              <w:rPr>
                <w:b/>
                <w:bCs/>
                <w:sz w:val="16"/>
                <w:szCs w:val="16"/>
              </w:rPr>
              <w:t>Percentage overhead</w:t>
            </w:r>
          </w:p>
        </w:tc>
        <w:tc>
          <w:tcPr>
            <w:tcW w:w="1984" w:type="dxa"/>
            <w:noWrap/>
          </w:tcPr>
          <w:p w14:paraId="2EEDE6DB" w14:textId="77777777" w:rsidR="001A7D53" w:rsidRPr="007F63EF" w:rsidRDefault="001A7D53">
            <w:pPr>
              <w:rPr>
                <w:rFonts w:eastAsia="Times New Roman" w:cs="Calibri"/>
                <w:color w:val="auto"/>
                <w:sz w:val="16"/>
                <w:szCs w:val="16"/>
                <w:lang w:eastAsia="en-GB"/>
              </w:rPr>
            </w:pPr>
            <w:r w:rsidRPr="0030093F">
              <w:rPr>
                <w:sz w:val="16"/>
                <w:szCs w:val="16"/>
              </w:rPr>
              <w:t>Budget and actual overhead costs are below 12.5%</w:t>
            </w:r>
          </w:p>
        </w:tc>
        <w:tc>
          <w:tcPr>
            <w:tcW w:w="1985" w:type="dxa"/>
            <w:noWrap/>
          </w:tcPr>
          <w:p w14:paraId="77BE3101" w14:textId="3F95245D" w:rsidR="001A7D53" w:rsidRPr="007F63EF" w:rsidRDefault="001A7D53">
            <w:pPr>
              <w:rPr>
                <w:rFonts w:eastAsia="Times New Roman" w:cs="Calibri"/>
                <w:color w:val="auto"/>
                <w:sz w:val="16"/>
                <w:szCs w:val="16"/>
                <w:lang w:eastAsia="en-GB"/>
              </w:rPr>
            </w:pPr>
            <w:r w:rsidRPr="0030093F">
              <w:rPr>
                <w:sz w:val="16"/>
                <w:szCs w:val="16"/>
              </w:rPr>
              <w:t>Actual overhead between 12.5% and 25% and budget is at or below 25%</w:t>
            </w:r>
          </w:p>
        </w:tc>
        <w:tc>
          <w:tcPr>
            <w:tcW w:w="1701" w:type="dxa"/>
            <w:noWrap/>
          </w:tcPr>
          <w:p w14:paraId="566ADE36" w14:textId="77777777" w:rsidR="001A7D53" w:rsidRPr="007F63EF" w:rsidRDefault="001A7D53">
            <w:pPr>
              <w:rPr>
                <w:rFonts w:eastAsia="Times New Roman" w:cs="Calibri"/>
                <w:color w:val="auto"/>
                <w:sz w:val="16"/>
                <w:szCs w:val="16"/>
                <w:lang w:eastAsia="en-GB"/>
              </w:rPr>
            </w:pPr>
            <w:r w:rsidRPr="0030093F">
              <w:rPr>
                <w:sz w:val="16"/>
                <w:szCs w:val="16"/>
              </w:rPr>
              <w:t>Actual overhead between 25% and 50% and/or budget is over 25%</w:t>
            </w:r>
          </w:p>
        </w:tc>
        <w:tc>
          <w:tcPr>
            <w:tcW w:w="1842" w:type="dxa"/>
            <w:noWrap/>
          </w:tcPr>
          <w:p w14:paraId="5CDB985B" w14:textId="77777777" w:rsidR="001A7D53" w:rsidRPr="007F63EF" w:rsidRDefault="001A7D53">
            <w:pPr>
              <w:rPr>
                <w:rFonts w:eastAsia="Times New Roman" w:cs="Calibri"/>
                <w:color w:val="auto"/>
                <w:sz w:val="16"/>
                <w:szCs w:val="16"/>
                <w:lang w:eastAsia="en-GB"/>
              </w:rPr>
            </w:pPr>
            <w:r w:rsidRPr="0030093F">
              <w:rPr>
                <w:sz w:val="16"/>
                <w:szCs w:val="16"/>
              </w:rPr>
              <w:t>Actual overhead above 50% and budget is over 12.5%</w:t>
            </w:r>
          </w:p>
        </w:tc>
      </w:tr>
    </w:tbl>
    <w:p w14:paraId="51A7CF6D" w14:textId="77777777" w:rsidR="001A7D53" w:rsidRDefault="001A7D53" w:rsidP="001A7D53">
      <w:pPr>
        <w:jc w:val="both"/>
      </w:pPr>
    </w:p>
    <w:p w14:paraId="2DCD5B65" w14:textId="559150CD" w:rsidR="001A7D53" w:rsidRDefault="001A7D53" w:rsidP="001A7D53">
      <w:pPr>
        <w:jc w:val="both"/>
      </w:pPr>
      <w:bookmarkStart w:id="139" w:name="_Hlk129560189"/>
      <w:r>
        <w:t>A fifth indicator was planned to examine the unit cost per Fleming Fellow</w:t>
      </w:r>
      <w:r w:rsidR="72E35452">
        <w:t>,</w:t>
      </w:r>
      <w:r>
        <w:t xml:space="preserve"> but data is not available </w:t>
      </w:r>
      <w:r w:rsidR="00FB57FB">
        <w:t>either on the total number of Fleming Fellowships completed or the expenditure.</w:t>
      </w:r>
      <w:r w:rsidR="007458AC">
        <w:t xml:space="preserve"> </w:t>
      </w:r>
      <w:r w:rsidR="0044432D">
        <w:t>VfM</w:t>
      </w:r>
      <w:r>
        <w:t xml:space="preserve"> reporting was</w:t>
      </w:r>
      <w:r w:rsidR="00FB57FB">
        <w:t xml:space="preserve"> not</w:t>
      </w:r>
      <w:r>
        <w:t xml:space="preserve"> set up for </w:t>
      </w:r>
      <w:r w:rsidR="005E2E80" w:rsidRPr="005E2E80">
        <w:t>Fleming Fellows</w:t>
      </w:r>
      <w:r w:rsidR="00FB57FB">
        <w:t>.</w:t>
      </w:r>
      <w:r w:rsidR="007458AC">
        <w:t xml:space="preserve"> </w:t>
      </w:r>
      <w:r>
        <w:t>A key indicator used by similar fellowship programmes</w:t>
      </w:r>
      <w:r>
        <w:rPr>
          <w:rStyle w:val="FootnoteReference"/>
        </w:rPr>
        <w:footnoteReference w:id="34"/>
      </w:r>
      <w:r>
        <w:t xml:space="preserve"> is </w:t>
      </w:r>
      <w:r w:rsidR="00641D54">
        <w:t xml:space="preserve">the </w:t>
      </w:r>
      <w:r>
        <w:t xml:space="preserve">leveraging of resources, but systems were </w:t>
      </w:r>
      <w:r w:rsidR="00FB57FB">
        <w:t xml:space="preserve">not </w:t>
      </w:r>
      <w:r>
        <w:t xml:space="preserve">set up to track this </w:t>
      </w:r>
      <w:r w:rsidR="00513694">
        <w:t xml:space="preserve">though </w:t>
      </w:r>
      <w:r w:rsidR="00FB57FB">
        <w:t xml:space="preserve">there was evidence from KIIs that </w:t>
      </w:r>
      <w:r w:rsidR="0261B454">
        <w:t>HIs</w:t>
      </w:r>
      <w:r w:rsidR="00FB57FB">
        <w:t xml:space="preserve"> were contributing resources, and this was seen as an indication of the value they placed on the scheme.</w:t>
      </w:r>
      <w:r w:rsidR="007458AC">
        <w:t xml:space="preserve"> </w:t>
      </w:r>
    </w:p>
    <w:p w14:paraId="2D3FA029" w14:textId="77777777" w:rsidR="00FB57FB" w:rsidRPr="00FF4BF2" w:rsidRDefault="00FB57FB" w:rsidP="001A7D53">
      <w:pPr>
        <w:jc w:val="both"/>
      </w:pPr>
    </w:p>
    <w:p w14:paraId="3A380084" w14:textId="7DED15D5" w:rsidR="001A7D53" w:rsidRDefault="001A7D53" w:rsidP="001A7D53">
      <w:pPr>
        <w:jc w:val="both"/>
      </w:pPr>
      <w:r>
        <w:t xml:space="preserve">Due to the way </w:t>
      </w:r>
      <w:r w:rsidR="00DB626A">
        <w:t xml:space="preserve">the </w:t>
      </w:r>
      <w:r>
        <w:t xml:space="preserve">MA tracks and reports efficiency (at the activity level), it is hard to establish how well the grants at </w:t>
      </w:r>
      <w:r w:rsidR="0030093F">
        <w:t xml:space="preserve">the </w:t>
      </w:r>
      <w:r>
        <w:t xml:space="preserve">county level have achieved </w:t>
      </w:r>
      <w:r w:rsidR="00256C1E">
        <w:t>VfM</w:t>
      </w:r>
      <w:r>
        <w:t xml:space="preserve"> in terms of efficiency.</w:t>
      </w:r>
      <w:r w:rsidR="007458AC">
        <w:t xml:space="preserve"> </w:t>
      </w:r>
      <w:r>
        <w:t>We have also reviewed qualitative evidence of efficiency to summarise some key findings here (</w:t>
      </w:r>
      <w:r w:rsidR="00552716">
        <w:fldChar w:fldCharType="begin"/>
      </w:r>
      <w:r w:rsidR="00552716">
        <w:instrText xml:space="preserve"> REF _Ref119934190 \h </w:instrText>
      </w:r>
      <w:r w:rsidR="00552716">
        <w:fldChar w:fldCharType="separate"/>
      </w:r>
      <w:r w:rsidR="009A383C">
        <w:t xml:space="preserve">Box </w:t>
      </w:r>
      <w:r w:rsidR="009A383C">
        <w:rPr>
          <w:noProof/>
        </w:rPr>
        <w:t>1</w:t>
      </w:r>
      <w:r w:rsidR="00552716">
        <w:fldChar w:fldCharType="end"/>
      </w:r>
      <w:r>
        <w:t>).</w:t>
      </w:r>
    </w:p>
    <w:p w14:paraId="3FAC1049" w14:textId="2319665F" w:rsidR="008D2F84" w:rsidRDefault="008D2F84" w:rsidP="001A7D53">
      <w:pPr>
        <w:jc w:val="both"/>
      </w:pPr>
    </w:p>
    <w:tbl>
      <w:tblPr>
        <w:tblStyle w:val="Itadpulloutboxorange"/>
        <w:tblpPr w:leftFromText="180" w:rightFromText="180" w:vertAnchor="text" w:horzAnchor="margin" w:tblpY="231"/>
        <w:tblW w:w="9760" w:type="dxa"/>
        <w:tblInd w:w="0" w:type="dxa"/>
        <w:tblLook w:val="04A0" w:firstRow="1" w:lastRow="0" w:firstColumn="1" w:lastColumn="0" w:noHBand="0" w:noVBand="1"/>
      </w:tblPr>
      <w:tblGrid>
        <w:gridCol w:w="9760"/>
      </w:tblGrid>
      <w:tr w:rsidR="007779FC" w14:paraId="5BE13E58" w14:textId="77777777" w:rsidTr="007779FC">
        <w:trPr>
          <w:trHeight w:val="2980"/>
        </w:trPr>
        <w:tc>
          <w:tcPr>
            <w:tcW w:w="9760" w:type="dxa"/>
          </w:tcPr>
          <w:p w14:paraId="10886630" w14:textId="40383415" w:rsidR="007779FC" w:rsidRPr="00396A65" w:rsidRDefault="00983CCD" w:rsidP="00983CCD">
            <w:pPr>
              <w:pStyle w:val="Itadboxnumbers"/>
              <w:framePr w:hSpace="0" w:wrap="auto" w:vAnchor="margin" w:hAnchor="text" w:yAlign="inline"/>
              <w:numPr>
                <w:ilvl w:val="0"/>
                <w:numId w:val="0"/>
              </w:numPr>
            </w:pPr>
            <w:bookmarkStart w:id="140" w:name="_Ref119934190"/>
            <w:bookmarkStart w:id="141" w:name="_Ref118377893"/>
            <w:bookmarkStart w:id="142" w:name="_Toc136382658"/>
            <w:bookmarkEnd w:id="139"/>
            <w:r>
              <w:t xml:space="preserve">Box </w:t>
            </w:r>
            <w:r>
              <w:fldChar w:fldCharType="begin"/>
            </w:r>
            <w:r>
              <w:instrText>SEQ Box \* ARABIC</w:instrText>
            </w:r>
            <w:r>
              <w:fldChar w:fldCharType="separate"/>
            </w:r>
            <w:r w:rsidR="009A383C">
              <w:rPr>
                <w:noProof/>
              </w:rPr>
              <w:t>1</w:t>
            </w:r>
            <w:r>
              <w:fldChar w:fldCharType="end"/>
            </w:r>
            <w:bookmarkEnd w:id="140"/>
            <w:r>
              <w:t xml:space="preserve"> </w:t>
            </w:r>
            <w:r w:rsidR="007779FC" w:rsidRPr="00396A65">
              <w:t>Key findings on Efficiency</w:t>
            </w:r>
            <w:bookmarkEnd w:id="141"/>
            <w:bookmarkEnd w:id="142"/>
          </w:p>
          <w:p w14:paraId="0CA7EB6E" w14:textId="1BF40500" w:rsidR="007779FC" w:rsidRDefault="007779FC" w:rsidP="00C6374D">
            <w:pPr>
              <w:pStyle w:val="ListParagraph"/>
              <w:numPr>
                <w:ilvl w:val="0"/>
                <w:numId w:val="61"/>
              </w:numPr>
              <w:jc w:val="both"/>
            </w:pPr>
            <w:r>
              <w:t xml:space="preserve">Cost-savings could be and were reallocated and reprogrammed on a quarterly basis. This became a lot more important during </w:t>
            </w:r>
            <w:r w:rsidR="0075181D">
              <w:t>COVID-</w:t>
            </w:r>
            <w:r>
              <w:t xml:space="preserve">19 </w:t>
            </w:r>
            <w:r w:rsidR="00550FFE">
              <w:t xml:space="preserve">when </w:t>
            </w:r>
            <w:r>
              <w:t>funds were freed up from training and travel.</w:t>
            </w:r>
          </w:p>
          <w:p w14:paraId="20FF8DEA" w14:textId="2471A5C5" w:rsidR="007779FC" w:rsidRDefault="007779FC" w:rsidP="00C6374D">
            <w:pPr>
              <w:pStyle w:val="ListParagraph"/>
              <w:numPr>
                <w:ilvl w:val="0"/>
                <w:numId w:val="61"/>
              </w:numPr>
              <w:jc w:val="both"/>
            </w:pPr>
            <w:r>
              <w:t xml:space="preserve">The RT and, to an extent, the global team provided guidance, training and close oversight for efficient activity implementation in many of the countries. There is evidence of weekly, </w:t>
            </w:r>
            <w:r w:rsidR="00935EB6">
              <w:t>biweekly,</w:t>
            </w:r>
            <w:r>
              <w:t xml:space="preserve"> or monthly problem-solving sessions and </w:t>
            </w:r>
            <w:r w:rsidR="00413099">
              <w:t xml:space="preserve">programme </w:t>
            </w:r>
            <w:r>
              <w:t xml:space="preserve">update meetings to support the CGs to get on track with </w:t>
            </w:r>
            <w:r w:rsidR="00875361">
              <w:t xml:space="preserve">their </w:t>
            </w:r>
            <w:r>
              <w:t>implementation targets.</w:t>
            </w:r>
          </w:p>
          <w:p w14:paraId="3AE0C48E" w14:textId="27C2008B" w:rsidR="007779FC" w:rsidRDefault="007779FC" w:rsidP="00C6374D">
            <w:pPr>
              <w:pStyle w:val="ListParagraph"/>
              <w:numPr>
                <w:ilvl w:val="0"/>
                <w:numId w:val="61"/>
              </w:numPr>
              <w:jc w:val="both"/>
            </w:pPr>
            <w:r>
              <w:t xml:space="preserve">Risks were identified at the start of the contract and were updated </w:t>
            </w:r>
            <w:r w:rsidR="00A118AC">
              <w:t>every</w:t>
            </w:r>
            <w:r>
              <w:t xml:space="preserve"> quarter in reports to the RT and the MA.</w:t>
            </w:r>
          </w:p>
        </w:tc>
      </w:tr>
    </w:tbl>
    <w:p w14:paraId="470A90BA" w14:textId="2319665F" w:rsidR="001A7D53" w:rsidRDefault="001A7D53" w:rsidP="001A7D53">
      <w:pPr>
        <w:spacing w:line="257" w:lineRule="auto"/>
        <w:jc w:val="both"/>
        <w:rPr>
          <w:rFonts w:eastAsia="Calibri" w:cs="Calibri"/>
          <w:i/>
          <w:iCs/>
        </w:rPr>
      </w:pPr>
    </w:p>
    <w:p w14:paraId="688537B0" w14:textId="2319665F" w:rsidR="001A7D53" w:rsidRPr="009570EC" w:rsidRDefault="001A7D53" w:rsidP="00A30913">
      <w:pPr>
        <w:pStyle w:val="ItadH4"/>
      </w:pPr>
      <w:r w:rsidRPr="009570EC">
        <w:t>Effectiveness</w:t>
      </w:r>
    </w:p>
    <w:p w14:paraId="59B65931" w14:textId="76A1DE74" w:rsidR="001A7D53" w:rsidRDefault="001A7D53" w:rsidP="007779FC">
      <w:pPr>
        <w:pStyle w:val="FFNormal"/>
      </w:pPr>
      <w:r>
        <w:t xml:space="preserve">There is evidence of </w:t>
      </w:r>
      <w:r w:rsidR="002D581B">
        <w:t xml:space="preserve">the </w:t>
      </w:r>
      <w:r>
        <w:t>involvement of country</w:t>
      </w:r>
      <w:r w:rsidR="002D581B">
        <w:t>-</w:t>
      </w:r>
      <w:r>
        <w:t>level stakeholders in the design and implementation of grants (CGs and RGs) and alignment with NAPs in some of the countries. Also, needs assessment</w:t>
      </w:r>
      <w:r w:rsidR="001F2A35">
        <w:t>s</w:t>
      </w:r>
      <w:r>
        <w:t xml:space="preserve"> were completed </w:t>
      </w:r>
      <w:r w:rsidR="002D581B">
        <w:t>before</w:t>
      </w:r>
      <w:r>
        <w:t xml:space="preserve"> </w:t>
      </w:r>
      <w:r w:rsidR="001F2A35">
        <w:t xml:space="preserve">the </w:t>
      </w:r>
      <w:r>
        <w:t>onset of the grant. In Ghana and Vietnam, a multidisciplinary team made of policy, academic experts</w:t>
      </w:r>
      <w:r w:rsidR="002D581B">
        <w:t>,</w:t>
      </w:r>
      <w:r>
        <w:t xml:space="preserve"> and </w:t>
      </w:r>
      <w:r w:rsidR="00A563A2" w:rsidRPr="00F31109">
        <w:t>chief scientific officer</w:t>
      </w:r>
      <w:r w:rsidR="00A563A2">
        <w:t>s</w:t>
      </w:r>
      <w:r>
        <w:t xml:space="preserve"> </w:t>
      </w:r>
      <w:r w:rsidR="002D581B">
        <w:t>participated</w:t>
      </w:r>
      <w:r>
        <w:t xml:space="preserve"> in the grant design. </w:t>
      </w:r>
    </w:p>
    <w:p w14:paraId="06DCFE09" w14:textId="311D8A14" w:rsidR="001A7D53" w:rsidRDefault="001A7D53" w:rsidP="00D15ECC">
      <w:pPr>
        <w:pStyle w:val="FFNormal"/>
      </w:pPr>
      <w:r>
        <w:t xml:space="preserve">Countries have made varying progress with data sharing – HH AMR data to GLASS and AMU data to </w:t>
      </w:r>
      <w:r w:rsidR="00121E83">
        <w:t>WOAH</w:t>
      </w:r>
      <w:r w:rsidR="009F1C2C">
        <w:t>,</w:t>
      </w:r>
      <w:r>
        <w:t xml:space="preserve"> with more countries having achieved improved sharing </w:t>
      </w:r>
      <w:r w:rsidR="009F1C2C">
        <w:t xml:space="preserve">of </w:t>
      </w:r>
      <w:r>
        <w:t xml:space="preserve">HH AMR data to GLASS rather than AMU to </w:t>
      </w:r>
      <w:r w:rsidR="00121E83">
        <w:t>WOAH</w:t>
      </w:r>
      <w:r>
        <w:t xml:space="preserve">. </w:t>
      </w:r>
    </w:p>
    <w:p w14:paraId="2FE4CAB1" w14:textId="3A246331" w:rsidR="007F1B4B" w:rsidRDefault="007F1B4B" w:rsidP="00C04C3C">
      <w:pPr>
        <w:pStyle w:val="ItadCaption"/>
      </w:pPr>
      <w:bookmarkStart w:id="143" w:name="_Toc143857890"/>
      <w:r>
        <w:t xml:space="preserve">Table </w:t>
      </w:r>
      <w:r>
        <w:fldChar w:fldCharType="begin"/>
      </w:r>
      <w:r>
        <w:instrText>SEQ Table \* ARABIC</w:instrText>
      </w:r>
      <w:r>
        <w:fldChar w:fldCharType="separate"/>
      </w:r>
      <w:r w:rsidR="009A383C">
        <w:rPr>
          <w:noProof/>
        </w:rPr>
        <w:t>22</w:t>
      </w:r>
      <w:r>
        <w:fldChar w:fldCharType="end"/>
      </w:r>
      <w:r w:rsidR="000D47FD">
        <w:t xml:space="preserve"> </w:t>
      </w:r>
      <w:r w:rsidR="0044432D">
        <w:t>VfM</w:t>
      </w:r>
      <w:r w:rsidRPr="00325EA1">
        <w:t xml:space="preserve"> measures of effectiveness</w:t>
      </w:r>
      <w:bookmarkEnd w:id="143"/>
    </w:p>
    <w:tbl>
      <w:tblPr>
        <w:tblStyle w:val="ItadGreenHeaderRow"/>
        <w:tblW w:w="5000" w:type="pct"/>
        <w:tblLook w:val="04A0" w:firstRow="1" w:lastRow="0" w:firstColumn="1" w:lastColumn="0" w:noHBand="0" w:noVBand="1"/>
      </w:tblPr>
      <w:tblGrid>
        <w:gridCol w:w="1448"/>
        <w:gridCol w:w="473"/>
        <w:gridCol w:w="473"/>
        <w:gridCol w:w="473"/>
        <w:gridCol w:w="473"/>
        <w:gridCol w:w="473"/>
        <w:gridCol w:w="473"/>
        <w:gridCol w:w="473"/>
        <w:gridCol w:w="473"/>
        <w:gridCol w:w="473"/>
        <w:gridCol w:w="473"/>
        <w:gridCol w:w="473"/>
        <w:gridCol w:w="473"/>
        <w:gridCol w:w="473"/>
        <w:gridCol w:w="473"/>
        <w:gridCol w:w="473"/>
        <w:gridCol w:w="473"/>
      </w:tblGrid>
      <w:tr w:rsidR="00435404" w:rsidRPr="00435404" w14:paraId="442A5D67" w14:textId="77777777" w:rsidTr="007F1B4B">
        <w:trPr>
          <w:cnfStyle w:val="100000000000" w:firstRow="1" w:lastRow="0" w:firstColumn="0" w:lastColumn="0" w:oddVBand="0" w:evenVBand="0" w:oddHBand="0" w:evenHBand="0" w:firstRowFirstColumn="0" w:firstRowLastColumn="0" w:lastRowFirstColumn="0" w:lastRowLastColumn="0"/>
          <w:trHeight w:val="1041"/>
        </w:trPr>
        <w:tc>
          <w:tcPr>
            <w:tcW w:w="1029" w:type="pct"/>
            <w:hideMark/>
          </w:tcPr>
          <w:p w14:paraId="670A537E" w14:textId="77777777" w:rsidR="001A7D53" w:rsidRPr="007F63EF" w:rsidRDefault="001A7D53">
            <w:pPr>
              <w:rPr>
                <w:rFonts w:asciiTheme="minorHAnsi" w:eastAsia="Times New Roman" w:hAnsiTheme="minorHAnsi" w:cstheme="minorHAnsi"/>
                <w:b/>
                <w:color w:val="auto"/>
                <w:sz w:val="20"/>
                <w:szCs w:val="20"/>
                <w:lang w:eastAsia="en-GB"/>
              </w:rPr>
            </w:pPr>
            <w:r w:rsidRPr="007F63EF">
              <w:rPr>
                <w:rFonts w:asciiTheme="minorHAnsi" w:eastAsia="Times New Roman" w:hAnsiTheme="minorHAnsi" w:cstheme="minorHAnsi"/>
                <w:b/>
                <w:color w:val="auto"/>
                <w:sz w:val="20"/>
                <w:szCs w:val="20"/>
                <w:lang w:eastAsia="en-GB"/>
              </w:rPr>
              <w:t>VfM measure</w:t>
            </w:r>
          </w:p>
          <w:p w14:paraId="1231F9C5" w14:textId="77777777" w:rsidR="001A7D53" w:rsidRPr="007F63EF" w:rsidRDefault="001A7D53">
            <w:pPr>
              <w:rPr>
                <w:rFonts w:asciiTheme="minorHAnsi" w:eastAsia="Times New Roman" w:hAnsiTheme="minorHAnsi" w:cstheme="minorHAnsi"/>
                <w:b/>
                <w:color w:val="auto"/>
                <w:sz w:val="20"/>
                <w:szCs w:val="20"/>
                <w:lang w:eastAsia="en-GB"/>
              </w:rPr>
            </w:pPr>
            <w:r w:rsidRPr="007F63EF">
              <w:rPr>
                <w:rFonts w:asciiTheme="minorHAnsi" w:eastAsia="Times New Roman" w:hAnsiTheme="minorHAnsi" w:cstheme="minorHAnsi"/>
                <w:b/>
                <w:color w:val="auto"/>
                <w:sz w:val="20"/>
                <w:szCs w:val="20"/>
                <w:lang w:eastAsia="en-GB"/>
              </w:rPr>
              <w:t>Effectiveness</w:t>
            </w:r>
          </w:p>
        </w:tc>
        <w:tc>
          <w:tcPr>
            <w:tcW w:w="248" w:type="pct"/>
            <w:noWrap/>
            <w:textDirection w:val="btLr"/>
            <w:hideMark/>
          </w:tcPr>
          <w:p w14:paraId="2247AABF"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Bangladesh</w:t>
            </w:r>
          </w:p>
        </w:tc>
        <w:tc>
          <w:tcPr>
            <w:tcW w:w="248" w:type="pct"/>
            <w:noWrap/>
            <w:textDirection w:val="btLr"/>
            <w:hideMark/>
          </w:tcPr>
          <w:p w14:paraId="326E335C"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Bhutan</w:t>
            </w:r>
          </w:p>
        </w:tc>
        <w:tc>
          <w:tcPr>
            <w:tcW w:w="248" w:type="pct"/>
            <w:noWrap/>
            <w:textDirection w:val="btLr"/>
            <w:hideMark/>
          </w:tcPr>
          <w:p w14:paraId="48B51F52"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Indonesia</w:t>
            </w:r>
          </w:p>
        </w:tc>
        <w:tc>
          <w:tcPr>
            <w:tcW w:w="248" w:type="pct"/>
            <w:noWrap/>
            <w:textDirection w:val="btLr"/>
            <w:hideMark/>
          </w:tcPr>
          <w:p w14:paraId="677F70E4"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Laos</w:t>
            </w:r>
          </w:p>
        </w:tc>
        <w:tc>
          <w:tcPr>
            <w:tcW w:w="248" w:type="pct"/>
            <w:noWrap/>
            <w:textDirection w:val="btLr"/>
            <w:hideMark/>
          </w:tcPr>
          <w:p w14:paraId="1F1ACE72"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Nepal</w:t>
            </w:r>
          </w:p>
        </w:tc>
        <w:tc>
          <w:tcPr>
            <w:tcW w:w="248" w:type="pct"/>
            <w:noWrap/>
            <w:textDirection w:val="btLr"/>
            <w:hideMark/>
          </w:tcPr>
          <w:p w14:paraId="626EA94E"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Pakistan</w:t>
            </w:r>
          </w:p>
        </w:tc>
        <w:tc>
          <w:tcPr>
            <w:tcW w:w="248" w:type="pct"/>
            <w:noWrap/>
            <w:textDirection w:val="btLr"/>
            <w:hideMark/>
          </w:tcPr>
          <w:p w14:paraId="4A61F086"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Timor-Leste</w:t>
            </w:r>
          </w:p>
        </w:tc>
        <w:tc>
          <w:tcPr>
            <w:tcW w:w="248" w:type="pct"/>
            <w:noWrap/>
            <w:textDirection w:val="btLr"/>
            <w:hideMark/>
          </w:tcPr>
          <w:p w14:paraId="2A5520B1"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Vietnam</w:t>
            </w:r>
          </w:p>
        </w:tc>
        <w:tc>
          <w:tcPr>
            <w:tcW w:w="248" w:type="pct"/>
            <w:noWrap/>
            <w:textDirection w:val="btLr"/>
            <w:hideMark/>
          </w:tcPr>
          <w:p w14:paraId="1ED4023D"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Ghana</w:t>
            </w:r>
          </w:p>
        </w:tc>
        <w:tc>
          <w:tcPr>
            <w:tcW w:w="248" w:type="pct"/>
            <w:noWrap/>
            <w:textDirection w:val="btLr"/>
            <w:hideMark/>
          </w:tcPr>
          <w:p w14:paraId="4666B321"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Kenya</w:t>
            </w:r>
          </w:p>
        </w:tc>
        <w:tc>
          <w:tcPr>
            <w:tcW w:w="248" w:type="pct"/>
            <w:noWrap/>
            <w:textDirection w:val="btLr"/>
            <w:hideMark/>
          </w:tcPr>
          <w:p w14:paraId="6CF2D213"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Nigeria</w:t>
            </w:r>
          </w:p>
        </w:tc>
        <w:tc>
          <w:tcPr>
            <w:tcW w:w="248" w:type="pct"/>
            <w:noWrap/>
            <w:textDirection w:val="btLr"/>
            <w:hideMark/>
          </w:tcPr>
          <w:p w14:paraId="3A7221FB"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Senegal</w:t>
            </w:r>
          </w:p>
        </w:tc>
        <w:tc>
          <w:tcPr>
            <w:tcW w:w="248" w:type="pct"/>
            <w:noWrap/>
            <w:textDirection w:val="btLr"/>
            <w:hideMark/>
          </w:tcPr>
          <w:p w14:paraId="478E766C"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Sierra Leone</w:t>
            </w:r>
          </w:p>
        </w:tc>
        <w:tc>
          <w:tcPr>
            <w:tcW w:w="248" w:type="pct"/>
            <w:noWrap/>
            <w:textDirection w:val="btLr"/>
            <w:hideMark/>
          </w:tcPr>
          <w:p w14:paraId="3F61D7B7"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Tanzania</w:t>
            </w:r>
          </w:p>
        </w:tc>
        <w:tc>
          <w:tcPr>
            <w:tcW w:w="248" w:type="pct"/>
            <w:noWrap/>
            <w:textDirection w:val="btLr"/>
            <w:hideMark/>
          </w:tcPr>
          <w:p w14:paraId="279D5016"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Uganda</w:t>
            </w:r>
          </w:p>
        </w:tc>
        <w:tc>
          <w:tcPr>
            <w:tcW w:w="248" w:type="pct"/>
            <w:noWrap/>
            <w:textDirection w:val="btLr"/>
            <w:hideMark/>
          </w:tcPr>
          <w:p w14:paraId="59163634"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Zambia</w:t>
            </w:r>
          </w:p>
        </w:tc>
      </w:tr>
      <w:tr w:rsidR="00264CBC" w:rsidRPr="00435404" w14:paraId="7336608D" w14:textId="77777777" w:rsidTr="007F1B4B">
        <w:trPr>
          <w:cnfStyle w:val="000000100000" w:firstRow="0" w:lastRow="0" w:firstColumn="0" w:lastColumn="0" w:oddVBand="0" w:evenVBand="0" w:oddHBand="1" w:evenHBand="0" w:firstRowFirstColumn="0" w:firstRowLastColumn="0" w:lastRowFirstColumn="0" w:lastRowLastColumn="0"/>
          <w:trHeight w:val="690"/>
        </w:trPr>
        <w:tc>
          <w:tcPr>
            <w:tcW w:w="1029" w:type="pct"/>
            <w:hideMark/>
          </w:tcPr>
          <w:p w14:paraId="284E2391" w14:textId="77777777" w:rsidR="001A7D53" w:rsidRPr="007F63EF" w:rsidRDefault="001A7D53">
            <w:pPr>
              <w:rPr>
                <w:rFonts w:asciiTheme="minorHAnsi" w:eastAsia="Calibri" w:hAnsiTheme="minorHAnsi" w:cstheme="minorHAnsi"/>
                <w:color w:val="auto"/>
                <w:sz w:val="20"/>
                <w:szCs w:val="20"/>
              </w:rPr>
            </w:pPr>
            <w:r w:rsidRPr="007F63EF">
              <w:rPr>
                <w:rFonts w:asciiTheme="minorHAnsi" w:eastAsia="Calibri" w:hAnsiTheme="minorHAnsi" w:cstheme="minorHAnsi"/>
                <w:color w:val="auto"/>
                <w:sz w:val="20"/>
                <w:szCs w:val="20"/>
              </w:rPr>
              <w:t>Evidence of increased quantity and quality of AMR data</w:t>
            </w:r>
          </w:p>
        </w:tc>
        <w:tc>
          <w:tcPr>
            <w:tcW w:w="248" w:type="pct"/>
            <w:shd w:val="clear" w:color="auto" w:fill="92D050"/>
            <w:noWrap/>
            <w:textDirection w:val="btLr"/>
            <w:hideMark/>
          </w:tcPr>
          <w:p w14:paraId="58B741C6"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w:t>
            </w:r>
          </w:p>
        </w:tc>
        <w:tc>
          <w:tcPr>
            <w:tcW w:w="248" w:type="pct"/>
            <w:shd w:val="clear" w:color="auto" w:fill="92D050"/>
            <w:noWrap/>
            <w:textDirection w:val="btLr"/>
            <w:hideMark/>
          </w:tcPr>
          <w:p w14:paraId="09632971"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w:t>
            </w:r>
          </w:p>
        </w:tc>
        <w:tc>
          <w:tcPr>
            <w:tcW w:w="248" w:type="pct"/>
            <w:shd w:val="clear" w:color="auto" w:fill="92D050"/>
            <w:noWrap/>
            <w:textDirection w:val="btLr"/>
            <w:hideMark/>
          </w:tcPr>
          <w:p w14:paraId="3C3985BB"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w:t>
            </w:r>
          </w:p>
        </w:tc>
        <w:tc>
          <w:tcPr>
            <w:tcW w:w="248" w:type="pct"/>
            <w:noWrap/>
            <w:textDirection w:val="btLr"/>
            <w:hideMark/>
          </w:tcPr>
          <w:p w14:paraId="05CC1AD3"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noWrap/>
            <w:textDirection w:val="btLr"/>
            <w:hideMark/>
          </w:tcPr>
          <w:p w14:paraId="022DB380"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w:t>
            </w:r>
          </w:p>
        </w:tc>
        <w:tc>
          <w:tcPr>
            <w:tcW w:w="248" w:type="pct"/>
            <w:noWrap/>
            <w:textDirection w:val="btLr"/>
            <w:hideMark/>
          </w:tcPr>
          <w:p w14:paraId="2E4BD45F"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w:t>
            </w:r>
          </w:p>
        </w:tc>
        <w:tc>
          <w:tcPr>
            <w:tcW w:w="248" w:type="pct"/>
            <w:shd w:val="clear" w:color="auto" w:fill="92D050"/>
            <w:noWrap/>
            <w:textDirection w:val="btLr"/>
            <w:hideMark/>
          </w:tcPr>
          <w:p w14:paraId="2E1F140F"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w:t>
            </w:r>
          </w:p>
        </w:tc>
        <w:tc>
          <w:tcPr>
            <w:tcW w:w="248" w:type="pct"/>
            <w:shd w:val="clear" w:color="auto" w:fill="92D050"/>
            <w:noWrap/>
            <w:textDirection w:val="btLr"/>
            <w:hideMark/>
          </w:tcPr>
          <w:p w14:paraId="7951623B"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w:t>
            </w:r>
          </w:p>
        </w:tc>
        <w:tc>
          <w:tcPr>
            <w:tcW w:w="248" w:type="pct"/>
            <w:noWrap/>
            <w:textDirection w:val="btLr"/>
            <w:hideMark/>
          </w:tcPr>
          <w:p w14:paraId="42326905"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w:t>
            </w:r>
          </w:p>
        </w:tc>
        <w:tc>
          <w:tcPr>
            <w:tcW w:w="248" w:type="pct"/>
            <w:shd w:val="clear" w:color="auto" w:fill="92D050"/>
            <w:noWrap/>
            <w:textDirection w:val="btLr"/>
            <w:hideMark/>
          </w:tcPr>
          <w:p w14:paraId="22F3BAC3"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w:t>
            </w:r>
          </w:p>
        </w:tc>
        <w:tc>
          <w:tcPr>
            <w:tcW w:w="248" w:type="pct"/>
            <w:shd w:val="clear" w:color="auto" w:fill="E37230" w:themeFill="accent2"/>
            <w:noWrap/>
            <w:textDirection w:val="btLr"/>
            <w:hideMark/>
          </w:tcPr>
          <w:p w14:paraId="7B508B6D"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w:t>
            </w:r>
          </w:p>
        </w:tc>
        <w:tc>
          <w:tcPr>
            <w:tcW w:w="248" w:type="pct"/>
            <w:shd w:val="clear" w:color="auto" w:fill="E37230" w:themeFill="accent2"/>
            <w:noWrap/>
            <w:textDirection w:val="btLr"/>
            <w:hideMark/>
          </w:tcPr>
          <w:p w14:paraId="5C01C477"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w:t>
            </w:r>
          </w:p>
        </w:tc>
        <w:tc>
          <w:tcPr>
            <w:tcW w:w="248" w:type="pct"/>
            <w:shd w:val="clear" w:color="auto" w:fill="FF0000"/>
            <w:noWrap/>
            <w:textDirection w:val="btLr"/>
            <w:hideMark/>
          </w:tcPr>
          <w:p w14:paraId="4ADAEA6A" w14:textId="77777777" w:rsidR="001A7D53" w:rsidRPr="007F63EF" w:rsidRDefault="001A7D53">
            <w:pPr>
              <w:jc w:val="right"/>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w:t>
            </w:r>
          </w:p>
        </w:tc>
        <w:tc>
          <w:tcPr>
            <w:tcW w:w="248" w:type="pct"/>
            <w:shd w:val="clear" w:color="auto" w:fill="92D050"/>
            <w:noWrap/>
            <w:textDirection w:val="btLr"/>
            <w:hideMark/>
          </w:tcPr>
          <w:p w14:paraId="4B5FAE89" w14:textId="77777777" w:rsidR="001A7D53" w:rsidRPr="007F63EF" w:rsidRDefault="001A7D53">
            <w:pP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w:t>
            </w:r>
          </w:p>
        </w:tc>
        <w:tc>
          <w:tcPr>
            <w:tcW w:w="248" w:type="pct"/>
            <w:noWrap/>
            <w:hideMark/>
          </w:tcPr>
          <w:p w14:paraId="30B7A94B" w14:textId="77777777" w:rsidR="001A7D53" w:rsidRPr="007F63EF" w:rsidRDefault="001A7D53">
            <w:pPr>
              <w:rPr>
                <w:rFonts w:asciiTheme="minorHAnsi" w:eastAsia="Times New Roman" w:hAnsiTheme="minorHAnsi" w:cstheme="minorHAnsi"/>
                <w:color w:val="auto"/>
                <w:sz w:val="20"/>
                <w:szCs w:val="20"/>
                <w:lang w:eastAsia="en-GB"/>
              </w:rPr>
            </w:pPr>
          </w:p>
        </w:tc>
        <w:tc>
          <w:tcPr>
            <w:tcW w:w="248" w:type="pct"/>
            <w:noWrap/>
            <w:hideMark/>
          </w:tcPr>
          <w:p w14:paraId="10E66ED3" w14:textId="77777777" w:rsidR="001A7D53" w:rsidRPr="007F63EF" w:rsidRDefault="001A7D53">
            <w:pPr>
              <w:rPr>
                <w:rFonts w:asciiTheme="minorHAnsi" w:eastAsia="Times New Roman" w:hAnsiTheme="minorHAnsi" w:cstheme="minorHAnsi"/>
                <w:color w:val="auto"/>
                <w:sz w:val="20"/>
                <w:szCs w:val="20"/>
                <w:lang w:eastAsia="en-GB"/>
              </w:rPr>
            </w:pPr>
          </w:p>
        </w:tc>
      </w:tr>
      <w:tr w:rsidR="00264CBC" w:rsidRPr="00435404" w14:paraId="44182514" w14:textId="77777777" w:rsidTr="007F1B4B">
        <w:trPr>
          <w:cnfStyle w:val="000000010000" w:firstRow="0" w:lastRow="0" w:firstColumn="0" w:lastColumn="0" w:oddVBand="0" w:evenVBand="0" w:oddHBand="0" w:evenHBand="1" w:firstRowFirstColumn="0" w:firstRowLastColumn="0" w:lastRowFirstColumn="0" w:lastRowLastColumn="0"/>
          <w:trHeight w:val="690"/>
        </w:trPr>
        <w:tc>
          <w:tcPr>
            <w:tcW w:w="1029" w:type="pct"/>
            <w:hideMark/>
          </w:tcPr>
          <w:p w14:paraId="08230181" w14:textId="77777777" w:rsidR="001A7D53" w:rsidRPr="007F63EF" w:rsidRDefault="001A7D53">
            <w:pPr>
              <w:rPr>
                <w:rFonts w:asciiTheme="minorHAnsi" w:eastAsia="Calibri" w:hAnsiTheme="minorHAnsi" w:cstheme="minorHAnsi"/>
                <w:color w:val="auto"/>
                <w:sz w:val="20"/>
                <w:szCs w:val="20"/>
              </w:rPr>
            </w:pPr>
            <w:r w:rsidRPr="007F63EF">
              <w:rPr>
                <w:rFonts w:asciiTheme="minorHAnsi" w:eastAsia="Calibri" w:hAnsiTheme="minorHAnsi" w:cstheme="minorHAnsi"/>
                <w:color w:val="auto"/>
                <w:sz w:val="20"/>
                <w:szCs w:val="20"/>
              </w:rPr>
              <w:t>Evidence of data use/ in GLASS</w:t>
            </w:r>
          </w:p>
        </w:tc>
        <w:tc>
          <w:tcPr>
            <w:tcW w:w="248" w:type="pct"/>
            <w:shd w:val="clear" w:color="auto" w:fill="92D050"/>
            <w:noWrap/>
            <w:textDirection w:val="btLr"/>
            <w:hideMark/>
          </w:tcPr>
          <w:p w14:paraId="41FD6424"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shd w:val="clear" w:color="auto" w:fill="8CCA45" w:themeFill="accent6"/>
            <w:noWrap/>
            <w:textDirection w:val="btLr"/>
            <w:hideMark/>
          </w:tcPr>
          <w:p w14:paraId="30F78E59"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shd w:val="clear" w:color="auto" w:fill="F1B249" w:themeFill="accent4"/>
            <w:noWrap/>
            <w:textDirection w:val="btLr"/>
            <w:hideMark/>
          </w:tcPr>
          <w:p w14:paraId="241CBAEF"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noWrap/>
            <w:textDirection w:val="btLr"/>
            <w:hideMark/>
          </w:tcPr>
          <w:p w14:paraId="7D3C2B0D"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noWrap/>
            <w:textDirection w:val="btLr"/>
            <w:hideMark/>
          </w:tcPr>
          <w:p w14:paraId="084C95D3"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noWrap/>
            <w:textDirection w:val="btLr"/>
            <w:hideMark/>
          </w:tcPr>
          <w:p w14:paraId="7D1C7C1E"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shd w:val="clear" w:color="auto" w:fill="92D050"/>
            <w:noWrap/>
            <w:textDirection w:val="btLr"/>
            <w:hideMark/>
          </w:tcPr>
          <w:p w14:paraId="48D27B24"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shd w:val="clear" w:color="auto" w:fill="F1B249" w:themeFill="accent4"/>
            <w:noWrap/>
            <w:textDirection w:val="btLr"/>
            <w:hideMark/>
          </w:tcPr>
          <w:p w14:paraId="4DCAF1D0"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noWrap/>
            <w:textDirection w:val="btLr"/>
            <w:hideMark/>
          </w:tcPr>
          <w:p w14:paraId="7DAB9B51"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shd w:val="clear" w:color="auto" w:fill="F1B249" w:themeFill="accent4"/>
            <w:noWrap/>
            <w:textDirection w:val="btLr"/>
            <w:hideMark/>
          </w:tcPr>
          <w:p w14:paraId="3B725BB3"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shd w:val="clear" w:color="auto" w:fill="F1B249" w:themeFill="accent4"/>
            <w:noWrap/>
            <w:textDirection w:val="btLr"/>
            <w:hideMark/>
          </w:tcPr>
          <w:p w14:paraId="2D34C3CF"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shd w:val="clear" w:color="auto" w:fill="F1B249" w:themeFill="accent4"/>
            <w:noWrap/>
            <w:textDirection w:val="btLr"/>
            <w:hideMark/>
          </w:tcPr>
          <w:p w14:paraId="5C48B79C"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shd w:val="clear" w:color="auto" w:fill="FF0000"/>
            <w:noWrap/>
            <w:textDirection w:val="btLr"/>
            <w:hideMark/>
          </w:tcPr>
          <w:p w14:paraId="6CB8CC96" w14:textId="77777777" w:rsidR="001A7D53" w:rsidRPr="007F63EF" w:rsidRDefault="001A7D53">
            <w:pPr>
              <w:jc w:val="right"/>
              <w:rPr>
                <w:rFonts w:asciiTheme="minorHAnsi" w:eastAsia="Times New Roman" w:hAnsiTheme="minorHAnsi" w:cstheme="minorHAnsi"/>
                <w:color w:val="auto"/>
                <w:sz w:val="20"/>
                <w:szCs w:val="20"/>
                <w:lang w:eastAsia="en-GB"/>
              </w:rPr>
            </w:pPr>
          </w:p>
        </w:tc>
        <w:tc>
          <w:tcPr>
            <w:tcW w:w="248" w:type="pct"/>
            <w:shd w:val="clear" w:color="auto" w:fill="F1B249" w:themeFill="accent4"/>
            <w:noWrap/>
            <w:textDirection w:val="btLr"/>
            <w:hideMark/>
          </w:tcPr>
          <w:p w14:paraId="088D8C6F" w14:textId="77777777" w:rsidR="001A7D53" w:rsidRPr="007F63EF" w:rsidRDefault="001A7D53">
            <w:pPr>
              <w:rPr>
                <w:rFonts w:asciiTheme="minorHAnsi" w:eastAsia="Times New Roman" w:hAnsiTheme="minorHAnsi" w:cstheme="minorHAnsi"/>
                <w:color w:val="auto"/>
                <w:sz w:val="20"/>
                <w:szCs w:val="20"/>
                <w:lang w:eastAsia="en-GB"/>
              </w:rPr>
            </w:pPr>
          </w:p>
        </w:tc>
        <w:tc>
          <w:tcPr>
            <w:tcW w:w="248" w:type="pct"/>
            <w:noWrap/>
            <w:hideMark/>
          </w:tcPr>
          <w:p w14:paraId="39512E34" w14:textId="77777777" w:rsidR="001A7D53" w:rsidRPr="007F63EF" w:rsidRDefault="001A7D53">
            <w:pPr>
              <w:rPr>
                <w:rFonts w:asciiTheme="minorHAnsi" w:eastAsia="Times New Roman" w:hAnsiTheme="minorHAnsi" w:cstheme="minorHAnsi"/>
                <w:color w:val="auto"/>
                <w:sz w:val="20"/>
                <w:szCs w:val="20"/>
                <w:lang w:eastAsia="en-GB"/>
              </w:rPr>
            </w:pPr>
          </w:p>
        </w:tc>
        <w:tc>
          <w:tcPr>
            <w:tcW w:w="248" w:type="pct"/>
            <w:noWrap/>
            <w:hideMark/>
          </w:tcPr>
          <w:p w14:paraId="7A665D59" w14:textId="77777777" w:rsidR="001A7D53" w:rsidRPr="007F63EF" w:rsidRDefault="001A7D53">
            <w:pPr>
              <w:rPr>
                <w:rFonts w:asciiTheme="minorHAnsi" w:eastAsia="Times New Roman" w:hAnsiTheme="minorHAnsi" w:cstheme="minorHAnsi"/>
                <w:color w:val="auto"/>
                <w:sz w:val="20"/>
                <w:szCs w:val="20"/>
                <w:lang w:eastAsia="en-GB"/>
              </w:rPr>
            </w:pPr>
          </w:p>
        </w:tc>
      </w:tr>
    </w:tbl>
    <w:p w14:paraId="6D5352F2" w14:textId="2319665F" w:rsidR="001A7D53" w:rsidRDefault="001A7D53" w:rsidP="001A7D53">
      <w:pPr>
        <w:jc w:val="both"/>
      </w:pPr>
    </w:p>
    <w:tbl>
      <w:tblPr>
        <w:tblStyle w:val="ItadGreenHeaderRow"/>
        <w:tblW w:w="9072" w:type="dxa"/>
        <w:tblLook w:val="04A0" w:firstRow="1" w:lastRow="0" w:firstColumn="1" w:lastColumn="0" w:noHBand="0" w:noVBand="1"/>
      </w:tblPr>
      <w:tblGrid>
        <w:gridCol w:w="1560"/>
        <w:gridCol w:w="1984"/>
        <w:gridCol w:w="1843"/>
        <w:gridCol w:w="1843"/>
        <w:gridCol w:w="1842"/>
      </w:tblGrid>
      <w:tr w:rsidR="00435404" w:rsidRPr="00435404" w14:paraId="7F5D4B8B" w14:textId="77777777" w:rsidTr="007779FC">
        <w:trPr>
          <w:cnfStyle w:val="100000000000" w:firstRow="1" w:lastRow="0" w:firstColumn="0" w:lastColumn="0" w:oddVBand="0" w:evenVBand="0" w:oddHBand="0" w:evenHBand="0" w:firstRowFirstColumn="0" w:firstRowLastColumn="0" w:lastRowFirstColumn="0" w:lastRowLastColumn="0"/>
          <w:trHeight w:val="300"/>
        </w:trPr>
        <w:tc>
          <w:tcPr>
            <w:tcW w:w="1560" w:type="dxa"/>
            <w:hideMark/>
          </w:tcPr>
          <w:p w14:paraId="4F897A2C" w14:textId="77777777" w:rsidR="001A7D53" w:rsidRPr="007F63EF" w:rsidRDefault="001A7D53">
            <w:pPr>
              <w:rPr>
                <w:rFonts w:eastAsia="Times New Roman" w:cs="Calibri"/>
                <w:b/>
                <w:bCs/>
                <w:color w:val="auto"/>
                <w:sz w:val="20"/>
                <w:szCs w:val="20"/>
                <w:lang w:eastAsia="en-GB"/>
              </w:rPr>
            </w:pPr>
            <w:r w:rsidRPr="007F63EF">
              <w:rPr>
                <w:rFonts w:eastAsia="Times New Roman" w:cs="Calibri"/>
                <w:b/>
                <w:bCs/>
                <w:color w:val="auto"/>
                <w:sz w:val="20"/>
                <w:szCs w:val="20"/>
                <w:lang w:eastAsia="en-GB"/>
              </w:rPr>
              <w:t>RUBRIC</w:t>
            </w:r>
          </w:p>
        </w:tc>
        <w:tc>
          <w:tcPr>
            <w:tcW w:w="1984" w:type="dxa"/>
            <w:shd w:val="clear" w:color="auto" w:fill="92D050"/>
            <w:noWrap/>
            <w:hideMark/>
          </w:tcPr>
          <w:p w14:paraId="6820BE0D" w14:textId="1FA710A9" w:rsidR="001A7D53" w:rsidRPr="007F63EF" w:rsidRDefault="00A76DAA">
            <w:pPr>
              <w:rPr>
                <w:rFonts w:eastAsia="Times New Roman" w:cs="Calibri"/>
                <w:b/>
                <w:bCs/>
                <w:color w:val="auto"/>
                <w:sz w:val="20"/>
                <w:szCs w:val="20"/>
                <w:lang w:eastAsia="en-GB"/>
              </w:rPr>
            </w:pPr>
            <w:r w:rsidRPr="007F63EF">
              <w:rPr>
                <w:rFonts w:eastAsia="Times New Roman" w:cs="Calibri"/>
                <w:b/>
                <w:bCs/>
                <w:color w:val="auto"/>
                <w:sz w:val="20"/>
                <w:szCs w:val="20"/>
                <w:lang w:eastAsia="en-GB"/>
              </w:rPr>
              <w:t>Green</w:t>
            </w:r>
          </w:p>
        </w:tc>
        <w:tc>
          <w:tcPr>
            <w:tcW w:w="1843" w:type="dxa"/>
            <w:shd w:val="clear" w:color="auto" w:fill="FFC000"/>
            <w:noWrap/>
            <w:hideMark/>
          </w:tcPr>
          <w:p w14:paraId="4B27F148" w14:textId="4028604D" w:rsidR="001A7D53" w:rsidRPr="007F63EF" w:rsidRDefault="00A76DAA">
            <w:pPr>
              <w:rPr>
                <w:rFonts w:eastAsia="Times New Roman" w:cs="Calibri"/>
                <w:b/>
                <w:bCs/>
                <w:color w:val="auto"/>
                <w:sz w:val="20"/>
                <w:szCs w:val="20"/>
                <w:lang w:eastAsia="en-GB"/>
              </w:rPr>
            </w:pPr>
            <w:r w:rsidRPr="007F63EF">
              <w:rPr>
                <w:rFonts w:eastAsia="Times New Roman" w:cs="Calibri"/>
                <w:b/>
                <w:bCs/>
                <w:color w:val="auto"/>
                <w:sz w:val="20"/>
                <w:szCs w:val="20"/>
                <w:lang w:eastAsia="en-GB"/>
              </w:rPr>
              <w:t>Amber/Green</w:t>
            </w:r>
          </w:p>
        </w:tc>
        <w:tc>
          <w:tcPr>
            <w:tcW w:w="1843" w:type="dxa"/>
            <w:shd w:val="clear" w:color="auto" w:fill="E37230" w:themeFill="accent2"/>
            <w:noWrap/>
            <w:hideMark/>
          </w:tcPr>
          <w:p w14:paraId="56603AF6" w14:textId="60BA8F51" w:rsidR="001A7D53" w:rsidRPr="007F63EF" w:rsidRDefault="00A76DAA">
            <w:pPr>
              <w:rPr>
                <w:rFonts w:eastAsia="Times New Roman" w:cs="Calibri"/>
                <w:b/>
                <w:bCs/>
                <w:color w:val="auto"/>
                <w:sz w:val="20"/>
                <w:szCs w:val="20"/>
                <w:lang w:eastAsia="en-GB"/>
              </w:rPr>
            </w:pPr>
            <w:r w:rsidRPr="007F63EF">
              <w:rPr>
                <w:rFonts w:eastAsia="Times New Roman" w:cs="Calibri"/>
                <w:b/>
                <w:bCs/>
                <w:color w:val="auto"/>
                <w:sz w:val="20"/>
                <w:szCs w:val="20"/>
                <w:lang w:eastAsia="en-GB"/>
              </w:rPr>
              <w:t>Amber/Red</w:t>
            </w:r>
          </w:p>
        </w:tc>
        <w:tc>
          <w:tcPr>
            <w:tcW w:w="1842" w:type="dxa"/>
            <w:shd w:val="clear" w:color="auto" w:fill="FF0000"/>
            <w:noWrap/>
            <w:hideMark/>
          </w:tcPr>
          <w:p w14:paraId="44C2C71C" w14:textId="0CFBF65F" w:rsidR="001A7D53" w:rsidRPr="007F63EF" w:rsidRDefault="00A76DAA">
            <w:pPr>
              <w:rPr>
                <w:rFonts w:eastAsia="Times New Roman" w:cs="Calibri"/>
                <w:b/>
                <w:bCs/>
                <w:color w:val="auto"/>
                <w:sz w:val="20"/>
                <w:szCs w:val="20"/>
                <w:lang w:eastAsia="en-GB"/>
              </w:rPr>
            </w:pPr>
            <w:r w:rsidRPr="007F63EF">
              <w:rPr>
                <w:rFonts w:eastAsia="Times New Roman" w:cs="Calibri"/>
                <w:b/>
                <w:bCs/>
                <w:color w:val="auto"/>
                <w:sz w:val="20"/>
                <w:szCs w:val="20"/>
                <w:lang w:eastAsia="en-GB"/>
              </w:rPr>
              <w:t>Red</w:t>
            </w:r>
          </w:p>
        </w:tc>
      </w:tr>
      <w:tr w:rsidR="00435404" w:rsidRPr="00435404" w14:paraId="026BF748" w14:textId="77777777" w:rsidTr="007779FC">
        <w:trPr>
          <w:cnfStyle w:val="000000100000" w:firstRow="0" w:lastRow="0" w:firstColumn="0" w:lastColumn="0" w:oddVBand="0" w:evenVBand="0" w:oddHBand="1" w:evenHBand="0" w:firstRowFirstColumn="0" w:firstRowLastColumn="0" w:lastRowFirstColumn="0" w:lastRowLastColumn="0"/>
          <w:trHeight w:val="915"/>
        </w:trPr>
        <w:tc>
          <w:tcPr>
            <w:tcW w:w="1560" w:type="dxa"/>
            <w:hideMark/>
          </w:tcPr>
          <w:p w14:paraId="3928138D" w14:textId="4012CBCC" w:rsidR="001A7D53" w:rsidRPr="007F63EF" w:rsidRDefault="001A7D53">
            <w:pPr>
              <w:rPr>
                <w:rFonts w:eastAsia="Times New Roman" w:cs="Calibri"/>
                <w:b/>
                <w:color w:val="auto"/>
                <w:sz w:val="20"/>
                <w:szCs w:val="20"/>
                <w:lang w:eastAsia="en-GB"/>
              </w:rPr>
            </w:pPr>
            <w:r w:rsidRPr="007F63EF">
              <w:rPr>
                <w:rFonts w:cs="Calibri"/>
                <w:b/>
                <w:color w:val="auto"/>
                <w:sz w:val="20"/>
                <w:szCs w:val="20"/>
              </w:rPr>
              <w:t>(intermediate) Outcomes have been achieved as expected: Evidence of data use/in GLASS</w:t>
            </w:r>
          </w:p>
        </w:tc>
        <w:tc>
          <w:tcPr>
            <w:tcW w:w="1984" w:type="dxa"/>
            <w:hideMark/>
          </w:tcPr>
          <w:p w14:paraId="5182CC08" w14:textId="2C211BE4" w:rsidR="001A7D53" w:rsidRPr="007F63EF" w:rsidRDefault="001A7D53">
            <w:pPr>
              <w:rPr>
                <w:rFonts w:eastAsia="Times New Roman" w:cs="Calibri"/>
                <w:color w:val="auto"/>
                <w:sz w:val="20"/>
                <w:szCs w:val="20"/>
                <w:lang w:eastAsia="en-GB"/>
              </w:rPr>
            </w:pPr>
            <w:r w:rsidRPr="007F63EF">
              <w:rPr>
                <w:rFonts w:cs="Calibri"/>
                <w:color w:val="auto"/>
                <w:sz w:val="20"/>
                <w:szCs w:val="20"/>
              </w:rPr>
              <w:t xml:space="preserve">HH AMR data to GLASS has advanced and AMU data sharing with </w:t>
            </w:r>
            <w:r w:rsidR="00121E83" w:rsidRPr="007F63EF">
              <w:rPr>
                <w:rFonts w:cs="Calibri"/>
                <w:color w:val="auto"/>
                <w:sz w:val="20"/>
                <w:szCs w:val="20"/>
              </w:rPr>
              <w:t>WOAH</w:t>
            </w:r>
            <w:r w:rsidR="007458AC" w:rsidRPr="007F63EF">
              <w:rPr>
                <w:rFonts w:cs="Calibri"/>
                <w:color w:val="auto"/>
                <w:sz w:val="20"/>
                <w:szCs w:val="20"/>
              </w:rPr>
              <w:t xml:space="preserve"> </w:t>
            </w:r>
            <w:r w:rsidRPr="007F63EF">
              <w:rPr>
                <w:rFonts w:cs="Calibri"/>
                <w:color w:val="auto"/>
                <w:sz w:val="20"/>
                <w:szCs w:val="20"/>
              </w:rPr>
              <w:t>has advanced</w:t>
            </w:r>
          </w:p>
        </w:tc>
        <w:tc>
          <w:tcPr>
            <w:tcW w:w="1843" w:type="dxa"/>
            <w:hideMark/>
          </w:tcPr>
          <w:p w14:paraId="21DA3782" w14:textId="6AF065F1" w:rsidR="001A7D53" w:rsidRPr="007F63EF" w:rsidRDefault="001A7D53">
            <w:pPr>
              <w:rPr>
                <w:rFonts w:eastAsia="Times New Roman" w:cs="Calibri"/>
                <w:color w:val="auto"/>
                <w:sz w:val="20"/>
                <w:szCs w:val="20"/>
                <w:lang w:eastAsia="en-GB"/>
              </w:rPr>
            </w:pPr>
            <w:r w:rsidRPr="007F63EF">
              <w:rPr>
                <w:rFonts w:cs="Calibri"/>
                <w:color w:val="auto"/>
                <w:sz w:val="20"/>
                <w:szCs w:val="20"/>
              </w:rPr>
              <w:t xml:space="preserve">HH AMR data to GLASS has advanced or AMU data sharing with </w:t>
            </w:r>
            <w:r w:rsidR="00121E83" w:rsidRPr="007F63EF">
              <w:rPr>
                <w:rFonts w:cs="Calibri"/>
                <w:color w:val="auto"/>
                <w:sz w:val="20"/>
                <w:szCs w:val="20"/>
              </w:rPr>
              <w:t>WOAH</w:t>
            </w:r>
            <w:r w:rsidRPr="007F63EF">
              <w:rPr>
                <w:rFonts w:cs="Calibri"/>
                <w:color w:val="auto"/>
                <w:sz w:val="20"/>
                <w:szCs w:val="20"/>
              </w:rPr>
              <w:t xml:space="preserve"> has advanced</w:t>
            </w:r>
          </w:p>
        </w:tc>
        <w:tc>
          <w:tcPr>
            <w:tcW w:w="1843" w:type="dxa"/>
            <w:hideMark/>
          </w:tcPr>
          <w:p w14:paraId="4B903F95" w14:textId="0D37B7F2" w:rsidR="001A7D53" w:rsidRPr="007F63EF" w:rsidRDefault="001A7D53">
            <w:pPr>
              <w:rPr>
                <w:rFonts w:eastAsia="Times New Roman" w:cs="Calibri"/>
                <w:color w:val="auto"/>
                <w:sz w:val="20"/>
                <w:szCs w:val="20"/>
                <w:lang w:eastAsia="en-GB"/>
              </w:rPr>
            </w:pPr>
            <w:r w:rsidRPr="007F63EF">
              <w:rPr>
                <w:rFonts w:cs="Calibri"/>
                <w:color w:val="auto"/>
                <w:sz w:val="20"/>
                <w:szCs w:val="20"/>
              </w:rPr>
              <w:t xml:space="preserve">HH AMR data to GLASS and AMU data sharing with </w:t>
            </w:r>
            <w:r w:rsidR="00121E83" w:rsidRPr="007F63EF">
              <w:rPr>
                <w:rFonts w:cs="Calibri"/>
                <w:color w:val="auto"/>
                <w:sz w:val="20"/>
                <w:szCs w:val="20"/>
              </w:rPr>
              <w:t>WOAH</w:t>
            </w:r>
            <w:r w:rsidRPr="007F63EF">
              <w:rPr>
                <w:rFonts w:cs="Calibri"/>
                <w:color w:val="auto"/>
                <w:sz w:val="20"/>
                <w:szCs w:val="20"/>
              </w:rPr>
              <w:t xml:space="preserve"> have not advanced (where non-programme</w:t>
            </w:r>
            <w:r w:rsidR="00E00D76" w:rsidRPr="007F63EF">
              <w:rPr>
                <w:rFonts w:cs="Calibri"/>
                <w:color w:val="auto"/>
                <w:sz w:val="20"/>
                <w:szCs w:val="20"/>
              </w:rPr>
              <w:t>-</w:t>
            </w:r>
            <w:r w:rsidRPr="007F63EF">
              <w:rPr>
                <w:rFonts w:cs="Calibri"/>
                <w:color w:val="auto"/>
                <w:sz w:val="20"/>
                <w:szCs w:val="20"/>
              </w:rPr>
              <w:t>related factors explain)</w:t>
            </w:r>
          </w:p>
        </w:tc>
        <w:tc>
          <w:tcPr>
            <w:tcW w:w="1842" w:type="dxa"/>
            <w:hideMark/>
          </w:tcPr>
          <w:p w14:paraId="77E40A4C" w14:textId="2D9888A5" w:rsidR="001A7D53" w:rsidRPr="007F63EF" w:rsidRDefault="001A7D53">
            <w:pPr>
              <w:rPr>
                <w:rFonts w:eastAsia="Times New Roman" w:cs="Calibri"/>
                <w:color w:val="auto"/>
                <w:sz w:val="20"/>
                <w:szCs w:val="20"/>
                <w:lang w:eastAsia="en-GB"/>
              </w:rPr>
            </w:pPr>
            <w:r w:rsidRPr="007F63EF">
              <w:rPr>
                <w:rFonts w:cs="Calibri"/>
                <w:color w:val="auto"/>
                <w:sz w:val="20"/>
                <w:szCs w:val="20"/>
              </w:rPr>
              <w:t xml:space="preserve">HH AMR data to GLASS and AMU data sharing with </w:t>
            </w:r>
            <w:r w:rsidR="00121E83" w:rsidRPr="007F63EF">
              <w:rPr>
                <w:rFonts w:cs="Calibri"/>
                <w:color w:val="auto"/>
                <w:sz w:val="20"/>
                <w:szCs w:val="20"/>
              </w:rPr>
              <w:t>WOAH</w:t>
            </w:r>
            <w:r w:rsidRPr="007F63EF">
              <w:rPr>
                <w:rFonts w:cs="Calibri"/>
                <w:color w:val="auto"/>
                <w:sz w:val="20"/>
                <w:szCs w:val="20"/>
              </w:rPr>
              <w:t xml:space="preserve"> have not advanced (where programme</w:t>
            </w:r>
            <w:r w:rsidR="00E00D76" w:rsidRPr="007F63EF">
              <w:rPr>
                <w:rFonts w:cs="Calibri"/>
                <w:color w:val="auto"/>
                <w:sz w:val="20"/>
                <w:szCs w:val="20"/>
              </w:rPr>
              <w:t>-</w:t>
            </w:r>
            <w:r w:rsidRPr="007F63EF">
              <w:rPr>
                <w:rFonts w:cs="Calibri"/>
                <w:color w:val="auto"/>
                <w:sz w:val="20"/>
                <w:szCs w:val="20"/>
              </w:rPr>
              <w:t>related factors explain)</w:t>
            </w:r>
          </w:p>
        </w:tc>
      </w:tr>
    </w:tbl>
    <w:p w14:paraId="02FA2767" w14:textId="77777777" w:rsidR="001A7D53" w:rsidRDefault="001A7D53" w:rsidP="001A7D53">
      <w:pPr>
        <w:jc w:val="both"/>
      </w:pPr>
    </w:p>
    <w:p w14:paraId="13B045EE" w14:textId="3E84D6F6" w:rsidR="001A7D53" w:rsidRPr="00B06B78" w:rsidRDefault="001A7D53" w:rsidP="00BD245D">
      <w:pPr>
        <w:pStyle w:val="FFNormal"/>
      </w:pPr>
      <w:bookmarkStart w:id="144" w:name="_Hlk129560609"/>
      <w:r w:rsidRPr="27A241B2">
        <w:rPr>
          <w:b/>
          <w:bCs/>
        </w:rPr>
        <w:t>Managing for effectiveness</w:t>
      </w:r>
      <w:r>
        <w:t xml:space="preserve">. During </w:t>
      </w:r>
      <w:r w:rsidR="0082066B">
        <w:t xml:space="preserve">the </w:t>
      </w:r>
      <w:r>
        <w:t xml:space="preserve">early stages of implementation, the evaluation highlighted issues related to how the programme had been set up to </w:t>
      </w:r>
      <w:r w:rsidR="00EA798A">
        <w:t>manage</w:t>
      </w:r>
      <w:r>
        <w:t xml:space="preserve"> results at the (intermediate) outcome level.</w:t>
      </w:r>
      <w:r w:rsidR="007458AC">
        <w:t xml:space="preserve"> </w:t>
      </w:r>
      <w:r w:rsidRPr="27A241B2">
        <w:t xml:space="preserve">This has been a recurring theme throughout the evaluation and has formed a key part of learning and adaptation in relation to </w:t>
      </w:r>
      <w:r w:rsidR="0044432D">
        <w:t>VfM</w:t>
      </w:r>
      <w:r w:rsidRPr="27A241B2">
        <w:t xml:space="preserve">. </w:t>
      </w:r>
      <w:r w:rsidR="005D5B38">
        <w:t>Several</w:t>
      </w:r>
      <w:r>
        <w:t xml:space="preserve"> steps have been taken during implementation to address these issues.</w:t>
      </w:r>
      <w:r w:rsidR="007458AC">
        <w:t xml:space="preserve"> </w:t>
      </w:r>
      <w:r w:rsidRPr="27A241B2">
        <w:t xml:space="preserve">The MA undertook a </w:t>
      </w:r>
      <w:r w:rsidR="0044432D">
        <w:t>VfM</w:t>
      </w:r>
      <w:r w:rsidRPr="27A241B2">
        <w:t xml:space="preserve"> Deep Dive into Managing for Effectiveness in 20</w:t>
      </w:r>
      <w:r w:rsidR="008A0F09">
        <w:t>2</w:t>
      </w:r>
      <w:r w:rsidR="004142F8">
        <w:t>0</w:t>
      </w:r>
      <w:r w:rsidR="00D45712">
        <w:t xml:space="preserve"> </w:t>
      </w:r>
      <w:r w:rsidR="00FE1217">
        <w:t xml:space="preserve">which identified </w:t>
      </w:r>
      <w:r w:rsidR="00B3161A">
        <w:t>the mechanisms in place (formal and informal) to</w:t>
      </w:r>
      <w:r w:rsidR="002C0C8A">
        <w:t xml:space="preserve"> </w:t>
      </w:r>
      <w:r w:rsidR="00EA798A">
        <w:t>manage</w:t>
      </w:r>
      <w:r w:rsidR="002C0C8A">
        <w:t xml:space="preserve"> results. Whilst many of the findings and recommendations have not been addressed during </w:t>
      </w:r>
      <w:r w:rsidR="009E2AC2">
        <w:t>phase 1</w:t>
      </w:r>
      <w:r w:rsidR="002C0C8A">
        <w:t xml:space="preserve">, some are being considered for implementation in </w:t>
      </w:r>
      <w:r w:rsidR="009E2AC2">
        <w:t>phase 2</w:t>
      </w:r>
      <w:r w:rsidR="002C0C8A">
        <w:t>. For example, agreeing</w:t>
      </w:r>
      <w:r w:rsidR="00435404">
        <w:t xml:space="preserve"> on</w:t>
      </w:r>
      <w:r w:rsidR="002C0C8A">
        <w:t xml:space="preserve"> output level indicators and focusing monitoring at the output (rather than activity) level and</w:t>
      </w:r>
      <w:r w:rsidR="007458AC">
        <w:t xml:space="preserve"> </w:t>
      </w:r>
      <w:r w:rsidR="002C0C8A">
        <w:t xml:space="preserve">formalising a </w:t>
      </w:r>
      <w:r w:rsidR="00664368" w:rsidRPr="00664368">
        <w:t xml:space="preserve">Monitoring, Evaluation and Learning </w:t>
      </w:r>
      <w:r w:rsidR="002C0C8A">
        <w:t>strategy.</w:t>
      </w:r>
      <w:r w:rsidR="007458AC">
        <w:t xml:space="preserve"> </w:t>
      </w:r>
      <w:r w:rsidR="002C0C8A">
        <w:t>There are other recommendations which have not yet been implemented and would strengthen the MA</w:t>
      </w:r>
      <w:r w:rsidR="00435404">
        <w:t>’</w:t>
      </w:r>
      <w:r w:rsidR="002C0C8A">
        <w:t xml:space="preserve">s approach to tracking and delivering </w:t>
      </w:r>
      <w:r w:rsidR="0044432D">
        <w:t>VfM</w:t>
      </w:r>
      <w:r w:rsidR="002C0C8A">
        <w:t xml:space="preserve"> such as </w:t>
      </w:r>
      <w:r w:rsidR="00FB57FB">
        <w:t>an output quality review framework to ensure a standard approach across grant</w:t>
      </w:r>
      <w:r w:rsidR="0034517B">
        <w:t>s</w:t>
      </w:r>
      <w:r w:rsidR="00FB57FB">
        <w:t xml:space="preserve">; and </w:t>
      </w:r>
      <w:r w:rsidR="002C0C8A">
        <w:t xml:space="preserve">including outputs </w:t>
      </w:r>
      <w:r w:rsidR="00FB57FB">
        <w:t xml:space="preserve">within the grants </w:t>
      </w:r>
      <w:r w:rsidR="002C0C8A">
        <w:t>for government commitments/budgeting for procurement of reagents, consumables and maintenance and implementing</w:t>
      </w:r>
      <w:r w:rsidR="00FB57FB">
        <w:t>.</w:t>
      </w:r>
      <w:r w:rsidR="007458AC">
        <w:t xml:space="preserve"> </w:t>
      </w:r>
      <w:r w:rsidRPr="27A241B2">
        <w:t xml:space="preserve">The Managing for Effectiveness </w:t>
      </w:r>
      <w:r w:rsidR="0044432D">
        <w:t>VfM</w:t>
      </w:r>
      <w:r w:rsidRPr="27A241B2">
        <w:t xml:space="preserve"> Review </w:t>
      </w:r>
      <w:r w:rsidR="00FB57FB">
        <w:t xml:space="preserve">also included a review of progress through the </w:t>
      </w:r>
      <w:r w:rsidR="00BC52F2">
        <w:t>ToC</w:t>
      </w:r>
      <w:r w:rsidR="00FB57FB">
        <w:t xml:space="preserve"> in four case study countries which presented performance on </w:t>
      </w:r>
      <w:r w:rsidRPr="27A241B2">
        <w:t>outputs and quality of outputs in a level of detail not seen in the quarterly and annual reviews</w:t>
      </w:r>
      <w:r w:rsidR="00FB57FB">
        <w:t>.</w:t>
      </w:r>
    </w:p>
    <w:p w14:paraId="4D12DAA8" w14:textId="2FE5E06F" w:rsidR="00A95270" w:rsidRDefault="00374FA9" w:rsidP="00BD245D">
      <w:pPr>
        <w:pStyle w:val="FFNormal"/>
      </w:pPr>
      <w:r>
        <w:t xml:space="preserve">The evaluation used available data to </w:t>
      </w:r>
      <w:r w:rsidR="004B1C99">
        <w:t>form a summary overview of effectiveness based on contribution analysis</w:t>
      </w:r>
      <w:r w:rsidR="00A95270">
        <w:t xml:space="preserve">, as an input to </w:t>
      </w:r>
      <w:r w:rsidR="007160DB">
        <w:t xml:space="preserve">the </w:t>
      </w:r>
      <w:r w:rsidR="00A95270">
        <w:t xml:space="preserve">VfM analysis. Headlines from this analysis are presented in </w:t>
      </w:r>
      <w:r w:rsidR="00F64E14">
        <w:t>Volume I</w:t>
      </w:r>
      <w:r w:rsidR="00F91E38">
        <w:t>.</w:t>
      </w:r>
      <w:r w:rsidR="00C63621">
        <w:t xml:space="preserve"> Supporting data is presented below:</w:t>
      </w:r>
    </w:p>
    <w:p w14:paraId="5042D925" w14:textId="4A6A7698" w:rsidR="00C63621" w:rsidRPr="00C63621" w:rsidRDefault="00C63621" w:rsidP="00C63621">
      <w:pPr>
        <w:pStyle w:val="ItadNormalText"/>
      </w:pPr>
      <w:r w:rsidRPr="00C63621">
        <w:rPr>
          <w:b/>
          <w:bCs/>
        </w:rPr>
        <w:t xml:space="preserve">Overall there is evidence across the 16 countries in our sample </w:t>
      </w:r>
      <w:r w:rsidR="007E15A4">
        <w:rPr>
          <w:b/>
          <w:bCs/>
        </w:rPr>
        <w:t xml:space="preserve">that </w:t>
      </w:r>
      <w:r w:rsidRPr="00C63621">
        <w:rPr>
          <w:b/>
          <w:bCs/>
        </w:rPr>
        <w:t>the Fleming Fund has contributed to improvements in establishing surveillance systems and data use</w:t>
      </w:r>
      <w:r w:rsidRPr="00C63621">
        <w:t>.</w:t>
      </w:r>
      <w:r w:rsidR="007458AC">
        <w:t xml:space="preserve"> </w:t>
      </w:r>
    </w:p>
    <w:bookmarkEnd w:id="144"/>
    <w:p w14:paraId="66452356" w14:textId="77777777" w:rsidR="001A7449" w:rsidRDefault="001A7449" w:rsidP="00C63621">
      <w:pPr>
        <w:pStyle w:val="ItadNormalText"/>
      </w:pPr>
    </w:p>
    <w:p w14:paraId="3B7445D5" w14:textId="77777777" w:rsidR="001A7449" w:rsidRDefault="001A7449" w:rsidP="00C63621">
      <w:pPr>
        <w:pStyle w:val="ItadNormalText"/>
      </w:pPr>
    </w:p>
    <w:p w14:paraId="20B7E9AC" w14:textId="77777777" w:rsidR="001A7449" w:rsidRDefault="001A7449" w:rsidP="00C63621">
      <w:pPr>
        <w:pStyle w:val="ItadNormalText"/>
      </w:pPr>
    </w:p>
    <w:p w14:paraId="7ED6FAA7" w14:textId="77777777" w:rsidR="001A7449" w:rsidRDefault="001A7449" w:rsidP="00C63621">
      <w:pPr>
        <w:pStyle w:val="ItadNormalText"/>
      </w:pPr>
    </w:p>
    <w:p w14:paraId="244C0A07" w14:textId="4A8C2E3F" w:rsidR="001A7449" w:rsidRDefault="001A7449" w:rsidP="00C63621">
      <w:pPr>
        <w:pStyle w:val="ItadNormalText"/>
        <w:sectPr w:rsidR="001A7449" w:rsidSect="005A416C">
          <w:pgSz w:w="11906" w:h="16838"/>
          <w:pgMar w:top="1440" w:right="1440" w:bottom="1440" w:left="1440" w:header="709" w:footer="709" w:gutter="0"/>
          <w:cols w:space="708"/>
          <w:docGrid w:linePitch="360"/>
        </w:sectPr>
      </w:pPr>
    </w:p>
    <w:p w14:paraId="2B022D71" w14:textId="167107C8" w:rsidR="003F67C3" w:rsidRDefault="003F67C3" w:rsidP="003F67C3">
      <w:pPr>
        <w:pStyle w:val="Caption"/>
        <w:keepNext/>
      </w:pPr>
    </w:p>
    <w:tbl>
      <w:tblPr>
        <w:tblStyle w:val="ItadGreenHeaderRow"/>
        <w:tblpPr w:leftFromText="180" w:rightFromText="180" w:vertAnchor="text" w:horzAnchor="margin" w:tblpY="403"/>
        <w:tblW w:w="14170" w:type="dxa"/>
        <w:tblInd w:w="0" w:type="dxa"/>
        <w:tblLook w:val="04A0" w:firstRow="1" w:lastRow="0" w:firstColumn="1" w:lastColumn="0" w:noHBand="0" w:noVBand="1"/>
      </w:tblPr>
      <w:tblGrid>
        <w:gridCol w:w="2414"/>
        <w:gridCol w:w="4030"/>
        <w:gridCol w:w="473"/>
        <w:gridCol w:w="473"/>
        <w:gridCol w:w="473"/>
        <w:gridCol w:w="473"/>
        <w:gridCol w:w="473"/>
        <w:gridCol w:w="473"/>
        <w:gridCol w:w="473"/>
        <w:gridCol w:w="473"/>
        <w:gridCol w:w="473"/>
        <w:gridCol w:w="473"/>
        <w:gridCol w:w="473"/>
        <w:gridCol w:w="473"/>
        <w:gridCol w:w="473"/>
        <w:gridCol w:w="473"/>
        <w:gridCol w:w="473"/>
        <w:gridCol w:w="631"/>
      </w:tblGrid>
      <w:tr w:rsidR="00435404" w:rsidRPr="00435404" w14:paraId="31B70B32" w14:textId="77777777" w:rsidTr="00BB4743">
        <w:trPr>
          <w:cnfStyle w:val="100000000000" w:firstRow="1" w:lastRow="0" w:firstColumn="0" w:lastColumn="0" w:oddVBand="0" w:evenVBand="0" w:oddHBand="0" w:evenHBand="0" w:firstRowFirstColumn="0" w:firstRowLastColumn="0" w:lastRowFirstColumn="0" w:lastRowLastColumn="0"/>
          <w:trHeight w:val="810"/>
        </w:trPr>
        <w:tc>
          <w:tcPr>
            <w:tcW w:w="0" w:type="dxa"/>
            <w:hideMark/>
          </w:tcPr>
          <w:p w14:paraId="7C2DB57B" w14:textId="77777777" w:rsidR="009154CD" w:rsidRPr="007F63EF" w:rsidRDefault="009154CD">
            <w:pPr>
              <w:rPr>
                <w:rFonts w:asciiTheme="minorHAnsi" w:eastAsia="Times New Roman" w:hAnsiTheme="minorHAnsi" w:cstheme="minorHAnsi"/>
                <w:b/>
                <w:bCs/>
                <w:color w:val="auto"/>
                <w:sz w:val="20"/>
                <w:szCs w:val="20"/>
                <w:lang w:eastAsia="en-GB"/>
              </w:rPr>
            </w:pPr>
            <w:r w:rsidRPr="007F63EF">
              <w:rPr>
                <w:rFonts w:asciiTheme="minorHAnsi" w:eastAsia="Times New Roman" w:hAnsiTheme="minorHAnsi" w:cstheme="minorHAnsi"/>
                <w:b/>
                <w:bCs/>
                <w:color w:val="auto"/>
                <w:sz w:val="20"/>
                <w:szCs w:val="20"/>
                <w:lang w:eastAsia="en-GB"/>
              </w:rPr>
              <w:t>VfM Sub-Question</w:t>
            </w:r>
          </w:p>
        </w:tc>
        <w:tc>
          <w:tcPr>
            <w:tcW w:w="0" w:type="auto"/>
            <w:hideMark/>
          </w:tcPr>
          <w:p w14:paraId="009819F0" w14:textId="77777777" w:rsidR="009154CD" w:rsidRPr="007F63EF" w:rsidRDefault="009154CD">
            <w:pPr>
              <w:rPr>
                <w:rFonts w:asciiTheme="minorHAnsi" w:eastAsia="Times New Roman" w:hAnsiTheme="minorHAnsi" w:cstheme="minorHAnsi"/>
                <w:b/>
                <w:bCs/>
                <w:color w:val="auto"/>
                <w:sz w:val="20"/>
                <w:szCs w:val="20"/>
                <w:lang w:eastAsia="en-GB"/>
              </w:rPr>
            </w:pPr>
            <w:r w:rsidRPr="007F63EF">
              <w:rPr>
                <w:rFonts w:asciiTheme="minorHAnsi" w:eastAsia="Times New Roman" w:hAnsiTheme="minorHAnsi" w:cstheme="minorHAnsi"/>
                <w:b/>
                <w:bCs/>
                <w:color w:val="auto"/>
                <w:sz w:val="20"/>
                <w:szCs w:val="20"/>
                <w:lang w:eastAsia="en-GB"/>
              </w:rPr>
              <w:t>VfM measurement</w:t>
            </w:r>
          </w:p>
        </w:tc>
        <w:tc>
          <w:tcPr>
            <w:tcW w:w="0" w:type="auto"/>
            <w:textDirection w:val="btLr"/>
            <w:hideMark/>
          </w:tcPr>
          <w:p w14:paraId="6627AF2D"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Tanzania</w:t>
            </w:r>
          </w:p>
        </w:tc>
        <w:tc>
          <w:tcPr>
            <w:tcW w:w="0" w:type="auto"/>
            <w:textDirection w:val="btLr"/>
            <w:hideMark/>
          </w:tcPr>
          <w:p w14:paraId="1B784AE3"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Kenya</w:t>
            </w:r>
          </w:p>
        </w:tc>
        <w:tc>
          <w:tcPr>
            <w:tcW w:w="0" w:type="auto"/>
            <w:textDirection w:val="btLr"/>
            <w:hideMark/>
          </w:tcPr>
          <w:p w14:paraId="70DD96DE"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Nepal</w:t>
            </w:r>
          </w:p>
        </w:tc>
        <w:tc>
          <w:tcPr>
            <w:tcW w:w="0" w:type="auto"/>
            <w:textDirection w:val="btLr"/>
            <w:hideMark/>
          </w:tcPr>
          <w:p w14:paraId="7FF1A985"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Bhutan</w:t>
            </w:r>
          </w:p>
        </w:tc>
        <w:tc>
          <w:tcPr>
            <w:tcW w:w="0" w:type="auto"/>
            <w:textDirection w:val="btLr"/>
            <w:hideMark/>
          </w:tcPr>
          <w:p w14:paraId="750162A7"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Uganda</w:t>
            </w:r>
          </w:p>
        </w:tc>
        <w:tc>
          <w:tcPr>
            <w:tcW w:w="0" w:type="auto"/>
            <w:textDirection w:val="btLr"/>
            <w:hideMark/>
          </w:tcPr>
          <w:p w14:paraId="51328CF0"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Timor-Leste</w:t>
            </w:r>
          </w:p>
        </w:tc>
        <w:tc>
          <w:tcPr>
            <w:tcW w:w="0" w:type="auto"/>
            <w:textDirection w:val="btLr"/>
            <w:hideMark/>
          </w:tcPr>
          <w:p w14:paraId="1B55BF29"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Zambia</w:t>
            </w:r>
          </w:p>
        </w:tc>
        <w:tc>
          <w:tcPr>
            <w:tcW w:w="0" w:type="auto"/>
            <w:textDirection w:val="btLr"/>
            <w:hideMark/>
          </w:tcPr>
          <w:p w14:paraId="439357EB"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Bangladesh</w:t>
            </w:r>
          </w:p>
        </w:tc>
        <w:tc>
          <w:tcPr>
            <w:tcW w:w="0" w:type="auto"/>
            <w:textDirection w:val="btLr"/>
            <w:hideMark/>
          </w:tcPr>
          <w:p w14:paraId="06A0ABEA"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Pakistan</w:t>
            </w:r>
          </w:p>
        </w:tc>
        <w:tc>
          <w:tcPr>
            <w:tcW w:w="0" w:type="auto"/>
            <w:textDirection w:val="btLr"/>
            <w:hideMark/>
          </w:tcPr>
          <w:p w14:paraId="5CEFE5CE"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Laos</w:t>
            </w:r>
          </w:p>
        </w:tc>
        <w:tc>
          <w:tcPr>
            <w:tcW w:w="0" w:type="auto"/>
            <w:textDirection w:val="btLr"/>
            <w:hideMark/>
          </w:tcPr>
          <w:p w14:paraId="7A4FF9B5"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Vietnam</w:t>
            </w:r>
          </w:p>
        </w:tc>
        <w:tc>
          <w:tcPr>
            <w:tcW w:w="0" w:type="auto"/>
            <w:textDirection w:val="btLr"/>
            <w:hideMark/>
          </w:tcPr>
          <w:p w14:paraId="692B87D7"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Ghana</w:t>
            </w:r>
          </w:p>
        </w:tc>
        <w:tc>
          <w:tcPr>
            <w:tcW w:w="0" w:type="auto"/>
            <w:textDirection w:val="btLr"/>
            <w:hideMark/>
          </w:tcPr>
          <w:p w14:paraId="4607434F"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Indonesia</w:t>
            </w:r>
          </w:p>
        </w:tc>
        <w:tc>
          <w:tcPr>
            <w:tcW w:w="0" w:type="auto"/>
            <w:textDirection w:val="btLr"/>
            <w:hideMark/>
          </w:tcPr>
          <w:p w14:paraId="1FADFF60"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Nigeria</w:t>
            </w:r>
          </w:p>
        </w:tc>
        <w:tc>
          <w:tcPr>
            <w:tcW w:w="0" w:type="auto"/>
            <w:textDirection w:val="btLr"/>
            <w:hideMark/>
          </w:tcPr>
          <w:p w14:paraId="712AB8E6"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Senegal</w:t>
            </w:r>
          </w:p>
        </w:tc>
        <w:tc>
          <w:tcPr>
            <w:tcW w:w="631" w:type="dxa"/>
            <w:textDirection w:val="btLr"/>
            <w:hideMark/>
          </w:tcPr>
          <w:p w14:paraId="0F044425"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Sierra Leone</w:t>
            </w:r>
          </w:p>
        </w:tc>
      </w:tr>
      <w:tr w:rsidR="00264CBC" w:rsidRPr="00435404" w14:paraId="0B0F2F97" w14:textId="77777777" w:rsidTr="00DD3993">
        <w:trPr>
          <w:cnfStyle w:val="000000100000" w:firstRow="0" w:lastRow="0" w:firstColumn="0" w:lastColumn="0" w:oddVBand="0" w:evenVBand="0" w:oddHBand="1" w:evenHBand="0" w:firstRowFirstColumn="0" w:firstRowLastColumn="0" w:lastRowFirstColumn="0" w:lastRowLastColumn="0"/>
          <w:trHeight w:val="598"/>
        </w:trPr>
        <w:tc>
          <w:tcPr>
            <w:tcW w:w="2414" w:type="dxa"/>
            <w:vMerge w:val="restart"/>
            <w:hideMark/>
          </w:tcPr>
          <w:p w14:paraId="56354924"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Evidence of increased quantity and quality of AMR data</w:t>
            </w:r>
          </w:p>
        </w:tc>
        <w:tc>
          <w:tcPr>
            <w:tcW w:w="0" w:type="auto"/>
            <w:hideMark/>
          </w:tcPr>
          <w:p w14:paraId="5543CAF6" w14:textId="1761F2BE" w:rsidR="009154CD" w:rsidRPr="007F63EF" w:rsidRDefault="009154CD">
            <w:pP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Increased quantity HH with F</w:t>
            </w:r>
            <w:r w:rsidR="00607388" w:rsidRPr="007F63EF">
              <w:rPr>
                <w:rFonts w:asciiTheme="minorHAnsi" w:eastAsia="Times New Roman" w:hAnsiTheme="minorHAnsi" w:cstheme="minorHAnsi"/>
                <w:color w:val="auto"/>
                <w:sz w:val="20"/>
                <w:szCs w:val="20"/>
                <w:lang w:eastAsia="en-GB"/>
              </w:rPr>
              <w:t xml:space="preserve">leming </w:t>
            </w:r>
            <w:r w:rsidRPr="007F63EF">
              <w:rPr>
                <w:rFonts w:asciiTheme="minorHAnsi" w:eastAsia="Times New Roman" w:hAnsiTheme="minorHAnsi" w:cstheme="minorHAnsi"/>
                <w:color w:val="auto"/>
                <w:sz w:val="20"/>
                <w:szCs w:val="20"/>
                <w:lang w:eastAsia="en-GB"/>
              </w:rPr>
              <w:t>F</w:t>
            </w:r>
            <w:r w:rsidR="00607388" w:rsidRPr="007F63EF">
              <w:rPr>
                <w:rFonts w:asciiTheme="minorHAnsi" w:eastAsia="Times New Roman" w:hAnsiTheme="minorHAnsi" w:cstheme="minorHAnsi"/>
                <w:color w:val="auto"/>
                <w:sz w:val="20"/>
                <w:szCs w:val="20"/>
                <w:lang w:eastAsia="en-GB"/>
              </w:rPr>
              <w:t>und</w:t>
            </w:r>
            <w:r w:rsidRPr="007F63EF">
              <w:rPr>
                <w:rFonts w:asciiTheme="minorHAnsi" w:eastAsia="Times New Roman" w:hAnsiTheme="minorHAnsi" w:cstheme="minorHAnsi"/>
                <w:color w:val="auto"/>
                <w:sz w:val="20"/>
                <w:szCs w:val="20"/>
                <w:lang w:eastAsia="en-GB"/>
              </w:rPr>
              <w:t xml:space="preserve"> contribution </w:t>
            </w:r>
          </w:p>
        </w:tc>
        <w:tc>
          <w:tcPr>
            <w:tcW w:w="0" w:type="auto"/>
            <w:shd w:val="clear" w:color="auto" w:fill="3FB84E" w:themeFill="accent3"/>
            <w:hideMark/>
          </w:tcPr>
          <w:p w14:paraId="24CE13E3"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3FB84E" w:themeFill="accent3"/>
            <w:hideMark/>
          </w:tcPr>
          <w:p w14:paraId="10DDC11C"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3FB84E" w:themeFill="accent3"/>
            <w:hideMark/>
          </w:tcPr>
          <w:p w14:paraId="26461A40"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hideMark/>
          </w:tcPr>
          <w:p w14:paraId="6A69E33D"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w:t>
            </w:r>
          </w:p>
        </w:tc>
        <w:tc>
          <w:tcPr>
            <w:tcW w:w="0" w:type="auto"/>
            <w:shd w:val="clear" w:color="auto" w:fill="3FB84E" w:themeFill="accent3"/>
            <w:hideMark/>
          </w:tcPr>
          <w:p w14:paraId="7B3F7AC4"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FFC000"/>
            <w:hideMark/>
          </w:tcPr>
          <w:p w14:paraId="4D55A8B7"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2</w:t>
            </w:r>
          </w:p>
        </w:tc>
        <w:tc>
          <w:tcPr>
            <w:tcW w:w="0" w:type="auto"/>
            <w:shd w:val="clear" w:color="auto" w:fill="3FB84E" w:themeFill="accent3"/>
            <w:hideMark/>
          </w:tcPr>
          <w:p w14:paraId="6A364387"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FFC000"/>
            <w:hideMark/>
          </w:tcPr>
          <w:p w14:paraId="3EC98416"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53DD0500"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6115B600"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18F41883"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675D0C64"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2</w:t>
            </w:r>
          </w:p>
        </w:tc>
        <w:tc>
          <w:tcPr>
            <w:tcW w:w="0" w:type="auto"/>
            <w:shd w:val="clear" w:color="auto" w:fill="FFC000"/>
            <w:hideMark/>
          </w:tcPr>
          <w:p w14:paraId="77B13802"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0000"/>
            <w:hideMark/>
          </w:tcPr>
          <w:p w14:paraId="64BEA334"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1</w:t>
            </w:r>
          </w:p>
        </w:tc>
        <w:tc>
          <w:tcPr>
            <w:tcW w:w="0" w:type="auto"/>
            <w:shd w:val="clear" w:color="auto" w:fill="FF0000"/>
            <w:hideMark/>
          </w:tcPr>
          <w:p w14:paraId="0087F31D"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1</w:t>
            </w:r>
          </w:p>
        </w:tc>
        <w:tc>
          <w:tcPr>
            <w:tcW w:w="631" w:type="dxa"/>
            <w:shd w:val="clear" w:color="auto" w:fill="FFC000"/>
            <w:hideMark/>
          </w:tcPr>
          <w:p w14:paraId="7A863E41"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2</w:t>
            </w:r>
          </w:p>
        </w:tc>
      </w:tr>
      <w:tr w:rsidR="00264CBC" w:rsidRPr="00435404" w14:paraId="5D6B4C0E" w14:textId="77777777" w:rsidTr="00DD3993">
        <w:trPr>
          <w:cnfStyle w:val="000000010000" w:firstRow="0" w:lastRow="0" w:firstColumn="0" w:lastColumn="0" w:oddVBand="0" w:evenVBand="0" w:oddHBand="0" w:evenHBand="1" w:firstRowFirstColumn="0" w:firstRowLastColumn="0" w:lastRowFirstColumn="0" w:lastRowLastColumn="0"/>
          <w:trHeight w:val="609"/>
        </w:trPr>
        <w:tc>
          <w:tcPr>
            <w:tcW w:w="2414" w:type="dxa"/>
            <w:vMerge/>
            <w:hideMark/>
          </w:tcPr>
          <w:p w14:paraId="60A16921" w14:textId="77777777" w:rsidR="009154CD" w:rsidRPr="007F63EF" w:rsidRDefault="009154CD">
            <w:pPr>
              <w:rPr>
                <w:rFonts w:asciiTheme="minorHAnsi" w:eastAsia="Times New Roman" w:hAnsiTheme="minorHAnsi" w:cstheme="minorHAnsi"/>
                <w:color w:val="auto"/>
                <w:sz w:val="20"/>
                <w:szCs w:val="20"/>
                <w:lang w:eastAsia="en-GB"/>
              </w:rPr>
            </w:pPr>
          </w:p>
        </w:tc>
        <w:tc>
          <w:tcPr>
            <w:tcW w:w="0" w:type="auto"/>
            <w:hideMark/>
          </w:tcPr>
          <w:p w14:paraId="2B4AF673" w14:textId="1937A2B3" w:rsidR="009154CD" w:rsidRPr="007F63EF" w:rsidRDefault="009154CD">
            <w:pP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Increased quality HH with</w:t>
            </w:r>
            <w:r w:rsidR="007458AC" w:rsidRPr="007F63EF">
              <w:rPr>
                <w:rFonts w:asciiTheme="minorHAnsi" w:eastAsia="Times New Roman" w:hAnsiTheme="minorHAnsi" w:cstheme="minorHAnsi"/>
                <w:color w:val="auto"/>
                <w:sz w:val="20"/>
                <w:szCs w:val="20"/>
                <w:lang w:eastAsia="en-GB"/>
              </w:rPr>
              <w:t xml:space="preserve"> </w:t>
            </w:r>
            <w:r w:rsidR="00607388" w:rsidRPr="007F63EF">
              <w:rPr>
                <w:rFonts w:asciiTheme="minorHAnsi" w:eastAsia="Times New Roman" w:hAnsiTheme="minorHAnsi" w:cstheme="minorHAnsi"/>
                <w:color w:val="auto"/>
                <w:sz w:val="20"/>
                <w:szCs w:val="20"/>
                <w:lang w:eastAsia="en-GB"/>
              </w:rPr>
              <w:t xml:space="preserve">Fleming Fund </w:t>
            </w:r>
            <w:r w:rsidRPr="007F63EF">
              <w:rPr>
                <w:rFonts w:asciiTheme="minorHAnsi" w:eastAsia="Times New Roman" w:hAnsiTheme="minorHAnsi" w:cstheme="minorHAnsi"/>
                <w:color w:val="auto"/>
                <w:sz w:val="20"/>
                <w:szCs w:val="20"/>
                <w:lang w:eastAsia="en-GB"/>
              </w:rPr>
              <w:t>contribution</w:t>
            </w:r>
          </w:p>
        </w:tc>
        <w:tc>
          <w:tcPr>
            <w:tcW w:w="0" w:type="auto"/>
            <w:shd w:val="clear" w:color="auto" w:fill="3FB84E" w:themeFill="accent3"/>
            <w:hideMark/>
          </w:tcPr>
          <w:p w14:paraId="75DD5CFC"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3FB84E" w:themeFill="accent3"/>
            <w:hideMark/>
          </w:tcPr>
          <w:p w14:paraId="48452D20"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3FB84E" w:themeFill="accent3"/>
            <w:hideMark/>
          </w:tcPr>
          <w:p w14:paraId="20E10EF3"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6</w:t>
            </w:r>
          </w:p>
        </w:tc>
        <w:tc>
          <w:tcPr>
            <w:tcW w:w="0" w:type="auto"/>
            <w:shd w:val="clear" w:color="auto" w:fill="3FB84E" w:themeFill="accent3"/>
            <w:hideMark/>
          </w:tcPr>
          <w:p w14:paraId="75075073"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FFC000"/>
            <w:hideMark/>
          </w:tcPr>
          <w:p w14:paraId="34A63341"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3FB84E" w:themeFill="accent3"/>
            <w:hideMark/>
          </w:tcPr>
          <w:p w14:paraId="6709189B"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FFC000"/>
            <w:hideMark/>
          </w:tcPr>
          <w:p w14:paraId="6301E3E6"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3</w:t>
            </w:r>
          </w:p>
        </w:tc>
        <w:tc>
          <w:tcPr>
            <w:tcW w:w="0" w:type="auto"/>
            <w:shd w:val="clear" w:color="auto" w:fill="FFC000"/>
            <w:hideMark/>
          </w:tcPr>
          <w:p w14:paraId="5A90D67B"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3FB84E" w:themeFill="accent3"/>
            <w:hideMark/>
          </w:tcPr>
          <w:p w14:paraId="0181040E"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6</w:t>
            </w:r>
          </w:p>
        </w:tc>
        <w:tc>
          <w:tcPr>
            <w:tcW w:w="0" w:type="auto"/>
            <w:shd w:val="clear" w:color="auto" w:fill="FFC000"/>
            <w:hideMark/>
          </w:tcPr>
          <w:p w14:paraId="4D85389E"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3</w:t>
            </w:r>
          </w:p>
        </w:tc>
        <w:tc>
          <w:tcPr>
            <w:tcW w:w="0" w:type="auto"/>
            <w:shd w:val="clear" w:color="auto" w:fill="3FB84E" w:themeFill="accent3"/>
            <w:hideMark/>
          </w:tcPr>
          <w:p w14:paraId="0AD9F3B3"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6</w:t>
            </w:r>
          </w:p>
        </w:tc>
        <w:tc>
          <w:tcPr>
            <w:tcW w:w="0" w:type="auto"/>
            <w:shd w:val="clear" w:color="auto" w:fill="3FB84E" w:themeFill="accent3"/>
            <w:hideMark/>
          </w:tcPr>
          <w:p w14:paraId="6666C0FD"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6</w:t>
            </w:r>
          </w:p>
        </w:tc>
        <w:tc>
          <w:tcPr>
            <w:tcW w:w="0" w:type="auto"/>
            <w:shd w:val="clear" w:color="auto" w:fill="FFC000"/>
            <w:hideMark/>
          </w:tcPr>
          <w:p w14:paraId="0F069523"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3</w:t>
            </w:r>
          </w:p>
        </w:tc>
        <w:tc>
          <w:tcPr>
            <w:tcW w:w="0" w:type="auto"/>
            <w:shd w:val="clear" w:color="auto" w:fill="FFC000"/>
            <w:hideMark/>
          </w:tcPr>
          <w:p w14:paraId="0A94106C"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6D46B541"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2</w:t>
            </w:r>
          </w:p>
        </w:tc>
        <w:tc>
          <w:tcPr>
            <w:tcW w:w="631" w:type="dxa"/>
            <w:shd w:val="clear" w:color="auto" w:fill="FF0000"/>
            <w:hideMark/>
          </w:tcPr>
          <w:p w14:paraId="4CA47D64"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1</w:t>
            </w:r>
          </w:p>
        </w:tc>
      </w:tr>
      <w:tr w:rsidR="00264CBC" w:rsidRPr="00435404" w14:paraId="46BFE4BA" w14:textId="77777777" w:rsidTr="00DD3993">
        <w:trPr>
          <w:cnfStyle w:val="000000100000" w:firstRow="0" w:lastRow="0" w:firstColumn="0" w:lastColumn="0" w:oddVBand="0" w:evenVBand="0" w:oddHBand="1" w:evenHBand="0" w:firstRowFirstColumn="0" w:firstRowLastColumn="0" w:lastRowFirstColumn="0" w:lastRowLastColumn="0"/>
          <w:trHeight w:val="610"/>
        </w:trPr>
        <w:tc>
          <w:tcPr>
            <w:tcW w:w="2414" w:type="dxa"/>
            <w:vMerge/>
            <w:hideMark/>
          </w:tcPr>
          <w:p w14:paraId="7851900C" w14:textId="77777777" w:rsidR="009154CD" w:rsidRPr="007F63EF" w:rsidRDefault="009154CD">
            <w:pPr>
              <w:rPr>
                <w:rFonts w:asciiTheme="minorHAnsi" w:eastAsia="Times New Roman" w:hAnsiTheme="minorHAnsi" w:cstheme="minorHAnsi"/>
                <w:color w:val="auto"/>
                <w:sz w:val="20"/>
                <w:szCs w:val="20"/>
                <w:lang w:eastAsia="en-GB"/>
              </w:rPr>
            </w:pPr>
          </w:p>
        </w:tc>
        <w:tc>
          <w:tcPr>
            <w:tcW w:w="0" w:type="auto"/>
            <w:hideMark/>
          </w:tcPr>
          <w:p w14:paraId="6C1009D4" w14:textId="13F882EB" w:rsidR="009154CD" w:rsidRPr="007F63EF" w:rsidRDefault="009154CD">
            <w:pP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xml:space="preserve">Increased quantity AH with </w:t>
            </w:r>
            <w:r w:rsidR="00607388" w:rsidRPr="007F63EF">
              <w:rPr>
                <w:rFonts w:asciiTheme="minorHAnsi" w:eastAsia="Times New Roman" w:hAnsiTheme="minorHAnsi" w:cstheme="minorHAnsi"/>
                <w:color w:val="auto"/>
                <w:sz w:val="20"/>
                <w:szCs w:val="20"/>
                <w:lang w:eastAsia="en-GB"/>
              </w:rPr>
              <w:t>Fleming Fund</w:t>
            </w:r>
            <w:r w:rsidR="007458AC" w:rsidRPr="007F63EF">
              <w:rPr>
                <w:rFonts w:asciiTheme="minorHAnsi" w:eastAsia="Times New Roman" w:hAnsiTheme="minorHAnsi" w:cstheme="minorHAnsi"/>
                <w:color w:val="auto"/>
                <w:sz w:val="20"/>
                <w:szCs w:val="20"/>
                <w:lang w:eastAsia="en-GB"/>
              </w:rPr>
              <w:t xml:space="preserve"> </w:t>
            </w:r>
            <w:r w:rsidRPr="007F63EF">
              <w:rPr>
                <w:rFonts w:asciiTheme="minorHAnsi" w:eastAsia="Times New Roman" w:hAnsiTheme="minorHAnsi" w:cstheme="minorHAnsi"/>
                <w:color w:val="auto"/>
                <w:sz w:val="20"/>
                <w:szCs w:val="20"/>
                <w:lang w:eastAsia="en-GB"/>
              </w:rPr>
              <w:t>contribution</w:t>
            </w:r>
          </w:p>
        </w:tc>
        <w:tc>
          <w:tcPr>
            <w:tcW w:w="0" w:type="auto"/>
            <w:shd w:val="clear" w:color="auto" w:fill="FFC000"/>
            <w:hideMark/>
          </w:tcPr>
          <w:p w14:paraId="3E55F264"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3FB84E" w:themeFill="accent3"/>
            <w:hideMark/>
          </w:tcPr>
          <w:p w14:paraId="0240C138"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3FB84E" w:themeFill="accent3"/>
            <w:hideMark/>
          </w:tcPr>
          <w:p w14:paraId="0941417C"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FFC000"/>
            <w:hideMark/>
          </w:tcPr>
          <w:p w14:paraId="2779F81C"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3</w:t>
            </w:r>
          </w:p>
        </w:tc>
        <w:tc>
          <w:tcPr>
            <w:tcW w:w="0" w:type="auto"/>
            <w:shd w:val="clear" w:color="auto" w:fill="FFC000"/>
            <w:hideMark/>
          </w:tcPr>
          <w:p w14:paraId="0D300E47"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07A0624C"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3</w:t>
            </w:r>
          </w:p>
        </w:tc>
        <w:tc>
          <w:tcPr>
            <w:tcW w:w="0" w:type="auto"/>
            <w:shd w:val="clear" w:color="auto" w:fill="FFC000"/>
            <w:hideMark/>
          </w:tcPr>
          <w:p w14:paraId="2EE7A4B0"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3FB84E" w:themeFill="accent3"/>
            <w:hideMark/>
          </w:tcPr>
          <w:p w14:paraId="07A5B012"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6</w:t>
            </w:r>
          </w:p>
        </w:tc>
        <w:tc>
          <w:tcPr>
            <w:tcW w:w="0" w:type="auto"/>
            <w:shd w:val="clear" w:color="auto" w:fill="FFC000"/>
            <w:hideMark/>
          </w:tcPr>
          <w:p w14:paraId="7A60603D"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3FB84E" w:themeFill="accent3"/>
            <w:hideMark/>
          </w:tcPr>
          <w:p w14:paraId="5E590778"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FFC000"/>
            <w:hideMark/>
          </w:tcPr>
          <w:p w14:paraId="18808035"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14C31D2A"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1C4298AB"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0000"/>
            <w:hideMark/>
          </w:tcPr>
          <w:p w14:paraId="41E7ABBE"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1</w:t>
            </w:r>
          </w:p>
        </w:tc>
        <w:tc>
          <w:tcPr>
            <w:tcW w:w="0" w:type="auto"/>
            <w:shd w:val="clear" w:color="auto" w:fill="3FB84E" w:themeFill="accent3"/>
            <w:hideMark/>
          </w:tcPr>
          <w:p w14:paraId="6FB466C5"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6</w:t>
            </w:r>
          </w:p>
        </w:tc>
        <w:tc>
          <w:tcPr>
            <w:tcW w:w="631" w:type="dxa"/>
            <w:shd w:val="clear" w:color="auto" w:fill="FF0000"/>
            <w:hideMark/>
          </w:tcPr>
          <w:p w14:paraId="76D79018"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1</w:t>
            </w:r>
          </w:p>
        </w:tc>
      </w:tr>
      <w:tr w:rsidR="00264CBC" w:rsidRPr="00435404" w14:paraId="7DE18478" w14:textId="77777777" w:rsidTr="00DD3993">
        <w:trPr>
          <w:cnfStyle w:val="000000010000" w:firstRow="0" w:lastRow="0" w:firstColumn="0" w:lastColumn="0" w:oddVBand="0" w:evenVBand="0" w:oddHBand="0" w:evenHBand="1" w:firstRowFirstColumn="0" w:firstRowLastColumn="0" w:lastRowFirstColumn="0" w:lastRowLastColumn="0"/>
          <w:trHeight w:val="607"/>
        </w:trPr>
        <w:tc>
          <w:tcPr>
            <w:tcW w:w="2414" w:type="dxa"/>
            <w:vMerge/>
            <w:hideMark/>
          </w:tcPr>
          <w:p w14:paraId="4AB67EB9" w14:textId="77777777" w:rsidR="009154CD" w:rsidRPr="007F63EF" w:rsidRDefault="009154CD">
            <w:pPr>
              <w:rPr>
                <w:rFonts w:asciiTheme="minorHAnsi" w:eastAsia="Times New Roman" w:hAnsiTheme="minorHAnsi" w:cstheme="minorHAnsi"/>
                <w:color w:val="auto"/>
                <w:sz w:val="20"/>
                <w:szCs w:val="20"/>
                <w:lang w:eastAsia="en-GB"/>
              </w:rPr>
            </w:pPr>
          </w:p>
        </w:tc>
        <w:tc>
          <w:tcPr>
            <w:tcW w:w="0" w:type="auto"/>
            <w:hideMark/>
          </w:tcPr>
          <w:p w14:paraId="5628602A" w14:textId="3C4CABCC" w:rsidR="009154CD" w:rsidRPr="007F63EF" w:rsidRDefault="009154CD">
            <w:pP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Increased quality AH with</w:t>
            </w:r>
            <w:r w:rsidR="00607388" w:rsidRPr="007F63EF">
              <w:rPr>
                <w:rFonts w:asciiTheme="minorHAnsi" w:eastAsia="Times New Roman" w:hAnsiTheme="minorHAnsi" w:cstheme="minorHAnsi"/>
                <w:color w:val="auto"/>
                <w:sz w:val="20"/>
                <w:szCs w:val="20"/>
                <w:lang w:eastAsia="en-GB"/>
              </w:rPr>
              <w:t xml:space="preserve"> Fleming Fund</w:t>
            </w:r>
            <w:r w:rsidR="007458AC" w:rsidRPr="007F63EF">
              <w:rPr>
                <w:rFonts w:asciiTheme="minorHAnsi" w:eastAsia="Times New Roman" w:hAnsiTheme="minorHAnsi" w:cstheme="minorHAnsi"/>
                <w:color w:val="auto"/>
                <w:sz w:val="20"/>
                <w:szCs w:val="20"/>
                <w:lang w:eastAsia="en-GB"/>
              </w:rPr>
              <w:t xml:space="preserve"> </w:t>
            </w:r>
            <w:r w:rsidRPr="007F63EF">
              <w:rPr>
                <w:rFonts w:asciiTheme="minorHAnsi" w:eastAsia="Times New Roman" w:hAnsiTheme="minorHAnsi" w:cstheme="minorHAnsi"/>
                <w:color w:val="auto"/>
                <w:sz w:val="20"/>
                <w:szCs w:val="20"/>
                <w:lang w:eastAsia="en-GB"/>
              </w:rPr>
              <w:t>contribution</w:t>
            </w:r>
          </w:p>
        </w:tc>
        <w:tc>
          <w:tcPr>
            <w:tcW w:w="0" w:type="auto"/>
            <w:shd w:val="clear" w:color="auto" w:fill="3FB84E" w:themeFill="accent3"/>
            <w:hideMark/>
          </w:tcPr>
          <w:p w14:paraId="65FE06BE"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3FB84E" w:themeFill="accent3"/>
            <w:hideMark/>
          </w:tcPr>
          <w:p w14:paraId="5D559EE8"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FFC000"/>
            <w:hideMark/>
          </w:tcPr>
          <w:p w14:paraId="38BE1C19"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3FB84E" w:themeFill="accent3"/>
            <w:hideMark/>
          </w:tcPr>
          <w:p w14:paraId="7048C18C"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3FB84E" w:themeFill="accent3"/>
            <w:hideMark/>
          </w:tcPr>
          <w:p w14:paraId="3236093A"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6</w:t>
            </w:r>
          </w:p>
        </w:tc>
        <w:tc>
          <w:tcPr>
            <w:tcW w:w="0" w:type="auto"/>
            <w:shd w:val="clear" w:color="auto" w:fill="3FB84E" w:themeFill="accent3"/>
            <w:hideMark/>
          </w:tcPr>
          <w:p w14:paraId="5E0CC92A"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FFC000"/>
            <w:hideMark/>
          </w:tcPr>
          <w:p w14:paraId="2B8E3AF5"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3</w:t>
            </w:r>
          </w:p>
        </w:tc>
        <w:tc>
          <w:tcPr>
            <w:tcW w:w="0" w:type="auto"/>
            <w:shd w:val="clear" w:color="auto" w:fill="3FB84E" w:themeFill="accent3"/>
            <w:hideMark/>
          </w:tcPr>
          <w:p w14:paraId="0A7895A9"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6</w:t>
            </w:r>
          </w:p>
        </w:tc>
        <w:tc>
          <w:tcPr>
            <w:tcW w:w="0" w:type="auto"/>
            <w:shd w:val="clear" w:color="auto" w:fill="FFC000"/>
            <w:hideMark/>
          </w:tcPr>
          <w:p w14:paraId="4F1220E7"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3</w:t>
            </w:r>
          </w:p>
        </w:tc>
        <w:tc>
          <w:tcPr>
            <w:tcW w:w="0" w:type="auto"/>
            <w:shd w:val="clear" w:color="auto" w:fill="FFC000"/>
            <w:hideMark/>
          </w:tcPr>
          <w:p w14:paraId="058513B7"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2</w:t>
            </w:r>
          </w:p>
        </w:tc>
        <w:tc>
          <w:tcPr>
            <w:tcW w:w="0" w:type="auto"/>
            <w:shd w:val="clear" w:color="auto" w:fill="FFC000"/>
            <w:hideMark/>
          </w:tcPr>
          <w:p w14:paraId="5D520621"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2EC2181A"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2</w:t>
            </w:r>
          </w:p>
        </w:tc>
        <w:tc>
          <w:tcPr>
            <w:tcW w:w="0" w:type="auto"/>
            <w:shd w:val="clear" w:color="auto" w:fill="FF0000"/>
            <w:hideMark/>
          </w:tcPr>
          <w:p w14:paraId="67235770"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0</w:t>
            </w:r>
          </w:p>
        </w:tc>
        <w:tc>
          <w:tcPr>
            <w:tcW w:w="0" w:type="auto"/>
            <w:shd w:val="clear" w:color="auto" w:fill="FFC000"/>
            <w:hideMark/>
          </w:tcPr>
          <w:p w14:paraId="51DE5427"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0000"/>
            <w:hideMark/>
          </w:tcPr>
          <w:p w14:paraId="594F4EA8"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1</w:t>
            </w:r>
          </w:p>
        </w:tc>
        <w:tc>
          <w:tcPr>
            <w:tcW w:w="631" w:type="dxa"/>
            <w:shd w:val="clear" w:color="auto" w:fill="FF0000"/>
            <w:hideMark/>
          </w:tcPr>
          <w:p w14:paraId="528971D9"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0</w:t>
            </w:r>
          </w:p>
        </w:tc>
      </w:tr>
      <w:tr w:rsidR="00264CBC" w:rsidRPr="00435404" w14:paraId="63800ACA" w14:textId="77777777" w:rsidTr="00DD3993">
        <w:trPr>
          <w:cnfStyle w:val="000000100000" w:firstRow="0" w:lastRow="0" w:firstColumn="0" w:lastColumn="0" w:oddVBand="0" w:evenVBand="0" w:oddHBand="1" w:evenHBand="0" w:firstRowFirstColumn="0" w:firstRowLastColumn="0" w:lastRowFirstColumn="0" w:lastRowLastColumn="0"/>
          <w:trHeight w:val="519"/>
        </w:trPr>
        <w:tc>
          <w:tcPr>
            <w:tcW w:w="2414" w:type="dxa"/>
            <w:vMerge w:val="restart"/>
            <w:hideMark/>
          </w:tcPr>
          <w:p w14:paraId="4FA3EC59"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Evidence of data use/ in GLASS</w:t>
            </w:r>
          </w:p>
        </w:tc>
        <w:tc>
          <w:tcPr>
            <w:tcW w:w="0" w:type="auto"/>
            <w:hideMark/>
          </w:tcPr>
          <w:p w14:paraId="5EAEFCCE" w14:textId="0493D0EA" w:rsidR="009154CD" w:rsidRPr="007F63EF" w:rsidRDefault="009154CD">
            <w:pP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HH AMR data to GLASS advanced with</w:t>
            </w:r>
            <w:r w:rsidR="007458AC" w:rsidRPr="007F63EF">
              <w:rPr>
                <w:rFonts w:asciiTheme="minorHAnsi" w:eastAsia="Times New Roman" w:hAnsiTheme="minorHAnsi" w:cstheme="minorHAnsi"/>
                <w:color w:val="auto"/>
                <w:sz w:val="20"/>
                <w:szCs w:val="20"/>
                <w:lang w:eastAsia="en-GB"/>
              </w:rPr>
              <w:t xml:space="preserve"> </w:t>
            </w:r>
            <w:r w:rsidR="00607388" w:rsidRPr="007F63EF">
              <w:rPr>
                <w:rFonts w:asciiTheme="minorHAnsi" w:eastAsia="Times New Roman" w:hAnsiTheme="minorHAnsi" w:cstheme="minorHAnsi"/>
                <w:color w:val="auto"/>
                <w:sz w:val="20"/>
                <w:szCs w:val="20"/>
                <w:lang w:eastAsia="en-GB"/>
              </w:rPr>
              <w:t>Fleming Fund</w:t>
            </w:r>
            <w:r w:rsidR="007458AC" w:rsidRPr="007F63EF">
              <w:rPr>
                <w:rFonts w:asciiTheme="minorHAnsi" w:eastAsia="Times New Roman" w:hAnsiTheme="minorHAnsi" w:cstheme="minorHAnsi"/>
                <w:color w:val="auto"/>
                <w:sz w:val="20"/>
                <w:szCs w:val="20"/>
                <w:lang w:eastAsia="en-GB"/>
              </w:rPr>
              <w:t xml:space="preserve"> </w:t>
            </w:r>
            <w:r w:rsidRPr="007F63EF">
              <w:rPr>
                <w:rFonts w:asciiTheme="minorHAnsi" w:eastAsia="Times New Roman" w:hAnsiTheme="minorHAnsi" w:cstheme="minorHAnsi"/>
                <w:color w:val="auto"/>
                <w:sz w:val="20"/>
                <w:szCs w:val="20"/>
                <w:lang w:eastAsia="en-GB"/>
              </w:rPr>
              <w:t>contribution</w:t>
            </w:r>
          </w:p>
        </w:tc>
        <w:tc>
          <w:tcPr>
            <w:tcW w:w="0" w:type="auto"/>
            <w:shd w:val="clear" w:color="auto" w:fill="3FB84E" w:themeFill="accent3"/>
            <w:hideMark/>
          </w:tcPr>
          <w:p w14:paraId="7A2548F1"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FFC000"/>
            <w:hideMark/>
          </w:tcPr>
          <w:p w14:paraId="036C4B27"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3</w:t>
            </w:r>
          </w:p>
        </w:tc>
        <w:tc>
          <w:tcPr>
            <w:tcW w:w="0" w:type="auto"/>
            <w:shd w:val="clear" w:color="auto" w:fill="3FB84E" w:themeFill="accent3"/>
            <w:hideMark/>
          </w:tcPr>
          <w:p w14:paraId="6C8BC58C"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3FB84E" w:themeFill="accent3"/>
            <w:hideMark/>
          </w:tcPr>
          <w:p w14:paraId="49267668"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FFC000"/>
            <w:hideMark/>
          </w:tcPr>
          <w:p w14:paraId="63995902"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0CF88AC8"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35F0C118"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3</w:t>
            </w:r>
          </w:p>
        </w:tc>
        <w:tc>
          <w:tcPr>
            <w:tcW w:w="0" w:type="auto"/>
            <w:shd w:val="clear" w:color="auto" w:fill="FF0000"/>
            <w:hideMark/>
          </w:tcPr>
          <w:p w14:paraId="702C9686"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0</w:t>
            </w:r>
          </w:p>
        </w:tc>
        <w:tc>
          <w:tcPr>
            <w:tcW w:w="0" w:type="auto"/>
            <w:shd w:val="clear" w:color="auto" w:fill="FFC000"/>
            <w:hideMark/>
          </w:tcPr>
          <w:p w14:paraId="79978697"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45134F0F"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3</w:t>
            </w:r>
          </w:p>
        </w:tc>
        <w:tc>
          <w:tcPr>
            <w:tcW w:w="0" w:type="auto"/>
            <w:shd w:val="clear" w:color="auto" w:fill="FF0000"/>
            <w:hideMark/>
          </w:tcPr>
          <w:p w14:paraId="10CCC433"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1</w:t>
            </w:r>
          </w:p>
        </w:tc>
        <w:tc>
          <w:tcPr>
            <w:tcW w:w="0" w:type="auto"/>
            <w:shd w:val="clear" w:color="auto" w:fill="FF0000"/>
            <w:hideMark/>
          </w:tcPr>
          <w:p w14:paraId="1A8F9286"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0</w:t>
            </w:r>
          </w:p>
        </w:tc>
        <w:tc>
          <w:tcPr>
            <w:tcW w:w="0" w:type="auto"/>
            <w:shd w:val="clear" w:color="auto" w:fill="FFC000"/>
            <w:hideMark/>
          </w:tcPr>
          <w:p w14:paraId="10F4E8C9"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1E933326"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2</w:t>
            </w:r>
          </w:p>
        </w:tc>
        <w:tc>
          <w:tcPr>
            <w:tcW w:w="0" w:type="auto"/>
            <w:shd w:val="clear" w:color="auto" w:fill="FF0000"/>
            <w:hideMark/>
          </w:tcPr>
          <w:p w14:paraId="101E0143"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1</w:t>
            </w:r>
          </w:p>
        </w:tc>
        <w:tc>
          <w:tcPr>
            <w:tcW w:w="631" w:type="dxa"/>
            <w:shd w:val="clear" w:color="auto" w:fill="FF0000"/>
            <w:hideMark/>
          </w:tcPr>
          <w:p w14:paraId="6A23339D"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1</w:t>
            </w:r>
          </w:p>
        </w:tc>
      </w:tr>
      <w:tr w:rsidR="00264CBC" w:rsidRPr="00435404" w14:paraId="78AB9867" w14:textId="77777777" w:rsidTr="00DD3993">
        <w:trPr>
          <w:cnfStyle w:val="000000010000" w:firstRow="0" w:lastRow="0" w:firstColumn="0" w:lastColumn="0" w:oddVBand="0" w:evenVBand="0" w:oddHBand="0" w:evenHBand="1" w:firstRowFirstColumn="0" w:firstRowLastColumn="0" w:lastRowFirstColumn="0" w:lastRowLastColumn="0"/>
          <w:trHeight w:val="518"/>
        </w:trPr>
        <w:tc>
          <w:tcPr>
            <w:tcW w:w="2414" w:type="dxa"/>
            <w:vMerge/>
            <w:hideMark/>
          </w:tcPr>
          <w:p w14:paraId="422AD1C8" w14:textId="77777777" w:rsidR="009154CD" w:rsidRPr="007F63EF" w:rsidRDefault="009154CD">
            <w:pPr>
              <w:rPr>
                <w:rFonts w:asciiTheme="minorHAnsi" w:eastAsia="Times New Roman" w:hAnsiTheme="minorHAnsi" w:cstheme="minorHAnsi"/>
                <w:color w:val="auto"/>
                <w:sz w:val="20"/>
                <w:szCs w:val="20"/>
                <w:lang w:eastAsia="en-GB"/>
              </w:rPr>
            </w:pPr>
          </w:p>
        </w:tc>
        <w:tc>
          <w:tcPr>
            <w:tcW w:w="0" w:type="auto"/>
            <w:hideMark/>
          </w:tcPr>
          <w:p w14:paraId="7FBEBCCB" w14:textId="4BF9987A" w:rsidR="009154CD" w:rsidRPr="007F63EF" w:rsidRDefault="009154CD">
            <w:pP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 xml:space="preserve">AMU data sharing with </w:t>
            </w:r>
            <w:r w:rsidR="00121E83" w:rsidRPr="007F63EF">
              <w:rPr>
                <w:rFonts w:asciiTheme="minorHAnsi" w:eastAsia="Times New Roman" w:hAnsiTheme="minorHAnsi" w:cstheme="minorHAnsi"/>
                <w:color w:val="auto"/>
                <w:sz w:val="20"/>
                <w:szCs w:val="20"/>
                <w:lang w:eastAsia="en-GB"/>
              </w:rPr>
              <w:t>WOAH</w:t>
            </w:r>
            <w:r w:rsidR="007458AC" w:rsidRPr="007F63EF">
              <w:rPr>
                <w:rFonts w:asciiTheme="minorHAnsi" w:eastAsia="Times New Roman" w:hAnsiTheme="minorHAnsi" w:cstheme="minorHAnsi"/>
                <w:color w:val="auto"/>
                <w:sz w:val="20"/>
                <w:szCs w:val="20"/>
                <w:lang w:eastAsia="en-GB"/>
              </w:rPr>
              <w:t xml:space="preserve"> </w:t>
            </w:r>
            <w:r w:rsidRPr="007F63EF">
              <w:rPr>
                <w:rFonts w:asciiTheme="minorHAnsi" w:eastAsia="Times New Roman" w:hAnsiTheme="minorHAnsi" w:cstheme="minorHAnsi"/>
                <w:color w:val="auto"/>
                <w:sz w:val="20"/>
                <w:szCs w:val="20"/>
                <w:lang w:eastAsia="en-GB"/>
              </w:rPr>
              <w:t>advanced with</w:t>
            </w:r>
            <w:r w:rsidR="007458AC" w:rsidRPr="007F63EF">
              <w:rPr>
                <w:rFonts w:asciiTheme="minorHAnsi" w:eastAsia="Times New Roman" w:hAnsiTheme="minorHAnsi" w:cstheme="minorHAnsi"/>
                <w:color w:val="auto"/>
                <w:sz w:val="20"/>
                <w:szCs w:val="20"/>
                <w:lang w:eastAsia="en-GB"/>
              </w:rPr>
              <w:t xml:space="preserve"> </w:t>
            </w:r>
            <w:r w:rsidR="00607388" w:rsidRPr="007F63EF">
              <w:rPr>
                <w:rFonts w:asciiTheme="minorHAnsi" w:eastAsia="Times New Roman" w:hAnsiTheme="minorHAnsi" w:cstheme="minorHAnsi"/>
                <w:color w:val="auto"/>
                <w:sz w:val="20"/>
                <w:szCs w:val="20"/>
                <w:lang w:eastAsia="en-GB"/>
              </w:rPr>
              <w:t>Fleming Fund</w:t>
            </w:r>
            <w:r w:rsidR="007458AC" w:rsidRPr="007F63EF">
              <w:rPr>
                <w:rFonts w:asciiTheme="minorHAnsi" w:eastAsia="Times New Roman" w:hAnsiTheme="minorHAnsi" w:cstheme="minorHAnsi"/>
                <w:color w:val="auto"/>
                <w:sz w:val="20"/>
                <w:szCs w:val="20"/>
                <w:lang w:eastAsia="en-GB"/>
              </w:rPr>
              <w:t xml:space="preserve"> </w:t>
            </w:r>
            <w:r w:rsidRPr="007F63EF">
              <w:rPr>
                <w:rFonts w:asciiTheme="minorHAnsi" w:eastAsia="Times New Roman" w:hAnsiTheme="minorHAnsi" w:cstheme="minorHAnsi"/>
                <w:color w:val="auto"/>
                <w:sz w:val="20"/>
                <w:szCs w:val="20"/>
                <w:lang w:eastAsia="en-GB"/>
              </w:rPr>
              <w:t>contribution</w:t>
            </w:r>
          </w:p>
        </w:tc>
        <w:tc>
          <w:tcPr>
            <w:tcW w:w="0" w:type="auto"/>
            <w:shd w:val="clear" w:color="auto" w:fill="3FB84E" w:themeFill="accent3"/>
            <w:hideMark/>
          </w:tcPr>
          <w:p w14:paraId="535DC177"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3FB84E" w:themeFill="accent3"/>
            <w:hideMark/>
          </w:tcPr>
          <w:p w14:paraId="4ED3C6AD"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8</w:t>
            </w:r>
          </w:p>
        </w:tc>
        <w:tc>
          <w:tcPr>
            <w:tcW w:w="0" w:type="auto"/>
            <w:shd w:val="clear" w:color="auto" w:fill="FFC000"/>
            <w:hideMark/>
          </w:tcPr>
          <w:p w14:paraId="2D79A986"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3FB84E" w:themeFill="accent3"/>
            <w:hideMark/>
          </w:tcPr>
          <w:p w14:paraId="2F6948E1"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6</w:t>
            </w:r>
          </w:p>
        </w:tc>
        <w:tc>
          <w:tcPr>
            <w:tcW w:w="0" w:type="auto"/>
            <w:shd w:val="clear" w:color="auto" w:fill="FFC000"/>
            <w:hideMark/>
          </w:tcPr>
          <w:p w14:paraId="751DB959"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3</w:t>
            </w:r>
          </w:p>
        </w:tc>
        <w:tc>
          <w:tcPr>
            <w:tcW w:w="0" w:type="auto"/>
            <w:shd w:val="clear" w:color="auto" w:fill="FF0000"/>
            <w:hideMark/>
          </w:tcPr>
          <w:p w14:paraId="105C94D4"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0</w:t>
            </w:r>
          </w:p>
        </w:tc>
        <w:tc>
          <w:tcPr>
            <w:tcW w:w="0" w:type="auto"/>
            <w:shd w:val="clear" w:color="auto" w:fill="FFC000"/>
            <w:hideMark/>
          </w:tcPr>
          <w:p w14:paraId="4AC6487B"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33D76AC1"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4</w:t>
            </w:r>
          </w:p>
        </w:tc>
        <w:tc>
          <w:tcPr>
            <w:tcW w:w="0" w:type="auto"/>
            <w:shd w:val="clear" w:color="auto" w:fill="FFC000"/>
            <w:hideMark/>
          </w:tcPr>
          <w:p w14:paraId="6A27404F"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2</w:t>
            </w:r>
          </w:p>
        </w:tc>
        <w:tc>
          <w:tcPr>
            <w:tcW w:w="0" w:type="auto"/>
            <w:shd w:val="clear" w:color="auto" w:fill="FFC000"/>
            <w:hideMark/>
          </w:tcPr>
          <w:p w14:paraId="7EDAFA80"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2</w:t>
            </w:r>
          </w:p>
        </w:tc>
        <w:tc>
          <w:tcPr>
            <w:tcW w:w="0" w:type="auto"/>
            <w:shd w:val="clear" w:color="auto" w:fill="FFC000"/>
            <w:hideMark/>
          </w:tcPr>
          <w:p w14:paraId="31C8FE9B"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2</w:t>
            </w:r>
          </w:p>
        </w:tc>
        <w:tc>
          <w:tcPr>
            <w:tcW w:w="0" w:type="auto"/>
            <w:shd w:val="clear" w:color="auto" w:fill="FFC000"/>
            <w:hideMark/>
          </w:tcPr>
          <w:p w14:paraId="06DC4EC3"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2</w:t>
            </w:r>
          </w:p>
        </w:tc>
        <w:tc>
          <w:tcPr>
            <w:tcW w:w="0" w:type="auto"/>
            <w:shd w:val="clear" w:color="auto" w:fill="FF0000"/>
            <w:hideMark/>
          </w:tcPr>
          <w:p w14:paraId="4CC64922"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0</w:t>
            </w:r>
          </w:p>
        </w:tc>
        <w:tc>
          <w:tcPr>
            <w:tcW w:w="0" w:type="auto"/>
            <w:shd w:val="clear" w:color="auto" w:fill="FF0000"/>
            <w:hideMark/>
          </w:tcPr>
          <w:p w14:paraId="6DF08354"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1</w:t>
            </w:r>
          </w:p>
        </w:tc>
        <w:tc>
          <w:tcPr>
            <w:tcW w:w="0" w:type="auto"/>
            <w:shd w:val="clear" w:color="auto" w:fill="FF0000"/>
            <w:hideMark/>
          </w:tcPr>
          <w:p w14:paraId="3EEB0F86" w14:textId="77777777" w:rsidR="009154CD" w:rsidRPr="007F63EF" w:rsidRDefault="009154CD">
            <w:pPr>
              <w:jc w:val="center"/>
              <w:rPr>
                <w:rFonts w:asciiTheme="minorHAnsi" w:eastAsia="Times New Roman" w:hAnsiTheme="minorHAnsi" w:cstheme="minorHAnsi"/>
                <w:color w:val="auto"/>
                <w:sz w:val="20"/>
                <w:szCs w:val="20"/>
                <w:lang w:eastAsia="en-GB"/>
              </w:rPr>
            </w:pPr>
            <w:r w:rsidRPr="00435404">
              <w:rPr>
                <w:rFonts w:asciiTheme="minorHAnsi" w:eastAsia="Times New Roman" w:hAnsiTheme="minorHAnsi" w:cstheme="minorHAnsi"/>
                <w:sz w:val="20"/>
                <w:szCs w:val="20"/>
                <w:lang w:eastAsia="en-GB"/>
              </w:rPr>
              <w:t>0</w:t>
            </w:r>
          </w:p>
        </w:tc>
        <w:tc>
          <w:tcPr>
            <w:tcW w:w="631" w:type="dxa"/>
            <w:shd w:val="clear" w:color="auto" w:fill="FFC000"/>
            <w:hideMark/>
          </w:tcPr>
          <w:p w14:paraId="5ABF51A2" w14:textId="77777777" w:rsidR="009154CD" w:rsidRPr="007F63EF" w:rsidRDefault="009154CD">
            <w:pPr>
              <w:jc w:val="center"/>
              <w:rPr>
                <w:rFonts w:asciiTheme="minorHAnsi" w:eastAsia="Times New Roman" w:hAnsiTheme="minorHAnsi" w:cstheme="minorHAnsi"/>
                <w:color w:val="auto"/>
                <w:sz w:val="20"/>
                <w:szCs w:val="20"/>
                <w:lang w:eastAsia="en-GB"/>
              </w:rPr>
            </w:pPr>
            <w:r w:rsidRPr="007F63EF">
              <w:rPr>
                <w:rFonts w:asciiTheme="minorHAnsi" w:eastAsia="Times New Roman" w:hAnsiTheme="minorHAnsi" w:cstheme="minorHAnsi"/>
                <w:color w:val="auto"/>
                <w:sz w:val="20"/>
                <w:szCs w:val="20"/>
                <w:lang w:eastAsia="en-GB"/>
              </w:rPr>
              <w:t>2</w:t>
            </w:r>
          </w:p>
        </w:tc>
      </w:tr>
    </w:tbl>
    <w:p w14:paraId="0D2A7385" w14:textId="7FEB421F" w:rsidR="000A1398" w:rsidRDefault="00C04409" w:rsidP="00C04C3C">
      <w:pPr>
        <w:pStyle w:val="ItadCaption"/>
      </w:pPr>
      <w:bookmarkStart w:id="145" w:name="_Toc143857891"/>
      <w:r>
        <w:t xml:space="preserve">Table </w:t>
      </w:r>
      <w:r>
        <w:fldChar w:fldCharType="begin"/>
      </w:r>
      <w:r>
        <w:instrText>SEQ Table \* ARABIC</w:instrText>
      </w:r>
      <w:r>
        <w:fldChar w:fldCharType="separate"/>
      </w:r>
      <w:r w:rsidR="009A383C">
        <w:rPr>
          <w:noProof/>
        </w:rPr>
        <w:t>23</w:t>
      </w:r>
      <w:r>
        <w:fldChar w:fldCharType="end"/>
      </w:r>
      <w:r>
        <w:t xml:space="preserve"> </w:t>
      </w:r>
      <w:r w:rsidRPr="00270A92">
        <w:t>Country grant rating based on the change from baseline and contribution analysis rubric scoring matrix</w:t>
      </w:r>
      <w:bookmarkEnd w:id="145"/>
    </w:p>
    <w:p w14:paraId="459E551A" w14:textId="75CD555E" w:rsidR="003F67C3" w:rsidRDefault="003F67C3" w:rsidP="00C04C3C">
      <w:pPr>
        <w:pStyle w:val="ItadCaption"/>
      </w:pPr>
    </w:p>
    <w:tbl>
      <w:tblPr>
        <w:tblStyle w:val="ItadGreenHeaderRow"/>
        <w:tblW w:w="6651" w:type="dxa"/>
        <w:tblLook w:val="04A0" w:firstRow="1" w:lastRow="0" w:firstColumn="1" w:lastColumn="0" w:noHBand="0" w:noVBand="1"/>
      </w:tblPr>
      <w:tblGrid>
        <w:gridCol w:w="2294"/>
        <w:gridCol w:w="1449"/>
        <w:gridCol w:w="1157"/>
        <w:gridCol w:w="1006"/>
        <w:gridCol w:w="745"/>
      </w:tblGrid>
      <w:tr w:rsidR="004146FA" w:rsidRPr="003F67C3" w14:paraId="5EFBAB75" w14:textId="77777777" w:rsidTr="003F67C3">
        <w:trPr>
          <w:cnfStyle w:val="100000000000" w:firstRow="1" w:lastRow="0" w:firstColumn="0" w:lastColumn="0" w:oddVBand="0" w:evenVBand="0" w:oddHBand="0" w:evenHBand="0" w:firstRowFirstColumn="0" w:firstRowLastColumn="0" w:lastRowFirstColumn="0" w:lastRowLastColumn="0"/>
          <w:trHeight w:val="216"/>
        </w:trPr>
        <w:tc>
          <w:tcPr>
            <w:tcW w:w="0" w:type="auto"/>
            <w:hideMark/>
          </w:tcPr>
          <w:p w14:paraId="3C4AA376" w14:textId="77777777" w:rsidR="004146FA" w:rsidRPr="004146FA" w:rsidRDefault="004146FA" w:rsidP="004146FA">
            <w:pPr>
              <w:rPr>
                <w:rFonts w:ascii="Times New Roman" w:eastAsia="Times New Roman" w:hAnsi="Times New Roman" w:cs="Times New Roman"/>
                <w:sz w:val="20"/>
                <w:szCs w:val="20"/>
                <w:lang w:eastAsia="en-GB"/>
              </w:rPr>
            </w:pPr>
          </w:p>
        </w:tc>
        <w:tc>
          <w:tcPr>
            <w:tcW w:w="0" w:type="auto"/>
            <w:hideMark/>
          </w:tcPr>
          <w:p w14:paraId="166DA9FB" w14:textId="77777777" w:rsidR="004146FA" w:rsidRPr="004146FA" w:rsidRDefault="004146FA" w:rsidP="004146FA">
            <w:pPr>
              <w:jc w:val="right"/>
              <w:rPr>
                <w:rFonts w:eastAsia="Times New Roman" w:cs="Calibri"/>
                <w:b/>
                <w:bCs/>
                <w:color w:val="000000"/>
                <w:sz w:val="20"/>
                <w:szCs w:val="20"/>
                <w:lang w:eastAsia="en-GB"/>
              </w:rPr>
            </w:pPr>
            <w:r w:rsidRPr="004146FA">
              <w:rPr>
                <w:rFonts w:eastAsia="Times New Roman" w:cs="Calibri"/>
                <w:b/>
                <w:bCs/>
                <w:color w:val="000000"/>
                <w:sz w:val="20"/>
                <w:szCs w:val="20"/>
                <w:lang w:eastAsia="en-GB"/>
              </w:rPr>
              <w:t>Contribution</w:t>
            </w:r>
          </w:p>
        </w:tc>
        <w:tc>
          <w:tcPr>
            <w:tcW w:w="0" w:type="auto"/>
            <w:hideMark/>
          </w:tcPr>
          <w:p w14:paraId="081EB9EF" w14:textId="77777777" w:rsidR="004146FA" w:rsidRPr="004146FA" w:rsidRDefault="004146FA" w:rsidP="004146FA">
            <w:pPr>
              <w:rPr>
                <w:rFonts w:eastAsia="Times New Roman" w:cs="Calibri"/>
                <w:color w:val="000000"/>
                <w:sz w:val="20"/>
                <w:szCs w:val="20"/>
                <w:lang w:eastAsia="en-GB"/>
              </w:rPr>
            </w:pPr>
            <w:r w:rsidRPr="004146FA">
              <w:rPr>
                <w:rFonts w:eastAsia="Times New Roman" w:cs="Calibri"/>
                <w:color w:val="000000"/>
                <w:sz w:val="20"/>
                <w:szCs w:val="20"/>
                <w:lang w:eastAsia="en-GB"/>
              </w:rPr>
              <w:t>3 or more</w:t>
            </w:r>
          </w:p>
        </w:tc>
        <w:tc>
          <w:tcPr>
            <w:tcW w:w="0" w:type="auto"/>
            <w:hideMark/>
          </w:tcPr>
          <w:p w14:paraId="1DCFBEB2" w14:textId="77777777" w:rsidR="004146FA" w:rsidRPr="004146FA" w:rsidRDefault="004146FA" w:rsidP="004146FA">
            <w:pPr>
              <w:rPr>
                <w:rFonts w:eastAsia="Times New Roman" w:cs="Calibri"/>
                <w:color w:val="000000"/>
                <w:sz w:val="20"/>
                <w:szCs w:val="20"/>
                <w:lang w:eastAsia="en-GB"/>
              </w:rPr>
            </w:pPr>
            <w:r w:rsidRPr="004146FA">
              <w:rPr>
                <w:rFonts w:eastAsia="Times New Roman" w:cs="Calibri"/>
                <w:color w:val="000000"/>
                <w:sz w:val="20"/>
                <w:szCs w:val="20"/>
                <w:lang w:eastAsia="en-GB"/>
              </w:rPr>
              <w:t>2 or less</w:t>
            </w:r>
          </w:p>
        </w:tc>
        <w:tc>
          <w:tcPr>
            <w:tcW w:w="0" w:type="auto"/>
            <w:hideMark/>
          </w:tcPr>
          <w:p w14:paraId="45D38755" w14:textId="77777777" w:rsidR="004146FA" w:rsidRPr="004146FA" w:rsidRDefault="004146FA" w:rsidP="004146FA">
            <w:pPr>
              <w:rPr>
                <w:rFonts w:eastAsia="Times New Roman" w:cs="Calibri"/>
                <w:color w:val="000000"/>
                <w:sz w:val="20"/>
                <w:szCs w:val="20"/>
                <w:lang w:eastAsia="en-GB"/>
              </w:rPr>
            </w:pPr>
            <w:r w:rsidRPr="004146FA">
              <w:rPr>
                <w:rFonts w:eastAsia="Times New Roman" w:cs="Calibri"/>
                <w:color w:val="000000"/>
                <w:sz w:val="20"/>
                <w:szCs w:val="20"/>
                <w:lang w:eastAsia="en-GB"/>
              </w:rPr>
              <w:t>None</w:t>
            </w:r>
          </w:p>
        </w:tc>
      </w:tr>
      <w:tr w:rsidR="004146FA" w:rsidRPr="003F67C3" w14:paraId="7C7FA162" w14:textId="77777777" w:rsidTr="003F67C3">
        <w:trPr>
          <w:cnfStyle w:val="000000100000" w:firstRow="0" w:lastRow="0" w:firstColumn="0" w:lastColumn="0" w:oddVBand="0" w:evenVBand="0" w:oddHBand="1" w:evenHBand="0" w:firstRowFirstColumn="0" w:firstRowLastColumn="0" w:lastRowFirstColumn="0" w:lastRowLastColumn="0"/>
          <w:trHeight w:val="216"/>
        </w:trPr>
        <w:tc>
          <w:tcPr>
            <w:tcW w:w="0" w:type="auto"/>
            <w:hideMark/>
          </w:tcPr>
          <w:p w14:paraId="77ED90B3" w14:textId="77777777" w:rsidR="004146FA" w:rsidRPr="004146FA" w:rsidRDefault="004146FA" w:rsidP="004146FA">
            <w:pPr>
              <w:rPr>
                <w:rFonts w:eastAsia="Times New Roman" w:cs="Calibri"/>
                <w:b/>
                <w:bCs/>
                <w:color w:val="000000"/>
                <w:sz w:val="20"/>
                <w:szCs w:val="20"/>
                <w:lang w:eastAsia="en-GB"/>
              </w:rPr>
            </w:pPr>
            <w:r w:rsidRPr="004146FA">
              <w:rPr>
                <w:rFonts w:eastAsia="Times New Roman" w:cs="Calibri"/>
                <w:b/>
                <w:bCs/>
                <w:color w:val="000000"/>
                <w:sz w:val="20"/>
                <w:szCs w:val="20"/>
                <w:lang w:eastAsia="en-GB"/>
              </w:rPr>
              <w:t>Change from baseline</w:t>
            </w:r>
          </w:p>
        </w:tc>
        <w:tc>
          <w:tcPr>
            <w:tcW w:w="0" w:type="auto"/>
            <w:hideMark/>
          </w:tcPr>
          <w:p w14:paraId="6FD52420" w14:textId="77777777" w:rsidR="004146FA" w:rsidRPr="004146FA" w:rsidRDefault="004146FA" w:rsidP="004146FA">
            <w:pPr>
              <w:rPr>
                <w:rFonts w:eastAsia="Times New Roman" w:cs="Calibri"/>
                <w:b/>
                <w:bCs/>
                <w:color w:val="000000"/>
                <w:sz w:val="20"/>
                <w:szCs w:val="20"/>
                <w:lang w:eastAsia="en-GB"/>
              </w:rPr>
            </w:pPr>
          </w:p>
        </w:tc>
        <w:tc>
          <w:tcPr>
            <w:tcW w:w="0" w:type="auto"/>
            <w:hideMark/>
          </w:tcPr>
          <w:p w14:paraId="5ED7DEA0"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2</w:t>
            </w:r>
          </w:p>
        </w:tc>
        <w:tc>
          <w:tcPr>
            <w:tcW w:w="0" w:type="auto"/>
            <w:hideMark/>
          </w:tcPr>
          <w:p w14:paraId="1A849BD6"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1</w:t>
            </w:r>
          </w:p>
        </w:tc>
        <w:tc>
          <w:tcPr>
            <w:tcW w:w="0" w:type="auto"/>
            <w:hideMark/>
          </w:tcPr>
          <w:p w14:paraId="6C5B0FF2"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0</w:t>
            </w:r>
          </w:p>
        </w:tc>
      </w:tr>
      <w:tr w:rsidR="004146FA" w:rsidRPr="003F67C3" w14:paraId="052FB7A9" w14:textId="77777777" w:rsidTr="003F67C3">
        <w:trPr>
          <w:cnfStyle w:val="000000010000" w:firstRow="0" w:lastRow="0" w:firstColumn="0" w:lastColumn="0" w:oddVBand="0" w:evenVBand="0" w:oddHBand="0" w:evenHBand="1" w:firstRowFirstColumn="0" w:firstRowLastColumn="0" w:lastRowFirstColumn="0" w:lastRowLastColumn="0"/>
          <w:trHeight w:val="216"/>
        </w:trPr>
        <w:tc>
          <w:tcPr>
            <w:tcW w:w="0" w:type="auto"/>
            <w:hideMark/>
          </w:tcPr>
          <w:p w14:paraId="475F3126" w14:textId="77777777" w:rsidR="004146FA" w:rsidRPr="004146FA" w:rsidRDefault="004146FA" w:rsidP="004146FA">
            <w:pPr>
              <w:rPr>
                <w:rFonts w:eastAsia="Times New Roman" w:cs="Calibri"/>
                <w:color w:val="000000"/>
                <w:sz w:val="20"/>
                <w:szCs w:val="20"/>
                <w:lang w:eastAsia="en-GB"/>
              </w:rPr>
            </w:pPr>
            <w:r w:rsidRPr="004146FA">
              <w:rPr>
                <w:rFonts w:eastAsia="Times New Roman" w:cs="Calibri"/>
                <w:color w:val="000000"/>
                <w:sz w:val="20"/>
                <w:szCs w:val="20"/>
                <w:lang w:eastAsia="en-GB"/>
              </w:rPr>
              <w:t>Considerable</w:t>
            </w:r>
          </w:p>
        </w:tc>
        <w:tc>
          <w:tcPr>
            <w:tcW w:w="0" w:type="auto"/>
            <w:hideMark/>
          </w:tcPr>
          <w:p w14:paraId="29ED6515"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4</w:t>
            </w:r>
          </w:p>
        </w:tc>
        <w:tc>
          <w:tcPr>
            <w:tcW w:w="0" w:type="auto"/>
            <w:shd w:val="clear" w:color="auto" w:fill="00B050"/>
            <w:hideMark/>
          </w:tcPr>
          <w:p w14:paraId="134BAE26"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8</w:t>
            </w:r>
          </w:p>
        </w:tc>
        <w:tc>
          <w:tcPr>
            <w:tcW w:w="0" w:type="auto"/>
            <w:shd w:val="clear" w:color="auto" w:fill="FFC000"/>
            <w:hideMark/>
          </w:tcPr>
          <w:p w14:paraId="5964A146"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4</w:t>
            </w:r>
          </w:p>
        </w:tc>
        <w:tc>
          <w:tcPr>
            <w:tcW w:w="0" w:type="auto"/>
            <w:shd w:val="clear" w:color="auto" w:fill="FF0000"/>
            <w:hideMark/>
          </w:tcPr>
          <w:p w14:paraId="048BE07C"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0</w:t>
            </w:r>
          </w:p>
        </w:tc>
      </w:tr>
      <w:tr w:rsidR="004146FA" w:rsidRPr="003F67C3" w14:paraId="36F4B02F" w14:textId="77777777" w:rsidTr="003F67C3">
        <w:trPr>
          <w:cnfStyle w:val="000000100000" w:firstRow="0" w:lastRow="0" w:firstColumn="0" w:lastColumn="0" w:oddVBand="0" w:evenVBand="0" w:oddHBand="1" w:evenHBand="0" w:firstRowFirstColumn="0" w:firstRowLastColumn="0" w:lastRowFirstColumn="0" w:lastRowLastColumn="0"/>
          <w:trHeight w:val="216"/>
        </w:trPr>
        <w:tc>
          <w:tcPr>
            <w:tcW w:w="0" w:type="auto"/>
            <w:hideMark/>
          </w:tcPr>
          <w:p w14:paraId="12A5943B" w14:textId="77777777" w:rsidR="004146FA" w:rsidRPr="004146FA" w:rsidRDefault="004146FA" w:rsidP="004146FA">
            <w:pPr>
              <w:rPr>
                <w:rFonts w:eastAsia="Times New Roman" w:cs="Calibri"/>
                <w:color w:val="000000"/>
                <w:sz w:val="20"/>
                <w:szCs w:val="20"/>
                <w:lang w:eastAsia="en-GB"/>
              </w:rPr>
            </w:pPr>
            <w:r w:rsidRPr="004146FA">
              <w:rPr>
                <w:rFonts w:eastAsia="Times New Roman" w:cs="Calibri"/>
                <w:color w:val="000000"/>
                <w:sz w:val="20"/>
                <w:szCs w:val="20"/>
                <w:lang w:eastAsia="en-GB"/>
              </w:rPr>
              <w:t>Some</w:t>
            </w:r>
          </w:p>
        </w:tc>
        <w:tc>
          <w:tcPr>
            <w:tcW w:w="0" w:type="auto"/>
            <w:hideMark/>
          </w:tcPr>
          <w:p w14:paraId="753459FF"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3</w:t>
            </w:r>
          </w:p>
        </w:tc>
        <w:tc>
          <w:tcPr>
            <w:tcW w:w="0" w:type="auto"/>
            <w:shd w:val="clear" w:color="auto" w:fill="00B050"/>
            <w:hideMark/>
          </w:tcPr>
          <w:p w14:paraId="746D7F2C"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6</w:t>
            </w:r>
          </w:p>
        </w:tc>
        <w:tc>
          <w:tcPr>
            <w:tcW w:w="0" w:type="auto"/>
            <w:shd w:val="clear" w:color="auto" w:fill="FFC000"/>
            <w:hideMark/>
          </w:tcPr>
          <w:p w14:paraId="27B4BEC9"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3</w:t>
            </w:r>
          </w:p>
        </w:tc>
        <w:tc>
          <w:tcPr>
            <w:tcW w:w="0" w:type="auto"/>
            <w:shd w:val="clear" w:color="auto" w:fill="FF0000"/>
            <w:hideMark/>
          </w:tcPr>
          <w:p w14:paraId="5C07EBFA"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0</w:t>
            </w:r>
          </w:p>
        </w:tc>
      </w:tr>
      <w:tr w:rsidR="004146FA" w:rsidRPr="003F67C3" w14:paraId="26878D0C" w14:textId="77777777" w:rsidTr="003F67C3">
        <w:trPr>
          <w:cnfStyle w:val="000000010000" w:firstRow="0" w:lastRow="0" w:firstColumn="0" w:lastColumn="0" w:oddVBand="0" w:evenVBand="0" w:oddHBand="0" w:evenHBand="1" w:firstRowFirstColumn="0" w:firstRowLastColumn="0" w:lastRowFirstColumn="0" w:lastRowLastColumn="0"/>
          <w:trHeight w:val="16"/>
        </w:trPr>
        <w:tc>
          <w:tcPr>
            <w:tcW w:w="0" w:type="auto"/>
            <w:hideMark/>
          </w:tcPr>
          <w:p w14:paraId="6417D729" w14:textId="77777777" w:rsidR="004146FA" w:rsidRPr="004146FA" w:rsidRDefault="004146FA" w:rsidP="004146FA">
            <w:pPr>
              <w:rPr>
                <w:rFonts w:eastAsia="Times New Roman" w:cs="Calibri"/>
                <w:color w:val="000000"/>
                <w:sz w:val="20"/>
                <w:szCs w:val="20"/>
                <w:lang w:eastAsia="en-GB"/>
              </w:rPr>
            </w:pPr>
            <w:r w:rsidRPr="004146FA">
              <w:rPr>
                <w:rFonts w:eastAsia="Times New Roman" w:cs="Calibri"/>
                <w:color w:val="000000"/>
                <w:sz w:val="20"/>
                <w:szCs w:val="20"/>
                <w:lang w:eastAsia="en-GB"/>
              </w:rPr>
              <w:t>Limited/Not Clear</w:t>
            </w:r>
          </w:p>
        </w:tc>
        <w:tc>
          <w:tcPr>
            <w:tcW w:w="0" w:type="auto"/>
            <w:hideMark/>
          </w:tcPr>
          <w:p w14:paraId="01A622CE"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2</w:t>
            </w:r>
          </w:p>
        </w:tc>
        <w:tc>
          <w:tcPr>
            <w:tcW w:w="0" w:type="auto"/>
            <w:shd w:val="clear" w:color="auto" w:fill="FFC000"/>
            <w:hideMark/>
          </w:tcPr>
          <w:p w14:paraId="5D91E352"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4</w:t>
            </w:r>
          </w:p>
        </w:tc>
        <w:tc>
          <w:tcPr>
            <w:tcW w:w="0" w:type="auto"/>
            <w:shd w:val="clear" w:color="auto" w:fill="FF0000"/>
            <w:hideMark/>
          </w:tcPr>
          <w:p w14:paraId="40CA9A41"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2</w:t>
            </w:r>
          </w:p>
        </w:tc>
        <w:tc>
          <w:tcPr>
            <w:tcW w:w="0" w:type="auto"/>
            <w:shd w:val="clear" w:color="auto" w:fill="FF0000"/>
            <w:hideMark/>
          </w:tcPr>
          <w:p w14:paraId="378C9046"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0</w:t>
            </w:r>
          </w:p>
        </w:tc>
      </w:tr>
      <w:tr w:rsidR="004146FA" w:rsidRPr="003F67C3" w14:paraId="4374B7ED" w14:textId="77777777" w:rsidTr="003F67C3">
        <w:trPr>
          <w:cnfStyle w:val="000000100000" w:firstRow="0" w:lastRow="0" w:firstColumn="0" w:lastColumn="0" w:oddVBand="0" w:evenVBand="0" w:oddHBand="1" w:evenHBand="0" w:firstRowFirstColumn="0" w:firstRowLastColumn="0" w:lastRowFirstColumn="0" w:lastRowLastColumn="0"/>
          <w:trHeight w:val="216"/>
        </w:trPr>
        <w:tc>
          <w:tcPr>
            <w:tcW w:w="0" w:type="auto"/>
            <w:hideMark/>
          </w:tcPr>
          <w:p w14:paraId="393AC101" w14:textId="77777777" w:rsidR="004146FA" w:rsidRPr="004146FA" w:rsidRDefault="004146FA" w:rsidP="004146FA">
            <w:pPr>
              <w:rPr>
                <w:rFonts w:eastAsia="Times New Roman" w:cs="Calibri"/>
                <w:color w:val="000000"/>
                <w:sz w:val="20"/>
                <w:szCs w:val="20"/>
                <w:lang w:eastAsia="en-GB"/>
              </w:rPr>
            </w:pPr>
            <w:r w:rsidRPr="004146FA">
              <w:rPr>
                <w:rFonts w:eastAsia="Times New Roman" w:cs="Calibri"/>
                <w:color w:val="000000"/>
                <w:sz w:val="20"/>
                <w:szCs w:val="20"/>
                <w:lang w:eastAsia="en-GB"/>
              </w:rPr>
              <w:t>Not yet</w:t>
            </w:r>
          </w:p>
        </w:tc>
        <w:tc>
          <w:tcPr>
            <w:tcW w:w="0" w:type="auto"/>
            <w:hideMark/>
          </w:tcPr>
          <w:p w14:paraId="1E0B0D52"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1</w:t>
            </w:r>
          </w:p>
        </w:tc>
        <w:tc>
          <w:tcPr>
            <w:tcW w:w="0" w:type="auto"/>
            <w:shd w:val="clear" w:color="auto" w:fill="FFC000"/>
            <w:hideMark/>
          </w:tcPr>
          <w:p w14:paraId="290AC0FB"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2</w:t>
            </w:r>
          </w:p>
        </w:tc>
        <w:tc>
          <w:tcPr>
            <w:tcW w:w="0" w:type="auto"/>
            <w:shd w:val="clear" w:color="auto" w:fill="FF0000"/>
            <w:hideMark/>
          </w:tcPr>
          <w:p w14:paraId="1C9A2DE2"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1</w:t>
            </w:r>
          </w:p>
        </w:tc>
        <w:tc>
          <w:tcPr>
            <w:tcW w:w="0" w:type="auto"/>
            <w:shd w:val="clear" w:color="auto" w:fill="FF0000"/>
            <w:hideMark/>
          </w:tcPr>
          <w:p w14:paraId="61DF02A1"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0</w:t>
            </w:r>
          </w:p>
        </w:tc>
      </w:tr>
      <w:tr w:rsidR="004146FA" w:rsidRPr="003F67C3" w14:paraId="4B913C24" w14:textId="77777777" w:rsidTr="003F67C3">
        <w:trPr>
          <w:cnfStyle w:val="000000010000" w:firstRow="0" w:lastRow="0" w:firstColumn="0" w:lastColumn="0" w:oddVBand="0" w:evenVBand="0" w:oddHBand="0" w:evenHBand="1" w:firstRowFirstColumn="0" w:firstRowLastColumn="0" w:lastRowFirstColumn="0" w:lastRowLastColumn="0"/>
          <w:trHeight w:val="216"/>
        </w:trPr>
        <w:tc>
          <w:tcPr>
            <w:tcW w:w="0" w:type="auto"/>
            <w:hideMark/>
          </w:tcPr>
          <w:p w14:paraId="6FC0C5FA" w14:textId="77777777" w:rsidR="004146FA" w:rsidRPr="004146FA" w:rsidRDefault="004146FA" w:rsidP="004146FA">
            <w:pPr>
              <w:rPr>
                <w:rFonts w:eastAsia="Times New Roman" w:cs="Calibri"/>
                <w:color w:val="000000"/>
                <w:sz w:val="20"/>
                <w:szCs w:val="20"/>
                <w:lang w:eastAsia="en-GB"/>
              </w:rPr>
            </w:pPr>
            <w:r w:rsidRPr="004146FA">
              <w:rPr>
                <w:rFonts w:eastAsia="Times New Roman" w:cs="Calibri"/>
                <w:color w:val="000000"/>
                <w:sz w:val="20"/>
                <w:szCs w:val="20"/>
                <w:lang w:eastAsia="en-GB"/>
              </w:rPr>
              <w:t>Negative</w:t>
            </w:r>
          </w:p>
        </w:tc>
        <w:tc>
          <w:tcPr>
            <w:tcW w:w="0" w:type="auto"/>
            <w:hideMark/>
          </w:tcPr>
          <w:p w14:paraId="51780194"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0</w:t>
            </w:r>
          </w:p>
        </w:tc>
        <w:tc>
          <w:tcPr>
            <w:tcW w:w="0" w:type="auto"/>
            <w:shd w:val="clear" w:color="auto" w:fill="FF0000"/>
            <w:hideMark/>
          </w:tcPr>
          <w:p w14:paraId="03E16B0D"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0</w:t>
            </w:r>
          </w:p>
        </w:tc>
        <w:tc>
          <w:tcPr>
            <w:tcW w:w="0" w:type="auto"/>
            <w:shd w:val="clear" w:color="auto" w:fill="FF0000"/>
            <w:hideMark/>
          </w:tcPr>
          <w:p w14:paraId="79D494DB"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0</w:t>
            </w:r>
          </w:p>
        </w:tc>
        <w:tc>
          <w:tcPr>
            <w:tcW w:w="0" w:type="auto"/>
            <w:shd w:val="clear" w:color="auto" w:fill="FF0000"/>
            <w:hideMark/>
          </w:tcPr>
          <w:p w14:paraId="6B5F8C2B" w14:textId="77777777" w:rsidR="004146FA" w:rsidRPr="004146FA" w:rsidRDefault="004146FA" w:rsidP="004146FA">
            <w:pPr>
              <w:jc w:val="center"/>
              <w:rPr>
                <w:rFonts w:eastAsia="Times New Roman" w:cs="Calibri"/>
                <w:color w:val="000000"/>
                <w:sz w:val="20"/>
                <w:szCs w:val="20"/>
                <w:lang w:eastAsia="en-GB"/>
              </w:rPr>
            </w:pPr>
            <w:r w:rsidRPr="004146FA">
              <w:rPr>
                <w:rFonts w:eastAsia="Times New Roman" w:cs="Calibri"/>
                <w:color w:val="000000"/>
                <w:sz w:val="20"/>
                <w:szCs w:val="20"/>
                <w:lang w:eastAsia="en-GB"/>
              </w:rPr>
              <w:t>0</w:t>
            </w:r>
          </w:p>
        </w:tc>
      </w:tr>
    </w:tbl>
    <w:p w14:paraId="7F0B950C" w14:textId="77777777" w:rsidR="009154CD" w:rsidRDefault="009154CD" w:rsidP="00482FD4">
      <w:pPr>
        <w:sectPr w:rsidR="009154CD" w:rsidSect="009154CD">
          <w:pgSz w:w="16838" w:h="11906" w:orient="landscape"/>
          <w:pgMar w:top="1440" w:right="1440" w:bottom="1440" w:left="1440" w:header="709" w:footer="709" w:gutter="0"/>
          <w:cols w:space="708"/>
          <w:docGrid w:linePitch="360"/>
        </w:sectPr>
      </w:pPr>
    </w:p>
    <w:p w14:paraId="6A1661EC" w14:textId="27EAF5BA" w:rsidR="004F5513" w:rsidRDefault="00482FD4" w:rsidP="00482FD4">
      <w:bookmarkStart w:id="146" w:name="_Hlk129560909"/>
      <w:r w:rsidRPr="00482FD4">
        <w:t xml:space="preserve">In principle, we can look at investments compared with change (as per contribution analysis) given </w:t>
      </w:r>
      <w:r w:rsidR="002B78FB">
        <w:t xml:space="preserve">the </w:t>
      </w:r>
      <w:r w:rsidRPr="00482FD4">
        <w:t>MA</w:t>
      </w:r>
      <w:r w:rsidR="00333A5F">
        <w:t xml:space="preserve"> or</w:t>
      </w:r>
      <w:r w:rsidRPr="00482FD4">
        <w:t xml:space="preserve"> </w:t>
      </w:r>
      <w:r w:rsidR="00333A5F" w:rsidRPr="00482FD4">
        <w:t>grantee</w:t>
      </w:r>
      <w:r w:rsidRPr="00482FD4">
        <w:t xml:space="preserve"> financial</w:t>
      </w:r>
      <w:r w:rsidR="007458AC">
        <w:t xml:space="preserve"> </w:t>
      </w:r>
      <w:r w:rsidRPr="00482FD4">
        <w:t xml:space="preserve">reporting is set up to record costs under investment areas and these can be mapped to </w:t>
      </w:r>
      <w:r w:rsidR="00F91E38">
        <w:t>contribution analysis</w:t>
      </w:r>
      <w:r w:rsidRPr="00482FD4">
        <w:t xml:space="preserve"> results and drivers</w:t>
      </w:r>
      <w:r w:rsidR="00835882">
        <w:t>.</w:t>
      </w:r>
    </w:p>
    <w:p w14:paraId="084F9469" w14:textId="77777777" w:rsidR="00835882" w:rsidRDefault="00835882" w:rsidP="00482FD4"/>
    <w:p w14:paraId="2BC1D06E" w14:textId="7F7A24B6" w:rsidR="00CF0899" w:rsidRDefault="00CF0899" w:rsidP="00C04C3C">
      <w:pPr>
        <w:pStyle w:val="ItadCaption"/>
      </w:pPr>
      <w:bookmarkStart w:id="147" w:name="_Toc143857892"/>
      <w:bookmarkEnd w:id="146"/>
      <w:r>
        <w:t xml:space="preserve">Table </w:t>
      </w:r>
      <w:r>
        <w:fldChar w:fldCharType="begin"/>
      </w:r>
      <w:r>
        <w:instrText>SEQ Table \* ARABIC</w:instrText>
      </w:r>
      <w:r>
        <w:fldChar w:fldCharType="separate"/>
      </w:r>
      <w:r w:rsidR="009A383C">
        <w:rPr>
          <w:noProof/>
        </w:rPr>
        <w:t>24</w:t>
      </w:r>
      <w:r>
        <w:fldChar w:fldCharType="end"/>
      </w:r>
      <w:r>
        <w:t xml:space="preserve"> </w:t>
      </w:r>
      <w:r w:rsidRPr="003C600C">
        <w:t>Mapping of investment areas to contribution analysis drivers</w:t>
      </w:r>
      <w:bookmarkEnd w:id="147"/>
    </w:p>
    <w:tbl>
      <w:tblPr>
        <w:tblStyle w:val="ItadGreenHeaderRow"/>
        <w:tblW w:w="5000" w:type="pct"/>
        <w:tblInd w:w="0" w:type="dxa"/>
        <w:tblLook w:val="04A0" w:firstRow="1" w:lastRow="0" w:firstColumn="1" w:lastColumn="0" w:noHBand="0" w:noVBand="1"/>
      </w:tblPr>
      <w:tblGrid>
        <w:gridCol w:w="2254"/>
        <w:gridCol w:w="2254"/>
        <w:gridCol w:w="2254"/>
        <w:gridCol w:w="2254"/>
      </w:tblGrid>
      <w:tr w:rsidR="00435404" w:rsidRPr="00435404" w14:paraId="3C2A64F8" w14:textId="77777777" w:rsidTr="00BB4743">
        <w:trPr>
          <w:cnfStyle w:val="100000000000" w:firstRow="1" w:lastRow="0" w:firstColumn="0" w:lastColumn="0" w:oddVBand="0" w:evenVBand="0" w:oddHBand="0" w:evenHBand="0" w:firstRowFirstColumn="0" w:firstRowLastColumn="0" w:lastRowFirstColumn="0" w:lastRowLastColumn="0"/>
        </w:trPr>
        <w:tc>
          <w:tcPr>
            <w:tcW w:w="1250" w:type="pct"/>
          </w:tcPr>
          <w:p w14:paraId="18A192A7" w14:textId="779AEE01" w:rsidR="001866CF" w:rsidRPr="007F63EF" w:rsidRDefault="001866CF" w:rsidP="001866CF">
            <w:pPr>
              <w:rPr>
                <w:b/>
                <w:bCs/>
                <w:color w:val="auto"/>
                <w:sz w:val="20"/>
                <w:szCs w:val="20"/>
              </w:rPr>
            </w:pPr>
            <w:r w:rsidRPr="00435404">
              <w:rPr>
                <w:b/>
                <w:bCs/>
                <w:sz w:val="20"/>
                <w:szCs w:val="20"/>
              </w:rPr>
              <w:t>Investment areas</w:t>
            </w:r>
          </w:p>
        </w:tc>
        <w:tc>
          <w:tcPr>
            <w:tcW w:w="1250" w:type="pct"/>
          </w:tcPr>
          <w:p w14:paraId="0983E078" w14:textId="0DA990A8" w:rsidR="001866CF" w:rsidRPr="007F63EF" w:rsidRDefault="001866CF" w:rsidP="001866CF">
            <w:pPr>
              <w:rPr>
                <w:b/>
                <w:bCs/>
                <w:color w:val="auto"/>
                <w:sz w:val="20"/>
                <w:szCs w:val="20"/>
              </w:rPr>
            </w:pPr>
            <w:r w:rsidRPr="00435404">
              <w:rPr>
                <w:b/>
                <w:bCs/>
                <w:sz w:val="20"/>
                <w:szCs w:val="20"/>
              </w:rPr>
              <w:t>Contribution Analysis result areas</w:t>
            </w:r>
          </w:p>
        </w:tc>
        <w:tc>
          <w:tcPr>
            <w:tcW w:w="1250" w:type="pct"/>
          </w:tcPr>
          <w:p w14:paraId="2347203B" w14:textId="25748070" w:rsidR="001866CF" w:rsidRPr="007F63EF" w:rsidRDefault="001866CF" w:rsidP="001866CF">
            <w:pPr>
              <w:rPr>
                <w:b/>
                <w:bCs/>
                <w:color w:val="auto"/>
                <w:sz w:val="20"/>
                <w:szCs w:val="20"/>
              </w:rPr>
            </w:pPr>
            <w:r w:rsidRPr="00435404">
              <w:rPr>
                <w:b/>
                <w:bCs/>
                <w:sz w:val="20"/>
                <w:szCs w:val="20"/>
              </w:rPr>
              <w:t xml:space="preserve">Main </w:t>
            </w:r>
            <w:r w:rsidR="00F91E38" w:rsidRPr="00435404">
              <w:rPr>
                <w:b/>
                <w:bCs/>
                <w:sz w:val="20"/>
                <w:szCs w:val="20"/>
              </w:rPr>
              <w:t>Contribution Analysis</w:t>
            </w:r>
            <w:r w:rsidRPr="00435404">
              <w:rPr>
                <w:b/>
                <w:bCs/>
                <w:sz w:val="20"/>
                <w:szCs w:val="20"/>
              </w:rPr>
              <w:t xml:space="preserve"> drivers</w:t>
            </w:r>
          </w:p>
        </w:tc>
        <w:tc>
          <w:tcPr>
            <w:tcW w:w="1250" w:type="pct"/>
          </w:tcPr>
          <w:p w14:paraId="7AAC3998" w14:textId="43D2BEC5" w:rsidR="001866CF" w:rsidRPr="007F63EF" w:rsidRDefault="001866CF" w:rsidP="001866CF">
            <w:pPr>
              <w:rPr>
                <w:b/>
                <w:bCs/>
                <w:color w:val="auto"/>
                <w:sz w:val="20"/>
                <w:szCs w:val="20"/>
              </w:rPr>
            </w:pPr>
            <w:r w:rsidRPr="00435404">
              <w:rPr>
                <w:b/>
                <w:bCs/>
                <w:sz w:val="20"/>
                <w:szCs w:val="20"/>
              </w:rPr>
              <w:t xml:space="preserve">Other </w:t>
            </w:r>
            <w:r w:rsidR="00F91E38" w:rsidRPr="00435404">
              <w:rPr>
                <w:b/>
                <w:bCs/>
                <w:sz w:val="20"/>
                <w:szCs w:val="20"/>
              </w:rPr>
              <w:t>Contribution Analysis</w:t>
            </w:r>
            <w:r w:rsidRPr="00435404">
              <w:rPr>
                <w:b/>
                <w:bCs/>
                <w:sz w:val="20"/>
                <w:szCs w:val="20"/>
              </w:rPr>
              <w:t xml:space="preserve"> drivers that may be linked but not included in analysis due to n</w:t>
            </w:r>
          </w:p>
        </w:tc>
      </w:tr>
      <w:tr w:rsidR="00435404" w:rsidRPr="00435404" w14:paraId="49B25603" w14:textId="77777777" w:rsidTr="00BB4743">
        <w:trPr>
          <w:cnfStyle w:val="000000100000" w:firstRow="0" w:lastRow="0" w:firstColumn="0" w:lastColumn="0" w:oddVBand="0" w:evenVBand="0" w:oddHBand="1" w:evenHBand="0" w:firstRowFirstColumn="0" w:firstRowLastColumn="0" w:lastRowFirstColumn="0" w:lastRowLastColumn="0"/>
        </w:trPr>
        <w:tc>
          <w:tcPr>
            <w:tcW w:w="1250" w:type="pct"/>
          </w:tcPr>
          <w:p w14:paraId="41705589" w14:textId="1BFA7EDC" w:rsidR="001866CF" w:rsidRPr="007F63EF" w:rsidRDefault="001866CF" w:rsidP="001866CF">
            <w:pPr>
              <w:rPr>
                <w:color w:val="auto"/>
                <w:sz w:val="20"/>
                <w:szCs w:val="20"/>
              </w:rPr>
            </w:pPr>
            <w:r w:rsidRPr="00435404">
              <w:rPr>
                <w:sz w:val="20"/>
                <w:szCs w:val="20"/>
              </w:rPr>
              <w:t xml:space="preserve">Foundation building – AMR surveillance data use </w:t>
            </w:r>
          </w:p>
        </w:tc>
        <w:tc>
          <w:tcPr>
            <w:tcW w:w="1250" w:type="pct"/>
          </w:tcPr>
          <w:p w14:paraId="0D8E41A3" w14:textId="73E1827A" w:rsidR="001866CF" w:rsidRPr="007F63EF" w:rsidRDefault="001866CF" w:rsidP="001866CF">
            <w:pPr>
              <w:rPr>
                <w:color w:val="auto"/>
                <w:sz w:val="20"/>
                <w:szCs w:val="20"/>
              </w:rPr>
            </w:pPr>
            <w:r w:rsidRPr="00435404">
              <w:rPr>
                <w:sz w:val="20"/>
                <w:szCs w:val="20"/>
              </w:rPr>
              <w:t>C3, C4, C5</w:t>
            </w:r>
          </w:p>
        </w:tc>
        <w:tc>
          <w:tcPr>
            <w:tcW w:w="1250" w:type="pct"/>
          </w:tcPr>
          <w:p w14:paraId="2578CE07" w14:textId="77777777" w:rsidR="001866CF" w:rsidRPr="007F63EF" w:rsidRDefault="001866CF" w:rsidP="001866CF">
            <w:pPr>
              <w:rPr>
                <w:color w:val="auto"/>
                <w:sz w:val="20"/>
                <w:szCs w:val="20"/>
              </w:rPr>
            </w:pPr>
          </w:p>
        </w:tc>
        <w:tc>
          <w:tcPr>
            <w:tcW w:w="1250" w:type="pct"/>
          </w:tcPr>
          <w:p w14:paraId="2684A4C8" w14:textId="77777777" w:rsidR="001866CF" w:rsidRPr="007F63EF" w:rsidRDefault="001866CF" w:rsidP="001866CF">
            <w:pPr>
              <w:rPr>
                <w:color w:val="auto"/>
                <w:sz w:val="20"/>
                <w:szCs w:val="20"/>
              </w:rPr>
            </w:pPr>
          </w:p>
        </w:tc>
      </w:tr>
      <w:tr w:rsidR="00435404" w:rsidRPr="00435404" w14:paraId="4C3A9D29" w14:textId="77777777" w:rsidTr="00BB4743">
        <w:trPr>
          <w:cnfStyle w:val="000000010000" w:firstRow="0" w:lastRow="0" w:firstColumn="0" w:lastColumn="0" w:oddVBand="0" w:evenVBand="0" w:oddHBand="0" w:evenHBand="1" w:firstRowFirstColumn="0" w:firstRowLastColumn="0" w:lastRowFirstColumn="0" w:lastRowLastColumn="0"/>
        </w:trPr>
        <w:tc>
          <w:tcPr>
            <w:tcW w:w="1250" w:type="pct"/>
          </w:tcPr>
          <w:p w14:paraId="599A8442" w14:textId="2D578A3E" w:rsidR="001866CF" w:rsidRPr="007F63EF" w:rsidRDefault="001866CF" w:rsidP="001866CF">
            <w:pPr>
              <w:rPr>
                <w:color w:val="auto"/>
                <w:sz w:val="20"/>
                <w:szCs w:val="20"/>
              </w:rPr>
            </w:pPr>
            <w:r w:rsidRPr="00435404">
              <w:rPr>
                <w:sz w:val="20"/>
                <w:szCs w:val="20"/>
              </w:rPr>
              <w:t xml:space="preserve">Human resource strengthening + work force reforms </w:t>
            </w:r>
          </w:p>
        </w:tc>
        <w:tc>
          <w:tcPr>
            <w:tcW w:w="1250" w:type="pct"/>
          </w:tcPr>
          <w:p w14:paraId="17D0C9A5" w14:textId="305133BD" w:rsidR="001866CF" w:rsidRPr="007F63EF" w:rsidRDefault="001866CF" w:rsidP="001866CF">
            <w:pPr>
              <w:rPr>
                <w:color w:val="auto"/>
                <w:sz w:val="20"/>
                <w:szCs w:val="20"/>
              </w:rPr>
            </w:pPr>
            <w:r w:rsidRPr="00435404">
              <w:rPr>
                <w:sz w:val="20"/>
                <w:szCs w:val="20"/>
              </w:rPr>
              <w:t>C1a, C1b, C2a, C2b</w:t>
            </w:r>
          </w:p>
        </w:tc>
        <w:tc>
          <w:tcPr>
            <w:tcW w:w="1250" w:type="pct"/>
          </w:tcPr>
          <w:p w14:paraId="3FD48779" w14:textId="363AADBB" w:rsidR="001866CF" w:rsidRPr="007F63EF" w:rsidRDefault="001866CF" w:rsidP="001866CF">
            <w:pPr>
              <w:rPr>
                <w:color w:val="auto"/>
                <w:sz w:val="20"/>
                <w:szCs w:val="20"/>
              </w:rPr>
            </w:pPr>
            <w:r w:rsidRPr="00435404">
              <w:rPr>
                <w:sz w:val="20"/>
                <w:szCs w:val="20"/>
              </w:rPr>
              <w:t>Human capacity</w:t>
            </w:r>
          </w:p>
        </w:tc>
        <w:tc>
          <w:tcPr>
            <w:tcW w:w="1250" w:type="pct"/>
          </w:tcPr>
          <w:p w14:paraId="575E0034" w14:textId="0427B122" w:rsidR="001866CF" w:rsidRPr="007F63EF" w:rsidRDefault="001866CF" w:rsidP="001866CF">
            <w:pPr>
              <w:rPr>
                <w:color w:val="auto"/>
                <w:sz w:val="20"/>
                <w:szCs w:val="20"/>
              </w:rPr>
            </w:pPr>
            <w:r w:rsidRPr="00435404">
              <w:rPr>
                <w:sz w:val="20"/>
                <w:szCs w:val="20"/>
              </w:rPr>
              <w:t>(Supervision)</w:t>
            </w:r>
          </w:p>
        </w:tc>
      </w:tr>
      <w:tr w:rsidR="00435404" w:rsidRPr="00435404" w14:paraId="62616493" w14:textId="77777777" w:rsidTr="00BB4743">
        <w:trPr>
          <w:cnfStyle w:val="000000100000" w:firstRow="0" w:lastRow="0" w:firstColumn="0" w:lastColumn="0" w:oddVBand="0" w:evenVBand="0" w:oddHBand="1" w:evenHBand="0" w:firstRowFirstColumn="0" w:firstRowLastColumn="0" w:lastRowFirstColumn="0" w:lastRowLastColumn="0"/>
        </w:trPr>
        <w:tc>
          <w:tcPr>
            <w:tcW w:w="1250" w:type="pct"/>
          </w:tcPr>
          <w:p w14:paraId="7FAC18AA" w14:textId="125F332F" w:rsidR="001866CF" w:rsidRPr="007F63EF" w:rsidRDefault="001866CF" w:rsidP="001866CF">
            <w:pPr>
              <w:rPr>
                <w:color w:val="auto"/>
                <w:sz w:val="20"/>
                <w:szCs w:val="20"/>
              </w:rPr>
            </w:pPr>
            <w:r w:rsidRPr="00435404">
              <w:rPr>
                <w:sz w:val="20"/>
                <w:szCs w:val="20"/>
              </w:rPr>
              <w:t xml:space="preserve">Laboratory infrastructure enhancement </w:t>
            </w:r>
          </w:p>
        </w:tc>
        <w:tc>
          <w:tcPr>
            <w:tcW w:w="1250" w:type="pct"/>
          </w:tcPr>
          <w:p w14:paraId="083B2BBF" w14:textId="361A9D7D" w:rsidR="001866CF" w:rsidRPr="007F63EF" w:rsidRDefault="001866CF" w:rsidP="001866CF">
            <w:pPr>
              <w:rPr>
                <w:color w:val="auto"/>
                <w:sz w:val="20"/>
                <w:szCs w:val="20"/>
              </w:rPr>
            </w:pPr>
            <w:r w:rsidRPr="00435404">
              <w:rPr>
                <w:sz w:val="20"/>
                <w:szCs w:val="20"/>
              </w:rPr>
              <w:t>C1a, C1b, C2a, C2b</w:t>
            </w:r>
          </w:p>
        </w:tc>
        <w:tc>
          <w:tcPr>
            <w:tcW w:w="1250" w:type="pct"/>
          </w:tcPr>
          <w:p w14:paraId="6109E6C5" w14:textId="361892CA" w:rsidR="001866CF" w:rsidRPr="007F63EF" w:rsidRDefault="001866CF" w:rsidP="001866CF">
            <w:pPr>
              <w:rPr>
                <w:color w:val="auto"/>
                <w:sz w:val="20"/>
                <w:szCs w:val="20"/>
              </w:rPr>
            </w:pPr>
            <w:r w:rsidRPr="00435404">
              <w:rPr>
                <w:sz w:val="20"/>
                <w:szCs w:val="20"/>
              </w:rPr>
              <w:t>Renovation and Equipment</w:t>
            </w:r>
          </w:p>
        </w:tc>
        <w:tc>
          <w:tcPr>
            <w:tcW w:w="1250" w:type="pct"/>
          </w:tcPr>
          <w:p w14:paraId="53E71019" w14:textId="67C419B6" w:rsidR="001866CF" w:rsidRPr="007F63EF" w:rsidRDefault="001866CF" w:rsidP="001866CF">
            <w:pPr>
              <w:rPr>
                <w:color w:val="auto"/>
                <w:sz w:val="20"/>
                <w:szCs w:val="20"/>
              </w:rPr>
            </w:pPr>
            <w:r w:rsidRPr="00435404">
              <w:rPr>
                <w:sz w:val="20"/>
                <w:szCs w:val="20"/>
              </w:rPr>
              <w:t>(Consumables)</w:t>
            </w:r>
          </w:p>
        </w:tc>
      </w:tr>
      <w:tr w:rsidR="00435404" w:rsidRPr="00435404" w14:paraId="4FD43EEA" w14:textId="77777777" w:rsidTr="00BB4743">
        <w:trPr>
          <w:cnfStyle w:val="000000010000" w:firstRow="0" w:lastRow="0" w:firstColumn="0" w:lastColumn="0" w:oddVBand="0" w:evenVBand="0" w:oddHBand="0" w:evenHBand="1" w:firstRowFirstColumn="0" w:firstRowLastColumn="0" w:lastRowFirstColumn="0" w:lastRowLastColumn="0"/>
        </w:trPr>
        <w:tc>
          <w:tcPr>
            <w:tcW w:w="1250" w:type="pct"/>
          </w:tcPr>
          <w:p w14:paraId="4D5C3EE8" w14:textId="693B5090" w:rsidR="001866CF" w:rsidRPr="007F63EF" w:rsidRDefault="001866CF" w:rsidP="001866CF">
            <w:pPr>
              <w:rPr>
                <w:color w:val="auto"/>
                <w:sz w:val="20"/>
                <w:szCs w:val="20"/>
              </w:rPr>
            </w:pPr>
            <w:r w:rsidRPr="00435404">
              <w:rPr>
                <w:sz w:val="20"/>
                <w:szCs w:val="20"/>
              </w:rPr>
              <w:t xml:space="preserve">Systems development (surveillance) </w:t>
            </w:r>
          </w:p>
        </w:tc>
        <w:tc>
          <w:tcPr>
            <w:tcW w:w="1250" w:type="pct"/>
          </w:tcPr>
          <w:p w14:paraId="66E62C83" w14:textId="54DF6042" w:rsidR="001866CF" w:rsidRPr="007F63EF" w:rsidRDefault="001866CF" w:rsidP="001866CF">
            <w:pPr>
              <w:rPr>
                <w:color w:val="auto"/>
                <w:sz w:val="20"/>
                <w:szCs w:val="20"/>
              </w:rPr>
            </w:pPr>
            <w:r w:rsidRPr="00435404">
              <w:rPr>
                <w:sz w:val="20"/>
                <w:szCs w:val="20"/>
              </w:rPr>
              <w:t>C1a, C1b, C2a, C2b</w:t>
            </w:r>
          </w:p>
        </w:tc>
        <w:tc>
          <w:tcPr>
            <w:tcW w:w="1250" w:type="pct"/>
          </w:tcPr>
          <w:p w14:paraId="27467C73" w14:textId="187CB7BE" w:rsidR="001866CF" w:rsidRPr="007F63EF" w:rsidRDefault="001866CF" w:rsidP="001866CF">
            <w:pPr>
              <w:rPr>
                <w:color w:val="auto"/>
                <w:sz w:val="20"/>
                <w:szCs w:val="20"/>
              </w:rPr>
            </w:pPr>
            <w:r w:rsidRPr="00435404">
              <w:rPr>
                <w:sz w:val="20"/>
                <w:szCs w:val="20"/>
              </w:rPr>
              <w:t>Governance (data sharing)</w:t>
            </w:r>
          </w:p>
        </w:tc>
        <w:tc>
          <w:tcPr>
            <w:tcW w:w="1250" w:type="pct"/>
          </w:tcPr>
          <w:p w14:paraId="56211FF8" w14:textId="03A1BFDB" w:rsidR="001866CF" w:rsidRPr="007F63EF" w:rsidRDefault="001866CF" w:rsidP="001866CF">
            <w:pPr>
              <w:rPr>
                <w:color w:val="auto"/>
                <w:sz w:val="20"/>
                <w:szCs w:val="20"/>
              </w:rPr>
            </w:pPr>
            <w:r w:rsidRPr="00435404">
              <w:rPr>
                <w:sz w:val="20"/>
                <w:szCs w:val="20"/>
              </w:rPr>
              <w:t>(SOPs QA)</w:t>
            </w:r>
          </w:p>
        </w:tc>
      </w:tr>
      <w:tr w:rsidR="00435404" w:rsidRPr="00435404" w14:paraId="4BAD2D47" w14:textId="77777777" w:rsidTr="00BB4743">
        <w:trPr>
          <w:cnfStyle w:val="000000100000" w:firstRow="0" w:lastRow="0" w:firstColumn="0" w:lastColumn="0" w:oddVBand="0" w:evenVBand="0" w:oddHBand="1" w:evenHBand="0" w:firstRowFirstColumn="0" w:firstRowLastColumn="0" w:lastRowFirstColumn="0" w:lastRowLastColumn="0"/>
        </w:trPr>
        <w:tc>
          <w:tcPr>
            <w:tcW w:w="1250" w:type="pct"/>
          </w:tcPr>
          <w:p w14:paraId="1C7E7E56" w14:textId="238E90E3" w:rsidR="001866CF" w:rsidRPr="007F63EF" w:rsidRDefault="001866CF" w:rsidP="001866CF">
            <w:pPr>
              <w:rPr>
                <w:color w:val="auto"/>
                <w:sz w:val="20"/>
                <w:szCs w:val="20"/>
              </w:rPr>
            </w:pPr>
            <w:r w:rsidRPr="00435404">
              <w:rPr>
                <w:sz w:val="20"/>
                <w:szCs w:val="20"/>
              </w:rPr>
              <w:t xml:space="preserve">Rational use of antimicrobial medicines </w:t>
            </w:r>
          </w:p>
        </w:tc>
        <w:tc>
          <w:tcPr>
            <w:tcW w:w="1250" w:type="pct"/>
          </w:tcPr>
          <w:p w14:paraId="3BC16F3A" w14:textId="004EFED8" w:rsidR="001866CF" w:rsidRPr="007F63EF" w:rsidRDefault="001866CF" w:rsidP="001866CF">
            <w:pPr>
              <w:rPr>
                <w:color w:val="auto"/>
                <w:sz w:val="20"/>
                <w:szCs w:val="20"/>
              </w:rPr>
            </w:pPr>
            <w:r w:rsidRPr="00435404">
              <w:rPr>
                <w:sz w:val="20"/>
                <w:szCs w:val="20"/>
              </w:rPr>
              <w:t>Not mapped</w:t>
            </w:r>
          </w:p>
        </w:tc>
        <w:tc>
          <w:tcPr>
            <w:tcW w:w="1250" w:type="pct"/>
          </w:tcPr>
          <w:p w14:paraId="06D4D093" w14:textId="71935325" w:rsidR="001866CF" w:rsidRPr="007F63EF" w:rsidRDefault="001866CF" w:rsidP="001866CF">
            <w:pPr>
              <w:rPr>
                <w:color w:val="auto"/>
                <w:sz w:val="20"/>
                <w:szCs w:val="20"/>
              </w:rPr>
            </w:pPr>
            <w:r w:rsidRPr="00435404">
              <w:rPr>
                <w:sz w:val="20"/>
                <w:szCs w:val="20"/>
              </w:rPr>
              <w:t>Not mapped</w:t>
            </w:r>
          </w:p>
        </w:tc>
        <w:tc>
          <w:tcPr>
            <w:tcW w:w="1250" w:type="pct"/>
          </w:tcPr>
          <w:p w14:paraId="2D525C56" w14:textId="77777777" w:rsidR="001866CF" w:rsidRPr="007F63EF" w:rsidRDefault="001866CF" w:rsidP="001866CF">
            <w:pPr>
              <w:rPr>
                <w:color w:val="auto"/>
                <w:sz w:val="20"/>
                <w:szCs w:val="20"/>
              </w:rPr>
            </w:pPr>
          </w:p>
        </w:tc>
      </w:tr>
    </w:tbl>
    <w:p w14:paraId="61AC15AC" w14:textId="77777777" w:rsidR="00835882" w:rsidRPr="00482FD4" w:rsidRDefault="00835882" w:rsidP="00482FD4"/>
    <w:p w14:paraId="04B1167C" w14:textId="77777777" w:rsidR="002B2A0B" w:rsidRPr="002B2A0B" w:rsidRDefault="002B2A0B" w:rsidP="002B2A0B">
      <w:bookmarkStart w:id="148" w:name="_Hlk129560963"/>
      <w:r w:rsidRPr="002B2A0B">
        <w:t>In practice, there are some limitations to this analysis.</w:t>
      </w:r>
    </w:p>
    <w:p w14:paraId="70B4297B" w14:textId="2CD89B5D" w:rsidR="00A1415A" w:rsidRDefault="0038528A" w:rsidP="00C6374D">
      <w:pPr>
        <w:pStyle w:val="ListParagraph"/>
        <w:numPr>
          <w:ilvl w:val="0"/>
          <w:numId w:val="94"/>
        </w:numPr>
      </w:pPr>
      <w:r>
        <w:t xml:space="preserve">The </w:t>
      </w:r>
      <w:r w:rsidRPr="002B2A0B">
        <w:t>high</w:t>
      </w:r>
      <w:r w:rsidR="002B2A0B" w:rsidRPr="002B2A0B">
        <w:t xml:space="preserve"> proportion (45%) of CG investments recorded as cross-cutting and not assigned to a specific investment area (ranges from 10% </w:t>
      </w:r>
      <w:r w:rsidR="006F4B46">
        <w:t>to</w:t>
      </w:r>
      <w:r w:rsidR="002B2A0B" w:rsidRPr="002B2A0B">
        <w:t xml:space="preserve"> 70% across CGs)</w:t>
      </w:r>
      <w:r w:rsidR="008A5125">
        <w:t>.</w:t>
      </w:r>
      <w:r w:rsidR="007458AC">
        <w:t xml:space="preserve"> </w:t>
      </w:r>
      <w:r w:rsidR="008A5125" w:rsidRPr="008A5125">
        <w:t>Cross-cutting investments are programme delivery costs which cannot be allocated to an investment area, e.g. positions such as One Health Specialist</w:t>
      </w:r>
      <w:r w:rsidR="008A5125">
        <w:t xml:space="preserve">. </w:t>
      </w:r>
      <w:r w:rsidR="008A5125" w:rsidRPr="008A5125">
        <w:t>Overheads range from 3% in Bhutan to 44% in Nigeria</w:t>
      </w:r>
      <w:r w:rsidR="00A77F58">
        <w:t xml:space="preserve"> (see </w:t>
      </w:r>
      <w:r w:rsidR="00365A6D">
        <w:fldChar w:fldCharType="begin"/>
      </w:r>
      <w:r w:rsidR="00365A6D">
        <w:instrText xml:space="preserve"> REF _Ref120693681 \h </w:instrText>
      </w:r>
      <w:r w:rsidR="00365A6D">
        <w:fldChar w:fldCharType="separate"/>
      </w:r>
      <w:r w:rsidR="009A383C">
        <w:t xml:space="preserve">Figure </w:t>
      </w:r>
      <w:r w:rsidR="009A383C">
        <w:rPr>
          <w:noProof/>
        </w:rPr>
        <w:t>8</w:t>
      </w:r>
      <w:r w:rsidR="00365A6D">
        <w:fldChar w:fldCharType="end"/>
      </w:r>
      <w:r w:rsidR="00365A6D">
        <w:t xml:space="preserve"> below)</w:t>
      </w:r>
      <w:r w:rsidR="008A5125" w:rsidRPr="008A5125">
        <w:t>.</w:t>
      </w:r>
      <w:r w:rsidR="00A1415A" w:rsidRPr="00A1415A">
        <w:t xml:space="preserve"> </w:t>
      </w:r>
    </w:p>
    <w:p w14:paraId="09A5B3AB" w14:textId="77777777" w:rsidR="00A1415A" w:rsidRDefault="00A1415A" w:rsidP="00BB4743">
      <w:pPr>
        <w:pStyle w:val="ListParagraph"/>
        <w:ind w:left="360"/>
      </w:pPr>
    </w:p>
    <w:p w14:paraId="1A8CCD5A" w14:textId="6DE7A9DB" w:rsidR="00A1415A" w:rsidRPr="00EC1C44" w:rsidRDefault="00A1415A" w:rsidP="00C6374D">
      <w:pPr>
        <w:pStyle w:val="ListParagraph"/>
        <w:numPr>
          <w:ilvl w:val="0"/>
          <w:numId w:val="94"/>
        </w:numPr>
      </w:pPr>
      <w:r w:rsidRPr="002B2A0B">
        <w:t xml:space="preserve">Not all contribution drivers can be mapped to </w:t>
      </w:r>
      <w:r w:rsidR="007F4694">
        <w:t xml:space="preserve">an </w:t>
      </w:r>
      <w:r w:rsidRPr="002B2A0B">
        <w:t>investment area, so we look only at the main drivers</w:t>
      </w:r>
      <w:r w:rsidR="004841FB">
        <w:t>;</w:t>
      </w:r>
      <w:r w:rsidRPr="002B2A0B">
        <w:t xml:space="preserve"> Human capacity</w:t>
      </w:r>
      <w:r w:rsidR="004841FB">
        <w:t>,</w:t>
      </w:r>
      <w:r w:rsidRPr="002B2A0B">
        <w:t xml:space="preserve"> Renovation and Equipment</w:t>
      </w:r>
      <w:r w:rsidR="004841FB">
        <w:t>,</w:t>
      </w:r>
      <w:r w:rsidRPr="002B2A0B">
        <w:t xml:space="preserve"> and Governance which can be mapped to investment areas</w:t>
      </w:r>
      <w:r>
        <w:t xml:space="preserve">. </w:t>
      </w:r>
      <w:r w:rsidRPr="00EC1C44">
        <w:t xml:space="preserve">Therefore, we only assess </w:t>
      </w:r>
      <w:r w:rsidR="00435404">
        <w:t xml:space="preserve">the </w:t>
      </w:r>
      <w:r w:rsidRPr="00EC1C44">
        <w:t xml:space="preserve">overall alignment of investment in areas with contribution analysis drivers and identify and explore outliers (e.g. where </w:t>
      </w:r>
      <w:r w:rsidR="00B87FB8">
        <w:t xml:space="preserve">the </w:t>
      </w:r>
      <w:r w:rsidRPr="00EC1C44">
        <w:t>level of resources invested is high compared to how</w:t>
      </w:r>
      <w:r w:rsidR="00B87FB8">
        <w:t xml:space="preserve"> the</w:t>
      </w:r>
      <w:r w:rsidRPr="00EC1C44">
        <w:t xml:space="preserve"> contribution driver was perceived or where the contribution perceived is high compared with the </w:t>
      </w:r>
      <w:r w:rsidRPr="00895E78">
        <w:t>resources invested).</w:t>
      </w:r>
      <w:r>
        <w:t xml:space="preserve"> </w:t>
      </w:r>
      <w:r>
        <w:fldChar w:fldCharType="begin"/>
      </w:r>
      <w:r>
        <w:instrText xml:space="preserve"> REF _Ref120693752 \h </w:instrText>
      </w:r>
      <w:r>
        <w:fldChar w:fldCharType="separate"/>
      </w:r>
      <w:r w:rsidR="009A383C">
        <w:t xml:space="preserve">Figure </w:t>
      </w:r>
      <w:r w:rsidR="009A383C">
        <w:rPr>
          <w:noProof/>
        </w:rPr>
        <w:t>9</w:t>
      </w:r>
      <w:r>
        <w:fldChar w:fldCharType="end"/>
      </w:r>
      <w:r>
        <w:t xml:space="preserve"> </w:t>
      </w:r>
      <w:r w:rsidRPr="00365A6D">
        <w:t>displays expenditure by investment area from the start of implementation to</w:t>
      </w:r>
      <w:r w:rsidR="00F9144F">
        <w:t xml:space="preserve"> the</w:t>
      </w:r>
      <w:r w:rsidRPr="00365A6D">
        <w:t xml:space="preserve"> end of June 2022.</w:t>
      </w:r>
      <w:r>
        <w:t xml:space="preserve"> </w:t>
      </w:r>
      <w:r w:rsidRPr="00365A6D">
        <w:t>It excludes all cross-cutting costs and only shows expenditure in the five investment areas.</w:t>
      </w:r>
    </w:p>
    <w:p w14:paraId="26AEA62D" w14:textId="77777777" w:rsidR="00A1415A" w:rsidRDefault="00A1415A" w:rsidP="00A1415A">
      <w:pPr>
        <w:pStyle w:val="ListParagraph"/>
        <w:ind w:left="360"/>
      </w:pPr>
    </w:p>
    <w:p w14:paraId="2811164D" w14:textId="77777777" w:rsidR="001639B3" w:rsidRDefault="001639B3" w:rsidP="00BB4743"/>
    <w:bookmarkEnd w:id="148"/>
    <w:p w14:paraId="1CF9411A" w14:textId="77777777" w:rsidR="006959EA" w:rsidRDefault="00CF0899" w:rsidP="006959EA">
      <w:pPr>
        <w:keepNext/>
        <w:ind w:left="360"/>
      </w:pPr>
      <w:r w:rsidRPr="00CF0899">
        <w:rPr>
          <w:noProof/>
        </w:rPr>
        <w:drawing>
          <wp:inline distT="0" distB="0" distL="0" distR="0" wp14:anchorId="4F88242B" wp14:editId="5C22F5BC">
            <wp:extent cx="5797550" cy="3435350"/>
            <wp:effectExtent l="0" t="0" r="12700" b="12700"/>
            <wp:docPr id="18" name="Chart 18">
              <a:extLst xmlns:a="http://schemas.openxmlformats.org/drawingml/2006/main">
                <a:ext uri="{FF2B5EF4-FFF2-40B4-BE49-F238E27FC236}">
                  <a16:creationId xmlns:a16="http://schemas.microsoft.com/office/drawing/2014/main" id="{4E07BC9D-149A-7598-E36F-41B175EAFA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DE1D5F4" w14:textId="67D7ACB8" w:rsidR="00CF0899" w:rsidRDefault="006959EA" w:rsidP="00C04C3C">
      <w:pPr>
        <w:pStyle w:val="ItadCaption"/>
      </w:pPr>
      <w:bookmarkStart w:id="149" w:name="_Ref120693681"/>
      <w:bookmarkStart w:id="150" w:name="_Toc143858062"/>
      <w:r>
        <w:t xml:space="preserve">Figure </w:t>
      </w:r>
      <w:r>
        <w:fldChar w:fldCharType="begin"/>
      </w:r>
      <w:r>
        <w:instrText>SEQ Figure \* ARABIC</w:instrText>
      </w:r>
      <w:r>
        <w:fldChar w:fldCharType="separate"/>
      </w:r>
      <w:r w:rsidR="009A383C">
        <w:rPr>
          <w:noProof/>
        </w:rPr>
        <w:t>8</w:t>
      </w:r>
      <w:r>
        <w:fldChar w:fldCharType="end"/>
      </w:r>
      <w:bookmarkEnd w:id="149"/>
      <w:r>
        <w:t xml:space="preserve"> </w:t>
      </w:r>
      <w:r w:rsidRPr="00001381">
        <w:t>Fleming Fund Country Grants Expenditure September 2019 to June 2022 by budget category (Source: Management Agent)</w:t>
      </w:r>
      <w:bookmarkEnd w:id="150"/>
    </w:p>
    <w:p w14:paraId="4C30E8A3" w14:textId="77777777" w:rsidR="00075EBD" w:rsidRDefault="00075EBD" w:rsidP="00075EBD">
      <w:pPr>
        <w:pStyle w:val="ItadIntroText"/>
        <w:rPr>
          <w:lang w:eastAsia="en-GB"/>
        </w:rPr>
      </w:pPr>
    </w:p>
    <w:p w14:paraId="04C0CA0C" w14:textId="7DF542AB" w:rsidR="00075EBD" w:rsidRPr="00075EBD" w:rsidRDefault="006F2AF1" w:rsidP="00075EBD">
      <w:pPr>
        <w:pStyle w:val="ItadNormalText"/>
        <w:rPr>
          <w:lang w:eastAsia="en-GB"/>
        </w:rPr>
      </w:pPr>
      <w:r>
        <w:rPr>
          <w:noProof/>
        </w:rPr>
        <w:drawing>
          <wp:inline distT="0" distB="0" distL="0" distR="0" wp14:anchorId="450BA51D" wp14:editId="77DC80C8">
            <wp:extent cx="5867400" cy="3032760"/>
            <wp:effectExtent l="0" t="0" r="0" b="15240"/>
            <wp:docPr id="60" name="Chart 60">
              <a:extLst xmlns:a="http://schemas.openxmlformats.org/drawingml/2006/main">
                <a:ext uri="{FF2B5EF4-FFF2-40B4-BE49-F238E27FC236}">
                  <a16:creationId xmlns:a16="http://schemas.microsoft.com/office/drawing/2014/main" id="{C45AC31E-ABD3-53AA-BD34-8476E071EF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902BD2D" w14:textId="19915A01" w:rsidR="002E76A1" w:rsidRDefault="002E76A1" w:rsidP="00C04C3C">
      <w:pPr>
        <w:pStyle w:val="ItadCaption"/>
      </w:pPr>
      <w:bookmarkStart w:id="151" w:name="_Ref120693752"/>
      <w:bookmarkStart w:id="152" w:name="_Toc143858063"/>
      <w:r>
        <w:t xml:space="preserve">Figure </w:t>
      </w:r>
      <w:r>
        <w:fldChar w:fldCharType="begin"/>
      </w:r>
      <w:r>
        <w:instrText>SEQ Figure \* ARABIC</w:instrText>
      </w:r>
      <w:r>
        <w:fldChar w:fldCharType="separate"/>
      </w:r>
      <w:r w:rsidR="009A383C">
        <w:rPr>
          <w:noProof/>
        </w:rPr>
        <w:t>9</w:t>
      </w:r>
      <w:r>
        <w:fldChar w:fldCharType="end"/>
      </w:r>
      <w:bookmarkEnd w:id="151"/>
      <w:r>
        <w:t xml:space="preserve"> </w:t>
      </w:r>
      <w:r w:rsidRPr="00DE7B85">
        <w:t>Fleming Fund Country Grants Expenditure September 2019 to June 2022 by investment area (Source: Management Agent)</w:t>
      </w:r>
      <w:bookmarkEnd w:id="152"/>
    </w:p>
    <w:p w14:paraId="6E7457B0" w14:textId="0F7D8B40" w:rsidR="009C2447" w:rsidRPr="009C2447" w:rsidRDefault="009C2447" w:rsidP="00BB4743">
      <w:bookmarkStart w:id="153" w:name="_Hlk129561080"/>
      <w:r w:rsidRPr="009C2447">
        <w:rPr>
          <w:b/>
          <w:bCs/>
        </w:rPr>
        <w:t>In general, we found</w:t>
      </w:r>
      <w:r w:rsidR="005B520B">
        <w:rPr>
          <w:b/>
          <w:bCs/>
        </w:rPr>
        <w:t xml:space="preserve"> that</w:t>
      </w:r>
      <w:r w:rsidRPr="009C2447">
        <w:rPr>
          <w:b/>
          <w:bCs/>
        </w:rPr>
        <w:t xml:space="preserve"> there was a high degree of alignment between </w:t>
      </w:r>
      <w:r w:rsidR="00C571CF">
        <w:rPr>
          <w:b/>
          <w:bCs/>
        </w:rPr>
        <w:t xml:space="preserve">the </w:t>
      </w:r>
      <w:r w:rsidRPr="009C2447">
        <w:rPr>
          <w:b/>
          <w:bCs/>
        </w:rPr>
        <w:t xml:space="preserve">level of investment and </w:t>
      </w:r>
      <w:r w:rsidR="00C571CF">
        <w:rPr>
          <w:b/>
          <w:bCs/>
        </w:rPr>
        <w:t xml:space="preserve">the </w:t>
      </w:r>
      <w:r w:rsidRPr="009C2447">
        <w:rPr>
          <w:b/>
          <w:bCs/>
        </w:rPr>
        <w:t>strength of drivers</w:t>
      </w:r>
      <w:r w:rsidR="00F455CC">
        <w:rPr>
          <w:b/>
          <w:bCs/>
        </w:rPr>
        <w:t xml:space="preserve"> for change in data availability</w:t>
      </w:r>
      <w:r w:rsidRPr="009C2447">
        <w:rPr>
          <w:b/>
          <w:bCs/>
        </w:rPr>
        <w:t>.</w:t>
      </w:r>
      <w:r>
        <w:t xml:space="preserve"> </w:t>
      </w:r>
      <w:r w:rsidR="007E47BB" w:rsidRPr="007E47BB">
        <w:t>We compared the levels of expenditure by investment area with the contribution drivers reported.</w:t>
      </w:r>
      <w:r w:rsidR="007E47BB">
        <w:rPr>
          <w:b/>
          <w:bCs/>
        </w:rPr>
        <w:t xml:space="preserve"> </w:t>
      </w:r>
      <w:r w:rsidR="00E32BF5" w:rsidRPr="00E32BF5">
        <w:t>In general, we found alignment between the level of investments and the strength of drivers</w:t>
      </w:r>
      <w:r w:rsidR="00F455CC">
        <w:t>: f</w:t>
      </w:r>
      <w:r w:rsidRPr="009C2447">
        <w:t xml:space="preserve">or example, in countries where there was a higher level of investment in </w:t>
      </w:r>
      <w:r w:rsidR="009F286C" w:rsidRPr="009C2447">
        <w:t>laboratory infrastructure, renovation</w:t>
      </w:r>
      <w:r w:rsidRPr="009C2447">
        <w:t xml:space="preserve"> was one of the stronger drivers.</w:t>
      </w:r>
      <w:r w:rsidR="007458AC">
        <w:t xml:space="preserve"> </w:t>
      </w:r>
    </w:p>
    <w:p w14:paraId="1906A34E" w14:textId="7038BB1D" w:rsidR="0012045E" w:rsidRDefault="0012045E" w:rsidP="0012045E">
      <w:pPr>
        <w:pStyle w:val="ItadNormalText"/>
      </w:pPr>
      <w:r w:rsidRPr="0012045E">
        <w:rPr>
          <w:b/>
          <w:bCs/>
        </w:rPr>
        <w:t>In general, investments are</w:t>
      </w:r>
      <w:r w:rsidR="0012429A">
        <w:rPr>
          <w:b/>
          <w:bCs/>
        </w:rPr>
        <w:t xml:space="preserve"> also</w:t>
      </w:r>
      <w:r w:rsidRPr="0012045E">
        <w:rPr>
          <w:b/>
          <w:bCs/>
        </w:rPr>
        <w:t xml:space="preserve"> aligned with performance</w:t>
      </w:r>
      <w:r w:rsidR="00F455CC">
        <w:rPr>
          <w:b/>
          <w:bCs/>
        </w:rPr>
        <w:t xml:space="preserve"> in terms of </w:t>
      </w:r>
      <w:r w:rsidR="005979AD">
        <w:rPr>
          <w:b/>
          <w:bCs/>
        </w:rPr>
        <w:t xml:space="preserve">data sharing and use.  </w:t>
      </w:r>
      <w:r w:rsidR="005979AD" w:rsidRPr="005979AD">
        <w:t>We compared the level of investments under Foundation building – AMR surveillance data use with performance assessed through contribution analysis.</w:t>
      </w:r>
      <w:r w:rsidR="0012429A">
        <w:t xml:space="preserve"> We found </w:t>
      </w:r>
      <w:r w:rsidR="00443C5E">
        <w:t>that</w:t>
      </w:r>
      <w:r w:rsidR="0012429A">
        <w:t xml:space="preserve"> </w:t>
      </w:r>
      <w:r w:rsidRPr="0012045E">
        <w:t>there was lower investment in countries</w:t>
      </w:r>
      <w:r w:rsidR="0012429A">
        <w:t xml:space="preserve"> that</w:t>
      </w:r>
      <w:r w:rsidRPr="0012045E">
        <w:t xml:space="preserve"> report</w:t>
      </w:r>
      <w:r w:rsidR="0012429A">
        <w:t>ed</w:t>
      </w:r>
      <w:r w:rsidRPr="0012045E">
        <w:t xml:space="preserve"> </w:t>
      </w:r>
      <w:r w:rsidR="0012429A">
        <w:t xml:space="preserve">less </w:t>
      </w:r>
      <w:r w:rsidRPr="0012045E">
        <w:t>progress</w:t>
      </w:r>
      <w:r w:rsidR="009A5521">
        <w:t>/</w:t>
      </w:r>
      <w:r w:rsidRPr="0012045E">
        <w:t>F</w:t>
      </w:r>
      <w:r w:rsidR="00D432AF">
        <w:t xml:space="preserve">leming </w:t>
      </w:r>
      <w:r w:rsidRPr="0012045E">
        <w:t>F</w:t>
      </w:r>
      <w:r w:rsidR="00D432AF">
        <w:t>und</w:t>
      </w:r>
      <w:r w:rsidRPr="0012045E">
        <w:t xml:space="preserve"> contribution</w:t>
      </w:r>
      <w:r w:rsidR="00C571CF">
        <w:t>s</w:t>
      </w:r>
      <w:r w:rsidRPr="0012045E">
        <w:t xml:space="preserve"> and higher performing countries had relatively higher investment in this area.</w:t>
      </w:r>
    </w:p>
    <w:p w14:paraId="2D5DA91B" w14:textId="4B6F3DD9" w:rsidR="00E8436E" w:rsidRDefault="00823356" w:rsidP="00823356">
      <w:r w:rsidRPr="00823356">
        <w:t>Investments in</w:t>
      </w:r>
      <w:r w:rsidR="00C571CF">
        <w:t xml:space="preserve"> the</w:t>
      </w:r>
      <w:r w:rsidRPr="00823356">
        <w:t xml:space="preserve"> rational use of antibiotics </w:t>
      </w:r>
      <w:r w:rsidR="0004294D">
        <w:t>were</w:t>
      </w:r>
      <w:r w:rsidR="0004294D" w:rsidRPr="00823356">
        <w:t xml:space="preserve"> </w:t>
      </w:r>
      <w:r w:rsidRPr="00823356">
        <w:t>very low overall in most countries except Pakistan and Vietnam</w:t>
      </w:r>
      <w:r w:rsidR="00443C5E">
        <w:t>.</w:t>
      </w:r>
      <w:r w:rsidR="007458AC">
        <w:t xml:space="preserve"> </w:t>
      </w:r>
    </w:p>
    <w:bookmarkEnd w:id="153"/>
    <w:p w14:paraId="106F44BB" w14:textId="755A30FD" w:rsidR="000A70AB" w:rsidRDefault="000A70AB" w:rsidP="00823356">
      <w:r>
        <w:br w:type="page"/>
      </w:r>
    </w:p>
    <w:p w14:paraId="2008F6F6" w14:textId="37F2E777" w:rsidR="00FD2C2A" w:rsidRDefault="0018231A" w:rsidP="00FD2C2A">
      <w:pPr>
        <w:pStyle w:val="ItadH1Numbered"/>
        <w:numPr>
          <w:ilvl w:val="0"/>
          <w:numId w:val="0"/>
        </w:numPr>
      </w:pPr>
      <w:bookmarkStart w:id="154" w:name="_Toc118968523"/>
      <w:bookmarkStart w:id="155" w:name="_Toc142383163"/>
      <w:r w:rsidRPr="007C65F2">
        <w:t xml:space="preserve">Annex </w:t>
      </w:r>
      <w:r w:rsidR="00A70655">
        <w:t>7</w:t>
      </w:r>
      <w:r w:rsidRPr="007C65F2">
        <w:t xml:space="preserve">: </w:t>
      </w:r>
      <w:r w:rsidR="000310FE">
        <w:t>One Health</w:t>
      </w:r>
      <w:bookmarkEnd w:id="154"/>
      <w:bookmarkEnd w:id="155"/>
    </w:p>
    <w:p w14:paraId="697B7862" w14:textId="0E0E16FD" w:rsidR="001134AD" w:rsidRDefault="00FD2C2A" w:rsidP="00FD2C2A">
      <w:pPr>
        <w:pStyle w:val="ItadH2"/>
      </w:pPr>
      <w:bookmarkStart w:id="156" w:name="_Toc118968524"/>
      <w:bookmarkStart w:id="157" w:name="_Toc142383164"/>
      <w:r>
        <w:t>Background</w:t>
      </w:r>
      <w:bookmarkEnd w:id="156"/>
      <w:bookmarkEnd w:id="157"/>
    </w:p>
    <w:p w14:paraId="0DE2D892" w14:textId="0CB1E845" w:rsidR="001134AD" w:rsidRDefault="6420FFBD" w:rsidP="005E3F73">
      <w:pPr>
        <w:pStyle w:val="FFNormal"/>
      </w:pPr>
      <w:r>
        <w:t xml:space="preserve">One Health is an approach to develop a multisector response to infectious disease challenges such as AMR, zoonoses and emerging infections that involve multiple species groups and sectors. Given the role of animal, environment as well as </w:t>
      </w:r>
      <w:r w:rsidR="2F36DAA0">
        <w:t>HH</w:t>
      </w:r>
      <w:r>
        <w:t xml:space="preserve"> sectors in controlling the problems of AMR, global health agencies had labelled AMR as an ‘entry point’ for demonstrating the effectiveness of One Health approaches from</w:t>
      </w:r>
      <w:r w:rsidR="00A8720B">
        <w:t xml:space="preserve"> the</w:t>
      </w:r>
      <w:r>
        <w:t xml:space="preserve"> early days of the One Health movement</w:t>
      </w:r>
      <w:r w:rsidR="003D4BF5">
        <w:t>.</w:t>
      </w:r>
      <w:r w:rsidR="001134AD">
        <w:rPr>
          <w:rStyle w:val="FootnoteReference"/>
        </w:rPr>
        <w:footnoteReference w:id="35"/>
      </w:r>
      <w:r>
        <w:t xml:space="preserve"> Accordingly, Fleming Fund had identified One Health as one of the four principles </w:t>
      </w:r>
      <w:r w:rsidR="46A654BB">
        <w:t>(</w:t>
      </w:r>
      <w:r w:rsidR="009E2AC2">
        <w:t>phase 1</w:t>
      </w:r>
      <w:r w:rsidR="46A654BB">
        <w:t>)</w:t>
      </w:r>
      <w:r w:rsidR="7BA64B3E">
        <w:t xml:space="preserve"> </w:t>
      </w:r>
      <w:r>
        <w:t>for its operationalisation in its Implementation plan</w:t>
      </w:r>
      <w:r w:rsidR="00DB7408">
        <w:t>.</w:t>
      </w:r>
      <w:r w:rsidR="001134AD">
        <w:rPr>
          <w:rStyle w:val="FootnoteReference"/>
        </w:rPr>
        <w:footnoteReference w:id="36"/>
      </w:r>
    </w:p>
    <w:p w14:paraId="529B08B1" w14:textId="2D51A638" w:rsidR="001134AD" w:rsidRDefault="001134AD" w:rsidP="005E3F73">
      <w:pPr>
        <w:pStyle w:val="FFNormal"/>
      </w:pPr>
      <w:r>
        <w:t xml:space="preserve">As this document describes below, even though there was a strong impetus for fostering multisector One Health partnerships around AMR at the time </w:t>
      </w:r>
      <w:r w:rsidR="00E8551E">
        <w:t xml:space="preserve">the </w:t>
      </w:r>
      <w:r>
        <w:t xml:space="preserve">Fleming Fund started, there was limited practical guidance around how to successfully operationalise One Health in different country contexts – something that the international agencies have only now started to address, as demonstrated in the objectives of </w:t>
      </w:r>
      <w:r w:rsidR="60346DCE">
        <w:t xml:space="preserve">the </w:t>
      </w:r>
      <w:r>
        <w:t>recent world Health Assembly resolution on One Health</w:t>
      </w:r>
      <w:r w:rsidR="003D4BF5">
        <w:t>.</w:t>
      </w:r>
      <w:r>
        <w:rPr>
          <w:rStyle w:val="FootnoteReference"/>
        </w:rPr>
        <w:footnoteReference w:id="37"/>
      </w:r>
      <w:r>
        <w:t xml:space="preserve"> </w:t>
      </w:r>
    </w:p>
    <w:p w14:paraId="20A95C39" w14:textId="4D80D193" w:rsidR="001134AD" w:rsidRDefault="001134AD" w:rsidP="005E3F73">
      <w:pPr>
        <w:pStyle w:val="FFNormal"/>
      </w:pPr>
      <w:r>
        <w:t>The last five years have witnessed</w:t>
      </w:r>
      <w:r w:rsidR="00A51420">
        <w:t xml:space="preserve"> a</w:t>
      </w:r>
      <w:r>
        <w:t xml:space="preserve"> changing landscape of global partnerships around One Health governance globally. For instance, the </w:t>
      </w:r>
      <w:r w:rsidR="2905245A" w:rsidRPr="00121E83">
        <w:t>WOAH</w:t>
      </w:r>
      <w:r>
        <w:t xml:space="preserve">-FAO-WHO tripartite has now expanded its leadership to include </w:t>
      </w:r>
      <w:r w:rsidR="2443F886">
        <w:t xml:space="preserve">the </w:t>
      </w:r>
      <w:r w:rsidR="2443F886" w:rsidRPr="00F15F23">
        <w:t>United Nations Environment Programme</w:t>
      </w:r>
      <w:r>
        <w:t xml:space="preserve"> and a stronger acknowledgement of </w:t>
      </w:r>
      <w:r w:rsidR="00A51420">
        <w:t xml:space="preserve">the </w:t>
      </w:r>
      <w:r>
        <w:t xml:space="preserve">environment sector. This has been accompanied </w:t>
      </w:r>
      <w:r w:rsidR="00CC71AA">
        <w:t xml:space="preserve">by </w:t>
      </w:r>
      <w:r>
        <w:t>the development of a more structured approach to implementing One Health across different country contexts, as evidenced by the development of the Tripartite Zoonoses Guide and related tools</w:t>
      </w:r>
      <w:r w:rsidR="00CC71AA">
        <w:t>.</w:t>
      </w:r>
      <w:r>
        <w:rPr>
          <w:rStyle w:val="FootnoteReference"/>
        </w:rPr>
        <w:footnoteReference w:id="38"/>
      </w:r>
      <w:r>
        <w:t xml:space="preserve"> </w:t>
      </w:r>
    </w:p>
    <w:p w14:paraId="1C43BC18" w14:textId="53698A6B" w:rsidR="001134AD" w:rsidRDefault="000C36B1" w:rsidP="005E3F73">
      <w:pPr>
        <w:pStyle w:val="FFNormal"/>
      </w:pPr>
      <w:r>
        <w:t>The</w:t>
      </w:r>
      <w:r w:rsidR="001134AD">
        <w:t xml:space="preserve"> landscape of One Health discourse was changing externally, accompanied </w:t>
      </w:r>
      <w:r w:rsidR="005B436C">
        <w:t xml:space="preserve">by </w:t>
      </w:r>
      <w:r w:rsidR="001134AD">
        <w:t>a parallel set of reflections on the importance of</w:t>
      </w:r>
      <w:r w:rsidR="00582E30">
        <w:t xml:space="preserve"> the</w:t>
      </w:r>
      <w:r w:rsidR="001134AD">
        <w:t xml:space="preserve"> country context within the Fleming Fund. The practical experience of operationalising One Health across 2</w:t>
      </w:r>
      <w:r w:rsidR="008B2BE1">
        <w:t>3</w:t>
      </w:r>
      <w:r w:rsidR="001134AD">
        <w:t xml:space="preserve"> different countries that spanned a wide range of technical capacities and administrative cultures helped refine its understanding of and expectations from </w:t>
      </w:r>
      <w:r w:rsidR="00A66C0C">
        <w:t xml:space="preserve">a </w:t>
      </w:r>
      <w:r w:rsidR="001134AD">
        <w:t xml:space="preserve">One Health approach, as described </w:t>
      </w:r>
      <w:r w:rsidR="001134AD" w:rsidRPr="00E41535">
        <w:t xml:space="preserve">in </w:t>
      </w:r>
      <w:r w:rsidR="003E48CC" w:rsidRPr="00E41535">
        <w:fldChar w:fldCharType="begin"/>
      </w:r>
      <w:r w:rsidR="003E48CC" w:rsidRPr="003E48CC">
        <w:rPr>
          <w:highlight w:val="yellow"/>
        </w:rPr>
        <w:instrText xml:space="preserve"> REF _Ref118976533 \h </w:instrText>
      </w:r>
      <w:r w:rsidR="003E48CC">
        <w:rPr>
          <w:highlight w:val="yellow"/>
        </w:rPr>
        <w:instrText xml:space="preserve"> \* MERGEFORMAT </w:instrText>
      </w:r>
      <w:r w:rsidR="003E48CC" w:rsidRPr="00E41535">
        <w:fldChar w:fldCharType="separate"/>
      </w:r>
      <w:r w:rsidR="009A383C">
        <w:t xml:space="preserve">Figure </w:t>
      </w:r>
      <w:r w:rsidR="009A383C">
        <w:rPr>
          <w:noProof/>
        </w:rPr>
        <w:t>10</w:t>
      </w:r>
      <w:r w:rsidR="003E48CC" w:rsidRPr="00E41535">
        <w:fldChar w:fldCharType="end"/>
      </w:r>
      <w:r w:rsidR="00EB397B" w:rsidRPr="00E41535">
        <w:t xml:space="preserve"> </w:t>
      </w:r>
      <w:r w:rsidR="003E48CC" w:rsidRPr="00E41535">
        <w:t xml:space="preserve">and </w:t>
      </w:r>
      <w:r w:rsidR="003E48CC" w:rsidRPr="00E41535">
        <w:fldChar w:fldCharType="begin"/>
      </w:r>
      <w:r w:rsidR="003E48CC" w:rsidRPr="003E48CC">
        <w:rPr>
          <w:highlight w:val="yellow"/>
        </w:rPr>
        <w:instrText xml:space="preserve"> REF _Ref118378049 \h </w:instrText>
      </w:r>
      <w:r w:rsidR="003E48CC">
        <w:rPr>
          <w:highlight w:val="yellow"/>
        </w:rPr>
        <w:instrText xml:space="preserve"> \* MERGEFORMAT </w:instrText>
      </w:r>
      <w:r w:rsidR="003E48CC" w:rsidRPr="00E41535">
        <w:fldChar w:fldCharType="separate"/>
      </w:r>
      <w:r w:rsidR="009A383C">
        <w:t xml:space="preserve">Figure </w:t>
      </w:r>
      <w:r w:rsidR="009A383C">
        <w:rPr>
          <w:noProof/>
        </w:rPr>
        <w:t>11</w:t>
      </w:r>
      <w:r w:rsidR="003E48CC" w:rsidRPr="00E41535">
        <w:fldChar w:fldCharType="end"/>
      </w:r>
      <w:r w:rsidR="001134AD" w:rsidRPr="00E41535">
        <w:t xml:space="preserve"> below.</w:t>
      </w:r>
      <w:r w:rsidR="001134AD">
        <w:t xml:space="preserve"> </w:t>
      </w:r>
    </w:p>
    <w:p w14:paraId="6D939FD6" w14:textId="2392C6E7" w:rsidR="001134AD" w:rsidRDefault="001134AD" w:rsidP="005E3F73">
      <w:pPr>
        <w:pStyle w:val="FFNormal"/>
      </w:pPr>
      <w:r>
        <w:t xml:space="preserve">The changes in expectations from </w:t>
      </w:r>
      <w:r w:rsidR="00A66C0C">
        <w:t xml:space="preserve">a </w:t>
      </w:r>
      <w:r>
        <w:t xml:space="preserve">One Health approach </w:t>
      </w:r>
      <w:r w:rsidR="007A669D">
        <w:t xml:space="preserve">were </w:t>
      </w:r>
      <w:r>
        <w:t xml:space="preserve">also reflected in the focus of </w:t>
      </w:r>
      <w:r w:rsidR="00A66C0C">
        <w:t xml:space="preserve">the </w:t>
      </w:r>
      <w:r>
        <w:t xml:space="preserve">evaluation. The evaluation scope changed from mapping existing institutional modes of One Health in </w:t>
      </w:r>
      <w:r w:rsidR="00C56BCB">
        <w:t>Country Visit 1</w:t>
      </w:r>
      <w:r>
        <w:t xml:space="preserve"> (2019) to characterising the diversity of partnerships in </w:t>
      </w:r>
      <w:r w:rsidR="00C56BCB">
        <w:t>Country Visit 2</w:t>
      </w:r>
      <w:r>
        <w:t xml:space="preserve"> (2020-21) to identifying spaces for multisector dialogues that could improve cross-sector decision</w:t>
      </w:r>
      <w:r w:rsidR="004B175C">
        <w:t xml:space="preserve"> </w:t>
      </w:r>
      <w:r>
        <w:t xml:space="preserve">making in </w:t>
      </w:r>
      <w:r w:rsidR="00C56BCB">
        <w:t>Country Visit 3</w:t>
      </w:r>
      <w:r>
        <w:t xml:space="preserve"> (2022) (see </w:t>
      </w:r>
      <w:r w:rsidR="00E76F00">
        <w:rPr>
          <w:highlight w:val="yellow"/>
        </w:rPr>
        <w:fldChar w:fldCharType="begin"/>
      </w:r>
      <w:r w:rsidR="00E76F00">
        <w:instrText xml:space="preserve"> REF _Ref118378152 \h </w:instrText>
      </w:r>
      <w:r w:rsidR="00E76F00">
        <w:rPr>
          <w:highlight w:val="yellow"/>
        </w:rPr>
      </w:r>
      <w:r w:rsidR="00E76F00">
        <w:rPr>
          <w:highlight w:val="yellow"/>
        </w:rPr>
        <w:fldChar w:fldCharType="separate"/>
      </w:r>
      <w:r w:rsidR="009A383C">
        <w:t xml:space="preserve">Figure </w:t>
      </w:r>
      <w:r w:rsidR="009A383C">
        <w:rPr>
          <w:noProof/>
        </w:rPr>
        <w:t>14</w:t>
      </w:r>
      <w:r w:rsidR="00E76F00">
        <w:rPr>
          <w:highlight w:val="yellow"/>
        </w:rPr>
        <w:fldChar w:fldCharType="end"/>
      </w:r>
      <w:r>
        <w:t xml:space="preserve">). </w:t>
      </w:r>
    </w:p>
    <w:p w14:paraId="5367BAA5" w14:textId="58FF3DC1" w:rsidR="001134AD" w:rsidRDefault="001134AD" w:rsidP="005E3F73">
      <w:pPr>
        <w:pStyle w:val="FFNormal"/>
      </w:pPr>
      <w:r>
        <w:t xml:space="preserve">The main findings from the different phases of the evaluation, as well as their relevance for </w:t>
      </w:r>
      <w:r w:rsidR="001D2F69">
        <w:t xml:space="preserve">the </w:t>
      </w:r>
      <w:r>
        <w:t>next phase of Fleming Fund activities</w:t>
      </w:r>
      <w:r w:rsidR="0020676F">
        <w:t>,</w:t>
      </w:r>
      <w:r>
        <w:t xml:space="preserve"> are discussed below. To give a quick overview of the structure of this Annex, we discuss the </w:t>
      </w:r>
      <w:r w:rsidR="00F21D1C">
        <w:t>EQ</w:t>
      </w:r>
      <w:r>
        <w:t xml:space="preserve">s posed across the three sets of country visits. We then describe the </w:t>
      </w:r>
      <w:r w:rsidR="00B832C0">
        <w:t>key</w:t>
      </w:r>
      <w:r>
        <w:t xml:space="preserve"> findings, including the situation in 2018 as well as the progress made across 16 countries. Lastly, we identify the variations in country performances and </w:t>
      </w:r>
      <w:r w:rsidR="00152FDC">
        <w:t>the possible reasons</w:t>
      </w:r>
      <w:r>
        <w:t xml:space="preserve">. </w:t>
      </w:r>
    </w:p>
    <w:p w14:paraId="4D7026FB" w14:textId="5294FF11" w:rsidR="001134AD" w:rsidRDefault="00F21D1C" w:rsidP="00FD2C2A">
      <w:pPr>
        <w:pStyle w:val="ItadH2"/>
      </w:pPr>
      <w:bookmarkStart w:id="158" w:name="_Toc118968525"/>
      <w:bookmarkStart w:id="159" w:name="_Toc142383165"/>
      <w:r>
        <w:t xml:space="preserve">Evaluation </w:t>
      </w:r>
      <w:r w:rsidR="00764EB0">
        <w:t>q</w:t>
      </w:r>
      <w:r>
        <w:t>uestion</w:t>
      </w:r>
      <w:bookmarkEnd w:id="158"/>
      <w:bookmarkEnd w:id="159"/>
    </w:p>
    <w:p w14:paraId="62943942" w14:textId="77777777" w:rsidR="001134AD" w:rsidRPr="00E007A1" w:rsidRDefault="001134AD" w:rsidP="00FD2C2A">
      <w:pPr>
        <w:pStyle w:val="ItadH3"/>
        <w:rPr>
          <w:lang w:val="en-GB"/>
        </w:rPr>
      </w:pPr>
      <w:bookmarkStart w:id="160" w:name="_Toc118968526"/>
      <w:bookmarkStart w:id="161" w:name="_Toc142383166"/>
      <w:r w:rsidRPr="00E007A1">
        <w:rPr>
          <w:lang w:val="en-GB"/>
        </w:rPr>
        <w:t>Starting position: What is One Health</w:t>
      </w:r>
      <w:bookmarkEnd w:id="160"/>
      <w:bookmarkEnd w:id="161"/>
    </w:p>
    <w:p w14:paraId="6B657D27" w14:textId="0C527FC9" w:rsidR="001134AD" w:rsidRDefault="001134AD" w:rsidP="005E3F73">
      <w:pPr>
        <w:pStyle w:val="FFNormal"/>
      </w:pPr>
      <w:r>
        <w:t xml:space="preserve">The first set of clear statements on One Health in the context of </w:t>
      </w:r>
      <w:r w:rsidR="00AC5885">
        <w:t xml:space="preserve">the </w:t>
      </w:r>
      <w:r>
        <w:t xml:space="preserve">Fleming Fund were included as an Annex in the Fleming Fund implementation plan (June 2017). According to the </w:t>
      </w:r>
      <w:r w:rsidR="00D0484D">
        <w:t>implementation plan</w:t>
      </w:r>
      <w:r>
        <w:t>, One Health was centred around three principles</w:t>
      </w:r>
      <w:r w:rsidR="00AC5885">
        <w:t>.</w:t>
      </w:r>
      <w:r>
        <w:t xml:space="preserve"> </w:t>
      </w:r>
      <w:r w:rsidR="00AC5885">
        <w:t xml:space="preserve">The first two, </w:t>
      </w:r>
      <w:r w:rsidR="00D0484D">
        <w:t>leadership</w:t>
      </w:r>
      <w:r>
        <w:t xml:space="preserve"> and collaborative structures and </w:t>
      </w:r>
      <w:r w:rsidR="00D0484D">
        <w:t>integrated</w:t>
      </w:r>
      <w:r>
        <w:t xml:space="preserve"> surveillance, were expected to lead to the third principle </w:t>
      </w:r>
      <w:r w:rsidR="0084716D">
        <w:t>–</w:t>
      </w:r>
      <w:r>
        <w:t xml:space="preserve"> evidence-based policies. </w:t>
      </w:r>
    </w:p>
    <w:p w14:paraId="2F7F3BC1" w14:textId="43BCC54B" w:rsidR="001134AD" w:rsidRDefault="001134AD" w:rsidP="005E3F73">
      <w:pPr>
        <w:pStyle w:val="FFNormal"/>
      </w:pPr>
      <w:r>
        <w:t>This approach to One Health was, in turn, informed by a 2008 WHO guidance</w:t>
      </w:r>
      <w:r>
        <w:rPr>
          <w:rStyle w:val="FootnoteReference"/>
        </w:rPr>
        <w:footnoteReference w:id="39"/>
      </w:r>
      <w:r>
        <w:t xml:space="preserve"> on establishing One Health in member countries as well as the GLASS roadmap paper</w:t>
      </w:r>
      <w:r w:rsidR="00EC6B97">
        <w:t>.</w:t>
      </w:r>
      <w:r>
        <w:rPr>
          <w:rStyle w:val="FootnoteReference"/>
        </w:rPr>
        <w:footnoteReference w:id="40"/>
      </w:r>
      <w:r>
        <w:t xml:space="preserve"> The notable features of the WHO guidance and the roadmap paper – also replicated in the Fleming Fund statement – were twofold. First, </w:t>
      </w:r>
      <w:r w:rsidRPr="00670AEE">
        <w:t xml:space="preserve">One Health </w:t>
      </w:r>
      <w:r>
        <w:t xml:space="preserve">was </w:t>
      </w:r>
      <w:r w:rsidRPr="00670AEE">
        <w:t>understood as a single standardised model of collaboration</w:t>
      </w:r>
      <w:r>
        <w:t xml:space="preserve">, which envisioned One Health discussions taking place between representatives of different government agencies around a common goal of health protection. Secondly, this understanding of </w:t>
      </w:r>
      <w:r w:rsidRPr="00670AEE">
        <w:t xml:space="preserve">One Health </w:t>
      </w:r>
      <w:r>
        <w:t>assumed the presence of One Health to be binary</w:t>
      </w:r>
      <w:r w:rsidR="003E4E8B">
        <w:t>;</w:t>
      </w:r>
      <w:r w:rsidRPr="00670AEE">
        <w:t xml:space="preserve"> either it was present </w:t>
      </w:r>
      <w:r w:rsidR="712993FF">
        <w:t xml:space="preserve">in a country </w:t>
      </w:r>
      <w:r w:rsidR="71A7A41E" w:rsidRPr="007A1C95">
        <w:t xml:space="preserve">or </w:t>
      </w:r>
      <w:r w:rsidR="712993FF">
        <w:t xml:space="preserve">it was </w:t>
      </w:r>
      <w:r w:rsidR="71A7A41E" w:rsidRPr="007A1C95">
        <w:t xml:space="preserve">not (see </w:t>
      </w:r>
      <w:r w:rsidR="00474F07" w:rsidRPr="007A1C95">
        <w:fldChar w:fldCharType="begin"/>
      </w:r>
      <w:r w:rsidR="00474F07" w:rsidRPr="007A1C95">
        <w:instrText xml:space="preserve"> REF _Ref118976533 \h </w:instrText>
      </w:r>
      <w:r w:rsidR="007A1C95">
        <w:instrText xml:space="preserve"> \* MERGEFORMAT </w:instrText>
      </w:r>
      <w:r w:rsidR="00474F07" w:rsidRPr="007A1C95">
        <w:fldChar w:fldCharType="separate"/>
      </w:r>
      <w:r w:rsidR="009A383C">
        <w:t xml:space="preserve">Figure </w:t>
      </w:r>
      <w:r w:rsidR="009A383C">
        <w:rPr>
          <w:noProof/>
        </w:rPr>
        <w:t>10</w:t>
      </w:r>
      <w:r w:rsidR="00474F07" w:rsidRPr="007A1C95">
        <w:fldChar w:fldCharType="end"/>
      </w:r>
      <w:r w:rsidR="0479DC91" w:rsidRPr="007A1C95">
        <w:t xml:space="preserve"> </w:t>
      </w:r>
      <w:r w:rsidR="71A7A41E" w:rsidRPr="007A1C95">
        <w:t>below).</w:t>
      </w:r>
      <w:r w:rsidR="71A7A41E">
        <w:t xml:space="preserve"> </w:t>
      </w:r>
    </w:p>
    <w:p w14:paraId="54A378E1" w14:textId="77777777" w:rsidR="007F1B4B" w:rsidRDefault="005B5DB2" w:rsidP="007F1B4B">
      <w:pPr>
        <w:keepNext/>
        <w:jc w:val="center"/>
      </w:pPr>
      <w:r>
        <w:rPr>
          <w:noProof/>
        </w:rPr>
        <w:drawing>
          <wp:inline distT="0" distB="0" distL="0" distR="0" wp14:anchorId="7837CF5B" wp14:editId="58EB271F">
            <wp:extent cx="6043930" cy="3371850"/>
            <wp:effectExtent l="0" t="0" r="0" b="0"/>
            <wp:docPr id="33" name="Picture 3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 schematic&#10;&#10;Description automatically generated"/>
                    <pic:cNvPicPr/>
                  </pic:nvPicPr>
                  <pic:blipFill>
                    <a:blip r:embed="rId40"/>
                    <a:stretch>
                      <a:fillRect/>
                    </a:stretch>
                  </pic:blipFill>
                  <pic:spPr>
                    <a:xfrm>
                      <a:off x="0" y="0"/>
                      <a:ext cx="6043930" cy="3371850"/>
                    </a:xfrm>
                    <a:prstGeom prst="rect">
                      <a:avLst/>
                    </a:prstGeom>
                  </pic:spPr>
                </pic:pic>
              </a:graphicData>
            </a:graphic>
          </wp:inline>
        </w:drawing>
      </w:r>
    </w:p>
    <w:p w14:paraId="7B060CF0" w14:textId="22C19F1C" w:rsidR="00460403" w:rsidRDefault="007F1B4B" w:rsidP="00C04C3C">
      <w:pPr>
        <w:pStyle w:val="ItadCaption"/>
        <w:rPr>
          <w:noProof/>
        </w:rPr>
      </w:pPr>
      <w:bookmarkStart w:id="162" w:name="_Ref118976533"/>
      <w:bookmarkStart w:id="163" w:name="_Ref118976529"/>
      <w:bookmarkStart w:id="164" w:name="_Toc143858064"/>
      <w:r>
        <w:t xml:space="preserve">Figure </w:t>
      </w:r>
      <w:r>
        <w:fldChar w:fldCharType="begin"/>
      </w:r>
      <w:r>
        <w:instrText>SEQ Figure \* ARABIC</w:instrText>
      </w:r>
      <w:r>
        <w:fldChar w:fldCharType="separate"/>
      </w:r>
      <w:r w:rsidR="009A383C">
        <w:rPr>
          <w:noProof/>
        </w:rPr>
        <w:t>10</w:t>
      </w:r>
      <w:r>
        <w:fldChar w:fldCharType="end"/>
      </w:r>
      <w:bookmarkEnd w:id="162"/>
      <w:r w:rsidR="00C96798">
        <w:t xml:space="preserve"> </w:t>
      </w:r>
      <w:r w:rsidRPr="001D73C8">
        <w:t>One Health partnerships in Fleming Fund- Implementation Plan (June 2017)</w:t>
      </w:r>
      <w:bookmarkEnd w:id="163"/>
      <w:bookmarkEnd w:id="164"/>
    </w:p>
    <w:p w14:paraId="3F2414E2" w14:textId="765001C2" w:rsidR="001134AD" w:rsidRPr="00E12B8B" w:rsidRDefault="007458AC" w:rsidP="001134AD">
      <w:pPr>
        <w:jc w:val="center"/>
      </w:pPr>
      <w:r>
        <w:t xml:space="preserve"> </w:t>
      </w:r>
      <w:r w:rsidR="00512E51">
        <w:t> </w:t>
      </w:r>
    </w:p>
    <w:p w14:paraId="16492228" w14:textId="766055AD" w:rsidR="00BF18E1" w:rsidRPr="00BF18E1" w:rsidRDefault="001134AD" w:rsidP="00BF18E1">
      <w:pPr>
        <w:pStyle w:val="ItadH3"/>
        <w:rPr>
          <w:lang w:val="en-GB"/>
        </w:rPr>
      </w:pPr>
      <w:bookmarkStart w:id="165" w:name="_Toc118968527"/>
      <w:bookmarkStart w:id="166" w:name="_Toc142383167"/>
      <w:r w:rsidRPr="00E007A1">
        <w:rPr>
          <w:lang w:val="en-GB"/>
        </w:rPr>
        <w:t>Evolving approach to O</w:t>
      </w:r>
      <w:r w:rsidR="003201DB">
        <w:rPr>
          <w:lang w:val="en-GB"/>
        </w:rPr>
        <w:t xml:space="preserve">ne </w:t>
      </w:r>
      <w:r w:rsidRPr="00E007A1">
        <w:rPr>
          <w:lang w:val="en-GB"/>
        </w:rPr>
        <w:t>H</w:t>
      </w:r>
      <w:r w:rsidR="003201DB">
        <w:rPr>
          <w:lang w:val="en-GB"/>
        </w:rPr>
        <w:t>ealth</w:t>
      </w:r>
      <w:r w:rsidR="00DA6EA8">
        <w:rPr>
          <w:lang w:val="en-GB"/>
        </w:rPr>
        <w:t xml:space="preserve"> and </w:t>
      </w:r>
      <w:r w:rsidRPr="00E007A1">
        <w:rPr>
          <w:lang w:val="en-GB"/>
        </w:rPr>
        <w:t>its evaluation</w:t>
      </w:r>
      <w:bookmarkEnd w:id="165"/>
      <w:bookmarkEnd w:id="166"/>
    </w:p>
    <w:p w14:paraId="6CC6CD94" w14:textId="29D32147" w:rsidR="001134AD" w:rsidRDefault="00FE04C2" w:rsidP="005B5DB2">
      <w:pPr>
        <w:pStyle w:val="FFNormal"/>
      </w:pPr>
      <w:r w:rsidRPr="00FE04C2">
        <w:rPr>
          <w:rStyle w:val="cf01"/>
          <w:rFonts w:asciiTheme="minorHAnsi" w:hAnsiTheme="minorHAnsi" w:cstheme="minorHAnsi"/>
          <w:sz w:val="22"/>
          <w:szCs w:val="22"/>
        </w:rPr>
        <w:t xml:space="preserve">The experience of operationalising </w:t>
      </w:r>
      <w:r w:rsidR="00361825">
        <w:rPr>
          <w:rStyle w:val="cf01"/>
          <w:rFonts w:asciiTheme="minorHAnsi" w:hAnsiTheme="minorHAnsi" w:cstheme="minorHAnsi"/>
          <w:sz w:val="22"/>
          <w:szCs w:val="22"/>
        </w:rPr>
        <w:t xml:space="preserve">the Fleming Fund’s </w:t>
      </w:r>
      <w:r w:rsidRPr="00FE04C2">
        <w:rPr>
          <w:rStyle w:val="cf01"/>
          <w:rFonts w:asciiTheme="minorHAnsi" w:hAnsiTheme="minorHAnsi" w:cstheme="minorHAnsi"/>
          <w:sz w:val="22"/>
          <w:szCs w:val="22"/>
        </w:rPr>
        <w:t xml:space="preserve">One Health strategy across a wide range of countries and institutions </w:t>
      </w:r>
      <w:r w:rsidR="009B1816" w:rsidRPr="00FE04C2">
        <w:rPr>
          <w:rStyle w:val="cf01"/>
          <w:rFonts w:asciiTheme="minorHAnsi" w:hAnsiTheme="minorHAnsi" w:cstheme="minorHAnsi"/>
          <w:sz w:val="22"/>
          <w:szCs w:val="22"/>
        </w:rPr>
        <w:t xml:space="preserve">somewhat </w:t>
      </w:r>
      <w:r w:rsidRPr="00FE04C2">
        <w:rPr>
          <w:rStyle w:val="cf01"/>
          <w:rFonts w:asciiTheme="minorHAnsi" w:hAnsiTheme="minorHAnsi" w:cstheme="minorHAnsi"/>
          <w:sz w:val="22"/>
          <w:szCs w:val="22"/>
        </w:rPr>
        <w:t xml:space="preserve">altered the rigid approach to One Health </w:t>
      </w:r>
      <w:r w:rsidR="00487BE0">
        <w:rPr>
          <w:rStyle w:val="cf01"/>
          <w:rFonts w:asciiTheme="minorHAnsi" w:hAnsiTheme="minorHAnsi" w:cstheme="minorHAnsi"/>
          <w:sz w:val="22"/>
          <w:szCs w:val="22"/>
        </w:rPr>
        <w:t xml:space="preserve">that was </w:t>
      </w:r>
      <w:r w:rsidR="00566C77">
        <w:rPr>
          <w:rStyle w:val="cf01"/>
          <w:rFonts w:asciiTheme="minorHAnsi" w:hAnsiTheme="minorHAnsi" w:cstheme="minorHAnsi"/>
          <w:sz w:val="22"/>
          <w:szCs w:val="22"/>
        </w:rPr>
        <w:t xml:space="preserve">in place at the start of </w:t>
      </w:r>
      <w:r w:rsidR="009E2AC2">
        <w:rPr>
          <w:rStyle w:val="cf01"/>
          <w:rFonts w:asciiTheme="minorHAnsi" w:hAnsiTheme="minorHAnsi" w:cstheme="minorHAnsi"/>
          <w:sz w:val="22"/>
          <w:szCs w:val="22"/>
        </w:rPr>
        <w:t>phase 1</w:t>
      </w:r>
      <w:r w:rsidR="001134AD">
        <w:t>.</w:t>
      </w:r>
      <w:r w:rsidR="007458AC">
        <w:t xml:space="preserve"> </w:t>
      </w:r>
      <w:r w:rsidR="001134AD">
        <w:t xml:space="preserve">The experiences from different </w:t>
      </w:r>
      <w:r w:rsidR="00F21D1C">
        <w:t xml:space="preserve">Fleming Fund </w:t>
      </w:r>
      <w:r w:rsidR="001134AD">
        <w:t xml:space="preserve">countries, as reflected in </w:t>
      </w:r>
      <w:r w:rsidR="00C56BCB">
        <w:t>Country Visit 1</w:t>
      </w:r>
      <w:r w:rsidR="001134AD">
        <w:t xml:space="preserve"> findings, helped </w:t>
      </w:r>
      <w:r w:rsidR="00C40D42">
        <w:t xml:space="preserve">the </w:t>
      </w:r>
      <w:r w:rsidR="00F21D1C">
        <w:t xml:space="preserve">Fleming Fund </w:t>
      </w:r>
      <w:r w:rsidR="001134AD">
        <w:t xml:space="preserve">determine that </w:t>
      </w:r>
      <w:r w:rsidR="008544FD">
        <w:t xml:space="preserve">a </w:t>
      </w:r>
      <w:r w:rsidR="001134AD">
        <w:t xml:space="preserve">standardised one-sized approach to One Health partnerships </w:t>
      </w:r>
      <w:r w:rsidR="008544FD">
        <w:t>would</w:t>
      </w:r>
      <w:r w:rsidR="001134AD">
        <w:t xml:space="preserve"> not account for local political and bureaucratic realities</w:t>
      </w:r>
      <w:r w:rsidR="004D6A3A">
        <w:t xml:space="preserve"> and so </w:t>
      </w:r>
      <w:r w:rsidR="00575750">
        <w:t xml:space="preserve">was </w:t>
      </w:r>
      <w:r w:rsidR="001134AD">
        <w:t xml:space="preserve">not likely to work in different countries. </w:t>
      </w:r>
    </w:p>
    <w:p w14:paraId="21C9A3F9" w14:textId="1FE3CFBE" w:rsidR="001134AD" w:rsidRDefault="001134AD" w:rsidP="005B5DB2">
      <w:pPr>
        <w:pStyle w:val="FFNormal"/>
      </w:pPr>
      <w:r>
        <w:t xml:space="preserve">While </w:t>
      </w:r>
      <w:r w:rsidR="00C56BCB">
        <w:t>Country Visit 1</w:t>
      </w:r>
      <w:r>
        <w:t xml:space="preserve"> took place at a very early stage in the programme cycle even as many of the contractual processes were being finalised, the difficulties in the countries</w:t>
      </w:r>
      <w:r w:rsidR="001109A1">
        <w:t>’</w:t>
      </w:r>
      <w:r>
        <w:t xml:space="preserve"> adoption of </w:t>
      </w:r>
      <w:r w:rsidR="00773FF7">
        <w:t xml:space="preserve">the </w:t>
      </w:r>
      <w:r>
        <w:t xml:space="preserve">AMRCC-style institutional mode of collaboration </w:t>
      </w:r>
      <w:r w:rsidR="00773FF7">
        <w:t>show</w:t>
      </w:r>
      <w:r w:rsidR="00AC6B57">
        <w:t>ed</w:t>
      </w:r>
      <w:r w:rsidRPr="007F6F61">
        <w:rPr>
          <w:lang w:bidi="hi-IN"/>
        </w:rPr>
        <w:t xml:space="preserve"> that there is no single formulation of</w:t>
      </w:r>
      <w:r w:rsidR="00E00F69">
        <w:rPr>
          <w:lang w:bidi="hi-IN"/>
        </w:rPr>
        <w:t xml:space="preserve"> the</w:t>
      </w:r>
      <w:r w:rsidRPr="007F6F61">
        <w:rPr>
          <w:lang w:bidi="hi-IN"/>
        </w:rPr>
        <w:t xml:space="preserve"> One Health approach</w:t>
      </w:r>
      <w:r>
        <w:rPr>
          <w:lang w:bidi="hi-IN"/>
        </w:rPr>
        <w:t xml:space="preserve"> – different countries are likely to reconfigure their own modes of fostering institutional collaboration. It could take the form of super-ministries to broker partnerships – as in the case of Indonesia, or the use of existing social networks to promote discussions across agencies, as in the case of </w:t>
      </w:r>
      <w:r w:rsidR="00260B8A">
        <w:rPr>
          <w:lang w:bidi="hi-IN"/>
        </w:rPr>
        <w:t>Timor-Leste</w:t>
      </w:r>
      <w:r w:rsidR="00575750">
        <w:rPr>
          <w:lang w:bidi="hi-IN"/>
        </w:rPr>
        <w:t>.</w:t>
      </w:r>
      <w:r>
        <w:rPr>
          <w:lang w:bidi="hi-IN"/>
        </w:rPr>
        <w:t xml:space="preserve"> </w:t>
      </w:r>
      <w:bookmarkStart w:id="167" w:name="_Hlk129552028"/>
      <w:r w:rsidR="00575750">
        <w:rPr>
          <w:lang w:bidi="hi-IN"/>
        </w:rPr>
        <w:t>Alternatively</w:t>
      </w:r>
      <w:r>
        <w:rPr>
          <w:lang w:bidi="hi-IN"/>
        </w:rPr>
        <w:t xml:space="preserve">, </w:t>
      </w:r>
      <w:r w:rsidR="00E00F69">
        <w:rPr>
          <w:lang w:bidi="hi-IN"/>
        </w:rPr>
        <w:t>the</w:t>
      </w:r>
      <w:r>
        <w:rPr>
          <w:lang w:bidi="hi-IN"/>
        </w:rPr>
        <w:t xml:space="preserve"> head of government’s office </w:t>
      </w:r>
      <w:r w:rsidR="00575750">
        <w:rPr>
          <w:lang w:bidi="hi-IN"/>
        </w:rPr>
        <w:t xml:space="preserve">could be the one </w:t>
      </w:r>
      <w:r>
        <w:rPr>
          <w:lang w:bidi="hi-IN"/>
        </w:rPr>
        <w:t>to call meetings – as in the case of Tanzania.</w:t>
      </w:r>
      <w:r w:rsidR="007458AC">
        <w:rPr>
          <w:lang w:bidi="hi-IN"/>
        </w:rPr>
        <w:t xml:space="preserve"> </w:t>
      </w:r>
      <w:bookmarkEnd w:id="167"/>
    </w:p>
    <w:p w14:paraId="4FA44F03" w14:textId="2D9C6B8A" w:rsidR="001134AD" w:rsidRDefault="001134AD" w:rsidP="005B5DB2">
      <w:pPr>
        <w:pStyle w:val="FFNormal"/>
        <w:rPr>
          <w:lang w:bidi="hi-IN"/>
        </w:rPr>
      </w:pPr>
      <w:r>
        <w:t xml:space="preserve">These different forms of institutional partnerships emerging in different countries led </w:t>
      </w:r>
      <w:r w:rsidR="00335CBD">
        <w:t xml:space="preserve">the </w:t>
      </w:r>
      <w:r w:rsidR="00F21D1C">
        <w:t xml:space="preserve">Fleming Fund </w:t>
      </w:r>
      <w:r>
        <w:t xml:space="preserve">MA to develop a graded approach to One Health, first advanced in a 2019 position paper (depicted in </w:t>
      </w:r>
      <w:r w:rsidR="007F1B4B">
        <w:rPr>
          <w:highlight w:val="yellow"/>
        </w:rPr>
        <w:fldChar w:fldCharType="begin"/>
      </w:r>
      <w:r w:rsidR="007F1B4B">
        <w:instrText xml:space="preserve"> REF _Ref118378049 \h </w:instrText>
      </w:r>
      <w:r w:rsidR="007F1B4B">
        <w:rPr>
          <w:highlight w:val="yellow"/>
        </w:rPr>
      </w:r>
      <w:r w:rsidR="007F1B4B">
        <w:rPr>
          <w:highlight w:val="yellow"/>
        </w:rPr>
        <w:fldChar w:fldCharType="separate"/>
      </w:r>
      <w:r w:rsidR="009A383C">
        <w:t xml:space="preserve">Figure </w:t>
      </w:r>
      <w:r w:rsidR="009A383C">
        <w:rPr>
          <w:noProof/>
        </w:rPr>
        <w:t>11</w:t>
      </w:r>
      <w:r w:rsidR="007F1B4B">
        <w:rPr>
          <w:highlight w:val="yellow"/>
        </w:rPr>
        <w:fldChar w:fldCharType="end"/>
      </w:r>
      <w:r w:rsidR="007F1B4B">
        <w:t xml:space="preserve"> </w:t>
      </w:r>
      <w:r>
        <w:t>below). This approach c</w:t>
      </w:r>
      <w:r w:rsidRPr="007F6F61">
        <w:rPr>
          <w:lang w:bidi="hi-IN"/>
        </w:rPr>
        <w:t>onceptualises multisector collaborations along a gradient</w:t>
      </w:r>
      <w:r>
        <w:rPr>
          <w:lang w:bidi="hi-IN"/>
        </w:rPr>
        <w:t xml:space="preserve"> where successive stages of One Health lead to closer working which, in turn, is assumed to lead to better exchange of information and increased evidence</w:t>
      </w:r>
      <w:r w:rsidR="0046570A">
        <w:rPr>
          <w:lang w:bidi="hi-IN"/>
        </w:rPr>
        <w:t>-</w:t>
      </w:r>
      <w:r>
        <w:rPr>
          <w:lang w:bidi="hi-IN"/>
        </w:rPr>
        <w:t xml:space="preserve">informed decision making. </w:t>
      </w:r>
    </w:p>
    <w:p w14:paraId="506C033F" w14:textId="77777777" w:rsidR="007F1B4B" w:rsidRDefault="004D76C4" w:rsidP="007F1B4B">
      <w:pPr>
        <w:pStyle w:val="FFNormal"/>
        <w:keepNext/>
      </w:pPr>
      <w:r>
        <w:rPr>
          <w:noProof/>
        </w:rPr>
        <w:drawing>
          <wp:inline distT="0" distB="0" distL="0" distR="0" wp14:anchorId="3D939B54" wp14:editId="1549321A">
            <wp:extent cx="6043930" cy="1074420"/>
            <wp:effectExtent l="0" t="0" r="0" b="0"/>
            <wp:docPr id="38" name="Picture 3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imeline&#10;&#10;Description automatically generated"/>
                    <pic:cNvPicPr/>
                  </pic:nvPicPr>
                  <pic:blipFill rotWithShape="1">
                    <a:blip r:embed="rId41"/>
                    <a:srcRect t="17121" b="9727"/>
                    <a:stretch/>
                  </pic:blipFill>
                  <pic:spPr bwMode="auto">
                    <a:xfrm>
                      <a:off x="0" y="0"/>
                      <a:ext cx="6043930" cy="1074420"/>
                    </a:xfrm>
                    <a:prstGeom prst="rect">
                      <a:avLst/>
                    </a:prstGeom>
                    <a:ln>
                      <a:noFill/>
                    </a:ln>
                    <a:extLst>
                      <a:ext uri="{53640926-AAD7-44D8-BBD7-CCE9431645EC}">
                        <a14:shadowObscured xmlns:a14="http://schemas.microsoft.com/office/drawing/2010/main"/>
                      </a:ext>
                    </a:extLst>
                  </pic:spPr>
                </pic:pic>
              </a:graphicData>
            </a:graphic>
          </wp:inline>
        </w:drawing>
      </w:r>
    </w:p>
    <w:p w14:paraId="30184F08" w14:textId="4DDE3430" w:rsidR="00344704" w:rsidRDefault="007F1B4B" w:rsidP="00C04C3C">
      <w:pPr>
        <w:pStyle w:val="ItadCaption"/>
        <w:rPr>
          <w:lang w:bidi="hi-IN"/>
        </w:rPr>
      </w:pPr>
      <w:bookmarkStart w:id="168" w:name="_Ref118378049"/>
      <w:bookmarkStart w:id="169" w:name="_Toc143858065"/>
      <w:r>
        <w:t xml:space="preserve">Figure </w:t>
      </w:r>
      <w:r>
        <w:fldChar w:fldCharType="begin"/>
      </w:r>
      <w:r>
        <w:instrText>SEQ Figure \* ARABIC</w:instrText>
      </w:r>
      <w:r>
        <w:fldChar w:fldCharType="separate"/>
      </w:r>
      <w:r w:rsidR="009A383C">
        <w:rPr>
          <w:noProof/>
        </w:rPr>
        <w:t>11</w:t>
      </w:r>
      <w:r>
        <w:fldChar w:fldCharType="end"/>
      </w:r>
      <w:bookmarkEnd w:id="168"/>
      <w:r w:rsidR="00C96798">
        <w:t xml:space="preserve"> </w:t>
      </w:r>
      <w:r w:rsidRPr="00410BD4">
        <w:t xml:space="preserve">MA Position paper on assessing </w:t>
      </w:r>
      <w:bookmarkStart w:id="170" w:name="_Hlk120196192"/>
      <w:r w:rsidR="00DC5E52" w:rsidRPr="00DC5E52">
        <w:t>One Health</w:t>
      </w:r>
      <w:r w:rsidRPr="00410BD4">
        <w:t xml:space="preserve"> </w:t>
      </w:r>
      <w:bookmarkEnd w:id="170"/>
      <w:r w:rsidRPr="00410BD4">
        <w:t>Implementation (Sep</w:t>
      </w:r>
      <w:r w:rsidR="007108BC">
        <w:t>tember</w:t>
      </w:r>
      <w:r w:rsidRPr="00410BD4">
        <w:t xml:space="preserve"> 2019)</w:t>
      </w:r>
      <w:bookmarkEnd w:id="169"/>
    </w:p>
    <w:p w14:paraId="6D4E10AF" w14:textId="51CCA022" w:rsidR="001134AD" w:rsidRDefault="001134AD" w:rsidP="004D76C4">
      <w:pPr>
        <w:pStyle w:val="FFNormal"/>
      </w:pPr>
      <w:bookmarkStart w:id="171" w:name="_Hlk129552118"/>
      <w:r>
        <w:t xml:space="preserve">While this approach was useful in developing a more nuanced understanding of </w:t>
      </w:r>
      <w:r w:rsidR="007069A6">
        <w:t xml:space="preserve">the </w:t>
      </w:r>
      <w:r>
        <w:t xml:space="preserve">different levels of data sharing (and use) taking place, for the purpose of the evaluation, we wanted to identify some of the underlying dynamics which would have influenced the different levels of performance of One Health partnerships in different countries. </w:t>
      </w:r>
    </w:p>
    <w:p w14:paraId="66E2EB94" w14:textId="57D901AC" w:rsidR="001134AD" w:rsidRDefault="001134AD" w:rsidP="004D76C4">
      <w:pPr>
        <w:pStyle w:val="FFNormal"/>
      </w:pPr>
      <w:r>
        <w:t>As noted above, because of the relative novelty of the One Health concept, there was limited literature around evaluating multisector One Health partnerships and or even characterising different kinds of One Health partnerships. Therefore</w:t>
      </w:r>
      <w:r w:rsidR="00FD08A4">
        <w:t>,</w:t>
      </w:r>
      <w:r>
        <w:t xml:space="preserve"> the Itad team conducted a literature review which helped us think about how to define, characterise multisector partnerships, and identify ‘success’ in One Health.</w:t>
      </w:r>
      <w:r>
        <w:rPr>
          <w:rStyle w:val="FootnoteReference"/>
        </w:rPr>
        <w:footnoteReference w:id="41"/>
      </w:r>
    </w:p>
    <w:p w14:paraId="58A2A627" w14:textId="448142C7" w:rsidR="00D44360" w:rsidRDefault="001134AD" w:rsidP="00D44360">
      <w:pPr>
        <w:pStyle w:val="FFNormal"/>
        <w:rPr>
          <w:noProof/>
        </w:rPr>
      </w:pPr>
      <w:r>
        <w:t>We found that multisector One Health partnerships can be characterised based on different qualities, such as scale, scope of functioning, degree of formality practi</w:t>
      </w:r>
      <w:r w:rsidR="00A76EDE">
        <w:t>s</w:t>
      </w:r>
      <w:r>
        <w:t>ed as well as strength of integration (</w:t>
      </w:r>
      <w:r w:rsidR="007F1B4B">
        <w:fldChar w:fldCharType="begin"/>
      </w:r>
      <w:r w:rsidR="007F1B4B">
        <w:instrText xml:space="preserve"> REF _Ref118378111 \h </w:instrText>
      </w:r>
      <w:r w:rsidR="007F1B4B">
        <w:fldChar w:fldCharType="separate"/>
      </w:r>
      <w:r w:rsidR="009A383C">
        <w:t xml:space="preserve">Figure </w:t>
      </w:r>
      <w:r w:rsidR="009A383C">
        <w:rPr>
          <w:noProof/>
        </w:rPr>
        <w:t>12</w:t>
      </w:r>
      <w:r w:rsidR="007F1B4B">
        <w:fldChar w:fldCharType="end"/>
      </w:r>
      <w:r w:rsidR="007F1B4B">
        <w:t xml:space="preserve"> and </w:t>
      </w:r>
      <w:r w:rsidR="007F1B4B">
        <w:fldChar w:fldCharType="begin"/>
      </w:r>
      <w:r w:rsidR="007F1B4B">
        <w:instrText xml:space="preserve"> REF _Ref118378118 \h </w:instrText>
      </w:r>
      <w:r w:rsidR="007F1B4B">
        <w:fldChar w:fldCharType="separate"/>
      </w:r>
      <w:r w:rsidR="009A383C">
        <w:t xml:space="preserve">Figure </w:t>
      </w:r>
      <w:r w:rsidR="009A383C">
        <w:rPr>
          <w:noProof/>
        </w:rPr>
        <w:t>13</w:t>
      </w:r>
      <w:r w:rsidR="007F1B4B">
        <w:fldChar w:fldCharType="end"/>
      </w:r>
      <w:r>
        <w:t xml:space="preserve">). Incorporating these additional ways of classifying One Health helped us find additional information about the diversity and functioning of One Health partnerships in </w:t>
      </w:r>
      <w:r w:rsidR="00C56BCB">
        <w:t>Country Visit 2</w:t>
      </w:r>
      <w:r>
        <w:t xml:space="preserve"> </w:t>
      </w:r>
      <w:r w:rsidR="000F36D9">
        <w:t>and</w:t>
      </w:r>
      <w:r w:rsidR="000F36D9" w:rsidRPr="000F36D9">
        <w:t xml:space="preserve"> </w:t>
      </w:r>
      <w:r w:rsidR="00C56BCB">
        <w:t>Country Visit 3</w:t>
      </w:r>
      <w:r>
        <w:t>, discussed below.</w:t>
      </w:r>
    </w:p>
    <w:bookmarkEnd w:id="171"/>
    <w:p w14:paraId="43871EF7" w14:textId="7450A951" w:rsidR="007F1B4B" w:rsidRDefault="00EE3AAD" w:rsidP="007F1B4B">
      <w:pPr>
        <w:keepNext/>
      </w:pPr>
      <w:r>
        <w:rPr>
          <w:noProof/>
        </w:rPr>
        <w:drawing>
          <wp:inline distT="0" distB="0" distL="0" distR="0" wp14:anchorId="4A54BE8A" wp14:editId="78FA495E">
            <wp:extent cx="5746115" cy="1625752"/>
            <wp:effectExtent l="0" t="0" r="698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6083" cy="1631402"/>
                    </a:xfrm>
                    <a:prstGeom prst="rect">
                      <a:avLst/>
                    </a:prstGeom>
                    <a:noFill/>
                  </pic:spPr>
                </pic:pic>
              </a:graphicData>
            </a:graphic>
          </wp:inline>
        </w:drawing>
      </w:r>
    </w:p>
    <w:p w14:paraId="51EF732F" w14:textId="2C7E9B89" w:rsidR="001134AD" w:rsidRDefault="007F1B4B" w:rsidP="00C04C3C">
      <w:pPr>
        <w:pStyle w:val="ItadCaption"/>
      </w:pPr>
      <w:bookmarkStart w:id="172" w:name="_Ref118378111"/>
      <w:bookmarkStart w:id="173" w:name="_Toc143858066"/>
      <w:r>
        <w:t xml:space="preserve">Figure </w:t>
      </w:r>
      <w:r>
        <w:fldChar w:fldCharType="begin"/>
      </w:r>
      <w:r>
        <w:instrText>SEQ Figure \* ARABIC</w:instrText>
      </w:r>
      <w:r>
        <w:fldChar w:fldCharType="separate"/>
      </w:r>
      <w:r w:rsidR="009A383C">
        <w:rPr>
          <w:noProof/>
        </w:rPr>
        <w:t>12</w:t>
      </w:r>
      <w:r>
        <w:fldChar w:fldCharType="end"/>
      </w:r>
      <w:bookmarkEnd w:id="172"/>
      <w:r w:rsidR="00C96798">
        <w:t xml:space="preserve"> </w:t>
      </w:r>
      <w:r w:rsidRPr="00FA6A64">
        <w:t>Other ways of characterising One Health partnerships (Itad literature review)</w:t>
      </w:r>
      <w:bookmarkEnd w:id="173"/>
    </w:p>
    <w:p w14:paraId="0C00D2F1" w14:textId="77777777" w:rsidR="001134AD" w:rsidRDefault="001134AD" w:rsidP="001134AD"/>
    <w:p w14:paraId="3C529773" w14:textId="77777777" w:rsidR="007F1B4B" w:rsidRDefault="005768DA" w:rsidP="007F1B4B">
      <w:pPr>
        <w:keepNext/>
        <w:jc w:val="center"/>
      </w:pPr>
      <w:r>
        <w:rPr>
          <w:noProof/>
        </w:rPr>
        <w:drawing>
          <wp:inline distT="0" distB="0" distL="0" distR="0" wp14:anchorId="02849D06" wp14:editId="11B3A785">
            <wp:extent cx="5235575" cy="1600158"/>
            <wp:effectExtent l="0" t="0" r="3175" b="635"/>
            <wp:docPr id="40" name="Picture 40"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10;&#10;Description automatically generated with medium confidence"/>
                    <pic:cNvPicPr/>
                  </pic:nvPicPr>
                  <pic:blipFill rotWithShape="1">
                    <a:blip r:embed="rId43"/>
                    <a:srcRect t="10311" b="15022"/>
                    <a:stretch/>
                  </pic:blipFill>
                  <pic:spPr bwMode="auto">
                    <a:xfrm>
                      <a:off x="0" y="0"/>
                      <a:ext cx="5244595" cy="1602915"/>
                    </a:xfrm>
                    <a:prstGeom prst="rect">
                      <a:avLst/>
                    </a:prstGeom>
                    <a:ln>
                      <a:noFill/>
                    </a:ln>
                    <a:extLst>
                      <a:ext uri="{53640926-AAD7-44D8-BBD7-CCE9431645EC}">
                        <a14:shadowObscured xmlns:a14="http://schemas.microsoft.com/office/drawing/2010/main"/>
                      </a:ext>
                    </a:extLst>
                  </pic:spPr>
                </pic:pic>
              </a:graphicData>
            </a:graphic>
          </wp:inline>
        </w:drawing>
      </w:r>
    </w:p>
    <w:p w14:paraId="16A92E70" w14:textId="5E7D9ABB" w:rsidR="001134AD" w:rsidRDefault="007F1B4B" w:rsidP="00C04C3C">
      <w:pPr>
        <w:pStyle w:val="ItadCaption"/>
      </w:pPr>
      <w:bookmarkStart w:id="174" w:name="_Ref118378118"/>
      <w:bookmarkStart w:id="175" w:name="_Toc143858067"/>
      <w:r>
        <w:t xml:space="preserve">Figure </w:t>
      </w:r>
      <w:r>
        <w:fldChar w:fldCharType="begin"/>
      </w:r>
      <w:r>
        <w:instrText>SEQ Figure \* ARABIC</w:instrText>
      </w:r>
      <w:r>
        <w:fldChar w:fldCharType="separate"/>
      </w:r>
      <w:r w:rsidR="009A383C">
        <w:rPr>
          <w:noProof/>
        </w:rPr>
        <w:t>13</w:t>
      </w:r>
      <w:r>
        <w:fldChar w:fldCharType="end"/>
      </w:r>
      <w:bookmarkEnd w:id="174"/>
      <w:r w:rsidR="00C96798">
        <w:t xml:space="preserve"> </w:t>
      </w:r>
      <w:r w:rsidRPr="008511CA">
        <w:t>Characterising One Health partnerships, by strength of integration (Itad literature review)</w:t>
      </w:r>
      <w:bookmarkEnd w:id="175"/>
    </w:p>
    <w:p w14:paraId="5805120D" w14:textId="54F9A2BB" w:rsidR="001134AD" w:rsidRPr="00E007A1" w:rsidRDefault="00F21D1C" w:rsidP="008D2F05">
      <w:pPr>
        <w:pStyle w:val="ItadH3"/>
        <w:rPr>
          <w:lang w:val="en-GB"/>
        </w:rPr>
      </w:pPr>
      <w:bookmarkStart w:id="176" w:name="_Toc118968528"/>
      <w:bookmarkStart w:id="177" w:name="_Toc142383168"/>
      <w:r>
        <w:rPr>
          <w:lang w:val="en-GB"/>
        </w:rPr>
        <w:t>E</w:t>
      </w:r>
      <w:r w:rsidR="007F1B4B">
        <w:rPr>
          <w:lang w:val="en-GB"/>
        </w:rPr>
        <w:t xml:space="preserve">valuation </w:t>
      </w:r>
      <w:r w:rsidR="00764EB0">
        <w:rPr>
          <w:lang w:val="en-GB"/>
        </w:rPr>
        <w:t>q</w:t>
      </w:r>
      <w:r w:rsidR="007F1B4B">
        <w:rPr>
          <w:lang w:val="en-GB"/>
        </w:rPr>
        <w:t>uestion</w:t>
      </w:r>
      <w:r w:rsidR="001134AD" w:rsidRPr="00E007A1">
        <w:rPr>
          <w:lang w:val="en-GB"/>
        </w:rPr>
        <w:t>s and approach</w:t>
      </w:r>
      <w:bookmarkEnd w:id="176"/>
      <w:bookmarkEnd w:id="177"/>
    </w:p>
    <w:p w14:paraId="55925F41" w14:textId="7FA5E35C" w:rsidR="001134AD" w:rsidRDefault="001134AD" w:rsidP="001134AD">
      <w:pPr>
        <w:keepNext/>
      </w:pPr>
      <w:bookmarkStart w:id="178" w:name="_Hlk129552235"/>
      <w:r>
        <w:t xml:space="preserve">As depicted in </w:t>
      </w:r>
      <w:r w:rsidR="007F1B4B" w:rsidRPr="00150D87">
        <w:fldChar w:fldCharType="begin"/>
      </w:r>
      <w:r w:rsidR="007F1B4B" w:rsidRPr="00150D87">
        <w:instrText xml:space="preserve"> REF _Ref118378152 \h </w:instrText>
      </w:r>
      <w:r w:rsidR="00E41535" w:rsidRPr="00150D87">
        <w:instrText xml:space="preserve"> \* MERGEFORMAT </w:instrText>
      </w:r>
      <w:r w:rsidR="007F1B4B" w:rsidRPr="00150D87">
        <w:fldChar w:fldCharType="separate"/>
      </w:r>
      <w:r w:rsidR="009A383C">
        <w:t xml:space="preserve">Figure </w:t>
      </w:r>
      <w:r w:rsidR="009A383C">
        <w:rPr>
          <w:noProof/>
        </w:rPr>
        <w:t>14</w:t>
      </w:r>
      <w:r w:rsidR="007F1B4B" w:rsidRPr="00150D87">
        <w:fldChar w:fldCharType="end"/>
      </w:r>
      <w:r w:rsidR="007F1B4B" w:rsidRPr="00150D87">
        <w:t xml:space="preserve"> </w:t>
      </w:r>
      <w:r w:rsidRPr="00150D87">
        <w:t>below</w:t>
      </w:r>
      <w:r>
        <w:t xml:space="preserve"> and explained earlier in </w:t>
      </w:r>
      <w:r w:rsidR="005768DA" w:rsidRPr="00150D87">
        <w:t>Annex 3</w:t>
      </w:r>
      <w:r>
        <w:t xml:space="preserve"> our approach to </w:t>
      </w:r>
      <w:r w:rsidR="00D832C9">
        <w:t xml:space="preserve">the </w:t>
      </w:r>
      <w:r>
        <w:t xml:space="preserve">evaluation changed over time. During </w:t>
      </w:r>
      <w:r w:rsidR="00C56BCB">
        <w:rPr>
          <w:b/>
          <w:bCs/>
        </w:rPr>
        <w:t>Country Visit 1</w:t>
      </w:r>
      <w:r>
        <w:t>, One Health was first integrated with Use questions and we aimed to examine the presence and absence of institutional One Health mechanisms (such as the AMRCC</w:t>
      </w:r>
      <w:r w:rsidR="00DA6EA8">
        <w:t xml:space="preserve"> and </w:t>
      </w:r>
      <w:r w:rsidR="00256C1E">
        <w:t>the Technical Working Group (</w:t>
      </w:r>
      <w:r>
        <w:t>TWG</w:t>
      </w:r>
      <w:r w:rsidR="00256C1E">
        <w:t>)</w:t>
      </w:r>
      <w:r>
        <w:t xml:space="preserve">, etc.) across different countries based upon the framings of GAP and LSHTM </w:t>
      </w:r>
      <w:r w:rsidR="00150D87">
        <w:t>GLASS</w:t>
      </w:r>
      <w:r>
        <w:t xml:space="preserve"> frameworks. </w:t>
      </w:r>
    </w:p>
    <w:p w14:paraId="6B5D14FB" w14:textId="7C12B604" w:rsidR="001134AD" w:rsidRDefault="000F36D9" w:rsidP="001134AD">
      <w:pPr>
        <w:keepNext/>
      </w:pPr>
      <w:r>
        <w:rPr>
          <w:b/>
          <w:bCs/>
        </w:rPr>
        <w:t>C</w:t>
      </w:r>
      <w:r w:rsidRPr="000F36D9">
        <w:rPr>
          <w:b/>
          <w:bCs/>
        </w:rPr>
        <w:t xml:space="preserve">ountry </w:t>
      </w:r>
      <w:r>
        <w:rPr>
          <w:b/>
          <w:bCs/>
        </w:rPr>
        <w:t>V</w:t>
      </w:r>
      <w:r w:rsidRPr="000F36D9">
        <w:rPr>
          <w:b/>
          <w:bCs/>
        </w:rPr>
        <w:t xml:space="preserve">isit </w:t>
      </w:r>
      <w:r w:rsidR="001134AD" w:rsidRPr="00AF140A">
        <w:rPr>
          <w:b/>
          <w:bCs/>
        </w:rPr>
        <w:t>2</w:t>
      </w:r>
      <w:r w:rsidR="001134AD">
        <w:t xml:space="preserve"> took place in 2020-21 and we used it to apply the MA and Itad categorisations to assess the different stages of One Health in different countries. Importantly, our questions were framed around the likely trajectory of </w:t>
      </w:r>
      <w:r w:rsidR="00D832C9">
        <w:t xml:space="preserve">the </w:t>
      </w:r>
      <w:r w:rsidR="00F21D1C">
        <w:t xml:space="preserve">Fleming Fund </w:t>
      </w:r>
      <w:r w:rsidR="001134AD">
        <w:t>and One Health</w:t>
      </w:r>
      <w:r w:rsidR="007905F4">
        <w:t>,</w:t>
      </w:r>
      <w:r w:rsidR="001134AD">
        <w:t xml:space="preserve"> and we asked national actors where they </w:t>
      </w:r>
      <w:r w:rsidR="003B6B7E">
        <w:t>predicted</w:t>
      </w:r>
      <w:r w:rsidR="001134AD">
        <w:t xml:space="preserve"> </w:t>
      </w:r>
      <w:r w:rsidR="007905F4">
        <w:t xml:space="preserve">the </w:t>
      </w:r>
      <w:r w:rsidR="00F21D1C">
        <w:t xml:space="preserve">Fleming Fund </w:t>
      </w:r>
      <w:r w:rsidR="0046570A">
        <w:t xml:space="preserve">to be </w:t>
      </w:r>
      <w:r w:rsidR="001134AD">
        <w:t>headed by</w:t>
      </w:r>
      <w:r w:rsidR="0046570A">
        <w:t xml:space="preserve"> the</w:t>
      </w:r>
      <w:r w:rsidR="001134AD">
        <w:t xml:space="preserve"> end of</w:t>
      </w:r>
      <w:r w:rsidR="0046570A">
        <w:t xml:space="preserve"> the</w:t>
      </w:r>
      <w:r w:rsidR="001134AD">
        <w:t xml:space="preserve"> project. </w:t>
      </w:r>
    </w:p>
    <w:p w14:paraId="6CFACF40" w14:textId="77A2D50E" w:rsidR="001134AD" w:rsidRDefault="001134AD" w:rsidP="001134AD">
      <w:r w:rsidRPr="008404F9">
        <w:t xml:space="preserve">During </w:t>
      </w:r>
      <w:r w:rsidR="00C56BCB">
        <w:rPr>
          <w:b/>
          <w:bCs/>
        </w:rPr>
        <w:t>Country Visit 3</w:t>
      </w:r>
      <w:r>
        <w:t xml:space="preserve">, we revised the EQs slightly. Instead of merely probing </w:t>
      </w:r>
      <w:r w:rsidR="003270AA">
        <w:t xml:space="preserve">the </w:t>
      </w:r>
      <w:r>
        <w:t>presence</w:t>
      </w:r>
      <w:r w:rsidR="003270AA">
        <w:t xml:space="preserve"> or </w:t>
      </w:r>
      <w:r>
        <w:t xml:space="preserve">absence of </w:t>
      </w:r>
      <w:r w:rsidR="00DC5E52" w:rsidRPr="00DC5E52">
        <w:t>One Health</w:t>
      </w:r>
      <w:r>
        <w:t xml:space="preserve"> (</w:t>
      </w:r>
      <w:r w:rsidR="00C56BCB">
        <w:t>Country Visit 1</w:t>
      </w:r>
      <w:r>
        <w:t xml:space="preserve">), or stages/levels of </w:t>
      </w:r>
      <w:r w:rsidR="00DC5E52" w:rsidRPr="00DC5E52">
        <w:t>One Health</w:t>
      </w:r>
      <w:r>
        <w:t xml:space="preserve"> (</w:t>
      </w:r>
      <w:r w:rsidR="00C56BCB">
        <w:t>Country Visit 2</w:t>
      </w:r>
      <w:r>
        <w:t xml:space="preserve">), we started exploring the different ways and spaces within which </w:t>
      </w:r>
      <w:r w:rsidR="00DC5E52" w:rsidRPr="00DC5E52">
        <w:t>One Health</w:t>
      </w:r>
      <w:r>
        <w:t xml:space="preserve"> partnerships were active. This included probes on non-formal spaces. The purpose of these questions was supposed not only to make a summative judgment on One Health, but also to identify potential areas for One Health efforts to develop in </w:t>
      </w:r>
      <w:r w:rsidR="00062DEB">
        <w:t xml:space="preserve">a </w:t>
      </w:r>
      <w:r>
        <w:t xml:space="preserve">second iteration of One Health. </w:t>
      </w:r>
    </w:p>
    <w:bookmarkEnd w:id="178"/>
    <w:p w14:paraId="6CEDC402" w14:textId="4ECB3254" w:rsidR="001134AD" w:rsidRDefault="000F55C7" w:rsidP="001134AD">
      <w:pPr>
        <w:keepNext/>
        <w:rPr>
          <w:noProof/>
        </w:rPr>
      </w:pPr>
      <w:r>
        <w:rPr>
          <w:noProof/>
        </w:rPr>
        <w:drawing>
          <wp:inline distT="0" distB="0" distL="0" distR="0" wp14:anchorId="57AD017B" wp14:editId="0586DBF5">
            <wp:extent cx="3803650" cy="2265957"/>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20373" cy="2275919"/>
                    </a:xfrm>
                    <a:prstGeom prst="rect">
                      <a:avLst/>
                    </a:prstGeom>
                    <a:noFill/>
                  </pic:spPr>
                </pic:pic>
              </a:graphicData>
            </a:graphic>
          </wp:inline>
        </w:drawing>
      </w:r>
    </w:p>
    <w:p w14:paraId="7A6EF0D1" w14:textId="115E55FC" w:rsidR="00AF67AE" w:rsidRDefault="007F1B4B" w:rsidP="00C04C3C">
      <w:pPr>
        <w:pStyle w:val="ItadCaption"/>
      </w:pPr>
      <w:bookmarkStart w:id="179" w:name="_Ref118378152"/>
      <w:bookmarkStart w:id="180" w:name="_Toc143858068"/>
      <w:r>
        <w:t xml:space="preserve">Figure </w:t>
      </w:r>
      <w:r>
        <w:fldChar w:fldCharType="begin"/>
      </w:r>
      <w:r>
        <w:instrText>SEQ Figure \* ARABIC</w:instrText>
      </w:r>
      <w:r>
        <w:fldChar w:fldCharType="separate"/>
      </w:r>
      <w:r w:rsidR="009A383C">
        <w:rPr>
          <w:noProof/>
        </w:rPr>
        <w:t>14</w:t>
      </w:r>
      <w:r>
        <w:fldChar w:fldCharType="end"/>
      </w:r>
      <w:bookmarkEnd w:id="179"/>
      <w:r w:rsidR="00C96798">
        <w:t xml:space="preserve"> </w:t>
      </w:r>
      <w:r w:rsidRPr="003948AF">
        <w:t>Approach to evaluating One Health across different country visits</w:t>
      </w:r>
      <w:bookmarkEnd w:id="180"/>
    </w:p>
    <w:p w14:paraId="2FE7734D" w14:textId="0B332D13" w:rsidR="001134AD" w:rsidRDefault="001134AD" w:rsidP="008D2F05">
      <w:pPr>
        <w:pStyle w:val="ItadH2"/>
      </w:pPr>
      <w:bookmarkStart w:id="181" w:name="_Toc118968529"/>
      <w:bookmarkStart w:id="182" w:name="_Toc142383169"/>
      <w:r>
        <w:t>Key findings</w:t>
      </w:r>
      <w:bookmarkEnd w:id="181"/>
      <w:bookmarkEnd w:id="182"/>
    </w:p>
    <w:p w14:paraId="5D3F2843" w14:textId="77777777" w:rsidR="001134AD" w:rsidRPr="00E007A1" w:rsidRDefault="001134AD" w:rsidP="008D2F05">
      <w:pPr>
        <w:pStyle w:val="ItadH3"/>
        <w:rPr>
          <w:lang w:val="en-GB"/>
        </w:rPr>
      </w:pPr>
      <w:bookmarkStart w:id="183" w:name="_Toc118968530"/>
      <w:bookmarkStart w:id="184" w:name="_Toc142383170"/>
      <w:r w:rsidRPr="00E007A1">
        <w:rPr>
          <w:lang w:val="en-GB"/>
        </w:rPr>
        <w:t>Situation in 2018</w:t>
      </w:r>
      <w:bookmarkEnd w:id="183"/>
      <w:bookmarkEnd w:id="184"/>
    </w:p>
    <w:p w14:paraId="5AF883A1" w14:textId="63AB3A6F" w:rsidR="001134AD" w:rsidRDefault="001134AD" w:rsidP="004A4D81">
      <w:pPr>
        <w:pStyle w:val="FFNormal"/>
      </w:pPr>
      <w:r>
        <w:t>The WHO guidance on One Health, WHO GAP report as well as the GLASS roadmap paper all provided the essential templates for countries to develop</w:t>
      </w:r>
      <w:r w:rsidR="001F2984">
        <w:t xml:space="preserve"> </w:t>
      </w:r>
      <w:r w:rsidR="00BB622E">
        <w:t>a</w:t>
      </w:r>
      <w:r>
        <w:t xml:space="preserve"> coordinated national One Health response to AMR. However, despite the detailed structures provided in this framework, questions remained about</w:t>
      </w:r>
      <w:r w:rsidR="00C56BCB">
        <w:t xml:space="preserve"> the</w:t>
      </w:r>
      <w:r>
        <w:t xml:space="preserve"> clarity of roles, leadership</w:t>
      </w:r>
      <w:r w:rsidR="008B23BF">
        <w:t>,</w:t>
      </w:r>
      <w:r>
        <w:t xml:space="preserve"> as well as</w:t>
      </w:r>
      <w:r w:rsidR="00C56BCB">
        <w:t xml:space="preserve"> the</w:t>
      </w:r>
      <w:r>
        <w:t xml:space="preserve"> funding of these institutional partnerships. </w:t>
      </w:r>
    </w:p>
    <w:p w14:paraId="0ADEA9E8" w14:textId="55BA0C04" w:rsidR="001134AD" w:rsidRPr="00FA6FF6" w:rsidRDefault="001134AD" w:rsidP="004A4D81">
      <w:pPr>
        <w:pStyle w:val="FFNormal"/>
      </w:pPr>
      <w:r>
        <w:t xml:space="preserve">As reflected in </w:t>
      </w:r>
      <w:r w:rsidR="00C56BCB">
        <w:t>Country Visit 1</w:t>
      </w:r>
      <w:r>
        <w:t xml:space="preserve"> findings </w:t>
      </w:r>
      <w:r w:rsidR="0064225D">
        <w:t>(2019)</w:t>
      </w:r>
      <w:r>
        <w:t xml:space="preserve"> different </w:t>
      </w:r>
      <w:r w:rsidR="00F21D1C">
        <w:t xml:space="preserve">Fleming Fund </w:t>
      </w:r>
      <w:r>
        <w:t xml:space="preserve">countries had different starting points in terms of the recognition afforded to AMR in the political agenda across health as well as non-health sectors. The countries also varied in terms of the presence of pre-existing understandings, </w:t>
      </w:r>
      <w:r w:rsidR="008B23BF">
        <w:t>capacities,</w:t>
      </w:r>
      <w:r>
        <w:t xml:space="preserve"> and relationships across</w:t>
      </w:r>
      <w:r w:rsidR="001F2984">
        <w:t xml:space="preserve"> the</w:t>
      </w:r>
      <w:r>
        <w:t xml:space="preserve"> HH and AH sectors.</w:t>
      </w:r>
    </w:p>
    <w:p w14:paraId="1B28EAC5" w14:textId="77777777" w:rsidR="001134AD" w:rsidRPr="00E007A1" w:rsidRDefault="001134AD" w:rsidP="008D2F05">
      <w:pPr>
        <w:pStyle w:val="ItadH3"/>
        <w:rPr>
          <w:lang w:val="en-GB"/>
        </w:rPr>
      </w:pPr>
      <w:bookmarkStart w:id="185" w:name="_Toc118968531"/>
      <w:bookmarkStart w:id="186" w:name="_Toc142383171"/>
      <w:r w:rsidRPr="00E007A1">
        <w:rPr>
          <w:lang w:val="en-GB"/>
        </w:rPr>
        <w:t>Progress made across 16 countries</w:t>
      </w:r>
      <w:bookmarkEnd w:id="185"/>
      <w:bookmarkEnd w:id="186"/>
    </w:p>
    <w:p w14:paraId="0BC357F8" w14:textId="7F7FBD47" w:rsidR="001134AD" w:rsidRDefault="001134AD" w:rsidP="004A4D81">
      <w:pPr>
        <w:pStyle w:val="FFNormal"/>
      </w:pPr>
      <w:r>
        <w:t xml:space="preserve">While </w:t>
      </w:r>
      <w:r w:rsidR="00C56BCB">
        <w:t>Country Visit 2</w:t>
      </w:r>
      <w:r>
        <w:t xml:space="preserve"> assessed country </w:t>
      </w:r>
      <w:r w:rsidR="009B4356">
        <w:t xml:space="preserve">One Health </w:t>
      </w:r>
      <w:r>
        <w:t xml:space="preserve">ambitions, </w:t>
      </w:r>
      <w:r w:rsidR="00C56BCB">
        <w:t>Country Visit 3</w:t>
      </w:r>
      <w:r>
        <w:t xml:space="preserve"> provided a more current assessment of One Health. Using the gradient approach to One </w:t>
      </w:r>
      <w:r w:rsidRPr="007F1B4B">
        <w:t>Health (</w:t>
      </w:r>
      <w:r w:rsidR="007F1B4B" w:rsidRPr="007F1B4B">
        <w:fldChar w:fldCharType="begin"/>
      </w:r>
      <w:r w:rsidR="007F1B4B" w:rsidRPr="007F1B4B">
        <w:instrText xml:space="preserve"> REF _Ref118378190 \h </w:instrText>
      </w:r>
      <w:r w:rsidR="007F1B4B">
        <w:instrText xml:space="preserve"> \* MERGEFORMAT </w:instrText>
      </w:r>
      <w:r w:rsidR="007F1B4B" w:rsidRPr="007F1B4B">
        <w:fldChar w:fldCharType="separate"/>
      </w:r>
      <w:r w:rsidR="009A383C">
        <w:t xml:space="preserve">Figure </w:t>
      </w:r>
      <w:r w:rsidR="009A383C">
        <w:rPr>
          <w:noProof/>
        </w:rPr>
        <w:t>15</w:t>
      </w:r>
      <w:r w:rsidR="007F1B4B" w:rsidRPr="007F1B4B">
        <w:fldChar w:fldCharType="end"/>
      </w:r>
      <w:r w:rsidRPr="007F1B4B">
        <w:t>), we found decreased</w:t>
      </w:r>
      <w:r>
        <w:t xml:space="preserve"> achievement across different functions of One Health related to joint data sharing and analysis. This is </w:t>
      </w:r>
      <w:r w:rsidR="00F60CA9">
        <w:t>because</w:t>
      </w:r>
      <w:r>
        <w:t xml:space="preserve"> </w:t>
      </w:r>
      <w:r w:rsidR="00C56BCB">
        <w:t>Country Visit 3</w:t>
      </w:r>
      <w:r>
        <w:t xml:space="preserve"> </w:t>
      </w:r>
      <w:r w:rsidR="00F60CA9">
        <w:t>was</w:t>
      </w:r>
      <w:r>
        <w:t xml:space="preserve"> more realistic than the ambitions set out in </w:t>
      </w:r>
      <w:r w:rsidR="00C56BCB">
        <w:t>Country Visit 2</w:t>
      </w:r>
      <w:r>
        <w:t xml:space="preserve">. </w:t>
      </w:r>
    </w:p>
    <w:p w14:paraId="601274BF" w14:textId="0E61CE39" w:rsidR="001134AD" w:rsidRDefault="001134AD" w:rsidP="004A4D81">
      <w:pPr>
        <w:pStyle w:val="FFNormal"/>
      </w:pPr>
      <w:r>
        <w:t xml:space="preserve">Secondly, this framework assumes that all One Health discussions take place within formal institutional committees, and that good decision making </w:t>
      </w:r>
      <w:r w:rsidR="00C56BCB">
        <w:t xml:space="preserve">is </w:t>
      </w:r>
      <w:r>
        <w:t>contingent on</w:t>
      </w:r>
      <w:r w:rsidR="00C56BCB">
        <w:t xml:space="preserve"> the</w:t>
      </w:r>
      <w:r>
        <w:t xml:space="preserve"> sharing of data and joint epidemiologic analysis. Therefore, it is also possible that some cross-sectoral discussions are taking place outside the formal One Health committees which the framework would not have been able to account for, as we see next. </w:t>
      </w:r>
    </w:p>
    <w:p w14:paraId="561180E6" w14:textId="73BD5A32" w:rsidR="007F1B4B" w:rsidRDefault="007458AC" w:rsidP="007F1B4B">
      <w:pPr>
        <w:keepNext/>
      </w:pPr>
      <w:r>
        <w:t xml:space="preserve"> </w:t>
      </w:r>
      <w:r w:rsidR="00565A67">
        <w:rPr>
          <w:noProof/>
        </w:rPr>
        <w:drawing>
          <wp:inline distT="0" distB="0" distL="0" distR="0" wp14:anchorId="550A5344" wp14:editId="0746DF21">
            <wp:extent cx="5731510" cy="3050540"/>
            <wp:effectExtent l="0" t="0" r="2540" b="0"/>
            <wp:docPr id="13"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ar chart&#10;&#10;Description automatically generated"/>
                    <pic:cNvPicPr/>
                  </pic:nvPicPr>
                  <pic:blipFill>
                    <a:blip r:embed="rId45"/>
                    <a:stretch>
                      <a:fillRect/>
                    </a:stretch>
                  </pic:blipFill>
                  <pic:spPr>
                    <a:xfrm>
                      <a:off x="0" y="0"/>
                      <a:ext cx="5731510" cy="3050540"/>
                    </a:xfrm>
                    <a:prstGeom prst="rect">
                      <a:avLst/>
                    </a:prstGeom>
                  </pic:spPr>
                </pic:pic>
              </a:graphicData>
            </a:graphic>
          </wp:inline>
        </w:drawing>
      </w:r>
    </w:p>
    <w:p w14:paraId="3F15B14F" w14:textId="3086D781" w:rsidR="001134AD" w:rsidRDefault="007F1B4B" w:rsidP="00C04C3C">
      <w:pPr>
        <w:pStyle w:val="ItadCaption"/>
      </w:pPr>
      <w:bookmarkStart w:id="187" w:name="_Ref118378190"/>
      <w:bookmarkStart w:id="188" w:name="_Toc143858069"/>
      <w:r>
        <w:t xml:space="preserve">Figure </w:t>
      </w:r>
      <w:r>
        <w:fldChar w:fldCharType="begin"/>
      </w:r>
      <w:r>
        <w:instrText>SEQ Figure \* ARABIC</w:instrText>
      </w:r>
      <w:r>
        <w:fldChar w:fldCharType="separate"/>
      </w:r>
      <w:r w:rsidR="009A383C">
        <w:rPr>
          <w:noProof/>
        </w:rPr>
        <w:t>15</w:t>
      </w:r>
      <w:r>
        <w:fldChar w:fldCharType="end"/>
      </w:r>
      <w:bookmarkEnd w:id="187"/>
      <w:r w:rsidR="00C96798">
        <w:t xml:space="preserve"> </w:t>
      </w:r>
      <w:r w:rsidRPr="00F405EE">
        <w:t>Functional status of One Health partnerships (expectations and findings)</w:t>
      </w:r>
      <w:bookmarkEnd w:id="188"/>
    </w:p>
    <w:p w14:paraId="37209413" w14:textId="3E79EEB9" w:rsidR="001134AD" w:rsidRPr="004A4D81" w:rsidRDefault="001134AD" w:rsidP="001134AD">
      <w:pPr>
        <w:rPr>
          <w:rStyle w:val="FFNormalChar"/>
        </w:rPr>
      </w:pPr>
      <w:bookmarkStart w:id="189" w:name="_Hlk129552667"/>
      <w:r>
        <w:t xml:space="preserve">The next </w:t>
      </w:r>
      <w:r w:rsidRPr="007F1B4B">
        <w:t>chart (</w:t>
      </w:r>
      <w:r w:rsidR="007F1B4B" w:rsidRPr="007F1B4B">
        <w:fldChar w:fldCharType="begin"/>
      </w:r>
      <w:r w:rsidR="007F1B4B" w:rsidRPr="007F1B4B">
        <w:instrText xml:space="preserve"> REF _Ref118378225 \h </w:instrText>
      </w:r>
      <w:r w:rsidR="007F1B4B">
        <w:instrText xml:space="preserve"> \* MERGEFORMAT </w:instrText>
      </w:r>
      <w:r w:rsidR="007F1B4B" w:rsidRPr="007F1B4B">
        <w:fldChar w:fldCharType="separate"/>
      </w:r>
      <w:r w:rsidR="009A383C">
        <w:t xml:space="preserve">Figure </w:t>
      </w:r>
      <w:r w:rsidR="009A383C">
        <w:rPr>
          <w:noProof/>
        </w:rPr>
        <w:t>16</w:t>
      </w:r>
      <w:r w:rsidR="007F1B4B" w:rsidRPr="007F1B4B">
        <w:fldChar w:fldCharType="end"/>
      </w:r>
      <w:r w:rsidRPr="007F1B4B">
        <w:t>) uses additional</w:t>
      </w:r>
      <w:r>
        <w:t xml:space="preserve"> categories for multisector partnerships identified in </w:t>
      </w:r>
      <w:r w:rsidR="00C04A11">
        <w:t xml:space="preserve">the </w:t>
      </w:r>
      <w:r>
        <w:t xml:space="preserve">Itad </w:t>
      </w:r>
      <w:r w:rsidRPr="004A4D81">
        <w:rPr>
          <w:rStyle w:val="FFNormalChar"/>
        </w:rPr>
        <w:t xml:space="preserve">literature review. The overriding message from this chart is that it captures a wide range of One Health mechanisms that appear to exist in different countries. However, </w:t>
      </w:r>
      <w:r w:rsidR="003A5183" w:rsidRPr="004A4D81">
        <w:rPr>
          <w:rStyle w:val="FFNormalChar"/>
        </w:rPr>
        <w:t xml:space="preserve">using this categorisation </w:t>
      </w:r>
      <w:r w:rsidRPr="004A4D81">
        <w:rPr>
          <w:rStyle w:val="FFNormalChar"/>
        </w:rPr>
        <w:t xml:space="preserve">there appears to be </w:t>
      </w:r>
      <w:r w:rsidR="000103A0">
        <w:rPr>
          <w:rStyle w:val="FFNormalChar"/>
        </w:rPr>
        <w:t>little</w:t>
      </w:r>
      <w:r w:rsidRPr="004A4D81">
        <w:rPr>
          <w:rStyle w:val="FFNormalChar"/>
        </w:rPr>
        <w:t xml:space="preserve"> difference between </w:t>
      </w:r>
      <w:r w:rsidR="00C56BCB">
        <w:rPr>
          <w:rStyle w:val="FFNormalChar"/>
        </w:rPr>
        <w:t>Country Visit 2</w:t>
      </w:r>
      <w:r w:rsidRPr="004A4D81">
        <w:rPr>
          <w:rStyle w:val="FFNormalChar"/>
        </w:rPr>
        <w:t xml:space="preserve"> and </w:t>
      </w:r>
      <w:r w:rsidR="00C56BCB">
        <w:rPr>
          <w:rStyle w:val="FFNormalChar"/>
        </w:rPr>
        <w:t>Country Visit 3</w:t>
      </w:r>
      <w:r w:rsidRPr="004A4D81">
        <w:rPr>
          <w:rStyle w:val="FFNormalChar"/>
        </w:rPr>
        <w:t xml:space="preserve">. This is likely because these </w:t>
      </w:r>
      <w:r w:rsidR="00B36028" w:rsidRPr="004A4D81">
        <w:rPr>
          <w:rStyle w:val="FFNormalChar"/>
        </w:rPr>
        <w:t>categorisation</w:t>
      </w:r>
      <w:r w:rsidR="00B36028">
        <w:rPr>
          <w:rStyle w:val="FFNormalChar"/>
        </w:rPr>
        <w:t>s</w:t>
      </w:r>
      <w:r w:rsidR="00B36028" w:rsidRPr="004A4D81" w:rsidDel="00B36028">
        <w:rPr>
          <w:rStyle w:val="FFNormalChar"/>
        </w:rPr>
        <w:t xml:space="preserve"> </w:t>
      </w:r>
      <w:r w:rsidR="00AD2C3C">
        <w:rPr>
          <w:rStyle w:val="FFNormalChar"/>
        </w:rPr>
        <w:t>reflect</w:t>
      </w:r>
      <w:r w:rsidRPr="004A4D81">
        <w:rPr>
          <w:rStyle w:val="FFNormalChar"/>
        </w:rPr>
        <w:t xml:space="preserve"> longer</w:t>
      </w:r>
      <w:r w:rsidR="00AD2C3C">
        <w:rPr>
          <w:rStyle w:val="FFNormalChar"/>
        </w:rPr>
        <w:t>-</w:t>
      </w:r>
      <w:r w:rsidRPr="004A4D81">
        <w:rPr>
          <w:rStyle w:val="FFNormalChar"/>
        </w:rPr>
        <w:t xml:space="preserve">term characteristics of institutional arrangements in the </w:t>
      </w:r>
      <w:r w:rsidR="5235C097" w:rsidRPr="3D165EAA">
        <w:rPr>
          <w:rStyle w:val="FFNormalChar"/>
        </w:rPr>
        <w:t>health</w:t>
      </w:r>
      <w:r w:rsidR="1483D632" w:rsidRPr="3D165EAA">
        <w:rPr>
          <w:rStyle w:val="FFNormalChar"/>
        </w:rPr>
        <w:t xml:space="preserve"> </w:t>
      </w:r>
      <w:r w:rsidR="00AD2C3C">
        <w:rPr>
          <w:rStyle w:val="FFNormalChar"/>
        </w:rPr>
        <w:t xml:space="preserve">sector </w:t>
      </w:r>
      <w:r w:rsidR="1483D632" w:rsidRPr="3D165EAA">
        <w:rPr>
          <w:rStyle w:val="FFNormalChar"/>
        </w:rPr>
        <w:t xml:space="preserve">across </w:t>
      </w:r>
      <w:r w:rsidRPr="004A4D81">
        <w:rPr>
          <w:rStyle w:val="FFNormalChar"/>
        </w:rPr>
        <w:t xml:space="preserve">different countries. Some countries have more decentralised governance with </w:t>
      </w:r>
      <w:r w:rsidR="00AD2C3C">
        <w:rPr>
          <w:rStyle w:val="FFNormalChar"/>
        </w:rPr>
        <w:t xml:space="preserve">the </w:t>
      </w:r>
      <w:r w:rsidRPr="004A4D81">
        <w:rPr>
          <w:rStyle w:val="FFNormalChar"/>
        </w:rPr>
        <w:t xml:space="preserve">presence of subnational institutions, </w:t>
      </w:r>
      <w:r w:rsidR="008E7AAC">
        <w:rPr>
          <w:rStyle w:val="FFNormalChar"/>
        </w:rPr>
        <w:t xml:space="preserve">while </w:t>
      </w:r>
      <w:r w:rsidRPr="004A4D81">
        <w:rPr>
          <w:rStyle w:val="FFNormalChar"/>
        </w:rPr>
        <w:t xml:space="preserve">others encourage informality – either owing to small sizes or different administrative cultures. </w:t>
      </w:r>
    </w:p>
    <w:bookmarkEnd w:id="189"/>
    <w:p w14:paraId="65951670" w14:textId="240873DB" w:rsidR="007F1B4B" w:rsidRDefault="005C3A67" w:rsidP="007F1B4B">
      <w:pPr>
        <w:keepNext/>
      </w:pPr>
      <w:r>
        <w:rPr>
          <w:noProof/>
        </w:rPr>
        <w:drawing>
          <wp:inline distT="0" distB="0" distL="0" distR="0" wp14:anchorId="2C5A0528" wp14:editId="0750A2B4">
            <wp:extent cx="5682932" cy="3121261"/>
            <wp:effectExtent l="0" t="0" r="0" b="3175"/>
            <wp:docPr id="20" name="Picture 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bar chart&#10;&#10;Description automatically generated"/>
                    <pic:cNvPicPr/>
                  </pic:nvPicPr>
                  <pic:blipFill rotWithShape="1">
                    <a:blip r:embed="rId46"/>
                    <a:srcRect t="8653"/>
                    <a:stretch/>
                  </pic:blipFill>
                  <pic:spPr bwMode="auto">
                    <a:xfrm>
                      <a:off x="0" y="0"/>
                      <a:ext cx="5696646" cy="3128793"/>
                    </a:xfrm>
                    <a:prstGeom prst="rect">
                      <a:avLst/>
                    </a:prstGeom>
                    <a:ln>
                      <a:noFill/>
                    </a:ln>
                    <a:extLst>
                      <a:ext uri="{53640926-AAD7-44D8-BBD7-CCE9431645EC}">
                        <a14:shadowObscured xmlns:a14="http://schemas.microsoft.com/office/drawing/2010/main"/>
                      </a:ext>
                    </a:extLst>
                  </pic:spPr>
                </pic:pic>
              </a:graphicData>
            </a:graphic>
          </wp:inline>
        </w:drawing>
      </w:r>
    </w:p>
    <w:p w14:paraId="77DD77F0" w14:textId="4DBD86D0" w:rsidR="001134AD" w:rsidRDefault="007F1B4B" w:rsidP="00C04C3C">
      <w:pPr>
        <w:pStyle w:val="ItadCaption"/>
      </w:pPr>
      <w:bookmarkStart w:id="190" w:name="_Ref118378225"/>
      <w:bookmarkStart w:id="191" w:name="_Toc143858070"/>
      <w:r>
        <w:t xml:space="preserve">Figure </w:t>
      </w:r>
      <w:r>
        <w:fldChar w:fldCharType="begin"/>
      </w:r>
      <w:r>
        <w:instrText>SEQ Figure \* ARABIC</w:instrText>
      </w:r>
      <w:r>
        <w:fldChar w:fldCharType="separate"/>
      </w:r>
      <w:r w:rsidR="009A383C">
        <w:rPr>
          <w:noProof/>
        </w:rPr>
        <w:t>16</w:t>
      </w:r>
      <w:r>
        <w:fldChar w:fldCharType="end"/>
      </w:r>
      <w:bookmarkEnd w:id="190"/>
      <w:r w:rsidR="00C96798">
        <w:t xml:space="preserve"> </w:t>
      </w:r>
      <w:r w:rsidRPr="00C65F6F">
        <w:t xml:space="preserve">Nature of One Health partnerships, </w:t>
      </w:r>
      <w:r w:rsidR="00C56BCB">
        <w:t>Country Visit 2</w:t>
      </w:r>
      <w:r w:rsidR="00DA6EA8">
        <w:t xml:space="preserve"> and </w:t>
      </w:r>
      <w:r w:rsidR="00C56BCB">
        <w:t>Country Visit 3</w:t>
      </w:r>
      <w:bookmarkEnd w:id="191"/>
    </w:p>
    <w:p w14:paraId="5FC79C53" w14:textId="77777777" w:rsidR="00AF67AE" w:rsidRPr="00AF67AE" w:rsidRDefault="00AF67AE" w:rsidP="00AF67AE">
      <w:pPr>
        <w:pStyle w:val="ItadNormalText"/>
        <w:rPr>
          <w:lang w:eastAsia="en-GB"/>
        </w:rPr>
      </w:pPr>
    </w:p>
    <w:p w14:paraId="2589AC75" w14:textId="67B8FA5F" w:rsidR="001134AD" w:rsidRDefault="00D86DC8" w:rsidP="008E7AAC">
      <w:pPr>
        <w:pStyle w:val="FFNormal"/>
      </w:pPr>
      <w:bookmarkStart w:id="192" w:name="_Hlk129552899"/>
      <w:r w:rsidRPr="00D86DC8">
        <w:t xml:space="preserve">Similarly, Figure 17 shows not so much of the difference between Country Visit 2 and Country Visit 3 findings. </w:t>
      </w:r>
      <w:r w:rsidR="00E41535" w:rsidRPr="00E41535">
        <w:t>I</w:t>
      </w:r>
      <w:r w:rsidR="37EEC994" w:rsidRPr="00E41535">
        <w:t>t demonstrates</w:t>
      </w:r>
      <w:r w:rsidR="001134AD">
        <w:t xml:space="preserve"> the fact that there </w:t>
      </w:r>
      <w:r w:rsidR="4CD78E77">
        <w:t>are</w:t>
      </w:r>
      <w:r w:rsidR="001134AD">
        <w:t xml:space="preserve"> a wide range of partnership arrangements in place in all countries. An important trend is that integration (seeking exchange of physical space and personnel) and even collaboration (joint activities in the field) remain very difficult to achieve across almost all the countries. The ambition of cross-sectoral activities remains limited to conducting joint meetings</w:t>
      </w:r>
      <w:r w:rsidR="00F54EB0">
        <w:t xml:space="preserve"> and</w:t>
      </w:r>
      <w:r w:rsidR="001134AD">
        <w:t xml:space="preserve"> limited sharing of experience and insights. These are, consequently, more likely to be feasible than joint data analysis across most countries.</w:t>
      </w:r>
    </w:p>
    <w:p w14:paraId="103583F4" w14:textId="77777777" w:rsidR="008E7AAC" w:rsidRDefault="008E7AAC" w:rsidP="007F63EF">
      <w:pPr>
        <w:pStyle w:val="FFNormal"/>
      </w:pPr>
    </w:p>
    <w:bookmarkEnd w:id="192"/>
    <w:p w14:paraId="4D6B4459" w14:textId="5C2C44E0" w:rsidR="007F1B4B" w:rsidRDefault="008E7AAC" w:rsidP="008E7AAC">
      <w:pPr>
        <w:pStyle w:val="FFNormal"/>
      </w:pPr>
      <w:r>
        <w:rPr>
          <w:noProof/>
        </w:rPr>
        <w:drawing>
          <wp:inline distT="0" distB="0" distL="0" distR="0" wp14:anchorId="7A75290F" wp14:editId="7BB50AF3">
            <wp:extent cx="5644435" cy="3318122"/>
            <wp:effectExtent l="0" t="0" r="0" b="0"/>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pic:nvPicPr>
                  <pic:blipFill>
                    <a:blip r:embed="rId47"/>
                    <a:stretch>
                      <a:fillRect/>
                    </a:stretch>
                  </pic:blipFill>
                  <pic:spPr>
                    <a:xfrm>
                      <a:off x="0" y="0"/>
                      <a:ext cx="5666323" cy="3330989"/>
                    </a:xfrm>
                    <a:prstGeom prst="rect">
                      <a:avLst/>
                    </a:prstGeom>
                  </pic:spPr>
                </pic:pic>
              </a:graphicData>
            </a:graphic>
          </wp:inline>
        </w:drawing>
      </w:r>
      <w:r w:rsidR="001134AD" w:rsidRPr="007A3F92">
        <w:rPr>
          <w:noProof/>
        </w:rPr>
        <w:drawing>
          <wp:inline distT="0" distB="0" distL="0" distR="0" wp14:anchorId="600E824C" wp14:editId="443A0530">
            <wp:extent cx="0" cy="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11E37474" w14:textId="73785864" w:rsidR="008E7AAC" w:rsidRPr="00265225" w:rsidRDefault="008E7AAC" w:rsidP="008E7AAC">
      <w:pPr>
        <w:pStyle w:val="ItadCaption"/>
      </w:pPr>
      <w:bookmarkStart w:id="193" w:name="_Ref118378257"/>
      <w:bookmarkStart w:id="194" w:name="_Toc143858071"/>
      <w:r>
        <w:t xml:space="preserve">Figure </w:t>
      </w:r>
      <w:r>
        <w:fldChar w:fldCharType="begin"/>
      </w:r>
      <w:r>
        <w:instrText>SEQ Figure \* ARABIC</w:instrText>
      </w:r>
      <w:r>
        <w:fldChar w:fldCharType="separate"/>
      </w:r>
      <w:r w:rsidR="009A383C">
        <w:rPr>
          <w:noProof/>
        </w:rPr>
        <w:t>17</w:t>
      </w:r>
      <w:r>
        <w:fldChar w:fldCharType="end"/>
      </w:r>
      <w:bookmarkEnd w:id="193"/>
      <w:r>
        <w:t xml:space="preserve"> </w:t>
      </w:r>
      <w:r w:rsidRPr="009A7DDA">
        <w:t xml:space="preserve">Strength of One Health partnerships, </w:t>
      </w:r>
      <w:r>
        <w:t>Country Visit 2 and Country Visit 3</w:t>
      </w:r>
      <w:bookmarkEnd w:id="194"/>
    </w:p>
    <w:p w14:paraId="2F1558F3" w14:textId="77777777" w:rsidR="008E7AAC" w:rsidRDefault="008E7AAC" w:rsidP="007F63EF">
      <w:pPr>
        <w:pStyle w:val="FFNormal"/>
      </w:pPr>
    </w:p>
    <w:p w14:paraId="78B739CF" w14:textId="77777777" w:rsidR="001134AD" w:rsidRDefault="001134AD" w:rsidP="00BB4743">
      <w:pPr>
        <w:pStyle w:val="ItadH2"/>
        <w:keepNext/>
      </w:pPr>
      <w:bookmarkStart w:id="195" w:name="_Toc118968532"/>
      <w:bookmarkStart w:id="196" w:name="_Toc142383172"/>
      <w:r>
        <w:t>Variation and possible explanations</w:t>
      </w:r>
      <w:bookmarkEnd w:id="195"/>
      <w:bookmarkEnd w:id="196"/>
    </w:p>
    <w:p w14:paraId="6C8EAACA" w14:textId="4DB4D08F" w:rsidR="001134AD" w:rsidRDefault="001134AD" w:rsidP="00AF67AE">
      <w:r>
        <w:rPr>
          <w:noProof/>
        </w:rPr>
        <mc:AlternateContent>
          <mc:Choice Requires="wps">
            <w:drawing>
              <wp:inline distT="0" distB="0" distL="0" distR="0" wp14:anchorId="7B32C2C7" wp14:editId="6EB77CAC">
                <wp:extent cx="5760720" cy="5760720"/>
                <wp:effectExtent l="0" t="0" r="11430" b="11430"/>
                <wp:docPr id="4" name="Text Box 4"/>
                <wp:cNvGraphicFramePr/>
                <a:graphic xmlns:a="http://schemas.openxmlformats.org/drawingml/2006/main">
                  <a:graphicData uri="http://schemas.microsoft.com/office/word/2010/wordprocessingShape">
                    <wps:wsp>
                      <wps:cNvSpPr txBox="1"/>
                      <wps:spPr>
                        <a:xfrm>
                          <a:off x="0" y="0"/>
                          <a:ext cx="5760720" cy="5760720"/>
                        </a:xfrm>
                        <a:prstGeom prst="rect">
                          <a:avLst/>
                        </a:prstGeom>
                        <a:solidFill>
                          <a:schemeClr val="accent2">
                            <a:lumMod val="20000"/>
                            <a:lumOff val="80000"/>
                          </a:schemeClr>
                        </a:solidFill>
                        <a:ln w="6350">
                          <a:solidFill>
                            <a:schemeClr val="accent2">
                              <a:lumMod val="20000"/>
                              <a:lumOff val="80000"/>
                            </a:schemeClr>
                          </a:solidFill>
                        </a:ln>
                      </wps:spPr>
                      <wps:txbx>
                        <w:txbxContent>
                          <w:p w14:paraId="2059381B" w14:textId="2E43A636" w:rsidR="00234FDE" w:rsidRPr="00AF67AE" w:rsidRDefault="00234FDE" w:rsidP="00234FDE">
                            <w:pPr>
                              <w:pStyle w:val="Itadboxnumbers"/>
                              <w:numPr>
                                <w:ilvl w:val="0"/>
                                <w:numId w:val="0"/>
                              </w:numPr>
                              <w:rPr>
                                <w:rStyle w:val="Strong"/>
                                <w:b/>
                                <w:bCs/>
                              </w:rPr>
                            </w:pPr>
                            <w:bookmarkStart w:id="197" w:name="_Toc136382659"/>
                            <w:r>
                              <w:t xml:space="preserve">Box </w:t>
                            </w:r>
                            <w:r>
                              <w:fldChar w:fldCharType="begin"/>
                            </w:r>
                            <w:r>
                              <w:instrText>SEQ Box \* ARABIC</w:instrText>
                            </w:r>
                            <w:r>
                              <w:fldChar w:fldCharType="separate"/>
                            </w:r>
                            <w:r w:rsidR="001F3419">
                              <w:rPr>
                                <w:noProof/>
                              </w:rPr>
                              <w:t>2</w:t>
                            </w:r>
                            <w:r>
                              <w:fldChar w:fldCharType="end"/>
                            </w:r>
                            <w:r>
                              <w:t xml:space="preserve"> </w:t>
                            </w:r>
                            <w:r w:rsidRPr="00CB32F3">
                              <w:t xml:space="preserve">Key messages </w:t>
                            </w:r>
                            <w:r w:rsidR="00144DFE">
                              <w:t>from the</w:t>
                            </w:r>
                            <w:r w:rsidR="00144DFE" w:rsidRPr="00CB32F3">
                              <w:t xml:space="preserve"> </w:t>
                            </w:r>
                            <w:r w:rsidRPr="00CB32F3">
                              <w:t>Itad literature review</w:t>
                            </w:r>
                            <w:r w:rsidR="007458AC">
                              <w:t xml:space="preserve"> </w:t>
                            </w:r>
                            <w:r w:rsidRPr="00AF67AE">
                              <w:rPr>
                                <w:rStyle w:val="Strong"/>
                                <w:b/>
                                <w:bCs/>
                              </w:rPr>
                              <w:t>[</w:t>
                            </w:r>
                            <w:hyperlink r:id="rId49" w:history="1">
                              <w:r w:rsidRPr="00BB4743">
                                <w:rPr>
                                  <w:rStyle w:val="Hyperlink"/>
                                  <w:color w:val="E37230" w:themeColor="accent2"/>
                                </w:rPr>
                                <w:t>here</w:t>
                              </w:r>
                            </w:hyperlink>
                            <w:r w:rsidRPr="005C0233">
                              <w:rPr>
                                <w:rStyle w:val="Strong"/>
                                <w:b/>
                                <w:bCs/>
                              </w:rPr>
                              <w:t>]</w:t>
                            </w:r>
                            <w:bookmarkEnd w:id="197"/>
                          </w:p>
                          <w:p w14:paraId="74BDBCB9" w14:textId="40062DB1" w:rsidR="001134AD" w:rsidRPr="004A4D81" w:rsidRDefault="001134AD" w:rsidP="00AF67AE">
                            <w:pPr>
                              <w:pStyle w:val="FFNormal"/>
                            </w:pPr>
                            <w:r w:rsidRPr="004A4D81">
                              <w:t xml:space="preserve">There is a rich body of literature around multisector collaborations in other contexts that can inform One Health. The review demonstrates that multisector collaborations are complex enterprises whose structures and success are rooted in local political and administrative contexts. Collaborations come in all shapes and sizes, and can be described in the following ways: </w:t>
                            </w:r>
                          </w:p>
                          <w:p w14:paraId="2DFDF407" w14:textId="35880EC9" w:rsidR="001134AD" w:rsidRPr="004A4D81" w:rsidRDefault="001134AD" w:rsidP="00AF67AE">
                            <w:pPr>
                              <w:pStyle w:val="FFNormal"/>
                              <w:rPr>
                                <w:b/>
                                <w:bCs/>
                              </w:rPr>
                            </w:pPr>
                            <w:r w:rsidRPr="004A4D81">
                              <w:rPr>
                                <w:b/>
                                <w:bCs/>
                              </w:rPr>
                              <w:t xml:space="preserve">Informality, relationships and local political dynamics </w:t>
                            </w:r>
                            <w:r w:rsidR="00E109D3">
                              <w:rPr>
                                <w:b/>
                                <w:bCs/>
                              </w:rPr>
                              <w:t xml:space="preserve">are </w:t>
                            </w:r>
                            <w:r w:rsidRPr="004A4D81">
                              <w:rPr>
                                <w:b/>
                                <w:bCs/>
                              </w:rPr>
                              <w:t xml:space="preserve">important drivers </w:t>
                            </w:r>
                          </w:p>
                          <w:p w14:paraId="02877CE6" w14:textId="700B71B5" w:rsidR="001134AD" w:rsidRPr="004A4D81" w:rsidRDefault="001134AD" w:rsidP="00AF67AE">
                            <w:pPr>
                              <w:pStyle w:val="FFNormal"/>
                            </w:pPr>
                            <w:r w:rsidRPr="004A4D81">
                              <w:t xml:space="preserve">Most collaborations will have elements </w:t>
                            </w:r>
                            <w:r w:rsidR="00541587">
                              <w:t>that are</w:t>
                            </w:r>
                            <w:r w:rsidRPr="004A4D81">
                              <w:t xml:space="preserve"> formal AND informal</w:t>
                            </w:r>
                            <w:r w:rsidR="00541587">
                              <w:t>.</w:t>
                            </w:r>
                          </w:p>
                          <w:p w14:paraId="22CF3A8E" w14:textId="02161954" w:rsidR="001134AD" w:rsidRPr="004A4D81" w:rsidRDefault="001134AD" w:rsidP="00AF67AE">
                            <w:pPr>
                              <w:pStyle w:val="FFNormal"/>
                            </w:pPr>
                            <w:r w:rsidRPr="004A4D81">
                              <w:t>One is not necessarily better than the other. The degree of formality is likely to be a response to the administrative cultures in a country, and likely to represent what is most feasible at the current stage</w:t>
                            </w:r>
                            <w:r w:rsidR="00541587">
                              <w:t>.</w:t>
                            </w:r>
                          </w:p>
                          <w:p w14:paraId="03061982" w14:textId="4E03FC3E" w:rsidR="001134AD" w:rsidRPr="004A4D81" w:rsidRDefault="001134AD" w:rsidP="00AF67AE">
                            <w:pPr>
                              <w:pStyle w:val="FFNormal"/>
                              <w:rPr>
                                <w:b/>
                                <w:bCs/>
                              </w:rPr>
                            </w:pPr>
                            <w:r w:rsidRPr="004A4D81">
                              <w:rPr>
                                <w:b/>
                                <w:bCs/>
                              </w:rPr>
                              <w:t>Actors come to collaborations in pursuit of their (different) institutional agendas</w:t>
                            </w:r>
                            <w:r w:rsidR="005C0233">
                              <w:rPr>
                                <w:b/>
                                <w:bCs/>
                              </w:rPr>
                              <w:t xml:space="preserve"> – </w:t>
                            </w:r>
                            <w:r w:rsidRPr="004A4D81">
                              <w:rPr>
                                <w:b/>
                                <w:bCs/>
                              </w:rPr>
                              <w:t>no shared vision</w:t>
                            </w:r>
                          </w:p>
                          <w:p w14:paraId="1C0D3206" w14:textId="57E91030" w:rsidR="001134AD" w:rsidRPr="004A4D81" w:rsidRDefault="001134AD" w:rsidP="00AF67AE">
                            <w:pPr>
                              <w:pStyle w:val="FFNormal"/>
                            </w:pPr>
                            <w:r w:rsidRPr="004A4D81">
                              <w:t xml:space="preserve">Fractured contexts: Collaborating partners have different aims, </w:t>
                            </w:r>
                            <w:r w:rsidR="001F3419">
                              <w:t>agendas</w:t>
                            </w:r>
                            <w:r w:rsidR="001F3419" w:rsidRPr="004A4D81">
                              <w:t xml:space="preserve"> </w:t>
                            </w:r>
                            <w:r w:rsidRPr="004A4D81">
                              <w:t xml:space="preserve">and approaches. They do not come together willingly but come together only when the situation at hand is beyond their individual sector’s control. </w:t>
                            </w:r>
                          </w:p>
                          <w:p w14:paraId="4144C096" w14:textId="231ED43C" w:rsidR="001134AD" w:rsidRPr="004A4D81" w:rsidRDefault="001134AD" w:rsidP="00AF67AE">
                            <w:pPr>
                              <w:pStyle w:val="FFNormal"/>
                            </w:pPr>
                            <w:r w:rsidRPr="004A4D81">
                              <w:t xml:space="preserve">Interdependence: Instead of a common vision, individual partners </w:t>
                            </w:r>
                            <w:r w:rsidR="000228D3">
                              <w:t xml:space="preserve">are </w:t>
                            </w:r>
                            <w:r w:rsidRPr="004A4D81">
                              <w:t>more likely to be pursuing institutional agenda</w:t>
                            </w:r>
                            <w:r w:rsidR="00560AE0">
                              <w:t>s</w:t>
                            </w:r>
                            <w:r w:rsidRPr="004A4D81">
                              <w:t xml:space="preserve">. Collaborations consist of complementary aims and strengths. This allows each to pursue their individual organisational aims while drawing upon each </w:t>
                            </w:r>
                            <w:r w:rsidR="000228D3" w:rsidRPr="004A4D81">
                              <w:t>other’s</w:t>
                            </w:r>
                            <w:r w:rsidRPr="004A4D81">
                              <w:t xml:space="preserve"> strengths</w:t>
                            </w:r>
                            <w:r w:rsidR="00541587">
                              <w:t>.</w:t>
                            </w:r>
                          </w:p>
                          <w:p w14:paraId="059D1203" w14:textId="09F0B11E" w:rsidR="001134AD" w:rsidRPr="004A4D81" w:rsidRDefault="001134AD" w:rsidP="00AF67AE">
                            <w:pPr>
                              <w:pStyle w:val="FFNormal"/>
                              <w:rPr>
                                <w:b/>
                                <w:bCs/>
                              </w:rPr>
                            </w:pPr>
                            <w:r w:rsidRPr="004A4D81">
                              <w:rPr>
                                <w:b/>
                                <w:bCs/>
                              </w:rPr>
                              <w:t xml:space="preserve">Often not easy to </w:t>
                            </w:r>
                            <w:r w:rsidR="00D54BAB" w:rsidRPr="004A4D81">
                              <w:rPr>
                                <w:b/>
                                <w:bCs/>
                              </w:rPr>
                              <w:t>identify</w:t>
                            </w:r>
                            <w:r w:rsidRPr="004A4D81">
                              <w:rPr>
                                <w:b/>
                                <w:bCs/>
                              </w:rPr>
                              <w:t xml:space="preserve"> </w:t>
                            </w:r>
                            <w:r w:rsidR="00D54BAB">
                              <w:rPr>
                                <w:b/>
                                <w:bCs/>
                              </w:rPr>
                              <w:t xml:space="preserve">– </w:t>
                            </w:r>
                            <w:r w:rsidRPr="004A4D81">
                              <w:rPr>
                                <w:b/>
                                <w:bCs/>
                              </w:rPr>
                              <w:t xml:space="preserve">therefore likely to require </w:t>
                            </w:r>
                            <w:r w:rsidR="00E109D3">
                              <w:rPr>
                                <w:b/>
                                <w:bCs/>
                              </w:rPr>
                              <w:t>a</w:t>
                            </w:r>
                            <w:r w:rsidRPr="004A4D81">
                              <w:rPr>
                                <w:b/>
                                <w:bCs/>
                              </w:rPr>
                              <w:t xml:space="preserve"> flexible approach</w:t>
                            </w:r>
                          </w:p>
                          <w:p w14:paraId="75C8B68F" w14:textId="112E8E36" w:rsidR="001134AD" w:rsidRPr="004A4D81" w:rsidRDefault="001134AD" w:rsidP="004A4D81">
                            <w:pPr>
                              <w:pStyle w:val="FFNormal"/>
                            </w:pPr>
                            <w:r w:rsidRPr="004A4D81">
                              <w:t>Adaptation take</w:t>
                            </w:r>
                            <w:r w:rsidR="000228D3">
                              <w:t>s</w:t>
                            </w:r>
                            <w:r w:rsidRPr="004A4D81">
                              <w:t xml:space="preserve"> place when boundaries are fluid: </w:t>
                            </w:r>
                            <w:r w:rsidR="00F541D3" w:rsidRPr="004A4D81">
                              <w:t>To</w:t>
                            </w:r>
                            <w:r w:rsidRPr="004A4D81">
                              <w:t xml:space="preserve"> allow </w:t>
                            </w:r>
                            <w:r w:rsidR="00537CE3">
                              <w:t xml:space="preserve">sustainable </w:t>
                            </w:r>
                            <w:r w:rsidRPr="004A4D81">
                              <w:t xml:space="preserve">partnerships </w:t>
                            </w:r>
                            <w:r w:rsidR="00537CE3">
                              <w:t>or</w:t>
                            </w:r>
                            <w:r w:rsidRPr="004A4D81">
                              <w:t xml:space="preserve"> collaborations, there should be some room for them to manoeuvre</w:t>
                            </w:r>
                            <w:r w:rsidR="00F541D3">
                              <w:t>,</w:t>
                            </w:r>
                            <w:r w:rsidRPr="004A4D81">
                              <w:t xml:space="preserve"> adapt to </w:t>
                            </w:r>
                            <w:r w:rsidR="00F541D3">
                              <w:t xml:space="preserve">and </w:t>
                            </w:r>
                            <w:r w:rsidRPr="004A4D81">
                              <w:t>respond to partner needs or changing circumstances.</w:t>
                            </w:r>
                          </w:p>
                          <w:p w14:paraId="30107201" w14:textId="421262D1" w:rsidR="001134AD" w:rsidRPr="004A4D81" w:rsidRDefault="001134AD" w:rsidP="004A4D81">
                            <w:pPr>
                              <w:pStyle w:val="FFNormal"/>
                            </w:pPr>
                            <w:r w:rsidRPr="004A4D81">
                              <w:t>Successful partnerships = Sustainable collaborations: What is a successful collaboration? One that delivers on immediate project aims, or one that sustains over a longer timeframe and is responsive to local needs?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B32C2C7" id="Text Box 4" o:spid="_x0000_s1028" type="#_x0000_t202" style="width:453.6pt;height:45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" fillcolor="#f9e2d5 [661]" strokecolor="#f9e2d5 [661]" strokeweight=".5pt">
                <v:textbox>
                  <w:txbxContent>
                    <w:p w14:paraId="2059381B" w14:textId="2E43A636" w:rsidR="00234FDE" w:rsidRPr="00AF67AE" w:rsidRDefault="00234FDE" w:rsidP="00234FDE">
                      <w:pPr>
                        <w:pStyle w:val="Itadboxnumbers"/>
                        <w:numPr>
                          <w:ilvl w:val="0"/>
                          <w:numId w:val="0"/>
                        </w:numPr>
                        <w:rPr>
                          <w:rStyle w:val="Strong"/>
                          <w:b/>
                          <w:bCs/>
                        </w:rPr>
                      </w:pPr>
                      <w:bookmarkStart w:id="198" w:name="_Toc136382659"/>
                      <w:r>
                        <w:t xml:space="preserve">Box </w:t>
                      </w:r>
                      <w:r>
                        <w:fldChar w:fldCharType="begin"/>
                      </w:r>
                      <w:r>
                        <w:instrText>SEQ Box \* ARABIC</w:instrText>
                      </w:r>
                      <w:r>
                        <w:fldChar w:fldCharType="separate"/>
                      </w:r>
                      <w:r w:rsidR="001F3419">
                        <w:rPr>
                          <w:noProof/>
                        </w:rPr>
                        <w:t>2</w:t>
                      </w:r>
                      <w:r>
                        <w:fldChar w:fldCharType="end"/>
                      </w:r>
                      <w:r>
                        <w:t xml:space="preserve"> </w:t>
                      </w:r>
                      <w:r w:rsidRPr="00CB32F3">
                        <w:t xml:space="preserve">Key messages </w:t>
                      </w:r>
                      <w:r w:rsidR="00144DFE">
                        <w:t>from the</w:t>
                      </w:r>
                      <w:r w:rsidR="00144DFE" w:rsidRPr="00CB32F3">
                        <w:t xml:space="preserve"> </w:t>
                      </w:r>
                      <w:r w:rsidRPr="00CB32F3">
                        <w:t>Itad literature review</w:t>
                      </w:r>
                      <w:r w:rsidR="007458AC">
                        <w:t xml:space="preserve"> </w:t>
                      </w:r>
                      <w:r w:rsidRPr="00AF67AE">
                        <w:rPr>
                          <w:rStyle w:val="Strong"/>
                          <w:b/>
                          <w:bCs/>
                        </w:rPr>
                        <w:t>[</w:t>
                      </w:r>
                      <w:hyperlink r:id="rId50" w:history="1">
                        <w:r w:rsidRPr="00BB4743">
                          <w:rPr>
                            <w:rStyle w:val="Hyperlink"/>
                            <w:color w:val="E37230" w:themeColor="accent2"/>
                          </w:rPr>
                          <w:t>here</w:t>
                        </w:r>
                      </w:hyperlink>
                      <w:r w:rsidRPr="005C0233">
                        <w:rPr>
                          <w:rStyle w:val="Strong"/>
                          <w:b/>
                          <w:bCs/>
                        </w:rPr>
                        <w:t>]</w:t>
                      </w:r>
                      <w:bookmarkEnd w:id="198"/>
                    </w:p>
                    <w:p w14:paraId="74BDBCB9" w14:textId="40062DB1" w:rsidR="001134AD" w:rsidRPr="004A4D81" w:rsidRDefault="001134AD" w:rsidP="00AF67AE">
                      <w:pPr>
                        <w:pStyle w:val="FFNormal"/>
                      </w:pPr>
                      <w:r w:rsidRPr="004A4D81">
                        <w:t xml:space="preserve">There is a rich body of literature around multisector collaborations in other contexts that can inform One Health. The review demonstrates that multisector collaborations are complex enterprises whose structures and success are rooted in local political and administrative contexts. Collaborations come in all shapes and sizes, and can be described in the following ways: </w:t>
                      </w:r>
                    </w:p>
                    <w:p w14:paraId="2DFDF407" w14:textId="35880EC9" w:rsidR="001134AD" w:rsidRPr="004A4D81" w:rsidRDefault="001134AD" w:rsidP="00AF67AE">
                      <w:pPr>
                        <w:pStyle w:val="FFNormal"/>
                        <w:rPr>
                          <w:b/>
                          <w:bCs/>
                        </w:rPr>
                      </w:pPr>
                      <w:r w:rsidRPr="004A4D81">
                        <w:rPr>
                          <w:b/>
                          <w:bCs/>
                        </w:rPr>
                        <w:t xml:space="preserve">Informality, relationships and local political dynamics </w:t>
                      </w:r>
                      <w:r w:rsidR="00E109D3">
                        <w:rPr>
                          <w:b/>
                          <w:bCs/>
                        </w:rPr>
                        <w:t xml:space="preserve">are </w:t>
                      </w:r>
                      <w:r w:rsidRPr="004A4D81">
                        <w:rPr>
                          <w:b/>
                          <w:bCs/>
                        </w:rPr>
                        <w:t xml:space="preserve">important drivers </w:t>
                      </w:r>
                    </w:p>
                    <w:p w14:paraId="02877CE6" w14:textId="700B71B5" w:rsidR="001134AD" w:rsidRPr="004A4D81" w:rsidRDefault="001134AD" w:rsidP="00AF67AE">
                      <w:pPr>
                        <w:pStyle w:val="FFNormal"/>
                      </w:pPr>
                      <w:r w:rsidRPr="004A4D81">
                        <w:t xml:space="preserve">Most collaborations will have elements </w:t>
                      </w:r>
                      <w:r w:rsidR="00541587">
                        <w:t>that are</w:t>
                      </w:r>
                      <w:r w:rsidRPr="004A4D81">
                        <w:t xml:space="preserve"> formal AND informal</w:t>
                      </w:r>
                      <w:r w:rsidR="00541587">
                        <w:t>.</w:t>
                      </w:r>
                    </w:p>
                    <w:p w14:paraId="22CF3A8E" w14:textId="02161954" w:rsidR="001134AD" w:rsidRPr="004A4D81" w:rsidRDefault="001134AD" w:rsidP="00AF67AE">
                      <w:pPr>
                        <w:pStyle w:val="FFNormal"/>
                      </w:pPr>
                      <w:r w:rsidRPr="004A4D81">
                        <w:t>One is not necessarily better than the other. The degree of formality is likely to be a response to the administrative cultures in a country, and likely to represent what is most feasible at the current stage</w:t>
                      </w:r>
                      <w:r w:rsidR="00541587">
                        <w:t>.</w:t>
                      </w:r>
                    </w:p>
                    <w:p w14:paraId="03061982" w14:textId="4E03FC3E" w:rsidR="001134AD" w:rsidRPr="004A4D81" w:rsidRDefault="001134AD" w:rsidP="00AF67AE">
                      <w:pPr>
                        <w:pStyle w:val="FFNormal"/>
                        <w:rPr>
                          <w:b/>
                          <w:bCs/>
                        </w:rPr>
                      </w:pPr>
                      <w:r w:rsidRPr="004A4D81">
                        <w:rPr>
                          <w:b/>
                          <w:bCs/>
                        </w:rPr>
                        <w:t>Actors come to collaborations in pursuit of their (different) institutional agendas</w:t>
                      </w:r>
                      <w:r w:rsidR="005C0233">
                        <w:rPr>
                          <w:b/>
                          <w:bCs/>
                        </w:rPr>
                        <w:t xml:space="preserve"> – </w:t>
                      </w:r>
                      <w:r w:rsidRPr="004A4D81">
                        <w:rPr>
                          <w:b/>
                          <w:bCs/>
                        </w:rPr>
                        <w:t>no shared vision</w:t>
                      </w:r>
                    </w:p>
                    <w:p w14:paraId="1C0D3206" w14:textId="57E91030" w:rsidR="001134AD" w:rsidRPr="004A4D81" w:rsidRDefault="001134AD" w:rsidP="00AF67AE">
                      <w:pPr>
                        <w:pStyle w:val="FFNormal"/>
                      </w:pPr>
                      <w:r w:rsidRPr="004A4D81">
                        <w:t xml:space="preserve">Fractured contexts: Collaborating partners have different aims, </w:t>
                      </w:r>
                      <w:r w:rsidR="001F3419">
                        <w:t>agendas</w:t>
                      </w:r>
                      <w:r w:rsidR="001F3419" w:rsidRPr="004A4D81">
                        <w:t xml:space="preserve"> </w:t>
                      </w:r>
                      <w:r w:rsidRPr="004A4D81">
                        <w:t xml:space="preserve">and approaches. They do not come together willingly but come together only when the situation at hand is beyond their individual sector’s control. </w:t>
                      </w:r>
                    </w:p>
                    <w:p w14:paraId="4144C096" w14:textId="231ED43C" w:rsidR="001134AD" w:rsidRPr="004A4D81" w:rsidRDefault="001134AD" w:rsidP="00AF67AE">
                      <w:pPr>
                        <w:pStyle w:val="FFNormal"/>
                      </w:pPr>
                      <w:r w:rsidRPr="004A4D81">
                        <w:t xml:space="preserve">Interdependence: Instead of a common vision, individual partners </w:t>
                      </w:r>
                      <w:r w:rsidR="000228D3">
                        <w:t xml:space="preserve">are </w:t>
                      </w:r>
                      <w:r w:rsidRPr="004A4D81">
                        <w:t>more likely to be pursuing institutional agenda</w:t>
                      </w:r>
                      <w:r w:rsidR="00560AE0">
                        <w:t>s</w:t>
                      </w:r>
                      <w:r w:rsidRPr="004A4D81">
                        <w:t xml:space="preserve">. Collaborations consist of complementary aims and strengths. This allows each to pursue their individual organisational aims while drawing upon each </w:t>
                      </w:r>
                      <w:r w:rsidR="000228D3" w:rsidRPr="004A4D81">
                        <w:t>other’s</w:t>
                      </w:r>
                      <w:r w:rsidRPr="004A4D81">
                        <w:t xml:space="preserve"> strengths</w:t>
                      </w:r>
                      <w:r w:rsidR="00541587">
                        <w:t>.</w:t>
                      </w:r>
                    </w:p>
                    <w:p w14:paraId="059D1203" w14:textId="09F0B11E" w:rsidR="001134AD" w:rsidRPr="004A4D81" w:rsidRDefault="001134AD" w:rsidP="00AF67AE">
                      <w:pPr>
                        <w:pStyle w:val="FFNormal"/>
                        <w:rPr>
                          <w:b/>
                          <w:bCs/>
                        </w:rPr>
                      </w:pPr>
                      <w:r w:rsidRPr="004A4D81">
                        <w:rPr>
                          <w:b/>
                          <w:bCs/>
                        </w:rPr>
                        <w:t xml:space="preserve">Often not easy to </w:t>
                      </w:r>
                      <w:r w:rsidR="00D54BAB" w:rsidRPr="004A4D81">
                        <w:rPr>
                          <w:b/>
                          <w:bCs/>
                        </w:rPr>
                        <w:t>identify</w:t>
                      </w:r>
                      <w:r w:rsidRPr="004A4D81">
                        <w:rPr>
                          <w:b/>
                          <w:bCs/>
                        </w:rPr>
                        <w:t xml:space="preserve"> </w:t>
                      </w:r>
                      <w:r w:rsidR="00D54BAB">
                        <w:rPr>
                          <w:b/>
                          <w:bCs/>
                        </w:rPr>
                        <w:t xml:space="preserve">– </w:t>
                      </w:r>
                      <w:r w:rsidRPr="004A4D81">
                        <w:rPr>
                          <w:b/>
                          <w:bCs/>
                        </w:rPr>
                        <w:t xml:space="preserve">therefore likely to require </w:t>
                      </w:r>
                      <w:r w:rsidR="00E109D3">
                        <w:rPr>
                          <w:b/>
                          <w:bCs/>
                        </w:rPr>
                        <w:t>a</w:t>
                      </w:r>
                      <w:r w:rsidRPr="004A4D81">
                        <w:rPr>
                          <w:b/>
                          <w:bCs/>
                        </w:rPr>
                        <w:t xml:space="preserve"> flexible approach</w:t>
                      </w:r>
                    </w:p>
                    <w:p w14:paraId="75C8B68F" w14:textId="112E8E36" w:rsidR="001134AD" w:rsidRPr="004A4D81" w:rsidRDefault="001134AD" w:rsidP="004A4D81">
                      <w:pPr>
                        <w:pStyle w:val="FFNormal"/>
                      </w:pPr>
                      <w:r w:rsidRPr="004A4D81">
                        <w:t>Adaptation take</w:t>
                      </w:r>
                      <w:r w:rsidR="000228D3">
                        <w:t>s</w:t>
                      </w:r>
                      <w:r w:rsidRPr="004A4D81">
                        <w:t xml:space="preserve"> place when boundaries are fluid: </w:t>
                      </w:r>
                      <w:r w:rsidR="00F541D3" w:rsidRPr="004A4D81">
                        <w:t>To</w:t>
                      </w:r>
                      <w:r w:rsidRPr="004A4D81">
                        <w:t xml:space="preserve"> allow </w:t>
                      </w:r>
                      <w:r w:rsidR="00537CE3">
                        <w:t xml:space="preserve">sustainable </w:t>
                      </w:r>
                      <w:r w:rsidRPr="004A4D81">
                        <w:t xml:space="preserve">partnerships </w:t>
                      </w:r>
                      <w:r w:rsidR="00537CE3">
                        <w:t>or</w:t>
                      </w:r>
                      <w:r w:rsidRPr="004A4D81">
                        <w:t xml:space="preserve"> collaborations, there should be some room for them to manoeuvre</w:t>
                      </w:r>
                      <w:r w:rsidR="00F541D3">
                        <w:t>,</w:t>
                      </w:r>
                      <w:r w:rsidRPr="004A4D81">
                        <w:t xml:space="preserve"> adapt to </w:t>
                      </w:r>
                      <w:r w:rsidR="00F541D3">
                        <w:t xml:space="preserve">and </w:t>
                      </w:r>
                      <w:r w:rsidRPr="004A4D81">
                        <w:t>respond to partner needs or changing circumstances.</w:t>
                      </w:r>
                    </w:p>
                    <w:p w14:paraId="30107201" w14:textId="421262D1" w:rsidR="001134AD" w:rsidRPr="004A4D81" w:rsidRDefault="001134AD" w:rsidP="004A4D81">
                      <w:pPr>
                        <w:pStyle w:val="FFNormal"/>
                      </w:pPr>
                      <w:r w:rsidRPr="004A4D81">
                        <w:t>Successful partnerships = Sustainable collaborations: What is a successful collaboration? One that delivers on immediate project aims, or one that sustains over a longer timeframe and is responsive to local needs?</w:t>
                      </w:r>
                    </w:p>
                  </w:txbxContent>
                </v:textbox>
                <w10:anchorlock/>
              </v:shape>
            </w:pict>
          </mc:Fallback>
        </mc:AlternateContent>
      </w:r>
    </w:p>
    <w:p w14:paraId="36C7FD1D" w14:textId="77777777" w:rsidR="007841AB" w:rsidRDefault="007841AB" w:rsidP="007841AB"/>
    <w:p w14:paraId="39FCF1A2" w14:textId="57132D9D" w:rsidR="00643E08" w:rsidRPr="00E007A1" w:rsidRDefault="00643E08" w:rsidP="00643E08">
      <w:bookmarkStart w:id="199" w:name="_Hlk129553659"/>
      <w:r>
        <w:rPr>
          <w:b/>
        </w:rPr>
        <w:t>Country Visit 2</w:t>
      </w:r>
    </w:p>
    <w:p w14:paraId="494067AC" w14:textId="564771A4" w:rsidR="001134AD" w:rsidRPr="00BF26E5" w:rsidRDefault="001134AD" w:rsidP="00AF67AE">
      <w:pPr>
        <w:pStyle w:val="FFNormal"/>
      </w:pPr>
      <w:r>
        <w:t xml:space="preserve">The </w:t>
      </w:r>
      <w:r w:rsidRPr="00BF26E5">
        <w:t xml:space="preserve">MA approach </w:t>
      </w:r>
      <w:r>
        <w:t xml:space="preserve">to One Health </w:t>
      </w:r>
      <w:r w:rsidRPr="00BF26E5">
        <w:t>includes at least two sets of assumptions about what is One Health</w:t>
      </w:r>
      <w:r>
        <w:t xml:space="preserve"> (</w:t>
      </w:r>
      <w:r w:rsidR="00FF54BC">
        <w:t xml:space="preserve">a </w:t>
      </w:r>
      <w:r>
        <w:t>formal, institutional mechanism)</w:t>
      </w:r>
      <w:r w:rsidRPr="00BF26E5">
        <w:t xml:space="preserve">, and the purpose of One Health </w:t>
      </w:r>
      <w:r>
        <w:t xml:space="preserve">(development of joint datasets and joint analysis to address common resistant pathogens) </w:t>
      </w:r>
      <w:r w:rsidRPr="00BF26E5">
        <w:t>which need to be made explicit</w:t>
      </w:r>
      <w:r>
        <w:t>. In addition, we found that e</w:t>
      </w:r>
      <w:r w:rsidRPr="00BF26E5">
        <w:t xml:space="preserve">ven in </w:t>
      </w:r>
      <w:r w:rsidR="00DD21F6">
        <w:t xml:space="preserve">the </w:t>
      </w:r>
      <w:r w:rsidRPr="00BF26E5">
        <w:t xml:space="preserve">most optimistic countries, joint analysis from integrated surveillance databases appears to be too ambitious a goal for </w:t>
      </w:r>
      <w:r w:rsidR="00683A3C">
        <w:t xml:space="preserve">the </w:t>
      </w:r>
      <w:r w:rsidRPr="00BF26E5">
        <w:t>end</w:t>
      </w:r>
      <w:r w:rsidR="00683A3C">
        <w:t xml:space="preserve"> of </w:t>
      </w:r>
      <w:r w:rsidRPr="00BF26E5">
        <w:t>202</w:t>
      </w:r>
      <w:r w:rsidR="00DD21F6">
        <w:t>2</w:t>
      </w:r>
      <w:r>
        <w:t>.</w:t>
      </w:r>
    </w:p>
    <w:p w14:paraId="46D613B7" w14:textId="33FD2144" w:rsidR="001134AD" w:rsidRPr="00BF26E5" w:rsidRDefault="001134AD" w:rsidP="00AF67AE">
      <w:pPr>
        <w:pStyle w:val="FFNormal"/>
      </w:pPr>
      <w:r>
        <w:t xml:space="preserve">However, on the positive side, we found interesting insights emerge from </w:t>
      </w:r>
      <w:r w:rsidR="00DD21F6">
        <w:t>KIIs</w:t>
      </w:r>
      <w:r>
        <w:t xml:space="preserve">. </w:t>
      </w:r>
    </w:p>
    <w:p w14:paraId="1DBF3258" w14:textId="749181DD" w:rsidR="001134AD" w:rsidRDefault="001134AD" w:rsidP="00AF67AE">
      <w:pPr>
        <w:pStyle w:val="FFNormal"/>
      </w:pPr>
      <w:r>
        <w:t xml:space="preserve">While the </w:t>
      </w:r>
      <w:r w:rsidRPr="00BF26E5">
        <w:t>focus of</w:t>
      </w:r>
      <w:r w:rsidR="00353068">
        <w:t xml:space="preserve"> the</w:t>
      </w:r>
      <w:r w:rsidRPr="00BF26E5">
        <w:t xml:space="preserve"> MA and AMR </w:t>
      </w:r>
      <w:r w:rsidR="007E003B">
        <w:t>F</w:t>
      </w:r>
      <w:r w:rsidR="003B6B7E">
        <w:t xml:space="preserve">ocal </w:t>
      </w:r>
      <w:r w:rsidR="007E003B">
        <w:t>P</w:t>
      </w:r>
      <w:r w:rsidR="003B6B7E">
        <w:t>oints</w:t>
      </w:r>
      <w:r w:rsidRPr="00BF26E5">
        <w:t xml:space="preserve"> was on national-level, formal (</w:t>
      </w:r>
      <w:r>
        <w:t xml:space="preserve">e.g. </w:t>
      </w:r>
      <w:r w:rsidRPr="00BF26E5">
        <w:t>AMRCC) collaborative mechanisms</w:t>
      </w:r>
      <w:r>
        <w:t>, many of the KIs were able to help us identify other platforms where cross-sectoral interactions and discussions were taking place. W</w:t>
      </w:r>
      <w:r w:rsidRPr="00BF26E5">
        <w:t>hen probed</w:t>
      </w:r>
      <w:r>
        <w:t xml:space="preserve"> we found </w:t>
      </w:r>
      <w:r w:rsidRPr="00BF26E5">
        <w:t xml:space="preserve">evidence of multiple collaborative networks – often informal – </w:t>
      </w:r>
      <w:r>
        <w:t xml:space="preserve">that were </w:t>
      </w:r>
      <w:r w:rsidRPr="00BF26E5">
        <w:t xml:space="preserve">active around AMR. </w:t>
      </w:r>
      <w:r>
        <w:t xml:space="preserve">In many places, this included professional networks and academic collaborations. </w:t>
      </w:r>
      <w:r w:rsidRPr="00BF26E5">
        <w:t xml:space="preserve">This presents an opportunity to use </w:t>
      </w:r>
      <w:r>
        <w:t xml:space="preserve">additional </w:t>
      </w:r>
      <w:r w:rsidRPr="00BF26E5">
        <w:t>resources</w:t>
      </w:r>
      <w:r>
        <w:t xml:space="preserve"> to further advance the AMR agenda.</w:t>
      </w:r>
    </w:p>
    <w:p w14:paraId="4AFB0BCC" w14:textId="6E7E54C9" w:rsidR="001134AD" w:rsidRPr="00E007A1" w:rsidRDefault="00643E08" w:rsidP="007841AB">
      <w:r>
        <w:rPr>
          <w:b/>
        </w:rPr>
        <w:t>Country Visit 3</w:t>
      </w:r>
    </w:p>
    <w:p w14:paraId="1C0062EF" w14:textId="6F28E404" w:rsidR="001134AD" w:rsidRPr="007841AB" w:rsidRDefault="001134AD" w:rsidP="007841AB">
      <w:pPr>
        <w:pStyle w:val="00herabodytext"/>
        <w:ind w:left="0"/>
        <w:rPr>
          <w:rFonts w:ascii="Calibri" w:eastAsia="Calibri" w:hAnsi="Calibri"/>
          <w:color w:val="auto"/>
          <w:szCs w:val="22"/>
        </w:rPr>
      </w:pPr>
      <w:r w:rsidRPr="007841AB">
        <w:rPr>
          <w:rFonts w:ascii="Calibri" w:eastAsia="Calibri" w:hAnsi="Calibri"/>
          <w:color w:val="auto"/>
          <w:szCs w:val="22"/>
        </w:rPr>
        <w:t xml:space="preserve">We found that despite </w:t>
      </w:r>
      <w:r w:rsidR="00F21C22" w:rsidRPr="007841AB">
        <w:rPr>
          <w:rFonts w:ascii="Calibri" w:eastAsia="Calibri" w:hAnsi="Calibri"/>
          <w:color w:val="auto"/>
          <w:szCs w:val="22"/>
        </w:rPr>
        <w:t>COVID</w:t>
      </w:r>
      <w:r w:rsidR="00F21C22">
        <w:rPr>
          <w:rFonts w:ascii="Calibri" w:eastAsia="Calibri" w:hAnsi="Calibri"/>
          <w:color w:val="auto"/>
          <w:szCs w:val="22"/>
        </w:rPr>
        <w:t>-19</w:t>
      </w:r>
      <w:r w:rsidRPr="007841AB">
        <w:rPr>
          <w:rFonts w:ascii="Calibri" w:eastAsia="Calibri" w:hAnsi="Calibri"/>
          <w:color w:val="auto"/>
          <w:szCs w:val="22"/>
        </w:rPr>
        <w:t xml:space="preserve"> disruptions, the larger architecture of </w:t>
      </w:r>
      <w:r w:rsidR="005D6F26">
        <w:rPr>
          <w:rFonts w:ascii="Calibri" w:eastAsia="Calibri" w:hAnsi="Calibri"/>
          <w:color w:val="auto"/>
          <w:szCs w:val="22"/>
        </w:rPr>
        <w:t xml:space="preserve">the </w:t>
      </w:r>
      <w:r w:rsidRPr="007841AB">
        <w:rPr>
          <w:rFonts w:ascii="Calibri" w:eastAsia="Calibri" w:hAnsi="Calibri"/>
          <w:color w:val="auto"/>
          <w:szCs w:val="22"/>
        </w:rPr>
        <w:t xml:space="preserve">AMR apparatus at </w:t>
      </w:r>
      <w:r w:rsidR="00FF54BC">
        <w:rPr>
          <w:rFonts w:ascii="Calibri" w:eastAsia="Calibri" w:hAnsi="Calibri"/>
          <w:color w:val="auto"/>
          <w:szCs w:val="22"/>
        </w:rPr>
        <w:t xml:space="preserve">the </w:t>
      </w:r>
      <w:r w:rsidRPr="007841AB">
        <w:rPr>
          <w:rFonts w:ascii="Calibri" w:eastAsia="Calibri" w:hAnsi="Calibri"/>
          <w:color w:val="auto"/>
          <w:szCs w:val="22"/>
        </w:rPr>
        <w:t xml:space="preserve">country level remained unchanged. One Health remains challenging to conceptualise as well as operationalise across most countries, especially if relying exclusively upon </w:t>
      </w:r>
      <w:r w:rsidR="00B80C9D">
        <w:rPr>
          <w:rFonts w:ascii="Calibri" w:eastAsia="Calibri" w:hAnsi="Calibri"/>
          <w:color w:val="auto"/>
          <w:szCs w:val="22"/>
        </w:rPr>
        <w:t xml:space="preserve">the </w:t>
      </w:r>
      <w:r w:rsidRPr="007841AB">
        <w:rPr>
          <w:rFonts w:ascii="Calibri" w:eastAsia="Calibri" w:hAnsi="Calibri"/>
          <w:color w:val="auto"/>
          <w:szCs w:val="22"/>
        </w:rPr>
        <w:t>NAP</w:t>
      </w:r>
      <w:r w:rsidR="00FF54BC">
        <w:rPr>
          <w:rFonts w:ascii="Calibri" w:eastAsia="Calibri" w:hAnsi="Calibri"/>
          <w:color w:val="auto"/>
          <w:szCs w:val="22"/>
        </w:rPr>
        <w:t>-</w:t>
      </w:r>
      <w:r w:rsidRPr="007841AB">
        <w:rPr>
          <w:rFonts w:ascii="Calibri" w:eastAsia="Calibri" w:hAnsi="Calibri"/>
          <w:color w:val="auto"/>
          <w:szCs w:val="22"/>
        </w:rPr>
        <w:t xml:space="preserve">style template of institutional partnerships. Therefore, taking a broader approach to </w:t>
      </w:r>
      <w:r w:rsidR="00DC5E52" w:rsidRPr="00DC5E52">
        <w:rPr>
          <w:rFonts w:ascii="Calibri" w:eastAsia="Calibri" w:hAnsi="Calibri"/>
          <w:color w:val="auto"/>
          <w:szCs w:val="22"/>
        </w:rPr>
        <w:t>One Health</w:t>
      </w:r>
      <w:r w:rsidRPr="007841AB">
        <w:rPr>
          <w:rFonts w:ascii="Calibri" w:eastAsia="Calibri" w:hAnsi="Calibri"/>
          <w:color w:val="auto"/>
          <w:szCs w:val="22"/>
        </w:rPr>
        <w:t xml:space="preserve"> might be more productive. </w:t>
      </w:r>
    </w:p>
    <w:p w14:paraId="55E02BC9" w14:textId="77777777" w:rsidR="001134AD" w:rsidRPr="007841AB" w:rsidRDefault="001134AD" w:rsidP="007841AB">
      <w:pPr>
        <w:pStyle w:val="00herabodytext"/>
        <w:ind w:left="0"/>
        <w:rPr>
          <w:rFonts w:ascii="Calibri" w:eastAsia="Calibri" w:hAnsi="Calibri"/>
          <w:color w:val="auto"/>
          <w:szCs w:val="22"/>
        </w:rPr>
      </w:pPr>
      <w:r w:rsidRPr="007841AB">
        <w:rPr>
          <w:rFonts w:ascii="Calibri" w:eastAsia="Calibri" w:hAnsi="Calibri"/>
          <w:color w:val="auto"/>
          <w:szCs w:val="22"/>
        </w:rPr>
        <w:t xml:space="preserve">Additional avenues to explore further would be subnational and informal spaces for One Health discussions. Though we were able to find limited references to sub-national examples, it is also possible that those relationships are more informal in nature and therefore not captured with the use of formal One Health style labels. </w:t>
      </w:r>
    </w:p>
    <w:p w14:paraId="13FCAA5E" w14:textId="40088647" w:rsidR="001134AD" w:rsidRPr="007841AB" w:rsidRDefault="001134AD" w:rsidP="007841AB">
      <w:pPr>
        <w:pStyle w:val="00herabodytext"/>
        <w:ind w:left="0"/>
        <w:rPr>
          <w:rFonts w:ascii="Calibri" w:eastAsia="Calibri" w:hAnsi="Calibri"/>
          <w:color w:val="auto"/>
          <w:szCs w:val="22"/>
        </w:rPr>
      </w:pPr>
      <w:r w:rsidRPr="007841AB">
        <w:rPr>
          <w:rFonts w:ascii="Calibri" w:eastAsia="Calibri" w:hAnsi="Calibri"/>
          <w:color w:val="auto"/>
          <w:szCs w:val="22"/>
        </w:rPr>
        <w:t>Informality took various forms and was mostly seeded by academic networks</w:t>
      </w:r>
      <w:r w:rsidR="00FF54BC">
        <w:rPr>
          <w:rFonts w:ascii="Calibri" w:eastAsia="Calibri" w:hAnsi="Calibri"/>
          <w:color w:val="auto"/>
          <w:szCs w:val="22"/>
        </w:rPr>
        <w:t>,</w:t>
      </w:r>
      <w:r w:rsidRPr="007841AB">
        <w:rPr>
          <w:rFonts w:ascii="Calibri" w:eastAsia="Calibri" w:hAnsi="Calibri"/>
          <w:color w:val="auto"/>
          <w:szCs w:val="22"/>
        </w:rPr>
        <w:t xml:space="preserve"> especially by the presence of well</w:t>
      </w:r>
      <w:r w:rsidR="00FF54BC">
        <w:rPr>
          <w:rFonts w:ascii="Calibri" w:eastAsia="Calibri" w:hAnsi="Calibri"/>
          <w:color w:val="auto"/>
          <w:szCs w:val="22"/>
        </w:rPr>
        <w:t>-</w:t>
      </w:r>
      <w:r w:rsidRPr="007841AB">
        <w:rPr>
          <w:rFonts w:ascii="Calibri" w:eastAsia="Calibri" w:hAnsi="Calibri"/>
          <w:color w:val="auto"/>
          <w:szCs w:val="22"/>
        </w:rPr>
        <w:t xml:space="preserve">networked academic experts who also acted as policy advisors. In addition, as AMR surveillance is linked closely with technical institutions (and experts), there is a potential to explore the role of academics further. There were references to a </w:t>
      </w:r>
      <w:r w:rsidR="00D90154" w:rsidRPr="00D90154">
        <w:rPr>
          <w:rFonts w:ascii="Calibri" w:eastAsia="Calibri" w:hAnsi="Calibri"/>
          <w:color w:val="auto"/>
          <w:szCs w:val="22"/>
        </w:rPr>
        <w:t>Community of Practice</w:t>
      </w:r>
      <w:r w:rsidRPr="007841AB">
        <w:rPr>
          <w:rFonts w:ascii="Calibri" w:eastAsia="Calibri" w:hAnsi="Calibri"/>
          <w:color w:val="auto"/>
          <w:szCs w:val="22"/>
        </w:rPr>
        <w:t xml:space="preserve"> in Nigeria. On the other hand, in smaller countries like </w:t>
      </w:r>
      <w:r w:rsidR="00260B8A">
        <w:rPr>
          <w:rFonts w:ascii="Calibri" w:eastAsia="Calibri" w:hAnsi="Calibri"/>
          <w:color w:val="auto"/>
          <w:szCs w:val="22"/>
        </w:rPr>
        <w:t>Timor-Leste</w:t>
      </w:r>
      <w:r w:rsidR="00FC0F56">
        <w:rPr>
          <w:rFonts w:ascii="Calibri" w:eastAsia="Calibri" w:hAnsi="Calibri"/>
          <w:color w:val="auto"/>
          <w:szCs w:val="22"/>
        </w:rPr>
        <w:t xml:space="preserve"> and</w:t>
      </w:r>
      <w:r w:rsidRPr="007841AB">
        <w:rPr>
          <w:rFonts w:ascii="Calibri" w:eastAsia="Calibri" w:hAnsi="Calibri"/>
          <w:color w:val="auto"/>
          <w:szCs w:val="22"/>
        </w:rPr>
        <w:t xml:space="preserve"> Bhutan, many officers know each other</w:t>
      </w:r>
      <w:r w:rsidR="00E057CF">
        <w:rPr>
          <w:rFonts w:ascii="Calibri" w:eastAsia="Calibri" w:hAnsi="Calibri"/>
          <w:color w:val="auto"/>
          <w:szCs w:val="22"/>
        </w:rPr>
        <w:t>,</w:t>
      </w:r>
      <w:r w:rsidRPr="007841AB">
        <w:rPr>
          <w:rFonts w:ascii="Calibri" w:eastAsia="Calibri" w:hAnsi="Calibri"/>
          <w:color w:val="auto"/>
          <w:szCs w:val="22"/>
        </w:rPr>
        <w:t xml:space="preserve"> and it is easier for them to interact at a personal level. On the other hand, some countries such as Senegal have a top-down and formalised approach to governance. Most One Health coordination </w:t>
      </w:r>
      <w:r w:rsidR="005348B8">
        <w:rPr>
          <w:rFonts w:ascii="Calibri" w:eastAsia="Calibri" w:hAnsi="Calibri"/>
          <w:color w:val="auto"/>
          <w:szCs w:val="22"/>
        </w:rPr>
        <w:t>in these countries</w:t>
      </w:r>
      <w:r w:rsidR="00450FEB">
        <w:rPr>
          <w:rFonts w:ascii="Calibri" w:eastAsia="Calibri" w:hAnsi="Calibri"/>
          <w:color w:val="auto"/>
          <w:szCs w:val="22"/>
        </w:rPr>
        <w:t xml:space="preserve"> is</w:t>
      </w:r>
      <w:r w:rsidRPr="007841AB">
        <w:rPr>
          <w:rFonts w:ascii="Calibri" w:eastAsia="Calibri" w:hAnsi="Calibri"/>
          <w:color w:val="auto"/>
          <w:szCs w:val="22"/>
        </w:rPr>
        <w:t xml:space="preserve"> therefore conducted at </w:t>
      </w:r>
      <w:r w:rsidR="00FF54BC">
        <w:rPr>
          <w:rFonts w:ascii="Calibri" w:eastAsia="Calibri" w:hAnsi="Calibri"/>
          <w:color w:val="auto"/>
          <w:szCs w:val="22"/>
        </w:rPr>
        <w:t xml:space="preserve">the </w:t>
      </w:r>
      <w:r w:rsidRPr="007841AB">
        <w:rPr>
          <w:rFonts w:ascii="Calibri" w:eastAsia="Calibri" w:hAnsi="Calibri"/>
          <w:color w:val="auto"/>
          <w:szCs w:val="22"/>
        </w:rPr>
        <w:t>Presidential level.</w:t>
      </w:r>
    </w:p>
    <w:bookmarkEnd w:id="199"/>
    <w:p w14:paraId="47137CD3" w14:textId="1377E4BF" w:rsidR="00AF67AE" w:rsidRPr="00BF26E5" w:rsidRDefault="00EC0C0B" w:rsidP="001134AD">
      <w:pPr>
        <w:rPr>
          <w:lang w:bidi="hi-IN"/>
        </w:rPr>
      </w:pPr>
      <w:r>
        <w:rPr>
          <w:noProof/>
        </w:rPr>
        <mc:AlternateContent>
          <mc:Choice Requires="wps">
            <w:drawing>
              <wp:inline distT="0" distB="0" distL="0" distR="0" wp14:anchorId="798F25CF" wp14:editId="45CE16FF">
                <wp:extent cx="5731510" cy="5146922"/>
                <wp:effectExtent l="0" t="0" r="21590" b="15875"/>
                <wp:docPr id="16" name="Text Box 16"/>
                <wp:cNvGraphicFramePr/>
                <a:graphic xmlns:a="http://schemas.openxmlformats.org/drawingml/2006/main">
                  <a:graphicData uri="http://schemas.microsoft.com/office/word/2010/wordprocessingShape">
                    <wps:wsp>
                      <wps:cNvSpPr txBox="1"/>
                      <wps:spPr>
                        <a:xfrm>
                          <a:off x="0" y="0"/>
                          <a:ext cx="5731510" cy="5146922"/>
                        </a:xfrm>
                        <a:prstGeom prst="rect">
                          <a:avLst/>
                        </a:prstGeom>
                        <a:solidFill>
                          <a:schemeClr val="accent2">
                            <a:lumMod val="20000"/>
                            <a:lumOff val="80000"/>
                          </a:schemeClr>
                        </a:solidFill>
                        <a:ln w="6350">
                          <a:solidFill>
                            <a:schemeClr val="accent2">
                              <a:lumMod val="20000"/>
                              <a:lumOff val="80000"/>
                            </a:schemeClr>
                          </a:solidFill>
                        </a:ln>
                      </wps:spPr>
                      <wps:txbx>
                        <w:txbxContent>
                          <w:p w14:paraId="415A887B" w14:textId="011170DA" w:rsidR="00EC0C0B" w:rsidRPr="00AC1FB0" w:rsidRDefault="00EC0C0B" w:rsidP="00EC0C0B">
                            <w:pPr>
                              <w:pStyle w:val="Caption"/>
                              <w:keepNext/>
                              <w:rPr>
                                <w:b/>
                                <w:bCs/>
                                <w:iCs w:val="0"/>
                                <w:color w:val="E37230" w:themeColor="accent2"/>
                                <w:sz w:val="22"/>
                                <w:szCs w:val="22"/>
                              </w:rPr>
                            </w:pPr>
                            <w:bookmarkStart w:id="200" w:name="_Toc136382660"/>
                            <w:r w:rsidRPr="00AC1FB0">
                              <w:rPr>
                                <w:b/>
                                <w:bCs/>
                                <w:iCs w:val="0"/>
                                <w:color w:val="E37230" w:themeColor="accent2"/>
                                <w:sz w:val="22"/>
                                <w:szCs w:val="22"/>
                              </w:rPr>
                              <w:t xml:space="preserve">Box </w:t>
                            </w:r>
                            <w:r w:rsidRPr="00AC1FB0">
                              <w:rPr>
                                <w:b/>
                                <w:bCs/>
                                <w:iCs w:val="0"/>
                                <w:color w:val="E37230" w:themeColor="accent2"/>
                                <w:sz w:val="22"/>
                                <w:szCs w:val="22"/>
                              </w:rPr>
                              <w:fldChar w:fldCharType="begin"/>
                            </w:r>
                            <w:r w:rsidRPr="00AC1FB0">
                              <w:rPr>
                                <w:b/>
                                <w:bCs/>
                                <w:iCs w:val="0"/>
                                <w:color w:val="E37230" w:themeColor="accent2"/>
                                <w:sz w:val="22"/>
                                <w:szCs w:val="22"/>
                              </w:rPr>
                              <w:instrText xml:space="preserve"> SEQ Box \* ARABIC </w:instrText>
                            </w:r>
                            <w:r w:rsidRPr="00AC1FB0">
                              <w:rPr>
                                <w:b/>
                                <w:bCs/>
                                <w:iCs w:val="0"/>
                                <w:color w:val="E37230" w:themeColor="accent2"/>
                                <w:sz w:val="22"/>
                                <w:szCs w:val="22"/>
                              </w:rPr>
                              <w:fldChar w:fldCharType="separate"/>
                            </w:r>
                            <w:r w:rsidR="00777FDB">
                              <w:rPr>
                                <w:b/>
                                <w:bCs/>
                                <w:iCs w:val="0"/>
                                <w:noProof/>
                                <w:color w:val="E37230" w:themeColor="accent2"/>
                                <w:sz w:val="22"/>
                                <w:szCs w:val="22"/>
                              </w:rPr>
                              <w:t>3</w:t>
                            </w:r>
                            <w:r w:rsidRPr="00AC1FB0">
                              <w:rPr>
                                <w:b/>
                                <w:bCs/>
                                <w:iCs w:val="0"/>
                                <w:color w:val="E37230" w:themeColor="accent2"/>
                                <w:sz w:val="22"/>
                                <w:szCs w:val="22"/>
                              </w:rPr>
                              <w:fldChar w:fldCharType="end"/>
                            </w:r>
                            <w:r w:rsidRPr="00AC1FB0">
                              <w:rPr>
                                <w:b/>
                                <w:bCs/>
                                <w:iCs w:val="0"/>
                                <w:color w:val="E37230" w:themeColor="accent2"/>
                                <w:sz w:val="22"/>
                                <w:szCs w:val="22"/>
                              </w:rPr>
                              <w:t xml:space="preserve"> Observations from countries – Two different ways in which </w:t>
                            </w:r>
                            <w:r w:rsidRPr="00DC5E52">
                              <w:rPr>
                                <w:b/>
                                <w:bCs/>
                                <w:iCs w:val="0"/>
                                <w:color w:val="E37230" w:themeColor="accent2"/>
                                <w:sz w:val="22"/>
                                <w:szCs w:val="22"/>
                              </w:rPr>
                              <w:t>One Health</w:t>
                            </w:r>
                            <w:r w:rsidRPr="00AC1FB0">
                              <w:rPr>
                                <w:b/>
                                <w:bCs/>
                                <w:iCs w:val="0"/>
                                <w:color w:val="E37230" w:themeColor="accent2"/>
                                <w:sz w:val="22"/>
                                <w:szCs w:val="22"/>
                              </w:rPr>
                              <w:t xml:space="preserve"> has been operationalised:</w:t>
                            </w:r>
                            <w:bookmarkEnd w:id="200"/>
                          </w:p>
                          <w:p w14:paraId="4932AD60" w14:textId="77777777" w:rsidR="00EC0C0B" w:rsidRDefault="00EC0C0B" w:rsidP="00EC0C0B">
                            <w:r>
                              <w:rPr>
                                <w:b/>
                                <w:bCs/>
                              </w:rPr>
                              <w:t>Bhutan</w:t>
                            </w:r>
                          </w:p>
                          <w:p w14:paraId="38321BC9" w14:textId="77777777" w:rsidR="00EC0C0B" w:rsidRDefault="00EC0C0B" w:rsidP="00C6374D">
                            <w:pPr>
                              <w:pStyle w:val="ListParagraph"/>
                              <w:numPr>
                                <w:ilvl w:val="0"/>
                                <w:numId w:val="65"/>
                              </w:numPr>
                              <w:spacing w:after="160" w:line="259" w:lineRule="auto"/>
                            </w:pPr>
                            <w:r>
                              <w:t xml:space="preserve">Bhutan is a small country, where One Health is a government-led initiative with multiple tiers of </w:t>
                            </w:r>
                            <w:r w:rsidRPr="00DC5E52">
                              <w:t>One Health</w:t>
                            </w:r>
                            <w:r>
                              <w:t xml:space="preserve"> Multisector</w:t>
                            </w:r>
                            <w:r w:rsidRPr="0038518B">
                              <w:t xml:space="preserve"> Partnerships</w:t>
                            </w:r>
                            <w:r>
                              <w:t xml:space="preserve"> (MSP) (NMTAC, TWG. Secretariat, and ministerial </w:t>
                            </w:r>
                            <w:r w:rsidRPr="00DC5E52">
                              <w:t>One Health</w:t>
                            </w:r>
                            <w:r>
                              <w:t xml:space="preserve"> committee.</w:t>
                            </w:r>
                          </w:p>
                          <w:p w14:paraId="7560B4AD" w14:textId="77777777" w:rsidR="00EC0C0B" w:rsidRDefault="00EC0C0B" w:rsidP="00C6374D">
                            <w:pPr>
                              <w:pStyle w:val="ListParagraph"/>
                              <w:numPr>
                                <w:ilvl w:val="0"/>
                                <w:numId w:val="65"/>
                              </w:numPr>
                              <w:spacing w:after="160" w:line="259" w:lineRule="auto"/>
                            </w:pPr>
                            <w:r>
                              <w:t>These MSP mechanisms are underpinned by social networks where most people know each other or know of each other.</w:t>
                            </w:r>
                          </w:p>
                          <w:p w14:paraId="1A0035B4" w14:textId="77777777" w:rsidR="00EC0C0B" w:rsidRDefault="00EC0C0B" w:rsidP="00C6374D">
                            <w:pPr>
                              <w:pStyle w:val="ListParagraph"/>
                              <w:numPr>
                                <w:ilvl w:val="0"/>
                                <w:numId w:val="65"/>
                              </w:numPr>
                              <w:spacing w:after="160" w:line="259" w:lineRule="auto"/>
                            </w:pPr>
                            <w:r>
                              <w:t>There is a background of work on other zoonoses and cross-border zoonoses – notably rabies.</w:t>
                            </w:r>
                          </w:p>
                          <w:p w14:paraId="151900C0" w14:textId="70C0D09E" w:rsidR="00EC0C0B" w:rsidRDefault="001F3419" w:rsidP="00C6374D">
                            <w:pPr>
                              <w:pStyle w:val="ListParagraph"/>
                              <w:numPr>
                                <w:ilvl w:val="0"/>
                                <w:numId w:val="65"/>
                              </w:numPr>
                              <w:spacing w:after="160" w:line="259" w:lineRule="auto"/>
                            </w:pPr>
                            <w:r>
                              <w:t xml:space="preserve">Strong </w:t>
                            </w:r>
                            <w:r w:rsidR="00EC0C0B">
                              <w:t xml:space="preserve">social networks mean there might not be a need or space for other </w:t>
                            </w:r>
                            <w:r w:rsidR="002C3D28">
                              <w:t>platforms.</w:t>
                            </w:r>
                          </w:p>
                          <w:p w14:paraId="7B3E8EBA" w14:textId="77777777" w:rsidR="00EC0C0B" w:rsidRDefault="00EC0C0B" w:rsidP="00C6374D">
                            <w:pPr>
                              <w:pStyle w:val="ListParagraph"/>
                              <w:numPr>
                                <w:ilvl w:val="0"/>
                                <w:numId w:val="65"/>
                              </w:numPr>
                              <w:spacing w:after="160" w:line="259" w:lineRule="auto"/>
                            </w:pPr>
                            <w:r>
                              <w:t>it is interesting to note the absence of research or university activities in One Health. This is possibly the result of the country’s small size.</w:t>
                            </w:r>
                          </w:p>
                          <w:p w14:paraId="29F672A1" w14:textId="77777777" w:rsidR="00EC0C0B" w:rsidRDefault="00EC0C0B" w:rsidP="00EC0C0B">
                            <w:pPr>
                              <w:rPr>
                                <w:b/>
                                <w:bCs/>
                              </w:rPr>
                            </w:pPr>
                            <w:r>
                              <w:rPr>
                                <w:b/>
                                <w:bCs/>
                              </w:rPr>
                              <w:t>Senegal</w:t>
                            </w:r>
                          </w:p>
                          <w:p w14:paraId="6E98441B" w14:textId="77777777" w:rsidR="00EC0C0B" w:rsidRDefault="00EC0C0B" w:rsidP="00C6374D">
                            <w:pPr>
                              <w:pStyle w:val="ListParagraph"/>
                              <w:numPr>
                                <w:ilvl w:val="0"/>
                                <w:numId w:val="64"/>
                              </w:numPr>
                              <w:spacing w:after="160" w:line="259" w:lineRule="auto"/>
                            </w:pPr>
                            <w:r>
                              <w:t>Senegal is francophone, echoing French administrative traditions of centralised bureaucracy.</w:t>
                            </w:r>
                          </w:p>
                          <w:p w14:paraId="6279B3CC" w14:textId="77777777" w:rsidR="00EC0C0B" w:rsidRDefault="00EC0C0B" w:rsidP="00C6374D">
                            <w:pPr>
                              <w:pStyle w:val="ListParagraph"/>
                              <w:numPr>
                                <w:ilvl w:val="0"/>
                                <w:numId w:val="64"/>
                              </w:numPr>
                              <w:spacing w:after="160" w:line="259" w:lineRule="auto"/>
                            </w:pPr>
                            <w:r>
                              <w:t>The President’s office is the lead on One Health which could be a sign of presidential commitment, but also be interpreted as indicative of strong sectoral silos in which individual departments can not break through without resorting to a higher authority.</w:t>
                            </w:r>
                          </w:p>
                          <w:p w14:paraId="71F379D7" w14:textId="77777777" w:rsidR="00EC0C0B" w:rsidRPr="006A0485" w:rsidRDefault="00EC0C0B" w:rsidP="00C6374D">
                            <w:pPr>
                              <w:pStyle w:val="ListParagraph"/>
                              <w:numPr>
                                <w:ilvl w:val="0"/>
                                <w:numId w:val="64"/>
                              </w:numPr>
                              <w:spacing w:after="160" w:line="259" w:lineRule="auto"/>
                            </w:pPr>
                            <w:r>
                              <w:t xml:space="preserve">One </w:t>
                            </w:r>
                            <w:r w:rsidRPr="006A0485">
                              <w:t xml:space="preserve">KII </w:t>
                            </w:r>
                            <w:r>
                              <w:t>said the</w:t>
                            </w:r>
                            <w:r w:rsidRPr="006A0485">
                              <w:t xml:space="preserve"> “senior </w:t>
                            </w:r>
                            <w:r w:rsidRPr="00DA26A2">
                              <w:t>One Health</w:t>
                            </w:r>
                            <w:r w:rsidRPr="006A0485">
                              <w:t xml:space="preserve"> structure is a ‘fiction’ behind which all sectors just return to their corners and do</w:t>
                            </w:r>
                            <w:r>
                              <w:t xml:space="preserve"> </w:t>
                            </w:r>
                            <w:r w:rsidRPr="006A0485">
                              <w:t>n</w:t>
                            </w:r>
                            <w:r>
                              <w:t>o</w:t>
                            </w:r>
                            <w:r w:rsidRPr="006A0485">
                              <w:t>t speak.”</w:t>
                            </w:r>
                          </w:p>
                          <w:p w14:paraId="24961A0E" w14:textId="77777777" w:rsidR="00EC0C0B" w:rsidRDefault="00EC0C0B" w:rsidP="00C6374D">
                            <w:pPr>
                              <w:pStyle w:val="ListParagraph"/>
                              <w:numPr>
                                <w:ilvl w:val="0"/>
                                <w:numId w:val="64"/>
                              </w:numPr>
                              <w:spacing w:after="160" w:line="259" w:lineRule="auto"/>
                            </w:pPr>
                            <w:r>
                              <w:t>In reality, ‘highly informal’ modes of MSP are sustained between individual officers over long periods. (How were these helped by ‘formal signals’?) (From the debriefing slide).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98F25CF" id="Text Box 16" o:spid="_x0000_s1029" type="#_x0000_t202" style="width:451.3pt;height:40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" fillcolor="#f9e2d5 [661]" strokecolor="#f9e2d5 [661]" strokeweight=".5pt">
                <v:textbox>
                  <w:txbxContent>
                    <w:p w14:paraId="415A887B" w14:textId="011170DA" w:rsidR="00EC0C0B" w:rsidRPr="00AC1FB0" w:rsidRDefault="00EC0C0B" w:rsidP="00EC0C0B">
                      <w:pPr>
                        <w:pStyle w:val="Caption"/>
                        <w:keepNext/>
                        <w:rPr>
                          <w:b/>
                          <w:bCs/>
                          <w:iCs w:val="0"/>
                          <w:color w:val="E37230" w:themeColor="accent2"/>
                          <w:sz w:val="22"/>
                          <w:szCs w:val="22"/>
                        </w:rPr>
                      </w:pPr>
                      <w:bookmarkStart w:id="201" w:name="_Toc136382660"/>
                      <w:r w:rsidRPr="00AC1FB0">
                        <w:rPr>
                          <w:b/>
                          <w:bCs/>
                          <w:iCs w:val="0"/>
                          <w:color w:val="E37230" w:themeColor="accent2"/>
                          <w:sz w:val="22"/>
                          <w:szCs w:val="22"/>
                        </w:rPr>
                        <w:t xml:space="preserve">Box </w:t>
                      </w:r>
                      <w:r w:rsidRPr="00AC1FB0">
                        <w:rPr>
                          <w:b/>
                          <w:bCs/>
                          <w:iCs w:val="0"/>
                          <w:color w:val="E37230" w:themeColor="accent2"/>
                          <w:sz w:val="22"/>
                          <w:szCs w:val="22"/>
                        </w:rPr>
                        <w:fldChar w:fldCharType="begin"/>
                      </w:r>
                      <w:r w:rsidRPr="00AC1FB0">
                        <w:rPr>
                          <w:b/>
                          <w:bCs/>
                          <w:iCs w:val="0"/>
                          <w:color w:val="E37230" w:themeColor="accent2"/>
                          <w:sz w:val="22"/>
                          <w:szCs w:val="22"/>
                        </w:rPr>
                        <w:instrText xml:space="preserve"> SEQ Box \* ARABIC </w:instrText>
                      </w:r>
                      <w:r w:rsidRPr="00AC1FB0">
                        <w:rPr>
                          <w:b/>
                          <w:bCs/>
                          <w:iCs w:val="0"/>
                          <w:color w:val="E37230" w:themeColor="accent2"/>
                          <w:sz w:val="22"/>
                          <w:szCs w:val="22"/>
                        </w:rPr>
                        <w:fldChar w:fldCharType="separate"/>
                      </w:r>
                      <w:r w:rsidR="00777FDB">
                        <w:rPr>
                          <w:b/>
                          <w:bCs/>
                          <w:iCs w:val="0"/>
                          <w:noProof/>
                          <w:color w:val="E37230" w:themeColor="accent2"/>
                          <w:sz w:val="22"/>
                          <w:szCs w:val="22"/>
                        </w:rPr>
                        <w:t>3</w:t>
                      </w:r>
                      <w:r w:rsidRPr="00AC1FB0">
                        <w:rPr>
                          <w:b/>
                          <w:bCs/>
                          <w:iCs w:val="0"/>
                          <w:color w:val="E37230" w:themeColor="accent2"/>
                          <w:sz w:val="22"/>
                          <w:szCs w:val="22"/>
                        </w:rPr>
                        <w:fldChar w:fldCharType="end"/>
                      </w:r>
                      <w:r w:rsidRPr="00AC1FB0">
                        <w:rPr>
                          <w:b/>
                          <w:bCs/>
                          <w:iCs w:val="0"/>
                          <w:color w:val="E37230" w:themeColor="accent2"/>
                          <w:sz w:val="22"/>
                          <w:szCs w:val="22"/>
                        </w:rPr>
                        <w:t xml:space="preserve"> Observations from countries – Two different ways in which </w:t>
                      </w:r>
                      <w:r w:rsidRPr="00DC5E52">
                        <w:rPr>
                          <w:b/>
                          <w:bCs/>
                          <w:iCs w:val="0"/>
                          <w:color w:val="E37230" w:themeColor="accent2"/>
                          <w:sz w:val="22"/>
                          <w:szCs w:val="22"/>
                        </w:rPr>
                        <w:t>One Health</w:t>
                      </w:r>
                      <w:r w:rsidRPr="00AC1FB0">
                        <w:rPr>
                          <w:b/>
                          <w:bCs/>
                          <w:iCs w:val="0"/>
                          <w:color w:val="E37230" w:themeColor="accent2"/>
                          <w:sz w:val="22"/>
                          <w:szCs w:val="22"/>
                        </w:rPr>
                        <w:t xml:space="preserve"> has been operationalised:</w:t>
                      </w:r>
                      <w:bookmarkEnd w:id="201"/>
                    </w:p>
                    <w:p w14:paraId="4932AD60" w14:textId="77777777" w:rsidR="00EC0C0B" w:rsidRDefault="00EC0C0B" w:rsidP="00EC0C0B">
                      <w:r>
                        <w:rPr>
                          <w:b/>
                          <w:bCs/>
                        </w:rPr>
                        <w:t>Bhutan</w:t>
                      </w:r>
                    </w:p>
                    <w:p w14:paraId="38321BC9" w14:textId="77777777" w:rsidR="00EC0C0B" w:rsidRDefault="00EC0C0B" w:rsidP="00C6374D">
                      <w:pPr>
                        <w:pStyle w:val="ListParagraph"/>
                        <w:numPr>
                          <w:ilvl w:val="0"/>
                          <w:numId w:val="65"/>
                        </w:numPr>
                        <w:spacing w:after="160" w:line="259" w:lineRule="auto"/>
                      </w:pPr>
                      <w:r>
                        <w:t xml:space="preserve">Bhutan is a small country, where One Health is a government-led initiative with multiple tiers of </w:t>
                      </w:r>
                      <w:r w:rsidRPr="00DC5E52">
                        <w:t>One Health</w:t>
                      </w:r>
                      <w:r>
                        <w:t xml:space="preserve"> Multisector</w:t>
                      </w:r>
                      <w:r w:rsidRPr="0038518B">
                        <w:t xml:space="preserve"> Partnerships</w:t>
                      </w:r>
                      <w:r>
                        <w:t xml:space="preserve"> (MSP) (NMTAC, TWG. Secretariat, and ministerial </w:t>
                      </w:r>
                      <w:r w:rsidRPr="00DC5E52">
                        <w:t>One Health</w:t>
                      </w:r>
                      <w:r>
                        <w:t xml:space="preserve"> committee.</w:t>
                      </w:r>
                    </w:p>
                    <w:p w14:paraId="7560B4AD" w14:textId="77777777" w:rsidR="00EC0C0B" w:rsidRDefault="00EC0C0B" w:rsidP="00C6374D">
                      <w:pPr>
                        <w:pStyle w:val="ListParagraph"/>
                        <w:numPr>
                          <w:ilvl w:val="0"/>
                          <w:numId w:val="65"/>
                        </w:numPr>
                        <w:spacing w:after="160" w:line="259" w:lineRule="auto"/>
                      </w:pPr>
                      <w:r>
                        <w:t>These MSP mechanisms are underpinned by social networks where most people know each other or know of each other.</w:t>
                      </w:r>
                    </w:p>
                    <w:p w14:paraId="1A0035B4" w14:textId="77777777" w:rsidR="00EC0C0B" w:rsidRDefault="00EC0C0B" w:rsidP="00C6374D">
                      <w:pPr>
                        <w:pStyle w:val="ListParagraph"/>
                        <w:numPr>
                          <w:ilvl w:val="0"/>
                          <w:numId w:val="65"/>
                        </w:numPr>
                        <w:spacing w:after="160" w:line="259" w:lineRule="auto"/>
                      </w:pPr>
                      <w:r>
                        <w:t>There is a background of work on other zoonoses and cross-border zoonoses – notably rabies.</w:t>
                      </w:r>
                    </w:p>
                    <w:p w14:paraId="151900C0" w14:textId="70C0D09E" w:rsidR="00EC0C0B" w:rsidRDefault="001F3419" w:rsidP="00C6374D">
                      <w:pPr>
                        <w:pStyle w:val="ListParagraph"/>
                        <w:numPr>
                          <w:ilvl w:val="0"/>
                          <w:numId w:val="65"/>
                        </w:numPr>
                        <w:spacing w:after="160" w:line="259" w:lineRule="auto"/>
                      </w:pPr>
                      <w:r>
                        <w:t xml:space="preserve">Strong </w:t>
                      </w:r>
                      <w:r w:rsidR="00EC0C0B">
                        <w:t xml:space="preserve">social networks mean there might not be a need or space for other </w:t>
                      </w:r>
                      <w:r w:rsidR="002C3D28">
                        <w:t>platforms.</w:t>
                      </w:r>
                    </w:p>
                    <w:p w14:paraId="7B3E8EBA" w14:textId="77777777" w:rsidR="00EC0C0B" w:rsidRDefault="00EC0C0B" w:rsidP="00C6374D">
                      <w:pPr>
                        <w:pStyle w:val="ListParagraph"/>
                        <w:numPr>
                          <w:ilvl w:val="0"/>
                          <w:numId w:val="65"/>
                        </w:numPr>
                        <w:spacing w:after="160" w:line="259" w:lineRule="auto"/>
                      </w:pPr>
                      <w:r>
                        <w:t>it is interesting to note the absence of research or university activities in One Health. This is possibly the result of the country’s small size.</w:t>
                      </w:r>
                    </w:p>
                    <w:p w14:paraId="29F672A1" w14:textId="77777777" w:rsidR="00EC0C0B" w:rsidRDefault="00EC0C0B" w:rsidP="00EC0C0B">
                      <w:pPr>
                        <w:rPr>
                          <w:b/>
                          <w:bCs/>
                        </w:rPr>
                      </w:pPr>
                      <w:r>
                        <w:rPr>
                          <w:b/>
                          <w:bCs/>
                        </w:rPr>
                        <w:t>Senegal</w:t>
                      </w:r>
                    </w:p>
                    <w:p w14:paraId="6E98441B" w14:textId="77777777" w:rsidR="00EC0C0B" w:rsidRDefault="00EC0C0B" w:rsidP="00C6374D">
                      <w:pPr>
                        <w:pStyle w:val="ListParagraph"/>
                        <w:numPr>
                          <w:ilvl w:val="0"/>
                          <w:numId w:val="64"/>
                        </w:numPr>
                        <w:spacing w:after="160" w:line="259" w:lineRule="auto"/>
                      </w:pPr>
                      <w:r>
                        <w:t>Senegal is francophone, echoing French administrative traditions of centralised bureaucracy.</w:t>
                      </w:r>
                    </w:p>
                    <w:p w14:paraId="6279B3CC" w14:textId="77777777" w:rsidR="00EC0C0B" w:rsidRDefault="00EC0C0B" w:rsidP="00C6374D">
                      <w:pPr>
                        <w:pStyle w:val="ListParagraph"/>
                        <w:numPr>
                          <w:ilvl w:val="0"/>
                          <w:numId w:val="64"/>
                        </w:numPr>
                        <w:spacing w:after="160" w:line="259" w:lineRule="auto"/>
                      </w:pPr>
                      <w:r>
                        <w:t>The President’s office is the lead on One Health which could be a sign of presidential commitment, but also be interpreted as indicative of strong sectoral silos in which individual departments can not break through without resorting to a higher authority.</w:t>
                      </w:r>
                    </w:p>
                    <w:p w14:paraId="71F379D7" w14:textId="77777777" w:rsidR="00EC0C0B" w:rsidRPr="006A0485" w:rsidRDefault="00EC0C0B" w:rsidP="00C6374D">
                      <w:pPr>
                        <w:pStyle w:val="ListParagraph"/>
                        <w:numPr>
                          <w:ilvl w:val="0"/>
                          <w:numId w:val="64"/>
                        </w:numPr>
                        <w:spacing w:after="160" w:line="259" w:lineRule="auto"/>
                      </w:pPr>
                      <w:r>
                        <w:t xml:space="preserve">One </w:t>
                      </w:r>
                      <w:r w:rsidRPr="006A0485">
                        <w:t xml:space="preserve">KII </w:t>
                      </w:r>
                      <w:r>
                        <w:t>said the</w:t>
                      </w:r>
                      <w:r w:rsidRPr="006A0485">
                        <w:t xml:space="preserve"> “senior </w:t>
                      </w:r>
                      <w:r w:rsidRPr="00DA26A2">
                        <w:t>One Health</w:t>
                      </w:r>
                      <w:r w:rsidRPr="006A0485">
                        <w:t xml:space="preserve"> structure is a ‘fiction’ behind which all sectors just return to their corners and do</w:t>
                      </w:r>
                      <w:r>
                        <w:t xml:space="preserve"> </w:t>
                      </w:r>
                      <w:r w:rsidRPr="006A0485">
                        <w:t>n</w:t>
                      </w:r>
                      <w:r>
                        <w:t>o</w:t>
                      </w:r>
                      <w:r w:rsidRPr="006A0485">
                        <w:t>t speak.”</w:t>
                      </w:r>
                    </w:p>
                    <w:p w14:paraId="24961A0E" w14:textId="77777777" w:rsidR="00EC0C0B" w:rsidRDefault="00EC0C0B" w:rsidP="00C6374D">
                      <w:pPr>
                        <w:pStyle w:val="ListParagraph"/>
                        <w:numPr>
                          <w:ilvl w:val="0"/>
                          <w:numId w:val="64"/>
                        </w:numPr>
                        <w:spacing w:after="160" w:line="259" w:lineRule="auto"/>
                      </w:pPr>
                      <w:r>
                        <w:t>In reality, ‘highly informal’ modes of MSP are sustained between individual officers over long periods. (How were these helped by ‘formal signals’?) (From the debriefing slide).</w:t>
                      </w:r>
                    </w:p>
                  </w:txbxContent>
                </v:textbox>
                <w10:anchorlock/>
              </v:shape>
            </w:pict>
          </mc:Fallback>
        </mc:AlternateContent>
      </w:r>
    </w:p>
    <w:p w14:paraId="39B574FB" w14:textId="435A40CA" w:rsidR="001134AD" w:rsidRDefault="001134AD" w:rsidP="00DE03E2">
      <w:pPr>
        <w:pStyle w:val="ItadH2"/>
      </w:pPr>
      <w:bookmarkStart w:id="202" w:name="_Toc118968533"/>
      <w:bookmarkStart w:id="203" w:name="_Toc142383173"/>
      <w:r>
        <w:t>Headline messages</w:t>
      </w:r>
      <w:bookmarkEnd w:id="202"/>
      <w:bookmarkEnd w:id="203"/>
    </w:p>
    <w:p w14:paraId="01559975" w14:textId="4C7B3187" w:rsidR="001134AD" w:rsidRDefault="00124C92" w:rsidP="00C6374D">
      <w:pPr>
        <w:pStyle w:val="FFNormal"/>
        <w:numPr>
          <w:ilvl w:val="0"/>
          <w:numId w:val="85"/>
        </w:numPr>
      </w:pPr>
      <w:bookmarkStart w:id="204" w:name="_Hlk129553836"/>
      <w:r>
        <w:t xml:space="preserve">The </w:t>
      </w:r>
      <w:r w:rsidR="00F21D1C">
        <w:t xml:space="preserve">Fleming Fund </w:t>
      </w:r>
      <w:r w:rsidR="001134AD">
        <w:t xml:space="preserve">has been at the cutting edge of thinking when it comes to promoting One Health and </w:t>
      </w:r>
      <w:r w:rsidR="0086383F">
        <w:t xml:space="preserve">the </w:t>
      </w:r>
      <w:r w:rsidR="001134AD">
        <w:t>AMR agenda across so many different contexts</w:t>
      </w:r>
      <w:r w:rsidR="00816D10">
        <w:t>.</w:t>
      </w:r>
    </w:p>
    <w:p w14:paraId="4BECC092" w14:textId="0DB2B083" w:rsidR="001134AD" w:rsidRDefault="001134AD" w:rsidP="00C6374D">
      <w:pPr>
        <w:pStyle w:val="FFNormal"/>
        <w:numPr>
          <w:ilvl w:val="0"/>
          <w:numId w:val="85"/>
        </w:numPr>
      </w:pPr>
      <w:r>
        <w:t xml:space="preserve">However, it has also been limited by an instrumentalist approach to One Health, which is </w:t>
      </w:r>
      <w:r w:rsidR="00FF54BC">
        <w:t>focused</w:t>
      </w:r>
      <w:r>
        <w:t xml:space="preserve"> almost entirely on shared epidemiologic analysis to the exclusion of other possible modes and outcomes of partnering</w:t>
      </w:r>
      <w:r w:rsidR="00816D10">
        <w:t>.</w:t>
      </w:r>
    </w:p>
    <w:p w14:paraId="54A47B2E" w14:textId="2D97CCA3" w:rsidR="001134AD" w:rsidRDefault="00124C92" w:rsidP="00C6374D">
      <w:pPr>
        <w:pStyle w:val="FFNormal"/>
        <w:numPr>
          <w:ilvl w:val="0"/>
          <w:numId w:val="85"/>
        </w:numPr>
      </w:pPr>
      <w:r>
        <w:t xml:space="preserve">The </w:t>
      </w:r>
      <w:r w:rsidR="001134AD">
        <w:t>One Health approach itself needs rethinking in different country contexts</w:t>
      </w:r>
      <w:r w:rsidR="00816D10">
        <w:t>.</w:t>
      </w:r>
    </w:p>
    <w:p w14:paraId="4516665B" w14:textId="6797A0A2" w:rsidR="001134AD" w:rsidRPr="00E173CF" w:rsidRDefault="001134AD" w:rsidP="001134AD">
      <w:r w:rsidRPr="00E173CF">
        <w:rPr>
          <w:b/>
          <w:bCs/>
        </w:rPr>
        <w:t xml:space="preserve">Suggestions </w:t>
      </w:r>
      <w:r w:rsidR="00124C92">
        <w:rPr>
          <w:b/>
          <w:bCs/>
        </w:rPr>
        <w:t>to the</w:t>
      </w:r>
      <w:r w:rsidRPr="00E173CF">
        <w:rPr>
          <w:b/>
          <w:bCs/>
        </w:rPr>
        <w:t xml:space="preserve"> DHSC for </w:t>
      </w:r>
      <w:r w:rsidR="005E2E80">
        <w:rPr>
          <w:b/>
          <w:bCs/>
        </w:rPr>
        <w:t xml:space="preserve">Fleming Fund </w:t>
      </w:r>
      <w:r w:rsidRPr="00E173CF">
        <w:rPr>
          <w:b/>
          <w:bCs/>
        </w:rPr>
        <w:t>1: be Pragmatic and Flexible</w:t>
      </w:r>
    </w:p>
    <w:p w14:paraId="07619850" w14:textId="2D2B8FCC" w:rsidR="001134AD" w:rsidRPr="00E173CF" w:rsidRDefault="001134AD" w:rsidP="00C6374D">
      <w:pPr>
        <w:numPr>
          <w:ilvl w:val="0"/>
          <w:numId w:val="63"/>
        </w:numPr>
        <w:spacing w:after="160" w:line="259" w:lineRule="auto"/>
      </w:pPr>
      <w:r w:rsidRPr="00E173CF">
        <w:t>Information sharing and joint planning through meetings between AH, HH, and others might be a realistic ambition for the short term</w:t>
      </w:r>
      <w:r w:rsidR="00A54049">
        <w:t>.</w:t>
      </w:r>
    </w:p>
    <w:p w14:paraId="461CF414" w14:textId="298B6E2E" w:rsidR="001134AD" w:rsidRPr="00E173CF" w:rsidRDefault="00124C92" w:rsidP="00C6374D">
      <w:pPr>
        <w:numPr>
          <w:ilvl w:val="0"/>
          <w:numId w:val="63"/>
        </w:numPr>
        <w:spacing w:after="160" w:line="259" w:lineRule="auto"/>
      </w:pPr>
      <w:r>
        <w:t xml:space="preserve">The </w:t>
      </w:r>
      <w:r w:rsidR="00F21D1C">
        <w:t xml:space="preserve">Fleming Fund </w:t>
      </w:r>
      <w:r>
        <w:t xml:space="preserve">is </w:t>
      </w:r>
      <w:r w:rsidR="001134AD" w:rsidRPr="00E173CF">
        <w:t xml:space="preserve">seen as a major voice in countries. So, use the opportunity to identify different networks and convene discussions across sectors and institutions to mobilise support for AMR and </w:t>
      </w:r>
      <w:r>
        <w:t xml:space="preserve">the </w:t>
      </w:r>
      <w:r w:rsidR="00DC5E52" w:rsidRPr="00DC5E52">
        <w:t>One Health</w:t>
      </w:r>
      <w:r w:rsidR="001134AD" w:rsidRPr="00E173CF">
        <w:t xml:space="preserve"> approach</w:t>
      </w:r>
      <w:r w:rsidR="00A54049">
        <w:t>.</w:t>
      </w:r>
    </w:p>
    <w:p w14:paraId="5FCC73E3" w14:textId="401FFB55" w:rsidR="001134AD" w:rsidRPr="00E173CF" w:rsidRDefault="001134AD" w:rsidP="00BB4743">
      <w:pPr>
        <w:keepNext/>
      </w:pPr>
      <w:r w:rsidRPr="00E173CF">
        <w:rPr>
          <w:b/>
          <w:bCs/>
        </w:rPr>
        <w:t xml:space="preserve">Suggestions to </w:t>
      </w:r>
      <w:r w:rsidR="00124C92">
        <w:rPr>
          <w:b/>
          <w:bCs/>
        </w:rPr>
        <w:t xml:space="preserve">the </w:t>
      </w:r>
      <w:r w:rsidRPr="00E173CF">
        <w:rPr>
          <w:b/>
          <w:bCs/>
        </w:rPr>
        <w:t xml:space="preserve">DHSC for </w:t>
      </w:r>
      <w:r w:rsidR="005E2E80">
        <w:rPr>
          <w:b/>
          <w:bCs/>
        </w:rPr>
        <w:t>Fleming Fund</w:t>
      </w:r>
      <w:r w:rsidR="005E2E80" w:rsidRPr="00E173CF">
        <w:rPr>
          <w:b/>
          <w:bCs/>
        </w:rPr>
        <w:t xml:space="preserve"> </w:t>
      </w:r>
      <w:r w:rsidRPr="00E173CF">
        <w:rPr>
          <w:b/>
          <w:bCs/>
        </w:rPr>
        <w:t xml:space="preserve">2: </w:t>
      </w:r>
      <w:r>
        <w:rPr>
          <w:b/>
          <w:bCs/>
        </w:rPr>
        <w:t>be Responsive, I</w:t>
      </w:r>
      <w:r w:rsidRPr="00E173CF">
        <w:rPr>
          <w:b/>
          <w:bCs/>
        </w:rPr>
        <w:t xml:space="preserve">nnovative and </w:t>
      </w:r>
      <w:r>
        <w:rPr>
          <w:b/>
          <w:bCs/>
        </w:rPr>
        <w:t>A</w:t>
      </w:r>
      <w:r w:rsidRPr="00E173CF">
        <w:rPr>
          <w:b/>
          <w:bCs/>
        </w:rPr>
        <w:t>mbitious</w:t>
      </w:r>
    </w:p>
    <w:p w14:paraId="4186B663" w14:textId="1B2A534E" w:rsidR="001134AD" w:rsidRPr="00E173CF" w:rsidRDefault="00FF54BC" w:rsidP="00C6374D">
      <w:pPr>
        <w:numPr>
          <w:ilvl w:val="0"/>
          <w:numId w:val="62"/>
        </w:numPr>
        <w:spacing w:after="160" w:line="259" w:lineRule="auto"/>
      </w:pPr>
      <w:r w:rsidRPr="00E173CF">
        <w:t>To</w:t>
      </w:r>
      <w:r w:rsidR="001134AD" w:rsidRPr="00E173CF">
        <w:t xml:space="preserve"> make </w:t>
      </w:r>
      <w:r w:rsidR="00DC5E52" w:rsidRPr="00DC5E52">
        <w:t>One Health</w:t>
      </w:r>
      <w:r w:rsidR="001134AD" w:rsidRPr="00E173CF">
        <w:t xml:space="preserve"> partnerships sustainable, allow countries to develop their version of </w:t>
      </w:r>
      <w:r w:rsidR="00DC5E52" w:rsidRPr="00DC5E52">
        <w:t>One Health</w:t>
      </w:r>
      <w:r w:rsidR="001134AD" w:rsidRPr="00E173CF">
        <w:t xml:space="preserve"> partnerships</w:t>
      </w:r>
      <w:r w:rsidR="00A54049">
        <w:t>.</w:t>
      </w:r>
    </w:p>
    <w:p w14:paraId="680FD585" w14:textId="41CA9647" w:rsidR="001134AD" w:rsidRDefault="001134AD" w:rsidP="00C6374D">
      <w:pPr>
        <w:numPr>
          <w:ilvl w:val="0"/>
          <w:numId w:val="62"/>
        </w:numPr>
        <w:spacing w:after="160" w:line="259" w:lineRule="auto"/>
      </w:pPr>
      <w:r w:rsidRPr="00E173CF">
        <w:t xml:space="preserve">Ringfencing of </w:t>
      </w:r>
      <w:r w:rsidR="00DC5E52" w:rsidRPr="00DC5E52">
        <w:t>One Health</w:t>
      </w:r>
      <w:r w:rsidRPr="00E173CF">
        <w:t xml:space="preserve"> for AMR </w:t>
      </w:r>
      <w:r w:rsidR="000967FC">
        <w:t xml:space="preserve">is </w:t>
      </w:r>
      <w:r w:rsidRPr="00E173CF">
        <w:t xml:space="preserve">likely to limit its usefulness, </w:t>
      </w:r>
      <w:r w:rsidR="00FF54BC" w:rsidRPr="00E173CF">
        <w:t>desirability,</w:t>
      </w:r>
      <w:r w:rsidRPr="00E173CF">
        <w:t xml:space="preserve"> and sustainability in country contexts. Perhaps allow countries to explore </w:t>
      </w:r>
      <w:r w:rsidR="00DC5E52" w:rsidRPr="00DC5E52">
        <w:t>One Health</w:t>
      </w:r>
      <w:r w:rsidRPr="00E173CF">
        <w:t xml:space="preserve"> options outside AMRCC – (e.g. </w:t>
      </w:r>
      <w:r w:rsidR="00DC5E52" w:rsidRPr="00DC5E52">
        <w:t xml:space="preserve">One Health </w:t>
      </w:r>
      <w:r w:rsidR="00DC5E52">
        <w:t>partnership</w:t>
      </w:r>
      <w:r w:rsidRPr="00E173CF">
        <w:t xml:space="preserve"> in Vietnam?)</w:t>
      </w:r>
      <w:r w:rsidR="00A54049">
        <w:t>.</w:t>
      </w:r>
    </w:p>
    <w:p w14:paraId="427F3C30" w14:textId="23178663" w:rsidR="001134AD" w:rsidRPr="00E173CF" w:rsidRDefault="000967FC" w:rsidP="00C6374D">
      <w:pPr>
        <w:pStyle w:val="ListParagraph"/>
        <w:numPr>
          <w:ilvl w:val="0"/>
          <w:numId w:val="62"/>
        </w:numPr>
        <w:spacing w:after="160" w:line="259" w:lineRule="auto"/>
      </w:pPr>
      <w:r>
        <w:t>The i</w:t>
      </w:r>
      <w:r w:rsidR="001134AD">
        <w:t xml:space="preserve">mportance of </w:t>
      </w:r>
      <w:r>
        <w:t>i</w:t>
      </w:r>
      <w:r w:rsidR="001134AD">
        <w:t>nformal networks</w:t>
      </w:r>
      <w:r>
        <w:t xml:space="preserve"> should be recognised</w:t>
      </w:r>
      <w:r w:rsidR="00A54049">
        <w:t>.</w:t>
      </w:r>
    </w:p>
    <w:bookmarkEnd w:id="204"/>
    <w:p w14:paraId="3654D2F6" w14:textId="76DCDE7F" w:rsidR="00C867D1" w:rsidRDefault="00C867D1" w:rsidP="0018231A">
      <w:pPr>
        <w:pStyle w:val="ItadNormalText"/>
      </w:pPr>
    </w:p>
    <w:p w14:paraId="6EE6470C" w14:textId="77777777" w:rsidR="000967FC" w:rsidRDefault="000967FC" w:rsidP="00BB4743">
      <w:pPr>
        <w:pStyle w:val="ItadNormalText"/>
      </w:pPr>
      <w:bookmarkStart w:id="205" w:name="_Toc118968534"/>
      <w:r>
        <w:br w:type="page"/>
      </w:r>
    </w:p>
    <w:p w14:paraId="7346CDAC" w14:textId="6E587FD9" w:rsidR="007779FC" w:rsidRDefault="007779FC" w:rsidP="007779FC">
      <w:pPr>
        <w:pStyle w:val="ItadH1Numbered"/>
        <w:numPr>
          <w:ilvl w:val="0"/>
          <w:numId w:val="0"/>
        </w:numPr>
      </w:pPr>
      <w:bookmarkStart w:id="206" w:name="_Toc142383174"/>
      <w:r w:rsidRPr="007C65F2">
        <w:t xml:space="preserve">Annex </w:t>
      </w:r>
      <w:r w:rsidR="00A70655">
        <w:t>8</w:t>
      </w:r>
      <w:r w:rsidRPr="007C65F2">
        <w:t xml:space="preserve">: </w:t>
      </w:r>
      <w:r>
        <w:t xml:space="preserve">Quality and </w:t>
      </w:r>
      <w:r w:rsidR="00764EB0">
        <w:t>q</w:t>
      </w:r>
      <w:r>
        <w:t>uantity</w:t>
      </w:r>
      <w:bookmarkEnd w:id="205"/>
      <w:bookmarkEnd w:id="206"/>
    </w:p>
    <w:p w14:paraId="4F3B7181" w14:textId="4E2DF068" w:rsidR="000B0469" w:rsidRPr="00313B71" w:rsidRDefault="00FF0BBD" w:rsidP="00B72AAE">
      <w:pPr>
        <w:pStyle w:val="ItadH2"/>
      </w:pPr>
      <w:bookmarkStart w:id="207" w:name="_Toc118968535"/>
      <w:bookmarkStart w:id="208" w:name="_Toc142383175"/>
      <w:r>
        <w:t xml:space="preserve">8.1 </w:t>
      </w:r>
      <w:r w:rsidR="000B0469" w:rsidRPr="00313B71">
        <w:t>Changes in quantity of AMR data</w:t>
      </w:r>
      <w:bookmarkEnd w:id="207"/>
      <w:bookmarkEnd w:id="208"/>
    </w:p>
    <w:p w14:paraId="367E382E" w14:textId="2A77FA31" w:rsidR="000B0469" w:rsidRPr="005A6320" w:rsidRDefault="000B0469" w:rsidP="000B0469">
      <w:r w:rsidRPr="005A6320">
        <w:t>In t</w:t>
      </w:r>
      <w:r>
        <w:t xml:space="preserve">his section we present </w:t>
      </w:r>
      <w:r w:rsidR="00050DCD" w:rsidRPr="00050DCD">
        <w:t xml:space="preserve">supporting evidence for the </w:t>
      </w:r>
      <w:r>
        <w:t>findings on</w:t>
      </w:r>
      <w:r w:rsidR="000967FC">
        <w:t xml:space="preserve"> the</w:t>
      </w:r>
      <w:r>
        <w:t xml:space="preserve"> changes in </w:t>
      </w:r>
      <w:r w:rsidR="000967FC">
        <w:t xml:space="preserve">the </w:t>
      </w:r>
      <w:r>
        <w:t>quantity of AMR data are based</w:t>
      </w:r>
      <w:r w:rsidR="007458AC">
        <w:t xml:space="preserve"> </w:t>
      </w:r>
      <w:r w:rsidR="000967FC">
        <w:t xml:space="preserve">on </w:t>
      </w:r>
      <w:r>
        <w:t xml:space="preserve">starting with 1) figures on the situation in 2018, followed by 2) data collected by the evaluation team from document review and </w:t>
      </w:r>
      <w:r w:rsidR="00892E27">
        <w:t>KIIs</w:t>
      </w:r>
      <w:r>
        <w:t>.</w:t>
      </w:r>
    </w:p>
    <w:p w14:paraId="353A7EFC" w14:textId="148C3D5C" w:rsidR="000B0469" w:rsidRPr="00AC1FB0" w:rsidRDefault="000B0469" w:rsidP="00B72AAE">
      <w:pPr>
        <w:pStyle w:val="ItadH3"/>
        <w:rPr>
          <w:lang w:val="en-GB"/>
        </w:rPr>
      </w:pPr>
      <w:bookmarkStart w:id="209" w:name="_Toc118968536"/>
      <w:bookmarkStart w:id="210" w:name="_Toc142383176"/>
      <w:r w:rsidRPr="00AC1FB0">
        <w:rPr>
          <w:lang w:val="en-GB"/>
        </w:rPr>
        <w:t>Situation in 2018</w:t>
      </w:r>
      <w:bookmarkEnd w:id="209"/>
      <w:bookmarkEnd w:id="210"/>
    </w:p>
    <w:p w14:paraId="03A0386C" w14:textId="3ED538FD" w:rsidR="008B3EAA" w:rsidRDefault="008B3EAA" w:rsidP="00C04C3C">
      <w:pPr>
        <w:pStyle w:val="ItadCaption"/>
      </w:pPr>
      <w:bookmarkStart w:id="211" w:name="_Toc143857893"/>
      <w:r>
        <w:t xml:space="preserve">Table </w:t>
      </w:r>
      <w:r>
        <w:fldChar w:fldCharType="begin"/>
      </w:r>
      <w:r>
        <w:instrText>SEQ Table \* ARABIC</w:instrText>
      </w:r>
      <w:r>
        <w:fldChar w:fldCharType="separate"/>
      </w:r>
      <w:r w:rsidR="009A383C">
        <w:rPr>
          <w:noProof/>
        </w:rPr>
        <w:t>25</w:t>
      </w:r>
      <w:r>
        <w:fldChar w:fldCharType="end"/>
      </w:r>
      <w:r>
        <w:t xml:space="preserve"> </w:t>
      </w:r>
      <w:r w:rsidRPr="00AE5A3B">
        <w:t>NAPs in place in 2018</w:t>
      </w:r>
      <w:bookmarkEnd w:id="211"/>
    </w:p>
    <w:tbl>
      <w:tblPr>
        <w:tblStyle w:val="Itadalternaterows"/>
        <w:tblW w:w="5000" w:type="pct"/>
        <w:tblInd w:w="0" w:type="dxa"/>
        <w:tblLook w:val="04A0" w:firstRow="1" w:lastRow="0" w:firstColumn="1" w:lastColumn="0" w:noHBand="0" w:noVBand="1"/>
      </w:tblPr>
      <w:tblGrid>
        <w:gridCol w:w="2252"/>
        <w:gridCol w:w="2247"/>
        <w:gridCol w:w="2258"/>
        <w:gridCol w:w="2259"/>
      </w:tblGrid>
      <w:tr w:rsidR="000C5186" w:rsidRPr="000C5186" w14:paraId="06CF92B9" w14:textId="77777777" w:rsidTr="00BB4743">
        <w:trPr>
          <w:cnfStyle w:val="100000000000" w:firstRow="1" w:lastRow="0" w:firstColumn="0" w:lastColumn="0" w:oddVBand="0" w:evenVBand="0" w:oddHBand="0" w:evenHBand="0" w:firstRowFirstColumn="0" w:firstRowLastColumn="0" w:lastRowFirstColumn="0" w:lastRowLastColumn="0"/>
        </w:trPr>
        <w:tc>
          <w:tcPr>
            <w:tcW w:w="1249" w:type="pct"/>
          </w:tcPr>
          <w:p w14:paraId="6DF47A94" w14:textId="0645334B" w:rsidR="00C67347" w:rsidRPr="007F63EF" w:rsidRDefault="00C67347" w:rsidP="00C67347">
            <w:pPr>
              <w:rPr>
                <w:color w:val="auto"/>
              </w:rPr>
            </w:pPr>
            <w:r w:rsidRPr="000C5186">
              <w:rPr>
                <w:rFonts w:cstheme="minorHAnsi"/>
                <w:b/>
                <w:bCs/>
                <w:sz w:val="20"/>
                <w:szCs w:val="20"/>
              </w:rPr>
              <w:t>Country</w:t>
            </w:r>
            <w:r w:rsidRPr="000C5186">
              <w:rPr>
                <w:rFonts w:cstheme="minorHAnsi"/>
                <w:sz w:val="20"/>
                <w:szCs w:val="20"/>
              </w:rPr>
              <w:t> </w:t>
            </w:r>
          </w:p>
        </w:tc>
        <w:tc>
          <w:tcPr>
            <w:tcW w:w="1246" w:type="pct"/>
          </w:tcPr>
          <w:p w14:paraId="570F84EA" w14:textId="27CD6E22" w:rsidR="00C67347" w:rsidRPr="007F63EF" w:rsidRDefault="00C67347" w:rsidP="00C67347">
            <w:pPr>
              <w:rPr>
                <w:color w:val="auto"/>
              </w:rPr>
            </w:pPr>
            <w:r w:rsidRPr="000C5186">
              <w:rPr>
                <w:rFonts w:cstheme="minorHAnsi"/>
                <w:b/>
                <w:bCs/>
                <w:sz w:val="20"/>
                <w:szCs w:val="20"/>
              </w:rPr>
              <w:t>NAP in place</w:t>
            </w:r>
            <w:r w:rsidRPr="000C5186">
              <w:rPr>
                <w:rFonts w:cstheme="minorHAnsi"/>
                <w:sz w:val="20"/>
                <w:szCs w:val="20"/>
              </w:rPr>
              <w:t> </w:t>
            </w:r>
          </w:p>
        </w:tc>
        <w:tc>
          <w:tcPr>
            <w:tcW w:w="1252" w:type="pct"/>
          </w:tcPr>
          <w:p w14:paraId="096AD64F" w14:textId="0F06D670" w:rsidR="00C67347" w:rsidRPr="007F63EF" w:rsidRDefault="00C67347" w:rsidP="00C67347">
            <w:pPr>
              <w:rPr>
                <w:color w:val="auto"/>
              </w:rPr>
            </w:pPr>
            <w:r w:rsidRPr="000C5186">
              <w:rPr>
                <w:rFonts w:cstheme="minorHAnsi"/>
                <w:b/>
                <w:bCs/>
                <w:sz w:val="20"/>
                <w:szCs w:val="20"/>
              </w:rPr>
              <w:t>Budget for NAP on government budget</w:t>
            </w:r>
            <w:r w:rsidRPr="000C5186">
              <w:rPr>
                <w:rFonts w:cstheme="minorHAnsi"/>
                <w:sz w:val="20"/>
                <w:szCs w:val="20"/>
              </w:rPr>
              <w:t> </w:t>
            </w:r>
          </w:p>
        </w:tc>
        <w:tc>
          <w:tcPr>
            <w:tcW w:w="1253" w:type="pct"/>
          </w:tcPr>
          <w:p w14:paraId="62AC4B3F" w14:textId="145D3020" w:rsidR="00C67347" w:rsidRPr="007F63EF" w:rsidRDefault="00C67347" w:rsidP="00C67347">
            <w:pPr>
              <w:rPr>
                <w:color w:val="auto"/>
              </w:rPr>
            </w:pPr>
            <w:r w:rsidRPr="000C5186">
              <w:rPr>
                <w:rFonts w:cstheme="minorHAnsi"/>
                <w:b/>
                <w:bCs/>
                <w:sz w:val="20"/>
                <w:szCs w:val="20"/>
              </w:rPr>
              <w:t>Government funding disbursed</w:t>
            </w:r>
            <w:r w:rsidRPr="000C5186">
              <w:rPr>
                <w:rFonts w:cstheme="minorHAnsi"/>
                <w:sz w:val="20"/>
                <w:szCs w:val="20"/>
              </w:rPr>
              <w:t> </w:t>
            </w:r>
          </w:p>
        </w:tc>
      </w:tr>
      <w:tr w:rsidR="000C5186" w:rsidRPr="000C5186" w14:paraId="5AFE6AF9" w14:textId="77777777" w:rsidTr="00BB4743">
        <w:trPr>
          <w:cnfStyle w:val="000000100000" w:firstRow="0" w:lastRow="0" w:firstColumn="0" w:lastColumn="0" w:oddVBand="0" w:evenVBand="0" w:oddHBand="1" w:evenHBand="0" w:firstRowFirstColumn="0" w:firstRowLastColumn="0" w:lastRowFirstColumn="0" w:lastRowLastColumn="0"/>
        </w:trPr>
        <w:tc>
          <w:tcPr>
            <w:tcW w:w="5000" w:type="pct"/>
            <w:gridSpan w:val="4"/>
            <w:shd w:val="clear" w:color="auto" w:fill="DCEAD6" w:themeFill="text2" w:themeFillTint="33"/>
          </w:tcPr>
          <w:p w14:paraId="4FD289D4" w14:textId="5C611B2B" w:rsidR="00C67347" w:rsidRPr="007F63EF" w:rsidRDefault="00EA4B26" w:rsidP="00C67347">
            <w:pPr>
              <w:rPr>
                <w:b/>
                <w:bCs/>
                <w:color w:val="auto"/>
              </w:rPr>
            </w:pPr>
            <w:r w:rsidRPr="000C5186">
              <w:rPr>
                <w:rFonts w:cstheme="minorHAnsi"/>
                <w:b/>
                <w:bCs/>
                <w:sz w:val="20"/>
                <w:szCs w:val="20"/>
              </w:rPr>
              <w:t>West Africa</w:t>
            </w:r>
          </w:p>
        </w:tc>
      </w:tr>
      <w:tr w:rsidR="000C5186" w:rsidRPr="000C5186" w14:paraId="44000EDD" w14:textId="77777777" w:rsidTr="00BB4743">
        <w:trPr>
          <w:cnfStyle w:val="000000010000" w:firstRow="0" w:lastRow="0" w:firstColumn="0" w:lastColumn="0" w:oddVBand="0" w:evenVBand="0" w:oddHBand="0" w:evenHBand="1" w:firstRowFirstColumn="0" w:firstRowLastColumn="0" w:lastRowFirstColumn="0" w:lastRowLastColumn="0"/>
        </w:trPr>
        <w:tc>
          <w:tcPr>
            <w:tcW w:w="1249" w:type="pct"/>
          </w:tcPr>
          <w:p w14:paraId="6D5AADF1" w14:textId="0A6D3432" w:rsidR="00EA4B26" w:rsidRPr="007F63EF" w:rsidRDefault="00EA4B26" w:rsidP="00EA4B26">
            <w:pPr>
              <w:rPr>
                <w:color w:val="auto"/>
              </w:rPr>
            </w:pPr>
            <w:r w:rsidRPr="000C5186">
              <w:rPr>
                <w:rFonts w:cstheme="minorHAnsi"/>
                <w:sz w:val="20"/>
                <w:szCs w:val="20"/>
              </w:rPr>
              <w:t>Ghana </w:t>
            </w:r>
          </w:p>
        </w:tc>
        <w:tc>
          <w:tcPr>
            <w:tcW w:w="1246" w:type="pct"/>
            <w:shd w:val="clear" w:color="auto" w:fill="3FB84E" w:themeFill="accent3"/>
          </w:tcPr>
          <w:p w14:paraId="4ACFEE70" w14:textId="1A782467" w:rsidR="00EA4B26" w:rsidRPr="007F63EF" w:rsidRDefault="00EA4B26" w:rsidP="00EA4B26">
            <w:pPr>
              <w:rPr>
                <w:color w:val="auto"/>
              </w:rPr>
            </w:pPr>
            <w:r w:rsidRPr="000C5186">
              <w:rPr>
                <w:rFonts w:cstheme="minorHAnsi"/>
                <w:sz w:val="20"/>
                <w:szCs w:val="20"/>
              </w:rPr>
              <w:t>2017-21 </w:t>
            </w:r>
          </w:p>
        </w:tc>
        <w:tc>
          <w:tcPr>
            <w:tcW w:w="1252" w:type="pct"/>
            <w:shd w:val="clear" w:color="auto" w:fill="FFC000"/>
          </w:tcPr>
          <w:p w14:paraId="25FB0A24" w14:textId="0E194CC7" w:rsidR="00EA4B26" w:rsidRPr="007F63EF" w:rsidRDefault="00EA4B26" w:rsidP="00EA4B26">
            <w:pPr>
              <w:rPr>
                <w:color w:val="auto"/>
              </w:rPr>
            </w:pPr>
            <w:r w:rsidRPr="000C5186">
              <w:rPr>
                <w:rFonts w:cstheme="minorHAnsi"/>
                <w:sz w:val="20"/>
                <w:szCs w:val="20"/>
              </w:rPr>
              <w:t> </w:t>
            </w:r>
          </w:p>
        </w:tc>
        <w:tc>
          <w:tcPr>
            <w:tcW w:w="1253" w:type="pct"/>
            <w:shd w:val="clear" w:color="auto" w:fill="FFC000"/>
          </w:tcPr>
          <w:p w14:paraId="2AC0DD8C" w14:textId="7BA31B19" w:rsidR="00EA4B26" w:rsidRPr="007F63EF" w:rsidRDefault="00EA4B26" w:rsidP="00EA4B26">
            <w:pPr>
              <w:rPr>
                <w:color w:val="auto"/>
              </w:rPr>
            </w:pPr>
            <w:r w:rsidRPr="000C5186">
              <w:rPr>
                <w:rFonts w:cstheme="minorHAnsi"/>
                <w:sz w:val="20"/>
                <w:szCs w:val="20"/>
              </w:rPr>
              <w:t> </w:t>
            </w:r>
          </w:p>
        </w:tc>
      </w:tr>
      <w:tr w:rsidR="000C5186" w:rsidRPr="000C5186" w14:paraId="0AD9283F" w14:textId="77777777" w:rsidTr="00BB4743">
        <w:trPr>
          <w:cnfStyle w:val="000000100000" w:firstRow="0" w:lastRow="0" w:firstColumn="0" w:lastColumn="0" w:oddVBand="0" w:evenVBand="0" w:oddHBand="1" w:evenHBand="0" w:firstRowFirstColumn="0" w:firstRowLastColumn="0" w:lastRowFirstColumn="0" w:lastRowLastColumn="0"/>
        </w:trPr>
        <w:tc>
          <w:tcPr>
            <w:tcW w:w="1249" w:type="pct"/>
          </w:tcPr>
          <w:p w14:paraId="5147074E" w14:textId="3B537FC0" w:rsidR="00EA4B26" w:rsidRPr="007F63EF" w:rsidRDefault="00EA4B26" w:rsidP="00EA4B26">
            <w:pPr>
              <w:rPr>
                <w:color w:val="auto"/>
              </w:rPr>
            </w:pPr>
            <w:r w:rsidRPr="000C5186">
              <w:rPr>
                <w:rFonts w:cstheme="minorHAnsi"/>
                <w:sz w:val="20"/>
                <w:szCs w:val="20"/>
              </w:rPr>
              <w:t>Nigeria </w:t>
            </w:r>
          </w:p>
        </w:tc>
        <w:tc>
          <w:tcPr>
            <w:tcW w:w="1246" w:type="pct"/>
            <w:shd w:val="clear" w:color="auto" w:fill="3FB84E" w:themeFill="accent3"/>
          </w:tcPr>
          <w:p w14:paraId="2CF01F11" w14:textId="0D58B15C" w:rsidR="00EA4B26" w:rsidRPr="007F63EF" w:rsidRDefault="00EA4B26" w:rsidP="00EA4B26">
            <w:pPr>
              <w:rPr>
                <w:color w:val="auto"/>
              </w:rPr>
            </w:pPr>
            <w:r w:rsidRPr="000C5186">
              <w:rPr>
                <w:rFonts w:cstheme="minorHAnsi"/>
                <w:sz w:val="20"/>
                <w:szCs w:val="20"/>
              </w:rPr>
              <w:t>2017-22 </w:t>
            </w:r>
          </w:p>
        </w:tc>
        <w:tc>
          <w:tcPr>
            <w:tcW w:w="1252" w:type="pct"/>
            <w:shd w:val="clear" w:color="auto" w:fill="FF0000"/>
          </w:tcPr>
          <w:p w14:paraId="12E49FF4" w14:textId="1E98CA46" w:rsidR="00EA4B26" w:rsidRPr="007F63EF" w:rsidRDefault="00EA4B26" w:rsidP="00EA4B26">
            <w:pPr>
              <w:rPr>
                <w:color w:val="auto"/>
              </w:rPr>
            </w:pPr>
            <w:r w:rsidRPr="000C5186">
              <w:rPr>
                <w:rFonts w:cstheme="minorHAnsi"/>
                <w:sz w:val="20"/>
                <w:szCs w:val="20"/>
              </w:rPr>
              <w:t> </w:t>
            </w:r>
          </w:p>
        </w:tc>
        <w:tc>
          <w:tcPr>
            <w:tcW w:w="1253" w:type="pct"/>
            <w:shd w:val="clear" w:color="auto" w:fill="FF0000"/>
          </w:tcPr>
          <w:p w14:paraId="67D8FFC5" w14:textId="6694AD94" w:rsidR="00EA4B26" w:rsidRPr="007F63EF" w:rsidRDefault="00EA4B26" w:rsidP="00EA4B26">
            <w:pPr>
              <w:rPr>
                <w:color w:val="auto"/>
              </w:rPr>
            </w:pPr>
            <w:r w:rsidRPr="000C5186">
              <w:rPr>
                <w:rFonts w:cstheme="minorHAnsi"/>
                <w:sz w:val="20"/>
                <w:szCs w:val="20"/>
              </w:rPr>
              <w:t> </w:t>
            </w:r>
          </w:p>
        </w:tc>
      </w:tr>
      <w:tr w:rsidR="000C5186" w:rsidRPr="000C5186" w14:paraId="22746AFC" w14:textId="77777777" w:rsidTr="00BB4743">
        <w:trPr>
          <w:cnfStyle w:val="000000010000" w:firstRow="0" w:lastRow="0" w:firstColumn="0" w:lastColumn="0" w:oddVBand="0" w:evenVBand="0" w:oddHBand="0" w:evenHBand="1" w:firstRowFirstColumn="0" w:firstRowLastColumn="0" w:lastRowFirstColumn="0" w:lastRowLastColumn="0"/>
        </w:trPr>
        <w:tc>
          <w:tcPr>
            <w:tcW w:w="1249" w:type="pct"/>
          </w:tcPr>
          <w:p w14:paraId="47E9C025" w14:textId="52C6F5FB" w:rsidR="00EA4B26" w:rsidRPr="007F63EF" w:rsidRDefault="00EA4B26" w:rsidP="00EA4B26">
            <w:pPr>
              <w:rPr>
                <w:color w:val="auto"/>
              </w:rPr>
            </w:pPr>
            <w:r w:rsidRPr="000C5186">
              <w:rPr>
                <w:rFonts w:cstheme="minorHAnsi"/>
                <w:sz w:val="20"/>
                <w:szCs w:val="20"/>
              </w:rPr>
              <w:t>Senegal</w:t>
            </w:r>
            <w:r w:rsidR="007458AC" w:rsidRPr="000C5186">
              <w:rPr>
                <w:rFonts w:cstheme="minorHAnsi"/>
                <w:sz w:val="20"/>
                <w:szCs w:val="20"/>
              </w:rPr>
              <w:t xml:space="preserve"> </w:t>
            </w:r>
          </w:p>
        </w:tc>
        <w:tc>
          <w:tcPr>
            <w:tcW w:w="1246" w:type="pct"/>
            <w:shd w:val="clear" w:color="auto" w:fill="3FB84E" w:themeFill="accent3"/>
          </w:tcPr>
          <w:p w14:paraId="6D7D1B50" w14:textId="0DF46E1C" w:rsidR="00EA4B26" w:rsidRPr="007F63EF" w:rsidRDefault="00EA4B26" w:rsidP="00EA4B26">
            <w:pPr>
              <w:rPr>
                <w:color w:val="auto"/>
              </w:rPr>
            </w:pPr>
            <w:r w:rsidRPr="000C5186">
              <w:rPr>
                <w:rFonts w:cstheme="minorHAnsi"/>
                <w:sz w:val="20"/>
                <w:szCs w:val="20"/>
              </w:rPr>
              <w:t>2018-22 </w:t>
            </w:r>
          </w:p>
        </w:tc>
        <w:tc>
          <w:tcPr>
            <w:tcW w:w="1252" w:type="pct"/>
            <w:shd w:val="clear" w:color="auto" w:fill="FFC000"/>
          </w:tcPr>
          <w:p w14:paraId="738DBE07" w14:textId="7530E263" w:rsidR="00EA4B26" w:rsidRPr="007F63EF" w:rsidRDefault="00EA4B26" w:rsidP="00EA4B26">
            <w:pPr>
              <w:rPr>
                <w:color w:val="auto"/>
              </w:rPr>
            </w:pPr>
            <w:r w:rsidRPr="000C5186">
              <w:rPr>
                <w:rFonts w:cstheme="minorHAnsi"/>
                <w:sz w:val="20"/>
                <w:szCs w:val="20"/>
              </w:rPr>
              <w:t> </w:t>
            </w:r>
          </w:p>
        </w:tc>
        <w:tc>
          <w:tcPr>
            <w:tcW w:w="1253" w:type="pct"/>
            <w:shd w:val="clear" w:color="auto" w:fill="FF0000"/>
          </w:tcPr>
          <w:p w14:paraId="1FBFF706" w14:textId="6F69F556" w:rsidR="00EA4B26" w:rsidRPr="007F63EF" w:rsidRDefault="00EA4B26" w:rsidP="00EA4B26">
            <w:pPr>
              <w:rPr>
                <w:color w:val="auto"/>
              </w:rPr>
            </w:pPr>
            <w:r w:rsidRPr="000C5186">
              <w:rPr>
                <w:rFonts w:cstheme="minorHAnsi"/>
                <w:sz w:val="20"/>
                <w:szCs w:val="20"/>
              </w:rPr>
              <w:t> </w:t>
            </w:r>
          </w:p>
        </w:tc>
      </w:tr>
      <w:tr w:rsidR="000C5186" w:rsidRPr="000C5186" w14:paraId="2A7396A8" w14:textId="77777777" w:rsidTr="00BB4743">
        <w:trPr>
          <w:cnfStyle w:val="000000100000" w:firstRow="0" w:lastRow="0" w:firstColumn="0" w:lastColumn="0" w:oddVBand="0" w:evenVBand="0" w:oddHBand="1" w:evenHBand="0" w:firstRowFirstColumn="0" w:firstRowLastColumn="0" w:lastRowFirstColumn="0" w:lastRowLastColumn="0"/>
        </w:trPr>
        <w:tc>
          <w:tcPr>
            <w:tcW w:w="1249" w:type="pct"/>
          </w:tcPr>
          <w:p w14:paraId="67391C29" w14:textId="4EF5CA5E" w:rsidR="00EA4B26" w:rsidRPr="007F63EF" w:rsidRDefault="00EA4B26" w:rsidP="00EA4B26">
            <w:pPr>
              <w:rPr>
                <w:color w:val="auto"/>
              </w:rPr>
            </w:pPr>
            <w:r w:rsidRPr="000C5186">
              <w:rPr>
                <w:rFonts w:cstheme="minorHAnsi"/>
                <w:sz w:val="20"/>
                <w:szCs w:val="20"/>
              </w:rPr>
              <w:t>Sierra Leone </w:t>
            </w:r>
          </w:p>
        </w:tc>
        <w:tc>
          <w:tcPr>
            <w:tcW w:w="1246" w:type="pct"/>
            <w:shd w:val="clear" w:color="auto" w:fill="FF0000"/>
          </w:tcPr>
          <w:p w14:paraId="14FA5033" w14:textId="77777777" w:rsidR="00EA4B26" w:rsidRPr="007F63EF" w:rsidRDefault="00EA4B26" w:rsidP="00EA4B26">
            <w:pPr>
              <w:rPr>
                <w:color w:val="auto"/>
              </w:rPr>
            </w:pPr>
          </w:p>
        </w:tc>
        <w:tc>
          <w:tcPr>
            <w:tcW w:w="1252" w:type="pct"/>
            <w:shd w:val="clear" w:color="auto" w:fill="FF0000"/>
          </w:tcPr>
          <w:p w14:paraId="61E37F4E" w14:textId="4661682B" w:rsidR="00EA4B26" w:rsidRPr="007F63EF" w:rsidRDefault="00EA4B26" w:rsidP="00EA4B26">
            <w:pPr>
              <w:rPr>
                <w:color w:val="auto"/>
              </w:rPr>
            </w:pPr>
            <w:r w:rsidRPr="000C5186">
              <w:rPr>
                <w:rFonts w:cstheme="minorHAnsi"/>
                <w:sz w:val="20"/>
                <w:szCs w:val="20"/>
              </w:rPr>
              <w:t> </w:t>
            </w:r>
          </w:p>
        </w:tc>
        <w:tc>
          <w:tcPr>
            <w:tcW w:w="1253" w:type="pct"/>
            <w:shd w:val="clear" w:color="auto" w:fill="FF0000"/>
          </w:tcPr>
          <w:p w14:paraId="6F97B7D0" w14:textId="21E6024E" w:rsidR="00EA4B26" w:rsidRPr="007F63EF" w:rsidRDefault="00EA4B26" w:rsidP="00EA4B26">
            <w:pPr>
              <w:rPr>
                <w:color w:val="auto"/>
              </w:rPr>
            </w:pPr>
            <w:r w:rsidRPr="000C5186">
              <w:rPr>
                <w:rFonts w:cstheme="minorHAnsi"/>
                <w:sz w:val="20"/>
                <w:szCs w:val="20"/>
              </w:rPr>
              <w:t> </w:t>
            </w:r>
          </w:p>
        </w:tc>
      </w:tr>
      <w:tr w:rsidR="000C5186" w:rsidRPr="000C5186" w14:paraId="683B1792" w14:textId="77777777" w:rsidTr="00BB4743">
        <w:trPr>
          <w:cnfStyle w:val="000000010000" w:firstRow="0" w:lastRow="0" w:firstColumn="0" w:lastColumn="0" w:oddVBand="0" w:evenVBand="0" w:oddHBand="0" w:evenHBand="1" w:firstRowFirstColumn="0" w:firstRowLastColumn="0" w:lastRowFirstColumn="0" w:lastRowLastColumn="0"/>
        </w:trPr>
        <w:tc>
          <w:tcPr>
            <w:tcW w:w="5000" w:type="pct"/>
            <w:gridSpan w:val="4"/>
            <w:shd w:val="clear" w:color="auto" w:fill="DCEAD6" w:themeFill="text2" w:themeFillTint="33"/>
          </w:tcPr>
          <w:p w14:paraId="5A437061" w14:textId="178F4205" w:rsidR="00EA4B26" w:rsidRPr="007F63EF" w:rsidRDefault="00EA4B26" w:rsidP="00EA4B26">
            <w:pPr>
              <w:rPr>
                <w:rFonts w:cstheme="minorHAnsi"/>
                <w:b/>
                <w:bCs/>
                <w:color w:val="auto"/>
                <w:sz w:val="20"/>
                <w:szCs w:val="20"/>
              </w:rPr>
            </w:pPr>
            <w:r w:rsidRPr="000C5186">
              <w:rPr>
                <w:rFonts w:cstheme="minorHAnsi"/>
                <w:b/>
                <w:bCs/>
                <w:sz w:val="20"/>
                <w:szCs w:val="20"/>
              </w:rPr>
              <w:t xml:space="preserve">East and </w:t>
            </w:r>
            <w:r w:rsidR="000B50AE" w:rsidRPr="000C5186">
              <w:rPr>
                <w:rFonts w:cstheme="minorHAnsi"/>
                <w:b/>
                <w:bCs/>
                <w:sz w:val="20"/>
                <w:szCs w:val="20"/>
              </w:rPr>
              <w:t>S</w:t>
            </w:r>
            <w:r w:rsidRPr="000C5186">
              <w:rPr>
                <w:rFonts w:cstheme="minorHAnsi"/>
                <w:b/>
                <w:bCs/>
                <w:sz w:val="20"/>
                <w:szCs w:val="20"/>
              </w:rPr>
              <w:t>outhern Africa </w:t>
            </w:r>
          </w:p>
        </w:tc>
      </w:tr>
      <w:tr w:rsidR="000C5186" w:rsidRPr="000C5186" w14:paraId="419EFCFB" w14:textId="77777777" w:rsidTr="00BB4743">
        <w:trPr>
          <w:cnfStyle w:val="000000100000" w:firstRow="0" w:lastRow="0" w:firstColumn="0" w:lastColumn="0" w:oddVBand="0" w:evenVBand="0" w:oddHBand="1" w:evenHBand="0" w:firstRowFirstColumn="0" w:firstRowLastColumn="0" w:lastRowFirstColumn="0" w:lastRowLastColumn="0"/>
        </w:trPr>
        <w:tc>
          <w:tcPr>
            <w:tcW w:w="1249" w:type="pct"/>
          </w:tcPr>
          <w:p w14:paraId="3E04302E" w14:textId="14688358" w:rsidR="00EA4B26" w:rsidRPr="007F63EF" w:rsidRDefault="00EA4B26" w:rsidP="00EA4B26">
            <w:pPr>
              <w:rPr>
                <w:color w:val="auto"/>
              </w:rPr>
            </w:pPr>
            <w:r w:rsidRPr="000C5186">
              <w:rPr>
                <w:rFonts w:cstheme="minorHAnsi"/>
                <w:sz w:val="20"/>
                <w:szCs w:val="20"/>
              </w:rPr>
              <w:t>Kenya </w:t>
            </w:r>
          </w:p>
        </w:tc>
        <w:tc>
          <w:tcPr>
            <w:tcW w:w="1246" w:type="pct"/>
            <w:shd w:val="clear" w:color="auto" w:fill="3FB84E" w:themeFill="accent3"/>
          </w:tcPr>
          <w:p w14:paraId="41B91D04" w14:textId="08837E58" w:rsidR="00EA4B26" w:rsidRPr="007F63EF" w:rsidRDefault="00EA4B26" w:rsidP="00EA4B26">
            <w:pPr>
              <w:rPr>
                <w:color w:val="auto"/>
              </w:rPr>
            </w:pPr>
            <w:r w:rsidRPr="000C5186">
              <w:rPr>
                <w:rFonts w:cstheme="minorHAnsi"/>
                <w:sz w:val="20"/>
                <w:szCs w:val="20"/>
              </w:rPr>
              <w:t>2017-22 </w:t>
            </w:r>
          </w:p>
        </w:tc>
        <w:tc>
          <w:tcPr>
            <w:tcW w:w="1252" w:type="pct"/>
            <w:shd w:val="clear" w:color="auto" w:fill="FFC000"/>
          </w:tcPr>
          <w:p w14:paraId="759B0727" w14:textId="3792B25D" w:rsidR="00EA4B26" w:rsidRPr="007F63EF" w:rsidRDefault="00EA4B26" w:rsidP="00EA4B26">
            <w:pPr>
              <w:rPr>
                <w:color w:val="auto"/>
              </w:rPr>
            </w:pPr>
            <w:r w:rsidRPr="000C5186">
              <w:rPr>
                <w:rFonts w:cstheme="minorHAnsi"/>
                <w:sz w:val="20"/>
                <w:szCs w:val="20"/>
              </w:rPr>
              <w:t> </w:t>
            </w:r>
          </w:p>
        </w:tc>
        <w:tc>
          <w:tcPr>
            <w:tcW w:w="1253" w:type="pct"/>
            <w:shd w:val="clear" w:color="auto" w:fill="FFC000"/>
          </w:tcPr>
          <w:p w14:paraId="576E682A" w14:textId="11D15CB3" w:rsidR="00EA4B26" w:rsidRPr="007F63EF" w:rsidRDefault="00EA4B26" w:rsidP="00EA4B26">
            <w:pPr>
              <w:rPr>
                <w:color w:val="auto"/>
              </w:rPr>
            </w:pPr>
            <w:r w:rsidRPr="000C5186">
              <w:rPr>
                <w:rFonts w:cstheme="minorHAnsi"/>
                <w:sz w:val="20"/>
                <w:szCs w:val="20"/>
              </w:rPr>
              <w:t> </w:t>
            </w:r>
          </w:p>
        </w:tc>
      </w:tr>
      <w:tr w:rsidR="000C5186" w:rsidRPr="000C5186" w14:paraId="5B5746BE" w14:textId="77777777" w:rsidTr="00BB4743">
        <w:trPr>
          <w:cnfStyle w:val="000000010000" w:firstRow="0" w:lastRow="0" w:firstColumn="0" w:lastColumn="0" w:oddVBand="0" w:evenVBand="0" w:oddHBand="0" w:evenHBand="1" w:firstRowFirstColumn="0" w:firstRowLastColumn="0" w:lastRowFirstColumn="0" w:lastRowLastColumn="0"/>
        </w:trPr>
        <w:tc>
          <w:tcPr>
            <w:tcW w:w="1249" w:type="pct"/>
          </w:tcPr>
          <w:p w14:paraId="48493950" w14:textId="35D79027" w:rsidR="00EA4B26" w:rsidRPr="007F63EF" w:rsidRDefault="00EA4B26" w:rsidP="00EA4B26">
            <w:pPr>
              <w:rPr>
                <w:color w:val="auto"/>
              </w:rPr>
            </w:pPr>
            <w:r w:rsidRPr="000C5186">
              <w:rPr>
                <w:rFonts w:cstheme="minorHAnsi"/>
                <w:sz w:val="20"/>
                <w:szCs w:val="20"/>
              </w:rPr>
              <w:t>Tanzania</w:t>
            </w:r>
            <w:r w:rsidR="007458AC" w:rsidRPr="000C5186">
              <w:rPr>
                <w:rFonts w:cstheme="minorHAnsi"/>
                <w:sz w:val="20"/>
                <w:szCs w:val="20"/>
              </w:rPr>
              <w:t xml:space="preserve"> </w:t>
            </w:r>
          </w:p>
        </w:tc>
        <w:tc>
          <w:tcPr>
            <w:tcW w:w="1246" w:type="pct"/>
            <w:shd w:val="clear" w:color="auto" w:fill="3FB84E" w:themeFill="accent3"/>
          </w:tcPr>
          <w:p w14:paraId="3C28A06F" w14:textId="09DAE2F6" w:rsidR="00EA4B26" w:rsidRPr="007F63EF" w:rsidRDefault="00EA4B26" w:rsidP="00EA4B26">
            <w:pPr>
              <w:rPr>
                <w:color w:val="auto"/>
              </w:rPr>
            </w:pPr>
            <w:r w:rsidRPr="000C5186">
              <w:rPr>
                <w:rFonts w:cstheme="minorHAnsi"/>
                <w:sz w:val="20"/>
                <w:szCs w:val="20"/>
              </w:rPr>
              <w:t>2017-22 </w:t>
            </w:r>
          </w:p>
        </w:tc>
        <w:tc>
          <w:tcPr>
            <w:tcW w:w="1252" w:type="pct"/>
            <w:shd w:val="clear" w:color="auto" w:fill="FFC000"/>
          </w:tcPr>
          <w:p w14:paraId="7D9F8B27" w14:textId="2D419FAE" w:rsidR="00EA4B26" w:rsidRPr="007F63EF" w:rsidRDefault="00EA4B26" w:rsidP="00EA4B26">
            <w:pPr>
              <w:rPr>
                <w:color w:val="auto"/>
              </w:rPr>
            </w:pPr>
            <w:r w:rsidRPr="000C5186">
              <w:rPr>
                <w:rFonts w:cstheme="minorHAnsi"/>
                <w:sz w:val="20"/>
                <w:szCs w:val="20"/>
              </w:rPr>
              <w:t> </w:t>
            </w:r>
          </w:p>
        </w:tc>
        <w:tc>
          <w:tcPr>
            <w:tcW w:w="1253" w:type="pct"/>
            <w:shd w:val="clear" w:color="auto" w:fill="FFC000"/>
          </w:tcPr>
          <w:p w14:paraId="6CAA4649" w14:textId="4997A569" w:rsidR="00EA4B26" w:rsidRPr="007F63EF" w:rsidRDefault="00EA4B26" w:rsidP="00EA4B26">
            <w:pPr>
              <w:rPr>
                <w:color w:val="auto"/>
              </w:rPr>
            </w:pPr>
            <w:r w:rsidRPr="000C5186">
              <w:rPr>
                <w:rFonts w:cstheme="minorHAnsi"/>
                <w:sz w:val="20"/>
                <w:szCs w:val="20"/>
              </w:rPr>
              <w:t> </w:t>
            </w:r>
          </w:p>
        </w:tc>
      </w:tr>
      <w:tr w:rsidR="000C5186" w:rsidRPr="000C5186" w14:paraId="785C9786" w14:textId="77777777" w:rsidTr="00BB4743">
        <w:trPr>
          <w:cnfStyle w:val="000000100000" w:firstRow="0" w:lastRow="0" w:firstColumn="0" w:lastColumn="0" w:oddVBand="0" w:evenVBand="0" w:oddHBand="1" w:evenHBand="0" w:firstRowFirstColumn="0" w:firstRowLastColumn="0" w:lastRowFirstColumn="0" w:lastRowLastColumn="0"/>
        </w:trPr>
        <w:tc>
          <w:tcPr>
            <w:tcW w:w="1249" w:type="pct"/>
          </w:tcPr>
          <w:p w14:paraId="3E41DA57" w14:textId="59B186C2" w:rsidR="00EA4B26" w:rsidRPr="007F63EF" w:rsidRDefault="00EA4B26" w:rsidP="00EA4B26">
            <w:pPr>
              <w:rPr>
                <w:color w:val="auto"/>
              </w:rPr>
            </w:pPr>
            <w:r w:rsidRPr="000C5186">
              <w:rPr>
                <w:rFonts w:cstheme="minorHAnsi"/>
                <w:sz w:val="20"/>
                <w:szCs w:val="20"/>
              </w:rPr>
              <w:t>Uganda </w:t>
            </w:r>
          </w:p>
        </w:tc>
        <w:tc>
          <w:tcPr>
            <w:tcW w:w="1246" w:type="pct"/>
            <w:shd w:val="clear" w:color="auto" w:fill="3FB84E" w:themeFill="accent3"/>
          </w:tcPr>
          <w:p w14:paraId="7F6203FC" w14:textId="0A8BA39C" w:rsidR="00EA4B26" w:rsidRPr="007F63EF" w:rsidRDefault="00EA4B26" w:rsidP="00EA4B26">
            <w:pPr>
              <w:rPr>
                <w:color w:val="auto"/>
              </w:rPr>
            </w:pPr>
            <w:r w:rsidRPr="000C5186">
              <w:rPr>
                <w:rFonts w:cstheme="minorHAnsi"/>
                <w:sz w:val="20"/>
                <w:szCs w:val="20"/>
              </w:rPr>
              <w:t>2018-2023 </w:t>
            </w:r>
          </w:p>
        </w:tc>
        <w:tc>
          <w:tcPr>
            <w:tcW w:w="1252" w:type="pct"/>
            <w:shd w:val="clear" w:color="auto" w:fill="FF0000"/>
          </w:tcPr>
          <w:p w14:paraId="6E3FC637" w14:textId="2A105710" w:rsidR="00EA4B26" w:rsidRPr="007F63EF" w:rsidRDefault="00EA4B26" w:rsidP="00EA4B26">
            <w:pPr>
              <w:rPr>
                <w:color w:val="auto"/>
              </w:rPr>
            </w:pPr>
            <w:r w:rsidRPr="000C5186">
              <w:rPr>
                <w:rFonts w:cstheme="minorHAnsi"/>
                <w:sz w:val="20"/>
                <w:szCs w:val="20"/>
              </w:rPr>
              <w:t> </w:t>
            </w:r>
          </w:p>
        </w:tc>
        <w:tc>
          <w:tcPr>
            <w:tcW w:w="1253" w:type="pct"/>
            <w:shd w:val="clear" w:color="auto" w:fill="FFFFFF" w:themeFill="background1"/>
          </w:tcPr>
          <w:p w14:paraId="1FA42CEF" w14:textId="4FE8CDEA" w:rsidR="00EA4B26" w:rsidRPr="007F63EF" w:rsidRDefault="00EA4B26" w:rsidP="00EA4B26">
            <w:pPr>
              <w:rPr>
                <w:color w:val="auto"/>
              </w:rPr>
            </w:pPr>
            <w:r w:rsidRPr="000C5186">
              <w:rPr>
                <w:rFonts w:cstheme="minorHAnsi"/>
                <w:sz w:val="20"/>
                <w:szCs w:val="20"/>
              </w:rPr>
              <w:t>? </w:t>
            </w:r>
          </w:p>
        </w:tc>
      </w:tr>
      <w:tr w:rsidR="000C5186" w:rsidRPr="000C5186" w14:paraId="26624D4A" w14:textId="77777777" w:rsidTr="00BB4743">
        <w:trPr>
          <w:cnfStyle w:val="000000010000" w:firstRow="0" w:lastRow="0" w:firstColumn="0" w:lastColumn="0" w:oddVBand="0" w:evenVBand="0" w:oddHBand="0" w:evenHBand="1" w:firstRowFirstColumn="0" w:firstRowLastColumn="0" w:lastRowFirstColumn="0" w:lastRowLastColumn="0"/>
        </w:trPr>
        <w:tc>
          <w:tcPr>
            <w:tcW w:w="1249" w:type="pct"/>
          </w:tcPr>
          <w:p w14:paraId="132DF38E" w14:textId="31306054" w:rsidR="00EA4B26" w:rsidRPr="007F63EF" w:rsidRDefault="00EA4B26" w:rsidP="00EA4B26">
            <w:pPr>
              <w:rPr>
                <w:color w:val="auto"/>
              </w:rPr>
            </w:pPr>
            <w:r w:rsidRPr="000C5186">
              <w:rPr>
                <w:rFonts w:cstheme="minorHAnsi"/>
                <w:sz w:val="20"/>
                <w:szCs w:val="20"/>
              </w:rPr>
              <w:t>Zambia </w:t>
            </w:r>
          </w:p>
        </w:tc>
        <w:tc>
          <w:tcPr>
            <w:tcW w:w="1246" w:type="pct"/>
            <w:shd w:val="clear" w:color="auto" w:fill="3FB84E" w:themeFill="accent3"/>
          </w:tcPr>
          <w:p w14:paraId="64E55C6F" w14:textId="27EC3395" w:rsidR="00EA4B26" w:rsidRPr="007F63EF" w:rsidRDefault="00EA4B26" w:rsidP="00EA4B26">
            <w:pPr>
              <w:rPr>
                <w:color w:val="auto"/>
              </w:rPr>
            </w:pPr>
            <w:r w:rsidRPr="000C5186">
              <w:rPr>
                <w:rFonts w:cstheme="minorHAnsi"/>
                <w:sz w:val="20"/>
                <w:szCs w:val="20"/>
              </w:rPr>
              <w:t>2017-24 </w:t>
            </w:r>
          </w:p>
        </w:tc>
        <w:tc>
          <w:tcPr>
            <w:tcW w:w="1252" w:type="pct"/>
            <w:shd w:val="clear" w:color="auto" w:fill="FFC000"/>
          </w:tcPr>
          <w:p w14:paraId="4E1803F6" w14:textId="2B83B665" w:rsidR="00EA4B26" w:rsidRPr="007F63EF" w:rsidRDefault="00EA4B26" w:rsidP="00EA4B26">
            <w:pPr>
              <w:rPr>
                <w:color w:val="auto"/>
              </w:rPr>
            </w:pPr>
            <w:r w:rsidRPr="000C5186">
              <w:rPr>
                <w:rFonts w:cstheme="minorHAnsi"/>
                <w:sz w:val="20"/>
                <w:szCs w:val="20"/>
              </w:rPr>
              <w:t> </w:t>
            </w:r>
          </w:p>
        </w:tc>
        <w:tc>
          <w:tcPr>
            <w:tcW w:w="1253" w:type="pct"/>
            <w:shd w:val="clear" w:color="auto" w:fill="FFC000"/>
          </w:tcPr>
          <w:p w14:paraId="0A5CD4F4" w14:textId="76F8FD4E" w:rsidR="00EA4B26" w:rsidRPr="007F63EF" w:rsidRDefault="00EA4B26" w:rsidP="00EA4B26">
            <w:pPr>
              <w:rPr>
                <w:color w:val="auto"/>
              </w:rPr>
            </w:pPr>
            <w:r w:rsidRPr="000C5186">
              <w:rPr>
                <w:rFonts w:cstheme="minorHAnsi"/>
                <w:sz w:val="20"/>
                <w:szCs w:val="20"/>
              </w:rPr>
              <w:t> </w:t>
            </w:r>
          </w:p>
        </w:tc>
      </w:tr>
      <w:tr w:rsidR="000C5186" w:rsidRPr="000C5186" w14:paraId="3942C953" w14:textId="77777777" w:rsidTr="00BB4743">
        <w:trPr>
          <w:cnfStyle w:val="000000100000" w:firstRow="0" w:lastRow="0" w:firstColumn="0" w:lastColumn="0" w:oddVBand="0" w:evenVBand="0" w:oddHBand="1" w:evenHBand="0" w:firstRowFirstColumn="0" w:firstRowLastColumn="0" w:lastRowFirstColumn="0" w:lastRowLastColumn="0"/>
        </w:trPr>
        <w:tc>
          <w:tcPr>
            <w:tcW w:w="5000" w:type="pct"/>
            <w:gridSpan w:val="4"/>
            <w:shd w:val="clear" w:color="auto" w:fill="DCEAD6" w:themeFill="text2" w:themeFillTint="33"/>
          </w:tcPr>
          <w:p w14:paraId="2DAF4DA7" w14:textId="13EA4B27" w:rsidR="00EA4B26" w:rsidRPr="007F63EF" w:rsidRDefault="00EA4B26" w:rsidP="00EA4B26">
            <w:pPr>
              <w:rPr>
                <w:color w:val="auto"/>
              </w:rPr>
            </w:pPr>
            <w:r w:rsidRPr="000C5186">
              <w:rPr>
                <w:rFonts w:cstheme="minorHAnsi"/>
                <w:b/>
                <w:bCs/>
                <w:sz w:val="20"/>
                <w:szCs w:val="20"/>
              </w:rPr>
              <w:t>South Asia</w:t>
            </w:r>
            <w:r w:rsidRPr="000C5186">
              <w:rPr>
                <w:rFonts w:cstheme="minorHAnsi"/>
                <w:sz w:val="20"/>
                <w:szCs w:val="20"/>
              </w:rPr>
              <w:t> </w:t>
            </w:r>
          </w:p>
        </w:tc>
      </w:tr>
      <w:tr w:rsidR="000C5186" w:rsidRPr="000C5186" w14:paraId="3A0E5691" w14:textId="77777777" w:rsidTr="00BB4743">
        <w:trPr>
          <w:cnfStyle w:val="000000010000" w:firstRow="0" w:lastRow="0" w:firstColumn="0" w:lastColumn="0" w:oddVBand="0" w:evenVBand="0" w:oddHBand="0" w:evenHBand="1" w:firstRowFirstColumn="0" w:firstRowLastColumn="0" w:lastRowFirstColumn="0" w:lastRowLastColumn="0"/>
        </w:trPr>
        <w:tc>
          <w:tcPr>
            <w:tcW w:w="1249" w:type="pct"/>
          </w:tcPr>
          <w:p w14:paraId="52323DD5" w14:textId="47695633" w:rsidR="00EA4B26" w:rsidRPr="007F63EF" w:rsidRDefault="00EA4B26" w:rsidP="00EA4B26">
            <w:pPr>
              <w:rPr>
                <w:color w:val="auto"/>
              </w:rPr>
            </w:pPr>
            <w:r w:rsidRPr="000C5186">
              <w:rPr>
                <w:rFonts w:cstheme="minorHAnsi"/>
                <w:sz w:val="20"/>
                <w:szCs w:val="20"/>
              </w:rPr>
              <w:t>Bangladesh </w:t>
            </w:r>
          </w:p>
        </w:tc>
        <w:tc>
          <w:tcPr>
            <w:tcW w:w="1246" w:type="pct"/>
            <w:shd w:val="clear" w:color="auto" w:fill="3FB84E" w:themeFill="accent3"/>
          </w:tcPr>
          <w:p w14:paraId="6C7AF58F" w14:textId="7C4815C2" w:rsidR="00EA4B26" w:rsidRPr="007F63EF" w:rsidRDefault="00EA4B26" w:rsidP="00EA4B26">
            <w:pPr>
              <w:rPr>
                <w:color w:val="auto"/>
              </w:rPr>
            </w:pPr>
            <w:r w:rsidRPr="000C5186">
              <w:rPr>
                <w:rFonts w:cstheme="minorHAnsi"/>
                <w:sz w:val="20"/>
                <w:szCs w:val="20"/>
              </w:rPr>
              <w:t>2017-22 </w:t>
            </w:r>
          </w:p>
        </w:tc>
        <w:tc>
          <w:tcPr>
            <w:tcW w:w="1252" w:type="pct"/>
            <w:shd w:val="clear" w:color="auto" w:fill="3FB84E" w:themeFill="accent3"/>
          </w:tcPr>
          <w:p w14:paraId="442B5F57" w14:textId="2CE7A68C" w:rsidR="00EA4B26" w:rsidRPr="007F63EF" w:rsidRDefault="00EA4B26" w:rsidP="00EA4B26">
            <w:pPr>
              <w:rPr>
                <w:color w:val="auto"/>
              </w:rPr>
            </w:pPr>
            <w:r w:rsidRPr="000C5186">
              <w:rPr>
                <w:rFonts w:cstheme="minorHAnsi"/>
                <w:sz w:val="20"/>
                <w:szCs w:val="20"/>
              </w:rPr>
              <w:t> </w:t>
            </w:r>
          </w:p>
        </w:tc>
        <w:tc>
          <w:tcPr>
            <w:tcW w:w="1253" w:type="pct"/>
            <w:shd w:val="clear" w:color="auto" w:fill="3FB84E" w:themeFill="accent3"/>
          </w:tcPr>
          <w:p w14:paraId="4EF57821" w14:textId="19C12816" w:rsidR="00EA4B26" w:rsidRPr="007F63EF" w:rsidRDefault="00EA4B26" w:rsidP="00EA4B26">
            <w:pPr>
              <w:rPr>
                <w:color w:val="auto"/>
              </w:rPr>
            </w:pPr>
            <w:r w:rsidRPr="000C5186">
              <w:rPr>
                <w:rFonts w:cstheme="minorHAnsi"/>
                <w:sz w:val="20"/>
                <w:szCs w:val="20"/>
              </w:rPr>
              <w:t> </w:t>
            </w:r>
          </w:p>
        </w:tc>
      </w:tr>
      <w:tr w:rsidR="000C5186" w:rsidRPr="000C5186" w14:paraId="4D64ADB3" w14:textId="77777777" w:rsidTr="00BB4743">
        <w:trPr>
          <w:cnfStyle w:val="000000100000" w:firstRow="0" w:lastRow="0" w:firstColumn="0" w:lastColumn="0" w:oddVBand="0" w:evenVBand="0" w:oddHBand="1" w:evenHBand="0" w:firstRowFirstColumn="0" w:firstRowLastColumn="0" w:lastRowFirstColumn="0" w:lastRowLastColumn="0"/>
        </w:trPr>
        <w:tc>
          <w:tcPr>
            <w:tcW w:w="1249" w:type="pct"/>
          </w:tcPr>
          <w:p w14:paraId="531BC494" w14:textId="7D0F8035" w:rsidR="00EA4B26" w:rsidRPr="007F63EF" w:rsidRDefault="00EA4B26" w:rsidP="00EA4B26">
            <w:pPr>
              <w:rPr>
                <w:color w:val="auto"/>
              </w:rPr>
            </w:pPr>
            <w:r w:rsidRPr="000C5186">
              <w:rPr>
                <w:rFonts w:cstheme="minorHAnsi"/>
                <w:sz w:val="20"/>
                <w:szCs w:val="20"/>
              </w:rPr>
              <w:t>Bhutan </w:t>
            </w:r>
          </w:p>
        </w:tc>
        <w:tc>
          <w:tcPr>
            <w:tcW w:w="1246" w:type="pct"/>
            <w:shd w:val="clear" w:color="auto" w:fill="3FB84E" w:themeFill="accent3"/>
          </w:tcPr>
          <w:p w14:paraId="6B513BAD" w14:textId="3036E6BC" w:rsidR="00EA4B26" w:rsidRPr="007F63EF" w:rsidRDefault="00EA4B26" w:rsidP="00EA4B26">
            <w:pPr>
              <w:rPr>
                <w:color w:val="auto"/>
              </w:rPr>
            </w:pPr>
            <w:r w:rsidRPr="000C5186">
              <w:rPr>
                <w:rFonts w:cstheme="minorHAnsi"/>
                <w:sz w:val="20"/>
                <w:szCs w:val="20"/>
              </w:rPr>
              <w:t>2018-22 </w:t>
            </w:r>
          </w:p>
        </w:tc>
        <w:tc>
          <w:tcPr>
            <w:tcW w:w="1252" w:type="pct"/>
            <w:shd w:val="clear" w:color="auto" w:fill="3FB84E" w:themeFill="accent3"/>
          </w:tcPr>
          <w:p w14:paraId="266B5ADA" w14:textId="0B478597" w:rsidR="00EA4B26" w:rsidRPr="007F63EF" w:rsidRDefault="00EA4B26" w:rsidP="00EA4B26">
            <w:pPr>
              <w:rPr>
                <w:color w:val="auto"/>
              </w:rPr>
            </w:pPr>
            <w:r w:rsidRPr="000C5186">
              <w:rPr>
                <w:rFonts w:cstheme="minorHAnsi"/>
                <w:sz w:val="20"/>
                <w:szCs w:val="20"/>
              </w:rPr>
              <w:t> </w:t>
            </w:r>
          </w:p>
        </w:tc>
        <w:tc>
          <w:tcPr>
            <w:tcW w:w="1253" w:type="pct"/>
            <w:shd w:val="clear" w:color="auto" w:fill="3FB84E" w:themeFill="accent3"/>
          </w:tcPr>
          <w:p w14:paraId="7F893289" w14:textId="1A54CD52" w:rsidR="00EA4B26" w:rsidRPr="007F63EF" w:rsidRDefault="00EA4B26" w:rsidP="00EA4B26">
            <w:pPr>
              <w:rPr>
                <w:color w:val="auto"/>
              </w:rPr>
            </w:pPr>
            <w:r w:rsidRPr="000C5186">
              <w:rPr>
                <w:rFonts w:cstheme="minorHAnsi"/>
                <w:sz w:val="20"/>
                <w:szCs w:val="20"/>
              </w:rPr>
              <w:t> </w:t>
            </w:r>
          </w:p>
        </w:tc>
      </w:tr>
      <w:tr w:rsidR="000C5186" w:rsidRPr="000C5186" w14:paraId="15025D99" w14:textId="77777777" w:rsidTr="00BB4743">
        <w:trPr>
          <w:cnfStyle w:val="000000010000" w:firstRow="0" w:lastRow="0" w:firstColumn="0" w:lastColumn="0" w:oddVBand="0" w:evenVBand="0" w:oddHBand="0" w:evenHBand="1" w:firstRowFirstColumn="0" w:firstRowLastColumn="0" w:lastRowFirstColumn="0" w:lastRowLastColumn="0"/>
        </w:trPr>
        <w:tc>
          <w:tcPr>
            <w:tcW w:w="1249" w:type="pct"/>
          </w:tcPr>
          <w:p w14:paraId="2A6896A7" w14:textId="29C1E636" w:rsidR="00EA4B26" w:rsidRPr="007F63EF" w:rsidRDefault="00EA4B26" w:rsidP="00EA4B26">
            <w:pPr>
              <w:rPr>
                <w:color w:val="auto"/>
              </w:rPr>
            </w:pPr>
            <w:r w:rsidRPr="000C5186">
              <w:rPr>
                <w:rFonts w:cstheme="minorHAnsi"/>
                <w:sz w:val="20"/>
                <w:szCs w:val="20"/>
              </w:rPr>
              <w:t>Indonesia</w:t>
            </w:r>
            <w:r w:rsidR="007458AC" w:rsidRPr="000C5186">
              <w:rPr>
                <w:rFonts w:cstheme="minorHAnsi"/>
                <w:sz w:val="20"/>
                <w:szCs w:val="20"/>
              </w:rPr>
              <w:t xml:space="preserve"> </w:t>
            </w:r>
          </w:p>
        </w:tc>
        <w:tc>
          <w:tcPr>
            <w:tcW w:w="1246" w:type="pct"/>
            <w:shd w:val="clear" w:color="auto" w:fill="FFC000"/>
          </w:tcPr>
          <w:p w14:paraId="09684A5B" w14:textId="0EA96862" w:rsidR="00EA4B26" w:rsidRPr="007F63EF" w:rsidRDefault="00EA4B26" w:rsidP="00EA4B26">
            <w:pPr>
              <w:rPr>
                <w:color w:val="auto"/>
              </w:rPr>
            </w:pPr>
            <w:r w:rsidRPr="000C5186">
              <w:rPr>
                <w:rFonts w:cstheme="minorHAnsi"/>
                <w:sz w:val="20"/>
                <w:szCs w:val="20"/>
              </w:rPr>
              <w:t>2020-2024</w:t>
            </w:r>
            <w:r w:rsidR="007458AC" w:rsidRPr="000C5186">
              <w:rPr>
                <w:rFonts w:cstheme="minorHAnsi"/>
                <w:sz w:val="20"/>
                <w:szCs w:val="20"/>
              </w:rPr>
              <w:t xml:space="preserve"> </w:t>
            </w:r>
          </w:p>
        </w:tc>
        <w:tc>
          <w:tcPr>
            <w:tcW w:w="1252" w:type="pct"/>
            <w:shd w:val="clear" w:color="auto" w:fill="FFC000"/>
          </w:tcPr>
          <w:p w14:paraId="00F935B1" w14:textId="47313689" w:rsidR="00EA4B26" w:rsidRPr="007F63EF" w:rsidRDefault="00EA4B26" w:rsidP="00EA4B26">
            <w:pPr>
              <w:rPr>
                <w:color w:val="auto"/>
              </w:rPr>
            </w:pPr>
            <w:r w:rsidRPr="000C5186">
              <w:rPr>
                <w:rFonts w:cstheme="minorHAnsi"/>
                <w:sz w:val="20"/>
                <w:szCs w:val="20"/>
              </w:rPr>
              <w:t> </w:t>
            </w:r>
          </w:p>
        </w:tc>
        <w:tc>
          <w:tcPr>
            <w:tcW w:w="1253" w:type="pct"/>
            <w:shd w:val="clear" w:color="auto" w:fill="FF0000"/>
          </w:tcPr>
          <w:p w14:paraId="738D765A" w14:textId="707C2636" w:rsidR="00EA4B26" w:rsidRPr="007F63EF" w:rsidRDefault="00EA4B26" w:rsidP="00EA4B26">
            <w:pPr>
              <w:rPr>
                <w:color w:val="auto"/>
              </w:rPr>
            </w:pPr>
            <w:r w:rsidRPr="000C5186">
              <w:rPr>
                <w:rFonts w:cstheme="minorHAnsi"/>
                <w:sz w:val="20"/>
                <w:szCs w:val="20"/>
              </w:rPr>
              <w:t> </w:t>
            </w:r>
          </w:p>
        </w:tc>
      </w:tr>
      <w:tr w:rsidR="000C5186" w:rsidRPr="000C5186" w14:paraId="6B62D2C2" w14:textId="77777777" w:rsidTr="00BB4743">
        <w:trPr>
          <w:cnfStyle w:val="000000100000" w:firstRow="0" w:lastRow="0" w:firstColumn="0" w:lastColumn="0" w:oddVBand="0" w:evenVBand="0" w:oddHBand="1" w:evenHBand="0" w:firstRowFirstColumn="0" w:firstRowLastColumn="0" w:lastRowFirstColumn="0" w:lastRowLastColumn="0"/>
        </w:trPr>
        <w:tc>
          <w:tcPr>
            <w:tcW w:w="1249" w:type="pct"/>
          </w:tcPr>
          <w:p w14:paraId="16CD8230" w14:textId="6371C185" w:rsidR="00EA4B26" w:rsidRPr="007F63EF" w:rsidRDefault="00EA4B26" w:rsidP="00EA4B26">
            <w:pPr>
              <w:rPr>
                <w:color w:val="auto"/>
              </w:rPr>
            </w:pPr>
            <w:r w:rsidRPr="000C5186">
              <w:rPr>
                <w:rFonts w:cstheme="minorHAnsi"/>
                <w:sz w:val="20"/>
                <w:szCs w:val="20"/>
              </w:rPr>
              <w:t>Nepal </w:t>
            </w:r>
          </w:p>
        </w:tc>
        <w:tc>
          <w:tcPr>
            <w:tcW w:w="1246" w:type="pct"/>
            <w:shd w:val="clear" w:color="auto" w:fill="FFC000"/>
          </w:tcPr>
          <w:p w14:paraId="6508297A" w14:textId="63F19042" w:rsidR="00EA4B26" w:rsidRPr="007F63EF" w:rsidRDefault="00EA4B26" w:rsidP="00EA4B26">
            <w:pPr>
              <w:rPr>
                <w:color w:val="auto"/>
              </w:rPr>
            </w:pPr>
            <w:r w:rsidRPr="000C5186">
              <w:rPr>
                <w:rFonts w:cstheme="minorHAnsi"/>
                <w:sz w:val="20"/>
                <w:szCs w:val="20"/>
              </w:rPr>
              <w:t>2020-25 </w:t>
            </w:r>
          </w:p>
        </w:tc>
        <w:tc>
          <w:tcPr>
            <w:tcW w:w="1252" w:type="pct"/>
            <w:shd w:val="clear" w:color="auto" w:fill="FF0000"/>
          </w:tcPr>
          <w:p w14:paraId="052C1673" w14:textId="17BAFFF2" w:rsidR="00EA4B26" w:rsidRPr="007F63EF" w:rsidRDefault="00EA4B26" w:rsidP="00EA4B26">
            <w:pPr>
              <w:rPr>
                <w:color w:val="auto"/>
              </w:rPr>
            </w:pPr>
            <w:r w:rsidRPr="000C5186">
              <w:rPr>
                <w:rFonts w:cstheme="minorHAnsi"/>
                <w:sz w:val="20"/>
                <w:szCs w:val="20"/>
              </w:rPr>
              <w:t> </w:t>
            </w:r>
          </w:p>
        </w:tc>
        <w:tc>
          <w:tcPr>
            <w:tcW w:w="1253" w:type="pct"/>
            <w:shd w:val="clear" w:color="auto" w:fill="FFC000"/>
          </w:tcPr>
          <w:p w14:paraId="0765E730" w14:textId="3522B7C8" w:rsidR="00EA4B26" w:rsidRPr="007F63EF" w:rsidRDefault="00EA4B26" w:rsidP="00EA4B26">
            <w:pPr>
              <w:rPr>
                <w:color w:val="auto"/>
              </w:rPr>
            </w:pPr>
            <w:r w:rsidRPr="000C5186">
              <w:rPr>
                <w:rFonts w:cstheme="minorHAnsi"/>
                <w:sz w:val="20"/>
                <w:szCs w:val="20"/>
              </w:rPr>
              <w:t> </w:t>
            </w:r>
          </w:p>
        </w:tc>
      </w:tr>
      <w:tr w:rsidR="000C5186" w:rsidRPr="000C5186" w14:paraId="4322C2B6" w14:textId="77777777" w:rsidTr="00BB4743">
        <w:trPr>
          <w:cnfStyle w:val="000000010000" w:firstRow="0" w:lastRow="0" w:firstColumn="0" w:lastColumn="0" w:oddVBand="0" w:evenVBand="0" w:oddHBand="0" w:evenHBand="1" w:firstRowFirstColumn="0" w:firstRowLastColumn="0" w:lastRowFirstColumn="0" w:lastRowLastColumn="0"/>
        </w:trPr>
        <w:tc>
          <w:tcPr>
            <w:tcW w:w="5000" w:type="pct"/>
            <w:gridSpan w:val="4"/>
            <w:shd w:val="clear" w:color="auto" w:fill="DCEAD6" w:themeFill="text2" w:themeFillTint="33"/>
          </w:tcPr>
          <w:p w14:paraId="753D1385" w14:textId="06604730" w:rsidR="00EA4B26" w:rsidRPr="007F63EF" w:rsidRDefault="00EA4B26" w:rsidP="00EA4B26">
            <w:pPr>
              <w:rPr>
                <w:rFonts w:cstheme="minorHAnsi"/>
                <w:b/>
                <w:bCs/>
                <w:color w:val="auto"/>
                <w:sz w:val="20"/>
                <w:szCs w:val="20"/>
              </w:rPr>
            </w:pPr>
            <w:r w:rsidRPr="000C5186">
              <w:rPr>
                <w:rFonts w:cstheme="minorHAnsi"/>
                <w:b/>
                <w:bCs/>
                <w:sz w:val="20"/>
                <w:szCs w:val="20"/>
              </w:rPr>
              <w:t>South East Asia </w:t>
            </w:r>
          </w:p>
        </w:tc>
      </w:tr>
      <w:tr w:rsidR="000C5186" w:rsidRPr="000C5186" w14:paraId="028BB39F" w14:textId="77777777" w:rsidTr="00BB4743">
        <w:trPr>
          <w:cnfStyle w:val="000000100000" w:firstRow="0" w:lastRow="0" w:firstColumn="0" w:lastColumn="0" w:oddVBand="0" w:evenVBand="0" w:oddHBand="1" w:evenHBand="0" w:firstRowFirstColumn="0" w:firstRowLastColumn="0" w:lastRowFirstColumn="0" w:lastRowLastColumn="0"/>
        </w:trPr>
        <w:tc>
          <w:tcPr>
            <w:tcW w:w="1249" w:type="pct"/>
          </w:tcPr>
          <w:p w14:paraId="2794A173" w14:textId="61985165" w:rsidR="00EA4B26" w:rsidRPr="007F63EF" w:rsidRDefault="00EA4B26" w:rsidP="00EA4B26">
            <w:pPr>
              <w:rPr>
                <w:color w:val="auto"/>
              </w:rPr>
            </w:pPr>
            <w:r w:rsidRPr="000C5186">
              <w:rPr>
                <w:rFonts w:cstheme="minorHAnsi"/>
                <w:sz w:val="20"/>
                <w:szCs w:val="20"/>
              </w:rPr>
              <w:t>Laos </w:t>
            </w:r>
          </w:p>
        </w:tc>
        <w:tc>
          <w:tcPr>
            <w:tcW w:w="1246" w:type="pct"/>
            <w:shd w:val="clear" w:color="auto" w:fill="FFC000"/>
          </w:tcPr>
          <w:p w14:paraId="0C0290BF" w14:textId="2B7785A2" w:rsidR="00EA4B26" w:rsidRPr="007F63EF" w:rsidRDefault="00EA4B26" w:rsidP="00EA4B26">
            <w:pPr>
              <w:rPr>
                <w:color w:val="auto"/>
              </w:rPr>
            </w:pPr>
            <w:r w:rsidRPr="000C5186">
              <w:rPr>
                <w:rFonts w:cstheme="minorHAnsi"/>
                <w:sz w:val="20"/>
                <w:szCs w:val="20"/>
              </w:rPr>
              <w:t>2019-23</w:t>
            </w:r>
          </w:p>
        </w:tc>
        <w:tc>
          <w:tcPr>
            <w:tcW w:w="1252" w:type="pct"/>
            <w:shd w:val="clear" w:color="auto" w:fill="FF0000"/>
          </w:tcPr>
          <w:p w14:paraId="5977AC4D" w14:textId="234E5E96" w:rsidR="00EA4B26" w:rsidRPr="007F63EF" w:rsidRDefault="00EA4B26" w:rsidP="00EA4B26">
            <w:pPr>
              <w:rPr>
                <w:color w:val="auto"/>
              </w:rPr>
            </w:pPr>
            <w:r w:rsidRPr="000C5186">
              <w:rPr>
                <w:rFonts w:cstheme="minorHAnsi"/>
                <w:sz w:val="20"/>
                <w:szCs w:val="20"/>
              </w:rPr>
              <w:t> </w:t>
            </w:r>
          </w:p>
        </w:tc>
        <w:tc>
          <w:tcPr>
            <w:tcW w:w="1253" w:type="pct"/>
            <w:shd w:val="clear" w:color="auto" w:fill="FF0000"/>
          </w:tcPr>
          <w:p w14:paraId="5F19F9A9" w14:textId="108F65F4" w:rsidR="00EA4B26" w:rsidRPr="007F63EF" w:rsidRDefault="00EA4B26" w:rsidP="00EA4B26">
            <w:pPr>
              <w:rPr>
                <w:color w:val="auto"/>
              </w:rPr>
            </w:pPr>
            <w:r w:rsidRPr="000C5186">
              <w:rPr>
                <w:rFonts w:cstheme="minorHAnsi"/>
                <w:sz w:val="20"/>
                <w:szCs w:val="20"/>
              </w:rPr>
              <w:t> </w:t>
            </w:r>
          </w:p>
        </w:tc>
      </w:tr>
      <w:tr w:rsidR="000C5186" w:rsidRPr="000C5186" w14:paraId="1FAAD56E" w14:textId="77777777" w:rsidTr="00BB4743">
        <w:trPr>
          <w:cnfStyle w:val="000000010000" w:firstRow="0" w:lastRow="0" w:firstColumn="0" w:lastColumn="0" w:oddVBand="0" w:evenVBand="0" w:oddHBand="0" w:evenHBand="1" w:firstRowFirstColumn="0" w:firstRowLastColumn="0" w:lastRowFirstColumn="0" w:lastRowLastColumn="0"/>
        </w:trPr>
        <w:tc>
          <w:tcPr>
            <w:tcW w:w="1249" w:type="pct"/>
          </w:tcPr>
          <w:p w14:paraId="44768B77" w14:textId="684703BA" w:rsidR="00EA4B26" w:rsidRPr="007F63EF" w:rsidRDefault="00EA4B26" w:rsidP="00EA4B26">
            <w:pPr>
              <w:rPr>
                <w:color w:val="auto"/>
              </w:rPr>
            </w:pPr>
            <w:r w:rsidRPr="000C5186">
              <w:rPr>
                <w:rFonts w:cstheme="minorHAnsi"/>
                <w:sz w:val="20"/>
                <w:szCs w:val="20"/>
              </w:rPr>
              <w:t>Pakistan </w:t>
            </w:r>
          </w:p>
        </w:tc>
        <w:tc>
          <w:tcPr>
            <w:tcW w:w="1246" w:type="pct"/>
            <w:shd w:val="clear" w:color="auto" w:fill="3FB84E" w:themeFill="accent3"/>
          </w:tcPr>
          <w:p w14:paraId="12D1309F" w14:textId="0766D85B" w:rsidR="00EA4B26" w:rsidRPr="007F63EF" w:rsidRDefault="00EA4B26" w:rsidP="00EA4B26">
            <w:pPr>
              <w:rPr>
                <w:color w:val="auto"/>
              </w:rPr>
            </w:pPr>
            <w:r w:rsidRPr="000C5186">
              <w:rPr>
                <w:rFonts w:cstheme="minorHAnsi"/>
                <w:sz w:val="20"/>
                <w:szCs w:val="20"/>
              </w:rPr>
              <w:t>2017-22 </w:t>
            </w:r>
          </w:p>
        </w:tc>
        <w:tc>
          <w:tcPr>
            <w:tcW w:w="1252" w:type="pct"/>
            <w:shd w:val="clear" w:color="auto" w:fill="3FB84E" w:themeFill="accent3"/>
          </w:tcPr>
          <w:p w14:paraId="7E430CD0" w14:textId="0F86D01C" w:rsidR="00EA4B26" w:rsidRPr="007F63EF" w:rsidRDefault="00EA4B26" w:rsidP="00EA4B26">
            <w:pPr>
              <w:rPr>
                <w:color w:val="auto"/>
              </w:rPr>
            </w:pPr>
            <w:r w:rsidRPr="000C5186">
              <w:rPr>
                <w:rFonts w:cstheme="minorHAnsi"/>
                <w:sz w:val="20"/>
                <w:szCs w:val="20"/>
              </w:rPr>
              <w:t> </w:t>
            </w:r>
          </w:p>
        </w:tc>
        <w:tc>
          <w:tcPr>
            <w:tcW w:w="1253" w:type="pct"/>
            <w:shd w:val="clear" w:color="auto" w:fill="3FB84E" w:themeFill="accent3"/>
          </w:tcPr>
          <w:p w14:paraId="6D4F8B95" w14:textId="41EA8CBA" w:rsidR="00EA4B26" w:rsidRPr="007F63EF" w:rsidRDefault="00EA4B26" w:rsidP="00EA4B26">
            <w:pPr>
              <w:rPr>
                <w:color w:val="auto"/>
              </w:rPr>
            </w:pPr>
            <w:r w:rsidRPr="000C5186">
              <w:rPr>
                <w:rFonts w:cstheme="minorHAnsi"/>
                <w:sz w:val="20"/>
                <w:szCs w:val="20"/>
              </w:rPr>
              <w:t> </w:t>
            </w:r>
          </w:p>
        </w:tc>
      </w:tr>
      <w:tr w:rsidR="000C5186" w:rsidRPr="000C5186" w14:paraId="28D7033A" w14:textId="77777777" w:rsidTr="00BB4743">
        <w:trPr>
          <w:cnfStyle w:val="000000100000" w:firstRow="0" w:lastRow="0" w:firstColumn="0" w:lastColumn="0" w:oddVBand="0" w:evenVBand="0" w:oddHBand="1" w:evenHBand="0" w:firstRowFirstColumn="0" w:firstRowLastColumn="0" w:lastRowFirstColumn="0" w:lastRowLastColumn="0"/>
        </w:trPr>
        <w:tc>
          <w:tcPr>
            <w:tcW w:w="1249" w:type="pct"/>
          </w:tcPr>
          <w:p w14:paraId="77CAB200" w14:textId="14162503" w:rsidR="00EA4B26" w:rsidRPr="007F63EF" w:rsidRDefault="00EA4B26" w:rsidP="00EA4B26">
            <w:pPr>
              <w:rPr>
                <w:color w:val="auto"/>
              </w:rPr>
            </w:pPr>
            <w:r w:rsidRPr="000C5186">
              <w:rPr>
                <w:rFonts w:cstheme="minorHAnsi"/>
                <w:sz w:val="20"/>
                <w:szCs w:val="20"/>
              </w:rPr>
              <w:t>Timor-Leste</w:t>
            </w:r>
            <w:r w:rsidR="007458AC" w:rsidRPr="000C5186">
              <w:rPr>
                <w:rFonts w:cstheme="minorHAnsi"/>
                <w:sz w:val="20"/>
                <w:szCs w:val="20"/>
              </w:rPr>
              <w:t xml:space="preserve"> </w:t>
            </w:r>
          </w:p>
        </w:tc>
        <w:tc>
          <w:tcPr>
            <w:tcW w:w="1246" w:type="pct"/>
            <w:shd w:val="clear" w:color="auto" w:fill="3FB84E" w:themeFill="accent3"/>
          </w:tcPr>
          <w:p w14:paraId="361BB06C" w14:textId="6157E088" w:rsidR="00EA4B26" w:rsidRPr="007F63EF" w:rsidRDefault="00EA4B26" w:rsidP="00EA4B26">
            <w:pPr>
              <w:rPr>
                <w:color w:val="auto"/>
              </w:rPr>
            </w:pPr>
            <w:r w:rsidRPr="000C5186">
              <w:rPr>
                <w:rFonts w:cstheme="minorHAnsi"/>
                <w:sz w:val="20"/>
                <w:szCs w:val="20"/>
              </w:rPr>
              <w:t>2017-20 </w:t>
            </w:r>
          </w:p>
        </w:tc>
        <w:tc>
          <w:tcPr>
            <w:tcW w:w="1252" w:type="pct"/>
            <w:shd w:val="clear" w:color="auto" w:fill="FF0000"/>
          </w:tcPr>
          <w:p w14:paraId="5F4BF3FA" w14:textId="034DB64C" w:rsidR="00EA4B26" w:rsidRPr="007F63EF" w:rsidRDefault="00EA4B26" w:rsidP="00EA4B26">
            <w:pPr>
              <w:rPr>
                <w:color w:val="auto"/>
              </w:rPr>
            </w:pPr>
            <w:r w:rsidRPr="000C5186">
              <w:rPr>
                <w:rFonts w:cstheme="minorHAnsi"/>
                <w:sz w:val="20"/>
                <w:szCs w:val="20"/>
              </w:rPr>
              <w:t> </w:t>
            </w:r>
          </w:p>
        </w:tc>
        <w:tc>
          <w:tcPr>
            <w:tcW w:w="1253" w:type="pct"/>
            <w:shd w:val="clear" w:color="auto" w:fill="FF0000"/>
          </w:tcPr>
          <w:p w14:paraId="7FDBA85D" w14:textId="575742DF" w:rsidR="00EA4B26" w:rsidRPr="007F63EF" w:rsidRDefault="00EA4B26" w:rsidP="00EA4B26">
            <w:pPr>
              <w:rPr>
                <w:color w:val="auto"/>
              </w:rPr>
            </w:pPr>
            <w:r w:rsidRPr="000C5186">
              <w:rPr>
                <w:rFonts w:cstheme="minorHAnsi"/>
                <w:sz w:val="20"/>
                <w:szCs w:val="20"/>
              </w:rPr>
              <w:t> </w:t>
            </w:r>
          </w:p>
        </w:tc>
      </w:tr>
      <w:tr w:rsidR="000C5186" w:rsidRPr="000C5186" w14:paraId="47FF6190" w14:textId="77777777" w:rsidTr="00BB4743">
        <w:trPr>
          <w:cnfStyle w:val="000000010000" w:firstRow="0" w:lastRow="0" w:firstColumn="0" w:lastColumn="0" w:oddVBand="0" w:evenVBand="0" w:oddHBand="0" w:evenHBand="1" w:firstRowFirstColumn="0" w:firstRowLastColumn="0" w:lastRowFirstColumn="0" w:lastRowLastColumn="0"/>
        </w:trPr>
        <w:tc>
          <w:tcPr>
            <w:tcW w:w="1249" w:type="pct"/>
          </w:tcPr>
          <w:p w14:paraId="5BA3A342" w14:textId="49AD46DF" w:rsidR="00EA4B26" w:rsidRPr="007F63EF" w:rsidRDefault="00EA4B26" w:rsidP="00EA4B26">
            <w:pPr>
              <w:rPr>
                <w:color w:val="auto"/>
              </w:rPr>
            </w:pPr>
            <w:r w:rsidRPr="000C5186">
              <w:rPr>
                <w:rFonts w:cstheme="minorHAnsi"/>
                <w:sz w:val="20"/>
                <w:szCs w:val="20"/>
              </w:rPr>
              <w:t>Vietnam </w:t>
            </w:r>
          </w:p>
        </w:tc>
        <w:tc>
          <w:tcPr>
            <w:tcW w:w="1246" w:type="pct"/>
            <w:shd w:val="clear" w:color="auto" w:fill="3FB84E" w:themeFill="accent3"/>
          </w:tcPr>
          <w:p w14:paraId="7449276F" w14:textId="77777777" w:rsidR="008B3EAA" w:rsidRPr="007F63EF" w:rsidRDefault="00EA4B26" w:rsidP="00EA4B26">
            <w:pPr>
              <w:rPr>
                <w:rFonts w:cstheme="minorHAnsi"/>
                <w:color w:val="auto"/>
                <w:sz w:val="20"/>
                <w:szCs w:val="20"/>
              </w:rPr>
            </w:pPr>
            <w:r w:rsidRPr="000C5186">
              <w:rPr>
                <w:rFonts w:cstheme="minorHAnsi"/>
                <w:sz w:val="20"/>
                <w:szCs w:val="20"/>
              </w:rPr>
              <w:t xml:space="preserve">2013-20 (HH) </w:t>
            </w:r>
          </w:p>
          <w:p w14:paraId="2FBAF6FD" w14:textId="2C37D091" w:rsidR="00EA4B26" w:rsidRPr="007F63EF" w:rsidRDefault="00EA4B26" w:rsidP="00EA4B26">
            <w:pPr>
              <w:rPr>
                <w:color w:val="auto"/>
              </w:rPr>
            </w:pPr>
            <w:r w:rsidRPr="000C5186">
              <w:rPr>
                <w:rFonts w:cstheme="minorHAnsi"/>
                <w:sz w:val="20"/>
                <w:szCs w:val="20"/>
              </w:rPr>
              <w:t>2017-20 (AH) </w:t>
            </w:r>
          </w:p>
        </w:tc>
        <w:tc>
          <w:tcPr>
            <w:tcW w:w="1252" w:type="pct"/>
            <w:shd w:val="clear" w:color="auto" w:fill="FF0000"/>
          </w:tcPr>
          <w:p w14:paraId="32A223D9" w14:textId="57C892A2" w:rsidR="00EA4B26" w:rsidRPr="007F63EF" w:rsidRDefault="00EA4B26" w:rsidP="00EA4B26">
            <w:pPr>
              <w:rPr>
                <w:color w:val="auto"/>
              </w:rPr>
            </w:pPr>
            <w:r w:rsidRPr="000C5186">
              <w:rPr>
                <w:rFonts w:cstheme="minorHAnsi"/>
                <w:sz w:val="20"/>
                <w:szCs w:val="20"/>
              </w:rPr>
              <w:t> </w:t>
            </w:r>
          </w:p>
        </w:tc>
        <w:tc>
          <w:tcPr>
            <w:tcW w:w="1253" w:type="pct"/>
            <w:shd w:val="clear" w:color="auto" w:fill="3FB84E" w:themeFill="accent3"/>
          </w:tcPr>
          <w:p w14:paraId="114610CE" w14:textId="44AE47FD" w:rsidR="00EA4B26" w:rsidRPr="007F63EF" w:rsidRDefault="00EA4B26" w:rsidP="00EA4B26">
            <w:pPr>
              <w:rPr>
                <w:color w:val="auto"/>
              </w:rPr>
            </w:pPr>
            <w:r w:rsidRPr="000C5186">
              <w:rPr>
                <w:rFonts w:cstheme="minorHAnsi"/>
                <w:sz w:val="20"/>
                <w:szCs w:val="20"/>
              </w:rPr>
              <w:t> </w:t>
            </w:r>
          </w:p>
        </w:tc>
      </w:tr>
    </w:tbl>
    <w:p w14:paraId="56844773" w14:textId="77777777" w:rsidR="00C67347" w:rsidRDefault="00C67347" w:rsidP="00C67347"/>
    <w:tbl>
      <w:tblPr>
        <w:tblStyle w:val="TableGrid"/>
        <w:tblW w:w="0" w:type="auto"/>
        <w:tblInd w:w="137" w:type="dxa"/>
        <w:tblLook w:val="04A0" w:firstRow="1" w:lastRow="0" w:firstColumn="1" w:lastColumn="0" w:noHBand="0" w:noVBand="1"/>
      </w:tblPr>
      <w:tblGrid>
        <w:gridCol w:w="3402"/>
        <w:gridCol w:w="425"/>
      </w:tblGrid>
      <w:tr w:rsidR="000C5186" w:rsidRPr="000C5186" w14:paraId="4CABF35A" w14:textId="77777777" w:rsidTr="005F5EE2">
        <w:trPr>
          <w:trHeight w:val="243"/>
        </w:trPr>
        <w:tc>
          <w:tcPr>
            <w:tcW w:w="3402" w:type="dxa"/>
          </w:tcPr>
          <w:p w14:paraId="41C793BF" w14:textId="11AC7084" w:rsidR="00545369" w:rsidRPr="007F63EF" w:rsidRDefault="00545369" w:rsidP="00C67347">
            <w:pPr>
              <w:rPr>
                <w:rFonts w:cstheme="minorHAnsi"/>
                <w:sz w:val="20"/>
                <w:szCs w:val="20"/>
              </w:rPr>
            </w:pPr>
            <w:r w:rsidRPr="007F63EF">
              <w:rPr>
                <w:rFonts w:cstheme="minorHAnsi"/>
                <w:sz w:val="20"/>
                <w:szCs w:val="20"/>
              </w:rPr>
              <w:t>Yes</w:t>
            </w:r>
          </w:p>
        </w:tc>
        <w:tc>
          <w:tcPr>
            <w:tcW w:w="425" w:type="dxa"/>
            <w:shd w:val="clear" w:color="auto" w:fill="3FB84E" w:themeFill="accent3"/>
          </w:tcPr>
          <w:p w14:paraId="207BE925" w14:textId="77777777" w:rsidR="00545369" w:rsidRPr="000C5186" w:rsidRDefault="00545369" w:rsidP="00C67347"/>
        </w:tc>
      </w:tr>
      <w:tr w:rsidR="000C5186" w:rsidRPr="000C5186" w14:paraId="25B1D109" w14:textId="77777777" w:rsidTr="00545369">
        <w:trPr>
          <w:trHeight w:val="243"/>
        </w:trPr>
        <w:tc>
          <w:tcPr>
            <w:tcW w:w="3402" w:type="dxa"/>
          </w:tcPr>
          <w:p w14:paraId="7BA3A566" w14:textId="0ED0E393" w:rsidR="00545369" w:rsidRPr="007F63EF" w:rsidRDefault="00545369" w:rsidP="00C67347">
            <w:pPr>
              <w:rPr>
                <w:rFonts w:cstheme="minorHAnsi"/>
                <w:sz w:val="20"/>
                <w:szCs w:val="20"/>
              </w:rPr>
            </w:pPr>
            <w:r w:rsidRPr="007F63EF">
              <w:rPr>
                <w:rFonts w:cstheme="minorHAnsi"/>
                <w:sz w:val="20"/>
                <w:szCs w:val="20"/>
              </w:rPr>
              <w:t>Under-development or applied for</w:t>
            </w:r>
          </w:p>
        </w:tc>
        <w:tc>
          <w:tcPr>
            <w:tcW w:w="425" w:type="dxa"/>
            <w:shd w:val="clear" w:color="auto" w:fill="FFC000"/>
          </w:tcPr>
          <w:p w14:paraId="500D34DD" w14:textId="77777777" w:rsidR="00545369" w:rsidRPr="000C5186" w:rsidRDefault="00545369" w:rsidP="00C67347"/>
        </w:tc>
      </w:tr>
      <w:tr w:rsidR="000C5186" w:rsidRPr="000C5186" w14:paraId="0CE12A38" w14:textId="77777777" w:rsidTr="00545369">
        <w:trPr>
          <w:trHeight w:val="243"/>
        </w:trPr>
        <w:tc>
          <w:tcPr>
            <w:tcW w:w="3402" w:type="dxa"/>
          </w:tcPr>
          <w:p w14:paraId="31AD1C70" w14:textId="587F4E30" w:rsidR="00545369" w:rsidRPr="007F63EF" w:rsidRDefault="00545369" w:rsidP="00C67347">
            <w:pPr>
              <w:rPr>
                <w:rFonts w:cstheme="minorHAnsi"/>
                <w:sz w:val="20"/>
                <w:szCs w:val="20"/>
              </w:rPr>
            </w:pPr>
            <w:r w:rsidRPr="007F63EF">
              <w:rPr>
                <w:rFonts w:cstheme="minorHAnsi"/>
                <w:sz w:val="20"/>
                <w:szCs w:val="20"/>
              </w:rPr>
              <w:t>No</w:t>
            </w:r>
          </w:p>
        </w:tc>
        <w:tc>
          <w:tcPr>
            <w:tcW w:w="425" w:type="dxa"/>
            <w:shd w:val="clear" w:color="auto" w:fill="FF0000"/>
          </w:tcPr>
          <w:p w14:paraId="5928CA2E" w14:textId="77777777" w:rsidR="00545369" w:rsidRPr="000C5186" w:rsidRDefault="00545369" w:rsidP="00C67347"/>
        </w:tc>
      </w:tr>
    </w:tbl>
    <w:p w14:paraId="01A3220C" w14:textId="17A4B1A3" w:rsidR="000B0469" w:rsidRPr="0060760F" w:rsidRDefault="000B0469" w:rsidP="00AA1983">
      <w:pPr>
        <w:pStyle w:val="ItadNormalText"/>
      </w:pPr>
    </w:p>
    <w:p w14:paraId="205762B3" w14:textId="2E9F9F13" w:rsidR="000E6251" w:rsidRDefault="000E6251" w:rsidP="00C04C3C">
      <w:pPr>
        <w:pStyle w:val="ItadCaption"/>
      </w:pPr>
      <w:bookmarkStart w:id="212" w:name="_Toc143857894"/>
      <w:r>
        <w:t xml:space="preserve">Table </w:t>
      </w:r>
      <w:r>
        <w:fldChar w:fldCharType="begin"/>
      </w:r>
      <w:r>
        <w:instrText>SEQ Table \* ARABIC</w:instrText>
      </w:r>
      <w:r>
        <w:fldChar w:fldCharType="separate"/>
      </w:r>
      <w:r w:rsidR="009A383C">
        <w:rPr>
          <w:noProof/>
        </w:rPr>
        <w:t>26</w:t>
      </w:r>
      <w:r>
        <w:fldChar w:fldCharType="end"/>
      </w:r>
      <w:r>
        <w:t xml:space="preserve"> </w:t>
      </w:r>
      <w:r w:rsidRPr="00710A95">
        <w:t>Availability of AMR data</w:t>
      </w:r>
      <w:r>
        <w:t xml:space="preserve"> in 2018</w:t>
      </w:r>
      <w:bookmarkEnd w:id="212"/>
    </w:p>
    <w:tbl>
      <w:tblPr>
        <w:tblStyle w:val="Itadalternaterows"/>
        <w:tblW w:w="5081" w:type="pct"/>
        <w:tblLook w:val="0420" w:firstRow="1" w:lastRow="0" w:firstColumn="0" w:lastColumn="0" w:noHBand="0" w:noVBand="1"/>
      </w:tblPr>
      <w:tblGrid>
        <w:gridCol w:w="1057"/>
        <w:gridCol w:w="710"/>
        <w:gridCol w:w="710"/>
        <w:gridCol w:w="1088"/>
        <w:gridCol w:w="2385"/>
        <w:gridCol w:w="3212"/>
      </w:tblGrid>
      <w:tr w:rsidR="003A78B7" w:rsidRPr="0014297B" w14:paraId="7DB79367" w14:textId="77777777" w:rsidTr="000967FC">
        <w:trPr>
          <w:cnfStyle w:val="100000000000" w:firstRow="1" w:lastRow="0" w:firstColumn="0" w:lastColumn="0" w:oddVBand="0" w:evenVBand="0" w:oddHBand="0" w:evenHBand="0" w:firstRowFirstColumn="0" w:firstRowLastColumn="0" w:lastRowFirstColumn="0" w:lastRowLastColumn="0"/>
          <w:trHeight w:val="20"/>
          <w:tblHeader/>
        </w:trPr>
        <w:tc>
          <w:tcPr>
            <w:tcW w:w="0" w:type="pct"/>
            <w:hideMark/>
          </w:tcPr>
          <w:p w14:paraId="5B1F94D4" w14:textId="77777777" w:rsidR="00CB2C9B" w:rsidRPr="0014297B" w:rsidRDefault="00CB2C9B" w:rsidP="008C1BFD">
            <w:pPr>
              <w:rPr>
                <w:rFonts w:ascii="Arial" w:eastAsia="Times New Roman" w:hAnsi="Arial"/>
                <w:sz w:val="36"/>
                <w:szCs w:val="36"/>
                <w:lang w:eastAsia="en-GB"/>
              </w:rPr>
            </w:pPr>
            <w:r w:rsidRPr="00BB4743">
              <w:rPr>
                <w:rFonts w:eastAsia="Times New Roman" w:cs="Calibri"/>
                <w:b/>
                <w:bCs/>
                <w:color w:val="auto"/>
                <w:kern w:val="24"/>
                <w:sz w:val="18"/>
                <w:szCs w:val="18"/>
                <w:lang w:eastAsia="en-GB"/>
              </w:rPr>
              <w:t>Country</w:t>
            </w:r>
          </w:p>
        </w:tc>
        <w:tc>
          <w:tcPr>
            <w:tcW w:w="0" w:type="pct"/>
            <w:hideMark/>
          </w:tcPr>
          <w:p w14:paraId="659D63D4" w14:textId="22282EAE" w:rsidR="00CB2C9B" w:rsidRPr="00A10C26" w:rsidRDefault="00CB2C9B" w:rsidP="008C1BFD">
            <w:pPr>
              <w:rPr>
                <w:rFonts w:ascii="Arial" w:eastAsia="Times New Roman" w:hAnsi="Arial"/>
                <w:sz w:val="36"/>
                <w:szCs w:val="36"/>
                <w:lang w:eastAsia="en-GB"/>
              </w:rPr>
            </w:pPr>
            <w:r w:rsidRPr="00A10C26">
              <w:rPr>
                <w:rFonts w:eastAsia="Times New Roman" w:cs="Calibri"/>
                <w:b/>
                <w:color w:val="auto"/>
                <w:kern w:val="24"/>
                <w:sz w:val="18"/>
                <w:szCs w:val="18"/>
                <w:lang w:eastAsia="en-GB"/>
              </w:rPr>
              <w:t>HH AMR surv</w:t>
            </w:r>
            <w:r w:rsidR="006B2D8B" w:rsidRPr="00A10C26">
              <w:rPr>
                <w:rFonts w:eastAsia="Times New Roman" w:cs="Calibri"/>
                <w:b/>
                <w:color w:val="auto"/>
                <w:kern w:val="24"/>
                <w:sz w:val="18"/>
                <w:szCs w:val="18"/>
                <w:lang w:eastAsia="en-GB"/>
              </w:rPr>
              <w:t>ey</w:t>
            </w:r>
            <w:r w:rsidRPr="00A10C26">
              <w:rPr>
                <w:rFonts w:eastAsia="Times New Roman" w:cs="Calibri"/>
                <w:b/>
                <w:color w:val="auto"/>
                <w:kern w:val="24"/>
                <w:sz w:val="18"/>
                <w:szCs w:val="18"/>
                <w:lang w:eastAsia="en-GB"/>
              </w:rPr>
              <w:t xml:space="preserve"> data (Itad)</w:t>
            </w:r>
          </w:p>
        </w:tc>
        <w:tc>
          <w:tcPr>
            <w:tcW w:w="0" w:type="pct"/>
            <w:hideMark/>
          </w:tcPr>
          <w:p w14:paraId="620B9B8C" w14:textId="7B8DD9B8" w:rsidR="00CB2C9B" w:rsidRPr="00A10C26" w:rsidRDefault="00CB2C9B" w:rsidP="008C1BFD">
            <w:pPr>
              <w:rPr>
                <w:rFonts w:ascii="Arial" w:eastAsia="Times New Roman" w:hAnsi="Arial"/>
                <w:sz w:val="36"/>
                <w:szCs w:val="36"/>
                <w:lang w:eastAsia="en-GB"/>
              </w:rPr>
            </w:pPr>
            <w:r w:rsidRPr="00A10C26">
              <w:rPr>
                <w:rFonts w:eastAsia="Times New Roman" w:cs="Calibri"/>
                <w:b/>
                <w:color w:val="auto"/>
                <w:kern w:val="24"/>
                <w:sz w:val="18"/>
                <w:szCs w:val="18"/>
                <w:lang w:eastAsia="en-GB"/>
              </w:rPr>
              <w:t>AH AMR surv</w:t>
            </w:r>
            <w:r w:rsidR="006B2D8B" w:rsidRPr="00A10C26">
              <w:rPr>
                <w:rFonts w:eastAsia="Times New Roman" w:cs="Calibri"/>
                <w:b/>
                <w:color w:val="auto"/>
                <w:kern w:val="24"/>
                <w:sz w:val="18"/>
                <w:szCs w:val="18"/>
                <w:lang w:eastAsia="en-GB"/>
              </w:rPr>
              <w:t>ey</w:t>
            </w:r>
            <w:r w:rsidRPr="00A10C26">
              <w:rPr>
                <w:rFonts w:eastAsia="Times New Roman" w:cs="Calibri"/>
                <w:b/>
                <w:color w:val="auto"/>
                <w:kern w:val="24"/>
                <w:sz w:val="18"/>
                <w:szCs w:val="18"/>
                <w:lang w:eastAsia="en-GB"/>
              </w:rPr>
              <w:t xml:space="preserve"> data (Itad)</w:t>
            </w:r>
          </w:p>
        </w:tc>
        <w:tc>
          <w:tcPr>
            <w:tcW w:w="0" w:type="pct"/>
            <w:hideMark/>
          </w:tcPr>
          <w:p w14:paraId="725B3A66" w14:textId="152A050D" w:rsidR="00CB2C9B" w:rsidRPr="0014297B" w:rsidRDefault="00CD42A7" w:rsidP="008C1BFD">
            <w:pPr>
              <w:rPr>
                <w:rFonts w:ascii="Arial" w:eastAsia="Times New Roman" w:hAnsi="Arial"/>
                <w:sz w:val="36"/>
                <w:szCs w:val="36"/>
                <w:lang w:eastAsia="en-GB"/>
              </w:rPr>
            </w:pPr>
            <w:r w:rsidRPr="00BB4743">
              <w:rPr>
                <w:rFonts w:eastAsia="Times New Roman" w:cs="Calibri"/>
                <w:b/>
                <w:bCs/>
                <w:color w:val="auto"/>
                <w:kern w:val="24"/>
                <w:sz w:val="18"/>
                <w:szCs w:val="18"/>
                <w:lang w:eastAsia="en-GB"/>
              </w:rPr>
              <w:t>Global Antibiotic Resistance Partnership (</w:t>
            </w:r>
            <w:r w:rsidR="00CB2C9B" w:rsidRPr="00BB4743">
              <w:rPr>
                <w:rFonts w:eastAsia="Times New Roman" w:cs="Calibri"/>
                <w:b/>
                <w:bCs/>
                <w:color w:val="auto"/>
                <w:kern w:val="24"/>
                <w:sz w:val="18"/>
                <w:szCs w:val="18"/>
                <w:lang w:eastAsia="en-GB"/>
              </w:rPr>
              <w:t>GARP</w:t>
            </w:r>
            <w:r w:rsidRPr="00BB4743">
              <w:rPr>
                <w:rFonts w:eastAsia="Times New Roman" w:cs="Calibri"/>
                <w:b/>
                <w:bCs/>
                <w:color w:val="auto"/>
                <w:kern w:val="24"/>
                <w:sz w:val="18"/>
                <w:szCs w:val="18"/>
                <w:lang w:eastAsia="en-GB"/>
              </w:rPr>
              <w:t>)</w:t>
            </w:r>
          </w:p>
        </w:tc>
        <w:tc>
          <w:tcPr>
            <w:tcW w:w="0" w:type="pct"/>
            <w:hideMark/>
          </w:tcPr>
          <w:p w14:paraId="30DC5484" w14:textId="77777777" w:rsidR="00CB2C9B" w:rsidRPr="0014297B" w:rsidRDefault="00CB2C9B" w:rsidP="008C1BFD">
            <w:pPr>
              <w:rPr>
                <w:rFonts w:ascii="Arial" w:eastAsia="Times New Roman" w:hAnsi="Arial"/>
                <w:sz w:val="36"/>
                <w:szCs w:val="36"/>
                <w:lang w:eastAsia="en-GB"/>
              </w:rPr>
            </w:pPr>
            <w:r w:rsidRPr="00BB4743">
              <w:rPr>
                <w:rFonts w:eastAsia="Times New Roman" w:cs="Calibri"/>
                <w:b/>
                <w:bCs/>
                <w:color w:val="auto"/>
                <w:kern w:val="24"/>
                <w:sz w:val="18"/>
                <w:szCs w:val="18"/>
                <w:lang w:eastAsia="en-GB"/>
              </w:rPr>
              <w:t>CAPTURA/ MAAP</w:t>
            </w:r>
          </w:p>
        </w:tc>
        <w:tc>
          <w:tcPr>
            <w:tcW w:w="0" w:type="pct"/>
            <w:hideMark/>
          </w:tcPr>
          <w:p w14:paraId="0FA3105E" w14:textId="77777777" w:rsidR="00CB2C9B" w:rsidRPr="0014297B" w:rsidRDefault="00CB2C9B" w:rsidP="008C1BFD">
            <w:pPr>
              <w:rPr>
                <w:rFonts w:ascii="Arial" w:eastAsia="Times New Roman" w:hAnsi="Arial"/>
                <w:sz w:val="36"/>
                <w:szCs w:val="36"/>
                <w:lang w:eastAsia="en-GB"/>
              </w:rPr>
            </w:pPr>
            <w:r w:rsidRPr="00BB4743">
              <w:rPr>
                <w:rFonts w:eastAsia="Times New Roman" w:cs="Calibri"/>
                <w:b/>
                <w:bCs/>
                <w:color w:val="auto"/>
                <w:kern w:val="24"/>
                <w:sz w:val="18"/>
                <w:szCs w:val="18"/>
                <w:lang w:eastAsia="en-GB"/>
              </w:rPr>
              <w:t>Research</w:t>
            </w:r>
          </w:p>
        </w:tc>
      </w:tr>
      <w:tr w:rsidR="003A78B7" w:rsidRPr="0014297B" w14:paraId="45B7A0FC" w14:textId="77777777" w:rsidTr="5546BCA7">
        <w:trPr>
          <w:cnfStyle w:val="000000100000" w:firstRow="0" w:lastRow="0" w:firstColumn="0" w:lastColumn="0" w:oddVBand="0" w:evenVBand="0" w:oddHBand="1" w:evenHBand="0" w:firstRowFirstColumn="0" w:firstRowLastColumn="0" w:lastRowFirstColumn="0" w:lastRowLastColumn="0"/>
          <w:trHeight w:val="20"/>
        </w:trPr>
        <w:tc>
          <w:tcPr>
            <w:tcW w:w="577" w:type="pct"/>
            <w:hideMark/>
          </w:tcPr>
          <w:p w14:paraId="069ECB89"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Bangladesh</w:t>
            </w:r>
          </w:p>
        </w:tc>
        <w:tc>
          <w:tcPr>
            <w:tcW w:w="341" w:type="pct"/>
            <w:shd w:val="clear" w:color="auto" w:fill="3FB84E" w:themeFill="accent3"/>
            <w:hideMark/>
          </w:tcPr>
          <w:p w14:paraId="14F2F6A7" w14:textId="77777777" w:rsidR="00CB2C9B" w:rsidRPr="0014297B" w:rsidRDefault="00CB2C9B" w:rsidP="008C1BFD">
            <w:pPr>
              <w:rPr>
                <w:rFonts w:ascii="Arial" w:eastAsia="Times New Roman" w:hAnsi="Arial"/>
                <w:sz w:val="36"/>
                <w:szCs w:val="36"/>
                <w:lang w:eastAsia="en-GB"/>
              </w:rPr>
            </w:pPr>
          </w:p>
        </w:tc>
        <w:tc>
          <w:tcPr>
            <w:tcW w:w="341" w:type="pct"/>
            <w:shd w:val="clear" w:color="auto" w:fill="FFFF00"/>
            <w:hideMark/>
          </w:tcPr>
          <w:p w14:paraId="47ED1AC4"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6E28B096"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x</w:t>
            </w:r>
          </w:p>
        </w:tc>
        <w:tc>
          <w:tcPr>
            <w:tcW w:w="1471" w:type="pct"/>
            <w:hideMark/>
          </w:tcPr>
          <w:p w14:paraId="2A0B4D19" w14:textId="636902DB" w:rsidR="00CB2C9B" w:rsidRPr="0014297B" w:rsidRDefault="000E6251"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S</w:t>
            </w:r>
            <w:r w:rsidR="00CB2C9B" w:rsidRPr="00BB4743">
              <w:rPr>
                <w:rFonts w:eastAsia="Times New Roman" w:cs="Calibri"/>
                <w:color w:val="auto"/>
                <w:kern w:val="24"/>
                <w:sz w:val="18"/>
                <w:szCs w:val="18"/>
                <w:lang w:eastAsia="en-GB"/>
              </w:rPr>
              <w:t>ubstantial data available in 2017 and 2018</w:t>
            </w:r>
          </w:p>
        </w:tc>
        <w:tc>
          <w:tcPr>
            <w:tcW w:w="1923" w:type="pct"/>
            <w:hideMark/>
          </w:tcPr>
          <w:p w14:paraId="0E99936C" w14:textId="77777777" w:rsidR="00CB2C9B" w:rsidRPr="0014297B" w:rsidRDefault="00CB2C9B" w:rsidP="008C1BFD">
            <w:pPr>
              <w:textAlignment w:val="top"/>
              <w:rPr>
                <w:rFonts w:ascii="Arial" w:eastAsia="Times New Roman" w:hAnsi="Arial"/>
                <w:sz w:val="36"/>
                <w:szCs w:val="36"/>
                <w:lang w:eastAsia="en-GB"/>
              </w:rPr>
            </w:pPr>
            <w:r w:rsidRPr="00BB4743">
              <w:rPr>
                <w:rFonts w:eastAsia="Times New Roman" w:cs="Calibri"/>
                <w:color w:val="auto"/>
                <w:kern w:val="24"/>
                <w:sz w:val="18"/>
                <w:szCs w:val="18"/>
                <w:lang w:eastAsia="en-GB"/>
              </w:rPr>
              <w:t xml:space="preserve">HH: c.20 relevant studies preceding 2018 referenced </w:t>
            </w:r>
          </w:p>
          <w:p w14:paraId="34B959D2" w14:textId="77777777" w:rsidR="00CB2C9B" w:rsidRPr="0014297B" w:rsidRDefault="00CB2C9B" w:rsidP="008C1BFD">
            <w:pPr>
              <w:textAlignment w:val="top"/>
              <w:rPr>
                <w:rFonts w:ascii="Arial" w:eastAsia="Times New Roman" w:hAnsi="Arial"/>
                <w:sz w:val="36"/>
                <w:szCs w:val="36"/>
                <w:lang w:eastAsia="en-GB"/>
              </w:rPr>
            </w:pPr>
            <w:r w:rsidRPr="00BB4743">
              <w:rPr>
                <w:rFonts w:eastAsia="Times New Roman" w:cs="Calibri"/>
                <w:color w:val="auto"/>
                <w:kern w:val="24"/>
                <w:sz w:val="18"/>
                <w:szCs w:val="18"/>
                <w:lang w:eastAsia="en-GB"/>
              </w:rPr>
              <w:t>AH: several studies preceding 2018 referenced</w:t>
            </w:r>
          </w:p>
        </w:tc>
      </w:tr>
      <w:tr w:rsidR="003A78B7" w:rsidRPr="0014297B" w14:paraId="7B55184E" w14:textId="77777777" w:rsidTr="5546BCA7">
        <w:trPr>
          <w:cnfStyle w:val="000000010000" w:firstRow="0" w:lastRow="0" w:firstColumn="0" w:lastColumn="0" w:oddVBand="0" w:evenVBand="0" w:oddHBand="0" w:evenHBand="1" w:firstRowFirstColumn="0" w:firstRowLastColumn="0" w:lastRowFirstColumn="0" w:lastRowLastColumn="0"/>
          <w:trHeight w:val="20"/>
        </w:trPr>
        <w:tc>
          <w:tcPr>
            <w:tcW w:w="577" w:type="pct"/>
            <w:hideMark/>
          </w:tcPr>
          <w:p w14:paraId="30A7B944"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Bhutan</w:t>
            </w:r>
          </w:p>
        </w:tc>
        <w:tc>
          <w:tcPr>
            <w:tcW w:w="341" w:type="pct"/>
            <w:shd w:val="clear" w:color="auto" w:fill="3FB84E" w:themeFill="accent3"/>
            <w:hideMark/>
          </w:tcPr>
          <w:p w14:paraId="2D7B37C0" w14:textId="77777777" w:rsidR="00CB2C9B" w:rsidRPr="0014297B" w:rsidRDefault="00CB2C9B" w:rsidP="008C1BFD">
            <w:pPr>
              <w:rPr>
                <w:rFonts w:ascii="Arial" w:eastAsia="Times New Roman" w:hAnsi="Arial"/>
                <w:sz w:val="36"/>
                <w:szCs w:val="36"/>
                <w:lang w:eastAsia="en-GB"/>
              </w:rPr>
            </w:pPr>
          </w:p>
        </w:tc>
        <w:tc>
          <w:tcPr>
            <w:tcW w:w="341" w:type="pct"/>
            <w:shd w:val="clear" w:color="auto" w:fill="FF0000"/>
            <w:hideMark/>
          </w:tcPr>
          <w:p w14:paraId="6B16969E"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5C9D0B61" w14:textId="77777777" w:rsidR="00CB2C9B" w:rsidRPr="0014297B" w:rsidRDefault="00CB2C9B" w:rsidP="008C1BFD">
            <w:pPr>
              <w:rPr>
                <w:rFonts w:ascii="Times New Roman" w:eastAsia="Times New Roman" w:hAnsi="Times New Roman" w:cs="Times New Roman"/>
                <w:sz w:val="20"/>
                <w:szCs w:val="20"/>
                <w:lang w:eastAsia="en-GB"/>
              </w:rPr>
            </w:pPr>
          </w:p>
        </w:tc>
        <w:tc>
          <w:tcPr>
            <w:tcW w:w="1471" w:type="pct"/>
            <w:hideMark/>
          </w:tcPr>
          <w:p w14:paraId="0FCA7C4E" w14:textId="547A864B" w:rsidR="00CB2C9B" w:rsidRPr="0014297B" w:rsidRDefault="000E6251"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O</w:t>
            </w:r>
            <w:r w:rsidR="00CB2C9B" w:rsidRPr="00BB4743">
              <w:rPr>
                <w:rFonts w:eastAsia="Times New Roman" w:cs="Calibri"/>
                <w:color w:val="auto"/>
                <w:kern w:val="24"/>
                <w:sz w:val="18"/>
                <w:szCs w:val="18"/>
                <w:lang w:eastAsia="en-GB"/>
              </w:rPr>
              <w:t>ver 126,000 samples from 2017 through 2019 from four laboratories</w:t>
            </w:r>
          </w:p>
        </w:tc>
        <w:tc>
          <w:tcPr>
            <w:tcW w:w="1923" w:type="pct"/>
            <w:hideMark/>
          </w:tcPr>
          <w:p w14:paraId="660F7DAC" w14:textId="77777777" w:rsidR="00CB2C9B" w:rsidRPr="0014297B" w:rsidRDefault="00CB2C9B" w:rsidP="008C1BFD">
            <w:pPr>
              <w:rPr>
                <w:rFonts w:ascii="Arial" w:eastAsia="Times New Roman" w:hAnsi="Arial"/>
                <w:sz w:val="36"/>
                <w:szCs w:val="36"/>
                <w:lang w:eastAsia="en-GB"/>
              </w:rPr>
            </w:pPr>
          </w:p>
        </w:tc>
      </w:tr>
      <w:tr w:rsidR="003A78B7" w:rsidRPr="0014297B" w14:paraId="5F562CB9" w14:textId="77777777" w:rsidTr="5546BCA7">
        <w:trPr>
          <w:cnfStyle w:val="000000100000" w:firstRow="0" w:lastRow="0" w:firstColumn="0" w:lastColumn="0" w:oddVBand="0" w:evenVBand="0" w:oddHBand="1" w:evenHBand="0" w:firstRowFirstColumn="0" w:firstRowLastColumn="0" w:lastRowFirstColumn="0" w:lastRowLastColumn="0"/>
          <w:trHeight w:val="20"/>
        </w:trPr>
        <w:tc>
          <w:tcPr>
            <w:tcW w:w="577" w:type="pct"/>
            <w:hideMark/>
          </w:tcPr>
          <w:p w14:paraId="0A926CF6"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Indonesia</w:t>
            </w:r>
          </w:p>
        </w:tc>
        <w:tc>
          <w:tcPr>
            <w:tcW w:w="341" w:type="pct"/>
            <w:shd w:val="clear" w:color="auto" w:fill="FF0000"/>
            <w:hideMark/>
          </w:tcPr>
          <w:p w14:paraId="2E6AE053" w14:textId="77777777" w:rsidR="00CB2C9B" w:rsidRPr="0014297B" w:rsidRDefault="00CB2C9B" w:rsidP="008C1BFD">
            <w:pPr>
              <w:rPr>
                <w:rFonts w:ascii="Arial" w:eastAsia="Times New Roman" w:hAnsi="Arial"/>
                <w:sz w:val="36"/>
                <w:szCs w:val="36"/>
                <w:lang w:eastAsia="en-GB"/>
              </w:rPr>
            </w:pPr>
          </w:p>
        </w:tc>
        <w:tc>
          <w:tcPr>
            <w:tcW w:w="341" w:type="pct"/>
            <w:shd w:val="clear" w:color="auto" w:fill="FF0000"/>
            <w:hideMark/>
          </w:tcPr>
          <w:p w14:paraId="552CAA84"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2D96660B" w14:textId="77777777" w:rsidR="00CB2C9B" w:rsidRPr="0014297B" w:rsidRDefault="00CB2C9B" w:rsidP="008C1BFD">
            <w:pPr>
              <w:rPr>
                <w:rFonts w:ascii="Times New Roman" w:eastAsia="Times New Roman" w:hAnsi="Times New Roman" w:cs="Times New Roman"/>
                <w:sz w:val="20"/>
                <w:szCs w:val="20"/>
                <w:lang w:eastAsia="en-GB"/>
              </w:rPr>
            </w:pPr>
          </w:p>
        </w:tc>
        <w:tc>
          <w:tcPr>
            <w:tcW w:w="1471" w:type="pct"/>
            <w:hideMark/>
          </w:tcPr>
          <w:p w14:paraId="7DD57089"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Of 36 surveyed facilities. 10 have 1-3 years of data, 12 have 3-10 years of data, and 6 have 10+ years of data.</w:t>
            </w:r>
          </w:p>
        </w:tc>
        <w:tc>
          <w:tcPr>
            <w:tcW w:w="1923" w:type="pct"/>
            <w:hideMark/>
          </w:tcPr>
          <w:p w14:paraId="004B2EFC" w14:textId="77777777" w:rsidR="00CB2C9B" w:rsidRPr="0014297B" w:rsidRDefault="00CB2C9B" w:rsidP="008C1BFD">
            <w:pPr>
              <w:rPr>
                <w:rFonts w:ascii="Arial" w:eastAsia="Times New Roman" w:hAnsi="Arial"/>
                <w:sz w:val="36"/>
                <w:szCs w:val="36"/>
                <w:lang w:eastAsia="en-GB"/>
              </w:rPr>
            </w:pPr>
          </w:p>
        </w:tc>
      </w:tr>
      <w:tr w:rsidR="003A78B7" w:rsidRPr="0014297B" w14:paraId="44F97F72" w14:textId="77777777" w:rsidTr="5546BCA7">
        <w:trPr>
          <w:cnfStyle w:val="000000010000" w:firstRow="0" w:lastRow="0" w:firstColumn="0" w:lastColumn="0" w:oddVBand="0" w:evenVBand="0" w:oddHBand="0" w:evenHBand="1" w:firstRowFirstColumn="0" w:firstRowLastColumn="0" w:lastRowFirstColumn="0" w:lastRowLastColumn="0"/>
          <w:trHeight w:val="20"/>
        </w:trPr>
        <w:tc>
          <w:tcPr>
            <w:tcW w:w="577" w:type="pct"/>
            <w:hideMark/>
          </w:tcPr>
          <w:p w14:paraId="07FE9160"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Nigeria</w:t>
            </w:r>
          </w:p>
        </w:tc>
        <w:tc>
          <w:tcPr>
            <w:tcW w:w="341" w:type="pct"/>
            <w:shd w:val="clear" w:color="auto" w:fill="3FB84E" w:themeFill="accent3"/>
            <w:hideMark/>
          </w:tcPr>
          <w:p w14:paraId="4C1BBB68" w14:textId="77777777" w:rsidR="00CB2C9B" w:rsidRPr="0014297B" w:rsidRDefault="00CB2C9B" w:rsidP="008C1BFD">
            <w:pPr>
              <w:rPr>
                <w:rFonts w:ascii="Arial" w:eastAsia="Times New Roman" w:hAnsi="Arial"/>
                <w:sz w:val="36"/>
                <w:szCs w:val="36"/>
                <w:lang w:eastAsia="en-GB"/>
              </w:rPr>
            </w:pPr>
          </w:p>
        </w:tc>
        <w:tc>
          <w:tcPr>
            <w:tcW w:w="341" w:type="pct"/>
            <w:shd w:val="clear" w:color="auto" w:fill="FF0000"/>
            <w:hideMark/>
          </w:tcPr>
          <w:p w14:paraId="5EF17313"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6FD88820"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X</w:t>
            </w:r>
          </w:p>
        </w:tc>
        <w:tc>
          <w:tcPr>
            <w:tcW w:w="1471" w:type="pct"/>
            <w:hideMark/>
          </w:tcPr>
          <w:p w14:paraId="60EB26DD" w14:textId="1EFB541C" w:rsidR="00CB2C9B" w:rsidRPr="0014297B" w:rsidRDefault="000E6251" w:rsidP="008C1BFD">
            <w:pPr>
              <w:textAlignment w:val="baseline"/>
              <w:rPr>
                <w:rFonts w:ascii="Arial" w:eastAsia="Times New Roman" w:hAnsi="Arial"/>
                <w:sz w:val="36"/>
                <w:szCs w:val="36"/>
                <w:lang w:eastAsia="en-GB"/>
              </w:rPr>
            </w:pPr>
            <w:r w:rsidRPr="00BB4743">
              <w:rPr>
                <w:rFonts w:eastAsia="Times New Roman" w:cs="Calibri"/>
                <w:color w:val="auto"/>
                <w:kern w:val="24"/>
                <w:sz w:val="18"/>
                <w:szCs w:val="18"/>
                <w:lang w:eastAsia="en-GB"/>
              </w:rPr>
              <w:t>D</w:t>
            </w:r>
            <w:r w:rsidR="00CB2C9B" w:rsidRPr="00BB4743">
              <w:rPr>
                <w:rFonts w:eastAsia="Times New Roman" w:cs="Calibri"/>
                <w:color w:val="auto"/>
                <w:kern w:val="24"/>
                <w:sz w:val="18"/>
                <w:szCs w:val="18"/>
                <w:lang w:eastAsia="en-GB"/>
              </w:rPr>
              <w:t>ata from 2016</w:t>
            </w:r>
            <w:r w:rsidR="00681B65" w:rsidRPr="00BB4743">
              <w:rPr>
                <w:rFonts w:eastAsia="Times New Roman" w:cs="Calibri"/>
                <w:color w:val="auto"/>
                <w:kern w:val="24"/>
                <w:sz w:val="18"/>
                <w:szCs w:val="18"/>
                <w:lang w:eastAsia="en-GB"/>
              </w:rPr>
              <w:t xml:space="preserve"> to 20</w:t>
            </w:r>
            <w:r w:rsidR="00CB2C9B" w:rsidRPr="00BB4743">
              <w:rPr>
                <w:rFonts w:eastAsia="Times New Roman" w:cs="Calibri"/>
                <w:color w:val="auto"/>
                <w:kern w:val="24"/>
                <w:sz w:val="18"/>
                <w:szCs w:val="18"/>
                <w:lang w:eastAsia="en-GB"/>
              </w:rPr>
              <w:t xml:space="preserve">18 was collected from 25 </w:t>
            </w:r>
            <w:r w:rsidR="00681B65" w:rsidRPr="00BB4743">
              <w:rPr>
                <w:rFonts w:eastAsia="Times New Roman" w:cs="Calibri"/>
                <w:color w:val="auto"/>
                <w:kern w:val="24"/>
                <w:sz w:val="18"/>
                <w:szCs w:val="18"/>
                <w:lang w:eastAsia="en-GB"/>
              </w:rPr>
              <w:t>laboratories</w:t>
            </w:r>
            <w:r w:rsidR="00CB2C9B" w:rsidRPr="00BB4743">
              <w:rPr>
                <w:rFonts w:eastAsia="Times New Roman" w:cs="Calibri"/>
                <w:color w:val="auto"/>
                <w:kern w:val="24"/>
                <w:sz w:val="18"/>
                <w:szCs w:val="18"/>
                <w:lang w:eastAsia="en-GB"/>
              </w:rPr>
              <w:t>. 85,127 cultures, of which 84,548 were valid and 27,135 were positive.</w:t>
            </w:r>
          </w:p>
        </w:tc>
        <w:tc>
          <w:tcPr>
            <w:tcW w:w="1923" w:type="pct"/>
            <w:hideMark/>
          </w:tcPr>
          <w:p w14:paraId="383ED436" w14:textId="77777777" w:rsidR="00CB2C9B" w:rsidRPr="0014297B" w:rsidRDefault="00CB2C9B" w:rsidP="008C1BFD">
            <w:pPr>
              <w:textAlignment w:val="top"/>
              <w:rPr>
                <w:rFonts w:ascii="Arial" w:eastAsia="Times New Roman" w:hAnsi="Arial"/>
                <w:sz w:val="36"/>
                <w:szCs w:val="36"/>
                <w:lang w:eastAsia="en-GB"/>
              </w:rPr>
            </w:pPr>
            <w:r w:rsidRPr="00BB4743">
              <w:rPr>
                <w:rFonts w:eastAsia="Times New Roman" w:cs="Calibri"/>
                <w:color w:val="auto"/>
                <w:kern w:val="24"/>
                <w:sz w:val="18"/>
                <w:szCs w:val="18"/>
                <w:lang w:eastAsia="en-GB"/>
              </w:rPr>
              <w:t>HH: c.30 studies referenced</w:t>
            </w:r>
          </w:p>
          <w:p w14:paraId="5D5FF2FB" w14:textId="77777777" w:rsidR="00CB2C9B" w:rsidRPr="0014297B" w:rsidRDefault="00CB2C9B" w:rsidP="008C1BFD">
            <w:pPr>
              <w:textAlignment w:val="top"/>
              <w:rPr>
                <w:rFonts w:ascii="Arial" w:eastAsia="Times New Roman" w:hAnsi="Arial"/>
                <w:sz w:val="36"/>
                <w:szCs w:val="36"/>
                <w:lang w:eastAsia="en-GB"/>
              </w:rPr>
            </w:pPr>
            <w:r w:rsidRPr="00BB4743">
              <w:rPr>
                <w:rFonts w:eastAsia="Times New Roman" w:cs="Calibri"/>
                <w:color w:val="auto"/>
                <w:kern w:val="24"/>
                <w:sz w:val="18"/>
                <w:szCs w:val="18"/>
                <w:lang w:eastAsia="en-GB"/>
              </w:rPr>
              <w:t>AH: multiple studies referred</w:t>
            </w:r>
          </w:p>
        </w:tc>
      </w:tr>
      <w:tr w:rsidR="003A78B7" w:rsidRPr="0014297B" w14:paraId="701425D8" w14:textId="77777777" w:rsidTr="5546BCA7">
        <w:trPr>
          <w:cnfStyle w:val="000000100000" w:firstRow="0" w:lastRow="0" w:firstColumn="0" w:lastColumn="0" w:oddVBand="0" w:evenVBand="0" w:oddHBand="1" w:evenHBand="0" w:firstRowFirstColumn="0" w:firstRowLastColumn="0" w:lastRowFirstColumn="0" w:lastRowLastColumn="0"/>
          <w:trHeight w:val="20"/>
        </w:trPr>
        <w:tc>
          <w:tcPr>
            <w:tcW w:w="577" w:type="pct"/>
            <w:hideMark/>
          </w:tcPr>
          <w:p w14:paraId="329B0059"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Senegal</w:t>
            </w:r>
          </w:p>
        </w:tc>
        <w:tc>
          <w:tcPr>
            <w:tcW w:w="341" w:type="pct"/>
            <w:shd w:val="clear" w:color="auto" w:fill="3FB84E" w:themeFill="accent3"/>
            <w:hideMark/>
          </w:tcPr>
          <w:p w14:paraId="7F691831" w14:textId="77777777" w:rsidR="00CB2C9B" w:rsidRPr="0014297B" w:rsidRDefault="00CB2C9B" w:rsidP="008C1BFD">
            <w:pPr>
              <w:rPr>
                <w:rFonts w:ascii="Arial" w:eastAsia="Times New Roman" w:hAnsi="Arial"/>
                <w:sz w:val="36"/>
                <w:szCs w:val="36"/>
                <w:lang w:eastAsia="en-GB"/>
              </w:rPr>
            </w:pPr>
          </w:p>
        </w:tc>
        <w:tc>
          <w:tcPr>
            <w:tcW w:w="341" w:type="pct"/>
            <w:shd w:val="clear" w:color="auto" w:fill="FFFF00"/>
            <w:hideMark/>
          </w:tcPr>
          <w:p w14:paraId="7DD20309"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7CCB7E8E" w14:textId="77777777" w:rsidR="00CB2C9B" w:rsidRPr="0014297B" w:rsidRDefault="00CB2C9B" w:rsidP="008C1BFD">
            <w:pPr>
              <w:rPr>
                <w:rFonts w:ascii="Times New Roman" w:eastAsia="Times New Roman" w:hAnsi="Times New Roman" w:cs="Times New Roman"/>
                <w:sz w:val="20"/>
                <w:szCs w:val="20"/>
                <w:lang w:eastAsia="en-GB"/>
              </w:rPr>
            </w:pPr>
          </w:p>
        </w:tc>
        <w:tc>
          <w:tcPr>
            <w:tcW w:w="1471" w:type="pct"/>
            <w:hideMark/>
          </w:tcPr>
          <w:p w14:paraId="25C30B64" w14:textId="2AD67856" w:rsidR="00CB2C9B" w:rsidRPr="0014297B" w:rsidRDefault="000E6251" w:rsidP="008C1BFD">
            <w:pPr>
              <w:textAlignment w:val="baseline"/>
              <w:rPr>
                <w:rFonts w:ascii="Arial" w:eastAsia="Times New Roman" w:hAnsi="Arial"/>
                <w:sz w:val="36"/>
                <w:szCs w:val="36"/>
                <w:lang w:eastAsia="en-GB"/>
              </w:rPr>
            </w:pPr>
            <w:r w:rsidRPr="00BB4743">
              <w:rPr>
                <w:rFonts w:eastAsia="Times New Roman" w:cs="Calibri"/>
                <w:color w:val="auto"/>
                <w:kern w:val="24"/>
                <w:sz w:val="18"/>
                <w:szCs w:val="18"/>
                <w:lang w:eastAsia="en-GB"/>
              </w:rPr>
              <w:t>D</w:t>
            </w:r>
            <w:r w:rsidR="00CB2C9B" w:rsidRPr="00BB4743">
              <w:rPr>
                <w:rFonts w:eastAsia="Times New Roman" w:cs="Calibri"/>
                <w:color w:val="auto"/>
                <w:kern w:val="24"/>
                <w:sz w:val="18"/>
                <w:szCs w:val="18"/>
                <w:lang w:eastAsia="en-GB"/>
              </w:rPr>
              <w:t>ata from 2016</w:t>
            </w:r>
            <w:r w:rsidR="00681B65" w:rsidRPr="00BB4743">
              <w:rPr>
                <w:rFonts w:eastAsia="Times New Roman" w:cs="Calibri"/>
                <w:color w:val="auto"/>
                <w:kern w:val="24"/>
                <w:sz w:val="18"/>
                <w:szCs w:val="18"/>
                <w:lang w:eastAsia="en-GB"/>
              </w:rPr>
              <w:t xml:space="preserve"> to 20</w:t>
            </w:r>
            <w:r w:rsidR="00CB2C9B" w:rsidRPr="00BB4743">
              <w:rPr>
                <w:rFonts w:eastAsia="Times New Roman" w:cs="Calibri"/>
                <w:color w:val="auto"/>
                <w:kern w:val="24"/>
                <w:sz w:val="18"/>
                <w:szCs w:val="18"/>
                <w:lang w:eastAsia="en-GB"/>
              </w:rPr>
              <w:t>18 was collected from 16 laboratories. 78,304 total cultures, of which 51,771 were valid and 15,845 were positive.</w:t>
            </w:r>
          </w:p>
        </w:tc>
        <w:tc>
          <w:tcPr>
            <w:tcW w:w="1923" w:type="pct"/>
            <w:hideMark/>
          </w:tcPr>
          <w:p w14:paraId="4698D445" w14:textId="77777777" w:rsidR="00CB2C9B" w:rsidRPr="0014297B" w:rsidRDefault="00CB2C9B" w:rsidP="008C1BFD">
            <w:pPr>
              <w:rPr>
                <w:rFonts w:ascii="Arial" w:eastAsia="Times New Roman" w:hAnsi="Arial"/>
                <w:sz w:val="36"/>
                <w:szCs w:val="36"/>
                <w:lang w:eastAsia="en-GB"/>
              </w:rPr>
            </w:pPr>
          </w:p>
        </w:tc>
      </w:tr>
      <w:tr w:rsidR="003A78B7" w:rsidRPr="0014297B" w14:paraId="3D0399E0" w14:textId="77777777" w:rsidTr="5546BCA7">
        <w:trPr>
          <w:cnfStyle w:val="000000010000" w:firstRow="0" w:lastRow="0" w:firstColumn="0" w:lastColumn="0" w:oddVBand="0" w:evenVBand="0" w:oddHBand="0" w:evenHBand="1" w:firstRowFirstColumn="0" w:firstRowLastColumn="0" w:lastRowFirstColumn="0" w:lastRowLastColumn="0"/>
          <w:trHeight w:val="20"/>
        </w:trPr>
        <w:tc>
          <w:tcPr>
            <w:tcW w:w="577" w:type="pct"/>
            <w:hideMark/>
          </w:tcPr>
          <w:p w14:paraId="4FFCB3F2"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Sierra Leone</w:t>
            </w:r>
          </w:p>
        </w:tc>
        <w:tc>
          <w:tcPr>
            <w:tcW w:w="341" w:type="pct"/>
            <w:shd w:val="clear" w:color="auto" w:fill="FF0000"/>
            <w:hideMark/>
          </w:tcPr>
          <w:p w14:paraId="2C903B15" w14:textId="77777777" w:rsidR="00CB2C9B" w:rsidRPr="0014297B" w:rsidRDefault="00CB2C9B" w:rsidP="008C1BFD">
            <w:pPr>
              <w:rPr>
                <w:rFonts w:ascii="Arial" w:eastAsia="Times New Roman" w:hAnsi="Arial"/>
                <w:sz w:val="36"/>
                <w:szCs w:val="36"/>
                <w:lang w:eastAsia="en-GB"/>
              </w:rPr>
            </w:pPr>
          </w:p>
        </w:tc>
        <w:tc>
          <w:tcPr>
            <w:tcW w:w="341" w:type="pct"/>
            <w:shd w:val="clear" w:color="auto" w:fill="FF0000"/>
            <w:hideMark/>
          </w:tcPr>
          <w:p w14:paraId="34376B3F"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4D1A28D3" w14:textId="77777777" w:rsidR="00CB2C9B" w:rsidRPr="0014297B" w:rsidRDefault="00CB2C9B" w:rsidP="008C1BFD">
            <w:pPr>
              <w:rPr>
                <w:rFonts w:ascii="Times New Roman" w:eastAsia="Times New Roman" w:hAnsi="Times New Roman" w:cs="Times New Roman"/>
                <w:sz w:val="20"/>
                <w:szCs w:val="20"/>
                <w:lang w:eastAsia="en-GB"/>
              </w:rPr>
            </w:pPr>
          </w:p>
        </w:tc>
        <w:tc>
          <w:tcPr>
            <w:tcW w:w="1471" w:type="pct"/>
            <w:hideMark/>
          </w:tcPr>
          <w:p w14:paraId="7F9D17CA" w14:textId="42F020C8" w:rsidR="00CB2C9B" w:rsidRPr="0014297B" w:rsidRDefault="000E6251" w:rsidP="008C1BFD">
            <w:pPr>
              <w:textAlignment w:val="baseline"/>
              <w:rPr>
                <w:rFonts w:ascii="Arial" w:eastAsia="Times New Roman" w:hAnsi="Arial"/>
                <w:sz w:val="36"/>
                <w:szCs w:val="36"/>
                <w:lang w:eastAsia="en-GB"/>
              </w:rPr>
            </w:pPr>
            <w:r w:rsidRPr="00BB4743">
              <w:rPr>
                <w:rFonts w:eastAsia="Times New Roman" w:cs="Calibri"/>
                <w:color w:val="auto"/>
                <w:kern w:val="24"/>
                <w:sz w:val="18"/>
                <w:szCs w:val="18"/>
                <w:lang w:eastAsia="en-GB"/>
              </w:rPr>
              <w:t>D</w:t>
            </w:r>
            <w:r w:rsidR="00CB2C9B" w:rsidRPr="00BB4743">
              <w:rPr>
                <w:rFonts w:eastAsia="Times New Roman" w:cs="Calibri"/>
                <w:color w:val="auto"/>
                <w:kern w:val="24"/>
                <w:sz w:val="18"/>
                <w:szCs w:val="18"/>
                <w:lang w:eastAsia="en-GB"/>
              </w:rPr>
              <w:t>ata for 2016</w:t>
            </w:r>
            <w:r w:rsidR="007575E5" w:rsidRPr="00BB4743">
              <w:rPr>
                <w:rFonts w:eastAsia="Times New Roman" w:cs="Calibri"/>
                <w:color w:val="auto"/>
                <w:kern w:val="24"/>
                <w:sz w:val="18"/>
                <w:szCs w:val="18"/>
                <w:lang w:eastAsia="en-GB"/>
              </w:rPr>
              <w:t xml:space="preserve"> to 20</w:t>
            </w:r>
            <w:r w:rsidR="00CB2C9B" w:rsidRPr="00BB4743">
              <w:rPr>
                <w:rFonts w:eastAsia="Times New Roman" w:cs="Calibri"/>
                <w:color w:val="auto"/>
                <w:kern w:val="24"/>
                <w:sz w:val="18"/>
                <w:szCs w:val="18"/>
                <w:lang w:eastAsia="en-GB"/>
              </w:rPr>
              <w:t>18 were collected from seven laboratories/facilities. 4,333 total cultures, of which 4,192 were valid and 744 were positive</w:t>
            </w:r>
          </w:p>
        </w:tc>
        <w:tc>
          <w:tcPr>
            <w:tcW w:w="1923" w:type="pct"/>
            <w:hideMark/>
          </w:tcPr>
          <w:p w14:paraId="48A6AB3A" w14:textId="77777777" w:rsidR="00CB2C9B" w:rsidRPr="0014297B" w:rsidRDefault="00CB2C9B" w:rsidP="008C1BFD">
            <w:pPr>
              <w:rPr>
                <w:rFonts w:ascii="Arial" w:eastAsia="Times New Roman" w:hAnsi="Arial"/>
                <w:sz w:val="36"/>
                <w:szCs w:val="36"/>
                <w:lang w:eastAsia="en-GB"/>
              </w:rPr>
            </w:pPr>
          </w:p>
        </w:tc>
      </w:tr>
      <w:tr w:rsidR="003A78B7" w:rsidRPr="0014297B" w14:paraId="031176FB" w14:textId="77777777" w:rsidTr="5546BCA7">
        <w:trPr>
          <w:cnfStyle w:val="000000100000" w:firstRow="0" w:lastRow="0" w:firstColumn="0" w:lastColumn="0" w:oddVBand="0" w:evenVBand="0" w:oddHBand="1" w:evenHBand="0" w:firstRowFirstColumn="0" w:firstRowLastColumn="0" w:lastRowFirstColumn="0" w:lastRowLastColumn="0"/>
          <w:trHeight w:val="20"/>
        </w:trPr>
        <w:tc>
          <w:tcPr>
            <w:tcW w:w="577" w:type="pct"/>
            <w:hideMark/>
          </w:tcPr>
          <w:p w14:paraId="4E32FCFE" w14:textId="7E5BB921"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Timor</w:t>
            </w:r>
            <w:r w:rsidR="00425875">
              <w:rPr>
                <w:rFonts w:eastAsia="Times New Roman" w:cs="Calibri"/>
                <w:color w:val="auto"/>
                <w:kern w:val="24"/>
                <w:sz w:val="18"/>
                <w:szCs w:val="18"/>
                <w:lang w:eastAsia="en-GB"/>
              </w:rPr>
              <w:t>-</w:t>
            </w:r>
            <w:r w:rsidRPr="00BB4743">
              <w:rPr>
                <w:rFonts w:eastAsia="Times New Roman" w:cs="Calibri"/>
                <w:color w:val="auto"/>
                <w:kern w:val="24"/>
                <w:sz w:val="18"/>
                <w:szCs w:val="18"/>
                <w:lang w:eastAsia="en-GB"/>
              </w:rPr>
              <w:t>Leste</w:t>
            </w:r>
          </w:p>
        </w:tc>
        <w:tc>
          <w:tcPr>
            <w:tcW w:w="341" w:type="pct"/>
            <w:shd w:val="clear" w:color="auto" w:fill="FF0000"/>
            <w:hideMark/>
          </w:tcPr>
          <w:p w14:paraId="15207537" w14:textId="77777777" w:rsidR="00CB2C9B" w:rsidRPr="0014297B" w:rsidRDefault="00CB2C9B" w:rsidP="008C1BFD">
            <w:pPr>
              <w:rPr>
                <w:rFonts w:ascii="Arial" w:eastAsia="Times New Roman" w:hAnsi="Arial"/>
                <w:sz w:val="36"/>
                <w:szCs w:val="36"/>
                <w:lang w:eastAsia="en-GB"/>
              </w:rPr>
            </w:pPr>
          </w:p>
        </w:tc>
        <w:tc>
          <w:tcPr>
            <w:tcW w:w="341" w:type="pct"/>
            <w:shd w:val="clear" w:color="auto" w:fill="FF0000"/>
            <w:hideMark/>
          </w:tcPr>
          <w:p w14:paraId="193D89C3"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68DABBF4" w14:textId="77777777" w:rsidR="00CB2C9B" w:rsidRPr="0014297B" w:rsidRDefault="00CB2C9B" w:rsidP="008C1BFD">
            <w:pPr>
              <w:rPr>
                <w:rFonts w:ascii="Times New Roman" w:eastAsia="Times New Roman" w:hAnsi="Times New Roman" w:cs="Times New Roman"/>
                <w:sz w:val="20"/>
                <w:szCs w:val="20"/>
                <w:lang w:eastAsia="en-GB"/>
              </w:rPr>
            </w:pPr>
          </w:p>
        </w:tc>
        <w:tc>
          <w:tcPr>
            <w:tcW w:w="1471" w:type="pct"/>
            <w:hideMark/>
          </w:tcPr>
          <w:p w14:paraId="2A696FBC" w14:textId="4D7E19AA" w:rsidR="00CB2C9B" w:rsidRPr="0014297B" w:rsidRDefault="000E6251"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D</w:t>
            </w:r>
            <w:r w:rsidR="00CB2C9B" w:rsidRPr="00BB4743">
              <w:rPr>
                <w:rFonts w:eastAsia="Times New Roman" w:cs="Calibri"/>
                <w:color w:val="auto"/>
                <w:kern w:val="24"/>
                <w:sz w:val="18"/>
                <w:szCs w:val="18"/>
                <w:lang w:eastAsia="en-GB"/>
              </w:rPr>
              <w:t>ata available in 2017 and 2018</w:t>
            </w:r>
          </w:p>
        </w:tc>
        <w:tc>
          <w:tcPr>
            <w:tcW w:w="1923" w:type="pct"/>
            <w:hideMark/>
          </w:tcPr>
          <w:p w14:paraId="29F04EF3" w14:textId="77777777" w:rsidR="00CB2C9B" w:rsidRPr="0014297B" w:rsidRDefault="00CB2C9B" w:rsidP="008C1BFD">
            <w:pPr>
              <w:rPr>
                <w:rFonts w:ascii="Arial" w:eastAsia="Times New Roman" w:hAnsi="Arial"/>
                <w:sz w:val="36"/>
                <w:szCs w:val="36"/>
                <w:lang w:eastAsia="en-GB"/>
              </w:rPr>
            </w:pPr>
          </w:p>
        </w:tc>
      </w:tr>
      <w:tr w:rsidR="003A78B7" w:rsidRPr="0014297B" w14:paraId="1D053E64" w14:textId="77777777" w:rsidTr="5546BCA7">
        <w:trPr>
          <w:cnfStyle w:val="000000010000" w:firstRow="0" w:lastRow="0" w:firstColumn="0" w:lastColumn="0" w:oddVBand="0" w:evenVBand="0" w:oddHBand="0" w:evenHBand="1" w:firstRowFirstColumn="0" w:firstRowLastColumn="0" w:lastRowFirstColumn="0" w:lastRowLastColumn="0"/>
          <w:trHeight w:val="20"/>
        </w:trPr>
        <w:tc>
          <w:tcPr>
            <w:tcW w:w="577" w:type="pct"/>
            <w:hideMark/>
          </w:tcPr>
          <w:p w14:paraId="500E1F39"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Vietnam</w:t>
            </w:r>
          </w:p>
        </w:tc>
        <w:tc>
          <w:tcPr>
            <w:tcW w:w="341" w:type="pct"/>
            <w:shd w:val="clear" w:color="auto" w:fill="3FB84E" w:themeFill="accent3"/>
            <w:hideMark/>
          </w:tcPr>
          <w:p w14:paraId="48D0B5B6" w14:textId="77777777" w:rsidR="00CB2C9B" w:rsidRPr="0014297B" w:rsidRDefault="00CB2C9B" w:rsidP="008C1BFD">
            <w:pPr>
              <w:rPr>
                <w:rFonts w:ascii="Arial" w:eastAsia="Times New Roman" w:hAnsi="Arial"/>
                <w:sz w:val="36"/>
                <w:szCs w:val="36"/>
                <w:lang w:eastAsia="en-GB"/>
              </w:rPr>
            </w:pPr>
          </w:p>
        </w:tc>
        <w:tc>
          <w:tcPr>
            <w:tcW w:w="341" w:type="pct"/>
            <w:shd w:val="clear" w:color="auto" w:fill="3FB84E" w:themeFill="accent3"/>
            <w:hideMark/>
          </w:tcPr>
          <w:p w14:paraId="09D7D618"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383D1B6E"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x</w:t>
            </w:r>
          </w:p>
        </w:tc>
        <w:tc>
          <w:tcPr>
            <w:tcW w:w="1471" w:type="pct"/>
            <w:hideMark/>
          </w:tcPr>
          <w:p w14:paraId="1B521418"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No data shared but evidence that system and data exist</w:t>
            </w:r>
          </w:p>
        </w:tc>
        <w:tc>
          <w:tcPr>
            <w:tcW w:w="1923" w:type="pct"/>
            <w:hideMark/>
          </w:tcPr>
          <w:p w14:paraId="36D99AFC" w14:textId="1126639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 xml:space="preserve">HH: SIDA supported MoH surveillance project for 10 years (1996-2006) known as </w:t>
            </w:r>
            <w:r w:rsidR="00F219FF" w:rsidRPr="00BB4743">
              <w:rPr>
                <w:rFonts w:eastAsia="Times New Roman" w:cs="Calibri"/>
                <w:color w:val="auto"/>
                <w:kern w:val="24"/>
                <w:sz w:val="18"/>
                <w:szCs w:val="18"/>
                <w:lang w:eastAsia="en-GB"/>
              </w:rPr>
              <w:t>Antimicrobial Susceptibility Test</w:t>
            </w:r>
            <w:r w:rsidR="004D5424" w:rsidRPr="00BB4743">
              <w:rPr>
                <w:rFonts w:eastAsia="Times New Roman" w:cs="Calibri"/>
                <w:color w:val="auto"/>
                <w:kern w:val="24"/>
                <w:sz w:val="18"/>
                <w:szCs w:val="18"/>
                <w:lang w:eastAsia="en-GB"/>
              </w:rPr>
              <w:t>s (</w:t>
            </w:r>
            <w:r w:rsidRPr="00BB4743">
              <w:rPr>
                <w:rFonts w:eastAsia="Times New Roman" w:cs="Calibri"/>
                <w:color w:val="auto"/>
                <w:kern w:val="24"/>
                <w:sz w:val="18"/>
                <w:szCs w:val="18"/>
                <w:lang w:eastAsia="en-GB"/>
              </w:rPr>
              <w:t>AST</w:t>
            </w:r>
            <w:r w:rsidR="00681B65" w:rsidRPr="00BB4743">
              <w:rPr>
                <w:rFonts w:eastAsia="Times New Roman" w:cs="Calibri"/>
                <w:color w:val="auto"/>
                <w:kern w:val="24"/>
                <w:sz w:val="18"/>
                <w:szCs w:val="18"/>
                <w:lang w:eastAsia="en-GB"/>
              </w:rPr>
              <w:t>s</w:t>
            </w:r>
            <w:r w:rsidR="004D5424" w:rsidRPr="00BB4743">
              <w:rPr>
                <w:rFonts w:eastAsia="Times New Roman" w:cs="Calibri"/>
                <w:color w:val="auto"/>
                <w:kern w:val="24"/>
                <w:sz w:val="18"/>
                <w:szCs w:val="18"/>
                <w:lang w:eastAsia="en-GB"/>
              </w:rPr>
              <w:t>)</w:t>
            </w:r>
            <w:r w:rsidRPr="00BB4743">
              <w:rPr>
                <w:rFonts w:eastAsia="Times New Roman" w:cs="Calibri"/>
                <w:color w:val="auto"/>
                <w:kern w:val="24"/>
                <w:sz w:val="18"/>
                <w:szCs w:val="18"/>
                <w:lang w:eastAsia="en-GB"/>
              </w:rPr>
              <w:t xml:space="preserve">; </w:t>
            </w:r>
          </w:p>
          <w:p w14:paraId="551B8D36"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AH: report includes data on resistance and references multiple studies</w:t>
            </w:r>
          </w:p>
        </w:tc>
      </w:tr>
      <w:tr w:rsidR="003A78B7" w:rsidRPr="0014297B" w14:paraId="532D991F" w14:textId="77777777" w:rsidTr="5546BCA7">
        <w:trPr>
          <w:cnfStyle w:val="000000100000" w:firstRow="0" w:lastRow="0" w:firstColumn="0" w:lastColumn="0" w:oddVBand="0" w:evenVBand="0" w:oddHBand="1" w:evenHBand="0" w:firstRowFirstColumn="0" w:firstRowLastColumn="0" w:lastRowFirstColumn="0" w:lastRowLastColumn="0"/>
          <w:trHeight w:val="20"/>
        </w:trPr>
        <w:tc>
          <w:tcPr>
            <w:tcW w:w="577" w:type="pct"/>
            <w:hideMark/>
          </w:tcPr>
          <w:p w14:paraId="6D3739C6"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Ghana</w:t>
            </w:r>
          </w:p>
        </w:tc>
        <w:tc>
          <w:tcPr>
            <w:tcW w:w="341" w:type="pct"/>
            <w:shd w:val="clear" w:color="auto" w:fill="FF0000"/>
            <w:hideMark/>
          </w:tcPr>
          <w:p w14:paraId="7AB04AA6" w14:textId="77777777" w:rsidR="00CB2C9B" w:rsidRPr="0014297B" w:rsidRDefault="00CB2C9B" w:rsidP="008C1BFD">
            <w:pPr>
              <w:rPr>
                <w:rFonts w:ascii="Arial" w:eastAsia="Times New Roman" w:hAnsi="Arial"/>
                <w:sz w:val="36"/>
                <w:szCs w:val="36"/>
                <w:lang w:eastAsia="en-GB"/>
              </w:rPr>
            </w:pPr>
          </w:p>
        </w:tc>
        <w:tc>
          <w:tcPr>
            <w:tcW w:w="341" w:type="pct"/>
            <w:shd w:val="clear" w:color="auto" w:fill="FFFF00"/>
            <w:hideMark/>
          </w:tcPr>
          <w:p w14:paraId="582CCDE5"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49E3B351" w14:textId="77777777" w:rsidR="00CB2C9B" w:rsidRPr="0014297B" w:rsidRDefault="00CB2C9B" w:rsidP="008C1BFD">
            <w:pPr>
              <w:rPr>
                <w:rFonts w:ascii="Times New Roman" w:eastAsia="Times New Roman" w:hAnsi="Times New Roman" w:cs="Times New Roman"/>
                <w:sz w:val="20"/>
                <w:szCs w:val="20"/>
                <w:lang w:eastAsia="en-GB"/>
              </w:rPr>
            </w:pPr>
          </w:p>
        </w:tc>
        <w:tc>
          <w:tcPr>
            <w:tcW w:w="1471" w:type="pct"/>
            <w:hideMark/>
          </w:tcPr>
          <w:p w14:paraId="3F62FE32" w14:textId="6048B18F" w:rsidR="00CB2C9B" w:rsidRPr="0014297B" w:rsidRDefault="000E6251" w:rsidP="008C1BFD">
            <w:pPr>
              <w:textAlignment w:val="baseline"/>
              <w:rPr>
                <w:rFonts w:ascii="Arial" w:eastAsia="Times New Roman" w:hAnsi="Arial"/>
                <w:sz w:val="36"/>
                <w:szCs w:val="36"/>
                <w:lang w:eastAsia="en-GB"/>
              </w:rPr>
            </w:pPr>
            <w:r w:rsidRPr="00BB4743">
              <w:rPr>
                <w:rFonts w:eastAsia="Times New Roman" w:cs="Calibri"/>
                <w:color w:val="auto"/>
                <w:kern w:val="24"/>
                <w:sz w:val="18"/>
                <w:szCs w:val="18"/>
                <w:lang w:eastAsia="en-GB"/>
              </w:rPr>
              <w:t>D</w:t>
            </w:r>
            <w:r w:rsidR="00CB2C9B" w:rsidRPr="00BB4743">
              <w:rPr>
                <w:rFonts w:eastAsia="Times New Roman" w:cs="Calibri"/>
                <w:color w:val="auto"/>
                <w:kern w:val="24"/>
                <w:sz w:val="18"/>
                <w:szCs w:val="18"/>
                <w:lang w:eastAsia="en-GB"/>
              </w:rPr>
              <w:t>ata from 2016</w:t>
            </w:r>
            <w:r w:rsidR="007575E5" w:rsidRPr="00BB4743">
              <w:rPr>
                <w:rFonts w:eastAsia="Times New Roman" w:cs="Calibri"/>
                <w:color w:val="auto"/>
                <w:kern w:val="24"/>
                <w:sz w:val="18"/>
                <w:szCs w:val="18"/>
                <w:lang w:eastAsia="en-GB"/>
              </w:rPr>
              <w:t xml:space="preserve"> to 20</w:t>
            </w:r>
            <w:r w:rsidR="00CB2C9B" w:rsidRPr="00BB4743">
              <w:rPr>
                <w:rFonts w:eastAsia="Times New Roman" w:cs="Calibri"/>
                <w:color w:val="auto"/>
                <w:kern w:val="24"/>
                <w:sz w:val="18"/>
                <w:szCs w:val="18"/>
                <w:lang w:eastAsia="en-GB"/>
              </w:rPr>
              <w:t>18 was collected from 16 laboratories.</w:t>
            </w:r>
            <w:r w:rsidR="007458AC" w:rsidRPr="00BB4743">
              <w:rPr>
                <w:rFonts w:eastAsia="Times New Roman" w:cs="Calibri"/>
                <w:color w:val="auto"/>
                <w:kern w:val="24"/>
                <w:sz w:val="18"/>
                <w:szCs w:val="18"/>
                <w:lang w:eastAsia="en-GB"/>
              </w:rPr>
              <w:t xml:space="preserve"> </w:t>
            </w:r>
            <w:r w:rsidR="00CB2C9B" w:rsidRPr="00BB4743">
              <w:rPr>
                <w:rFonts w:eastAsia="Times New Roman" w:cs="Calibri"/>
                <w:color w:val="auto"/>
                <w:kern w:val="24"/>
                <w:sz w:val="18"/>
                <w:szCs w:val="18"/>
                <w:lang w:eastAsia="en-GB"/>
              </w:rPr>
              <w:t>24,427 total cultures, of which 17,096 were valid and 5,928 were positive</w:t>
            </w:r>
          </w:p>
        </w:tc>
        <w:tc>
          <w:tcPr>
            <w:tcW w:w="1923" w:type="pct"/>
            <w:hideMark/>
          </w:tcPr>
          <w:p w14:paraId="53BEA0D9" w14:textId="027B2C63" w:rsidR="00CB2C9B" w:rsidRPr="0014297B" w:rsidRDefault="000C5186" w:rsidP="008C1BFD">
            <w:pPr>
              <w:rPr>
                <w:rFonts w:ascii="Arial" w:eastAsia="Times New Roman" w:hAnsi="Arial"/>
                <w:sz w:val="36"/>
                <w:szCs w:val="36"/>
                <w:lang w:eastAsia="en-GB"/>
              </w:rPr>
            </w:pPr>
            <w:r>
              <w:rPr>
                <w:rFonts w:eastAsia="Times New Roman" w:cs="Calibri"/>
                <w:color w:val="auto"/>
                <w:kern w:val="24"/>
                <w:sz w:val="18"/>
                <w:szCs w:val="18"/>
                <w:lang w:eastAsia="en-GB"/>
              </w:rPr>
              <w:t>e</w:t>
            </w:r>
            <w:r w:rsidR="000E6251" w:rsidRPr="00BB4743">
              <w:rPr>
                <w:rFonts w:eastAsia="Times New Roman" w:cs="Calibri"/>
                <w:color w:val="auto"/>
                <w:kern w:val="24"/>
                <w:sz w:val="18"/>
                <w:szCs w:val="18"/>
                <w:lang w:eastAsia="en-GB"/>
              </w:rPr>
              <w:t>.g.</w:t>
            </w:r>
            <w:r w:rsidR="00CB2C9B" w:rsidRPr="00BB4743">
              <w:rPr>
                <w:rFonts w:eastAsia="Times New Roman" w:cs="Calibri"/>
                <w:color w:val="auto"/>
                <w:kern w:val="24"/>
                <w:sz w:val="18"/>
                <w:szCs w:val="18"/>
                <w:lang w:eastAsia="en-GB"/>
              </w:rPr>
              <w:t xml:space="preserve"> Laboratory-based nationwide surveillance of antimicrobial resistance in Ghana</w:t>
            </w:r>
            <w:r w:rsidR="000B46C4" w:rsidRPr="00BB4743">
              <w:rPr>
                <w:rStyle w:val="FootnoteReference"/>
                <w:rFonts w:eastAsia="Times New Roman"/>
                <w:color w:val="auto"/>
                <w:kern w:val="24"/>
                <w:lang w:eastAsia="en-GB"/>
              </w:rPr>
              <w:footnoteReference w:id="42"/>
            </w:r>
          </w:p>
        </w:tc>
      </w:tr>
      <w:tr w:rsidR="003A78B7" w:rsidRPr="0014297B" w14:paraId="166D6D3C" w14:textId="77777777" w:rsidTr="5546BCA7">
        <w:trPr>
          <w:cnfStyle w:val="000000010000" w:firstRow="0" w:lastRow="0" w:firstColumn="0" w:lastColumn="0" w:oddVBand="0" w:evenVBand="0" w:oddHBand="0" w:evenHBand="1" w:firstRowFirstColumn="0" w:firstRowLastColumn="0" w:lastRowFirstColumn="0" w:lastRowLastColumn="0"/>
          <w:trHeight w:val="20"/>
        </w:trPr>
        <w:tc>
          <w:tcPr>
            <w:tcW w:w="577" w:type="pct"/>
            <w:hideMark/>
          </w:tcPr>
          <w:p w14:paraId="17581082"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Kenya</w:t>
            </w:r>
          </w:p>
        </w:tc>
        <w:tc>
          <w:tcPr>
            <w:tcW w:w="341" w:type="pct"/>
            <w:shd w:val="clear" w:color="auto" w:fill="FF0000"/>
            <w:hideMark/>
          </w:tcPr>
          <w:p w14:paraId="287E0154" w14:textId="77777777" w:rsidR="00CB2C9B" w:rsidRPr="0014297B" w:rsidRDefault="00CB2C9B" w:rsidP="008C1BFD">
            <w:pPr>
              <w:rPr>
                <w:rFonts w:ascii="Arial" w:eastAsia="Times New Roman" w:hAnsi="Arial"/>
                <w:sz w:val="36"/>
                <w:szCs w:val="36"/>
                <w:lang w:eastAsia="en-GB"/>
              </w:rPr>
            </w:pPr>
          </w:p>
        </w:tc>
        <w:tc>
          <w:tcPr>
            <w:tcW w:w="341" w:type="pct"/>
            <w:shd w:val="clear" w:color="auto" w:fill="3FB84E" w:themeFill="accent3"/>
            <w:hideMark/>
          </w:tcPr>
          <w:p w14:paraId="0505AC8A"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45B8E660"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x</w:t>
            </w:r>
          </w:p>
        </w:tc>
        <w:tc>
          <w:tcPr>
            <w:tcW w:w="1471" w:type="pct"/>
            <w:hideMark/>
          </w:tcPr>
          <w:p w14:paraId="616ACC36" w14:textId="61BD65F9" w:rsidR="00CB2C9B" w:rsidRPr="0014297B" w:rsidRDefault="000E6251"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D</w:t>
            </w:r>
            <w:r w:rsidR="00CB2C9B" w:rsidRPr="00BB4743">
              <w:rPr>
                <w:rFonts w:eastAsia="Times New Roman" w:cs="Calibri"/>
                <w:color w:val="auto"/>
                <w:kern w:val="24"/>
                <w:sz w:val="18"/>
                <w:szCs w:val="18"/>
                <w:lang w:eastAsia="en-GB"/>
              </w:rPr>
              <w:t>ata from 2016</w:t>
            </w:r>
            <w:r w:rsidR="007575E5" w:rsidRPr="00BB4743">
              <w:rPr>
                <w:rFonts w:eastAsia="Times New Roman" w:cs="Calibri"/>
                <w:color w:val="auto"/>
                <w:kern w:val="24"/>
                <w:sz w:val="18"/>
                <w:szCs w:val="18"/>
                <w:lang w:eastAsia="en-GB"/>
              </w:rPr>
              <w:t xml:space="preserve"> to 20</w:t>
            </w:r>
            <w:r w:rsidR="00CB2C9B" w:rsidRPr="00BB4743">
              <w:rPr>
                <w:rFonts w:eastAsia="Times New Roman" w:cs="Calibri"/>
                <w:color w:val="auto"/>
                <w:kern w:val="24"/>
                <w:sz w:val="18"/>
                <w:szCs w:val="18"/>
                <w:lang w:eastAsia="en-GB"/>
              </w:rPr>
              <w:t>18 was collected from 16 laboratories.</w:t>
            </w:r>
            <w:r w:rsidR="007458AC" w:rsidRPr="00BB4743">
              <w:rPr>
                <w:rFonts w:eastAsia="Times New Roman" w:cs="Calibri"/>
                <w:color w:val="auto"/>
                <w:kern w:val="24"/>
                <w:sz w:val="18"/>
                <w:szCs w:val="18"/>
                <w:lang w:eastAsia="en-GB"/>
              </w:rPr>
              <w:t xml:space="preserve"> </w:t>
            </w:r>
            <w:r w:rsidR="00CB2C9B" w:rsidRPr="00BB4743">
              <w:rPr>
                <w:rFonts w:eastAsia="Times New Roman" w:cs="Calibri"/>
                <w:color w:val="auto"/>
                <w:kern w:val="24"/>
                <w:sz w:val="18"/>
                <w:szCs w:val="18"/>
                <w:lang w:eastAsia="en-GB"/>
              </w:rPr>
              <w:t xml:space="preserve">66,835 total cultures, of which 64,328 were valid and 23,578 were positive. </w:t>
            </w:r>
          </w:p>
        </w:tc>
        <w:tc>
          <w:tcPr>
            <w:tcW w:w="1923" w:type="pct"/>
            <w:hideMark/>
          </w:tcPr>
          <w:p w14:paraId="59291D91" w14:textId="4A628D3C"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 xml:space="preserve">HH: efforts to provide resistance trends: CDC, </w:t>
            </w:r>
            <w:r w:rsidR="00CA2548" w:rsidRPr="00BB4743">
              <w:rPr>
                <w:rFonts w:eastAsia="Times New Roman" w:cs="Calibri"/>
                <w:color w:val="auto"/>
                <w:kern w:val="24"/>
                <w:sz w:val="18"/>
                <w:szCs w:val="18"/>
                <w:lang w:eastAsia="en-GB"/>
              </w:rPr>
              <w:t>Kenya Medical Research Institute (</w:t>
            </w:r>
            <w:r w:rsidRPr="00BB4743">
              <w:rPr>
                <w:rFonts w:eastAsia="Times New Roman" w:cs="Calibri"/>
                <w:color w:val="auto"/>
                <w:kern w:val="24"/>
                <w:sz w:val="18"/>
                <w:szCs w:val="18"/>
                <w:lang w:eastAsia="en-GB"/>
              </w:rPr>
              <w:t>KEMRI</w:t>
            </w:r>
            <w:r w:rsidR="00CA2548" w:rsidRPr="00BB4743">
              <w:rPr>
                <w:rFonts w:eastAsia="Times New Roman" w:cs="Calibri"/>
                <w:color w:val="auto"/>
                <w:kern w:val="24"/>
                <w:sz w:val="18"/>
                <w:szCs w:val="18"/>
                <w:lang w:eastAsia="en-GB"/>
              </w:rPr>
              <w:t>)</w:t>
            </w:r>
            <w:r w:rsidRPr="00BB4743">
              <w:rPr>
                <w:rFonts w:eastAsia="Times New Roman" w:cs="Calibri"/>
                <w:color w:val="auto"/>
                <w:kern w:val="24"/>
                <w:sz w:val="18"/>
                <w:szCs w:val="18"/>
                <w:lang w:eastAsia="en-GB"/>
              </w:rPr>
              <w:t>, Agha Khan Uni</w:t>
            </w:r>
            <w:r w:rsidR="00787049" w:rsidRPr="00BB4743">
              <w:rPr>
                <w:rFonts w:eastAsia="Times New Roman" w:cs="Calibri"/>
                <w:color w:val="auto"/>
                <w:kern w:val="24"/>
                <w:sz w:val="18"/>
                <w:szCs w:val="18"/>
                <w:lang w:eastAsia="en-GB"/>
              </w:rPr>
              <w:t>versity</w:t>
            </w:r>
            <w:r w:rsidRPr="00BB4743">
              <w:rPr>
                <w:rFonts w:eastAsia="Times New Roman" w:cs="Calibri"/>
                <w:color w:val="auto"/>
                <w:kern w:val="24"/>
                <w:sz w:val="18"/>
                <w:szCs w:val="18"/>
                <w:lang w:eastAsia="en-GB"/>
              </w:rPr>
              <w:t xml:space="preserve"> hospital </w:t>
            </w:r>
          </w:p>
          <w:p w14:paraId="19601760" w14:textId="39FDEDA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AH: KEMRI surveillance study on</w:t>
            </w:r>
            <w:r w:rsidR="007458AC" w:rsidRPr="00BB4743">
              <w:rPr>
                <w:rFonts w:eastAsia="Times New Roman" w:cs="Calibri"/>
                <w:color w:val="auto"/>
                <w:kern w:val="24"/>
                <w:sz w:val="18"/>
                <w:szCs w:val="18"/>
                <w:lang w:eastAsia="en-GB"/>
              </w:rPr>
              <w:t xml:space="preserve"> </w:t>
            </w:r>
            <w:r w:rsidRPr="00BB4743">
              <w:rPr>
                <w:rFonts w:eastAsia="Times New Roman" w:cs="Calibri"/>
                <w:color w:val="auto"/>
                <w:kern w:val="24"/>
                <w:sz w:val="18"/>
                <w:szCs w:val="18"/>
                <w:lang w:eastAsia="en-GB"/>
              </w:rPr>
              <w:t>antibiotic resistance rates in poultry</w:t>
            </w:r>
          </w:p>
        </w:tc>
      </w:tr>
      <w:tr w:rsidR="003A78B7" w:rsidRPr="0014297B" w14:paraId="7AC8C7C1" w14:textId="77777777" w:rsidTr="004A02E2">
        <w:trPr>
          <w:cnfStyle w:val="000000100000" w:firstRow="0" w:lastRow="0" w:firstColumn="0" w:lastColumn="0" w:oddVBand="0" w:evenVBand="0" w:oddHBand="1" w:evenHBand="0" w:firstRowFirstColumn="0" w:firstRowLastColumn="0" w:lastRowFirstColumn="0" w:lastRowLastColumn="0"/>
          <w:trHeight w:val="20"/>
        </w:trPr>
        <w:tc>
          <w:tcPr>
            <w:tcW w:w="577" w:type="pct"/>
            <w:hideMark/>
          </w:tcPr>
          <w:p w14:paraId="7F04427A" w14:textId="0411260F"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Laos</w:t>
            </w:r>
            <w:r w:rsidR="00F335F4">
              <w:rPr>
                <w:rStyle w:val="FootnoteReference"/>
                <w:rFonts w:eastAsia="Times New Roman"/>
                <w:color w:val="auto"/>
                <w:kern w:val="24"/>
                <w:lang w:eastAsia="en-GB"/>
              </w:rPr>
              <w:footnoteReference w:id="43"/>
            </w:r>
          </w:p>
        </w:tc>
        <w:tc>
          <w:tcPr>
            <w:tcW w:w="341" w:type="pct"/>
            <w:shd w:val="clear" w:color="auto" w:fill="3FB84E" w:themeFill="accent3"/>
            <w:hideMark/>
          </w:tcPr>
          <w:p w14:paraId="61773E8D" w14:textId="77777777" w:rsidR="00CB2C9B" w:rsidRPr="0014297B" w:rsidRDefault="00CB2C9B" w:rsidP="008C1BFD">
            <w:pPr>
              <w:rPr>
                <w:rFonts w:ascii="Arial" w:eastAsia="Times New Roman" w:hAnsi="Arial"/>
                <w:sz w:val="36"/>
                <w:szCs w:val="36"/>
                <w:lang w:eastAsia="en-GB"/>
              </w:rPr>
            </w:pPr>
          </w:p>
        </w:tc>
        <w:tc>
          <w:tcPr>
            <w:tcW w:w="341" w:type="pct"/>
            <w:shd w:val="clear" w:color="auto" w:fill="3FB84E" w:themeFill="accent3"/>
            <w:hideMark/>
          </w:tcPr>
          <w:p w14:paraId="36A7875B"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shd w:val="clear" w:color="auto" w:fill="auto"/>
            <w:hideMark/>
          </w:tcPr>
          <w:p w14:paraId="5400899F" w14:textId="49C332B1" w:rsidR="00CB2C9B" w:rsidRPr="00F335F4" w:rsidRDefault="00F335F4" w:rsidP="008C1BFD">
            <w:pPr>
              <w:rPr>
                <w:rFonts w:ascii="Arial" w:eastAsia="Times New Roman" w:hAnsi="Arial"/>
                <w:sz w:val="18"/>
                <w:szCs w:val="18"/>
                <w:lang w:eastAsia="en-GB"/>
              </w:rPr>
            </w:pPr>
            <w:r w:rsidRPr="00F335F4">
              <w:rPr>
                <w:rFonts w:eastAsia="Times New Roman"/>
                <w:sz w:val="18"/>
                <w:szCs w:val="18"/>
                <w:lang w:eastAsia="en-GB"/>
              </w:rPr>
              <w:t>?</w:t>
            </w:r>
          </w:p>
        </w:tc>
        <w:tc>
          <w:tcPr>
            <w:tcW w:w="1471" w:type="pct"/>
            <w:hideMark/>
          </w:tcPr>
          <w:p w14:paraId="33AC7141" w14:textId="5D930498"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Over 5,500 samples from 2016</w:t>
            </w:r>
            <w:r w:rsidR="007575E5" w:rsidRPr="00BB4743">
              <w:rPr>
                <w:rFonts w:eastAsia="Times New Roman" w:cs="Calibri"/>
                <w:color w:val="auto"/>
                <w:kern w:val="24"/>
                <w:sz w:val="18"/>
                <w:szCs w:val="18"/>
                <w:lang w:eastAsia="en-GB"/>
              </w:rPr>
              <w:t xml:space="preserve"> to </w:t>
            </w:r>
            <w:r w:rsidRPr="00BB4743">
              <w:rPr>
                <w:rFonts w:eastAsia="Times New Roman" w:cs="Calibri"/>
                <w:color w:val="auto"/>
                <w:kern w:val="24"/>
                <w:sz w:val="18"/>
                <w:szCs w:val="18"/>
                <w:lang w:eastAsia="en-GB"/>
              </w:rPr>
              <w:t xml:space="preserve">2018, including from over 15 sites which contribute over 100 samples each during the three-year period. </w:t>
            </w:r>
          </w:p>
        </w:tc>
        <w:tc>
          <w:tcPr>
            <w:tcW w:w="1923" w:type="pct"/>
            <w:hideMark/>
          </w:tcPr>
          <w:p w14:paraId="798191F1" w14:textId="77777777" w:rsidR="00CB2C9B" w:rsidRPr="0014297B" w:rsidRDefault="00CB2C9B" w:rsidP="008C1BFD">
            <w:pPr>
              <w:rPr>
                <w:rFonts w:ascii="Arial" w:eastAsia="Times New Roman" w:hAnsi="Arial"/>
                <w:sz w:val="36"/>
                <w:szCs w:val="36"/>
                <w:lang w:eastAsia="en-GB"/>
              </w:rPr>
            </w:pPr>
          </w:p>
        </w:tc>
      </w:tr>
      <w:tr w:rsidR="003A78B7" w:rsidRPr="0014297B" w14:paraId="651EA4F7" w14:textId="77777777" w:rsidTr="5546BCA7">
        <w:trPr>
          <w:cnfStyle w:val="000000010000" w:firstRow="0" w:lastRow="0" w:firstColumn="0" w:lastColumn="0" w:oddVBand="0" w:evenVBand="0" w:oddHBand="0" w:evenHBand="1" w:firstRowFirstColumn="0" w:firstRowLastColumn="0" w:lastRowFirstColumn="0" w:lastRowLastColumn="0"/>
          <w:trHeight w:val="20"/>
        </w:trPr>
        <w:tc>
          <w:tcPr>
            <w:tcW w:w="577" w:type="pct"/>
            <w:hideMark/>
          </w:tcPr>
          <w:p w14:paraId="03A42509"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Nepal</w:t>
            </w:r>
          </w:p>
        </w:tc>
        <w:tc>
          <w:tcPr>
            <w:tcW w:w="341" w:type="pct"/>
            <w:shd w:val="clear" w:color="auto" w:fill="3FB84E" w:themeFill="accent3"/>
            <w:hideMark/>
          </w:tcPr>
          <w:p w14:paraId="4B2D8FBA" w14:textId="77777777" w:rsidR="00CB2C9B" w:rsidRPr="0014297B" w:rsidRDefault="00CB2C9B" w:rsidP="008C1BFD">
            <w:pPr>
              <w:rPr>
                <w:rFonts w:ascii="Arial" w:eastAsia="Times New Roman" w:hAnsi="Arial"/>
                <w:sz w:val="36"/>
                <w:szCs w:val="36"/>
                <w:lang w:eastAsia="en-GB"/>
              </w:rPr>
            </w:pPr>
          </w:p>
        </w:tc>
        <w:tc>
          <w:tcPr>
            <w:tcW w:w="341" w:type="pct"/>
            <w:shd w:val="clear" w:color="auto" w:fill="3FB84E" w:themeFill="accent3"/>
            <w:hideMark/>
          </w:tcPr>
          <w:p w14:paraId="2DEFBB06"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60E69099"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x</w:t>
            </w:r>
          </w:p>
        </w:tc>
        <w:tc>
          <w:tcPr>
            <w:tcW w:w="1471" w:type="pct"/>
            <w:hideMark/>
          </w:tcPr>
          <w:p w14:paraId="08461900"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11/39 facilities have 3+years of AMR data</w:t>
            </w:r>
          </w:p>
        </w:tc>
        <w:tc>
          <w:tcPr>
            <w:tcW w:w="1923" w:type="pct"/>
            <w:hideMark/>
          </w:tcPr>
          <w:p w14:paraId="0439B932"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 xml:space="preserve">HH: individual studies documented </w:t>
            </w:r>
          </w:p>
          <w:p w14:paraId="35825C60" w14:textId="1CB0AEE3"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AH: v</w:t>
            </w:r>
            <w:r w:rsidR="00756D54" w:rsidRPr="00BB4743">
              <w:rPr>
                <w:rFonts w:eastAsia="Times New Roman" w:cs="Calibri"/>
                <w:color w:val="auto"/>
                <w:kern w:val="24"/>
                <w:sz w:val="18"/>
                <w:szCs w:val="18"/>
                <w:lang w:eastAsia="en-GB"/>
              </w:rPr>
              <w:t>ery</w:t>
            </w:r>
            <w:r w:rsidRPr="00BB4743">
              <w:rPr>
                <w:rFonts w:eastAsia="Times New Roman" w:cs="Calibri"/>
                <w:color w:val="auto"/>
                <w:kern w:val="24"/>
                <w:sz w:val="18"/>
                <w:szCs w:val="18"/>
                <w:lang w:eastAsia="en-GB"/>
              </w:rPr>
              <w:t xml:space="preserve"> few studies carried out but some do exist</w:t>
            </w:r>
          </w:p>
        </w:tc>
      </w:tr>
      <w:tr w:rsidR="003A78B7" w:rsidRPr="0014297B" w14:paraId="732A457E" w14:textId="77777777" w:rsidTr="00C644BD">
        <w:trPr>
          <w:cnfStyle w:val="000000100000" w:firstRow="0" w:lastRow="0" w:firstColumn="0" w:lastColumn="0" w:oddVBand="0" w:evenVBand="0" w:oddHBand="1" w:evenHBand="0" w:firstRowFirstColumn="0" w:firstRowLastColumn="0" w:lastRowFirstColumn="0" w:lastRowLastColumn="0"/>
          <w:trHeight w:val="1173"/>
        </w:trPr>
        <w:tc>
          <w:tcPr>
            <w:tcW w:w="577" w:type="pct"/>
            <w:hideMark/>
          </w:tcPr>
          <w:p w14:paraId="63AB8C9E"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Pakistan</w:t>
            </w:r>
          </w:p>
        </w:tc>
        <w:tc>
          <w:tcPr>
            <w:tcW w:w="341" w:type="pct"/>
            <w:shd w:val="clear" w:color="auto" w:fill="FFFF00"/>
            <w:hideMark/>
          </w:tcPr>
          <w:p w14:paraId="473E7106" w14:textId="77777777" w:rsidR="00CB2C9B" w:rsidRPr="0014297B" w:rsidRDefault="00CB2C9B" w:rsidP="008C1BFD">
            <w:pPr>
              <w:rPr>
                <w:rFonts w:ascii="Arial" w:eastAsia="Times New Roman" w:hAnsi="Arial"/>
                <w:sz w:val="36"/>
                <w:szCs w:val="36"/>
                <w:lang w:eastAsia="en-GB"/>
              </w:rPr>
            </w:pPr>
          </w:p>
        </w:tc>
        <w:tc>
          <w:tcPr>
            <w:tcW w:w="341" w:type="pct"/>
            <w:shd w:val="clear" w:color="auto" w:fill="3FB84E" w:themeFill="accent3"/>
            <w:hideMark/>
          </w:tcPr>
          <w:p w14:paraId="4182D509"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53339CA6"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x</w:t>
            </w:r>
          </w:p>
        </w:tc>
        <w:tc>
          <w:tcPr>
            <w:tcW w:w="1471" w:type="pct"/>
            <w:hideMark/>
          </w:tcPr>
          <w:p w14:paraId="7E0D7919" w14:textId="2FD37A1F" w:rsidR="00CB2C9B" w:rsidRPr="0014297B" w:rsidRDefault="599470DC"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8 of the facilities us</w:t>
            </w:r>
            <w:r w:rsidR="1D3E28FC" w:rsidRPr="00BB4743">
              <w:rPr>
                <w:rFonts w:eastAsia="Times New Roman" w:cs="Calibri"/>
                <w:color w:val="auto"/>
                <w:kern w:val="24"/>
                <w:sz w:val="18"/>
                <w:szCs w:val="18"/>
                <w:lang w:eastAsia="en-GB"/>
              </w:rPr>
              <w:t>ed</w:t>
            </w:r>
            <w:r w:rsidRPr="00BB4743">
              <w:rPr>
                <w:rFonts w:eastAsia="Times New Roman" w:cs="Calibri"/>
                <w:color w:val="auto"/>
                <w:kern w:val="24"/>
                <w:sz w:val="18"/>
                <w:szCs w:val="18"/>
                <w:lang w:eastAsia="en-GB"/>
              </w:rPr>
              <w:t xml:space="preserve"> </w:t>
            </w:r>
            <w:r w:rsidR="00A03B53" w:rsidRPr="00A03B53">
              <w:rPr>
                <w:rFonts w:eastAsia="Times New Roman" w:cs="Calibri"/>
                <w:color w:val="auto"/>
                <w:kern w:val="24"/>
                <w:sz w:val="18"/>
                <w:szCs w:val="18"/>
                <w:lang w:eastAsia="en-GB"/>
              </w:rPr>
              <w:t xml:space="preserve">Local Information Management Systems (LIMS) </w:t>
            </w:r>
            <w:r w:rsidRPr="00BB4743">
              <w:rPr>
                <w:rFonts w:eastAsia="Times New Roman" w:cs="Calibri"/>
                <w:color w:val="auto"/>
                <w:kern w:val="24"/>
                <w:sz w:val="18"/>
                <w:szCs w:val="18"/>
                <w:lang w:eastAsia="en-GB"/>
              </w:rPr>
              <w:t>for recording AST data and ha</w:t>
            </w:r>
            <w:r w:rsidR="6FCFD707" w:rsidRPr="00BB4743">
              <w:rPr>
                <w:rFonts w:eastAsia="Times New Roman" w:cs="Calibri"/>
                <w:color w:val="auto"/>
                <w:kern w:val="24"/>
                <w:sz w:val="18"/>
                <w:szCs w:val="18"/>
                <w:lang w:eastAsia="en-GB"/>
              </w:rPr>
              <w:t>d</w:t>
            </w:r>
            <w:r w:rsidRPr="00BB4743">
              <w:rPr>
                <w:rFonts w:eastAsia="Times New Roman" w:cs="Calibri"/>
                <w:color w:val="auto"/>
                <w:kern w:val="24"/>
                <w:sz w:val="18"/>
                <w:szCs w:val="18"/>
                <w:lang w:eastAsia="en-GB"/>
              </w:rPr>
              <w:t xml:space="preserve"> 3-10 years of e-records on AST available</w:t>
            </w:r>
          </w:p>
        </w:tc>
        <w:tc>
          <w:tcPr>
            <w:tcW w:w="1923" w:type="pct"/>
            <w:hideMark/>
          </w:tcPr>
          <w:p w14:paraId="3838019A" w14:textId="57A23EF2" w:rsidR="00417D67" w:rsidRDefault="599470DC" w:rsidP="008C1BFD">
            <w:pPr>
              <w:rPr>
                <w:rFonts w:eastAsia="Times New Roman" w:cs="Calibri"/>
                <w:color w:val="auto"/>
                <w:kern w:val="24"/>
                <w:sz w:val="18"/>
                <w:szCs w:val="18"/>
                <w:lang w:eastAsia="en-GB"/>
              </w:rPr>
            </w:pPr>
            <w:r w:rsidRPr="00BB4743">
              <w:rPr>
                <w:rFonts w:eastAsia="Times New Roman" w:cs="Calibri"/>
                <w:color w:val="auto"/>
                <w:kern w:val="24"/>
                <w:sz w:val="18"/>
                <w:szCs w:val="18"/>
                <w:lang w:eastAsia="en-GB"/>
              </w:rPr>
              <w:t xml:space="preserve">HH: data from journals (2006-16) and from Karachi </w:t>
            </w:r>
            <w:r w:rsidR="00681B65" w:rsidRPr="00BB4743">
              <w:rPr>
                <w:rFonts w:eastAsia="Times New Roman" w:cs="Calibri"/>
                <w:color w:val="auto"/>
                <w:kern w:val="24"/>
                <w:sz w:val="18"/>
                <w:szCs w:val="18"/>
                <w:lang w:eastAsia="en-GB"/>
              </w:rPr>
              <w:t>laboratories</w:t>
            </w:r>
            <w:r w:rsidRPr="00BB4743">
              <w:rPr>
                <w:rFonts w:eastAsia="Times New Roman" w:cs="Calibri"/>
                <w:color w:val="auto"/>
                <w:kern w:val="24"/>
                <w:sz w:val="18"/>
                <w:szCs w:val="18"/>
                <w:lang w:eastAsia="en-GB"/>
              </w:rPr>
              <w:t xml:space="preserve"> (2013-15) </w:t>
            </w:r>
            <w:r w:rsidR="00417D67" w:rsidRPr="00417D67">
              <w:rPr>
                <w:rFonts w:eastAsia="Times New Roman" w:cs="Calibri"/>
                <w:color w:val="auto"/>
                <w:kern w:val="24"/>
                <w:sz w:val="18"/>
                <w:szCs w:val="18"/>
                <w:lang w:eastAsia="en-GB"/>
              </w:rPr>
              <w:t>by Pakistan Antimicrobial Resistance Network (PARN)</w:t>
            </w:r>
          </w:p>
          <w:p w14:paraId="1CF4B757" w14:textId="1BFC46E2"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AH: multiple studies listed</w:t>
            </w:r>
          </w:p>
        </w:tc>
      </w:tr>
      <w:tr w:rsidR="003A78B7" w:rsidRPr="0014297B" w14:paraId="7E6ED506" w14:textId="77777777" w:rsidTr="5546BCA7">
        <w:trPr>
          <w:cnfStyle w:val="000000010000" w:firstRow="0" w:lastRow="0" w:firstColumn="0" w:lastColumn="0" w:oddVBand="0" w:evenVBand="0" w:oddHBand="0" w:evenHBand="1" w:firstRowFirstColumn="0" w:firstRowLastColumn="0" w:lastRowFirstColumn="0" w:lastRowLastColumn="0"/>
          <w:trHeight w:val="20"/>
        </w:trPr>
        <w:tc>
          <w:tcPr>
            <w:tcW w:w="577" w:type="pct"/>
            <w:hideMark/>
          </w:tcPr>
          <w:p w14:paraId="37B8D827"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Tanzania</w:t>
            </w:r>
          </w:p>
        </w:tc>
        <w:tc>
          <w:tcPr>
            <w:tcW w:w="341" w:type="pct"/>
            <w:shd w:val="clear" w:color="auto" w:fill="FF0000"/>
            <w:hideMark/>
          </w:tcPr>
          <w:p w14:paraId="494920DE" w14:textId="77777777" w:rsidR="00CB2C9B" w:rsidRPr="0014297B" w:rsidRDefault="00CB2C9B" w:rsidP="008C1BFD">
            <w:pPr>
              <w:rPr>
                <w:rFonts w:ascii="Arial" w:eastAsia="Times New Roman" w:hAnsi="Arial"/>
                <w:sz w:val="36"/>
                <w:szCs w:val="36"/>
                <w:lang w:eastAsia="en-GB"/>
              </w:rPr>
            </w:pPr>
          </w:p>
        </w:tc>
        <w:tc>
          <w:tcPr>
            <w:tcW w:w="341" w:type="pct"/>
            <w:shd w:val="clear" w:color="auto" w:fill="3FB84E" w:themeFill="accent3"/>
            <w:hideMark/>
          </w:tcPr>
          <w:p w14:paraId="157EB02E"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38398BC9"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x</w:t>
            </w:r>
          </w:p>
        </w:tc>
        <w:tc>
          <w:tcPr>
            <w:tcW w:w="1471" w:type="pct"/>
            <w:hideMark/>
          </w:tcPr>
          <w:p w14:paraId="2D8FC551" w14:textId="4F698266" w:rsidR="00CB2C9B" w:rsidRPr="0014297B" w:rsidRDefault="000E6251" w:rsidP="007575E5">
            <w:pPr>
              <w:rPr>
                <w:rFonts w:ascii="Arial" w:eastAsia="Times New Roman" w:hAnsi="Arial"/>
                <w:sz w:val="36"/>
                <w:szCs w:val="36"/>
                <w:lang w:eastAsia="en-GB"/>
              </w:rPr>
            </w:pPr>
            <w:r w:rsidRPr="00BB4743">
              <w:rPr>
                <w:rFonts w:eastAsia="Times New Roman" w:cs="Calibri"/>
                <w:color w:val="auto"/>
                <w:kern w:val="24"/>
                <w:sz w:val="18"/>
                <w:szCs w:val="18"/>
                <w:lang w:eastAsia="en-GB"/>
              </w:rPr>
              <w:t>D</w:t>
            </w:r>
            <w:r w:rsidR="00CB2C9B" w:rsidRPr="00BB4743">
              <w:rPr>
                <w:rFonts w:eastAsia="Times New Roman" w:cs="Calibri"/>
                <w:color w:val="auto"/>
                <w:kern w:val="24"/>
                <w:sz w:val="18"/>
                <w:szCs w:val="18"/>
                <w:lang w:eastAsia="en-GB"/>
              </w:rPr>
              <w:t>ata available for 2016</w:t>
            </w:r>
            <w:r w:rsidR="007575E5" w:rsidRPr="00BB4743">
              <w:rPr>
                <w:rFonts w:eastAsia="Times New Roman" w:cs="Calibri"/>
                <w:color w:val="auto"/>
                <w:kern w:val="24"/>
                <w:sz w:val="18"/>
                <w:szCs w:val="18"/>
                <w:lang w:eastAsia="en-GB"/>
              </w:rPr>
              <w:t xml:space="preserve"> to </w:t>
            </w:r>
            <w:r w:rsidR="00CB2C9B" w:rsidRPr="00BB4743">
              <w:rPr>
                <w:rFonts w:eastAsia="Times New Roman" w:cs="Calibri"/>
                <w:color w:val="auto"/>
                <w:kern w:val="24"/>
                <w:sz w:val="18"/>
                <w:szCs w:val="18"/>
                <w:lang w:eastAsia="en-GB"/>
              </w:rPr>
              <w:t xml:space="preserve">2018 </w:t>
            </w:r>
          </w:p>
        </w:tc>
        <w:tc>
          <w:tcPr>
            <w:tcW w:w="1923" w:type="pct"/>
            <w:hideMark/>
          </w:tcPr>
          <w:p w14:paraId="7F916E44" w14:textId="1DBC6D01"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HH: 58 studies listed in 2015 GARP report from 1999</w:t>
            </w:r>
            <w:r w:rsidR="007575E5" w:rsidRPr="00BB4743">
              <w:rPr>
                <w:rFonts w:eastAsia="Times New Roman" w:cs="Calibri"/>
                <w:color w:val="auto"/>
                <w:kern w:val="24"/>
                <w:sz w:val="18"/>
                <w:szCs w:val="18"/>
                <w:lang w:eastAsia="en-GB"/>
              </w:rPr>
              <w:t xml:space="preserve"> to </w:t>
            </w:r>
            <w:r w:rsidRPr="00BB4743">
              <w:rPr>
                <w:rFonts w:eastAsia="Times New Roman" w:cs="Calibri"/>
                <w:color w:val="auto"/>
                <w:kern w:val="24"/>
                <w:sz w:val="18"/>
                <w:szCs w:val="18"/>
                <w:lang w:eastAsia="en-GB"/>
              </w:rPr>
              <w:t>2015</w:t>
            </w:r>
          </w:p>
          <w:p w14:paraId="09402F9A" w14:textId="60AE930E"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AH: 3 studies listed in 2015 GARP report from 2004</w:t>
            </w:r>
            <w:r w:rsidR="007575E5" w:rsidRPr="00BB4743">
              <w:rPr>
                <w:rFonts w:eastAsia="Times New Roman" w:cs="Calibri"/>
                <w:color w:val="auto"/>
                <w:kern w:val="24"/>
                <w:sz w:val="18"/>
                <w:szCs w:val="18"/>
                <w:lang w:eastAsia="en-GB"/>
              </w:rPr>
              <w:t xml:space="preserve"> to 20</w:t>
            </w:r>
            <w:r w:rsidRPr="00BB4743">
              <w:rPr>
                <w:rFonts w:eastAsia="Times New Roman" w:cs="Calibri"/>
                <w:color w:val="auto"/>
                <w:kern w:val="24"/>
                <w:sz w:val="18"/>
                <w:szCs w:val="18"/>
                <w:lang w:eastAsia="en-GB"/>
              </w:rPr>
              <w:t xml:space="preserve">12 </w:t>
            </w:r>
          </w:p>
        </w:tc>
      </w:tr>
      <w:tr w:rsidR="003A78B7" w:rsidRPr="0014297B" w14:paraId="0AACA52B" w14:textId="77777777" w:rsidTr="5546BCA7">
        <w:trPr>
          <w:cnfStyle w:val="000000100000" w:firstRow="0" w:lastRow="0" w:firstColumn="0" w:lastColumn="0" w:oddVBand="0" w:evenVBand="0" w:oddHBand="1" w:evenHBand="0" w:firstRowFirstColumn="0" w:firstRowLastColumn="0" w:lastRowFirstColumn="0" w:lastRowLastColumn="0"/>
          <w:trHeight w:val="20"/>
        </w:trPr>
        <w:tc>
          <w:tcPr>
            <w:tcW w:w="577" w:type="pct"/>
            <w:hideMark/>
          </w:tcPr>
          <w:p w14:paraId="7CEF3C37"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Uganda</w:t>
            </w:r>
          </w:p>
        </w:tc>
        <w:tc>
          <w:tcPr>
            <w:tcW w:w="341" w:type="pct"/>
            <w:shd w:val="clear" w:color="auto" w:fill="3FB84E" w:themeFill="accent3"/>
            <w:hideMark/>
          </w:tcPr>
          <w:p w14:paraId="00E5FFB2" w14:textId="77777777" w:rsidR="00CB2C9B" w:rsidRPr="0014297B" w:rsidRDefault="00CB2C9B" w:rsidP="008C1BFD">
            <w:pPr>
              <w:rPr>
                <w:rFonts w:ascii="Arial" w:eastAsia="Times New Roman" w:hAnsi="Arial"/>
                <w:sz w:val="36"/>
                <w:szCs w:val="36"/>
                <w:lang w:eastAsia="en-GB"/>
              </w:rPr>
            </w:pPr>
          </w:p>
        </w:tc>
        <w:tc>
          <w:tcPr>
            <w:tcW w:w="341" w:type="pct"/>
            <w:shd w:val="clear" w:color="auto" w:fill="FF0000"/>
            <w:hideMark/>
          </w:tcPr>
          <w:p w14:paraId="128F10EE"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158935F5"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x</w:t>
            </w:r>
          </w:p>
        </w:tc>
        <w:tc>
          <w:tcPr>
            <w:tcW w:w="1471" w:type="pct"/>
            <w:hideMark/>
          </w:tcPr>
          <w:p w14:paraId="4BE7BF86" w14:textId="41D10446" w:rsidR="00CB2C9B" w:rsidRPr="0014297B" w:rsidRDefault="000E6251" w:rsidP="008C1BFD">
            <w:pPr>
              <w:textAlignment w:val="baseline"/>
              <w:rPr>
                <w:rFonts w:ascii="Arial" w:eastAsia="Times New Roman" w:hAnsi="Arial"/>
                <w:sz w:val="36"/>
                <w:szCs w:val="36"/>
                <w:lang w:eastAsia="en-GB"/>
              </w:rPr>
            </w:pPr>
            <w:r w:rsidRPr="00BB4743">
              <w:rPr>
                <w:rFonts w:eastAsia="Times New Roman" w:cs="Calibri"/>
                <w:color w:val="auto"/>
                <w:kern w:val="24"/>
                <w:sz w:val="18"/>
                <w:szCs w:val="18"/>
                <w:lang w:eastAsia="en-GB"/>
              </w:rPr>
              <w:t>D</w:t>
            </w:r>
            <w:r w:rsidR="00CB2C9B" w:rsidRPr="00BB4743">
              <w:rPr>
                <w:rFonts w:eastAsia="Times New Roman" w:cs="Calibri"/>
                <w:color w:val="auto"/>
                <w:kern w:val="24"/>
                <w:sz w:val="18"/>
                <w:szCs w:val="18"/>
                <w:lang w:eastAsia="en-GB"/>
              </w:rPr>
              <w:t>ata from 2016</w:t>
            </w:r>
            <w:r w:rsidR="007575E5" w:rsidRPr="00BB4743">
              <w:rPr>
                <w:rFonts w:eastAsia="Times New Roman" w:cs="Calibri"/>
                <w:color w:val="auto"/>
                <w:kern w:val="24"/>
                <w:sz w:val="18"/>
                <w:szCs w:val="18"/>
                <w:lang w:eastAsia="en-GB"/>
              </w:rPr>
              <w:t xml:space="preserve"> to 20</w:t>
            </w:r>
            <w:r w:rsidR="00CB2C9B" w:rsidRPr="00BB4743">
              <w:rPr>
                <w:rFonts w:eastAsia="Times New Roman" w:cs="Calibri"/>
                <w:color w:val="auto"/>
                <w:kern w:val="24"/>
                <w:sz w:val="18"/>
                <w:szCs w:val="18"/>
                <w:lang w:eastAsia="en-GB"/>
              </w:rPr>
              <w:t>18 was collected from 16 laboratories.</w:t>
            </w:r>
            <w:r w:rsidR="007458AC" w:rsidRPr="00BB4743">
              <w:rPr>
                <w:rFonts w:eastAsia="Times New Roman" w:cs="Calibri"/>
                <w:color w:val="auto"/>
                <w:kern w:val="24"/>
                <w:sz w:val="18"/>
                <w:szCs w:val="18"/>
                <w:lang w:eastAsia="en-GB"/>
              </w:rPr>
              <w:t xml:space="preserve"> </w:t>
            </w:r>
            <w:r w:rsidR="00CB2C9B" w:rsidRPr="00BB4743">
              <w:rPr>
                <w:rFonts w:eastAsia="Times New Roman" w:cs="Calibri"/>
                <w:color w:val="auto"/>
                <w:kern w:val="24"/>
                <w:sz w:val="18"/>
                <w:szCs w:val="18"/>
                <w:lang w:eastAsia="en-GB"/>
              </w:rPr>
              <w:t xml:space="preserve">88,116 total cultures, of which 85,096 were valid and 28,849 were positive. </w:t>
            </w:r>
          </w:p>
        </w:tc>
        <w:tc>
          <w:tcPr>
            <w:tcW w:w="1923" w:type="pct"/>
            <w:hideMark/>
          </w:tcPr>
          <w:p w14:paraId="14AB4CC4"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HH and AH: various studies (c.30+)</w:t>
            </w:r>
          </w:p>
        </w:tc>
      </w:tr>
      <w:tr w:rsidR="003A78B7" w:rsidRPr="0014297B" w14:paraId="7C3B6A71" w14:textId="77777777" w:rsidTr="5546BCA7">
        <w:trPr>
          <w:cnfStyle w:val="000000010000" w:firstRow="0" w:lastRow="0" w:firstColumn="0" w:lastColumn="0" w:oddVBand="0" w:evenVBand="0" w:oddHBand="0" w:evenHBand="1" w:firstRowFirstColumn="0" w:firstRowLastColumn="0" w:lastRowFirstColumn="0" w:lastRowLastColumn="0"/>
          <w:trHeight w:val="20"/>
        </w:trPr>
        <w:tc>
          <w:tcPr>
            <w:tcW w:w="577" w:type="pct"/>
            <w:hideMark/>
          </w:tcPr>
          <w:p w14:paraId="1C490B4F" w14:textId="77777777" w:rsidR="00CB2C9B" w:rsidRPr="0014297B" w:rsidRDefault="00CB2C9B" w:rsidP="008C1BFD">
            <w:pPr>
              <w:rPr>
                <w:rFonts w:ascii="Arial" w:eastAsia="Times New Roman" w:hAnsi="Arial"/>
                <w:sz w:val="36"/>
                <w:szCs w:val="36"/>
                <w:lang w:eastAsia="en-GB"/>
              </w:rPr>
            </w:pPr>
            <w:r w:rsidRPr="00BB4743">
              <w:rPr>
                <w:rFonts w:eastAsia="Times New Roman" w:cs="Calibri"/>
                <w:color w:val="auto"/>
                <w:kern w:val="24"/>
                <w:sz w:val="18"/>
                <w:szCs w:val="18"/>
                <w:lang w:eastAsia="en-GB"/>
              </w:rPr>
              <w:t>Zambia</w:t>
            </w:r>
          </w:p>
        </w:tc>
        <w:tc>
          <w:tcPr>
            <w:tcW w:w="341" w:type="pct"/>
            <w:shd w:val="clear" w:color="auto" w:fill="3FB84E" w:themeFill="accent3"/>
            <w:hideMark/>
          </w:tcPr>
          <w:p w14:paraId="3943A161" w14:textId="77777777" w:rsidR="00CB2C9B" w:rsidRPr="0014297B" w:rsidRDefault="00CB2C9B" w:rsidP="008C1BFD">
            <w:pPr>
              <w:rPr>
                <w:rFonts w:ascii="Arial" w:eastAsia="Times New Roman" w:hAnsi="Arial"/>
                <w:sz w:val="36"/>
                <w:szCs w:val="36"/>
                <w:lang w:eastAsia="en-GB"/>
              </w:rPr>
            </w:pPr>
          </w:p>
        </w:tc>
        <w:tc>
          <w:tcPr>
            <w:tcW w:w="341" w:type="pct"/>
            <w:shd w:val="clear" w:color="auto" w:fill="FF0000"/>
            <w:hideMark/>
          </w:tcPr>
          <w:p w14:paraId="7292CB3F" w14:textId="77777777" w:rsidR="00CB2C9B" w:rsidRPr="0014297B" w:rsidRDefault="00CB2C9B" w:rsidP="008C1BFD">
            <w:pPr>
              <w:rPr>
                <w:rFonts w:ascii="Times New Roman" w:eastAsia="Times New Roman" w:hAnsi="Times New Roman" w:cs="Times New Roman"/>
                <w:sz w:val="20"/>
                <w:szCs w:val="20"/>
                <w:lang w:eastAsia="en-GB"/>
              </w:rPr>
            </w:pPr>
          </w:p>
        </w:tc>
        <w:tc>
          <w:tcPr>
            <w:tcW w:w="348" w:type="pct"/>
            <w:hideMark/>
          </w:tcPr>
          <w:p w14:paraId="048C14E5" w14:textId="77777777" w:rsidR="00CB2C9B" w:rsidRPr="0014297B" w:rsidRDefault="00CB2C9B" w:rsidP="008C1BFD">
            <w:pPr>
              <w:rPr>
                <w:rFonts w:ascii="Times New Roman" w:eastAsia="Times New Roman" w:hAnsi="Times New Roman" w:cs="Times New Roman"/>
                <w:sz w:val="20"/>
                <w:szCs w:val="20"/>
                <w:lang w:eastAsia="en-GB"/>
              </w:rPr>
            </w:pPr>
          </w:p>
        </w:tc>
        <w:tc>
          <w:tcPr>
            <w:tcW w:w="1471" w:type="pct"/>
            <w:hideMark/>
          </w:tcPr>
          <w:p w14:paraId="0D0A42FA" w14:textId="48B128FD" w:rsidR="00CB2C9B" w:rsidRPr="0014297B" w:rsidRDefault="000E6251" w:rsidP="008C1BFD">
            <w:pPr>
              <w:textAlignment w:val="baseline"/>
              <w:rPr>
                <w:rFonts w:ascii="Arial" w:eastAsia="Times New Roman" w:hAnsi="Arial"/>
                <w:sz w:val="36"/>
                <w:szCs w:val="36"/>
                <w:lang w:eastAsia="en-GB"/>
              </w:rPr>
            </w:pPr>
            <w:r w:rsidRPr="00BB4743">
              <w:rPr>
                <w:rFonts w:eastAsia="Times New Roman" w:cs="Calibri"/>
                <w:color w:val="auto"/>
                <w:kern w:val="24"/>
                <w:sz w:val="18"/>
                <w:szCs w:val="18"/>
                <w:lang w:eastAsia="en-GB"/>
              </w:rPr>
              <w:t>D</w:t>
            </w:r>
            <w:r w:rsidR="00CB2C9B" w:rsidRPr="00BB4743">
              <w:rPr>
                <w:rFonts w:eastAsia="Times New Roman" w:cs="Calibri"/>
                <w:color w:val="auto"/>
                <w:kern w:val="24"/>
                <w:sz w:val="18"/>
                <w:szCs w:val="18"/>
                <w:lang w:eastAsia="en-GB"/>
              </w:rPr>
              <w:t>ata for 2016</w:t>
            </w:r>
            <w:r w:rsidR="00ED510D" w:rsidRPr="00BB4743">
              <w:rPr>
                <w:rFonts w:eastAsia="Times New Roman" w:cs="Calibri"/>
                <w:color w:val="auto"/>
                <w:kern w:val="24"/>
                <w:sz w:val="18"/>
                <w:szCs w:val="18"/>
                <w:lang w:eastAsia="en-GB"/>
              </w:rPr>
              <w:t xml:space="preserve"> to 20</w:t>
            </w:r>
            <w:r w:rsidR="00CB2C9B" w:rsidRPr="00BB4743">
              <w:rPr>
                <w:rFonts w:eastAsia="Times New Roman" w:cs="Calibri"/>
                <w:color w:val="auto"/>
                <w:kern w:val="24"/>
                <w:sz w:val="18"/>
                <w:szCs w:val="18"/>
                <w:lang w:eastAsia="en-GB"/>
              </w:rPr>
              <w:t>18 were available from 14 of 16 laboratories. 36,968 total cultures, of which 33,790 were valid and 23,318 were positive</w:t>
            </w:r>
          </w:p>
        </w:tc>
        <w:tc>
          <w:tcPr>
            <w:tcW w:w="1923" w:type="pct"/>
            <w:hideMark/>
          </w:tcPr>
          <w:p w14:paraId="5DB8239F" w14:textId="77777777" w:rsidR="00CB2C9B" w:rsidRPr="0014297B" w:rsidRDefault="00CB2C9B" w:rsidP="008C1BFD">
            <w:pPr>
              <w:rPr>
                <w:rFonts w:ascii="Arial" w:eastAsia="Times New Roman" w:hAnsi="Arial"/>
                <w:sz w:val="36"/>
                <w:szCs w:val="36"/>
                <w:lang w:eastAsia="en-GB"/>
              </w:rPr>
            </w:pPr>
          </w:p>
        </w:tc>
      </w:tr>
    </w:tbl>
    <w:p w14:paraId="6A5DD590" w14:textId="1EB32F05" w:rsidR="000B0469" w:rsidRDefault="000B0469" w:rsidP="000B0469"/>
    <w:tbl>
      <w:tblPr>
        <w:tblStyle w:val="TableGrid"/>
        <w:tblW w:w="0" w:type="auto"/>
        <w:tblInd w:w="137" w:type="dxa"/>
        <w:tblLook w:val="04A0" w:firstRow="1" w:lastRow="0" w:firstColumn="1" w:lastColumn="0" w:noHBand="0" w:noVBand="1"/>
      </w:tblPr>
      <w:tblGrid>
        <w:gridCol w:w="3402"/>
        <w:gridCol w:w="425"/>
      </w:tblGrid>
      <w:tr w:rsidR="004F4FDE" w:rsidRPr="000C5186" w14:paraId="413590A2" w14:textId="77777777" w:rsidTr="0081582A">
        <w:trPr>
          <w:trHeight w:val="243"/>
        </w:trPr>
        <w:tc>
          <w:tcPr>
            <w:tcW w:w="3402" w:type="dxa"/>
          </w:tcPr>
          <w:p w14:paraId="5AA1CCCC" w14:textId="5F03C4BD" w:rsidR="004F4FDE" w:rsidRPr="007F63EF" w:rsidRDefault="004A02E2" w:rsidP="0081582A">
            <w:pPr>
              <w:rPr>
                <w:rFonts w:cstheme="minorHAnsi"/>
                <w:sz w:val="20"/>
                <w:szCs w:val="20"/>
              </w:rPr>
            </w:pPr>
            <w:r>
              <w:rPr>
                <w:rFonts w:cstheme="minorHAnsi"/>
                <w:sz w:val="20"/>
                <w:szCs w:val="20"/>
              </w:rPr>
              <w:t>Available</w:t>
            </w:r>
          </w:p>
        </w:tc>
        <w:tc>
          <w:tcPr>
            <w:tcW w:w="425" w:type="dxa"/>
            <w:shd w:val="clear" w:color="auto" w:fill="3FB84E" w:themeFill="accent3"/>
          </w:tcPr>
          <w:p w14:paraId="0C3AA76C" w14:textId="77777777" w:rsidR="004F4FDE" w:rsidRPr="000C5186" w:rsidRDefault="004F4FDE" w:rsidP="0081582A"/>
        </w:tc>
      </w:tr>
      <w:tr w:rsidR="004F4FDE" w:rsidRPr="000C5186" w14:paraId="48916810" w14:textId="77777777" w:rsidTr="004A02E2">
        <w:trPr>
          <w:trHeight w:val="243"/>
        </w:trPr>
        <w:tc>
          <w:tcPr>
            <w:tcW w:w="3402" w:type="dxa"/>
          </w:tcPr>
          <w:p w14:paraId="3EFA6BBF" w14:textId="7331D13A" w:rsidR="004F4FDE" w:rsidRPr="007F63EF" w:rsidRDefault="004A02E2" w:rsidP="0081582A">
            <w:pPr>
              <w:rPr>
                <w:rFonts w:cstheme="minorHAnsi"/>
                <w:sz w:val="20"/>
                <w:szCs w:val="20"/>
              </w:rPr>
            </w:pPr>
            <w:r>
              <w:rPr>
                <w:rFonts w:cstheme="minorHAnsi"/>
                <w:sz w:val="20"/>
                <w:szCs w:val="20"/>
              </w:rPr>
              <w:t>Not available</w:t>
            </w:r>
          </w:p>
        </w:tc>
        <w:tc>
          <w:tcPr>
            <w:tcW w:w="425" w:type="dxa"/>
            <w:shd w:val="clear" w:color="auto" w:fill="FF0000"/>
          </w:tcPr>
          <w:p w14:paraId="28045083" w14:textId="77777777" w:rsidR="004F4FDE" w:rsidRPr="000C5186" w:rsidRDefault="004F4FDE" w:rsidP="0081582A"/>
        </w:tc>
      </w:tr>
      <w:tr w:rsidR="004F4FDE" w:rsidRPr="000C5186" w14:paraId="74E9050A" w14:textId="77777777" w:rsidTr="004A02E2">
        <w:trPr>
          <w:trHeight w:val="243"/>
        </w:trPr>
        <w:tc>
          <w:tcPr>
            <w:tcW w:w="3402" w:type="dxa"/>
          </w:tcPr>
          <w:p w14:paraId="0D5209AE" w14:textId="6A90D689" w:rsidR="004F4FDE" w:rsidRPr="007F63EF" w:rsidRDefault="004A02E2" w:rsidP="0081582A">
            <w:pPr>
              <w:rPr>
                <w:rFonts w:cstheme="minorHAnsi"/>
                <w:sz w:val="20"/>
                <w:szCs w:val="20"/>
              </w:rPr>
            </w:pPr>
            <w:r>
              <w:rPr>
                <w:rFonts w:cstheme="minorHAnsi"/>
                <w:sz w:val="20"/>
                <w:szCs w:val="20"/>
              </w:rPr>
              <w:t>Unclear</w:t>
            </w:r>
          </w:p>
        </w:tc>
        <w:tc>
          <w:tcPr>
            <w:tcW w:w="425" w:type="dxa"/>
            <w:shd w:val="clear" w:color="auto" w:fill="FFFF00"/>
          </w:tcPr>
          <w:p w14:paraId="1F49FFDA" w14:textId="77777777" w:rsidR="004F4FDE" w:rsidRPr="000C5186" w:rsidRDefault="004F4FDE" w:rsidP="0081582A"/>
        </w:tc>
      </w:tr>
    </w:tbl>
    <w:p w14:paraId="6E1FF25D" w14:textId="77777777" w:rsidR="004F4FDE" w:rsidRDefault="004F4FDE" w:rsidP="000B0469"/>
    <w:p w14:paraId="72423695" w14:textId="77777777" w:rsidR="000B0469" w:rsidRPr="0060760F" w:rsidRDefault="000B0469" w:rsidP="00E043FF">
      <w:pPr>
        <w:pStyle w:val="ItadH3"/>
        <w:rPr>
          <w:rStyle w:val="cf01"/>
          <w:lang w:val="en-GB"/>
        </w:rPr>
      </w:pPr>
      <w:bookmarkStart w:id="213" w:name="_Toc118968539"/>
      <w:bookmarkStart w:id="214" w:name="_Toc142383177"/>
      <w:r w:rsidRPr="00840CE6">
        <w:rPr>
          <w:rStyle w:val="cf01"/>
          <w:rFonts w:asciiTheme="minorHAnsi" w:hAnsiTheme="minorHAnsi" w:cstheme="minorHAnsi"/>
          <w:sz w:val="22"/>
          <w:szCs w:val="22"/>
          <w:lang w:val="en-GB"/>
        </w:rPr>
        <w:t xml:space="preserve">Data on changes in quantity </w:t>
      </w:r>
      <w:r w:rsidRPr="0060760F">
        <w:rPr>
          <w:rStyle w:val="cf01"/>
          <w:rFonts w:asciiTheme="minorHAnsi" w:hAnsiTheme="minorHAnsi" w:cstheme="minorHAnsi"/>
          <w:sz w:val="22"/>
          <w:szCs w:val="22"/>
          <w:lang w:val="en-GB"/>
        </w:rPr>
        <w:t>of AMR at national level</w:t>
      </w:r>
      <w:bookmarkEnd w:id="213"/>
      <w:bookmarkEnd w:id="214"/>
    </w:p>
    <w:p w14:paraId="0E5DCBCE" w14:textId="4E1DC714" w:rsidR="00AC2DAB" w:rsidRDefault="47E613B8" w:rsidP="00E15CDC">
      <w:pPr>
        <w:spacing w:after="120"/>
        <w:rPr>
          <w:rStyle w:val="cf01"/>
          <w:rFonts w:asciiTheme="minorHAnsi" w:hAnsiTheme="minorHAnsi" w:cstheme="minorBidi"/>
          <w:sz w:val="22"/>
          <w:szCs w:val="22"/>
        </w:rPr>
      </w:pPr>
      <w:r w:rsidRPr="5546BCA7">
        <w:rPr>
          <w:rStyle w:val="cf01"/>
          <w:rFonts w:asciiTheme="minorHAnsi" w:hAnsiTheme="minorHAnsi" w:cstheme="minorBidi"/>
          <w:sz w:val="22"/>
          <w:szCs w:val="22"/>
        </w:rPr>
        <w:t xml:space="preserve">The following table </w:t>
      </w:r>
      <w:r w:rsidR="67531E19" w:rsidRPr="5546BCA7">
        <w:rPr>
          <w:rStyle w:val="cf01"/>
          <w:rFonts w:asciiTheme="minorHAnsi" w:hAnsiTheme="minorHAnsi" w:cstheme="minorBidi"/>
          <w:sz w:val="22"/>
          <w:szCs w:val="22"/>
        </w:rPr>
        <w:t>(</w:t>
      </w:r>
      <w:r w:rsidR="006F1888" w:rsidRPr="5546BCA7">
        <w:rPr>
          <w:rStyle w:val="cf01"/>
          <w:rFonts w:asciiTheme="minorHAnsi" w:hAnsiTheme="minorHAnsi" w:cstheme="minorBidi"/>
          <w:sz w:val="22"/>
          <w:szCs w:val="22"/>
        </w:rPr>
        <w:fldChar w:fldCharType="begin"/>
      </w:r>
      <w:r w:rsidR="006F1888" w:rsidRPr="5546BCA7">
        <w:rPr>
          <w:rStyle w:val="cf01"/>
          <w:rFonts w:asciiTheme="minorHAnsi" w:hAnsiTheme="minorHAnsi" w:cstheme="minorBidi"/>
          <w:sz w:val="22"/>
          <w:szCs w:val="22"/>
        </w:rPr>
        <w:instrText xml:space="preserve"> REF _Ref119927692 \h </w:instrText>
      </w:r>
      <w:r w:rsidR="006F1888" w:rsidRPr="5546BCA7">
        <w:rPr>
          <w:rStyle w:val="cf01"/>
          <w:rFonts w:asciiTheme="minorHAnsi" w:hAnsiTheme="minorHAnsi" w:cstheme="minorBidi"/>
          <w:sz w:val="22"/>
          <w:szCs w:val="22"/>
        </w:rPr>
      </w:r>
      <w:r w:rsidR="006F1888" w:rsidRPr="5546BCA7">
        <w:rPr>
          <w:rStyle w:val="cf01"/>
          <w:rFonts w:asciiTheme="minorHAnsi" w:hAnsiTheme="minorHAnsi" w:cstheme="minorBidi"/>
          <w:sz w:val="22"/>
          <w:szCs w:val="22"/>
        </w:rPr>
        <w:fldChar w:fldCharType="separate"/>
      </w:r>
      <w:r w:rsidR="009A383C">
        <w:t xml:space="preserve">Table </w:t>
      </w:r>
      <w:r w:rsidR="009A383C">
        <w:rPr>
          <w:noProof/>
        </w:rPr>
        <w:t>27</w:t>
      </w:r>
      <w:r w:rsidR="006F1888" w:rsidRPr="5546BCA7">
        <w:rPr>
          <w:rStyle w:val="cf01"/>
          <w:rFonts w:asciiTheme="minorHAnsi" w:hAnsiTheme="minorHAnsi" w:cstheme="minorBidi"/>
          <w:sz w:val="22"/>
          <w:szCs w:val="22"/>
        </w:rPr>
        <w:fldChar w:fldCharType="end"/>
      </w:r>
      <w:r w:rsidR="67531E19" w:rsidRPr="5546BCA7">
        <w:rPr>
          <w:rStyle w:val="cf01"/>
          <w:rFonts w:asciiTheme="minorHAnsi" w:hAnsiTheme="minorHAnsi" w:cstheme="minorBidi"/>
          <w:sz w:val="22"/>
          <w:szCs w:val="22"/>
        </w:rPr>
        <w:t xml:space="preserve">) </w:t>
      </w:r>
      <w:r w:rsidRPr="5546BCA7">
        <w:rPr>
          <w:rStyle w:val="cf01"/>
          <w:rFonts w:asciiTheme="minorHAnsi" w:hAnsiTheme="minorHAnsi" w:cstheme="minorBidi"/>
          <w:sz w:val="22"/>
          <w:szCs w:val="22"/>
        </w:rPr>
        <w:t xml:space="preserve">presents the data for </w:t>
      </w:r>
      <w:r w:rsidR="017AC6BB" w:rsidRPr="5546BCA7">
        <w:rPr>
          <w:rStyle w:val="cf01"/>
          <w:rFonts w:asciiTheme="minorHAnsi" w:hAnsiTheme="minorHAnsi" w:cstheme="minorBidi"/>
          <w:sz w:val="22"/>
          <w:szCs w:val="22"/>
        </w:rPr>
        <w:t>HH</w:t>
      </w:r>
      <w:r w:rsidRPr="5546BCA7">
        <w:rPr>
          <w:rStyle w:val="cf01"/>
          <w:rFonts w:asciiTheme="minorHAnsi" w:hAnsiTheme="minorHAnsi" w:cstheme="minorBidi"/>
          <w:sz w:val="22"/>
          <w:szCs w:val="22"/>
        </w:rPr>
        <w:t xml:space="preserve"> AMR collected during country visits and from document review</w:t>
      </w:r>
      <w:r w:rsidR="0A3313E7" w:rsidRPr="5546BCA7">
        <w:rPr>
          <w:rStyle w:val="cf01"/>
          <w:rFonts w:asciiTheme="minorHAnsi" w:hAnsiTheme="minorHAnsi" w:cstheme="minorBidi"/>
          <w:sz w:val="22"/>
          <w:szCs w:val="22"/>
        </w:rPr>
        <w:t>s</w:t>
      </w:r>
      <w:r w:rsidRPr="5546BCA7">
        <w:rPr>
          <w:rStyle w:val="cf01"/>
          <w:rFonts w:asciiTheme="minorHAnsi" w:hAnsiTheme="minorHAnsi" w:cstheme="minorBidi"/>
          <w:sz w:val="22"/>
          <w:szCs w:val="22"/>
        </w:rPr>
        <w:t xml:space="preserve"> which form the basis for findings in </w:t>
      </w:r>
      <w:r w:rsidR="00F64E14">
        <w:rPr>
          <w:rStyle w:val="cf01"/>
          <w:rFonts w:asciiTheme="minorHAnsi" w:hAnsiTheme="minorHAnsi" w:cstheme="minorBidi"/>
          <w:sz w:val="22"/>
          <w:szCs w:val="22"/>
        </w:rPr>
        <w:t>Volume I</w:t>
      </w:r>
      <w:r w:rsidR="00BECA10" w:rsidRPr="5546BCA7">
        <w:rPr>
          <w:rStyle w:val="cf01"/>
          <w:rFonts w:asciiTheme="minorHAnsi" w:hAnsiTheme="minorHAnsi" w:cstheme="minorBidi"/>
          <w:sz w:val="22"/>
          <w:szCs w:val="22"/>
        </w:rPr>
        <w:t xml:space="preserve"> of this report</w:t>
      </w:r>
      <w:r w:rsidRPr="5546BCA7">
        <w:rPr>
          <w:rStyle w:val="cf01"/>
          <w:rFonts w:asciiTheme="minorHAnsi" w:hAnsiTheme="minorHAnsi" w:cstheme="minorBidi"/>
          <w:sz w:val="22"/>
          <w:szCs w:val="22"/>
        </w:rPr>
        <w:t>.</w:t>
      </w:r>
      <w:r w:rsidR="007458AC">
        <w:rPr>
          <w:rStyle w:val="cf01"/>
          <w:rFonts w:asciiTheme="minorHAnsi" w:hAnsiTheme="minorHAnsi" w:cstheme="minorBidi"/>
          <w:sz w:val="22"/>
          <w:szCs w:val="22"/>
        </w:rPr>
        <w:t xml:space="preserve"> </w:t>
      </w:r>
      <w:r w:rsidRPr="5546BCA7">
        <w:rPr>
          <w:rStyle w:val="cf01"/>
          <w:rFonts w:asciiTheme="minorHAnsi" w:hAnsiTheme="minorHAnsi" w:cstheme="minorBidi"/>
          <w:sz w:val="22"/>
          <w:szCs w:val="22"/>
        </w:rPr>
        <w:t>This requires careful interpretation</w:t>
      </w:r>
      <w:r w:rsidR="00ED510D">
        <w:rPr>
          <w:rStyle w:val="cf01"/>
          <w:rFonts w:asciiTheme="minorHAnsi" w:hAnsiTheme="minorHAnsi" w:cstheme="minorBidi"/>
          <w:sz w:val="22"/>
          <w:szCs w:val="22"/>
        </w:rPr>
        <w:t>;</w:t>
      </w:r>
      <w:r w:rsidRPr="5546BCA7">
        <w:rPr>
          <w:rStyle w:val="cf01"/>
          <w:rFonts w:asciiTheme="minorHAnsi" w:hAnsiTheme="minorHAnsi" w:cstheme="minorBidi"/>
          <w:sz w:val="22"/>
          <w:szCs w:val="22"/>
        </w:rPr>
        <w:t xml:space="preserve"> increases in HH data could be driven by increases in the number of sites reporting which is often (but not always) linked to the size of the country</w:t>
      </w:r>
      <w:r w:rsidR="00822112" w:rsidRPr="00822112">
        <w:rPr>
          <w:rStyle w:val="cf01"/>
          <w:rFonts w:asciiTheme="minorHAnsi" w:hAnsiTheme="minorHAnsi" w:cstheme="minorBidi"/>
          <w:sz w:val="22"/>
          <w:szCs w:val="22"/>
        </w:rPr>
        <w:t>, also to presence (or absence) of disease outbreaks from year to year, which mean that the Fleming Fund is not in complete control of this metric</w:t>
      </w:r>
      <w:r w:rsidRPr="5546BCA7">
        <w:rPr>
          <w:rStyle w:val="cf01"/>
          <w:rFonts w:asciiTheme="minorHAnsi" w:hAnsiTheme="minorHAnsi" w:cstheme="minorBidi"/>
          <w:sz w:val="22"/>
          <w:szCs w:val="22"/>
        </w:rPr>
        <w:t xml:space="preserve">. Increases in AH reporting is linked to the extent and focus of active surveillance – i.e. </w:t>
      </w:r>
      <w:r w:rsidR="00AB382F">
        <w:rPr>
          <w:rStyle w:val="cf01"/>
          <w:rFonts w:asciiTheme="minorHAnsi" w:hAnsiTheme="minorHAnsi" w:cstheme="minorBidi"/>
          <w:sz w:val="22"/>
          <w:szCs w:val="22"/>
        </w:rPr>
        <w:t>the number of</w:t>
      </w:r>
      <w:r w:rsidRPr="5546BCA7">
        <w:rPr>
          <w:rStyle w:val="cf01"/>
          <w:rFonts w:asciiTheme="minorHAnsi" w:hAnsiTheme="minorHAnsi" w:cstheme="minorBidi"/>
          <w:sz w:val="22"/>
          <w:szCs w:val="22"/>
        </w:rPr>
        <w:t xml:space="preserve"> provinces data is collected</w:t>
      </w:r>
      <w:r w:rsidR="00AB382F">
        <w:rPr>
          <w:rStyle w:val="cf01"/>
          <w:rFonts w:asciiTheme="minorHAnsi" w:hAnsiTheme="minorHAnsi" w:cstheme="minorBidi"/>
          <w:sz w:val="22"/>
          <w:szCs w:val="22"/>
        </w:rPr>
        <w:t xml:space="preserve"> from</w:t>
      </w:r>
      <w:r w:rsidRPr="5546BCA7">
        <w:rPr>
          <w:rStyle w:val="cf01"/>
          <w:rFonts w:asciiTheme="minorHAnsi" w:hAnsiTheme="minorHAnsi" w:cstheme="minorBidi"/>
          <w:sz w:val="22"/>
          <w:szCs w:val="22"/>
        </w:rPr>
        <w:t xml:space="preserve">, for how many species and how </w:t>
      </w:r>
      <w:r w:rsidR="0A3313E7" w:rsidRPr="5546BCA7">
        <w:rPr>
          <w:rStyle w:val="cf01"/>
          <w:rFonts w:asciiTheme="minorHAnsi" w:hAnsiTheme="minorHAnsi" w:cstheme="minorBidi"/>
          <w:sz w:val="22"/>
          <w:szCs w:val="22"/>
        </w:rPr>
        <w:t>m</w:t>
      </w:r>
      <w:r w:rsidRPr="5546BCA7">
        <w:rPr>
          <w:rStyle w:val="cf01"/>
          <w:rFonts w:asciiTheme="minorHAnsi" w:hAnsiTheme="minorHAnsi" w:cstheme="minorBidi"/>
          <w:sz w:val="22"/>
          <w:szCs w:val="22"/>
        </w:rPr>
        <w:t>any pathogens.</w:t>
      </w:r>
    </w:p>
    <w:p w14:paraId="1FF0C62E" w14:textId="0F012D3A" w:rsidR="000B0469" w:rsidRDefault="00AC2DAB" w:rsidP="5546BCA7">
      <w:pPr>
        <w:rPr>
          <w:rStyle w:val="cf01"/>
          <w:rFonts w:asciiTheme="minorHAnsi" w:hAnsiTheme="minorHAnsi" w:cstheme="minorBidi"/>
          <w:sz w:val="22"/>
          <w:szCs w:val="22"/>
        </w:rPr>
      </w:pPr>
      <w:r w:rsidRPr="00AC2DAB">
        <w:rPr>
          <w:rStyle w:val="cf01"/>
          <w:rFonts w:asciiTheme="minorHAnsi" w:hAnsiTheme="minorHAnsi" w:cstheme="minorBidi"/>
          <w:sz w:val="22"/>
          <w:szCs w:val="22"/>
        </w:rPr>
        <w:t>To mitigate this, we look</w:t>
      </w:r>
      <w:r>
        <w:rPr>
          <w:rStyle w:val="cf01"/>
          <w:rFonts w:asciiTheme="minorHAnsi" w:hAnsiTheme="minorHAnsi" w:cstheme="minorBidi"/>
          <w:sz w:val="22"/>
          <w:szCs w:val="22"/>
        </w:rPr>
        <w:t>ed</w:t>
      </w:r>
      <w:r w:rsidRPr="00AC2DAB">
        <w:rPr>
          <w:rStyle w:val="cf01"/>
          <w:rFonts w:asciiTheme="minorHAnsi" w:hAnsiTheme="minorHAnsi" w:cstheme="minorBidi"/>
          <w:sz w:val="22"/>
          <w:szCs w:val="22"/>
        </w:rPr>
        <w:t xml:space="preserve"> at a number of data points to give a broad perspective on changes in </w:t>
      </w:r>
      <w:r w:rsidR="00AB382F">
        <w:rPr>
          <w:rStyle w:val="cf01"/>
          <w:rFonts w:asciiTheme="minorHAnsi" w:hAnsiTheme="minorHAnsi" w:cstheme="minorBidi"/>
          <w:sz w:val="22"/>
          <w:szCs w:val="22"/>
        </w:rPr>
        <w:t xml:space="preserve">the </w:t>
      </w:r>
      <w:r w:rsidRPr="00AC2DAB">
        <w:rPr>
          <w:rStyle w:val="cf01"/>
          <w:rFonts w:asciiTheme="minorHAnsi" w:hAnsiTheme="minorHAnsi" w:cstheme="minorBidi"/>
          <w:sz w:val="22"/>
          <w:szCs w:val="22"/>
        </w:rPr>
        <w:t>quantity of data. These include number of sites (including total within the system, and number of these supported by the Fleming Fund); number of patients tested; number of samples; and number of isolates.</w:t>
      </w:r>
      <w:r w:rsidR="00396321">
        <w:rPr>
          <w:rStyle w:val="FootnoteReference"/>
        </w:rPr>
        <w:footnoteReference w:id="44"/>
      </w:r>
      <w:r w:rsidRPr="00AC2DAB">
        <w:rPr>
          <w:rStyle w:val="cf01"/>
          <w:rFonts w:asciiTheme="minorHAnsi" w:hAnsiTheme="minorHAnsi" w:cstheme="minorBidi"/>
          <w:sz w:val="22"/>
          <w:szCs w:val="22"/>
        </w:rPr>
        <w:t xml:space="preserve"> For each data point we collected baseline data (2018 or earliest available) and the latest available at the time of data collection in 2022. Comparisons were made between baseline and latest year data, and given RAG ratings using transparent criteria</w:t>
      </w:r>
      <w:r w:rsidR="006D119A">
        <w:rPr>
          <w:rStyle w:val="cf01"/>
          <w:rFonts w:asciiTheme="minorHAnsi" w:hAnsiTheme="minorHAnsi" w:cstheme="minorBidi"/>
          <w:sz w:val="22"/>
          <w:szCs w:val="22"/>
        </w:rPr>
        <w:t xml:space="preserve"> (see </w:t>
      </w:r>
      <w:r w:rsidR="00AB33AC">
        <w:rPr>
          <w:rStyle w:val="cf01"/>
          <w:rFonts w:asciiTheme="minorHAnsi" w:hAnsiTheme="minorHAnsi" w:cstheme="minorBidi"/>
          <w:sz w:val="22"/>
          <w:szCs w:val="22"/>
        </w:rPr>
        <w:fldChar w:fldCharType="begin"/>
      </w:r>
      <w:r w:rsidR="00AB33AC">
        <w:rPr>
          <w:rStyle w:val="cf01"/>
          <w:rFonts w:asciiTheme="minorHAnsi" w:hAnsiTheme="minorHAnsi" w:cstheme="minorBidi"/>
          <w:sz w:val="22"/>
          <w:szCs w:val="22"/>
        </w:rPr>
        <w:instrText xml:space="preserve"> REF _Ref119927692 \h </w:instrText>
      </w:r>
      <w:r w:rsidR="00AB33AC">
        <w:rPr>
          <w:rStyle w:val="cf01"/>
          <w:rFonts w:asciiTheme="minorHAnsi" w:hAnsiTheme="minorHAnsi" w:cstheme="minorBidi"/>
          <w:sz w:val="22"/>
          <w:szCs w:val="22"/>
        </w:rPr>
      </w:r>
      <w:r w:rsidR="00AB33AC">
        <w:rPr>
          <w:rStyle w:val="cf01"/>
          <w:rFonts w:asciiTheme="minorHAnsi" w:hAnsiTheme="minorHAnsi" w:cstheme="minorBidi"/>
          <w:sz w:val="22"/>
          <w:szCs w:val="22"/>
        </w:rPr>
        <w:fldChar w:fldCharType="separate"/>
      </w:r>
      <w:r w:rsidR="009A383C">
        <w:t xml:space="preserve">Table </w:t>
      </w:r>
      <w:r w:rsidR="009A383C">
        <w:rPr>
          <w:noProof/>
        </w:rPr>
        <w:t>27</w:t>
      </w:r>
      <w:r w:rsidR="00AB33AC">
        <w:rPr>
          <w:rStyle w:val="cf01"/>
          <w:rFonts w:asciiTheme="minorHAnsi" w:hAnsiTheme="minorHAnsi" w:cstheme="minorBidi"/>
          <w:sz w:val="22"/>
          <w:szCs w:val="22"/>
        </w:rPr>
        <w:fldChar w:fldCharType="end"/>
      </w:r>
      <w:r w:rsidR="00325C5E">
        <w:rPr>
          <w:rStyle w:val="cf01"/>
          <w:rFonts w:asciiTheme="minorHAnsi" w:hAnsiTheme="minorHAnsi" w:cstheme="minorBidi"/>
          <w:sz w:val="22"/>
          <w:szCs w:val="22"/>
        </w:rPr>
        <w:t xml:space="preserve"> </w:t>
      </w:r>
      <w:r w:rsidR="00CE3552">
        <w:rPr>
          <w:rStyle w:val="cf01"/>
          <w:rFonts w:asciiTheme="minorHAnsi" w:hAnsiTheme="minorHAnsi" w:cstheme="minorBidi"/>
          <w:sz w:val="22"/>
          <w:szCs w:val="22"/>
        </w:rPr>
        <w:t>below</w:t>
      </w:r>
      <w:r w:rsidR="006D119A">
        <w:rPr>
          <w:rStyle w:val="cf01"/>
          <w:rFonts w:asciiTheme="minorHAnsi" w:hAnsiTheme="minorHAnsi" w:cstheme="minorBidi"/>
          <w:sz w:val="22"/>
          <w:szCs w:val="22"/>
        </w:rPr>
        <w:t>)</w:t>
      </w:r>
      <w:r w:rsidRPr="00AC2DAB">
        <w:rPr>
          <w:rStyle w:val="cf01"/>
          <w:rFonts w:asciiTheme="minorHAnsi" w:hAnsiTheme="minorHAnsi" w:cstheme="minorBidi"/>
          <w:sz w:val="22"/>
          <w:szCs w:val="22"/>
        </w:rPr>
        <w:t>.</w:t>
      </w:r>
    </w:p>
    <w:p w14:paraId="77BC297B" w14:textId="77777777" w:rsidR="001B2C60" w:rsidRDefault="001B2C60" w:rsidP="00F24891">
      <w:pPr>
        <w:rPr>
          <w:rStyle w:val="cf01"/>
          <w:rFonts w:asciiTheme="minorHAnsi" w:hAnsiTheme="minorHAnsi" w:cstheme="minorBidi"/>
          <w:sz w:val="22"/>
          <w:szCs w:val="22"/>
        </w:rPr>
      </w:pPr>
    </w:p>
    <w:p w14:paraId="215F9AB3" w14:textId="28663FA7" w:rsidR="001B2C60" w:rsidRDefault="001B2C60" w:rsidP="00F24891">
      <w:pPr>
        <w:rPr>
          <w:rStyle w:val="cf01"/>
          <w:rFonts w:asciiTheme="minorHAnsi" w:hAnsiTheme="minorHAnsi" w:cstheme="minorBidi"/>
          <w:sz w:val="22"/>
          <w:szCs w:val="22"/>
        </w:rPr>
      </w:pPr>
      <w:r>
        <w:rPr>
          <w:rStyle w:val="cf01"/>
          <w:rFonts w:asciiTheme="minorHAnsi" w:hAnsiTheme="minorHAnsi" w:cstheme="minorBidi"/>
          <w:sz w:val="22"/>
          <w:szCs w:val="22"/>
        </w:rPr>
        <w:t>Given a degree of uncertainty around specific numbers</w:t>
      </w:r>
      <w:r w:rsidR="00DE68BF">
        <w:rPr>
          <w:rStyle w:val="cf01"/>
          <w:rFonts w:asciiTheme="minorHAnsi" w:hAnsiTheme="minorHAnsi" w:cstheme="minorBidi"/>
          <w:sz w:val="22"/>
          <w:szCs w:val="22"/>
        </w:rPr>
        <w:t>, we include Table 26 for illustrative purposes. In Vol I, section 2.1.2 we note that it has not been</w:t>
      </w:r>
      <w:r w:rsidR="00A10EAE">
        <w:rPr>
          <w:rStyle w:val="cf01"/>
          <w:rFonts w:asciiTheme="minorHAnsi" w:hAnsiTheme="minorHAnsi" w:cstheme="minorBidi"/>
          <w:sz w:val="22"/>
          <w:szCs w:val="22"/>
        </w:rPr>
        <w:t xml:space="preserve"> feasible to quantify actual amounts of new data.</w:t>
      </w:r>
    </w:p>
    <w:p w14:paraId="40047CBE" w14:textId="77777777" w:rsidR="004331B8" w:rsidRDefault="004331B8" w:rsidP="000B0469">
      <w:pPr>
        <w:rPr>
          <w:rStyle w:val="cf01"/>
          <w:rFonts w:asciiTheme="minorHAnsi" w:hAnsiTheme="minorHAnsi" w:cstheme="minorHAnsi"/>
          <w:sz w:val="22"/>
          <w:szCs w:val="22"/>
        </w:rPr>
      </w:pPr>
    </w:p>
    <w:p w14:paraId="391F81BF" w14:textId="1034740D" w:rsidR="00B22C9A" w:rsidRDefault="00B22C9A" w:rsidP="00C04C3C">
      <w:pPr>
        <w:pStyle w:val="ItadCaption"/>
      </w:pPr>
      <w:bookmarkStart w:id="215" w:name="_Ref119927692"/>
      <w:bookmarkStart w:id="216" w:name="_Toc143857895"/>
      <w:r>
        <w:t xml:space="preserve">Table </w:t>
      </w:r>
      <w:r>
        <w:fldChar w:fldCharType="begin"/>
      </w:r>
      <w:r>
        <w:instrText>SEQ Table \* ARABIC</w:instrText>
      </w:r>
      <w:r>
        <w:fldChar w:fldCharType="separate"/>
      </w:r>
      <w:r w:rsidR="009A383C">
        <w:rPr>
          <w:noProof/>
        </w:rPr>
        <w:t>27</w:t>
      </w:r>
      <w:r>
        <w:fldChar w:fldCharType="end"/>
      </w:r>
      <w:bookmarkEnd w:id="215"/>
      <w:r>
        <w:t xml:space="preserve"> Human Health AMR data from country visits</w:t>
      </w:r>
      <w:bookmarkEnd w:id="216"/>
    </w:p>
    <w:tbl>
      <w:tblPr>
        <w:tblStyle w:val="Itadalternaterows"/>
        <w:tblW w:w="5000" w:type="pct"/>
        <w:tblInd w:w="0" w:type="dxa"/>
        <w:tblLook w:val="04A0" w:firstRow="1" w:lastRow="0" w:firstColumn="1" w:lastColumn="0" w:noHBand="0" w:noVBand="1"/>
      </w:tblPr>
      <w:tblGrid>
        <w:gridCol w:w="1206"/>
        <w:gridCol w:w="869"/>
        <w:gridCol w:w="940"/>
        <w:gridCol w:w="988"/>
        <w:gridCol w:w="632"/>
        <w:gridCol w:w="1353"/>
        <w:gridCol w:w="1312"/>
        <w:gridCol w:w="929"/>
        <w:gridCol w:w="787"/>
      </w:tblGrid>
      <w:tr w:rsidR="00AB5B26" w:rsidRPr="00ED510D" w14:paraId="4B7A7FA4" w14:textId="77777777" w:rsidTr="00BB4743">
        <w:trPr>
          <w:cnfStyle w:val="100000000000" w:firstRow="1" w:lastRow="0" w:firstColumn="0" w:lastColumn="0" w:oddVBand="0" w:evenVBand="0" w:oddHBand="0" w:evenHBand="0" w:firstRowFirstColumn="0" w:firstRowLastColumn="0" w:lastRowFirstColumn="0" w:lastRowLastColumn="0"/>
          <w:trHeight w:val="57"/>
          <w:tblHeader/>
        </w:trPr>
        <w:tc>
          <w:tcPr>
            <w:tcW w:w="670" w:type="pct"/>
            <w:hideMark/>
          </w:tcPr>
          <w:p w14:paraId="5A9300DC" w14:textId="77777777" w:rsidR="00B22C9A" w:rsidRPr="00BB4743" w:rsidRDefault="00B22C9A" w:rsidP="008C1BFD">
            <w:pPr>
              <w:rPr>
                <w:rFonts w:eastAsia="Times New Roman" w:cs="Calibri"/>
                <w:b/>
                <w:bCs/>
                <w:color w:val="auto"/>
                <w:sz w:val="18"/>
                <w:szCs w:val="18"/>
                <w:lang w:eastAsia="en-GB"/>
              </w:rPr>
            </w:pPr>
            <w:r w:rsidRPr="00BB4743">
              <w:rPr>
                <w:rFonts w:eastAsia="Times New Roman" w:cs="Calibri"/>
                <w:b/>
                <w:bCs/>
                <w:color w:val="auto"/>
                <w:sz w:val="18"/>
                <w:szCs w:val="18"/>
                <w:lang w:eastAsia="en-GB"/>
              </w:rPr>
              <w:t>Country</w:t>
            </w:r>
          </w:p>
        </w:tc>
        <w:tc>
          <w:tcPr>
            <w:tcW w:w="483" w:type="pct"/>
            <w:hideMark/>
          </w:tcPr>
          <w:p w14:paraId="5494DBF3" w14:textId="6E7A4467" w:rsidR="00B22C9A" w:rsidRPr="00BB4743" w:rsidRDefault="00B22C9A" w:rsidP="008C1BFD">
            <w:pPr>
              <w:rPr>
                <w:rFonts w:eastAsia="Times New Roman" w:cs="Calibri"/>
                <w:b/>
                <w:bCs/>
                <w:color w:val="auto"/>
                <w:sz w:val="18"/>
                <w:szCs w:val="18"/>
                <w:lang w:eastAsia="en-GB"/>
              </w:rPr>
            </w:pPr>
            <w:r w:rsidRPr="00BB4743">
              <w:rPr>
                <w:rFonts w:eastAsia="Times New Roman" w:cs="Calibri"/>
                <w:b/>
                <w:bCs/>
                <w:color w:val="auto"/>
                <w:sz w:val="18"/>
                <w:szCs w:val="18"/>
                <w:lang w:eastAsia="en-GB"/>
              </w:rPr>
              <w:t>Total sites (B</w:t>
            </w:r>
            <w:r w:rsidR="00F64270" w:rsidRPr="00BB4743">
              <w:rPr>
                <w:rFonts w:eastAsia="Times New Roman" w:cs="Calibri"/>
                <w:b/>
                <w:bCs/>
                <w:color w:val="auto"/>
                <w:sz w:val="18"/>
                <w:szCs w:val="18"/>
                <w:lang w:eastAsia="en-GB"/>
              </w:rPr>
              <w:t xml:space="preserve">ase </w:t>
            </w:r>
            <w:r w:rsidRPr="00BB4743">
              <w:rPr>
                <w:rFonts w:eastAsia="Times New Roman" w:cs="Calibri"/>
                <w:b/>
                <w:bCs/>
                <w:color w:val="auto"/>
                <w:sz w:val="18"/>
                <w:szCs w:val="18"/>
                <w:lang w:eastAsia="en-GB"/>
              </w:rPr>
              <w:t>L</w:t>
            </w:r>
            <w:r w:rsidR="00F64270" w:rsidRPr="00BB4743">
              <w:rPr>
                <w:rFonts w:eastAsia="Times New Roman" w:cs="Calibri"/>
                <w:b/>
                <w:bCs/>
                <w:color w:val="auto"/>
                <w:sz w:val="18"/>
                <w:szCs w:val="18"/>
                <w:lang w:eastAsia="en-GB"/>
              </w:rPr>
              <w:t>ine</w:t>
            </w:r>
            <w:r w:rsidRPr="00BB4743">
              <w:rPr>
                <w:rFonts w:eastAsia="Times New Roman" w:cs="Calibri"/>
                <w:b/>
                <w:bCs/>
                <w:color w:val="auto"/>
                <w:sz w:val="18"/>
                <w:szCs w:val="18"/>
                <w:lang w:eastAsia="en-GB"/>
              </w:rPr>
              <w:t>)</w:t>
            </w:r>
          </w:p>
        </w:tc>
        <w:tc>
          <w:tcPr>
            <w:tcW w:w="522" w:type="pct"/>
            <w:hideMark/>
          </w:tcPr>
          <w:p w14:paraId="6DC6E5EC" w14:textId="77777777" w:rsidR="00B22C9A" w:rsidRPr="00BB4743" w:rsidRDefault="00B22C9A" w:rsidP="008C1BFD">
            <w:pPr>
              <w:rPr>
                <w:rFonts w:eastAsia="Times New Roman" w:cs="Calibri"/>
                <w:b/>
                <w:bCs/>
                <w:color w:val="auto"/>
                <w:sz w:val="18"/>
                <w:szCs w:val="18"/>
                <w:lang w:eastAsia="en-GB"/>
              </w:rPr>
            </w:pPr>
            <w:r w:rsidRPr="00BB4743">
              <w:rPr>
                <w:rFonts w:eastAsia="Times New Roman" w:cs="Calibri"/>
                <w:b/>
                <w:bCs/>
                <w:color w:val="auto"/>
                <w:sz w:val="18"/>
                <w:szCs w:val="18"/>
                <w:lang w:eastAsia="en-GB"/>
              </w:rPr>
              <w:t>Total sites (latest)</w:t>
            </w:r>
          </w:p>
        </w:tc>
        <w:tc>
          <w:tcPr>
            <w:tcW w:w="545" w:type="pct"/>
            <w:hideMark/>
          </w:tcPr>
          <w:p w14:paraId="026F771D" w14:textId="68719864" w:rsidR="00B22C9A" w:rsidRPr="00BB4743" w:rsidRDefault="00B22C9A" w:rsidP="008C1BFD">
            <w:pPr>
              <w:rPr>
                <w:rFonts w:eastAsia="Times New Roman" w:cs="Calibri"/>
                <w:b/>
                <w:bCs/>
                <w:color w:val="auto"/>
                <w:sz w:val="18"/>
                <w:szCs w:val="18"/>
                <w:lang w:eastAsia="en-GB"/>
              </w:rPr>
            </w:pPr>
            <w:r w:rsidRPr="00BB4743">
              <w:rPr>
                <w:rFonts w:eastAsia="Times New Roman" w:cs="Calibri"/>
                <w:b/>
                <w:bCs/>
                <w:color w:val="auto"/>
                <w:sz w:val="18"/>
                <w:szCs w:val="18"/>
                <w:lang w:eastAsia="en-GB"/>
              </w:rPr>
              <w:t>F</w:t>
            </w:r>
            <w:r w:rsidR="00D432AF" w:rsidRPr="00BB4743">
              <w:rPr>
                <w:rFonts w:eastAsia="Times New Roman" w:cs="Calibri"/>
                <w:b/>
                <w:bCs/>
                <w:color w:val="auto"/>
                <w:sz w:val="18"/>
                <w:szCs w:val="18"/>
                <w:lang w:eastAsia="en-GB"/>
              </w:rPr>
              <w:t xml:space="preserve">leming </w:t>
            </w:r>
            <w:r w:rsidRPr="00BB4743">
              <w:rPr>
                <w:rFonts w:eastAsia="Times New Roman" w:cs="Calibri"/>
                <w:b/>
                <w:bCs/>
                <w:color w:val="auto"/>
                <w:sz w:val="18"/>
                <w:szCs w:val="18"/>
                <w:lang w:eastAsia="en-GB"/>
              </w:rPr>
              <w:t>F</w:t>
            </w:r>
            <w:r w:rsidR="00D432AF" w:rsidRPr="00BB4743">
              <w:rPr>
                <w:rFonts w:eastAsia="Times New Roman" w:cs="Calibri"/>
                <w:b/>
                <w:bCs/>
                <w:color w:val="auto"/>
                <w:sz w:val="18"/>
                <w:szCs w:val="18"/>
                <w:lang w:eastAsia="en-GB"/>
              </w:rPr>
              <w:t>und</w:t>
            </w:r>
            <w:r w:rsidRPr="00BB4743">
              <w:rPr>
                <w:rFonts w:eastAsia="Times New Roman" w:cs="Calibri"/>
                <w:b/>
                <w:bCs/>
                <w:color w:val="auto"/>
                <w:sz w:val="18"/>
                <w:szCs w:val="18"/>
                <w:lang w:eastAsia="en-GB"/>
              </w:rPr>
              <w:t xml:space="preserve"> sites supported</w:t>
            </w:r>
          </w:p>
        </w:tc>
        <w:tc>
          <w:tcPr>
            <w:tcW w:w="351" w:type="pct"/>
            <w:hideMark/>
          </w:tcPr>
          <w:p w14:paraId="09394810" w14:textId="77777777" w:rsidR="00B22C9A" w:rsidRPr="00BB4743" w:rsidRDefault="00B22C9A" w:rsidP="008C1BFD">
            <w:pPr>
              <w:rPr>
                <w:rFonts w:eastAsia="Times New Roman" w:cs="Calibri"/>
                <w:b/>
                <w:bCs/>
                <w:color w:val="auto"/>
                <w:sz w:val="18"/>
                <w:szCs w:val="18"/>
                <w:lang w:eastAsia="en-GB"/>
              </w:rPr>
            </w:pPr>
            <w:r w:rsidRPr="00BB4743">
              <w:rPr>
                <w:rFonts w:eastAsia="Times New Roman" w:cs="Calibri"/>
                <w:b/>
                <w:bCs/>
                <w:color w:val="auto"/>
                <w:sz w:val="18"/>
                <w:szCs w:val="18"/>
                <w:lang w:eastAsia="en-GB"/>
              </w:rPr>
              <w:t>%</w:t>
            </w:r>
          </w:p>
        </w:tc>
        <w:tc>
          <w:tcPr>
            <w:tcW w:w="751" w:type="pct"/>
            <w:hideMark/>
          </w:tcPr>
          <w:p w14:paraId="758E4DF3" w14:textId="27205B6E" w:rsidR="00B22C9A" w:rsidRPr="00BB4743" w:rsidRDefault="00B22C9A" w:rsidP="008C1BFD">
            <w:pPr>
              <w:rPr>
                <w:rFonts w:eastAsia="Times New Roman" w:cs="Calibri"/>
                <w:b/>
                <w:bCs/>
                <w:color w:val="auto"/>
                <w:sz w:val="18"/>
                <w:szCs w:val="18"/>
                <w:lang w:eastAsia="en-GB"/>
              </w:rPr>
            </w:pPr>
            <w:r w:rsidRPr="00BB4743">
              <w:rPr>
                <w:rFonts w:eastAsia="Times New Roman" w:cs="Calibri"/>
                <w:b/>
                <w:bCs/>
                <w:color w:val="auto"/>
                <w:sz w:val="18"/>
                <w:szCs w:val="18"/>
                <w:lang w:eastAsia="en-GB"/>
              </w:rPr>
              <w:t>B</w:t>
            </w:r>
            <w:r w:rsidR="00F64270" w:rsidRPr="00BB4743">
              <w:rPr>
                <w:rFonts w:eastAsia="Times New Roman" w:cs="Calibri"/>
                <w:b/>
                <w:bCs/>
                <w:color w:val="auto"/>
                <w:sz w:val="18"/>
                <w:szCs w:val="18"/>
                <w:lang w:eastAsia="en-GB"/>
              </w:rPr>
              <w:t>ase</w:t>
            </w:r>
            <w:r w:rsidR="00AB33AC">
              <w:rPr>
                <w:rFonts w:eastAsia="Times New Roman" w:cs="Calibri"/>
                <w:b/>
                <w:bCs/>
                <w:color w:val="auto"/>
                <w:sz w:val="18"/>
                <w:szCs w:val="18"/>
                <w:lang w:eastAsia="en-GB"/>
              </w:rPr>
              <w:t>l</w:t>
            </w:r>
            <w:r w:rsidR="00F64270" w:rsidRPr="00BB4743">
              <w:rPr>
                <w:rFonts w:eastAsia="Times New Roman" w:cs="Calibri"/>
                <w:b/>
                <w:bCs/>
                <w:color w:val="auto"/>
                <w:sz w:val="18"/>
                <w:szCs w:val="18"/>
                <w:lang w:eastAsia="en-GB"/>
              </w:rPr>
              <w:t>ine</w:t>
            </w:r>
            <w:r w:rsidR="007F6110">
              <w:rPr>
                <w:rFonts w:eastAsia="Times New Roman" w:cs="Calibri"/>
                <w:b/>
                <w:bCs/>
                <w:color w:val="auto"/>
                <w:sz w:val="18"/>
                <w:szCs w:val="18"/>
                <w:lang w:eastAsia="en-GB"/>
              </w:rPr>
              <w:t xml:space="preserve"> (BL)</w:t>
            </w:r>
          </w:p>
        </w:tc>
        <w:tc>
          <w:tcPr>
            <w:tcW w:w="728" w:type="pct"/>
            <w:hideMark/>
          </w:tcPr>
          <w:p w14:paraId="6F5166B1" w14:textId="6F7871C4" w:rsidR="00B22C9A" w:rsidRPr="00BB4743" w:rsidRDefault="00B22C9A" w:rsidP="008C1BFD">
            <w:pPr>
              <w:rPr>
                <w:rFonts w:eastAsia="Times New Roman" w:cs="Calibri"/>
                <w:b/>
                <w:bCs/>
                <w:color w:val="auto"/>
                <w:sz w:val="18"/>
                <w:szCs w:val="18"/>
                <w:lang w:eastAsia="en-GB"/>
              </w:rPr>
            </w:pPr>
            <w:r w:rsidRPr="00BB4743">
              <w:rPr>
                <w:rFonts w:eastAsia="Times New Roman" w:cs="Calibri"/>
                <w:b/>
                <w:bCs/>
                <w:color w:val="auto"/>
                <w:sz w:val="18"/>
                <w:szCs w:val="18"/>
                <w:lang w:eastAsia="en-GB"/>
              </w:rPr>
              <w:t>L</w:t>
            </w:r>
            <w:r w:rsidR="00F64270" w:rsidRPr="00BB4743">
              <w:rPr>
                <w:rFonts w:eastAsia="Times New Roman" w:cs="Calibri"/>
                <w:b/>
                <w:bCs/>
                <w:color w:val="auto"/>
                <w:sz w:val="18"/>
                <w:szCs w:val="18"/>
                <w:lang w:eastAsia="en-GB"/>
              </w:rPr>
              <w:t xml:space="preserve">atest </w:t>
            </w:r>
            <w:r w:rsidRPr="00BB4743">
              <w:rPr>
                <w:rFonts w:eastAsia="Times New Roman" w:cs="Calibri"/>
                <w:b/>
                <w:bCs/>
                <w:color w:val="auto"/>
                <w:sz w:val="18"/>
                <w:szCs w:val="18"/>
                <w:lang w:eastAsia="en-GB"/>
              </w:rPr>
              <w:t>Y</w:t>
            </w:r>
            <w:r w:rsidR="00F64270" w:rsidRPr="00BB4743">
              <w:rPr>
                <w:rFonts w:eastAsia="Times New Roman" w:cs="Calibri"/>
                <w:b/>
                <w:bCs/>
                <w:color w:val="auto"/>
                <w:sz w:val="18"/>
                <w:szCs w:val="18"/>
                <w:lang w:eastAsia="en-GB"/>
              </w:rPr>
              <w:t>ear</w:t>
            </w:r>
            <w:r w:rsidR="007F6110">
              <w:rPr>
                <w:rFonts w:eastAsia="Times New Roman" w:cs="Calibri"/>
                <w:b/>
                <w:bCs/>
                <w:color w:val="auto"/>
                <w:sz w:val="18"/>
                <w:szCs w:val="18"/>
                <w:lang w:eastAsia="en-GB"/>
              </w:rPr>
              <w:t xml:space="preserve"> (LY)</w:t>
            </w:r>
          </w:p>
        </w:tc>
        <w:tc>
          <w:tcPr>
            <w:tcW w:w="513" w:type="pct"/>
            <w:hideMark/>
          </w:tcPr>
          <w:p w14:paraId="20DD75EF" w14:textId="08142597" w:rsidR="00B22C9A" w:rsidRPr="00BB4743" w:rsidRDefault="287EBF5E" w:rsidP="008C1BFD">
            <w:pPr>
              <w:rPr>
                <w:rFonts w:eastAsia="Times New Roman" w:cs="Calibri"/>
                <w:b/>
                <w:bCs/>
                <w:color w:val="auto"/>
                <w:sz w:val="18"/>
                <w:szCs w:val="18"/>
                <w:lang w:eastAsia="en-GB"/>
              </w:rPr>
            </w:pPr>
            <w:r w:rsidRPr="00BB4743">
              <w:rPr>
                <w:rFonts w:eastAsia="Times New Roman" w:cs="Calibri"/>
                <w:b/>
                <w:bCs/>
                <w:color w:val="auto"/>
                <w:sz w:val="18"/>
                <w:szCs w:val="18"/>
                <w:lang w:eastAsia="en-GB"/>
              </w:rPr>
              <w:t>P</w:t>
            </w:r>
            <w:r w:rsidR="00172D1B" w:rsidRPr="00BB4743">
              <w:rPr>
                <w:rFonts w:eastAsia="Times New Roman" w:cs="Calibri"/>
                <w:b/>
                <w:bCs/>
                <w:color w:val="auto"/>
                <w:sz w:val="18"/>
                <w:szCs w:val="18"/>
                <w:lang w:eastAsia="en-GB"/>
              </w:rPr>
              <w:t>a</w:t>
            </w:r>
            <w:r w:rsidRPr="00BB4743">
              <w:rPr>
                <w:rFonts w:eastAsia="Times New Roman" w:cs="Calibri"/>
                <w:b/>
                <w:bCs/>
                <w:color w:val="auto"/>
                <w:sz w:val="18"/>
                <w:szCs w:val="18"/>
                <w:lang w:eastAsia="en-GB"/>
              </w:rPr>
              <w:t>thogen (</w:t>
            </w:r>
            <w:r w:rsidR="67531E19" w:rsidRPr="00BB4743">
              <w:rPr>
                <w:rFonts w:eastAsia="Times New Roman" w:cs="Calibri"/>
                <w:b/>
                <w:bCs/>
                <w:color w:val="auto"/>
                <w:sz w:val="18"/>
                <w:szCs w:val="18"/>
                <w:lang w:eastAsia="en-GB"/>
              </w:rPr>
              <w:t>PT</w:t>
            </w:r>
            <w:r w:rsidR="44A12A40" w:rsidRPr="00BB4743">
              <w:rPr>
                <w:rFonts w:eastAsia="Times New Roman" w:cs="Calibri"/>
                <w:b/>
                <w:bCs/>
                <w:color w:val="auto"/>
                <w:sz w:val="18"/>
                <w:szCs w:val="18"/>
                <w:lang w:eastAsia="en-GB"/>
              </w:rPr>
              <w:t>)</w:t>
            </w:r>
            <w:r w:rsidR="67531E19" w:rsidRPr="00BB4743">
              <w:rPr>
                <w:rFonts w:eastAsia="Times New Roman" w:cs="Calibri"/>
                <w:b/>
                <w:bCs/>
                <w:color w:val="auto"/>
                <w:sz w:val="18"/>
                <w:szCs w:val="18"/>
                <w:lang w:eastAsia="en-GB"/>
              </w:rPr>
              <w:t>/</w:t>
            </w:r>
            <w:r w:rsidR="44A12A40" w:rsidRPr="00BB4743">
              <w:rPr>
                <w:rFonts w:eastAsia="Times New Roman" w:cs="Calibri"/>
                <w:b/>
                <w:bCs/>
                <w:color w:val="auto"/>
                <w:sz w:val="18"/>
                <w:szCs w:val="18"/>
                <w:lang w:eastAsia="en-GB"/>
              </w:rPr>
              <w:t xml:space="preserve"> Sample (</w:t>
            </w:r>
            <w:r w:rsidR="67531E19" w:rsidRPr="00BB4743">
              <w:rPr>
                <w:rFonts w:eastAsia="Times New Roman" w:cs="Calibri"/>
                <w:b/>
                <w:bCs/>
                <w:color w:val="auto"/>
                <w:sz w:val="18"/>
                <w:szCs w:val="18"/>
                <w:lang w:eastAsia="en-GB"/>
              </w:rPr>
              <w:t>S</w:t>
            </w:r>
            <w:r w:rsidR="419E7F13" w:rsidRPr="00BB4743">
              <w:rPr>
                <w:rFonts w:eastAsia="Times New Roman" w:cs="Calibri"/>
                <w:b/>
                <w:bCs/>
                <w:color w:val="auto"/>
                <w:sz w:val="18"/>
                <w:szCs w:val="18"/>
                <w:lang w:eastAsia="en-GB"/>
              </w:rPr>
              <w:t>)</w:t>
            </w:r>
            <w:r w:rsidR="67531E19" w:rsidRPr="00BB4743">
              <w:rPr>
                <w:rFonts w:eastAsia="Times New Roman" w:cs="Calibri"/>
                <w:b/>
                <w:bCs/>
                <w:color w:val="auto"/>
                <w:sz w:val="18"/>
                <w:szCs w:val="18"/>
                <w:lang w:eastAsia="en-GB"/>
              </w:rPr>
              <w:t>/</w:t>
            </w:r>
            <w:r w:rsidR="411BACB1" w:rsidRPr="00BB4743">
              <w:rPr>
                <w:rFonts w:eastAsia="Times New Roman" w:cs="Calibri"/>
                <w:b/>
                <w:bCs/>
                <w:color w:val="auto"/>
                <w:sz w:val="18"/>
                <w:szCs w:val="18"/>
                <w:lang w:eastAsia="en-GB"/>
              </w:rPr>
              <w:t xml:space="preserve"> Isolate (</w:t>
            </w:r>
            <w:r w:rsidR="67531E19" w:rsidRPr="00BB4743">
              <w:rPr>
                <w:rFonts w:eastAsia="Times New Roman" w:cs="Calibri"/>
                <w:b/>
                <w:bCs/>
                <w:color w:val="auto"/>
                <w:sz w:val="18"/>
                <w:szCs w:val="18"/>
                <w:lang w:eastAsia="en-GB"/>
              </w:rPr>
              <w:t>I</w:t>
            </w:r>
            <w:r w:rsidR="560BA53E" w:rsidRPr="00BB4743">
              <w:rPr>
                <w:rFonts w:eastAsia="Times New Roman" w:cs="Calibri"/>
                <w:b/>
                <w:bCs/>
                <w:color w:val="auto"/>
                <w:sz w:val="18"/>
                <w:szCs w:val="18"/>
                <w:lang w:eastAsia="en-GB"/>
              </w:rPr>
              <w:t>)</w:t>
            </w:r>
          </w:p>
        </w:tc>
        <w:tc>
          <w:tcPr>
            <w:tcW w:w="438" w:type="pct"/>
            <w:hideMark/>
          </w:tcPr>
          <w:p w14:paraId="6B021F5F" w14:textId="77777777" w:rsidR="00B22C9A" w:rsidRPr="00BB4743" w:rsidRDefault="00B22C9A" w:rsidP="008C1BFD">
            <w:pPr>
              <w:rPr>
                <w:rFonts w:eastAsia="Times New Roman" w:cs="Calibri"/>
                <w:b/>
                <w:bCs/>
                <w:color w:val="auto"/>
                <w:sz w:val="18"/>
                <w:szCs w:val="18"/>
                <w:lang w:eastAsia="en-GB"/>
              </w:rPr>
            </w:pPr>
            <w:r w:rsidRPr="00BB4743">
              <w:rPr>
                <w:rFonts w:eastAsia="Times New Roman" w:cs="Calibri"/>
                <w:b/>
                <w:bCs/>
                <w:color w:val="auto"/>
                <w:sz w:val="18"/>
                <w:szCs w:val="18"/>
                <w:lang w:eastAsia="en-GB"/>
              </w:rPr>
              <w:t>% change</w:t>
            </w:r>
          </w:p>
        </w:tc>
      </w:tr>
      <w:tr w:rsidR="00086F5E" w:rsidRPr="0038753D" w14:paraId="4EE1903E" w14:textId="77777777" w:rsidTr="00086F5E">
        <w:trPr>
          <w:cnfStyle w:val="000000100000" w:firstRow="0" w:lastRow="0" w:firstColumn="0" w:lastColumn="0" w:oddVBand="0" w:evenVBand="0" w:oddHBand="1" w:evenHBand="0" w:firstRowFirstColumn="0" w:firstRowLastColumn="0" w:lastRowFirstColumn="0" w:lastRowLastColumn="0"/>
          <w:trHeight w:val="57"/>
        </w:trPr>
        <w:tc>
          <w:tcPr>
            <w:tcW w:w="670" w:type="pct"/>
            <w:hideMark/>
          </w:tcPr>
          <w:p w14:paraId="357F816F"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Bangladesh</w:t>
            </w:r>
          </w:p>
        </w:tc>
        <w:tc>
          <w:tcPr>
            <w:tcW w:w="483" w:type="pct"/>
            <w:hideMark/>
          </w:tcPr>
          <w:p w14:paraId="77954468"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8</w:t>
            </w:r>
          </w:p>
        </w:tc>
        <w:tc>
          <w:tcPr>
            <w:tcW w:w="522" w:type="pct"/>
            <w:shd w:val="clear" w:color="auto" w:fill="3FB84E" w:themeFill="accent3"/>
            <w:hideMark/>
          </w:tcPr>
          <w:p w14:paraId="346E35C1"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9</w:t>
            </w:r>
          </w:p>
        </w:tc>
        <w:tc>
          <w:tcPr>
            <w:tcW w:w="545" w:type="pct"/>
            <w:hideMark/>
          </w:tcPr>
          <w:p w14:paraId="0310FD37"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6</w:t>
            </w:r>
          </w:p>
        </w:tc>
        <w:tc>
          <w:tcPr>
            <w:tcW w:w="351" w:type="pct"/>
            <w:hideMark/>
          </w:tcPr>
          <w:p w14:paraId="3DCEE120"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66%</w:t>
            </w:r>
          </w:p>
        </w:tc>
        <w:tc>
          <w:tcPr>
            <w:tcW w:w="751" w:type="pct"/>
            <w:hideMark/>
          </w:tcPr>
          <w:p w14:paraId="449F60AB"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553 (S, 2017/18)</w:t>
            </w:r>
          </w:p>
        </w:tc>
        <w:tc>
          <w:tcPr>
            <w:tcW w:w="728" w:type="pct"/>
            <w:hideMark/>
          </w:tcPr>
          <w:p w14:paraId="314C5B03"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678 (S, 2019)</w:t>
            </w:r>
          </w:p>
        </w:tc>
        <w:tc>
          <w:tcPr>
            <w:tcW w:w="513" w:type="pct"/>
            <w:hideMark/>
          </w:tcPr>
          <w:p w14:paraId="594C423A"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S</w:t>
            </w:r>
          </w:p>
        </w:tc>
        <w:tc>
          <w:tcPr>
            <w:tcW w:w="438" w:type="pct"/>
            <w:shd w:val="clear" w:color="auto" w:fill="3FB84E" w:themeFill="accent3"/>
            <w:hideMark/>
          </w:tcPr>
          <w:p w14:paraId="5D95977D"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22%</w:t>
            </w:r>
          </w:p>
        </w:tc>
      </w:tr>
      <w:tr w:rsidR="00086F5E" w:rsidRPr="0038753D" w14:paraId="03F041F4" w14:textId="77777777" w:rsidTr="006E2A0E">
        <w:trPr>
          <w:cnfStyle w:val="000000010000" w:firstRow="0" w:lastRow="0" w:firstColumn="0" w:lastColumn="0" w:oddVBand="0" w:evenVBand="0" w:oddHBand="0" w:evenHBand="1" w:firstRowFirstColumn="0" w:firstRowLastColumn="0" w:lastRowFirstColumn="0" w:lastRowLastColumn="0"/>
          <w:trHeight w:val="57"/>
        </w:trPr>
        <w:tc>
          <w:tcPr>
            <w:tcW w:w="670" w:type="pct"/>
            <w:hideMark/>
          </w:tcPr>
          <w:p w14:paraId="3E6781B3"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Bhutan</w:t>
            </w:r>
          </w:p>
        </w:tc>
        <w:tc>
          <w:tcPr>
            <w:tcW w:w="483" w:type="pct"/>
            <w:hideMark/>
          </w:tcPr>
          <w:p w14:paraId="23E78E70"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3</w:t>
            </w:r>
          </w:p>
        </w:tc>
        <w:tc>
          <w:tcPr>
            <w:tcW w:w="522" w:type="pct"/>
            <w:shd w:val="clear" w:color="auto" w:fill="3FB84E" w:themeFill="accent3"/>
            <w:hideMark/>
          </w:tcPr>
          <w:p w14:paraId="0550336F"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4</w:t>
            </w:r>
          </w:p>
        </w:tc>
        <w:tc>
          <w:tcPr>
            <w:tcW w:w="545" w:type="pct"/>
            <w:hideMark/>
          </w:tcPr>
          <w:p w14:paraId="70D1ED82"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5</w:t>
            </w:r>
          </w:p>
        </w:tc>
        <w:tc>
          <w:tcPr>
            <w:tcW w:w="351" w:type="pct"/>
            <w:hideMark/>
          </w:tcPr>
          <w:p w14:paraId="4091794E"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100%</w:t>
            </w:r>
          </w:p>
        </w:tc>
        <w:tc>
          <w:tcPr>
            <w:tcW w:w="751" w:type="pct"/>
            <w:hideMark/>
          </w:tcPr>
          <w:p w14:paraId="27E78087" w14:textId="4B3DE4C0"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38</w:t>
            </w:r>
            <w:r w:rsidR="00ED510D">
              <w:rPr>
                <w:rFonts w:eastAsia="Times New Roman" w:cs="Calibri"/>
                <w:color w:val="000000"/>
                <w:sz w:val="18"/>
                <w:szCs w:val="18"/>
                <w:lang w:eastAsia="en-GB"/>
              </w:rPr>
              <w:t>,</w:t>
            </w:r>
            <w:r w:rsidRPr="0038753D">
              <w:rPr>
                <w:rFonts w:eastAsia="Times New Roman" w:cs="Calibri"/>
                <w:color w:val="000000"/>
                <w:sz w:val="18"/>
                <w:szCs w:val="18"/>
                <w:lang w:eastAsia="en-GB"/>
              </w:rPr>
              <w:t>897 (S, 2018)</w:t>
            </w:r>
          </w:p>
        </w:tc>
        <w:tc>
          <w:tcPr>
            <w:tcW w:w="728" w:type="pct"/>
            <w:hideMark/>
          </w:tcPr>
          <w:p w14:paraId="773A70B0" w14:textId="4C8A6554"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31</w:t>
            </w:r>
            <w:r w:rsidR="00ED510D">
              <w:rPr>
                <w:rFonts w:eastAsia="Times New Roman" w:cs="Calibri"/>
                <w:color w:val="000000"/>
                <w:sz w:val="18"/>
                <w:szCs w:val="18"/>
                <w:lang w:eastAsia="en-GB"/>
              </w:rPr>
              <w:t>,</w:t>
            </w:r>
            <w:r w:rsidRPr="0038753D">
              <w:rPr>
                <w:rFonts w:eastAsia="Times New Roman" w:cs="Calibri"/>
                <w:color w:val="000000"/>
                <w:sz w:val="18"/>
                <w:szCs w:val="18"/>
                <w:lang w:eastAsia="en-GB"/>
              </w:rPr>
              <w:t>816 (S, 2021)</w:t>
            </w:r>
          </w:p>
        </w:tc>
        <w:tc>
          <w:tcPr>
            <w:tcW w:w="513" w:type="pct"/>
            <w:hideMark/>
          </w:tcPr>
          <w:p w14:paraId="1802123E"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S</w:t>
            </w:r>
          </w:p>
        </w:tc>
        <w:tc>
          <w:tcPr>
            <w:tcW w:w="438" w:type="pct"/>
            <w:shd w:val="clear" w:color="auto" w:fill="FF0000"/>
            <w:hideMark/>
          </w:tcPr>
          <w:p w14:paraId="22828335"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-18.30%</w:t>
            </w:r>
          </w:p>
        </w:tc>
      </w:tr>
      <w:tr w:rsidR="00086F5E" w:rsidRPr="0038753D" w14:paraId="54626550" w14:textId="77777777" w:rsidTr="00086F5E">
        <w:trPr>
          <w:cnfStyle w:val="000000100000" w:firstRow="0" w:lastRow="0" w:firstColumn="0" w:lastColumn="0" w:oddVBand="0" w:evenVBand="0" w:oddHBand="1" w:evenHBand="0" w:firstRowFirstColumn="0" w:firstRowLastColumn="0" w:lastRowFirstColumn="0" w:lastRowLastColumn="0"/>
          <w:trHeight w:val="57"/>
        </w:trPr>
        <w:tc>
          <w:tcPr>
            <w:tcW w:w="670" w:type="pct"/>
            <w:hideMark/>
          </w:tcPr>
          <w:p w14:paraId="331EDBDF"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Indonesia</w:t>
            </w:r>
          </w:p>
        </w:tc>
        <w:tc>
          <w:tcPr>
            <w:tcW w:w="483" w:type="pct"/>
            <w:hideMark/>
          </w:tcPr>
          <w:p w14:paraId="41E5D6A0"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11</w:t>
            </w:r>
          </w:p>
        </w:tc>
        <w:tc>
          <w:tcPr>
            <w:tcW w:w="522" w:type="pct"/>
            <w:shd w:val="clear" w:color="auto" w:fill="3FB84E" w:themeFill="accent3"/>
            <w:hideMark/>
          </w:tcPr>
          <w:p w14:paraId="29677F15"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20</w:t>
            </w:r>
          </w:p>
        </w:tc>
        <w:tc>
          <w:tcPr>
            <w:tcW w:w="545" w:type="pct"/>
            <w:hideMark/>
          </w:tcPr>
          <w:p w14:paraId="028322FF"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13</w:t>
            </w:r>
          </w:p>
        </w:tc>
        <w:tc>
          <w:tcPr>
            <w:tcW w:w="351" w:type="pct"/>
            <w:hideMark/>
          </w:tcPr>
          <w:p w14:paraId="7BE2465B"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65%</w:t>
            </w:r>
          </w:p>
        </w:tc>
        <w:tc>
          <w:tcPr>
            <w:tcW w:w="751" w:type="pct"/>
            <w:hideMark/>
          </w:tcPr>
          <w:p w14:paraId="32B21A55"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0 (S, 2018)</w:t>
            </w:r>
          </w:p>
        </w:tc>
        <w:tc>
          <w:tcPr>
            <w:tcW w:w="728" w:type="pct"/>
            <w:hideMark/>
          </w:tcPr>
          <w:p w14:paraId="75A8F070" w14:textId="745E2074"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52</w:t>
            </w:r>
            <w:r w:rsidR="00ED510D">
              <w:rPr>
                <w:rFonts w:eastAsia="Times New Roman" w:cs="Calibri"/>
                <w:color w:val="000000"/>
                <w:sz w:val="18"/>
                <w:szCs w:val="18"/>
                <w:lang w:eastAsia="en-GB"/>
              </w:rPr>
              <w:t>,</w:t>
            </w:r>
            <w:r w:rsidRPr="0038753D">
              <w:rPr>
                <w:rFonts w:eastAsia="Times New Roman" w:cs="Calibri"/>
                <w:color w:val="000000"/>
                <w:sz w:val="18"/>
                <w:szCs w:val="18"/>
                <w:lang w:eastAsia="en-GB"/>
              </w:rPr>
              <w:t>454 (S, 2021)</w:t>
            </w:r>
          </w:p>
        </w:tc>
        <w:tc>
          <w:tcPr>
            <w:tcW w:w="513" w:type="pct"/>
            <w:hideMark/>
          </w:tcPr>
          <w:p w14:paraId="6D1CF66A"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S</w:t>
            </w:r>
          </w:p>
        </w:tc>
        <w:tc>
          <w:tcPr>
            <w:tcW w:w="438" w:type="pct"/>
            <w:shd w:val="clear" w:color="auto" w:fill="3FB84E" w:themeFill="accent3"/>
            <w:hideMark/>
          </w:tcPr>
          <w:p w14:paraId="0B2638EC"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r>
      <w:tr w:rsidR="00086F5E" w:rsidRPr="0038753D" w14:paraId="46E6E292" w14:textId="77777777" w:rsidTr="00086F5E">
        <w:trPr>
          <w:cnfStyle w:val="000000010000" w:firstRow="0" w:lastRow="0" w:firstColumn="0" w:lastColumn="0" w:oddVBand="0" w:evenVBand="0" w:oddHBand="0" w:evenHBand="1" w:firstRowFirstColumn="0" w:firstRowLastColumn="0" w:lastRowFirstColumn="0" w:lastRowLastColumn="0"/>
          <w:trHeight w:val="57"/>
        </w:trPr>
        <w:tc>
          <w:tcPr>
            <w:tcW w:w="670" w:type="pct"/>
            <w:hideMark/>
          </w:tcPr>
          <w:p w14:paraId="5DD59503"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Nigeria</w:t>
            </w:r>
          </w:p>
        </w:tc>
        <w:tc>
          <w:tcPr>
            <w:tcW w:w="483" w:type="pct"/>
            <w:hideMark/>
          </w:tcPr>
          <w:p w14:paraId="65C283F5"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29</w:t>
            </w:r>
          </w:p>
        </w:tc>
        <w:tc>
          <w:tcPr>
            <w:tcW w:w="522" w:type="pct"/>
            <w:shd w:val="clear" w:color="auto" w:fill="3FB84E" w:themeFill="accent3"/>
            <w:hideMark/>
          </w:tcPr>
          <w:p w14:paraId="724D2F1C"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35</w:t>
            </w:r>
          </w:p>
        </w:tc>
        <w:tc>
          <w:tcPr>
            <w:tcW w:w="545" w:type="pct"/>
            <w:hideMark/>
          </w:tcPr>
          <w:p w14:paraId="16152E99"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11</w:t>
            </w:r>
          </w:p>
        </w:tc>
        <w:tc>
          <w:tcPr>
            <w:tcW w:w="351" w:type="pct"/>
            <w:hideMark/>
          </w:tcPr>
          <w:p w14:paraId="45A96CF0"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38%</w:t>
            </w:r>
          </w:p>
        </w:tc>
        <w:tc>
          <w:tcPr>
            <w:tcW w:w="751" w:type="pct"/>
            <w:hideMark/>
          </w:tcPr>
          <w:p w14:paraId="0FC5065C" w14:textId="3152B22E"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3</w:t>
            </w:r>
            <w:r w:rsidR="00ED510D">
              <w:rPr>
                <w:rFonts w:eastAsia="Times New Roman" w:cs="Calibri"/>
                <w:color w:val="000000"/>
                <w:sz w:val="18"/>
                <w:szCs w:val="18"/>
                <w:lang w:eastAsia="en-GB"/>
              </w:rPr>
              <w:t>,</w:t>
            </w:r>
            <w:r w:rsidRPr="0038753D">
              <w:rPr>
                <w:rFonts w:eastAsia="Times New Roman" w:cs="Calibri"/>
                <w:color w:val="000000"/>
                <w:sz w:val="18"/>
                <w:szCs w:val="18"/>
                <w:lang w:eastAsia="en-GB"/>
              </w:rPr>
              <w:t>638 (PT, 2017)</w:t>
            </w:r>
          </w:p>
        </w:tc>
        <w:tc>
          <w:tcPr>
            <w:tcW w:w="728" w:type="pct"/>
            <w:hideMark/>
          </w:tcPr>
          <w:p w14:paraId="1491C2BA" w14:textId="5A0FF348"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4</w:t>
            </w:r>
            <w:r w:rsidR="00ED510D">
              <w:rPr>
                <w:rFonts w:eastAsia="Times New Roman" w:cs="Calibri"/>
                <w:color w:val="000000"/>
                <w:sz w:val="18"/>
                <w:szCs w:val="18"/>
                <w:lang w:eastAsia="en-GB"/>
              </w:rPr>
              <w:t>,</w:t>
            </w:r>
            <w:r w:rsidRPr="0038753D">
              <w:rPr>
                <w:rFonts w:eastAsia="Times New Roman" w:cs="Calibri"/>
                <w:color w:val="000000"/>
                <w:sz w:val="18"/>
                <w:szCs w:val="18"/>
                <w:lang w:eastAsia="en-GB"/>
              </w:rPr>
              <w:t>585 (PT, 2020)</w:t>
            </w:r>
          </w:p>
        </w:tc>
        <w:tc>
          <w:tcPr>
            <w:tcW w:w="513" w:type="pct"/>
            <w:hideMark/>
          </w:tcPr>
          <w:p w14:paraId="36E8221A"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PT</w:t>
            </w:r>
          </w:p>
        </w:tc>
        <w:tc>
          <w:tcPr>
            <w:tcW w:w="438" w:type="pct"/>
            <w:shd w:val="clear" w:color="auto" w:fill="3FB84E" w:themeFill="accent3"/>
            <w:hideMark/>
          </w:tcPr>
          <w:p w14:paraId="027112B2"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26%</w:t>
            </w:r>
          </w:p>
        </w:tc>
      </w:tr>
      <w:tr w:rsidR="00086F5E" w:rsidRPr="0038753D" w14:paraId="0788F724" w14:textId="77777777" w:rsidTr="006219A4">
        <w:trPr>
          <w:cnfStyle w:val="000000100000" w:firstRow="0" w:lastRow="0" w:firstColumn="0" w:lastColumn="0" w:oddVBand="0" w:evenVBand="0" w:oddHBand="1" w:evenHBand="0" w:firstRowFirstColumn="0" w:firstRowLastColumn="0" w:lastRowFirstColumn="0" w:lastRowLastColumn="0"/>
          <w:trHeight w:val="57"/>
        </w:trPr>
        <w:tc>
          <w:tcPr>
            <w:tcW w:w="670" w:type="pct"/>
            <w:hideMark/>
          </w:tcPr>
          <w:p w14:paraId="228EE5D1"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Senegal</w:t>
            </w:r>
          </w:p>
        </w:tc>
        <w:tc>
          <w:tcPr>
            <w:tcW w:w="483" w:type="pct"/>
            <w:hideMark/>
          </w:tcPr>
          <w:p w14:paraId="5F13472F"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N/A</w:t>
            </w:r>
          </w:p>
        </w:tc>
        <w:tc>
          <w:tcPr>
            <w:tcW w:w="522" w:type="pct"/>
            <w:shd w:val="clear" w:color="auto" w:fill="3FB84E" w:themeFill="accent3"/>
            <w:hideMark/>
          </w:tcPr>
          <w:p w14:paraId="019EC220"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50</w:t>
            </w:r>
          </w:p>
        </w:tc>
        <w:tc>
          <w:tcPr>
            <w:tcW w:w="545" w:type="pct"/>
            <w:hideMark/>
          </w:tcPr>
          <w:p w14:paraId="4289F641"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5</w:t>
            </w:r>
          </w:p>
        </w:tc>
        <w:tc>
          <w:tcPr>
            <w:tcW w:w="351" w:type="pct"/>
            <w:hideMark/>
          </w:tcPr>
          <w:p w14:paraId="41B8F108"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c>
          <w:tcPr>
            <w:tcW w:w="751" w:type="pct"/>
            <w:hideMark/>
          </w:tcPr>
          <w:p w14:paraId="6F03A7E7"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c>
          <w:tcPr>
            <w:tcW w:w="728" w:type="pct"/>
            <w:hideMark/>
          </w:tcPr>
          <w:p w14:paraId="7A4D4D9D"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c>
          <w:tcPr>
            <w:tcW w:w="513" w:type="pct"/>
            <w:hideMark/>
          </w:tcPr>
          <w:p w14:paraId="02A77441"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c>
          <w:tcPr>
            <w:tcW w:w="438" w:type="pct"/>
            <w:shd w:val="clear" w:color="auto" w:fill="FFC000"/>
            <w:hideMark/>
          </w:tcPr>
          <w:p w14:paraId="6D238A99"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r>
      <w:tr w:rsidR="00086F5E" w:rsidRPr="0038753D" w14:paraId="254618EB" w14:textId="77777777" w:rsidTr="006E2A0E">
        <w:trPr>
          <w:cnfStyle w:val="000000010000" w:firstRow="0" w:lastRow="0" w:firstColumn="0" w:lastColumn="0" w:oddVBand="0" w:evenVBand="0" w:oddHBand="0" w:evenHBand="1" w:firstRowFirstColumn="0" w:firstRowLastColumn="0" w:lastRowFirstColumn="0" w:lastRowLastColumn="0"/>
          <w:trHeight w:val="57"/>
        </w:trPr>
        <w:tc>
          <w:tcPr>
            <w:tcW w:w="670" w:type="pct"/>
            <w:hideMark/>
          </w:tcPr>
          <w:p w14:paraId="2C7DC552"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Sierra Leone</w:t>
            </w:r>
          </w:p>
        </w:tc>
        <w:tc>
          <w:tcPr>
            <w:tcW w:w="483" w:type="pct"/>
            <w:hideMark/>
          </w:tcPr>
          <w:p w14:paraId="700798D4"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0</w:t>
            </w:r>
          </w:p>
        </w:tc>
        <w:tc>
          <w:tcPr>
            <w:tcW w:w="522" w:type="pct"/>
            <w:shd w:val="clear" w:color="auto" w:fill="E37230" w:themeFill="accent2"/>
            <w:hideMark/>
          </w:tcPr>
          <w:p w14:paraId="6E7EE623"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0</w:t>
            </w:r>
          </w:p>
        </w:tc>
        <w:tc>
          <w:tcPr>
            <w:tcW w:w="545" w:type="pct"/>
            <w:hideMark/>
          </w:tcPr>
          <w:p w14:paraId="154FC6ED"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3</w:t>
            </w:r>
          </w:p>
        </w:tc>
        <w:tc>
          <w:tcPr>
            <w:tcW w:w="351" w:type="pct"/>
            <w:hideMark/>
          </w:tcPr>
          <w:p w14:paraId="308F2F77"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c>
          <w:tcPr>
            <w:tcW w:w="751" w:type="pct"/>
            <w:hideMark/>
          </w:tcPr>
          <w:p w14:paraId="001CB902"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0</w:t>
            </w:r>
          </w:p>
        </w:tc>
        <w:tc>
          <w:tcPr>
            <w:tcW w:w="728" w:type="pct"/>
            <w:hideMark/>
          </w:tcPr>
          <w:p w14:paraId="68F22DDB"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0</w:t>
            </w:r>
          </w:p>
        </w:tc>
        <w:tc>
          <w:tcPr>
            <w:tcW w:w="513" w:type="pct"/>
            <w:hideMark/>
          </w:tcPr>
          <w:p w14:paraId="2DD62A3D"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c>
          <w:tcPr>
            <w:tcW w:w="438" w:type="pct"/>
            <w:shd w:val="clear" w:color="auto" w:fill="E37230" w:themeFill="accent2"/>
            <w:hideMark/>
          </w:tcPr>
          <w:p w14:paraId="0C1F3BCF"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r>
      <w:tr w:rsidR="00086F5E" w:rsidRPr="0038753D" w14:paraId="4D474995" w14:textId="77777777" w:rsidTr="00514CFC">
        <w:trPr>
          <w:cnfStyle w:val="000000100000" w:firstRow="0" w:lastRow="0" w:firstColumn="0" w:lastColumn="0" w:oddVBand="0" w:evenVBand="0" w:oddHBand="1" w:evenHBand="0" w:firstRowFirstColumn="0" w:firstRowLastColumn="0" w:lastRowFirstColumn="0" w:lastRowLastColumn="0"/>
          <w:trHeight w:val="57"/>
        </w:trPr>
        <w:tc>
          <w:tcPr>
            <w:tcW w:w="670" w:type="pct"/>
            <w:hideMark/>
          </w:tcPr>
          <w:p w14:paraId="0D36A300" w14:textId="785C9FB2" w:rsidR="00B22C9A" w:rsidRPr="0038753D" w:rsidRDefault="00260B8A" w:rsidP="008C1BFD">
            <w:pPr>
              <w:rPr>
                <w:rFonts w:eastAsia="Times New Roman" w:cs="Calibri"/>
                <w:color w:val="000000"/>
                <w:sz w:val="18"/>
                <w:szCs w:val="18"/>
                <w:lang w:eastAsia="en-GB"/>
              </w:rPr>
            </w:pPr>
            <w:r>
              <w:rPr>
                <w:rFonts w:eastAsia="Times New Roman" w:cs="Calibri"/>
                <w:color w:val="000000"/>
                <w:sz w:val="18"/>
                <w:szCs w:val="18"/>
                <w:lang w:eastAsia="en-GB"/>
              </w:rPr>
              <w:t>Timor-Leste</w:t>
            </w:r>
          </w:p>
        </w:tc>
        <w:tc>
          <w:tcPr>
            <w:tcW w:w="483" w:type="pct"/>
            <w:hideMark/>
          </w:tcPr>
          <w:p w14:paraId="0417F040"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0</w:t>
            </w:r>
          </w:p>
        </w:tc>
        <w:tc>
          <w:tcPr>
            <w:tcW w:w="522" w:type="pct"/>
            <w:shd w:val="clear" w:color="auto" w:fill="3FB84E" w:themeFill="accent3"/>
            <w:hideMark/>
          </w:tcPr>
          <w:p w14:paraId="25687209"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5</w:t>
            </w:r>
          </w:p>
        </w:tc>
        <w:tc>
          <w:tcPr>
            <w:tcW w:w="545" w:type="pct"/>
            <w:hideMark/>
          </w:tcPr>
          <w:p w14:paraId="32EB923F"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6</w:t>
            </w:r>
          </w:p>
        </w:tc>
        <w:tc>
          <w:tcPr>
            <w:tcW w:w="351" w:type="pct"/>
            <w:hideMark/>
          </w:tcPr>
          <w:p w14:paraId="12563F99"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100%</w:t>
            </w:r>
          </w:p>
        </w:tc>
        <w:tc>
          <w:tcPr>
            <w:tcW w:w="751" w:type="pct"/>
            <w:hideMark/>
          </w:tcPr>
          <w:p w14:paraId="11D299B7"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c>
          <w:tcPr>
            <w:tcW w:w="728" w:type="pct"/>
            <w:hideMark/>
          </w:tcPr>
          <w:p w14:paraId="575FBFBF"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114</w:t>
            </w:r>
          </w:p>
        </w:tc>
        <w:tc>
          <w:tcPr>
            <w:tcW w:w="513" w:type="pct"/>
            <w:hideMark/>
          </w:tcPr>
          <w:p w14:paraId="0F4BDA0E"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S</w:t>
            </w:r>
          </w:p>
        </w:tc>
        <w:tc>
          <w:tcPr>
            <w:tcW w:w="438" w:type="pct"/>
            <w:shd w:val="clear" w:color="auto" w:fill="B9DF8F" w:themeFill="accent6" w:themeFillTint="99"/>
            <w:hideMark/>
          </w:tcPr>
          <w:p w14:paraId="6BF9127E"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r>
      <w:tr w:rsidR="00086F5E" w:rsidRPr="0038753D" w14:paraId="2DE826FD" w14:textId="77777777" w:rsidTr="00086F5E">
        <w:trPr>
          <w:cnfStyle w:val="000000010000" w:firstRow="0" w:lastRow="0" w:firstColumn="0" w:lastColumn="0" w:oddVBand="0" w:evenVBand="0" w:oddHBand="0" w:evenHBand="1" w:firstRowFirstColumn="0" w:firstRowLastColumn="0" w:lastRowFirstColumn="0" w:lastRowLastColumn="0"/>
          <w:trHeight w:val="57"/>
        </w:trPr>
        <w:tc>
          <w:tcPr>
            <w:tcW w:w="670" w:type="pct"/>
            <w:hideMark/>
          </w:tcPr>
          <w:p w14:paraId="42DEC2DA"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Vietnam</w:t>
            </w:r>
          </w:p>
        </w:tc>
        <w:tc>
          <w:tcPr>
            <w:tcW w:w="483" w:type="pct"/>
            <w:hideMark/>
          </w:tcPr>
          <w:p w14:paraId="76E60A58"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16</w:t>
            </w:r>
          </w:p>
        </w:tc>
        <w:tc>
          <w:tcPr>
            <w:tcW w:w="522" w:type="pct"/>
            <w:shd w:val="clear" w:color="auto" w:fill="3FB84E" w:themeFill="accent3"/>
            <w:hideMark/>
          </w:tcPr>
          <w:p w14:paraId="7227DA69"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19</w:t>
            </w:r>
          </w:p>
        </w:tc>
        <w:tc>
          <w:tcPr>
            <w:tcW w:w="545" w:type="pct"/>
            <w:hideMark/>
          </w:tcPr>
          <w:p w14:paraId="7DF2E580"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20</w:t>
            </w:r>
          </w:p>
        </w:tc>
        <w:tc>
          <w:tcPr>
            <w:tcW w:w="351" w:type="pct"/>
            <w:hideMark/>
          </w:tcPr>
          <w:p w14:paraId="6A5B6D56"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c>
          <w:tcPr>
            <w:tcW w:w="751" w:type="pct"/>
            <w:hideMark/>
          </w:tcPr>
          <w:p w14:paraId="507E7699"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100,000 (I, 2019)</w:t>
            </w:r>
          </w:p>
        </w:tc>
        <w:tc>
          <w:tcPr>
            <w:tcW w:w="728" w:type="pct"/>
            <w:hideMark/>
          </w:tcPr>
          <w:p w14:paraId="1E98BD2D"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&gt;200,000 (I, 2021)</w:t>
            </w:r>
          </w:p>
        </w:tc>
        <w:tc>
          <w:tcPr>
            <w:tcW w:w="513" w:type="pct"/>
            <w:hideMark/>
          </w:tcPr>
          <w:p w14:paraId="649E28E8"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I</w:t>
            </w:r>
          </w:p>
        </w:tc>
        <w:tc>
          <w:tcPr>
            <w:tcW w:w="438" w:type="pct"/>
            <w:shd w:val="clear" w:color="auto" w:fill="3FB84E" w:themeFill="accent3"/>
            <w:hideMark/>
          </w:tcPr>
          <w:p w14:paraId="22944A03"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100%</w:t>
            </w:r>
          </w:p>
        </w:tc>
      </w:tr>
      <w:tr w:rsidR="00086F5E" w:rsidRPr="0038753D" w14:paraId="597799CD" w14:textId="77777777" w:rsidTr="000A43B1">
        <w:trPr>
          <w:cnfStyle w:val="000000100000" w:firstRow="0" w:lastRow="0" w:firstColumn="0" w:lastColumn="0" w:oddVBand="0" w:evenVBand="0" w:oddHBand="1" w:evenHBand="0" w:firstRowFirstColumn="0" w:firstRowLastColumn="0" w:lastRowFirstColumn="0" w:lastRowLastColumn="0"/>
          <w:trHeight w:val="57"/>
        </w:trPr>
        <w:tc>
          <w:tcPr>
            <w:tcW w:w="670" w:type="pct"/>
            <w:hideMark/>
          </w:tcPr>
          <w:p w14:paraId="3E2C7FD7"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Ghana</w:t>
            </w:r>
          </w:p>
        </w:tc>
        <w:tc>
          <w:tcPr>
            <w:tcW w:w="483" w:type="pct"/>
            <w:hideMark/>
          </w:tcPr>
          <w:p w14:paraId="4C314355"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8</w:t>
            </w:r>
          </w:p>
        </w:tc>
        <w:tc>
          <w:tcPr>
            <w:tcW w:w="522" w:type="pct"/>
            <w:shd w:val="clear" w:color="auto" w:fill="E37230" w:themeFill="accent2"/>
            <w:hideMark/>
          </w:tcPr>
          <w:p w14:paraId="18F0E0C2"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8</w:t>
            </w:r>
          </w:p>
        </w:tc>
        <w:tc>
          <w:tcPr>
            <w:tcW w:w="545" w:type="pct"/>
            <w:hideMark/>
          </w:tcPr>
          <w:p w14:paraId="6BEB33E3"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8</w:t>
            </w:r>
          </w:p>
        </w:tc>
        <w:tc>
          <w:tcPr>
            <w:tcW w:w="351" w:type="pct"/>
            <w:hideMark/>
          </w:tcPr>
          <w:p w14:paraId="39327B42"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100%</w:t>
            </w:r>
          </w:p>
        </w:tc>
        <w:tc>
          <w:tcPr>
            <w:tcW w:w="751" w:type="pct"/>
            <w:hideMark/>
          </w:tcPr>
          <w:p w14:paraId="60AF6D1D"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0</w:t>
            </w:r>
          </w:p>
        </w:tc>
        <w:tc>
          <w:tcPr>
            <w:tcW w:w="728" w:type="pct"/>
            <w:hideMark/>
          </w:tcPr>
          <w:p w14:paraId="44F9DF15"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c>
          <w:tcPr>
            <w:tcW w:w="513" w:type="pct"/>
            <w:hideMark/>
          </w:tcPr>
          <w:p w14:paraId="40EFF189"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S</w:t>
            </w:r>
          </w:p>
        </w:tc>
        <w:tc>
          <w:tcPr>
            <w:tcW w:w="438" w:type="pct"/>
            <w:shd w:val="clear" w:color="auto" w:fill="FFC000"/>
            <w:hideMark/>
          </w:tcPr>
          <w:p w14:paraId="5011E47E"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r>
      <w:tr w:rsidR="00086F5E" w:rsidRPr="0038753D" w14:paraId="2E7D6574" w14:textId="77777777" w:rsidTr="00086F5E">
        <w:trPr>
          <w:cnfStyle w:val="000000010000" w:firstRow="0" w:lastRow="0" w:firstColumn="0" w:lastColumn="0" w:oddVBand="0" w:evenVBand="0" w:oddHBand="0" w:evenHBand="1" w:firstRowFirstColumn="0" w:firstRowLastColumn="0" w:lastRowFirstColumn="0" w:lastRowLastColumn="0"/>
          <w:trHeight w:val="57"/>
        </w:trPr>
        <w:tc>
          <w:tcPr>
            <w:tcW w:w="670" w:type="pct"/>
            <w:hideMark/>
          </w:tcPr>
          <w:p w14:paraId="5C543A1E"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Kenya</w:t>
            </w:r>
          </w:p>
        </w:tc>
        <w:tc>
          <w:tcPr>
            <w:tcW w:w="483" w:type="pct"/>
            <w:hideMark/>
          </w:tcPr>
          <w:p w14:paraId="26467947" w14:textId="77777777" w:rsidR="00B22C9A" w:rsidRPr="0038753D" w:rsidRDefault="00B22C9A" w:rsidP="003D77F8">
            <w:pPr>
              <w:rPr>
                <w:rFonts w:eastAsia="Times New Roman" w:cs="Calibri"/>
                <w:color w:val="000000"/>
                <w:sz w:val="18"/>
                <w:szCs w:val="18"/>
                <w:lang w:eastAsia="en-GB"/>
              </w:rPr>
            </w:pPr>
            <w:r w:rsidRPr="0038753D">
              <w:rPr>
                <w:rFonts w:eastAsia="Times New Roman" w:cs="Calibri"/>
                <w:color w:val="000000"/>
                <w:sz w:val="18"/>
                <w:szCs w:val="18"/>
                <w:lang w:eastAsia="en-GB"/>
              </w:rPr>
              <w:t>2</w:t>
            </w:r>
          </w:p>
        </w:tc>
        <w:tc>
          <w:tcPr>
            <w:tcW w:w="522" w:type="pct"/>
            <w:shd w:val="clear" w:color="auto" w:fill="3FB84E" w:themeFill="accent3"/>
            <w:hideMark/>
          </w:tcPr>
          <w:p w14:paraId="78A74D3D"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 xml:space="preserve">13 reporting to NRL </w:t>
            </w:r>
          </w:p>
        </w:tc>
        <w:tc>
          <w:tcPr>
            <w:tcW w:w="545" w:type="pct"/>
            <w:hideMark/>
          </w:tcPr>
          <w:p w14:paraId="454B230F" w14:textId="77777777" w:rsidR="00B22C9A" w:rsidRPr="0038753D" w:rsidRDefault="00B22C9A" w:rsidP="007B734F">
            <w:pPr>
              <w:rPr>
                <w:rFonts w:eastAsia="Times New Roman" w:cs="Calibri"/>
                <w:color w:val="000000"/>
                <w:sz w:val="18"/>
                <w:szCs w:val="18"/>
                <w:lang w:eastAsia="en-GB"/>
              </w:rPr>
            </w:pPr>
            <w:r w:rsidRPr="0038753D">
              <w:rPr>
                <w:rFonts w:eastAsia="Times New Roman" w:cs="Calibri"/>
                <w:color w:val="000000"/>
                <w:sz w:val="18"/>
                <w:szCs w:val="18"/>
                <w:lang w:eastAsia="en-GB"/>
              </w:rPr>
              <w:t>8</w:t>
            </w:r>
          </w:p>
        </w:tc>
        <w:tc>
          <w:tcPr>
            <w:tcW w:w="351" w:type="pct"/>
            <w:hideMark/>
          </w:tcPr>
          <w:p w14:paraId="6E8CC0B3" w14:textId="77777777" w:rsidR="00B22C9A" w:rsidRPr="0038753D" w:rsidRDefault="00B22C9A" w:rsidP="007B734F">
            <w:pPr>
              <w:rPr>
                <w:rFonts w:eastAsia="Times New Roman" w:cs="Calibri"/>
                <w:color w:val="000000"/>
                <w:sz w:val="18"/>
                <w:szCs w:val="18"/>
                <w:lang w:eastAsia="en-GB"/>
              </w:rPr>
            </w:pPr>
            <w:r w:rsidRPr="0038753D">
              <w:rPr>
                <w:rFonts w:eastAsia="Times New Roman" w:cs="Calibri"/>
                <w:color w:val="000000"/>
                <w:sz w:val="18"/>
                <w:szCs w:val="18"/>
                <w:lang w:eastAsia="en-GB"/>
              </w:rPr>
              <w:t>62%</w:t>
            </w:r>
          </w:p>
        </w:tc>
        <w:tc>
          <w:tcPr>
            <w:tcW w:w="751" w:type="pct"/>
            <w:hideMark/>
          </w:tcPr>
          <w:p w14:paraId="28C99375" w14:textId="77777777" w:rsidR="00B22C9A" w:rsidRPr="0038753D" w:rsidRDefault="00B22C9A" w:rsidP="007B734F">
            <w:pPr>
              <w:rPr>
                <w:rFonts w:eastAsia="Times New Roman" w:cs="Calibri"/>
                <w:color w:val="000000"/>
                <w:sz w:val="18"/>
                <w:szCs w:val="18"/>
                <w:lang w:eastAsia="en-GB"/>
              </w:rPr>
            </w:pPr>
            <w:r w:rsidRPr="0038753D">
              <w:rPr>
                <w:rFonts w:eastAsia="Times New Roman" w:cs="Calibri"/>
                <w:color w:val="000000"/>
                <w:sz w:val="18"/>
                <w:szCs w:val="18"/>
                <w:lang w:eastAsia="en-GB"/>
              </w:rPr>
              <w:t>0</w:t>
            </w:r>
          </w:p>
        </w:tc>
        <w:tc>
          <w:tcPr>
            <w:tcW w:w="728" w:type="pct"/>
            <w:hideMark/>
          </w:tcPr>
          <w:p w14:paraId="582AAFDE" w14:textId="4085F7B0" w:rsidR="00B22C9A" w:rsidRPr="0038753D" w:rsidRDefault="00B22C9A" w:rsidP="007B734F">
            <w:pPr>
              <w:rPr>
                <w:rFonts w:eastAsia="Times New Roman" w:cs="Calibri"/>
                <w:color w:val="000000"/>
                <w:sz w:val="18"/>
                <w:szCs w:val="18"/>
                <w:lang w:eastAsia="en-GB"/>
              </w:rPr>
            </w:pPr>
            <w:r w:rsidRPr="0038753D">
              <w:rPr>
                <w:rFonts w:eastAsia="Times New Roman" w:cs="Calibri"/>
                <w:color w:val="000000"/>
                <w:sz w:val="18"/>
                <w:szCs w:val="18"/>
                <w:lang w:eastAsia="en-GB"/>
              </w:rPr>
              <w:t>1</w:t>
            </w:r>
            <w:r w:rsidR="00ED510D">
              <w:rPr>
                <w:rFonts w:eastAsia="Times New Roman" w:cs="Calibri"/>
                <w:color w:val="000000"/>
                <w:sz w:val="18"/>
                <w:szCs w:val="18"/>
                <w:lang w:eastAsia="en-GB"/>
              </w:rPr>
              <w:t>,</w:t>
            </w:r>
            <w:r w:rsidRPr="0038753D">
              <w:rPr>
                <w:rFonts w:eastAsia="Times New Roman" w:cs="Calibri"/>
                <w:color w:val="000000"/>
                <w:sz w:val="18"/>
                <w:szCs w:val="18"/>
                <w:lang w:eastAsia="en-GB"/>
              </w:rPr>
              <w:t>892</w:t>
            </w:r>
          </w:p>
        </w:tc>
        <w:tc>
          <w:tcPr>
            <w:tcW w:w="513" w:type="pct"/>
            <w:hideMark/>
          </w:tcPr>
          <w:p w14:paraId="78A9B29C"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S</w:t>
            </w:r>
          </w:p>
        </w:tc>
        <w:tc>
          <w:tcPr>
            <w:tcW w:w="438" w:type="pct"/>
            <w:shd w:val="clear" w:color="auto" w:fill="3FB84E" w:themeFill="accent3"/>
            <w:hideMark/>
          </w:tcPr>
          <w:p w14:paraId="2135F825"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r>
      <w:tr w:rsidR="00086F5E" w:rsidRPr="0038753D" w14:paraId="34FE756A" w14:textId="77777777" w:rsidTr="00086F5E">
        <w:trPr>
          <w:cnfStyle w:val="000000100000" w:firstRow="0" w:lastRow="0" w:firstColumn="0" w:lastColumn="0" w:oddVBand="0" w:evenVBand="0" w:oddHBand="1" w:evenHBand="0" w:firstRowFirstColumn="0" w:firstRowLastColumn="0" w:lastRowFirstColumn="0" w:lastRowLastColumn="0"/>
          <w:trHeight w:val="57"/>
        </w:trPr>
        <w:tc>
          <w:tcPr>
            <w:tcW w:w="670" w:type="pct"/>
            <w:hideMark/>
          </w:tcPr>
          <w:p w14:paraId="1BA9EDF5"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Laos</w:t>
            </w:r>
          </w:p>
        </w:tc>
        <w:tc>
          <w:tcPr>
            <w:tcW w:w="483" w:type="pct"/>
            <w:hideMark/>
          </w:tcPr>
          <w:p w14:paraId="611A892C"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2</w:t>
            </w:r>
          </w:p>
        </w:tc>
        <w:tc>
          <w:tcPr>
            <w:tcW w:w="522" w:type="pct"/>
            <w:shd w:val="clear" w:color="auto" w:fill="3FB84E" w:themeFill="accent3"/>
            <w:hideMark/>
          </w:tcPr>
          <w:p w14:paraId="520D4D87"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9</w:t>
            </w:r>
          </w:p>
        </w:tc>
        <w:tc>
          <w:tcPr>
            <w:tcW w:w="545" w:type="pct"/>
            <w:hideMark/>
          </w:tcPr>
          <w:p w14:paraId="63640723"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9</w:t>
            </w:r>
          </w:p>
        </w:tc>
        <w:tc>
          <w:tcPr>
            <w:tcW w:w="351" w:type="pct"/>
            <w:hideMark/>
          </w:tcPr>
          <w:p w14:paraId="0F72B46B"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100%</w:t>
            </w:r>
          </w:p>
        </w:tc>
        <w:tc>
          <w:tcPr>
            <w:tcW w:w="751" w:type="pct"/>
            <w:hideMark/>
          </w:tcPr>
          <w:p w14:paraId="3E801329" w14:textId="06E243E1"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17</w:t>
            </w:r>
            <w:r w:rsidR="00ED510D">
              <w:rPr>
                <w:rFonts w:eastAsia="Times New Roman" w:cs="Calibri"/>
                <w:color w:val="000000"/>
                <w:sz w:val="18"/>
                <w:szCs w:val="18"/>
                <w:lang w:eastAsia="en-GB"/>
              </w:rPr>
              <w:t>,</w:t>
            </w:r>
            <w:r w:rsidRPr="0038753D">
              <w:rPr>
                <w:rFonts w:eastAsia="Times New Roman" w:cs="Calibri"/>
                <w:color w:val="000000"/>
                <w:sz w:val="18"/>
                <w:szCs w:val="18"/>
                <w:lang w:eastAsia="en-GB"/>
              </w:rPr>
              <w:t>126</w:t>
            </w:r>
          </w:p>
        </w:tc>
        <w:tc>
          <w:tcPr>
            <w:tcW w:w="728" w:type="pct"/>
            <w:hideMark/>
          </w:tcPr>
          <w:p w14:paraId="526BDEC4" w14:textId="30F4F5C9"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19</w:t>
            </w:r>
            <w:r w:rsidR="00ED510D">
              <w:rPr>
                <w:rFonts w:eastAsia="Times New Roman" w:cs="Calibri"/>
                <w:color w:val="000000"/>
                <w:sz w:val="18"/>
                <w:szCs w:val="18"/>
                <w:lang w:eastAsia="en-GB"/>
              </w:rPr>
              <w:t>,</w:t>
            </w:r>
            <w:r w:rsidRPr="0038753D">
              <w:rPr>
                <w:rFonts w:eastAsia="Times New Roman" w:cs="Calibri"/>
                <w:color w:val="000000"/>
                <w:sz w:val="18"/>
                <w:szCs w:val="18"/>
                <w:lang w:eastAsia="en-GB"/>
              </w:rPr>
              <w:t>060</w:t>
            </w:r>
          </w:p>
        </w:tc>
        <w:tc>
          <w:tcPr>
            <w:tcW w:w="513" w:type="pct"/>
            <w:hideMark/>
          </w:tcPr>
          <w:p w14:paraId="0F4DDB00"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S</w:t>
            </w:r>
          </w:p>
        </w:tc>
        <w:tc>
          <w:tcPr>
            <w:tcW w:w="438" w:type="pct"/>
            <w:shd w:val="clear" w:color="auto" w:fill="3FB84E" w:themeFill="accent3"/>
            <w:hideMark/>
          </w:tcPr>
          <w:p w14:paraId="38D741A7"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11%</w:t>
            </w:r>
          </w:p>
        </w:tc>
      </w:tr>
      <w:tr w:rsidR="00086F5E" w:rsidRPr="0038753D" w14:paraId="13AD9E7F" w14:textId="77777777" w:rsidTr="00086F5E">
        <w:trPr>
          <w:cnfStyle w:val="000000010000" w:firstRow="0" w:lastRow="0" w:firstColumn="0" w:lastColumn="0" w:oddVBand="0" w:evenVBand="0" w:oddHBand="0" w:evenHBand="1" w:firstRowFirstColumn="0" w:firstRowLastColumn="0" w:lastRowFirstColumn="0" w:lastRowLastColumn="0"/>
          <w:trHeight w:val="57"/>
        </w:trPr>
        <w:tc>
          <w:tcPr>
            <w:tcW w:w="670" w:type="pct"/>
            <w:hideMark/>
          </w:tcPr>
          <w:p w14:paraId="20EB43DE"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Nepal</w:t>
            </w:r>
          </w:p>
        </w:tc>
        <w:tc>
          <w:tcPr>
            <w:tcW w:w="483" w:type="pct"/>
            <w:hideMark/>
          </w:tcPr>
          <w:p w14:paraId="7C9765C0"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21</w:t>
            </w:r>
          </w:p>
        </w:tc>
        <w:tc>
          <w:tcPr>
            <w:tcW w:w="522" w:type="pct"/>
            <w:shd w:val="clear" w:color="auto" w:fill="3FB84E" w:themeFill="accent3"/>
            <w:hideMark/>
          </w:tcPr>
          <w:p w14:paraId="5727693D"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24</w:t>
            </w:r>
          </w:p>
        </w:tc>
        <w:tc>
          <w:tcPr>
            <w:tcW w:w="545" w:type="pct"/>
            <w:hideMark/>
          </w:tcPr>
          <w:p w14:paraId="1DFD37FB"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15</w:t>
            </w:r>
          </w:p>
        </w:tc>
        <w:tc>
          <w:tcPr>
            <w:tcW w:w="351" w:type="pct"/>
            <w:hideMark/>
          </w:tcPr>
          <w:p w14:paraId="16596477"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63%</w:t>
            </w:r>
          </w:p>
        </w:tc>
        <w:tc>
          <w:tcPr>
            <w:tcW w:w="751" w:type="pct"/>
            <w:hideMark/>
          </w:tcPr>
          <w:p w14:paraId="7E6FD942"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87867</w:t>
            </w:r>
          </w:p>
        </w:tc>
        <w:tc>
          <w:tcPr>
            <w:tcW w:w="728" w:type="pct"/>
            <w:hideMark/>
          </w:tcPr>
          <w:p w14:paraId="23EEA360" w14:textId="6E7BE25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147</w:t>
            </w:r>
            <w:r w:rsidR="00ED510D">
              <w:rPr>
                <w:rFonts w:eastAsia="Times New Roman" w:cs="Calibri"/>
                <w:color w:val="000000"/>
                <w:sz w:val="18"/>
                <w:szCs w:val="18"/>
                <w:lang w:eastAsia="en-GB"/>
              </w:rPr>
              <w:t>,</w:t>
            </w:r>
            <w:r w:rsidRPr="0038753D">
              <w:rPr>
                <w:rFonts w:eastAsia="Times New Roman" w:cs="Calibri"/>
                <w:color w:val="000000"/>
                <w:sz w:val="18"/>
                <w:szCs w:val="18"/>
                <w:lang w:eastAsia="en-GB"/>
              </w:rPr>
              <w:t>150</w:t>
            </w:r>
          </w:p>
        </w:tc>
        <w:tc>
          <w:tcPr>
            <w:tcW w:w="513" w:type="pct"/>
            <w:hideMark/>
          </w:tcPr>
          <w:p w14:paraId="14FE7105"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S</w:t>
            </w:r>
          </w:p>
        </w:tc>
        <w:tc>
          <w:tcPr>
            <w:tcW w:w="438" w:type="pct"/>
            <w:shd w:val="clear" w:color="auto" w:fill="3FB84E" w:themeFill="accent3"/>
            <w:hideMark/>
          </w:tcPr>
          <w:p w14:paraId="004289D0"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67%</w:t>
            </w:r>
          </w:p>
        </w:tc>
      </w:tr>
      <w:tr w:rsidR="00086F5E" w:rsidRPr="0038753D" w14:paraId="1703A669" w14:textId="77777777" w:rsidTr="00086F5E">
        <w:trPr>
          <w:cnfStyle w:val="000000100000" w:firstRow="0" w:lastRow="0" w:firstColumn="0" w:lastColumn="0" w:oddVBand="0" w:evenVBand="0" w:oddHBand="1" w:evenHBand="0" w:firstRowFirstColumn="0" w:firstRowLastColumn="0" w:lastRowFirstColumn="0" w:lastRowLastColumn="0"/>
          <w:trHeight w:val="57"/>
        </w:trPr>
        <w:tc>
          <w:tcPr>
            <w:tcW w:w="670" w:type="pct"/>
            <w:hideMark/>
          </w:tcPr>
          <w:p w14:paraId="06A62EE1"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Pakistan</w:t>
            </w:r>
          </w:p>
        </w:tc>
        <w:tc>
          <w:tcPr>
            <w:tcW w:w="483" w:type="pct"/>
            <w:hideMark/>
          </w:tcPr>
          <w:p w14:paraId="30612D2F"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9</w:t>
            </w:r>
          </w:p>
        </w:tc>
        <w:tc>
          <w:tcPr>
            <w:tcW w:w="522" w:type="pct"/>
            <w:shd w:val="clear" w:color="auto" w:fill="3FB84E" w:themeFill="accent3"/>
            <w:hideMark/>
          </w:tcPr>
          <w:p w14:paraId="1B0F3FFF"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40</w:t>
            </w:r>
          </w:p>
        </w:tc>
        <w:tc>
          <w:tcPr>
            <w:tcW w:w="545" w:type="pct"/>
            <w:hideMark/>
          </w:tcPr>
          <w:p w14:paraId="3316D01C"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11</w:t>
            </w:r>
          </w:p>
        </w:tc>
        <w:tc>
          <w:tcPr>
            <w:tcW w:w="351" w:type="pct"/>
            <w:hideMark/>
          </w:tcPr>
          <w:p w14:paraId="0D3A9E0A"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28%</w:t>
            </w:r>
          </w:p>
        </w:tc>
        <w:tc>
          <w:tcPr>
            <w:tcW w:w="751" w:type="pct"/>
            <w:hideMark/>
          </w:tcPr>
          <w:p w14:paraId="1CCD8D46"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c>
          <w:tcPr>
            <w:tcW w:w="728" w:type="pct"/>
            <w:hideMark/>
          </w:tcPr>
          <w:p w14:paraId="14B16D48"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c>
          <w:tcPr>
            <w:tcW w:w="513" w:type="pct"/>
            <w:hideMark/>
          </w:tcPr>
          <w:p w14:paraId="75BA1521"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c>
          <w:tcPr>
            <w:tcW w:w="438" w:type="pct"/>
            <w:shd w:val="clear" w:color="auto" w:fill="FFC000"/>
            <w:hideMark/>
          </w:tcPr>
          <w:p w14:paraId="7EC9991B"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r>
      <w:tr w:rsidR="00086F5E" w:rsidRPr="0038753D" w14:paraId="4539C29B" w14:textId="77777777" w:rsidTr="00363125">
        <w:trPr>
          <w:cnfStyle w:val="000000010000" w:firstRow="0" w:lastRow="0" w:firstColumn="0" w:lastColumn="0" w:oddVBand="0" w:evenVBand="0" w:oddHBand="0" w:evenHBand="1" w:firstRowFirstColumn="0" w:firstRowLastColumn="0" w:lastRowFirstColumn="0" w:lastRowLastColumn="0"/>
          <w:trHeight w:val="57"/>
        </w:trPr>
        <w:tc>
          <w:tcPr>
            <w:tcW w:w="670" w:type="pct"/>
            <w:hideMark/>
          </w:tcPr>
          <w:p w14:paraId="0213B887"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Tanzania</w:t>
            </w:r>
          </w:p>
        </w:tc>
        <w:tc>
          <w:tcPr>
            <w:tcW w:w="483" w:type="pct"/>
            <w:hideMark/>
          </w:tcPr>
          <w:p w14:paraId="499AD73A"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0</w:t>
            </w:r>
          </w:p>
        </w:tc>
        <w:tc>
          <w:tcPr>
            <w:tcW w:w="522" w:type="pct"/>
            <w:shd w:val="clear" w:color="auto" w:fill="3FB84E" w:themeFill="accent3"/>
            <w:hideMark/>
          </w:tcPr>
          <w:p w14:paraId="543FB126"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10</w:t>
            </w:r>
          </w:p>
        </w:tc>
        <w:tc>
          <w:tcPr>
            <w:tcW w:w="545" w:type="pct"/>
            <w:hideMark/>
          </w:tcPr>
          <w:p w14:paraId="2A7BF0EC"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6</w:t>
            </w:r>
          </w:p>
        </w:tc>
        <w:tc>
          <w:tcPr>
            <w:tcW w:w="351" w:type="pct"/>
            <w:hideMark/>
          </w:tcPr>
          <w:p w14:paraId="6FD659B6"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60%</w:t>
            </w:r>
          </w:p>
        </w:tc>
        <w:tc>
          <w:tcPr>
            <w:tcW w:w="751" w:type="pct"/>
            <w:hideMark/>
          </w:tcPr>
          <w:p w14:paraId="0D3C7C01"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c>
          <w:tcPr>
            <w:tcW w:w="728" w:type="pct"/>
            <w:hideMark/>
          </w:tcPr>
          <w:p w14:paraId="646DE098" w14:textId="21A727C8"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27</w:t>
            </w:r>
            <w:r w:rsidR="00ED510D">
              <w:rPr>
                <w:rFonts w:eastAsia="Times New Roman" w:cs="Calibri"/>
                <w:color w:val="000000"/>
                <w:sz w:val="18"/>
                <w:szCs w:val="18"/>
                <w:lang w:eastAsia="en-GB"/>
              </w:rPr>
              <w:t>,</w:t>
            </w:r>
            <w:r w:rsidRPr="0038753D">
              <w:rPr>
                <w:rFonts w:eastAsia="Times New Roman" w:cs="Calibri"/>
                <w:color w:val="000000"/>
                <w:sz w:val="18"/>
                <w:szCs w:val="18"/>
                <w:lang w:eastAsia="en-GB"/>
              </w:rPr>
              <w:t>154</w:t>
            </w:r>
          </w:p>
        </w:tc>
        <w:tc>
          <w:tcPr>
            <w:tcW w:w="513" w:type="pct"/>
            <w:hideMark/>
          </w:tcPr>
          <w:p w14:paraId="664E03D4"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S</w:t>
            </w:r>
          </w:p>
        </w:tc>
        <w:tc>
          <w:tcPr>
            <w:tcW w:w="438" w:type="pct"/>
            <w:shd w:val="clear" w:color="auto" w:fill="B9DF8F" w:themeFill="accent6" w:themeFillTint="99"/>
            <w:hideMark/>
          </w:tcPr>
          <w:p w14:paraId="59F5C956"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w:t>
            </w:r>
          </w:p>
        </w:tc>
      </w:tr>
      <w:tr w:rsidR="00086F5E" w:rsidRPr="0038753D" w14:paraId="666D437E" w14:textId="77777777" w:rsidTr="00086F5E">
        <w:trPr>
          <w:cnfStyle w:val="000000100000" w:firstRow="0" w:lastRow="0" w:firstColumn="0" w:lastColumn="0" w:oddVBand="0" w:evenVBand="0" w:oddHBand="1" w:evenHBand="0" w:firstRowFirstColumn="0" w:firstRowLastColumn="0" w:lastRowFirstColumn="0" w:lastRowLastColumn="0"/>
          <w:trHeight w:val="57"/>
        </w:trPr>
        <w:tc>
          <w:tcPr>
            <w:tcW w:w="670" w:type="pct"/>
            <w:hideMark/>
          </w:tcPr>
          <w:p w14:paraId="53EB9065"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Uganda</w:t>
            </w:r>
          </w:p>
        </w:tc>
        <w:tc>
          <w:tcPr>
            <w:tcW w:w="483" w:type="pct"/>
            <w:hideMark/>
          </w:tcPr>
          <w:p w14:paraId="0F0F559A"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22</w:t>
            </w:r>
          </w:p>
        </w:tc>
        <w:tc>
          <w:tcPr>
            <w:tcW w:w="522" w:type="pct"/>
            <w:shd w:val="clear" w:color="auto" w:fill="3FB84E" w:themeFill="accent3"/>
            <w:hideMark/>
          </w:tcPr>
          <w:p w14:paraId="5A539F6E"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30</w:t>
            </w:r>
          </w:p>
        </w:tc>
        <w:tc>
          <w:tcPr>
            <w:tcW w:w="545" w:type="pct"/>
            <w:hideMark/>
          </w:tcPr>
          <w:p w14:paraId="5518186D"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12</w:t>
            </w:r>
          </w:p>
        </w:tc>
        <w:tc>
          <w:tcPr>
            <w:tcW w:w="351" w:type="pct"/>
            <w:hideMark/>
          </w:tcPr>
          <w:p w14:paraId="186DE2CB"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40%</w:t>
            </w:r>
          </w:p>
        </w:tc>
        <w:tc>
          <w:tcPr>
            <w:tcW w:w="751" w:type="pct"/>
            <w:hideMark/>
          </w:tcPr>
          <w:p w14:paraId="4AA24D61"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405</w:t>
            </w:r>
          </w:p>
        </w:tc>
        <w:tc>
          <w:tcPr>
            <w:tcW w:w="728" w:type="pct"/>
            <w:hideMark/>
          </w:tcPr>
          <w:p w14:paraId="4F7F4E97" w14:textId="24ADE705"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4</w:t>
            </w:r>
            <w:r w:rsidR="00ED510D">
              <w:rPr>
                <w:rFonts w:eastAsia="Times New Roman" w:cs="Calibri"/>
                <w:color w:val="000000"/>
                <w:sz w:val="18"/>
                <w:szCs w:val="18"/>
                <w:lang w:eastAsia="en-GB"/>
              </w:rPr>
              <w:t>,</w:t>
            </w:r>
            <w:r w:rsidRPr="0038753D">
              <w:rPr>
                <w:rFonts w:eastAsia="Times New Roman" w:cs="Calibri"/>
                <w:color w:val="000000"/>
                <w:sz w:val="18"/>
                <w:szCs w:val="18"/>
                <w:lang w:eastAsia="en-GB"/>
              </w:rPr>
              <w:t>852</w:t>
            </w:r>
          </w:p>
        </w:tc>
        <w:tc>
          <w:tcPr>
            <w:tcW w:w="513" w:type="pct"/>
            <w:hideMark/>
          </w:tcPr>
          <w:p w14:paraId="61F6D437"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S</w:t>
            </w:r>
          </w:p>
        </w:tc>
        <w:tc>
          <w:tcPr>
            <w:tcW w:w="438" w:type="pct"/>
            <w:shd w:val="clear" w:color="auto" w:fill="3FB84E" w:themeFill="accent3"/>
            <w:hideMark/>
          </w:tcPr>
          <w:p w14:paraId="55382842" w14:textId="77777777" w:rsidR="00B22C9A" w:rsidRPr="0038753D" w:rsidRDefault="00B22C9A" w:rsidP="008C1BFD">
            <w:pPr>
              <w:rPr>
                <w:rFonts w:eastAsia="Times New Roman" w:cs="Calibri"/>
                <w:color w:val="000000"/>
                <w:sz w:val="18"/>
                <w:szCs w:val="18"/>
                <w:lang w:eastAsia="en-GB"/>
              </w:rPr>
            </w:pPr>
            <w:r>
              <w:rPr>
                <w:rFonts w:eastAsia="Times New Roman" w:cs="Calibri"/>
                <w:color w:val="000000"/>
                <w:sz w:val="18"/>
                <w:szCs w:val="18"/>
                <w:lang w:eastAsia="en-GB"/>
              </w:rPr>
              <w:t>&gt;</w:t>
            </w:r>
            <w:r w:rsidRPr="0038753D">
              <w:rPr>
                <w:rFonts w:eastAsia="Times New Roman" w:cs="Calibri"/>
                <w:color w:val="000000"/>
                <w:sz w:val="18"/>
                <w:szCs w:val="18"/>
                <w:lang w:eastAsia="en-GB"/>
              </w:rPr>
              <w:t>1</w:t>
            </w:r>
            <w:r>
              <w:rPr>
                <w:rFonts w:eastAsia="Times New Roman" w:cs="Calibri"/>
                <w:color w:val="000000"/>
                <w:sz w:val="18"/>
                <w:szCs w:val="18"/>
                <w:lang w:eastAsia="en-GB"/>
              </w:rPr>
              <w:t>00</w:t>
            </w:r>
            <w:r w:rsidRPr="0038753D">
              <w:rPr>
                <w:rFonts w:eastAsia="Times New Roman" w:cs="Calibri"/>
                <w:color w:val="000000"/>
                <w:sz w:val="18"/>
                <w:szCs w:val="18"/>
                <w:lang w:eastAsia="en-GB"/>
              </w:rPr>
              <w:t>%</w:t>
            </w:r>
          </w:p>
        </w:tc>
      </w:tr>
      <w:tr w:rsidR="00086F5E" w:rsidRPr="0038753D" w14:paraId="349A895F" w14:textId="77777777" w:rsidTr="00086F5E">
        <w:trPr>
          <w:cnfStyle w:val="000000010000" w:firstRow="0" w:lastRow="0" w:firstColumn="0" w:lastColumn="0" w:oddVBand="0" w:evenVBand="0" w:oddHBand="0" w:evenHBand="1" w:firstRowFirstColumn="0" w:firstRowLastColumn="0" w:lastRowFirstColumn="0" w:lastRowLastColumn="0"/>
          <w:trHeight w:val="57"/>
        </w:trPr>
        <w:tc>
          <w:tcPr>
            <w:tcW w:w="670" w:type="pct"/>
            <w:hideMark/>
          </w:tcPr>
          <w:p w14:paraId="08C3189C"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Zambia</w:t>
            </w:r>
          </w:p>
        </w:tc>
        <w:tc>
          <w:tcPr>
            <w:tcW w:w="483" w:type="pct"/>
            <w:hideMark/>
          </w:tcPr>
          <w:p w14:paraId="3F93D85C"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w:t>
            </w:r>
          </w:p>
        </w:tc>
        <w:tc>
          <w:tcPr>
            <w:tcW w:w="522" w:type="pct"/>
            <w:shd w:val="clear" w:color="auto" w:fill="3FB84E" w:themeFill="accent3"/>
            <w:hideMark/>
          </w:tcPr>
          <w:p w14:paraId="25E02A66"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8</w:t>
            </w:r>
          </w:p>
        </w:tc>
        <w:tc>
          <w:tcPr>
            <w:tcW w:w="545" w:type="pct"/>
            <w:hideMark/>
          </w:tcPr>
          <w:p w14:paraId="23C750E4"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7</w:t>
            </w:r>
          </w:p>
        </w:tc>
        <w:tc>
          <w:tcPr>
            <w:tcW w:w="351" w:type="pct"/>
            <w:hideMark/>
          </w:tcPr>
          <w:p w14:paraId="3076F965"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88%</w:t>
            </w:r>
          </w:p>
        </w:tc>
        <w:tc>
          <w:tcPr>
            <w:tcW w:w="751" w:type="pct"/>
            <w:hideMark/>
          </w:tcPr>
          <w:p w14:paraId="5F4A64DE" w14:textId="207D6D99"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19</w:t>
            </w:r>
            <w:r w:rsidR="00ED510D">
              <w:rPr>
                <w:rFonts w:eastAsia="Times New Roman" w:cs="Calibri"/>
                <w:color w:val="000000"/>
                <w:sz w:val="18"/>
                <w:szCs w:val="18"/>
                <w:lang w:eastAsia="en-GB"/>
              </w:rPr>
              <w:t>,</w:t>
            </w:r>
            <w:r w:rsidRPr="0038753D">
              <w:rPr>
                <w:rFonts w:eastAsia="Times New Roman" w:cs="Calibri"/>
                <w:color w:val="000000"/>
                <w:sz w:val="18"/>
                <w:szCs w:val="18"/>
                <w:lang w:eastAsia="en-GB"/>
              </w:rPr>
              <w:t>248 (2020)</w:t>
            </w:r>
          </w:p>
        </w:tc>
        <w:tc>
          <w:tcPr>
            <w:tcW w:w="728" w:type="pct"/>
            <w:hideMark/>
          </w:tcPr>
          <w:p w14:paraId="440C75EF" w14:textId="3E84699B"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34</w:t>
            </w:r>
            <w:r w:rsidR="00ED510D">
              <w:rPr>
                <w:rFonts w:eastAsia="Times New Roman" w:cs="Calibri"/>
                <w:color w:val="000000"/>
                <w:sz w:val="18"/>
                <w:szCs w:val="18"/>
                <w:lang w:eastAsia="en-GB"/>
              </w:rPr>
              <w:t>,</w:t>
            </w:r>
            <w:r w:rsidRPr="0038753D">
              <w:rPr>
                <w:rFonts w:eastAsia="Times New Roman" w:cs="Calibri"/>
                <w:color w:val="000000"/>
                <w:sz w:val="18"/>
                <w:szCs w:val="18"/>
                <w:lang w:eastAsia="en-GB"/>
              </w:rPr>
              <w:t>576 (2021)</w:t>
            </w:r>
          </w:p>
        </w:tc>
        <w:tc>
          <w:tcPr>
            <w:tcW w:w="513" w:type="pct"/>
            <w:hideMark/>
          </w:tcPr>
          <w:p w14:paraId="2D153122"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I</w:t>
            </w:r>
          </w:p>
        </w:tc>
        <w:tc>
          <w:tcPr>
            <w:tcW w:w="438" w:type="pct"/>
            <w:shd w:val="clear" w:color="auto" w:fill="3FB84E" w:themeFill="accent3"/>
            <w:hideMark/>
          </w:tcPr>
          <w:p w14:paraId="210AC0FE" w14:textId="77777777" w:rsidR="00B22C9A" w:rsidRPr="0038753D" w:rsidRDefault="00B22C9A" w:rsidP="008C1BFD">
            <w:pPr>
              <w:rPr>
                <w:rFonts w:eastAsia="Times New Roman" w:cs="Calibri"/>
                <w:color w:val="000000"/>
                <w:sz w:val="18"/>
                <w:szCs w:val="18"/>
                <w:lang w:eastAsia="en-GB"/>
              </w:rPr>
            </w:pPr>
            <w:r w:rsidRPr="0038753D">
              <w:rPr>
                <w:rFonts w:eastAsia="Times New Roman" w:cs="Calibri"/>
                <w:color w:val="000000"/>
                <w:sz w:val="18"/>
                <w:szCs w:val="18"/>
                <w:lang w:eastAsia="en-GB"/>
              </w:rPr>
              <w:t>80%</w:t>
            </w:r>
          </w:p>
        </w:tc>
      </w:tr>
    </w:tbl>
    <w:p w14:paraId="23BE4792" w14:textId="7BD66525" w:rsidR="006D119A" w:rsidRDefault="006D119A" w:rsidP="000B0469">
      <w:pPr>
        <w:spacing w:before="240"/>
      </w:pPr>
      <w:r>
        <w:t xml:space="preserve">Criteria for rating </w:t>
      </w:r>
    </w:p>
    <w:tbl>
      <w:tblPr>
        <w:tblStyle w:val="TableGrid"/>
        <w:tblW w:w="0" w:type="auto"/>
        <w:tblLook w:val="04A0" w:firstRow="1" w:lastRow="0" w:firstColumn="1" w:lastColumn="0" w:noHBand="0" w:noVBand="1"/>
      </w:tblPr>
      <w:tblGrid>
        <w:gridCol w:w="1555"/>
        <w:gridCol w:w="3402"/>
      </w:tblGrid>
      <w:tr w:rsidR="00884A61" w:rsidRPr="007025E0" w14:paraId="25B6C5DB" w14:textId="77777777" w:rsidTr="00C92D4C">
        <w:trPr>
          <w:trHeight w:val="283"/>
        </w:trPr>
        <w:tc>
          <w:tcPr>
            <w:tcW w:w="1555" w:type="dxa"/>
          </w:tcPr>
          <w:p w14:paraId="420E6C36" w14:textId="38FF9C0E" w:rsidR="00884A61" w:rsidRPr="007025E0" w:rsidRDefault="007025E0" w:rsidP="007025E0">
            <w:pPr>
              <w:rPr>
                <w:sz w:val="18"/>
                <w:szCs w:val="18"/>
              </w:rPr>
            </w:pPr>
            <w:r>
              <w:rPr>
                <w:sz w:val="18"/>
                <w:szCs w:val="18"/>
              </w:rPr>
              <w:t>RAG colour</w:t>
            </w:r>
          </w:p>
        </w:tc>
        <w:tc>
          <w:tcPr>
            <w:tcW w:w="3402" w:type="dxa"/>
          </w:tcPr>
          <w:p w14:paraId="3E5A352D" w14:textId="5E04DDCD" w:rsidR="00884A61" w:rsidRPr="007025E0" w:rsidRDefault="007025E0" w:rsidP="007025E0">
            <w:pPr>
              <w:rPr>
                <w:sz w:val="18"/>
                <w:szCs w:val="18"/>
              </w:rPr>
            </w:pPr>
            <w:r>
              <w:rPr>
                <w:sz w:val="18"/>
                <w:szCs w:val="18"/>
              </w:rPr>
              <w:t>Criteria</w:t>
            </w:r>
          </w:p>
        </w:tc>
      </w:tr>
      <w:tr w:rsidR="00884A61" w:rsidRPr="007025E0" w14:paraId="5C14254C" w14:textId="77777777" w:rsidTr="00C92D4C">
        <w:trPr>
          <w:trHeight w:val="283"/>
        </w:trPr>
        <w:tc>
          <w:tcPr>
            <w:tcW w:w="1555" w:type="dxa"/>
            <w:shd w:val="clear" w:color="auto" w:fill="00B050"/>
          </w:tcPr>
          <w:p w14:paraId="6FD13979" w14:textId="77777777" w:rsidR="00884A61" w:rsidRPr="007025E0" w:rsidRDefault="00884A61" w:rsidP="007025E0">
            <w:pPr>
              <w:rPr>
                <w:sz w:val="18"/>
                <w:szCs w:val="18"/>
              </w:rPr>
            </w:pPr>
          </w:p>
        </w:tc>
        <w:tc>
          <w:tcPr>
            <w:tcW w:w="3402" w:type="dxa"/>
          </w:tcPr>
          <w:p w14:paraId="4896CBC5" w14:textId="51E2D3C0" w:rsidR="00884A61" w:rsidRPr="007025E0" w:rsidRDefault="00FD02CB" w:rsidP="007025E0">
            <w:pPr>
              <w:rPr>
                <w:sz w:val="18"/>
                <w:szCs w:val="18"/>
              </w:rPr>
            </w:pPr>
            <w:r>
              <w:rPr>
                <w:sz w:val="18"/>
                <w:szCs w:val="18"/>
              </w:rPr>
              <w:t>Positive trend compared to baseline</w:t>
            </w:r>
          </w:p>
        </w:tc>
      </w:tr>
      <w:tr w:rsidR="00F24891" w:rsidRPr="007025E0" w14:paraId="73AD8EB3" w14:textId="77777777" w:rsidTr="00F24891">
        <w:trPr>
          <w:trHeight w:val="283"/>
        </w:trPr>
        <w:tc>
          <w:tcPr>
            <w:tcW w:w="1555" w:type="dxa"/>
            <w:shd w:val="clear" w:color="auto" w:fill="B9DF8F" w:themeFill="accent6" w:themeFillTint="99"/>
          </w:tcPr>
          <w:p w14:paraId="4B1DF9BC" w14:textId="77777777" w:rsidR="00F24891" w:rsidRPr="007025E0" w:rsidRDefault="00F24891" w:rsidP="007025E0">
            <w:pPr>
              <w:rPr>
                <w:sz w:val="18"/>
                <w:szCs w:val="18"/>
              </w:rPr>
            </w:pPr>
          </w:p>
        </w:tc>
        <w:tc>
          <w:tcPr>
            <w:tcW w:w="3402" w:type="dxa"/>
          </w:tcPr>
          <w:p w14:paraId="580284CD" w14:textId="7991CE33" w:rsidR="00F24891" w:rsidRDefault="00F24891" w:rsidP="007025E0">
            <w:pPr>
              <w:rPr>
                <w:sz w:val="18"/>
                <w:szCs w:val="18"/>
              </w:rPr>
            </w:pPr>
            <w:r>
              <w:rPr>
                <w:sz w:val="18"/>
                <w:szCs w:val="18"/>
              </w:rPr>
              <w:t xml:space="preserve">Positive trend apparent </w:t>
            </w:r>
            <w:r w:rsidR="0044015D">
              <w:rPr>
                <w:sz w:val="18"/>
                <w:szCs w:val="18"/>
              </w:rPr>
              <w:t>from qualitative data but absence of specific numbers</w:t>
            </w:r>
          </w:p>
        </w:tc>
      </w:tr>
      <w:tr w:rsidR="00884A61" w:rsidRPr="007025E0" w14:paraId="7977E648" w14:textId="77777777" w:rsidTr="00C92D4C">
        <w:trPr>
          <w:trHeight w:val="283"/>
        </w:trPr>
        <w:tc>
          <w:tcPr>
            <w:tcW w:w="1555" w:type="dxa"/>
            <w:shd w:val="clear" w:color="auto" w:fill="FFC000"/>
          </w:tcPr>
          <w:p w14:paraId="0BE7C18F" w14:textId="77777777" w:rsidR="00884A61" w:rsidRPr="007025E0" w:rsidRDefault="00884A61" w:rsidP="007025E0">
            <w:pPr>
              <w:rPr>
                <w:sz w:val="18"/>
                <w:szCs w:val="18"/>
              </w:rPr>
            </w:pPr>
          </w:p>
        </w:tc>
        <w:tc>
          <w:tcPr>
            <w:tcW w:w="3402" w:type="dxa"/>
          </w:tcPr>
          <w:p w14:paraId="54F94278" w14:textId="54819AAE" w:rsidR="00884A61" w:rsidRPr="007025E0" w:rsidRDefault="00FD02CB" w:rsidP="007025E0">
            <w:pPr>
              <w:rPr>
                <w:sz w:val="18"/>
                <w:szCs w:val="18"/>
              </w:rPr>
            </w:pPr>
            <w:r>
              <w:rPr>
                <w:sz w:val="18"/>
                <w:szCs w:val="18"/>
              </w:rPr>
              <w:t>Unclear</w:t>
            </w:r>
          </w:p>
        </w:tc>
      </w:tr>
      <w:tr w:rsidR="00884A61" w:rsidRPr="007025E0" w14:paraId="69FE6E7B" w14:textId="77777777" w:rsidTr="00C92D4C">
        <w:trPr>
          <w:trHeight w:val="283"/>
        </w:trPr>
        <w:tc>
          <w:tcPr>
            <w:tcW w:w="1555" w:type="dxa"/>
            <w:shd w:val="clear" w:color="auto" w:fill="E37230" w:themeFill="accent2"/>
          </w:tcPr>
          <w:p w14:paraId="07CA5F8E" w14:textId="77777777" w:rsidR="00884A61" w:rsidRPr="007025E0" w:rsidRDefault="00884A61" w:rsidP="007025E0">
            <w:pPr>
              <w:rPr>
                <w:sz w:val="18"/>
                <w:szCs w:val="18"/>
              </w:rPr>
            </w:pPr>
          </w:p>
        </w:tc>
        <w:tc>
          <w:tcPr>
            <w:tcW w:w="3402" w:type="dxa"/>
          </w:tcPr>
          <w:p w14:paraId="79C086C0" w14:textId="5125991E" w:rsidR="00884A61" w:rsidRPr="007025E0" w:rsidRDefault="00682B3B" w:rsidP="007025E0">
            <w:pPr>
              <w:rPr>
                <w:sz w:val="18"/>
                <w:szCs w:val="18"/>
              </w:rPr>
            </w:pPr>
            <w:r>
              <w:rPr>
                <w:sz w:val="18"/>
                <w:szCs w:val="18"/>
              </w:rPr>
              <w:t>No change compared to b</w:t>
            </w:r>
            <w:r w:rsidR="00C92D4C">
              <w:rPr>
                <w:sz w:val="18"/>
                <w:szCs w:val="18"/>
              </w:rPr>
              <w:t>a</w:t>
            </w:r>
            <w:r>
              <w:rPr>
                <w:sz w:val="18"/>
                <w:szCs w:val="18"/>
              </w:rPr>
              <w:t>sel</w:t>
            </w:r>
            <w:r w:rsidR="00C92D4C">
              <w:rPr>
                <w:sz w:val="18"/>
                <w:szCs w:val="18"/>
              </w:rPr>
              <w:t>i</w:t>
            </w:r>
            <w:r>
              <w:rPr>
                <w:sz w:val="18"/>
                <w:szCs w:val="18"/>
              </w:rPr>
              <w:t>ne</w:t>
            </w:r>
          </w:p>
        </w:tc>
      </w:tr>
      <w:tr w:rsidR="00884A61" w:rsidRPr="007025E0" w14:paraId="20A21459" w14:textId="77777777" w:rsidTr="00C92D4C">
        <w:trPr>
          <w:trHeight w:val="283"/>
        </w:trPr>
        <w:tc>
          <w:tcPr>
            <w:tcW w:w="1555" w:type="dxa"/>
            <w:shd w:val="clear" w:color="auto" w:fill="FF0000"/>
          </w:tcPr>
          <w:p w14:paraId="60E152E7" w14:textId="77777777" w:rsidR="00884A61" w:rsidRPr="007025E0" w:rsidRDefault="00884A61" w:rsidP="007025E0">
            <w:pPr>
              <w:rPr>
                <w:sz w:val="18"/>
                <w:szCs w:val="18"/>
              </w:rPr>
            </w:pPr>
          </w:p>
        </w:tc>
        <w:tc>
          <w:tcPr>
            <w:tcW w:w="3402" w:type="dxa"/>
          </w:tcPr>
          <w:p w14:paraId="3F36492D" w14:textId="31E55857" w:rsidR="00884A61" w:rsidRPr="007025E0" w:rsidRDefault="00C92D4C" w:rsidP="007025E0">
            <w:pPr>
              <w:rPr>
                <w:sz w:val="18"/>
                <w:szCs w:val="18"/>
              </w:rPr>
            </w:pPr>
            <w:r>
              <w:rPr>
                <w:sz w:val="18"/>
                <w:szCs w:val="18"/>
              </w:rPr>
              <w:t>Negative trend compared to baseline</w:t>
            </w:r>
          </w:p>
        </w:tc>
      </w:tr>
    </w:tbl>
    <w:p w14:paraId="492C087B" w14:textId="4BAF7031" w:rsidR="000B0469" w:rsidRDefault="000B0469" w:rsidP="000B0469">
      <w:pPr>
        <w:spacing w:before="240"/>
        <w:rPr>
          <w:noProof/>
        </w:rPr>
      </w:pPr>
      <w:r>
        <w:t>We also present data from GLASS reports</w:t>
      </w:r>
      <w:r>
        <w:rPr>
          <w:rStyle w:val="FootnoteReference"/>
        </w:rPr>
        <w:footnoteReference w:id="45"/>
      </w:r>
      <w:r>
        <w:t xml:space="preserve"> on the number of GLASS pathogens reported by focus countries in 2018 and 2019 (the latest year </w:t>
      </w:r>
      <w:r w:rsidR="00ED510D">
        <w:t xml:space="preserve">(LY) </w:t>
      </w:r>
      <w:r>
        <w:t>for which quality assured GLASS reporting is available), supplemented by data from KIIs to check for changes since 2019.</w:t>
      </w:r>
      <w:r w:rsidRPr="00891CD6">
        <w:rPr>
          <w:noProof/>
        </w:rPr>
        <w:t xml:space="preserve"> </w:t>
      </w:r>
      <w:r w:rsidR="00CF5FB8" w:rsidRPr="00CF5FB8">
        <w:rPr>
          <w:noProof/>
        </w:rPr>
        <w:t xml:space="preserve">Data was taken directly from published GLASS reports, up to and including the GLASS 2021 report (the GLASS 2022 report </w:t>
      </w:r>
      <w:r w:rsidR="00CF5FB8" w:rsidRPr="00C63C29">
        <w:rPr>
          <w:noProof/>
        </w:rPr>
        <w:t xml:space="preserve">was published too late to fully incorporate in our anlaysis, although reference is made to trends in </w:t>
      </w:r>
      <w:r w:rsidR="00F64E14">
        <w:rPr>
          <w:noProof/>
        </w:rPr>
        <w:t>Volume I</w:t>
      </w:r>
      <w:r w:rsidR="00CF5FB8" w:rsidRPr="00C63C29">
        <w:rPr>
          <w:noProof/>
        </w:rPr>
        <w:t xml:space="preserve"> section </w:t>
      </w:r>
      <w:r w:rsidR="00C63C29" w:rsidRPr="00C63C29">
        <w:rPr>
          <w:noProof/>
        </w:rPr>
        <w:t>2.2.4</w:t>
      </w:r>
      <w:r w:rsidR="00CF5FB8" w:rsidRPr="00C63C29">
        <w:rPr>
          <w:noProof/>
        </w:rPr>
        <w:t>).</w:t>
      </w:r>
    </w:p>
    <w:p w14:paraId="257A4674" w14:textId="77777777" w:rsidR="00ED510D" w:rsidRDefault="005E1C7C" w:rsidP="00BB4743">
      <w:pPr>
        <w:keepNext/>
        <w:spacing w:before="240"/>
      </w:pPr>
      <w:r>
        <w:rPr>
          <w:noProof/>
        </w:rPr>
        <w:drawing>
          <wp:inline distT="0" distB="0" distL="0" distR="0" wp14:anchorId="0FAF19C0" wp14:editId="64DB99FC">
            <wp:extent cx="5363308" cy="2901462"/>
            <wp:effectExtent l="0" t="0" r="8890" b="13335"/>
            <wp:docPr id="1415503936" name="Chart 14155039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E03C7D8" w14:textId="064F6B75" w:rsidR="005E1C7C" w:rsidRDefault="00ED510D" w:rsidP="00C04C3C">
      <w:pPr>
        <w:pStyle w:val="ItadCaption"/>
        <w:rPr>
          <w:noProof/>
        </w:rPr>
      </w:pPr>
      <w:bookmarkStart w:id="217" w:name="_Toc143858072"/>
      <w:r>
        <w:t xml:space="preserve">Figure </w:t>
      </w:r>
      <w:r>
        <w:fldChar w:fldCharType="begin"/>
      </w:r>
      <w:r>
        <w:instrText>SEQ Figure \* ARABIC</w:instrText>
      </w:r>
      <w:r>
        <w:fldChar w:fldCharType="separate"/>
      </w:r>
      <w:r w:rsidR="009A383C">
        <w:rPr>
          <w:noProof/>
        </w:rPr>
        <w:t>18</w:t>
      </w:r>
      <w:r>
        <w:fldChar w:fldCharType="end"/>
      </w:r>
      <w:r>
        <w:t xml:space="preserve"> GLASS pathogens tested in national systems</w:t>
      </w:r>
      <w:bookmarkEnd w:id="217"/>
    </w:p>
    <w:p w14:paraId="64265D08" w14:textId="76691D21" w:rsidR="00440566" w:rsidRDefault="47E613B8" w:rsidP="007F63EF">
      <w:pPr>
        <w:pStyle w:val="FFNormal"/>
      </w:pPr>
      <w:r>
        <w:t xml:space="preserve">The following table presents the </w:t>
      </w:r>
      <w:r w:rsidRPr="00E8261C">
        <w:t xml:space="preserve">data for </w:t>
      </w:r>
      <w:r w:rsidR="00E8261C" w:rsidRPr="00E8261C">
        <w:t>A</w:t>
      </w:r>
      <w:r w:rsidR="017AC6BB" w:rsidRPr="00E8261C">
        <w:t>H</w:t>
      </w:r>
      <w:r w:rsidRPr="00E8261C">
        <w:t xml:space="preserve"> AMR collected</w:t>
      </w:r>
      <w:r>
        <w:t xml:space="preserve"> during country visits and from document review which forms the basis </w:t>
      </w:r>
      <w:r w:rsidR="00ED510D">
        <w:t xml:space="preserve">of the </w:t>
      </w:r>
      <w:r>
        <w:t xml:space="preserve">findings in </w:t>
      </w:r>
      <w:r w:rsidR="00F64E14">
        <w:rPr>
          <w:noProof/>
        </w:rPr>
        <w:t>Volume I</w:t>
      </w:r>
      <w:r w:rsidR="00BECA10" w:rsidRPr="5546BCA7">
        <w:rPr>
          <w:noProof/>
        </w:rPr>
        <w:t xml:space="preserve"> of this report</w:t>
      </w:r>
      <w:r>
        <w:t>.</w:t>
      </w:r>
      <w:r w:rsidR="007458AC">
        <w:t xml:space="preserve"> </w:t>
      </w:r>
      <w:r w:rsidR="006C3E11" w:rsidRPr="006C3E11">
        <w:t>A similar approach to HH was taken to capture a broad understanding of changes in data availability, with one distinct difference relating to also seeking to understand the extent of active surveillance data collection efforts that had taken place.</w:t>
      </w:r>
    </w:p>
    <w:p w14:paraId="359F1474" w14:textId="26469FF4" w:rsidR="0050018B" w:rsidRPr="0050018B" w:rsidRDefault="00440566" w:rsidP="00C04C3C">
      <w:pPr>
        <w:pStyle w:val="ItadCaption"/>
        <w:rPr>
          <w:noProof/>
        </w:rPr>
      </w:pPr>
      <w:bookmarkStart w:id="218" w:name="_Ref126741019"/>
      <w:bookmarkStart w:id="219" w:name="_Toc143857896"/>
      <w:r>
        <w:t xml:space="preserve">Table </w:t>
      </w:r>
      <w:r>
        <w:fldChar w:fldCharType="begin"/>
      </w:r>
      <w:r>
        <w:instrText>SEQ Table \* ARABIC</w:instrText>
      </w:r>
      <w:r>
        <w:fldChar w:fldCharType="separate"/>
      </w:r>
      <w:r w:rsidR="009A383C">
        <w:rPr>
          <w:noProof/>
        </w:rPr>
        <w:t>28</w:t>
      </w:r>
      <w:r>
        <w:fldChar w:fldCharType="end"/>
      </w:r>
      <w:bookmarkEnd w:id="218"/>
      <w:r>
        <w:t xml:space="preserve"> D</w:t>
      </w:r>
      <w:r w:rsidRPr="00141B0A">
        <w:t xml:space="preserve">ata for </w:t>
      </w:r>
      <w:r w:rsidR="00537319">
        <w:t>A</w:t>
      </w:r>
      <w:r w:rsidRPr="00141B0A">
        <w:t>H AMR collected during country visits and from document review</w:t>
      </w:r>
      <w:bookmarkEnd w:id="219"/>
    </w:p>
    <w:tbl>
      <w:tblPr>
        <w:tblStyle w:val="Itadalternaterows"/>
        <w:tblW w:w="5000" w:type="pct"/>
        <w:tblInd w:w="0" w:type="dxa"/>
        <w:tblLook w:val="04A0" w:firstRow="1" w:lastRow="0" w:firstColumn="1" w:lastColumn="0" w:noHBand="0" w:noVBand="1"/>
      </w:tblPr>
      <w:tblGrid>
        <w:gridCol w:w="1426"/>
        <w:gridCol w:w="1273"/>
        <w:gridCol w:w="1273"/>
        <w:gridCol w:w="1418"/>
        <w:gridCol w:w="1373"/>
        <w:gridCol w:w="1212"/>
        <w:gridCol w:w="1041"/>
      </w:tblGrid>
      <w:tr w:rsidR="007F6110" w:rsidRPr="007F6110" w14:paraId="23D623F7" w14:textId="77777777" w:rsidTr="007F63EF">
        <w:trPr>
          <w:cnfStyle w:val="100000000000" w:firstRow="1" w:lastRow="0" w:firstColumn="0" w:lastColumn="0" w:oddVBand="0" w:evenVBand="0" w:oddHBand="0" w:evenHBand="0" w:firstRowFirstColumn="0" w:firstRowLastColumn="0" w:lastRowFirstColumn="0" w:lastRowLastColumn="0"/>
          <w:trHeight w:val="20"/>
          <w:tblHeader/>
        </w:trPr>
        <w:tc>
          <w:tcPr>
            <w:tcW w:w="0" w:type="pct"/>
            <w:hideMark/>
          </w:tcPr>
          <w:p w14:paraId="47EA4201" w14:textId="77777777" w:rsidR="00241FA6" w:rsidRPr="007F63EF" w:rsidRDefault="00241FA6" w:rsidP="008C1BFD">
            <w:pPr>
              <w:rPr>
                <w:rFonts w:eastAsia="Times New Roman" w:cs="Calibri"/>
                <w:b/>
                <w:bCs/>
                <w:color w:val="auto"/>
                <w:sz w:val="18"/>
                <w:szCs w:val="18"/>
                <w:lang w:eastAsia="en-GB"/>
              </w:rPr>
            </w:pPr>
            <w:r w:rsidRPr="007F6110">
              <w:br w:type="page"/>
            </w:r>
            <w:r w:rsidRPr="007F6110">
              <w:rPr>
                <w:rFonts w:eastAsia="Times New Roman" w:cs="Calibri"/>
                <w:b/>
                <w:bCs/>
                <w:color w:val="auto"/>
                <w:sz w:val="18"/>
                <w:szCs w:val="18"/>
                <w:lang w:eastAsia="en-GB"/>
              </w:rPr>
              <w:t>Country</w:t>
            </w:r>
          </w:p>
        </w:tc>
        <w:tc>
          <w:tcPr>
            <w:tcW w:w="0" w:type="pct"/>
            <w:hideMark/>
          </w:tcPr>
          <w:p w14:paraId="0233A890" w14:textId="77777777" w:rsidR="00241FA6" w:rsidRPr="007F63EF" w:rsidRDefault="00241FA6" w:rsidP="008C1BFD">
            <w:pPr>
              <w:rPr>
                <w:rFonts w:eastAsia="Times New Roman" w:cs="Calibri"/>
                <w:b/>
                <w:bCs/>
                <w:color w:val="auto"/>
                <w:sz w:val="18"/>
                <w:szCs w:val="18"/>
                <w:lang w:eastAsia="en-GB"/>
              </w:rPr>
            </w:pPr>
            <w:r w:rsidRPr="007F6110">
              <w:rPr>
                <w:rFonts w:eastAsia="Times New Roman" w:cs="Calibri"/>
                <w:b/>
                <w:bCs/>
                <w:color w:val="auto"/>
                <w:sz w:val="18"/>
                <w:szCs w:val="18"/>
                <w:lang w:eastAsia="en-GB"/>
              </w:rPr>
              <w:t>Sampling rounds (BL)</w:t>
            </w:r>
          </w:p>
        </w:tc>
        <w:tc>
          <w:tcPr>
            <w:tcW w:w="0" w:type="pct"/>
            <w:hideMark/>
          </w:tcPr>
          <w:p w14:paraId="12D63FAF" w14:textId="77777777" w:rsidR="00241FA6" w:rsidRPr="007F63EF" w:rsidRDefault="00241FA6" w:rsidP="008C1BFD">
            <w:pPr>
              <w:rPr>
                <w:rFonts w:eastAsia="Times New Roman" w:cs="Calibri"/>
                <w:b/>
                <w:bCs/>
                <w:color w:val="auto"/>
                <w:sz w:val="18"/>
                <w:szCs w:val="18"/>
                <w:lang w:eastAsia="en-GB"/>
              </w:rPr>
            </w:pPr>
            <w:r w:rsidRPr="007F6110">
              <w:rPr>
                <w:rFonts w:eastAsia="Times New Roman" w:cs="Calibri"/>
                <w:b/>
                <w:bCs/>
                <w:color w:val="auto"/>
                <w:sz w:val="18"/>
                <w:szCs w:val="18"/>
                <w:lang w:eastAsia="en-GB"/>
              </w:rPr>
              <w:t>Sampling rounds (latest)</w:t>
            </w:r>
          </w:p>
        </w:tc>
        <w:tc>
          <w:tcPr>
            <w:tcW w:w="0" w:type="pct"/>
            <w:hideMark/>
          </w:tcPr>
          <w:p w14:paraId="4055D15C" w14:textId="4C17EC8E" w:rsidR="00241FA6" w:rsidRPr="007F63EF" w:rsidRDefault="00241FA6" w:rsidP="008C1BFD">
            <w:pPr>
              <w:rPr>
                <w:rFonts w:eastAsia="Times New Roman" w:cs="Calibri"/>
                <w:b/>
                <w:bCs/>
                <w:color w:val="auto"/>
                <w:sz w:val="18"/>
                <w:szCs w:val="18"/>
                <w:lang w:eastAsia="en-GB"/>
              </w:rPr>
            </w:pPr>
            <w:r w:rsidRPr="007F6110">
              <w:rPr>
                <w:rFonts w:eastAsia="Times New Roman" w:cs="Calibri"/>
                <w:b/>
                <w:bCs/>
                <w:color w:val="auto"/>
                <w:sz w:val="18"/>
                <w:szCs w:val="18"/>
                <w:lang w:eastAsia="en-GB"/>
              </w:rPr>
              <w:t>Rounds supported by Fleming Fund</w:t>
            </w:r>
          </w:p>
        </w:tc>
        <w:tc>
          <w:tcPr>
            <w:tcW w:w="0" w:type="pct"/>
            <w:hideMark/>
          </w:tcPr>
          <w:p w14:paraId="374D8B21" w14:textId="2160302D" w:rsidR="00241FA6" w:rsidRPr="007F63EF" w:rsidRDefault="00241FA6" w:rsidP="008C1BFD">
            <w:pPr>
              <w:rPr>
                <w:rFonts w:eastAsia="Times New Roman" w:cs="Calibri"/>
                <w:b/>
                <w:bCs/>
                <w:color w:val="auto"/>
                <w:sz w:val="18"/>
                <w:szCs w:val="18"/>
                <w:lang w:eastAsia="en-GB"/>
              </w:rPr>
            </w:pPr>
            <w:r w:rsidRPr="007F6110">
              <w:rPr>
                <w:rFonts w:eastAsia="Times New Roman" w:cs="Calibri"/>
                <w:b/>
                <w:bCs/>
                <w:color w:val="auto"/>
                <w:sz w:val="18"/>
                <w:szCs w:val="18"/>
                <w:lang w:eastAsia="en-GB"/>
              </w:rPr>
              <w:t># sites supported by Fleming Fund - incl</w:t>
            </w:r>
            <w:r w:rsidRPr="007F6110">
              <w:rPr>
                <w:rFonts w:eastAsia="Times New Roman" w:cs="Calibri"/>
                <w:b/>
                <w:bCs/>
                <w:sz w:val="18"/>
                <w:szCs w:val="18"/>
                <w:lang w:eastAsia="en-GB"/>
              </w:rPr>
              <w:t>uding</w:t>
            </w:r>
            <w:r w:rsidRPr="007F6110">
              <w:rPr>
                <w:rFonts w:eastAsia="Times New Roman" w:cs="Calibri"/>
                <w:b/>
                <w:bCs/>
                <w:color w:val="auto"/>
                <w:sz w:val="18"/>
                <w:szCs w:val="18"/>
                <w:lang w:eastAsia="en-GB"/>
              </w:rPr>
              <w:t xml:space="preserve"> </w:t>
            </w:r>
            <w:r w:rsidRPr="007F6110">
              <w:rPr>
                <w:rFonts w:eastAsia="Times New Roman" w:cs="Calibri"/>
                <w:b/>
                <w:bCs/>
                <w:sz w:val="18"/>
                <w:szCs w:val="18"/>
                <w:lang w:eastAsia="en-GB"/>
              </w:rPr>
              <w:t xml:space="preserve">reference </w:t>
            </w:r>
            <w:r w:rsidR="00F25C0E" w:rsidRPr="007F6110">
              <w:rPr>
                <w:rFonts w:eastAsia="Times New Roman" w:cs="Calibri"/>
                <w:b/>
                <w:bCs/>
                <w:sz w:val="18"/>
                <w:szCs w:val="18"/>
                <w:lang w:eastAsia="en-GB"/>
              </w:rPr>
              <w:t xml:space="preserve">laboratory </w:t>
            </w:r>
            <w:r w:rsidRPr="007F6110">
              <w:rPr>
                <w:rFonts w:eastAsia="Times New Roman" w:cs="Calibri"/>
                <w:b/>
                <w:bCs/>
                <w:sz w:val="18"/>
                <w:szCs w:val="18"/>
                <w:lang w:eastAsia="en-GB"/>
              </w:rPr>
              <w:t>(RL)</w:t>
            </w:r>
            <w:r w:rsidRPr="007F6110">
              <w:rPr>
                <w:rFonts w:eastAsia="Times New Roman" w:cs="Calibri"/>
                <w:b/>
                <w:bCs/>
                <w:color w:val="auto"/>
                <w:sz w:val="18"/>
                <w:szCs w:val="18"/>
                <w:lang w:eastAsia="en-GB"/>
              </w:rPr>
              <w:t xml:space="preserve"> (LY) </w:t>
            </w:r>
          </w:p>
        </w:tc>
        <w:tc>
          <w:tcPr>
            <w:tcW w:w="0" w:type="pct"/>
            <w:hideMark/>
          </w:tcPr>
          <w:p w14:paraId="34DF44E9" w14:textId="0224E5A6" w:rsidR="00241FA6" w:rsidRPr="007F63EF" w:rsidRDefault="00241FA6" w:rsidP="008C1BFD">
            <w:pPr>
              <w:rPr>
                <w:rFonts w:eastAsia="Times New Roman" w:cs="Calibri"/>
                <w:b/>
                <w:bCs/>
                <w:color w:val="auto"/>
                <w:sz w:val="18"/>
                <w:szCs w:val="18"/>
                <w:lang w:eastAsia="en-GB"/>
              </w:rPr>
            </w:pPr>
            <w:r w:rsidRPr="007F6110">
              <w:rPr>
                <w:rFonts w:eastAsia="Times New Roman" w:cs="Calibri"/>
                <w:b/>
                <w:bCs/>
                <w:color w:val="auto"/>
                <w:sz w:val="18"/>
                <w:szCs w:val="18"/>
                <w:lang w:eastAsia="en-GB"/>
              </w:rPr>
              <w:t>B</w:t>
            </w:r>
            <w:r w:rsidR="00FD2B58" w:rsidRPr="007F6110">
              <w:rPr>
                <w:rFonts w:eastAsia="Times New Roman" w:cs="Calibri"/>
                <w:b/>
                <w:bCs/>
                <w:color w:val="auto"/>
                <w:sz w:val="18"/>
                <w:szCs w:val="18"/>
                <w:lang w:eastAsia="en-GB"/>
              </w:rPr>
              <w:t>aseline</w:t>
            </w:r>
          </w:p>
        </w:tc>
        <w:tc>
          <w:tcPr>
            <w:tcW w:w="0" w:type="pct"/>
            <w:hideMark/>
          </w:tcPr>
          <w:p w14:paraId="746362E7" w14:textId="587207F9" w:rsidR="00241FA6" w:rsidRPr="007F63EF" w:rsidRDefault="00241FA6" w:rsidP="008C1BFD">
            <w:pPr>
              <w:rPr>
                <w:rFonts w:eastAsia="Times New Roman" w:cs="Calibri"/>
                <w:b/>
                <w:bCs/>
                <w:color w:val="auto"/>
                <w:sz w:val="18"/>
                <w:szCs w:val="18"/>
                <w:lang w:eastAsia="en-GB"/>
              </w:rPr>
            </w:pPr>
            <w:r w:rsidRPr="007F6110">
              <w:rPr>
                <w:rFonts w:eastAsia="Times New Roman" w:cs="Calibri"/>
                <w:b/>
                <w:bCs/>
                <w:color w:val="auto"/>
                <w:sz w:val="18"/>
                <w:szCs w:val="18"/>
                <w:lang w:eastAsia="en-GB"/>
              </w:rPr>
              <w:t>L</w:t>
            </w:r>
            <w:r w:rsidR="00FD2B58" w:rsidRPr="007F6110">
              <w:rPr>
                <w:rFonts w:eastAsia="Times New Roman" w:cs="Calibri"/>
                <w:b/>
                <w:bCs/>
                <w:color w:val="auto"/>
                <w:sz w:val="18"/>
                <w:szCs w:val="18"/>
                <w:lang w:eastAsia="en-GB"/>
              </w:rPr>
              <w:t xml:space="preserve">atest </w:t>
            </w:r>
            <w:r w:rsidRPr="007F6110">
              <w:rPr>
                <w:rFonts w:eastAsia="Times New Roman" w:cs="Calibri"/>
                <w:b/>
                <w:bCs/>
                <w:color w:val="auto"/>
                <w:sz w:val="18"/>
                <w:szCs w:val="18"/>
                <w:lang w:eastAsia="en-GB"/>
              </w:rPr>
              <w:t>Y</w:t>
            </w:r>
            <w:r w:rsidR="00FD2B58" w:rsidRPr="007F6110">
              <w:rPr>
                <w:rFonts w:eastAsia="Times New Roman" w:cs="Calibri"/>
                <w:b/>
                <w:bCs/>
                <w:color w:val="auto"/>
                <w:sz w:val="18"/>
                <w:szCs w:val="18"/>
                <w:lang w:eastAsia="en-GB"/>
              </w:rPr>
              <w:t>ear</w:t>
            </w:r>
          </w:p>
        </w:tc>
      </w:tr>
      <w:tr w:rsidR="007F63EF" w:rsidRPr="007F6110" w14:paraId="429F3A74" w14:textId="77777777" w:rsidTr="00C579BF">
        <w:trPr>
          <w:cnfStyle w:val="000000100000" w:firstRow="0" w:lastRow="0" w:firstColumn="0" w:lastColumn="0" w:oddVBand="0" w:evenVBand="0" w:oddHBand="1" w:evenHBand="0" w:firstRowFirstColumn="0" w:firstRowLastColumn="0" w:lastRowFirstColumn="0" w:lastRowLastColumn="0"/>
          <w:trHeight w:val="20"/>
        </w:trPr>
        <w:tc>
          <w:tcPr>
            <w:tcW w:w="0" w:type="pct"/>
            <w:hideMark/>
          </w:tcPr>
          <w:p w14:paraId="692E91DF"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Bangladesh</w:t>
            </w:r>
          </w:p>
        </w:tc>
        <w:tc>
          <w:tcPr>
            <w:tcW w:w="0" w:type="pct"/>
            <w:shd w:val="clear" w:color="auto" w:fill="auto"/>
            <w:hideMark/>
          </w:tcPr>
          <w:p w14:paraId="001E1972"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5</w:t>
            </w:r>
          </w:p>
        </w:tc>
        <w:tc>
          <w:tcPr>
            <w:tcW w:w="0" w:type="pct"/>
            <w:shd w:val="clear" w:color="auto" w:fill="auto"/>
            <w:hideMark/>
          </w:tcPr>
          <w:p w14:paraId="1DC2EB28"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5</w:t>
            </w:r>
          </w:p>
        </w:tc>
        <w:tc>
          <w:tcPr>
            <w:tcW w:w="0" w:type="pct"/>
            <w:hideMark/>
          </w:tcPr>
          <w:p w14:paraId="59C40E9C"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Partial</w:t>
            </w:r>
          </w:p>
        </w:tc>
        <w:tc>
          <w:tcPr>
            <w:tcW w:w="0" w:type="pct"/>
            <w:hideMark/>
          </w:tcPr>
          <w:p w14:paraId="51715DEC"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6</w:t>
            </w:r>
          </w:p>
        </w:tc>
        <w:tc>
          <w:tcPr>
            <w:tcW w:w="0" w:type="pct"/>
            <w:hideMark/>
          </w:tcPr>
          <w:p w14:paraId="052D0C1E"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3FB84E" w:themeFill="accent3"/>
            <w:hideMark/>
          </w:tcPr>
          <w:p w14:paraId="2C368529"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528</w:t>
            </w:r>
          </w:p>
        </w:tc>
      </w:tr>
      <w:tr w:rsidR="007F63EF" w:rsidRPr="007F6110" w14:paraId="1691CC9D" w14:textId="77777777" w:rsidTr="00C579BF">
        <w:trPr>
          <w:cnfStyle w:val="000000010000" w:firstRow="0" w:lastRow="0" w:firstColumn="0" w:lastColumn="0" w:oddVBand="0" w:evenVBand="0" w:oddHBand="0" w:evenHBand="1" w:firstRowFirstColumn="0" w:firstRowLastColumn="0" w:lastRowFirstColumn="0" w:lastRowLastColumn="0"/>
          <w:trHeight w:val="20"/>
        </w:trPr>
        <w:tc>
          <w:tcPr>
            <w:tcW w:w="0" w:type="pct"/>
            <w:hideMark/>
          </w:tcPr>
          <w:p w14:paraId="719255B2"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Bhutan</w:t>
            </w:r>
          </w:p>
        </w:tc>
        <w:tc>
          <w:tcPr>
            <w:tcW w:w="0" w:type="pct"/>
            <w:shd w:val="clear" w:color="auto" w:fill="auto"/>
            <w:hideMark/>
          </w:tcPr>
          <w:p w14:paraId="78DFB0C2"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auto"/>
            <w:hideMark/>
          </w:tcPr>
          <w:p w14:paraId="388CFE42"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1</w:t>
            </w:r>
          </w:p>
        </w:tc>
        <w:tc>
          <w:tcPr>
            <w:tcW w:w="0" w:type="pct"/>
            <w:hideMark/>
          </w:tcPr>
          <w:p w14:paraId="14030684"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Completely</w:t>
            </w:r>
          </w:p>
        </w:tc>
        <w:tc>
          <w:tcPr>
            <w:tcW w:w="0" w:type="pct"/>
            <w:hideMark/>
          </w:tcPr>
          <w:p w14:paraId="531DB5F1"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4</w:t>
            </w:r>
          </w:p>
        </w:tc>
        <w:tc>
          <w:tcPr>
            <w:tcW w:w="0" w:type="pct"/>
            <w:hideMark/>
          </w:tcPr>
          <w:p w14:paraId="35D9BD09"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3FB84E" w:themeFill="accent3"/>
            <w:hideMark/>
          </w:tcPr>
          <w:p w14:paraId="7D35DDFA"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469</w:t>
            </w:r>
          </w:p>
        </w:tc>
      </w:tr>
      <w:tr w:rsidR="007F63EF" w:rsidRPr="007F6110" w14:paraId="6ED61D86" w14:textId="77777777" w:rsidTr="00C579BF">
        <w:trPr>
          <w:cnfStyle w:val="000000100000" w:firstRow="0" w:lastRow="0" w:firstColumn="0" w:lastColumn="0" w:oddVBand="0" w:evenVBand="0" w:oddHBand="1" w:evenHBand="0" w:firstRowFirstColumn="0" w:firstRowLastColumn="0" w:lastRowFirstColumn="0" w:lastRowLastColumn="0"/>
          <w:trHeight w:val="20"/>
        </w:trPr>
        <w:tc>
          <w:tcPr>
            <w:tcW w:w="0" w:type="pct"/>
            <w:hideMark/>
          </w:tcPr>
          <w:p w14:paraId="72636232"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Ghana</w:t>
            </w:r>
          </w:p>
        </w:tc>
        <w:tc>
          <w:tcPr>
            <w:tcW w:w="0" w:type="pct"/>
            <w:shd w:val="clear" w:color="auto" w:fill="auto"/>
            <w:hideMark/>
          </w:tcPr>
          <w:p w14:paraId="4A57B7D3"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auto"/>
            <w:hideMark/>
          </w:tcPr>
          <w:p w14:paraId="2233E389"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2</w:t>
            </w:r>
          </w:p>
        </w:tc>
        <w:tc>
          <w:tcPr>
            <w:tcW w:w="0" w:type="pct"/>
            <w:hideMark/>
          </w:tcPr>
          <w:p w14:paraId="3BACB5FE"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Partial</w:t>
            </w:r>
          </w:p>
        </w:tc>
        <w:tc>
          <w:tcPr>
            <w:tcW w:w="0" w:type="pct"/>
            <w:hideMark/>
          </w:tcPr>
          <w:p w14:paraId="6BCEA617"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3</w:t>
            </w:r>
          </w:p>
        </w:tc>
        <w:tc>
          <w:tcPr>
            <w:tcW w:w="0" w:type="pct"/>
            <w:hideMark/>
          </w:tcPr>
          <w:p w14:paraId="71C6B1DE"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3FB84E" w:themeFill="accent3"/>
            <w:hideMark/>
          </w:tcPr>
          <w:p w14:paraId="6EA2990B"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3000</w:t>
            </w:r>
          </w:p>
        </w:tc>
      </w:tr>
      <w:tr w:rsidR="007F63EF" w:rsidRPr="007F6110" w14:paraId="37BCCB1D" w14:textId="77777777" w:rsidTr="00C579BF">
        <w:trPr>
          <w:cnfStyle w:val="000000010000" w:firstRow="0" w:lastRow="0" w:firstColumn="0" w:lastColumn="0" w:oddVBand="0" w:evenVBand="0" w:oddHBand="0" w:evenHBand="1" w:firstRowFirstColumn="0" w:firstRowLastColumn="0" w:lastRowFirstColumn="0" w:lastRowLastColumn="0"/>
          <w:trHeight w:val="20"/>
        </w:trPr>
        <w:tc>
          <w:tcPr>
            <w:tcW w:w="0" w:type="pct"/>
            <w:hideMark/>
          </w:tcPr>
          <w:p w14:paraId="2737987D"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Indonesia</w:t>
            </w:r>
          </w:p>
        </w:tc>
        <w:tc>
          <w:tcPr>
            <w:tcW w:w="0" w:type="pct"/>
            <w:shd w:val="clear" w:color="auto" w:fill="auto"/>
            <w:hideMark/>
          </w:tcPr>
          <w:p w14:paraId="61E2750F"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not available</w:t>
            </w:r>
          </w:p>
        </w:tc>
        <w:tc>
          <w:tcPr>
            <w:tcW w:w="0" w:type="pct"/>
            <w:shd w:val="clear" w:color="auto" w:fill="auto"/>
            <w:hideMark/>
          </w:tcPr>
          <w:p w14:paraId="47B1BC4E"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not available</w:t>
            </w:r>
          </w:p>
        </w:tc>
        <w:tc>
          <w:tcPr>
            <w:tcW w:w="0" w:type="pct"/>
            <w:hideMark/>
          </w:tcPr>
          <w:p w14:paraId="0891DFD8"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Partial (focus on AMU)</w:t>
            </w:r>
          </w:p>
        </w:tc>
        <w:tc>
          <w:tcPr>
            <w:tcW w:w="0" w:type="pct"/>
            <w:hideMark/>
          </w:tcPr>
          <w:p w14:paraId="5F451D56"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6</w:t>
            </w:r>
          </w:p>
        </w:tc>
        <w:tc>
          <w:tcPr>
            <w:tcW w:w="0" w:type="pct"/>
            <w:hideMark/>
          </w:tcPr>
          <w:p w14:paraId="79834B19"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3FB84E" w:themeFill="accent3"/>
            <w:hideMark/>
          </w:tcPr>
          <w:p w14:paraId="3CE4FCA3"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1000</w:t>
            </w:r>
          </w:p>
        </w:tc>
      </w:tr>
      <w:tr w:rsidR="007F63EF" w:rsidRPr="007F6110" w14:paraId="23B9081F" w14:textId="77777777" w:rsidTr="00C579BF">
        <w:trPr>
          <w:cnfStyle w:val="000000100000" w:firstRow="0" w:lastRow="0" w:firstColumn="0" w:lastColumn="0" w:oddVBand="0" w:evenVBand="0" w:oddHBand="1" w:evenHBand="0" w:firstRowFirstColumn="0" w:firstRowLastColumn="0" w:lastRowFirstColumn="0" w:lastRowLastColumn="0"/>
          <w:trHeight w:val="20"/>
        </w:trPr>
        <w:tc>
          <w:tcPr>
            <w:tcW w:w="0" w:type="pct"/>
            <w:hideMark/>
          </w:tcPr>
          <w:p w14:paraId="60C8DF77"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Kenya</w:t>
            </w:r>
          </w:p>
        </w:tc>
        <w:tc>
          <w:tcPr>
            <w:tcW w:w="0" w:type="pct"/>
            <w:shd w:val="clear" w:color="auto" w:fill="auto"/>
            <w:hideMark/>
          </w:tcPr>
          <w:p w14:paraId="30B11562"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auto"/>
            <w:hideMark/>
          </w:tcPr>
          <w:p w14:paraId="148E1204"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1</w:t>
            </w:r>
          </w:p>
        </w:tc>
        <w:tc>
          <w:tcPr>
            <w:tcW w:w="0" w:type="pct"/>
            <w:hideMark/>
          </w:tcPr>
          <w:p w14:paraId="2955ECE2"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Completely</w:t>
            </w:r>
          </w:p>
        </w:tc>
        <w:tc>
          <w:tcPr>
            <w:tcW w:w="0" w:type="pct"/>
            <w:hideMark/>
          </w:tcPr>
          <w:p w14:paraId="606D743D"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6</w:t>
            </w:r>
          </w:p>
        </w:tc>
        <w:tc>
          <w:tcPr>
            <w:tcW w:w="0" w:type="pct"/>
            <w:hideMark/>
          </w:tcPr>
          <w:p w14:paraId="621135B4"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2462</w:t>
            </w:r>
          </w:p>
        </w:tc>
        <w:tc>
          <w:tcPr>
            <w:tcW w:w="0" w:type="pct"/>
            <w:shd w:val="clear" w:color="auto" w:fill="3FB84E" w:themeFill="accent3"/>
            <w:hideMark/>
          </w:tcPr>
          <w:p w14:paraId="494629A9"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40632</w:t>
            </w:r>
          </w:p>
        </w:tc>
      </w:tr>
      <w:tr w:rsidR="007F63EF" w:rsidRPr="007F6110" w14:paraId="6AFB07CA" w14:textId="77777777" w:rsidTr="00C579BF">
        <w:trPr>
          <w:cnfStyle w:val="000000010000" w:firstRow="0" w:lastRow="0" w:firstColumn="0" w:lastColumn="0" w:oddVBand="0" w:evenVBand="0" w:oddHBand="0" w:evenHBand="1" w:firstRowFirstColumn="0" w:firstRowLastColumn="0" w:lastRowFirstColumn="0" w:lastRowLastColumn="0"/>
          <w:trHeight w:val="20"/>
        </w:trPr>
        <w:tc>
          <w:tcPr>
            <w:tcW w:w="0" w:type="pct"/>
            <w:hideMark/>
          </w:tcPr>
          <w:p w14:paraId="0C794AEE"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Laos</w:t>
            </w:r>
          </w:p>
        </w:tc>
        <w:tc>
          <w:tcPr>
            <w:tcW w:w="0" w:type="pct"/>
            <w:shd w:val="clear" w:color="auto" w:fill="auto"/>
            <w:hideMark/>
          </w:tcPr>
          <w:p w14:paraId="393F2B66"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auto"/>
            <w:hideMark/>
          </w:tcPr>
          <w:p w14:paraId="4770C2DE"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2</w:t>
            </w:r>
          </w:p>
        </w:tc>
        <w:tc>
          <w:tcPr>
            <w:tcW w:w="0" w:type="pct"/>
            <w:hideMark/>
          </w:tcPr>
          <w:p w14:paraId="4BF09E2E"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Completely</w:t>
            </w:r>
          </w:p>
        </w:tc>
        <w:tc>
          <w:tcPr>
            <w:tcW w:w="0" w:type="pct"/>
            <w:hideMark/>
          </w:tcPr>
          <w:p w14:paraId="68F13B40"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2</w:t>
            </w:r>
          </w:p>
        </w:tc>
        <w:tc>
          <w:tcPr>
            <w:tcW w:w="0" w:type="pct"/>
            <w:hideMark/>
          </w:tcPr>
          <w:p w14:paraId="097AFFB6"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772</w:t>
            </w:r>
          </w:p>
        </w:tc>
        <w:tc>
          <w:tcPr>
            <w:tcW w:w="0" w:type="pct"/>
            <w:shd w:val="clear" w:color="auto" w:fill="3FB84E" w:themeFill="accent3"/>
            <w:hideMark/>
          </w:tcPr>
          <w:p w14:paraId="4EB0AD74"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2238</w:t>
            </w:r>
          </w:p>
        </w:tc>
      </w:tr>
      <w:tr w:rsidR="007F63EF" w:rsidRPr="007F6110" w14:paraId="0B9D87A1" w14:textId="77777777" w:rsidTr="00C579BF">
        <w:trPr>
          <w:cnfStyle w:val="000000100000" w:firstRow="0" w:lastRow="0" w:firstColumn="0" w:lastColumn="0" w:oddVBand="0" w:evenVBand="0" w:oddHBand="1" w:evenHBand="0" w:firstRowFirstColumn="0" w:firstRowLastColumn="0" w:lastRowFirstColumn="0" w:lastRowLastColumn="0"/>
          <w:trHeight w:val="20"/>
        </w:trPr>
        <w:tc>
          <w:tcPr>
            <w:tcW w:w="0" w:type="pct"/>
            <w:hideMark/>
          </w:tcPr>
          <w:p w14:paraId="3B66C99E"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Nepal</w:t>
            </w:r>
          </w:p>
        </w:tc>
        <w:tc>
          <w:tcPr>
            <w:tcW w:w="0" w:type="pct"/>
            <w:shd w:val="clear" w:color="auto" w:fill="auto"/>
            <w:hideMark/>
          </w:tcPr>
          <w:p w14:paraId="5FE8588E"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auto"/>
            <w:hideMark/>
          </w:tcPr>
          <w:p w14:paraId="6F9A2F9A"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4</w:t>
            </w:r>
          </w:p>
        </w:tc>
        <w:tc>
          <w:tcPr>
            <w:tcW w:w="0" w:type="pct"/>
            <w:hideMark/>
          </w:tcPr>
          <w:p w14:paraId="092115FE"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Completely</w:t>
            </w:r>
          </w:p>
        </w:tc>
        <w:tc>
          <w:tcPr>
            <w:tcW w:w="0" w:type="pct"/>
            <w:hideMark/>
          </w:tcPr>
          <w:p w14:paraId="55556C3E"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7</w:t>
            </w:r>
          </w:p>
        </w:tc>
        <w:tc>
          <w:tcPr>
            <w:tcW w:w="0" w:type="pct"/>
            <w:hideMark/>
          </w:tcPr>
          <w:p w14:paraId="49265E7D"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3097</w:t>
            </w:r>
          </w:p>
        </w:tc>
        <w:tc>
          <w:tcPr>
            <w:tcW w:w="0" w:type="pct"/>
            <w:shd w:val="clear" w:color="auto" w:fill="3FB84E" w:themeFill="accent3"/>
            <w:hideMark/>
          </w:tcPr>
          <w:p w14:paraId="6003C4B0"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6110</w:t>
            </w:r>
          </w:p>
        </w:tc>
      </w:tr>
      <w:tr w:rsidR="007F63EF" w:rsidRPr="007F6110" w14:paraId="5EBB7AA4" w14:textId="77777777" w:rsidTr="00C579BF">
        <w:trPr>
          <w:cnfStyle w:val="000000010000" w:firstRow="0" w:lastRow="0" w:firstColumn="0" w:lastColumn="0" w:oddVBand="0" w:evenVBand="0" w:oddHBand="0" w:evenHBand="1" w:firstRowFirstColumn="0" w:firstRowLastColumn="0" w:lastRowFirstColumn="0" w:lastRowLastColumn="0"/>
          <w:trHeight w:val="20"/>
        </w:trPr>
        <w:tc>
          <w:tcPr>
            <w:tcW w:w="0" w:type="pct"/>
            <w:hideMark/>
          </w:tcPr>
          <w:p w14:paraId="3568F059"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Nigeria</w:t>
            </w:r>
          </w:p>
        </w:tc>
        <w:tc>
          <w:tcPr>
            <w:tcW w:w="0" w:type="pct"/>
            <w:shd w:val="clear" w:color="auto" w:fill="auto"/>
            <w:hideMark/>
          </w:tcPr>
          <w:p w14:paraId="4EE0EE71"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auto"/>
            <w:hideMark/>
          </w:tcPr>
          <w:p w14:paraId="26283D78"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hideMark/>
          </w:tcPr>
          <w:p w14:paraId="70CAE4F4"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N/A</w:t>
            </w:r>
          </w:p>
        </w:tc>
        <w:tc>
          <w:tcPr>
            <w:tcW w:w="0" w:type="pct"/>
            <w:hideMark/>
          </w:tcPr>
          <w:p w14:paraId="32BE65F8"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7</w:t>
            </w:r>
          </w:p>
        </w:tc>
        <w:tc>
          <w:tcPr>
            <w:tcW w:w="0" w:type="pct"/>
            <w:hideMark/>
          </w:tcPr>
          <w:p w14:paraId="4D5AA25A"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FF0000"/>
            <w:hideMark/>
          </w:tcPr>
          <w:p w14:paraId="29132692"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r>
      <w:tr w:rsidR="007F63EF" w:rsidRPr="007F6110" w14:paraId="4F3F0036" w14:textId="77777777" w:rsidTr="00C579BF">
        <w:trPr>
          <w:cnfStyle w:val="000000100000" w:firstRow="0" w:lastRow="0" w:firstColumn="0" w:lastColumn="0" w:oddVBand="0" w:evenVBand="0" w:oddHBand="1" w:evenHBand="0" w:firstRowFirstColumn="0" w:firstRowLastColumn="0" w:lastRowFirstColumn="0" w:lastRowLastColumn="0"/>
          <w:trHeight w:val="20"/>
        </w:trPr>
        <w:tc>
          <w:tcPr>
            <w:tcW w:w="0" w:type="pct"/>
            <w:hideMark/>
          </w:tcPr>
          <w:p w14:paraId="595CC9FB"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Pakistan</w:t>
            </w:r>
          </w:p>
        </w:tc>
        <w:tc>
          <w:tcPr>
            <w:tcW w:w="0" w:type="pct"/>
            <w:shd w:val="clear" w:color="auto" w:fill="auto"/>
            <w:hideMark/>
          </w:tcPr>
          <w:p w14:paraId="1D962979"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auto"/>
            <w:hideMark/>
          </w:tcPr>
          <w:p w14:paraId="24C1BD48"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w:t>
            </w:r>
          </w:p>
        </w:tc>
        <w:tc>
          <w:tcPr>
            <w:tcW w:w="0" w:type="pct"/>
            <w:hideMark/>
          </w:tcPr>
          <w:p w14:paraId="37874115"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unclear</w:t>
            </w:r>
          </w:p>
        </w:tc>
        <w:tc>
          <w:tcPr>
            <w:tcW w:w="0" w:type="pct"/>
            <w:hideMark/>
          </w:tcPr>
          <w:p w14:paraId="5AD898DF"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10</w:t>
            </w:r>
          </w:p>
        </w:tc>
        <w:tc>
          <w:tcPr>
            <w:tcW w:w="0" w:type="pct"/>
            <w:hideMark/>
          </w:tcPr>
          <w:p w14:paraId="426D7F79"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470</w:t>
            </w:r>
          </w:p>
        </w:tc>
        <w:tc>
          <w:tcPr>
            <w:tcW w:w="0" w:type="pct"/>
            <w:shd w:val="clear" w:color="auto" w:fill="FFC000"/>
            <w:hideMark/>
          </w:tcPr>
          <w:p w14:paraId="7DC02456"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w:t>
            </w:r>
          </w:p>
        </w:tc>
      </w:tr>
      <w:tr w:rsidR="007F63EF" w:rsidRPr="007F6110" w14:paraId="3FA34AF7" w14:textId="77777777" w:rsidTr="00C579BF">
        <w:trPr>
          <w:cnfStyle w:val="000000010000" w:firstRow="0" w:lastRow="0" w:firstColumn="0" w:lastColumn="0" w:oddVBand="0" w:evenVBand="0" w:oddHBand="0" w:evenHBand="1" w:firstRowFirstColumn="0" w:firstRowLastColumn="0" w:lastRowFirstColumn="0" w:lastRowLastColumn="0"/>
          <w:trHeight w:val="20"/>
        </w:trPr>
        <w:tc>
          <w:tcPr>
            <w:tcW w:w="0" w:type="pct"/>
            <w:hideMark/>
          </w:tcPr>
          <w:p w14:paraId="3EF7F2F5"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Senegal</w:t>
            </w:r>
          </w:p>
        </w:tc>
        <w:tc>
          <w:tcPr>
            <w:tcW w:w="0" w:type="pct"/>
            <w:shd w:val="clear" w:color="auto" w:fill="auto"/>
            <w:hideMark/>
          </w:tcPr>
          <w:p w14:paraId="608FC88C"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1</w:t>
            </w:r>
          </w:p>
        </w:tc>
        <w:tc>
          <w:tcPr>
            <w:tcW w:w="0" w:type="pct"/>
            <w:shd w:val="clear" w:color="auto" w:fill="auto"/>
            <w:hideMark/>
          </w:tcPr>
          <w:p w14:paraId="070D9EF2"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1</w:t>
            </w:r>
          </w:p>
        </w:tc>
        <w:tc>
          <w:tcPr>
            <w:tcW w:w="0" w:type="pct"/>
            <w:hideMark/>
          </w:tcPr>
          <w:p w14:paraId="30975599"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Completely</w:t>
            </w:r>
          </w:p>
        </w:tc>
        <w:tc>
          <w:tcPr>
            <w:tcW w:w="0" w:type="pct"/>
            <w:hideMark/>
          </w:tcPr>
          <w:p w14:paraId="38BBA473"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2</w:t>
            </w:r>
          </w:p>
        </w:tc>
        <w:tc>
          <w:tcPr>
            <w:tcW w:w="0" w:type="pct"/>
            <w:hideMark/>
          </w:tcPr>
          <w:p w14:paraId="11A0AFC3"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hideMark/>
          </w:tcPr>
          <w:p w14:paraId="5C839977"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650</w:t>
            </w:r>
          </w:p>
        </w:tc>
      </w:tr>
      <w:tr w:rsidR="007F63EF" w:rsidRPr="007F6110" w14:paraId="68293102" w14:textId="77777777" w:rsidTr="00C579BF">
        <w:trPr>
          <w:cnfStyle w:val="000000100000" w:firstRow="0" w:lastRow="0" w:firstColumn="0" w:lastColumn="0" w:oddVBand="0" w:evenVBand="0" w:oddHBand="1" w:evenHBand="0" w:firstRowFirstColumn="0" w:firstRowLastColumn="0" w:lastRowFirstColumn="0" w:lastRowLastColumn="0"/>
          <w:trHeight w:val="20"/>
        </w:trPr>
        <w:tc>
          <w:tcPr>
            <w:tcW w:w="0" w:type="pct"/>
            <w:hideMark/>
          </w:tcPr>
          <w:p w14:paraId="767FAC4F"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Sierra Leone</w:t>
            </w:r>
          </w:p>
        </w:tc>
        <w:tc>
          <w:tcPr>
            <w:tcW w:w="0" w:type="pct"/>
            <w:shd w:val="clear" w:color="auto" w:fill="auto"/>
            <w:hideMark/>
          </w:tcPr>
          <w:p w14:paraId="43CE72AE"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auto"/>
            <w:hideMark/>
          </w:tcPr>
          <w:p w14:paraId="62126536"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hideMark/>
          </w:tcPr>
          <w:p w14:paraId="76C1A6F3"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N/A</w:t>
            </w:r>
          </w:p>
        </w:tc>
        <w:tc>
          <w:tcPr>
            <w:tcW w:w="0" w:type="pct"/>
            <w:hideMark/>
          </w:tcPr>
          <w:p w14:paraId="7E2EAC6A"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hideMark/>
          </w:tcPr>
          <w:p w14:paraId="5F994D53"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FF0000"/>
            <w:hideMark/>
          </w:tcPr>
          <w:p w14:paraId="17385BDF"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r>
      <w:tr w:rsidR="007F63EF" w:rsidRPr="007F6110" w14:paraId="6383CF93" w14:textId="77777777" w:rsidTr="00C579BF">
        <w:trPr>
          <w:cnfStyle w:val="000000010000" w:firstRow="0" w:lastRow="0" w:firstColumn="0" w:lastColumn="0" w:oddVBand="0" w:evenVBand="0" w:oddHBand="0" w:evenHBand="1" w:firstRowFirstColumn="0" w:firstRowLastColumn="0" w:lastRowFirstColumn="0" w:lastRowLastColumn="0"/>
          <w:trHeight w:val="20"/>
        </w:trPr>
        <w:tc>
          <w:tcPr>
            <w:tcW w:w="0" w:type="pct"/>
            <w:hideMark/>
          </w:tcPr>
          <w:p w14:paraId="0F4A0002"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Tanzania</w:t>
            </w:r>
          </w:p>
        </w:tc>
        <w:tc>
          <w:tcPr>
            <w:tcW w:w="0" w:type="pct"/>
            <w:shd w:val="clear" w:color="auto" w:fill="auto"/>
            <w:hideMark/>
          </w:tcPr>
          <w:p w14:paraId="7F8E8091"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auto"/>
            <w:hideMark/>
          </w:tcPr>
          <w:p w14:paraId="18E74718"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1</w:t>
            </w:r>
          </w:p>
        </w:tc>
        <w:tc>
          <w:tcPr>
            <w:tcW w:w="0" w:type="pct"/>
            <w:hideMark/>
          </w:tcPr>
          <w:p w14:paraId="7B9F267A"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Completely</w:t>
            </w:r>
          </w:p>
        </w:tc>
        <w:tc>
          <w:tcPr>
            <w:tcW w:w="0" w:type="pct"/>
            <w:hideMark/>
          </w:tcPr>
          <w:p w14:paraId="23941075"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4</w:t>
            </w:r>
          </w:p>
        </w:tc>
        <w:tc>
          <w:tcPr>
            <w:tcW w:w="0" w:type="pct"/>
            <w:hideMark/>
          </w:tcPr>
          <w:p w14:paraId="02480EFB"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314</w:t>
            </w:r>
          </w:p>
        </w:tc>
        <w:tc>
          <w:tcPr>
            <w:tcW w:w="0" w:type="pct"/>
            <w:shd w:val="clear" w:color="auto" w:fill="3FB84E" w:themeFill="accent3"/>
            <w:hideMark/>
          </w:tcPr>
          <w:p w14:paraId="217368AF"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1270</w:t>
            </w:r>
          </w:p>
        </w:tc>
      </w:tr>
      <w:tr w:rsidR="007F63EF" w:rsidRPr="007F6110" w14:paraId="3C94C841" w14:textId="77777777" w:rsidTr="00C579BF">
        <w:trPr>
          <w:cnfStyle w:val="000000100000" w:firstRow="0" w:lastRow="0" w:firstColumn="0" w:lastColumn="0" w:oddVBand="0" w:evenVBand="0" w:oddHBand="1" w:evenHBand="0" w:firstRowFirstColumn="0" w:firstRowLastColumn="0" w:lastRowFirstColumn="0" w:lastRowLastColumn="0"/>
          <w:trHeight w:val="20"/>
        </w:trPr>
        <w:tc>
          <w:tcPr>
            <w:tcW w:w="0" w:type="pct"/>
            <w:hideMark/>
          </w:tcPr>
          <w:p w14:paraId="52BF2E9E" w14:textId="5D166205" w:rsidR="00241FA6" w:rsidRPr="007F63EF" w:rsidRDefault="00260B8A" w:rsidP="008C1BFD">
            <w:pPr>
              <w:rPr>
                <w:rFonts w:eastAsia="Times New Roman" w:cs="Calibri"/>
                <w:color w:val="auto"/>
                <w:sz w:val="18"/>
                <w:szCs w:val="18"/>
                <w:lang w:eastAsia="en-GB"/>
              </w:rPr>
            </w:pPr>
            <w:r>
              <w:rPr>
                <w:rFonts w:eastAsia="Times New Roman" w:cs="Calibri"/>
                <w:color w:val="auto"/>
                <w:sz w:val="18"/>
                <w:szCs w:val="18"/>
                <w:lang w:eastAsia="en-GB"/>
              </w:rPr>
              <w:t>Timor-Leste</w:t>
            </w:r>
          </w:p>
        </w:tc>
        <w:tc>
          <w:tcPr>
            <w:tcW w:w="0" w:type="pct"/>
            <w:shd w:val="clear" w:color="auto" w:fill="auto"/>
            <w:hideMark/>
          </w:tcPr>
          <w:p w14:paraId="50E0D111"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auto"/>
            <w:hideMark/>
          </w:tcPr>
          <w:p w14:paraId="5BC1582F"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3</w:t>
            </w:r>
          </w:p>
        </w:tc>
        <w:tc>
          <w:tcPr>
            <w:tcW w:w="0" w:type="pct"/>
            <w:hideMark/>
          </w:tcPr>
          <w:p w14:paraId="2360E934"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Completely</w:t>
            </w:r>
          </w:p>
        </w:tc>
        <w:tc>
          <w:tcPr>
            <w:tcW w:w="0" w:type="pct"/>
            <w:hideMark/>
          </w:tcPr>
          <w:p w14:paraId="57DF3978"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1</w:t>
            </w:r>
          </w:p>
        </w:tc>
        <w:tc>
          <w:tcPr>
            <w:tcW w:w="0" w:type="pct"/>
            <w:hideMark/>
          </w:tcPr>
          <w:p w14:paraId="29AC98AC"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3FB84E" w:themeFill="accent3"/>
            <w:hideMark/>
          </w:tcPr>
          <w:p w14:paraId="5D69BD6C"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429</w:t>
            </w:r>
          </w:p>
        </w:tc>
      </w:tr>
      <w:tr w:rsidR="007F63EF" w:rsidRPr="007F6110" w14:paraId="72A9FCAC" w14:textId="77777777" w:rsidTr="00C579BF">
        <w:trPr>
          <w:cnfStyle w:val="000000010000" w:firstRow="0" w:lastRow="0" w:firstColumn="0" w:lastColumn="0" w:oddVBand="0" w:evenVBand="0" w:oddHBand="0" w:evenHBand="1" w:firstRowFirstColumn="0" w:firstRowLastColumn="0" w:lastRowFirstColumn="0" w:lastRowLastColumn="0"/>
          <w:trHeight w:val="20"/>
        </w:trPr>
        <w:tc>
          <w:tcPr>
            <w:tcW w:w="0" w:type="pct"/>
            <w:hideMark/>
          </w:tcPr>
          <w:p w14:paraId="32D32E4B"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Uganda</w:t>
            </w:r>
          </w:p>
        </w:tc>
        <w:tc>
          <w:tcPr>
            <w:tcW w:w="0" w:type="pct"/>
            <w:shd w:val="clear" w:color="auto" w:fill="auto"/>
            <w:hideMark/>
          </w:tcPr>
          <w:p w14:paraId="2A1949FE"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auto"/>
            <w:hideMark/>
          </w:tcPr>
          <w:p w14:paraId="27385A6F"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4</w:t>
            </w:r>
          </w:p>
        </w:tc>
        <w:tc>
          <w:tcPr>
            <w:tcW w:w="0" w:type="pct"/>
            <w:hideMark/>
          </w:tcPr>
          <w:p w14:paraId="37F220E7"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Completely</w:t>
            </w:r>
          </w:p>
        </w:tc>
        <w:tc>
          <w:tcPr>
            <w:tcW w:w="0" w:type="pct"/>
            <w:hideMark/>
          </w:tcPr>
          <w:p w14:paraId="5EE509D2"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3</w:t>
            </w:r>
          </w:p>
        </w:tc>
        <w:tc>
          <w:tcPr>
            <w:tcW w:w="0" w:type="pct"/>
            <w:hideMark/>
          </w:tcPr>
          <w:p w14:paraId="13B69735"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3FB84E" w:themeFill="accent3"/>
            <w:hideMark/>
          </w:tcPr>
          <w:p w14:paraId="5ED37E87"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108</w:t>
            </w:r>
          </w:p>
        </w:tc>
      </w:tr>
      <w:tr w:rsidR="007F63EF" w:rsidRPr="007F6110" w14:paraId="5A980C84" w14:textId="77777777" w:rsidTr="00C579BF">
        <w:trPr>
          <w:cnfStyle w:val="000000100000" w:firstRow="0" w:lastRow="0" w:firstColumn="0" w:lastColumn="0" w:oddVBand="0" w:evenVBand="0" w:oddHBand="1" w:evenHBand="0" w:firstRowFirstColumn="0" w:firstRowLastColumn="0" w:lastRowFirstColumn="0" w:lastRowLastColumn="0"/>
          <w:trHeight w:val="20"/>
        </w:trPr>
        <w:tc>
          <w:tcPr>
            <w:tcW w:w="0" w:type="pct"/>
            <w:hideMark/>
          </w:tcPr>
          <w:p w14:paraId="7E4F4772"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Vietnam</w:t>
            </w:r>
          </w:p>
        </w:tc>
        <w:tc>
          <w:tcPr>
            <w:tcW w:w="0" w:type="pct"/>
            <w:shd w:val="clear" w:color="auto" w:fill="auto"/>
            <w:hideMark/>
          </w:tcPr>
          <w:p w14:paraId="16393D69"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2</w:t>
            </w:r>
          </w:p>
        </w:tc>
        <w:tc>
          <w:tcPr>
            <w:tcW w:w="0" w:type="pct"/>
            <w:shd w:val="clear" w:color="auto" w:fill="auto"/>
            <w:hideMark/>
          </w:tcPr>
          <w:p w14:paraId="2CF5A463"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1</w:t>
            </w:r>
          </w:p>
        </w:tc>
        <w:tc>
          <w:tcPr>
            <w:tcW w:w="0" w:type="pct"/>
            <w:hideMark/>
          </w:tcPr>
          <w:p w14:paraId="66B02921"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Partial</w:t>
            </w:r>
          </w:p>
        </w:tc>
        <w:tc>
          <w:tcPr>
            <w:tcW w:w="0" w:type="pct"/>
            <w:hideMark/>
          </w:tcPr>
          <w:p w14:paraId="0F26B58D"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3</w:t>
            </w:r>
          </w:p>
        </w:tc>
        <w:tc>
          <w:tcPr>
            <w:tcW w:w="0" w:type="pct"/>
            <w:hideMark/>
          </w:tcPr>
          <w:p w14:paraId="5B0F9E8A"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1050</w:t>
            </w:r>
          </w:p>
        </w:tc>
        <w:tc>
          <w:tcPr>
            <w:tcW w:w="0" w:type="pct"/>
            <w:shd w:val="clear" w:color="auto" w:fill="3FB84E" w:themeFill="accent3"/>
            <w:hideMark/>
          </w:tcPr>
          <w:p w14:paraId="0141F671"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3339</w:t>
            </w:r>
          </w:p>
        </w:tc>
      </w:tr>
      <w:tr w:rsidR="007F63EF" w:rsidRPr="007F6110" w14:paraId="6A71E3E4" w14:textId="77777777" w:rsidTr="00C579BF">
        <w:trPr>
          <w:cnfStyle w:val="000000010000" w:firstRow="0" w:lastRow="0" w:firstColumn="0" w:lastColumn="0" w:oddVBand="0" w:evenVBand="0" w:oddHBand="0" w:evenHBand="1" w:firstRowFirstColumn="0" w:firstRowLastColumn="0" w:lastRowFirstColumn="0" w:lastRowLastColumn="0"/>
          <w:trHeight w:val="20"/>
        </w:trPr>
        <w:tc>
          <w:tcPr>
            <w:tcW w:w="0" w:type="pct"/>
            <w:hideMark/>
          </w:tcPr>
          <w:p w14:paraId="1624F807"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Zambia</w:t>
            </w:r>
          </w:p>
        </w:tc>
        <w:tc>
          <w:tcPr>
            <w:tcW w:w="0" w:type="pct"/>
            <w:shd w:val="clear" w:color="auto" w:fill="auto"/>
            <w:hideMark/>
          </w:tcPr>
          <w:p w14:paraId="303DA2E5"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auto"/>
            <w:hideMark/>
          </w:tcPr>
          <w:p w14:paraId="479EF239"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8</w:t>
            </w:r>
          </w:p>
        </w:tc>
        <w:tc>
          <w:tcPr>
            <w:tcW w:w="0" w:type="pct"/>
            <w:hideMark/>
          </w:tcPr>
          <w:p w14:paraId="37BF560A"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Partial</w:t>
            </w:r>
          </w:p>
        </w:tc>
        <w:tc>
          <w:tcPr>
            <w:tcW w:w="0" w:type="pct"/>
            <w:hideMark/>
          </w:tcPr>
          <w:p w14:paraId="42549599"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5</w:t>
            </w:r>
          </w:p>
        </w:tc>
        <w:tc>
          <w:tcPr>
            <w:tcW w:w="0" w:type="pct"/>
            <w:hideMark/>
          </w:tcPr>
          <w:p w14:paraId="41FBF1DD"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0</w:t>
            </w:r>
          </w:p>
        </w:tc>
        <w:tc>
          <w:tcPr>
            <w:tcW w:w="0" w:type="pct"/>
            <w:shd w:val="clear" w:color="auto" w:fill="3FB84E" w:themeFill="accent3"/>
            <w:hideMark/>
          </w:tcPr>
          <w:p w14:paraId="797A789C" w14:textId="77777777" w:rsidR="00241FA6" w:rsidRPr="007F63EF" w:rsidRDefault="00241FA6" w:rsidP="008C1BFD">
            <w:pPr>
              <w:rPr>
                <w:rFonts w:eastAsia="Times New Roman" w:cs="Calibri"/>
                <w:color w:val="auto"/>
                <w:sz w:val="18"/>
                <w:szCs w:val="18"/>
                <w:lang w:eastAsia="en-GB"/>
              </w:rPr>
            </w:pPr>
            <w:r w:rsidRPr="007F6110">
              <w:rPr>
                <w:rFonts w:eastAsia="Times New Roman" w:cs="Calibri"/>
                <w:color w:val="auto"/>
                <w:sz w:val="18"/>
                <w:szCs w:val="18"/>
                <w:lang w:eastAsia="en-GB"/>
              </w:rPr>
              <w:t>44</w:t>
            </w:r>
          </w:p>
        </w:tc>
      </w:tr>
    </w:tbl>
    <w:p w14:paraId="374142CE" w14:textId="77777777" w:rsidR="005A416C" w:rsidRPr="0006093D" w:rsidRDefault="005A416C" w:rsidP="0006093D"/>
    <w:p w14:paraId="5DACB2AC" w14:textId="77777777" w:rsidR="00963122" w:rsidRDefault="00963122" w:rsidP="00963122">
      <w:pPr>
        <w:spacing w:before="240"/>
      </w:pPr>
      <w:r>
        <w:t xml:space="preserve">Criteria for rating </w:t>
      </w:r>
    </w:p>
    <w:tbl>
      <w:tblPr>
        <w:tblStyle w:val="TableGrid"/>
        <w:tblW w:w="0" w:type="auto"/>
        <w:tblLook w:val="04A0" w:firstRow="1" w:lastRow="0" w:firstColumn="1" w:lastColumn="0" w:noHBand="0" w:noVBand="1"/>
      </w:tblPr>
      <w:tblGrid>
        <w:gridCol w:w="1555"/>
        <w:gridCol w:w="3402"/>
      </w:tblGrid>
      <w:tr w:rsidR="00963122" w:rsidRPr="007025E0" w14:paraId="76BAE0FA" w14:textId="77777777">
        <w:trPr>
          <w:trHeight w:val="283"/>
        </w:trPr>
        <w:tc>
          <w:tcPr>
            <w:tcW w:w="1555" w:type="dxa"/>
          </w:tcPr>
          <w:p w14:paraId="454F6885" w14:textId="77777777" w:rsidR="00963122" w:rsidRPr="007025E0" w:rsidRDefault="00963122">
            <w:pPr>
              <w:rPr>
                <w:sz w:val="18"/>
                <w:szCs w:val="18"/>
              </w:rPr>
            </w:pPr>
            <w:r>
              <w:rPr>
                <w:sz w:val="18"/>
                <w:szCs w:val="18"/>
              </w:rPr>
              <w:t>RAG colour</w:t>
            </w:r>
          </w:p>
        </w:tc>
        <w:tc>
          <w:tcPr>
            <w:tcW w:w="3402" w:type="dxa"/>
          </w:tcPr>
          <w:p w14:paraId="12698FB5" w14:textId="77777777" w:rsidR="00963122" w:rsidRPr="007025E0" w:rsidRDefault="00963122">
            <w:pPr>
              <w:rPr>
                <w:sz w:val="18"/>
                <w:szCs w:val="18"/>
              </w:rPr>
            </w:pPr>
            <w:r>
              <w:rPr>
                <w:sz w:val="18"/>
                <w:szCs w:val="18"/>
              </w:rPr>
              <w:t>Criteria</w:t>
            </w:r>
          </w:p>
        </w:tc>
      </w:tr>
      <w:tr w:rsidR="00963122" w:rsidRPr="007025E0" w14:paraId="52C0EB16" w14:textId="77777777">
        <w:trPr>
          <w:trHeight w:val="283"/>
        </w:trPr>
        <w:tc>
          <w:tcPr>
            <w:tcW w:w="1555" w:type="dxa"/>
            <w:shd w:val="clear" w:color="auto" w:fill="00B050"/>
          </w:tcPr>
          <w:p w14:paraId="7A55C8EF" w14:textId="77777777" w:rsidR="00963122" w:rsidRPr="007025E0" w:rsidRDefault="00963122">
            <w:pPr>
              <w:rPr>
                <w:sz w:val="18"/>
                <w:szCs w:val="18"/>
              </w:rPr>
            </w:pPr>
          </w:p>
        </w:tc>
        <w:tc>
          <w:tcPr>
            <w:tcW w:w="3402" w:type="dxa"/>
          </w:tcPr>
          <w:p w14:paraId="480A6B3D" w14:textId="77777777" w:rsidR="00963122" w:rsidRPr="007025E0" w:rsidRDefault="00963122">
            <w:pPr>
              <w:rPr>
                <w:sz w:val="18"/>
                <w:szCs w:val="18"/>
              </w:rPr>
            </w:pPr>
            <w:r>
              <w:rPr>
                <w:sz w:val="18"/>
                <w:szCs w:val="18"/>
              </w:rPr>
              <w:t>Positive trend compared to baseline</w:t>
            </w:r>
          </w:p>
        </w:tc>
      </w:tr>
      <w:tr w:rsidR="00963122" w:rsidRPr="007025E0" w14:paraId="33A472B9" w14:textId="77777777">
        <w:trPr>
          <w:trHeight w:val="283"/>
        </w:trPr>
        <w:tc>
          <w:tcPr>
            <w:tcW w:w="1555" w:type="dxa"/>
            <w:shd w:val="clear" w:color="auto" w:fill="FFC000"/>
          </w:tcPr>
          <w:p w14:paraId="4E07825C" w14:textId="77777777" w:rsidR="00963122" w:rsidRPr="007025E0" w:rsidRDefault="00963122">
            <w:pPr>
              <w:rPr>
                <w:sz w:val="18"/>
                <w:szCs w:val="18"/>
              </w:rPr>
            </w:pPr>
          </w:p>
        </w:tc>
        <w:tc>
          <w:tcPr>
            <w:tcW w:w="3402" w:type="dxa"/>
          </w:tcPr>
          <w:p w14:paraId="1120D552" w14:textId="77777777" w:rsidR="00963122" w:rsidRPr="007025E0" w:rsidRDefault="00963122">
            <w:pPr>
              <w:rPr>
                <w:sz w:val="18"/>
                <w:szCs w:val="18"/>
              </w:rPr>
            </w:pPr>
            <w:r>
              <w:rPr>
                <w:sz w:val="18"/>
                <w:szCs w:val="18"/>
              </w:rPr>
              <w:t>Unclear</w:t>
            </w:r>
          </w:p>
        </w:tc>
      </w:tr>
      <w:tr w:rsidR="00963122" w:rsidRPr="007025E0" w14:paraId="2875BA49" w14:textId="77777777">
        <w:trPr>
          <w:trHeight w:val="283"/>
        </w:trPr>
        <w:tc>
          <w:tcPr>
            <w:tcW w:w="1555" w:type="dxa"/>
            <w:shd w:val="clear" w:color="auto" w:fill="E37230" w:themeFill="accent2"/>
          </w:tcPr>
          <w:p w14:paraId="46D1E512" w14:textId="77777777" w:rsidR="00963122" w:rsidRPr="007025E0" w:rsidRDefault="00963122">
            <w:pPr>
              <w:rPr>
                <w:sz w:val="18"/>
                <w:szCs w:val="18"/>
              </w:rPr>
            </w:pPr>
          </w:p>
        </w:tc>
        <w:tc>
          <w:tcPr>
            <w:tcW w:w="3402" w:type="dxa"/>
          </w:tcPr>
          <w:p w14:paraId="7D4DB069" w14:textId="77777777" w:rsidR="00963122" w:rsidRPr="007025E0" w:rsidRDefault="00963122">
            <w:pPr>
              <w:rPr>
                <w:sz w:val="18"/>
                <w:szCs w:val="18"/>
              </w:rPr>
            </w:pPr>
            <w:r>
              <w:rPr>
                <w:sz w:val="18"/>
                <w:szCs w:val="18"/>
              </w:rPr>
              <w:t>No change compared to baseline</w:t>
            </w:r>
          </w:p>
        </w:tc>
      </w:tr>
      <w:tr w:rsidR="00963122" w:rsidRPr="007025E0" w14:paraId="1C32D0F2" w14:textId="77777777">
        <w:trPr>
          <w:trHeight w:val="283"/>
        </w:trPr>
        <w:tc>
          <w:tcPr>
            <w:tcW w:w="1555" w:type="dxa"/>
            <w:shd w:val="clear" w:color="auto" w:fill="FF0000"/>
          </w:tcPr>
          <w:p w14:paraId="47784C06" w14:textId="77777777" w:rsidR="00963122" w:rsidRPr="007025E0" w:rsidRDefault="00963122">
            <w:pPr>
              <w:rPr>
                <w:sz w:val="18"/>
                <w:szCs w:val="18"/>
              </w:rPr>
            </w:pPr>
          </w:p>
        </w:tc>
        <w:tc>
          <w:tcPr>
            <w:tcW w:w="3402" w:type="dxa"/>
          </w:tcPr>
          <w:p w14:paraId="6D096349" w14:textId="77777777" w:rsidR="00963122" w:rsidRPr="007025E0" w:rsidRDefault="00963122">
            <w:pPr>
              <w:rPr>
                <w:sz w:val="18"/>
                <w:szCs w:val="18"/>
              </w:rPr>
            </w:pPr>
            <w:r>
              <w:rPr>
                <w:sz w:val="18"/>
                <w:szCs w:val="18"/>
              </w:rPr>
              <w:t>Negative trend compared to baseline</w:t>
            </w:r>
          </w:p>
        </w:tc>
      </w:tr>
    </w:tbl>
    <w:p w14:paraId="4005899B" w14:textId="0BB84525" w:rsidR="00963122" w:rsidRPr="00963122" w:rsidRDefault="00963122" w:rsidP="00963122">
      <w:pPr>
        <w:pStyle w:val="ItadNormalText"/>
        <w:sectPr w:rsidR="00963122" w:rsidRPr="00963122" w:rsidSect="005A416C">
          <w:pgSz w:w="11906" w:h="16838"/>
          <w:pgMar w:top="1440" w:right="1440" w:bottom="1440" w:left="1440" w:header="709" w:footer="709" w:gutter="0"/>
          <w:cols w:space="708"/>
          <w:docGrid w:linePitch="360"/>
        </w:sectPr>
      </w:pPr>
    </w:p>
    <w:p w14:paraId="2DABB930" w14:textId="77777777" w:rsidR="000B0469" w:rsidRPr="0060760F" w:rsidRDefault="000B0469" w:rsidP="00E043FF">
      <w:pPr>
        <w:pStyle w:val="ItadH3"/>
        <w:rPr>
          <w:rStyle w:val="cf01"/>
          <w:lang w:val="en-GB"/>
        </w:rPr>
      </w:pPr>
      <w:bookmarkStart w:id="220" w:name="_Toc118968540"/>
      <w:bookmarkStart w:id="221" w:name="_Toc142383178"/>
      <w:r w:rsidRPr="00840CE6">
        <w:rPr>
          <w:rStyle w:val="cf01"/>
          <w:rFonts w:asciiTheme="minorHAnsi" w:hAnsiTheme="minorHAnsi" w:cstheme="minorHAnsi"/>
          <w:sz w:val="22"/>
          <w:szCs w:val="22"/>
          <w:lang w:val="en-GB"/>
        </w:rPr>
        <w:t xml:space="preserve">Data on changes in quantity </w:t>
      </w:r>
      <w:r w:rsidRPr="0060760F">
        <w:rPr>
          <w:rStyle w:val="cf01"/>
          <w:rFonts w:asciiTheme="minorHAnsi" w:hAnsiTheme="minorHAnsi" w:cstheme="minorHAnsi"/>
          <w:sz w:val="22"/>
          <w:szCs w:val="22"/>
          <w:lang w:val="en-GB"/>
        </w:rPr>
        <w:t>of AMR at international level</w:t>
      </w:r>
      <w:bookmarkEnd w:id="220"/>
      <w:bookmarkEnd w:id="221"/>
    </w:p>
    <w:p w14:paraId="2FEC2F32" w14:textId="76CC880A" w:rsidR="000B0469" w:rsidRDefault="000B0469" w:rsidP="000B0469">
      <w:pPr>
        <w:spacing w:before="240"/>
        <w:rPr>
          <w:noProof/>
        </w:rPr>
      </w:pPr>
      <w:r>
        <w:t xml:space="preserve">In the following table </w:t>
      </w:r>
      <w:r w:rsidR="65B0613D">
        <w:t>(</w:t>
      </w:r>
      <w:r w:rsidR="00623BCC">
        <w:fldChar w:fldCharType="begin"/>
      </w:r>
      <w:r w:rsidR="00623BCC">
        <w:instrText xml:space="preserve"> REF _Ref119929286 \h </w:instrText>
      </w:r>
      <w:r w:rsidR="00623BCC">
        <w:fldChar w:fldCharType="separate"/>
      </w:r>
      <w:r w:rsidR="009A383C">
        <w:t xml:space="preserve">Table </w:t>
      </w:r>
      <w:r w:rsidR="009A383C">
        <w:rPr>
          <w:noProof/>
        </w:rPr>
        <w:t>29</w:t>
      </w:r>
      <w:r w:rsidR="00623BCC">
        <w:fldChar w:fldCharType="end"/>
      </w:r>
      <w:r w:rsidR="65B0613D">
        <w:t xml:space="preserve">) </w:t>
      </w:r>
      <w:r>
        <w:t>we present data from GLASS reports</w:t>
      </w:r>
      <w:r>
        <w:rPr>
          <w:rStyle w:val="FootnoteReference"/>
        </w:rPr>
        <w:footnoteReference w:id="46"/>
      </w:r>
      <w:r>
        <w:t xml:space="preserve"> which has informed findings on </w:t>
      </w:r>
      <w:r w:rsidR="007F6110">
        <w:t xml:space="preserve">the </w:t>
      </w:r>
      <w:r>
        <w:t>sharing of data at the international level.</w:t>
      </w:r>
      <w:r w:rsidR="007458AC">
        <w:t xml:space="preserve"> </w:t>
      </w:r>
      <w:r>
        <w:t>The year of publication for each GLASS report is shown, covering data two years older than the date of publication (due to time elapsed for submission and quality checks)</w:t>
      </w:r>
      <w:r w:rsidR="0099438E">
        <w:t xml:space="preserve"> </w:t>
      </w:r>
      <w:r w:rsidR="0099438E" w:rsidRPr="0099438E">
        <w:t>- e.g. 2021 GLASS report covers 2019 data from countries (submitted by countries in 2020 and published by WHO in 2021).</w:t>
      </w:r>
    </w:p>
    <w:p w14:paraId="12DB52F4" w14:textId="03672B71" w:rsidR="000B0469" w:rsidRDefault="000B0469" w:rsidP="000B0469"/>
    <w:p w14:paraId="7E46174B" w14:textId="1957CD37" w:rsidR="00623BCC" w:rsidRDefault="00623BCC" w:rsidP="00C04C3C">
      <w:pPr>
        <w:pStyle w:val="ItadCaption"/>
      </w:pPr>
      <w:bookmarkStart w:id="222" w:name="_Ref119929286"/>
      <w:bookmarkStart w:id="223" w:name="_Toc143857897"/>
      <w:r>
        <w:t xml:space="preserve">Table </w:t>
      </w:r>
      <w:r>
        <w:fldChar w:fldCharType="begin"/>
      </w:r>
      <w:r>
        <w:instrText>SEQ Table \* ARABIC</w:instrText>
      </w:r>
      <w:r>
        <w:fldChar w:fldCharType="separate"/>
      </w:r>
      <w:r w:rsidR="009A383C">
        <w:rPr>
          <w:noProof/>
        </w:rPr>
        <w:t>29</w:t>
      </w:r>
      <w:r>
        <w:fldChar w:fldCharType="end"/>
      </w:r>
      <w:bookmarkEnd w:id="222"/>
      <w:r>
        <w:t xml:space="preserve"> GLASS Data</w:t>
      </w:r>
      <w:bookmarkEnd w:id="223"/>
    </w:p>
    <w:tbl>
      <w:tblPr>
        <w:tblStyle w:val="Itadalternaterows"/>
        <w:tblW w:w="0" w:type="auto"/>
        <w:tblInd w:w="-5" w:type="dxa"/>
        <w:tblLook w:val="04A0" w:firstRow="1" w:lastRow="0" w:firstColumn="1" w:lastColumn="0" w:noHBand="0" w:noVBand="1"/>
      </w:tblPr>
      <w:tblGrid>
        <w:gridCol w:w="987"/>
        <w:gridCol w:w="987"/>
        <w:gridCol w:w="987"/>
        <w:gridCol w:w="1025"/>
        <w:gridCol w:w="1025"/>
        <w:gridCol w:w="987"/>
        <w:gridCol w:w="987"/>
        <w:gridCol w:w="987"/>
        <w:gridCol w:w="987"/>
        <w:gridCol w:w="987"/>
        <w:gridCol w:w="987"/>
        <w:gridCol w:w="987"/>
        <w:gridCol w:w="987"/>
        <w:gridCol w:w="987"/>
      </w:tblGrid>
      <w:tr w:rsidR="00B06863" w:rsidRPr="0014297B" w14:paraId="1973A81A" w14:textId="77777777" w:rsidTr="006F7058">
        <w:trPr>
          <w:cnfStyle w:val="100000000000" w:firstRow="1" w:lastRow="0" w:firstColumn="0" w:lastColumn="0" w:oddVBand="0" w:evenVBand="0" w:oddHBand="0" w:evenHBand="0" w:firstRowFirstColumn="0" w:firstRowLastColumn="0" w:lastRowFirstColumn="0" w:lastRowLastColumn="0"/>
          <w:trHeight w:val="652"/>
        </w:trPr>
        <w:tc>
          <w:tcPr>
            <w:tcW w:w="987" w:type="dxa"/>
            <w:hideMark/>
          </w:tcPr>
          <w:p w14:paraId="56785CA1" w14:textId="77777777"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Country</w:t>
            </w:r>
          </w:p>
        </w:tc>
        <w:tc>
          <w:tcPr>
            <w:tcW w:w="987" w:type="dxa"/>
            <w:hideMark/>
          </w:tcPr>
          <w:p w14:paraId="62866653" w14:textId="008B39CC"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Enrolled GLASS AMR</w:t>
            </w:r>
            <w:r w:rsidR="00CD58CA">
              <w:rPr>
                <w:rFonts w:eastAsia="Times New Roman" w:cs="Calibri"/>
                <w:b/>
                <w:bCs/>
                <w:color w:val="auto"/>
                <w:sz w:val="16"/>
                <w:szCs w:val="16"/>
                <w:lang w:eastAsia="en-GB"/>
              </w:rPr>
              <w:t xml:space="preserve"> (2021 report)</w:t>
            </w:r>
          </w:p>
        </w:tc>
        <w:tc>
          <w:tcPr>
            <w:tcW w:w="987" w:type="dxa"/>
            <w:hideMark/>
          </w:tcPr>
          <w:p w14:paraId="59107630" w14:textId="5F05E264"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Enrolled GLASS AMC</w:t>
            </w:r>
            <w:r w:rsidR="00CD58CA">
              <w:rPr>
                <w:rFonts w:eastAsia="Times New Roman" w:cs="Calibri"/>
                <w:b/>
                <w:bCs/>
                <w:color w:val="auto"/>
                <w:sz w:val="16"/>
                <w:szCs w:val="16"/>
                <w:lang w:eastAsia="en-GB"/>
              </w:rPr>
              <w:t xml:space="preserve"> (2021 report)</w:t>
            </w:r>
          </w:p>
        </w:tc>
        <w:tc>
          <w:tcPr>
            <w:tcW w:w="1025" w:type="dxa"/>
            <w:hideMark/>
          </w:tcPr>
          <w:p w14:paraId="6792E8D3" w14:textId="3D609887"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Participated in WHO PPS</w:t>
            </w:r>
            <w:r w:rsidRPr="00505ECD">
              <w:rPr>
                <w:rStyle w:val="FootnoteReference"/>
                <w:rFonts w:eastAsia="Times New Roman"/>
                <w:b/>
                <w:bCs/>
                <w:lang w:eastAsia="en-GB"/>
              </w:rPr>
              <w:footnoteReference w:id="47"/>
            </w:r>
            <w:r w:rsidRPr="00BB4743">
              <w:rPr>
                <w:rFonts w:eastAsia="Times New Roman" w:cs="Calibri"/>
                <w:b/>
                <w:bCs/>
                <w:color w:val="auto"/>
                <w:sz w:val="16"/>
                <w:szCs w:val="16"/>
                <w:lang w:eastAsia="en-GB"/>
              </w:rPr>
              <w:t xml:space="preserve"> (BL)</w:t>
            </w:r>
          </w:p>
        </w:tc>
        <w:tc>
          <w:tcPr>
            <w:tcW w:w="1025" w:type="dxa"/>
            <w:hideMark/>
          </w:tcPr>
          <w:p w14:paraId="09FADB3F" w14:textId="06076761"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Participated in WHO PPS (LY</w:t>
            </w:r>
            <w:r w:rsidR="00157C0D">
              <w:rPr>
                <w:rFonts w:eastAsia="Times New Roman" w:cs="Calibri"/>
                <w:b/>
                <w:bCs/>
                <w:color w:val="auto"/>
                <w:sz w:val="16"/>
                <w:szCs w:val="16"/>
                <w:lang w:eastAsia="en-GB"/>
              </w:rPr>
              <w:t xml:space="preserve"> – 2021 report</w:t>
            </w:r>
            <w:r w:rsidRPr="00BB4743">
              <w:rPr>
                <w:rFonts w:eastAsia="Times New Roman" w:cs="Calibri"/>
                <w:b/>
                <w:bCs/>
                <w:color w:val="auto"/>
                <w:sz w:val="16"/>
                <w:szCs w:val="16"/>
                <w:lang w:eastAsia="en-GB"/>
              </w:rPr>
              <w:t>)</w:t>
            </w:r>
          </w:p>
        </w:tc>
        <w:tc>
          <w:tcPr>
            <w:tcW w:w="987" w:type="dxa"/>
            <w:hideMark/>
          </w:tcPr>
          <w:p w14:paraId="77B9A546" w14:textId="77777777"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2018* GLASS report</w:t>
            </w:r>
          </w:p>
        </w:tc>
        <w:tc>
          <w:tcPr>
            <w:tcW w:w="987" w:type="dxa"/>
            <w:hideMark/>
          </w:tcPr>
          <w:p w14:paraId="668CA71F" w14:textId="77777777"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2019*</w:t>
            </w:r>
          </w:p>
          <w:p w14:paraId="280660C6" w14:textId="3CF44ED1"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GLASS report</w:t>
            </w:r>
          </w:p>
        </w:tc>
        <w:tc>
          <w:tcPr>
            <w:tcW w:w="987" w:type="dxa"/>
            <w:hideMark/>
          </w:tcPr>
          <w:p w14:paraId="34F8EF54" w14:textId="77777777"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2020*</w:t>
            </w:r>
          </w:p>
          <w:p w14:paraId="17BB469A" w14:textId="4D0235CB"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GLASS report</w:t>
            </w:r>
          </w:p>
        </w:tc>
        <w:tc>
          <w:tcPr>
            <w:tcW w:w="987" w:type="dxa"/>
            <w:hideMark/>
          </w:tcPr>
          <w:p w14:paraId="40D53646" w14:textId="77777777"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2021*</w:t>
            </w:r>
          </w:p>
          <w:p w14:paraId="06903E0B" w14:textId="4E8FE9F4"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GLASS report</w:t>
            </w:r>
          </w:p>
        </w:tc>
        <w:tc>
          <w:tcPr>
            <w:tcW w:w="987" w:type="dxa"/>
          </w:tcPr>
          <w:p w14:paraId="1617109B" w14:textId="2C207750" w:rsidR="006F7058" w:rsidRPr="00BB4743" w:rsidRDefault="006F7058" w:rsidP="006F7058">
            <w:pPr>
              <w:rPr>
                <w:rFonts w:eastAsia="Times New Roman" w:cs="Calibri"/>
                <w:b/>
                <w:bCs/>
                <w:sz w:val="16"/>
                <w:szCs w:val="16"/>
                <w:lang w:eastAsia="en-GB"/>
              </w:rPr>
            </w:pPr>
            <w:r w:rsidRPr="006F7058">
              <w:rPr>
                <w:rFonts w:eastAsia="Times New Roman" w:cs="Calibri"/>
                <w:b/>
                <w:bCs/>
                <w:color w:val="auto"/>
                <w:sz w:val="16"/>
                <w:szCs w:val="16"/>
                <w:lang w:eastAsia="en-GB"/>
              </w:rPr>
              <w:t>2022 GLASS report</w:t>
            </w:r>
          </w:p>
        </w:tc>
        <w:tc>
          <w:tcPr>
            <w:tcW w:w="987" w:type="dxa"/>
            <w:hideMark/>
          </w:tcPr>
          <w:p w14:paraId="66A8D308" w14:textId="3C409EC0"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Sites BL</w:t>
            </w:r>
          </w:p>
        </w:tc>
        <w:tc>
          <w:tcPr>
            <w:tcW w:w="987" w:type="dxa"/>
            <w:hideMark/>
          </w:tcPr>
          <w:p w14:paraId="75B4CC18" w14:textId="77777777"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Sites LY</w:t>
            </w:r>
          </w:p>
        </w:tc>
        <w:tc>
          <w:tcPr>
            <w:tcW w:w="987" w:type="dxa"/>
            <w:hideMark/>
          </w:tcPr>
          <w:p w14:paraId="3406AE07" w14:textId="752AB490"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Pathogens BL</w:t>
            </w:r>
            <w:r w:rsidR="00242C8B">
              <w:rPr>
                <w:rFonts w:eastAsia="Times New Roman" w:cs="Calibri"/>
                <w:b/>
                <w:bCs/>
                <w:color w:val="auto"/>
                <w:sz w:val="16"/>
                <w:szCs w:val="16"/>
                <w:lang w:eastAsia="en-GB"/>
              </w:rPr>
              <w:t xml:space="preserve"> (2021 report)</w:t>
            </w:r>
          </w:p>
        </w:tc>
        <w:tc>
          <w:tcPr>
            <w:tcW w:w="987" w:type="dxa"/>
            <w:hideMark/>
          </w:tcPr>
          <w:p w14:paraId="7F4F1F60" w14:textId="67E8EABC" w:rsidR="006F7058" w:rsidRPr="00BB4743" w:rsidRDefault="006F7058" w:rsidP="006F7058">
            <w:pPr>
              <w:rPr>
                <w:rFonts w:eastAsia="Times New Roman" w:cs="Calibri"/>
                <w:b/>
                <w:bCs/>
                <w:sz w:val="16"/>
                <w:szCs w:val="16"/>
                <w:lang w:eastAsia="en-GB"/>
              </w:rPr>
            </w:pPr>
            <w:r w:rsidRPr="00BB4743">
              <w:rPr>
                <w:rFonts w:eastAsia="Times New Roman" w:cs="Calibri"/>
                <w:b/>
                <w:bCs/>
                <w:color w:val="auto"/>
                <w:sz w:val="16"/>
                <w:szCs w:val="16"/>
                <w:lang w:eastAsia="en-GB"/>
              </w:rPr>
              <w:t>Pathogens LY</w:t>
            </w:r>
            <w:r w:rsidR="00242C8B">
              <w:rPr>
                <w:rFonts w:eastAsia="Times New Roman" w:cs="Calibri"/>
                <w:b/>
                <w:bCs/>
                <w:color w:val="auto"/>
                <w:sz w:val="16"/>
                <w:szCs w:val="16"/>
                <w:lang w:eastAsia="en-GB"/>
              </w:rPr>
              <w:t xml:space="preserve"> (2021 report)</w:t>
            </w:r>
          </w:p>
        </w:tc>
      </w:tr>
      <w:tr w:rsidR="00264CBC" w:rsidRPr="0014297B" w14:paraId="3DA05ED1" w14:textId="77777777" w:rsidTr="00CD58CA">
        <w:trPr>
          <w:cnfStyle w:val="000000100000" w:firstRow="0" w:lastRow="0" w:firstColumn="0" w:lastColumn="0" w:oddVBand="0" w:evenVBand="0" w:oddHBand="1" w:evenHBand="0" w:firstRowFirstColumn="0" w:firstRowLastColumn="0" w:lastRowFirstColumn="0" w:lastRowLastColumn="0"/>
          <w:trHeight w:val="20"/>
        </w:trPr>
        <w:tc>
          <w:tcPr>
            <w:tcW w:w="987" w:type="dxa"/>
            <w:hideMark/>
          </w:tcPr>
          <w:p w14:paraId="35235FB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Bangladesh</w:t>
            </w:r>
          </w:p>
        </w:tc>
        <w:tc>
          <w:tcPr>
            <w:tcW w:w="987" w:type="dxa"/>
            <w:hideMark/>
          </w:tcPr>
          <w:p w14:paraId="291B6A76"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2016 </w:t>
            </w:r>
          </w:p>
        </w:tc>
        <w:tc>
          <w:tcPr>
            <w:tcW w:w="987" w:type="dxa"/>
            <w:shd w:val="clear" w:color="auto" w:fill="FF0000"/>
            <w:hideMark/>
          </w:tcPr>
          <w:p w14:paraId="1BD0043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No </w:t>
            </w:r>
          </w:p>
        </w:tc>
        <w:tc>
          <w:tcPr>
            <w:tcW w:w="1025" w:type="dxa"/>
            <w:hideMark/>
          </w:tcPr>
          <w:p w14:paraId="163D7EAE"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3FB84E" w:themeFill="accent3"/>
            <w:hideMark/>
          </w:tcPr>
          <w:p w14:paraId="5031998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FF0000"/>
            <w:hideMark/>
          </w:tcPr>
          <w:p w14:paraId="19DA977F"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C000"/>
            <w:hideMark/>
          </w:tcPr>
          <w:p w14:paraId="71F2AE5D"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3FB84E" w:themeFill="accent3"/>
            <w:hideMark/>
          </w:tcPr>
          <w:p w14:paraId="06180DB7"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3FB84E" w:themeFill="accent3"/>
            <w:hideMark/>
          </w:tcPr>
          <w:p w14:paraId="63D2D68F"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00B050"/>
          </w:tcPr>
          <w:p w14:paraId="611B4B37" w14:textId="748E0144"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Y</w:t>
            </w:r>
          </w:p>
        </w:tc>
        <w:tc>
          <w:tcPr>
            <w:tcW w:w="987" w:type="dxa"/>
            <w:hideMark/>
          </w:tcPr>
          <w:p w14:paraId="2A7E04D1" w14:textId="55455D5B"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8</w:t>
            </w:r>
          </w:p>
        </w:tc>
        <w:tc>
          <w:tcPr>
            <w:tcW w:w="987" w:type="dxa"/>
            <w:shd w:val="clear" w:color="auto" w:fill="3FB84E" w:themeFill="accent3"/>
            <w:hideMark/>
          </w:tcPr>
          <w:p w14:paraId="3F8B89BC"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9</w:t>
            </w:r>
          </w:p>
        </w:tc>
        <w:tc>
          <w:tcPr>
            <w:tcW w:w="987" w:type="dxa"/>
            <w:hideMark/>
          </w:tcPr>
          <w:p w14:paraId="672FD9E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7</w:t>
            </w:r>
          </w:p>
        </w:tc>
        <w:tc>
          <w:tcPr>
            <w:tcW w:w="987" w:type="dxa"/>
            <w:shd w:val="clear" w:color="auto" w:fill="E37230" w:themeFill="accent2"/>
            <w:hideMark/>
          </w:tcPr>
          <w:p w14:paraId="31C715E9"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7</w:t>
            </w:r>
          </w:p>
        </w:tc>
      </w:tr>
      <w:tr w:rsidR="00264CBC" w:rsidRPr="0014297B" w14:paraId="2D8DEB1A" w14:textId="77777777" w:rsidTr="006F7058">
        <w:trPr>
          <w:cnfStyle w:val="000000010000" w:firstRow="0" w:lastRow="0" w:firstColumn="0" w:lastColumn="0" w:oddVBand="0" w:evenVBand="0" w:oddHBand="0" w:evenHBand="1" w:firstRowFirstColumn="0" w:firstRowLastColumn="0" w:lastRowFirstColumn="0" w:lastRowLastColumn="0"/>
          <w:trHeight w:val="221"/>
        </w:trPr>
        <w:tc>
          <w:tcPr>
            <w:tcW w:w="987" w:type="dxa"/>
            <w:hideMark/>
          </w:tcPr>
          <w:p w14:paraId="4C62433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Bhutan</w:t>
            </w:r>
          </w:p>
        </w:tc>
        <w:tc>
          <w:tcPr>
            <w:tcW w:w="987" w:type="dxa"/>
            <w:hideMark/>
          </w:tcPr>
          <w:p w14:paraId="70B9F6F6"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2018 </w:t>
            </w:r>
          </w:p>
        </w:tc>
        <w:tc>
          <w:tcPr>
            <w:tcW w:w="987" w:type="dxa"/>
            <w:shd w:val="clear" w:color="auto" w:fill="3FB84E" w:themeFill="accent3"/>
            <w:hideMark/>
          </w:tcPr>
          <w:p w14:paraId="294434F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2019 </w:t>
            </w:r>
          </w:p>
        </w:tc>
        <w:tc>
          <w:tcPr>
            <w:tcW w:w="1025" w:type="dxa"/>
            <w:hideMark/>
          </w:tcPr>
          <w:p w14:paraId="38B12D2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FF0000"/>
            <w:hideMark/>
          </w:tcPr>
          <w:p w14:paraId="001E960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306D4D8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C000"/>
            <w:hideMark/>
          </w:tcPr>
          <w:p w14:paraId="6C42F6A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C000"/>
            <w:hideMark/>
          </w:tcPr>
          <w:p w14:paraId="5FFC392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3FB84E" w:themeFill="accent3"/>
            <w:hideMark/>
          </w:tcPr>
          <w:p w14:paraId="6A29960F"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00B050"/>
          </w:tcPr>
          <w:p w14:paraId="7713A4BE" w14:textId="06D3794E"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Y</w:t>
            </w:r>
          </w:p>
        </w:tc>
        <w:tc>
          <w:tcPr>
            <w:tcW w:w="987" w:type="dxa"/>
            <w:hideMark/>
          </w:tcPr>
          <w:p w14:paraId="586EB82E" w14:textId="590D877D"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0</w:t>
            </w:r>
          </w:p>
        </w:tc>
        <w:tc>
          <w:tcPr>
            <w:tcW w:w="987" w:type="dxa"/>
            <w:shd w:val="clear" w:color="auto" w:fill="3FB84E" w:themeFill="accent3"/>
            <w:hideMark/>
          </w:tcPr>
          <w:p w14:paraId="2A9CAAC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1</w:t>
            </w:r>
          </w:p>
        </w:tc>
        <w:tc>
          <w:tcPr>
            <w:tcW w:w="987" w:type="dxa"/>
            <w:hideMark/>
          </w:tcPr>
          <w:p w14:paraId="57508DF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0</w:t>
            </w:r>
          </w:p>
        </w:tc>
        <w:tc>
          <w:tcPr>
            <w:tcW w:w="987" w:type="dxa"/>
            <w:shd w:val="clear" w:color="auto" w:fill="3FB84E" w:themeFill="accent3"/>
            <w:hideMark/>
          </w:tcPr>
          <w:p w14:paraId="4863890F"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6</w:t>
            </w:r>
          </w:p>
        </w:tc>
      </w:tr>
      <w:tr w:rsidR="00264CBC" w:rsidRPr="0014297B" w14:paraId="75C3DE35" w14:textId="77777777" w:rsidTr="009C7213">
        <w:trPr>
          <w:cnfStyle w:val="000000100000" w:firstRow="0" w:lastRow="0" w:firstColumn="0" w:lastColumn="0" w:oddVBand="0" w:evenVBand="0" w:oddHBand="1" w:evenHBand="0" w:firstRowFirstColumn="0" w:firstRowLastColumn="0" w:lastRowFirstColumn="0" w:lastRowLastColumn="0"/>
          <w:trHeight w:val="20"/>
        </w:trPr>
        <w:tc>
          <w:tcPr>
            <w:tcW w:w="987" w:type="dxa"/>
            <w:hideMark/>
          </w:tcPr>
          <w:p w14:paraId="3881187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Ghana</w:t>
            </w:r>
          </w:p>
        </w:tc>
        <w:tc>
          <w:tcPr>
            <w:tcW w:w="987" w:type="dxa"/>
            <w:shd w:val="clear" w:color="auto" w:fill="3FB84E" w:themeFill="accent3"/>
            <w:hideMark/>
          </w:tcPr>
          <w:p w14:paraId="4B937247"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2021</w:t>
            </w:r>
          </w:p>
        </w:tc>
        <w:tc>
          <w:tcPr>
            <w:tcW w:w="987" w:type="dxa"/>
            <w:shd w:val="clear" w:color="auto" w:fill="FF0000"/>
            <w:hideMark/>
          </w:tcPr>
          <w:p w14:paraId="7293F5B7"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hideMark/>
          </w:tcPr>
          <w:p w14:paraId="31466B36"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FF0000"/>
            <w:hideMark/>
          </w:tcPr>
          <w:p w14:paraId="758BC8A9"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0E9DF7A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5D319542"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5237E08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44ADE6A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00B050"/>
          </w:tcPr>
          <w:p w14:paraId="4F133105" w14:textId="79E15284"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Y</w:t>
            </w:r>
          </w:p>
        </w:tc>
        <w:tc>
          <w:tcPr>
            <w:tcW w:w="987" w:type="dxa"/>
            <w:hideMark/>
          </w:tcPr>
          <w:p w14:paraId="5E754F75" w14:textId="5969E8C2"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0</w:t>
            </w:r>
          </w:p>
        </w:tc>
        <w:tc>
          <w:tcPr>
            <w:tcW w:w="987" w:type="dxa"/>
            <w:shd w:val="clear" w:color="auto" w:fill="3FB84E" w:themeFill="accent3"/>
            <w:hideMark/>
          </w:tcPr>
          <w:p w14:paraId="5576125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5</w:t>
            </w:r>
          </w:p>
        </w:tc>
        <w:tc>
          <w:tcPr>
            <w:tcW w:w="987" w:type="dxa"/>
            <w:hideMark/>
          </w:tcPr>
          <w:p w14:paraId="2DAAA7D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0</w:t>
            </w:r>
          </w:p>
        </w:tc>
        <w:tc>
          <w:tcPr>
            <w:tcW w:w="987" w:type="dxa"/>
            <w:shd w:val="clear" w:color="auto" w:fill="FFC000"/>
            <w:hideMark/>
          </w:tcPr>
          <w:p w14:paraId="06F4BB58" w14:textId="216FC696" w:rsidR="006F7058" w:rsidRPr="00BB4743" w:rsidRDefault="00242C8B" w:rsidP="006F7058">
            <w:pPr>
              <w:rPr>
                <w:rFonts w:eastAsia="Times New Roman" w:cs="Calibri"/>
                <w:sz w:val="16"/>
                <w:szCs w:val="16"/>
                <w:lang w:eastAsia="en-GB"/>
              </w:rPr>
            </w:pPr>
            <w:r>
              <w:rPr>
                <w:rFonts w:eastAsia="Times New Roman" w:cs="Calibri"/>
                <w:sz w:val="16"/>
                <w:szCs w:val="16"/>
                <w:lang w:eastAsia="en-GB"/>
              </w:rPr>
              <w:t>-</w:t>
            </w:r>
          </w:p>
        </w:tc>
      </w:tr>
      <w:tr w:rsidR="00264CBC" w:rsidRPr="0014297B" w14:paraId="6876AC74" w14:textId="77777777" w:rsidTr="006F7058">
        <w:trPr>
          <w:cnfStyle w:val="000000010000" w:firstRow="0" w:lastRow="0" w:firstColumn="0" w:lastColumn="0" w:oddVBand="0" w:evenVBand="0" w:oddHBand="0" w:evenHBand="1" w:firstRowFirstColumn="0" w:firstRowLastColumn="0" w:lastRowFirstColumn="0" w:lastRowLastColumn="0"/>
          <w:trHeight w:val="20"/>
        </w:trPr>
        <w:tc>
          <w:tcPr>
            <w:tcW w:w="987" w:type="dxa"/>
            <w:hideMark/>
          </w:tcPr>
          <w:p w14:paraId="76307CC7"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Indonesia</w:t>
            </w:r>
          </w:p>
        </w:tc>
        <w:tc>
          <w:tcPr>
            <w:tcW w:w="987" w:type="dxa"/>
            <w:shd w:val="clear" w:color="auto" w:fill="3FB84E" w:themeFill="accent3"/>
            <w:hideMark/>
          </w:tcPr>
          <w:p w14:paraId="3D2FE34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2019 </w:t>
            </w:r>
          </w:p>
        </w:tc>
        <w:tc>
          <w:tcPr>
            <w:tcW w:w="987" w:type="dxa"/>
            <w:shd w:val="clear" w:color="auto" w:fill="3FB84E" w:themeFill="accent3"/>
            <w:hideMark/>
          </w:tcPr>
          <w:p w14:paraId="712F779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2020 </w:t>
            </w:r>
          </w:p>
        </w:tc>
        <w:tc>
          <w:tcPr>
            <w:tcW w:w="1025" w:type="dxa"/>
            <w:hideMark/>
          </w:tcPr>
          <w:p w14:paraId="450C5A76"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FF0000"/>
            <w:hideMark/>
          </w:tcPr>
          <w:p w14:paraId="05F7431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79D5F4F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202299BE"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3FB84E" w:themeFill="accent3"/>
            <w:hideMark/>
          </w:tcPr>
          <w:p w14:paraId="6A70DFE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3FB84E" w:themeFill="accent3"/>
            <w:hideMark/>
          </w:tcPr>
          <w:p w14:paraId="074B28A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00B050"/>
          </w:tcPr>
          <w:p w14:paraId="10099798" w14:textId="54278019"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Y</w:t>
            </w:r>
          </w:p>
        </w:tc>
        <w:tc>
          <w:tcPr>
            <w:tcW w:w="987" w:type="dxa"/>
            <w:hideMark/>
          </w:tcPr>
          <w:p w14:paraId="6963E9FB" w14:textId="3C11C043"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9</w:t>
            </w:r>
          </w:p>
        </w:tc>
        <w:tc>
          <w:tcPr>
            <w:tcW w:w="987" w:type="dxa"/>
            <w:shd w:val="clear" w:color="auto" w:fill="3FB84E" w:themeFill="accent3"/>
            <w:hideMark/>
          </w:tcPr>
          <w:p w14:paraId="3914356D"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16</w:t>
            </w:r>
          </w:p>
        </w:tc>
        <w:tc>
          <w:tcPr>
            <w:tcW w:w="987" w:type="dxa"/>
            <w:hideMark/>
          </w:tcPr>
          <w:p w14:paraId="57525802"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6</w:t>
            </w:r>
          </w:p>
        </w:tc>
        <w:tc>
          <w:tcPr>
            <w:tcW w:w="987" w:type="dxa"/>
            <w:shd w:val="clear" w:color="auto" w:fill="3FB84E" w:themeFill="accent3"/>
            <w:hideMark/>
          </w:tcPr>
          <w:p w14:paraId="0D073486"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7</w:t>
            </w:r>
          </w:p>
        </w:tc>
      </w:tr>
      <w:tr w:rsidR="00264CBC" w:rsidRPr="0014297B" w14:paraId="35A33917" w14:textId="77777777" w:rsidTr="006F7058">
        <w:trPr>
          <w:cnfStyle w:val="000000100000" w:firstRow="0" w:lastRow="0" w:firstColumn="0" w:lastColumn="0" w:oddVBand="0" w:evenVBand="0" w:oddHBand="1" w:evenHBand="0" w:firstRowFirstColumn="0" w:firstRowLastColumn="0" w:lastRowFirstColumn="0" w:lastRowLastColumn="0"/>
          <w:trHeight w:val="20"/>
        </w:trPr>
        <w:tc>
          <w:tcPr>
            <w:tcW w:w="987" w:type="dxa"/>
            <w:hideMark/>
          </w:tcPr>
          <w:p w14:paraId="2BC2CBB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Kenya</w:t>
            </w:r>
          </w:p>
        </w:tc>
        <w:tc>
          <w:tcPr>
            <w:tcW w:w="987" w:type="dxa"/>
            <w:hideMark/>
          </w:tcPr>
          <w:p w14:paraId="6B0CE7D7"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2016</w:t>
            </w:r>
          </w:p>
        </w:tc>
        <w:tc>
          <w:tcPr>
            <w:tcW w:w="987" w:type="dxa"/>
            <w:shd w:val="clear" w:color="auto" w:fill="3FB84E" w:themeFill="accent3"/>
            <w:hideMark/>
          </w:tcPr>
          <w:p w14:paraId="6927193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2021</w:t>
            </w:r>
          </w:p>
        </w:tc>
        <w:tc>
          <w:tcPr>
            <w:tcW w:w="1025" w:type="dxa"/>
            <w:hideMark/>
          </w:tcPr>
          <w:p w14:paraId="1BFE50D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3FB84E" w:themeFill="accent3"/>
            <w:hideMark/>
          </w:tcPr>
          <w:p w14:paraId="066FC1A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FFC000"/>
            <w:hideMark/>
          </w:tcPr>
          <w:p w14:paraId="086558C6"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C000"/>
            <w:hideMark/>
          </w:tcPr>
          <w:p w14:paraId="330B586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C000"/>
            <w:hideMark/>
          </w:tcPr>
          <w:p w14:paraId="554A60C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C000"/>
            <w:hideMark/>
          </w:tcPr>
          <w:p w14:paraId="216F561C"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00B050"/>
          </w:tcPr>
          <w:p w14:paraId="2C748443" w14:textId="0A6A1986"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Y</w:t>
            </w:r>
          </w:p>
        </w:tc>
        <w:tc>
          <w:tcPr>
            <w:tcW w:w="987" w:type="dxa"/>
            <w:hideMark/>
          </w:tcPr>
          <w:p w14:paraId="47474344" w14:textId="7E76BE6E"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0</w:t>
            </w:r>
          </w:p>
        </w:tc>
        <w:tc>
          <w:tcPr>
            <w:tcW w:w="987" w:type="dxa"/>
            <w:shd w:val="clear" w:color="auto" w:fill="3FB84E" w:themeFill="accent3"/>
            <w:hideMark/>
          </w:tcPr>
          <w:p w14:paraId="13EC7267"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7</w:t>
            </w:r>
          </w:p>
        </w:tc>
        <w:tc>
          <w:tcPr>
            <w:tcW w:w="987" w:type="dxa"/>
            <w:hideMark/>
          </w:tcPr>
          <w:p w14:paraId="70EDA61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0</w:t>
            </w:r>
          </w:p>
        </w:tc>
        <w:tc>
          <w:tcPr>
            <w:tcW w:w="987" w:type="dxa"/>
            <w:shd w:val="clear" w:color="auto" w:fill="3FB84E" w:themeFill="accent3"/>
            <w:hideMark/>
          </w:tcPr>
          <w:p w14:paraId="6808D36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8</w:t>
            </w:r>
          </w:p>
        </w:tc>
      </w:tr>
      <w:tr w:rsidR="00264CBC" w:rsidRPr="0014297B" w14:paraId="2287564D" w14:textId="77777777" w:rsidTr="006F7058">
        <w:trPr>
          <w:cnfStyle w:val="000000010000" w:firstRow="0" w:lastRow="0" w:firstColumn="0" w:lastColumn="0" w:oddVBand="0" w:evenVBand="0" w:oddHBand="0" w:evenHBand="1" w:firstRowFirstColumn="0" w:firstRowLastColumn="0" w:lastRowFirstColumn="0" w:lastRowLastColumn="0"/>
          <w:trHeight w:val="20"/>
        </w:trPr>
        <w:tc>
          <w:tcPr>
            <w:tcW w:w="987" w:type="dxa"/>
            <w:hideMark/>
          </w:tcPr>
          <w:p w14:paraId="51D1E7F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Laos</w:t>
            </w:r>
          </w:p>
        </w:tc>
        <w:tc>
          <w:tcPr>
            <w:tcW w:w="987" w:type="dxa"/>
            <w:hideMark/>
          </w:tcPr>
          <w:p w14:paraId="7CBBF86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2018</w:t>
            </w:r>
          </w:p>
        </w:tc>
        <w:tc>
          <w:tcPr>
            <w:tcW w:w="987" w:type="dxa"/>
            <w:shd w:val="clear" w:color="auto" w:fill="FF0000"/>
            <w:hideMark/>
          </w:tcPr>
          <w:p w14:paraId="523601F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hideMark/>
          </w:tcPr>
          <w:p w14:paraId="7CF6BD3E"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3FB84E" w:themeFill="accent3"/>
            <w:hideMark/>
          </w:tcPr>
          <w:p w14:paraId="20C6E32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FF0000"/>
            <w:hideMark/>
          </w:tcPr>
          <w:p w14:paraId="0905B4F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3AFC91D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0672E53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00CFD369"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00B050"/>
          </w:tcPr>
          <w:p w14:paraId="52F55785" w14:textId="2361E660"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Y</w:t>
            </w:r>
          </w:p>
        </w:tc>
        <w:tc>
          <w:tcPr>
            <w:tcW w:w="987" w:type="dxa"/>
            <w:hideMark/>
          </w:tcPr>
          <w:p w14:paraId="3FEE1C9D" w14:textId="4561C5FD"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1</w:t>
            </w:r>
          </w:p>
        </w:tc>
        <w:tc>
          <w:tcPr>
            <w:tcW w:w="987" w:type="dxa"/>
            <w:shd w:val="clear" w:color="auto" w:fill="3FB84E" w:themeFill="accent3"/>
            <w:hideMark/>
          </w:tcPr>
          <w:p w14:paraId="2CCC9917"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3</w:t>
            </w:r>
          </w:p>
        </w:tc>
        <w:tc>
          <w:tcPr>
            <w:tcW w:w="987" w:type="dxa"/>
            <w:hideMark/>
          </w:tcPr>
          <w:p w14:paraId="4019D56E"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8</w:t>
            </w:r>
          </w:p>
        </w:tc>
        <w:tc>
          <w:tcPr>
            <w:tcW w:w="987" w:type="dxa"/>
            <w:shd w:val="clear" w:color="auto" w:fill="3FB84E" w:themeFill="accent3"/>
            <w:hideMark/>
          </w:tcPr>
          <w:p w14:paraId="3A1DC124"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8</w:t>
            </w:r>
          </w:p>
        </w:tc>
      </w:tr>
      <w:tr w:rsidR="00264CBC" w:rsidRPr="0014297B" w14:paraId="7C340BF2" w14:textId="77777777" w:rsidTr="006F7058">
        <w:trPr>
          <w:cnfStyle w:val="000000100000" w:firstRow="0" w:lastRow="0" w:firstColumn="0" w:lastColumn="0" w:oddVBand="0" w:evenVBand="0" w:oddHBand="1" w:evenHBand="0" w:firstRowFirstColumn="0" w:firstRowLastColumn="0" w:lastRowFirstColumn="0" w:lastRowLastColumn="0"/>
          <w:trHeight w:val="20"/>
        </w:trPr>
        <w:tc>
          <w:tcPr>
            <w:tcW w:w="987" w:type="dxa"/>
            <w:hideMark/>
          </w:tcPr>
          <w:p w14:paraId="3D0681BE"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Nepal</w:t>
            </w:r>
          </w:p>
        </w:tc>
        <w:tc>
          <w:tcPr>
            <w:tcW w:w="987" w:type="dxa"/>
            <w:hideMark/>
          </w:tcPr>
          <w:p w14:paraId="3DAC3196"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2018</w:t>
            </w:r>
          </w:p>
        </w:tc>
        <w:tc>
          <w:tcPr>
            <w:tcW w:w="987" w:type="dxa"/>
            <w:shd w:val="clear" w:color="auto" w:fill="3FB84E" w:themeFill="accent3"/>
            <w:hideMark/>
          </w:tcPr>
          <w:p w14:paraId="11F71FFC"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2019</w:t>
            </w:r>
          </w:p>
        </w:tc>
        <w:tc>
          <w:tcPr>
            <w:tcW w:w="1025" w:type="dxa"/>
            <w:hideMark/>
          </w:tcPr>
          <w:p w14:paraId="5092CDE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3FB84E" w:themeFill="accent3"/>
            <w:hideMark/>
          </w:tcPr>
          <w:p w14:paraId="2AF1079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FF0000"/>
            <w:hideMark/>
          </w:tcPr>
          <w:p w14:paraId="7BBCA69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3FB84E" w:themeFill="accent3"/>
            <w:hideMark/>
          </w:tcPr>
          <w:p w14:paraId="0F509374"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3FB84E" w:themeFill="accent3"/>
            <w:hideMark/>
          </w:tcPr>
          <w:p w14:paraId="2135887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3FB84E" w:themeFill="accent3"/>
            <w:hideMark/>
          </w:tcPr>
          <w:p w14:paraId="1DC0B6A4"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00B050"/>
          </w:tcPr>
          <w:p w14:paraId="7CF6E019" w14:textId="7DCFA94B"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Y</w:t>
            </w:r>
          </w:p>
        </w:tc>
        <w:tc>
          <w:tcPr>
            <w:tcW w:w="987" w:type="dxa"/>
            <w:hideMark/>
          </w:tcPr>
          <w:p w14:paraId="052B65A8" w14:textId="73757ADA"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15</w:t>
            </w:r>
          </w:p>
        </w:tc>
        <w:tc>
          <w:tcPr>
            <w:tcW w:w="987" w:type="dxa"/>
            <w:shd w:val="clear" w:color="auto" w:fill="3FB84E" w:themeFill="accent3"/>
            <w:hideMark/>
          </w:tcPr>
          <w:p w14:paraId="6CE79AB9"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17</w:t>
            </w:r>
          </w:p>
        </w:tc>
        <w:tc>
          <w:tcPr>
            <w:tcW w:w="987" w:type="dxa"/>
            <w:hideMark/>
          </w:tcPr>
          <w:p w14:paraId="0C2789FF"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7</w:t>
            </w:r>
          </w:p>
        </w:tc>
        <w:tc>
          <w:tcPr>
            <w:tcW w:w="987" w:type="dxa"/>
            <w:shd w:val="clear" w:color="auto" w:fill="3FB84E" w:themeFill="accent3"/>
            <w:hideMark/>
          </w:tcPr>
          <w:p w14:paraId="63E5A692"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8</w:t>
            </w:r>
          </w:p>
        </w:tc>
      </w:tr>
      <w:tr w:rsidR="00264CBC" w:rsidRPr="0014297B" w14:paraId="077FD3C4" w14:textId="77777777" w:rsidTr="006F7058">
        <w:trPr>
          <w:cnfStyle w:val="000000010000" w:firstRow="0" w:lastRow="0" w:firstColumn="0" w:lastColumn="0" w:oddVBand="0" w:evenVBand="0" w:oddHBand="0" w:evenHBand="1" w:firstRowFirstColumn="0" w:firstRowLastColumn="0" w:lastRowFirstColumn="0" w:lastRowLastColumn="0"/>
          <w:trHeight w:val="20"/>
        </w:trPr>
        <w:tc>
          <w:tcPr>
            <w:tcW w:w="987" w:type="dxa"/>
            <w:hideMark/>
          </w:tcPr>
          <w:p w14:paraId="73BB4C1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Nigeria</w:t>
            </w:r>
          </w:p>
        </w:tc>
        <w:tc>
          <w:tcPr>
            <w:tcW w:w="987" w:type="dxa"/>
            <w:hideMark/>
          </w:tcPr>
          <w:p w14:paraId="7363982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2017 </w:t>
            </w:r>
          </w:p>
        </w:tc>
        <w:tc>
          <w:tcPr>
            <w:tcW w:w="987" w:type="dxa"/>
            <w:shd w:val="clear" w:color="auto" w:fill="FF0000"/>
            <w:hideMark/>
          </w:tcPr>
          <w:p w14:paraId="4ECFE84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No </w:t>
            </w:r>
          </w:p>
        </w:tc>
        <w:tc>
          <w:tcPr>
            <w:tcW w:w="1025" w:type="dxa"/>
            <w:hideMark/>
          </w:tcPr>
          <w:p w14:paraId="190DDD5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3FB84E" w:themeFill="accent3"/>
            <w:hideMark/>
          </w:tcPr>
          <w:p w14:paraId="43F1BA6F"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FFC000"/>
            <w:hideMark/>
          </w:tcPr>
          <w:p w14:paraId="2B8A0E04"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 xml:space="preserve">N </w:t>
            </w:r>
          </w:p>
        </w:tc>
        <w:tc>
          <w:tcPr>
            <w:tcW w:w="987" w:type="dxa"/>
            <w:shd w:val="clear" w:color="auto" w:fill="3FB84E" w:themeFill="accent3"/>
            <w:hideMark/>
          </w:tcPr>
          <w:p w14:paraId="6A48733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3FB84E" w:themeFill="accent3"/>
            <w:hideMark/>
          </w:tcPr>
          <w:p w14:paraId="7877DA1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FF0000"/>
            <w:hideMark/>
          </w:tcPr>
          <w:p w14:paraId="28F5B204"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00B050"/>
          </w:tcPr>
          <w:p w14:paraId="444AB1BC" w14:textId="229E99D5"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Y</w:t>
            </w:r>
          </w:p>
        </w:tc>
        <w:tc>
          <w:tcPr>
            <w:tcW w:w="987" w:type="dxa"/>
            <w:hideMark/>
          </w:tcPr>
          <w:p w14:paraId="74BB1665" w14:textId="567E3F2E"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5</w:t>
            </w:r>
          </w:p>
        </w:tc>
        <w:tc>
          <w:tcPr>
            <w:tcW w:w="987" w:type="dxa"/>
            <w:shd w:val="clear" w:color="auto" w:fill="3FB84E" w:themeFill="accent3"/>
            <w:hideMark/>
          </w:tcPr>
          <w:p w14:paraId="485723D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6</w:t>
            </w:r>
          </w:p>
        </w:tc>
        <w:tc>
          <w:tcPr>
            <w:tcW w:w="987" w:type="dxa"/>
            <w:hideMark/>
          </w:tcPr>
          <w:p w14:paraId="5205DDF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8</w:t>
            </w:r>
          </w:p>
        </w:tc>
        <w:tc>
          <w:tcPr>
            <w:tcW w:w="987" w:type="dxa"/>
            <w:shd w:val="clear" w:color="auto" w:fill="FF0000"/>
            <w:hideMark/>
          </w:tcPr>
          <w:p w14:paraId="46215327"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6</w:t>
            </w:r>
          </w:p>
        </w:tc>
      </w:tr>
      <w:tr w:rsidR="00264CBC" w:rsidRPr="0014297B" w14:paraId="2AE62C84" w14:textId="77777777" w:rsidTr="006F7058">
        <w:trPr>
          <w:cnfStyle w:val="000000100000" w:firstRow="0" w:lastRow="0" w:firstColumn="0" w:lastColumn="0" w:oddVBand="0" w:evenVBand="0" w:oddHBand="1" w:evenHBand="0" w:firstRowFirstColumn="0" w:firstRowLastColumn="0" w:lastRowFirstColumn="0" w:lastRowLastColumn="0"/>
          <w:trHeight w:val="20"/>
        </w:trPr>
        <w:tc>
          <w:tcPr>
            <w:tcW w:w="987" w:type="dxa"/>
            <w:hideMark/>
          </w:tcPr>
          <w:p w14:paraId="4DEBBC73"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Pakistan</w:t>
            </w:r>
          </w:p>
        </w:tc>
        <w:tc>
          <w:tcPr>
            <w:tcW w:w="987" w:type="dxa"/>
            <w:hideMark/>
          </w:tcPr>
          <w:p w14:paraId="67A9751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2018</w:t>
            </w:r>
          </w:p>
        </w:tc>
        <w:tc>
          <w:tcPr>
            <w:tcW w:w="987" w:type="dxa"/>
            <w:shd w:val="clear" w:color="auto" w:fill="FF0000"/>
            <w:hideMark/>
          </w:tcPr>
          <w:p w14:paraId="6AFE1A7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hideMark/>
          </w:tcPr>
          <w:p w14:paraId="3149638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3FB84E" w:themeFill="accent3"/>
            <w:hideMark/>
          </w:tcPr>
          <w:p w14:paraId="677B087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FFC000"/>
            <w:hideMark/>
          </w:tcPr>
          <w:p w14:paraId="76012E7F"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3FB84E" w:themeFill="accent3"/>
            <w:hideMark/>
          </w:tcPr>
          <w:p w14:paraId="2661B9D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3FB84E" w:themeFill="accent3"/>
            <w:hideMark/>
          </w:tcPr>
          <w:p w14:paraId="0E23691D"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3FB84E" w:themeFill="accent3"/>
            <w:hideMark/>
          </w:tcPr>
          <w:p w14:paraId="7F84489C"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00B050"/>
          </w:tcPr>
          <w:p w14:paraId="3017B0FB" w14:textId="39805653"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Y</w:t>
            </w:r>
          </w:p>
        </w:tc>
        <w:tc>
          <w:tcPr>
            <w:tcW w:w="987" w:type="dxa"/>
            <w:hideMark/>
          </w:tcPr>
          <w:p w14:paraId="10E28907" w14:textId="05733728"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6</w:t>
            </w:r>
          </w:p>
        </w:tc>
        <w:tc>
          <w:tcPr>
            <w:tcW w:w="987" w:type="dxa"/>
            <w:shd w:val="clear" w:color="auto" w:fill="3FB84E" w:themeFill="accent3"/>
            <w:hideMark/>
          </w:tcPr>
          <w:p w14:paraId="5DAF8ADD"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22</w:t>
            </w:r>
          </w:p>
        </w:tc>
        <w:tc>
          <w:tcPr>
            <w:tcW w:w="987" w:type="dxa"/>
            <w:hideMark/>
          </w:tcPr>
          <w:p w14:paraId="326F1867"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8</w:t>
            </w:r>
          </w:p>
        </w:tc>
        <w:tc>
          <w:tcPr>
            <w:tcW w:w="987" w:type="dxa"/>
            <w:shd w:val="clear" w:color="auto" w:fill="3FB84E" w:themeFill="accent3"/>
            <w:hideMark/>
          </w:tcPr>
          <w:p w14:paraId="6B07F24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8</w:t>
            </w:r>
          </w:p>
        </w:tc>
      </w:tr>
      <w:tr w:rsidR="00264CBC" w:rsidRPr="0014297B" w14:paraId="403F533C" w14:textId="77777777" w:rsidTr="009C7213">
        <w:trPr>
          <w:cnfStyle w:val="000000010000" w:firstRow="0" w:lastRow="0" w:firstColumn="0" w:lastColumn="0" w:oddVBand="0" w:evenVBand="0" w:oddHBand="0" w:evenHBand="1" w:firstRowFirstColumn="0" w:firstRowLastColumn="0" w:lastRowFirstColumn="0" w:lastRowLastColumn="0"/>
          <w:trHeight w:val="20"/>
        </w:trPr>
        <w:tc>
          <w:tcPr>
            <w:tcW w:w="987" w:type="dxa"/>
            <w:hideMark/>
          </w:tcPr>
          <w:p w14:paraId="5B4689B6"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Senegal</w:t>
            </w:r>
          </w:p>
        </w:tc>
        <w:tc>
          <w:tcPr>
            <w:tcW w:w="987" w:type="dxa"/>
            <w:hideMark/>
          </w:tcPr>
          <w:p w14:paraId="3C1DE914"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No </w:t>
            </w:r>
          </w:p>
        </w:tc>
        <w:tc>
          <w:tcPr>
            <w:tcW w:w="987" w:type="dxa"/>
            <w:shd w:val="clear" w:color="auto" w:fill="FF0000"/>
            <w:hideMark/>
          </w:tcPr>
          <w:p w14:paraId="6283759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No </w:t>
            </w:r>
          </w:p>
        </w:tc>
        <w:tc>
          <w:tcPr>
            <w:tcW w:w="1025" w:type="dxa"/>
            <w:hideMark/>
          </w:tcPr>
          <w:p w14:paraId="6841F239"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3FB84E" w:themeFill="accent3"/>
            <w:hideMark/>
          </w:tcPr>
          <w:p w14:paraId="44F6578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FF0000"/>
            <w:hideMark/>
          </w:tcPr>
          <w:p w14:paraId="39891303"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5AAB37AD"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7583BCA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59E9B746"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tcPr>
          <w:p w14:paraId="1AD0F1E4" w14:textId="0B7C6EBE"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N</w:t>
            </w:r>
          </w:p>
        </w:tc>
        <w:tc>
          <w:tcPr>
            <w:tcW w:w="987" w:type="dxa"/>
            <w:hideMark/>
          </w:tcPr>
          <w:p w14:paraId="7628D975" w14:textId="253FC763"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c>
          <w:tcPr>
            <w:tcW w:w="987" w:type="dxa"/>
            <w:hideMark/>
          </w:tcPr>
          <w:p w14:paraId="182B6653"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c>
          <w:tcPr>
            <w:tcW w:w="987" w:type="dxa"/>
            <w:hideMark/>
          </w:tcPr>
          <w:p w14:paraId="54014BB4"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c>
          <w:tcPr>
            <w:tcW w:w="987" w:type="dxa"/>
            <w:shd w:val="clear" w:color="auto" w:fill="FFC000"/>
            <w:hideMark/>
          </w:tcPr>
          <w:p w14:paraId="50C21227"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r>
      <w:tr w:rsidR="00264CBC" w:rsidRPr="0014297B" w14:paraId="43FBCECA" w14:textId="77777777" w:rsidTr="009C7213">
        <w:trPr>
          <w:cnfStyle w:val="000000100000" w:firstRow="0" w:lastRow="0" w:firstColumn="0" w:lastColumn="0" w:oddVBand="0" w:evenVBand="0" w:oddHBand="1" w:evenHBand="0" w:firstRowFirstColumn="0" w:firstRowLastColumn="0" w:lastRowFirstColumn="0" w:lastRowLastColumn="0"/>
          <w:trHeight w:val="20"/>
        </w:trPr>
        <w:tc>
          <w:tcPr>
            <w:tcW w:w="987" w:type="dxa"/>
            <w:hideMark/>
          </w:tcPr>
          <w:p w14:paraId="5869024E"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Sierra Leone</w:t>
            </w:r>
          </w:p>
        </w:tc>
        <w:tc>
          <w:tcPr>
            <w:tcW w:w="987" w:type="dxa"/>
            <w:shd w:val="clear" w:color="auto" w:fill="3FB84E" w:themeFill="accent3"/>
            <w:hideMark/>
          </w:tcPr>
          <w:p w14:paraId="4F8A5E8D"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2020 </w:t>
            </w:r>
          </w:p>
        </w:tc>
        <w:tc>
          <w:tcPr>
            <w:tcW w:w="987" w:type="dxa"/>
            <w:shd w:val="clear" w:color="auto" w:fill="FF0000"/>
            <w:hideMark/>
          </w:tcPr>
          <w:p w14:paraId="0A5A168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No </w:t>
            </w:r>
          </w:p>
        </w:tc>
        <w:tc>
          <w:tcPr>
            <w:tcW w:w="1025" w:type="dxa"/>
            <w:hideMark/>
          </w:tcPr>
          <w:p w14:paraId="3D1DE6B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3FB84E" w:themeFill="accent3"/>
            <w:hideMark/>
          </w:tcPr>
          <w:p w14:paraId="3F28FFD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FF0000"/>
            <w:hideMark/>
          </w:tcPr>
          <w:p w14:paraId="22EC3453"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5AA01DB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4BA17702"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0C5F6D0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tcPr>
          <w:p w14:paraId="15D5D5F8" w14:textId="3FB13887"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N</w:t>
            </w:r>
          </w:p>
        </w:tc>
        <w:tc>
          <w:tcPr>
            <w:tcW w:w="987" w:type="dxa"/>
            <w:hideMark/>
          </w:tcPr>
          <w:p w14:paraId="43E69590" w14:textId="7783C97E"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c>
          <w:tcPr>
            <w:tcW w:w="987" w:type="dxa"/>
            <w:hideMark/>
          </w:tcPr>
          <w:p w14:paraId="00047DFF"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c>
          <w:tcPr>
            <w:tcW w:w="987" w:type="dxa"/>
            <w:hideMark/>
          </w:tcPr>
          <w:p w14:paraId="47625A7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c>
          <w:tcPr>
            <w:tcW w:w="987" w:type="dxa"/>
            <w:shd w:val="clear" w:color="auto" w:fill="FFC000"/>
            <w:hideMark/>
          </w:tcPr>
          <w:p w14:paraId="23350489"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r>
      <w:tr w:rsidR="00264CBC" w:rsidRPr="0014297B" w14:paraId="06F9004F" w14:textId="77777777" w:rsidTr="006F7058">
        <w:trPr>
          <w:cnfStyle w:val="000000010000" w:firstRow="0" w:lastRow="0" w:firstColumn="0" w:lastColumn="0" w:oddVBand="0" w:evenVBand="0" w:oddHBand="0" w:evenHBand="1" w:firstRowFirstColumn="0" w:firstRowLastColumn="0" w:lastRowFirstColumn="0" w:lastRowLastColumn="0"/>
          <w:trHeight w:val="20"/>
        </w:trPr>
        <w:tc>
          <w:tcPr>
            <w:tcW w:w="987" w:type="dxa"/>
            <w:hideMark/>
          </w:tcPr>
          <w:p w14:paraId="2E38FF1D"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Tanzania</w:t>
            </w:r>
          </w:p>
        </w:tc>
        <w:tc>
          <w:tcPr>
            <w:tcW w:w="987" w:type="dxa"/>
            <w:shd w:val="clear" w:color="auto" w:fill="3FB84E" w:themeFill="accent3"/>
            <w:hideMark/>
          </w:tcPr>
          <w:p w14:paraId="5B9FCC4E"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2019</w:t>
            </w:r>
          </w:p>
        </w:tc>
        <w:tc>
          <w:tcPr>
            <w:tcW w:w="987" w:type="dxa"/>
            <w:shd w:val="clear" w:color="auto" w:fill="3FB84E" w:themeFill="accent3"/>
            <w:hideMark/>
          </w:tcPr>
          <w:p w14:paraId="1C6DC533"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2021</w:t>
            </w:r>
          </w:p>
        </w:tc>
        <w:tc>
          <w:tcPr>
            <w:tcW w:w="1025" w:type="dxa"/>
            <w:hideMark/>
          </w:tcPr>
          <w:p w14:paraId="3A32E87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3FB84E" w:themeFill="accent3"/>
            <w:hideMark/>
          </w:tcPr>
          <w:p w14:paraId="4E0D7DF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FF0000"/>
            <w:hideMark/>
          </w:tcPr>
          <w:p w14:paraId="76A5566C"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3FF15F33"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C000"/>
            <w:hideMark/>
          </w:tcPr>
          <w:p w14:paraId="29DE0C02"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C000"/>
            <w:hideMark/>
          </w:tcPr>
          <w:p w14:paraId="467F727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00B050"/>
          </w:tcPr>
          <w:p w14:paraId="6F857E09" w14:textId="0CD27427"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Y</w:t>
            </w:r>
          </w:p>
        </w:tc>
        <w:tc>
          <w:tcPr>
            <w:tcW w:w="987" w:type="dxa"/>
            <w:hideMark/>
          </w:tcPr>
          <w:p w14:paraId="2256C228" w14:textId="0B30F075"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0</w:t>
            </w:r>
          </w:p>
        </w:tc>
        <w:tc>
          <w:tcPr>
            <w:tcW w:w="987" w:type="dxa"/>
            <w:shd w:val="clear" w:color="auto" w:fill="3FB84E" w:themeFill="accent3"/>
            <w:hideMark/>
          </w:tcPr>
          <w:p w14:paraId="75632F3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10</w:t>
            </w:r>
          </w:p>
        </w:tc>
        <w:tc>
          <w:tcPr>
            <w:tcW w:w="987" w:type="dxa"/>
            <w:hideMark/>
          </w:tcPr>
          <w:p w14:paraId="7917B4D6"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0</w:t>
            </w:r>
          </w:p>
        </w:tc>
        <w:tc>
          <w:tcPr>
            <w:tcW w:w="987" w:type="dxa"/>
            <w:shd w:val="clear" w:color="auto" w:fill="3FB84E" w:themeFill="accent3"/>
            <w:hideMark/>
          </w:tcPr>
          <w:p w14:paraId="1D815DD2"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8</w:t>
            </w:r>
          </w:p>
        </w:tc>
      </w:tr>
      <w:tr w:rsidR="00264CBC" w:rsidRPr="0014297B" w14:paraId="7D113FB7" w14:textId="77777777" w:rsidTr="006F7058">
        <w:trPr>
          <w:cnfStyle w:val="000000100000" w:firstRow="0" w:lastRow="0" w:firstColumn="0" w:lastColumn="0" w:oddVBand="0" w:evenVBand="0" w:oddHBand="1" w:evenHBand="0" w:firstRowFirstColumn="0" w:firstRowLastColumn="0" w:lastRowFirstColumn="0" w:lastRowLastColumn="0"/>
          <w:trHeight w:val="20"/>
        </w:trPr>
        <w:tc>
          <w:tcPr>
            <w:tcW w:w="987" w:type="dxa"/>
            <w:hideMark/>
          </w:tcPr>
          <w:p w14:paraId="198D80F6" w14:textId="31A20435" w:rsidR="006F7058" w:rsidRPr="00BB4743" w:rsidRDefault="00260B8A" w:rsidP="006F7058">
            <w:pPr>
              <w:rPr>
                <w:rFonts w:eastAsia="Times New Roman" w:cs="Calibri"/>
                <w:sz w:val="16"/>
                <w:szCs w:val="16"/>
                <w:lang w:eastAsia="en-GB"/>
              </w:rPr>
            </w:pPr>
            <w:r>
              <w:rPr>
                <w:rFonts w:eastAsia="Times New Roman" w:cs="Calibri"/>
                <w:color w:val="auto"/>
                <w:sz w:val="16"/>
                <w:szCs w:val="16"/>
                <w:lang w:eastAsia="en-GB"/>
              </w:rPr>
              <w:t>Timor-Leste</w:t>
            </w:r>
          </w:p>
        </w:tc>
        <w:tc>
          <w:tcPr>
            <w:tcW w:w="987" w:type="dxa"/>
            <w:shd w:val="clear" w:color="auto" w:fill="3FB84E" w:themeFill="accent3"/>
            <w:hideMark/>
          </w:tcPr>
          <w:p w14:paraId="649921ED"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2020/2021 </w:t>
            </w:r>
          </w:p>
        </w:tc>
        <w:tc>
          <w:tcPr>
            <w:tcW w:w="987" w:type="dxa"/>
            <w:shd w:val="clear" w:color="auto" w:fill="FFC000"/>
            <w:hideMark/>
          </w:tcPr>
          <w:p w14:paraId="61B762A7"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1025" w:type="dxa"/>
            <w:hideMark/>
          </w:tcPr>
          <w:p w14:paraId="53508D8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3FB84E" w:themeFill="accent3"/>
            <w:hideMark/>
          </w:tcPr>
          <w:p w14:paraId="5452BE0C"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FF0000"/>
            <w:hideMark/>
          </w:tcPr>
          <w:p w14:paraId="0551C72D"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2D52C3A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5B28508E"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C000"/>
            <w:hideMark/>
          </w:tcPr>
          <w:p w14:paraId="34A7399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 xml:space="preserve">N </w:t>
            </w:r>
          </w:p>
        </w:tc>
        <w:tc>
          <w:tcPr>
            <w:tcW w:w="987" w:type="dxa"/>
            <w:shd w:val="clear" w:color="auto" w:fill="00B050"/>
          </w:tcPr>
          <w:p w14:paraId="0B477D4F" w14:textId="00BEBF3C"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Y</w:t>
            </w:r>
          </w:p>
        </w:tc>
        <w:tc>
          <w:tcPr>
            <w:tcW w:w="987" w:type="dxa"/>
            <w:hideMark/>
          </w:tcPr>
          <w:p w14:paraId="0E59462D" w14:textId="1EDFD051"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c>
          <w:tcPr>
            <w:tcW w:w="987" w:type="dxa"/>
            <w:shd w:val="clear" w:color="auto" w:fill="3FB84E" w:themeFill="accent3"/>
            <w:hideMark/>
          </w:tcPr>
          <w:p w14:paraId="11E5EA8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1</w:t>
            </w:r>
          </w:p>
        </w:tc>
        <w:tc>
          <w:tcPr>
            <w:tcW w:w="987" w:type="dxa"/>
            <w:hideMark/>
          </w:tcPr>
          <w:p w14:paraId="3C6380D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c>
          <w:tcPr>
            <w:tcW w:w="987" w:type="dxa"/>
            <w:shd w:val="clear" w:color="auto" w:fill="3FB84E" w:themeFill="accent3"/>
            <w:hideMark/>
          </w:tcPr>
          <w:p w14:paraId="505236E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5</w:t>
            </w:r>
          </w:p>
        </w:tc>
      </w:tr>
      <w:tr w:rsidR="00264CBC" w:rsidRPr="0014297B" w14:paraId="1C6E9F84" w14:textId="77777777" w:rsidTr="006F7058">
        <w:trPr>
          <w:cnfStyle w:val="000000010000" w:firstRow="0" w:lastRow="0" w:firstColumn="0" w:lastColumn="0" w:oddVBand="0" w:evenVBand="0" w:oddHBand="0" w:evenHBand="1" w:firstRowFirstColumn="0" w:firstRowLastColumn="0" w:lastRowFirstColumn="0" w:lastRowLastColumn="0"/>
          <w:trHeight w:val="20"/>
        </w:trPr>
        <w:tc>
          <w:tcPr>
            <w:tcW w:w="987" w:type="dxa"/>
            <w:hideMark/>
          </w:tcPr>
          <w:p w14:paraId="19C63CB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Uganda</w:t>
            </w:r>
          </w:p>
        </w:tc>
        <w:tc>
          <w:tcPr>
            <w:tcW w:w="987" w:type="dxa"/>
            <w:hideMark/>
          </w:tcPr>
          <w:p w14:paraId="65147F1D"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2016</w:t>
            </w:r>
          </w:p>
        </w:tc>
        <w:tc>
          <w:tcPr>
            <w:tcW w:w="987" w:type="dxa"/>
            <w:shd w:val="clear" w:color="auto" w:fill="FF0000"/>
            <w:hideMark/>
          </w:tcPr>
          <w:p w14:paraId="5E5D69AE"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hideMark/>
          </w:tcPr>
          <w:p w14:paraId="40AC128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FF0000"/>
            <w:hideMark/>
          </w:tcPr>
          <w:p w14:paraId="244E8D9F"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C000"/>
            <w:hideMark/>
          </w:tcPr>
          <w:p w14:paraId="749BCD6C"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3FB84E" w:themeFill="accent3"/>
            <w:hideMark/>
          </w:tcPr>
          <w:p w14:paraId="18249F13"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3FB84E" w:themeFill="accent3"/>
            <w:hideMark/>
          </w:tcPr>
          <w:p w14:paraId="4FF752AD"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3FB84E" w:themeFill="accent3"/>
            <w:hideMark/>
          </w:tcPr>
          <w:p w14:paraId="5E2B883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00B050"/>
          </w:tcPr>
          <w:p w14:paraId="4641CDB1" w14:textId="30BB03B7"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Y</w:t>
            </w:r>
          </w:p>
        </w:tc>
        <w:tc>
          <w:tcPr>
            <w:tcW w:w="987" w:type="dxa"/>
            <w:hideMark/>
          </w:tcPr>
          <w:p w14:paraId="4715B039" w14:textId="557D62BD"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w:t>
            </w:r>
          </w:p>
        </w:tc>
        <w:tc>
          <w:tcPr>
            <w:tcW w:w="987" w:type="dxa"/>
            <w:shd w:val="clear" w:color="auto" w:fill="3FB84E" w:themeFill="accent3"/>
            <w:hideMark/>
          </w:tcPr>
          <w:p w14:paraId="2616596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30</w:t>
            </w:r>
          </w:p>
        </w:tc>
        <w:tc>
          <w:tcPr>
            <w:tcW w:w="987" w:type="dxa"/>
            <w:hideMark/>
          </w:tcPr>
          <w:p w14:paraId="4271282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8</w:t>
            </w:r>
          </w:p>
        </w:tc>
        <w:tc>
          <w:tcPr>
            <w:tcW w:w="987" w:type="dxa"/>
            <w:shd w:val="clear" w:color="auto" w:fill="3FB84E" w:themeFill="accent3"/>
            <w:hideMark/>
          </w:tcPr>
          <w:p w14:paraId="0A1D2DB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8</w:t>
            </w:r>
          </w:p>
        </w:tc>
      </w:tr>
      <w:tr w:rsidR="00264CBC" w:rsidRPr="0014297B" w14:paraId="1F6AC4C0" w14:textId="77777777" w:rsidTr="009C7213">
        <w:trPr>
          <w:cnfStyle w:val="000000100000" w:firstRow="0" w:lastRow="0" w:firstColumn="0" w:lastColumn="0" w:oddVBand="0" w:evenVBand="0" w:oddHBand="1" w:evenHBand="0" w:firstRowFirstColumn="0" w:firstRowLastColumn="0" w:lastRowFirstColumn="0" w:lastRowLastColumn="0"/>
          <w:trHeight w:val="20"/>
        </w:trPr>
        <w:tc>
          <w:tcPr>
            <w:tcW w:w="987" w:type="dxa"/>
            <w:hideMark/>
          </w:tcPr>
          <w:p w14:paraId="5AEA57F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Vietnam</w:t>
            </w:r>
          </w:p>
        </w:tc>
        <w:tc>
          <w:tcPr>
            <w:tcW w:w="987" w:type="dxa"/>
            <w:shd w:val="clear" w:color="auto" w:fill="3FB84E" w:themeFill="accent3"/>
            <w:hideMark/>
          </w:tcPr>
          <w:p w14:paraId="6B3E078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2019 </w:t>
            </w:r>
          </w:p>
        </w:tc>
        <w:tc>
          <w:tcPr>
            <w:tcW w:w="987" w:type="dxa"/>
            <w:shd w:val="clear" w:color="auto" w:fill="FF0000"/>
            <w:hideMark/>
          </w:tcPr>
          <w:p w14:paraId="45B3D3F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No</w:t>
            </w:r>
          </w:p>
        </w:tc>
        <w:tc>
          <w:tcPr>
            <w:tcW w:w="1025" w:type="dxa"/>
            <w:hideMark/>
          </w:tcPr>
          <w:p w14:paraId="1ED7390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FF0000"/>
            <w:hideMark/>
          </w:tcPr>
          <w:p w14:paraId="41B42912"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37987BB8"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6FCF161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768E43F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hideMark/>
          </w:tcPr>
          <w:p w14:paraId="4AD1768D"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FF0000"/>
          </w:tcPr>
          <w:p w14:paraId="7F35A09F" w14:textId="118A4FB0" w:rsidR="006F7058" w:rsidRPr="006F7058" w:rsidRDefault="006F7058" w:rsidP="006F7058">
            <w:pPr>
              <w:rPr>
                <w:rFonts w:eastAsia="Times New Roman" w:cs="Calibri"/>
                <w:color w:val="auto"/>
                <w:sz w:val="16"/>
                <w:szCs w:val="16"/>
                <w:lang w:eastAsia="en-GB"/>
              </w:rPr>
            </w:pPr>
            <w:r w:rsidRPr="006F7058">
              <w:rPr>
                <w:rFonts w:eastAsia="Times New Roman" w:cs="Calibri"/>
                <w:color w:val="auto"/>
                <w:sz w:val="16"/>
                <w:szCs w:val="16"/>
                <w:lang w:eastAsia="en-GB"/>
              </w:rPr>
              <w:t>N</w:t>
            </w:r>
          </w:p>
        </w:tc>
        <w:tc>
          <w:tcPr>
            <w:tcW w:w="987" w:type="dxa"/>
            <w:hideMark/>
          </w:tcPr>
          <w:p w14:paraId="60BDDEC1" w14:textId="70A82F90"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c>
          <w:tcPr>
            <w:tcW w:w="987" w:type="dxa"/>
            <w:hideMark/>
          </w:tcPr>
          <w:p w14:paraId="6F1782A7"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c>
          <w:tcPr>
            <w:tcW w:w="987" w:type="dxa"/>
            <w:hideMark/>
          </w:tcPr>
          <w:p w14:paraId="73FC3A20"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c>
          <w:tcPr>
            <w:tcW w:w="987" w:type="dxa"/>
            <w:shd w:val="clear" w:color="auto" w:fill="FFC000"/>
            <w:hideMark/>
          </w:tcPr>
          <w:p w14:paraId="2E4EC866"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w:t>
            </w:r>
          </w:p>
        </w:tc>
      </w:tr>
      <w:tr w:rsidR="00264CBC" w:rsidRPr="0014297B" w14:paraId="29A89238" w14:textId="77777777" w:rsidTr="006F7058">
        <w:trPr>
          <w:cnfStyle w:val="000000010000" w:firstRow="0" w:lastRow="0" w:firstColumn="0" w:lastColumn="0" w:oddVBand="0" w:evenVBand="0" w:oddHBand="0" w:evenHBand="1" w:firstRowFirstColumn="0" w:firstRowLastColumn="0" w:lastRowFirstColumn="0" w:lastRowLastColumn="0"/>
          <w:trHeight w:val="20"/>
        </w:trPr>
        <w:tc>
          <w:tcPr>
            <w:tcW w:w="987" w:type="dxa"/>
            <w:hideMark/>
          </w:tcPr>
          <w:p w14:paraId="5E0ACF77"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Zambia</w:t>
            </w:r>
          </w:p>
        </w:tc>
        <w:tc>
          <w:tcPr>
            <w:tcW w:w="987" w:type="dxa"/>
            <w:hideMark/>
          </w:tcPr>
          <w:p w14:paraId="5FC600A3"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2016</w:t>
            </w:r>
          </w:p>
        </w:tc>
        <w:tc>
          <w:tcPr>
            <w:tcW w:w="987" w:type="dxa"/>
            <w:shd w:val="clear" w:color="auto" w:fill="FF0000"/>
            <w:hideMark/>
          </w:tcPr>
          <w:p w14:paraId="4A136972"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hideMark/>
          </w:tcPr>
          <w:p w14:paraId="65C11A6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1025" w:type="dxa"/>
            <w:shd w:val="clear" w:color="auto" w:fill="FF0000"/>
            <w:hideMark/>
          </w:tcPr>
          <w:p w14:paraId="3C1E88AE"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3FB84E" w:themeFill="accent3"/>
            <w:hideMark/>
          </w:tcPr>
          <w:p w14:paraId="7A6E5BF1"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3FB84E" w:themeFill="accent3"/>
            <w:hideMark/>
          </w:tcPr>
          <w:p w14:paraId="76CA197E"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Y</w:t>
            </w:r>
          </w:p>
        </w:tc>
        <w:tc>
          <w:tcPr>
            <w:tcW w:w="987" w:type="dxa"/>
            <w:shd w:val="clear" w:color="auto" w:fill="FFC000"/>
            <w:hideMark/>
          </w:tcPr>
          <w:p w14:paraId="4240FB2C"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N</w:t>
            </w:r>
          </w:p>
        </w:tc>
        <w:tc>
          <w:tcPr>
            <w:tcW w:w="987" w:type="dxa"/>
            <w:shd w:val="clear" w:color="auto" w:fill="3FB84E" w:themeFill="accent3"/>
            <w:hideMark/>
          </w:tcPr>
          <w:p w14:paraId="51F09F53" w14:textId="77777777" w:rsidR="006F7058" w:rsidRPr="00BB4743" w:rsidRDefault="006F7058" w:rsidP="006F7058">
            <w:pPr>
              <w:rPr>
                <w:rFonts w:eastAsia="Times New Roman" w:cs="Calibri"/>
                <w:sz w:val="16"/>
                <w:szCs w:val="16"/>
                <w:lang w:eastAsia="en-GB"/>
              </w:rPr>
            </w:pPr>
            <w:r w:rsidRPr="006F7058">
              <w:rPr>
                <w:rFonts w:eastAsia="Times New Roman" w:cs="Calibri"/>
                <w:sz w:val="16"/>
                <w:szCs w:val="16"/>
                <w:lang w:eastAsia="en-GB"/>
              </w:rPr>
              <w:t>Y</w:t>
            </w:r>
          </w:p>
        </w:tc>
        <w:tc>
          <w:tcPr>
            <w:tcW w:w="987" w:type="dxa"/>
            <w:shd w:val="clear" w:color="auto" w:fill="00B050"/>
          </w:tcPr>
          <w:p w14:paraId="25055FA8" w14:textId="021FC781" w:rsidR="006F7058" w:rsidRPr="00BB4743" w:rsidRDefault="006F7058" w:rsidP="006F7058">
            <w:pPr>
              <w:rPr>
                <w:rFonts w:eastAsia="Times New Roman" w:cs="Calibri"/>
                <w:sz w:val="16"/>
                <w:szCs w:val="16"/>
                <w:lang w:eastAsia="en-GB"/>
              </w:rPr>
            </w:pPr>
            <w:r w:rsidRPr="006F7058">
              <w:rPr>
                <w:rFonts w:eastAsia="Times New Roman" w:cs="Calibri"/>
                <w:sz w:val="16"/>
                <w:szCs w:val="16"/>
                <w:lang w:eastAsia="en-GB"/>
              </w:rPr>
              <w:t>Y</w:t>
            </w:r>
          </w:p>
        </w:tc>
        <w:tc>
          <w:tcPr>
            <w:tcW w:w="987" w:type="dxa"/>
            <w:hideMark/>
          </w:tcPr>
          <w:p w14:paraId="171D12EA" w14:textId="0DEBAAD5"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1</w:t>
            </w:r>
          </w:p>
        </w:tc>
        <w:tc>
          <w:tcPr>
            <w:tcW w:w="987" w:type="dxa"/>
            <w:shd w:val="clear" w:color="auto" w:fill="3FB84E" w:themeFill="accent3"/>
            <w:hideMark/>
          </w:tcPr>
          <w:p w14:paraId="516B53BA"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5</w:t>
            </w:r>
          </w:p>
        </w:tc>
        <w:tc>
          <w:tcPr>
            <w:tcW w:w="987" w:type="dxa"/>
            <w:hideMark/>
          </w:tcPr>
          <w:p w14:paraId="1D77F3AB"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8</w:t>
            </w:r>
          </w:p>
        </w:tc>
        <w:tc>
          <w:tcPr>
            <w:tcW w:w="987" w:type="dxa"/>
            <w:shd w:val="clear" w:color="auto" w:fill="FF0000"/>
            <w:hideMark/>
          </w:tcPr>
          <w:p w14:paraId="1DCBAC95" w14:textId="77777777" w:rsidR="006F7058" w:rsidRPr="00BB4743" w:rsidRDefault="006F7058" w:rsidP="006F7058">
            <w:pPr>
              <w:rPr>
                <w:rFonts w:eastAsia="Times New Roman" w:cs="Calibri"/>
                <w:sz w:val="16"/>
                <w:szCs w:val="16"/>
                <w:lang w:eastAsia="en-GB"/>
              </w:rPr>
            </w:pPr>
            <w:r w:rsidRPr="00BB4743">
              <w:rPr>
                <w:rFonts w:eastAsia="Times New Roman" w:cs="Calibri"/>
                <w:color w:val="auto"/>
                <w:sz w:val="16"/>
                <w:szCs w:val="16"/>
                <w:lang w:eastAsia="en-GB"/>
              </w:rPr>
              <w:t>5</w:t>
            </w:r>
          </w:p>
        </w:tc>
      </w:tr>
    </w:tbl>
    <w:p w14:paraId="2319F4DF" w14:textId="77777777" w:rsidR="00623BCC" w:rsidRDefault="00623BCC" w:rsidP="000B0469"/>
    <w:p w14:paraId="7ACD7F53" w14:textId="77777777" w:rsidR="00623BCC" w:rsidRDefault="00623BCC" w:rsidP="000B0469"/>
    <w:p w14:paraId="0CD8572A" w14:textId="77777777" w:rsidR="00157C0D" w:rsidRDefault="00157C0D" w:rsidP="00157C0D">
      <w:pPr>
        <w:spacing w:before="240"/>
      </w:pPr>
      <w:r>
        <w:t xml:space="preserve">Criteria for rating </w:t>
      </w:r>
    </w:p>
    <w:tbl>
      <w:tblPr>
        <w:tblStyle w:val="TableGrid"/>
        <w:tblW w:w="0" w:type="auto"/>
        <w:tblLook w:val="04A0" w:firstRow="1" w:lastRow="0" w:firstColumn="1" w:lastColumn="0" w:noHBand="0" w:noVBand="1"/>
      </w:tblPr>
      <w:tblGrid>
        <w:gridCol w:w="1555"/>
        <w:gridCol w:w="5670"/>
      </w:tblGrid>
      <w:tr w:rsidR="00157C0D" w:rsidRPr="007025E0" w14:paraId="25D8F9B1" w14:textId="77777777" w:rsidTr="0006093D">
        <w:trPr>
          <w:trHeight w:val="283"/>
        </w:trPr>
        <w:tc>
          <w:tcPr>
            <w:tcW w:w="1555" w:type="dxa"/>
          </w:tcPr>
          <w:p w14:paraId="62949DB4" w14:textId="77777777" w:rsidR="00157C0D" w:rsidRPr="007025E0" w:rsidRDefault="00157C0D">
            <w:pPr>
              <w:rPr>
                <w:sz w:val="18"/>
                <w:szCs w:val="18"/>
              </w:rPr>
            </w:pPr>
            <w:r>
              <w:rPr>
                <w:sz w:val="18"/>
                <w:szCs w:val="18"/>
              </w:rPr>
              <w:t>RAG colour</w:t>
            </w:r>
          </w:p>
        </w:tc>
        <w:tc>
          <w:tcPr>
            <w:tcW w:w="5670" w:type="dxa"/>
          </w:tcPr>
          <w:p w14:paraId="7A72EC1C" w14:textId="77777777" w:rsidR="00157C0D" w:rsidRPr="007025E0" w:rsidRDefault="00157C0D">
            <w:pPr>
              <w:rPr>
                <w:sz w:val="18"/>
                <w:szCs w:val="18"/>
              </w:rPr>
            </w:pPr>
            <w:r>
              <w:rPr>
                <w:sz w:val="18"/>
                <w:szCs w:val="18"/>
              </w:rPr>
              <w:t>Criteria</w:t>
            </w:r>
          </w:p>
        </w:tc>
      </w:tr>
      <w:tr w:rsidR="00157C0D" w:rsidRPr="007025E0" w14:paraId="555505E0" w14:textId="77777777" w:rsidTr="0006093D">
        <w:trPr>
          <w:trHeight w:val="283"/>
        </w:trPr>
        <w:tc>
          <w:tcPr>
            <w:tcW w:w="1555" w:type="dxa"/>
            <w:shd w:val="clear" w:color="auto" w:fill="00B050"/>
          </w:tcPr>
          <w:p w14:paraId="0FEFB72C" w14:textId="77777777" w:rsidR="00157C0D" w:rsidRPr="007025E0" w:rsidRDefault="00157C0D">
            <w:pPr>
              <w:rPr>
                <w:sz w:val="18"/>
                <w:szCs w:val="18"/>
              </w:rPr>
            </w:pPr>
          </w:p>
        </w:tc>
        <w:tc>
          <w:tcPr>
            <w:tcW w:w="5670" w:type="dxa"/>
          </w:tcPr>
          <w:p w14:paraId="7A52CB7A" w14:textId="77777777" w:rsidR="00157C0D" w:rsidRPr="007025E0" w:rsidRDefault="00157C0D">
            <w:pPr>
              <w:rPr>
                <w:sz w:val="18"/>
                <w:szCs w:val="18"/>
              </w:rPr>
            </w:pPr>
            <w:r>
              <w:rPr>
                <w:sz w:val="18"/>
                <w:szCs w:val="18"/>
              </w:rPr>
              <w:t>Positive trend compared to baseline</w:t>
            </w:r>
          </w:p>
        </w:tc>
      </w:tr>
      <w:tr w:rsidR="00157C0D" w:rsidRPr="007025E0" w14:paraId="0FE096A6" w14:textId="77777777" w:rsidTr="0006093D">
        <w:trPr>
          <w:trHeight w:val="283"/>
        </w:trPr>
        <w:tc>
          <w:tcPr>
            <w:tcW w:w="1555" w:type="dxa"/>
            <w:shd w:val="clear" w:color="auto" w:fill="FFC000"/>
          </w:tcPr>
          <w:p w14:paraId="39CF3446" w14:textId="383493C5" w:rsidR="00157C0D" w:rsidRPr="007025E0" w:rsidRDefault="00D9596E">
            <w:pPr>
              <w:rPr>
                <w:sz w:val="18"/>
                <w:szCs w:val="18"/>
              </w:rPr>
            </w:pPr>
            <w:r>
              <w:rPr>
                <w:sz w:val="18"/>
                <w:szCs w:val="18"/>
              </w:rPr>
              <w:t>For all columns except GLASS reporting</w:t>
            </w:r>
          </w:p>
        </w:tc>
        <w:tc>
          <w:tcPr>
            <w:tcW w:w="5670" w:type="dxa"/>
          </w:tcPr>
          <w:p w14:paraId="5D15295C" w14:textId="7D789BF3" w:rsidR="00157C0D" w:rsidRPr="007025E0" w:rsidRDefault="00157C0D">
            <w:pPr>
              <w:rPr>
                <w:sz w:val="18"/>
                <w:szCs w:val="18"/>
              </w:rPr>
            </w:pPr>
            <w:r>
              <w:rPr>
                <w:sz w:val="18"/>
                <w:szCs w:val="18"/>
              </w:rPr>
              <w:t>Unclear</w:t>
            </w:r>
            <w:r w:rsidR="00242C8B">
              <w:rPr>
                <w:sz w:val="18"/>
                <w:szCs w:val="18"/>
              </w:rPr>
              <w:t xml:space="preserve"> </w:t>
            </w:r>
          </w:p>
        </w:tc>
      </w:tr>
      <w:tr w:rsidR="00242C8B" w:rsidRPr="007025E0" w14:paraId="2190B36D" w14:textId="77777777" w:rsidTr="0006093D">
        <w:trPr>
          <w:trHeight w:val="283"/>
        </w:trPr>
        <w:tc>
          <w:tcPr>
            <w:tcW w:w="1555" w:type="dxa"/>
            <w:shd w:val="clear" w:color="auto" w:fill="FFC000"/>
          </w:tcPr>
          <w:p w14:paraId="140319B9" w14:textId="3F4120E5" w:rsidR="00242C8B" w:rsidRPr="007025E0" w:rsidRDefault="00D9596E">
            <w:pPr>
              <w:rPr>
                <w:sz w:val="18"/>
                <w:szCs w:val="18"/>
              </w:rPr>
            </w:pPr>
            <w:r>
              <w:rPr>
                <w:sz w:val="18"/>
                <w:szCs w:val="18"/>
              </w:rPr>
              <w:t>For GLASS reporting columns</w:t>
            </w:r>
          </w:p>
        </w:tc>
        <w:tc>
          <w:tcPr>
            <w:tcW w:w="5670" w:type="dxa"/>
          </w:tcPr>
          <w:p w14:paraId="55FE8DBF" w14:textId="417640F6" w:rsidR="00242C8B" w:rsidRDefault="00242C8B">
            <w:pPr>
              <w:rPr>
                <w:sz w:val="18"/>
                <w:szCs w:val="18"/>
              </w:rPr>
            </w:pPr>
            <w:r>
              <w:rPr>
                <w:sz w:val="18"/>
                <w:szCs w:val="18"/>
              </w:rPr>
              <w:t xml:space="preserve">reporting </w:t>
            </w:r>
            <w:r w:rsidR="00D9596E">
              <w:rPr>
                <w:sz w:val="18"/>
                <w:szCs w:val="18"/>
              </w:rPr>
              <w:t xml:space="preserve">to GLASS but </w:t>
            </w:r>
            <w:r>
              <w:rPr>
                <w:sz w:val="18"/>
                <w:szCs w:val="18"/>
              </w:rPr>
              <w:t xml:space="preserve">qualitative </w:t>
            </w:r>
            <w:r w:rsidR="0006093D">
              <w:rPr>
                <w:sz w:val="18"/>
                <w:szCs w:val="18"/>
              </w:rPr>
              <w:t>information on nature of surveillance system, not reporting actual AMR surveillance data</w:t>
            </w:r>
          </w:p>
        </w:tc>
      </w:tr>
      <w:tr w:rsidR="00157C0D" w:rsidRPr="007025E0" w14:paraId="7C7963D6" w14:textId="77777777" w:rsidTr="0006093D">
        <w:trPr>
          <w:trHeight w:val="283"/>
        </w:trPr>
        <w:tc>
          <w:tcPr>
            <w:tcW w:w="1555" w:type="dxa"/>
            <w:shd w:val="clear" w:color="auto" w:fill="E37230" w:themeFill="accent2"/>
          </w:tcPr>
          <w:p w14:paraId="36002B2F" w14:textId="77777777" w:rsidR="00157C0D" w:rsidRPr="007025E0" w:rsidRDefault="00157C0D">
            <w:pPr>
              <w:rPr>
                <w:sz w:val="18"/>
                <w:szCs w:val="18"/>
              </w:rPr>
            </w:pPr>
          </w:p>
        </w:tc>
        <w:tc>
          <w:tcPr>
            <w:tcW w:w="5670" w:type="dxa"/>
          </w:tcPr>
          <w:p w14:paraId="3F856B7D" w14:textId="77777777" w:rsidR="00157C0D" w:rsidRPr="007025E0" w:rsidRDefault="00157C0D">
            <w:pPr>
              <w:rPr>
                <w:sz w:val="18"/>
                <w:szCs w:val="18"/>
              </w:rPr>
            </w:pPr>
            <w:r>
              <w:rPr>
                <w:sz w:val="18"/>
                <w:szCs w:val="18"/>
              </w:rPr>
              <w:t>No change compared to baseline</w:t>
            </w:r>
          </w:p>
        </w:tc>
      </w:tr>
      <w:tr w:rsidR="00157C0D" w:rsidRPr="007025E0" w14:paraId="25D8C451" w14:textId="77777777" w:rsidTr="0006093D">
        <w:trPr>
          <w:trHeight w:val="283"/>
        </w:trPr>
        <w:tc>
          <w:tcPr>
            <w:tcW w:w="1555" w:type="dxa"/>
            <w:shd w:val="clear" w:color="auto" w:fill="FF0000"/>
          </w:tcPr>
          <w:p w14:paraId="57F8093E" w14:textId="77777777" w:rsidR="00157C0D" w:rsidRPr="007025E0" w:rsidRDefault="00157C0D">
            <w:pPr>
              <w:rPr>
                <w:sz w:val="18"/>
                <w:szCs w:val="18"/>
              </w:rPr>
            </w:pPr>
          </w:p>
        </w:tc>
        <w:tc>
          <w:tcPr>
            <w:tcW w:w="5670" w:type="dxa"/>
          </w:tcPr>
          <w:p w14:paraId="61877D24" w14:textId="77777777" w:rsidR="00157C0D" w:rsidRPr="007025E0" w:rsidRDefault="00157C0D">
            <w:pPr>
              <w:rPr>
                <w:sz w:val="18"/>
                <w:szCs w:val="18"/>
              </w:rPr>
            </w:pPr>
            <w:r>
              <w:rPr>
                <w:sz w:val="18"/>
                <w:szCs w:val="18"/>
              </w:rPr>
              <w:t>Negative trend compared to baseline</w:t>
            </w:r>
          </w:p>
        </w:tc>
      </w:tr>
    </w:tbl>
    <w:p w14:paraId="22075AFF" w14:textId="436AFF35" w:rsidR="00157C0D" w:rsidRDefault="00157C0D" w:rsidP="000B0469">
      <w:pPr>
        <w:sectPr w:rsidR="00157C0D" w:rsidSect="005A416C">
          <w:pgSz w:w="16838" w:h="11906" w:orient="landscape"/>
          <w:pgMar w:top="1440" w:right="1440" w:bottom="1440" w:left="1440" w:header="709" w:footer="709" w:gutter="0"/>
          <w:cols w:space="708"/>
          <w:docGrid w:linePitch="360"/>
        </w:sectPr>
      </w:pPr>
    </w:p>
    <w:p w14:paraId="306EA1E1" w14:textId="1D86AC68" w:rsidR="00425F58" w:rsidRDefault="00347985" w:rsidP="000B0469">
      <w:r>
        <w:t xml:space="preserve">Data from the 2022 GLASS report objectively corroborates the positive trends that we have identified through our country specific data collection efforts and as reported by the MA. </w:t>
      </w:r>
      <w:r w:rsidR="00EB1787">
        <w:t xml:space="preserve">GLASS reporting shows </w:t>
      </w:r>
      <w:r w:rsidR="00AF17C8">
        <w:t xml:space="preserve">increases in the </w:t>
      </w:r>
      <w:r w:rsidR="00D86DC8">
        <w:t>proportion</w:t>
      </w:r>
      <w:r w:rsidR="00AF17C8">
        <w:t xml:space="preserve"> of our focus countries </w:t>
      </w:r>
      <w:r w:rsidR="00EB1787">
        <w:t xml:space="preserve">that are </w:t>
      </w:r>
      <w:r w:rsidR="00AF17C8">
        <w:t xml:space="preserve">reporting </w:t>
      </w:r>
      <w:r w:rsidR="00EB1787">
        <w:t xml:space="preserve">more </w:t>
      </w:r>
      <w:r w:rsidR="00AF17C8">
        <w:t xml:space="preserve">sample </w:t>
      </w:r>
      <w:r w:rsidR="00AF17C8" w:rsidRPr="00503300">
        <w:t>types</w:t>
      </w:r>
      <w:r w:rsidR="00EB1787" w:rsidRPr="00503300">
        <w:t xml:space="preserve"> (see </w:t>
      </w:r>
      <w:r w:rsidR="00503300" w:rsidRPr="00503300">
        <w:fldChar w:fldCharType="begin"/>
      </w:r>
      <w:r w:rsidR="00503300" w:rsidRPr="00503300">
        <w:instrText xml:space="preserve"> REF _Ref122439598 \h  \* MERGEFORMAT </w:instrText>
      </w:r>
      <w:r w:rsidR="00503300" w:rsidRPr="00503300">
        <w:fldChar w:fldCharType="separate"/>
      </w:r>
      <w:r w:rsidR="009A383C">
        <w:t xml:space="preserve">Figure </w:t>
      </w:r>
      <w:r w:rsidR="009A383C">
        <w:rPr>
          <w:noProof/>
        </w:rPr>
        <w:t>20</w:t>
      </w:r>
      <w:r w:rsidR="00503300" w:rsidRPr="00503300">
        <w:fldChar w:fldCharType="end"/>
      </w:r>
      <w:r w:rsidR="00EB1787" w:rsidRPr="00503300">
        <w:t>)</w:t>
      </w:r>
      <w:r w:rsidR="00AF17C8" w:rsidRPr="00503300">
        <w:t>,</w:t>
      </w:r>
      <w:r w:rsidR="00AF17C8">
        <w:t xml:space="preserve"> and </w:t>
      </w:r>
      <w:r w:rsidR="00EB1787">
        <w:t xml:space="preserve">that more </w:t>
      </w:r>
      <w:r w:rsidR="00AF17C8">
        <w:t xml:space="preserve">of our focus countries </w:t>
      </w:r>
      <w:r w:rsidR="00EB1787">
        <w:t xml:space="preserve">are </w:t>
      </w:r>
      <w:r w:rsidR="00AF17C8">
        <w:t xml:space="preserve">reporting more data compared to </w:t>
      </w:r>
      <w:r w:rsidR="00AF17C8" w:rsidRPr="00503300">
        <w:t>2018</w:t>
      </w:r>
      <w:r w:rsidR="00EB1787" w:rsidRPr="00503300">
        <w:t xml:space="preserve"> (see </w:t>
      </w:r>
      <w:r w:rsidR="00503300" w:rsidRPr="00503300">
        <w:fldChar w:fldCharType="begin"/>
      </w:r>
      <w:r w:rsidR="00503300" w:rsidRPr="00503300">
        <w:instrText xml:space="preserve"> REF _Ref122439608 \h  \* MERGEFORMAT </w:instrText>
      </w:r>
      <w:r w:rsidR="00503300" w:rsidRPr="00503300">
        <w:fldChar w:fldCharType="separate"/>
      </w:r>
      <w:r w:rsidR="009A383C">
        <w:t xml:space="preserve">Figure </w:t>
      </w:r>
      <w:r w:rsidR="009A383C">
        <w:rPr>
          <w:noProof/>
        </w:rPr>
        <w:t>19</w:t>
      </w:r>
      <w:r w:rsidR="00503300" w:rsidRPr="00503300">
        <w:fldChar w:fldCharType="end"/>
      </w:r>
      <w:r w:rsidR="00EB1787" w:rsidRPr="00503300">
        <w:t>)</w:t>
      </w:r>
      <w:r w:rsidR="00AF17C8" w:rsidRPr="00503300">
        <w:t>.</w:t>
      </w:r>
      <w:r w:rsidR="00AF17C8">
        <w:t xml:space="preserve"> </w:t>
      </w:r>
    </w:p>
    <w:p w14:paraId="4590B247" w14:textId="77777777" w:rsidR="00425F58" w:rsidRDefault="00425F58" w:rsidP="000B0469"/>
    <w:p w14:paraId="79AB55BF" w14:textId="77777777" w:rsidR="00F3310F" w:rsidRDefault="00434F6C" w:rsidP="00F3310F">
      <w:pPr>
        <w:keepNext/>
      </w:pPr>
      <w:r>
        <w:rPr>
          <w:noProof/>
        </w:rPr>
        <w:drawing>
          <wp:inline distT="0" distB="0" distL="0" distR="0" wp14:anchorId="6897CB2E" wp14:editId="00E5DEC1">
            <wp:extent cx="5814060" cy="3147060"/>
            <wp:effectExtent l="0" t="0" r="15240" b="15240"/>
            <wp:docPr id="17" name="Chart 17">
              <a:extLst xmlns:a="http://schemas.openxmlformats.org/drawingml/2006/main">
                <a:ext uri="{FF2B5EF4-FFF2-40B4-BE49-F238E27FC236}">
                  <a16:creationId xmlns:a16="http://schemas.microsoft.com/office/drawing/2014/main" id="{B6380A52-BDF7-4EDA-9B6C-FDFD9AD246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116BAE8" w14:textId="047191EA" w:rsidR="00C53942" w:rsidRDefault="00F3310F" w:rsidP="00C04C3C">
      <w:pPr>
        <w:pStyle w:val="ItadCaption"/>
      </w:pPr>
      <w:bookmarkStart w:id="225" w:name="_Ref122439608"/>
      <w:bookmarkStart w:id="226" w:name="_Toc143858073"/>
      <w:r>
        <w:t xml:space="preserve">Figure </w:t>
      </w:r>
      <w:r>
        <w:fldChar w:fldCharType="begin"/>
      </w:r>
      <w:r>
        <w:instrText>SEQ Figure \* ARABIC</w:instrText>
      </w:r>
      <w:r>
        <w:fldChar w:fldCharType="separate"/>
      </w:r>
      <w:r w:rsidR="009A383C">
        <w:rPr>
          <w:noProof/>
        </w:rPr>
        <w:t>19</w:t>
      </w:r>
      <w:r>
        <w:fldChar w:fldCharType="end"/>
      </w:r>
      <w:bookmarkEnd w:id="225"/>
      <w:r>
        <w:t xml:space="preserve"> Number of countries reporting</w:t>
      </w:r>
      <w:bookmarkEnd w:id="226"/>
    </w:p>
    <w:p w14:paraId="4019A69E" w14:textId="3ACA4F7E" w:rsidR="00425F58" w:rsidRDefault="00425F58" w:rsidP="000B0469"/>
    <w:p w14:paraId="323AF92E" w14:textId="77777777" w:rsidR="005415D7" w:rsidRDefault="00434F6C" w:rsidP="005415D7">
      <w:pPr>
        <w:keepNext/>
      </w:pPr>
      <w:r>
        <w:rPr>
          <w:noProof/>
        </w:rPr>
        <w:drawing>
          <wp:inline distT="0" distB="0" distL="0" distR="0" wp14:anchorId="14BA00CC" wp14:editId="0D9F3D33">
            <wp:extent cx="5814060" cy="3070860"/>
            <wp:effectExtent l="0" t="0" r="15240" b="15240"/>
            <wp:docPr id="19" name="Chart 19">
              <a:extLst xmlns:a="http://schemas.openxmlformats.org/drawingml/2006/main">
                <a:ext uri="{FF2B5EF4-FFF2-40B4-BE49-F238E27FC236}">
                  <a16:creationId xmlns:a16="http://schemas.microsoft.com/office/drawing/2014/main" id="{12837BAD-AADF-4DA2-8AD8-2C8390A6D9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4C41D38B" w14:textId="73F98757" w:rsidR="00434F6C" w:rsidRDefault="005415D7" w:rsidP="00C04C3C">
      <w:pPr>
        <w:pStyle w:val="ItadCaption"/>
      </w:pPr>
      <w:bookmarkStart w:id="227" w:name="_Ref122439598"/>
      <w:bookmarkStart w:id="228" w:name="_Toc143858074"/>
      <w:r>
        <w:t xml:space="preserve">Figure </w:t>
      </w:r>
      <w:r>
        <w:fldChar w:fldCharType="begin"/>
      </w:r>
      <w:r>
        <w:instrText>SEQ Figure \* ARABIC</w:instrText>
      </w:r>
      <w:r>
        <w:fldChar w:fldCharType="separate"/>
      </w:r>
      <w:r w:rsidR="009A383C">
        <w:rPr>
          <w:noProof/>
        </w:rPr>
        <w:t>20</w:t>
      </w:r>
      <w:r>
        <w:fldChar w:fldCharType="end"/>
      </w:r>
      <w:bookmarkEnd w:id="227"/>
      <w:r>
        <w:t xml:space="preserve"> Percentage of countries reporting more data</w:t>
      </w:r>
      <w:bookmarkEnd w:id="228"/>
    </w:p>
    <w:p w14:paraId="3B318989" w14:textId="34662F11" w:rsidR="000B0469" w:rsidRDefault="000B0469" w:rsidP="000B0469">
      <w:r>
        <w:t>In the following table</w:t>
      </w:r>
      <w:r w:rsidR="00440566">
        <w:t xml:space="preserve"> (</w:t>
      </w:r>
      <w:r w:rsidR="00750277">
        <w:fldChar w:fldCharType="begin"/>
      </w:r>
      <w:r w:rsidR="00750277">
        <w:instrText xml:space="preserve"> REF _Ref122267406 \h </w:instrText>
      </w:r>
      <w:r w:rsidR="00750277">
        <w:fldChar w:fldCharType="separate"/>
      </w:r>
      <w:r w:rsidR="009A383C">
        <w:t xml:space="preserve">Table </w:t>
      </w:r>
      <w:r w:rsidR="009A383C">
        <w:rPr>
          <w:noProof/>
        </w:rPr>
        <w:t>30</w:t>
      </w:r>
      <w:r w:rsidR="00750277">
        <w:fldChar w:fldCharType="end"/>
      </w:r>
      <w:r w:rsidR="00440566">
        <w:t>)</w:t>
      </w:r>
      <w:r>
        <w:t xml:space="preserve"> we present data from country-level KIIs on their reporting on AMU to WOAH</w:t>
      </w:r>
      <w:r w:rsidR="37E77414">
        <w:t>.</w:t>
      </w:r>
      <w:r>
        <w:rPr>
          <w:rStyle w:val="FootnoteReference"/>
        </w:rPr>
        <w:footnoteReference w:id="48"/>
      </w:r>
      <w:r>
        <w:t xml:space="preserve"> </w:t>
      </w:r>
      <w:r w:rsidR="00D512AE" w:rsidRPr="00D512AE">
        <w:t>Data for 2018 (baseline) and latest available data (latest year) were collected using the ’reporting options’</w:t>
      </w:r>
      <w:r w:rsidR="00A464D6">
        <w:rPr>
          <w:rStyle w:val="FootnoteReference"/>
        </w:rPr>
        <w:footnoteReference w:id="49"/>
      </w:r>
      <w:r w:rsidR="00D512AE" w:rsidRPr="00D512AE">
        <w:t xml:space="preserve"> categories that are available to countries when they participate in the WOAH annual survey on AMU. </w:t>
      </w:r>
      <w:r>
        <w:t>We were unable to corroborate this for specific countries with WOAH because data is submitted on a confidential basis</w:t>
      </w:r>
      <w:r w:rsidR="00862B0F">
        <w:t>. However,</w:t>
      </w:r>
      <w:r>
        <w:t xml:space="preserve"> we have benchmark</w:t>
      </w:r>
      <w:r w:rsidR="00440566">
        <w:t>ed</w:t>
      </w:r>
      <w:r>
        <w:t xml:space="preserve"> this against aggregates of country reporting</w:t>
      </w:r>
      <w:r w:rsidR="008C1A59">
        <w:t xml:space="preserve"> (see </w:t>
      </w:r>
      <w:r w:rsidR="00862B0F">
        <w:t>Volume I</w:t>
      </w:r>
      <w:r w:rsidR="008C1A59">
        <w:t xml:space="preserve">, section </w:t>
      </w:r>
      <w:r w:rsidR="00C9375F">
        <w:t>2.2.4</w:t>
      </w:r>
      <w:r w:rsidR="00B9260B">
        <w:t xml:space="preserve">). </w:t>
      </w:r>
      <w:r>
        <w:t>We used these data to inform findings on sharing of data at the international level.</w:t>
      </w:r>
      <w:r w:rsidR="007458AC">
        <w:t xml:space="preserve"> </w:t>
      </w:r>
    </w:p>
    <w:p w14:paraId="3CB59769" w14:textId="77777777" w:rsidR="00643E08" w:rsidRDefault="00643E08" w:rsidP="000B0469"/>
    <w:p w14:paraId="4CF6DE31" w14:textId="52573D4B" w:rsidR="00317C7C" w:rsidRDefault="00317C7C" w:rsidP="00C04C3C">
      <w:pPr>
        <w:pStyle w:val="ItadCaption"/>
      </w:pPr>
      <w:bookmarkStart w:id="229" w:name="_Ref122267406"/>
      <w:bookmarkStart w:id="230" w:name="_Ref122267318"/>
      <w:bookmarkStart w:id="231" w:name="_Toc143857898"/>
      <w:r>
        <w:t xml:space="preserve">Table </w:t>
      </w:r>
      <w:r>
        <w:fldChar w:fldCharType="begin"/>
      </w:r>
      <w:r>
        <w:instrText>SEQ Table \* ARABIC</w:instrText>
      </w:r>
      <w:r>
        <w:fldChar w:fldCharType="separate"/>
      </w:r>
      <w:r w:rsidR="009A383C">
        <w:rPr>
          <w:noProof/>
        </w:rPr>
        <w:t>30</w:t>
      </w:r>
      <w:r>
        <w:fldChar w:fldCharType="end"/>
      </w:r>
      <w:bookmarkEnd w:id="229"/>
      <w:r>
        <w:t xml:space="preserve"> Country data on AMU reporting to WOAH (from KIIs)</w:t>
      </w:r>
      <w:bookmarkEnd w:id="230"/>
      <w:bookmarkEnd w:id="231"/>
    </w:p>
    <w:tbl>
      <w:tblPr>
        <w:tblStyle w:val="Itadalternaterows"/>
        <w:tblW w:w="5000" w:type="pct"/>
        <w:tblInd w:w="0" w:type="dxa"/>
        <w:tblLook w:val="04A0" w:firstRow="1" w:lastRow="0" w:firstColumn="1" w:lastColumn="0" w:noHBand="0" w:noVBand="1"/>
      </w:tblPr>
      <w:tblGrid>
        <w:gridCol w:w="1342"/>
        <w:gridCol w:w="1246"/>
        <w:gridCol w:w="1177"/>
        <w:gridCol w:w="5743"/>
      </w:tblGrid>
      <w:tr w:rsidR="00B70F68" w:rsidRPr="00505ECD" w14:paraId="37283FFA" w14:textId="77777777" w:rsidTr="00BB4743">
        <w:trPr>
          <w:cnfStyle w:val="100000000000" w:firstRow="1" w:lastRow="0" w:firstColumn="0" w:lastColumn="0" w:oddVBand="0" w:evenVBand="0" w:oddHBand="0" w:evenHBand="0" w:firstRowFirstColumn="0" w:firstRowLastColumn="0" w:lastRowFirstColumn="0" w:lastRowLastColumn="0"/>
          <w:trHeight w:val="19"/>
        </w:trPr>
        <w:tc>
          <w:tcPr>
            <w:tcW w:w="706" w:type="pct"/>
            <w:hideMark/>
          </w:tcPr>
          <w:p w14:paraId="3E974EB3" w14:textId="77777777" w:rsidR="00B70F68" w:rsidRPr="00BB4743" w:rsidRDefault="00B70F68" w:rsidP="008C1BFD">
            <w:pPr>
              <w:rPr>
                <w:rFonts w:eastAsia="Times New Roman" w:cstheme="minorHAnsi"/>
                <w:b/>
                <w:bCs/>
                <w:color w:val="000000"/>
                <w:sz w:val="20"/>
                <w:szCs w:val="20"/>
                <w:lang w:eastAsia="en-GB"/>
              </w:rPr>
            </w:pPr>
            <w:r w:rsidRPr="00BB4743">
              <w:rPr>
                <w:rFonts w:eastAsia="Times New Roman" w:cstheme="minorHAnsi"/>
                <w:b/>
                <w:bCs/>
                <w:color w:val="000000"/>
                <w:sz w:val="20"/>
                <w:szCs w:val="20"/>
                <w:lang w:eastAsia="en-GB"/>
              </w:rPr>
              <w:t> </w:t>
            </w:r>
          </w:p>
        </w:tc>
        <w:tc>
          <w:tcPr>
            <w:tcW w:w="1274" w:type="pct"/>
            <w:gridSpan w:val="2"/>
            <w:hideMark/>
          </w:tcPr>
          <w:p w14:paraId="4DB303B1" w14:textId="5B821C31" w:rsidR="00B70F68" w:rsidRPr="00BB4743" w:rsidRDefault="00121E83" w:rsidP="008C1BFD">
            <w:pPr>
              <w:jc w:val="center"/>
              <w:rPr>
                <w:rFonts w:eastAsia="Times New Roman" w:cstheme="minorHAnsi"/>
                <w:b/>
                <w:bCs/>
                <w:color w:val="000000"/>
                <w:sz w:val="20"/>
                <w:szCs w:val="20"/>
                <w:lang w:eastAsia="en-GB"/>
              </w:rPr>
            </w:pPr>
            <w:r w:rsidRPr="00BB4743">
              <w:rPr>
                <w:rFonts w:eastAsia="Times New Roman" w:cstheme="minorHAnsi"/>
                <w:b/>
                <w:bCs/>
                <w:color w:val="000000"/>
                <w:sz w:val="20"/>
                <w:szCs w:val="20"/>
                <w:lang w:eastAsia="en-GB"/>
              </w:rPr>
              <w:t xml:space="preserve">WOAH </w:t>
            </w:r>
            <w:r w:rsidR="00B70F68" w:rsidRPr="00BB4743">
              <w:rPr>
                <w:rFonts w:eastAsia="Times New Roman" w:cstheme="minorHAnsi"/>
                <w:b/>
                <w:bCs/>
                <w:color w:val="000000"/>
                <w:sz w:val="20"/>
                <w:szCs w:val="20"/>
                <w:lang w:eastAsia="en-GB"/>
              </w:rPr>
              <w:t>reporting</w:t>
            </w:r>
          </w:p>
        </w:tc>
        <w:tc>
          <w:tcPr>
            <w:tcW w:w="3020" w:type="pct"/>
            <w:noWrap/>
            <w:hideMark/>
          </w:tcPr>
          <w:p w14:paraId="67A16EE5" w14:textId="77777777" w:rsidR="00B70F68" w:rsidRPr="00BB4743" w:rsidRDefault="00B70F68" w:rsidP="008C1BFD">
            <w:pPr>
              <w:jc w:val="center"/>
              <w:rPr>
                <w:rFonts w:eastAsia="Times New Roman" w:cstheme="minorHAnsi"/>
                <w:b/>
                <w:bCs/>
                <w:color w:val="000000"/>
                <w:sz w:val="20"/>
                <w:szCs w:val="20"/>
                <w:lang w:eastAsia="en-GB"/>
              </w:rPr>
            </w:pPr>
          </w:p>
        </w:tc>
      </w:tr>
      <w:tr w:rsidR="00B70F68" w:rsidRPr="00505ECD" w14:paraId="2E3139A5" w14:textId="77777777" w:rsidTr="00BB4743">
        <w:trPr>
          <w:cnfStyle w:val="000000100000" w:firstRow="0" w:lastRow="0" w:firstColumn="0" w:lastColumn="0" w:oddVBand="0" w:evenVBand="0" w:oddHBand="1" w:evenHBand="0" w:firstRowFirstColumn="0" w:firstRowLastColumn="0" w:lastRowFirstColumn="0" w:lastRowLastColumn="0"/>
          <w:trHeight w:val="19"/>
        </w:trPr>
        <w:tc>
          <w:tcPr>
            <w:tcW w:w="706" w:type="pct"/>
            <w:shd w:val="clear" w:color="auto" w:fill="96C286" w:themeFill="text2" w:themeFillTint="99"/>
            <w:hideMark/>
          </w:tcPr>
          <w:p w14:paraId="1E2B2C2B" w14:textId="6C278475" w:rsidR="00B70F68" w:rsidRPr="00BB4743" w:rsidRDefault="00505ECD" w:rsidP="008C1BFD">
            <w:pPr>
              <w:rPr>
                <w:rFonts w:eastAsia="Times New Roman" w:cstheme="minorHAnsi"/>
                <w:b/>
                <w:bCs/>
                <w:color w:val="000000"/>
                <w:sz w:val="20"/>
                <w:szCs w:val="20"/>
                <w:lang w:eastAsia="en-GB"/>
              </w:rPr>
            </w:pPr>
            <w:r w:rsidRPr="00BB4743">
              <w:rPr>
                <w:rFonts w:eastAsia="Times New Roman" w:cstheme="minorHAnsi"/>
                <w:b/>
                <w:bCs/>
                <w:color w:val="000000"/>
                <w:sz w:val="20"/>
                <w:szCs w:val="20"/>
                <w:lang w:eastAsia="en-GB"/>
              </w:rPr>
              <w:t>Country</w:t>
            </w:r>
          </w:p>
        </w:tc>
        <w:tc>
          <w:tcPr>
            <w:tcW w:w="655" w:type="pct"/>
            <w:shd w:val="clear" w:color="auto" w:fill="96C286" w:themeFill="text2" w:themeFillTint="99"/>
            <w:hideMark/>
          </w:tcPr>
          <w:p w14:paraId="794A38FF" w14:textId="77777777" w:rsidR="00B70F68" w:rsidRPr="00BB4743" w:rsidRDefault="00B70F68" w:rsidP="008C1BFD">
            <w:pPr>
              <w:rPr>
                <w:rFonts w:eastAsia="Times New Roman" w:cstheme="minorHAnsi"/>
                <w:b/>
                <w:bCs/>
                <w:color w:val="000000"/>
                <w:sz w:val="20"/>
                <w:szCs w:val="20"/>
                <w:lang w:eastAsia="en-GB"/>
              </w:rPr>
            </w:pPr>
            <w:r w:rsidRPr="00BB4743">
              <w:rPr>
                <w:rFonts w:eastAsia="Times New Roman" w:cstheme="minorHAnsi"/>
                <w:b/>
                <w:bCs/>
                <w:color w:val="000000"/>
                <w:sz w:val="20"/>
                <w:szCs w:val="20"/>
                <w:lang w:eastAsia="en-GB"/>
              </w:rPr>
              <w:t>BL: 2018</w:t>
            </w:r>
          </w:p>
        </w:tc>
        <w:tc>
          <w:tcPr>
            <w:tcW w:w="619" w:type="pct"/>
            <w:shd w:val="clear" w:color="auto" w:fill="96C286" w:themeFill="text2" w:themeFillTint="99"/>
            <w:hideMark/>
          </w:tcPr>
          <w:p w14:paraId="2F798480" w14:textId="77777777" w:rsidR="00B70F68" w:rsidRPr="00BB4743" w:rsidRDefault="00B70F68" w:rsidP="008C1BFD">
            <w:pPr>
              <w:rPr>
                <w:rFonts w:eastAsia="Times New Roman" w:cstheme="minorHAnsi"/>
                <w:b/>
                <w:bCs/>
                <w:color w:val="000000"/>
                <w:sz w:val="20"/>
                <w:szCs w:val="20"/>
                <w:lang w:eastAsia="en-GB"/>
              </w:rPr>
            </w:pPr>
            <w:r w:rsidRPr="00BB4743">
              <w:rPr>
                <w:rFonts w:eastAsia="Times New Roman" w:cstheme="minorHAnsi"/>
                <w:b/>
                <w:bCs/>
                <w:color w:val="000000"/>
                <w:sz w:val="20"/>
                <w:szCs w:val="20"/>
                <w:lang w:eastAsia="en-GB"/>
              </w:rPr>
              <w:t>Latest year</w:t>
            </w:r>
          </w:p>
        </w:tc>
        <w:tc>
          <w:tcPr>
            <w:tcW w:w="3020" w:type="pct"/>
            <w:shd w:val="clear" w:color="auto" w:fill="96C286" w:themeFill="text2" w:themeFillTint="99"/>
            <w:hideMark/>
          </w:tcPr>
          <w:p w14:paraId="63DCF1B3" w14:textId="0FD8664B" w:rsidR="00B70F68" w:rsidRPr="00BB4743" w:rsidRDefault="00317C7C" w:rsidP="008C1BFD">
            <w:pPr>
              <w:rPr>
                <w:rFonts w:eastAsia="Times New Roman" w:cstheme="minorHAnsi"/>
                <w:b/>
                <w:bCs/>
                <w:color w:val="000000"/>
                <w:sz w:val="20"/>
                <w:szCs w:val="20"/>
                <w:lang w:eastAsia="en-GB"/>
              </w:rPr>
            </w:pPr>
            <w:r w:rsidRPr="00BB4743">
              <w:rPr>
                <w:rFonts w:eastAsia="Times New Roman" w:cstheme="minorHAnsi"/>
                <w:b/>
                <w:bCs/>
                <w:color w:val="000000"/>
                <w:sz w:val="20"/>
                <w:szCs w:val="20"/>
                <w:lang w:eastAsia="en-GB"/>
              </w:rPr>
              <w:t>C</w:t>
            </w:r>
            <w:r w:rsidR="00B70F68" w:rsidRPr="00BB4743">
              <w:rPr>
                <w:rFonts w:eastAsia="Times New Roman" w:cstheme="minorHAnsi"/>
                <w:b/>
                <w:bCs/>
                <w:color w:val="000000"/>
                <w:sz w:val="20"/>
                <w:szCs w:val="20"/>
                <w:lang w:eastAsia="en-GB"/>
              </w:rPr>
              <w:t>hange within</w:t>
            </w:r>
          </w:p>
        </w:tc>
      </w:tr>
      <w:tr w:rsidR="00B70F68" w:rsidRPr="00A50638" w14:paraId="211EC6D0" w14:textId="77777777" w:rsidTr="00562A4F">
        <w:trPr>
          <w:cnfStyle w:val="000000010000" w:firstRow="0" w:lastRow="0" w:firstColumn="0" w:lastColumn="0" w:oddVBand="0" w:evenVBand="0" w:oddHBand="0" w:evenHBand="1" w:firstRowFirstColumn="0" w:firstRowLastColumn="0" w:lastRowFirstColumn="0" w:lastRowLastColumn="0"/>
          <w:trHeight w:val="19"/>
        </w:trPr>
        <w:tc>
          <w:tcPr>
            <w:tcW w:w="706" w:type="pct"/>
            <w:hideMark/>
          </w:tcPr>
          <w:p w14:paraId="317D2BB6" w14:textId="07B4A529"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Bangladesh</w:t>
            </w:r>
          </w:p>
        </w:tc>
        <w:tc>
          <w:tcPr>
            <w:tcW w:w="655" w:type="pct"/>
            <w:shd w:val="clear" w:color="auto" w:fill="auto"/>
            <w:hideMark/>
          </w:tcPr>
          <w:p w14:paraId="2A02A482" w14:textId="77777777" w:rsidR="00B70F68" w:rsidRPr="00A50638" w:rsidRDefault="00B70F68" w:rsidP="008C1BFD">
            <w:pPr>
              <w:rPr>
                <w:rFonts w:eastAsia="Times New Roman" w:cstheme="minorHAnsi"/>
                <w:color w:val="000000"/>
                <w:sz w:val="20"/>
                <w:szCs w:val="20"/>
                <w:lang w:eastAsia="en-GB"/>
              </w:rPr>
            </w:pPr>
            <w:r>
              <w:rPr>
                <w:rFonts w:eastAsia="Times New Roman" w:cstheme="minorHAnsi"/>
                <w:color w:val="000000"/>
                <w:sz w:val="20"/>
                <w:szCs w:val="20"/>
                <w:lang w:eastAsia="en-GB"/>
              </w:rPr>
              <w:t>None</w:t>
            </w:r>
          </w:p>
        </w:tc>
        <w:tc>
          <w:tcPr>
            <w:tcW w:w="619" w:type="pct"/>
            <w:shd w:val="clear" w:color="auto" w:fill="3FB84E" w:themeFill="accent3"/>
            <w:hideMark/>
          </w:tcPr>
          <w:p w14:paraId="426DDC54"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2</w:t>
            </w:r>
          </w:p>
        </w:tc>
        <w:tc>
          <w:tcPr>
            <w:tcW w:w="3020" w:type="pct"/>
            <w:shd w:val="clear" w:color="auto" w:fill="3FB84E" w:themeFill="accent3"/>
            <w:hideMark/>
          </w:tcPr>
          <w:p w14:paraId="0BAA58D6"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Y</w:t>
            </w:r>
          </w:p>
        </w:tc>
      </w:tr>
      <w:tr w:rsidR="00B70F68" w:rsidRPr="00A50638" w14:paraId="20F7B5E0" w14:textId="77777777" w:rsidTr="00562A4F">
        <w:trPr>
          <w:cnfStyle w:val="000000100000" w:firstRow="0" w:lastRow="0" w:firstColumn="0" w:lastColumn="0" w:oddVBand="0" w:evenVBand="0" w:oddHBand="1" w:evenHBand="0" w:firstRowFirstColumn="0" w:firstRowLastColumn="0" w:lastRowFirstColumn="0" w:lastRowLastColumn="0"/>
          <w:trHeight w:val="19"/>
        </w:trPr>
        <w:tc>
          <w:tcPr>
            <w:tcW w:w="706" w:type="pct"/>
            <w:hideMark/>
          </w:tcPr>
          <w:p w14:paraId="34BDCE77" w14:textId="43EC04B3"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Bhutan</w:t>
            </w:r>
          </w:p>
        </w:tc>
        <w:tc>
          <w:tcPr>
            <w:tcW w:w="655" w:type="pct"/>
            <w:shd w:val="clear" w:color="auto" w:fill="auto"/>
            <w:hideMark/>
          </w:tcPr>
          <w:p w14:paraId="70A667D8"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1</w:t>
            </w:r>
          </w:p>
        </w:tc>
        <w:tc>
          <w:tcPr>
            <w:tcW w:w="619" w:type="pct"/>
            <w:shd w:val="clear" w:color="auto" w:fill="3FB84E" w:themeFill="accent3"/>
            <w:hideMark/>
          </w:tcPr>
          <w:p w14:paraId="3AEAC7A6"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3</w:t>
            </w:r>
          </w:p>
        </w:tc>
        <w:tc>
          <w:tcPr>
            <w:tcW w:w="3020" w:type="pct"/>
            <w:hideMark/>
          </w:tcPr>
          <w:p w14:paraId="5BFA00A6"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N/A</w:t>
            </w:r>
          </w:p>
        </w:tc>
      </w:tr>
      <w:tr w:rsidR="00B70F68" w:rsidRPr="00A50638" w14:paraId="1AC78FBE" w14:textId="77777777" w:rsidTr="00562A4F">
        <w:trPr>
          <w:cnfStyle w:val="000000010000" w:firstRow="0" w:lastRow="0" w:firstColumn="0" w:lastColumn="0" w:oddVBand="0" w:evenVBand="0" w:oddHBand="0" w:evenHBand="1" w:firstRowFirstColumn="0" w:firstRowLastColumn="0" w:lastRowFirstColumn="0" w:lastRowLastColumn="0"/>
          <w:trHeight w:val="19"/>
        </w:trPr>
        <w:tc>
          <w:tcPr>
            <w:tcW w:w="706" w:type="pct"/>
            <w:hideMark/>
          </w:tcPr>
          <w:p w14:paraId="5A09167C" w14:textId="6B23792A"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Ghana</w:t>
            </w:r>
          </w:p>
        </w:tc>
        <w:tc>
          <w:tcPr>
            <w:tcW w:w="655" w:type="pct"/>
            <w:shd w:val="clear" w:color="auto" w:fill="auto"/>
            <w:hideMark/>
          </w:tcPr>
          <w:p w14:paraId="29B07129"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1</w:t>
            </w:r>
          </w:p>
        </w:tc>
        <w:tc>
          <w:tcPr>
            <w:tcW w:w="619" w:type="pct"/>
            <w:shd w:val="clear" w:color="auto" w:fill="FFC000"/>
            <w:hideMark/>
          </w:tcPr>
          <w:p w14:paraId="70F1EAC3"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no info</w:t>
            </w:r>
          </w:p>
        </w:tc>
        <w:tc>
          <w:tcPr>
            <w:tcW w:w="3020" w:type="pct"/>
            <w:hideMark/>
          </w:tcPr>
          <w:p w14:paraId="0BC835E0"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N/A</w:t>
            </w:r>
          </w:p>
        </w:tc>
      </w:tr>
      <w:tr w:rsidR="00B70F68" w:rsidRPr="00A50638" w14:paraId="458BE15E" w14:textId="77777777" w:rsidTr="00562A4F">
        <w:trPr>
          <w:cnfStyle w:val="000000100000" w:firstRow="0" w:lastRow="0" w:firstColumn="0" w:lastColumn="0" w:oddVBand="0" w:evenVBand="0" w:oddHBand="1" w:evenHBand="0" w:firstRowFirstColumn="0" w:firstRowLastColumn="0" w:lastRowFirstColumn="0" w:lastRowLastColumn="0"/>
          <w:trHeight w:val="19"/>
        </w:trPr>
        <w:tc>
          <w:tcPr>
            <w:tcW w:w="706" w:type="pct"/>
            <w:hideMark/>
          </w:tcPr>
          <w:p w14:paraId="74E23CCB" w14:textId="60B76B8C"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Indonesia</w:t>
            </w:r>
          </w:p>
        </w:tc>
        <w:tc>
          <w:tcPr>
            <w:tcW w:w="655" w:type="pct"/>
            <w:shd w:val="clear" w:color="auto" w:fill="auto"/>
            <w:hideMark/>
          </w:tcPr>
          <w:p w14:paraId="2643309B"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no info</w:t>
            </w:r>
          </w:p>
        </w:tc>
        <w:tc>
          <w:tcPr>
            <w:tcW w:w="619" w:type="pct"/>
            <w:shd w:val="clear" w:color="auto" w:fill="FFC000"/>
            <w:hideMark/>
          </w:tcPr>
          <w:p w14:paraId="7AAC83B2"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no info</w:t>
            </w:r>
          </w:p>
        </w:tc>
        <w:tc>
          <w:tcPr>
            <w:tcW w:w="3020" w:type="pct"/>
            <w:hideMark/>
          </w:tcPr>
          <w:p w14:paraId="47453841" w14:textId="03B585C3" w:rsidR="00B70F68" w:rsidRPr="00A50638" w:rsidRDefault="00317C7C"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N/A</w:t>
            </w:r>
          </w:p>
        </w:tc>
      </w:tr>
      <w:tr w:rsidR="00B70F68" w:rsidRPr="00A50638" w14:paraId="0D80B0FD" w14:textId="77777777" w:rsidTr="00562A4F">
        <w:trPr>
          <w:cnfStyle w:val="000000010000" w:firstRow="0" w:lastRow="0" w:firstColumn="0" w:lastColumn="0" w:oddVBand="0" w:evenVBand="0" w:oddHBand="0" w:evenHBand="1" w:firstRowFirstColumn="0" w:firstRowLastColumn="0" w:lastRowFirstColumn="0" w:lastRowLastColumn="0"/>
          <w:trHeight w:val="19"/>
        </w:trPr>
        <w:tc>
          <w:tcPr>
            <w:tcW w:w="706" w:type="pct"/>
            <w:hideMark/>
          </w:tcPr>
          <w:p w14:paraId="22519F21" w14:textId="2FB7147A"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Kenya</w:t>
            </w:r>
          </w:p>
        </w:tc>
        <w:tc>
          <w:tcPr>
            <w:tcW w:w="655" w:type="pct"/>
            <w:shd w:val="clear" w:color="auto" w:fill="auto"/>
            <w:hideMark/>
          </w:tcPr>
          <w:p w14:paraId="30526F82"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1</w:t>
            </w:r>
          </w:p>
        </w:tc>
        <w:tc>
          <w:tcPr>
            <w:tcW w:w="619" w:type="pct"/>
            <w:shd w:val="clear" w:color="auto" w:fill="E37230" w:themeFill="accent2"/>
            <w:hideMark/>
          </w:tcPr>
          <w:p w14:paraId="658CA2BE"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1</w:t>
            </w:r>
          </w:p>
        </w:tc>
        <w:tc>
          <w:tcPr>
            <w:tcW w:w="3020" w:type="pct"/>
            <w:shd w:val="clear" w:color="auto" w:fill="3FB84E" w:themeFill="accent3"/>
            <w:hideMark/>
          </w:tcPr>
          <w:p w14:paraId="5F4C4F07" w14:textId="4A99E7BB"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Y - Starting to capture imports via informal routes, not just gov</w:t>
            </w:r>
            <w:r w:rsidR="00C81BBC">
              <w:rPr>
                <w:rFonts w:eastAsia="Times New Roman" w:cstheme="minorHAnsi"/>
                <w:color w:val="000000"/>
                <w:sz w:val="20"/>
                <w:szCs w:val="20"/>
                <w:lang w:eastAsia="en-GB"/>
              </w:rPr>
              <w:t>ernment</w:t>
            </w:r>
            <w:r w:rsidRPr="00A50638">
              <w:rPr>
                <w:rFonts w:eastAsia="Times New Roman" w:cstheme="minorHAnsi"/>
                <w:color w:val="000000"/>
                <w:sz w:val="20"/>
                <w:szCs w:val="20"/>
                <w:lang w:eastAsia="en-GB"/>
              </w:rPr>
              <w:t xml:space="preserve"> data on imports. Work in progress</w:t>
            </w:r>
          </w:p>
        </w:tc>
      </w:tr>
      <w:tr w:rsidR="00B70F68" w:rsidRPr="00A50638" w14:paraId="06812022" w14:textId="77777777" w:rsidTr="00562A4F">
        <w:trPr>
          <w:cnfStyle w:val="000000100000" w:firstRow="0" w:lastRow="0" w:firstColumn="0" w:lastColumn="0" w:oddVBand="0" w:evenVBand="0" w:oddHBand="1" w:evenHBand="0" w:firstRowFirstColumn="0" w:firstRowLastColumn="0" w:lastRowFirstColumn="0" w:lastRowLastColumn="0"/>
          <w:trHeight w:val="19"/>
        </w:trPr>
        <w:tc>
          <w:tcPr>
            <w:tcW w:w="706" w:type="pct"/>
            <w:hideMark/>
          </w:tcPr>
          <w:p w14:paraId="1D128D8A" w14:textId="21A33C8D"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Laos</w:t>
            </w:r>
          </w:p>
        </w:tc>
        <w:tc>
          <w:tcPr>
            <w:tcW w:w="655" w:type="pct"/>
            <w:shd w:val="clear" w:color="auto" w:fill="auto"/>
            <w:hideMark/>
          </w:tcPr>
          <w:p w14:paraId="6BCCA060"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 </w:t>
            </w:r>
            <w:r>
              <w:rPr>
                <w:rFonts w:eastAsia="Times New Roman" w:cstheme="minorHAnsi"/>
                <w:color w:val="000000"/>
                <w:sz w:val="20"/>
                <w:szCs w:val="20"/>
                <w:lang w:eastAsia="en-GB"/>
              </w:rPr>
              <w:t>?</w:t>
            </w:r>
          </w:p>
        </w:tc>
        <w:tc>
          <w:tcPr>
            <w:tcW w:w="619" w:type="pct"/>
            <w:shd w:val="clear" w:color="auto" w:fill="3FB84E" w:themeFill="accent3"/>
            <w:hideMark/>
          </w:tcPr>
          <w:p w14:paraId="24317A63"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3</w:t>
            </w:r>
          </w:p>
        </w:tc>
        <w:tc>
          <w:tcPr>
            <w:tcW w:w="3020" w:type="pct"/>
            <w:hideMark/>
          </w:tcPr>
          <w:p w14:paraId="1930F704"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w:t>
            </w:r>
          </w:p>
        </w:tc>
      </w:tr>
      <w:tr w:rsidR="00B70F68" w:rsidRPr="00A50638" w14:paraId="4F6D7F1F" w14:textId="77777777" w:rsidTr="00562A4F">
        <w:trPr>
          <w:cnfStyle w:val="000000010000" w:firstRow="0" w:lastRow="0" w:firstColumn="0" w:lastColumn="0" w:oddVBand="0" w:evenVBand="0" w:oddHBand="0" w:evenHBand="1" w:firstRowFirstColumn="0" w:firstRowLastColumn="0" w:lastRowFirstColumn="0" w:lastRowLastColumn="0"/>
          <w:trHeight w:val="19"/>
        </w:trPr>
        <w:tc>
          <w:tcPr>
            <w:tcW w:w="706" w:type="pct"/>
            <w:hideMark/>
          </w:tcPr>
          <w:p w14:paraId="22BA7D5D" w14:textId="2E42AEF9"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Nepal</w:t>
            </w:r>
          </w:p>
        </w:tc>
        <w:tc>
          <w:tcPr>
            <w:tcW w:w="655" w:type="pct"/>
            <w:shd w:val="clear" w:color="auto" w:fill="auto"/>
            <w:hideMark/>
          </w:tcPr>
          <w:p w14:paraId="6768176C"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1</w:t>
            </w:r>
          </w:p>
        </w:tc>
        <w:tc>
          <w:tcPr>
            <w:tcW w:w="619" w:type="pct"/>
            <w:shd w:val="clear" w:color="auto" w:fill="3FB84E" w:themeFill="accent3"/>
            <w:hideMark/>
          </w:tcPr>
          <w:p w14:paraId="1F5784BF"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3</w:t>
            </w:r>
          </w:p>
        </w:tc>
        <w:tc>
          <w:tcPr>
            <w:tcW w:w="3020" w:type="pct"/>
            <w:hideMark/>
          </w:tcPr>
          <w:p w14:paraId="7B8C462F"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N/A</w:t>
            </w:r>
          </w:p>
        </w:tc>
      </w:tr>
      <w:tr w:rsidR="00B70F68" w:rsidRPr="00A50638" w14:paraId="55D379AD" w14:textId="77777777" w:rsidTr="00562A4F">
        <w:trPr>
          <w:cnfStyle w:val="000000100000" w:firstRow="0" w:lastRow="0" w:firstColumn="0" w:lastColumn="0" w:oddVBand="0" w:evenVBand="0" w:oddHBand="1" w:evenHBand="0" w:firstRowFirstColumn="0" w:firstRowLastColumn="0" w:lastRowFirstColumn="0" w:lastRowLastColumn="0"/>
          <w:trHeight w:val="19"/>
        </w:trPr>
        <w:tc>
          <w:tcPr>
            <w:tcW w:w="706" w:type="pct"/>
            <w:hideMark/>
          </w:tcPr>
          <w:p w14:paraId="36B2A074" w14:textId="4D07D929"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Nigeria</w:t>
            </w:r>
          </w:p>
        </w:tc>
        <w:tc>
          <w:tcPr>
            <w:tcW w:w="655" w:type="pct"/>
            <w:shd w:val="clear" w:color="auto" w:fill="auto"/>
            <w:hideMark/>
          </w:tcPr>
          <w:p w14:paraId="7DC253F5"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1</w:t>
            </w:r>
          </w:p>
        </w:tc>
        <w:tc>
          <w:tcPr>
            <w:tcW w:w="619" w:type="pct"/>
            <w:shd w:val="clear" w:color="auto" w:fill="3FB84E" w:themeFill="accent3"/>
            <w:hideMark/>
          </w:tcPr>
          <w:p w14:paraId="231BEBB2"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2</w:t>
            </w:r>
          </w:p>
        </w:tc>
        <w:tc>
          <w:tcPr>
            <w:tcW w:w="3020" w:type="pct"/>
            <w:hideMark/>
          </w:tcPr>
          <w:p w14:paraId="012DD1BA" w14:textId="5A401C07" w:rsidR="00B70F68" w:rsidRPr="00A50638" w:rsidRDefault="00317C7C"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N/A</w:t>
            </w:r>
          </w:p>
        </w:tc>
      </w:tr>
      <w:tr w:rsidR="00B70F68" w:rsidRPr="00A50638" w14:paraId="27020817" w14:textId="77777777" w:rsidTr="00562A4F">
        <w:trPr>
          <w:cnfStyle w:val="000000010000" w:firstRow="0" w:lastRow="0" w:firstColumn="0" w:lastColumn="0" w:oddVBand="0" w:evenVBand="0" w:oddHBand="0" w:evenHBand="1" w:firstRowFirstColumn="0" w:firstRowLastColumn="0" w:lastRowFirstColumn="0" w:lastRowLastColumn="0"/>
          <w:trHeight w:val="110"/>
        </w:trPr>
        <w:tc>
          <w:tcPr>
            <w:tcW w:w="706" w:type="pct"/>
            <w:hideMark/>
          </w:tcPr>
          <w:p w14:paraId="2CEFC907" w14:textId="71581700"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Pakistan</w:t>
            </w:r>
          </w:p>
        </w:tc>
        <w:tc>
          <w:tcPr>
            <w:tcW w:w="655" w:type="pct"/>
            <w:shd w:val="clear" w:color="auto" w:fill="auto"/>
            <w:hideMark/>
          </w:tcPr>
          <w:p w14:paraId="05FFD50F"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 </w:t>
            </w:r>
            <w:r>
              <w:rPr>
                <w:rFonts w:eastAsia="Times New Roman" w:cstheme="minorHAnsi"/>
                <w:color w:val="000000"/>
                <w:sz w:val="20"/>
                <w:szCs w:val="20"/>
                <w:lang w:eastAsia="en-GB"/>
              </w:rPr>
              <w:t>?</w:t>
            </w:r>
          </w:p>
        </w:tc>
        <w:tc>
          <w:tcPr>
            <w:tcW w:w="619" w:type="pct"/>
            <w:shd w:val="clear" w:color="auto" w:fill="FFC000"/>
            <w:hideMark/>
          </w:tcPr>
          <w:p w14:paraId="429D46D0" w14:textId="77777777" w:rsidR="00B70F68" w:rsidRPr="00A50638" w:rsidRDefault="00B70F68" w:rsidP="008C1BFD">
            <w:pPr>
              <w:rPr>
                <w:rFonts w:eastAsia="Times New Roman" w:cstheme="minorHAnsi"/>
                <w:color w:val="000000"/>
                <w:sz w:val="20"/>
                <w:szCs w:val="20"/>
                <w:lang w:eastAsia="en-GB"/>
              </w:rPr>
            </w:pPr>
            <w:r>
              <w:rPr>
                <w:rFonts w:eastAsia="Times New Roman" w:cstheme="minorHAnsi"/>
                <w:color w:val="000000"/>
                <w:sz w:val="20"/>
                <w:szCs w:val="20"/>
                <w:lang w:eastAsia="en-GB"/>
              </w:rPr>
              <w:t>?</w:t>
            </w:r>
          </w:p>
        </w:tc>
        <w:tc>
          <w:tcPr>
            <w:tcW w:w="3020" w:type="pct"/>
            <w:hideMark/>
          </w:tcPr>
          <w:p w14:paraId="26B27367"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No info </w:t>
            </w:r>
          </w:p>
        </w:tc>
      </w:tr>
      <w:tr w:rsidR="00B70F68" w:rsidRPr="00A50638" w14:paraId="7989DD2C" w14:textId="77777777" w:rsidTr="00562A4F">
        <w:trPr>
          <w:cnfStyle w:val="000000100000" w:firstRow="0" w:lastRow="0" w:firstColumn="0" w:lastColumn="0" w:oddVBand="0" w:evenVBand="0" w:oddHBand="1" w:evenHBand="0" w:firstRowFirstColumn="0" w:firstRowLastColumn="0" w:lastRowFirstColumn="0" w:lastRowLastColumn="0"/>
          <w:trHeight w:val="19"/>
        </w:trPr>
        <w:tc>
          <w:tcPr>
            <w:tcW w:w="706" w:type="pct"/>
            <w:hideMark/>
          </w:tcPr>
          <w:p w14:paraId="13FD33BF" w14:textId="096C1440"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Senegal</w:t>
            </w:r>
          </w:p>
        </w:tc>
        <w:tc>
          <w:tcPr>
            <w:tcW w:w="655" w:type="pct"/>
            <w:shd w:val="clear" w:color="auto" w:fill="auto"/>
            <w:hideMark/>
          </w:tcPr>
          <w:p w14:paraId="73B6F49C"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1</w:t>
            </w:r>
          </w:p>
        </w:tc>
        <w:tc>
          <w:tcPr>
            <w:tcW w:w="619" w:type="pct"/>
            <w:shd w:val="clear" w:color="auto" w:fill="3FB84E" w:themeFill="accent3"/>
            <w:hideMark/>
          </w:tcPr>
          <w:p w14:paraId="4CD2F6CA"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3</w:t>
            </w:r>
          </w:p>
        </w:tc>
        <w:tc>
          <w:tcPr>
            <w:tcW w:w="3020" w:type="pct"/>
            <w:hideMark/>
          </w:tcPr>
          <w:p w14:paraId="54526F6F"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No Info</w:t>
            </w:r>
          </w:p>
        </w:tc>
      </w:tr>
      <w:tr w:rsidR="00B70F68" w:rsidRPr="00A50638" w14:paraId="749EC698" w14:textId="77777777" w:rsidTr="007F63EF">
        <w:trPr>
          <w:cnfStyle w:val="000000010000" w:firstRow="0" w:lastRow="0" w:firstColumn="0" w:lastColumn="0" w:oddVBand="0" w:evenVBand="0" w:oddHBand="0" w:evenHBand="1" w:firstRowFirstColumn="0" w:firstRowLastColumn="0" w:lastRowFirstColumn="0" w:lastRowLastColumn="0"/>
          <w:trHeight w:val="19"/>
        </w:trPr>
        <w:tc>
          <w:tcPr>
            <w:tcW w:w="0" w:type="pct"/>
            <w:hideMark/>
          </w:tcPr>
          <w:p w14:paraId="38F6D7BF" w14:textId="5D4AADD6"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Sierra Leone</w:t>
            </w:r>
          </w:p>
        </w:tc>
        <w:tc>
          <w:tcPr>
            <w:tcW w:w="0" w:type="pct"/>
            <w:shd w:val="clear" w:color="auto" w:fill="auto"/>
            <w:hideMark/>
          </w:tcPr>
          <w:p w14:paraId="70BF907A" w14:textId="77777777" w:rsidR="00B70F68" w:rsidRPr="00A50638" w:rsidRDefault="00B70F68" w:rsidP="008C1BFD">
            <w:pPr>
              <w:rPr>
                <w:rFonts w:eastAsia="Times New Roman" w:cstheme="minorHAnsi"/>
                <w:color w:val="000000"/>
                <w:sz w:val="20"/>
                <w:szCs w:val="20"/>
                <w:lang w:eastAsia="en-GB"/>
              </w:rPr>
            </w:pPr>
            <w:r>
              <w:rPr>
                <w:rFonts w:eastAsia="Times New Roman" w:cstheme="minorHAnsi"/>
                <w:color w:val="000000"/>
                <w:sz w:val="20"/>
                <w:szCs w:val="20"/>
                <w:lang w:eastAsia="en-GB"/>
              </w:rPr>
              <w:t>None</w:t>
            </w:r>
          </w:p>
        </w:tc>
        <w:tc>
          <w:tcPr>
            <w:tcW w:w="0" w:type="pct"/>
            <w:shd w:val="clear" w:color="auto" w:fill="E37230" w:themeFill="accent2"/>
            <w:hideMark/>
          </w:tcPr>
          <w:p w14:paraId="00168D36" w14:textId="77777777" w:rsidR="00B70F68" w:rsidRPr="00A50638" w:rsidRDefault="00B70F68" w:rsidP="008C1BFD">
            <w:pPr>
              <w:rPr>
                <w:rFonts w:eastAsia="Times New Roman" w:cstheme="minorHAnsi"/>
                <w:color w:val="000000"/>
                <w:sz w:val="20"/>
                <w:szCs w:val="20"/>
                <w:lang w:eastAsia="en-GB"/>
              </w:rPr>
            </w:pPr>
            <w:r>
              <w:rPr>
                <w:rFonts w:eastAsia="Times New Roman" w:cstheme="minorHAnsi"/>
                <w:color w:val="000000"/>
                <w:sz w:val="20"/>
                <w:szCs w:val="20"/>
                <w:lang w:eastAsia="en-GB"/>
              </w:rPr>
              <w:t>none</w:t>
            </w:r>
          </w:p>
        </w:tc>
        <w:tc>
          <w:tcPr>
            <w:tcW w:w="0" w:type="pct"/>
            <w:hideMark/>
          </w:tcPr>
          <w:p w14:paraId="7C3411E0"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N/A</w:t>
            </w:r>
          </w:p>
        </w:tc>
      </w:tr>
      <w:tr w:rsidR="00B70F68" w:rsidRPr="00A50638" w14:paraId="0E84271C" w14:textId="77777777" w:rsidTr="00562A4F">
        <w:trPr>
          <w:cnfStyle w:val="000000100000" w:firstRow="0" w:lastRow="0" w:firstColumn="0" w:lastColumn="0" w:oddVBand="0" w:evenVBand="0" w:oddHBand="1" w:evenHBand="0" w:firstRowFirstColumn="0" w:firstRowLastColumn="0" w:lastRowFirstColumn="0" w:lastRowLastColumn="0"/>
          <w:trHeight w:val="19"/>
        </w:trPr>
        <w:tc>
          <w:tcPr>
            <w:tcW w:w="706" w:type="pct"/>
            <w:hideMark/>
          </w:tcPr>
          <w:p w14:paraId="0A35A564" w14:textId="1C605AE5"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Tanzania</w:t>
            </w:r>
          </w:p>
        </w:tc>
        <w:tc>
          <w:tcPr>
            <w:tcW w:w="655" w:type="pct"/>
            <w:shd w:val="clear" w:color="auto" w:fill="auto"/>
            <w:hideMark/>
          </w:tcPr>
          <w:p w14:paraId="47169DA8" w14:textId="77777777" w:rsidR="00B70F68" w:rsidRPr="00A50638" w:rsidRDefault="00B70F68" w:rsidP="008C1BFD">
            <w:pPr>
              <w:rPr>
                <w:rFonts w:eastAsia="Times New Roman" w:cstheme="minorHAnsi"/>
                <w:color w:val="000000"/>
                <w:sz w:val="20"/>
                <w:szCs w:val="20"/>
                <w:lang w:eastAsia="en-GB"/>
              </w:rPr>
            </w:pPr>
            <w:r>
              <w:rPr>
                <w:rFonts w:eastAsia="Times New Roman" w:cstheme="minorHAnsi"/>
                <w:color w:val="000000"/>
                <w:sz w:val="20"/>
                <w:szCs w:val="20"/>
                <w:lang w:eastAsia="en-GB"/>
              </w:rPr>
              <w:t>None</w:t>
            </w:r>
          </w:p>
        </w:tc>
        <w:tc>
          <w:tcPr>
            <w:tcW w:w="619" w:type="pct"/>
            <w:shd w:val="clear" w:color="auto" w:fill="3FB84E" w:themeFill="accent3"/>
            <w:hideMark/>
          </w:tcPr>
          <w:p w14:paraId="49AB15F0"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1</w:t>
            </w:r>
          </w:p>
        </w:tc>
        <w:tc>
          <w:tcPr>
            <w:tcW w:w="3020" w:type="pct"/>
            <w:shd w:val="clear" w:color="auto" w:fill="3FB84E" w:themeFill="accent3"/>
            <w:hideMark/>
          </w:tcPr>
          <w:p w14:paraId="43758535"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Y</w:t>
            </w:r>
          </w:p>
        </w:tc>
      </w:tr>
      <w:tr w:rsidR="00B70F68" w:rsidRPr="00A50638" w14:paraId="15540279" w14:textId="77777777" w:rsidTr="00562A4F">
        <w:trPr>
          <w:cnfStyle w:val="000000010000" w:firstRow="0" w:lastRow="0" w:firstColumn="0" w:lastColumn="0" w:oddVBand="0" w:evenVBand="0" w:oddHBand="0" w:evenHBand="1" w:firstRowFirstColumn="0" w:firstRowLastColumn="0" w:lastRowFirstColumn="0" w:lastRowLastColumn="0"/>
          <w:trHeight w:val="19"/>
        </w:trPr>
        <w:tc>
          <w:tcPr>
            <w:tcW w:w="706" w:type="pct"/>
            <w:hideMark/>
          </w:tcPr>
          <w:p w14:paraId="7EDD2360" w14:textId="19DDA267" w:rsidR="00B70F68" w:rsidRPr="00B70F68" w:rsidRDefault="00260B8A" w:rsidP="008C1BFD">
            <w:pPr>
              <w:rPr>
                <w:rFonts w:eastAsia="Times New Roman" w:cstheme="minorHAnsi"/>
                <w:color w:val="000000"/>
                <w:sz w:val="20"/>
                <w:szCs w:val="20"/>
                <w:lang w:eastAsia="en-GB"/>
              </w:rPr>
            </w:pPr>
            <w:r>
              <w:rPr>
                <w:rFonts w:eastAsia="Times New Roman" w:cstheme="minorHAnsi"/>
                <w:color w:val="000000"/>
                <w:sz w:val="20"/>
                <w:szCs w:val="20"/>
                <w:lang w:eastAsia="en-GB"/>
              </w:rPr>
              <w:t>Timor-Leste</w:t>
            </w:r>
          </w:p>
        </w:tc>
        <w:tc>
          <w:tcPr>
            <w:tcW w:w="655" w:type="pct"/>
            <w:shd w:val="clear" w:color="auto" w:fill="auto"/>
            <w:hideMark/>
          </w:tcPr>
          <w:p w14:paraId="04A321A6" w14:textId="77777777" w:rsidR="00B70F68" w:rsidRPr="00A50638" w:rsidRDefault="00B70F68" w:rsidP="008C1BFD">
            <w:pPr>
              <w:rPr>
                <w:rFonts w:eastAsia="Times New Roman" w:cstheme="minorHAnsi"/>
                <w:color w:val="000000"/>
                <w:sz w:val="20"/>
                <w:szCs w:val="20"/>
                <w:lang w:eastAsia="en-GB"/>
              </w:rPr>
            </w:pPr>
            <w:r>
              <w:rPr>
                <w:rFonts w:eastAsia="Times New Roman" w:cstheme="minorHAnsi"/>
                <w:color w:val="000000"/>
                <w:sz w:val="20"/>
                <w:szCs w:val="20"/>
                <w:lang w:eastAsia="en-GB"/>
              </w:rPr>
              <w:t>None</w:t>
            </w:r>
          </w:p>
        </w:tc>
        <w:tc>
          <w:tcPr>
            <w:tcW w:w="619" w:type="pct"/>
            <w:shd w:val="clear" w:color="auto" w:fill="3FB84E" w:themeFill="accent3"/>
            <w:hideMark/>
          </w:tcPr>
          <w:p w14:paraId="014E95E1"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3</w:t>
            </w:r>
          </w:p>
        </w:tc>
        <w:tc>
          <w:tcPr>
            <w:tcW w:w="3020" w:type="pct"/>
            <w:hideMark/>
          </w:tcPr>
          <w:p w14:paraId="3ED89189"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N/A- N/A</w:t>
            </w:r>
          </w:p>
        </w:tc>
      </w:tr>
      <w:tr w:rsidR="00B70F68" w:rsidRPr="00A50638" w14:paraId="065A6C0B" w14:textId="77777777" w:rsidTr="00562A4F">
        <w:trPr>
          <w:cnfStyle w:val="000000100000" w:firstRow="0" w:lastRow="0" w:firstColumn="0" w:lastColumn="0" w:oddVBand="0" w:evenVBand="0" w:oddHBand="1" w:evenHBand="0" w:firstRowFirstColumn="0" w:firstRowLastColumn="0" w:lastRowFirstColumn="0" w:lastRowLastColumn="0"/>
          <w:trHeight w:val="19"/>
        </w:trPr>
        <w:tc>
          <w:tcPr>
            <w:tcW w:w="706" w:type="pct"/>
            <w:hideMark/>
          </w:tcPr>
          <w:p w14:paraId="52EFA8C2" w14:textId="07BA5AFA"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Uganda</w:t>
            </w:r>
          </w:p>
        </w:tc>
        <w:tc>
          <w:tcPr>
            <w:tcW w:w="655" w:type="pct"/>
            <w:shd w:val="clear" w:color="auto" w:fill="auto"/>
            <w:hideMark/>
          </w:tcPr>
          <w:p w14:paraId="4F29FB49"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1</w:t>
            </w:r>
          </w:p>
        </w:tc>
        <w:tc>
          <w:tcPr>
            <w:tcW w:w="619" w:type="pct"/>
            <w:shd w:val="clear" w:color="auto" w:fill="E37230" w:themeFill="accent2"/>
            <w:hideMark/>
          </w:tcPr>
          <w:p w14:paraId="1899ED13"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1</w:t>
            </w:r>
          </w:p>
        </w:tc>
        <w:tc>
          <w:tcPr>
            <w:tcW w:w="3020" w:type="pct"/>
            <w:shd w:val="clear" w:color="auto" w:fill="3FB84E" w:themeFill="accent3"/>
            <w:hideMark/>
          </w:tcPr>
          <w:p w14:paraId="6428A54D"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Y</w:t>
            </w:r>
          </w:p>
        </w:tc>
      </w:tr>
      <w:tr w:rsidR="00B70F68" w:rsidRPr="00A50638" w14:paraId="367A3E91" w14:textId="77777777" w:rsidTr="00562A4F">
        <w:trPr>
          <w:cnfStyle w:val="000000010000" w:firstRow="0" w:lastRow="0" w:firstColumn="0" w:lastColumn="0" w:oddVBand="0" w:evenVBand="0" w:oddHBand="0" w:evenHBand="1" w:firstRowFirstColumn="0" w:firstRowLastColumn="0" w:lastRowFirstColumn="0" w:lastRowLastColumn="0"/>
          <w:trHeight w:val="19"/>
        </w:trPr>
        <w:tc>
          <w:tcPr>
            <w:tcW w:w="706" w:type="pct"/>
            <w:hideMark/>
          </w:tcPr>
          <w:p w14:paraId="55EF9924" w14:textId="388CD596"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Vietnam</w:t>
            </w:r>
          </w:p>
        </w:tc>
        <w:tc>
          <w:tcPr>
            <w:tcW w:w="655" w:type="pct"/>
            <w:shd w:val="clear" w:color="auto" w:fill="auto"/>
            <w:hideMark/>
          </w:tcPr>
          <w:p w14:paraId="63D2EE4A"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1</w:t>
            </w:r>
          </w:p>
        </w:tc>
        <w:tc>
          <w:tcPr>
            <w:tcW w:w="619" w:type="pct"/>
            <w:shd w:val="clear" w:color="auto" w:fill="E37230" w:themeFill="accent2"/>
            <w:hideMark/>
          </w:tcPr>
          <w:p w14:paraId="2E0C8286"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1</w:t>
            </w:r>
          </w:p>
        </w:tc>
        <w:tc>
          <w:tcPr>
            <w:tcW w:w="3020" w:type="pct"/>
            <w:hideMark/>
          </w:tcPr>
          <w:p w14:paraId="30F808E6"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w:t>
            </w:r>
          </w:p>
        </w:tc>
      </w:tr>
      <w:tr w:rsidR="00B70F68" w:rsidRPr="00A50638" w14:paraId="39DF4C0E" w14:textId="77777777" w:rsidTr="00562A4F">
        <w:trPr>
          <w:cnfStyle w:val="000000100000" w:firstRow="0" w:lastRow="0" w:firstColumn="0" w:lastColumn="0" w:oddVBand="0" w:evenVBand="0" w:oddHBand="1" w:evenHBand="0" w:firstRowFirstColumn="0" w:firstRowLastColumn="0" w:lastRowFirstColumn="0" w:lastRowLastColumn="0"/>
          <w:trHeight w:val="19"/>
        </w:trPr>
        <w:tc>
          <w:tcPr>
            <w:tcW w:w="706" w:type="pct"/>
            <w:hideMark/>
          </w:tcPr>
          <w:p w14:paraId="0ABF0071" w14:textId="7F63B93F" w:rsidR="00B70F68" w:rsidRPr="00B70F68" w:rsidRDefault="00B70F68" w:rsidP="008C1BFD">
            <w:pPr>
              <w:rPr>
                <w:rFonts w:eastAsia="Times New Roman" w:cstheme="minorHAnsi"/>
                <w:color w:val="000000"/>
                <w:sz w:val="20"/>
                <w:szCs w:val="20"/>
                <w:lang w:eastAsia="en-GB"/>
              </w:rPr>
            </w:pPr>
            <w:r w:rsidRPr="00B70F68">
              <w:rPr>
                <w:rFonts w:eastAsia="Times New Roman" w:cstheme="minorHAnsi"/>
                <w:color w:val="000000"/>
                <w:sz w:val="20"/>
                <w:szCs w:val="20"/>
                <w:lang w:eastAsia="en-GB"/>
              </w:rPr>
              <w:t>Zambia</w:t>
            </w:r>
          </w:p>
        </w:tc>
        <w:tc>
          <w:tcPr>
            <w:tcW w:w="655" w:type="pct"/>
            <w:shd w:val="clear" w:color="auto" w:fill="auto"/>
            <w:hideMark/>
          </w:tcPr>
          <w:p w14:paraId="5C80B8A1"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1</w:t>
            </w:r>
          </w:p>
        </w:tc>
        <w:tc>
          <w:tcPr>
            <w:tcW w:w="619" w:type="pct"/>
            <w:shd w:val="clear" w:color="auto" w:fill="3FB84E" w:themeFill="accent3"/>
            <w:hideMark/>
          </w:tcPr>
          <w:p w14:paraId="5137E090"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3</w:t>
            </w:r>
          </w:p>
        </w:tc>
        <w:tc>
          <w:tcPr>
            <w:tcW w:w="3020" w:type="pct"/>
            <w:hideMark/>
          </w:tcPr>
          <w:p w14:paraId="67AED99D" w14:textId="77777777" w:rsidR="00B70F68" w:rsidRPr="00A50638" w:rsidRDefault="00B70F68" w:rsidP="008C1BFD">
            <w:pPr>
              <w:rPr>
                <w:rFonts w:eastAsia="Times New Roman" w:cstheme="minorHAnsi"/>
                <w:color w:val="000000"/>
                <w:sz w:val="20"/>
                <w:szCs w:val="20"/>
                <w:lang w:eastAsia="en-GB"/>
              </w:rPr>
            </w:pPr>
            <w:r w:rsidRPr="00A50638">
              <w:rPr>
                <w:rFonts w:eastAsia="Times New Roman" w:cstheme="minorHAnsi"/>
                <w:color w:val="000000"/>
                <w:sz w:val="20"/>
                <w:szCs w:val="20"/>
                <w:lang w:eastAsia="en-GB"/>
              </w:rPr>
              <w:t>N/A</w:t>
            </w:r>
          </w:p>
        </w:tc>
      </w:tr>
    </w:tbl>
    <w:p w14:paraId="76761B11" w14:textId="4AC9B800" w:rsidR="000B0469" w:rsidRDefault="000B0469" w:rsidP="000B0469"/>
    <w:p w14:paraId="14A10411" w14:textId="77777777" w:rsidR="004B2764" w:rsidRDefault="004B2764" w:rsidP="004B2764">
      <w:pPr>
        <w:spacing w:before="240"/>
      </w:pPr>
      <w:r>
        <w:t xml:space="preserve">Criteria for rating </w:t>
      </w:r>
    </w:p>
    <w:tbl>
      <w:tblPr>
        <w:tblStyle w:val="TableGrid"/>
        <w:tblW w:w="0" w:type="auto"/>
        <w:tblLook w:val="04A0" w:firstRow="1" w:lastRow="0" w:firstColumn="1" w:lastColumn="0" w:noHBand="0" w:noVBand="1"/>
      </w:tblPr>
      <w:tblGrid>
        <w:gridCol w:w="1555"/>
        <w:gridCol w:w="3402"/>
      </w:tblGrid>
      <w:tr w:rsidR="004B2764" w:rsidRPr="007025E0" w14:paraId="0D74CBB3" w14:textId="77777777">
        <w:trPr>
          <w:trHeight w:val="283"/>
        </w:trPr>
        <w:tc>
          <w:tcPr>
            <w:tcW w:w="1555" w:type="dxa"/>
          </w:tcPr>
          <w:p w14:paraId="0025AD37" w14:textId="77777777" w:rsidR="004B2764" w:rsidRPr="007025E0" w:rsidRDefault="004B2764">
            <w:pPr>
              <w:rPr>
                <w:sz w:val="18"/>
                <w:szCs w:val="18"/>
              </w:rPr>
            </w:pPr>
            <w:r>
              <w:rPr>
                <w:sz w:val="18"/>
                <w:szCs w:val="18"/>
              </w:rPr>
              <w:t>RAG colour</w:t>
            </w:r>
          </w:p>
        </w:tc>
        <w:tc>
          <w:tcPr>
            <w:tcW w:w="3402" w:type="dxa"/>
          </w:tcPr>
          <w:p w14:paraId="4072C177" w14:textId="77777777" w:rsidR="004B2764" w:rsidRPr="007025E0" w:rsidRDefault="004B2764">
            <w:pPr>
              <w:rPr>
                <w:sz w:val="18"/>
                <w:szCs w:val="18"/>
              </w:rPr>
            </w:pPr>
            <w:r>
              <w:rPr>
                <w:sz w:val="18"/>
                <w:szCs w:val="18"/>
              </w:rPr>
              <w:t>Criteria</w:t>
            </w:r>
          </w:p>
        </w:tc>
      </w:tr>
      <w:tr w:rsidR="004B2764" w:rsidRPr="007025E0" w14:paraId="080B21F3" w14:textId="77777777">
        <w:trPr>
          <w:trHeight w:val="283"/>
        </w:trPr>
        <w:tc>
          <w:tcPr>
            <w:tcW w:w="1555" w:type="dxa"/>
            <w:shd w:val="clear" w:color="auto" w:fill="00B050"/>
          </w:tcPr>
          <w:p w14:paraId="54B74F3E" w14:textId="77777777" w:rsidR="004B2764" w:rsidRPr="007025E0" w:rsidRDefault="004B2764">
            <w:pPr>
              <w:rPr>
                <w:sz w:val="18"/>
                <w:szCs w:val="18"/>
              </w:rPr>
            </w:pPr>
          </w:p>
        </w:tc>
        <w:tc>
          <w:tcPr>
            <w:tcW w:w="3402" w:type="dxa"/>
          </w:tcPr>
          <w:p w14:paraId="1767E6BA" w14:textId="77777777" w:rsidR="004B2764" w:rsidRPr="007025E0" w:rsidRDefault="004B2764">
            <w:pPr>
              <w:rPr>
                <w:sz w:val="18"/>
                <w:szCs w:val="18"/>
              </w:rPr>
            </w:pPr>
            <w:r>
              <w:rPr>
                <w:sz w:val="18"/>
                <w:szCs w:val="18"/>
              </w:rPr>
              <w:t>Positive trend compared to baseline</w:t>
            </w:r>
          </w:p>
        </w:tc>
      </w:tr>
      <w:tr w:rsidR="004B2764" w:rsidRPr="007025E0" w14:paraId="24AE0345" w14:textId="77777777">
        <w:trPr>
          <w:trHeight w:val="283"/>
        </w:trPr>
        <w:tc>
          <w:tcPr>
            <w:tcW w:w="1555" w:type="dxa"/>
            <w:shd w:val="clear" w:color="auto" w:fill="FFC000"/>
          </w:tcPr>
          <w:p w14:paraId="2E22197B" w14:textId="77777777" w:rsidR="004B2764" w:rsidRPr="007025E0" w:rsidRDefault="004B2764">
            <w:pPr>
              <w:rPr>
                <w:sz w:val="18"/>
                <w:szCs w:val="18"/>
              </w:rPr>
            </w:pPr>
          </w:p>
        </w:tc>
        <w:tc>
          <w:tcPr>
            <w:tcW w:w="3402" w:type="dxa"/>
          </w:tcPr>
          <w:p w14:paraId="6D3851FB" w14:textId="77777777" w:rsidR="004B2764" w:rsidRPr="007025E0" w:rsidRDefault="004B2764">
            <w:pPr>
              <w:rPr>
                <w:sz w:val="18"/>
                <w:szCs w:val="18"/>
              </w:rPr>
            </w:pPr>
            <w:r>
              <w:rPr>
                <w:sz w:val="18"/>
                <w:szCs w:val="18"/>
              </w:rPr>
              <w:t>Unclear</w:t>
            </w:r>
          </w:p>
        </w:tc>
      </w:tr>
      <w:tr w:rsidR="004B2764" w:rsidRPr="007025E0" w14:paraId="7FF80444" w14:textId="77777777">
        <w:trPr>
          <w:trHeight w:val="283"/>
        </w:trPr>
        <w:tc>
          <w:tcPr>
            <w:tcW w:w="1555" w:type="dxa"/>
            <w:shd w:val="clear" w:color="auto" w:fill="E37230" w:themeFill="accent2"/>
          </w:tcPr>
          <w:p w14:paraId="42C035EC" w14:textId="77777777" w:rsidR="004B2764" w:rsidRPr="007025E0" w:rsidRDefault="004B2764">
            <w:pPr>
              <w:rPr>
                <w:sz w:val="18"/>
                <w:szCs w:val="18"/>
              </w:rPr>
            </w:pPr>
          </w:p>
        </w:tc>
        <w:tc>
          <w:tcPr>
            <w:tcW w:w="3402" w:type="dxa"/>
          </w:tcPr>
          <w:p w14:paraId="62E17FFD" w14:textId="77777777" w:rsidR="004B2764" w:rsidRPr="007025E0" w:rsidRDefault="004B2764">
            <w:pPr>
              <w:rPr>
                <w:sz w:val="18"/>
                <w:szCs w:val="18"/>
              </w:rPr>
            </w:pPr>
            <w:r>
              <w:rPr>
                <w:sz w:val="18"/>
                <w:szCs w:val="18"/>
              </w:rPr>
              <w:t>No change compared to baseline</w:t>
            </w:r>
          </w:p>
        </w:tc>
      </w:tr>
      <w:tr w:rsidR="004B2764" w:rsidRPr="007025E0" w14:paraId="45FE2D3D" w14:textId="77777777">
        <w:trPr>
          <w:trHeight w:val="283"/>
        </w:trPr>
        <w:tc>
          <w:tcPr>
            <w:tcW w:w="1555" w:type="dxa"/>
            <w:shd w:val="clear" w:color="auto" w:fill="FF0000"/>
          </w:tcPr>
          <w:p w14:paraId="68C8B277" w14:textId="77777777" w:rsidR="004B2764" w:rsidRPr="007025E0" w:rsidRDefault="004B2764">
            <w:pPr>
              <w:rPr>
                <w:sz w:val="18"/>
                <w:szCs w:val="18"/>
              </w:rPr>
            </w:pPr>
          </w:p>
        </w:tc>
        <w:tc>
          <w:tcPr>
            <w:tcW w:w="3402" w:type="dxa"/>
          </w:tcPr>
          <w:p w14:paraId="7673728B" w14:textId="77777777" w:rsidR="004B2764" w:rsidRPr="007025E0" w:rsidRDefault="004B2764">
            <w:pPr>
              <w:rPr>
                <w:sz w:val="18"/>
                <w:szCs w:val="18"/>
              </w:rPr>
            </w:pPr>
            <w:r>
              <w:rPr>
                <w:sz w:val="18"/>
                <w:szCs w:val="18"/>
              </w:rPr>
              <w:t>Negative trend compared to baseline</w:t>
            </w:r>
          </w:p>
        </w:tc>
      </w:tr>
    </w:tbl>
    <w:p w14:paraId="031D4307" w14:textId="77777777" w:rsidR="004B2764" w:rsidRDefault="004B2764" w:rsidP="000B0469"/>
    <w:p w14:paraId="2BF95443" w14:textId="77777777" w:rsidR="000B0469" w:rsidRDefault="000B0469" w:rsidP="000B0469"/>
    <w:p w14:paraId="17225633" w14:textId="77777777" w:rsidR="000B0469" w:rsidRDefault="000B0469" w:rsidP="000B0469"/>
    <w:p w14:paraId="16EA0886" w14:textId="77777777" w:rsidR="0004318E" w:rsidRDefault="0004318E">
      <w:r>
        <w:br w:type="page"/>
      </w:r>
    </w:p>
    <w:p w14:paraId="1B519D6C" w14:textId="7FDB7C69" w:rsidR="000B0469" w:rsidRDefault="0004318E">
      <w:pPr>
        <w:pStyle w:val="ItadH3"/>
        <w:rPr>
          <w:rStyle w:val="cf01"/>
          <w:rFonts w:asciiTheme="minorHAnsi" w:hAnsiTheme="minorHAnsi" w:cstheme="minorHAnsi"/>
          <w:sz w:val="22"/>
          <w:szCs w:val="22"/>
          <w:lang w:val="en-GB"/>
        </w:rPr>
      </w:pPr>
      <w:bookmarkStart w:id="232" w:name="_Toc142383179"/>
      <w:r w:rsidRPr="00B3660F">
        <w:rPr>
          <w:rStyle w:val="cf01"/>
          <w:rFonts w:asciiTheme="minorHAnsi" w:hAnsiTheme="minorHAnsi" w:cstheme="minorHAnsi"/>
          <w:sz w:val="22"/>
          <w:szCs w:val="22"/>
          <w:lang w:val="en-GB"/>
        </w:rPr>
        <w:t>Performance compared to</w:t>
      </w:r>
      <w:r w:rsidR="00862B0F" w:rsidRPr="00B3660F">
        <w:rPr>
          <w:rStyle w:val="cf01"/>
          <w:rFonts w:asciiTheme="minorHAnsi" w:hAnsiTheme="minorHAnsi" w:cstheme="minorHAnsi"/>
          <w:sz w:val="22"/>
          <w:szCs w:val="22"/>
          <w:lang w:val="en-GB"/>
        </w:rPr>
        <w:t xml:space="preserve"> the</w:t>
      </w:r>
      <w:r w:rsidRPr="00B3660F">
        <w:rPr>
          <w:rStyle w:val="cf01"/>
          <w:rFonts w:asciiTheme="minorHAnsi" w:hAnsiTheme="minorHAnsi" w:cstheme="minorHAnsi"/>
          <w:sz w:val="22"/>
          <w:szCs w:val="22"/>
          <w:lang w:val="en-GB"/>
        </w:rPr>
        <w:t xml:space="preserve"> MA implementation plan targets</w:t>
      </w:r>
      <w:bookmarkEnd w:id="232"/>
    </w:p>
    <w:p w14:paraId="2240B8C4" w14:textId="7A6DAB79" w:rsidR="00862B0F" w:rsidRPr="00862B0F" w:rsidRDefault="00E84140" w:rsidP="007F63EF">
      <w:pPr>
        <w:pStyle w:val="ItadNormalText"/>
      </w:pPr>
      <w:r>
        <w:fldChar w:fldCharType="begin"/>
      </w:r>
      <w:r>
        <w:instrText xml:space="preserve"> REF _Ref129603488 \h </w:instrText>
      </w:r>
      <w:r>
        <w:fldChar w:fldCharType="separate"/>
      </w:r>
      <w:r w:rsidR="009A383C" w:rsidRPr="0018207B">
        <w:t xml:space="preserve">Table </w:t>
      </w:r>
      <w:r w:rsidR="009A383C" w:rsidRPr="0018207B">
        <w:rPr>
          <w:noProof/>
        </w:rPr>
        <w:t>31</w:t>
      </w:r>
      <w:r>
        <w:fldChar w:fldCharType="end"/>
      </w:r>
      <w:r>
        <w:t xml:space="preserve"> shows the number of countries in which the MA expected to see progress in generating and using AMR data at different stages of phase 1 implementation; these targets were set out in the MA’s implementation plan (v2.5), prior to substantial implementation.  </w:t>
      </w:r>
      <w:r>
        <w:fldChar w:fldCharType="begin"/>
      </w:r>
      <w:r>
        <w:instrText xml:space="preserve"> REF _Ref129603468 \h </w:instrText>
      </w:r>
      <w:r>
        <w:fldChar w:fldCharType="separate"/>
      </w:r>
      <w:r w:rsidR="009A383C">
        <w:t xml:space="preserve">Table </w:t>
      </w:r>
      <w:r w:rsidR="009A383C">
        <w:rPr>
          <w:noProof/>
        </w:rPr>
        <w:t>32</w:t>
      </w:r>
      <w:r>
        <w:fldChar w:fldCharType="end"/>
      </w:r>
      <w:r>
        <w:t xml:space="preserve"> shows what the status of implementation was by December ‘22 (in terms of duration of Fleming Fund support) and progress in terms of data generation and international sharing; the intention is to enable comparisons with original MA implementation plan targets as set out in </w:t>
      </w:r>
      <w:r>
        <w:fldChar w:fldCharType="begin"/>
      </w:r>
      <w:r>
        <w:instrText xml:space="preserve"> REF _Ref129603488 \h </w:instrText>
      </w:r>
      <w:r>
        <w:fldChar w:fldCharType="separate"/>
      </w:r>
      <w:r w:rsidR="009A383C" w:rsidRPr="0018207B">
        <w:t xml:space="preserve">Table </w:t>
      </w:r>
      <w:r w:rsidR="009A383C" w:rsidRPr="0018207B">
        <w:rPr>
          <w:noProof/>
        </w:rPr>
        <w:t>31</w:t>
      </w:r>
      <w:r>
        <w:fldChar w:fldCharType="end"/>
      </w:r>
      <w:r>
        <w:t xml:space="preserve">.  </w:t>
      </w:r>
    </w:p>
    <w:p w14:paraId="533B4E3F" w14:textId="299A5140" w:rsidR="000E32DB" w:rsidRPr="008E341B" w:rsidRDefault="000E32DB" w:rsidP="007F63EF">
      <w:pPr>
        <w:pStyle w:val="ItadCaption"/>
        <w:rPr>
          <w:lang w:val="fr-FR"/>
        </w:rPr>
      </w:pPr>
      <w:bookmarkStart w:id="233" w:name="_Ref129603488"/>
      <w:bookmarkStart w:id="234" w:name="_Toc143857899"/>
      <w:r w:rsidRPr="008E341B">
        <w:rPr>
          <w:lang w:val="fr-FR"/>
        </w:rPr>
        <w:t xml:space="preserve">Table </w:t>
      </w:r>
      <w:r w:rsidR="00E84140">
        <w:fldChar w:fldCharType="begin"/>
      </w:r>
      <w:r w:rsidR="00E84140" w:rsidRPr="008E341B">
        <w:rPr>
          <w:lang w:val="fr-FR"/>
        </w:rPr>
        <w:instrText xml:space="preserve"> SEQ Table \* ARABIC </w:instrText>
      </w:r>
      <w:r w:rsidR="00E84140">
        <w:fldChar w:fldCharType="separate"/>
      </w:r>
      <w:r w:rsidR="009A383C">
        <w:rPr>
          <w:noProof/>
          <w:lang w:val="fr-FR"/>
        </w:rPr>
        <w:t>31</w:t>
      </w:r>
      <w:r w:rsidR="00E84140">
        <w:rPr>
          <w:noProof/>
        </w:rPr>
        <w:fldChar w:fldCharType="end"/>
      </w:r>
      <w:bookmarkEnd w:id="233"/>
      <w:r w:rsidRPr="008E341B">
        <w:rPr>
          <w:lang w:val="fr-FR"/>
        </w:rPr>
        <w:t xml:space="preserve"> MA implementation plan targets (v2.5)</w:t>
      </w:r>
      <w:bookmarkEnd w:id="234"/>
    </w:p>
    <w:tbl>
      <w:tblPr>
        <w:tblStyle w:val="TableGrid"/>
        <w:tblW w:w="5000" w:type="pct"/>
        <w:tblLook w:val="04A0" w:firstRow="1" w:lastRow="0" w:firstColumn="1" w:lastColumn="0" w:noHBand="0" w:noVBand="1"/>
      </w:tblPr>
      <w:tblGrid>
        <w:gridCol w:w="3538"/>
        <w:gridCol w:w="1493"/>
        <w:gridCol w:w="1493"/>
        <w:gridCol w:w="1493"/>
        <w:gridCol w:w="1491"/>
      </w:tblGrid>
      <w:tr w:rsidR="0020343A" w14:paraId="18FBFD44" w14:textId="77777777" w:rsidTr="007F63EF">
        <w:tc>
          <w:tcPr>
            <w:tcW w:w="1861" w:type="pct"/>
            <w:shd w:val="clear" w:color="auto" w:fill="96C286" w:themeFill="text2" w:themeFillTint="99"/>
          </w:tcPr>
          <w:p w14:paraId="16CB27C4" w14:textId="2A466DF0" w:rsidR="0020343A" w:rsidRPr="007F63EF" w:rsidRDefault="0020343A" w:rsidP="000B0469">
            <w:pPr>
              <w:rPr>
                <w:sz w:val="18"/>
                <w:szCs w:val="18"/>
              </w:rPr>
            </w:pPr>
            <w:r w:rsidRPr="007F63EF">
              <w:rPr>
                <w:sz w:val="18"/>
                <w:szCs w:val="18"/>
              </w:rPr>
              <w:t xml:space="preserve">Target/FF Grant programme length </w:t>
            </w:r>
          </w:p>
        </w:tc>
        <w:tc>
          <w:tcPr>
            <w:tcW w:w="785" w:type="pct"/>
            <w:shd w:val="clear" w:color="auto" w:fill="96C286" w:themeFill="text2" w:themeFillTint="99"/>
          </w:tcPr>
          <w:p w14:paraId="0AC14241" w14:textId="2B17242B" w:rsidR="0020343A" w:rsidRPr="007F63EF" w:rsidRDefault="0020343A" w:rsidP="000B0469">
            <w:pPr>
              <w:rPr>
                <w:sz w:val="18"/>
                <w:szCs w:val="18"/>
              </w:rPr>
            </w:pPr>
            <w:r w:rsidRPr="007F63EF">
              <w:rPr>
                <w:sz w:val="18"/>
                <w:szCs w:val="18"/>
              </w:rPr>
              <w:t>12</w:t>
            </w:r>
          </w:p>
        </w:tc>
        <w:tc>
          <w:tcPr>
            <w:tcW w:w="785" w:type="pct"/>
            <w:shd w:val="clear" w:color="auto" w:fill="96C286" w:themeFill="text2" w:themeFillTint="99"/>
          </w:tcPr>
          <w:p w14:paraId="331765FF" w14:textId="718106A1" w:rsidR="0020343A" w:rsidRPr="007F63EF" w:rsidRDefault="0020343A" w:rsidP="000B0469">
            <w:pPr>
              <w:rPr>
                <w:sz w:val="18"/>
                <w:szCs w:val="18"/>
              </w:rPr>
            </w:pPr>
            <w:r w:rsidRPr="007F63EF">
              <w:rPr>
                <w:sz w:val="18"/>
                <w:szCs w:val="18"/>
              </w:rPr>
              <w:t>24</w:t>
            </w:r>
          </w:p>
        </w:tc>
        <w:tc>
          <w:tcPr>
            <w:tcW w:w="785" w:type="pct"/>
            <w:shd w:val="clear" w:color="auto" w:fill="96C286" w:themeFill="text2" w:themeFillTint="99"/>
          </w:tcPr>
          <w:p w14:paraId="23B0ABD3" w14:textId="39FF5F9D" w:rsidR="0020343A" w:rsidRPr="007F63EF" w:rsidRDefault="0020343A" w:rsidP="000B0469">
            <w:pPr>
              <w:rPr>
                <w:sz w:val="18"/>
                <w:szCs w:val="18"/>
              </w:rPr>
            </w:pPr>
            <w:r w:rsidRPr="007F63EF">
              <w:rPr>
                <w:sz w:val="18"/>
                <w:szCs w:val="18"/>
              </w:rPr>
              <w:t>36</w:t>
            </w:r>
          </w:p>
        </w:tc>
        <w:tc>
          <w:tcPr>
            <w:tcW w:w="785" w:type="pct"/>
            <w:shd w:val="clear" w:color="auto" w:fill="96C286" w:themeFill="text2" w:themeFillTint="99"/>
          </w:tcPr>
          <w:p w14:paraId="4BBC7C5E" w14:textId="6249B57D" w:rsidR="0020343A" w:rsidRPr="007F63EF" w:rsidRDefault="0020343A" w:rsidP="000B0469">
            <w:pPr>
              <w:rPr>
                <w:sz w:val="18"/>
                <w:szCs w:val="18"/>
              </w:rPr>
            </w:pPr>
            <w:r w:rsidRPr="007F63EF">
              <w:rPr>
                <w:sz w:val="18"/>
                <w:szCs w:val="18"/>
              </w:rPr>
              <w:t>48</w:t>
            </w:r>
          </w:p>
        </w:tc>
      </w:tr>
      <w:tr w:rsidR="0020343A" w14:paraId="0BFDF695" w14:textId="77777777" w:rsidTr="007F63EF">
        <w:tc>
          <w:tcPr>
            <w:tcW w:w="1861" w:type="pct"/>
          </w:tcPr>
          <w:p w14:paraId="162FC863" w14:textId="7970CC97" w:rsidR="0020343A" w:rsidRPr="007F63EF" w:rsidRDefault="00FC032D" w:rsidP="007F63EF">
            <w:pPr>
              <w:pStyle w:val="Default"/>
              <w:rPr>
                <w:sz w:val="18"/>
                <w:szCs w:val="18"/>
              </w:rPr>
            </w:pPr>
            <w:r w:rsidRPr="007F63EF">
              <w:rPr>
                <w:rFonts w:ascii="Calibri" w:eastAsiaTheme="minorHAnsi" w:hAnsi="Calibri"/>
                <w:color w:val="auto"/>
                <w:sz w:val="18"/>
                <w:szCs w:val="18"/>
                <w:lang w:eastAsia="en-US"/>
              </w:rPr>
              <w:t xml:space="preserve">Primary data* generated and used for policy and improving guidelines </w:t>
            </w:r>
          </w:p>
        </w:tc>
        <w:tc>
          <w:tcPr>
            <w:tcW w:w="785" w:type="pct"/>
          </w:tcPr>
          <w:p w14:paraId="422737A9" w14:textId="2199A6E0" w:rsidR="0020343A" w:rsidRPr="007F63EF" w:rsidRDefault="00FC032D" w:rsidP="000B0469">
            <w:pPr>
              <w:rPr>
                <w:sz w:val="18"/>
                <w:szCs w:val="18"/>
              </w:rPr>
            </w:pPr>
            <w:r w:rsidRPr="007F63EF">
              <w:rPr>
                <w:sz w:val="18"/>
                <w:szCs w:val="18"/>
              </w:rPr>
              <w:t>3</w:t>
            </w:r>
          </w:p>
        </w:tc>
        <w:tc>
          <w:tcPr>
            <w:tcW w:w="785" w:type="pct"/>
          </w:tcPr>
          <w:p w14:paraId="758F22FC" w14:textId="64DC5F80" w:rsidR="0020343A" w:rsidRPr="007F63EF" w:rsidRDefault="00FC032D" w:rsidP="000B0469">
            <w:pPr>
              <w:rPr>
                <w:sz w:val="18"/>
                <w:szCs w:val="18"/>
              </w:rPr>
            </w:pPr>
            <w:r w:rsidRPr="007F63EF">
              <w:rPr>
                <w:sz w:val="18"/>
                <w:szCs w:val="18"/>
              </w:rPr>
              <w:t>8</w:t>
            </w:r>
          </w:p>
        </w:tc>
        <w:tc>
          <w:tcPr>
            <w:tcW w:w="785" w:type="pct"/>
          </w:tcPr>
          <w:p w14:paraId="0F3E2086" w14:textId="51B80975" w:rsidR="0020343A" w:rsidRPr="007F63EF" w:rsidRDefault="00FC032D" w:rsidP="000B0469">
            <w:pPr>
              <w:rPr>
                <w:sz w:val="18"/>
                <w:szCs w:val="18"/>
              </w:rPr>
            </w:pPr>
            <w:r w:rsidRPr="007F63EF">
              <w:rPr>
                <w:sz w:val="18"/>
                <w:szCs w:val="18"/>
              </w:rPr>
              <w:t>16</w:t>
            </w:r>
          </w:p>
        </w:tc>
        <w:tc>
          <w:tcPr>
            <w:tcW w:w="785" w:type="pct"/>
          </w:tcPr>
          <w:p w14:paraId="5D727BA3" w14:textId="39D0AB42" w:rsidR="0020343A" w:rsidRPr="007F63EF" w:rsidRDefault="00FC032D" w:rsidP="000B0469">
            <w:pPr>
              <w:rPr>
                <w:sz w:val="18"/>
                <w:szCs w:val="18"/>
              </w:rPr>
            </w:pPr>
            <w:r w:rsidRPr="007F63EF">
              <w:rPr>
                <w:sz w:val="18"/>
                <w:szCs w:val="18"/>
              </w:rPr>
              <w:t>18</w:t>
            </w:r>
          </w:p>
        </w:tc>
      </w:tr>
    </w:tbl>
    <w:p w14:paraId="092B2E15" w14:textId="5E36A82B" w:rsidR="0020343A" w:rsidRDefault="001E1DB1" w:rsidP="000B0469">
      <w:r>
        <w:rPr>
          <w:sz w:val="16"/>
          <w:szCs w:val="16"/>
        </w:rPr>
        <w:t>*“Primary data” in this table refers to data from surveillance systems that are the subject of Fleming Fund investments and are intended to be a measure of the outputs of those specific investments.</w:t>
      </w:r>
    </w:p>
    <w:p w14:paraId="611CAD2B" w14:textId="77777777" w:rsidR="0004318E" w:rsidRDefault="0004318E" w:rsidP="000B0469"/>
    <w:p w14:paraId="0DE2CA3B" w14:textId="46E2F1F5" w:rsidR="000E32DB" w:rsidRDefault="000E32DB" w:rsidP="007F63EF">
      <w:pPr>
        <w:pStyle w:val="ItadCaption"/>
      </w:pPr>
      <w:bookmarkStart w:id="235" w:name="_Ref129603468"/>
      <w:bookmarkStart w:id="236" w:name="_Toc143857900"/>
      <w:r>
        <w:t xml:space="preserve">Table </w:t>
      </w:r>
      <w:r>
        <w:fldChar w:fldCharType="begin"/>
      </w:r>
      <w:r>
        <w:instrText>SEQ Table \* ARABIC</w:instrText>
      </w:r>
      <w:r>
        <w:fldChar w:fldCharType="separate"/>
      </w:r>
      <w:r w:rsidR="009A383C">
        <w:rPr>
          <w:noProof/>
        </w:rPr>
        <w:t>32</w:t>
      </w:r>
      <w:r>
        <w:fldChar w:fldCharType="end"/>
      </w:r>
      <w:bookmarkEnd w:id="235"/>
      <w:r>
        <w:t xml:space="preserve"> </w:t>
      </w:r>
      <w:r w:rsidRPr="000E32DB">
        <w:t>Mapping duration of support with available evidence on whether data is being generated</w:t>
      </w:r>
      <w:bookmarkEnd w:id="236"/>
    </w:p>
    <w:tbl>
      <w:tblPr>
        <w:tblW w:w="4545" w:type="pct"/>
        <w:tblLook w:val="04A0" w:firstRow="1" w:lastRow="0" w:firstColumn="1" w:lastColumn="0" w:noHBand="0" w:noVBand="1"/>
      </w:tblPr>
      <w:tblGrid>
        <w:gridCol w:w="1681"/>
        <w:gridCol w:w="980"/>
        <w:gridCol w:w="1120"/>
        <w:gridCol w:w="1545"/>
        <w:gridCol w:w="1630"/>
        <w:gridCol w:w="1687"/>
      </w:tblGrid>
      <w:tr w:rsidR="000E32DB" w:rsidRPr="0004318E" w14:paraId="2D24AA7B" w14:textId="77777777" w:rsidTr="007F63EF">
        <w:trPr>
          <w:trHeight w:val="514"/>
        </w:trPr>
        <w:tc>
          <w:tcPr>
            <w:tcW w:w="981" w:type="pct"/>
            <w:tcBorders>
              <w:top w:val="single" w:sz="4" w:space="0" w:color="auto"/>
              <w:left w:val="single" w:sz="4" w:space="0" w:color="auto"/>
              <w:bottom w:val="single" w:sz="4" w:space="0" w:color="auto"/>
              <w:right w:val="single" w:sz="4" w:space="0" w:color="auto"/>
            </w:tcBorders>
            <w:shd w:val="clear" w:color="auto" w:fill="96C286" w:themeFill="text2" w:themeFillTint="99"/>
            <w:noWrap/>
            <w:vAlign w:val="bottom"/>
            <w:hideMark/>
          </w:tcPr>
          <w:p w14:paraId="0534A787"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w:t>
            </w:r>
          </w:p>
        </w:tc>
        <w:tc>
          <w:tcPr>
            <w:tcW w:w="1231" w:type="pct"/>
            <w:gridSpan w:val="2"/>
            <w:tcBorders>
              <w:top w:val="single" w:sz="4" w:space="0" w:color="auto"/>
              <w:left w:val="nil"/>
              <w:bottom w:val="single" w:sz="4" w:space="0" w:color="auto"/>
              <w:right w:val="single" w:sz="4" w:space="0" w:color="auto"/>
            </w:tcBorders>
            <w:shd w:val="clear" w:color="auto" w:fill="96C286" w:themeFill="text2" w:themeFillTint="99"/>
            <w:vAlign w:val="bottom"/>
            <w:hideMark/>
          </w:tcPr>
          <w:p w14:paraId="500B964C"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Duration of FF support by:</w:t>
            </w:r>
          </w:p>
        </w:tc>
        <w:tc>
          <w:tcPr>
            <w:tcW w:w="902" w:type="pct"/>
            <w:tcBorders>
              <w:top w:val="single" w:sz="4" w:space="0" w:color="auto"/>
              <w:left w:val="nil"/>
              <w:bottom w:val="single" w:sz="4" w:space="0" w:color="auto"/>
              <w:right w:val="single" w:sz="4" w:space="0" w:color="auto"/>
            </w:tcBorders>
            <w:shd w:val="clear" w:color="auto" w:fill="96C286" w:themeFill="text2" w:themeFillTint="99"/>
            <w:vAlign w:val="bottom"/>
            <w:hideMark/>
          </w:tcPr>
          <w:p w14:paraId="6791BA8C"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xml:space="preserve">Reporting AMR data to GLASS </w:t>
            </w:r>
          </w:p>
        </w:tc>
        <w:tc>
          <w:tcPr>
            <w:tcW w:w="1886" w:type="pct"/>
            <w:gridSpan w:val="2"/>
            <w:tcBorders>
              <w:top w:val="single" w:sz="4" w:space="0" w:color="auto"/>
              <w:left w:val="nil"/>
              <w:bottom w:val="single" w:sz="4" w:space="0" w:color="auto"/>
              <w:right w:val="single" w:sz="4" w:space="0" w:color="auto"/>
            </w:tcBorders>
            <w:shd w:val="clear" w:color="auto" w:fill="96C286" w:themeFill="text2" w:themeFillTint="99"/>
            <w:vAlign w:val="bottom"/>
            <w:hideMark/>
          </w:tcPr>
          <w:p w14:paraId="5CAE7E00" w14:textId="77777777" w:rsidR="0004318E" w:rsidRPr="007F63EF" w:rsidRDefault="0004318E" w:rsidP="0004318E">
            <w:pPr>
              <w:jc w:val="center"/>
              <w:rPr>
                <w:rFonts w:eastAsia="Times New Roman" w:cs="Calibri"/>
                <w:color w:val="000000"/>
                <w:sz w:val="18"/>
                <w:szCs w:val="18"/>
                <w:lang w:eastAsia="en-GB"/>
              </w:rPr>
            </w:pPr>
            <w:r w:rsidRPr="007F63EF">
              <w:rPr>
                <w:rFonts w:eastAsia="Times New Roman" w:cs="Calibri"/>
                <w:color w:val="000000"/>
                <w:sz w:val="18"/>
                <w:szCs w:val="18"/>
                <w:lang w:eastAsia="en-GB"/>
              </w:rPr>
              <w:t>Data collated by evaluation team</w:t>
            </w:r>
          </w:p>
        </w:tc>
      </w:tr>
      <w:tr w:rsidR="00FB2CE0" w:rsidRPr="0004318E" w14:paraId="049F536F" w14:textId="77777777" w:rsidTr="000E32DB">
        <w:trPr>
          <w:trHeight w:val="6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72ACFA69"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w:t>
            </w:r>
          </w:p>
        </w:tc>
        <w:tc>
          <w:tcPr>
            <w:tcW w:w="575" w:type="pct"/>
            <w:tcBorders>
              <w:top w:val="nil"/>
              <w:left w:val="nil"/>
              <w:bottom w:val="single" w:sz="4" w:space="0" w:color="auto"/>
              <w:right w:val="single" w:sz="4" w:space="0" w:color="auto"/>
            </w:tcBorders>
            <w:shd w:val="clear" w:color="auto" w:fill="auto"/>
            <w:noWrap/>
            <w:vAlign w:val="bottom"/>
            <w:hideMark/>
          </w:tcPr>
          <w:p w14:paraId="710F8427"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Jun-22</w:t>
            </w:r>
          </w:p>
        </w:tc>
        <w:tc>
          <w:tcPr>
            <w:tcW w:w="656" w:type="pct"/>
            <w:tcBorders>
              <w:top w:val="nil"/>
              <w:left w:val="nil"/>
              <w:bottom w:val="single" w:sz="4" w:space="0" w:color="auto"/>
              <w:right w:val="single" w:sz="4" w:space="0" w:color="auto"/>
            </w:tcBorders>
            <w:shd w:val="clear" w:color="auto" w:fill="auto"/>
            <w:noWrap/>
            <w:vAlign w:val="bottom"/>
            <w:hideMark/>
          </w:tcPr>
          <w:p w14:paraId="7B4DCFAA"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Dec-22</w:t>
            </w:r>
          </w:p>
        </w:tc>
        <w:tc>
          <w:tcPr>
            <w:tcW w:w="902" w:type="pct"/>
            <w:tcBorders>
              <w:top w:val="nil"/>
              <w:left w:val="nil"/>
              <w:bottom w:val="single" w:sz="4" w:space="0" w:color="auto"/>
              <w:right w:val="single" w:sz="4" w:space="0" w:color="auto"/>
            </w:tcBorders>
            <w:shd w:val="clear" w:color="auto" w:fill="auto"/>
            <w:noWrap/>
            <w:vAlign w:val="bottom"/>
            <w:hideMark/>
          </w:tcPr>
          <w:p w14:paraId="7324A491"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2022 report data</w:t>
            </w:r>
          </w:p>
        </w:tc>
        <w:tc>
          <w:tcPr>
            <w:tcW w:w="902" w:type="pct"/>
            <w:tcBorders>
              <w:top w:val="nil"/>
              <w:left w:val="nil"/>
              <w:bottom w:val="single" w:sz="4" w:space="0" w:color="auto"/>
              <w:right w:val="single" w:sz="4" w:space="0" w:color="auto"/>
            </w:tcBorders>
            <w:shd w:val="clear" w:color="auto" w:fill="auto"/>
            <w:vAlign w:val="bottom"/>
            <w:hideMark/>
          </w:tcPr>
          <w:p w14:paraId="5FCA3999"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Baseline</w:t>
            </w:r>
          </w:p>
        </w:tc>
        <w:tc>
          <w:tcPr>
            <w:tcW w:w="984" w:type="pct"/>
            <w:tcBorders>
              <w:top w:val="nil"/>
              <w:left w:val="nil"/>
              <w:bottom w:val="single" w:sz="4" w:space="0" w:color="auto"/>
              <w:right w:val="single" w:sz="4" w:space="0" w:color="auto"/>
            </w:tcBorders>
            <w:shd w:val="clear" w:color="auto" w:fill="auto"/>
            <w:vAlign w:val="bottom"/>
            <w:hideMark/>
          </w:tcPr>
          <w:p w14:paraId="6C108436"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Latest Year</w:t>
            </w:r>
          </w:p>
        </w:tc>
      </w:tr>
      <w:tr w:rsidR="00FB2CE0" w:rsidRPr="0004318E" w14:paraId="4EBBA6BA"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17D0FE74"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Senegal</w:t>
            </w:r>
          </w:p>
        </w:tc>
        <w:tc>
          <w:tcPr>
            <w:tcW w:w="575" w:type="pct"/>
            <w:tcBorders>
              <w:top w:val="nil"/>
              <w:left w:val="nil"/>
              <w:bottom w:val="single" w:sz="4" w:space="0" w:color="auto"/>
              <w:right w:val="single" w:sz="4" w:space="0" w:color="auto"/>
            </w:tcBorders>
            <w:shd w:val="clear" w:color="auto" w:fill="auto"/>
            <w:noWrap/>
            <w:vAlign w:val="bottom"/>
            <w:hideMark/>
          </w:tcPr>
          <w:p w14:paraId="47BE5E8A" w14:textId="77777777" w:rsidR="0004318E" w:rsidRPr="007F63EF" w:rsidRDefault="0004318E" w:rsidP="0004318E">
            <w:pPr>
              <w:jc w:val="right"/>
              <w:rPr>
                <w:rFonts w:eastAsia="Times New Roman" w:cs="Calibri"/>
                <w:color w:val="FF0000"/>
                <w:sz w:val="18"/>
                <w:szCs w:val="18"/>
                <w:lang w:eastAsia="en-GB"/>
              </w:rPr>
            </w:pPr>
            <w:r w:rsidRPr="007F63EF">
              <w:rPr>
                <w:rFonts w:eastAsia="Times New Roman" w:cs="Calibri"/>
                <w:color w:val="FF0000"/>
                <w:sz w:val="18"/>
                <w:szCs w:val="18"/>
                <w:lang w:eastAsia="en-GB"/>
              </w:rPr>
              <w:t>20</w:t>
            </w:r>
          </w:p>
        </w:tc>
        <w:tc>
          <w:tcPr>
            <w:tcW w:w="656" w:type="pct"/>
            <w:tcBorders>
              <w:top w:val="nil"/>
              <w:left w:val="nil"/>
              <w:bottom w:val="single" w:sz="4" w:space="0" w:color="auto"/>
              <w:right w:val="single" w:sz="4" w:space="0" w:color="auto"/>
            </w:tcBorders>
            <w:shd w:val="clear" w:color="auto" w:fill="auto"/>
            <w:noWrap/>
            <w:vAlign w:val="bottom"/>
            <w:hideMark/>
          </w:tcPr>
          <w:p w14:paraId="6D3DA906"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26</w:t>
            </w:r>
          </w:p>
        </w:tc>
        <w:tc>
          <w:tcPr>
            <w:tcW w:w="902" w:type="pct"/>
            <w:tcBorders>
              <w:top w:val="nil"/>
              <w:left w:val="nil"/>
              <w:bottom w:val="single" w:sz="4" w:space="0" w:color="auto"/>
              <w:right w:val="single" w:sz="4" w:space="0" w:color="auto"/>
            </w:tcBorders>
            <w:shd w:val="clear" w:color="000000" w:fill="BFBFBF"/>
            <w:vAlign w:val="center"/>
            <w:hideMark/>
          </w:tcPr>
          <w:p w14:paraId="718A43A9"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not enrolled</w:t>
            </w:r>
          </w:p>
        </w:tc>
        <w:tc>
          <w:tcPr>
            <w:tcW w:w="902" w:type="pct"/>
            <w:tcBorders>
              <w:top w:val="nil"/>
              <w:left w:val="nil"/>
              <w:bottom w:val="single" w:sz="4" w:space="0" w:color="auto"/>
              <w:right w:val="single" w:sz="4" w:space="0" w:color="auto"/>
            </w:tcBorders>
            <w:shd w:val="clear" w:color="auto" w:fill="auto"/>
            <w:noWrap/>
            <w:vAlign w:val="bottom"/>
            <w:hideMark/>
          </w:tcPr>
          <w:p w14:paraId="6052AD98"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0</w:t>
            </w:r>
          </w:p>
        </w:tc>
        <w:tc>
          <w:tcPr>
            <w:tcW w:w="984" w:type="pct"/>
            <w:tcBorders>
              <w:top w:val="nil"/>
              <w:left w:val="nil"/>
              <w:bottom w:val="single" w:sz="4" w:space="0" w:color="auto"/>
              <w:right w:val="single" w:sz="4" w:space="0" w:color="auto"/>
            </w:tcBorders>
            <w:shd w:val="clear" w:color="auto" w:fill="auto"/>
            <w:noWrap/>
            <w:vAlign w:val="bottom"/>
            <w:hideMark/>
          </w:tcPr>
          <w:p w14:paraId="5EDA7C27"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w:t>
            </w:r>
          </w:p>
        </w:tc>
      </w:tr>
      <w:tr w:rsidR="00FB2CE0" w:rsidRPr="0004318E" w14:paraId="23F84A8D"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07600A98"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Sierra Leone</w:t>
            </w:r>
          </w:p>
        </w:tc>
        <w:tc>
          <w:tcPr>
            <w:tcW w:w="575" w:type="pct"/>
            <w:tcBorders>
              <w:top w:val="nil"/>
              <w:left w:val="nil"/>
              <w:bottom w:val="single" w:sz="4" w:space="0" w:color="auto"/>
              <w:right w:val="single" w:sz="4" w:space="0" w:color="auto"/>
            </w:tcBorders>
            <w:shd w:val="clear" w:color="auto" w:fill="auto"/>
            <w:noWrap/>
            <w:vAlign w:val="bottom"/>
            <w:hideMark/>
          </w:tcPr>
          <w:p w14:paraId="0A831BA6" w14:textId="77777777" w:rsidR="0004318E" w:rsidRPr="007F63EF" w:rsidRDefault="0004318E" w:rsidP="0004318E">
            <w:pPr>
              <w:jc w:val="right"/>
              <w:rPr>
                <w:rFonts w:eastAsia="Times New Roman" w:cs="Calibri"/>
                <w:color w:val="FF0000"/>
                <w:sz w:val="18"/>
                <w:szCs w:val="18"/>
                <w:lang w:eastAsia="en-GB"/>
              </w:rPr>
            </w:pPr>
            <w:r w:rsidRPr="007F63EF">
              <w:rPr>
                <w:rFonts w:eastAsia="Times New Roman" w:cs="Calibri"/>
                <w:color w:val="FF0000"/>
                <w:sz w:val="18"/>
                <w:szCs w:val="18"/>
                <w:lang w:eastAsia="en-GB"/>
              </w:rPr>
              <w:t>21</w:t>
            </w:r>
          </w:p>
        </w:tc>
        <w:tc>
          <w:tcPr>
            <w:tcW w:w="656" w:type="pct"/>
            <w:tcBorders>
              <w:top w:val="nil"/>
              <w:left w:val="nil"/>
              <w:bottom w:val="single" w:sz="4" w:space="0" w:color="auto"/>
              <w:right w:val="single" w:sz="4" w:space="0" w:color="auto"/>
            </w:tcBorders>
            <w:shd w:val="clear" w:color="auto" w:fill="auto"/>
            <w:noWrap/>
            <w:vAlign w:val="bottom"/>
            <w:hideMark/>
          </w:tcPr>
          <w:p w14:paraId="62C86C25"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27</w:t>
            </w:r>
          </w:p>
        </w:tc>
        <w:tc>
          <w:tcPr>
            <w:tcW w:w="902" w:type="pct"/>
            <w:tcBorders>
              <w:top w:val="nil"/>
              <w:left w:val="nil"/>
              <w:bottom w:val="single" w:sz="4" w:space="0" w:color="auto"/>
              <w:right w:val="single" w:sz="4" w:space="0" w:color="auto"/>
            </w:tcBorders>
            <w:shd w:val="clear" w:color="000000" w:fill="FF0000"/>
            <w:vAlign w:val="center"/>
            <w:hideMark/>
          </w:tcPr>
          <w:p w14:paraId="3DE9B42A"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w:t>
            </w:r>
          </w:p>
        </w:tc>
        <w:tc>
          <w:tcPr>
            <w:tcW w:w="902" w:type="pct"/>
            <w:tcBorders>
              <w:top w:val="nil"/>
              <w:left w:val="nil"/>
              <w:bottom w:val="single" w:sz="4" w:space="0" w:color="auto"/>
              <w:right w:val="single" w:sz="4" w:space="0" w:color="auto"/>
            </w:tcBorders>
            <w:shd w:val="clear" w:color="auto" w:fill="auto"/>
            <w:noWrap/>
            <w:vAlign w:val="bottom"/>
            <w:hideMark/>
          </w:tcPr>
          <w:p w14:paraId="49B1783D"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0</w:t>
            </w:r>
          </w:p>
        </w:tc>
        <w:tc>
          <w:tcPr>
            <w:tcW w:w="984" w:type="pct"/>
            <w:tcBorders>
              <w:top w:val="nil"/>
              <w:left w:val="nil"/>
              <w:bottom w:val="single" w:sz="4" w:space="0" w:color="auto"/>
              <w:right w:val="single" w:sz="4" w:space="0" w:color="auto"/>
            </w:tcBorders>
            <w:shd w:val="clear" w:color="auto" w:fill="auto"/>
            <w:noWrap/>
            <w:vAlign w:val="bottom"/>
            <w:hideMark/>
          </w:tcPr>
          <w:p w14:paraId="385E92DA"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0</w:t>
            </w:r>
          </w:p>
        </w:tc>
      </w:tr>
      <w:tr w:rsidR="00FB2CE0" w:rsidRPr="0004318E" w14:paraId="738B7880"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3F48F377"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Bangladesh</w:t>
            </w:r>
          </w:p>
        </w:tc>
        <w:tc>
          <w:tcPr>
            <w:tcW w:w="575" w:type="pct"/>
            <w:tcBorders>
              <w:top w:val="nil"/>
              <w:left w:val="nil"/>
              <w:bottom w:val="single" w:sz="4" w:space="0" w:color="auto"/>
              <w:right w:val="single" w:sz="4" w:space="0" w:color="auto"/>
            </w:tcBorders>
            <w:shd w:val="clear" w:color="auto" w:fill="auto"/>
            <w:noWrap/>
            <w:vAlign w:val="bottom"/>
            <w:hideMark/>
          </w:tcPr>
          <w:p w14:paraId="6CB10115" w14:textId="77777777" w:rsidR="0004318E" w:rsidRPr="007F63EF" w:rsidRDefault="0004318E" w:rsidP="0004318E">
            <w:pPr>
              <w:jc w:val="right"/>
              <w:rPr>
                <w:rFonts w:eastAsia="Times New Roman" w:cs="Calibri"/>
                <w:color w:val="FF0000"/>
                <w:sz w:val="18"/>
                <w:szCs w:val="18"/>
                <w:lang w:eastAsia="en-GB"/>
              </w:rPr>
            </w:pPr>
            <w:r w:rsidRPr="007F63EF">
              <w:rPr>
                <w:rFonts w:eastAsia="Times New Roman" w:cs="Calibri"/>
                <w:color w:val="FF0000"/>
                <w:sz w:val="18"/>
                <w:szCs w:val="18"/>
                <w:lang w:eastAsia="en-GB"/>
              </w:rPr>
              <w:t>30</w:t>
            </w:r>
          </w:p>
        </w:tc>
        <w:tc>
          <w:tcPr>
            <w:tcW w:w="656" w:type="pct"/>
            <w:tcBorders>
              <w:top w:val="nil"/>
              <w:left w:val="nil"/>
              <w:bottom w:val="single" w:sz="4" w:space="0" w:color="auto"/>
              <w:right w:val="single" w:sz="4" w:space="0" w:color="auto"/>
            </w:tcBorders>
            <w:shd w:val="clear" w:color="auto" w:fill="auto"/>
            <w:noWrap/>
            <w:vAlign w:val="bottom"/>
            <w:hideMark/>
          </w:tcPr>
          <w:p w14:paraId="5D836F33"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36</w:t>
            </w:r>
          </w:p>
        </w:tc>
        <w:tc>
          <w:tcPr>
            <w:tcW w:w="902" w:type="pct"/>
            <w:tcBorders>
              <w:top w:val="nil"/>
              <w:left w:val="nil"/>
              <w:bottom w:val="single" w:sz="4" w:space="0" w:color="auto"/>
              <w:right w:val="single" w:sz="4" w:space="0" w:color="auto"/>
            </w:tcBorders>
            <w:shd w:val="clear" w:color="000000" w:fill="92D050"/>
            <w:vAlign w:val="center"/>
            <w:hideMark/>
          </w:tcPr>
          <w:p w14:paraId="164DD903"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auto" w:fill="auto"/>
            <w:noWrap/>
            <w:vAlign w:val="bottom"/>
            <w:hideMark/>
          </w:tcPr>
          <w:p w14:paraId="438B07A1"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553</w:t>
            </w:r>
          </w:p>
        </w:tc>
        <w:tc>
          <w:tcPr>
            <w:tcW w:w="984" w:type="pct"/>
            <w:tcBorders>
              <w:top w:val="nil"/>
              <w:left w:val="nil"/>
              <w:bottom w:val="single" w:sz="4" w:space="0" w:color="auto"/>
              <w:right w:val="single" w:sz="4" w:space="0" w:color="auto"/>
            </w:tcBorders>
            <w:shd w:val="clear" w:color="auto" w:fill="auto"/>
            <w:noWrap/>
            <w:vAlign w:val="bottom"/>
            <w:hideMark/>
          </w:tcPr>
          <w:p w14:paraId="47B08687"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678</w:t>
            </w:r>
          </w:p>
        </w:tc>
      </w:tr>
      <w:tr w:rsidR="00FB2CE0" w:rsidRPr="0004318E" w14:paraId="449BF7AC"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73EEDE13"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xml:space="preserve">Indonesia </w:t>
            </w:r>
          </w:p>
        </w:tc>
        <w:tc>
          <w:tcPr>
            <w:tcW w:w="575" w:type="pct"/>
            <w:tcBorders>
              <w:top w:val="nil"/>
              <w:left w:val="nil"/>
              <w:bottom w:val="single" w:sz="4" w:space="0" w:color="auto"/>
              <w:right w:val="single" w:sz="4" w:space="0" w:color="auto"/>
            </w:tcBorders>
            <w:shd w:val="clear" w:color="auto" w:fill="auto"/>
            <w:noWrap/>
            <w:vAlign w:val="bottom"/>
            <w:hideMark/>
          </w:tcPr>
          <w:p w14:paraId="2DCA797D"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31</w:t>
            </w:r>
          </w:p>
        </w:tc>
        <w:tc>
          <w:tcPr>
            <w:tcW w:w="656" w:type="pct"/>
            <w:tcBorders>
              <w:top w:val="nil"/>
              <w:left w:val="nil"/>
              <w:bottom w:val="single" w:sz="4" w:space="0" w:color="auto"/>
              <w:right w:val="single" w:sz="4" w:space="0" w:color="auto"/>
            </w:tcBorders>
            <w:shd w:val="clear" w:color="auto" w:fill="auto"/>
            <w:noWrap/>
            <w:vAlign w:val="bottom"/>
            <w:hideMark/>
          </w:tcPr>
          <w:p w14:paraId="4BA36A2E"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37</w:t>
            </w:r>
          </w:p>
        </w:tc>
        <w:tc>
          <w:tcPr>
            <w:tcW w:w="902" w:type="pct"/>
            <w:tcBorders>
              <w:top w:val="nil"/>
              <w:left w:val="nil"/>
              <w:bottom w:val="single" w:sz="4" w:space="0" w:color="auto"/>
              <w:right w:val="single" w:sz="4" w:space="0" w:color="auto"/>
            </w:tcBorders>
            <w:shd w:val="clear" w:color="000000" w:fill="92D050"/>
            <w:vAlign w:val="center"/>
            <w:hideMark/>
          </w:tcPr>
          <w:p w14:paraId="572D4246"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auto" w:fill="auto"/>
            <w:noWrap/>
            <w:vAlign w:val="bottom"/>
            <w:hideMark/>
          </w:tcPr>
          <w:p w14:paraId="7E544FEB"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1</w:t>
            </w:r>
          </w:p>
        </w:tc>
        <w:tc>
          <w:tcPr>
            <w:tcW w:w="984" w:type="pct"/>
            <w:tcBorders>
              <w:top w:val="nil"/>
              <w:left w:val="nil"/>
              <w:bottom w:val="single" w:sz="4" w:space="0" w:color="auto"/>
              <w:right w:val="single" w:sz="4" w:space="0" w:color="auto"/>
            </w:tcBorders>
            <w:shd w:val="clear" w:color="auto" w:fill="auto"/>
            <w:noWrap/>
            <w:vAlign w:val="bottom"/>
            <w:hideMark/>
          </w:tcPr>
          <w:p w14:paraId="038AD812"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52454</w:t>
            </w:r>
          </w:p>
        </w:tc>
      </w:tr>
      <w:tr w:rsidR="00FB2CE0" w:rsidRPr="0004318E" w14:paraId="4B07985E"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29D2164D"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xml:space="preserve">Kenya </w:t>
            </w:r>
          </w:p>
        </w:tc>
        <w:tc>
          <w:tcPr>
            <w:tcW w:w="575" w:type="pct"/>
            <w:tcBorders>
              <w:top w:val="nil"/>
              <w:left w:val="nil"/>
              <w:bottom w:val="single" w:sz="4" w:space="0" w:color="auto"/>
              <w:right w:val="single" w:sz="4" w:space="0" w:color="auto"/>
            </w:tcBorders>
            <w:shd w:val="clear" w:color="auto" w:fill="auto"/>
            <w:noWrap/>
            <w:vAlign w:val="bottom"/>
            <w:hideMark/>
          </w:tcPr>
          <w:p w14:paraId="7BAE4663" w14:textId="77777777" w:rsidR="0004318E" w:rsidRPr="007F63EF" w:rsidRDefault="0004318E" w:rsidP="0004318E">
            <w:pPr>
              <w:jc w:val="right"/>
              <w:rPr>
                <w:rFonts w:eastAsia="Times New Roman" w:cs="Calibri"/>
                <w:color w:val="00B050"/>
                <w:sz w:val="18"/>
                <w:szCs w:val="18"/>
                <w:lang w:eastAsia="en-GB"/>
              </w:rPr>
            </w:pPr>
            <w:r w:rsidRPr="007F63EF">
              <w:rPr>
                <w:rFonts w:eastAsia="Times New Roman" w:cs="Calibri"/>
                <w:color w:val="00B050"/>
                <w:sz w:val="18"/>
                <w:szCs w:val="18"/>
                <w:lang w:eastAsia="en-GB"/>
              </w:rPr>
              <w:t>34</w:t>
            </w:r>
          </w:p>
        </w:tc>
        <w:tc>
          <w:tcPr>
            <w:tcW w:w="656" w:type="pct"/>
            <w:tcBorders>
              <w:top w:val="nil"/>
              <w:left w:val="nil"/>
              <w:bottom w:val="single" w:sz="4" w:space="0" w:color="auto"/>
              <w:right w:val="single" w:sz="4" w:space="0" w:color="auto"/>
            </w:tcBorders>
            <w:shd w:val="clear" w:color="auto" w:fill="auto"/>
            <w:noWrap/>
            <w:vAlign w:val="bottom"/>
            <w:hideMark/>
          </w:tcPr>
          <w:p w14:paraId="67CF3511"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40</w:t>
            </w:r>
          </w:p>
        </w:tc>
        <w:tc>
          <w:tcPr>
            <w:tcW w:w="902" w:type="pct"/>
            <w:tcBorders>
              <w:top w:val="nil"/>
              <w:left w:val="nil"/>
              <w:bottom w:val="single" w:sz="4" w:space="0" w:color="auto"/>
              <w:right w:val="single" w:sz="4" w:space="0" w:color="auto"/>
            </w:tcBorders>
            <w:shd w:val="clear" w:color="000000" w:fill="92D050"/>
            <w:vAlign w:val="center"/>
            <w:hideMark/>
          </w:tcPr>
          <w:p w14:paraId="1333C165"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auto" w:fill="auto"/>
            <w:noWrap/>
            <w:vAlign w:val="bottom"/>
            <w:hideMark/>
          </w:tcPr>
          <w:p w14:paraId="438EE89A"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1</w:t>
            </w:r>
          </w:p>
        </w:tc>
        <w:tc>
          <w:tcPr>
            <w:tcW w:w="984" w:type="pct"/>
            <w:tcBorders>
              <w:top w:val="nil"/>
              <w:left w:val="nil"/>
              <w:bottom w:val="single" w:sz="4" w:space="0" w:color="auto"/>
              <w:right w:val="single" w:sz="4" w:space="0" w:color="auto"/>
            </w:tcBorders>
            <w:shd w:val="clear" w:color="auto" w:fill="auto"/>
            <w:noWrap/>
            <w:vAlign w:val="bottom"/>
            <w:hideMark/>
          </w:tcPr>
          <w:p w14:paraId="5C7E3C87"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1892</w:t>
            </w:r>
          </w:p>
        </w:tc>
      </w:tr>
      <w:tr w:rsidR="00FB2CE0" w:rsidRPr="0004318E" w14:paraId="13462B83"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755A66D9"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Zambia</w:t>
            </w:r>
          </w:p>
        </w:tc>
        <w:tc>
          <w:tcPr>
            <w:tcW w:w="575" w:type="pct"/>
            <w:tcBorders>
              <w:top w:val="nil"/>
              <w:left w:val="nil"/>
              <w:bottom w:val="single" w:sz="4" w:space="0" w:color="auto"/>
              <w:right w:val="single" w:sz="4" w:space="0" w:color="auto"/>
            </w:tcBorders>
            <w:shd w:val="clear" w:color="auto" w:fill="auto"/>
            <w:noWrap/>
            <w:vAlign w:val="bottom"/>
            <w:hideMark/>
          </w:tcPr>
          <w:p w14:paraId="282882DA" w14:textId="77777777" w:rsidR="0004318E" w:rsidRPr="007F63EF" w:rsidRDefault="0004318E" w:rsidP="0004318E">
            <w:pPr>
              <w:jc w:val="right"/>
              <w:rPr>
                <w:rFonts w:eastAsia="Times New Roman" w:cs="Calibri"/>
                <w:color w:val="00B050"/>
                <w:sz w:val="18"/>
                <w:szCs w:val="18"/>
                <w:lang w:eastAsia="en-GB"/>
              </w:rPr>
            </w:pPr>
            <w:r w:rsidRPr="007F63EF">
              <w:rPr>
                <w:rFonts w:eastAsia="Times New Roman" w:cs="Calibri"/>
                <w:color w:val="00B050"/>
                <w:sz w:val="18"/>
                <w:szCs w:val="18"/>
                <w:lang w:eastAsia="en-GB"/>
              </w:rPr>
              <w:t>35</w:t>
            </w:r>
          </w:p>
        </w:tc>
        <w:tc>
          <w:tcPr>
            <w:tcW w:w="656" w:type="pct"/>
            <w:tcBorders>
              <w:top w:val="nil"/>
              <w:left w:val="nil"/>
              <w:bottom w:val="single" w:sz="4" w:space="0" w:color="auto"/>
              <w:right w:val="single" w:sz="4" w:space="0" w:color="auto"/>
            </w:tcBorders>
            <w:shd w:val="clear" w:color="auto" w:fill="auto"/>
            <w:noWrap/>
            <w:vAlign w:val="bottom"/>
            <w:hideMark/>
          </w:tcPr>
          <w:p w14:paraId="3530ADF4"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41</w:t>
            </w:r>
          </w:p>
        </w:tc>
        <w:tc>
          <w:tcPr>
            <w:tcW w:w="902" w:type="pct"/>
            <w:tcBorders>
              <w:top w:val="nil"/>
              <w:left w:val="nil"/>
              <w:bottom w:val="single" w:sz="4" w:space="0" w:color="auto"/>
              <w:right w:val="single" w:sz="4" w:space="0" w:color="auto"/>
            </w:tcBorders>
            <w:shd w:val="clear" w:color="000000" w:fill="92D050"/>
            <w:vAlign w:val="center"/>
            <w:hideMark/>
          </w:tcPr>
          <w:p w14:paraId="278E2B6E"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auto" w:fill="auto"/>
            <w:noWrap/>
            <w:vAlign w:val="bottom"/>
            <w:hideMark/>
          </w:tcPr>
          <w:p w14:paraId="1424E0DF"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8270</w:t>
            </w:r>
          </w:p>
        </w:tc>
        <w:tc>
          <w:tcPr>
            <w:tcW w:w="984" w:type="pct"/>
            <w:tcBorders>
              <w:top w:val="nil"/>
              <w:left w:val="nil"/>
              <w:bottom w:val="single" w:sz="4" w:space="0" w:color="auto"/>
              <w:right w:val="single" w:sz="4" w:space="0" w:color="auto"/>
            </w:tcBorders>
            <w:shd w:val="clear" w:color="auto" w:fill="auto"/>
            <w:noWrap/>
            <w:vAlign w:val="bottom"/>
            <w:hideMark/>
          </w:tcPr>
          <w:p w14:paraId="65D3908B"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30000</w:t>
            </w:r>
          </w:p>
        </w:tc>
      </w:tr>
      <w:tr w:rsidR="00FB2CE0" w:rsidRPr="0004318E" w14:paraId="5BB50FBB"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0DD1D5AC"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xml:space="preserve">Nigeria </w:t>
            </w:r>
          </w:p>
        </w:tc>
        <w:tc>
          <w:tcPr>
            <w:tcW w:w="575" w:type="pct"/>
            <w:tcBorders>
              <w:top w:val="nil"/>
              <w:left w:val="nil"/>
              <w:bottom w:val="single" w:sz="4" w:space="0" w:color="auto"/>
              <w:right w:val="single" w:sz="4" w:space="0" w:color="auto"/>
            </w:tcBorders>
            <w:shd w:val="clear" w:color="auto" w:fill="auto"/>
            <w:noWrap/>
            <w:vAlign w:val="bottom"/>
            <w:hideMark/>
          </w:tcPr>
          <w:p w14:paraId="45FEDCE9" w14:textId="77777777" w:rsidR="0004318E" w:rsidRPr="007F63EF" w:rsidRDefault="0004318E" w:rsidP="0004318E">
            <w:pPr>
              <w:jc w:val="right"/>
              <w:rPr>
                <w:rFonts w:eastAsia="Times New Roman" w:cs="Calibri"/>
                <w:color w:val="FF0000"/>
                <w:sz w:val="18"/>
                <w:szCs w:val="18"/>
                <w:lang w:eastAsia="en-GB"/>
              </w:rPr>
            </w:pPr>
            <w:r w:rsidRPr="007F63EF">
              <w:rPr>
                <w:rFonts w:eastAsia="Times New Roman" w:cs="Calibri"/>
                <w:color w:val="FF0000"/>
                <w:sz w:val="18"/>
                <w:szCs w:val="18"/>
                <w:lang w:eastAsia="en-GB"/>
              </w:rPr>
              <w:t>37</w:t>
            </w:r>
          </w:p>
        </w:tc>
        <w:tc>
          <w:tcPr>
            <w:tcW w:w="656" w:type="pct"/>
            <w:tcBorders>
              <w:top w:val="nil"/>
              <w:left w:val="nil"/>
              <w:bottom w:val="single" w:sz="4" w:space="0" w:color="auto"/>
              <w:right w:val="single" w:sz="4" w:space="0" w:color="auto"/>
            </w:tcBorders>
            <w:shd w:val="clear" w:color="auto" w:fill="auto"/>
            <w:noWrap/>
            <w:vAlign w:val="bottom"/>
            <w:hideMark/>
          </w:tcPr>
          <w:p w14:paraId="5D6DAC0B"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43</w:t>
            </w:r>
          </w:p>
        </w:tc>
        <w:tc>
          <w:tcPr>
            <w:tcW w:w="902" w:type="pct"/>
            <w:tcBorders>
              <w:top w:val="nil"/>
              <w:left w:val="nil"/>
              <w:bottom w:val="single" w:sz="4" w:space="0" w:color="auto"/>
              <w:right w:val="single" w:sz="4" w:space="0" w:color="auto"/>
            </w:tcBorders>
            <w:shd w:val="clear" w:color="000000" w:fill="92D050"/>
            <w:vAlign w:val="center"/>
            <w:hideMark/>
          </w:tcPr>
          <w:p w14:paraId="536E0666"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auto" w:fill="auto"/>
            <w:noWrap/>
            <w:vAlign w:val="bottom"/>
            <w:hideMark/>
          </w:tcPr>
          <w:p w14:paraId="3EF8602E"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3638</w:t>
            </w:r>
          </w:p>
        </w:tc>
        <w:tc>
          <w:tcPr>
            <w:tcW w:w="984" w:type="pct"/>
            <w:tcBorders>
              <w:top w:val="nil"/>
              <w:left w:val="nil"/>
              <w:bottom w:val="single" w:sz="4" w:space="0" w:color="auto"/>
              <w:right w:val="single" w:sz="4" w:space="0" w:color="auto"/>
            </w:tcBorders>
            <w:shd w:val="clear" w:color="auto" w:fill="auto"/>
            <w:noWrap/>
            <w:vAlign w:val="bottom"/>
            <w:hideMark/>
          </w:tcPr>
          <w:p w14:paraId="598E987B"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4585</w:t>
            </w:r>
          </w:p>
        </w:tc>
      </w:tr>
      <w:tr w:rsidR="00FB2CE0" w:rsidRPr="0004318E" w14:paraId="163F18C5"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19C8A171"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Pakistan</w:t>
            </w:r>
          </w:p>
        </w:tc>
        <w:tc>
          <w:tcPr>
            <w:tcW w:w="575" w:type="pct"/>
            <w:tcBorders>
              <w:top w:val="nil"/>
              <w:left w:val="nil"/>
              <w:bottom w:val="single" w:sz="4" w:space="0" w:color="auto"/>
              <w:right w:val="single" w:sz="4" w:space="0" w:color="auto"/>
            </w:tcBorders>
            <w:shd w:val="clear" w:color="auto" w:fill="auto"/>
            <w:noWrap/>
            <w:vAlign w:val="bottom"/>
            <w:hideMark/>
          </w:tcPr>
          <w:p w14:paraId="40E61BEE"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38</w:t>
            </w:r>
          </w:p>
        </w:tc>
        <w:tc>
          <w:tcPr>
            <w:tcW w:w="656" w:type="pct"/>
            <w:tcBorders>
              <w:top w:val="nil"/>
              <w:left w:val="nil"/>
              <w:bottom w:val="single" w:sz="4" w:space="0" w:color="auto"/>
              <w:right w:val="single" w:sz="4" w:space="0" w:color="auto"/>
            </w:tcBorders>
            <w:shd w:val="clear" w:color="auto" w:fill="auto"/>
            <w:noWrap/>
            <w:vAlign w:val="bottom"/>
            <w:hideMark/>
          </w:tcPr>
          <w:p w14:paraId="56CA55EC"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44</w:t>
            </w:r>
          </w:p>
        </w:tc>
        <w:tc>
          <w:tcPr>
            <w:tcW w:w="902" w:type="pct"/>
            <w:tcBorders>
              <w:top w:val="nil"/>
              <w:left w:val="nil"/>
              <w:bottom w:val="single" w:sz="4" w:space="0" w:color="auto"/>
              <w:right w:val="single" w:sz="4" w:space="0" w:color="auto"/>
            </w:tcBorders>
            <w:shd w:val="clear" w:color="000000" w:fill="92D050"/>
            <w:vAlign w:val="center"/>
            <w:hideMark/>
          </w:tcPr>
          <w:p w14:paraId="2B4F1E1F"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auto" w:fill="auto"/>
            <w:noWrap/>
            <w:vAlign w:val="bottom"/>
            <w:hideMark/>
          </w:tcPr>
          <w:p w14:paraId="15434782"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w:t>
            </w:r>
          </w:p>
        </w:tc>
        <w:tc>
          <w:tcPr>
            <w:tcW w:w="984" w:type="pct"/>
            <w:tcBorders>
              <w:top w:val="nil"/>
              <w:left w:val="nil"/>
              <w:bottom w:val="single" w:sz="4" w:space="0" w:color="auto"/>
              <w:right w:val="single" w:sz="4" w:space="0" w:color="auto"/>
            </w:tcBorders>
            <w:shd w:val="clear" w:color="auto" w:fill="auto"/>
            <w:noWrap/>
            <w:vAlign w:val="bottom"/>
            <w:hideMark/>
          </w:tcPr>
          <w:p w14:paraId="511AFB33"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w:t>
            </w:r>
          </w:p>
        </w:tc>
      </w:tr>
      <w:tr w:rsidR="00FB2CE0" w:rsidRPr="0004318E" w14:paraId="09EA48A8"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5D28C504"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Vietnam</w:t>
            </w:r>
          </w:p>
        </w:tc>
        <w:tc>
          <w:tcPr>
            <w:tcW w:w="575" w:type="pct"/>
            <w:tcBorders>
              <w:top w:val="nil"/>
              <w:left w:val="nil"/>
              <w:bottom w:val="single" w:sz="4" w:space="0" w:color="auto"/>
              <w:right w:val="single" w:sz="4" w:space="0" w:color="auto"/>
            </w:tcBorders>
            <w:shd w:val="clear" w:color="auto" w:fill="auto"/>
            <w:noWrap/>
            <w:vAlign w:val="bottom"/>
            <w:hideMark/>
          </w:tcPr>
          <w:p w14:paraId="001B002D"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38</w:t>
            </w:r>
          </w:p>
        </w:tc>
        <w:tc>
          <w:tcPr>
            <w:tcW w:w="656" w:type="pct"/>
            <w:tcBorders>
              <w:top w:val="nil"/>
              <w:left w:val="nil"/>
              <w:bottom w:val="single" w:sz="4" w:space="0" w:color="auto"/>
              <w:right w:val="single" w:sz="4" w:space="0" w:color="auto"/>
            </w:tcBorders>
            <w:shd w:val="clear" w:color="auto" w:fill="auto"/>
            <w:noWrap/>
            <w:vAlign w:val="bottom"/>
            <w:hideMark/>
          </w:tcPr>
          <w:p w14:paraId="26E26A08"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44</w:t>
            </w:r>
          </w:p>
        </w:tc>
        <w:tc>
          <w:tcPr>
            <w:tcW w:w="902" w:type="pct"/>
            <w:tcBorders>
              <w:top w:val="nil"/>
              <w:left w:val="nil"/>
              <w:bottom w:val="single" w:sz="4" w:space="0" w:color="auto"/>
              <w:right w:val="single" w:sz="4" w:space="0" w:color="auto"/>
            </w:tcBorders>
            <w:shd w:val="clear" w:color="000000" w:fill="FF0000"/>
            <w:vAlign w:val="center"/>
            <w:hideMark/>
          </w:tcPr>
          <w:p w14:paraId="570A8AC6"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w:t>
            </w:r>
          </w:p>
        </w:tc>
        <w:tc>
          <w:tcPr>
            <w:tcW w:w="902" w:type="pct"/>
            <w:tcBorders>
              <w:top w:val="nil"/>
              <w:left w:val="nil"/>
              <w:bottom w:val="single" w:sz="4" w:space="0" w:color="auto"/>
              <w:right w:val="single" w:sz="4" w:space="0" w:color="auto"/>
            </w:tcBorders>
            <w:shd w:val="clear" w:color="auto" w:fill="auto"/>
            <w:noWrap/>
            <w:vAlign w:val="bottom"/>
            <w:hideMark/>
          </w:tcPr>
          <w:p w14:paraId="4A7ABC4C"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100000</w:t>
            </w:r>
          </w:p>
        </w:tc>
        <w:tc>
          <w:tcPr>
            <w:tcW w:w="984" w:type="pct"/>
            <w:tcBorders>
              <w:top w:val="nil"/>
              <w:left w:val="nil"/>
              <w:bottom w:val="single" w:sz="4" w:space="0" w:color="auto"/>
              <w:right w:val="single" w:sz="4" w:space="0" w:color="auto"/>
            </w:tcBorders>
            <w:shd w:val="clear" w:color="auto" w:fill="auto"/>
            <w:noWrap/>
            <w:vAlign w:val="bottom"/>
            <w:hideMark/>
          </w:tcPr>
          <w:p w14:paraId="61969ECD"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200000</w:t>
            </w:r>
          </w:p>
        </w:tc>
      </w:tr>
      <w:tr w:rsidR="00FB2CE0" w:rsidRPr="0004318E" w14:paraId="04B20058"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28B14202"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Timor-Leste</w:t>
            </w:r>
          </w:p>
        </w:tc>
        <w:tc>
          <w:tcPr>
            <w:tcW w:w="575" w:type="pct"/>
            <w:tcBorders>
              <w:top w:val="nil"/>
              <w:left w:val="nil"/>
              <w:bottom w:val="single" w:sz="4" w:space="0" w:color="auto"/>
              <w:right w:val="single" w:sz="4" w:space="0" w:color="auto"/>
            </w:tcBorders>
            <w:shd w:val="clear" w:color="auto" w:fill="auto"/>
            <w:noWrap/>
            <w:vAlign w:val="bottom"/>
            <w:hideMark/>
          </w:tcPr>
          <w:p w14:paraId="333E0CA3"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38</w:t>
            </w:r>
          </w:p>
        </w:tc>
        <w:tc>
          <w:tcPr>
            <w:tcW w:w="656" w:type="pct"/>
            <w:tcBorders>
              <w:top w:val="nil"/>
              <w:left w:val="nil"/>
              <w:bottom w:val="single" w:sz="4" w:space="0" w:color="auto"/>
              <w:right w:val="single" w:sz="4" w:space="0" w:color="auto"/>
            </w:tcBorders>
            <w:shd w:val="clear" w:color="auto" w:fill="auto"/>
            <w:noWrap/>
            <w:vAlign w:val="bottom"/>
            <w:hideMark/>
          </w:tcPr>
          <w:p w14:paraId="6E778EBF"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44</w:t>
            </w:r>
          </w:p>
        </w:tc>
        <w:tc>
          <w:tcPr>
            <w:tcW w:w="902" w:type="pct"/>
            <w:tcBorders>
              <w:top w:val="nil"/>
              <w:left w:val="nil"/>
              <w:bottom w:val="single" w:sz="4" w:space="0" w:color="auto"/>
              <w:right w:val="single" w:sz="4" w:space="0" w:color="auto"/>
            </w:tcBorders>
            <w:shd w:val="clear" w:color="000000" w:fill="92D050"/>
            <w:vAlign w:val="center"/>
            <w:hideMark/>
          </w:tcPr>
          <w:p w14:paraId="7BAC24CD"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auto" w:fill="auto"/>
            <w:noWrap/>
            <w:vAlign w:val="bottom"/>
            <w:hideMark/>
          </w:tcPr>
          <w:p w14:paraId="160CD093"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1</w:t>
            </w:r>
          </w:p>
        </w:tc>
        <w:tc>
          <w:tcPr>
            <w:tcW w:w="984" w:type="pct"/>
            <w:tcBorders>
              <w:top w:val="nil"/>
              <w:left w:val="nil"/>
              <w:bottom w:val="single" w:sz="4" w:space="0" w:color="auto"/>
              <w:right w:val="single" w:sz="4" w:space="0" w:color="auto"/>
            </w:tcBorders>
            <w:shd w:val="clear" w:color="auto" w:fill="auto"/>
            <w:noWrap/>
            <w:vAlign w:val="bottom"/>
            <w:hideMark/>
          </w:tcPr>
          <w:p w14:paraId="04AA53E0"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114</w:t>
            </w:r>
          </w:p>
        </w:tc>
      </w:tr>
      <w:tr w:rsidR="00FB2CE0" w:rsidRPr="0004318E" w14:paraId="002C0BC5"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2CB2176A"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Laos</w:t>
            </w:r>
          </w:p>
        </w:tc>
        <w:tc>
          <w:tcPr>
            <w:tcW w:w="575" w:type="pct"/>
            <w:tcBorders>
              <w:top w:val="nil"/>
              <w:left w:val="nil"/>
              <w:bottom w:val="single" w:sz="4" w:space="0" w:color="auto"/>
              <w:right w:val="single" w:sz="4" w:space="0" w:color="auto"/>
            </w:tcBorders>
            <w:shd w:val="clear" w:color="auto" w:fill="auto"/>
            <w:noWrap/>
            <w:vAlign w:val="bottom"/>
            <w:hideMark/>
          </w:tcPr>
          <w:p w14:paraId="47391254"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39</w:t>
            </w:r>
          </w:p>
        </w:tc>
        <w:tc>
          <w:tcPr>
            <w:tcW w:w="656" w:type="pct"/>
            <w:tcBorders>
              <w:top w:val="nil"/>
              <w:left w:val="nil"/>
              <w:bottom w:val="single" w:sz="4" w:space="0" w:color="auto"/>
              <w:right w:val="single" w:sz="4" w:space="0" w:color="auto"/>
            </w:tcBorders>
            <w:shd w:val="clear" w:color="auto" w:fill="auto"/>
            <w:noWrap/>
            <w:vAlign w:val="bottom"/>
            <w:hideMark/>
          </w:tcPr>
          <w:p w14:paraId="7380EBAA"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45</w:t>
            </w:r>
          </w:p>
        </w:tc>
        <w:tc>
          <w:tcPr>
            <w:tcW w:w="902" w:type="pct"/>
            <w:tcBorders>
              <w:top w:val="nil"/>
              <w:left w:val="nil"/>
              <w:bottom w:val="single" w:sz="4" w:space="0" w:color="auto"/>
              <w:right w:val="single" w:sz="4" w:space="0" w:color="auto"/>
            </w:tcBorders>
            <w:shd w:val="clear" w:color="000000" w:fill="92D050"/>
            <w:vAlign w:val="center"/>
            <w:hideMark/>
          </w:tcPr>
          <w:p w14:paraId="33DDE014"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auto" w:fill="auto"/>
            <w:noWrap/>
            <w:vAlign w:val="bottom"/>
            <w:hideMark/>
          </w:tcPr>
          <w:p w14:paraId="61EA3AE7"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17126</w:t>
            </w:r>
          </w:p>
        </w:tc>
        <w:tc>
          <w:tcPr>
            <w:tcW w:w="984" w:type="pct"/>
            <w:tcBorders>
              <w:top w:val="nil"/>
              <w:left w:val="nil"/>
              <w:bottom w:val="single" w:sz="4" w:space="0" w:color="auto"/>
              <w:right w:val="single" w:sz="4" w:space="0" w:color="auto"/>
            </w:tcBorders>
            <w:shd w:val="clear" w:color="auto" w:fill="auto"/>
            <w:noWrap/>
            <w:vAlign w:val="bottom"/>
            <w:hideMark/>
          </w:tcPr>
          <w:p w14:paraId="71E28F60"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19060</w:t>
            </w:r>
          </w:p>
        </w:tc>
      </w:tr>
      <w:tr w:rsidR="00FB2CE0" w:rsidRPr="0004318E" w14:paraId="2B7F00DA"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60C5F611"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Bhutan</w:t>
            </w:r>
          </w:p>
        </w:tc>
        <w:tc>
          <w:tcPr>
            <w:tcW w:w="575" w:type="pct"/>
            <w:tcBorders>
              <w:top w:val="nil"/>
              <w:left w:val="nil"/>
              <w:bottom w:val="single" w:sz="4" w:space="0" w:color="auto"/>
              <w:right w:val="single" w:sz="4" w:space="0" w:color="auto"/>
            </w:tcBorders>
            <w:shd w:val="clear" w:color="auto" w:fill="auto"/>
            <w:noWrap/>
            <w:vAlign w:val="bottom"/>
            <w:hideMark/>
          </w:tcPr>
          <w:p w14:paraId="257DDB78"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39</w:t>
            </w:r>
          </w:p>
        </w:tc>
        <w:tc>
          <w:tcPr>
            <w:tcW w:w="656" w:type="pct"/>
            <w:tcBorders>
              <w:top w:val="nil"/>
              <w:left w:val="nil"/>
              <w:bottom w:val="single" w:sz="4" w:space="0" w:color="auto"/>
              <w:right w:val="single" w:sz="4" w:space="0" w:color="auto"/>
            </w:tcBorders>
            <w:shd w:val="clear" w:color="auto" w:fill="auto"/>
            <w:noWrap/>
            <w:vAlign w:val="bottom"/>
            <w:hideMark/>
          </w:tcPr>
          <w:p w14:paraId="685956A5"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45</w:t>
            </w:r>
          </w:p>
        </w:tc>
        <w:tc>
          <w:tcPr>
            <w:tcW w:w="902" w:type="pct"/>
            <w:tcBorders>
              <w:top w:val="nil"/>
              <w:left w:val="nil"/>
              <w:bottom w:val="single" w:sz="4" w:space="0" w:color="auto"/>
              <w:right w:val="single" w:sz="4" w:space="0" w:color="auto"/>
            </w:tcBorders>
            <w:shd w:val="clear" w:color="000000" w:fill="92D050"/>
            <w:vAlign w:val="center"/>
            <w:hideMark/>
          </w:tcPr>
          <w:p w14:paraId="465DDFCB"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auto" w:fill="auto"/>
            <w:noWrap/>
            <w:vAlign w:val="bottom"/>
            <w:hideMark/>
          </w:tcPr>
          <w:p w14:paraId="1A5F3F26"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38897</w:t>
            </w:r>
          </w:p>
        </w:tc>
        <w:tc>
          <w:tcPr>
            <w:tcW w:w="984" w:type="pct"/>
            <w:tcBorders>
              <w:top w:val="nil"/>
              <w:left w:val="nil"/>
              <w:bottom w:val="single" w:sz="4" w:space="0" w:color="auto"/>
              <w:right w:val="single" w:sz="4" w:space="0" w:color="auto"/>
            </w:tcBorders>
            <w:shd w:val="clear" w:color="auto" w:fill="auto"/>
            <w:noWrap/>
            <w:vAlign w:val="bottom"/>
            <w:hideMark/>
          </w:tcPr>
          <w:p w14:paraId="53064475"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31816</w:t>
            </w:r>
          </w:p>
        </w:tc>
      </w:tr>
      <w:tr w:rsidR="00FB2CE0" w:rsidRPr="0004318E" w14:paraId="7CB468DD"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06D15CFC"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Tanzania</w:t>
            </w:r>
          </w:p>
        </w:tc>
        <w:tc>
          <w:tcPr>
            <w:tcW w:w="575" w:type="pct"/>
            <w:tcBorders>
              <w:top w:val="nil"/>
              <w:left w:val="nil"/>
              <w:bottom w:val="single" w:sz="4" w:space="0" w:color="auto"/>
              <w:right w:val="single" w:sz="4" w:space="0" w:color="auto"/>
            </w:tcBorders>
            <w:shd w:val="clear" w:color="auto" w:fill="auto"/>
            <w:noWrap/>
            <w:vAlign w:val="bottom"/>
            <w:hideMark/>
          </w:tcPr>
          <w:p w14:paraId="28E8EAAB" w14:textId="77777777" w:rsidR="0004318E" w:rsidRPr="007F63EF" w:rsidRDefault="0004318E" w:rsidP="0004318E">
            <w:pPr>
              <w:jc w:val="right"/>
              <w:rPr>
                <w:rFonts w:eastAsia="Times New Roman" w:cs="Calibri"/>
                <w:color w:val="00B050"/>
                <w:sz w:val="18"/>
                <w:szCs w:val="18"/>
                <w:lang w:eastAsia="en-GB"/>
              </w:rPr>
            </w:pPr>
            <w:r w:rsidRPr="007F63EF">
              <w:rPr>
                <w:rFonts w:eastAsia="Times New Roman" w:cs="Calibri"/>
                <w:color w:val="00B050"/>
                <w:sz w:val="18"/>
                <w:szCs w:val="18"/>
                <w:lang w:eastAsia="en-GB"/>
              </w:rPr>
              <w:t>40</w:t>
            </w:r>
          </w:p>
        </w:tc>
        <w:tc>
          <w:tcPr>
            <w:tcW w:w="656" w:type="pct"/>
            <w:tcBorders>
              <w:top w:val="nil"/>
              <w:left w:val="nil"/>
              <w:bottom w:val="single" w:sz="4" w:space="0" w:color="auto"/>
              <w:right w:val="single" w:sz="4" w:space="0" w:color="auto"/>
            </w:tcBorders>
            <w:shd w:val="clear" w:color="auto" w:fill="auto"/>
            <w:noWrap/>
            <w:vAlign w:val="bottom"/>
            <w:hideMark/>
          </w:tcPr>
          <w:p w14:paraId="0A7F61AA"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46</w:t>
            </w:r>
          </w:p>
        </w:tc>
        <w:tc>
          <w:tcPr>
            <w:tcW w:w="902" w:type="pct"/>
            <w:tcBorders>
              <w:top w:val="nil"/>
              <w:left w:val="nil"/>
              <w:bottom w:val="single" w:sz="4" w:space="0" w:color="auto"/>
              <w:right w:val="single" w:sz="4" w:space="0" w:color="auto"/>
            </w:tcBorders>
            <w:shd w:val="clear" w:color="000000" w:fill="92D050"/>
            <w:vAlign w:val="center"/>
            <w:hideMark/>
          </w:tcPr>
          <w:p w14:paraId="53D26B6E"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auto" w:fill="auto"/>
            <w:noWrap/>
            <w:vAlign w:val="bottom"/>
            <w:hideMark/>
          </w:tcPr>
          <w:p w14:paraId="4A704F66"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1</w:t>
            </w:r>
          </w:p>
        </w:tc>
        <w:tc>
          <w:tcPr>
            <w:tcW w:w="984" w:type="pct"/>
            <w:tcBorders>
              <w:top w:val="nil"/>
              <w:left w:val="nil"/>
              <w:bottom w:val="single" w:sz="4" w:space="0" w:color="auto"/>
              <w:right w:val="single" w:sz="4" w:space="0" w:color="auto"/>
            </w:tcBorders>
            <w:shd w:val="clear" w:color="auto" w:fill="auto"/>
            <w:noWrap/>
            <w:vAlign w:val="bottom"/>
            <w:hideMark/>
          </w:tcPr>
          <w:p w14:paraId="51A2E03C"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27154</w:t>
            </w:r>
          </w:p>
        </w:tc>
      </w:tr>
      <w:tr w:rsidR="00FB2CE0" w:rsidRPr="0004318E" w14:paraId="0C99788C"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2768A397"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xml:space="preserve">Ghana </w:t>
            </w:r>
          </w:p>
        </w:tc>
        <w:tc>
          <w:tcPr>
            <w:tcW w:w="575" w:type="pct"/>
            <w:tcBorders>
              <w:top w:val="nil"/>
              <w:left w:val="nil"/>
              <w:bottom w:val="single" w:sz="4" w:space="0" w:color="auto"/>
              <w:right w:val="single" w:sz="4" w:space="0" w:color="auto"/>
            </w:tcBorders>
            <w:shd w:val="clear" w:color="auto" w:fill="auto"/>
            <w:noWrap/>
            <w:vAlign w:val="bottom"/>
            <w:hideMark/>
          </w:tcPr>
          <w:p w14:paraId="74588D20"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42</w:t>
            </w:r>
          </w:p>
        </w:tc>
        <w:tc>
          <w:tcPr>
            <w:tcW w:w="656" w:type="pct"/>
            <w:tcBorders>
              <w:top w:val="nil"/>
              <w:left w:val="nil"/>
              <w:bottom w:val="single" w:sz="4" w:space="0" w:color="auto"/>
              <w:right w:val="single" w:sz="4" w:space="0" w:color="auto"/>
            </w:tcBorders>
            <w:shd w:val="clear" w:color="auto" w:fill="auto"/>
            <w:noWrap/>
            <w:vAlign w:val="bottom"/>
            <w:hideMark/>
          </w:tcPr>
          <w:p w14:paraId="042B0A73"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48</w:t>
            </w:r>
          </w:p>
        </w:tc>
        <w:tc>
          <w:tcPr>
            <w:tcW w:w="902" w:type="pct"/>
            <w:tcBorders>
              <w:top w:val="nil"/>
              <w:left w:val="nil"/>
              <w:bottom w:val="single" w:sz="4" w:space="0" w:color="auto"/>
              <w:right w:val="single" w:sz="4" w:space="0" w:color="auto"/>
            </w:tcBorders>
            <w:shd w:val="clear" w:color="000000" w:fill="92D050"/>
            <w:vAlign w:val="center"/>
            <w:hideMark/>
          </w:tcPr>
          <w:p w14:paraId="023CA124"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auto" w:fill="auto"/>
            <w:noWrap/>
            <w:vAlign w:val="bottom"/>
            <w:hideMark/>
          </w:tcPr>
          <w:p w14:paraId="6AFEA0DE"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0</w:t>
            </w:r>
          </w:p>
        </w:tc>
        <w:tc>
          <w:tcPr>
            <w:tcW w:w="984" w:type="pct"/>
            <w:tcBorders>
              <w:top w:val="nil"/>
              <w:left w:val="nil"/>
              <w:bottom w:val="single" w:sz="4" w:space="0" w:color="auto"/>
              <w:right w:val="single" w:sz="4" w:space="0" w:color="auto"/>
            </w:tcBorders>
            <w:shd w:val="clear" w:color="auto" w:fill="auto"/>
            <w:noWrap/>
            <w:vAlign w:val="bottom"/>
            <w:hideMark/>
          </w:tcPr>
          <w:p w14:paraId="456E46BB"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w:t>
            </w:r>
          </w:p>
        </w:tc>
      </w:tr>
      <w:tr w:rsidR="00FB2CE0" w:rsidRPr="0004318E" w14:paraId="6DD47FE2"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337CDE4A"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Uganda</w:t>
            </w:r>
          </w:p>
        </w:tc>
        <w:tc>
          <w:tcPr>
            <w:tcW w:w="575" w:type="pct"/>
            <w:tcBorders>
              <w:top w:val="nil"/>
              <w:left w:val="nil"/>
              <w:bottom w:val="single" w:sz="4" w:space="0" w:color="auto"/>
              <w:right w:val="single" w:sz="4" w:space="0" w:color="auto"/>
            </w:tcBorders>
            <w:shd w:val="clear" w:color="auto" w:fill="auto"/>
            <w:noWrap/>
            <w:vAlign w:val="bottom"/>
            <w:hideMark/>
          </w:tcPr>
          <w:p w14:paraId="58688EC7" w14:textId="77777777" w:rsidR="0004318E" w:rsidRPr="007F63EF" w:rsidRDefault="0004318E" w:rsidP="0004318E">
            <w:pPr>
              <w:jc w:val="right"/>
              <w:rPr>
                <w:rFonts w:eastAsia="Times New Roman" w:cs="Calibri"/>
                <w:color w:val="00B050"/>
                <w:sz w:val="18"/>
                <w:szCs w:val="18"/>
                <w:lang w:eastAsia="en-GB"/>
              </w:rPr>
            </w:pPr>
            <w:r w:rsidRPr="007F63EF">
              <w:rPr>
                <w:rFonts w:eastAsia="Times New Roman" w:cs="Calibri"/>
                <w:color w:val="00B050"/>
                <w:sz w:val="18"/>
                <w:szCs w:val="18"/>
                <w:lang w:eastAsia="en-GB"/>
              </w:rPr>
              <w:t>45</w:t>
            </w:r>
          </w:p>
        </w:tc>
        <w:tc>
          <w:tcPr>
            <w:tcW w:w="656" w:type="pct"/>
            <w:tcBorders>
              <w:top w:val="nil"/>
              <w:left w:val="nil"/>
              <w:bottom w:val="single" w:sz="4" w:space="0" w:color="auto"/>
              <w:right w:val="single" w:sz="4" w:space="0" w:color="auto"/>
            </w:tcBorders>
            <w:shd w:val="clear" w:color="auto" w:fill="auto"/>
            <w:noWrap/>
            <w:vAlign w:val="bottom"/>
            <w:hideMark/>
          </w:tcPr>
          <w:p w14:paraId="3E3A5696"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51</w:t>
            </w:r>
          </w:p>
        </w:tc>
        <w:tc>
          <w:tcPr>
            <w:tcW w:w="902" w:type="pct"/>
            <w:tcBorders>
              <w:top w:val="nil"/>
              <w:left w:val="nil"/>
              <w:bottom w:val="single" w:sz="4" w:space="0" w:color="auto"/>
              <w:right w:val="single" w:sz="4" w:space="0" w:color="auto"/>
            </w:tcBorders>
            <w:shd w:val="clear" w:color="000000" w:fill="92D050"/>
            <w:vAlign w:val="center"/>
            <w:hideMark/>
          </w:tcPr>
          <w:p w14:paraId="5F18A0B7"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auto" w:fill="auto"/>
            <w:noWrap/>
            <w:vAlign w:val="bottom"/>
            <w:hideMark/>
          </w:tcPr>
          <w:p w14:paraId="4EDA7FB8"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405</w:t>
            </w:r>
          </w:p>
        </w:tc>
        <w:tc>
          <w:tcPr>
            <w:tcW w:w="984" w:type="pct"/>
            <w:tcBorders>
              <w:top w:val="nil"/>
              <w:left w:val="nil"/>
              <w:bottom w:val="single" w:sz="4" w:space="0" w:color="auto"/>
              <w:right w:val="single" w:sz="4" w:space="0" w:color="auto"/>
            </w:tcBorders>
            <w:shd w:val="clear" w:color="auto" w:fill="auto"/>
            <w:noWrap/>
            <w:vAlign w:val="bottom"/>
            <w:hideMark/>
          </w:tcPr>
          <w:p w14:paraId="2F629D9F"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4852</w:t>
            </w:r>
          </w:p>
        </w:tc>
      </w:tr>
      <w:tr w:rsidR="00FB2CE0" w:rsidRPr="0004318E" w14:paraId="60612D28" w14:textId="77777777" w:rsidTr="000E32DB">
        <w:trPr>
          <w:trHeight w:val="300"/>
        </w:trPr>
        <w:tc>
          <w:tcPr>
            <w:tcW w:w="981" w:type="pct"/>
            <w:tcBorders>
              <w:top w:val="nil"/>
              <w:left w:val="single" w:sz="4" w:space="0" w:color="auto"/>
              <w:bottom w:val="single" w:sz="4" w:space="0" w:color="auto"/>
              <w:right w:val="single" w:sz="4" w:space="0" w:color="auto"/>
            </w:tcBorders>
            <w:shd w:val="clear" w:color="auto" w:fill="auto"/>
            <w:noWrap/>
            <w:vAlign w:val="bottom"/>
            <w:hideMark/>
          </w:tcPr>
          <w:p w14:paraId="0C057FF1"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Nepal</w:t>
            </w:r>
          </w:p>
        </w:tc>
        <w:tc>
          <w:tcPr>
            <w:tcW w:w="575" w:type="pct"/>
            <w:tcBorders>
              <w:top w:val="nil"/>
              <w:left w:val="nil"/>
              <w:bottom w:val="single" w:sz="4" w:space="0" w:color="auto"/>
              <w:right w:val="single" w:sz="4" w:space="0" w:color="auto"/>
            </w:tcBorders>
            <w:shd w:val="clear" w:color="auto" w:fill="auto"/>
            <w:noWrap/>
            <w:vAlign w:val="bottom"/>
            <w:hideMark/>
          </w:tcPr>
          <w:p w14:paraId="4A0A07CF"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47</w:t>
            </w:r>
          </w:p>
        </w:tc>
        <w:tc>
          <w:tcPr>
            <w:tcW w:w="656" w:type="pct"/>
            <w:tcBorders>
              <w:top w:val="nil"/>
              <w:left w:val="nil"/>
              <w:bottom w:val="single" w:sz="4" w:space="0" w:color="auto"/>
              <w:right w:val="single" w:sz="4" w:space="0" w:color="auto"/>
            </w:tcBorders>
            <w:shd w:val="clear" w:color="auto" w:fill="auto"/>
            <w:noWrap/>
            <w:vAlign w:val="bottom"/>
            <w:hideMark/>
          </w:tcPr>
          <w:p w14:paraId="7DDA6012"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53</w:t>
            </w:r>
          </w:p>
        </w:tc>
        <w:tc>
          <w:tcPr>
            <w:tcW w:w="902" w:type="pct"/>
            <w:tcBorders>
              <w:top w:val="nil"/>
              <w:left w:val="nil"/>
              <w:bottom w:val="single" w:sz="4" w:space="0" w:color="auto"/>
              <w:right w:val="single" w:sz="4" w:space="0" w:color="auto"/>
            </w:tcBorders>
            <w:shd w:val="clear" w:color="000000" w:fill="92D050"/>
            <w:vAlign w:val="center"/>
            <w:hideMark/>
          </w:tcPr>
          <w:p w14:paraId="3DA48481"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auto" w:fill="auto"/>
            <w:noWrap/>
            <w:vAlign w:val="bottom"/>
            <w:hideMark/>
          </w:tcPr>
          <w:p w14:paraId="6B7C2D57"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87867</w:t>
            </w:r>
          </w:p>
        </w:tc>
        <w:tc>
          <w:tcPr>
            <w:tcW w:w="984" w:type="pct"/>
            <w:tcBorders>
              <w:top w:val="nil"/>
              <w:left w:val="nil"/>
              <w:bottom w:val="single" w:sz="4" w:space="0" w:color="auto"/>
              <w:right w:val="single" w:sz="4" w:space="0" w:color="auto"/>
            </w:tcBorders>
            <w:shd w:val="clear" w:color="auto" w:fill="auto"/>
            <w:noWrap/>
            <w:vAlign w:val="bottom"/>
            <w:hideMark/>
          </w:tcPr>
          <w:p w14:paraId="15E452B3"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147150</w:t>
            </w:r>
          </w:p>
        </w:tc>
      </w:tr>
      <w:tr w:rsidR="00FB2CE0" w:rsidRPr="0004318E" w14:paraId="23DF9692" w14:textId="77777777" w:rsidTr="000E32DB">
        <w:trPr>
          <w:trHeight w:val="300"/>
        </w:trPr>
        <w:tc>
          <w:tcPr>
            <w:tcW w:w="981" w:type="pct"/>
            <w:tcBorders>
              <w:top w:val="nil"/>
              <w:left w:val="single" w:sz="4" w:space="0" w:color="auto"/>
              <w:bottom w:val="single" w:sz="4" w:space="0" w:color="auto"/>
              <w:right w:val="single" w:sz="4" w:space="0" w:color="auto"/>
            </w:tcBorders>
            <w:shd w:val="clear" w:color="000000" w:fill="808080"/>
            <w:noWrap/>
            <w:vAlign w:val="bottom"/>
            <w:hideMark/>
          </w:tcPr>
          <w:p w14:paraId="496705E9"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India</w:t>
            </w:r>
          </w:p>
        </w:tc>
        <w:tc>
          <w:tcPr>
            <w:tcW w:w="575" w:type="pct"/>
            <w:tcBorders>
              <w:top w:val="nil"/>
              <w:left w:val="nil"/>
              <w:bottom w:val="single" w:sz="4" w:space="0" w:color="auto"/>
              <w:right w:val="single" w:sz="4" w:space="0" w:color="auto"/>
            </w:tcBorders>
            <w:shd w:val="clear" w:color="auto" w:fill="auto"/>
            <w:noWrap/>
            <w:vAlign w:val="bottom"/>
            <w:hideMark/>
          </w:tcPr>
          <w:p w14:paraId="105A8634" w14:textId="77777777" w:rsidR="0004318E" w:rsidRPr="007F63EF" w:rsidRDefault="0004318E" w:rsidP="0004318E">
            <w:pPr>
              <w:jc w:val="right"/>
              <w:rPr>
                <w:rFonts w:eastAsia="Times New Roman" w:cs="Calibri"/>
                <w:color w:val="FF0000"/>
                <w:sz w:val="18"/>
                <w:szCs w:val="18"/>
                <w:lang w:eastAsia="en-GB"/>
              </w:rPr>
            </w:pPr>
            <w:r w:rsidRPr="007F63EF">
              <w:rPr>
                <w:rFonts w:eastAsia="Times New Roman" w:cs="Calibri"/>
                <w:color w:val="FF0000"/>
                <w:sz w:val="18"/>
                <w:szCs w:val="18"/>
                <w:lang w:eastAsia="en-GB"/>
              </w:rPr>
              <w:t>12</w:t>
            </w:r>
          </w:p>
        </w:tc>
        <w:tc>
          <w:tcPr>
            <w:tcW w:w="656" w:type="pct"/>
            <w:tcBorders>
              <w:top w:val="nil"/>
              <w:left w:val="nil"/>
              <w:bottom w:val="single" w:sz="4" w:space="0" w:color="auto"/>
              <w:right w:val="single" w:sz="4" w:space="0" w:color="auto"/>
            </w:tcBorders>
            <w:shd w:val="clear" w:color="auto" w:fill="auto"/>
            <w:noWrap/>
            <w:vAlign w:val="bottom"/>
            <w:hideMark/>
          </w:tcPr>
          <w:p w14:paraId="7BDB2219"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18</w:t>
            </w:r>
          </w:p>
        </w:tc>
        <w:tc>
          <w:tcPr>
            <w:tcW w:w="902" w:type="pct"/>
            <w:tcBorders>
              <w:top w:val="nil"/>
              <w:left w:val="nil"/>
              <w:bottom w:val="single" w:sz="4" w:space="0" w:color="auto"/>
              <w:right w:val="single" w:sz="4" w:space="0" w:color="auto"/>
            </w:tcBorders>
            <w:shd w:val="clear" w:color="000000" w:fill="92D050"/>
            <w:vAlign w:val="center"/>
            <w:hideMark/>
          </w:tcPr>
          <w:p w14:paraId="20B8158A"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000000" w:fill="808080"/>
            <w:noWrap/>
            <w:vAlign w:val="bottom"/>
            <w:hideMark/>
          </w:tcPr>
          <w:p w14:paraId="511F1DBB"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not a focus country</w:t>
            </w:r>
          </w:p>
        </w:tc>
        <w:tc>
          <w:tcPr>
            <w:tcW w:w="984" w:type="pct"/>
            <w:tcBorders>
              <w:top w:val="nil"/>
              <w:left w:val="nil"/>
              <w:bottom w:val="single" w:sz="4" w:space="0" w:color="auto"/>
              <w:right w:val="single" w:sz="4" w:space="0" w:color="auto"/>
            </w:tcBorders>
            <w:shd w:val="clear" w:color="000000" w:fill="808080"/>
            <w:noWrap/>
            <w:vAlign w:val="bottom"/>
            <w:hideMark/>
          </w:tcPr>
          <w:p w14:paraId="31C47D87"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w:t>
            </w:r>
          </w:p>
        </w:tc>
      </w:tr>
      <w:tr w:rsidR="00FB2CE0" w:rsidRPr="0004318E" w14:paraId="702E3D70" w14:textId="77777777" w:rsidTr="000E32DB">
        <w:trPr>
          <w:trHeight w:val="300"/>
        </w:trPr>
        <w:tc>
          <w:tcPr>
            <w:tcW w:w="981" w:type="pct"/>
            <w:tcBorders>
              <w:top w:val="nil"/>
              <w:left w:val="single" w:sz="4" w:space="0" w:color="auto"/>
              <w:bottom w:val="single" w:sz="4" w:space="0" w:color="auto"/>
              <w:right w:val="single" w:sz="4" w:space="0" w:color="auto"/>
            </w:tcBorders>
            <w:shd w:val="clear" w:color="000000" w:fill="808080"/>
            <w:noWrap/>
            <w:vAlign w:val="bottom"/>
            <w:hideMark/>
          </w:tcPr>
          <w:p w14:paraId="464F920C"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Eswatini</w:t>
            </w:r>
          </w:p>
        </w:tc>
        <w:tc>
          <w:tcPr>
            <w:tcW w:w="575" w:type="pct"/>
            <w:tcBorders>
              <w:top w:val="nil"/>
              <w:left w:val="nil"/>
              <w:bottom w:val="single" w:sz="4" w:space="0" w:color="auto"/>
              <w:right w:val="single" w:sz="4" w:space="0" w:color="auto"/>
            </w:tcBorders>
            <w:shd w:val="clear" w:color="auto" w:fill="auto"/>
            <w:noWrap/>
            <w:vAlign w:val="bottom"/>
            <w:hideMark/>
          </w:tcPr>
          <w:p w14:paraId="75A2BFA1" w14:textId="77777777" w:rsidR="0004318E" w:rsidRPr="007F63EF" w:rsidRDefault="0004318E" w:rsidP="0004318E">
            <w:pPr>
              <w:jc w:val="right"/>
              <w:rPr>
                <w:rFonts w:eastAsia="Times New Roman" w:cs="Calibri"/>
                <w:color w:val="FF0000"/>
                <w:sz w:val="18"/>
                <w:szCs w:val="18"/>
                <w:lang w:eastAsia="en-GB"/>
              </w:rPr>
            </w:pPr>
            <w:r w:rsidRPr="007F63EF">
              <w:rPr>
                <w:rFonts w:eastAsia="Times New Roman" w:cs="Calibri"/>
                <w:color w:val="FF0000"/>
                <w:sz w:val="18"/>
                <w:szCs w:val="18"/>
                <w:lang w:eastAsia="en-GB"/>
              </w:rPr>
              <w:t>27</w:t>
            </w:r>
          </w:p>
        </w:tc>
        <w:tc>
          <w:tcPr>
            <w:tcW w:w="656" w:type="pct"/>
            <w:tcBorders>
              <w:top w:val="nil"/>
              <w:left w:val="nil"/>
              <w:bottom w:val="single" w:sz="4" w:space="0" w:color="auto"/>
              <w:right w:val="single" w:sz="4" w:space="0" w:color="auto"/>
            </w:tcBorders>
            <w:shd w:val="clear" w:color="auto" w:fill="auto"/>
            <w:noWrap/>
            <w:vAlign w:val="bottom"/>
            <w:hideMark/>
          </w:tcPr>
          <w:p w14:paraId="7F9E8B8E"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33</w:t>
            </w:r>
          </w:p>
        </w:tc>
        <w:tc>
          <w:tcPr>
            <w:tcW w:w="902" w:type="pct"/>
            <w:tcBorders>
              <w:top w:val="nil"/>
              <w:left w:val="nil"/>
              <w:bottom w:val="single" w:sz="4" w:space="0" w:color="auto"/>
              <w:right w:val="single" w:sz="4" w:space="0" w:color="auto"/>
            </w:tcBorders>
            <w:shd w:val="clear" w:color="000000" w:fill="FF0000"/>
            <w:vAlign w:val="center"/>
            <w:hideMark/>
          </w:tcPr>
          <w:p w14:paraId="005CC166"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w:t>
            </w:r>
          </w:p>
        </w:tc>
        <w:tc>
          <w:tcPr>
            <w:tcW w:w="902" w:type="pct"/>
            <w:tcBorders>
              <w:top w:val="nil"/>
              <w:left w:val="nil"/>
              <w:bottom w:val="single" w:sz="4" w:space="0" w:color="auto"/>
              <w:right w:val="single" w:sz="4" w:space="0" w:color="auto"/>
            </w:tcBorders>
            <w:shd w:val="clear" w:color="000000" w:fill="808080"/>
            <w:noWrap/>
            <w:vAlign w:val="bottom"/>
            <w:hideMark/>
          </w:tcPr>
          <w:p w14:paraId="01740E72"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not a focus country</w:t>
            </w:r>
          </w:p>
        </w:tc>
        <w:tc>
          <w:tcPr>
            <w:tcW w:w="984" w:type="pct"/>
            <w:tcBorders>
              <w:top w:val="nil"/>
              <w:left w:val="nil"/>
              <w:bottom w:val="single" w:sz="4" w:space="0" w:color="auto"/>
              <w:right w:val="single" w:sz="4" w:space="0" w:color="auto"/>
            </w:tcBorders>
            <w:shd w:val="clear" w:color="000000" w:fill="808080"/>
            <w:noWrap/>
            <w:vAlign w:val="bottom"/>
            <w:hideMark/>
          </w:tcPr>
          <w:p w14:paraId="5C5ADB38"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w:t>
            </w:r>
          </w:p>
        </w:tc>
      </w:tr>
      <w:tr w:rsidR="00FB2CE0" w:rsidRPr="0004318E" w14:paraId="3867AA23" w14:textId="77777777" w:rsidTr="000E32DB">
        <w:trPr>
          <w:trHeight w:val="300"/>
        </w:trPr>
        <w:tc>
          <w:tcPr>
            <w:tcW w:w="981" w:type="pct"/>
            <w:tcBorders>
              <w:top w:val="nil"/>
              <w:left w:val="single" w:sz="4" w:space="0" w:color="auto"/>
              <w:bottom w:val="single" w:sz="4" w:space="0" w:color="auto"/>
              <w:right w:val="single" w:sz="4" w:space="0" w:color="auto"/>
            </w:tcBorders>
            <w:shd w:val="clear" w:color="000000" w:fill="808080"/>
            <w:noWrap/>
            <w:vAlign w:val="bottom"/>
            <w:hideMark/>
          </w:tcPr>
          <w:p w14:paraId="168505F1"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Malawi</w:t>
            </w:r>
          </w:p>
        </w:tc>
        <w:tc>
          <w:tcPr>
            <w:tcW w:w="575" w:type="pct"/>
            <w:tcBorders>
              <w:top w:val="nil"/>
              <w:left w:val="nil"/>
              <w:bottom w:val="single" w:sz="4" w:space="0" w:color="auto"/>
              <w:right w:val="single" w:sz="4" w:space="0" w:color="auto"/>
            </w:tcBorders>
            <w:shd w:val="clear" w:color="auto" w:fill="auto"/>
            <w:noWrap/>
            <w:vAlign w:val="bottom"/>
            <w:hideMark/>
          </w:tcPr>
          <w:p w14:paraId="0841A16E" w14:textId="77777777" w:rsidR="0004318E" w:rsidRPr="007F63EF" w:rsidRDefault="0004318E" w:rsidP="0004318E">
            <w:pPr>
              <w:jc w:val="right"/>
              <w:rPr>
                <w:rFonts w:eastAsia="Times New Roman" w:cs="Calibri"/>
                <w:color w:val="FF0000"/>
                <w:sz w:val="18"/>
                <w:szCs w:val="18"/>
                <w:lang w:eastAsia="en-GB"/>
              </w:rPr>
            </w:pPr>
            <w:r w:rsidRPr="007F63EF">
              <w:rPr>
                <w:rFonts w:eastAsia="Times New Roman" w:cs="Calibri"/>
                <w:color w:val="FF0000"/>
                <w:sz w:val="18"/>
                <w:szCs w:val="18"/>
                <w:lang w:eastAsia="en-GB"/>
              </w:rPr>
              <w:t>27</w:t>
            </w:r>
          </w:p>
        </w:tc>
        <w:tc>
          <w:tcPr>
            <w:tcW w:w="656" w:type="pct"/>
            <w:tcBorders>
              <w:top w:val="nil"/>
              <w:left w:val="nil"/>
              <w:bottom w:val="single" w:sz="4" w:space="0" w:color="auto"/>
              <w:right w:val="single" w:sz="4" w:space="0" w:color="auto"/>
            </w:tcBorders>
            <w:shd w:val="clear" w:color="auto" w:fill="auto"/>
            <w:noWrap/>
            <w:vAlign w:val="bottom"/>
            <w:hideMark/>
          </w:tcPr>
          <w:p w14:paraId="58DAB940"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33</w:t>
            </w:r>
          </w:p>
        </w:tc>
        <w:tc>
          <w:tcPr>
            <w:tcW w:w="902" w:type="pct"/>
            <w:tcBorders>
              <w:top w:val="nil"/>
              <w:left w:val="nil"/>
              <w:bottom w:val="single" w:sz="4" w:space="0" w:color="auto"/>
              <w:right w:val="single" w:sz="4" w:space="0" w:color="auto"/>
            </w:tcBorders>
            <w:shd w:val="clear" w:color="000000" w:fill="92D050"/>
            <w:vAlign w:val="center"/>
            <w:hideMark/>
          </w:tcPr>
          <w:p w14:paraId="5A01A03E"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000000" w:fill="808080"/>
            <w:noWrap/>
            <w:vAlign w:val="bottom"/>
            <w:hideMark/>
          </w:tcPr>
          <w:p w14:paraId="0B6D5C1E"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not a focus country</w:t>
            </w:r>
          </w:p>
        </w:tc>
        <w:tc>
          <w:tcPr>
            <w:tcW w:w="984" w:type="pct"/>
            <w:tcBorders>
              <w:top w:val="nil"/>
              <w:left w:val="nil"/>
              <w:bottom w:val="single" w:sz="4" w:space="0" w:color="auto"/>
              <w:right w:val="single" w:sz="4" w:space="0" w:color="auto"/>
            </w:tcBorders>
            <w:shd w:val="clear" w:color="000000" w:fill="808080"/>
            <w:noWrap/>
            <w:vAlign w:val="bottom"/>
            <w:hideMark/>
          </w:tcPr>
          <w:p w14:paraId="7D73AC75"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w:t>
            </w:r>
          </w:p>
        </w:tc>
      </w:tr>
      <w:tr w:rsidR="008E7AAC" w:rsidRPr="0004318E" w14:paraId="7990D4E8" w14:textId="77777777" w:rsidTr="000E32DB">
        <w:trPr>
          <w:trHeight w:val="300"/>
        </w:trPr>
        <w:tc>
          <w:tcPr>
            <w:tcW w:w="981" w:type="pct"/>
            <w:tcBorders>
              <w:top w:val="nil"/>
              <w:left w:val="single" w:sz="4" w:space="0" w:color="auto"/>
              <w:bottom w:val="single" w:sz="4" w:space="0" w:color="auto"/>
              <w:right w:val="single" w:sz="4" w:space="0" w:color="auto"/>
            </w:tcBorders>
            <w:shd w:val="clear" w:color="000000" w:fill="808080"/>
            <w:noWrap/>
            <w:vAlign w:val="bottom"/>
            <w:hideMark/>
          </w:tcPr>
          <w:p w14:paraId="36DE89D8"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Zimbabwe</w:t>
            </w:r>
          </w:p>
        </w:tc>
        <w:tc>
          <w:tcPr>
            <w:tcW w:w="575" w:type="pct"/>
            <w:tcBorders>
              <w:top w:val="nil"/>
              <w:left w:val="nil"/>
              <w:bottom w:val="single" w:sz="4" w:space="0" w:color="auto"/>
              <w:right w:val="single" w:sz="4" w:space="0" w:color="auto"/>
            </w:tcBorders>
            <w:shd w:val="clear" w:color="auto" w:fill="auto"/>
            <w:noWrap/>
            <w:vAlign w:val="bottom"/>
            <w:hideMark/>
          </w:tcPr>
          <w:p w14:paraId="125AF957" w14:textId="77777777" w:rsidR="0004318E" w:rsidRPr="007F63EF" w:rsidRDefault="0004318E" w:rsidP="0004318E">
            <w:pPr>
              <w:jc w:val="right"/>
              <w:rPr>
                <w:rFonts w:eastAsia="Times New Roman" w:cs="Calibri"/>
                <w:color w:val="FF0000"/>
                <w:sz w:val="18"/>
                <w:szCs w:val="18"/>
                <w:lang w:eastAsia="en-GB"/>
              </w:rPr>
            </w:pPr>
            <w:r w:rsidRPr="007F63EF">
              <w:rPr>
                <w:rFonts w:eastAsia="Times New Roman" w:cs="Calibri"/>
                <w:color w:val="FF0000"/>
                <w:sz w:val="18"/>
                <w:szCs w:val="18"/>
                <w:lang w:eastAsia="en-GB"/>
              </w:rPr>
              <w:t>27</w:t>
            </w:r>
          </w:p>
        </w:tc>
        <w:tc>
          <w:tcPr>
            <w:tcW w:w="656" w:type="pct"/>
            <w:tcBorders>
              <w:top w:val="nil"/>
              <w:left w:val="nil"/>
              <w:bottom w:val="single" w:sz="4" w:space="0" w:color="auto"/>
              <w:right w:val="single" w:sz="4" w:space="0" w:color="auto"/>
            </w:tcBorders>
            <w:shd w:val="clear" w:color="auto" w:fill="auto"/>
            <w:noWrap/>
            <w:vAlign w:val="bottom"/>
            <w:hideMark/>
          </w:tcPr>
          <w:p w14:paraId="471C383A"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33</w:t>
            </w:r>
          </w:p>
        </w:tc>
        <w:tc>
          <w:tcPr>
            <w:tcW w:w="902" w:type="pct"/>
            <w:tcBorders>
              <w:top w:val="nil"/>
              <w:left w:val="nil"/>
              <w:bottom w:val="single" w:sz="4" w:space="0" w:color="auto"/>
              <w:right w:val="single" w:sz="4" w:space="0" w:color="auto"/>
            </w:tcBorders>
            <w:shd w:val="clear" w:color="000000" w:fill="FF0000"/>
            <w:vAlign w:val="center"/>
            <w:hideMark/>
          </w:tcPr>
          <w:p w14:paraId="20A5D6B3"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w:t>
            </w:r>
          </w:p>
        </w:tc>
        <w:tc>
          <w:tcPr>
            <w:tcW w:w="902" w:type="pct"/>
            <w:tcBorders>
              <w:top w:val="nil"/>
              <w:left w:val="nil"/>
              <w:bottom w:val="single" w:sz="4" w:space="0" w:color="auto"/>
              <w:right w:val="single" w:sz="4" w:space="0" w:color="auto"/>
            </w:tcBorders>
            <w:shd w:val="clear" w:color="000000" w:fill="808080"/>
            <w:noWrap/>
            <w:vAlign w:val="bottom"/>
            <w:hideMark/>
          </w:tcPr>
          <w:p w14:paraId="152A4B66"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not a focus country</w:t>
            </w:r>
          </w:p>
        </w:tc>
        <w:tc>
          <w:tcPr>
            <w:tcW w:w="984" w:type="pct"/>
            <w:tcBorders>
              <w:top w:val="nil"/>
              <w:left w:val="nil"/>
              <w:bottom w:val="single" w:sz="4" w:space="0" w:color="auto"/>
              <w:right w:val="single" w:sz="4" w:space="0" w:color="auto"/>
            </w:tcBorders>
            <w:shd w:val="clear" w:color="000000" w:fill="808080"/>
            <w:noWrap/>
            <w:vAlign w:val="bottom"/>
            <w:hideMark/>
          </w:tcPr>
          <w:p w14:paraId="129B4EA4"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w:t>
            </w:r>
          </w:p>
        </w:tc>
      </w:tr>
      <w:tr w:rsidR="008E7AAC" w:rsidRPr="0004318E" w14:paraId="0CC32BE7" w14:textId="77777777" w:rsidTr="000E32DB">
        <w:trPr>
          <w:trHeight w:val="300"/>
        </w:trPr>
        <w:tc>
          <w:tcPr>
            <w:tcW w:w="981" w:type="pct"/>
            <w:tcBorders>
              <w:top w:val="nil"/>
              <w:left w:val="single" w:sz="4" w:space="0" w:color="auto"/>
              <w:bottom w:val="single" w:sz="4" w:space="0" w:color="auto"/>
              <w:right w:val="single" w:sz="4" w:space="0" w:color="auto"/>
            </w:tcBorders>
            <w:shd w:val="clear" w:color="000000" w:fill="808080"/>
            <w:noWrap/>
            <w:vAlign w:val="bottom"/>
            <w:hideMark/>
          </w:tcPr>
          <w:p w14:paraId="77452CC5"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PNG</w:t>
            </w:r>
          </w:p>
        </w:tc>
        <w:tc>
          <w:tcPr>
            <w:tcW w:w="575" w:type="pct"/>
            <w:tcBorders>
              <w:top w:val="nil"/>
              <w:left w:val="nil"/>
              <w:bottom w:val="single" w:sz="4" w:space="0" w:color="auto"/>
              <w:right w:val="single" w:sz="4" w:space="0" w:color="auto"/>
            </w:tcBorders>
            <w:shd w:val="clear" w:color="auto" w:fill="auto"/>
            <w:noWrap/>
            <w:vAlign w:val="bottom"/>
            <w:hideMark/>
          </w:tcPr>
          <w:p w14:paraId="33D388F7"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30</w:t>
            </w:r>
          </w:p>
        </w:tc>
        <w:tc>
          <w:tcPr>
            <w:tcW w:w="656" w:type="pct"/>
            <w:tcBorders>
              <w:top w:val="nil"/>
              <w:left w:val="nil"/>
              <w:bottom w:val="single" w:sz="4" w:space="0" w:color="auto"/>
              <w:right w:val="single" w:sz="4" w:space="0" w:color="auto"/>
            </w:tcBorders>
            <w:shd w:val="clear" w:color="auto" w:fill="auto"/>
            <w:noWrap/>
            <w:vAlign w:val="bottom"/>
            <w:hideMark/>
          </w:tcPr>
          <w:p w14:paraId="553A27E6"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36</w:t>
            </w:r>
          </w:p>
        </w:tc>
        <w:tc>
          <w:tcPr>
            <w:tcW w:w="902" w:type="pct"/>
            <w:tcBorders>
              <w:top w:val="nil"/>
              <w:left w:val="nil"/>
              <w:bottom w:val="single" w:sz="4" w:space="0" w:color="auto"/>
              <w:right w:val="single" w:sz="4" w:space="0" w:color="auto"/>
            </w:tcBorders>
            <w:shd w:val="clear" w:color="000000" w:fill="FF0000"/>
            <w:vAlign w:val="center"/>
            <w:hideMark/>
          </w:tcPr>
          <w:p w14:paraId="331976ED"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w:t>
            </w:r>
          </w:p>
        </w:tc>
        <w:tc>
          <w:tcPr>
            <w:tcW w:w="902" w:type="pct"/>
            <w:tcBorders>
              <w:top w:val="nil"/>
              <w:left w:val="nil"/>
              <w:bottom w:val="single" w:sz="4" w:space="0" w:color="auto"/>
              <w:right w:val="single" w:sz="4" w:space="0" w:color="auto"/>
            </w:tcBorders>
            <w:shd w:val="clear" w:color="000000" w:fill="808080"/>
            <w:noWrap/>
            <w:vAlign w:val="bottom"/>
            <w:hideMark/>
          </w:tcPr>
          <w:p w14:paraId="72F429CD"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not a focus country</w:t>
            </w:r>
          </w:p>
        </w:tc>
        <w:tc>
          <w:tcPr>
            <w:tcW w:w="984" w:type="pct"/>
            <w:tcBorders>
              <w:top w:val="nil"/>
              <w:left w:val="nil"/>
              <w:bottom w:val="single" w:sz="4" w:space="0" w:color="auto"/>
              <w:right w:val="single" w:sz="4" w:space="0" w:color="auto"/>
            </w:tcBorders>
            <w:shd w:val="clear" w:color="000000" w:fill="808080"/>
            <w:noWrap/>
            <w:vAlign w:val="bottom"/>
            <w:hideMark/>
          </w:tcPr>
          <w:p w14:paraId="1BF49729"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w:t>
            </w:r>
          </w:p>
        </w:tc>
      </w:tr>
      <w:tr w:rsidR="008E7AAC" w:rsidRPr="0004318E" w14:paraId="41A9E94A" w14:textId="77777777" w:rsidTr="000E32DB">
        <w:trPr>
          <w:trHeight w:val="300"/>
        </w:trPr>
        <w:tc>
          <w:tcPr>
            <w:tcW w:w="981" w:type="pct"/>
            <w:tcBorders>
              <w:top w:val="nil"/>
              <w:left w:val="single" w:sz="4" w:space="0" w:color="auto"/>
              <w:bottom w:val="single" w:sz="4" w:space="0" w:color="auto"/>
              <w:right w:val="single" w:sz="4" w:space="0" w:color="auto"/>
            </w:tcBorders>
            <w:shd w:val="clear" w:color="000000" w:fill="808080"/>
            <w:noWrap/>
            <w:vAlign w:val="bottom"/>
            <w:hideMark/>
          </w:tcPr>
          <w:p w14:paraId="6C721637"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Myanmar</w:t>
            </w:r>
          </w:p>
        </w:tc>
        <w:tc>
          <w:tcPr>
            <w:tcW w:w="575" w:type="pct"/>
            <w:tcBorders>
              <w:top w:val="nil"/>
              <w:left w:val="nil"/>
              <w:bottom w:val="single" w:sz="4" w:space="0" w:color="auto"/>
              <w:right w:val="single" w:sz="4" w:space="0" w:color="auto"/>
            </w:tcBorders>
            <w:shd w:val="clear" w:color="auto" w:fill="auto"/>
            <w:noWrap/>
            <w:vAlign w:val="bottom"/>
            <w:hideMark/>
          </w:tcPr>
          <w:p w14:paraId="6FCB3656"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34</w:t>
            </w:r>
          </w:p>
        </w:tc>
        <w:tc>
          <w:tcPr>
            <w:tcW w:w="656" w:type="pct"/>
            <w:tcBorders>
              <w:top w:val="nil"/>
              <w:left w:val="nil"/>
              <w:bottom w:val="single" w:sz="4" w:space="0" w:color="auto"/>
              <w:right w:val="single" w:sz="4" w:space="0" w:color="auto"/>
            </w:tcBorders>
            <w:shd w:val="clear" w:color="auto" w:fill="auto"/>
            <w:noWrap/>
            <w:vAlign w:val="bottom"/>
            <w:hideMark/>
          </w:tcPr>
          <w:p w14:paraId="61F072E8"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40</w:t>
            </w:r>
          </w:p>
        </w:tc>
        <w:tc>
          <w:tcPr>
            <w:tcW w:w="902" w:type="pct"/>
            <w:tcBorders>
              <w:top w:val="nil"/>
              <w:left w:val="nil"/>
              <w:bottom w:val="single" w:sz="4" w:space="0" w:color="auto"/>
              <w:right w:val="single" w:sz="4" w:space="0" w:color="auto"/>
            </w:tcBorders>
            <w:shd w:val="clear" w:color="000000" w:fill="92D050"/>
            <w:vAlign w:val="center"/>
            <w:hideMark/>
          </w:tcPr>
          <w:p w14:paraId="60751D40"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000000" w:fill="808080"/>
            <w:noWrap/>
            <w:vAlign w:val="bottom"/>
            <w:hideMark/>
          </w:tcPr>
          <w:p w14:paraId="07EFFA78"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not a focus country</w:t>
            </w:r>
          </w:p>
        </w:tc>
        <w:tc>
          <w:tcPr>
            <w:tcW w:w="984" w:type="pct"/>
            <w:tcBorders>
              <w:top w:val="nil"/>
              <w:left w:val="nil"/>
              <w:bottom w:val="single" w:sz="4" w:space="0" w:color="auto"/>
              <w:right w:val="single" w:sz="4" w:space="0" w:color="auto"/>
            </w:tcBorders>
            <w:shd w:val="clear" w:color="000000" w:fill="808080"/>
            <w:noWrap/>
            <w:vAlign w:val="bottom"/>
            <w:hideMark/>
          </w:tcPr>
          <w:p w14:paraId="1C687562"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w:t>
            </w:r>
          </w:p>
        </w:tc>
      </w:tr>
      <w:tr w:rsidR="008E7AAC" w:rsidRPr="0004318E" w14:paraId="34B4A62B" w14:textId="77777777" w:rsidTr="000E32DB">
        <w:trPr>
          <w:trHeight w:val="300"/>
        </w:trPr>
        <w:tc>
          <w:tcPr>
            <w:tcW w:w="981" w:type="pct"/>
            <w:tcBorders>
              <w:top w:val="nil"/>
              <w:left w:val="single" w:sz="4" w:space="0" w:color="auto"/>
              <w:bottom w:val="single" w:sz="4" w:space="0" w:color="auto"/>
              <w:right w:val="single" w:sz="4" w:space="0" w:color="auto"/>
            </w:tcBorders>
            <w:shd w:val="clear" w:color="000000" w:fill="808080"/>
            <w:noWrap/>
            <w:vAlign w:val="bottom"/>
            <w:hideMark/>
          </w:tcPr>
          <w:p w14:paraId="3EB1A710"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Sri Lanka</w:t>
            </w:r>
          </w:p>
        </w:tc>
        <w:tc>
          <w:tcPr>
            <w:tcW w:w="575" w:type="pct"/>
            <w:tcBorders>
              <w:top w:val="nil"/>
              <w:left w:val="nil"/>
              <w:bottom w:val="single" w:sz="4" w:space="0" w:color="auto"/>
              <w:right w:val="single" w:sz="4" w:space="0" w:color="auto"/>
            </w:tcBorders>
            <w:shd w:val="clear" w:color="auto" w:fill="auto"/>
            <w:noWrap/>
            <w:vAlign w:val="bottom"/>
            <w:hideMark/>
          </w:tcPr>
          <w:p w14:paraId="4062F165" w14:textId="77777777" w:rsidR="0004318E" w:rsidRPr="007F63EF" w:rsidRDefault="0004318E" w:rsidP="0004318E">
            <w:pPr>
              <w:jc w:val="right"/>
              <w:rPr>
                <w:rFonts w:eastAsia="Times New Roman" w:cs="Calibri"/>
                <w:color w:val="00B050"/>
                <w:sz w:val="18"/>
                <w:szCs w:val="18"/>
                <w:lang w:eastAsia="en-GB"/>
              </w:rPr>
            </w:pPr>
            <w:r w:rsidRPr="007F63EF">
              <w:rPr>
                <w:rFonts w:eastAsia="Times New Roman" w:cs="Calibri"/>
                <w:color w:val="00B050"/>
                <w:sz w:val="18"/>
                <w:szCs w:val="18"/>
                <w:lang w:eastAsia="en-GB"/>
              </w:rPr>
              <w:t>35</w:t>
            </w:r>
          </w:p>
        </w:tc>
        <w:tc>
          <w:tcPr>
            <w:tcW w:w="656" w:type="pct"/>
            <w:tcBorders>
              <w:top w:val="nil"/>
              <w:left w:val="nil"/>
              <w:bottom w:val="single" w:sz="4" w:space="0" w:color="auto"/>
              <w:right w:val="single" w:sz="4" w:space="0" w:color="auto"/>
            </w:tcBorders>
            <w:shd w:val="clear" w:color="auto" w:fill="auto"/>
            <w:noWrap/>
            <w:vAlign w:val="bottom"/>
            <w:hideMark/>
          </w:tcPr>
          <w:p w14:paraId="2ED38EB4" w14:textId="77777777" w:rsidR="0004318E" w:rsidRPr="007F63EF" w:rsidRDefault="0004318E" w:rsidP="0004318E">
            <w:pPr>
              <w:jc w:val="right"/>
              <w:rPr>
                <w:rFonts w:eastAsia="Times New Roman" w:cs="Calibri"/>
                <w:color w:val="000000"/>
                <w:sz w:val="18"/>
                <w:szCs w:val="18"/>
                <w:lang w:eastAsia="en-GB"/>
              </w:rPr>
            </w:pPr>
            <w:r w:rsidRPr="007F63EF">
              <w:rPr>
                <w:rFonts w:eastAsia="Times New Roman" w:cs="Calibri"/>
                <w:color w:val="000000"/>
                <w:sz w:val="18"/>
                <w:szCs w:val="18"/>
                <w:lang w:eastAsia="en-GB"/>
              </w:rPr>
              <w:t>41</w:t>
            </w:r>
          </w:p>
        </w:tc>
        <w:tc>
          <w:tcPr>
            <w:tcW w:w="902" w:type="pct"/>
            <w:tcBorders>
              <w:top w:val="nil"/>
              <w:left w:val="nil"/>
              <w:bottom w:val="single" w:sz="4" w:space="0" w:color="auto"/>
              <w:right w:val="single" w:sz="4" w:space="0" w:color="auto"/>
            </w:tcBorders>
            <w:shd w:val="clear" w:color="000000" w:fill="92D050"/>
            <w:vAlign w:val="center"/>
            <w:hideMark/>
          </w:tcPr>
          <w:p w14:paraId="05164F29"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Y</w:t>
            </w:r>
          </w:p>
        </w:tc>
        <w:tc>
          <w:tcPr>
            <w:tcW w:w="902" w:type="pct"/>
            <w:tcBorders>
              <w:top w:val="nil"/>
              <w:left w:val="nil"/>
              <w:bottom w:val="single" w:sz="4" w:space="0" w:color="auto"/>
              <w:right w:val="single" w:sz="4" w:space="0" w:color="auto"/>
            </w:tcBorders>
            <w:shd w:val="clear" w:color="000000" w:fill="808080"/>
            <w:noWrap/>
            <w:vAlign w:val="bottom"/>
            <w:hideMark/>
          </w:tcPr>
          <w:p w14:paraId="43E77B1C"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not a focus country</w:t>
            </w:r>
          </w:p>
        </w:tc>
        <w:tc>
          <w:tcPr>
            <w:tcW w:w="984" w:type="pct"/>
            <w:tcBorders>
              <w:top w:val="nil"/>
              <w:left w:val="nil"/>
              <w:bottom w:val="single" w:sz="4" w:space="0" w:color="auto"/>
              <w:right w:val="single" w:sz="4" w:space="0" w:color="auto"/>
            </w:tcBorders>
            <w:shd w:val="clear" w:color="000000" w:fill="808080"/>
            <w:noWrap/>
            <w:vAlign w:val="bottom"/>
            <w:hideMark/>
          </w:tcPr>
          <w:p w14:paraId="226AC940" w14:textId="77777777" w:rsidR="0004318E" w:rsidRPr="007F63EF" w:rsidRDefault="0004318E" w:rsidP="0004318E">
            <w:pPr>
              <w:rPr>
                <w:rFonts w:eastAsia="Times New Roman" w:cs="Calibri"/>
                <w:color w:val="000000"/>
                <w:sz w:val="18"/>
                <w:szCs w:val="18"/>
                <w:lang w:eastAsia="en-GB"/>
              </w:rPr>
            </w:pPr>
            <w:r w:rsidRPr="007F63EF">
              <w:rPr>
                <w:rFonts w:eastAsia="Times New Roman" w:cs="Calibri"/>
                <w:color w:val="000000"/>
                <w:sz w:val="18"/>
                <w:szCs w:val="18"/>
                <w:lang w:eastAsia="en-GB"/>
              </w:rPr>
              <w:t> </w:t>
            </w:r>
          </w:p>
        </w:tc>
      </w:tr>
    </w:tbl>
    <w:p w14:paraId="199C03D6" w14:textId="77777777" w:rsidR="000B0469" w:rsidRDefault="000B0469" w:rsidP="000B0469">
      <w:r>
        <w:br w:type="page"/>
      </w:r>
    </w:p>
    <w:p w14:paraId="114BF5B2" w14:textId="5BD11683" w:rsidR="000B0469" w:rsidRPr="00313B71" w:rsidRDefault="00FF0BBD" w:rsidP="00E043FF">
      <w:pPr>
        <w:pStyle w:val="ItadH2"/>
      </w:pPr>
      <w:bookmarkStart w:id="237" w:name="_Toc118968541"/>
      <w:bookmarkStart w:id="238" w:name="_Toc142383180"/>
      <w:r>
        <w:t xml:space="preserve">8.2 </w:t>
      </w:r>
      <w:r w:rsidR="000B0469" w:rsidRPr="00313B71">
        <w:t>Changes in qua</w:t>
      </w:r>
      <w:r w:rsidR="000B0469">
        <w:t>l</w:t>
      </w:r>
      <w:r w:rsidR="000B0469" w:rsidRPr="00313B71">
        <w:t>ity of AMR data</w:t>
      </w:r>
      <w:bookmarkEnd w:id="237"/>
      <w:bookmarkEnd w:id="238"/>
    </w:p>
    <w:p w14:paraId="2A1D760C" w14:textId="5A8DB5FF" w:rsidR="000B0469" w:rsidRDefault="000B0469" w:rsidP="000B0469">
      <w:r>
        <w:t xml:space="preserve">The following table was used as a template for </w:t>
      </w:r>
      <w:r w:rsidR="00C81BBC">
        <w:t xml:space="preserve">the </w:t>
      </w:r>
      <w:r>
        <w:t>collation of data from the MA quarterly site reports to make an assessment of changes in key markers of quality processes.</w:t>
      </w:r>
      <w:r>
        <w:rPr>
          <w:rStyle w:val="FootnoteReference"/>
        </w:rPr>
        <w:footnoteReference w:id="50"/>
      </w:r>
      <w:r w:rsidR="007458AC">
        <w:t xml:space="preserve"> </w:t>
      </w:r>
      <w:r>
        <w:t xml:space="preserve">Separate templates were completed for </w:t>
      </w:r>
      <w:r w:rsidR="00FB2CE0">
        <w:t xml:space="preserve">the </w:t>
      </w:r>
      <w:r>
        <w:t xml:space="preserve">baseline (drawing on the earliest available site report) and latest year (drawing on the most recent </w:t>
      </w:r>
      <w:r w:rsidR="00B51A2B">
        <w:t>quarterly</w:t>
      </w:r>
      <w:r>
        <w:t xml:space="preserve"> report).</w:t>
      </w:r>
      <w:r w:rsidR="007458AC">
        <w:t xml:space="preserve"> </w:t>
      </w:r>
      <w:r>
        <w:t xml:space="preserve">Separate templates were also completed for </w:t>
      </w:r>
      <w:r w:rsidR="00B51A2B">
        <w:t xml:space="preserve">HH and AH </w:t>
      </w:r>
      <w:r>
        <w:t>laboratories.</w:t>
      </w:r>
      <w:r w:rsidR="007458AC">
        <w:t xml:space="preserve"> </w:t>
      </w:r>
      <w:r>
        <w:t>A score of 1 was given where the category was reported to be in place.</w:t>
      </w:r>
      <w:r w:rsidR="007458AC">
        <w:t xml:space="preserve"> </w:t>
      </w:r>
      <w:r>
        <w:t>Total scores across all sites were averaged.</w:t>
      </w:r>
      <w:r w:rsidR="007458AC">
        <w:t xml:space="preserve"> </w:t>
      </w:r>
    </w:p>
    <w:p w14:paraId="1614CCFB" w14:textId="77777777" w:rsidR="00643E08" w:rsidRDefault="00643E08" w:rsidP="000B0469"/>
    <w:p w14:paraId="6AF9F1B2" w14:textId="4C3A6291" w:rsidR="005A416C" w:rsidRDefault="005A416C" w:rsidP="00C04C3C">
      <w:pPr>
        <w:pStyle w:val="ItadCaption"/>
      </w:pPr>
      <w:bookmarkStart w:id="239" w:name="_Toc143857901"/>
      <w:r>
        <w:t xml:space="preserve">Table </w:t>
      </w:r>
      <w:r>
        <w:fldChar w:fldCharType="begin"/>
      </w:r>
      <w:r>
        <w:instrText>SEQ Table \* ARABIC</w:instrText>
      </w:r>
      <w:r>
        <w:fldChar w:fldCharType="separate"/>
      </w:r>
      <w:r w:rsidR="009A383C">
        <w:rPr>
          <w:noProof/>
        </w:rPr>
        <w:t>33</w:t>
      </w:r>
      <w:r>
        <w:fldChar w:fldCharType="end"/>
      </w:r>
      <w:r>
        <w:t xml:space="preserve"> Quality of AMR data - data collection template</w:t>
      </w:r>
      <w:bookmarkEnd w:id="239"/>
    </w:p>
    <w:tbl>
      <w:tblPr>
        <w:tblStyle w:val="ItadGreenHeaderRow"/>
        <w:tblW w:w="5000" w:type="pct"/>
        <w:tblLayout w:type="fixed"/>
        <w:tblLook w:val="04A0" w:firstRow="1" w:lastRow="0" w:firstColumn="1" w:lastColumn="0" w:noHBand="0" w:noVBand="1"/>
      </w:tblPr>
      <w:tblGrid>
        <w:gridCol w:w="2947"/>
        <w:gridCol w:w="2306"/>
        <w:gridCol w:w="534"/>
        <w:gridCol w:w="534"/>
        <w:gridCol w:w="534"/>
        <w:gridCol w:w="534"/>
        <w:gridCol w:w="534"/>
        <w:gridCol w:w="534"/>
        <w:gridCol w:w="534"/>
        <w:gridCol w:w="517"/>
      </w:tblGrid>
      <w:tr w:rsidR="00FB2CE0" w:rsidRPr="006F68DB" w14:paraId="3654789D" w14:textId="77777777" w:rsidTr="00986CC0">
        <w:trPr>
          <w:cnfStyle w:val="100000000000" w:firstRow="1" w:lastRow="0" w:firstColumn="0" w:lastColumn="0" w:oddVBand="0" w:evenVBand="0" w:oddHBand="0" w:evenHBand="0" w:firstRowFirstColumn="0" w:firstRowLastColumn="0" w:lastRowFirstColumn="0" w:lastRowLastColumn="0"/>
          <w:trHeight w:val="20"/>
        </w:trPr>
        <w:tc>
          <w:tcPr>
            <w:tcW w:w="1549" w:type="pct"/>
            <w:noWrap/>
            <w:hideMark/>
          </w:tcPr>
          <w:p w14:paraId="47466FAB" w14:textId="5E637428" w:rsidR="000B0469" w:rsidRPr="007F63EF" w:rsidRDefault="000B0469" w:rsidP="00BD6930">
            <w:pPr>
              <w:rPr>
                <w:rFonts w:asciiTheme="minorHAnsi" w:eastAsia="Times New Roman" w:hAnsiTheme="minorHAnsi" w:cstheme="minorHAnsi"/>
                <w:b/>
                <w:color w:val="auto"/>
                <w:sz w:val="20"/>
                <w:szCs w:val="20"/>
                <w:lang w:eastAsia="en-GB"/>
              </w:rPr>
            </w:pPr>
            <w:r w:rsidRPr="006F68DB">
              <w:rPr>
                <w:rFonts w:asciiTheme="minorHAnsi" w:eastAsia="Times New Roman" w:hAnsiTheme="minorHAnsi" w:cstheme="minorHAnsi"/>
                <w:b/>
                <w:color w:val="auto"/>
                <w:sz w:val="20"/>
                <w:szCs w:val="20"/>
                <w:lang w:eastAsia="en-GB"/>
              </w:rPr>
              <w:t xml:space="preserve">BASELINE quarter/year: Q3 - Oct 2019 - used as baseline (some data tracked in Q2, but in </w:t>
            </w:r>
            <w:r w:rsidR="00C81BBC" w:rsidRPr="006F68DB">
              <w:rPr>
                <w:rFonts w:asciiTheme="minorHAnsi" w:eastAsia="Times New Roman" w:hAnsiTheme="minorHAnsi" w:cstheme="minorHAnsi"/>
                <w:b/>
                <w:color w:val="auto"/>
                <w:sz w:val="20"/>
                <w:szCs w:val="20"/>
                <w:lang w:eastAsia="en-GB"/>
              </w:rPr>
              <w:t xml:space="preserve">a </w:t>
            </w:r>
            <w:r w:rsidRPr="006F68DB">
              <w:rPr>
                <w:rFonts w:asciiTheme="minorHAnsi" w:eastAsia="Times New Roman" w:hAnsiTheme="minorHAnsi" w:cstheme="minorHAnsi"/>
                <w:b/>
                <w:color w:val="auto"/>
                <w:sz w:val="20"/>
                <w:szCs w:val="20"/>
                <w:lang w:eastAsia="en-GB"/>
              </w:rPr>
              <w:t>different format and not consistent ability to answer/compare below questions)</w:t>
            </w:r>
          </w:p>
        </w:tc>
        <w:tc>
          <w:tcPr>
            <w:tcW w:w="1212" w:type="pct"/>
            <w:noWrap/>
            <w:hideMark/>
          </w:tcPr>
          <w:p w14:paraId="7436CDA2" w14:textId="286C0BA8"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b/>
                <w:color w:val="auto"/>
                <w:sz w:val="20"/>
                <w:szCs w:val="20"/>
                <w:lang w:eastAsia="en-GB"/>
              </w:rPr>
              <w:t>Source</w:t>
            </w:r>
            <w:r w:rsidRPr="006F68DB">
              <w:rPr>
                <w:rFonts w:asciiTheme="minorHAnsi" w:eastAsia="Times New Roman" w:hAnsiTheme="minorHAnsi" w:cstheme="minorHAnsi"/>
                <w:color w:val="auto"/>
                <w:sz w:val="20"/>
                <w:szCs w:val="20"/>
                <w:lang w:eastAsia="en-GB"/>
              </w:rPr>
              <w:t xml:space="preserve"> (refers to cell in 'site </w:t>
            </w:r>
            <w:r w:rsidRPr="00FB2CE0">
              <w:rPr>
                <w:rFonts w:asciiTheme="minorHAnsi" w:eastAsia="Times New Roman" w:hAnsiTheme="minorHAnsi" w:cstheme="minorHAnsi"/>
                <w:sz w:val="20"/>
                <w:szCs w:val="20"/>
                <w:lang w:eastAsia="en-GB"/>
              </w:rPr>
              <w:t>report'</w:t>
            </w:r>
            <w:r w:rsidRPr="006F68DB">
              <w:rPr>
                <w:rFonts w:asciiTheme="minorHAnsi" w:eastAsia="Times New Roman" w:hAnsiTheme="minorHAnsi" w:cstheme="minorHAnsi"/>
                <w:color w:val="auto"/>
                <w:sz w:val="20"/>
                <w:szCs w:val="20"/>
                <w:lang w:eastAsia="en-GB"/>
              </w:rPr>
              <w:t xml:space="preserve"> section </w:t>
            </w:r>
            <w:r w:rsidR="00C81BBC" w:rsidRPr="006F68DB">
              <w:rPr>
                <w:rFonts w:asciiTheme="minorHAnsi" w:eastAsia="Times New Roman" w:hAnsiTheme="minorHAnsi" w:cstheme="minorHAnsi"/>
                <w:color w:val="auto"/>
                <w:sz w:val="20"/>
                <w:szCs w:val="20"/>
                <w:lang w:eastAsia="en-GB"/>
              </w:rPr>
              <w:t xml:space="preserve">of the </w:t>
            </w:r>
            <w:r w:rsidRPr="006F68DB">
              <w:rPr>
                <w:rFonts w:asciiTheme="minorHAnsi" w:eastAsia="Times New Roman" w:hAnsiTheme="minorHAnsi" w:cstheme="minorHAnsi"/>
                <w:color w:val="auto"/>
                <w:sz w:val="20"/>
                <w:szCs w:val="20"/>
                <w:lang w:eastAsia="en-GB"/>
              </w:rPr>
              <w:t xml:space="preserve">quarterly report) </w:t>
            </w:r>
          </w:p>
        </w:tc>
        <w:tc>
          <w:tcPr>
            <w:tcW w:w="281" w:type="pct"/>
            <w:hideMark/>
          </w:tcPr>
          <w:p w14:paraId="757BA9DF"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Site 1</w:t>
            </w:r>
          </w:p>
        </w:tc>
        <w:tc>
          <w:tcPr>
            <w:tcW w:w="281" w:type="pct"/>
            <w:hideMark/>
          </w:tcPr>
          <w:p w14:paraId="2430D11D"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Site 2</w:t>
            </w:r>
          </w:p>
        </w:tc>
        <w:tc>
          <w:tcPr>
            <w:tcW w:w="281" w:type="pct"/>
            <w:noWrap/>
            <w:hideMark/>
          </w:tcPr>
          <w:p w14:paraId="7FD31E2C"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Site 3</w:t>
            </w:r>
          </w:p>
        </w:tc>
        <w:tc>
          <w:tcPr>
            <w:tcW w:w="281" w:type="pct"/>
            <w:hideMark/>
          </w:tcPr>
          <w:p w14:paraId="6139799D"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Site 4</w:t>
            </w:r>
          </w:p>
        </w:tc>
        <w:tc>
          <w:tcPr>
            <w:tcW w:w="281" w:type="pct"/>
            <w:hideMark/>
          </w:tcPr>
          <w:p w14:paraId="74FB7125"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Site 5</w:t>
            </w:r>
          </w:p>
        </w:tc>
        <w:tc>
          <w:tcPr>
            <w:tcW w:w="281" w:type="pct"/>
            <w:hideMark/>
          </w:tcPr>
          <w:p w14:paraId="6D3094F8"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Site 6</w:t>
            </w:r>
          </w:p>
        </w:tc>
        <w:tc>
          <w:tcPr>
            <w:tcW w:w="281" w:type="pct"/>
            <w:hideMark/>
          </w:tcPr>
          <w:p w14:paraId="7BCFEA19"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Site 7</w:t>
            </w:r>
          </w:p>
        </w:tc>
        <w:tc>
          <w:tcPr>
            <w:tcW w:w="274" w:type="pct"/>
            <w:hideMark/>
          </w:tcPr>
          <w:p w14:paraId="7254B298"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Site 8</w:t>
            </w:r>
          </w:p>
        </w:tc>
      </w:tr>
      <w:tr w:rsidR="00FB2CE0" w:rsidRPr="006F68DB" w14:paraId="080DA0C2" w14:textId="77777777" w:rsidTr="00986CC0">
        <w:trPr>
          <w:cnfStyle w:val="000000100000" w:firstRow="0" w:lastRow="0" w:firstColumn="0" w:lastColumn="0" w:oddVBand="0" w:evenVBand="0" w:oddHBand="1" w:evenHBand="0" w:firstRowFirstColumn="0" w:firstRowLastColumn="0" w:lastRowFirstColumn="0" w:lastRowLastColumn="0"/>
          <w:trHeight w:val="20"/>
        </w:trPr>
        <w:tc>
          <w:tcPr>
            <w:tcW w:w="1549" w:type="pct"/>
            <w:hideMark/>
          </w:tcPr>
          <w:p w14:paraId="61A40190" w14:textId="14904AD3" w:rsidR="000B0469" w:rsidRPr="007F63EF" w:rsidRDefault="000B0469" w:rsidP="00BD6930">
            <w:pPr>
              <w:ind w:firstLineChars="200" w:firstLine="402"/>
              <w:rPr>
                <w:rFonts w:asciiTheme="minorHAnsi" w:eastAsia="Times New Roman" w:hAnsiTheme="minorHAnsi" w:cstheme="minorHAnsi"/>
                <w:b/>
                <w:color w:val="auto"/>
                <w:sz w:val="20"/>
                <w:szCs w:val="20"/>
                <w:lang w:eastAsia="en-GB"/>
              </w:rPr>
            </w:pPr>
            <w:r w:rsidRPr="00FB2CE0">
              <w:rPr>
                <w:rFonts w:asciiTheme="minorHAnsi" w:eastAsia="Times New Roman" w:hAnsiTheme="minorHAnsi" w:cstheme="minorHAnsi"/>
                <w:b/>
                <w:sz w:val="20"/>
                <w:szCs w:val="20"/>
                <w:lang w:eastAsia="en-GB"/>
              </w:rPr>
              <w:t>1.</w:t>
            </w:r>
            <w:r w:rsidR="007458AC" w:rsidRPr="00FB2CE0">
              <w:rPr>
                <w:rFonts w:asciiTheme="minorHAnsi" w:eastAsia="Times New Roman" w:hAnsiTheme="minorHAnsi" w:cstheme="minorHAnsi"/>
                <w:b/>
                <w:sz w:val="20"/>
                <w:szCs w:val="20"/>
                <w:lang w:eastAsia="en-GB"/>
              </w:rPr>
              <w:t xml:space="preserve">   </w:t>
            </w:r>
            <w:r w:rsidRPr="00FB2CE0">
              <w:rPr>
                <w:rFonts w:asciiTheme="minorHAnsi" w:eastAsia="Times New Roman" w:hAnsiTheme="minorHAnsi" w:cstheme="minorHAnsi"/>
                <w:b/>
                <w:sz w:val="20"/>
                <w:szCs w:val="20"/>
                <w:lang w:eastAsia="en-GB"/>
              </w:rPr>
              <w:t xml:space="preserve"> All sample types and organisms are processed according to SOPs</w:t>
            </w:r>
          </w:p>
        </w:tc>
        <w:tc>
          <w:tcPr>
            <w:tcW w:w="1212" w:type="pct"/>
            <w:hideMark/>
          </w:tcPr>
          <w:p w14:paraId="6BDCEC0B" w14:textId="2FB7D21C"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 xml:space="preserve">QR SR 2c (need 'yes according to SOP' for all sample types and </w:t>
            </w:r>
            <w:r w:rsidR="00E42573" w:rsidRPr="006F68DB">
              <w:rPr>
                <w:rFonts w:asciiTheme="minorHAnsi" w:eastAsia="Times New Roman" w:hAnsiTheme="minorHAnsi" w:cstheme="minorHAnsi"/>
                <w:color w:val="auto"/>
                <w:sz w:val="20"/>
                <w:szCs w:val="20"/>
                <w:lang w:eastAsia="en-GB"/>
              </w:rPr>
              <w:t>organisms</w:t>
            </w:r>
            <w:r w:rsidRPr="006F68DB">
              <w:rPr>
                <w:rFonts w:asciiTheme="minorHAnsi" w:eastAsia="Times New Roman" w:hAnsiTheme="minorHAnsi" w:cstheme="minorHAnsi"/>
                <w:color w:val="auto"/>
                <w:sz w:val="20"/>
                <w:szCs w:val="20"/>
                <w:lang w:eastAsia="en-GB"/>
              </w:rPr>
              <w:t xml:space="preserve"> in this section to gain "1")</w:t>
            </w:r>
          </w:p>
        </w:tc>
        <w:tc>
          <w:tcPr>
            <w:tcW w:w="281" w:type="pct"/>
            <w:noWrap/>
          </w:tcPr>
          <w:p w14:paraId="15585012"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78046F91"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5D39143F"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71CA976A"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041FB83F"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4FEBEA61"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288B6C7F"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74" w:type="pct"/>
            <w:noWrap/>
          </w:tcPr>
          <w:p w14:paraId="07CE1523"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r>
      <w:tr w:rsidR="00FB2CE0" w:rsidRPr="006F68DB" w14:paraId="2DE13F5B" w14:textId="77777777" w:rsidTr="00986CC0">
        <w:trPr>
          <w:cnfStyle w:val="000000010000" w:firstRow="0" w:lastRow="0" w:firstColumn="0" w:lastColumn="0" w:oddVBand="0" w:evenVBand="0" w:oddHBand="0" w:evenHBand="1" w:firstRowFirstColumn="0" w:firstRowLastColumn="0" w:lastRowFirstColumn="0" w:lastRowLastColumn="0"/>
          <w:trHeight w:val="20"/>
        </w:trPr>
        <w:tc>
          <w:tcPr>
            <w:tcW w:w="1549" w:type="pct"/>
            <w:hideMark/>
          </w:tcPr>
          <w:p w14:paraId="0DDCD911" w14:textId="414FFD2F" w:rsidR="000B0469" w:rsidRPr="007F63EF" w:rsidRDefault="000B0469" w:rsidP="00BD6930">
            <w:pPr>
              <w:ind w:firstLineChars="200" w:firstLine="402"/>
              <w:rPr>
                <w:rFonts w:asciiTheme="minorHAnsi" w:eastAsia="Times New Roman" w:hAnsiTheme="minorHAnsi" w:cstheme="minorHAnsi"/>
                <w:b/>
                <w:color w:val="auto"/>
                <w:sz w:val="20"/>
                <w:szCs w:val="20"/>
                <w:lang w:eastAsia="en-GB"/>
              </w:rPr>
            </w:pPr>
            <w:r w:rsidRPr="00FB2CE0">
              <w:rPr>
                <w:rFonts w:asciiTheme="minorHAnsi" w:eastAsia="Times New Roman" w:hAnsiTheme="minorHAnsi" w:cstheme="minorHAnsi"/>
                <w:b/>
                <w:sz w:val="20"/>
                <w:szCs w:val="20"/>
                <w:lang w:eastAsia="en-GB"/>
              </w:rPr>
              <w:t>2.</w:t>
            </w:r>
            <w:r w:rsidR="007458AC" w:rsidRPr="00FB2CE0">
              <w:rPr>
                <w:rFonts w:asciiTheme="minorHAnsi" w:eastAsia="Times New Roman" w:hAnsiTheme="minorHAnsi" w:cstheme="minorHAnsi"/>
                <w:b/>
                <w:sz w:val="20"/>
                <w:szCs w:val="20"/>
                <w:lang w:eastAsia="en-GB"/>
              </w:rPr>
              <w:t xml:space="preserve">   </w:t>
            </w:r>
            <w:r w:rsidRPr="00FB2CE0">
              <w:rPr>
                <w:rFonts w:asciiTheme="minorHAnsi" w:eastAsia="Times New Roman" w:hAnsiTheme="minorHAnsi" w:cstheme="minorHAnsi"/>
                <w:b/>
                <w:sz w:val="20"/>
                <w:szCs w:val="20"/>
                <w:lang w:eastAsia="en-GB"/>
              </w:rPr>
              <w:t xml:space="preserve"> Working blood culture instrument in place and under a service contract</w:t>
            </w:r>
          </w:p>
        </w:tc>
        <w:tc>
          <w:tcPr>
            <w:tcW w:w="1212" w:type="pct"/>
            <w:hideMark/>
          </w:tcPr>
          <w:p w14:paraId="6C80298E"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QR SR 2c</w:t>
            </w:r>
          </w:p>
        </w:tc>
        <w:tc>
          <w:tcPr>
            <w:tcW w:w="281" w:type="pct"/>
            <w:noWrap/>
          </w:tcPr>
          <w:p w14:paraId="0BC71843"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6FFA7690"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76A3634D"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75257DE0"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3A5AF2C9"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4E20DEF6"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5E166A51"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74" w:type="pct"/>
            <w:noWrap/>
          </w:tcPr>
          <w:p w14:paraId="1CF9954C"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r>
      <w:tr w:rsidR="00FB2CE0" w:rsidRPr="006F68DB" w14:paraId="3B3C9082" w14:textId="77777777" w:rsidTr="00986CC0">
        <w:trPr>
          <w:cnfStyle w:val="000000100000" w:firstRow="0" w:lastRow="0" w:firstColumn="0" w:lastColumn="0" w:oddVBand="0" w:evenVBand="0" w:oddHBand="1" w:evenHBand="0" w:firstRowFirstColumn="0" w:firstRowLastColumn="0" w:lastRowFirstColumn="0" w:lastRowLastColumn="0"/>
          <w:trHeight w:val="20"/>
        </w:trPr>
        <w:tc>
          <w:tcPr>
            <w:tcW w:w="1549" w:type="pct"/>
            <w:hideMark/>
          </w:tcPr>
          <w:p w14:paraId="3548491F" w14:textId="005CE713" w:rsidR="000B0469" w:rsidRPr="007F63EF" w:rsidRDefault="000B0469" w:rsidP="00BD6930">
            <w:pPr>
              <w:ind w:firstLineChars="200" w:firstLine="402"/>
              <w:rPr>
                <w:rFonts w:asciiTheme="minorHAnsi" w:eastAsia="Times New Roman" w:hAnsiTheme="minorHAnsi" w:cstheme="minorHAnsi"/>
                <w:b/>
                <w:color w:val="auto"/>
                <w:sz w:val="20"/>
                <w:szCs w:val="20"/>
                <w:lang w:eastAsia="en-GB"/>
              </w:rPr>
            </w:pPr>
            <w:r w:rsidRPr="00FB2CE0">
              <w:rPr>
                <w:rFonts w:asciiTheme="minorHAnsi" w:eastAsia="Times New Roman" w:hAnsiTheme="minorHAnsi" w:cstheme="minorHAnsi"/>
                <w:b/>
                <w:sz w:val="20"/>
                <w:szCs w:val="20"/>
                <w:lang w:eastAsia="en-GB"/>
              </w:rPr>
              <w:t>3.</w:t>
            </w:r>
            <w:r w:rsidR="007458AC" w:rsidRPr="00FB2CE0">
              <w:rPr>
                <w:rFonts w:asciiTheme="minorHAnsi" w:eastAsia="Times New Roman" w:hAnsiTheme="minorHAnsi" w:cstheme="minorHAnsi"/>
                <w:b/>
                <w:sz w:val="20"/>
                <w:szCs w:val="20"/>
                <w:lang w:eastAsia="en-GB"/>
              </w:rPr>
              <w:t xml:space="preserve">   </w:t>
            </w:r>
            <w:r w:rsidRPr="00FB2CE0">
              <w:rPr>
                <w:rFonts w:asciiTheme="minorHAnsi" w:eastAsia="Times New Roman" w:hAnsiTheme="minorHAnsi" w:cstheme="minorHAnsi"/>
                <w:b/>
                <w:sz w:val="20"/>
                <w:szCs w:val="20"/>
                <w:lang w:eastAsia="en-GB"/>
              </w:rPr>
              <w:t xml:space="preserve"> Is the </w:t>
            </w:r>
            <w:r w:rsidR="00290E4A" w:rsidRPr="00FB2CE0">
              <w:rPr>
                <w:rFonts w:asciiTheme="minorHAnsi" w:eastAsia="Times New Roman" w:hAnsiTheme="minorHAnsi" w:cstheme="minorHAnsi"/>
                <w:b/>
                <w:sz w:val="20"/>
                <w:szCs w:val="20"/>
                <w:lang w:eastAsia="en-GB"/>
              </w:rPr>
              <w:t xml:space="preserve">laboratory </w:t>
            </w:r>
            <w:r w:rsidRPr="00FB2CE0">
              <w:rPr>
                <w:rFonts w:asciiTheme="minorHAnsi" w:eastAsia="Times New Roman" w:hAnsiTheme="minorHAnsi" w:cstheme="minorHAnsi"/>
                <w:b/>
                <w:sz w:val="20"/>
                <w:szCs w:val="20"/>
                <w:lang w:eastAsia="en-GB"/>
              </w:rPr>
              <w:t>enrolled in approved EQA for identification and AST</w:t>
            </w:r>
          </w:p>
        </w:tc>
        <w:tc>
          <w:tcPr>
            <w:tcW w:w="1212" w:type="pct"/>
            <w:hideMark/>
          </w:tcPr>
          <w:p w14:paraId="3129F38B"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QR SR 1d</w:t>
            </w:r>
          </w:p>
        </w:tc>
        <w:tc>
          <w:tcPr>
            <w:tcW w:w="281" w:type="pct"/>
            <w:noWrap/>
          </w:tcPr>
          <w:p w14:paraId="3170E7B3"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53758D73"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5FC0634C"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72AE3160"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1FA916C1"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34DAACBA"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44212167"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74" w:type="pct"/>
            <w:noWrap/>
          </w:tcPr>
          <w:p w14:paraId="460B5159"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r>
      <w:tr w:rsidR="00FB2CE0" w:rsidRPr="006F68DB" w14:paraId="1C8B1CAF" w14:textId="77777777" w:rsidTr="00986CC0">
        <w:trPr>
          <w:cnfStyle w:val="000000010000" w:firstRow="0" w:lastRow="0" w:firstColumn="0" w:lastColumn="0" w:oddVBand="0" w:evenVBand="0" w:oddHBand="0" w:evenHBand="1" w:firstRowFirstColumn="0" w:firstRowLastColumn="0" w:lastRowFirstColumn="0" w:lastRowLastColumn="0"/>
          <w:trHeight w:val="20"/>
        </w:trPr>
        <w:tc>
          <w:tcPr>
            <w:tcW w:w="1549" w:type="pct"/>
            <w:hideMark/>
          </w:tcPr>
          <w:p w14:paraId="1D80A884" w14:textId="6D67828C" w:rsidR="000B0469" w:rsidRPr="007F63EF" w:rsidRDefault="47E613B8" w:rsidP="5546BCA7">
            <w:pPr>
              <w:ind w:firstLineChars="200" w:firstLine="402"/>
              <w:rPr>
                <w:rFonts w:asciiTheme="minorHAnsi" w:eastAsia="Times New Roman" w:hAnsiTheme="minorHAnsi" w:cstheme="minorBidi"/>
                <w:b/>
                <w:bCs/>
                <w:color w:val="auto"/>
                <w:sz w:val="20"/>
                <w:szCs w:val="20"/>
                <w:lang w:eastAsia="en-GB"/>
              </w:rPr>
            </w:pPr>
            <w:r w:rsidRPr="00FB2CE0">
              <w:rPr>
                <w:rFonts w:asciiTheme="minorHAnsi" w:eastAsia="Times New Roman" w:hAnsiTheme="minorHAnsi" w:cstheme="minorBidi"/>
                <w:b/>
                <w:bCs/>
                <w:sz w:val="20"/>
                <w:szCs w:val="20"/>
                <w:lang w:eastAsia="en-GB"/>
              </w:rPr>
              <w:t>4.</w:t>
            </w:r>
            <w:r w:rsidR="007458AC" w:rsidRPr="00FB2CE0">
              <w:rPr>
                <w:rFonts w:asciiTheme="minorHAnsi" w:eastAsia="Times New Roman" w:hAnsiTheme="minorHAnsi" w:cstheme="minorBidi"/>
                <w:b/>
                <w:bCs/>
                <w:sz w:val="20"/>
                <w:szCs w:val="20"/>
                <w:lang w:eastAsia="en-GB"/>
              </w:rPr>
              <w:t xml:space="preserve">   </w:t>
            </w:r>
            <w:r w:rsidRPr="00FB2CE0">
              <w:rPr>
                <w:rFonts w:asciiTheme="minorHAnsi" w:eastAsia="Times New Roman" w:hAnsiTheme="minorHAnsi" w:cstheme="minorBidi"/>
                <w:b/>
                <w:bCs/>
                <w:sz w:val="20"/>
                <w:szCs w:val="20"/>
                <w:lang w:eastAsia="en-GB"/>
              </w:rPr>
              <w:t xml:space="preserve"> Are SOPs for AST methods in use based on </w:t>
            </w:r>
            <w:r w:rsidR="00172D1B" w:rsidRPr="00FB2CE0">
              <w:rPr>
                <w:rFonts w:asciiTheme="minorHAnsi" w:eastAsia="Times New Roman" w:hAnsiTheme="minorHAnsi" w:cstheme="minorBidi"/>
                <w:b/>
                <w:bCs/>
                <w:sz w:val="20"/>
                <w:szCs w:val="20"/>
                <w:lang w:eastAsia="en-GB"/>
              </w:rPr>
              <w:t>Clinical and Laboratory Standards Institute (</w:t>
            </w:r>
            <w:r w:rsidRPr="00FB2CE0">
              <w:rPr>
                <w:rFonts w:asciiTheme="minorHAnsi" w:eastAsia="Times New Roman" w:hAnsiTheme="minorHAnsi" w:cstheme="minorBidi"/>
                <w:b/>
                <w:bCs/>
                <w:sz w:val="20"/>
                <w:szCs w:val="20"/>
                <w:lang w:eastAsia="en-GB"/>
              </w:rPr>
              <w:t>CLSI</w:t>
            </w:r>
            <w:r w:rsidR="00172D1B" w:rsidRPr="00FB2CE0">
              <w:rPr>
                <w:rFonts w:asciiTheme="minorHAnsi" w:eastAsia="Times New Roman" w:hAnsiTheme="minorHAnsi" w:cstheme="minorBidi"/>
                <w:b/>
                <w:bCs/>
                <w:sz w:val="20"/>
                <w:szCs w:val="20"/>
                <w:lang w:eastAsia="en-GB"/>
              </w:rPr>
              <w:t>)</w:t>
            </w:r>
            <w:r w:rsidRPr="00FB2CE0">
              <w:rPr>
                <w:rFonts w:asciiTheme="minorHAnsi" w:eastAsia="Times New Roman" w:hAnsiTheme="minorHAnsi" w:cstheme="minorBidi"/>
                <w:b/>
                <w:bCs/>
                <w:sz w:val="20"/>
                <w:szCs w:val="20"/>
                <w:lang w:eastAsia="en-GB"/>
              </w:rPr>
              <w:t xml:space="preserve"> or </w:t>
            </w:r>
            <w:r w:rsidR="00172D1B" w:rsidRPr="00FB2CE0">
              <w:rPr>
                <w:rFonts w:asciiTheme="minorHAnsi" w:eastAsia="Times New Roman" w:hAnsiTheme="minorHAnsi" w:cstheme="minorBidi"/>
                <w:b/>
                <w:bCs/>
                <w:sz w:val="20"/>
                <w:szCs w:val="20"/>
                <w:lang w:eastAsia="en-GB"/>
              </w:rPr>
              <w:t>European Committee on Antimicrobial Susceptibility Testing (</w:t>
            </w:r>
            <w:r w:rsidRPr="00FB2CE0">
              <w:rPr>
                <w:rFonts w:asciiTheme="minorHAnsi" w:eastAsia="Times New Roman" w:hAnsiTheme="minorHAnsi" w:cstheme="minorBidi"/>
                <w:b/>
                <w:bCs/>
                <w:sz w:val="20"/>
                <w:szCs w:val="20"/>
                <w:lang w:eastAsia="en-GB"/>
              </w:rPr>
              <w:t>EUCAST</w:t>
            </w:r>
            <w:r w:rsidR="00172D1B" w:rsidRPr="00FB2CE0">
              <w:rPr>
                <w:rFonts w:asciiTheme="minorHAnsi" w:eastAsia="Times New Roman" w:hAnsiTheme="minorHAnsi" w:cstheme="minorBidi"/>
                <w:b/>
                <w:bCs/>
                <w:sz w:val="20"/>
                <w:szCs w:val="20"/>
                <w:lang w:eastAsia="en-GB"/>
              </w:rPr>
              <w:t>)</w:t>
            </w:r>
            <w:r w:rsidRPr="00FB2CE0">
              <w:rPr>
                <w:rFonts w:asciiTheme="minorHAnsi" w:eastAsia="Times New Roman" w:hAnsiTheme="minorHAnsi" w:cstheme="minorBidi"/>
                <w:b/>
                <w:bCs/>
                <w:sz w:val="20"/>
                <w:szCs w:val="20"/>
                <w:lang w:eastAsia="en-GB"/>
              </w:rPr>
              <w:t xml:space="preserve"> guidelines that are &lt; 3 years old</w:t>
            </w:r>
          </w:p>
        </w:tc>
        <w:tc>
          <w:tcPr>
            <w:tcW w:w="1212" w:type="pct"/>
            <w:hideMark/>
          </w:tcPr>
          <w:p w14:paraId="6BCD88E5"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QR SR 2d</w:t>
            </w:r>
          </w:p>
        </w:tc>
        <w:tc>
          <w:tcPr>
            <w:tcW w:w="281" w:type="pct"/>
            <w:noWrap/>
          </w:tcPr>
          <w:p w14:paraId="4709BB31"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5B5F2655"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6C4E7B6B"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19E1B155"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025CCE4B"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3D62C081"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107FE39E"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74" w:type="pct"/>
            <w:noWrap/>
          </w:tcPr>
          <w:p w14:paraId="154BEB35"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r>
      <w:tr w:rsidR="00FB2CE0" w:rsidRPr="006F68DB" w14:paraId="2A25E53C" w14:textId="77777777" w:rsidTr="00986CC0">
        <w:trPr>
          <w:cnfStyle w:val="000000100000" w:firstRow="0" w:lastRow="0" w:firstColumn="0" w:lastColumn="0" w:oddVBand="0" w:evenVBand="0" w:oddHBand="1" w:evenHBand="0" w:firstRowFirstColumn="0" w:firstRowLastColumn="0" w:lastRowFirstColumn="0" w:lastRowLastColumn="0"/>
          <w:trHeight w:val="20"/>
        </w:trPr>
        <w:tc>
          <w:tcPr>
            <w:tcW w:w="1549" w:type="pct"/>
            <w:hideMark/>
          </w:tcPr>
          <w:p w14:paraId="1FD8238B" w14:textId="6254119A" w:rsidR="000B0469" w:rsidRPr="007F63EF" w:rsidRDefault="000B0469" w:rsidP="00BD6930">
            <w:pPr>
              <w:ind w:firstLineChars="200" w:firstLine="402"/>
              <w:rPr>
                <w:rFonts w:asciiTheme="minorHAnsi" w:eastAsia="Times New Roman" w:hAnsiTheme="minorHAnsi" w:cstheme="minorHAnsi"/>
                <w:b/>
                <w:color w:val="auto"/>
                <w:sz w:val="20"/>
                <w:szCs w:val="20"/>
                <w:lang w:eastAsia="en-GB"/>
              </w:rPr>
            </w:pPr>
            <w:r w:rsidRPr="00FB2CE0">
              <w:rPr>
                <w:rFonts w:asciiTheme="minorHAnsi" w:eastAsia="Times New Roman" w:hAnsiTheme="minorHAnsi" w:cstheme="minorHAnsi"/>
                <w:b/>
                <w:sz w:val="20"/>
                <w:szCs w:val="20"/>
                <w:lang w:eastAsia="en-GB"/>
              </w:rPr>
              <w:t>5.</w:t>
            </w:r>
            <w:r w:rsidR="007458AC" w:rsidRPr="00FB2CE0">
              <w:rPr>
                <w:rFonts w:asciiTheme="minorHAnsi" w:eastAsia="Times New Roman" w:hAnsiTheme="minorHAnsi" w:cstheme="minorHAnsi"/>
                <w:b/>
                <w:sz w:val="20"/>
                <w:szCs w:val="20"/>
                <w:lang w:eastAsia="en-GB"/>
              </w:rPr>
              <w:t xml:space="preserve">   </w:t>
            </w:r>
            <w:r w:rsidRPr="00FB2CE0">
              <w:rPr>
                <w:rFonts w:asciiTheme="minorHAnsi" w:eastAsia="Times New Roman" w:hAnsiTheme="minorHAnsi" w:cstheme="minorHAnsi"/>
                <w:b/>
                <w:sz w:val="20"/>
                <w:szCs w:val="20"/>
                <w:lang w:eastAsia="en-GB"/>
              </w:rPr>
              <w:t xml:space="preserve"> Are sites using</w:t>
            </w:r>
            <w:r w:rsidR="00C81BBC" w:rsidRPr="00FB2CE0">
              <w:rPr>
                <w:rFonts w:asciiTheme="minorHAnsi" w:eastAsia="Times New Roman" w:hAnsiTheme="minorHAnsi" w:cstheme="minorHAnsi"/>
                <w:b/>
                <w:sz w:val="20"/>
                <w:szCs w:val="20"/>
                <w:lang w:eastAsia="en-GB"/>
              </w:rPr>
              <w:t xml:space="preserve"> a </w:t>
            </w:r>
            <w:r w:rsidRPr="00FB2CE0">
              <w:rPr>
                <w:rFonts w:asciiTheme="minorHAnsi" w:eastAsia="Times New Roman" w:hAnsiTheme="minorHAnsi" w:cstheme="minorHAnsi"/>
                <w:b/>
                <w:sz w:val="20"/>
                <w:szCs w:val="20"/>
                <w:lang w:eastAsia="en-GB"/>
              </w:rPr>
              <w:t>unique alphanumeric identifier (ID number) assigned to patients</w:t>
            </w:r>
          </w:p>
        </w:tc>
        <w:tc>
          <w:tcPr>
            <w:tcW w:w="1212" w:type="pct"/>
            <w:hideMark/>
          </w:tcPr>
          <w:p w14:paraId="41D8474A"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QR SR 1b</w:t>
            </w:r>
          </w:p>
        </w:tc>
        <w:tc>
          <w:tcPr>
            <w:tcW w:w="281" w:type="pct"/>
            <w:noWrap/>
          </w:tcPr>
          <w:p w14:paraId="2133B9C7"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586ABD3D"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11EAC4F9"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769348F0"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0B622025"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4E77CFC8"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656B092A"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74" w:type="pct"/>
            <w:noWrap/>
          </w:tcPr>
          <w:p w14:paraId="564B8478"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r>
      <w:tr w:rsidR="00FB2CE0" w:rsidRPr="006F68DB" w14:paraId="69E1264D" w14:textId="77777777" w:rsidTr="00986CC0">
        <w:trPr>
          <w:cnfStyle w:val="000000010000" w:firstRow="0" w:lastRow="0" w:firstColumn="0" w:lastColumn="0" w:oddVBand="0" w:evenVBand="0" w:oddHBand="0" w:evenHBand="1" w:firstRowFirstColumn="0" w:firstRowLastColumn="0" w:lastRowFirstColumn="0" w:lastRowLastColumn="0"/>
          <w:trHeight w:val="20"/>
        </w:trPr>
        <w:tc>
          <w:tcPr>
            <w:tcW w:w="1549" w:type="pct"/>
            <w:hideMark/>
          </w:tcPr>
          <w:p w14:paraId="0AD7E905" w14:textId="438C4326" w:rsidR="000B0469" w:rsidRPr="007F63EF" w:rsidRDefault="000B0469" w:rsidP="00BD6930">
            <w:pPr>
              <w:ind w:firstLineChars="200" w:firstLine="402"/>
              <w:rPr>
                <w:rFonts w:asciiTheme="minorHAnsi" w:eastAsia="Times New Roman" w:hAnsiTheme="minorHAnsi" w:cstheme="minorHAnsi"/>
                <w:b/>
                <w:color w:val="auto"/>
                <w:sz w:val="20"/>
                <w:szCs w:val="20"/>
                <w:lang w:eastAsia="en-GB"/>
              </w:rPr>
            </w:pPr>
            <w:r w:rsidRPr="00FB2CE0">
              <w:rPr>
                <w:rFonts w:asciiTheme="minorHAnsi" w:eastAsia="Times New Roman" w:hAnsiTheme="minorHAnsi" w:cstheme="minorHAnsi"/>
                <w:b/>
                <w:sz w:val="20"/>
                <w:szCs w:val="20"/>
                <w:lang w:eastAsia="en-GB"/>
              </w:rPr>
              <w:t>6.</w:t>
            </w:r>
            <w:r w:rsidR="007458AC" w:rsidRPr="00FB2CE0">
              <w:rPr>
                <w:rFonts w:asciiTheme="minorHAnsi" w:eastAsia="Times New Roman" w:hAnsiTheme="minorHAnsi" w:cstheme="minorHAnsi"/>
                <w:b/>
                <w:sz w:val="20"/>
                <w:szCs w:val="20"/>
                <w:lang w:eastAsia="en-GB"/>
              </w:rPr>
              <w:t xml:space="preserve">   </w:t>
            </w:r>
            <w:r w:rsidRPr="00FB2CE0">
              <w:rPr>
                <w:rFonts w:asciiTheme="minorHAnsi" w:eastAsia="Times New Roman" w:hAnsiTheme="minorHAnsi" w:cstheme="minorHAnsi"/>
                <w:b/>
                <w:sz w:val="20"/>
                <w:szCs w:val="20"/>
                <w:lang w:eastAsia="en-GB"/>
              </w:rPr>
              <w:t xml:space="preserve"> All relevant </w:t>
            </w:r>
            <w:r w:rsidR="00290E4A" w:rsidRPr="00FB2CE0">
              <w:rPr>
                <w:rFonts w:asciiTheme="minorHAnsi" w:eastAsia="Times New Roman" w:hAnsiTheme="minorHAnsi" w:cstheme="minorHAnsi"/>
                <w:b/>
                <w:sz w:val="20"/>
                <w:szCs w:val="20"/>
                <w:lang w:eastAsia="en-GB"/>
              </w:rPr>
              <w:t xml:space="preserve">laboratory </w:t>
            </w:r>
            <w:r w:rsidRPr="00FB2CE0">
              <w:rPr>
                <w:rFonts w:asciiTheme="minorHAnsi" w:eastAsia="Times New Roman" w:hAnsiTheme="minorHAnsi" w:cstheme="minorHAnsi"/>
                <w:b/>
                <w:sz w:val="20"/>
                <w:szCs w:val="20"/>
                <w:lang w:eastAsia="en-GB"/>
              </w:rPr>
              <w:t>staff trained in internal quality control procedures</w:t>
            </w:r>
          </w:p>
        </w:tc>
        <w:tc>
          <w:tcPr>
            <w:tcW w:w="1212" w:type="pct"/>
            <w:hideMark/>
          </w:tcPr>
          <w:p w14:paraId="18131D77"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QR SR 1d (if only "some staff" mark as "0")</w:t>
            </w:r>
          </w:p>
        </w:tc>
        <w:tc>
          <w:tcPr>
            <w:tcW w:w="281" w:type="pct"/>
            <w:noWrap/>
          </w:tcPr>
          <w:p w14:paraId="305E1DFF"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25B18938"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26E9EB0F"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76EB5D63"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3E6A8EFC"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18FC224E"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1BBCCC20"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74" w:type="pct"/>
            <w:noWrap/>
          </w:tcPr>
          <w:p w14:paraId="34EFAD89"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r>
      <w:tr w:rsidR="00FB2CE0" w:rsidRPr="006F68DB" w14:paraId="68A2FA5E" w14:textId="77777777" w:rsidTr="00986CC0">
        <w:trPr>
          <w:cnfStyle w:val="000000100000" w:firstRow="0" w:lastRow="0" w:firstColumn="0" w:lastColumn="0" w:oddVBand="0" w:evenVBand="0" w:oddHBand="1" w:evenHBand="0" w:firstRowFirstColumn="0" w:firstRowLastColumn="0" w:lastRowFirstColumn="0" w:lastRowLastColumn="0"/>
          <w:trHeight w:val="20"/>
        </w:trPr>
        <w:tc>
          <w:tcPr>
            <w:tcW w:w="1549" w:type="pct"/>
            <w:hideMark/>
          </w:tcPr>
          <w:p w14:paraId="7D874763" w14:textId="40603284" w:rsidR="000B0469" w:rsidRPr="007F63EF" w:rsidRDefault="000B0469" w:rsidP="00BD6930">
            <w:pPr>
              <w:ind w:firstLineChars="200" w:firstLine="402"/>
              <w:rPr>
                <w:rFonts w:asciiTheme="minorHAnsi" w:eastAsia="Times New Roman" w:hAnsiTheme="minorHAnsi" w:cstheme="minorHAnsi"/>
                <w:b/>
                <w:color w:val="auto"/>
                <w:sz w:val="20"/>
                <w:szCs w:val="20"/>
                <w:lang w:eastAsia="en-GB"/>
              </w:rPr>
            </w:pPr>
            <w:r w:rsidRPr="00FB2CE0">
              <w:rPr>
                <w:rFonts w:asciiTheme="minorHAnsi" w:eastAsia="Times New Roman" w:hAnsiTheme="minorHAnsi" w:cstheme="minorHAnsi"/>
                <w:b/>
                <w:sz w:val="20"/>
                <w:szCs w:val="20"/>
                <w:lang w:eastAsia="en-GB"/>
              </w:rPr>
              <w:t>7.</w:t>
            </w:r>
            <w:r w:rsidR="007458AC" w:rsidRPr="00FB2CE0">
              <w:rPr>
                <w:rFonts w:asciiTheme="minorHAnsi" w:eastAsia="Times New Roman" w:hAnsiTheme="minorHAnsi" w:cstheme="minorHAnsi"/>
                <w:b/>
                <w:sz w:val="20"/>
                <w:szCs w:val="20"/>
                <w:lang w:eastAsia="en-GB"/>
              </w:rPr>
              <w:t xml:space="preserve">   </w:t>
            </w:r>
            <w:r w:rsidRPr="00FB2CE0">
              <w:rPr>
                <w:rFonts w:asciiTheme="minorHAnsi" w:eastAsia="Times New Roman" w:hAnsiTheme="minorHAnsi" w:cstheme="minorHAnsi"/>
                <w:b/>
                <w:sz w:val="20"/>
                <w:szCs w:val="20"/>
                <w:lang w:eastAsia="en-GB"/>
              </w:rPr>
              <w:t xml:space="preserve"> All relevant staff trained in identification SOPs</w:t>
            </w:r>
          </w:p>
        </w:tc>
        <w:tc>
          <w:tcPr>
            <w:tcW w:w="1212" w:type="pct"/>
            <w:hideMark/>
          </w:tcPr>
          <w:p w14:paraId="49CAA4FD" w14:textId="5AFD6923" w:rsidR="000B0469" w:rsidRPr="007F63EF" w:rsidRDefault="000B0469" w:rsidP="00BD6930">
            <w:pPr>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QR SR 2</w:t>
            </w:r>
          </w:p>
        </w:tc>
        <w:tc>
          <w:tcPr>
            <w:tcW w:w="281" w:type="pct"/>
            <w:noWrap/>
          </w:tcPr>
          <w:p w14:paraId="7E2859D8"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281" w:type="pct"/>
            <w:noWrap/>
          </w:tcPr>
          <w:p w14:paraId="6D0BAECC"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281" w:type="pct"/>
            <w:noWrap/>
          </w:tcPr>
          <w:p w14:paraId="743DC7B6"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281" w:type="pct"/>
            <w:noWrap/>
          </w:tcPr>
          <w:p w14:paraId="012377D9"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281" w:type="pct"/>
            <w:noWrap/>
          </w:tcPr>
          <w:p w14:paraId="48B97482"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281" w:type="pct"/>
            <w:noWrap/>
          </w:tcPr>
          <w:p w14:paraId="0DB76D4E"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281" w:type="pct"/>
            <w:noWrap/>
          </w:tcPr>
          <w:p w14:paraId="50E9129D"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274" w:type="pct"/>
            <w:noWrap/>
          </w:tcPr>
          <w:p w14:paraId="187C039A" w14:textId="77777777" w:rsidR="000B0469" w:rsidRPr="007F63EF" w:rsidRDefault="000B0469" w:rsidP="00BD6930">
            <w:pPr>
              <w:rPr>
                <w:rFonts w:asciiTheme="minorHAnsi" w:eastAsia="Times New Roman" w:hAnsiTheme="minorHAnsi" w:cstheme="minorHAnsi"/>
                <w:color w:val="auto"/>
                <w:sz w:val="20"/>
                <w:szCs w:val="20"/>
                <w:lang w:eastAsia="en-GB"/>
              </w:rPr>
            </w:pPr>
          </w:p>
        </w:tc>
      </w:tr>
      <w:tr w:rsidR="00FB2CE0" w:rsidRPr="006F68DB" w14:paraId="573D7C98" w14:textId="77777777" w:rsidTr="00986CC0">
        <w:trPr>
          <w:cnfStyle w:val="000000010000" w:firstRow="0" w:lastRow="0" w:firstColumn="0" w:lastColumn="0" w:oddVBand="0" w:evenVBand="0" w:oddHBand="0" w:evenHBand="1" w:firstRowFirstColumn="0" w:firstRowLastColumn="0" w:lastRowFirstColumn="0" w:lastRowLastColumn="0"/>
          <w:trHeight w:val="20"/>
        </w:trPr>
        <w:tc>
          <w:tcPr>
            <w:tcW w:w="1549" w:type="pct"/>
            <w:hideMark/>
          </w:tcPr>
          <w:p w14:paraId="4F6BD6AB" w14:textId="03B1D2A5" w:rsidR="000B0469" w:rsidRPr="007F63EF" w:rsidRDefault="000B0469" w:rsidP="00BD6930">
            <w:pPr>
              <w:ind w:firstLineChars="200" w:firstLine="402"/>
              <w:rPr>
                <w:rFonts w:asciiTheme="minorHAnsi" w:eastAsia="Times New Roman" w:hAnsiTheme="minorHAnsi" w:cstheme="minorHAnsi"/>
                <w:b/>
                <w:color w:val="auto"/>
                <w:sz w:val="20"/>
                <w:szCs w:val="20"/>
                <w:lang w:eastAsia="en-GB"/>
              </w:rPr>
            </w:pPr>
            <w:r w:rsidRPr="00FB2CE0">
              <w:rPr>
                <w:rFonts w:asciiTheme="minorHAnsi" w:eastAsia="Times New Roman" w:hAnsiTheme="minorHAnsi" w:cstheme="minorHAnsi"/>
                <w:b/>
                <w:sz w:val="20"/>
                <w:szCs w:val="20"/>
                <w:lang w:eastAsia="en-GB"/>
              </w:rPr>
              <w:t>8.</w:t>
            </w:r>
            <w:r w:rsidR="007458AC" w:rsidRPr="00FB2CE0">
              <w:rPr>
                <w:rFonts w:asciiTheme="minorHAnsi" w:eastAsia="Times New Roman" w:hAnsiTheme="minorHAnsi" w:cstheme="minorHAnsi"/>
                <w:b/>
                <w:sz w:val="20"/>
                <w:szCs w:val="20"/>
                <w:lang w:eastAsia="en-GB"/>
              </w:rPr>
              <w:t xml:space="preserve">   </w:t>
            </w:r>
            <w:r w:rsidRPr="00FB2CE0">
              <w:rPr>
                <w:rFonts w:asciiTheme="minorHAnsi" w:eastAsia="Times New Roman" w:hAnsiTheme="minorHAnsi" w:cstheme="minorHAnsi"/>
                <w:b/>
                <w:sz w:val="20"/>
                <w:szCs w:val="20"/>
                <w:lang w:eastAsia="en-GB"/>
              </w:rPr>
              <w:t xml:space="preserve"> All relevant </w:t>
            </w:r>
            <w:r w:rsidR="00290E4A" w:rsidRPr="00FB2CE0">
              <w:rPr>
                <w:rFonts w:asciiTheme="minorHAnsi" w:eastAsia="Times New Roman" w:hAnsiTheme="minorHAnsi" w:cstheme="minorHAnsi"/>
                <w:b/>
                <w:sz w:val="20"/>
                <w:szCs w:val="20"/>
                <w:lang w:eastAsia="en-GB"/>
              </w:rPr>
              <w:t xml:space="preserve">laboratory </w:t>
            </w:r>
            <w:r w:rsidRPr="00FB2CE0">
              <w:rPr>
                <w:rFonts w:asciiTheme="minorHAnsi" w:eastAsia="Times New Roman" w:hAnsiTheme="minorHAnsi" w:cstheme="minorHAnsi"/>
                <w:b/>
                <w:sz w:val="20"/>
                <w:szCs w:val="20"/>
                <w:lang w:eastAsia="en-GB"/>
              </w:rPr>
              <w:t xml:space="preserve">staff trained in AST SOPs </w:t>
            </w:r>
          </w:p>
        </w:tc>
        <w:tc>
          <w:tcPr>
            <w:tcW w:w="1212" w:type="pct"/>
            <w:hideMark/>
          </w:tcPr>
          <w:p w14:paraId="771734E3" w14:textId="6F7D7919"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color w:val="auto"/>
                <w:sz w:val="20"/>
                <w:szCs w:val="20"/>
                <w:lang w:eastAsia="en-GB"/>
              </w:rPr>
              <w:t>QR SR 2</w:t>
            </w:r>
          </w:p>
        </w:tc>
        <w:tc>
          <w:tcPr>
            <w:tcW w:w="281" w:type="pct"/>
            <w:noWrap/>
          </w:tcPr>
          <w:p w14:paraId="5054CF57"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60A32594"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6DE58AF6"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1A10E44C"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151304DD"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15AE502E"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5B46A989"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74" w:type="pct"/>
            <w:noWrap/>
          </w:tcPr>
          <w:p w14:paraId="40E2C8C8"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r>
      <w:tr w:rsidR="00FB2CE0" w:rsidRPr="006F68DB" w14:paraId="5E001F97" w14:textId="77777777" w:rsidTr="00986CC0">
        <w:trPr>
          <w:cnfStyle w:val="000000100000" w:firstRow="0" w:lastRow="0" w:firstColumn="0" w:lastColumn="0" w:oddVBand="0" w:evenVBand="0" w:oddHBand="1" w:evenHBand="0" w:firstRowFirstColumn="0" w:firstRowLastColumn="0" w:lastRowFirstColumn="0" w:lastRowLastColumn="0"/>
          <w:trHeight w:val="20"/>
        </w:trPr>
        <w:tc>
          <w:tcPr>
            <w:tcW w:w="1549" w:type="pct"/>
            <w:hideMark/>
          </w:tcPr>
          <w:p w14:paraId="6CE1A82F" w14:textId="77777777" w:rsidR="000B0469" w:rsidRPr="007F63EF" w:rsidRDefault="000B0469" w:rsidP="00BD6930">
            <w:pPr>
              <w:ind w:firstLineChars="200" w:firstLine="402"/>
              <w:rPr>
                <w:rFonts w:asciiTheme="minorHAnsi" w:eastAsia="Times New Roman" w:hAnsiTheme="minorHAnsi" w:cstheme="minorHAnsi"/>
                <w:b/>
                <w:color w:val="auto"/>
                <w:sz w:val="20"/>
                <w:szCs w:val="20"/>
                <w:lang w:eastAsia="en-GB"/>
              </w:rPr>
            </w:pPr>
            <w:r w:rsidRPr="00FB2CE0">
              <w:rPr>
                <w:rFonts w:asciiTheme="minorHAnsi" w:eastAsia="Times New Roman" w:hAnsiTheme="minorHAnsi" w:cstheme="minorHAnsi"/>
                <w:b/>
                <w:sz w:val="20"/>
                <w:szCs w:val="20"/>
                <w:lang w:eastAsia="en-GB"/>
              </w:rPr>
              <w:t xml:space="preserve">Total score </w:t>
            </w:r>
          </w:p>
        </w:tc>
        <w:tc>
          <w:tcPr>
            <w:tcW w:w="1212" w:type="pct"/>
            <w:hideMark/>
          </w:tcPr>
          <w:p w14:paraId="27FE1287" w14:textId="77777777" w:rsidR="000B0469" w:rsidRPr="007F63EF" w:rsidRDefault="000B0469" w:rsidP="00BD6930">
            <w:pPr>
              <w:ind w:firstLineChars="200" w:firstLine="402"/>
              <w:rPr>
                <w:rFonts w:asciiTheme="minorHAnsi" w:eastAsia="Times New Roman" w:hAnsiTheme="minorHAnsi" w:cstheme="minorHAnsi"/>
                <w:b/>
                <w:color w:val="auto"/>
                <w:sz w:val="20"/>
                <w:szCs w:val="20"/>
                <w:lang w:eastAsia="en-GB"/>
              </w:rPr>
            </w:pPr>
          </w:p>
        </w:tc>
        <w:tc>
          <w:tcPr>
            <w:tcW w:w="281" w:type="pct"/>
            <w:noWrap/>
          </w:tcPr>
          <w:p w14:paraId="59199DD5"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46C8D795"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22035BDA"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75E7832C"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4DA02C0A"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14C65B9E"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81" w:type="pct"/>
            <w:noWrap/>
          </w:tcPr>
          <w:p w14:paraId="18B58A07"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274" w:type="pct"/>
            <w:noWrap/>
          </w:tcPr>
          <w:p w14:paraId="077CE8EA"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r>
      <w:tr w:rsidR="00FB2CE0" w:rsidRPr="006F68DB" w14:paraId="46051A1D" w14:textId="77777777" w:rsidTr="00986CC0">
        <w:trPr>
          <w:cnfStyle w:val="000000010000" w:firstRow="0" w:lastRow="0" w:firstColumn="0" w:lastColumn="0" w:oddVBand="0" w:evenVBand="0" w:oddHBand="0" w:evenHBand="1" w:firstRowFirstColumn="0" w:firstRowLastColumn="0" w:lastRowFirstColumn="0" w:lastRowLastColumn="0"/>
          <w:trHeight w:val="20"/>
        </w:trPr>
        <w:tc>
          <w:tcPr>
            <w:tcW w:w="1549" w:type="pct"/>
            <w:hideMark/>
          </w:tcPr>
          <w:p w14:paraId="45C8C1BE" w14:textId="0D788C91" w:rsidR="000B0469" w:rsidRPr="007F63EF" w:rsidRDefault="00634A55" w:rsidP="00BD6930">
            <w:pPr>
              <w:ind w:firstLineChars="200" w:firstLine="402"/>
              <w:rPr>
                <w:rFonts w:asciiTheme="minorHAnsi" w:eastAsia="Times New Roman" w:hAnsiTheme="minorHAnsi" w:cstheme="minorHAnsi"/>
                <w:b/>
                <w:color w:val="auto"/>
                <w:sz w:val="20"/>
                <w:szCs w:val="20"/>
                <w:lang w:eastAsia="en-GB"/>
              </w:rPr>
            </w:pPr>
            <w:r w:rsidRPr="00FB2CE0">
              <w:rPr>
                <w:rFonts w:asciiTheme="minorHAnsi" w:eastAsia="Times New Roman" w:hAnsiTheme="minorHAnsi" w:cstheme="minorHAnsi"/>
                <w:b/>
                <w:sz w:val="20"/>
                <w:szCs w:val="20"/>
                <w:lang w:eastAsia="en-GB"/>
              </w:rPr>
              <w:t>Average</w:t>
            </w:r>
            <w:r w:rsidR="000B0469" w:rsidRPr="00FB2CE0">
              <w:rPr>
                <w:rFonts w:asciiTheme="minorHAnsi" w:eastAsia="Times New Roman" w:hAnsiTheme="minorHAnsi" w:cstheme="minorHAnsi"/>
                <w:b/>
                <w:sz w:val="20"/>
                <w:szCs w:val="20"/>
                <w:lang w:eastAsia="en-GB"/>
              </w:rPr>
              <w:t xml:space="preserve"> score</w:t>
            </w:r>
          </w:p>
        </w:tc>
        <w:tc>
          <w:tcPr>
            <w:tcW w:w="1212" w:type="pct"/>
            <w:hideMark/>
          </w:tcPr>
          <w:p w14:paraId="41BD605A" w14:textId="77777777" w:rsidR="000B0469" w:rsidRPr="007F63EF" w:rsidRDefault="000B0469" w:rsidP="00BD6930">
            <w:pPr>
              <w:ind w:firstLineChars="200" w:firstLine="402"/>
              <w:rPr>
                <w:rFonts w:asciiTheme="minorHAnsi" w:eastAsia="Times New Roman" w:hAnsiTheme="minorHAnsi" w:cstheme="minorHAnsi"/>
                <w:b/>
                <w:color w:val="auto"/>
                <w:sz w:val="20"/>
                <w:szCs w:val="20"/>
                <w:lang w:eastAsia="en-GB"/>
              </w:rPr>
            </w:pPr>
          </w:p>
        </w:tc>
        <w:tc>
          <w:tcPr>
            <w:tcW w:w="281" w:type="pct"/>
            <w:noWrap/>
            <w:hideMark/>
          </w:tcPr>
          <w:p w14:paraId="19263DBB" w14:textId="77777777" w:rsidR="000B0469" w:rsidRPr="007F63EF" w:rsidRDefault="000B0469" w:rsidP="00BD6930">
            <w:pPr>
              <w:ind w:firstLineChars="200" w:firstLine="400"/>
              <w:rPr>
                <w:rFonts w:asciiTheme="minorHAnsi" w:eastAsia="Times New Roman" w:hAnsiTheme="minorHAnsi" w:cstheme="minorHAnsi"/>
                <w:color w:val="auto"/>
                <w:sz w:val="20"/>
                <w:szCs w:val="20"/>
                <w:highlight w:val="lightGray"/>
                <w:lang w:eastAsia="en-GB"/>
              </w:rPr>
            </w:pPr>
          </w:p>
        </w:tc>
        <w:tc>
          <w:tcPr>
            <w:tcW w:w="281" w:type="pct"/>
            <w:noWrap/>
            <w:hideMark/>
          </w:tcPr>
          <w:p w14:paraId="6B1AEB06" w14:textId="77777777" w:rsidR="000B0469" w:rsidRPr="007F63EF" w:rsidRDefault="000B0469" w:rsidP="00BD6930">
            <w:pPr>
              <w:rPr>
                <w:rFonts w:asciiTheme="minorHAnsi" w:eastAsia="Times New Roman" w:hAnsiTheme="minorHAnsi" w:cstheme="minorHAnsi"/>
                <w:color w:val="auto"/>
                <w:sz w:val="20"/>
                <w:szCs w:val="20"/>
                <w:highlight w:val="lightGray"/>
                <w:lang w:eastAsia="en-GB"/>
              </w:rPr>
            </w:pPr>
          </w:p>
        </w:tc>
        <w:tc>
          <w:tcPr>
            <w:tcW w:w="281" w:type="pct"/>
            <w:noWrap/>
            <w:hideMark/>
          </w:tcPr>
          <w:p w14:paraId="02B738F3" w14:textId="77777777" w:rsidR="000B0469" w:rsidRPr="007F63EF" w:rsidRDefault="000B0469" w:rsidP="00BD6930">
            <w:pPr>
              <w:rPr>
                <w:rFonts w:asciiTheme="minorHAnsi" w:eastAsia="Times New Roman" w:hAnsiTheme="minorHAnsi" w:cstheme="minorHAnsi"/>
                <w:color w:val="auto"/>
                <w:sz w:val="20"/>
                <w:szCs w:val="20"/>
                <w:highlight w:val="lightGray"/>
                <w:lang w:eastAsia="en-GB"/>
              </w:rPr>
            </w:pPr>
          </w:p>
        </w:tc>
        <w:tc>
          <w:tcPr>
            <w:tcW w:w="281" w:type="pct"/>
            <w:noWrap/>
            <w:hideMark/>
          </w:tcPr>
          <w:p w14:paraId="4A1067D1" w14:textId="77777777" w:rsidR="000B0469" w:rsidRPr="007F63EF" w:rsidRDefault="000B0469" w:rsidP="00BD6930">
            <w:pPr>
              <w:rPr>
                <w:rFonts w:asciiTheme="minorHAnsi" w:eastAsia="Times New Roman" w:hAnsiTheme="minorHAnsi" w:cstheme="minorHAnsi"/>
                <w:color w:val="auto"/>
                <w:sz w:val="20"/>
                <w:szCs w:val="20"/>
                <w:highlight w:val="lightGray"/>
                <w:lang w:eastAsia="en-GB"/>
              </w:rPr>
            </w:pPr>
          </w:p>
        </w:tc>
        <w:tc>
          <w:tcPr>
            <w:tcW w:w="281" w:type="pct"/>
            <w:noWrap/>
            <w:hideMark/>
          </w:tcPr>
          <w:p w14:paraId="726B96D7" w14:textId="77777777" w:rsidR="000B0469" w:rsidRPr="007F63EF" w:rsidRDefault="000B0469" w:rsidP="00BD6930">
            <w:pPr>
              <w:rPr>
                <w:rFonts w:asciiTheme="minorHAnsi" w:eastAsia="Times New Roman" w:hAnsiTheme="minorHAnsi" w:cstheme="minorHAnsi"/>
                <w:color w:val="auto"/>
                <w:sz w:val="20"/>
                <w:szCs w:val="20"/>
                <w:highlight w:val="lightGray"/>
                <w:lang w:eastAsia="en-GB"/>
              </w:rPr>
            </w:pPr>
          </w:p>
        </w:tc>
        <w:tc>
          <w:tcPr>
            <w:tcW w:w="281" w:type="pct"/>
            <w:noWrap/>
            <w:hideMark/>
          </w:tcPr>
          <w:p w14:paraId="2486A5C0" w14:textId="77777777" w:rsidR="000B0469" w:rsidRPr="007F63EF" w:rsidRDefault="000B0469" w:rsidP="00BD6930">
            <w:pPr>
              <w:rPr>
                <w:rFonts w:asciiTheme="minorHAnsi" w:eastAsia="Times New Roman" w:hAnsiTheme="minorHAnsi" w:cstheme="minorHAnsi"/>
                <w:color w:val="auto"/>
                <w:sz w:val="20"/>
                <w:szCs w:val="20"/>
                <w:highlight w:val="lightGray"/>
                <w:lang w:eastAsia="en-GB"/>
              </w:rPr>
            </w:pPr>
          </w:p>
        </w:tc>
        <w:tc>
          <w:tcPr>
            <w:tcW w:w="281" w:type="pct"/>
            <w:noWrap/>
            <w:hideMark/>
          </w:tcPr>
          <w:p w14:paraId="5C91831A" w14:textId="77777777" w:rsidR="000B0469" w:rsidRPr="007F63EF" w:rsidRDefault="000B0469" w:rsidP="00BD6930">
            <w:pPr>
              <w:rPr>
                <w:rFonts w:asciiTheme="minorHAnsi" w:eastAsia="Times New Roman" w:hAnsiTheme="minorHAnsi" w:cstheme="minorHAnsi"/>
                <w:color w:val="auto"/>
                <w:sz w:val="20"/>
                <w:szCs w:val="20"/>
                <w:highlight w:val="lightGray"/>
                <w:lang w:eastAsia="en-GB"/>
              </w:rPr>
            </w:pPr>
          </w:p>
        </w:tc>
        <w:tc>
          <w:tcPr>
            <w:tcW w:w="274" w:type="pct"/>
            <w:noWrap/>
            <w:hideMark/>
          </w:tcPr>
          <w:p w14:paraId="555F59CE"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r>
      <w:tr w:rsidR="00FB2CE0" w:rsidRPr="006F68DB" w14:paraId="55550F18" w14:textId="77777777" w:rsidTr="00986CC0">
        <w:trPr>
          <w:cnfStyle w:val="000000100000" w:firstRow="0" w:lastRow="0" w:firstColumn="0" w:lastColumn="0" w:oddVBand="0" w:evenVBand="0" w:oddHBand="1" w:evenHBand="0" w:firstRowFirstColumn="0" w:firstRowLastColumn="0" w:lastRowFirstColumn="0" w:lastRowLastColumn="0"/>
          <w:trHeight w:val="20"/>
        </w:trPr>
        <w:tc>
          <w:tcPr>
            <w:tcW w:w="1549" w:type="pct"/>
            <w:noWrap/>
            <w:hideMark/>
          </w:tcPr>
          <w:p w14:paraId="4CC7A20D" w14:textId="77777777" w:rsidR="000B0469" w:rsidRPr="007F63EF" w:rsidRDefault="000B0469" w:rsidP="00BD6930">
            <w:pPr>
              <w:jc w:val="right"/>
              <w:rPr>
                <w:rFonts w:asciiTheme="minorHAnsi" w:eastAsia="Times New Roman" w:hAnsiTheme="minorHAnsi" w:cstheme="minorHAnsi"/>
                <w:color w:val="auto"/>
                <w:sz w:val="20"/>
                <w:szCs w:val="20"/>
                <w:lang w:eastAsia="en-GB"/>
              </w:rPr>
            </w:pPr>
          </w:p>
        </w:tc>
        <w:tc>
          <w:tcPr>
            <w:tcW w:w="1212" w:type="pct"/>
            <w:noWrap/>
            <w:hideMark/>
          </w:tcPr>
          <w:p w14:paraId="21A0AC8F"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281" w:type="pct"/>
            <w:noWrap/>
            <w:hideMark/>
          </w:tcPr>
          <w:p w14:paraId="2C08A9A4" w14:textId="77777777" w:rsidR="000B0469" w:rsidRPr="007F63EF" w:rsidRDefault="000B0469" w:rsidP="00BD6930">
            <w:pPr>
              <w:rPr>
                <w:rFonts w:asciiTheme="minorHAnsi" w:eastAsia="Times New Roman" w:hAnsiTheme="minorHAnsi" w:cstheme="minorHAnsi"/>
                <w:b/>
                <w:color w:val="auto"/>
                <w:sz w:val="20"/>
                <w:szCs w:val="20"/>
                <w:lang w:eastAsia="en-GB"/>
              </w:rPr>
            </w:pPr>
          </w:p>
        </w:tc>
        <w:tc>
          <w:tcPr>
            <w:tcW w:w="281" w:type="pct"/>
            <w:noWrap/>
            <w:hideMark/>
          </w:tcPr>
          <w:p w14:paraId="6360BB30" w14:textId="77777777" w:rsidR="000B0469" w:rsidRPr="007F63EF" w:rsidRDefault="000B0469" w:rsidP="00BD6930">
            <w:pPr>
              <w:rPr>
                <w:rFonts w:asciiTheme="minorHAnsi" w:eastAsia="Times New Roman" w:hAnsiTheme="minorHAnsi" w:cstheme="minorHAnsi"/>
                <w:b/>
                <w:color w:val="auto"/>
                <w:sz w:val="20"/>
                <w:szCs w:val="20"/>
                <w:lang w:eastAsia="en-GB"/>
              </w:rPr>
            </w:pPr>
          </w:p>
        </w:tc>
        <w:tc>
          <w:tcPr>
            <w:tcW w:w="281" w:type="pct"/>
            <w:noWrap/>
            <w:hideMark/>
          </w:tcPr>
          <w:p w14:paraId="10FA0CA3"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281" w:type="pct"/>
            <w:noWrap/>
            <w:hideMark/>
          </w:tcPr>
          <w:p w14:paraId="63C387C7"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281" w:type="pct"/>
            <w:noWrap/>
            <w:hideMark/>
          </w:tcPr>
          <w:p w14:paraId="5F3CD0D5"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281" w:type="pct"/>
            <w:noWrap/>
            <w:hideMark/>
          </w:tcPr>
          <w:p w14:paraId="3B2458AA"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281" w:type="pct"/>
            <w:noWrap/>
            <w:hideMark/>
          </w:tcPr>
          <w:p w14:paraId="7C6A5110"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274" w:type="pct"/>
            <w:noWrap/>
            <w:hideMark/>
          </w:tcPr>
          <w:p w14:paraId="15B4D4D1" w14:textId="77777777" w:rsidR="000B0469" w:rsidRPr="007F63EF" w:rsidRDefault="000B0469" w:rsidP="00BD6930">
            <w:pPr>
              <w:rPr>
                <w:rFonts w:asciiTheme="minorHAnsi" w:eastAsia="Times New Roman" w:hAnsiTheme="minorHAnsi" w:cstheme="minorHAnsi"/>
                <w:color w:val="auto"/>
                <w:sz w:val="20"/>
                <w:szCs w:val="20"/>
                <w:lang w:eastAsia="en-GB"/>
              </w:rPr>
            </w:pPr>
          </w:p>
        </w:tc>
      </w:tr>
      <w:tr w:rsidR="00FB2CE0" w:rsidRPr="006F68DB" w14:paraId="595B2A53" w14:textId="77777777" w:rsidTr="00986CC0">
        <w:trPr>
          <w:cnfStyle w:val="000000010000" w:firstRow="0" w:lastRow="0" w:firstColumn="0" w:lastColumn="0" w:oddVBand="0" w:evenVBand="0" w:oddHBand="0" w:evenHBand="1" w:firstRowFirstColumn="0" w:firstRowLastColumn="0" w:lastRowFirstColumn="0" w:lastRowLastColumn="0"/>
          <w:trHeight w:val="20"/>
        </w:trPr>
        <w:tc>
          <w:tcPr>
            <w:tcW w:w="1549" w:type="pct"/>
            <w:hideMark/>
          </w:tcPr>
          <w:p w14:paraId="3B30FC43" w14:textId="57EAA5F5" w:rsidR="000B0469" w:rsidRPr="007F63EF" w:rsidRDefault="000B0469" w:rsidP="00BD6930">
            <w:pPr>
              <w:rPr>
                <w:rFonts w:asciiTheme="minorHAnsi" w:eastAsia="Times New Roman" w:hAnsiTheme="minorHAnsi" w:cstheme="minorHAnsi"/>
                <w:b/>
                <w:color w:val="auto"/>
                <w:sz w:val="20"/>
                <w:szCs w:val="20"/>
                <w:lang w:eastAsia="en-GB"/>
              </w:rPr>
            </w:pPr>
            <w:r w:rsidRPr="00FB2CE0">
              <w:rPr>
                <w:rFonts w:asciiTheme="minorHAnsi" w:eastAsia="Times New Roman" w:hAnsiTheme="minorHAnsi" w:cstheme="minorHAnsi"/>
                <w:b/>
                <w:sz w:val="20"/>
                <w:szCs w:val="20"/>
                <w:lang w:eastAsia="en-GB"/>
              </w:rPr>
              <w:t xml:space="preserve"># </w:t>
            </w:r>
            <w:r w:rsidR="00634A55" w:rsidRPr="00FB2CE0">
              <w:rPr>
                <w:rFonts w:asciiTheme="minorHAnsi" w:eastAsia="Times New Roman" w:hAnsiTheme="minorHAnsi" w:cstheme="minorHAnsi"/>
                <w:b/>
                <w:sz w:val="20"/>
                <w:szCs w:val="20"/>
                <w:lang w:eastAsia="en-GB"/>
              </w:rPr>
              <w:t>Sites</w:t>
            </w:r>
            <w:r w:rsidRPr="00FB2CE0">
              <w:rPr>
                <w:rFonts w:asciiTheme="minorHAnsi" w:eastAsia="Times New Roman" w:hAnsiTheme="minorHAnsi" w:cstheme="minorHAnsi"/>
                <w:b/>
                <w:sz w:val="20"/>
                <w:szCs w:val="20"/>
                <w:lang w:eastAsia="en-GB"/>
              </w:rPr>
              <w:t xml:space="preserve"> </w:t>
            </w:r>
            <w:r w:rsidRPr="006F68DB">
              <w:rPr>
                <w:rFonts w:asciiTheme="minorHAnsi" w:eastAsia="Times New Roman" w:hAnsiTheme="minorHAnsi" w:cstheme="minorHAnsi"/>
                <w:b/>
                <w:color w:val="auto"/>
                <w:sz w:val="20"/>
                <w:szCs w:val="20"/>
                <w:lang w:eastAsia="en-GB"/>
              </w:rPr>
              <w:t>(update as required)</w:t>
            </w:r>
          </w:p>
          <w:p w14:paraId="614A696F" w14:textId="77777777" w:rsidR="000B0469" w:rsidRPr="007F63EF" w:rsidRDefault="000B0469" w:rsidP="00BD6930">
            <w:pPr>
              <w:rPr>
                <w:rFonts w:asciiTheme="minorHAnsi" w:eastAsia="Times New Roman" w:hAnsiTheme="minorHAnsi" w:cstheme="minorHAnsi"/>
                <w:b/>
                <w:color w:val="auto"/>
                <w:sz w:val="20"/>
                <w:szCs w:val="20"/>
                <w:lang w:eastAsia="en-GB"/>
              </w:rPr>
            </w:pPr>
            <w:r w:rsidRPr="00FB2CE0">
              <w:rPr>
                <w:rFonts w:asciiTheme="minorHAnsi" w:eastAsia="Times New Roman" w:hAnsiTheme="minorHAnsi" w:cstheme="minorHAnsi"/>
                <w:sz w:val="20"/>
                <w:szCs w:val="20"/>
                <w:lang w:eastAsia="en-GB"/>
              </w:rPr>
              <w:t>8</w:t>
            </w:r>
          </w:p>
        </w:tc>
        <w:tc>
          <w:tcPr>
            <w:tcW w:w="1212" w:type="pct"/>
            <w:hideMark/>
          </w:tcPr>
          <w:p w14:paraId="7EBBB205" w14:textId="77777777" w:rsidR="000B0469" w:rsidRPr="007F63EF" w:rsidRDefault="000B0469" w:rsidP="00BD6930">
            <w:pPr>
              <w:rPr>
                <w:rFonts w:asciiTheme="minorHAnsi" w:eastAsia="Times New Roman" w:hAnsiTheme="minorHAnsi" w:cstheme="minorHAnsi"/>
                <w:b/>
                <w:color w:val="auto"/>
                <w:sz w:val="20"/>
                <w:szCs w:val="20"/>
                <w:lang w:eastAsia="en-GB"/>
              </w:rPr>
            </w:pPr>
          </w:p>
        </w:tc>
        <w:tc>
          <w:tcPr>
            <w:tcW w:w="2240" w:type="pct"/>
            <w:gridSpan w:val="8"/>
            <w:noWrap/>
            <w:hideMark/>
          </w:tcPr>
          <w:p w14:paraId="01A95CD6" w14:textId="77777777" w:rsidR="000B0469" w:rsidRPr="007F63EF" w:rsidRDefault="000B0469" w:rsidP="00BD6930">
            <w:pPr>
              <w:rPr>
                <w:rFonts w:asciiTheme="minorHAnsi" w:eastAsia="Times New Roman" w:hAnsiTheme="minorHAnsi" w:cstheme="minorHAnsi"/>
                <w:color w:val="auto"/>
                <w:sz w:val="20"/>
                <w:szCs w:val="20"/>
                <w:lang w:eastAsia="en-GB"/>
              </w:rPr>
            </w:pPr>
            <w:r w:rsidRPr="006F68DB">
              <w:rPr>
                <w:rFonts w:asciiTheme="minorHAnsi" w:eastAsia="Times New Roman" w:hAnsiTheme="minorHAnsi" w:cstheme="minorHAnsi"/>
                <w:b/>
                <w:color w:val="auto"/>
                <w:sz w:val="20"/>
                <w:szCs w:val="20"/>
                <w:lang w:eastAsia="en-GB"/>
              </w:rPr>
              <w:t>insert "1" where parameter in place/met, "0" where not in place</w:t>
            </w:r>
          </w:p>
        </w:tc>
      </w:tr>
    </w:tbl>
    <w:p w14:paraId="37937EFA" w14:textId="77777777" w:rsidR="00DF1108" w:rsidRDefault="00DF1108" w:rsidP="000B0469"/>
    <w:p w14:paraId="0F7F665A" w14:textId="65C09377" w:rsidR="000B0469" w:rsidRDefault="000B0469" w:rsidP="000B0469">
      <w:r>
        <w:t>A summary of the data collated from the above template is included in the following tables</w:t>
      </w:r>
      <w:r w:rsidR="005A416C">
        <w:t xml:space="preserve"> (</w:t>
      </w:r>
      <w:r w:rsidR="005A416C">
        <w:fldChar w:fldCharType="begin"/>
      </w:r>
      <w:r w:rsidR="005A416C">
        <w:instrText xml:space="preserve"> REF _Ref119934493 \h </w:instrText>
      </w:r>
      <w:r w:rsidR="005A416C">
        <w:fldChar w:fldCharType="separate"/>
      </w:r>
      <w:r w:rsidR="009A383C">
        <w:t xml:space="preserve">Table </w:t>
      </w:r>
      <w:r w:rsidR="009A383C">
        <w:rPr>
          <w:noProof/>
        </w:rPr>
        <w:t>34</w:t>
      </w:r>
      <w:r w:rsidR="005A416C">
        <w:fldChar w:fldCharType="end"/>
      </w:r>
      <w:r w:rsidR="005A416C">
        <w:t xml:space="preserve"> and </w:t>
      </w:r>
      <w:r w:rsidR="005A416C">
        <w:fldChar w:fldCharType="begin"/>
      </w:r>
      <w:r w:rsidR="005A416C">
        <w:instrText xml:space="preserve"> REF _Ref119934476 \h </w:instrText>
      </w:r>
      <w:r w:rsidR="005A416C">
        <w:fldChar w:fldCharType="separate"/>
      </w:r>
      <w:r w:rsidR="009A383C">
        <w:t xml:space="preserve">Table </w:t>
      </w:r>
      <w:r w:rsidR="009A383C">
        <w:rPr>
          <w:noProof/>
        </w:rPr>
        <w:t>35</w:t>
      </w:r>
      <w:r w:rsidR="005A416C">
        <w:fldChar w:fldCharType="end"/>
      </w:r>
      <w:r w:rsidR="005A416C">
        <w:t>)</w:t>
      </w:r>
      <w:r>
        <w:t>.</w:t>
      </w:r>
    </w:p>
    <w:p w14:paraId="34C07DB3" w14:textId="77777777" w:rsidR="00634A55" w:rsidRDefault="00634A55" w:rsidP="000B0469"/>
    <w:p w14:paraId="21D5C947" w14:textId="6227E150" w:rsidR="005A416C" w:rsidRDefault="005A416C" w:rsidP="00C04C3C">
      <w:pPr>
        <w:pStyle w:val="ItadCaption"/>
      </w:pPr>
      <w:bookmarkStart w:id="240" w:name="_Ref119934493"/>
      <w:bookmarkStart w:id="241" w:name="_Ref119934467"/>
      <w:bookmarkStart w:id="242" w:name="_Toc143857902"/>
      <w:r>
        <w:t xml:space="preserve">Table </w:t>
      </w:r>
      <w:r>
        <w:fldChar w:fldCharType="begin"/>
      </w:r>
      <w:r>
        <w:instrText>SEQ Table \* ARABIC</w:instrText>
      </w:r>
      <w:r>
        <w:fldChar w:fldCharType="separate"/>
      </w:r>
      <w:r w:rsidR="009A383C">
        <w:rPr>
          <w:noProof/>
        </w:rPr>
        <w:t>34</w:t>
      </w:r>
      <w:r>
        <w:fldChar w:fldCharType="end"/>
      </w:r>
      <w:bookmarkEnd w:id="240"/>
      <w:r>
        <w:t xml:space="preserve"> Changes in quality of AMR data (Human Health)</w:t>
      </w:r>
      <w:bookmarkEnd w:id="241"/>
      <w:bookmarkEnd w:id="242"/>
    </w:p>
    <w:tbl>
      <w:tblPr>
        <w:tblStyle w:val="Itadalternaterows"/>
        <w:tblW w:w="5000" w:type="pct"/>
        <w:tblInd w:w="0" w:type="dxa"/>
        <w:tblLook w:val="04A0" w:firstRow="1" w:lastRow="0" w:firstColumn="1" w:lastColumn="0" w:noHBand="0" w:noVBand="1"/>
      </w:tblPr>
      <w:tblGrid>
        <w:gridCol w:w="1224"/>
        <w:gridCol w:w="1256"/>
        <w:gridCol w:w="1144"/>
        <w:gridCol w:w="5263"/>
        <w:gridCol w:w="621"/>
      </w:tblGrid>
      <w:tr w:rsidR="00FB2CE0" w:rsidRPr="006F68DB" w14:paraId="0D6278D8" w14:textId="77777777" w:rsidTr="00BB4743">
        <w:trPr>
          <w:cnfStyle w:val="100000000000" w:firstRow="1" w:lastRow="0" w:firstColumn="0" w:lastColumn="0" w:oddVBand="0" w:evenVBand="0" w:oddHBand="0" w:evenHBand="0" w:firstRowFirstColumn="0" w:firstRowLastColumn="0" w:lastRowFirstColumn="0" w:lastRowLastColumn="0"/>
          <w:trHeight w:val="20"/>
        </w:trPr>
        <w:tc>
          <w:tcPr>
            <w:tcW w:w="648" w:type="pct"/>
            <w:vMerge w:val="restart"/>
            <w:hideMark/>
          </w:tcPr>
          <w:p w14:paraId="25863D33" w14:textId="77777777" w:rsidR="000B0469" w:rsidRPr="007F63EF" w:rsidRDefault="000B0469" w:rsidP="00BD6930">
            <w:pPr>
              <w:jc w:val="center"/>
              <w:textAlignment w:val="baseline"/>
              <w:rPr>
                <w:rFonts w:asciiTheme="minorHAnsi" w:eastAsia="Times New Roman" w:hAnsiTheme="minorHAnsi" w:cstheme="minorHAnsi"/>
                <w:b/>
                <w:bCs/>
                <w:color w:val="auto"/>
                <w:sz w:val="20"/>
                <w:szCs w:val="20"/>
                <w:lang w:eastAsia="en-GB"/>
              </w:rPr>
            </w:pPr>
            <w:r w:rsidRPr="00FB2CE0">
              <w:rPr>
                <w:rFonts w:asciiTheme="minorHAnsi" w:eastAsia="Times New Roman" w:hAnsiTheme="minorHAnsi" w:cstheme="minorHAnsi"/>
                <w:b/>
                <w:bCs/>
                <w:sz w:val="20"/>
                <w:szCs w:val="20"/>
                <w:lang w:eastAsia="en-GB"/>
              </w:rPr>
              <w:t>Country Name </w:t>
            </w:r>
          </w:p>
        </w:tc>
        <w:tc>
          <w:tcPr>
            <w:tcW w:w="4352" w:type="pct"/>
            <w:gridSpan w:val="4"/>
            <w:hideMark/>
          </w:tcPr>
          <w:p w14:paraId="29E69157" w14:textId="77777777" w:rsidR="000B0469" w:rsidRPr="007F63EF" w:rsidRDefault="000B0469" w:rsidP="00BD6930">
            <w:pPr>
              <w:jc w:val="center"/>
              <w:textAlignment w:val="baseline"/>
              <w:rPr>
                <w:rFonts w:asciiTheme="minorHAnsi" w:eastAsia="Times New Roman" w:hAnsiTheme="minorHAnsi" w:cstheme="minorHAnsi"/>
                <w:b/>
                <w:bCs/>
                <w:color w:val="auto"/>
                <w:sz w:val="20"/>
                <w:szCs w:val="20"/>
                <w:lang w:eastAsia="en-GB"/>
              </w:rPr>
            </w:pPr>
            <w:r w:rsidRPr="00FB2CE0">
              <w:rPr>
                <w:rFonts w:asciiTheme="minorHAnsi" w:eastAsia="Times New Roman" w:hAnsiTheme="minorHAnsi" w:cstheme="minorHAnsi"/>
                <w:b/>
                <w:bCs/>
                <w:sz w:val="20"/>
                <w:szCs w:val="20"/>
                <w:lang w:eastAsia="en-GB"/>
              </w:rPr>
              <w:t>Human Health </w:t>
            </w:r>
          </w:p>
        </w:tc>
      </w:tr>
      <w:tr w:rsidR="00FB2CE0" w:rsidRPr="006F68DB" w14:paraId="6ECA9C7C" w14:textId="77777777" w:rsidTr="00BB4743">
        <w:trPr>
          <w:cnfStyle w:val="000000100000" w:firstRow="0" w:lastRow="0" w:firstColumn="0" w:lastColumn="0" w:oddVBand="0" w:evenVBand="0" w:oddHBand="1" w:evenHBand="0" w:firstRowFirstColumn="0" w:firstRowLastColumn="0" w:lastRowFirstColumn="0" w:lastRowLastColumn="0"/>
          <w:trHeight w:val="20"/>
        </w:trPr>
        <w:tc>
          <w:tcPr>
            <w:tcW w:w="648" w:type="pct"/>
            <w:vMerge/>
            <w:hideMark/>
          </w:tcPr>
          <w:p w14:paraId="15C2BFD4"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1249" w:type="pct"/>
            <w:gridSpan w:val="2"/>
            <w:hideMark/>
          </w:tcPr>
          <w:p w14:paraId="6B45D4D2" w14:textId="25A2C475" w:rsidR="000B0469" w:rsidRPr="007F63EF" w:rsidRDefault="00190404"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Average</w:t>
            </w:r>
            <w:r w:rsidR="000B046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Q</w:t>
            </w:r>
            <w:r w:rsidR="000B0469" w:rsidRPr="00FB2CE0">
              <w:rPr>
                <w:rFonts w:asciiTheme="minorHAnsi" w:eastAsia="Times New Roman" w:hAnsiTheme="minorHAnsi" w:cstheme="minorHAnsi"/>
                <w:sz w:val="20"/>
                <w:szCs w:val="20"/>
                <w:lang w:eastAsia="en-GB"/>
              </w:rPr>
              <w:t xml:space="preserve">uality </w:t>
            </w:r>
            <w:r w:rsidRPr="00FB2CE0">
              <w:rPr>
                <w:rFonts w:asciiTheme="minorHAnsi" w:eastAsia="Times New Roman" w:hAnsiTheme="minorHAnsi" w:cstheme="minorHAnsi"/>
                <w:sz w:val="20"/>
                <w:szCs w:val="20"/>
                <w:lang w:eastAsia="en-GB"/>
              </w:rPr>
              <w:t>S</w:t>
            </w:r>
            <w:r w:rsidR="000B0469" w:rsidRPr="00FB2CE0">
              <w:rPr>
                <w:rFonts w:asciiTheme="minorHAnsi" w:eastAsia="Times New Roman" w:hAnsiTheme="minorHAnsi" w:cstheme="minorHAnsi"/>
                <w:sz w:val="20"/>
                <w:szCs w:val="20"/>
                <w:lang w:eastAsia="en-GB"/>
              </w:rPr>
              <w:t>core </w:t>
            </w:r>
          </w:p>
        </w:tc>
        <w:tc>
          <w:tcPr>
            <w:tcW w:w="2772" w:type="pct"/>
            <w:vMerge w:val="restart"/>
            <w:hideMark/>
          </w:tcPr>
          <w:p w14:paraId="71026DF4"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Number (%) of sites improving from baseline to endline </w:t>
            </w:r>
          </w:p>
        </w:tc>
        <w:tc>
          <w:tcPr>
            <w:tcW w:w="332" w:type="pct"/>
            <w:vMerge w:val="restart"/>
            <w:hideMark/>
          </w:tcPr>
          <w:p w14:paraId="0541189D"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p w14:paraId="2D59F2F6"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u w:val="single"/>
                <w:lang w:eastAsia="en-GB"/>
              </w:rPr>
              <w:t>RAG</w:t>
            </w:r>
            <w:r w:rsidRPr="00FB2CE0">
              <w:rPr>
                <w:rFonts w:asciiTheme="minorHAnsi" w:eastAsia="Times New Roman" w:hAnsiTheme="minorHAnsi" w:cstheme="minorHAnsi"/>
                <w:sz w:val="20"/>
                <w:szCs w:val="20"/>
                <w:lang w:eastAsia="en-GB"/>
              </w:rPr>
              <w:t> </w:t>
            </w:r>
          </w:p>
        </w:tc>
      </w:tr>
      <w:tr w:rsidR="00FB2CE0" w:rsidRPr="006F68DB" w14:paraId="5CF2B443" w14:textId="77777777" w:rsidTr="00B24767">
        <w:trPr>
          <w:cnfStyle w:val="000000010000" w:firstRow="0" w:lastRow="0" w:firstColumn="0" w:lastColumn="0" w:oddVBand="0" w:evenVBand="0" w:oddHBand="0" w:evenHBand="1" w:firstRowFirstColumn="0" w:firstRowLastColumn="0" w:lastRowFirstColumn="0" w:lastRowLastColumn="0"/>
          <w:trHeight w:val="20"/>
        </w:trPr>
        <w:tc>
          <w:tcPr>
            <w:tcW w:w="648" w:type="pct"/>
            <w:vMerge/>
            <w:hideMark/>
          </w:tcPr>
          <w:p w14:paraId="6DE22812"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643" w:type="pct"/>
            <w:hideMark/>
          </w:tcPr>
          <w:p w14:paraId="18283174"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2018 </w:t>
            </w:r>
          </w:p>
        </w:tc>
        <w:tc>
          <w:tcPr>
            <w:tcW w:w="606" w:type="pct"/>
            <w:hideMark/>
          </w:tcPr>
          <w:p w14:paraId="58FDECCE"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2021 </w:t>
            </w:r>
          </w:p>
        </w:tc>
        <w:tc>
          <w:tcPr>
            <w:tcW w:w="2772" w:type="pct"/>
            <w:vMerge/>
            <w:hideMark/>
          </w:tcPr>
          <w:p w14:paraId="2072877C"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332" w:type="pct"/>
            <w:vMerge/>
            <w:hideMark/>
          </w:tcPr>
          <w:p w14:paraId="64C4620F" w14:textId="77777777" w:rsidR="000B0469" w:rsidRPr="007F63EF" w:rsidRDefault="000B0469" w:rsidP="00BD6930">
            <w:pPr>
              <w:rPr>
                <w:rFonts w:asciiTheme="minorHAnsi" w:eastAsia="Times New Roman" w:hAnsiTheme="minorHAnsi" w:cstheme="minorHAnsi"/>
                <w:color w:val="auto"/>
                <w:sz w:val="20"/>
                <w:szCs w:val="20"/>
                <w:lang w:eastAsia="en-GB"/>
              </w:rPr>
            </w:pPr>
          </w:p>
        </w:tc>
      </w:tr>
      <w:tr w:rsidR="00FB2CE0" w:rsidRPr="006F68DB" w14:paraId="4EB26C8E" w14:textId="77777777" w:rsidTr="00BB4743">
        <w:trPr>
          <w:cnfStyle w:val="000000100000" w:firstRow="0" w:lastRow="0" w:firstColumn="0" w:lastColumn="0" w:oddVBand="0" w:evenVBand="0" w:oddHBand="1" w:evenHBand="0" w:firstRowFirstColumn="0" w:firstRowLastColumn="0" w:lastRowFirstColumn="0" w:lastRowLastColumn="0"/>
          <w:trHeight w:val="20"/>
        </w:trPr>
        <w:tc>
          <w:tcPr>
            <w:tcW w:w="648" w:type="pct"/>
            <w:hideMark/>
          </w:tcPr>
          <w:p w14:paraId="65FA4DDF" w14:textId="4F3A4726"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Bangladesh </w:t>
            </w:r>
          </w:p>
        </w:tc>
        <w:tc>
          <w:tcPr>
            <w:tcW w:w="643" w:type="pct"/>
            <w:hideMark/>
          </w:tcPr>
          <w:p w14:paraId="4E8A548E" w14:textId="3F7E3B1A"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3.8</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(2020) </w:t>
            </w:r>
          </w:p>
        </w:tc>
        <w:tc>
          <w:tcPr>
            <w:tcW w:w="606" w:type="pct"/>
            <w:hideMark/>
          </w:tcPr>
          <w:p w14:paraId="2BDA9EAF" w14:textId="68AE36AD"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4.6</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(2021) </w:t>
            </w:r>
          </w:p>
        </w:tc>
        <w:tc>
          <w:tcPr>
            <w:tcW w:w="2772" w:type="pct"/>
            <w:hideMark/>
          </w:tcPr>
          <w:p w14:paraId="7D0663E8" w14:textId="56CACEEC"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 sites (67%)</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improved. 1</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 xml:space="preserve">(NRL) remained </w:t>
            </w:r>
            <w:r w:rsidR="00E829B9" w:rsidRPr="00FB2CE0">
              <w:rPr>
                <w:rFonts w:asciiTheme="minorHAnsi" w:eastAsia="Times New Roman" w:hAnsiTheme="minorHAnsi" w:cstheme="minorHAnsi"/>
                <w:sz w:val="20"/>
                <w:szCs w:val="20"/>
                <w:lang w:eastAsia="en-GB"/>
              </w:rPr>
              <w:t xml:space="preserve">the </w:t>
            </w:r>
            <w:r w:rsidRPr="00FB2CE0">
              <w:rPr>
                <w:rFonts w:asciiTheme="minorHAnsi" w:eastAsia="Times New Roman" w:hAnsiTheme="minorHAnsi" w:cstheme="minorHAnsi"/>
                <w:sz w:val="20"/>
                <w:szCs w:val="20"/>
                <w:lang w:eastAsia="en-GB"/>
              </w:rPr>
              <w:t>same.</w:t>
            </w:r>
            <w:r w:rsidR="007458AC" w:rsidRPr="00FB2CE0">
              <w:rPr>
                <w:rFonts w:asciiTheme="minorHAnsi" w:eastAsia="Times New Roman" w:hAnsiTheme="minorHAnsi" w:cstheme="minorHAnsi"/>
                <w:sz w:val="20"/>
                <w:szCs w:val="20"/>
                <w:lang w:eastAsia="en-GB"/>
              </w:rPr>
              <w:t xml:space="preserve"> </w:t>
            </w:r>
          </w:p>
        </w:tc>
        <w:tc>
          <w:tcPr>
            <w:tcW w:w="332" w:type="pct"/>
            <w:shd w:val="clear" w:color="auto" w:fill="3FB84E" w:themeFill="accent3"/>
            <w:hideMark/>
          </w:tcPr>
          <w:p w14:paraId="7933AE4B"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04BDF32D" w14:textId="77777777" w:rsidTr="00BB4743">
        <w:trPr>
          <w:cnfStyle w:val="000000010000" w:firstRow="0" w:lastRow="0" w:firstColumn="0" w:lastColumn="0" w:oddVBand="0" w:evenVBand="0" w:oddHBand="0" w:evenHBand="1" w:firstRowFirstColumn="0" w:firstRowLastColumn="0" w:lastRowFirstColumn="0" w:lastRowLastColumn="0"/>
          <w:trHeight w:val="20"/>
        </w:trPr>
        <w:tc>
          <w:tcPr>
            <w:tcW w:w="648" w:type="pct"/>
            <w:hideMark/>
          </w:tcPr>
          <w:p w14:paraId="2DFB606C" w14:textId="6523EFF3"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Bhutan </w:t>
            </w:r>
          </w:p>
        </w:tc>
        <w:tc>
          <w:tcPr>
            <w:tcW w:w="643" w:type="pct"/>
            <w:hideMark/>
          </w:tcPr>
          <w:p w14:paraId="1FAEEB19" w14:textId="7E7469B4"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(2020) </w:t>
            </w:r>
          </w:p>
        </w:tc>
        <w:tc>
          <w:tcPr>
            <w:tcW w:w="606" w:type="pct"/>
            <w:hideMark/>
          </w:tcPr>
          <w:p w14:paraId="147DEC16" w14:textId="53081CF2"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6</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(2021) </w:t>
            </w:r>
          </w:p>
        </w:tc>
        <w:tc>
          <w:tcPr>
            <w:tcW w:w="2772" w:type="pct"/>
            <w:hideMark/>
          </w:tcPr>
          <w:p w14:paraId="3DD6BED7" w14:textId="478073B5"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xml:space="preserve">4 sites (80%) improved, </w:t>
            </w:r>
            <w:r w:rsidRPr="00FB2CE0">
              <w:rPr>
                <w:rFonts w:asciiTheme="minorHAnsi" w:eastAsia="Times New Roman" w:hAnsiTheme="minorHAnsi" w:cstheme="minorHAnsi"/>
                <w:sz w:val="20"/>
                <w:szCs w:val="20"/>
                <w:lang w:val="en-US" w:eastAsia="en-GB"/>
              </w:rPr>
              <w:t xml:space="preserve">1 </w:t>
            </w:r>
            <w:r w:rsidRPr="00FB2CE0">
              <w:rPr>
                <w:rFonts w:asciiTheme="minorHAnsi" w:eastAsia="Times New Roman" w:hAnsiTheme="minorHAnsi" w:cstheme="minorHAnsi"/>
                <w:sz w:val="20"/>
                <w:szCs w:val="20"/>
                <w:lang w:eastAsia="en-GB"/>
              </w:rPr>
              <w:t xml:space="preserve">remained </w:t>
            </w:r>
            <w:r w:rsidR="00E829B9" w:rsidRPr="00FB2CE0">
              <w:rPr>
                <w:rFonts w:asciiTheme="minorHAnsi" w:eastAsia="Times New Roman" w:hAnsiTheme="minorHAnsi" w:cstheme="minorHAnsi"/>
                <w:sz w:val="20"/>
                <w:szCs w:val="20"/>
                <w:lang w:eastAsia="en-GB"/>
              </w:rPr>
              <w:t xml:space="preserve">the </w:t>
            </w:r>
            <w:r w:rsidRPr="00FB2CE0">
              <w:rPr>
                <w:rFonts w:asciiTheme="minorHAnsi" w:eastAsia="Times New Roman" w:hAnsiTheme="minorHAnsi" w:cstheme="minorHAnsi"/>
                <w:sz w:val="20"/>
                <w:szCs w:val="20"/>
                <w:lang w:eastAsia="en-GB"/>
              </w:rPr>
              <w:t>same </w:t>
            </w:r>
          </w:p>
        </w:tc>
        <w:tc>
          <w:tcPr>
            <w:tcW w:w="332" w:type="pct"/>
            <w:shd w:val="clear" w:color="auto" w:fill="3FB84E" w:themeFill="accent3"/>
            <w:hideMark/>
          </w:tcPr>
          <w:p w14:paraId="72641671"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033B8FFA" w14:textId="77777777" w:rsidTr="00BB4743">
        <w:trPr>
          <w:cnfStyle w:val="000000100000" w:firstRow="0" w:lastRow="0" w:firstColumn="0" w:lastColumn="0" w:oddVBand="0" w:evenVBand="0" w:oddHBand="1" w:evenHBand="0" w:firstRowFirstColumn="0" w:firstRowLastColumn="0" w:lastRowFirstColumn="0" w:lastRowLastColumn="0"/>
          <w:trHeight w:val="578"/>
        </w:trPr>
        <w:tc>
          <w:tcPr>
            <w:tcW w:w="648" w:type="pct"/>
            <w:hideMark/>
          </w:tcPr>
          <w:p w14:paraId="0626BE39" w14:textId="0F2B7AE4"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Ghana </w:t>
            </w:r>
          </w:p>
        </w:tc>
        <w:tc>
          <w:tcPr>
            <w:tcW w:w="643" w:type="pct"/>
            <w:hideMark/>
          </w:tcPr>
          <w:p w14:paraId="175C3F04" w14:textId="5728907E"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3.5</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(Oct 2019) </w:t>
            </w:r>
          </w:p>
        </w:tc>
        <w:tc>
          <w:tcPr>
            <w:tcW w:w="606" w:type="pct"/>
            <w:hideMark/>
          </w:tcPr>
          <w:p w14:paraId="48EA39AB" w14:textId="794B41CF"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6.5</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(July 2020) </w:t>
            </w:r>
          </w:p>
          <w:p w14:paraId="5CB33E52"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c>
          <w:tcPr>
            <w:tcW w:w="2772" w:type="pct"/>
            <w:hideMark/>
          </w:tcPr>
          <w:p w14:paraId="636AAA86" w14:textId="7C20AB9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8</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(100%) </w:t>
            </w:r>
          </w:p>
        </w:tc>
        <w:tc>
          <w:tcPr>
            <w:tcW w:w="332" w:type="pct"/>
            <w:shd w:val="clear" w:color="auto" w:fill="3FB84E" w:themeFill="accent3"/>
            <w:hideMark/>
          </w:tcPr>
          <w:p w14:paraId="0E1CD59D"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04173E81" w14:textId="77777777" w:rsidTr="00BB4743">
        <w:trPr>
          <w:cnfStyle w:val="000000010000" w:firstRow="0" w:lastRow="0" w:firstColumn="0" w:lastColumn="0" w:oddVBand="0" w:evenVBand="0" w:oddHBand="0" w:evenHBand="1" w:firstRowFirstColumn="0" w:firstRowLastColumn="0" w:lastRowFirstColumn="0" w:lastRowLastColumn="0"/>
          <w:trHeight w:val="20"/>
        </w:trPr>
        <w:tc>
          <w:tcPr>
            <w:tcW w:w="648" w:type="pct"/>
            <w:hideMark/>
          </w:tcPr>
          <w:p w14:paraId="1F0F162E" w14:textId="79088957"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Indonesia </w:t>
            </w:r>
          </w:p>
        </w:tc>
        <w:tc>
          <w:tcPr>
            <w:tcW w:w="643" w:type="pct"/>
            <w:hideMark/>
          </w:tcPr>
          <w:p w14:paraId="20D2AA92" w14:textId="4A3C1A00"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4.07</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(2020) </w:t>
            </w:r>
          </w:p>
        </w:tc>
        <w:tc>
          <w:tcPr>
            <w:tcW w:w="606" w:type="pct"/>
            <w:hideMark/>
          </w:tcPr>
          <w:p w14:paraId="4CE674EF" w14:textId="7EBE3EDF"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4.23</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(2021) </w:t>
            </w:r>
          </w:p>
        </w:tc>
        <w:tc>
          <w:tcPr>
            <w:tcW w:w="2772" w:type="pct"/>
            <w:hideMark/>
          </w:tcPr>
          <w:p w14:paraId="4020E31E" w14:textId="518C7420"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 xml:space="preserve">(18%) </w:t>
            </w:r>
            <w:r w:rsidR="00B9260B" w:rsidRPr="00FB2CE0">
              <w:rPr>
                <w:rFonts w:asciiTheme="minorHAnsi" w:eastAsia="Times New Roman" w:hAnsiTheme="minorHAnsi" w:cstheme="minorHAnsi"/>
                <w:sz w:val="20"/>
                <w:szCs w:val="20"/>
                <w:lang w:eastAsia="en-GB"/>
              </w:rPr>
              <w:t>improved,</w:t>
            </w:r>
            <w:r w:rsidRPr="00FB2CE0">
              <w:rPr>
                <w:rFonts w:asciiTheme="minorHAnsi" w:eastAsia="Times New Roman" w:hAnsiTheme="minorHAnsi" w:cstheme="minorHAnsi"/>
                <w:sz w:val="20"/>
                <w:szCs w:val="20"/>
                <w:lang w:eastAsia="en-GB"/>
              </w:rPr>
              <w:t xml:space="preserve"> 9</w:t>
            </w:r>
            <w:r w:rsidR="007458AC"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sites</w:t>
            </w:r>
            <w:r w:rsidR="00E829B9" w:rsidRPr="00FB2CE0">
              <w:rPr>
                <w:rFonts w:asciiTheme="minorHAnsi" w:eastAsia="Times New Roman" w:hAnsiTheme="minorHAnsi" w:cstheme="minorHAnsi"/>
                <w:sz w:val="20"/>
                <w:szCs w:val="20"/>
                <w:lang w:eastAsia="en-GB"/>
              </w:rPr>
              <w:t xml:space="preserve"> remained the</w:t>
            </w:r>
            <w:r w:rsidRPr="00FB2CE0">
              <w:rPr>
                <w:rFonts w:asciiTheme="minorHAnsi" w:eastAsia="Times New Roman" w:hAnsiTheme="minorHAnsi" w:cstheme="minorHAnsi"/>
                <w:sz w:val="20"/>
                <w:szCs w:val="20"/>
                <w:lang w:eastAsia="en-GB"/>
              </w:rPr>
              <w:t xml:space="preserve"> same </w:t>
            </w:r>
          </w:p>
        </w:tc>
        <w:tc>
          <w:tcPr>
            <w:tcW w:w="332" w:type="pct"/>
            <w:shd w:val="clear" w:color="auto" w:fill="FFC000"/>
            <w:hideMark/>
          </w:tcPr>
          <w:p w14:paraId="48B5DE20"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5B373C25" w14:textId="77777777" w:rsidTr="00BB4743">
        <w:trPr>
          <w:cnfStyle w:val="000000100000" w:firstRow="0" w:lastRow="0" w:firstColumn="0" w:lastColumn="0" w:oddVBand="0" w:evenVBand="0" w:oddHBand="1" w:evenHBand="0" w:firstRowFirstColumn="0" w:firstRowLastColumn="0" w:lastRowFirstColumn="0" w:lastRowLastColumn="0"/>
          <w:trHeight w:val="20"/>
        </w:trPr>
        <w:tc>
          <w:tcPr>
            <w:tcW w:w="648" w:type="pct"/>
            <w:hideMark/>
          </w:tcPr>
          <w:p w14:paraId="0AC59C47" w14:textId="5B9C1AB5"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Kenya </w:t>
            </w:r>
          </w:p>
        </w:tc>
        <w:tc>
          <w:tcPr>
            <w:tcW w:w="643" w:type="pct"/>
            <w:hideMark/>
          </w:tcPr>
          <w:p w14:paraId="5A091939"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2.12 (Jan - March 2020) </w:t>
            </w:r>
          </w:p>
        </w:tc>
        <w:tc>
          <w:tcPr>
            <w:tcW w:w="606" w:type="pct"/>
            <w:hideMark/>
          </w:tcPr>
          <w:p w14:paraId="2A1979D9"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5.5 (Apr - Jun 2021) </w:t>
            </w:r>
          </w:p>
        </w:tc>
        <w:tc>
          <w:tcPr>
            <w:tcW w:w="2772" w:type="pct"/>
            <w:hideMark/>
          </w:tcPr>
          <w:p w14:paraId="2E644104" w14:textId="31AD81F0"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8</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(100%) </w:t>
            </w:r>
          </w:p>
        </w:tc>
        <w:tc>
          <w:tcPr>
            <w:tcW w:w="332" w:type="pct"/>
            <w:shd w:val="clear" w:color="auto" w:fill="00B050"/>
            <w:hideMark/>
          </w:tcPr>
          <w:p w14:paraId="571EFF5B"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00C5A059" w14:textId="77777777" w:rsidTr="00BB4743">
        <w:trPr>
          <w:cnfStyle w:val="000000010000" w:firstRow="0" w:lastRow="0" w:firstColumn="0" w:lastColumn="0" w:oddVBand="0" w:evenVBand="0" w:oddHBand="0" w:evenHBand="1" w:firstRowFirstColumn="0" w:firstRowLastColumn="0" w:lastRowFirstColumn="0" w:lastRowLastColumn="0"/>
          <w:trHeight w:val="20"/>
        </w:trPr>
        <w:tc>
          <w:tcPr>
            <w:tcW w:w="648" w:type="pct"/>
            <w:hideMark/>
          </w:tcPr>
          <w:p w14:paraId="710B3B78" w14:textId="7D2777F2"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Laos </w:t>
            </w:r>
          </w:p>
        </w:tc>
        <w:tc>
          <w:tcPr>
            <w:tcW w:w="643" w:type="pct"/>
            <w:hideMark/>
          </w:tcPr>
          <w:p w14:paraId="56F5573D"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2.75 (Oct-Dec 19) </w:t>
            </w:r>
          </w:p>
        </w:tc>
        <w:tc>
          <w:tcPr>
            <w:tcW w:w="606" w:type="pct"/>
            <w:hideMark/>
          </w:tcPr>
          <w:p w14:paraId="1D20A7B0" w14:textId="345C3B00"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3.</w:t>
            </w:r>
            <w:r w:rsidRPr="00FB2CE0">
              <w:rPr>
                <w:rFonts w:asciiTheme="minorHAnsi" w:eastAsia="Times New Roman" w:hAnsiTheme="minorHAnsi" w:cstheme="minorHAnsi"/>
                <w:sz w:val="20"/>
                <w:szCs w:val="20"/>
                <w:lang w:val="en-US" w:eastAsia="en-GB"/>
              </w:rPr>
              <w:t>4</w:t>
            </w:r>
            <w:r w:rsidR="00634A55" w:rsidRPr="00FB2CE0">
              <w:rPr>
                <w:rFonts w:asciiTheme="minorHAnsi" w:eastAsia="Times New Roman" w:hAnsiTheme="minorHAnsi" w:cstheme="minorHAnsi"/>
                <w:sz w:val="20"/>
                <w:szCs w:val="20"/>
                <w:lang w:val="en-US" w:eastAsia="en-GB"/>
              </w:rPr>
              <w:t xml:space="preserve"> </w:t>
            </w:r>
            <w:r w:rsidRPr="00FB2CE0">
              <w:rPr>
                <w:rFonts w:asciiTheme="minorHAnsi" w:eastAsia="Times New Roman" w:hAnsiTheme="minorHAnsi" w:cstheme="minorHAnsi"/>
                <w:sz w:val="20"/>
                <w:szCs w:val="20"/>
                <w:lang w:eastAsia="en-GB"/>
              </w:rPr>
              <w:t>(Jan-Mar 2022) </w:t>
            </w:r>
          </w:p>
        </w:tc>
        <w:tc>
          <w:tcPr>
            <w:tcW w:w="2772" w:type="pct"/>
            <w:hideMark/>
          </w:tcPr>
          <w:p w14:paraId="08CDCD54" w14:textId="515031D6"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xml:space="preserve">During </w:t>
            </w:r>
            <w:r w:rsidR="00E04320" w:rsidRPr="00FB2CE0">
              <w:rPr>
                <w:rFonts w:asciiTheme="minorHAnsi" w:eastAsia="Times New Roman" w:hAnsiTheme="minorHAnsi" w:cstheme="minorHAnsi"/>
                <w:sz w:val="20"/>
                <w:szCs w:val="20"/>
                <w:lang w:eastAsia="en-GB"/>
              </w:rPr>
              <w:t>endline</w:t>
            </w:r>
            <w:r w:rsidRPr="00FB2CE0">
              <w:rPr>
                <w:rFonts w:asciiTheme="minorHAnsi" w:eastAsia="Times New Roman" w:hAnsiTheme="minorHAnsi" w:cstheme="minorHAnsi"/>
                <w:sz w:val="20"/>
                <w:szCs w:val="20"/>
                <w:lang w:eastAsia="en-GB"/>
              </w:rPr>
              <w:t>, 3 sites improved</w:t>
            </w:r>
            <w:r w:rsidRPr="00FB2CE0">
              <w:rPr>
                <w:rFonts w:asciiTheme="minorHAnsi" w:eastAsia="Times New Roman" w:hAnsiTheme="minorHAnsi" w:cstheme="minorHAnsi"/>
                <w:sz w:val="20"/>
                <w:szCs w:val="20"/>
                <w:lang w:val="en-US" w:eastAsia="en-GB"/>
              </w:rPr>
              <w:t xml:space="preserve"> from </w:t>
            </w:r>
            <w:r w:rsidRPr="00FB2CE0">
              <w:rPr>
                <w:rFonts w:asciiTheme="minorHAnsi" w:eastAsia="Times New Roman" w:hAnsiTheme="minorHAnsi" w:cstheme="minorHAnsi"/>
                <w:b/>
                <w:sz w:val="20"/>
                <w:szCs w:val="20"/>
                <w:lang w:val="en-US" w:eastAsia="en-GB"/>
              </w:rPr>
              <w:t>BL</w:t>
            </w:r>
            <w:r w:rsidRPr="00FB2CE0">
              <w:rPr>
                <w:rFonts w:asciiTheme="minorHAnsi" w:eastAsia="Times New Roman" w:hAnsiTheme="minorHAnsi" w:cstheme="minorHAnsi"/>
                <w:sz w:val="20"/>
                <w:szCs w:val="20"/>
                <w:lang w:eastAsia="en-GB"/>
              </w:rPr>
              <w:t xml:space="preserve"> and 1 site remained </w:t>
            </w:r>
            <w:r w:rsidR="00E829B9" w:rsidRPr="00FB2CE0">
              <w:rPr>
                <w:rFonts w:asciiTheme="minorHAnsi" w:eastAsia="Times New Roman" w:hAnsiTheme="minorHAnsi" w:cstheme="minorHAnsi"/>
                <w:sz w:val="20"/>
                <w:szCs w:val="20"/>
                <w:lang w:eastAsia="en-GB"/>
              </w:rPr>
              <w:t xml:space="preserve">the </w:t>
            </w:r>
            <w:r w:rsidRPr="00FB2CE0">
              <w:rPr>
                <w:rFonts w:asciiTheme="minorHAnsi" w:eastAsia="Times New Roman" w:hAnsiTheme="minorHAnsi" w:cstheme="minorHAnsi"/>
                <w:sz w:val="20"/>
                <w:szCs w:val="20"/>
                <w:lang w:eastAsia="en-GB"/>
              </w:rPr>
              <w:t>same</w:t>
            </w:r>
            <w:r w:rsidRPr="00FB2CE0">
              <w:rPr>
                <w:rFonts w:asciiTheme="minorHAnsi" w:eastAsia="Times New Roman" w:hAnsiTheme="minorHAnsi" w:cstheme="minorHAnsi"/>
                <w:sz w:val="20"/>
                <w:szCs w:val="20"/>
                <w:lang w:val="en-US" w:eastAsia="en-GB"/>
              </w:rPr>
              <w:t xml:space="preserve"> but</w:t>
            </w:r>
            <w:r w:rsidR="00E829B9" w:rsidRPr="00FB2CE0">
              <w:rPr>
                <w:rFonts w:asciiTheme="minorHAnsi" w:eastAsia="Times New Roman" w:hAnsiTheme="minorHAnsi" w:cstheme="minorHAnsi"/>
                <w:sz w:val="20"/>
                <w:szCs w:val="20"/>
                <w:lang w:val="en-US" w:eastAsia="en-GB"/>
              </w:rPr>
              <w:t xml:space="preserve"> the</w:t>
            </w:r>
            <w:r w:rsidRPr="00FB2CE0">
              <w:rPr>
                <w:rFonts w:asciiTheme="minorHAnsi" w:eastAsia="Times New Roman" w:hAnsiTheme="minorHAnsi" w:cstheme="minorHAnsi"/>
                <w:sz w:val="20"/>
                <w:szCs w:val="20"/>
                <w:lang w:val="en-US" w:eastAsia="en-GB"/>
              </w:rPr>
              <w:t xml:space="preserve"> </w:t>
            </w:r>
            <w:r w:rsidR="008C5EB9" w:rsidRPr="00FB2CE0">
              <w:rPr>
                <w:rFonts w:asciiTheme="minorHAnsi" w:eastAsia="Times New Roman" w:hAnsiTheme="minorHAnsi" w:cstheme="minorHAnsi"/>
                <w:sz w:val="20"/>
                <w:szCs w:val="20"/>
                <w:lang w:val="en-US" w:eastAsia="en-GB"/>
              </w:rPr>
              <w:t>average</w:t>
            </w:r>
            <w:r w:rsidRPr="00FB2CE0">
              <w:rPr>
                <w:rFonts w:asciiTheme="minorHAnsi" w:eastAsia="Times New Roman" w:hAnsiTheme="minorHAnsi" w:cstheme="minorHAnsi"/>
                <w:sz w:val="20"/>
                <w:szCs w:val="20"/>
                <w:lang w:val="en-US" w:eastAsia="en-GB"/>
              </w:rPr>
              <w:t xml:space="preserve"> score from 10</w:t>
            </w:r>
            <w:r w:rsidR="00634A55" w:rsidRPr="00FB2CE0">
              <w:rPr>
                <w:rFonts w:asciiTheme="minorHAnsi" w:eastAsia="Times New Roman" w:hAnsiTheme="minorHAnsi" w:cstheme="minorHAnsi"/>
                <w:sz w:val="20"/>
                <w:szCs w:val="20"/>
                <w:lang w:val="en-US" w:eastAsia="en-GB"/>
              </w:rPr>
              <w:t xml:space="preserve"> </w:t>
            </w:r>
            <w:r w:rsidRPr="00FB2CE0">
              <w:rPr>
                <w:rFonts w:asciiTheme="minorHAnsi" w:eastAsia="Times New Roman" w:hAnsiTheme="minorHAnsi" w:cstheme="minorHAnsi"/>
                <w:sz w:val="20"/>
                <w:szCs w:val="20"/>
                <w:lang w:val="en-US" w:eastAsia="en-GB"/>
              </w:rPr>
              <w:t>m</w:t>
            </w:r>
            <w:r w:rsidR="00634A55" w:rsidRPr="00FB2CE0">
              <w:rPr>
                <w:rFonts w:asciiTheme="minorHAnsi" w:eastAsia="Times New Roman" w:hAnsiTheme="minorHAnsi" w:cstheme="minorHAnsi"/>
                <w:sz w:val="20"/>
                <w:szCs w:val="20"/>
                <w:lang w:val="en-US" w:eastAsia="en-GB"/>
              </w:rPr>
              <w:t xml:space="preserve">illion </w:t>
            </w:r>
            <w:r w:rsidRPr="00FB2CE0">
              <w:rPr>
                <w:rFonts w:asciiTheme="minorHAnsi" w:eastAsia="Times New Roman" w:hAnsiTheme="minorHAnsi" w:cstheme="minorHAnsi"/>
                <w:sz w:val="20"/>
                <w:szCs w:val="20"/>
                <w:lang w:val="en-US" w:eastAsia="en-GB"/>
              </w:rPr>
              <w:t>sites</w:t>
            </w:r>
            <w:r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val="en-US" w:eastAsia="en-GB"/>
              </w:rPr>
              <w:t>(</w:t>
            </w:r>
            <w:r w:rsidRPr="00FB2CE0">
              <w:rPr>
                <w:rFonts w:asciiTheme="minorHAnsi" w:eastAsia="Times New Roman" w:hAnsiTheme="minorHAnsi" w:cstheme="minorHAnsi"/>
                <w:sz w:val="20"/>
                <w:szCs w:val="20"/>
                <w:lang w:eastAsia="en-GB"/>
              </w:rPr>
              <w:t>additional 6 sites added</w:t>
            </w:r>
            <w:r w:rsidRPr="00FB2CE0">
              <w:rPr>
                <w:rFonts w:asciiTheme="minorHAnsi" w:eastAsia="Times New Roman" w:hAnsiTheme="minorHAnsi" w:cstheme="minorHAnsi"/>
                <w:sz w:val="20"/>
                <w:szCs w:val="20"/>
                <w:lang w:val="en-US" w:eastAsia="en-GB"/>
              </w:rPr>
              <w:t>)</w:t>
            </w:r>
            <w:r w:rsidRPr="00FB2CE0">
              <w:rPr>
                <w:rFonts w:asciiTheme="minorHAnsi" w:eastAsia="Times New Roman" w:hAnsiTheme="minorHAnsi" w:cstheme="minorHAnsi"/>
                <w:sz w:val="20"/>
                <w:szCs w:val="20"/>
                <w:lang w:eastAsia="en-GB"/>
              </w:rPr>
              <w:t>. So score from BL</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 xml:space="preserve">(4) &amp; </w:t>
            </w:r>
            <w:r w:rsidR="00E71582" w:rsidRPr="00FB2CE0">
              <w:rPr>
                <w:rFonts w:asciiTheme="minorHAnsi" w:eastAsia="Times New Roman" w:hAnsiTheme="minorHAnsi" w:cstheme="minorHAnsi"/>
                <w:sz w:val="20"/>
                <w:szCs w:val="20"/>
                <w:lang w:eastAsia="en-GB"/>
              </w:rPr>
              <w:t xml:space="preserve">endline </w:t>
            </w:r>
            <w:r w:rsidRPr="00FB2CE0">
              <w:rPr>
                <w:rFonts w:asciiTheme="minorHAnsi" w:eastAsia="Times New Roman" w:hAnsiTheme="minorHAnsi" w:cstheme="minorHAnsi"/>
                <w:sz w:val="20"/>
                <w:szCs w:val="20"/>
                <w:lang w:eastAsia="en-GB"/>
              </w:rPr>
              <w:t>(10) sites </w:t>
            </w:r>
          </w:p>
        </w:tc>
        <w:tc>
          <w:tcPr>
            <w:tcW w:w="332" w:type="pct"/>
            <w:shd w:val="clear" w:color="auto" w:fill="00B050"/>
            <w:hideMark/>
          </w:tcPr>
          <w:p w14:paraId="5A4AC071"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01C585E2" w14:textId="77777777" w:rsidTr="00BB4743">
        <w:trPr>
          <w:cnfStyle w:val="000000100000" w:firstRow="0" w:lastRow="0" w:firstColumn="0" w:lastColumn="0" w:oddVBand="0" w:evenVBand="0" w:oddHBand="1" w:evenHBand="0" w:firstRowFirstColumn="0" w:firstRowLastColumn="0" w:lastRowFirstColumn="0" w:lastRowLastColumn="0"/>
          <w:trHeight w:val="20"/>
        </w:trPr>
        <w:tc>
          <w:tcPr>
            <w:tcW w:w="648" w:type="pct"/>
            <w:hideMark/>
          </w:tcPr>
          <w:p w14:paraId="38A51C06" w14:textId="78C477A6"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Nepal </w:t>
            </w:r>
          </w:p>
        </w:tc>
        <w:tc>
          <w:tcPr>
            <w:tcW w:w="643" w:type="pct"/>
            <w:hideMark/>
          </w:tcPr>
          <w:p w14:paraId="3130D3AB" w14:textId="56CA5B9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3.83</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(Aug 2019) </w:t>
            </w:r>
          </w:p>
        </w:tc>
        <w:tc>
          <w:tcPr>
            <w:tcW w:w="606" w:type="pct"/>
            <w:hideMark/>
          </w:tcPr>
          <w:p w14:paraId="393522FC"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7.13 </w:t>
            </w:r>
          </w:p>
        </w:tc>
        <w:tc>
          <w:tcPr>
            <w:tcW w:w="2772" w:type="pct"/>
            <w:hideMark/>
          </w:tcPr>
          <w:p w14:paraId="468BEB8C" w14:textId="77E106D6"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12</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(100%) </w:t>
            </w:r>
          </w:p>
        </w:tc>
        <w:tc>
          <w:tcPr>
            <w:tcW w:w="332" w:type="pct"/>
            <w:shd w:val="clear" w:color="auto" w:fill="00B050"/>
            <w:hideMark/>
          </w:tcPr>
          <w:p w14:paraId="00D83713"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15F23778" w14:textId="77777777" w:rsidTr="00BB4743">
        <w:trPr>
          <w:cnfStyle w:val="000000010000" w:firstRow="0" w:lastRow="0" w:firstColumn="0" w:lastColumn="0" w:oddVBand="0" w:evenVBand="0" w:oddHBand="0" w:evenHBand="1" w:firstRowFirstColumn="0" w:firstRowLastColumn="0" w:lastRowFirstColumn="0" w:lastRowLastColumn="0"/>
          <w:trHeight w:val="20"/>
        </w:trPr>
        <w:tc>
          <w:tcPr>
            <w:tcW w:w="648" w:type="pct"/>
            <w:hideMark/>
          </w:tcPr>
          <w:p w14:paraId="11ADE880" w14:textId="3E059E8F"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val="en-US" w:eastAsia="en-GB"/>
              </w:rPr>
              <w:t>Nigeria</w:t>
            </w:r>
            <w:r w:rsidRPr="00FB2CE0">
              <w:rPr>
                <w:rFonts w:asciiTheme="minorHAnsi" w:eastAsia="Times New Roman" w:hAnsiTheme="minorHAnsi" w:cstheme="minorHAnsi"/>
                <w:sz w:val="20"/>
                <w:szCs w:val="20"/>
                <w:lang w:eastAsia="en-GB"/>
              </w:rPr>
              <w:t> </w:t>
            </w:r>
          </w:p>
        </w:tc>
        <w:tc>
          <w:tcPr>
            <w:tcW w:w="643" w:type="pct"/>
            <w:hideMark/>
          </w:tcPr>
          <w:p w14:paraId="57BD3AB8"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4.45 </w:t>
            </w:r>
          </w:p>
        </w:tc>
        <w:tc>
          <w:tcPr>
            <w:tcW w:w="606" w:type="pct"/>
            <w:hideMark/>
          </w:tcPr>
          <w:p w14:paraId="11828997" w14:textId="2C289948"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4.63</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val="en-US" w:eastAsia="en-GB"/>
              </w:rPr>
              <w:t>(2021)</w:t>
            </w:r>
            <w:r w:rsidRPr="00FB2CE0">
              <w:rPr>
                <w:rFonts w:asciiTheme="minorHAnsi" w:eastAsia="Times New Roman" w:hAnsiTheme="minorHAnsi" w:cstheme="minorHAnsi"/>
                <w:sz w:val="20"/>
                <w:szCs w:val="20"/>
                <w:lang w:eastAsia="en-GB"/>
              </w:rPr>
              <w:t> </w:t>
            </w:r>
          </w:p>
        </w:tc>
        <w:tc>
          <w:tcPr>
            <w:tcW w:w="2772" w:type="pct"/>
            <w:hideMark/>
          </w:tcPr>
          <w:p w14:paraId="57E50E77" w14:textId="6F271C5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5</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 xml:space="preserve">(45%) sites improved from 11, 2 remained </w:t>
            </w:r>
            <w:r w:rsidR="00E829B9" w:rsidRPr="00FB2CE0">
              <w:rPr>
                <w:rFonts w:asciiTheme="minorHAnsi" w:eastAsia="Times New Roman" w:hAnsiTheme="minorHAnsi" w:cstheme="minorHAnsi"/>
                <w:sz w:val="20"/>
                <w:szCs w:val="20"/>
                <w:lang w:eastAsia="en-GB"/>
              </w:rPr>
              <w:t xml:space="preserve">the </w:t>
            </w:r>
            <w:r w:rsidRPr="00FB2CE0">
              <w:rPr>
                <w:rFonts w:asciiTheme="minorHAnsi" w:eastAsia="Times New Roman" w:hAnsiTheme="minorHAnsi" w:cstheme="minorHAnsi"/>
                <w:sz w:val="20"/>
                <w:szCs w:val="20"/>
                <w:lang w:eastAsia="en-GB"/>
              </w:rPr>
              <w:t>same, 4 dropped </w:t>
            </w:r>
          </w:p>
        </w:tc>
        <w:tc>
          <w:tcPr>
            <w:tcW w:w="332" w:type="pct"/>
            <w:shd w:val="clear" w:color="auto" w:fill="FFC000"/>
            <w:hideMark/>
          </w:tcPr>
          <w:p w14:paraId="0968D64F"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4F6E4232" w14:textId="77777777" w:rsidTr="00BB4743">
        <w:trPr>
          <w:cnfStyle w:val="000000100000" w:firstRow="0" w:lastRow="0" w:firstColumn="0" w:lastColumn="0" w:oddVBand="0" w:evenVBand="0" w:oddHBand="1" w:evenHBand="0" w:firstRowFirstColumn="0" w:firstRowLastColumn="0" w:lastRowFirstColumn="0" w:lastRowLastColumn="0"/>
          <w:trHeight w:val="20"/>
        </w:trPr>
        <w:tc>
          <w:tcPr>
            <w:tcW w:w="648" w:type="pct"/>
            <w:hideMark/>
          </w:tcPr>
          <w:p w14:paraId="0846B4DD" w14:textId="490C7AF9"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Pakistan </w:t>
            </w:r>
          </w:p>
        </w:tc>
        <w:tc>
          <w:tcPr>
            <w:tcW w:w="643" w:type="pct"/>
            <w:hideMark/>
          </w:tcPr>
          <w:p w14:paraId="1B953397" w14:textId="1C16C723"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1.18 (NR</w:t>
            </w:r>
            <w:r w:rsidR="009C182B" w:rsidRPr="00FB2CE0">
              <w:rPr>
                <w:rFonts w:asciiTheme="minorHAnsi" w:eastAsia="Times New Roman" w:hAnsiTheme="minorHAnsi" w:cstheme="minorHAnsi"/>
                <w:sz w:val="20"/>
                <w:szCs w:val="20"/>
                <w:lang w:eastAsia="en-GB"/>
              </w:rPr>
              <w:t>L</w:t>
            </w:r>
            <w:r w:rsidRPr="00FB2CE0">
              <w:rPr>
                <w:rFonts w:asciiTheme="minorHAnsi" w:eastAsia="Times New Roman" w:hAnsiTheme="minorHAnsi" w:cstheme="minorHAnsi"/>
                <w:sz w:val="20"/>
                <w:szCs w:val="20"/>
                <w:lang w:eastAsia="en-GB"/>
              </w:rPr>
              <w:t>:</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Oct-Dec 19)</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(S</w:t>
            </w:r>
            <w:r w:rsidR="009C182B" w:rsidRPr="00FB2CE0">
              <w:rPr>
                <w:rFonts w:asciiTheme="minorHAnsi" w:eastAsia="Times New Roman" w:hAnsiTheme="minorHAnsi" w:cstheme="minorHAnsi"/>
                <w:sz w:val="20"/>
                <w:szCs w:val="20"/>
                <w:lang w:eastAsia="en-GB"/>
              </w:rPr>
              <w:t xml:space="preserve">urveillance </w:t>
            </w:r>
            <w:r w:rsidRPr="00FB2CE0">
              <w:rPr>
                <w:rFonts w:asciiTheme="minorHAnsi" w:eastAsia="Times New Roman" w:hAnsiTheme="minorHAnsi" w:cstheme="minorHAnsi"/>
                <w:sz w:val="20"/>
                <w:szCs w:val="20"/>
                <w:lang w:eastAsia="en-GB"/>
              </w:rPr>
              <w:t>S</w:t>
            </w:r>
            <w:r w:rsidR="009C182B" w:rsidRPr="00FB2CE0">
              <w:rPr>
                <w:rFonts w:asciiTheme="minorHAnsi" w:eastAsia="Times New Roman" w:hAnsiTheme="minorHAnsi" w:cstheme="minorHAnsi"/>
                <w:sz w:val="20"/>
                <w:szCs w:val="20"/>
                <w:lang w:eastAsia="en-GB"/>
              </w:rPr>
              <w:t>ites</w:t>
            </w:r>
            <w:r w:rsidRPr="00FB2CE0">
              <w:rPr>
                <w:rFonts w:asciiTheme="minorHAnsi" w:eastAsia="Times New Roman" w:hAnsiTheme="minorHAnsi" w:cstheme="minorHAnsi"/>
                <w:sz w:val="20"/>
                <w:szCs w:val="20"/>
                <w:lang w:eastAsia="en-GB"/>
              </w:rPr>
              <w:t>:</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Jan to March 2021) </w:t>
            </w:r>
          </w:p>
        </w:tc>
        <w:tc>
          <w:tcPr>
            <w:tcW w:w="606" w:type="pct"/>
            <w:hideMark/>
          </w:tcPr>
          <w:p w14:paraId="45E8EF43" w14:textId="2C8D2870"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2.45</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(Jan-Mar 22) </w:t>
            </w:r>
          </w:p>
        </w:tc>
        <w:tc>
          <w:tcPr>
            <w:tcW w:w="2772" w:type="pct"/>
            <w:hideMark/>
          </w:tcPr>
          <w:p w14:paraId="142FBB27" w14:textId="070F7AE0"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8 improved (73). 3 remained</w:t>
            </w:r>
            <w:r w:rsidR="00E829B9" w:rsidRPr="00FB2CE0">
              <w:rPr>
                <w:rFonts w:asciiTheme="minorHAnsi" w:eastAsia="Times New Roman" w:hAnsiTheme="minorHAnsi" w:cstheme="minorHAnsi"/>
                <w:sz w:val="20"/>
                <w:szCs w:val="20"/>
                <w:lang w:eastAsia="en-GB"/>
              </w:rPr>
              <w:t xml:space="preserve"> the</w:t>
            </w:r>
            <w:r w:rsidRPr="00FB2CE0">
              <w:rPr>
                <w:rFonts w:asciiTheme="minorHAnsi" w:eastAsia="Times New Roman" w:hAnsiTheme="minorHAnsi" w:cstheme="minorHAnsi"/>
                <w:sz w:val="20"/>
                <w:szCs w:val="20"/>
                <w:lang w:eastAsia="en-GB"/>
              </w:rPr>
              <w:t xml:space="preserve"> same </w:t>
            </w:r>
          </w:p>
        </w:tc>
        <w:tc>
          <w:tcPr>
            <w:tcW w:w="332" w:type="pct"/>
            <w:shd w:val="clear" w:color="auto" w:fill="3FB84E" w:themeFill="accent3"/>
            <w:hideMark/>
          </w:tcPr>
          <w:p w14:paraId="062B8A88"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1D1BC588" w14:textId="77777777" w:rsidTr="00BB4743">
        <w:trPr>
          <w:cnfStyle w:val="000000010000" w:firstRow="0" w:lastRow="0" w:firstColumn="0" w:lastColumn="0" w:oddVBand="0" w:evenVBand="0" w:oddHBand="0" w:evenHBand="1" w:firstRowFirstColumn="0" w:firstRowLastColumn="0" w:lastRowFirstColumn="0" w:lastRowLastColumn="0"/>
          <w:trHeight w:val="20"/>
        </w:trPr>
        <w:tc>
          <w:tcPr>
            <w:tcW w:w="648" w:type="pct"/>
            <w:hideMark/>
          </w:tcPr>
          <w:p w14:paraId="53EE5A3F" w14:textId="082E6179"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Senegal </w:t>
            </w:r>
          </w:p>
        </w:tc>
        <w:tc>
          <w:tcPr>
            <w:tcW w:w="643" w:type="pct"/>
            <w:hideMark/>
          </w:tcPr>
          <w:p w14:paraId="7A08F3CE"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3.4 </w:t>
            </w:r>
          </w:p>
        </w:tc>
        <w:tc>
          <w:tcPr>
            <w:tcW w:w="606" w:type="pct"/>
            <w:hideMark/>
          </w:tcPr>
          <w:p w14:paraId="447E2CA2"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4.4 </w:t>
            </w:r>
          </w:p>
        </w:tc>
        <w:tc>
          <w:tcPr>
            <w:tcW w:w="2772" w:type="pct"/>
            <w:hideMark/>
          </w:tcPr>
          <w:p w14:paraId="37831400" w14:textId="46EE9DC9"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w:t>
            </w:r>
            <w:r w:rsidR="00634A55"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 xml:space="preserve">(80%) sites improved, 1 remained </w:t>
            </w:r>
            <w:r w:rsidR="00E829B9" w:rsidRPr="00FB2CE0">
              <w:rPr>
                <w:rFonts w:asciiTheme="minorHAnsi" w:eastAsia="Times New Roman" w:hAnsiTheme="minorHAnsi" w:cstheme="minorHAnsi"/>
                <w:sz w:val="20"/>
                <w:szCs w:val="20"/>
                <w:lang w:eastAsia="en-GB"/>
              </w:rPr>
              <w:t xml:space="preserve">the </w:t>
            </w:r>
            <w:r w:rsidRPr="00FB2CE0">
              <w:rPr>
                <w:rFonts w:asciiTheme="minorHAnsi" w:eastAsia="Times New Roman" w:hAnsiTheme="minorHAnsi" w:cstheme="minorHAnsi"/>
                <w:sz w:val="20"/>
                <w:szCs w:val="20"/>
                <w:lang w:eastAsia="en-GB"/>
              </w:rPr>
              <w:t>same </w:t>
            </w:r>
          </w:p>
        </w:tc>
        <w:tc>
          <w:tcPr>
            <w:tcW w:w="332" w:type="pct"/>
            <w:shd w:val="clear" w:color="auto" w:fill="3FB84E" w:themeFill="accent3"/>
            <w:hideMark/>
          </w:tcPr>
          <w:p w14:paraId="3AA312FA"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56260731" w14:textId="77777777" w:rsidTr="00BB4743">
        <w:trPr>
          <w:cnfStyle w:val="000000100000" w:firstRow="0" w:lastRow="0" w:firstColumn="0" w:lastColumn="0" w:oddVBand="0" w:evenVBand="0" w:oddHBand="1" w:evenHBand="0" w:firstRowFirstColumn="0" w:firstRowLastColumn="0" w:lastRowFirstColumn="0" w:lastRowLastColumn="0"/>
          <w:trHeight w:val="20"/>
        </w:trPr>
        <w:tc>
          <w:tcPr>
            <w:tcW w:w="648" w:type="pct"/>
            <w:hideMark/>
          </w:tcPr>
          <w:p w14:paraId="4D75BB89" w14:textId="0F721AF8"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Sierra Leone </w:t>
            </w:r>
          </w:p>
        </w:tc>
        <w:tc>
          <w:tcPr>
            <w:tcW w:w="643" w:type="pct"/>
            <w:hideMark/>
          </w:tcPr>
          <w:p w14:paraId="38A85B66" w14:textId="01EA479C"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(2020) </w:t>
            </w:r>
          </w:p>
        </w:tc>
        <w:tc>
          <w:tcPr>
            <w:tcW w:w="606" w:type="pct"/>
            <w:hideMark/>
          </w:tcPr>
          <w:p w14:paraId="2DC72FB9" w14:textId="13C9DAA8"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0</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(2022) </w:t>
            </w:r>
          </w:p>
        </w:tc>
        <w:tc>
          <w:tcPr>
            <w:tcW w:w="2772" w:type="pct"/>
            <w:hideMark/>
          </w:tcPr>
          <w:p w14:paraId="4D7E939D" w14:textId="409C7C40"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xml:space="preserve">3 sites dropped, 1 site remained </w:t>
            </w:r>
            <w:r w:rsidR="00E829B9" w:rsidRPr="00FB2CE0">
              <w:rPr>
                <w:rFonts w:asciiTheme="minorHAnsi" w:eastAsia="Times New Roman" w:hAnsiTheme="minorHAnsi" w:cstheme="minorHAnsi"/>
                <w:sz w:val="20"/>
                <w:szCs w:val="20"/>
                <w:lang w:eastAsia="en-GB"/>
              </w:rPr>
              <w:t>the same</w:t>
            </w:r>
          </w:p>
        </w:tc>
        <w:tc>
          <w:tcPr>
            <w:tcW w:w="332" w:type="pct"/>
            <w:shd w:val="clear" w:color="auto" w:fill="FF0000"/>
            <w:hideMark/>
          </w:tcPr>
          <w:p w14:paraId="0BF1CBD9"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4BB55F93" w14:textId="77777777" w:rsidTr="00BB4743">
        <w:trPr>
          <w:cnfStyle w:val="000000010000" w:firstRow="0" w:lastRow="0" w:firstColumn="0" w:lastColumn="0" w:oddVBand="0" w:evenVBand="0" w:oddHBand="0" w:evenHBand="1" w:firstRowFirstColumn="0" w:firstRowLastColumn="0" w:lastRowFirstColumn="0" w:lastRowLastColumn="0"/>
          <w:trHeight w:val="20"/>
        </w:trPr>
        <w:tc>
          <w:tcPr>
            <w:tcW w:w="648" w:type="pct"/>
            <w:hideMark/>
          </w:tcPr>
          <w:p w14:paraId="0BEEC7F5" w14:textId="2726E217"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Tanzania </w:t>
            </w:r>
          </w:p>
        </w:tc>
        <w:tc>
          <w:tcPr>
            <w:tcW w:w="643" w:type="pct"/>
            <w:hideMark/>
          </w:tcPr>
          <w:p w14:paraId="6279BDB8" w14:textId="4E57718D"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(Q3_CG1 Jan 2020) </w:t>
            </w:r>
          </w:p>
        </w:tc>
        <w:tc>
          <w:tcPr>
            <w:tcW w:w="606" w:type="pct"/>
            <w:hideMark/>
          </w:tcPr>
          <w:p w14:paraId="73703320" w14:textId="60AD0BC5"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6.66</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(CG 2 Q2</w:t>
            </w:r>
            <w:r w:rsidR="00E829B9" w:rsidRPr="00FB2CE0">
              <w:rPr>
                <w:rFonts w:asciiTheme="minorHAnsi" w:eastAsia="Times New Roman" w:hAnsiTheme="minorHAnsi" w:cstheme="minorHAnsi"/>
                <w:sz w:val="20"/>
                <w:szCs w:val="20"/>
                <w:lang w:eastAsia="en-GB"/>
              </w:rPr>
              <w:t>-</w:t>
            </w:r>
            <w:r w:rsidRPr="00FB2CE0">
              <w:rPr>
                <w:rFonts w:asciiTheme="minorHAnsi" w:eastAsia="Times New Roman" w:hAnsiTheme="minorHAnsi" w:cstheme="minorHAnsi"/>
                <w:sz w:val="20"/>
                <w:szCs w:val="20"/>
                <w:lang w:eastAsia="en-GB"/>
              </w:rPr>
              <w:t>Oct 2021) </w:t>
            </w:r>
          </w:p>
        </w:tc>
        <w:tc>
          <w:tcPr>
            <w:tcW w:w="2772" w:type="pct"/>
            <w:hideMark/>
          </w:tcPr>
          <w:p w14:paraId="3266596C" w14:textId="40DDA079"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6</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(100%) </w:t>
            </w:r>
          </w:p>
        </w:tc>
        <w:tc>
          <w:tcPr>
            <w:tcW w:w="332" w:type="pct"/>
            <w:shd w:val="clear" w:color="auto" w:fill="3FB84E" w:themeFill="accent3"/>
            <w:hideMark/>
          </w:tcPr>
          <w:p w14:paraId="1B815562"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18FA66E3" w14:textId="77777777" w:rsidTr="00BB4743">
        <w:trPr>
          <w:cnfStyle w:val="000000100000" w:firstRow="0" w:lastRow="0" w:firstColumn="0" w:lastColumn="0" w:oddVBand="0" w:evenVBand="0" w:oddHBand="1" w:evenHBand="0" w:firstRowFirstColumn="0" w:firstRowLastColumn="0" w:lastRowFirstColumn="0" w:lastRowLastColumn="0"/>
          <w:trHeight w:val="20"/>
        </w:trPr>
        <w:tc>
          <w:tcPr>
            <w:tcW w:w="648" w:type="pct"/>
            <w:hideMark/>
          </w:tcPr>
          <w:p w14:paraId="0820757B" w14:textId="6E3FD84D" w:rsidR="000B0469" w:rsidRPr="007F63EF" w:rsidRDefault="00260B8A" w:rsidP="00BD6930">
            <w:pPr>
              <w:textAlignment w:val="baseline"/>
              <w:rPr>
                <w:rFonts w:asciiTheme="minorHAnsi" w:eastAsia="Times New Roman" w:hAnsiTheme="minorHAnsi" w:cstheme="minorHAnsi"/>
                <w:color w:val="auto"/>
                <w:sz w:val="20"/>
                <w:szCs w:val="20"/>
                <w:lang w:eastAsia="en-GB"/>
              </w:rPr>
            </w:pPr>
            <w:r>
              <w:rPr>
                <w:rFonts w:asciiTheme="minorHAnsi" w:eastAsia="Times New Roman" w:hAnsiTheme="minorHAnsi" w:cstheme="minorHAnsi"/>
                <w:sz w:val="20"/>
                <w:szCs w:val="20"/>
                <w:lang w:eastAsia="en-GB"/>
              </w:rPr>
              <w:t>Timor-Leste</w:t>
            </w:r>
            <w:r w:rsidR="000B0469" w:rsidRPr="00FB2CE0">
              <w:rPr>
                <w:rFonts w:asciiTheme="minorHAnsi" w:eastAsia="Times New Roman" w:hAnsiTheme="minorHAnsi" w:cstheme="minorHAnsi"/>
                <w:sz w:val="20"/>
                <w:szCs w:val="20"/>
                <w:lang w:eastAsia="en-GB"/>
              </w:rPr>
              <w:t> </w:t>
            </w:r>
          </w:p>
        </w:tc>
        <w:tc>
          <w:tcPr>
            <w:tcW w:w="643" w:type="pct"/>
            <w:hideMark/>
          </w:tcPr>
          <w:p w14:paraId="60479273" w14:textId="399C2CF8"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0</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(2019) </w:t>
            </w:r>
          </w:p>
        </w:tc>
        <w:tc>
          <w:tcPr>
            <w:tcW w:w="606" w:type="pct"/>
            <w:hideMark/>
          </w:tcPr>
          <w:p w14:paraId="34CA2A68" w14:textId="377604E1"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7.14</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(2022) </w:t>
            </w:r>
          </w:p>
        </w:tc>
        <w:tc>
          <w:tcPr>
            <w:tcW w:w="2772" w:type="pct"/>
            <w:hideMark/>
          </w:tcPr>
          <w:p w14:paraId="4AC9AF72"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7(100%) improved </w:t>
            </w:r>
          </w:p>
        </w:tc>
        <w:tc>
          <w:tcPr>
            <w:tcW w:w="332" w:type="pct"/>
            <w:shd w:val="clear" w:color="auto" w:fill="3FB84E" w:themeFill="accent3"/>
            <w:hideMark/>
          </w:tcPr>
          <w:p w14:paraId="365C962F"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653BD578" w14:textId="77777777" w:rsidTr="00BB4743">
        <w:trPr>
          <w:cnfStyle w:val="000000010000" w:firstRow="0" w:lastRow="0" w:firstColumn="0" w:lastColumn="0" w:oddVBand="0" w:evenVBand="0" w:oddHBand="0" w:evenHBand="1" w:firstRowFirstColumn="0" w:firstRowLastColumn="0" w:lastRowFirstColumn="0" w:lastRowLastColumn="0"/>
          <w:trHeight w:val="20"/>
        </w:trPr>
        <w:tc>
          <w:tcPr>
            <w:tcW w:w="648" w:type="pct"/>
            <w:hideMark/>
          </w:tcPr>
          <w:p w14:paraId="5949D5D3" w14:textId="78ED289F"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Uganda </w:t>
            </w:r>
          </w:p>
        </w:tc>
        <w:tc>
          <w:tcPr>
            <w:tcW w:w="643" w:type="pct"/>
            <w:hideMark/>
          </w:tcPr>
          <w:p w14:paraId="009CE4CF" w14:textId="45A5FCF6"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6.43</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(2019 Q4_QR) </w:t>
            </w:r>
          </w:p>
        </w:tc>
        <w:tc>
          <w:tcPr>
            <w:tcW w:w="606" w:type="pct"/>
            <w:hideMark/>
          </w:tcPr>
          <w:p w14:paraId="1E0294EB" w14:textId="747AF02B"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val="en-US" w:eastAsia="en-GB"/>
              </w:rPr>
              <w:t>5</w:t>
            </w:r>
            <w:r w:rsidR="00E829B9" w:rsidRPr="00FB2CE0">
              <w:rPr>
                <w:rFonts w:asciiTheme="minorHAnsi" w:eastAsia="Times New Roman" w:hAnsiTheme="minorHAnsi" w:cstheme="minorHAnsi"/>
                <w:sz w:val="20"/>
                <w:szCs w:val="20"/>
                <w:lang w:val="en-US" w:eastAsia="en-GB"/>
              </w:rPr>
              <w:t xml:space="preserve"> </w:t>
            </w:r>
            <w:r w:rsidRPr="00FB2CE0">
              <w:rPr>
                <w:rFonts w:asciiTheme="minorHAnsi" w:eastAsia="Times New Roman" w:hAnsiTheme="minorHAnsi" w:cstheme="minorHAnsi"/>
                <w:sz w:val="20"/>
                <w:szCs w:val="20"/>
                <w:lang w:eastAsia="en-GB"/>
              </w:rPr>
              <w:t>(2022 QR_Q6) </w:t>
            </w:r>
          </w:p>
        </w:tc>
        <w:tc>
          <w:tcPr>
            <w:tcW w:w="2772" w:type="pct"/>
            <w:hideMark/>
          </w:tcPr>
          <w:p w14:paraId="6417CC4B" w14:textId="69A965D2"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xml:space="preserve">Among 7, </w:t>
            </w:r>
            <w:r w:rsidRPr="00FB2CE0">
              <w:rPr>
                <w:rFonts w:asciiTheme="minorHAnsi" w:eastAsia="Times New Roman" w:hAnsiTheme="minorHAnsi" w:cstheme="minorHAnsi"/>
                <w:sz w:val="20"/>
                <w:szCs w:val="20"/>
                <w:lang w:val="en-US" w:eastAsia="en-GB"/>
              </w:rPr>
              <w:t>1</w:t>
            </w:r>
            <w:r w:rsidRPr="00FB2CE0">
              <w:rPr>
                <w:rFonts w:asciiTheme="minorHAnsi" w:eastAsia="Times New Roman" w:hAnsiTheme="minorHAnsi" w:cstheme="minorHAnsi"/>
                <w:sz w:val="20"/>
                <w:szCs w:val="20"/>
                <w:lang w:eastAsia="en-GB"/>
              </w:rPr>
              <w:t xml:space="preserve"> site improved, </w:t>
            </w:r>
            <w:r w:rsidRPr="00FB2CE0">
              <w:rPr>
                <w:rFonts w:asciiTheme="minorHAnsi" w:eastAsia="Times New Roman" w:hAnsiTheme="minorHAnsi" w:cstheme="minorHAnsi"/>
                <w:sz w:val="20"/>
                <w:szCs w:val="20"/>
                <w:lang w:val="en-US" w:eastAsia="en-GB"/>
              </w:rPr>
              <w:t xml:space="preserve">2 </w:t>
            </w:r>
            <w:r w:rsidRPr="00FB2CE0">
              <w:rPr>
                <w:rFonts w:asciiTheme="minorHAnsi" w:eastAsia="Times New Roman" w:hAnsiTheme="minorHAnsi" w:cstheme="minorHAnsi"/>
                <w:sz w:val="20"/>
                <w:szCs w:val="20"/>
                <w:lang w:eastAsia="en-GB"/>
              </w:rPr>
              <w:t xml:space="preserve">remained same </w:t>
            </w:r>
            <w:r w:rsidR="00E829B9" w:rsidRPr="00FB2CE0">
              <w:rPr>
                <w:rFonts w:asciiTheme="minorHAnsi" w:eastAsia="Times New Roman" w:hAnsiTheme="minorHAnsi" w:cstheme="minorHAnsi"/>
                <w:sz w:val="20"/>
                <w:szCs w:val="20"/>
                <w:lang w:eastAsia="en-GB"/>
              </w:rPr>
              <w:t xml:space="preserve">and </w:t>
            </w:r>
            <w:r w:rsidRPr="00FB2CE0">
              <w:rPr>
                <w:rFonts w:asciiTheme="minorHAnsi" w:eastAsia="Times New Roman" w:hAnsiTheme="minorHAnsi" w:cstheme="minorHAnsi"/>
                <w:sz w:val="20"/>
                <w:szCs w:val="20"/>
                <w:lang w:val="en-US" w:eastAsia="en-GB"/>
              </w:rPr>
              <w:t xml:space="preserve">4 </w:t>
            </w:r>
            <w:r w:rsidRPr="00FB2CE0">
              <w:rPr>
                <w:rFonts w:asciiTheme="minorHAnsi" w:eastAsia="Times New Roman" w:hAnsiTheme="minorHAnsi" w:cstheme="minorHAnsi"/>
                <w:sz w:val="20"/>
                <w:szCs w:val="20"/>
                <w:lang w:eastAsia="en-GB"/>
              </w:rPr>
              <w:t>sites’ score declined </w:t>
            </w:r>
          </w:p>
        </w:tc>
        <w:tc>
          <w:tcPr>
            <w:tcW w:w="332" w:type="pct"/>
            <w:shd w:val="clear" w:color="auto" w:fill="FF0000"/>
            <w:hideMark/>
          </w:tcPr>
          <w:p w14:paraId="0005452F"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1D30CC7C" w14:textId="77777777" w:rsidTr="00BB4743">
        <w:trPr>
          <w:cnfStyle w:val="000000100000" w:firstRow="0" w:lastRow="0" w:firstColumn="0" w:lastColumn="0" w:oddVBand="0" w:evenVBand="0" w:oddHBand="1" w:evenHBand="0" w:firstRowFirstColumn="0" w:firstRowLastColumn="0" w:lastRowFirstColumn="0" w:lastRowLastColumn="0"/>
          <w:trHeight w:val="20"/>
        </w:trPr>
        <w:tc>
          <w:tcPr>
            <w:tcW w:w="648" w:type="pct"/>
            <w:hideMark/>
          </w:tcPr>
          <w:p w14:paraId="43793BAE" w14:textId="4E171645"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Vietnam </w:t>
            </w:r>
          </w:p>
        </w:tc>
        <w:tc>
          <w:tcPr>
            <w:tcW w:w="643" w:type="pct"/>
            <w:hideMark/>
          </w:tcPr>
          <w:p w14:paraId="1CF356CF" w14:textId="2B5CA918"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4.4</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(2019) </w:t>
            </w:r>
          </w:p>
        </w:tc>
        <w:tc>
          <w:tcPr>
            <w:tcW w:w="606" w:type="pct"/>
            <w:hideMark/>
          </w:tcPr>
          <w:p w14:paraId="3E55F973" w14:textId="1CCFC0C8"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6.65</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(2021) </w:t>
            </w:r>
          </w:p>
        </w:tc>
        <w:tc>
          <w:tcPr>
            <w:tcW w:w="2772" w:type="pct"/>
            <w:hideMark/>
          </w:tcPr>
          <w:p w14:paraId="034F77BD" w14:textId="6664A483"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19</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(95%) improved, one remained same </w:t>
            </w:r>
          </w:p>
        </w:tc>
        <w:tc>
          <w:tcPr>
            <w:tcW w:w="332" w:type="pct"/>
            <w:shd w:val="clear" w:color="auto" w:fill="3FB84E" w:themeFill="accent3"/>
            <w:hideMark/>
          </w:tcPr>
          <w:p w14:paraId="1AB141AA"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50BCE96C" w14:textId="77777777" w:rsidTr="00BB4743">
        <w:trPr>
          <w:cnfStyle w:val="000000010000" w:firstRow="0" w:lastRow="0" w:firstColumn="0" w:lastColumn="0" w:oddVBand="0" w:evenVBand="0" w:oddHBand="0" w:evenHBand="1" w:firstRowFirstColumn="0" w:firstRowLastColumn="0" w:lastRowFirstColumn="0" w:lastRowLastColumn="0"/>
          <w:trHeight w:val="20"/>
        </w:trPr>
        <w:tc>
          <w:tcPr>
            <w:tcW w:w="648" w:type="pct"/>
            <w:hideMark/>
          </w:tcPr>
          <w:p w14:paraId="74218497" w14:textId="297EE76E" w:rsidR="000B0469" w:rsidRPr="007F63EF" w:rsidRDefault="000B0469"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Zambia </w:t>
            </w:r>
          </w:p>
        </w:tc>
        <w:tc>
          <w:tcPr>
            <w:tcW w:w="643" w:type="pct"/>
            <w:hideMark/>
          </w:tcPr>
          <w:p w14:paraId="44E88300" w14:textId="123CA065"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val="en-US" w:eastAsia="en-GB"/>
              </w:rPr>
              <w:t>4.71</w:t>
            </w:r>
            <w:r w:rsidR="00E829B9" w:rsidRPr="00FB2CE0">
              <w:rPr>
                <w:rFonts w:asciiTheme="minorHAnsi" w:eastAsia="Times New Roman" w:hAnsiTheme="minorHAnsi" w:cstheme="minorHAnsi"/>
                <w:sz w:val="20"/>
                <w:szCs w:val="20"/>
                <w:lang w:val="en-US" w:eastAsia="en-GB"/>
              </w:rPr>
              <w:t xml:space="preserve"> </w:t>
            </w:r>
            <w:r w:rsidRPr="00FB2CE0">
              <w:rPr>
                <w:rFonts w:asciiTheme="minorHAnsi" w:eastAsia="Times New Roman" w:hAnsiTheme="minorHAnsi" w:cstheme="minorHAnsi"/>
                <w:sz w:val="20"/>
                <w:szCs w:val="20"/>
                <w:lang w:eastAsia="en-GB"/>
              </w:rPr>
              <w:t>(Q2_ Jan-March 2020) </w:t>
            </w:r>
          </w:p>
        </w:tc>
        <w:tc>
          <w:tcPr>
            <w:tcW w:w="606" w:type="pct"/>
            <w:hideMark/>
          </w:tcPr>
          <w:p w14:paraId="26F67171" w14:textId="692381EF"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val="en-US" w:eastAsia="en-GB"/>
              </w:rPr>
              <w:t>5.42</w:t>
            </w:r>
            <w:r w:rsidR="00E829B9" w:rsidRPr="00FB2CE0">
              <w:rPr>
                <w:rFonts w:asciiTheme="minorHAnsi" w:eastAsia="Times New Roman" w:hAnsiTheme="minorHAnsi" w:cstheme="minorHAnsi"/>
                <w:sz w:val="20"/>
                <w:szCs w:val="20"/>
                <w:lang w:val="en-US" w:eastAsia="en-GB"/>
              </w:rPr>
              <w:t xml:space="preserve"> </w:t>
            </w:r>
            <w:r w:rsidRPr="00FB2CE0">
              <w:rPr>
                <w:rFonts w:asciiTheme="minorHAnsi" w:eastAsia="Times New Roman" w:hAnsiTheme="minorHAnsi" w:cstheme="minorHAnsi"/>
                <w:sz w:val="20"/>
                <w:szCs w:val="20"/>
                <w:lang w:eastAsia="en-GB"/>
              </w:rPr>
              <w:t>(Q8_ April-June 2021) </w:t>
            </w:r>
          </w:p>
        </w:tc>
        <w:tc>
          <w:tcPr>
            <w:tcW w:w="2772" w:type="pct"/>
            <w:hideMark/>
          </w:tcPr>
          <w:p w14:paraId="576AB8BE" w14:textId="2E7857B5"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3</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(42.85%) improved. Among 7, only three sites improved and four site</w:t>
            </w:r>
            <w:r w:rsidR="00E829B9" w:rsidRPr="00FB2CE0">
              <w:rPr>
                <w:rFonts w:asciiTheme="minorHAnsi" w:eastAsia="Times New Roman" w:hAnsiTheme="minorHAnsi" w:cstheme="minorHAnsi"/>
                <w:sz w:val="20"/>
                <w:szCs w:val="20"/>
                <w:lang w:eastAsia="en-GB"/>
              </w:rPr>
              <w:t>s</w:t>
            </w:r>
            <w:r w:rsidRPr="00FB2CE0">
              <w:rPr>
                <w:rFonts w:asciiTheme="minorHAnsi" w:eastAsia="Times New Roman" w:hAnsiTheme="minorHAnsi" w:cstheme="minorHAnsi"/>
                <w:sz w:val="20"/>
                <w:szCs w:val="20"/>
                <w:lang w:eastAsia="en-GB"/>
              </w:rPr>
              <w:t>’ score decreased</w:t>
            </w:r>
            <w:r w:rsidR="007458AC" w:rsidRPr="00FB2CE0">
              <w:rPr>
                <w:rFonts w:asciiTheme="minorHAnsi" w:eastAsia="Times New Roman" w:hAnsiTheme="minorHAnsi" w:cstheme="minorHAnsi"/>
                <w:sz w:val="20"/>
                <w:szCs w:val="20"/>
                <w:lang w:eastAsia="en-GB"/>
              </w:rPr>
              <w:t xml:space="preserve"> </w:t>
            </w:r>
          </w:p>
        </w:tc>
        <w:tc>
          <w:tcPr>
            <w:tcW w:w="332" w:type="pct"/>
            <w:shd w:val="clear" w:color="auto" w:fill="FF0000"/>
            <w:hideMark/>
          </w:tcPr>
          <w:p w14:paraId="343E2FCF"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bl>
    <w:p w14:paraId="7A53AA2D" w14:textId="3B1F592C" w:rsidR="000B0469" w:rsidRDefault="000B0469" w:rsidP="000B0469"/>
    <w:p w14:paraId="3CACB165" w14:textId="15895BBC" w:rsidR="00634A55" w:rsidRDefault="00634A55" w:rsidP="000B0469"/>
    <w:p w14:paraId="5190EA6D" w14:textId="77777777" w:rsidR="00634A55" w:rsidRDefault="00634A55" w:rsidP="000B0469"/>
    <w:p w14:paraId="76AA2464" w14:textId="1C1AF4F1" w:rsidR="005A416C" w:rsidRDefault="005A416C" w:rsidP="00C04C3C">
      <w:pPr>
        <w:pStyle w:val="ItadCaption"/>
      </w:pPr>
      <w:bookmarkStart w:id="243" w:name="_Ref119934476"/>
      <w:bookmarkStart w:id="244" w:name="_Ref119934470"/>
      <w:bookmarkStart w:id="245" w:name="_Toc143857903"/>
      <w:r>
        <w:t xml:space="preserve">Table </w:t>
      </w:r>
      <w:r>
        <w:fldChar w:fldCharType="begin"/>
      </w:r>
      <w:r>
        <w:instrText>SEQ Table \* ARABIC</w:instrText>
      </w:r>
      <w:r>
        <w:fldChar w:fldCharType="separate"/>
      </w:r>
      <w:r w:rsidR="009A383C">
        <w:rPr>
          <w:noProof/>
        </w:rPr>
        <w:t>35</w:t>
      </w:r>
      <w:r>
        <w:fldChar w:fldCharType="end"/>
      </w:r>
      <w:bookmarkEnd w:id="243"/>
      <w:r>
        <w:t xml:space="preserve"> </w:t>
      </w:r>
      <w:r w:rsidRPr="00381F23">
        <w:t>Changes in quality of AMR data (</w:t>
      </w:r>
      <w:r>
        <w:t xml:space="preserve">Animal </w:t>
      </w:r>
      <w:r w:rsidRPr="00381F23">
        <w:t>Health)</w:t>
      </w:r>
      <w:bookmarkEnd w:id="244"/>
      <w:bookmarkEnd w:id="245"/>
    </w:p>
    <w:tbl>
      <w:tblPr>
        <w:tblStyle w:val="Itadalternaterows"/>
        <w:tblW w:w="5000" w:type="pct"/>
        <w:tblInd w:w="0" w:type="dxa"/>
        <w:tblLook w:val="04A0" w:firstRow="1" w:lastRow="0" w:firstColumn="1" w:lastColumn="0" w:noHBand="0" w:noVBand="1"/>
      </w:tblPr>
      <w:tblGrid>
        <w:gridCol w:w="1221"/>
        <w:gridCol w:w="1133"/>
        <w:gridCol w:w="1131"/>
        <w:gridCol w:w="5340"/>
        <w:gridCol w:w="683"/>
      </w:tblGrid>
      <w:tr w:rsidR="00FB2CE0" w:rsidRPr="006F68DB" w14:paraId="4BFCEF3E" w14:textId="77777777" w:rsidTr="00BB4743">
        <w:trPr>
          <w:cnfStyle w:val="100000000000" w:firstRow="1" w:lastRow="0" w:firstColumn="0" w:lastColumn="0" w:oddVBand="0" w:evenVBand="0" w:oddHBand="0" w:evenHBand="0" w:firstRowFirstColumn="0" w:firstRowLastColumn="0" w:lastRowFirstColumn="0" w:lastRowLastColumn="0"/>
          <w:trHeight w:val="20"/>
        </w:trPr>
        <w:tc>
          <w:tcPr>
            <w:tcW w:w="642" w:type="pct"/>
            <w:vMerge w:val="restart"/>
            <w:hideMark/>
          </w:tcPr>
          <w:p w14:paraId="76B4674C" w14:textId="77777777" w:rsidR="000B0469" w:rsidRPr="007F63EF" w:rsidRDefault="000B0469" w:rsidP="00BD6930">
            <w:pPr>
              <w:jc w:val="center"/>
              <w:textAlignment w:val="baseline"/>
              <w:rPr>
                <w:rFonts w:asciiTheme="minorHAnsi" w:eastAsia="Times New Roman" w:hAnsiTheme="minorHAnsi" w:cstheme="minorHAnsi"/>
                <w:b/>
                <w:bCs/>
                <w:color w:val="auto"/>
                <w:sz w:val="20"/>
                <w:szCs w:val="20"/>
                <w:lang w:eastAsia="en-GB"/>
              </w:rPr>
            </w:pPr>
            <w:r w:rsidRPr="00FB2CE0">
              <w:rPr>
                <w:rFonts w:asciiTheme="minorHAnsi" w:eastAsia="Times New Roman" w:hAnsiTheme="minorHAnsi" w:cstheme="minorHAnsi"/>
                <w:b/>
                <w:bCs/>
                <w:sz w:val="20"/>
                <w:szCs w:val="20"/>
                <w:lang w:eastAsia="en-GB"/>
              </w:rPr>
              <w:t>Country Name </w:t>
            </w:r>
          </w:p>
        </w:tc>
        <w:tc>
          <w:tcPr>
            <w:tcW w:w="4358" w:type="pct"/>
            <w:gridSpan w:val="4"/>
            <w:hideMark/>
          </w:tcPr>
          <w:p w14:paraId="01EBBEA2" w14:textId="77777777" w:rsidR="000B0469" w:rsidRPr="007F63EF" w:rsidRDefault="000B0469" w:rsidP="00BD6930">
            <w:pPr>
              <w:jc w:val="center"/>
              <w:textAlignment w:val="baseline"/>
              <w:rPr>
                <w:rFonts w:asciiTheme="minorHAnsi" w:eastAsia="Times New Roman" w:hAnsiTheme="minorHAnsi" w:cstheme="minorHAnsi"/>
                <w:b/>
                <w:bCs/>
                <w:color w:val="auto"/>
                <w:sz w:val="20"/>
                <w:szCs w:val="20"/>
                <w:lang w:eastAsia="en-GB"/>
              </w:rPr>
            </w:pPr>
            <w:r w:rsidRPr="00FB2CE0">
              <w:rPr>
                <w:rFonts w:asciiTheme="minorHAnsi" w:eastAsia="Times New Roman" w:hAnsiTheme="minorHAnsi" w:cstheme="minorHAnsi"/>
                <w:b/>
                <w:bCs/>
                <w:sz w:val="20"/>
                <w:szCs w:val="20"/>
                <w:lang w:eastAsia="en-GB"/>
              </w:rPr>
              <w:t>Animal Health </w:t>
            </w:r>
          </w:p>
        </w:tc>
      </w:tr>
      <w:tr w:rsidR="00FB2CE0" w:rsidRPr="006F68DB" w14:paraId="061DDD69" w14:textId="77777777" w:rsidTr="00A73099">
        <w:trPr>
          <w:cnfStyle w:val="000000100000" w:firstRow="0" w:lastRow="0" w:firstColumn="0" w:lastColumn="0" w:oddVBand="0" w:evenVBand="0" w:oddHBand="1" w:evenHBand="0" w:firstRowFirstColumn="0" w:firstRowLastColumn="0" w:lastRowFirstColumn="0" w:lastRowLastColumn="0"/>
          <w:trHeight w:val="275"/>
        </w:trPr>
        <w:tc>
          <w:tcPr>
            <w:tcW w:w="642" w:type="pct"/>
            <w:vMerge/>
            <w:hideMark/>
          </w:tcPr>
          <w:p w14:paraId="417305AD"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1191" w:type="pct"/>
            <w:gridSpan w:val="2"/>
            <w:hideMark/>
          </w:tcPr>
          <w:p w14:paraId="74AD9AC1" w14:textId="47761177" w:rsidR="000B0469" w:rsidRPr="007F63EF" w:rsidRDefault="00190404"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Average Quality Score </w:t>
            </w:r>
          </w:p>
        </w:tc>
        <w:tc>
          <w:tcPr>
            <w:tcW w:w="2808" w:type="pct"/>
            <w:hideMark/>
          </w:tcPr>
          <w:p w14:paraId="4316E74F"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Number (%) of site</w:t>
            </w:r>
            <w:r w:rsidRPr="00FB2CE0">
              <w:rPr>
                <w:rFonts w:asciiTheme="minorHAnsi" w:eastAsia="Times New Roman" w:hAnsiTheme="minorHAnsi" w:cstheme="minorHAnsi"/>
                <w:sz w:val="20"/>
                <w:szCs w:val="20"/>
                <w:u w:val="single"/>
                <w:lang w:eastAsia="en-GB"/>
              </w:rPr>
              <w:t>s</w:t>
            </w:r>
            <w:r w:rsidRPr="00FB2CE0">
              <w:rPr>
                <w:rFonts w:asciiTheme="minorHAnsi" w:eastAsia="Times New Roman" w:hAnsiTheme="minorHAnsi" w:cstheme="minorHAnsi"/>
                <w:sz w:val="20"/>
                <w:szCs w:val="20"/>
                <w:lang w:eastAsia="en-GB"/>
              </w:rPr>
              <w:t xml:space="preserve"> improving from baseline to endline </w:t>
            </w:r>
          </w:p>
        </w:tc>
        <w:tc>
          <w:tcPr>
            <w:tcW w:w="359" w:type="pct"/>
            <w:vMerge w:val="restart"/>
            <w:hideMark/>
          </w:tcPr>
          <w:p w14:paraId="60B48BA7"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p w14:paraId="095E6A3A"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u w:val="single"/>
                <w:lang w:eastAsia="en-GB"/>
              </w:rPr>
              <w:t>RAG</w:t>
            </w:r>
            <w:r w:rsidRPr="00FB2CE0">
              <w:rPr>
                <w:rFonts w:asciiTheme="minorHAnsi" w:eastAsia="Times New Roman" w:hAnsiTheme="minorHAnsi" w:cstheme="minorHAnsi"/>
                <w:sz w:val="20"/>
                <w:szCs w:val="20"/>
                <w:lang w:eastAsia="en-GB"/>
              </w:rPr>
              <w:t> </w:t>
            </w:r>
          </w:p>
        </w:tc>
      </w:tr>
      <w:tr w:rsidR="00FB2CE0" w:rsidRPr="006F68DB" w14:paraId="3EE8B913" w14:textId="77777777" w:rsidTr="00A73099">
        <w:trPr>
          <w:cnfStyle w:val="000000010000" w:firstRow="0" w:lastRow="0" w:firstColumn="0" w:lastColumn="0" w:oddVBand="0" w:evenVBand="0" w:oddHBand="0" w:evenHBand="1" w:firstRowFirstColumn="0" w:firstRowLastColumn="0" w:lastRowFirstColumn="0" w:lastRowLastColumn="0"/>
          <w:trHeight w:val="20"/>
        </w:trPr>
        <w:tc>
          <w:tcPr>
            <w:tcW w:w="642" w:type="pct"/>
            <w:vMerge/>
            <w:hideMark/>
          </w:tcPr>
          <w:p w14:paraId="42C3AA4F" w14:textId="77777777" w:rsidR="000B0469" w:rsidRPr="007F63EF" w:rsidRDefault="000B0469" w:rsidP="00BD6930">
            <w:pPr>
              <w:rPr>
                <w:rFonts w:asciiTheme="minorHAnsi" w:eastAsia="Times New Roman" w:hAnsiTheme="minorHAnsi" w:cstheme="minorHAnsi"/>
                <w:color w:val="auto"/>
                <w:sz w:val="20"/>
                <w:szCs w:val="20"/>
                <w:lang w:eastAsia="en-GB"/>
              </w:rPr>
            </w:pPr>
          </w:p>
        </w:tc>
        <w:tc>
          <w:tcPr>
            <w:tcW w:w="596" w:type="pct"/>
            <w:hideMark/>
          </w:tcPr>
          <w:p w14:paraId="67697622"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2018 </w:t>
            </w:r>
          </w:p>
        </w:tc>
        <w:tc>
          <w:tcPr>
            <w:tcW w:w="595" w:type="pct"/>
            <w:hideMark/>
          </w:tcPr>
          <w:p w14:paraId="53E5E399"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2021 </w:t>
            </w:r>
          </w:p>
        </w:tc>
        <w:tc>
          <w:tcPr>
            <w:tcW w:w="2808" w:type="pct"/>
            <w:hideMark/>
          </w:tcPr>
          <w:p w14:paraId="355937FA"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RAG </w:t>
            </w:r>
          </w:p>
        </w:tc>
        <w:tc>
          <w:tcPr>
            <w:tcW w:w="359" w:type="pct"/>
            <w:vMerge/>
            <w:hideMark/>
          </w:tcPr>
          <w:p w14:paraId="3AC55207" w14:textId="77777777" w:rsidR="000B0469" w:rsidRPr="007F63EF" w:rsidRDefault="000B0469" w:rsidP="00BD6930">
            <w:pPr>
              <w:rPr>
                <w:rFonts w:asciiTheme="minorHAnsi" w:eastAsia="Times New Roman" w:hAnsiTheme="minorHAnsi" w:cstheme="minorHAnsi"/>
                <w:color w:val="auto"/>
                <w:sz w:val="20"/>
                <w:szCs w:val="20"/>
                <w:lang w:eastAsia="en-GB"/>
              </w:rPr>
            </w:pPr>
          </w:p>
        </w:tc>
      </w:tr>
      <w:tr w:rsidR="00FB2CE0" w:rsidRPr="006F68DB" w14:paraId="3688A6E5" w14:textId="77777777" w:rsidTr="00A73099">
        <w:trPr>
          <w:cnfStyle w:val="000000100000" w:firstRow="0" w:lastRow="0" w:firstColumn="0" w:lastColumn="0" w:oddVBand="0" w:evenVBand="0" w:oddHBand="1" w:evenHBand="0" w:firstRowFirstColumn="0" w:firstRowLastColumn="0" w:lastRowFirstColumn="0" w:lastRowLastColumn="0"/>
          <w:trHeight w:val="264"/>
        </w:trPr>
        <w:tc>
          <w:tcPr>
            <w:tcW w:w="642" w:type="pct"/>
            <w:hideMark/>
          </w:tcPr>
          <w:p w14:paraId="0110E247" w14:textId="3E9ADD82"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Bangladesh </w:t>
            </w:r>
          </w:p>
        </w:tc>
        <w:tc>
          <w:tcPr>
            <w:tcW w:w="596" w:type="pct"/>
            <w:hideMark/>
          </w:tcPr>
          <w:p w14:paraId="7FC55F22"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2 </w:t>
            </w:r>
          </w:p>
        </w:tc>
        <w:tc>
          <w:tcPr>
            <w:tcW w:w="595" w:type="pct"/>
            <w:hideMark/>
          </w:tcPr>
          <w:p w14:paraId="51DF9509"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4 </w:t>
            </w:r>
          </w:p>
        </w:tc>
        <w:tc>
          <w:tcPr>
            <w:tcW w:w="2808" w:type="pct"/>
            <w:hideMark/>
          </w:tcPr>
          <w:p w14:paraId="09655F0D" w14:textId="605B1D3D"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 site (100%)</w:t>
            </w:r>
            <w:r w:rsidR="007458AC" w:rsidRPr="00FB2CE0">
              <w:rPr>
                <w:rFonts w:asciiTheme="minorHAnsi" w:eastAsia="Times New Roman" w:hAnsiTheme="minorHAnsi" w:cstheme="minorHAnsi"/>
                <w:sz w:val="20"/>
                <w:szCs w:val="20"/>
                <w:lang w:eastAsia="en-GB"/>
              </w:rPr>
              <w:t xml:space="preserve"> </w:t>
            </w:r>
          </w:p>
        </w:tc>
        <w:tc>
          <w:tcPr>
            <w:tcW w:w="359" w:type="pct"/>
            <w:shd w:val="clear" w:color="auto" w:fill="3FB84E" w:themeFill="accent3"/>
            <w:hideMark/>
          </w:tcPr>
          <w:p w14:paraId="10FC34F7"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5C735884" w14:textId="77777777" w:rsidTr="00A73099">
        <w:trPr>
          <w:cnfStyle w:val="000000010000" w:firstRow="0" w:lastRow="0" w:firstColumn="0" w:lastColumn="0" w:oddVBand="0" w:evenVBand="0" w:oddHBand="0" w:evenHBand="1" w:firstRowFirstColumn="0" w:firstRowLastColumn="0" w:lastRowFirstColumn="0" w:lastRowLastColumn="0"/>
          <w:trHeight w:val="20"/>
        </w:trPr>
        <w:tc>
          <w:tcPr>
            <w:tcW w:w="642" w:type="pct"/>
            <w:hideMark/>
          </w:tcPr>
          <w:p w14:paraId="33777DC1" w14:textId="1F94C1B9"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Bhutan </w:t>
            </w:r>
          </w:p>
        </w:tc>
        <w:tc>
          <w:tcPr>
            <w:tcW w:w="596" w:type="pct"/>
            <w:hideMark/>
          </w:tcPr>
          <w:p w14:paraId="0A20116F" w14:textId="11622816"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0</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(2020) </w:t>
            </w:r>
          </w:p>
        </w:tc>
        <w:tc>
          <w:tcPr>
            <w:tcW w:w="595" w:type="pct"/>
            <w:hideMark/>
          </w:tcPr>
          <w:p w14:paraId="0B498B45" w14:textId="48B1D21D"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6.75</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(2021) </w:t>
            </w:r>
          </w:p>
        </w:tc>
        <w:tc>
          <w:tcPr>
            <w:tcW w:w="2808" w:type="pct"/>
            <w:hideMark/>
          </w:tcPr>
          <w:p w14:paraId="1F709588"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 (100%) improved </w:t>
            </w:r>
          </w:p>
        </w:tc>
        <w:tc>
          <w:tcPr>
            <w:tcW w:w="359" w:type="pct"/>
            <w:shd w:val="clear" w:color="auto" w:fill="3FB84E" w:themeFill="accent3"/>
            <w:hideMark/>
          </w:tcPr>
          <w:p w14:paraId="3D25567A"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4754D19D" w14:textId="77777777" w:rsidTr="00A73099">
        <w:trPr>
          <w:cnfStyle w:val="000000100000" w:firstRow="0" w:lastRow="0" w:firstColumn="0" w:lastColumn="0" w:oddVBand="0" w:evenVBand="0" w:oddHBand="1" w:evenHBand="0" w:firstRowFirstColumn="0" w:firstRowLastColumn="0" w:lastRowFirstColumn="0" w:lastRowLastColumn="0"/>
          <w:trHeight w:val="20"/>
        </w:trPr>
        <w:tc>
          <w:tcPr>
            <w:tcW w:w="642" w:type="pct"/>
            <w:hideMark/>
          </w:tcPr>
          <w:p w14:paraId="5017A3C2" w14:textId="1AC43B19"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Ghana </w:t>
            </w:r>
          </w:p>
        </w:tc>
        <w:tc>
          <w:tcPr>
            <w:tcW w:w="596" w:type="pct"/>
            <w:hideMark/>
          </w:tcPr>
          <w:p w14:paraId="24F12FB9" w14:textId="6DF7F6F7" w:rsidR="000B0469" w:rsidRPr="007F63EF" w:rsidRDefault="000B0469" w:rsidP="005328B9">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(Oct 2019) </w:t>
            </w:r>
          </w:p>
        </w:tc>
        <w:tc>
          <w:tcPr>
            <w:tcW w:w="595" w:type="pct"/>
            <w:hideMark/>
          </w:tcPr>
          <w:p w14:paraId="53C07F88" w14:textId="68D687E9"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2.33</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(July 2020) </w:t>
            </w:r>
          </w:p>
        </w:tc>
        <w:tc>
          <w:tcPr>
            <w:tcW w:w="2808" w:type="pct"/>
            <w:hideMark/>
          </w:tcPr>
          <w:p w14:paraId="1AE96E82" w14:textId="19C903E0"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1</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(33%) improved, 2 remained</w:t>
            </w:r>
            <w:r w:rsidR="00E829B9" w:rsidRPr="00FB2CE0">
              <w:rPr>
                <w:rFonts w:asciiTheme="minorHAnsi" w:eastAsia="Times New Roman" w:hAnsiTheme="minorHAnsi" w:cstheme="minorHAnsi"/>
                <w:sz w:val="20"/>
                <w:szCs w:val="20"/>
                <w:lang w:eastAsia="en-GB"/>
              </w:rPr>
              <w:t xml:space="preserve"> the</w:t>
            </w:r>
            <w:r w:rsidRPr="00FB2CE0">
              <w:rPr>
                <w:rFonts w:asciiTheme="minorHAnsi" w:eastAsia="Times New Roman" w:hAnsiTheme="minorHAnsi" w:cstheme="minorHAnsi"/>
                <w:sz w:val="20"/>
                <w:szCs w:val="20"/>
                <w:lang w:eastAsia="en-GB"/>
              </w:rPr>
              <w:t xml:space="preserve"> same </w:t>
            </w:r>
          </w:p>
        </w:tc>
        <w:tc>
          <w:tcPr>
            <w:tcW w:w="359" w:type="pct"/>
            <w:shd w:val="clear" w:color="auto" w:fill="FFC000"/>
            <w:hideMark/>
          </w:tcPr>
          <w:p w14:paraId="08412C80"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3C406611" w14:textId="77777777" w:rsidTr="00A73099">
        <w:trPr>
          <w:cnfStyle w:val="000000010000" w:firstRow="0" w:lastRow="0" w:firstColumn="0" w:lastColumn="0" w:oddVBand="0" w:evenVBand="0" w:oddHBand="0" w:evenHBand="1" w:firstRowFirstColumn="0" w:firstRowLastColumn="0" w:lastRowFirstColumn="0" w:lastRowLastColumn="0"/>
          <w:trHeight w:val="20"/>
        </w:trPr>
        <w:tc>
          <w:tcPr>
            <w:tcW w:w="642" w:type="pct"/>
            <w:hideMark/>
          </w:tcPr>
          <w:p w14:paraId="1BFA46D5" w14:textId="48BA675B"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Indonesia </w:t>
            </w:r>
          </w:p>
        </w:tc>
        <w:tc>
          <w:tcPr>
            <w:tcW w:w="596" w:type="pct"/>
            <w:hideMark/>
          </w:tcPr>
          <w:p w14:paraId="6B7C2833" w14:textId="19817416"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2.5</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(2020)</w:t>
            </w:r>
            <w:r w:rsidRPr="00FB2CE0">
              <w:rPr>
                <w:rFonts w:asciiTheme="minorHAnsi" w:eastAsia="Times New Roman" w:hAnsiTheme="minorHAnsi" w:cstheme="minorHAnsi"/>
                <w:sz w:val="20"/>
                <w:szCs w:val="20"/>
                <w:lang w:val="en-US" w:eastAsia="en-GB"/>
              </w:rPr>
              <w:t xml:space="preserve"> 6 sites</w:t>
            </w:r>
            <w:r w:rsidRPr="00FB2CE0">
              <w:rPr>
                <w:rFonts w:asciiTheme="minorHAnsi" w:eastAsia="Times New Roman" w:hAnsiTheme="minorHAnsi" w:cstheme="minorHAnsi"/>
                <w:sz w:val="20"/>
                <w:szCs w:val="20"/>
                <w:lang w:eastAsia="en-GB"/>
              </w:rPr>
              <w:t> </w:t>
            </w:r>
          </w:p>
        </w:tc>
        <w:tc>
          <w:tcPr>
            <w:tcW w:w="595" w:type="pct"/>
            <w:hideMark/>
          </w:tcPr>
          <w:p w14:paraId="151F3008" w14:textId="164F29C4"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2.72</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(2021)</w:t>
            </w:r>
            <w:r w:rsidRPr="00FB2CE0">
              <w:rPr>
                <w:rFonts w:asciiTheme="minorHAnsi" w:eastAsia="Times New Roman" w:hAnsiTheme="minorHAnsi" w:cstheme="minorHAnsi"/>
                <w:sz w:val="20"/>
                <w:szCs w:val="20"/>
                <w:lang w:val="en-US" w:eastAsia="en-GB"/>
              </w:rPr>
              <w:t xml:space="preserve"> 11 sites</w:t>
            </w:r>
            <w:r w:rsidRPr="00FB2CE0">
              <w:rPr>
                <w:rFonts w:asciiTheme="minorHAnsi" w:eastAsia="Times New Roman" w:hAnsiTheme="minorHAnsi" w:cstheme="minorHAnsi"/>
                <w:sz w:val="20"/>
                <w:szCs w:val="20"/>
                <w:lang w:eastAsia="en-GB"/>
              </w:rPr>
              <w:t> </w:t>
            </w:r>
          </w:p>
        </w:tc>
        <w:tc>
          <w:tcPr>
            <w:tcW w:w="2808" w:type="pct"/>
            <w:hideMark/>
          </w:tcPr>
          <w:p w14:paraId="68824DFD" w14:textId="5BC29812"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9</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w:t>
            </w:r>
          </w:p>
        </w:tc>
        <w:tc>
          <w:tcPr>
            <w:tcW w:w="359" w:type="pct"/>
            <w:shd w:val="clear" w:color="auto" w:fill="3FB84E" w:themeFill="accent3"/>
            <w:hideMark/>
          </w:tcPr>
          <w:p w14:paraId="69F6CDC1"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5E533EB3" w14:textId="77777777" w:rsidTr="00A73099">
        <w:trPr>
          <w:cnfStyle w:val="000000100000" w:firstRow="0" w:lastRow="0" w:firstColumn="0" w:lastColumn="0" w:oddVBand="0" w:evenVBand="0" w:oddHBand="1" w:evenHBand="0" w:firstRowFirstColumn="0" w:firstRowLastColumn="0" w:lastRowFirstColumn="0" w:lastRowLastColumn="0"/>
          <w:trHeight w:val="20"/>
        </w:trPr>
        <w:tc>
          <w:tcPr>
            <w:tcW w:w="642" w:type="pct"/>
            <w:hideMark/>
          </w:tcPr>
          <w:p w14:paraId="0D9864CF" w14:textId="73123A6E"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Kenya </w:t>
            </w:r>
          </w:p>
        </w:tc>
        <w:tc>
          <w:tcPr>
            <w:tcW w:w="596" w:type="pct"/>
            <w:hideMark/>
          </w:tcPr>
          <w:p w14:paraId="2A600961" w14:textId="7601F966"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0.67</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(Jan - March 2020) </w:t>
            </w:r>
          </w:p>
        </w:tc>
        <w:tc>
          <w:tcPr>
            <w:tcW w:w="595" w:type="pct"/>
            <w:hideMark/>
          </w:tcPr>
          <w:p w14:paraId="4154A036" w14:textId="44C9BCE9"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3.83</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(Apr - Jun 2021) </w:t>
            </w:r>
          </w:p>
        </w:tc>
        <w:tc>
          <w:tcPr>
            <w:tcW w:w="2808" w:type="pct"/>
            <w:hideMark/>
          </w:tcPr>
          <w:p w14:paraId="66930684" w14:textId="0A60FE0E"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6</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(100%) </w:t>
            </w:r>
          </w:p>
        </w:tc>
        <w:tc>
          <w:tcPr>
            <w:tcW w:w="359" w:type="pct"/>
            <w:shd w:val="clear" w:color="auto" w:fill="3FB84E" w:themeFill="accent3"/>
            <w:hideMark/>
          </w:tcPr>
          <w:p w14:paraId="316DDA0F"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5EF56886" w14:textId="77777777" w:rsidTr="00A73099">
        <w:trPr>
          <w:cnfStyle w:val="000000010000" w:firstRow="0" w:lastRow="0" w:firstColumn="0" w:lastColumn="0" w:oddVBand="0" w:evenVBand="0" w:oddHBand="0" w:evenHBand="1" w:firstRowFirstColumn="0" w:firstRowLastColumn="0" w:lastRowFirstColumn="0" w:lastRowLastColumn="0"/>
          <w:trHeight w:val="20"/>
        </w:trPr>
        <w:tc>
          <w:tcPr>
            <w:tcW w:w="642" w:type="pct"/>
            <w:hideMark/>
          </w:tcPr>
          <w:p w14:paraId="3A993D48" w14:textId="6A27696F"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Laos </w:t>
            </w:r>
          </w:p>
        </w:tc>
        <w:tc>
          <w:tcPr>
            <w:tcW w:w="596" w:type="pct"/>
            <w:hideMark/>
          </w:tcPr>
          <w:p w14:paraId="23D0CE59" w14:textId="5350C20E"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0.33</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(Jan-Mar 2020) </w:t>
            </w:r>
          </w:p>
        </w:tc>
        <w:tc>
          <w:tcPr>
            <w:tcW w:w="595" w:type="pct"/>
            <w:hideMark/>
          </w:tcPr>
          <w:p w14:paraId="1C88E1FC" w14:textId="5C3172EB"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1</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(Jan-Mar 2022) </w:t>
            </w:r>
          </w:p>
        </w:tc>
        <w:tc>
          <w:tcPr>
            <w:tcW w:w="2808" w:type="pct"/>
            <w:hideMark/>
          </w:tcPr>
          <w:p w14:paraId="4A52361F" w14:textId="4F031612" w:rsidR="000B0469" w:rsidRPr="007F63EF" w:rsidRDefault="0090640E"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xml:space="preserve">None (0%) of the </w:t>
            </w:r>
            <w:r w:rsidR="00DA648C" w:rsidRPr="00FB2CE0">
              <w:rPr>
                <w:rFonts w:asciiTheme="minorHAnsi" w:eastAsia="Times New Roman" w:hAnsiTheme="minorHAnsi" w:cstheme="minorHAnsi"/>
                <w:sz w:val="20"/>
                <w:szCs w:val="20"/>
                <w:lang w:eastAsia="en-GB"/>
              </w:rPr>
              <w:t xml:space="preserve">2 </w:t>
            </w:r>
            <w:r w:rsidRPr="00FB2CE0">
              <w:rPr>
                <w:rFonts w:asciiTheme="minorHAnsi" w:eastAsia="Times New Roman" w:hAnsiTheme="minorHAnsi" w:cstheme="minorHAnsi"/>
                <w:sz w:val="20"/>
                <w:szCs w:val="20"/>
                <w:lang w:eastAsia="en-GB"/>
              </w:rPr>
              <w:t>sites improved.</w:t>
            </w:r>
            <w:r w:rsidR="00DA648C" w:rsidRPr="00FB2CE0">
              <w:rPr>
                <w:rFonts w:asciiTheme="minorHAnsi" w:eastAsia="Times New Roman" w:hAnsiTheme="minorHAnsi" w:cstheme="minorHAnsi"/>
                <w:sz w:val="20"/>
                <w:szCs w:val="20"/>
                <w:lang w:eastAsia="en-GB"/>
              </w:rPr>
              <w:t xml:space="preserve"> </w:t>
            </w:r>
            <w:r w:rsidR="002522A3" w:rsidRPr="00FB2CE0">
              <w:rPr>
                <w:rFonts w:asciiTheme="minorHAnsi" w:eastAsia="Times New Roman" w:hAnsiTheme="minorHAnsi" w:cstheme="minorHAnsi"/>
                <w:sz w:val="20"/>
                <w:szCs w:val="20"/>
                <w:lang w:eastAsia="en-GB"/>
              </w:rPr>
              <w:t xml:space="preserve">Both </w:t>
            </w:r>
            <w:r w:rsidR="00DA648C" w:rsidRPr="00FB2CE0">
              <w:rPr>
                <w:rFonts w:asciiTheme="minorHAnsi" w:eastAsia="Times New Roman" w:hAnsiTheme="minorHAnsi" w:cstheme="minorHAnsi"/>
                <w:sz w:val="20"/>
                <w:szCs w:val="20"/>
                <w:lang w:eastAsia="en-GB"/>
              </w:rPr>
              <w:t>r</w:t>
            </w:r>
            <w:r w:rsidR="000B0469" w:rsidRPr="00FB2CE0">
              <w:rPr>
                <w:rFonts w:asciiTheme="minorHAnsi" w:eastAsia="Times New Roman" w:hAnsiTheme="minorHAnsi" w:cstheme="minorHAnsi"/>
                <w:sz w:val="20"/>
                <w:szCs w:val="20"/>
                <w:lang w:eastAsia="en-GB"/>
              </w:rPr>
              <w:t>emained</w:t>
            </w:r>
            <w:r w:rsidR="00E829B9" w:rsidRPr="00FB2CE0">
              <w:rPr>
                <w:rFonts w:asciiTheme="minorHAnsi" w:eastAsia="Times New Roman" w:hAnsiTheme="minorHAnsi" w:cstheme="minorHAnsi"/>
                <w:sz w:val="20"/>
                <w:szCs w:val="20"/>
                <w:lang w:eastAsia="en-GB"/>
              </w:rPr>
              <w:t xml:space="preserve"> the</w:t>
            </w:r>
            <w:r w:rsidR="000B0469" w:rsidRPr="00FB2CE0">
              <w:rPr>
                <w:rFonts w:asciiTheme="minorHAnsi" w:eastAsia="Times New Roman" w:hAnsiTheme="minorHAnsi" w:cstheme="minorHAnsi"/>
                <w:sz w:val="20"/>
                <w:szCs w:val="20"/>
                <w:lang w:eastAsia="en-GB"/>
              </w:rPr>
              <w:t xml:space="preserve"> same</w:t>
            </w:r>
          </w:p>
        </w:tc>
        <w:tc>
          <w:tcPr>
            <w:tcW w:w="359" w:type="pct"/>
            <w:shd w:val="clear" w:color="auto" w:fill="FFC000"/>
            <w:hideMark/>
          </w:tcPr>
          <w:p w14:paraId="4EF3183B"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01E1AE8B" w14:textId="77777777" w:rsidTr="00A73099">
        <w:trPr>
          <w:cnfStyle w:val="000000100000" w:firstRow="0" w:lastRow="0" w:firstColumn="0" w:lastColumn="0" w:oddVBand="0" w:evenVBand="0" w:oddHBand="1" w:evenHBand="0" w:firstRowFirstColumn="0" w:firstRowLastColumn="0" w:lastRowFirstColumn="0" w:lastRowLastColumn="0"/>
          <w:trHeight w:val="20"/>
        </w:trPr>
        <w:tc>
          <w:tcPr>
            <w:tcW w:w="642" w:type="pct"/>
            <w:hideMark/>
          </w:tcPr>
          <w:p w14:paraId="07B7B566" w14:textId="1EEC6B51"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Nepal </w:t>
            </w:r>
          </w:p>
        </w:tc>
        <w:tc>
          <w:tcPr>
            <w:tcW w:w="596" w:type="pct"/>
            <w:hideMark/>
          </w:tcPr>
          <w:p w14:paraId="2DB6BFEE" w14:textId="5F56FCD1"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w:t>
            </w:r>
            <w:r w:rsidR="00E829B9"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(Aug 2019) </w:t>
            </w:r>
          </w:p>
        </w:tc>
        <w:tc>
          <w:tcPr>
            <w:tcW w:w="595" w:type="pct"/>
            <w:hideMark/>
          </w:tcPr>
          <w:p w14:paraId="56EDD7F0"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4.42 </w:t>
            </w:r>
          </w:p>
        </w:tc>
        <w:tc>
          <w:tcPr>
            <w:tcW w:w="2808" w:type="pct"/>
            <w:hideMark/>
          </w:tcPr>
          <w:p w14:paraId="7D820127" w14:textId="11A22111"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(100%)</w:t>
            </w:r>
            <w:r w:rsidR="007458AC" w:rsidRPr="00FB2CE0">
              <w:rPr>
                <w:rFonts w:asciiTheme="minorHAnsi" w:eastAsia="Times New Roman" w:hAnsiTheme="minorHAnsi" w:cstheme="minorHAnsi"/>
                <w:sz w:val="20"/>
                <w:szCs w:val="20"/>
                <w:lang w:eastAsia="en-GB"/>
              </w:rPr>
              <w:t xml:space="preserve"> </w:t>
            </w:r>
          </w:p>
        </w:tc>
        <w:tc>
          <w:tcPr>
            <w:tcW w:w="359" w:type="pct"/>
            <w:shd w:val="clear" w:color="auto" w:fill="3FB84E" w:themeFill="accent3"/>
            <w:hideMark/>
          </w:tcPr>
          <w:p w14:paraId="7F7335BE"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7694B0F8" w14:textId="77777777" w:rsidTr="00A73099">
        <w:trPr>
          <w:cnfStyle w:val="000000010000" w:firstRow="0" w:lastRow="0" w:firstColumn="0" w:lastColumn="0" w:oddVBand="0" w:evenVBand="0" w:oddHBand="0" w:evenHBand="1" w:firstRowFirstColumn="0" w:firstRowLastColumn="0" w:lastRowFirstColumn="0" w:lastRowLastColumn="0"/>
          <w:trHeight w:val="20"/>
        </w:trPr>
        <w:tc>
          <w:tcPr>
            <w:tcW w:w="642" w:type="pct"/>
            <w:hideMark/>
          </w:tcPr>
          <w:p w14:paraId="49F1A8FE" w14:textId="4F7A9855"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val="en-US" w:eastAsia="en-GB"/>
              </w:rPr>
              <w:t>Nigeria</w:t>
            </w:r>
            <w:r w:rsidRPr="00FB2CE0">
              <w:rPr>
                <w:rFonts w:asciiTheme="minorHAnsi" w:eastAsia="Times New Roman" w:hAnsiTheme="minorHAnsi" w:cstheme="minorHAnsi"/>
                <w:sz w:val="20"/>
                <w:szCs w:val="20"/>
                <w:lang w:eastAsia="en-GB"/>
              </w:rPr>
              <w:t> </w:t>
            </w:r>
          </w:p>
        </w:tc>
        <w:tc>
          <w:tcPr>
            <w:tcW w:w="596" w:type="pct"/>
            <w:hideMark/>
          </w:tcPr>
          <w:p w14:paraId="56ECEF57"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0 </w:t>
            </w:r>
          </w:p>
        </w:tc>
        <w:tc>
          <w:tcPr>
            <w:tcW w:w="595" w:type="pct"/>
            <w:hideMark/>
          </w:tcPr>
          <w:p w14:paraId="5AA6CFFE"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3 </w:t>
            </w:r>
          </w:p>
        </w:tc>
        <w:tc>
          <w:tcPr>
            <w:tcW w:w="2808" w:type="pct"/>
            <w:hideMark/>
          </w:tcPr>
          <w:p w14:paraId="4C8638FC" w14:textId="54D55F3A"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3</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(100%) improved </w:t>
            </w:r>
          </w:p>
        </w:tc>
        <w:tc>
          <w:tcPr>
            <w:tcW w:w="359" w:type="pct"/>
            <w:shd w:val="clear" w:color="auto" w:fill="3FB84E" w:themeFill="accent3"/>
            <w:hideMark/>
          </w:tcPr>
          <w:p w14:paraId="54450319"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081D1905" w14:textId="77777777" w:rsidTr="00A73099">
        <w:trPr>
          <w:cnfStyle w:val="000000100000" w:firstRow="0" w:lastRow="0" w:firstColumn="0" w:lastColumn="0" w:oddVBand="0" w:evenVBand="0" w:oddHBand="1" w:evenHBand="0" w:firstRowFirstColumn="0" w:firstRowLastColumn="0" w:lastRowFirstColumn="0" w:lastRowLastColumn="0"/>
          <w:trHeight w:val="20"/>
        </w:trPr>
        <w:tc>
          <w:tcPr>
            <w:tcW w:w="642" w:type="pct"/>
            <w:hideMark/>
          </w:tcPr>
          <w:p w14:paraId="41560099" w14:textId="12B26930"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Pakistan </w:t>
            </w:r>
          </w:p>
        </w:tc>
        <w:tc>
          <w:tcPr>
            <w:tcW w:w="596" w:type="pct"/>
            <w:hideMark/>
          </w:tcPr>
          <w:p w14:paraId="1B61B3A4"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1 (NRL) </w:t>
            </w:r>
          </w:p>
          <w:p w14:paraId="0E356E0D" w14:textId="2903EB7D"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0</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(SS) </w:t>
            </w:r>
          </w:p>
        </w:tc>
        <w:tc>
          <w:tcPr>
            <w:tcW w:w="595" w:type="pct"/>
            <w:hideMark/>
          </w:tcPr>
          <w:p w14:paraId="32CBA989" w14:textId="18B3139B"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4.5</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(NRL) </w:t>
            </w:r>
          </w:p>
          <w:p w14:paraId="4A33CB2E" w14:textId="166DED82"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0.11</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(SS) </w:t>
            </w:r>
          </w:p>
        </w:tc>
        <w:tc>
          <w:tcPr>
            <w:tcW w:w="2808" w:type="pct"/>
            <w:hideMark/>
          </w:tcPr>
          <w:p w14:paraId="40067875" w14:textId="6A97D2FA"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3</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 xml:space="preserve">(27%) improved, 8 remained </w:t>
            </w:r>
            <w:r w:rsidR="00F161F0" w:rsidRPr="00FB2CE0">
              <w:rPr>
                <w:rFonts w:asciiTheme="minorHAnsi" w:eastAsia="Times New Roman" w:hAnsiTheme="minorHAnsi" w:cstheme="minorHAnsi"/>
                <w:sz w:val="20"/>
                <w:szCs w:val="20"/>
                <w:lang w:eastAsia="en-GB"/>
              </w:rPr>
              <w:t xml:space="preserve">the </w:t>
            </w:r>
            <w:r w:rsidRPr="00FB2CE0">
              <w:rPr>
                <w:rFonts w:asciiTheme="minorHAnsi" w:eastAsia="Times New Roman" w:hAnsiTheme="minorHAnsi" w:cstheme="minorHAnsi"/>
                <w:sz w:val="20"/>
                <w:szCs w:val="20"/>
                <w:lang w:eastAsia="en-GB"/>
              </w:rPr>
              <w:t>same </w:t>
            </w:r>
          </w:p>
        </w:tc>
        <w:tc>
          <w:tcPr>
            <w:tcW w:w="359" w:type="pct"/>
            <w:shd w:val="clear" w:color="auto" w:fill="FFC000"/>
            <w:hideMark/>
          </w:tcPr>
          <w:p w14:paraId="5347E4B0"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48F37BA1" w14:textId="77777777" w:rsidTr="00A73099">
        <w:trPr>
          <w:cnfStyle w:val="000000010000" w:firstRow="0" w:lastRow="0" w:firstColumn="0" w:lastColumn="0" w:oddVBand="0" w:evenVBand="0" w:oddHBand="0" w:evenHBand="1" w:firstRowFirstColumn="0" w:firstRowLastColumn="0" w:lastRowFirstColumn="0" w:lastRowLastColumn="0"/>
          <w:trHeight w:val="20"/>
        </w:trPr>
        <w:tc>
          <w:tcPr>
            <w:tcW w:w="642" w:type="pct"/>
            <w:hideMark/>
          </w:tcPr>
          <w:p w14:paraId="5F558990" w14:textId="2545005E"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Senegal </w:t>
            </w:r>
          </w:p>
        </w:tc>
        <w:tc>
          <w:tcPr>
            <w:tcW w:w="596" w:type="pct"/>
            <w:hideMark/>
          </w:tcPr>
          <w:p w14:paraId="6F8B54B8"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1.5 </w:t>
            </w:r>
          </w:p>
        </w:tc>
        <w:tc>
          <w:tcPr>
            <w:tcW w:w="595" w:type="pct"/>
            <w:hideMark/>
          </w:tcPr>
          <w:p w14:paraId="4F3DF6E7"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2 </w:t>
            </w:r>
          </w:p>
        </w:tc>
        <w:tc>
          <w:tcPr>
            <w:tcW w:w="2808" w:type="pct"/>
            <w:hideMark/>
          </w:tcPr>
          <w:p w14:paraId="1735D0AA" w14:textId="447292B2"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1 site</w:t>
            </w:r>
            <w:r w:rsidR="002522A3"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 xml:space="preserve">(50%) improved, 1 remained </w:t>
            </w:r>
            <w:r w:rsidR="00F161F0" w:rsidRPr="00FB2CE0">
              <w:rPr>
                <w:rFonts w:asciiTheme="minorHAnsi" w:eastAsia="Times New Roman" w:hAnsiTheme="minorHAnsi" w:cstheme="minorHAnsi"/>
                <w:sz w:val="20"/>
                <w:szCs w:val="20"/>
                <w:lang w:eastAsia="en-GB"/>
              </w:rPr>
              <w:t xml:space="preserve">the </w:t>
            </w:r>
            <w:r w:rsidRPr="00FB2CE0">
              <w:rPr>
                <w:rFonts w:asciiTheme="minorHAnsi" w:eastAsia="Times New Roman" w:hAnsiTheme="minorHAnsi" w:cstheme="minorHAnsi"/>
                <w:sz w:val="20"/>
                <w:szCs w:val="20"/>
                <w:lang w:eastAsia="en-GB"/>
              </w:rPr>
              <w:t>same </w:t>
            </w:r>
          </w:p>
        </w:tc>
        <w:tc>
          <w:tcPr>
            <w:tcW w:w="359" w:type="pct"/>
            <w:shd w:val="clear" w:color="auto" w:fill="3FB84E" w:themeFill="accent3"/>
            <w:hideMark/>
          </w:tcPr>
          <w:p w14:paraId="0692CDF2"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4906D92E" w14:textId="77777777" w:rsidTr="00A73099">
        <w:trPr>
          <w:cnfStyle w:val="000000100000" w:firstRow="0" w:lastRow="0" w:firstColumn="0" w:lastColumn="0" w:oddVBand="0" w:evenVBand="0" w:oddHBand="1" w:evenHBand="0" w:firstRowFirstColumn="0" w:firstRowLastColumn="0" w:lastRowFirstColumn="0" w:lastRowLastColumn="0"/>
          <w:trHeight w:val="20"/>
        </w:trPr>
        <w:tc>
          <w:tcPr>
            <w:tcW w:w="642" w:type="pct"/>
            <w:hideMark/>
          </w:tcPr>
          <w:p w14:paraId="3FDAAA9A" w14:textId="23CB7AD0"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Sierra Leone </w:t>
            </w:r>
          </w:p>
        </w:tc>
        <w:tc>
          <w:tcPr>
            <w:tcW w:w="596" w:type="pct"/>
            <w:hideMark/>
          </w:tcPr>
          <w:p w14:paraId="42CFAAFD" w14:textId="5510CE9A"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1</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(2020) </w:t>
            </w:r>
          </w:p>
        </w:tc>
        <w:tc>
          <w:tcPr>
            <w:tcW w:w="595" w:type="pct"/>
            <w:hideMark/>
          </w:tcPr>
          <w:p w14:paraId="33DF8BF8" w14:textId="00D2BFBE"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0</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(2022) </w:t>
            </w:r>
          </w:p>
        </w:tc>
        <w:tc>
          <w:tcPr>
            <w:tcW w:w="2808" w:type="pct"/>
            <w:hideMark/>
          </w:tcPr>
          <w:p w14:paraId="22097DB1"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The only site dropped </w:t>
            </w:r>
          </w:p>
        </w:tc>
        <w:tc>
          <w:tcPr>
            <w:tcW w:w="359" w:type="pct"/>
            <w:shd w:val="clear" w:color="auto" w:fill="FF0000"/>
            <w:hideMark/>
          </w:tcPr>
          <w:p w14:paraId="6127A58C"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292FEEE3" w14:textId="77777777" w:rsidTr="00A73099">
        <w:trPr>
          <w:cnfStyle w:val="000000010000" w:firstRow="0" w:lastRow="0" w:firstColumn="0" w:lastColumn="0" w:oddVBand="0" w:evenVBand="0" w:oddHBand="0" w:evenHBand="1" w:firstRowFirstColumn="0" w:firstRowLastColumn="0" w:lastRowFirstColumn="0" w:lastRowLastColumn="0"/>
          <w:trHeight w:val="20"/>
        </w:trPr>
        <w:tc>
          <w:tcPr>
            <w:tcW w:w="642" w:type="pct"/>
            <w:hideMark/>
          </w:tcPr>
          <w:p w14:paraId="26C69414" w14:textId="5B1A6E32"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Tanzania </w:t>
            </w:r>
          </w:p>
        </w:tc>
        <w:tc>
          <w:tcPr>
            <w:tcW w:w="596" w:type="pct"/>
            <w:hideMark/>
          </w:tcPr>
          <w:p w14:paraId="2B2B78FE" w14:textId="13DB5036"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0</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(Q3_CG1 Jan 2020) </w:t>
            </w:r>
          </w:p>
        </w:tc>
        <w:tc>
          <w:tcPr>
            <w:tcW w:w="595" w:type="pct"/>
            <w:hideMark/>
          </w:tcPr>
          <w:p w14:paraId="3DCD64D1" w14:textId="5FA0E296"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4.75</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(CG 2 Q2 - Oct 2021) </w:t>
            </w:r>
          </w:p>
        </w:tc>
        <w:tc>
          <w:tcPr>
            <w:tcW w:w="2808" w:type="pct"/>
            <w:hideMark/>
          </w:tcPr>
          <w:p w14:paraId="0BA176C7" w14:textId="70115866"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(100%) </w:t>
            </w:r>
          </w:p>
        </w:tc>
        <w:tc>
          <w:tcPr>
            <w:tcW w:w="359" w:type="pct"/>
            <w:shd w:val="clear" w:color="auto" w:fill="3FB84E" w:themeFill="accent3"/>
            <w:hideMark/>
          </w:tcPr>
          <w:p w14:paraId="4C566365"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3E01C6F3" w14:textId="77777777" w:rsidTr="00A73099">
        <w:trPr>
          <w:cnfStyle w:val="000000100000" w:firstRow="0" w:lastRow="0" w:firstColumn="0" w:lastColumn="0" w:oddVBand="0" w:evenVBand="0" w:oddHBand="1" w:evenHBand="0" w:firstRowFirstColumn="0" w:firstRowLastColumn="0" w:lastRowFirstColumn="0" w:lastRowLastColumn="0"/>
          <w:trHeight w:val="20"/>
        </w:trPr>
        <w:tc>
          <w:tcPr>
            <w:tcW w:w="642" w:type="pct"/>
            <w:hideMark/>
          </w:tcPr>
          <w:p w14:paraId="2EEC4219" w14:textId="71183545" w:rsidR="000B0469" w:rsidRPr="007F63EF" w:rsidRDefault="00260B8A" w:rsidP="00BD6930">
            <w:pPr>
              <w:textAlignment w:val="baseline"/>
              <w:rPr>
                <w:rFonts w:asciiTheme="minorHAnsi" w:eastAsia="Times New Roman" w:hAnsiTheme="minorHAnsi" w:cstheme="minorHAnsi"/>
                <w:color w:val="auto"/>
                <w:sz w:val="20"/>
                <w:szCs w:val="20"/>
                <w:lang w:eastAsia="en-GB"/>
              </w:rPr>
            </w:pPr>
            <w:r>
              <w:rPr>
                <w:rFonts w:asciiTheme="minorHAnsi" w:eastAsia="Times New Roman" w:hAnsiTheme="minorHAnsi" w:cstheme="minorHAnsi"/>
                <w:sz w:val="20"/>
                <w:szCs w:val="20"/>
                <w:lang w:eastAsia="en-GB"/>
              </w:rPr>
              <w:t>Timor-Leste</w:t>
            </w:r>
            <w:r w:rsidR="00190404" w:rsidRPr="00FB2CE0">
              <w:rPr>
                <w:rFonts w:asciiTheme="minorHAnsi" w:eastAsia="Times New Roman" w:hAnsiTheme="minorHAnsi" w:cstheme="minorHAnsi"/>
                <w:sz w:val="20"/>
                <w:szCs w:val="20"/>
                <w:lang w:eastAsia="en-GB"/>
              </w:rPr>
              <w:t> </w:t>
            </w:r>
          </w:p>
        </w:tc>
        <w:tc>
          <w:tcPr>
            <w:tcW w:w="596" w:type="pct"/>
            <w:hideMark/>
          </w:tcPr>
          <w:p w14:paraId="38B0856F"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0 </w:t>
            </w:r>
          </w:p>
        </w:tc>
        <w:tc>
          <w:tcPr>
            <w:tcW w:w="595" w:type="pct"/>
            <w:hideMark/>
          </w:tcPr>
          <w:p w14:paraId="66FBD0AF"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7 </w:t>
            </w:r>
          </w:p>
        </w:tc>
        <w:tc>
          <w:tcPr>
            <w:tcW w:w="2808" w:type="pct"/>
            <w:hideMark/>
          </w:tcPr>
          <w:p w14:paraId="6581AFD9" w14:textId="64793591"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1</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(100%) improved </w:t>
            </w:r>
          </w:p>
        </w:tc>
        <w:tc>
          <w:tcPr>
            <w:tcW w:w="359" w:type="pct"/>
            <w:shd w:val="clear" w:color="auto" w:fill="3FB84E" w:themeFill="accent3"/>
            <w:hideMark/>
          </w:tcPr>
          <w:p w14:paraId="3B4415B6"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188DDC67" w14:textId="77777777" w:rsidTr="00A73099">
        <w:trPr>
          <w:cnfStyle w:val="000000010000" w:firstRow="0" w:lastRow="0" w:firstColumn="0" w:lastColumn="0" w:oddVBand="0" w:evenVBand="0" w:oddHBand="0" w:evenHBand="1" w:firstRowFirstColumn="0" w:firstRowLastColumn="0" w:lastRowFirstColumn="0" w:lastRowLastColumn="0"/>
          <w:trHeight w:val="20"/>
        </w:trPr>
        <w:tc>
          <w:tcPr>
            <w:tcW w:w="642" w:type="pct"/>
            <w:hideMark/>
          </w:tcPr>
          <w:p w14:paraId="653A3E54" w14:textId="4828EC75"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Uganda </w:t>
            </w:r>
          </w:p>
        </w:tc>
        <w:tc>
          <w:tcPr>
            <w:tcW w:w="596" w:type="pct"/>
            <w:hideMark/>
          </w:tcPr>
          <w:p w14:paraId="0676057E" w14:textId="1908E6E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3.33</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(2019 Q4_QR) </w:t>
            </w:r>
          </w:p>
        </w:tc>
        <w:tc>
          <w:tcPr>
            <w:tcW w:w="595" w:type="pct"/>
            <w:hideMark/>
          </w:tcPr>
          <w:p w14:paraId="78BD789A" w14:textId="058EDCA0"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val="en-US" w:eastAsia="en-GB"/>
              </w:rPr>
              <w:t>5</w:t>
            </w:r>
            <w:r w:rsidR="00F161F0" w:rsidRPr="00FB2CE0">
              <w:rPr>
                <w:rFonts w:asciiTheme="minorHAnsi" w:eastAsia="Times New Roman" w:hAnsiTheme="minorHAnsi" w:cstheme="minorHAnsi"/>
                <w:sz w:val="20"/>
                <w:szCs w:val="20"/>
                <w:lang w:val="en-US" w:eastAsia="en-GB"/>
              </w:rPr>
              <w:t xml:space="preserve"> </w:t>
            </w:r>
            <w:r w:rsidRPr="00FB2CE0">
              <w:rPr>
                <w:rFonts w:asciiTheme="minorHAnsi" w:eastAsia="Times New Roman" w:hAnsiTheme="minorHAnsi" w:cstheme="minorHAnsi"/>
                <w:sz w:val="20"/>
                <w:szCs w:val="20"/>
                <w:lang w:val="en-US" w:eastAsia="en-GB"/>
              </w:rPr>
              <w:t>(</w:t>
            </w:r>
            <w:r w:rsidRPr="00FB2CE0">
              <w:rPr>
                <w:rFonts w:asciiTheme="minorHAnsi" w:eastAsia="Times New Roman" w:hAnsiTheme="minorHAnsi" w:cstheme="minorHAnsi"/>
                <w:sz w:val="20"/>
                <w:szCs w:val="20"/>
                <w:lang w:eastAsia="en-GB"/>
              </w:rPr>
              <w:t>2022 QR_Q6) </w:t>
            </w:r>
          </w:p>
        </w:tc>
        <w:tc>
          <w:tcPr>
            <w:tcW w:w="2808" w:type="pct"/>
            <w:hideMark/>
          </w:tcPr>
          <w:p w14:paraId="17C8B73D" w14:textId="3C1EFD09"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All 3</w:t>
            </w:r>
            <w:r w:rsidR="00F161F0"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(100%) sites score</w:t>
            </w:r>
            <w:r w:rsidR="00F161F0" w:rsidRPr="00FB2CE0">
              <w:rPr>
                <w:rFonts w:asciiTheme="minorHAnsi" w:eastAsia="Times New Roman" w:hAnsiTheme="minorHAnsi" w:cstheme="minorHAnsi"/>
                <w:sz w:val="20"/>
                <w:szCs w:val="20"/>
                <w:lang w:eastAsia="en-GB"/>
              </w:rPr>
              <w:t>s</w:t>
            </w:r>
            <w:r w:rsidRPr="00FB2CE0">
              <w:rPr>
                <w:rFonts w:asciiTheme="minorHAnsi" w:eastAsia="Times New Roman" w:hAnsiTheme="minorHAnsi" w:cstheme="minorHAnsi"/>
                <w:sz w:val="20"/>
                <w:szCs w:val="20"/>
                <w:lang w:eastAsia="en-GB"/>
              </w:rPr>
              <w:t xml:space="preserve"> increased from baseline, but </w:t>
            </w:r>
            <w:r w:rsidR="00F161F0" w:rsidRPr="00FB2CE0">
              <w:rPr>
                <w:rFonts w:asciiTheme="minorHAnsi" w:eastAsia="Times New Roman" w:hAnsiTheme="minorHAnsi" w:cstheme="minorHAnsi"/>
                <w:sz w:val="20"/>
                <w:szCs w:val="20"/>
                <w:lang w:eastAsia="en-GB"/>
              </w:rPr>
              <w:t xml:space="preserve">during </w:t>
            </w:r>
            <w:r w:rsidRPr="00FB2CE0">
              <w:rPr>
                <w:rFonts w:asciiTheme="minorHAnsi" w:eastAsia="Times New Roman" w:hAnsiTheme="minorHAnsi" w:cstheme="minorHAnsi"/>
                <w:sz w:val="20"/>
                <w:szCs w:val="20"/>
                <w:lang w:eastAsia="en-GB"/>
              </w:rPr>
              <w:t xml:space="preserve">endline four </w:t>
            </w:r>
            <w:r w:rsidR="007A48E3" w:rsidRPr="00FB2CE0">
              <w:rPr>
                <w:rFonts w:asciiTheme="minorHAnsi" w:eastAsia="Times New Roman" w:hAnsiTheme="minorHAnsi" w:cstheme="minorHAnsi"/>
                <w:sz w:val="20"/>
                <w:szCs w:val="20"/>
                <w:lang w:eastAsia="en-GB"/>
              </w:rPr>
              <w:t xml:space="preserve">more </w:t>
            </w:r>
            <w:r w:rsidRPr="00FB2CE0">
              <w:rPr>
                <w:rFonts w:asciiTheme="minorHAnsi" w:eastAsia="Times New Roman" w:hAnsiTheme="minorHAnsi" w:cstheme="minorHAnsi"/>
                <w:sz w:val="20"/>
                <w:szCs w:val="20"/>
                <w:lang w:eastAsia="en-GB"/>
              </w:rPr>
              <w:t xml:space="preserve">sites </w:t>
            </w:r>
            <w:r w:rsidR="007A48E3" w:rsidRPr="00FB2CE0">
              <w:rPr>
                <w:rFonts w:asciiTheme="minorHAnsi" w:eastAsia="Times New Roman" w:hAnsiTheme="minorHAnsi" w:cstheme="minorHAnsi"/>
                <w:sz w:val="20"/>
                <w:szCs w:val="20"/>
                <w:lang w:eastAsia="en-GB"/>
              </w:rPr>
              <w:t xml:space="preserve">were </w:t>
            </w:r>
            <w:r w:rsidRPr="00FB2CE0">
              <w:rPr>
                <w:rFonts w:asciiTheme="minorHAnsi" w:eastAsia="Times New Roman" w:hAnsiTheme="minorHAnsi" w:cstheme="minorHAnsi"/>
                <w:sz w:val="20"/>
                <w:szCs w:val="20"/>
                <w:lang w:eastAsia="en-GB"/>
              </w:rPr>
              <w:t xml:space="preserve">included (score “0” all of them) </w:t>
            </w:r>
            <w:r w:rsidR="007A48E3" w:rsidRPr="00FB2CE0">
              <w:rPr>
                <w:rFonts w:asciiTheme="minorHAnsi" w:eastAsia="Times New Roman" w:hAnsiTheme="minorHAnsi" w:cstheme="minorHAnsi"/>
                <w:sz w:val="20"/>
                <w:szCs w:val="20"/>
                <w:lang w:eastAsia="en-GB"/>
              </w:rPr>
              <w:t xml:space="preserve">which lowered the average </w:t>
            </w:r>
            <w:r w:rsidRPr="00FB2CE0">
              <w:rPr>
                <w:rFonts w:asciiTheme="minorHAnsi" w:eastAsia="Times New Roman" w:hAnsiTheme="minorHAnsi" w:cstheme="minorHAnsi"/>
                <w:sz w:val="20"/>
                <w:szCs w:val="20"/>
                <w:lang w:eastAsia="en-GB"/>
              </w:rPr>
              <w:t>score.</w:t>
            </w:r>
            <w:r w:rsidR="007458AC"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 </w:t>
            </w:r>
          </w:p>
        </w:tc>
        <w:tc>
          <w:tcPr>
            <w:tcW w:w="359" w:type="pct"/>
            <w:shd w:val="clear" w:color="auto" w:fill="FFC000"/>
            <w:hideMark/>
          </w:tcPr>
          <w:p w14:paraId="0A2A6C6A"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08799F54" w14:textId="77777777" w:rsidTr="00A73099">
        <w:trPr>
          <w:cnfStyle w:val="000000100000" w:firstRow="0" w:lastRow="0" w:firstColumn="0" w:lastColumn="0" w:oddVBand="0" w:evenVBand="0" w:oddHBand="1" w:evenHBand="0" w:firstRowFirstColumn="0" w:firstRowLastColumn="0" w:lastRowFirstColumn="0" w:lastRowLastColumn="0"/>
          <w:trHeight w:val="20"/>
        </w:trPr>
        <w:tc>
          <w:tcPr>
            <w:tcW w:w="642" w:type="pct"/>
            <w:hideMark/>
          </w:tcPr>
          <w:p w14:paraId="154D103F" w14:textId="6C12505C"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Vietnam </w:t>
            </w:r>
          </w:p>
        </w:tc>
        <w:tc>
          <w:tcPr>
            <w:tcW w:w="596" w:type="pct"/>
            <w:hideMark/>
          </w:tcPr>
          <w:p w14:paraId="4874F689"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0.3 </w:t>
            </w:r>
          </w:p>
        </w:tc>
        <w:tc>
          <w:tcPr>
            <w:tcW w:w="595" w:type="pct"/>
            <w:hideMark/>
          </w:tcPr>
          <w:p w14:paraId="4A22C1B5"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4 </w:t>
            </w:r>
          </w:p>
        </w:tc>
        <w:tc>
          <w:tcPr>
            <w:tcW w:w="2808" w:type="pct"/>
            <w:hideMark/>
          </w:tcPr>
          <w:p w14:paraId="326E11B9" w14:textId="64D65C46"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3</w:t>
            </w:r>
            <w:r w:rsidR="007A48E3"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(100%) </w:t>
            </w:r>
          </w:p>
        </w:tc>
        <w:tc>
          <w:tcPr>
            <w:tcW w:w="359" w:type="pct"/>
            <w:shd w:val="clear" w:color="auto" w:fill="3FB84E" w:themeFill="accent3"/>
            <w:hideMark/>
          </w:tcPr>
          <w:p w14:paraId="43AABF4C"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r w:rsidR="00FB2CE0" w:rsidRPr="006F68DB" w14:paraId="1B98E129" w14:textId="77777777" w:rsidTr="00A73099">
        <w:trPr>
          <w:cnfStyle w:val="000000010000" w:firstRow="0" w:lastRow="0" w:firstColumn="0" w:lastColumn="0" w:oddVBand="0" w:evenVBand="0" w:oddHBand="0" w:evenHBand="1" w:firstRowFirstColumn="0" w:firstRowLastColumn="0" w:lastRowFirstColumn="0" w:lastRowLastColumn="0"/>
          <w:trHeight w:val="20"/>
        </w:trPr>
        <w:tc>
          <w:tcPr>
            <w:tcW w:w="642" w:type="pct"/>
            <w:hideMark/>
          </w:tcPr>
          <w:p w14:paraId="3CE20F64" w14:textId="7B26F7E3" w:rsidR="000B0469" w:rsidRPr="007F63EF" w:rsidRDefault="00190404" w:rsidP="00BD6930">
            <w:pP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Zambia </w:t>
            </w:r>
          </w:p>
        </w:tc>
        <w:tc>
          <w:tcPr>
            <w:tcW w:w="596" w:type="pct"/>
            <w:hideMark/>
          </w:tcPr>
          <w:p w14:paraId="477539CF"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val="en-US" w:eastAsia="en-GB"/>
              </w:rPr>
              <w:t>1.5</w:t>
            </w:r>
            <w:r w:rsidRPr="00FB2CE0">
              <w:rPr>
                <w:rFonts w:asciiTheme="minorHAnsi" w:eastAsia="Times New Roman" w:hAnsiTheme="minorHAnsi" w:cstheme="minorHAnsi"/>
                <w:sz w:val="20"/>
                <w:szCs w:val="20"/>
                <w:lang w:eastAsia="en-GB"/>
              </w:rPr>
              <w:t xml:space="preserve"> (Q2_ Jan-March 2020) </w:t>
            </w:r>
          </w:p>
        </w:tc>
        <w:tc>
          <w:tcPr>
            <w:tcW w:w="595" w:type="pct"/>
            <w:hideMark/>
          </w:tcPr>
          <w:p w14:paraId="773782CD" w14:textId="0E9ED4BB"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val="en-US" w:eastAsia="en-GB"/>
              </w:rPr>
              <w:t>5.4</w:t>
            </w:r>
            <w:r w:rsidR="007A48E3" w:rsidRPr="00FB2CE0">
              <w:rPr>
                <w:rFonts w:asciiTheme="minorHAnsi" w:eastAsia="Times New Roman" w:hAnsiTheme="minorHAnsi" w:cstheme="minorHAnsi"/>
                <w:sz w:val="20"/>
                <w:szCs w:val="20"/>
                <w:lang w:val="en-US" w:eastAsia="en-GB"/>
              </w:rPr>
              <w:t xml:space="preserve"> </w:t>
            </w:r>
            <w:r w:rsidRPr="00FB2CE0">
              <w:rPr>
                <w:rFonts w:asciiTheme="minorHAnsi" w:eastAsia="Times New Roman" w:hAnsiTheme="minorHAnsi" w:cstheme="minorHAnsi"/>
                <w:sz w:val="20"/>
                <w:szCs w:val="20"/>
                <w:lang w:eastAsia="en-GB"/>
              </w:rPr>
              <w:t>(Q8_ April-June 2021) </w:t>
            </w:r>
          </w:p>
        </w:tc>
        <w:tc>
          <w:tcPr>
            <w:tcW w:w="2808" w:type="pct"/>
            <w:hideMark/>
          </w:tcPr>
          <w:p w14:paraId="27A1F30D" w14:textId="4E147393"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xml:space="preserve">2 sites match with baseline. And those two improved from </w:t>
            </w:r>
            <w:r w:rsidR="007A48E3" w:rsidRPr="00FB2CE0">
              <w:rPr>
                <w:rFonts w:asciiTheme="minorHAnsi" w:eastAsia="Times New Roman" w:hAnsiTheme="minorHAnsi" w:cstheme="minorHAnsi"/>
                <w:sz w:val="20"/>
                <w:szCs w:val="20"/>
                <w:lang w:eastAsia="en-GB"/>
              </w:rPr>
              <w:t xml:space="preserve">baseline </w:t>
            </w:r>
            <w:r w:rsidRPr="00FB2CE0">
              <w:rPr>
                <w:rFonts w:asciiTheme="minorHAnsi" w:eastAsia="Times New Roman" w:hAnsiTheme="minorHAnsi" w:cstheme="minorHAnsi"/>
                <w:sz w:val="20"/>
                <w:szCs w:val="20"/>
                <w:lang w:eastAsia="en-GB"/>
              </w:rPr>
              <w:t xml:space="preserve">to </w:t>
            </w:r>
            <w:r w:rsidR="007A48E3" w:rsidRPr="00FB2CE0">
              <w:rPr>
                <w:rFonts w:asciiTheme="minorHAnsi" w:eastAsia="Times New Roman" w:hAnsiTheme="minorHAnsi" w:cstheme="minorHAnsi"/>
                <w:sz w:val="20"/>
                <w:szCs w:val="20"/>
                <w:lang w:eastAsia="en-GB"/>
              </w:rPr>
              <w:t>endline</w:t>
            </w:r>
            <w:r w:rsidRPr="00FB2CE0">
              <w:rPr>
                <w:rFonts w:asciiTheme="minorHAnsi" w:eastAsia="Times New Roman" w:hAnsiTheme="minorHAnsi" w:cstheme="minorHAnsi"/>
                <w:sz w:val="20"/>
                <w:szCs w:val="20"/>
                <w:lang w:eastAsia="en-GB"/>
              </w:rPr>
              <w:t xml:space="preserve">. </w:t>
            </w:r>
            <w:r w:rsidR="007A48E3" w:rsidRPr="00FB2CE0">
              <w:rPr>
                <w:rFonts w:asciiTheme="minorHAnsi" w:eastAsia="Times New Roman" w:hAnsiTheme="minorHAnsi" w:cstheme="minorHAnsi"/>
                <w:sz w:val="20"/>
                <w:szCs w:val="20"/>
                <w:lang w:eastAsia="en-GB"/>
              </w:rPr>
              <w:t>The a</w:t>
            </w:r>
            <w:r w:rsidRPr="00FB2CE0">
              <w:rPr>
                <w:rFonts w:asciiTheme="minorHAnsi" w:eastAsia="Times New Roman" w:hAnsiTheme="minorHAnsi" w:cstheme="minorHAnsi"/>
                <w:sz w:val="20"/>
                <w:szCs w:val="20"/>
                <w:lang w:eastAsia="en-GB"/>
              </w:rPr>
              <w:t xml:space="preserve">dditional 3 sites </w:t>
            </w:r>
            <w:r w:rsidR="007A48E3" w:rsidRPr="00FB2CE0">
              <w:rPr>
                <w:rFonts w:asciiTheme="minorHAnsi" w:eastAsia="Times New Roman" w:hAnsiTheme="minorHAnsi" w:cstheme="minorHAnsi"/>
                <w:sz w:val="20"/>
                <w:szCs w:val="20"/>
                <w:lang w:eastAsia="en-GB"/>
              </w:rPr>
              <w:t xml:space="preserve">were </w:t>
            </w:r>
            <w:r w:rsidRPr="00FB2CE0">
              <w:rPr>
                <w:rFonts w:asciiTheme="minorHAnsi" w:eastAsia="Times New Roman" w:hAnsiTheme="minorHAnsi" w:cstheme="minorHAnsi"/>
                <w:sz w:val="20"/>
                <w:szCs w:val="20"/>
                <w:lang w:eastAsia="en-GB"/>
              </w:rPr>
              <w:t>add</w:t>
            </w:r>
            <w:r w:rsidR="007A48E3" w:rsidRPr="00FB2CE0">
              <w:rPr>
                <w:rFonts w:asciiTheme="minorHAnsi" w:eastAsia="Times New Roman" w:hAnsiTheme="minorHAnsi" w:cstheme="minorHAnsi"/>
                <w:sz w:val="20"/>
                <w:szCs w:val="20"/>
                <w:lang w:eastAsia="en-GB"/>
              </w:rPr>
              <w:t>ed</w:t>
            </w:r>
            <w:r w:rsidRPr="00FB2CE0">
              <w:rPr>
                <w:rFonts w:asciiTheme="minorHAnsi" w:eastAsia="Times New Roman" w:hAnsiTheme="minorHAnsi" w:cstheme="minorHAnsi"/>
                <w:sz w:val="20"/>
                <w:szCs w:val="20"/>
                <w:lang w:eastAsia="en-GB"/>
              </w:rPr>
              <w:t xml:space="preserve"> during </w:t>
            </w:r>
            <w:r w:rsidR="007A48E3" w:rsidRPr="00FB2CE0">
              <w:rPr>
                <w:rFonts w:asciiTheme="minorHAnsi" w:eastAsia="Times New Roman" w:hAnsiTheme="minorHAnsi" w:cstheme="minorHAnsi"/>
                <w:sz w:val="20"/>
                <w:szCs w:val="20"/>
                <w:lang w:eastAsia="en-GB"/>
              </w:rPr>
              <w:t>endline</w:t>
            </w:r>
            <w:r w:rsidRPr="00FB2CE0">
              <w:rPr>
                <w:rFonts w:asciiTheme="minorHAnsi" w:eastAsia="Times New Roman" w:hAnsiTheme="minorHAnsi" w:cstheme="minorHAnsi"/>
                <w:sz w:val="20"/>
                <w:szCs w:val="20"/>
                <w:lang w:eastAsia="en-GB"/>
              </w:rPr>
              <w:t xml:space="preserve"> and</w:t>
            </w:r>
            <w:r w:rsidR="007458AC" w:rsidRPr="00FB2CE0">
              <w:rPr>
                <w:rFonts w:asciiTheme="minorHAnsi" w:eastAsia="Times New Roman" w:hAnsiTheme="minorHAnsi" w:cstheme="minorHAnsi"/>
                <w:sz w:val="20"/>
                <w:szCs w:val="20"/>
                <w:lang w:eastAsia="en-GB"/>
              </w:rPr>
              <w:t xml:space="preserve"> </w:t>
            </w:r>
            <w:r w:rsidRPr="00FB2CE0">
              <w:rPr>
                <w:rFonts w:asciiTheme="minorHAnsi" w:eastAsia="Times New Roman" w:hAnsiTheme="minorHAnsi" w:cstheme="minorHAnsi"/>
                <w:sz w:val="20"/>
                <w:szCs w:val="20"/>
                <w:lang w:eastAsia="en-GB"/>
              </w:rPr>
              <w:t xml:space="preserve">two were absent from </w:t>
            </w:r>
            <w:r w:rsidR="007A48E3" w:rsidRPr="00FB2CE0">
              <w:rPr>
                <w:rFonts w:asciiTheme="minorHAnsi" w:eastAsia="Times New Roman" w:hAnsiTheme="minorHAnsi" w:cstheme="minorHAnsi"/>
                <w:sz w:val="20"/>
                <w:szCs w:val="20"/>
                <w:lang w:eastAsia="en-GB"/>
              </w:rPr>
              <w:t>baseline</w:t>
            </w:r>
            <w:r w:rsidRPr="00FB2CE0">
              <w:rPr>
                <w:rFonts w:asciiTheme="minorHAnsi" w:eastAsia="Times New Roman" w:hAnsiTheme="minorHAnsi" w:cstheme="minorHAnsi"/>
                <w:sz w:val="20"/>
                <w:szCs w:val="20"/>
                <w:lang w:eastAsia="en-GB"/>
              </w:rPr>
              <w:t>. </w:t>
            </w:r>
          </w:p>
        </w:tc>
        <w:tc>
          <w:tcPr>
            <w:tcW w:w="359" w:type="pct"/>
            <w:shd w:val="clear" w:color="auto" w:fill="FFC000"/>
            <w:hideMark/>
          </w:tcPr>
          <w:p w14:paraId="0AF607E0" w14:textId="77777777" w:rsidR="000B0469" w:rsidRPr="007F63EF" w:rsidRDefault="000B0469" w:rsidP="00BD6930">
            <w:pPr>
              <w:jc w:val="center"/>
              <w:textAlignment w:val="baseline"/>
              <w:rPr>
                <w:rFonts w:asciiTheme="minorHAnsi" w:eastAsia="Times New Roman" w:hAnsiTheme="minorHAnsi" w:cstheme="minorHAnsi"/>
                <w:color w:val="auto"/>
                <w:sz w:val="20"/>
                <w:szCs w:val="20"/>
                <w:lang w:eastAsia="en-GB"/>
              </w:rPr>
            </w:pPr>
            <w:r w:rsidRPr="00FB2CE0">
              <w:rPr>
                <w:rFonts w:asciiTheme="minorHAnsi" w:eastAsia="Times New Roman" w:hAnsiTheme="minorHAnsi" w:cstheme="minorHAnsi"/>
                <w:sz w:val="20"/>
                <w:szCs w:val="20"/>
                <w:lang w:eastAsia="en-GB"/>
              </w:rPr>
              <w:t> </w:t>
            </w:r>
          </w:p>
        </w:tc>
      </w:tr>
    </w:tbl>
    <w:p w14:paraId="3E41DDEC" w14:textId="7F432506" w:rsidR="00A73099" w:rsidRPr="006409BF" w:rsidRDefault="006F68DB" w:rsidP="007F63EF">
      <w:pPr>
        <w:pStyle w:val="FFNormal"/>
      </w:pPr>
      <w:bookmarkStart w:id="246" w:name="_Hlk129550294"/>
      <w:r>
        <w:t xml:space="preserve">The </w:t>
      </w:r>
      <w:r w:rsidR="00A73099">
        <w:t>MA</w:t>
      </w:r>
      <w:r>
        <w:t>’s</w:t>
      </w:r>
      <w:r w:rsidR="00A73099">
        <w:t xml:space="preserve"> KPI data on changes in laboratory capacity</w:t>
      </w:r>
      <w:r w:rsidR="008653AA">
        <w:t xml:space="preserve"> (</w:t>
      </w:r>
      <w:r w:rsidR="00BF1DEF">
        <w:rPr>
          <w:highlight w:val="yellow"/>
        </w:rPr>
        <w:fldChar w:fldCharType="begin"/>
      </w:r>
      <w:r w:rsidR="00BF1DEF">
        <w:instrText xml:space="preserve"> REF _Ref122523297 \h </w:instrText>
      </w:r>
      <w:r>
        <w:rPr>
          <w:highlight w:val="yellow"/>
        </w:rPr>
        <w:instrText xml:space="preserve"> \* MERGEFORMAT </w:instrText>
      </w:r>
      <w:r w:rsidR="00BF1DEF">
        <w:rPr>
          <w:highlight w:val="yellow"/>
        </w:rPr>
      </w:r>
      <w:r w:rsidR="00BF1DEF">
        <w:rPr>
          <w:highlight w:val="yellow"/>
        </w:rPr>
        <w:fldChar w:fldCharType="separate"/>
      </w:r>
      <w:r w:rsidR="009A383C">
        <w:t xml:space="preserve">Figure </w:t>
      </w:r>
      <w:r w:rsidR="009A383C">
        <w:rPr>
          <w:noProof/>
        </w:rPr>
        <w:t>21</w:t>
      </w:r>
      <w:r w:rsidR="00BF1DEF">
        <w:rPr>
          <w:highlight w:val="yellow"/>
        </w:rPr>
        <w:fldChar w:fldCharType="end"/>
      </w:r>
      <w:r w:rsidR="00481C62">
        <w:t xml:space="preserve"> and </w:t>
      </w:r>
      <w:r w:rsidR="00BF1DEF">
        <w:rPr>
          <w:highlight w:val="yellow"/>
        </w:rPr>
        <w:fldChar w:fldCharType="begin"/>
      </w:r>
      <w:r w:rsidR="00BF1DEF">
        <w:instrText xml:space="preserve"> REF _Ref122440601 \h </w:instrText>
      </w:r>
      <w:r>
        <w:rPr>
          <w:highlight w:val="yellow"/>
        </w:rPr>
        <w:instrText xml:space="preserve"> \* MERGEFORMAT </w:instrText>
      </w:r>
      <w:r w:rsidR="00BF1DEF">
        <w:rPr>
          <w:highlight w:val="yellow"/>
        </w:rPr>
      </w:r>
      <w:r w:rsidR="00BF1DEF">
        <w:rPr>
          <w:highlight w:val="yellow"/>
        </w:rPr>
        <w:fldChar w:fldCharType="separate"/>
      </w:r>
      <w:r w:rsidR="009A383C">
        <w:t xml:space="preserve">Figure </w:t>
      </w:r>
      <w:r w:rsidR="009A383C">
        <w:rPr>
          <w:noProof/>
        </w:rPr>
        <w:t>22</w:t>
      </w:r>
      <w:r w:rsidR="00BF1DEF">
        <w:rPr>
          <w:highlight w:val="yellow"/>
        </w:rPr>
        <w:fldChar w:fldCharType="end"/>
      </w:r>
      <w:r w:rsidR="008653AA">
        <w:t>) show that</w:t>
      </w:r>
      <w:r w:rsidR="0044562C">
        <w:t xml:space="preserve">, in both HH and AH sectors, </w:t>
      </w:r>
      <w:r w:rsidR="008653AA">
        <w:t>there has been a progressive increase in both the number of sites supported by the Fleming Fund</w:t>
      </w:r>
      <w:r w:rsidR="008653AA">
        <w:rPr>
          <w:rStyle w:val="FootnoteReference"/>
        </w:rPr>
        <w:footnoteReference w:id="51"/>
      </w:r>
      <w:r w:rsidR="005F6405">
        <w:t xml:space="preserve"> and in the number of sites that are progressing in </w:t>
      </w:r>
      <w:r>
        <w:t xml:space="preserve">two </w:t>
      </w:r>
      <w:r w:rsidR="005F6405">
        <w:t xml:space="preserve">or more components of the LSHTM roadmap. Note that data shown for 2022 </w:t>
      </w:r>
      <w:r w:rsidR="007B734F">
        <w:t>is</w:t>
      </w:r>
      <w:r w:rsidR="005F6405">
        <w:t xml:space="preserve"> not complete</w:t>
      </w:r>
      <w:r w:rsidR="007B734F">
        <w:t>, it only shows data</w:t>
      </w:r>
      <w:r w:rsidR="005F6405">
        <w:t xml:space="preserve"> up to June 2022. </w:t>
      </w:r>
      <w:r w:rsidR="0044562C">
        <w:t xml:space="preserve">This equates to meeting agreed targets in HH </w:t>
      </w:r>
      <w:r w:rsidR="007B734F">
        <w:t xml:space="preserve">in </w:t>
      </w:r>
      <w:r w:rsidR="00500E56">
        <w:t xml:space="preserve">two of three completed years, with 2020 being off-track – most likely due to COVID-19. </w:t>
      </w:r>
      <w:r w:rsidR="00C40251">
        <w:t xml:space="preserve">Similar performance is shown in AH. In both sectors, at the time of writing it </w:t>
      </w:r>
      <w:r>
        <w:t>wa</w:t>
      </w:r>
      <w:r w:rsidR="00C40251">
        <w:t xml:space="preserve">s too early to tell whether targets </w:t>
      </w:r>
      <w:r>
        <w:t xml:space="preserve">would </w:t>
      </w:r>
      <w:r w:rsidR="00C40251">
        <w:t>be met in 2022.</w:t>
      </w:r>
    </w:p>
    <w:bookmarkEnd w:id="246"/>
    <w:p w14:paraId="4FD10CDB" w14:textId="7EF0E661" w:rsidR="007A48E3" w:rsidRDefault="00893C10" w:rsidP="0021138E">
      <w:pPr>
        <w:pStyle w:val="ItadNormalText"/>
        <w:jc w:val="center"/>
        <w:rPr>
          <w:sz w:val="18"/>
          <w:szCs w:val="18"/>
        </w:rPr>
      </w:pPr>
      <w:r>
        <w:rPr>
          <w:noProof/>
        </w:rPr>
        <mc:AlternateContent>
          <mc:Choice Requires="wps">
            <w:drawing>
              <wp:anchor distT="0" distB="0" distL="114300" distR="114300" simplePos="0" relativeHeight="251658251" behindDoc="0" locked="0" layoutInCell="1" allowOverlap="1" wp14:anchorId="697A068C" wp14:editId="3AE79535">
                <wp:simplePos x="0" y="0"/>
                <wp:positionH relativeFrom="column">
                  <wp:posOffset>318770</wp:posOffset>
                </wp:positionH>
                <wp:positionV relativeFrom="paragraph">
                  <wp:posOffset>3702685</wp:posOffset>
                </wp:positionV>
                <wp:extent cx="5692140" cy="635"/>
                <wp:effectExtent l="0" t="0" r="0" b="0"/>
                <wp:wrapNone/>
                <wp:docPr id="54" name="Text Box 54"/>
                <wp:cNvGraphicFramePr/>
                <a:graphic xmlns:a="http://schemas.openxmlformats.org/drawingml/2006/main">
                  <a:graphicData uri="http://schemas.microsoft.com/office/word/2010/wordprocessingShape">
                    <wps:wsp>
                      <wps:cNvSpPr txBox="1"/>
                      <wps:spPr>
                        <a:xfrm>
                          <a:off x="0" y="0"/>
                          <a:ext cx="5692140" cy="635"/>
                        </a:xfrm>
                        <a:prstGeom prst="rect">
                          <a:avLst/>
                        </a:prstGeom>
                        <a:solidFill>
                          <a:prstClr val="white"/>
                        </a:solidFill>
                        <a:ln>
                          <a:noFill/>
                        </a:ln>
                      </wps:spPr>
                      <wps:txbx>
                        <w:txbxContent>
                          <w:p w14:paraId="66E4F0AD" w14:textId="1006D518" w:rsidR="00481C62" w:rsidRPr="00D341E1" w:rsidRDefault="00481C62" w:rsidP="00C04C3C">
                            <w:pPr>
                              <w:pStyle w:val="ItadCaption"/>
                              <w:rPr>
                                <w:b/>
                                <w:bCs/>
                                <w:noProof/>
                                <w:color w:val="588B46" w:themeColor="text2"/>
                                <w:sz w:val="32"/>
                                <w:szCs w:val="32"/>
                              </w:rPr>
                            </w:pPr>
                            <w:bookmarkStart w:id="247" w:name="_Ref122523297"/>
                            <w:bookmarkStart w:id="248" w:name="_Toc143858075"/>
                            <w:r>
                              <w:t xml:space="preserve">Figure </w:t>
                            </w:r>
                            <w:r>
                              <w:fldChar w:fldCharType="begin"/>
                            </w:r>
                            <w:r>
                              <w:instrText>SEQ Figure \* ARABIC</w:instrText>
                            </w:r>
                            <w:r>
                              <w:fldChar w:fldCharType="separate"/>
                            </w:r>
                            <w:r w:rsidR="00777FDB">
                              <w:rPr>
                                <w:noProof/>
                              </w:rPr>
                              <w:t>21</w:t>
                            </w:r>
                            <w:r>
                              <w:fldChar w:fldCharType="end"/>
                            </w:r>
                            <w:bookmarkEnd w:id="247"/>
                            <w:r>
                              <w:t xml:space="preserve"> Number of Fleming Fund supported HH sites showing </w:t>
                            </w:r>
                            <w:r>
                              <w:rPr>
                                <w:noProof/>
                              </w:rPr>
                              <w:t>progress through the LSHTM roadmap</w:t>
                            </w:r>
                            <w:bookmarkEnd w:id="24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7A068C" id="Text Box 54" o:spid="_x0000_s1030" type="#_x0000_t202" style="position:absolute;left:0;text-align:left;margin-left:25.1pt;margin-top:291.55pt;width:448.2pt;height:.05pt;z-index:25165825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" stroked="f">
                <v:textbox style="mso-fit-shape-to-text:t" inset="0,0,0,0">
                  <w:txbxContent>
                    <w:p w14:paraId="66E4F0AD" w14:textId="1006D518" w:rsidR="00481C62" w:rsidRPr="00D341E1" w:rsidRDefault="00481C62" w:rsidP="00C04C3C">
                      <w:pPr>
                        <w:pStyle w:val="ItadCaption"/>
                        <w:rPr>
                          <w:b/>
                          <w:bCs/>
                          <w:noProof/>
                          <w:color w:val="588B46" w:themeColor="text2"/>
                          <w:sz w:val="32"/>
                          <w:szCs w:val="32"/>
                        </w:rPr>
                      </w:pPr>
                      <w:bookmarkStart w:id="249" w:name="_Ref122523297"/>
                      <w:bookmarkStart w:id="250" w:name="_Toc143858075"/>
                      <w:r>
                        <w:t xml:space="preserve">Figure </w:t>
                      </w:r>
                      <w:r>
                        <w:fldChar w:fldCharType="begin"/>
                      </w:r>
                      <w:r>
                        <w:instrText>SEQ Figure \* ARABIC</w:instrText>
                      </w:r>
                      <w:r>
                        <w:fldChar w:fldCharType="separate"/>
                      </w:r>
                      <w:r w:rsidR="00777FDB">
                        <w:rPr>
                          <w:noProof/>
                        </w:rPr>
                        <w:t>21</w:t>
                      </w:r>
                      <w:r>
                        <w:fldChar w:fldCharType="end"/>
                      </w:r>
                      <w:bookmarkEnd w:id="249"/>
                      <w:r>
                        <w:t xml:space="preserve"> Number of Fleming Fund supported HH sites showing </w:t>
                      </w:r>
                      <w:r>
                        <w:rPr>
                          <w:noProof/>
                        </w:rPr>
                        <w:t>progress through the LSHTM roadmap</w:t>
                      </w:r>
                      <w:bookmarkEnd w:id="250"/>
                    </w:p>
                  </w:txbxContent>
                </v:textbox>
              </v:shape>
            </w:pict>
          </mc:Fallback>
        </mc:AlternateContent>
      </w:r>
      <w:r>
        <w:rPr>
          <w:noProof/>
          <w:sz w:val="18"/>
          <w:szCs w:val="18"/>
        </w:rPr>
        <w:drawing>
          <wp:inline distT="0" distB="0" distL="0" distR="0" wp14:anchorId="572AC954" wp14:editId="30059172">
            <wp:extent cx="5410200" cy="36079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420986" cy="3615118"/>
                    </a:xfrm>
                    <a:prstGeom prst="rect">
                      <a:avLst/>
                    </a:prstGeom>
                    <a:noFill/>
                  </pic:spPr>
                </pic:pic>
              </a:graphicData>
            </a:graphic>
          </wp:inline>
        </w:drawing>
      </w:r>
    </w:p>
    <w:p w14:paraId="332BC804" w14:textId="35AE88C7" w:rsidR="00CD75E2" w:rsidRPr="00BB4743" w:rsidRDefault="00CD75E2" w:rsidP="005A15BD">
      <w:pPr>
        <w:pStyle w:val="ItadNormalText"/>
        <w:rPr>
          <w:sz w:val="18"/>
          <w:szCs w:val="18"/>
        </w:rPr>
      </w:pPr>
    </w:p>
    <w:p w14:paraId="249555C7" w14:textId="5AE78547" w:rsidR="00A635EE" w:rsidRPr="00C5760E" w:rsidRDefault="00A635EE" w:rsidP="00C5760E"/>
    <w:p w14:paraId="3F131119" w14:textId="5D4837E9" w:rsidR="007841AB" w:rsidRDefault="00893C10" w:rsidP="0021138E">
      <w:pPr>
        <w:jc w:val="center"/>
      </w:pPr>
      <w:r>
        <w:rPr>
          <w:noProof/>
        </w:rPr>
        <w:drawing>
          <wp:anchor distT="0" distB="0" distL="114300" distR="114300" simplePos="0" relativeHeight="251658253" behindDoc="1" locked="0" layoutInCell="1" allowOverlap="1" wp14:anchorId="3695C0FC" wp14:editId="6FE7F096">
            <wp:simplePos x="0" y="0"/>
            <wp:positionH relativeFrom="column">
              <wp:posOffset>545465</wp:posOffset>
            </wp:positionH>
            <wp:positionV relativeFrom="paragraph">
              <wp:posOffset>-2540</wp:posOffset>
            </wp:positionV>
            <wp:extent cx="4946650" cy="3298795"/>
            <wp:effectExtent l="0" t="0" r="6350" b="0"/>
            <wp:wrapNone/>
            <wp:docPr id="23" name="Picture 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0" cy="3298795"/>
                    </a:xfrm>
                    <a:prstGeom prst="rect">
                      <a:avLst/>
                    </a:prstGeom>
                    <a:noFill/>
                  </pic:spPr>
                </pic:pic>
              </a:graphicData>
            </a:graphic>
            <wp14:sizeRelH relativeFrom="page">
              <wp14:pctWidth>0</wp14:pctWidth>
            </wp14:sizeRelH>
            <wp14:sizeRelV relativeFrom="page">
              <wp14:pctHeight>0</wp14:pctHeight>
            </wp14:sizeRelV>
          </wp:anchor>
        </w:drawing>
      </w:r>
      <w:r w:rsidR="0021138E">
        <w:rPr>
          <w:noProof/>
        </w:rPr>
        <mc:AlternateContent>
          <mc:Choice Requires="wps">
            <w:drawing>
              <wp:anchor distT="0" distB="0" distL="114300" distR="114300" simplePos="0" relativeHeight="251658252" behindDoc="0" locked="0" layoutInCell="1" allowOverlap="1" wp14:anchorId="093E009C" wp14:editId="54F9F1D1">
                <wp:simplePos x="0" y="0"/>
                <wp:positionH relativeFrom="column">
                  <wp:posOffset>396875</wp:posOffset>
                </wp:positionH>
                <wp:positionV relativeFrom="paragraph">
                  <wp:posOffset>3298825</wp:posOffset>
                </wp:positionV>
                <wp:extent cx="5699760" cy="635"/>
                <wp:effectExtent l="0" t="0" r="0" b="0"/>
                <wp:wrapNone/>
                <wp:docPr id="55" name="Text Box 55"/>
                <wp:cNvGraphicFramePr/>
                <a:graphic xmlns:a="http://schemas.openxmlformats.org/drawingml/2006/main">
                  <a:graphicData uri="http://schemas.microsoft.com/office/word/2010/wordprocessingShape">
                    <wps:wsp>
                      <wps:cNvSpPr txBox="1"/>
                      <wps:spPr>
                        <a:xfrm>
                          <a:off x="0" y="0"/>
                          <a:ext cx="5699760" cy="635"/>
                        </a:xfrm>
                        <a:prstGeom prst="rect">
                          <a:avLst/>
                        </a:prstGeom>
                        <a:solidFill>
                          <a:prstClr val="white"/>
                        </a:solidFill>
                        <a:ln>
                          <a:noFill/>
                        </a:ln>
                      </wps:spPr>
                      <wps:txbx>
                        <w:txbxContent>
                          <w:p w14:paraId="6918C513" w14:textId="4ED00EAF" w:rsidR="00481C62" w:rsidRPr="000F2638" w:rsidRDefault="00481C62" w:rsidP="00C04C3C">
                            <w:pPr>
                              <w:pStyle w:val="ItadCaption"/>
                              <w:rPr>
                                <w:b/>
                                <w:bCs/>
                                <w:noProof/>
                                <w:color w:val="588B46" w:themeColor="text2"/>
                                <w:sz w:val="32"/>
                                <w:szCs w:val="32"/>
                              </w:rPr>
                            </w:pPr>
                            <w:bookmarkStart w:id="251" w:name="_Ref122440601"/>
                            <w:bookmarkStart w:id="252" w:name="_Toc143858076"/>
                            <w:r>
                              <w:t xml:space="preserve">Figure </w:t>
                            </w:r>
                            <w:r>
                              <w:fldChar w:fldCharType="begin"/>
                            </w:r>
                            <w:r>
                              <w:instrText>SEQ Figure \* ARABIC</w:instrText>
                            </w:r>
                            <w:r>
                              <w:fldChar w:fldCharType="separate"/>
                            </w:r>
                            <w:r w:rsidR="00777FDB">
                              <w:rPr>
                                <w:noProof/>
                              </w:rPr>
                              <w:t>22</w:t>
                            </w:r>
                            <w:r>
                              <w:fldChar w:fldCharType="end"/>
                            </w:r>
                            <w:bookmarkEnd w:id="251"/>
                            <w:r>
                              <w:t xml:space="preserve"> Number of Fl</w:t>
                            </w:r>
                            <w:r w:rsidRPr="00CE7278">
                              <w:t xml:space="preserve">eming Fund supported </w:t>
                            </w:r>
                            <w:r>
                              <w:t>A</w:t>
                            </w:r>
                            <w:r w:rsidRPr="00CE7278">
                              <w:t>H sites showing progress through the LSHTM roadmap</w:t>
                            </w:r>
                            <w:bookmarkEnd w:id="25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93E009C" id="Text Box 55" o:spid="_x0000_s1031" type="#_x0000_t202" style="position:absolute;left:0;text-align:left;margin-left:31.25pt;margin-top:259.75pt;width:448.8pt;height:.05pt;z-index:2516582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" stroked="f">
                <v:textbox style="mso-fit-shape-to-text:t" inset="0,0,0,0">
                  <w:txbxContent>
                    <w:p w14:paraId="6918C513" w14:textId="4ED00EAF" w:rsidR="00481C62" w:rsidRPr="000F2638" w:rsidRDefault="00481C62" w:rsidP="00C04C3C">
                      <w:pPr>
                        <w:pStyle w:val="ItadCaption"/>
                        <w:rPr>
                          <w:b/>
                          <w:bCs/>
                          <w:noProof/>
                          <w:color w:val="588B46" w:themeColor="text2"/>
                          <w:sz w:val="32"/>
                          <w:szCs w:val="32"/>
                        </w:rPr>
                      </w:pPr>
                      <w:bookmarkStart w:id="253" w:name="_Ref122440601"/>
                      <w:bookmarkStart w:id="254" w:name="_Toc143858076"/>
                      <w:r>
                        <w:t xml:space="preserve">Figure </w:t>
                      </w:r>
                      <w:r>
                        <w:fldChar w:fldCharType="begin"/>
                      </w:r>
                      <w:r>
                        <w:instrText>SEQ Figure \* ARABIC</w:instrText>
                      </w:r>
                      <w:r>
                        <w:fldChar w:fldCharType="separate"/>
                      </w:r>
                      <w:r w:rsidR="00777FDB">
                        <w:rPr>
                          <w:noProof/>
                        </w:rPr>
                        <w:t>22</w:t>
                      </w:r>
                      <w:r>
                        <w:fldChar w:fldCharType="end"/>
                      </w:r>
                      <w:bookmarkEnd w:id="253"/>
                      <w:r>
                        <w:t xml:space="preserve"> Number of Fl</w:t>
                      </w:r>
                      <w:r w:rsidRPr="00CE7278">
                        <w:t xml:space="preserve">eming Fund supported </w:t>
                      </w:r>
                      <w:r>
                        <w:t>A</w:t>
                      </w:r>
                      <w:r w:rsidRPr="00CE7278">
                        <w:t>H sites showing progress through the LSHTM roadmap</w:t>
                      </w:r>
                      <w:bookmarkEnd w:id="254"/>
                    </w:p>
                  </w:txbxContent>
                </v:textbox>
              </v:shape>
            </w:pict>
          </mc:Fallback>
        </mc:AlternateContent>
      </w:r>
      <w:r w:rsidR="007841AB">
        <w:br w:type="page"/>
      </w:r>
    </w:p>
    <w:p w14:paraId="51E23FEC" w14:textId="22ED5399" w:rsidR="00562AC1" w:rsidRDefault="007779FC" w:rsidP="06450652">
      <w:pPr>
        <w:pStyle w:val="ItadH1Numbered"/>
        <w:numPr>
          <w:ilvl w:val="0"/>
          <w:numId w:val="0"/>
        </w:numPr>
      </w:pPr>
      <w:bookmarkStart w:id="255" w:name="_Toc118968542"/>
      <w:bookmarkStart w:id="256" w:name="_Toc142383181"/>
      <w:r w:rsidRPr="007C65F2">
        <w:t xml:space="preserve">Annex </w:t>
      </w:r>
      <w:r w:rsidR="00A70655">
        <w:t>9</w:t>
      </w:r>
      <w:r w:rsidRPr="007C65F2">
        <w:t xml:space="preserve">: </w:t>
      </w:r>
      <w:r>
        <w:t>Data Use</w:t>
      </w:r>
      <w:bookmarkEnd w:id="255"/>
      <w:bookmarkEnd w:id="256"/>
    </w:p>
    <w:p w14:paraId="62297036" w14:textId="634564A9" w:rsidR="4F4E5E91" w:rsidRDefault="003714DA" w:rsidP="01946E91">
      <w:pPr>
        <w:pStyle w:val="ItadH2"/>
        <w:spacing w:line="259" w:lineRule="auto"/>
      </w:pPr>
      <w:bookmarkStart w:id="257" w:name="_Toc142383182"/>
      <w:r>
        <w:t xml:space="preserve">9.1 </w:t>
      </w:r>
      <w:r w:rsidR="5C3FEFFF" w:rsidRPr="1FE22FA2">
        <w:t>Observed data use at the national level</w:t>
      </w:r>
      <w:bookmarkEnd w:id="257"/>
    </w:p>
    <w:p w14:paraId="2E5AC117" w14:textId="4C3E3B2E" w:rsidR="4F4E5E91" w:rsidRDefault="482EE314" w:rsidP="007F63EF">
      <w:pPr>
        <w:pStyle w:val="FFNormal"/>
      </w:pPr>
      <w:bookmarkStart w:id="258" w:name="_Hlk129529874"/>
      <w:r w:rsidRPr="1FE22FA2">
        <w:t xml:space="preserve">This section summarises </w:t>
      </w:r>
      <w:r w:rsidR="00B341BD">
        <w:t xml:space="preserve">the </w:t>
      </w:r>
      <w:r w:rsidRPr="1FE22FA2">
        <w:t>headline national</w:t>
      </w:r>
      <w:r w:rsidR="00460954">
        <w:t>-</w:t>
      </w:r>
      <w:r w:rsidRPr="1FE22FA2">
        <w:t>level data use observations. These observations are based on information from KII</w:t>
      </w:r>
      <w:r w:rsidR="00B341BD">
        <w:t>s</w:t>
      </w:r>
      <w:r w:rsidRPr="1FE22FA2">
        <w:t xml:space="preserve"> as well as relevant documentation (including underlying data, and/or evidence of data </w:t>
      </w:r>
      <w:r w:rsidR="000C5186" w:rsidRPr="1FE22FA2">
        <w:t>sharing,</w:t>
      </w:r>
      <w:r w:rsidRPr="1FE22FA2">
        <w:t xml:space="preserve"> or use provided </w:t>
      </w:r>
      <w:r w:rsidR="00B341BD">
        <w:t>by</w:t>
      </w:r>
      <w:r w:rsidRPr="1FE22FA2">
        <w:t xml:space="preserve"> KII</w:t>
      </w:r>
      <w:r w:rsidR="00B341BD">
        <w:t>s</w:t>
      </w:r>
      <w:r w:rsidRPr="1FE22FA2">
        <w:t xml:space="preserve"> where available).</w:t>
      </w:r>
    </w:p>
    <w:p w14:paraId="78A73369" w14:textId="0A713D97" w:rsidR="4F4E5E91" w:rsidRDefault="482EE314" w:rsidP="007F63EF">
      <w:pPr>
        <w:pStyle w:val="FFNormal"/>
      </w:pPr>
      <w:r w:rsidRPr="1FE22FA2">
        <w:t>Data use was assessed to have taken place where there was evidence that relevant AMR surveillance data had contributed to decision</w:t>
      </w:r>
      <w:r w:rsidR="0027140E">
        <w:t xml:space="preserve"> </w:t>
      </w:r>
      <w:r w:rsidRPr="1FE22FA2">
        <w:t xml:space="preserve">making by responsible participants (policymakers) in </w:t>
      </w:r>
      <w:r w:rsidR="00460954">
        <w:t xml:space="preserve">the </w:t>
      </w:r>
      <w:r w:rsidRPr="1FE22FA2">
        <w:t>appropriate governance structures (AMRCC or equivalent), linked with verifiable national action in the form of policy being implemented or regulation enacted since 2018.</w:t>
      </w:r>
    </w:p>
    <w:p w14:paraId="622B7BB4" w14:textId="0361EE30" w:rsidR="4F4E5E91" w:rsidRDefault="482EE314" w:rsidP="007F63EF">
      <w:pPr>
        <w:pStyle w:val="FFNormal"/>
      </w:pPr>
      <w:r w:rsidRPr="1FE22FA2">
        <w:t xml:space="preserve">Data use is different from data sharing, although the two are related. Data sharing was assessed to have taken place where there was evidence of </w:t>
      </w:r>
      <w:r w:rsidR="0027140E">
        <w:t>shared</w:t>
      </w:r>
      <w:r w:rsidRPr="1FE22FA2">
        <w:t xml:space="preserve"> relevant AMR surveillance data with appropriate governance structures (AMRCC or equivalent) for surveillance purposes (ongoing, systematic, purposeful data processing by those responsible for decision</w:t>
      </w:r>
      <w:r w:rsidR="0027140E">
        <w:t xml:space="preserve"> </w:t>
      </w:r>
      <w:r w:rsidRPr="1FE22FA2">
        <w:t>making on AMR-related action).</w:t>
      </w:r>
    </w:p>
    <w:p w14:paraId="5446C4D8" w14:textId="6DE89A84" w:rsidR="4F4E5E91" w:rsidRDefault="482EE314" w:rsidP="007F63EF">
      <w:pPr>
        <w:pStyle w:val="FFNormal"/>
      </w:pPr>
      <w:r w:rsidRPr="1FE22FA2">
        <w:t xml:space="preserve">Countries were grouped into clusters. Note that these groups were developed for evaluation analysis purposes focused on the question of how surveillance data sharing </w:t>
      </w:r>
      <w:r w:rsidR="00906133" w:rsidRPr="1FE22FA2">
        <w:t>relates to</w:t>
      </w:r>
      <w:r w:rsidRPr="1FE22FA2">
        <w:t xml:space="preserve"> national action on AMR. </w:t>
      </w:r>
      <w:r w:rsidR="00906133" w:rsidRPr="1FE22FA2">
        <w:t>These</w:t>
      </w:r>
      <w:r w:rsidRPr="1FE22FA2">
        <w:t xml:space="preserve"> observations are not a general assessment of national AMR actions, nor do they claim to be a comprehensive summary of relevant actions. National decisions over whether to implement policy or enact regulation on AMR (or not) involve a broad range of issues and refer to various forms of information beyond AMR surveillance data. Observations in this section focus on processes of cross-sector AMR surveillance data sharing and use which is just a part of that overall picture. </w:t>
      </w:r>
    </w:p>
    <w:p w14:paraId="1828B2B5" w14:textId="63A7AF5C" w:rsidR="425ADF5E" w:rsidRPr="007F63EF" w:rsidRDefault="0027140E" w:rsidP="007F63EF">
      <w:pPr>
        <w:pStyle w:val="ItadCaption"/>
      </w:pPr>
      <w:bookmarkStart w:id="259" w:name="_Toc143857904"/>
      <w:bookmarkEnd w:id="258"/>
      <w:r w:rsidRPr="00DE3A75">
        <w:t xml:space="preserve">Table </w:t>
      </w:r>
      <w:r>
        <w:fldChar w:fldCharType="begin"/>
      </w:r>
      <w:r>
        <w:instrText>SEQ Table \* ARABIC</w:instrText>
      </w:r>
      <w:r>
        <w:fldChar w:fldCharType="separate"/>
      </w:r>
      <w:r w:rsidR="009A383C">
        <w:rPr>
          <w:noProof/>
        </w:rPr>
        <w:t>36</w:t>
      </w:r>
      <w:r>
        <w:fldChar w:fldCharType="end"/>
      </w:r>
      <w:r w:rsidRPr="00DE3A75">
        <w:t xml:space="preserve"> </w:t>
      </w:r>
      <w:r w:rsidR="425ADF5E" w:rsidRPr="007F63EF">
        <w:t>Examples of use of relevant data for decision</w:t>
      </w:r>
      <w:r w:rsidR="00BB5AC7">
        <w:t>-</w:t>
      </w:r>
      <w:r w:rsidR="425ADF5E" w:rsidRPr="007F63EF">
        <w:t>making</w:t>
      </w:r>
      <w:bookmarkEnd w:id="259"/>
    </w:p>
    <w:tbl>
      <w:tblPr>
        <w:tblStyle w:val="ItadGreenHeaderRow"/>
        <w:tblW w:w="5000" w:type="pct"/>
        <w:tblInd w:w="0" w:type="dxa"/>
        <w:tblLayout w:type="fixed"/>
        <w:tblLook w:val="04A0" w:firstRow="1" w:lastRow="0" w:firstColumn="1" w:lastColumn="0" w:noHBand="0" w:noVBand="1"/>
      </w:tblPr>
      <w:tblGrid>
        <w:gridCol w:w="2377"/>
        <w:gridCol w:w="2377"/>
        <w:gridCol w:w="2377"/>
        <w:gridCol w:w="2377"/>
      </w:tblGrid>
      <w:tr w:rsidR="1FE22FA2" w:rsidRPr="0027140E" w14:paraId="04F3A8A2" w14:textId="77777777" w:rsidTr="007F63EF">
        <w:trPr>
          <w:cnfStyle w:val="100000000000" w:firstRow="1" w:lastRow="0" w:firstColumn="0" w:lastColumn="0" w:oddVBand="0" w:evenVBand="0" w:oddHBand="0" w:evenHBand="0" w:firstRowFirstColumn="0" w:firstRowLastColumn="0" w:lastRowFirstColumn="0" w:lastRowLastColumn="0"/>
          <w:trHeight w:val="300"/>
          <w:tblHeader/>
        </w:trPr>
        <w:tc>
          <w:tcPr>
            <w:tcW w:w="1250" w:type="pct"/>
          </w:tcPr>
          <w:p w14:paraId="0675A66A" w14:textId="0C722233" w:rsidR="1FE22FA2" w:rsidRPr="007F63EF" w:rsidRDefault="1FE22FA2">
            <w:pPr>
              <w:rPr>
                <w:sz w:val="20"/>
                <w:szCs w:val="20"/>
              </w:rPr>
            </w:pPr>
            <w:r w:rsidRPr="007F63EF">
              <w:rPr>
                <w:rFonts w:eastAsia="Calibri" w:cs="Calibri"/>
                <w:b/>
                <w:bCs/>
                <w:sz w:val="20"/>
                <w:szCs w:val="20"/>
              </w:rPr>
              <w:t>Country</w:t>
            </w:r>
          </w:p>
        </w:tc>
        <w:tc>
          <w:tcPr>
            <w:tcW w:w="1250" w:type="pct"/>
          </w:tcPr>
          <w:p w14:paraId="53B02AB3" w14:textId="09017E44" w:rsidR="1FE22FA2" w:rsidRPr="007F63EF" w:rsidRDefault="1FE22FA2">
            <w:pPr>
              <w:rPr>
                <w:sz w:val="20"/>
                <w:szCs w:val="20"/>
              </w:rPr>
            </w:pPr>
            <w:r w:rsidRPr="007F63EF">
              <w:rPr>
                <w:rFonts w:eastAsia="Calibri" w:cs="Calibri"/>
                <w:b/>
                <w:bCs/>
                <w:sz w:val="20"/>
                <w:szCs w:val="20"/>
              </w:rPr>
              <w:t xml:space="preserve">Example </w:t>
            </w:r>
            <w:r w:rsidR="00BB5AC7">
              <w:rPr>
                <w:rFonts w:eastAsia="Calibri" w:cs="Calibri"/>
                <w:b/>
                <w:bCs/>
                <w:sz w:val="20"/>
                <w:szCs w:val="20"/>
              </w:rPr>
              <w:t>n</w:t>
            </w:r>
            <w:r w:rsidRPr="007F63EF">
              <w:rPr>
                <w:rFonts w:eastAsia="Calibri" w:cs="Calibri"/>
                <w:b/>
                <w:bCs/>
                <w:sz w:val="20"/>
                <w:szCs w:val="20"/>
              </w:rPr>
              <w:t>ational action</w:t>
            </w:r>
          </w:p>
        </w:tc>
        <w:tc>
          <w:tcPr>
            <w:tcW w:w="1250" w:type="pct"/>
          </w:tcPr>
          <w:p w14:paraId="14D7BA29" w14:textId="33CBEB81" w:rsidR="1FE22FA2" w:rsidRPr="007F63EF" w:rsidRDefault="1FE22FA2">
            <w:pPr>
              <w:rPr>
                <w:sz w:val="20"/>
                <w:szCs w:val="20"/>
              </w:rPr>
            </w:pPr>
            <w:r w:rsidRPr="007F63EF">
              <w:rPr>
                <w:rFonts w:eastAsia="Calibri" w:cs="Calibri"/>
                <w:b/>
                <w:bCs/>
                <w:sz w:val="20"/>
                <w:szCs w:val="20"/>
              </w:rPr>
              <w:t>Role of AMR surveillance data</w:t>
            </w:r>
          </w:p>
        </w:tc>
        <w:tc>
          <w:tcPr>
            <w:tcW w:w="1250" w:type="pct"/>
          </w:tcPr>
          <w:p w14:paraId="46D0C93C" w14:textId="04F390EE" w:rsidR="1FE22FA2" w:rsidRPr="007F63EF" w:rsidRDefault="1FE22FA2">
            <w:pPr>
              <w:rPr>
                <w:sz w:val="20"/>
                <w:szCs w:val="20"/>
              </w:rPr>
            </w:pPr>
            <w:r w:rsidRPr="007F63EF">
              <w:rPr>
                <w:rFonts w:eastAsia="Calibri" w:cs="Calibri"/>
                <w:b/>
                <w:bCs/>
                <w:sz w:val="20"/>
                <w:szCs w:val="20"/>
              </w:rPr>
              <w:t xml:space="preserve">Assessment of </w:t>
            </w:r>
            <w:r w:rsidR="00353D14">
              <w:rPr>
                <w:rFonts w:eastAsia="Calibri" w:cs="Calibri"/>
                <w:b/>
                <w:bCs/>
                <w:sz w:val="20"/>
                <w:szCs w:val="20"/>
              </w:rPr>
              <w:t xml:space="preserve">the </w:t>
            </w:r>
            <w:r w:rsidRPr="007F63EF">
              <w:rPr>
                <w:rFonts w:eastAsia="Calibri" w:cs="Calibri"/>
                <w:b/>
                <w:bCs/>
                <w:sz w:val="20"/>
                <w:szCs w:val="20"/>
              </w:rPr>
              <w:t>use of AMR surveillance data</w:t>
            </w:r>
          </w:p>
        </w:tc>
      </w:tr>
      <w:tr w:rsidR="1FE22FA2" w:rsidRPr="0027140E" w14:paraId="10D13277" w14:textId="77777777" w:rsidTr="007F63EF">
        <w:trPr>
          <w:cnfStyle w:val="000000100000" w:firstRow="0" w:lastRow="0" w:firstColumn="0" w:lastColumn="0" w:oddVBand="0" w:evenVBand="0" w:oddHBand="1" w:evenHBand="0" w:firstRowFirstColumn="0" w:firstRowLastColumn="0" w:lastRowFirstColumn="0" w:lastRowLastColumn="0"/>
          <w:trHeight w:val="300"/>
        </w:trPr>
        <w:tc>
          <w:tcPr>
            <w:tcW w:w="1250" w:type="pct"/>
            <w:vMerge w:val="restart"/>
          </w:tcPr>
          <w:p w14:paraId="564E3483" w14:textId="6C39D548" w:rsidR="1FE22FA2" w:rsidRPr="007F63EF" w:rsidRDefault="1FE22FA2">
            <w:pPr>
              <w:rPr>
                <w:sz w:val="20"/>
                <w:szCs w:val="20"/>
              </w:rPr>
            </w:pPr>
            <w:r w:rsidRPr="007F63EF">
              <w:rPr>
                <w:rFonts w:eastAsia="Calibri" w:cs="Calibri"/>
                <w:b/>
                <w:bCs/>
                <w:sz w:val="20"/>
                <w:szCs w:val="20"/>
              </w:rPr>
              <w:t>Bangladesh</w:t>
            </w:r>
          </w:p>
        </w:tc>
        <w:tc>
          <w:tcPr>
            <w:tcW w:w="1250" w:type="pct"/>
          </w:tcPr>
          <w:p w14:paraId="0EB21095" w14:textId="7E1AC3AF" w:rsidR="1FE22FA2" w:rsidRPr="007F63EF" w:rsidRDefault="1FE22FA2">
            <w:pPr>
              <w:rPr>
                <w:sz w:val="20"/>
                <w:szCs w:val="20"/>
              </w:rPr>
            </w:pPr>
            <w:r w:rsidRPr="007F63EF">
              <w:rPr>
                <w:rFonts w:eastAsia="Calibri" w:cs="Calibri"/>
                <w:b/>
                <w:bCs/>
                <w:sz w:val="20"/>
                <w:szCs w:val="20"/>
              </w:rPr>
              <w:t>HH</w:t>
            </w:r>
            <w:r w:rsidRPr="007F63EF">
              <w:rPr>
                <w:rFonts w:eastAsia="Calibri" w:cs="Calibri"/>
                <w:sz w:val="20"/>
                <w:szCs w:val="20"/>
              </w:rPr>
              <w:t>: work ongoing to update National Drugs Act</w:t>
            </w:r>
          </w:p>
        </w:tc>
        <w:tc>
          <w:tcPr>
            <w:tcW w:w="1250" w:type="pct"/>
          </w:tcPr>
          <w:p w14:paraId="2AF6507A" w14:textId="56D0BBEE" w:rsidR="1FE22FA2" w:rsidRPr="007F63EF" w:rsidRDefault="1FE22FA2">
            <w:pPr>
              <w:rPr>
                <w:sz w:val="20"/>
                <w:szCs w:val="20"/>
              </w:rPr>
            </w:pPr>
            <w:r w:rsidRPr="007F63EF">
              <w:rPr>
                <w:rFonts w:eastAsia="Calibri" w:cs="Calibri"/>
                <w:sz w:val="20"/>
                <w:szCs w:val="20"/>
              </w:rPr>
              <w:t>Surveillance input is reported as</w:t>
            </w:r>
            <w:r w:rsidR="00353D14">
              <w:rPr>
                <w:rFonts w:eastAsia="Calibri" w:cs="Calibri"/>
                <w:sz w:val="20"/>
                <w:szCs w:val="20"/>
              </w:rPr>
              <w:t xml:space="preserve"> being at an</w:t>
            </w:r>
            <w:r w:rsidRPr="007F63EF">
              <w:rPr>
                <w:rFonts w:eastAsia="Calibri" w:cs="Calibri"/>
                <w:sz w:val="20"/>
                <w:szCs w:val="20"/>
              </w:rPr>
              <w:t xml:space="preserve"> early stage. Research</w:t>
            </w:r>
            <w:r w:rsidR="00353D14">
              <w:rPr>
                <w:rFonts w:eastAsia="Calibri" w:cs="Calibri"/>
                <w:sz w:val="20"/>
                <w:szCs w:val="20"/>
              </w:rPr>
              <w:t xml:space="preserve"> is</w:t>
            </w:r>
            <w:r w:rsidRPr="007F63EF">
              <w:rPr>
                <w:rFonts w:eastAsia="Calibri" w:cs="Calibri"/>
                <w:sz w:val="20"/>
                <w:szCs w:val="20"/>
              </w:rPr>
              <w:t xml:space="preserve"> leading at present.</w:t>
            </w:r>
          </w:p>
        </w:tc>
        <w:tc>
          <w:tcPr>
            <w:tcW w:w="1250" w:type="pct"/>
          </w:tcPr>
          <w:p w14:paraId="4FE5327B" w14:textId="7CF86AD3" w:rsidR="1FE22FA2" w:rsidRPr="007F63EF" w:rsidRDefault="1FE22FA2">
            <w:pPr>
              <w:rPr>
                <w:sz w:val="20"/>
                <w:szCs w:val="20"/>
              </w:rPr>
            </w:pPr>
            <w:r w:rsidRPr="007F63EF">
              <w:rPr>
                <w:rFonts w:eastAsia="Calibri" w:cs="Calibri"/>
                <w:color w:val="FFFFFF" w:themeColor="background1"/>
                <w:sz w:val="20"/>
                <w:szCs w:val="20"/>
              </w:rPr>
              <w:t>No AMR data influence yet (research)</w:t>
            </w:r>
          </w:p>
        </w:tc>
      </w:tr>
      <w:tr w:rsidR="1FE22FA2" w:rsidRPr="0027140E" w14:paraId="14372501" w14:textId="77777777" w:rsidTr="007F63EF">
        <w:trPr>
          <w:cnfStyle w:val="000000010000" w:firstRow="0" w:lastRow="0" w:firstColumn="0" w:lastColumn="0" w:oddVBand="0" w:evenVBand="0" w:oddHBand="0" w:evenHBand="1" w:firstRowFirstColumn="0" w:firstRowLastColumn="0" w:lastRowFirstColumn="0" w:lastRowLastColumn="0"/>
          <w:trHeight w:val="300"/>
        </w:trPr>
        <w:tc>
          <w:tcPr>
            <w:tcW w:w="1250" w:type="pct"/>
            <w:vMerge/>
          </w:tcPr>
          <w:p w14:paraId="0330ED89" w14:textId="77777777" w:rsidR="00442E2E" w:rsidRPr="007F63EF" w:rsidRDefault="00442E2E">
            <w:pPr>
              <w:rPr>
                <w:sz w:val="20"/>
                <w:szCs w:val="20"/>
              </w:rPr>
            </w:pPr>
          </w:p>
        </w:tc>
        <w:tc>
          <w:tcPr>
            <w:tcW w:w="1250" w:type="pct"/>
          </w:tcPr>
          <w:p w14:paraId="3F8717B0" w14:textId="45ECEE9E" w:rsidR="1FE22FA2" w:rsidRPr="007F63EF" w:rsidRDefault="1FE22FA2">
            <w:pPr>
              <w:rPr>
                <w:sz w:val="20"/>
                <w:szCs w:val="20"/>
              </w:rPr>
            </w:pPr>
            <w:r w:rsidRPr="007F63EF">
              <w:rPr>
                <w:rFonts w:eastAsia="Calibri" w:cs="Calibri"/>
                <w:b/>
                <w:bCs/>
                <w:sz w:val="20"/>
                <w:szCs w:val="20"/>
              </w:rPr>
              <w:t>AH</w:t>
            </w:r>
            <w:r w:rsidRPr="007F63EF">
              <w:rPr>
                <w:rFonts w:eastAsia="Calibri" w:cs="Calibri"/>
                <w:sz w:val="20"/>
                <w:szCs w:val="20"/>
              </w:rPr>
              <w:t>: regulation - product bans &amp; drug quality controls</w:t>
            </w:r>
          </w:p>
        </w:tc>
        <w:tc>
          <w:tcPr>
            <w:tcW w:w="1250" w:type="pct"/>
          </w:tcPr>
          <w:p w14:paraId="0E99B40D" w14:textId="456E433D" w:rsidR="1FE22FA2" w:rsidRPr="007F63EF" w:rsidRDefault="1FE22FA2">
            <w:pPr>
              <w:rPr>
                <w:sz w:val="20"/>
                <w:szCs w:val="20"/>
              </w:rPr>
            </w:pPr>
            <w:r w:rsidRPr="007F63EF">
              <w:rPr>
                <w:rFonts w:eastAsia="Calibri" w:cs="Calibri"/>
                <w:sz w:val="20"/>
                <w:szCs w:val="20"/>
              </w:rPr>
              <w:t xml:space="preserve">Lack </w:t>
            </w:r>
            <w:r w:rsidR="00B17522">
              <w:rPr>
                <w:rFonts w:eastAsia="Calibri" w:cs="Calibri"/>
                <w:sz w:val="20"/>
                <w:szCs w:val="20"/>
              </w:rPr>
              <w:t xml:space="preserve">of </w:t>
            </w:r>
            <w:r w:rsidRPr="007F63EF">
              <w:rPr>
                <w:rFonts w:eastAsia="Calibri" w:cs="Calibri"/>
                <w:sz w:val="20"/>
                <w:szCs w:val="20"/>
              </w:rPr>
              <w:t>specific information on</w:t>
            </w:r>
            <w:r w:rsidR="00B17522">
              <w:rPr>
                <w:rFonts w:eastAsia="Calibri" w:cs="Calibri"/>
                <w:sz w:val="20"/>
                <w:szCs w:val="20"/>
              </w:rPr>
              <w:t xml:space="preserve"> the</w:t>
            </w:r>
            <w:r w:rsidRPr="007F63EF">
              <w:rPr>
                <w:rFonts w:eastAsia="Calibri" w:cs="Calibri"/>
                <w:sz w:val="20"/>
                <w:szCs w:val="20"/>
              </w:rPr>
              <w:t xml:space="preserve"> details of </w:t>
            </w:r>
            <w:r w:rsidR="001453E9">
              <w:rPr>
                <w:rFonts w:eastAsia="Calibri" w:cs="Calibri"/>
                <w:sz w:val="20"/>
                <w:szCs w:val="20"/>
              </w:rPr>
              <w:t xml:space="preserve">the </w:t>
            </w:r>
            <w:r w:rsidRPr="007F63EF">
              <w:rPr>
                <w:rFonts w:eastAsia="Calibri" w:cs="Calibri"/>
                <w:sz w:val="20"/>
                <w:szCs w:val="20"/>
              </w:rPr>
              <w:t xml:space="preserve">decision process but </w:t>
            </w:r>
            <w:r w:rsidR="001453E9">
              <w:rPr>
                <w:rFonts w:eastAsia="Calibri" w:cs="Calibri"/>
                <w:sz w:val="20"/>
                <w:szCs w:val="20"/>
              </w:rPr>
              <w:t xml:space="preserve">a </w:t>
            </w:r>
            <w:r w:rsidRPr="007F63EF">
              <w:rPr>
                <w:rFonts w:eastAsia="Calibri" w:cs="Calibri"/>
                <w:sz w:val="20"/>
                <w:szCs w:val="20"/>
              </w:rPr>
              <w:t>KII reported that surveillance information as well as research</w:t>
            </w:r>
            <w:r w:rsidR="00B17522">
              <w:rPr>
                <w:rFonts w:eastAsia="Calibri" w:cs="Calibri"/>
                <w:sz w:val="20"/>
                <w:szCs w:val="20"/>
              </w:rPr>
              <w:t>,</w:t>
            </w:r>
            <w:r w:rsidRPr="007F63EF">
              <w:rPr>
                <w:rFonts w:eastAsia="Calibri" w:cs="Calibri"/>
                <w:sz w:val="20"/>
                <w:szCs w:val="20"/>
              </w:rPr>
              <w:t xml:space="preserve"> informed regulatory initiatives.</w:t>
            </w:r>
          </w:p>
        </w:tc>
        <w:tc>
          <w:tcPr>
            <w:tcW w:w="1250" w:type="pct"/>
          </w:tcPr>
          <w:p w14:paraId="3D834396" w14:textId="38F26A1A" w:rsidR="1FE22FA2" w:rsidRPr="007F63EF" w:rsidRDefault="1FE22FA2">
            <w:pPr>
              <w:rPr>
                <w:sz w:val="20"/>
                <w:szCs w:val="20"/>
              </w:rPr>
            </w:pPr>
            <w:r w:rsidRPr="007F63EF">
              <w:rPr>
                <w:rFonts w:eastAsia="Calibri" w:cs="Calibri"/>
                <w:color w:val="000000"/>
                <w:sz w:val="20"/>
                <w:szCs w:val="20"/>
              </w:rPr>
              <w:t>AMR data influence (details unclear)</w:t>
            </w:r>
          </w:p>
        </w:tc>
      </w:tr>
      <w:tr w:rsidR="1FE22FA2" w:rsidRPr="0027140E" w14:paraId="47556887" w14:textId="77777777" w:rsidTr="007F63EF">
        <w:trPr>
          <w:cnfStyle w:val="000000100000" w:firstRow="0" w:lastRow="0" w:firstColumn="0" w:lastColumn="0" w:oddVBand="0" w:evenVBand="0" w:oddHBand="1" w:evenHBand="0" w:firstRowFirstColumn="0" w:firstRowLastColumn="0" w:lastRowFirstColumn="0" w:lastRowLastColumn="0"/>
          <w:trHeight w:val="300"/>
        </w:trPr>
        <w:tc>
          <w:tcPr>
            <w:tcW w:w="1250" w:type="pct"/>
            <w:vMerge w:val="restart"/>
          </w:tcPr>
          <w:p w14:paraId="7946E28F" w14:textId="7245D64A" w:rsidR="1FE22FA2" w:rsidRPr="007F63EF" w:rsidRDefault="1FE22FA2">
            <w:pPr>
              <w:rPr>
                <w:sz w:val="20"/>
                <w:szCs w:val="20"/>
              </w:rPr>
            </w:pPr>
            <w:r w:rsidRPr="007F63EF">
              <w:rPr>
                <w:rFonts w:eastAsia="Calibri" w:cs="Calibri"/>
                <w:b/>
                <w:bCs/>
                <w:sz w:val="20"/>
                <w:szCs w:val="20"/>
              </w:rPr>
              <w:t>Nepal</w:t>
            </w:r>
          </w:p>
        </w:tc>
        <w:tc>
          <w:tcPr>
            <w:tcW w:w="1250" w:type="pct"/>
          </w:tcPr>
          <w:p w14:paraId="5D23E77C" w14:textId="15B9429D" w:rsidR="1FE22FA2" w:rsidRPr="007F63EF" w:rsidRDefault="1FE22FA2">
            <w:pPr>
              <w:rPr>
                <w:sz w:val="20"/>
                <w:szCs w:val="20"/>
              </w:rPr>
            </w:pPr>
            <w:r w:rsidRPr="007F63EF">
              <w:rPr>
                <w:rFonts w:eastAsia="Calibri" w:cs="Calibri"/>
                <w:b/>
                <w:bCs/>
                <w:sz w:val="20"/>
                <w:szCs w:val="20"/>
              </w:rPr>
              <w:t>HH</w:t>
            </w:r>
            <w:r w:rsidRPr="007F63EF">
              <w:rPr>
                <w:rFonts w:eastAsia="Calibri" w:cs="Calibri"/>
                <w:sz w:val="20"/>
                <w:szCs w:val="20"/>
              </w:rPr>
              <w:t xml:space="preserve">: policy – changes to national </w:t>
            </w:r>
            <w:r w:rsidR="00BE0F06">
              <w:rPr>
                <w:rFonts w:eastAsia="Calibri" w:cs="Calibri"/>
                <w:sz w:val="20"/>
                <w:szCs w:val="20"/>
              </w:rPr>
              <w:t xml:space="preserve">(List of essential medicines) </w:t>
            </w:r>
            <w:r w:rsidRPr="007F63EF">
              <w:rPr>
                <w:rFonts w:eastAsia="Calibri" w:cs="Calibri"/>
                <w:sz w:val="20"/>
                <w:szCs w:val="20"/>
              </w:rPr>
              <w:t>EML (Dec 2021); ongoing work on national STG and IPC guidelines</w:t>
            </w:r>
          </w:p>
        </w:tc>
        <w:tc>
          <w:tcPr>
            <w:tcW w:w="1250" w:type="pct"/>
          </w:tcPr>
          <w:p w14:paraId="40787C72" w14:textId="00FCC087" w:rsidR="1FE22FA2" w:rsidRPr="007F63EF" w:rsidRDefault="1FE22FA2">
            <w:pPr>
              <w:rPr>
                <w:sz w:val="20"/>
                <w:szCs w:val="20"/>
              </w:rPr>
            </w:pPr>
            <w:r w:rsidRPr="007F63EF">
              <w:rPr>
                <w:rFonts w:eastAsia="Calibri" w:cs="Calibri"/>
                <w:sz w:val="20"/>
                <w:szCs w:val="20"/>
              </w:rPr>
              <w:t xml:space="preserve">EML changes </w:t>
            </w:r>
            <w:r w:rsidR="00906133" w:rsidRPr="00906133">
              <w:rPr>
                <w:rFonts w:eastAsia="Calibri" w:cs="Calibri"/>
                <w:sz w:val="20"/>
                <w:szCs w:val="20"/>
              </w:rPr>
              <w:t>were</w:t>
            </w:r>
            <w:r w:rsidR="001453E9">
              <w:rPr>
                <w:rFonts w:eastAsia="Calibri" w:cs="Calibri"/>
                <w:sz w:val="20"/>
                <w:szCs w:val="20"/>
              </w:rPr>
              <w:t xml:space="preserve"> </w:t>
            </w:r>
            <w:r w:rsidRPr="007F63EF">
              <w:rPr>
                <w:rFonts w:eastAsia="Calibri" w:cs="Calibri"/>
                <w:sz w:val="20"/>
                <w:szCs w:val="20"/>
              </w:rPr>
              <w:t xml:space="preserve">based on national AMC surveillance data; </w:t>
            </w:r>
            <w:r w:rsidR="001453E9">
              <w:rPr>
                <w:rFonts w:eastAsia="Calibri" w:cs="Calibri"/>
                <w:sz w:val="20"/>
                <w:szCs w:val="20"/>
              </w:rPr>
              <w:t xml:space="preserve">a </w:t>
            </w:r>
            <w:r w:rsidRPr="007F63EF">
              <w:rPr>
                <w:rFonts w:eastAsia="Calibri" w:cs="Calibri"/>
                <w:sz w:val="20"/>
                <w:szCs w:val="20"/>
              </w:rPr>
              <w:t xml:space="preserve">KII </w:t>
            </w:r>
            <w:r w:rsidR="001453E9">
              <w:rPr>
                <w:rFonts w:eastAsia="Calibri" w:cs="Calibri"/>
                <w:sz w:val="20"/>
                <w:szCs w:val="20"/>
              </w:rPr>
              <w:t xml:space="preserve">was </w:t>
            </w:r>
            <w:r w:rsidRPr="007F63EF">
              <w:rPr>
                <w:rFonts w:eastAsia="Calibri" w:cs="Calibri"/>
                <w:sz w:val="20"/>
                <w:szCs w:val="20"/>
              </w:rPr>
              <w:t xml:space="preserve">explicit that </w:t>
            </w:r>
            <w:r w:rsidR="001453E9">
              <w:rPr>
                <w:rFonts w:eastAsia="Calibri" w:cs="Calibri"/>
                <w:sz w:val="20"/>
                <w:szCs w:val="20"/>
              </w:rPr>
              <w:t xml:space="preserve">they are </w:t>
            </w:r>
            <w:r w:rsidRPr="007F63EF">
              <w:rPr>
                <w:rFonts w:eastAsia="Calibri" w:cs="Calibri"/>
                <w:sz w:val="20"/>
                <w:szCs w:val="20"/>
              </w:rPr>
              <w:t>not yet informed by AMR surveillance. But work on national</w:t>
            </w:r>
            <w:r w:rsidR="002C4664">
              <w:t xml:space="preserve"> </w:t>
            </w:r>
            <w:r w:rsidR="002C4664" w:rsidRPr="002C4664">
              <w:rPr>
                <w:rFonts w:eastAsia="Calibri" w:cs="Calibri"/>
                <w:sz w:val="20"/>
                <w:szCs w:val="20"/>
              </w:rPr>
              <w:t>standard treatment guideline</w:t>
            </w:r>
            <w:r w:rsidR="002C4664">
              <w:rPr>
                <w:rFonts w:eastAsia="Calibri" w:cs="Calibri"/>
                <w:sz w:val="20"/>
                <w:szCs w:val="20"/>
              </w:rPr>
              <w:t>s (</w:t>
            </w:r>
            <w:r w:rsidRPr="007F63EF">
              <w:rPr>
                <w:rFonts w:eastAsia="Calibri" w:cs="Calibri"/>
                <w:sz w:val="20"/>
                <w:szCs w:val="20"/>
              </w:rPr>
              <w:t>STG</w:t>
            </w:r>
            <w:r w:rsidR="002C4664">
              <w:rPr>
                <w:rFonts w:eastAsia="Calibri" w:cs="Calibri"/>
                <w:sz w:val="20"/>
                <w:szCs w:val="20"/>
              </w:rPr>
              <w:t>)</w:t>
            </w:r>
            <w:r w:rsidRPr="007F63EF">
              <w:rPr>
                <w:rFonts w:eastAsia="Calibri" w:cs="Calibri"/>
                <w:sz w:val="20"/>
                <w:szCs w:val="20"/>
              </w:rPr>
              <w:t xml:space="preserve"> and IPC guidelines plus drug packaging regulation was reported to have drawn on AMR data.</w:t>
            </w:r>
          </w:p>
        </w:tc>
        <w:tc>
          <w:tcPr>
            <w:tcW w:w="1250" w:type="pct"/>
          </w:tcPr>
          <w:p w14:paraId="42364FDA" w14:textId="3AA46B24" w:rsidR="1FE22FA2" w:rsidRPr="007F63EF" w:rsidRDefault="1FE22FA2">
            <w:pPr>
              <w:rPr>
                <w:sz w:val="20"/>
                <w:szCs w:val="20"/>
              </w:rPr>
            </w:pPr>
            <w:r w:rsidRPr="007F63EF">
              <w:rPr>
                <w:rFonts w:eastAsia="Calibri" w:cs="Calibri"/>
                <w:color w:val="000000"/>
                <w:sz w:val="20"/>
                <w:szCs w:val="20"/>
              </w:rPr>
              <w:t>AMR data (AMC only so far)</w:t>
            </w:r>
          </w:p>
        </w:tc>
      </w:tr>
      <w:tr w:rsidR="1FE22FA2" w:rsidRPr="0027140E" w14:paraId="1F56C899" w14:textId="77777777" w:rsidTr="007F63EF">
        <w:trPr>
          <w:cnfStyle w:val="000000010000" w:firstRow="0" w:lastRow="0" w:firstColumn="0" w:lastColumn="0" w:oddVBand="0" w:evenVBand="0" w:oddHBand="0" w:evenHBand="1" w:firstRowFirstColumn="0" w:firstRowLastColumn="0" w:lastRowFirstColumn="0" w:lastRowLastColumn="0"/>
          <w:trHeight w:val="300"/>
        </w:trPr>
        <w:tc>
          <w:tcPr>
            <w:tcW w:w="1250" w:type="pct"/>
            <w:vMerge/>
          </w:tcPr>
          <w:p w14:paraId="53AD781E" w14:textId="77777777" w:rsidR="00442E2E" w:rsidRPr="007F63EF" w:rsidRDefault="00442E2E">
            <w:pPr>
              <w:rPr>
                <w:sz w:val="20"/>
                <w:szCs w:val="20"/>
              </w:rPr>
            </w:pPr>
          </w:p>
        </w:tc>
        <w:tc>
          <w:tcPr>
            <w:tcW w:w="1250" w:type="pct"/>
          </w:tcPr>
          <w:p w14:paraId="6C1797AD" w14:textId="73B99598" w:rsidR="1FE22FA2" w:rsidRPr="007F63EF" w:rsidRDefault="1FE22FA2">
            <w:pPr>
              <w:rPr>
                <w:sz w:val="20"/>
                <w:szCs w:val="20"/>
              </w:rPr>
            </w:pPr>
            <w:r w:rsidRPr="007F63EF">
              <w:rPr>
                <w:rFonts w:eastAsia="Calibri" w:cs="Calibri"/>
                <w:b/>
                <w:bCs/>
                <w:sz w:val="20"/>
                <w:szCs w:val="20"/>
              </w:rPr>
              <w:t>AH</w:t>
            </w:r>
            <w:r w:rsidRPr="007F63EF">
              <w:rPr>
                <w:rFonts w:eastAsia="Calibri" w:cs="Calibri"/>
                <w:sz w:val="20"/>
                <w:szCs w:val="20"/>
              </w:rPr>
              <w:t>: regulation – feed restrictions (2020)</w:t>
            </w:r>
          </w:p>
        </w:tc>
        <w:tc>
          <w:tcPr>
            <w:tcW w:w="1250" w:type="pct"/>
          </w:tcPr>
          <w:p w14:paraId="034D39E3" w14:textId="38FB5C4E" w:rsidR="1FE22FA2" w:rsidRPr="007F63EF" w:rsidRDefault="1FE22FA2">
            <w:pPr>
              <w:rPr>
                <w:sz w:val="20"/>
                <w:szCs w:val="20"/>
              </w:rPr>
            </w:pPr>
            <w:r w:rsidRPr="007F63EF">
              <w:rPr>
                <w:rFonts w:eastAsia="Calibri" w:cs="Calibri"/>
                <w:sz w:val="20"/>
                <w:szCs w:val="20"/>
              </w:rPr>
              <w:t>Reportedly based on research (results from cross-sectional studies), explicitly not informed by surveillance data.</w:t>
            </w:r>
          </w:p>
        </w:tc>
        <w:tc>
          <w:tcPr>
            <w:tcW w:w="1250" w:type="pct"/>
          </w:tcPr>
          <w:p w14:paraId="03DEFCD1" w14:textId="06A28845" w:rsidR="1FE22FA2" w:rsidRPr="007F63EF" w:rsidRDefault="1FE22FA2">
            <w:pPr>
              <w:rPr>
                <w:sz w:val="20"/>
                <w:szCs w:val="20"/>
              </w:rPr>
            </w:pPr>
            <w:r w:rsidRPr="007F63EF">
              <w:rPr>
                <w:rFonts w:eastAsia="Calibri" w:cs="Calibri"/>
                <w:color w:val="FFFFFF" w:themeColor="background1"/>
                <w:sz w:val="20"/>
                <w:szCs w:val="20"/>
              </w:rPr>
              <w:t>No AMR data influence yet (research)</w:t>
            </w:r>
          </w:p>
        </w:tc>
      </w:tr>
      <w:tr w:rsidR="1FE22FA2" w:rsidRPr="0027140E" w14:paraId="62942275" w14:textId="77777777" w:rsidTr="007F63EF">
        <w:trPr>
          <w:cnfStyle w:val="000000100000" w:firstRow="0" w:lastRow="0" w:firstColumn="0" w:lastColumn="0" w:oddVBand="0" w:evenVBand="0" w:oddHBand="1" w:evenHBand="0" w:firstRowFirstColumn="0" w:firstRowLastColumn="0" w:lastRowFirstColumn="0" w:lastRowLastColumn="0"/>
          <w:trHeight w:val="300"/>
        </w:trPr>
        <w:tc>
          <w:tcPr>
            <w:tcW w:w="1250" w:type="pct"/>
            <w:vMerge w:val="restart"/>
          </w:tcPr>
          <w:p w14:paraId="361ED763" w14:textId="4B4C4B18" w:rsidR="1FE22FA2" w:rsidRPr="007F63EF" w:rsidRDefault="1FE22FA2">
            <w:pPr>
              <w:rPr>
                <w:sz w:val="20"/>
                <w:szCs w:val="20"/>
              </w:rPr>
            </w:pPr>
            <w:r w:rsidRPr="007F63EF">
              <w:rPr>
                <w:rFonts w:eastAsia="Calibri" w:cs="Calibri"/>
                <w:b/>
                <w:bCs/>
                <w:sz w:val="20"/>
                <w:szCs w:val="20"/>
              </w:rPr>
              <w:t>Kenya</w:t>
            </w:r>
          </w:p>
        </w:tc>
        <w:tc>
          <w:tcPr>
            <w:tcW w:w="1250" w:type="pct"/>
          </w:tcPr>
          <w:p w14:paraId="3F3F0776" w14:textId="1403806D" w:rsidR="1FE22FA2" w:rsidRPr="007F63EF" w:rsidRDefault="1FE22FA2">
            <w:pPr>
              <w:rPr>
                <w:sz w:val="20"/>
                <w:szCs w:val="20"/>
              </w:rPr>
            </w:pPr>
            <w:r w:rsidRPr="007F63EF">
              <w:rPr>
                <w:rFonts w:eastAsia="Calibri" w:cs="Calibri"/>
                <w:b/>
                <w:bCs/>
                <w:sz w:val="20"/>
                <w:szCs w:val="20"/>
              </w:rPr>
              <w:t>HH</w:t>
            </w:r>
            <w:r w:rsidRPr="007F63EF">
              <w:rPr>
                <w:rFonts w:eastAsia="Calibri" w:cs="Calibri"/>
                <w:sz w:val="20"/>
                <w:szCs w:val="20"/>
              </w:rPr>
              <w:t>: policy – revision to national AMS guidelines and EML over 2019-20</w:t>
            </w:r>
          </w:p>
        </w:tc>
        <w:tc>
          <w:tcPr>
            <w:tcW w:w="1250" w:type="pct"/>
          </w:tcPr>
          <w:p w14:paraId="5D33A268" w14:textId="2E40599E" w:rsidR="1FE22FA2" w:rsidRPr="007F63EF" w:rsidRDefault="1FE22FA2">
            <w:pPr>
              <w:rPr>
                <w:sz w:val="20"/>
                <w:szCs w:val="20"/>
              </w:rPr>
            </w:pPr>
            <w:r w:rsidRPr="007F63EF">
              <w:rPr>
                <w:rFonts w:eastAsia="Calibri" w:cs="Calibri"/>
                <w:sz w:val="20"/>
                <w:szCs w:val="20"/>
              </w:rPr>
              <w:t xml:space="preserve">Wider data inputs from general national M&amp;E activities under NAP, including </w:t>
            </w:r>
            <w:r w:rsidR="001453E9" w:rsidRPr="001453E9">
              <w:rPr>
                <w:rFonts w:eastAsia="Calibri" w:cs="Calibri"/>
                <w:sz w:val="20"/>
                <w:szCs w:val="20"/>
              </w:rPr>
              <w:t>e.g.</w:t>
            </w:r>
            <w:r w:rsidRPr="007F63EF">
              <w:rPr>
                <w:rFonts w:eastAsia="Calibri" w:cs="Calibri"/>
                <w:sz w:val="20"/>
                <w:szCs w:val="20"/>
              </w:rPr>
              <w:t xml:space="preserve"> knowledge from research. Specific examples of surveillance data inputs, especially AMU </w:t>
            </w:r>
            <w:r w:rsidR="001453E9">
              <w:rPr>
                <w:rFonts w:eastAsia="Calibri" w:cs="Calibri"/>
                <w:sz w:val="20"/>
                <w:szCs w:val="20"/>
              </w:rPr>
              <w:t xml:space="preserve">Point Prevalence Survey </w:t>
            </w:r>
            <w:r w:rsidRPr="007F63EF">
              <w:rPr>
                <w:rFonts w:eastAsia="Calibri" w:cs="Calibri"/>
                <w:sz w:val="20"/>
                <w:szCs w:val="20"/>
              </w:rPr>
              <w:t>(PPS) but also AMR.</w:t>
            </w:r>
          </w:p>
        </w:tc>
        <w:tc>
          <w:tcPr>
            <w:tcW w:w="1250" w:type="pct"/>
          </w:tcPr>
          <w:p w14:paraId="3D7F45FD" w14:textId="18B210BA" w:rsidR="1FE22FA2" w:rsidRPr="007F63EF" w:rsidRDefault="1FE22FA2">
            <w:pPr>
              <w:rPr>
                <w:sz w:val="20"/>
                <w:szCs w:val="20"/>
              </w:rPr>
            </w:pPr>
            <w:r w:rsidRPr="007F63EF">
              <w:rPr>
                <w:rFonts w:eastAsia="Calibri" w:cs="Calibri"/>
                <w:color w:val="000000"/>
                <w:sz w:val="20"/>
                <w:szCs w:val="20"/>
              </w:rPr>
              <w:t>AMR data influence confirmed</w:t>
            </w:r>
          </w:p>
        </w:tc>
      </w:tr>
      <w:tr w:rsidR="1FE22FA2" w:rsidRPr="0027140E" w14:paraId="280C37AC" w14:textId="77777777" w:rsidTr="007F63EF">
        <w:trPr>
          <w:cnfStyle w:val="000000010000" w:firstRow="0" w:lastRow="0" w:firstColumn="0" w:lastColumn="0" w:oddVBand="0" w:evenVBand="0" w:oddHBand="0" w:evenHBand="1" w:firstRowFirstColumn="0" w:firstRowLastColumn="0" w:lastRowFirstColumn="0" w:lastRowLastColumn="0"/>
          <w:trHeight w:val="300"/>
        </w:trPr>
        <w:tc>
          <w:tcPr>
            <w:tcW w:w="1250" w:type="pct"/>
            <w:vMerge/>
          </w:tcPr>
          <w:p w14:paraId="1A7BFA2C" w14:textId="77777777" w:rsidR="00442E2E" w:rsidRPr="007F63EF" w:rsidRDefault="00442E2E">
            <w:pPr>
              <w:rPr>
                <w:sz w:val="20"/>
                <w:szCs w:val="20"/>
              </w:rPr>
            </w:pPr>
          </w:p>
        </w:tc>
        <w:tc>
          <w:tcPr>
            <w:tcW w:w="1250" w:type="pct"/>
          </w:tcPr>
          <w:p w14:paraId="58897750" w14:textId="292DF13C" w:rsidR="1FE22FA2" w:rsidRPr="007F63EF" w:rsidRDefault="1FE22FA2">
            <w:pPr>
              <w:rPr>
                <w:sz w:val="20"/>
                <w:szCs w:val="20"/>
              </w:rPr>
            </w:pPr>
            <w:r w:rsidRPr="007F63EF">
              <w:rPr>
                <w:rFonts w:eastAsia="Calibri" w:cs="Calibri"/>
                <w:b/>
                <w:bCs/>
                <w:sz w:val="20"/>
                <w:szCs w:val="20"/>
              </w:rPr>
              <w:t>AH</w:t>
            </w:r>
            <w:r w:rsidRPr="007F63EF">
              <w:rPr>
                <w:rFonts w:eastAsia="Calibri" w:cs="Calibri"/>
                <w:sz w:val="20"/>
                <w:szCs w:val="20"/>
              </w:rPr>
              <w:t>: policy – farm biosafety guidelines (IPC)</w:t>
            </w:r>
          </w:p>
        </w:tc>
        <w:tc>
          <w:tcPr>
            <w:tcW w:w="1250" w:type="pct"/>
          </w:tcPr>
          <w:p w14:paraId="34011D88" w14:textId="5D56A22F" w:rsidR="1FE22FA2" w:rsidRPr="007F63EF" w:rsidRDefault="1FE22FA2">
            <w:pPr>
              <w:rPr>
                <w:sz w:val="20"/>
                <w:szCs w:val="20"/>
              </w:rPr>
            </w:pPr>
            <w:r w:rsidRPr="007F63EF">
              <w:rPr>
                <w:rFonts w:eastAsia="Calibri" w:cs="Calibri"/>
                <w:sz w:val="20"/>
                <w:szCs w:val="20"/>
              </w:rPr>
              <w:t xml:space="preserve">AMU surveillance data reported as input to draft regulation development. Further/AMR contribution </w:t>
            </w:r>
            <w:r w:rsidR="001453E9">
              <w:rPr>
                <w:rFonts w:eastAsia="Calibri" w:cs="Calibri"/>
                <w:sz w:val="20"/>
                <w:szCs w:val="20"/>
              </w:rPr>
              <w:t>i</w:t>
            </w:r>
            <w:r w:rsidRPr="007F63EF">
              <w:rPr>
                <w:rFonts w:eastAsia="Calibri" w:cs="Calibri"/>
                <w:sz w:val="20"/>
                <w:szCs w:val="20"/>
              </w:rPr>
              <w:t>s at</w:t>
            </w:r>
            <w:r w:rsidR="001453E9">
              <w:rPr>
                <w:rFonts w:eastAsia="Calibri" w:cs="Calibri"/>
                <w:sz w:val="20"/>
                <w:szCs w:val="20"/>
              </w:rPr>
              <w:t xml:space="preserve"> an</w:t>
            </w:r>
            <w:r w:rsidRPr="007F63EF">
              <w:rPr>
                <w:rFonts w:eastAsia="Calibri" w:cs="Calibri"/>
                <w:sz w:val="20"/>
                <w:szCs w:val="20"/>
              </w:rPr>
              <w:t xml:space="preserve"> early stage.</w:t>
            </w:r>
          </w:p>
        </w:tc>
        <w:tc>
          <w:tcPr>
            <w:tcW w:w="1250" w:type="pct"/>
          </w:tcPr>
          <w:p w14:paraId="72405A88" w14:textId="6250BEB4" w:rsidR="1FE22FA2" w:rsidRPr="007F63EF" w:rsidRDefault="1FE22FA2">
            <w:pPr>
              <w:rPr>
                <w:sz w:val="20"/>
                <w:szCs w:val="20"/>
              </w:rPr>
            </w:pPr>
            <w:r w:rsidRPr="007F63EF">
              <w:rPr>
                <w:rFonts w:eastAsia="Calibri" w:cs="Calibri"/>
                <w:color w:val="000000"/>
                <w:sz w:val="20"/>
                <w:szCs w:val="20"/>
              </w:rPr>
              <w:t>AMR data influence (unclear, AMU only so far)</w:t>
            </w:r>
          </w:p>
        </w:tc>
      </w:tr>
      <w:tr w:rsidR="1FE22FA2" w:rsidRPr="0027140E" w14:paraId="00DD9D95" w14:textId="77777777" w:rsidTr="007F63EF">
        <w:trPr>
          <w:cnfStyle w:val="000000100000" w:firstRow="0" w:lastRow="0" w:firstColumn="0" w:lastColumn="0" w:oddVBand="0" w:evenVBand="0" w:oddHBand="1" w:evenHBand="0" w:firstRowFirstColumn="0" w:firstRowLastColumn="0" w:lastRowFirstColumn="0" w:lastRowLastColumn="0"/>
          <w:trHeight w:val="300"/>
        </w:trPr>
        <w:tc>
          <w:tcPr>
            <w:tcW w:w="1250" w:type="pct"/>
            <w:vMerge w:val="restart"/>
          </w:tcPr>
          <w:p w14:paraId="1AC6EBDE" w14:textId="0678826F" w:rsidR="1FE22FA2" w:rsidRPr="007F63EF" w:rsidRDefault="1FE22FA2">
            <w:pPr>
              <w:rPr>
                <w:sz w:val="20"/>
                <w:szCs w:val="20"/>
              </w:rPr>
            </w:pPr>
            <w:r w:rsidRPr="007F63EF">
              <w:rPr>
                <w:rFonts w:eastAsia="Calibri" w:cs="Calibri"/>
                <w:b/>
                <w:bCs/>
                <w:sz w:val="20"/>
                <w:szCs w:val="20"/>
              </w:rPr>
              <w:t>Tanzania</w:t>
            </w:r>
          </w:p>
        </w:tc>
        <w:tc>
          <w:tcPr>
            <w:tcW w:w="1250" w:type="pct"/>
          </w:tcPr>
          <w:p w14:paraId="65CF479D" w14:textId="17601FC4" w:rsidR="1FE22FA2" w:rsidRPr="007F63EF" w:rsidRDefault="1FE22FA2">
            <w:pPr>
              <w:rPr>
                <w:sz w:val="20"/>
                <w:szCs w:val="20"/>
              </w:rPr>
            </w:pPr>
            <w:r w:rsidRPr="007F63EF">
              <w:rPr>
                <w:rFonts w:eastAsia="Calibri" w:cs="Calibri"/>
                <w:b/>
                <w:bCs/>
                <w:sz w:val="20"/>
                <w:szCs w:val="20"/>
              </w:rPr>
              <w:t>HH</w:t>
            </w:r>
            <w:r w:rsidRPr="007F63EF">
              <w:rPr>
                <w:rFonts w:eastAsia="Calibri" w:cs="Calibri"/>
                <w:sz w:val="20"/>
                <w:szCs w:val="20"/>
              </w:rPr>
              <w:t>: policy – revision to national STG and EML over 2019-20</w:t>
            </w:r>
          </w:p>
        </w:tc>
        <w:tc>
          <w:tcPr>
            <w:tcW w:w="1250" w:type="pct"/>
          </w:tcPr>
          <w:p w14:paraId="47FC41A0" w14:textId="26D823FA" w:rsidR="1FE22FA2" w:rsidRPr="007F63EF" w:rsidRDefault="1FE22FA2">
            <w:pPr>
              <w:rPr>
                <w:sz w:val="20"/>
                <w:szCs w:val="20"/>
              </w:rPr>
            </w:pPr>
            <w:r w:rsidRPr="007F63EF">
              <w:rPr>
                <w:rFonts w:eastAsia="Calibri" w:cs="Calibri"/>
                <w:sz w:val="20"/>
                <w:szCs w:val="20"/>
              </w:rPr>
              <w:t>STG and EML updates</w:t>
            </w:r>
            <w:r w:rsidR="00906133">
              <w:rPr>
                <w:rFonts w:eastAsia="Calibri" w:cs="Calibri"/>
                <w:sz w:val="20"/>
                <w:szCs w:val="20"/>
              </w:rPr>
              <w:t>,</w:t>
            </w:r>
            <w:r w:rsidRPr="007F63EF">
              <w:rPr>
                <w:rFonts w:eastAsia="Calibri" w:cs="Calibri"/>
                <w:sz w:val="20"/>
                <w:szCs w:val="20"/>
              </w:rPr>
              <w:t xml:space="preserve"> reportedly</w:t>
            </w:r>
            <w:r w:rsidR="00906133">
              <w:rPr>
                <w:rFonts w:eastAsia="Calibri" w:cs="Calibri"/>
                <w:sz w:val="20"/>
                <w:szCs w:val="20"/>
              </w:rPr>
              <w:t>,</w:t>
            </w:r>
            <w:r w:rsidRPr="007F63EF">
              <w:rPr>
                <w:rFonts w:eastAsia="Calibri" w:cs="Calibri"/>
                <w:sz w:val="20"/>
                <w:szCs w:val="20"/>
              </w:rPr>
              <w:t xml:space="preserve"> </w:t>
            </w:r>
            <w:r w:rsidR="00B17522">
              <w:rPr>
                <w:rFonts w:eastAsia="Calibri" w:cs="Calibri"/>
                <w:sz w:val="20"/>
                <w:szCs w:val="20"/>
              </w:rPr>
              <w:t xml:space="preserve">use </w:t>
            </w:r>
            <w:r w:rsidRPr="007F63EF">
              <w:rPr>
                <w:rFonts w:eastAsia="Calibri" w:cs="Calibri"/>
                <w:sz w:val="20"/>
                <w:szCs w:val="20"/>
              </w:rPr>
              <w:t>both AMR and AMU surveillance data.</w:t>
            </w:r>
          </w:p>
        </w:tc>
        <w:tc>
          <w:tcPr>
            <w:tcW w:w="1250" w:type="pct"/>
          </w:tcPr>
          <w:p w14:paraId="16B2F10F" w14:textId="0CA872D8" w:rsidR="1FE22FA2" w:rsidRPr="007F63EF" w:rsidRDefault="1FE22FA2">
            <w:pPr>
              <w:rPr>
                <w:sz w:val="20"/>
                <w:szCs w:val="20"/>
              </w:rPr>
            </w:pPr>
            <w:r w:rsidRPr="007F63EF">
              <w:rPr>
                <w:rFonts w:eastAsia="Calibri" w:cs="Calibri"/>
                <w:color w:val="000000"/>
                <w:sz w:val="20"/>
                <w:szCs w:val="20"/>
              </w:rPr>
              <w:t>AMR data influence confirmed</w:t>
            </w:r>
          </w:p>
        </w:tc>
      </w:tr>
      <w:tr w:rsidR="1FE22FA2" w:rsidRPr="0027140E" w14:paraId="7C2776A9" w14:textId="77777777" w:rsidTr="007F63EF">
        <w:trPr>
          <w:cnfStyle w:val="000000010000" w:firstRow="0" w:lastRow="0" w:firstColumn="0" w:lastColumn="0" w:oddVBand="0" w:evenVBand="0" w:oddHBand="0" w:evenHBand="1" w:firstRowFirstColumn="0" w:firstRowLastColumn="0" w:lastRowFirstColumn="0" w:lastRowLastColumn="0"/>
          <w:trHeight w:val="300"/>
        </w:trPr>
        <w:tc>
          <w:tcPr>
            <w:tcW w:w="1250" w:type="pct"/>
            <w:vMerge/>
          </w:tcPr>
          <w:p w14:paraId="75A77319" w14:textId="77777777" w:rsidR="00442E2E" w:rsidRPr="007F63EF" w:rsidRDefault="00442E2E">
            <w:pPr>
              <w:rPr>
                <w:sz w:val="20"/>
                <w:szCs w:val="20"/>
              </w:rPr>
            </w:pPr>
          </w:p>
        </w:tc>
        <w:tc>
          <w:tcPr>
            <w:tcW w:w="1250" w:type="pct"/>
          </w:tcPr>
          <w:p w14:paraId="367260CB" w14:textId="281955B0" w:rsidR="1FE22FA2" w:rsidRPr="007F63EF" w:rsidRDefault="1FE22FA2">
            <w:pPr>
              <w:rPr>
                <w:sz w:val="20"/>
                <w:szCs w:val="20"/>
              </w:rPr>
            </w:pPr>
            <w:r w:rsidRPr="007F63EF">
              <w:rPr>
                <w:rFonts w:eastAsia="Calibri" w:cs="Calibri"/>
                <w:b/>
                <w:bCs/>
                <w:sz w:val="20"/>
                <w:szCs w:val="20"/>
              </w:rPr>
              <w:t>AH</w:t>
            </w:r>
            <w:r w:rsidRPr="007F63EF">
              <w:rPr>
                <w:rFonts w:eastAsia="Calibri" w:cs="Calibri"/>
                <w:sz w:val="20"/>
                <w:szCs w:val="20"/>
              </w:rPr>
              <w:t>: no action completed yet</w:t>
            </w:r>
          </w:p>
        </w:tc>
        <w:tc>
          <w:tcPr>
            <w:tcW w:w="1250" w:type="pct"/>
          </w:tcPr>
          <w:p w14:paraId="4ADEB69B" w14:textId="284E1661" w:rsidR="1FE22FA2" w:rsidRPr="007F63EF" w:rsidRDefault="1FE22FA2">
            <w:pPr>
              <w:rPr>
                <w:sz w:val="20"/>
                <w:szCs w:val="20"/>
              </w:rPr>
            </w:pPr>
            <w:r w:rsidRPr="007F63EF">
              <w:rPr>
                <w:rFonts w:eastAsia="Calibri" w:cs="Calibri"/>
                <w:sz w:val="20"/>
                <w:szCs w:val="20"/>
              </w:rPr>
              <w:t xml:space="preserve">Ongoing work on policy (STG and livestock policy) and regulation (disease and perimortem rules) </w:t>
            </w:r>
            <w:r w:rsidR="00906133" w:rsidRPr="00906133">
              <w:rPr>
                <w:rFonts w:eastAsia="Calibri" w:cs="Calibri"/>
                <w:sz w:val="20"/>
                <w:szCs w:val="20"/>
              </w:rPr>
              <w:t>informed</w:t>
            </w:r>
            <w:r w:rsidRPr="007F63EF">
              <w:rPr>
                <w:rFonts w:eastAsia="Calibri" w:cs="Calibri"/>
                <w:sz w:val="20"/>
                <w:szCs w:val="20"/>
              </w:rPr>
              <w:t xml:space="preserve"> by AMR research,</w:t>
            </w:r>
            <w:r w:rsidR="00B17522">
              <w:rPr>
                <w:rFonts w:eastAsia="Calibri" w:cs="Calibri"/>
                <w:sz w:val="20"/>
                <w:szCs w:val="20"/>
              </w:rPr>
              <w:t xml:space="preserve"> is</w:t>
            </w:r>
            <w:r w:rsidRPr="007F63EF">
              <w:rPr>
                <w:rFonts w:eastAsia="Calibri" w:cs="Calibri"/>
                <w:sz w:val="20"/>
                <w:szCs w:val="20"/>
              </w:rPr>
              <w:t xml:space="preserve"> not yet surveillance</w:t>
            </w:r>
            <w:r w:rsidR="00B17522">
              <w:rPr>
                <w:rFonts w:eastAsia="Calibri" w:cs="Calibri"/>
                <w:sz w:val="20"/>
                <w:szCs w:val="20"/>
              </w:rPr>
              <w:t xml:space="preserve"> </w:t>
            </w:r>
            <w:r w:rsidRPr="007F63EF">
              <w:rPr>
                <w:rFonts w:eastAsia="Calibri" w:cs="Calibri"/>
                <w:sz w:val="20"/>
                <w:szCs w:val="20"/>
              </w:rPr>
              <w:t>based.</w:t>
            </w:r>
          </w:p>
        </w:tc>
        <w:tc>
          <w:tcPr>
            <w:tcW w:w="1250" w:type="pct"/>
          </w:tcPr>
          <w:p w14:paraId="63294C82" w14:textId="40026E22" w:rsidR="1FE22FA2" w:rsidRPr="007F63EF" w:rsidRDefault="1FE22FA2">
            <w:pPr>
              <w:rPr>
                <w:sz w:val="20"/>
                <w:szCs w:val="20"/>
              </w:rPr>
            </w:pPr>
            <w:r w:rsidRPr="007F63EF">
              <w:rPr>
                <w:rFonts w:eastAsia="Calibri" w:cs="Calibri"/>
                <w:color w:val="FFFFFF" w:themeColor="background1"/>
                <w:sz w:val="20"/>
                <w:szCs w:val="20"/>
              </w:rPr>
              <w:t>No action yet and no AMR data influence yet (research)</w:t>
            </w:r>
          </w:p>
        </w:tc>
      </w:tr>
    </w:tbl>
    <w:p w14:paraId="72AA5570" w14:textId="3D570AE9" w:rsidR="425ADF5E" w:rsidRDefault="425ADF5E" w:rsidP="007F63EF">
      <w:pPr>
        <w:spacing w:line="257" w:lineRule="auto"/>
        <w:rPr>
          <w:rFonts w:eastAsia="Calibri" w:cs="Calibri"/>
        </w:rPr>
      </w:pPr>
      <w:r w:rsidRPr="1FE22FA2">
        <w:rPr>
          <w:rFonts w:eastAsia="Calibri" w:cs="Calibri"/>
        </w:rPr>
        <w:t xml:space="preserve"> </w:t>
      </w:r>
    </w:p>
    <w:p w14:paraId="6996C64D" w14:textId="75236D9E" w:rsidR="00A640ED" w:rsidRDefault="00A640ED" w:rsidP="00C04C3C">
      <w:pPr>
        <w:pStyle w:val="ItadCaption"/>
      </w:pPr>
      <w:bookmarkStart w:id="260" w:name="_Toc143857905"/>
      <w:r>
        <w:t xml:space="preserve">Table </w:t>
      </w:r>
      <w:r>
        <w:fldChar w:fldCharType="begin"/>
      </w:r>
      <w:r>
        <w:instrText>SEQ Table \* ARABIC</w:instrText>
      </w:r>
      <w:r>
        <w:fldChar w:fldCharType="separate"/>
      </w:r>
      <w:r w:rsidR="009A383C">
        <w:rPr>
          <w:noProof/>
        </w:rPr>
        <w:t>37</w:t>
      </w:r>
      <w:r>
        <w:fldChar w:fldCharType="end"/>
      </w:r>
      <w:r>
        <w:t xml:space="preserve"> </w:t>
      </w:r>
      <w:r w:rsidRPr="00A640ED">
        <w:t>Examples where use in decision making looks promising but is not confirmed</w:t>
      </w:r>
      <w:bookmarkEnd w:id="260"/>
    </w:p>
    <w:tbl>
      <w:tblPr>
        <w:tblStyle w:val="ItadGreenHeaderRow"/>
        <w:tblW w:w="0" w:type="auto"/>
        <w:tblInd w:w="5" w:type="dxa"/>
        <w:tblLayout w:type="fixed"/>
        <w:tblLook w:val="04A0" w:firstRow="1" w:lastRow="0" w:firstColumn="1" w:lastColumn="0" w:noHBand="0" w:noVBand="1"/>
      </w:tblPr>
      <w:tblGrid>
        <w:gridCol w:w="1170"/>
        <w:gridCol w:w="1815"/>
        <w:gridCol w:w="4005"/>
        <w:gridCol w:w="2025"/>
      </w:tblGrid>
      <w:tr w:rsidR="1FE22FA2" w:rsidRPr="00BC452E" w14:paraId="7144A5F7" w14:textId="77777777" w:rsidTr="00CA1F7A">
        <w:trPr>
          <w:cnfStyle w:val="100000000000" w:firstRow="1" w:lastRow="0" w:firstColumn="0" w:lastColumn="0" w:oddVBand="0" w:evenVBand="0" w:oddHBand="0" w:evenHBand="0" w:firstRowFirstColumn="0" w:firstRowLastColumn="0" w:lastRowFirstColumn="0" w:lastRowLastColumn="0"/>
          <w:trHeight w:val="300"/>
          <w:tblHeader/>
        </w:trPr>
        <w:tc>
          <w:tcPr>
            <w:tcW w:w="1170" w:type="dxa"/>
          </w:tcPr>
          <w:p w14:paraId="7C983CE5" w14:textId="5F18A4AD" w:rsidR="1FE22FA2" w:rsidRPr="00BC452E" w:rsidRDefault="1FE22FA2">
            <w:pPr>
              <w:rPr>
                <w:sz w:val="20"/>
                <w:szCs w:val="20"/>
              </w:rPr>
            </w:pPr>
            <w:bookmarkStart w:id="261" w:name="_Hlk129530578"/>
            <w:r w:rsidRPr="00BC452E">
              <w:rPr>
                <w:rFonts w:eastAsia="Calibri" w:cs="Calibri"/>
                <w:b/>
                <w:bCs/>
                <w:sz w:val="20"/>
                <w:szCs w:val="20"/>
              </w:rPr>
              <w:t>Country</w:t>
            </w:r>
          </w:p>
        </w:tc>
        <w:tc>
          <w:tcPr>
            <w:tcW w:w="1815" w:type="dxa"/>
          </w:tcPr>
          <w:p w14:paraId="642B15FB" w14:textId="0C2885F5" w:rsidR="1FE22FA2" w:rsidRPr="00BC452E" w:rsidRDefault="1FE22FA2">
            <w:pPr>
              <w:rPr>
                <w:sz w:val="20"/>
                <w:szCs w:val="20"/>
              </w:rPr>
            </w:pPr>
            <w:r w:rsidRPr="00BC452E">
              <w:rPr>
                <w:rFonts w:eastAsia="Calibri" w:cs="Calibri"/>
                <w:b/>
                <w:bCs/>
                <w:sz w:val="20"/>
                <w:szCs w:val="20"/>
              </w:rPr>
              <w:t>National action</w:t>
            </w:r>
          </w:p>
        </w:tc>
        <w:tc>
          <w:tcPr>
            <w:tcW w:w="4005" w:type="dxa"/>
          </w:tcPr>
          <w:p w14:paraId="074E0972" w14:textId="79673DC3" w:rsidR="1FE22FA2" w:rsidRPr="00BC452E" w:rsidRDefault="1FE22FA2">
            <w:pPr>
              <w:rPr>
                <w:sz w:val="20"/>
                <w:szCs w:val="20"/>
              </w:rPr>
            </w:pPr>
            <w:r w:rsidRPr="00BC452E">
              <w:rPr>
                <w:rFonts w:eastAsia="Calibri" w:cs="Calibri"/>
                <w:b/>
                <w:bCs/>
                <w:sz w:val="20"/>
                <w:szCs w:val="20"/>
              </w:rPr>
              <w:t>Role of surveillance data</w:t>
            </w:r>
          </w:p>
        </w:tc>
        <w:tc>
          <w:tcPr>
            <w:tcW w:w="2025" w:type="dxa"/>
          </w:tcPr>
          <w:p w14:paraId="29DBB1B4" w14:textId="2A90F119" w:rsidR="1FE22FA2" w:rsidRPr="00BC452E" w:rsidRDefault="1FE22FA2">
            <w:pPr>
              <w:rPr>
                <w:sz w:val="20"/>
                <w:szCs w:val="20"/>
              </w:rPr>
            </w:pPr>
            <w:r w:rsidRPr="00BC452E">
              <w:rPr>
                <w:rFonts w:eastAsia="Calibri" w:cs="Calibri"/>
                <w:b/>
                <w:bCs/>
                <w:sz w:val="20"/>
                <w:szCs w:val="20"/>
              </w:rPr>
              <w:t>Assessment</w:t>
            </w:r>
          </w:p>
        </w:tc>
      </w:tr>
      <w:tr w:rsidR="1FE22FA2" w:rsidRPr="00BC452E" w14:paraId="7B9E2B93" w14:textId="77777777" w:rsidTr="00A640ED">
        <w:trPr>
          <w:cnfStyle w:val="000000100000" w:firstRow="0" w:lastRow="0" w:firstColumn="0" w:lastColumn="0" w:oddVBand="0" w:evenVBand="0" w:oddHBand="1" w:evenHBand="0" w:firstRowFirstColumn="0" w:firstRowLastColumn="0" w:lastRowFirstColumn="0" w:lastRowLastColumn="0"/>
          <w:trHeight w:val="300"/>
        </w:trPr>
        <w:tc>
          <w:tcPr>
            <w:tcW w:w="1170" w:type="dxa"/>
            <w:vMerge w:val="restart"/>
          </w:tcPr>
          <w:p w14:paraId="5B746ED0" w14:textId="53B6EDEB" w:rsidR="1FE22FA2" w:rsidRPr="00BC452E" w:rsidRDefault="1FE22FA2">
            <w:pPr>
              <w:rPr>
                <w:sz w:val="20"/>
                <w:szCs w:val="20"/>
              </w:rPr>
            </w:pPr>
            <w:r w:rsidRPr="00BC452E">
              <w:rPr>
                <w:rFonts w:eastAsia="Calibri" w:cs="Calibri"/>
                <w:b/>
                <w:bCs/>
                <w:sz w:val="20"/>
                <w:szCs w:val="20"/>
              </w:rPr>
              <w:t>Bhutan</w:t>
            </w:r>
          </w:p>
        </w:tc>
        <w:tc>
          <w:tcPr>
            <w:tcW w:w="1815" w:type="dxa"/>
          </w:tcPr>
          <w:p w14:paraId="57D7C883" w14:textId="57F19DCE" w:rsidR="1FE22FA2" w:rsidRPr="00BC452E" w:rsidRDefault="1FE22FA2">
            <w:pPr>
              <w:rPr>
                <w:sz w:val="20"/>
                <w:szCs w:val="20"/>
              </w:rPr>
            </w:pPr>
            <w:r w:rsidRPr="00BC452E">
              <w:rPr>
                <w:rFonts w:eastAsia="Calibri" w:cs="Calibri"/>
                <w:b/>
                <w:bCs/>
                <w:sz w:val="20"/>
                <w:szCs w:val="20"/>
              </w:rPr>
              <w:t>HH</w:t>
            </w:r>
            <w:r w:rsidRPr="00BC452E">
              <w:rPr>
                <w:rFonts w:eastAsia="Calibri" w:cs="Calibri"/>
                <w:sz w:val="20"/>
                <w:szCs w:val="20"/>
              </w:rPr>
              <w:t xml:space="preserve">: policy - national STGs revised at </w:t>
            </w:r>
            <w:r w:rsidR="000F7950">
              <w:rPr>
                <w:rFonts w:eastAsia="Calibri" w:cs="Calibri"/>
                <w:sz w:val="20"/>
                <w:szCs w:val="20"/>
              </w:rPr>
              <w:t xml:space="preserve">the </w:t>
            </w:r>
            <w:r w:rsidRPr="00BC452E">
              <w:rPr>
                <w:rFonts w:eastAsia="Calibri" w:cs="Calibri"/>
                <w:sz w:val="20"/>
                <w:szCs w:val="20"/>
              </w:rPr>
              <w:t xml:space="preserve">start of </w:t>
            </w:r>
            <w:r w:rsidR="000F7950">
              <w:rPr>
                <w:rFonts w:eastAsia="Calibri" w:cs="Calibri"/>
                <w:sz w:val="20"/>
                <w:szCs w:val="20"/>
              </w:rPr>
              <w:t xml:space="preserve">the </w:t>
            </w:r>
            <w:r w:rsidRPr="00BC452E">
              <w:rPr>
                <w:rFonts w:eastAsia="Calibri" w:cs="Calibri"/>
                <w:sz w:val="20"/>
                <w:szCs w:val="20"/>
              </w:rPr>
              <w:t>period (2018); regulation - Medicines Rules and Regulations (MRR) – last updated 2019</w:t>
            </w:r>
          </w:p>
        </w:tc>
        <w:tc>
          <w:tcPr>
            <w:tcW w:w="4005" w:type="dxa"/>
          </w:tcPr>
          <w:p w14:paraId="72592392" w14:textId="20123EB1" w:rsidR="1FE22FA2" w:rsidRPr="00BC452E" w:rsidRDefault="1FE22FA2">
            <w:pPr>
              <w:rPr>
                <w:sz w:val="20"/>
                <w:szCs w:val="20"/>
              </w:rPr>
            </w:pPr>
            <w:r w:rsidRPr="00BC452E">
              <w:rPr>
                <w:rFonts w:eastAsia="Calibri" w:cs="Calibri"/>
                <w:sz w:val="20"/>
                <w:szCs w:val="20"/>
              </w:rPr>
              <w:t xml:space="preserve">STGs </w:t>
            </w:r>
            <w:r w:rsidR="000F7950">
              <w:rPr>
                <w:rFonts w:eastAsia="Calibri" w:cs="Calibri"/>
                <w:sz w:val="20"/>
                <w:szCs w:val="20"/>
              </w:rPr>
              <w:t xml:space="preserve">are </w:t>
            </w:r>
            <w:r w:rsidRPr="00BC452E">
              <w:rPr>
                <w:rFonts w:eastAsia="Calibri" w:cs="Calibri"/>
                <w:sz w:val="20"/>
                <w:szCs w:val="20"/>
              </w:rPr>
              <w:t xml:space="preserve">reportedly based on ‘the limited AMR data available in 2016’, </w:t>
            </w:r>
            <w:r w:rsidR="00406F8C">
              <w:rPr>
                <w:rFonts w:eastAsia="Calibri" w:cs="Calibri"/>
                <w:sz w:val="20"/>
                <w:szCs w:val="20"/>
              </w:rPr>
              <w:t xml:space="preserve">there were </w:t>
            </w:r>
            <w:r w:rsidRPr="00BC452E">
              <w:rPr>
                <w:rFonts w:eastAsia="Calibri" w:cs="Calibri"/>
                <w:sz w:val="20"/>
                <w:szCs w:val="20"/>
              </w:rPr>
              <w:t xml:space="preserve">plans to repeat this using post-2018 data but </w:t>
            </w:r>
            <w:r w:rsidR="00406F8C">
              <w:rPr>
                <w:rFonts w:eastAsia="Calibri" w:cs="Calibri"/>
                <w:sz w:val="20"/>
                <w:szCs w:val="20"/>
              </w:rPr>
              <w:t xml:space="preserve">they were </w:t>
            </w:r>
            <w:r w:rsidRPr="00BC452E">
              <w:rPr>
                <w:rFonts w:eastAsia="Calibri" w:cs="Calibri"/>
                <w:sz w:val="20"/>
                <w:szCs w:val="20"/>
              </w:rPr>
              <w:t>delayed due to C</w:t>
            </w:r>
            <w:r w:rsidR="000F7950">
              <w:rPr>
                <w:rFonts w:eastAsia="Calibri" w:cs="Calibri"/>
                <w:sz w:val="20"/>
                <w:szCs w:val="20"/>
              </w:rPr>
              <w:t>OVID-</w:t>
            </w:r>
            <w:r w:rsidRPr="00BC452E">
              <w:rPr>
                <w:rFonts w:eastAsia="Calibri" w:cs="Calibri"/>
                <w:sz w:val="20"/>
                <w:szCs w:val="20"/>
              </w:rPr>
              <w:t>19.</w:t>
            </w:r>
          </w:p>
        </w:tc>
        <w:tc>
          <w:tcPr>
            <w:tcW w:w="2025" w:type="dxa"/>
          </w:tcPr>
          <w:p w14:paraId="3315B19C" w14:textId="20AB6DA4" w:rsidR="1FE22FA2" w:rsidRPr="00BC452E" w:rsidRDefault="1FE22FA2">
            <w:pPr>
              <w:rPr>
                <w:sz w:val="20"/>
                <w:szCs w:val="20"/>
              </w:rPr>
            </w:pPr>
            <w:r w:rsidRPr="00BC452E">
              <w:rPr>
                <w:rFonts w:eastAsia="Calibri" w:cs="Calibri"/>
                <w:color w:val="000000"/>
                <w:sz w:val="20"/>
                <w:szCs w:val="20"/>
              </w:rPr>
              <w:t xml:space="preserve">AMR data influence (but interrupted by </w:t>
            </w:r>
            <w:r w:rsidR="00A640ED">
              <w:rPr>
                <w:rFonts w:eastAsia="Calibri" w:cs="Calibri"/>
                <w:color w:val="000000"/>
                <w:sz w:val="20"/>
                <w:szCs w:val="20"/>
              </w:rPr>
              <w:t>COVID-19</w:t>
            </w:r>
            <w:r w:rsidRPr="00BC452E">
              <w:rPr>
                <w:rFonts w:eastAsia="Calibri" w:cs="Calibri"/>
                <w:color w:val="000000"/>
                <w:sz w:val="20"/>
                <w:szCs w:val="20"/>
              </w:rPr>
              <w:t>)</w:t>
            </w:r>
          </w:p>
        </w:tc>
      </w:tr>
      <w:tr w:rsidR="1FE22FA2" w:rsidRPr="00BC452E" w14:paraId="326A3371" w14:textId="77777777" w:rsidTr="00A640ED">
        <w:trPr>
          <w:cnfStyle w:val="000000010000" w:firstRow="0" w:lastRow="0" w:firstColumn="0" w:lastColumn="0" w:oddVBand="0" w:evenVBand="0" w:oddHBand="0" w:evenHBand="1" w:firstRowFirstColumn="0" w:firstRowLastColumn="0" w:lastRowFirstColumn="0" w:lastRowLastColumn="0"/>
          <w:trHeight w:val="300"/>
        </w:trPr>
        <w:tc>
          <w:tcPr>
            <w:tcW w:w="1170" w:type="dxa"/>
            <w:vMerge/>
          </w:tcPr>
          <w:p w14:paraId="16F3DCDB" w14:textId="77777777" w:rsidR="00442E2E" w:rsidRPr="00BC452E" w:rsidRDefault="00442E2E">
            <w:pPr>
              <w:rPr>
                <w:sz w:val="20"/>
                <w:szCs w:val="20"/>
              </w:rPr>
            </w:pPr>
          </w:p>
        </w:tc>
        <w:tc>
          <w:tcPr>
            <w:tcW w:w="1815" w:type="dxa"/>
          </w:tcPr>
          <w:p w14:paraId="7B22BD64" w14:textId="0E792918" w:rsidR="1FE22FA2" w:rsidRPr="00BC452E" w:rsidRDefault="1FE22FA2">
            <w:pPr>
              <w:rPr>
                <w:sz w:val="20"/>
                <w:szCs w:val="20"/>
              </w:rPr>
            </w:pPr>
            <w:r w:rsidRPr="00BC452E">
              <w:rPr>
                <w:rFonts w:eastAsia="Calibri" w:cs="Calibri"/>
                <w:b/>
                <w:bCs/>
                <w:sz w:val="20"/>
                <w:szCs w:val="20"/>
              </w:rPr>
              <w:t>AH</w:t>
            </w:r>
            <w:r w:rsidRPr="00BC452E">
              <w:rPr>
                <w:rFonts w:eastAsia="Calibri" w:cs="Calibri"/>
                <w:sz w:val="20"/>
                <w:szCs w:val="20"/>
              </w:rPr>
              <w:t xml:space="preserve">: regulation - MRR – last updated 2019 </w:t>
            </w:r>
          </w:p>
        </w:tc>
        <w:tc>
          <w:tcPr>
            <w:tcW w:w="4005" w:type="dxa"/>
          </w:tcPr>
          <w:p w14:paraId="3980B1FF" w14:textId="4D3C6206" w:rsidR="1FE22FA2" w:rsidRPr="00BC452E" w:rsidRDefault="1FE22FA2">
            <w:pPr>
              <w:rPr>
                <w:sz w:val="20"/>
                <w:szCs w:val="20"/>
              </w:rPr>
            </w:pPr>
            <w:r w:rsidRPr="00BC452E">
              <w:rPr>
                <w:rFonts w:eastAsia="Calibri" w:cs="Calibri"/>
                <w:sz w:val="20"/>
                <w:szCs w:val="20"/>
              </w:rPr>
              <w:t xml:space="preserve">MRR data inputs not specified. </w:t>
            </w:r>
            <w:r w:rsidR="00A640ED">
              <w:rPr>
                <w:rFonts w:eastAsia="Calibri" w:cs="Calibri"/>
                <w:sz w:val="20"/>
                <w:szCs w:val="20"/>
              </w:rPr>
              <w:t>There were p</w:t>
            </w:r>
            <w:r w:rsidRPr="00BC452E">
              <w:rPr>
                <w:rFonts w:eastAsia="Calibri" w:cs="Calibri"/>
                <w:sz w:val="20"/>
                <w:szCs w:val="20"/>
              </w:rPr>
              <w:t xml:space="preserve">lans to update again </w:t>
            </w:r>
            <w:r w:rsidR="00A640ED">
              <w:rPr>
                <w:rFonts w:eastAsia="Calibri" w:cs="Calibri"/>
                <w:sz w:val="20"/>
                <w:szCs w:val="20"/>
              </w:rPr>
              <w:t xml:space="preserve">in </w:t>
            </w:r>
            <w:r w:rsidRPr="00BC452E">
              <w:rPr>
                <w:rFonts w:eastAsia="Calibri" w:cs="Calibri"/>
                <w:sz w:val="20"/>
                <w:szCs w:val="20"/>
              </w:rPr>
              <w:t>2022. Meanwhile</w:t>
            </w:r>
            <w:r w:rsidR="00A640ED">
              <w:rPr>
                <w:rFonts w:eastAsia="Calibri" w:cs="Calibri"/>
                <w:sz w:val="20"/>
                <w:szCs w:val="20"/>
              </w:rPr>
              <w:t>,</w:t>
            </w:r>
            <w:r w:rsidRPr="00BC452E">
              <w:rPr>
                <w:rFonts w:eastAsia="Calibri" w:cs="Calibri"/>
                <w:sz w:val="20"/>
                <w:szCs w:val="20"/>
              </w:rPr>
              <w:t xml:space="preserve"> KII</w:t>
            </w:r>
            <w:r w:rsidR="00A640ED">
              <w:rPr>
                <w:rFonts w:eastAsia="Calibri" w:cs="Calibri"/>
                <w:sz w:val="20"/>
                <w:szCs w:val="20"/>
              </w:rPr>
              <w:t>s</w:t>
            </w:r>
            <w:r w:rsidRPr="00BC452E">
              <w:rPr>
                <w:rFonts w:eastAsia="Calibri" w:cs="Calibri"/>
                <w:sz w:val="20"/>
                <w:szCs w:val="20"/>
              </w:rPr>
              <w:t xml:space="preserve"> reported AMR data being used for informal advice.</w:t>
            </w:r>
          </w:p>
        </w:tc>
        <w:tc>
          <w:tcPr>
            <w:tcW w:w="2025" w:type="dxa"/>
          </w:tcPr>
          <w:p w14:paraId="5C827532" w14:textId="52FDCEA9" w:rsidR="1FE22FA2" w:rsidRPr="00BC452E" w:rsidRDefault="1FE22FA2">
            <w:pPr>
              <w:rPr>
                <w:sz w:val="20"/>
                <w:szCs w:val="20"/>
              </w:rPr>
            </w:pPr>
            <w:r w:rsidRPr="00BC452E">
              <w:rPr>
                <w:rFonts w:eastAsia="Calibri" w:cs="Calibri"/>
                <w:color w:val="000000"/>
                <w:sz w:val="20"/>
                <w:szCs w:val="20"/>
              </w:rPr>
              <w:t>AMR data influence (formative stage)</w:t>
            </w:r>
          </w:p>
        </w:tc>
      </w:tr>
      <w:tr w:rsidR="1FE22FA2" w:rsidRPr="00BC452E" w14:paraId="014AD692" w14:textId="77777777" w:rsidTr="00A640ED">
        <w:trPr>
          <w:cnfStyle w:val="000000100000" w:firstRow="0" w:lastRow="0" w:firstColumn="0" w:lastColumn="0" w:oddVBand="0" w:evenVBand="0" w:oddHBand="1" w:evenHBand="0" w:firstRowFirstColumn="0" w:firstRowLastColumn="0" w:lastRowFirstColumn="0" w:lastRowLastColumn="0"/>
          <w:trHeight w:val="60"/>
        </w:trPr>
        <w:tc>
          <w:tcPr>
            <w:tcW w:w="1170" w:type="dxa"/>
            <w:vMerge w:val="restart"/>
          </w:tcPr>
          <w:p w14:paraId="7BFEF451" w14:textId="76390E07" w:rsidR="1FE22FA2" w:rsidRPr="00BC452E" w:rsidRDefault="1FE22FA2">
            <w:pPr>
              <w:rPr>
                <w:sz w:val="20"/>
                <w:szCs w:val="20"/>
              </w:rPr>
            </w:pPr>
            <w:r w:rsidRPr="00BC452E">
              <w:rPr>
                <w:rFonts w:eastAsia="Calibri" w:cs="Calibri"/>
                <w:b/>
                <w:bCs/>
                <w:sz w:val="20"/>
                <w:szCs w:val="20"/>
              </w:rPr>
              <w:t>Uganda</w:t>
            </w:r>
          </w:p>
        </w:tc>
        <w:tc>
          <w:tcPr>
            <w:tcW w:w="1815" w:type="dxa"/>
          </w:tcPr>
          <w:p w14:paraId="541CF7AB" w14:textId="226283DA" w:rsidR="1FE22FA2" w:rsidRPr="00BC452E" w:rsidRDefault="1FE22FA2">
            <w:pPr>
              <w:rPr>
                <w:sz w:val="20"/>
                <w:szCs w:val="20"/>
              </w:rPr>
            </w:pPr>
            <w:r w:rsidRPr="00BC452E">
              <w:rPr>
                <w:rFonts w:eastAsia="Calibri" w:cs="Calibri"/>
                <w:b/>
                <w:bCs/>
                <w:sz w:val="20"/>
                <w:szCs w:val="20"/>
              </w:rPr>
              <w:t>HH</w:t>
            </w:r>
            <w:r w:rsidRPr="00BC452E">
              <w:rPr>
                <w:rFonts w:eastAsia="Calibri" w:cs="Calibri"/>
                <w:sz w:val="20"/>
                <w:szCs w:val="20"/>
              </w:rPr>
              <w:t>: No action completed yet</w:t>
            </w:r>
          </w:p>
        </w:tc>
        <w:tc>
          <w:tcPr>
            <w:tcW w:w="4005" w:type="dxa"/>
          </w:tcPr>
          <w:p w14:paraId="619EF4A6" w14:textId="754E8E81" w:rsidR="1FE22FA2" w:rsidRPr="00BC452E" w:rsidRDefault="1FE22FA2">
            <w:pPr>
              <w:rPr>
                <w:sz w:val="20"/>
                <w:szCs w:val="20"/>
              </w:rPr>
            </w:pPr>
            <w:r w:rsidRPr="00BC452E">
              <w:rPr>
                <w:rFonts w:eastAsia="Calibri" w:cs="Calibri"/>
                <w:sz w:val="20"/>
                <w:szCs w:val="20"/>
              </w:rPr>
              <w:t>Reported in progress draft of new Pharmaceutical Plan for 21-25, but link to AMR data not specified.</w:t>
            </w:r>
          </w:p>
        </w:tc>
        <w:tc>
          <w:tcPr>
            <w:tcW w:w="2025" w:type="dxa"/>
          </w:tcPr>
          <w:p w14:paraId="2529C49A" w14:textId="1974D305" w:rsidR="1FE22FA2" w:rsidRPr="00BC452E" w:rsidRDefault="1FE22FA2">
            <w:pPr>
              <w:rPr>
                <w:sz w:val="20"/>
                <w:szCs w:val="20"/>
              </w:rPr>
            </w:pPr>
            <w:r w:rsidRPr="00BC452E">
              <w:rPr>
                <w:rFonts w:eastAsia="Calibri" w:cs="Calibri"/>
                <w:color w:val="FFFFFF" w:themeColor="background1"/>
                <w:sz w:val="20"/>
                <w:szCs w:val="20"/>
              </w:rPr>
              <w:t>No clear AMR data influence</w:t>
            </w:r>
          </w:p>
        </w:tc>
      </w:tr>
      <w:tr w:rsidR="1FE22FA2" w:rsidRPr="00BC452E" w14:paraId="15CAC84E" w14:textId="77777777" w:rsidTr="00A640ED">
        <w:trPr>
          <w:cnfStyle w:val="000000010000" w:firstRow="0" w:lastRow="0" w:firstColumn="0" w:lastColumn="0" w:oddVBand="0" w:evenVBand="0" w:oddHBand="0" w:evenHBand="1" w:firstRowFirstColumn="0" w:firstRowLastColumn="0" w:lastRowFirstColumn="0" w:lastRowLastColumn="0"/>
          <w:trHeight w:val="60"/>
        </w:trPr>
        <w:tc>
          <w:tcPr>
            <w:tcW w:w="1170" w:type="dxa"/>
            <w:vMerge/>
          </w:tcPr>
          <w:p w14:paraId="3A889010" w14:textId="77777777" w:rsidR="00442E2E" w:rsidRPr="00BC452E" w:rsidRDefault="00442E2E">
            <w:pPr>
              <w:rPr>
                <w:sz w:val="20"/>
                <w:szCs w:val="20"/>
              </w:rPr>
            </w:pPr>
          </w:p>
        </w:tc>
        <w:tc>
          <w:tcPr>
            <w:tcW w:w="1815" w:type="dxa"/>
          </w:tcPr>
          <w:p w14:paraId="37EE6BA1" w14:textId="588EAA2B" w:rsidR="1FE22FA2" w:rsidRPr="00BC452E" w:rsidRDefault="1FE22FA2">
            <w:pPr>
              <w:rPr>
                <w:sz w:val="20"/>
                <w:szCs w:val="20"/>
              </w:rPr>
            </w:pPr>
            <w:r w:rsidRPr="00BC452E">
              <w:rPr>
                <w:rFonts w:eastAsia="Calibri" w:cs="Calibri"/>
                <w:b/>
                <w:bCs/>
                <w:sz w:val="20"/>
                <w:szCs w:val="20"/>
              </w:rPr>
              <w:t>AH</w:t>
            </w:r>
            <w:r w:rsidRPr="00BC452E">
              <w:rPr>
                <w:rFonts w:eastAsia="Calibri" w:cs="Calibri"/>
                <w:sz w:val="20"/>
                <w:szCs w:val="20"/>
              </w:rPr>
              <w:t>: policy - Essential Veterinary Medicines List; guidelines for infection prevention and appropriate AMU in various AH sectors (2020)</w:t>
            </w:r>
          </w:p>
        </w:tc>
        <w:tc>
          <w:tcPr>
            <w:tcW w:w="4005" w:type="dxa"/>
          </w:tcPr>
          <w:p w14:paraId="10924499" w14:textId="6A287D3F" w:rsidR="1FE22FA2" w:rsidRPr="00BC452E" w:rsidRDefault="1FE22FA2">
            <w:pPr>
              <w:rPr>
                <w:sz w:val="20"/>
                <w:szCs w:val="20"/>
              </w:rPr>
            </w:pPr>
            <w:r w:rsidRPr="00BC452E">
              <w:rPr>
                <w:rFonts w:eastAsia="Calibri" w:cs="Calibri"/>
                <w:sz w:val="20"/>
                <w:szCs w:val="20"/>
              </w:rPr>
              <w:t xml:space="preserve">No evidence of surveillance data as an input yet, but research </w:t>
            </w:r>
            <w:r w:rsidR="00A640ED">
              <w:rPr>
                <w:rFonts w:eastAsia="Calibri" w:cs="Calibri"/>
                <w:sz w:val="20"/>
                <w:szCs w:val="20"/>
              </w:rPr>
              <w:t xml:space="preserve">was </w:t>
            </w:r>
            <w:r w:rsidRPr="00BC452E">
              <w:rPr>
                <w:rFonts w:eastAsia="Calibri" w:cs="Calibri"/>
                <w:sz w:val="20"/>
                <w:szCs w:val="20"/>
              </w:rPr>
              <w:t xml:space="preserve">used and current efforts explicitly </w:t>
            </w:r>
            <w:r w:rsidR="00A640ED">
              <w:rPr>
                <w:rFonts w:eastAsia="Calibri" w:cs="Calibri"/>
                <w:sz w:val="20"/>
                <w:szCs w:val="20"/>
              </w:rPr>
              <w:t xml:space="preserve">set </w:t>
            </w:r>
            <w:r w:rsidRPr="00BC452E">
              <w:rPr>
                <w:rFonts w:eastAsia="Calibri" w:cs="Calibri"/>
                <w:sz w:val="20"/>
                <w:szCs w:val="20"/>
              </w:rPr>
              <w:t>out to use AMR data for policy updates.</w:t>
            </w:r>
          </w:p>
        </w:tc>
        <w:tc>
          <w:tcPr>
            <w:tcW w:w="2025" w:type="dxa"/>
          </w:tcPr>
          <w:p w14:paraId="103F913B" w14:textId="47AA3F9E" w:rsidR="1FE22FA2" w:rsidRPr="00BC452E" w:rsidRDefault="1FE22FA2">
            <w:pPr>
              <w:rPr>
                <w:sz w:val="20"/>
                <w:szCs w:val="20"/>
              </w:rPr>
            </w:pPr>
            <w:r w:rsidRPr="00BC452E">
              <w:rPr>
                <w:rFonts w:eastAsia="Calibri" w:cs="Calibri"/>
                <w:color w:val="000000"/>
                <w:sz w:val="20"/>
                <w:szCs w:val="20"/>
              </w:rPr>
              <w:t>AMR data influence (formative stage)</w:t>
            </w:r>
          </w:p>
        </w:tc>
      </w:tr>
    </w:tbl>
    <w:bookmarkEnd w:id="261"/>
    <w:p w14:paraId="0448B31A" w14:textId="6A195B1B" w:rsidR="425ADF5E" w:rsidRDefault="425ADF5E" w:rsidP="007F63EF">
      <w:pPr>
        <w:spacing w:line="257" w:lineRule="auto"/>
        <w:rPr>
          <w:rFonts w:eastAsia="Calibri" w:cs="Calibri"/>
        </w:rPr>
      </w:pPr>
      <w:r w:rsidRPr="1FE22FA2">
        <w:rPr>
          <w:rFonts w:eastAsia="Calibri" w:cs="Calibri"/>
        </w:rPr>
        <w:t xml:space="preserve"> </w:t>
      </w:r>
    </w:p>
    <w:p w14:paraId="79F8DFC7" w14:textId="65FAB4C6" w:rsidR="00A640ED" w:rsidRDefault="00A640ED" w:rsidP="00A640ED">
      <w:pPr>
        <w:pStyle w:val="Caption"/>
        <w:keepNext/>
      </w:pPr>
      <w:bookmarkStart w:id="262" w:name="_Toc143857906"/>
      <w:r>
        <w:t xml:space="preserve">Table </w:t>
      </w:r>
      <w:r>
        <w:fldChar w:fldCharType="begin"/>
      </w:r>
      <w:r>
        <w:instrText>SEQ Table \* ARABIC</w:instrText>
      </w:r>
      <w:r>
        <w:fldChar w:fldCharType="separate"/>
      </w:r>
      <w:r w:rsidR="009A383C">
        <w:rPr>
          <w:noProof/>
        </w:rPr>
        <w:t>38</w:t>
      </w:r>
      <w:r>
        <w:fldChar w:fldCharType="end"/>
      </w:r>
      <w:r>
        <w:t xml:space="preserve"> </w:t>
      </w:r>
      <w:r w:rsidRPr="00A640ED">
        <w:t>Data sharing not yet connected with action/current systematic collation and analysis leading towards data use</w:t>
      </w:r>
      <w:bookmarkEnd w:id="262"/>
    </w:p>
    <w:tbl>
      <w:tblPr>
        <w:tblStyle w:val="TableGrid"/>
        <w:tblW w:w="0" w:type="auto"/>
        <w:tblLayout w:type="fixed"/>
        <w:tblLook w:val="04A0" w:firstRow="1" w:lastRow="0" w:firstColumn="1" w:lastColumn="0" w:noHBand="0" w:noVBand="1"/>
      </w:tblPr>
      <w:tblGrid>
        <w:gridCol w:w="1170"/>
        <w:gridCol w:w="1845"/>
        <w:gridCol w:w="4005"/>
        <w:gridCol w:w="1995"/>
      </w:tblGrid>
      <w:tr w:rsidR="1FE22FA2" w:rsidRPr="00A640ED" w14:paraId="53DA5953" w14:textId="77777777" w:rsidTr="00A640ED">
        <w:trPr>
          <w:trHeight w:val="300"/>
          <w:tblHeader/>
        </w:trPr>
        <w:tc>
          <w:tcPr>
            <w:tcW w:w="1170" w:type="dxa"/>
            <w:tcBorders>
              <w:top w:val="single" w:sz="8" w:space="0" w:color="auto"/>
              <w:left w:val="single" w:sz="8" w:space="0" w:color="auto"/>
              <w:bottom w:val="single" w:sz="8" w:space="0" w:color="auto"/>
              <w:right w:val="single" w:sz="8" w:space="0" w:color="auto"/>
            </w:tcBorders>
            <w:shd w:val="clear" w:color="auto" w:fill="96C286" w:themeFill="text2" w:themeFillTint="99"/>
            <w:tcMar>
              <w:left w:w="108" w:type="dxa"/>
              <w:right w:w="108" w:type="dxa"/>
            </w:tcMar>
          </w:tcPr>
          <w:p w14:paraId="0E658D9A" w14:textId="37C4A6D2" w:rsidR="1FE22FA2" w:rsidRPr="00A640ED" w:rsidRDefault="1FE22FA2">
            <w:pPr>
              <w:rPr>
                <w:sz w:val="20"/>
                <w:szCs w:val="20"/>
              </w:rPr>
            </w:pPr>
            <w:bookmarkStart w:id="263" w:name="_Hlk129531252"/>
            <w:r w:rsidRPr="00A640ED">
              <w:rPr>
                <w:rFonts w:eastAsia="Calibri" w:cs="Calibri"/>
                <w:b/>
                <w:bCs/>
                <w:sz w:val="20"/>
                <w:szCs w:val="20"/>
              </w:rPr>
              <w:t>Country</w:t>
            </w:r>
          </w:p>
        </w:tc>
        <w:tc>
          <w:tcPr>
            <w:tcW w:w="1845" w:type="dxa"/>
            <w:tcBorders>
              <w:top w:val="single" w:sz="8" w:space="0" w:color="auto"/>
              <w:left w:val="single" w:sz="8" w:space="0" w:color="auto"/>
              <w:bottom w:val="single" w:sz="8" w:space="0" w:color="auto"/>
              <w:right w:val="single" w:sz="8" w:space="0" w:color="auto"/>
            </w:tcBorders>
            <w:shd w:val="clear" w:color="auto" w:fill="96C286" w:themeFill="text2" w:themeFillTint="99"/>
            <w:tcMar>
              <w:left w:w="108" w:type="dxa"/>
              <w:right w:w="108" w:type="dxa"/>
            </w:tcMar>
          </w:tcPr>
          <w:p w14:paraId="5B84D33B" w14:textId="274E5F5F" w:rsidR="1FE22FA2" w:rsidRPr="00A640ED" w:rsidRDefault="1FE22FA2">
            <w:pPr>
              <w:rPr>
                <w:sz w:val="20"/>
                <w:szCs w:val="20"/>
              </w:rPr>
            </w:pPr>
            <w:r w:rsidRPr="00A640ED">
              <w:rPr>
                <w:rFonts w:eastAsia="Calibri" w:cs="Calibri"/>
                <w:b/>
                <w:bCs/>
                <w:sz w:val="20"/>
                <w:szCs w:val="20"/>
              </w:rPr>
              <w:t>National action</w:t>
            </w:r>
          </w:p>
        </w:tc>
        <w:tc>
          <w:tcPr>
            <w:tcW w:w="4005" w:type="dxa"/>
            <w:tcBorders>
              <w:top w:val="single" w:sz="8" w:space="0" w:color="auto"/>
              <w:left w:val="single" w:sz="8" w:space="0" w:color="auto"/>
              <w:bottom w:val="single" w:sz="8" w:space="0" w:color="auto"/>
              <w:right w:val="single" w:sz="8" w:space="0" w:color="auto"/>
            </w:tcBorders>
            <w:shd w:val="clear" w:color="auto" w:fill="96C286" w:themeFill="text2" w:themeFillTint="99"/>
            <w:tcMar>
              <w:left w:w="108" w:type="dxa"/>
              <w:right w:w="108" w:type="dxa"/>
            </w:tcMar>
          </w:tcPr>
          <w:p w14:paraId="221F43A6" w14:textId="565868B8" w:rsidR="1FE22FA2" w:rsidRPr="00A640ED" w:rsidRDefault="1FE22FA2">
            <w:pPr>
              <w:rPr>
                <w:sz w:val="20"/>
                <w:szCs w:val="20"/>
              </w:rPr>
            </w:pPr>
            <w:r w:rsidRPr="00A640ED">
              <w:rPr>
                <w:rFonts w:eastAsia="Calibri" w:cs="Calibri"/>
                <w:b/>
                <w:bCs/>
                <w:sz w:val="20"/>
                <w:szCs w:val="20"/>
              </w:rPr>
              <w:t>Role of surveillance data</w:t>
            </w:r>
          </w:p>
        </w:tc>
        <w:tc>
          <w:tcPr>
            <w:tcW w:w="1995" w:type="dxa"/>
            <w:tcBorders>
              <w:top w:val="single" w:sz="8" w:space="0" w:color="auto"/>
              <w:left w:val="single" w:sz="8" w:space="0" w:color="auto"/>
              <w:bottom w:val="single" w:sz="8" w:space="0" w:color="auto"/>
              <w:right w:val="single" w:sz="8" w:space="0" w:color="auto"/>
            </w:tcBorders>
            <w:shd w:val="clear" w:color="auto" w:fill="96C286" w:themeFill="text2" w:themeFillTint="99"/>
            <w:tcMar>
              <w:left w:w="108" w:type="dxa"/>
              <w:right w:w="108" w:type="dxa"/>
            </w:tcMar>
          </w:tcPr>
          <w:p w14:paraId="26520DA9" w14:textId="4188D1C1" w:rsidR="1FE22FA2" w:rsidRPr="00A640ED" w:rsidRDefault="1FE22FA2">
            <w:pPr>
              <w:rPr>
                <w:sz w:val="20"/>
                <w:szCs w:val="20"/>
              </w:rPr>
            </w:pPr>
            <w:r w:rsidRPr="00A640ED">
              <w:rPr>
                <w:rFonts w:eastAsia="Calibri" w:cs="Calibri"/>
                <w:b/>
                <w:bCs/>
                <w:sz w:val="20"/>
                <w:szCs w:val="20"/>
              </w:rPr>
              <w:t>Assessment</w:t>
            </w:r>
          </w:p>
        </w:tc>
      </w:tr>
      <w:tr w:rsidR="1FE22FA2" w:rsidRPr="00A640ED" w14:paraId="463008E9" w14:textId="77777777" w:rsidTr="1FE22FA2">
        <w:trPr>
          <w:trHeight w:val="300"/>
        </w:trPr>
        <w:tc>
          <w:tcPr>
            <w:tcW w:w="1170"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6897F790" w14:textId="53C043CA" w:rsidR="1FE22FA2" w:rsidRPr="00A640ED" w:rsidRDefault="1FE22FA2">
            <w:pPr>
              <w:rPr>
                <w:sz w:val="20"/>
                <w:szCs w:val="20"/>
              </w:rPr>
            </w:pPr>
            <w:r w:rsidRPr="00A640ED">
              <w:rPr>
                <w:rFonts w:eastAsia="Calibri" w:cs="Calibri"/>
                <w:b/>
                <w:bCs/>
                <w:sz w:val="20"/>
                <w:szCs w:val="20"/>
              </w:rPr>
              <w:t>Pakistan</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133BAF94" w14:textId="63F4FA3C" w:rsidR="1FE22FA2" w:rsidRPr="00A640ED" w:rsidRDefault="1FE22FA2">
            <w:pPr>
              <w:rPr>
                <w:sz w:val="20"/>
                <w:szCs w:val="20"/>
              </w:rPr>
            </w:pPr>
            <w:r w:rsidRPr="00A640ED">
              <w:rPr>
                <w:rFonts w:eastAsia="Calibri" w:cs="Calibri"/>
                <w:b/>
                <w:bCs/>
                <w:sz w:val="20"/>
                <w:szCs w:val="20"/>
              </w:rPr>
              <w:t>HH</w:t>
            </w:r>
            <w:r w:rsidRPr="00A640ED">
              <w:rPr>
                <w:rFonts w:eastAsia="Calibri" w:cs="Calibri"/>
                <w:sz w:val="20"/>
                <w:szCs w:val="20"/>
              </w:rPr>
              <w:t>: No action completed yet (although notable subnational actions)</w:t>
            </w:r>
          </w:p>
        </w:tc>
        <w:tc>
          <w:tcPr>
            <w:tcW w:w="4005" w:type="dxa"/>
            <w:tcBorders>
              <w:top w:val="single" w:sz="8" w:space="0" w:color="auto"/>
              <w:left w:val="single" w:sz="8" w:space="0" w:color="auto"/>
              <w:bottom w:val="single" w:sz="8" w:space="0" w:color="auto"/>
              <w:right w:val="single" w:sz="8" w:space="0" w:color="auto"/>
            </w:tcBorders>
            <w:tcMar>
              <w:left w:w="108" w:type="dxa"/>
              <w:right w:w="108" w:type="dxa"/>
            </w:tcMar>
          </w:tcPr>
          <w:p w14:paraId="3E6BA48C" w14:textId="797AEE68" w:rsidR="1FE22FA2" w:rsidRPr="00A640ED" w:rsidRDefault="1FE22FA2" w:rsidP="00A906B4">
            <w:pPr>
              <w:rPr>
                <w:sz w:val="20"/>
                <w:szCs w:val="20"/>
              </w:rPr>
            </w:pPr>
            <w:r w:rsidRPr="00A640ED">
              <w:rPr>
                <w:rFonts w:eastAsia="Calibri" w:cs="Calibri"/>
                <w:sz w:val="20"/>
                <w:szCs w:val="20"/>
              </w:rPr>
              <w:t>Data ‘so far been used only for awareness</w:t>
            </w:r>
            <w:r w:rsidR="00227335">
              <w:rPr>
                <w:rFonts w:eastAsia="Calibri" w:cs="Calibri"/>
                <w:sz w:val="20"/>
                <w:szCs w:val="20"/>
              </w:rPr>
              <w:t>-</w:t>
            </w:r>
            <w:r w:rsidRPr="00A640ED">
              <w:rPr>
                <w:rFonts w:eastAsia="Calibri" w:cs="Calibri"/>
                <w:sz w:val="20"/>
                <w:szCs w:val="20"/>
              </w:rPr>
              <w:t xml:space="preserve">raising/sensitisation of </w:t>
            </w:r>
            <w:r w:rsidR="00AC71ED" w:rsidRPr="00A640ED">
              <w:rPr>
                <w:rFonts w:eastAsia="Calibri" w:cs="Calibri"/>
                <w:sz w:val="20"/>
                <w:szCs w:val="20"/>
              </w:rPr>
              <w:t>policymak</w:t>
            </w:r>
            <w:r w:rsidRPr="00A640ED">
              <w:rPr>
                <w:rFonts w:eastAsia="Calibri" w:cs="Calibri"/>
                <w:sz w:val="20"/>
                <w:szCs w:val="20"/>
              </w:rPr>
              <w:t xml:space="preserve">ers and discussion among technical people’ at </w:t>
            </w:r>
            <w:r w:rsidR="00A906B4">
              <w:rPr>
                <w:rFonts w:eastAsia="Calibri" w:cs="Calibri"/>
                <w:sz w:val="20"/>
                <w:szCs w:val="20"/>
              </w:rPr>
              <w:t xml:space="preserve">a </w:t>
            </w:r>
            <w:r w:rsidRPr="00A640ED">
              <w:rPr>
                <w:rFonts w:eastAsia="Calibri" w:cs="Calibri"/>
                <w:sz w:val="20"/>
                <w:szCs w:val="20"/>
              </w:rPr>
              <w:t xml:space="preserve">national level. </w:t>
            </w:r>
          </w:p>
        </w:tc>
        <w:tc>
          <w:tcPr>
            <w:tcW w:w="1995" w:type="dxa"/>
            <w:tcBorders>
              <w:top w:val="single" w:sz="8" w:space="0" w:color="auto"/>
              <w:left w:val="single" w:sz="8" w:space="0" w:color="auto"/>
              <w:bottom w:val="single" w:sz="8" w:space="0" w:color="auto"/>
              <w:right w:val="single" w:sz="8" w:space="0" w:color="auto"/>
            </w:tcBorders>
            <w:shd w:val="clear" w:color="auto" w:fill="C00000"/>
            <w:tcMar>
              <w:left w:w="108" w:type="dxa"/>
              <w:right w:w="108" w:type="dxa"/>
            </w:tcMar>
          </w:tcPr>
          <w:p w14:paraId="450485BF" w14:textId="2EB7C7B9" w:rsidR="1FE22FA2" w:rsidRPr="00A640ED" w:rsidRDefault="1FE22FA2">
            <w:pPr>
              <w:rPr>
                <w:sz w:val="20"/>
                <w:szCs w:val="20"/>
              </w:rPr>
            </w:pPr>
            <w:r w:rsidRPr="00A640ED">
              <w:rPr>
                <w:rFonts w:eastAsia="Calibri" w:cs="Calibri"/>
                <w:color w:val="FFFFFF" w:themeColor="background1"/>
                <w:sz w:val="20"/>
                <w:szCs w:val="20"/>
              </w:rPr>
              <w:t>No AMR data influence yet (awareness stage)</w:t>
            </w:r>
          </w:p>
        </w:tc>
      </w:tr>
      <w:tr w:rsidR="1FE22FA2" w:rsidRPr="00A640ED" w14:paraId="480B46BC" w14:textId="77777777" w:rsidTr="1FE22FA2">
        <w:trPr>
          <w:trHeight w:val="300"/>
        </w:trPr>
        <w:tc>
          <w:tcPr>
            <w:tcW w:w="1170" w:type="dxa"/>
            <w:vMerge/>
            <w:tcBorders>
              <w:left w:val="single" w:sz="0" w:space="0" w:color="auto"/>
              <w:bottom w:val="single" w:sz="0" w:space="0" w:color="auto"/>
              <w:right w:val="single" w:sz="0" w:space="0" w:color="auto"/>
            </w:tcBorders>
            <w:vAlign w:val="center"/>
          </w:tcPr>
          <w:p w14:paraId="3ABF7F9C" w14:textId="77777777" w:rsidR="00442E2E" w:rsidRPr="00A640ED" w:rsidRDefault="00442E2E">
            <w:pPr>
              <w:rPr>
                <w:sz w:val="20"/>
                <w:szCs w:val="20"/>
              </w:rPr>
            </w:pPr>
          </w:p>
        </w:tc>
        <w:tc>
          <w:tcPr>
            <w:tcW w:w="1845" w:type="dxa"/>
            <w:tcBorders>
              <w:top w:val="single" w:sz="8" w:space="0" w:color="auto"/>
              <w:left w:val="nil"/>
              <w:bottom w:val="single" w:sz="8" w:space="0" w:color="auto"/>
              <w:right w:val="single" w:sz="8" w:space="0" w:color="auto"/>
            </w:tcBorders>
            <w:tcMar>
              <w:left w:w="108" w:type="dxa"/>
              <w:right w:w="108" w:type="dxa"/>
            </w:tcMar>
          </w:tcPr>
          <w:p w14:paraId="3FE53587" w14:textId="13A280E3" w:rsidR="1FE22FA2" w:rsidRPr="00A640ED" w:rsidRDefault="1FE22FA2">
            <w:pPr>
              <w:rPr>
                <w:sz w:val="20"/>
                <w:szCs w:val="20"/>
              </w:rPr>
            </w:pPr>
            <w:r w:rsidRPr="00A640ED">
              <w:rPr>
                <w:rFonts w:eastAsia="Calibri" w:cs="Calibri"/>
                <w:sz w:val="20"/>
                <w:szCs w:val="20"/>
              </w:rPr>
              <w:t>AH: regulation - Ciprofloxacin was banned in poultry (2018)</w:t>
            </w:r>
          </w:p>
        </w:tc>
        <w:tc>
          <w:tcPr>
            <w:tcW w:w="4005" w:type="dxa"/>
            <w:tcBorders>
              <w:top w:val="single" w:sz="8" w:space="0" w:color="auto"/>
              <w:left w:val="single" w:sz="8" w:space="0" w:color="auto"/>
              <w:bottom w:val="single" w:sz="8" w:space="0" w:color="auto"/>
              <w:right w:val="single" w:sz="8" w:space="0" w:color="auto"/>
            </w:tcBorders>
            <w:tcMar>
              <w:left w:w="108" w:type="dxa"/>
              <w:right w:w="108" w:type="dxa"/>
            </w:tcMar>
          </w:tcPr>
          <w:p w14:paraId="1A0AF346" w14:textId="7ABCF13A" w:rsidR="1FE22FA2" w:rsidRPr="00A640ED" w:rsidRDefault="1FE22FA2">
            <w:pPr>
              <w:rPr>
                <w:sz w:val="20"/>
                <w:szCs w:val="20"/>
              </w:rPr>
            </w:pPr>
            <w:r w:rsidRPr="00A640ED">
              <w:rPr>
                <w:rFonts w:eastAsia="Calibri" w:cs="Calibri"/>
                <w:sz w:val="20"/>
                <w:szCs w:val="20"/>
              </w:rPr>
              <w:t>‘Based on certain observations and research’</w:t>
            </w:r>
          </w:p>
        </w:tc>
        <w:tc>
          <w:tcPr>
            <w:tcW w:w="1995" w:type="dxa"/>
            <w:tcBorders>
              <w:top w:val="single" w:sz="8" w:space="0" w:color="auto"/>
              <w:left w:val="single" w:sz="8" w:space="0" w:color="auto"/>
              <w:bottom w:val="single" w:sz="8" w:space="0" w:color="auto"/>
              <w:right w:val="single" w:sz="8" w:space="0" w:color="auto"/>
            </w:tcBorders>
            <w:shd w:val="clear" w:color="auto" w:fill="FFC000"/>
            <w:tcMar>
              <w:left w:w="108" w:type="dxa"/>
              <w:right w:w="108" w:type="dxa"/>
            </w:tcMar>
          </w:tcPr>
          <w:p w14:paraId="1E65F588" w14:textId="43E1E5E1" w:rsidR="1FE22FA2" w:rsidRPr="00A640ED" w:rsidRDefault="1FE22FA2">
            <w:pPr>
              <w:rPr>
                <w:sz w:val="20"/>
                <w:szCs w:val="20"/>
              </w:rPr>
            </w:pPr>
            <w:r w:rsidRPr="00A640ED">
              <w:rPr>
                <w:rFonts w:eastAsia="Calibri" w:cs="Calibri"/>
                <w:color w:val="000000"/>
                <w:sz w:val="20"/>
                <w:szCs w:val="20"/>
              </w:rPr>
              <w:t>Unclear (research lead)</w:t>
            </w:r>
          </w:p>
        </w:tc>
      </w:tr>
      <w:tr w:rsidR="1FE22FA2" w:rsidRPr="00A640ED" w14:paraId="7E9530E1" w14:textId="77777777" w:rsidTr="1FE22FA2">
        <w:trPr>
          <w:trHeight w:val="300"/>
        </w:trPr>
        <w:tc>
          <w:tcPr>
            <w:tcW w:w="1170" w:type="dxa"/>
            <w:vMerge w:val="restart"/>
            <w:tcBorders>
              <w:top w:val="nil"/>
              <w:left w:val="single" w:sz="8" w:space="0" w:color="auto"/>
              <w:bottom w:val="single" w:sz="8" w:space="0" w:color="auto"/>
              <w:right w:val="single" w:sz="8" w:space="0" w:color="auto"/>
            </w:tcBorders>
            <w:tcMar>
              <w:left w:w="108" w:type="dxa"/>
              <w:right w:w="108" w:type="dxa"/>
            </w:tcMar>
          </w:tcPr>
          <w:p w14:paraId="740C4A06" w14:textId="72F3011A" w:rsidR="1FE22FA2" w:rsidRPr="00A640ED" w:rsidRDefault="1FE22FA2">
            <w:pPr>
              <w:rPr>
                <w:sz w:val="20"/>
                <w:szCs w:val="20"/>
              </w:rPr>
            </w:pPr>
            <w:r w:rsidRPr="00A640ED">
              <w:rPr>
                <w:rFonts w:eastAsia="Calibri" w:cs="Calibri"/>
                <w:b/>
                <w:bCs/>
                <w:sz w:val="20"/>
                <w:szCs w:val="20"/>
              </w:rPr>
              <w:t>Vietnam</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566BC6E" w14:textId="7A5FFD0A" w:rsidR="1FE22FA2" w:rsidRPr="00A640ED" w:rsidRDefault="1FE22FA2">
            <w:pPr>
              <w:rPr>
                <w:sz w:val="20"/>
                <w:szCs w:val="20"/>
              </w:rPr>
            </w:pPr>
            <w:r w:rsidRPr="00A640ED">
              <w:rPr>
                <w:rFonts w:eastAsia="Calibri" w:cs="Calibri"/>
                <w:b/>
                <w:bCs/>
                <w:sz w:val="20"/>
                <w:szCs w:val="20"/>
              </w:rPr>
              <w:t>HH</w:t>
            </w:r>
            <w:r w:rsidRPr="00A640ED">
              <w:rPr>
                <w:rFonts w:eastAsia="Calibri" w:cs="Calibri"/>
                <w:sz w:val="20"/>
                <w:szCs w:val="20"/>
              </w:rPr>
              <w:t>: No action completed yet</w:t>
            </w:r>
          </w:p>
        </w:tc>
        <w:tc>
          <w:tcPr>
            <w:tcW w:w="4005" w:type="dxa"/>
            <w:tcBorders>
              <w:top w:val="single" w:sz="8" w:space="0" w:color="auto"/>
              <w:left w:val="single" w:sz="8" w:space="0" w:color="auto"/>
              <w:bottom w:val="single" w:sz="8" w:space="0" w:color="auto"/>
              <w:right w:val="single" w:sz="8" w:space="0" w:color="auto"/>
            </w:tcBorders>
            <w:tcMar>
              <w:left w:w="108" w:type="dxa"/>
              <w:right w:w="108" w:type="dxa"/>
            </w:tcMar>
          </w:tcPr>
          <w:p w14:paraId="0C16B0AB" w14:textId="2D86356D" w:rsidR="1FE22FA2" w:rsidRPr="00A640ED" w:rsidRDefault="1FE22FA2">
            <w:pPr>
              <w:rPr>
                <w:sz w:val="20"/>
                <w:szCs w:val="20"/>
              </w:rPr>
            </w:pPr>
            <w:r w:rsidRPr="00A640ED">
              <w:rPr>
                <w:rFonts w:eastAsia="Calibri" w:cs="Calibri"/>
                <w:sz w:val="20"/>
                <w:szCs w:val="20"/>
              </w:rPr>
              <w:t xml:space="preserve">Site data </w:t>
            </w:r>
            <w:r w:rsidR="00A906B4">
              <w:rPr>
                <w:rFonts w:eastAsia="Calibri" w:cs="Calibri"/>
                <w:sz w:val="20"/>
                <w:szCs w:val="20"/>
              </w:rPr>
              <w:t xml:space="preserve">is </w:t>
            </w:r>
            <w:r w:rsidRPr="00A640ED">
              <w:rPr>
                <w:rFonts w:eastAsia="Calibri" w:cs="Calibri"/>
                <w:sz w:val="20"/>
                <w:szCs w:val="20"/>
              </w:rPr>
              <w:t>reported monthly, with annual analysis &amp; feedback workshops. Focus on awareness-raising so far. Current work on input to situation analysis/national strategy development.</w:t>
            </w:r>
          </w:p>
        </w:tc>
        <w:tc>
          <w:tcPr>
            <w:tcW w:w="1995" w:type="dxa"/>
            <w:tcBorders>
              <w:top w:val="single" w:sz="8" w:space="0" w:color="auto"/>
              <w:left w:val="single" w:sz="8" w:space="0" w:color="auto"/>
              <w:bottom w:val="single" w:sz="8" w:space="0" w:color="auto"/>
              <w:right w:val="single" w:sz="8" w:space="0" w:color="auto"/>
            </w:tcBorders>
            <w:shd w:val="clear" w:color="auto" w:fill="C00000"/>
            <w:tcMar>
              <w:left w:w="108" w:type="dxa"/>
              <w:right w:w="108" w:type="dxa"/>
            </w:tcMar>
          </w:tcPr>
          <w:p w14:paraId="2E40BE0E" w14:textId="6CCA5E22" w:rsidR="1FE22FA2" w:rsidRPr="00A640ED" w:rsidRDefault="1FE22FA2">
            <w:pPr>
              <w:rPr>
                <w:sz w:val="20"/>
                <w:szCs w:val="20"/>
              </w:rPr>
            </w:pPr>
            <w:r w:rsidRPr="00A640ED">
              <w:rPr>
                <w:rFonts w:eastAsia="Calibri" w:cs="Calibri"/>
                <w:color w:val="FFFFFF" w:themeColor="background1"/>
                <w:sz w:val="20"/>
                <w:szCs w:val="20"/>
              </w:rPr>
              <w:t>No AMR data influence yet (awareness stage)</w:t>
            </w:r>
          </w:p>
        </w:tc>
      </w:tr>
      <w:tr w:rsidR="1FE22FA2" w:rsidRPr="00A640ED" w14:paraId="50CD2DCD" w14:textId="77777777" w:rsidTr="1FE22FA2">
        <w:trPr>
          <w:trHeight w:val="300"/>
        </w:trPr>
        <w:tc>
          <w:tcPr>
            <w:tcW w:w="1170" w:type="dxa"/>
            <w:vMerge/>
            <w:tcBorders>
              <w:left w:val="single" w:sz="0" w:space="0" w:color="auto"/>
              <w:bottom w:val="single" w:sz="0" w:space="0" w:color="auto"/>
              <w:right w:val="single" w:sz="0" w:space="0" w:color="auto"/>
            </w:tcBorders>
            <w:vAlign w:val="center"/>
          </w:tcPr>
          <w:p w14:paraId="3847BD12" w14:textId="77777777" w:rsidR="00442E2E" w:rsidRPr="00A640ED" w:rsidRDefault="00442E2E">
            <w:pPr>
              <w:rPr>
                <w:sz w:val="20"/>
                <w:szCs w:val="20"/>
              </w:rPr>
            </w:pPr>
          </w:p>
        </w:tc>
        <w:tc>
          <w:tcPr>
            <w:tcW w:w="1845" w:type="dxa"/>
            <w:tcBorders>
              <w:top w:val="single" w:sz="8" w:space="0" w:color="auto"/>
              <w:left w:val="nil"/>
              <w:bottom w:val="single" w:sz="8" w:space="0" w:color="auto"/>
              <w:right w:val="single" w:sz="8" w:space="0" w:color="auto"/>
            </w:tcBorders>
            <w:tcMar>
              <w:left w:w="108" w:type="dxa"/>
              <w:right w:w="108" w:type="dxa"/>
            </w:tcMar>
          </w:tcPr>
          <w:p w14:paraId="79ECF4DC" w14:textId="61ED6EEE" w:rsidR="1FE22FA2" w:rsidRPr="00A640ED" w:rsidRDefault="1FE22FA2">
            <w:pPr>
              <w:rPr>
                <w:sz w:val="20"/>
                <w:szCs w:val="20"/>
              </w:rPr>
            </w:pPr>
            <w:r w:rsidRPr="00A640ED">
              <w:rPr>
                <w:rFonts w:eastAsia="Calibri" w:cs="Calibri"/>
                <w:b/>
                <w:bCs/>
                <w:sz w:val="20"/>
                <w:szCs w:val="20"/>
              </w:rPr>
              <w:t>AH</w:t>
            </w:r>
            <w:r w:rsidRPr="00A640ED">
              <w:rPr>
                <w:rFonts w:eastAsia="Calibri" w:cs="Calibri"/>
                <w:sz w:val="20"/>
                <w:szCs w:val="20"/>
              </w:rPr>
              <w:t>: regulation – growth promotion ban 2018</w:t>
            </w:r>
          </w:p>
        </w:tc>
        <w:tc>
          <w:tcPr>
            <w:tcW w:w="4005" w:type="dxa"/>
            <w:tcBorders>
              <w:top w:val="single" w:sz="8" w:space="0" w:color="auto"/>
              <w:left w:val="single" w:sz="8" w:space="0" w:color="auto"/>
              <w:bottom w:val="single" w:sz="8" w:space="0" w:color="auto"/>
              <w:right w:val="single" w:sz="8" w:space="0" w:color="auto"/>
            </w:tcBorders>
            <w:tcMar>
              <w:left w:w="108" w:type="dxa"/>
              <w:right w:w="108" w:type="dxa"/>
            </w:tcMar>
          </w:tcPr>
          <w:p w14:paraId="3025EFC8" w14:textId="2AC86C4A" w:rsidR="1FE22FA2" w:rsidRPr="00A640ED" w:rsidRDefault="1FE22FA2">
            <w:pPr>
              <w:rPr>
                <w:sz w:val="20"/>
                <w:szCs w:val="20"/>
              </w:rPr>
            </w:pPr>
            <w:r w:rsidRPr="00A640ED">
              <w:rPr>
                <w:rFonts w:eastAsia="Calibri" w:cs="Calibri"/>
                <w:sz w:val="20"/>
                <w:szCs w:val="20"/>
              </w:rPr>
              <w:t>Surveillance data were not available, based on research, informal reporting</w:t>
            </w:r>
            <w:r w:rsidR="00A906B4">
              <w:rPr>
                <w:rFonts w:eastAsia="Calibri" w:cs="Calibri"/>
                <w:sz w:val="20"/>
                <w:szCs w:val="20"/>
              </w:rPr>
              <w:t>,</w:t>
            </w:r>
            <w:r w:rsidRPr="00A640ED">
              <w:rPr>
                <w:rFonts w:eastAsia="Calibri" w:cs="Calibri"/>
                <w:sz w:val="20"/>
                <w:szCs w:val="20"/>
              </w:rPr>
              <w:t xml:space="preserve"> and international recommendations. </w:t>
            </w:r>
          </w:p>
        </w:tc>
        <w:tc>
          <w:tcPr>
            <w:tcW w:w="1995" w:type="dxa"/>
            <w:tcBorders>
              <w:top w:val="single" w:sz="8" w:space="0" w:color="auto"/>
              <w:left w:val="single" w:sz="8" w:space="0" w:color="auto"/>
              <w:bottom w:val="single" w:sz="8" w:space="0" w:color="auto"/>
              <w:right w:val="single" w:sz="8" w:space="0" w:color="auto"/>
            </w:tcBorders>
            <w:shd w:val="clear" w:color="auto" w:fill="FFC000"/>
            <w:tcMar>
              <w:left w:w="108" w:type="dxa"/>
              <w:right w:w="108" w:type="dxa"/>
            </w:tcMar>
          </w:tcPr>
          <w:p w14:paraId="725C1A4E" w14:textId="09BCDB0C" w:rsidR="1FE22FA2" w:rsidRPr="00A640ED" w:rsidRDefault="1FE22FA2">
            <w:pPr>
              <w:rPr>
                <w:sz w:val="20"/>
                <w:szCs w:val="20"/>
              </w:rPr>
            </w:pPr>
            <w:r w:rsidRPr="00A640ED">
              <w:rPr>
                <w:rFonts w:eastAsia="Calibri" w:cs="Calibri"/>
                <w:color w:val="000000"/>
                <w:sz w:val="20"/>
                <w:szCs w:val="20"/>
              </w:rPr>
              <w:t>Unclear (research/ international lead)</w:t>
            </w:r>
          </w:p>
        </w:tc>
      </w:tr>
      <w:tr w:rsidR="1FE22FA2" w:rsidRPr="00A640ED" w14:paraId="7C4433A4" w14:textId="77777777" w:rsidTr="1FE22FA2">
        <w:trPr>
          <w:trHeight w:val="300"/>
        </w:trPr>
        <w:tc>
          <w:tcPr>
            <w:tcW w:w="1170" w:type="dxa"/>
            <w:vMerge w:val="restart"/>
            <w:tcBorders>
              <w:top w:val="nil"/>
              <w:left w:val="single" w:sz="8" w:space="0" w:color="auto"/>
              <w:bottom w:val="single" w:sz="8" w:space="0" w:color="auto"/>
              <w:right w:val="single" w:sz="8" w:space="0" w:color="auto"/>
            </w:tcBorders>
            <w:tcMar>
              <w:left w:w="108" w:type="dxa"/>
              <w:right w:w="108" w:type="dxa"/>
            </w:tcMar>
          </w:tcPr>
          <w:p w14:paraId="61256BD3" w14:textId="74476CA6" w:rsidR="1FE22FA2" w:rsidRPr="00A640ED" w:rsidRDefault="1FE22FA2">
            <w:pPr>
              <w:rPr>
                <w:sz w:val="20"/>
                <w:szCs w:val="20"/>
              </w:rPr>
            </w:pPr>
            <w:r w:rsidRPr="00A640ED">
              <w:rPr>
                <w:rFonts w:eastAsia="Calibri" w:cs="Calibri"/>
                <w:b/>
                <w:bCs/>
                <w:sz w:val="20"/>
                <w:szCs w:val="20"/>
              </w:rPr>
              <w:t>Laos</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B0EB7B1" w14:textId="01846465" w:rsidR="1FE22FA2" w:rsidRPr="00A640ED" w:rsidRDefault="1FE22FA2">
            <w:pPr>
              <w:rPr>
                <w:sz w:val="20"/>
                <w:szCs w:val="20"/>
              </w:rPr>
            </w:pPr>
            <w:r w:rsidRPr="00A640ED">
              <w:rPr>
                <w:rFonts w:eastAsia="Calibri" w:cs="Calibri"/>
                <w:b/>
                <w:bCs/>
                <w:sz w:val="20"/>
                <w:szCs w:val="20"/>
              </w:rPr>
              <w:t>HH</w:t>
            </w:r>
            <w:r w:rsidRPr="00A640ED">
              <w:rPr>
                <w:rFonts w:eastAsia="Calibri" w:cs="Calibri"/>
                <w:sz w:val="20"/>
                <w:szCs w:val="20"/>
              </w:rPr>
              <w:t>: No action completed yet</w:t>
            </w:r>
          </w:p>
        </w:tc>
        <w:tc>
          <w:tcPr>
            <w:tcW w:w="4005" w:type="dxa"/>
            <w:tcBorders>
              <w:top w:val="single" w:sz="8" w:space="0" w:color="auto"/>
              <w:left w:val="single" w:sz="8" w:space="0" w:color="auto"/>
              <w:bottom w:val="single" w:sz="8" w:space="0" w:color="auto"/>
              <w:right w:val="single" w:sz="8" w:space="0" w:color="auto"/>
            </w:tcBorders>
            <w:tcMar>
              <w:left w:w="108" w:type="dxa"/>
              <w:right w:w="108" w:type="dxa"/>
            </w:tcMar>
          </w:tcPr>
          <w:p w14:paraId="03D9FCBD" w14:textId="56D78E5C" w:rsidR="1FE22FA2" w:rsidRPr="00A640ED" w:rsidRDefault="1FE22FA2">
            <w:pPr>
              <w:rPr>
                <w:sz w:val="20"/>
                <w:szCs w:val="20"/>
              </w:rPr>
            </w:pPr>
            <w:r w:rsidRPr="00A640ED">
              <w:rPr>
                <w:rFonts w:eastAsia="Calibri" w:cs="Calibri"/>
                <w:sz w:val="20"/>
                <w:szCs w:val="20"/>
              </w:rPr>
              <w:t xml:space="preserve">Data </w:t>
            </w:r>
            <w:r w:rsidR="00A906B4">
              <w:rPr>
                <w:rFonts w:eastAsia="Calibri" w:cs="Calibri"/>
                <w:sz w:val="20"/>
                <w:szCs w:val="20"/>
              </w:rPr>
              <w:t xml:space="preserve">is </w:t>
            </w:r>
            <w:r w:rsidRPr="00A640ED">
              <w:rPr>
                <w:rFonts w:eastAsia="Calibri" w:cs="Calibri"/>
                <w:sz w:val="20"/>
                <w:szCs w:val="20"/>
              </w:rPr>
              <w:t>now more available but no connection to processes for national action.</w:t>
            </w:r>
          </w:p>
        </w:tc>
        <w:tc>
          <w:tcPr>
            <w:tcW w:w="1995" w:type="dxa"/>
            <w:tcBorders>
              <w:top w:val="single" w:sz="8" w:space="0" w:color="auto"/>
              <w:left w:val="single" w:sz="8" w:space="0" w:color="auto"/>
              <w:bottom w:val="single" w:sz="8" w:space="0" w:color="auto"/>
              <w:right w:val="single" w:sz="8" w:space="0" w:color="auto"/>
            </w:tcBorders>
            <w:shd w:val="clear" w:color="auto" w:fill="C00000"/>
            <w:tcMar>
              <w:left w:w="108" w:type="dxa"/>
              <w:right w:w="108" w:type="dxa"/>
            </w:tcMar>
          </w:tcPr>
          <w:p w14:paraId="5261B8F8" w14:textId="20145982" w:rsidR="1FE22FA2" w:rsidRPr="00A640ED" w:rsidRDefault="1FE22FA2">
            <w:pPr>
              <w:rPr>
                <w:sz w:val="20"/>
                <w:szCs w:val="20"/>
              </w:rPr>
            </w:pPr>
            <w:r w:rsidRPr="00A640ED">
              <w:rPr>
                <w:rFonts w:eastAsia="Calibri" w:cs="Calibri"/>
                <w:color w:val="FFFFFF" w:themeColor="background1"/>
                <w:sz w:val="20"/>
                <w:szCs w:val="20"/>
              </w:rPr>
              <w:t>No AMR data influence yet</w:t>
            </w:r>
          </w:p>
        </w:tc>
      </w:tr>
      <w:tr w:rsidR="1FE22FA2" w:rsidRPr="00A640ED" w14:paraId="559C7BF2" w14:textId="77777777" w:rsidTr="1FE22FA2">
        <w:trPr>
          <w:trHeight w:val="60"/>
        </w:trPr>
        <w:tc>
          <w:tcPr>
            <w:tcW w:w="1170" w:type="dxa"/>
            <w:vMerge/>
            <w:tcBorders>
              <w:left w:val="single" w:sz="0" w:space="0" w:color="auto"/>
              <w:bottom w:val="single" w:sz="0" w:space="0" w:color="auto"/>
              <w:right w:val="single" w:sz="0" w:space="0" w:color="auto"/>
            </w:tcBorders>
            <w:vAlign w:val="center"/>
          </w:tcPr>
          <w:p w14:paraId="3A122872" w14:textId="77777777" w:rsidR="00442E2E" w:rsidRPr="00A640ED" w:rsidRDefault="00442E2E">
            <w:pPr>
              <w:rPr>
                <w:sz w:val="20"/>
                <w:szCs w:val="20"/>
              </w:rPr>
            </w:pPr>
          </w:p>
        </w:tc>
        <w:tc>
          <w:tcPr>
            <w:tcW w:w="1845" w:type="dxa"/>
            <w:tcBorders>
              <w:top w:val="single" w:sz="8" w:space="0" w:color="auto"/>
              <w:left w:val="nil"/>
              <w:bottom w:val="single" w:sz="8" w:space="0" w:color="auto"/>
              <w:right w:val="single" w:sz="8" w:space="0" w:color="auto"/>
            </w:tcBorders>
            <w:tcMar>
              <w:left w:w="108" w:type="dxa"/>
              <w:right w:w="108" w:type="dxa"/>
            </w:tcMar>
          </w:tcPr>
          <w:p w14:paraId="44A8BEAE" w14:textId="10C3A115" w:rsidR="1FE22FA2" w:rsidRPr="00A640ED" w:rsidRDefault="1FE22FA2">
            <w:pPr>
              <w:rPr>
                <w:sz w:val="20"/>
                <w:szCs w:val="20"/>
              </w:rPr>
            </w:pPr>
            <w:r w:rsidRPr="00A640ED">
              <w:rPr>
                <w:rFonts w:eastAsia="Calibri" w:cs="Calibri"/>
                <w:b/>
                <w:bCs/>
                <w:sz w:val="20"/>
                <w:szCs w:val="20"/>
              </w:rPr>
              <w:t>AH</w:t>
            </w:r>
            <w:r w:rsidRPr="00A640ED">
              <w:rPr>
                <w:rFonts w:eastAsia="Calibri" w:cs="Calibri"/>
                <w:sz w:val="20"/>
                <w:szCs w:val="20"/>
              </w:rPr>
              <w:t xml:space="preserve">: policy initiatives </w:t>
            </w:r>
          </w:p>
        </w:tc>
        <w:tc>
          <w:tcPr>
            <w:tcW w:w="4005" w:type="dxa"/>
            <w:tcBorders>
              <w:top w:val="single" w:sz="8" w:space="0" w:color="auto"/>
              <w:left w:val="single" w:sz="8" w:space="0" w:color="auto"/>
              <w:bottom w:val="single" w:sz="8" w:space="0" w:color="auto"/>
              <w:right w:val="single" w:sz="8" w:space="0" w:color="auto"/>
            </w:tcBorders>
            <w:tcMar>
              <w:left w:w="108" w:type="dxa"/>
              <w:right w:w="108" w:type="dxa"/>
            </w:tcMar>
          </w:tcPr>
          <w:p w14:paraId="1AD5A920" w14:textId="12CD50B2" w:rsidR="1FE22FA2" w:rsidRPr="00A640ED" w:rsidRDefault="1FE22FA2">
            <w:pPr>
              <w:rPr>
                <w:sz w:val="20"/>
                <w:szCs w:val="20"/>
              </w:rPr>
            </w:pPr>
            <w:r w:rsidRPr="00A640ED">
              <w:rPr>
                <w:rFonts w:eastAsia="Calibri" w:cs="Calibri"/>
                <w:sz w:val="20"/>
                <w:szCs w:val="20"/>
              </w:rPr>
              <w:t xml:space="preserve">Data </w:t>
            </w:r>
            <w:r w:rsidR="00A906B4">
              <w:rPr>
                <w:rFonts w:eastAsia="Calibri" w:cs="Calibri"/>
                <w:sz w:val="20"/>
                <w:szCs w:val="20"/>
              </w:rPr>
              <w:t xml:space="preserve">is </w:t>
            </w:r>
            <w:r w:rsidRPr="00A640ED">
              <w:rPr>
                <w:rFonts w:eastAsia="Calibri" w:cs="Calibri"/>
                <w:sz w:val="20"/>
                <w:szCs w:val="20"/>
              </w:rPr>
              <w:t xml:space="preserve">now more available but perceived problems in using it to inform national policy. </w:t>
            </w:r>
          </w:p>
        </w:tc>
        <w:tc>
          <w:tcPr>
            <w:tcW w:w="1995" w:type="dxa"/>
            <w:tcBorders>
              <w:top w:val="single" w:sz="8" w:space="0" w:color="auto"/>
              <w:left w:val="single" w:sz="8" w:space="0" w:color="auto"/>
              <w:bottom w:val="single" w:sz="8" w:space="0" w:color="auto"/>
              <w:right w:val="single" w:sz="8" w:space="0" w:color="auto"/>
            </w:tcBorders>
            <w:shd w:val="clear" w:color="auto" w:fill="FFC000"/>
            <w:tcMar>
              <w:left w:w="108" w:type="dxa"/>
              <w:right w:w="108" w:type="dxa"/>
            </w:tcMar>
          </w:tcPr>
          <w:p w14:paraId="241076A5" w14:textId="6500272B" w:rsidR="1FE22FA2" w:rsidRPr="00A640ED" w:rsidRDefault="1FE22FA2">
            <w:pPr>
              <w:rPr>
                <w:sz w:val="20"/>
                <w:szCs w:val="20"/>
              </w:rPr>
            </w:pPr>
            <w:r w:rsidRPr="00A640ED">
              <w:rPr>
                <w:rFonts w:eastAsia="Calibri" w:cs="Calibri"/>
                <w:color w:val="000000"/>
                <w:sz w:val="20"/>
                <w:szCs w:val="20"/>
              </w:rPr>
              <w:t>Unclear (export standards lead)</w:t>
            </w:r>
          </w:p>
        </w:tc>
      </w:tr>
      <w:tr w:rsidR="1FE22FA2" w:rsidRPr="00A640ED" w14:paraId="12461278" w14:textId="77777777" w:rsidTr="1FE22FA2">
        <w:trPr>
          <w:trHeight w:val="60"/>
        </w:trPr>
        <w:tc>
          <w:tcPr>
            <w:tcW w:w="1170" w:type="dxa"/>
            <w:vMerge w:val="restart"/>
            <w:tcBorders>
              <w:top w:val="nil"/>
              <w:left w:val="single" w:sz="8" w:space="0" w:color="auto"/>
              <w:bottom w:val="single" w:sz="8" w:space="0" w:color="auto"/>
              <w:right w:val="single" w:sz="8" w:space="0" w:color="auto"/>
            </w:tcBorders>
            <w:tcMar>
              <w:left w:w="108" w:type="dxa"/>
              <w:right w:w="108" w:type="dxa"/>
            </w:tcMar>
          </w:tcPr>
          <w:p w14:paraId="159327F6" w14:textId="3A033C39" w:rsidR="1FE22FA2" w:rsidRPr="00A640ED" w:rsidRDefault="1FE22FA2">
            <w:pPr>
              <w:rPr>
                <w:sz w:val="20"/>
                <w:szCs w:val="20"/>
              </w:rPr>
            </w:pPr>
            <w:r w:rsidRPr="00A640ED">
              <w:rPr>
                <w:rFonts w:eastAsia="Calibri" w:cs="Calibri"/>
                <w:b/>
                <w:bCs/>
                <w:sz w:val="20"/>
                <w:szCs w:val="20"/>
              </w:rPr>
              <w:t>Zambia</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324CE35" w14:textId="76C2F3F3" w:rsidR="1FE22FA2" w:rsidRPr="00A640ED" w:rsidRDefault="1FE22FA2">
            <w:pPr>
              <w:rPr>
                <w:sz w:val="20"/>
                <w:szCs w:val="20"/>
              </w:rPr>
            </w:pPr>
            <w:r w:rsidRPr="00A640ED">
              <w:rPr>
                <w:rFonts w:eastAsia="Calibri" w:cs="Calibri"/>
                <w:b/>
                <w:bCs/>
                <w:sz w:val="20"/>
                <w:szCs w:val="20"/>
              </w:rPr>
              <w:t>HH</w:t>
            </w:r>
            <w:r w:rsidRPr="00A640ED">
              <w:rPr>
                <w:rFonts w:eastAsia="Calibri" w:cs="Calibri"/>
                <w:sz w:val="20"/>
                <w:szCs w:val="20"/>
              </w:rPr>
              <w:t>: No action completed yet</w:t>
            </w:r>
          </w:p>
        </w:tc>
        <w:tc>
          <w:tcPr>
            <w:tcW w:w="4005" w:type="dxa"/>
            <w:tcBorders>
              <w:top w:val="single" w:sz="8" w:space="0" w:color="auto"/>
              <w:left w:val="single" w:sz="8" w:space="0" w:color="auto"/>
              <w:bottom w:val="single" w:sz="8" w:space="0" w:color="auto"/>
              <w:right w:val="single" w:sz="8" w:space="0" w:color="auto"/>
            </w:tcBorders>
            <w:tcMar>
              <w:left w:w="108" w:type="dxa"/>
              <w:right w:w="108" w:type="dxa"/>
            </w:tcMar>
          </w:tcPr>
          <w:p w14:paraId="14FB14E5" w14:textId="5444DDE8" w:rsidR="1FE22FA2" w:rsidRPr="00A640ED" w:rsidRDefault="00C07B57">
            <w:pPr>
              <w:rPr>
                <w:sz w:val="20"/>
                <w:szCs w:val="20"/>
              </w:rPr>
            </w:pPr>
            <w:r>
              <w:rPr>
                <w:rFonts w:eastAsia="Calibri" w:cs="Calibri"/>
                <w:sz w:val="20"/>
                <w:szCs w:val="20"/>
              </w:rPr>
              <w:t>There is s</w:t>
            </w:r>
            <w:r w:rsidR="1FE22FA2" w:rsidRPr="00A640ED">
              <w:rPr>
                <w:rFonts w:eastAsia="Calibri" w:cs="Calibri"/>
                <w:sz w:val="20"/>
                <w:szCs w:val="20"/>
              </w:rPr>
              <w:t>ome use of AMR data</w:t>
            </w:r>
            <w:r>
              <w:rPr>
                <w:rFonts w:eastAsia="Calibri" w:cs="Calibri"/>
                <w:sz w:val="20"/>
                <w:szCs w:val="20"/>
              </w:rPr>
              <w:t>,</w:t>
            </w:r>
            <w:r w:rsidR="1FE22FA2" w:rsidRPr="00A640ED">
              <w:rPr>
                <w:rFonts w:eastAsia="Calibri" w:cs="Calibri"/>
                <w:sz w:val="20"/>
                <w:szCs w:val="20"/>
              </w:rPr>
              <w:t xml:space="preserve"> amongst other inputs</w:t>
            </w:r>
            <w:r>
              <w:rPr>
                <w:rFonts w:eastAsia="Calibri" w:cs="Calibri"/>
                <w:sz w:val="20"/>
                <w:szCs w:val="20"/>
              </w:rPr>
              <w:t>,</w:t>
            </w:r>
            <w:r w:rsidR="1FE22FA2" w:rsidRPr="00A640ED">
              <w:rPr>
                <w:rFonts w:eastAsia="Calibri" w:cs="Calibri"/>
                <w:sz w:val="20"/>
                <w:szCs w:val="20"/>
              </w:rPr>
              <w:t xml:space="preserve"> to policy briefs being deliberated by </w:t>
            </w:r>
            <w:r>
              <w:rPr>
                <w:rFonts w:eastAsia="Calibri" w:cs="Calibri"/>
                <w:sz w:val="20"/>
                <w:szCs w:val="20"/>
              </w:rPr>
              <w:t xml:space="preserve">the </w:t>
            </w:r>
            <w:r w:rsidR="1FE22FA2" w:rsidRPr="00A640ED">
              <w:rPr>
                <w:rFonts w:eastAsia="Calibri" w:cs="Calibri"/>
                <w:sz w:val="20"/>
                <w:szCs w:val="20"/>
              </w:rPr>
              <w:t>AMRCC.</w:t>
            </w:r>
          </w:p>
        </w:tc>
        <w:tc>
          <w:tcPr>
            <w:tcW w:w="1995" w:type="dxa"/>
            <w:tcBorders>
              <w:top w:val="single" w:sz="8" w:space="0" w:color="auto"/>
              <w:left w:val="single" w:sz="8" w:space="0" w:color="auto"/>
              <w:bottom w:val="single" w:sz="8" w:space="0" w:color="auto"/>
              <w:right w:val="single" w:sz="8" w:space="0" w:color="auto"/>
            </w:tcBorders>
            <w:shd w:val="clear" w:color="auto" w:fill="C00000"/>
            <w:tcMar>
              <w:left w:w="108" w:type="dxa"/>
              <w:right w:w="108" w:type="dxa"/>
            </w:tcMar>
          </w:tcPr>
          <w:p w14:paraId="3BC902AD" w14:textId="100A6779" w:rsidR="1FE22FA2" w:rsidRPr="00A640ED" w:rsidRDefault="1FE22FA2">
            <w:pPr>
              <w:rPr>
                <w:sz w:val="20"/>
                <w:szCs w:val="20"/>
              </w:rPr>
            </w:pPr>
            <w:r w:rsidRPr="00A640ED">
              <w:rPr>
                <w:rFonts w:eastAsia="Calibri" w:cs="Calibri"/>
                <w:color w:val="FFFFFF" w:themeColor="background1"/>
                <w:sz w:val="20"/>
                <w:szCs w:val="20"/>
              </w:rPr>
              <w:t>No action yet</w:t>
            </w:r>
          </w:p>
        </w:tc>
      </w:tr>
      <w:tr w:rsidR="1FE22FA2" w:rsidRPr="00A640ED" w14:paraId="4E02CE14" w14:textId="77777777" w:rsidTr="1FE22FA2">
        <w:trPr>
          <w:trHeight w:val="60"/>
        </w:trPr>
        <w:tc>
          <w:tcPr>
            <w:tcW w:w="1170" w:type="dxa"/>
            <w:vMerge/>
            <w:tcBorders>
              <w:left w:val="single" w:sz="0" w:space="0" w:color="auto"/>
              <w:bottom w:val="single" w:sz="0" w:space="0" w:color="auto"/>
              <w:right w:val="single" w:sz="0" w:space="0" w:color="auto"/>
            </w:tcBorders>
            <w:vAlign w:val="center"/>
          </w:tcPr>
          <w:p w14:paraId="095290CA" w14:textId="77777777" w:rsidR="00442E2E" w:rsidRPr="00A640ED" w:rsidRDefault="00442E2E">
            <w:pPr>
              <w:rPr>
                <w:sz w:val="20"/>
                <w:szCs w:val="20"/>
              </w:rPr>
            </w:pPr>
          </w:p>
        </w:tc>
        <w:tc>
          <w:tcPr>
            <w:tcW w:w="1845" w:type="dxa"/>
            <w:tcBorders>
              <w:top w:val="single" w:sz="8" w:space="0" w:color="auto"/>
              <w:left w:val="nil"/>
              <w:bottom w:val="single" w:sz="8" w:space="0" w:color="auto"/>
              <w:right w:val="single" w:sz="8" w:space="0" w:color="auto"/>
            </w:tcBorders>
            <w:tcMar>
              <w:left w:w="108" w:type="dxa"/>
              <w:right w:w="108" w:type="dxa"/>
            </w:tcMar>
          </w:tcPr>
          <w:p w14:paraId="7C814321" w14:textId="0A162C62" w:rsidR="1FE22FA2" w:rsidRPr="00A640ED" w:rsidRDefault="1FE22FA2">
            <w:pPr>
              <w:rPr>
                <w:sz w:val="20"/>
                <w:szCs w:val="20"/>
              </w:rPr>
            </w:pPr>
            <w:r w:rsidRPr="00A640ED">
              <w:rPr>
                <w:rFonts w:eastAsia="Calibri" w:cs="Calibri"/>
                <w:b/>
                <w:bCs/>
                <w:sz w:val="20"/>
                <w:szCs w:val="20"/>
              </w:rPr>
              <w:t>AH</w:t>
            </w:r>
            <w:r w:rsidRPr="00A640ED">
              <w:rPr>
                <w:rFonts w:eastAsia="Calibri" w:cs="Calibri"/>
                <w:sz w:val="20"/>
                <w:szCs w:val="20"/>
              </w:rPr>
              <w:t>: No action completed yet</w:t>
            </w:r>
          </w:p>
        </w:tc>
        <w:tc>
          <w:tcPr>
            <w:tcW w:w="4005" w:type="dxa"/>
            <w:tcBorders>
              <w:top w:val="single" w:sz="8" w:space="0" w:color="auto"/>
              <w:left w:val="single" w:sz="8" w:space="0" w:color="auto"/>
              <w:bottom w:val="single" w:sz="8" w:space="0" w:color="auto"/>
              <w:right w:val="single" w:sz="8" w:space="0" w:color="auto"/>
            </w:tcBorders>
            <w:tcMar>
              <w:left w:w="108" w:type="dxa"/>
              <w:right w:w="108" w:type="dxa"/>
            </w:tcMar>
          </w:tcPr>
          <w:p w14:paraId="0533CBE6" w14:textId="1B3EF5A2" w:rsidR="1FE22FA2" w:rsidRPr="00A640ED" w:rsidRDefault="1FE22FA2">
            <w:pPr>
              <w:rPr>
                <w:sz w:val="20"/>
                <w:szCs w:val="20"/>
              </w:rPr>
            </w:pPr>
            <w:r w:rsidRPr="00A640ED">
              <w:rPr>
                <w:rFonts w:eastAsia="Calibri" w:cs="Calibri"/>
                <w:sz w:val="20"/>
                <w:szCs w:val="20"/>
              </w:rPr>
              <w:t xml:space="preserve">Some use of AMR data amongst other inputs to </w:t>
            </w:r>
            <w:r w:rsidR="00A906B4">
              <w:rPr>
                <w:rFonts w:eastAsia="Calibri" w:cs="Calibri"/>
                <w:sz w:val="20"/>
                <w:szCs w:val="20"/>
              </w:rPr>
              <w:t xml:space="preserve">the </w:t>
            </w:r>
            <w:r w:rsidRPr="00A640ED">
              <w:rPr>
                <w:rFonts w:eastAsia="Calibri" w:cs="Calibri"/>
                <w:sz w:val="20"/>
                <w:szCs w:val="20"/>
              </w:rPr>
              <w:t>development of draft regulations on poultry feed.</w:t>
            </w:r>
          </w:p>
        </w:tc>
        <w:tc>
          <w:tcPr>
            <w:tcW w:w="1995" w:type="dxa"/>
            <w:tcBorders>
              <w:top w:val="single" w:sz="8" w:space="0" w:color="auto"/>
              <w:left w:val="single" w:sz="8" w:space="0" w:color="auto"/>
              <w:bottom w:val="single" w:sz="8" w:space="0" w:color="auto"/>
              <w:right w:val="single" w:sz="8" w:space="0" w:color="auto"/>
            </w:tcBorders>
            <w:shd w:val="clear" w:color="auto" w:fill="C00000"/>
            <w:tcMar>
              <w:left w:w="108" w:type="dxa"/>
              <w:right w:w="108" w:type="dxa"/>
            </w:tcMar>
          </w:tcPr>
          <w:p w14:paraId="70610AED" w14:textId="159FEC48" w:rsidR="1FE22FA2" w:rsidRPr="00A640ED" w:rsidRDefault="1FE22FA2">
            <w:pPr>
              <w:rPr>
                <w:sz w:val="20"/>
                <w:szCs w:val="20"/>
              </w:rPr>
            </w:pPr>
            <w:r w:rsidRPr="00A640ED">
              <w:rPr>
                <w:rFonts w:eastAsia="Calibri" w:cs="Calibri"/>
                <w:color w:val="FFFFFF" w:themeColor="background1"/>
                <w:sz w:val="20"/>
                <w:szCs w:val="20"/>
              </w:rPr>
              <w:t>No action yet</w:t>
            </w:r>
          </w:p>
        </w:tc>
      </w:tr>
      <w:bookmarkEnd w:id="263"/>
    </w:tbl>
    <w:p w14:paraId="75F1BA97" w14:textId="70919DC4" w:rsidR="425ADF5E" w:rsidRDefault="425ADF5E" w:rsidP="007F63EF">
      <w:pPr>
        <w:spacing w:line="257" w:lineRule="auto"/>
        <w:rPr>
          <w:rFonts w:eastAsia="Calibri" w:cs="Calibri"/>
          <w:b/>
          <w:bCs/>
        </w:rPr>
      </w:pPr>
    </w:p>
    <w:p w14:paraId="12C501D6" w14:textId="391CD670" w:rsidR="00C04C3C" w:rsidRDefault="00C04C3C" w:rsidP="00C04C3C">
      <w:pPr>
        <w:pStyle w:val="ItadCaption"/>
      </w:pPr>
      <w:bookmarkStart w:id="264" w:name="_Toc143857907"/>
      <w:bookmarkStart w:id="265" w:name="_Hlk129532515"/>
      <w:r>
        <w:t xml:space="preserve">Table </w:t>
      </w:r>
      <w:r>
        <w:fldChar w:fldCharType="begin"/>
      </w:r>
      <w:r>
        <w:instrText>SEQ Table \* ARABIC</w:instrText>
      </w:r>
      <w:r>
        <w:fldChar w:fldCharType="separate"/>
      </w:r>
      <w:r w:rsidR="009A383C">
        <w:rPr>
          <w:noProof/>
        </w:rPr>
        <w:t>39</w:t>
      </w:r>
      <w:r>
        <w:fldChar w:fldCharType="end"/>
      </w:r>
      <w:r>
        <w:t xml:space="preserve"> </w:t>
      </w:r>
      <w:r w:rsidRPr="00C04C3C">
        <w:t>Progress towards data sharing/developments increasing potential for future data use</w:t>
      </w:r>
      <w:bookmarkEnd w:id="264"/>
    </w:p>
    <w:tbl>
      <w:tblPr>
        <w:tblStyle w:val="TableGrid"/>
        <w:tblW w:w="0" w:type="auto"/>
        <w:tblLayout w:type="fixed"/>
        <w:tblLook w:val="04A0" w:firstRow="1" w:lastRow="0" w:firstColumn="1" w:lastColumn="0" w:noHBand="0" w:noVBand="1"/>
      </w:tblPr>
      <w:tblGrid>
        <w:gridCol w:w="1140"/>
        <w:gridCol w:w="1725"/>
        <w:gridCol w:w="4320"/>
        <w:gridCol w:w="1830"/>
      </w:tblGrid>
      <w:tr w:rsidR="1FE22FA2" w:rsidRPr="00C04C3C" w14:paraId="73A7F8E3" w14:textId="77777777" w:rsidTr="00C04C3C">
        <w:trPr>
          <w:trHeight w:val="300"/>
        </w:trPr>
        <w:tc>
          <w:tcPr>
            <w:tcW w:w="1140" w:type="dxa"/>
            <w:tcBorders>
              <w:top w:val="single" w:sz="8" w:space="0" w:color="auto"/>
              <w:left w:val="single" w:sz="8" w:space="0" w:color="auto"/>
              <w:bottom w:val="single" w:sz="8" w:space="0" w:color="auto"/>
              <w:right w:val="single" w:sz="8" w:space="0" w:color="auto"/>
            </w:tcBorders>
            <w:shd w:val="clear" w:color="auto" w:fill="96C286" w:themeFill="text2" w:themeFillTint="99"/>
            <w:tcMar>
              <w:left w:w="108" w:type="dxa"/>
              <w:right w:w="108" w:type="dxa"/>
            </w:tcMar>
          </w:tcPr>
          <w:p w14:paraId="0FD18D6A" w14:textId="1E23ADE0" w:rsidR="1FE22FA2" w:rsidRPr="00C04C3C" w:rsidRDefault="1FE22FA2">
            <w:pPr>
              <w:rPr>
                <w:sz w:val="20"/>
                <w:szCs w:val="20"/>
              </w:rPr>
            </w:pPr>
            <w:r w:rsidRPr="00C04C3C">
              <w:rPr>
                <w:rFonts w:eastAsia="Calibri" w:cs="Calibri"/>
                <w:b/>
                <w:bCs/>
                <w:sz w:val="20"/>
                <w:szCs w:val="20"/>
              </w:rPr>
              <w:t>Country</w:t>
            </w:r>
          </w:p>
        </w:tc>
        <w:tc>
          <w:tcPr>
            <w:tcW w:w="1725" w:type="dxa"/>
            <w:tcBorders>
              <w:top w:val="single" w:sz="8" w:space="0" w:color="auto"/>
              <w:left w:val="single" w:sz="8" w:space="0" w:color="auto"/>
              <w:bottom w:val="single" w:sz="8" w:space="0" w:color="auto"/>
              <w:right w:val="single" w:sz="8" w:space="0" w:color="auto"/>
            </w:tcBorders>
            <w:shd w:val="clear" w:color="auto" w:fill="96C286" w:themeFill="text2" w:themeFillTint="99"/>
            <w:tcMar>
              <w:left w:w="108" w:type="dxa"/>
              <w:right w:w="108" w:type="dxa"/>
            </w:tcMar>
          </w:tcPr>
          <w:p w14:paraId="2A6BB688" w14:textId="4B328461" w:rsidR="1FE22FA2" w:rsidRPr="00C04C3C" w:rsidRDefault="1FE22FA2">
            <w:pPr>
              <w:rPr>
                <w:sz w:val="20"/>
                <w:szCs w:val="20"/>
              </w:rPr>
            </w:pPr>
            <w:r w:rsidRPr="00C04C3C">
              <w:rPr>
                <w:rFonts w:eastAsia="Calibri" w:cs="Calibri"/>
                <w:b/>
                <w:bCs/>
                <w:sz w:val="20"/>
                <w:szCs w:val="20"/>
              </w:rPr>
              <w:t xml:space="preserve">National action </w:t>
            </w:r>
          </w:p>
        </w:tc>
        <w:tc>
          <w:tcPr>
            <w:tcW w:w="4320" w:type="dxa"/>
            <w:tcBorders>
              <w:top w:val="single" w:sz="8" w:space="0" w:color="auto"/>
              <w:left w:val="single" w:sz="8" w:space="0" w:color="auto"/>
              <w:bottom w:val="single" w:sz="8" w:space="0" w:color="auto"/>
              <w:right w:val="single" w:sz="8" w:space="0" w:color="auto"/>
            </w:tcBorders>
            <w:shd w:val="clear" w:color="auto" w:fill="96C286" w:themeFill="text2" w:themeFillTint="99"/>
            <w:tcMar>
              <w:left w:w="108" w:type="dxa"/>
              <w:right w:w="108" w:type="dxa"/>
            </w:tcMar>
          </w:tcPr>
          <w:p w14:paraId="217E16A3" w14:textId="2AE92A6A" w:rsidR="1FE22FA2" w:rsidRPr="00C04C3C" w:rsidRDefault="1FE22FA2">
            <w:pPr>
              <w:rPr>
                <w:sz w:val="20"/>
                <w:szCs w:val="20"/>
              </w:rPr>
            </w:pPr>
            <w:r w:rsidRPr="00C04C3C">
              <w:rPr>
                <w:rFonts w:eastAsia="Calibri" w:cs="Calibri"/>
                <w:b/>
                <w:bCs/>
                <w:sz w:val="20"/>
                <w:szCs w:val="20"/>
              </w:rPr>
              <w:t>Role of surveillance data</w:t>
            </w:r>
          </w:p>
        </w:tc>
        <w:tc>
          <w:tcPr>
            <w:tcW w:w="1830" w:type="dxa"/>
            <w:tcBorders>
              <w:top w:val="single" w:sz="8" w:space="0" w:color="auto"/>
              <w:left w:val="single" w:sz="8" w:space="0" w:color="auto"/>
              <w:bottom w:val="single" w:sz="8" w:space="0" w:color="auto"/>
              <w:right w:val="single" w:sz="8" w:space="0" w:color="auto"/>
            </w:tcBorders>
            <w:shd w:val="clear" w:color="auto" w:fill="96C286" w:themeFill="text2" w:themeFillTint="99"/>
            <w:tcMar>
              <w:left w:w="108" w:type="dxa"/>
              <w:right w:w="108" w:type="dxa"/>
            </w:tcMar>
          </w:tcPr>
          <w:p w14:paraId="40E41FF5" w14:textId="3511EBEF" w:rsidR="1FE22FA2" w:rsidRPr="00C04C3C" w:rsidRDefault="1FE22FA2">
            <w:pPr>
              <w:rPr>
                <w:sz w:val="20"/>
                <w:szCs w:val="20"/>
              </w:rPr>
            </w:pPr>
            <w:r w:rsidRPr="00C04C3C">
              <w:rPr>
                <w:rFonts w:eastAsia="Calibri" w:cs="Calibri"/>
                <w:b/>
                <w:bCs/>
                <w:sz w:val="20"/>
                <w:szCs w:val="20"/>
              </w:rPr>
              <w:t>Assessment</w:t>
            </w:r>
          </w:p>
        </w:tc>
      </w:tr>
      <w:tr w:rsidR="1FE22FA2" w:rsidRPr="00C04C3C" w14:paraId="74C00FCF" w14:textId="77777777" w:rsidTr="1FE22FA2">
        <w:trPr>
          <w:trHeight w:val="300"/>
        </w:trPr>
        <w:tc>
          <w:tcPr>
            <w:tcW w:w="1140" w:type="dxa"/>
            <w:tcBorders>
              <w:top w:val="single" w:sz="8" w:space="0" w:color="auto"/>
              <w:left w:val="single" w:sz="8" w:space="0" w:color="auto"/>
              <w:bottom w:val="single" w:sz="8" w:space="0" w:color="auto"/>
              <w:right w:val="single" w:sz="8" w:space="0" w:color="auto"/>
            </w:tcBorders>
            <w:tcMar>
              <w:left w:w="108" w:type="dxa"/>
              <w:right w:w="108" w:type="dxa"/>
            </w:tcMar>
          </w:tcPr>
          <w:p w14:paraId="006A5BD5" w14:textId="384CE304" w:rsidR="1FE22FA2" w:rsidRPr="00C04C3C" w:rsidRDefault="1FE22FA2">
            <w:pPr>
              <w:rPr>
                <w:sz w:val="20"/>
                <w:szCs w:val="20"/>
              </w:rPr>
            </w:pPr>
            <w:r w:rsidRPr="00C04C3C">
              <w:rPr>
                <w:rFonts w:eastAsia="Calibri" w:cs="Calibri"/>
                <w:b/>
                <w:bCs/>
                <w:sz w:val="20"/>
                <w:szCs w:val="20"/>
              </w:rPr>
              <w:t>Ghana</w:t>
            </w:r>
          </w:p>
        </w:tc>
        <w:tc>
          <w:tcPr>
            <w:tcW w:w="1725" w:type="dxa"/>
            <w:tcBorders>
              <w:top w:val="single" w:sz="8" w:space="0" w:color="auto"/>
              <w:left w:val="single" w:sz="8" w:space="0" w:color="auto"/>
              <w:bottom w:val="single" w:sz="8" w:space="0" w:color="auto"/>
              <w:right w:val="single" w:sz="8" w:space="0" w:color="auto"/>
            </w:tcBorders>
            <w:tcMar>
              <w:left w:w="108" w:type="dxa"/>
              <w:right w:w="108" w:type="dxa"/>
            </w:tcMar>
          </w:tcPr>
          <w:p w14:paraId="7AA60588" w14:textId="6FD30F76" w:rsidR="1FE22FA2" w:rsidRPr="00C04C3C" w:rsidRDefault="1FE22FA2">
            <w:pPr>
              <w:rPr>
                <w:sz w:val="20"/>
                <w:szCs w:val="20"/>
              </w:rPr>
            </w:pPr>
            <w:r w:rsidRPr="00C04C3C">
              <w:rPr>
                <w:rFonts w:eastAsia="Calibri" w:cs="Calibri"/>
                <w:sz w:val="20"/>
                <w:szCs w:val="20"/>
              </w:rPr>
              <w:t>None yet, mainly awareness</w:t>
            </w:r>
          </w:p>
        </w:tc>
        <w:tc>
          <w:tcPr>
            <w:tcW w:w="4320" w:type="dxa"/>
            <w:tcBorders>
              <w:top w:val="single" w:sz="8" w:space="0" w:color="auto"/>
              <w:left w:val="single" w:sz="8" w:space="0" w:color="auto"/>
              <w:bottom w:val="single" w:sz="8" w:space="0" w:color="auto"/>
              <w:right w:val="single" w:sz="8" w:space="0" w:color="auto"/>
            </w:tcBorders>
            <w:tcMar>
              <w:left w:w="108" w:type="dxa"/>
              <w:right w:w="108" w:type="dxa"/>
            </w:tcMar>
          </w:tcPr>
          <w:p w14:paraId="7D62164F" w14:textId="5D55D987" w:rsidR="1FE22FA2" w:rsidRPr="00C04C3C" w:rsidRDefault="1FE22FA2">
            <w:pPr>
              <w:rPr>
                <w:sz w:val="20"/>
                <w:szCs w:val="20"/>
              </w:rPr>
            </w:pPr>
            <w:r w:rsidRPr="00C04C3C">
              <w:rPr>
                <w:rFonts w:eastAsia="Calibri" w:cs="Calibri"/>
                <w:sz w:val="20"/>
                <w:szCs w:val="20"/>
              </w:rPr>
              <w:t>Issues assembling AMR data for influence on national policy – no reporting of AMR surveillance, lack of systematic view across PPS.</w:t>
            </w:r>
          </w:p>
        </w:tc>
        <w:tc>
          <w:tcPr>
            <w:tcW w:w="1830" w:type="dxa"/>
            <w:tcBorders>
              <w:top w:val="single" w:sz="8" w:space="0" w:color="auto"/>
              <w:left w:val="single" w:sz="8" w:space="0" w:color="auto"/>
              <w:bottom w:val="single" w:sz="8" w:space="0" w:color="auto"/>
              <w:right w:val="single" w:sz="8" w:space="0" w:color="auto"/>
            </w:tcBorders>
            <w:shd w:val="clear" w:color="auto" w:fill="C00000"/>
            <w:tcMar>
              <w:left w:w="108" w:type="dxa"/>
              <w:right w:w="108" w:type="dxa"/>
            </w:tcMar>
          </w:tcPr>
          <w:p w14:paraId="5175A905" w14:textId="66DC68A5" w:rsidR="1FE22FA2" w:rsidRPr="00C04C3C" w:rsidRDefault="1FE22FA2">
            <w:pPr>
              <w:rPr>
                <w:sz w:val="20"/>
                <w:szCs w:val="20"/>
              </w:rPr>
            </w:pPr>
            <w:r w:rsidRPr="00C04C3C">
              <w:rPr>
                <w:rFonts w:eastAsia="Calibri" w:cs="Calibri"/>
                <w:color w:val="FFFFFF" w:themeColor="background1"/>
                <w:sz w:val="20"/>
                <w:szCs w:val="20"/>
              </w:rPr>
              <w:t>Data (AMU), no action</w:t>
            </w:r>
          </w:p>
        </w:tc>
      </w:tr>
      <w:tr w:rsidR="1FE22FA2" w:rsidRPr="00C04C3C" w14:paraId="5A9361BC" w14:textId="77777777" w:rsidTr="1FE22FA2">
        <w:trPr>
          <w:trHeight w:val="60"/>
        </w:trPr>
        <w:tc>
          <w:tcPr>
            <w:tcW w:w="1140" w:type="dxa"/>
            <w:tcBorders>
              <w:top w:val="single" w:sz="8" w:space="0" w:color="auto"/>
              <w:left w:val="single" w:sz="8" w:space="0" w:color="auto"/>
              <w:bottom w:val="single" w:sz="8" w:space="0" w:color="auto"/>
              <w:right w:val="single" w:sz="8" w:space="0" w:color="auto"/>
            </w:tcBorders>
            <w:tcMar>
              <w:left w:w="108" w:type="dxa"/>
              <w:right w:w="108" w:type="dxa"/>
            </w:tcMar>
          </w:tcPr>
          <w:p w14:paraId="74158DEE" w14:textId="3B9B036E" w:rsidR="1FE22FA2" w:rsidRPr="00C04C3C" w:rsidRDefault="1FE22FA2">
            <w:pPr>
              <w:rPr>
                <w:sz w:val="20"/>
                <w:szCs w:val="20"/>
              </w:rPr>
            </w:pPr>
            <w:r w:rsidRPr="00C04C3C">
              <w:rPr>
                <w:rFonts w:eastAsia="Calibri" w:cs="Calibri"/>
                <w:b/>
                <w:bCs/>
                <w:sz w:val="20"/>
                <w:szCs w:val="20"/>
              </w:rPr>
              <w:t>Sierra Leone</w:t>
            </w:r>
          </w:p>
        </w:tc>
        <w:tc>
          <w:tcPr>
            <w:tcW w:w="1725" w:type="dxa"/>
            <w:tcBorders>
              <w:top w:val="single" w:sz="8" w:space="0" w:color="auto"/>
              <w:left w:val="single" w:sz="8" w:space="0" w:color="auto"/>
              <w:bottom w:val="single" w:sz="8" w:space="0" w:color="auto"/>
              <w:right w:val="single" w:sz="8" w:space="0" w:color="auto"/>
            </w:tcBorders>
            <w:tcMar>
              <w:left w:w="108" w:type="dxa"/>
              <w:right w:w="108" w:type="dxa"/>
            </w:tcMar>
          </w:tcPr>
          <w:p w14:paraId="095CCD98" w14:textId="18949190" w:rsidR="1FE22FA2" w:rsidRPr="00C04C3C" w:rsidRDefault="1FE22FA2">
            <w:pPr>
              <w:rPr>
                <w:sz w:val="20"/>
                <w:szCs w:val="20"/>
              </w:rPr>
            </w:pPr>
            <w:r w:rsidRPr="00C04C3C">
              <w:rPr>
                <w:rFonts w:eastAsia="Calibri" w:cs="Calibri"/>
                <w:sz w:val="20"/>
                <w:szCs w:val="20"/>
              </w:rPr>
              <w:t>None yet</w:t>
            </w:r>
          </w:p>
        </w:tc>
        <w:tc>
          <w:tcPr>
            <w:tcW w:w="4320" w:type="dxa"/>
            <w:tcBorders>
              <w:top w:val="single" w:sz="8" w:space="0" w:color="auto"/>
              <w:left w:val="single" w:sz="8" w:space="0" w:color="auto"/>
              <w:bottom w:val="single" w:sz="8" w:space="0" w:color="auto"/>
              <w:right w:val="single" w:sz="8" w:space="0" w:color="auto"/>
            </w:tcBorders>
            <w:tcMar>
              <w:left w:w="108" w:type="dxa"/>
              <w:right w:w="108" w:type="dxa"/>
            </w:tcMar>
          </w:tcPr>
          <w:p w14:paraId="74D71063" w14:textId="6499B95C" w:rsidR="1FE22FA2" w:rsidRPr="00C04C3C" w:rsidRDefault="1FE22FA2">
            <w:pPr>
              <w:rPr>
                <w:sz w:val="20"/>
                <w:szCs w:val="20"/>
              </w:rPr>
            </w:pPr>
            <w:r w:rsidRPr="00C04C3C">
              <w:rPr>
                <w:rFonts w:eastAsia="Calibri" w:cs="Calibri"/>
                <w:sz w:val="20"/>
                <w:szCs w:val="20"/>
              </w:rPr>
              <w:t>PPS and situational awareness discussions</w:t>
            </w:r>
          </w:p>
        </w:tc>
        <w:tc>
          <w:tcPr>
            <w:tcW w:w="1830" w:type="dxa"/>
            <w:tcBorders>
              <w:top w:val="single" w:sz="8" w:space="0" w:color="auto"/>
              <w:left w:val="single" w:sz="8" w:space="0" w:color="auto"/>
              <w:bottom w:val="single" w:sz="8" w:space="0" w:color="auto"/>
              <w:right w:val="single" w:sz="8" w:space="0" w:color="auto"/>
            </w:tcBorders>
            <w:shd w:val="clear" w:color="auto" w:fill="C00000"/>
            <w:tcMar>
              <w:left w:w="108" w:type="dxa"/>
              <w:right w:w="108" w:type="dxa"/>
            </w:tcMar>
          </w:tcPr>
          <w:p w14:paraId="18018168" w14:textId="1D5FE350" w:rsidR="1FE22FA2" w:rsidRPr="00C04C3C" w:rsidRDefault="1FE22FA2">
            <w:pPr>
              <w:rPr>
                <w:sz w:val="20"/>
                <w:szCs w:val="20"/>
              </w:rPr>
            </w:pPr>
            <w:r w:rsidRPr="00C04C3C">
              <w:rPr>
                <w:rFonts w:eastAsia="Calibri" w:cs="Calibri"/>
                <w:color w:val="FFFFFF" w:themeColor="background1"/>
                <w:sz w:val="20"/>
                <w:szCs w:val="20"/>
              </w:rPr>
              <w:t>Initial data, no action</w:t>
            </w:r>
          </w:p>
        </w:tc>
      </w:tr>
      <w:tr w:rsidR="1FE22FA2" w:rsidRPr="00C04C3C" w14:paraId="2AC92A09" w14:textId="77777777" w:rsidTr="1FE22FA2">
        <w:trPr>
          <w:trHeight w:val="60"/>
        </w:trPr>
        <w:tc>
          <w:tcPr>
            <w:tcW w:w="1140" w:type="dxa"/>
            <w:tcBorders>
              <w:top w:val="single" w:sz="8" w:space="0" w:color="auto"/>
              <w:left w:val="single" w:sz="8" w:space="0" w:color="auto"/>
              <w:bottom w:val="single" w:sz="8" w:space="0" w:color="auto"/>
              <w:right w:val="single" w:sz="8" w:space="0" w:color="auto"/>
            </w:tcBorders>
            <w:tcMar>
              <w:left w:w="108" w:type="dxa"/>
              <w:right w:w="108" w:type="dxa"/>
            </w:tcMar>
          </w:tcPr>
          <w:p w14:paraId="27F149D6" w14:textId="1BCA2CFE" w:rsidR="1FE22FA2" w:rsidRPr="00C04C3C" w:rsidRDefault="00260B8A">
            <w:pPr>
              <w:rPr>
                <w:sz w:val="20"/>
                <w:szCs w:val="20"/>
              </w:rPr>
            </w:pPr>
            <w:r>
              <w:rPr>
                <w:rFonts w:eastAsia="Calibri" w:cs="Calibri"/>
                <w:b/>
                <w:bCs/>
                <w:sz w:val="20"/>
                <w:szCs w:val="20"/>
              </w:rPr>
              <w:t>Timor-Leste</w:t>
            </w:r>
          </w:p>
        </w:tc>
        <w:tc>
          <w:tcPr>
            <w:tcW w:w="1725" w:type="dxa"/>
            <w:tcBorders>
              <w:top w:val="single" w:sz="8" w:space="0" w:color="auto"/>
              <w:left w:val="single" w:sz="8" w:space="0" w:color="auto"/>
              <w:bottom w:val="single" w:sz="8" w:space="0" w:color="auto"/>
              <w:right w:val="single" w:sz="8" w:space="0" w:color="auto"/>
            </w:tcBorders>
            <w:tcMar>
              <w:left w:w="108" w:type="dxa"/>
              <w:right w:w="108" w:type="dxa"/>
            </w:tcMar>
          </w:tcPr>
          <w:p w14:paraId="500B98B7" w14:textId="3285B2AF" w:rsidR="1FE22FA2" w:rsidRPr="00C04C3C" w:rsidRDefault="1FE22FA2">
            <w:pPr>
              <w:rPr>
                <w:sz w:val="20"/>
                <w:szCs w:val="20"/>
              </w:rPr>
            </w:pPr>
            <w:r w:rsidRPr="00C04C3C">
              <w:rPr>
                <w:rFonts w:eastAsia="Calibri" w:cs="Calibri"/>
                <w:sz w:val="20"/>
                <w:szCs w:val="20"/>
              </w:rPr>
              <w:t>Uncertain – towards HH policy (guidelines)</w:t>
            </w:r>
          </w:p>
        </w:tc>
        <w:tc>
          <w:tcPr>
            <w:tcW w:w="4320" w:type="dxa"/>
            <w:tcBorders>
              <w:top w:val="single" w:sz="8" w:space="0" w:color="auto"/>
              <w:left w:val="single" w:sz="8" w:space="0" w:color="auto"/>
              <w:bottom w:val="single" w:sz="8" w:space="0" w:color="auto"/>
              <w:right w:val="single" w:sz="8" w:space="0" w:color="auto"/>
            </w:tcBorders>
            <w:tcMar>
              <w:left w:w="108" w:type="dxa"/>
              <w:right w:w="108" w:type="dxa"/>
            </w:tcMar>
          </w:tcPr>
          <w:p w14:paraId="0FB1905C" w14:textId="50B5B957" w:rsidR="1FE22FA2" w:rsidRPr="00C04C3C" w:rsidRDefault="1FE22FA2">
            <w:pPr>
              <w:rPr>
                <w:sz w:val="20"/>
                <w:szCs w:val="20"/>
              </w:rPr>
            </w:pPr>
            <w:r w:rsidRPr="00C04C3C">
              <w:rPr>
                <w:rFonts w:eastAsia="Calibri" w:cs="Calibri"/>
                <w:sz w:val="20"/>
                <w:szCs w:val="20"/>
              </w:rPr>
              <w:t xml:space="preserve">Data </w:t>
            </w:r>
            <w:r w:rsidR="00B308C0">
              <w:rPr>
                <w:rFonts w:eastAsia="Calibri" w:cs="Calibri"/>
                <w:sz w:val="20"/>
                <w:szCs w:val="20"/>
              </w:rPr>
              <w:t xml:space="preserve">is </w:t>
            </w:r>
            <w:r w:rsidRPr="00C04C3C">
              <w:rPr>
                <w:rFonts w:eastAsia="Calibri" w:cs="Calibri"/>
                <w:sz w:val="20"/>
                <w:szCs w:val="20"/>
              </w:rPr>
              <w:t xml:space="preserve">now more available but </w:t>
            </w:r>
            <w:r w:rsidR="00B308C0">
              <w:rPr>
                <w:rFonts w:eastAsia="Calibri" w:cs="Calibri"/>
                <w:sz w:val="20"/>
                <w:szCs w:val="20"/>
              </w:rPr>
              <w:t xml:space="preserve">the </w:t>
            </w:r>
            <w:r w:rsidRPr="00C04C3C">
              <w:rPr>
                <w:rFonts w:eastAsia="Calibri" w:cs="Calibri"/>
                <w:sz w:val="20"/>
                <w:szCs w:val="20"/>
              </w:rPr>
              <w:t>perceived problem is using it to inform national policy.</w:t>
            </w:r>
          </w:p>
        </w:tc>
        <w:tc>
          <w:tcPr>
            <w:tcW w:w="1830" w:type="dxa"/>
            <w:tcBorders>
              <w:top w:val="single" w:sz="8" w:space="0" w:color="auto"/>
              <w:left w:val="single" w:sz="8" w:space="0" w:color="auto"/>
              <w:bottom w:val="single" w:sz="8" w:space="0" w:color="auto"/>
              <w:right w:val="single" w:sz="8" w:space="0" w:color="auto"/>
            </w:tcBorders>
            <w:shd w:val="clear" w:color="auto" w:fill="C00000"/>
            <w:tcMar>
              <w:left w:w="108" w:type="dxa"/>
              <w:right w:w="108" w:type="dxa"/>
            </w:tcMar>
          </w:tcPr>
          <w:p w14:paraId="748FE6E9" w14:textId="08B09A0B" w:rsidR="1FE22FA2" w:rsidRPr="00C04C3C" w:rsidRDefault="1FE22FA2">
            <w:pPr>
              <w:rPr>
                <w:sz w:val="20"/>
                <w:szCs w:val="20"/>
              </w:rPr>
            </w:pPr>
            <w:r w:rsidRPr="00C04C3C">
              <w:rPr>
                <w:rFonts w:eastAsia="Calibri" w:cs="Calibri"/>
                <w:color w:val="FFFFFF" w:themeColor="background1"/>
                <w:sz w:val="20"/>
                <w:szCs w:val="20"/>
              </w:rPr>
              <w:t>Data (AMR), no action</w:t>
            </w:r>
          </w:p>
        </w:tc>
      </w:tr>
    </w:tbl>
    <w:p w14:paraId="47CEA6BB" w14:textId="74FCA5ED" w:rsidR="425ADF5E" w:rsidRDefault="425ADF5E" w:rsidP="007F63EF">
      <w:pPr>
        <w:spacing w:line="257" w:lineRule="auto"/>
        <w:rPr>
          <w:rFonts w:eastAsia="Calibri" w:cs="Calibri"/>
          <w:b/>
          <w:bCs/>
        </w:rPr>
      </w:pPr>
      <w:r w:rsidRPr="1FE22FA2">
        <w:rPr>
          <w:rFonts w:eastAsia="Calibri" w:cs="Calibri"/>
          <w:b/>
          <w:bCs/>
        </w:rPr>
        <w:t xml:space="preserve"> </w:t>
      </w:r>
    </w:p>
    <w:p w14:paraId="2B313355" w14:textId="0F279A50" w:rsidR="00D87D1E" w:rsidRPr="00C04C3C" w:rsidRDefault="00D87D1E" w:rsidP="00C04C3C">
      <w:pPr>
        <w:pStyle w:val="ItadCaption"/>
      </w:pPr>
      <w:bookmarkStart w:id="266" w:name="_Toc143857908"/>
      <w:r w:rsidRPr="00C04C3C">
        <w:t xml:space="preserve">Table </w:t>
      </w:r>
      <w:r>
        <w:fldChar w:fldCharType="begin"/>
      </w:r>
      <w:r>
        <w:instrText>SEQ Table \* ARABIC</w:instrText>
      </w:r>
      <w:r>
        <w:fldChar w:fldCharType="separate"/>
      </w:r>
      <w:r w:rsidR="009A383C">
        <w:rPr>
          <w:noProof/>
        </w:rPr>
        <w:t>40</w:t>
      </w:r>
      <w:r>
        <w:fldChar w:fldCharType="end"/>
      </w:r>
      <w:r w:rsidRPr="00C04C3C">
        <w:t xml:space="preserve"> No substantial progress towards data sharing/unclear prospects for future data use</w:t>
      </w:r>
      <w:bookmarkEnd w:id="266"/>
    </w:p>
    <w:tbl>
      <w:tblPr>
        <w:tblStyle w:val="TableGrid"/>
        <w:tblW w:w="0" w:type="auto"/>
        <w:tblLayout w:type="fixed"/>
        <w:tblLook w:val="04A0" w:firstRow="1" w:lastRow="0" w:firstColumn="1" w:lastColumn="0" w:noHBand="0" w:noVBand="1"/>
      </w:tblPr>
      <w:tblGrid>
        <w:gridCol w:w="1260"/>
        <w:gridCol w:w="1635"/>
        <w:gridCol w:w="4260"/>
        <w:gridCol w:w="1860"/>
      </w:tblGrid>
      <w:tr w:rsidR="1FE22FA2" w:rsidRPr="00D87D1E" w14:paraId="315C8956" w14:textId="77777777" w:rsidTr="00C04C3C">
        <w:trPr>
          <w:trHeight w:val="300"/>
          <w:tblHeader/>
        </w:trPr>
        <w:tc>
          <w:tcPr>
            <w:tcW w:w="1260" w:type="dxa"/>
            <w:tcBorders>
              <w:top w:val="single" w:sz="8" w:space="0" w:color="auto"/>
              <w:left w:val="single" w:sz="8" w:space="0" w:color="auto"/>
              <w:bottom w:val="single" w:sz="8" w:space="0" w:color="auto"/>
              <w:right w:val="single" w:sz="8" w:space="0" w:color="auto"/>
            </w:tcBorders>
            <w:shd w:val="clear" w:color="auto" w:fill="96C286" w:themeFill="text2" w:themeFillTint="99"/>
            <w:tcMar>
              <w:left w:w="108" w:type="dxa"/>
              <w:right w:w="108" w:type="dxa"/>
            </w:tcMar>
          </w:tcPr>
          <w:p w14:paraId="22C156BF" w14:textId="00F2E7A5" w:rsidR="1FE22FA2" w:rsidRPr="00D87D1E" w:rsidRDefault="1FE22FA2">
            <w:pPr>
              <w:rPr>
                <w:sz w:val="20"/>
                <w:szCs w:val="20"/>
              </w:rPr>
            </w:pPr>
            <w:r w:rsidRPr="00D87D1E">
              <w:rPr>
                <w:rFonts w:eastAsia="Calibri" w:cs="Calibri"/>
                <w:b/>
                <w:bCs/>
                <w:sz w:val="20"/>
                <w:szCs w:val="20"/>
              </w:rPr>
              <w:t>Country</w:t>
            </w:r>
          </w:p>
        </w:tc>
        <w:tc>
          <w:tcPr>
            <w:tcW w:w="1635" w:type="dxa"/>
            <w:tcBorders>
              <w:top w:val="single" w:sz="8" w:space="0" w:color="auto"/>
              <w:left w:val="single" w:sz="8" w:space="0" w:color="auto"/>
              <w:bottom w:val="single" w:sz="8" w:space="0" w:color="auto"/>
              <w:right w:val="single" w:sz="8" w:space="0" w:color="auto"/>
            </w:tcBorders>
            <w:shd w:val="clear" w:color="auto" w:fill="96C286" w:themeFill="text2" w:themeFillTint="99"/>
            <w:tcMar>
              <w:left w:w="108" w:type="dxa"/>
              <w:right w:w="108" w:type="dxa"/>
            </w:tcMar>
          </w:tcPr>
          <w:p w14:paraId="46317582" w14:textId="64E0C04A" w:rsidR="1FE22FA2" w:rsidRPr="00D87D1E" w:rsidRDefault="1FE22FA2">
            <w:pPr>
              <w:rPr>
                <w:sz w:val="20"/>
                <w:szCs w:val="20"/>
              </w:rPr>
            </w:pPr>
            <w:r w:rsidRPr="00D87D1E">
              <w:rPr>
                <w:rFonts w:eastAsia="Calibri" w:cs="Calibri"/>
                <w:b/>
                <w:bCs/>
                <w:sz w:val="20"/>
                <w:szCs w:val="20"/>
              </w:rPr>
              <w:t xml:space="preserve">National action </w:t>
            </w:r>
          </w:p>
        </w:tc>
        <w:tc>
          <w:tcPr>
            <w:tcW w:w="4260" w:type="dxa"/>
            <w:tcBorders>
              <w:top w:val="single" w:sz="8" w:space="0" w:color="auto"/>
              <w:left w:val="single" w:sz="8" w:space="0" w:color="auto"/>
              <w:bottom w:val="single" w:sz="8" w:space="0" w:color="auto"/>
              <w:right w:val="single" w:sz="8" w:space="0" w:color="auto"/>
            </w:tcBorders>
            <w:shd w:val="clear" w:color="auto" w:fill="96C286" w:themeFill="text2" w:themeFillTint="99"/>
            <w:tcMar>
              <w:left w:w="108" w:type="dxa"/>
              <w:right w:w="108" w:type="dxa"/>
            </w:tcMar>
          </w:tcPr>
          <w:p w14:paraId="362ABBAD" w14:textId="3B66EDDA" w:rsidR="1FE22FA2" w:rsidRPr="00D87D1E" w:rsidRDefault="1FE22FA2">
            <w:pPr>
              <w:rPr>
                <w:sz w:val="20"/>
                <w:szCs w:val="20"/>
              </w:rPr>
            </w:pPr>
            <w:r w:rsidRPr="00D87D1E">
              <w:rPr>
                <w:rFonts w:eastAsia="Calibri" w:cs="Calibri"/>
                <w:b/>
                <w:bCs/>
                <w:sz w:val="20"/>
                <w:szCs w:val="20"/>
              </w:rPr>
              <w:t>Role of surveillance data</w:t>
            </w:r>
          </w:p>
        </w:tc>
        <w:tc>
          <w:tcPr>
            <w:tcW w:w="1860" w:type="dxa"/>
            <w:tcBorders>
              <w:top w:val="single" w:sz="8" w:space="0" w:color="auto"/>
              <w:left w:val="single" w:sz="8" w:space="0" w:color="auto"/>
              <w:bottom w:val="single" w:sz="8" w:space="0" w:color="auto"/>
              <w:right w:val="single" w:sz="8" w:space="0" w:color="auto"/>
            </w:tcBorders>
            <w:shd w:val="clear" w:color="auto" w:fill="96C286" w:themeFill="text2" w:themeFillTint="99"/>
            <w:tcMar>
              <w:left w:w="108" w:type="dxa"/>
              <w:right w:w="108" w:type="dxa"/>
            </w:tcMar>
          </w:tcPr>
          <w:p w14:paraId="42985BFD" w14:textId="5975A4A6" w:rsidR="1FE22FA2" w:rsidRPr="00D87D1E" w:rsidRDefault="1FE22FA2">
            <w:pPr>
              <w:rPr>
                <w:sz w:val="20"/>
                <w:szCs w:val="20"/>
              </w:rPr>
            </w:pPr>
            <w:r w:rsidRPr="00D87D1E">
              <w:rPr>
                <w:rFonts w:eastAsia="Calibri" w:cs="Calibri"/>
                <w:b/>
                <w:bCs/>
                <w:sz w:val="20"/>
                <w:szCs w:val="20"/>
              </w:rPr>
              <w:t>Assessment</w:t>
            </w:r>
          </w:p>
        </w:tc>
      </w:tr>
      <w:tr w:rsidR="1FE22FA2" w:rsidRPr="00D87D1E" w14:paraId="54FE4FF2" w14:textId="77777777" w:rsidTr="1FE22FA2">
        <w:trPr>
          <w:trHeight w:val="60"/>
        </w:trPr>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432D8E97" w14:textId="335EBBFC" w:rsidR="1FE22FA2" w:rsidRPr="00D87D1E" w:rsidRDefault="1FE22FA2">
            <w:pPr>
              <w:rPr>
                <w:sz w:val="20"/>
                <w:szCs w:val="20"/>
              </w:rPr>
            </w:pPr>
            <w:r w:rsidRPr="00D87D1E">
              <w:rPr>
                <w:rFonts w:eastAsia="Calibri" w:cs="Calibri"/>
                <w:b/>
                <w:bCs/>
                <w:sz w:val="20"/>
                <w:szCs w:val="20"/>
              </w:rPr>
              <w:t>Indonesia</w:t>
            </w:r>
          </w:p>
        </w:tc>
        <w:tc>
          <w:tcPr>
            <w:tcW w:w="1635" w:type="dxa"/>
            <w:tcBorders>
              <w:top w:val="single" w:sz="8" w:space="0" w:color="auto"/>
              <w:left w:val="single" w:sz="8" w:space="0" w:color="auto"/>
              <w:bottom w:val="single" w:sz="8" w:space="0" w:color="auto"/>
              <w:right w:val="single" w:sz="8" w:space="0" w:color="auto"/>
            </w:tcBorders>
            <w:tcMar>
              <w:left w:w="108" w:type="dxa"/>
              <w:right w:w="108" w:type="dxa"/>
            </w:tcMar>
          </w:tcPr>
          <w:p w14:paraId="0E1843C7" w14:textId="70F5972C" w:rsidR="1FE22FA2" w:rsidRPr="00D87D1E" w:rsidRDefault="1FE22FA2">
            <w:pPr>
              <w:rPr>
                <w:sz w:val="20"/>
                <w:szCs w:val="20"/>
              </w:rPr>
            </w:pPr>
            <w:r w:rsidRPr="00D87D1E">
              <w:rPr>
                <w:rFonts w:eastAsia="Calibri" w:cs="Calibri"/>
                <w:sz w:val="20"/>
                <w:szCs w:val="20"/>
              </w:rPr>
              <w:t>None yet</w:t>
            </w:r>
          </w:p>
        </w:tc>
        <w:tc>
          <w:tcPr>
            <w:tcW w:w="4260" w:type="dxa"/>
            <w:tcBorders>
              <w:top w:val="single" w:sz="8" w:space="0" w:color="auto"/>
              <w:left w:val="single" w:sz="8" w:space="0" w:color="auto"/>
              <w:bottom w:val="single" w:sz="8" w:space="0" w:color="auto"/>
              <w:right w:val="single" w:sz="8" w:space="0" w:color="auto"/>
            </w:tcBorders>
            <w:tcMar>
              <w:left w:w="108" w:type="dxa"/>
              <w:right w:w="108" w:type="dxa"/>
            </w:tcMar>
          </w:tcPr>
          <w:p w14:paraId="722EE001" w14:textId="185289AD" w:rsidR="1FE22FA2" w:rsidRPr="00D87D1E" w:rsidRDefault="1FE22FA2">
            <w:pPr>
              <w:rPr>
                <w:sz w:val="20"/>
                <w:szCs w:val="20"/>
              </w:rPr>
            </w:pPr>
            <w:r w:rsidRPr="00D87D1E">
              <w:rPr>
                <w:rFonts w:eastAsia="Calibri" w:cs="Calibri"/>
                <w:sz w:val="20"/>
                <w:szCs w:val="20"/>
              </w:rPr>
              <w:t>AMR surveillance data goes to GLASS but not national</w:t>
            </w:r>
            <w:r w:rsidR="00B308C0">
              <w:rPr>
                <w:rFonts w:eastAsia="Calibri" w:cs="Calibri"/>
                <w:sz w:val="20"/>
                <w:szCs w:val="20"/>
              </w:rPr>
              <w:t xml:space="preserve"> data</w:t>
            </w:r>
            <w:r w:rsidRPr="00D87D1E">
              <w:rPr>
                <w:rFonts w:eastAsia="Calibri" w:cs="Calibri"/>
                <w:sz w:val="20"/>
                <w:szCs w:val="20"/>
              </w:rPr>
              <w:t xml:space="preserve">; national processes </w:t>
            </w:r>
            <w:r w:rsidR="00B308C0">
              <w:rPr>
                <w:rFonts w:eastAsia="Calibri" w:cs="Calibri"/>
                <w:sz w:val="20"/>
                <w:szCs w:val="20"/>
              </w:rPr>
              <w:t xml:space="preserve">are </w:t>
            </w:r>
            <w:r w:rsidRPr="00D87D1E">
              <w:rPr>
                <w:rFonts w:eastAsia="Calibri" w:cs="Calibri"/>
                <w:sz w:val="20"/>
                <w:szCs w:val="20"/>
              </w:rPr>
              <w:t>more concerned with other information inputs</w:t>
            </w:r>
          </w:p>
        </w:tc>
        <w:tc>
          <w:tcPr>
            <w:tcW w:w="1860" w:type="dxa"/>
            <w:tcBorders>
              <w:top w:val="single" w:sz="8" w:space="0" w:color="auto"/>
              <w:left w:val="single" w:sz="8" w:space="0" w:color="auto"/>
              <w:bottom w:val="single" w:sz="8" w:space="0" w:color="auto"/>
              <w:right w:val="single" w:sz="8" w:space="0" w:color="auto"/>
            </w:tcBorders>
            <w:shd w:val="clear" w:color="auto" w:fill="C00000"/>
            <w:tcMar>
              <w:left w:w="108" w:type="dxa"/>
              <w:right w:w="108" w:type="dxa"/>
            </w:tcMar>
          </w:tcPr>
          <w:p w14:paraId="5FE19A5F" w14:textId="2F8C5D00" w:rsidR="1FE22FA2" w:rsidRPr="00D87D1E" w:rsidRDefault="1FE22FA2">
            <w:pPr>
              <w:rPr>
                <w:sz w:val="20"/>
                <w:szCs w:val="20"/>
              </w:rPr>
            </w:pPr>
            <w:r w:rsidRPr="00D87D1E">
              <w:rPr>
                <w:rFonts w:eastAsia="Calibri" w:cs="Calibri"/>
                <w:color w:val="FFFFFF" w:themeColor="background1"/>
                <w:sz w:val="20"/>
                <w:szCs w:val="20"/>
              </w:rPr>
              <w:t>Data (AMR), no action</w:t>
            </w:r>
          </w:p>
        </w:tc>
      </w:tr>
      <w:tr w:rsidR="1FE22FA2" w:rsidRPr="00D87D1E" w14:paraId="5E611E77" w14:textId="77777777" w:rsidTr="1FE22FA2">
        <w:trPr>
          <w:trHeight w:val="60"/>
        </w:trPr>
        <w:tc>
          <w:tcPr>
            <w:tcW w:w="1260"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0CBF7E6A" w14:textId="48141050" w:rsidR="1FE22FA2" w:rsidRPr="00D87D1E" w:rsidRDefault="1FE22FA2">
            <w:pPr>
              <w:rPr>
                <w:sz w:val="20"/>
                <w:szCs w:val="20"/>
              </w:rPr>
            </w:pPr>
            <w:r w:rsidRPr="00D87D1E">
              <w:rPr>
                <w:rFonts w:eastAsia="Calibri" w:cs="Calibri"/>
                <w:b/>
                <w:bCs/>
                <w:sz w:val="20"/>
                <w:szCs w:val="20"/>
              </w:rPr>
              <w:t>Nigeria</w:t>
            </w:r>
          </w:p>
        </w:tc>
        <w:tc>
          <w:tcPr>
            <w:tcW w:w="1635" w:type="dxa"/>
            <w:tcBorders>
              <w:top w:val="single" w:sz="8" w:space="0" w:color="auto"/>
              <w:left w:val="single" w:sz="8" w:space="0" w:color="auto"/>
              <w:bottom w:val="single" w:sz="8" w:space="0" w:color="auto"/>
              <w:right w:val="single" w:sz="8" w:space="0" w:color="auto"/>
            </w:tcBorders>
            <w:tcMar>
              <w:left w:w="108" w:type="dxa"/>
              <w:right w:w="108" w:type="dxa"/>
            </w:tcMar>
          </w:tcPr>
          <w:p w14:paraId="57F67B8F" w14:textId="6F5BC93B" w:rsidR="1FE22FA2" w:rsidRPr="00D87D1E" w:rsidRDefault="1FE22FA2">
            <w:pPr>
              <w:rPr>
                <w:sz w:val="20"/>
                <w:szCs w:val="20"/>
              </w:rPr>
            </w:pPr>
            <w:r w:rsidRPr="00D87D1E">
              <w:rPr>
                <w:rFonts w:eastAsia="Calibri" w:cs="Calibri"/>
                <w:b/>
                <w:bCs/>
                <w:sz w:val="20"/>
                <w:szCs w:val="20"/>
              </w:rPr>
              <w:t>HH</w:t>
            </w:r>
            <w:r w:rsidRPr="00D87D1E">
              <w:rPr>
                <w:rFonts w:eastAsia="Calibri" w:cs="Calibri"/>
                <w:sz w:val="20"/>
                <w:szCs w:val="20"/>
              </w:rPr>
              <w:t>: no action completed yet (some IPC guidelines mentioned but not linked to AMR)</w:t>
            </w:r>
          </w:p>
        </w:tc>
        <w:tc>
          <w:tcPr>
            <w:tcW w:w="4260" w:type="dxa"/>
            <w:tcBorders>
              <w:top w:val="single" w:sz="8" w:space="0" w:color="auto"/>
              <w:left w:val="single" w:sz="8" w:space="0" w:color="auto"/>
              <w:bottom w:val="single" w:sz="8" w:space="0" w:color="auto"/>
              <w:right w:val="single" w:sz="8" w:space="0" w:color="auto"/>
            </w:tcBorders>
            <w:tcMar>
              <w:left w:w="108" w:type="dxa"/>
              <w:right w:w="108" w:type="dxa"/>
            </w:tcMar>
          </w:tcPr>
          <w:p w14:paraId="2843C3C7" w14:textId="03A55E89" w:rsidR="1FE22FA2" w:rsidRPr="00D87D1E" w:rsidRDefault="1FE22FA2">
            <w:pPr>
              <w:rPr>
                <w:sz w:val="20"/>
                <w:szCs w:val="20"/>
              </w:rPr>
            </w:pPr>
            <w:r w:rsidRPr="00D87D1E">
              <w:rPr>
                <w:rFonts w:eastAsia="Calibri" w:cs="Calibri"/>
                <w:sz w:val="20"/>
                <w:szCs w:val="20"/>
              </w:rPr>
              <w:t xml:space="preserve">Developments </w:t>
            </w:r>
            <w:r w:rsidR="00B308C0">
              <w:rPr>
                <w:rFonts w:eastAsia="Calibri" w:cs="Calibri"/>
                <w:sz w:val="20"/>
                <w:szCs w:val="20"/>
              </w:rPr>
              <w:t xml:space="preserve">are </w:t>
            </w:r>
            <w:r w:rsidRPr="00D87D1E">
              <w:rPr>
                <w:rFonts w:eastAsia="Calibri" w:cs="Calibri"/>
                <w:sz w:val="20"/>
                <w:szCs w:val="20"/>
              </w:rPr>
              <w:t xml:space="preserve">restricted to </w:t>
            </w:r>
            <w:r w:rsidR="00B308C0">
              <w:rPr>
                <w:rFonts w:eastAsia="Calibri" w:cs="Calibri"/>
                <w:sz w:val="20"/>
                <w:szCs w:val="20"/>
              </w:rPr>
              <w:t xml:space="preserve">the </w:t>
            </w:r>
            <w:r w:rsidRPr="00D87D1E">
              <w:rPr>
                <w:rFonts w:eastAsia="Calibri" w:cs="Calibri"/>
                <w:sz w:val="20"/>
                <w:szCs w:val="20"/>
              </w:rPr>
              <w:t>early stages of awareness and enthusiasm building. Policy document revision is not currently based on AMR data.</w:t>
            </w:r>
          </w:p>
        </w:tc>
        <w:tc>
          <w:tcPr>
            <w:tcW w:w="1860" w:type="dxa"/>
            <w:tcBorders>
              <w:top w:val="single" w:sz="8" w:space="0" w:color="auto"/>
              <w:left w:val="single" w:sz="8" w:space="0" w:color="auto"/>
              <w:bottom w:val="single" w:sz="8" w:space="0" w:color="auto"/>
              <w:right w:val="single" w:sz="8" w:space="0" w:color="auto"/>
            </w:tcBorders>
            <w:shd w:val="clear" w:color="auto" w:fill="C00000"/>
            <w:tcMar>
              <w:left w:w="108" w:type="dxa"/>
              <w:right w:w="108" w:type="dxa"/>
            </w:tcMar>
          </w:tcPr>
          <w:p w14:paraId="43806B36" w14:textId="33715C5E" w:rsidR="1FE22FA2" w:rsidRPr="00D87D1E" w:rsidRDefault="1FE22FA2">
            <w:pPr>
              <w:rPr>
                <w:sz w:val="20"/>
                <w:szCs w:val="20"/>
              </w:rPr>
            </w:pPr>
            <w:r w:rsidRPr="00D87D1E">
              <w:rPr>
                <w:rFonts w:eastAsia="Calibri" w:cs="Calibri"/>
                <w:color w:val="FFFFFF" w:themeColor="background1"/>
                <w:sz w:val="20"/>
                <w:szCs w:val="20"/>
              </w:rPr>
              <w:t>No AMR data influence yet (early stages)</w:t>
            </w:r>
          </w:p>
        </w:tc>
      </w:tr>
      <w:tr w:rsidR="1FE22FA2" w:rsidRPr="00D87D1E" w14:paraId="74D553FC" w14:textId="77777777" w:rsidTr="1FE22FA2">
        <w:trPr>
          <w:trHeight w:val="60"/>
        </w:trPr>
        <w:tc>
          <w:tcPr>
            <w:tcW w:w="1260" w:type="dxa"/>
            <w:vMerge/>
            <w:tcBorders>
              <w:left w:val="single" w:sz="0" w:space="0" w:color="auto"/>
              <w:bottom w:val="single" w:sz="0" w:space="0" w:color="auto"/>
              <w:right w:val="single" w:sz="0" w:space="0" w:color="auto"/>
            </w:tcBorders>
            <w:vAlign w:val="center"/>
          </w:tcPr>
          <w:p w14:paraId="3FFA9DB0" w14:textId="77777777" w:rsidR="00442E2E" w:rsidRPr="00D87D1E" w:rsidRDefault="00442E2E">
            <w:pPr>
              <w:rPr>
                <w:sz w:val="20"/>
                <w:szCs w:val="20"/>
              </w:rPr>
            </w:pPr>
          </w:p>
        </w:tc>
        <w:tc>
          <w:tcPr>
            <w:tcW w:w="1635" w:type="dxa"/>
            <w:tcBorders>
              <w:top w:val="single" w:sz="8" w:space="0" w:color="auto"/>
              <w:left w:val="nil"/>
              <w:bottom w:val="single" w:sz="8" w:space="0" w:color="auto"/>
              <w:right w:val="single" w:sz="8" w:space="0" w:color="auto"/>
            </w:tcBorders>
            <w:tcMar>
              <w:left w:w="108" w:type="dxa"/>
              <w:right w:w="108" w:type="dxa"/>
            </w:tcMar>
          </w:tcPr>
          <w:p w14:paraId="374AE417" w14:textId="0BFE80E4" w:rsidR="1FE22FA2" w:rsidRPr="00D87D1E" w:rsidRDefault="1FE22FA2">
            <w:pPr>
              <w:rPr>
                <w:sz w:val="20"/>
                <w:szCs w:val="20"/>
              </w:rPr>
            </w:pPr>
            <w:r w:rsidRPr="00D87D1E">
              <w:rPr>
                <w:rFonts w:eastAsia="Calibri" w:cs="Calibri"/>
                <w:b/>
                <w:bCs/>
                <w:sz w:val="20"/>
                <w:szCs w:val="20"/>
              </w:rPr>
              <w:t>AH</w:t>
            </w:r>
            <w:r w:rsidRPr="00D87D1E">
              <w:rPr>
                <w:rFonts w:eastAsia="Calibri" w:cs="Calibri"/>
                <w:sz w:val="20"/>
                <w:szCs w:val="20"/>
              </w:rPr>
              <w:t>: regulation - ban on the use of antibiotics as growth promoters and mould inhibitors in animal feed (2022)</w:t>
            </w:r>
          </w:p>
        </w:tc>
        <w:tc>
          <w:tcPr>
            <w:tcW w:w="4260" w:type="dxa"/>
            <w:tcBorders>
              <w:top w:val="single" w:sz="8" w:space="0" w:color="auto"/>
              <w:left w:val="single" w:sz="8" w:space="0" w:color="auto"/>
              <w:bottom w:val="single" w:sz="8" w:space="0" w:color="auto"/>
              <w:right w:val="single" w:sz="8" w:space="0" w:color="auto"/>
            </w:tcBorders>
            <w:tcMar>
              <w:left w:w="108" w:type="dxa"/>
              <w:right w:w="108" w:type="dxa"/>
            </w:tcMar>
          </w:tcPr>
          <w:p w14:paraId="0A03A76C" w14:textId="7C58508A" w:rsidR="1FE22FA2" w:rsidRPr="00D87D1E" w:rsidRDefault="1FE22FA2">
            <w:pPr>
              <w:rPr>
                <w:sz w:val="20"/>
                <w:szCs w:val="20"/>
              </w:rPr>
            </w:pPr>
            <w:r w:rsidRPr="00D87D1E">
              <w:rPr>
                <w:rFonts w:eastAsia="Calibri" w:cs="Calibri"/>
                <w:sz w:val="20"/>
                <w:szCs w:val="20"/>
              </w:rPr>
              <w:t xml:space="preserve">NAFDAC’s action to enact this ban was reportedly influenced mainly by </w:t>
            </w:r>
            <w:r w:rsidR="00B308C0">
              <w:rPr>
                <w:rFonts w:eastAsia="Calibri" w:cs="Calibri"/>
                <w:sz w:val="20"/>
                <w:szCs w:val="20"/>
              </w:rPr>
              <w:t xml:space="preserve">the </w:t>
            </w:r>
            <w:r w:rsidRPr="00D87D1E">
              <w:rPr>
                <w:rFonts w:eastAsia="Calibri" w:cs="Calibri"/>
                <w:sz w:val="20"/>
                <w:szCs w:val="20"/>
              </w:rPr>
              <w:t>mandate to decrease counterfeits and improve</w:t>
            </w:r>
            <w:r w:rsidR="00B308C0">
              <w:rPr>
                <w:rFonts w:eastAsia="Calibri" w:cs="Calibri"/>
                <w:sz w:val="20"/>
                <w:szCs w:val="20"/>
              </w:rPr>
              <w:t xml:space="preserve"> the</w:t>
            </w:r>
            <w:r w:rsidRPr="00D87D1E">
              <w:rPr>
                <w:rFonts w:eastAsia="Calibri" w:cs="Calibri"/>
                <w:sz w:val="20"/>
                <w:szCs w:val="20"/>
              </w:rPr>
              <w:t xml:space="preserve"> quality of medicines available. Some AMC data was collected, </w:t>
            </w:r>
            <w:r w:rsidR="00B308C0">
              <w:rPr>
                <w:rFonts w:eastAsia="Calibri" w:cs="Calibri"/>
                <w:sz w:val="20"/>
                <w:szCs w:val="20"/>
              </w:rPr>
              <w:t xml:space="preserve">and </w:t>
            </w:r>
            <w:r w:rsidRPr="00D87D1E">
              <w:rPr>
                <w:rFonts w:eastAsia="Calibri" w:cs="Calibri"/>
                <w:sz w:val="20"/>
                <w:szCs w:val="20"/>
              </w:rPr>
              <w:t>international</w:t>
            </w:r>
            <w:r w:rsidR="00B308C0">
              <w:rPr>
                <w:rFonts w:eastAsia="Calibri" w:cs="Calibri"/>
                <w:sz w:val="20"/>
                <w:szCs w:val="20"/>
              </w:rPr>
              <w:t xml:space="preserve"> were</w:t>
            </w:r>
            <w:r w:rsidRPr="00D87D1E">
              <w:rPr>
                <w:rFonts w:eastAsia="Calibri" w:cs="Calibri"/>
                <w:sz w:val="20"/>
                <w:szCs w:val="20"/>
              </w:rPr>
              <w:t xml:space="preserve"> standards consulted.</w:t>
            </w:r>
          </w:p>
        </w:tc>
        <w:tc>
          <w:tcPr>
            <w:tcW w:w="1860" w:type="dxa"/>
            <w:tcBorders>
              <w:top w:val="single" w:sz="8" w:space="0" w:color="auto"/>
              <w:left w:val="single" w:sz="8" w:space="0" w:color="auto"/>
              <w:bottom w:val="single" w:sz="8" w:space="0" w:color="auto"/>
              <w:right w:val="single" w:sz="8" w:space="0" w:color="auto"/>
            </w:tcBorders>
            <w:shd w:val="clear" w:color="auto" w:fill="C00000"/>
            <w:tcMar>
              <w:left w:w="108" w:type="dxa"/>
              <w:right w:w="108" w:type="dxa"/>
            </w:tcMar>
          </w:tcPr>
          <w:p w14:paraId="346FC8D7" w14:textId="47127108" w:rsidR="1FE22FA2" w:rsidRPr="00D87D1E" w:rsidRDefault="1FE22FA2">
            <w:pPr>
              <w:rPr>
                <w:sz w:val="20"/>
                <w:szCs w:val="20"/>
              </w:rPr>
            </w:pPr>
            <w:r w:rsidRPr="00D87D1E">
              <w:rPr>
                <w:rFonts w:eastAsia="Calibri" w:cs="Calibri"/>
                <w:color w:val="FFFFFF" w:themeColor="background1"/>
                <w:sz w:val="20"/>
                <w:szCs w:val="20"/>
              </w:rPr>
              <w:t>Data (AMC), action not for national AMR/through AMRCC</w:t>
            </w:r>
          </w:p>
        </w:tc>
      </w:tr>
      <w:tr w:rsidR="1FE22FA2" w:rsidRPr="00D87D1E" w14:paraId="68EA4C84" w14:textId="77777777" w:rsidTr="1FE22FA2">
        <w:trPr>
          <w:trHeight w:val="60"/>
        </w:trPr>
        <w:tc>
          <w:tcPr>
            <w:tcW w:w="1260" w:type="dxa"/>
            <w:tcBorders>
              <w:top w:val="nil"/>
              <w:left w:val="single" w:sz="8" w:space="0" w:color="auto"/>
              <w:bottom w:val="single" w:sz="8" w:space="0" w:color="auto"/>
              <w:right w:val="single" w:sz="8" w:space="0" w:color="auto"/>
            </w:tcBorders>
            <w:tcMar>
              <w:left w:w="108" w:type="dxa"/>
              <w:right w:w="108" w:type="dxa"/>
            </w:tcMar>
          </w:tcPr>
          <w:p w14:paraId="679C320B" w14:textId="04531C22" w:rsidR="1FE22FA2" w:rsidRPr="00D87D1E" w:rsidRDefault="1FE22FA2">
            <w:pPr>
              <w:rPr>
                <w:sz w:val="20"/>
                <w:szCs w:val="20"/>
              </w:rPr>
            </w:pPr>
            <w:r w:rsidRPr="00D87D1E">
              <w:rPr>
                <w:rFonts w:eastAsia="Calibri" w:cs="Calibri"/>
                <w:b/>
                <w:bCs/>
                <w:sz w:val="20"/>
                <w:szCs w:val="20"/>
              </w:rPr>
              <w:t>Senegal</w:t>
            </w:r>
          </w:p>
        </w:tc>
        <w:tc>
          <w:tcPr>
            <w:tcW w:w="1635" w:type="dxa"/>
            <w:tcBorders>
              <w:top w:val="single" w:sz="8" w:space="0" w:color="auto"/>
              <w:left w:val="single" w:sz="8" w:space="0" w:color="auto"/>
              <w:bottom w:val="single" w:sz="8" w:space="0" w:color="auto"/>
              <w:right w:val="single" w:sz="8" w:space="0" w:color="auto"/>
            </w:tcBorders>
            <w:tcMar>
              <w:left w:w="108" w:type="dxa"/>
              <w:right w:w="108" w:type="dxa"/>
            </w:tcMar>
          </w:tcPr>
          <w:p w14:paraId="063B67D7" w14:textId="653C9930" w:rsidR="1FE22FA2" w:rsidRPr="00D87D1E" w:rsidRDefault="1FE22FA2">
            <w:pPr>
              <w:rPr>
                <w:sz w:val="20"/>
                <w:szCs w:val="20"/>
              </w:rPr>
            </w:pPr>
            <w:r w:rsidRPr="00D87D1E">
              <w:rPr>
                <w:rFonts w:eastAsia="Calibri" w:cs="Calibri"/>
                <w:sz w:val="20"/>
                <w:szCs w:val="20"/>
              </w:rPr>
              <w:t>AH policy initiatives</w:t>
            </w:r>
          </w:p>
        </w:tc>
        <w:tc>
          <w:tcPr>
            <w:tcW w:w="4260" w:type="dxa"/>
            <w:tcBorders>
              <w:top w:val="single" w:sz="8" w:space="0" w:color="auto"/>
              <w:left w:val="single" w:sz="8" w:space="0" w:color="auto"/>
              <w:bottom w:val="single" w:sz="8" w:space="0" w:color="auto"/>
              <w:right w:val="single" w:sz="8" w:space="0" w:color="auto"/>
            </w:tcBorders>
            <w:tcMar>
              <w:left w:w="108" w:type="dxa"/>
              <w:right w:w="108" w:type="dxa"/>
            </w:tcMar>
          </w:tcPr>
          <w:p w14:paraId="1E7BD420" w14:textId="28CD6CB0" w:rsidR="1FE22FA2" w:rsidRPr="00D87D1E" w:rsidRDefault="1FE22FA2">
            <w:pPr>
              <w:rPr>
                <w:sz w:val="20"/>
                <w:szCs w:val="20"/>
              </w:rPr>
            </w:pPr>
            <w:r w:rsidRPr="00D87D1E">
              <w:rPr>
                <w:rFonts w:eastAsia="Calibri" w:cs="Calibri"/>
                <w:sz w:val="20"/>
                <w:szCs w:val="20"/>
              </w:rPr>
              <w:t xml:space="preserve">Current AH policy initiatives </w:t>
            </w:r>
            <w:r w:rsidR="00B308C0">
              <w:rPr>
                <w:rFonts w:eastAsia="Calibri" w:cs="Calibri"/>
                <w:sz w:val="20"/>
                <w:szCs w:val="20"/>
              </w:rPr>
              <w:t xml:space="preserve">are </w:t>
            </w:r>
            <w:r w:rsidRPr="00D87D1E">
              <w:rPr>
                <w:rFonts w:eastAsia="Calibri" w:cs="Calibri"/>
                <w:sz w:val="20"/>
                <w:szCs w:val="20"/>
              </w:rPr>
              <w:t>mainly motivated by regional trade standards.</w:t>
            </w:r>
          </w:p>
        </w:tc>
        <w:tc>
          <w:tcPr>
            <w:tcW w:w="1860" w:type="dxa"/>
            <w:tcBorders>
              <w:top w:val="single" w:sz="8" w:space="0" w:color="auto"/>
              <w:left w:val="single" w:sz="8" w:space="0" w:color="auto"/>
              <w:bottom w:val="single" w:sz="8" w:space="0" w:color="auto"/>
              <w:right w:val="single" w:sz="8" w:space="0" w:color="auto"/>
            </w:tcBorders>
            <w:shd w:val="clear" w:color="auto" w:fill="C00000"/>
            <w:tcMar>
              <w:left w:w="108" w:type="dxa"/>
              <w:right w:w="108" w:type="dxa"/>
            </w:tcMar>
          </w:tcPr>
          <w:p w14:paraId="38502640" w14:textId="30BCA416" w:rsidR="1FE22FA2" w:rsidRPr="00D87D1E" w:rsidRDefault="1FE22FA2">
            <w:pPr>
              <w:rPr>
                <w:sz w:val="20"/>
                <w:szCs w:val="20"/>
              </w:rPr>
            </w:pPr>
            <w:r w:rsidRPr="00D87D1E">
              <w:rPr>
                <w:rFonts w:eastAsia="Calibri" w:cs="Calibri"/>
                <w:color w:val="FFFFFF" w:themeColor="background1"/>
                <w:sz w:val="20"/>
                <w:szCs w:val="20"/>
              </w:rPr>
              <w:t>No data, initial action (AH)</w:t>
            </w:r>
          </w:p>
        </w:tc>
      </w:tr>
      <w:bookmarkEnd w:id="265"/>
    </w:tbl>
    <w:p w14:paraId="6938272D" w14:textId="013C99A8" w:rsidR="1FE22FA2" w:rsidRDefault="1FE22FA2" w:rsidP="007F63EF">
      <w:pPr>
        <w:spacing w:line="257" w:lineRule="auto"/>
        <w:rPr>
          <w:rFonts w:eastAsia="Calibri" w:cs="Calibri"/>
        </w:rPr>
      </w:pPr>
    </w:p>
    <w:p w14:paraId="6FBB2C41" w14:textId="06822DC2" w:rsidR="00562AC1" w:rsidRDefault="003714DA" w:rsidP="00291793">
      <w:pPr>
        <w:pStyle w:val="ItadH2"/>
      </w:pPr>
      <w:bookmarkStart w:id="267" w:name="_Toc118968544"/>
      <w:bookmarkStart w:id="268" w:name="_Toc142383183"/>
      <w:bookmarkStart w:id="269" w:name="_Hlk129536089"/>
      <w:r>
        <w:t xml:space="preserve">9.2 </w:t>
      </w:r>
      <w:r w:rsidR="00562AC1">
        <w:t xml:space="preserve">National policy agenda analysis (Kingdon </w:t>
      </w:r>
      <w:r w:rsidR="614C2EA0">
        <w:t>M</w:t>
      </w:r>
      <w:r w:rsidR="3DE81EDC">
        <w:t xml:space="preserve">ultiple </w:t>
      </w:r>
      <w:r w:rsidR="4E9D9CFD">
        <w:t>S</w:t>
      </w:r>
      <w:r w:rsidR="3DE81EDC">
        <w:t>treams</w:t>
      </w:r>
      <w:r w:rsidR="25062270">
        <w:t xml:space="preserve"> Analysis MSA</w:t>
      </w:r>
      <w:r w:rsidR="00562AC1">
        <w:t>)</w:t>
      </w:r>
      <w:bookmarkEnd w:id="267"/>
      <w:bookmarkEnd w:id="268"/>
    </w:p>
    <w:p w14:paraId="0DF18FA4" w14:textId="01A2ADF1" w:rsidR="00562AC1" w:rsidRPr="00FC4E3E" w:rsidRDefault="00562AC1" w:rsidP="00562AC1">
      <w:pPr>
        <w:jc w:val="both"/>
      </w:pPr>
      <w:r>
        <w:t xml:space="preserve">John Kingdon developed </w:t>
      </w:r>
      <w:r w:rsidR="006302BC">
        <w:t xml:space="preserve">the </w:t>
      </w:r>
      <w:r>
        <w:t xml:space="preserve">MSA in the 1980s based on </w:t>
      </w:r>
      <w:r w:rsidR="006302BC">
        <w:t xml:space="preserve">an </w:t>
      </w:r>
      <w:r>
        <w:t>investigation of policy processes in the USA. MSA</w:t>
      </w:r>
      <w:r w:rsidRPr="00FC4E3E">
        <w:t xml:space="preserve"> identifies three </w:t>
      </w:r>
      <w:r w:rsidR="003F1E93" w:rsidRPr="00FC4E3E">
        <w:t>processes</w:t>
      </w:r>
      <w:r w:rsidRPr="00FC4E3E">
        <w:t xml:space="preserve"> ‘streams’ that influence how policy agendas are set and how policy alternatives are specified. These streams are:</w:t>
      </w:r>
    </w:p>
    <w:p w14:paraId="07204825" w14:textId="77777777" w:rsidR="00562AC1" w:rsidRPr="00FC4E3E" w:rsidRDefault="00562AC1" w:rsidP="00C6374D">
      <w:pPr>
        <w:numPr>
          <w:ilvl w:val="0"/>
          <w:numId w:val="92"/>
        </w:numPr>
        <w:spacing w:after="160" w:line="259" w:lineRule="auto"/>
        <w:jc w:val="both"/>
      </w:pPr>
      <w:bookmarkStart w:id="270" w:name="_Ref29995455"/>
      <w:r w:rsidRPr="00FC4E3E">
        <w:rPr>
          <w:b/>
        </w:rPr>
        <w:t>Problems</w:t>
      </w:r>
      <w:r w:rsidRPr="00FC4E3E">
        <w:t>: the way in which social conditions come to be defined as a problem to policymakers, e.g. through indicators, focusing events, and feedback;</w:t>
      </w:r>
      <w:bookmarkEnd w:id="270"/>
    </w:p>
    <w:p w14:paraId="7C7C6471" w14:textId="6BA9922A" w:rsidR="00562AC1" w:rsidRPr="00FC4E3E" w:rsidRDefault="00562AC1" w:rsidP="00C6374D">
      <w:pPr>
        <w:numPr>
          <w:ilvl w:val="0"/>
          <w:numId w:val="92"/>
        </w:numPr>
        <w:spacing w:after="160" w:line="259" w:lineRule="auto"/>
        <w:jc w:val="both"/>
      </w:pPr>
      <w:r w:rsidRPr="00FC4E3E">
        <w:rPr>
          <w:b/>
        </w:rPr>
        <w:t>Policies</w:t>
      </w:r>
      <w:r w:rsidRPr="00FC4E3E">
        <w:t xml:space="preserve">: the solutions generated to address problems, which </w:t>
      </w:r>
      <w:r w:rsidR="00B308C0">
        <w:t>are</w:t>
      </w:r>
      <w:r w:rsidRPr="00FC4E3E">
        <w:t xml:space="preserve"> influenced by technical feasibility, value acceptability, </w:t>
      </w:r>
      <w:r w:rsidR="00B308C0">
        <w:t xml:space="preserve">the </w:t>
      </w:r>
      <w:r w:rsidRPr="00FC4E3E">
        <w:t>anticipation of future constraints, policy communities, and policy entrepreneurs; and</w:t>
      </w:r>
    </w:p>
    <w:p w14:paraId="4B263B4F" w14:textId="77777777" w:rsidR="00562AC1" w:rsidRDefault="00562AC1" w:rsidP="00C6374D">
      <w:pPr>
        <w:numPr>
          <w:ilvl w:val="0"/>
          <w:numId w:val="92"/>
        </w:numPr>
        <w:spacing w:after="160" w:line="259" w:lineRule="auto"/>
        <w:jc w:val="both"/>
      </w:pPr>
      <w:r w:rsidRPr="00FC4E3E">
        <w:rPr>
          <w:b/>
        </w:rPr>
        <w:t>Politics</w:t>
      </w:r>
      <w:r w:rsidRPr="00FC4E3E">
        <w:t>: political factors, including the influence of interest groups, the ‘national mood’ and turnover of elected officials.</w:t>
      </w:r>
    </w:p>
    <w:tbl>
      <w:tblPr>
        <w:tblStyle w:val="Itadpulloutboxorange"/>
        <w:tblW w:w="9544" w:type="dxa"/>
        <w:tblLayout w:type="fixed"/>
        <w:tblLook w:val="06A0" w:firstRow="1" w:lastRow="0" w:firstColumn="1" w:lastColumn="0" w:noHBand="1" w:noVBand="1"/>
      </w:tblPr>
      <w:tblGrid>
        <w:gridCol w:w="9544"/>
      </w:tblGrid>
      <w:tr w:rsidR="06450652" w14:paraId="4D395BFB" w14:textId="77777777" w:rsidTr="0002644A">
        <w:trPr>
          <w:trHeight w:val="298"/>
        </w:trPr>
        <w:tc>
          <w:tcPr>
            <w:tcW w:w="9544" w:type="dxa"/>
          </w:tcPr>
          <w:p w14:paraId="73E325D4" w14:textId="11811FD8" w:rsidR="006302BC" w:rsidRDefault="006302BC" w:rsidP="00BB4743">
            <w:pPr>
              <w:pStyle w:val="Itadboxnumbers"/>
              <w:framePr w:wrap="around"/>
              <w:numPr>
                <w:ilvl w:val="0"/>
                <w:numId w:val="0"/>
              </w:numPr>
            </w:pPr>
            <w:bookmarkStart w:id="271" w:name="_Toc136382661"/>
            <w:r>
              <w:rPr>
                <w:lang w:eastAsia="en-GB"/>
              </w:rPr>
              <w:t xml:space="preserve">Box </w:t>
            </w:r>
            <w:r w:rsidRPr="06450652">
              <w:rPr>
                <w:lang w:eastAsia="en-GB"/>
              </w:rPr>
              <w:fldChar w:fldCharType="begin"/>
            </w:r>
            <w:r w:rsidRPr="06450652">
              <w:rPr>
                <w:lang w:eastAsia="en-GB"/>
              </w:rPr>
              <w:instrText xml:space="preserve"> SEQ Box \* ARABIC </w:instrText>
            </w:r>
            <w:r w:rsidRPr="06450652">
              <w:rPr>
                <w:lang w:eastAsia="en-GB"/>
              </w:rPr>
              <w:fldChar w:fldCharType="separate"/>
            </w:r>
            <w:r w:rsidR="009A383C">
              <w:rPr>
                <w:noProof/>
                <w:lang w:eastAsia="en-GB"/>
              </w:rPr>
              <w:t>4</w:t>
            </w:r>
            <w:r w:rsidRPr="06450652">
              <w:rPr>
                <w:lang w:eastAsia="en-GB"/>
              </w:rPr>
              <w:fldChar w:fldCharType="end"/>
            </w:r>
            <w:r w:rsidRPr="006302BC">
              <w:t xml:space="preserve"> Kingdon's Multiple Streams Analysis</w:t>
            </w:r>
            <w:bookmarkEnd w:id="271"/>
          </w:p>
          <w:p w14:paraId="4C8613AA" w14:textId="1B37EFE8" w:rsidR="3848DE55" w:rsidRPr="0002644A" w:rsidRDefault="3848DE55" w:rsidP="06450652">
            <w:pPr>
              <w:jc w:val="both"/>
            </w:pPr>
            <w:r w:rsidRPr="0002644A">
              <w:t xml:space="preserve">Kingdon’s MSA suggests that the three streams must come together at the same time, during a </w:t>
            </w:r>
            <w:r w:rsidR="003F1E93">
              <w:t>‘</w:t>
            </w:r>
            <w:r w:rsidRPr="0002644A">
              <w:t>window of opportunity</w:t>
            </w:r>
            <w:r w:rsidR="003F1E93" w:rsidRPr="0002644A">
              <w:t>,</w:t>
            </w:r>
            <w:r w:rsidR="003F1E93">
              <w:t>’</w:t>
            </w:r>
            <w:r w:rsidRPr="0002644A">
              <w:t xml:space="preserve"> in which people pay high attention to a problem, a viable solution exists, and policymakers have the motive and opportunity to select it.</w:t>
            </w:r>
          </w:p>
          <w:p w14:paraId="401A1817" w14:textId="0A1FFDA4" w:rsidR="06450652" w:rsidRPr="0002644A" w:rsidRDefault="06450652" w:rsidP="06450652">
            <w:pPr>
              <w:jc w:val="both"/>
            </w:pPr>
          </w:p>
          <w:p w14:paraId="652A3C94" w14:textId="4BFB4BF5" w:rsidR="3848DE55" w:rsidRPr="0002644A" w:rsidRDefault="3848DE55" w:rsidP="06450652">
            <w:pPr>
              <w:jc w:val="both"/>
            </w:pPr>
            <w:r w:rsidRPr="0002644A">
              <w:t>[MSA] expresses work on agenda setting, which revolves around the basic insight that problems do not receive attention simply because we think they are important, and policymakers do not select solutions simply because they are the most effective. Rather, actors exercise power to raise attention to some issues at the expense of others, drawing on a combination of facts and emotional appeals. They use persuasion and argument, alongside the use of material and other resources, to challenge or reinforce often deeply held beliefs about the nature of policy problems and appropriate solutions</w:t>
            </w:r>
            <w:r w:rsidR="00D5128B">
              <w:t>.</w:t>
            </w:r>
            <w:r w:rsidRPr="0002644A">
              <w:t xml:space="preserve"> </w:t>
            </w:r>
          </w:p>
          <w:p w14:paraId="296FC93C" w14:textId="38F9CA1E" w:rsidR="06450652" w:rsidRPr="0002644A" w:rsidRDefault="06450652" w:rsidP="06450652">
            <w:pPr>
              <w:jc w:val="both"/>
            </w:pPr>
          </w:p>
          <w:p w14:paraId="3A6C1E70" w14:textId="029DC415" w:rsidR="3848DE55" w:rsidRDefault="3848DE55" w:rsidP="00BB4743">
            <w:pPr>
              <w:keepNext/>
              <w:jc w:val="both"/>
              <w:rPr>
                <w:i/>
                <w:iCs/>
              </w:rPr>
            </w:pPr>
            <w:r w:rsidRPr="0002644A">
              <w:t>Actors often described as ‘policy entrepreneurs’ become crucial to the process of linking solutions to problems. These are the people, such as elected politicians or leaders of interest groups, with the knowledge, power, tenacity</w:t>
            </w:r>
            <w:r w:rsidR="003F1E93">
              <w:t>,</w:t>
            </w:r>
            <w:r w:rsidRPr="0002644A">
              <w:t xml:space="preserve"> and luck to be able to exploit windows of opportunity and heightened levels of attention to policy problems to promote their ‘pet solutions’ to policymakers</w:t>
            </w:r>
            <w:r w:rsidR="003F1E93">
              <w:t>.</w:t>
            </w:r>
            <w:r w:rsidR="00A97636">
              <w:rPr>
                <w:rStyle w:val="FootnoteReference"/>
              </w:rPr>
              <w:footnoteReference w:id="52"/>
            </w:r>
          </w:p>
        </w:tc>
      </w:tr>
    </w:tbl>
    <w:p w14:paraId="5DEA7B45" w14:textId="77777777" w:rsidR="006302BC" w:rsidRDefault="006302BC" w:rsidP="004062A7">
      <w:pPr>
        <w:pStyle w:val="FFNormal"/>
      </w:pPr>
    </w:p>
    <w:bookmarkEnd w:id="269"/>
    <w:p w14:paraId="5F0D9728" w14:textId="72FBE5C7" w:rsidR="00285413" w:rsidRDefault="00EC771E" w:rsidP="00562AC1">
      <w:pPr>
        <w:pStyle w:val="FFNormal"/>
        <w:rPr>
          <w:lang w:eastAsia="en-GB"/>
        </w:rPr>
      </w:pPr>
      <w:r>
        <w:br/>
      </w:r>
      <w:bookmarkStart w:id="272" w:name="_Hlk129536319"/>
      <w:r w:rsidR="00562AC1" w:rsidRPr="00A77ED5">
        <w:rPr>
          <w:b/>
          <w:bCs/>
          <w:lang w:eastAsia="en-GB"/>
        </w:rPr>
        <w:t>National policy agendas.</w:t>
      </w:r>
      <w:r w:rsidR="00562AC1">
        <w:rPr>
          <w:lang w:eastAsia="en-GB"/>
        </w:rPr>
        <w:t xml:space="preserve"> It remains unclear how NAPs can be prioritised in resource-constrained contexts. Prioritisation of an agenda happens when policymakers concurrently understand the problem, have a viable solution available</w:t>
      </w:r>
      <w:r w:rsidR="007A22FA">
        <w:rPr>
          <w:lang w:eastAsia="en-GB"/>
        </w:rPr>
        <w:t>,</w:t>
      </w:r>
      <w:r w:rsidR="00562AC1">
        <w:rPr>
          <w:lang w:eastAsia="en-GB"/>
        </w:rPr>
        <w:t xml:space="preserve"> and are convinced of the need to act. When this happens is unpredictable (not linear, more chaotic) and it is sometimes facilitated by a policy entrepreneur</w:t>
      </w:r>
      <w:r w:rsidR="004062A7">
        <w:rPr>
          <w:lang w:eastAsia="en-GB"/>
        </w:rPr>
        <w:t xml:space="preserve">. However, evidence from published literature and </w:t>
      </w:r>
      <w:r w:rsidR="004062A7" w:rsidRPr="06450652">
        <w:rPr>
          <w:lang w:eastAsia="en-GB"/>
        </w:rPr>
        <w:t>KIIs</w:t>
      </w:r>
      <w:r w:rsidR="004062A7">
        <w:rPr>
          <w:lang w:eastAsia="en-GB"/>
        </w:rPr>
        <w:t xml:space="preserve"> suggests that the necessary conditions for </w:t>
      </w:r>
      <w:r w:rsidR="007A22FA">
        <w:rPr>
          <w:lang w:eastAsia="en-GB"/>
        </w:rPr>
        <w:t xml:space="preserve">the </w:t>
      </w:r>
      <w:r w:rsidR="004062A7">
        <w:rPr>
          <w:lang w:eastAsia="en-GB"/>
        </w:rPr>
        <w:t xml:space="preserve">prioritisation of NAPs are generally not in place. </w:t>
      </w:r>
    </w:p>
    <w:p w14:paraId="685ED8FF" w14:textId="6B45C26E" w:rsidR="00285413" w:rsidRDefault="1731E0A5" w:rsidP="00285413">
      <w:pPr>
        <w:pStyle w:val="FFNormal"/>
        <w:keepNext/>
      </w:pPr>
      <w:r>
        <w:rPr>
          <w:noProof/>
        </w:rPr>
        <w:drawing>
          <wp:inline distT="0" distB="0" distL="0" distR="0" wp14:anchorId="702CA528" wp14:editId="4B7BF54A">
            <wp:extent cx="4851400" cy="2857335"/>
            <wp:effectExtent l="0" t="0" r="635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56">
                      <a:extLst>
                        <a:ext uri="{28A0092B-C50C-407E-A947-70E740481C1C}">
                          <a14:useLocalDpi xmlns:a14="http://schemas.microsoft.com/office/drawing/2010/main" val="0"/>
                        </a:ext>
                      </a:extLst>
                    </a:blip>
                    <a:stretch>
                      <a:fillRect/>
                    </a:stretch>
                  </pic:blipFill>
                  <pic:spPr>
                    <a:xfrm>
                      <a:off x="0" y="0"/>
                      <a:ext cx="4856440" cy="2860303"/>
                    </a:xfrm>
                    <a:prstGeom prst="rect">
                      <a:avLst/>
                    </a:prstGeom>
                  </pic:spPr>
                </pic:pic>
              </a:graphicData>
            </a:graphic>
          </wp:inline>
        </w:drawing>
      </w:r>
    </w:p>
    <w:p w14:paraId="1309CDCA" w14:textId="543F76C5" w:rsidR="00562AC1" w:rsidRPr="0001604F" w:rsidRDefault="2516A048" w:rsidP="00C04C3C">
      <w:pPr>
        <w:pStyle w:val="ItadCaption"/>
      </w:pPr>
      <w:bookmarkStart w:id="273" w:name="_Toc143858077"/>
      <w:r>
        <w:t xml:space="preserve">Figure </w:t>
      </w:r>
      <w:r w:rsidR="00285413">
        <w:fldChar w:fldCharType="begin"/>
      </w:r>
      <w:r w:rsidR="00285413">
        <w:instrText>SEQ Figure \* ARABIC</w:instrText>
      </w:r>
      <w:r w:rsidR="00285413">
        <w:fldChar w:fldCharType="separate"/>
      </w:r>
      <w:r w:rsidR="009A383C">
        <w:rPr>
          <w:noProof/>
        </w:rPr>
        <w:t>23</w:t>
      </w:r>
      <w:r w:rsidR="00285413">
        <w:fldChar w:fldCharType="end"/>
      </w:r>
      <w:r>
        <w:t xml:space="preserve"> Diagram of the Multiple Streams Approach</w:t>
      </w:r>
      <w:r w:rsidR="00285413">
        <w:rPr>
          <w:rStyle w:val="FootnoteReference"/>
        </w:rPr>
        <w:footnoteReference w:id="53"/>
      </w:r>
      <w:bookmarkEnd w:id="273"/>
    </w:p>
    <w:p w14:paraId="3E7B9368" w14:textId="537A5B2F" w:rsidR="00AE14D5" w:rsidRDefault="00AE14D5" w:rsidP="00C04C3C">
      <w:pPr>
        <w:pStyle w:val="ItadCaption"/>
      </w:pPr>
      <w:bookmarkStart w:id="274" w:name="_Toc143857909"/>
      <w:r>
        <w:t xml:space="preserve">Table </w:t>
      </w:r>
      <w:r>
        <w:fldChar w:fldCharType="begin"/>
      </w:r>
      <w:r>
        <w:instrText>SEQ Table \* ARABIC</w:instrText>
      </w:r>
      <w:r>
        <w:fldChar w:fldCharType="separate"/>
      </w:r>
      <w:r w:rsidR="009A383C">
        <w:rPr>
          <w:noProof/>
        </w:rPr>
        <w:t>41</w:t>
      </w:r>
      <w:r>
        <w:fldChar w:fldCharType="end"/>
      </w:r>
      <w:r>
        <w:t xml:space="preserve"> </w:t>
      </w:r>
      <w:r w:rsidRPr="00AE14D5">
        <w:t>Notes on changes in analysis, 2020-2022 (reflections on Fleming Fund contribution in wider policy context)</w:t>
      </w:r>
      <w:bookmarkEnd w:id="274"/>
    </w:p>
    <w:tbl>
      <w:tblPr>
        <w:tblStyle w:val="ItadGreenHeaderRow"/>
        <w:tblW w:w="5000" w:type="pct"/>
        <w:tblInd w:w="0" w:type="dxa"/>
        <w:tblLook w:val="04A0" w:firstRow="1" w:lastRow="0" w:firstColumn="1" w:lastColumn="0" w:noHBand="0" w:noVBand="1"/>
      </w:tblPr>
      <w:tblGrid>
        <w:gridCol w:w="1730"/>
        <w:gridCol w:w="1565"/>
        <w:gridCol w:w="1799"/>
        <w:gridCol w:w="4414"/>
      </w:tblGrid>
      <w:tr w:rsidR="007A22FA" w:rsidRPr="007A22FA" w14:paraId="5550F8B9" w14:textId="77777777" w:rsidTr="00BB4743">
        <w:trPr>
          <w:cnfStyle w:val="100000000000" w:firstRow="1" w:lastRow="0" w:firstColumn="0" w:lastColumn="0" w:oddVBand="0" w:evenVBand="0" w:oddHBand="0" w:evenHBand="0" w:firstRowFirstColumn="0" w:firstRowLastColumn="0" w:lastRowFirstColumn="0" w:lastRowLastColumn="0"/>
          <w:trHeight w:val="419"/>
          <w:tblHeader/>
        </w:trPr>
        <w:tc>
          <w:tcPr>
            <w:tcW w:w="910" w:type="pct"/>
          </w:tcPr>
          <w:p w14:paraId="08254F1C" w14:textId="30977256" w:rsidR="00AC4AC8" w:rsidRPr="007A22FA" w:rsidRDefault="00AC4AC8" w:rsidP="00AC4AC8">
            <w:pPr>
              <w:pStyle w:val="FFNormal"/>
              <w:rPr>
                <w:color w:val="auto"/>
                <w:sz w:val="20"/>
                <w:szCs w:val="20"/>
                <w:lang w:eastAsia="en-GB"/>
              </w:rPr>
            </w:pPr>
            <w:r w:rsidRPr="007A22FA">
              <w:rPr>
                <w:b/>
                <w:bCs/>
                <w:color w:val="auto"/>
                <w:sz w:val="20"/>
                <w:szCs w:val="20"/>
                <w:lang w:eastAsia="en-GB"/>
              </w:rPr>
              <w:t>Stream</w:t>
            </w:r>
          </w:p>
        </w:tc>
        <w:tc>
          <w:tcPr>
            <w:tcW w:w="823" w:type="pct"/>
          </w:tcPr>
          <w:p w14:paraId="1A58AB15" w14:textId="3D0A145A" w:rsidR="00AC4AC8" w:rsidRPr="007A22FA" w:rsidRDefault="00AC4AC8" w:rsidP="00AC4AC8">
            <w:pPr>
              <w:pStyle w:val="FFNormal"/>
              <w:rPr>
                <w:color w:val="auto"/>
                <w:sz w:val="20"/>
                <w:szCs w:val="20"/>
                <w:lang w:eastAsia="en-GB"/>
              </w:rPr>
            </w:pPr>
            <w:r w:rsidRPr="007A22FA">
              <w:rPr>
                <w:b/>
                <w:bCs/>
                <w:color w:val="auto"/>
                <w:sz w:val="20"/>
                <w:szCs w:val="20"/>
                <w:lang w:eastAsia="en-GB"/>
              </w:rPr>
              <w:t>Headline</w:t>
            </w:r>
          </w:p>
        </w:tc>
        <w:tc>
          <w:tcPr>
            <w:tcW w:w="946" w:type="pct"/>
          </w:tcPr>
          <w:p w14:paraId="56A80A29" w14:textId="3EEBDC0A" w:rsidR="00AC4AC8" w:rsidRPr="007A22FA" w:rsidRDefault="00AC4AC8" w:rsidP="00AC4AC8">
            <w:pPr>
              <w:pStyle w:val="FFNormal"/>
              <w:rPr>
                <w:color w:val="auto"/>
                <w:sz w:val="20"/>
                <w:szCs w:val="20"/>
                <w:lang w:eastAsia="en-GB"/>
              </w:rPr>
            </w:pPr>
            <w:r w:rsidRPr="007A22FA">
              <w:rPr>
                <w:b/>
                <w:bCs/>
                <w:color w:val="auto"/>
                <w:sz w:val="20"/>
                <w:szCs w:val="20"/>
                <w:lang w:eastAsia="en-GB"/>
              </w:rPr>
              <w:t>Subcomponents</w:t>
            </w:r>
          </w:p>
        </w:tc>
        <w:tc>
          <w:tcPr>
            <w:tcW w:w="2321" w:type="pct"/>
          </w:tcPr>
          <w:p w14:paraId="079AB651" w14:textId="228F54B3" w:rsidR="00AC4AC8" w:rsidRPr="007A22FA" w:rsidRDefault="00AC4AC8" w:rsidP="00AC4AC8">
            <w:pPr>
              <w:pStyle w:val="FFNormal"/>
              <w:rPr>
                <w:color w:val="auto"/>
                <w:sz w:val="20"/>
                <w:szCs w:val="20"/>
                <w:lang w:eastAsia="en-GB"/>
              </w:rPr>
            </w:pPr>
            <w:r w:rsidRPr="007A22FA">
              <w:rPr>
                <w:b/>
                <w:bCs/>
                <w:color w:val="auto"/>
                <w:sz w:val="20"/>
                <w:szCs w:val="20"/>
                <w:lang w:eastAsia="en-GB"/>
              </w:rPr>
              <w:t>Observations</w:t>
            </w:r>
          </w:p>
        </w:tc>
      </w:tr>
      <w:tr w:rsidR="007A22FA" w:rsidRPr="007A22FA" w14:paraId="4264BE51" w14:textId="77777777" w:rsidTr="00BB4743">
        <w:trPr>
          <w:cnfStyle w:val="000000100000" w:firstRow="0" w:lastRow="0" w:firstColumn="0" w:lastColumn="0" w:oddVBand="0" w:evenVBand="0" w:oddHBand="1" w:evenHBand="0" w:firstRowFirstColumn="0" w:firstRowLastColumn="0" w:lastRowFirstColumn="0" w:lastRowLastColumn="0"/>
          <w:trHeight w:val="1768"/>
        </w:trPr>
        <w:tc>
          <w:tcPr>
            <w:tcW w:w="910" w:type="pct"/>
            <w:vMerge w:val="restart"/>
          </w:tcPr>
          <w:p w14:paraId="121EFFF2" w14:textId="77777777" w:rsidR="00AC4AC8" w:rsidRPr="007A22FA" w:rsidRDefault="00AC4AC8" w:rsidP="00AC4AC8">
            <w:pPr>
              <w:pStyle w:val="FFNormal"/>
              <w:rPr>
                <w:color w:val="auto"/>
                <w:sz w:val="20"/>
                <w:szCs w:val="20"/>
                <w:lang w:eastAsia="en-GB"/>
              </w:rPr>
            </w:pPr>
            <w:r w:rsidRPr="007A22FA">
              <w:rPr>
                <w:color w:val="auto"/>
                <w:sz w:val="20"/>
                <w:szCs w:val="20"/>
                <w:lang w:eastAsia="en-GB"/>
              </w:rPr>
              <w:t xml:space="preserve">Policy </w:t>
            </w:r>
          </w:p>
        </w:tc>
        <w:tc>
          <w:tcPr>
            <w:tcW w:w="823" w:type="pct"/>
            <w:vMerge w:val="restart"/>
          </w:tcPr>
          <w:p w14:paraId="4A4D9405" w14:textId="0BD7F9A8" w:rsidR="00AC4AC8" w:rsidRPr="007A22FA" w:rsidRDefault="00AC4AC8" w:rsidP="00AC4AC8">
            <w:pPr>
              <w:pStyle w:val="FFNormal"/>
              <w:rPr>
                <w:color w:val="auto"/>
                <w:sz w:val="20"/>
                <w:szCs w:val="20"/>
                <w:lang w:eastAsia="en-GB"/>
              </w:rPr>
            </w:pPr>
            <w:r w:rsidRPr="007A22FA">
              <w:rPr>
                <w:color w:val="auto"/>
                <w:sz w:val="20"/>
                <w:szCs w:val="20"/>
                <w:lang w:eastAsia="en-GB"/>
              </w:rPr>
              <w:t xml:space="preserve">Most changed – technical </w:t>
            </w:r>
            <w:r w:rsidRPr="006829A9">
              <w:rPr>
                <w:color w:val="auto"/>
                <w:sz w:val="20"/>
                <w:szCs w:val="20"/>
                <w:lang w:eastAsia="en-GB"/>
              </w:rPr>
              <w:t xml:space="preserve">networks, </w:t>
            </w:r>
            <w:r w:rsidR="002C4664" w:rsidRPr="002C4664">
              <w:rPr>
                <w:color w:val="auto"/>
                <w:sz w:val="20"/>
                <w:szCs w:val="20"/>
                <w:lang w:eastAsia="en-GB"/>
              </w:rPr>
              <w:t>in search of solutions to problem</w:t>
            </w:r>
          </w:p>
        </w:tc>
        <w:tc>
          <w:tcPr>
            <w:tcW w:w="946" w:type="pct"/>
          </w:tcPr>
          <w:p w14:paraId="1D346AFF" w14:textId="1587F78C" w:rsidR="00AC4AC8" w:rsidRPr="007A22FA" w:rsidRDefault="00A161E0" w:rsidP="00AC4AC8">
            <w:pPr>
              <w:pStyle w:val="FFNormal"/>
              <w:rPr>
                <w:color w:val="auto"/>
                <w:sz w:val="20"/>
                <w:szCs w:val="20"/>
                <w:lang w:eastAsia="en-GB"/>
              </w:rPr>
            </w:pPr>
            <w:r w:rsidRPr="007A22FA">
              <w:rPr>
                <w:color w:val="auto"/>
                <w:sz w:val="20"/>
                <w:szCs w:val="20"/>
                <w:lang w:eastAsia="en-GB"/>
              </w:rPr>
              <w:t>Positive</w:t>
            </w:r>
            <w:r w:rsidR="00AC4AC8" w:rsidRPr="007A22FA">
              <w:rPr>
                <w:color w:val="auto"/>
                <w:sz w:val="20"/>
                <w:szCs w:val="20"/>
                <w:lang w:eastAsia="en-GB"/>
              </w:rPr>
              <w:t>: value acceptability, policy community, technical feasibility</w:t>
            </w:r>
          </w:p>
        </w:tc>
        <w:tc>
          <w:tcPr>
            <w:tcW w:w="2321" w:type="pct"/>
          </w:tcPr>
          <w:p w14:paraId="7EF970AE" w14:textId="1C3084D6" w:rsidR="00AC4AC8" w:rsidRPr="007A22FA" w:rsidRDefault="00AC4AC8" w:rsidP="00AC4AC8">
            <w:pPr>
              <w:pStyle w:val="FFNormal"/>
              <w:rPr>
                <w:color w:val="auto"/>
                <w:sz w:val="20"/>
                <w:szCs w:val="20"/>
                <w:lang w:eastAsia="en-GB"/>
              </w:rPr>
            </w:pPr>
            <w:r w:rsidRPr="007A22FA">
              <w:rPr>
                <w:color w:val="auto"/>
                <w:sz w:val="20"/>
                <w:szCs w:val="20"/>
                <w:lang w:eastAsia="en-GB"/>
              </w:rPr>
              <w:t xml:space="preserve">Focus of Fleming Fund contribution, facilitating international-national-local interactions, building networks of interest and ability, funding work on national </w:t>
            </w:r>
            <w:r w:rsidR="00290E4A" w:rsidRPr="007A22FA">
              <w:rPr>
                <w:color w:val="auto"/>
                <w:sz w:val="20"/>
                <w:szCs w:val="20"/>
                <w:lang w:eastAsia="en-GB"/>
              </w:rPr>
              <w:t xml:space="preserve">laboratory </w:t>
            </w:r>
            <w:r w:rsidRPr="007A22FA">
              <w:rPr>
                <w:color w:val="auto"/>
                <w:sz w:val="20"/>
                <w:szCs w:val="20"/>
                <w:lang w:eastAsia="en-GB"/>
              </w:rPr>
              <w:t>systems</w:t>
            </w:r>
          </w:p>
        </w:tc>
      </w:tr>
      <w:tr w:rsidR="007A22FA" w:rsidRPr="007A22FA" w14:paraId="5BACA7D0" w14:textId="77777777" w:rsidTr="00BB4743">
        <w:trPr>
          <w:cnfStyle w:val="000000010000" w:firstRow="0" w:lastRow="0" w:firstColumn="0" w:lastColumn="0" w:oddVBand="0" w:evenVBand="0" w:oddHBand="0" w:evenHBand="1" w:firstRowFirstColumn="0" w:firstRowLastColumn="0" w:lastRowFirstColumn="0" w:lastRowLastColumn="0"/>
          <w:trHeight w:val="1768"/>
        </w:trPr>
        <w:tc>
          <w:tcPr>
            <w:tcW w:w="910" w:type="pct"/>
            <w:vMerge/>
          </w:tcPr>
          <w:p w14:paraId="2DE6140D" w14:textId="77777777" w:rsidR="00AC4AC8" w:rsidRPr="007A22FA" w:rsidRDefault="00AC4AC8" w:rsidP="00AC4AC8">
            <w:pPr>
              <w:pStyle w:val="FFNormal"/>
              <w:rPr>
                <w:color w:val="auto"/>
                <w:sz w:val="20"/>
                <w:szCs w:val="20"/>
                <w:lang w:eastAsia="en-GB"/>
              </w:rPr>
            </w:pPr>
          </w:p>
        </w:tc>
        <w:tc>
          <w:tcPr>
            <w:tcW w:w="823" w:type="pct"/>
            <w:vMerge/>
          </w:tcPr>
          <w:p w14:paraId="6E9BFC67" w14:textId="77777777" w:rsidR="00AC4AC8" w:rsidRPr="007A22FA" w:rsidRDefault="00AC4AC8" w:rsidP="00AC4AC8">
            <w:pPr>
              <w:pStyle w:val="FFNormal"/>
              <w:rPr>
                <w:color w:val="auto"/>
                <w:sz w:val="20"/>
                <w:szCs w:val="20"/>
                <w:lang w:eastAsia="en-GB"/>
              </w:rPr>
            </w:pPr>
          </w:p>
        </w:tc>
        <w:tc>
          <w:tcPr>
            <w:tcW w:w="946" w:type="pct"/>
          </w:tcPr>
          <w:p w14:paraId="712EF8C5" w14:textId="77777777" w:rsidR="00AC4AC8" w:rsidRPr="007A22FA" w:rsidRDefault="00AC4AC8" w:rsidP="00AC4AC8">
            <w:pPr>
              <w:pStyle w:val="FFNormal"/>
              <w:rPr>
                <w:color w:val="auto"/>
                <w:sz w:val="20"/>
                <w:szCs w:val="20"/>
                <w:lang w:eastAsia="en-GB"/>
              </w:rPr>
            </w:pPr>
            <w:r w:rsidRPr="007A22FA">
              <w:rPr>
                <w:color w:val="auto"/>
                <w:sz w:val="20"/>
                <w:szCs w:val="20"/>
                <w:lang w:eastAsia="en-GB"/>
              </w:rPr>
              <w:t>Neutral: network integration</w:t>
            </w:r>
          </w:p>
        </w:tc>
        <w:tc>
          <w:tcPr>
            <w:tcW w:w="2321" w:type="pct"/>
          </w:tcPr>
          <w:p w14:paraId="320A996D" w14:textId="17C4C8A1" w:rsidR="00AC4AC8" w:rsidRPr="007A22FA" w:rsidRDefault="00AC4AC8" w:rsidP="00AC4AC8">
            <w:pPr>
              <w:pStyle w:val="FFNormal"/>
              <w:rPr>
                <w:color w:val="auto"/>
                <w:sz w:val="20"/>
                <w:szCs w:val="20"/>
                <w:lang w:eastAsia="en-GB"/>
              </w:rPr>
            </w:pPr>
            <w:r w:rsidRPr="007A22FA">
              <w:rPr>
                <w:color w:val="auto"/>
                <w:sz w:val="20"/>
                <w:szCs w:val="20"/>
                <w:lang w:eastAsia="en-GB"/>
              </w:rPr>
              <w:t>See One Health observations</w:t>
            </w:r>
          </w:p>
        </w:tc>
      </w:tr>
      <w:tr w:rsidR="007A22FA" w:rsidRPr="007A22FA" w14:paraId="08183A6F" w14:textId="77777777" w:rsidTr="00BB4743">
        <w:trPr>
          <w:cnfStyle w:val="000000100000" w:firstRow="0" w:lastRow="0" w:firstColumn="0" w:lastColumn="0" w:oddVBand="0" w:evenVBand="0" w:oddHBand="1" w:evenHBand="0" w:firstRowFirstColumn="0" w:firstRowLastColumn="0" w:lastRowFirstColumn="0" w:lastRowLastColumn="0"/>
          <w:trHeight w:val="1768"/>
        </w:trPr>
        <w:tc>
          <w:tcPr>
            <w:tcW w:w="910" w:type="pct"/>
            <w:vMerge/>
          </w:tcPr>
          <w:p w14:paraId="09AEBFC4" w14:textId="77777777" w:rsidR="00AC4AC8" w:rsidRPr="007A22FA" w:rsidRDefault="00AC4AC8" w:rsidP="00AC4AC8">
            <w:pPr>
              <w:pStyle w:val="FFNormal"/>
              <w:rPr>
                <w:color w:val="auto"/>
                <w:sz w:val="20"/>
                <w:szCs w:val="20"/>
                <w:lang w:eastAsia="en-GB"/>
              </w:rPr>
            </w:pPr>
          </w:p>
        </w:tc>
        <w:tc>
          <w:tcPr>
            <w:tcW w:w="823" w:type="pct"/>
            <w:vMerge/>
          </w:tcPr>
          <w:p w14:paraId="0FFF7695" w14:textId="77777777" w:rsidR="00AC4AC8" w:rsidRPr="007A22FA" w:rsidRDefault="00AC4AC8" w:rsidP="00AC4AC8">
            <w:pPr>
              <w:pStyle w:val="FFNormal"/>
              <w:rPr>
                <w:color w:val="auto"/>
                <w:sz w:val="20"/>
                <w:szCs w:val="20"/>
                <w:lang w:eastAsia="en-GB"/>
              </w:rPr>
            </w:pPr>
          </w:p>
        </w:tc>
        <w:tc>
          <w:tcPr>
            <w:tcW w:w="946" w:type="pct"/>
          </w:tcPr>
          <w:p w14:paraId="5674E454" w14:textId="0C64CA74" w:rsidR="00AC4AC8" w:rsidRPr="007A22FA" w:rsidRDefault="00A161E0" w:rsidP="00AC4AC8">
            <w:pPr>
              <w:pStyle w:val="FFNormal"/>
              <w:rPr>
                <w:color w:val="auto"/>
                <w:sz w:val="20"/>
                <w:szCs w:val="20"/>
                <w:lang w:eastAsia="en-GB"/>
              </w:rPr>
            </w:pPr>
            <w:r w:rsidRPr="007A22FA">
              <w:rPr>
                <w:color w:val="auto"/>
                <w:sz w:val="20"/>
                <w:szCs w:val="20"/>
                <w:lang w:eastAsia="en-GB"/>
              </w:rPr>
              <w:t>Negative</w:t>
            </w:r>
            <w:r w:rsidR="00AC4AC8" w:rsidRPr="007A22FA">
              <w:rPr>
                <w:color w:val="auto"/>
                <w:sz w:val="20"/>
                <w:szCs w:val="20"/>
                <w:lang w:eastAsia="en-GB"/>
              </w:rPr>
              <w:t>: resource adequacy</w:t>
            </w:r>
          </w:p>
        </w:tc>
        <w:tc>
          <w:tcPr>
            <w:tcW w:w="2321" w:type="pct"/>
          </w:tcPr>
          <w:p w14:paraId="5D685F2D" w14:textId="6D49819C" w:rsidR="00AC4AC8" w:rsidRPr="007A22FA" w:rsidRDefault="00AC4AC8" w:rsidP="00AC4AC8">
            <w:pPr>
              <w:pStyle w:val="FFNormal"/>
              <w:rPr>
                <w:color w:val="auto"/>
                <w:sz w:val="20"/>
                <w:szCs w:val="20"/>
                <w:lang w:eastAsia="en-GB"/>
              </w:rPr>
            </w:pPr>
            <w:r w:rsidRPr="007A22FA">
              <w:rPr>
                <w:color w:val="auto"/>
                <w:sz w:val="20"/>
                <w:szCs w:val="20"/>
                <w:lang w:eastAsia="en-GB"/>
              </w:rPr>
              <w:t xml:space="preserve">Resourcing issues in national surveillance &amp; NAP context, including Fleming Fund sustainability &amp; VfM challenges, emerging as </w:t>
            </w:r>
            <w:r w:rsidR="006F35D5">
              <w:rPr>
                <w:color w:val="auto"/>
                <w:sz w:val="20"/>
                <w:szCs w:val="20"/>
                <w:lang w:eastAsia="en-GB"/>
              </w:rPr>
              <w:t xml:space="preserve">a </w:t>
            </w:r>
            <w:r w:rsidRPr="007A22FA">
              <w:rPr>
                <w:color w:val="auto"/>
                <w:sz w:val="20"/>
                <w:szCs w:val="20"/>
                <w:lang w:eastAsia="en-GB"/>
              </w:rPr>
              <w:t>significant brake</w:t>
            </w:r>
          </w:p>
        </w:tc>
      </w:tr>
      <w:tr w:rsidR="007A22FA" w:rsidRPr="007A22FA" w14:paraId="28D75C6E" w14:textId="77777777" w:rsidTr="00BB4743">
        <w:trPr>
          <w:cnfStyle w:val="000000010000" w:firstRow="0" w:lastRow="0" w:firstColumn="0" w:lastColumn="0" w:oddVBand="0" w:evenVBand="0" w:oddHBand="0" w:evenHBand="1" w:firstRowFirstColumn="0" w:firstRowLastColumn="0" w:lastRowFirstColumn="0" w:lastRowLastColumn="0"/>
          <w:trHeight w:val="1239"/>
        </w:trPr>
        <w:tc>
          <w:tcPr>
            <w:tcW w:w="910" w:type="pct"/>
            <w:vMerge w:val="restart"/>
          </w:tcPr>
          <w:p w14:paraId="24867C2F" w14:textId="77777777" w:rsidR="00AC4AC8" w:rsidRPr="007A22FA" w:rsidRDefault="00AC4AC8" w:rsidP="00AC4AC8">
            <w:pPr>
              <w:pStyle w:val="FFNormal"/>
              <w:rPr>
                <w:color w:val="auto"/>
                <w:sz w:val="20"/>
                <w:szCs w:val="20"/>
                <w:lang w:eastAsia="en-GB"/>
              </w:rPr>
            </w:pPr>
            <w:r w:rsidRPr="007A22FA">
              <w:rPr>
                <w:color w:val="auto"/>
                <w:sz w:val="20"/>
                <w:szCs w:val="20"/>
                <w:lang w:eastAsia="en-GB"/>
              </w:rPr>
              <w:t>Problem</w:t>
            </w:r>
          </w:p>
        </w:tc>
        <w:tc>
          <w:tcPr>
            <w:tcW w:w="823" w:type="pct"/>
            <w:vMerge w:val="restart"/>
          </w:tcPr>
          <w:p w14:paraId="5656D1F8" w14:textId="66A92AFF" w:rsidR="00AC4AC8" w:rsidRPr="007A22FA" w:rsidRDefault="00AC4AC8" w:rsidP="00AC4AC8">
            <w:pPr>
              <w:pStyle w:val="FFNormal"/>
              <w:rPr>
                <w:color w:val="auto"/>
                <w:sz w:val="20"/>
                <w:szCs w:val="20"/>
                <w:lang w:eastAsia="en-GB"/>
              </w:rPr>
            </w:pPr>
            <w:r w:rsidRPr="007A22FA">
              <w:rPr>
                <w:color w:val="auto"/>
                <w:sz w:val="20"/>
                <w:szCs w:val="20"/>
                <w:lang w:eastAsia="en-GB"/>
              </w:rPr>
              <w:t>Change in some countries only – advocacy not just analysis, headwinds</w:t>
            </w:r>
          </w:p>
        </w:tc>
        <w:tc>
          <w:tcPr>
            <w:tcW w:w="946" w:type="pct"/>
          </w:tcPr>
          <w:p w14:paraId="5BC1E817" w14:textId="11B78D46" w:rsidR="00AC4AC8" w:rsidRPr="007A22FA" w:rsidRDefault="00A161E0" w:rsidP="00AC4AC8">
            <w:pPr>
              <w:pStyle w:val="FFNormal"/>
              <w:rPr>
                <w:color w:val="auto"/>
                <w:sz w:val="20"/>
                <w:szCs w:val="20"/>
                <w:lang w:eastAsia="en-GB"/>
              </w:rPr>
            </w:pPr>
            <w:r w:rsidRPr="007A22FA">
              <w:rPr>
                <w:color w:val="auto"/>
                <w:sz w:val="20"/>
                <w:szCs w:val="20"/>
                <w:lang w:eastAsia="en-GB"/>
              </w:rPr>
              <w:t>Positive</w:t>
            </w:r>
            <w:r w:rsidR="00AC4AC8" w:rsidRPr="007A22FA">
              <w:rPr>
                <w:color w:val="auto"/>
                <w:sz w:val="20"/>
                <w:szCs w:val="20"/>
                <w:lang w:eastAsia="en-GB"/>
              </w:rPr>
              <w:t xml:space="preserve">: Indicators </w:t>
            </w:r>
          </w:p>
        </w:tc>
        <w:tc>
          <w:tcPr>
            <w:tcW w:w="2321" w:type="pct"/>
          </w:tcPr>
          <w:p w14:paraId="38F1A1C2" w14:textId="4222072E" w:rsidR="00AC4AC8" w:rsidRPr="007A22FA" w:rsidRDefault="00AC4AC8" w:rsidP="00AC4AC8">
            <w:pPr>
              <w:pStyle w:val="FFNormal"/>
              <w:rPr>
                <w:color w:val="auto"/>
                <w:sz w:val="20"/>
                <w:szCs w:val="20"/>
                <w:lang w:eastAsia="en-GB"/>
              </w:rPr>
            </w:pPr>
            <w:r w:rsidRPr="007A22FA">
              <w:rPr>
                <w:color w:val="auto"/>
                <w:sz w:val="20"/>
                <w:szCs w:val="20"/>
                <w:lang w:eastAsia="en-GB"/>
              </w:rPr>
              <w:t xml:space="preserve">Focus of Fleming Fund contribution, through surveillance system (although progress here </w:t>
            </w:r>
            <w:r w:rsidR="006802FD" w:rsidRPr="007A22FA">
              <w:rPr>
                <w:color w:val="auto"/>
                <w:sz w:val="20"/>
                <w:szCs w:val="20"/>
                <w:lang w:eastAsia="en-GB"/>
              </w:rPr>
              <w:t xml:space="preserve">is </w:t>
            </w:r>
            <w:r w:rsidRPr="007A22FA">
              <w:rPr>
                <w:color w:val="auto"/>
                <w:sz w:val="20"/>
                <w:szCs w:val="20"/>
                <w:lang w:eastAsia="en-GB"/>
              </w:rPr>
              <w:t>much broader, esp</w:t>
            </w:r>
            <w:r w:rsidR="006802FD" w:rsidRPr="007A22FA">
              <w:rPr>
                <w:color w:val="auto"/>
                <w:sz w:val="20"/>
                <w:szCs w:val="20"/>
                <w:lang w:eastAsia="en-GB"/>
              </w:rPr>
              <w:t>ecially</w:t>
            </w:r>
            <w:r w:rsidRPr="007A22FA">
              <w:rPr>
                <w:color w:val="auto"/>
                <w:sz w:val="20"/>
                <w:szCs w:val="20"/>
                <w:lang w:eastAsia="en-GB"/>
              </w:rPr>
              <w:t xml:space="preserve"> using research and international inputs – see use headlines)</w:t>
            </w:r>
          </w:p>
        </w:tc>
      </w:tr>
      <w:tr w:rsidR="007A22FA" w:rsidRPr="007A22FA" w14:paraId="5F79088C" w14:textId="77777777" w:rsidTr="00BB4743">
        <w:trPr>
          <w:cnfStyle w:val="000000100000" w:firstRow="0" w:lastRow="0" w:firstColumn="0" w:lastColumn="0" w:oddVBand="0" w:evenVBand="0" w:oddHBand="1" w:evenHBand="0" w:firstRowFirstColumn="0" w:firstRowLastColumn="0" w:lastRowFirstColumn="0" w:lastRowLastColumn="0"/>
          <w:trHeight w:val="1239"/>
        </w:trPr>
        <w:tc>
          <w:tcPr>
            <w:tcW w:w="910" w:type="pct"/>
            <w:vMerge/>
          </w:tcPr>
          <w:p w14:paraId="6901B057" w14:textId="77777777" w:rsidR="00AC4AC8" w:rsidRPr="007A22FA" w:rsidRDefault="00AC4AC8" w:rsidP="00AC4AC8">
            <w:pPr>
              <w:pStyle w:val="FFNormal"/>
              <w:rPr>
                <w:color w:val="auto"/>
                <w:sz w:val="20"/>
                <w:szCs w:val="20"/>
                <w:lang w:eastAsia="en-GB"/>
              </w:rPr>
            </w:pPr>
          </w:p>
        </w:tc>
        <w:tc>
          <w:tcPr>
            <w:tcW w:w="823" w:type="pct"/>
            <w:vMerge/>
          </w:tcPr>
          <w:p w14:paraId="00D6E548" w14:textId="77777777" w:rsidR="00AC4AC8" w:rsidRPr="007A22FA" w:rsidRDefault="00AC4AC8" w:rsidP="00AC4AC8">
            <w:pPr>
              <w:pStyle w:val="FFNormal"/>
              <w:rPr>
                <w:color w:val="auto"/>
                <w:sz w:val="20"/>
                <w:szCs w:val="20"/>
                <w:lang w:eastAsia="en-GB"/>
              </w:rPr>
            </w:pPr>
          </w:p>
        </w:tc>
        <w:tc>
          <w:tcPr>
            <w:tcW w:w="946" w:type="pct"/>
          </w:tcPr>
          <w:p w14:paraId="4F26AF4E" w14:textId="77777777" w:rsidR="00AC4AC8" w:rsidRPr="007A22FA" w:rsidRDefault="00AC4AC8" w:rsidP="00AC4AC8">
            <w:pPr>
              <w:pStyle w:val="FFNormal"/>
              <w:rPr>
                <w:color w:val="auto"/>
                <w:sz w:val="20"/>
                <w:szCs w:val="20"/>
                <w:lang w:eastAsia="en-GB"/>
              </w:rPr>
            </w:pPr>
            <w:r w:rsidRPr="007A22FA">
              <w:rPr>
                <w:color w:val="auto"/>
                <w:sz w:val="20"/>
                <w:szCs w:val="20"/>
                <w:lang w:eastAsia="en-GB"/>
              </w:rPr>
              <w:t>Neutral: Focusing events</w:t>
            </w:r>
          </w:p>
        </w:tc>
        <w:tc>
          <w:tcPr>
            <w:tcW w:w="2321" w:type="pct"/>
          </w:tcPr>
          <w:p w14:paraId="1A202D5D" w14:textId="77777777" w:rsidR="00AC4AC8" w:rsidRPr="007A22FA" w:rsidRDefault="00AC4AC8" w:rsidP="00AC4AC8">
            <w:pPr>
              <w:pStyle w:val="FFNormal"/>
              <w:rPr>
                <w:color w:val="auto"/>
                <w:sz w:val="20"/>
                <w:szCs w:val="20"/>
                <w:lang w:eastAsia="en-GB"/>
              </w:rPr>
            </w:pPr>
          </w:p>
        </w:tc>
      </w:tr>
      <w:tr w:rsidR="007A22FA" w:rsidRPr="007A22FA" w14:paraId="73AB8FAF" w14:textId="77777777" w:rsidTr="00BB4743">
        <w:trPr>
          <w:cnfStyle w:val="000000010000" w:firstRow="0" w:lastRow="0" w:firstColumn="0" w:lastColumn="0" w:oddVBand="0" w:evenVBand="0" w:oddHBand="0" w:evenHBand="1" w:firstRowFirstColumn="0" w:firstRowLastColumn="0" w:lastRowFirstColumn="0" w:lastRowLastColumn="0"/>
          <w:trHeight w:val="1239"/>
        </w:trPr>
        <w:tc>
          <w:tcPr>
            <w:tcW w:w="910" w:type="pct"/>
            <w:vMerge/>
          </w:tcPr>
          <w:p w14:paraId="4149D2CD" w14:textId="77777777" w:rsidR="00AC4AC8" w:rsidRPr="007A22FA" w:rsidRDefault="00AC4AC8" w:rsidP="00AC4AC8">
            <w:pPr>
              <w:pStyle w:val="FFNormal"/>
              <w:rPr>
                <w:color w:val="auto"/>
                <w:sz w:val="20"/>
                <w:szCs w:val="20"/>
                <w:lang w:eastAsia="en-GB"/>
              </w:rPr>
            </w:pPr>
          </w:p>
        </w:tc>
        <w:tc>
          <w:tcPr>
            <w:tcW w:w="823" w:type="pct"/>
            <w:vMerge/>
          </w:tcPr>
          <w:p w14:paraId="4828EA8C" w14:textId="77777777" w:rsidR="00AC4AC8" w:rsidRPr="007A22FA" w:rsidRDefault="00AC4AC8" w:rsidP="00AC4AC8">
            <w:pPr>
              <w:pStyle w:val="FFNormal"/>
              <w:rPr>
                <w:color w:val="auto"/>
                <w:sz w:val="20"/>
                <w:szCs w:val="20"/>
                <w:lang w:eastAsia="en-GB"/>
              </w:rPr>
            </w:pPr>
          </w:p>
        </w:tc>
        <w:tc>
          <w:tcPr>
            <w:tcW w:w="946" w:type="pct"/>
          </w:tcPr>
          <w:p w14:paraId="64BAE229" w14:textId="49B374B2" w:rsidR="00AC4AC8" w:rsidRPr="007A22FA" w:rsidRDefault="00A161E0" w:rsidP="00AC4AC8">
            <w:pPr>
              <w:pStyle w:val="FFNormal"/>
              <w:rPr>
                <w:color w:val="auto"/>
                <w:sz w:val="20"/>
                <w:szCs w:val="20"/>
                <w:lang w:eastAsia="en-GB"/>
              </w:rPr>
            </w:pPr>
            <w:r w:rsidRPr="007A22FA">
              <w:rPr>
                <w:color w:val="auto"/>
                <w:sz w:val="20"/>
                <w:szCs w:val="20"/>
                <w:lang w:eastAsia="en-GB"/>
              </w:rPr>
              <w:t>Negative</w:t>
            </w:r>
            <w:r w:rsidR="00AC4AC8" w:rsidRPr="007A22FA">
              <w:rPr>
                <w:color w:val="auto"/>
                <w:sz w:val="20"/>
                <w:szCs w:val="20"/>
                <w:lang w:eastAsia="en-GB"/>
              </w:rPr>
              <w:t>: Load (though</w:t>
            </w:r>
            <w:r w:rsidR="006802FD" w:rsidRPr="007A22FA">
              <w:rPr>
                <w:color w:val="auto"/>
                <w:sz w:val="20"/>
                <w:szCs w:val="20"/>
                <w:lang w:eastAsia="en-GB"/>
              </w:rPr>
              <w:t xml:space="preserve"> there is</w:t>
            </w:r>
            <w:r w:rsidR="00AC4AC8" w:rsidRPr="007A22FA">
              <w:rPr>
                <w:color w:val="auto"/>
                <w:sz w:val="20"/>
                <w:szCs w:val="20"/>
                <w:lang w:eastAsia="en-GB"/>
              </w:rPr>
              <w:t xml:space="preserve"> some feedback mitigation)</w:t>
            </w:r>
          </w:p>
        </w:tc>
        <w:tc>
          <w:tcPr>
            <w:tcW w:w="2321" w:type="pct"/>
          </w:tcPr>
          <w:p w14:paraId="70832EE9" w14:textId="26E3423E" w:rsidR="00AC4AC8" w:rsidRPr="007A22FA" w:rsidRDefault="0075181D" w:rsidP="00AC4AC8">
            <w:pPr>
              <w:pStyle w:val="FFNormal"/>
              <w:rPr>
                <w:color w:val="auto"/>
                <w:sz w:val="20"/>
                <w:szCs w:val="20"/>
                <w:lang w:eastAsia="en-GB"/>
              </w:rPr>
            </w:pPr>
            <w:r w:rsidRPr="007A22FA">
              <w:rPr>
                <w:color w:val="auto"/>
                <w:sz w:val="20"/>
                <w:szCs w:val="20"/>
                <w:lang w:eastAsia="en-GB"/>
              </w:rPr>
              <w:t>COVID-</w:t>
            </w:r>
            <w:r w:rsidR="00AC4AC8" w:rsidRPr="007A22FA">
              <w:rPr>
                <w:color w:val="auto"/>
                <w:sz w:val="20"/>
                <w:szCs w:val="20"/>
                <w:lang w:eastAsia="en-GB"/>
              </w:rPr>
              <w:t>19</w:t>
            </w:r>
            <w:r w:rsidR="007458AC" w:rsidRPr="007A22FA">
              <w:rPr>
                <w:color w:val="auto"/>
                <w:sz w:val="20"/>
                <w:szCs w:val="20"/>
                <w:lang w:eastAsia="en-GB"/>
              </w:rPr>
              <w:t xml:space="preserve"> </w:t>
            </w:r>
            <w:r w:rsidR="00AC4AC8" w:rsidRPr="007A22FA">
              <w:rPr>
                <w:color w:val="auto"/>
                <w:sz w:val="20"/>
                <w:szCs w:val="20"/>
                <w:lang w:eastAsia="en-GB"/>
              </w:rPr>
              <w:t xml:space="preserve">distraction &amp; priority as </w:t>
            </w:r>
            <w:r w:rsidR="006802FD" w:rsidRPr="007A22FA">
              <w:rPr>
                <w:color w:val="auto"/>
                <w:sz w:val="20"/>
                <w:szCs w:val="20"/>
                <w:lang w:eastAsia="en-GB"/>
              </w:rPr>
              <w:t xml:space="preserve">a </w:t>
            </w:r>
            <w:r w:rsidR="00AC4AC8" w:rsidRPr="007A22FA">
              <w:rPr>
                <w:color w:val="auto"/>
                <w:sz w:val="20"/>
                <w:szCs w:val="20"/>
                <w:lang w:eastAsia="en-GB"/>
              </w:rPr>
              <w:t>public health crisis</w:t>
            </w:r>
          </w:p>
        </w:tc>
      </w:tr>
      <w:tr w:rsidR="007A22FA" w:rsidRPr="007A22FA" w14:paraId="36F71F02" w14:textId="77777777" w:rsidTr="00BB4743">
        <w:trPr>
          <w:cnfStyle w:val="000000100000" w:firstRow="0" w:lastRow="0" w:firstColumn="0" w:lastColumn="0" w:oddVBand="0" w:evenVBand="0" w:oddHBand="1" w:evenHBand="0" w:firstRowFirstColumn="0" w:firstRowLastColumn="0" w:lastRowFirstColumn="0" w:lastRowLastColumn="0"/>
          <w:trHeight w:val="709"/>
        </w:trPr>
        <w:tc>
          <w:tcPr>
            <w:tcW w:w="910" w:type="pct"/>
            <w:vMerge w:val="restart"/>
          </w:tcPr>
          <w:p w14:paraId="17B43446" w14:textId="77777777" w:rsidR="00AC4AC8" w:rsidRPr="007A22FA" w:rsidRDefault="00AC4AC8" w:rsidP="00AC4AC8">
            <w:pPr>
              <w:pStyle w:val="FFNormal"/>
              <w:rPr>
                <w:color w:val="auto"/>
                <w:sz w:val="20"/>
                <w:szCs w:val="20"/>
                <w:lang w:eastAsia="en-GB"/>
              </w:rPr>
            </w:pPr>
            <w:r w:rsidRPr="007A22FA">
              <w:rPr>
                <w:color w:val="auto"/>
                <w:sz w:val="20"/>
                <w:szCs w:val="20"/>
                <w:lang w:eastAsia="en-GB"/>
              </w:rPr>
              <w:t xml:space="preserve">Politics </w:t>
            </w:r>
          </w:p>
        </w:tc>
        <w:tc>
          <w:tcPr>
            <w:tcW w:w="823" w:type="pct"/>
            <w:vMerge w:val="restart"/>
          </w:tcPr>
          <w:p w14:paraId="7746131B" w14:textId="1BA4C9DC" w:rsidR="00AC4AC8" w:rsidRPr="007A22FA" w:rsidRDefault="00AC4AC8" w:rsidP="00AC4AC8">
            <w:pPr>
              <w:pStyle w:val="FFNormal"/>
              <w:rPr>
                <w:color w:val="auto"/>
                <w:sz w:val="20"/>
                <w:szCs w:val="20"/>
                <w:lang w:eastAsia="en-GB"/>
              </w:rPr>
            </w:pPr>
            <w:r w:rsidRPr="007A22FA">
              <w:rPr>
                <w:color w:val="auto"/>
                <w:sz w:val="20"/>
                <w:szCs w:val="20"/>
                <w:lang w:eastAsia="en-GB"/>
              </w:rPr>
              <w:t xml:space="preserve">No real change – outside control but emerging as </w:t>
            </w:r>
            <w:r w:rsidR="006F35D5">
              <w:rPr>
                <w:color w:val="auto"/>
                <w:sz w:val="20"/>
                <w:szCs w:val="20"/>
                <w:lang w:eastAsia="en-GB"/>
              </w:rPr>
              <w:t xml:space="preserve">a </w:t>
            </w:r>
            <w:r w:rsidRPr="007A22FA">
              <w:rPr>
                <w:color w:val="auto"/>
                <w:sz w:val="20"/>
                <w:szCs w:val="20"/>
                <w:lang w:eastAsia="en-GB"/>
              </w:rPr>
              <w:t>leading challenge</w:t>
            </w:r>
          </w:p>
        </w:tc>
        <w:tc>
          <w:tcPr>
            <w:tcW w:w="946" w:type="pct"/>
          </w:tcPr>
          <w:p w14:paraId="5657DD0E" w14:textId="77710363" w:rsidR="00AC4AC8" w:rsidRPr="007A22FA" w:rsidRDefault="00A161E0" w:rsidP="00AC4AC8">
            <w:pPr>
              <w:pStyle w:val="FFNormal"/>
              <w:rPr>
                <w:color w:val="auto"/>
                <w:sz w:val="20"/>
                <w:szCs w:val="20"/>
                <w:lang w:eastAsia="en-GB"/>
              </w:rPr>
            </w:pPr>
            <w:r w:rsidRPr="007A22FA">
              <w:rPr>
                <w:color w:val="auto"/>
                <w:sz w:val="20"/>
                <w:szCs w:val="20"/>
                <w:lang w:eastAsia="en-GB"/>
              </w:rPr>
              <w:t>Positive</w:t>
            </w:r>
            <w:r w:rsidR="00AC4AC8" w:rsidRPr="007A22FA">
              <w:rPr>
                <w:color w:val="auto"/>
                <w:sz w:val="20"/>
                <w:szCs w:val="20"/>
                <w:lang w:eastAsia="en-GB"/>
              </w:rPr>
              <w:t>: Party ideology</w:t>
            </w:r>
          </w:p>
        </w:tc>
        <w:tc>
          <w:tcPr>
            <w:tcW w:w="2321" w:type="pct"/>
          </w:tcPr>
          <w:p w14:paraId="03C851CF" w14:textId="77777777" w:rsidR="00AC4AC8" w:rsidRPr="007A22FA" w:rsidRDefault="00AC4AC8" w:rsidP="00AC4AC8">
            <w:pPr>
              <w:pStyle w:val="FFNormal"/>
              <w:rPr>
                <w:color w:val="auto"/>
                <w:sz w:val="20"/>
                <w:szCs w:val="20"/>
                <w:lang w:eastAsia="en-GB"/>
              </w:rPr>
            </w:pPr>
            <w:r w:rsidRPr="007A22FA">
              <w:rPr>
                <w:color w:val="auto"/>
                <w:sz w:val="20"/>
                <w:szCs w:val="20"/>
                <w:lang w:eastAsia="en-GB"/>
              </w:rPr>
              <w:t>Leadership interest in some countries (global engagement opportunity)</w:t>
            </w:r>
          </w:p>
        </w:tc>
      </w:tr>
      <w:tr w:rsidR="007A22FA" w:rsidRPr="007A22FA" w14:paraId="1CDD9F7F" w14:textId="77777777" w:rsidTr="00BB4743">
        <w:trPr>
          <w:cnfStyle w:val="000000010000" w:firstRow="0" w:lastRow="0" w:firstColumn="0" w:lastColumn="0" w:oddVBand="0" w:evenVBand="0" w:oddHBand="0" w:evenHBand="1" w:firstRowFirstColumn="0" w:firstRowLastColumn="0" w:lastRowFirstColumn="0" w:lastRowLastColumn="0"/>
          <w:trHeight w:val="1249"/>
        </w:trPr>
        <w:tc>
          <w:tcPr>
            <w:tcW w:w="910" w:type="pct"/>
            <w:vMerge/>
          </w:tcPr>
          <w:p w14:paraId="416D5B08" w14:textId="77777777" w:rsidR="00AC4AC8" w:rsidRPr="007A22FA" w:rsidRDefault="00AC4AC8" w:rsidP="00AC4AC8">
            <w:pPr>
              <w:pStyle w:val="FFNormal"/>
              <w:rPr>
                <w:color w:val="auto"/>
                <w:sz w:val="20"/>
                <w:szCs w:val="20"/>
                <w:lang w:eastAsia="en-GB"/>
              </w:rPr>
            </w:pPr>
          </w:p>
        </w:tc>
        <w:tc>
          <w:tcPr>
            <w:tcW w:w="823" w:type="pct"/>
            <w:vMerge/>
          </w:tcPr>
          <w:p w14:paraId="1B4A0A70" w14:textId="77777777" w:rsidR="00AC4AC8" w:rsidRPr="007A22FA" w:rsidRDefault="00AC4AC8" w:rsidP="00AC4AC8">
            <w:pPr>
              <w:pStyle w:val="FFNormal"/>
              <w:rPr>
                <w:color w:val="auto"/>
                <w:sz w:val="20"/>
                <w:szCs w:val="20"/>
                <w:lang w:eastAsia="en-GB"/>
              </w:rPr>
            </w:pPr>
          </w:p>
        </w:tc>
        <w:tc>
          <w:tcPr>
            <w:tcW w:w="946" w:type="pct"/>
          </w:tcPr>
          <w:p w14:paraId="027F3DF0" w14:textId="77777777" w:rsidR="00AC4AC8" w:rsidRPr="007A22FA" w:rsidRDefault="00AC4AC8" w:rsidP="00AC4AC8">
            <w:pPr>
              <w:pStyle w:val="FFNormal"/>
              <w:rPr>
                <w:color w:val="auto"/>
                <w:sz w:val="20"/>
                <w:szCs w:val="20"/>
                <w:lang w:eastAsia="en-GB"/>
              </w:rPr>
            </w:pPr>
            <w:r w:rsidRPr="007A22FA">
              <w:rPr>
                <w:color w:val="auto"/>
                <w:sz w:val="20"/>
                <w:szCs w:val="20"/>
                <w:lang w:eastAsia="en-GB"/>
              </w:rPr>
              <w:t>Neutral: National Mood, Balance of Interests</w:t>
            </w:r>
          </w:p>
        </w:tc>
        <w:tc>
          <w:tcPr>
            <w:tcW w:w="2321" w:type="pct"/>
          </w:tcPr>
          <w:p w14:paraId="6677CC18" w14:textId="0150C911" w:rsidR="00AC4AC8" w:rsidRPr="007A22FA" w:rsidRDefault="00AC4AC8" w:rsidP="00AC4AC8">
            <w:pPr>
              <w:pStyle w:val="FFNormal"/>
              <w:rPr>
                <w:color w:val="auto"/>
                <w:sz w:val="20"/>
                <w:szCs w:val="20"/>
                <w:lang w:eastAsia="en-GB"/>
              </w:rPr>
            </w:pPr>
            <w:r w:rsidRPr="007A22FA">
              <w:rPr>
                <w:color w:val="auto"/>
                <w:sz w:val="20"/>
                <w:szCs w:val="20"/>
                <w:lang w:eastAsia="en-GB"/>
              </w:rPr>
              <w:t xml:space="preserve">Awareness not hitting </w:t>
            </w:r>
            <w:r w:rsidR="006F35D5">
              <w:rPr>
                <w:color w:val="auto"/>
                <w:sz w:val="20"/>
                <w:szCs w:val="20"/>
                <w:lang w:eastAsia="en-GB"/>
              </w:rPr>
              <w:t xml:space="preserve">the </w:t>
            </w:r>
            <w:r w:rsidRPr="007A22FA">
              <w:rPr>
                <w:color w:val="auto"/>
                <w:sz w:val="20"/>
                <w:szCs w:val="20"/>
                <w:lang w:eastAsia="en-GB"/>
              </w:rPr>
              <w:t>public yet, starting to think about professional engagement but not much yet on economic</w:t>
            </w:r>
            <w:r w:rsidR="006F35D5">
              <w:rPr>
                <w:color w:val="auto"/>
                <w:sz w:val="20"/>
                <w:szCs w:val="20"/>
                <w:lang w:eastAsia="en-GB"/>
              </w:rPr>
              <w:t>s</w:t>
            </w:r>
            <w:r w:rsidRPr="007A22FA">
              <w:rPr>
                <w:color w:val="auto"/>
                <w:sz w:val="20"/>
                <w:szCs w:val="20"/>
                <w:lang w:eastAsia="en-GB"/>
              </w:rPr>
              <w:t xml:space="preserve"> (</w:t>
            </w:r>
            <w:r w:rsidR="006802FD" w:rsidRPr="007A22FA">
              <w:rPr>
                <w:color w:val="auto"/>
                <w:sz w:val="20"/>
                <w:szCs w:val="20"/>
                <w:lang w:eastAsia="en-GB"/>
              </w:rPr>
              <w:t>e.g.</w:t>
            </w:r>
            <w:r w:rsidRPr="007A22FA">
              <w:rPr>
                <w:color w:val="auto"/>
                <w:sz w:val="20"/>
                <w:szCs w:val="20"/>
                <w:lang w:eastAsia="en-GB"/>
              </w:rPr>
              <w:t xml:space="preserve"> </w:t>
            </w:r>
            <w:r w:rsidR="005718A7" w:rsidRPr="007A22FA">
              <w:rPr>
                <w:color w:val="auto"/>
                <w:sz w:val="20"/>
                <w:szCs w:val="20"/>
                <w:lang w:eastAsia="en-GB"/>
              </w:rPr>
              <w:t>pharmaceutical</w:t>
            </w:r>
            <w:r w:rsidRPr="007A22FA">
              <w:rPr>
                <w:color w:val="auto"/>
                <w:sz w:val="20"/>
                <w:szCs w:val="20"/>
                <w:lang w:eastAsia="en-GB"/>
              </w:rPr>
              <w:t xml:space="preserve"> food production)</w:t>
            </w:r>
          </w:p>
        </w:tc>
      </w:tr>
      <w:tr w:rsidR="007A22FA" w:rsidRPr="007A22FA" w14:paraId="187E8F88" w14:textId="77777777" w:rsidTr="00BB4743">
        <w:trPr>
          <w:cnfStyle w:val="000000100000" w:firstRow="0" w:lastRow="0" w:firstColumn="0" w:lastColumn="0" w:oddVBand="0" w:evenVBand="0" w:oddHBand="1" w:evenHBand="0" w:firstRowFirstColumn="0" w:firstRowLastColumn="0" w:lastRowFirstColumn="0" w:lastRowLastColumn="0"/>
          <w:trHeight w:val="1249"/>
        </w:trPr>
        <w:tc>
          <w:tcPr>
            <w:tcW w:w="910" w:type="pct"/>
          </w:tcPr>
          <w:p w14:paraId="363F0495" w14:textId="0A5F3A3A" w:rsidR="00AC4AC8" w:rsidRPr="007A22FA" w:rsidRDefault="00AC4AC8" w:rsidP="00AC4AC8">
            <w:pPr>
              <w:pStyle w:val="FFNormal"/>
              <w:rPr>
                <w:color w:val="auto"/>
                <w:sz w:val="20"/>
                <w:szCs w:val="20"/>
                <w:lang w:eastAsia="en-GB"/>
              </w:rPr>
            </w:pPr>
            <w:r w:rsidRPr="007A22FA">
              <w:rPr>
                <w:color w:val="auto"/>
                <w:sz w:val="20"/>
                <w:szCs w:val="20"/>
                <w:lang w:eastAsia="en-GB"/>
              </w:rPr>
              <w:t>Policy entrepreneurs</w:t>
            </w:r>
            <w:r w:rsidR="00E5715F" w:rsidRPr="007A22FA">
              <w:rPr>
                <w:color w:val="auto"/>
                <w:sz w:val="20"/>
                <w:szCs w:val="20"/>
                <w:lang w:eastAsia="en-GB"/>
              </w:rPr>
              <w:t xml:space="preserve"> (PE)</w:t>
            </w:r>
          </w:p>
        </w:tc>
        <w:tc>
          <w:tcPr>
            <w:tcW w:w="823" w:type="pct"/>
          </w:tcPr>
          <w:p w14:paraId="2A9F93F5" w14:textId="53784A63" w:rsidR="00AC4AC8" w:rsidRPr="007A22FA" w:rsidRDefault="00AC4AC8" w:rsidP="00AC4AC8">
            <w:pPr>
              <w:pStyle w:val="FFNormal"/>
              <w:rPr>
                <w:color w:val="auto"/>
                <w:sz w:val="20"/>
                <w:szCs w:val="20"/>
                <w:lang w:eastAsia="en-GB"/>
              </w:rPr>
            </w:pPr>
            <w:r w:rsidRPr="007A22FA">
              <w:rPr>
                <w:color w:val="auto"/>
                <w:sz w:val="20"/>
                <w:szCs w:val="20"/>
                <w:lang w:eastAsia="en-GB"/>
              </w:rPr>
              <w:t>Rare to see progress</w:t>
            </w:r>
          </w:p>
        </w:tc>
        <w:tc>
          <w:tcPr>
            <w:tcW w:w="946" w:type="pct"/>
          </w:tcPr>
          <w:p w14:paraId="46FBF0F3" w14:textId="48CA957A" w:rsidR="00AC4AC8" w:rsidRPr="007A22FA" w:rsidRDefault="00AC4AC8" w:rsidP="00AC4AC8">
            <w:pPr>
              <w:pStyle w:val="FFNormal"/>
              <w:rPr>
                <w:color w:val="auto"/>
                <w:sz w:val="20"/>
                <w:szCs w:val="20"/>
                <w:lang w:eastAsia="en-GB"/>
              </w:rPr>
            </w:pPr>
            <w:r w:rsidRPr="007A22FA">
              <w:rPr>
                <w:color w:val="auto"/>
                <w:sz w:val="20"/>
                <w:szCs w:val="20"/>
                <w:lang w:eastAsia="en-GB"/>
              </w:rPr>
              <w:t>Neutral</w:t>
            </w:r>
          </w:p>
        </w:tc>
        <w:tc>
          <w:tcPr>
            <w:tcW w:w="2321" w:type="pct"/>
          </w:tcPr>
          <w:p w14:paraId="4A57770A" w14:textId="6F274DD3" w:rsidR="00AC4AC8" w:rsidRPr="007A22FA" w:rsidRDefault="00AC4AC8" w:rsidP="00AC4AC8">
            <w:pPr>
              <w:pStyle w:val="FFNormal"/>
              <w:rPr>
                <w:color w:val="auto"/>
                <w:sz w:val="20"/>
                <w:szCs w:val="20"/>
                <w:lang w:eastAsia="en-GB"/>
              </w:rPr>
            </w:pPr>
            <w:r w:rsidRPr="007A22FA">
              <w:rPr>
                <w:color w:val="auto"/>
                <w:sz w:val="20"/>
                <w:szCs w:val="20"/>
                <w:lang w:eastAsia="en-GB"/>
              </w:rPr>
              <w:t>See Policy Fellow comments. Champions still understood only within</w:t>
            </w:r>
            <w:r w:rsidR="006F35D5">
              <w:rPr>
                <w:color w:val="auto"/>
                <w:sz w:val="20"/>
                <w:szCs w:val="20"/>
                <w:lang w:eastAsia="en-GB"/>
              </w:rPr>
              <w:t xml:space="preserve"> the</w:t>
            </w:r>
            <w:r w:rsidRPr="007A22FA">
              <w:rPr>
                <w:color w:val="auto"/>
                <w:sz w:val="20"/>
                <w:szCs w:val="20"/>
                <w:lang w:eastAsia="en-GB"/>
              </w:rPr>
              <w:t xml:space="preserve"> policy stream, with some interest in </w:t>
            </w:r>
            <w:r w:rsidR="006829A9">
              <w:rPr>
                <w:color w:val="auto"/>
                <w:sz w:val="20"/>
                <w:szCs w:val="20"/>
                <w:lang w:eastAsia="en-GB"/>
              </w:rPr>
              <w:t xml:space="preserve">the </w:t>
            </w:r>
            <w:r w:rsidRPr="007A22FA">
              <w:rPr>
                <w:color w:val="auto"/>
                <w:sz w:val="20"/>
                <w:szCs w:val="20"/>
                <w:lang w:eastAsia="en-GB"/>
              </w:rPr>
              <w:t>problem</w:t>
            </w:r>
            <w:r w:rsidR="006829A9">
              <w:rPr>
                <w:color w:val="auto"/>
                <w:sz w:val="20"/>
                <w:szCs w:val="20"/>
                <w:lang w:eastAsia="en-GB"/>
              </w:rPr>
              <w:t xml:space="preserve"> stream</w:t>
            </w:r>
          </w:p>
        </w:tc>
      </w:tr>
      <w:tr w:rsidR="007A22FA" w:rsidRPr="007A22FA" w14:paraId="78750532" w14:textId="77777777" w:rsidTr="00BB4743">
        <w:trPr>
          <w:cnfStyle w:val="000000010000" w:firstRow="0" w:lastRow="0" w:firstColumn="0" w:lastColumn="0" w:oddVBand="0" w:evenVBand="0" w:oddHBand="0" w:evenHBand="1" w:firstRowFirstColumn="0" w:firstRowLastColumn="0" w:lastRowFirstColumn="0" w:lastRowLastColumn="0"/>
          <w:trHeight w:val="1249"/>
        </w:trPr>
        <w:tc>
          <w:tcPr>
            <w:tcW w:w="910" w:type="pct"/>
          </w:tcPr>
          <w:p w14:paraId="4A55002A" w14:textId="74B26241" w:rsidR="00AC4AC8" w:rsidRPr="007A22FA" w:rsidRDefault="00AC4AC8" w:rsidP="00AC4AC8">
            <w:pPr>
              <w:pStyle w:val="FFNormal"/>
              <w:rPr>
                <w:color w:val="auto"/>
                <w:sz w:val="20"/>
                <w:szCs w:val="20"/>
                <w:lang w:eastAsia="en-GB"/>
              </w:rPr>
            </w:pPr>
            <w:r w:rsidRPr="007A22FA">
              <w:rPr>
                <w:color w:val="auto"/>
                <w:sz w:val="20"/>
                <w:szCs w:val="20"/>
                <w:lang w:eastAsia="en-GB"/>
              </w:rPr>
              <w:t>Window of opportunity</w:t>
            </w:r>
          </w:p>
        </w:tc>
        <w:tc>
          <w:tcPr>
            <w:tcW w:w="823" w:type="pct"/>
          </w:tcPr>
          <w:p w14:paraId="39F42818" w14:textId="7A705E8E" w:rsidR="00AC4AC8" w:rsidRPr="007A22FA" w:rsidRDefault="00AC4AC8" w:rsidP="00AC4AC8">
            <w:pPr>
              <w:pStyle w:val="FFNormal"/>
              <w:rPr>
                <w:color w:val="auto"/>
                <w:sz w:val="20"/>
                <w:szCs w:val="20"/>
                <w:lang w:eastAsia="en-GB"/>
              </w:rPr>
            </w:pPr>
            <w:r w:rsidRPr="007A22FA">
              <w:rPr>
                <w:color w:val="auto"/>
                <w:sz w:val="20"/>
                <w:szCs w:val="20"/>
                <w:lang w:eastAsia="en-GB"/>
              </w:rPr>
              <w:t xml:space="preserve">May emerge </w:t>
            </w:r>
          </w:p>
        </w:tc>
        <w:tc>
          <w:tcPr>
            <w:tcW w:w="946" w:type="pct"/>
          </w:tcPr>
          <w:p w14:paraId="66B2FC94" w14:textId="066E2469" w:rsidR="00AC4AC8" w:rsidRPr="007A22FA" w:rsidRDefault="00AC4AC8" w:rsidP="00AC4AC8">
            <w:pPr>
              <w:pStyle w:val="FFNormal"/>
              <w:rPr>
                <w:color w:val="auto"/>
                <w:sz w:val="20"/>
                <w:szCs w:val="20"/>
                <w:lang w:eastAsia="en-GB"/>
              </w:rPr>
            </w:pPr>
            <w:r w:rsidRPr="007A22FA">
              <w:rPr>
                <w:color w:val="auto"/>
                <w:sz w:val="20"/>
                <w:szCs w:val="20"/>
                <w:lang w:eastAsia="en-GB"/>
              </w:rPr>
              <w:t xml:space="preserve">Weak </w:t>
            </w:r>
            <w:r w:rsidR="00A161E0" w:rsidRPr="007A22FA">
              <w:rPr>
                <w:color w:val="auto"/>
                <w:sz w:val="20"/>
                <w:szCs w:val="20"/>
                <w:lang w:eastAsia="en-GB"/>
              </w:rPr>
              <w:t>Positive</w:t>
            </w:r>
          </w:p>
        </w:tc>
        <w:tc>
          <w:tcPr>
            <w:tcW w:w="2321" w:type="pct"/>
          </w:tcPr>
          <w:p w14:paraId="7B90AE20" w14:textId="093BCDF4" w:rsidR="00AC4AC8" w:rsidRPr="007A22FA" w:rsidRDefault="00AC4AC8" w:rsidP="00AC4AC8">
            <w:pPr>
              <w:pStyle w:val="FFNormal"/>
              <w:rPr>
                <w:color w:val="auto"/>
                <w:sz w:val="20"/>
                <w:szCs w:val="20"/>
                <w:lang w:eastAsia="en-GB"/>
              </w:rPr>
            </w:pPr>
            <w:r w:rsidRPr="007A22FA">
              <w:rPr>
                <w:color w:val="auto"/>
                <w:sz w:val="20"/>
                <w:szCs w:val="20"/>
                <w:lang w:eastAsia="en-GB"/>
              </w:rPr>
              <w:t xml:space="preserve">Opportunities </w:t>
            </w:r>
            <w:r w:rsidR="006829A9">
              <w:rPr>
                <w:color w:val="auto"/>
                <w:sz w:val="20"/>
                <w:szCs w:val="20"/>
                <w:lang w:eastAsia="en-GB"/>
              </w:rPr>
              <w:t xml:space="preserve">are </w:t>
            </w:r>
            <w:r w:rsidRPr="007A22FA">
              <w:rPr>
                <w:color w:val="auto"/>
                <w:sz w:val="20"/>
                <w:szCs w:val="20"/>
                <w:lang w:eastAsia="en-GB"/>
              </w:rPr>
              <w:t>more likely to emerge if</w:t>
            </w:r>
            <w:r w:rsidR="006829A9">
              <w:rPr>
                <w:color w:val="auto"/>
                <w:sz w:val="20"/>
                <w:szCs w:val="20"/>
                <w:lang w:eastAsia="en-GB"/>
              </w:rPr>
              <w:t xml:space="preserve"> the</w:t>
            </w:r>
            <w:r w:rsidRPr="007A22FA">
              <w:rPr>
                <w:color w:val="auto"/>
                <w:sz w:val="20"/>
                <w:szCs w:val="20"/>
                <w:lang w:eastAsia="en-GB"/>
              </w:rPr>
              <w:t xml:space="preserve"> focus </w:t>
            </w:r>
            <w:r w:rsidR="006802FD" w:rsidRPr="007A22FA">
              <w:rPr>
                <w:color w:val="auto"/>
                <w:sz w:val="20"/>
                <w:szCs w:val="20"/>
                <w:lang w:eastAsia="en-GB"/>
              </w:rPr>
              <w:t xml:space="preserve">is </w:t>
            </w:r>
            <w:r w:rsidRPr="007A22FA">
              <w:rPr>
                <w:color w:val="auto"/>
                <w:sz w:val="20"/>
                <w:szCs w:val="20"/>
                <w:lang w:eastAsia="en-GB"/>
              </w:rPr>
              <w:t xml:space="preserve">on fostering progress </w:t>
            </w:r>
            <w:r w:rsidR="00E5715F" w:rsidRPr="007A22FA">
              <w:rPr>
                <w:color w:val="auto"/>
                <w:sz w:val="20"/>
                <w:szCs w:val="20"/>
                <w:lang w:eastAsia="en-GB"/>
              </w:rPr>
              <w:t xml:space="preserve">in the problem </w:t>
            </w:r>
            <w:r w:rsidR="00CC018F" w:rsidRPr="007A22FA">
              <w:rPr>
                <w:color w:val="auto"/>
                <w:sz w:val="20"/>
                <w:szCs w:val="20"/>
                <w:lang w:eastAsia="en-GB"/>
              </w:rPr>
              <w:t xml:space="preserve">and policy </w:t>
            </w:r>
            <w:r w:rsidR="00E5715F" w:rsidRPr="007A22FA">
              <w:rPr>
                <w:color w:val="auto"/>
                <w:sz w:val="20"/>
                <w:szCs w:val="20"/>
                <w:lang w:eastAsia="en-GB"/>
              </w:rPr>
              <w:t xml:space="preserve">stream </w:t>
            </w:r>
            <w:r w:rsidRPr="007A22FA">
              <w:rPr>
                <w:color w:val="auto"/>
                <w:sz w:val="20"/>
                <w:szCs w:val="20"/>
                <w:lang w:eastAsia="en-GB"/>
              </w:rPr>
              <w:t>and target</w:t>
            </w:r>
            <w:r w:rsidR="006829A9">
              <w:rPr>
                <w:color w:val="auto"/>
                <w:sz w:val="20"/>
                <w:szCs w:val="20"/>
                <w:lang w:eastAsia="en-GB"/>
              </w:rPr>
              <w:t>ing</w:t>
            </w:r>
            <w:r w:rsidRPr="007A22FA">
              <w:rPr>
                <w:color w:val="auto"/>
                <w:sz w:val="20"/>
                <w:szCs w:val="20"/>
                <w:lang w:eastAsia="en-GB"/>
              </w:rPr>
              <w:t xml:space="preserve"> </w:t>
            </w:r>
            <w:r w:rsidR="00CC018F" w:rsidRPr="007A22FA">
              <w:rPr>
                <w:color w:val="auto"/>
                <w:sz w:val="20"/>
                <w:szCs w:val="20"/>
                <w:lang w:eastAsia="en-GB"/>
              </w:rPr>
              <w:t>policy entrepreneurs</w:t>
            </w:r>
            <w:r w:rsidRPr="007A22FA">
              <w:rPr>
                <w:color w:val="auto"/>
                <w:sz w:val="20"/>
                <w:szCs w:val="20"/>
                <w:lang w:eastAsia="en-GB"/>
              </w:rPr>
              <w:t xml:space="preserve"> on </w:t>
            </w:r>
            <w:r w:rsidR="00CC018F" w:rsidRPr="007A22FA">
              <w:rPr>
                <w:color w:val="auto"/>
                <w:sz w:val="20"/>
                <w:szCs w:val="20"/>
                <w:lang w:eastAsia="en-GB"/>
              </w:rPr>
              <w:t xml:space="preserve">the </w:t>
            </w:r>
            <w:r w:rsidRPr="007A22FA">
              <w:rPr>
                <w:color w:val="auto"/>
                <w:sz w:val="20"/>
                <w:szCs w:val="20"/>
                <w:lang w:eastAsia="en-GB"/>
              </w:rPr>
              <w:t>politics</w:t>
            </w:r>
            <w:r w:rsidR="00CC018F" w:rsidRPr="007A22FA">
              <w:rPr>
                <w:color w:val="auto"/>
                <w:sz w:val="20"/>
                <w:szCs w:val="20"/>
                <w:lang w:eastAsia="en-GB"/>
              </w:rPr>
              <w:t xml:space="preserve"> stream</w:t>
            </w:r>
            <w:r w:rsidRPr="007A22FA">
              <w:rPr>
                <w:color w:val="auto"/>
                <w:sz w:val="20"/>
                <w:szCs w:val="20"/>
                <w:lang w:eastAsia="en-GB"/>
              </w:rPr>
              <w:t xml:space="preserve">. Fleming Fund </w:t>
            </w:r>
            <w:r w:rsidR="009E2AC2" w:rsidRPr="007A22FA">
              <w:rPr>
                <w:color w:val="auto"/>
                <w:sz w:val="20"/>
                <w:szCs w:val="20"/>
                <w:lang w:eastAsia="en-GB"/>
              </w:rPr>
              <w:t>phase 2</w:t>
            </w:r>
            <w:r w:rsidRPr="007A22FA">
              <w:rPr>
                <w:color w:val="auto"/>
                <w:sz w:val="20"/>
                <w:szCs w:val="20"/>
                <w:lang w:eastAsia="en-GB"/>
              </w:rPr>
              <w:t xml:space="preserve"> needs to stay responsive </w:t>
            </w:r>
            <w:r w:rsidR="006829A9">
              <w:rPr>
                <w:color w:val="auto"/>
                <w:sz w:val="20"/>
                <w:szCs w:val="20"/>
                <w:lang w:eastAsia="en-GB"/>
              </w:rPr>
              <w:t>to</w:t>
            </w:r>
            <w:r w:rsidR="006829A9" w:rsidRPr="007A22FA">
              <w:rPr>
                <w:color w:val="auto"/>
                <w:sz w:val="20"/>
                <w:szCs w:val="20"/>
                <w:lang w:eastAsia="en-GB"/>
              </w:rPr>
              <w:t xml:space="preserve"> </w:t>
            </w:r>
            <w:r w:rsidRPr="007A22FA">
              <w:rPr>
                <w:color w:val="auto"/>
                <w:sz w:val="20"/>
                <w:szCs w:val="20"/>
                <w:lang w:eastAsia="en-GB"/>
              </w:rPr>
              <w:t xml:space="preserve">country specific opportunities given </w:t>
            </w:r>
            <w:r w:rsidR="006829A9">
              <w:rPr>
                <w:color w:val="auto"/>
                <w:sz w:val="20"/>
                <w:szCs w:val="20"/>
                <w:lang w:eastAsia="en-GB"/>
              </w:rPr>
              <w:t xml:space="preserve">the </w:t>
            </w:r>
            <w:r w:rsidRPr="007A22FA">
              <w:rPr>
                <w:color w:val="auto"/>
                <w:sz w:val="20"/>
                <w:szCs w:val="20"/>
                <w:lang w:eastAsia="en-GB"/>
              </w:rPr>
              <w:t xml:space="preserve">low ability to impact </w:t>
            </w:r>
            <w:r w:rsidR="006802FD" w:rsidRPr="007A22FA">
              <w:rPr>
                <w:color w:val="auto"/>
                <w:sz w:val="20"/>
                <w:szCs w:val="20"/>
                <w:lang w:eastAsia="en-GB"/>
              </w:rPr>
              <w:t>politics</w:t>
            </w:r>
            <w:r w:rsidR="00967580" w:rsidRPr="007A22FA">
              <w:rPr>
                <w:color w:val="auto"/>
                <w:sz w:val="20"/>
                <w:szCs w:val="20"/>
                <w:lang w:eastAsia="en-GB"/>
              </w:rPr>
              <w:t>.</w:t>
            </w:r>
          </w:p>
        </w:tc>
      </w:tr>
    </w:tbl>
    <w:p w14:paraId="5DBC20F3" w14:textId="0C3E5B4D" w:rsidR="00562AC1" w:rsidRDefault="00562AC1" w:rsidP="007F63EF">
      <w:pPr>
        <w:pStyle w:val="FFNormal"/>
        <w:spacing w:before="160"/>
        <w:rPr>
          <w:lang w:eastAsia="en-GB"/>
        </w:rPr>
      </w:pPr>
      <w:bookmarkStart w:id="275" w:name="_Hlk129542379"/>
      <w:bookmarkEnd w:id="272"/>
      <w:r w:rsidRPr="008D4EEF">
        <w:rPr>
          <w:b/>
          <w:bCs/>
          <w:lang w:eastAsia="en-GB"/>
        </w:rPr>
        <w:t xml:space="preserve">Over the course of </w:t>
      </w:r>
      <w:r w:rsidR="009E2AC2">
        <w:rPr>
          <w:b/>
          <w:bCs/>
          <w:lang w:eastAsia="en-GB"/>
        </w:rPr>
        <w:t>phase 1</w:t>
      </w:r>
      <w:r w:rsidRPr="008D4EEF">
        <w:rPr>
          <w:b/>
          <w:bCs/>
          <w:lang w:eastAsia="en-GB"/>
        </w:rPr>
        <w:t xml:space="preserve">, the clearest indication of improved prospects for </w:t>
      </w:r>
      <w:r w:rsidR="006829A9">
        <w:rPr>
          <w:b/>
          <w:bCs/>
          <w:lang w:eastAsia="en-GB"/>
        </w:rPr>
        <w:t xml:space="preserve">the </w:t>
      </w:r>
      <w:r w:rsidRPr="008D4EEF">
        <w:rPr>
          <w:b/>
          <w:bCs/>
          <w:lang w:eastAsia="en-GB"/>
        </w:rPr>
        <w:t xml:space="preserve">AMR agenda prioritisation </w:t>
      </w:r>
      <w:r w:rsidR="006829A9">
        <w:rPr>
          <w:b/>
          <w:bCs/>
          <w:lang w:eastAsia="en-GB"/>
        </w:rPr>
        <w:t>has</w:t>
      </w:r>
      <w:r w:rsidR="006829A9" w:rsidRPr="008D4EEF">
        <w:rPr>
          <w:b/>
          <w:bCs/>
          <w:lang w:eastAsia="en-GB"/>
        </w:rPr>
        <w:t xml:space="preserve"> </w:t>
      </w:r>
      <w:r w:rsidRPr="008D4EEF">
        <w:rPr>
          <w:b/>
          <w:bCs/>
          <w:lang w:eastAsia="en-GB"/>
        </w:rPr>
        <w:t>come in the Policy stream</w:t>
      </w:r>
      <w:r>
        <w:rPr>
          <w:lang w:eastAsia="en-GB"/>
        </w:rPr>
        <w:t xml:space="preserve">, through gradual accumulation of knowledge and perspectives among technical specialists and </w:t>
      </w:r>
      <w:r w:rsidR="006829A9">
        <w:rPr>
          <w:lang w:eastAsia="en-GB"/>
        </w:rPr>
        <w:t xml:space="preserve">the </w:t>
      </w:r>
      <w:r>
        <w:rPr>
          <w:lang w:eastAsia="en-GB"/>
        </w:rPr>
        <w:t xml:space="preserve">generation of policy proposals by said specialists. </w:t>
      </w:r>
      <w:r w:rsidR="51F63AF0" w:rsidRPr="06450652">
        <w:rPr>
          <w:lang w:eastAsia="en-GB"/>
        </w:rPr>
        <w:t xml:space="preserve">The </w:t>
      </w:r>
      <w:r w:rsidR="04CA0ECE" w:rsidRPr="06450652">
        <w:rPr>
          <w:lang w:eastAsia="en-GB"/>
        </w:rPr>
        <w:t>Fleming Fund</w:t>
      </w:r>
      <w:r>
        <w:rPr>
          <w:lang w:eastAsia="en-GB"/>
        </w:rPr>
        <w:t xml:space="preserve"> Professional Fellowship scheme proved especially valuable in developing networks of expertise around national AMR agendas.</w:t>
      </w:r>
      <w:r w:rsidRPr="008D4EEF">
        <w:rPr>
          <w:lang w:eastAsia="en-GB"/>
        </w:rPr>
        <w:t xml:space="preserve"> </w:t>
      </w:r>
    </w:p>
    <w:p w14:paraId="1548FC52" w14:textId="628EE7F8" w:rsidR="00562AC1" w:rsidRDefault="00562AC1" w:rsidP="00562AC1">
      <w:pPr>
        <w:pStyle w:val="FFNormal"/>
        <w:rPr>
          <w:lang w:eastAsia="en-GB"/>
        </w:rPr>
      </w:pPr>
      <w:r w:rsidRPr="008D4EEF">
        <w:rPr>
          <w:b/>
          <w:bCs/>
          <w:lang w:eastAsia="en-GB"/>
        </w:rPr>
        <w:t>It has proved harder to make headway in the Problem stream</w:t>
      </w:r>
      <w:r>
        <w:rPr>
          <w:lang w:eastAsia="en-GB"/>
        </w:rPr>
        <w:t>, establishing clear recognition by senior decision</w:t>
      </w:r>
      <w:r w:rsidR="005A15BD">
        <w:rPr>
          <w:lang w:eastAsia="en-GB"/>
        </w:rPr>
        <w:t xml:space="preserve"> </w:t>
      </w:r>
      <w:r>
        <w:rPr>
          <w:lang w:eastAsia="en-GB"/>
        </w:rPr>
        <w:t xml:space="preserve">makers that AMR constitutes a serious problem that needs addressing urgently. Determined national action has only been taken in countries in which </w:t>
      </w:r>
      <w:r w:rsidR="02A3DABA" w:rsidRPr="06450652">
        <w:rPr>
          <w:lang w:eastAsia="en-GB"/>
        </w:rPr>
        <w:t>KIs</w:t>
      </w:r>
      <w:r>
        <w:rPr>
          <w:lang w:eastAsia="en-GB"/>
        </w:rPr>
        <w:t xml:space="preserve"> reported that national policymakers regard AMR as a serious</w:t>
      </w:r>
      <w:r w:rsidR="00DA6EA8">
        <w:rPr>
          <w:lang w:eastAsia="en-GB"/>
        </w:rPr>
        <w:t xml:space="preserve"> and </w:t>
      </w:r>
      <w:r>
        <w:rPr>
          <w:lang w:eastAsia="en-GB"/>
        </w:rPr>
        <w:t xml:space="preserve">urgent </w:t>
      </w:r>
      <w:r w:rsidRPr="00A70655">
        <w:rPr>
          <w:lang w:eastAsia="en-GB"/>
        </w:rPr>
        <w:t xml:space="preserve">problem </w:t>
      </w:r>
      <w:r w:rsidR="3DE81EDC" w:rsidRPr="00A70655">
        <w:rPr>
          <w:lang w:eastAsia="en-GB"/>
        </w:rPr>
        <w:t>.</w:t>
      </w:r>
      <w:r w:rsidRPr="00A70655">
        <w:rPr>
          <w:lang w:eastAsia="en-GB"/>
        </w:rPr>
        <w:t xml:space="preserve"> One</w:t>
      </w:r>
      <w:r>
        <w:rPr>
          <w:lang w:eastAsia="en-GB"/>
        </w:rPr>
        <w:t xml:space="preserve"> clear issue in this respect has been the </w:t>
      </w:r>
      <w:r w:rsidR="0075181D">
        <w:rPr>
          <w:lang w:eastAsia="en-GB"/>
        </w:rPr>
        <w:t>COVID-</w:t>
      </w:r>
      <w:r>
        <w:rPr>
          <w:lang w:eastAsia="en-GB"/>
        </w:rPr>
        <w:t>19 pandemic since 2020, which has (amongst other influences) tended to diminish the capacity for decision</w:t>
      </w:r>
      <w:r w:rsidR="005A15BD">
        <w:rPr>
          <w:lang w:eastAsia="en-GB"/>
        </w:rPr>
        <w:t xml:space="preserve"> </w:t>
      </w:r>
      <w:r>
        <w:rPr>
          <w:lang w:eastAsia="en-GB"/>
        </w:rPr>
        <w:t xml:space="preserve">makers to devote attention to other issues including AMR (see </w:t>
      </w:r>
      <w:r w:rsidR="00D031D6">
        <w:rPr>
          <w:lang w:eastAsia="en-GB"/>
        </w:rPr>
        <w:fldChar w:fldCharType="begin"/>
      </w:r>
      <w:r w:rsidR="00D031D6">
        <w:rPr>
          <w:lang w:eastAsia="en-GB"/>
        </w:rPr>
        <w:instrText xml:space="preserve"> REF _Ref121249958 \h </w:instrText>
      </w:r>
      <w:r w:rsidR="00D031D6">
        <w:rPr>
          <w:lang w:eastAsia="en-GB"/>
        </w:rPr>
      </w:r>
      <w:r w:rsidR="00D031D6">
        <w:rPr>
          <w:lang w:eastAsia="en-GB"/>
        </w:rPr>
        <w:fldChar w:fldCharType="separate"/>
      </w:r>
      <w:r w:rsidR="009A383C">
        <w:rPr>
          <w:lang w:eastAsia="en-GB"/>
        </w:rPr>
        <w:t xml:space="preserve">Box </w:t>
      </w:r>
      <w:r w:rsidR="009A383C">
        <w:rPr>
          <w:noProof/>
          <w:lang w:eastAsia="en-GB"/>
        </w:rPr>
        <w:t>5</w:t>
      </w:r>
      <w:r w:rsidR="00D031D6">
        <w:rPr>
          <w:lang w:eastAsia="en-GB"/>
        </w:rPr>
        <w:fldChar w:fldCharType="end"/>
      </w:r>
      <w:r w:rsidR="3DE81EDC" w:rsidRPr="06450652">
        <w:rPr>
          <w:lang w:eastAsia="en-GB"/>
        </w:rPr>
        <w:t>).</w:t>
      </w:r>
    </w:p>
    <w:tbl>
      <w:tblPr>
        <w:tblStyle w:val="Itadpulloutboxorange"/>
        <w:tblW w:w="9545" w:type="dxa"/>
        <w:tblLook w:val="04A0" w:firstRow="1" w:lastRow="0" w:firstColumn="1" w:lastColumn="0" w:noHBand="0" w:noVBand="1"/>
      </w:tblPr>
      <w:tblGrid>
        <w:gridCol w:w="9545"/>
      </w:tblGrid>
      <w:tr w:rsidR="00562AC1" w14:paraId="29175408" w14:textId="77777777" w:rsidTr="00BE2AF9">
        <w:trPr>
          <w:trHeight w:val="4259"/>
        </w:trPr>
        <w:tc>
          <w:tcPr>
            <w:tcW w:w="9545" w:type="dxa"/>
          </w:tcPr>
          <w:p w14:paraId="2C049ACD" w14:textId="1549D33F" w:rsidR="00562AC1" w:rsidRDefault="00562AC1" w:rsidP="00285413">
            <w:pPr>
              <w:pStyle w:val="Itadboxnumbers"/>
              <w:framePr w:wrap="around"/>
              <w:numPr>
                <w:ilvl w:val="0"/>
                <w:numId w:val="0"/>
              </w:numPr>
              <w:rPr>
                <w:lang w:eastAsia="en-GB"/>
              </w:rPr>
            </w:pPr>
            <w:bookmarkStart w:id="276" w:name="_Ref121249958"/>
            <w:bookmarkStart w:id="277" w:name="_Ref121249952"/>
            <w:bookmarkStart w:id="278" w:name="_Toc136382662"/>
            <w:bookmarkStart w:id="279" w:name="_Hlk129542492"/>
            <w:bookmarkEnd w:id="275"/>
            <w:r>
              <w:rPr>
                <w:lang w:eastAsia="en-GB"/>
              </w:rPr>
              <w:t xml:space="preserve">Box </w:t>
            </w:r>
            <w:r w:rsidR="00EC771E" w:rsidRPr="06450652">
              <w:rPr>
                <w:lang w:eastAsia="en-GB"/>
              </w:rPr>
              <w:fldChar w:fldCharType="begin"/>
            </w:r>
            <w:r w:rsidR="00EC771E" w:rsidRPr="06450652">
              <w:rPr>
                <w:lang w:eastAsia="en-GB"/>
              </w:rPr>
              <w:instrText xml:space="preserve"> SEQ Box \* ARABIC </w:instrText>
            </w:r>
            <w:r w:rsidR="00EC771E" w:rsidRPr="06450652">
              <w:rPr>
                <w:lang w:eastAsia="en-GB"/>
              </w:rPr>
              <w:fldChar w:fldCharType="separate"/>
            </w:r>
            <w:r w:rsidR="009A383C">
              <w:rPr>
                <w:noProof/>
                <w:lang w:eastAsia="en-GB"/>
              </w:rPr>
              <w:t>5</w:t>
            </w:r>
            <w:r w:rsidR="00EC771E" w:rsidRPr="06450652">
              <w:rPr>
                <w:lang w:eastAsia="en-GB"/>
              </w:rPr>
              <w:fldChar w:fldCharType="end"/>
            </w:r>
            <w:bookmarkEnd w:id="276"/>
            <w:r w:rsidR="2516A048" w:rsidRPr="06450652">
              <w:rPr>
                <w:lang w:eastAsia="en-GB"/>
              </w:rPr>
              <w:t xml:space="preserve"> </w:t>
            </w:r>
            <w:r w:rsidR="0075181D">
              <w:rPr>
                <w:lang w:eastAsia="en-GB"/>
              </w:rPr>
              <w:t>COVID-</w:t>
            </w:r>
            <w:r>
              <w:rPr>
                <w:lang w:eastAsia="en-GB"/>
              </w:rPr>
              <w:t>19 and national AMR agendas, 2020-</w:t>
            </w:r>
            <w:r w:rsidR="684F2E99" w:rsidRPr="06450652">
              <w:rPr>
                <w:lang w:eastAsia="en-GB"/>
              </w:rPr>
              <w:t>22</w:t>
            </w:r>
            <w:bookmarkEnd w:id="277"/>
            <w:bookmarkEnd w:id="278"/>
          </w:p>
          <w:p w14:paraId="4A04204A" w14:textId="5D0710BA" w:rsidR="73559BB6" w:rsidRDefault="73559BB6" w:rsidP="06450652">
            <w:pPr>
              <w:pStyle w:val="FFNormal"/>
              <w:spacing w:after="0"/>
              <w:ind w:left="0" w:right="0"/>
              <w:rPr>
                <w:lang w:eastAsia="en-GB"/>
              </w:rPr>
            </w:pPr>
            <w:r w:rsidRPr="06450652">
              <w:rPr>
                <w:lang w:eastAsia="en-GB"/>
              </w:rPr>
              <w:t xml:space="preserve">The global </w:t>
            </w:r>
            <w:r w:rsidR="0075181D">
              <w:rPr>
                <w:lang w:eastAsia="en-GB"/>
              </w:rPr>
              <w:t>COVID-</w:t>
            </w:r>
            <w:r w:rsidRPr="06450652">
              <w:rPr>
                <w:lang w:eastAsia="en-GB"/>
              </w:rPr>
              <w:t xml:space="preserve">19 pandemic over 2020-22 has had a </w:t>
            </w:r>
            <w:r w:rsidR="10BE16AB" w:rsidRPr="06450652">
              <w:rPr>
                <w:lang w:eastAsia="en-GB"/>
              </w:rPr>
              <w:t xml:space="preserve">significant </w:t>
            </w:r>
            <w:r w:rsidR="3E2A6F3B" w:rsidRPr="06450652">
              <w:rPr>
                <w:lang w:eastAsia="en-GB"/>
              </w:rPr>
              <w:t>impact on the way that AMR is percei</w:t>
            </w:r>
            <w:r w:rsidR="79519FC1" w:rsidRPr="06450652">
              <w:rPr>
                <w:lang w:eastAsia="en-GB"/>
              </w:rPr>
              <w:t>ve</w:t>
            </w:r>
            <w:r w:rsidR="3E2A6F3B" w:rsidRPr="06450652">
              <w:rPr>
                <w:lang w:eastAsia="en-GB"/>
              </w:rPr>
              <w:t xml:space="preserve">d as a problem in </w:t>
            </w:r>
            <w:r w:rsidR="72578DBD" w:rsidRPr="06450652">
              <w:rPr>
                <w:lang w:eastAsia="en-GB"/>
              </w:rPr>
              <w:t xml:space="preserve">the </w:t>
            </w:r>
            <w:r w:rsidR="3E2A6F3B" w:rsidRPr="06450652">
              <w:rPr>
                <w:lang w:eastAsia="en-GB"/>
              </w:rPr>
              <w:t>national policy agendas</w:t>
            </w:r>
            <w:r w:rsidR="0996E41E" w:rsidRPr="06450652">
              <w:rPr>
                <w:lang w:eastAsia="en-GB"/>
              </w:rPr>
              <w:t xml:space="preserve"> </w:t>
            </w:r>
            <w:r w:rsidR="0D5BB166" w:rsidRPr="06450652">
              <w:rPr>
                <w:lang w:eastAsia="en-GB"/>
              </w:rPr>
              <w:t xml:space="preserve">of Fleming Fund countries. </w:t>
            </w:r>
            <w:r w:rsidR="513A50D3" w:rsidRPr="06450652">
              <w:rPr>
                <w:lang w:eastAsia="en-GB"/>
              </w:rPr>
              <w:t>Literature review</w:t>
            </w:r>
            <w:r w:rsidR="00BE2AF9">
              <w:rPr>
                <w:lang w:eastAsia="en-GB"/>
              </w:rPr>
              <w:t>s</w:t>
            </w:r>
            <w:r w:rsidR="513A50D3" w:rsidRPr="06450652">
              <w:rPr>
                <w:lang w:eastAsia="en-GB"/>
              </w:rPr>
              <w:t xml:space="preserve"> and KII conversations with stakeholders indicated different kinds of effects within the subcomponents of the ‘Problem’ stream in MSA. </w:t>
            </w:r>
          </w:p>
          <w:p w14:paraId="1A0854EA" w14:textId="202E4455" w:rsidR="06450652" w:rsidRDefault="06450652" w:rsidP="06450652">
            <w:pPr>
              <w:pStyle w:val="FFNormal"/>
              <w:spacing w:after="0"/>
              <w:ind w:left="0" w:right="0"/>
              <w:rPr>
                <w:lang w:eastAsia="en-GB"/>
              </w:rPr>
            </w:pPr>
          </w:p>
          <w:p w14:paraId="67155B8C" w14:textId="317DA770" w:rsidR="513A50D3" w:rsidRDefault="513A50D3" w:rsidP="06450652">
            <w:pPr>
              <w:pStyle w:val="FFNormal"/>
              <w:spacing w:after="0"/>
              <w:ind w:left="0" w:right="0"/>
              <w:rPr>
                <w:lang w:eastAsia="en-GB"/>
              </w:rPr>
            </w:pPr>
            <w:r w:rsidRPr="06450652">
              <w:rPr>
                <w:lang w:eastAsia="en-GB"/>
              </w:rPr>
              <w:t xml:space="preserve">The strongest effect tended to undermine perceptions of AMR as a serious and urgent policy problem. </w:t>
            </w:r>
            <w:r w:rsidR="7B756413" w:rsidRPr="06450652">
              <w:rPr>
                <w:lang w:eastAsia="en-GB"/>
              </w:rPr>
              <w:t xml:space="preserve">The ‘Load’ subcomponent of the MSA Problem stream refers to the capacity of institutions to deal with problems; if policymakers are dealing with all-consuming or numerous problems, then a new problem’s ability to nudge its way into the purview of policymakers is negligible. </w:t>
            </w:r>
            <w:r w:rsidR="0075181D">
              <w:rPr>
                <w:lang w:eastAsia="en-GB"/>
              </w:rPr>
              <w:t>COVID-</w:t>
            </w:r>
            <w:r w:rsidR="7B756413" w:rsidRPr="06450652">
              <w:rPr>
                <w:lang w:eastAsia="en-GB"/>
              </w:rPr>
              <w:t xml:space="preserve">19 certainly </w:t>
            </w:r>
            <w:r w:rsidR="7D2F6E1A" w:rsidRPr="06450652">
              <w:rPr>
                <w:lang w:eastAsia="en-GB"/>
              </w:rPr>
              <w:t xml:space="preserve">challenged the AMR agenda in many countries from a Load perspective. </w:t>
            </w:r>
            <w:r w:rsidR="06525B0D" w:rsidRPr="06450652">
              <w:rPr>
                <w:lang w:eastAsia="en-GB"/>
              </w:rPr>
              <w:t xml:space="preserve">Policymakers were understandably distracted with developing responses to the immediate threat, and officials were preoccupied </w:t>
            </w:r>
            <w:r w:rsidR="38AE4598" w:rsidRPr="06450652">
              <w:rPr>
                <w:lang w:eastAsia="en-GB"/>
              </w:rPr>
              <w:t xml:space="preserve">with service provision and regulatory measures. </w:t>
            </w:r>
            <w:r w:rsidR="6EB3608C" w:rsidRPr="06450652">
              <w:rPr>
                <w:lang w:eastAsia="en-GB"/>
              </w:rPr>
              <w:t xml:space="preserve">There were priority claims on public health budgets and in many places AMR initiatives </w:t>
            </w:r>
            <w:r w:rsidR="128D1C99" w:rsidRPr="06450652">
              <w:rPr>
                <w:lang w:eastAsia="en-GB"/>
              </w:rPr>
              <w:t xml:space="preserve">and </w:t>
            </w:r>
            <w:r w:rsidR="6EB3608C" w:rsidRPr="06450652">
              <w:rPr>
                <w:lang w:eastAsia="en-GB"/>
              </w:rPr>
              <w:t xml:space="preserve">meetings were deferred </w:t>
            </w:r>
            <w:r w:rsidR="3E869E7D" w:rsidRPr="06450652">
              <w:rPr>
                <w:lang w:eastAsia="en-GB"/>
              </w:rPr>
              <w:t xml:space="preserve">or directed to seek ways to contribute to the </w:t>
            </w:r>
            <w:r w:rsidR="0075181D">
              <w:rPr>
                <w:lang w:eastAsia="en-GB"/>
              </w:rPr>
              <w:t>COVID-</w:t>
            </w:r>
            <w:r w:rsidR="3E869E7D" w:rsidRPr="06450652">
              <w:rPr>
                <w:lang w:eastAsia="en-GB"/>
              </w:rPr>
              <w:t xml:space="preserve">19 response. </w:t>
            </w:r>
            <w:r w:rsidR="0075181D">
              <w:rPr>
                <w:lang w:eastAsia="en-GB"/>
              </w:rPr>
              <w:t>COVID-</w:t>
            </w:r>
            <w:r w:rsidR="3E869E7D" w:rsidRPr="06450652">
              <w:rPr>
                <w:lang w:eastAsia="en-GB"/>
              </w:rPr>
              <w:t xml:space="preserve">19's prominence as an issue over 2020-22 </w:t>
            </w:r>
            <w:r w:rsidR="40769F72" w:rsidRPr="06450652">
              <w:rPr>
                <w:lang w:eastAsia="en-GB"/>
              </w:rPr>
              <w:t>made it difficult for other public health issues like AMR to claim attention.</w:t>
            </w:r>
          </w:p>
          <w:p w14:paraId="5FD1544F" w14:textId="0CB5D966" w:rsidR="06450652" w:rsidRDefault="06450652" w:rsidP="06450652">
            <w:pPr>
              <w:pStyle w:val="FFNormal"/>
              <w:spacing w:after="0"/>
              <w:ind w:left="0" w:right="0"/>
              <w:rPr>
                <w:lang w:eastAsia="en-GB"/>
              </w:rPr>
            </w:pPr>
          </w:p>
          <w:p w14:paraId="13E4BA17" w14:textId="4F414016" w:rsidR="64505B7E" w:rsidRDefault="64505B7E" w:rsidP="06450652">
            <w:pPr>
              <w:pStyle w:val="FFNormal"/>
              <w:spacing w:after="0"/>
              <w:ind w:left="0" w:right="0"/>
              <w:rPr>
                <w:lang w:eastAsia="en-GB"/>
              </w:rPr>
            </w:pPr>
            <w:r w:rsidRPr="06450652">
              <w:rPr>
                <w:lang w:eastAsia="en-GB"/>
              </w:rPr>
              <w:t xml:space="preserve">But there were also other ways, although </w:t>
            </w:r>
            <w:r w:rsidR="04121E78" w:rsidRPr="06450652">
              <w:rPr>
                <w:lang w:eastAsia="en-GB"/>
              </w:rPr>
              <w:t xml:space="preserve">fainter and less consistent across countries, in which </w:t>
            </w:r>
            <w:r w:rsidR="0075181D">
              <w:rPr>
                <w:lang w:eastAsia="en-GB"/>
              </w:rPr>
              <w:t>COVID-</w:t>
            </w:r>
            <w:r w:rsidR="04121E78" w:rsidRPr="06450652">
              <w:rPr>
                <w:lang w:eastAsia="en-GB"/>
              </w:rPr>
              <w:t xml:space="preserve">19 was reported to have strengthened the position of MSA in policy agendas. </w:t>
            </w:r>
            <w:r w:rsidR="46CEFCBC" w:rsidRPr="06450652">
              <w:rPr>
                <w:lang w:eastAsia="en-GB"/>
              </w:rPr>
              <w:t xml:space="preserve">The ‘Indicators’ subcomponent of the MSA Problem stream </w:t>
            </w:r>
            <w:r w:rsidR="2B180929" w:rsidRPr="06450652">
              <w:rPr>
                <w:lang w:eastAsia="en-GB"/>
              </w:rPr>
              <w:t>speaks to the way in which</w:t>
            </w:r>
            <w:r w:rsidR="46CEFCBC" w:rsidRPr="06450652">
              <w:rPr>
                <w:lang w:eastAsia="en-GB"/>
              </w:rPr>
              <w:t xml:space="preserve"> actors identify and monitor potential problems, including metrics measuring the relative severity of a given problem. </w:t>
            </w:r>
            <w:r w:rsidR="3A1E69CA" w:rsidRPr="06450652">
              <w:rPr>
                <w:lang w:eastAsia="en-GB"/>
              </w:rPr>
              <w:t xml:space="preserve">In some cases, stakeholders suggested that </w:t>
            </w:r>
            <w:r w:rsidR="00A82DFF">
              <w:rPr>
                <w:lang w:eastAsia="en-GB"/>
              </w:rPr>
              <w:t xml:space="preserve">the </w:t>
            </w:r>
            <w:r w:rsidR="3A1E69CA" w:rsidRPr="06450652">
              <w:rPr>
                <w:lang w:eastAsia="en-GB"/>
              </w:rPr>
              <w:t xml:space="preserve">recent experience with </w:t>
            </w:r>
            <w:r w:rsidR="0075181D">
              <w:rPr>
                <w:lang w:eastAsia="en-GB"/>
              </w:rPr>
              <w:t>COVID-</w:t>
            </w:r>
            <w:r w:rsidR="3A1E69CA" w:rsidRPr="06450652">
              <w:rPr>
                <w:lang w:eastAsia="en-GB"/>
              </w:rPr>
              <w:t>19 had helped reinforce awareness and regard for the seriousness of public health issues in policymakers’ minds generally</w:t>
            </w:r>
            <w:r w:rsidR="050C49A2" w:rsidRPr="06450652">
              <w:rPr>
                <w:lang w:eastAsia="en-GB"/>
              </w:rPr>
              <w:t xml:space="preserve">, making it easier to draw attention to AMR. </w:t>
            </w:r>
            <w:r w:rsidR="1A264920" w:rsidRPr="06450652">
              <w:rPr>
                <w:lang w:eastAsia="en-GB"/>
              </w:rPr>
              <w:t>The ‘</w:t>
            </w:r>
            <w:r w:rsidR="46CEFCBC" w:rsidRPr="06450652">
              <w:rPr>
                <w:lang w:eastAsia="en-GB"/>
              </w:rPr>
              <w:t>Feedback</w:t>
            </w:r>
            <w:r w:rsidR="0273EE30" w:rsidRPr="06450652">
              <w:rPr>
                <w:lang w:eastAsia="en-GB"/>
              </w:rPr>
              <w:t xml:space="preserve">’ </w:t>
            </w:r>
            <w:r w:rsidR="53047152" w:rsidRPr="06450652">
              <w:rPr>
                <w:lang w:eastAsia="en-GB"/>
              </w:rPr>
              <w:t>subcomponent</w:t>
            </w:r>
            <w:r w:rsidR="46CEFCBC" w:rsidRPr="06450652">
              <w:rPr>
                <w:lang w:eastAsia="en-GB"/>
              </w:rPr>
              <w:t xml:space="preserve">, similar conceptually to </w:t>
            </w:r>
            <w:r w:rsidR="39CE5051" w:rsidRPr="06450652">
              <w:rPr>
                <w:lang w:eastAsia="en-GB"/>
              </w:rPr>
              <w:t>I</w:t>
            </w:r>
            <w:r w:rsidR="46CEFCBC" w:rsidRPr="06450652">
              <w:rPr>
                <w:lang w:eastAsia="en-GB"/>
              </w:rPr>
              <w:t xml:space="preserve">ndicators, </w:t>
            </w:r>
            <w:r w:rsidR="6714F1D7" w:rsidRPr="06450652">
              <w:rPr>
                <w:lang w:eastAsia="en-GB"/>
              </w:rPr>
              <w:t xml:space="preserve">accounts for </w:t>
            </w:r>
            <w:r w:rsidR="46CEFCBC" w:rsidRPr="06450652">
              <w:rPr>
                <w:lang w:eastAsia="en-GB"/>
              </w:rPr>
              <w:t>information provided by analogous programmes related to the problem of interest</w:t>
            </w:r>
            <w:r w:rsidR="6AE8EEB8" w:rsidRPr="06450652">
              <w:rPr>
                <w:lang w:eastAsia="en-GB"/>
              </w:rPr>
              <w:t>; b</w:t>
            </w:r>
            <w:r w:rsidR="46CEFCBC" w:rsidRPr="06450652">
              <w:rPr>
                <w:lang w:eastAsia="en-GB"/>
              </w:rPr>
              <w:t>asically, evidence from addressing one policy problem strongly flags problems in another area.</w:t>
            </w:r>
            <w:r w:rsidR="04121E78" w:rsidRPr="06450652">
              <w:rPr>
                <w:lang w:eastAsia="en-GB"/>
              </w:rPr>
              <w:t xml:space="preserve"> </w:t>
            </w:r>
            <w:r w:rsidR="227F6F4A" w:rsidRPr="06450652">
              <w:rPr>
                <w:lang w:eastAsia="en-GB"/>
              </w:rPr>
              <w:t>In some countries, increased attention to Infection Prevention and Control (IPC) and also to Global Health Security (GHS)</w:t>
            </w:r>
            <w:r w:rsidR="6FA682FA" w:rsidRPr="06450652">
              <w:rPr>
                <w:lang w:eastAsia="en-GB"/>
              </w:rPr>
              <w:t xml:space="preserve"> as a result of the </w:t>
            </w:r>
            <w:r w:rsidR="0075181D">
              <w:rPr>
                <w:lang w:eastAsia="en-GB"/>
              </w:rPr>
              <w:t>COVID-</w:t>
            </w:r>
            <w:r w:rsidR="6FA682FA" w:rsidRPr="06450652">
              <w:rPr>
                <w:lang w:eastAsia="en-GB"/>
              </w:rPr>
              <w:t>19 pandemic</w:t>
            </w:r>
            <w:r w:rsidR="00A82DFF" w:rsidRPr="06450652">
              <w:rPr>
                <w:lang w:eastAsia="en-GB"/>
              </w:rPr>
              <w:t xml:space="preserve"> experience</w:t>
            </w:r>
            <w:r w:rsidR="227F6F4A" w:rsidRPr="06450652">
              <w:rPr>
                <w:lang w:eastAsia="en-GB"/>
              </w:rPr>
              <w:t xml:space="preserve"> </w:t>
            </w:r>
            <w:r w:rsidR="00065D90">
              <w:rPr>
                <w:lang w:eastAsia="en-GB"/>
              </w:rPr>
              <w:t>was</w:t>
            </w:r>
            <w:r w:rsidR="00065D90" w:rsidRPr="06450652">
              <w:rPr>
                <w:lang w:eastAsia="en-GB"/>
              </w:rPr>
              <w:t xml:space="preserve"> </w:t>
            </w:r>
            <w:r w:rsidR="227F6F4A" w:rsidRPr="06450652">
              <w:rPr>
                <w:lang w:eastAsia="en-GB"/>
              </w:rPr>
              <w:t xml:space="preserve">reported </w:t>
            </w:r>
            <w:r w:rsidR="3BEBA0CA" w:rsidRPr="06450652">
              <w:rPr>
                <w:lang w:eastAsia="en-GB"/>
              </w:rPr>
              <w:t>to ha</w:t>
            </w:r>
            <w:r w:rsidR="46DD5D78" w:rsidRPr="06450652">
              <w:rPr>
                <w:lang w:eastAsia="en-GB"/>
              </w:rPr>
              <w:t>ve created opportunities for AMR policy by association because of shared concerns.</w:t>
            </w:r>
          </w:p>
          <w:p w14:paraId="144E5961" w14:textId="21121EC6" w:rsidR="00562AC1" w:rsidRDefault="00EC771E">
            <w:pPr>
              <w:pStyle w:val="FFNormal"/>
              <w:rPr>
                <w:lang w:eastAsia="en-GB"/>
              </w:rPr>
            </w:pPr>
            <w:r>
              <w:br/>
            </w:r>
            <w:r w:rsidR="10A8BC8F" w:rsidRPr="06450652">
              <w:rPr>
                <w:lang w:eastAsia="en-GB"/>
              </w:rPr>
              <w:t>So m</w:t>
            </w:r>
            <w:r w:rsidR="3DE81EDC" w:rsidRPr="06450652">
              <w:rPr>
                <w:lang w:eastAsia="en-GB"/>
              </w:rPr>
              <w:t>ost</w:t>
            </w:r>
            <w:r w:rsidR="00562AC1">
              <w:rPr>
                <w:lang w:eastAsia="en-GB"/>
              </w:rPr>
              <w:t xml:space="preserve"> countries cited </w:t>
            </w:r>
            <w:r w:rsidR="0075181D">
              <w:rPr>
                <w:lang w:eastAsia="en-GB"/>
              </w:rPr>
              <w:t>COVID-</w:t>
            </w:r>
            <w:r w:rsidR="00562AC1">
              <w:rPr>
                <w:lang w:eastAsia="en-GB"/>
              </w:rPr>
              <w:t>19 as a factor impeding progress with the AMR agenda, consistent with TrACSS 2021 reporting that the pandemic has had negative administrative and operational impacts.</w:t>
            </w:r>
          </w:p>
          <w:p w14:paraId="300E2111" w14:textId="15445ECA" w:rsidR="00562AC1" w:rsidRDefault="00562AC1">
            <w:pPr>
              <w:pStyle w:val="FFNormal"/>
              <w:rPr>
                <w:lang w:eastAsia="en-GB"/>
              </w:rPr>
            </w:pPr>
            <w:r>
              <w:rPr>
                <w:lang w:eastAsia="en-GB"/>
              </w:rPr>
              <w:t>However</w:t>
            </w:r>
            <w:r w:rsidR="00065D90">
              <w:rPr>
                <w:lang w:eastAsia="en-GB"/>
              </w:rPr>
              <w:t>,</w:t>
            </w:r>
            <w:r>
              <w:rPr>
                <w:lang w:eastAsia="en-GB"/>
              </w:rPr>
              <w:t xml:space="preserve"> </w:t>
            </w:r>
            <w:r w:rsidR="00892E27">
              <w:rPr>
                <w:lang w:eastAsia="en-GB"/>
              </w:rPr>
              <w:t>KIs</w:t>
            </w:r>
            <w:r>
              <w:rPr>
                <w:lang w:eastAsia="en-GB"/>
              </w:rPr>
              <w:t xml:space="preserve"> also commonly reported that </w:t>
            </w:r>
            <w:r w:rsidR="0075181D">
              <w:rPr>
                <w:lang w:eastAsia="en-GB"/>
              </w:rPr>
              <w:t>COVID-</w:t>
            </w:r>
            <w:r>
              <w:rPr>
                <w:lang w:eastAsia="en-GB"/>
              </w:rPr>
              <w:t>19 has tended to raise general awareness of the importance of taking public health threats seriously. Increased attention to IPC was cited as a positive opportunity for national AMR agendas going forward. Associated policy initiatives in dimensions such as health security were said to tend to reinforce AMR governance structures in some countries.</w:t>
            </w:r>
          </w:p>
        </w:tc>
      </w:tr>
      <w:bookmarkEnd w:id="279"/>
    </w:tbl>
    <w:p w14:paraId="2AFFBFA6" w14:textId="77777777" w:rsidR="00BE2AF9" w:rsidRDefault="00BE2AF9" w:rsidP="06450652">
      <w:pPr>
        <w:pStyle w:val="FFNormal"/>
        <w:rPr>
          <w:b/>
          <w:bCs/>
          <w:lang w:eastAsia="en-GB"/>
        </w:rPr>
      </w:pPr>
    </w:p>
    <w:p w14:paraId="1AA363E4" w14:textId="77777777" w:rsidR="00A82DFF" w:rsidRDefault="00A82DFF" w:rsidP="06450652">
      <w:pPr>
        <w:pStyle w:val="FFNormal"/>
        <w:rPr>
          <w:b/>
          <w:bCs/>
          <w:lang w:eastAsia="en-GB"/>
        </w:rPr>
      </w:pPr>
    </w:p>
    <w:p w14:paraId="49F1ED3A" w14:textId="0304DED9" w:rsidR="00AE14D5" w:rsidRDefault="00562AC1" w:rsidP="06450652">
      <w:pPr>
        <w:pStyle w:val="FFNormal"/>
        <w:rPr>
          <w:lang w:eastAsia="en-GB"/>
        </w:rPr>
      </w:pPr>
      <w:bookmarkStart w:id="280" w:name="_Hlk129542950"/>
      <w:r w:rsidRPr="00EF0569">
        <w:rPr>
          <w:b/>
          <w:bCs/>
          <w:lang w:eastAsia="en-GB"/>
        </w:rPr>
        <w:t>Above all</w:t>
      </w:r>
      <w:r w:rsidR="00BE1381">
        <w:rPr>
          <w:b/>
          <w:bCs/>
          <w:lang w:eastAsia="en-GB"/>
        </w:rPr>
        <w:t>,</w:t>
      </w:r>
      <w:r w:rsidRPr="00EF0569">
        <w:rPr>
          <w:b/>
          <w:bCs/>
          <w:lang w:eastAsia="en-GB"/>
        </w:rPr>
        <w:t xml:space="preserve"> there is no clear sign of any headway in the Politics stream in any country</w:t>
      </w:r>
      <w:r>
        <w:rPr>
          <w:lang w:eastAsia="en-GB"/>
        </w:rPr>
        <w:t xml:space="preserve">, with a lack of mainstream public demands for government action on AMR and persistent ‘balance of interest’ issues involving important but </w:t>
      </w:r>
      <w:r w:rsidR="00B9260B">
        <w:rPr>
          <w:lang w:eastAsia="en-GB"/>
        </w:rPr>
        <w:t>poorly understood</w:t>
      </w:r>
      <w:r>
        <w:rPr>
          <w:lang w:eastAsia="en-GB"/>
        </w:rPr>
        <w:t xml:space="preserve"> factors such as the imperative of concentrating on improved access to high-quality medicines and effective treatment, plus powerful incentives to prefer nutrition (vs food safety) or economic objectives (vs regulatory burden). </w:t>
      </w:r>
      <w:r w:rsidR="79394803">
        <w:rPr>
          <w:lang w:eastAsia="en-GB"/>
        </w:rPr>
        <w:t xml:space="preserve">These are issues firmly </w:t>
      </w:r>
      <w:r>
        <w:rPr>
          <w:lang w:eastAsia="en-GB"/>
        </w:rPr>
        <w:t xml:space="preserve">outside </w:t>
      </w:r>
      <w:r w:rsidR="79394803">
        <w:rPr>
          <w:lang w:eastAsia="en-GB"/>
        </w:rPr>
        <w:t>of Fleming Fund’s</w:t>
      </w:r>
      <w:r>
        <w:rPr>
          <w:lang w:eastAsia="en-GB"/>
        </w:rPr>
        <w:t xml:space="preserve"> control</w:t>
      </w:r>
      <w:r w:rsidR="79394803">
        <w:rPr>
          <w:lang w:eastAsia="en-GB"/>
        </w:rPr>
        <w:t xml:space="preserve">, not least as a programme </w:t>
      </w:r>
      <w:r w:rsidR="00BE1381">
        <w:rPr>
          <w:lang w:eastAsia="en-GB"/>
        </w:rPr>
        <w:t xml:space="preserve">that </w:t>
      </w:r>
      <w:r w:rsidR="79394803">
        <w:rPr>
          <w:lang w:eastAsia="en-GB"/>
        </w:rPr>
        <w:t>emphasises country ownership principles in its theory of change. However p</w:t>
      </w:r>
      <w:r w:rsidR="37DE2D35">
        <w:rPr>
          <w:lang w:eastAsia="en-GB"/>
        </w:rPr>
        <w:t>olitical change is still</w:t>
      </w:r>
      <w:r>
        <w:rPr>
          <w:lang w:eastAsia="en-GB"/>
        </w:rPr>
        <w:t xml:space="preserve"> relevant </w:t>
      </w:r>
      <w:r w:rsidR="37DE2D35">
        <w:rPr>
          <w:lang w:eastAsia="en-GB"/>
        </w:rPr>
        <w:t>to programme implementation as a contextual dimension in which opportunities or constraints arise.</w:t>
      </w:r>
      <w:r>
        <w:rPr>
          <w:b/>
          <w:bCs/>
          <w:lang w:eastAsia="en-GB"/>
        </w:rPr>
        <w:br/>
      </w:r>
      <w:r>
        <w:rPr>
          <w:lang w:eastAsia="en-GB"/>
        </w:rPr>
        <w:br/>
      </w:r>
      <w:r w:rsidRPr="003C75A4">
        <w:rPr>
          <w:b/>
          <w:bCs/>
          <w:lang w:eastAsia="en-GB"/>
        </w:rPr>
        <w:t>This is not unexpected when it comes to</w:t>
      </w:r>
      <w:r w:rsidR="00A82DFF">
        <w:rPr>
          <w:b/>
          <w:bCs/>
          <w:lang w:eastAsia="en-GB"/>
        </w:rPr>
        <w:t xml:space="preserve"> the</w:t>
      </w:r>
      <w:r w:rsidRPr="003C75A4">
        <w:rPr>
          <w:b/>
          <w:bCs/>
          <w:lang w:eastAsia="en-GB"/>
        </w:rPr>
        <w:t xml:space="preserve"> broader experience with agenda setting.</w:t>
      </w:r>
      <w:r>
        <w:rPr>
          <w:lang w:eastAsia="en-GB"/>
        </w:rPr>
        <w:t xml:space="preserve"> To date, the Fleming Fund has not focused on establishing the full range of conditions that are necessary and sufficient for </w:t>
      </w:r>
      <w:r w:rsidR="00406F8C">
        <w:rPr>
          <w:lang w:eastAsia="en-GB"/>
        </w:rPr>
        <w:t xml:space="preserve">the </w:t>
      </w:r>
      <w:r>
        <w:rPr>
          <w:lang w:eastAsia="en-GB"/>
        </w:rPr>
        <w:t xml:space="preserve">use of AMR surveillance data or verifying whether these conditions are in place, primarily because it has emphasised </w:t>
      </w:r>
      <w:r w:rsidR="00BE1381">
        <w:rPr>
          <w:lang w:eastAsia="en-GB"/>
        </w:rPr>
        <w:t xml:space="preserve">the </w:t>
      </w:r>
      <w:r>
        <w:rPr>
          <w:lang w:eastAsia="en-GB"/>
        </w:rPr>
        <w:t>production of the data during this phase of the Fleming Fund.</w:t>
      </w:r>
    </w:p>
    <w:p w14:paraId="3760F116" w14:textId="04252FE6" w:rsidR="00AE14D5" w:rsidRDefault="003714DA" w:rsidP="06450652">
      <w:pPr>
        <w:pStyle w:val="ItadH2"/>
      </w:pPr>
      <w:bookmarkStart w:id="281" w:name="_Toc142383184"/>
      <w:r>
        <w:t xml:space="preserve">9.3 </w:t>
      </w:r>
      <w:r w:rsidR="18446ECD">
        <w:t>Examples of Use at facility level</w:t>
      </w:r>
      <w:bookmarkEnd w:id="281"/>
    </w:p>
    <w:p w14:paraId="268E35B7" w14:textId="248242E5" w:rsidR="00AE14D5" w:rsidRDefault="18446ECD" w:rsidP="06450652">
      <w:pPr>
        <w:spacing w:after="120"/>
        <w:rPr>
          <w:rFonts w:eastAsia="Times New Roman" w:cs="Calibri"/>
          <w:color w:val="000000"/>
          <w:lang w:eastAsia="en-GB"/>
        </w:rPr>
      </w:pPr>
      <w:r w:rsidRPr="06450652">
        <w:rPr>
          <w:rFonts w:eastAsia="Times New Roman" w:cs="Calibri"/>
          <w:b/>
          <w:bCs/>
          <w:color w:val="000000"/>
          <w:lang w:eastAsia="en-GB"/>
        </w:rPr>
        <w:t>The potential for and significance of data use change</w:t>
      </w:r>
      <w:r w:rsidR="00A82DFF">
        <w:rPr>
          <w:rFonts w:eastAsia="Times New Roman" w:cs="Calibri"/>
          <w:b/>
          <w:bCs/>
          <w:color w:val="000000"/>
          <w:lang w:eastAsia="en-GB"/>
        </w:rPr>
        <w:t>s</w:t>
      </w:r>
      <w:r w:rsidRPr="06450652">
        <w:rPr>
          <w:rFonts w:eastAsia="Times New Roman" w:cs="Calibri"/>
          <w:b/>
          <w:bCs/>
          <w:color w:val="000000"/>
          <w:lang w:eastAsia="en-GB"/>
        </w:rPr>
        <w:t xml:space="preserve"> at the facility level has grown over </w:t>
      </w:r>
      <w:r w:rsidR="009E2AC2">
        <w:rPr>
          <w:rFonts w:eastAsia="Times New Roman" w:cs="Calibri"/>
          <w:b/>
          <w:bCs/>
          <w:color w:val="000000"/>
          <w:lang w:eastAsia="en-GB"/>
        </w:rPr>
        <w:t>phase 1</w:t>
      </w:r>
      <w:r w:rsidRPr="06450652">
        <w:rPr>
          <w:rFonts w:eastAsia="Times New Roman" w:cs="Calibri"/>
          <w:b/>
          <w:bCs/>
          <w:color w:val="000000"/>
          <w:lang w:eastAsia="en-GB"/>
        </w:rPr>
        <w:t xml:space="preserve">. </w:t>
      </w:r>
      <w:r w:rsidRPr="06450652">
        <w:rPr>
          <w:rFonts w:eastAsia="Times New Roman" w:cs="Calibri"/>
          <w:color w:val="000000"/>
          <w:lang w:eastAsia="en-GB"/>
        </w:rPr>
        <w:t xml:space="preserve">Over the course of </w:t>
      </w:r>
      <w:r w:rsidR="009E2AC2">
        <w:rPr>
          <w:rFonts w:eastAsia="Times New Roman" w:cs="Calibri"/>
          <w:color w:val="000000"/>
          <w:lang w:eastAsia="en-GB"/>
        </w:rPr>
        <w:t>phase 1</w:t>
      </w:r>
      <w:r w:rsidRPr="06450652">
        <w:rPr>
          <w:rFonts w:eastAsia="Times New Roman" w:cs="Calibri"/>
          <w:color w:val="000000"/>
          <w:lang w:eastAsia="en-GB"/>
        </w:rPr>
        <w:t xml:space="preserve">, there has been increased Fleming Fund attention to the potential to develop </w:t>
      </w:r>
      <w:r w:rsidR="00BE1381">
        <w:rPr>
          <w:rFonts w:eastAsia="Times New Roman" w:cs="Calibri"/>
          <w:color w:val="000000"/>
          <w:lang w:eastAsia="en-GB"/>
        </w:rPr>
        <w:t xml:space="preserve">a </w:t>
      </w:r>
      <w:r w:rsidRPr="06450652">
        <w:rPr>
          <w:rFonts w:eastAsia="Times New Roman" w:cs="Calibri"/>
          <w:color w:val="000000"/>
          <w:lang w:eastAsia="en-GB"/>
        </w:rPr>
        <w:t>local</w:t>
      </w:r>
      <w:r w:rsidR="00A82DFF">
        <w:rPr>
          <w:rFonts w:eastAsia="Times New Roman" w:cs="Calibri"/>
          <w:color w:val="000000"/>
          <w:lang w:eastAsia="en-GB"/>
        </w:rPr>
        <w:t xml:space="preserve"> or </w:t>
      </w:r>
      <w:r w:rsidRPr="06450652">
        <w:rPr>
          <w:rFonts w:eastAsia="Times New Roman" w:cs="Calibri"/>
          <w:color w:val="000000"/>
          <w:lang w:eastAsia="en-GB"/>
        </w:rPr>
        <w:t>facility-based change in parallel or as an alternative to national action. As part of data gathering for this summative evaluation, country stakeholders including</w:t>
      </w:r>
      <w:r w:rsidR="00A82DFF">
        <w:rPr>
          <w:rFonts w:eastAsia="Times New Roman" w:cs="Calibri"/>
          <w:color w:val="000000"/>
          <w:lang w:eastAsia="en-GB"/>
        </w:rPr>
        <w:t xml:space="preserve"> the</w:t>
      </w:r>
      <w:r w:rsidRPr="06450652">
        <w:rPr>
          <w:rFonts w:eastAsia="Times New Roman" w:cs="Calibri"/>
          <w:color w:val="000000"/>
          <w:lang w:eastAsia="en-GB"/>
        </w:rPr>
        <w:t xml:space="preserve"> MA, CG, Fellows, counterparts and </w:t>
      </w:r>
      <w:r w:rsidR="00290E4A">
        <w:rPr>
          <w:rFonts w:eastAsia="Times New Roman" w:cs="Calibri"/>
          <w:color w:val="000000"/>
          <w:lang w:eastAsia="en-GB"/>
        </w:rPr>
        <w:t xml:space="preserve">laboratory </w:t>
      </w:r>
      <w:r w:rsidRPr="06450652">
        <w:rPr>
          <w:rFonts w:eastAsia="Times New Roman" w:cs="Calibri"/>
          <w:color w:val="000000"/>
          <w:lang w:eastAsia="en-GB"/>
        </w:rPr>
        <w:t>visit contacts were encouraged to identify and provide information on local</w:t>
      </w:r>
      <w:r w:rsidR="00A82DFF">
        <w:rPr>
          <w:rFonts w:eastAsia="Times New Roman" w:cs="Calibri"/>
          <w:color w:val="000000"/>
          <w:lang w:eastAsia="en-GB"/>
        </w:rPr>
        <w:t xml:space="preserve"> or </w:t>
      </w:r>
      <w:r w:rsidR="00B9260B" w:rsidRPr="06450652">
        <w:rPr>
          <w:rFonts w:eastAsia="Times New Roman" w:cs="Calibri"/>
          <w:color w:val="000000"/>
          <w:lang w:eastAsia="en-GB"/>
        </w:rPr>
        <w:t>facility</w:t>
      </w:r>
      <w:r w:rsidR="00BE1381">
        <w:rPr>
          <w:rFonts w:eastAsia="Times New Roman" w:cs="Calibri"/>
          <w:color w:val="000000"/>
          <w:lang w:eastAsia="en-GB"/>
        </w:rPr>
        <w:t>-</w:t>
      </w:r>
      <w:r w:rsidR="00B9260B" w:rsidRPr="06450652">
        <w:rPr>
          <w:rFonts w:eastAsia="Times New Roman" w:cs="Calibri"/>
          <w:color w:val="000000"/>
          <w:lang w:eastAsia="en-GB"/>
        </w:rPr>
        <w:t>based</w:t>
      </w:r>
      <w:r w:rsidRPr="06450652">
        <w:rPr>
          <w:rFonts w:eastAsia="Times New Roman" w:cs="Calibri"/>
          <w:color w:val="000000"/>
          <w:lang w:eastAsia="en-GB"/>
        </w:rPr>
        <w:t xml:space="preserve"> </w:t>
      </w:r>
      <w:r w:rsidR="00F700A3">
        <w:rPr>
          <w:rFonts w:eastAsia="Times New Roman" w:cs="Calibri"/>
          <w:color w:val="000000"/>
          <w:lang w:eastAsia="en-GB"/>
        </w:rPr>
        <w:t>EoU</w:t>
      </w:r>
      <w:r w:rsidRPr="06450652">
        <w:rPr>
          <w:rFonts w:eastAsia="Times New Roman" w:cs="Calibri"/>
          <w:color w:val="000000"/>
          <w:lang w:eastAsia="en-GB"/>
        </w:rPr>
        <w:t xml:space="preserve"> using a simple template based on ‘stories of change’ qualitative methods. </w:t>
      </w:r>
    </w:p>
    <w:p w14:paraId="66B58977" w14:textId="11B1EA8F" w:rsidR="00AE14D5" w:rsidRPr="00A70655" w:rsidRDefault="18446ECD" w:rsidP="06450652">
      <w:pPr>
        <w:spacing w:after="120"/>
        <w:rPr>
          <w:rFonts w:eastAsia="Times New Roman" w:cs="Calibri"/>
          <w:color w:val="000000"/>
          <w:lang w:eastAsia="en-GB"/>
        </w:rPr>
      </w:pPr>
      <w:r w:rsidRPr="45CDE7E8">
        <w:rPr>
          <w:rFonts w:eastAsia="Times New Roman" w:cs="Calibri"/>
          <w:b/>
          <w:bCs/>
          <w:color w:val="000000"/>
          <w:lang w:eastAsia="en-GB"/>
        </w:rPr>
        <w:t xml:space="preserve">At the facility level, there is emergent evidence that Fleming Fund interventions are stimulating isolated positive changes to practices and attitudes as clinicians and other stakeholders start to interact differently with improved </w:t>
      </w:r>
      <w:r w:rsidR="00681B65" w:rsidRPr="45CDE7E8">
        <w:rPr>
          <w:rFonts w:eastAsia="Times New Roman" w:cs="Calibri"/>
          <w:b/>
          <w:bCs/>
          <w:color w:val="000000"/>
          <w:lang w:eastAsia="en-GB"/>
        </w:rPr>
        <w:t>laboratories</w:t>
      </w:r>
      <w:r w:rsidRPr="45CDE7E8">
        <w:rPr>
          <w:rFonts w:eastAsia="Times New Roman" w:cs="Calibri"/>
          <w:b/>
          <w:bCs/>
          <w:color w:val="000000"/>
          <w:lang w:eastAsia="en-GB"/>
        </w:rPr>
        <w:t xml:space="preserve">. </w:t>
      </w:r>
      <w:r w:rsidRPr="45CDE7E8">
        <w:rPr>
          <w:rFonts w:eastAsia="Times New Roman" w:cs="Calibri"/>
          <w:color w:val="000000"/>
          <w:lang w:eastAsia="en-GB"/>
        </w:rPr>
        <w:t>A substantial number of examples were confirmed across the majority of focus countries (35 examples from 13</w:t>
      </w:r>
      <w:r w:rsidR="005328B9" w:rsidRPr="45CDE7E8">
        <w:rPr>
          <w:rFonts w:eastAsia="Times New Roman" w:cs="Calibri"/>
          <w:color w:val="000000"/>
          <w:lang w:eastAsia="en-GB"/>
        </w:rPr>
        <w:t xml:space="preserve"> out of </w:t>
      </w:r>
      <w:r w:rsidRPr="45CDE7E8">
        <w:rPr>
          <w:rFonts w:eastAsia="Times New Roman" w:cs="Calibri"/>
          <w:color w:val="000000"/>
          <w:lang w:eastAsia="en-GB"/>
        </w:rPr>
        <w:t xml:space="preserve">16 countries). Despite extensive efforts, it was not possible to identify any examples in three countries </w:t>
      </w:r>
      <w:r w:rsidR="005328B9" w:rsidRPr="45CDE7E8">
        <w:rPr>
          <w:rFonts w:eastAsia="Times New Roman" w:cs="Calibri"/>
          <w:color w:val="000000"/>
          <w:lang w:eastAsia="en-GB"/>
        </w:rPr>
        <w:t>, and</w:t>
      </w:r>
      <w:r w:rsidRPr="45CDE7E8">
        <w:rPr>
          <w:rFonts w:eastAsia="Times New Roman" w:cs="Calibri"/>
          <w:color w:val="000000"/>
          <w:lang w:eastAsia="en-GB"/>
        </w:rPr>
        <w:t xml:space="preserve"> </w:t>
      </w:r>
      <w:r w:rsidR="005328B9" w:rsidRPr="45CDE7E8">
        <w:rPr>
          <w:rFonts w:eastAsia="Times New Roman" w:cs="Calibri"/>
          <w:color w:val="000000"/>
          <w:lang w:eastAsia="en-GB"/>
        </w:rPr>
        <w:t>o</w:t>
      </w:r>
      <w:r w:rsidRPr="45CDE7E8">
        <w:rPr>
          <w:rFonts w:eastAsia="Times New Roman" w:cs="Calibri"/>
          <w:color w:val="000000"/>
          <w:lang w:eastAsia="en-GB"/>
        </w:rPr>
        <w:t xml:space="preserve">nly a limited number of examples were available in most countries. The data collection objective was </w:t>
      </w:r>
      <w:r w:rsidR="005328B9" w:rsidRPr="45CDE7E8">
        <w:rPr>
          <w:rFonts w:eastAsia="Times New Roman" w:cs="Calibri"/>
          <w:color w:val="000000"/>
          <w:lang w:eastAsia="en-GB"/>
        </w:rPr>
        <w:t>three to six</w:t>
      </w:r>
      <w:r w:rsidRPr="45CDE7E8">
        <w:rPr>
          <w:rFonts w:eastAsia="Times New Roman" w:cs="Calibri"/>
          <w:color w:val="000000"/>
          <w:lang w:eastAsia="en-GB"/>
        </w:rPr>
        <w:t xml:space="preserve"> examples per country, but the median number of examples obtained was </w:t>
      </w:r>
      <w:r w:rsidR="005328B9" w:rsidRPr="45CDE7E8">
        <w:rPr>
          <w:rFonts w:eastAsia="Times New Roman" w:cs="Calibri"/>
          <w:color w:val="000000"/>
          <w:lang w:eastAsia="en-GB"/>
        </w:rPr>
        <w:t>two</w:t>
      </w:r>
      <w:r w:rsidRPr="45CDE7E8">
        <w:rPr>
          <w:rFonts w:eastAsia="Times New Roman" w:cs="Calibri"/>
          <w:color w:val="000000"/>
          <w:lang w:eastAsia="en-GB"/>
        </w:rPr>
        <w:t xml:space="preserve"> (</w:t>
      </w:r>
      <w:r w:rsidR="005328B9" w:rsidRPr="45CDE7E8">
        <w:rPr>
          <w:rFonts w:eastAsia="Times New Roman" w:cs="Calibri"/>
          <w:color w:val="000000"/>
          <w:lang w:eastAsia="en-GB"/>
        </w:rPr>
        <w:t>six</w:t>
      </w:r>
      <w:r w:rsidRPr="45CDE7E8">
        <w:rPr>
          <w:rFonts w:eastAsia="Times New Roman" w:cs="Calibri"/>
          <w:color w:val="000000"/>
          <w:lang w:eastAsia="en-GB"/>
        </w:rPr>
        <w:t xml:space="preserve"> countries). The maximum number of examples obtained for a country was </w:t>
      </w:r>
      <w:r w:rsidR="005328B9" w:rsidRPr="45CDE7E8">
        <w:rPr>
          <w:rFonts w:eastAsia="Times New Roman" w:cs="Calibri"/>
          <w:color w:val="000000"/>
          <w:lang w:eastAsia="en-GB"/>
        </w:rPr>
        <w:t xml:space="preserve">four </w:t>
      </w:r>
      <w:r w:rsidRPr="45CDE7E8">
        <w:rPr>
          <w:rFonts w:eastAsia="Times New Roman" w:cs="Calibri"/>
          <w:color w:val="000000"/>
          <w:lang w:eastAsia="en-GB"/>
        </w:rPr>
        <w:t>.</w:t>
      </w:r>
    </w:p>
    <w:p w14:paraId="5086122D" w14:textId="300FA0C1" w:rsidR="00AE14D5" w:rsidRPr="00A70655" w:rsidRDefault="18446ECD" w:rsidP="06450652">
      <w:pPr>
        <w:spacing w:after="120"/>
      </w:pPr>
      <w:r w:rsidRPr="00A70655">
        <w:rPr>
          <w:rFonts w:eastAsia="Times New Roman" w:cs="Calibri"/>
          <w:b/>
          <w:bCs/>
          <w:color w:val="000000"/>
          <w:lang w:eastAsia="en-GB"/>
        </w:rPr>
        <w:t>HH examples were more abundant than AH ones</w:t>
      </w:r>
      <w:r w:rsidR="005328B9" w:rsidRPr="00A70655">
        <w:rPr>
          <w:rFonts w:eastAsia="Times New Roman" w:cs="Calibri"/>
          <w:b/>
          <w:bCs/>
          <w:color w:val="000000"/>
          <w:lang w:eastAsia="en-GB"/>
        </w:rPr>
        <w:t>,</w:t>
      </w:r>
      <w:r w:rsidRPr="00A70655">
        <w:rPr>
          <w:rFonts w:eastAsia="Times New Roman" w:cs="Calibri"/>
          <w:b/>
          <w:bCs/>
          <w:color w:val="000000"/>
          <w:lang w:eastAsia="en-GB"/>
        </w:rPr>
        <w:t xml:space="preserve"> </w:t>
      </w:r>
      <w:r w:rsidR="005328B9" w:rsidRPr="00A70655">
        <w:rPr>
          <w:rFonts w:eastAsia="Times New Roman" w:cs="Calibri"/>
          <w:color w:val="000000"/>
          <w:lang w:eastAsia="en-GB"/>
        </w:rPr>
        <w:t>see</w:t>
      </w:r>
      <w:r w:rsidRPr="00A70655">
        <w:rPr>
          <w:rFonts w:eastAsia="Times New Roman" w:cs="Calibri"/>
          <w:color w:val="000000"/>
          <w:lang w:eastAsia="en-GB"/>
        </w:rPr>
        <w:t xml:space="preserve"> </w:t>
      </w:r>
      <w:r w:rsidR="00171EB0" w:rsidRPr="00A70655">
        <w:rPr>
          <w:rFonts w:eastAsia="Times New Roman" w:cs="Calibri"/>
          <w:color w:val="000000"/>
          <w:lang w:eastAsia="en-GB"/>
        </w:rPr>
        <w:fldChar w:fldCharType="begin"/>
      </w:r>
      <w:r w:rsidR="00171EB0" w:rsidRPr="00A70655">
        <w:rPr>
          <w:rFonts w:eastAsia="Times New Roman" w:cs="Calibri"/>
          <w:color w:val="000000"/>
          <w:lang w:eastAsia="en-GB"/>
        </w:rPr>
        <w:instrText xml:space="preserve"> REF _Ref121250360 \h </w:instrText>
      </w:r>
      <w:r w:rsidR="00A70655">
        <w:rPr>
          <w:rFonts w:eastAsia="Times New Roman" w:cs="Calibri"/>
          <w:color w:val="000000"/>
          <w:lang w:eastAsia="en-GB"/>
        </w:rPr>
        <w:instrText xml:space="preserve"> \* MERGEFORMAT </w:instrText>
      </w:r>
      <w:r w:rsidR="00171EB0" w:rsidRPr="00A70655">
        <w:rPr>
          <w:rFonts w:eastAsia="Times New Roman" w:cs="Calibri"/>
          <w:color w:val="000000"/>
          <w:lang w:eastAsia="en-GB"/>
        </w:rPr>
      </w:r>
      <w:r w:rsidR="00171EB0" w:rsidRPr="00A70655">
        <w:rPr>
          <w:rFonts w:eastAsia="Times New Roman" w:cs="Calibri"/>
          <w:color w:val="000000"/>
          <w:lang w:eastAsia="en-GB"/>
        </w:rPr>
        <w:fldChar w:fldCharType="separate"/>
      </w:r>
      <w:r w:rsidR="009A383C">
        <w:t>Figure 24</w:t>
      </w:r>
      <w:r w:rsidR="00171EB0" w:rsidRPr="00A70655">
        <w:rPr>
          <w:rFonts w:eastAsia="Times New Roman" w:cs="Calibri"/>
          <w:color w:val="000000"/>
          <w:lang w:eastAsia="en-GB"/>
        </w:rPr>
        <w:fldChar w:fldCharType="end"/>
      </w:r>
      <w:r w:rsidRPr="00A70655">
        <w:rPr>
          <w:rFonts w:eastAsia="Times New Roman" w:cs="Calibri"/>
          <w:color w:val="000000"/>
          <w:lang w:eastAsia="en-GB"/>
        </w:rPr>
        <w:t xml:space="preserve"> below. </w:t>
      </w:r>
      <w:r w:rsidRPr="00A70655">
        <w:t>Globally, more examples were drawn from the HH sector (nearly two-thirds of the total, 22/35 or ~63%). The remainder (13/35 or ~37%) were drawn from AH. No examples were offered from the plant health or environmental sectors.</w:t>
      </w:r>
    </w:p>
    <w:p w14:paraId="11234952" w14:textId="395FC816" w:rsidR="00AE14D5" w:rsidRPr="00A70655" w:rsidRDefault="18446ECD" w:rsidP="06450652">
      <w:pPr>
        <w:spacing w:after="120"/>
        <w:rPr>
          <w:rFonts w:eastAsia="Times New Roman" w:cs="Calibri"/>
          <w:color w:val="000000"/>
          <w:lang w:eastAsia="en-GB"/>
        </w:rPr>
      </w:pPr>
      <w:r w:rsidRPr="45CDE7E8">
        <w:rPr>
          <w:b/>
          <w:bCs/>
        </w:rPr>
        <w:t xml:space="preserve">Examples in both HH and AH were offered in most, but not all countries. </w:t>
      </w:r>
      <w:r>
        <w:t>Most countries in which examples were available offered instances of use across both HH and AH sectors (8/13). In some countries</w:t>
      </w:r>
      <w:r w:rsidR="00BE1381">
        <w:t>,</w:t>
      </w:r>
      <w:r>
        <w:t xml:space="preserve"> only HH examples were offered . There was an exclusive focus on AH examples in only one country . No examples offered adopted a One Health/multisectoral perspective. There were no examples of use based on plant health or environment</w:t>
      </w:r>
      <w:r w:rsidR="00BE1381">
        <w:t>al</w:t>
      </w:r>
      <w:r>
        <w:t xml:space="preserve"> data.</w:t>
      </w:r>
    </w:p>
    <w:p w14:paraId="0F4EECD3" w14:textId="0D4AE349" w:rsidR="00AE14D5" w:rsidRPr="00A70655" w:rsidRDefault="18446ECD" w:rsidP="06450652">
      <w:pPr>
        <w:pStyle w:val="ItadNormalText"/>
      </w:pPr>
      <w:r w:rsidRPr="00A70655">
        <w:rPr>
          <w:b/>
          <w:bCs/>
        </w:rPr>
        <w:t>The goal of data use in most examples was to promote AMS.</w:t>
      </w:r>
      <w:r w:rsidRPr="00A70655">
        <w:t xml:space="preserve"> The majority of examples offered focused on AMS as the objective of relevant data use (20/35 or ~57%). Otherwise</w:t>
      </w:r>
      <w:r w:rsidR="00BE1381">
        <w:t>,</w:t>
      </w:r>
      <w:r w:rsidRPr="00A70655">
        <w:t xml:space="preserve"> a significant proportion targeted awareness-raising objectives (8/35 or ~23%). A further significant proportion pursued IPC objectives (7/35 or 20%), mostly in combination with AMS goals (4/35 or ~11%).</w:t>
      </w:r>
    </w:p>
    <w:p w14:paraId="06E511CB" w14:textId="2A8BB927" w:rsidR="00AE14D5" w:rsidRDefault="18446ECD" w:rsidP="06450652">
      <w:pPr>
        <w:pStyle w:val="ItadNormalText"/>
      </w:pPr>
      <w:r w:rsidRPr="45CDE7E8">
        <w:rPr>
          <w:b/>
          <w:bCs/>
        </w:rPr>
        <w:t>Examples mainly described practice changes resulting from data use.</w:t>
      </w:r>
      <w:r>
        <w:t xml:space="preserve"> The results of relevant data use specified in the examples were mainly in practice (24/35 or ~69%). There were some examples resulting in changes to attitudes (4/35 or ~11%), although attitudes were also implicitly involved in many practice-related and other examples. Examples of policy changes were less common (6/35 or ~17%), and only one example ended with regulatory change .</w:t>
      </w:r>
    </w:p>
    <w:bookmarkEnd w:id="280"/>
    <w:p w14:paraId="488ED0C7" w14:textId="77777777" w:rsidR="00AE14D5" w:rsidRDefault="18446ECD" w:rsidP="06450652">
      <w:pPr>
        <w:pStyle w:val="ItadNormalText"/>
        <w:keepNext/>
      </w:pPr>
      <w:r>
        <w:rPr>
          <w:noProof/>
        </w:rPr>
        <w:drawing>
          <wp:inline distT="0" distB="0" distL="0" distR="0" wp14:anchorId="1E728C45" wp14:editId="300A3C2C">
            <wp:extent cx="5930771" cy="2025650"/>
            <wp:effectExtent l="0" t="0" r="0" b="0"/>
            <wp:docPr id="285481976" name="Picture 285481976"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503941"/>
                    <pic:cNvPicPr/>
                  </pic:nvPicPr>
                  <pic:blipFill>
                    <a:blip r:embed="rId57">
                      <a:extLst>
                        <a:ext uri="{53640926-AAD7-44D8-BBD7-CCE9431645EC}">
                          <a14:shadowObscured xmlns:arto="http://schemas.microsoft.com/office/word/2006/arto" xmlns:a14="http://schemas.microsoft.com/office/drawing/2010/main" xmlns:c="http://schemas.openxmlformats.org/drawingml/2006/chart" xmlns:a16="http://schemas.microsoft.com/office/drawing/2014/main" xmlns:w="http://schemas.openxmlformats.org/wordprocessingml/2006/main" xmlns:w10="urn:schemas-microsoft-com:office:word" xmlns:v="urn:schemas-microsoft-com:vml" xmlns:o="urn:schemas-microsoft-com:office:office" xmlns=""/>
                        </a:ext>
                      </a:extLst>
                    </a:blip>
                    <a:srcRect l="5394" t="9652" r="2686" b="12327"/>
                    <a:stretch>
                      <a:fillRect/>
                    </a:stretch>
                  </pic:blipFill>
                  <pic:spPr bwMode="auto">
                    <a:xfrm>
                      <a:off x="0" y="0"/>
                      <a:ext cx="5930771" cy="2025650"/>
                    </a:xfrm>
                    <a:prstGeom prst="rect">
                      <a:avLst/>
                    </a:prstGeom>
                    <a:ln>
                      <a:noFill/>
                    </a:ln>
                    <a:extLst>
                      <a:ext uri="{53640926-AAD7-44D8-BBD7-CCE9431645EC}">
                        <a14:shadowObscured xmlns:a14="http://schemas.microsoft.com/office/drawing/2010/main"/>
                      </a:ext>
                    </a:extLst>
                  </pic:spPr>
                </pic:pic>
              </a:graphicData>
            </a:graphic>
          </wp:inline>
        </w:drawing>
      </w:r>
    </w:p>
    <w:p w14:paraId="08758279" w14:textId="00FC3096" w:rsidR="00AE14D5" w:rsidRDefault="18446ECD" w:rsidP="00C04C3C">
      <w:pPr>
        <w:pStyle w:val="ItadCaption"/>
        <w:rPr>
          <w:sz w:val="22"/>
          <w:szCs w:val="22"/>
        </w:rPr>
      </w:pPr>
      <w:bookmarkStart w:id="282" w:name="_Ref121250360"/>
      <w:bookmarkStart w:id="283" w:name="_Toc143858078"/>
      <w:r>
        <w:t xml:space="preserve">Figure </w:t>
      </w:r>
      <w:r w:rsidR="00EC771E">
        <w:fldChar w:fldCharType="begin"/>
      </w:r>
      <w:r w:rsidR="00EC771E">
        <w:instrText>SEQ Figure \* ARABIC</w:instrText>
      </w:r>
      <w:r w:rsidR="00EC771E">
        <w:fldChar w:fldCharType="separate"/>
      </w:r>
      <w:r w:rsidR="009A383C">
        <w:rPr>
          <w:noProof/>
        </w:rPr>
        <w:t>24</w:t>
      </w:r>
      <w:r w:rsidR="00EC771E">
        <w:fldChar w:fldCharType="end"/>
      </w:r>
      <w:bookmarkEnd w:id="282"/>
      <w:r>
        <w:t xml:space="preserve"> Local/facility level Examples of Use across Fleming Fund countries evaluated (EoU)</w:t>
      </w:r>
      <w:bookmarkEnd w:id="283"/>
    </w:p>
    <w:p w14:paraId="6BCE74BC" w14:textId="5B6BE891" w:rsidR="00AE14D5" w:rsidRDefault="18446ECD" w:rsidP="007F63EF">
      <w:pPr>
        <w:pStyle w:val="FFNormal"/>
      </w:pPr>
      <w:bookmarkStart w:id="284" w:name="_Hlk129543656"/>
      <w:r w:rsidRPr="06450652">
        <w:rPr>
          <w:b/>
          <w:bCs/>
        </w:rPr>
        <w:t xml:space="preserve">Examples of Use in HH suggest a pattern of facility-based clinical engagement over AMS in practice. </w:t>
      </w:r>
      <w:r>
        <w:t xml:space="preserve">Examples of Use in the HH sector concentrated on changes in terms of AMS (21/22), sometimes but not typically including explicit IPC (5/22). The objective was most often change to clinical practice (18/22). </w:t>
      </w:r>
    </w:p>
    <w:p w14:paraId="28679789" w14:textId="25D42128" w:rsidR="00AE14D5" w:rsidRPr="00A70655" w:rsidRDefault="18446ECD" w:rsidP="007F63EF">
      <w:pPr>
        <w:pStyle w:val="FFNormal"/>
      </w:pPr>
      <w:r w:rsidRPr="06450652">
        <w:rPr>
          <w:b/>
          <w:bCs/>
        </w:rPr>
        <w:t xml:space="preserve">HH Examples of Use were often based on uses of AMU data rather than AMR data generated from </w:t>
      </w:r>
      <w:r w:rsidR="00290E4A">
        <w:rPr>
          <w:b/>
          <w:bCs/>
        </w:rPr>
        <w:t xml:space="preserve">laboratory </w:t>
      </w:r>
      <w:r w:rsidRPr="06450652">
        <w:rPr>
          <w:b/>
          <w:bCs/>
        </w:rPr>
        <w:t>AST.</w:t>
      </w:r>
      <w:r>
        <w:t xml:space="preserve"> Most HH Examples of Use involved uses of AMR data derived from </w:t>
      </w:r>
      <w:r w:rsidR="00290E4A">
        <w:t xml:space="preserve">laboratory </w:t>
      </w:r>
      <w:r>
        <w:t xml:space="preserve">AST linked to Fleming Fund investments (16/22). But a significant number of others involved AMU data from applications of the Point </w:t>
      </w:r>
      <w:r w:rsidRPr="00A70655">
        <w:t>Prevalence Survey (PPS) methodology (8/22). It was rare for an example to describe changes resulting</w:t>
      </w:r>
      <w:r w:rsidR="007B0150" w:rsidRPr="00A70655">
        <w:t xml:space="preserve"> in the</w:t>
      </w:r>
      <w:r w:rsidRPr="00A70655">
        <w:t xml:space="preserve"> use of these data types in combination (2/22).</w:t>
      </w:r>
    </w:p>
    <w:p w14:paraId="7A33A309" w14:textId="0FD655E4" w:rsidR="00AE14D5" w:rsidRDefault="18446ECD" w:rsidP="007F63EF">
      <w:pPr>
        <w:pStyle w:val="FFNormal"/>
      </w:pPr>
      <w:r w:rsidRPr="45CDE7E8">
        <w:rPr>
          <w:b/>
          <w:bCs/>
        </w:rPr>
        <w:t>HH Examples of Use typically described changes at a single site, although some also detailed site networks and ultimately broader connections.</w:t>
      </w:r>
      <w:r>
        <w:t xml:space="preserve"> Most examples concerned change in a single site (16/22). However</w:t>
      </w:r>
      <w:r w:rsidR="007B0150">
        <w:t>,</w:t>
      </w:r>
      <w:r>
        <w:t xml:space="preserve"> others described uses of data from networks of sites (6/22), of which about half involved broader policy change (3/22) – two associated with national initiatives  and one at the provincial level .</w:t>
      </w:r>
    </w:p>
    <w:bookmarkEnd w:id="284"/>
    <w:p w14:paraId="7DEE7FED" w14:textId="77777777" w:rsidR="007B0150" w:rsidRDefault="18446ECD" w:rsidP="007F63EF">
      <w:pPr>
        <w:pStyle w:val="ItadNormalText"/>
        <w:keepNext/>
        <w:jc w:val="center"/>
      </w:pPr>
      <w:r>
        <w:rPr>
          <w:noProof/>
        </w:rPr>
        <w:drawing>
          <wp:inline distT="0" distB="0" distL="0" distR="0" wp14:anchorId="26B2ED8F" wp14:editId="39518334">
            <wp:extent cx="2647950" cy="2765005"/>
            <wp:effectExtent l="0" t="0" r="0" b="0"/>
            <wp:docPr id="1953581070" name="Picture 19535810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503942"/>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647950" cy="2765005"/>
                    </a:xfrm>
                    <a:prstGeom prst="rect">
                      <a:avLst/>
                    </a:prstGeom>
                  </pic:spPr>
                </pic:pic>
              </a:graphicData>
            </a:graphic>
          </wp:inline>
        </w:drawing>
      </w:r>
    </w:p>
    <w:p w14:paraId="34462E1A" w14:textId="2AA728A6" w:rsidR="00AE14D5" w:rsidRDefault="007B0150" w:rsidP="007F63EF">
      <w:pPr>
        <w:pStyle w:val="ItadCaption"/>
        <w:jc w:val="center"/>
      </w:pPr>
      <w:bookmarkStart w:id="285" w:name="_Toc143858079"/>
      <w:r>
        <w:t xml:space="preserve">Figure </w:t>
      </w:r>
      <w:r>
        <w:fldChar w:fldCharType="begin"/>
      </w:r>
      <w:r>
        <w:instrText>SEQ Figure \* ARABIC</w:instrText>
      </w:r>
      <w:r>
        <w:fldChar w:fldCharType="separate"/>
      </w:r>
      <w:r w:rsidR="009A383C">
        <w:rPr>
          <w:noProof/>
        </w:rPr>
        <w:t>25</w:t>
      </w:r>
      <w:r>
        <w:fldChar w:fldCharType="end"/>
      </w:r>
      <w:r>
        <w:t xml:space="preserve"> </w:t>
      </w:r>
      <w:r w:rsidR="00483B8A">
        <w:t>Human</w:t>
      </w:r>
      <w:r w:rsidR="00E01C55">
        <w:t xml:space="preserve"> Health Examples of Use</w:t>
      </w:r>
      <w:bookmarkEnd w:id="285"/>
    </w:p>
    <w:p w14:paraId="21B23761" w14:textId="20A46ED9" w:rsidR="00AE14D5" w:rsidRDefault="18446ECD" w:rsidP="06450652">
      <w:pPr>
        <w:pStyle w:val="ItadNormalText"/>
      </w:pPr>
      <w:bookmarkStart w:id="286" w:name="_Hlk129543802"/>
      <w:r w:rsidRPr="06450652">
        <w:rPr>
          <w:b/>
          <w:bCs/>
        </w:rPr>
        <w:t>Examples of Use in AH described a wider variety of objectives, data types and categories of change.</w:t>
      </w:r>
      <w:r>
        <w:t xml:space="preserve"> AH examples demonstrated a greater emphasis on awareness (6/13) relative to AMS (4/13); in contrast to the HH examples, some AH examples focused exclusively on IPC objectives (3/13). The exact nature of the data used was less clearly specified in AH than in HH </w:t>
      </w:r>
      <w:r w:rsidR="007B0150">
        <w:t>examples but</w:t>
      </w:r>
      <w:r>
        <w:t xml:space="preserve"> included AMC</w:t>
      </w:r>
      <w:r w:rsidR="00227335">
        <w:t xml:space="preserve"> data,</w:t>
      </w:r>
      <w:r>
        <w:t xml:space="preserve"> AMU data (3/13) as well as AMR data from AST</w:t>
      </w:r>
      <w:r w:rsidR="007B0150">
        <w:t>s</w:t>
      </w:r>
      <w:r>
        <w:t xml:space="preserve"> (6/13). Although practice was again prominent, AH results were also described in more varied terms, covering the full range of attitudes (2/13), practice (6/13), policy (4/13)</w:t>
      </w:r>
      <w:r w:rsidR="00227335">
        <w:t>,</w:t>
      </w:r>
      <w:r>
        <w:t xml:space="preserve"> and regulation (1/13). </w:t>
      </w:r>
    </w:p>
    <w:p w14:paraId="5AE53A62" w14:textId="5683EBCE" w:rsidR="00AE14D5" w:rsidRPr="00A70655" w:rsidRDefault="18446ECD" w:rsidP="06450652">
      <w:pPr>
        <w:pStyle w:val="ItadNormalText"/>
        <w:rPr>
          <w:b/>
          <w:bCs/>
        </w:rPr>
      </w:pPr>
      <w:r w:rsidRPr="45CDE7E8">
        <w:rPr>
          <w:b/>
          <w:bCs/>
        </w:rPr>
        <w:t xml:space="preserve">AH Examples of Use involved engagement with commercial stakeholders more than professional groups, especially involving the poultry industry. </w:t>
      </w:r>
      <w:r>
        <w:t xml:space="preserve">AH examples frequently included and/or addressed industry stakeholders, with a significant proportion of the examples offered relating to AMR in the poultry industry (6/13). There was only one example in aquaculture . More examples than expected, given </w:t>
      </w:r>
      <w:r w:rsidR="009E2AC2">
        <w:t>phase 1</w:t>
      </w:r>
      <w:r>
        <w:t xml:space="preserve"> investment in active surveillance, related to uses of data generated passively (4/13)</w:t>
      </w:r>
      <w:r w:rsidR="00E01C55">
        <w:t>.</w:t>
      </w:r>
    </w:p>
    <w:p w14:paraId="145F090B" w14:textId="77777777" w:rsidR="00AE14D5" w:rsidRPr="00A70655" w:rsidRDefault="18446ECD" w:rsidP="06450652">
      <w:pPr>
        <w:pStyle w:val="ItadNormalText"/>
      </w:pPr>
      <w:r w:rsidRPr="00A70655">
        <w:rPr>
          <w:b/>
          <w:bCs/>
        </w:rPr>
        <w:t xml:space="preserve">AH Examples of Use suggested greater potential for facility-level AH data to be used for direct influence on national policy and regulatory change. </w:t>
      </w:r>
      <w:r w:rsidRPr="00A70655">
        <w:t>A significant proportion of AH examples described change resulting in national policy or regulatory change (5/13 – or ~38%). This was higher than the equivalent proportion in HH (3/22 – or ~14%).</w:t>
      </w:r>
    </w:p>
    <w:p w14:paraId="1697CC9D" w14:textId="6F4D8F92" w:rsidR="00AE14D5" w:rsidRPr="00A70655" w:rsidRDefault="18446ECD" w:rsidP="06450652">
      <w:pPr>
        <w:pStyle w:val="ItadNormalText"/>
      </w:pPr>
      <w:r w:rsidRPr="45CDE7E8">
        <w:rPr>
          <w:b/>
          <w:bCs/>
        </w:rPr>
        <w:t xml:space="preserve">Some unexpected variation in examples was observed across countries. </w:t>
      </w:r>
      <w:r>
        <w:t>We expected to find examples of use connected to and arising from</w:t>
      </w:r>
      <w:r w:rsidR="00E01C55">
        <w:t xml:space="preserve"> the</w:t>
      </w:r>
      <w:r>
        <w:t xml:space="preserve"> Fleming Fund </w:t>
      </w:r>
      <w:r w:rsidR="009E2AC2">
        <w:t>phase 1</w:t>
      </w:r>
      <w:r>
        <w:t xml:space="preserve"> CGs, especially where use-focused CG2 are in place. While this held true in some countries , it was much less evident in others .</w:t>
      </w:r>
    </w:p>
    <w:p w14:paraId="092CE8F4" w14:textId="7424D126" w:rsidR="00AE14D5" w:rsidRDefault="18446ECD" w:rsidP="06450652">
      <w:pPr>
        <w:pStyle w:val="ItadNormalText"/>
      </w:pPr>
      <w:r w:rsidRPr="45CDE7E8">
        <w:rPr>
          <w:b/>
          <w:bCs/>
        </w:rPr>
        <w:t xml:space="preserve">The number of facility-level Examples of Use available did not correlate neatly with </w:t>
      </w:r>
      <w:r w:rsidR="00E01C55" w:rsidRPr="45CDE7E8">
        <w:rPr>
          <w:b/>
          <w:bCs/>
        </w:rPr>
        <w:t xml:space="preserve">the </w:t>
      </w:r>
      <w:r w:rsidRPr="45CDE7E8">
        <w:rPr>
          <w:b/>
          <w:bCs/>
        </w:rPr>
        <w:t xml:space="preserve">assessed data use at national levels. </w:t>
      </w:r>
      <w:r>
        <w:t>Mostly this was a question of relatively abundant facility-level examples contrasting with relative lack of progress with national data sharing . In a smaller number of countries, the lack of facility-level examples was surprising given observed national changes .</w:t>
      </w:r>
    </w:p>
    <w:bookmarkEnd w:id="286"/>
    <w:p w14:paraId="2434C0E9" w14:textId="7DD8978A" w:rsidR="00AE14D5" w:rsidRDefault="00AE14D5" w:rsidP="00291793">
      <w:pPr>
        <w:pStyle w:val="FFNormal"/>
        <w:rPr>
          <w:lang w:eastAsia="en-GB"/>
        </w:rPr>
      </w:pPr>
    </w:p>
    <w:p w14:paraId="2D131C41" w14:textId="4AF0E075" w:rsidR="006409BF" w:rsidRPr="0018231A" w:rsidRDefault="006409BF" w:rsidP="00291793">
      <w:pPr>
        <w:pStyle w:val="FFNormal"/>
      </w:pPr>
    </w:p>
    <w:p w14:paraId="38BD36D8" w14:textId="77777777" w:rsidR="00A778BB" w:rsidRDefault="00A778BB">
      <w:r>
        <w:br w:type="page"/>
      </w:r>
    </w:p>
    <w:p w14:paraId="12318F4D" w14:textId="77777777" w:rsidR="00407BC2" w:rsidRDefault="00407BC2" w:rsidP="00407BC2">
      <w:pPr>
        <w:pStyle w:val="ItadH1"/>
        <w:sectPr w:rsidR="00407BC2" w:rsidSect="007F1B4B">
          <w:pgSz w:w="11900" w:h="16840"/>
          <w:pgMar w:top="1134" w:right="1191" w:bottom="1134" w:left="1191" w:header="720" w:footer="255" w:gutter="0"/>
          <w:cols w:space="720"/>
          <w:titlePg/>
          <w:docGrid w:linePitch="360"/>
        </w:sectPr>
      </w:pPr>
      <w:bookmarkStart w:id="287" w:name="_Toc118968545"/>
    </w:p>
    <w:p w14:paraId="442C4E08" w14:textId="0827D114" w:rsidR="00407BC2" w:rsidRDefault="67BDCC9B" w:rsidP="00407BC2">
      <w:pPr>
        <w:pStyle w:val="ItadH1"/>
      </w:pPr>
      <w:bookmarkStart w:id="288" w:name="_Toc142383185"/>
      <w:r>
        <w:t xml:space="preserve">Annex </w:t>
      </w:r>
      <w:r w:rsidR="007D16E0">
        <w:t>1</w:t>
      </w:r>
      <w:r w:rsidR="00A70655">
        <w:t>0</w:t>
      </w:r>
      <w:r>
        <w:t xml:space="preserve">: </w:t>
      </w:r>
      <w:r w:rsidR="00407BC2">
        <w:t>Sustainability</w:t>
      </w:r>
      <w:bookmarkEnd w:id="288"/>
    </w:p>
    <w:p w14:paraId="72BA54E1" w14:textId="65CA589E" w:rsidR="00407BC2" w:rsidRDefault="00407BC2" w:rsidP="00407BC2">
      <w:pPr>
        <w:pStyle w:val="FFNormal"/>
      </w:pPr>
      <w:r>
        <w:t>The following tables provide an overview of data collected through country visits and corresponding judgements about the prospects for sustainability, using</w:t>
      </w:r>
      <w:r w:rsidR="00E01C55">
        <w:t xml:space="preserve"> the</w:t>
      </w:r>
      <w:r>
        <w:t xml:space="preserve"> four pillars of sustainability described in Annex 3.</w:t>
      </w:r>
      <w:r w:rsidR="00EF1301">
        <w:t xml:space="preserve"> </w:t>
      </w:r>
      <w:r w:rsidR="00A77608">
        <w:t>Table 43</w:t>
      </w:r>
      <w:r w:rsidR="00A23EB0">
        <w:t xml:space="preserve"> </w:t>
      </w:r>
      <w:r w:rsidR="00EF1301">
        <w:t xml:space="preserve">includes an explanation of the ratings shown in </w:t>
      </w:r>
      <w:r w:rsidR="00A77608">
        <w:t>Table 41</w:t>
      </w:r>
      <w:r w:rsidR="00EF1301">
        <w:t>and</w:t>
      </w:r>
      <w:r w:rsidR="00A77608">
        <w:t>Table 42</w:t>
      </w:r>
      <w:r w:rsidR="00EF1301">
        <w:t>.</w:t>
      </w:r>
    </w:p>
    <w:p w14:paraId="236D9196" w14:textId="255E05A7" w:rsidR="00DB7D1A" w:rsidRDefault="00DB7D1A" w:rsidP="00C04C3C">
      <w:pPr>
        <w:pStyle w:val="ItadCaption"/>
      </w:pPr>
      <w:bookmarkStart w:id="289" w:name="_Ref127264365"/>
      <w:bookmarkStart w:id="290" w:name="_Toc143857910"/>
      <w:r>
        <w:t xml:space="preserve">Table </w:t>
      </w:r>
      <w:r>
        <w:fldChar w:fldCharType="begin"/>
      </w:r>
      <w:r>
        <w:instrText>SEQ Table \* ARABIC</w:instrText>
      </w:r>
      <w:r>
        <w:fldChar w:fldCharType="separate"/>
      </w:r>
      <w:r w:rsidR="009A383C">
        <w:rPr>
          <w:noProof/>
        </w:rPr>
        <w:t>42</w:t>
      </w:r>
      <w:r>
        <w:fldChar w:fldCharType="end"/>
      </w:r>
      <w:bookmarkEnd w:id="289"/>
      <w:r>
        <w:t xml:space="preserve"> Sustainability Data</w:t>
      </w:r>
      <w:r w:rsidR="00A805E7">
        <w:t xml:space="preserve"> – Animal Health</w:t>
      </w:r>
      <w:bookmarkEnd w:id="290"/>
    </w:p>
    <w:tbl>
      <w:tblPr>
        <w:tblW w:w="5000" w:type="pct"/>
        <w:tblCellMar>
          <w:left w:w="0" w:type="dxa"/>
          <w:right w:w="0" w:type="dxa"/>
        </w:tblCellMar>
        <w:tblLook w:val="04A0" w:firstRow="1" w:lastRow="0" w:firstColumn="1" w:lastColumn="0" w:noHBand="0" w:noVBand="1"/>
      </w:tblPr>
      <w:tblGrid>
        <w:gridCol w:w="2010"/>
        <w:gridCol w:w="1537"/>
        <w:gridCol w:w="1598"/>
        <w:gridCol w:w="1537"/>
        <w:gridCol w:w="1598"/>
        <w:gridCol w:w="1537"/>
        <w:gridCol w:w="1598"/>
        <w:gridCol w:w="1537"/>
        <w:gridCol w:w="1604"/>
      </w:tblGrid>
      <w:tr w:rsidR="00DB7D1A" w:rsidRPr="00DB7D1A" w14:paraId="19C94866" w14:textId="77777777" w:rsidTr="00BB4743">
        <w:trPr>
          <w:trHeight w:val="340"/>
        </w:trPr>
        <w:tc>
          <w:tcPr>
            <w:tcW w:w="690" w:type="pct"/>
            <w:tcBorders>
              <w:top w:val="single" w:sz="6" w:space="0" w:color="FFFFFF"/>
              <w:left w:val="single" w:sz="6" w:space="0" w:color="FFFFFF"/>
              <w:bottom w:val="single" w:sz="6" w:space="0" w:color="FFFFFF"/>
              <w:right w:val="single" w:sz="6" w:space="0" w:color="FFFFFF"/>
            </w:tcBorders>
            <w:shd w:val="clear" w:color="auto" w:fill="89898B"/>
            <w:tcMar>
              <w:top w:w="15" w:type="dxa"/>
              <w:left w:w="170" w:type="dxa"/>
              <w:bottom w:w="0" w:type="dxa"/>
              <w:right w:w="170" w:type="dxa"/>
            </w:tcMar>
            <w:vAlign w:val="center"/>
            <w:hideMark/>
          </w:tcPr>
          <w:p w14:paraId="209A6FAB" w14:textId="2F74E271" w:rsidR="00DB7D1A" w:rsidRPr="00DB7D1A" w:rsidRDefault="00DB7D1A" w:rsidP="00DB7D1A">
            <w:pPr>
              <w:spacing w:line="256" w:lineRule="auto"/>
              <w:jc w:val="center"/>
              <w:textAlignment w:val="baseline"/>
              <w:rPr>
                <w:rFonts w:ascii="Arial" w:eastAsia="Times New Roman" w:hAnsi="Arial"/>
                <w:sz w:val="36"/>
                <w:szCs w:val="36"/>
                <w:lang w:eastAsia="en-GB"/>
              </w:rPr>
            </w:pPr>
            <w:r w:rsidRPr="00DB7D1A">
              <w:rPr>
                <w:rFonts w:eastAsia="Times New Roman" w:cs="Calibri"/>
                <w:color w:val="FFFFFF"/>
                <w:kern w:val="24"/>
                <w:lang w:val="en-CA" w:eastAsia="en-GB"/>
              </w:rPr>
              <w:t>Country/criteria</w:t>
            </w:r>
          </w:p>
        </w:tc>
        <w:tc>
          <w:tcPr>
            <w:tcW w:w="4310" w:type="pct"/>
            <w:gridSpan w:val="8"/>
            <w:tcBorders>
              <w:top w:val="single" w:sz="6" w:space="0" w:color="FFFFFF"/>
              <w:left w:val="single" w:sz="6" w:space="0" w:color="FFFFFF"/>
              <w:bottom w:val="single" w:sz="6" w:space="0" w:color="FFFFFF"/>
              <w:right w:val="single" w:sz="6" w:space="0" w:color="FFFFFF"/>
            </w:tcBorders>
            <w:shd w:val="clear" w:color="auto" w:fill="89898B"/>
            <w:tcMar>
              <w:top w:w="15" w:type="dxa"/>
              <w:left w:w="170" w:type="dxa"/>
              <w:bottom w:w="0" w:type="dxa"/>
              <w:right w:w="170" w:type="dxa"/>
            </w:tcMar>
            <w:vAlign w:val="center"/>
            <w:hideMark/>
          </w:tcPr>
          <w:p w14:paraId="5FBABBF3" w14:textId="77777777" w:rsidR="00DB7D1A" w:rsidRPr="00DB7D1A" w:rsidRDefault="00DB7D1A" w:rsidP="00DB7D1A">
            <w:pPr>
              <w:spacing w:line="256" w:lineRule="auto"/>
              <w:jc w:val="center"/>
              <w:textAlignment w:val="baseline"/>
              <w:rPr>
                <w:rFonts w:ascii="Arial" w:eastAsia="Times New Roman" w:hAnsi="Arial"/>
                <w:sz w:val="36"/>
                <w:szCs w:val="36"/>
                <w:lang w:eastAsia="en-GB"/>
              </w:rPr>
            </w:pPr>
            <w:r w:rsidRPr="00DB7D1A">
              <w:rPr>
                <w:rFonts w:eastAsia="Times New Roman" w:cs="Calibri"/>
                <w:color w:val="FFFFFF"/>
                <w:kern w:val="24"/>
                <w:lang w:val="en-CA" w:eastAsia="en-GB"/>
              </w:rPr>
              <w:t>Animal Health</w:t>
            </w:r>
          </w:p>
        </w:tc>
      </w:tr>
      <w:tr w:rsidR="00DB7D1A" w:rsidRPr="00DB7D1A" w14:paraId="2B9C920B" w14:textId="77777777" w:rsidTr="00BB4743">
        <w:trPr>
          <w:trHeight w:val="340"/>
        </w:trPr>
        <w:tc>
          <w:tcPr>
            <w:tcW w:w="690" w:type="pct"/>
            <w:tcBorders>
              <w:top w:val="single" w:sz="6" w:space="0" w:color="FFFFFF"/>
              <w:left w:val="single" w:sz="6" w:space="0" w:color="FFFFFF"/>
              <w:bottom w:val="single" w:sz="6" w:space="0" w:color="FFFFFF"/>
              <w:right w:val="single" w:sz="6" w:space="0" w:color="FFFFFF"/>
            </w:tcBorders>
            <w:shd w:val="clear" w:color="auto" w:fill="B0B0B1"/>
            <w:tcMar>
              <w:top w:w="15" w:type="dxa"/>
              <w:left w:w="170" w:type="dxa"/>
              <w:bottom w:w="0" w:type="dxa"/>
              <w:right w:w="170" w:type="dxa"/>
            </w:tcMar>
            <w:vAlign w:val="center"/>
            <w:hideMark/>
          </w:tcPr>
          <w:p w14:paraId="59EB32D7"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FFFFFF"/>
                <w:kern w:val="24"/>
                <w:lang w:val="en-CA" w:eastAsia="en-GB"/>
              </w:rPr>
              <w:t> </w:t>
            </w:r>
          </w:p>
        </w:tc>
        <w:tc>
          <w:tcPr>
            <w:tcW w:w="1077" w:type="pct"/>
            <w:gridSpan w:val="2"/>
            <w:tcBorders>
              <w:top w:val="single" w:sz="6" w:space="0" w:color="FFFFFF"/>
              <w:left w:val="single" w:sz="6" w:space="0" w:color="FFFFFF"/>
              <w:bottom w:val="single" w:sz="6" w:space="0" w:color="FFFFFF"/>
              <w:right w:val="single" w:sz="6" w:space="0" w:color="FFFFFF"/>
            </w:tcBorders>
            <w:shd w:val="clear" w:color="auto" w:fill="B0B0B1"/>
            <w:tcMar>
              <w:top w:w="15" w:type="dxa"/>
              <w:left w:w="170" w:type="dxa"/>
              <w:bottom w:w="0" w:type="dxa"/>
              <w:right w:w="170" w:type="dxa"/>
            </w:tcMar>
            <w:vAlign w:val="center"/>
            <w:hideMark/>
          </w:tcPr>
          <w:p w14:paraId="2F0A4E61" w14:textId="77777777" w:rsidR="00DB7D1A" w:rsidRPr="00DB7D1A" w:rsidRDefault="00DB7D1A" w:rsidP="00DB7D1A">
            <w:pPr>
              <w:spacing w:line="256" w:lineRule="auto"/>
              <w:jc w:val="center"/>
              <w:textAlignment w:val="baseline"/>
              <w:rPr>
                <w:rFonts w:ascii="Arial" w:eastAsia="Times New Roman" w:hAnsi="Arial"/>
                <w:sz w:val="36"/>
                <w:szCs w:val="36"/>
                <w:lang w:eastAsia="en-GB"/>
              </w:rPr>
            </w:pPr>
            <w:r w:rsidRPr="00DB7D1A">
              <w:rPr>
                <w:rFonts w:eastAsia="Times New Roman" w:cs="Calibri"/>
                <w:color w:val="FFFFFF"/>
                <w:kern w:val="24"/>
                <w:lang w:val="en-CA" w:eastAsia="en-GB"/>
              </w:rPr>
              <w:t>Resources</w:t>
            </w:r>
          </w:p>
        </w:tc>
        <w:tc>
          <w:tcPr>
            <w:tcW w:w="1077" w:type="pct"/>
            <w:gridSpan w:val="2"/>
            <w:tcBorders>
              <w:top w:val="single" w:sz="6" w:space="0" w:color="FFFFFF"/>
              <w:left w:val="single" w:sz="6" w:space="0" w:color="FFFFFF"/>
              <w:bottom w:val="single" w:sz="6" w:space="0" w:color="FFFFFF"/>
              <w:right w:val="single" w:sz="8" w:space="0" w:color="FFFFFF"/>
            </w:tcBorders>
            <w:shd w:val="clear" w:color="auto" w:fill="B0B0B1"/>
            <w:tcMar>
              <w:top w:w="15" w:type="dxa"/>
              <w:left w:w="170" w:type="dxa"/>
              <w:bottom w:w="0" w:type="dxa"/>
              <w:right w:w="170" w:type="dxa"/>
            </w:tcMar>
            <w:vAlign w:val="center"/>
            <w:hideMark/>
          </w:tcPr>
          <w:p w14:paraId="396DA4C6" w14:textId="77777777" w:rsidR="00DB7D1A" w:rsidRPr="00DB7D1A" w:rsidRDefault="00DB7D1A" w:rsidP="00DB7D1A">
            <w:pPr>
              <w:spacing w:line="256" w:lineRule="auto"/>
              <w:jc w:val="center"/>
              <w:textAlignment w:val="baseline"/>
              <w:rPr>
                <w:rFonts w:ascii="Arial" w:eastAsia="Times New Roman" w:hAnsi="Arial"/>
                <w:sz w:val="36"/>
                <w:szCs w:val="36"/>
                <w:lang w:eastAsia="en-GB"/>
              </w:rPr>
            </w:pPr>
            <w:r w:rsidRPr="00DB7D1A">
              <w:rPr>
                <w:rFonts w:eastAsia="Times New Roman" w:cs="Calibri"/>
                <w:color w:val="FFFFFF"/>
                <w:kern w:val="24"/>
                <w:lang w:val="en-CA" w:eastAsia="en-GB"/>
              </w:rPr>
              <w:t>Capacity</w:t>
            </w:r>
          </w:p>
        </w:tc>
        <w:tc>
          <w:tcPr>
            <w:tcW w:w="1077" w:type="pct"/>
            <w:gridSpan w:val="2"/>
            <w:tcBorders>
              <w:top w:val="single" w:sz="8" w:space="0" w:color="FFFFFF"/>
              <w:left w:val="single" w:sz="8" w:space="0" w:color="FFFFFF"/>
              <w:bottom w:val="single" w:sz="8" w:space="0" w:color="FFFFFF"/>
              <w:right w:val="single" w:sz="8" w:space="0" w:color="FFFFFF"/>
            </w:tcBorders>
            <w:shd w:val="clear" w:color="auto" w:fill="B0B0B1"/>
            <w:tcMar>
              <w:top w:w="15" w:type="dxa"/>
              <w:left w:w="170" w:type="dxa"/>
              <w:bottom w:w="0" w:type="dxa"/>
              <w:right w:w="170" w:type="dxa"/>
            </w:tcMar>
            <w:vAlign w:val="center"/>
            <w:hideMark/>
          </w:tcPr>
          <w:p w14:paraId="3E5708FC" w14:textId="77777777" w:rsidR="00DB7D1A" w:rsidRPr="00DB7D1A" w:rsidRDefault="00DB7D1A" w:rsidP="00DB7D1A">
            <w:pPr>
              <w:spacing w:line="256" w:lineRule="auto"/>
              <w:jc w:val="center"/>
              <w:textAlignment w:val="baseline"/>
              <w:rPr>
                <w:rFonts w:ascii="Arial" w:eastAsia="Times New Roman" w:hAnsi="Arial"/>
                <w:sz w:val="36"/>
                <w:szCs w:val="36"/>
                <w:lang w:eastAsia="en-GB"/>
              </w:rPr>
            </w:pPr>
            <w:r w:rsidRPr="00DB7D1A">
              <w:rPr>
                <w:rFonts w:eastAsia="Times New Roman" w:cs="Calibri"/>
                <w:color w:val="FFFFFF"/>
                <w:kern w:val="24"/>
                <w:lang w:val="en-CA" w:eastAsia="en-GB"/>
              </w:rPr>
              <w:t>Motivation</w:t>
            </w:r>
          </w:p>
        </w:tc>
        <w:tc>
          <w:tcPr>
            <w:tcW w:w="1077" w:type="pct"/>
            <w:gridSpan w:val="2"/>
            <w:tcBorders>
              <w:top w:val="single" w:sz="6" w:space="0" w:color="FFFFFF"/>
              <w:left w:val="single" w:sz="8" w:space="0" w:color="FFFFFF"/>
              <w:bottom w:val="single" w:sz="6" w:space="0" w:color="FFFFFF"/>
              <w:right w:val="single" w:sz="6" w:space="0" w:color="FFFFFF"/>
            </w:tcBorders>
            <w:shd w:val="clear" w:color="auto" w:fill="B0B0B1"/>
            <w:tcMar>
              <w:top w:w="15" w:type="dxa"/>
              <w:left w:w="170" w:type="dxa"/>
              <w:bottom w:w="0" w:type="dxa"/>
              <w:right w:w="170" w:type="dxa"/>
            </w:tcMar>
            <w:vAlign w:val="center"/>
            <w:hideMark/>
          </w:tcPr>
          <w:p w14:paraId="2C008935" w14:textId="77777777" w:rsidR="00DB7D1A" w:rsidRPr="00DB7D1A" w:rsidRDefault="00DB7D1A" w:rsidP="00DB7D1A">
            <w:pPr>
              <w:spacing w:line="256" w:lineRule="auto"/>
              <w:jc w:val="center"/>
              <w:textAlignment w:val="baseline"/>
              <w:rPr>
                <w:rFonts w:ascii="Arial" w:eastAsia="Times New Roman" w:hAnsi="Arial"/>
                <w:sz w:val="36"/>
                <w:szCs w:val="36"/>
                <w:lang w:eastAsia="en-GB"/>
              </w:rPr>
            </w:pPr>
            <w:r w:rsidRPr="00DB7D1A">
              <w:rPr>
                <w:rFonts w:eastAsia="Times New Roman" w:cs="Calibri"/>
                <w:color w:val="FFFFFF"/>
                <w:kern w:val="24"/>
                <w:lang w:val="en-CA" w:eastAsia="en-GB"/>
              </w:rPr>
              <w:t>Plans</w:t>
            </w:r>
          </w:p>
        </w:tc>
      </w:tr>
      <w:tr w:rsidR="00BB4743" w:rsidRPr="00DB7D1A" w14:paraId="0E1836D8" w14:textId="77777777" w:rsidTr="00BB4743">
        <w:trPr>
          <w:trHeight w:val="340"/>
        </w:trPr>
        <w:tc>
          <w:tcPr>
            <w:tcW w:w="690"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309B7708"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3B3B3C"/>
                <w:kern w:val="24"/>
                <w:lang w:val="en-CA"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573228E0"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val="en-CA" w:eastAsia="en-GB"/>
              </w:rPr>
              <w:t>Current</w:t>
            </w:r>
          </w:p>
        </w:tc>
        <w:tc>
          <w:tcPr>
            <w:tcW w:w="549"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3A56F157"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val="en-CA" w:eastAsia="en-GB"/>
              </w:rPr>
              <w:t>Planned</w:t>
            </w:r>
          </w:p>
        </w:tc>
        <w:tc>
          <w:tcPr>
            <w:tcW w:w="528"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347579E3"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val="en-CA" w:eastAsia="en-GB"/>
              </w:rPr>
              <w:t>Current</w:t>
            </w:r>
          </w:p>
        </w:tc>
        <w:tc>
          <w:tcPr>
            <w:tcW w:w="549"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19D1C6CB"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val="en-CA" w:eastAsia="en-GB"/>
              </w:rPr>
              <w:t>Planned</w:t>
            </w:r>
          </w:p>
        </w:tc>
        <w:tc>
          <w:tcPr>
            <w:tcW w:w="528" w:type="pct"/>
            <w:tcBorders>
              <w:top w:val="single" w:sz="8"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1FC41E9C"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val="en-CA" w:eastAsia="en-GB"/>
              </w:rPr>
              <w:t>Current</w:t>
            </w:r>
          </w:p>
        </w:tc>
        <w:tc>
          <w:tcPr>
            <w:tcW w:w="549" w:type="pct"/>
            <w:tcBorders>
              <w:top w:val="single" w:sz="8"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41D6F760"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val="en-CA" w:eastAsia="en-GB"/>
              </w:rPr>
              <w:t>Planned</w:t>
            </w:r>
          </w:p>
        </w:tc>
        <w:tc>
          <w:tcPr>
            <w:tcW w:w="528"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6EDCFA42"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val="en-CA" w:eastAsia="en-GB"/>
              </w:rPr>
              <w:t>Current</w:t>
            </w:r>
          </w:p>
        </w:tc>
        <w:tc>
          <w:tcPr>
            <w:tcW w:w="549"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2E79B4C2"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val="en-CA" w:eastAsia="en-GB"/>
              </w:rPr>
              <w:t>Planned</w:t>
            </w:r>
          </w:p>
        </w:tc>
      </w:tr>
      <w:tr w:rsidR="00BB4743" w:rsidRPr="00DB7D1A" w14:paraId="3FC1C8D8" w14:textId="77777777" w:rsidTr="00BB4743">
        <w:trPr>
          <w:trHeight w:val="340"/>
        </w:trPr>
        <w:tc>
          <w:tcPr>
            <w:tcW w:w="690" w:type="pct"/>
            <w:tcBorders>
              <w:top w:val="single" w:sz="6" w:space="0" w:color="FFFFFF"/>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51FCB111" w14:textId="0FBA3B87"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59" w:history="1">
              <w:r w:rsidR="00DB7D1A" w:rsidRPr="00DB7D1A">
                <w:rPr>
                  <w:rFonts w:eastAsia="Times New Roman" w:cs="Vrinda"/>
                  <w:kern w:val="24"/>
                  <w:sz w:val="20"/>
                  <w:szCs w:val="20"/>
                  <w:u w:val="single"/>
                  <w:lang w:eastAsia="en-GB"/>
                </w:rPr>
                <w:t>Bangladesh</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621C6A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8CE903E"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7806E5E"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516EFCE"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BFA7BA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73661931"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EE16C1B"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8FD12AA"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0FCDDAA2"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0842CC15" w14:textId="34B9CE6C"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60" w:history="1">
              <w:r w:rsidR="00DB7D1A" w:rsidRPr="00DB7D1A">
                <w:rPr>
                  <w:rFonts w:eastAsia="Times New Roman" w:cs="Vrinda"/>
                  <w:kern w:val="24"/>
                  <w:sz w:val="20"/>
                  <w:szCs w:val="20"/>
                  <w:u w:val="single"/>
                  <w:lang w:eastAsia="en-GB"/>
                </w:rPr>
                <w:t>Bhutan</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59BEB4B"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99E4F6C"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959BE6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2EA1290"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48D71167"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DC37641"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E9C93A6"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7D920D8"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1D098405"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67493C5C" w14:textId="060ACEAF"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61" w:history="1">
              <w:r w:rsidR="00DB7D1A" w:rsidRPr="00DB7D1A">
                <w:rPr>
                  <w:rFonts w:eastAsia="Times New Roman" w:cs="Vrinda"/>
                  <w:kern w:val="24"/>
                  <w:sz w:val="20"/>
                  <w:szCs w:val="20"/>
                  <w:u w:val="single"/>
                  <w:lang w:eastAsia="en-GB"/>
                </w:rPr>
                <w:t>Ghana</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F9D8882"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98AE36D"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043C4B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2DE341E"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218206A4"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14458DB6"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4B5A3836"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F2B5931"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28526509"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111A77C8" w14:textId="2CC13B11"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62" w:history="1">
              <w:r w:rsidR="00DB7D1A" w:rsidRPr="00DB7D1A">
                <w:rPr>
                  <w:rFonts w:eastAsia="Times New Roman" w:cs="Vrinda"/>
                  <w:kern w:val="24"/>
                  <w:sz w:val="20"/>
                  <w:szCs w:val="20"/>
                  <w:u w:val="single"/>
                  <w:lang w:eastAsia="en-GB"/>
                </w:rPr>
                <w:t>Indonesia</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3F71DD77"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E4A05B6"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48C9C4AC"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F8AE51B"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E8428DC"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F2030B2"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10F92663"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142520C"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7A2570A6"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7BFAD977" w14:textId="0513858D"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63" w:history="1">
              <w:r w:rsidR="00DB7D1A" w:rsidRPr="00DB7D1A">
                <w:rPr>
                  <w:rFonts w:eastAsia="Times New Roman" w:cs="Vrinda"/>
                  <w:kern w:val="24"/>
                  <w:sz w:val="20"/>
                  <w:szCs w:val="20"/>
                  <w:u w:val="single"/>
                  <w:lang w:eastAsia="en-GB"/>
                </w:rPr>
                <w:t>Kenya</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175AA3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7A0F9661"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309135B"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4E38574F"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27A55F4"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A404CD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FD03D07"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2C2117B"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3DBE4D66"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095F8FC3" w14:textId="1A9C6AA7"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64" w:history="1">
              <w:r w:rsidR="00DB7D1A" w:rsidRPr="00DB7D1A">
                <w:rPr>
                  <w:rFonts w:eastAsia="Times New Roman" w:cs="Vrinda"/>
                  <w:kern w:val="24"/>
                  <w:sz w:val="20"/>
                  <w:szCs w:val="20"/>
                  <w:u w:val="single"/>
                  <w:lang w:eastAsia="en-GB"/>
                </w:rPr>
                <w:t>Laos</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321ADE4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4BCDB9E8"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E61E601"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CC17D57"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5F26FAA"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60B28660"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3BDA04DD"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35F9730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1F55AE87"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48AC1FF1" w14:textId="08B30F40"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65" w:history="1">
              <w:r w:rsidR="00DB7D1A" w:rsidRPr="00DB7D1A">
                <w:rPr>
                  <w:rFonts w:eastAsia="Times New Roman" w:cs="Vrinda"/>
                  <w:kern w:val="24"/>
                  <w:sz w:val="20"/>
                  <w:szCs w:val="20"/>
                  <w:u w:val="single"/>
                  <w:lang w:eastAsia="en-GB"/>
                </w:rPr>
                <w:t>Nigeria</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E522AE2"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143DAC6"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32C9A06"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11DA596"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9661C7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D5E961A"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0B125C3"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270253CD"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42454EB6"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351521DC" w14:textId="7BD2B89D"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66" w:history="1">
              <w:r w:rsidR="00DB7D1A" w:rsidRPr="00DB7D1A">
                <w:rPr>
                  <w:rFonts w:eastAsia="Times New Roman" w:cs="Vrinda"/>
                  <w:kern w:val="24"/>
                  <w:sz w:val="20"/>
                  <w:szCs w:val="20"/>
                  <w:u w:val="single"/>
                  <w:lang w:eastAsia="en-GB"/>
                </w:rPr>
                <w:t>Nepal</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6C0C89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2CDBBB2F"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4A8BB01"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81AC4AE"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5F828F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6C4803C9"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21C62C7C"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4AA54B44"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7E617CDB"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77E9823E" w14:textId="7605B506"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67" w:history="1">
              <w:r w:rsidR="00DB7D1A" w:rsidRPr="00DB7D1A">
                <w:rPr>
                  <w:rFonts w:eastAsia="Times New Roman" w:cs="Vrinda"/>
                  <w:kern w:val="24"/>
                  <w:sz w:val="20"/>
                  <w:szCs w:val="20"/>
                  <w:u w:val="single"/>
                  <w:lang w:eastAsia="en-GB"/>
                </w:rPr>
                <w:t>Pakistan</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4367477"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81EE17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3BC1261"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119FB04"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CBF91E3"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C4C653D"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9D4C2B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23E62D0"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6A2E7C20"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7CFFDFB5" w14:textId="6B1A8FC3"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68" w:history="1">
              <w:r w:rsidR="00DB7D1A" w:rsidRPr="00DB7D1A">
                <w:rPr>
                  <w:rFonts w:eastAsia="Times New Roman" w:cs="Vrinda"/>
                  <w:kern w:val="24"/>
                  <w:sz w:val="20"/>
                  <w:szCs w:val="20"/>
                  <w:u w:val="single"/>
                  <w:lang w:eastAsia="en-GB"/>
                </w:rPr>
                <w:t>Senegal</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F361038"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819431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C2F5784"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F3D497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0D37D391"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31BC0EC9"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168FF5D6"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BD6CACA"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1D93C1CD"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145CC22D" w14:textId="21A49B31"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69" w:history="1">
              <w:r w:rsidR="00DB7D1A" w:rsidRPr="00DB7D1A">
                <w:rPr>
                  <w:rFonts w:eastAsia="Times New Roman" w:cs="Vrinda"/>
                  <w:kern w:val="24"/>
                  <w:sz w:val="20"/>
                  <w:szCs w:val="20"/>
                  <w:u w:val="single"/>
                  <w:lang w:eastAsia="en-GB"/>
                </w:rPr>
                <w:t>Sierra Leone</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4591F710"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BBFFBEE"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F308824"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63E3AD22"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3075EC4F"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36F76F50"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4D761705"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65DF52E"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5BCC20DA"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487E9204" w14:textId="036B87EA"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70" w:history="1">
              <w:r w:rsidR="00DB7D1A" w:rsidRPr="00DB7D1A">
                <w:rPr>
                  <w:rFonts w:eastAsia="Times New Roman" w:cs="Vrinda"/>
                  <w:kern w:val="24"/>
                  <w:sz w:val="20"/>
                  <w:szCs w:val="20"/>
                  <w:u w:val="single"/>
                  <w:lang w:eastAsia="en-GB"/>
                </w:rPr>
                <w:t>Tanzania</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AB4744D"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7DE8770"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EFEA8E1"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AA1ADBC"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792D1A6"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681AAAB"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77D2209"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68F8AC9"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3AD143D7"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4115313F" w14:textId="67EF71E8"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71" w:history="1">
              <w:r w:rsidR="00DB7D1A" w:rsidRPr="00DB7D1A">
                <w:rPr>
                  <w:rFonts w:eastAsia="Times New Roman" w:cs="Vrinda"/>
                  <w:kern w:val="24"/>
                  <w:sz w:val="20"/>
                  <w:szCs w:val="20"/>
                  <w:u w:val="single"/>
                  <w:lang w:eastAsia="en-GB"/>
                </w:rPr>
                <w:t xml:space="preserve">Timor </w:t>
              </w:r>
            </w:hyperlink>
            <w:hyperlink r:id="rId72" w:history="1">
              <w:r w:rsidR="00DB7D1A" w:rsidRPr="00DB7D1A">
                <w:rPr>
                  <w:rFonts w:eastAsia="Times New Roman" w:cs="Vrinda"/>
                  <w:kern w:val="24"/>
                  <w:sz w:val="20"/>
                  <w:szCs w:val="20"/>
                  <w:u w:val="single"/>
                  <w:lang w:eastAsia="en-GB"/>
                </w:rPr>
                <w:t>Leste</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650F26DC"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152B21F"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2C880DD4"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A874B30"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335C7416"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CDE4F5F"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797F87A"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C246206"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515B8E97"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092469C6" w14:textId="3DCE4F78"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73" w:history="1">
              <w:r w:rsidR="00DB7D1A" w:rsidRPr="00DB7D1A">
                <w:rPr>
                  <w:rFonts w:eastAsia="Times New Roman" w:cs="Vrinda"/>
                  <w:kern w:val="24"/>
                  <w:sz w:val="20"/>
                  <w:szCs w:val="20"/>
                  <w:u w:val="single"/>
                  <w:lang w:eastAsia="en-GB"/>
                </w:rPr>
                <w:t>Uganda</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4FA7C2A"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287A29AE"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19DCA8E"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4D709B54"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403B529"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D49E951"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2788B958"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33B348B"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248E9274"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407A0561" w14:textId="4F0A7558"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74" w:history="1">
              <w:r w:rsidR="00DB7D1A" w:rsidRPr="00DB7D1A">
                <w:rPr>
                  <w:rFonts w:eastAsia="Times New Roman" w:cs="Vrinda"/>
                  <w:kern w:val="24"/>
                  <w:sz w:val="20"/>
                  <w:szCs w:val="20"/>
                  <w:u w:val="single"/>
                  <w:lang w:eastAsia="en-GB"/>
                </w:rPr>
                <w:t>Vietnam</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242D41DE"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7449D23"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E4D5076"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17148561"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094D8ACC"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ED25C31"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6727CAD2"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C9CC06A"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r w:rsidR="00BB4743" w:rsidRPr="00DB7D1A" w14:paraId="77B6FA65" w14:textId="77777777" w:rsidTr="00BB4743">
        <w:trPr>
          <w:trHeight w:val="340"/>
        </w:trPr>
        <w:tc>
          <w:tcPr>
            <w:tcW w:w="69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0C952E02" w14:textId="63CD3606" w:rsidR="00DB7D1A" w:rsidRPr="00DB7D1A" w:rsidRDefault="007B247E" w:rsidP="00DB7D1A">
            <w:pPr>
              <w:spacing w:line="256" w:lineRule="auto"/>
              <w:textAlignment w:val="baseline"/>
              <w:rPr>
                <w:rFonts w:eastAsia="Times New Roman" w:cs="Vrinda"/>
                <w:kern w:val="24"/>
                <w:sz w:val="20"/>
                <w:szCs w:val="20"/>
                <w:u w:val="single"/>
                <w:lang w:eastAsia="en-GB"/>
              </w:rPr>
            </w:pPr>
            <w:hyperlink r:id="rId75" w:history="1">
              <w:r w:rsidR="00DB7D1A" w:rsidRPr="00DB7D1A">
                <w:rPr>
                  <w:rFonts w:eastAsia="Times New Roman" w:cs="Vrinda"/>
                  <w:kern w:val="24"/>
                  <w:sz w:val="20"/>
                  <w:szCs w:val="20"/>
                  <w:u w:val="single"/>
                  <w:lang w:eastAsia="en-GB"/>
                </w:rPr>
                <w:t>Zambia</w:t>
              </w:r>
            </w:hyperlink>
          </w:p>
        </w:tc>
        <w:tc>
          <w:tcPr>
            <w:tcW w:w="528" w:type="pct"/>
            <w:tcBorders>
              <w:top w:val="single" w:sz="6" w:space="0" w:color="FFFFFF"/>
              <w:left w:val="single" w:sz="6" w:space="0" w:color="F2F2F2"/>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5212A93D"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30F370F0"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0640709F"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712D3789"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EB87050"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4B99C7B"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28"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FB4F86B"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c>
          <w:tcPr>
            <w:tcW w:w="549"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CAB03A0" w14:textId="77777777" w:rsidR="00DB7D1A" w:rsidRPr="00DB7D1A" w:rsidRDefault="00DB7D1A" w:rsidP="00DB7D1A">
            <w:pPr>
              <w:spacing w:line="256" w:lineRule="auto"/>
              <w:textAlignment w:val="baseline"/>
              <w:rPr>
                <w:rFonts w:ascii="Arial" w:eastAsia="Times New Roman" w:hAnsi="Arial"/>
                <w:sz w:val="36"/>
                <w:szCs w:val="36"/>
                <w:lang w:eastAsia="en-GB"/>
              </w:rPr>
            </w:pPr>
            <w:r w:rsidRPr="00DB7D1A">
              <w:rPr>
                <w:rFonts w:eastAsia="Times New Roman" w:cs="Calibri"/>
                <w:color w:val="000000"/>
                <w:kern w:val="24"/>
                <w:lang w:eastAsia="en-GB"/>
              </w:rPr>
              <w:t> </w:t>
            </w:r>
          </w:p>
        </w:tc>
      </w:tr>
    </w:tbl>
    <w:p w14:paraId="4F85630B" w14:textId="77777777" w:rsidR="008F107D" w:rsidRDefault="008F107D">
      <w:pPr>
        <w:rPr>
          <w:b/>
          <w:bCs/>
          <w:color w:val="588B46" w:themeColor="text2"/>
          <w:sz w:val="32"/>
          <w:szCs w:val="32"/>
        </w:rPr>
      </w:pPr>
    </w:p>
    <w:p w14:paraId="2580D227" w14:textId="063C3A96" w:rsidR="00A805E7" w:rsidRDefault="00A805E7" w:rsidP="00C04C3C">
      <w:pPr>
        <w:pStyle w:val="ItadCaption"/>
      </w:pPr>
      <w:bookmarkStart w:id="291" w:name="_Ref127264374"/>
      <w:bookmarkStart w:id="292" w:name="_Toc143857911"/>
      <w:r>
        <w:t xml:space="preserve">Table </w:t>
      </w:r>
      <w:r>
        <w:fldChar w:fldCharType="begin"/>
      </w:r>
      <w:r>
        <w:instrText>SEQ Table \* ARABIC</w:instrText>
      </w:r>
      <w:r>
        <w:fldChar w:fldCharType="separate"/>
      </w:r>
      <w:r w:rsidR="009A383C">
        <w:rPr>
          <w:noProof/>
        </w:rPr>
        <w:t>43</w:t>
      </w:r>
      <w:r>
        <w:fldChar w:fldCharType="end"/>
      </w:r>
      <w:bookmarkEnd w:id="291"/>
      <w:r w:rsidRPr="007B4B0E">
        <w:t xml:space="preserve"> Sustainability Data – </w:t>
      </w:r>
      <w:r>
        <w:t>Human</w:t>
      </w:r>
      <w:r w:rsidRPr="007B4B0E">
        <w:t xml:space="preserve"> Health</w:t>
      </w:r>
      <w:bookmarkEnd w:id="292"/>
    </w:p>
    <w:tbl>
      <w:tblPr>
        <w:tblW w:w="5000" w:type="pct"/>
        <w:tblCellMar>
          <w:left w:w="0" w:type="dxa"/>
          <w:right w:w="0" w:type="dxa"/>
        </w:tblCellMar>
        <w:tblLook w:val="04A0" w:firstRow="1" w:lastRow="0" w:firstColumn="1" w:lastColumn="0" w:noHBand="0" w:noVBand="1"/>
      </w:tblPr>
      <w:tblGrid>
        <w:gridCol w:w="1833"/>
        <w:gridCol w:w="1906"/>
        <w:gridCol w:w="2044"/>
        <w:gridCol w:w="1456"/>
        <w:gridCol w:w="1459"/>
        <w:gridCol w:w="1476"/>
        <w:gridCol w:w="1459"/>
        <w:gridCol w:w="1456"/>
        <w:gridCol w:w="1467"/>
      </w:tblGrid>
      <w:tr w:rsidR="00DB7D1A" w:rsidRPr="00DB0F63" w14:paraId="4345C528" w14:textId="77777777" w:rsidTr="007F63EF">
        <w:trPr>
          <w:trHeight w:val="363"/>
        </w:trPr>
        <w:tc>
          <w:tcPr>
            <w:tcW w:w="630" w:type="pct"/>
            <w:tcBorders>
              <w:top w:val="single" w:sz="6" w:space="0" w:color="FFFFFF"/>
              <w:left w:val="single" w:sz="6" w:space="0" w:color="FFFFFF"/>
              <w:bottom w:val="single" w:sz="6" w:space="0" w:color="FFFFFF"/>
              <w:right w:val="single" w:sz="6" w:space="0" w:color="FFFFFF"/>
            </w:tcBorders>
            <w:shd w:val="clear" w:color="auto" w:fill="89898B"/>
            <w:tcMar>
              <w:top w:w="15" w:type="dxa"/>
              <w:left w:w="170" w:type="dxa"/>
              <w:bottom w:w="0" w:type="dxa"/>
              <w:right w:w="170" w:type="dxa"/>
            </w:tcMar>
            <w:vAlign w:val="center"/>
            <w:hideMark/>
          </w:tcPr>
          <w:p w14:paraId="4B356A52" w14:textId="6C7004D3" w:rsidR="00DB7D1A" w:rsidRPr="007F63EF" w:rsidRDefault="00DB7D1A" w:rsidP="008C1BFD">
            <w:pPr>
              <w:spacing w:line="256" w:lineRule="auto"/>
              <w:jc w:val="center"/>
              <w:textAlignment w:val="baseline"/>
              <w:rPr>
                <w:rFonts w:eastAsia="Times New Roman" w:cs="Calibri"/>
                <w:color w:val="FFFFFF"/>
                <w:kern w:val="24"/>
                <w:lang w:val="en-CA" w:eastAsia="en-GB"/>
              </w:rPr>
            </w:pPr>
            <w:r w:rsidRPr="007F63EF">
              <w:rPr>
                <w:rFonts w:eastAsia="Times New Roman" w:cs="Calibri"/>
                <w:color w:val="FFFFFF"/>
                <w:kern w:val="24"/>
                <w:lang w:val="en-CA" w:eastAsia="en-GB"/>
              </w:rPr>
              <w:t>Country/criteria</w:t>
            </w:r>
          </w:p>
        </w:tc>
        <w:tc>
          <w:tcPr>
            <w:tcW w:w="4370" w:type="pct"/>
            <w:gridSpan w:val="8"/>
            <w:tcBorders>
              <w:top w:val="single" w:sz="6" w:space="0" w:color="FFFFFF"/>
              <w:left w:val="single" w:sz="6" w:space="0" w:color="FFFFFF"/>
              <w:bottom w:val="single" w:sz="6" w:space="0" w:color="FFFFFF"/>
              <w:right w:val="single" w:sz="6" w:space="0" w:color="FFFFFF"/>
            </w:tcBorders>
            <w:shd w:val="clear" w:color="auto" w:fill="89898B"/>
            <w:tcMar>
              <w:top w:w="15" w:type="dxa"/>
              <w:left w:w="170" w:type="dxa"/>
              <w:bottom w:w="0" w:type="dxa"/>
              <w:right w:w="170" w:type="dxa"/>
            </w:tcMar>
            <w:vAlign w:val="center"/>
            <w:hideMark/>
          </w:tcPr>
          <w:p w14:paraId="5B3CB703" w14:textId="77777777" w:rsidR="00DB7D1A" w:rsidRPr="007F63EF" w:rsidRDefault="00DB7D1A" w:rsidP="008C1BFD">
            <w:pPr>
              <w:spacing w:line="256" w:lineRule="auto"/>
              <w:jc w:val="center"/>
              <w:textAlignment w:val="baseline"/>
              <w:rPr>
                <w:rFonts w:eastAsia="Times New Roman" w:cs="Calibri"/>
                <w:color w:val="FFFFFF"/>
                <w:kern w:val="24"/>
                <w:lang w:val="en-CA" w:eastAsia="en-GB"/>
              </w:rPr>
            </w:pPr>
            <w:r w:rsidRPr="007F63EF">
              <w:rPr>
                <w:rFonts w:eastAsia="Times New Roman" w:cs="Calibri"/>
                <w:color w:val="FFFFFF"/>
                <w:kern w:val="24"/>
                <w:lang w:val="en-CA" w:eastAsia="en-GB"/>
              </w:rPr>
              <w:t>Human Health</w:t>
            </w:r>
          </w:p>
        </w:tc>
      </w:tr>
      <w:tr w:rsidR="00DB7D1A" w:rsidRPr="00DB0F63" w14:paraId="2CBB28D9" w14:textId="77777777" w:rsidTr="007F63EF">
        <w:trPr>
          <w:trHeight w:val="385"/>
        </w:trPr>
        <w:tc>
          <w:tcPr>
            <w:tcW w:w="630" w:type="pct"/>
            <w:tcBorders>
              <w:top w:val="single" w:sz="6" w:space="0" w:color="FFFFFF"/>
              <w:left w:val="single" w:sz="6" w:space="0" w:color="FFFFFF"/>
              <w:bottom w:val="single" w:sz="6" w:space="0" w:color="FFFFFF"/>
              <w:right w:val="single" w:sz="6" w:space="0" w:color="FFFFFF"/>
            </w:tcBorders>
            <w:shd w:val="clear" w:color="auto" w:fill="B0B0B1"/>
            <w:tcMar>
              <w:top w:w="15" w:type="dxa"/>
              <w:left w:w="170" w:type="dxa"/>
              <w:bottom w:w="0" w:type="dxa"/>
              <w:right w:w="170" w:type="dxa"/>
            </w:tcMar>
            <w:vAlign w:val="center"/>
            <w:hideMark/>
          </w:tcPr>
          <w:p w14:paraId="66A96BEA" w14:textId="77777777" w:rsidR="00DB7D1A" w:rsidRPr="007F63EF" w:rsidRDefault="00DB7D1A" w:rsidP="008C1BFD">
            <w:pPr>
              <w:spacing w:line="256" w:lineRule="auto"/>
              <w:textAlignment w:val="baseline"/>
              <w:rPr>
                <w:rFonts w:eastAsia="Times New Roman" w:cs="Calibri"/>
                <w:color w:val="FFFFFF"/>
                <w:kern w:val="24"/>
                <w:lang w:val="en-CA" w:eastAsia="en-GB"/>
              </w:rPr>
            </w:pPr>
            <w:r w:rsidRPr="007F63EF">
              <w:rPr>
                <w:rFonts w:eastAsia="Times New Roman" w:cs="Calibri"/>
                <w:color w:val="FFFFFF"/>
                <w:kern w:val="24"/>
                <w:lang w:val="en-CA" w:eastAsia="en-GB"/>
              </w:rPr>
              <w:t> </w:t>
            </w:r>
          </w:p>
        </w:tc>
        <w:tc>
          <w:tcPr>
            <w:tcW w:w="1357" w:type="pct"/>
            <w:gridSpan w:val="2"/>
            <w:tcBorders>
              <w:top w:val="single" w:sz="6" w:space="0" w:color="FFFFFF"/>
              <w:left w:val="single" w:sz="6" w:space="0" w:color="FFFFFF"/>
              <w:bottom w:val="single" w:sz="6" w:space="0" w:color="FFFFFF"/>
              <w:right w:val="single" w:sz="6" w:space="0" w:color="FFFFFF"/>
            </w:tcBorders>
            <w:shd w:val="clear" w:color="auto" w:fill="B0B0B1"/>
            <w:tcMar>
              <w:top w:w="15" w:type="dxa"/>
              <w:left w:w="170" w:type="dxa"/>
              <w:bottom w:w="0" w:type="dxa"/>
              <w:right w:w="170" w:type="dxa"/>
            </w:tcMar>
            <w:vAlign w:val="center"/>
            <w:hideMark/>
          </w:tcPr>
          <w:p w14:paraId="0C9DEECA" w14:textId="77777777" w:rsidR="00DB7D1A" w:rsidRPr="007F63EF" w:rsidRDefault="00DB7D1A" w:rsidP="007F63EF">
            <w:pPr>
              <w:spacing w:line="256" w:lineRule="auto"/>
              <w:textAlignment w:val="baseline"/>
              <w:rPr>
                <w:rFonts w:eastAsia="Times New Roman" w:cs="Calibri"/>
                <w:color w:val="FFFFFF"/>
                <w:kern w:val="24"/>
                <w:lang w:val="en-CA" w:eastAsia="en-GB"/>
              </w:rPr>
            </w:pPr>
            <w:r w:rsidRPr="007F63EF">
              <w:rPr>
                <w:rFonts w:eastAsia="Times New Roman" w:cs="Calibri"/>
                <w:color w:val="FFFFFF"/>
                <w:kern w:val="24"/>
                <w:lang w:val="en-CA" w:eastAsia="en-GB"/>
              </w:rPr>
              <w:t>Resources</w:t>
            </w:r>
          </w:p>
        </w:tc>
        <w:tc>
          <w:tcPr>
            <w:tcW w:w="1001" w:type="pct"/>
            <w:gridSpan w:val="2"/>
            <w:tcBorders>
              <w:top w:val="single" w:sz="6" w:space="0" w:color="FFFFFF"/>
              <w:left w:val="single" w:sz="6" w:space="0" w:color="FFFFFF"/>
              <w:bottom w:val="single" w:sz="6" w:space="0" w:color="FFFFFF"/>
              <w:right w:val="single" w:sz="6" w:space="0" w:color="FFFFFF"/>
            </w:tcBorders>
            <w:shd w:val="clear" w:color="auto" w:fill="B0B0B1"/>
            <w:tcMar>
              <w:top w:w="15" w:type="dxa"/>
              <w:left w:w="170" w:type="dxa"/>
              <w:bottom w:w="0" w:type="dxa"/>
              <w:right w:w="170" w:type="dxa"/>
            </w:tcMar>
            <w:vAlign w:val="center"/>
            <w:hideMark/>
          </w:tcPr>
          <w:p w14:paraId="21DE7BC0" w14:textId="77777777" w:rsidR="00DB7D1A" w:rsidRPr="007F63EF" w:rsidRDefault="00DB7D1A" w:rsidP="007F63EF">
            <w:pPr>
              <w:spacing w:line="256" w:lineRule="auto"/>
              <w:textAlignment w:val="baseline"/>
              <w:rPr>
                <w:rFonts w:eastAsia="Times New Roman" w:cs="Calibri"/>
                <w:color w:val="FFFFFF"/>
                <w:kern w:val="24"/>
                <w:lang w:val="en-CA" w:eastAsia="en-GB"/>
              </w:rPr>
            </w:pPr>
            <w:r w:rsidRPr="007F63EF">
              <w:rPr>
                <w:rFonts w:eastAsia="Times New Roman" w:cs="Calibri"/>
                <w:color w:val="FFFFFF"/>
                <w:kern w:val="24"/>
                <w:lang w:val="en-CA" w:eastAsia="en-GB"/>
              </w:rPr>
              <w:t>Capacity</w:t>
            </w:r>
          </w:p>
        </w:tc>
        <w:tc>
          <w:tcPr>
            <w:tcW w:w="1008" w:type="pct"/>
            <w:gridSpan w:val="2"/>
            <w:tcBorders>
              <w:top w:val="single" w:sz="6" w:space="0" w:color="FFFFFF"/>
              <w:left w:val="single" w:sz="6" w:space="0" w:color="FFFFFF"/>
              <w:bottom w:val="single" w:sz="6" w:space="0" w:color="FFFFFF"/>
              <w:right w:val="single" w:sz="6" w:space="0" w:color="FFFFFF"/>
            </w:tcBorders>
            <w:shd w:val="clear" w:color="auto" w:fill="B0B0B1"/>
            <w:tcMar>
              <w:top w:w="15" w:type="dxa"/>
              <w:left w:w="170" w:type="dxa"/>
              <w:bottom w:w="0" w:type="dxa"/>
              <w:right w:w="170" w:type="dxa"/>
            </w:tcMar>
            <w:vAlign w:val="center"/>
            <w:hideMark/>
          </w:tcPr>
          <w:p w14:paraId="6F3E2959" w14:textId="77777777" w:rsidR="00DB7D1A" w:rsidRPr="007F63EF" w:rsidRDefault="00DB7D1A" w:rsidP="007F63EF">
            <w:pPr>
              <w:spacing w:line="256" w:lineRule="auto"/>
              <w:textAlignment w:val="baseline"/>
              <w:rPr>
                <w:rFonts w:eastAsia="Times New Roman" w:cs="Calibri"/>
                <w:color w:val="FFFFFF"/>
                <w:kern w:val="24"/>
                <w:lang w:val="en-CA" w:eastAsia="en-GB"/>
              </w:rPr>
            </w:pPr>
            <w:r w:rsidRPr="007F63EF">
              <w:rPr>
                <w:rFonts w:eastAsia="Times New Roman" w:cs="Calibri"/>
                <w:color w:val="FFFFFF"/>
                <w:kern w:val="24"/>
                <w:lang w:val="en-CA" w:eastAsia="en-GB"/>
              </w:rPr>
              <w:t>Motivation</w:t>
            </w:r>
          </w:p>
        </w:tc>
        <w:tc>
          <w:tcPr>
            <w:tcW w:w="1003" w:type="pct"/>
            <w:gridSpan w:val="2"/>
            <w:tcBorders>
              <w:top w:val="single" w:sz="6" w:space="0" w:color="FFFFFF"/>
              <w:left w:val="single" w:sz="6" w:space="0" w:color="FFFFFF"/>
              <w:bottom w:val="single" w:sz="6" w:space="0" w:color="FFFFFF"/>
              <w:right w:val="single" w:sz="6" w:space="0" w:color="FFFFFF"/>
            </w:tcBorders>
            <w:shd w:val="clear" w:color="auto" w:fill="B0B0B1"/>
            <w:tcMar>
              <w:top w:w="15" w:type="dxa"/>
              <w:left w:w="170" w:type="dxa"/>
              <w:bottom w:w="0" w:type="dxa"/>
              <w:right w:w="170" w:type="dxa"/>
            </w:tcMar>
            <w:vAlign w:val="center"/>
            <w:hideMark/>
          </w:tcPr>
          <w:p w14:paraId="3EC528CD" w14:textId="77777777" w:rsidR="00DB7D1A" w:rsidRPr="007F63EF" w:rsidRDefault="00DB7D1A" w:rsidP="007F63EF">
            <w:pPr>
              <w:spacing w:line="256" w:lineRule="auto"/>
              <w:textAlignment w:val="baseline"/>
              <w:rPr>
                <w:rFonts w:eastAsia="Times New Roman" w:cs="Calibri"/>
                <w:color w:val="FFFFFF"/>
                <w:kern w:val="24"/>
                <w:lang w:val="en-CA" w:eastAsia="en-GB"/>
              </w:rPr>
            </w:pPr>
            <w:r w:rsidRPr="007F63EF">
              <w:rPr>
                <w:rFonts w:eastAsia="Times New Roman" w:cs="Calibri"/>
                <w:color w:val="FFFFFF"/>
                <w:kern w:val="24"/>
                <w:lang w:val="en-CA" w:eastAsia="en-GB"/>
              </w:rPr>
              <w:t>Plans</w:t>
            </w:r>
          </w:p>
        </w:tc>
      </w:tr>
      <w:tr w:rsidR="00E23B99" w:rsidRPr="00E23B99" w14:paraId="53C478D7" w14:textId="77777777" w:rsidTr="00DB0F63">
        <w:trPr>
          <w:trHeight w:val="363"/>
        </w:trPr>
        <w:tc>
          <w:tcPr>
            <w:tcW w:w="630" w:type="pct"/>
            <w:tcBorders>
              <w:top w:val="single" w:sz="6" w:space="0" w:color="FFFFFF"/>
              <w:left w:val="single" w:sz="6" w:space="0" w:color="FFFFFF"/>
              <w:bottom w:val="single" w:sz="6" w:space="0" w:color="F2F2F2"/>
              <w:right w:val="single" w:sz="6" w:space="0" w:color="FFFFFF"/>
            </w:tcBorders>
            <w:shd w:val="clear" w:color="auto" w:fill="D8D8D8"/>
            <w:tcMar>
              <w:top w:w="15" w:type="dxa"/>
              <w:left w:w="170" w:type="dxa"/>
              <w:bottom w:w="0" w:type="dxa"/>
              <w:right w:w="170" w:type="dxa"/>
            </w:tcMar>
            <w:vAlign w:val="center"/>
            <w:hideMark/>
          </w:tcPr>
          <w:p w14:paraId="231AE7A6" w14:textId="77777777" w:rsidR="00DB7D1A" w:rsidRPr="007F63EF" w:rsidRDefault="00DB7D1A" w:rsidP="008C1BFD">
            <w:pPr>
              <w:spacing w:line="256" w:lineRule="auto"/>
              <w:textAlignment w:val="baseline"/>
              <w:rPr>
                <w:rFonts w:eastAsia="Times New Roman" w:cs="Calibri"/>
                <w:kern w:val="24"/>
                <w:lang w:val="en-CA" w:eastAsia="en-GB"/>
              </w:rPr>
            </w:pPr>
            <w:r w:rsidRPr="007F63EF">
              <w:rPr>
                <w:rFonts w:eastAsia="Times New Roman" w:cs="Calibri"/>
                <w:kern w:val="24"/>
                <w:lang w:val="en-CA" w:eastAsia="en-GB"/>
              </w:rPr>
              <w:t> </w:t>
            </w:r>
          </w:p>
        </w:tc>
        <w:tc>
          <w:tcPr>
            <w:tcW w:w="655"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5A358479" w14:textId="77777777" w:rsidR="00DB7D1A" w:rsidRPr="007F63EF" w:rsidRDefault="00DB7D1A" w:rsidP="008C1BFD">
            <w:pPr>
              <w:spacing w:line="256" w:lineRule="auto"/>
              <w:textAlignment w:val="baseline"/>
              <w:rPr>
                <w:rFonts w:eastAsia="Times New Roman" w:cs="Calibri"/>
                <w:kern w:val="24"/>
                <w:lang w:val="en-CA" w:eastAsia="en-GB"/>
              </w:rPr>
            </w:pPr>
            <w:r w:rsidRPr="007F63EF">
              <w:rPr>
                <w:rFonts w:eastAsia="Times New Roman" w:cs="Calibri"/>
                <w:kern w:val="24"/>
                <w:lang w:val="en-CA" w:eastAsia="en-GB"/>
              </w:rPr>
              <w:t>Current</w:t>
            </w:r>
          </w:p>
        </w:tc>
        <w:tc>
          <w:tcPr>
            <w:tcW w:w="702"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52280680" w14:textId="77777777" w:rsidR="00DB7D1A" w:rsidRPr="007F63EF" w:rsidRDefault="00DB7D1A" w:rsidP="008C1BFD">
            <w:pPr>
              <w:spacing w:line="256" w:lineRule="auto"/>
              <w:textAlignment w:val="baseline"/>
              <w:rPr>
                <w:rFonts w:eastAsia="Times New Roman" w:cs="Calibri"/>
                <w:kern w:val="24"/>
                <w:lang w:val="en-CA" w:eastAsia="en-GB"/>
              </w:rPr>
            </w:pPr>
            <w:r w:rsidRPr="007F63EF">
              <w:rPr>
                <w:rFonts w:eastAsia="Times New Roman" w:cs="Calibri"/>
                <w:kern w:val="24"/>
                <w:lang w:val="en-CA" w:eastAsia="en-GB"/>
              </w:rPr>
              <w:t>Planned</w:t>
            </w:r>
          </w:p>
        </w:tc>
        <w:tc>
          <w:tcPr>
            <w:tcW w:w="500"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648E2F98" w14:textId="77777777" w:rsidR="00DB7D1A" w:rsidRPr="007F63EF" w:rsidRDefault="00DB7D1A" w:rsidP="008C1BFD">
            <w:pPr>
              <w:spacing w:line="256" w:lineRule="auto"/>
              <w:textAlignment w:val="baseline"/>
              <w:rPr>
                <w:rFonts w:eastAsia="Times New Roman" w:cs="Calibri"/>
                <w:kern w:val="24"/>
                <w:lang w:val="en-CA" w:eastAsia="en-GB"/>
              </w:rPr>
            </w:pPr>
            <w:r w:rsidRPr="007F63EF">
              <w:rPr>
                <w:rFonts w:eastAsia="Times New Roman" w:cs="Calibri"/>
                <w:kern w:val="24"/>
                <w:lang w:val="en-CA" w:eastAsia="en-GB"/>
              </w:rPr>
              <w:t>Current</w:t>
            </w:r>
          </w:p>
        </w:tc>
        <w:tc>
          <w:tcPr>
            <w:tcW w:w="501"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3DC4C4EB" w14:textId="77777777" w:rsidR="00DB7D1A" w:rsidRPr="007F63EF" w:rsidRDefault="00DB7D1A" w:rsidP="008C1BFD">
            <w:pPr>
              <w:spacing w:line="256" w:lineRule="auto"/>
              <w:textAlignment w:val="baseline"/>
              <w:rPr>
                <w:rFonts w:eastAsia="Times New Roman" w:cs="Calibri"/>
                <w:kern w:val="24"/>
                <w:lang w:val="en-CA" w:eastAsia="en-GB"/>
              </w:rPr>
            </w:pPr>
            <w:r w:rsidRPr="007F63EF">
              <w:rPr>
                <w:rFonts w:eastAsia="Times New Roman" w:cs="Calibri"/>
                <w:kern w:val="24"/>
                <w:lang w:val="en-CA" w:eastAsia="en-GB"/>
              </w:rPr>
              <w:t>Planned</w:t>
            </w:r>
          </w:p>
        </w:tc>
        <w:tc>
          <w:tcPr>
            <w:tcW w:w="507"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40C33806" w14:textId="77777777" w:rsidR="00DB7D1A" w:rsidRPr="007F63EF" w:rsidRDefault="00DB7D1A" w:rsidP="008C1BFD">
            <w:pPr>
              <w:spacing w:line="256" w:lineRule="auto"/>
              <w:textAlignment w:val="baseline"/>
              <w:rPr>
                <w:rFonts w:eastAsia="Times New Roman" w:cs="Calibri"/>
                <w:kern w:val="24"/>
                <w:lang w:val="en-CA" w:eastAsia="en-GB"/>
              </w:rPr>
            </w:pPr>
            <w:r w:rsidRPr="007F63EF">
              <w:rPr>
                <w:rFonts w:eastAsia="Times New Roman" w:cs="Calibri"/>
                <w:kern w:val="24"/>
                <w:lang w:val="en-CA" w:eastAsia="en-GB"/>
              </w:rPr>
              <w:t>Current</w:t>
            </w:r>
          </w:p>
        </w:tc>
        <w:tc>
          <w:tcPr>
            <w:tcW w:w="501"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1C49110E" w14:textId="77777777" w:rsidR="00DB7D1A" w:rsidRPr="007F63EF" w:rsidRDefault="00DB7D1A" w:rsidP="008C1BFD">
            <w:pPr>
              <w:spacing w:line="256" w:lineRule="auto"/>
              <w:textAlignment w:val="baseline"/>
              <w:rPr>
                <w:rFonts w:eastAsia="Times New Roman" w:cs="Calibri"/>
                <w:kern w:val="24"/>
                <w:lang w:val="en-CA" w:eastAsia="en-GB"/>
              </w:rPr>
            </w:pPr>
            <w:r w:rsidRPr="007F63EF">
              <w:rPr>
                <w:rFonts w:eastAsia="Times New Roman" w:cs="Calibri"/>
                <w:kern w:val="24"/>
                <w:lang w:val="en-CA" w:eastAsia="en-GB"/>
              </w:rPr>
              <w:t>Planned</w:t>
            </w:r>
          </w:p>
        </w:tc>
        <w:tc>
          <w:tcPr>
            <w:tcW w:w="500"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3A1FF584" w14:textId="77777777" w:rsidR="00DB7D1A" w:rsidRPr="007F63EF" w:rsidRDefault="00DB7D1A" w:rsidP="008C1BFD">
            <w:pPr>
              <w:spacing w:line="256" w:lineRule="auto"/>
              <w:textAlignment w:val="baseline"/>
              <w:rPr>
                <w:rFonts w:eastAsia="Times New Roman" w:cs="Calibri"/>
                <w:kern w:val="24"/>
                <w:lang w:val="en-CA" w:eastAsia="en-GB"/>
              </w:rPr>
            </w:pPr>
            <w:r w:rsidRPr="007F63EF">
              <w:rPr>
                <w:rFonts w:eastAsia="Times New Roman" w:cs="Calibri"/>
                <w:kern w:val="24"/>
                <w:lang w:val="en-CA" w:eastAsia="en-GB"/>
              </w:rPr>
              <w:t>Current</w:t>
            </w:r>
          </w:p>
        </w:tc>
        <w:tc>
          <w:tcPr>
            <w:tcW w:w="503" w:type="pct"/>
            <w:tcBorders>
              <w:top w:val="single" w:sz="6" w:space="0" w:color="FFFFFF"/>
              <w:left w:val="single" w:sz="6" w:space="0" w:color="FFFFFF"/>
              <w:bottom w:val="single" w:sz="6" w:space="0" w:color="FFFFFF"/>
              <w:right w:val="single" w:sz="6" w:space="0" w:color="FFFFFF"/>
            </w:tcBorders>
            <w:shd w:val="clear" w:color="auto" w:fill="D8D8D8"/>
            <w:tcMar>
              <w:top w:w="15" w:type="dxa"/>
              <w:left w:w="170" w:type="dxa"/>
              <w:bottom w:w="0" w:type="dxa"/>
              <w:right w:w="170" w:type="dxa"/>
            </w:tcMar>
            <w:vAlign w:val="center"/>
            <w:hideMark/>
          </w:tcPr>
          <w:p w14:paraId="771AA1F7" w14:textId="77777777" w:rsidR="00DB7D1A" w:rsidRPr="007F63EF" w:rsidRDefault="00DB7D1A" w:rsidP="008C1BFD">
            <w:pPr>
              <w:spacing w:line="256" w:lineRule="auto"/>
              <w:textAlignment w:val="baseline"/>
              <w:rPr>
                <w:rFonts w:eastAsia="Times New Roman" w:cs="Calibri"/>
                <w:kern w:val="24"/>
                <w:lang w:val="en-CA" w:eastAsia="en-GB"/>
              </w:rPr>
            </w:pPr>
            <w:r w:rsidRPr="007F63EF">
              <w:rPr>
                <w:rFonts w:eastAsia="Times New Roman" w:cs="Calibri"/>
                <w:kern w:val="24"/>
                <w:lang w:val="en-CA" w:eastAsia="en-GB"/>
              </w:rPr>
              <w:t>Planned</w:t>
            </w:r>
          </w:p>
        </w:tc>
      </w:tr>
      <w:tr w:rsidR="007F63EF" w:rsidRPr="00F10885" w14:paraId="35DCE101" w14:textId="77777777" w:rsidTr="007F63EF">
        <w:trPr>
          <w:trHeight w:val="363"/>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335CB08A" w14:textId="533E4DB2"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76" w:history="1">
              <w:r w:rsidR="00DB7D1A" w:rsidRPr="00F10885">
                <w:rPr>
                  <w:rFonts w:eastAsia="Times New Roman" w:cs="Vrinda"/>
                  <w:kern w:val="24"/>
                  <w:sz w:val="20"/>
                  <w:szCs w:val="20"/>
                  <w:u w:val="single"/>
                  <w:lang w:eastAsia="en-GB"/>
                </w:rPr>
                <w:t>Bangladesh</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5ED6F36"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0D00C44"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8732F2C"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5E573BF"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7"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4E960D46"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6D881AAE"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97486C4"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2662C2EE"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7ACCE413" w14:textId="77777777" w:rsidTr="007F63EF">
        <w:trPr>
          <w:trHeight w:val="385"/>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75B0B435" w14:textId="23099636"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77" w:history="1">
              <w:r w:rsidR="00DB7D1A" w:rsidRPr="00F10885">
                <w:rPr>
                  <w:rFonts w:eastAsia="Times New Roman" w:cs="Vrinda"/>
                  <w:kern w:val="24"/>
                  <w:sz w:val="20"/>
                  <w:szCs w:val="20"/>
                  <w:u w:val="single"/>
                  <w:lang w:val="en-US" w:eastAsia="en-GB"/>
                </w:rPr>
                <w:t>Bhutan</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6FE5516"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612DBF9"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C8DB50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36691A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7"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00EE91C8"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B5B5E8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B4635B6"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F87762A"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28C4AAC1" w14:textId="77777777" w:rsidTr="007F63EF">
        <w:trPr>
          <w:trHeight w:val="363"/>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21569D4C" w14:textId="0AFBCD41"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78" w:history="1">
              <w:r w:rsidR="00DB7D1A" w:rsidRPr="00F10885">
                <w:rPr>
                  <w:rFonts w:eastAsia="Times New Roman" w:cs="Calibri"/>
                  <w:kern w:val="24"/>
                  <w:sz w:val="20"/>
                  <w:szCs w:val="20"/>
                  <w:u w:val="single"/>
                  <w:lang w:eastAsia="en-GB"/>
                </w:rPr>
                <w:t>Ghana</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12DD31C5"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4ACB1F25"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6D769A5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A0BFBE1"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7"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8CAE5BE"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ADC7F5E"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80F0EB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4B46CF4"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3FC925A3" w14:textId="77777777" w:rsidTr="007F63EF">
        <w:trPr>
          <w:trHeight w:val="385"/>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1BD766FD" w14:textId="3DE81E9A"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79" w:history="1">
              <w:r w:rsidR="00DB7D1A" w:rsidRPr="00F10885">
                <w:rPr>
                  <w:rFonts w:eastAsia="Times New Roman" w:cs="Vrinda"/>
                  <w:kern w:val="24"/>
                  <w:sz w:val="20"/>
                  <w:szCs w:val="20"/>
                  <w:u w:val="single"/>
                  <w:lang w:eastAsia="en-GB"/>
                </w:rPr>
                <w:t>Indonesia</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196A638"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B736F8F"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168BAA2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070B4E8C"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7"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57D1030F"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086F4B1E"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0A16A42"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B762DD5"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0FEB437E" w14:textId="77777777" w:rsidTr="007F63EF">
        <w:trPr>
          <w:trHeight w:val="363"/>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22B5AF37" w14:textId="24563F87"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80" w:history="1">
              <w:r w:rsidR="00DB7D1A" w:rsidRPr="00F10885">
                <w:rPr>
                  <w:rFonts w:eastAsia="Times New Roman" w:cs="Calibri"/>
                  <w:kern w:val="24"/>
                  <w:sz w:val="20"/>
                  <w:szCs w:val="20"/>
                  <w:u w:val="single"/>
                  <w:lang w:eastAsia="en-GB"/>
                </w:rPr>
                <w:t>Kenya</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F0F9205"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036196C6"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1E1CBF2"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E59EE96"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7"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B22CB02"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40D2CF63"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26AE3A0" w14:textId="77777777" w:rsidR="00DB7D1A" w:rsidRPr="00F10885" w:rsidRDefault="00DB7D1A" w:rsidP="008C1BFD">
            <w:pPr>
              <w:rPr>
                <w:rFonts w:ascii="Arial" w:eastAsia="Times New Roman" w:hAnsi="Arial"/>
                <w:sz w:val="36"/>
                <w:szCs w:val="36"/>
                <w:lang w:eastAsia="en-GB"/>
              </w:rPr>
            </w:pPr>
          </w:p>
        </w:tc>
        <w:tc>
          <w:tcPr>
            <w:tcW w:w="503"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9AB691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6BFD1898" w14:textId="77777777" w:rsidTr="007F63EF">
        <w:trPr>
          <w:trHeight w:val="363"/>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4F88EBB9" w14:textId="0F12E814"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81" w:history="1">
              <w:r w:rsidR="00DB7D1A" w:rsidRPr="00F10885">
                <w:rPr>
                  <w:rFonts w:eastAsia="Times New Roman" w:cs="Calibri"/>
                  <w:kern w:val="24"/>
                  <w:sz w:val="20"/>
                  <w:szCs w:val="20"/>
                  <w:u w:val="single"/>
                  <w:lang w:eastAsia="en-GB"/>
                </w:rPr>
                <w:t>Laos</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2C805D4"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E9465E3"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E15A76D"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1FC50B5E"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7"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551D7E8"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FD4D96B"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3A59431"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3233101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3C006CA5" w14:textId="77777777" w:rsidTr="007F63EF">
        <w:trPr>
          <w:trHeight w:val="385"/>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67A5820B" w14:textId="26DF22E8"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82" w:history="1">
              <w:r w:rsidR="00DB7D1A" w:rsidRPr="00F10885">
                <w:rPr>
                  <w:rFonts w:eastAsia="Times New Roman" w:cs="Calibri"/>
                  <w:kern w:val="24"/>
                  <w:sz w:val="20"/>
                  <w:szCs w:val="20"/>
                  <w:u w:val="single"/>
                  <w:lang w:eastAsia="en-GB"/>
                </w:rPr>
                <w:t>Nepal</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37ABF8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7128E96"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DF4E39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6CBDC32"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7"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5CB1074"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A430502"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82419E2"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C01CC1F"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1AD95406" w14:textId="77777777" w:rsidTr="007F63EF">
        <w:trPr>
          <w:trHeight w:val="363"/>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7754D64C" w14:textId="27328795"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83" w:history="1">
              <w:r w:rsidR="00DB7D1A" w:rsidRPr="00F10885">
                <w:rPr>
                  <w:rFonts w:eastAsia="Times New Roman" w:cs="Vrinda"/>
                  <w:kern w:val="24"/>
                  <w:sz w:val="20"/>
                  <w:szCs w:val="20"/>
                  <w:u w:val="single"/>
                  <w:lang w:eastAsia="en-GB"/>
                </w:rPr>
                <w:t>Nigeria</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CAE1215"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CF85579"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DF3AC05"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781B03F8"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7"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3F743E39"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6983F7BB"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6C3B7C6"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D6DDD8E"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129473B6" w14:textId="77777777" w:rsidTr="007F63EF">
        <w:trPr>
          <w:trHeight w:val="363"/>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1E792FF1" w14:textId="77781364"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84" w:history="1">
              <w:r w:rsidR="00DB7D1A" w:rsidRPr="00F10885">
                <w:rPr>
                  <w:rFonts w:eastAsia="Times New Roman" w:cs="Calibri"/>
                  <w:kern w:val="24"/>
                  <w:sz w:val="20"/>
                  <w:szCs w:val="20"/>
                  <w:u w:val="single"/>
                  <w:lang w:eastAsia="en-GB"/>
                </w:rPr>
                <w:t>Pakistan</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A30E826"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146CB1A"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3EA815C"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67162E3"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7"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6EB8EB5"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5CE9357" w14:textId="77777777" w:rsidR="00DB7D1A" w:rsidRPr="00F10885" w:rsidRDefault="00DB7D1A" w:rsidP="008C1BFD">
            <w:pPr>
              <w:rPr>
                <w:rFonts w:ascii="Arial" w:eastAsia="Times New Roman" w:hAnsi="Arial"/>
                <w:sz w:val="36"/>
                <w:szCs w:val="36"/>
                <w:lang w:eastAsia="en-GB"/>
              </w:rPr>
            </w:pP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0F7456E"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92F31C1"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301075DE" w14:textId="77777777" w:rsidTr="007F63EF">
        <w:trPr>
          <w:trHeight w:val="385"/>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6427CDBE" w14:textId="3B15F4C2"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85" w:history="1">
              <w:r w:rsidR="00DB7D1A" w:rsidRPr="00F10885">
                <w:rPr>
                  <w:rFonts w:eastAsia="Times New Roman" w:cs="Vrinda"/>
                  <w:kern w:val="24"/>
                  <w:sz w:val="20"/>
                  <w:szCs w:val="20"/>
                  <w:u w:val="single"/>
                  <w:lang w:eastAsia="en-GB"/>
                </w:rPr>
                <w:t>Senegal</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60CD231"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14E893FF"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39824A38"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5666231B"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7"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75D97B4"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C91A683"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AADCC6E"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8884D76"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08EBAEDF" w14:textId="77777777" w:rsidTr="007F63EF">
        <w:trPr>
          <w:trHeight w:val="363"/>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0286A2DD" w14:textId="579CA685"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86" w:history="1">
              <w:r w:rsidR="00DB7D1A" w:rsidRPr="00F10885">
                <w:rPr>
                  <w:rFonts w:eastAsia="Times New Roman" w:cs="Vrinda"/>
                  <w:kern w:val="24"/>
                  <w:sz w:val="20"/>
                  <w:szCs w:val="20"/>
                  <w:u w:val="single"/>
                  <w:lang w:eastAsia="en-GB"/>
                </w:rPr>
                <w:t>Sierra Leone</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222AA44"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6EAAC1B"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3D93129" w14:textId="77777777" w:rsidR="00DB7D1A" w:rsidRPr="00F10885" w:rsidRDefault="00DB7D1A" w:rsidP="008C1BFD">
            <w:pPr>
              <w:rPr>
                <w:rFonts w:ascii="Arial" w:eastAsia="Times New Roman" w:hAnsi="Arial"/>
                <w:sz w:val="36"/>
                <w:szCs w:val="36"/>
                <w:lang w:eastAsia="en-GB"/>
              </w:rPr>
            </w:pPr>
          </w:p>
        </w:tc>
        <w:tc>
          <w:tcPr>
            <w:tcW w:w="501"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6E3FF4A9" w14:textId="77777777" w:rsidR="00DB7D1A" w:rsidRPr="00F10885" w:rsidRDefault="00DB7D1A" w:rsidP="008C1BFD">
            <w:pPr>
              <w:rPr>
                <w:rFonts w:ascii="Times New Roman" w:eastAsia="Times New Roman" w:hAnsi="Times New Roman" w:cs="Times New Roman"/>
                <w:sz w:val="20"/>
                <w:szCs w:val="20"/>
                <w:lang w:eastAsia="en-GB"/>
              </w:rPr>
            </w:pPr>
          </w:p>
        </w:tc>
        <w:tc>
          <w:tcPr>
            <w:tcW w:w="507"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2699EE75"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A5DCA1A"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B1F5236"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BA1CABD"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6733E79D" w14:textId="77777777" w:rsidTr="007F63EF">
        <w:trPr>
          <w:trHeight w:val="385"/>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54A05E61" w14:textId="1F31E2F4"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87" w:history="1">
              <w:r w:rsidR="00DB7D1A" w:rsidRPr="00F10885">
                <w:rPr>
                  <w:rFonts w:eastAsia="Times New Roman" w:cs="Calibri"/>
                  <w:kern w:val="24"/>
                  <w:sz w:val="20"/>
                  <w:szCs w:val="20"/>
                  <w:u w:val="single"/>
                  <w:lang w:eastAsia="en-GB"/>
                </w:rPr>
                <w:t>Tanzania</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7518003"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CA8C595" w14:textId="77777777" w:rsidR="00DB7D1A" w:rsidRPr="00F10885" w:rsidRDefault="00DB7D1A" w:rsidP="008C1BFD">
            <w:pPr>
              <w:rPr>
                <w:rFonts w:ascii="Arial" w:eastAsia="Times New Roman" w:hAnsi="Arial"/>
                <w:sz w:val="36"/>
                <w:szCs w:val="36"/>
                <w:lang w:eastAsia="en-GB"/>
              </w:rPr>
            </w:pP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1B0E4CE"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A46A075"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7"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2867873"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BC7CCB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2B05428D"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3D6EC4D"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6648048A" w14:textId="77777777" w:rsidTr="007F63EF">
        <w:trPr>
          <w:trHeight w:val="363"/>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4D49613A" w14:textId="173DF3B9"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88" w:history="1">
              <w:r w:rsidR="00260B8A">
                <w:rPr>
                  <w:rFonts w:eastAsia="Times New Roman" w:cs="Vrinda"/>
                  <w:kern w:val="24"/>
                  <w:sz w:val="20"/>
                  <w:szCs w:val="20"/>
                  <w:u w:val="single"/>
                  <w:lang w:eastAsia="en-GB"/>
                </w:rPr>
                <w:t>Timor-Leste</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1323DD31"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61E96296"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17800C3"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3C224BE"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7"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4A082FB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71B5D24"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2FD109DE"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17450AF"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0AAC2460" w14:textId="77777777" w:rsidTr="007F63EF">
        <w:trPr>
          <w:trHeight w:val="363"/>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73E32076" w14:textId="6ECF94E5"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89" w:history="1">
              <w:r w:rsidR="00DB7D1A" w:rsidRPr="00F10885">
                <w:rPr>
                  <w:rFonts w:eastAsia="Times New Roman" w:cs="Calibri"/>
                  <w:kern w:val="24"/>
                  <w:sz w:val="20"/>
                  <w:szCs w:val="20"/>
                  <w:u w:val="single"/>
                  <w:lang w:eastAsia="en-GB"/>
                </w:rPr>
                <w:t>Uganda</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6B613D9C"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702"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0C85757F"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76F94B4C"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4CA8B5C"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7"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9511FDC"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8403A2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1303AE22"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F3BF82A"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58EE5910" w14:textId="77777777" w:rsidTr="007F63EF">
        <w:trPr>
          <w:trHeight w:val="385"/>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08FC246F" w14:textId="2B4D1B00"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90" w:history="1">
              <w:r w:rsidR="00DB7D1A" w:rsidRPr="00F10885">
                <w:rPr>
                  <w:rFonts w:eastAsia="Times New Roman" w:cs="Vrinda"/>
                  <w:kern w:val="24"/>
                  <w:sz w:val="20"/>
                  <w:szCs w:val="20"/>
                  <w:u w:val="single"/>
                  <w:lang w:eastAsia="en-GB"/>
                </w:rPr>
                <w:t>Vietnam</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4C0E7A95" w14:textId="77777777" w:rsidR="00DB7D1A" w:rsidRPr="00F10885" w:rsidRDefault="00DB7D1A" w:rsidP="008C1BFD">
            <w:pPr>
              <w:rPr>
                <w:rFonts w:ascii="Arial" w:eastAsia="Times New Roman" w:hAnsi="Arial"/>
                <w:sz w:val="36"/>
                <w:szCs w:val="36"/>
                <w:lang w:eastAsia="en-GB"/>
              </w:rPr>
            </w:pPr>
          </w:p>
        </w:tc>
        <w:tc>
          <w:tcPr>
            <w:tcW w:w="702"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6281922C" w14:textId="77777777" w:rsidR="00DB7D1A" w:rsidRPr="00F10885" w:rsidRDefault="00DB7D1A" w:rsidP="008C1BFD">
            <w:pPr>
              <w:rPr>
                <w:rFonts w:ascii="Times New Roman" w:eastAsia="Times New Roman" w:hAnsi="Times New Roman" w:cs="Times New Roman"/>
                <w:sz w:val="20"/>
                <w:szCs w:val="20"/>
                <w:lang w:eastAsia="en-GB"/>
              </w:rPr>
            </w:pP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FD19F57" w14:textId="77777777" w:rsidR="00DB7D1A" w:rsidRPr="00F10885" w:rsidRDefault="00DB7D1A" w:rsidP="008C1BFD">
            <w:pPr>
              <w:rPr>
                <w:rFonts w:ascii="Times New Roman" w:eastAsia="Times New Roman" w:hAnsi="Times New Roman" w:cs="Times New Roman"/>
                <w:sz w:val="20"/>
                <w:szCs w:val="20"/>
                <w:lang w:eastAsia="en-GB"/>
              </w:rPr>
            </w:pPr>
          </w:p>
        </w:tc>
        <w:tc>
          <w:tcPr>
            <w:tcW w:w="501"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47DAA206" w14:textId="77777777" w:rsidR="00DB7D1A" w:rsidRPr="00F10885" w:rsidRDefault="00DB7D1A" w:rsidP="008C1BFD">
            <w:pPr>
              <w:rPr>
                <w:rFonts w:ascii="Times New Roman" w:eastAsia="Times New Roman" w:hAnsi="Times New Roman" w:cs="Times New Roman"/>
                <w:sz w:val="20"/>
                <w:szCs w:val="20"/>
                <w:lang w:eastAsia="en-GB"/>
              </w:rPr>
            </w:pPr>
          </w:p>
        </w:tc>
        <w:tc>
          <w:tcPr>
            <w:tcW w:w="507"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29869CB8"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2C36FED6"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E37130"/>
            <w:tcMar>
              <w:top w:w="15" w:type="dxa"/>
              <w:left w:w="170" w:type="dxa"/>
              <w:bottom w:w="0" w:type="dxa"/>
              <w:right w:w="170" w:type="dxa"/>
            </w:tcMar>
            <w:vAlign w:val="center"/>
            <w:hideMark/>
          </w:tcPr>
          <w:p w14:paraId="54DB0FDD"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2FC6CFF"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r w:rsidR="007F63EF" w:rsidRPr="00F10885" w14:paraId="733D1645" w14:textId="77777777" w:rsidTr="007F63EF">
        <w:trPr>
          <w:trHeight w:val="363"/>
        </w:trPr>
        <w:tc>
          <w:tcPr>
            <w:tcW w:w="630" w:type="pct"/>
            <w:tcBorders>
              <w:top w:val="single" w:sz="6" w:space="0" w:color="F2F2F2"/>
              <w:left w:val="single" w:sz="6" w:space="0" w:color="F2F2F2"/>
              <w:bottom w:val="single" w:sz="6" w:space="0" w:color="F2F2F2"/>
              <w:right w:val="single" w:sz="6" w:space="0" w:color="F2F2F2"/>
            </w:tcBorders>
            <w:shd w:val="clear" w:color="auto" w:fill="auto"/>
            <w:tcMar>
              <w:top w:w="15" w:type="dxa"/>
              <w:left w:w="170" w:type="dxa"/>
              <w:bottom w:w="0" w:type="dxa"/>
              <w:right w:w="170" w:type="dxa"/>
            </w:tcMar>
            <w:vAlign w:val="center"/>
            <w:hideMark/>
          </w:tcPr>
          <w:p w14:paraId="4ADBA057" w14:textId="64346391" w:rsidR="00DB7D1A" w:rsidRPr="00F10885" w:rsidRDefault="007B247E" w:rsidP="008C1BFD">
            <w:pPr>
              <w:spacing w:line="256" w:lineRule="auto"/>
              <w:textAlignment w:val="baseline"/>
              <w:rPr>
                <w:rFonts w:ascii="Arial" w:eastAsia="Times New Roman" w:hAnsi="Arial"/>
                <w:sz w:val="20"/>
                <w:szCs w:val="20"/>
                <w:u w:val="single"/>
                <w:lang w:eastAsia="en-GB"/>
              </w:rPr>
            </w:pPr>
            <w:hyperlink r:id="rId91" w:history="1">
              <w:r w:rsidR="00DB7D1A" w:rsidRPr="00F10885">
                <w:rPr>
                  <w:rFonts w:eastAsia="Times New Roman" w:cs="Calibri"/>
                  <w:kern w:val="24"/>
                  <w:sz w:val="20"/>
                  <w:szCs w:val="20"/>
                  <w:u w:val="single"/>
                  <w:lang w:eastAsia="en-GB"/>
                </w:rPr>
                <w:t>Zambia</w:t>
              </w:r>
            </w:hyperlink>
          </w:p>
        </w:tc>
        <w:tc>
          <w:tcPr>
            <w:tcW w:w="655" w:type="pct"/>
            <w:tcBorders>
              <w:top w:val="single" w:sz="6" w:space="0" w:color="FFFFFF"/>
              <w:left w:val="single" w:sz="6" w:space="0" w:color="F2F2F2"/>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66A3082A" w14:textId="77777777" w:rsidR="00DB7D1A" w:rsidRPr="00F10885" w:rsidRDefault="00DB7D1A" w:rsidP="008C1BFD">
            <w:pPr>
              <w:rPr>
                <w:rFonts w:ascii="Arial" w:eastAsia="Times New Roman" w:hAnsi="Arial"/>
                <w:sz w:val="36"/>
                <w:szCs w:val="36"/>
                <w:lang w:eastAsia="en-GB"/>
              </w:rPr>
            </w:pPr>
          </w:p>
        </w:tc>
        <w:tc>
          <w:tcPr>
            <w:tcW w:w="702"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177D15F1" w14:textId="77777777" w:rsidR="00DB7D1A" w:rsidRPr="00F10885" w:rsidRDefault="00DB7D1A" w:rsidP="008C1BFD">
            <w:pPr>
              <w:rPr>
                <w:rFonts w:ascii="Times New Roman" w:eastAsia="Times New Roman" w:hAnsi="Times New Roman" w:cs="Times New Roman"/>
                <w:sz w:val="20"/>
                <w:szCs w:val="20"/>
                <w:lang w:eastAsia="en-GB"/>
              </w:rPr>
            </w:pPr>
          </w:p>
        </w:tc>
        <w:tc>
          <w:tcPr>
            <w:tcW w:w="500"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34BF7A7F" w14:textId="77777777" w:rsidR="00DB7D1A" w:rsidRPr="00F10885" w:rsidRDefault="00DB7D1A" w:rsidP="008C1BFD">
            <w:pPr>
              <w:rPr>
                <w:rFonts w:ascii="Times New Roman" w:eastAsia="Times New Roman" w:hAnsi="Times New Roman" w:cs="Times New Roman"/>
                <w:sz w:val="20"/>
                <w:szCs w:val="20"/>
                <w:lang w:eastAsia="en-GB"/>
              </w:rPr>
            </w:pPr>
          </w:p>
        </w:tc>
        <w:tc>
          <w:tcPr>
            <w:tcW w:w="501" w:type="pct"/>
            <w:tcBorders>
              <w:top w:val="single" w:sz="6" w:space="0" w:color="FFFFFF"/>
              <w:left w:val="single" w:sz="6" w:space="0" w:color="FFFFFF"/>
              <w:bottom w:val="single" w:sz="6" w:space="0" w:color="FFFFFF"/>
              <w:right w:val="single" w:sz="6" w:space="0" w:color="FFFFFF"/>
            </w:tcBorders>
            <w:shd w:val="clear" w:color="auto" w:fill="588B46"/>
            <w:tcMar>
              <w:top w:w="15" w:type="dxa"/>
              <w:left w:w="170" w:type="dxa"/>
              <w:bottom w:w="0" w:type="dxa"/>
              <w:right w:w="170" w:type="dxa"/>
            </w:tcMar>
            <w:vAlign w:val="center"/>
            <w:hideMark/>
          </w:tcPr>
          <w:p w14:paraId="30CB199A" w14:textId="77777777" w:rsidR="00DB7D1A" w:rsidRPr="00F10885" w:rsidRDefault="00DB7D1A" w:rsidP="008C1BFD">
            <w:pPr>
              <w:rPr>
                <w:rFonts w:ascii="Times New Roman" w:eastAsia="Times New Roman" w:hAnsi="Times New Roman" w:cs="Times New Roman"/>
                <w:sz w:val="20"/>
                <w:szCs w:val="20"/>
                <w:lang w:eastAsia="en-GB"/>
              </w:rPr>
            </w:pPr>
          </w:p>
        </w:tc>
        <w:tc>
          <w:tcPr>
            <w:tcW w:w="507"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7AA1FD03"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1"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337454A7"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0"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10E04830"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c>
          <w:tcPr>
            <w:tcW w:w="503" w:type="pct"/>
            <w:tcBorders>
              <w:top w:val="single" w:sz="6" w:space="0" w:color="FFFFFF"/>
              <w:left w:val="single" w:sz="6" w:space="0" w:color="FFFFFF"/>
              <w:bottom w:val="single" w:sz="6" w:space="0" w:color="FFFFFF"/>
              <w:right w:val="single" w:sz="6" w:space="0" w:color="FFFFFF"/>
            </w:tcBorders>
            <w:shd w:val="clear" w:color="auto" w:fill="F0B248"/>
            <w:tcMar>
              <w:top w:w="15" w:type="dxa"/>
              <w:left w:w="170" w:type="dxa"/>
              <w:bottom w:w="0" w:type="dxa"/>
              <w:right w:w="170" w:type="dxa"/>
            </w:tcMar>
            <w:vAlign w:val="center"/>
            <w:hideMark/>
          </w:tcPr>
          <w:p w14:paraId="073E11CA" w14:textId="77777777" w:rsidR="00DB7D1A" w:rsidRPr="00F10885" w:rsidRDefault="00DB7D1A" w:rsidP="008C1BFD">
            <w:pPr>
              <w:spacing w:line="256" w:lineRule="auto"/>
              <w:textAlignment w:val="baseline"/>
              <w:rPr>
                <w:rFonts w:ascii="Arial" w:eastAsia="Times New Roman" w:hAnsi="Arial"/>
                <w:sz w:val="36"/>
                <w:szCs w:val="36"/>
                <w:lang w:eastAsia="en-GB"/>
              </w:rPr>
            </w:pPr>
            <w:r w:rsidRPr="00F10885">
              <w:rPr>
                <w:rFonts w:eastAsia="Times New Roman" w:cs="Calibri"/>
                <w:color w:val="000000"/>
                <w:kern w:val="24"/>
                <w:sz w:val="20"/>
                <w:szCs w:val="20"/>
                <w:lang w:eastAsia="en-GB"/>
              </w:rPr>
              <w:t> </w:t>
            </w:r>
          </w:p>
        </w:tc>
      </w:tr>
    </w:tbl>
    <w:p w14:paraId="1388A10D" w14:textId="77777777" w:rsidR="00DB7D1A" w:rsidRDefault="00DB7D1A" w:rsidP="007F63EF">
      <w:pPr>
        <w:pStyle w:val="FFNormal"/>
      </w:pPr>
    </w:p>
    <w:p w14:paraId="265819D0" w14:textId="050A8912" w:rsidR="00CB2252" w:rsidRDefault="00CB2252" w:rsidP="00CB2252">
      <w:pPr>
        <w:pStyle w:val="Caption"/>
        <w:keepNext/>
      </w:pPr>
      <w:bookmarkStart w:id="293" w:name="_Ref127264377"/>
      <w:bookmarkStart w:id="294" w:name="_Toc143857912"/>
      <w:r>
        <w:t xml:space="preserve">Table </w:t>
      </w:r>
      <w:r>
        <w:fldChar w:fldCharType="begin"/>
      </w:r>
      <w:r>
        <w:instrText>SEQ Table \* ARABIC</w:instrText>
      </w:r>
      <w:r>
        <w:fldChar w:fldCharType="separate"/>
      </w:r>
      <w:r w:rsidR="009A383C">
        <w:rPr>
          <w:noProof/>
        </w:rPr>
        <w:t>44</w:t>
      </w:r>
      <w:r>
        <w:fldChar w:fldCharType="end"/>
      </w:r>
      <w:bookmarkEnd w:id="293"/>
      <w:r>
        <w:t xml:space="preserve"> Sustainability Data Rubric</w:t>
      </w:r>
      <w:bookmarkEnd w:id="294"/>
    </w:p>
    <w:tbl>
      <w:tblPr>
        <w:tblStyle w:val="Itadalternaterows"/>
        <w:tblW w:w="5000" w:type="pct"/>
        <w:tblInd w:w="0" w:type="dxa"/>
        <w:tblLook w:val="04A0" w:firstRow="1" w:lastRow="0" w:firstColumn="1" w:lastColumn="0" w:noHBand="0" w:noVBand="1"/>
      </w:tblPr>
      <w:tblGrid>
        <w:gridCol w:w="3868"/>
        <w:gridCol w:w="4954"/>
        <w:gridCol w:w="3417"/>
        <w:gridCol w:w="2323"/>
      </w:tblGrid>
      <w:tr w:rsidR="00CB2252" w:rsidRPr="002A3F81" w14:paraId="49F69551" w14:textId="77777777" w:rsidTr="007F63EF">
        <w:trPr>
          <w:cnfStyle w:val="100000000000" w:firstRow="1" w:lastRow="0" w:firstColumn="0" w:lastColumn="0" w:oddVBand="0" w:evenVBand="0" w:oddHBand="0" w:evenHBand="0" w:firstRowFirstColumn="0" w:firstRowLastColumn="0" w:lastRowFirstColumn="0" w:lastRowLastColumn="0"/>
          <w:trHeight w:val="212"/>
        </w:trPr>
        <w:tc>
          <w:tcPr>
            <w:tcW w:w="1707" w:type="pct"/>
            <w:hideMark/>
          </w:tcPr>
          <w:p w14:paraId="2C3FAAC1" w14:textId="57970636" w:rsidR="00CB2252" w:rsidRPr="00C338D2" w:rsidRDefault="00CB2252">
            <w:pPr>
              <w:rPr>
                <w:rFonts w:eastAsia="Times New Roman" w:cs="Calibri"/>
                <w:color w:val="000000"/>
                <w:sz w:val="20"/>
                <w:szCs w:val="20"/>
                <w:lang w:eastAsia="en-GB"/>
              </w:rPr>
            </w:pPr>
          </w:p>
        </w:tc>
        <w:tc>
          <w:tcPr>
            <w:tcW w:w="1153" w:type="pct"/>
            <w:shd w:val="clear" w:color="auto" w:fill="588B46" w:themeFill="text2"/>
            <w:noWrap/>
            <w:hideMark/>
          </w:tcPr>
          <w:p w14:paraId="2186876E" w14:textId="77777777" w:rsidR="00CB2252" w:rsidRPr="00C338D2" w:rsidRDefault="00CB2252">
            <w:pPr>
              <w:rPr>
                <w:rFonts w:eastAsia="Times New Roman" w:cs="Calibri"/>
                <w:color w:val="000000"/>
                <w:sz w:val="20"/>
                <w:szCs w:val="20"/>
                <w:lang w:eastAsia="en-GB"/>
              </w:rPr>
            </w:pPr>
            <w:r w:rsidRPr="00C338D2">
              <w:rPr>
                <w:rFonts w:eastAsia="Times New Roman" w:cs="Calibri"/>
                <w:color w:val="000000"/>
                <w:sz w:val="20"/>
                <w:szCs w:val="20"/>
                <w:lang w:eastAsia="en-GB"/>
              </w:rPr>
              <w:t>Green</w:t>
            </w:r>
          </w:p>
        </w:tc>
        <w:tc>
          <w:tcPr>
            <w:tcW w:w="964" w:type="pct"/>
            <w:shd w:val="clear" w:color="auto" w:fill="F1B249" w:themeFill="accent4"/>
            <w:noWrap/>
            <w:hideMark/>
          </w:tcPr>
          <w:p w14:paraId="41064E38" w14:textId="4B6DE873" w:rsidR="00CB2252" w:rsidRPr="00C338D2" w:rsidRDefault="00CB2252">
            <w:pPr>
              <w:rPr>
                <w:rFonts w:eastAsia="Times New Roman" w:cs="Calibri"/>
                <w:color w:val="000000"/>
                <w:sz w:val="20"/>
                <w:szCs w:val="20"/>
                <w:lang w:eastAsia="en-GB"/>
              </w:rPr>
            </w:pPr>
            <w:r w:rsidRPr="00C338D2">
              <w:rPr>
                <w:rFonts w:eastAsia="Times New Roman" w:cs="Calibri"/>
                <w:color w:val="000000"/>
                <w:sz w:val="20"/>
                <w:szCs w:val="20"/>
                <w:lang w:eastAsia="en-GB"/>
              </w:rPr>
              <w:t>Amber</w:t>
            </w:r>
          </w:p>
        </w:tc>
        <w:tc>
          <w:tcPr>
            <w:tcW w:w="1176" w:type="pct"/>
            <w:shd w:val="clear" w:color="auto" w:fill="E37230" w:themeFill="accent2"/>
            <w:noWrap/>
            <w:hideMark/>
          </w:tcPr>
          <w:p w14:paraId="29F38A38" w14:textId="5B6AEE97" w:rsidR="00CB2252" w:rsidRPr="00C338D2" w:rsidRDefault="00646653">
            <w:pPr>
              <w:rPr>
                <w:rFonts w:eastAsia="Times New Roman" w:cs="Calibri"/>
                <w:color w:val="000000"/>
                <w:sz w:val="20"/>
                <w:szCs w:val="20"/>
                <w:lang w:eastAsia="en-GB"/>
              </w:rPr>
            </w:pPr>
            <w:r w:rsidRPr="00C338D2">
              <w:rPr>
                <w:rFonts w:eastAsia="Times New Roman" w:cs="Calibri"/>
                <w:color w:val="000000"/>
                <w:sz w:val="20"/>
                <w:szCs w:val="20"/>
                <w:lang w:eastAsia="en-GB"/>
              </w:rPr>
              <w:t>Red</w:t>
            </w:r>
          </w:p>
        </w:tc>
      </w:tr>
      <w:tr w:rsidR="00CB2252" w:rsidRPr="002A3F81" w14:paraId="509CA4C3" w14:textId="77777777" w:rsidTr="007F63EF">
        <w:trPr>
          <w:cnfStyle w:val="000000100000" w:firstRow="0" w:lastRow="0" w:firstColumn="0" w:lastColumn="0" w:oddVBand="0" w:evenVBand="0" w:oddHBand="1" w:evenHBand="0" w:firstRowFirstColumn="0" w:firstRowLastColumn="0" w:lastRowFirstColumn="0" w:lastRowLastColumn="0"/>
          <w:trHeight w:val="646"/>
        </w:trPr>
        <w:tc>
          <w:tcPr>
            <w:tcW w:w="1707" w:type="pct"/>
            <w:shd w:val="clear" w:color="auto" w:fill="auto"/>
            <w:hideMark/>
          </w:tcPr>
          <w:p w14:paraId="13CB2D8E" w14:textId="05DEC35B" w:rsidR="00CB2252" w:rsidRPr="00C338D2" w:rsidRDefault="00CA172E">
            <w:pPr>
              <w:rPr>
                <w:rFonts w:eastAsia="Times New Roman" w:cs="Calibri"/>
                <w:b/>
                <w:bCs/>
                <w:color w:val="000000"/>
                <w:sz w:val="20"/>
                <w:szCs w:val="20"/>
                <w:lang w:eastAsia="en-GB"/>
              </w:rPr>
            </w:pPr>
            <w:r w:rsidRPr="00C338D2">
              <w:rPr>
                <w:rFonts w:eastAsia="Times New Roman" w:cs="Calibri"/>
                <w:b/>
                <w:bCs/>
                <w:color w:val="000000"/>
                <w:sz w:val="20"/>
                <w:szCs w:val="20"/>
                <w:lang w:eastAsia="en-GB"/>
              </w:rPr>
              <w:t>Current: To what extent are current resources, capacity, motivation and planning sufficient to sustain AMR surveillance outputs beyond the end of 2022? </w:t>
            </w:r>
          </w:p>
        </w:tc>
        <w:tc>
          <w:tcPr>
            <w:tcW w:w="1153" w:type="pct"/>
            <w:shd w:val="clear" w:color="auto" w:fill="auto"/>
          </w:tcPr>
          <w:p w14:paraId="749F4DFD" w14:textId="7F7F1B2D" w:rsidR="00CB2252" w:rsidRPr="00C338D2" w:rsidRDefault="00175DBC">
            <w:pPr>
              <w:rPr>
                <w:rFonts w:eastAsia="Times New Roman" w:cs="Calibri"/>
                <w:color w:val="000000"/>
                <w:sz w:val="20"/>
                <w:szCs w:val="20"/>
                <w:lang w:eastAsia="en-GB"/>
              </w:rPr>
            </w:pPr>
            <w:r w:rsidRPr="00C338D2">
              <w:rPr>
                <w:rFonts w:eastAsia="Times New Roman" w:cs="Calibri"/>
                <w:color w:val="000000"/>
                <w:sz w:val="20"/>
                <w:szCs w:val="20"/>
                <w:lang w:eastAsia="en-GB"/>
              </w:rPr>
              <w:t>Sufficient</w:t>
            </w:r>
          </w:p>
        </w:tc>
        <w:tc>
          <w:tcPr>
            <w:tcW w:w="964" w:type="pct"/>
            <w:shd w:val="clear" w:color="auto" w:fill="auto"/>
          </w:tcPr>
          <w:p w14:paraId="1E7FE5F6" w14:textId="22232E5B" w:rsidR="00CB2252" w:rsidRPr="00C338D2" w:rsidRDefault="00175DBC">
            <w:pPr>
              <w:rPr>
                <w:rFonts w:eastAsia="Times New Roman" w:cs="Calibri"/>
                <w:color w:val="000000"/>
                <w:sz w:val="20"/>
                <w:szCs w:val="20"/>
                <w:lang w:eastAsia="en-GB"/>
              </w:rPr>
            </w:pPr>
            <w:r w:rsidRPr="00C338D2">
              <w:rPr>
                <w:rFonts w:eastAsia="Times New Roman" w:cs="Calibri"/>
                <w:color w:val="000000"/>
                <w:sz w:val="20"/>
                <w:szCs w:val="20"/>
                <w:lang w:eastAsia="en-GB"/>
              </w:rPr>
              <w:t>Partly sufficient</w:t>
            </w:r>
          </w:p>
        </w:tc>
        <w:tc>
          <w:tcPr>
            <w:tcW w:w="1176" w:type="pct"/>
            <w:shd w:val="clear" w:color="auto" w:fill="auto"/>
          </w:tcPr>
          <w:p w14:paraId="2BA5DC5E" w14:textId="0C4EB6C7" w:rsidR="00CB2252" w:rsidRPr="00C338D2" w:rsidRDefault="00175DBC">
            <w:pPr>
              <w:rPr>
                <w:rFonts w:eastAsia="Times New Roman" w:cs="Calibri"/>
                <w:color w:val="000000"/>
                <w:sz w:val="20"/>
                <w:szCs w:val="20"/>
                <w:lang w:eastAsia="en-GB"/>
              </w:rPr>
            </w:pPr>
            <w:r w:rsidRPr="00C338D2">
              <w:rPr>
                <w:rFonts w:eastAsia="Times New Roman" w:cs="Calibri"/>
                <w:color w:val="000000"/>
                <w:sz w:val="20"/>
                <w:szCs w:val="20"/>
                <w:lang w:eastAsia="en-GB"/>
              </w:rPr>
              <w:t>Insufficient</w:t>
            </w:r>
          </w:p>
        </w:tc>
      </w:tr>
      <w:tr w:rsidR="00CB2252" w:rsidRPr="002A3F81" w14:paraId="7965B1B2" w14:textId="77777777" w:rsidTr="007F63EF">
        <w:trPr>
          <w:cnfStyle w:val="000000010000" w:firstRow="0" w:lastRow="0" w:firstColumn="0" w:lastColumn="0" w:oddVBand="0" w:evenVBand="0" w:oddHBand="0" w:evenHBand="1" w:firstRowFirstColumn="0" w:firstRowLastColumn="0" w:lastRowFirstColumn="0" w:lastRowLastColumn="0"/>
          <w:trHeight w:val="434"/>
        </w:trPr>
        <w:tc>
          <w:tcPr>
            <w:tcW w:w="1707" w:type="pct"/>
            <w:shd w:val="clear" w:color="auto" w:fill="auto"/>
            <w:hideMark/>
          </w:tcPr>
          <w:p w14:paraId="2469AC9A" w14:textId="6AEC8241" w:rsidR="00AC4DC6" w:rsidRPr="00C338D2" w:rsidRDefault="00AC4DC6" w:rsidP="00E23B99">
            <w:pPr>
              <w:rPr>
                <w:rFonts w:eastAsia="Times New Roman" w:cs="Calibri"/>
                <w:sz w:val="20"/>
                <w:szCs w:val="20"/>
                <w:lang w:eastAsia="en-GB"/>
              </w:rPr>
            </w:pPr>
            <w:r w:rsidRPr="00C338D2">
              <w:rPr>
                <w:rFonts w:eastAsia="Times New Roman" w:cs="Calibri"/>
                <w:b/>
                <w:bCs/>
                <w:color w:val="000000"/>
                <w:sz w:val="20"/>
                <w:szCs w:val="20"/>
                <w:lang w:eastAsia="en-GB"/>
              </w:rPr>
              <w:t>Planned: to what extent are country-level plans (i.e. not specific to Fleming Fund) in place to address any sustainability constraints? </w:t>
            </w:r>
          </w:p>
        </w:tc>
        <w:tc>
          <w:tcPr>
            <w:tcW w:w="1153" w:type="pct"/>
            <w:shd w:val="clear" w:color="auto" w:fill="auto"/>
            <w:noWrap/>
          </w:tcPr>
          <w:p w14:paraId="050F48AC" w14:textId="616EF89C" w:rsidR="00CB2252" w:rsidRPr="00C338D2" w:rsidRDefault="0088334F">
            <w:pPr>
              <w:rPr>
                <w:rFonts w:eastAsia="Times New Roman" w:cs="Calibri"/>
                <w:color w:val="000000"/>
                <w:sz w:val="20"/>
                <w:szCs w:val="20"/>
                <w:lang w:eastAsia="en-GB"/>
              </w:rPr>
            </w:pPr>
            <w:r w:rsidRPr="00C338D2">
              <w:rPr>
                <w:rFonts w:eastAsia="Times New Roman" w:cs="Calibri"/>
                <w:color w:val="000000"/>
                <w:sz w:val="20"/>
                <w:szCs w:val="20"/>
                <w:lang w:eastAsia="en-GB"/>
              </w:rPr>
              <w:t>Relevant/adequate plans in place and being implemented </w:t>
            </w:r>
          </w:p>
        </w:tc>
        <w:tc>
          <w:tcPr>
            <w:tcW w:w="964" w:type="pct"/>
            <w:shd w:val="clear" w:color="auto" w:fill="auto"/>
            <w:noWrap/>
          </w:tcPr>
          <w:p w14:paraId="36638EDB" w14:textId="1686D1B6" w:rsidR="00CB2252" w:rsidRPr="00C338D2" w:rsidRDefault="0088334F">
            <w:pPr>
              <w:rPr>
                <w:rFonts w:eastAsia="Times New Roman" w:cs="Calibri"/>
                <w:color w:val="000000"/>
                <w:sz w:val="20"/>
                <w:szCs w:val="20"/>
                <w:lang w:eastAsia="en-GB"/>
              </w:rPr>
            </w:pPr>
            <w:r w:rsidRPr="00C338D2">
              <w:rPr>
                <w:rFonts w:eastAsia="Times New Roman" w:cs="Calibri"/>
                <w:color w:val="000000"/>
                <w:sz w:val="20"/>
                <w:szCs w:val="20"/>
                <w:lang w:eastAsia="en-GB"/>
              </w:rPr>
              <w:t>Plans in place but partially cover issues </w:t>
            </w:r>
          </w:p>
        </w:tc>
        <w:tc>
          <w:tcPr>
            <w:tcW w:w="1176" w:type="pct"/>
            <w:shd w:val="clear" w:color="auto" w:fill="auto"/>
            <w:noWrap/>
          </w:tcPr>
          <w:p w14:paraId="246C2D05" w14:textId="5EB97C74" w:rsidR="00CB2252" w:rsidRPr="00C338D2" w:rsidRDefault="00175DBC">
            <w:pPr>
              <w:rPr>
                <w:rFonts w:eastAsia="Times New Roman" w:cs="Calibri"/>
                <w:color w:val="000000"/>
                <w:sz w:val="20"/>
                <w:szCs w:val="20"/>
                <w:lang w:eastAsia="en-GB"/>
              </w:rPr>
            </w:pPr>
            <w:r w:rsidRPr="00C338D2">
              <w:rPr>
                <w:rFonts w:eastAsia="Times New Roman" w:cs="Calibri"/>
                <w:color w:val="000000"/>
                <w:sz w:val="20"/>
                <w:szCs w:val="20"/>
                <w:lang w:eastAsia="en-GB"/>
              </w:rPr>
              <w:t>No plans in place</w:t>
            </w:r>
          </w:p>
        </w:tc>
      </w:tr>
    </w:tbl>
    <w:p w14:paraId="125328E2" w14:textId="4B5B128E" w:rsidR="00CB2252" w:rsidRDefault="00CB2252">
      <w:pPr>
        <w:rPr>
          <w:b/>
          <w:bCs/>
          <w:color w:val="588B46" w:themeColor="text2"/>
          <w:sz w:val="32"/>
          <w:szCs w:val="32"/>
        </w:rPr>
        <w:sectPr w:rsidR="00CB2252" w:rsidSect="00407BC2">
          <w:pgSz w:w="16840" w:h="11900" w:orient="landscape"/>
          <w:pgMar w:top="1191" w:right="1134" w:bottom="1191" w:left="1134" w:header="720" w:footer="255" w:gutter="0"/>
          <w:cols w:space="720"/>
          <w:titlePg/>
          <w:docGrid w:linePitch="360"/>
        </w:sectPr>
      </w:pPr>
    </w:p>
    <w:p w14:paraId="66CB00E3" w14:textId="006E86F9" w:rsidR="00E23B12" w:rsidRDefault="67BDCC9B" w:rsidP="00E23B12">
      <w:pPr>
        <w:pStyle w:val="ItadH1Numbered"/>
        <w:numPr>
          <w:ilvl w:val="0"/>
          <w:numId w:val="0"/>
        </w:numPr>
      </w:pPr>
      <w:bookmarkStart w:id="295" w:name="_Toc142383186"/>
      <w:r>
        <w:t xml:space="preserve">Annex </w:t>
      </w:r>
      <w:r w:rsidR="007D16E0">
        <w:t>1</w:t>
      </w:r>
      <w:r w:rsidR="00A70655">
        <w:t>1</w:t>
      </w:r>
      <w:r>
        <w:t>: Departures from the ToRs</w:t>
      </w:r>
      <w:bookmarkEnd w:id="287"/>
      <w:bookmarkEnd w:id="295"/>
    </w:p>
    <w:p w14:paraId="3C2FE2DA" w14:textId="640C65ED" w:rsidR="1C76B534" w:rsidRDefault="1C76B534" w:rsidP="42415D8C">
      <w:pPr>
        <w:spacing w:after="200" w:line="276" w:lineRule="auto"/>
        <w:jc w:val="both"/>
        <w:rPr>
          <w:rFonts w:eastAsia="Calibri" w:cs="Calibri"/>
          <w:color w:val="000000"/>
        </w:rPr>
      </w:pPr>
      <w:r w:rsidRPr="42415D8C">
        <w:rPr>
          <w:rFonts w:eastAsia="Calibri" w:cs="Calibri"/>
          <w:color w:val="000000"/>
        </w:rPr>
        <w:t xml:space="preserve">Given the time that has elapsed since the </w:t>
      </w:r>
      <w:r w:rsidR="00074A8A">
        <w:rPr>
          <w:rFonts w:eastAsia="Calibri" w:cs="Calibri"/>
          <w:color w:val="000000"/>
        </w:rPr>
        <w:t xml:space="preserve">original </w:t>
      </w:r>
      <w:r w:rsidRPr="42415D8C">
        <w:rPr>
          <w:rFonts w:eastAsia="Calibri" w:cs="Calibri"/>
          <w:color w:val="000000"/>
        </w:rPr>
        <w:t>T</w:t>
      </w:r>
      <w:r w:rsidR="00667469">
        <w:rPr>
          <w:rFonts w:eastAsia="Calibri" w:cs="Calibri"/>
          <w:color w:val="000000"/>
        </w:rPr>
        <w:t>o</w:t>
      </w:r>
      <w:r w:rsidRPr="42415D8C">
        <w:rPr>
          <w:rFonts w:eastAsia="Calibri" w:cs="Calibri"/>
          <w:color w:val="000000"/>
        </w:rPr>
        <w:t>R</w:t>
      </w:r>
      <w:r w:rsidR="00667469">
        <w:rPr>
          <w:rFonts w:eastAsia="Calibri" w:cs="Calibri"/>
          <w:color w:val="000000"/>
        </w:rPr>
        <w:t>s</w:t>
      </w:r>
      <w:r w:rsidR="00074A8A">
        <w:rPr>
          <w:rFonts w:eastAsia="Calibri" w:cs="Calibri"/>
          <w:color w:val="000000"/>
        </w:rPr>
        <w:t xml:space="preserve"> (Annex 1) were</w:t>
      </w:r>
      <w:r w:rsidRPr="42415D8C">
        <w:rPr>
          <w:rFonts w:eastAsia="Calibri" w:cs="Calibri"/>
          <w:color w:val="000000"/>
        </w:rPr>
        <w:t xml:space="preserve"> written, and the somewhat evolving nature of the Fleming Fund design and implementation arrangements, the evaluation design has identified a number of areas in which the evaluation’s purpose, scope and objectives have been altered during the inception phase.</w:t>
      </w:r>
      <w:r w:rsidR="007458AC">
        <w:rPr>
          <w:rFonts w:eastAsia="Calibri" w:cs="Calibri"/>
          <w:color w:val="000000"/>
        </w:rPr>
        <w:t xml:space="preserve"> </w:t>
      </w:r>
      <w:r w:rsidRPr="42415D8C">
        <w:rPr>
          <w:rFonts w:eastAsia="Calibri" w:cs="Calibri"/>
          <w:color w:val="000000"/>
        </w:rPr>
        <w:t>These are detailed in the following table</w:t>
      </w:r>
      <w:r w:rsidR="00074A8A">
        <w:rPr>
          <w:rFonts w:eastAsia="Calibri" w:cs="Calibri"/>
          <w:color w:val="000000"/>
        </w:rPr>
        <w:t>.</w:t>
      </w:r>
      <w:r w:rsidRPr="42415D8C">
        <w:rPr>
          <w:rFonts w:eastAsia="Calibri" w:cs="Calibri"/>
          <w:color w:val="000000"/>
        </w:rPr>
        <w:t xml:space="preserve"> </w:t>
      </w:r>
    </w:p>
    <w:p w14:paraId="01201501" w14:textId="4AAD18C3" w:rsidR="1C76B534" w:rsidRDefault="1C76B534" w:rsidP="00A07222">
      <w:pPr>
        <w:spacing w:after="200" w:line="276" w:lineRule="auto"/>
        <w:jc w:val="both"/>
        <w:rPr>
          <w:rFonts w:eastAsia="Calibri" w:cs="Calibri"/>
          <w:color w:val="000000"/>
        </w:rPr>
      </w:pPr>
      <w:r w:rsidRPr="42415D8C">
        <w:rPr>
          <w:rFonts w:eastAsia="Calibri" w:cs="Calibri"/>
          <w:b/>
          <w:bCs/>
          <w:color w:val="000000"/>
        </w:rPr>
        <w:t>Changes in what</w:t>
      </w:r>
      <w:r w:rsidR="00E01C55">
        <w:rPr>
          <w:rFonts w:eastAsia="Calibri" w:cs="Calibri"/>
          <w:b/>
          <w:bCs/>
          <w:color w:val="000000"/>
        </w:rPr>
        <w:t xml:space="preserve"> is</w:t>
      </w:r>
      <w:r w:rsidRPr="42415D8C">
        <w:rPr>
          <w:rFonts w:eastAsia="Calibri" w:cs="Calibri"/>
          <w:b/>
          <w:bCs/>
          <w:color w:val="000000"/>
        </w:rPr>
        <w:t xml:space="preserve"> proposed against what is stated in the original </w:t>
      </w:r>
      <w:r w:rsidR="00256C1E">
        <w:rPr>
          <w:rFonts w:eastAsia="Calibri" w:cs="Calibri"/>
          <w:b/>
          <w:bCs/>
          <w:color w:val="000000"/>
        </w:rPr>
        <w:t>ToR</w:t>
      </w:r>
      <w:r w:rsidRPr="42415D8C">
        <w:rPr>
          <w:rFonts w:eastAsia="Calibri" w:cs="Calibri"/>
          <w:b/>
          <w:bCs/>
          <w:color w:val="000000"/>
        </w:rPr>
        <w:t xml:space="preserve"> for the Evaluation Supplier </w:t>
      </w:r>
    </w:p>
    <w:tbl>
      <w:tblPr>
        <w:tblStyle w:val="ItadGreenHeaderRow"/>
        <w:tblW w:w="9395" w:type="dxa"/>
        <w:tblLayout w:type="fixed"/>
        <w:tblLook w:val="04A0" w:firstRow="1" w:lastRow="0" w:firstColumn="1" w:lastColumn="0" w:noHBand="0" w:noVBand="1"/>
      </w:tblPr>
      <w:tblGrid>
        <w:gridCol w:w="2257"/>
        <w:gridCol w:w="3569"/>
        <w:gridCol w:w="3569"/>
      </w:tblGrid>
      <w:tr w:rsidR="005348D3" w14:paraId="3BAEF626" w14:textId="7AED4307" w:rsidTr="007F63EF">
        <w:trPr>
          <w:cnfStyle w:val="100000000000" w:firstRow="1" w:lastRow="0" w:firstColumn="0" w:lastColumn="0" w:oddVBand="0" w:evenVBand="0" w:oddHBand="0" w:evenHBand="0" w:firstRowFirstColumn="0" w:firstRowLastColumn="0" w:lastRowFirstColumn="0" w:lastRowLastColumn="0"/>
          <w:tblHeader/>
        </w:trPr>
        <w:tc>
          <w:tcPr>
            <w:tcW w:w="2257" w:type="dxa"/>
          </w:tcPr>
          <w:p w14:paraId="1EF256E0" w14:textId="4AD767FD" w:rsidR="005348D3" w:rsidRDefault="005348D3" w:rsidP="008C1BFD">
            <w:pPr>
              <w:jc w:val="both"/>
              <w:rPr>
                <w:rFonts w:eastAsia="Calibri" w:cs="Calibri"/>
                <w:sz w:val="20"/>
                <w:szCs w:val="20"/>
              </w:rPr>
            </w:pPr>
            <w:r w:rsidRPr="42415D8C">
              <w:rPr>
                <w:rFonts w:eastAsia="Calibri" w:cs="Calibri"/>
                <w:b/>
                <w:bCs/>
                <w:sz w:val="20"/>
                <w:szCs w:val="20"/>
              </w:rPr>
              <w:t xml:space="preserve">Point from </w:t>
            </w:r>
            <w:r w:rsidR="005C5A91">
              <w:rPr>
                <w:rFonts w:eastAsia="Calibri" w:cs="Calibri"/>
                <w:b/>
                <w:bCs/>
                <w:sz w:val="20"/>
                <w:szCs w:val="20"/>
              </w:rPr>
              <w:t xml:space="preserve">the </w:t>
            </w:r>
            <w:r w:rsidRPr="42415D8C">
              <w:rPr>
                <w:rFonts w:eastAsia="Calibri" w:cs="Calibri"/>
                <w:b/>
                <w:bCs/>
                <w:sz w:val="20"/>
                <w:szCs w:val="20"/>
              </w:rPr>
              <w:t>original Evaluation T</w:t>
            </w:r>
            <w:r w:rsidR="009C2C0D" w:rsidRPr="42415D8C">
              <w:rPr>
                <w:rFonts w:eastAsia="Calibri" w:cs="Calibri"/>
                <w:b/>
                <w:bCs/>
                <w:sz w:val="20"/>
                <w:szCs w:val="20"/>
              </w:rPr>
              <w:t>o</w:t>
            </w:r>
            <w:r w:rsidRPr="42415D8C">
              <w:rPr>
                <w:rFonts w:eastAsia="Calibri" w:cs="Calibri"/>
                <w:b/>
                <w:bCs/>
                <w:sz w:val="20"/>
                <w:szCs w:val="20"/>
              </w:rPr>
              <w:t>R</w:t>
            </w:r>
          </w:p>
        </w:tc>
        <w:tc>
          <w:tcPr>
            <w:tcW w:w="3569" w:type="dxa"/>
          </w:tcPr>
          <w:p w14:paraId="51FB95CF" w14:textId="44BD44DA" w:rsidR="005348D3" w:rsidRDefault="005348D3" w:rsidP="008C1BFD">
            <w:pPr>
              <w:jc w:val="both"/>
              <w:rPr>
                <w:rFonts w:eastAsia="Calibri" w:cs="Calibri"/>
                <w:sz w:val="20"/>
                <w:szCs w:val="20"/>
              </w:rPr>
            </w:pPr>
            <w:r>
              <w:rPr>
                <w:rFonts w:eastAsia="Calibri" w:cs="Calibri"/>
                <w:b/>
                <w:bCs/>
                <w:sz w:val="20"/>
                <w:szCs w:val="20"/>
              </w:rPr>
              <w:t>M</w:t>
            </w:r>
            <w:r w:rsidRPr="42415D8C">
              <w:rPr>
                <w:rFonts w:eastAsia="Calibri" w:cs="Calibri"/>
                <w:b/>
                <w:bCs/>
                <w:sz w:val="20"/>
                <w:szCs w:val="20"/>
              </w:rPr>
              <w:t>odification to the scope of the implementation plan</w:t>
            </w:r>
          </w:p>
        </w:tc>
        <w:tc>
          <w:tcPr>
            <w:tcW w:w="3569" w:type="dxa"/>
          </w:tcPr>
          <w:p w14:paraId="7B314CE4" w14:textId="76F9435C" w:rsidR="005348D3" w:rsidRPr="42415D8C" w:rsidDel="004F307D" w:rsidRDefault="005348D3" w:rsidP="008C1BFD">
            <w:pPr>
              <w:jc w:val="both"/>
              <w:rPr>
                <w:rFonts w:eastAsia="Calibri" w:cs="Calibri"/>
                <w:b/>
                <w:bCs/>
                <w:sz w:val="20"/>
                <w:szCs w:val="20"/>
              </w:rPr>
            </w:pPr>
            <w:r>
              <w:rPr>
                <w:rFonts w:eastAsia="Calibri" w:cs="Calibri"/>
                <w:b/>
                <w:bCs/>
                <w:sz w:val="20"/>
                <w:szCs w:val="20"/>
              </w:rPr>
              <w:t xml:space="preserve">Implications </w:t>
            </w:r>
          </w:p>
        </w:tc>
      </w:tr>
      <w:tr w:rsidR="005348D3" w14:paraId="0584B109" w14:textId="6D228C23" w:rsidTr="007F63EF">
        <w:trPr>
          <w:cnfStyle w:val="000000100000" w:firstRow="0" w:lastRow="0" w:firstColumn="0" w:lastColumn="0" w:oddVBand="0" w:evenVBand="0" w:oddHBand="1" w:evenHBand="0" w:firstRowFirstColumn="0" w:firstRowLastColumn="0" w:lastRowFirstColumn="0" w:lastRowLastColumn="0"/>
        </w:trPr>
        <w:tc>
          <w:tcPr>
            <w:tcW w:w="2257" w:type="dxa"/>
          </w:tcPr>
          <w:p w14:paraId="4225E260" w14:textId="2C074746" w:rsidR="005348D3" w:rsidRPr="00EE4D12" w:rsidRDefault="005348D3" w:rsidP="008C1BFD">
            <w:pPr>
              <w:jc w:val="both"/>
              <w:rPr>
                <w:rFonts w:eastAsia="Calibri" w:cs="Calibri"/>
                <w:sz w:val="20"/>
                <w:szCs w:val="20"/>
              </w:rPr>
            </w:pPr>
            <w:r w:rsidRPr="00EE4D12">
              <w:rPr>
                <w:rFonts w:eastAsia="Calibri" w:cs="Calibri"/>
                <w:sz w:val="20"/>
                <w:szCs w:val="20"/>
              </w:rPr>
              <w:t xml:space="preserve">A detailed methodology for data collection, </w:t>
            </w:r>
            <w:r w:rsidR="005C5A91" w:rsidRPr="00EE4D12">
              <w:rPr>
                <w:rFonts w:eastAsia="Calibri" w:cs="Calibri"/>
                <w:sz w:val="20"/>
                <w:szCs w:val="20"/>
              </w:rPr>
              <w:t>analysis,</w:t>
            </w:r>
            <w:r w:rsidRPr="00EE4D12">
              <w:rPr>
                <w:rFonts w:eastAsia="Calibri" w:cs="Calibri"/>
                <w:sz w:val="20"/>
                <w:szCs w:val="20"/>
              </w:rPr>
              <w:t xml:space="preserve"> and regular reporting, including proposals for verifying the baseline information for each project granted funding by the </w:t>
            </w:r>
            <w:r>
              <w:rPr>
                <w:rFonts w:eastAsia="Calibri" w:cs="Calibri"/>
                <w:sz w:val="20"/>
                <w:szCs w:val="20"/>
              </w:rPr>
              <w:t>MA</w:t>
            </w:r>
            <w:r w:rsidRPr="00EE4D12">
              <w:rPr>
                <w:rFonts w:eastAsia="Calibri" w:cs="Calibri"/>
                <w:sz w:val="20"/>
                <w:szCs w:val="20"/>
              </w:rPr>
              <w:t>.</w:t>
            </w:r>
          </w:p>
        </w:tc>
        <w:tc>
          <w:tcPr>
            <w:tcW w:w="3569" w:type="dxa"/>
          </w:tcPr>
          <w:p w14:paraId="426A5D28" w14:textId="5C43F988" w:rsidR="005348D3" w:rsidRDefault="001E4E3F" w:rsidP="008C1BFD">
            <w:pPr>
              <w:ind w:left="36"/>
              <w:jc w:val="both"/>
              <w:rPr>
                <w:rFonts w:eastAsia="Calibri" w:cs="Calibri"/>
                <w:sz w:val="20"/>
                <w:szCs w:val="20"/>
              </w:rPr>
            </w:pPr>
            <w:r>
              <w:rPr>
                <w:rFonts w:eastAsia="Calibri" w:cs="Calibri"/>
                <w:sz w:val="20"/>
                <w:szCs w:val="20"/>
              </w:rPr>
              <w:t>W</w:t>
            </w:r>
            <w:r w:rsidR="005348D3" w:rsidRPr="42415D8C">
              <w:rPr>
                <w:rFonts w:eastAsia="Calibri" w:cs="Calibri"/>
                <w:sz w:val="20"/>
                <w:szCs w:val="20"/>
              </w:rPr>
              <w:t xml:space="preserve">e </w:t>
            </w:r>
            <w:r w:rsidR="005348D3">
              <w:rPr>
                <w:rFonts w:eastAsia="Calibri" w:cs="Calibri"/>
                <w:sz w:val="20"/>
                <w:szCs w:val="20"/>
              </w:rPr>
              <w:t>did</w:t>
            </w:r>
            <w:r w:rsidR="005348D3" w:rsidRPr="42415D8C">
              <w:rPr>
                <w:rFonts w:eastAsia="Calibri" w:cs="Calibri"/>
                <w:sz w:val="20"/>
                <w:szCs w:val="20"/>
              </w:rPr>
              <w:t xml:space="preserve"> not have the resources available to validate baseline information for each and every grant while also delivering against the primary objectives of the evaluation.</w:t>
            </w:r>
            <w:r w:rsidR="005348D3">
              <w:rPr>
                <w:rStyle w:val="FootnoteReference"/>
                <w:rFonts w:eastAsia="Calibri"/>
              </w:rPr>
              <w:footnoteReference w:id="54"/>
            </w:r>
            <w:r w:rsidR="005348D3">
              <w:rPr>
                <w:rFonts w:eastAsia="Calibri" w:cs="Calibri"/>
                <w:sz w:val="20"/>
                <w:szCs w:val="20"/>
              </w:rPr>
              <w:t xml:space="preserve"> Each of our 16 sample countries was our unit of analysis.</w:t>
            </w:r>
          </w:p>
        </w:tc>
        <w:tc>
          <w:tcPr>
            <w:tcW w:w="3569" w:type="dxa"/>
          </w:tcPr>
          <w:p w14:paraId="61670962" w14:textId="07BE1D7B" w:rsidR="005348D3" w:rsidRPr="42415D8C" w:rsidRDefault="001E4E3F" w:rsidP="007F63EF">
            <w:pPr>
              <w:pStyle w:val="FootnoteText"/>
              <w:rPr>
                <w:rFonts w:eastAsia="Calibri" w:cs="Calibri"/>
                <w:sz w:val="20"/>
                <w:szCs w:val="20"/>
              </w:rPr>
            </w:pPr>
            <w:r w:rsidRPr="42415D8C">
              <w:rPr>
                <w:rFonts w:eastAsia="Calibri" w:cs="Calibri"/>
                <w:sz w:val="20"/>
                <w:szCs w:val="20"/>
              </w:rPr>
              <w:t xml:space="preserve">The evaluation, to the extent possible, </w:t>
            </w:r>
            <w:r>
              <w:rPr>
                <w:rFonts w:eastAsia="Calibri" w:cs="Calibri"/>
                <w:sz w:val="20"/>
                <w:szCs w:val="20"/>
              </w:rPr>
              <w:t>has been</w:t>
            </w:r>
            <w:r w:rsidRPr="42415D8C">
              <w:rPr>
                <w:rFonts w:eastAsia="Calibri" w:cs="Calibri"/>
                <w:sz w:val="20"/>
                <w:szCs w:val="20"/>
              </w:rPr>
              <w:t xml:space="preserve"> able to comment upon whether claimed outputs of the grants are delivered and then whether these outputs </w:t>
            </w:r>
            <w:r>
              <w:rPr>
                <w:rFonts w:eastAsia="Calibri" w:cs="Calibri"/>
                <w:sz w:val="20"/>
                <w:szCs w:val="20"/>
              </w:rPr>
              <w:t xml:space="preserve">are likely to </w:t>
            </w:r>
            <w:r w:rsidRPr="42415D8C">
              <w:rPr>
                <w:rFonts w:eastAsia="Calibri" w:cs="Calibri"/>
                <w:sz w:val="20"/>
                <w:szCs w:val="20"/>
              </w:rPr>
              <w:t xml:space="preserve">have contributed to change both in the status of surveillance systems and enhanced </w:t>
            </w:r>
            <w:r>
              <w:rPr>
                <w:rFonts w:eastAsia="Calibri" w:cs="Calibri"/>
                <w:sz w:val="20"/>
                <w:szCs w:val="20"/>
              </w:rPr>
              <w:t>sharing</w:t>
            </w:r>
            <w:r w:rsidRPr="42415D8C">
              <w:rPr>
                <w:rFonts w:eastAsia="Calibri" w:cs="Calibri"/>
                <w:sz w:val="20"/>
                <w:szCs w:val="20"/>
              </w:rPr>
              <w:t xml:space="preserve"> of surveillance data.</w:t>
            </w:r>
            <w:r>
              <w:rPr>
                <w:rFonts w:eastAsia="Calibri" w:cs="Calibri"/>
                <w:sz w:val="20"/>
                <w:szCs w:val="20"/>
              </w:rPr>
              <w:t xml:space="preserve"> </w:t>
            </w:r>
            <w:r w:rsidRPr="007F63EF">
              <w:rPr>
                <w:rFonts w:eastAsia="Calibri" w:cs="Calibri"/>
                <w:sz w:val="20"/>
                <w:szCs w:val="20"/>
              </w:rPr>
              <w:t xml:space="preserve">The quality of the evaluation was not adversely affected by this approach. </w:t>
            </w:r>
          </w:p>
        </w:tc>
      </w:tr>
      <w:tr w:rsidR="005348D3" w14:paraId="367114D6" w14:textId="686E74A2" w:rsidTr="007F63EF">
        <w:trPr>
          <w:cnfStyle w:val="000000010000" w:firstRow="0" w:lastRow="0" w:firstColumn="0" w:lastColumn="0" w:oddVBand="0" w:evenVBand="0" w:oddHBand="0" w:evenHBand="1" w:firstRowFirstColumn="0" w:firstRowLastColumn="0" w:lastRowFirstColumn="0" w:lastRowLastColumn="0"/>
        </w:trPr>
        <w:tc>
          <w:tcPr>
            <w:tcW w:w="2257" w:type="dxa"/>
          </w:tcPr>
          <w:p w14:paraId="4E885027" w14:textId="7563B43D" w:rsidR="005348D3" w:rsidRPr="00EE4D12" w:rsidRDefault="005348D3" w:rsidP="008C1BFD">
            <w:pPr>
              <w:jc w:val="both"/>
              <w:rPr>
                <w:rFonts w:eastAsia="Calibri" w:cs="Calibri"/>
                <w:sz w:val="20"/>
                <w:szCs w:val="20"/>
              </w:rPr>
            </w:pPr>
            <w:r w:rsidRPr="00EE4D12">
              <w:rPr>
                <w:rFonts w:eastAsia="Calibri" w:cs="Calibri"/>
                <w:sz w:val="20"/>
                <w:szCs w:val="20"/>
              </w:rPr>
              <w:t xml:space="preserve">Proposals for the capability-building activities to be undertaken with grantees in understanding the </w:t>
            </w:r>
            <w:r>
              <w:rPr>
                <w:rFonts w:eastAsia="Calibri" w:cs="Calibri"/>
                <w:sz w:val="20"/>
                <w:szCs w:val="20"/>
              </w:rPr>
              <w:t>M&amp;E</w:t>
            </w:r>
            <w:r w:rsidRPr="00EE4D12">
              <w:rPr>
                <w:rFonts w:eastAsia="Calibri" w:cs="Calibri"/>
                <w:sz w:val="20"/>
                <w:szCs w:val="20"/>
              </w:rPr>
              <w:t xml:space="preserve"> and the theory of change laid out in Annex B of the Specification.</w:t>
            </w:r>
          </w:p>
        </w:tc>
        <w:tc>
          <w:tcPr>
            <w:tcW w:w="3569" w:type="dxa"/>
          </w:tcPr>
          <w:p w14:paraId="5E77D69C" w14:textId="3C716BB1" w:rsidR="005348D3" w:rsidRDefault="005348D3" w:rsidP="008C1BFD">
            <w:pPr>
              <w:ind w:left="36"/>
              <w:jc w:val="both"/>
              <w:rPr>
                <w:rFonts w:eastAsia="Calibri" w:cs="Calibri"/>
                <w:sz w:val="20"/>
                <w:szCs w:val="20"/>
              </w:rPr>
            </w:pPr>
            <w:r w:rsidRPr="42415D8C">
              <w:rPr>
                <w:rFonts w:eastAsia="Calibri" w:cs="Calibri"/>
                <w:sz w:val="20"/>
                <w:szCs w:val="20"/>
              </w:rPr>
              <w:t xml:space="preserve">As above, our focus </w:t>
            </w:r>
            <w:r>
              <w:rPr>
                <w:rFonts w:eastAsia="Calibri" w:cs="Calibri"/>
                <w:sz w:val="20"/>
                <w:szCs w:val="20"/>
              </w:rPr>
              <w:t>has</w:t>
            </w:r>
            <w:r w:rsidRPr="42415D8C">
              <w:rPr>
                <w:rFonts w:eastAsia="Calibri" w:cs="Calibri"/>
                <w:sz w:val="20"/>
                <w:szCs w:val="20"/>
              </w:rPr>
              <w:t xml:space="preserve"> not </w:t>
            </w:r>
            <w:r>
              <w:rPr>
                <w:rFonts w:eastAsia="Calibri" w:cs="Calibri"/>
                <w:sz w:val="20"/>
                <w:szCs w:val="20"/>
              </w:rPr>
              <w:t>been</w:t>
            </w:r>
            <w:r w:rsidRPr="42415D8C">
              <w:rPr>
                <w:rFonts w:eastAsia="Calibri" w:cs="Calibri"/>
                <w:sz w:val="20"/>
                <w:szCs w:val="20"/>
              </w:rPr>
              <w:t xml:space="preserve"> on individual grants, and we </w:t>
            </w:r>
            <w:r>
              <w:rPr>
                <w:rFonts w:eastAsia="Calibri" w:cs="Calibri"/>
                <w:sz w:val="20"/>
                <w:szCs w:val="20"/>
              </w:rPr>
              <w:t>did</w:t>
            </w:r>
            <w:r w:rsidRPr="42415D8C">
              <w:rPr>
                <w:rFonts w:eastAsia="Calibri" w:cs="Calibri"/>
                <w:sz w:val="20"/>
                <w:szCs w:val="20"/>
              </w:rPr>
              <w:t xml:space="preserve"> not </w:t>
            </w:r>
            <w:r>
              <w:rPr>
                <w:rFonts w:eastAsia="Calibri" w:cs="Calibri"/>
                <w:sz w:val="20"/>
                <w:szCs w:val="20"/>
              </w:rPr>
              <w:t>have the necessary resources to put in place</w:t>
            </w:r>
            <w:r w:rsidRPr="42415D8C">
              <w:rPr>
                <w:rFonts w:eastAsia="Calibri" w:cs="Calibri"/>
                <w:sz w:val="20"/>
                <w:szCs w:val="20"/>
              </w:rPr>
              <w:t xml:space="preserve"> a systematic process to build grantees’ capacity on using the M&amp;E frameworks or ToC</w:t>
            </w:r>
            <w:r>
              <w:rPr>
                <w:rFonts w:eastAsia="Calibri" w:cs="Calibri"/>
                <w:sz w:val="20"/>
                <w:szCs w:val="20"/>
              </w:rPr>
              <w:t>s</w:t>
            </w:r>
            <w:r w:rsidRPr="42415D8C">
              <w:rPr>
                <w:rFonts w:eastAsia="Calibri" w:cs="Calibri"/>
                <w:sz w:val="20"/>
                <w:szCs w:val="20"/>
              </w:rPr>
              <w:t xml:space="preserve">. </w:t>
            </w:r>
          </w:p>
        </w:tc>
        <w:tc>
          <w:tcPr>
            <w:tcW w:w="3569" w:type="dxa"/>
          </w:tcPr>
          <w:p w14:paraId="707D4969" w14:textId="663D3985" w:rsidR="005348D3" w:rsidRPr="42415D8C" w:rsidRDefault="00C11DDC" w:rsidP="008C1BFD">
            <w:pPr>
              <w:ind w:left="36"/>
              <w:jc w:val="both"/>
              <w:rPr>
                <w:rFonts w:eastAsia="Calibri" w:cs="Calibri"/>
                <w:sz w:val="20"/>
                <w:szCs w:val="20"/>
              </w:rPr>
            </w:pPr>
            <w:r w:rsidRPr="42415D8C">
              <w:rPr>
                <w:rFonts w:eastAsia="Calibri" w:cs="Calibri"/>
                <w:sz w:val="20"/>
                <w:szCs w:val="20"/>
              </w:rPr>
              <w:t>Th</w:t>
            </w:r>
            <w:r>
              <w:rPr>
                <w:rFonts w:eastAsia="Calibri" w:cs="Calibri"/>
                <w:sz w:val="20"/>
                <w:szCs w:val="20"/>
              </w:rPr>
              <w:t xml:space="preserve">e </w:t>
            </w:r>
            <w:r w:rsidRPr="42415D8C">
              <w:rPr>
                <w:rFonts w:eastAsia="Calibri" w:cs="Calibri"/>
                <w:sz w:val="20"/>
                <w:szCs w:val="20"/>
              </w:rPr>
              <w:t xml:space="preserve">MA </w:t>
            </w:r>
            <w:r>
              <w:rPr>
                <w:rFonts w:eastAsia="Calibri" w:cs="Calibri"/>
                <w:sz w:val="20"/>
                <w:szCs w:val="20"/>
              </w:rPr>
              <w:t xml:space="preserve">supported </w:t>
            </w:r>
            <w:r w:rsidRPr="42415D8C">
              <w:rPr>
                <w:rFonts w:eastAsia="Calibri" w:cs="Calibri"/>
                <w:sz w:val="20"/>
                <w:szCs w:val="20"/>
              </w:rPr>
              <w:t>grantees</w:t>
            </w:r>
            <w:r>
              <w:rPr>
                <w:rFonts w:eastAsia="Calibri" w:cs="Calibri"/>
                <w:sz w:val="20"/>
                <w:szCs w:val="20"/>
              </w:rPr>
              <w:t xml:space="preserve"> with monitoring (a monitoring officer was present in each of the four RTs) and took the decision not to put in place country</w:t>
            </w:r>
            <w:r w:rsidR="009C2C0D">
              <w:rPr>
                <w:rFonts w:eastAsia="Calibri" w:cs="Calibri"/>
                <w:sz w:val="20"/>
                <w:szCs w:val="20"/>
              </w:rPr>
              <w:t>-</w:t>
            </w:r>
            <w:r>
              <w:rPr>
                <w:rFonts w:eastAsia="Calibri" w:cs="Calibri"/>
                <w:sz w:val="20"/>
                <w:szCs w:val="20"/>
              </w:rPr>
              <w:t>level ToC</w:t>
            </w:r>
            <w:r w:rsidR="009C2C0D">
              <w:rPr>
                <w:rFonts w:eastAsia="Calibri" w:cs="Calibri"/>
                <w:sz w:val="20"/>
                <w:szCs w:val="20"/>
              </w:rPr>
              <w:t>s</w:t>
            </w:r>
            <w:r>
              <w:rPr>
                <w:rFonts w:eastAsia="Calibri" w:cs="Calibri"/>
                <w:sz w:val="20"/>
                <w:szCs w:val="20"/>
              </w:rPr>
              <w:t xml:space="preserve"> for monitoring purposes</w:t>
            </w:r>
            <w:r w:rsidRPr="42415D8C">
              <w:rPr>
                <w:rFonts w:eastAsia="Calibri" w:cs="Calibri"/>
                <w:sz w:val="20"/>
                <w:szCs w:val="20"/>
              </w:rPr>
              <w:t>.</w:t>
            </w:r>
          </w:p>
        </w:tc>
      </w:tr>
      <w:tr w:rsidR="005348D3" w14:paraId="7F2FDACD" w14:textId="1FF777B4" w:rsidTr="007F63EF">
        <w:trPr>
          <w:cnfStyle w:val="000000100000" w:firstRow="0" w:lastRow="0" w:firstColumn="0" w:lastColumn="0" w:oddVBand="0" w:evenVBand="0" w:oddHBand="1" w:evenHBand="0" w:firstRowFirstColumn="0" w:firstRowLastColumn="0" w:lastRowFirstColumn="0" w:lastRowLastColumn="0"/>
        </w:trPr>
        <w:tc>
          <w:tcPr>
            <w:tcW w:w="2257" w:type="dxa"/>
          </w:tcPr>
          <w:p w14:paraId="2B391A61" w14:textId="55D48373" w:rsidR="005348D3" w:rsidRPr="00EE4D12" w:rsidRDefault="005348D3" w:rsidP="008C1BFD">
            <w:pPr>
              <w:jc w:val="both"/>
              <w:rPr>
                <w:rFonts w:eastAsia="Calibri" w:cs="Calibri"/>
                <w:sz w:val="20"/>
                <w:szCs w:val="20"/>
              </w:rPr>
            </w:pPr>
            <w:r w:rsidRPr="00EE4D12">
              <w:rPr>
                <w:rFonts w:eastAsia="Calibri" w:cs="Calibri"/>
                <w:sz w:val="20"/>
                <w:szCs w:val="20"/>
              </w:rPr>
              <w:t xml:space="preserve">Proposals for the provision of a mid-point review </w:t>
            </w:r>
            <w:r w:rsidR="009C2C0D" w:rsidRPr="00EE4D12">
              <w:rPr>
                <w:rFonts w:eastAsia="Calibri" w:cs="Calibri"/>
                <w:sz w:val="20"/>
                <w:szCs w:val="20"/>
              </w:rPr>
              <w:t>report</w:t>
            </w:r>
            <w:r w:rsidR="009C2C0D">
              <w:rPr>
                <w:rFonts w:eastAsia="Calibri" w:cs="Calibri"/>
                <w:sz w:val="20"/>
                <w:szCs w:val="20"/>
              </w:rPr>
              <w:t xml:space="preserve"> </w:t>
            </w:r>
            <w:r w:rsidRPr="00EE4D12">
              <w:rPr>
                <w:rFonts w:eastAsia="Calibri" w:cs="Calibri"/>
                <w:sz w:val="20"/>
                <w:szCs w:val="20"/>
              </w:rPr>
              <w:t>which answers the EQs indicatively and supplies formative recommendations for the remainder of the Fleming Fund.</w:t>
            </w:r>
          </w:p>
        </w:tc>
        <w:tc>
          <w:tcPr>
            <w:tcW w:w="3569" w:type="dxa"/>
          </w:tcPr>
          <w:p w14:paraId="48B5BD66" w14:textId="72041818" w:rsidR="005348D3" w:rsidRDefault="005348D3" w:rsidP="008C1BFD">
            <w:pPr>
              <w:ind w:left="36"/>
              <w:jc w:val="both"/>
              <w:rPr>
                <w:rFonts w:eastAsia="Calibri" w:cs="Calibri"/>
                <w:sz w:val="20"/>
                <w:szCs w:val="20"/>
              </w:rPr>
            </w:pPr>
            <w:r w:rsidRPr="42415D8C">
              <w:rPr>
                <w:rFonts w:eastAsia="Calibri" w:cs="Calibri"/>
                <w:sz w:val="20"/>
                <w:szCs w:val="20"/>
              </w:rPr>
              <w:t>At the time of writing our inception report in December 2017, we did not think that a mid-term formative report delivered in late 2019 would meet</w:t>
            </w:r>
            <w:r>
              <w:rPr>
                <w:rFonts w:eastAsia="Calibri" w:cs="Calibri"/>
                <w:sz w:val="20"/>
                <w:szCs w:val="20"/>
              </w:rPr>
              <w:t xml:space="preserve"> the</w:t>
            </w:r>
            <w:r w:rsidRPr="42415D8C">
              <w:rPr>
                <w:rFonts w:eastAsia="Calibri" w:cs="Calibri"/>
                <w:sz w:val="20"/>
                <w:szCs w:val="20"/>
              </w:rPr>
              <w:t xml:space="preserve"> DHSC needs as our understanding at that time was that a formative report produced in late 2019 would be too late to influence the overall strategy of the Fund, since nearly all grants would have been approved at that point and so the room for change would be limited. </w:t>
            </w:r>
          </w:p>
        </w:tc>
        <w:tc>
          <w:tcPr>
            <w:tcW w:w="3569" w:type="dxa"/>
          </w:tcPr>
          <w:p w14:paraId="73B80456" w14:textId="4E077916" w:rsidR="005348D3" w:rsidRPr="42415D8C" w:rsidRDefault="00C65F11" w:rsidP="008C1BFD">
            <w:pPr>
              <w:ind w:left="36"/>
              <w:jc w:val="both"/>
              <w:rPr>
                <w:rFonts w:eastAsia="Calibri" w:cs="Calibri"/>
                <w:sz w:val="20"/>
                <w:szCs w:val="20"/>
              </w:rPr>
            </w:pPr>
            <w:r>
              <w:rPr>
                <w:rFonts w:eastAsia="Calibri" w:cs="Calibri"/>
                <w:sz w:val="20"/>
                <w:szCs w:val="20"/>
              </w:rPr>
              <w:t>Implementation timelines have subsequently evolved, and we did submit a formative deliverable in January 2020.</w:t>
            </w:r>
          </w:p>
        </w:tc>
      </w:tr>
      <w:tr w:rsidR="005348D3" w14:paraId="037B574C" w14:textId="2F30FFCE" w:rsidTr="007F63EF">
        <w:trPr>
          <w:cnfStyle w:val="000000010000" w:firstRow="0" w:lastRow="0" w:firstColumn="0" w:lastColumn="0" w:oddVBand="0" w:evenVBand="0" w:oddHBand="0" w:evenHBand="1" w:firstRowFirstColumn="0" w:firstRowLastColumn="0" w:lastRowFirstColumn="0" w:lastRowLastColumn="0"/>
        </w:trPr>
        <w:tc>
          <w:tcPr>
            <w:tcW w:w="2257" w:type="dxa"/>
          </w:tcPr>
          <w:p w14:paraId="69E9E820" w14:textId="77777777" w:rsidR="005348D3" w:rsidRPr="00EE4D12" w:rsidRDefault="005348D3" w:rsidP="008C1BFD">
            <w:pPr>
              <w:jc w:val="both"/>
              <w:rPr>
                <w:rFonts w:eastAsia="Calibri" w:cs="Calibri"/>
                <w:sz w:val="20"/>
                <w:szCs w:val="20"/>
              </w:rPr>
            </w:pPr>
            <w:r w:rsidRPr="00EE4D12">
              <w:rPr>
                <w:rFonts w:eastAsia="Calibri" w:cs="Calibri"/>
                <w:sz w:val="20"/>
                <w:szCs w:val="20"/>
              </w:rPr>
              <w:t>Proposals for the provision of a final summative evaluation report that answers the EQs agreed in accordance with Milestone/Deliverable 3.</w:t>
            </w:r>
          </w:p>
        </w:tc>
        <w:tc>
          <w:tcPr>
            <w:tcW w:w="3569" w:type="dxa"/>
          </w:tcPr>
          <w:p w14:paraId="4D7B04FE" w14:textId="7BDACE1F" w:rsidR="005348D3" w:rsidRDefault="005348D3" w:rsidP="008C1BFD">
            <w:pPr>
              <w:ind w:left="36"/>
              <w:jc w:val="both"/>
              <w:rPr>
                <w:rFonts w:eastAsia="Calibri" w:cs="Calibri"/>
                <w:sz w:val="20"/>
                <w:szCs w:val="20"/>
              </w:rPr>
            </w:pPr>
            <w:r>
              <w:rPr>
                <w:rFonts w:eastAsia="Calibri" w:cs="Calibri"/>
                <w:sz w:val="20"/>
                <w:szCs w:val="20"/>
              </w:rPr>
              <w:t>A</w:t>
            </w:r>
            <w:r w:rsidRPr="42415D8C">
              <w:rPr>
                <w:rFonts w:eastAsia="Calibri" w:cs="Calibri"/>
                <w:sz w:val="20"/>
                <w:szCs w:val="20"/>
              </w:rPr>
              <w:t xml:space="preserve">t the time of writing our inception report in December 2017, we did not think that a summative report in early 2022 would meet </w:t>
            </w:r>
            <w:r w:rsidR="005C5A91">
              <w:rPr>
                <w:rFonts w:eastAsia="Calibri" w:cs="Calibri"/>
                <w:sz w:val="20"/>
                <w:szCs w:val="20"/>
              </w:rPr>
              <w:t xml:space="preserve">the </w:t>
            </w:r>
            <w:r w:rsidRPr="42415D8C">
              <w:rPr>
                <w:rFonts w:eastAsia="Calibri" w:cs="Calibri"/>
                <w:sz w:val="20"/>
                <w:szCs w:val="20"/>
              </w:rPr>
              <w:t xml:space="preserve">DHSC needs. </w:t>
            </w:r>
            <w:r w:rsidR="005C5A91">
              <w:rPr>
                <w:rFonts w:eastAsia="Calibri" w:cs="Calibri"/>
                <w:sz w:val="20"/>
                <w:szCs w:val="20"/>
              </w:rPr>
              <w:t>Given</w:t>
            </w:r>
            <w:r w:rsidRPr="42415D8C">
              <w:rPr>
                <w:rFonts w:eastAsia="Calibri" w:cs="Calibri"/>
                <w:sz w:val="20"/>
                <w:szCs w:val="20"/>
              </w:rPr>
              <w:t xml:space="preserve"> </w:t>
            </w:r>
            <w:r>
              <w:rPr>
                <w:rFonts w:eastAsia="Calibri" w:cs="Calibri"/>
                <w:sz w:val="20"/>
                <w:szCs w:val="20"/>
              </w:rPr>
              <w:t xml:space="preserve">the evolving implementation timelines, </w:t>
            </w:r>
            <w:r w:rsidRPr="42415D8C">
              <w:rPr>
                <w:rFonts w:eastAsia="Calibri" w:cs="Calibri"/>
                <w:sz w:val="20"/>
                <w:szCs w:val="20"/>
              </w:rPr>
              <w:t xml:space="preserve">we </w:t>
            </w:r>
            <w:r>
              <w:rPr>
                <w:rFonts w:eastAsia="Calibri" w:cs="Calibri"/>
                <w:sz w:val="20"/>
                <w:szCs w:val="20"/>
              </w:rPr>
              <w:t>have revised</w:t>
            </w:r>
            <w:r w:rsidRPr="42415D8C">
              <w:rPr>
                <w:rFonts w:eastAsia="Calibri" w:cs="Calibri"/>
                <w:sz w:val="20"/>
                <w:szCs w:val="20"/>
              </w:rPr>
              <w:t xml:space="preserve"> the timing for the summative report in order to maximise </w:t>
            </w:r>
            <w:r>
              <w:rPr>
                <w:rFonts w:eastAsia="Calibri" w:cs="Calibri"/>
                <w:sz w:val="20"/>
                <w:szCs w:val="20"/>
              </w:rPr>
              <w:t xml:space="preserve">its </w:t>
            </w:r>
            <w:r w:rsidRPr="42415D8C">
              <w:rPr>
                <w:rFonts w:eastAsia="Calibri" w:cs="Calibri"/>
                <w:sz w:val="20"/>
                <w:szCs w:val="20"/>
              </w:rPr>
              <w:t>usefulness to</w:t>
            </w:r>
            <w:r>
              <w:rPr>
                <w:rFonts w:eastAsia="Calibri" w:cs="Calibri"/>
                <w:sz w:val="20"/>
                <w:szCs w:val="20"/>
              </w:rPr>
              <w:t xml:space="preserve"> the</w:t>
            </w:r>
            <w:r w:rsidRPr="42415D8C">
              <w:rPr>
                <w:rFonts w:eastAsia="Calibri" w:cs="Calibri"/>
                <w:sz w:val="20"/>
                <w:szCs w:val="20"/>
              </w:rPr>
              <w:t xml:space="preserve"> DHSC.</w:t>
            </w:r>
            <w:r>
              <w:rPr>
                <w:rFonts w:eastAsia="Calibri" w:cs="Calibri"/>
                <w:sz w:val="20"/>
                <w:szCs w:val="20"/>
              </w:rPr>
              <w:t xml:space="preserve"> </w:t>
            </w:r>
          </w:p>
        </w:tc>
        <w:tc>
          <w:tcPr>
            <w:tcW w:w="3569" w:type="dxa"/>
          </w:tcPr>
          <w:p w14:paraId="05D250E4" w14:textId="7CA556DA" w:rsidR="005348D3" w:rsidRDefault="00C65F11" w:rsidP="008C1BFD">
            <w:pPr>
              <w:ind w:left="36"/>
              <w:jc w:val="both"/>
              <w:rPr>
                <w:rFonts w:eastAsia="Calibri" w:cs="Calibri"/>
                <w:sz w:val="20"/>
                <w:szCs w:val="20"/>
              </w:rPr>
            </w:pPr>
            <w:r>
              <w:rPr>
                <w:rFonts w:eastAsia="Calibri" w:cs="Calibri"/>
                <w:sz w:val="20"/>
                <w:szCs w:val="20"/>
              </w:rPr>
              <w:t>This summative report was submitted in draft form in December 2022 and in its final form during Q1 2023.</w:t>
            </w:r>
          </w:p>
        </w:tc>
      </w:tr>
      <w:tr w:rsidR="005348D3" w14:paraId="0AE337B8" w14:textId="1B9210DC" w:rsidTr="007F63EF">
        <w:trPr>
          <w:cnfStyle w:val="000000100000" w:firstRow="0" w:lastRow="0" w:firstColumn="0" w:lastColumn="0" w:oddVBand="0" w:evenVBand="0" w:oddHBand="1" w:evenHBand="0" w:firstRowFirstColumn="0" w:firstRowLastColumn="0" w:lastRowFirstColumn="0" w:lastRowLastColumn="0"/>
        </w:trPr>
        <w:tc>
          <w:tcPr>
            <w:tcW w:w="2257" w:type="dxa"/>
          </w:tcPr>
          <w:p w14:paraId="2DD0BBFA" w14:textId="77777777" w:rsidR="005348D3" w:rsidRDefault="005348D3" w:rsidP="008C1BFD">
            <w:pPr>
              <w:ind w:left="30"/>
              <w:jc w:val="both"/>
              <w:rPr>
                <w:rFonts w:eastAsia="Calibri" w:cs="Calibri"/>
                <w:sz w:val="20"/>
                <w:szCs w:val="20"/>
              </w:rPr>
            </w:pPr>
            <w:r w:rsidRPr="42415D8C">
              <w:rPr>
                <w:rFonts w:eastAsia="Calibri" w:cs="Calibri"/>
                <w:sz w:val="20"/>
                <w:szCs w:val="20"/>
              </w:rPr>
              <w:t>Governance arrangements for the evaluation</w:t>
            </w:r>
          </w:p>
        </w:tc>
        <w:tc>
          <w:tcPr>
            <w:tcW w:w="3569" w:type="dxa"/>
          </w:tcPr>
          <w:p w14:paraId="3BC83698" w14:textId="33B9B2EF" w:rsidR="005348D3" w:rsidRDefault="005348D3" w:rsidP="008C1BFD">
            <w:pPr>
              <w:ind w:left="36"/>
              <w:jc w:val="both"/>
              <w:rPr>
                <w:rFonts w:eastAsia="Calibri" w:cs="Calibri"/>
                <w:sz w:val="20"/>
                <w:szCs w:val="20"/>
              </w:rPr>
            </w:pPr>
            <w:r>
              <w:rPr>
                <w:rFonts w:eastAsia="Calibri" w:cs="Calibri"/>
                <w:sz w:val="20"/>
                <w:szCs w:val="20"/>
              </w:rPr>
              <w:t xml:space="preserve">The </w:t>
            </w:r>
            <w:r w:rsidRPr="42415D8C">
              <w:rPr>
                <w:rFonts w:eastAsia="Calibri" w:cs="Calibri"/>
                <w:sz w:val="20"/>
                <w:szCs w:val="20"/>
              </w:rPr>
              <w:t xml:space="preserve">DHSC decided that its Project Board </w:t>
            </w:r>
            <w:r w:rsidR="00D27A19" w:rsidRPr="00D27A19">
              <w:rPr>
                <w:rFonts w:eastAsia="Calibri" w:cs="Calibri"/>
                <w:sz w:val="20"/>
                <w:szCs w:val="20"/>
              </w:rPr>
              <w:t>will primarily be responsible for the governance of Fleming Fund decisions</w:t>
            </w:r>
            <w:r w:rsidRPr="42415D8C">
              <w:rPr>
                <w:rFonts w:eastAsia="Calibri" w:cs="Calibri"/>
                <w:sz w:val="20"/>
                <w:szCs w:val="20"/>
              </w:rPr>
              <w:t xml:space="preserve">, and that there </w:t>
            </w:r>
            <w:r>
              <w:rPr>
                <w:rFonts w:eastAsia="Calibri" w:cs="Calibri"/>
                <w:sz w:val="20"/>
                <w:szCs w:val="20"/>
              </w:rPr>
              <w:t>was</w:t>
            </w:r>
            <w:r w:rsidRPr="42415D8C">
              <w:rPr>
                <w:rFonts w:eastAsia="Calibri" w:cs="Calibri"/>
                <w:sz w:val="20"/>
                <w:szCs w:val="20"/>
              </w:rPr>
              <w:t xml:space="preserve"> not </w:t>
            </w:r>
            <w:r>
              <w:rPr>
                <w:rFonts w:eastAsia="Calibri" w:cs="Calibri"/>
                <w:sz w:val="20"/>
                <w:szCs w:val="20"/>
              </w:rPr>
              <w:t xml:space="preserve">going to </w:t>
            </w:r>
            <w:r w:rsidRPr="42415D8C">
              <w:rPr>
                <w:rFonts w:eastAsia="Calibri" w:cs="Calibri"/>
                <w:sz w:val="20"/>
                <w:szCs w:val="20"/>
              </w:rPr>
              <w:t>be a Steering Committee as indicated in the T</w:t>
            </w:r>
            <w:r>
              <w:rPr>
                <w:rFonts w:eastAsia="Calibri" w:cs="Calibri"/>
                <w:sz w:val="20"/>
                <w:szCs w:val="20"/>
              </w:rPr>
              <w:t>o</w:t>
            </w:r>
            <w:r w:rsidRPr="42415D8C">
              <w:rPr>
                <w:rFonts w:eastAsia="Calibri" w:cs="Calibri"/>
                <w:sz w:val="20"/>
                <w:szCs w:val="20"/>
              </w:rPr>
              <w:t>R.</w:t>
            </w:r>
            <w:r>
              <w:rPr>
                <w:rFonts w:eastAsia="Calibri" w:cs="Calibri"/>
                <w:sz w:val="20"/>
                <w:szCs w:val="20"/>
              </w:rPr>
              <w:t xml:space="preserve"> The</w:t>
            </w:r>
            <w:r w:rsidRPr="42415D8C">
              <w:rPr>
                <w:rFonts w:eastAsia="Calibri" w:cs="Calibri"/>
                <w:sz w:val="20"/>
                <w:szCs w:val="20"/>
              </w:rPr>
              <w:t xml:space="preserve"> DHSC expect</w:t>
            </w:r>
            <w:r>
              <w:rPr>
                <w:rFonts w:eastAsia="Calibri" w:cs="Calibri"/>
                <w:sz w:val="20"/>
                <w:szCs w:val="20"/>
              </w:rPr>
              <w:t>ations were</w:t>
            </w:r>
            <w:r w:rsidRPr="42415D8C">
              <w:rPr>
                <w:rFonts w:eastAsia="Calibri" w:cs="Calibri"/>
                <w:sz w:val="20"/>
                <w:szCs w:val="20"/>
              </w:rPr>
              <w:t xml:space="preserve"> that both the </w:t>
            </w:r>
            <w:r>
              <w:rPr>
                <w:rFonts w:eastAsia="Calibri" w:cs="Calibri"/>
                <w:sz w:val="20"/>
                <w:szCs w:val="20"/>
              </w:rPr>
              <w:t>MA</w:t>
            </w:r>
            <w:r w:rsidRPr="42415D8C">
              <w:rPr>
                <w:rFonts w:eastAsia="Calibri" w:cs="Calibri"/>
                <w:sz w:val="20"/>
                <w:szCs w:val="20"/>
              </w:rPr>
              <w:t xml:space="preserve"> and the Evaluation Supplier attend</w:t>
            </w:r>
            <w:r>
              <w:rPr>
                <w:rFonts w:eastAsia="Calibri" w:cs="Calibri"/>
                <w:sz w:val="20"/>
                <w:szCs w:val="20"/>
              </w:rPr>
              <w:t>ed</w:t>
            </w:r>
            <w:r w:rsidRPr="42415D8C">
              <w:rPr>
                <w:rFonts w:eastAsia="Calibri" w:cs="Calibri"/>
                <w:sz w:val="20"/>
                <w:szCs w:val="20"/>
              </w:rPr>
              <w:t xml:space="preserve"> the Project Board on an </w:t>
            </w:r>
            <w:r w:rsidRPr="42415D8C">
              <w:rPr>
                <w:rFonts w:eastAsia="Calibri" w:cs="Calibri"/>
                <w:i/>
                <w:iCs/>
                <w:sz w:val="20"/>
                <w:szCs w:val="20"/>
              </w:rPr>
              <w:t>ad hoc</w:t>
            </w:r>
            <w:r w:rsidRPr="42415D8C">
              <w:rPr>
                <w:rFonts w:eastAsia="Calibri" w:cs="Calibri"/>
                <w:sz w:val="20"/>
                <w:szCs w:val="20"/>
              </w:rPr>
              <w:t xml:space="preserve"> basis when there are key agenda items that would benefit from their direct involvement.</w:t>
            </w:r>
            <w:r>
              <w:rPr>
                <w:rFonts w:eastAsia="Calibri" w:cs="Calibri"/>
                <w:sz w:val="20"/>
                <w:szCs w:val="20"/>
              </w:rPr>
              <w:t xml:space="preserve"> This has not been the case. Instead, the Evaluation Supplier has had multiple interactions with the DHSC </w:t>
            </w:r>
            <w:r w:rsidRPr="00B51B95">
              <w:rPr>
                <w:rFonts w:eastAsia="Calibri" w:cs="Calibri"/>
                <w:sz w:val="20"/>
                <w:szCs w:val="20"/>
              </w:rPr>
              <w:t>Technical Advisory Group</w:t>
            </w:r>
            <w:r>
              <w:rPr>
                <w:rFonts w:eastAsia="Calibri" w:cs="Calibri"/>
                <w:sz w:val="20"/>
                <w:szCs w:val="20"/>
              </w:rPr>
              <w:t xml:space="preserve"> (TAG).</w:t>
            </w:r>
          </w:p>
        </w:tc>
        <w:tc>
          <w:tcPr>
            <w:tcW w:w="3569" w:type="dxa"/>
          </w:tcPr>
          <w:p w14:paraId="4D9D7CBF" w14:textId="0F8CC082" w:rsidR="005348D3" w:rsidRDefault="00C65F11" w:rsidP="008C1BFD">
            <w:pPr>
              <w:ind w:left="36"/>
              <w:jc w:val="both"/>
              <w:rPr>
                <w:rFonts w:eastAsia="Calibri" w:cs="Calibri"/>
                <w:sz w:val="20"/>
                <w:szCs w:val="20"/>
              </w:rPr>
            </w:pPr>
            <w:r>
              <w:rPr>
                <w:rFonts w:eastAsia="Calibri" w:cs="Calibri"/>
                <w:sz w:val="20"/>
                <w:szCs w:val="20"/>
              </w:rPr>
              <w:t>No material implications were noted from this decision.</w:t>
            </w:r>
          </w:p>
        </w:tc>
      </w:tr>
      <w:tr w:rsidR="005348D3" w14:paraId="00077B07" w14:textId="1B17F83F" w:rsidTr="007F63EF">
        <w:trPr>
          <w:cnfStyle w:val="000000010000" w:firstRow="0" w:lastRow="0" w:firstColumn="0" w:lastColumn="0" w:oddVBand="0" w:evenVBand="0" w:oddHBand="0" w:evenHBand="1" w:firstRowFirstColumn="0" w:firstRowLastColumn="0" w:lastRowFirstColumn="0" w:lastRowLastColumn="0"/>
        </w:trPr>
        <w:tc>
          <w:tcPr>
            <w:tcW w:w="2257" w:type="dxa"/>
          </w:tcPr>
          <w:p w14:paraId="49DD40CB" w14:textId="77777777" w:rsidR="005348D3" w:rsidRPr="00A36C13" w:rsidRDefault="005348D3" w:rsidP="008C1BFD">
            <w:pPr>
              <w:ind w:left="30"/>
              <w:jc w:val="both"/>
              <w:rPr>
                <w:rFonts w:eastAsia="Calibri" w:cs="Calibri"/>
                <w:sz w:val="20"/>
                <w:szCs w:val="20"/>
              </w:rPr>
            </w:pPr>
            <w:r>
              <w:rPr>
                <w:rFonts w:eastAsia="Calibri" w:cs="Calibri"/>
                <w:sz w:val="20"/>
                <w:szCs w:val="20"/>
              </w:rPr>
              <w:t xml:space="preserve">Evaluation Question </w:t>
            </w:r>
            <w:r w:rsidRPr="00A36C13">
              <w:rPr>
                <w:rFonts w:eastAsia="Calibri" w:cs="Calibri"/>
                <w:sz w:val="20"/>
                <w:szCs w:val="20"/>
              </w:rPr>
              <w:t>and Indicative Evaluation Sub-Questions</w:t>
            </w:r>
          </w:p>
        </w:tc>
        <w:tc>
          <w:tcPr>
            <w:tcW w:w="3569" w:type="dxa"/>
          </w:tcPr>
          <w:p w14:paraId="480B995E" w14:textId="77777777" w:rsidR="005348D3" w:rsidRPr="42415D8C" w:rsidRDefault="005348D3" w:rsidP="008C1BFD">
            <w:pPr>
              <w:ind w:left="30"/>
              <w:jc w:val="both"/>
              <w:rPr>
                <w:rFonts w:eastAsia="Calibri" w:cs="Calibri"/>
                <w:sz w:val="20"/>
                <w:szCs w:val="20"/>
              </w:rPr>
            </w:pPr>
            <w:r>
              <w:rPr>
                <w:rFonts w:eastAsia="Calibri" w:cs="Calibri"/>
                <w:sz w:val="20"/>
                <w:szCs w:val="20"/>
              </w:rPr>
              <w:t xml:space="preserve">The ToRs include proposed EQs and indicative sub-questions, these were used to guide the development of the final EQs that were used throughout the evaluation. </w:t>
            </w:r>
          </w:p>
        </w:tc>
        <w:tc>
          <w:tcPr>
            <w:tcW w:w="3569" w:type="dxa"/>
          </w:tcPr>
          <w:p w14:paraId="019B3B9E" w14:textId="2C064925" w:rsidR="005348D3" w:rsidRDefault="00C65F11" w:rsidP="008C1BFD">
            <w:pPr>
              <w:ind w:left="30"/>
              <w:jc w:val="both"/>
              <w:rPr>
                <w:rFonts w:eastAsia="Calibri" w:cs="Calibri"/>
                <w:sz w:val="20"/>
                <w:szCs w:val="20"/>
              </w:rPr>
            </w:pPr>
            <w:r>
              <w:rPr>
                <w:rFonts w:eastAsia="Calibri" w:cs="Calibri"/>
                <w:sz w:val="20"/>
                <w:szCs w:val="20"/>
              </w:rPr>
              <w:t xml:space="preserve">As noted, EQs formed the basis for evaluation design, data collection, </w:t>
            </w:r>
            <w:r w:rsidR="005C5A91">
              <w:rPr>
                <w:rFonts w:eastAsia="Calibri" w:cs="Calibri"/>
                <w:sz w:val="20"/>
                <w:szCs w:val="20"/>
              </w:rPr>
              <w:t>analysis,</w:t>
            </w:r>
            <w:r>
              <w:rPr>
                <w:rFonts w:eastAsia="Calibri" w:cs="Calibri"/>
                <w:sz w:val="20"/>
                <w:szCs w:val="20"/>
              </w:rPr>
              <w:t xml:space="preserve"> and reporting.</w:t>
            </w:r>
          </w:p>
        </w:tc>
      </w:tr>
      <w:tr w:rsidR="005348D3" w14:paraId="286CDC36" w14:textId="69BA24CE" w:rsidTr="007F63EF">
        <w:trPr>
          <w:cnfStyle w:val="000000100000" w:firstRow="0" w:lastRow="0" w:firstColumn="0" w:lastColumn="0" w:oddVBand="0" w:evenVBand="0" w:oddHBand="1" w:evenHBand="0" w:firstRowFirstColumn="0" w:firstRowLastColumn="0" w:lastRowFirstColumn="0" w:lastRowLastColumn="0"/>
        </w:trPr>
        <w:tc>
          <w:tcPr>
            <w:tcW w:w="2257" w:type="dxa"/>
          </w:tcPr>
          <w:p w14:paraId="53A4AFDE" w14:textId="77777777" w:rsidR="005348D3" w:rsidRPr="42415D8C" w:rsidRDefault="005348D3" w:rsidP="008C1BFD">
            <w:pPr>
              <w:ind w:left="30"/>
              <w:jc w:val="both"/>
              <w:rPr>
                <w:rFonts w:eastAsia="Calibri" w:cs="Calibri"/>
                <w:sz w:val="20"/>
                <w:szCs w:val="20"/>
              </w:rPr>
            </w:pPr>
            <w:r>
              <w:rPr>
                <w:rFonts w:eastAsia="Calibri" w:cs="Calibri"/>
                <w:sz w:val="20"/>
                <w:szCs w:val="20"/>
              </w:rPr>
              <w:t xml:space="preserve">Production of evidence briefs (formative report) </w:t>
            </w:r>
          </w:p>
        </w:tc>
        <w:tc>
          <w:tcPr>
            <w:tcW w:w="3569" w:type="dxa"/>
          </w:tcPr>
          <w:p w14:paraId="6FFBC2CB" w14:textId="532C10C8" w:rsidR="005348D3" w:rsidRPr="42415D8C" w:rsidRDefault="005348D3" w:rsidP="008C1BFD">
            <w:pPr>
              <w:rPr>
                <w:rFonts w:eastAsia="Calibri" w:cs="Calibri"/>
                <w:sz w:val="20"/>
                <w:szCs w:val="20"/>
              </w:rPr>
            </w:pPr>
            <w:r>
              <w:rPr>
                <w:rFonts w:eastAsia="Calibri" w:cs="Calibri"/>
                <w:sz w:val="20"/>
                <w:szCs w:val="20"/>
              </w:rPr>
              <w:t xml:space="preserve">Evidence briefs were not produced following the formative report </w:t>
            </w:r>
          </w:p>
        </w:tc>
        <w:tc>
          <w:tcPr>
            <w:tcW w:w="3569" w:type="dxa"/>
          </w:tcPr>
          <w:p w14:paraId="2522E268" w14:textId="02C5968A" w:rsidR="005348D3" w:rsidRDefault="00AC52AC" w:rsidP="008C1BFD">
            <w:pPr>
              <w:rPr>
                <w:rFonts w:eastAsia="Calibri" w:cs="Calibri"/>
                <w:sz w:val="20"/>
                <w:szCs w:val="20"/>
              </w:rPr>
            </w:pPr>
            <w:r>
              <w:rPr>
                <w:rFonts w:eastAsia="Calibri" w:cs="Calibri"/>
                <w:sz w:val="20"/>
                <w:szCs w:val="20"/>
              </w:rPr>
              <w:t>Instead learning products were created for key stakeholders and public use including dissemination of findings to the DHSC, MA</w:t>
            </w:r>
            <w:r w:rsidR="005C5A91">
              <w:rPr>
                <w:rFonts w:eastAsia="Calibri" w:cs="Calibri"/>
                <w:sz w:val="20"/>
                <w:szCs w:val="20"/>
              </w:rPr>
              <w:t>,</w:t>
            </w:r>
            <w:r>
              <w:rPr>
                <w:rFonts w:eastAsia="Calibri" w:cs="Calibri"/>
                <w:sz w:val="20"/>
                <w:szCs w:val="20"/>
              </w:rPr>
              <w:t xml:space="preserve"> and TAG, learning products such as blog posts, contributions to thematic workshops, and peer reviewed journal papers.</w:t>
            </w:r>
          </w:p>
        </w:tc>
      </w:tr>
      <w:tr w:rsidR="005348D3" w14:paraId="6945D431" w14:textId="4ACC3DC8" w:rsidTr="007F63EF">
        <w:trPr>
          <w:cnfStyle w:val="000000010000" w:firstRow="0" w:lastRow="0" w:firstColumn="0" w:lastColumn="0" w:oddVBand="0" w:evenVBand="0" w:oddHBand="0" w:evenHBand="1" w:firstRowFirstColumn="0" w:firstRowLastColumn="0" w:lastRowFirstColumn="0" w:lastRowLastColumn="0"/>
        </w:trPr>
        <w:tc>
          <w:tcPr>
            <w:tcW w:w="2257" w:type="dxa"/>
          </w:tcPr>
          <w:p w14:paraId="7348BDD5" w14:textId="77777777" w:rsidR="005348D3" w:rsidRPr="42415D8C" w:rsidRDefault="005348D3" w:rsidP="008C1BFD">
            <w:pPr>
              <w:ind w:left="30"/>
              <w:jc w:val="both"/>
              <w:rPr>
                <w:rFonts w:eastAsia="Calibri" w:cs="Calibri"/>
                <w:sz w:val="20"/>
                <w:szCs w:val="20"/>
              </w:rPr>
            </w:pPr>
            <w:r w:rsidRPr="00A36C13">
              <w:rPr>
                <w:rFonts w:eastAsia="Calibri" w:cs="Calibri"/>
                <w:sz w:val="20"/>
                <w:szCs w:val="20"/>
              </w:rPr>
              <w:t>Contracting Phases and Outputs</w:t>
            </w:r>
          </w:p>
        </w:tc>
        <w:tc>
          <w:tcPr>
            <w:tcW w:w="3569" w:type="dxa"/>
          </w:tcPr>
          <w:p w14:paraId="48A799C0" w14:textId="28631E6B" w:rsidR="005348D3" w:rsidRDefault="005348D3" w:rsidP="008C1BFD">
            <w:pPr>
              <w:spacing w:after="160" w:line="259" w:lineRule="auto"/>
              <w:rPr>
                <w:sz w:val="20"/>
                <w:szCs w:val="20"/>
              </w:rPr>
            </w:pPr>
            <w:r>
              <w:rPr>
                <w:sz w:val="20"/>
                <w:szCs w:val="20"/>
              </w:rPr>
              <w:t xml:space="preserve">The evaluation period was extended until March 2023, in line with an overall </w:t>
            </w:r>
            <w:r w:rsidRPr="00EC1CAE">
              <w:rPr>
                <w:sz w:val="20"/>
                <w:szCs w:val="20"/>
              </w:rPr>
              <w:t>no cost extension</w:t>
            </w:r>
            <w:r>
              <w:rPr>
                <w:sz w:val="20"/>
                <w:szCs w:val="20"/>
              </w:rPr>
              <w:t xml:space="preserve"> to the programme. </w:t>
            </w:r>
          </w:p>
          <w:p w14:paraId="06EA6588" w14:textId="13F31958" w:rsidR="005348D3" w:rsidRPr="42415D8C" w:rsidRDefault="000D6D73" w:rsidP="00C6374D">
            <w:pPr>
              <w:pStyle w:val="ListParagraph"/>
              <w:numPr>
                <w:ilvl w:val="0"/>
                <w:numId w:val="97"/>
              </w:numPr>
              <w:spacing w:after="200" w:line="259" w:lineRule="auto"/>
              <w:rPr>
                <w:rFonts w:eastAsia="Calibri" w:cs="Calibri"/>
                <w:sz w:val="20"/>
                <w:szCs w:val="20"/>
              </w:rPr>
            </w:pPr>
            <w:r>
              <w:rPr>
                <w:sz w:val="20"/>
                <w:szCs w:val="20"/>
              </w:rPr>
              <w:t xml:space="preserve">Phase </w:t>
            </w:r>
            <w:r w:rsidR="009E2AC2">
              <w:rPr>
                <w:sz w:val="20"/>
                <w:szCs w:val="20"/>
              </w:rPr>
              <w:t>1</w:t>
            </w:r>
          </w:p>
        </w:tc>
        <w:tc>
          <w:tcPr>
            <w:tcW w:w="3569" w:type="dxa"/>
          </w:tcPr>
          <w:p w14:paraId="1483E0DC" w14:textId="77777777" w:rsidR="00AC52AC" w:rsidRPr="002E5693" w:rsidRDefault="00AC52AC" w:rsidP="00AC52AC">
            <w:pPr>
              <w:spacing w:after="160" w:line="259" w:lineRule="auto"/>
              <w:rPr>
                <w:sz w:val="20"/>
                <w:szCs w:val="20"/>
              </w:rPr>
            </w:pPr>
            <w:r>
              <w:rPr>
                <w:sz w:val="20"/>
                <w:szCs w:val="20"/>
              </w:rPr>
              <w:t xml:space="preserve">There was a deviation from the deliverables and timings outlined in the ToRs. The final deliverables and timings were as follows: </w:t>
            </w:r>
          </w:p>
          <w:p w14:paraId="2256131E" w14:textId="712CCED3" w:rsidR="00AC52AC" w:rsidRPr="00375496" w:rsidRDefault="00AC52AC" w:rsidP="00C6374D">
            <w:pPr>
              <w:pStyle w:val="ListParagraph"/>
              <w:numPr>
                <w:ilvl w:val="0"/>
                <w:numId w:val="97"/>
              </w:numPr>
              <w:spacing w:after="160" w:line="259" w:lineRule="auto"/>
              <w:rPr>
                <w:sz w:val="20"/>
                <w:szCs w:val="20"/>
              </w:rPr>
            </w:pPr>
            <w:r w:rsidRPr="00375496">
              <w:rPr>
                <w:sz w:val="20"/>
                <w:szCs w:val="20"/>
              </w:rPr>
              <w:t xml:space="preserve">Report 1: </w:t>
            </w:r>
            <w:r>
              <w:rPr>
                <w:sz w:val="20"/>
                <w:szCs w:val="20"/>
              </w:rPr>
              <w:t xml:space="preserve">January 2019 </w:t>
            </w:r>
            <w:r w:rsidRPr="00375496">
              <w:rPr>
                <w:sz w:val="20"/>
                <w:szCs w:val="20"/>
              </w:rPr>
              <w:t>Formative report incl</w:t>
            </w:r>
            <w:r>
              <w:rPr>
                <w:sz w:val="20"/>
                <w:szCs w:val="20"/>
              </w:rPr>
              <w:t>uding</w:t>
            </w:r>
            <w:r w:rsidRPr="00375496">
              <w:rPr>
                <w:sz w:val="20"/>
                <w:szCs w:val="20"/>
              </w:rPr>
              <w:t xml:space="preserve"> judgements for</w:t>
            </w:r>
            <w:r>
              <w:rPr>
                <w:sz w:val="20"/>
                <w:szCs w:val="20"/>
              </w:rPr>
              <w:t xml:space="preserve"> the</w:t>
            </w:r>
            <w:r w:rsidRPr="00375496">
              <w:rPr>
                <w:sz w:val="20"/>
                <w:szCs w:val="20"/>
              </w:rPr>
              <w:t xml:space="preserve"> </w:t>
            </w:r>
            <w:r>
              <w:rPr>
                <w:sz w:val="20"/>
                <w:szCs w:val="20"/>
              </w:rPr>
              <w:t>DHSC</w:t>
            </w:r>
            <w:r w:rsidRPr="00375496">
              <w:rPr>
                <w:sz w:val="20"/>
                <w:szCs w:val="20"/>
              </w:rPr>
              <w:t>, MA</w:t>
            </w:r>
            <w:r w:rsidR="005C5A91">
              <w:rPr>
                <w:sz w:val="20"/>
                <w:szCs w:val="20"/>
              </w:rPr>
              <w:t>,</w:t>
            </w:r>
            <w:r w:rsidRPr="00375496">
              <w:rPr>
                <w:sz w:val="20"/>
                <w:szCs w:val="20"/>
              </w:rPr>
              <w:t xml:space="preserve"> and HMT to support</w:t>
            </w:r>
            <w:r>
              <w:rPr>
                <w:sz w:val="20"/>
                <w:szCs w:val="20"/>
              </w:rPr>
              <w:t xml:space="preserve"> a</w:t>
            </w:r>
            <w:r w:rsidRPr="00375496">
              <w:rPr>
                <w:sz w:val="20"/>
                <w:szCs w:val="20"/>
              </w:rPr>
              <w:t xml:space="preserve"> decision on future F</w:t>
            </w:r>
            <w:r>
              <w:rPr>
                <w:sz w:val="20"/>
                <w:szCs w:val="20"/>
              </w:rPr>
              <w:t xml:space="preserve">leming </w:t>
            </w:r>
            <w:r w:rsidRPr="00375496">
              <w:rPr>
                <w:sz w:val="20"/>
                <w:szCs w:val="20"/>
              </w:rPr>
              <w:t>F</w:t>
            </w:r>
            <w:r>
              <w:rPr>
                <w:sz w:val="20"/>
                <w:szCs w:val="20"/>
              </w:rPr>
              <w:t>und</w:t>
            </w:r>
            <w:r w:rsidRPr="00375496">
              <w:rPr>
                <w:sz w:val="20"/>
                <w:szCs w:val="20"/>
              </w:rPr>
              <w:t xml:space="preserve"> funding</w:t>
            </w:r>
            <w:r>
              <w:rPr>
                <w:sz w:val="20"/>
                <w:szCs w:val="20"/>
              </w:rPr>
              <w:t>.</w:t>
            </w:r>
          </w:p>
          <w:p w14:paraId="5B282C68" w14:textId="77777777" w:rsidR="00AC52AC" w:rsidRPr="0014279A" w:rsidRDefault="00AC52AC" w:rsidP="00C6374D">
            <w:pPr>
              <w:pStyle w:val="ListParagraph"/>
              <w:numPr>
                <w:ilvl w:val="0"/>
                <w:numId w:val="97"/>
              </w:numPr>
              <w:spacing w:after="160" w:line="259" w:lineRule="auto"/>
              <w:rPr>
                <w:sz w:val="20"/>
                <w:szCs w:val="20"/>
              </w:rPr>
            </w:pPr>
            <w:r w:rsidRPr="00D43843">
              <w:rPr>
                <w:sz w:val="20"/>
                <w:szCs w:val="20"/>
              </w:rPr>
              <w:t xml:space="preserve">Report 2: Formative deliverable for </w:t>
            </w:r>
            <w:r>
              <w:rPr>
                <w:sz w:val="20"/>
                <w:szCs w:val="20"/>
              </w:rPr>
              <w:t xml:space="preserve">the </w:t>
            </w:r>
            <w:r w:rsidRPr="00D43843">
              <w:rPr>
                <w:sz w:val="20"/>
                <w:szCs w:val="20"/>
              </w:rPr>
              <w:t>DHSC, MA to support adaptive learning in key window</w:t>
            </w:r>
            <w:r>
              <w:rPr>
                <w:sz w:val="20"/>
                <w:szCs w:val="20"/>
              </w:rPr>
              <w:t>s</w:t>
            </w:r>
            <w:r w:rsidRPr="00D43843">
              <w:rPr>
                <w:sz w:val="20"/>
                <w:szCs w:val="20"/>
              </w:rPr>
              <w:t xml:space="preserve"> of opportunity</w:t>
            </w:r>
            <w:r>
              <w:rPr>
                <w:sz w:val="20"/>
                <w:szCs w:val="20"/>
              </w:rPr>
              <w:t>, s</w:t>
            </w:r>
            <w:r w:rsidRPr="0014279A">
              <w:rPr>
                <w:sz w:val="20"/>
                <w:szCs w:val="20"/>
              </w:rPr>
              <w:t xml:space="preserve">ubmitted January 2020. </w:t>
            </w:r>
          </w:p>
          <w:p w14:paraId="2F3C68B3" w14:textId="7020004F" w:rsidR="00AC52AC" w:rsidRPr="0014279A" w:rsidRDefault="00AC52AC" w:rsidP="00C6374D">
            <w:pPr>
              <w:pStyle w:val="ListParagraph"/>
              <w:numPr>
                <w:ilvl w:val="0"/>
                <w:numId w:val="97"/>
              </w:numPr>
              <w:spacing w:after="200" w:line="259" w:lineRule="auto"/>
              <w:rPr>
                <w:sz w:val="20"/>
                <w:szCs w:val="20"/>
              </w:rPr>
            </w:pPr>
            <w:r w:rsidRPr="0014279A">
              <w:rPr>
                <w:sz w:val="20"/>
                <w:szCs w:val="20"/>
              </w:rPr>
              <w:t xml:space="preserve">Report 3: Formative deliverable requested by </w:t>
            </w:r>
            <w:r>
              <w:rPr>
                <w:sz w:val="20"/>
                <w:szCs w:val="20"/>
              </w:rPr>
              <w:t xml:space="preserve">the </w:t>
            </w:r>
            <w:r w:rsidRPr="0014279A">
              <w:rPr>
                <w:sz w:val="20"/>
                <w:szCs w:val="20"/>
              </w:rPr>
              <w:t xml:space="preserve">DHSC to inform </w:t>
            </w:r>
            <w:r>
              <w:rPr>
                <w:sz w:val="20"/>
                <w:szCs w:val="20"/>
              </w:rPr>
              <w:t xml:space="preserve">the </w:t>
            </w:r>
            <w:r w:rsidRPr="0014279A">
              <w:rPr>
                <w:sz w:val="20"/>
                <w:szCs w:val="20"/>
              </w:rPr>
              <w:t xml:space="preserve">design of </w:t>
            </w:r>
            <w:r>
              <w:rPr>
                <w:sz w:val="20"/>
                <w:szCs w:val="20"/>
              </w:rPr>
              <w:t xml:space="preserve">the second phase of the </w:t>
            </w:r>
            <w:r w:rsidRPr="0014279A">
              <w:rPr>
                <w:sz w:val="20"/>
                <w:szCs w:val="20"/>
              </w:rPr>
              <w:t>F</w:t>
            </w:r>
            <w:r>
              <w:rPr>
                <w:sz w:val="20"/>
                <w:szCs w:val="20"/>
              </w:rPr>
              <w:t>leming Fund</w:t>
            </w:r>
            <w:r w:rsidRPr="0014279A">
              <w:rPr>
                <w:sz w:val="20"/>
                <w:szCs w:val="20"/>
              </w:rPr>
              <w:t xml:space="preserve"> (specifically focusing on Fleming Fellows, </w:t>
            </w:r>
            <w:r>
              <w:rPr>
                <w:sz w:val="20"/>
                <w:szCs w:val="20"/>
              </w:rPr>
              <w:t>RGs</w:t>
            </w:r>
            <w:r w:rsidRPr="0014279A">
              <w:rPr>
                <w:sz w:val="20"/>
                <w:szCs w:val="20"/>
              </w:rPr>
              <w:t xml:space="preserve"> and Use of data) and identify any potential adaptations for</w:t>
            </w:r>
            <w:r>
              <w:rPr>
                <w:sz w:val="20"/>
                <w:szCs w:val="20"/>
              </w:rPr>
              <w:t xml:space="preserve"> the</w:t>
            </w:r>
            <w:r w:rsidRPr="0014279A">
              <w:rPr>
                <w:sz w:val="20"/>
                <w:szCs w:val="20"/>
              </w:rPr>
              <w:t xml:space="preserve"> remaining time of </w:t>
            </w:r>
            <w:r w:rsidR="009E2AC2">
              <w:rPr>
                <w:sz w:val="20"/>
                <w:szCs w:val="20"/>
              </w:rPr>
              <w:t>phase 1</w:t>
            </w:r>
            <w:r>
              <w:rPr>
                <w:sz w:val="20"/>
                <w:szCs w:val="20"/>
              </w:rPr>
              <w:t>, submitted March 2021.</w:t>
            </w:r>
          </w:p>
          <w:p w14:paraId="186AFBF3" w14:textId="16B8D182" w:rsidR="005348D3" w:rsidRDefault="00AC52AC" w:rsidP="00C6374D">
            <w:pPr>
              <w:pStyle w:val="ListParagraph"/>
              <w:numPr>
                <w:ilvl w:val="0"/>
                <w:numId w:val="97"/>
              </w:numPr>
              <w:spacing w:after="200" w:line="259" w:lineRule="auto"/>
              <w:rPr>
                <w:sz w:val="20"/>
                <w:szCs w:val="20"/>
              </w:rPr>
            </w:pPr>
            <w:r w:rsidRPr="0014279A">
              <w:rPr>
                <w:sz w:val="20"/>
                <w:szCs w:val="20"/>
              </w:rPr>
              <w:t xml:space="preserve">Report 4: Summative report for </w:t>
            </w:r>
            <w:r>
              <w:rPr>
                <w:sz w:val="20"/>
                <w:szCs w:val="20"/>
              </w:rPr>
              <w:t xml:space="preserve">the </w:t>
            </w:r>
            <w:r w:rsidRPr="0014279A">
              <w:rPr>
                <w:sz w:val="20"/>
                <w:szCs w:val="20"/>
              </w:rPr>
              <w:t>DHSC on whether the grants programme is likely to meet its overall objectives</w:t>
            </w:r>
            <w:r>
              <w:rPr>
                <w:sz w:val="20"/>
                <w:szCs w:val="20"/>
              </w:rPr>
              <w:t xml:space="preserve"> (covering all the six EQs),</w:t>
            </w:r>
            <w:r w:rsidRPr="0014279A">
              <w:rPr>
                <w:sz w:val="20"/>
                <w:szCs w:val="20"/>
              </w:rPr>
              <w:t xml:space="preserve"> </w:t>
            </w:r>
            <w:r>
              <w:rPr>
                <w:sz w:val="20"/>
                <w:szCs w:val="20"/>
              </w:rPr>
              <w:t>submitted December 2022.</w:t>
            </w:r>
          </w:p>
        </w:tc>
      </w:tr>
    </w:tbl>
    <w:p w14:paraId="6E33A041" w14:textId="792BEAFC" w:rsidR="00D432AF" w:rsidRDefault="00B61E23" w:rsidP="42415D8C">
      <w:pPr>
        <w:pStyle w:val="ItadNormalText"/>
      </w:pPr>
      <w:r>
        <w:t xml:space="preserve">The above departures had no material impact on the credibility and robustness of evaluation findings. All mitigation strategies were designed to </w:t>
      </w:r>
      <w:r w:rsidR="004C56AB">
        <w:t xml:space="preserve">ensure the evaluation was able to deliver timely, </w:t>
      </w:r>
      <w:r w:rsidR="000D6D73">
        <w:t>high-quality</w:t>
      </w:r>
      <w:r w:rsidR="004C56AB">
        <w:t xml:space="preserve"> outputs</w:t>
      </w:r>
      <w:r w:rsidR="000D6D73">
        <w:t>,</w:t>
      </w:r>
      <w:r w:rsidR="004C56AB">
        <w:t xml:space="preserve"> and to maximise their utility for </w:t>
      </w:r>
      <w:r w:rsidR="005C5A91">
        <w:t xml:space="preserve">the </w:t>
      </w:r>
      <w:r w:rsidR="004C56AB">
        <w:t>DHSC and other key audiences.</w:t>
      </w:r>
    </w:p>
    <w:p w14:paraId="5539B747" w14:textId="77777777" w:rsidR="00D432AF" w:rsidRDefault="00D432AF" w:rsidP="42415D8C">
      <w:pPr>
        <w:pStyle w:val="ItadNormalText"/>
      </w:pPr>
    </w:p>
    <w:p w14:paraId="64C734AF" w14:textId="77777777" w:rsidR="00D432AF" w:rsidRDefault="00D432AF" w:rsidP="42415D8C">
      <w:pPr>
        <w:pStyle w:val="ItadNormalText"/>
      </w:pPr>
    </w:p>
    <w:p w14:paraId="495B20D4" w14:textId="77777777" w:rsidR="004B14AE" w:rsidRDefault="004B14AE">
      <w:pPr>
        <w:rPr>
          <w:b/>
          <w:bCs/>
          <w:color w:val="588B46" w:themeColor="text2"/>
          <w:sz w:val="32"/>
          <w:szCs w:val="32"/>
        </w:rPr>
      </w:pPr>
      <w:bookmarkStart w:id="296" w:name="_Toc118968546"/>
      <w:r>
        <w:br w:type="page"/>
      </w:r>
    </w:p>
    <w:p w14:paraId="7E23BB07" w14:textId="1E0538A7" w:rsidR="0064424E" w:rsidRDefault="0064424E" w:rsidP="00BF7B6A">
      <w:pPr>
        <w:pStyle w:val="ItadH1"/>
      </w:pPr>
      <w:bookmarkStart w:id="297" w:name="_Toc142383187"/>
      <w:r w:rsidRPr="00B57527">
        <w:t>Annex</w:t>
      </w:r>
      <w:r>
        <w:t xml:space="preserve"> </w:t>
      </w:r>
      <w:r w:rsidR="007D16E0">
        <w:t>1</w:t>
      </w:r>
      <w:r w:rsidR="00A70655">
        <w:t>2</w:t>
      </w:r>
      <w:r w:rsidRPr="00B57527">
        <w:t xml:space="preserve">: </w:t>
      </w:r>
      <w:r>
        <w:t>Ethics and Safeguarding</w:t>
      </w:r>
      <w:bookmarkEnd w:id="296"/>
      <w:bookmarkEnd w:id="297"/>
    </w:p>
    <w:p w14:paraId="6871BE92" w14:textId="77777777" w:rsidR="00520DBB" w:rsidRPr="00BF7B6A" w:rsidRDefault="00520DBB" w:rsidP="00BF7B6A">
      <w:pPr>
        <w:pStyle w:val="ItadH2"/>
        <w:rPr>
          <w:rStyle w:val="normaltextrun"/>
        </w:rPr>
      </w:pPr>
      <w:bookmarkStart w:id="298" w:name="_Toc118968547"/>
      <w:bookmarkStart w:id="299" w:name="_Toc142383188"/>
      <w:r w:rsidRPr="00BF7B6A">
        <w:rPr>
          <w:rStyle w:val="PageNumber"/>
        </w:rPr>
        <w:t>Ethics</w:t>
      </w:r>
      <w:bookmarkEnd w:id="298"/>
      <w:bookmarkEnd w:id="299"/>
      <w:r w:rsidRPr="00BF7B6A">
        <w:rPr>
          <w:rStyle w:val="normaltextrun"/>
        </w:rPr>
        <w:tab/>
      </w:r>
    </w:p>
    <w:p w14:paraId="6EA8E7FD" w14:textId="2A76F50C" w:rsidR="00520DBB" w:rsidRDefault="00520DBB" w:rsidP="00520DBB">
      <w:r>
        <w:t>The design of this evaluation</w:t>
      </w:r>
      <w:r w:rsidR="007458AC">
        <w:t xml:space="preserve"> </w:t>
      </w:r>
      <w:r>
        <w:t xml:space="preserve">complies with </w:t>
      </w:r>
      <w:r w:rsidR="000D3118">
        <w:t xml:space="preserve">the </w:t>
      </w:r>
      <w:r>
        <w:t>establish</w:t>
      </w:r>
      <w:r w:rsidR="000D3118">
        <w:t>ed</w:t>
      </w:r>
      <w:r>
        <w:t xml:space="preserve"> principles and guidelines on ethical standards. Our </w:t>
      </w:r>
      <w:r w:rsidR="008024D4">
        <w:t xml:space="preserve">initial evaluation design </w:t>
      </w:r>
      <w:r>
        <w:t xml:space="preserve">was informed by </w:t>
      </w:r>
      <w:r w:rsidR="000D3118">
        <w:t xml:space="preserve">the </w:t>
      </w:r>
      <w:r>
        <w:t xml:space="preserve">DFID’s 2011 Ethics Principles for </w:t>
      </w:r>
      <w:r w:rsidR="000D3118">
        <w:t xml:space="preserve">Research and </w:t>
      </w:r>
      <w:r>
        <w:t>Evaluation</w:t>
      </w:r>
      <w:r>
        <w:rPr>
          <w:rStyle w:val="FootnoteReference"/>
        </w:rPr>
        <w:footnoteReference w:id="55"/>
      </w:r>
      <w:r>
        <w:t xml:space="preserve"> </w:t>
      </w:r>
      <w:r w:rsidR="000D3118">
        <w:t xml:space="preserve">and </w:t>
      </w:r>
      <w:r>
        <w:t>the Review of Ethics Principles and Guidance in Evaluation and Research commissioned by DFID and delivered in 2015.</w:t>
      </w:r>
      <w:r>
        <w:rPr>
          <w:rStyle w:val="FootnoteReference"/>
        </w:rPr>
        <w:footnoteReference w:id="56"/>
      </w:r>
      <w:r>
        <w:t xml:space="preserve"> </w:t>
      </w:r>
      <w:r w:rsidR="008024D4">
        <w:t>I</w:t>
      </w:r>
      <w:r w:rsidR="0083517D">
        <w:t>t was subsequently informed by FCDO Ethical Guidance for Research, Evaluation and Monitoring Activities.</w:t>
      </w:r>
      <w:r w:rsidR="0083517D">
        <w:rPr>
          <w:rStyle w:val="FootnoteReference"/>
        </w:rPr>
        <w:footnoteReference w:id="57"/>
      </w:r>
      <w:r w:rsidR="0083517D">
        <w:t xml:space="preserve"> </w:t>
      </w:r>
      <w:r>
        <w:t xml:space="preserve">We have set out below how our evaluation design complies with these principles and </w:t>
      </w:r>
      <w:r w:rsidR="005806E1">
        <w:t>guidelines</w:t>
      </w:r>
      <w:r>
        <w:t xml:space="preserve">. </w:t>
      </w:r>
    </w:p>
    <w:p w14:paraId="60D8D15D" w14:textId="77777777" w:rsidR="00520DBB" w:rsidRDefault="00520DBB" w:rsidP="00520DBB"/>
    <w:tbl>
      <w:tblPr>
        <w:tblStyle w:val="ItadGreenHeaderRow"/>
        <w:tblW w:w="9606" w:type="dxa"/>
        <w:tblLook w:val="04A0" w:firstRow="1" w:lastRow="0" w:firstColumn="1" w:lastColumn="0" w:noHBand="0" w:noVBand="1"/>
      </w:tblPr>
      <w:tblGrid>
        <w:gridCol w:w="3794"/>
        <w:gridCol w:w="5812"/>
      </w:tblGrid>
      <w:tr w:rsidR="00520DBB" w:rsidRPr="00161E2B" w14:paraId="6D2DCCEB" w14:textId="77777777" w:rsidTr="00BB4743">
        <w:trPr>
          <w:cnfStyle w:val="100000000000" w:firstRow="1" w:lastRow="0" w:firstColumn="0" w:lastColumn="0" w:oddVBand="0" w:evenVBand="0" w:oddHBand="0" w:evenHBand="0" w:firstRowFirstColumn="0" w:firstRowLastColumn="0" w:lastRowFirstColumn="0" w:lastRowLastColumn="0"/>
          <w:tblHeader/>
        </w:trPr>
        <w:tc>
          <w:tcPr>
            <w:tcW w:w="0" w:type="dxa"/>
          </w:tcPr>
          <w:p w14:paraId="78E4D1BF" w14:textId="77777777" w:rsidR="00520DBB" w:rsidRPr="007F63EF" w:rsidRDefault="00520DBB">
            <w:pPr>
              <w:pStyle w:val="FFNormal"/>
              <w:rPr>
                <w:b/>
                <w:bCs/>
                <w:color w:val="auto"/>
              </w:rPr>
            </w:pPr>
            <w:bookmarkStart w:id="300" w:name="_Hlk129521123"/>
            <w:r w:rsidRPr="00F23D72">
              <w:rPr>
                <w:b/>
                <w:bCs/>
              </w:rPr>
              <w:t>Ethical principle</w:t>
            </w:r>
          </w:p>
        </w:tc>
        <w:tc>
          <w:tcPr>
            <w:tcW w:w="0" w:type="dxa"/>
          </w:tcPr>
          <w:p w14:paraId="7D4F7AFA" w14:textId="6502B8CF" w:rsidR="00520DBB" w:rsidRPr="007F63EF" w:rsidRDefault="00520DBB">
            <w:pPr>
              <w:pStyle w:val="FFNormal"/>
              <w:rPr>
                <w:b/>
                <w:bCs/>
                <w:color w:val="auto"/>
              </w:rPr>
            </w:pPr>
            <w:r w:rsidRPr="00F23D72">
              <w:rPr>
                <w:b/>
                <w:bCs/>
              </w:rPr>
              <w:t xml:space="preserve">How we </w:t>
            </w:r>
            <w:r w:rsidR="00521E47" w:rsidRPr="00F23D72">
              <w:rPr>
                <w:b/>
                <w:bCs/>
              </w:rPr>
              <w:t>addressed</w:t>
            </w:r>
            <w:r w:rsidRPr="00F23D72">
              <w:rPr>
                <w:b/>
                <w:bCs/>
              </w:rPr>
              <w:t xml:space="preserve"> them in our evaluation</w:t>
            </w:r>
          </w:p>
        </w:tc>
      </w:tr>
      <w:tr w:rsidR="00520DBB" w:rsidRPr="006558DB" w14:paraId="4EDA6D06" w14:textId="77777777" w:rsidTr="00C867D1">
        <w:trPr>
          <w:cnfStyle w:val="000000100000" w:firstRow="0" w:lastRow="0" w:firstColumn="0" w:lastColumn="0" w:oddVBand="0" w:evenVBand="0" w:oddHBand="1" w:evenHBand="0" w:firstRowFirstColumn="0" w:firstRowLastColumn="0" w:lastRowFirstColumn="0" w:lastRowLastColumn="0"/>
        </w:trPr>
        <w:tc>
          <w:tcPr>
            <w:tcW w:w="3794" w:type="dxa"/>
          </w:tcPr>
          <w:p w14:paraId="111B3634" w14:textId="77777777" w:rsidR="00520DBB" w:rsidRPr="007F63EF" w:rsidRDefault="00520DBB">
            <w:pPr>
              <w:pStyle w:val="FFNormal"/>
              <w:rPr>
                <w:color w:val="auto"/>
              </w:rPr>
            </w:pPr>
            <w:r w:rsidRPr="00F23D72">
              <w:t>1. Researchers and evaluators are responsible for identifying the need for and securing any necessary ethics approval for the study they are undertaking. This may be from national or local ethics committees in countries in which the study will be undertaken, or other stakeholder institutions with formal ethics approval systems.</w:t>
            </w:r>
          </w:p>
        </w:tc>
        <w:tc>
          <w:tcPr>
            <w:tcW w:w="5812" w:type="dxa"/>
          </w:tcPr>
          <w:p w14:paraId="5BFB32D8" w14:textId="3CF22999" w:rsidR="00520DBB" w:rsidRPr="007F63EF" w:rsidRDefault="00520DBB">
            <w:pPr>
              <w:pStyle w:val="FFNormal"/>
              <w:rPr>
                <w:color w:val="auto"/>
              </w:rPr>
            </w:pPr>
            <w:r w:rsidRPr="00F23D72">
              <w:t>The evaluation did not require the collection of primary data from key populations or reviews</w:t>
            </w:r>
            <w:r w:rsidR="00FC6A88" w:rsidRPr="00F23D72">
              <w:t xml:space="preserve"> of</w:t>
            </w:r>
            <w:r w:rsidRPr="00F23D72">
              <w:t xml:space="preserve"> such data. Therefore, it was not necessary to use an institutional review board to review the evaluation design and protocols at either</w:t>
            </w:r>
            <w:r w:rsidR="00FC6A88" w:rsidRPr="00F23D72">
              <w:t xml:space="preserve"> the</w:t>
            </w:r>
            <w:r w:rsidRPr="00F23D72">
              <w:t xml:space="preserve"> global or national level within the 16 countries.</w:t>
            </w:r>
          </w:p>
        </w:tc>
      </w:tr>
      <w:tr w:rsidR="00520DBB" w:rsidRPr="006558DB" w14:paraId="0FFCAC24" w14:textId="77777777" w:rsidTr="00C867D1">
        <w:trPr>
          <w:cnfStyle w:val="000000010000" w:firstRow="0" w:lastRow="0" w:firstColumn="0" w:lastColumn="0" w:oddVBand="0" w:evenVBand="0" w:oddHBand="0" w:evenHBand="1" w:firstRowFirstColumn="0" w:firstRowLastColumn="0" w:lastRowFirstColumn="0" w:lastRowLastColumn="0"/>
        </w:trPr>
        <w:tc>
          <w:tcPr>
            <w:tcW w:w="3794" w:type="dxa"/>
          </w:tcPr>
          <w:p w14:paraId="2C954FE1" w14:textId="4FA05881" w:rsidR="00520DBB" w:rsidRPr="007F63EF" w:rsidRDefault="00520DBB">
            <w:pPr>
              <w:pStyle w:val="FFNormal"/>
              <w:rPr>
                <w:color w:val="auto"/>
              </w:rPr>
            </w:pPr>
            <w:r w:rsidRPr="00F23D72">
              <w:t>2. Research and evaluation must be relevant and high quality with clear developmental and practical value. It must be undertaken to a sufficiently high standard that the findings can be reliably used for their intended purpose. Research should only be undertaken where there is a clear gap in knowledge. Evaluations might also be undertaken to learn lessons to improve future impact, or to meet DFID’s requirements for accountability.</w:t>
            </w:r>
          </w:p>
        </w:tc>
        <w:tc>
          <w:tcPr>
            <w:tcW w:w="5812" w:type="dxa"/>
          </w:tcPr>
          <w:p w14:paraId="77263643" w14:textId="55703FA7" w:rsidR="00520DBB" w:rsidRPr="007F63EF" w:rsidRDefault="00520DBB">
            <w:pPr>
              <w:pStyle w:val="FFNormal"/>
              <w:rPr>
                <w:color w:val="auto"/>
              </w:rPr>
            </w:pPr>
            <w:r w:rsidRPr="00F23D72">
              <w:t xml:space="preserve">Relevance was ensured through the use of an evaluation framework based </w:t>
            </w:r>
            <w:r w:rsidR="00FC6A88" w:rsidRPr="00F23D72">
              <w:t xml:space="preserve">on </w:t>
            </w:r>
            <w:r w:rsidRPr="00F23D72">
              <w:t xml:space="preserve">clear </w:t>
            </w:r>
            <w:r w:rsidR="00F21D1C" w:rsidRPr="00F23D72">
              <w:t>EQ</w:t>
            </w:r>
            <w:r w:rsidRPr="00F23D72">
              <w:t>s designed to meet the evaluation objectives. Quality was ensured through a number of mechanisms, including internal QA review by the Senior Advisor and a senior Itad staff member, and support from an independent technical panel of experts</w:t>
            </w:r>
            <w:r w:rsidR="00964AE2" w:rsidRPr="00F23D72">
              <w:t xml:space="preserve"> (EAG)</w:t>
            </w:r>
            <w:r w:rsidRPr="00F23D72">
              <w:t xml:space="preserve">. The evaluation team utilised opportunities to feed in findings from the evaluation to key Fleming Fund governance structures, including the </w:t>
            </w:r>
            <w:r w:rsidR="004B603A" w:rsidRPr="00F23D72">
              <w:t>DHSC</w:t>
            </w:r>
            <w:r w:rsidRPr="00F23D72">
              <w:t xml:space="preserve"> Project </w:t>
            </w:r>
            <w:r w:rsidR="006A5ADE" w:rsidRPr="00F23D72">
              <w:t>team</w:t>
            </w:r>
            <w:r w:rsidRPr="00F23D72">
              <w:t xml:space="preserve"> and </w:t>
            </w:r>
            <w:r w:rsidR="006A5ADE" w:rsidRPr="00F23D72">
              <w:t>TAG</w:t>
            </w:r>
            <w:r w:rsidRPr="00F23D72">
              <w:t xml:space="preserve"> which supported the evaluation’s utility focus. The formative focus of the early evaluation outputs (2018 and 2019), and the mechanisms to support adaptive management enabled lessons to be fed into the implementation of the Fleming Fund by the </w:t>
            </w:r>
            <w:r w:rsidR="005B5B44" w:rsidRPr="00F23D72">
              <w:t>MA</w:t>
            </w:r>
            <w:r w:rsidRPr="00F23D72">
              <w:t xml:space="preserve">. And the increased focus on accountability from 2020 brought evidence to support decision making by the </w:t>
            </w:r>
            <w:r w:rsidR="004B603A" w:rsidRPr="00F23D72">
              <w:t>DHSC</w:t>
            </w:r>
            <w:r w:rsidRPr="00F23D72">
              <w:t xml:space="preserve"> and HMG more broadly, specifically around investment into a second phase of the Fleming Fund.</w:t>
            </w:r>
          </w:p>
        </w:tc>
      </w:tr>
      <w:tr w:rsidR="00520DBB" w:rsidRPr="006558DB" w14:paraId="75C446D5" w14:textId="77777777" w:rsidTr="00C867D1">
        <w:trPr>
          <w:cnfStyle w:val="000000100000" w:firstRow="0" w:lastRow="0" w:firstColumn="0" w:lastColumn="0" w:oddVBand="0" w:evenVBand="0" w:oddHBand="1" w:evenHBand="0" w:firstRowFirstColumn="0" w:firstRowLastColumn="0" w:lastRowFirstColumn="0" w:lastRowLastColumn="0"/>
        </w:trPr>
        <w:tc>
          <w:tcPr>
            <w:tcW w:w="3794" w:type="dxa"/>
          </w:tcPr>
          <w:p w14:paraId="6B64A808" w14:textId="2FC62DB8" w:rsidR="00520DBB" w:rsidRPr="007F63EF" w:rsidRDefault="00520DBB">
            <w:pPr>
              <w:pStyle w:val="FFNormal"/>
              <w:rPr>
                <w:color w:val="auto"/>
              </w:rPr>
            </w:pPr>
            <w:r w:rsidRPr="00F23D72">
              <w:t>3. Researchers and evaluators should avoid harm to participants in studies. They should ensure that the basic human rights of individuals and groups with whom they interact are protected. This is particularly important with regard to vulnerable people. The well</w:t>
            </w:r>
            <w:r w:rsidR="00FC6A88" w:rsidRPr="00F23D72">
              <w:t>-</w:t>
            </w:r>
            <w:r w:rsidRPr="00F23D72">
              <w:t>being of researchers/evaluators working in the field should also be considered and harm minimised.</w:t>
            </w:r>
          </w:p>
        </w:tc>
        <w:tc>
          <w:tcPr>
            <w:tcW w:w="5812" w:type="dxa"/>
          </w:tcPr>
          <w:p w14:paraId="0F8F3BA3" w14:textId="45D61A7B" w:rsidR="00520DBB" w:rsidRPr="007F63EF" w:rsidRDefault="00520DBB">
            <w:pPr>
              <w:pStyle w:val="FFNormal"/>
              <w:rPr>
                <w:color w:val="auto"/>
              </w:rPr>
            </w:pPr>
            <w:r w:rsidRPr="00F23D72">
              <w:t xml:space="preserve">The evaluation did not require the collection of primary data from key populations or reviews of such data. Participants in this evaluation were engaged in </w:t>
            </w:r>
            <w:r w:rsidR="00892E27" w:rsidRPr="00F23D72">
              <w:t>KIIs</w:t>
            </w:r>
            <w:r w:rsidRPr="00F23D72">
              <w:t xml:space="preserve"> only which minimised the risk of harm to participants. This was constantly reviewed throughout the evaluation. The evaluation team also followed clear guidelines on confidentiality and consent, and feedback of evaluation findings to participants was promoted.</w:t>
            </w:r>
          </w:p>
          <w:p w14:paraId="04EF9218" w14:textId="0D5991CC" w:rsidR="00520DBB" w:rsidRPr="007F63EF" w:rsidRDefault="00520DBB">
            <w:pPr>
              <w:pStyle w:val="FFNormal"/>
              <w:rPr>
                <w:color w:val="auto"/>
              </w:rPr>
            </w:pPr>
            <w:r w:rsidRPr="00F23D72">
              <w:t>Itad takes the safety and security of staff and contractors extremely seriously. Itad has a Risk Management Framework that helps to provide a safer and more secure working environment and minimises and manages risk. Itad has a Travel and Security committee, made up of senior management, who provides board-level engagement and oversight. To ensure that Itad’s duty of care is integrated into the activities of every department of the company, the TSC conducts independent reviews and audits of our processes.</w:t>
            </w:r>
          </w:p>
        </w:tc>
      </w:tr>
      <w:tr w:rsidR="00520DBB" w:rsidRPr="006558DB" w14:paraId="618336EB" w14:textId="77777777" w:rsidTr="00C867D1">
        <w:trPr>
          <w:cnfStyle w:val="000000010000" w:firstRow="0" w:lastRow="0" w:firstColumn="0" w:lastColumn="0" w:oddVBand="0" w:evenVBand="0" w:oddHBand="0" w:evenHBand="1" w:firstRowFirstColumn="0" w:firstRowLastColumn="0" w:lastRowFirstColumn="0" w:lastRowLastColumn="0"/>
        </w:trPr>
        <w:tc>
          <w:tcPr>
            <w:tcW w:w="3794" w:type="dxa"/>
          </w:tcPr>
          <w:p w14:paraId="05DE485A" w14:textId="77777777" w:rsidR="00520DBB" w:rsidRPr="007F63EF" w:rsidRDefault="00520DBB">
            <w:pPr>
              <w:pStyle w:val="FFNormal"/>
              <w:rPr>
                <w:color w:val="auto"/>
              </w:rPr>
            </w:pPr>
            <w:r w:rsidRPr="00F23D72">
              <w:t>4. Participation in research and evaluation should be voluntary and free from external pressure. Information should not be withheld from prospective participants that might affect their willingness to participate. All participants should have a right to withdraw from research/evaluation and withdraw any data concerning them at any point without fear of penalty.</w:t>
            </w:r>
          </w:p>
        </w:tc>
        <w:tc>
          <w:tcPr>
            <w:tcW w:w="5812" w:type="dxa"/>
          </w:tcPr>
          <w:p w14:paraId="3B8A589F" w14:textId="01F9017E" w:rsidR="00520DBB" w:rsidRPr="007F63EF" w:rsidRDefault="00520DBB">
            <w:pPr>
              <w:rPr>
                <w:rFonts w:eastAsia="Calibri"/>
                <w:color w:val="auto"/>
              </w:rPr>
            </w:pPr>
            <w:r w:rsidRPr="00F23D72">
              <w:t xml:space="preserve">Participants of KIIs were informed in advance about the aim of the exercise and their involvement, so they can </w:t>
            </w:r>
            <w:r w:rsidR="00FC6A88" w:rsidRPr="00F23D72">
              <w:t>decide</w:t>
            </w:r>
            <w:r w:rsidRPr="00F23D72">
              <w:t xml:space="preserve"> whether or not they</w:t>
            </w:r>
            <w:r w:rsidR="00FC6A88" w:rsidRPr="00F23D72">
              <w:t xml:space="preserve"> would</w:t>
            </w:r>
            <w:r w:rsidRPr="00F23D72">
              <w:t xml:space="preserve"> like to participate. </w:t>
            </w:r>
          </w:p>
          <w:p w14:paraId="4576A0E1" w14:textId="77777777" w:rsidR="00520DBB" w:rsidRPr="007F63EF" w:rsidRDefault="00520DBB">
            <w:pPr>
              <w:rPr>
                <w:color w:val="auto"/>
              </w:rPr>
            </w:pPr>
          </w:p>
          <w:p w14:paraId="7306BEC3" w14:textId="48BB0342" w:rsidR="00520DBB" w:rsidRPr="007F63EF" w:rsidRDefault="00520DBB">
            <w:pPr>
              <w:pStyle w:val="FFNormal"/>
              <w:rPr>
                <w:color w:val="auto"/>
                <w:lang w:eastAsia="en-GB"/>
              </w:rPr>
            </w:pPr>
            <w:r w:rsidRPr="00F23D72">
              <w:rPr>
                <w:lang w:eastAsia="en-GB"/>
              </w:rPr>
              <w:t>Before interviews were conducted informants were informed about the background and focus of the evaluation and the objective of the interview, they were also informed that participation was voluntary and they had the right to withdraw from research/evaluation and withdraw any data concerning them at any point.</w:t>
            </w:r>
          </w:p>
          <w:p w14:paraId="64D135AD" w14:textId="584D2F24" w:rsidR="00520DBB" w:rsidRPr="007F63EF" w:rsidRDefault="00520DBB">
            <w:pPr>
              <w:pStyle w:val="FFNormal"/>
              <w:rPr>
                <w:color w:val="auto"/>
                <w:lang w:eastAsia="en-GB"/>
              </w:rPr>
            </w:pPr>
            <w:r w:rsidRPr="00F23D72">
              <w:rPr>
                <w:lang w:eastAsia="en-GB"/>
              </w:rPr>
              <w:t xml:space="preserve">During the </w:t>
            </w:r>
            <w:r w:rsidR="00892E27" w:rsidRPr="00F23D72">
              <w:rPr>
                <w:lang w:eastAsia="en-GB"/>
              </w:rPr>
              <w:t>KIIs</w:t>
            </w:r>
            <w:r w:rsidRPr="00F23D72">
              <w:rPr>
                <w:lang w:eastAsia="en-GB"/>
              </w:rPr>
              <w:t xml:space="preserve"> all respondents were asked for verbal consent as well as consent to take notes during the interview or for the interview to be recorded. </w:t>
            </w:r>
          </w:p>
          <w:p w14:paraId="49050AFC" w14:textId="77777777" w:rsidR="00520DBB" w:rsidRPr="007F63EF" w:rsidRDefault="00520DBB">
            <w:pPr>
              <w:pStyle w:val="FFNormal"/>
              <w:rPr>
                <w:color w:val="auto"/>
                <w:lang w:eastAsia="en-GB"/>
              </w:rPr>
            </w:pPr>
            <w:r w:rsidRPr="00F23D72">
              <w:rPr>
                <w:lang w:eastAsia="en-GB"/>
              </w:rPr>
              <w:t xml:space="preserve">There was no reward or compensation structure provided for participation in the KII. </w:t>
            </w:r>
          </w:p>
        </w:tc>
      </w:tr>
      <w:tr w:rsidR="00520DBB" w:rsidRPr="006558DB" w14:paraId="0BA56C9B" w14:textId="77777777" w:rsidTr="00C867D1">
        <w:trPr>
          <w:cnfStyle w:val="000000100000" w:firstRow="0" w:lastRow="0" w:firstColumn="0" w:lastColumn="0" w:oddVBand="0" w:evenVBand="0" w:oddHBand="1" w:evenHBand="0" w:firstRowFirstColumn="0" w:firstRowLastColumn="0" w:lastRowFirstColumn="0" w:lastRowLastColumn="0"/>
        </w:trPr>
        <w:tc>
          <w:tcPr>
            <w:tcW w:w="3794" w:type="dxa"/>
          </w:tcPr>
          <w:p w14:paraId="01DEB941" w14:textId="3AF98C24" w:rsidR="00520DBB" w:rsidRPr="007F63EF" w:rsidRDefault="00520DBB">
            <w:pPr>
              <w:pStyle w:val="FFNormal"/>
              <w:rPr>
                <w:color w:val="auto"/>
              </w:rPr>
            </w:pPr>
            <w:r w:rsidRPr="00F23D72">
              <w:t>5. Researchers and evaluators should ensure</w:t>
            </w:r>
            <w:r w:rsidR="00FC6A88" w:rsidRPr="00F23D72">
              <w:t xml:space="preserve"> the</w:t>
            </w:r>
            <w:r w:rsidRPr="00F23D72">
              <w:t xml:space="preserve"> confidentiality of information, </w:t>
            </w:r>
            <w:r w:rsidR="00847C94" w:rsidRPr="00F23D72">
              <w:t xml:space="preserve">and </w:t>
            </w:r>
            <w:r w:rsidRPr="00F23D72">
              <w:t>privacy and anonymity of study participants. They should communicate clearly to prospective participants any limits to confidentiality. In cases where unexpected evidence of serious wrongdoing is uncovered (e.g. corruption or abuse), there may be a need to consider whether the normal commitment to confidentiality might be outweighed by the ethical need to prevent harm to vulnerable people. DFID’s fraud policy will apply if relevant.</w:t>
            </w:r>
          </w:p>
        </w:tc>
        <w:tc>
          <w:tcPr>
            <w:tcW w:w="5812" w:type="dxa"/>
          </w:tcPr>
          <w:p w14:paraId="5875AAF5" w14:textId="434115CB" w:rsidR="00520DBB" w:rsidRPr="007F63EF" w:rsidRDefault="00520DBB">
            <w:pPr>
              <w:pStyle w:val="FFNormal"/>
              <w:rPr>
                <w:color w:val="auto"/>
                <w:lang w:eastAsia="en-GB"/>
              </w:rPr>
            </w:pPr>
            <w:r w:rsidRPr="00F23D72">
              <w:rPr>
                <w:lang w:eastAsia="en-GB"/>
              </w:rPr>
              <w:t xml:space="preserve">The study involved primary data collection from some key stakeholders, mostly in the form of </w:t>
            </w:r>
            <w:r w:rsidR="00892E27" w:rsidRPr="00F23D72">
              <w:rPr>
                <w:lang w:eastAsia="en-GB"/>
              </w:rPr>
              <w:t>KIIs</w:t>
            </w:r>
          </w:p>
          <w:p w14:paraId="352C69A0" w14:textId="77777777" w:rsidR="00520DBB" w:rsidRPr="007F63EF" w:rsidRDefault="00520DBB">
            <w:pPr>
              <w:pStyle w:val="FFNormal"/>
              <w:rPr>
                <w:color w:val="auto"/>
              </w:rPr>
            </w:pPr>
            <w:r w:rsidRPr="00F23D72">
              <w:t xml:space="preserve">For all participants, informed consent procedures were followed. This was done verbally using a formal script to ensure consistency by evaluators. Where necessary this was translated into the appropriate language. Informants were asked for consent to conduct the interview, consent to take notes, and consent to record the interview. </w:t>
            </w:r>
          </w:p>
          <w:p w14:paraId="03DCE9D5" w14:textId="2781F157" w:rsidR="00520DBB" w:rsidRPr="007F63EF" w:rsidRDefault="00520DBB">
            <w:pPr>
              <w:pStyle w:val="FFNormal"/>
              <w:rPr>
                <w:color w:val="auto"/>
              </w:rPr>
            </w:pPr>
            <w:r w:rsidRPr="00F23D72">
              <w:t>During the process of consenting, the respondents were asked if they would prefer anonymity while reporting the information</w:t>
            </w:r>
            <w:r w:rsidR="00847C94" w:rsidRPr="00F23D72">
              <w:t>,</w:t>
            </w:r>
            <w:r w:rsidRPr="00F23D72">
              <w:t xml:space="preserve"> and all personal identifiers were removed before </w:t>
            </w:r>
            <w:r w:rsidR="00FC6A88" w:rsidRPr="00F23D72">
              <w:t xml:space="preserve">the </w:t>
            </w:r>
            <w:r w:rsidRPr="00F23D72">
              <w:t>wider circulation of the interview notes.</w:t>
            </w:r>
            <w:r w:rsidR="007458AC" w:rsidRPr="00F23D72">
              <w:t xml:space="preserve"> </w:t>
            </w:r>
          </w:p>
          <w:p w14:paraId="4D034787" w14:textId="4DDF39D8" w:rsidR="00520DBB" w:rsidRPr="007F63EF" w:rsidRDefault="00520DBB">
            <w:pPr>
              <w:pStyle w:val="ItadNormalText"/>
              <w:rPr>
                <w:color w:val="auto"/>
                <w:lang w:val="en-US"/>
              </w:rPr>
            </w:pPr>
            <w:r w:rsidRPr="00F23D72">
              <w:rPr>
                <w:lang w:val="en-US"/>
              </w:rPr>
              <w:t xml:space="preserve">Quotes or respondents used in the Summative reports </w:t>
            </w:r>
            <w:r w:rsidR="00A72301" w:rsidRPr="00F23D72">
              <w:rPr>
                <w:lang w:val="en-US"/>
              </w:rPr>
              <w:t>were</w:t>
            </w:r>
            <w:r w:rsidRPr="00F23D72">
              <w:rPr>
                <w:lang w:val="en-US"/>
              </w:rPr>
              <w:t xml:space="preserve"> anonymi</w:t>
            </w:r>
            <w:r w:rsidR="003C712C" w:rsidRPr="00F23D72">
              <w:rPr>
                <w:lang w:val="en-US"/>
              </w:rPr>
              <w:t>s</w:t>
            </w:r>
            <w:r w:rsidRPr="00F23D72">
              <w:rPr>
                <w:lang w:val="en-US"/>
              </w:rPr>
              <w:t xml:space="preserve">ed and checked to ensure they </w:t>
            </w:r>
            <w:r w:rsidR="00407AB7" w:rsidRPr="00F23D72">
              <w:rPr>
                <w:lang w:val="en-US"/>
              </w:rPr>
              <w:t>were</w:t>
            </w:r>
            <w:r w:rsidRPr="00F23D72">
              <w:rPr>
                <w:lang w:val="en-US"/>
              </w:rPr>
              <w:t xml:space="preserve"> </w:t>
            </w:r>
            <w:r w:rsidRPr="00F23D72">
              <w:rPr>
                <w:rFonts w:cs="Calibri"/>
              </w:rPr>
              <w:t>a fair and accurate summary of what the respondent said.</w:t>
            </w:r>
          </w:p>
          <w:p w14:paraId="11DBD3E6" w14:textId="77777777" w:rsidR="00520DBB" w:rsidRPr="007F63EF" w:rsidRDefault="00520DBB">
            <w:pPr>
              <w:pStyle w:val="FFNormal"/>
              <w:rPr>
                <w:color w:val="auto"/>
              </w:rPr>
            </w:pPr>
            <w:r w:rsidRPr="00F23D72">
              <w:t>Participants were free to cease their participation at any point. Full details of our consent procedures (used on other similar evaluations), including draft recruitment scripts, consent and assessment forms, and a Code of Conduct for Itad evaluators, were made available on request.</w:t>
            </w:r>
          </w:p>
          <w:p w14:paraId="395CC777" w14:textId="77777777" w:rsidR="00520DBB" w:rsidRPr="007F63EF" w:rsidRDefault="00520DBB">
            <w:pPr>
              <w:pStyle w:val="FFNormal"/>
              <w:rPr>
                <w:color w:val="auto"/>
                <w:lang w:eastAsia="en-GB"/>
              </w:rPr>
            </w:pPr>
            <w:r w:rsidRPr="00F23D72">
              <w:rPr>
                <w:lang w:eastAsia="en-GB"/>
              </w:rPr>
              <w:t xml:space="preserve">The evaluation used a large amount of secondary data, much of which was not open access and some of which was confidential. All primary and secondary data was managed carefully and in line with the following: </w:t>
            </w:r>
          </w:p>
          <w:p w14:paraId="375D00D0" w14:textId="69F38D2C" w:rsidR="00520DBB" w:rsidRPr="007F63EF" w:rsidRDefault="00520DBB" w:rsidP="00C6374D">
            <w:pPr>
              <w:pStyle w:val="ItadNormalText"/>
              <w:numPr>
                <w:ilvl w:val="0"/>
                <w:numId w:val="67"/>
              </w:numPr>
              <w:rPr>
                <w:color w:val="auto"/>
              </w:rPr>
            </w:pPr>
            <w:r w:rsidRPr="00F23D72">
              <w:t>Interview notes and recordings were stored in a secure system and</w:t>
            </w:r>
            <w:r w:rsidR="007458AC" w:rsidRPr="00F23D72">
              <w:t xml:space="preserve"> </w:t>
            </w:r>
            <w:r w:rsidRPr="00F23D72">
              <w:t>never shared via email or any other means.</w:t>
            </w:r>
          </w:p>
          <w:p w14:paraId="05F50A93" w14:textId="3F7BCA25" w:rsidR="00520DBB" w:rsidRPr="007F63EF" w:rsidRDefault="00520DBB" w:rsidP="00C6374D">
            <w:pPr>
              <w:pStyle w:val="ItadNormalText"/>
              <w:numPr>
                <w:ilvl w:val="0"/>
                <w:numId w:val="67"/>
              </w:numPr>
              <w:rPr>
                <w:color w:val="auto"/>
                <w:lang w:eastAsia="en-GB"/>
              </w:rPr>
            </w:pPr>
            <w:r w:rsidRPr="00F23D72">
              <w:rPr>
                <w:lang w:eastAsia="en-GB"/>
              </w:rPr>
              <w:t>At no stage were interviewees’ personal details, or any information which could identify the respondent,</w:t>
            </w:r>
            <w:r w:rsidR="007458AC" w:rsidRPr="00F23D72">
              <w:rPr>
                <w:lang w:eastAsia="en-GB"/>
              </w:rPr>
              <w:t xml:space="preserve"> </w:t>
            </w:r>
            <w:r w:rsidRPr="00F23D72">
              <w:rPr>
                <w:lang w:eastAsia="en-GB"/>
              </w:rPr>
              <w:t xml:space="preserve">shared with anyone outside the research team. </w:t>
            </w:r>
          </w:p>
          <w:p w14:paraId="24A3692B" w14:textId="300C6429" w:rsidR="00520DBB" w:rsidRPr="007F63EF" w:rsidRDefault="00520DBB" w:rsidP="00C6374D">
            <w:pPr>
              <w:pStyle w:val="ItadNormalText"/>
              <w:numPr>
                <w:ilvl w:val="0"/>
                <w:numId w:val="67"/>
              </w:numPr>
              <w:rPr>
                <w:color w:val="auto"/>
                <w:lang w:eastAsia="en-GB"/>
              </w:rPr>
            </w:pPr>
            <w:r w:rsidRPr="00F23D72">
              <w:rPr>
                <w:lang w:eastAsia="en-GB"/>
              </w:rPr>
              <w:t xml:space="preserve">The evaluation team did not share audio recordings with </w:t>
            </w:r>
            <w:r w:rsidR="00847C94" w:rsidRPr="00F23D72">
              <w:rPr>
                <w:lang w:eastAsia="en-GB"/>
              </w:rPr>
              <w:t xml:space="preserve">the </w:t>
            </w:r>
            <w:r w:rsidRPr="00F23D72">
              <w:rPr>
                <w:lang w:eastAsia="en-GB"/>
              </w:rPr>
              <w:t xml:space="preserve">DHSC, MA or anyone outside of the core evaluation team, due to our obligation to preserve respondent anonymity. </w:t>
            </w:r>
          </w:p>
          <w:p w14:paraId="2C066034" w14:textId="77777777" w:rsidR="00520DBB" w:rsidRPr="007F63EF" w:rsidRDefault="00520DBB" w:rsidP="00C6374D">
            <w:pPr>
              <w:pStyle w:val="ItadNormalText"/>
              <w:numPr>
                <w:ilvl w:val="0"/>
                <w:numId w:val="67"/>
              </w:numPr>
              <w:rPr>
                <w:color w:val="auto"/>
                <w:lang w:eastAsia="en-GB"/>
              </w:rPr>
            </w:pPr>
            <w:r w:rsidRPr="00F23D72">
              <w:rPr>
                <w:lang w:eastAsia="en-GB"/>
              </w:rPr>
              <w:t xml:space="preserve">Recordings and data were stored securely and will be destroyed once the Summative report has been submitted and approved. </w:t>
            </w:r>
          </w:p>
        </w:tc>
      </w:tr>
      <w:tr w:rsidR="00520DBB" w:rsidRPr="006558DB" w14:paraId="643F09F6" w14:textId="77777777" w:rsidTr="00C867D1">
        <w:trPr>
          <w:cnfStyle w:val="000000010000" w:firstRow="0" w:lastRow="0" w:firstColumn="0" w:lastColumn="0" w:oddVBand="0" w:evenVBand="0" w:oddHBand="0" w:evenHBand="1" w:firstRowFirstColumn="0" w:firstRowLastColumn="0" w:lastRowFirstColumn="0" w:lastRowLastColumn="0"/>
        </w:trPr>
        <w:tc>
          <w:tcPr>
            <w:tcW w:w="3794" w:type="dxa"/>
          </w:tcPr>
          <w:p w14:paraId="6444353F" w14:textId="77777777" w:rsidR="00520DBB" w:rsidRPr="007F63EF" w:rsidRDefault="00520DBB">
            <w:pPr>
              <w:pStyle w:val="FFNormal"/>
              <w:rPr>
                <w:color w:val="auto"/>
              </w:rPr>
            </w:pPr>
            <w:r w:rsidRPr="00F23D72">
              <w:t>6. Researchers and evaluators should operate in accordance with international human rights conventions and covenants to which the United Kingdom is a signatory, regardless of local country standards. They should also take account of local and national laws.</w:t>
            </w:r>
          </w:p>
        </w:tc>
        <w:tc>
          <w:tcPr>
            <w:tcW w:w="5812" w:type="dxa"/>
          </w:tcPr>
          <w:p w14:paraId="27BBA1E8" w14:textId="1135627F" w:rsidR="00520DBB" w:rsidRPr="007F63EF" w:rsidRDefault="00520DBB">
            <w:pPr>
              <w:pStyle w:val="FFNormal"/>
              <w:rPr>
                <w:color w:val="auto"/>
              </w:rPr>
            </w:pPr>
            <w:r w:rsidRPr="00F23D72">
              <w:t xml:space="preserve">The evaluation team </w:t>
            </w:r>
            <w:r w:rsidR="00196DBF" w:rsidRPr="00F23D72">
              <w:t>followed</w:t>
            </w:r>
            <w:r w:rsidRPr="00F23D72">
              <w:t xml:space="preserve"> international human rights conventions and covenants at all times.</w:t>
            </w:r>
          </w:p>
        </w:tc>
      </w:tr>
      <w:tr w:rsidR="00520DBB" w:rsidRPr="006558DB" w14:paraId="49424482" w14:textId="77777777" w:rsidTr="00C867D1">
        <w:trPr>
          <w:cnfStyle w:val="000000100000" w:firstRow="0" w:lastRow="0" w:firstColumn="0" w:lastColumn="0" w:oddVBand="0" w:evenVBand="0" w:oddHBand="1" w:evenHBand="0" w:firstRowFirstColumn="0" w:firstRowLastColumn="0" w:lastRowFirstColumn="0" w:lastRowLastColumn="0"/>
        </w:trPr>
        <w:tc>
          <w:tcPr>
            <w:tcW w:w="3794" w:type="dxa"/>
          </w:tcPr>
          <w:p w14:paraId="616E038C" w14:textId="1C7159D7" w:rsidR="00520DBB" w:rsidRPr="007F63EF" w:rsidRDefault="00520DBB">
            <w:pPr>
              <w:pStyle w:val="FFNormal"/>
              <w:rPr>
                <w:color w:val="auto"/>
              </w:rPr>
            </w:pPr>
            <w:r w:rsidRPr="00F23D72">
              <w:t>7. DFID</w:t>
            </w:r>
            <w:r w:rsidR="00FC6A88" w:rsidRPr="00F23D72">
              <w:t>-</w:t>
            </w:r>
            <w:r w:rsidRPr="00F23D72">
              <w:t>funded research and evaluation should respect cultural sensitivities. This means researchers need to take account of differences in culture, local behaviour and norms, religious beliefs and practices, sexual orientation, gender roles, disability, age and ethnicity, and other social differences such as class when planning studies and communicating findings. DFID should avoid imposing a burden of over-researching particular groups.</w:t>
            </w:r>
          </w:p>
        </w:tc>
        <w:tc>
          <w:tcPr>
            <w:tcW w:w="5812" w:type="dxa"/>
          </w:tcPr>
          <w:p w14:paraId="548B0240" w14:textId="566239F9" w:rsidR="00520DBB" w:rsidRPr="007F63EF" w:rsidRDefault="00520DBB">
            <w:pPr>
              <w:pStyle w:val="FFNormal"/>
              <w:rPr>
                <w:color w:val="auto"/>
              </w:rPr>
            </w:pPr>
            <w:r w:rsidRPr="00F23D72">
              <w:t xml:space="preserve">All </w:t>
            </w:r>
            <w:r w:rsidR="00847C94" w:rsidRPr="00F23D72">
              <w:t xml:space="preserve">the </w:t>
            </w:r>
            <w:r w:rsidRPr="00F23D72">
              <w:t xml:space="preserve">team members </w:t>
            </w:r>
            <w:r w:rsidR="005F5039" w:rsidRPr="00F23D72">
              <w:t>had</w:t>
            </w:r>
            <w:r w:rsidRPr="00F23D72">
              <w:t xml:space="preserve"> experience of working in a diverse range of contexts and </w:t>
            </w:r>
            <w:r w:rsidR="005F5039" w:rsidRPr="00F23D72">
              <w:t>were</w:t>
            </w:r>
            <w:r w:rsidRPr="00F23D72">
              <w:t xml:space="preserve"> cognisant of issues around cultural sensitivity.</w:t>
            </w:r>
            <w:r w:rsidR="007458AC" w:rsidRPr="00F23D72">
              <w:t xml:space="preserve"> </w:t>
            </w:r>
          </w:p>
          <w:p w14:paraId="73E23CC5" w14:textId="48105803" w:rsidR="00520DBB" w:rsidRPr="007F63EF" w:rsidRDefault="00520DBB">
            <w:pPr>
              <w:pStyle w:val="FFNormal"/>
              <w:rPr>
                <w:color w:val="auto"/>
              </w:rPr>
            </w:pPr>
            <w:r w:rsidRPr="00F23D72">
              <w:t xml:space="preserve">To prevent language </w:t>
            </w:r>
            <w:r w:rsidR="00847C94" w:rsidRPr="00F23D72">
              <w:t>from being</w:t>
            </w:r>
            <w:r w:rsidRPr="00F23D72">
              <w:t xml:space="preserve"> a barrier for participants, translators were recruited to assist with the KIIs and the country</w:t>
            </w:r>
            <w:r w:rsidR="00FC6A88" w:rsidRPr="00F23D72">
              <w:t>-</w:t>
            </w:r>
            <w:r w:rsidRPr="00F23D72">
              <w:t xml:space="preserve">level debriefs were translated and shared with those who participated in the evaluation </w:t>
            </w:r>
          </w:p>
        </w:tc>
      </w:tr>
      <w:tr w:rsidR="00520DBB" w:rsidRPr="006558DB" w14:paraId="24B2521D" w14:textId="77777777" w:rsidTr="00C867D1">
        <w:trPr>
          <w:cnfStyle w:val="000000010000" w:firstRow="0" w:lastRow="0" w:firstColumn="0" w:lastColumn="0" w:oddVBand="0" w:evenVBand="0" w:oddHBand="0" w:evenHBand="1" w:firstRowFirstColumn="0" w:firstRowLastColumn="0" w:lastRowFirstColumn="0" w:lastRowLastColumn="0"/>
        </w:trPr>
        <w:tc>
          <w:tcPr>
            <w:tcW w:w="3794" w:type="dxa"/>
          </w:tcPr>
          <w:p w14:paraId="0E4AFB48" w14:textId="7909CCC3" w:rsidR="00520DBB" w:rsidRPr="007F63EF" w:rsidRDefault="00520DBB">
            <w:pPr>
              <w:pStyle w:val="FFNormal"/>
              <w:rPr>
                <w:color w:val="auto"/>
              </w:rPr>
            </w:pPr>
            <w:r w:rsidRPr="00F23D72">
              <w:t>8. DFID is committed to</w:t>
            </w:r>
            <w:r w:rsidR="00FC6A88" w:rsidRPr="00F23D72">
              <w:t xml:space="preserve"> the</w:t>
            </w:r>
            <w:r w:rsidRPr="00F23D72">
              <w:t xml:space="preserve"> publication and communication of all evaluations and research studies. Full methodological details and information on who has undertaken a study should be given and messages transmitted should fully and fairly reflect the findings. Where possible, and respecting confidentiality requirements, primary data should be made public to allow secondary analyses.</w:t>
            </w:r>
          </w:p>
        </w:tc>
        <w:tc>
          <w:tcPr>
            <w:tcW w:w="5812" w:type="dxa"/>
          </w:tcPr>
          <w:p w14:paraId="6D96BAA4" w14:textId="01C059F3" w:rsidR="00520DBB" w:rsidRPr="007F63EF" w:rsidRDefault="00520DBB">
            <w:pPr>
              <w:pStyle w:val="FFNormal"/>
              <w:rPr>
                <w:color w:val="auto"/>
              </w:rPr>
            </w:pPr>
            <w:r w:rsidRPr="00F23D72">
              <w:t>Para</w:t>
            </w:r>
            <w:r w:rsidR="00C868ED" w:rsidRPr="00F23D72">
              <w:t>graph</w:t>
            </w:r>
            <w:r w:rsidRPr="00F23D72">
              <w:t xml:space="preserve"> 6 of the Joint strategy on ways of working between the </w:t>
            </w:r>
            <w:r w:rsidR="0049266B" w:rsidRPr="00F23D72">
              <w:t>MA</w:t>
            </w:r>
            <w:r w:rsidRPr="00F23D72">
              <w:t xml:space="preserve"> and </w:t>
            </w:r>
            <w:r w:rsidR="0049266B" w:rsidRPr="00F23D72">
              <w:t>Itad</w:t>
            </w:r>
            <w:r w:rsidRPr="00F23D72">
              <w:t xml:space="preserve"> (</w:t>
            </w:r>
            <w:r w:rsidR="00C868ED" w:rsidRPr="00F23D72">
              <w:t xml:space="preserve">Inception report </w:t>
            </w:r>
            <w:r w:rsidRPr="00F23D72">
              <w:t>Annex 6) states that:</w:t>
            </w:r>
          </w:p>
          <w:p w14:paraId="4A831C57" w14:textId="3532E76A" w:rsidR="00520DBB" w:rsidRPr="007F63EF" w:rsidRDefault="00520DBB">
            <w:pPr>
              <w:pStyle w:val="FFNormal"/>
              <w:rPr>
                <w:i/>
                <w:color w:val="auto"/>
              </w:rPr>
            </w:pPr>
            <w:r w:rsidRPr="00F23D72">
              <w:rPr>
                <w:i/>
              </w:rPr>
              <w:t xml:space="preserve">‘All data collected by the MA and </w:t>
            </w:r>
            <w:r w:rsidR="00F21D1C" w:rsidRPr="00F23D72">
              <w:rPr>
                <w:i/>
              </w:rPr>
              <w:t xml:space="preserve">Evaluation Supplier </w:t>
            </w:r>
            <w:r w:rsidRPr="00F23D72">
              <w:rPr>
                <w:i/>
              </w:rPr>
              <w:t>will be owned by DHSC.</w:t>
            </w:r>
            <w:r w:rsidR="007458AC" w:rsidRPr="00F23D72">
              <w:rPr>
                <w:i/>
              </w:rPr>
              <w:t xml:space="preserve"> </w:t>
            </w:r>
            <w:r w:rsidRPr="00F23D72">
              <w:rPr>
                <w:i/>
              </w:rPr>
              <w:t>Datasets will be made publicly available as per the agreed M&amp;E Communication Plan between the parties and approved by the DHSC.’</w:t>
            </w:r>
            <w:r w:rsidR="007458AC" w:rsidRPr="00F23D72">
              <w:rPr>
                <w:i/>
              </w:rPr>
              <w:t xml:space="preserve"> </w:t>
            </w:r>
          </w:p>
          <w:p w14:paraId="22E30BB3" w14:textId="046F3B80" w:rsidR="00520DBB" w:rsidRPr="007F63EF" w:rsidRDefault="00520DBB">
            <w:pPr>
              <w:pStyle w:val="FFNormal"/>
              <w:rPr>
                <w:color w:val="auto"/>
              </w:rPr>
            </w:pPr>
            <w:r w:rsidRPr="00F23D72">
              <w:t>The evaluation's Communications Plan reflect</w:t>
            </w:r>
            <w:r w:rsidR="006713F0" w:rsidRPr="00F23D72">
              <w:t>ed</w:t>
            </w:r>
            <w:r w:rsidRPr="00F23D72">
              <w:t xml:space="preserve"> the following principles: </w:t>
            </w:r>
          </w:p>
          <w:p w14:paraId="7B44A08D" w14:textId="080145C3" w:rsidR="00520DBB" w:rsidRPr="007F63EF" w:rsidRDefault="00520DBB">
            <w:pPr>
              <w:pStyle w:val="FFNormal"/>
              <w:rPr>
                <w:rFonts w:cs="Calibri"/>
                <w:color w:val="auto"/>
              </w:rPr>
            </w:pPr>
            <w:r w:rsidRPr="00F23D72">
              <w:rPr>
                <w:rFonts w:cs="Calibri"/>
              </w:rPr>
              <w:t>DHSC, MA</w:t>
            </w:r>
            <w:r w:rsidR="00FC6A88" w:rsidRPr="00F23D72">
              <w:rPr>
                <w:rFonts w:cs="Calibri"/>
              </w:rPr>
              <w:t>,</w:t>
            </w:r>
            <w:r w:rsidRPr="00F23D72">
              <w:rPr>
                <w:rFonts w:cs="Calibri"/>
              </w:rPr>
              <w:t xml:space="preserve"> and ES must be notified in advance of any external communication from any of the three parties regarding the independent evaluation. All proposed external communications need to be circulated at least two weeks before they are published, wherever feasible, and earlier if possible.</w:t>
            </w:r>
          </w:p>
          <w:p w14:paraId="12D028DA" w14:textId="7CE4A791" w:rsidR="00520DBB" w:rsidRPr="007F63EF" w:rsidRDefault="00520DBB">
            <w:pPr>
              <w:pStyle w:val="FFNormal"/>
              <w:rPr>
                <w:color w:val="auto"/>
              </w:rPr>
            </w:pPr>
            <w:r w:rsidRPr="00F23D72">
              <w:t>Deliverables and publication: Respecting the independence of the ES, the disclosure of evaluation reports and any communication of parts of a formal report is a matter between the DHSC and ES.</w:t>
            </w:r>
            <w:r w:rsidR="007458AC" w:rsidRPr="00F23D72">
              <w:t xml:space="preserve"> </w:t>
            </w:r>
            <w:r w:rsidRPr="00F23D72">
              <w:t xml:space="preserve">The ES will publish all deliverables independently, with full acknowledgement of the contributions of MA and others as appropriate. The MA has had the opportunity to comment on any draft evaluation reports before their release in the public domain. </w:t>
            </w:r>
          </w:p>
          <w:p w14:paraId="56BBEEC3" w14:textId="7B57E27E" w:rsidR="00520DBB" w:rsidRPr="007F63EF" w:rsidRDefault="00520DBB">
            <w:pPr>
              <w:pStyle w:val="FFNormal"/>
              <w:rPr>
                <w:color w:val="auto"/>
              </w:rPr>
            </w:pPr>
            <w:r w:rsidRPr="00F23D72">
              <w:t xml:space="preserve">We also developed an Information Transfer Agreement regarding the use of data coming out of the programme. This was updated in 2022. Whilst this </w:t>
            </w:r>
            <w:r w:rsidR="00C051C3" w:rsidRPr="00F23D72">
              <w:t>was</w:t>
            </w:r>
            <w:r w:rsidRPr="00F23D72">
              <w:t xml:space="preserve"> covered by the contracts that the MA and ES have with </w:t>
            </w:r>
            <w:r w:rsidR="00FC6A88" w:rsidRPr="00F23D72">
              <w:t xml:space="preserve">the </w:t>
            </w:r>
            <w:r w:rsidRPr="00F23D72">
              <w:t xml:space="preserve">DHSC, it </w:t>
            </w:r>
            <w:r w:rsidR="00C051C3" w:rsidRPr="00F23D72">
              <w:t>was</w:t>
            </w:r>
            <w:r w:rsidRPr="00F23D72">
              <w:t xml:space="preserve"> considered useful to have something explicit and direct between the two parties. It </w:t>
            </w:r>
            <w:r w:rsidR="00C051C3" w:rsidRPr="00F23D72">
              <w:t>was</w:t>
            </w:r>
            <w:r w:rsidRPr="00F23D72">
              <w:t xml:space="preserve"> the responsibility of the organisations to ensure that all individuals within their teams are compliant with this document.</w:t>
            </w:r>
          </w:p>
          <w:p w14:paraId="02C39831" w14:textId="49D389FF" w:rsidR="00520DBB" w:rsidRPr="007F63EF" w:rsidRDefault="00520DBB">
            <w:pPr>
              <w:pStyle w:val="FFNormal"/>
              <w:rPr>
                <w:color w:val="auto"/>
              </w:rPr>
            </w:pPr>
            <w:r w:rsidRPr="00F23D72">
              <w:t xml:space="preserve">In the event of any conflict between the terms of this agreement and the terms and conditions of the agreements between the ES and DHSC or between the MA and DHSC, the terms and conditions of the latter agreements </w:t>
            </w:r>
            <w:r w:rsidR="00C051C3" w:rsidRPr="00F23D72">
              <w:t>took</w:t>
            </w:r>
            <w:r w:rsidRPr="00F23D72">
              <w:t xml:space="preserve"> precedence.</w:t>
            </w:r>
          </w:p>
        </w:tc>
      </w:tr>
      <w:tr w:rsidR="00520DBB" w:rsidRPr="006558DB" w14:paraId="2A35846F" w14:textId="77777777" w:rsidTr="00C867D1">
        <w:trPr>
          <w:cnfStyle w:val="000000100000" w:firstRow="0" w:lastRow="0" w:firstColumn="0" w:lastColumn="0" w:oddVBand="0" w:evenVBand="0" w:oddHBand="1" w:evenHBand="0" w:firstRowFirstColumn="0" w:firstRowLastColumn="0" w:lastRowFirstColumn="0" w:lastRowLastColumn="0"/>
        </w:trPr>
        <w:tc>
          <w:tcPr>
            <w:tcW w:w="3794" w:type="dxa"/>
          </w:tcPr>
          <w:p w14:paraId="6804F2DC" w14:textId="77777777" w:rsidR="00520DBB" w:rsidRPr="007F63EF" w:rsidRDefault="00520DBB">
            <w:pPr>
              <w:pStyle w:val="FFNormal"/>
              <w:rPr>
                <w:color w:val="auto"/>
              </w:rPr>
            </w:pPr>
            <w:r w:rsidRPr="00F23D72">
              <w:t>9. Research and evaluation should usually be independent of those implementing an intervention or programme under study.</w:t>
            </w:r>
          </w:p>
        </w:tc>
        <w:tc>
          <w:tcPr>
            <w:tcW w:w="5812" w:type="dxa"/>
          </w:tcPr>
          <w:p w14:paraId="20E5C7FA" w14:textId="42118D9E" w:rsidR="00520DBB" w:rsidRPr="007F63EF" w:rsidRDefault="00520DBB">
            <w:pPr>
              <w:pStyle w:val="FFNormal"/>
              <w:rPr>
                <w:color w:val="auto"/>
              </w:rPr>
            </w:pPr>
            <w:r w:rsidRPr="00F23D72">
              <w:t>The evaluation team consortium has had no conflict of interest</w:t>
            </w:r>
            <w:r w:rsidR="006C1E82" w:rsidRPr="00F23D72">
              <w:t xml:space="preserve"> (C</w:t>
            </w:r>
            <w:r w:rsidR="00665252" w:rsidRPr="00F23D72">
              <w:t>o</w:t>
            </w:r>
            <w:r w:rsidR="006C1E82" w:rsidRPr="00F23D72">
              <w:t>I)</w:t>
            </w:r>
            <w:r w:rsidRPr="00F23D72">
              <w:t xml:space="preserve"> in undertaking this work, and we have set out </w:t>
            </w:r>
            <w:r w:rsidR="00CA3139" w:rsidRPr="00F23D72">
              <w:t>below</w:t>
            </w:r>
            <w:r w:rsidRPr="00F23D72">
              <w:t xml:space="preserve"> how the evaluation will be managed and governed to protect the independence of the evaluation process.</w:t>
            </w:r>
          </w:p>
        </w:tc>
      </w:tr>
      <w:bookmarkEnd w:id="300"/>
    </w:tbl>
    <w:p w14:paraId="62265C28" w14:textId="77777777" w:rsidR="00520DBB" w:rsidRDefault="00520DBB" w:rsidP="00520DBB"/>
    <w:p w14:paraId="74AA4F75" w14:textId="77777777" w:rsidR="00520DBB" w:rsidRDefault="00520DBB" w:rsidP="00520DBB">
      <w:pPr>
        <w:pStyle w:val="ItadH2"/>
        <w:rPr>
          <w:rStyle w:val="normaltextrun"/>
        </w:rPr>
      </w:pPr>
      <w:bookmarkStart w:id="301" w:name="_Toc118968548"/>
      <w:bookmarkStart w:id="302" w:name="_Toc142383189"/>
      <w:r w:rsidRPr="00622E28">
        <w:rPr>
          <w:rStyle w:val="normaltextrun"/>
        </w:rPr>
        <w:t>Safeguarding</w:t>
      </w:r>
      <w:bookmarkEnd w:id="301"/>
      <w:bookmarkEnd w:id="302"/>
    </w:p>
    <w:p w14:paraId="44B72F0B" w14:textId="69DEEF68" w:rsidR="00520DBB" w:rsidRDefault="00520DBB" w:rsidP="00520DBB">
      <w:pPr>
        <w:pStyle w:val="ItadNormalText"/>
      </w:pPr>
      <w:bookmarkStart w:id="303" w:name="_Hlk129521739"/>
      <w:r w:rsidRPr="00AA4AF7">
        <w:t xml:space="preserve">The evaluation </w:t>
      </w:r>
      <w:r>
        <w:t xml:space="preserve">was conducted </w:t>
      </w:r>
      <w:r w:rsidR="00FC6A88">
        <w:t>according to</w:t>
      </w:r>
      <w:r>
        <w:t xml:space="preserve"> Itad’s safeguarding policy which all members of the evaluation team are expected to comply</w:t>
      </w:r>
      <w:r w:rsidR="00847C94">
        <w:t xml:space="preserve"> with</w:t>
      </w:r>
      <w:r>
        <w:t>.</w:t>
      </w:r>
      <w:r w:rsidR="007458AC">
        <w:t xml:space="preserve"> </w:t>
      </w:r>
      <w:r>
        <w:t xml:space="preserve">Itad </w:t>
      </w:r>
      <w:r w:rsidRPr="00D9743D">
        <w:t>recognise</w:t>
      </w:r>
      <w:r w:rsidR="00FC6A88">
        <w:t>s</w:t>
      </w:r>
      <w:r w:rsidRPr="00D9743D">
        <w:t xml:space="preserve"> that the care and well</w:t>
      </w:r>
      <w:r w:rsidR="00FC6A88">
        <w:t>-</w:t>
      </w:r>
      <w:r w:rsidRPr="00D9743D">
        <w:t>being of those that we work with, and of our staff, is paramount and that everyone has the right to be protected from all types of harm.</w:t>
      </w:r>
      <w:r w:rsidR="007458AC">
        <w:t xml:space="preserve"> </w:t>
      </w:r>
      <w:r w:rsidRPr="00D9743D">
        <w:t>Itad espouses a broad definition of safeguarding, which is to prevent, protect and respond to harm caused by sexual exploitation, abuse, harassment and bullying.</w:t>
      </w:r>
      <w:r w:rsidR="007458AC">
        <w:t xml:space="preserve"> </w:t>
      </w:r>
    </w:p>
    <w:p w14:paraId="4294966F" w14:textId="77777777" w:rsidR="00520DBB" w:rsidRPr="00CC4914" w:rsidRDefault="00520DBB" w:rsidP="007A6FFA">
      <w:pPr>
        <w:pStyle w:val="ItadH3"/>
        <w:rPr>
          <w:lang w:val="en-GB"/>
        </w:rPr>
      </w:pPr>
      <w:bookmarkStart w:id="304" w:name="_Toc117581003"/>
      <w:bookmarkStart w:id="305" w:name="_Toc117604517"/>
      <w:bookmarkStart w:id="306" w:name="_Toc118968549"/>
      <w:bookmarkStart w:id="307" w:name="_Toc142383190"/>
      <w:r w:rsidRPr="00CC4914">
        <w:rPr>
          <w:rStyle w:val="normaltextrun"/>
          <w:lang w:val="en-GB"/>
        </w:rPr>
        <w:t>Itad’s principles in relation to safeguarding are:</w:t>
      </w:r>
      <w:bookmarkEnd w:id="304"/>
      <w:bookmarkEnd w:id="305"/>
      <w:bookmarkEnd w:id="306"/>
      <w:bookmarkEnd w:id="307"/>
      <w:r w:rsidRPr="00CC4914">
        <w:rPr>
          <w:rStyle w:val="eop"/>
          <w:lang w:val="en-GB"/>
        </w:rPr>
        <w:t> </w:t>
      </w:r>
    </w:p>
    <w:p w14:paraId="65553768" w14:textId="77777777" w:rsidR="007118A1" w:rsidRDefault="00520DBB" w:rsidP="00C6374D">
      <w:pPr>
        <w:pStyle w:val="ItadNormalTextWhite"/>
        <w:numPr>
          <w:ilvl w:val="0"/>
          <w:numId w:val="70"/>
        </w:numPr>
        <w:rPr>
          <w:color w:val="auto"/>
        </w:rPr>
      </w:pPr>
      <w:r>
        <w:rPr>
          <w:rStyle w:val="normaltextrun"/>
          <w:rFonts w:cs="Calibri"/>
          <w:color w:val="000000"/>
        </w:rPr>
        <w:t>Do no harm;</w:t>
      </w:r>
      <w:r>
        <w:rPr>
          <w:rStyle w:val="eop"/>
          <w:rFonts w:cs="Calibri"/>
          <w:color w:val="000000"/>
        </w:rPr>
        <w:t> </w:t>
      </w:r>
    </w:p>
    <w:p w14:paraId="768CF43F" w14:textId="655BA7DF" w:rsidR="007118A1" w:rsidRDefault="00520DBB" w:rsidP="00C6374D">
      <w:pPr>
        <w:pStyle w:val="ItadNormalTextWhite"/>
        <w:numPr>
          <w:ilvl w:val="0"/>
          <w:numId w:val="70"/>
        </w:numPr>
        <w:rPr>
          <w:color w:val="auto"/>
        </w:rPr>
      </w:pPr>
      <w:r w:rsidRPr="007118A1">
        <w:rPr>
          <w:rStyle w:val="normaltextrun"/>
          <w:rFonts w:cs="Calibri"/>
          <w:color w:val="000000"/>
        </w:rPr>
        <w:t>Promote equality;</w:t>
      </w:r>
      <w:r w:rsidR="007458AC">
        <w:rPr>
          <w:rStyle w:val="normaltextrun"/>
          <w:rFonts w:cs="Calibri"/>
          <w:color w:val="000000"/>
        </w:rPr>
        <w:t xml:space="preserve"> </w:t>
      </w:r>
    </w:p>
    <w:p w14:paraId="2F84FD5D" w14:textId="08440CA0" w:rsidR="007118A1" w:rsidRDefault="00520DBB" w:rsidP="00C6374D">
      <w:pPr>
        <w:pStyle w:val="ItadNormalTextWhite"/>
        <w:numPr>
          <w:ilvl w:val="0"/>
          <w:numId w:val="70"/>
        </w:numPr>
        <w:rPr>
          <w:color w:val="auto"/>
        </w:rPr>
      </w:pPr>
      <w:r w:rsidRPr="007118A1">
        <w:rPr>
          <w:rStyle w:val="normaltextrun"/>
          <w:rFonts w:cs="Calibri"/>
          <w:color w:val="000000"/>
        </w:rPr>
        <w:t>Act with integrity, ensuring transparency and accountability</w:t>
      </w:r>
      <w:r w:rsidR="00FC6A88">
        <w:rPr>
          <w:rStyle w:val="eop"/>
          <w:rFonts w:cs="Calibri"/>
          <w:color w:val="000000"/>
        </w:rPr>
        <w:t>;</w:t>
      </w:r>
    </w:p>
    <w:p w14:paraId="61D2FA6D" w14:textId="35A51E35" w:rsidR="007118A1" w:rsidRDefault="00520DBB" w:rsidP="00C6374D">
      <w:pPr>
        <w:pStyle w:val="ItadNormalTextWhite"/>
        <w:numPr>
          <w:ilvl w:val="0"/>
          <w:numId w:val="70"/>
        </w:numPr>
        <w:rPr>
          <w:color w:val="auto"/>
        </w:rPr>
      </w:pPr>
      <w:r w:rsidRPr="007118A1">
        <w:rPr>
          <w:rStyle w:val="normaltextrun"/>
          <w:rFonts w:cs="Calibri"/>
          <w:color w:val="000000"/>
        </w:rPr>
        <w:t>Respect confidentiality when required</w:t>
      </w:r>
      <w:r w:rsidR="00FC6A88">
        <w:rPr>
          <w:rStyle w:val="eop"/>
          <w:rFonts w:cs="Calibri"/>
          <w:color w:val="000000"/>
        </w:rPr>
        <w:t>;</w:t>
      </w:r>
    </w:p>
    <w:p w14:paraId="3096DAAD" w14:textId="1A84A70E" w:rsidR="007118A1" w:rsidRDefault="00520DBB" w:rsidP="00C6374D">
      <w:pPr>
        <w:pStyle w:val="ItadNormalTextWhite"/>
        <w:numPr>
          <w:ilvl w:val="0"/>
          <w:numId w:val="70"/>
        </w:numPr>
        <w:rPr>
          <w:color w:val="auto"/>
        </w:rPr>
      </w:pPr>
      <w:r w:rsidRPr="007118A1">
        <w:rPr>
          <w:rStyle w:val="normaltextrun"/>
          <w:rFonts w:cs="Calibri"/>
          <w:color w:val="000000"/>
        </w:rPr>
        <w:t>Take individual responsibility for promoting safeguarding</w:t>
      </w:r>
      <w:r w:rsidR="00FC6A88">
        <w:rPr>
          <w:rStyle w:val="eop"/>
          <w:rFonts w:cs="Calibri"/>
          <w:color w:val="000000"/>
        </w:rPr>
        <w:t>;</w:t>
      </w:r>
    </w:p>
    <w:p w14:paraId="48B5468F" w14:textId="6E0988B8" w:rsidR="00520DBB" w:rsidRPr="007118A1" w:rsidRDefault="00520DBB" w:rsidP="00C6374D">
      <w:pPr>
        <w:pStyle w:val="ItadNormalTextWhite"/>
        <w:numPr>
          <w:ilvl w:val="0"/>
          <w:numId w:val="70"/>
        </w:numPr>
        <w:rPr>
          <w:color w:val="auto"/>
        </w:rPr>
      </w:pPr>
      <w:r w:rsidRPr="007118A1">
        <w:rPr>
          <w:rStyle w:val="normaltextrun"/>
          <w:rFonts w:cs="Calibri"/>
          <w:color w:val="000000"/>
        </w:rPr>
        <w:t>Take a survivor-centred approach</w:t>
      </w:r>
      <w:r w:rsidR="00FC6A88">
        <w:rPr>
          <w:rStyle w:val="eop"/>
          <w:rFonts w:cs="Calibri"/>
          <w:color w:val="000000"/>
        </w:rPr>
        <w:t>.</w:t>
      </w:r>
    </w:p>
    <w:p w14:paraId="6D60AF44" w14:textId="56739F23" w:rsidR="00520DBB" w:rsidRDefault="00520DBB" w:rsidP="007118A1">
      <w:pPr>
        <w:pStyle w:val="ItadNormalTextWhite"/>
        <w:ind w:firstLine="50"/>
      </w:pPr>
    </w:p>
    <w:p w14:paraId="36C16E10" w14:textId="1CCB1231" w:rsidR="00520DBB" w:rsidRDefault="00520DBB" w:rsidP="007B02FC">
      <w:pPr>
        <w:pStyle w:val="paragraph"/>
        <w:spacing w:before="0" w:beforeAutospacing="0" w:after="0" w:afterAutospacing="0"/>
        <w:textAlignment w:val="baseline"/>
        <w:rPr>
          <w:rFonts w:ascii="Calibri" w:hAnsi="Calibri" w:cs="Calibri"/>
          <w:sz w:val="22"/>
          <w:szCs w:val="22"/>
        </w:rPr>
      </w:pPr>
      <w:r>
        <w:rPr>
          <w:rStyle w:val="normaltextrun"/>
          <w:rFonts w:ascii="Calibri" w:hAnsi="Calibri" w:cs="Calibri"/>
          <w:color w:val="000000"/>
          <w:sz w:val="22"/>
          <w:szCs w:val="22"/>
        </w:rPr>
        <w:t xml:space="preserve">As an </w:t>
      </w:r>
      <w:r>
        <w:rPr>
          <w:rStyle w:val="normaltextrun"/>
          <w:rFonts w:ascii="Calibri" w:hAnsi="Calibri" w:cs="Calibri"/>
          <w:b/>
          <w:bCs/>
          <w:color w:val="000000"/>
          <w:sz w:val="22"/>
          <w:szCs w:val="22"/>
        </w:rPr>
        <w:t>organisation</w:t>
      </w:r>
      <w:r>
        <w:rPr>
          <w:rStyle w:val="normaltextrun"/>
          <w:rFonts w:ascii="Calibri" w:hAnsi="Calibri" w:cs="Calibri"/>
          <w:color w:val="000000"/>
          <w:sz w:val="22"/>
          <w:szCs w:val="22"/>
        </w:rPr>
        <w:t>, Itad’s leadership is committed to:</w:t>
      </w:r>
      <w:r>
        <w:rPr>
          <w:rStyle w:val="eop"/>
          <w:rFonts w:ascii="Calibri" w:hAnsi="Calibri" w:cs="Calibri"/>
          <w:color w:val="000000"/>
          <w:sz w:val="22"/>
          <w:szCs w:val="22"/>
        </w:rPr>
        <w:t> </w:t>
      </w:r>
    </w:p>
    <w:p w14:paraId="35A836C7" w14:textId="61F575F9" w:rsidR="00520DBB" w:rsidRPr="007118A1" w:rsidRDefault="00520DBB" w:rsidP="00C6374D">
      <w:pPr>
        <w:pStyle w:val="ItadNormalTextWhite"/>
        <w:numPr>
          <w:ilvl w:val="0"/>
          <w:numId w:val="70"/>
        </w:numPr>
        <w:rPr>
          <w:rStyle w:val="normaltextrun"/>
          <w:color w:val="000000"/>
        </w:rPr>
      </w:pPr>
      <w:r w:rsidRPr="007118A1">
        <w:rPr>
          <w:rStyle w:val="normaltextrun"/>
          <w:rFonts w:cs="Calibri"/>
          <w:color w:val="000000"/>
        </w:rPr>
        <w:t>Prioritising the approach to, and seriousness of dealing with safeguarding issues, ensuring that appropriate steps are taken in a transparent and accountable way</w:t>
      </w:r>
      <w:r w:rsidR="00FC6A88">
        <w:rPr>
          <w:rStyle w:val="normaltextrun"/>
          <w:color w:val="000000"/>
        </w:rPr>
        <w:t>;</w:t>
      </w:r>
    </w:p>
    <w:p w14:paraId="114A3767" w14:textId="5B53CC85" w:rsidR="00520DBB" w:rsidRPr="007118A1" w:rsidRDefault="00520DBB" w:rsidP="00C6374D">
      <w:pPr>
        <w:pStyle w:val="ItadNormalTextWhite"/>
        <w:numPr>
          <w:ilvl w:val="0"/>
          <w:numId w:val="70"/>
        </w:numPr>
        <w:rPr>
          <w:rStyle w:val="normaltextrun"/>
          <w:color w:val="000000"/>
        </w:rPr>
      </w:pPr>
      <w:r>
        <w:rPr>
          <w:rStyle w:val="normaltextrun"/>
          <w:rFonts w:cs="Calibri"/>
          <w:color w:val="000000"/>
        </w:rPr>
        <w:t xml:space="preserve">Providing a safe and supportive culture so that staff, consultants and partners are able to raise issues and concerns related to safeguarding </w:t>
      </w:r>
      <w:r w:rsidRPr="00FC6A88">
        <w:rPr>
          <w:rStyle w:val="normaltextrun"/>
          <w:rFonts w:cs="Calibri"/>
          <w:color w:val="000000"/>
        </w:rPr>
        <w:t>appropriatel</w:t>
      </w:r>
      <w:r w:rsidR="00FC6A88" w:rsidRPr="00BB4743">
        <w:rPr>
          <w:rStyle w:val="normaltextrun"/>
          <w:color w:val="000000"/>
        </w:rPr>
        <w:t>y</w:t>
      </w:r>
      <w:r w:rsidR="00FC6A88">
        <w:rPr>
          <w:rStyle w:val="normaltextrun"/>
          <w:color w:val="000000"/>
        </w:rPr>
        <w:t>;</w:t>
      </w:r>
    </w:p>
    <w:p w14:paraId="673C2C5A" w14:textId="1D31C041" w:rsidR="00520DBB" w:rsidRPr="007118A1" w:rsidRDefault="00520DBB" w:rsidP="00C6374D">
      <w:pPr>
        <w:pStyle w:val="ItadNormalTextWhite"/>
        <w:numPr>
          <w:ilvl w:val="0"/>
          <w:numId w:val="70"/>
        </w:numPr>
        <w:rPr>
          <w:rStyle w:val="normaltextrun"/>
          <w:color w:val="000000"/>
        </w:rPr>
      </w:pPr>
      <w:r>
        <w:rPr>
          <w:rStyle w:val="normaltextrun"/>
          <w:rFonts w:cs="Calibri"/>
          <w:color w:val="000000"/>
        </w:rPr>
        <w:t>Sharing information and training about policies and good practice with all who work for u</w:t>
      </w:r>
      <w:r w:rsidR="00FC6A88">
        <w:rPr>
          <w:rStyle w:val="normaltextrun"/>
          <w:rFonts w:cs="Calibri"/>
          <w:color w:val="000000"/>
        </w:rPr>
        <w:t>s;</w:t>
      </w:r>
    </w:p>
    <w:p w14:paraId="0A7E72E8" w14:textId="2E8508C0" w:rsidR="00520DBB" w:rsidRPr="007118A1" w:rsidRDefault="00520DBB" w:rsidP="00C6374D">
      <w:pPr>
        <w:pStyle w:val="ItadNormalTextWhite"/>
        <w:numPr>
          <w:ilvl w:val="0"/>
          <w:numId w:val="70"/>
        </w:numPr>
        <w:rPr>
          <w:rStyle w:val="normaltextrun"/>
          <w:color w:val="000000"/>
        </w:rPr>
      </w:pPr>
      <w:r>
        <w:rPr>
          <w:rStyle w:val="normaltextrun"/>
          <w:rFonts w:cs="Calibri"/>
          <w:color w:val="000000"/>
        </w:rPr>
        <w:t>Sharing information and reporting</w:t>
      </w:r>
      <w:r w:rsidR="007458AC">
        <w:rPr>
          <w:rStyle w:val="normaltextrun"/>
          <w:rFonts w:cs="Calibri"/>
          <w:color w:val="000000"/>
        </w:rPr>
        <w:t xml:space="preserve"> </w:t>
      </w:r>
      <w:r>
        <w:rPr>
          <w:rStyle w:val="normaltextrun"/>
          <w:rFonts w:cs="Calibri"/>
          <w:color w:val="000000"/>
        </w:rPr>
        <w:t>any concerns or issues with relevant agencies</w:t>
      </w:r>
      <w:r w:rsidR="00FC6A88">
        <w:rPr>
          <w:rStyle w:val="normaltextrun"/>
          <w:rFonts w:cs="Calibri"/>
          <w:color w:val="000000"/>
        </w:rPr>
        <w:t>;</w:t>
      </w:r>
      <w:r w:rsidRPr="007118A1">
        <w:rPr>
          <w:rStyle w:val="normaltextrun"/>
        </w:rPr>
        <w:t> </w:t>
      </w:r>
    </w:p>
    <w:p w14:paraId="300AEB93" w14:textId="77777777" w:rsidR="00520DBB" w:rsidRPr="007118A1" w:rsidRDefault="00520DBB" w:rsidP="00C6374D">
      <w:pPr>
        <w:pStyle w:val="ItadNormalTextWhite"/>
        <w:numPr>
          <w:ilvl w:val="0"/>
          <w:numId w:val="70"/>
        </w:numPr>
        <w:rPr>
          <w:rStyle w:val="normaltextrun"/>
          <w:color w:val="000000"/>
        </w:rPr>
      </w:pPr>
      <w:r>
        <w:rPr>
          <w:rStyle w:val="normaltextrun"/>
          <w:rFonts w:cs="Calibri"/>
          <w:color w:val="000000"/>
        </w:rPr>
        <w:t>Ensuring checks are made when recruiting staff, subcontractors and consultants.</w:t>
      </w:r>
      <w:r w:rsidRPr="007118A1">
        <w:rPr>
          <w:rStyle w:val="normaltextrun"/>
        </w:rPr>
        <w:t> </w:t>
      </w:r>
    </w:p>
    <w:p w14:paraId="2DFC3035" w14:textId="77777777" w:rsidR="00520DBB" w:rsidRDefault="00520DBB" w:rsidP="00520DBB">
      <w:pPr>
        <w:pStyle w:val="paragraph"/>
        <w:spacing w:before="0" w:beforeAutospacing="0" w:after="0" w:afterAutospacing="0"/>
        <w:textAlignment w:val="baseline"/>
        <w:rPr>
          <w:rFonts w:ascii="Calibri" w:hAnsi="Calibri" w:cs="Calibri"/>
          <w:sz w:val="22"/>
          <w:szCs w:val="22"/>
        </w:rPr>
      </w:pPr>
      <w:r>
        <w:rPr>
          <w:rStyle w:val="eop"/>
          <w:rFonts w:ascii="Calibri" w:hAnsi="Calibri" w:cs="Calibri"/>
          <w:color w:val="000000"/>
          <w:sz w:val="22"/>
          <w:szCs w:val="22"/>
        </w:rPr>
        <w:t> </w:t>
      </w:r>
    </w:p>
    <w:p w14:paraId="3ED237DF" w14:textId="57395D99" w:rsidR="00520DBB" w:rsidRDefault="00520DBB" w:rsidP="00520DBB">
      <w:pPr>
        <w:pStyle w:val="paragraph"/>
        <w:spacing w:before="0" w:beforeAutospacing="0" w:after="0" w:afterAutospacing="0"/>
        <w:textAlignment w:val="baseline"/>
        <w:rPr>
          <w:rFonts w:ascii="Calibri" w:hAnsi="Calibri" w:cs="Calibri"/>
          <w:sz w:val="22"/>
          <w:szCs w:val="22"/>
        </w:rPr>
      </w:pPr>
      <w:r>
        <w:rPr>
          <w:rStyle w:val="normaltextrun"/>
          <w:rFonts w:ascii="Calibri" w:hAnsi="Calibri" w:cs="Calibri"/>
          <w:color w:val="000000"/>
          <w:sz w:val="22"/>
          <w:szCs w:val="22"/>
        </w:rPr>
        <w:t xml:space="preserve">Behaviours that </w:t>
      </w:r>
      <w:r w:rsidR="009D4A2C">
        <w:rPr>
          <w:rStyle w:val="normaltextrun"/>
          <w:rFonts w:ascii="Calibri" w:hAnsi="Calibri" w:cs="Calibri"/>
          <w:color w:val="000000"/>
          <w:sz w:val="22"/>
          <w:szCs w:val="22"/>
        </w:rPr>
        <w:t xml:space="preserve">are expected from those covered </w:t>
      </w:r>
      <w:r>
        <w:rPr>
          <w:rStyle w:val="normaltextrun"/>
          <w:rFonts w:ascii="Calibri" w:hAnsi="Calibri" w:cs="Calibri"/>
          <w:color w:val="000000"/>
          <w:sz w:val="22"/>
          <w:szCs w:val="22"/>
        </w:rPr>
        <w:t xml:space="preserve">under the scope of this policy are </w:t>
      </w:r>
      <w:r w:rsidR="009D4A2C">
        <w:rPr>
          <w:rStyle w:val="normaltextrun"/>
          <w:rFonts w:ascii="Calibri" w:hAnsi="Calibri" w:cs="Calibri"/>
          <w:color w:val="000000"/>
          <w:sz w:val="22"/>
          <w:szCs w:val="22"/>
        </w:rPr>
        <w:t xml:space="preserve">outlined </w:t>
      </w:r>
      <w:r>
        <w:rPr>
          <w:rStyle w:val="normaltextrun"/>
          <w:rFonts w:ascii="Calibri" w:hAnsi="Calibri" w:cs="Calibri"/>
          <w:color w:val="000000"/>
          <w:sz w:val="22"/>
          <w:szCs w:val="22"/>
        </w:rPr>
        <w:t>below, these are reinforced by our Safeguarding Code of Conduct:</w:t>
      </w:r>
      <w:r>
        <w:rPr>
          <w:rStyle w:val="eop"/>
          <w:rFonts w:ascii="Calibri" w:hAnsi="Calibri" w:cs="Calibri"/>
          <w:color w:val="000000"/>
          <w:sz w:val="22"/>
          <w:szCs w:val="22"/>
        </w:rPr>
        <w:t> </w:t>
      </w:r>
    </w:p>
    <w:p w14:paraId="21B63EF4" w14:textId="77777777" w:rsidR="00520DBB" w:rsidRDefault="00520DBB" w:rsidP="00520DBB">
      <w:pPr>
        <w:pStyle w:val="paragraph"/>
        <w:spacing w:before="0" w:beforeAutospacing="0" w:after="0" w:afterAutospacing="0"/>
        <w:textAlignment w:val="baseline"/>
        <w:rPr>
          <w:rFonts w:ascii="Calibri" w:hAnsi="Calibri" w:cs="Calibri"/>
          <w:sz w:val="22"/>
          <w:szCs w:val="22"/>
        </w:rPr>
      </w:pPr>
      <w:r>
        <w:rPr>
          <w:rStyle w:val="eop"/>
          <w:rFonts w:ascii="Calibri" w:hAnsi="Calibri" w:cs="Calibri"/>
          <w:color w:val="000000"/>
          <w:sz w:val="22"/>
          <w:szCs w:val="22"/>
        </w:rPr>
        <w:t> </w:t>
      </w:r>
    </w:p>
    <w:p w14:paraId="6799E16B" w14:textId="636F42C1" w:rsidR="00520DBB" w:rsidRPr="009D4A2C" w:rsidRDefault="00520DBB" w:rsidP="00C6374D">
      <w:pPr>
        <w:pStyle w:val="ItadNormalTextWhite"/>
        <w:numPr>
          <w:ilvl w:val="0"/>
          <w:numId w:val="70"/>
        </w:numPr>
        <w:rPr>
          <w:rStyle w:val="normaltextrun"/>
          <w:color w:val="000000"/>
        </w:rPr>
      </w:pPr>
      <w:r w:rsidRPr="009D4A2C">
        <w:rPr>
          <w:rStyle w:val="normaltextrun"/>
          <w:rFonts w:cs="Calibri"/>
          <w:color w:val="000000"/>
        </w:rPr>
        <w:t xml:space="preserve">Accountability </w:t>
      </w:r>
      <w:r>
        <w:rPr>
          <w:rStyle w:val="normaltextrun"/>
          <w:rFonts w:cs="Calibri"/>
          <w:color w:val="000000"/>
        </w:rPr>
        <w:t>– If you have a concern then respond</w:t>
      </w:r>
      <w:r w:rsidR="00847C94">
        <w:rPr>
          <w:rStyle w:val="normaltextrun"/>
          <w:rFonts w:cs="Calibri"/>
          <w:color w:val="000000"/>
        </w:rPr>
        <w:t xml:space="preserve"> to</w:t>
      </w:r>
      <w:r>
        <w:rPr>
          <w:rStyle w:val="normaltextrun"/>
          <w:rFonts w:cs="Calibri"/>
          <w:color w:val="000000"/>
        </w:rPr>
        <w:t xml:space="preserve"> or report</w:t>
      </w:r>
      <w:r w:rsidR="00847C94">
        <w:rPr>
          <w:rStyle w:val="normaltextrun"/>
          <w:rFonts w:cs="Calibri"/>
          <w:color w:val="000000"/>
        </w:rPr>
        <w:t xml:space="preserve"> it</w:t>
      </w:r>
      <w:r>
        <w:rPr>
          <w:rStyle w:val="normaltextrun"/>
          <w:rFonts w:cs="Calibri"/>
          <w:color w:val="000000"/>
        </w:rPr>
        <w:t>, never assume someone else has or will.</w:t>
      </w:r>
      <w:r w:rsidRPr="009D4A2C">
        <w:rPr>
          <w:rStyle w:val="normaltextrun"/>
        </w:rPr>
        <w:t> </w:t>
      </w:r>
    </w:p>
    <w:p w14:paraId="1569AA5A" w14:textId="40AD8BEF" w:rsidR="00520DBB" w:rsidRPr="009D4A2C" w:rsidRDefault="00520DBB" w:rsidP="00C6374D">
      <w:pPr>
        <w:pStyle w:val="ItadNormalTextWhite"/>
        <w:numPr>
          <w:ilvl w:val="0"/>
          <w:numId w:val="70"/>
        </w:numPr>
        <w:rPr>
          <w:rStyle w:val="normaltextrun"/>
          <w:color w:val="000000"/>
        </w:rPr>
      </w:pPr>
      <w:r w:rsidRPr="009D4A2C">
        <w:rPr>
          <w:rStyle w:val="normaltextrun"/>
          <w:rFonts w:cs="Calibri"/>
          <w:color w:val="000000"/>
        </w:rPr>
        <w:t xml:space="preserve">Advocacy </w:t>
      </w:r>
      <w:r>
        <w:rPr>
          <w:rStyle w:val="normaltextrun"/>
          <w:rFonts w:cs="Calibri"/>
          <w:color w:val="000000"/>
        </w:rPr>
        <w:t>– Help others to put forward their own point of view. Promote a culture of listening to</w:t>
      </w:r>
      <w:r w:rsidR="007458AC">
        <w:rPr>
          <w:rStyle w:val="normaltextrun"/>
          <w:rFonts w:cs="Calibri"/>
          <w:color w:val="000000"/>
        </w:rPr>
        <w:t xml:space="preserve"> </w:t>
      </w:r>
      <w:r>
        <w:rPr>
          <w:rStyle w:val="normaltextrun"/>
          <w:rFonts w:cs="Calibri"/>
          <w:color w:val="000000"/>
        </w:rPr>
        <w:t>ensure that staff and others feel able to raise issues in confidence, knowing that they will be listened to and responded to.</w:t>
      </w:r>
      <w:r w:rsidRPr="009D4A2C">
        <w:rPr>
          <w:rStyle w:val="normaltextrun"/>
        </w:rPr>
        <w:t> </w:t>
      </w:r>
    </w:p>
    <w:p w14:paraId="11B9086E" w14:textId="544C5008" w:rsidR="00520DBB" w:rsidRPr="009D4A2C" w:rsidRDefault="00520DBB" w:rsidP="00C6374D">
      <w:pPr>
        <w:pStyle w:val="ItadNormalTextWhite"/>
        <w:numPr>
          <w:ilvl w:val="0"/>
          <w:numId w:val="70"/>
        </w:numPr>
        <w:rPr>
          <w:rStyle w:val="normaltextrun"/>
          <w:color w:val="000000"/>
        </w:rPr>
      </w:pPr>
      <w:r w:rsidRPr="009D4A2C">
        <w:rPr>
          <w:rStyle w:val="normaltextrun"/>
          <w:rFonts w:cs="Calibri"/>
          <w:color w:val="000000"/>
        </w:rPr>
        <w:t xml:space="preserve">Inclusion </w:t>
      </w:r>
      <w:r w:rsidR="00244909">
        <w:rPr>
          <w:rStyle w:val="normaltextrun"/>
          <w:rFonts w:cs="Calibri"/>
          <w:color w:val="000000"/>
        </w:rPr>
        <w:t xml:space="preserve">and </w:t>
      </w:r>
      <w:r w:rsidRPr="009D4A2C">
        <w:rPr>
          <w:rStyle w:val="normaltextrun"/>
          <w:rFonts w:cs="Calibri"/>
          <w:color w:val="000000"/>
        </w:rPr>
        <w:t xml:space="preserve">equality </w:t>
      </w:r>
      <w:r>
        <w:rPr>
          <w:rStyle w:val="normaltextrun"/>
          <w:rFonts w:cs="Calibri"/>
          <w:color w:val="000000"/>
        </w:rPr>
        <w:t>– every individual is equally important and valuable and should be treated in that way. Everyone has an equal right to protection from harm and abuse.</w:t>
      </w:r>
      <w:r w:rsidRPr="009D4A2C">
        <w:rPr>
          <w:rStyle w:val="normaltextrun"/>
        </w:rPr>
        <w:t> </w:t>
      </w:r>
    </w:p>
    <w:p w14:paraId="02850D40" w14:textId="77777777" w:rsidR="00520DBB" w:rsidRPr="009D4A2C" w:rsidRDefault="00520DBB" w:rsidP="00C6374D">
      <w:pPr>
        <w:pStyle w:val="ItadNormalTextWhite"/>
        <w:numPr>
          <w:ilvl w:val="0"/>
          <w:numId w:val="70"/>
        </w:numPr>
        <w:rPr>
          <w:rStyle w:val="normaltextrun"/>
          <w:color w:val="000000"/>
        </w:rPr>
      </w:pPr>
      <w:r w:rsidRPr="009D4A2C">
        <w:rPr>
          <w:rStyle w:val="normaltextrun"/>
          <w:rFonts w:cs="Calibri"/>
          <w:color w:val="000000"/>
        </w:rPr>
        <w:t xml:space="preserve">Act quickly </w:t>
      </w:r>
      <w:r>
        <w:rPr>
          <w:rStyle w:val="normaltextrun"/>
          <w:rFonts w:cs="Calibri"/>
          <w:color w:val="000000"/>
        </w:rPr>
        <w:t>– take action and provide support as soon as a problem emerges before it gets any worse.</w:t>
      </w:r>
      <w:r w:rsidRPr="009D4A2C">
        <w:rPr>
          <w:rStyle w:val="normaltextrun"/>
        </w:rPr>
        <w:t> </w:t>
      </w:r>
    </w:p>
    <w:p w14:paraId="455A06F3" w14:textId="53CB7B17" w:rsidR="00520DBB" w:rsidRPr="009D4A2C" w:rsidRDefault="00520DBB" w:rsidP="00C6374D">
      <w:pPr>
        <w:pStyle w:val="ItadNormalTextWhite"/>
        <w:numPr>
          <w:ilvl w:val="0"/>
          <w:numId w:val="70"/>
        </w:numPr>
        <w:rPr>
          <w:rStyle w:val="normaltextrun"/>
          <w:color w:val="000000"/>
        </w:rPr>
      </w:pPr>
      <w:r w:rsidRPr="009D4A2C">
        <w:rPr>
          <w:rStyle w:val="normaltextrun"/>
          <w:rFonts w:cs="Calibri"/>
          <w:color w:val="000000"/>
        </w:rPr>
        <w:t>Vigilance and understanding</w:t>
      </w:r>
      <w:r>
        <w:rPr>
          <w:rStyle w:val="normaltextrun"/>
          <w:rFonts w:cs="Calibri"/>
          <w:color w:val="000000"/>
        </w:rPr>
        <w:t xml:space="preserve"> –</w:t>
      </w:r>
      <w:r w:rsidR="007458AC">
        <w:rPr>
          <w:rStyle w:val="normaltextrun"/>
          <w:rFonts w:cs="Calibri"/>
          <w:color w:val="000000"/>
        </w:rPr>
        <w:t xml:space="preserve"> </w:t>
      </w:r>
      <w:r>
        <w:rPr>
          <w:rStyle w:val="normaltextrun"/>
          <w:rFonts w:cs="Calibri"/>
          <w:color w:val="000000"/>
        </w:rPr>
        <w:t>it is important to take the time to understand situations and be alert so we can notice when something is</w:t>
      </w:r>
      <w:r w:rsidR="00FC6A88">
        <w:rPr>
          <w:rStyle w:val="normaltextrun"/>
          <w:rFonts w:cs="Calibri"/>
          <w:color w:val="000000"/>
        </w:rPr>
        <w:t xml:space="preserve"> not </w:t>
      </w:r>
      <w:r>
        <w:rPr>
          <w:rStyle w:val="normaltextrun"/>
          <w:rFonts w:cs="Calibri"/>
          <w:color w:val="000000"/>
        </w:rPr>
        <w:t>right and respond appropriately.</w:t>
      </w:r>
      <w:r w:rsidRPr="009D4A2C">
        <w:rPr>
          <w:rStyle w:val="normaltextrun"/>
        </w:rPr>
        <w:t> </w:t>
      </w:r>
    </w:p>
    <w:p w14:paraId="29C962AF" w14:textId="77777777" w:rsidR="00520DBB" w:rsidRPr="009D4A2C" w:rsidRDefault="00520DBB" w:rsidP="00C6374D">
      <w:pPr>
        <w:pStyle w:val="ItadNormalTextWhite"/>
        <w:numPr>
          <w:ilvl w:val="0"/>
          <w:numId w:val="70"/>
        </w:numPr>
        <w:rPr>
          <w:rStyle w:val="normaltextrun"/>
          <w:color w:val="000000"/>
        </w:rPr>
      </w:pPr>
      <w:r w:rsidRPr="009D4A2C">
        <w:rPr>
          <w:rStyle w:val="normaltextrun"/>
          <w:rFonts w:cs="Calibri"/>
          <w:color w:val="000000"/>
        </w:rPr>
        <w:t xml:space="preserve">Confidentiality </w:t>
      </w:r>
      <w:r>
        <w:rPr>
          <w:rStyle w:val="normaltextrun"/>
          <w:rFonts w:cs="Calibri"/>
          <w:color w:val="000000"/>
        </w:rPr>
        <w:t>– depending on the nature of the situation it may be appropriate to act with a high degree of confidence to protect the anonymity of individuals involved.</w:t>
      </w:r>
      <w:r w:rsidRPr="009D4A2C">
        <w:rPr>
          <w:rStyle w:val="normaltextrun"/>
        </w:rPr>
        <w:t> </w:t>
      </w:r>
    </w:p>
    <w:p w14:paraId="2DDBAC37" w14:textId="77777777" w:rsidR="00520DBB" w:rsidRDefault="00520DBB" w:rsidP="00520DBB">
      <w:pPr>
        <w:pStyle w:val="paragraph"/>
        <w:spacing w:before="0" w:beforeAutospacing="0" w:after="0" w:afterAutospacing="0"/>
        <w:ind w:left="1080"/>
        <w:jc w:val="both"/>
        <w:textAlignment w:val="baseline"/>
        <w:rPr>
          <w:rFonts w:ascii="Calibri" w:hAnsi="Calibri" w:cs="Calibri"/>
          <w:sz w:val="22"/>
          <w:szCs w:val="22"/>
        </w:rPr>
      </w:pPr>
    </w:p>
    <w:p w14:paraId="5F6A8F3F" w14:textId="5312C166" w:rsidR="00520DBB" w:rsidRDefault="00520DBB" w:rsidP="007A6FFA">
      <w:pPr>
        <w:pStyle w:val="ItadNormalText"/>
        <w:rPr>
          <w:rFonts w:ascii="Segoe UI" w:hAnsi="Segoe UI" w:cs="Segoe UI"/>
          <w:sz w:val="18"/>
          <w:szCs w:val="18"/>
        </w:rPr>
      </w:pPr>
      <w:r>
        <w:rPr>
          <w:rStyle w:val="normaltextrun"/>
          <w:rFonts w:cs="Calibri"/>
          <w:color w:val="000000"/>
        </w:rPr>
        <w:t>This Code of Conduct sets out a minimum standard in terms of behavioural expectations</w:t>
      </w:r>
      <w:r w:rsidR="00190702">
        <w:rPr>
          <w:rStyle w:val="normaltextrun"/>
          <w:rFonts w:cs="Calibri"/>
          <w:color w:val="000000"/>
        </w:rPr>
        <w:t xml:space="preserve"> of the evaluation team</w:t>
      </w:r>
      <w:r>
        <w:rPr>
          <w:rStyle w:val="normaltextrun"/>
          <w:rFonts w:cs="Calibri"/>
          <w:color w:val="000000"/>
        </w:rPr>
        <w:t xml:space="preserve">. The Code </w:t>
      </w:r>
      <w:r w:rsidR="00C25E8F">
        <w:rPr>
          <w:rStyle w:val="normaltextrun"/>
          <w:rFonts w:cs="Calibri"/>
          <w:color w:val="000000"/>
        </w:rPr>
        <w:t>was and is</w:t>
      </w:r>
      <w:r>
        <w:rPr>
          <w:rStyle w:val="normaltextrun"/>
          <w:rFonts w:cs="Calibri"/>
          <w:color w:val="000000"/>
        </w:rPr>
        <w:t xml:space="preserve"> applicable at all times. This not only involves respect for the rights and feelings of others but also demands that </w:t>
      </w:r>
      <w:r w:rsidR="00190702">
        <w:rPr>
          <w:rStyle w:val="normaltextrun"/>
          <w:rFonts w:cs="Calibri"/>
          <w:color w:val="000000"/>
        </w:rPr>
        <w:t>individuals</w:t>
      </w:r>
      <w:r>
        <w:rPr>
          <w:rStyle w:val="normaltextrun"/>
          <w:rFonts w:cs="Calibri"/>
          <w:color w:val="000000"/>
        </w:rPr>
        <w:t xml:space="preserve"> refrain from any behaviour that might be harmful to </w:t>
      </w:r>
      <w:r w:rsidR="00190702">
        <w:rPr>
          <w:rStyle w:val="normaltextrun"/>
          <w:rFonts w:cs="Calibri"/>
          <w:color w:val="000000"/>
        </w:rPr>
        <w:t>themselves</w:t>
      </w:r>
      <w:r>
        <w:rPr>
          <w:rStyle w:val="normaltextrun"/>
          <w:rFonts w:cs="Calibri"/>
          <w:color w:val="000000"/>
        </w:rPr>
        <w:t>,</w:t>
      </w:r>
      <w:r w:rsidR="00190702">
        <w:rPr>
          <w:rStyle w:val="normaltextrun"/>
          <w:rFonts w:cs="Calibri"/>
          <w:color w:val="000000"/>
        </w:rPr>
        <w:t xml:space="preserve"> </w:t>
      </w:r>
      <w:r>
        <w:rPr>
          <w:rStyle w:val="normaltextrun"/>
          <w:rFonts w:cs="Calibri"/>
          <w:color w:val="000000"/>
        </w:rPr>
        <w:t>co-workers, and/or Itad, or that might be viewed as such by the public at large.</w:t>
      </w:r>
      <w:r w:rsidR="007458AC">
        <w:rPr>
          <w:rStyle w:val="normaltextrun"/>
          <w:rFonts w:cs="Calibri"/>
          <w:color w:val="000000"/>
        </w:rPr>
        <w:t xml:space="preserve"> </w:t>
      </w:r>
    </w:p>
    <w:p w14:paraId="160658DA" w14:textId="289347DE" w:rsidR="00520DBB" w:rsidRDefault="00520DBB" w:rsidP="007A6FFA">
      <w:pPr>
        <w:pStyle w:val="ItadNormalText"/>
        <w:rPr>
          <w:rFonts w:ascii="Segoe UI" w:hAnsi="Segoe UI" w:cs="Segoe UI"/>
          <w:sz w:val="18"/>
          <w:szCs w:val="18"/>
        </w:rPr>
      </w:pPr>
      <w:r>
        <w:rPr>
          <w:rStyle w:val="normaltextrun"/>
          <w:rFonts w:cs="Calibri"/>
          <w:color w:val="000000"/>
        </w:rPr>
        <w:t xml:space="preserve">Whilst recognising that local laws and cultures differ considerably from one country to another, Itad works internationally, and therefore the Code of Conduct is developed from international standards. </w:t>
      </w:r>
      <w:r w:rsidR="00190702">
        <w:rPr>
          <w:rStyle w:val="normaltextrun"/>
          <w:rFonts w:cs="Calibri"/>
          <w:color w:val="000000"/>
        </w:rPr>
        <w:t xml:space="preserve">The evaluation team </w:t>
      </w:r>
      <w:r w:rsidR="00847C94">
        <w:rPr>
          <w:rStyle w:val="normaltextrun"/>
          <w:rFonts w:cs="Calibri"/>
          <w:color w:val="000000"/>
        </w:rPr>
        <w:t xml:space="preserve">is </w:t>
      </w:r>
      <w:r>
        <w:rPr>
          <w:rStyle w:val="normaltextrun"/>
          <w:rFonts w:cs="Calibri"/>
          <w:color w:val="000000"/>
        </w:rPr>
        <w:t>expected to act within local law as a minimum wherever they operate, except where the Code of Conduct is more stringent, in which case the Code applies.</w:t>
      </w:r>
      <w:r>
        <w:rPr>
          <w:rStyle w:val="eop"/>
          <w:rFonts w:cs="Calibri"/>
          <w:color w:val="000000"/>
        </w:rPr>
        <w:t> </w:t>
      </w:r>
    </w:p>
    <w:bookmarkEnd w:id="303"/>
    <w:p w14:paraId="01F31521" w14:textId="31111355" w:rsidR="00520DBB" w:rsidRDefault="0075181D" w:rsidP="00520DBB">
      <w:pPr>
        <w:pStyle w:val="ItadNormalText"/>
        <w:rPr>
          <w:rStyle w:val="normaltextrun"/>
          <w:b/>
          <w:bCs/>
          <w:color w:val="E37230" w:themeColor="accent2"/>
          <w:sz w:val="28"/>
          <w:szCs w:val="28"/>
        </w:rPr>
      </w:pPr>
      <w:r>
        <w:rPr>
          <w:rStyle w:val="normaltextrun"/>
          <w:b/>
          <w:bCs/>
          <w:color w:val="E37230" w:themeColor="accent2"/>
          <w:sz w:val="28"/>
          <w:szCs w:val="28"/>
        </w:rPr>
        <w:t>COVID-</w:t>
      </w:r>
      <w:r w:rsidR="00520DBB" w:rsidRPr="00006FBB">
        <w:rPr>
          <w:rStyle w:val="normaltextrun"/>
          <w:b/>
          <w:bCs/>
          <w:color w:val="E37230" w:themeColor="accent2"/>
          <w:sz w:val="28"/>
          <w:szCs w:val="28"/>
        </w:rPr>
        <w:t>19</w:t>
      </w:r>
    </w:p>
    <w:p w14:paraId="657E4E54" w14:textId="4BD6B0E7" w:rsidR="00520DBB" w:rsidRDefault="00520DBB" w:rsidP="00520DBB">
      <w:pPr>
        <w:pStyle w:val="FFNormal"/>
        <w:jc w:val="both"/>
        <w:rPr>
          <w:rStyle w:val="normaltextrun"/>
        </w:rPr>
      </w:pPr>
      <w:bookmarkStart w:id="308" w:name="_Hlk129522045"/>
      <w:r w:rsidRPr="00F87291">
        <w:rPr>
          <w:rStyle w:val="normaltextrun"/>
        </w:rPr>
        <w:t xml:space="preserve">Due to </w:t>
      </w:r>
      <w:r w:rsidR="0075181D">
        <w:rPr>
          <w:rStyle w:val="normaltextrun"/>
        </w:rPr>
        <w:t>COVID-</w:t>
      </w:r>
      <w:r w:rsidRPr="00F87291">
        <w:rPr>
          <w:rStyle w:val="normaltextrun"/>
        </w:rPr>
        <w:t xml:space="preserve">19, KIIs for the </w:t>
      </w:r>
      <w:r w:rsidR="00FC6A88" w:rsidRPr="00F87291">
        <w:rPr>
          <w:rStyle w:val="normaltextrun"/>
        </w:rPr>
        <w:t>summativ</w:t>
      </w:r>
      <w:r w:rsidRPr="00F87291">
        <w:rPr>
          <w:rStyle w:val="normaltextrun"/>
        </w:rPr>
        <w:t xml:space="preserve">e evaluation were a mix of remote and </w:t>
      </w:r>
      <w:r>
        <w:rPr>
          <w:rStyle w:val="normaltextrun"/>
        </w:rPr>
        <w:t>in</w:t>
      </w:r>
      <w:r w:rsidR="00FC6A88">
        <w:rPr>
          <w:rStyle w:val="normaltextrun"/>
        </w:rPr>
        <w:t>-</w:t>
      </w:r>
      <w:r>
        <w:rPr>
          <w:rStyle w:val="normaltextrun"/>
        </w:rPr>
        <w:t>person</w:t>
      </w:r>
      <w:r w:rsidRPr="00F87291">
        <w:rPr>
          <w:rStyle w:val="normaltextrun"/>
        </w:rPr>
        <w:t xml:space="preserve"> interviews. </w:t>
      </w:r>
      <w:r>
        <w:rPr>
          <w:rStyle w:val="normaltextrun"/>
        </w:rPr>
        <w:t xml:space="preserve">At all times, </w:t>
      </w:r>
      <w:r w:rsidRPr="004354B7">
        <w:rPr>
          <w:rStyle w:val="normaltextrun"/>
        </w:rPr>
        <w:t xml:space="preserve">national and local </w:t>
      </w:r>
      <w:r w:rsidR="0075181D">
        <w:rPr>
          <w:rStyle w:val="normaltextrun"/>
        </w:rPr>
        <w:t>COVID-</w:t>
      </w:r>
      <w:r w:rsidRPr="004354B7">
        <w:rPr>
          <w:rStyle w:val="normaltextrun"/>
        </w:rPr>
        <w:t xml:space="preserve">19 guidelines and regulations </w:t>
      </w:r>
      <w:r>
        <w:rPr>
          <w:rStyle w:val="normaltextrun"/>
        </w:rPr>
        <w:t xml:space="preserve">were </w:t>
      </w:r>
      <w:r w:rsidRPr="004354B7">
        <w:rPr>
          <w:rStyle w:val="normaltextrun"/>
        </w:rPr>
        <w:t>followed</w:t>
      </w:r>
      <w:r>
        <w:rPr>
          <w:rStyle w:val="normaltextrun"/>
        </w:rPr>
        <w:t xml:space="preserve"> by the evaluation team as were Itad’s duty </w:t>
      </w:r>
      <w:r w:rsidR="00FC6A88">
        <w:rPr>
          <w:rStyle w:val="normaltextrun"/>
        </w:rPr>
        <w:t xml:space="preserve">of </w:t>
      </w:r>
      <w:r>
        <w:rPr>
          <w:rStyle w:val="normaltextrun"/>
        </w:rPr>
        <w:t xml:space="preserve">care policies and our commitment to </w:t>
      </w:r>
      <w:r w:rsidRPr="00E81270">
        <w:rPr>
          <w:rFonts w:cstheme="minorHAnsi"/>
        </w:rPr>
        <w:t>uphold Itad’</w:t>
      </w:r>
      <w:r>
        <w:rPr>
          <w:rFonts w:cstheme="minorHAnsi"/>
        </w:rPr>
        <w:t>s</w:t>
      </w:r>
      <w:r w:rsidRPr="00E81270">
        <w:rPr>
          <w:rFonts w:cstheme="minorHAnsi"/>
        </w:rPr>
        <w:t xml:space="preserve"> ‘Do No Harm’ approach</w:t>
      </w:r>
      <w:r>
        <w:rPr>
          <w:rFonts w:cstheme="minorHAnsi"/>
        </w:rPr>
        <w:t>.</w:t>
      </w:r>
      <w:r>
        <w:rPr>
          <w:rStyle w:val="normaltextrun"/>
        </w:rPr>
        <w:t xml:space="preserve"> Where in-person interviews were possible, interviewees were offered a choice of in-person or remote</w:t>
      </w:r>
      <w:r w:rsidR="00196DBF">
        <w:rPr>
          <w:rStyle w:val="normaltextrun"/>
        </w:rPr>
        <w:t xml:space="preserve"> interviews</w:t>
      </w:r>
      <w:r>
        <w:rPr>
          <w:rStyle w:val="normaltextrun"/>
        </w:rPr>
        <w:t>. If a KII was conducted in</w:t>
      </w:r>
      <w:r w:rsidR="0009225B">
        <w:rPr>
          <w:rStyle w:val="normaltextrun"/>
        </w:rPr>
        <w:t xml:space="preserve"> </w:t>
      </w:r>
      <w:r>
        <w:rPr>
          <w:rStyle w:val="normaltextrun"/>
        </w:rPr>
        <w:t>person a risk assessment was complete</w:t>
      </w:r>
      <w:r w:rsidR="00FC6A88">
        <w:rPr>
          <w:rStyle w:val="normaltextrun"/>
        </w:rPr>
        <w:t>d</w:t>
      </w:r>
      <w:r>
        <w:rPr>
          <w:rStyle w:val="normaltextrun"/>
        </w:rPr>
        <w:t xml:space="preserve"> with Itad’s</w:t>
      </w:r>
      <w:r w:rsidR="007458AC">
        <w:rPr>
          <w:rStyle w:val="normaltextrun"/>
        </w:rPr>
        <w:t xml:space="preserve"> </w:t>
      </w:r>
      <w:r w:rsidRPr="003D482B">
        <w:rPr>
          <w:rStyle w:val="normaltextrun"/>
        </w:rPr>
        <w:t xml:space="preserve">travel and security team </w:t>
      </w:r>
      <w:r>
        <w:rPr>
          <w:rStyle w:val="normaltextrun"/>
        </w:rPr>
        <w:t>and steps were taken to reduce the risk of transmission, these included guidance on conducting KIIs in open spaces where possible, maintaining distance where possible and the wearing of p</w:t>
      </w:r>
      <w:r w:rsidRPr="00593BA3">
        <w:rPr>
          <w:rStyle w:val="normaltextrun"/>
        </w:rPr>
        <w:t>ersonal protective equipment</w:t>
      </w:r>
      <w:r>
        <w:rPr>
          <w:rStyle w:val="normaltextrun"/>
        </w:rPr>
        <w:t xml:space="preserve">. </w:t>
      </w:r>
    </w:p>
    <w:p w14:paraId="60AA40D4" w14:textId="77777777" w:rsidR="00520DBB" w:rsidRDefault="00520DBB" w:rsidP="00520DBB">
      <w:pPr>
        <w:pStyle w:val="ItadNormalText"/>
      </w:pPr>
      <w:r w:rsidRPr="00235C96">
        <w:rPr>
          <w:b/>
          <w:bCs/>
          <w:color w:val="E37230" w:themeColor="accent2"/>
          <w:sz w:val="28"/>
          <w:szCs w:val="28"/>
        </w:rPr>
        <w:t>Ensuring independence and managing conflict of interest</w:t>
      </w:r>
    </w:p>
    <w:p w14:paraId="7E85F182" w14:textId="6258D1BC" w:rsidR="00520DBB" w:rsidRPr="00D40182" w:rsidRDefault="00520DBB" w:rsidP="00520DBB">
      <w:pPr>
        <w:jc w:val="both"/>
        <w:rPr>
          <w:b/>
        </w:rPr>
      </w:pPr>
      <w:r w:rsidRPr="00F67C33">
        <w:t xml:space="preserve">In </w:t>
      </w:r>
      <w:r w:rsidRPr="00BD2C6A">
        <w:t xml:space="preserve">Annex </w:t>
      </w:r>
      <w:r w:rsidR="008502BF" w:rsidRPr="00BD2C6A">
        <w:t>1</w:t>
      </w:r>
      <w:r w:rsidR="00CF22D5">
        <w:t>4</w:t>
      </w:r>
      <w:r w:rsidR="00FC6A88">
        <w:t>,</w:t>
      </w:r>
      <w:r w:rsidRPr="00F67C33">
        <w:t xml:space="preserve"> we highlight </w:t>
      </w:r>
      <w:r w:rsidRPr="00F67C33">
        <w:rPr>
          <w:rFonts w:cs="Calibri"/>
        </w:rPr>
        <w:t xml:space="preserve">that our organisational structure and accountabilities and responsibilities are designed to promote </w:t>
      </w:r>
      <w:r w:rsidRPr="00F67C33">
        <w:rPr>
          <w:rFonts w:cs="Calibri"/>
          <w:i/>
        </w:rPr>
        <w:t>inter alia</w:t>
      </w:r>
      <w:r>
        <w:rPr>
          <w:rFonts w:cs="Calibri"/>
        </w:rPr>
        <w:t xml:space="preserve"> </w:t>
      </w:r>
      <w:r w:rsidRPr="00F67C33">
        <w:rPr>
          <w:rFonts w:cs="Calibri"/>
        </w:rPr>
        <w:t>the independence of the evaluation.</w:t>
      </w:r>
      <w:r w:rsidRPr="006558DB">
        <w:t xml:space="preserve"> </w:t>
      </w:r>
      <w:r>
        <w:rPr>
          <w:rFonts w:cs="Calibri"/>
        </w:rPr>
        <w:t>Here we provide further detail on our approach</w:t>
      </w:r>
      <w:r w:rsidR="00F23D72">
        <w:rPr>
          <w:rFonts w:cs="Calibri"/>
        </w:rPr>
        <w:t>es</w:t>
      </w:r>
      <w:r>
        <w:rPr>
          <w:rFonts w:cs="Calibri"/>
        </w:rPr>
        <w:t xml:space="preserve"> to </w:t>
      </w:r>
      <w:r w:rsidR="00F23D72">
        <w:rPr>
          <w:rFonts w:cs="Calibri"/>
        </w:rPr>
        <w:t xml:space="preserve">ensuring </w:t>
      </w:r>
      <w:r>
        <w:rPr>
          <w:rFonts w:cs="Calibri"/>
        </w:rPr>
        <w:t xml:space="preserve">independence, and managing </w:t>
      </w:r>
      <w:r w:rsidR="006C1E82">
        <w:rPr>
          <w:rFonts w:cs="Calibri"/>
        </w:rPr>
        <w:t>C</w:t>
      </w:r>
      <w:r w:rsidR="00665252">
        <w:rPr>
          <w:rFonts w:cs="Calibri"/>
        </w:rPr>
        <w:t>o</w:t>
      </w:r>
      <w:r w:rsidR="006C1E82">
        <w:rPr>
          <w:rFonts w:cs="Calibri"/>
        </w:rPr>
        <w:t>I</w:t>
      </w:r>
      <w:r w:rsidR="00F23D72">
        <w:rPr>
          <w:rFonts w:cs="Calibri"/>
        </w:rPr>
        <w:t>s</w:t>
      </w:r>
      <w:r>
        <w:rPr>
          <w:rFonts w:cs="Calibri"/>
        </w:rPr>
        <w:t>.</w:t>
      </w:r>
    </w:p>
    <w:p w14:paraId="738F0907" w14:textId="77777777" w:rsidR="00520DBB" w:rsidRDefault="00520DBB" w:rsidP="00520DBB">
      <w:pPr>
        <w:pStyle w:val="BodyText1"/>
        <w:spacing w:after="0" w:line="276" w:lineRule="auto"/>
        <w:rPr>
          <w:rFonts w:ascii="Calibri" w:hAnsi="Calibri" w:cs="Calibri"/>
          <w:sz w:val="22"/>
          <w:szCs w:val="22"/>
          <w:lang w:val="en-GB"/>
        </w:rPr>
      </w:pPr>
      <w:r w:rsidRPr="006558DB">
        <w:rPr>
          <w:rFonts w:ascii="Calibri" w:hAnsi="Calibri" w:cs="Calibri"/>
          <w:sz w:val="22"/>
          <w:szCs w:val="22"/>
          <w:lang w:val="en-GB"/>
        </w:rPr>
        <w:t>Organisational independence ensures that the evaluators are not under the influence or control of those who have decision-making responsibility for the activities being evaluated</w:t>
      </w:r>
      <w:r>
        <w:rPr>
          <w:rFonts w:ascii="Calibri" w:hAnsi="Calibri" w:cs="Calibri"/>
          <w:sz w:val="22"/>
          <w:szCs w:val="22"/>
          <w:lang w:val="en-GB"/>
        </w:rPr>
        <w:t>,</w:t>
      </w:r>
      <w:r w:rsidRPr="006558DB">
        <w:rPr>
          <w:rFonts w:ascii="Calibri" w:hAnsi="Calibri" w:cs="Calibri"/>
          <w:sz w:val="22"/>
          <w:szCs w:val="22"/>
          <w:lang w:val="en-GB"/>
        </w:rPr>
        <w:t xml:space="preserve"> and that evaluators have full access to the information they need to fulfil their mandate. This evaluation design includes:</w:t>
      </w:r>
    </w:p>
    <w:p w14:paraId="0CA39051" w14:textId="5774A87B" w:rsidR="00520DBB" w:rsidRPr="006558DB" w:rsidRDefault="00520DBB" w:rsidP="00C6374D">
      <w:pPr>
        <w:pStyle w:val="ListBullet11"/>
        <w:numPr>
          <w:ilvl w:val="0"/>
          <w:numId w:val="69"/>
        </w:numPr>
        <w:rPr>
          <w:rFonts w:ascii="Calibri" w:hAnsi="Calibri" w:cs="Calibri"/>
          <w:szCs w:val="22"/>
        </w:rPr>
      </w:pPr>
      <w:r w:rsidRPr="006558DB">
        <w:rPr>
          <w:rFonts w:ascii="Calibri" w:hAnsi="Calibri" w:cs="Calibri"/>
          <w:szCs w:val="22"/>
        </w:rPr>
        <w:t>Ensuring the evaluators ha</w:t>
      </w:r>
      <w:r w:rsidR="00FC2B98">
        <w:rPr>
          <w:rFonts w:ascii="Calibri" w:hAnsi="Calibri" w:cs="Calibri"/>
          <w:szCs w:val="22"/>
        </w:rPr>
        <w:t>d</w:t>
      </w:r>
      <w:r w:rsidRPr="006558DB">
        <w:rPr>
          <w:rFonts w:ascii="Calibri" w:hAnsi="Calibri" w:cs="Calibri"/>
          <w:szCs w:val="22"/>
        </w:rPr>
        <w:t xml:space="preserve"> clear and frequent reporting line</w:t>
      </w:r>
      <w:r w:rsidR="00F23D72">
        <w:rPr>
          <w:rFonts w:ascii="Calibri" w:hAnsi="Calibri" w:cs="Calibri"/>
          <w:szCs w:val="22"/>
        </w:rPr>
        <w:t>s</w:t>
      </w:r>
      <w:r w:rsidRPr="006558DB">
        <w:rPr>
          <w:rFonts w:ascii="Calibri" w:hAnsi="Calibri" w:cs="Calibri"/>
          <w:szCs w:val="22"/>
        </w:rPr>
        <w:t xml:space="preserve"> directly to the relevant </w:t>
      </w:r>
      <w:r>
        <w:rPr>
          <w:rFonts w:ascii="Calibri" w:hAnsi="Calibri" w:cs="Calibri"/>
          <w:szCs w:val="22"/>
        </w:rPr>
        <w:t>DHSC Fleming Fund Project Team members</w:t>
      </w:r>
      <w:r w:rsidRPr="006558DB">
        <w:rPr>
          <w:rFonts w:ascii="Calibri" w:hAnsi="Calibri" w:cs="Calibri"/>
          <w:szCs w:val="22"/>
        </w:rPr>
        <w:t>.</w:t>
      </w:r>
    </w:p>
    <w:p w14:paraId="79E42121" w14:textId="7315D88B" w:rsidR="00520DBB" w:rsidRPr="006558DB" w:rsidRDefault="00520DBB" w:rsidP="00C6374D">
      <w:pPr>
        <w:pStyle w:val="ListBullet11"/>
        <w:numPr>
          <w:ilvl w:val="0"/>
          <w:numId w:val="69"/>
        </w:numPr>
        <w:rPr>
          <w:rFonts w:ascii="Calibri" w:hAnsi="Calibri" w:cs="Calibri"/>
          <w:szCs w:val="22"/>
        </w:rPr>
      </w:pPr>
      <w:r w:rsidRPr="006558DB">
        <w:rPr>
          <w:rFonts w:ascii="Calibri" w:hAnsi="Calibri" w:cs="Calibri"/>
          <w:szCs w:val="22"/>
        </w:rPr>
        <w:t xml:space="preserve">Ensuring that </w:t>
      </w:r>
      <w:r w:rsidR="00FC6A88">
        <w:rPr>
          <w:rFonts w:ascii="Calibri" w:hAnsi="Calibri" w:cs="Calibri"/>
          <w:szCs w:val="22"/>
        </w:rPr>
        <w:t xml:space="preserve">the </w:t>
      </w:r>
      <w:r w:rsidRPr="006558DB">
        <w:rPr>
          <w:rFonts w:ascii="Calibri" w:hAnsi="Calibri" w:cs="Calibri"/>
          <w:szCs w:val="22"/>
        </w:rPr>
        <w:t xml:space="preserve">design and programming of evaluation activities </w:t>
      </w:r>
      <w:r w:rsidR="00FC2B98">
        <w:rPr>
          <w:rFonts w:ascii="Calibri" w:hAnsi="Calibri" w:cs="Calibri"/>
          <w:szCs w:val="22"/>
        </w:rPr>
        <w:t>were</w:t>
      </w:r>
      <w:r w:rsidRPr="006558DB">
        <w:rPr>
          <w:rFonts w:ascii="Calibri" w:hAnsi="Calibri" w:cs="Calibri"/>
          <w:szCs w:val="22"/>
        </w:rPr>
        <w:t xml:space="preserve"> kept distinct from management interference or budget restrictions.</w:t>
      </w:r>
    </w:p>
    <w:p w14:paraId="3FD7E78C" w14:textId="2DF63ABF" w:rsidR="00520DBB" w:rsidRPr="006558DB" w:rsidRDefault="00520DBB" w:rsidP="00C6374D">
      <w:pPr>
        <w:pStyle w:val="Listbulletfinal"/>
        <w:numPr>
          <w:ilvl w:val="0"/>
          <w:numId w:val="69"/>
        </w:numPr>
        <w:rPr>
          <w:rFonts w:ascii="Calibri" w:hAnsi="Calibri" w:cs="Calibri"/>
          <w:szCs w:val="22"/>
          <w:lang w:val="en-GB"/>
        </w:rPr>
      </w:pPr>
      <w:r w:rsidRPr="006558DB">
        <w:rPr>
          <w:rFonts w:ascii="Calibri" w:hAnsi="Calibri" w:cs="Calibri"/>
          <w:szCs w:val="22"/>
          <w:lang w:val="en-GB"/>
        </w:rPr>
        <w:t>Liais</w:t>
      </w:r>
      <w:r>
        <w:rPr>
          <w:rFonts w:ascii="Calibri" w:hAnsi="Calibri" w:cs="Calibri"/>
          <w:szCs w:val="22"/>
          <w:lang w:val="en-GB"/>
        </w:rPr>
        <w:t>ing</w:t>
      </w:r>
      <w:r w:rsidRPr="006558DB">
        <w:rPr>
          <w:rFonts w:ascii="Calibri" w:hAnsi="Calibri" w:cs="Calibri"/>
          <w:szCs w:val="22"/>
          <w:lang w:val="en-GB"/>
        </w:rPr>
        <w:t xml:space="preserve"> with the Itad Project Management </w:t>
      </w:r>
      <w:r w:rsidR="00742E6E">
        <w:rPr>
          <w:rFonts w:ascii="Calibri" w:hAnsi="Calibri" w:cs="Calibri"/>
          <w:szCs w:val="22"/>
          <w:lang w:val="en-GB"/>
        </w:rPr>
        <w:t>and</w:t>
      </w:r>
      <w:r w:rsidRPr="006558DB">
        <w:rPr>
          <w:rFonts w:ascii="Calibri" w:hAnsi="Calibri" w:cs="Calibri"/>
          <w:szCs w:val="22"/>
          <w:lang w:val="en-GB"/>
        </w:rPr>
        <w:t xml:space="preserve"> </w:t>
      </w:r>
      <w:r w:rsidR="00B25D09">
        <w:rPr>
          <w:rFonts w:ascii="Calibri" w:hAnsi="Calibri" w:cs="Calibri"/>
          <w:szCs w:val="22"/>
          <w:lang w:val="en-GB"/>
        </w:rPr>
        <w:t>QA</w:t>
      </w:r>
      <w:r w:rsidRPr="006558DB">
        <w:rPr>
          <w:rFonts w:ascii="Calibri" w:hAnsi="Calibri" w:cs="Calibri"/>
          <w:szCs w:val="22"/>
          <w:lang w:val="en-GB"/>
        </w:rPr>
        <w:t xml:space="preserve"> Team, which can independently verify that there </w:t>
      </w:r>
      <w:r w:rsidR="00FC2B98">
        <w:rPr>
          <w:rFonts w:ascii="Calibri" w:hAnsi="Calibri" w:cs="Calibri"/>
          <w:szCs w:val="22"/>
          <w:lang w:val="en-GB"/>
        </w:rPr>
        <w:t>wer</w:t>
      </w:r>
      <w:r w:rsidRPr="006558DB">
        <w:rPr>
          <w:rFonts w:ascii="Calibri" w:hAnsi="Calibri" w:cs="Calibri"/>
          <w:szCs w:val="22"/>
          <w:lang w:val="en-GB"/>
        </w:rPr>
        <w:t>e adequate resources to conduct the evaluation to a high standard.</w:t>
      </w:r>
    </w:p>
    <w:p w14:paraId="58DAC9BD" w14:textId="33F6B237" w:rsidR="00520DBB" w:rsidRPr="006558DB" w:rsidRDefault="00520DBB" w:rsidP="00520DBB">
      <w:pPr>
        <w:pStyle w:val="BodyText1"/>
        <w:rPr>
          <w:rFonts w:ascii="Calibri" w:hAnsi="Calibri" w:cs="Calibri"/>
          <w:sz w:val="22"/>
          <w:szCs w:val="22"/>
          <w:lang w:val="en-GB"/>
        </w:rPr>
      </w:pPr>
      <w:r w:rsidRPr="006558DB">
        <w:rPr>
          <w:rFonts w:ascii="Calibri" w:hAnsi="Calibri" w:cs="Calibri"/>
          <w:sz w:val="22"/>
          <w:szCs w:val="22"/>
          <w:lang w:val="en-GB"/>
        </w:rPr>
        <w:t>Behavioural independence relates to the ability of the individual evaluators to issue candid, uncompromising</w:t>
      </w:r>
      <w:r w:rsidR="00F23D72">
        <w:rPr>
          <w:rFonts w:ascii="Calibri" w:hAnsi="Calibri" w:cs="Calibri"/>
          <w:sz w:val="22"/>
          <w:szCs w:val="22"/>
          <w:lang w:val="en-GB"/>
        </w:rPr>
        <w:t>,</w:t>
      </w:r>
      <w:r w:rsidRPr="006558DB">
        <w:rPr>
          <w:rFonts w:ascii="Calibri" w:hAnsi="Calibri" w:cs="Calibri"/>
          <w:sz w:val="22"/>
          <w:szCs w:val="22"/>
          <w:lang w:val="en-GB"/>
        </w:rPr>
        <w:t xml:space="preserve"> and high-quality reports, and report their findings to the highest levels without </w:t>
      </w:r>
      <w:r w:rsidR="00FC6A88" w:rsidRPr="006558DB">
        <w:rPr>
          <w:rFonts w:ascii="Calibri" w:hAnsi="Calibri" w:cs="Calibri"/>
          <w:sz w:val="22"/>
          <w:szCs w:val="22"/>
          <w:lang w:val="en-GB"/>
        </w:rPr>
        <w:t>management-imposed</w:t>
      </w:r>
      <w:r w:rsidRPr="006558DB">
        <w:rPr>
          <w:rFonts w:ascii="Calibri" w:hAnsi="Calibri" w:cs="Calibri"/>
          <w:sz w:val="22"/>
          <w:szCs w:val="22"/>
          <w:lang w:val="en-GB"/>
        </w:rPr>
        <w:t xml:space="preserve"> restrictions. The approach to guaranteeing behavioural independence include</w:t>
      </w:r>
      <w:r w:rsidR="00C204EC">
        <w:rPr>
          <w:rFonts w:ascii="Calibri" w:hAnsi="Calibri" w:cs="Calibri"/>
          <w:sz w:val="22"/>
          <w:szCs w:val="22"/>
          <w:lang w:val="en-GB"/>
        </w:rPr>
        <w:t>d</w:t>
      </w:r>
      <w:r w:rsidRPr="006558DB">
        <w:rPr>
          <w:rFonts w:ascii="Calibri" w:hAnsi="Calibri" w:cs="Calibri"/>
          <w:sz w:val="22"/>
          <w:szCs w:val="22"/>
          <w:lang w:val="en-GB"/>
        </w:rPr>
        <w:t>:</w:t>
      </w:r>
    </w:p>
    <w:p w14:paraId="5C7A365E" w14:textId="6EF43EB3" w:rsidR="00520DBB" w:rsidRPr="006558DB" w:rsidRDefault="00520DBB" w:rsidP="00C6374D">
      <w:pPr>
        <w:pStyle w:val="ListBullet11"/>
        <w:numPr>
          <w:ilvl w:val="0"/>
          <w:numId w:val="68"/>
        </w:numPr>
        <w:rPr>
          <w:rFonts w:ascii="Calibri" w:hAnsi="Calibri" w:cs="Calibri"/>
          <w:szCs w:val="22"/>
        </w:rPr>
      </w:pPr>
      <w:r w:rsidRPr="006558DB">
        <w:rPr>
          <w:rFonts w:ascii="Calibri" w:hAnsi="Calibri" w:cs="Calibri"/>
          <w:szCs w:val="22"/>
        </w:rPr>
        <w:t xml:space="preserve">Ensuring the Team Leader and other senior evaluators </w:t>
      </w:r>
      <w:r w:rsidR="00C204EC">
        <w:rPr>
          <w:rFonts w:ascii="Calibri" w:hAnsi="Calibri" w:cs="Calibri"/>
          <w:szCs w:val="22"/>
        </w:rPr>
        <w:t>were</w:t>
      </w:r>
      <w:r w:rsidRPr="006558DB">
        <w:rPr>
          <w:rFonts w:ascii="Calibri" w:hAnsi="Calibri" w:cs="Calibri"/>
          <w:szCs w:val="22"/>
        </w:rPr>
        <w:t xml:space="preserve"> of an appropriate grade and title.</w:t>
      </w:r>
      <w:r w:rsidR="007458AC">
        <w:rPr>
          <w:rFonts w:ascii="Calibri" w:hAnsi="Calibri" w:cs="Calibri"/>
          <w:szCs w:val="22"/>
        </w:rPr>
        <w:t xml:space="preserve"> </w:t>
      </w:r>
      <w:r w:rsidRPr="006558DB">
        <w:rPr>
          <w:rFonts w:ascii="Calibri" w:hAnsi="Calibri" w:cs="Calibri"/>
          <w:szCs w:val="22"/>
        </w:rPr>
        <w:t xml:space="preserve">We selected the team carefully to ensure they </w:t>
      </w:r>
      <w:r w:rsidR="00C204EC">
        <w:rPr>
          <w:rFonts w:ascii="Calibri" w:hAnsi="Calibri" w:cs="Calibri"/>
          <w:szCs w:val="22"/>
        </w:rPr>
        <w:t>had</w:t>
      </w:r>
      <w:r w:rsidRPr="006558DB">
        <w:rPr>
          <w:rFonts w:ascii="Calibri" w:hAnsi="Calibri" w:cs="Calibri"/>
          <w:szCs w:val="22"/>
        </w:rPr>
        <w:t xml:space="preserve"> appropriate experience and seniority; </w:t>
      </w:r>
      <w:r w:rsidRPr="0016016F">
        <w:rPr>
          <w:rFonts w:ascii="Calibri" w:hAnsi="Calibri" w:cs="Calibri"/>
          <w:szCs w:val="22"/>
        </w:rPr>
        <w:t xml:space="preserve">CVs for all team members </w:t>
      </w:r>
      <w:r>
        <w:rPr>
          <w:rFonts w:ascii="Calibri" w:hAnsi="Calibri" w:cs="Calibri"/>
          <w:szCs w:val="22"/>
        </w:rPr>
        <w:t>were shared within the inception report and the CVs of additional team members were made available</w:t>
      </w:r>
      <w:r w:rsidRPr="006558DB">
        <w:rPr>
          <w:rFonts w:ascii="Calibri" w:hAnsi="Calibri" w:cs="Calibri"/>
          <w:szCs w:val="22"/>
        </w:rPr>
        <w:t>.</w:t>
      </w:r>
      <w:r w:rsidR="007458AC">
        <w:rPr>
          <w:rFonts w:ascii="Calibri" w:hAnsi="Calibri" w:cs="Calibri"/>
          <w:szCs w:val="22"/>
        </w:rPr>
        <w:t xml:space="preserve"> </w:t>
      </w:r>
      <w:r w:rsidRPr="006558DB">
        <w:rPr>
          <w:rFonts w:ascii="Calibri" w:hAnsi="Calibri" w:cs="Calibri"/>
          <w:szCs w:val="22"/>
        </w:rPr>
        <w:t xml:space="preserve">Any junior staff involved in </w:t>
      </w:r>
      <w:r w:rsidR="00FC6A88">
        <w:rPr>
          <w:rFonts w:ascii="Calibri" w:hAnsi="Calibri" w:cs="Calibri"/>
          <w:szCs w:val="22"/>
        </w:rPr>
        <w:t xml:space="preserve">the </w:t>
      </w:r>
      <w:r w:rsidRPr="006558DB">
        <w:rPr>
          <w:rFonts w:ascii="Calibri" w:hAnsi="Calibri" w:cs="Calibri"/>
          <w:szCs w:val="22"/>
        </w:rPr>
        <w:t xml:space="preserve">fieldwork </w:t>
      </w:r>
      <w:r w:rsidR="00C204EC">
        <w:rPr>
          <w:rFonts w:ascii="Calibri" w:hAnsi="Calibri" w:cs="Calibri"/>
          <w:szCs w:val="22"/>
        </w:rPr>
        <w:t>were</w:t>
      </w:r>
      <w:r w:rsidRPr="006558DB">
        <w:rPr>
          <w:rFonts w:ascii="Calibri" w:hAnsi="Calibri" w:cs="Calibri"/>
          <w:szCs w:val="22"/>
        </w:rPr>
        <w:t xml:space="preserve"> specifically briefed on ensuring </w:t>
      </w:r>
      <w:r w:rsidR="00196DBF" w:rsidRPr="006558DB">
        <w:rPr>
          <w:rFonts w:ascii="Calibri" w:hAnsi="Calibri" w:cs="Calibri"/>
          <w:szCs w:val="22"/>
        </w:rPr>
        <w:t>independence</w:t>
      </w:r>
      <w:r w:rsidR="00196DBF">
        <w:rPr>
          <w:rFonts w:ascii="Calibri" w:hAnsi="Calibri" w:cs="Calibri"/>
          <w:szCs w:val="22"/>
        </w:rPr>
        <w:t xml:space="preserve"> or</w:t>
      </w:r>
      <w:r w:rsidRPr="006558DB">
        <w:rPr>
          <w:rFonts w:ascii="Calibri" w:hAnsi="Calibri" w:cs="Calibri"/>
          <w:szCs w:val="22"/>
        </w:rPr>
        <w:t xml:space="preserve"> accompanied by a more experienced evaluator.</w:t>
      </w:r>
    </w:p>
    <w:p w14:paraId="5784A4C4" w14:textId="77777777" w:rsidR="00520DBB" w:rsidRPr="006558DB" w:rsidRDefault="00520DBB" w:rsidP="00C6374D">
      <w:pPr>
        <w:pStyle w:val="ListBullet11"/>
        <w:numPr>
          <w:ilvl w:val="0"/>
          <w:numId w:val="68"/>
        </w:numPr>
        <w:rPr>
          <w:rFonts w:ascii="Calibri" w:hAnsi="Calibri" w:cs="Calibri"/>
          <w:szCs w:val="22"/>
        </w:rPr>
      </w:pPr>
      <w:r w:rsidRPr="006558DB">
        <w:rPr>
          <w:rFonts w:ascii="Calibri" w:hAnsi="Calibri" w:cs="Calibri"/>
          <w:szCs w:val="22"/>
        </w:rPr>
        <w:t>Focusing the evaluation on issues of materiality that have substantial relevance to the evaluation and development effectiveness.</w:t>
      </w:r>
    </w:p>
    <w:p w14:paraId="16B1CD45" w14:textId="5E9D433F" w:rsidR="00520DBB" w:rsidRPr="006558DB" w:rsidRDefault="00520DBB" w:rsidP="00C6374D">
      <w:pPr>
        <w:pStyle w:val="ListBullet11"/>
        <w:numPr>
          <w:ilvl w:val="0"/>
          <w:numId w:val="68"/>
        </w:numPr>
        <w:rPr>
          <w:rFonts w:ascii="Calibri" w:hAnsi="Calibri" w:cs="Calibri"/>
          <w:szCs w:val="22"/>
        </w:rPr>
      </w:pPr>
      <w:r w:rsidRPr="006558DB">
        <w:rPr>
          <w:rFonts w:ascii="Calibri" w:hAnsi="Calibri" w:cs="Calibri"/>
          <w:szCs w:val="22"/>
        </w:rPr>
        <w:t xml:space="preserve">Recording and reporting any instances where the evaluators </w:t>
      </w:r>
      <w:r w:rsidR="00C204EC">
        <w:rPr>
          <w:rFonts w:ascii="Calibri" w:hAnsi="Calibri" w:cs="Calibri"/>
          <w:szCs w:val="22"/>
        </w:rPr>
        <w:t xml:space="preserve">were </w:t>
      </w:r>
      <w:r w:rsidRPr="006558DB">
        <w:rPr>
          <w:rFonts w:ascii="Calibri" w:hAnsi="Calibri" w:cs="Calibri"/>
          <w:szCs w:val="22"/>
        </w:rPr>
        <w:t>denied unrestricted access to staff and records.</w:t>
      </w:r>
    </w:p>
    <w:p w14:paraId="3E1C9048" w14:textId="77777777" w:rsidR="00520DBB" w:rsidRPr="006558DB" w:rsidRDefault="00520DBB" w:rsidP="00C6374D">
      <w:pPr>
        <w:pStyle w:val="Listbulletfinal"/>
        <w:numPr>
          <w:ilvl w:val="0"/>
          <w:numId w:val="68"/>
        </w:numPr>
        <w:rPr>
          <w:rFonts w:ascii="Calibri" w:hAnsi="Calibri" w:cs="Calibri"/>
          <w:szCs w:val="22"/>
          <w:lang w:val="en-GB"/>
        </w:rPr>
      </w:pPr>
      <w:r w:rsidRPr="006558DB">
        <w:rPr>
          <w:rFonts w:ascii="Calibri" w:hAnsi="Calibri" w:cs="Calibri"/>
          <w:szCs w:val="22"/>
          <w:lang w:val="en-GB"/>
        </w:rPr>
        <w:t>Having clear ethical guidelines for staff that set out the importance of evidence-based judgements and conclusions.</w:t>
      </w:r>
    </w:p>
    <w:p w14:paraId="68D7E72E" w14:textId="177DA31C" w:rsidR="00520DBB" w:rsidRPr="006558DB" w:rsidRDefault="00520DBB" w:rsidP="00520DBB">
      <w:pPr>
        <w:pStyle w:val="BodyText1"/>
        <w:rPr>
          <w:rFonts w:ascii="Calibri" w:hAnsi="Calibri" w:cs="Calibri"/>
          <w:sz w:val="22"/>
          <w:szCs w:val="22"/>
          <w:lang w:val="en-GB"/>
        </w:rPr>
      </w:pPr>
      <w:r w:rsidRPr="006558DB">
        <w:rPr>
          <w:rFonts w:ascii="Calibri" w:hAnsi="Calibri" w:cs="Calibri"/>
          <w:sz w:val="22"/>
          <w:szCs w:val="22"/>
          <w:lang w:val="en-GB"/>
        </w:rPr>
        <w:t xml:space="preserve">Protection from outside interference </w:t>
      </w:r>
      <w:r w:rsidR="00C204EC">
        <w:rPr>
          <w:rFonts w:ascii="Calibri" w:hAnsi="Calibri" w:cs="Calibri"/>
          <w:sz w:val="22"/>
          <w:szCs w:val="22"/>
          <w:lang w:val="en-GB"/>
        </w:rPr>
        <w:t>was</w:t>
      </w:r>
      <w:r w:rsidRPr="006558DB">
        <w:rPr>
          <w:rFonts w:ascii="Calibri" w:hAnsi="Calibri" w:cs="Calibri"/>
          <w:sz w:val="22"/>
          <w:szCs w:val="22"/>
          <w:lang w:val="en-GB"/>
        </w:rPr>
        <w:t xml:space="preserve"> facilitated by organisational independence and relates to managing all stakeholder relationships to ensure the independence of the evaluation. The approach to mitigating outside influence include</w:t>
      </w:r>
      <w:r w:rsidR="00C204EC">
        <w:rPr>
          <w:rFonts w:ascii="Calibri" w:hAnsi="Calibri" w:cs="Calibri"/>
          <w:sz w:val="22"/>
          <w:szCs w:val="22"/>
          <w:lang w:val="en-GB"/>
        </w:rPr>
        <w:t>d</w:t>
      </w:r>
      <w:r w:rsidRPr="006558DB">
        <w:rPr>
          <w:rFonts w:ascii="Calibri" w:hAnsi="Calibri" w:cs="Calibri"/>
          <w:sz w:val="22"/>
          <w:szCs w:val="22"/>
          <w:lang w:val="en-GB"/>
        </w:rPr>
        <w:t xml:space="preserve"> the following:</w:t>
      </w:r>
    </w:p>
    <w:p w14:paraId="3DCCC56C" w14:textId="42D85740" w:rsidR="00520DBB" w:rsidRPr="006558DB" w:rsidRDefault="00520DBB" w:rsidP="00C6374D">
      <w:pPr>
        <w:pStyle w:val="ListBullet11"/>
        <w:numPr>
          <w:ilvl w:val="0"/>
          <w:numId w:val="68"/>
        </w:numPr>
        <w:rPr>
          <w:rFonts w:ascii="Calibri" w:hAnsi="Calibri" w:cs="Calibri"/>
          <w:szCs w:val="22"/>
        </w:rPr>
      </w:pPr>
      <w:r w:rsidRPr="006558DB">
        <w:rPr>
          <w:rFonts w:ascii="Calibri" w:hAnsi="Calibri" w:cs="Calibri"/>
          <w:szCs w:val="22"/>
        </w:rPr>
        <w:t>Ensuring that all key stakeholders ha</w:t>
      </w:r>
      <w:r w:rsidR="00C204EC">
        <w:rPr>
          <w:rFonts w:ascii="Calibri" w:hAnsi="Calibri" w:cs="Calibri"/>
          <w:szCs w:val="22"/>
        </w:rPr>
        <w:t>d</w:t>
      </w:r>
      <w:r w:rsidRPr="006558DB">
        <w:rPr>
          <w:rFonts w:ascii="Calibri" w:hAnsi="Calibri" w:cs="Calibri"/>
          <w:szCs w:val="22"/>
        </w:rPr>
        <w:t xml:space="preserve"> an opportunity to comment on drafts and material relating directly to their activities and record their disagreements or comments if relevant.</w:t>
      </w:r>
    </w:p>
    <w:p w14:paraId="73BEA7C8" w14:textId="54F50548" w:rsidR="00520DBB" w:rsidRPr="006558DB" w:rsidRDefault="00520DBB" w:rsidP="00C6374D">
      <w:pPr>
        <w:pStyle w:val="ListBullet11"/>
        <w:numPr>
          <w:ilvl w:val="0"/>
          <w:numId w:val="68"/>
        </w:numPr>
        <w:rPr>
          <w:rFonts w:ascii="Calibri" w:hAnsi="Calibri" w:cs="Calibri"/>
          <w:szCs w:val="22"/>
        </w:rPr>
      </w:pPr>
      <w:r w:rsidRPr="006558DB">
        <w:rPr>
          <w:rFonts w:ascii="Calibri" w:hAnsi="Calibri" w:cs="Calibri"/>
          <w:szCs w:val="22"/>
        </w:rPr>
        <w:t xml:space="preserve">Reporting significant delays if it </w:t>
      </w:r>
      <w:r w:rsidR="00C204EC">
        <w:rPr>
          <w:rFonts w:ascii="Calibri" w:hAnsi="Calibri" w:cs="Calibri"/>
          <w:szCs w:val="22"/>
        </w:rPr>
        <w:t>was</w:t>
      </w:r>
      <w:r w:rsidRPr="006558DB">
        <w:rPr>
          <w:rFonts w:ascii="Calibri" w:hAnsi="Calibri" w:cs="Calibri"/>
          <w:szCs w:val="22"/>
        </w:rPr>
        <w:t xml:space="preserve"> suspected that they are intended to deliberately hinder the evaluation.</w:t>
      </w:r>
    </w:p>
    <w:p w14:paraId="7437A4E8" w14:textId="02973E6D" w:rsidR="00520DBB" w:rsidRPr="006558DB" w:rsidRDefault="00520DBB" w:rsidP="00C6374D">
      <w:pPr>
        <w:pStyle w:val="ListBullet11"/>
        <w:numPr>
          <w:ilvl w:val="0"/>
          <w:numId w:val="68"/>
        </w:numPr>
        <w:rPr>
          <w:rFonts w:ascii="Calibri" w:hAnsi="Calibri" w:cs="Calibri"/>
          <w:szCs w:val="22"/>
        </w:rPr>
      </w:pPr>
      <w:r w:rsidRPr="006558DB">
        <w:rPr>
          <w:rFonts w:ascii="Calibri" w:hAnsi="Calibri" w:cs="Calibri"/>
          <w:szCs w:val="22"/>
        </w:rPr>
        <w:t xml:space="preserve">Clarity that if any undue pressure </w:t>
      </w:r>
      <w:r w:rsidR="00C204EC">
        <w:rPr>
          <w:rFonts w:ascii="Calibri" w:hAnsi="Calibri" w:cs="Calibri"/>
          <w:szCs w:val="22"/>
        </w:rPr>
        <w:t>was</w:t>
      </w:r>
      <w:r w:rsidRPr="006558DB">
        <w:rPr>
          <w:rFonts w:ascii="Calibri" w:hAnsi="Calibri" w:cs="Calibri"/>
          <w:szCs w:val="22"/>
        </w:rPr>
        <w:t xml:space="preserve"> put on any member of the evaluation team by a DH</w:t>
      </w:r>
      <w:r w:rsidR="007A6FFA">
        <w:rPr>
          <w:rFonts w:ascii="Calibri" w:hAnsi="Calibri" w:cs="Calibri"/>
          <w:szCs w:val="22"/>
        </w:rPr>
        <w:t>SC</w:t>
      </w:r>
      <w:r w:rsidRPr="006558DB">
        <w:rPr>
          <w:rFonts w:ascii="Calibri" w:hAnsi="Calibri" w:cs="Calibri"/>
          <w:szCs w:val="22"/>
        </w:rPr>
        <w:t xml:space="preserve"> official</w:t>
      </w:r>
      <w:r>
        <w:rPr>
          <w:rFonts w:ascii="Calibri" w:hAnsi="Calibri" w:cs="Calibri"/>
          <w:szCs w:val="22"/>
        </w:rPr>
        <w:t>,</w:t>
      </w:r>
      <w:r w:rsidRPr="006558DB">
        <w:rPr>
          <w:rFonts w:ascii="Calibri" w:hAnsi="Calibri" w:cs="Calibri"/>
          <w:szCs w:val="22"/>
        </w:rPr>
        <w:t xml:space="preserve"> it </w:t>
      </w:r>
      <w:r w:rsidR="00C204EC">
        <w:rPr>
          <w:rFonts w:ascii="Calibri" w:hAnsi="Calibri" w:cs="Calibri"/>
          <w:szCs w:val="22"/>
        </w:rPr>
        <w:t>would</w:t>
      </w:r>
      <w:r w:rsidRPr="006558DB">
        <w:rPr>
          <w:rFonts w:ascii="Calibri" w:hAnsi="Calibri" w:cs="Calibri"/>
          <w:szCs w:val="22"/>
        </w:rPr>
        <w:t xml:space="preserve"> be immediately reported to the appropriate office in </w:t>
      </w:r>
      <w:r w:rsidR="00FC6A88">
        <w:rPr>
          <w:rFonts w:ascii="Calibri" w:hAnsi="Calibri" w:cs="Calibri"/>
          <w:szCs w:val="22"/>
        </w:rPr>
        <w:t xml:space="preserve">the </w:t>
      </w:r>
      <w:r w:rsidRPr="006558DB">
        <w:rPr>
          <w:rFonts w:ascii="Calibri" w:hAnsi="Calibri" w:cs="Calibri"/>
          <w:szCs w:val="22"/>
        </w:rPr>
        <w:t>DH</w:t>
      </w:r>
      <w:r w:rsidR="007A6FFA">
        <w:rPr>
          <w:rFonts w:ascii="Calibri" w:hAnsi="Calibri" w:cs="Calibri"/>
          <w:szCs w:val="22"/>
        </w:rPr>
        <w:t>SC</w:t>
      </w:r>
      <w:r w:rsidRPr="006558DB">
        <w:rPr>
          <w:rFonts w:ascii="Calibri" w:hAnsi="Calibri" w:cs="Calibri"/>
          <w:szCs w:val="22"/>
        </w:rPr>
        <w:t>.</w:t>
      </w:r>
    </w:p>
    <w:p w14:paraId="15BE3EDC" w14:textId="0E57CDF9" w:rsidR="00520DBB" w:rsidRPr="006558DB" w:rsidRDefault="00520DBB" w:rsidP="00520DBB">
      <w:pPr>
        <w:pStyle w:val="TableHead"/>
        <w:spacing w:line="276" w:lineRule="auto"/>
        <w:jc w:val="both"/>
        <w:rPr>
          <w:rFonts w:ascii="Calibri" w:hAnsi="Calibri" w:cs="Calibri"/>
          <w:b w:val="0"/>
          <w:smallCaps w:val="0"/>
        </w:rPr>
      </w:pPr>
      <w:r w:rsidRPr="006558DB">
        <w:rPr>
          <w:rFonts w:ascii="Calibri" w:hAnsi="Calibri" w:cs="Calibri"/>
          <w:b w:val="0"/>
          <w:smallCaps w:val="0"/>
        </w:rPr>
        <w:t>We recognise that, particularly with M&amp;E services, it is very important to proactively engage with the issue of potential</w:t>
      </w:r>
      <w:r>
        <w:rPr>
          <w:rFonts w:ascii="Calibri" w:hAnsi="Calibri" w:cs="Calibri"/>
          <w:b w:val="0"/>
          <w:smallCaps w:val="0"/>
        </w:rPr>
        <w:t xml:space="preserve"> </w:t>
      </w:r>
      <w:r w:rsidR="00321F97">
        <w:rPr>
          <w:rFonts w:ascii="Calibri" w:hAnsi="Calibri" w:cs="Calibri"/>
          <w:b w:val="0"/>
          <w:smallCaps w:val="0"/>
        </w:rPr>
        <w:t>C</w:t>
      </w:r>
      <w:r w:rsidR="00665252">
        <w:rPr>
          <w:rFonts w:ascii="Calibri" w:hAnsi="Calibri" w:cs="Calibri"/>
          <w:b w:val="0"/>
          <w:smallCaps w:val="0"/>
        </w:rPr>
        <w:t>o</w:t>
      </w:r>
      <w:r w:rsidR="00321F97">
        <w:rPr>
          <w:rFonts w:ascii="Calibri" w:hAnsi="Calibri" w:cs="Calibri"/>
          <w:b w:val="0"/>
          <w:smallCaps w:val="0"/>
        </w:rPr>
        <w:t>I</w:t>
      </w:r>
      <w:r w:rsidRPr="006558DB">
        <w:rPr>
          <w:rFonts w:ascii="Calibri" w:hAnsi="Calibri" w:cs="Calibri"/>
          <w:b w:val="0"/>
          <w:smallCaps w:val="0"/>
        </w:rPr>
        <w:t xml:space="preserve">. We take the issue seriously, and we have given it significant consideration. </w:t>
      </w:r>
      <w:r>
        <w:rPr>
          <w:rFonts w:ascii="Calibri" w:hAnsi="Calibri" w:cs="Calibri"/>
          <w:b w:val="0"/>
          <w:smallCaps w:val="0"/>
        </w:rPr>
        <w:t>A</w:t>
      </w:r>
      <w:r w:rsidRPr="006558DB">
        <w:rPr>
          <w:rFonts w:ascii="Calibri" w:hAnsi="Calibri" w:cs="Calibri"/>
          <w:b w:val="0"/>
          <w:smallCaps w:val="0"/>
        </w:rPr>
        <w:t xml:space="preserve"> C</w:t>
      </w:r>
      <w:r w:rsidR="0071719D">
        <w:rPr>
          <w:rFonts w:ascii="Calibri" w:hAnsi="Calibri" w:cs="Calibri"/>
          <w:b w:val="0"/>
          <w:smallCaps w:val="0"/>
        </w:rPr>
        <w:t>oI</w:t>
      </w:r>
      <w:r w:rsidRPr="006558DB">
        <w:rPr>
          <w:rFonts w:ascii="Calibri" w:hAnsi="Calibri" w:cs="Calibri"/>
          <w:b w:val="0"/>
          <w:smallCaps w:val="0"/>
        </w:rPr>
        <w:t xml:space="preserve"> policy and management principles</w:t>
      </w:r>
      <w:r>
        <w:rPr>
          <w:rFonts w:ascii="Calibri" w:hAnsi="Calibri" w:cs="Calibri"/>
          <w:b w:val="0"/>
          <w:smallCaps w:val="0"/>
        </w:rPr>
        <w:t xml:space="preserve"> strategy was developed</w:t>
      </w:r>
      <w:r w:rsidRPr="006558DB">
        <w:rPr>
          <w:rFonts w:ascii="Calibri" w:hAnsi="Calibri" w:cs="Calibri"/>
          <w:b w:val="0"/>
          <w:smallCaps w:val="0"/>
        </w:rPr>
        <w:t xml:space="preserve"> for this assignment as follows:</w:t>
      </w:r>
    </w:p>
    <w:p w14:paraId="3E7E4B06" w14:textId="1C0566C6" w:rsidR="00520DBB" w:rsidRPr="006558DB" w:rsidRDefault="00520DBB" w:rsidP="00520DBB">
      <w:pPr>
        <w:pStyle w:val="TableHead"/>
        <w:spacing w:line="276" w:lineRule="auto"/>
        <w:jc w:val="both"/>
        <w:rPr>
          <w:rFonts w:ascii="Calibri" w:hAnsi="Calibri" w:cs="Calibri"/>
          <w:b w:val="0"/>
          <w:smallCaps w:val="0"/>
        </w:rPr>
      </w:pPr>
      <w:r w:rsidRPr="006558DB">
        <w:rPr>
          <w:rFonts w:ascii="Calibri" w:hAnsi="Calibri" w:cs="Calibri"/>
          <w:b w:val="0"/>
          <w:smallCaps w:val="0"/>
        </w:rPr>
        <w:t xml:space="preserve">Policy Statement: Itad will minimise and avoid the potential for </w:t>
      </w:r>
      <w:r>
        <w:rPr>
          <w:rFonts w:ascii="Calibri" w:hAnsi="Calibri" w:cs="Calibri"/>
          <w:b w:val="0"/>
          <w:smallCaps w:val="0"/>
        </w:rPr>
        <w:t>C</w:t>
      </w:r>
      <w:r w:rsidR="0071719D">
        <w:rPr>
          <w:rFonts w:ascii="Calibri" w:hAnsi="Calibri" w:cs="Calibri"/>
          <w:b w:val="0"/>
          <w:smallCaps w:val="0"/>
        </w:rPr>
        <w:t>oI</w:t>
      </w:r>
      <w:r>
        <w:rPr>
          <w:rFonts w:ascii="Calibri" w:hAnsi="Calibri" w:cs="Calibri"/>
          <w:b w:val="0"/>
          <w:smallCaps w:val="0"/>
        </w:rPr>
        <w:t xml:space="preserve"> </w:t>
      </w:r>
      <w:r w:rsidRPr="006558DB">
        <w:rPr>
          <w:rFonts w:ascii="Calibri" w:hAnsi="Calibri" w:cs="Calibri"/>
          <w:b w:val="0"/>
          <w:smallCaps w:val="0"/>
        </w:rPr>
        <w:t>by managing the contract according to the following principles:</w:t>
      </w:r>
    </w:p>
    <w:p w14:paraId="0E10FB80" w14:textId="1F292AA0" w:rsidR="00520DBB" w:rsidRPr="006558DB" w:rsidRDefault="00520DBB" w:rsidP="00C6374D">
      <w:pPr>
        <w:pStyle w:val="ListBullet11"/>
        <w:numPr>
          <w:ilvl w:val="0"/>
          <w:numId w:val="68"/>
        </w:numPr>
        <w:rPr>
          <w:rFonts w:ascii="Calibri" w:hAnsi="Calibri" w:cs="Calibri"/>
          <w:szCs w:val="22"/>
        </w:rPr>
      </w:pPr>
      <w:r w:rsidRPr="006558DB">
        <w:rPr>
          <w:rFonts w:ascii="Calibri" w:hAnsi="Calibri" w:cs="Calibri"/>
          <w:szCs w:val="22"/>
        </w:rPr>
        <w:t>Our first principle is to avoid C</w:t>
      </w:r>
      <w:r w:rsidR="0071719D">
        <w:rPr>
          <w:rFonts w:ascii="Calibri" w:hAnsi="Calibri" w:cs="Calibri"/>
          <w:szCs w:val="22"/>
        </w:rPr>
        <w:t>oI</w:t>
      </w:r>
      <w:r w:rsidRPr="006558DB">
        <w:rPr>
          <w:rFonts w:ascii="Calibri" w:hAnsi="Calibri" w:cs="Calibri"/>
          <w:szCs w:val="22"/>
        </w:rPr>
        <w:t xml:space="preserve">. We will apply a precautionary principle, erring on the side of caution where there appears to be conflict. </w:t>
      </w:r>
    </w:p>
    <w:p w14:paraId="3C8D1A91" w14:textId="2B16417B" w:rsidR="00520DBB" w:rsidRPr="006558DB" w:rsidRDefault="00520DBB" w:rsidP="00C6374D">
      <w:pPr>
        <w:pStyle w:val="ListBullet11"/>
        <w:numPr>
          <w:ilvl w:val="0"/>
          <w:numId w:val="68"/>
        </w:numPr>
        <w:rPr>
          <w:rFonts w:ascii="Calibri" w:hAnsi="Calibri" w:cs="Calibri"/>
          <w:szCs w:val="22"/>
        </w:rPr>
      </w:pPr>
      <w:r w:rsidRPr="006558DB">
        <w:rPr>
          <w:rFonts w:ascii="Calibri" w:hAnsi="Calibri" w:cs="Calibri"/>
          <w:szCs w:val="22"/>
        </w:rPr>
        <w:t xml:space="preserve">Declaration of interest: All team members will be expected to self-declare any known actual or potential </w:t>
      </w:r>
      <w:r w:rsidR="00F23D72">
        <w:rPr>
          <w:rFonts w:ascii="Calibri" w:hAnsi="Calibri" w:cs="Calibri"/>
          <w:szCs w:val="22"/>
        </w:rPr>
        <w:t>CoIs</w:t>
      </w:r>
      <w:r w:rsidRPr="006558DB">
        <w:rPr>
          <w:rFonts w:ascii="Calibri" w:hAnsi="Calibri" w:cs="Calibri"/>
          <w:szCs w:val="22"/>
        </w:rPr>
        <w:t xml:space="preserve"> at the earliest possible opportunity.</w:t>
      </w:r>
    </w:p>
    <w:p w14:paraId="0C4107F1" w14:textId="77777777" w:rsidR="00520DBB" w:rsidRPr="006558DB" w:rsidRDefault="00520DBB" w:rsidP="00C6374D">
      <w:pPr>
        <w:pStyle w:val="ListBullet11"/>
        <w:numPr>
          <w:ilvl w:val="0"/>
          <w:numId w:val="68"/>
        </w:numPr>
        <w:rPr>
          <w:rFonts w:ascii="Calibri" w:hAnsi="Calibri" w:cs="Calibri"/>
          <w:szCs w:val="22"/>
        </w:rPr>
      </w:pPr>
      <w:r w:rsidRPr="006558DB">
        <w:rPr>
          <w:rFonts w:ascii="Calibri" w:hAnsi="Calibri" w:cs="Calibri"/>
          <w:szCs w:val="22"/>
        </w:rPr>
        <w:t>Responsibility rests with Itad to satisfy itself regarding team member eligibility.</w:t>
      </w:r>
    </w:p>
    <w:p w14:paraId="35DA652B" w14:textId="12C18B9B" w:rsidR="00520DBB" w:rsidRPr="006558DB" w:rsidRDefault="00520DBB" w:rsidP="00C6374D">
      <w:pPr>
        <w:pStyle w:val="ListBullet11"/>
        <w:numPr>
          <w:ilvl w:val="0"/>
          <w:numId w:val="68"/>
        </w:numPr>
        <w:rPr>
          <w:rFonts w:ascii="Calibri" w:hAnsi="Calibri" w:cs="Calibri"/>
          <w:szCs w:val="22"/>
        </w:rPr>
      </w:pPr>
      <w:r w:rsidRPr="006558DB">
        <w:rPr>
          <w:rFonts w:ascii="Calibri" w:hAnsi="Calibri" w:cs="Calibri"/>
          <w:szCs w:val="22"/>
        </w:rPr>
        <w:t>The principle of transparency will apply in all cases, particularly where there is doubt about the existence of C</w:t>
      </w:r>
      <w:r w:rsidR="0071719D">
        <w:rPr>
          <w:rFonts w:ascii="Calibri" w:hAnsi="Calibri" w:cs="Calibri"/>
          <w:szCs w:val="22"/>
        </w:rPr>
        <w:t>oI</w:t>
      </w:r>
      <w:r w:rsidRPr="006558DB">
        <w:rPr>
          <w:rFonts w:ascii="Calibri" w:hAnsi="Calibri" w:cs="Calibri"/>
          <w:szCs w:val="22"/>
        </w:rPr>
        <w:t xml:space="preserve">. We will consult with the </w:t>
      </w:r>
      <w:r w:rsidR="00F21D1C" w:rsidRPr="00F21D1C">
        <w:rPr>
          <w:rFonts w:ascii="Calibri" w:hAnsi="Calibri" w:cs="Calibri"/>
          <w:szCs w:val="22"/>
        </w:rPr>
        <w:t xml:space="preserve">Fleming Fund </w:t>
      </w:r>
      <w:r w:rsidRPr="006558DB">
        <w:rPr>
          <w:rFonts w:ascii="Calibri" w:hAnsi="Calibri" w:cs="Calibri"/>
          <w:szCs w:val="22"/>
        </w:rPr>
        <w:t xml:space="preserve">Project Team and Steering Committee where there is uncertainty. </w:t>
      </w:r>
    </w:p>
    <w:p w14:paraId="1667FA71" w14:textId="10B660E9" w:rsidR="00520DBB" w:rsidRDefault="00520DBB" w:rsidP="00C6374D">
      <w:pPr>
        <w:pStyle w:val="ListBullet1"/>
        <w:numPr>
          <w:ilvl w:val="0"/>
          <w:numId w:val="68"/>
        </w:numPr>
        <w:rPr>
          <w:rFonts w:ascii="Calibri" w:hAnsi="Calibri" w:cs="Calibri"/>
          <w:szCs w:val="22"/>
          <w:lang w:val="en-GB"/>
        </w:rPr>
      </w:pPr>
      <w:r w:rsidRPr="006558DB">
        <w:rPr>
          <w:rFonts w:ascii="Calibri" w:hAnsi="Calibri" w:cs="Calibri"/>
          <w:szCs w:val="22"/>
          <w:lang w:val="en-GB"/>
        </w:rPr>
        <w:t>Itad will undertake CoI assessment</w:t>
      </w:r>
      <w:r w:rsidR="00FC6A88">
        <w:rPr>
          <w:rFonts w:ascii="Calibri" w:hAnsi="Calibri" w:cs="Calibri"/>
          <w:szCs w:val="22"/>
          <w:lang w:val="en-GB"/>
        </w:rPr>
        <w:t>s</w:t>
      </w:r>
      <w:r w:rsidRPr="006558DB">
        <w:rPr>
          <w:rFonts w:ascii="Calibri" w:hAnsi="Calibri" w:cs="Calibri"/>
          <w:szCs w:val="22"/>
          <w:lang w:val="en-GB"/>
        </w:rPr>
        <w:t xml:space="preserve"> as a primary activity on all evaluation activities that arise under the contract. </w:t>
      </w:r>
    </w:p>
    <w:p w14:paraId="2DFF7008" w14:textId="77777777" w:rsidR="00520DBB" w:rsidRPr="006558DB" w:rsidRDefault="00520DBB" w:rsidP="00520DBB">
      <w:pPr>
        <w:pStyle w:val="ListBullet1"/>
        <w:numPr>
          <w:ilvl w:val="0"/>
          <w:numId w:val="0"/>
        </w:numPr>
        <w:ind w:left="720"/>
        <w:rPr>
          <w:rFonts w:ascii="Calibri" w:hAnsi="Calibri" w:cs="Calibri"/>
          <w:szCs w:val="22"/>
          <w:lang w:val="en-GB"/>
        </w:rPr>
      </w:pPr>
    </w:p>
    <w:p w14:paraId="3B79B87A" w14:textId="4B1DF163" w:rsidR="00520DBB" w:rsidRPr="006558DB" w:rsidRDefault="00520DBB" w:rsidP="00520DBB">
      <w:pPr>
        <w:pStyle w:val="BodyText1"/>
        <w:spacing w:line="276" w:lineRule="auto"/>
        <w:rPr>
          <w:rFonts w:ascii="Calibri" w:hAnsi="Calibri" w:cs="Calibri"/>
          <w:sz w:val="22"/>
          <w:szCs w:val="22"/>
          <w:lang w:val="en-GB"/>
        </w:rPr>
      </w:pPr>
      <w:r w:rsidRPr="006558DB">
        <w:rPr>
          <w:rFonts w:ascii="Calibri" w:hAnsi="Calibri" w:cs="Calibri"/>
          <w:sz w:val="22"/>
          <w:szCs w:val="22"/>
          <w:lang w:val="en-GB"/>
        </w:rPr>
        <w:t>The Itad Project Management</w:t>
      </w:r>
      <w:r w:rsidR="00DA6EA8">
        <w:rPr>
          <w:rFonts w:ascii="Calibri" w:hAnsi="Calibri" w:cs="Calibri"/>
          <w:sz w:val="22"/>
          <w:szCs w:val="22"/>
          <w:lang w:val="en-GB"/>
        </w:rPr>
        <w:t xml:space="preserve"> and </w:t>
      </w:r>
      <w:r w:rsidR="00B25D09">
        <w:rPr>
          <w:rFonts w:ascii="Calibri" w:hAnsi="Calibri" w:cs="Calibri"/>
          <w:sz w:val="22"/>
          <w:szCs w:val="22"/>
          <w:lang w:val="en-GB"/>
        </w:rPr>
        <w:t>QA</w:t>
      </w:r>
      <w:r w:rsidRPr="006558DB">
        <w:rPr>
          <w:rFonts w:ascii="Calibri" w:hAnsi="Calibri" w:cs="Calibri"/>
          <w:sz w:val="22"/>
          <w:szCs w:val="22"/>
          <w:lang w:val="en-GB"/>
        </w:rPr>
        <w:t xml:space="preserve"> Team ha</w:t>
      </w:r>
      <w:r w:rsidR="009301F4">
        <w:rPr>
          <w:rFonts w:ascii="Calibri" w:hAnsi="Calibri" w:cs="Calibri"/>
          <w:sz w:val="22"/>
          <w:szCs w:val="22"/>
          <w:lang w:val="en-GB"/>
        </w:rPr>
        <w:t>ve</w:t>
      </w:r>
      <w:r w:rsidRPr="006558DB">
        <w:rPr>
          <w:rFonts w:ascii="Calibri" w:hAnsi="Calibri" w:cs="Calibri"/>
          <w:sz w:val="22"/>
          <w:szCs w:val="22"/>
          <w:lang w:val="en-GB"/>
        </w:rPr>
        <w:t xml:space="preserve"> a mandate to review the performance of the evaluation against these standards, and if </w:t>
      </w:r>
      <w:r w:rsidR="007142A7" w:rsidRPr="006558DB">
        <w:rPr>
          <w:rFonts w:ascii="Calibri" w:hAnsi="Calibri" w:cs="Calibri"/>
          <w:sz w:val="22"/>
          <w:szCs w:val="22"/>
          <w:lang w:val="en-GB"/>
        </w:rPr>
        <w:t>necessary,</w:t>
      </w:r>
      <w:r w:rsidRPr="006558DB">
        <w:rPr>
          <w:rFonts w:ascii="Calibri" w:hAnsi="Calibri" w:cs="Calibri"/>
          <w:sz w:val="22"/>
          <w:szCs w:val="22"/>
          <w:lang w:val="en-GB"/>
        </w:rPr>
        <w:t xml:space="preserve"> report any concerns both to the Itad Board, and to</w:t>
      </w:r>
      <w:r w:rsidR="00FC6A88">
        <w:rPr>
          <w:rFonts w:ascii="Calibri" w:hAnsi="Calibri" w:cs="Calibri"/>
          <w:sz w:val="22"/>
          <w:szCs w:val="22"/>
          <w:lang w:val="en-GB"/>
        </w:rPr>
        <w:t xml:space="preserve"> the</w:t>
      </w:r>
      <w:r w:rsidRPr="006558DB">
        <w:rPr>
          <w:rFonts w:ascii="Calibri" w:hAnsi="Calibri" w:cs="Calibri"/>
          <w:sz w:val="22"/>
          <w:szCs w:val="22"/>
          <w:lang w:val="en-GB"/>
        </w:rPr>
        <w:t xml:space="preserve"> DH</w:t>
      </w:r>
      <w:r>
        <w:rPr>
          <w:rFonts w:ascii="Calibri" w:hAnsi="Calibri" w:cs="Calibri"/>
          <w:sz w:val="22"/>
          <w:szCs w:val="22"/>
          <w:lang w:val="en-GB"/>
        </w:rPr>
        <w:t>SC</w:t>
      </w:r>
      <w:r w:rsidRPr="006558DB">
        <w:rPr>
          <w:rFonts w:ascii="Calibri" w:hAnsi="Calibri" w:cs="Calibri"/>
          <w:sz w:val="22"/>
          <w:szCs w:val="22"/>
          <w:lang w:val="en-GB"/>
        </w:rPr>
        <w:t xml:space="preserve">. The </w:t>
      </w:r>
      <w:r w:rsidR="00F21D1C" w:rsidRPr="00F21D1C">
        <w:rPr>
          <w:rFonts w:ascii="Calibri" w:hAnsi="Calibri" w:cs="Calibri"/>
          <w:sz w:val="22"/>
          <w:szCs w:val="22"/>
          <w:lang w:val="en-GB"/>
        </w:rPr>
        <w:t xml:space="preserve">Fleming Fund </w:t>
      </w:r>
      <w:r w:rsidRPr="006558DB">
        <w:rPr>
          <w:rFonts w:ascii="Calibri" w:hAnsi="Calibri" w:cs="Calibri"/>
          <w:sz w:val="22"/>
          <w:szCs w:val="22"/>
          <w:lang w:val="en-GB"/>
        </w:rPr>
        <w:t xml:space="preserve">Project Team and </w:t>
      </w:r>
      <w:r>
        <w:rPr>
          <w:rFonts w:ascii="Calibri" w:hAnsi="Calibri" w:cs="Calibri"/>
          <w:sz w:val="22"/>
          <w:szCs w:val="22"/>
          <w:lang w:val="en-GB"/>
        </w:rPr>
        <w:t>Project Board</w:t>
      </w:r>
      <w:r w:rsidRPr="006558DB">
        <w:rPr>
          <w:rFonts w:ascii="Calibri" w:hAnsi="Calibri" w:cs="Calibri"/>
          <w:sz w:val="22"/>
          <w:szCs w:val="22"/>
          <w:lang w:val="en-GB"/>
        </w:rPr>
        <w:t xml:space="preserve"> </w:t>
      </w:r>
      <w:r>
        <w:rPr>
          <w:rFonts w:ascii="Calibri" w:hAnsi="Calibri" w:cs="Calibri"/>
          <w:sz w:val="22"/>
          <w:szCs w:val="22"/>
          <w:lang w:val="en-GB"/>
        </w:rPr>
        <w:t>were</w:t>
      </w:r>
      <w:r w:rsidRPr="006558DB">
        <w:rPr>
          <w:rFonts w:ascii="Calibri" w:hAnsi="Calibri" w:cs="Calibri"/>
          <w:sz w:val="22"/>
          <w:szCs w:val="22"/>
          <w:lang w:val="en-GB"/>
        </w:rPr>
        <w:t xml:space="preserve"> able to have </w:t>
      </w:r>
      <w:r w:rsidR="00FC6A88">
        <w:rPr>
          <w:rFonts w:ascii="Calibri" w:hAnsi="Calibri" w:cs="Calibri"/>
          <w:sz w:val="22"/>
          <w:szCs w:val="22"/>
          <w:lang w:val="en-GB"/>
        </w:rPr>
        <w:t xml:space="preserve">the </w:t>
      </w:r>
      <w:r w:rsidRPr="006558DB">
        <w:rPr>
          <w:rFonts w:ascii="Calibri" w:hAnsi="Calibri" w:cs="Calibri"/>
          <w:sz w:val="22"/>
          <w:szCs w:val="22"/>
          <w:lang w:val="en-GB"/>
        </w:rPr>
        <w:t>final say in adjudicating assessments of potential CoI.</w:t>
      </w:r>
    </w:p>
    <w:p w14:paraId="47A6E46E" w14:textId="2C4E9D1F" w:rsidR="00520DBB" w:rsidRPr="006558DB" w:rsidRDefault="00520DBB" w:rsidP="00520DBB">
      <w:pPr>
        <w:pStyle w:val="FFNormal"/>
        <w:spacing w:line="276" w:lineRule="auto"/>
        <w:jc w:val="both"/>
      </w:pPr>
      <w:r w:rsidRPr="006558DB">
        <w:t xml:space="preserve">Interaction with the MA </w:t>
      </w:r>
      <w:r w:rsidR="009301F4">
        <w:t>was</w:t>
      </w:r>
      <w:r w:rsidRPr="006558DB">
        <w:t xml:space="preserve"> governed through a Working Protocol Agreement between the MA and Itad</w:t>
      </w:r>
      <w:r w:rsidR="00D57391">
        <w:t>. A</w:t>
      </w:r>
      <w:r>
        <w:t>n initial version of t</w:t>
      </w:r>
      <w:r w:rsidRPr="006558DB">
        <w:t>his protocol was jointly dev</w:t>
      </w:r>
      <w:r>
        <w:t xml:space="preserve">eloped by the MA and </w:t>
      </w:r>
      <w:r w:rsidR="00D57391">
        <w:t>Itad</w:t>
      </w:r>
      <w:r>
        <w:t xml:space="preserve"> and la</w:t>
      </w:r>
      <w:r w:rsidR="009301F4">
        <w:t>id</w:t>
      </w:r>
      <w:r w:rsidRPr="006558DB">
        <w:t xml:space="preserve"> out ways of working throughout the life of the project, roles and responsibilities, and the process for resolving disputes. </w:t>
      </w:r>
    </w:p>
    <w:bookmarkEnd w:id="308"/>
    <w:p w14:paraId="0F308C5A" w14:textId="77777777" w:rsidR="00520DBB" w:rsidRDefault="00520DBB" w:rsidP="00520DBB">
      <w:pPr>
        <w:pStyle w:val="ItadNormalText"/>
      </w:pPr>
    </w:p>
    <w:p w14:paraId="36C51BB0" w14:textId="77777777" w:rsidR="00520DBB" w:rsidRPr="00520DBB" w:rsidRDefault="00520DBB" w:rsidP="00520DBB">
      <w:pPr>
        <w:pStyle w:val="ItadNormalText"/>
      </w:pPr>
    </w:p>
    <w:p w14:paraId="36E25F40" w14:textId="77777777" w:rsidR="007F1B4B" w:rsidRDefault="007F1B4B" w:rsidP="006729ED">
      <w:pPr>
        <w:pStyle w:val="ItadH1Numbered"/>
        <w:numPr>
          <w:ilvl w:val="0"/>
          <w:numId w:val="0"/>
        </w:numPr>
        <w:sectPr w:rsidR="007F1B4B" w:rsidSect="007F1B4B">
          <w:pgSz w:w="11900" w:h="16840"/>
          <w:pgMar w:top="1134" w:right="1191" w:bottom="1134" w:left="1191" w:header="720" w:footer="255" w:gutter="0"/>
          <w:cols w:space="720"/>
          <w:titlePg/>
          <w:docGrid w:linePitch="360"/>
        </w:sectPr>
      </w:pPr>
    </w:p>
    <w:p w14:paraId="487CD7AA" w14:textId="21C599E1" w:rsidR="006729ED" w:rsidRPr="007C65F2" w:rsidRDefault="006729ED" w:rsidP="006729ED">
      <w:pPr>
        <w:pStyle w:val="ItadH1Numbered"/>
        <w:numPr>
          <w:ilvl w:val="0"/>
          <w:numId w:val="0"/>
        </w:numPr>
      </w:pPr>
      <w:bookmarkStart w:id="309" w:name="_Toc118968550"/>
      <w:bookmarkStart w:id="310" w:name="_Toc142383191"/>
      <w:r w:rsidRPr="00B57527">
        <w:t>Annex</w:t>
      </w:r>
      <w:r>
        <w:t xml:space="preserve"> </w:t>
      </w:r>
      <w:r w:rsidR="007D16E0">
        <w:t>1</w:t>
      </w:r>
      <w:r w:rsidR="00A70655">
        <w:t>3</w:t>
      </w:r>
      <w:r w:rsidRPr="00B57527">
        <w:t xml:space="preserve">: </w:t>
      </w:r>
      <w:r>
        <w:t xml:space="preserve">Risks, </w:t>
      </w:r>
      <w:r w:rsidR="00764EB0">
        <w:t>challenges and mitigating strategies</w:t>
      </w:r>
      <w:bookmarkEnd w:id="309"/>
      <w:bookmarkEnd w:id="310"/>
    </w:p>
    <w:p w14:paraId="7C93F59E" w14:textId="05FC16D1" w:rsidR="00CD32D2" w:rsidRDefault="00D86D76" w:rsidP="00D86D76">
      <w:pPr>
        <w:pStyle w:val="BodyText"/>
        <w:spacing w:before="239"/>
        <w:ind w:left="180" w:right="178"/>
      </w:pPr>
      <w:bookmarkStart w:id="311" w:name="_Hlk129487040"/>
      <w:r>
        <w:t xml:space="preserve">Through the quarterly reporting process and as and when requested by </w:t>
      </w:r>
      <w:r w:rsidR="007142A7">
        <w:t xml:space="preserve">the </w:t>
      </w:r>
      <w:r w:rsidR="004D4D75">
        <w:t>DHSC</w:t>
      </w:r>
      <w:r>
        <w:t>, Itad has identified risks and opportunities</w:t>
      </w:r>
      <w:r w:rsidR="00553972">
        <w:t>,</w:t>
      </w:r>
      <w:r>
        <w:t xml:space="preserve"> </w:t>
      </w:r>
      <w:r w:rsidR="00553972">
        <w:t>instigated</w:t>
      </w:r>
      <w:r>
        <w:t xml:space="preserve"> and </w:t>
      </w:r>
      <w:r w:rsidR="00553972">
        <w:t xml:space="preserve">monitored </w:t>
      </w:r>
      <w:r>
        <w:t>mitigation actions through living risk registers.</w:t>
      </w:r>
      <w:r w:rsidR="007458AC">
        <w:t xml:space="preserve"> </w:t>
      </w:r>
      <w:r>
        <w:t xml:space="preserve">The risk register includes relevant information for </w:t>
      </w:r>
      <w:r w:rsidR="007142A7">
        <w:t xml:space="preserve">the </w:t>
      </w:r>
      <w:r>
        <w:t>DHSC, including detailed descriptions of the risk, its causes, effects</w:t>
      </w:r>
      <w:r w:rsidR="00553972">
        <w:t>,</w:t>
      </w:r>
      <w:r>
        <w:t xml:space="preserve"> and impact. The risks are identified and scored based on the DHSC RAG rating tool. Mitigating actions are detailed and follow</w:t>
      </w:r>
      <w:r w:rsidR="007142A7">
        <w:t>ed</w:t>
      </w:r>
      <w:r>
        <w:t xml:space="preserve"> up, with risk RAG rating reviewed quarterly. Risks are discussed with </w:t>
      </w:r>
      <w:r w:rsidR="007142A7">
        <w:t xml:space="preserve">the </w:t>
      </w:r>
      <w:r>
        <w:t>DHSC at the quarterly review meetings, mitigating actions are taken as appropriate and residual risks are understood and managed. The current full risk register used throughout the evaluation is</w:t>
      </w:r>
      <w:r w:rsidR="004A0BFE">
        <w:t xml:space="preserve"> shown </w:t>
      </w:r>
      <w:r w:rsidR="00CD32D2">
        <w:t xml:space="preserve">in </w:t>
      </w:r>
      <w:r w:rsidR="008878AB">
        <w:rPr>
          <w:highlight w:val="yellow"/>
        </w:rPr>
        <w:fldChar w:fldCharType="begin"/>
      </w:r>
      <w:r w:rsidR="008878AB">
        <w:instrText xml:space="preserve"> REF _Ref121251770 \h </w:instrText>
      </w:r>
      <w:r w:rsidR="008878AB">
        <w:rPr>
          <w:highlight w:val="yellow"/>
        </w:rPr>
      </w:r>
      <w:r w:rsidR="008878AB">
        <w:rPr>
          <w:highlight w:val="yellow"/>
        </w:rPr>
        <w:fldChar w:fldCharType="separate"/>
      </w:r>
      <w:r w:rsidR="009A383C">
        <w:t xml:space="preserve">Table </w:t>
      </w:r>
      <w:r w:rsidR="009A383C">
        <w:rPr>
          <w:noProof/>
        </w:rPr>
        <w:t>45</w:t>
      </w:r>
      <w:r w:rsidR="008878AB">
        <w:rPr>
          <w:highlight w:val="yellow"/>
        </w:rPr>
        <w:fldChar w:fldCharType="end"/>
      </w:r>
      <w:r w:rsidR="007142A7" w:rsidRPr="007142A7">
        <w:t xml:space="preserve"> </w:t>
      </w:r>
      <w:r w:rsidR="007142A7">
        <w:t>below</w:t>
      </w:r>
      <w:r w:rsidR="004D4D75">
        <w:t>.</w:t>
      </w:r>
    </w:p>
    <w:p w14:paraId="32256176" w14:textId="638D6C59" w:rsidR="004D4D75" w:rsidRDefault="004D4D75" w:rsidP="00C04C3C">
      <w:pPr>
        <w:pStyle w:val="ItadCaption"/>
      </w:pPr>
      <w:bookmarkStart w:id="312" w:name="_Ref121251770"/>
      <w:bookmarkStart w:id="313" w:name="_Ref121251766"/>
      <w:bookmarkStart w:id="314" w:name="_Toc143857913"/>
      <w:bookmarkEnd w:id="311"/>
      <w:r>
        <w:t xml:space="preserve">Table </w:t>
      </w:r>
      <w:r>
        <w:fldChar w:fldCharType="begin"/>
      </w:r>
      <w:r>
        <w:instrText>SEQ Table \* ARABIC</w:instrText>
      </w:r>
      <w:r>
        <w:fldChar w:fldCharType="separate"/>
      </w:r>
      <w:r w:rsidR="009A383C">
        <w:rPr>
          <w:noProof/>
        </w:rPr>
        <w:t>45</w:t>
      </w:r>
      <w:r>
        <w:fldChar w:fldCharType="end"/>
      </w:r>
      <w:bookmarkEnd w:id="312"/>
      <w:r>
        <w:t xml:space="preserve"> Risks and mitigating strategies</w:t>
      </w:r>
      <w:bookmarkEnd w:id="313"/>
      <w:bookmarkEnd w:id="314"/>
    </w:p>
    <w:tbl>
      <w:tblPr>
        <w:tblW w:w="0" w:type="auto"/>
        <w:tblLook w:val="04A0" w:firstRow="1" w:lastRow="0" w:firstColumn="1" w:lastColumn="0" w:noHBand="0" w:noVBand="1"/>
      </w:tblPr>
      <w:tblGrid>
        <w:gridCol w:w="1398"/>
        <w:gridCol w:w="5883"/>
        <w:gridCol w:w="6244"/>
        <w:gridCol w:w="815"/>
        <w:gridCol w:w="222"/>
      </w:tblGrid>
      <w:tr w:rsidR="00AC139B" w:rsidRPr="00AC139B" w14:paraId="1AEB4302" w14:textId="77777777" w:rsidTr="007142A7">
        <w:trPr>
          <w:gridAfter w:val="1"/>
          <w:tblHeader/>
        </w:trPr>
        <w:tc>
          <w:tcPr>
            <w:tcW w:w="0" w:type="auto"/>
            <w:tcBorders>
              <w:top w:val="single" w:sz="4" w:space="0" w:color="auto"/>
              <w:left w:val="single" w:sz="4" w:space="0" w:color="auto"/>
              <w:bottom w:val="single" w:sz="4" w:space="0" w:color="auto"/>
              <w:right w:val="single" w:sz="4" w:space="0" w:color="auto"/>
            </w:tcBorders>
            <w:shd w:val="clear" w:color="auto" w:fill="96C286" w:themeFill="text2" w:themeFillTint="99"/>
            <w:vAlign w:val="center"/>
            <w:hideMark/>
          </w:tcPr>
          <w:p w14:paraId="4D060682" w14:textId="77777777" w:rsidR="002A6970" w:rsidRPr="007F63EF" w:rsidRDefault="002A6970" w:rsidP="00435849">
            <w:pPr>
              <w:rPr>
                <w:rFonts w:asciiTheme="minorHAnsi" w:eastAsia="Times New Roman" w:hAnsiTheme="minorHAnsi" w:cstheme="minorHAnsi"/>
                <w:b/>
                <w:bCs/>
                <w:sz w:val="20"/>
                <w:szCs w:val="20"/>
                <w:lang w:eastAsia="en-GB"/>
              </w:rPr>
            </w:pPr>
            <w:bookmarkStart w:id="315" w:name="_Hlk129487292"/>
            <w:r w:rsidRPr="007F63EF">
              <w:rPr>
                <w:rFonts w:asciiTheme="minorHAnsi" w:eastAsia="Times New Roman" w:hAnsiTheme="minorHAnsi" w:cstheme="minorHAnsi"/>
                <w:b/>
                <w:bCs/>
                <w:sz w:val="20"/>
                <w:szCs w:val="20"/>
                <w:lang w:eastAsia="en-GB"/>
              </w:rPr>
              <w:t>Risk Type</w:t>
            </w:r>
          </w:p>
        </w:tc>
        <w:tc>
          <w:tcPr>
            <w:tcW w:w="0" w:type="auto"/>
            <w:tcBorders>
              <w:top w:val="single" w:sz="4" w:space="0" w:color="auto"/>
              <w:left w:val="nil"/>
              <w:bottom w:val="single" w:sz="4" w:space="0" w:color="auto"/>
              <w:right w:val="single" w:sz="4" w:space="0" w:color="auto"/>
            </w:tcBorders>
            <w:shd w:val="clear" w:color="auto" w:fill="96C286" w:themeFill="text2" w:themeFillTint="99"/>
            <w:vAlign w:val="center"/>
            <w:hideMark/>
          </w:tcPr>
          <w:p w14:paraId="7B348323"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Risk Description</w:t>
            </w:r>
          </w:p>
        </w:tc>
        <w:tc>
          <w:tcPr>
            <w:tcW w:w="0" w:type="auto"/>
            <w:tcBorders>
              <w:top w:val="single" w:sz="4" w:space="0" w:color="auto"/>
              <w:left w:val="nil"/>
              <w:bottom w:val="single" w:sz="4" w:space="0" w:color="auto"/>
              <w:right w:val="single" w:sz="4" w:space="0" w:color="auto"/>
            </w:tcBorders>
            <w:shd w:val="clear" w:color="auto" w:fill="96C286" w:themeFill="text2" w:themeFillTint="99"/>
            <w:vAlign w:val="center"/>
            <w:hideMark/>
          </w:tcPr>
          <w:p w14:paraId="2897D4B8"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Actions</w:t>
            </w:r>
          </w:p>
        </w:tc>
        <w:tc>
          <w:tcPr>
            <w:tcW w:w="0" w:type="auto"/>
            <w:tcBorders>
              <w:top w:val="single" w:sz="4" w:space="0" w:color="auto"/>
              <w:left w:val="nil"/>
              <w:bottom w:val="single" w:sz="4" w:space="0" w:color="auto"/>
              <w:right w:val="single" w:sz="4" w:space="0" w:color="auto"/>
            </w:tcBorders>
            <w:shd w:val="clear" w:color="auto" w:fill="96C286" w:themeFill="text2" w:themeFillTint="99"/>
            <w:vAlign w:val="center"/>
            <w:hideMark/>
          </w:tcPr>
          <w:p w14:paraId="63C86C2F"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Risk Rating</w:t>
            </w:r>
          </w:p>
        </w:tc>
      </w:tr>
      <w:tr w:rsidR="00AC139B" w:rsidRPr="00AC139B" w14:paraId="6C023011" w14:textId="77777777" w:rsidTr="00435849">
        <w:trPr>
          <w:gridAfter w:val="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7667D6" w14:textId="77777777" w:rsidR="002A6970" w:rsidRPr="007F63EF" w:rsidRDefault="002A6970" w:rsidP="00435849">
            <w:pPr>
              <w:rPr>
                <w:rFonts w:asciiTheme="minorHAnsi" w:eastAsia="Times New Roman" w:hAnsiTheme="minorHAnsi" w:cstheme="minorHAnsi"/>
                <w:sz w:val="20"/>
                <w:szCs w:val="20"/>
                <w:lang w:eastAsia="en-GB"/>
              </w:rPr>
            </w:pPr>
            <w:bookmarkStart w:id="316" w:name="_Hlk122089925"/>
            <w:r w:rsidRPr="007F63EF">
              <w:rPr>
                <w:rFonts w:asciiTheme="minorHAnsi" w:eastAsia="Times New Roman" w:hAnsiTheme="minorHAnsi" w:cstheme="minorHAnsi"/>
                <w:sz w:val="20"/>
                <w:szCs w:val="20"/>
                <w:lang w:eastAsia="en-GB"/>
              </w:rPr>
              <w:t>Technical</w:t>
            </w:r>
          </w:p>
        </w:tc>
        <w:tc>
          <w:tcPr>
            <w:tcW w:w="0" w:type="auto"/>
            <w:tcBorders>
              <w:top w:val="nil"/>
              <w:left w:val="nil"/>
              <w:bottom w:val="single" w:sz="4" w:space="0" w:color="auto"/>
              <w:right w:val="single" w:sz="4" w:space="0" w:color="auto"/>
            </w:tcBorders>
            <w:shd w:val="clear" w:color="auto" w:fill="auto"/>
            <w:vAlign w:val="center"/>
            <w:hideMark/>
          </w:tcPr>
          <w:p w14:paraId="2F7A5ADA" w14:textId="721D252F" w:rsidR="002A6970" w:rsidRPr="007F63EF" w:rsidRDefault="00B06DE9"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R</w:t>
            </w:r>
            <w:r w:rsidR="002A6970" w:rsidRPr="007F63EF">
              <w:rPr>
                <w:rFonts w:asciiTheme="minorHAnsi" w:eastAsia="Times New Roman" w:hAnsiTheme="minorHAnsi" w:cstheme="minorHAnsi"/>
                <w:b/>
                <w:bCs/>
                <w:sz w:val="20"/>
                <w:szCs w:val="20"/>
                <w:lang w:eastAsia="en-GB"/>
              </w:rPr>
              <w:t>isk:</w:t>
            </w:r>
            <w:r w:rsidR="002A6970" w:rsidRPr="007F63EF">
              <w:rPr>
                <w:rFonts w:asciiTheme="minorHAnsi" w:eastAsia="Times New Roman" w:hAnsiTheme="minorHAnsi" w:cstheme="minorHAnsi"/>
                <w:sz w:val="20"/>
                <w:szCs w:val="20"/>
                <w:lang w:eastAsia="en-GB"/>
              </w:rPr>
              <w:t xml:space="preserve"> Outcomes are not evident within the timeframe of the evaluation</w:t>
            </w:r>
            <w:r w:rsidR="002A6970" w:rsidRPr="007F63EF">
              <w:rPr>
                <w:rFonts w:asciiTheme="minorHAnsi" w:eastAsia="Times New Roman" w:hAnsiTheme="minorHAnsi" w:cstheme="minorHAnsi"/>
                <w:b/>
                <w:bCs/>
                <w:sz w:val="20"/>
                <w:szCs w:val="20"/>
                <w:lang w:eastAsia="en-GB"/>
              </w:rPr>
              <w:br/>
              <w:t xml:space="preserve">Cause: </w:t>
            </w:r>
            <w:r w:rsidR="002A6970" w:rsidRPr="007F63EF">
              <w:rPr>
                <w:rFonts w:asciiTheme="minorHAnsi" w:eastAsia="Times New Roman" w:hAnsiTheme="minorHAnsi" w:cstheme="minorHAnsi"/>
                <w:sz w:val="20"/>
                <w:szCs w:val="20"/>
                <w:lang w:eastAsia="en-GB"/>
              </w:rPr>
              <w:t xml:space="preserve">Transformation may take several years to </w:t>
            </w:r>
            <w:r w:rsidR="007142A7" w:rsidRPr="007F63EF">
              <w:rPr>
                <w:rFonts w:asciiTheme="minorHAnsi" w:eastAsia="Times New Roman" w:hAnsiTheme="minorHAnsi" w:cstheme="minorHAnsi"/>
                <w:sz w:val="20"/>
                <w:szCs w:val="20"/>
                <w:lang w:eastAsia="en-GB"/>
              </w:rPr>
              <w:t>occur,</w:t>
            </w:r>
            <w:r w:rsidR="002A6970" w:rsidRPr="007F63EF">
              <w:rPr>
                <w:rFonts w:asciiTheme="minorHAnsi" w:eastAsia="Times New Roman" w:hAnsiTheme="minorHAnsi" w:cstheme="minorHAnsi"/>
                <w:sz w:val="20"/>
                <w:szCs w:val="20"/>
                <w:lang w:eastAsia="en-GB"/>
              </w:rPr>
              <w:t xml:space="preserve"> and evidence may not be seen until some time after that. This project will report within a much shorter timescale.</w:t>
            </w:r>
            <w:r w:rsidR="002A6970" w:rsidRPr="007F63EF">
              <w:rPr>
                <w:rFonts w:asciiTheme="minorHAnsi" w:eastAsia="Times New Roman" w:hAnsiTheme="minorHAnsi" w:cstheme="minorHAnsi"/>
                <w:b/>
                <w:bCs/>
                <w:sz w:val="20"/>
                <w:szCs w:val="20"/>
                <w:lang w:eastAsia="en-GB"/>
              </w:rPr>
              <w:t xml:space="preserve"> </w:t>
            </w:r>
            <w:r w:rsidR="002A6970" w:rsidRPr="007F63EF">
              <w:rPr>
                <w:rFonts w:asciiTheme="minorHAnsi" w:eastAsia="Times New Roman" w:hAnsiTheme="minorHAnsi" w:cstheme="minorHAnsi"/>
                <w:sz w:val="20"/>
                <w:szCs w:val="20"/>
                <w:lang w:eastAsia="en-GB"/>
              </w:rPr>
              <w:t xml:space="preserve">Limited time to get beyond outputs in </w:t>
            </w:r>
            <w:r w:rsidR="00DF2845" w:rsidRPr="007F63EF">
              <w:rPr>
                <w:rFonts w:asciiTheme="minorHAnsi" w:eastAsia="Times New Roman" w:hAnsiTheme="minorHAnsi" w:cstheme="minorHAnsi"/>
                <w:sz w:val="20"/>
                <w:szCs w:val="20"/>
                <w:lang w:eastAsia="en-GB"/>
              </w:rPr>
              <w:t>ToC</w:t>
            </w:r>
            <w:r w:rsidR="002A6970" w:rsidRPr="007F63EF">
              <w:rPr>
                <w:rFonts w:asciiTheme="minorHAnsi" w:eastAsia="Times New Roman" w:hAnsiTheme="minorHAnsi" w:cstheme="minorHAnsi"/>
                <w:sz w:val="20"/>
                <w:szCs w:val="20"/>
                <w:lang w:eastAsia="en-GB"/>
              </w:rPr>
              <w:t>/conceptual framework</w:t>
            </w:r>
            <w:r w:rsidR="002A6970" w:rsidRPr="007F63EF">
              <w:rPr>
                <w:rFonts w:asciiTheme="minorHAnsi" w:eastAsia="Times New Roman" w:hAnsiTheme="minorHAnsi" w:cstheme="minorHAnsi"/>
                <w:b/>
                <w:bCs/>
                <w:sz w:val="20"/>
                <w:szCs w:val="20"/>
                <w:lang w:eastAsia="en-GB"/>
              </w:rPr>
              <w:br/>
              <w:t>Effect:</w:t>
            </w:r>
            <w:r w:rsidR="002A6970" w:rsidRPr="007F63EF">
              <w:rPr>
                <w:rFonts w:asciiTheme="minorHAnsi" w:eastAsia="Times New Roman" w:hAnsiTheme="minorHAnsi" w:cstheme="minorHAnsi"/>
                <w:sz w:val="20"/>
                <w:szCs w:val="20"/>
                <w:lang w:eastAsia="en-GB"/>
              </w:rPr>
              <w:t xml:space="preserve"> </w:t>
            </w:r>
            <w:r w:rsidR="007142A7" w:rsidRPr="007F63EF">
              <w:rPr>
                <w:rFonts w:asciiTheme="minorHAnsi" w:eastAsia="Times New Roman" w:hAnsiTheme="minorHAnsi" w:cstheme="minorHAnsi"/>
                <w:sz w:val="20"/>
                <w:szCs w:val="20"/>
                <w:lang w:eastAsia="en-GB"/>
              </w:rPr>
              <w:t>Unable</w:t>
            </w:r>
            <w:r w:rsidR="002A6970" w:rsidRPr="007F63EF">
              <w:rPr>
                <w:rFonts w:asciiTheme="minorHAnsi" w:eastAsia="Times New Roman" w:hAnsiTheme="minorHAnsi" w:cstheme="minorHAnsi"/>
                <w:sz w:val="20"/>
                <w:szCs w:val="20"/>
                <w:lang w:eastAsia="en-GB"/>
              </w:rPr>
              <w:t xml:space="preserve"> to answer </w:t>
            </w:r>
            <w:r w:rsidR="003B6E59" w:rsidRPr="007F63EF">
              <w:rPr>
                <w:rFonts w:asciiTheme="minorHAnsi" w:eastAsia="Times New Roman" w:hAnsiTheme="minorHAnsi" w:cstheme="minorHAnsi"/>
                <w:sz w:val="20"/>
                <w:szCs w:val="20"/>
                <w:lang w:eastAsia="en-GB"/>
              </w:rPr>
              <w:t>outcome aligned</w:t>
            </w:r>
            <w:r w:rsidR="002A6970" w:rsidRPr="007F63EF">
              <w:rPr>
                <w:rFonts w:asciiTheme="minorHAnsi" w:eastAsia="Times New Roman" w:hAnsiTheme="minorHAnsi" w:cstheme="minorHAnsi"/>
                <w:sz w:val="20"/>
                <w:szCs w:val="20"/>
                <w:lang w:eastAsia="en-GB"/>
              </w:rPr>
              <w:t xml:space="preserve"> EQs, we will be reliant</w:t>
            </w:r>
            <w:r w:rsidR="007142A7" w:rsidRPr="007F63EF">
              <w:rPr>
                <w:rFonts w:asciiTheme="minorHAnsi" w:eastAsia="Times New Roman" w:hAnsiTheme="minorHAnsi" w:cstheme="minorHAnsi"/>
                <w:sz w:val="20"/>
                <w:szCs w:val="20"/>
                <w:lang w:eastAsia="en-GB"/>
              </w:rPr>
              <w:t>,</w:t>
            </w:r>
            <w:r w:rsidR="002A6970" w:rsidRPr="007F63EF">
              <w:rPr>
                <w:rFonts w:asciiTheme="minorHAnsi" w:eastAsia="Times New Roman" w:hAnsiTheme="minorHAnsi" w:cstheme="minorHAnsi"/>
                <w:sz w:val="20"/>
                <w:szCs w:val="20"/>
                <w:lang w:eastAsia="en-GB"/>
              </w:rPr>
              <w:t xml:space="preserve"> in many cases</w:t>
            </w:r>
            <w:r w:rsidR="007142A7" w:rsidRPr="007F63EF">
              <w:rPr>
                <w:rFonts w:asciiTheme="minorHAnsi" w:eastAsia="Times New Roman" w:hAnsiTheme="minorHAnsi" w:cstheme="minorHAnsi"/>
                <w:sz w:val="20"/>
                <w:szCs w:val="20"/>
                <w:lang w:eastAsia="en-GB"/>
              </w:rPr>
              <w:t>,</w:t>
            </w:r>
            <w:r w:rsidR="002A6970" w:rsidRPr="007F63EF">
              <w:rPr>
                <w:rFonts w:asciiTheme="minorHAnsi" w:eastAsia="Times New Roman" w:hAnsiTheme="minorHAnsi" w:cstheme="minorHAnsi"/>
                <w:sz w:val="20"/>
                <w:szCs w:val="20"/>
                <w:lang w:eastAsia="en-GB"/>
              </w:rPr>
              <w:t xml:space="preserve"> on early or interim indicators/predictors of transformation by the end of the </w:t>
            </w:r>
            <w:r w:rsidR="007142A7" w:rsidRPr="007F63EF">
              <w:rPr>
                <w:rFonts w:asciiTheme="minorHAnsi" w:eastAsia="Times New Roman" w:hAnsiTheme="minorHAnsi" w:cstheme="minorHAnsi"/>
                <w:sz w:val="20"/>
                <w:szCs w:val="20"/>
                <w:lang w:eastAsia="en-GB"/>
              </w:rPr>
              <w:t>five-</w:t>
            </w:r>
            <w:r w:rsidR="002A6970" w:rsidRPr="007F63EF">
              <w:rPr>
                <w:rFonts w:asciiTheme="minorHAnsi" w:eastAsia="Times New Roman" w:hAnsiTheme="minorHAnsi" w:cstheme="minorHAnsi"/>
                <w:sz w:val="20"/>
                <w:szCs w:val="20"/>
                <w:lang w:eastAsia="en-GB"/>
              </w:rPr>
              <w:t>year phase</w:t>
            </w:r>
            <w:r w:rsidR="007142A7" w:rsidRPr="007F63EF">
              <w:rPr>
                <w:rFonts w:asciiTheme="minorHAnsi" w:eastAsia="Times New Roman" w:hAnsiTheme="minorHAnsi" w:cstheme="minorHAnsi"/>
                <w:sz w:val="20"/>
                <w:szCs w:val="20"/>
                <w:lang w:eastAsia="en-GB"/>
              </w:rPr>
              <w:t>.</w:t>
            </w:r>
            <w:r w:rsidR="002A6970" w:rsidRPr="007F63EF">
              <w:rPr>
                <w:rFonts w:asciiTheme="minorHAnsi" w:eastAsia="Times New Roman" w:hAnsiTheme="minorHAnsi" w:cstheme="minorHAnsi"/>
                <w:sz w:val="20"/>
                <w:szCs w:val="20"/>
                <w:lang w:eastAsia="en-GB"/>
              </w:rPr>
              <w:br/>
            </w:r>
            <w:r w:rsidR="002A6970" w:rsidRPr="007F63EF">
              <w:rPr>
                <w:rFonts w:asciiTheme="minorHAnsi" w:eastAsia="Times New Roman" w:hAnsiTheme="minorHAnsi" w:cstheme="minorHAnsi"/>
                <w:b/>
                <w:bCs/>
                <w:sz w:val="20"/>
                <w:szCs w:val="20"/>
                <w:lang w:eastAsia="en-GB"/>
              </w:rPr>
              <w:t xml:space="preserve">Impact: </w:t>
            </w:r>
            <w:r w:rsidR="007142A7" w:rsidRPr="007F63EF">
              <w:rPr>
                <w:rFonts w:asciiTheme="minorHAnsi" w:eastAsia="Times New Roman" w:hAnsiTheme="minorHAnsi" w:cstheme="minorHAnsi"/>
                <w:sz w:val="20"/>
                <w:szCs w:val="20"/>
                <w:lang w:eastAsia="en-GB"/>
              </w:rPr>
              <w:t>Deliverables</w:t>
            </w:r>
            <w:r w:rsidR="002A6970" w:rsidRPr="007F63EF">
              <w:rPr>
                <w:rFonts w:asciiTheme="minorHAnsi" w:eastAsia="Times New Roman" w:hAnsiTheme="minorHAnsi" w:cstheme="minorHAnsi"/>
                <w:sz w:val="20"/>
                <w:szCs w:val="20"/>
                <w:lang w:eastAsia="en-GB"/>
              </w:rPr>
              <w:t xml:space="preserve"> not meeting contract specificatio</w:t>
            </w:r>
            <w:r w:rsidR="00435849" w:rsidRPr="007F63EF">
              <w:rPr>
                <w:rFonts w:asciiTheme="minorHAnsi" w:eastAsia="Times New Roman" w:hAnsiTheme="minorHAnsi" w:cstheme="minorHAnsi"/>
                <w:sz w:val="20"/>
                <w:szCs w:val="20"/>
                <w:lang w:eastAsia="en-GB"/>
              </w:rPr>
              <w:t>n</w:t>
            </w:r>
          </w:p>
        </w:tc>
        <w:tc>
          <w:tcPr>
            <w:tcW w:w="0" w:type="auto"/>
            <w:tcBorders>
              <w:top w:val="nil"/>
              <w:left w:val="nil"/>
              <w:bottom w:val="single" w:sz="4" w:space="0" w:color="auto"/>
              <w:right w:val="single" w:sz="4" w:space="0" w:color="auto"/>
            </w:tcBorders>
            <w:shd w:val="clear" w:color="auto" w:fill="auto"/>
            <w:vAlign w:val="center"/>
            <w:hideMark/>
          </w:tcPr>
          <w:p w14:paraId="03FC3C6F" w14:textId="3323CB88"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Actions:</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w:t>
            </w:r>
            <w:r w:rsidR="00DB4CA8" w:rsidRPr="007F63EF">
              <w:rPr>
                <w:rFonts w:asciiTheme="minorHAnsi" w:eastAsia="Times New Roman" w:hAnsiTheme="minorHAnsi" w:cstheme="minorHAnsi"/>
                <w:sz w:val="20"/>
                <w:szCs w:val="20"/>
                <w:lang w:eastAsia="en-GB"/>
              </w:rPr>
              <w:t>The evaluation team (</w:t>
            </w:r>
            <w:r w:rsidR="00415215" w:rsidRPr="007F63EF">
              <w:rPr>
                <w:rFonts w:asciiTheme="minorHAnsi" w:eastAsia="Times New Roman" w:hAnsiTheme="minorHAnsi" w:cstheme="minorHAnsi"/>
                <w:sz w:val="20"/>
                <w:szCs w:val="20"/>
                <w:lang w:eastAsia="en-GB"/>
              </w:rPr>
              <w:t>evaluation team</w:t>
            </w:r>
            <w:r w:rsidR="00DB4CA8"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 use</w:t>
            </w:r>
            <w:r w:rsidR="007142A7" w:rsidRPr="007F63EF">
              <w:rPr>
                <w:rFonts w:asciiTheme="minorHAnsi" w:eastAsia="Times New Roman" w:hAnsiTheme="minorHAnsi" w:cstheme="minorHAnsi"/>
                <w:sz w:val="20"/>
                <w:szCs w:val="20"/>
                <w:lang w:eastAsia="en-GB"/>
              </w:rPr>
              <w:t>s</w:t>
            </w:r>
            <w:r w:rsidRPr="007F63EF">
              <w:rPr>
                <w:rFonts w:asciiTheme="minorHAnsi" w:eastAsia="Times New Roman" w:hAnsiTheme="minorHAnsi" w:cstheme="minorHAnsi"/>
                <w:sz w:val="20"/>
                <w:szCs w:val="20"/>
                <w:lang w:eastAsia="en-GB"/>
              </w:rPr>
              <w:t xml:space="preserve"> </w:t>
            </w:r>
            <w:r w:rsidR="00F91E38" w:rsidRPr="007F63EF">
              <w:rPr>
                <w:rFonts w:asciiTheme="minorHAnsi" w:eastAsia="Times New Roman" w:hAnsiTheme="minorHAnsi" w:cstheme="minorHAnsi"/>
                <w:sz w:val="20"/>
                <w:szCs w:val="20"/>
                <w:lang w:eastAsia="en-GB"/>
              </w:rPr>
              <w:t>Contribution Analysis</w:t>
            </w:r>
            <w:r w:rsidR="002B6D96"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to explore whether outcomes that have not become apparent yet are likely to be delivered - so the design of the evaluation is predictive in nature.</w:t>
            </w:r>
            <w:r w:rsidRPr="007F63EF">
              <w:rPr>
                <w:rFonts w:asciiTheme="minorHAnsi" w:eastAsia="Times New Roman" w:hAnsiTheme="minorHAnsi" w:cstheme="minorHAnsi"/>
                <w:sz w:val="20"/>
                <w:szCs w:val="20"/>
                <w:lang w:eastAsia="en-GB"/>
              </w:rPr>
              <w:br/>
              <w:t>2.</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Inception period meetings educate partners </w:t>
            </w:r>
            <w:r w:rsidR="005A5F08" w:rsidRPr="007F63EF">
              <w:rPr>
                <w:rFonts w:asciiTheme="minorHAnsi" w:eastAsia="Times New Roman" w:hAnsiTheme="minorHAnsi" w:cstheme="minorHAnsi"/>
                <w:sz w:val="20"/>
                <w:szCs w:val="20"/>
                <w:lang w:eastAsia="en-GB"/>
              </w:rPr>
              <w:t xml:space="preserve">on </w:t>
            </w:r>
            <w:r w:rsidRPr="007F63EF">
              <w:rPr>
                <w:rFonts w:asciiTheme="minorHAnsi" w:eastAsia="Times New Roman" w:hAnsiTheme="minorHAnsi" w:cstheme="minorHAnsi"/>
                <w:sz w:val="20"/>
                <w:szCs w:val="20"/>
                <w:lang w:eastAsia="en-GB"/>
              </w:rPr>
              <w:t>the nature of the evaluation and what is evaluable.</w:t>
            </w:r>
          </w:p>
        </w:tc>
        <w:tc>
          <w:tcPr>
            <w:tcW w:w="0" w:type="auto"/>
            <w:tcBorders>
              <w:top w:val="single" w:sz="4" w:space="0" w:color="auto"/>
              <w:left w:val="single" w:sz="4" w:space="0" w:color="auto"/>
              <w:bottom w:val="single" w:sz="4" w:space="0" w:color="auto"/>
              <w:right w:val="single" w:sz="4" w:space="0" w:color="auto"/>
            </w:tcBorders>
            <w:shd w:val="thinDiagStripe" w:color="00B050" w:fill="00B050"/>
            <w:vAlign w:val="center"/>
            <w:hideMark/>
          </w:tcPr>
          <w:p w14:paraId="7EA71CA0"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G</w:t>
            </w:r>
          </w:p>
        </w:tc>
      </w:tr>
      <w:tr w:rsidR="00AC139B" w:rsidRPr="00AC139B" w14:paraId="1E72422F" w14:textId="77777777" w:rsidTr="00435849">
        <w:trPr>
          <w:gridAfter w:val="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FAE574"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Technical</w:t>
            </w:r>
          </w:p>
        </w:tc>
        <w:tc>
          <w:tcPr>
            <w:tcW w:w="0" w:type="auto"/>
            <w:tcBorders>
              <w:top w:val="nil"/>
              <w:left w:val="nil"/>
              <w:bottom w:val="single" w:sz="4" w:space="0" w:color="auto"/>
              <w:right w:val="single" w:sz="4" w:space="0" w:color="auto"/>
            </w:tcBorders>
            <w:shd w:val="clear" w:color="auto" w:fill="auto"/>
            <w:vAlign w:val="center"/>
            <w:hideMark/>
          </w:tcPr>
          <w:p w14:paraId="76414E8E" w14:textId="3F70DF38" w:rsidR="002A6970" w:rsidRPr="007F63EF" w:rsidRDefault="002A6970" w:rsidP="00435849">
            <w:pPr>
              <w:spacing w:after="240"/>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007142A7" w:rsidRPr="007F63EF">
              <w:rPr>
                <w:rFonts w:asciiTheme="minorHAnsi" w:eastAsia="Times New Roman" w:hAnsiTheme="minorHAnsi" w:cstheme="minorHAnsi"/>
                <w:sz w:val="20"/>
                <w:szCs w:val="20"/>
                <w:lang w:eastAsia="en-GB"/>
              </w:rPr>
              <w:t>Bias</w:t>
            </w:r>
            <w:r w:rsidRPr="007F63EF">
              <w:rPr>
                <w:rFonts w:asciiTheme="minorHAnsi" w:eastAsia="Times New Roman" w:hAnsiTheme="minorHAnsi" w:cstheme="minorHAnsi"/>
                <w:sz w:val="20"/>
                <w:szCs w:val="20"/>
                <w:lang w:eastAsia="en-GB"/>
              </w:rPr>
              <w:t xml:space="preserve"> in the selection of </w:t>
            </w:r>
            <w:r w:rsidR="00E73662" w:rsidRPr="007F63EF">
              <w:rPr>
                <w:rFonts w:asciiTheme="minorHAnsi" w:eastAsia="Times New Roman" w:hAnsiTheme="minorHAnsi" w:cstheme="minorHAnsi"/>
                <w:sz w:val="20"/>
                <w:szCs w:val="20"/>
                <w:lang w:eastAsia="en-GB"/>
              </w:rPr>
              <w:t xml:space="preserve">KIs and other </w:t>
            </w:r>
            <w:r w:rsidR="00A602D5" w:rsidRPr="007F63EF">
              <w:rPr>
                <w:rFonts w:asciiTheme="minorHAnsi" w:eastAsia="Times New Roman" w:hAnsiTheme="minorHAnsi" w:cstheme="minorHAnsi"/>
                <w:sz w:val="20"/>
                <w:szCs w:val="20"/>
                <w:lang w:eastAsia="en-GB"/>
              </w:rPr>
              <w:t xml:space="preserve">sources of </w:t>
            </w:r>
            <w:r w:rsidRPr="007F63EF">
              <w:rPr>
                <w:rFonts w:asciiTheme="minorHAnsi" w:eastAsia="Times New Roman" w:hAnsiTheme="minorHAnsi" w:cstheme="minorHAnsi"/>
                <w:sz w:val="20"/>
                <w:szCs w:val="20"/>
                <w:lang w:eastAsia="en-GB"/>
              </w:rPr>
              <w:t>evidence, either publication bias (where negative or unwelcome findings from evaluations have not been published) or selection bias.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b/>
                <w:bCs/>
                <w:sz w:val="20"/>
                <w:szCs w:val="20"/>
                <w:lang w:eastAsia="en-GB"/>
              </w:rPr>
              <w:br/>
              <w:t>Cause:</w:t>
            </w:r>
            <w:r w:rsidR="007458AC"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sz w:val="20"/>
                <w:szCs w:val="20"/>
                <w:lang w:eastAsia="en-GB"/>
              </w:rPr>
              <w:t>The evidence base will be incomplete and all evidence will not be included in evaluations.</w:t>
            </w:r>
            <w:r w:rsidRPr="007F63EF">
              <w:rPr>
                <w:rFonts w:asciiTheme="minorHAnsi" w:eastAsia="Times New Roman" w:hAnsiTheme="minorHAnsi" w:cstheme="minorHAnsi"/>
                <w:b/>
                <w:bCs/>
                <w:sz w:val="20"/>
                <w:szCs w:val="20"/>
                <w:lang w:eastAsia="en-GB"/>
              </w:rPr>
              <w:br/>
              <w:t xml:space="preserve">Effect: </w:t>
            </w:r>
            <w:r w:rsidR="00E651B6" w:rsidRPr="007F63EF">
              <w:rPr>
                <w:rFonts w:asciiTheme="minorHAnsi" w:eastAsia="Times New Roman" w:hAnsiTheme="minorHAnsi" w:cstheme="minorHAnsi"/>
                <w:sz w:val="20"/>
                <w:szCs w:val="20"/>
                <w:lang w:eastAsia="en-GB"/>
              </w:rPr>
              <w:t>Lack of awareness of gaps in evidence/findings</w:t>
            </w:r>
            <w:r w:rsidRPr="007F63EF">
              <w:rPr>
                <w:rFonts w:asciiTheme="minorHAnsi" w:eastAsia="Times New Roman" w:hAnsiTheme="minorHAnsi" w:cstheme="minorHAnsi"/>
                <w:sz w:val="20"/>
                <w:szCs w:val="20"/>
                <w:lang w:eastAsia="en-GB"/>
              </w:rPr>
              <w:t xml:space="preserve">. </w:t>
            </w:r>
            <w:r w:rsidR="008D7126" w:rsidRPr="007F63EF">
              <w:rPr>
                <w:rFonts w:asciiTheme="minorHAnsi" w:eastAsia="Times New Roman" w:hAnsiTheme="minorHAnsi" w:cstheme="minorHAnsi"/>
                <w:sz w:val="20"/>
                <w:szCs w:val="20"/>
                <w:lang w:eastAsia="en-GB"/>
              </w:rPr>
              <w:t>The</w:t>
            </w:r>
            <w:r w:rsidRPr="007F63EF">
              <w:rPr>
                <w:rFonts w:asciiTheme="minorHAnsi" w:eastAsia="Times New Roman" w:hAnsiTheme="minorHAnsi" w:cstheme="minorHAnsi"/>
                <w:sz w:val="20"/>
                <w:szCs w:val="20"/>
                <w:lang w:eastAsia="en-GB"/>
              </w:rPr>
              <w:t xml:space="preserve"> lack of evidence </w:t>
            </w:r>
            <w:r w:rsidR="005A5F08" w:rsidRPr="007F63EF">
              <w:rPr>
                <w:rFonts w:asciiTheme="minorHAnsi" w:eastAsia="Times New Roman" w:hAnsiTheme="minorHAnsi" w:cstheme="minorHAnsi"/>
                <w:sz w:val="20"/>
                <w:szCs w:val="20"/>
                <w:lang w:eastAsia="en-GB"/>
              </w:rPr>
              <w:t xml:space="preserve">may </w:t>
            </w:r>
            <w:r w:rsidRPr="007F63EF">
              <w:rPr>
                <w:rFonts w:asciiTheme="minorHAnsi" w:eastAsia="Times New Roman" w:hAnsiTheme="minorHAnsi" w:cstheme="minorHAnsi"/>
                <w:sz w:val="20"/>
                <w:szCs w:val="20"/>
                <w:lang w:eastAsia="en-GB"/>
              </w:rPr>
              <w:t>introduce bias.</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Impact:</w:t>
            </w:r>
            <w:r w:rsidRPr="007F63EF">
              <w:rPr>
                <w:rFonts w:asciiTheme="minorHAnsi" w:eastAsia="Times New Roman" w:hAnsiTheme="minorHAnsi" w:cstheme="minorHAnsi"/>
                <w:sz w:val="20"/>
                <w:szCs w:val="20"/>
                <w:lang w:eastAsia="en-GB"/>
              </w:rPr>
              <w:t xml:space="preserve"> Reduction in </w:t>
            </w:r>
            <w:r w:rsidR="007142A7"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quality of findings</w:t>
            </w:r>
            <w:r w:rsidR="00651D3C" w:rsidRPr="007F63EF">
              <w:rPr>
                <w:rFonts w:asciiTheme="minorHAnsi" w:eastAsia="Times New Roman" w:hAnsiTheme="minorHAnsi" w:cstheme="minorHAnsi"/>
                <w:sz w:val="20"/>
                <w:szCs w:val="20"/>
                <w:lang w:eastAsia="en-GB"/>
              </w:rPr>
              <w:t>. This impacts the Fleming Fund’s effectiveness if they act upon these incomplete findings.</w:t>
            </w:r>
          </w:p>
        </w:tc>
        <w:tc>
          <w:tcPr>
            <w:tcW w:w="0" w:type="auto"/>
            <w:tcBorders>
              <w:top w:val="nil"/>
              <w:left w:val="nil"/>
              <w:bottom w:val="single" w:sz="4" w:space="0" w:color="auto"/>
              <w:right w:val="single" w:sz="4" w:space="0" w:color="auto"/>
            </w:tcBorders>
            <w:shd w:val="clear" w:color="auto" w:fill="auto"/>
            <w:vAlign w:val="center"/>
            <w:hideMark/>
          </w:tcPr>
          <w:p w14:paraId="426F9F5D" w14:textId="7C9D27B1"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Actions:</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br/>
              <w:t xml:space="preserve">This will </w:t>
            </w:r>
            <w:r w:rsidR="00F37D64" w:rsidRPr="007F63EF">
              <w:rPr>
                <w:rFonts w:asciiTheme="minorHAnsi" w:eastAsia="Times New Roman" w:hAnsiTheme="minorHAnsi" w:cstheme="minorHAnsi"/>
                <w:sz w:val="20"/>
                <w:szCs w:val="20"/>
                <w:lang w:eastAsia="en-GB"/>
              </w:rPr>
              <w:t>mainly</w:t>
            </w:r>
            <w:r w:rsidRPr="007F63EF">
              <w:rPr>
                <w:rFonts w:asciiTheme="minorHAnsi" w:eastAsia="Times New Roman" w:hAnsiTheme="minorHAnsi" w:cstheme="minorHAnsi"/>
                <w:sz w:val="20"/>
                <w:szCs w:val="20"/>
                <w:lang w:eastAsia="en-GB"/>
              </w:rPr>
              <w:t xml:space="preserve"> be a challenge </w:t>
            </w:r>
            <w:r w:rsidR="00161824" w:rsidRPr="007F63EF">
              <w:rPr>
                <w:rFonts w:asciiTheme="minorHAnsi" w:eastAsia="Times New Roman" w:hAnsiTheme="minorHAnsi" w:cstheme="minorHAnsi"/>
                <w:sz w:val="20"/>
                <w:szCs w:val="20"/>
                <w:lang w:eastAsia="en-GB"/>
              </w:rPr>
              <w:t>for evaluating</w:t>
            </w:r>
            <w:r w:rsidRPr="007F63EF">
              <w:rPr>
                <w:rFonts w:asciiTheme="minorHAnsi" w:eastAsia="Times New Roman" w:hAnsiTheme="minorHAnsi" w:cstheme="minorHAnsi"/>
                <w:sz w:val="20"/>
                <w:szCs w:val="20"/>
                <w:lang w:eastAsia="en-GB"/>
              </w:rPr>
              <w:t xml:space="preserve"> the </w:t>
            </w:r>
            <w:r w:rsidR="00F21D1C" w:rsidRPr="007F63EF">
              <w:rPr>
                <w:rFonts w:asciiTheme="minorHAnsi" w:eastAsia="Times New Roman" w:hAnsiTheme="minorHAnsi" w:cstheme="minorHAnsi"/>
                <w:sz w:val="20"/>
                <w:szCs w:val="20"/>
                <w:lang w:eastAsia="en-GB"/>
              </w:rPr>
              <w:t>Fleming Fund</w:t>
            </w:r>
            <w:r w:rsidR="00161824" w:rsidRPr="007F63EF">
              <w:rPr>
                <w:rFonts w:asciiTheme="minorHAnsi" w:eastAsia="Times New Roman" w:hAnsiTheme="minorHAnsi" w:cstheme="minorHAnsi"/>
                <w:sz w:val="20"/>
                <w:szCs w:val="20"/>
                <w:lang w:eastAsia="en-GB"/>
              </w:rPr>
              <w:t>’</w:t>
            </w:r>
            <w:r w:rsidR="005A5F08" w:rsidRPr="007F63EF">
              <w:rPr>
                <w:rFonts w:asciiTheme="minorHAnsi" w:eastAsia="Times New Roman" w:hAnsiTheme="minorHAnsi" w:cstheme="minorHAnsi"/>
                <w:sz w:val="20"/>
                <w:szCs w:val="20"/>
                <w:lang w:eastAsia="en-GB"/>
              </w:rPr>
              <w:t>s</w:t>
            </w:r>
            <w:r w:rsidR="00161824" w:rsidRPr="007F63EF">
              <w:rPr>
                <w:rFonts w:asciiTheme="minorHAnsi" w:eastAsia="Times New Roman" w:hAnsiTheme="minorHAnsi" w:cstheme="minorHAnsi"/>
                <w:sz w:val="20"/>
                <w:szCs w:val="20"/>
                <w:lang w:eastAsia="en-GB"/>
              </w:rPr>
              <w:t xml:space="preserve"> contribution</w:t>
            </w:r>
            <w:r w:rsidR="00F21D1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to </w:t>
            </w:r>
            <w:r w:rsidR="00F37D64"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delivery of country outputs.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We will manage the risk of selection (confirmation) bias within analyses of experience in individual countries through:</w:t>
            </w:r>
            <w:r w:rsidRPr="007F63EF">
              <w:rPr>
                <w:rFonts w:asciiTheme="minorHAnsi" w:eastAsia="Times New Roman" w:hAnsiTheme="minorHAnsi" w:cstheme="minorHAnsi"/>
                <w:sz w:val="20"/>
                <w:szCs w:val="20"/>
                <w:lang w:eastAsia="en-GB"/>
              </w:rPr>
              <w:br/>
              <w:t>1.</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A rigorous process of assessing whethe</w:t>
            </w:r>
            <w:r w:rsidRPr="00AC139B">
              <w:rPr>
                <w:rFonts w:asciiTheme="minorHAnsi" w:eastAsia="Times New Roman" w:hAnsiTheme="minorHAnsi" w:cstheme="minorHAnsi"/>
                <w:color w:val="3B3B3C" w:themeColor="text1"/>
                <w:sz w:val="20"/>
                <w:szCs w:val="20"/>
                <w:lang w:eastAsia="en-GB"/>
              </w:rPr>
              <w:t xml:space="preserve">r </w:t>
            </w:r>
            <w:r w:rsidRPr="007F63EF">
              <w:rPr>
                <w:rFonts w:asciiTheme="minorHAnsi" w:eastAsia="Times New Roman" w:hAnsiTheme="minorHAnsi" w:cstheme="minorHAnsi"/>
                <w:sz w:val="20"/>
                <w:szCs w:val="20"/>
                <w:lang w:eastAsia="en-GB"/>
              </w:rPr>
              <w:t xml:space="preserve">there are alternative explanations (theories of causality) </w:t>
            </w:r>
            <w:r w:rsidR="00161824" w:rsidRPr="007F63EF">
              <w:rPr>
                <w:rFonts w:asciiTheme="minorHAnsi" w:eastAsia="Times New Roman" w:hAnsiTheme="minorHAnsi" w:cstheme="minorHAnsi"/>
                <w:sz w:val="20"/>
                <w:szCs w:val="20"/>
                <w:lang w:eastAsia="en-GB"/>
              </w:rPr>
              <w:t>for</w:t>
            </w:r>
            <w:r w:rsidRPr="007F63EF">
              <w:rPr>
                <w:rFonts w:asciiTheme="minorHAnsi" w:eastAsia="Times New Roman" w:hAnsiTheme="minorHAnsi" w:cstheme="minorHAnsi"/>
                <w:sz w:val="20"/>
                <w:szCs w:val="20"/>
                <w:lang w:eastAsia="en-GB"/>
              </w:rPr>
              <w:t xml:space="preserve"> what is observed.</w:t>
            </w:r>
            <w:r w:rsidRPr="007F63EF">
              <w:rPr>
                <w:rFonts w:asciiTheme="minorHAnsi" w:eastAsia="Times New Roman" w:hAnsiTheme="minorHAnsi" w:cstheme="minorHAnsi"/>
                <w:sz w:val="20"/>
                <w:szCs w:val="20"/>
                <w:lang w:eastAsia="en-GB"/>
              </w:rPr>
              <w:br/>
              <w:t>2.</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A transparent and systematic process of internal </w:t>
            </w:r>
            <w:r w:rsidR="00B25D09" w:rsidRPr="007F63EF">
              <w:rPr>
                <w:rFonts w:asciiTheme="minorHAnsi" w:eastAsia="Times New Roman" w:hAnsiTheme="minorHAnsi" w:cstheme="minorHAnsi"/>
                <w:sz w:val="20"/>
                <w:szCs w:val="20"/>
                <w:lang w:eastAsia="en-GB"/>
              </w:rPr>
              <w:t>QA</w:t>
            </w:r>
            <w:r w:rsidRPr="007F63EF">
              <w:rPr>
                <w:rFonts w:asciiTheme="minorHAnsi" w:eastAsia="Times New Roman" w:hAnsiTheme="minorHAnsi" w:cstheme="minorHAnsi"/>
                <w:sz w:val="20"/>
                <w:szCs w:val="20"/>
                <w:lang w:eastAsia="en-GB"/>
              </w:rPr>
              <w:t xml:space="preserve"> </w:t>
            </w:r>
            <w:r w:rsidR="005A5F08" w:rsidRPr="007F63EF">
              <w:rPr>
                <w:rFonts w:asciiTheme="minorHAnsi" w:eastAsia="Times New Roman" w:hAnsiTheme="minorHAnsi" w:cstheme="minorHAnsi"/>
                <w:sz w:val="20"/>
                <w:szCs w:val="20"/>
                <w:lang w:eastAsia="en-GB"/>
              </w:rPr>
              <w:t xml:space="preserve">that </w:t>
            </w:r>
            <w:r w:rsidRPr="007F63EF">
              <w:rPr>
                <w:rFonts w:asciiTheme="minorHAnsi" w:eastAsia="Times New Roman" w:hAnsiTheme="minorHAnsi" w:cstheme="minorHAnsi"/>
                <w:sz w:val="20"/>
                <w:szCs w:val="20"/>
                <w:lang w:eastAsia="en-GB"/>
              </w:rPr>
              <w:t>will focus on whether or not</w:t>
            </w:r>
            <w:r w:rsidR="00AC139B">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 credible data is available and has been well triangulated to support claims made on the contributions of</w:t>
            </w:r>
            <w:r w:rsidR="00161824"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w:t>
            </w:r>
            <w:r w:rsidR="00F21D1C" w:rsidRPr="007F63EF">
              <w:rPr>
                <w:rFonts w:asciiTheme="minorHAnsi" w:eastAsia="Times New Roman" w:hAnsiTheme="minorHAnsi" w:cstheme="minorHAnsi"/>
                <w:sz w:val="20"/>
                <w:szCs w:val="20"/>
                <w:lang w:eastAsia="en-GB"/>
              </w:rPr>
              <w:t>Fleming Fund</w:t>
            </w:r>
            <w:r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br/>
              <w:t>3.</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Presentation and discussion of the evidence and contribution story developed with key country</w:t>
            </w:r>
            <w:r w:rsidR="005A5F08"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level stakeholders to allow them to assess whether the evidence is supported by their experience, and if not, why.</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sz w:val="20"/>
                <w:szCs w:val="20"/>
                <w:lang w:eastAsia="en-GB"/>
              </w:rPr>
              <w:br/>
              <w:t xml:space="preserve">We will manage the risk of confirmation bias in presenting findings across the countries in which the </w:t>
            </w:r>
            <w:r w:rsidR="00F21D1C" w:rsidRPr="007F63EF">
              <w:rPr>
                <w:rFonts w:asciiTheme="minorHAnsi" w:eastAsia="Times New Roman" w:hAnsiTheme="minorHAnsi" w:cstheme="minorHAnsi"/>
                <w:sz w:val="20"/>
                <w:szCs w:val="20"/>
                <w:lang w:eastAsia="en-GB"/>
              </w:rPr>
              <w:t xml:space="preserve">Fleming Fund </w:t>
            </w:r>
            <w:r w:rsidRPr="007F63EF">
              <w:rPr>
                <w:rFonts w:asciiTheme="minorHAnsi" w:eastAsia="Times New Roman" w:hAnsiTheme="minorHAnsi" w:cstheme="minorHAnsi"/>
                <w:sz w:val="20"/>
                <w:szCs w:val="20"/>
                <w:lang w:eastAsia="en-GB"/>
              </w:rPr>
              <w:t>works through:</w:t>
            </w:r>
            <w:r w:rsidRPr="007F63EF">
              <w:rPr>
                <w:rFonts w:asciiTheme="minorHAnsi" w:eastAsia="Times New Roman" w:hAnsiTheme="minorHAnsi" w:cstheme="minorHAnsi"/>
                <w:sz w:val="20"/>
                <w:szCs w:val="20"/>
                <w:lang w:eastAsia="en-GB"/>
              </w:rPr>
              <w:br/>
              <w:t xml:space="preserve">4. Using a systematic and transparent process of </w:t>
            </w:r>
            <w:r w:rsidR="000E7658" w:rsidRPr="007F63EF">
              <w:rPr>
                <w:rFonts w:asciiTheme="minorHAnsi" w:eastAsia="Times New Roman" w:hAnsiTheme="minorHAnsi" w:cstheme="minorHAnsi"/>
                <w:sz w:val="20"/>
                <w:szCs w:val="20"/>
                <w:lang w:eastAsia="en-GB"/>
              </w:rPr>
              <w:t>cross-case</w:t>
            </w:r>
            <w:r w:rsidRPr="007F63EF">
              <w:rPr>
                <w:rFonts w:asciiTheme="minorHAnsi" w:eastAsia="Times New Roman" w:hAnsiTheme="minorHAnsi" w:cstheme="minorHAnsi"/>
                <w:sz w:val="20"/>
                <w:szCs w:val="20"/>
                <w:lang w:eastAsia="en-GB"/>
              </w:rPr>
              <w:t xml:space="preserve"> analysis, supported by internal </w:t>
            </w:r>
            <w:r w:rsidR="00B25D09" w:rsidRPr="007F63EF">
              <w:rPr>
                <w:rFonts w:asciiTheme="minorHAnsi" w:eastAsia="Times New Roman" w:hAnsiTheme="minorHAnsi" w:cstheme="minorHAnsi"/>
                <w:sz w:val="20"/>
                <w:szCs w:val="20"/>
                <w:lang w:eastAsia="en-GB"/>
              </w:rPr>
              <w:t>QA</w:t>
            </w:r>
            <w:r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br/>
              <w:t>5. In cases where we do not have evidence across the whole portfolio, generalising through theory and only generalising to the degree that qualitative good practice allows us to.</w:t>
            </w:r>
          </w:p>
        </w:tc>
        <w:tc>
          <w:tcPr>
            <w:tcW w:w="0" w:type="auto"/>
            <w:tcBorders>
              <w:top w:val="single" w:sz="4" w:space="0" w:color="auto"/>
              <w:left w:val="single" w:sz="4" w:space="0" w:color="auto"/>
              <w:bottom w:val="single" w:sz="4" w:space="0" w:color="auto"/>
              <w:right w:val="single" w:sz="4" w:space="0" w:color="auto"/>
            </w:tcBorders>
            <w:shd w:val="thinDiagStripe" w:color="00B050" w:fill="00B050"/>
            <w:vAlign w:val="center"/>
            <w:hideMark/>
          </w:tcPr>
          <w:p w14:paraId="4F417D57"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G</w:t>
            </w:r>
          </w:p>
        </w:tc>
      </w:tr>
      <w:tr w:rsidR="00AC139B" w:rsidRPr="00AC139B" w14:paraId="2612A45D" w14:textId="77777777" w:rsidTr="00435849">
        <w:trPr>
          <w:gridAfter w:val="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61B4CE" w14:textId="77777777" w:rsidR="002A6970" w:rsidRPr="007F63EF" w:rsidRDefault="002A6970" w:rsidP="00435849">
            <w:pPr>
              <w:rPr>
                <w:rFonts w:asciiTheme="minorHAnsi" w:eastAsia="Times New Roman" w:hAnsiTheme="minorHAnsi" w:cstheme="minorHAnsi"/>
                <w:sz w:val="20"/>
                <w:szCs w:val="20"/>
                <w:lang w:eastAsia="en-GB"/>
              </w:rPr>
            </w:pPr>
            <w:bookmarkStart w:id="317" w:name="_Hlk122090239"/>
            <w:bookmarkEnd w:id="316"/>
            <w:r w:rsidRPr="007F63EF">
              <w:rPr>
                <w:rFonts w:asciiTheme="minorHAnsi" w:eastAsia="Times New Roman" w:hAnsiTheme="minorHAnsi" w:cstheme="minorHAnsi"/>
                <w:sz w:val="20"/>
                <w:szCs w:val="20"/>
                <w:lang w:eastAsia="en-GB"/>
              </w:rPr>
              <w:t>Technical</w:t>
            </w:r>
          </w:p>
        </w:tc>
        <w:tc>
          <w:tcPr>
            <w:tcW w:w="0" w:type="auto"/>
            <w:tcBorders>
              <w:top w:val="nil"/>
              <w:left w:val="nil"/>
              <w:bottom w:val="single" w:sz="4" w:space="0" w:color="auto"/>
              <w:right w:val="single" w:sz="4" w:space="0" w:color="auto"/>
            </w:tcBorders>
            <w:shd w:val="clear" w:color="auto" w:fill="auto"/>
            <w:vAlign w:val="center"/>
            <w:hideMark/>
          </w:tcPr>
          <w:p w14:paraId="5F62115C" w14:textId="4E2C60FD"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 xml:space="preserve">Not possible to get sufficient evidence to answer priority EQs. This risk has increased due to </w:t>
            </w:r>
            <w:r w:rsidR="0075181D" w:rsidRPr="007F63EF">
              <w:rPr>
                <w:rFonts w:asciiTheme="minorHAnsi" w:eastAsia="Times New Roman" w:hAnsiTheme="minorHAnsi" w:cstheme="minorHAnsi"/>
                <w:sz w:val="20"/>
                <w:szCs w:val="20"/>
                <w:lang w:eastAsia="en-GB"/>
              </w:rPr>
              <w:t>COVID-</w:t>
            </w:r>
            <w:r w:rsidRPr="007F63EF">
              <w:rPr>
                <w:rFonts w:asciiTheme="minorHAnsi" w:eastAsia="Times New Roman" w:hAnsiTheme="minorHAnsi" w:cstheme="minorHAnsi"/>
                <w:sz w:val="20"/>
                <w:szCs w:val="20"/>
                <w:lang w:eastAsia="en-GB"/>
              </w:rPr>
              <w:t>19 and the need to move from in</w:t>
            </w:r>
            <w:r w:rsidR="00AC139B">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country data collection to remote data collection and the increased difficulty of accessing stakeholders, some of whom are refocusing on </w:t>
            </w:r>
            <w:r w:rsidR="0075181D" w:rsidRPr="007F63EF">
              <w:rPr>
                <w:rFonts w:asciiTheme="minorHAnsi" w:eastAsia="Times New Roman" w:hAnsiTheme="minorHAnsi" w:cstheme="minorHAnsi"/>
                <w:sz w:val="20"/>
                <w:szCs w:val="20"/>
                <w:lang w:eastAsia="en-GB"/>
              </w:rPr>
              <w:t>COVID-</w:t>
            </w:r>
            <w:r w:rsidRPr="007F63EF">
              <w:rPr>
                <w:rFonts w:asciiTheme="minorHAnsi" w:eastAsia="Times New Roman" w:hAnsiTheme="minorHAnsi" w:cstheme="minorHAnsi"/>
                <w:sz w:val="20"/>
                <w:szCs w:val="20"/>
                <w:lang w:eastAsia="en-GB"/>
              </w:rPr>
              <w:t xml:space="preserve">19. </w:t>
            </w:r>
            <w:r w:rsidRPr="007F63EF">
              <w:rPr>
                <w:rFonts w:asciiTheme="minorHAnsi" w:eastAsia="Times New Roman" w:hAnsiTheme="minorHAnsi" w:cstheme="minorHAnsi"/>
                <w:b/>
                <w:bCs/>
                <w:sz w:val="20"/>
                <w:szCs w:val="20"/>
                <w:lang w:eastAsia="en-GB"/>
              </w:rPr>
              <w:br/>
              <w:t xml:space="preserve">Cause: </w:t>
            </w:r>
            <w:r w:rsidRPr="007F63EF">
              <w:rPr>
                <w:rFonts w:asciiTheme="minorHAnsi" w:eastAsia="Times New Roman" w:hAnsiTheme="minorHAnsi" w:cstheme="minorHAnsi"/>
                <w:sz w:val="20"/>
                <w:szCs w:val="20"/>
                <w:lang w:eastAsia="en-GB"/>
              </w:rPr>
              <w:t>Data unavailable, question unclear in scope, activities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dependent on further work</w:t>
            </w:r>
            <w:r w:rsidRPr="007F63EF">
              <w:rPr>
                <w:rFonts w:asciiTheme="minorHAnsi" w:eastAsia="Times New Roman" w:hAnsiTheme="minorHAnsi" w:cstheme="minorHAnsi"/>
                <w:b/>
                <w:bCs/>
                <w:sz w:val="20"/>
                <w:szCs w:val="20"/>
                <w:lang w:eastAsia="en-GB"/>
              </w:rPr>
              <w:br/>
              <w:t>Effect:</w:t>
            </w:r>
            <w:r w:rsidR="007458AC" w:rsidRPr="007F63EF">
              <w:rPr>
                <w:rFonts w:asciiTheme="minorHAnsi" w:eastAsia="Times New Roman" w:hAnsiTheme="minorHAnsi" w:cstheme="minorHAnsi"/>
                <w:b/>
                <w:bCs/>
                <w:sz w:val="20"/>
                <w:szCs w:val="20"/>
                <w:lang w:eastAsia="en-GB"/>
              </w:rPr>
              <w:t xml:space="preserve"> </w:t>
            </w:r>
            <w:r w:rsidR="00AC139B">
              <w:rPr>
                <w:rFonts w:asciiTheme="minorHAnsi" w:eastAsia="Times New Roman" w:hAnsiTheme="minorHAnsi" w:cstheme="minorHAnsi"/>
                <w:sz w:val="20"/>
                <w:szCs w:val="20"/>
                <w:lang w:eastAsia="en-GB"/>
              </w:rPr>
              <w:t>The budget</w:t>
            </w:r>
            <w:r w:rsidR="00AC139B"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runs out and work has to be reduced or </w:t>
            </w:r>
            <w:r w:rsidR="00AC139B">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budget </w:t>
            </w:r>
            <w:r w:rsidR="003E7FD2" w:rsidRPr="007F63EF">
              <w:rPr>
                <w:rFonts w:asciiTheme="minorHAnsi" w:eastAsia="Times New Roman" w:hAnsiTheme="minorHAnsi" w:cstheme="minorHAnsi"/>
                <w:sz w:val="20"/>
                <w:szCs w:val="20"/>
                <w:lang w:eastAsia="en-GB"/>
              </w:rPr>
              <w:t>reallocated</w:t>
            </w:r>
            <w:r w:rsidRPr="007F63EF">
              <w:rPr>
                <w:rFonts w:asciiTheme="minorHAnsi" w:eastAsia="Times New Roman" w:hAnsiTheme="minorHAnsi" w:cstheme="minorHAnsi"/>
                <w:sz w:val="20"/>
                <w:szCs w:val="20"/>
                <w:lang w:eastAsia="en-GB"/>
              </w:rPr>
              <w:t>.</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Can</w:t>
            </w:r>
            <w:r w:rsidR="005A5F08" w:rsidRPr="007F63EF">
              <w:rPr>
                <w:rFonts w:asciiTheme="minorHAnsi" w:eastAsia="Times New Roman" w:hAnsiTheme="minorHAnsi" w:cstheme="minorHAnsi"/>
                <w:sz w:val="20"/>
                <w:szCs w:val="20"/>
                <w:lang w:eastAsia="en-GB"/>
              </w:rPr>
              <w:t xml:space="preserve"> no</w:t>
            </w:r>
            <w:r w:rsidRPr="007F63EF">
              <w:rPr>
                <w:rFonts w:asciiTheme="minorHAnsi" w:eastAsia="Times New Roman" w:hAnsiTheme="minorHAnsi" w:cstheme="minorHAnsi"/>
                <w:sz w:val="20"/>
                <w:szCs w:val="20"/>
                <w:lang w:eastAsia="en-GB"/>
              </w:rPr>
              <w:t>t deliver quality products.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Evaluation does not meet </w:t>
            </w:r>
            <w:r w:rsidR="005A5F08" w:rsidRPr="007F63EF">
              <w:rPr>
                <w:rFonts w:asciiTheme="minorHAnsi" w:eastAsia="Times New Roman" w:hAnsiTheme="minorHAnsi" w:cstheme="minorHAnsi"/>
                <w:sz w:val="20"/>
                <w:szCs w:val="20"/>
                <w:lang w:eastAsia="en-GB"/>
              </w:rPr>
              <w:t xml:space="preserve">its </w:t>
            </w:r>
            <w:r w:rsidRPr="007F63EF">
              <w:rPr>
                <w:rFonts w:asciiTheme="minorHAnsi" w:eastAsia="Times New Roman" w:hAnsiTheme="minorHAnsi" w:cstheme="minorHAnsi"/>
                <w:sz w:val="20"/>
                <w:szCs w:val="20"/>
                <w:lang w:eastAsia="en-GB"/>
              </w:rPr>
              <w:t>purpose.</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 xml:space="preserve">Impact: </w:t>
            </w:r>
            <w:r w:rsidRPr="007F63EF">
              <w:rPr>
                <w:rFonts w:asciiTheme="minorHAnsi" w:eastAsia="Times New Roman" w:hAnsiTheme="minorHAnsi" w:cstheme="minorHAnsi"/>
                <w:sz w:val="20"/>
                <w:szCs w:val="20"/>
                <w:lang w:eastAsia="en-GB"/>
              </w:rPr>
              <w:t>Breach of contract.</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Trade off with other areas of evaluation. Reputational damage.</w:t>
            </w:r>
          </w:p>
        </w:tc>
        <w:tc>
          <w:tcPr>
            <w:tcW w:w="0" w:type="auto"/>
            <w:tcBorders>
              <w:top w:val="nil"/>
              <w:left w:val="nil"/>
              <w:bottom w:val="single" w:sz="4" w:space="0" w:color="auto"/>
              <w:right w:val="single" w:sz="4" w:space="0" w:color="auto"/>
            </w:tcBorders>
            <w:shd w:val="clear" w:color="auto" w:fill="auto"/>
            <w:vAlign w:val="center"/>
            <w:hideMark/>
          </w:tcPr>
          <w:p w14:paraId="5040DE0C" w14:textId="1791984A"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BC39B4" w:rsidRPr="007F63EF">
              <w:rPr>
                <w:rFonts w:asciiTheme="minorHAnsi" w:eastAsia="Times New Roman" w:hAnsiTheme="minorHAnsi" w:cstheme="minorHAnsi"/>
                <w:b/>
                <w:bCs/>
                <w:sz w:val="20"/>
                <w:szCs w:val="20"/>
                <w:lang w:eastAsia="en-GB"/>
              </w:rPr>
              <w:t>s</w:t>
            </w:r>
            <w:r w:rsidR="00435849" w:rsidRPr="007F63EF">
              <w:rPr>
                <w:rFonts w:asciiTheme="minorHAnsi" w:eastAsia="Times New Roman" w:hAnsiTheme="minorHAnsi" w:cstheme="minorHAnsi"/>
                <w:b/>
                <w:bCs/>
                <w:sz w:val="20"/>
                <w:szCs w:val="20"/>
                <w:lang w:eastAsia="en-GB"/>
              </w:rPr>
              <w:t>:</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Careful refining and prioritisation for each </w:t>
            </w:r>
            <w:r w:rsidR="00CE24CE" w:rsidRPr="007F63EF">
              <w:rPr>
                <w:rFonts w:asciiTheme="minorHAnsi" w:eastAsia="Times New Roman" w:hAnsiTheme="minorHAnsi" w:cstheme="minorHAnsi"/>
                <w:sz w:val="20"/>
                <w:szCs w:val="20"/>
                <w:lang w:eastAsia="en-GB"/>
              </w:rPr>
              <w:t>EQ</w:t>
            </w:r>
            <w:r w:rsidR="00161824"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and relevant indicators</w:t>
            </w:r>
            <w:r w:rsidR="00916FF4"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br/>
              <w:t xml:space="preserve">2. </w:t>
            </w:r>
            <w:r w:rsidR="007A1A35" w:rsidRPr="007F63EF">
              <w:rPr>
                <w:rFonts w:asciiTheme="minorHAnsi" w:eastAsia="Times New Roman" w:hAnsiTheme="minorHAnsi" w:cstheme="minorHAnsi"/>
                <w:sz w:val="20"/>
                <w:szCs w:val="20"/>
                <w:lang w:eastAsia="en-GB"/>
              </w:rPr>
              <w:t>A</w:t>
            </w:r>
            <w:r w:rsidRPr="007F63EF">
              <w:rPr>
                <w:rFonts w:asciiTheme="minorHAnsi" w:eastAsia="Times New Roman" w:hAnsiTheme="minorHAnsi" w:cstheme="minorHAnsi"/>
                <w:sz w:val="20"/>
                <w:szCs w:val="20"/>
                <w:lang w:eastAsia="en-GB"/>
              </w:rPr>
              <w:t xml:space="preserve"> clear, resourced plan for gathering data against each EQ</w:t>
            </w:r>
            <w:r w:rsidR="007A1A35" w:rsidRPr="007F63EF">
              <w:rPr>
                <w:rFonts w:asciiTheme="minorHAnsi" w:eastAsia="Times New Roman" w:hAnsiTheme="minorHAnsi" w:cstheme="minorHAnsi"/>
                <w:sz w:val="20"/>
                <w:szCs w:val="20"/>
                <w:lang w:eastAsia="en-GB"/>
              </w:rPr>
              <w:t>, signed off by DHSC and approved by the MA</w:t>
            </w:r>
            <w:r w:rsidR="00916FF4"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br/>
              <w:t>3. Management of monitoring system to deliver data - following M&amp;E framework.</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Regular interaction with </w:t>
            </w:r>
            <w:r w:rsidR="00916FF4"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 and</w:t>
            </w:r>
            <w:r w:rsidR="00916FF4"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DHSC to identify data availability and respond to changes in reporting systems.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Adaptation of evaluation approach and data collection tools to mitigate anticipated paucity of data from routine reporting.</w:t>
            </w:r>
            <w:r w:rsidRPr="007F63EF">
              <w:rPr>
                <w:rFonts w:asciiTheme="minorHAnsi" w:eastAsia="Times New Roman" w:hAnsiTheme="minorHAnsi" w:cstheme="minorHAnsi"/>
                <w:sz w:val="20"/>
                <w:szCs w:val="20"/>
                <w:lang w:eastAsia="en-GB"/>
              </w:rPr>
              <w:br/>
              <w:t xml:space="preserve">4. Reformatting of evaluation approach to ensure data can be collected remotely in 2021 and 2022, working with </w:t>
            </w:r>
            <w:r w:rsidR="00916FF4"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 to support access to stakeholders an</w:t>
            </w:r>
            <w:r w:rsidR="00916FF4" w:rsidRPr="007F63EF">
              <w:rPr>
                <w:rFonts w:asciiTheme="minorHAnsi" w:eastAsia="Times New Roman" w:hAnsiTheme="minorHAnsi" w:cstheme="minorHAnsi"/>
                <w:sz w:val="20"/>
                <w:szCs w:val="20"/>
                <w:lang w:eastAsia="en-GB"/>
              </w:rPr>
              <w:t>d</w:t>
            </w:r>
            <w:r w:rsidRPr="007F63EF">
              <w:rPr>
                <w:rFonts w:asciiTheme="minorHAnsi" w:eastAsia="Times New Roman" w:hAnsiTheme="minorHAnsi" w:cstheme="minorHAnsi"/>
                <w:sz w:val="20"/>
                <w:szCs w:val="20"/>
                <w:lang w:eastAsia="en-GB"/>
              </w:rPr>
              <w:t xml:space="preserve"> enable answering of EQs. </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 xml:space="preserve">Contingency Plan: </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Itad to keep under close review during 2022.</w:t>
            </w:r>
            <w:r w:rsidR="007458AC" w:rsidRPr="007F63EF">
              <w:rPr>
                <w:rFonts w:asciiTheme="minorHAnsi" w:eastAsia="Times New Roman" w:hAnsiTheme="minorHAnsi" w:cstheme="minorHAnsi"/>
                <w:sz w:val="20"/>
                <w:szCs w:val="20"/>
                <w:lang w:eastAsia="en-GB"/>
              </w:rPr>
              <w:t xml:space="preserve"> </w:t>
            </w:r>
            <w:r w:rsidR="00916FF4"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w:t>
            </w:r>
            <w:r w:rsidR="00916FF4" w:rsidRPr="007F63EF">
              <w:rPr>
                <w:rFonts w:asciiTheme="minorHAnsi" w:eastAsia="Times New Roman" w:hAnsiTheme="minorHAnsi" w:cstheme="minorHAnsi"/>
                <w:sz w:val="20"/>
                <w:szCs w:val="20"/>
                <w:lang w:eastAsia="en-GB"/>
              </w:rPr>
              <w:t>’s</w:t>
            </w:r>
            <w:r w:rsidRPr="007F63EF">
              <w:rPr>
                <w:rFonts w:asciiTheme="minorHAnsi" w:eastAsia="Times New Roman" w:hAnsiTheme="minorHAnsi" w:cstheme="minorHAnsi"/>
                <w:sz w:val="20"/>
                <w:szCs w:val="20"/>
                <w:lang w:eastAsia="en-GB"/>
              </w:rPr>
              <w:t xml:space="preserve"> plans for within </w:t>
            </w:r>
            <w:r w:rsidR="00AC139B">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country (contribution of all grants into a single results framework) and cross-country analysis become clearer.</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We expect to be able to gather sufficient supplementary information through document review and KIIs to produce a quality deliverable at that time.</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The</w:t>
            </w:r>
            <w:r w:rsidR="007458AC" w:rsidRPr="007F63EF">
              <w:rPr>
                <w:rFonts w:asciiTheme="minorHAnsi" w:eastAsia="Times New Roman" w:hAnsiTheme="minorHAnsi" w:cstheme="minorHAnsi"/>
                <w:sz w:val="20"/>
                <w:szCs w:val="20"/>
                <w:lang w:eastAsia="en-GB"/>
              </w:rPr>
              <w:t xml:space="preserve"> </w:t>
            </w:r>
            <w:r w:rsidR="00916FF4" w:rsidRPr="007F63EF">
              <w:rPr>
                <w:rFonts w:asciiTheme="minorHAnsi" w:eastAsia="Times New Roman" w:hAnsiTheme="minorHAnsi" w:cstheme="minorHAnsi"/>
                <w:sz w:val="20"/>
                <w:szCs w:val="20"/>
                <w:lang w:eastAsia="en-GB"/>
              </w:rPr>
              <w:t xml:space="preserve">third </w:t>
            </w:r>
            <w:r w:rsidRPr="007F63EF">
              <w:rPr>
                <w:rFonts w:asciiTheme="minorHAnsi" w:eastAsia="Times New Roman" w:hAnsiTheme="minorHAnsi" w:cstheme="minorHAnsi"/>
                <w:sz w:val="20"/>
                <w:szCs w:val="20"/>
                <w:lang w:eastAsia="en-GB"/>
              </w:rPr>
              <w:t xml:space="preserve">country visits completed in 2022 have </w:t>
            </w:r>
            <w:r w:rsidR="00C7040C" w:rsidRPr="007F63EF">
              <w:rPr>
                <w:rFonts w:asciiTheme="minorHAnsi" w:eastAsia="Times New Roman" w:hAnsiTheme="minorHAnsi" w:cstheme="minorHAnsi"/>
                <w:sz w:val="20"/>
                <w:szCs w:val="20"/>
                <w:lang w:eastAsia="en-GB"/>
              </w:rPr>
              <w:t>drawn</w:t>
            </w:r>
            <w:r w:rsidRPr="007F63EF">
              <w:rPr>
                <w:rFonts w:asciiTheme="minorHAnsi" w:eastAsia="Times New Roman" w:hAnsiTheme="minorHAnsi" w:cstheme="minorHAnsi"/>
                <w:sz w:val="20"/>
                <w:szCs w:val="20"/>
                <w:lang w:eastAsia="en-GB"/>
              </w:rPr>
              <w:t xml:space="preserve"> more heavily on </w:t>
            </w:r>
            <w:r w:rsidR="00916FF4"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w:t>
            </w:r>
            <w:r w:rsidR="00916FF4" w:rsidRPr="007F63EF">
              <w:rPr>
                <w:rFonts w:asciiTheme="minorHAnsi" w:eastAsia="Times New Roman" w:hAnsiTheme="minorHAnsi" w:cstheme="minorHAnsi"/>
                <w:sz w:val="20"/>
                <w:szCs w:val="20"/>
                <w:lang w:eastAsia="en-GB"/>
              </w:rPr>
              <w:t>’s</w:t>
            </w:r>
            <w:r w:rsidRPr="007F63EF">
              <w:rPr>
                <w:rFonts w:asciiTheme="minorHAnsi" w:eastAsia="Times New Roman" w:hAnsiTheme="minorHAnsi" w:cstheme="minorHAnsi"/>
                <w:sz w:val="20"/>
                <w:szCs w:val="20"/>
                <w:lang w:eastAsia="en-GB"/>
              </w:rPr>
              <w:t xml:space="preserve"> reporting.</w:t>
            </w:r>
          </w:p>
        </w:tc>
        <w:tc>
          <w:tcPr>
            <w:tcW w:w="0" w:type="auto"/>
            <w:tcBorders>
              <w:top w:val="single" w:sz="4" w:space="0" w:color="auto"/>
              <w:left w:val="single" w:sz="4" w:space="0" w:color="auto"/>
              <w:bottom w:val="single" w:sz="4" w:space="0" w:color="auto"/>
              <w:right w:val="single" w:sz="4" w:space="0" w:color="auto"/>
            </w:tcBorders>
            <w:shd w:val="thinDiagStripe" w:color="FFC000" w:fill="FFC000"/>
            <w:vAlign w:val="center"/>
            <w:hideMark/>
          </w:tcPr>
          <w:p w14:paraId="63935437"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A</w:t>
            </w:r>
          </w:p>
        </w:tc>
      </w:tr>
      <w:tr w:rsidR="00AC139B" w:rsidRPr="00AC139B" w14:paraId="3F4FF97F" w14:textId="77777777" w:rsidTr="00435849">
        <w:trPr>
          <w:gridAfter w:val="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384A38"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Data</w:t>
            </w:r>
          </w:p>
        </w:tc>
        <w:tc>
          <w:tcPr>
            <w:tcW w:w="0" w:type="auto"/>
            <w:tcBorders>
              <w:top w:val="nil"/>
              <w:left w:val="nil"/>
              <w:bottom w:val="single" w:sz="4" w:space="0" w:color="auto"/>
              <w:right w:val="single" w:sz="4" w:space="0" w:color="auto"/>
            </w:tcBorders>
            <w:shd w:val="clear" w:color="auto" w:fill="auto"/>
            <w:vAlign w:val="center"/>
            <w:hideMark/>
          </w:tcPr>
          <w:p w14:paraId="6E84164A" w14:textId="124691CA"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 xml:space="preserve">Implementing </w:t>
            </w:r>
            <w:r w:rsidR="00025196" w:rsidRPr="007F63EF">
              <w:rPr>
                <w:rFonts w:asciiTheme="minorHAnsi" w:eastAsia="Times New Roman" w:hAnsiTheme="minorHAnsi" w:cstheme="minorHAnsi"/>
                <w:sz w:val="20"/>
                <w:szCs w:val="20"/>
                <w:lang w:eastAsia="en-GB"/>
              </w:rPr>
              <w:t>partner</w:t>
            </w:r>
            <w:r w:rsidRPr="007F63EF">
              <w:rPr>
                <w:rFonts w:asciiTheme="minorHAnsi" w:eastAsia="Times New Roman" w:hAnsiTheme="minorHAnsi" w:cstheme="minorHAnsi"/>
                <w:sz w:val="20"/>
                <w:szCs w:val="20"/>
                <w:lang w:eastAsia="en-GB"/>
              </w:rPr>
              <w:t xml:space="preserve">s/MA </w:t>
            </w:r>
            <w:r w:rsidR="00025196" w:rsidRPr="007F63EF">
              <w:rPr>
                <w:rFonts w:asciiTheme="minorHAnsi" w:eastAsia="Times New Roman" w:hAnsiTheme="minorHAnsi" w:cstheme="minorHAnsi"/>
                <w:sz w:val="20"/>
                <w:szCs w:val="20"/>
                <w:lang w:eastAsia="en-GB"/>
              </w:rPr>
              <w:t>grantees</w:t>
            </w:r>
            <w:r w:rsidRPr="007F63EF">
              <w:rPr>
                <w:rFonts w:asciiTheme="minorHAnsi" w:eastAsia="Times New Roman" w:hAnsiTheme="minorHAnsi" w:cstheme="minorHAnsi"/>
                <w:sz w:val="20"/>
                <w:szCs w:val="20"/>
                <w:lang w:eastAsia="en-GB"/>
              </w:rPr>
              <w:t xml:space="preserve"> in </w:t>
            </w:r>
            <w:r w:rsidR="00AC139B">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country do not share information</w:t>
            </w:r>
            <w:r w:rsidRPr="007F63EF">
              <w:rPr>
                <w:rFonts w:asciiTheme="minorHAnsi" w:eastAsia="Times New Roman" w:hAnsiTheme="minorHAnsi" w:cstheme="minorHAnsi"/>
                <w:b/>
                <w:bCs/>
                <w:sz w:val="20"/>
                <w:szCs w:val="20"/>
                <w:lang w:eastAsia="en-GB"/>
              </w:rPr>
              <w:br/>
              <w:t xml:space="preserve">Cause: </w:t>
            </w:r>
            <w:r w:rsidR="00916FF4" w:rsidRPr="007F63EF">
              <w:rPr>
                <w:rFonts w:asciiTheme="minorHAnsi" w:eastAsia="Times New Roman" w:hAnsiTheme="minorHAnsi" w:cstheme="minorHAnsi"/>
                <w:sz w:val="20"/>
                <w:szCs w:val="20"/>
                <w:lang w:eastAsia="en-GB"/>
              </w:rPr>
              <w:t>Due</w:t>
            </w:r>
            <w:r w:rsidRPr="007F63EF">
              <w:rPr>
                <w:rFonts w:asciiTheme="minorHAnsi" w:eastAsia="Times New Roman" w:hAnsiTheme="minorHAnsi" w:cstheme="minorHAnsi"/>
                <w:sz w:val="20"/>
                <w:szCs w:val="20"/>
                <w:lang w:eastAsia="en-GB"/>
              </w:rPr>
              <w:t xml:space="preserve"> to </w:t>
            </w:r>
            <w:r w:rsidR="00916FF4"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protection of intellectual property and </w:t>
            </w:r>
            <w:r w:rsidR="00916FF4"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competitive nature of contracts</w:t>
            </w:r>
            <w:r w:rsidRPr="007F63EF">
              <w:rPr>
                <w:rFonts w:asciiTheme="minorHAnsi" w:eastAsia="Times New Roman" w:hAnsiTheme="minorHAnsi" w:cstheme="minorHAnsi"/>
                <w:b/>
                <w:bCs/>
                <w:sz w:val="20"/>
                <w:szCs w:val="20"/>
                <w:lang w:eastAsia="en-GB"/>
              </w:rPr>
              <w:br/>
              <w:t>Effect</w:t>
            </w:r>
            <w:r w:rsidR="00916FF4" w:rsidRPr="007F63EF">
              <w:rPr>
                <w:rFonts w:asciiTheme="minorHAnsi" w:eastAsia="Times New Roman" w:hAnsiTheme="minorHAnsi" w:cstheme="minorHAnsi"/>
                <w:b/>
                <w:bCs/>
                <w:sz w:val="20"/>
                <w:szCs w:val="20"/>
                <w:lang w:eastAsia="en-GB"/>
              </w:rPr>
              <w:t xml:space="preserve">: </w:t>
            </w:r>
            <w:r w:rsidR="00916FF4" w:rsidRPr="007F63EF">
              <w:rPr>
                <w:rFonts w:asciiTheme="minorHAnsi" w:eastAsia="Times New Roman" w:hAnsiTheme="minorHAnsi" w:cstheme="minorHAnsi"/>
                <w:sz w:val="20"/>
                <w:szCs w:val="20"/>
                <w:lang w:eastAsia="en-GB"/>
              </w:rPr>
              <w:t xml:space="preserve">Incomplete </w:t>
            </w:r>
            <w:r w:rsidRPr="007F63EF">
              <w:rPr>
                <w:rFonts w:asciiTheme="minorHAnsi" w:eastAsia="Times New Roman" w:hAnsiTheme="minorHAnsi" w:cstheme="minorHAnsi"/>
                <w:sz w:val="20"/>
                <w:szCs w:val="20"/>
                <w:lang w:eastAsia="en-GB"/>
              </w:rPr>
              <w:t>evidence base</w:t>
            </w:r>
            <w:r w:rsidRPr="007F63EF">
              <w:rPr>
                <w:rFonts w:asciiTheme="minorHAnsi" w:eastAsia="Times New Roman" w:hAnsiTheme="minorHAnsi" w:cstheme="minorHAnsi"/>
                <w:b/>
                <w:bCs/>
                <w:sz w:val="20"/>
                <w:szCs w:val="20"/>
                <w:lang w:eastAsia="en-GB"/>
              </w:rPr>
              <w:br/>
              <w:t xml:space="preserve">Impact: </w:t>
            </w:r>
            <w:r w:rsidR="00916FF4" w:rsidRPr="007F63EF">
              <w:rPr>
                <w:rFonts w:asciiTheme="minorHAnsi" w:eastAsia="Times New Roman" w:hAnsiTheme="minorHAnsi" w:cstheme="minorHAnsi"/>
                <w:sz w:val="20"/>
                <w:szCs w:val="20"/>
                <w:lang w:eastAsia="en-GB"/>
              </w:rPr>
              <w:t xml:space="preserve">Poorer </w:t>
            </w:r>
            <w:r w:rsidRPr="007F63EF">
              <w:rPr>
                <w:rFonts w:asciiTheme="minorHAnsi" w:eastAsia="Times New Roman" w:hAnsiTheme="minorHAnsi" w:cstheme="minorHAnsi"/>
                <w:sz w:val="20"/>
                <w:szCs w:val="20"/>
                <w:lang w:eastAsia="en-GB"/>
              </w:rPr>
              <w:t>deliverables</w:t>
            </w:r>
          </w:p>
        </w:tc>
        <w:tc>
          <w:tcPr>
            <w:tcW w:w="0" w:type="auto"/>
            <w:tcBorders>
              <w:top w:val="nil"/>
              <w:left w:val="nil"/>
              <w:bottom w:val="single" w:sz="4" w:space="0" w:color="auto"/>
              <w:right w:val="single" w:sz="4" w:space="0" w:color="auto"/>
            </w:tcBorders>
            <w:shd w:val="clear" w:color="auto" w:fill="auto"/>
            <w:vAlign w:val="center"/>
            <w:hideMark/>
          </w:tcPr>
          <w:p w14:paraId="5FC030A2" w14:textId="12977F54" w:rsidR="00632476"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b/>
                <w:bCs/>
                <w:sz w:val="20"/>
                <w:szCs w:val="20"/>
                <w:lang w:eastAsia="en-GB"/>
              </w:rPr>
              <w:t>Mitigating Action</w:t>
            </w:r>
            <w:r w:rsidR="00BC39B4" w:rsidRPr="007F63EF">
              <w:rPr>
                <w:rFonts w:asciiTheme="minorHAnsi" w:eastAsia="Times New Roman" w:hAnsiTheme="minorHAnsi" w:cstheme="minorHAnsi"/>
                <w:b/>
                <w:bCs/>
                <w:sz w:val="20"/>
                <w:szCs w:val="20"/>
                <w:lang w:eastAsia="en-GB"/>
              </w:rPr>
              <w:t>s</w:t>
            </w:r>
            <w:r w:rsidR="00435849" w:rsidRPr="007F63EF">
              <w:rPr>
                <w:rFonts w:asciiTheme="minorHAnsi" w:eastAsia="Times New Roman" w:hAnsiTheme="minorHAnsi" w:cstheme="minorHAnsi"/>
                <w:b/>
                <w:bCs/>
                <w:sz w:val="20"/>
                <w:szCs w:val="20"/>
                <w:lang w:eastAsia="en-GB"/>
              </w:rPr>
              <w:t>:</w:t>
            </w:r>
            <w:r w:rsidRPr="007F63EF">
              <w:rPr>
                <w:rFonts w:asciiTheme="minorHAnsi" w:eastAsia="Times New Roman" w:hAnsiTheme="minorHAnsi" w:cstheme="minorHAnsi"/>
                <w:sz w:val="20"/>
                <w:szCs w:val="20"/>
                <w:lang w:eastAsia="en-GB"/>
              </w:rPr>
              <w:br/>
              <w:t>1. Creating buy</w:t>
            </w:r>
            <w:r w:rsidR="004D035F"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in from </w:t>
            </w:r>
            <w:r w:rsidR="00916FF4" w:rsidRPr="007F63EF">
              <w:rPr>
                <w:rFonts w:asciiTheme="minorHAnsi" w:eastAsia="Times New Roman" w:hAnsiTheme="minorHAnsi" w:cstheme="minorHAnsi"/>
                <w:sz w:val="20"/>
                <w:szCs w:val="20"/>
                <w:lang w:eastAsia="en-GB"/>
              </w:rPr>
              <w:t xml:space="preserve">implementing partners </w:t>
            </w:r>
            <w:r w:rsidRPr="007F63EF">
              <w:rPr>
                <w:rFonts w:asciiTheme="minorHAnsi" w:eastAsia="Times New Roman" w:hAnsiTheme="minorHAnsi" w:cstheme="minorHAnsi"/>
                <w:sz w:val="20"/>
                <w:szCs w:val="20"/>
                <w:lang w:eastAsia="en-GB"/>
              </w:rPr>
              <w:t xml:space="preserve">during </w:t>
            </w:r>
            <w:r w:rsidR="00916FF4"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planning process</w:t>
            </w:r>
            <w:r w:rsidR="00632476" w:rsidRPr="007F63EF">
              <w:rPr>
                <w:rFonts w:asciiTheme="minorHAnsi" w:eastAsia="Times New Roman" w:hAnsiTheme="minorHAnsi" w:cstheme="minorHAnsi"/>
                <w:sz w:val="20"/>
                <w:szCs w:val="20"/>
                <w:lang w:eastAsia="en-GB"/>
              </w:rPr>
              <w:t xml:space="preserve"> </w:t>
            </w:r>
            <w:r w:rsidR="00AC139B">
              <w:rPr>
                <w:rFonts w:asciiTheme="minorHAnsi" w:eastAsia="Times New Roman" w:hAnsiTheme="minorHAnsi" w:cstheme="minorHAnsi"/>
                <w:sz w:val="20"/>
                <w:szCs w:val="20"/>
                <w:lang w:eastAsia="en-GB"/>
              </w:rPr>
              <w:t>by</w:t>
            </w:r>
            <w:r w:rsidR="00632476" w:rsidRPr="007F63EF">
              <w:rPr>
                <w:rFonts w:asciiTheme="minorHAnsi" w:eastAsia="Times New Roman" w:hAnsiTheme="minorHAnsi" w:cstheme="minorHAnsi"/>
                <w:sz w:val="20"/>
                <w:szCs w:val="20"/>
                <w:lang w:eastAsia="en-GB"/>
              </w:rPr>
              <w:t xml:space="preserve"> checking plans with them and keeping them informed.</w:t>
            </w:r>
            <w:r w:rsidRPr="007F63EF">
              <w:rPr>
                <w:rFonts w:asciiTheme="minorHAnsi" w:eastAsia="Times New Roman" w:hAnsiTheme="minorHAnsi" w:cstheme="minorHAnsi"/>
                <w:sz w:val="20"/>
                <w:szCs w:val="20"/>
                <w:lang w:eastAsia="en-GB"/>
              </w:rPr>
              <w:br/>
              <w:t xml:space="preserve">2. </w:t>
            </w:r>
            <w:r w:rsidR="00632476" w:rsidRPr="007F63EF">
              <w:rPr>
                <w:rFonts w:asciiTheme="minorHAnsi" w:eastAsia="Times New Roman" w:hAnsiTheme="minorHAnsi" w:cstheme="minorHAnsi"/>
                <w:sz w:val="20"/>
                <w:szCs w:val="20"/>
                <w:lang w:eastAsia="en-GB"/>
              </w:rPr>
              <w:t xml:space="preserve">Country leads provide regular (weekly) updates to Team Lead and Project Manager and highlight where there is a lack of engagement. </w:t>
            </w:r>
          </w:p>
          <w:p w14:paraId="5C580DD1" w14:textId="51712E5D"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sz w:val="20"/>
                <w:szCs w:val="20"/>
                <w:lang w:eastAsia="en-GB"/>
              </w:rPr>
              <w:t>3. Inclusion of quality of M&amp;E framework, M&amp;E plans</w:t>
            </w:r>
            <w:r w:rsidR="00562AF8"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 and capacity of </w:t>
            </w:r>
            <w:r w:rsidR="00916FF4" w:rsidRPr="007F63EF">
              <w:rPr>
                <w:rFonts w:asciiTheme="minorHAnsi" w:eastAsia="Times New Roman" w:hAnsiTheme="minorHAnsi" w:cstheme="minorHAnsi"/>
                <w:sz w:val="20"/>
                <w:szCs w:val="20"/>
                <w:lang w:eastAsia="en-GB"/>
              </w:rPr>
              <w:t>implementing partner</w:t>
            </w:r>
            <w:r w:rsidRPr="007F63EF">
              <w:rPr>
                <w:rFonts w:asciiTheme="minorHAnsi" w:eastAsia="Times New Roman" w:hAnsiTheme="minorHAnsi" w:cstheme="minorHAnsi"/>
                <w:sz w:val="20"/>
                <w:szCs w:val="20"/>
                <w:lang w:eastAsia="en-GB"/>
              </w:rPr>
              <w:t xml:space="preserve"> staff in the selection of projects which will contribute to </w:t>
            </w:r>
            <w:r w:rsidR="0002519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evaluation (</w:t>
            </w:r>
            <w:r w:rsidR="00025196" w:rsidRPr="007F63EF">
              <w:rPr>
                <w:rFonts w:asciiTheme="minorHAnsi" w:eastAsia="Times New Roman" w:hAnsiTheme="minorHAnsi" w:cstheme="minorHAnsi"/>
                <w:sz w:val="20"/>
                <w:szCs w:val="20"/>
                <w:lang w:eastAsia="en-GB"/>
              </w:rPr>
              <w:t xml:space="preserve">The MA’s </w:t>
            </w:r>
            <w:r w:rsidRPr="007F63EF">
              <w:rPr>
                <w:rFonts w:asciiTheme="minorHAnsi" w:eastAsia="Times New Roman" w:hAnsiTheme="minorHAnsi" w:cstheme="minorHAnsi"/>
                <w:sz w:val="20"/>
                <w:szCs w:val="20"/>
                <w:lang w:eastAsia="en-GB"/>
              </w:rPr>
              <w:t xml:space="preserve">M&amp;E team </w:t>
            </w:r>
            <w:r w:rsidR="00025196" w:rsidRPr="007F63EF">
              <w:rPr>
                <w:rFonts w:asciiTheme="minorHAnsi" w:eastAsia="Times New Roman" w:hAnsiTheme="minorHAnsi" w:cstheme="minorHAnsi"/>
                <w:sz w:val="20"/>
                <w:szCs w:val="20"/>
                <w:lang w:eastAsia="en-GB"/>
              </w:rPr>
              <w:t>is</w:t>
            </w:r>
            <w:r w:rsidRPr="007F63EF">
              <w:rPr>
                <w:rFonts w:asciiTheme="minorHAnsi" w:eastAsia="Times New Roman" w:hAnsiTheme="minorHAnsi" w:cstheme="minorHAnsi"/>
                <w:sz w:val="20"/>
                <w:szCs w:val="20"/>
                <w:lang w:eastAsia="en-GB"/>
              </w:rPr>
              <w:t xml:space="preserve"> confident that the selected projects have the capacity to provide high quality work).</w:t>
            </w:r>
            <w:r w:rsidRPr="007F63EF">
              <w:rPr>
                <w:rFonts w:asciiTheme="minorHAnsi" w:eastAsia="Times New Roman" w:hAnsiTheme="minorHAnsi" w:cstheme="minorHAnsi"/>
                <w:sz w:val="20"/>
                <w:szCs w:val="20"/>
                <w:lang w:eastAsia="en-GB"/>
              </w:rPr>
              <w:br/>
              <w:t xml:space="preserve">4. Support for Implementing Partners with methodologies through guidance, M&amp;E clinics and (where necessary) 1:1 support to incentivise engagement. </w:t>
            </w:r>
            <w:r w:rsidRPr="007F63EF">
              <w:rPr>
                <w:rFonts w:asciiTheme="minorHAnsi" w:eastAsia="Times New Roman" w:hAnsiTheme="minorHAnsi" w:cstheme="minorHAnsi"/>
                <w:sz w:val="20"/>
                <w:szCs w:val="20"/>
                <w:lang w:eastAsia="en-GB"/>
              </w:rPr>
              <w:br/>
              <w:t>5. Drawing on DHSC support where MA/</w:t>
            </w:r>
            <w:r w:rsidR="00025196" w:rsidRPr="007F63EF">
              <w:rPr>
                <w:rFonts w:asciiTheme="minorHAnsi" w:eastAsia="Times New Roman" w:hAnsiTheme="minorHAnsi" w:cstheme="minorHAnsi"/>
                <w:sz w:val="20"/>
                <w:szCs w:val="20"/>
                <w:lang w:eastAsia="en-GB"/>
              </w:rPr>
              <w:t>implementing partners are not meeting contractual obligations for evaluation quality.</w:t>
            </w:r>
          </w:p>
        </w:tc>
        <w:tc>
          <w:tcPr>
            <w:tcW w:w="0" w:type="auto"/>
            <w:tcBorders>
              <w:top w:val="single" w:sz="4" w:space="0" w:color="auto"/>
              <w:left w:val="single" w:sz="4" w:space="0" w:color="auto"/>
              <w:bottom w:val="single" w:sz="4" w:space="0" w:color="auto"/>
              <w:right w:val="single" w:sz="4" w:space="0" w:color="auto"/>
            </w:tcBorders>
            <w:shd w:val="thinDiagStripe" w:color="FFC000" w:fill="FFC000"/>
            <w:vAlign w:val="center"/>
            <w:hideMark/>
          </w:tcPr>
          <w:p w14:paraId="3916EB5C"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A</w:t>
            </w:r>
          </w:p>
        </w:tc>
      </w:tr>
      <w:tr w:rsidR="00AC139B" w:rsidRPr="00AC139B" w14:paraId="31E4ACFB" w14:textId="77777777" w:rsidTr="00435849">
        <w:trPr>
          <w:gridAfter w:val="1"/>
          <w:trHeight w:val="269"/>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A234524"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Data</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6206546" w14:textId="31ACC26D"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Risk:</w:t>
            </w:r>
            <w:r w:rsidRPr="007F63EF">
              <w:rPr>
                <w:rFonts w:asciiTheme="minorHAnsi" w:eastAsia="Times New Roman" w:hAnsiTheme="minorHAnsi" w:cstheme="minorHAnsi"/>
                <w:sz w:val="20"/>
                <w:szCs w:val="20"/>
                <w:lang w:eastAsia="en-GB"/>
              </w:rPr>
              <w:t xml:space="preserve"> Monitoring data provided by</w:t>
            </w:r>
            <w:r w:rsidR="00562AF8"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MA not of sufficient quantity or quality</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Cause:</w:t>
            </w:r>
            <w:r w:rsidRPr="007F63EF">
              <w:rPr>
                <w:rFonts w:asciiTheme="minorHAnsi" w:eastAsia="Times New Roman" w:hAnsiTheme="minorHAnsi" w:cstheme="minorHAnsi"/>
                <w:sz w:val="20"/>
                <w:szCs w:val="20"/>
                <w:lang w:eastAsia="en-GB"/>
              </w:rPr>
              <w:t xml:space="preserve"> grantee failure in country, not complying with M&amp;E framework and monitoring plans, poor M&amp;E capacity in MA or grantees</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Effect</w:t>
            </w:r>
            <w:r w:rsidRPr="007F63EF">
              <w:rPr>
                <w:rFonts w:asciiTheme="minorHAnsi" w:eastAsia="Times New Roman" w:hAnsiTheme="minorHAnsi" w:cstheme="minorHAnsi"/>
                <w:sz w:val="20"/>
                <w:szCs w:val="20"/>
                <w:lang w:eastAsia="en-GB"/>
              </w:rPr>
              <w:t>: reduced quality of deliverables, delayed delivery</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Impact</w:t>
            </w:r>
            <w:r w:rsidRPr="007F63EF">
              <w:rPr>
                <w:rFonts w:asciiTheme="minorHAnsi" w:eastAsia="Times New Roman" w:hAnsiTheme="minorHAnsi" w:cstheme="minorHAnsi"/>
                <w:sz w:val="20"/>
                <w:szCs w:val="20"/>
                <w:lang w:eastAsia="en-GB"/>
              </w:rPr>
              <w:t>:</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findings not as robust, breach of contract</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3D9F730" w14:textId="7E0C82EB"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BC39B4"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Provision of support during early implementation to ensure Implementing Partners have a minimum standard of </w:t>
            </w:r>
            <w:r w:rsidR="0052698C" w:rsidRPr="007F63EF">
              <w:rPr>
                <w:rFonts w:asciiTheme="minorHAnsi" w:eastAsia="Times New Roman" w:hAnsiTheme="minorHAnsi" w:cstheme="minorHAnsi"/>
                <w:sz w:val="20"/>
                <w:szCs w:val="20"/>
                <w:lang w:eastAsia="en-GB"/>
              </w:rPr>
              <w:t>M&amp;E</w:t>
            </w:r>
            <w:r w:rsidRPr="007F63EF">
              <w:rPr>
                <w:rFonts w:asciiTheme="minorHAnsi" w:eastAsia="Times New Roman" w:hAnsiTheme="minorHAnsi" w:cstheme="minorHAnsi"/>
                <w:sz w:val="20"/>
                <w:szCs w:val="20"/>
                <w:lang w:eastAsia="en-GB"/>
              </w:rPr>
              <w:t xml:space="preserve"> against the Itad and MA </w:t>
            </w:r>
            <w:r w:rsidR="0052698C" w:rsidRPr="007F63EF">
              <w:rPr>
                <w:rFonts w:asciiTheme="minorHAnsi" w:eastAsia="Times New Roman" w:hAnsiTheme="minorHAnsi" w:cstheme="minorHAnsi"/>
                <w:sz w:val="20"/>
                <w:szCs w:val="20"/>
                <w:lang w:eastAsia="en-GB"/>
              </w:rPr>
              <w:t>M&amp;E</w:t>
            </w:r>
            <w:r w:rsidRPr="007F63EF">
              <w:rPr>
                <w:rFonts w:asciiTheme="minorHAnsi" w:eastAsia="Times New Roman" w:hAnsiTheme="minorHAnsi" w:cstheme="minorHAnsi"/>
                <w:sz w:val="20"/>
                <w:szCs w:val="20"/>
                <w:lang w:eastAsia="en-GB"/>
              </w:rPr>
              <w:t xml:space="preserve"> Framework </w:t>
            </w:r>
            <w:r w:rsidRPr="007F63EF">
              <w:rPr>
                <w:rFonts w:asciiTheme="minorHAnsi" w:eastAsia="Times New Roman" w:hAnsiTheme="minorHAnsi" w:cstheme="minorHAnsi"/>
                <w:sz w:val="20"/>
                <w:szCs w:val="20"/>
                <w:lang w:eastAsia="en-GB"/>
              </w:rPr>
              <w:br/>
              <w:t xml:space="preserve">2. Regular </w:t>
            </w:r>
            <w:r w:rsidR="00245F7E" w:rsidRPr="007F63EF">
              <w:rPr>
                <w:rFonts w:asciiTheme="minorHAnsi" w:eastAsia="Times New Roman" w:hAnsiTheme="minorHAnsi" w:cstheme="minorHAnsi"/>
                <w:sz w:val="20"/>
                <w:szCs w:val="20"/>
                <w:lang w:eastAsia="en-GB"/>
              </w:rPr>
              <w:t>coordinat</w:t>
            </w:r>
            <w:r w:rsidRPr="007F63EF">
              <w:rPr>
                <w:rFonts w:asciiTheme="minorHAnsi" w:eastAsia="Times New Roman" w:hAnsiTheme="minorHAnsi" w:cstheme="minorHAnsi"/>
                <w:sz w:val="20"/>
                <w:szCs w:val="20"/>
                <w:lang w:eastAsia="en-GB"/>
              </w:rPr>
              <w:t xml:space="preserve">ion </w:t>
            </w:r>
            <w:r w:rsidR="00AE5838" w:rsidRPr="007F63EF">
              <w:rPr>
                <w:rFonts w:asciiTheme="minorHAnsi" w:eastAsia="Times New Roman" w:hAnsiTheme="minorHAnsi" w:cstheme="minorHAnsi"/>
                <w:sz w:val="20"/>
                <w:szCs w:val="20"/>
                <w:lang w:eastAsia="en-GB"/>
              </w:rPr>
              <w:t xml:space="preserve">(as required) </w:t>
            </w:r>
            <w:r w:rsidRPr="007F63EF">
              <w:rPr>
                <w:rFonts w:asciiTheme="minorHAnsi" w:eastAsia="Times New Roman" w:hAnsiTheme="minorHAnsi" w:cstheme="minorHAnsi"/>
                <w:sz w:val="20"/>
                <w:szCs w:val="20"/>
                <w:lang w:eastAsia="en-GB"/>
              </w:rPr>
              <w:t xml:space="preserve">with the MA to ensure ongoing </w:t>
            </w:r>
            <w:r w:rsidR="00B25D09" w:rsidRPr="007F63EF">
              <w:rPr>
                <w:rFonts w:asciiTheme="minorHAnsi" w:eastAsia="Times New Roman" w:hAnsiTheme="minorHAnsi" w:cstheme="minorHAnsi"/>
                <w:sz w:val="20"/>
                <w:szCs w:val="20"/>
                <w:lang w:eastAsia="en-GB"/>
              </w:rPr>
              <w:t>QA</w:t>
            </w:r>
            <w:r w:rsidRPr="007F63EF">
              <w:rPr>
                <w:rFonts w:asciiTheme="minorHAnsi" w:eastAsia="Times New Roman" w:hAnsiTheme="minorHAnsi" w:cstheme="minorHAnsi"/>
                <w:sz w:val="20"/>
                <w:szCs w:val="20"/>
                <w:lang w:eastAsia="en-GB"/>
              </w:rPr>
              <w:t xml:space="preserve"> of project monitoring and results reporting data including meetings with </w:t>
            </w:r>
            <w:r w:rsidR="00562AF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MA in April 2019, </w:t>
            </w:r>
            <w:r w:rsidR="00562AF8" w:rsidRPr="007F63EF">
              <w:rPr>
                <w:rFonts w:asciiTheme="minorHAnsi" w:eastAsia="Times New Roman" w:hAnsiTheme="minorHAnsi" w:cstheme="minorHAnsi"/>
                <w:sz w:val="20"/>
                <w:szCs w:val="20"/>
                <w:lang w:eastAsia="en-GB"/>
              </w:rPr>
              <w:t xml:space="preserve">and </w:t>
            </w:r>
            <w:r w:rsidRPr="007F63EF">
              <w:rPr>
                <w:rFonts w:asciiTheme="minorHAnsi" w:eastAsia="Times New Roman" w:hAnsiTheme="minorHAnsi" w:cstheme="minorHAnsi"/>
                <w:sz w:val="20"/>
                <w:szCs w:val="20"/>
                <w:lang w:eastAsia="en-GB"/>
              </w:rPr>
              <w:t xml:space="preserve">September 2019 and </w:t>
            </w:r>
            <w:r w:rsidR="00562AF8" w:rsidRPr="007F63EF">
              <w:rPr>
                <w:rFonts w:asciiTheme="minorHAnsi" w:eastAsia="Times New Roman" w:hAnsiTheme="minorHAnsi" w:cstheme="minorHAnsi"/>
                <w:sz w:val="20"/>
                <w:szCs w:val="20"/>
                <w:lang w:eastAsia="en-GB"/>
              </w:rPr>
              <w:t>discussing</w:t>
            </w:r>
            <w:r w:rsidRPr="007F63EF">
              <w:rPr>
                <w:rFonts w:asciiTheme="minorHAnsi" w:eastAsia="Times New Roman" w:hAnsiTheme="minorHAnsi" w:cstheme="minorHAnsi"/>
                <w:sz w:val="20"/>
                <w:szCs w:val="20"/>
                <w:lang w:eastAsia="en-GB"/>
              </w:rPr>
              <w:t xml:space="preserve"> plans for aggregate/cross-country reporting (ongoing discussion).</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br/>
              <w:t xml:space="preserve">3.Agreed </w:t>
            </w:r>
            <w:r w:rsidR="00BE3B40" w:rsidRPr="007F63EF">
              <w:rPr>
                <w:rFonts w:asciiTheme="minorHAnsi" w:eastAsia="Times New Roman" w:hAnsiTheme="minorHAnsi" w:cstheme="minorHAnsi"/>
                <w:sz w:val="20"/>
                <w:szCs w:val="20"/>
                <w:lang w:eastAsia="en-GB"/>
              </w:rPr>
              <w:t>M&amp;E</w:t>
            </w:r>
            <w:r w:rsidRPr="007F63EF">
              <w:rPr>
                <w:rFonts w:asciiTheme="minorHAnsi" w:eastAsia="Times New Roman" w:hAnsiTheme="minorHAnsi" w:cstheme="minorHAnsi"/>
                <w:sz w:val="20"/>
                <w:szCs w:val="20"/>
                <w:lang w:eastAsia="en-GB"/>
              </w:rPr>
              <w:t xml:space="preserve"> Guidance aims to create a clear and comprehensive programme-level </w:t>
            </w:r>
            <w:r w:rsidR="00BE3B40" w:rsidRPr="007F63EF">
              <w:rPr>
                <w:rFonts w:asciiTheme="minorHAnsi" w:eastAsia="Times New Roman" w:hAnsiTheme="minorHAnsi" w:cstheme="minorHAnsi"/>
                <w:sz w:val="20"/>
                <w:szCs w:val="20"/>
                <w:lang w:eastAsia="en-GB"/>
              </w:rPr>
              <w:t>M&amp;E</w:t>
            </w:r>
            <w:r w:rsidRPr="007F63EF">
              <w:rPr>
                <w:rFonts w:asciiTheme="minorHAnsi" w:eastAsia="Times New Roman" w:hAnsiTheme="minorHAnsi" w:cstheme="minorHAnsi"/>
                <w:sz w:val="20"/>
                <w:szCs w:val="20"/>
                <w:lang w:eastAsia="en-GB"/>
              </w:rPr>
              <w:t xml:space="preserve"> framework within which all projects will sit and contribute, helping to ensure the protocols for data collection are clear and robust. </w:t>
            </w:r>
            <w:r w:rsidRPr="007F63EF">
              <w:rPr>
                <w:rFonts w:asciiTheme="minorHAnsi" w:eastAsia="Times New Roman" w:hAnsiTheme="minorHAnsi" w:cstheme="minorHAnsi"/>
                <w:sz w:val="20"/>
                <w:szCs w:val="20"/>
                <w:lang w:eastAsia="en-GB"/>
              </w:rPr>
              <w:br/>
              <w:t>4. Way</w:t>
            </w:r>
            <w:r w:rsidR="00562AF8" w:rsidRPr="007F63EF">
              <w:rPr>
                <w:rFonts w:asciiTheme="minorHAnsi" w:eastAsia="Times New Roman" w:hAnsiTheme="minorHAnsi" w:cstheme="minorHAnsi"/>
                <w:sz w:val="20"/>
                <w:szCs w:val="20"/>
                <w:lang w:eastAsia="en-GB"/>
              </w:rPr>
              <w:t>s</w:t>
            </w:r>
            <w:r w:rsidRPr="007F63EF">
              <w:rPr>
                <w:rFonts w:asciiTheme="minorHAnsi" w:eastAsia="Times New Roman" w:hAnsiTheme="minorHAnsi" w:cstheme="minorHAnsi"/>
                <w:sz w:val="20"/>
                <w:szCs w:val="20"/>
                <w:lang w:eastAsia="en-GB"/>
              </w:rPr>
              <w:t xml:space="preserve"> of working protocol which set our respective responsibilities in section 4 including a QA and sampling system</w:t>
            </w:r>
            <w:r w:rsidRPr="007F63EF">
              <w:rPr>
                <w:rFonts w:asciiTheme="minorHAnsi" w:eastAsia="Times New Roman" w:hAnsiTheme="minorHAnsi" w:cstheme="minorHAnsi"/>
                <w:sz w:val="20"/>
                <w:szCs w:val="20"/>
                <w:lang w:eastAsia="en-GB"/>
              </w:rPr>
              <w:br/>
              <w:t>5. Implementation plan which sets out expectations and agreement regarding data gathering and responsibilities</w:t>
            </w:r>
            <w:r w:rsidRPr="007F63EF">
              <w:rPr>
                <w:rFonts w:asciiTheme="minorHAnsi" w:eastAsia="Times New Roman" w:hAnsiTheme="minorHAnsi" w:cstheme="minorHAnsi"/>
                <w:sz w:val="20"/>
                <w:szCs w:val="20"/>
                <w:lang w:eastAsia="en-GB"/>
              </w:rPr>
              <w:br/>
              <w:t>6. Maintaining</w:t>
            </w:r>
            <w:r w:rsidR="00562AF8" w:rsidRPr="007F63EF">
              <w:rPr>
                <w:rFonts w:asciiTheme="minorHAnsi" w:eastAsia="Times New Roman" w:hAnsiTheme="minorHAnsi" w:cstheme="minorHAnsi"/>
                <w:sz w:val="20"/>
                <w:szCs w:val="20"/>
                <w:lang w:eastAsia="en-GB"/>
              </w:rPr>
              <w:t xml:space="preserve"> a</w:t>
            </w:r>
            <w:r w:rsidRPr="007F63EF">
              <w:rPr>
                <w:rFonts w:asciiTheme="minorHAnsi" w:eastAsia="Times New Roman" w:hAnsiTheme="minorHAnsi" w:cstheme="minorHAnsi"/>
                <w:sz w:val="20"/>
                <w:szCs w:val="20"/>
                <w:lang w:eastAsia="en-GB"/>
              </w:rPr>
              <w:t xml:space="preserve"> close working relationship with</w:t>
            </w:r>
            <w:r w:rsidR="00562AF8"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MA through regular meetings</w:t>
            </w:r>
            <w:r w:rsidRPr="007F63EF">
              <w:rPr>
                <w:rFonts w:asciiTheme="minorHAnsi" w:eastAsia="Times New Roman" w:hAnsiTheme="minorHAnsi" w:cstheme="minorHAnsi"/>
                <w:sz w:val="20"/>
                <w:szCs w:val="20"/>
                <w:lang w:eastAsia="en-GB"/>
              </w:rPr>
              <w:br/>
              <w:t>7. Supporting monitoring work through effective agreed</w:t>
            </w:r>
            <w:r w:rsidR="00E82117" w:rsidRPr="007F63EF">
              <w:rPr>
                <w:rFonts w:asciiTheme="minorHAnsi" w:eastAsia="Times New Roman" w:hAnsiTheme="minorHAnsi" w:cstheme="minorHAnsi"/>
                <w:sz w:val="20"/>
                <w:szCs w:val="20"/>
                <w:lang w:eastAsia="en-GB"/>
              </w:rPr>
              <w:t xml:space="preserve"> terms of agreement. </w:t>
            </w:r>
            <w:r w:rsidRPr="007F63EF">
              <w:rPr>
                <w:rFonts w:asciiTheme="minorHAnsi" w:eastAsia="Times New Roman" w:hAnsiTheme="minorHAnsi" w:cstheme="minorHAnsi"/>
                <w:sz w:val="20"/>
                <w:szCs w:val="20"/>
                <w:lang w:eastAsia="en-GB"/>
              </w:rPr>
              <w:br/>
              <w:t>8. Ongoing conversation about tracking KPI performance (relating to EQ1 and EQ5), VfM and sustainability - as VfM approach is firmed up and exit plans start to be finalised.</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Also to keep under review </w:t>
            </w:r>
            <w:r w:rsidR="00562AF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extent to which CG2s and RG2s start to trigger standard indicators from </w:t>
            </w:r>
            <w:r w:rsidR="00562AF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indicator compendium.</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We continue to hold regular meetings with the MA M&amp;E team to understand plans, in particular for cross-country analysis. </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sz w:val="20"/>
                <w:szCs w:val="20"/>
                <w:u w:val="single"/>
                <w:lang w:eastAsia="en-GB"/>
              </w:rPr>
              <w:t>9. Pilot of summative data collection approach, and revisions for full sample based on experience.</w:t>
            </w:r>
            <w:r w:rsidRPr="007F63EF">
              <w:rPr>
                <w:rFonts w:asciiTheme="minorHAnsi" w:eastAsia="Times New Roman" w:hAnsiTheme="minorHAnsi" w:cstheme="minorHAnsi"/>
                <w:strike/>
                <w:sz w:val="20"/>
                <w:szCs w:val="20"/>
                <w:u w:val="single"/>
                <w:lang w:eastAsia="en-GB"/>
              </w:rPr>
              <w:t xml:space="preserve"> </w:t>
            </w:r>
            <w:r w:rsidRPr="007F63EF">
              <w:rPr>
                <w:rFonts w:asciiTheme="minorHAnsi" w:eastAsia="Times New Roman" w:hAnsiTheme="minorHAnsi" w:cstheme="minorHAnsi"/>
                <w:strike/>
                <w:sz w:val="20"/>
                <w:szCs w:val="20"/>
                <w:lang w:eastAsia="en-GB"/>
              </w:rPr>
              <w:br/>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Contingency Plan:</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The MA will be responsible for the design, collection, quality control</w:t>
            </w:r>
            <w:r w:rsidR="00562AF8"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 and delivery of monitoring data relating to the Fleming Fund grants programme in accordance with the agreed </w:t>
            </w:r>
            <w:r w:rsidR="00664368" w:rsidRPr="007F63EF">
              <w:rPr>
                <w:rFonts w:asciiTheme="minorHAnsi" w:eastAsia="Times New Roman" w:hAnsiTheme="minorHAnsi" w:cstheme="minorHAnsi"/>
                <w:sz w:val="20"/>
                <w:szCs w:val="20"/>
                <w:lang w:eastAsia="en-GB"/>
              </w:rPr>
              <w:t>M&amp;E</w:t>
            </w:r>
            <w:r w:rsidRPr="007F63EF">
              <w:rPr>
                <w:rFonts w:asciiTheme="minorHAnsi" w:eastAsia="Times New Roman" w:hAnsiTheme="minorHAnsi" w:cstheme="minorHAnsi"/>
                <w:sz w:val="20"/>
                <w:szCs w:val="20"/>
                <w:lang w:eastAsia="en-GB"/>
              </w:rPr>
              <w:t xml:space="preserve"> Framework. Where feasible and realistic the nature and type of these data will need to be synergistic with the requirements of the ES, as it will be used in </w:t>
            </w:r>
            <w:r w:rsidR="00562AF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delivery of the evaluation of the Fleming Fund grants.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br/>
              <w:t xml:space="preserve">The MA and the ES will instigate and agree </w:t>
            </w:r>
            <w:r w:rsidR="00562AF8" w:rsidRPr="007F63EF">
              <w:rPr>
                <w:rFonts w:asciiTheme="minorHAnsi" w:eastAsia="Times New Roman" w:hAnsiTheme="minorHAnsi" w:cstheme="minorHAnsi"/>
                <w:sz w:val="20"/>
                <w:szCs w:val="20"/>
                <w:lang w:eastAsia="en-GB"/>
              </w:rPr>
              <w:t xml:space="preserve">on </w:t>
            </w:r>
            <w:r w:rsidRPr="007F63EF">
              <w:rPr>
                <w:rFonts w:asciiTheme="minorHAnsi" w:eastAsia="Times New Roman" w:hAnsiTheme="minorHAnsi" w:cstheme="minorHAnsi"/>
                <w:sz w:val="20"/>
                <w:szCs w:val="20"/>
                <w:lang w:eastAsia="en-GB"/>
              </w:rPr>
              <w:t xml:space="preserve">a </w:t>
            </w:r>
            <w:r w:rsidR="00B25D09" w:rsidRPr="007F63EF">
              <w:rPr>
                <w:rFonts w:asciiTheme="minorHAnsi" w:eastAsia="Times New Roman" w:hAnsiTheme="minorHAnsi" w:cstheme="minorHAnsi"/>
                <w:sz w:val="20"/>
                <w:szCs w:val="20"/>
                <w:lang w:eastAsia="en-GB"/>
              </w:rPr>
              <w:t>QA</w:t>
            </w:r>
            <w:r w:rsidRPr="007F63EF">
              <w:rPr>
                <w:rFonts w:asciiTheme="minorHAnsi" w:eastAsia="Times New Roman" w:hAnsiTheme="minorHAnsi" w:cstheme="minorHAnsi"/>
                <w:sz w:val="20"/>
                <w:szCs w:val="20"/>
                <w:lang w:eastAsia="en-GB"/>
              </w:rPr>
              <w:t xml:space="preserve"> mechanism so that monitoring data delivered by the MA can be sampled and checked by the ES on a periodic basis. This will be included in the implementation plan. </w:t>
            </w:r>
            <w:r w:rsidRPr="007F63EF">
              <w:rPr>
                <w:rFonts w:asciiTheme="minorHAnsi" w:eastAsia="Times New Roman" w:hAnsiTheme="minorHAnsi" w:cstheme="minorHAnsi"/>
                <w:sz w:val="20"/>
                <w:szCs w:val="20"/>
                <w:lang w:eastAsia="en-GB"/>
              </w:rPr>
              <w:br/>
              <w:t>Any issues arising regarding data quality will be jointly assessed by the parties, and agreed measures</w:t>
            </w:r>
            <w:r w:rsidR="00AC139B">
              <w:rPr>
                <w:rFonts w:asciiTheme="minorHAnsi" w:eastAsia="Times New Roman" w:hAnsiTheme="minorHAnsi" w:cstheme="minorHAnsi"/>
                <w:sz w:val="20"/>
                <w:szCs w:val="20"/>
                <w:lang w:eastAsia="en-GB"/>
              </w:rPr>
              <w:t xml:space="preserve"> are</w:t>
            </w:r>
            <w:r w:rsidRPr="007F63EF">
              <w:rPr>
                <w:rFonts w:asciiTheme="minorHAnsi" w:eastAsia="Times New Roman" w:hAnsiTheme="minorHAnsi" w:cstheme="minorHAnsi"/>
                <w:sz w:val="20"/>
                <w:szCs w:val="20"/>
                <w:lang w:eastAsia="en-GB"/>
              </w:rPr>
              <w:t xml:space="preserve"> taken as soon as possible to resolve the quality issues. Assessment and measures of data quality standards will be pre-agreed between the MA and ES and described in the </w:t>
            </w:r>
            <w:r w:rsidR="00664368" w:rsidRPr="007F63EF">
              <w:rPr>
                <w:rFonts w:asciiTheme="minorHAnsi" w:eastAsia="Times New Roman" w:hAnsiTheme="minorHAnsi" w:cstheme="minorHAnsi"/>
                <w:sz w:val="20"/>
                <w:szCs w:val="20"/>
                <w:lang w:eastAsia="en-GB"/>
              </w:rPr>
              <w:t>M&amp;E</w:t>
            </w:r>
            <w:r w:rsidRPr="007F63EF">
              <w:rPr>
                <w:rFonts w:asciiTheme="minorHAnsi" w:eastAsia="Times New Roman" w:hAnsiTheme="minorHAnsi" w:cstheme="minorHAnsi"/>
                <w:sz w:val="20"/>
                <w:szCs w:val="20"/>
                <w:lang w:eastAsia="en-GB"/>
              </w:rPr>
              <w:t xml:space="preserve"> Framework. In the event of a disagreement or dispute between the MA and ES regarding data quality that cannot be resolved between the parties, they agree to engage </w:t>
            </w:r>
            <w:r w:rsidR="00562AF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DHSC (if they are not already engaged) at the earliest opportunity. </w:t>
            </w:r>
            <w:r w:rsidRPr="007F63EF">
              <w:rPr>
                <w:rFonts w:asciiTheme="minorHAnsi" w:eastAsia="Times New Roman" w:hAnsiTheme="minorHAnsi" w:cstheme="minorHAnsi"/>
                <w:sz w:val="20"/>
                <w:szCs w:val="20"/>
                <w:lang w:eastAsia="en-GB"/>
              </w:rPr>
              <w:br/>
              <w:t xml:space="preserve">Itad to keep under close review on an ongoing basis as </w:t>
            </w:r>
            <w:r w:rsidR="00562AF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 plans for cross-country analysis become clearer.</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 Based on data received for Nepal</w:t>
            </w:r>
            <w:r w:rsidR="00F3424F" w:rsidRPr="007F63EF">
              <w:rPr>
                <w:rFonts w:asciiTheme="minorHAnsi" w:eastAsia="Times New Roman" w:hAnsiTheme="minorHAnsi" w:cstheme="minorHAnsi"/>
                <w:sz w:val="20"/>
                <w:szCs w:val="20"/>
                <w:lang w:eastAsia="en-GB"/>
              </w:rPr>
              <w:t xml:space="preserve"> (2019)</w:t>
            </w:r>
            <w:r w:rsidRPr="007F63EF">
              <w:rPr>
                <w:rFonts w:asciiTheme="minorHAnsi" w:eastAsia="Times New Roman" w:hAnsiTheme="minorHAnsi" w:cstheme="minorHAnsi"/>
                <w:sz w:val="20"/>
                <w:szCs w:val="20"/>
                <w:lang w:eastAsia="en-GB"/>
              </w:rPr>
              <w:t xml:space="preserve"> it is clear that a) October reporting would include a number of important changes and increase in volume; b) KPI reporting supplements quarterly reporting in important ways w</w:t>
            </w:r>
            <w:r w:rsidRPr="007F63EF">
              <w:rPr>
                <w:rFonts w:asciiTheme="minorHAnsi" w:eastAsia="Times New Roman" w:hAnsiTheme="minorHAnsi" w:cstheme="minorHAnsi"/>
                <w:sz w:val="20"/>
                <w:szCs w:val="20"/>
                <w:u w:val="single"/>
                <w:lang w:eastAsia="en-GB"/>
              </w:rPr>
              <w:t xml:space="preserve">e will need to engage with </w:t>
            </w:r>
            <w:r w:rsidR="00562AF8" w:rsidRPr="007F63EF">
              <w:rPr>
                <w:rFonts w:asciiTheme="minorHAnsi" w:eastAsia="Times New Roman" w:hAnsiTheme="minorHAnsi" w:cstheme="minorHAnsi"/>
                <w:sz w:val="20"/>
                <w:szCs w:val="20"/>
                <w:u w:val="single"/>
                <w:lang w:eastAsia="en-GB"/>
              </w:rPr>
              <w:t xml:space="preserve">the </w:t>
            </w:r>
            <w:r w:rsidRPr="007F63EF">
              <w:rPr>
                <w:rFonts w:asciiTheme="minorHAnsi" w:eastAsia="Times New Roman" w:hAnsiTheme="minorHAnsi" w:cstheme="minorHAnsi"/>
                <w:sz w:val="20"/>
                <w:szCs w:val="20"/>
                <w:u w:val="single"/>
                <w:lang w:eastAsia="en-GB"/>
              </w:rPr>
              <w:t>DHSC on</w:t>
            </w:r>
            <w:r w:rsidR="00562AF8" w:rsidRPr="007F63EF">
              <w:rPr>
                <w:rFonts w:asciiTheme="minorHAnsi" w:eastAsia="Times New Roman" w:hAnsiTheme="minorHAnsi" w:cstheme="minorHAnsi"/>
                <w:sz w:val="20"/>
                <w:szCs w:val="20"/>
                <w:u w:val="single"/>
                <w:lang w:eastAsia="en-GB"/>
              </w:rPr>
              <w:t xml:space="preserve"> the</w:t>
            </w:r>
            <w:r w:rsidRPr="007F63EF">
              <w:rPr>
                <w:rFonts w:asciiTheme="minorHAnsi" w:eastAsia="Times New Roman" w:hAnsiTheme="minorHAnsi" w:cstheme="minorHAnsi"/>
                <w:sz w:val="20"/>
                <w:szCs w:val="20"/>
                <w:u w:val="single"/>
                <w:lang w:eastAsia="en-GB"/>
              </w:rPr>
              <w:t xml:space="preserve"> plans for this in 2021 and 2022 (including to see whether mid-term KPI reporting is feasible for mid-2022)</w:t>
            </w:r>
            <w:r w:rsidRPr="007F63EF">
              <w:rPr>
                <w:rFonts w:asciiTheme="minorHAnsi" w:eastAsia="Times New Roman" w:hAnsiTheme="minorHAnsi" w:cstheme="minorHAnsi"/>
                <w:sz w:val="20"/>
                <w:szCs w:val="20"/>
                <w:lang w:eastAsia="en-GB"/>
              </w:rPr>
              <w:t>; c) reporting on VfM and sustainability, and for the Fellowship scheme continues to evolve. We expect to be able to gather sufficient supplementary information through document review and KIs to produce a quality deliverable at that time.</w:t>
            </w:r>
          </w:p>
        </w:tc>
        <w:tc>
          <w:tcPr>
            <w:tcW w:w="0" w:type="auto"/>
            <w:vMerge w:val="restart"/>
            <w:tcBorders>
              <w:top w:val="single" w:sz="4" w:space="0" w:color="auto"/>
              <w:left w:val="single" w:sz="4" w:space="0" w:color="auto"/>
              <w:bottom w:val="single" w:sz="4" w:space="0" w:color="auto"/>
              <w:right w:val="single" w:sz="4" w:space="0" w:color="auto"/>
            </w:tcBorders>
            <w:shd w:val="thinDiagStripe" w:color="FF0000" w:fill="FF0000"/>
            <w:vAlign w:val="center"/>
            <w:hideMark/>
          </w:tcPr>
          <w:p w14:paraId="2BECAE3A"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A/R</w:t>
            </w:r>
          </w:p>
        </w:tc>
      </w:tr>
      <w:tr w:rsidR="00AC139B" w:rsidRPr="00AC139B" w14:paraId="696485E9" w14:textId="77777777" w:rsidTr="00435849">
        <w:tc>
          <w:tcPr>
            <w:tcW w:w="0" w:type="auto"/>
            <w:vMerge/>
            <w:tcBorders>
              <w:top w:val="nil"/>
              <w:left w:val="single" w:sz="4" w:space="0" w:color="auto"/>
              <w:bottom w:val="single" w:sz="4" w:space="0" w:color="auto"/>
              <w:right w:val="single" w:sz="4" w:space="0" w:color="auto"/>
            </w:tcBorders>
            <w:vAlign w:val="center"/>
            <w:hideMark/>
          </w:tcPr>
          <w:p w14:paraId="2CCCDEB8" w14:textId="77777777" w:rsidR="002A6970" w:rsidRPr="007F63EF" w:rsidRDefault="002A6970" w:rsidP="00435849">
            <w:pPr>
              <w:rPr>
                <w:rFonts w:asciiTheme="minorHAnsi" w:eastAsia="Times New Roman" w:hAnsiTheme="minorHAnsi" w:cstheme="minorHAnsi"/>
                <w:sz w:val="20"/>
                <w:szCs w:val="20"/>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4A8901E6" w14:textId="77777777" w:rsidR="002A6970" w:rsidRPr="007F63EF" w:rsidRDefault="002A6970" w:rsidP="00435849">
            <w:pPr>
              <w:rPr>
                <w:rFonts w:asciiTheme="minorHAnsi" w:eastAsia="Times New Roman" w:hAnsiTheme="minorHAnsi" w:cstheme="minorHAnsi"/>
                <w:b/>
                <w:bCs/>
                <w:sz w:val="20"/>
                <w:szCs w:val="20"/>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051AB238" w14:textId="77777777" w:rsidR="002A6970" w:rsidRPr="007F63EF" w:rsidRDefault="002A6970" w:rsidP="00435849">
            <w:pPr>
              <w:rPr>
                <w:rFonts w:asciiTheme="minorHAnsi" w:eastAsia="Times New Roman" w:hAnsiTheme="minorHAnsi" w:cstheme="minorHAnsi"/>
                <w:b/>
                <w:bCs/>
                <w:sz w:val="20"/>
                <w:szCs w:val="20"/>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33C3C4" w14:textId="77777777" w:rsidR="002A6970" w:rsidRPr="007F63EF" w:rsidRDefault="002A6970" w:rsidP="00435849">
            <w:pPr>
              <w:rPr>
                <w:rFonts w:asciiTheme="minorHAnsi" w:eastAsia="Times New Roman" w:hAnsiTheme="minorHAnsi" w:cstheme="minorHAnsi"/>
                <w:b/>
                <w:bCs/>
                <w:sz w:val="20"/>
                <w:szCs w:val="20"/>
                <w:lang w:eastAsia="en-GB"/>
              </w:rPr>
            </w:pPr>
          </w:p>
        </w:tc>
        <w:tc>
          <w:tcPr>
            <w:tcW w:w="0" w:type="auto"/>
            <w:tcBorders>
              <w:top w:val="nil"/>
              <w:left w:val="nil"/>
              <w:bottom w:val="nil"/>
              <w:right w:val="nil"/>
            </w:tcBorders>
            <w:shd w:val="clear" w:color="auto" w:fill="auto"/>
            <w:noWrap/>
            <w:vAlign w:val="center"/>
            <w:hideMark/>
          </w:tcPr>
          <w:p w14:paraId="18EA239A" w14:textId="77777777" w:rsidR="002A6970" w:rsidRPr="007F63EF" w:rsidRDefault="002A6970" w:rsidP="00435849">
            <w:pPr>
              <w:rPr>
                <w:rFonts w:asciiTheme="minorHAnsi" w:eastAsia="Times New Roman" w:hAnsiTheme="minorHAnsi" w:cstheme="minorHAnsi"/>
                <w:b/>
                <w:bCs/>
                <w:sz w:val="20"/>
                <w:szCs w:val="20"/>
                <w:lang w:eastAsia="en-GB"/>
              </w:rPr>
            </w:pPr>
          </w:p>
        </w:tc>
      </w:tr>
      <w:tr w:rsidR="00AC139B" w:rsidRPr="00AC139B" w14:paraId="6F95101B"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507239F9"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Data</w:t>
            </w:r>
          </w:p>
        </w:tc>
        <w:tc>
          <w:tcPr>
            <w:tcW w:w="0" w:type="auto"/>
            <w:tcBorders>
              <w:top w:val="nil"/>
              <w:left w:val="nil"/>
              <w:bottom w:val="single" w:sz="4" w:space="0" w:color="auto"/>
              <w:right w:val="single" w:sz="4" w:space="0" w:color="auto"/>
            </w:tcBorders>
            <w:shd w:val="clear" w:color="auto" w:fill="auto"/>
            <w:vAlign w:val="center"/>
            <w:hideMark/>
          </w:tcPr>
          <w:p w14:paraId="48427FF0" w14:textId="1428C29D" w:rsidR="00065B5A" w:rsidRPr="00AC139B" w:rsidRDefault="00065B5A" w:rsidP="00065B5A">
            <w:pPr>
              <w:rPr>
                <w:rFonts w:ascii="Times New Roman" w:hAnsi="Times New Roman" w:cs="Times New Roman"/>
                <w:sz w:val="24"/>
                <w:szCs w:val="24"/>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Data security compromised</w:t>
            </w:r>
            <w:r w:rsidRPr="007F63EF">
              <w:rPr>
                <w:rFonts w:asciiTheme="minorHAnsi" w:eastAsia="Times New Roman" w:hAnsiTheme="minorHAnsi" w:cstheme="minorHAnsi"/>
                <w:b/>
                <w:bCs/>
                <w:sz w:val="20"/>
                <w:szCs w:val="20"/>
                <w:lang w:eastAsia="en-GB"/>
              </w:rPr>
              <w:br/>
              <w:t xml:space="preserve">Cause: </w:t>
            </w:r>
            <w:r w:rsidRPr="007F63EF">
              <w:rPr>
                <w:rFonts w:asciiTheme="minorHAnsi" w:eastAsia="Times New Roman" w:hAnsiTheme="minorHAnsi" w:cstheme="minorHAnsi"/>
                <w:sz w:val="20"/>
                <w:szCs w:val="20"/>
                <w:lang w:eastAsia="en-GB"/>
              </w:rPr>
              <w:t xml:space="preserve">Itad’s system is hacked by a malignant source, or </w:t>
            </w:r>
            <w:r w:rsidR="00AC139B">
              <w:rPr>
                <w:rFonts w:asciiTheme="minorHAnsi" w:eastAsia="Times New Roman" w:hAnsiTheme="minorHAnsi" w:cstheme="minorHAnsi"/>
                <w:sz w:val="20"/>
                <w:szCs w:val="20"/>
                <w:lang w:eastAsia="en-GB"/>
              </w:rPr>
              <w:t xml:space="preserve">there is a </w:t>
            </w:r>
            <w:r w:rsidRPr="007F63EF">
              <w:rPr>
                <w:rFonts w:asciiTheme="minorHAnsi" w:eastAsia="Times New Roman" w:hAnsiTheme="minorHAnsi" w:cstheme="minorHAnsi"/>
                <w:sz w:val="20"/>
                <w:szCs w:val="20"/>
                <w:lang w:eastAsia="en-GB"/>
              </w:rPr>
              <w:t>failure to ensure safe information management results in a loss or corruption of data.</w:t>
            </w:r>
            <w:r w:rsidRPr="007F63EF">
              <w:rPr>
                <w:rFonts w:asciiTheme="minorHAnsi" w:eastAsia="Times New Roman" w:hAnsiTheme="minorHAnsi" w:cstheme="minorHAnsi"/>
                <w:b/>
                <w:bCs/>
                <w:sz w:val="20"/>
                <w:szCs w:val="20"/>
                <w:lang w:eastAsia="en-GB"/>
              </w:rPr>
              <w:br/>
              <w:t xml:space="preserve">Effect: </w:t>
            </w:r>
            <w:r w:rsidRPr="007F63EF">
              <w:rPr>
                <w:rFonts w:asciiTheme="minorHAnsi" w:eastAsia="Times New Roman" w:hAnsiTheme="minorHAnsi" w:cstheme="minorHAnsi"/>
                <w:sz w:val="20"/>
                <w:szCs w:val="20"/>
                <w:lang w:eastAsia="en-GB"/>
              </w:rPr>
              <w:t>Confidential data, is corrupted and/or lost.</w:t>
            </w:r>
            <w:r w:rsidRPr="007F63EF">
              <w:rPr>
                <w:rFonts w:asciiTheme="minorHAnsi" w:eastAsia="Times New Roman" w:hAnsiTheme="minorHAnsi" w:cstheme="minorHAnsi"/>
                <w:b/>
                <w:bCs/>
                <w:sz w:val="20"/>
                <w:szCs w:val="20"/>
                <w:lang w:eastAsia="en-GB"/>
              </w:rPr>
              <w:br/>
              <w:t>Impact:</w:t>
            </w:r>
            <w:r w:rsidRPr="007F63EF">
              <w:rPr>
                <w:rFonts w:asciiTheme="minorHAnsi" w:eastAsia="Times New Roman" w:hAnsiTheme="minorHAnsi" w:cstheme="minorHAnsi"/>
                <w:sz w:val="20"/>
                <w:szCs w:val="20"/>
                <w:lang w:eastAsia="en-GB"/>
              </w:rPr>
              <w:t xml:space="preserve"> cost of recollection, undermines product quality</w:t>
            </w:r>
            <w:r w:rsidRPr="00AC139B">
              <w:rPr>
                <w:rFonts w:ascii="Times New Roman" w:hAnsi="Times New Roman" w:cs="Times New Roman"/>
                <w:sz w:val="24"/>
                <w:szCs w:val="24"/>
                <w:lang w:eastAsia="en-GB"/>
              </w:rPr>
              <w:t xml:space="preserve"> </w:t>
            </w:r>
          </w:p>
          <w:p w14:paraId="4926E8BD" w14:textId="24570777" w:rsidR="002A6970" w:rsidRPr="007F63EF" w:rsidRDefault="002A6970" w:rsidP="00435849">
            <w:pPr>
              <w:rPr>
                <w:rFonts w:asciiTheme="minorHAnsi" w:eastAsia="Times New Roman" w:hAnsiTheme="minorHAnsi" w:cstheme="minorHAnsi"/>
                <w:b/>
                <w:bCs/>
                <w:sz w:val="20"/>
                <w:szCs w:val="20"/>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4BB67FC" w14:textId="730EEFBF"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BC39B4"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t>:</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1. “Cyber essentials” precautions, incl. secure offsite backups</w:t>
            </w:r>
            <w:r w:rsidRPr="007F63EF">
              <w:rPr>
                <w:rFonts w:asciiTheme="minorHAnsi" w:eastAsia="Times New Roman" w:hAnsiTheme="minorHAnsi" w:cstheme="minorHAnsi"/>
                <w:sz w:val="20"/>
                <w:szCs w:val="20"/>
                <w:lang w:eastAsia="en-GB"/>
              </w:rPr>
              <w:br/>
              <w:t>2. Use of M-files as knowledge sharing platform</w:t>
            </w:r>
            <w:r w:rsidR="00F3424F" w:rsidRPr="007F63EF">
              <w:rPr>
                <w:rFonts w:asciiTheme="minorHAnsi" w:eastAsia="Times New Roman" w:hAnsiTheme="minorHAnsi" w:cstheme="minorHAnsi"/>
                <w:sz w:val="20"/>
                <w:szCs w:val="20"/>
                <w:lang w:eastAsia="en-GB"/>
              </w:rPr>
              <w:t xml:space="preserve"> – moved to TEAMS in 2020. </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b/>
                <w:bCs/>
                <w:sz w:val="20"/>
                <w:szCs w:val="20"/>
                <w:lang w:eastAsia="en-GB"/>
              </w:rPr>
              <w:br/>
              <w:t xml:space="preserve">Impact of </w:t>
            </w:r>
            <w:r w:rsidR="0075181D" w:rsidRPr="007F63EF">
              <w:rPr>
                <w:rFonts w:asciiTheme="minorHAnsi" w:eastAsia="Times New Roman" w:hAnsiTheme="minorHAnsi" w:cstheme="minorHAnsi"/>
                <w:b/>
                <w:bCs/>
                <w:sz w:val="20"/>
                <w:szCs w:val="20"/>
                <w:lang w:eastAsia="en-GB"/>
              </w:rPr>
              <w:t>COVID-</w:t>
            </w:r>
            <w:r w:rsidRPr="007F63EF">
              <w:rPr>
                <w:rFonts w:asciiTheme="minorHAnsi" w:eastAsia="Times New Roman" w:hAnsiTheme="minorHAnsi" w:cstheme="minorHAnsi"/>
                <w:b/>
                <w:bCs/>
                <w:sz w:val="20"/>
                <w:szCs w:val="20"/>
                <w:lang w:eastAsia="en-GB"/>
              </w:rPr>
              <w:t xml:space="preserve">19: </w:t>
            </w:r>
            <w:r w:rsidRPr="007F63EF">
              <w:rPr>
                <w:rFonts w:asciiTheme="minorHAnsi" w:eastAsia="Times New Roman" w:hAnsiTheme="minorHAnsi" w:cstheme="minorHAnsi"/>
                <w:b/>
                <w:bCs/>
                <w:sz w:val="20"/>
                <w:szCs w:val="20"/>
                <w:lang w:eastAsia="en-GB"/>
              </w:rPr>
              <w:br/>
            </w:r>
            <w:r w:rsidR="0075181D" w:rsidRPr="007F63EF">
              <w:rPr>
                <w:rFonts w:asciiTheme="minorHAnsi" w:eastAsia="Times New Roman" w:hAnsiTheme="minorHAnsi" w:cstheme="minorHAnsi"/>
                <w:sz w:val="20"/>
                <w:szCs w:val="20"/>
                <w:lang w:eastAsia="en-GB"/>
              </w:rPr>
              <w:t>COVID-</w:t>
            </w:r>
            <w:r w:rsidRPr="007F63EF">
              <w:rPr>
                <w:rFonts w:asciiTheme="minorHAnsi" w:eastAsia="Times New Roman" w:hAnsiTheme="minorHAnsi" w:cstheme="minorHAnsi"/>
                <w:sz w:val="20"/>
                <w:szCs w:val="20"/>
                <w:lang w:eastAsia="en-GB"/>
              </w:rPr>
              <w:t>19 creates new compliance</w:t>
            </w:r>
            <w:r w:rsidR="00562AF8"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related risks. </w:t>
            </w:r>
            <w:r w:rsidR="00562AF8" w:rsidRPr="007F63EF">
              <w:rPr>
                <w:rFonts w:asciiTheme="minorHAnsi" w:eastAsia="Times New Roman" w:hAnsiTheme="minorHAnsi" w:cstheme="minorHAnsi"/>
                <w:sz w:val="20"/>
                <w:szCs w:val="20"/>
                <w:lang w:eastAsia="en-GB"/>
              </w:rPr>
              <w:t>An i</w:t>
            </w:r>
            <w:r w:rsidRPr="007F63EF">
              <w:rPr>
                <w:rFonts w:asciiTheme="minorHAnsi" w:eastAsia="Times New Roman" w:hAnsiTheme="minorHAnsi" w:cstheme="minorHAnsi"/>
                <w:sz w:val="20"/>
                <w:szCs w:val="20"/>
                <w:lang w:eastAsia="en-GB"/>
              </w:rPr>
              <w:t xml:space="preserve">ncrease in remote working increases </w:t>
            </w:r>
            <w:r w:rsidR="00562AF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chance of non-compliance and</w:t>
            </w:r>
            <w:r w:rsidR="00562AF8"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risk of confidential data leaks. Internal changes as a result of altered working practices potentially limit the effectiveness of their IT Security tools.</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b/>
                <w:bCs/>
                <w:sz w:val="20"/>
                <w:szCs w:val="20"/>
                <w:lang w:eastAsia="en-GB"/>
              </w:rPr>
              <w:br/>
              <w:t xml:space="preserve">Contingency Plan: </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Working practices and IT security tools </w:t>
            </w:r>
            <w:r w:rsidR="00562AF8" w:rsidRPr="007F63EF">
              <w:rPr>
                <w:rFonts w:asciiTheme="minorHAnsi" w:eastAsia="Times New Roman" w:hAnsiTheme="minorHAnsi" w:cstheme="minorHAnsi"/>
                <w:sz w:val="20"/>
                <w:szCs w:val="20"/>
                <w:lang w:eastAsia="en-GB"/>
              </w:rPr>
              <w:t xml:space="preserve">are </w:t>
            </w:r>
            <w:r w:rsidRPr="007F63EF">
              <w:rPr>
                <w:rFonts w:asciiTheme="minorHAnsi" w:eastAsia="Times New Roman" w:hAnsiTheme="minorHAnsi" w:cstheme="minorHAnsi"/>
                <w:sz w:val="20"/>
                <w:szCs w:val="20"/>
                <w:lang w:eastAsia="en-GB"/>
              </w:rPr>
              <w:t>reviewed on an ongoing basis by</w:t>
            </w:r>
            <w:r w:rsidR="00562AF8"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IT department. </w:t>
            </w:r>
            <w:r w:rsidRPr="007F63EF">
              <w:rPr>
                <w:rFonts w:asciiTheme="minorHAnsi" w:eastAsia="Times New Roman" w:hAnsiTheme="minorHAnsi" w:cstheme="minorHAnsi"/>
                <w:sz w:val="20"/>
                <w:szCs w:val="20"/>
                <w:lang w:eastAsia="en-GB"/>
              </w:rPr>
              <w:br/>
              <w:t xml:space="preserve">2: Evaluation team refreshed in compliance and safety procedures. </w:t>
            </w:r>
            <w:r w:rsidRPr="007F63EF">
              <w:rPr>
                <w:rFonts w:asciiTheme="minorHAnsi" w:eastAsia="Times New Roman" w:hAnsiTheme="minorHAnsi" w:cstheme="minorHAnsi"/>
                <w:sz w:val="20"/>
                <w:szCs w:val="20"/>
                <w:lang w:eastAsia="en-GB"/>
              </w:rPr>
              <w:br/>
              <w:t xml:space="preserve">3) Ongoing guidance to ensure compliance and best working practices. </w:t>
            </w:r>
            <w:r w:rsidRPr="007F63EF">
              <w:rPr>
                <w:rFonts w:asciiTheme="minorHAnsi" w:eastAsia="Times New Roman" w:hAnsiTheme="minorHAnsi" w:cstheme="minorHAnsi"/>
                <w:sz w:val="20"/>
                <w:szCs w:val="20"/>
                <w:lang w:eastAsia="en-GB"/>
              </w:rPr>
              <w:br/>
              <w:t>4) Regular update of passwords.</w:t>
            </w:r>
          </w:p>
        </w:tc>
        <w:tc>
          <w:tcPr>
            <w:tcW w:w="0" w:type="auto"/>
            <w:tcBorders>
              <w:top w:val="single" w:sz="4" w:space="0" w:color="auto"/>
              <w:left w:val="single" w:sz="4" w:space="0" w:color="auto"/>
              <w:bottom w:val="single" w:sz="4" w:space="0" w:color="auto"/>
              <w:right w:val="single" w:sz="4" w:space="0" w:color="auto"/>
            </w:tcBorders>
            <w:shd w:val="thinDiagStripe" w:color="00B050" w:fill="00B050"/>
            <w:vAlign w:val="center"/>
            <w:hideMark/>
          </w:tcPr>
          <w:p w14:paraId="549119C5"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G</w:t>
            </w:r>
          </w:p>
        </w:tc>
        <w:tc>
          <w:tcPr>
            <w:tcW w:w="0" w:type="auto"/>
            <w:vAlign w:val="center"/>
            <w:hideMark/>
          </w:tcPr>
          <w:p w14:paraId="5D9671B5"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49A05813"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4497D677"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Relationship</w:t>
            </w:r>
          </w:p>
        </w:tc>
        <w:tc>
          <w:tcPr>
            <w:tcW w:w="0" w:type="auto"/>
            <w:tcBorders>
              <w:top w:val="nil"/>
              <w:left w:val="nil"/>
              <w:bottom w:val="single" w:sz="4" w:space="0" w:color="auto"/>
              <w:right w:val="single" w:sz="4" w:space="0" w:color="auto"/>
            </w:tcBorders>
            <w:shd w:val="clear" w:color="auto" w:fill="auto"/>
            <w:vAlign w:val="center"/>
            <w:hideMark/>
          </w:tcPr>
          <w:p w14:paraId="100B7A69" w14:textId="66B0BD4C"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Independence of evaluation undermined</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b/>
                <w:bCs/>
                <w:sz w:val="20"/>
                <w:szCs w:val="20"/>
                <w:lang w:eastAsia="en-GB"/>
              </w:rPr>
              <w:br/>
              <w:t xml:space="preserve">Cause: </w:t>
            </w:r>
            <w:r w:rsidRPr="007F63EF">
              <w:rPr>
                <w:rFonts w:asciiTheme="minorHAnsi" w:eastAsia="Times New Roman" w:hAnsiTheme="minorHAnsi" w:cstheme="minorHAnsi"/>
                <w:sz w:val="20"/>
                <w:szCs w:val="20"/>
                <w:lang w:eastAsia="en-GB"/>
              </w:rPr>
              <w:t xml:space="preserve">undue influence by </w:t>
            </w:r>
            <w:r w:rsidR="00562AF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 or DHSC on</w:t>
            </w:r>
            <w:r w:rsidR="00562AF8"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process of collection, analysis</w:t>
            </w:r>
            <w:r w:rsidR="00562AF8"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 and reporting to influence findings and recommendations</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b/>
                <w:bCs/>
                <w:sz w:val="20"/>
                <w:szCs w:val="20"/>
                <w:lang w:eastAsia="en-GB"/>
              </w:rPr>
              <w:br/>
              <w:t xml:space="preserve">Effect: </w:t>
            </w:r>
            <w:r w:rsidRPr="007F63EF">
              <w:rPr>
                <w:rFonts w:asciiTheme="minorHAnsi" w:eastAsia="Times New Roman" w:hAnsiTheme="minorHAnsi" w:cstheme="minorHAnsi"/>
                <w:sz w:val="20"/>
                <w:szCs w:val="20"/>
                <w:lang w:eastAsia="en-GB"/>
              </w:rPr>
              <w:t>bias in evaluation findings and recommendations</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b/>
                <w:bCs/>
                <w:sz w:val="20"/>
                <w:szCs w:val="20"/>
                <w:lang w:eastAsia="en-GB"/>
              </w:rPr>
              <w:br/>
              <w:t xml:space="preserve">Impact: </w:t>
            </w:r>
            <w:r w:rsidR="00562AF8" w:rsidRPr="007F63EF">
              <w:rPr>
                <w:rFonts w:asciiTheme="minorHAnsi" w:eastAsia="Times New Roman" w:hAnsiTheme="minorHAnsi" w:cstheme="minorHAnsi"/>
                <w:sz w:val="20"/>
                <w:szCs w:val="20"/>
                <w:lang w:eastAsia="en-GB"/>
              </w:rPr>
              <w:t>The i</w:t>
            </w:r>
            <w:r w:rsidRPr="007F63EF">
              <w:rPr>
                <w:rFonts w:asciiTheme="minorHAnsi" w:eastAsia="Times New Roman" w:hAnsiTheme="minorHAnsi" w:cstheme="minorHAnsi"/>
                <w:sz w:val="20"/>
                <w:szCs w:val="20"/>
                <w:lang w:eastAsia="en-GB"/>
              </w:rPr>
              <w:t xml:space="preserve">ndependence of </w:t>
            </w:r>
            <w:r w:rsidR="00562AF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evaluation </w:t>
            </w:r>
            <w:r w:rsidR="00562AF8" w:rsidRPr="007F63EF">
              <w:rPr>
                <w:rFonts w:asciiTheme="minorHAnsi" w:eastAsia="Times New Roman" w:hAnsiTheme="minorHAnsi" w:cstheme="minorHAnsi"/>
                <w:sz w:val="20"/>
                <w:szCs w:val="20"/>
                <w:lang w:eastAsia="en-GB"/>
              </w:rPr>
              <w:t xml:space="preserve">is </w:t>
            </w:r>
            <w:r w:rsidRPr="007F63EF">
              <w:rPr>
                <w:rFonts w:asciiTheme="minorHAnsi" w:eastAsia="Times New Roman" w:hAnsiTheme="minorHAnsi" w:cstheme="minorHAnsi"/>
                <w:sz w:val="20"/>
                <w:szCs w:val="20"/>
                <w:lang w:eastAsia="en-GB"/>
              </w:rPr>
              <w:t>compromised meaning findings have less weight to external eyes and deliverables of poorer quality. Loss of confidence and reputation</w:t>
            </w:r>
          </w:p>
        </w:tc>
        <w:tc>
          <w:tcPr>
            <w:tcW w:w="0" w:type="auto"/>
            <w:tcBorders>
              <w:top w:val="nil"/>
              <w:left w:val="nil"/>
              <w:bottom w:val="single" w:sz="4" w:space="0" w:color="auto"/>
              <w:right w:val="single" w:sz="4" w:space="0" w:color="auto"/>
            </w:tcBorders>
            <w:shd w:val="clear" w:color="auto" w:fill="auto"/>
            <w:vAlign w:val="center"/>
            <w:hideMark/>
          </w:tcPr>
          <w:p w14:paraId="2363C631" w14:textId="39C624A4"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Actions:</w:t>
            </w:r>
            <w:r w:rsidRPr="007F63EF">
              <w:rPr>
                <w:rFonts w:asciiTheme="minorHAnsi" w:eastAsia="Times New Roman" w:hAnsiTheme="minorHAnsi" w:cstheme="minorHAnsi"/>
                <w:sz w:val="20"/>
                <w:szCs w:val="20"/>
                <w:lang w:eastAsia="en-GB"/>
              </w:rPr>
              <w:br/>
              <w:t xml:space="preserve">1. Way of working protocol and information sharing agreement with MA: </w:t>
            </w:r>
            <w:r w:rsidR="00415215" w:rsidRPr="007F63EF">
              <w:rPr>
                <w:rFonts w:asciiTheme="minorHAnsi" w:eastAsia="Times New Roman" w:hAnsiTheme="minorHAnsi" w:cstheme="minorHAnsi"/>
                <w:sz w:val="20"/>
                <w:szCs w:val="20"/>
                <w:lang w:eastAsia="en-GB"/>
              </w:rPr>
              <w:t>the evaluation team</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engaged closely with MA to ensure that they understand our role. This has included a presentation of the objectives, methodology</w:t>
            </w:r>
            <w:r w:rsidR="00AC139B">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 and scope including</w:t>
            </w:r>
            <w:r w:rsidR="00562AF8"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boundaries of the assignment.</w:t>
            </w:r>
            <w:r w:rsidRPr="007F63EF">
              <w:rPr>
                <w:rFonts w:asciiTheme="minorHAnsi" w:eastAsia="Times New Roman" w:hAnsiTheme="minorHAnsi" w:cstheme="minorHAnsi"/>
                <w:sz w:val="20"/>
                <w:szCs w:val="20"/>
                <w:lang w:eastAsia="en-GB"/>
              </w:rPr>
              <w:br/>
              <w:t>2.</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Further work to orientate grantees and other stakeholders to the role of the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 xml:space="preserve"> and its approach and methodology. </w:t>
            </w:r>
            <w:r w:rsidRPr="007F63EF">
              <w:rPr>
                <w:rFonts w:asciiTheme="minorHAnsi" w:eastAsia="Times New Roman" w:hAnsiTheme="minorHAnsi" w:cstheme="minorHAnsi"/>
                <w:sz w:val="20"/>
                <w:szCs w:val="20"/>
                <w:lang w:eastAsia="en-GB"/>
              </w:rPr>
              <w:br/>
              <w:t>3. M&amp;E framework to develop and agree</w:t>
            </w:r>
            <w:r w:rsidR="00562AF8" w:rsidRPr="007F63EF">
              <w:rPr>
                <w:rFonts w:asciiTheme="minorHAnsi" w:eastAsia="Times New Roman" w:hAnsiTheme="minorHAnsi" w:cstheme="minorHAnsi"/>
                <w:sz w:val="20"/>
                <w:szCs w:val="20"/>
                <w:lang w:eastAsia="en-GB"/>
              </w:rPr>
              <w:t xml:space="preserve"> on</w:t>
            </w:r>
            <w:r w:rsidRPr="007F63EF">
              <w:rPr>
                <w:rFonts w:asciiTheme="minorHAnsi" w:eastAsia="Times New Roman" w:hAnsiTheme="minorHAnsi" w:cstheme="minorHAnsi"/>
                <w:sz w:val="20"/>
                <w:szCs w:val="20"/>
                <w:lang w:eastAsia="en-GB"/>
              </w:rPr>
              <w:t xml:space="preserve"> a clear division of responsibilities in M&amp;E functions.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However further work is required early in the implementation phase to agree</w:t>
            </w:r>
            <w:r w:rsidR="00562AF8" w:rsidRPr="007F63EF">
              <w:rPr>
                <w:rFonts w:asciiTheme="minorHAnsi" w:eastAsia="Times New Roman" w:hAnsiTheme="minorHAnsi" w:cstheme="minorHAnsi"/>
                <w:sz w:val="20"/>
                <w:szCs w:val="20"/>
                <w:lang w:eastAsia="en-GB"/>
              </w:rPr>
              <w:t xml:space="preserve"> on</w:t>
            </w:r>
            <w:r w:rsidRPr="007F63EF">
              <w:rPr>
                <w:rFonts w:asciiTheme="minorHAnsi" w:eastAsia="Times New Roman" w:hAnsiTheme="minorHAnsi" w:cstheme="minorHAnsi"/>
                <w:sz w:val="20"/>
                <w:szCs w:val="20"/>
                <w:lang w:eastAsia="en-GB"/>
              </w:rPr>
              <w:t xml:space="preserve"> ongoing detailed data collection responsibilities.</w:t>
            </w:r>
            <w:r w:rsidRPr="007F63EF">
              <w:rPr>
                <w:rFonts w:asciiTheme="minorHAnsi" w:eastAsia="Times New Roman" w:hAnsiTheme="minorHAnsi" w:cstheme="minorHAnsi"/>
                <w:sz w:val="20"/>
                <w:szCs w:val="20"/>
                <w:lang w:eastAsia="en-GB"/>
              </w:rPr>
              <w:br/>
              <w:t xml:space="preserve">4. The </w:t>
            </w:r>
            <w:r w:rsidR="00F3424F" w:rsidRPr="007F63EF">
              <w:rPr>
                <w:rFonts w:asciiTheme="minorHAnsi" w:eastAsia="Times New Roman" w:hAnsiTheme="minorHAnsi" w:cstheme="minorHAnsi"/>
                <w:sz w:val="20"/>
                <w:szCs w:val="20"/>
                <w:lang w:eastAsia="en-GB"/>
              </w:rPr>
              <w:t>Summative</w:t>
            </w:r>
            <w:r w:rsidRPr="007F63EF">
              <w:rPr>
                <w:rFonts w:asciiTheme="minorHAnsi" w:eastAsia="Times New Roman" w:hAnsiTheme="minorHAnsi" w:cstheme="minorHAnsi"/>
                <w:sz w:val="20"/>
                <w:szCs w:val="20"/>
                <w:lang w:eastAsia="en-GB"/>
              </w:rPr>
              <w:t xml:space="preserve"> Evaluation Report will include a summary of evaluation findings in clear and accessible language which may be used for </w:t>
            </w:r>
            <w:r w:rsidR="00562AF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wider dissemination of Itad independent findings by DHSC and external stakeholders. </w:t>
            </w:r>
            <w:r w:rsidRPr="007F63EF">
              <w:rPr>
                <w:rFonts w:asciiTheme="minorHAnsi" w:eastAsia="Times New Roman" w:hAnsiTheme="minorHAnsi" w:cstheme="minorHAnsi"/>
                <w:sz w:val="20"/>
                <w:szCs w:val="20"/>
                <w:lang w:eastAsia="en-GB"/>
              </w:rPr>
              <w:br/>
              <w:t xml:space="preserve">5. There is an established and ongoing development of governance structure, designed to mitigate influence from any one party on </w:t>
            </w:r>
            <w:r w:rsidR="00562AF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independence of </w:t>
            </w:r>
            <w:r w:rsidR="00562AF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evaluator</w:t>
            </w:r>
            <w:r w:rsidRPr="007F63EF">
              <w:rPr>
                <w:rFonts w:asciiTheme="minorHAnsi" w:eastAsia="Times New Roman" w:hAnsiTheme="minorHAnsi" w:cstheme="minorHAnsi"/>
                <w:sz w:val="20"/>
                <w:szCs w:val="20"/>
                <w:lang w:eastAsia="en-GB"/>
              </w:rPr>
              <w:br/>
              <w:t>6. Inception Report</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details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planned activities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and methods for </w:t>
            </w:r>
            <w:r w:rsidR="006B114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implementation period, this has been led by Itad as an independent evaluator</w:t>
            </w:r>
            <w:r w:rsidRPr="007F63EF">
              <w:rPr>
                <w:rFonts w:asciiTheme="minorHAnsi" w:eastAsia="Times New Roman" w:hAnsiTheme="minorHAnsi" w:cstheme="minorHAnsi"/>
                <w:sz w:val="20"/>
                <w:szCs w:val="20"/>
                <w:lang w:eastAsia="en-GB"/>
              </w:rPr>
              <w:br/>
              <w:t xml:space="preserve">7. The EAG includes independent actors who will discuss the progress of the evaluation, asking "why" actions are taken with a remit including ensuring the independence of the evaluator. </w:t>
            </w:r>
            <w:r w:rsidRPr="007F63EF">
              <w:rPr>
                <w:rFonts w:asciiTheme="minorHAnsi" w:eastAsia="Times New Roman" w:hAnsiTheme="minorHAnsi" w:cstheme="minorHAnsi"/>
                <w:sz w:val="20"/>
                <w:szCs w:val="20"/>
                <w:lang w:eastAsia="en-GB"/>
              </w:rPr>
              <w:br/>
              <w:t xml:space="preserve">8. Evaluation </w:t>
            </w:r>
            <w:r w:rsidR="00B25D09" w:rsidRPr="007F63EF">
              <w:rPr>
                <w:rFonts w:asciiTheme="minorHAnsi" w:eastAsia="Times New Roman" w:hAnsiTheme="minorHAnsi" w:cstheme="minorHAnsi"/>
                <w:sz w:val="20"/>
                <w:szCs w:val="20"/>
                <w:lang w:eastAsia="en-GB"/>
              </w:rPr>
              <w:t>QA</w:t>
            </w:r>
            <w:r w:rsidRPr="007F63EF">
              <w:rPr>
                <w:rFonts w:asciiTheme="minorHAnsi" w:eastAsia="Times New Roman" w:hAnsiTheme="minorHAnsi" w:cstheme="minorHAnsi"/>
                <w:sz w:val="20"/>
                <w:szCs w:val="20"/>
                <w:lang w:eastAsia="en-GB"/>
              </w:rPr>
              <w:t xml:space="preserve"> and Learning Service (EQuALS) - reports will be assessed using the equivalent of EQuALS framework as part of Itad's </w:t>
            </w:r>
            <w:r w:rsidR="00B25D09" w:rsidRPr="007F63EF">
              <w:rPr>
                <w:rFonts w:asciiTheme="minorHAnsi" w:eastAsia="Times New Roman" w:hAnsiTheme="minorHAnsi" w:cstheme="minorHAnsi"/>
                <w:sz w:val="20"/>
                <w:szCs w:val="20"/>
                <w:lang w:eastAsia="en-GB"/>
              </w:rPr>
              <w:t>QA</w:t>
            </w:r>
            <w:r w:rsidRPr="007F63EF">
              <w:rPr>
                <w:rFonts w:asciiTheme="minorHAnsi" w:eastAsia="Times New Roman" w:hAnsiTheme="minorHAnsi" w:cstheme="minorHAnsi"/>
                <w:sz w:val="20"/>
                <w:szCs w:val="20"/>
                <w:lang w:eastAsia="en-GB"/>
              </w:rPr>
              <w:t>, which is external to the project and professionally independent.</w:t>
            </w:r>
            <w:r w:rsidRPr="007F63EF">
              <w:rPr>
                <w:rFonts w:asciiTheme="minorHAnsi" w:eastAsia="Times New Roman" w:hAnsiTheme="minorHAnsi" w:cstheme="minorHAnsi"/>
                <w:sz w:val="20"/>
                <w:szCs w:val="20"/>
                <w:lang w:eastAsia="en-GB"/>
              </w:rPr>
              <w:br/>
              <w:t>9. In our first evaluation deliverable we were very careful not to make recommendations so that we cannot be accused of subsequently evaluating our own prescriptions.</w:t>
            </w:r>
            <w:r w:rsidR="007458AC" w:rsidRPr="007F63EF">
              <w:rPr>
                <w:rFonts w:asciiTheme="minorHAnsi" w:eastAsia="Times New Roman" w:hAnsiTheme="minorHAnsi" w:cstheme="minorHAnsi"/>
                <w:sz w:val="20"/>
                <w:szCs w:val="20"/>
                <w:lang w:eastAsia="en-GB"/>
              </w:rPr>
              <w:t xml:space="preserve"> </w:t>
            </w:r>
            <w:r w:rsidR="006B114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 and DHSC were given information in that report to enable them to reflect and decide on the best course of action to address any concerns raised.</w:t>
            </w:r>
          </w:p>
        </w:tc>
        <w:tc>
          <w:tcPr>
            <w:tcW w:w="0" w:type="auto"/>
            <w:tcBorders>
              <w:top w:val="single" w:sz="4" w:space="0" w:color="auto"/>
              <w:left w:val="single" w:sz="4" w:space="0" w:color="auto"/>
              <w:bottom w:val="single" w:sz="4" w:space="0" w:color="auto"/>
              <w:right w:val="single" w:sz="4" w:space="0" w:color="auto"/>
            </w:tcBorders>
            <w:shd w:val="thinDiagStripe" w:color="00B050" w:fill="00B050"/>
            <w:vAlign w:val="center"/>
            <w:hideMark/>
          </w:tcPr>
          <w:p w14:paraId="45B71A8B"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G</w:t>
            </w:r>
          </w:p>
        </w:tc>
        <w:tc>
          <w:tcPr>
            <w:tcW w:w="0" w:type="auto"/>
            <w:vAlign w:val="center"/>
            <w:hideMark/>
          </w:tcPr>
          <w:p w14:paraId="1C82310C"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2C3F0050"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275FAC04"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Relationship</w:t>
            </w:r>
          </w:p>
        </w:tc>
        <w:tc>
          <w:tcPr>
            <w:tcW w:w="0" w:type="auto"/>
            <w:tcBorders>
              <w:top w:val="nil"/>
              <w:left w:val="nil"/>
              <w:bottom w:val="single" w:sz="4" w:space="0" w:color="auto"/>
              <w:right w:val="single" w:sz="4" w:space="0" w:color="auto"/>
            </w:tcBorders>
            <w:shd w:val="clear" w:color="auto" w:fill="auto"/>
            <w:vAlign w:val="center"/>
            <w:hideMark/>
          </w:tcPr>
          <w:p w14:paraId="17C41CD7" w14:textId="754581C2" w:rsidR="006B1148"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b/>
                <w:bCs/>
                <w:sz w:val="20"/>
                <w:szCs w:val="20"/>
                <w:lang w:eastAsia="en-GB"/>
              </w:rPr>
              <w:t xml:space="preserve">Risk: </w:t>
            </w:r>
            <w:r w:rsidR="006B114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requesting a high level of interaction or tasks that are beyond the original ToR</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b/>
                <w:bCs/>
                <w:sz w:val="20"/>
                <w:szCs w:val="20"/>
                <w:lang w:eastAsia="en-GB"/>
              </w:rPr>
              <w:br/>
              <w:t xml:space="preserve">Cause: </w:t>
            </w:r>
            <w:r w:rsidRPr="007F63EF">
              <w:rPr>
                <w:rFonts w:asciiTheme="minorHAnsi" w:eastAsia="Times New Roman" w:hAnsiTheme="minorHAnsi" w:cstheme="minorHAnsi"/>
                <w:sz w:val="20"/>
                <w:szCs w:val="20"/>
                <w:lang w:eastAsia="en-GB"/>
              </w:rPr>
              <w:t xml:space="preserve">As the programme is utilisation focused and about co-creation, the level of interaction between </w:t>
            </w:r>
            <w:r w:rsidR="006B114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DHSC and Itad is likely to be high. </w:t>
            </w:r>
          </w:p>
          <w:p w14:paraId="1E7D4F4E" w14:textId="291B4F76" w:rsidR="006B1148"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 xml:space="preserve">Poor communication between </w:t>
            </w:r>
            <w:r w:rsidR="006B114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DHSC, Itad and </w:t>
            </w:r>
            <w:r w:rsidR="006B114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MA. </w:t>
            </w:r>
          </w:p>
          <w:p w14:paraId="1C56EA80" w14:textId="01787B34"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sz w:val="20"/>
                <w:szCs w:val="20"/>
                <w:lang w:eastAsia="en-GB"/>
              </w:rPr>
              <w:t>Too many unplanned demands.</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Effect:</w:t>
            </w:r>
            <w:r w:rsidR="007458AC"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sz w:val="20"/>
                <w:szCs w:val="20"/>
                <w:lang w:eastAsia="en-GB"/>
              </w:rPr>
              <w:t xml:space="preserve">High transactional cost. Resources taken away from required deliverables; work undertaken not then accepted by </w:t>
            </w:r>
            <w:r w:rsidR="006B114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Breach of contract.</w:t>
            </w:r>
            <w:r w:rsidRPr="007F63EF">
              <w:rPr>
                <w:rFonts w:asciiTheme="minorHAnsi" w:eastAsia="Times New Roman" w:hAnsiTheme="minorHAnsi" w:cstheme="minorHAnsi"/>
                <w:b/>
                <w:bCs/>
                <w:sz w:val="20"/>
                <w:szCs w:val="20"/>
                <w:lang w:eastAsia="en-GB"/>
              </w:rPr>
              <w:br/>
              <w:t xml:space="preserve">Impact: </w:t>
            </w:r>
            <w:r w:rsidRPr="007F63EF">
              <w:rPr>
                <w:rFonts w:asciiTheme="minorHAnsi" w:eastAsia="Times New Roman" w:hAnsiTheme="minorHAnsi" w:cstheme="minorHAnsi"/>
                <w:sz w:val="20"/>
                <w:szCs w:val="20"/>
                <w:lang w:eastAsia="en-GB"/>
              </w:rPr>
              <w:t xml:space="preserve">Time </w:t>
            </w:r>
            <w:r w:rsidR="0006068E" w:rsidRPr="00813E4E">
              <w:rPr>
                <w:rFonts w:asciiTheme="minorHAnsi" w:eastAsia="Times New Roman" w:hAnsiTheme="minorHAnsi" w:cstheme="minorHAnsi"/>
                <w:sz w:val="20"/>
                <w:szCs w:val="20"/>
                <w:lang w:eastAsia="en-GB"/>
              </w:rPr>
              <w:t>wasted;</w:t>
            </w:r>
            <w:r w:rsidRPr="007F63EF">
              <w:rPr>
                <w:rFonts w:asciiTheme="minorHAnsi" w:eastAsia="Times New Roman" w:hAnsiTheme="minorHAnsi" w:cstheme="minorHAnsi"/>
                <w:sz w:val="20"/>
                <w:szCs w:val="20"/>
                <w:lang w:eastAsia="en-GB"/>
              </w:rPr>
              <w:t xml:space="preserve"> progress slowed</w:t>
            </w:r>
            <w:r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sz w:val="20"/>
                <w:szCs w:val="20"/>
                <w:lang w:eastAsia="en-GB"/>
              </w:rPr>
              <w:t>Deliverables delayed or quality not as high as expected. Unable to deliver to specification and within budget. Damage to relationship with DHSC and MA</w:t>
            </w:r>
          </w:p>
        </w:tc>
        <w:tc>
          <w:tcPr>
            <w:tcW w:w="0" w:type="auto"/>
            <w:tcBorders>
              <w:top w:val="nil"/>
              <w:left w:val="nil"/>
              <w:bottom w:val="single" w:sz="4" w:space="0" w:color="auto"/>
              <w:right w:val="single" w:sz="4" w:space="0" w:color="auto"/>
            </w:tcBorders>
            <w:shd w:val="clear" w:color="auto" w:fill="auto"/>
            <w:vAlign w:val="center"/>
            <w:hideMark/>
          </w:tcPr>
          <w:p w14:paraId="4D6EEA32" w14:textId="42417CB5" w:rsidR="002A6970" w:rsidRPr="007F63EF" w:rsidRDefault="002A6970" w:rsidP="00435849">
            <w:pPr>
              <w:spacing w:after="240"/>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BC39B4"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t>:</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1.</w:t>
            </w:r>
            <w:r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sz w:val="20"/>
                <w:szCs w:val="20"/>
                <w:lang w:eastAsia="en-GB"/>
              </w:rPr>
              <w:t>Agreed ways of working with DHSC</w:t>
            </w:r>
            <w:r w:rsidRPr="007F63EF">
              <w:rPr>
                <w:rFonts w:asciiTheme="minorHAnsi" w:eastAsia="Times New Roman" w:hAnsiTheme="minorHAnsi" w:cstheme="minorHAnsi"/>
                <w:sz w:val="20"/>
                <w:szCs w:val="20"/>
                <w:lang w:eastAsia="en-GB"/>
              </w:rPr>
              <w:br/>
              <w:t xml:space="preserve">2. Clearly defined and understood </w:t>
            </w:r>
            <w:r w:rsidR="00FB10B9" w:rsidRPr="007F63EF">
              <w:rPr>
                <w:rFonts w:asciiTheme="minorHAnsi" w:eastAsia="Times New Roman" w:hAnsiTheme="minorHAnsi" w:cstheme="minorHAnsi"/>
                <w:sz w:val="20"/>
                <w:szCs w:val="20"/>
                <w:lang w:eastAsia="en-GB"/>
              </w:rPr>
              <w:t>work plan</w:t>
            </w:r>
            <w:r w:rsidRPr="007F63EF">
              <w:rPr>
                <w:rFonts w:asciiTheme="minorHAnsi" w:eastAsia="Times New Roman" w:hAnsiTheme="minorHAnsi" w:cstheme="minorHAnsi"/>
                <w:sz w:val="20"/>
                <w:szCs w:val="20"/>
                <w:lang w:eastAsia="en-GB"/>
              </w:rPr>
              <w:t>s, clearly signed off by</w:t>
            </w:r>
            <w:r w:rsidR="006B1148"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DHSC and understood by</w:t>
            </w:r>
            <w:r w:rsidR="006B1148"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MA prior to inception/implementation. </w:t>
            </w:r>
            <w:r w:rsidRPr="007F63EF">
              <w:rPr>
                <w:rFonts w:asciiTheme="minorHAnsi" w:eastAsia="Times New Roman" w:hAnsiTheme="minorHAnsi" w:cstheme="minorHAnsi"/>
                <w:sz w:val="20"/>
                <w:szCs w:val="20"/>
                <w:lang w:eastAsia="en-GB"/>
              </w:rPr>
              <w:br/>
              <w:t xml:space="preserve">3. Appropriate resources allocated to project management </w:t>
            </w:r>
            <w:r w:rsidRPr="007F63EF">
              <w:rPr>
                <w:rFonts w:asciiTheme="minorHAnsi" w:eastAsia="Times New Roman" w:hAnsiTheme="minorHAnsi" w:cstheme="minorHAnsi"/>
                <w:sz w:val="20"/>
                <w:szCs w:val="20"/>
                <w:lang w:eastAsia="en-GB"/>
              </w:rPr>
              <w:br/>
              <w:t xml:space="preserve">4. Not all payments linked to deliverables </w:t>
            </w:r>
            <w:r w:rsidRPr="007F63EF">
              <w:rPr>
                <w:rFonts w:asciiTheme="minorHAnsi" w:eastAsia="Times New Roman" w:hAnsiTheme="minorHAnsi" w:cstheme="minorHAnsi"/>
                <w:sz w:val="20"/>
                <w:szCs w:val="20"/>
                <w:lang w:eastAsia="en-GB"/>
              </w:rPr>
              <w:br/>
              <w:t>5. Close and good working relationship with DHSC maintained</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br/>
              <w:t>6. Good communication</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(incl</w:t>
            </w:r>
            <w:r w:rsidR="006B1148" w:rsidRPr="007F63EF">
              <w:rPr>
                <w:rFonts w:asciiTheme="minorHAnsi" w:eastAsia="Times New Roman" w:hAnsiTheme="minorHAnsi" w:cstheme="minorHAnsi"/>
                <w:sz w:val="20"/>
                <w:szCs w:val="20"/>
                <w:lang w:eastAsia="en-GB"/>
              </w:rPr>
              <w:t>uding</w:t>
            </w:r>
            <w:r w:rsidRPr="007F63EF">
              <w:rPr>
                <w:rFonts w:asciiTheme="minorHAnsi" w:eastAsia="Times New Roman" w:hAnsiTheme="minorHAnsi" w:cstheme="minorHAnsi"/>
                <w:sz w:val="20"/>
                <w:szCs w:val="20"/>
                <w:lang w:eastAsia="en-GB"/>
              </w:rPr>
              <w:t xml:space="preserve"> regular meetings) and way</w:t>
            </w:r>
            <w:r w:rsidR="0006068E">
              <w:rPr>
                <w:rFonts w:asciiTheme="minorHAnsi" w:eastAsia="Times New Roman" w:hAnsiTheme="minorHAnsi" w:cstheme="minorHAnsi"/>
                <w:sz w:val="20"/>
                <w:szCs w:val="20"/>
                <w:lang w:eastAsia="en-GB"/>
              </w:rPr>
              <w:t>s</w:t>
            </w:r>
            <w:r w:rsidRPr="007F63EF">
              <w:rPr>
                <w:rFonts w:asciiTheme="minorHAnsi" w:eastAsia="Times New Roman" w:hAnsiTheme="minorHAnsi" w:cstheme="minorHAnsi"/>
                <w:sz w:val="20"/>
                <w:szCs w:val="20"/>
                <w:lang w:eastAsia="en-GB"/>
              </w:rPr>
              <w:t xml:space="preserve"> of working protocol agreed with </w:t>
            </w:r>
            <w:r w:rsidR="006B114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w:t>
            </w:r>
            <w:r w:rsidRPr="007F63EF">
              <w:rPr>
                <w:rFonts w:asciiTheme="minorHAnsi" w:eastAsia="Times New Roman" w:hAnsiTheme="minorHAnsi" w:cstheme="minorHAnsi"/>
                <w:sz w:val="20"/>
                <w:szCs w:val="20"/>
                <w:lang w:eastAsia="en-GB"/>
              </w:rPr>
              <w:br/>
              <w:t xml:space="preserve">7. Sound budget and contract management by Itad Project Manager and Project Officer to ensure that there is </w:t>
            </w:r>
            <w:r w:rsidR="006B1148" w:rsidRPr="007F63EF">
              <w:rPr>
                <w:rFonts w:asciiTheme="minorHAnsi" w:eastAsia="Times New Roman" w:hAnsiTheme="minorHAnsi" w:cstheme="minorHAnsi"/>
                <w:sz w:val="20"/>
                <w:szCs w:val="20"/>
                <w:lang w:eastAsia="en-GB"/>
              </w:rPr>
              <w:t xml:space="preserve">a </w:t>
            </w:r>
            <w:r w:rsidRPr="007F63EF">
              <w:rPr>
                <w:rFonts w:asciiTheme="minorHAnsi" w:eastAsia="Times New Roman" w:hAnsiTheme="minorHAnsi" w:cstheme="minorHAnsi"/>
                <w:sz w:val="20"/>
                <w:szCs w:val="20"/>
                <w:lang w:eastAsia="en-GB"/>
              </w:rPr>
              <w:t xml:space="preserve">good change control procedure for agreeing </w:t>
            </w:r>
            <w:r w:rsidR="006B1148" w:rsidRPr="007F63EF">
              <w:rPr>
                <w:rFonts w:asciiTheme="minorHAnsi" w:eastAsia="Times New Roman" w:hAnsiTheme="minorHAnsi" w:cstheme="minorHAnsi"/>
                <w:sz w:val="20"/>
                <w:szCs w:val="20"/>
                <w:lang w:eastAsia="en-GB"/>
              </w:rPr>
              <w:t xml:space="preserve">on </w:t>
            </w:r>
            <w:r w:rsidRPr="007F63EF">
              <w:rPr>
                <w:rFonts w:asciiTheme="minorHAnsi" w:eastAsia="Times New Roman" w:hAnsiTheme="minorHAnsi" w:cstheme="minorHAnsi"/>
                <w:sz w:val="20"/>
                <w:szCs w:val="20"/>
                <w:lang w:eastAsia="en-GB"/>
              </w:rPr>
              <w:t>key changes in the scope and trajectory of the evaluation.</w:t>
            </w:r>
          </w:p>
        </w:tc>
        <w:tc>
          <w:tcPr>
            <w:tcW w:w="0" w:type="auto"/>
            <w:tcBorders>
              <w:top w:val="single" w:sz="4" w:space="0" w:color="auto"/>
              <w:left w:val="single" w:sz="4" w:space="0" w:color="auto"/>
              <w:bottom w:val="single" w:sz="4" w:space="0" w:color="auto"/>
              <w:right w:val="single" w:sz="4" w:space="0" w:color="auto"/>
            </w:tcBorders>
            <w:shd w:val="thinDiagStripe" w:color="FFC000" w:fill="FFC000"/>
            <w:vAlign w:val="center"/>
            <w:hideMark/>
          </w:tcPr>
          <w:p w14:paraId="331B54C2"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A</w:t>
            </w:r>
          </w:p>
        </w:tc>
        <w:tc>
          <w:tcPr>
            <w:tcW w:w="0" w:type="auto"/>
            <w:vAlign w:val="center"/>
            <w:hideMark/>
          </w:tcPr>
          <w:p w14:paraId="3A8F7317"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66216134"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07FBD76E"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Relationship</w:t>
            </w:r>
          </w:p>
        </w:tc>
        <w:tc>
          <w:tcPr>
            <w:tcW w:w="0" w:type="auto"/>
            <w:tcBorders>
              <w:top w:val="nil"/>
              <w:left w:val="nil"/>
              <w:bottom w:val="single" w:sz="4" w:space="0" w:color="auto"/>
              <w:right w:val="single" w:sz="4" w:space="0" w:color="auto"/>
            </w:tcBorders>
            <w:shd w:val="clear" w:color="auto" w:fill="auto"/>
            <w:vAlign w:val="center"/>
            <w:hideMark/>
          </w:tcPr>
          <w:p w14:paraId="63844CAF" w14:textId="59FED3F6"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Difficulty brokering knowledge or organising meetings in priority countries where we have no regional partners or local knowledge</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 xml:space="preserve">Cause: </w:t>
            </w:r>
            <w:r w:rsidRPr="007F63EF">
              <w:rPr>
                <w:rFonts w:asciiTheme="minorHAnsi" w:eastAsia="Times New Roman" w:hAnsiTheme="minorHAnsi" w:cstheme="minorHAnsi"/>
                <w:sz w:val="20"/>
                <w:szCs w:val="20"/>
                <w:lang w:eastAsia="en-GB"/>
              </w:rPr>
              <w:t xml:space="preserve">no infrastructure or </w:t>
            </w:r>
            <w:r w:rsidR="005B615C" w:rsidRPr="007F63EF">
              <w:rPr>
                <w:rFonts w:asciiTheme="minorHAnsi" w:eastAsia="Times New Roman" w:hAnsiTheme="minorHAnsi" w:cstheme="minorHAnsi"/>
                <w:sz w:val="20"/>
                <w:szCs w:val="20"/>
                <w:lang w:eastAsia="en-GB"/>
              </w:rPr>
              <w:t xml:space="preserve">contacts </w:t>
            </w:r>
            <w:r w:rsidRPr="007F63EF">
              <w:rPr>
                <w:rFonts w:asciiTheme="minorHAnsi" w:eastAsia="Times New Roman" w:hAnsiTheme="minorHAnsi" w:cstheme="minorHAnsi"/>
                <w:sz w:val="20"/>
                <w:szCs w:val="20"/>
                <w:lang w:eastAsia="en-GB"/>
              </w:rPr>
              <w:t xml:space="preserve">on the ground. Additional risk due to </w:t>
            </w:r>
            <w:r w:rsidR="0075181D" w:rsidRPr="007F63EF">
              <w:rPr>
                <w:rFonts w:asciiTheme="minorHAnsi" w:eastAsia="Times New Roman" w:hAnsiTheme="minorHAnsi" w:cstheme="minorHAnsi"/>
                <w:sz w:val="20"/>
                <w:szCs w:val="20"/>
                <w:lang w:eastAsia="en-GB"/>
              </w:rPr>
              <w:t>COVID-</w:t>
            </w:r>
            <w:r w:rsidRPr="007F63EF">
              <w:rPr>
                <w:rFonts w:asciiTheme="minorHAnsi" w:eastAsia="Times New Roman" w:hAnsiTheme="minorHAnsi" w:cstheme="minorHAnsi"/>
                <w:sz w:val="20"/>
                <w:szCs w:val="20"/>
                <w:lang w:eastAsia="en-GB"/>
              </w:rPr>
              <w:t xml:space="preserve">19 means stakeholders in </w:t>
            </w:r>
            <w:r w:rsidR="0006068E">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country and members of</w:t>
            </w:r>
            <w:r w:rsidR="00321067"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DHSC may be unavailable for a protracted period of time. </w:t>
            </w:r>
            <w:r w:rsidRPr="007F63EF">
              <w:rPr>
                <w:rFonts w:asciiTheme="minorHAnsi" w:eastAsia="Times New Roman" w:hAnsiTheme="minorHAnsi" w:cstheme="minorHAnsi"/>
                <w:b/>
                <w:bCs/>
                <w:sz w:val="20"/>
                <w:szCs w:val="20"/>
                <w:lang w:eastAsia="en-GB"/>
              </w:rPr>
              <w:br/>
              <w:t>Effect:</w:t>
            </w:r>
            <w:r w:rsidRPr="007F63EF">
              <w:rPr>
                <w:rFonts w:asciiTheme="minorHAnsi" w:eastAsia="Times New Roman" w:hAnsiTheme="minorHAnsi" w:cstheme="minorHAnsi"/>
                <w:sz w:val="20"/>
                <w:szCs w:val="20"/>
                <w:lang w:eastAsia="en-GB"/>
              </w:rPr>
              <w:t xml:space="preserve"> insufficient quality data gathered</w:t>
            </w:r>
            <w:r w:rsidRPr="007F63EF">
              <w:rPr>
                <w:rFonts w:asciiTheme="minorHAnsi" w:eastAsia="Times New Roman" w:hAnsiTheme="minorHAnsi" w:cstheme="minorHAnsi"/>
                <w:b/>
                <w:bCs/>
                <w:sz w:val="20"/>
                <w:szCs w:val="20"/>
                <w:lang w:eastAsia="en-GB"/>
              </w:rPr>
              <w:br/>
              <w:t xml:space="preserve">Impact: </w:t>
            </w:r>
            <w:r w:rsidRPr="007F63EF">
              <w:rPr>
                <w:rFonts w:asciiTheme="minorHAnsi" w:eastAsia="Times New Roman" w:hAnsiTheme="minorHAnsi" w:cstheme="minorHAnsi"/>
                <w:sz w:val="20"/>
                <w:szCs w:val="20"/>
                <w:lang w:eastAsia="en-GB"/>
              </w:rPr>
              <w:t>poorer quality of findings and deliverables</w:t>
            </w:r>
          </w:p>
        </w:tc>
        <w:tc>
          <w:tcPr>
            <w:tcW w:w="0" w:type="auto"/>
            <w:tcBorders>
              <w:top w:val="nil"/>
              <w:left w:val="nil"/>
              <w:bottom w:val="single" w:sz="4" w:space="0" w:color="auto"/>
              <w:right w:val="single" w:sz="4" w:space="0" w:color="auto"/>
            </w:tcBorders>
            <w:shd w:val="clear" w:color="auto" w:fill="auto"/>
            <w:vAlign w:val="center"/>
            <w:hideMark/>
          </w:tcPr>
          <w:p w14:paraId="657EB87A" w14:textId="1BF7ECC3"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b/>
                <w:bCs/>
                <w:sz w:val="20"/>
                <w:szCs w:val="20"/>
                <w:lang w:eastAsia="en-GB"/>
              </w:rPr>
              <w:t>Mitigating Action</w:t>
            </w:r>
            <w:r w:rsidR="00BC39B4"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t>:</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MA support to logistics </w:t>
            </w:r>
            <w:r w:rsidRPr="007F63EF">
              <w:rPr>
                <w:rFonts w:asciiTheme="minorHAnsi" w:eastAsia="Times New Roman" w:hAnsiTheme="minorHAnsi" w:cstheme="minorHAnsi"/>
                <w:sz w:val="20"/>
                <w:szCs w:val="20"/>
                <w:lang w:eastAsia="en-GB"/>
              </w:rPr>
              <w:br/>
              <w:t xml:space="preserve">2. MA support to access </w:t>
            </w:r>
            <w:r w:rsidR="002F0774" w:rsidRPr="007F63EF">
              <w:rPr>
                <w:rFonts w:asciiTheme="minorHAnsi" w:eastAsia="Times New Roman" w:hAnsiTheme="minorHAnsi" w:cstheme="minorHAnsi"/>
                <w:sz w:val="20"/>
                <w:szCs w:val="20"/>
                <w:lang w:eastAsia="en-GB"/>
              </w:rPr>
              <w:t>KIs</w:t>
            </w:r>
            <w:r w:rsidRPr="007F63EF">
              <w:rPr>
                <w:rFonts w:asciiTheme="minorHAnsi" w:eastAsia="Times New Roman" w:hAnsiTheme="minorHAnsi" w:cstheme="minorHAnsi"/>
                <w:sz w:val="20"/>
                <w:szCs w:val="20"/>
                <w:lang w:eastAsia="en-GB"/>
              </w:rPr>
              <w:t xml:space="preserve"> and utilise convening power</w:t>
            </w:r>
            <w:r w:rsidRPr="007F63EF">
              <w:rPr>
                <w:rFonts w:asciiTheme="minorHAnsi" w:eastAsia="Times New Roman" w:hAnsiTheme="minorHAnsi" w:cstheme="minorHAnsi"/>
                <w:sz w:val="20"/>
                <w:szCs w:val="20"/>
                <w:lang w:eastAsia="en-GB"/>
              </w:rPr>
              <w:br/>
              <w:t>3. Country visits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are planned to ensure consistency in at least one team member per country where possible</w:t>
            </w:r>
            <w:r w:rsidRPr="007F63EF">
              <w:rPr>
                <w:rFonts w:asciiTheme="minorHAnsi" w:eastAsia="Times New Roman" w:hAnsiTheme="minorHAnsi" w:cstheme="minorHAnsi"/>
                <w:sz w:val="20"/>
                <w:szCs w:val="20"/>
                <w:lang w:eastAsia="en-GB"/>
              </w:rPr>
              <w:br/>
              <w:t xml:space="preserve">4. </w:t>
            </w:r>
            <w:r w:rsidR="00321067" w:rsidRPr="007F63EF">
              <w:rPr>
                <w:rFonts w:asciiTheme="minorHAnsi" w:eastAsia="Times New Roman" w:hAnsiTheme="minorHAnsi" w:cstheme="minorHAnsi"/>
                <w:sz w:val="20"/>
                <w:szCs w:val="20"/>
                <w:lang w:eastAsia="en-GB"/>
              </w:rPr>
              <w:t>The e</w:t>
            </w:r>
            <w:r w:rsidRPr="007F63EF">
              <w:rPr>
                <w:rFonts w:asciiTheme="minorHAnsi" w:eastAsia="Times New Roman" w:hAnsiTheme="minorHAnsi" w:cstheme="minorHAnsi"/>
                <w:sz w:val="20"/>
                <w:szCs w:val="20"/>
                <w:lang w:eastAsia="en-GB"/>
              </w:rPr>
              <w:t xml:space="preserve">valuation team </w:t>
            </w:r>
            <w:r w:rsidR="00321067" w:rsidRPr="007F63EF">
              <w:rPr>
                <w:rFonts w:asciiTheme="minorHAnsi" w:eastAsia="Times New Roman" w:hAnsiTheme="minorHAnsi" w:cstheme="minorHAnsi"/>
                <w:sz w:val="20"/>
                <w:szCs w:val="20"/>
                <w:lang w:eastAsia="en-GB"/>
              </w:rPr>
              <w:t xml:space="preserve">has a </w:t>
            </w:r>
            <w:r w:rsidRPr="007F63EF">
              <w:rPr>
                <w:rFonts w:asciiTheme="minorHAnsi" w:eastAsia="Times New Roman" w:hAnsiTheme="minorHAnsi" w:cstheme="minorHAnsi"/>
                <w:sz w:val="20"/>
                <w:szCs w:val="20"/>
                <w:lang w:eastAsia="en-GB"/>
              </w:rPr>
              <w:t>revised approach</w:t>
            </w:r>
            <w:r w:rsidR="002531A7" w:rsidRPr="007F63EF">
              <w:rPr>
                <w:rFonts w:asciiTheme="minorHAnsi" w:eastAsia="Times New Roman" w:hAnsiTheme="minorHAnsi" w:cstheme="minorHAnsi"/>
                <w:sz w:val="20"/>
                <w:szCs w:val="20"/>
                <w:lang w:eastAsia="en-GB"/>
              </w:rPr>
              <w:t>, working with in</w:t>
            </w:r>
            <w:r w:rsidR="0006068E">
              <w:rPr>
                <w:rFonts w:asciiTheme="minorHAnsi" w:eastAsia="Times New Roman" w:hAnsiTheme="minorHAnsi" w:cstheme="minorHAnsi"/>
                <w:sz w:val="20"/>
                <w:szCs w:val="20"/>
                <w:lang w:eastAsia="en-GB"/>
              </w:rPr>
              <w:t>-</w:t>
            </w:r>
            <w:r w:rsidR="002531A7" w:rsidRPr="007F63EF">
              <w:rPr>
                <w:rFonts w:asciiTheme="minorHAnsi" w:eastAsia="Times New Roman" w:hAnsiTheme="minorHAnsi" w:cstheme="minorHAnsi"/>
                <w:sz w:val="20"/>
                <w:szCs w:val="20"/>
                <w:lang w:eastAsia="en-GB"/>
              </w:rPr>
              <w:t xml:space="preserve">country consultants, this supports developing relationships with key stakeholders and supported </w:t>
            </w:r>
            <w:r w:rsidR="00D1521E" w:rsidRPr="007F63EF">
              <w:rPr>
                <w:rFonts w:asciiTheme="minorHAnsi" w:eastAsia="Times New Roman" w:hAnsiTheme="minorHAnsi" w:cstheme="minorHAnsi"/>
                <w:sz w:val="20"/>
                <w:szCs w:val="20"/>
                <w:lang w:eastAsia="en-GB"/>
              </w:rPr>
              <w:t xml:space="preserve">remote/hybrid data collection as required. </w:t>
            </w:r>
            <w:r w:rsidRPr="007F63EF">
              <w:rPr>
                <w:rFonts w:asciiTheme="minorHAnsi" w:eastAsia="Times New Roman" w:hAnsiTheme="minorHAnsi" w:cstheme="minorHAnsi"/>
                <w:sz w:val="20"/>
                <w:szCs w:val="20"/>
                <w:lang w:eastAsia="en-GB"/>
              </w:rPr>
              <w:t xml:space="preserve"> </w:t>
            </w:r>
          </w:p>
        </w:tc>
        <w:tc>
          <w:tcPr>
            <w:tcW w:w="0" w:type="auto"/>
            <w:tcBorders>
              <w:top w:val="single" w:sz="4" w:space="0" w:color="auto"/>
              <w:left w:val="single" w:sz="4" w:space="0" w:color="auto"/>
              <w:bottom w:val="single" w:sz="4" w:space="0" w:color="auto"/>
              <w:right w:val="single" w:sz="4" w:space="0" w:color="auto"/>
            </w:tcBorders>
            <w:shd w:val="thinDiagStripe" w:color="FFC000" w:fill="FFC000"/>
            <w:vAlign w:val="center"/>
            <w:hideMark/>
          </w:tcPr>
          <w:p w14:paraId="49781788"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A</w:t>
            </w:r>
          </w:p>
        </w:tc>
        <w:tc>
          <w:tcPr>
            <w:tcW w:w="0" w:type="auto"/>
            <w:vAlign w:val="center"/>
            <w:hideMark/>
          </w:tcPr>
          <w:p w14:paraId="1F2B95DF"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1B1290F6"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299AF5E3"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Relationship</w:t>
            </w:r>
          </w:p>
        </w:tc>
        <w:tc>
          <w:tcPr>
            <w:tcW w:w="0" w:type="auto"/>
            <w:tcBorders>
              <w:top w:val="nil"/>
              <w:left w:val="nil"/>
              <w:bottom w:val="single" w:sz="4" w:space="0" w:color="auto"/>
              <w:right w:val="single" w:sz="4" w:space="0" w:color="auto"/>
            </w:tcBorders>
            <w:shd w:val="clear" w:color="auto" w:fill="auto"/>
            <w:vAlign w:val="center"/>
            <w:hideMark/>
          </w:tcPr>
          <w:p w14:paraId="38D7D1D1" w14:textId="058863BC"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Risk:</w:t>
            </w:r>
            <w:r w:rsidRPr="007F63EF">
              <w:rPr>
                <w:rFonts w:asciiTheme="minorHAnsi" w:eastAsia="Times New Roman" w:hAnsiTheme="minorHAnsi" w:cstheme="minorHAnsi"/>
                <w:sz w:val="20"/>
                <w:szCs w:val="20"/>
                <w:lang w:eastAsia="en-GB"/>
              </w:rPr>
              <w:t xml:space="preserve"> </w:t>
            </w:r>
            <w:r w:rsidR="00321067"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MA is not open to </w:t>
            </w:r>
            <w:r w:rsidR="00321067"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formative nature of </w:t>
            </w:r>
            <w:r w:rsidR="00321067"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evaluation</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Cause:</w:t>
            </w:r>
            <w:r w:rsidRPr="007F63EF">
              <w:rPr>
                <w:rFonts w:asciiTheme="minorHAnsi" w:eastAsia="Times New Roman" w:hAnsiTheme="minorHAnsi" w:cstheme="minorHAnsi"/>
                <w:sz w:val="20"/>
                <w:szCs w:val="20"/>
                <w:lang w:eastAsia="en-GB"/>
              </w:rPr>
              <w:t xml:space="preserve"> </w:t>
            </w:r>
            <w:r w:rsidR="00321067"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 is too busy or otherwise opposed to</w:t>
            </w:r>
            <w:r w:rsidR="00321067" w:rsidRPr="007F63EF">
              <w:rPr>
                <w:rFonts w:asciiTheme="minorHAnsi" w:eastAsia="Times New Roman" w:hAnsiTheme="minorHAnsi" w:cstheme="minorHAnsi"/>
                <w:sz w:val="20"/>
                <w:szCs w:val="20"/>
                <w:lang w:eastAsia="en-GB"/>
              </w:rPr>
              <w:t xml:space="preserve"> an</w:t>
            </w:r>
            <w:r w:rsidRPr="007F63EF">
              <w:rPr>
                <w:rFonts w:asciiTheme="minorHAnsi" w:eastAsia="Times New Roman" w:hAnsiTheme="minorHAnsi" w:cstheme="minorHAnsi"/>
                <w:sz w:val="20"/>
                <w:szCs w:val="20"/>
                <w:lang w:eastAsia="en-GB"/>
              </w:rPr>
              <w:t xml:space="preserve"> ongoing, close formative relationship with</w:t>
            </w:r>
            <w:r w:rsidR="00321067"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Effect:</w:t>
            </w:r>
            <w:r w:rsidRPr="007F63EF">
              <w:rPr>
                <w:rFonts w:asciiTheme="minorHAnsi" w:eastAsia="Times New Roman" w:hAnsiTheme="minorHAnsi" w:cstheme="minorHAnsi"/>
                <w:sz w:val="20"/>
                <w:szCs w:val="20"/>
                <w:lang w:eastAsia="en-GB"/>
              </w:rPr>
              <w:t xml:space="preserve">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 xml:space="preserve"> struggles to gather the right data at the right time, and findings</w:t>
            </w:r>
            <w:r w:rsidR="00321067" w:rsidRPr="007F63EF">
              <w:rPr>
                <w:rFonts w:asciiTheme="minorHAnsi" w:eastAsia="Times New Roman" w:hAnsiTheme="minorHAnsi" w:cstheme="minorHAnsi"/>
                <w:sz w:val="20"/>
                <w:szCs w:val="20"/>
                <w:lang w:eastAsia="en-GB"/>
              </w:rPr>
              <w:t xml:space="preserve"> are</w:t>
            </w:r>
            <w:r w:rsidRPr="007F63EF">
              <w:rPr>
                <w:rFonts w:asciiTheme="minorHAnsi" w:eastAsia="Times New Roman" w:hAnsiTheme="minorHAnsi" w:cstheme="minorHAnsi"/>
                <w:sz w:val="20"/>
                <w:szCs w:val="20"/>
                <w:lang w:eastAsia="en-GB"/>
              </w:rPr>
              <w:t xml:space="preserve"> not </w:t>
            </w:r>
            <w:r w:rsidR="00321067" w:rsidRPr="007F63EF">
              <w:rPr>
                <w:rFonts w:asciiTheme="minorHAnsi" w:eastAsia="Times New Roman" w:hAnsiTheme="minorHAnsi" w:cstheme="minorHAnsi"/>
                <w:sz w:val="20"/>
                <w:szCs w:val="20"/>
                <w:lang w:eastAsia="en-GB"/>
              </w:rPr>
              <w:t>considered</w:t>
            </w:r>
            <w:r w:rsidRPr="007F63EF">
              <w:rPr>
                <w:rFonts w:asciiTheme="minorHAnsi" w:eastAsia="Times New Roman" w:hAnsiTheme="minorHAnsi" w:cstheme="minorHAnsi"/>
                <w:sz w:val="20"/>
                <w:szCs w:val="20"/>
                <w:lang w:eastAsia="en-GB"/>
              </w:rPr>
              <w:t xml:space="preserve"> for </w:t>
            </w:r>
            <w:r w:rsidR="00321067"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adaptive management of the programme.</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Conflict with </w:t>
            </w:r>
            <w:r w:rsidR="00321067"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Impact:</w:t>
            </w:r>
            <w:r w:rsidRPr="007F63EF">
              <w:rPr>
                <w:rFonts w:asciiTheme="minorHAnsi" w:eastAsia="Times New Roman" w:hAnsiTheme="minorHAnsi" w:cstheme="minorHAnsi"/>
                <w:sz w:val="20"/>
                <w:szCs w:val="20"/>
                <w:lang w:eastAsia="en-GB"/>
              </w:rPr>
              <w:t xml:space="preserve"> Wasted resources, breach of contract</w:t>
            </w:r>
          </w:p>
        </w:tc>
        <w:tc>
          <w:tcPr>
            <w:tcW w:w="0" w:type="auto"/>
            <w:tcBorders>
              <w:top w:val="nil"/>
              <w:left w:val="nil"/>
              <w:bottom w:val="single" w:sz="4" w:space="0" w:color="auto"/>
              <w:right w:val="single" w:sz="4" w:space="0" w:color="auto"/>
            </w:tcBorders>
            <w:shd w:val="clear" w:color="auto" w:fill="auto"/>
            <w:vAlign w:val="center"/>
            <w:hideMark/>
          </w:tcPr>
          <w:p w14:paraId="4A991C49" w14:textId="74680F56"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E34EA1"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t>:</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1. Way of working protocol sets out details of</w:t>
            </w:r>
            <w:r w:rsidR="00321067"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formative nature of relationship</w:t>
            </w:r>
            <w:r w:rsidR="00321067" w:rsidRPr="007F63EF">
              <w:rPr>
                <w:rFonts w:asciiTheme="minorHAnsi" w:eastAsia="Times New Roman" w:hAnsiTheme="minorHAnsi" w:cstheme="minorHAnsi"/>
                <w:sz w:val="20"/>
                <w:szCs w:val="20"/>
                <w:lang w:eastAsia="en-GB"/>
              </w:rPr>
              <w:t>s</w:t>
            </w:r>
            <w:r w:rsidRPr="007F63EF">
              <w:rPr>
                <w:rFonts w:asciiTheme="minorHAnsi" w:eastAsia="Times New Roman" w:hAnsiTheme="minorHAnsi" w:cstheme="minorHAnsi"/>
                <w:sz w:val="20"/>
                <w:szCs w:val="20"/>
                <w:lang w:eastAsia="en-GB"/>
              </w:rPr>
              <w:t xml:space="preserve"> and agreement </w:t>
            </w:r>
            <w:r w:rsidR="003E7FD2" w:rsidRPr="007F63EF">
              <w:rPr>
                <w:rFonts w:asciiTheme="minorHAnsi" w:eastAsia="Times New Roman" w:hAnsiTheme="minorHAnsi" w:cstheme="minorHAnsi"/>
                <w:sz w:val="20"/>
                <w:szCs w:val="20"/>
                <w:lang w:eastAsia="en-GB"/>
              </w:rPr>
              <w:t>t</w:t>
            </w:r>
            <w:r w:rsidRPr="007F63EF">
              <w:rPr>
                <w:rFonts w:asciiTheme="minorHAnsi" w:eastAsia="Times New Roman" w:hAnsiTheme="minorHAnsi" w:cstheme="minorHAnsi"/>
                <w:sz w:val="20"/>
                <w:szCs w:val="20"/>
                <w:lang w:eastAsia="en-GB"/>
              </w:rPr>
              <w:t>hat</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evaluation considerations are ‘embedded’ in the programmes across the project cycle. This means clear assessments of the evidence for what does or does</w:t>
            </w:r>
            <w:r w:rsidR="00321067" w:rsidRPr="007F63EF">
              <w:rPr>
                <w:rFonts w:asciiTheme="minorHAnsi" w:eastAsia="Times New Roman" w:hAnsiTheme="minorHAnsi" w:cstheme="minorHAnsi"/>
                <w:sz w:val="20"/>
                <w:szCs w:val="20"/>
                <w:lang w:eastAsia="en-GB"/>
              </w:rPr>
              <w:t xml:space="preserve"> not </w:t>
            </w:r>
            <w:r w:rsidRPr="007F63EF">
              <w:rPr>
                <w:rFonts w:asciiTheme="minorHAnsi" w:eastAsia="Times New Roman" w:hAnsiTheme="minorHAnsi" w:cstheme="minorHAnsi"/>
                <w:sz w:val="20"/>
                <w:szCs w:val="20"/>
                <w:lang w:eastAsia="en-GB"/>
              </w:rPr>
              <w:t>work in the initial stages of programme design, analysis of baseline data</w:t>
            </w:r>
            <w:r w:rsidR="00321067"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 and effective evaluation over the life of the programme and beyond.</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br/>
              <w:t xml:space="preserve">2. </w:t>
            </w:r>
            <w:r w:rsidR="00BC202E" w:rsidRPr="007F63EF">
              <w:rPr>
                <w:rFonts w:asciiTheme="minorHAnsi" w:eastAsia="Times New Roman" w:hAnsiTheme="minorHAnsi" w:cstheme="minorHAnsi"/>
                <w:sz w:val="20"/>
                <w:szCs w:val="20"/>
                <w:lang w:eastAsia="en-GB"/>
              </w:rPr>
              <w:t xml:space="preserve">The evaluation </w:t>
            </w:r>
            <w:r w:rsidRPr="007F63EF">
              <w:rPr>
                <w:rFonts w:asciiTheme="minorHAnsi" w:eastAsia="Times New Roman" w:hAnsiTheme="minorHAnsi" w:cstheme="minorHAnsi"/>
                <w:sz w:val="20"/>
                <w:szCs w:val="20"/>
                <w:lang w:eastAsia="en-GB"/>
              </w:rPr>
              <w:t>Implementation plan will further elaborate the adaptive management focus of the evaluation as a joint deliverable</w:t>
            </w:r>
            <w:r w:rsidRPr="007F63EF">
              <w:rPr>
                <w:rFonts w:asciiTheme="minorHAnsi" w:eastAsia="Times New Roman" w:hAnsiTheme="minorHAnsi" w:cstheme="minorHAnsi"/>
                <w:sz w:val="20"/>
                <w:szCs w:val="20"/>
                <w:lang w:eastAsia="en-GB"/>
              </w:rPr>
              <w:br/>
              <w:t>3. Strong relationship</w:t>
            </w:r>
            <w:r w:rsidR="00321067" w:rsidRPr="007F63EF">
              <w:rPr>
                <w:rFonts w:asciiTheme="minorHAnsi" w:eastAsia="Times New Roman" w:hAnsiTheme="minorHAnsi" w:cstheme="minorHAnsi"/>
                <w:sz w:val="20"/>
                <w:szCs w:val="20"/>
                <w:lang w:eastAsia="en-GB"/>
              </w:rPr>
              <w:t>s</w:t>
            </w:r>
            <w:r w:rsidRPr="007F63EF">
              <w:rPr>
                <w:rFonts w:asciiTheme="minorHAnsi" w:eastAsia="Times New Roman" w:hAnsiTheme="minorHAnsi" w:cstheme="minorHAnsi"/>
                <w:sz w:val="20"/>
                <w:szCs w:val="20"/>
                <w:lang w:eastAsia="en-GB"/>
              </w:rPr>
              <w:t xml:space="preserve"> developed and maintained across </w:t>
            </w:r>
            <w:r w:rsidR="00321067"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matrix of relationships</w:t>
            </w:r>
            <w:r w:rsidRPr="007F63EF">
              <w:rPr>
                <w:rFonts w:asciiTheme="minorHAnsi" w:eastAsia="Times New Roman" w:hAnsiTheme="minorHAnsi" w:cstheme="minorHAnsi"/>
                <w:sz w:val="20"/>
                <w:szCs w:val="20"/>
                <w:lang w:eastAsia="en-GB"/>
              </w:rPr>
              <w:br/>
              <w:t xml:space="preserve">4. We have a strong learning and dissemination plan to create opportunities for learning and reflection for both </w:t>
            </w:r>
            <w:r w:rsidR="00321067"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MA and </w:t>
            </w:r>
            <w:r w:rsidR="00321067"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w:t>
            </w:r>
            <w:r w:rsidR="00321067" w:rsidRPr="007F63EF">
              <w:rPr>
                <w:rFonts w:asciiTheme="minorHAnsi" w:eastAsia="Times New Roman" w:hAnsiTheme="minorHAnsi" w:cstheme="minorHAnsi"/>
                <w:sz w:val="20"/>
                <w:szCs w:val="20"/>
                <w:lang w:eastAsia="en-GB"/>
              </w:rPr>
              <w:t>.</w:t>
            </w:r>
          </w:p>
        </w:tc>
        <w:tc>
          <w:tcPr>
            <w:tcW w:w="0" w:type="auto"/>
            <w:tcBorders>
              <w:top w:val="single" w:sz="4" w:space="0" w:color="auto"/>
              <w:left w:val="single" w:sz="4" w:space="0" w:color="auto"/>
              <w:bottom w:val="single" w:sz="4" w:space="0" w:color="auto"/>
              <w:right w:val="single" w:sz="4" w:space="0" w:color="auto"/>
            </w:tcBorders>
            <w:shd w:val="thinDiagStripe" w:color="FFC000" w:fill="FFC000"/>
            <w:vAlign w:val="center"/>
            <w:hideMark/>
          </w:tcPr>
          <w:p w14:paraId="6EDF02CB"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A/G</w:t>
            </w:r>
          </w:p>
        </w:tc>
        <w:tc>
          <w:tcPr>
            <w:tcW w:w="0" w:type="auto"/>
            <w:vAlign w:val="center"/>
            <w:hideMark/>
          </w:tcPr>
          <w:p w14:paraId="7C7B239F"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26C099A2"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324FED22"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Relationship</w:t>
            </w:r>
          </w:p>
        </w:tc>
        <w:tc>
          <w:tcPr>
            <w:tcW w:w="0" w:type="auto"/>
            <w:tcBorders>
              <w:top w:val="nil"/>
              <w:left w:val="nil"/>
              <w:bottom w:val="single" w:sz="4" w:space="0" w:color="auto"/>
              <w:right w:val="single" w:sz="4" w:space="0" w:color="auto"/>
            </w:tcBorders>
            <w:shd w:val="clear" w:color="auto" w:fill="auto"/>
            <w:vAlign w:val="center"/>
            <w:hideMark/>
          </w:tcPr>
          <w:p w14:paraId="3F48FAEE" w14:textId="1764BB5B"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DHSC/HMG priorities may change</w:t>
            </w:r>
            <w:r w:rsidR="00FA5178"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 and new issues may emerge over time rendering existing plans less useful or even inappropriate.</w:t>
            </w:r>
            <w:r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b/>
                <w:bCs/>
                <w:sz w:val="20"/>
                <w:szCs w:val="20"/>
                <w:lang w:eastAsia="en-GB"/>
              </w:rPr>
              <w:br/>
              <w:t xml:space="preserve"> Cause:</w:t>
            </w:r>
            <w:r w:rsidRPr="007F63EF">
              <w:rPr>
                <w:rFonts w:asciiTheme="minorHAnsi" w:eastAsia="Times New Roman" w:hAnsiTheme="minorHAnsi" w:cstheme="minorHAnsi"/>
                <w:sz w:val="20"/>
                <w:szCs w:val="20"/>
                <w:lang w:eastAsia="en-GB"/>
              </w:rPr>
              <w:t xml:space="preserve"> Change of government priorities, change of government</w:t>
            </w:r>
            <w:r w:rsidRPr="007F63EF">
              <w:rPr>
                <w:rFonts w:asciiTheme="minorHAnsi" w:eastAsia="Times New Roman" w:hAnsiTheme="minorHAnsi" w:cstheme="minorHAnsi"/>
                <w:b/>
                <w:bCs/>
                <w:sz w:val="20"/>
                <w:szCs w:val="20"/>
                <w:lang w:eastAsia="en-GB"/>
              </w:rPr>
              <w:br/>
              <w:t xml:space="preserve">Effect: </w:t>
            </w:r>
            <w:r w:rsidRPr="007F63EF">
              <w:rPr>
                <w:rFonts w:asciiTheme="minorHAnsi" w:eastAsia="Times New Roman" w:hAnsiTheme="minorHAnsi" w:cstheme="minorHAnsi"/>
                <w:sz w:val="20"/>
                <w:szCs w:val="20"/>
                <w:lang w:eastAsia="en-GB"/>
              </w:rPr>
              <w:t xml:space="preserve">Work already completed </w:t>
            </w:r>
            <w:r w:rsidR="00004CFF">
              <w:rPr>
                <w:rFonts w:asciiTheme="minorHAnsi" w:eastAsia="Times New Roman" w:hAnsiTheme="minorHAnsi" w:cstheme="minorHAnsi"/>
                <w:sz w:val="20"/>
                <w:szCs w:val="20"/>
                <w:lang w:eastAsia="en-GB"/>
              </w:rPr>
              <w:t xml:space="preserve">is </w:t>
            </w:r>
            <w:r w:rsidRPr="007F63EF">
              <w:rPr>
                <w:rFonts w:asciiTheme="minorHAnsi" w:eastAsia="Times New Roman" w:hAnsiTheme="minorHAnsi" w:cstheme="minorHAnsi"/>
                <w:sz w:val="20"/>
                <w:szCs w:val="20"/>
                <w:lang w:eastAsia="en-GB"/>
              </w:rPr>
              <w:t>no longer of great value. Resource and budget implications for continuation.</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Reduced buy-in affects access to </w:t>
            </w:r>
            <w:r w:rsidR="002F0774" w:rsidRPr="007F63EF">
              <w:rPr>
                <w:rFonts w:asciiTheme="minorHAnsi" w:eastAsia="Times New Roman" w:hAnsiTheme="minorHAnsi" w:cstheme="minorHAnsi"/>
                <w:sz w:val="20"/>
                <w:szCs w:val="20"/>
                <w:lang w:eastAsia="en-GB"/>
              </w:rPr>
              <w:t>KIs</w:t>
            </w:r>
            <w:r w:rsidRPr="007F63EF">
              <w:rPr>
                <w:rFonts w:asciiTheme="minorHAnsi" w:eastAsia="Times New Roman" w:hAnsiTheme="minorHAnsi" w:cstheme="minorHAnsi"/>
                <w:b/>
                <w:bCs/>
                <w:sz w:val="20"/>
                <w:szCs w:val="20"/>
                <w:lang w:eastAsia="en-GB"/>
              </w:rPr>
              <w:br/>
              <w:t xml:space="preserve">Impact: </w:t>
            </w:r>
            <w:r w:rsidRPr="007F63EF">
              <w:rPr>
                <w:rFonts w:asciiTheme="minorHAnsi" w:eastAsia="Times New Roman" w:hAnsiTheme="minorHAnsi" w:cstheme="minorHAnsi"/>
                <w:sz w:val="20"/>
                <w:szCs w:val="20"/>
                <w:lang w:eastAsia="en-GB"/>
              </w:rPr>
              <w:t>Evaluation less relevant and useful.</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Waste of resources.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Reputational damage.</w:t>
            </w:r>
          </w:p>
        </w:tc>
        <w:tc>
          <w:tcPr>
            <w:tcW w:w="0" w:type="auto"/>
            <w:tcBorders>
              <w:top w:val="nil"/>
              <w:left w:val="nil"/>
              <w:bottom w:val="single" w:sz="4" w:space="0" w:color="auto"/>
              <w:right w:val="single" w:sz="4" w:space="0" w:color="auto"/>
            </w:tcBorders>
            <w:shd w:val="clear" w:color="auto" w:fill="auto"/>
            <w:vAlign w:val="center"/>
            <w:hideMark/>
          </w:tcPr>
          <w:p w14:paraId="6DCF6489" w14:textId="1142A339"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E34EA1"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t>:</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1. The Evaluation will need to be agile in responding to emerging issues and changing priorities.</w:t>
            </w:r>
            <w:r w:rsidRPr="007F63EF">
              <w:rPr>
                <w:rFonts w:asciiTheme="minorHAnsi" w:eastAsia="Times New Roman" w:hAnsiTheme="minorHAnsi" w:cstheme="minorHAnsi"/>
                <w:sz w:val="20"/>
                <w:szCs w:val="20"/>
                <w:lang w:eastAsia="en-GB"/>
              </w:rPr>
              <w:br/>
              <w:t xml:space="preserve">2. </w:t>
            </w:r>
            <w:r w:rsidR="00F21D1C" w:rsidRPr="007F63EF">
              <w:rPr>
                <w:rFonts w:asciiTheme="minorHAnsi" w:eastAsia="Times New Roman" w:hAnsiTheme="minorHAnsi" w:cstheme="minorHAnsi"/>
                <w:sz w:val="20"/>
                <w:szCs w:val="20"/>
                <w:lang w:eastAsia="en-GB"/>
              </w:rPr>
              <w:t>EQ</w:t>
            </w:r>
            <w:r w:rsidRPr="007F63EF">
              <w:rPr>
                <w:rFonts w:asciiTheme="minorHAnsi" w:eastAsia="Times New Roman" w:hAnsiTheme="minorHAnsi" w:cstheme="minorHAnsi"/>
                <w:sz w:val="20"/>
                <w:szCs w:val="20"/>
                <w:lang w:eastAsia="en-GB"/>
              </w:rPr>
              <w:t>s are articulated so that they are likely to remain useful and relevant regardless of changes</w:t>
            </w:r>
            <w:r w:rsidRPr="007F63EF">
              <w:rPr>
                <w:rFonts w:asciiTheme="minorHAnsi" w:eastAsia="Times New Roman" w:hAnsiTheme="minorHAnsi" w:cstheme="minorHAnsi"/>
                <w:sz w:val="20"/>
                <w:szCs w:val="20"/>
                <w:lang w:eastAsia="en-GB"/>
              </w:rPr>
              <w:br/>
              <w:t xml:space="preserve">3. EQs are refined with senior stakeholders in </w:t>
            </w:r>
            <w:r w:rsidR="00FA517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 and HMG</w:t>
            </w:r>
            <w:r w:rsidRPr="007F63EF">
              <w:rPr>
                <w:rFonts w:asciiTheme="minorHAnsi" w:eastAsia="Times New Roman" w:hAnsiTheme="minorHAnsi" w:cstheme="minorHAnsi"/>
                <w:sz w:val="20"/>
                <w:szCs w:val="20"/>
                <w:lang w:eastAsia="en-GB"/>
              </w:rPr>
              <w:br/>
              <w:t xml:space="preserve">4. We are providing support with the business case for continued funding for the Fleming Fund through a Nepal case study. </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 xml:space="preserve">Contingency Plan: </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As the evaluation has progressed</w:t>
            </w:r>
            <w:r w:rsidR="00FA5178"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 we have discussed with DHSC any changes to their requirements, in terms of particular areas of emphasis or new/emerging </w:t>
            </w:r>
            <w:r w:rsidR="00004CFF" w:rsidRPr="00813E4E">
              <w:rPr>
                <w:rFonts w:asciiTheme="minorHAnsi" w:eastAsia="Times New Roman" w:hAnsiTheme="minorHAnsi" w:cstheme="minorHAnsi"/>
                <w:sz w:val="20"/>
                <w:szCs w:val="20"/>
                <w:lang w:eastAsia="en-GB"/>
              </w:rPr>
              <w:t>questions and</w:t>
            </w:r>
            <w:r w:rsidRPr="007F63EF">
              <w:rPr>
                <w:rFonts w:asciiTheme="minorHAnsi" w:eastAsia="Times New Roman" w:hAnsiTheme="minorHAnsi" w:cstheme="minorHAnsi"/>
                <w:sz w:val="20"/>
                <w:szCs w:val="20"/>
                <w:lang w:eastAsia="en-GB"/>
              </w:rPr>
              <w:t xml:space="preserve"> have responded to these where possible - e.g. ICAI questions, supporting ToC workshop to contribute to </w:t>
            </w:r>
            <w:r w:rsidR="00FA5178" w:rsidRPr="007F63EF">
              <w:rPr>
                <w:rFonts w:asciiTheme="minorHAnsi" w:eastAsia="Times New Roman" w:hAnsiTheme="minorHAnsi" w:cstheme="minorHAnsi"/>
                <w:sz w:val="20"/>
                <w:szCs w:val="20"/>
                <w:lang w:eastAsia="en-GB"/>
              </w:rPr>
              <w:t xml:space="preserve">a </w:t>
            </w:r>
            <w:r w:rsidRPr="007F63EF">
              <w:rPr>
                <w:rFonts w:asciiTheme="minorHAnsi" w:eastAsia="Times New Roman" w:hAnsiTheme="minorHAnsi" w:cstheme="minorHAnsi"/>
                <w:sz w:val="20"/>
                <w:szCs w:val="20"/>
                <w:lang w:eastAsia="en-GB"/>
              </w:rPr>
              <w:t>10-y</w:t>
            </w:r>
            <w:r w:rsidR="00FA5178" w:rsidRPr="007F63EF">
              <w:rPr>
                <w:rFonts w:asciiTheme="minorHAnsi" w:eastAsia="Times New Roman" w:hAnsiTheme="minorHAnsi" w:cstheme="minorHAnsi"/>
                <w:sz w:val="20"/>
                <w:szCs w:val="20"/>
                <w:lang w:eastAsia="en-GB"/>
              </w:rPr>
              <w:t>ea</w:t>
            </w:r>
            <w:r w:rsidRPr="007F63EF">
              <w:rPr>
                <w:rFonts w:asciiTheme="minorHAnsi" w:eastAsia="Times New Roman" w:hAnsiTheme="minorHAnsi" w:cstheme="minorHAnsi"/>
                <w:sz w:val="20"/>
                <w:szCs w:val="20"/>
                <w:lang w:eastAsia="en-GB"/>
              </w:rPr>
              <w:t>r strategy. We will continue to do this, including as we plan for the Summative evaluation deliverable.</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If </w:t>
            </w:r>
            <w:r w:rsidR="00FA517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DHSC/HMG priorities change we will agree</w:t>
            </w:r>
            <w:r w:rsidR="00FA5178"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 with </w:t>
            </w:r>
            <w:r w:rsidR="00FA517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w:t>
            </w:r>
            <w:r w:rsidR="00FA5178" w:rsidRPr="007F63EF">
              <w:rPr>
                <w:rFonts w:asciiTheme="minorHAnsi" w:eastAsia="Times New Roman" w:hAnsiTheme="minorHAnsi" w:cstheme="minorHAnsi"/>
                <w:sz w:val="20"/>
                <w:szCs w:val="20"/>
                <w:lang w:eastAsia="en-GB"/>
              </w:rPr>
              <w:t>, on</w:t>
            </w:r>
            <w:r w:rsidRPr="007F63EF">
              <w:rPr>
                <w:rFonts w:asciiTheme="minorHAnsi" w:eastAsia="Times New Roman" w:hAnsiTheme="minorHAnsi" w:cstheme="minorHAnsi"/>
                <w:sz w:val="20"/>
                <w:szCs w:val="20"/>
                <w:lang w:eastAsia="en-GB"/>
              </w:rPr>
              <w:t xml:space="preserve"> the best way to deliver what is needed from the evaluation based on the most up</w:t>
            </w:r>
            <w:r w:rsidR="00FA5178"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to</w:t>
            </w:r>
            <w:r w:rsidR="00FA5178"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date understanding of what is/will be available at the time of the </w:t>
            </w:r>
            <w:r w:rsidR="00FA5178" w:rsidRPr="007F63EF">
              <w:rPr>
                <w:rFonts w:asciiTheme="minorHAnsi" w:eastAsia="Times New Roman" w:hAnsiTheme="minorHAnsi" w:cstheme="minorHAnsi"/>
                <w:sz w:val="20"/>
                <w:szCs w:val="20"/>
                <w:lang w:eastAsia="en-GB"/>
              </w:rPr>
              <w:t>summative</w:t>
            </w:r>
            <w:r w:rsidRPr="007F63EF">
              <w:rPr>
                <w:rFonts w:asciiTheme="minorHAnsi" w:eastAsia="Times New Roman" w:hAnsiTheme="minorHAnsi" w:cstheme="minorHAnsi"/>
                <w:sz w:val="20"/>
                <w:szCs w:val="20"/>
                <w:lang w:eastAsia="en-GB"/>
              </w:rPr>
              <w:t xml:space="preserve"> Deliverable.</w:t>
            </w:r>
          </w:p>
        </w:tc>
        <w:tc>
          <w:tcPr>
            <w:tcW w:w="0" w:type="auto"/>
            <w:tcBorders>
              <w:top w:val="single" w:sz="4" w:space="0" w:color="auto"/>
              <w:left w:val="single" w:sz="4" w:space="0" w:color="auto"/>
              <w:bottom w:val="single" w:sz="4" w:space="0" w:color="auto"/>
              <w:right w:val="single" w:sz="4" w:space="0" w:color="auto"/>
            </w:tcBorders>
            <w:shd w:val="thinDiagStripe" w:color="FFC000" w:fill="FFC000"/>
            <w:vAlign w:val="center"/>
            <w:hideMark/>
          </w:tcPr>
          <w:p w14:paraId="4850C113"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A</w:t>
            </w:r>
          </w:p>
        </w:tc>
        <w:tc>
          <w:tcPr>
            <w:tcW w:w="0" w:type="auto"/>
            <w:vAlign w:val="center"/>
            <w:hideMark/>
          </w:tcPr>
          <w:p w14:paraId="5D0BBF8E"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18C9F29B"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45D296AC"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Relationship</w:t>
            </w:r>
          </w:p>
        </w:tc>
        <w:tc>
          <w:tcPr>
            <w:tcW w:w="0" w:type="auto"/>
            <w:tcBorders>
              <w:top w:val="nil"/>
              <w:left w:val="nil"/>
              <w:bottom w:val="single" w:sz="4" w:space="0" w:color="auto"/>
              <w:right w:val="single" w:sz="4" w:space="0" w:color="auto"/>
            </w:tcBorders>
            <w:shd w:val="clear" w:color="auto" w:fill="auto"/>
            <w:vAlign w:val="center"/>
            <w:hideMark/>
          </w:tcPr>
          <w:p w14:paraId="3AEB0E84" w14:textId="5E4F17FE"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b/>
                <w:bCs/>
                <w:sz w:val="20"/>
                <w:szCs w:val="20"/>
                <w:lang w:eastAsia="en-GB"/>
              </w:rPr>
              <w:t>Risk:</w:t>
            </w:r>
            <w:r w:rsidRPr="007F63EF">
              <w:rPr>
                <w:rFonts w:asciiTheme="minorHAnsi" w:eastAsia="Times New Roman" w:hAnsiTheme="minorHAnsi" w:cstheme="minorHAnsi"/>
                <w:sz w:val="20"/>
                <w:szCs w:val="20"/>
                <w:lang w:eastAsia="en-GB"/>
              </w:rPr>
              <w:t xml:space="preserve"> Delays in project implementation coupled with unpredictable/reduced funding for the evaluation limits </w:t>
            </w:r>
            <w:r w:rsidR="007B0F97"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quality and scope of the evaluation</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Cause:</w:t>
            </w:r>
            <w:r w:rsidRPr="007F63EF">
              <w:rPr>
                <w:rFonts w:asciiTheme="minorHAnsi" w:eastAsia="Times New Roman" w:hAnsiTheme="minorHAnsi" w:cstheme="minorHAnsi"/>
                <w:sz w:val="20"/>
                <w:szCs w:val="20"/>
                <w:lang w:eastAsia="en-GB"/>
              </w:rPr>
              <w:t xml:space="preserve"> poor management, approvals, national circumstances, political events</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Effect:</w:t>
            </w:r>
            <w:r w:rsidRPr="007F63EF">
              <w:rPr>
                <w:rFonts w:asciiTheme="minorHAnsi" w:eastAsia="Times New Roman" w:hAnsiTheme="minorHAnsi" w:cstheme="minorHAnsi"/>
                <w:sz w:val="20"/>
                <w:szCs w:val="20"/>
                <w:lang w:eastAsia="en-GB"/>
              </w:rPr>
              <w:t xml:space="preserve"> reduces the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 xml:space="preserve">'s ability to produce evidence </w:t>
            </w:r>
            <w:r w:rsidRPr="007F63EF">
              <w:rPr>
                <w:rFonts w:asciiTheme="minorHAnsi" w:eastAsia="Times New Roman" w:hAnsiTheme="minorHAnsi" w:cstheme="minorHAnsi"/>
                <w:sz w:val="20"/>
                <w:szCs w:val="20"/>
                <w:lang w:eastAsia="en-GB"/>
              </w:rPr>
              <w:br/>
              <w:t>A</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no-cost extension for</w:t>
            </w:r>
            <w:r w:rsidR="007458AC" w:rsidRPr="007F63EF">
              <w:rPr>
                <w:rFonts w:asciiTheme="minorHAnsi" w:eastAsia="Times New Roman" w:hAnsiTheme="minorHAnsi" w:cstheme="minorHAnsi"/>
                <w:sz w:val="20"/>
                <w:szCs w:val="20"/>
                <w:lang w:eastAsia="en-GB"/>
              </w:rPr>
              <w:t xml:space="preserve"> </w:t>
            </w:r>
            <w:r w:rsidR="00FA5178"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MA without a costed extension for the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 xml:space="preserve"> would result in a similar risk as the core costs of running the </w:t>
            </w:r>
            <w:r w:rsidR="00D65693" w:rsidRPr="007F63EF">
              <w:rPr>
                <w:rFonts w:asciiTheme="minorHAnsi" w:eastAsia="Times New Roman" w:hAnsiTheme="minorHAnsi" w:cstheme="minorHAnsi"/>
                <w:sz w:val="20"/>
                <w:szCs w:val="20"/>
                <w:lang w:eastAsia="en-GB"/>
              </w:rPr>
              <w:t xml:space="preserve">evaluation </w:t>
            </w:r>
            <w:r w:rsidRPr="007F63EF">
              <w:rPr>
                <w:rFonts w:asciiTheme="minorHAnsi" w:eastAsia="Times New Roman" w:hAnsiTheme="minorHAnsi" w:cstheme="minorHAnsi"/>
                <w:sz w:val="20"/>
                <w:szCs w:val="20"/>
                <w:lang w:eastAsia="en-GB"/>
              </w:rPr>
              <w:t>for an extra year would reduce the budget available for evidence generation and uptake activities</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Impact:</w:t>
            </w:r>
            <w:r w:rsidRPr="007F63EF">
              <w:rPr>
                <w:rFonts w:asciiTheme="minorHAnsi" w:eastAsia="Times New Roman" w:hAnsiTheme="minorHAnsi" w:cstheme="minorHAnsi"/>
                <w:sz w:val="20"/>
                <w:szCs w:val="20"/>
                <w:lang w:eastAsia="en-GB"/>
              </w:rPr>
              <w:t xml:space="preserve"> reduction in </w:t>
            </w:r>
            <w:r w:rsidR="007B0F97"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responsiveness of evaluation/quality of deliverables</w:t>
            </w:r>
          </w:p>
        </w:tc>
        <w:tc>
          <w:tcPr>
            <w:tcW w:w="0" w:type="auto"/>
            <w:tcBorders>
              <w:top w:val="nil"/>
              <w:left w:val="nil"/>
              <w:bottom w:val="single" w:sz="4" w:space="0" w:color="auto"/>
              <w:right w:val="single" w:sz="4" w:space="0" w:color="auto"/>
            </w:tcBorders>
            <w:shd w:val="clear" w:color="auto" w:fill="auto"/>
            <w:vAlign w:val="center"/>
            <w:hideMark/>
          </w:tcPr>
          <w:p w14:paraId="6698A31C" w14:textId="5A4D113A"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E34EA1"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1. A no-cost extension to implementing partners has been agreed</w:t>
            </w:r>
            <w:r w:rsidR="007B0F97" w:rsidRPr="007F63EF">
              <w:rPr>
                <w:rFonts w:asciiTheme="minorHAnsi" w:eastAsia="Times New Roman" w:hAnsiTheme="minorHAnsi" w:cstheme="minorHAnsi"/>
                <w:sz w:val="20"/>
                <w:szCs w:val="20"/>
                <w:lang w:eastAsia="en-GB"/>
              </w:rPr>
              <w:t xml:space="preserve"> upon</w:t>
            </w:r>
            <w:r w:rsidRPr="007F63EF">
              <w:rPr>
                <w:rFonts w:asciiTheme="minorHAnsi" w:eastAsia="Times New Roman" w:hAnsiTheme="minorHAnsi" w:cstheme="minorHAnsi"/>
                <w:sz w:val="20"/>
                <w:szCs w:val="20"/>
                <w:lang w:eastAsia="en-GB"/>
              </w:rPr>
              <w:t xml:space="preserve">. </w:t>
            </w:r>
            <w:r w:rsidR="007B0F97" w:rsidRPr="007F63EF">
              <w:rPr>
                <w:rFonts w:asciiTheme="minorHAnsi" w:eastAsia="Times New Roman" w:hAnsiTheme="minorHAnsi" w:cstheme="minorHAnsi"/>
                <w:sz w:val="20"/>
                <w:szCs w:val="20"/>
                <w:lang w:eastAsia="en-GB"/>
              </w:rPr>
              <w:t>The n</w:t>
            </w:r>
            <w:r w:rsidRPr="007F63EF">
              <w:rPr>
                <w:rFonts w:asciiTheme="minorHAnsi" w:eastAsia="Times New Roman" w:hAnsiTheme="minorHAnsi" w:cstheme="minorHAnsi"/>
                <w:sz w:val="20"/>
                <w:szCs w:val="20"/>
                <w:lang w:eastAsia="en-GB"/>
              </w:rPr>
              <w:t xml:space="preserve">ext steps are to include a costed extension for the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 xml:space="preserve"> (submitted), which would allow time for the projects to finish their implementation and for the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 xml:space="preserve"> to complete research and evaluations based on a more advanced set of results. </w:t>
            </w:r>
            <w:r w:rsidRPr="007F63EF">
              <w:rPr>
                <w:rFonts w:asciiTheme="minorHAnsi" w:eastAsia="Times New Roman" w:hAnsiTheme="minorHAnsi" w:cstheme="minorHAnsi"/>
                <w:b/>
                <w:bCs/>
                <w:sz w:val="20"/>
                <w:szCs w:val="20"/>
                <w:lang w:eastAsia="en-GB"/>
              </w:rPr>
              <w:br/>
              <w:t xml:space="preserve">Contingency Plan: </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As the evaluation has progressed we have discussed with DHSC any changes to their requirements, in terms of particular areas of emphasis or new/emerging questions, and have responded to these where possible - e.g. ICAI questions, supporting ToC workshop to contribute to</w:t>
            </w:r>
            <w:r w:rsidR="007B0F97" w:rsidRPr="007F63EF">
              <w:rPr>
                <w:rFonts w:asciiTheme="minorHAnsi" w:eastAsia="Times New Roman" w:hAnsiTheme="minorHAnsi" w:cstheme="minorHAnsi"/>
                <w:sz w:val="20"/>
                <w:szCs w:val="20"/>
                <w:lang w:eastAsia="en-GB"/>
              </w:rPr>
              <w:t xml:space="preserve"> a</w:t>
            </w:r>
            <w:r w:rsidRPr="007F63EF">
              <w:rPr>
                <w:rFonts w:asciiTheme="minorHAnsi" w:eastAsia="Times New Roman" w:hAnsiTheme="minorHAnsi" w:cstheme="minorHAnsi"/>
                <w:sz w:val="20"/>
                <w:szCs w:val="20"/>
                <w:lang w:eastAsia="en-GB"/>
              </w:rPr>
              <w:t xml:space="preserve"> 10-y</w:t>
            </w:r>
            <w:r w:rsidR="007B0F97" w:rsidRPr="007F63EF">
              <w:rPr>
                <w:rFonts w:asciiTheme="minorHAnsi" w:eastAsia="Times New Roman" w:hAnsiTheme="minorHAnsi" w:cstheme="minorHAnsi"/>
                <w:sz w:val="20"/>
                <w:szCs w:val="20"/>
                <w:lang w:eastAsia="en-GB"/>
              </w:rPr>
              <w:t>ea</w:t>
            </w:r>
            <w:r w:rsidRPr="007F63EF">
              <w:rPr>
                <w:rFonts w:asciiTheme="minorHAnsi" w:eastAsia="Times New Roman" w:hAnsiTheme="minorHAnsi" w:cstheme="minorHAnsi"/>
                <w:sz w:val="20"/>
                <w:szCs w:val="20"/>
                <w:lang w:eastAsia="en-GB"/>
              </w:rPr>
              <w:t>r strategy. We will continue to do this, including as we plan for the Summative Evaluation.</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If it transpires that project implementation has been substantially delayed - which is outside the control of the evaluation - we will agree with </w:t>
            </w:r>
            <w:r w:rsidR="007B0F97"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DHSC </w:t>
            </w:r>
            <w:r w:rsidR="007B0F97" w:rsidRPr="007F63EF">
              <w:rPr>
                <w:rFonts w:asciiTheme="minorHAnsi" w:eastAsia="Times New Roman" w:hAnsiTheme="minorHAnsi" w:cstheme="minorHAnsi"/>
                <w:sz w:val="20"/>
                <w:szCs w:val="20"/>
                <w:lang w:eastAsia="en-GB"/>
              </w:rPr>
              <w:t xml:space="preserve">on </w:t>
            </w:r>
            <w:r w:rsidRPr="007F63EF">
              <w:rPr>
                <w:rFonts w:asciiTheme="minorHAnsi" w:eastAsia="Times New Roman" w:hAnsiTheme="minorHAnsi" w:cstheme="minorHAnsi"/>
                <w:sz w:val="20"/>
                <w:szCs w:val="20"/>
                <w:lang w:eastAsia="en-GB"/>
              </w:rPr>
              <w:t>the best way to deliver what is needed from the evaluation based on the most up</w:t>
            </w:r>
            <w:r w:rsidR="007B0F97"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to</w:t>
            </w:r>
            <w:r w:rsidR="007B0F97"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date understanding of what is/will be available at the time of the </w:t>
            </w:r>
            <w:r w:rsidR="00FA5178" w:rsidRPr="007F63EF">
              <w:rPr>
                <w:rFonts w:asciiTheme="minorHAnsi" w:eastAsia="Times New Roman" w:hAnsiTheme="minorHAnsi" w:cstheme="minorHAnsi"/>
                <w:sz w:val="20"/>
                <w:szCs w:val="20"/>
                <w:lang w:eastAsia="en-GB"/>
              </w:rPr>
              <w:t>summative</w:t>
            </w:r>
            <w:r w:rsidRPr="007F63EF">
              <w:rPr>
                <w:rFonts w:asciiTheme="minorHAnsi" w:eastAsia="Times New Roman" w:hAnsiTheme="minorHAnsi" w:cstheme="minorHAnsi"/>
                <w:sz w:val="20"/>
                <w:szCs w:val="20"/>
                <w:lang w:eastAsia="en-GB"/>
              </w:rPr>
              <w:t xml:space="preserve"> </w:t>
            </w:r>
            <w:r w:rsidR="007B0F97" w:rsidRPr="007F63EF">
              <w:rPr>
                <w:rFonts w:asciiTheme="minorHAnsi" w:eastAsia="Times New Roman" w:hAnsiTheme="minorHAnsi" w:cstheme="minorHAnsi"/>
                <w:sz w:val="20"/>
                <w:szCs w:val="20"/>
                <w:lang w:eastAsia="en-GB"/>
              </w:rPr>
              <w:t>deliverable</w:t>
            </w:r>
            <w:r w:rsidRPr="007F63EF">
              <w:rPr>
                <w:rFonts w:asciiTheme="minorHAnsi" w:eastAsia="Times New Roman" w:hAnsiTheme="minorHAnsi" w:cstheme="minorHAnsi"/>
                <w:sz w:val="20"/>
                <w:szCs w:val="20"/>
                <w:lang w:eastAsia="en-GB"/>
              </w:rPr>
              <w:t>.</w:t>
            </w:r>
          </w:p>
        </w:tc>
        <w:tc>
          <w:tcPr>
            <w:tcW w:w="0" w:type="auto"/>
            <w:tcBorders>
              <w:top w:val="single" w:sz="4" w:space="0" w:color="auto"/>
              <w:left w:val="single" w:sz="4" w:space="0" w:color="auto"/>
              <w:bottom w:val="single" w:sz="4" w:space="0" w:color="auto"/>
              <w:right w:val="single" w:sz="4" w:space="0" w:color="auto"/>
            </w:tcBorders>
            <w:shd w:val="thinDiagStripe" w:color="FF0000" w:fill="FF0000"/>
            <w:vAlign w:val="center"/>
            <w:hideMark/>
          </w:tcPr>
          <w:p w14:paraId="08B65C1E"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A/R</w:t>
            </w:r>
          </w:p>
        </w:tc>
        <w:tc>
          <w:tcPr>
            <w:tcW w:w="0" w:type="auto"/>
            <w:vAlign w:val="center"/>
            <w:hideMark/>
          </w:tcPr>
          <w:p w14:paraId="56F89070"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3BD12796"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166CD697"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Financial management</w:t>
            </w:r>
          </w:p>
        </w:tc>
        <w:tc>
          <w:tcPr>
            <w:tcW w:w="0" w:type="auto"/>
            <w:tcBorders>
              <w:top w:val="nil"/>
              <w:left w:val="nil"/>
              <w:bottom w:val="single" w:sz="4" w:space="0" w:color="auto"/>
              <w:right w:val="single" w:sz="4" w:space="0" w:color="auto"/>
            </w:tcBorders>
            <w:shd w:val="clear" w:color="auto" w:fill="auto"/>
            <w:vAlign w:val="center"/>
            <w:hideMark/>
          </w:tcPr>
          <w:p w14:paraId="68710DC2" w14:textId="5F55A8CD"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 xml:space="preserve">Overspending /Underspending against </w:t>
            </w:r>
            <w:r w:rsidR="00C908A4"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budget</w:t>
            </w:r>
            <w:r w:rsidRPr="007F63EF">
              <w:rPr>
                <w:rFonts w:asciiTheme="minorHAnsi" w:eastAsia="Times New Roman" w:hAnsiTheme="minorHAnsi" w:cstheme="minorHAnsi"/>
                <w:b/>
                <w:bCs/>
                <w:sz w:val="20"/>
                <w:szCs w:val="20"/>
                <w:lang w:eastAsia="en-GB"/>
              </w:rPr>
              <w:br/>
              <w:t xml:space="preserve">Cause: </w:t>
            </w:r>
            <w:r w:rsidRPr="007F63EF">
              <w:rPr>
                <w:rFonts w:asciiTheme="minorHAnsi" w:eastAsia="Times New Roman" w:hAnsiTheme="minorHAnsi" w:cstheme="minorHAnsi"/>
                <w:sz w:val="20"/>
                <w:szCs w:val="20"/>
                <w:lang w:eastAsia="en-GB"/>
              </w:rPr>
              <w:t>As it</w:t>
            </w:r>
            <w:r w:rsidR="00C908A4" w:rsidRPr="007F63EF">
              <w:rPr>
                <w:rFonts w:asciiTheme="minorHAnsi" w:eastAsia="Times New Roman" w:hAnsiTheme="minorHAnsi" w:cstheme="minorHAnsi"/>
                <w:sz w:val="20"/>
                <w:szCs w:val="20"/>
                <w:lang w:eastAsia="en-GB"/>
              </w:rPr>
              <w:t xml:space="preserve"> i</w:t>
            </w:r>
            <w:r w:rsidRPr="007F63EF">
              <w:rPr>
                <w:rFonts w:asciiTheme="minorHAnsi" w:eastAsia="Times New Roman" w:hAnsiTheme="minorHAnsi" w:cstheme="minorHAnsi"/>
                <w:sz w:val="20"/>
                <w:szCs w:val="20"/>
                <w:lang w:eastAsia="en-GB"/>
              </w:rPr>
              <w:t>s a complex programme with multiple budget streams and currently undefined work areas, there is a risk of overspend</w:t>
            </w:r>
            <w:r w:rsidR="00C908A4" w:rsidRPr="007F63EF">
              <w:rPr>
                <w:rFonts w:asciiTheme="minorHAnsi" w:eastAsia="Times New Roman" w:hAnsiTheme="minorHAnsi" w:cstheme="minorHAnsi"/>
                <w:sz w:val="20"/>
                <w:szCs w:val="20"/>
                <w:lang w:eastAsia="en-GB"/>
              </w:rPr>
              <w:t>ing</w:t>
            </w:r>
            <w:r w:rsidRPr="007F63EF">
              <w:rPr>
                <w:rFonts w:asciiTheme="minorHAnsi" w:eastAsia="Times New Roman" w:hAnsiTheme="minorHAnsi" w:cstheme="minorHAnsi"/>
                <w:sz w:val="20"/>
                <w:szCs w:val="20"/>
                <w:lang w:eastAsia="en-GB"/>
              </w:rPr>
              <w:t>/underspend</w:t>
            </w:r>
            <w:r w:rsidR="00C908A4" w:rsidRPr="007F63EF">
              <w:rPr>
                <w:rFonts w:asciiTheme="minorHAnsi" w:eastAsia="Times New Roman" w:hAnsiTheme="minorHAnsi" w:cstheme="minorHAnsi"/>
                <w:sz w:val="20"/>
                <w:szCs w:val="20"/>
                <w:lang w:eastAsia="en-GB"/>
              </w:rPr>
              <w:t>ing</w:t>
            </w:r>
            <w:r w:rsidRPr="007F63EF">
              <w:rPr>
                <w:rFonts w:asciiTheme="minorHAnsi" w:eastAsia="Times New Roman" w:hAnsiTheme="minorHAnsi" w:cstheme="minorHAnsi"/>
                <w:sz w:val="20"/>
                <w:szCs w:val="20"/>
                <w:lang w:eastAsia="en-GB"/>
              </w:rPr>
              <w:t xml:space="preserve"> through different phases. </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 xml:space="preserve">Effect: </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The programme runs out of money and has to reduce work/vary delivery in certain areas. Deliverables not optimised in terms of delivering quality on time. Breach of contract.</w:t>
            </w:r>
            <w:r w:rsidRPr="007F63EF">
              <w:rPr>
                <w:rFonts w:asciiTheme="minorHAnsi" w:eastAsia="Times New Roman" w:hAnsiTheme="minorHAnsi" w:cstheme="minorHAnsi"/>
                <w:sz w:val="20"/>
                <w:szCs w:val="20"/>
                <w:lang w:eastAsia="en-GB"/>
              </w:rPr>
              <w:br/>
              <w:t xml:space="preserve">-The programme returns unspent funding at </w:t>
            </w:r>
            <w:r w:rsidR="0007399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end of </w:t>
            </w:r>
            <w:r w:rsidR="0007399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project</w:t>
            </w:r>
            <w:r w:rsidR="00073990" w:rsidRPr="007F63EF">
              <w:rPr>
                <w:rFonts w:asciiTheme="minorHAnsi" w:eastAsia="Times New Roman" w:hAnsiTheme="minorHAnsi" w:cstheme="minorHAnsi"/>
                <w:sz w:val="20"/>
                <w:szCs w:val="20"/>
                <w:lang w:eastAsia="en-GB"/>
              </w:rPr>
              <w:t>; with the i</w:t>
            </w:r>
            <w:r w:rsidRPr="007F63EF">
              <w:rPr>
                <w:rFonts w:asciiTheme="minorHAnsi" w:eastAsia="Times New Roman" w:hAnsiTheme="minorHAnsi" w:cstheme="minorHAnsi"/>
                <w:sz w:val="20"/>
                <w:szCs w:val="20"/>
                <w:lang w:eastAsia="en-GB"/>
              </w:rPr>
              <w:t xml:space="preserve">mplication that evaluation activities </w:t>
            </w:r>
            <w:r w:rsidR="00C908A4" w:rsidRPr="007F63EF">
              <w:rPr>
                <w:rFonts w:asciiTheme="minorHAnsi" w:eastAsia="Times New Roman" w:hAnsiTheme="minorHAnsi" w:cstheme="minorHAnsi"/>
                <w:sz w:val="20"/>
                <w:szCs w:val="20"/>
                <w:lang w:eastAsia="en-GB"/>
              </w:rPr>
              <w:t xml:space="preserve">were </w:t>
            </w:r>
            <w:r w:rsidRPr="007F63EF">
              <w:rPr>
                <w:rFonts w:asciiTheme="minorHAnsi" w:eastAsia="Times New Roman" w:hAnsiTheme="minorHAnsi" w:cstheme="minorHAnsi"/>
                <w:sz w:val="20"/>
                <w:szCs w:val="20"/>
                <w:lang w:eastAsia="en-GB"/>
              </w:rPr>
              <w:t xml:space="preserve">not fully executed to deliver optimal products. </w:t>
            </w:r>
            <w:r w:rsidRPr="007F63EF">
              <w:rPr>
                <w:rFonts w:asciiTheme="minorHAnsi" w:eastAsia="Times New Roman" w:hAnsiTheme="minorHAnsi" w:cstheme="minorHAnsi"/>
                <w:b/>
                <w:bCs/>
                <w:sz w:val="20"/>
                <w:szCs w:val="20"/>
                <w:lang w:eastAsia="en-GB"/>
              </w:rPr>
              <w:br/>
              <w:t>Impact:</w:t>
            </w:r>
            <w:r w:rsidR="007458AC"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sz w:val="20"/>
                <w:szCs w:val="20"/>
                <w:lang w:eastAsia="en-GB"/>
              </w:rPr>
              <w:t>Damage to reputation with HMG.</w:t>
            </w:r>
            <w:r w:rsidR="007458AC" w:rsidRPr="007F63EF">
              <w:rPr>
                <w:rFonts w:asciiTheme="minorHAnsi" w:eastAsia="Times New Roman" w:hAnsiTheme="minorHAnsi" w:cstheme="minorHAnsi"/>
                <w:sz w:val="20"/>
                <w:szCs w:val="20"/>
                <w:lang w:eastAsia="en-GB"/>
              </w:rPr>
              <w:t xml:space="preserve"> </w:t>
            </w:r>
            <w:r w:rsidR="00073990" w:rsidRPr="007F63EF">
              <w:rPr>
                <w:rFonts w:asciiTheme="minorHAnsi" w:eastAsia="Times New Roman" w:hAnsiTheme="minorHAnsi" w:cstheme="minorHAnsi"/>
                <w:sz w:val="20"/>
                <w:szCs w:val="20"/>
                <w:lang w:eastAsia="en-GB"/>
              </w:rPr>
              <w:t>The p</w:t>
            </w:r>
            <w:r w:rsidRPr="007F63EF">
              <w:rPr>
                <w:rFonts w:asciiTheme="minorHAnsi" w:eastAsia="Times New Roman" w:hAnsiTheme="minorHAnsi" w:cstheme="minorHAnsi"/>
                <w:sz w:val="20"/>
                <w:szCs w:val="20"/>
                <w:lang w:eastAsia="en-GB"/>
              </w:rPr>
              <w:t>roject becomes non-commercial.</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Lack of confidence in Itad's resource planning and management.</w:t>
            </w:r>
          </w:p>
        </w:tc>
        <w:tc>
          <w:tcPr>
            <w:tcW w:w="0" w:type="auto"/>
            <w:tcBorders>
              <w:top w:val="nil"/>
              <w:left w:val="nil"/>
              <w:bottom w:val="single" w:sz="4" w:space="0" w:color="auto"/>
              <w:right w:val="single" w:sz="4" w:space="0" w:color="auto"/>
            </w:tcBorders>
            <w:shd w:val="clear" w:color="auto" w:fill="auto"/>
            <w:vAlign w:val="center"/>
            <w:hideMark/>
          </w:tcPr>
          <w:p w14:paraId="5429C070" w14:textId="193F9172"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E34EA1"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t>:</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Dedicated Project Officer and Project Manager supporting </w:t>
            </w:r>
            <w:r w:rsidR="00250155" w:rsidRPr="007F63EF">
              <w:rPr>
                <w:rFonts w:asciiTheme="minorHAnsi" w:eastAsia="Times New Roman" w:hAnsiTheme="minorHAnsi" w:cstheme="minorHAnsi"/>
                <w:sz w:val="20"/>
                <w:szCs w:val="20"/>
                <w:lang w:eastAsia="en-GB"/>
              </w:rPr>
              <w:t>the Team Leader and Project Director</w:t>
            </w:r>
            <w:r w:rsidRPr="007F63EF">
              <w:rPr>
                <w:rFonts w:asciiTheme="minorHAnsi" w:eastAsia="Times New Roman" w:hAnsiTheme="minorHAnsi" w:cstheme="minorHAnsi"/>
                <w:sz w:val="20"/>
                <w:szCs w:val="20"/>
                <w:lang w:eastAsia="en-GB"/>
              </w:rPr>
              <w:t xml:space="preserve"> with regular, accurate and easy</w:t>
            </w:r>
            <w:r w:rsidR="00073990"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to</w:t>
            </w:r>
            <w:r w:rsidR="00073990"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understand budget and utilisation reports</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2.</w:t>
            </w:r>
            <w:r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sz w:val="20"/>
                <w:szCs w:val="20"/>
                <w:lang w:eastAsia="en-GB"/>
              </w:rPr>
              <w:t>Regular and tight budget monitoring for all outputs.</w:t>
            </w:r>
            <w:r w:rsidRPr="007F63EF">
              <w:rPr>
                <w:rFonts w:asciiTheme="minorHAnsi" w:eastAsia="Times New Roman" w:hAnsiTheme="minorHAnsi" w:cstheme="minorHAnsi"/>
                <w:sz w:val="20"/>
                <w:szCs w:val="20"/>
                <w:lang w:eastAsia="en-GB"/>
              </w:rPr>
              <w:br/>
              <w:t>3. Monthly</w:t>
            </w:r>
            <w:r w:rsidR="009D3741" w:rsidRPr="007F63EF">
              <w:rPr>
                <w:rFonts w:asciiTheme="minorHAnsi" w:eastAsia="Times New Roman" w:hAnsiTheme="minorHAnsi" w:cstheme="minorHAnsi"/>
                <w:sz w:val="20"/>
                <w:szCs w:val="20"/>
                <w:lang w:eastAsia="en-GB"/>
              </w:rPr>
              <w:t xml:space="preserve"> (internally) and quarterly (with DHSC)</w:t>
            </w:r>
            <w:r w:rsidRPr="007F63EF">
              <w:rPr>
                <w:rFonts w:asciiTheme="minorHAnsi" w:eastAsia="Times New Roman" w:hAnsiTheme="minorHAnsi" w:cstheme="minorHAnsi"/>
                <w:sz w:val="20"/>
                <w:szCs w:val="20"/>
                <w:lang w:eastAsia="en-GB"/>
              </w:rPr>
              <w:t xml:space="preserve"> review of budgets and clear forecasting. </w:t>
            </w:r>
            <w:r w:rsidRPr="007F63EF">
              <w:rPr>
                <w:rFonts w:asciiTheme="minorHAnsi" w:eastAsia="Times New Roman" w:hAnsiTheme="minorHAnsi" w:cstheme="minorHAnsi"/>
                <w:sz w:val="20"/>
                <w:szCs w:val="20"/>
                <w:lang w:eastAsia="en-GB"/>
              </w:rPr>
              <w:br/>
              <w:t>4. Regular accurate invoicing of subcontractors</w:t>
            </w:r>
            <w:r w:rsidRPr="007F63EF">
              <w:rPr>
                <w:rFonts w:asciiTheme="minorHAnsi" w:eastAsia="Times New Roman" w:hAnsiTheme="minorHAnsi" w:cstheme="minorHAnsi"/>
                <w:sz w:val="20"/>
                <w:szCs w:val="20"/>
                <w:lang w:eastAsia="en-GB"/>
              </w:rPr>
              <w:br/>
              <w:t xml:space="preserve">5. Discussion to be tentatively had with </w:t>
            </w:r>
            <w:r w:rsidR="00C908A4"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DHSC about </w:t>
            </w:r>
            <w:r w:rsidR="00C908A4" w:rsidRPr="007F63EF">
              <w:rPr>
                <w:rFonts w:asciiTheme="minorHAnsi" w:eastAsia="Times New Roman" w:hAnsiTheme="minorHAnsi" w:cstheme="minorHAnsi"/>
                <w:sz w:val="20"/>
                <w:szCs w:val="20"/>
                <w:lang w:eastAsia="en-GB"/>
              </w:rPr>
              <w:t>the shifts in the</w:t>
            </w:r>
            <w:r w:rsidRPr="007F63EF">
              <w:rPr>
                <w:rFonts w:asciiTheme="minorHAnsi" w:eastAsia="Times New Roman" w:hAnsiTheme="minorHAnsi" w:cstheme="minorHAnsi"/>
                <w:sz w:val="20"/>
                <w:szCs w:val="20"/>
                <w:lang w:eastAsia="en-GB"/>
              </w:rPr>
              <w:t xml:space="preserve"> budget to cover</w:t>
            </w:r>
            <w:r w:rsidR="00C908A4"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additional time required within </w:t>
            </w:r>
            <w:r w:rsidR="00C908A4"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revised evaluation approach and </w:t>
            </w:r>
            <w:r w:rsidR="00C908A4"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decrease in expenses, subject to COVID</w:t>
            </w:r>
            <w:r w:rsidR="00C908A4" w:rsidRPr="007F63EF">
              <w:rPr>
                <w:rFonts w:asciiTheme="minorHAnsi" w:eastAsia="Times New Roman" w:hAnsiTheme="minorHAnsi" w:cstheme="minorHAnsi"/>
                <w:sz w:val="20"/>
                <w:szCs w:val="20"/>
                <w:lang w:eastAsia="en-GB"/>
              </w:rPr>
              <w:t>-19-related</w:t>
            </w:r>
            <w:r w:rsidRPr="007F63EF">
              <w:rPr>
                <w:rFonts w:asciiTheme="minorHAnsi" w:eastAsia="Times New Roman" w:hAnsiTheme="minorHAnsi" w:cstheme="minorHAnsi"/>
                <w:sz w:val="20"/>
                <w:szCs w:val="20"/>
                <w:lang w:eastAsia="en-GB"/>
              </w:rPr>
              <w:t xml:space="preserve"> restrictions on travel. </w:t>
            </w:r>
            <w:r w:rsidRPr="007F63EF">
              <w:rPr>
                <w:rFonts w:asciiTheme="minorHAnsi" w:eastAsia="Times New Roman" w:hAnsiTheme="minorHAnsi" w:cstheme="minorHAnsi"/>
                <w:sz w:val="20"/>
                <w:szCs w:val="20"/>
                <w:lang w:eastAsia="en-GB"/>
              </w:rPr>
              <w:br/>
              <w:t xml:space="preserve">6. Impact of budget decreases/shifts to be outlined to </w:t>
            </w:r>
            <w:r w:rsidR="00C908A4"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 Changes to</w:t>
            </w:r>
            <w:r w:rsidR="00C908A4"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delivery/deliverables </w:t>
            </w:r>
            <w:r w:rsidR="00073990" w:rsidRPr="007F63EF">
              <w:rPr>
                <w:rFonts w:asciiTheme="minorHAnsi" w:eastAsia="Times New Roman" w:hAnsiTheme="minorHAnsi" w:cstheme="minorHAnsi"/>
                <w:sz w:val="20"/>
                <w:szCs w:val="20"/>
                <w:lang w:eastAsia="en-GB"/>
              </w:rPr>
              <w:t xml:space="preserve">are </w:t>
            </w:r>
            <w:r w:rsidRPr="007F63EF">
              <w:rPr>
                <w:rFonts w:asciiTheme="minorHAnsi" w:eastAsia="Times New Roman" w:hAnsiTheme="minorHAnsi" w:cstheme="minorHAnsi"/>
                <w:sz w:val="20"/>
                <w:szCs w:val="20"/>
                <w:lang w:eastAsia="en-GB"/>
              </w:rPr>
              <w:t xml:space="preserve">to be agreed. </w:t>
            </w:r>
          </w:p>
        </w:tc>
        <w:tc>
          <w:tcPr>
            <w:tcW w:w="0" w:type="auto"/>
            <w:tcBorders>
              <w:top w:val="single" w:sz="4" w:space="0" w:color="auto"/>
              <w:left w:val="single" w:sz="4" w:space="0" w:color="auto"/>
              <w:bottom w:val="single" w:sz="4" w:space="0" w:color="auto"/>
              <w:right w:val="single" w:sz="4" w:space="0" w:color="auto"/>
            </w:tcBorders>
            <w:shd w:val="thinDiagStripe" w:color="FFC000" w:fill="FFC000"/>
            <w:vAlign w:val="center"/>
            <w:hideMark/>
          </w:tcPr>
          <w:p w14:paraId="60C87748"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A</w:t>
            </w:r>
          </w:p>
        </w:tc>
        <w:tc>
          <w:tcPr>
            <w:tcW w:w="0" w:type="auto"/>
            <w:vAlign w:val="center"/>
            <w:hideMark/>
          </w:tcPr>
          <w:p w14:paraId="0594E2E5"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55A64953"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61E86867"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Financial management</w:t>
            </w:r>
          </w:p>
        </w:tc>
        <w:tc>
          <w:tcPr>
            <w:tcW w:w="0" w:type="auto"/>
            <w:tcBorders>
              <w:top w:val="nil"/>
              <w:left w:val="nil"/>
              <w:bottom w:val="single" w:sz="4" w:space="0" w:color="auto"/>
              <w:right w:val="single" w:sz="4" w:space="0" w:color="auto"/>
            </w:tcBorders>
            <w:shd w:val="clear" w:color="auto" w:fill="auto"/>
            <w:vAlign w:val="center"/>
            <w:hideMark/>
          </w:tcPr>
          <w:p w14:paraId="2BFA1920" w14:textId="7370A1FC"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 xml:space="preserve">Payment delay from </w:t>
            </w:r>
            <w:r w:rsidR="0007399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 if deliverables</w:t>
            </w:r>
            <w:r w:rsidR="00073990" w:rsidRPr="007F63EF">
              <w:rPr>
                <w:rFonts w:asciiTheme="minorHAnsi" w:eastAsia="Times New Roman" w:hAnsiTheme="minorHAnsi" w:cstheme="minorHAnsi"/>
                <w:sz w:val="20"/>
                <w:szCs w:val="20"/>
                <w:lang w:eastAsia="en-GB"/>
              </w:rPr>
              <w:t xml:space="preserve"> are</w:t>
            </w:r>
            <w:r w:rsidRPr="007F63EF">
              <w:rPr>
                <w:rFonts w:asciiTheme="minorHAnsi" w:eastAsia="Times New Roman" w:hAnsiTheme="minorHAnsi" w:cstheme="minorHAnsi"/>
                <w:sz w:val="20"/>
                <w:szCs w:val="20"/>
                <w:lang w:eastAsia="en-GB"/>
              </w:rPr>
              <w:t xml:space="preserve"> not agreed</w:t>
            </w:r>
            <w:r w:rsidRPr="007F63EF">
              <w:rPr>
                <w:rFonts w:asciiTheme="minorHAnsi" w:eastAsia="Times New Roman" w:hAnsiTheme="minorHAnsi" w:cstheme="minorHAnsi"/>
                <w:b/>
                <w:bCs/>
                <w:sz w:val="20"/>
                <w:szCs w:val="20"/>
                <w:lang w:eastAsia="en-GB"/>
              </w:rPr>
              <w:br/>
              <w:t xml:space="preserve">Cause: </w:t>
            </w:r>
            <w:r w:rsidRPr="007F63EF">
              <w:rPr>
                <w:rFonts w:asciiTheme="minorHAnsi" w:eastAsia="Times New Roman" w:hAnsiTheme="minorHAnsi" w:cstheme="minorHAnsi"/>
                <w:sz w:val="20"/>
                <w:szCs w:val="20"/>
                <w:lang w:eastAsia="en-GB"/>
              </w:rPr>
              <w:t xml:space="preserve">Failure to communicate progress with </w:t>
            </w:r>
            <w:r w:rsidR="0007399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DHSC between deliverables, slow feedback process in </w:t>
            </w:r>
            <w:r w:rsidR="0007399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w:t>
            </w:r>
            <w:r w:rsidR="00004CFF">
              <w:rPr>
                <w:rFonts w:asciiTheme="minorHAnsi" w:eastAsia="Times New Roman" w:hAnsiTheme="minorHAnsi" w:cstheme="minorHAnsi"/>
                <w:sz w:val="20"/>
                <w:szCs w:val="20"/>
                <w:lang w:eastAsia="en-GB"/>
              </w:rPr>
              <w:t xml:space="preserve"> and</w:t>
            </w:r>
            <w:r w:rsidRPr="007F63EF">
              <w:rPr>
                <w:rFonts w:asciiTheme="minorHAnsi" w:eastAsia="Times New Roman" w:hAnsiTheme="minorHAnsi" w:cstheme="minorHAnsi"/>
                <w:sz w:val="20"/>
                <w:szCs w:val="20"/>
                <w:lang w:eastAsia="en-GB"/>
              </w:rPr>
              <w:t xml:space="preserve"> poor quality deliverables </w:t>
            </w:r>
            <w:r w:rsidR="00073990" w:rsidRPr="007F63EF">
              <w:rPr>
                <w:rFonts w:asciiTheme="minorHAnsi" w:eastAsia="Times New Roman" w:hAnsiTheme="minorHAnsi" w:cstheme="minorHAnsi"/>
                <w:sz w:val="20"/>
                <w:szCs w:val="20"/>
                <w:lang w:eastAsia="en-GB"/>
              </w:rPr>
              <w:t xml:space="preserve">which are </w:t>
            </w:r>
            <w:r w:rsidRPr="007F63EF">
              <w:rPr>
                <w:rFonts w:asciiTheme="minorHAnsi" w:eastAsia="Times New Roman" w:hAnsiTheme="minorHAnsi" w:cstheme="minorHAnsi"/>
                <w:sz w:val="20"/>
                <w:szCs w:val="20"/>
                <w:lang w:eastAsia="en-GB"/>
              </w:rPr>
              <w:t>not responsive to requirements.</w:t>
            </w:r>
            <w:r w:rsidRPr="007F63EF">
              <w:rPr>
                <w:rFonts w:asciiTheme="minorHAnsi" w:eastAsia="Times New Roman" w:hAnsiTheme="minorHAnsi" w:cstheme="minorHAnsi"/>
                <w:b/>
                <w:bCs/>
                <w:sz w:val="20"/>
                <w:szCs w:val="20"/>
                <w:lang w:eastAsia="en-GB"/>
              </w:rPr>
              <w:br/>
              <w:t xml:space="preserve">Effect: </w:t>
            </w:r>
            <w:r w:rsidRPr="007F63EF">
              <w:rPr>
                <w:rFonts w:asciiTheme="minorHAnsi" w:eastAsia="Times New Roman" w:hAnsiTheme="minorHAnsi" w:cstheme="minorHAnsi"/>
                <w:sz w:val="20"/>
                <w:szCs w:val="20"/>
                <w:lang w:eastAsia="en-GB"/>
              </w:rPr>
              <w:t>Cash flow insufficient, breach of contract</w:t>
            </w:r>
            <w:r w:rsidRPr="007F63EF">
              <w:rPr>
                <w:rFonts w:asciiTheme="minorHAnsi" w:eastAsia="Times New Roman" w:hAnsiTheme="minorHAnsi" w:cstheme="minorHAnsi"/>
                <w:b/>
                <w:bCs/>
                <w:sz w:val="20"/>
                <w:szCs w:val="20"/>
                <w:lang w:eastAsia="en-GB"/>
              </w:rPr>
              <w:br/>
              <w:t xml:space="preserve">Impact: </w:t>
            </w:r>
            <w:r w:rsidRPr="007F63EF">
              <w:rPr>
                <w:rFonts w:asciiTheme="minorHAnsi" w:eastAsia="Times New Roman" w:hAnsiTheme="minorHAnsi" w:cstheme="minorHAnsi"/>
                <w:sz w:val="20"/>
                <w:szCs w:val="20"/>
                <w:lang w:eastAsia="en-GB"/>
              </w:rPr>
              <w:t>Cannot pay suppliers/subs, lose suppliers, damage reputation, conflict with</w:t>
            </w:r>
            <w:r w:rsidR="00073990"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DHSC</w:t>
            </w:r>
            <w:r w:rsidR="00073990" w:rsidRPr="007F63EF">
              <w:rPr>
                <w:rFonts w:asciiTheme="minorHAnsi" w:eastAsia="Times New Roman" w:hAnsiTheme="minorHAnsi" w:cstheme="minorHAnsi"/>
                <w:sz w:val="20"/>
                <w:szCs w:val="20"/>
                <w:lang w:eastAsia="en-GB"/>
              </w:rPr>
              <w:t>.</w:t>
            </w:r>
          </w:p>
        </w:tc>
        <w:tc>
          <w:tcPr>
            <w:tcW w:w="0" w:type="auto"/>
            <w:tcBorders>
              <w:top w:val="nil"/>
              <w:left w:val="nil"/>
              <w:bottom w:val="single" w:sz="4" w:space="0" w:color="auto"/>
              <w:right w:val="single" w:sz="4" w:space="0" w:color="auto"/>
            </w:tcBorders>
            <w:shd w:val="clear" w:color="auto" w:fill="auto"/>
            <w:vAlign w:val="center"/>
            <w:hideMark/>
          </w:tcPr>
          <w:p w14:paraId="34A2B512" w14:textId="782960E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E34EA1"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t>:</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Ensure that the deliverables have check-in </w:t>
            </w:r>
            <w:r w:rsidR="00813E4E" w:rsidRPr="00813E4E">
              <w:rPr>
                <w:rFonts w:asciiTheme="minorHAnsi" w:eastAsia="Times New Roman" w:hAnsiTheme="minorHAnsi" w:cstheme="minorHAnsi"/>
                <w:sz w:val="20"/>
                <w:szCs w:val="20"/>
                <w:lang w:eastAsia="en-GB"/>
              </w:rPr>
              <w:t>points,</w:t>
            </w:r>
            <w:r w:rsidRPr="007F63EF">
              <w:rPr>
                <w:rFonts w:asciiTheme="minorHAnsi" w:eastAsia="Times New Roman" w:hAnsiTheme="minorHAnsi" w:cstheme="minorHAnsi"/>
                <w:sz w:val="20"/>
                <w:szCs w:val="20"/>
                <w:lang w:eastAsia="en-GB"/>
              </w:rPr>
              <w:t xml:space="preserve"> so we are always in agreement with DHSC on what we are delivering, and the rounds of feedback expected. </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2. Allow space in the budget for delayed payment of invoices. </w:t>
            </w:r>
            <w:r w:rsidRPr="007F63EF">
              <w:rPr>
                <w:rFonts w:asciiTheme="minorHAnsi" w:eastAsia="Times New Roman" w:hAnsiTheme="minorHAnsi" w:cstheme="minorHAnsi"/>
                <w:sz w:val="20"/>
                <w:szCs w:val="20"/>
                <w:lang w:eastAsia="en-GB"/>
              </w:rPr>
              <w:br/>
              <w:t xml:space="preserve">3. Deliverables proofread and QA'd by an external person with experience </w:t>
            </w:r>
            <w:r w:rsidR="00813E4E">
              <w:rPr>
                <w:rFonts w:asciiTheme="minorHAnsi" w:eastAsia="Times New Roman" w:hAnsiTheme="minorHAnsi" w:cstheme="minorHAnsi"/>
                <w:sz w:val="20"/>
                <w:szCs w:val="20"/>
                <w:lang w:eastAsia="en-GB"/>
              </w:rPr>
              <w:t>in</w:t>
            </w:r>
            <w:r w:rsidR="00813E4E"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EQ</w:t>
            </w:r>
            <w:r w:rsidR="00564CAD" w:rsidRPr="007F63EF">
              <w:rPr>
                <w:rFonts w:asciiTheme="minorHAnsi" w:eastAsia="Times New Roman" w:hAnsiTheme="minorHAnsi" w:cstheme="minorHAnsi"/>
                <w:sz w:val="20"/>
                <w:szCs w:val="20"/>
                <w:lang w:eastAsia="en-GB"/>
              </w:rPr>
              <w:t>uA</w:t>
            </w:r>
            <w:r w:rsidRPr="007F63EF">
              <w:rPr>
                <w:rFonts w:asciiTheme="minorHAnsi" w:eastAsia="Times New Roman" w:hAnsiTheme="minorHAnsi" w:cstheme="minorHAnsi"/>
                <w:sz w:val="20"/>
                <w:szCs w:val="20"/>
                <w:lang w:eastAsia="en-GB"/>
              </w:rPr>
              <w:t>L</w:t>
            </w:r>
            <w:r w:rsidR="00564CAD" w:rsidRPr="007F63EF">
              <w:rPr>
                <w:rFonts w:asciiTheme="minorHAnsi" w:eastAsia="Times New Roman" w:hAnsiTheme="minorHAnsi" w:cstheme="minorHAnsi"/>
                <w:sz w:val="20"/>
                <w:szCs w:val="20"/>
                <w:lang w:eastAsia="en-GB"/>
              </w:rPr>
              <w:t>S</w:t>
            </w:r>
            <w:r w:rsidRPr="007F63EF">
              <w:rPr>
                <w:rFonts w:asciiTheme="minorHAnsi" w:eastAsia="Times New Roman" w:hAnsiTheme="minorHAnsi" w:cstheme="minorHAnsi"/>
                <w:sz w:val="20"/>
                <w:szCs w:val="20"/>
                <w:lang w:eastAsia="en-GB"/>
              </w:rPr>
              <w:t xml:space="preserve"> QA with final approval from </w:t>
            </w:r>
            <w:r w:rsidR="00E34EA1" w:rsidRPr="007F63EF">
              <w:rPr>
                <w:rFonts w:asciiTheme="minorHAnsi" w:eastAsia="Times New Roman" w:hAnsiTheme="minorHAnsi" w:cstheme="minorHAnsi"/>
                <w:sz w:val="20"/>
                <w:szCs w:val="20"/>
                <w:lang w:eastAsia="en-GB"/>
              </w:rPr>
              <w:t>Jon Cooper</w:t>
            </w:r>
            <w:r w:rsidRPr="007F63EF">
              <w:rPr>
                <w:rFonts w:asciiTheme="minorHAnsi" w:eastAsia="Times New Roman" w:hAnsiTheme="minorHAnsi" w:cstheme="minorHAnsi"/>
                <w:sz w:val="20"/>
                <w:szCs w:val="20"/>
                <w:lang w:eastAsia="en-GB"/>
              </w:rPr>
              <w:t xml:space="preserve">, Itad Director </w:t>
            </w:r>
            <w:r w:rsidRPr="007F63EF">
              <w:rPr>
                <w:rFonts w:asciiTheme="minorHAnsi" w:eastAsia="Times New Roman" w:hAnsiTheme="minorHAnsi" w:cstheme="minorHAnsi"/>
                <w:sz w:val="20"/>
                <w:szCs w:val="20"/>
                <w:lang w:eastAsia="en-GB"/>
              </w:rPr>
              <w:br/>
              <w:t>4. Continuing cognisance of contract requirements</w:t>
            </w:r>
          </w:p>
        </w:tc>
        <w:tc>
          <w:tcPr>
            <w:tcW w:w="0" w:type="auto"/>
            <w:tcBorders>
              <w:top w:val="single" w:sz="4" w:space="0" w:color="auto"/>
              <w:left w:val="single" w:sz="4" w:space="0" w:color="auto"/>
              <w:bottom w:val="single" w:sz="4" w:space="0" w:color="auto"/>
              <w:right w:val="single" w:sz="4" w:space="0" w:color="auto"/>
            </w:tcBorders>
            <w:shd w:val="thinDiagStripe" w:color="00B050" w:fill="00B050"/>
            <w:vAlign w:val="center"/>
            <w:hideMark/>
          </w:tcPr>
          <w:p w14:paraId="61094236"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G</w:t>
            </w:r>
          </w:p>
        </w:tc>
        <w:tc>
          <w:tcPr>
            <w:tcW w:w="0" w:type="auto"/>
            <w:vAlign w:val="center"/>
            <w:hideMark/>
          </w:tcPr>
          <w:p w14:paraId="3B3E072E"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45D5868D"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6757D848"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Financial management</w:t>
            </w:r>
          </w:p>
        </w:tc>
        <w:tc>
          <w:tcPr>
            <w:tcW w:w="0" w:type="auto"/>
            <w:tcBorders>
              <w:top w:val="nil"/>
              <w:left w:val="nil"/>
              <w:bottom w:val="single" w:sz="4" w:space="0" w:color="auto"/>
              <w:right w:val="single" w:sz="4" w:space="0" w:color="auto"/>
            </w:tcBorders>
            <w:shd w:val="clear" w:color="auto" w:fill="auto"/>
            <w:vAlign w:val="center"/>
            <w:hideMark/>
          </w:tcPr>
          <w:p w14:paraId="301127E9" w14:textId="31D92F0F"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b/>
                <w:bCs/>
                <w:sz w:val="20"/>
                <w:szCs w:val="20"/>
                <w:lang w:eastAsia="en-GB"/>
              </w:rPr>
              <w:t>Risk:</w:t>
            </w:r>
            <w:r w:rsidRPr="007F63EF">
              <w:rPr>
                <w:rFonts w:asciiTheme="minorHAnsi" w:eastAsia="Times New Roman" w:hAnsiTheme="minorHAnsi" w:cstheme="minorHAnsi"/>
                <w:sz w:val="20"/>
                <w:szCs w:val="20"/>
                <w:lang w:eastAsia="en-GB"/>
              </w:rPr>
              <w:t xml:space="preserve"> Fraud/corruption results in loss of funding</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Cause:</w:t>
            </w:r>
            <w:r w:rsidRPr="007F63EF">
              <w:rPr>
                <w:rFonts w:asciiTheme="minorHAnsi" w:eastAsia="Times New Roman" w:hAnsiTheme="minorHAnsi" w:cstheme="minorHAnsi"/>
                <w:sz w:val="20"/>
                <w:szCs w:val="20"/>
                <w:lang w:eastAsia="en-GB"/>
              </w:rPr>
              <w:t xml:space="preserve"> Insufficient controls and financial management lead to fraud.</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Effect:</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Loss of funds, inadequate resources to complete </w:t>
            </w:r>
            <w:r w:rsidR="00942661"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work</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Impact:</w:t>
            </w:r>
            <w:r w:rsidRPr="007F63EF">
              <w:rPr>
                <w:rFonts w:asciiTheme="minorHAnsi" w:eastAsia="Times New Roman" w:hAnsiTheme="minorHAnsi" w:cstheme="minorHAnsi"/>
                <w:sz w:val="20"/>
                <w:szCs w:val="20"/>
                <w:lang w:eastAsia="en-GB"/>
              </w:rPr>
              <w:t xml:space="preserve"> Reduction in </w:t>
            </w:r>
            <w:r w:rsidR="00942661"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quality of deliverables, damage to </w:t>
            </w:r>
            <w:r w:rsidR="00942661"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relationship with </w:t>
            </w:r>
            <w:r w:rsidR="00942661"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DHSC and </w:t>
            </w:r>
            <w:r w:rsidR="005333BC"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w:t>
            </w:r>
          </w:p>
        </w:tc>
        <w:tc>
          <w:tcPr>
            <w:tcW w:w="0" w:type="auto"/>
            <w:tcBorders>
              <w:top w:val="nil"/>
              <w:left w:val="nil"/>
              <w:bottom w:val="single" w:sz="4" w:space="0" w:color="auto"/>
              <w:right w:val="single" w:sz="4" w:space="0" w:color="auto"/>
            </w:tcBorders>
            <w:shd w:val="clear" w:color="auto" w:fill="auto"/>
            <w:vAlign w:val="center"/>
            <w:hideMark/>
          </w:tcPr>
          <w:p w14:paraId="1D34E2C0" w14:textId="115F1ABD" w:rsidR="002A6970" w:rsidRPr="007F63EF" w:rsidRDefault="002A6970" w:rsidP="00435849">
            <w:pPr>
              <w:spacing w:after="240"/>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E34EA1"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t>:</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1. Strong project management processes, Project Manager, Project Officer</w:t>
            </w:r>
            <w:r w:rsidR="005333BC"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 and accountant </w:t>
            </w:r>
            <w:r w:rsidRPr="007F63EF">
              <w:rPr>
                <w:rFonts w:asciiTheme="minorHAnsi" w:eastAsia="Times New Roman" w:hAnsiTheme="minorHAnsi" w:cstheme="minorHAnsi"/>
                <w:sz w:val="20"/>
                <w:szCs w:val="20"/>
                <w:lang w:eastAsia="en-GB"/>
              </w:rPr>
              <w:br/>
              <w:t xml:space="preserve">2. </w:t>
            </w:r>
            <w:r w:rsidR="00AB150D" w:rsidRPr="007F63EF">
              <w:rPr>
                <w:rFonts w:asciiTheme="minorHAnsi" w:eastAsia="Times New Roman" w:hAnsiTheme="minorHAnsi" w:cstheme="minorHAnsi"/>
                <w:sz w:val="20"/>
                <w:szCs w:val="20"/>
                <w:lang w:eastAsia="en-GB"/>
              </w:rPr>
              <w:t>Itad have r</w:t>
            </w:r>
            <w:r w:rsidRPr="007F63EF">
              <w:rPr>
                <w:rFonts w:asciiTheme="minorHAnsi" w:eastAsia="Times New Roman" w:hAnsiTheme="minorHAnsi" w:cstheme="minorHAnsi"/>
                <w:sz w:val="20"/>
                <w:szCs w:val="20"/>
                <w:lang w:eastAsia="en-GB"/>
              </w:rPr>
              <w:t>obust contracting and accountability processes with subcontractors</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 xml:space="preserve">Impact of </w:t>
            </w:r>
            <w:r w:rsidR="0075181D" w:rsidRPr="007F63EF">
              <w:rPr>
                <w:rFonts w:asciiTheme="minorHAnsi" w:eastAsia="Times New Roman" w:hAnsiTheme="minorHAnsi" w:cstheme="minorHAnsi"/>
                <w:b/>
                <w:bCs/>
                <w:sz w:val="20"/>
                <w:szCs w:val="20"/>
                <w:lang w:eastAsia="en-GB"/>
              </w:rPr>
              <w:t>COVID-</w:t>
            </w:r>
            <w:r w:rsidRPr="007F63EF">
              <w:rPr>
                <w:rFonts w:asciiTheme="minorHAnsi" w:eastAsia="Times New Roman" w:hAnsiTheme="minorHAnsi" w:cstheme="minorHAnsi"/>
                <w:b/>
                <w:bCs/>
                <w:sz w:val="20"/>
                <w:szCs w:val="20"/>
                <w:lang w:eastAsia="en-GB"/>
              </w:rPr>
              <w:t xml:space="preserve">19: </w:t>
            </w:r>
            <w:r w:rsidRPr="007F63EF">
              <w:rPr>
                <w:rFonts w:asciiTheme="minorHAnsi" w:eastAsia="Times New Roman" w:hAnsiTheme="minorHAnsi" w:cstheme="minorHAnsi"/>
                <w:b/>
                <w:bCs/>
                <w:sz w:val="20"/>
                <w:szCs w:val="20"/>
                <w:lang w:eastAsia="en-GB"/>
              </w:rPr>
              <w:br/>
            </w:r>
            <w:r w:rsidR="0075181D" w:rsidRPr="007F63EF">
              <w:rPr>
                <w:rFonts w:asciiTheme="minorHAnsi" w:eastAsia="Times New Roman" w:hAnsiTheme="minorHAnsi" w:cstheme="minorHAnsi"/>
                <w:sz w:val="20"/>
                <w:szCs w:val="20"/>
                <w:lang w:eastAsia="en-GB"/>
              </w:rPr>
              <w:t>COVID-</w:t>
            </w:r>
            <w:r w:rsidRPr="007F63EF">
              <w:rPr>
                <w:rFonts w:asciiTheme="minorHAnsi" w:eastAsia="Times New Roman" w:hAnsiTheme="minorHAnsi" w:cstheme="minorHAnsi"/>
                <w:sz w:val="20"/>
                <w:szCs w:val="20"/>
                <w:lang w:eastAsia="en-GB"/>
              </w:rPr>
              <w:t>19 creates new compliance</w:t>
            </w:r>
            <w:r w:rsidR="005333BC"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related risks. </w:t>
            </w:r>
            <w:r w:rsidR="005333BC" w:rsidRPr="007F63EF">
              <w:rPr>
                <w:rFonts w:asciiTheme="minorHAnsi" w:eastAsia="Times New Roman" w:hAnsiTheme="minorHAnsi" w:cstheme="minorHAnsi"/>
                <w:sz w:val="20"/>
                <w:szCs w:val="20"/>
                <w:lang w:eastAsia="en-GB"/>
              </w:rPr>
              <w:t>An i</w:t>
            </w:r>
            <w:r w:rsidRPr="007F63EF">
              <w:rPr>
                <w:rFonts w:asciiTheme="minorHAnsi" w:eastAsia="Times New Roman" w:hAnsiTheme="minorHAnsi" w:cstheme="minorHAnsi"/>
                <w:sz w:val="20"/>
                <w:szCs w:val="20"/>
                <w:lang w:eastAsia="en-GB"/>
              </w:rPr>
              <w:t xml:space="preserve">ncrease in remote working increases </w:t>
            </w:r>
            <w:r w:rsidR="005333BC"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chance of non-compliance fraud and </w:t>
            </w:r>
            <w:r w:rsidR="005333BC"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urgent nature of </w:t>
            </w:r>
            <w:r w:rsidR="0075181D" w:rsidRPr="007F63EF">
              <w:rPr>
                <w:rFonts w:asciiTheme="minorHAnsi" w:eastAsia="Times New Roman" w:hAnsiTheme="minorHAnsi" w:cstheme="minorHAnsi"/>
                <w:sz w:val="20"/>
                <w:szCs w:val="20"/>
                <w:lang w:eastAsia="en-GB"/>
              </w:rPr>
              <w:t>COVID-</w:t>
            </w:r>
            <w:r w:rsidRPr="007F63EF">
              <w:rPr>
                <w:rFonts w:asciiTheme="minorHAnsi" w:eastAsia="Times New Roman" w:hAnsiTheme="minorHAnsi" w:cstheme="minorHAnsi"/>
                <w:sz w:val="20"/>
                <w:szCs w:val="20"/>
                <w:lang w:eastAsia="en-GB"/>
              </w:rPr>
              <w:t xml:space="preserve">19 responses increases </w:t>
            </w:r>
            <w:r w:rsidR="005333BC"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risk of</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external fraud. Risks include: </w:t>
            </w:r>
            <w:r w:rsidRPr="007F63EF">
              <w:rPr>
                <w:rFonts w:asciiTheme="minorHAnsi" w:eastAsia="Times New Roman" w:hAnsiTheme="minorHAnsi" w:cstheme="minorHAnsi"/>
                <w:sz w:val="20"/>
                <w:szCs w:val="20"/>
                <w:lang w:eastAsia="en-GB"/>
              </w:rPr>
              <w:br/>
              <w:t>1)</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Organisation misrepresenting the impact of the pandemic on their financial records.</w:t>
            </w:r>
            <w:r w:rsidRPr="007F63EF">
              <w:rPr>
                <w:rFonts w:asciiTheme="minorHAnsi" w:eastAsia="Times New Roman" w:hAnsiTheme="minorHAnsi" w:cstheme="minorHAnsi"/>
                <w:sz w:val="20"/>
                <w:szCs w:val="20"/>
                <w:lang w:eastAsia="en-GB"/>
              </w:rPr>
              <w:br/>
              <w:t>2)</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Opportunities to hide</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mismanagement or misappropriation of assets. </w:t>
            </w:r>
            <w:r w:rsidRPr="007F63EF">
              <w:rPr>
                <w:rFonts w:asciiTheme="minorHAnsi" w:eastAsia="Times New Roman" w:hAnsiTheme="minorHAnsi" w:cstheme="minorHAnsi"/>
                <w:sz w:val="20"/>
                <w:szCs w:val="20"/>
                <w:lang w:eastAsia="en-GB"/>
              </w:rPr>
              <w:br/>
              <w:t xml:space="preserve">3) Urgent nature of </w:t>
            </w:r>
            <w:r w:rsidR="0075181D" w:rsidRPr="007F63EF">
              <w:rPr>
                <w:rFonts w:asciiTheme="minorHAnsi" w:eastAsia="Times New Roman" w:hAnsiTheme="minorHAnsi" w:cstheme="minorHAnsi"/>
                <w:sz w:val="20"/>
                <w:szCs w:val="20"/>
                <w:lang w:eastAsia="en-GB"/>
              </w:rPr>
              <w:t>COVID-</w:t>
            </w:r>
            <w:r w:rsidRPr="007F63EF">
              <w:rPr>
                <w:rFonts w:asciiTheme="minorHAnsi" w:eastAsia="Times New Roman" w:hAnsiTheme="minorHAnsi" w:cstheme="minorHAnsi"/>
                <w:sz w:val="20"/>
                <w:szCs w:val="20"/>
                <w:lang w:eastAsia="en-GB"/>
              </w:rPr>
              <w:t>19 responses increases</w:t>
            </w:r>
            <w:r w:rsidR="00942661"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risk of</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external fraud (Phishing, fraudulent </w:t>
            </w:r>
            <w:r w:rsidR="00813E4E" w:rsidRPr="00813E4E">
              <w:rPr>
                <w:rFonts w:asciiTheme="minorHAnsi" w:eastAsia="Times New Roman" w:hAnsiTheme="minorHAnsi" w:cstheme="minorHAnsi"/>
                <w:sz w:val="20"/>
                <w:szCs w:val="20"/>
                <w:lang w:eastAsia="en-GB"/>
              </w:rPr>
              <w:t>products,</w:t>
            </w:r>
            <w:r w:rsidRPr="007F63EF">
              <w:rPr>
                <w:rFonts w:asciiTheme="minorHAnsi" w:eastAsia="Times New Roman" w:hAnsiTheme="minorHAnsi" w:cstheme="minorHAnsi"/>
                <w:sz w:val="20"/>
                <w:szCs w:val="20"/>
                <w:lang w:eastAsia="en-GB"/>
              </w:rPr>
              <w:t xml:space="preserve"> and services)</w:t>
            </w:r>
          </w:p>
        </w:tc>
        <w:tc>
          <w:tcPr>
            <w:tcW w:w="0" w:type="auto"/>
            <w:tcBorders>
              <w:top w:val="single" w:sz="4" w:space="0" w:color="auto"/>
              <w:left w:val="single" w:sz="4" w:space="0" w:color="auto"/>
              <w:bottom w:val="single" w:sz="4" w:space="0" w:color="auto"/>
              <w:right w:val="single" w:sz="4" w:space="0" w:color="auto"/>
            </w:tcBorders>
            <w:shd w:val="thinDiagStripe" w:color="00B050" w:fill="00B050"/>
            <w:vAlign w:val="center"/>
            <w:hideMark/>
          </w:tcPr>
          <w:p w14:paraId="10EB8FB5"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G</w:t>
            </w:r>
          </w:p>
        </w:tc>
        <w:tc>
          <w:tcPr>
            <w:tcW w:w="0" w:type="auto"/>
            <w:vAlign w:val="center"/>
            <w:hideMark/>
          </w:tcPr>
          <w:p w14:paraId="37F4CFD2"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00CD854C"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2B97B234"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Team</w:t>
            </w:r>
          </w:p>
        </w:tc>
        <w:tc>
          <w:tcPr>
            <w:tcW w:w="0" w:type="auto"/>
            <w:tcBorders>
              <w:top w:val="nil"/>
              <w:left w:val="nil"/>
              <w:bottom w:val="single" w:sz="4" w:space="0" w:color="auto"/>
              <w:right w:val="single" w:sz="4" w:space="0" w:color="auto"/>
            </w:tcBorders>
            <w:shd w:val="clear" w:color="auto" w:fill="auto"/>
            <w:vAlign w:val="center"/>
            <w:hideMark/>
          </w:tcPr>
          <w:p w14:paraId="759C4CB4" w14:textId="06E8F8DA"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Core team changes within the consortium ('Key personnel').</w:t>
            </w:r>
            <w:r w:rsidRPr="007F63EF">
              <w:rPr>
                <w:rFonts w:asciiTheme="minorHAnsi" w:eastAsia="Times New Roman" w:hAnsiTheme="minorHAnsi" w:cstheme="minorHAnsi"/>
                <w:b/>
                <w:bCs/>
                <w:sz w:val="20"/>
                <w:szCs w:val="20"/>
                <w:lang w:eastAsia="en-GB"/>
              </w:rPr>
              <w:br/>
              <w:t>Cause:</w:t>
            </w:r>
            <w:r w:rsidRPr="007F63EF">
              <w:rPr>
                <w:rFonts w:asciiTheme="minorHAnsi" w:eastAsia="Times New Roman" w:hAnsiTheme="minorHAnsi" w:cstheme="minorHAnsi"/>
                <w:sz w:val="20"/>
                <w:szCs w:val="20"/>
                <w:lang w:eastAsia="en-GB"/>
              </w:rPr>
              <w:t xml:space="preserve"> staff move on to other work,</w:t>
            </w:r>
            <w:r w:rsidR="00813E4E">
              <w:rPr>
                <w:rFonts w:asciiTheme="minorHAnsi" w:eastAsia="Times New Roman" w:hAnsiTheme="minorHAnsi" w:cstheme="minorHAnsi"/>
                <w:sz w:val="20"/>
                <w:szCs w:val="20"/>
                <w:lang w:eastAsia="en-GB"/>
              </w:rPr>
              <w:t xml:space="preserve"> and</w:t>
            </w:r>
            <w:r w:rsidRPr="007F63EF">
              <w:rPr>
                <w:rFonts w:asciiTheme="minorHAnsi" w:eastAsia="Times New Roman" w:hAnsiTheme="minorHAnsi" w:cstheme="minorHAnsi"/>
                <w:sz w:val="20"/>
                <w:szCs w:val="20"/>
                <w:lang w:eastAsia="en-GB"/>
              </w:rPr>
              <w:t xml:space="preserve"> conflicts of interest emerge</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Effect:</w:t>
            </w:r>
            <w:r w:rsidRPr="007F63EF">
              <w:rPr>
                <w:rFonts w:asciiTheme="minorHAnsi" w:eastAsia="Times New Roman" w:hAnsiTheme="minorHAnsi" w:cstheme="minorHAnsi"/>
                <w:sz w:val="20"/>
                <w:szCs w:val="20"/>
                <w:lang w:eastAsia="en-GB"/>
              </w:rPr>
              <w:t xml:space="preserve"> Gaps in resources and institutional knowledge. </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Impact:</w:t>
            </w:r>
            <w:r w:rsidRPr="007F63EF">
              <w:rPr>
                <w:rFonts w:asciiTheme="minorHAnsi" w:eastAsia="Times New Roman" w:hAnsiTheme="minorHAnsi" w:cstheme="minorHAnsi"/>
                <w:sz w:val="20"/>
                <w:szCs w:val="20"/>
                <w:lang w:eastAsia="en-GB"/>
              </w:rPr>
              <w:t xml:space="preserve"> Reputation with partners may be damaged. Loss of knowledge during handovers, affecting the quality of the evaluation.</w:t>
            </w:r>
          </w:p>
        </w:tc>
        <w:tc>
          <w:tcPr>
            <w:tcW w:w="0" w:type="auto"/>
            <w:tcBorders>
              <w:top w:val="nil"/>
              <w:left w:val="nil"/>
              <w:bottom w:val="single" w:sz="4" w:space="0" w:color="auto"/>
              <w:right w:val="single" w:sz="4" w:space="0" w:color="auto"/>
            </w:tcBorders>
            <w:shd w:val="clear" w:color="auto" w:fill="auto"/>
            <w:vAlign w:val="center"/>
            <w:hideMark/>
          </w:tcPr>
          <w:p w14:paraId="0837911A" w14:textId="07AF0C48"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E34EA1"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t>:</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1.</w:t>
            </w:r>
            <w:r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sz w:val="20"/>
                <w:szCs w:val="20"/>
                <w:lang w:eastAsia="en-GB"/>
              </w:rPr>
              <w:t>Ensure sharing of knowledge so no gaps</w:t>
            </w:r>
            <w:r w:rsidR="00942661" w:rsidRPr="007F63EF">
              <w:rPr>
                <w:rFonts w:asciiTheme="minorHAnsi" w:eastAsia="Times New Roman" w:hAnsiTheme="minorHAnsi" w:cstheme="minorHAnsi"/>
                <w:sz w:val="20"/>
                <w:szCs w:val="20"/>
                <w:lang w:eastAsia="en-GB"/>
              </w:rPr>
              <w:t xml:space="preserve"> are</w:t>
            </w:r>
            <w:r w:rsidRPr="007F63EF">
              <w:rPr>
                <w:rFonts w:asciiTheme="minorHAnsi" w:eastAsia="Times New Roman" w:hAnsiTheme="minorHAnsi" w:cstheme="minorHAnsi"/>
                <w:sz w:val="20"/>
                <w:szCs w:val="20"/>
                <w:lang w:eastAsia="en-GB"/>
              </w:rPr>
              <w:t xml:space="preserve"> left</w:t>
            </w:r>
            <w:r w:rsidRPr="007F63EF">
              <w:rPr>
                <w:rFonts w:asciiTheme="minorHAnsi" w:eastAsia="Times New Roman" w:hAnsiTheme="minorHAnsi" w:cstheme="minorHAnsi"/>
                <w:sz w:val="20"/>
                <w:szCs w:val="20"/>
                <w:lang w:eastAsia="en-GB"/>
              </w:rPr>
              <w:br/>
              <w:t xml:space="preserve">2. Develop </w:t>
            </w:r>
            <w:r w:rsidR="00942661" w:rsidRPr="007F63EF">
              <w:rPr>
                <w:rFonts w:asciiTheme="minorHAnsi" w:eastAsia="Times New Roman" w:hAnsiTheme="minorHAnsi" w:cstheme="minorHAnsi"/>
                <w:sz w:val="20"/>
                <w:szCs w:val="20"/>
                <w:lang w:eastAsia="en-GB"/>
              </w:rPr>
              <w:t xml:space="preserve">a </w:t>
            </w:r>
            <w:r w:rsidRPr="007F63EF">
              <w:rPr>
                <w:rFonts w:asciiTheme="minorHAnsi" w:eastAsia="Times New Roman" w:hAnsiTheme="minorHAnsi" w:cstheme="minorHAnsi"/>
                <w:sz w:val="20"/>
                <w:szCs w:val="20"/>
                <w:lang w:eastAsia="en-GB"/>
              </w:rPr>
              <w:t xml:space="preserve">system of inducting new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 xml:space="preserve"> members to the programme</w:t>
            </w:r>
            <w:r w:rsidRPr="007F63EF">
              <w:rPr>
                <w:rFonts w:asciiTheme="minorHAnsi" w:eastAsia="Times New Roman" w:hAnsiTheme="minorHAnsi" w:cstheme="minorHAnsi"/>
                <w:sz w:val="20"/>
                <w:szCs w:val="20"/>
                <w:lang w:eastAsia="en-GB"/>
              </w:rPr>
              <w:br/>
              <w:t>3</w:t>
            </w:r>
            <w:r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sz w:val="20"/>
                <w:szCs w:val="20"/>
                <w:lang w:eastAsia="en-GB"/>
              </w:rPr>
              <w:t>Maintain</w:t>
            </w:r>
            <w:r w:rsidR="003E22FB" w:rsidRPr="007F63EF">
              <w:rPr>
                <w:rFonts w:asciiTheme="minorHAnsi" w:eastAsia="Times New Roman" w:hAnsiTheme="minorHAnsi" w:cstheme="minorHAnsi"/>
                <w:sz w:val="20"/>
                <w:szCs w:val="20"/>
                <w:lang w:eastAsia="en-GB"/>
              </w:rPr>
              <w:t xml:space="preserve"> a</w:t>
            </w:r>
            <w:r w:rsidRPr="007F63EF">
              <w:rPr>
                <w:rFonts w:asciiTheme="minorHAnsi" w:eastAsia="Times New Roman" w:hAnsiTheme="minorHAnsi" w:cstheme="minorHAnsi"/>
                <w:sz w:val="20"/>
                <w:szCs w:val="20"/>
                <w:lang w:eastAsia="en-GB"/>
              </w:rPr>
              <w:t xml:space="preserve"> pool of experts to call on</w:t>
            </w:r>
            <w:r w:rsidR="0024340E" w:rsidRPr="007F63EF">
              <w:rPr>
                <w:rFonts w:asciiTheme="minorHAnsi" w:eastAsia="Times New Roman" w:hAnsiTheme="minorHAnsi" w:cstheme="minorHAnsi"/>
                <w:sz w:val="20"/>
                <w:szCs w:val="20"/>
                <w:lang w:eastAsia="en-GB"/>
              </w:rPr>
              <w:t xml:space="preserve"> </w:t>
            </w:r>
            <w:r w:rsidR="00091050" w:rsidRPr="007F63EF">
              <w:rPr>
                <w:rFonts w:asciiTheme="minorHAnsi" w:eastAsia="Times New Roman" w:hAnsiTheme="minorHAnsi" w:cstheme="minorHAnsi"/>
                <w:sz w:val="20"/>
                <w:szCs w:val="20"/>
                <w:lang w:eastAsia="en-GB"/>
              </w:rPr>
              <w:t>to help assure and guide key elements of our work.</w:t>
            </w:r>
            <w:r w:rsidRPr="007F63EF">
              <w:rPr>
                <w:rFonts w:asciiTheme="minorHAnsi" w:eastAsia="Times New Roman" w:hAnsiTheme="minorHAnsi" w:cstheme="minorHAnsi"/>
                <w:sz w:val="20"/>
                <w:szCs w:val="20"/>
                <w:lang w:eastAsia="en-GB"/>
              </w:rPr>
              <w:br/>
              <w:t>4. Make the programme an enjoyable piece of work</w:t>
            </w:r>
            <w:r w:rsidRPr="007F63EF">
              <w:rPr>
                <w:rFonts w:asciiTheme="minorHAnsi" w:eastAsia="Times New Roman" w:hAnsiTheme="minorHAnsi" w:cstheme="minorHAnsi"/>
                <w:sz w:val="20"/>
                <w:szCs w:val="20"/>
                <w:lang w:eastAsia="en-GB"/>
              </w:rPr>
              <w:br/>
              <w:t xml:space="preserve">5. Orient all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 xml:space="preserve"> members to</w:t>
            </w:r>
            <w:r w:rsidR="003E22FB"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expected code of conduct, expected behaviours and Itad values</w:t>
            </w:r>
            <w:r w:rsidRPr="007F63EF">
              <w:rPr>
                <w:rFonts w:asciiTheme="minorHAnsi" w:eastAsia="Times New Roman" w:hAnsiTheme="minorHAnsi" w:cstheme="minorHAnsi"/>
                <w:sz w:val="20"/>
                <w:szCs w:val="20"/>
                <w:lang w:eastAsia="en-GB"/>
              </w:rPr>
              <w:br/>
              <w:t xml:space="preserve">6. Utilise informal and formal dispute resolution mechanisms through </w:t>
            </w:r>
            <w:r w:rsidR="003E22FB"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Project Director to deal efficiently with disputes </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b/>
                <w:bCs/>
                <w:sz w:val="20"/>
                <w:szCs w:val="20"/>
                <w:lang w:eastAsia="en-GB"/>
              </w:rPr>
              <w:br/>
              <w:t xml:space="preserve">Contingency Plan: </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Strong project management processes, Project Manager, Project Officer and accountant </w:t>
            </w:r>
            <w:r w:rsidRPr="007F63EF">
              <w:rPr>
                <w:rFonts w:asciiTheme="minorHAnsi" w:eastAsia="Times New Roman" w:hAnsiTheme="minorHAnsi" w:cstheme="minorHAnsi"/>
                <w:sz w:val="20"/>
                <w:szCs w:val="20"/>
                <w:lang w:eastAsia="en-GB"/>
              </w:rPr>
              <w:br/>
              <w:t>2) Robust contracting and accountability processes with subcontractors</w:t>
            </w:r>
            <w:r w:rsidRPr="007F63EF">
              <w:rPr>
                <w:rFonts w:asciiTheme="minorHAnsi" w:eastAsia="Times New Roman" w:hAnsiTheme="minorHAnsi" w:cstheme="minorHAnsi"/>
                <w:sz w:val="20"/>
                <w:szCs w:val="20"/>
                <w:lang w:eastAsia="en-GB"/>
              </w:rPr>
              <w:br/>
              <w:t>3) To prevent external fraud all project</w:t>
            </w:r>
            <w:r w:rsidR="00813E4E">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related financial and purchasing decisions</w:t>
            </w:r>
            <w:r w:rsidR="00813E4E">
              <w:rPr>
                <w:rFonts w:asciiTheme="minorHAnsi" w:eastAsia="Times New Roman" w:hAnsiTheme="minorHAnsi" w:cstheme="minorHAnsi"/>
                <w:sz w:val="20"/>
                <w:szCs w:val="20"/>
                <w:lang w:eastAsia="en-GB"/>
              </w:rPr>
              <w:t xml:space="preserve"> are</w:t>
            </w:r>
            <w:r w:rsidRPr="007F63EF">
              <w:rPr>
                <w:rFonts w:asciiTheme="minorHAnsi" w:eastAsia="Times New Roman" w:hAnsiTheme="minorHAnsi" w:cstheme="minorHAnsi"/>
                <w:sz w:val="20"/>
                <w:szCs w:val="20"/>
                <w:lang w:eastAsia="en-GB"/>
              </w:rPr>
              <w:t xml:space="preserve"> limited to </w:t>
            </w:r>
            <w:r w:rsidR="00813E4E">
              <w:rPr>
                <w:rFonts w:asciiTheme="minorHAnsi" w:eastAsia="Times New Roman" w:hAnsiTheme="minorHAnsi" w:cstheme="minorHAnsi"/>
                <w:sz w:val="20"/>
                <w:szCs w:val="20"/>
                <w:lang w:eastAsia="en-GB"/>
              </w:rPr>
              <w:t xml:space="preserve">the </w:t>
            </w:r>
            <w:r w:rsidR="00740FE9" w:rsidRPr="007F63EF">
              <w:rPr>
                <w:rFonts w:asciiTheme="minorHAnsi" w:eastAsia="Times New Roman" w:hAnsiTheme="minorHAnsi" w:cstheme="minorHAnsi"/>
                <w:sz w:val="20"/>
                <w:szCs w:val="20"/>
                <w:lang w:eastAsia="en-GB"/>
              </w:rPr>
              <w:t>Project Director/Project Manager</w:t>
            </w:r>
            <w:r w:rsidRPr="007F63EF">
              <w:rPr>
                <w:rFonts w:asciiTheme="minorHAnsi" w:eastAsia="Times New Roman" w:hAnsiTheme="minorHAnsi" w:cstheme="minorHAnsi"/>
                <w:sz w:val="20"/>
                <w:szCs w:val="20"/>
                <w:lang w:eastAsia="en-GB"/>
              </w:rPr>
              <w:t xml:space="preserve">. Financial processes </w:t>
            </w:r>
            <w:r w:rsidR="00813E4E">
              <w:rPr>
                <w:rFonts w:asciiTheme="minorHAnsi" w:eastAsia="Times New Roman" w:hAnsiTheme="minorHAnsi" w:cstheme="minorHAnsi"/>
                <w:sz w:val="20"/>
                <w:szCs w:val="20"/>
                <w:lang w:eastAsia="en-GB"/>
              </w:rPr>
              <w:t xml:space="preserve">are </w:t>
            </w:r>
            <w:r w:rsidRPr="007F63EF">
              <w:rPr>
                <w:rFonts w:asciiTheme="minorHAnsi" w:eastAsia="Times New Roman" w:hAnsiTheme="minorHAnsi" w:cstheme="minorHAnsi"/>
                <w:sz w:val="20"/>
                <w:szCs w:val="20"/>
                <w:lang w:eastAsia="en-GB"/>
              </w:rPr>
              <w:t xml:space="preserve">managed by finance team. </w:t>
            </w:r>
            <w:r w:rsidRPr="007F63EF">
              <w:rPr>
                <w:rFonts w:asciiTheme="minorHAnsi" w:eastAsia="Times New Roman" w:hAnsiTheme="minorHAnsi" w:cstheme="minorHAnsi"/>
                <w:sz w:val="20"/>
                <w:szCs w:val="20"/>
                <w:lang w:eastAsia="en-GB"/>
              </w:rPr>
              <w:br/>
              <w:t>4) All invoices and receipts</w:t>
            </w:r>
            <w:r w:rsidR="007458AC" w:rsidRPr="007F63EF">
              <w:rPr>
                <w:rFonts w:asciiTheme="minorHAnsi" w:eastAsia="Times New Roman" w:hAnsiTheme="minorHAnsi" w:cstheme="minorHAnsi"/>
                <w:sz w:val="20"/>
                <w:szCs w:val="20"/>
                <w:lang w:eastAsia="en-GB"/>
              </w:rPr>
              <w:t xml:space="preserve"> </w:t>
            </w:r>
            <w:r w:rsidR="00813E4E">
              <w:rPr>
                <w:rFonts w:asciiTheme="minorHAnsi" w:eastAsia="Times New Roman" w:hAnsiTheme="minorHAnsi" w:cstheme="minorHAnsi"/>
                <w:sz w:val="20"/>
                <w:szCs w:val="20"/>
                <w:lang w:eastAsia="en-GB"/>
              </w:rPr>
              <w:t>are</w:t>
            </w:r>
            <w:r w:rsidR="00813E4E"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logged digitally and </w:t>
            </w:r>
            <w:r w:rsidR="00813E4E">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P</w:t>
            </w:r>
            <w:r w:rsidR="003B61CB" w:rsidRPr="007F63EF">
              <w:rPr>
                <w:rFonts w:asciiTheme="minorHAnsi" w:eastAsia="Times New Roman" w:hAnsiTheme="minorHAnsi" w:cstheme="minorHAnsi"/>
                <w:sz w:val="20"/>
                <w:szCs w:val="20"/>
                <w:lang w:eastAsia="en-GB"/>
              </w:rPr>
              <w:t xml:space="preserve">roject </w:t>
            </w:r>
            <w:r w:rsidRPr="007F63EF">
              <w:rPr>
                <w:rFonts w:asciiTheme="minorHAnsi" w:eastAsia="Times New Roman" w:hAnsiTheme="minorHAnsi" w:cstheme="minorHAnsi"/>
                <w:sz w:val="20"/>
                <w:szCs w:val="20"/>
                <w:lang w:eastAsia="en-GB"/>
              </w:rPr>
              <w:t>D</w:t>
            </w:r>
            <w:r w:rsidR="003B61CB" w:rsidRPr="007F63EF">
              <w:rPr>
                <w:rFonts w:asciiTheme="minorHAnsi" w:eastAsia="Times New Roman" w:hAnsiTheme="minorHAnsi" w:cstheme="minorHAnsi"/>
                <w:sz w:val="20"/>
                <w:szCs w:val="20"/>
                <w:lang w:eastAsia="en-GB"/>
              </w:rPr>
              <w:t>irector</w:t>
            </w:r>
            <w:r w:rsidRPr="007F63EF">
              <w:rPr>
                <w:rFonts w:asciiTheme="minorHAnsi" w:eastAsia="Times New Roman" w:hAnsiTheme="minorHAnsi" w:cstheme="minorHAnsi"/>
                <w:sz w:val="20"/>
                <w:szCs w:val="20"/>
                <w:lang w:eastAsia="en-GB"/>
              </w:rPr>
              <w:t>/P</w:t>
            </w:r>
            <w:r w:rsidR="003B61CB" w:rsidRPr="007F63EF">
              <w:rPr>
                <w:rFonts w:asciiTheme="minorHAnsi" w:eastAsia="Times New Roman" w:hAnsiTheme="minorHAnsi" w:cstheme="minorHAnsi"/>
                <w:sz w:val="20"/>
                <w:szCs w:val="20"/>
                <w:lang w:eastAsia="en-GB"/>
              </w:rPr>
              <w:t xml:space="preserve">roject </w:t>
            </w:r>
            <w:r w:rsidRPr="007F63EF">
              <w:rPr>
                <w:rFonts w:asciiTheme="minorHAnsi" w:eastAsia="Times New Roman" w:hAnsiTheme="minorHAnsi" w:cstheme="minorHAnsi"/>
                <w:sz w:val="20"/>
                <w:szCs w:val="20"/>
                <w:lang w:eastAsia="en-GB"/>
              </w:rPr>
              <w:t>M</w:t>
            </w:r>
            <w:r w:rsidR="003B61CB" w:rsidRPr="007F63EF">
              <w:rPr>
                <w:rFonts w:asciiTheme="minorHAnsi" w:eastAsia="Times New Roman" w:hAnsiTheme="minorHAnsi" w:cstheme="minorHAnsi"/>
                <w:sz w:val="20"/>
                <w:szCs w:val="20"/>
                <w:lang w:eastAsia="en-GB"/>
              </w:rPr>
              <w:t>anager</w:t>
            </w:r>
            <w:r w:rsidRPr="007F63EF">
              <w:rPr>
                <w:rFonts w:asciiTheme="minorHAnsi" w:eastAsia="Times New Roman" w:hAnsiTheme="minorHAnsi" w:cstheme="minorHAnsi"/>
                <w:sz w:val="20"/>
                <w:szCs w:val="20"/>
                <w:lang w:eastAsia="en-GB"/>
              </w:rPr>
              <w:t xml:space="preserve"> </w:t>
            </w:r>
            <w:r w:rsidR="00813E4E">
              <w:rPr>
                <w:rFonts w:asciiTheme="minorHAnsi" w:eastAsia="Times New Roman" w:hAnsiTheme="minorHAnsi" w:cstheme="minorHAnsi"/>
                <w:sz w:val="20"/>
                <w:szCs w:val="20"/>
                <w:lang w:eastAsia="en-GB"/>
              </w:rPr>
              <w:t>approves</w:t>
            </w:r>
            <w:r w:rsidRPr="007F63EF">
              <w:rPr>
                <w:rFonts w:asciiTheme="minorHAnsi" w:eastAsia="Times New Roman" w:hAnsiTheme="minorHAnsi" w:cstheme="minorHAnsi"/>
                <w:sz w:val="20"/>
                <w:szCs w:val="20"/>
                <w:lang w:eastAsia="en-GB"/>
              </w:rPr>
              <w:t xml:space="preserve"> all invoices and receipts being logged. </w:t>
            </w:r>
            <w:r w:rsidRPr="007F63EF">
              <w:rPr>
                <w:rFonts w:asciiTheme="minorHAnsi" w:eastAsia="Times New Roman" w:hAnsiTheme="minorHAnsi" w:cstheme="minorHAnsi"/>
                <w:sz w:val="20"/>
                <w:szCs w:val="20"/>
                <w:lang w:eastAsia="en-GB"/>
              </w:rPr>
              <w:br/>
              <w:t>5) Organisation continues to provide transpar</w:t>
            </w:r>
            <w:r w:rsidR="003B61CB" w:rsidRPr="007F63EF">
              <w:rPr>
                <w:rFonts w:asciiTheme="minorHAnsi" w:eastAsia="Times New Roman" w:hAnsiTheme="minorHAnsi" w:cstheme="minorHAnsi"/>
                <w:sz w:val="20"/>
                <w:szCs w:val="20"/>
                <w:lang w:eastAsia="en-GB"/>
              </w:rPr>
              <w:t>e</w:t>
            </w:r>
            <w:r w:rsidRPr="007F63EF">
              <w:rPr>
                <w:rFonts w:asciiTheme="minorHAnsi" w:eastAsia="Times New Roman" w:hAnsiTheme="minorHAnsi" w:cstheme="minorHAnsi"/>
                <w:sz w:val="20"/>
                <w:szCs w:val="20"/>
                <w:lang w:eastAsia="en-GB"/>
              </w:rPr>
              <w:t xml:space="preserve">nt financial reporting. </w:t>
            </w:r>
            <w:r w:rsidRPr="007F63EF">
              <w:rPr>
                <w:rFonts w:asciiTheme="minorHAnsi" w:eastAsia="Times New Roman" w:hAnsiTheme="minorHAnsi" w:cstheme="minorHAnsi"/>
                <w:sz w:val="20"/>
                <w:szCs w:val="20"/>
                <w:lang w:eastAsia="en-GB"/>
              </w:rPr>
              <w:br/>
              <w:t xml:space="preserve">6) Discussions with DHSC on budget lines to ensure </w:t>
            </w:r>
            <w:r w:rsidR="003B61CB" w:rsidRPr="007F63EF">
              <w:rPr>
                <w:rFonts w:asciiTheme="minorHAnsi" w:eastAsia="Times New Roman" w:hAnsiTheme="minorHAnsi" w:cstheme="minorHAnsi"/>
                <w:sz w:val="20"/>
                <w:szCs w:val="20"/>
                <w:lang w:eastAsia="en-GB"/>
              </w:rPr>
              <w:t>transparency</w:t>
            </w:r>
            <w:r w:rsidRPr="007F63EF">
              <w:rPr>
                <w:rFonts w:asciiTheme="minorHAnsi" w:eastAsia="Times New Roman" w:hAnsiTheme="minorHAnsi" w:cstheme="minorHAnsi"/>
                <w:sz w:val="20"/>
                <w:szCs w:val="20"/>
                <w:lang w:eastAsia="en-GB"/>
              </w:rPr>
              <w:t xml:space="preserve"> and accountability.</w:t>
            </w:r>
          </w:p>
        </w:tc>
        <w:tc>
          <w:tcPr>
            <w:tcW w:w="0" w:type="auto"/>
            <w:tcBorders>
              <w:top w:val="single" w:sz="4" w:space="0" w:color="auto"/>
              <w:left w:val="single" w:sz="4" w:space="0" w:color="auto"/>
              <w:bottom w:val="single" w:sz="4" w:space="0" w:color="auto"/>
              <w:right w:val="single" w:sz="4" w:space="0" w:color="auto"/>
            </w:tcBorders>
            <w:shd w:val="thinDiagStripe" w:color="00B050" w:fill="00B050"/>
            <w:vAlign w:val="center"/>
            <w:hideMark/>
          </w:tcPr>
          <w:p w14:paraId="56C641B9"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G</w:t>
            </w:r>
          </w:p>
        </w:tc>
        <w:tc>
          <w:tcPr>
            <w:tcW w:w="0" w:type="auto"/>
            <w:vAlign w:val="center"/>
            <w:hideMark/>
          </w:tcPr>
          <w:p w14:paraId="0ED447A7"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53118831"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677F6DDA"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Team</w:t>
            </w:r>
          </w:p>
        </w:tc>
        <w:tc>
          <w:tcPr>
            <w:tcW w:w="0" w:type="auto"/>
            <w:tcBorders>
              <w:top w:val="nil"/>
              <w:left w:val="nil"/>
              <w:bottom w:val="single" w:sz="4" w:space="0" w:color="auto"/>
              <w:right w:val="single" w:sz="4" w:space="0" w:color="auto"/>
            </w:tcBorders>
            <w:shd w:val="clear" w:color="auto" w:fill="auto"/>
            <w:vAlign w:val="center"/>
            <w:hideMark/>
          </w:tcPr>
          <w:p w14:paraId="1EA63BB6" w14:textId="23D3DC68"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00415215" w:rsidRPr="007F63EF">
              <w:rPr>
                <w:rFonts w:asciiTheme="minorHAnsi" w:eastAsia="Times New Roman" w:hAnsiTheme="minorHAnsi" w:cstheme="minorHAnsi"/>
                <w:sz w:val="20"/>
                <w:szCs w:val="20"/>
                <w:lang w:eastAsia="en-GB"/>
              </w:rPr>
              <w:t>evaluation team</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members fail to deliver against</w:t>
            </w:r>
            <w:r w:rsidR="00813E4E">
              <w:rPr>
                <w:rFonts w:asciiTheme="minorHAnsi" w:eastAsia="Times New Roman" w:hAnsiTheme="minorHAnsi" w:cstheme="minorHAnsi"/>
                <w:sz w:val="20"/>
                <w:szCs w:val="20"/>
                <w:lang w:eastAsia="en-GB"/>
              </w:rPr>
              <w:t xml:space="preserve"> </w:t>
            </w:r>
            <w:r w:rsidR="00711BCF">
              <w:rPr>
                <w:rFonts w:asciiTheme="minorHAnsi" w:eastAsia="Times New Roman" w:hAnsiTheme="minorHAnsi" w:cstheme="minorHAnsi"/>
                <w:sz w:val="20"/>
                <w:szCs w:val="20"/>
                <w:lang w:eastAsia="en-GB"/>
              </w:rPr>
              <w:t>the</w:t>
            </w:r>
            <w:r w:rsidRPr="007F63EF">
              <w:rPr>
                <w:rFonts w:asciiTheme="minorHAnsi" w:eastAsia="Times New Roman" w:hAnsiTheme="minorHAnsi" w:cstheme="minorHAnsi"/>
                <w:sz w:val="20"/>
                <w:szCs w:val="20"/>
                <w:lang w:eastAsia="en-GB"/>
              </w:rPr>
              <w:t xml:space="preserve"> </w:t>
            </w:r>
            <w:r w:rsidR="00FB10B9" w:rsidRPr="007F63EF">
              <w:rPr>
                <w:rFonts w:asciiTheme="minorHAnsi" w:eastAsia="Times New Roman" w:hAnsiTheme="minorHAnsi" w:cstheme="minorHAnsi"/>
                <w:sz w:val="20"/>
                <w:szCs w:val="20"/>
                <w:lang w:eastAsia="en-GB"/>
              </w:rPr>
              <w:t>work plan</w:t>
            </w:r>
            <w:r w:rsidRPr="007F63EF">
              <w:rPr>
                <w:rFonts w:asciiTheme="minorHAnsi" w:eastAsia="Times New Roman" w:hAnsiTheme="minorHAnsi" w:cstheme="minorHAnsi"/>
                <w:sz w:val="20"/>
                <w:szCs w:val="20"/>
                <w:lang w:eastAsia="en-GB"/>
              </w:rPr>
              <w:t xml:space="preserve"> and specification</w:t>
            </w:r>
            <w:r w:rsidRPr="007F63EF">
              <w:rPr>
                <w:rFonts w:asciiTheme="minorHAnsi" w:eastAsia="Times New Roman" w:hAnsiTheme="minorHAnsi" w:cstheme="minorHAnsi"/>
                <w:b/>
                <w:bCs/>
                <w:sz w:val="20"/>
                <w:szCs w:val="20"/>
                <w:lang w:eastAsia="en-GB"/>
              </w:rPr>
              <w:br/>
              <w:t xml:space="preserve">Cause: </w:t>
            </w:r>
            <w:r w:rsidRPr="007F63EF">
              <w:rPr>
                <w:rFonts w:asciiTheme="minorHAnsi" w:eastAsia="Times New Roman" w:hAnsiTheme="minorHAnsi" w:cstheme="minorHAnsi"/>
                <w:sz w:val="20"/>
                <w:szCs w:val="20"/>
                <w:lang w:eastAsia="en-GB"/>
              </w:rPr>
              <w:t>Consultants are offered other work/have clashes with other priorities, or become disinterested</w:t>
            </w:r>
            <w:r w:rsidRPr="007F63EF">
              <w:rPr>
                <w:rFonts w:asciiTheme="minorHAnsi" w:eastAsia="Times New Roman" w:hAnsiTheme="minorHAnsi" w:cstheme="minorHAnsi"/>
                <w:b/>
                <w:bCs/>
                <w:sz w:val="20"/>
                <w:szCs w:val="20"/>
                <w:lang w:eastAsia="en-GB"/>
              </w:rPr>
              <w:br/>
              <w:t xml:space="preserve">Effect: </w:t>
            </w:r>
            <w:r w:rsidRPr="007F63EF">
              <w:rPr>
                <w:rFonts w:asciiTheme="minorHAnsi" w:eastAsia="Times New Roman" w:hAnsiTheme="minorHAnsi" w:cstheme="minorHAnsi"/>
                <w:sz w:val="20"/>
                <w:szCs w:val="20"/>
                <w:lang w:eastAsia="en-GB"/>
              </w:rPr>
              <w:t>Gaps in resources may take a while to fill.</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 xml:space="preserve">Impact: </w:t>
            </w:r>
            <w:r w:rsidRPr="007F63EF">
              <w:rPr>
                <w:rFonts w:asciiTheme="minorHAnsi" w:eastAsia="Times New Roman" w:hAnsiTheme="minorHAnsi" w:cstheme="minorHAnsi"/>
                <w:sz w:val="20"/>
                <w:szCs w:val="20"/>
                <w:lang w:eastAsia="en-GB"/>
              </w:rPr>
              <w:t>Loss of knowledge during handovers, affecting the quality of the programme</w:t>
            </w:r>
          </w:p>
        </w:tc>
        <w:tc>
          <w:tcPr>
            <w:tcW w:w="0" w:type="auto"/>
            <w:tcBorders>
              <w:top w:val="nil"/>
              <w:left w:val="nil"/>
              <w:bottom w:val="single" w:sz="4" w:space="0" w:color="auto"/>
              <w:right w:val="single" w:sz="4" w:space="0" w:color="auto"/>
            </w:tcBorders>
            <w:shd w:val="clear" w:color="auto" w:fill="auto"/>
            <w:vAlign w:val="center"/>
            <w:hideMark/>
          </w:tcPr>
          <w:p w14:paraId="6A4D6931" w14:textId="21904700"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E34EA1"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1. Good communication with partners</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2. QA processes </w:t>
            </w:r>
            <w:r w:rsidR="00813E4E">
              <w:rPr>
                <w:rFonts w:asciiTheme="minorHAnsi" w:eastAsia="Times New Roman" w:hAnsiTheme="minorHAnsi" w:cstheme="minorHAnsi"/>
                <w:sz w:val="20"/>
                <w:szCs w:val="20"/>
                <w:lang w:eastAsia="en-GB"/>
              </w:rPr>
              <w:t xml:space="preserve">to </w:t>
            </w:r>
            <w:r w:rsidRPr="007F63EF">
              <w:rPr>
                <w:rFonts w:asciiTheme="minorHAnsi" w:eastAsia="Times New Roman" w:hAnsiTheme="minorHAnsi" w:cstheme="minorHAnsi"/>
                <w:sz w:val="20"/>
                <w:szCs w:val="20"/>
                <w:lang w:eastAsia="en-GB"/>
              </w:rPr>
              <w:t xml:space="preserve">pick up on poor performance </w:t>
            </w:r>
            <w:r w:rsidRPr="007F63EF">
              <w:rPr>
                <w:rFonts w:asciiTheme="minorHAnsi" w:eastAsia="Times New Roman" w:hAnsiTheme="minorHAnsi" w:cstheme="minorHAnsi"/>
                <w:sz w:val="20"/>
                <w:szCs w:val="20"/>
                <w:lang w:eastAsia="en-GB"/>
              </w:rPr>
              <w:br/>
              <w:t xml:space="preserve">3. Good induction and orientation to work, including clear instructions </w:t>
            </w:r>
            <w:r w:rsidRPr="007F63EF">
              <w:rPr>
                <w:rFonts w:asciiTheme="minorHAnsi" w:eastAsia="Times New Roman" w:hAnsiTheme="minorHAnsi" w:cstheme="minorHAnsi"/>
                <w:sz w:val="20"/>
                <w:szCs w:val="20"/>
                <w:lang w:eastAsia="en-GB"/>
              </w:rPr>
              <w:br/>
              <w:t>4. Judgement by</w:t>
            </w:r>
            <w:r w:rsidR="00813E4E">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T</w:t>
            </w:r>
            <w:r w:rsidR="003B61CB" w:rsidRPr="007F63EF">
              <w:rPr>
                <w:rFonts w:asciiTheme="minorHAnsi" w:eastAsia="Times New Roman" w:hAnsiTheme="minorHAnsi" w:cstheme="minorHAnsi"/>
                <w:sz w:val="20"/>
                <w:szCs w:val="20"/>
                <w:lang w:eastAsia="en-GB"/>
              </w:rPr>
              <w:t xml:space="preserve">eam </w:t>
            </w:r>
            <w:r w:rsidRPr="007F63EF">
              <w:rPr>
                <w:rFonts w:asciiTheme="minorHAnsi" w:eastAsia="Times New Roman" w:hAnsiTheme="minorHAnsi" w:cstheme="minorHAnsi"/>
                <w:sz w:val="20"/>
                <w:szCs w:val="20"/>
                <w:lang w:eastAsia="en-GB"/>
              </w:rPr>
              <w:t>L</w:t>
            </w:r>
            <w:r w:rsidR="003B61CB" w:rsidRPr="007F63EF">
              <w:rPr>
                <w:rFonts w:asciiTheme="minorHAnsi" w:eastAsia="Times New Roman" w:hAnsiTheme="minorHAnsi" w:cstheme="minorHAnsi"/>
                <w:sz w:val="20"/>
                <w:szCs w:val="20"/>
                <w:lang w:eastAsia="en-GB"/>
              </w:rPr>
              <w:t>eader</w:t>
            </w:r>
            <w:r w:rsidRPr="007F63EF">
              <w:rPr>
                <w:rFonts w:asciiTheme="minorHAnsi" w:eastAsia="Times New Roman" w:hAnsiTheme="minorHAnsi" w:cstheme="minorHAnsi"/>
                <w:sz w:val="20"/>
                <w:szCs w:val="20"/>
                <w:lang w:eastAsia="en-GB"/>
              </w:rPr>
              <w:t xml:space="preserve"> to match tasks with </w:t>
            </w:r>
            <w:r w:rsidR="003B61CB"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demonstrable capacities of team members </w:t>
            </w:r>
            <w:r w:rsidRPr="007F63EF">
              <w:rPr>
                <w:rFonts w:asciiTheme="minorHAnsi" w:eastAsia="Times New Roman" w:hAnsiTheme="minorHAnsi" w:cstheme="minorHAnsi"/>
                <w:sz w:val="20"/>
                <w:szCs w:val="20"/>
                <w:lang w:eastAsia="en-GB"/>
              </w:rPr>
              <w:br/>
              <w:t>5. Clear escalation procedure for addressing quality</w:t>
            </w:r>
            <w:r w:rsidR="00497B10" w:rsidRPr="007F63EF">
              <w:rPr>
                <w:rFonts w:asciiTheme="minorHAnsi" w:eastAsia="Times New Roman" w:hAnsiTheme="minorHAnsi" w:cstheme="minorHAnsi"/>
                <w:sz w:val="20"/>
                <w:szCs w:val="20"/>
                <w:lang w:eastAsia="en-GB"/>
              </w:rPr>
              <w:t>/conduct</w:t>
            </w:r>
            <w:r w:rsidRPr="007F63EF">
              <w:rPr>
                <w:rFonts w:asciiTheme="minorHAnsi" w:eastAsia="Times New Roman" w:hAnsiTheme="minorHAnsi" w:cstheme="minorHAnsi"/>
                <w:sz w:val="20"/>
                <w:szCs w:val="20"/>
                <w:lang w:eastAsia="en-GB"/>
              </w:rPr>
              <w:t xml:space="preserve"> concerns and resolving</w:t>
            </w:r>
            <w:r w:rsidR="00497B10" w:rsidRPr="007F63EF">
              <w:rPr>
                <w:rFonts w:asciiTheme="minorHAnsi" w:eastAsia="Times New Roman" w:hAnsiTheme="minorHAnsi" w:cstheme="minorHAnsi"/>
                <w:sz w:val="20"/>
                <w:szCs w:val="20"/>
                <w:lang w:eastAsia="en-GB"/>
              </w:rPr>
              <w:t xml:space="preserve"> them</w:t>
            </w:r>
          </w:p>
        </w:tc>
        <w:tc>
          <w:tcPr>
            <w:tcW w:w="0" w:type="auto"/>
            <w:tcBorders>
              <w:top w:val="single" w:sz="4" w:space="0" w:color="auto"/>
              <w:left w:val="single" w:sz="4" w:space="0" w:color="auto"/>
              <w:bottom w:val="single" w:sz="4" w:space="0" w:color="auto"/>
              <w:right w:val="single" w:sz="4" w:space="0" w:color="auto"/>
            </w:tcBorders>
            <w:shd w:val="thinDiagStripe" w:color="00B050" w:fill="00B050"/>
            <w:vAlign w:val="center"/>
            <w:hideMark/>
          </w:tcPr>
          <w:p w14:paraId="36C95FDB"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G</w:t>
            </w:r>
          </w:p>
        </w:tc>
        <w:tc>
          <w:tcPr>
            <w:tcW w:w="0" w:type="auto"/>
            <w:vAlign w:val="center"/>
            <w:hideMark/>
          </w:tcPr>
          <w:p w14:paraId="666F3357"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736B0AC5"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62A295BE"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Team</w:t>
            </w:r>
          </w:p>
        </w:tc>
        <w:tc>
          <w:tcPr>
            <w:tcW w:w="0" w:type="auto"/>
            <w:tcBorders>
              <w:top w:val="nil"/>
              <w:left w:val="nil"/>
              <w:bottom w:val="single" w:sz="4" w:space="0" w:color="auto"/>
              <w:right w:val="single" w:sz="4" w:space="0" w:color="auto"/>
            </w:tcBorders>
            <w:shd w:val="clear" w:color="auto" w:fill="auto"/>
            <w:vAlign w:val="center"/>
            <w:hideMark/>
          </w:tcPr>
          <w:p w14:paraId="125780FA" w14:textId="6176ED1D"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 xml:space="preserve">High staff turnover within </w:t>
            </w:r>
            <w:r w:rsidR="00497B1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 and gaps in key positions</w:t>
            </w:r>
            <w:r w:rsidRPr="007F63EF">
              <w:rPr>
                <w:rFonts w:asciiTheme="minorHAnsi" w:eastAsia="Times New Roman" w:hAnsiTheme="minorHAnsi" w:cstheme="minorHAnsi"/>
                <w:b/>
                <w:bCs/>
                <w:sz w:val="20"/>
                <w:szCs w:val="20"/>
                <w:lang w:eastAsia="en-GB"/>
              </w:rPr>
              <w:br/>
              <w:t>Cause:</w:t>
            </w:r>
            <w:r w:rsidRPr="007F63EF">
              <w:rPr>
                <w:rFonts w:asciiTheme="minorHAnsi" w:eastAsia="Times New Roman" w:hAnsiTheme="minorHAnsi" w:cstheme="minorHAnsi"/>
                <w:sz w:val="20"/>
                <w:szCs w:val="20"/>
                <w:lang w:eastAsia="en-GB"/>
              </w:rPr>
              <w:t xml:space="preserve"> internal DHSC mechanisms</w:t>
            </w:r>
            <w:r w:rsidRPr="007F63EF">
              <w:rPr>
                <w:rFonts w:asciiTheme="minorHAnsi" w:eastAsia="Times New Roman" w:hAnsiTheme="minorHAnsi" w:cstheme="minorHAnsi"/>
                <w:b/>
                <w:bCs/>
                <w:sz w:val="20"/>
                <w:szCs w:val="20"/>
                <w:lang w:eastAsia="en-GB"/>
              </w:rPr>
              <w:br/>
              <w:t xml:space="preserve">Effect: </w:t>
            </w:r>
            <w:r w:rsidRPr="007F63EF">
              <w:rPr>
                <w:rFonts w:asciiTheme="minorHAnsi" w:eastAsia="Times New Roman" w:hAnsiTheme="minorHAnsi" w:cstheme="minorHAnsi"/>
                <w:sz w:val="20"/>
                <w:szCs w:val="20"/>
                <w:lang w:eastAsia="en-GB"/>
              </w:rPr>
              <w:t xml:space="preserve">Lack of continuity in our relationships, reduced momentum and buy-in. </w:t>
            </w:r>
            <w:r w:rsidRPr="007F63EF">
              <w:rPr>
                <w:rFonts w:asciiTheme="minorHAnsi" w:eastAsia="Times New Roman" w:hAnsiTheme="minorHAnsi" w:cstheme="minorHAnsi"/>
                <w:b/>
                <w:bCs/>
                <w:sz w:val="20"/>
                <w:szCs w:val="20"/>
                <w:lang w:eastAsia="en-GB"/>
              </w:rPr>
              <w:br/>
              <w:t xml:space="preserve">Impact: </w:t>
            </w:r>
            <w:r w:rsidRPr="007F63EF">
              <w:rPr>
                <w:rFonts w:asciiTheme="minorHAnsi" w:eastAsia="Times New Roman" w:hAnsiTheme="minorHAnsi" w:cstheme="minorHAnsi"/>
                <w:sz w:val="20"/>
                <w:szCs w:val="20"/>
                <w:lang w:eastAsia="en-GB"/>
              </w:rPr>
              <w:t xml:space="preserve">Time </w:t>
            </w:r>
            <w:r w:rsidR="00813E4E" w:rsidRPr="00813E4E">
              <w:rPr>
                <w:rFonts w:asciiTheme="minorHAnsi" w:eastAsia="Times New Roman" w:hAnsiTheme="minorHAnsi" w:cstheme="minorHAnsi"/>
                <w:sz w:val="20"/>
                <w:szCs w:val="20"/>
                <w:lang w:eastAsia="en-GB"/>
              </w:rPr>
              <w:t>wasted,</w:t>
            </w:r>
            <w:r w:rsidRPr="007F63EF">
              <w:rPr>
                <w:rFonts w:asciiTheme="minorHAnsi" w:eastAsia="Times New Roman" w:hAnsiTheme="minorHAnsi" w:cstheme="minorHAnsi"/>
                <w:sz w:val="20"/>
                <w:szCs w:val="20"/>
                <w:lang w:eastAsia="en-GB"/>
              </w:rPr>
              <w:t xml:space="preserve"> and progress slowed down</w:t>
            </w:r>
          </w:p>
        </w:tc>
        <w:tc>
          <w:tcPr>
            <w:tcW w:w="0" w:type="auto"/>
            <w:tcBorders>
              <w:top w:val="nil"/>
              <w:left w:val="nil"/>
              <w:bottom w:val="single" w:sz="4" w:space="0" w:color="auto"/>
              <w:right w:val="single" w:sz="4" w:space="0" w:color="auto"/>
            </w:tcBorders>
            <w:shd w:val="clear" w:color="auto" w:fill="auto"/>
            <w:vAlign w:val="center"/>
            <w:hideMark/>
          </w:tcPr>
          <w:p w14:paraId="41FBC053" w14:textId="73DA7E5C"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E34EA1"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t>:</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Regular communication with HMG. </w:t>
            </w:r>
            <w:r w:rsidRPr="007F63EF">
              <w:rPr>
                <w:rFonts w:asciiTheme="minorHAnsi" w:eastAsia="Times New Roman" w:hAnsiTheme="minorHAnsi" w:cstheme="minorHAnsi"/>
                <w:sz w:val="20"/>
                <w:szCs w:val="20"/>
                <w:lang w:eastAsia="en-GB"/>
              </w:rPr>
              <w:br/>
              <w:t>2.</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Clear and easy</w:t>
            </w:r>
            <w:r w:rsidR="00497B10"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to</w:t>
            </w:r>
            <w:r w:rsidR="00497B10"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use background documentation completed by</w:t>
            </w:r>
            <w:r w:rsidR="00497B10"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DHSC to bring new staff up to speed easily with programme and evaluation approach and progress. </w:t>
            </w:r>
            <w:r w:rsidRPr="007F63EF">
              <w:rPr>
                <w:rFonts w:asciiTheme="minorHAnsi" w:eastAsia="Times New Roman" w:hAnsiTheme="minorHAnsi" w:cstheme="minorHAnsi"/>
                <w:sz w:val="20"/>
                <w:szCs w:val="20"/>
                <w:lang w:eastAsia="en-GB"/>
              </w:rPr>
              <w:br/>
              <w:t>3. Develop</w:t>
            </w:r>
            <w:r w:rsidR="00497B10" w:rsidRPr="007F63EF">
              <w:rPr>
                <w:rFonts w:asciiTheme="minorHAnsi" w:eastAsia="Times New Roman" w:hAnsiTheme="minorHAnsi" w:cstheme="minorHAnsi"/>
                <w:sz w:val="20"/>
                <w:szCs w:val="20"/>
                <w:lang w:eastAsia="en-GB"/>
              </w:rPr>
              <w:t xml:space="preserve"> a</w:t>
            </w:r>
            <w:r w:rsidRPr="007F63EF">
              <w:rPr>
                <w:rFonts w:asciiTheme="minorHAnsi" w:eastAsia="Times New Roman" w:hAnsiTheme="minorHAnsi" w:cstheme="minorHAnsi"/>
                <w:sz w:val="20"/>
                <w:szCs w:val="20"/>
                <w:lang w:eastAsia="en-GB"/>
              </w:rPr>
              <w:t xml:space="preserve"> system of inducting new staff to the programme - by June 2017. </w:t>
            </w:r>
            <w:r w:rsidRPr="007F63EF">
              <w:rPr>
                <w:rFonts w:asciiTheme="minorHAnsi" w:eastAsia="Times New Roman" w:hAnsiTheme="minorHAnsi" w:cstheme="minorHAnsi"/>
                <w:sz w:val="20"/>
                <w:szCs w:val="20"/>
                <w:lang w:eastAsia="en-GB"/>
              </w:rPr>
              <w:br/>
              <w:t>4. Encourage wider DHSC participation in evaluation key moments as they arise from time to time, and as elaborated in the implementation plan</w:t>
            </w:r>
            <w:r w:rsidRPr="007F63EF">
              <w:rPr>
                <w:rFonts w:asciiTheme="minorHAnsi" w:eastAsia="Times New Roman" w:hAnsiTheme="minorHAnsi" w:cstheme="minorHAnsi"/>
                <w:b/>
                <w:bCs/>
                <w:sz w:val="20"/>
                <w:szCs w:val="20"/>
                <w:lang w:eastAsia="en-GB"/>
              </w:rPr>
              <w:br/>
              <w:t>Contingency Plan:</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Itad </w:t>
            </w:r>
            <w:r w:rsidR="00497B10" w:rsidRPr="007F63EF">
              <w:rPr>
                <w:rFonts w:asciiTheme="minorHAnsi" w:eastAsia="Times New Roman" w:hAnsiTheme="minorHAnsi" w:cstheme="minorHAnsi"/>
                <w:sz w:val="20"/>
                <w:szCs w:val="20"/>
                <w:lang w:eastAsia="en-GB"/>
              </w:rPr>
              <w:t xml:space="preserve">has </w:t>
            </w:r>
            <w:r w:rsidRPr="007F63EF">
              <w:rPr>
                <w:rFonts w:asciiTheme="minorHAnsi" w:eastAsia="Times New Roman" w:hAnsiTheme="minorHAnsi" w:cstheme="minorHAnsi"/>
                <w:sz w:val="20"/>
                <w:szCs w:val="20"/>
                <w:lang w:eastAsia="en-GB"/>
              </w:rPr>
              <w:t xml:space="preserve">produced a one-pager for </w:t>
            </w:r>
            <w:r w:rsidR="00813E4E">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new TAG. This can be supplemented with a presentation/workshop if further onboarding support is required.</w:t>
            </w:r>
          </w:p>
        </w:tc>
        <w:tc>
          <w:tcPr>
            <w:tcW w:w="0" w:type="auto"/>
            <w:tcBorders>
              <w:top w:val="single" w:sz="4" w:space="0" w:color="auto"/>
              <w:left w:val="single" w:sz="4" w:space="0" w:color="auto"/>
              <w:bottom w:val="single" w:sz="4" w:space="0" w:color="auto"/>
              <w:right w:val="single" w:sz="4" w:space="0" w:color="auto"/>
            </w:tcBorders>
            <w:shd w:val="thinDiagStripe" w:color="FFC000" w:fill="FFC000"/>
            <w:vAlign w:val="center"/>
            <w:hideMark/>
          </w:tcPr>
          <w:p w14:paraId="720E1142"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A/G</w:t>
            </w:r>
          </w:p>
        </w:tc>
        <w:tc>
          <w:tcPr>
            <w:tcW w:w="0" w:type="auto"/>
            <w:vAlign w:val="center"/>
            <w:hideMark/>
          </w:tcPr>
          <w:p w14:paraId="20B8FA67"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0376EE65"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6C892119"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Context</w:t>
            </w:r>
          </w:p>
        </w:tc>
        <w:tc>
          <w:tcPr>
            <w:tcW w:w="0" w:type="auto"/>
            <w:tcBorders>
              <w:top w:val="nil"/>
              <w:left w:val="nil"/>
              <w:bottom w:val="single" w:sz="4" w:space="0" w:color="auto"/>
              <w:right w:val="single" w:sz="4" w:space="0" w:color="auto"/>
            </w:tcBorders>
            <w:shd w:val="clear" w:color="auto" w:fill="auto"/>
            <w:vAlign w:val="center"/>
            <w:hideMark/>
          </w:tcPr>
          <w:p w14:paraId="63C7ADE5" w14:textId="564F6104"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Risk:</w:t>
            </w:r>
            <w:r w:rsidRPr="007F63EF">
              <w:rPr>
                <w:rFonts w:asciiTheme="minorHAnsi" w:eastAsia="Times New Roman" w:hAnsiTheme="minorHAnsi" w:cstheme="minorHAnsi"/>
                <w:sz w:val="20"/>
                <w:szCs w:val="20"/>
                <w:lang w:eastAsia="en-GB"/>
              </w:rPr>
              <w:t xml:space="preserve"> Crisis/disaster affects business continuity</w:t>
            </w:r>
            <w:r w:rsidR="00497B10"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b/>
                <w:bCs/>
                <w:sz w:val="20"/>
                <w:szCs w:val="20"/>
                <w:lang w:eastAsia="en-GB"/>
              </w:rPr>
              <w:br/>
              <w:t xml:space="preserve">Cause: </w:t>
            </w:r>
            <w:r w:rsidRPr="007F63EF">
              <w:rPr>
                <w:rFonts w:asciiTheme="minorHAnsi" w:eastAsia="Times New Roman" w:hAnsiTheme="minorHAnsi" w:cstheme="minorHAnsi"/>
                <w:sz w:val="20"/>
                <w:szCs w:val="20"/>
                <w:lang w:eastAsia="en-GB"/>
              </w:rPr>
              <w:t xml:space="preserve">catastrophic event/act of </w:t>
            </w:r>
            <w:r w:rsidR="00DE51EE" w:rsidRPr="007F63EF">
              <w:rPr>
                <w:rFonts w:asciiTheme="minorHAnsi" w:eastAsia="Times New Roman" w:hAnsiTheme="minorHAnsi" w:cstheme="minorHAnsi"/>
                <w:sz w:val="20"/>
                <w:szCs w:val="20"/>
                <w:lang w:eastAsia="en-GB"/>
              </w:rPr>
              <w:t>God</w:t>
            </w:r>
            <w:r w:rsidRPr="007F63EF">
              <w:rPr>
                <w:rFonts w:asciiTheme="minorHAnsi" w:eastAsia="Times New Roman" w:hAnsiTheme="minorHAnsi" w:cstheme="minorHAnsi"/>
                <w:b/>
                <w:bCs/>
                <w:sz w:val="20"/>
                <w:szCs w:val="20"/>
                <w:lang w:eastAsia="en-GB"/>
              </w:rPr>
              <w:br/>
              <w:t>Effect:</w:t>
            </w:r>
            <w:r w:rsidRPr="007F63EF">
              <w:rPr>
                <w:rFonts w:asciiTheme="minorHAnsi" w:eastAsia="Times New Roman" w:hAnsiTheme="minorHAnsi" w:cstheme="minorHAnsi"/>
                <w:sz w:val="20"/>
                <w:szCs w:val="20"/>
                <w:lang w:eastAsia="en-GB"/>
              </w:rPr>
              <w:t xml:space="preserve"> interruption/cessation of activities</w:t>
            </w:r>
            <w:r w:rsidRPr="007F63EF">
              <w:rPr>
                <w:rFonts w:asciiTheme="minorHAnsi" w:eastAsia="Times New Roman" w:hAnsiTheme="minorHAnsi" w:cstheme="minorHAnsi"/>
                <w:b/>
                <w:bCs/>
                <w:sz w:val="20"/>
                <w:szCs w:val="20"/>
                <w:lang w:eastAsia="en-GB"/>
              </w:rPr>
              <w:br/>
              <w:t xml:space="preserve">Impact: </w:t>
            </w:r>
            <w:r w:rsidRPr="007F63EF">
              <w:rPr>
                <w:rFonts w:asciiTheme="minorHAnsi" w:eastAsia="Times New Roman" w:hAnsiTheme="minorHAnsi" w:cstheme="minorHAnsi"/>
                <w:sz w:val="20"/>
                <w:szCs w:val="20"/>
                <w:lang w:eastAsia="en-GB"/>
              </w:rPr>
              <w:t>unable to deliver to specification/additional cost to recover</w:t>
            </w:r>
          </w:p>
        </w:tc>
        <w:tc>
          <w:tcPr>
            <w:tcW w:w="0" w:type="auto"/>
            <w:tcBorders>
              <w:top w:val="nil"/>
              <w:left w:val="nil"/>
              <w:bottom w:val="single" w:sz="4" w:space="0" w:color="auto"/>
              <w:right w:val="single" w:sz="4" w:space="0" w:color="auto"/>
            </w:tcBorders>
            <w:shd w:val="clear" w:color="auto" w:fill="auto"/>
            <w:vAlign w:val="center"/>
            <w:hideMark/>
          </w:tcPr>
          <w:p w14:paraId="7E672718" w14:textId="4AC66D1F"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E34EA1"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t>:</w:t>
            </w:r>
            <w:r w:rsidR="007458AC"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w:t>
            </w:r>
            <w:r w:rsidR="0092600F" w:rsidRPr="007F63EF">
              <w:rPr>
                <w:rFonts w:asciiTheme="minorHAnsi" w:eastAsia="Times New Roman" w:hAnsiTheme="minorHAnsi" w:cstheme="minorHAnsi"/>
                <w:sz w:val="20"/>
                <w:szCs w:val="20"/>
                <w:lang w:eastAsia="en-GB"/>
              </w:rPr>
              <w:t>Business Continuity and Disaster Recovery</w:t>
            </w:r>
            <w:r w:rsidRPr="007F63EF">
              <w:rPr>
                <w:rFonts w:asciiTheme="minorHAnsi" w:eastAsia="Times New Roman" w:hAnsiTheme="minorHAnsi" w:cstheme="minorHAnsi"/>
                <w:sz w:val="20"/>
                <w:szCs w:val="20"/>
                <w:lang w:eastAsia="en-GB"/>
              </w:rPr>
              <w:t xml:space="preserve"> </w:t>
            </w:r>
            <w:r w:rsidR="00497B10" w:rsidRPr="007F63EF">
              <w:rPr>
                <w:rFonts w:asciiTheme="minorHAnsi" w:eastAsia="Times New Roman" w:hAnsiTheme="minorHAnsi" w:cstheme="minorHAnsi"/>
                <w:sz w:val="20"/>
                <w:szCs w:val="20"/>
                <w:lang w:eastAsia="en-GB"/>
              </w:rPr>
              <w:t>Plan</w:t>
            </w:r>
            <w:r w:rsidRPr="007F63EF">
              <w:rPr>
                <w:rFonts w:asciiTheme="minorHAnsi" w:eastAsia="Times New Roman" w:hAnsiTheme="minorHAnsi" w:cstheme="minorHAnsi"/>
                <w:sz w:val="20"/>
                <w:szCs w:val="20"/>
                <w:lang w:eastAsia="en-GB"/>
              </w:rPr>
              <w:br/>
              <w:t>2. Insurance</w:t>
            </w:r>
          </w:p>
        </w:tc>
        <w:tc>
          <w:tcPr>
            <w:tcW w:w="0" w:type="auto"/>
            <w:tcBorders>
              <w:top w:val="single" w:sz="4" w:space="0" w:color="auto"/>
              <w:left w:val="single" w:sz="4" w:space="0" w:color="auto"/>
              <w:bottom w:val="single" w:sz="4" w:space="0" w:color="auto"/>
              <w:right w:val="single" w:sz="4" w:space="0" w:color="auto"/>
            </w:tcBorders>
            <w:shd w:val="thinDiagStripe" w:color="00B050" w:fill="00B050"/>
            <w:vAlign w:val="center"/>
            <w:hideMark/>
          </w:tcPr>
          <w:p w14:paraId="5653BC0D"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G</w:t>
            </w:r>
          </w:p>
        </w:tc>
        <w:tc>
          <w:tcPr>
            <w:tcW w:w="0" w:type="auto"/>
            <w:vAlign w:val="center"/>
            <w:hideMark/>
          </w:tcPr>
          <w:p w14:paraId="65623422"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2F1934EC" w14:textId="77777777" w:rsidTr="00435849">
        <w:tc>
          <w:tcPr>
            <w:tcW w:w="0" w:type="auto"/>
            <w:tcBorders>
              <w:top w:val="nil"/>
              <w:left w:val="single" w:sz="4" w:space="0" w:color="auto"/>
              <w:bottom w:val="single" w:sz="4" w:space="0" w:color="auto"/>
              <w:right w:val="single" w:sz="4" w:space="0" w:color="auto"/>
            </w:tcBorders>
            <w:shd w:val="clear" w:color="auto" w:fill="auto"/>
            <w:vAlign w:val="center"/>
            <w:hideMark/>
          </w:tcPr>
          <w:p w14:paraId="04A45DB4"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Context</w:t>
            </w:r>
          </w:p>
        </w:tc>
        <w:tc>
          <w:tcPr>
            <w:tcW w:w="0" w:type="auto"/>
            <w:tcBorders>
              <w:top w:val="nil"/>
              <w:left w:val="nil"/>
              <w:bottom w:val="single" w:sz="4" w:space="0" w:color="auto"/>
              <w:right w:val="single" w:sz="4" w:space="0" w:color="auto"/>
            </w:tcBorders>
            <w:shd w:val="clear" w:color="auto" w:fill="auto"/>
            <w:vAlign w:val="center"/>
            <w:hideMark/>
          </w:tcPr>
          <w:p w14:paraId="30AB8108" w14:textId="75F6F390"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 xml:space="preserve">Volatility in conflict-prone </w:t>
            </w:r>
            <w:r w:rsidR="00F21D1C" w:rsidRPr="007F63EF">
              <w:rPr>
                <w:rFonts w:asciiTheme="minorHAnsi" w:eastAsia="Times New Roman" w:hAnsiTheme="minorHAnsi" w:cstheme="minorHAnsi"/>
                <w:sz w:val="20"/>
                <w:szCs w:val="20"/>
                <w:lang w:eastAsia="en-GB"/>
              </w:rPr>
              <w:t>Fleming Fund</w:t>
            </w:r>
            <w:r w:rsidRPr="007F63EF">
              <w:rPr>
                <w:rFonts w:asciiTheme="minorHAnsi" w:eastAsia="Times New Roman" w:hAnsiTheme="minorHAnsi" w:cstheme="minorHAnsi"/>
                <w:sz w:val="20"/>
                <w:szCs w:val="20"/>
                <w:lang w:eastAsia="en-GB"/>
              </w:rPr>
              <w:t xml:space="preserve"> countries, extreme events and/or health risks.</w:t>
            </w:r>
            <w:r w:rsidRPr="007F63EF">
              <w:rPr>
                <w:rFonts w:asciiTheme="minorHAnsi" w:eastAsia="Times New Roman" w:hAnsiTheme="minorHAnsi" w:cstheme="minorHAnsi"/>
                <w:b/>
                <w:bCs/>
                <w:sz w:val="20"/>
                <w:szCs w:val="20"/>
                <w:lang w:eastAsia="en-GB"/>
              </w:rPr>
              <w:br/>
              <w:t xml:space="preserve">Cause: </w:t>
            </w:r>
            <w:r w:rsidRPr="007F63EF">
              <w:rPr>
                <w:rFonts w:asciiTheme="minorHAnsi" w:eastAsia="Times New Roman" w:hAnsiTheme="minorHAnsi" w:cstheme="minorHAnsi"/>
                <w:sz w:val="20"/>
                <w:szCs w:val="20"/>
                <w:lang w:eastAsia="en-GB"/>
              </w:rPr>
              <w:t xml:space="preserve">prohibiting or limiting travel to undertake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work</w:t>
            </w:r>
            <w:r w:rsidRPr="007F63EF">
              <w:rPr>
                <w:rFonts w:asciiTheme="minorHAnsi" w:eastAsia="Times New Roman" w:hAnsiTheme="minorHAnsi" w:cstheme="minorHAnsi"/>
                <w:b/>
                <w:bCs/>
                <w:sz w:val="20"/>
                <w:szCs w:val="20"/>
                <w:lang w:eastAsia="en-GB"/>
              </w:rPr>
              <w:br/>
              <w:t xml:space="preserve">Effect: </w:t>
            </w:r>
            <w:r w:rsidRPr="007F63EF">
              <w:rPr>
                <w:rFonts w:asciiTheme="minorHAnsi" w:eastAsia="Times New Roman" w:hAnsiTheme="minorHAnsi" w:cstheme="minorHAnsi"/>
                <w:sz w:val="20"/>
                <w:szCs w:val="20"/>
                <w:lang w:eastAsia="en-GB"/>
              </w:rPr>
              <w:t>lost opportunity to gather data/lost resources, death or personal injury, partners unable to engage.</w:t>
            </w:r>
            <w:r w:rsidRPr="007F63EF">
              <w:rPr>
                <w:rFonts w:asciiTheme="minorHAnsi" w:eastAsia="Times New Roman" w:hAnsiTheme="minorHAnsi" w:cstheme="minorHAnsi"/>
                <w:b/>
                <w:bCs/>
                <w:sz w:val="20"/>
                <w:szCs w:val="20"/>
                <w:lang w:eastAsia="en-GB"/>
              </w:rPr>
              <w:br/>
              <w:t xml:space="preserve">Impact: </w:t>
            </w:r>
            <w:r w:rsidRPr="007F63EF">
              <w:rPr>
                <w:rFonts w:asciiTheme="minorHAnsi" w:eastAsia="Times New Roman" w:hAnsiTheme="minorHAnsi" w:cstheme="minorHAnsi"/>
                <w:sz w:val="20"/>
                <w:szCs w:val="20"/>
                <w:lang w:eastAsia="en-GB"/>
              </w:rPr>
              <w:t xml:space="preserve">unable to deliver on time or at </w:t>
            </w:r>
            <w:r w:rsidR="00497B1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required quality, lost budget, impact on family and friends of death or </w:t>
            </w:r>
            <w:r w:rsidR="00D65693" w:rsidRPr="007F63EF">
              <w:rPr>
                <w:rFonts w:asciiTheme="minorHAnsi" w:eastAsia="Times New Roman" w:hAnsiTheme="minorHAnsi" w:cstheme="minorHAnsi"/>
                <w:sz w:val="20"/>
                <w:szCs w:val="20"/>
                <w:lang w:eastAsia="en-GB"/>
              </w:rPr>
              <w:t>permanent injury</w:t>
            </w:r>
            <w:r w:rsidR="006E78B5" w:rsidRPr="007F63EF">
              <w:rPr>
                <w:rFonts w:asciiTheme="minorHAnsi" w:eastAsia="Times New Roman" w:hAnsiTheme="minorHAnsi" w:cstheme="minorHAnsi"/>
                <w:sz w:val="20"/>
                <w:szCs w:val="20"/>
                <w:lang w:eastAsia="en-GB"/>
              </w:rPr>
              <w:t>.</w:t>
            </w:r>
          </w:p>
        </w:tc>
        <w:tc>
          <w:tcPr>
            <w:tcW w:w="0" w:type="auto"/>
            <w:tcBorders>
              <w:top w:val="nil"/>
              <w:left w:val="nil"/>
              <w:bottom w:val="single" w:sz="4" w:space="0" w:color="auto"/>
              <w:right w:val="single" w:sz="4" w:space="0" w:color="auto"/>
            </w:tcBorders>
            <w:shd w:val="clear" w:color="auto" w:fill="auto"/>
            <w:vAlign w:val="center"/>
            <w:hideMark/>
          </w:tcPr>
          <w:p w14:paraId="3E81E40D" w14:textId="2A734BE6"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00E34EA1" w:rsidRPr="007F63EF">
              <w:rPr>
                <w:rFonts w:asciiTheme="minorHAnsi" w:eastAsia="Times New Roman" w:hAnsiTheme="minorHAnsi" w:cstheme="minorHAnsi"/>
                <w:b/>
                <w:bCs/>
                <w:sz w:val="20"/>
                <w:szCs w:val="20"/>
                <w:lang w:eastAsia="en-GB"/>
              </w:rPr>
              <w:t>s</w:t>
            </w:r>
            <w:r w:rsidRPr="007F63EF">
              <w:rPr>
                <w:rFonts w:asciiTheme="minorHAnsi" w:eastAsia="Times New Roman" w:hAnsiTheme="minorHAnsi" w:cstheme="minorHAnsi"/>
                <w:b/>
                <w:bCs/>
                <w:sz w:val="20"/>
                <w:szCs w:val="20"/>
                <w:lang w:eastAsia="en-GB"/>
              </w:rPr>
              <w:t>:</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Continued monitoring of security and other threats in </w:t>
            </w:r>
            <w:r w:rsidR="00F21D1C" w:rsidRPr="007F63EF">
              <w:rPr>
                <w:rFonts w:asciiTheme="minorHAnsi" w:eastAsia="Times New Roman" w:hAnsiTheme="minorHAnsi" w:cstheme="minorHAnsi"/>
                <w:sz w:val="20"/>
                <w:szCs w:val="20"/>
                <w:lang w:eastAsia="en-GB"/>
              </w:rPr>
              <w:t xml:space="preserve">Fleming Fund </w:t>
            </w:r>
            <w:r w:rsidRPr="007F63EF">
              <w:rPr>
                <w:rFonts w:asciiTheme="minorHAnsi" w:eastAsia="Times New Roman" w:hAnsiTheme="minorHAnsi" w:cstheme="minorHAnsi"/>
                <w:sz w:val="20"/>
                <w:szCs w:val="20"/>
                <w:lang w:eastAsia="en-GB"/>
              </w:rPr>
              <w:t xml:space="preserve">countries and regions in liaison with </w:t>
            </w:r>
            <w:r w:rsidR="00497B1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 and MA.</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If security concerns are identified (as in Mali and Sri Lanka) we will look to switch to an alternative country (if there is flexibility to do so).</w:t>
            </w:r>
            <w:r w:rsidRPr="007F63EF">
              <w:rPr>
                <w:rFonts w:asciiTheme="minorHAnsi" w:eastAsia="Times New Roman" w:hAnsiTheme="minorHAnsi" w:cstheme="minorHAnsi"/>
                <w:sz w:val="20"/>
                <w:szCs w:val="20"/>
                <w:lang w:eastAsia="en-GB"/>
              </w:rPr>
              <w:br/>
              <w:t>2. Itad maintains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security procedures in place in accordance with its own duty of care and reserves the right not to assign its consultants to the field where the threat level is too high in its sole discretion</w:t>
            </w:r>
            <w:r w:rsidRPr="007F63EF">
              <w:rPr>
                <w:rFonts w:asciiTheme="minorHAnsi" w:eastAsia="Times New Roman" w:hAnsiTheme="minorHAnsi" w:cstheme="minorHAnsi"/>
                <w:sz w:val="20"/>
                <w:szCs w:val="20"/>
                <w:lang w:eastAsia="en-GB"/>
              </w:rPr>
              <w:br/>
              <w:t xml:space="preserve">3. Risk assessments, security suppliers, liaison with </w:t>
            </w:r>
            <w:r w:rsidR="00497B1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MA/DHSC</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4. Country visits will be kept under review in 2022 due to </w:t>
            </w:r>
            <w:r w:rsidR="0075181D" w:rsidRPr="007F63EF">
              <w:rPr>
                <w:rFonts w:asciiTheme="minorHAnsi" w:eastAsia="Times New Roman" w:hAnsiTheme="minorHAnsi" w:cstheme="minorHAnsi"/>
                <w:sz w:val="20"/>
                <w:szCs w:val="20"/>
                <w:lang w:eastAsia="en-GB"/>
              </w:rPr>
              <w:t>COVID-</w:t>
            </w:r>
            <w:r w:rsidRPr="007F63EF">
              <w:rPr>
                <w:rFonts w:asciiTheme="minorHAnsi" w:eastAsia="Times New Roman" w:hAnsiTheme="minorHAnsi" w:cstheme="minorHAnsi"/>
                <w:sz w:val="20"/>
                <w:szCs w:val="20"/>
                <w:lang w:eastAsia="en-GB"/>
              </w:rPr>
              <w:t xml:space="preserve">19. Subject to discussion with </w:t>
            </w:r>
            <w:r w:rsidR="00497B1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 a combination of in</w:t>
            </w:r>
            <w:r w:rsidR="00497B10"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person and remote data collection may be required.</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br/>
              <w:t xml:space="preserve">5. Continued monitoring of the situation and impact on country visits in liaison with </w:t>
            </w:r>
            <w:r w:rsidR="00497B1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 and MA. Intelligence from</w:t>
            </w:r>
            <w:r w:rsidR="00497B10"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DHSC and </w:t>
            </w:r>
            <w:r w:rsidR="00740FE9" w:rsidRPr="007F63EF">
              <w:rPr>
                <w:rFonts w:asciiTheme="minorHAnsi" w:eastAsia="Times New Roman" w:hAnsiTheme="minorHAnsi" w:cstheme="minorHAnsi"/>
                <w:sz w:val="20"/>
                <w:szCs w:val="20"/>
                <w:lang w:eastAsia="en-GB"/>
              </w:rPr>
              <w:t>Foreign, Commonwealth &amp; Development Office (</w:t>
            </w:r>
            <w:r w:rsidRPr="007F63EF">
              <w:rPr>
                <w:rFonts w:asciiTheme="minorHAnsi" w:eastAsia="Times New Roman" w:hAnsiTheme="minorHAnsi" w:cstheme="minorHAnsi"/>
                <w:sz w:val="20"/>
                <w:szCs w:val="20"/>
                <w:lang w:eastAsia="en-GB"/>
              </w:rPr>
              <w:t>FC</w:t>
            </w:r>
            <w:r w:rsidR="00740FE9" w:rsidRPr="007F63EF">
              <w:rPr>
                <w:rFonts w:asciiTheme="minorHAnsi" w:eastAsia="Times New Roman" w:hAnsiTheme="minorHAnsi" w:cstheme="minorHAnsi"/>
                <w:sz w:val="20"/>
                <w:szCs w:val="20"/>
                <w:lang w:eastAsia="en-GB"/>
              </w:rPr>
              <w:t>D</w:t>
            </w:r>
            <w:r w:rsidRPr="007F63EF">
              <w:rPr>
                <w:rFonts w:asciiTheme="minorHAnsi" w:eastAsia="Times New Roman" w:hAnsiTheme="minorHAnsi" w:cstheme="minorHAnsi"/>
                <w:sz w:val="20"/>
                <w:szCs w:val="20"/>
                <w:lang w:eastAsia="en-GB"/>
              </w:rPr>
              <w:t>O</w:t>
            </w:r>
            <w:r w:rsidR="00740FE9"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 regarding COVID-19 and approvals for travel from </w:t>
            </w:r>
            <w:r w:rsidR="00B06DE9" w:rsidRPr="007F63EF">
              <w:rPr>
                <w:rFonts w:asciiTheme="minorHAnsi" w:eastAsia="Times New Roman" w:hAnsiTheme="minorHAnsi" w:cstheme="minorHAnsi"/>
                <w:sz w:val="20"/>
                <w:szCs w:val="20"/>
                <w:lang w:eastAsia="en-GB"/>
              </w:rPr>
              <w:t>ministries</w:t>
            </w:r>
            <w:r w:rsidRPr="007F63EF">
              <w:rPr>
                <w:rFonts w:asciiTheme="minorHAnsi" w:eastAsia="Times New Roman" w:hAnsiTheme="minorHAnsi" w:cstheme="minorHAnsi"/>
                <w:sz w:val="20"/>
                <w:szCs w:val="20"/>
                <w:lang w:eastAsia="en-GB"/>
              </w:rPr>
              <w:t xml:space="preserve"> to be added into planning.</w:t>
            </w:r>
            <w:r w:rsidR="007458AC" w:rsidRPr="007F63EF">
              <w:rPr>
                <w:rFonts w:asciiTheme="minorHAnsi" w:eastAsia="Times New Roman" w:hAnsiTheme="minorHAnsi" w:cstheme="minorHAnsi"/>
                <w:sz w:val="20"/>
                <w:szCs w:val="20"/>
                <w:lang w:eastAsia="en-GB"/>
              </w:rPr>
              <w:t xml:space="preserve">  </w:t>
            </w:r>
            <w:r w:rsidR="007458AC"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b/>
                <w:bCs/>
                <w:sz w:val="20"/>
                <w:szCs w:val="20"/>
                <w:lang w:eastAsia="en-GB"/>
              </w:rPr>
              <w:br/>
              <w:t xml:space="preserve">Contingency Plan: </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Given how the evaluation process and reporting has evolved, if there were to be a security situation in one of our final set of 16 countries (i.e. after all 16 </w:t>
            </w:r>
            <w:r w:rsidR="00497B10" w:rsidRPr="007F63EF">
              <w:rPr>
                <w:rFonts w:asciiTheme="minorHAnsi" w:eastAsia="Times New Roman" w:hAnsiTheme="minorHAnsi" w:cstheme="minorHAnsi"/>
                <w:sz w:val="20"/>
                <w:szCs w:val="20"/>
                <w:lang w:eastAsia="en-GB"/>
              </w:rPr>
              <w:t xml:space="preserve">first </w:t>
            </w:r>
            <w:r w:rsidRPr="007F63EF">
              <w:rPr>
                <w:rFonts w:asciiTheme="minorHAnsi" w:eastAsia="Times New Roman" w:hAnsiTheme="minorHAnsi" w:cstheme="minorHAnsi"/>
                <w:sz w:val="20"/>
                <w:szCs w:val="20"/>
                <w:lang w:eastAsia="en-GB"/>
              </w:rPr>
              <w:t xml:space="preserve">country visits had happened), we do not see this as a massive problem in terms of having meaningful evidence as </w:t>
            </w:r>
            <w:r w:rsidR="00497B1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basis for evaluation findings (providing this applies to a limited number of our sample countries).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We will explore three options: 1) look to see whether alternative countries could be included to maintain the sample at 16 (e.g. through organising a preparatory visit to establish baselines, key contacts etc but either shorter than </w:t>
            </w:r>
            <w:r w:rsidR="00497B10" w:rsidRPr="007F63EF">
              <w:rPr>
                <w:rFonts w:asciiTheme="minorHAnsi" w:eastAsia="Times New Roman" w:hAnsiTheme="minorHAnsi" w:cstheme="minorHAnsi"/>
                <w:sz w:val="20"/>
                <w:szCs w:val="20"/>
                <w:lang w:eastAsia="en-GB"/>
              </w:rPr>
              <w:t xml:space="preserve">first </w:t>
            </w:r>
            <w:r w:rsidRPr="007F63EF">
              <w:rPr>
                <w:rFonts w:asciiTheme="minorHAnsi" w:eastAsia="Times New Roman" w:hAnsiTheme="minorHAnsi" w:cstheme="minorHAnsi"/>
                <w:sz w:val="20"/>
                <w:szCs w:val="20"/>
                <w:lang w:eastAsia="en-GB"/>
              </w:rPr>
              <w:t xml:space="preserve">country visits and/or closer to </w:t>
            </w:r>
            <w:r w:rsidR="00497B10" w:rsidRPr="007F63EF">
              <w:rPr>
                <w:rFonts w:asciiTheme="minorHAnsi" w:eastAsia="Times New Roman" w:hAnsiTheme="minorHAnsi" w:cstheme="minorHAnsi"/>
                <w:sz w:val="20"/>
                <w:szCs w:val="20"/>
                <w:lang w:eastAsia="en-GB"/>
              </w:rPr>
              <w:t xml:space="preserve">second </w:t>
            </w:r>
            <w:r w:rsidRPr="007F63EF">
              <w:rPr>
                <w:rFonts w:asciiTheme="minorHAnsi" w:eastAsia="Times New Roman" w:hAnsiTheme="minorHAnsi" w:cstheme="minorHAnsi"/>
                <w:sz w:val="20"/>
                <w:szCs w:val="20"/>
                <w:lang w:eastAsia="en-GB"/>
              </w:rPr>
              <w:t xml:space="preserve">country visits); 2) discuss with </w:t>
            </w:r>
            <w:r w:rsidR="00497B1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MA/DHSC whether</w:t>
            </w:r>
            <w:r w:rsidR="00497B10"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original country could be included in some through desk review/based on remote KIs and data from MA reporting; 3) proceed with a reduced sample and discuss implications with </w:t>
            </w:r>
            <w:r w:rsidR="00497B1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 and DHSC as well as noting any limitations in our reporting.</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br/>
              <w:t>2. Continue working with In-Country Consultants to complete data collection in person and site visits, where it is safe to do so.</w:t>
            </w:r>
          </w:p>
        </w:tc>
        <w:tc>
          <w:tcPr>
            <w:tcW w:w="0" w:type="auto"/>
            <w:tcBorders>
              <w:top w:val="single" w:sz="4" w:space="0" w:color="auto"/>
              <w:left w:val="single" w:sz="4" w:space="0" w:color="auto"/>
              <w:bottom w:val="single" w:sz="4" w:space="0" w:color="auto"/>
              <w:right w:val="single" w:sz="4" w:space="0" w:color="auto"/>
            </w:tcBorders>
            <w:shd w:val="thinDiagStripe" w:color="FFC000" w:fill="FFC000"/>
            <w:vAlign w:val="center"/>
            <w:hideMark/>
          </w:tcPr>
          <w:p w14:paraId="18169FE4"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A/G</w:t>
            </w:r>
          </w:p>
        </w:tc>
        <w:tc>
          <w:tcPr>
            <w:tcW w:w="0" w:type="auto"/>
            <w:vAlign w:val="center"/>
            <w:hideMark/>
          </w:tcPr>
          <w:p w14:paraId="3700A726"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19298AF5" w14:textId="77777777" w:rsidTr="00435849">
        <w:tc>
          <w:tcPr>
            <w:tcW w:w="0" w:type="auto"/>
            <w:tcBorders>
              <w:top w:val="nil"/>
              <w:left w:val="single" w:sz="4" w:space="0" w:color="auto"/>
              <w:bottom w:val="single" w:sz="4" w:space="0" w:color="auto"/>
              <w:right w:val="single" w:sz="4" w:space="0" w:color="auto"/>
            </w:tcBorders>
            <w:shd w:val="clear" w:color="000000" w:fill="FFFFFF"/>
            <w:vAlign w:val="center"/>
            <w:hideMark/>
          </w:tcPr>
          <w:p w14:paraId="75100C96" w14:textId="5745DA76"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Technical</w:t>
            </w:r>
          </w:p>
        </w:tc>
        <w:tc>
          <w:tcPr>
            <w:tcW w:w="0" w:type="auto"/>
            <w:tcBorders>
              <w:top w:val="nil"/>
              <w:left w:val="nil"/>
              <w:bottom w:val="single" w:sz="4" w:space="0" w:color="auto"/>
              <w:right w:val="single" w:sz="4" w:space="0" w:color="auto"/>
            </w:tcBorders>
            <w:shd w:val="clear" w:color="000000" w:fill="FFFFFF"/>
            <w:vAlign w:val="center"/>
            <w:hideMark/>
          </w:tcPr>
          <w:p w14:paraId="5C419A78" w14:textId="7528D440" w:rsidR="0092600F"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The</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theory</w:t>
            </w:r>
            <w:r w:rsidR="00092E90"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based approach may be misunderstood in some quarters; particularly among those who would prefer to see experimental evidence used to evaluate the </w:t>
            </w:r>
            <w:r w:rsidR="00F21D1C" w:rsidRPr="007F63EF">
              <w:rPr>
                <w:rFonts w:asciiTheme="minorHAnsi" w:eastAsia="Times New Roman" w:hAnsiTheme="minorHAnsi" w:cstheme="minorHAnsi"/>
                <w:sz w:val="20"/>
                <w:szCs w:val="20"/>
                <w:lang w:eastAsia="en-GB"/>
              </w:rPr>
              <w:t>Fleming Fund</w:t>
            </w:r>
          </w:p>
          <w:p w14:paraId="03BFC1F2" w14:textId="3A6394C9" w:rsidR="002A6970" w:rsidRPr="007F63EF" w:rsidRDefault="00F21D1C"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sz w:val="20"/>
                <w:szCs w:val="20"/>
                <w:lang w:eastAsia="en-GB"/>
              </w:rPr>
              <w:t xml:space="preserve"> </w:t>
            </w:r>
            <w:r w:rsidR="002A6970" w:rsidRPr="007F63EF">
              <w:rPr>
                <w:rFonts w:asciiTheme="minorHAnsi" w:eastAsia="Times New Roman" w:hAnsiTheme="minorHAnsi" w:cstheme="minorHAnsi"/>
                <w:b/>
                <w:bCs/>
                <w:sz w:val="20"/>
                <w:szCs w:val="20"/>
                <w:lang w:eastAsia="en-GB"/>
              </w:rPr>
              <w:t xml:space="preserve">Cause: </w:t>
            </w:r>
            <w:r w:rsidR="002A6970" w:rsidRPr="007F63EF">
              <w:rPr>
                <w:rFonts w:asciiTheme="minorHAnsi" w:eastAsia="Times New Roman" w:hAnsiTheme="minorHAnsi" w:cstheme="minorHAnsi"/>
                <w:sz w:val="20"/>
                <w:szCs w:val="20"/>
                <w:lang w:eastAsia="en-GB"/>
              </w:rPr>
              <w:t>Theory</w:t>
            </w:r>
            <w:r w:rsidR="00092E90" w:rsidRPr="007F63EF">
              <w:rPr>
                <w:rFonts w:asciiTheme="minorHAnsi" w:eastAsia="Times New Roman" w:hAnsiTheme="minorHAnsi" w:cstheme="minorHAnsi"/>
                <w:sz w:val="20"/>
                <w:szCs w:val="20"/>
                <w:lang w:eastAsia="en-GB"/>
              </w:rPr>
              <w:t>-</w:t>
            </w:r>
            <w:r w:rsidR="002A6970" w:rsidRPr="007F63EF">
              <w:rPr>
                <w:rFonts w:asciiTheme="minorHAnsi" w:eastAsia="Times New Roman" w:hAnsiTheme="minorHAnsi" w:cstheme="minorHAnsi"/>
                <w:sz w:val="20"/>
                <w:szCs w:val="20"/>
                <w:lang w:eastAsia="en-GB"/>
              </w:rPr>
              <w:t>based evaluation does not provide proof of the cause of an outcome or the success or impact of an intervention. Rather, it generates contextualised learning to inform future decisions.</w:t>
            </w:r>
            <w:r w:rsidR="002A6970" w:rsidRPr="007F63EF">
              <w:rPr>
                <w:rFonts w:asciiTheme="minorHAnsi" w:eastAsia="Times New Roman" w:hAnsiTheme="minorHAnsi" w:cstheme="minorHAnsi"/>
                <w:b/>
                <w:bCs/>
                <w:sz w:val="20"/>
                <w:szCs w:val="20"/>
                <w:lang w:eastAsia="en-GB"/>
              </w:rPr>
              <w:br/>
              <w:t xml:space="preserve">Effect: </w:t>
            </w:r>
            <w:r w:rsidR="002A6970" w:rsidRPr="007F63EF">
              <w:rPr>
                <w:rFonts w:asciiTheme="minorHAnsi" w:eastAsia="Times New Roman" w:hAnsiTheme="minorHAnsi" w:cstheme="minorHAnsi"/>
                <w:sz w:val="20"/>
                <w:szCs w:val="20"/>
                <w:lang w:eastAsia="en-GB"/>
              </w:rPr>
              <w:t>this approach will not be suitable to address some questions asked of the programme, such as the actual outcomes resulting from it.</w:t>
            </w:r>
            <w:r w:rsidR="002A6970" w:rsidRPr="007F63EF">
              <w:rPr>
                <w:rFonts w:asciiTheme="minorHAnsi" w:eastAsia="Times New Roman" w:hAnsiTheme="minorHAnsi" w:cstheme="minorHAnsi"/>
                <w:sz w:val="20"/>
                <w:szCs w:val="20"/>
                <w:lang w:eastAsia="en-GB"/>
              </w:rPr>
              <w:br/>
            </w:r>
            <w:r w:rsidR="002A6970" w:rsidRPr="007F63EF">
              <w:rPr>
                <w:rFonts w:asciiTheme="minorHAnsi" w:eastAsia="Times New Roman" w:hAnsiTheme="minorHAnsi" w:cstheme="minorHAnsi"/>
                <w:b/>
                <w:bCs/>
                <w:sz w:val="20"/>
                <w:szCs w:val="20"/>
                <w:lang w:eastAsia="en-GB"/>
              </w:rPr>
              <w:t>Impact</w:t>
            </w:r>
            <w:r w:rsidR="002A6970" w:rsidRPr="007F63EF">
              <w:rPr>
                <w:rFonts w:asciiTheme="minorHAnsi" w:eastAsia="Times New Roman" w:hAnsiTheme="minorHAnsi" w:cstheme="minorHAnsi"/>
                <w:sz w:val="20"/>
                <w:szCs w:val="20"/>
                <w:lang w:eastAsia="en-GB"/>
              </w:rPr>
              <w:t xml:space="preserve">: Relevance and value of the </w:t>
            </w:r>
            <w:r w:rsidRPr="007F63EF">
              <w:rPr>
                <w:rFonts w:asciiTheme="minorHAnsi" w:eastAsia="Times New Roman" w:hAnsiTheme="minorHAnsi" w:cstheme="minorHAnsi"/>
                <w:sz w:val="20"/>
                <w:szCs w:val="20"/>
                <w:lang w:eastAsia="en-GB"/>
              </w:rPr>
              <w:t>EQ</w:t>
            </w:r>
            <w:r w:rsidR="00AA3572" w:rsidRPr="007F63EF">
              <w:rPr>
                <w:rFonts w:asciiTheme="minorHAnsi" w:eastAsia="Times New Roman" w:hAnsiTheme="minorHAnsi" w:cstheme="minorHAnsi"/>
                <w:sz w:val="20"/>
                <w:szCs w:val="20"/>
                <w:lang w:eastAsia="en-GB"/>
              </w:rPr>
              <w:t xml:space="preserve">s </w:t>
            </w:r>
            <w:r w:rsidR="002A6970" w:rsidRPr="007F63EF">
              <w:rPr>
                <w:rFonts w:asciiTheme="minorHAnsi" w:eastAsia="Times New Roman" w:hAnsiTheme="minorHAnsi" w:cstheme="minorHAnsi"/>
                <w:sz w:val="20"/>
                <w:szCs w:val="20"/>
                <w:lang w:eastAsia="en-GB"/>
              </w:rPr>
              <w:t>and confidence reduced.</w:t>
            </w:r>
          </w:p>
        </w:tc>
        <w:tc>
          <w:tcPr>
            <w:tcW w:w="0" w:type="auto"/>
            <w:tcBorders>
              <w:top w:val="nil"/>
              <w:left w:val="nil"/>
              <w:bottom w:val="single" w:sz="4" w:space="0" w:color="auto"/>
              <w:right w:val="single" w:sz="4" w:space="0" w:color="auto"/>
            </w:tcBorders>
            <w:shd w:val="clear" w:color="000000" w:fill="FFFFFF"/>
            <w:vAlign w:val="center"/>
            <w:hideMark/>
          </w:tcPr>
          <w:p w14:paraId="6E80004E" w14:textId="1332D69B" w:rsidR="002A6970" w:rsidRPr="007F63EF" w:rsidRDefault="002A6970" w:rsidP="00435849">
            <w:pPr>
              <w:spacing w:after="240"/>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Mitigating Actions: </w:t>
            </w:r>
            <w:r w:rsidRPr="007F63EF">
              <w:rPr>
                <w:rFonts w:asciiTheme="minorHAnsi" w:eastAsia="Times New Roman" w:hAnsiTheme="minorHAnsi" w:cstheme="minorHAnsi"/>
                <w:sz w:val="20"/>
                <w:szCs w:val="20"/>
                <w:lang w:eastAsia="en-GB"/>
              </w:rPr>
              <w:br/>
              <w:t>1. Utilisation</w:t>
            </w:r>
            <w:r w:rsidR="00092E90"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focused approach adopted.</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The rationale for selecting this methodology will be communicated clearly through meetings during inception and in country and in the Implementation Plan. </w:t>
            </w:r>
            <w:r w:rsidRPr="007F63EF">
              <w:rPr>
                <w:rFonts w:asciiTheme="minorHAnsi" w:eastAsia="Times New Roman" w:hAnsiTheme="minorHAnsi" w:cstheme="minorHAnsi"/>
                <w:sz w:val="20"/>
                <w:szCs w:val="20"/>
                <w:lang w:eastAsia="en-GB"/>
              </w:rPr>
              <w:br/>
              <w:t>2. It will be important to continue to explain the purpose of the Evaluation to stakeholders and why the theory</w:t>
            </w:r>
            <w:r w:rsidR="00092E90"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based approach is the best way to achieve that purpose.</w:t>
            </w:r>
            <w:r w:rsidRPr="007F63EF">
              <w:rPr>
                <w:rFonts w:asciiTheme="minorHAnsi" w:eastAsia="Times New Roman" w:hAnsiTheme="minorHAnsi" w:cstheme="minorHAnsi"/>
                <w:sz w:val="20"/>
                <w:szCs w:val="20"/>
                <w:lang w:eastAsia="en-GB"/>
              </w:rPr>
              <w:br/>
            </w:r>
          </w:p>
        </w:tc>
        <w:tc>
          <w:tcPr>
            <w:tcW w:w="0" w:type="auto"/>
            <w:tcBorders>
              <w:top w:val="nil"/>
              <w:left w:val="nil"/>
              <w:bottom w:val="single" w:sz="4" w:space="0" w:color="auto"/>
              <w:right w:val="single" w:sz="4" w:space="0" w:color="auto"/>
            </w:tcBorders>
            <w:shd w:val="clear" w:color="000000" w:fill="FFFFFF"/>
            <w:vAlign w:val="center"/>
            <w:hideMark/>
          </w:tcPr>
          <w:p w14:paraId="3F98B4A9"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Closed</w:t>
            </w:r>
          </w:p>
        </w:tc>
        <w:tc>
          <w:tcPr>
            <w:tcW w:w="0" w:type="auto"/>
            <w:vAlign w:val="center"/>
            <w:hideMark/>
          </w:tcPr>
          <w:p w14:paraId="605788D7"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2A150AF2" w14:textId="77777777" w:rsidTr="00435849">
        <w:tc>
          <w:tcPr>
            <w:tcW w:w="0" w:type="auto"/>
            <w:tcBorders>
              <w:top w:val="nil"/>
              <w:left w:val="single" w:sz="4" w:space="0" w:color="auto"/>
              <w:bottom w:val="single" w:sz="4" w:space="0" w:color="auto"/>
              <w:right w:val="single" w:sz="4" w:space="0" w:color="auto"/>
            </w:tcBorders>
            <w:shd w:val="clear" w:color="000000" w:fill="FFFFFF"/>
            <w:vAlign w:val="center"/>
            <w:hideMark/>
          </w:tcPr>
          <w:p w14:paraId="69C48D3A"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Relationship</w:t>
            </w:r>
          </w:p>
        </w:tc>
        <w:tc>
          <w:tcPr>
            <w:tcW w:w="0" w:type="auto"/>
            <w:tcBorders>
              <w:top w:val="nil"/>
              <w:left w:val="nil"/>
              <w:bottom w:val="single" w:sz="4" w:space="0" w:color="auto"/>
              <w:right w:val="single" w:sz="4" w:space="0" w:color="auto"/>
            </w:tcBorders>
            <w:shd w:val="clear" w:color="000000" w:fill="FFFFFF"/>
            <w:vAlign w:val="center"/>
            <w:hideMark/>
          </w:tcPr>
          <w:p w14:paraId="346ADB10" w14:textId="209C7F5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00092E90"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DHSC's/MA's requirements for planning around the collection of monitoring data are too rigid and prevent Itad from being opportunistic in the field to gather data arising from unplanned sources such as user feedback or field-based learning.</w:t>
            </w:r>
            <w:r w:rsidRPr="007F63EF">
              <w:rPr>
                <w:rFonts w:asciiTheme="minorHAnsi" w:eastAsia="Times New Roman" w:hAnsiTheme="minorHAnsi" w:cstheme="minorHAnsi"/>
                <w:b/>
                <w:bCs/>
                <w:sz w:val="20"/>
                <w:szCs w:val="20"/>
                <w:lang w:eastAsia="en-GB"/>
              </w:rPr>
              <w:br/>
              <w:t xml:space="preserve">Cause: </w:t>
            </w:r>
            <w:r w:rsidRPr="007F63EF">
              <w:rPr>
                <w:rFonts w:asciiTheme="minorHAnsi" w:eastAsia="Times New Roman" w:hAnsiTheme="minorHAnsi" w:cstheme="minorHAnsi"/>
                <w:sz w:val="20"/>
                <w:szCs w:val="20"/>
                <w:lang w:eastAsia="en-GB"/>
              </w:rPr>
              <w:t xml:space="preserve">Lack of flexibility to take advantage of </w:t>
            </w:r>
            <w:r w:rsidR="003B6E59" w:rsidRPr="007F63EF">
              <w:rPr>
                <w:rFonts w:asciiTheme="minorHAnsi" w:eastAsia="Times New Roman" w:hAnsiTheme="minorHAnsi" w:cstheme="minorHAnsi"/>
                <w:sz w:val="20"/>
                <w:szCs w:val="20"/>
                <w:lang w:eastAsia="en-GB"/>
              </w:rPr>
              <w:t>field-testing</w:t>
            </w:r>
            <w:r w:rsidRPr="007F63EF">
              <w:rPr>
                <w:rFonts w:asciiTheme="minorHAnsi" w:eastAsia="Times New Roman" w:hAnsiTheme="minorHAnsi" w:cstheme="minorHAnsi"/>
                <w:sz w:val="20"/>
                <w:szCs w:val="20"/>
                <w:lang w:eastAsia="en-GB"/>
              </w:rPr>
              <w:t xml:space="preserve"> opportunities. Caution regarding allowing</w:t>
            </w:r>
            <w:r w:rsidR="00092E90"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 xml:space="preserve"> to engage with project</w:t>
            </w:r>
            <w:r w:rsidR="00092E90"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level users.</w:t>
            </w:r>
            <w:r w:rsidRPr="007F63EF">
              <w:rPr>
                <w:rFonts w:asciiTheme="minorHAnsi" w:eastAsia="Times New Roman" w:hAnsiTheme="minorHAnsi" w:cstheme="minorHAnsi"/>
                <w:b/>
                <w:bCs/>
                <w:sz w:val="20"/>
                <w:szCs w:val="20"/>
                <w:lang w:eastAsia="en-GB"/>
              </w:rPr>
              <w:br/>
              <w:t xml:space="preserve">Effect: </w:t>
            </w:r>
            <w:r w:rsidRPr="007F63EF">
              <w:rPr>
                <w:rFonts w:asciiTheme="minorHAnsi" w:eastAsia="Times New Roman" w:hAnsiTheme="minorHAnsi" w:cstheme="minorHAnsi"/>
                <w:sz w:val="20"/>
                <w:szCs w:val="20"/>
                <w:lang w:eastAsia="en-GB"/>
              </w:rPr>
              <w:t xml:space="preserve">Opportunities lost. Lack of </w:t>
            </w:r>
            <w:r w:rsidR="0044432D" w:rsidRPr="007F63EF">
              <w:rPr>
                <w:rFonts w:asciiTheme="minorHAnsi" w:eastAsia="Times New Roman" w:hAnsiTheme="minorHAnsi" w:cstheme="minorHAnsi"/>
                <w:sz w:val="20"/>
                <w:szCs w:val="20"/>
                <w:lang w:eastAsia="en-GB"/>
              </w:rPr>
              <w:t>VfM</w:t>
            </w:r>
            <w:r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b/>
                <w:bCs/>
                <w:sz w:val="20"/>
                <w:szCs w:val="20"/>
                <w:lang w:eastAsia="en-GB"/>
              </w:rPr>
              <w:br/>
              <w:t xml:space="preserve">Impact: </w:t>
            </w:r>
            <w:r w:rsidRPr="007F63EF">
              <w:rPr>
                <w:rFonts w:asciiTheme="minorHAnsi" w:eastAsia="Times New Roman" w:hAnsiTheme="minorHAnsi" w:cstheme="minorHAnsi"/>
                <w:sz w:val="20"/>
                <w:szCs w:val="20"/>
                <w:lang w:eastAsia="en-GB"/>
              </w:rPr>
              <w:t>Reduced evidence, quality of findings, reduced rigo</w:t>
            </w:r>
            <w:r w:rsidR="00092E90" w:rsidRPr="007F63EF">
              <w:rPr>
                <w:rFonts w:asciiTheme="minorHAnsi" w:eastAsia="Times New Roman" w:hAnsiTheme="minorHAnsi" w:cstheme="minorHAnsi"/>
                <w:sz w:val="20"/>
                <w:szCs w:val="20"/>
                <w:lang w:eastAsia="en-GB"/>
              </w:rPr>
              <w:t>u</w:t>
            </w:r>
            <w:r w:rsidRPr="007F63EF">
              <w:rPr>
                <w:rFonts w:asciiTheme="minorHAnsi" w:eastAsia="Times New Roman" w:hAnsiTheme="minorHAnsi" w:cstheme="minorHAnsi"/>
                <w:sz w:val="20"/>
                <w:szCs w:val="20"/>
                <w:lang w:eastAsia="en-GB"/>
              </w:rPr>
              <w:t>r</w:t>
            </w:r>
          </w:p>
        </w:tc>
        <w:tc>
          <w:tcPr>
            <w:tcW w:w="0" w:type="auto"/>
            <w:tcBorders>
              <w:top w:val="nil"/>
              <w:left w:val="nil"/>
              <w:bottom w:val="single" w:sz="4" w:space="0" w:color="auto"/>
              <w:right w:val="single" w:sz="4" w:space="0" w:color="auto"/>
            </w:tcBorders>
            <w:shd w:val="clear" w:color="000000" w:fill="FFFFFF"/>
            <w:vAlign w:val="center"/>
            <w:hideMark/>
          </w:tcPr>
          <w:p w14:paraId="0262CB5C" w14:textId="454C7DFB" w:rsidR="002A6970" w:rsidRPr="007F63EF" w:rsidRDefault="002A6970" w:rsidP="00435849">
            <w:pPr>
              <w:spacing w:after="240"/>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Actions:</w:t>
            </w:r>
            <w:r w:rsidRPr="007F63EF">
              <w:rPr>
                <w:rFonts w:asciiTheme="minorHAnsi" w:eastAsia="Times New Roman" w:hAnsiTheme="minorHAnsi" w:cstheme="minorHAnsi"/>
                <w:sz w:val="20"/>
                <w:szCs w:val="20"/>
                <w:lang w:eastAsia="en-GB"/>
              </w:rPr>
              <w:br/>
              <w:t xml:space="preserve">1. Develop an implementation plan and living </w:t>
            </w:r>
            <w:r w:rsidR="00FB10B9" w:rsidRPr="007F63EF">
              <w:rPr>
                <w:rFonts w:asciiTheme="minorHAnsi" w:eastAsia="Times New Roman" w:hAnsiTheme="minorHAnsi" w:cstheme="minorHAnsi"/>
                <w:sz w:val="20"/>
                <w:szCs w:val="20"/>
                <w:lang w:eastAsia="en-GB"/>
              </w:rPr>
              <w:t>work plan</w:t>
            </w:r>
            <w:r w:rsidRPr="007F63EF">
              <w:rPr>
                <w:rFonts w:asciiTheme="minorHAnsi" w:eastAsia="Times New Roman" w:hAnsiTheme="minorHAnsi" w:cstheme="minorHAnsi"/>
                <w:sz w:val="20"/>
                <w:szCs w:val="20"/>
                <w:lang w:eastAsia="en-GB"/>
              </w:rPr>
              <w:t xml:space="preserve"> that builds flexibility into the process and review points to allow change of approach.</w:t>
            </w:r>
            <w:r w:rsidRPr="007F63EF">
              <w:rPr>
                <w:rFonts w:asciiTheme="minorHAnsi" w:eastAsia="Times New Roman" w:hAnsiTheme="minorHAnsi" w:cstheme="minorHAnsi"/>
                <w:sz w:val="20"/>
                <w:szCs w:val="20"/>
                <w:lang w:eastAsia="en-GB"/>
              </w:rPr>
              <w:br/>
              <w:t xml:space="preserve">2. DHSC to provide flexibility to approach in order to allow </w:t>
            </w:r>
            <w:r w:rsidR="00813E4E">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project to respond quickly to emergent opportunities. Itad to suggest any perceived inflexibility of obligations during</w:t>
            </w:r>
            <w:r w:rsidR="00092E90"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contracting for</w:t>
            </w:r>
            <w:r w:rsidR="00092E90"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implementation phase.</w:t>
            </w:r>
          </w:p>
        </w:tc>
        <w:tc>
          <w:tcPr>
            <w:tcW w:w="0" w:type="auto"/>
            <w:tcBorders>
              <w:top w:val="nil"/>
              <w:left w:val="nil"/>
              <w:bottom w:val="single" w:sz="4" w:space="0" w:color="auto"/>
              <w:right w:val="single" w:sz="4" w:space="0" w:color="auto"/>
            </w:tcBorders>
            <w:shd w:val="clear" w:color="000000" w:fill="FFFFFF"/>
            <w:vAlign w:val="center"/>
            <w:hideMark/>
          </w:tcPr>
          <w:p w14:paraId="23203408"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Closed</w:t>
            </w:r>
          </w:p>
        </w:tc>
        <w:tc>
          <w:tcPr>
            <w:tcW w:w="0" w:type="auto"/>
            <w:vAlign w:val="center"/>
            <w:hideMark/>
          </w:tcPr>
          <w:p w14:paraId="2578E5CF"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009B8E98" w14:textId="77777777" w:rsidTr="00435849">
        <w:tc>
          <w:tcPr>
            <w:tcW w:w="0" w:type="auto"/>
            <w:tcBorders>
              <w:top w:val="nil"/>
              <w:left w:val="single" w:sz="4" w:space="0" w:color="auto"/>
              <w:bottom w:val="single" w:sz="4" w:space="0" w:color="auto"/>
              <w:right w:val="single" w:sz="4" w:space="0" w:color="auto"/>
            </w:tcBorders>
            <w:shd w:val="clear" w:color="000000" w:fill="FFFFFF"/>
            <w:vAlign w:val="center"/>
            <w:hideMark/>
          </w:tcPr>
          <w:p w14:paraId="0451AA1A" w14:textId="3EBA5B14"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Technical</w:t>
            </w:r>
          </w:p>
        </w:tc>
        <w:tc>
          <w:tcPr>
            <w:tcW w:w="0" w:type="auto"/>
            <w:tcBorders>
              <w:top w:val="nil"/>
              <w:left w:val="nil"/>
              <w:bottom w:val="single" w:sz="4" w:space="0" w:color="auto"/>
              <w:right w:val="single" w:sz="4" w:space="0" w:color="auto"/>
            </w:tcBorders>
            <w:shd w:val="clear" w:color="000000" w:fill="FFFFFF"/>
            <w:vAlign w:val="center"/>
            <w:hideMark/>
          </w:tcPr>
          <w:p w14:paraId="4BF76629" w14:textId="2759D19A"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b/>
                <w:bCs/>
                <w:sz w:val="20"/>
                <w:szCs w:val="20"/>
                <w:lang w:eastAsia="en-GB"/>
              </w:rPr>
              <w:t>Risk:</w:t>
            </w:r>
            <w:r w:rsidRPr="007F63EF">
              <w:rPr>
                <w:rFonts w:asciiTheme="minorHAnsi" w:eastAsia="Times New Roman" w:hAnsiTheme="minorHAnsi" w:cstheme="minorHAnsi"/>
                <w:sz w:val="20"/>
                <w:szCs w:val="20"/>
                <w:lang w:eastAsia="en-GB"/>
              </w:rPr>
              <w:t xml:space="preserve"> Wrong combination of data collection tools for evaluating the programme as a whole</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Cause:</w:t>
            </w:r>
            <w:r w:rsidRPr="007F63EF">
              <w:rPr>
                <w:rFonts w:asciiTheme="minorHAnsi" w:eastAsia="Times New Roman" w:hAnsiTheme="minorHAnsi" w:cstheme="minorHAnsi"/>
                <w:sz w:val="20"/>
                <w:szCs w:val="20"/>
                <w:lang w:eastAsia="en-GB"/>
              </w:rPr>
              <w:t xml:space="preserve"> The evaluation needs to have the right mix of tools for data collection and analysis, including targeted impact evaluation methodologies for selected interventions and also tools to evaluate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MA</w:t>
            </w:r>
            <w:r w:rsidR="00D65AF6"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s overall approach.</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Effect:</w:t>
            </w:r>
            <w:r w:rsidRPr="007F63EF">
              <w:rPr>
                <w:rFonts w:asciiTheme="minorHAnsi" w:eastAsia="Times New Roman" w:hAnsiTheme="minorHAnsi" w:cstheme="minorHAnsi"/>
                <w:sz w:val="20"/>
                <w:szCs w:val="20"/>
                <w:lang w:eastAsia="en-GB"/>
              </w:rPr>
              <w:t xml:space="preserve"> Given that the programme will support a number of interventions across </w:t>
            </w:r>
            <w:r w:rsidR="00D65AF6" w:rsidRPr="007F63EF">
              <w:rPr>
                <w:rFonts w:asciiTheme="minorHAnsi" w:eastAsia="Times New Roman" w:hAnsiTheme="minorHAnsi" w:cstheme="minorHAnsi"/>
                <w:sz w:val="20"/>
                <w:szCs w:val="20"/>
                <w:lang w:eastAsia="en-GB"/>
              </w:rPr>
              <w:t>several</w:t>
            </w:r>
            <w:r w:rsidRPr="007F63EF">
              <w:rPr>
                <w:rFonts w:asciiTheme="minorHAnsi" w:eastAsia="Times New Roman" w:hAnsiTheme="minorHAnsi" w:cstheme="minorHAnsi"/>
                <w:sz w:val="20"/>
                <w:szCs w:val="20"/>
                <w:lang w:eastAsia="en-GB"/>
              </w:rPr>
              <w:t xml:space="preserve"> countries, there is a risk that data collection will be of variable quality depending on the different levels of complexity of different interventions and regional and geographical differences, which may complicate the evaluation of the overall approach.</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Impact:</w:t>
            </w:r>
            <w:r w:rsidRPr="007F63EF">
              <w:rPr>
                <w:rFonts w:asciiTheme="minorHAnsi" w:eastAsia="Times New Roman" w:hAnsiTheme="minorHAnsi" w:cstheme="minorHAnsi"/>
                <w:sz w:val="20"/>
                <w:szCs w:val="20"/>
                <w:lang w:eastAsia="en-GB"/>
              </w:rPr>
              <w:t xml:space="preserve"> poorer quality data and less useful deliverables, reduced budget through overspend</w:t>
            </w:r>
            <w:r w:rsidR="00D65AF6" w:rsidRPr="007F63EF">
              <w:rPr>
                <w:rFonts w:asciiTheme="minorHAnsi" w:eastAsia="Times New Roman" w:hAnsiTheme="minorHAnsi" w:cstheme="minorHAnsi"/>
                <w:sz w:val="20"/>
                <w:szCs w:val="20"/>
                <w:lang w:eastAsia="en-GB"/>
              </w:rPr>
              <w:t>ing</w:t>
            </w:r>
            <w:r w:rsidRPr="007F63EF">
              <w:rPr>
                <w:rFonts w:asciiTheme="minorHAnsi" w:eastAsia="Times New Roman" w:hAnsiTheme="minorHAnsi" w:cstheme="minorHAnsi"/>
                <w:sz w:val="20"/>
                <w:szCs w:val="20"/>
                <w:lang w:eastAsia="en-GB"/>
              </w:rPr>
              <w:t xml:space="preserve"> in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wrong areas</w:t>
            </w:r>
          </w:p>
        </w:tc>
        <w:tc>
          <w:tcPr>
            <w:tcW w:w="0" w:type="auto"/>
            <w:tcBorders>
              <w:top w:val="nil"/>
              <w:left w:val="nil"/>
              <w:bottom w:val="single" w:sz="4" w:space="0" w:color="auto"/>
              <w:right w:val="single" w:sz="4" w:space="0" w:color="auto"/>
            </w:tcBorders>
            <w:shd w:val="clear" w:color="000000" w:fill="FFFFFF"/>
            <w:vAlign w:val="center"/>
            <w:hideMark/>
          </w:tcPr>
          <w:p w14:paraId="6D170E01" w14:textId="3BCAD0D2"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Data collection tools and methodologies will be designed, piloted, refined and revised to ensure continued relevance. These will be developed during the scoping mission to Early Investment Countries. Theories as well as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validity of assumptions will be </w:t>
            </w:r>
            <w:r w:rsidR="00D65AF6" w:rsidRPr="007F63EF">
              <w:rPr>
                <w:rFonts w:asciiTheme="minorHAnsi" w:eastAsia="Times New Roman" w:hAnsiTheme="minorHAnsi" w:cstheme="minorHAnsi"/>
                <w:sz w:val="20"/>
                <w:szCs w:val="20"/>
                <w:lang w:eastAsia="en-GB"/>
              </w:rPr>
              <w:t>partly</w:t>
            </w:r>
            <w:r w:rsidRPr="007F63EF">
              <w:rPr>
                <w:rFonts w:asciiTheme="minorHAnsi" w:eastAsia="Times New Roman" w:hAnsiTheme="minorHAnsi" w:cstheme="minorHAnsi"/>
                <w:sz w:val="20"/>
                <w:szCs w:val="20"/>
                <w:lang w:eastAsia="en-GB"/>
              </w:rPr>
              <w:t xml:space="preserve"> tested by the visit to the pilot country, Vietnam. </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2. Plans will be detailed in the implementation plan following agreement on the M&amp;E framework regarding data sources and collection methods, as well as roles and responsibilities.</w:t>
            </w:r>
          </w:p>
        </w:tc>
        <w:tc>
          <w:tcPr>
            <w:tcW w:w="0" w:type="auto"/>
            <w:tcBorders>
              <w:top w:val="nil"/>
              <w:left w:val="nil"/>
              <w:bottom w:val="single" w:sz="4" w:space="0" w:color="auto"/>
              <w:right w:val="single" w:sz="4" w:space="0" w:color="auto"/>
            </w:tcBorders>
            <w:shd w:val="clear" w:color="000000" w:fill="FFFFFF"/>
            <w:vAlign w:val="center"/>
            <w:hideMark/>
          </w:tcPr>
          <w:p w14:paraId="288137C6"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Closed</w:t>
            </w:r>
          </w:p>
        </w:tc>
        <w:tc>
          <w:tcPr>
            <w:tcW w:w="0" w:type="auto"/>
            <w:vAlign w:val="center"/>
            <w:hideMark/>
          </w:tcPr>
          <w:p w14:paraId="004560B4"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6B6287F2" w14:textId="77777777" w:rsidTr="00435849">
        <w:tc>
          <w:tcPr>
            <w:tcW w:w="0" w:type="auto"/>
            <w:tcBorders>
              <w:top w:val="nil"/>
              <w:left w:val="single" w:sz="4" w:space="0" w:color="auto"/>
              <w:bottom w:val="single" w:sz="4" w:space="0" w:color="auto"/>
              <w:right w:val="single" w:sz="4" w:space="0" w:color="auto"/>
            </w:tcBorders>
            <w:shd w:val="clear" w:color="000000" w:fill="FFFFFF"/>
            <w:vAlign w:val="center"/>
            <w:hideMark/>
          </w:tcPr>
          <w:p w14:paraId="6ABA0F58" w14:textId="0E44D3E1"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Technical</w:t>
            </w:r>
          </w:p>
        </w:tc>
        <w:tc>
          <w:tcPr>
            <w:tcW w:w="0" w:type="auto"/>
            <w:tcBorders>
              <w:top w:val="nil"/>
              <w:left w:val="nil"/>
              <w:bottom w:val="single" w:sz="4" w:space="0" w:color="auto"/>
              <w:right w:val="single" w:sz="4" w:space="0" w:color="auto"/>
            </w:tcBorders>
            <w:shd w:val="clear" w:color="000000" w:fill="FFFFFF"/>
            <w:vAlign w:val="center"/>
            <w:hideMark/>
          </w:tcPr>
          <w:p w14:paraId="7EEB9F09" w14:textId="6A02B63B" w:rsidR="002A6970" w:rsidRPr="007F63EF" w:rsidRDefault="002A6970" w:rsidP="00435849">
            <w:pPr>
              <w:spacing w:after="240"/>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Implementation plan (evaluation component) will not meet expectations</w:t>
            </w:r>
            <w:r w:rsidRPr="007F63EF">
              <w:rPr>
                <w:rFonts w:asciiTheme="minorHAnsi" w:eastAsia="Times New Roman" w:hAnsiTheme="minorHAnsi" w:cstheme="minorHAnsi"/>
                <w:b/>
                <w:bCs/>
                <w:sz w:val="20"/>
                <w:szCs w:val="20"/>
                <w:lang w:eastAsia="en-GB"/>
              </w:rPr>
              <w:br/>
              <w:t xml:space="preserve">Cause: </w:t>
            </w:r>
            <w:r w:rsidRPr="007F63EF">
              <w:rPr>
                <w:rFonts w:asciiTheme="minorHAnsi" w:eastAsia="Times New Roman" w:hAnsiTheme="minorHAnsi" w:cstheme="minorHAnsi"/>
                <w:sz w:val="20"/>
                <w:szCs w:val="20"/>
                <w:lang w:eastAsia="en-GB"/>
              </w:rPr>
              <w:t xml:space="preserve">Lack of clarity on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content of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implementation plan developed by Itad. </w:t>
            </w:r>
            <w:r w:rsidRPr="007F63EF">
              <w:rPr>
                <w:rFonts w:asciiTheme="minorHAnsi" w:eastAsia="Times New Roman" w:hAnsiTheme="minorHAnsi" w:cstheme="minorHAnsi"/>
                <w:b/>
                <w:bCs/>
                <w:sz w:val="20"/>
                <w:szCs w:val="20"/>
                <w:lang w:eastAsia="en-GB"/>
              </w:rPr>
              <w:br/>
              <w:t>Effect:</w:t>
            </w:r>
            <w:r w:rsidRPr="007F63EF">
              <w:rPr>
                <w:rFonts w:asciiTheme="minorHAnsi" w:eastAsia="Times New Roman" w:hAnsiTheme="minorHAnsi" w:cstheme="minorHAnsi"/>
                <w:sz w:val="20"/>
                <w:szCs w:val="20"/>
                <w:lang w:eastAsia="en-GB"/>
              </w:rPr>
              <w:t xml:space="preserve"> Product does not meet expectations </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 xml:space="preserve">Consequences: </w:t>
            </w:r>
            <w:r w:rsidRPr="007F63EF">
              <w:rPr>
                <w:rFonts w:asciiTheme="minorHAnsi" w:eastAsia="Times New Roman" w:hAnsiTheme="minorHAnsi" w:cstheme="minorHAnsi"/>
                <w:sz w:val="20"/>
                <w:szCs w:val="20"/>
                <w:lang w:eastAsia="en-GB"/>
              </w:rPr>
              <w:t>More extensive feedback on products/delay to approvals, and breakdown of trust.</w:t>
            </w:r>
          </w:p>
        </w:tc>
        <w:tc>
          <w:tcPr>
            <w:tcW w:w="0" w:type="auto"/>
            <w:tcBorders>
              <w:top w:val="nil"/>
              <w:left w:val="nil"/>
              <w:bottom w:val="single" w:sz="4" w:space="0" w:color="auto"/>
              <w:right w:val="single" w:sz="4" w:space="0" w:color="auto"/>
            </w:tcBorders>
            <w:shd w:val="clear" w:color="000000" w:fill="FFFFFF"/>
            <w:vAlign w:val="center"/>
            <w:hideMark/>
          </w:tcPr>
          <w:p w14:paraId="3041094B" w14:textId="7240C5CA" w:rsidR="002A6970" w:rsidRPr="007F63EF" w:rsidRDefault="002A6970" w:rsidP="00435849">
            <w:pPr>
              <w:spacing w:after="240"/>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1. Regular communication with DHSC and MA</w:t>
            </w:r>
            <w:r w:rsidRPr="007F63EF">
              <w:rPr>
                <w:rFonts w:asciiTheme="minorHAnsi" w:eastAsia="Times New Roman" w:hAnsiTheme="minorHAnsi" w:cstheme="minorHAnsi"/>
                <w:sz w:val="20"/>
                <w:szCs w:val="20"/>
                <w:lang w:eastAsia="en-GB"/>
              </w:rPr>
              <w:br/>
              <w:t xml:space="preserve">2. Scheduled collaborative Q&amp;A sessions with lead staff on project </w:t>
            </w:r>
            <w:r w:rsidRPr="007F63EF">
              <w:rPr>
                <w:rFonts w:asciiTheme="minorHAnsi" w:eastAsia="Times New Roman" w:hAnsiTheme="minorHAnsi" w:cstheme="minorHAnsi"/>
                <w:sz w:val="20"/>
                <w:szCs w:val="20"/>
                <w:lang w:eastAsia="en-GB"/>
              </w:rPr>
              <w:br/>
              <w:t xml:space="preserve">3. External and internal </w:t>
            </w:r>
            <w:r w:rsidR="00B25D09" w:rsidRPr="007F63EF">
              <w:rPr>
                <w:rFonts w:asciiTheme="minorHAnsi" w:eastAsia="Times New Roman" w:hAnsiTheme="minorHAnsi" w:cstheme="minorHAnsi"/>
                <w:sz w:val="20"/>
                <w:szCs w:val="20"/>
                <w:lang w:eastAsia="en-GB"/>
              </w:rPr>
              <w:t>QA</w:t>
            </w:r>
            <w:r w:rsidRPr="007F63EF">
              <w:rPr>
                <w:rFonts w:asciiTheme="minorHAnsi" w:eastAsia="Times New Roman" w:hAnsiTheme="minorHAnsi" w:cstheme="minorHAnsi"/>
                <w:sz w:val="20"/>
                <w:szCs w:val="20"/>
                <w:lang w:eastAsia="en-GB"/>
              </w:rPr>
              <w:t xml:space="preserve"> of implementation plan prior to submission</w:t>
            </w:r>
            <w:r w:rsidRPr="007F63EF">
              <w:rPr>
                <w:rFonts w:asciiTheme="minorHAnsi" w:eastAsia="Times New Roman" w:hAnsiTheme="minorHAnsi" w:cstheme="minorHAnsi"/>
                <w:sz w:val="20"/>
                <w:szCs w:val="20"/>
                <w:lang w:eastAsia="en-GB"/>
              </w:rPr>
              <w:br/>
              <w:t xml:space="preserve">4. Opportunity for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DHSC and MA to feedback on</w:t>
            </w:r>
            <w:r w:rsidR="00D65AF6"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implementation plan prior to approval (within agreed timeframes) </w:t>
            </w:r>
            <w:r w:rsidRPr="007F63EF">
              <w:rPr>
                <w:rFonts w:asciiTheme="minorHAnsi" w:eastAsia="Times New Roman" w:hAnsiTheme="minorHAnsi" w:cstheme="minorHAnsi"/>
                <w:sz w:val="20"/>
                <w:szCs w:val="20"/>
                <w:lang w:eastAsia="en-GB"/>
              </w:rPr>
              <w:br/>
              <w:t xml:space="preserve">5. Detailed explanation of product, quality, detail and plan within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implementation plan</w:t>
            </w:r>
            <w:r w:rsidR="00D65AF6" w:rsidRPr="007F63EF">
              <w:rPr>
                <w:rFonts w:asciiTheme="minorHAnsi" w:eastAsia="Times New Roman" w:hAnsiTheme="minorHAnsi" w:cstheme="minorHAnsi"/>
                <w:sz w:val="20"/>
                <w:szCs w:val="20"/>
                <w:lang w:eastAsia="en-GB"/>
              </w:rPr>
              <w:t xml:space="preserve"> before</w:t>
            </w:r>
            <w:r w:rsidRPr="007F63EF">
              <w:rPr>
                <w:rFonts w:asciiTheme="minorHAnsi" w:eastAsia="Times New Roman" w:hAnsiTheme="minorHAnsi" w:cstheme="minorHAnsi"/>
                <w:sz w:val="20"/>
                <w:szCs w:val="20"/>
                <w:lang w:eastAsia="en-GB"/>
              </w:rPr>
              <w:t xml:space="preserve"> submission.</w:t>
            </w:r>
          </w:p>
        </w:tc>
        <w:tc>
          <w:tcPr>
            <w:tcW w:w="0" w:type="auto"/>
            <w:tcBorders>
              <w:top w:val="nil"/>
              <w:left w:val="nil"/>
              <w:bottom w:val="single" w:sz="4" w:space="0" w:color="auto"/>
              <w:right w:val="single" w:sz="4" w:space="0" w:color="auto"/>
            </w:tcBorders>
            <w:shd w:val="clear" w:color="000000" w:fill="FFFFFF"/>
            <w:vAlign w:val="center"/>
            <w:hideMark/>
          </w:tcPr>
          <w:p w14:paraId="4A0E40D0"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Closed</w:t>
            </w:r>
          </w:p>
        </w:tc>
        <w:tc>
          <w:tcPr>
            <w:tcW w:w="0" w:type="auto"/>
            <w:vAlign w:val="center"/>
            <w:hideMark/>
          </w:tcPr>
          <w:p w14:paraId="1FD938BE"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28547FDA" w14:textId="77777777" w:rsidTr="00435849">
        <w:tc>
          <w:tcPr>
            <w:tcW w:w="0" w:type="auto"/>
            <w:tcBorders>
              <w:top w:val="nil"/>
              <w:left w:val="single" w:sz="4" w:space="0" w:color="auto"/>
              <w:bottom w:val="single" w:sz="4" w:space="0" w:color="auto"/>
              <w:right w:val="single" w:sz="4" w:space="0" w:color="auto"/>
            </w:tcBorders>
            <w:shd w:val="clear" w:color="000000" w:fill="FFFFFF"/>
            <w:vAlign w:val="center"/>
            <w:hideMark/>
          </w:tcPr>
          <w:p w14:paraId="3E062E39" w14:textId="4E2C0A98"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Technical</w:t>
            </w:r>
          </w:p>
        </w:tc>
        <w:tc>
          <w:tcPr>
            <w:tcW w:w="0" w:type="auto"/>
            <w:tcBorders>
              <w:top w:val="nil"/>
              <w:left w:val="nil"/>
              <w:bottom w:val="single" w:sz="4" w:space="0" w:color="auto"/>
              <w:right w:val="single" w:sz="4" w:space="0" w:color="auto"/>
            </w:tcBorders>
            <w:shd w:val="clear" w:color="000000" w:fill="FFFFFF"/>
            <w:vAlign w:val="center"/>
            <w:hideMark/>
          </w:tcPr>
          <w:p w14:paraId="0E281C59" w14:textId="390AE155"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Evaluation does not sufficiently take account of 'One Health'</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 xml:space="preserve">Cause: </w:t>
            </w:r>
            <w:r w:rsidRPr="007F63EF">
              <w:rPr>
                <w:rFonts w:asciiTheme="minorHAnsi" w:eastAsia="Times New Roman" w:hAnsiTheme="minorHAnsi" w:cstheme="minorHAnsi"/>
                <w:sz w:val="20"/>
                <w:szCs w:val="20"/>
                <w:lang w:eastAsia="en-GB"/>
              </w:rPr>
              <w:t xml:space="preserve">Good technical input from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core team on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laboratory/</w:t>
            </w:r>
            <w:r w:rsidR="00913E01" w:rsidRPr="007F63EF">
              <w:rPr>
                <w:rFonts w:asciiTheme="minorHAnsi" w:eastAsia="Times New Roman" w:hAnsiTheme="minorHAnsi" w:cstheme="minorHAnsi"/>
                <w:sz w:val="20"/>
                <w:szCs w:val="20"/>
                <w:lang w:eastAsia="en-GB"/>
              </w:rPr>
              <w:t>HH</w:t>
            </w:r>
            <w:r w:rsidRPr="007F63EF">
              <w:rPr>
                <w:rFonts w:asciiTheme="minorHAnsi" w:eastAsia="Times New Roman" w:hAnsiTheme="minorHAnsi" w:cstheme="minorHAnsi"/>
                <w:sz w:val="20"/>
                <w:szCs w:val="20"/>
                <w:lang w:eastAsia="en-GB"/>
              </w:rPr>
              <w:t xml:space="preserve"> side but potentially a gap </w:t>
            </w:r>
            <w:r w:rsidR="00D65AF6" w:rsidRPr="007F63EF">
              <w:rPr>
                <w:rFonts w:asciiTheme="minorHAnsi" w:eastAsia="Times New Roman" w:hAnsiTheme="minorHAnsi" w:cstheme="minorHAnsi"/>
                <w:sz w:val="20"/>
                <w:szCs w:val="20"/>
                <w:lang w:eastAsia="en-GB"/>
              </w:rPr>
              <w:t xml:space="preserve">in </w:t>
            </w:r>
            <w:r w:rsidRPr="007F63EF">
              <w:rPr>
                <w:rFonts w:asciiTheme="minorHAnsi" w:eastAsia="Times New Roman" w:hAnsiTheme="minorHAnsi" w:cstheme="minorHAnsi"/>
                <w:sz w:val="20"/>
                <w:szCs w:val="20"/>
                <w:lang w:eastAsia="en-GB"/>
              </w:rPr>
              <w:t xml:space="preserve">agriculture, food, </w:t>
            </w:r>
            <w:r w:rsidR="00265143" w:rsidRPr="007F63EF">
              <w:rPr>
                <w:rFonts w:asciiTheme="minorHAnsi" w:eastAsia="Times New Roman" w:hAnsiTheme="minorHAnsi" w:cstheme="minorHAnsi"/>
                <w:sz w:val="20"/>
                <w:szCs w:val="20"/>
                <w:lang w:eastAsia="en-GB"/>
              </w:rPr>
              <w:t>AH</w:t>
            </w:r>
            <w:r w:rsidRPr="007F63EF">
              <w:rPr>
                <w:rFonts w:asciiTheme="minorHAnsi" w:eastAsia="Times New Roman" w:hAnsiTheme="minorHAnsi" w:cstheme="minorHAnsi"/>
                <w:sz w:val="20"/>
                <w:szCs w:val="20"/>
                <w:lang w:eastAsia="en-GB"/>
              </w:rPr>
              <w:t xml:space="preserve">, </w:t>
            </w:r>
            <w:r w:rsidR="00D65AF6" w:rsidRPr="007F63EF">
              <w:rPr>
                <w:rFonts w:asciiTheme="minorHAnsi" w:eastAsia="Times New Roman" w:hAnsiTheme="minorHAnsi" w:cstheme="minorHAnsi"/>
                <w:sz w:val="20"/>
                <w:szCs w:val="20"/>
                <w:lang w:eastAsia="en-GB"/>
              </w:rPr>
              <w:t xml:space="preserve">and </w:t>
            </w:r>
            <w:r w:rsidRPr="007F63EF">
              <w:rPr>
                <w:rFonts w:asciiTheme="minorHAnsi" w:eastAsia="Times New Roman" w:hAnsiTheme="minorHAnsi" w:cstheme="minorHAnsi"/>
                <w:sz w:val="20"/>
                <w:szCs w:val="20"/>
                <w:lang w:eastAsia="en-GB"/>
              </w:rPr>
              <w:t xml:space="preserve">environment. Potentially a low risk depending on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portfolio of grants given.</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Effect:</w:t>
            </w:r>
            <w:r w:rsidRPr="007F63EF">
              <w:rPr>
                <w:rFonts w:asciiTheme="minorHAnsi" w:eastAsia="Times New Roman" w:hAnsiTheme="minorHAnsi" w:cstheme="minorHAnsi"/>
                <w:sz w:val="20"/>
                <w:szCs w:val="20"/>
                <w:lang w:eastAsia="en-GB"/>
              </w:rPr>
              <w:t xml:space="preserve"> One Health approach </w:t>
            </w:r>
            <w:r w:rsidR="00D65AF6" w:rsidRPr="007F63EF">
              <w:rPr>
                <w:rFonts w:asciiTheme="minorHAnsi" w:eastAsia="Times New Roman" w:hAnsiTheme="minorHAnsi" w:cstheme="minorHAnsi"/>
                <w:sz w:val="20"/>
                <w:szCs w:val="20"/>
                <w:lang w:eastAsia="en-GB"/>
              </w:rPr>
              <w:t xml:space="preserve">was </w:t>
            </w:r>
            <w:r w:rsidRPr="007F63EF">
              <w:rPr>
                <w:rFonts w:asciiTheme="minorHAnsi" w:eastAsia="Times New Roman" w:hAnsiTheme="minorHAnsi" w:cstheme="minorHAnsi"/>
                <w:sz w:val="20"/>
                <w:szCs w:val="20"/>
                <w:lang w:eastAsia="en-GB"/>
              </w:rPr>
              <w:t xml:space="preserve">not considered complete, </w:t>
            </w:r>
            <w:r w:rsidR="00D65AF6" w:rsidRPr="007F63EF">
              <w:rPr>
                <w:rFonts w:asciiTheme="minorHAnsi" w:eastAsia="Times New Roman" w:hAnsiTheme="minorHAnsi" w:cstheme="minorHAnsi"/>
                <w:sz w:val="20"/>
                <w:szCs w:val="20"/>
                <w:lang w:eastAsia="en-GB"/>
              </w:rPr>
              <w:t xml:space="preserve">and </w:t>
            </w:r>
            <w:r w:rsidRPr="007F63EF">
              <w:rPr>
                <w:rFonts w:asciiTheme="minorHAnsi" w:eastAsia="Times New Roman" w:hAnsiTheme="minorHAnsi" w:cstheme="minorHAnsi"/>
                <w:sz w:val="20"/>
                <w:szCs w:val="20"/>
                <w:lang w:eastAsia="en-GB"/>
              </w:rPr>
              <w:t xml:space="preserve">aspects of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Fleming Fund</w:t>
            </w:r>
            <w:r w:rsidR="00D65AF6" w:rsidRPr="007F63EF">
              <w:rPr>
                <w:rFonts w:asciiTheme="minorHAnsi" w:eastAsia="Times New Roman" w:hAnsiTheme="minorHAnsi" w:cstheme="minorHAnsi"/>
                <w:sz w:val="20"/>
                <w:szCs w:val="20"/>
                <w:lang w:eastAsia="en-GB"/>
              </w:rPr>
              <w:t xml:space="preserve"> were</w:t>
            </w:r>
            <w:r w:rsidRPr="007F63EF">
              <w:rPr>
                <w:rFonts w:asciiTheme="minorHAnsi" w:eastAsia="Times New Roman" w:hAnsiTheme="minorHAnsi" w:cstheme="minorHAnsi"/>
                <w:sz w:val="20"/>
                <w:szCs w:val="20"/>
                <w:lang w:eastAsia="en-GB"/>
              </w:rPr>
              <w:t xml:space="preserve"> not evaluated. </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 xml:space="preserve">Impact: </w:t>
            </w:r>
            <w:r w:rsidR="00F21D1C" w:rsidRPr="007F63EF">
              <w:rPr>
                <w:rFonts w:asciiTheme="minorHAnsi" w:eastAsia="Times New Roman" w:hAnsiTheme="minorHAnsi" w:cstheme="minorHAnsi"/>
                <w:sz w:val="20"/>
                <w:szCs w:val="20"/>
                <w:lang w:eastAsia="en-GB"/>
              </w:rPr>
              <w:t>EQ</w:t>
            </w:r>
            <w:r w:rsidRPr="007F63EF">
              <w:rPr>
                <w:rFonts w:asciiTheme="minorHAnsi" w:eastAsia="Times New Roman" w:hAnsiTheme="minorHAnsi" w:cstheme="minorHAnsi"/>
                <w:sz w:val="20"/>
                <w:szCs w:val="20"/>
                <w:lang w:eastAsia="en-GB"/>
              </w:rPr>
              <w:t>s not fully answered</w:t>
            </w:r>
          </w:p>
        </w:tc>
        <w:tc>
          <w:tcPr>
            <w:tcW w:w="0" w:type="auto"/>
            <w:tcBorders>
              <w:top w:val="nil"/>
              <w:left w:val="nil"/>
              <w:bottom w:val="single" w:sz="4" w:space="0" w:color="auto"/>
              <w:right w:val="single" w:sz="4" w:space="0" w:color="auto"/>
            </w:tcBorders>
            <w:shd w:val="clear" w:color="000000" w:fill="FFFFFF"/>
            <w:vAlign w:val="center"/>
            <w:hideMark/>
          </w:tcPr>
          <w:p w14:paraId="4C92B267" w14:textId="4E8282C5" w:rsidR="00D65AF6" w:rsidRPr="007F63EF" w:rsidRDefault="002A6970" w:rsidP="00435849">
            <w:pPr>
              <w:spacing w:after="240"/>
              <w:rPr>
                <w:rFonts w:asciiTheme="minorHAnsi" w:eastAsia="Times New Roman" w:hAnsiTheme="minorHAnsi" w:cstheme="minorHAnsi"/>
                <w:sz w:val="20"/>
                <w:szCs w:val="20"/>
                <w:lang w:eastAsia="en-GB"/>
              </w:rPr>
            </w:pPr>
            <w:r w:rsidRPr="007F63EF">
              <w:rPr>
                <w:rFonts w:asciiTheme="minorHAnsi" w:eastAsia="Times New Roman" w:hAnsiTheme="minorHAnsi" w:cstheme="minorHAnsi"/>
                <w:b/>
                <w:bCs/>
                <w:sz w:val="20"/>
                <w:szCs w:val="20"/>
                <w:lang w:eastAsia="en-GB"/>
              </w:rPr>
              <w:t>Mitigating Action:</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One Health aspects to be considered and approach detailed in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 xml:space="preserve">implementation plan. </w:t>
            </w:r>
            <w:r w:rsidRPr="007F63EF">
              <w:rPr>
                <w:rFonts w:asciiTheme="minorHAnsi" w:eastAsia="Times New Roman" w:hAnsiTheme="minorHAnsi" w:cstheme="minorHAnsi"/>
                <w:sz w:val="20"/>
                <w:szCs w:val="20"/>
                <w:lang w:eastAsia="en-GB"/>
              </w:rPr>
              <w:br/>
              <w:t>2. Check</w:t>
            </w:r>
            <w:r w:rsidR="00D65AF6"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ins with stakeholders on</w:t>
            </w:r>
            <w:r w:rsidR="00D65AF6"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meaning of EQs in relation to One Health</w:t>
            </w:r>
            <w:r w:rsidRPr="007F63EF">
              <w:rPr>
                <w:rFonts w:asciiTheme="minorHAnsi" w:eastAsia="Times New Roman" w:hAnsiTheme="minorHAnsi" w:cstheme="minorHAnsi"/>
                <w:sz w:val="20"/>
                <w:szCs w:val="20"/>
                <w:lang w:eastAsia="en-GB"/>
              </w:rPr>
              <w:br/>
              <w:t>3. Monitoring of grants given and their one health consideration</w:t>
            </w:r>
            <w:r w:rsidRPr="007F63EF">
              <w:rPr>
                <w:rFonts w:asciiTheme="minorHAnsi" w:eastAsia="Times New Roman" w:hAnsiTheme="minorHAnsi" w:cstheme="minorHAnsi"/>
                <w:sz w:val="20"/>
                <w:szCs w:val="20"/>
                <w:lang w:eastAsia="en-GB"/>
              </w:rPr>
              <w:br/>
              <w:t xml:space="preserve">4. Continued discussion of evaluation approach with DHSC and MA </w:t>
            </w:r>
            <w:r w:rsidRPr="007F63EF">
              <w:rPr>
                <w:rFonts w:asciiTheme="minorHAnsi" w:eastAsia="Times New Roman" w:hAnsiTheme="minorHAnsi" w:cstheme="minorHAnsi"/>
                <w:sz w:val="20"/>
                <w:szCs w:val="20"/>
                <w:lang w:eastAsia="en-GB"/>
              </w:rPr>
              <w:br/>
              <w:t>5.</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ToCs to take into account One Health aspects</w:t>
            </w:r>
            <w:r w:rsidR="00813E4E">
              <w:rPr>
                <w:rFonts w:asciiTheme="minorHAnsi" w:eastAsia="Times New Roman" w:hAnsiTheme="minorHAnsi" w:cstheme="minorHAnsi"/>
                <w:sz w:val="20"/>
                <w:szCs w:val="20"/>
                <w:lang w:eastAsia="en-GB"/>
              </w:rPr>
              <w:t>.</w:t>
            </w:r>
            <w:r w:rsidR="007458AC" w:rsidRPr="007F63EF">
              <w:rPr>
                <w:rFonts w:asciiTheme="minorHAnsi" w:eastAsia="Times New Roman" w:hAnsiTheme="minorHAnsi" w:cstheme="minorHAnsi"/>
                <w:sz w:val="20"/>
                <w:szCs w:val="20"/>
                <w:lang w:eastAsia="en-GB"/>
              </w:rPr>
              <w:t xml:space="preserve"> </w:t>
            </w:r>
          </w:p>
          <w:p w14:paraId="33D43B6E" w14:textId="60EBAE83" w:rsidR="002A6970" w:rsidRPr="007F63EF" w:rsidRDefault="002A6970" w:rsidP="00435849">
            <w:pPr>
              <w:spacing w:after="240"/>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6. New Itad team member with AH expertise and talking to Kitty</w:t>
            </w:r>
            <w:r w:rsidR="00AA3572"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at </w:t>
            </w:r>
            <w:r w:rsidR="00AA3572" w:rsidRPr="007F63EF">
              <w:rPr>
                <w:rFonts w:asciiTheme="minorHAnsi" w:eastAsia="Times New Roman" w:hAnsiTheme="minorHAnsi" w:cstheme="minorHAnsi"/>
                <w:sz w:val="20"/>
                <w:szCs w:val="20"/>
                <w:lang w:eastAsia="en-GB"/>
              </w:rPr>
              <w:t xml:space="preserve">Department for Environment, Food &amp; Rural Affairs </w:t>
            </w:r>
            <w:r w:rsidRPr="007F63EF">
              <w:rPr>
                <w:rFonts w:asciiTheme="minorHAnsi" w:eastAsia="Times New Roman" w:hAnsiTheme="minorHAnsi" w:cstheme="minorHAnsi"/>
                <w:sz w:val="20"/>
                <w:szCs w:val="20"/>
                <w:lang w:eastAsia="en-GB"/>
              </w:rPr>
              <w:t>to bring in One Health expertise.</w:t>
            </w:r>
          </w:p>
        </w:tc>
        <w:tc>
          <w:tcPr>
            <w:tcW w:w="0" w:type="auto"/>
            <w:tcBorders>
              <w:top w:val="nil"/>
              <w:left w:val="nil"/>
              <w:bottom w:val="single" w:sz="4" w:space="0" w:color="auto"/>
              <w:right w:val="single" w:sz="4" w:space="0" w:color="auto"/>
            </w:tcBorders>
            <w:shd w:val="clear" w:color="000000" w:fill="FFFFFF"/>
            <w:vAlign w:val="center"/>
            <w:hideMark/>
          </w:tcPr>
          <w:p w14:paraId="6FF8AE2B"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Closed</w:t>
            </w:r>
          </w:p>
        </w:tc>
        <w:tc>
          <w:tcPr>
            <w:tcW w:w="0" w:type="auto"/>
            <w:vAlign w:val="center"/>
            <w:hideMark/>
          </w:tcPr>
          <w:p w14:paraId="323EA534"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40396A68" w14:textId="77777777" w:rsidTr="00435849">
        <w:tc>
          <w:tcPr>
            <w:tcW w:w="0" w:type="auto"/>
            <w:tcBorders>
              <w:top w:val="nil"/>
              <w:left w:val="single" w:sz="4" w:space="0" w:color="auto"/>
              <w:bottom w:val="single" w:sz="4" w:space="0" w:color="auto"/>
              <w:right w:val="single" w:sz="4" w:space="0" w:color="auto"/>
            </w:tcBorders>
            <w:shd w:val="clear" w:color="000000" w:fill="FFFFFF"/>
            <w:vAlign w:val="center"/>
            <w:hideMark/>
          </w:tcPr>
          <w:p w14:paraId="4CB99E5E"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Data</w:t>
            </w:r>
          </w:p>
        </w:tc>
        <w:tc>
          <w:tcPr>
            <w:tcW w:w="0" w:type="auto"/>
            <w:tcBorders>
              <w:top w:val="nil"/>
              <w:left w:val="nil"/>
              <w:bottom w:val="single" w:sz="4" w:space="0" w:color="auto"/>
              <w:right w:val="single" w:sz="4" w:space="0" w:color="auto"/>
            </w:tcBorders>
            <w:shd w:val="clear" w:color="000000" w:fill="FFFFFF"/>
            <w:vAlign w:val="center"/>
            <w:hideMark/>
          </w:tcPr>
          <w:p w14:paraId="07FD63A1" w14:textId="40613469"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 xml:space="preserve">Risk: </w:t>
            </w:r>
            <w:r w:rsidRPr="007F63EF">
              <w:rPr>
                <w:rFonts w:asciiTheme="minorHAnsi" w:eastAsia="Times New Roman" w:hAnsiTheme="minorHAnsi" w:cstheme="minorHAnsi"/>
                <w:sz w:val="20"/>
                <w:szCs w:val="20"/>
                <w:lang w:eastAsia="en-GB"/>
              </w:rPr>
              <w:t>Poor or variable quality of survey or interview data</w:t>
            </w:r>
            <w:r w:rsidRPr="007F63EF">
              <w:rPr>
                <w:rFonts w:asciiTheme="minorHAnsi" w:eastAsia="Times New Roman" w:hAnsiTheme="minorHAnsi" w:cstheme="minorHAnsi"/>
                <w:b/>
                <w:bCs/>
                <w:sz w:val="20"/>
                <w:szCs w:val="20"/>
                <w:lang w:eastAsia="en-GB"/>
              </w:rPr>
              <w:br/>
              <w:t xml:space="preserve">Cause: </w:t>
            </w:r>
            <w:r w:rsidRPr="007F63EF">
              <w:rPr>
                <w:rFonts w:asciiTheme="minorHAnsi" w:eastAsia="Times New Roman" w:hAnsiTheme="minorHAnsi" w:cstheme="minorHAnsi"/>
                <w:sz w:val="20"/>
                <w:szCs w:val="20"/>
                <w:lang w:eastAsia="en-GB"/>
              </w:rPr>
              <w:t>Survey data quality may be variable in different areas due to different challenges to data collection due to remoteness and other factors.</w:t>
            </w:r>
            <w:r w:rsidRPr="007F63EF">
              <w:rPr>
                <w:rFonts w:asciiTheme="minorHAnsi" w:eastAsia="Times New Roman" w:hAnsiTheme="minorHAnsi" w:cstheme="minorHAnsi"/>
                <w:b/>
                <w:bCs/>
                <w:sz w:val="20"/>
                <w:szCs w:val="20"/>
                <w:lang w:eastAsia="en-GB"/>
              </w:rPr>
              <w:br/>
              <w:t xml:space="preserve">Effect: </w:t>
            </w:r>
            <w:r w:rsidRPr="007F63EF">
              <w:rPr>
                <w:rFonts w:asciiTheme="minorHAnsi" w:eastAsia="Times New Roman" w:hAnsiTheme="minorHAnsi" w:cstheme="minorHAnsi"/>
                <w:sz w:val="20"/>
                <w:szCs w:val="20"/>
                <w:lang w:eastAsia="en-GB"/>
              </w:rPr>
              <w:t xml:space="preserve">Survey results are of insufficient quality or standard. </w:t>
            </w:r>
            <w:r w:rsidRPr="007F63EF">
              <w:rPr>
                <w:rFonts w:asciiTheme="minorHAnsi" w:eastAsia="Times New Roman" w:hAnsiTheme="minorHAnsi" w:cstheme="minorHAnsi"/>
                <w:b/>
                <w:bCs/>
                <w:sz w:val="20"/>
                <w:szCs w:val="20"/>
                <w:lang w:eastAsia="en-GB"/>
              </w:rPr>
              <w:br/>
              <w:t xml:space="preserve">Impact: </w:t>
            </w:r>
            <w:r w:rsidRPr="007F63EF">
              <w:rPr>
                <w:rFonts w:asciiTheme="minorHAnsi" w:eastAsia="Times New Roman" w:hAnsiTheme="minorHAnsi" w:cstheme="minorHAnsi"/>
                <w:sz w:val="20"/>
                <w:szCs w:val="20"/>
                <w:lang w:eastAsia="en-GB"/>
              </w:rPr>
              <w:t>Poorer quality deliverables, lost budget by repeat exercises</w:t>
            </w:r>
          </w:p>
        </w:tc>
        <w:tc>
          <w:tcPr>
            <w:tcW w:w="0" w:type="auto"/>
            <w:tcBorders>
              <w:top w:val="nil"/>
              <w:left w:val="nil"/>
              <w:bottom w:val="single" w:sz="4" w:space="0" w:color="auto"/>
              <w:right w:val="single" w:sz="4" w:space="0" w:color="auto"/>
            </w:tcBorders>
            <w:shd w:val="clear" w:color="000000" w:fill="FFFFFF"/>
            <w:vAlign w:val="center"/>
            <w:hideMark/>
          </w:tcPr>
          <w:p w14:paraId="1EE3C50C" w14:textId="7DA416A1" w:rsidR="002A6970" w:rsidRPr="007F63EF" w:rsidRDefault="002A6970" w:rsidP="00435849">
            <w:pPr>
              <w:spacing w:after="240"/>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 xml:space="preserve">1. </w:t>
            </w:r>
            <w:r w:rsidR="00D65AF6" w:rsidRPr="007F63EF">
              <w:rPr>
                <w:rFonts w:asciiTheme="minorHAnsi" w:eastAsia="Times New Roman" w:hAnsiTheme="minorHAnsi" w:cstheme="minorHAnsi"/>
                <w:sz w:val="20"/>
                <w:szCs w:val="20"/>
                <w:lang w:eastAsia="en-GB"/>
              </w:rPr>
              <w:t xml:space="preserve">The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 xml:space="preserve"> has extensive experience conducting surveys and all the considerations will be taken to ensure robust survey use and </w:t>
            </w:r>
            <w:r w:rsidR="00B25D09" w:rsidRPr="007F63EF">
              <w:rPr>
                <w:rFonts w:asciiTheme="minorHAnsi" w:eastAsia="Times New Roman" w:hAnsiTheme="minorHAnsi" w:cstheme="minorHAnsi"/>
                <w:sz w:val="20"/>
                <w:szCs w:val="20"/>
                <w:lang w:eastAsia="en-GB"/>
              </w:rPr>
              <w:t>QA</w:t>
            </w:r>
            <w:r w:rsidRPr="007F63EF">
              <w:rPr>
                <w:rFonts w:asciiTheme="minorHAnsi" w:eastAsia="Times New Roman" w:hAnsiTheme="minorHAnsi" w:cstheme="minorHAnsi"/>
                <w:sz w:val="20"/>
                <w:szCs w:val="20"/>
                <w:lang w:eastAsia="en-GB"/>
              </w:rPr>
              <w:t xml:space="preserve"> processes. </w:t>
            </w:r>
            <w:r w:rsidRPr="007F63EF">
              <w:rPr>
                <w:rFonts w:asciiTheme="minorHAnsi" w:eastAsia="Times New Roman" w:hAnsiTheme="minorHAnsi" w:cstheme="minorHAnsi"/>
                <w:sz w:val="20"/>
                <w:szCs w:val="20"/>
                <w:lang w:eastAsia="en-GB"/>
              </w:rPr>
              <w:br/>
              <w:t xml:space="preserve">2. </w:t>
            </w:r>
            <w:r w:rsidR="00D65AF6" w:rsidRPr="007F63EF">
              <w:rPr>
                <w:rFonts w:asciiTheme="minorHAnsi" w:eastAsia="Times New Roman" w:hAnsiTheme="minorHAnsi" w:cstheme="minorHAnsi"/>
                <w:sz w:val="20"/>
                <w:szCs w:val="20"/>
                <w:lang w:eastAsia="en-GB"/>
              </w:rPr>
              <w:t xml:space="preserve">The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 xml:space="preserve"> build</w:t>
            </w:r>
            <w:r w:rsidR="00D65AF6" w:rsidRPr="007F63EF">
              <w:rPr>
                <w:rFonts w:asciiTheme="minorHAnsi" w:eastAsia="Times New Roman" w:hAnsiTheme="minorHAnsi" w:cstheme="minorHAnsi"/>
                <w:sz w:val="20"/>
                <w:szCs w:val="20"/>
                <w:lang w:eastAsia="en-GB"/>
              </w:rPr>
              <w:t>s</w:t>
            </w:r>
            <w:r w:rsidRPr="007F63EF">
              <w:rPr>
                <w:rFonts w:asciiTheme="minorHAnsi" w:eastAsia="Times New Roman" w:hAnsiTheme="minorHAnsi" w:cstheme="minorHAnsi"/>
                <w:sz w:val="20"/>
                <w:szCs w:val="20"/>
                <w:lang w:eastAsia="en-GB"/>
              </w:rPr>
              <w:t xml:space="preserve"> capacity with the staff involved in the survey/interview work to ensure a common understanding of requirements (normalisation process). </w:t>
            </w:r>
            <w:r w:rsidRPr="007F63EF">
              <w:rPr>
                <w:rFonts w:asciiTheme="minorHAnsi" w:eastAsia="Times New Roman" w:hAnsiTheme="minorHAnsi" w:cstheme="minorHAnsi"/>
                <w:sz w:val="20"/>
                <w:szCs w:val="20"/>
                <w:lang w:eastAsia="en-GB"/>
              </w:rPr>
              <w:br/>
              <w:t>3. Interview guides will be designed to gather the right information from KIIs</w:t>
            </w:r>
          </w:p>
        </w:tc>
        <w:tc>
          <w:tcPr>
            <w:tcW w:w="0" w:type="auto"/>
            <w:tcBorders>
              <w:top w:val="nil"/>
              <w:left w:val="nil"/>
              <w:bottom w:val="single" w:sz="4" w:space="0" w:color="auto"/>
              <w:right w:val="single" w:sz="4" w:space="0" w:color="auto"/>
            </w:tcBorders>
            <w:shd w:val="clear" w:color="000000" w:fill="FFFFFF"/>
            <w:vAlign w:val="center"/>
            <w:hideMark/>
          </w:tcPr>
          <w:p w14:paraId="230B219F"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Closed</w:t>
            </w:r>
          </w:p>
        </w:tc>
        <w:tc>
          <w:tcPr>
            <w:tcW w:w="0" w:type="auto"/>
            <w:vAlign w:val="center"/>
            <w:hideMark/>
          </w:tcPr>
          <w:p w14:paraId="7D159671"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2C500060" w14:textId="77777777" w:rsidTr="00435849">
        <w:tc>
          <w:tcPr>
            <w:tcW w:w="0" w:type="auto"/>
            <w:tcBorders>
              <w:top w:val="nil"/>
              <w:left w:val="single" w:sz="4" w:space="0" w:color="auto"/>
              <w:bottom w:val="single" w:sz="4" w:space="0" w:color="auto"/>
              <w:right w:val="single" w:sz="4" w:space="0" w:color="auto"/>
            </w:tcBorders>
            <w:shd w:val="clear" w:color="000000" w:fill="FFFFFF"/>
            <w:vAlign w:val="center"/>
            <w:hideMark/>
          </w:tcPr>
          <w:p w14:paraId="75B3ED45"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Team</w:t>
            </w:r>
          </w:p>
        </w:tc>
        <w:tc>
          <w:tcPr>
            <w:tcW w:w="0" w:type="auto"/>
            <w:tcBorders>
              <w:top w:val="nil"/>
              <w:left w:val="nil"/>
              <w:bottom w:val="single" w:sz="4" w:space="0" w:color="auto"/>
              <w:right w:val="single" w:sz="4" w:space="0" w:color="auto"/>
            </w:tcBorders>
            <w:shd w:val="clear" w:color="000000" w:fill="FFFFFF"/>
            <w:vAlign w:val="center"/>
            <w:hideMark/>
          </w:tcPr>
          <w:p w14:paraId="12A279F0" w14:textId="243392A5"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Risk:</w:t>
            </w:r>
            <w:r w:rsidRPr="007F63EF">
              <w:rPr>
                <w:rFonts w:asciiTheme="minorHAnsi" w:eastAsia="Times New Roman" w:hAnsiTheme="minorHAnsi" w:cstheme="minorHAnsi"/>
                <w:sz w:val="20"/>
                <w:szCs w:val="20"/>
                <w:lang w:eastAsia="en-GB"/>
              </w:rPr>
              <w:t xml:space="preserve"> </w:t>
            </w:r>
            <w:r w:rsidR="00D65AF6" w:rsidRPr="007F63EF">
              <w:rPr>
                <w:rFonts w:asciiTheme="minorHAnsi" w:eastAsia="Times New Roman" w:hAnsiTheme="minorHAnsi" w:cstheme="minorHAnsi"/>
                <w:sz w:val="20"/>
                <w:szCs w:val="20"/>
                <w:lang w:eastAsia="en-GB"/>
              </w:rPr>
              <w:t xml:space="preserve">The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 xml:space="preserve"> lacks sufficient technical evaluative capacity to deliver the Evaluation Plan.</w:t>
            </w:r>
            <w:r w:rsidRPr="007F63EF">
              <w:rPr>
                <w:rFonts w:asciiTheme="minorHAnsi" w:eastAsia="Times New Roman" w:hAnsiTheme="minorHAnsi" w:cstheme="minorHAnsi"/>
                <w:b/>
                <w:bCs/>
                <w:sz w:val="20"/>
                <w:szCs w:val="20"/>
                <w:lang w:eastAsia="en-GB"/>
              </w:rPr>
              <w:br/>
              <w:t xml:space="preserve">Cause: </w:t>
            </w:r>
            <w:r w:rsidRPr="007F63EF">
              <w:rPr>
                <w:rFonts w:asciiTheme="minorHAnsi" w:eastAsia="Times New Roman" w:hAnsiTheme="minorHAnsi" w:cstheme="minorHAnsi"/>
                <w:sz w:val="20"/>
                <w:szCs w:val="20"/>
                <w:lang w:eastAsia="en-GB"/>
              </w:rPr>
              <w:t>poor selection, lack of availability, attrition</w:t>
            </w:r>
            <w:r w:rsidRPr="007F63EF">
              <w:rPr>
                <w:rFonts w:asciiTheme="minorHAnsi" w:eastAsia="Times New Roman" w:hAnsiTheme="minorHAnsi" w:cstheme="minorHAnsi"/>
                <w:b/>
                <w:bCs/>
                <w:sz w:val="20"/>
                <w:szCs w:val="20"/>
                <w:lang w:eastAsia="en-GB"/>
              </w:rPr>
              <w:br/>
              <w:t>Effect:</w:t>
            </w:r>
            <w:r w:rsidRPr="007F63EF">
              <w:rPr>
                <w:rFonts w:asciiTheme="minorHAnsi" w:eastAsia="Times New Roman" w:hAnsiTheme="minorHAnsi" w:cstheme="minorHAnsi"/>
                <w:sz w:val="20"/>
                <w:szCs w:val="20"/>
                <w:lang w:eastAsia="en-GB"/>
              </w:rPr>
              <w:t xml:space="preserve"> inability to deliver</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 xml:space="preserve">Impact: </w:t>
            </w:r>
            <w:r w:rsidRPr="007F63EF">
              <w:rPr>
                <w:rFonts w:asciiTheme="minorHAnsi" w:eastAsia="Times New Roman" w:hAnsiTheme="minorHAnsi" w:cstheme="minorHAnsi"/>
                <w:sz w:val="20"/>
                <w:szCs w:val="20"/>
                <w:lang w:eastAsia="en-GB"/>
              </w:rPr>
              <w:t>poorer deliverables</w:t>
            </w:r>
          </w:p>
        </w:tc>
        <w:tc>
          <w:tcPr>
            <w:tcW w:w="0" w:type="auto"/>
            <w:tcBorders>
              <w:top w:val="nil"/>
              <w:left w:val="nil"/>
              <w:bottom w:val="single" w:sz="4" w:space="0" w:color="auto"/>
              <w:right w:val="single" w:sz="4" w:space="0" w:color="auto"/>
            </w:tcBorders>
            <w:shd w:val="clear" w:color="000000" w:fill="FFFFFF"/>
            <w:vAlign w:val="center"/>
            <w:hideMark/>
          </w:tcPr>
          <w:p w14:paraId="7E2CA80D" w14:textId="086F7B9C"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1.</w:t>
            </w:r>
            <w:r w:rsidRPr="007F63EF">
              <w:rPr>
                <w:rFonts w:asciiTheme="minorHAnsi" w:eastAsia="Times New Roman" w:hAnsiTheme="minorHAnsi" w:cstheme="minorHAnsi"/>
                <w:b/>
                <w:bCs/>
                <w:sz w:val="20"/>
                <w:szCs w:val="20"/>
                <w:lang w:eastAsia="en-GB"/>
              </w:rPr>
              <w:t xml:space="preserve"> </w:t>
            </w:r>
            <w:r w:rsidRPr="007F63EF">
              <w:rPr>
                <w:rFonts w:asciiTheme="minorHAnsi" w:eastAsia="Times New Roman" w:hAnsiTheme="minorHAnsi" w:cstheme="minorHAnsi"/>
                <w:sz w:val="20"/>
                <w:szCs w:val="20"/>
                <w:lang w:eastAsia="en-GB"/>
              </w:rPr>
              <w:t xml:space="preserve">The DHSC and </w:t>
            </w:r>
            <w:r w:rsidR="00415215" w:rsidRPr="007F63EF">
              <w:rPr>
                <w:rFonts w:asciiTheme="minorHAnsi" w:eastAsia="Times New Roman" w:hAnsiTheme="minorHAnsi" w:cstheme="minorHAnsi"/>
                <w:sz w:val="20"/>
                <w:szCs w:val="20"/>
                <w:lang w:eastAsia="en-GB"/>
              </w:rPr>
              <w:t>evaluation team</w:t>
            </w:r>
            <w:r w:rsidRPr="007F63EF">
              <w:rPr>
                <w:rFonts w:asciiTheme="minorHAnsi" w:eastAsia="Times New Roman" w:hAnsiTheme="minorHAnsi" w:cstheme="minorHAnsi"/>
                <w:sz w:val="20"/>
                <w:szCs w:val="20"/>
                <w:lang w:eastAsia="en-GB"/>
              </w:rPr>
              <w:t xml:space="preserve"> will continue to manage detailed </w:t>
            </w:r>
            <w:r w:rsidR="00FB10B9" w:rsidRPr="007F63EF">
              <w:rPr>
                <w:rFonts w:asciiTheme="minorHAnsi" w:eastAsia="Times New Roman" w:hAnsiTheme="minorHAnsi" w:cstheme="minorHAnsi"/>
                <w:sz w:val="20"/>
                <w:szCs w:val="20"/>
                <w:lang w:eastAsia="en-GB"/>
              </w:rPr>
              <w:t>work plan</w:t>
            </w:r>
            <w:r w:rsidRPr="007F63EF">
              <w:rPr>
                <w:rFonts w:asciiTheme="minorHAnsi" w:eastAsia="Times New Roman" w:hAnsiTheme="minorHAnsi" w:cstheme="minorHAnsi"/>
                <w:sz w:val="20"/>
                <w:szCs w:val="20"/>
                <w:lang w:eastAsia="en-GB"/>
              </w:rPr>
              <w:t>s to anticipate 'pinch points' where specific or additional capacity is needed and ensure the right people are engaged at the right times.</w:t>
            </w:r>
          </w:p>
        </w:tc>
        <w:tc>
          <w:tcPr>
            <w:tcW w:w="0" w:type="auto"/>
            <w:tcBorders>
              <w:top w:val="nil"/>
              <w:left w:val="nil"/>
              <w:bottom w:val="single" w:sz="4" w:space="0" w:color="auto"/>
              <w:right w:val="single" w:sz="4" w:space="0" w:color="auto"/>
            </w:tcBorders>
            <w:shd w:val="clear" w:color="000000" w:fill="FFFFFF"/>
            <w:vAlign w:val="center"/>
            <w:hideMark/>
          </w:tcPr>
          <w:p w14:paraId="1237FFF3"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Closed</w:t>
            </w:r>
          </w:p>
        </w:tc>
        <w:tc>
          <w:tcPr>
            <w:tcW w:w="0" w:type="auto"/>
            <w:vAlign w:val="center"/>
            <w:hideMark/>
          </w:tcPr>
          <w:p w14:paraId="0962BF42" w14:textId="77777777" w:rsidR="002A6970" w:rsidRPr="007F63EF" w:rsidRDefault="002A6970" w:rsidP="00435849">
            <w:pPr>
              <w:rPr>
                <w:rFonts w:asciiTheme="minorHAnsi" w:eastAsia="Times New Roman" w:hAnsiTheme="minorHAnsi" w:cstheme="minorHAnsi"/>
                <w:sz w:val="20"/>
                <w:szCs w:val="20"/>
                <w:lang w:eastAsia="en-GB"/>
              </w:rPr>
            </w:pPr>
          </w:p>
        </w:tc>
      </w:tr>
      <w:tr w:rsidR="00AC139B" w:rsidRPr="00AC139B" w14:paraId="04CC09DB" w14:textId="77777777" w:rsidTr="00435849">
        <w:tc>
          <w:tcPr>
            <w:tcW w:w="0" w:type="auto"/>
            <w:tcBorders>
              <w:top w:val="nil"/>
              <w:left w:val="single" w:sz="4" w:space="0" w:color="auto"/>
              <w:bottom w:val="single" w:sz="4" w:space="0" w:color="auto"/>
              <w:right w:val="single" w:sz="4" w:space="0" w:color="auto"/>
            </w:tcBorders>
            <w:shd w:val="clear" w:color="000000" w:fill="FFFFFF"/>
            <w:vAlign w:val="center"/>
            <w:hideMark/>
          </w:tcPr>
          <w:p w14:paraId="142B1B99" w14:textId="77777777" w:rsidR="002A6970" w:rsidRPr="007F63EF" w:rsidRDefault="002A6970" w:rsidP="00435849">
            <w:pPr>
              <w:rPr>
                <w:rFonts w:asciiTheme="minorHAnsi" w:eastAsia="Times New Roman" w:hAnsiTheme="minorHAnsi" w:cstheme="minorHAnsi"/>
                <w:sz w:val="20"/>
                <w:szCs w:val="20"/>
                <w:lang w:eastAsia="en-GB"/>
              </w:rPr>
            </w:pPr>
            <w:r w:rsidRPr="007F63EF">
              <w:rPr>
                <w:rFonts w:asciiTheme="minorHAnsi" w:eastAsia="Times New Roman" w:hAnsiTheme="minorHAnsi" w:cstheme="minorHAnsi"/>
                <w:sz w:val="20"/>
                <w:szCs w:val="20"/>
                <w:lang w:eastAsia="en-GB"/>
              </w:rPr>
              <w:t>Relationship</w:t>
            </w:r>
          </w:p>
        </w:tc>
        <w:tc>
          <w:tcPr>
            <w:tcW w:w="0" w:type="auto"/>
            <w:tcBorders>
              <w:top w:val="nil"/>
              <w:left w:val="nil"/>
              <w:bottom w:val="single" w:sz="4" w:space="0" w:color="auto"/>
              <w:right w:val="single" w:sz="4" w:space="0" w:color="auto"/>
            </w:tcBorders>
            <w:shd w:val="clear" w:color="000000" w:fill="FFFFFF"/>
            <w:vAlign w:val="center"/>
            <w:hideMark/>
          </w:tcPr>
          <w:p w14:paraId="54CE8350" w14:textId="4BF86D89"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Risk:</w:t>
            </w:r>
            <w:r w:rsidRPr="007F63EF">
              <w:rPr>
                <w:rFonts w:asciiTheme="minorHAnsi" w:eastAsia="Times New Roman" w:hAnsiTheme="minorHAnsi" w:cstheme="minorHAnsi"/>
                <w:sz w:val="20"/>
                <w:szCs w:val="20"/>
                <w:lang w:eastAsia="en-GB"/>
              </w:rPr>
              <w:t xml:space="preserve"> Unable to engage effectively with </w:t>
            </w:r>
            <w:r w:rsidR="00D65AF6" w:rsidRPr="007F63EF">
              <w:rPr>
                <w:rFonts w:asciiTheme="minorHAnsi" w:eastAsia="Times New Roman" w:hAnsiTheme="minorHAnsi" w:cstheme="minorHAnsi"/>
                <w:sz w:val="20"/>
                <w:szCs w:val="20"/>
                <w:lang w:eastAsia="en-GB"/>
              </w:rPr>
              <w:t xml:space="preserve">the </w:t>
            </w:r>
            <w:r w:rsidRPr="007F63EF">
              <w:rPr>
                <w:rFonts w:asciiTheme="minorHAnsi" w:eastAsia="Times New Roman" w:hAnsiTheme="minorHAnsi" w:cstheme="minorHAnsi"/>
                <w:sz w:val="20"/>
                <w:szCs w:val="20"/>
                <w:lang w:eastAsia="en-GB"/>
              </w:rPr>
              <w:t>external world to disseminate findings</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Cause:</w:t>
            </w:r>
            <w:r w:rsidRPr="007F63EF">
              <w:rPr>
                <w:rFonts w:asciiTheme="minorHAnsi" w:eastAsia="Times New Roman" w:hAnsiTheme="minorHAnsi" w:cstheme="minorHAnsi"/>
                <w:sz w:val="20"/>
                <w:szCs w:val="20"/>
                <w:lang w:eastAsia="en-GB"/>
              </w:rPr>
              <w:t xml:space="preserve"> Unable to broker </w:t>
            </w:r>
            <w:r w:rsidR="00813E4E">
              <w:rPr>
                <w:rFonts w:asciiTheme="minorHAnsi" w:eastAsia="Times New Roman" w:hAnsiTheme="minorHAnsi" w:cstheme="minorHAnsi"/>
                <w:sz w:val="20"/>
                <w:szCs w:val="20"/>
                <w:lang w:eastAsia="en-GB"/>
              </w:rPr>
              <w:t xml:space="preserve">an </w:t>
            </w:r>
            <w:r w:rsidRPr="007F63EF">
              <w:rPr>
                <w:rFonts w:asciiTheme="minorHAnsi" w:eastAsia="Times New Roman" w:hAnsiTheme="minorHAnsi" w:cstheme="minorHAnsi"/>
                <w:sz w:val="20"/>
                <w:szCs w:val="20"/>
                <w:lang w:eastAsia="en-GB"/>
              </w:rPr>
              <w:t>agreement to share evaluation products with third parties, conflict with MA messages.</w:t>
            </w:r>
            <w:r w:rsidR="007458AC" w:rsidRPr="007F63EF">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No budget for engagement and communication products, and no stated requirement in</w:t>
            </w:r>
            <w:r w:rsidR="00D65AF6"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proposal.</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Effect:</w:t>
            </w:r>
            <w:r w:rsidRPr="007F63EF">
              <w:rPr>
                <w:rFonts w:asciiTheme="minorHAnsi" w:eastAsia="Times New Roman" w:hAnsiTheme="minorHAnsi" w:cstheme="minorHAnsi"/>
                <w:sz w:val="20"/>
                <w:szCs w:val="20"/>
                <w:lang w:eastAsia="en-GB"/>
              </w:rPr>
              <w:t xml:space="preserve"> Evaluation findings and recommendations not shared optimally or strategically</w:t>
            </w:r>
            <w:r w:rsidRPr="007F63EF">
              <w:rPr>
                <w:rFonts w:asciiTheme="minorHAnsi" w:eastAsia="Times New Roman" w:hAnsiTheme="minorHAnsi" w:cstheme="minorHAnsi"/>
                <w:sz w:val="20"/>
                <w:szCs w:val="20"/>
                <w:lang w:eastAsia="en-GB"/>
              </w:rPr>
              <w:br/>
            </w:r>
            <w:r w:rsidRPr="007F63EF">
              <w:rPr>
                <w:rFonts w:asciiTheme="minorHAnsi" w:eastAsia="Times New Roman" w:hAnsiTheme="minorHAnsi" w:cstheme="minorHAnsi"/>
                <w:b/>
                <w:bCs/>
                <w:sz w:val="20"/>
                <w:szCs w:val="20"/>
                <w:lang w:eastAsia="en-GB"/>
              </w:rPr>
              <w:t>Impact:</w:t>
            </w:r>
            <w:r w:rsidR="007458AC" w:rsidRPr="007F63EF">
              <w:rPr>
                <w:rFonts w:asciiTheme="minorHAnsi" w:eastAsia="Times New Roman" w:hAnsiTheme="minorHAnsi" w:cstheme="minorHAnsi"/>
                <w:sz w:val="20"/>
                <w:szCs w:val="20"/>
                <w:lang w:eastAsia="en-GB"/>
              </w:rPr>
              <w:t xml:space="preserve"> </w:t>
            </w:r>
            <w:r w:rsidR="0044432D" w:rsidRPr="007F63EF">
              <w:rPr>
                <w:rFonts w:asciiTheme="minorHAnsi" w:eastAsia="Times New Roman" w:hAnsiTheme="minorHAnsi" w:cstheme="minorHAnsi"/>
                <w:sz w:val="20"/>
                <w:szCs w:val="20"/>
                <w:lang w:eastAsia="en-GB"/>
              </w:rPr>
              <w:t>VfM</w:t>
            </w:r>
            <w:r w:rsidRPr="007F63EF">
              <w:rPr>
                <w:rFonts w:asciiTheme="minorHAnsi" w:eastAsia="Times New Roman" w:hAnsiTheme="minorHAnsi" w:cstheme="minorHAnsi"/>
                <w:sz w:val="20"/>
                <w:szCs w:val="20"/>
                <w:lang w:eastAsia="en-GB"/>
              </w:rPr>
              <w:t xml:space="preserve"> of evaluation reduced, public good diminished</w:t>
            </w:r>
          </w:p>
        </w:tc>
        <w:tc>
          <w:tcPr>
            <w:tcW w:w="0" w:type="auto"/>
            <w:tcBorders>
              <w:top w:val="nil"/>
              <w:left w:val="nil"/>
              <w:bottom w:val="single" w:sz="4" w:space="0" w:color="auto"/>
              <w:right w:val="single" w:sz="4" w:space="0" w:color="auto"/>
            </w:tcBorders>
            <w:shd w:val="clear" w:color="000000" w:fill="FFFFFF"/>
            <w:vAlign w:val="center"/>
            <w:hideMark/>
          </w:tcPr>
          <w:p w14:paraId="11907FE3" w14:textId="4210204E"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Mitigating Action:</w:t>
            </w:r>
            <w:r w:rsidRPr="007F63EF">
              <w:rPr>
                <w:rFonts w:asciiTheme="minorHAnsi" w:eastAsia="Times New Roman" w:hAnsiTheme="minorHAnsi" w:cstheme="minorHAnsi"/>
                <w:b/>
                <w:bCs/>
                <w:sz w:val="20"/>
                <w:szCs w:val="20"/>
                <w:lang w:eastAsia="en-GB"/>
              </w:rPr>
              <w:br/>
            </w:r>
            <w:r w:rsidRPr="007F63EF">
              <w:rPr>
                <w:rFonts w:asciiTheme="minorHAnsi" w:eastAsia="Times New Roman" w:hAnsiTheme="minorHAnsi" w:cstheme="minorHAnsi"/>
                <w:sz w:val="20"/>
                <w:szCs w:val="20"/>
                <w:lang w:eastAsia="en-GB"/>
              </w:rPr>
              <w:t>1. Clear communication plan - Project communications plan to be discussed in accord</w:t>
            </w:r>
            <w:r w:rsidR="00D65AF6" w:rsidRPr="007F63EF">
              <w:rPr>
                <w:rFonts w:asciiTheme="minorHAnsi" w:eastAsia="Times New Roman" w:hAnsiTheme="minorHAnsi" w:cstheme="minorHAnsi"/>
                <w:sz w:val="20"/>
                <w:szCs w:val="20"/>
                <w:lang w:eastAsia="en-GB"/>
              </w:rPr>
              <w:t>ance</w:t>
            </w:r>
            <w:r w:rsidRPr="007F63EF">
              <w:rPr>
                <w:rFonts w:asciiTheme="minorHAnsi" w:eastAsia="Times New Roman" w:hAnsiTheme="minorHAnsi" w:cstheme="minorHAnsi"/>
                <w:sz w:val="20"/>
                <w:szCs w:val="20"/>
                <w:lang w:eastAsia="en-GB"/>
              </w:rPr>
              <w:t xml:space="preserve"> with</w:t>
            </w:r>
            <w:r w:rsidR="00D65AF6"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DHSC's plans. Implementation plan to include engagement strategy for project</w:t>
            </w:r>
            <w:r w:rsidR="00D65AF6" w:rsidRPr="007F63EF">
              <w:rPr>
                <w:rFonts w:asciiTheme="minorHAnsi" w:eastAsia="Times New Roman" w:hAnsiTheme="minorHAnsi" w:cstheme="minorHAnsi"/>
                <w:sz w:val="20"/>
                <w:szCs w:val="20"/>
                <w:lang w:eastAsia="en-GB"/>
              </w:rPr>
              <w:t>-</w:t>
            </w:r>
            <w:r w:rsidRPr="007F63EF">
              <w:rPr>
                <w:rFonts w:asciiTheme="minorHAnsi" w:eastAsia="Times New Roman" w:hAnsiTheme="minorHAnsi" w:cstheme="minorHAnsi"/>
                <w:sz w:val="20"/>
                <w:szCs w:val="20"/>
                <w:lang w:eastAsia="en-GB"/>
              </w:rPr>
              <w:t xml:space="preserve">specific interested parties. </w:t>
            </w:r>
            <w:r w:rsidRPr="007F63EF">
              <w:rPr>
                <w:rFonts w:asciiTheme="minorHAnsi" w:eastAsia="Times New Roman" w:hAnsiTheme="minorHAnsi" w:cstheme="minorHAnsi"/>
                <w:sz w:val="20"/>
                <w:szCs w:val="20"/>
                <w:lang w:eastAsia="en-GB"/>
              </w:rPr>
              <w:br/>
              <w:t>2. To work with DHSC to form an ongoing agreement regarding</w:t>
            </w:r>
            <w:r w:rsidR="00D65AF6"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utility of evaluation to</w:t>
            </w:r>
            <w:r w:rsidR="00D65AF6" w:rsidRPr="007F63EF">
              <w:rPr>
                <w:rFonts w:asciiTheme="minorHAnsi" w:eastAsia="Times New Roman" w:hAnsiTheme="minorHAnsi" w:cstheme="minorHAnsi"/>
                <w:sz w:val="20"/>
                <w:szCs w:val="20"/>
                <w:lang w:eastAsia="en-GB"/>
              </w:rPr>
              <w:t xml:space="preserve"> the</w:t>
            </w:r>
            <w:r w:rsidRPr="007F63EF">
              <w:rPr>
                <w:rFonts w:asciiTheme="minorHAnsi" w:eastAsia="Times New Roman" w:hAnsiTheme="minorHAnsi" w:cstheme="minorHAnsi"/>
                <w:sz w:val="20"/>
                <w:szCs w:val="20"/>
                <w:lang w:eastAsia="en-GB"/>
              </w:rPr>
              <w:t xml:space="preserve"> outside world and select appropriate dissemination audiences.</w:t>
            </w:r>
            <w:r w:rsidRPr="007F63EF">
              <w:rPr>
                <w:rFonts w:asciiTheme="minorHAnsi" w:eastAsia="Times New Roman" w:hAnsiTheme="minorHAnsi" w:cstheme="minorHAnsi"/>
                <w:sz w:val="20"/>
                <w:szCs w:val="20"/>
                <w:lang w:eastAsia="en-GB"/>
              </w:rPr>
              <w:br/>
              <w:t xml:space="preserve">3. Make </w:t>
            </w:r>
            <w:r w:rsidR="00D65AF6" w:rsidRPr="007F63EF">
              <w:rPr>
                <w:rFonts w:asciiTheme="minorHAnsi" w:eastAsia="Times New Roman" w:hAnsiTheme="minorHAnsi" w:cstheme="minorHAnsi"/>
                <w:sz w:val="20"/>
                <w:szCs w:val="20"/>
                <w:lang w:eastAsia="en-GB"/>
              </w:rPr>
              <w:t xml:space="preserve">a </w:t>
            </w:r>
            <w:r w:rsidRPr="007F63EF">
              <w:rPr>
                <w:rFonts w:asciiTheme="minorHAnsi" w:eastAsia="Times New Roman" w:hAnsiTheme="minorHAnsi" w:cstheme="minorHAnsi"/>
                <w:sz w:val="20"/>
                <w:szCs w:val="20"/>
                <w:lang w:eastAsia="en-GB"/>
              </w:rPr>
              <w:t>proposal for additional funding to disseminate findings and evaluation products in a strategic way</w:t>
            </w:r>
          </w:p>
        </w:tc>
        <w:tc>
          <w:tcPr>
            <w:tcW w:w="0" w:type="auto"/>
            <w:tcBorders>
              <w:top w:val="nil"/>
              <w:left w:val="nil"/>
              <w:bottom w:val="single" w:sz="4" w:space="0" w:color="auto"/>
              <w:right w:val="single" w:sz="4" w:space="0" w:color="auto"/>
            </w:tcBorders>
            <w:shd w:val="clear" w:color="000000" w:fill="FFFFFF"/>
            <w:vAlign w:val="center"/>
            <w:hideMark/>
          </w:tcPr>
          <w:p w14:paraId="6F86E98D" w14:textId="77777777" w:rsidR="002A6970" w:rsidRPr="007F63EF" w:rsidRDefault="002A6970" w:rsidP="00435849">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lang w:eastAsia="en-GB"/>
              </w:rPr>
              <w:t>Closed</w:t>
            </w:r>
          </w:p>
        </w:tc>
        <w:tc>
          <w:tcPr>
            <w:tcW w:w="0" w:type="auto"/>
            <w:vAlign w:val="center"/>
            <w:hideMark/>
          </w:tcPr>
          <w:p w14:paraId="25BAA802" w14:textId="77777777" w:rsidR="002A6970" w:rsidRPr="007F63EF" w:rsidRDefault="002A6970" w:rsidP="00435849">
            <w:pPr>
              <w:rPr>
                <w:rFonts w:asciiTheme="minorHAnsi" w:eastAsia="Times New Roman" w:hAnsiTheme="minorHAnsi" w:cstheme="minorHAnsi"/>
                <w:sz w:val="20"/>
                <w:szCs w:val="20"/>
                <w:lang w:eastAsia="en-GB"/>
              </w:rPr>
            </w:pPr>
          </w:p>
        </w:tc>
      </w:tr>
      <w:bookmarkEnd w:id="315"/>
      <w:bookmarkEnd w:id="317"/>
    </w:tbl>
    <w:p w14:paraId="256CF6B7" w14:textId="77777777" w:rsidR="007F1B4B" w:rsidRDefault="007F1B4B" w:rsidP="00D86D76">
      <w:pPr>
        <w:pStyle w:val="BodyText"/>
        <w:spacing w:before="239"/>
        <w:ind w:left="180" w:right="178"/>
        <w:sectPr w:rsidR="007F1B4B" w:rsidSect="007F1B4B">
          <w:pgSz w:w="16840" w:h="11900" w:orient="landscape"/>
          <w:pgMar w:top="1191" w:right="1134" w:bottom="1191" w:left="1134" w:header="720" w:footer="255" w:gutter="0"/>
          <w:cols w:space="720"/>
          <w:titlePg/>
          <w:docGrid w:linePitch="360"/>
        </w:sectPr>
      </w:pPr>
    </w:p>
    <w:p w14:paraId="6B7AB9CD" w14:textId="5B25DBE0" w:rsidR="001321EC" w:rsidRPr="00B57527" w:rsidRDefault="001321EC" w:rsidP="00CE014E">
      <w:pPr>
        <w:pStyle w:val="ItadH1"/>
      </w:pPr>
      <w:bookmarkStart w:id="318" w:name="_Toc118968551"/>
      <w:bookmarkStart w:id="319" w:name="_Toc142383192"/>
      <w:r w:rsidRPr="00B57527">
        <w:t xml:space="preserve">Annex </w:t>
      </w:r>
      <w:r w:rsidR="007D16E0">
        <w:t>1</w:t>
      </w:r>
      <w:r w:rsidR="00A70655">
        <w:t>4</w:t>
      </w:r>
      <w:r w:rsidRPr="00B57527">
        <w:t xml:space="preserve">: </w:t>
      </w:r>
      <w:r w:rsidR="00712634">
        <w:t xml:space="preserve">Evaluation </w:t>
      </w:r>
      <w:r w:rsidR="00DB2541">
        <w:t>Management and Roles and Responsibilities</w:t>
      </w:r>
      <w:bookmarkEnd w:id="318"/>
      <w:bookmarkEnd w:id="319"/>
    </w:p>
    <w:p w14:paraId="50515BD1" w14:textId="15578D4A" w:rsidR="005256CE" w:rsidRDefault="005256CE" w:rsidP="005256CE">
      <w:pPr>
        <w:pStyle w:val="ItadNormalTextBold"/>
        <w:rPr>
          <w:b w:val="0"/>
          <w:bCs w:val="0"/>
        </w:rPr>
      </w:pPr>
      <w:bookmarkStart w:id="320" w:name="_Hlk122117581"/>
      <w:r w:rsidRPr="005256CE">
        <w:rPr>
          <w:b w:val="0"/>
          <w:bCs w:val="0"/>
        </w:rPr>
        <w:t xml:space="preserve">This section details the management and governance arrangements that </w:t>
      </w:r>
      <w:r w:rsidR="00C051C3">
        <w:rPr>
          <w:b w:val="0"/>
          <w:bCs w:val="0"/>
        </w:rPr>
        <w:t>were</w:t>
      </w:r>
      <w:r w:rsidRPr="005256CE">
        <w:rPr>
          <w:b w:val="0"/>
          <w:bCs w:val="0"/>
        </w:rPr>
        <w:t xml:space="preserve"> established in order to ensure the effective operation of the evaluation team, and the delivery of high-quality, independent evaluation products within agreed timeframes and budgets.</w:t>
      </w:r>
    </w:p>
    <w:p w14:paraId="5F08B892" w14:textId="66C7655F" w:rsidR="005256CE" w:rsidRDefault="005256CE" w:rsidP="006409BF">
      <w:pPr>
        <w:pStyle w:val="ItadH2"/>
      </w:pPr>
      <w:bookmarkStart w:id="321" w:name="_Toc118968552"/>
      <w:bookmarkStart w:id="322" w:name="_Toc142383193"/>
      <w:r w:rsidRPr="005256CE">
        <w:t>Governance and management</w:t>
      </w:r>
      <w:bookmarkEnd w:id="321"/>
      <w:bookmarkEnd w:id="322"/>
    </w:p>
    <w:p w14:paraId="7AED0751" w14:textId="553C9AE4" w:rsidR="001321EC" w:rsidRDefault="00BF1DEF" w:rsidP="005256CE">
      <w:pPr>
        <w:pStyle w:val="ItadNormalTextBold"/>
        <w:rPr>
          <w:b w:val="0"/>
          <w:bCs w:val="0"/>
        </w:rPr>
      </w:pPr>
      <w:r w:rsidRPr="00BF1DEF">
        <w:rPr>
          <w:b w:val="0"/>
          <w:bCs w:val="0"/>
        </w:rPr>
        <w:fldChar w:fldCharType="begin"/>
      </w:r>
      <w:r w:rsidRPr="00BF1DEF">
        <w:rPr>
          <w:b w:val="0"/>
          <w:bCs w:val="0"/>
        </w:rPr>
        <w:instrText xml:space="preserve"> REF _Ref118378511 \h  \* MERGEFORMAT </w:instrText>
      </w:r>
      <w:r w:rsidRPr="00BF1DEF">
        <w:rPr>
          <w:b w:val="0"/>
          <w:bCs w:val="0"/>
        </w:rPr>
      </w:r>
      <w:r w:rsidRPr="00BF1DEF">
        <w:rPr>
          <w:b w:val="0"/>
          <w:bCs w:val="0"/>
        </w:rPr>
        <w:fldChar w:fldCharType="separate"/>
      </w:r>
      <w:r w:rsidR="009A383C">
        <w:rPr>
          <w:lang w:val="en-US"/>
        </w:rPr>
        <w:t>Error! Reference source not found.</w:t>
      </w:r>
      <w:r w:rsidRPr="00BF1DEF">
        <w:rPr>
          <w:b w:val="0"/>
          <w:bCs w:val="0"/>
        </w:rPr>
        <w:fldChar w:fldCharType="end"/>
      </w:r>
      <w:r w:rsidRPr="00BF1DEF">
        <w:rPr>
          <w:b w:val="0"/>
          <w:bCs w:val="0"/>
        </w:rPr>
        <w:t xml:space="preserve"> </w:t>
      </w:r>
      <w:r w:rsidR="005256CE" w:rsidRPr="005256CE">
        <w:rPr>
          <w:b w:val="0"/>
          <w:bCs w:val="0"/>
        </w:rPr>
        <w:t>provides</w:t>
      </w:r>
      <w:r w:rsidR="007458AC">
        <w:rPr>
          <w:b w:val="0"/>
          <w:bCs w:val="0"/>
        </w:rPr>
        <w:t xml:space="preserve"> </w:t>
      </w:r>
      <w:r w:rsidR="005256CE" w:rsidRPr="005256CE">
        <w:rPr>
          <w:b w:val="0"/>
          <w:bCs w:val="0"/>
        </w:rPr>
        <w:t>an</w:t>
      </w:r>
      <w:r w:rsidR="007458AC">
        <w:rPr>
          <w:b w:val="0"/>
          <w:bCs w:val="0"/>
        </w:rPr>
        <w:t xml:space="preserve"> </w:t>
      </w:r>
      <w:r w:rsidR="005256CE" w:rsidRPr="005256CE">
        <w:rPr>
          <w:b w:val="0"/>
          <w:bCs w:val="0"/>
        </w:rPr>
        <w:t>overview</w:t>
      </w:r>
      <w:r w:rsidR="007458AC">
        <w:rPr>
          <w:b w:val="0"/>
          <w:bCs w:val="0"/>
        </w:rPr>
        <w:t xml:space="preserve"> </w:t>
      </w:r>
      <w:r w:rsidR="005256CE" w:rsidRPr="005256CE">
        <w:rPr>
          <w:b w:val="0"/>
          <w:bCs w:val="0"/>
        </w:rPr>
        <w:t>of</w:t>
      </w:r>
      <w:r w:rsidR="007458AC">
        <w:rPr>
          <w:b w:val="0"/>
          <w:bCs w:val="0"/>
        </w:rPr>
        <w:t xml:space="preserve"> </w:t>
      </w:r>
      <w:r w:rsidR="005256CE" w:rsidRPr="005256CE">
        <w:rPr>
          <w:b w:val="0"/>
          <w:bCs w:val="0"/>
        </w:rPr>
        <w:t>the</w:t>
      </w:r>
      <w:r w:rsidR="007458AC">
        <w:rPr>
          <w:b w:val="0"/>
          <w:bCs w:val="0"/>
        </w:rPr>
        <w:t xml:space="preserve"> </w:t>
      </w:r>
      <w:r w:rsidR="005256CE" w:rsidRPr="005256CE">
        <w:rPr>
          <w:b w:val="0"/>
          <w:bCs w:val="0"/>
        </w:rPr>
        <w:t>evaluation</w:t>
      </w:r>
      <w:r w:rsidR="007458AC">
        <w:rPr>
          <w:b w:val="0"/>
          <w:bCs w:val="0"/>
        </w:rPr>
        <w:t xml:space="preserve"> </w:t>
      </w:r>
      <w:r w:rsidR="005256CE" w:rsidRPr="005256CE">
        <w:rPr>
          <w:b w:val="0"/>
          <w:bCs w:val="0"/>
        </w:rPr>
        <w:t>team,</w:t>
      </w:r>
      <w:r w:rsidR="007458AC">
        <w:rPr>
          <w:b w:val="0"/>
          <w:bCs w:val="0"/>
        </w:rPr>
        <w:t xml:space="preserve"> </w:t>
      </w:r>
      <w:r w:rsidR="005256CE" w:rsidRPr="005256CE">
        <w:rPr>
          <w:b w:val="0"/>
          <w:bCs w:val="0"/>
        </w:rPr>
        <w:t>with</w:t>
      </w:r>
      <w:r w:rsidR="007458AC">
        <w:rPr>
          <w:b w:val="0"/>
          <w:bCs w:val="0"/>
        </w:rPr>
        <w:t xml:space="preserve"> </w:t>
      </w:r>
      <w:r w:rsidR="005256CE" w:rsidRPr="005256CE">
        <w:rPr>
          <w:b w:val="0"/>
          <w:bCs w:val="0"/>
        </w:rPr>
        <w:t>key</w:t>
      </w:r>
      <w:r w:rsidR="007458AC">
        <w:rPr>
          <w:b w:val="0"/>
          <w:bCs w:val="0"/>
        </w:rPr>
        <w:t xml:space="preserve"> </w:t>
      </w:r>
      <w:r w:rsidR="005256CE" w:rsidRPr="005256CE">
        <w:rPr>
          <w:b w:val="0"/>
          <w:bCs w:val="0"/>
        </w:rPr>
        <w:t>accountabilities</w:t>
      </w:r>
      <w:r w:rsidR="007458AC">
        <w:rPr>
          <w:b w:val="0"/>
          <w:bCs w:val="0"/>
        </w:rPr>
        <w:t xml:space="preserve"> </w:t>
      </w:r>
      <w:r w:rsidR="005256CE" w:rsidRPr="005256CE">
        <w:rPr>
          <w:b w:val="0"/>
          <w:bCs w:val="0"/>
        </w:rPr>
        <w:t>and</w:t>
      </w:r>
      <w:r w:rsidR="007458AC">
        <w:rPr>
          <w:b w:val="0"/>
          <w:bCs w:val="0"/>
        </w:rPr>
        <w:t xml:space="preserve"> </w:t>
      </w:r>
      <w:r w:rsidR="005256CE" w:rsidRPr="005256CE">
        <w:rPr>
          <w:b w:val="0"/>
          <w:bCs w:val="0"/>
        </w:rPr>
        <w:t>support relationships.</w:t>
      </w:r>
      <w:r w:rsidR="007458AC">
        <w:rPr>
          <w:b w:val="0"/>
          <w:bCs w:val="0"/>
        </w:rPr>
        <w:t xml:space="preserve"> </w:t>
      </w:r>
      <w:r w:rsidR="005256CE" w:rsidRPr="005256CE">
        <w:rPr>
          <w:b w:val="0"/>
          <w:bCs w:val="0"/>
        </w:rPr>
        <w:t xml:space="preserve">The </w:t>
      </w:r>
      <w:r w:rsidR="00306104">
        <w:rPr>
          <w:b w:val="0"/>
          <w:bCs w:val="0"/>
        </w:rPr>
        <w:t xml:space="preserve">blue </w:t>
      </w:r>
      <w:r w:rsidR="005256CE" w:rsidRPr="005256CE">
        <w:rPr>
          <w:b w:val="0"/>
          <w:bCs w:val="0"/>
        </w:rPr>
        <w:t>lines denote accountabilities, and the dotted lines show relationships.</w:t>
      </w:r>
      <w:r w:rsidR="007458AC">
        <w:rPr>
          <w:b w:val="0"/>
          <w:bCs w:val="0"/>
        </w:rPr>
        <w:t xml:space="preserve"> </w:t>
      </w:r>
      <w:r w:rsidR="005256CE" w:rsidRPr="005256CE">
        <w:rPr>
          <w:b w:val="0"/>
          <w:bCs w:val="0"/>
        </w:rPr>
        <w:t>These are described in more detail below.</w:t>
      </w:r>
    </w:p>
    <w:p w14:paraId="755E6033" w14:textId="10A4628C" w:rsidR="0070120E" w:rsidRDefault="0070120E" w:rsidP="0070120E">
      <w:pPr>
        <w:pStyle w:val="ItadCaption"/>
      </w:pPr>
      <w:bookmarkStart w:id="323" w:name="_Toc143858080"/>
      <w:bookmarkEnd w:id="320"/>
      <w:r>
        <w:t xml:space="preserve">Figure </w:t>
      </w:r>
      <w:r>
        <w:fldChar w:fldCharType="begin"/>
      </w:r>
      <w:r>
        <w:instrText>SEQ Figure \* ARABIC</w:instrText>
      </w:r>
      <w:r>
        <w:fldChar w:fldCharType="separate"/>
      </w:r>
      <w:r w:rsidR="009A383C">
        <w:rPr>
          <w:noProof/>
        </w:rPr>
        <w:t>26</w:t>
      </w:r>
      <w:r>
        <w:fldChar w:fldCharType="end"/>
      </w:r>
      <w:r>
        <w:t xml:space="preserve"> </w:t>
      </w:r>
      <w:r w:rsidRPr="00006F84">
        <w:t>Governance and internal management</w:t>
      </w:r>
      <w:r>
        <w:t xml:space="preserve"> </w:t>
      </w:r>
      <w:r w:rsidRPr="00006F84">
        <w:t>structure for the Evaluation Supplier</w:t>
      </w:r>
      <w:bookmarkEnd w:id="323"/>
    </w:p>
    <w:p w14:paraId="18AF17EB" w14:textId="22870DAB" w:rsidR="00865748" w:rsidRDefault="0070120E" w:rsidP="00865748">
      <w:pPr>
        <w:pStyle w:val="ItadNormalText"/>
      </w:pPr>
      <w:r>
        <w:rPr>
          <w:noProof/>
        </w:rPr>
        <w:drawing>
          <wp:inline distT="0" distB="0" distL="0" distR="0" wp14:anchorId="32242F11" wp14:editId="7029C6B1">
            <wp:extent cx="6061889" cy="4562475"/>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92"/>
                    <a:stretch>
                      <a:fillRect/>
                    </a:stretch>
                  </pic:blipFill>
                  <pic:spPr>
                    <a:xfrm>
                      <a:off x="0" y="0"/>
                      <a:ext cx="6077732" cy="4574400"/>
                    </a:xfrm>
                    <a:prstGeom prst="rect">
                      <a:avLst/>
                    </a:prstGeom>
                  </pic:spPr>
                </pic:pic>
              </a:graphicData>
            </a:graphic>
          </wp:inline>
        </w:drawing>
      </w:r>
    </w:p>
    <w:p w14:paraId="7EC01608" w14:textId="28DC052F" w:rsidR="00D82442" w:rsidRDefault="00D351A5" w:rsidP="00D351A5">
      <w:pPr>
        <w:pStyle w:val="ItadNormalTextWhite"/>
        <w:rPr>
          <w:color w:val="auto"/>
        </w:rPr>
      </w:pPr>
      <w:bookmarkStart w:id="324" w:name="_Hlk129484749"/>
      <w:r w:rsidRPr="00D351A5">
        <w:rPr>
          <w:color w:val="auto"/>
        </w:rPr>
        <w:t>Day to day engagement between the evaluation team and DHSC</w:t>
      </w:r>
      <w:r>
        <w:rPr>
          <w:color w:val="auto"/>
        </w:rPr>
        <w:t xml:space="preserve"> </w:t>
      </w:r>
      <w:r w:rsidR="004E7BDB">
        <w:rPr>
          <w:color w:val="auto"/>
        </w:rPr>
        <w:t>has been with the</w:t>
      </w:r>
      <w:r w:rsidRPr="00D351A5">
        <w:rPr>
          <w:color w:val="auto"/>
        </w:rPr>
        <w:t xml:space="preserve"> DHSC</w:t>
      </w:r>
      <w:r>
        <w:rPr>
          <w:color w:val="auto"/>
        </w:rPr>
        <w:t xml:space="preserve"> </w:t>
      </w:r>
      <w:r w:rsidRPr="00D351A5">
        <w:rPr>
          <w:color w:val="auto"/>
        </w:rPr>
        <w:t>Fleming Fund Project Team.</w:t>
      </w:r>
      <w:r w:rsidR="00D82442">
        <w:rPr>
          <w:color w:val="auto"/>
        </w:rPr>
        <w:t xml:space="preserve"> </w:t>
      </w:r>
    </w:p>
    <w:p w14:paraId="6F64851B" w14:textId="4E458D21" w:rsidR="004E7BDB" w:rsidRDefault="00D351A5" w:rsidP="00D351A5">
      <w:pPr>
        <w:pStyle w:val="ItadNormalTextWhite"/>
        <w:rPr>
          <w:color w:val="auto"/>
        </w:rPr>
      </w:pPr>
      <w:r w:rsidRPr="008E4951">
        <w:rPr>
          <w:b/>
          <w:bCs/>
          <w:color w:val="auto"/>
        </w:rPr>
        <w:t>The</w:t>
      </w:r>
      <w:r w:rsidR="00D82442" w:rsidRPr="008E4951">
        <w:rPr>
          <w:b/>
          <w:bCs/>
          <w:color w:val="auto"/>
        </w:rPr>
        <w:t xml:space="preserve"> </w:t>
      </w:r>
      <w:r w:rsidRPr="008E4951">
        <w:rPr>
          <w:b/>
          <w:bCs/>
          <w:color w:val="auto"/>
        </w:rPr>
        <w:t>Project</w:t>
      </w:r>
      <w:r w:rsidR="007458AC">
        <w:rPr>
          <w:b/>
          <w:bCs/>
          <w:color w:val="auto"/>
        </w:rPr>
        <w:t xml:space="preserve"> </w:t>
      </w:r>
      <w:r w:rsidRPr="008E4951">
        <w:rPr>
          <w:b/>
          <w:bCs/>
          <w:color w:val="auto"/>
        </w:rPr>
        <w:t>Director</w:t>
      </w:r>
      <w:r w:rsidR="007458AC">
        <w:rPr>
          <w:b/>
          <w:bCs/>
          <w:color w:val="auto"/>
        </w:rPr>
        <w:t xml:space="preserve"> </w:t>
      </w:r>
      <w:r w:rsidRPr="008E4951">
        <w:rPr>
          <w:b/>
          <w:bCs/>
          <w:color w:val="auto"/>
        </w:rPr>
        <w:t>(Jon</w:t>
      </w:r>
      <w:r w:rsidR="007458AC">
        <w:rPr>
          <w:b/>
          <w:bCs/>
          <w:color w:val="auto"/>
        </w:rPr>
        <w:t xml:space="preserve"> </w:t>
      </w:r>
      <w:r w:rsidRPr="008E4951">
        <w:rPr>
          <w:b/>
          <w:bCs/>
          <w:color w:val="auto"/>
        </w:rPr>
        <w:t>Cooper)</w:t>
      </w:r>
      <w:r w:rsidR="007458AC">
        <w:rPr>
          <w:b/>
          <w:bCs/>
          <w:color w:val="auto"/>
        </w:rPr>
        <w:t xml:space="preserve"> </w:t>
      </w:r>
      <w:r w:rsidR="00C051C3">
        <w:rPr>
          <w:b/>
          <w:bCs/>
          <w:color w:val="auto"/>
        </w:rPr>
        <w:t>was</w:t>
      </w:r>
      <w:r w:rsidR="007458AC">
        <w:rPr>
          <w:b/>
          <w:bCs/>
          <w:color w:val="auto"/>
        </w:rPr>
        <w:t xml:space="preserve"> </w:t>
      </w:r>
      <w:r w:rsidRPr="008E4951">
        <w:rPr>
          <w:b/>
          <w:bCs/>
          <w:color w:val="auto"/>
        </w:rPr>
        <w:t>accountabl</w:t>
      </w:r>
      <w:r w:rsidRPr="00D351A5">
        <w:rPr>
          <w:color w:val="auto"/>
        </w:rPr>
        <w:t>e</w:t>
      </w:r>
      <w:r w:rsidR="007458AC">
        <w:rPr>
          <w:color w:val="auto"/>
        </w:rPr>
        <w:t xml:space="preserve"> </w:t>
      </w:r>
      <w:r w:rsidRPr="00D351A5">
        <w:rPr>
          <w:color w:val="auto"/>
        </w:rPr>
        <w:t>for</w:t>
      </w:r>
      <w:r w:rsidR="007458AC">
        <w:rPr>
          <w:color w:val="auto"/>
        </w:rPr>
        <w:t xml:space="preserve"> </w:t>
      </w:r>
      <w:r w:rsidR="00725013">
        <w:rPr>
          <w:color w:val="auto"/>
        </w:rPr>
        <w:t xml:space="preserve">the </w:t>
      </w:r>
      <w:r w:rsidRPr="00D351A5">
        <w:rPr>
          <w:color w:val="auto"/>
        </w:rPr>
        <w:t>delivery</w:t>
      </w:r>
      <w:r w:rsidR="007458AC">
        <w:rPr>
          <w:color w:val="auto"/>
        </w:rPr>
        <w:t xml:space="preserve"> </w:t>
      </w:r>
      <w:r w:rsidRPr="00D351A5">
        <w:rPr>
          <w:color w:val="auto"/>
        </w:rPr>
        <w:t>of</w:t>
      </w:r>
      <w:r w:rsidR="007458AC">
        <w:rPr>
          <w:color w:val="auto"/>
        </w:rPr>
        <w:t xml:space="preserve"> </w:t>
      </w:r>
      <w:r w:rsidRPr="00D351A5">
        <w:rPr>
          <w:color w:val="auto"/>
        </w:rPr>
        <w:t>the</w:t>
      </w:r>
      <w:r w:rsidR="007458AC">
        <w:rPr>
          <w:color w:val="auto"/>
        </w:rPr>
        <w:t xml:space="preserve"> </w:t>
      </w:r>
      <w:r w:rsidRPr="00D351A5">
        <w:rPr>
          <w:color w:val="auto"/>
        </w:rPr>
        <w:t>evaluation</w:t>
      </w:r>
      <w:r w:rsidR="003855F8">
        <w:rPr>
          <w:color w:val="auto"/>
        </w:rPr>
        <w:t xml:space="preserve"> </w:t>
      </w:r>
      <w:r w:rsidRPr="00D351A5">
        <w:rPr>
          <w:color w:val="auto"/>
        </w:rPr>
        <w:t>as</w:t>
      </w:r>
      <w:r w:rsidR="007458AC">
        <w:rPr>
          <w:color w:val="auto"/>
        </w:rPr>
        <w:t xml:space="preserve"> </w:t>
      </w:r>
      <w:r w:rsidRPr="00D351A5">
        <w:rPr>
          <w:color w:val="auto"/>
        </w:rPr>
        <w:t>agreed</w:t>
      </w:r>
      <w:r w:rsidR="007458AC">
        <w:rPr>
          <w:color w:val="auto"/>
        </w:rPr>
        <w:t xml:space="preserve"> </w:t>
      </w:r>
      <w:r w:rsidRPr="00D351A5">
        <w:rPr>
          <w:color w:val="auto"/>
        </w:rPr>
        <w:t xml:space="preserve">with </w:t>
      </w:r>
      <w:r w:rsidR="00D72F08">
        <w:rPr>
          <w:color w:val="auto"/>
        </w:rPr>
        <w:t xml:space="preserve">the </w:t>
      </w:r>
      <w:r w:rsidRPr="00D351A5">
        <w:rPr>
          <w:color w:val="auto"/>
        </w:rPr>
        <w:t>DHSC.</w:t>
      </w:r>
      <w:r w:rsidR="004E7BDB">
        <w:rPr>
          <w:color w:val="auto"/>
        </w:rPr>
        <w:t xml:space="preserve"> </w:t>
      </w:r>
      <w:r w:rsidRPr="008E4951">
        <w:rPr>
          <w:b/>
          <w:bCs/>
          <w:color w:val="auto"/>
        </w:rPr>
        <w:t>The</w:t>
      </w:r>
      <w:r w:rsidR="007458AC">
        <w:rPr>
          <w:b/>
          <w:bCs/>
          <w:color w:val="auto"/>
        </w:rPr>
        <w:t xml:space="preserve"> </w:t>
      </w:r>
      <w:r w:rsidRPr="008E4951">
        <w:rPr>
          <w:b/>
          <w:bCs/>
          <w:color w:val="auto"/>
        </w:rPr>
        <w:t>Team</w:t>
      </w:r>
      <w:r w:rsidR="007458AC">
        <w:rPr>
          <w:b/>
          <w:bCs/>
          <w:color w:val="auto"/>
        </w:rPr>
        <w:t xml:space="preserve"> </w:t>
      </w:r>
      <w:r w:rsidRPr="008E4951">
        <w:rPr>
          <w:b/>
          <w:bCs/>
          <w:color w:val="auto"/>
        </w:rPr>
        <w:t>Leader</w:t>
      </w:r>
      <w:r w:rsidR="007458AC">
        <w:rPr>
          <w:b/>
          <w:bCs/>
          <w:color w:val="auto"/>
        </w:rPr>
        <w:t xml:space="preserve"> </w:t>
      </w:r>
      <w:r w:rsidR="00C051C3">
        <w:rPr>
          <w:b/>
          <w:bCs/>
          <w:color w:val="auto"/>
        </w:rPr>
        <w:t>was</w:t>
      </w:r>
      <w:r w:rsidRPr="008E4951">
        <w:rPr>
          <w:b/>
          <w:bCs/>
          <w:color w:val="auto"/>
        </w:rPr>
        <w:t xml:space="preserve"> responsible</w:t>
      </w:r>
      <w:r w:rsidRPr="00D351A5">
        <w:rPr>
          <w:color w:val="auto"/>
        </w:rPr>
        <w:t xml:space="preserve"> for </w:t>
      </w:r>
      <w:r w:rsidR="00725013">
        <w:rPr>
          <w:color w:val="auto"/>
        </w:rPr>
        <w:t xml:space="preserve">the </w:t>
      </w:r>
      <w:r w:rsidRPr="00D351A5">
        <w:rPr>
          <w:color w:val="auto"/>
        </w:rPr>
        <w:t>technical delivery of the evaluation to quality standards.</w:t>
      </w:r>
      <w:r w:rsidR="004E7BDB">
        <w:rPr>
          <w:color w:val="auto"/>
        </w:rPr>
        <w:t xml:space="preserve"> </w:t>
      </w:r>
      <w:r w:rsidRPr="00D351A5">
        <w:rPr>
          <w:color w:val="auto"/>
        </w:rPr>
        <w:t xml:space="preserve">Accountability </w:t>
      </w:r>
      <w:r w:rsidR="004E7BDB">
        <w:rPr>
          <w:color w:val="auto"/>
        </w:rPr>
        <w:t>has been assured</w:t>
      </w:r>
      <w:r w:rsidRPr="00D351A5">
        <w:rPr>
          <w:color w:val="auto"/>
        </w:rPr>
        <w:t xml:space="preserve"> through a number of mechanisms, including:</w:t>
      </w:r>
    </w:p>
    <w:p w14:paraId="75363EDC" w14:textId="77777777" w:rsidR="008E4951" w:rsidRDefault="00D351A5" w:rsidP="00C6374D">
      <w:pPr>
        <w:pStyle w:val="ItadNormalTextWhite"/>
        <w:numPr>
          <w:ilvl w:val="0"/>
          <w:numId w:val="58"/>
        </w:numPr>
        <w:rPr>
          <w:color w:val="auto"/>
        </w:rPr>
      </w:pPr>
      <w:r w:rsidRPr="00D351A5">
        <w:rPr>
          <w:color w:val="auto"/>
        </w:rPr>
        <w:t>Regular reporting</w:t>
      </w:r>
      <w:r w:rsidR="004E7BDB">
        <w:rPr>
          <w:color w:val="auto"/>
        </w:rPr>
        <w:t xml:space="preserve">, </w:t>
      </w:r>
      <w:r w:rsidRPr="00D351A5">
        <w:rPr>
          <w:color w:val="auto"/>
        </w:rPr>
        <w:t xml:space="preserve">in the form of: </w:t>
      </w:r>
    </w:p>
    <w:p w14:paraId="16E1C775" w14:textId="46B47B3B" w:rsidR="008E4951" w:rsidRDefault="00D351A5" w:rsidP="00C6374D">
      <w:pPr>
        <w:pStyle w:val="ItadNormalTextWhite"/>
        <w:numPr>
          <w:ilvl w:val="0"/>
          <w:numId w:val="59"/>
        </w:numPr>
        <w:rPr>
          <w:color w:val="auto"/>
        </w:rPr>
      </w:pPr>
      <w:r w:rsidRPr="00D351A5">
        <w:rPr>
          <w:color w:val="auto"/>
        </w:rPr>
        <w:t>Informal monthly updates</w:t>
      </w:r>
      <w:r w:rsidR="004E7BDB">
        <w:rPr>
          <w:color w:val="auto"/>
        </w:rPr>
        <w:t xml:space="preserve"> </w:t>
      </w:r>
      <w:r w:rsidRPr="00D351A5">
        <w:rPr>
          <w:color w:val="auto"/>
        </w:rPr>
        <w:t xml:space="preserve">between </w:t>
      </w:r>
      <w:r w:rsidR="004E7BDB">
        <w:rPr>
          <w:color w:val="auto"/>
        </w:rPr>
        <w:t xml:space="preserve">the DHSC </w:t>
      </w:r>
      <w:r w:rsidRPr="00D351A5">
        <w:rPr>
          <w:color w:val="auto"/>
        </w:rPr>
        <w:t>Fleming Fund</w:t>
      </w:r>
      <w:r w:rsidR="004E7BDB">
        <w:rPr>
          <w:color w:val="auto"/>
        </w:rPr>
        <w:t xml:space="preserve"> </w:t>
      </w:r>
      <w:r w:rsidRPr="00D351A5">
        <w:rPr>
          <w:color w:val="auto"/>
        </w:rPr>
        <w:t xml:space="preserve">Project Team and evaluation </w:t>
      </w:r>
      <w:r w:rsidR="00BB10D4">
        <w:rPr>
          <w:color w:val="auto"/>
        </w:rPr>
        <w:t>project manager</w:t>
      </w:r>
      <w:r w:rsidR="004E7BDB">
        <w:rPr>
          <w:color w:val="auto"/>
        </w:rPr>
        <w:t xml:space="preserve"> </w:t>
      </w:r>
      <w:r w:rsidRPr="00D351A5">
        <w:rPr>
          <w:color w:val="auto"/>
        </w:rPr>
        <w:t xml:space="preserve">to review progress against agreed </w:t>
      </w:r>
      <w:r w:rsidR="00FB10B9">
        <w:rPr>
          <w:color w:val="auto"/>
        </w:rPr>
        <w:t>work plan</w:t>
      </w:r>
      <w:r w:rsidRPr="00D351A5">
        <w:rPr>
          <w:color w:val="auto"/>
        </w:rPr>
        <w:t>s</w:t>
      </w:r>
      <w:r w:rsidR="00504C97">
        <w:rPr>
          <w:color w:val="auto"/>
        </w:rPr>
        <w:t xml:space="preserve">, </w:t>
      </w:r>
      <w:r w:rsidR="008C1A6D">
        <w:rPr>
          <w:color w:val="auto"/>
        </w:rPr>
        <w:t xml:space="preserve">discuss any budget concerns, </w:t>
      </w:r>
      <w:r w:rsidRPr="00D351A5">
        <w:rPr>
          <w:color w:val="auto"/>
        </w:rPr>
        <w:t xml:space="preserve">and any </w:t>
      </w:r>
      <w:r w:rsidR="008C1A6D">
        <w:rPr>
          <w:color w:val="auto"/>
        </w:rPr>
        <w:t>other business as required</w:t>
      </w:r>
      <w:r w:rsidRPr="00D351A5">
        <w:rPr>
          <w:color w:val="auto"/>
        </w:rPr>
        <w:t xml:space="preserve">; </w:t>
      </w:r>
    </w:p>
    <w:p w14:paraId="2C349EB8" w14:textId="08ED1F33" w:rsidR="008C1A6D" w:rsidRPr="00D72F08" w:rsidRDefault="00D351A5" w:rsidP="00C6374D">
      <w:pPr>
        <w:pStyle w:val="ItadNormalTextWhite"/>
        <w:numPr>
          <w:ilvl w:val="0"/>
          <w:numId w:val="59"/>
        </w:numPr>
        <w:rPr>
          <w:color w:val="auto"/>
        </w:rPr>
      </w:pPr>
      <w:r w:rsidRPr="00D351A5">
        <w:rPr>
          <w:color w:val="auto"/>
        </w:rPr>
        <w:t>Quarterly reporting</w:t>
      </w:r>
      <w:r w:rsidR="007458AC">
        <w:rPr>
          <w:color w:val="auto"/>
        </w:rPr>
        <w:t xml:space="preserve"> </w:t>
      </w:r>
      <w:r w:rsidRPr="00D351A5">
        <w:rPr>
          <w:color w:val="auto"/>
        </w:rPr>
        <w:t>on</w:t>
      </w:r>
      <w:r w:rsidR="007458AC">
        <w:rPr>
          <w:color w:val="auto"/>
        </w:rPr>
        <w:t xml:space="preserve"> </w:t>
      </w:r>
      <w:r w:rsidRPr="00D351A5">
        <w:rPr>
          <w:color w:val="auto"/>
        </w:rPr>
        <w:t>progress</w:t>
      </w:r>
      <w:r w:rsidR="00BB10D4">
        <w:rPr>
          <w:color w:val="auto"/>
        </w:rPr>
        <w:t xml:space="preserve"> </w:t>
      </w:r>
      <w:r w:rsidRPr="00D351A5">
        <w:rPr>
          <w:color w:val="auto"/>
        </w:rPr>
        <w:t>against</w:t>
      </w:r>
      <w:r w:rsidR="007458AC">
        <w:rPr>
          <w:color w:val="auto"/>
        </w:rPr>
        <w:t xml:space="preserve"> </w:t>
      </w:r>
      <w:r w:rsidRPr="00D351A5">
        <w:rPr>
          <w:color w:val="auto"/>
        </w:rPr>
        <w:t>agreed</w:t>
      </w:r>
      <w:r w:rsidR="007458AC">
        <w:rPr>
          <w:color w:val="auto"/>
        </w:rPr>
        <w:t xml:space="preserve"> </w:t>
      </w:r>
      <w:r w:rsidRPr="00D351A5">
        <w:rPr>
          <w:color w:val="auto"/>
        </w:rPr>
        <w:t>activities and</w:t>
      </w:r>
      <w:r w:rsidR="00BB10D4">
        <w:rPr>
          <w:color w:val="auto"/>
        </w:rPr>
        <w:t xml:space="preserve"> </w:t>
      </w:r>
      <w:r w:rsidRPr="00D351A5">
        <w:rPr>
          <w:color w:val="auto"/>
        </w:rPr>
        <w:t>financial status against planned funding/budget</w:t>
      </w:r>
      <w:r w:rsidR="00D72F08">
        <w:rPr>
          <w:color w:val="auto"/>
        </w:rPr>
        <w:t xml:space="preserve"> – </w:t>
      </w:r>
      <w:r w:rsidRPr="00D72F08">
        <w:rPr>
          <w:color w:val="auto"/>
        </w:rPr>
        <w:t xml:space="preserve">this </w:t>
      </w:r>
      <w:r w:rsidR="008C1A6D" w:rsidRPr="00D72F08">
        <w:rPr>
          <w:color w:val="auto"/>
        </w:rPr>
        <w:t>has been</w:t>
      </w:r>
      <w:r w:rsidRPr="00D72F08">
        <w:rPr>
          <w:color w:val="auto"/>
        </w:rPr>
        <w:t xml:space="preserve"> both through </w:t>
      </w:r>
      <w:r w:rsidR="00D72F08">
        <w:rPr>
          <w:color w:val="auto"/>
        </w:rPr>
        <w:t xml:space="preserve">the </w:t>
      </w:r>
      <w:r w:rsidRPr="00D72F08">
        <w:rPr>
          <w:color w:val="auto"/>
        </w:rPr>
        <w:t>submission of a quarterly report document</w:t>
      </w:r>
      <w:r w:rsidR="00BB10D4" w:rsidRPr="00D72F08">
        <w:rPr>
          <w:color w:val="auto"/>
        </w:rPr>
        <w:t xml:space="preserve"> </w:t>
      </w:r>
      <w:r w:rsidRPr="00D72F08">
        <w:rPr>
          <w:color w:val="auto"/>
        </w:rPr>
        <w:t>and a</w:t>
      </w:r>
      <w:r w:rsidR="007458AC" w:rsidRPr="00D72F08">
        <w:rPr>
          <w:color w:val="auto"/>
        </w:rPr>
        <w:t xml:space="preserve"> </w:t>
      </w:r>
      <w:r w:rsidRPr="00D72F08">
        <w:rPr>
          <w:color w:val="auto"/>
        </w:rPr>
        <w:t>face-to-face</w:t>
      </w:r>
      <w:r w:rsidR="007458AC" w:rsidRPr="00D72F08">
        <w:rPr>
          <w:color w:val="auto"/>
        </w:rPr>
        <w:t xml:space="preserve"> </w:t>
      </w:r>
      <w:r w:rsidRPr="00D72F08">
        <w:rPr>
          <w:color w:val="auto"/>
        </w:rPr>
        <w:t>meeting</w:t>
      </w:r>
      <w:r w:rsidR="008E4951" w:rsidRPr="00D72F08">
        <w:rPr>
          <w:color w:val="auto"/>
        </w:rPr>
        <w:t xml:space="preserve"> b</w:t>
      </w:r>
      <w:r w:rsidRPr="00D72F08">
        <w:rPr>
          <w:color w:val="auto"/>
        </w:rPr>
        <w:t>etween</w:t>
      </w:r>
      <w:r w:rsidR="008E4951" w:rsidRPr="00D72F08">
        <w:rPr>
          <w:color w:val="auto"/>
        </w:rPr>
        <w:t xml:space="preserve"> </w:t>
      </w:r>
      <w:r w:rsidRPr="00D72F08">
        <w:rPr>
          <w:color w:val="auto"/>
        </w:rPr>
        <w:t>the evaluation</w:t>
      </w:r>
      <w:r w:rsidR="007458AC" w:rsidRPr="00D72F08">
        <w:rPr>
          <w:color w:val="auto"/>
        </w:rPr>
        <w:t xml:space="preserve"> </w:t>
      </w:r>
      <w:r w:rsidR="008C1A6D" w:rsidRPr="00D72F08">
        <w:rPr>
          <w:color w:val="auto"/>
        </w:rPr>
        <w:t xml:space="preserve">project manager, bringing in other members of the </w:t>
      </w:r>
      <w:r w:rsidR="00F66FD4" w:rsidRPr="00D72F08">
        <w:rPr>
          <w:color w:val="auto"/>
        </w:rPr>
        <w:t>senior leadership team</w:t>
      </w:r>
      <w:r w:rsidR="008C1A6D" w:rsidRPr="00D72F08">
        <w:rPr>
          <w:color w:val="auto"/>
        </w:rPr>
        <w:t xml:space="preserve"> as required, </w:t>
      </w:r>
      <w:r w:rsidRPr="00D72F08">
        <w:rPr>
          <w:color w:val="auto"/>
        </w:rPr>
        <w:t xml:space="preserve">and </w:t>
      </w:r>
      <w:r w:rsidR="00D72F08">
        <w:rPr>
          <w:color w:val="auto"/>
        </w:rPr>
        <w:t xml:space="preserve">the </w:t>
      </w:r>
      <w:r w:rsidRPr="00D72F08">
        <w:rPr>
          <w:color w:val="auto"/>
        </w:rPr>
        <w:t>Fleming Fund</w:t>
      </w:r>
      <w:r w:rsidR="00BB10D4" w:rsidRPr="00D72F08">
        <w:rPr>
          <w:color w:val="auto"/>
        </w:rPr>
        <w:t xml:space="preserve"> </w:t>
      </w:r>
      <w:r w:rsidRPr="00D72F08">
        <w:rPr>
          <w:color w:val="auto"/>
        </w:rPr>
        <w:t xml:space="preserve">Project Team plus others as required by </w:t>
      </w:r>
      <w:r w:rsidR="00D72F08">
        <w:rPr>
          <w:color w:val="auto"/>
        </w:rPr>
        <w:t xml:space="preserve">the </w:t>
      </w:r>
      <w:r w:rsidRPr="00D72F08">
        <w:rPr>
          <w:color w:val="auto"/>
        </w:rPr>
        <w:t xml:space="preserve">DHSC; </w:t>
      </w:r>
    </w:p>
    <w:p w14:paraId="49B54808" w14:textId="717146C0" w:rsidR="009A6A79" w:rsidRPr="00C46491" w:rsidRDefault="00D351A5" w:rsidP="00C6374D">
      <w:pPr>
        <w:pStyle w:val="ItadNormalTextWhite"/>
        <w:numPr>
          <w:ilvl w:val="0"/>
          <w:numId w:val="59"/>
        </w:numPr>
        <w:rPr>
          <w:color w:val="auto"/>
        </w:rPr>
      </w:pPr>
      <w:r w:rsidRPr="00D351A5">
        <w:rPr>
          <w:color w:val="auto"/>
        </w:rPr>
        <w:t>Annual reporting</w:t>
      </w:r>
      <w:r w:rsidR="00992287">
        <w:rPr>
          <w:color w:val="auto"/>
        </w:rPr>
        <w:t xml:space="preserve"> which includes a review of the total contract budget, work completed and </w:t>
      </w:r>
      <w:r w:rsidR="00FB10B9">
        <w:rPr>
          <w:color w:val="auto"/>
        </w:rPr>
        <w:t>work plan</w:t>
      </w:r>
      <w:r w:rsidR="00992287">
        <w:rPr>
          <w:color w:val="auto"/>
        </w:rPr>
        <w:t xml:space="preserve"> moving forward. </w:t>
      </w:r>
      <w:r w:rsidR="00C46491">
        <w:rPr>
          <w:color w:val="auto"/>
        </w:rPr>
        <w:t xml:space="preserve">The Annual </w:t>
      </w:r>
      <w:r w:rsidR="00725013">
        <w:rPr>
          <w:color w:val="auto"/>
        </w:rPr>
        <w:t>Review</w:t>
      </w:r>
      <w:r w:rsidR="00C46491">
        <w:rPr>
          <w:color w:val="auto"/>
        </w:rPr>
        <w:t xml:space="preserve"> </w:t>
      </w:r>
      <w:r w:rsidR="00C051C3">
        <w:rPr>
          <w:color w:val="auto"/>
        </w:rPr>
        <w:t>was</w:t>
      </w:r>
      <w:r w:rsidR="00C46491">
        <w:rPr>
          <w:color w:val="auto"/>
        </w:rPr>
        <w:t xml:space="preserve"> delivered as a presentation, a budget document, and</w:t>
      </w:r>
      <w:r w:rsidR="00D72F08">
        <w:rPr>
          <w:color w:val="auto"/>
        </w:rPr>
        <w:t xml:space="preserve"> </w:t>
      </w:r>
      <w:r w:rsidR="00C051C3">
        <w:rPr>
          <w:color w:val="auto"/>
        </w:rPr>
        <w:t>was</w:t>
      </w:r>
      <w:r w:rsidR="00C46491">
        <w:rPr>
          <w:color w:val="auto"/>
        </w:rPr>
        <w:t xml:space="preserve"> discussed in a face-to-face/remote meeting between the evaluation project manager and the DHSC </w:t>
      </w:r>
      <w:r w:rsidR="00C46491" w:rsidRPr="00D351A5">
        <w:rPr>
          <w:color w:val="auto"/>
        </w:rPr>
        <w:t>Fleming Fund</w:t>
      </w:r>
      <w:r w:rsidR="00C46491">
        <w:rPr>
          <w:color w:val="auto"/>
        </w:rPr>
        <w:t xml:space="preserve"> </w:t>
      </w:r>
      <w:r w:rsidR="00C46491" w:rsidRPr="00D351A5">
        <w:rPr>
          <w:color w:val="auto"/>
        </w:rPr>
        <w:t>Project Team</w:t>
      </w:r>
      <w:r w:rsidR="00C46491">
        <w:rPr>
          <w:color w:val="auto"/>
        </w:rPr>
        <w:t>;</w:t>
      </w:r>
    </w:p>
    <w:p w14:paraId="351D7F92" w14:textId="1A35CDB4" w:rsidR="008E4951" w:rsidRPr="00A900E8" w:rsidRDefault="00D351A5" w:rsidP="00C6374D">
      <w:pPr>
        <w:pStyle w:val="ItadNormalTextWhite"/>
        <w:numPr>
          <w:ilvl w:val="0"/>
          <w:numId w:val="58"/>
        </w:numPr>
        <w:rPr>
          <w:color w:val="auto"/>
        </w:rPr>
      </w:pPr>
      <w:r w:rsidRPr="00D351A5">
        <w:rPr>
          <w:color w:val="auto"/>
        </w:rPr>
        <w:t>Delivery of the</w:t>
      </w:r>
      <w:r w:rsidR="000638AC">
        <w:rPr>
          <w:color w:val="auto"/>
        </w:rPr>
        <w:t xml:space="preserve"> </w:t>
      </w:r>
      <w:r w:rsidRPr="00D351A5">
        <w:rPr>
          <w:color w:val="auto"/>
        </w:rPr>
        <w:t xml:space="preserve">evaluation products </w:t>
      </w:r>
      <w:r w:rsidR="00A900E8">
        <w:rPr>
          <w:color w:val="auto"/>
        </w:rPr>
        <w:t>as follows:</w:t>
      </w:r>
    </w:p>
    <w:p w14:paraId="456CBA57" w14:textId="4EE8C026" w:rsidR="008E4951" w:rsidRPr="000638AC" w:rsidRDefault="008E4951" w:rsidP="00C6374D">
      <w:pPr>
        <w:pStyle w:val="ItadNormalTextWhite"/>
        <w:numPr>
          <w:ilvl w:val="0"/>
          <w:numId w:val="60"/>
        </w:numPr>
        <w:rPr>
          <w:color w:val="auto"/>
        </w:rPr>
      </w:pPr>
      <w:r w:rsidRPr="000638AC">
        <w:rPr>
          <w:color w:val="auto"/>
        </w:rPr>
        <w:t>January 2019 Formative report incl</w:t>
      </w:r>
      <w:r w:rsidR="00D72F08">
        <w:rPr>
          <w:color w:val="auto"/>
        </w:rPr>
        <w:t>uding</w:t>
      </w:r>
      <w:r w:rsidRPr="000638AC">
        <w:rPr>
          <w:color w:val="auto"/>
        </w:rPr>
        <w:t xml:space="preserve"> judgements for </w:t>
      </w:r>
      <w:r w:rsidR="00D72F08">
        <w:rPr>
          <w:color w:val="auto"/>
        </w:rPr>
        <w:t xml:space="preserve">the </w:t>
      </w:r>
      <w:r w:rsidRPr="000638AC">
        <w:rPr>
          <w:color w:val="auto"/>
        </w:rPr>
        <w:t xml:space="preserve">DHSC, MA and HMT to support </w:t>
      </w:r>
      <w:r w:rsidR="00071E41">
        <w:rPr>
          <w:color w:val="auto"/>
        </w:rPr>
        <w:t>a</w:t>
      </w:r>
      <w:r w:rsidR="00D72F08">
        <w:rPr>
          <w:color w:val="auto"/>
        </w:rPr>
        <w:t xml:space="preserve"> </w:t>
      </w:r>
      <w:r w:rsidRPr="000638AC">
        <w:rPr>
          <w:color w:val="auto"/>
        </w:rPr>
        <w:t>decision on future Fleming Fund funding</w:t>
      </w:r>
      <w:r w:rsidR="00D72F08">
        <w:rPr>
          <w:color w:val="auto"/>
        </w:rPr>
        <w:t>.</w:t>
      </w:r>
    </w:p>
    <w:p w14:paraId="7735761E" w14:textId="4305F086" w:rsidR="008E4951" w:rsidRPr="000638AC" w:rsidRDefault="008E4951" w:rsidP="00C6374D">
      <w:pPr>
        <w:pStyle w:val="ItadNormalTextWhite"/>
        <w:numPr>
          <w:ilvl w:val="0"/>
          <w:numId w:val="60"/>
        </w:numPr>
        <w:rPr>
          <w:color w:val="auto"/>
        </w:rPr>
      </w:pPr>
      <w:r w:rsidRPr="000638AC">
        <w:rPr>
          <w:color w:val="auto"/>
        </w:rPr>
        <w:t xml:space="preserve">Formative deliverable for </w:t>
      </w:r>
      <w:r w:rsidR="00D72F08">
        <w:rPr>
          <w:color w:val="auto"/>
        </w:rPr>
        <w:t xml:space="preserve">the </w:t>
      </w:r>
      <w:r w:rsidRPr="000638AC">
        <w:rPr>
          <w:color w:val="auto"/>
        </w:rPr>
        <w:t>DHSC, MA to support adaptive learning in key window</w:t>
      </w:r>
      <w:r w:rsidR="00D72F08">
        <w:rPr>
          <w:color w:val="auto"/>
        </w:rPr>
        <w:t>s</w:t>
      </w:r>
      <w:r w:rsidRPr="000638AC">
        <w:rPr>
          <w:color w:val="auto"/>
        </w:rPr>
        <w:t xml:space="preserve"> of opportunity, </w:t>
      </w:r>
      <w:r w:rsidR="00D72F08" w:rsidRPr="000638AC">
        <w:rPr>
          <w:color w:val="auto"/>
        </w:rPr>
        <w:t>submitted</w:t>
      </w:r>
      <w:r w:rsidRPr="000638AC">
        <w:rPr>
          <w:color w:val="auto"/>
        </w:rPr>
        <w:t xml:space="preserve"> January 2020. </w:t>
      </w:r>
    </w:p>
    <w:p w14:paraId="590146EC" w14:textId="5FC1ED01" w:rsidR="008E4951" w:rsidRPr="000638AC" w:rsidRDefault="008E4951" w:rsidP="00C6374D">
      <w:pPr>
        <w:pStyle w:val="ItadNormalTextWhite"/>
        <w:numPr>
          <w:ilvl w:val="0"/>
          <w:numId w:val="60"/>
        </w:numPr>
        <w:rPr>
          <w:color w:val="auto"/>
        </w:rPr>
      </w:pPr>
      <w:r w:rsidRPr="000638AC">
        <w:rPr>
          <w:color w:val="auto"/>
        </w:rPr>
        <w:t xml:space="preserve">Formative deliverable requested by </w:t>
      </w:r>
      <w:r w:rsidR="00071E41">
        <w:rPr>
          <w:color w:val="auto"/>
        </w:rPr>
        <w:t xml:space="preserve">the </w:t>
      </w:r>
      <w:r w:rsidRPr="000638AC">
        <w:rPr>
          <w:color w:val="auto"/>
        </w:rPr>
        <w:t xml:space="preserve">DHSC to inform </w:t>
      </w:r>
      <w:r w:rsidR="00D72F08">
        <w:rPr>
          <w:color w:val="auto"/>
        </w:rPr>
        <w:t xml:space="preserve">the </w:t>
      </w:r>
      <w:r w:rsidRPr="000638AC">
        <w:rPr>
          <w:color w:val="auto"/>
        </w:rPr>
        <w:t xml:space="preserve">design of the second phase of the Fleming Fund (specifically focusing on Fleming Fellows, </w:t>
      </w:r>
      <w:r w:rsidR="00725013">
        <w:rPr>
          <w:color w:val="auto"/>
        </w:rPr>
        <w:t>RGs,</w:t>
      </w:r>
      <w:r w:rsidRPr="000638AC">
        <w:rPr>
          <w:color w:val="auto"/>
        </w:rPr>
        <w:t xml:space="preserve"> and Use of data) and identify any potential adaptations for</w:t>
      </w:r>
      <w:r w:rsidR="00D72F08">
        <w:rPr>
          <w:color w:val="auto"/>
        </w:rPr>
        <w:t xml:space="preserve"> the</w:t>
      </w:r>
      <w:r w:rsidRPr="000638AC">
        <w:rPr>
          <w:color w:val="auto"/>
        </w:rPr>
        <w:t xml:space="preserve"> remaining time of </w:t>
      </w:r>
      <w:r w:rsidR="009E2AC2">
        <w:rPr>
          <w:color w:val="auto"/>
        </w:rPr>
        <w:t>phase 1</w:t>
      </w:r>
      <w:r w:rsidR="00D72F08">
        <w:rPr>
          <w:color w:val="auto"/>
        </w:rPr>
        <w:t>,</w:t>
      </w:r>
      <w:r w:rsidRPr="000638AC">
        <w:rPr>
          <w:color w:val="auto"/>
        </w:rPr>
        <w:t xml:space="preserve"> </w:t>
      </w:r>
      <w:r w:rsidR="00D72F08" w:rsidRPr="000638AC">
        <w:rPr>
          <w:color w:val="auto"/>
        </w:rPr>
        <w:t>submitted</w:t>
      </w:r>
      <w:r w:rsidRPr="000638AC">
        <w:rPr>
          <w:color w:val="auto"/>
        </w:rPr>
        <w:t xml:space="preserve"> March 2021</w:t>
      </w:r>
      <w:r w:rsidR="00D72F08">
        <w:rPr>
          <w:color w:val="auto"/>
        </w:rPr>
        <w:t>.</w:t>
      </w:r>
    </w:p>
    <w:p w14:paraId="7D855FB3" w14:textId="3D851685" w:rsidR="00A900E8" w:rsidRPr="00A900E8" w:rsidRDefault="008E4951" w:rsidP="00C6374D">
      <w:pPr>
        <w:pStyle w:val="ItadNormalTextWhite"/>
        <w:numPr>
          <w:ilvl w:val="0"/>
          <w:numId w:val="60"/>
        </w:numPr>
        <w:rPr>
          <w:color w:val="auto"/>
        </w:rPr>
      </w:pPr>
      <w:r w:rsidRPr="000638AC">
        <w:rPr>
          <w:color w:val="auto"/>
        </w:rPr>
        <w:t xml:space="preserve">Summative report for </w:t>
      </w:r>
      <w:r w:rsidR="00D72F08">
        <w:rPr>
          <w:color w:val="auto"/>
        </w:rPr>
        <w:t xml:space="preserve">the </w:t>
      </w:r>
      <w:r w:rsidRPr="000638AC">
        <w:rPr>
          <w:color w:val="auto"/>
        </w:rPr>
        <w:t xml:space="preserve">DHSC on whether the grants programme is likely to meet its overall objectives (covering all the </w:t>
      </w:r>
      <w:r w:rsidR="00D72F08">
        <w:rPr>
          <w:color w:val="auto"/>
        </w:rPr>
        <w:t>six</w:t>
      </w:r>
      <w:r w:rsidR="00D72F08" w:rsidRPr="000638AC">
        <w:rPr>
          <w:color w:val="auto"/>
        </w:rPr>
        <w:t xml:space="preserve"> </w:t>
      </w:r>
      <w:r w:rsidRPr="000638AC">
        <w:rPr>
          <w:color w:val="auto"/>
        </w:rPr>
        <w:t>EQs)</w:t>
      </w:r>
      <w:r w:rsidR="00C051C3">
        <w:rPr>
          <w:color w:val="auto"/>
        </w:rPr>
        <w:t xml:space="preserve">, </w:t>
      </w:r>
      <w:r w:rsidRPr="000638AC">
        <w:rPr>
          <w:color w:val="auto"/>
        </w:rPr>
        <w:t>submitted December 2022</w:t>
      </w:r>
      <w:r w:rsidR="00D72F08">
        <w:rPr>
          <w:color w:val="auto"/>
        </w:rPr>
        <w:t>.</w:t>
      </w:r>
    </w:p>
    <w:p w14:paraId="3BEC9940" w14:textId="1D1D56D3" w:rsidR="00A900E8" w:rsidRDefault="00D351A5" w:rsidP="00C6374D">
      <w:pPr>
        <w:pStyle w:val="ItadNormalTextWhite"/>
        <w:numPr>
          <w:ilvl w:val="0"/>
          <w:numId w:val="58"/>
        </w:numPr>
        <w:rPr>
          <w:color w:val="auto"/>
        </w:rPr>
      </w:pPr>
      <w:r w:rsidRPr="00D351A5">
        <w:rPr>
          <w:color w:val="auto"/>
        </w:rPr>
        <w:t xml:space="preserve">Participation in the Fleming Fund </w:t>
      </w:r>
      <w:r w:rsidR="006A5ADE">
        <w:rPr>
          <w:color w:val="auto"/>
        </w:rPr>
        <w:t>TAG</w:t>
      </w:r>
      <w:r w:rsidRPr="00D351A5">
        <w:rPr>
          <w:color w:val="auto"/>
        </w:rPr>
        <w:t xml:space="preserve"> meetings as required.</w:t>
      </w:r>
    </w:p>
    <w:p w14:paraId="7F490D19" w14:textId="09BC8ADA" w:rsidR="00865748" w:rsidRDefault="00D72F08" w:rsidP="00C6374D">
      <w:pPr>
        <w:pStyle w:val="ItadNormalTextWhite"/>
        <w:numPr>
          <w:ilvl w:val="0"/>
          <w:numId w:val="58"/>
        </w:numPr>
        <w:rPr>
          <w:color w:val="auto"/>
        </w:rPr>
      </w:pPr>
      <w:r>
        <w:rPr>
          <w:color w:val="auto"/>
        </w:rPr>
        <w:t xml:space="preserve">The </w:t>
      </w:r>
      <w:r w:rsidR="00D351A5" w:rsidRPr="00A900E8">
        <w:rPr>
          <w:color w:val="auto"/>
        </w:rPr>
        <w:t>DHSC</w:t>
      </w:r>
      <w:r w:rsidR="00534E7E">
        <w:rPr>
          <w:color w:val="auto"/>
        </w:rPr>
        <w:t>’s</w:t>
      </w:r>
      <w:r w:rsidR="009A6A79" w:rsidRPr="00A900E8">
        <w:rPr>
          <w:color w:val="auto"/>
        </w:rPr>
        <w:t xml:space="preserve"> </w:t>
      </w:r>
      <w:r w:rsidR="00D351A5" w:rsidRPr="00A900E8">
        <w:rPr>
          <w:color w:val="auto"/>
        </w:rPr>
        <w:t xml:space="preserve">participation in quarterly meetings between the MA and </w:t>
      </w:r>
      <w:r w:rsidR="00534E7E">
        <w:rPr>
          <w:color w:val="auto"/>
        </w:rPr>
        <w:t xml:space="preserve">the </w:t>
      </w:r>
      <w:r w:rsidR="00A900E8" w:rsidRPr="00A900E8">
        <w:rPr>
          <w:color w:val="auto"/>
        </w:rPr>
        <w:t>evaluation team</w:t>
      </w:r>
      <w:r>
        <w:rPr>
          <w:color w:val="auto"/>
        </w:rPr>
        <w:t>.</w:t>
      </w:r>
    </w:p>
    <w:p w14:paraId="6F258B3D" w14:textId="76582C34" w:rsidR="005A3BC3" w:rsidRDefault="008B335B" w:rsidP="008B335B">
      <w:pPr>
        <w:pStyle w:val="ItadNormalText"/>
      </w:pPr>
      <w:r w:rsidRPr="00A025DB">
        <w:rPr>
          <w:b/>
          <w:bCs/>
        </w:rPr>
        <w:t>Jon</w:t>
      </w:r>
      <w:r w:rsidR="007458AC">
        <w:rPr>
          <w:b/>
          <w:bCs/>
        </w:rPr>
        <w:t xml:space="preserve"> </w:t>
      </w:r>
      <w:r w:rsidRPr="00A025DB">
        <w:rPr>
          <w:b/>
          <w:bCs/>
        </w:rPr>
        <w:t>Cooper,</w:t>
      </w:r>
      <w:r w:rsidR="007458AC">
        <w:rPr>
          <w:b/>
          <w:bCs/>
        </w:rPr>
        <w:t xml:space="preserve"> </w:t>
      </w:r>
      <w:r w:rsidRPr="00A025DB">
        <w:rPr>
          <w:b/>
          <w:bCs/>
        </w:rPr>
        <w:t>the</w:t>
      </w:r>
      <w:r w:rsidR="007458AC">
        <w:rPr>
          <w:b/>
          <w:bCs/>
        </w:rPr>
        <w:t xml:space="preserve"> </w:t>
      </w:r>
      <w:r w:rsidRPr="00A025DB">
        <w:rPr>
          <w:b/>
          <w:bCs/>
        </w:rPr>
        <w:t>Itad</w:t>
      </w:r>
      <w:r w:rsidR="007458AC">
        <w:rPr>
          <w:b/>
          <w:bCs/>
        </w:rPr>
        <w:t xml:space="preserve"> </w:t>
      </w:r>
      <w:r w:rsidRPr="00A025DB">
        <w:rPr>
          <w:b/>
          <w:bCs/>
        </w:rPr>
        <w:t>Project</w:t>
      </w:r>
      <w:r w:rsidR="007458AC">
        <w:rPr>
          <w:b/>
          <w:bCs/>
        </w:rPr>
        <w:t xml:space="preserve"> </w:t>
      </w:r>
      <w:r w:rsidRPr="00A025DB">
        <w:rPr>
          <w:b/>
          <w:bCs/>
        </w:rPr>
        <w:t>Director,</w:t>
      </w:r>
      <w:r w:rsidR="007458AC">
        <w:rPr>
          <w:b/>
          <w:bCs/>
        </w:rPr>
        <w:t xml:space="preserve"> </w:t>
      </w:r>
      <w:r w:rsidRPr="00A025DB">
        <w:rPr>
          <w:b/>
          <w:bCs/>
        </w:rPr>
        <w:t>ha</w:t>
      </w:r>
      <w:r w:rsidR="00C051C3">
        <w:rPr>
          <w:b/>
          <w:bCs/>
        </w:rPr>
        <w:t>d</w:t>
      </w:r>
      <w:r w:rsidR="007458AC">
        <w:rPr>
          <w:b/>
          <w:bCs/>
        </w:rPr>
        <w:t xml:space="preserve"> </w:t>
      </w:r>
      <w:r w:rsidRPr="00A025DB">
        <w:rPr>
          <w:b/>
          <w:bCs/>
        </w:rPr>
        <w:t>overall</w:t>
      </w:r>
      <w:r w:rsidR="007458AC">
        <w:rPr>
          <w:b/>
          <w:bCs/>
        </w:rPr>
        <w:t xml:space="preserve"> </w:t>
      </w:r>
      <w:r w:rsidRPr="00A025DB">
        <w:rPr>
          <w:b/>
          <w:bCs/>
        </w:rPr>
        <w:t>accountability</w:t>
      </w:r>
      <w:r w:rsidR="007458AC">
        <w:rPr>
          <w:b/>
          <w:bCs/>
        </w:rPr>
        <w:t xml:space="preserve"> </w:t>
      </w:r>
      <w:r w:rsidRPr="00A025DB">
        <w:rPr>
          <w:b/>
          <w:bCs/>
        </w:rPr>
        <w:t>for</w:t>
      </w:r>
      <w:r w:rsidR="007458AC">
        <w:rPr>
          <w:b/>
          <w:bCs/>
        </w:rPr>
        <w:t xml:space="preserve"> </w:t>
      </w:r>
      <w:r w:rsidRPr="00A025DB">
        <w:rPr>
          <w:b/>
          <w:bCs/>
        </w:rPr>
        <w:t>delivering</w:t>
      </w:r>
      <w:r w:rsidR="007458AC">
        <w:rPr>
          <w:b/>
          <w:bCs/>
        </w:rPr>
        <w:t xml:space="preserve"> </w:t>
      </w:r>
      <w:r w:rsidRPr="00A025DB">
        <w:rPr>
          <w:b/>
          <w:bCs/>
        </w:rPr>
        <w:t>a</w:t>
      </w:r>
      <w:r w:rsidR="007458AC">
        <w:rPr>
          <w:b/>
          <w:bCs/>
        </w:rPr>
        <w:t xml:space="preserve"> </w:t>
      </w:r>
      <w:r w:rsidRPr="00A025DB">
        <w:rPr>
          <w:b/>
          <w:bCs/>
        </w:rPr>
        <w:t>high-quality evaluation,</w:t>
      </w:r>
      <w:r w:rsidR="007458AC">
        <w:rPr>
          <w:b/>
          <w:bCs/>
        </w:rPr>
        <w:t xml:space="preserve"> </w:t>
      </w:r>
      <w:r w:rsidRPr="00A025DB">
        <w:rPr>
          <w:b/>
          <w:bCs/>
        </w:rPr>
        <w:t>within</w:t>
      </w:r>
      <w:r w:rsidR="007458AC">
        <w:rPr>
          <w:b/>
          <w:bCs/>
        </w:rPr>
        <w:t xml:space="preserve"> </w:t>
      </w:r>
      <w:r w:rsidRPr="00A025DB">
        <w:rPr>
          <w:b/>
          <w:bCs/>
        </w:rPr>
        <w:t>agreed</w:t>
      </w:r>
      <w:r w:rsidR="007458AC">
        <w:rPr>
          <w:b/>
          <w:bCs/>
        </w:rPr>
        <w:t xml:space="preserve"> </w:t>
      </w:r>
      <w:r w:rsidRPr="00A025DB">
        <w:rPr>
          <w:b/>
          <w:bCs/>
        </w:rPr>
        <w:t>timeframes</w:t>
      </w:r>
      <w:r w:rsidR="007458AC">
        <w:rPr>
          <w:b/>
          <w:bCs/>
        </w:rPr>
        <w:t xml:space="preserve"> </w:t>
      </w:r>
      <w:r w:rsidRPr="00A025DB">
        <w:rPr>
          <w:b/>
          <w:bCs/>
        </w:rPr>
        <w:t>and</w:t>
      </w:r>
      <w:r w:rsidR="007458AC">
        <w:rPr>
          <w:b/>
          <w:bCs/>
        </w:rPr>
        <w:t xml:space="preserve"> </w:t>
      </w:r>
      <w:r w:rsidRPr="00A025DB">
        <w:rPr>
          <w:b/>
          <w:bCs/>
        </w:rPr>
        <w:t>budgets,</w:t>
      </w:r>
      <w:r w:rsidR="00C46491">
        <w:t xml:space="preserve"> </w:t>
      </w:r>
      <w:r w:rsidRPr="008B335B">
        <w:t xml:space="preserve">and </w:t>
      </w:r>
      <w:r w:rsidR="00C46491">
        <w:t>Julie-Anne Darsley</w:t>
      </w:r>
      <w:r w:rsidRPr="008B335B">
        <w:t>,</w:t>
      </w:r>
      <w:r w:rsidR="007458AC">
        <w:t xml:space="preserve"> </w:t>
      </w:r>
      <w:r w:rsidRPr="008B335B">
        <w:t>as</w:t>
      </w:r>
      <w:r w:rsidR="007458AC">
        <w:t xml:space="preserve"> </w:t>
      </w:r>
      <w:r w:rsidRPr="008B335B">
        <w:t>Project</w:t>
      </w:r>
      <w:r w:rsidR="007458AC">
        <w:t xml:space="preserve"> </w:t>
      </w:r>
      <w:r w:rsidRPr="008B335B">
        <w:t>Manager,</w:t>
      </w:r>
      <w:r w:rsidR="007458AC">
        <w:t xml:space="preserve"> </w:t>
      </w:r>
      <w:r w:rsidR="00C46491">
        <w:t>ha</w:t>
      </w:r>
      <w:r w:rsidR="00C051C3">
        <w:t>d</w:t>
      </w:r>
      <w:r w:rsidR="00C46491">
        <w:t xml:space="preserve"> overall</w:t>
      </w:r>
      <w:r w:rsidRPr="008B335B">
        <w:t xml:space="preserve"> responsibility for project management with the support of </w:t>
      </w:r>
      <w:r w:rsidR="00F1090F">
        <w:t>Jack Dale</w:t>
      </w:r>
      <w:r w:rsidRPr="008B335B">
        <w:t>, one of Itad’s Project Officers.</w:t>
      </w:r>
      <w:r w:rsidR="007458AC">
        <w:t xml:space="preserve"> </w:t>
      </w:r>
    </w:p>
    <w:p w14:paraId="37A538E4" w14:textId="22E5A556" w:rsidR="00F1090F" w:rsidRDefault="005A3BC3" w:rsidP="008B335B">
      <w:pPr>
        <w:pStyle w:val="ItadNormalText"/>
      </w:pPr>
      <w:r w:rsidRPr="002D2890">
        <w:rPr>
          <w:b/>
          <w:bCs/>
        </w:rPr>
        <w:t xml:space="preserve">Paul Balogun, the evaluation </w:t>
      </w:r>
      <w:r w:rsidR="002D2890" w:rsidRPr="002D2890">
        <w:rPr>
          <w:b/>
          <w:bCs/>
        </w:rPr>
        <w:t>S</w:t>
      </w:r>
      <w:r w:rsidRPr="002D2890">
        <w:rPr>
          <w:b/>
          <w:bCs/>
        </w:rPr>
        <w:t xml:space="preserve">enior </w:t>
      </w:r>
      <w:r w:rsidR="002D2890" w:rsidRPr="002D2890">
        <w:rPr>
          <w:b/>
          <w:bCs/>
        </w:rPr>
        <w:t>A</w:t>
      </w:r>
      <w:r w:rsidRPr="002D2890">
        <w:rPr>
          <w:b/>
          <w:bCs/>
        </w:rPr>
        <w:t>dvisor</w:t>
      </w:r>
      <w:r>
        <w:t xml:space="preserve">, </w:t>
      </w:r>
      <w:r w:rsidR="006D2A60">
        <w:t xml:space="preserve">played a </w:t>
      </w:r>
      <w:r w:rsidR="00B25D09">
        <w:t>QA</w:t>
      </w:r>
      <w:r w:rsidR="006D2A60" w:rsidRPr="008B335B">
        <w:t xml:space="preserve"> role </w:t>
      </w:r>
      <w:r w:rsidR="00EA2076">
        <w:t>by</w:t>
      </w:r>
      <w:r w:rsidR="00EA2076" w:rsidRPr="008B335B">
        <w:t xml:space="preserve"> </w:t>
      </w:r>
      <w:r w:rsidR="006D2A60" w:rsidRPr="008B335B">
        <w:t xml:space="preserve">reviewing deliverables before they </w:t>
      </w:r>
      <w:r w:rsidR="002F4BB7">
        <w:t>were</w:t>
      </w:r>
      <w:r w:rsidR="002F4BB7" w:rsidRPr="008B335B">
        <w:t xml:space="preserve"> </w:t>
      </w:r>
      <w:r w:rsidR="006D2A60" w:rsidRPr="008B335B">
        <w:t xml:space="preserve">submitted to </w:t>
      </w:r>
      <w:r w:rsidR="00D72F08">
        <w:t xml:space="preserve">the </w:t>
      </w:r>
      <w:r w:rsidR="002F4BB7" w:rsidRPr="008B335B">
        <w:t>DHSC and</w:t>
      </w:r>
      <w:r w:rsidR="006D2A60" w:rsidRPr="008B335B">
        <w:t xml:space="preserve"> provid</w:t>
      </w:r>
      <w:r w:rsidR="0029721E">
        <w:t>ing</w:t>
      </w:r>
      <w:r w:rsidR="006D2A60" w:rsidRPr="008B335B">
        <w:t xml:space="preserve"> focused strategic support to the team.</w:t>
      </w:r>
      <w:r w:rsidR="007458AC">
        <w:t xml:space="preserve"> </w:t>
      </w:r>
      <w:r w:rsidR="008B335B" w:rsidRPr="008B335B">
        <w:t xml:space="preserve"> </w:t>
      </w:r>
    </w:p>
    <w:p w14:paraId="2050E72F" w14:textId="035E92FE" w:rsidR="00A025DB" w:rsidRDefault="008B335B" w:rsidP="008B335B">
      <w:pPr>
        <w:pStyle w:val="ItadNormalText"/>
      </w:pPr>
      <w:r w:rsidRPr="00A025DB">
        <w:rPr>
          <w:b/>
          <w:bCs/>
        </w:rPr>
        <w:t xml:space="preserve">The evaluation Team Leader </w:t>
      </w:r>
      <w:r w:rsidR="00C051C3">
        <w:rPr>
          <w:b/>
          <w:bCs/>
        </w:rPr>
        <w:t>was</w:t>
      </w:r>
      <w:r w:rsidRPr="00A025DB">
        <w:rPr>
          <w:b/>
          <w:bCs/>
        </w:rPr>
        <w:t xml:space="preserve"> </w:t>
      </w:r>
      <w:r w:rsidR="006D2A60" w:rsidRPr="00A025DB">
        <w:rPr>
          <w:b/>
          <w:bCs/>
        </w:rPr>
        <w:t>Tim Shorten</w:t>
      </w:r>
      <w:r w:rsidRPr="00A025DB">
        <w:rPr>
          <w:b/>
          <w:bCs/>
        </w:rPr>
        <w:t xml:space="preserve"> who brings expertise</w:t>
      </w:r>
      <w:r w:rsidR="00EA2076">
        <w:rPr>
          <w:b/>
          <w:bCs/>
        </w:rPr>
        <w:t xml:space="preserve"> in</w:t>
      </w:r>
      <w:r w:rsidRPr="00A025DB">
        <w:rPr>
          <w:b/>
          <w:bCs/>
        </w:rPr>
        <w:t xml:space="preserve"> leading complex, </w:t>
      </w:r>
      <w:r w:rsidR="009F074E">
        <w:rPr>
          <w:b/>
          <w:bCs/>
        </w:rPr>
        <w:t>multisector</w:t>
      </w:r>
      <w:r w:rsidRPr="00A025DB">
        <w:rPr>
          <w:b/>
          <w:bCs/>
        </w:rPr>
        <w:t>al, multi-country longitudinal evaluations</w:t>
      </w:r>
      <w:r w:rsidRPr="008B335B">
        <w:t>, and in managing multi-disciplinary teams to achieve high-quality utility focused results</w:t>
      </w:r>
      <w:r w:rsidR="006D2A60">
        <w:t xml:space="preserve">. </w:t>
      </w:r>
      <w:r w:rsidRPr="008B335B">
        <w:t xml:space="preserve">The Team Leader </w:t>
      </w:r>
      <w:r w:rsidR="00C051C3">
        <w:t>was</w:t>
      </w:r>
      <w:r w:rsidRPr="008B335B">
        <w:t xml:space="preserve"> the primary liaison between the evaluation team and </w:t>
      </w:r>
      <w:r w:rsidR="002F4BB7">
        <w:t xml:space="preserve">the </w:t>
      </w:r>
      <w:r w:rsidR="006D2A60">
        <w:t xml:space="preserve">DHSC </w:t>
      </w:r>
      <w:r w:rsidRPr="008B335B">
        <w:t>on high level technical issues.</w:t>
      </w:r>
      <w:r w:rsidR="006F5B90">
        <w:t xml:space="preserve"> </w:t>
      </w:r>
      <w:r w:rsidRPr="008B335B">
        <w:t xml:space="preserve">The Team Leader, with support from </w:t>
      </w:r>
      <w:r w:rsidR="006F5B90">
        <w:t>Giada Tu Thanh</w:t>
      </w:r>
      <w:r w:rsidRPr="008B335B">
        <w:t xml:space="preserve"> as Deputy Team Leader, </w:t>
      </w:r>
      <w:r w:rsidR="00C051C3">
        <w:t>was</w:t>
      </w:r>
      <w:r w:rsidRPr="008B335B">
        <w:t xml:space="preserve"> responsible for ensuring the timely delivery of quality outputs from the evaluation team.</w:t>
      </w:r>
      <w:r w:rsidR="007458AC">
        <w:t xml:space="preserve"> </w:t>
      </w:r>
      <w:r w:rsidRPr="008B335B">
        <w:t>Individual team members</w:t>
      </w:r>
      <w:r w:rsidR="007458AC">
        <w:t xml:space="preserve"> </w:t>
      </w:r>
      <w:r w:rsidR="00C051C3">
        <w:t xml:space="preserve">were </w:t>
      </w:r>
      <w:r w:rsidRPr="008B335B">
        <w:t>responsible</w:t>
      </w:r>
      <w:r w:rsidR="007458AC">
        <w:t xml:space="preserve"> </w:t>
      </w:r>
      <w:r w:rsidRPr="008B335B">
        <w:t>for</w:t>
      </w:r>
      <w:r w:rsidR="007458AC">
        <w:t xml:space="preserve"> </w:t>
      </w:r>
      <w:r w:rsidRPr="008B335B">
        <w:t>specific</w:t>
      </w:r>
      <w:r w:rsidR="007458AC">
        <w:t xml:space="preserve"> </w:t>
      </w:r>
      <w:r w:rsidRPr="008B335B">
        <w:t>aspects</w:t>
      </w:r>
      <w:r w:rsidR="007458AC">
        <w:t xml:space="preserve"> </w:t>
      </w:r>
      <w:r w:rsidRPr="008B335B">
        <w:t>of</w:t>
      </w:r>
      <w:r w:rsidR="007458AC">
        <w:t xml:space="preserve"> </w:t>
      </w:r>
      <w:r w:rsidRPr="008B335B">
        <w:t>the</w:t>
      </w:r>
      <w:r w:rsidR="007458AC">
        <w:t xml:space="preserve"> </w:t>
      </w:r>
      <w:r w:rsidRPr="008B335B">
        <w:t>evaluation</w:t>
      </w:r>
      <w:r w:rsidR="007458AC">
        <w:t xml:space="preserve"> </w:t>
      </w:r>
      <w:r w:rsidRPr="008B335B">
        <w:t>design.</w:t>
      </w:r>
      <w:r w:rsidR="007458AC">
        <w:t xml:space="preserve"> </w:t>
      </w:r>
      <w:r w:rsidRPr="008B335B">
        <w:t>More</w:t>
      </w:r>
      <w:r w:rsidR="007458AC">
        <w:t xml:space="preserve"> </w:t>
      </w:r>
      <w:r w:rsidRPr="008B335B">
        <w:t>detail</w:t>
      </w:r>
      <w:r w:rsidR="007458AC">
        <w:t xml:space="preserve"> </w:t>
      </w:r>
      <w:r w:rsidRPr="008B335B">
        <w:t>on</w:t>
      </w:r>
      <w:r w:rsidR="007458AC">
        <w:t xml:space="preserve"> </w:t>
      </w:r>
      <w:r w:rsidRPr="008B335B">
        <w:t>the</w:t>
      </w:r>
      <w:r w:rsidR="007458AC">
        <w:t xml:space="preserve"> </w:t>
      </w:r>
      <w:r w:rsidRPr="008B335B">
        <w:t>specific</w:t>
      </w:r>
      <w:r w:rsidR="007458AC">
        <w:t xml:space="preserve"> </w:t>
      </w:r>
      <w:r w:rsidRPr="008B335B">
        <w:t>roles</w:t>
      </w:r>
      <w:r w:rsidR="007458AC">
        <w:t xml:space="preserve"> </w:t>
      </w:r>
      <w:r w:rsidRPr="008B335B">
        <w:t xml:space="preserve">and responsibilities of the evaluation team members is included in </w:t>
      </w:r>
      <w:r w:rsidR="00C051C3">
        <w:fldChar w:fldCharType="begin"/>
      </w:r>
      <w:r w:rsidR="00C051C3">
        <w:instrText xml:space="preserve"> REF _Ref119935819 \h </w:instrText>
      </w:r>
      <w:r w:rsidR="00C051C3">
        <w:fldChar w:fldCharType="separate"/>
      </w:r>
      <w:r w:rsidR="009A383C">
        <w:t xml:space="preserve">Table </w:t>
      </w:r>
      <w:r w:rsidR="009A383C">
        <w:rPr>
          <w:noProof/>
        </w:rPr>
        <w:t>46</w:t>
      </w:r>
      <w:r w:rsidR="00C051C3">
        <w:fldChar w:fldCharType="end"/>
      </w:r>
      <w:r w:rsidR="00942B00">
        <w:t>.</w:t>
      </w:r>
    </w:p>
    <w:p w14:paraId="0E45DCB4" w14:textId="4E5B528C" w:rsidR="00865748" w:rsidRPr="008B335B" w:rsidRDefault="008B335B" w:rsidP="008B335B">
      <w:pPr>
        <w:pStyle w:val="ItadNormalText"/>
      </w:pPr>
      <w:r w:rsidRPr="00A025DB">
        <w:rPr>
          <w:b/>
          <w:bCs/>
        </w:rPr>
        <w:t>Together Project Director,</w:t>
      </w:r>
      <w:r w:rsidR="007458AC">
        <w:rPr>
          <w:b/>
          <w:bCs/>
        </w:rPr>
        <w:t xml:space="preserve"> </w:t>
      </w:r>
      <w:r w:rsidRPr="00A025DB">
        <w:rPr>
          <w:b/>
          <w:bCs/>
        </w:rPr>
        <w:t>Project</w:t>
      </w:r>
      <w:r w:rsidR="007458AC">
        <w:rPr>
          <w:b/>
          <w:bCs/>
        </w:rPr>
        <w:t xml:space="preserve"> </w:t>
      </w:r>
      <w:r w:rsidRPr="00A025DB">
        <w:rPr>
          <w:b/>
          <w:bCs/>
        </w:rPr>
        <w:t>Manager,</w:t>
      </w:r>
      <w:r w:rsidR="007458AC">
        <w:rPr>
          <w:b/>
          <w:bCs/>
        </w:rPr>
        <w:t xml:space="preserve"> </w:t>
      </w:r>
      <w:r w:rsidR="00A025DB" w:rsidRPr="00A025DB">
        <w:rPr>
          <w:b/>
          <w:bCs/>
        </w:rPr>
        <w:t>Senior Advisor</w:t>
      </w:r>
      <w:r w:rsidRPr="00A025DB">
        <w:rPr>
          <w:b/>
          <w:bCs/>
        </w:rPr>
        <w:t xml:space="preserve">, Team </w:t>
      </w:r>
      <w:r w:rsidR="00EA2076" w:rsidRPr="00A025DB">
        <w:rPr>
          <w:b/>
          <w:bCs/>
        </w:rPr>
        <w:t>Leader,</w:t>
      </w:r>
      <w:r w:rsidR="007458AC">
        <w:rPr>
          <w:b/>
          <w:bCs/>
        </w:rPr>
        <w:t xml:space="preserve"> </w:t>
      </w:r>
      <w:r w:rsidRPr="00A025DB">
        <w:rPr>
          <w:b/>
          <w:bCs/>
        </w:rPr>
        <w:t xml:space="preserve">and Deputy Team </w:t>
      </w:r>
      <w:r w:rsidR="00D72F08" w:rsidRPr="00A025DB">
        <w:rPr>
          <w:b/>
          <w:bCs/>
        </w:rPr>
        <w:t xml:space="preserve">Leader </w:t>
      </w:r>
      <w:r w:rsidRPr="00A025DB">
        <w:rPr>
          <w:b/>
          <w:bCs/>
        </w:rPr>
        <w:t>form a Senior Leadership Team (SLT)</w:t>
      </w:r>
      <w:r w:rsidRPr="008B335B">
        <w:t xml:space="preserve"> </w:t>
      </w:r>
      <w:r w:rsidRPr="00A025DB">
        <w:rPr>
          <w:b/>
          <w:bCs/>
        </w:rPr>
        <w:t xml:space="preserve">that </w:t>
      </w:r>
      <w:r w:rsidR="00C051C3">
        <w:rPr>
          <w:b/>
          <w:bCs/>
        </w:rPr>
        <w:t>was</w:t>
      </w:r>
      <w:r w:rsidRPr="00A025DB">
        <w:rPr>
          <w:b/>
          <w:bCs/>
        </w:rPr>
        <w:t xml:space="preserve"> responsible for ensuring adequate capacity to</w:t>
      </w:r>
      <w:r w:rsidR="007458AC">
        <w:rPr>
          <w:b/>
          <w:bCs/>
        </w:rPr>
        <w:t xml:space="preserve"> </w:t>
      </w:r>
      <w:r w:rsidRPr="00A025DB">
        <w:rPr>
          <w:b/>
          <w:bCs/>
        </w:rPr>
        <w:t>deliver</w:t>
      </w:r>
      <w:r w:rsidR="007458AC">
        <w:rPr>
          <w:b/>
          <w:bCs/>
        </w:rPr>
        <w:t xml:space="preserve"> </w:t>
      </w:r>
      <w:r w:rsidRPr="00A025DB">
        <w:rPr>
          <w:b/>
          <w:bCs/>
        </w:rPr>
        <w:t>the</w:t>
      </w:r>
      <w:r w:rsidR="007458AC">
        <w:rPr>
          <w:b/>
          <w:bCs/>
        </w:rPr>
        <w:t xml:space="preserve"> </w:t>
      </w:r>
      <w:r w:rsidRPr="00A025DB">
        <w:rPr>
          <w:b/>
          <w:bCs/>
        </w:rPr>
        <w:t>evaluation.</w:t>
      </w:r>
      <w:r w:rsidR="007458AC">
        <w:t xml:space="preserve"> </w:t>
      </w:r>
      <w:r w:rsidRPr="008B335B">
        <w:t>Itad</w:t>
      </w:r>
      <w:r w:rsidR="007458AC">
        <w:t xml:space="preserve"> </w:t>
      </w:r>
      <w:r w:rsidRPr="008B335B">
        <w:t>staff facilitate linkages, as required, to ensure that Itad’s institutional</w:t>
      </w:r>
      <w:r w:rsidR="007458AC">
        <w:t xml:space="preserve"> </w:t>
      </w:r>
      <w:r w:rsidRPr="008B335B">
        <w:t>capacity</w:t>
      </w:r>
      <w:r w:rsidR="007458AC">
        <w:t xml:space="preserve"> </w:t>
      </w:r>
      <w:r w:rsidRPr="008B335B">
        <w:t>and</w:t>
      </w:r>
      <w:r w:rsidR="007458AC">
        <w:t xml:space="preserve"> </w:t>
      </w:r>
      <w:r w:rsidRPr="008B335B">
        <w:t>deep</w:t>
      </w:r>
      <w:r w:rsidR="007458AC">
        <w:t xml:space="preserve"> </w:t>
      </w:r>
      <w:r w:rsidRPr="008B335B">
        <w:t>experience</w:t>
      </w:r>
      <w:r w:rsidR="007458AC">
        <w:t xml:space="preserve"> </w:t>
      </w:r>
      <w:r w:rsidRPr="008B335B">
        <w:t>of</w:t>
      </w:r>
      <w:r w:rsidR="007458AC">
        <w:t xml:space="preserve"> </w:t>
      </w:r>
      <w:r w:rsidRPr="008B335B">
        <w:t>managing</w:t>
      </w:r>
      <w:r w:rsidR="007458AC">
        <w:t xml:space="preserve"> </w:t>
      </w:r>
      <w:r w:rsidRPr="008B335B">
        <w:t>complex,</w:t>
      </w:r>
      <w:r w:rsidR="007458AC">
        <w:t xml:space="preserve"> </w:t>
      </w:r>
      <w:r w:rsidRPr="008B335B">
        <w:t>multi-stakeholder,</w:t>
      </w:r>
      <w:r w:rsidR="007458AC">
        <w:t xml:space="preserve"> </w:t>
      </w:r>
      <w:r w:rsidRPr="008B335B">
        <w:t xml:space="preserve">multi-country evaluations </w:t>
      </w:r>
      <w:r w:rsidR="003810CB" w:rsidRPr="008B335B">
        <w:t>are</w:t>
      </w:r>
      <w:r w:rsidRPr="008B335B">
        <w:t xml:space="preserve"> brought to support the evaluation.</w:t>
      </w:r>
    </w:p>
    <w:p w14:paraId="2AD327FF" w14:textId="5943EF09" w:rsidR="00E20B13" w:rsidRDefault="00E20B13" w:rsidP="006409BF">
      <w:pPr>
        <w:pStyle w:val="ItadH2"/>
      </w:pPr>
      <w:bookmarkStart w:id="325" w:name="_Toc118968553"/>
      <w:bookmarkStart w:id="326" w:name="_Toc142383194"/>
      <w:r w:rsidRPr="00E20B13">
        <w:t>The Team</w:t>
      </w:r>
      <w:bookmarkEnd w:id="325"/>
      <w:bookmarkEnd w:id="326"/>
    </w:p>
    <w:p w14:paraId="280330B6" w14:textId="195435DD" w:rsidR="00C0281E" w:rsidRPr="007F63EF" w:rsidRDefault="00E20B13" w:rsidP="002F4BB7">
      <w:pPr>
        <w:pStyle w:val="FFNormal"/>
      </w:pPr>
      <w:bookmarkStart w:id="327" w:name="_Toc116461500"/>
      <w:bookmarkStart w:id="328" w:name="_Toc117581010"/>
      <w:r w:rsidRPr="002F4BB7">
        <w:t>The</w:t>
      </w:r>
      <w:r w:rsidR="007458AC" w:rsidRPr="002F4BB7">
        <w:t xml:space="preserve"> </w:t>
      </w:r>
      <w:r w:rsidRPr="002F4BB7">
        <w:t>evaluation</w:t>
      </w:r>
      <w:r w:rsidR="007458AC" w:rsidRPr="002F4BB7">
        <w:t xml:space="preserve"> </w:t>
      </w:r>
      <w:r w:rsidRPr="002F4BB7">
        <w:t>team</w:t>
      </w:r>
      <w:r w:rsidR="007458AC" w:rsidRPr="002F4BB7">
        <w:t xml:space="preserve"> </w:t>
      </w:r>
      <w:r w:rsidRPr="002F4BB7">
        <w:t>composition</w:t>
      </w:r>
      <w:r w:rsidR="007458AC" w:rsidRPr="002F4BB7">
        <w:t xml:space="preserve"> </w:t>
      </w:r>
      <w:r w:rsidRPr="002F4BB7">
        <w:t>has</w:t>
      </w:r>
      <w:r w:rsidR="007458AC" w:rsidRPr="002F4BB7">
        <w:t xml:space="preserve"> </w:t>
      </w:r>
      <w:r w:rsidRPr="002F4BB7">
        <w:t>been designed</w:t>
      </w:r>
      <w:r w:rsidR="007458AC" w:rsidRPr="002F4BB7">
        <w:t xml:space="preserve"> </w:t>
      </w:r>
      <w:r w:rsidRPr="002F4BB7">
        <w:t>to</w:t>
      </w:r>
      <w:r w:rsidR="007458AC" w:rsidRPr="002F4BB7">
        <w:t xml:space="preserve"> </w:t>
      </w:r>
      <w:r w:rsidRPr="002F4BB7">
        <w:t>ensure</w:t>
      </w:r>
      <w:r w:rsidR="007458AC" w:rsidRPr="002F4BB7">
        <w:t xml:space="preserve"> </w:t>
      </w:r>
      <w:r w:rsidRPr="002F4BB7">
        <w:t>relevant</w:t>
      </w:r>
      <w:r w:rsidR="007458AC" w:rsidRPr="002F4BB7">
        <w:t xml:space="preserve"> </w:t>
      </w:r>
      <w:r w:rsidRPr="002F4BB7">
        <w:t>and</w:t>
      </w:r>
      <w:r w:rsidR="007458AC" w:rsidRPr="002F4BB7">
        <w:t xml:space="preserve"> </w:t>
      </w:r>
      <w:r w:rsidRPr="002F4BB7">
        <w:t>appropriate</w:t>
      </w:r>
      <w:r w:rsidR="007458AC" w:rsidRPr="002F4BB7">
        <w:t xml:space="preserve"> </w:t>
      </w:r>
      <w:r w:rsidRPr="002F4BB7">
        <w:t>sectoral and methodological expertise, and diverse perspectives, in order</w:t>
      </w:r>
      <w:r w:rsidR="00EA2076">
        <w:t xml:space="preserve"> to</w:t>
      </w:r>
      <w:r w:rsidRPr="002F4BB7">
        <w:t xml:space="preserve"> implement the </w:t>
      </w:r>
      <w:r w:rsidRPr="007F63EF">
        <w:t xml:space="preserve">approach set out </w:t>
      </w:r>
      <w:r w:rsidR="00942B00" w:rsidRPr="007F63EF">
        <w:t>in Annex 3</w:t>
      </w:r>
      <w:r w:rsidRPr="007F63EF">
        <w:t>,</w:t>
      </w:r>
      <w:r w:rsidR="007458AC" w:rsidRPr="007F63EF">
        <w:t xml:space="preserve"> </w:t>
      </w:r>
      <w:r w:rsidRPr="007F63EF">
        <w:t>and</w:t>
      </w:r>
      <w:r w:rsidR="007458AC" w:rsidRPr="007F63EF">
        <w:t xml:space="preserve"> </w:t>
      </w:r>
      <w:r w:rsidRPr="007F63EF">
        <w:t>to</w:t>
      </w:r>
      <w:r w:rsidR="007458AC" w:rsidRPr="007F63EF">
        <w:t xml:space="preserve"> </w:t>
      </w:r>
      <w:r w:rsidRPr="007F63EF">
        <w:t>address</w:t>
      </w:r>
      <w:r w:rsidR="007458AC" w:rsidRPr="007F63EF">
        <w:t xml:space="preserve"> </w:t>
      </w:r>
      <w:r w:rsidRPr="007F63EF">
        <w:t xml:space="preserve">the </w:t>
      </w:r>
      <w:r w:rsidR="00DF0318" w:rsidRPr="007F63EF">
        <w:t>EQs</w:t>
      </w:r>
      <w:r w:rsidR="002D6A47" w:rsidRPr="007F63EF">
        <w:t xml:space="preserve"> </w:t>
      </w:r>
      <w:r w:rsidRPr="007F63EF">
        <w:t>at</w:t>
      </w:r>
      <w:r w:rsidR="007458AC" w:rsidRPr="007F63EF">
        <w:t xml:space="preserve"> </w:t>
      </w:r>
      <w:r w:rsidRPr="007F63EF">
        <w:t>the</w:t>
      </w:r>
      <w:r w:rsidR="007458AC" w:rsidRPr="007F63EF">
        <w:t xml:space="preserve"> </w:t>
      </w:r>
      <w:r w:rsidRPr="007F63EF">
        <w:t>heart</w:t>
      </w:r>
      <w:r w:rsidR="007458AC" w:rsidRPr="007F63EF">
        <w:t xml:space="preserve"> </w:t>
      </w:r>
      <w:r w:rsidRPr="007F63EF">
        <w:t>of</w:t>
      </w:r>
      <w:r w:rsidR="007458AC" w:rsidRPr="007F63EF">
        <w:t xml:space="preserve"> </w:t>
      </w:r>
      <w:r w:rsidRPr="007F63EF">
        <w:t>the</w:t>
      </w:r>
      <w:r w:rsidR="007458AC" w:rsidRPr="007F63EF">
        <w:t xml:space="preserve"> </w:t>
      </w:r>
      <w:r w:rsidRPr="007F63EF">
        <w:t>evaluation</w:t>
      </w:r>
      <w:r w:rsidR="007458AC" w:rsidRPr="007F63EF">
        <w:t xml:space="preserve"> </w:t>
      </w:r>
      <w:r w:rsidRPr="007F63EF">
        <w:t>design.</w:t>
      </w:r>
      <w:r w:rsidR="007458AC" w:rsidRPr="007F63EF">
        <w:t xml:space="preserve"> </w:t>
      </w:r>
      <w:r w:rsidRPr="007F63EF">
        <w:t>An</w:t>
      </w:r>
      <w:r w:rsidR="007458AC" w:rsidRPr="007F63EF">
        <w:t xml:space="preserve"> </w:t>
      </w:r>
      <w:r w:rsidRPr="007F63EF">
        <w:t>overview</w:t>
      </w:r>
      <w:r w:rsidR="007458AC" w:rsidRPr="007F63EF">
        <w:t xml:space="preserve"> </w:t>
      </w:r>
      <w:r w:rsidRPr="007F63EF">
        <w:t>of</w:t>
      </w:r>
      <w:r w:rsidR="007458AC" w:rsidRPr="007F63EF">
        <w:t xml:space="preserve"> </w:t>
      </w:r>
      <w:r w:rsidRPr="007F63EF">
        <w:t>the</w:t>
      </w:r>
      <w:r w:rsidR="007458AC" w:rsidRPr="007F63EF">
        <w:t xml:space="preserve"> </w:t>
      </w:r>
      <w:r w:rsidRPr="007F63EF">
        <w:t>team</w:t>
      </w:r>
      <w:r w:rsidR="007458AC" w:rsidRPr="007F63EF">
        <w:t xml:space="preserve"> </w:t>
      </w:r>
      <w:r w:rsidRPr="007F63EF">
        <w:t xml:space="preserve">is provided </w:t>
      </w:r>
      <w:r w:rsidR="00942B00" w:rsidRPr="007F63EF">
        <w:t xml:space="preserve">below </w:t>
      </w:r>
      <w:r w:rsidRPr="007F63EF">
        <w:t xml:space="preserve">in </w:t>
      </w:r>
      <w:bookmarkEnd w:id="327"/>
      <w:bookmarkEnd w:id="328"/>
      <w:r w:rsidR="00C051C3" w:rsidRPr="007F63EF">
        <w:fldChar w:fldCharType="begin"/>
      </w:r>
      <w:r w:rsidR="00C051C3" w:rsidRPr="007F63EF">
        <w:instrText xml:space="preserve"> REF _Ref119935819 \h </w:instrText>
      </w:r>
      <w:r w:rsidR="002F4BB7">
        <w:instrText xml:space="preserve"> \* MERGEFORMAT </w:instrText>
      </w:r>
      <w:r w:rsidR="00C051C3" w:rsidRPr="007F63EF">
        <w:fldChar w:fldCharType="separate"/>
      </w:r>
      <w:r w:rsidR="009A383C">
        <w:t>Table 46</w:t>
      </w:r>
      <w:r w:rsidR="00C051C3" w:rsidRPr="007F63EF">
        <w:fldChar w:fldCharType="end"/>
      </w:r>
      <w:r w:rsidR="00C0281E" w:rsidRPr="007F63EF">
        <w:t>.</w:t>
      </w:r>
    </w:p>
    <w:p w14:paraId="29B5DAE7" w14:textId="4A0FA82F" w:rsidR="007F1B4B" w:rsidRDefault="007F1B4B" w:rsidP="00C04C3C">
      <w:pPr>
        <w:pStyle w:val="ItadCaption"/>
      </w:pPr>
      <w:bookmarkStart w:id="329" w:name="_Ref119935819"/>
      <w:bookmarkStart w:id="330" w:name="_Toc143857914"/>
      <w:r>
        <w:t xml:space="preserve">Table </w:t>
      </w:r>
      <w:r>
        <w:fldChar w:fldCharType="begin"/>
      </w:r>
      <w:r>
        <w:instrText>SEQ Table \* ARABIC</w:instrText>
      </w:r>
      <w:r>
        <w:fldChar w:fldCharType="separate"/>
      </w:r>
      <w:r w:rsidR="009A383C">
        <w:rPr>
          <w:noProof/>
        </w:rPr>
        <w:t>46</w:t>
      </w:r>
      <w:r>
        <w:fldChar w:fldCharType="end"/>
      </w:r>
      <w:bookmarkEnd w:id="329"/>
      <w:r w:rsidR="00C0281E">
        <w:t xml:space="preserve"> </w:t>
      </w:r>
      <w:r w:rsidRPr="00557645">
        <w:t>Evaluation team members</w:t>
      </w:r>
      <w:bookmarkEnd w:id="330"/>
    </w:p>
    <w:tbl>
      <w:tblPr>
        <w:tblStyle w:val="ItadGreenHeaderRow"/>
        <w:tblW w:w="9380" w:type="dxa"/>
        <w:tblLook w:val="04A0" w:firstRow="1" w:lastRow="0" w:firstColumn="1" w:lastColumn="0" w:noHBand="0" w:noVBand="1"/>
      </w:tblPr>
      <w:tblGrid>
        <w:gridCol w:w="3284"/>
        <w:gridCol w:w="6096"/>
      </w:tblGrid>
      <w:tr w:rsidR="00C7080A" w14:paraId="3D7BD900" w14:textId="77777777" w:rsidTr="00563732">
        <w:trPr>
          <w:cnfStyle w:val="100000000000" w:firstRow="1" w:lastRow="0" w:firstColumn="0" w:lastColumn="0" w:oddVBand="0" w:evenVBand="0" w:oddHBand="0" w:evenHBand="0" w:firstRowFirstColumn="0" w:firstRowLastColumn="0" w:lastRowFirstColumn="0" w:lastRowLastColumn="0"/>
          <w:trHeight w:val="193"/>
          <w:tblHeader/>
        </w:trPr>
        <w:tc>
          <w:tcPr>
            <w:tcW w:w="3284" w:type="dxa"/>
            <w:hideMark/>
          </w:tcPr>
          <w:p w14:paraId="43550571" w14:textId="77777777" w:rsidR="00C7080A" w:rsidRPr="007F63EF" w:rsidRDefault="00C7080A">
            <w:pPr>
              <w:pStyle w:val="ItadNormalText"/>
              <w:spacing w:before="0" w:after="0"/>
              <w:rPr>
                <w:rFonts w:asciiTheme="minorHAnsi" w:hAnsiTheme="minorHAnsi" w:cstheme="minorHAnsi"/>
                <w:b/>
                <w:color w:val="auto"/>
                <w:sz w:val="20"/>
                <w:szCs w:val="20"/>
              </w:rPr>
            </w:pPr>
            <w:r w:rsidRPr="002F4BB7">
              <w:rPr>
                <w:rFonts w:asciiTheme="minorHAnsi" w:hAnsiTheme="minorHAnsi" w:cstheme="minorHAnsi"/>
                <w:b/>
                <w:sz w:val="20"/>
                <w:szCs w:val="20"/>
              </w:rPr>
              <w:t>Name</w:t>
            </w:r>
          </w:p>
        </w:tc>
        <w:tc>
          <w:tcPr>
            <w:tcW w:w="6096" w:type="dxa"/>
            <w:hideMark/>
          </w:tcPr>
          <w:p w14:paraId="2FBE958C" w14:textId="77777777" w:rsidR="00C7080A" w:rsidRPr="007F63EF" w:rsidRDefault="00C7080A">
            <w:pPr>
              <w:pStyle w:val="ItadNormalText"/>
              <w:spacing w:before="0" w:after="0"/>
              <w:rPr>
                <w:rFonts w:asciiTheme="minorHAnsi" w:hAnsiTheme="minorHAnsi" w:cstheme="minorHAnsi"/>
                <w:b/>
                <w:color w:val="auto"/>
                <w:sz w:val="20"/>
                <w:szCs w:val="20"/>
              </w:rPr>
            </w:pPr>
            <w:r w:rsidRPr="002F4BB7">
              <w:rPr>
                <w:rFonts w:asciiTheme="minorHAnsi" w:hAnsiTheme="minorHAnsi" w:cstheme="minorHAnsi"/>
                <w:b/>
                <w:sz w:val="20"/>
                <w:szCs w:val="20"/>
              </w:rPr>
              <w:t>Role and Description</w:t>
            </w:r>
          </w:p>
        </w:tc>
      </w:tr>
      <w:tr w:rsidR="00C7080A" w14:paraId="74C2314A" w14:textId="77777777" w:rsidTr="00563732">
        <w:trPr>
          <w:cnfStyle w:val="000000100000" w:firstRow="0" w:lastRow="0" w:firstColumn="0" w:lastColumn="0" w:oddVBand="0" w:evenVBand="0" w:oddHBand="1" w:evenHBand="0" w:firstRowFirstColumn="0" w:firstRowLastColumn="0" w:lastRowFirstColumn="0" w:lastRowLastColumn="0"/>
          <w:trHeight w:val="232"/>
        </w:trPr>
        <w:tc>
          <w:tcPr>
            <w:tcW w:w="9380" w:type="dxa"/>
            <w:gridSpan w:val="2"/>
            <w:hideMark/>
          </w:tcPr>
          <w:p w14:paraId="5340B73B" w14:textId="77777777" w:rsidR="00C7080A" w:rsidRPr="007F63EF" w:rsidRDefault="00C7080A">
            <w:pPr>
              <w:pStyle w:val="ItadNormalText"/>
              <w:spacing w:before="0" w:after="0"/>
              <w:rPr>
                <w:rFonts w:asciiTheme="minorHAnsi" w:hAnsiTheme="minorHAnsi" w:cstheme="minorHAnsi"/>
                <w:i/>
                <w:color w:val="auto"/>
                <w:sz w:val="20"/>
                <w:szCs w:val="20"/>
              </w:rPr>
            </w:pPr>
            <w:r w:rsidRPr="002F4BB7">
              <w:rPr>
                <w:rFonts w:asciiTheme="minorHAnsi" w:hAnsiTheme="minorHAnsi" w:cstheme="minorHAnsi"/>
                <w:i/>
                <w:sz w:val="20"/>
                <w:szCs w:val="20"/>
              </w:rPr>
              <w:t>Senior Leadership Team</w:t>
            </w:r>
          </w:p>
        </w:tc>
      </w:tr>
      <w:tr w:rsidR="00C7080A" w14:paraId="78C96575" w14:textId="77777777" w:rsidTr="00563732">
        <w:trPr>
          <w:cnfStyle w:val="000000010000" w:firstRow="0" w:lastRow="0" w:firstColumn="0" w:lastColumn="0" w:oddVBand="0" w:evenVBand="0" w:oddHBand="0" w:evenHBand="1" w:firstRowFirstColumn="0" w:firstRowLastColumn="0" w:lastRowFirstColumn="0" w:lastRowLastColumn="0"/>
          <w:trHeight w:val="786"/>
        </w:trPr>
        <w:tc>
          <w:tcPr>
            <w:tcW w:w="3284" w:type="dxa"/>
            <w:hideMark/>
          </w:tcPr>
          <w:p w14:paraId="58E9E26F" w14:textId="77777777" w:rsidR="00C7080A" w:rsidRPr="007F63EF" w:rsidRDefault="00C7080A">
            <w:pPr>
              <w:pStyle w:val="ItadNormalText"/>
              <w:spacing w:after="0"/>
              <w:rPr>
                <w:rFonts w:asciiTheme="minorHAnsi" w:hAnsiTheme="minorHAnsi" w:cstheme="minorHAnsi"/>
                <w:b/>
                <w:color w:val="auto"/>
                <w:sz w:val="20"/>
                <w:szCs w:val="20"/>
              </w:rPr>
            </w:pPr>
            <w:r w:rsidRPr="002F4BB7">
              <w:rPr>
                <w:rFonts w:asciiTheme="minorHAnsi" w:hAnsiTheme="minorHAnsi" w:cstheme="minorHAnsi"/>
                <w:b/>
                <w:sz w:val="20"/>
                <w:szCs w:val="20"/>
              </w:rPr>
              <w:t xml:space="preserve">Jon Cooper </w:t>
            </w:r>
          </w:p>
          <w:p w14:paraId="1FA0B496" w14:textId="77777777" w:rsidR="00C7080A" w:rsidRPr="007F63EF" w:rsidRDefault="00C7080A">
            <w:pPr>
              <w:pStyle w:val="ItadNormalText"/>
              <w:spacing w:before="0"/>
              <w:rPr>
                <w:rFonts w:asciiTheme="minorHAnsi" w:hAnsiTheme="minorHAnsi" w:cstheme="minorHAnsi"/>
                <w:b/>
                <w:color w:val="auto"/>
                <w:sz w:val="20"/>
                <w:szCs w:val="20"/>
              </w:rPr>
            </w:pPr>
            <w:r w:rsidRPr="002F4BB7">
              <w:rPr>
                <w:rFonts w:asciiTheme="minorHAnsi" w:hAnsiTheme="minorHAnsi" w:cstheme="minorHAnsi"/>
                <w:b/>
                <w:sz w:val="20"/>
                <w:szCs w:val="20"/>
              </w:rPr>
              <w:t xml:space="preserve"> </w:t>
            </w:r>
          </w:p>
        </w:tc>
        <w:tc>
          <w:tcPr>
            <w:tcW w:w="6096" w:type="dxa"/>
            <w:hideMark/>
          </w:tcPr>
          <w:p w14:paraId="733CA66C" w14:textId="5891AEFD" w:rsidR="00C7080A" w:rsidRPr="007F63EF" w:rsidRDefault="00C7080A">
            <w:pPr>
              <w:pStyle w:val="ItadNormalText"/>
              <w:rPr>
                <w:rFonts w:asciiTheme="minorHAnsi" w:hAnsiTheme="minorHAnsi" w:cstheme="minorHAnsi"/>
                <w:color w:val="auto"/>
                <w:sz w:val="20"/>
                <w:szCs w:val="20"/>
              </w:rPr>
            </w:pPr>
            <w:r w:rsidRPr="002F4BB7">
              <w:rPr>
                <w:rFonts w:asciiTheme="minorHAnsi" w:hAnsiTheme="minorHAnsi" w:cstheme="minorHAnsi"/>
                <w:b/>
                <w:sz w:val="20"/>
                <w:szCs w:val="20"/>
              </w:rPr>
              <w:t xml:space="preserve">Project Director: </w:t>
            </w:r>
            <w:r w:rsidRPr="002F4BB7">
              <w:rPr>
                <w:rFonts w:asciiTheme="minorHAnsi" w:hAnsiTheme="minorHAnsi" w:cstheme="minorHAnsi"/>
                <w:sz w:val="20"/>
                <w:szCs w:val="20"/>
              </w:rPr>
              <w:t xml:space="preserve">Represents Itad and </w:t>
            </w:r>
            <w:r w:rsidR="00C051C3" w:rsidRPr="002F4BB7">
              <w:rPr>
                <w:rFonts w:asciiTheme="minorHAnsi" w:hAnsiTheme="minorHAnsi" w:cstheme="minorHAnsi"/>
                <w:sz w:val="20"/>
                <w:szCs w:val="20"/>
              </w:rPr>
              <w:t>was</w:t>
            </w:r>
            <w:r w:rsidRPr="002F4BB7">
              <w:rPr>
                <w:rFonts w:asciiTheme="minorHAnsi" w:hAnsiTheme="minorHAnsi" w:cstheme="minorHAnsi"/>
                <w:sz w:val="20"/>
                <w:szCs w:val="20"/>
              </w:rPr>
              <w:t xml:space="preserve"> accountable to </w:t>
            </w:r>
            <w:r w:rsidR="00D72F08" w:rsidRPr="002F4BB7">
              <w:rPr>
                <w:rFonts w:asciiTheme="minorHAnsi" w:hAnsiTheme="minorHAnsi" w:cstheme="minorHAnsi"/>
                <w:sz w:val="20"/>
                <w:szCs w:val="20"/>
              </w:rPr>
              <w:t xml:space="preserve">the </w:t>
            </w:r>
            <w:r w:rsidRPr="002F4BB7">
              <w:rPr>
                <w:rFonts w:asciiTheme="minorHAnsi" w:hAnsiTheme="minorHAnsi" w:cstheme="minorHAnsi"/>
                <w:sz w:val="20"/>
                <w:szCs w:val="20"/>
              </w:rPr>
              <w:t>DHSC and Itad for the successful delivery of the evaluation.</w:t>
            </w:r>
            <w:r w:rsidR="007458AC" w:rsidRPr="002F4BB7">
              <w:rPr>
                <w:rFonts w:asciiTheme="minorHAnsi" w:hAnsiTheme="minorHAnsi" w:cstheme="minorHAnsi"/>
                <w:sz w:val="20"/>
                <w:szCs w:val="20"/>
              </w:rPr>
              <w:t xml:space="preserve"> </w:t>
            </w:r>
            <w:r w:rsidRPr="002F4BB7">
              <w:rPr>
                <w:rFonts w:asciiTheme="minorHAnsi" w:hAnsiTheme="minorHAnsi" w:cstheme="minorHAnsi"/>
                <w:sz w:val="20"/>
                <w:szCs w:val="20"/>
              </w:rPr>
              <w:t>A key role maintaining an effective working relationship with</w:t>
            </w:r>
            <w:r w:rsidR="00D72F08" w:rsidRPr="002F4BB7">
              <w:rPr>
                <w:rFonts w:asciiTheme="minorHAnsi" w:hAnsiTheme="minorHAnsi" w:cstheme="minorHAnsi"/>
                <w:sz w:val="20"/>
                <w:szCs w:val="20"/>
              </w:rPr>
              <w:t xml:space="preserve"> the</w:t>
            </w:r>
            <w:r w:rsidRPr="002F4BB7">
              <w:rPr>
                <w:rFonts w:asciiTheme="minorHAnsi" w:hAnsiTheme="minorHAnsi" w:cstheme="minorHAnsi"/>
                <w:sz w:val="20"/>
                <w:szCs w:val="20"/>
              </w:rPr>
              <w:t xml:space="preserve"> </w:t>
            </w:r>
            <w:r w:rsidR="00292091" w:rsidRPr="002F4BB7">
              <w:rPr>
                <w:rFonts w:asciiTheme="minorHAnsi" w:hAnsiTheme="minorHAnsi" w:cstheme="minorHAnsi"/>
                <w:sz w:val="20"/>
                <w:szCs w:val="20"/>
              </w:rPr>
              <w:t>MA</w:t>
            </w:r>
            <w:r w:rsidRPr="002F4BB7">
              <w:rPr>
                <w:rFonts w:asciiTheme="minorHAnsi" w:hAnsiTheme="minorHAnsi" w:cstheme="minorHAnsi"/>
                <w:sz w:val="20"/>
                <w:szCs w:val="20"/>
              </w:rPr>
              <w:t xml:space="preserve"> and DHSC and promoting effective learning and communication. </w:t>
            </w:r>
          </w:p>
        </w:tc>
      </w:tr>
      <w:tr w:rsidR="00C7080A" w14:paraId="0DB23109" w14:textId="77777777" w:rsidTr="00563732">
        <w:trPr>
          <w:cnfStyle w:val="000000100000" w:firstRow="0" w:lastRow="0" w:firstColumn="0" w:lastColumn="0" w:oddVBand="0" w:evenVBand="0" w:oddHBand="1" w:evenHBand="0" w:firstRowFirstColumn="0" w:firstRowLastColumn="0" w:lastRowFirstColumn="0" w:lastRowLastColumn="0"/>
          <w:trHeight w:val="1366"/>
        </w:trPr>
        <w:tc>
          <w:tcPr>
            <w:tcW w:w="3284" w:type="dxa"/>
          </w:tcPr>
          <w:p w14:paraId="61462CD1" w14:textId="77777777" w:rsidR="00C7080A" w:rsidRPr="007F63EF" w:rsidRDefault="00C7080A">
            <w:pPr>
              <w:pStyle w:val="ItadNormalText"/>
              <w:spacing w:after="0"/>
              <w:rPr>
                <w:rFonts w:asciiTheme="minorHAnsi" w:hAnsiTheme="minorHAnsi" w:cstheme="minorHAnsi"/>
                <w:b/>
                <w:color w:val="auto"/>
                <w:sz w:val="20"/>
                <w:szCs w:val="20"/>
                <w:lang w:val="fr-FR"/>
              </w:rPr>
            </w:pPr>
            <w:r w:rsidRPr="002F4BB7">
              <w:rPr>
                <w:rFonts w:asciiTheme="minorHAnsi" w:hAnsiTheme="minorHAnsi" w:cstheme="minorHAnsi"/>
                <w:b/>
                <w:sz w:val="20"/>
                <w:szCs w:val="20"/>
                <w:lang w:val="fr-FR"/>
              </w:rPr>
              <w:t>Paul Balogun</w:t>
            </w:r>
          </w:p>
          <w:p w14:paraId="5C323CBE" w14:textId="77777777" w:rsidR="00C7080A" w:rsidRPr="007F63EF" w:rsidRDefault="00C7080A">
            <w:pPr>
              <w:pStyle w:val="ItadNormalText"/>
              <w:spacing w:before="0"/>
              <w:rPr>
                <w:rFonts w:asciiTheme="minorHAnsi" w:hAnsiTheme="minorHAnsi" w:cstheme="minorHAnsi"/>
                <w:b/>
                <w:color w:val="auto"/>
                <w:sz w:val="20"/>
                <w:szCs w:val="20"/>
                <w:lang w:val="fr-FR"/>
              </w:rPr>
            </w:pPr>
          </w:p>
        </w:tc>
        <w:tc>
          <w:tcPr>
            <w:tcW w:w="6096" w:type="dxa"/>
            <w:hideMark/>
          </w:tcPr>
          <w:p w14:paraId="0E5137AB" w14:textId="1AD9040C" w:rsidR="00C7080A" w:rsidRPr="007F63EF" w:rsidRDefault="00C7080A">
            <w:pPr>
              <w:pStyle w:val="ItadNormalText"/>
              <w:rPr>
                <w:rFonts w:asciiTheme="minorHAnsi" w:hAnsiTheme="minorHAnsi" w:cstheme="minorHAnsi"/>
                <w:color w:val="auto"/>
                <w:sz w:val="20"/>
                <w:szCs w:val="20"/>
              </w:rPr>
            </w:pPr>
            <w:r w:rsidRPr="002F4BB7">
              <w:rPr>
                <w:rFonts w:asciiTheme="minorHAnsi" w:hAnsiTheme="minorHAnsi" w:cstheme="minorHAnsi"/>
                <w:b/>
                <w:bCs/>
                <w:sz w:val="20"/>
                <w:szCs w:val="20"/>
              </w:rPr>
              <w:t>Senior Advisor:</w:t>
            </w:r>
            <w:r w:rsidRPr="002F4BB7">
              <w:rPr>
                <w:rFonts w:asciiTheme="minorHAnsi" w:hAnsiTheme="minorHAnsi" w:cstheme="minorHAnsi"/>
                <w:sz w:val="20"/>
                <w:szCs w:val="20"/>
              </w:rPr>
              <w:t xml:space="preserve"> </w:t>
            </w:r>
            <w:r w:rsidR="00DF0318" w:rsidRPr="002F4BB7">
              <w:rPr>
                <w:rFonts w:asciiTheme="minorHAnsi" w:hAnsiTheme="minorHAnsi" w:cstheme="minorHAnsi"/>
                <w:sz w:val="20"/>
                <w:szCs w:val="20"/>
              </w:rPr>
              <w:t>Re</w:t>
            </w:r>
            <w:r w:rsidR="00BC2641" w:rsidRPr="002F4BB7">
              <w:rPr>
                <w:rFonts w:asciiTheme="minorHAnsi" w:hAnsiTheme="minorHAnsi" w:cstheme="minorHAnsi"/>
                <w:sz w:val="20"/>
                <w:szCs w:val="20"/>
              </w:rPr>
              <w:t xml:space="preserve">sponsible for </w:t>
            </w:r>
            <w:r w:rsidR="00F513D6" w:rsidRPr="002F4BB7">
              <w:rPr>
                <w:rFonts w:asciiTheme="minorHAnsi" w:hAnsiTheme="minorHAnsi" w:cstheme="minorHAnsi"/>
                <w:sz w:val="20"/>
                <w:szCs w:val="20"/>
              </w:rPr>
              <w:t xml:space="preserve">key deliverables </w:t>
            </w:r>
            <w:r w:rsidR="00D72F08" w:rsidRPr="002F4BB7">
              <w:rPr>
                <w:rFonts w:asciiTheme="minorHAnsi" w:hAnsiTheme="minorHAnsi" w:cstheme="minorHAnsi"/>
                <w:sz w:val="20"/>
                <w:szCs w:val="20"/>
              </w:rPr>
              <w:t xml:space="preserve">QA </w:t>
            </w:r>
            <w:r w:rsidR="00F513D6" w:rsidRPr="002F4BB7">
              <w:rPr>
                <w:rFonts w:asciiTheme="minorHAnsi" w:hAnsiTheme="minorHAnsi" w:cstheme="minorHAnsi"/>
                <w:sz w:val="20"/>
                <w:szCs w:val="20"/>
              </w:rPr>
              <w:t>and engag</w:t>
            </w:r>
            <w:r w:rsidR="00BC2641" w:rsidRPr="002F4BB7">
              <w:rPr>
                <w:rFonts w:asciiTheme="minorHAnsi" w:hAnsiTheme="minorHAnsi" w:cstheme="minorHAnsi"/>
                <w:sz w:val="20"/>
                <w:szCs w:val="20"/>
              </w:rPr>
              <w:t>ing</w:t>
            </w:r>
            <w:r w:rsidR="00F513D6" w:rsidRPr="002F4BB7">
              <w:rPr>
                <w:rFonts w:asciiTheme="minorHAnsi" w:hAnsiTheme="minorHAnsi" w:cstheme="minorHAnsi"/>
                <w:sz w:val="20"/>
                <w:szCs w:val="20"/>
              </w:rPr>
              <w:t xml:space="preserve"> with </w:t>
            </w:r>
            <w:r w:rsidR="00D72F08" w:rsidRPr="002F4BB7">
              <w:rPr>
                <w:rFonts w:asciiTheme="minorHAnsi" w:hAnsiTheme="minorHAnsi" w:cstheme="minorHAnsi"/>
                <w:sz w:val="20"/>
                <w:szCs w:val="20"/>
              </w:rPr>
              <w:t xml:space="preserve">the </w:t>
            </w:r>
            <w:r w:rsidR="00F513D6" w:rsidRPr="002F4BB7">
              <w:rPr>
                <w:rFonts w:asciiTheme="minorHAnsi" w:hAnsiTheme="minorHAnsi" w:cstheme="minorHAnsi"/>
                <w:sz w:val="20"/>
                <w:szCs w:val="20"/>
              </w:rPr>
              <w:t xml:space="preserve">DHSC TAG, and </w:t>
            </w:r>
            <w:r w:rsidR="00190AFF" w:rsidRPr="002F4BB7">
              <w:rPr>
                <w:rFonts w:asciiTheme="minorHAnsi" w:hAnsiTheme="minorHAnsi" w:cstheme="minorHAnsi"/>
                <w:sz w:val="20"/>
                <w:szCs w:val="20"/>
              </w:rPr>
              <w:t xml:space="preserve">the </w:t>
            </w:r>
            <w:r w:rsidR="00F513D6" w:rsidRPr="002F4BB7">
              <w:rPr>
                <w:rFonts w:asciiTheme="minorHAnsi" w:hAnsiTheme="minorHAnsi" w:cstheme="minorHAnsi"/>
                <w:sz w:val="20"/>
                <w:szCs w:val="20"/>
              </w:rPr>
              <w:t>DHSC Fleming Fund Project Team on key high-level issues</w:t>
            </w:r>
            <w:r w:rsidR="00341D50" w:rsidRPr="002F4BB7">
              <w:rPr>
                <w:rFonts w:asciiTheme="minorHAnsi" w:hAnsiTheme="minorHAnsi" w:cstheme="minorHAnsi"/>
                <w:sz w:val="20"/>
                <w:szCs w:val="20"/>
              </w:rPr>
              <w:t>:</w:t>
            </w:r>
          </w:p>
          <w:p w14:paraId="5CD14B26" w14:textId="1AB9CF9E" w:rsidR="00C7080A" w:rsidRPr="007F63EF" w:rsidRDefault="00C7080A" w:rsidP="00C6374D">
            <w:pPr>
              <w:pStyle w:val="ItadNormalText"/>
              <w:numPr>
                <w:ilvl w:val="0"/>
                <w:numId w:val="98"/>
              </w:numPr>
              <w:rPr>
                <w:rFonts w:asciiTheme="minorHAnsi" w:hAnsiTheme="minorHAnsi" w:cstheme="minorHAnsi"/>
                <w:color w:val="auto"/>
                <w:sz w:val="20"/>
                <w:szCs w:val="20"/>
              </w:rPr>
            </w:pPr>
            <w:r w:rsidRPr="002F4BB7">
              <w:rPr>
                <w:rFonts w:asciiTheme="minorHAnsi" w:hAnsiTheme="minorHAnsi" w:cstheme="minorHAnsi"/>
                <w:sz w:val="20"/>
                <w:szCs w:val="20"/>
              </w:rPr>
              <w:t>Work</w:t>
            </w:r>
            <w:r w:rsidR="00C051C3" w:rsidRPr="002F4BB7">
              <w:rPr>
                <w:rFonts w:asciiTheme="minorHAnsi" w:hAnsiTheme="minorHAnsi" w:cstheme="minorHAnsi"/>
                <w:sz w:val="20"/>
                <w:szCs w:val="20"/>
              </w:rPr>
              <w:t>ed</w:t>
            </w:r>
            <w:r w:rsidRPr="002F4BB7">
              <w:rPr>
                <w:rFonts w:asciiTheme="minorHAnsi" w:hAnsiTheme="minorHAnsi" w:cstheme="minorHAnsi"/>
                <w:sz w:val="20"/>
                <w:szCs w:val="20"/>
              </w:rPr>
              <w:t xml:space="preserve"> with the </w:t>
            </w:r>
            <w:r w:rsidR="00A63EE3" w:rsidRPr="002F4BB7">
              <w:rPr>
                <w:rFonts w:asciiTheme="minorHAnsi" w:hAnsiTheme="minorHAnsi" w:cstheme="minorHAnsi"/>
                <w:sz w:val="20"/>
                <w:szCs w:val="20"/>
              </w:rPr>
              <w:t>Team Leader</w:t>
            </w:r>
            <w:r w:rsidRPr="002F4BB7">
              <w:rPr>
                <w:rFonts w:asciiTheme="minorHAnsi" w:hAnsiTheme="minorHAnsi" w:cstheme="minorHAnsi"/>
                <w:sz w:val="20"/>
                <w:szCs w:val="20"/>
              </w:rPr>
              <w:t xml:space="preserve"> and D</w:t>
            </w:r>
            <w:r w:rsidR="00A63EE3" w:rsidRPr="002F4BB7">
              <w:rPr>
                <w:rFonts w:asciiTheme="minorHAnsi" w:hAnsiTheme="minorHAnsi" w:cstheme="minorHAnsi"/>
                <w:sz w:val="20"/>
                <w:szCs w:val="20"/>
              </w:rPr>
              <w:t>eputy Team Leader</w:t>
            </w:r>
            <w:r w:rsidRPr="002F4BB7">
              <w:rPr>
                <w:rFonts w:asciiTheme="minorHAnsi" w:hAnsiTheme="minorHAnsi" w:cstheme="minorHAnsi"/>
                <w:sz w:val="20"/>
                <w:szCs w:val="20"/>
              </w:rPr>
              <w:t xml:space="preserve">, inputting into the development of methodologies, providing strategic vision and support to the </w:t>
            </w:r>
            <w:r w:rsidR="002F4BB7" w:rsidRPr="002F4BB7">
              <w:rPr>
                <w:rFonts w:asciiTheme="minorHAnsi" w:hAnsiTheme="minorHAnsi" w:cstheme="minorHAnsi"/>
                <w:color w:val="auto"/>
                <w:sz w:val="20"/>
                <w:szCs w:val="20"/>
              </w:rPr>
              <w:t>evaluation,</w:t>
            </w:r>
            <w:r w:rsidRPr="002F4BB7">
              <w:rPr>
                <w:rFonts w:asciiTheme="minorHAnsi" w:hAnsiTheme="minorHAnsi" w:cstheme="minorHAnsi"/>
                <w:sz w:val="20"/>
                <w:szCs w:val="20"/>
              </w:rPr>
              <w:t xml:space="preserve"> and ensuring the needs of the client are met through the evaluation</w:t>
            </w:r>
            <w:r w:rsidR="00341D50" w:rsidRPr="002F4BB7">
              <w:rPr>
                <w:rFonts w:asciiTheme="minorHAnsi" w:hAnsiTheme="minorHAnsi" w:cstheme="minorHAnsi"/>
                <w:sz w:val="20"/>
                <w:szCs w:val="20"/>
              </w:rPr>
              <w:t>;</w:t>
            </w:r>
            <w:r w:rsidRPr="002F4BB7">
              <w:rPr>
                <w:rFonts w:asciiTheme="minorHAnsi" w:hAnsiTheme="minorHAnsi" w:cstheme="minorHAnsi"/>
                <w:sz w:val="20"/>
                <w:szCs w:val="20"/>
              </w:rPr>
              <w:t xml:space="preserve"> </w:t>
            </w:r>
          </w:p>
          <w:p w14:paraId="37DC90E0" w14:textId="046EDC09" w:rsidR="00341D50" w:rsidRPr="007F63EF" w:rsidRDefault="00341D50" w:rsidP="00C6374D">
            <w:pPr>
              <w:pStyle w:val="ItadNormalText"/>
              <w:numPr>
                <w:ilvl w:val="0"/>
                <w:numId w:val="98"/>
              </w:numPr>
              <w:rPr>
                <w:rFonts w:asciiTheme="minorHAnsi" w:hAnsiTheme="minorHAnsi" w:cstheme="minorHAnsi"/>
                <w:color w:val="auto"/>
                <w:sz w:val="20"/>
                <w:szCs w:val="20"/>
              </w:rPr>
            </w:pPr>
            <w:r w:rsidRPr="002F4BB7">
              <w:rPr>
                <w:rFonts w:asciiTheme="minorHAnsi" w:hAnsiTheme="minorHAnsi" w:cstheme="minorHAnsi"/>
                <w:sz w:val="20"/>
                <w:szCs w:val="20"/>
              </w:rPr>
              <w:t>Work</w:t>
            </w:r>
            <w:r w:rsidR="00C051C3" w:rsidRPr="002F4BB7">
              <w:rPr>
                <w:rFonts w:asciiTheme="minorHAnsi" w:hAnsiTheme="minorHAnsi" w:cstheme="minorHAnsi"/>
                <w:sz w:val="20"/>
                <w:szCs w:val="20"/>
              </w:rPr>
              <w:t>ed</w:t>
            </w:r>
            <w:r w:rsidRPr="002F4BB7">
              <w:rPr>
                <w:rFonts w:asciiTheme="minorHAnsi" w:hAnsiTheme="minorHAnsi" w:cstheme="minorHAnsi"/>
                <w:sz w:val="20"/>
                <w:szCs w:val="20"/>
              </w:rPr>
              <w:t xml:space="preserve"> with the </w:t>
            </w:r>
            <w:r w:rsidR="00A63EE3" w:rsidRPr="002F4BB7">
              <w:rPr>
                <w:rFonts w:asciiTheme="minorHAnsi" w:hAnsiTheme="minorHAnsi" w:cstheme="minorHAnsi"/>
                <w:sz w:val="20"/>
                <w:szCs w:val="20"/>
              </w:rPr>
              <w:t>Team Leader</w:t>
            </w:r>
            <w:r w:rsidRPr="002F4BB7">
              <w:rPr>
                <w:rFonts w:asciiTheme="minorHAnsi" w:hAnsiTheme="minorHAnsi" w:cstheme="minorHAnsi"/>
                <w:sz w:val="20"/>
                <w:szCs w:val="20"/>
              </w:rPr>
              <w:t xml:space="preserve"> and contributes to the development of formative and summative reports;</w:t>
            </w:r>
          </w:p>
          <w:p w14:paraId="643CDB33" w14:textId="4040F86D" w:rsidR="001D758B" w:rsidRPr="007F63EF" w:rsidRDefault="00341D50" w:rsidP="00C6374D">
            <w:pPr>
              <w:pStyle w:val="ItadNormalText"/>
              <w:numPr>
                <w:ilvl w:val="0"/>
                <w:numId w:val="98"/>
              </w:numPr>
              <w:rPr>
                <w:rFonts w:asciiTheme="minorHAnsi" w:hAnsiTheme="minorHAnsi" w:cstheme="minorHAnsi"/>
                <w:color w:val="auto"/>
                <w:sz w:val="20"/>
                <w:szCs w:val="20"/>
              </w:rPr>
            </w:pPr>
            <w:r w:rsidRPr="002F4BB7">
              <w:rPr>
                <w:rFonts w:asciiTheme="minorHAnsi" w:hAnsiTheme="minorHAnsi" w:cstheme="minorHAnsi"/>
                <w:sz w:val="20"/>
                <w:szCs w:val="20"/>
              </w:rPr>
              <w:t>Ensure</w:t>
            </w:r>
            <w:r w:rsidR="00C051C3" w:rsidRPr="002F4BB7">
              <w:rPr>
                <w:rFonts w:asciiTheme="minorHAnsi" w:hAnsiTheme="minorHAnsi" w:cstheme="minorHAnsi"/>
                <w:sz w:val="20"/>
                <w:szCs w:val="20"/>
              </w:rPr>
              <w:t>d</w:t>
            </w:r>
            <w:r w:rsidR="006811B8" w:rsidRPr="002F4BB7">
              <w:rPr>
                <w:rFonts w:asciiTheme="minorHAnsi" w:hAnsiTheme="minorHAnsi" w:cstheme="minorHAnsi"/>
                <w:sz w:val="20"/>
                <w:szCs w:val="20"/>
              </w:rPr>
              <w:t xml:space="preserve"> the</w:t>
            </w:r>
            <w:r w:rsidR="00C7080A" w:rsidRPr="002F4BB7">
              <w:rPr>
                <w:rFonts w:asciiTheme="minorHAnsi" w:hAnsiTheme="minorHAnsi" w:cstheme="minorHAnsi"/>
                <w:sz w:val="20"/>
                <w:szCs w:val="20"/>
              </w:rPr>
              <w:t xml:space="preserve"> EAG </w:t>
            </w:r>
            <w:r w:rsidR="00C051C3" w:rsidRPr="002F4BB7">
              <w:rPr>
                <w:rFonts w:asciiTheme="minorHAnsi" w:hAnsiTheme="minorHAnsi" w:cstheme="minorHAnsi"/>
                <w:sz w:val="20"/>
                <w:szCs w:val="20"/>
              </w:rPr>
              <w:t>were</w:t>
            </w:r>
            <w:r w:rsidR="00C7080A" w:rsidRPr="002F4BB7">
              <w:rPr>
                <w:rFonts w:asciiTheme="minorHAnsi" w:hAnsiTheme="minorHAnsi" w:cstheme="minorHAnsi"/>
                <w:sz w:val="20"/>
                <w:szCs w:val="20"/>
              </w:rPr>
              <w:t xml:space="preserve"> briefed and engaged such that they </w:t>
            </w:r>
            <w:r w:rsidR="00C051C3" w:rsidRPr="002F4BB7">
              <w:rPr>
                <w:rFonts w:asciiTheme="minorHAnsi" w:hAnsiTheme="minorHAnsi" w:cstheme="minorHAnsi"/>
                <w:sz w:val="20"/>
                <w:szCs w:val="20"/>
              </w:rPr>
              <w:t>could</w:t>
            </w:r>
            <w:r w:rsidR="00C7080A" w:rsidRPr="002F4BB7">
              <w:rPr>
                <w:rFonts w:asciiTheme="minorHAnsi" w:hAnsiTheme="minorHAnsi" w:cstheme="minorHAnsi"/>
                <w:sz w:val="20"/>
                <w:szCs w:val="20"/>
              </w:rPr>
              <w:t xml:space="preserve"> support the evaluation team as envisaged.</w:t>
            </w:r>
            <w:r w:rsidR="007458AC" w:rsidRPr="002F4BB7">
              <w:rPr>
                <w:rFonts w:asciiTheme="minorHAnsi" w:hAnsiTheme="minorHAnsi" w:cstheme="minorHAnsi"/>
                <w:sz w:val="20"/>
                <w:szCs w:val="20"/>
              </w:rPr>
              <w:t xml:space="preserve"> </w:t>
            </w:r>
          </w:p>
        </w:tc>
      </w:tr>
      <w:tr w:rsidR="00C7080A" w14:paraId="617E0018" w14:textId="77777777" w:rsidTr="00563732">
        <w:trPr>
          <w:cnfStyle w:val="000000010000" w:firstRow="0" w:lastRow="0" w:firstColumn="0" w:lastColumn="0" w:oddVBand="0" w:evenVBand="0" w:oddHBand="0" w:evenHBand="1" w:firstRowFirstColumn="0" w:firstRowLastColumn="0" w:lastRowFirstColumn="0" w:lastRowLastColumn="0"/>
          <w:trHeight w:val="990"/>
        </w:trPr>
        <w:tc>
          <w:tcPr>
            <w:tcW w:w="3284" w:type="dxa"/>
          </w:tcPr>
          <w:p w14:paraId="080FE344" w14:textId="77777777" w:rsidR="00C7080A" w:rsidRPr="007F63EF" w:rsidRDefault="00C7080A">
            <w:pPr>
              <w:pStyle w:val="ItadNormalText"/>
              <w:spacing w:after="0"/>
              <w:rPr>
                <w:rFonts w:asciiTheme="minorHAnsi" w:hAnsiTheme="minorHAnsi" w:cstheme="minorHAnsi"/>
                <w:b/>
                <w:color w:val="auto"/>
                <w:sz w:val="20"/>
                <w:szCs w:val="20"/>
              </w:rPr>
            </w:pPr>
            <w:r w:rsidRPr="002F4BB7">
              <w:rPr>
                <w:rFonts w:asciiTheme="minorHAnsi" w:hAnsiTheme="minorHAnsi" w:cstheme="minorHAnsi"/>
                <w:b/>
                <w:sz w:val="20"/>
                <w:szCs w:val="20"/>
              </w:rPr>
              <w:t>Tim Shorten</w:t>
            </w:r>
          </w:p>
          <w:p w14:paraId="648E55A2" w14:textId="77777777" w:rsidR="00C7080A" w:rsidRPr="007F63EF" w:rsidRDefault="00C7080A">
            <w:pPr>
              <w:pStyle w:val="ItadNormalText"/>
              <w:spacing w:before="0"/>
              <w:rPr>
                <w:rFonts w:asciiTheme="minorHAnsi" w:hAnsiTheme="minorHAnsi" w:cstheme="minorHAnsi"/>
                <w:b/>
                <w:color w:val="auto"/>
                <w:sz w:val="20"/>
                <w:szCs w:val="20"/>
              </w:rPr>
            </w:pPr>
          </w:p>
        </w:tc>
        <w:tc>
          <w:tcPr>
            <w:tcW w:w="6096" w:type="dxa"/>
            <w:hideMark/>
          </w:tcPr>
          <w:p w14:paraId="43780EF4" w14:textId="198A6098" w:rsidR="00C7080A" w:rsidRPr="007F63EF" w:rsidRDefault="00C7080A">
            <w:pPr>
              <w:pStyle w:val="Default"/>
              <w:spacing w:after="37"/>
              <w:rPr>
                <w:rFonts w:asciiTheme="minorHAnsi" w:hAnsiTheme="minorHAnsi" w:cstheme="minorHAnsi"/>
                <w:color w:val="auto"/>
                <w:sz w:val="20"/>
                <w:szCs w:val="20"/>
              </w:rPr>
            </w:pPr>
            <w:r w:rsidRPr="007F63EF">
              <w:rPr>
                <w:rFonts w:asciiTheme="minorHAnsi" w:hAnsiTheme="minorHAnsi" w:cstheme="minorHAnsi"/>
                <w:b/>
                <w:color w:val="auto"/>
                <w:sz w:val="20"/>
                <w:szCs w:val="20"/>
              </w:rPr>
              <w:t xml:space="preserve">Team Leader and Quantity and Sustainability Lead: </w:t>
            </w:r>
            <w:r w:rsidRPr="007F63EF">
              <w:rPr>
                <w:rFonts w:asciiTheme="minorHAnsi" w:hAnsiTheme="minorHAnsi" w:cstheme="minorHAnsi"/>
                <w:color w:val="auto"/>
                <w:sz w:val="20"/>
                <w:szCs w:val="20"/>
              </w:rPr>
              <w:t>Responsible for the evaluation’s technical delivery and for ensuring it fulfils EQ</w:t>
            </w:r>
            <w:r w:rsidR="00190AFF" w:rsidRPr="007F63EF">
              <w:rPr>
                <w:rFonts w:asciiTheme="minorHAnsi" w:hAnsiTheme="minorHAnsi" w:cstheme="minorHAnsi"/>
                <w:color w:val="auto"/>
                <w:sz w:val="20"/>
                <w:szCs w:val="20"/>
              </w:rPr>
              <w:t>u</w:t>
            </w:r>
            <w:r w:rsidRPr="007F63EF">
              <w:rPr>
                <w:rFonts w:asciiTheme="minorHAnsi" w:hAnsiTheme="minorHAnsi" w:cstheme="minorHAnsi"/>
                <w:color w:val="auto"/>
                <w:sz w:val="20"/>
                <w:szCs w:val="20"/>
              </w:rPr>
              <w:t>ALS Quality Standards</w:t>
            </w:r>
            <w:r w:rsidR="00341D50" w:rsidRPr="007F63EF">
              <w:rPr>
                <w:rFonts w:asciiTheme="minorHAnsi" w:hAnsiTheme="minorHAnsi" w:cstheme="minorHAnsi"/>
                <w:color w:val="auto"/>
                <w:sz w:val="20"/>
                <w:szCs w:val="20"/>
              </w:rPr>
              <w:t>:</w:t>
            </w:r>
            <w:r w:rsidRPr="007F63EF">
              <w:rPr>
                <w:rFonts w:asciiTheme="minorHAnsi" w:hAnsiTheme="minorHAnsi" w:cstheme="minorHAnsi"/>
                <w:color w:val="auto"/>
                <w:sz w:val="20"/>
                <w:szCs w:val="20"/>
              </w:rPr>
              <w:t xml:space="preserve"> </w:t>
            </w:r>
          </w:p>
          <w:p w14:paraId="54F2085E" w14:textId="655E9692" w:rsidR="00341D50" w:rsidRPr="007F63EF" w:rsidRDefault="00C7080A" w:rsidP="00C6374D">
            <w:pPr>
              <w:pStyle w:val="Default"/>
              <w:numPr>
                <w:ilvl w:val="0"/>
                <w:numId w:val="99"/>
              </w:numPr>
              <w:spacing w:after="37"/>
              <w:rPr>
                <w:rFonts w:asciiTheme="minorHAnsi" w:hAnsiTheme="minorHAnsi" w:cstheme="minorHAnsi"/>
                <w:color w:val="auto"/>
                <w:sz w:val="20"/>
                <w:szCs w:val="20"/>
              </w:rPr>
            </w:pPr>
            <w:r w:rsidRPr="007F63EF">
              <w:rPr>
                <w:rFonts w:asciiTheme="minorHAnsi" w:hAnsiTheme="minorHAnsi" w:cstheme="minorHAnsi"/>
                <w:color w:val="auto"/>
                <w:sz w:val="20"/>
                <w:szCs w:val="20"/>
              </w:rPr>
              <w:t>Led on the refinement of the methodology for the evaluation and liaise</w:t>
            </w:r>
            <w:r w:rsidR="00AF6A1D" w:rsidRPr="007F63EF">
              <w:rPr>
                <w:rFonts w:asciiTheme="minorHAnsi" w:hAnsiTheme="minorHAnsi" w:cstheme="minorHAnsi"/>
                <w:color w:val="auto"/>
                <w:sz w:val="20"/>
                <w:szCs w:val="20"/>
              </w:rPr>
              <w:t>s</w:t>
            </w:r>
            <w:r w:rsidRPr="007F63EF">
              <w:rPr>
                <w:rFonts w:asciiTheme="minorHAnsi" w:hAnsiTheme="minorHAnsi" w:cstheme="minorHAnsi"/>
                <w:color w:val="auto"/>
                <w:sz w:val="20"/>
                <w:szCs w:val="20"/>
              </w:rPr>
              <w:t xml:space="preserve"> with and engage</w:t>
            </w:r>
            <w:r w:rsidR="00AF6A1D" w:rsidRPr="007F63EF">
              <w:rPr>
                <w:rFonts w:asciiTheme="minorHAnsi" w:hAnsiTheme="minorHAnsi" w:cstheme="minorHAnsi"/>
                <w:color w:val="auto"/>
                <w:sz w:val="20"/>
                <w:szCs w:val="20"/>
              </w:rPr>
              <w:t>s</w:t>
            </w:r>
            <w:r w:rsidRPr="007F63EF">
              <w:rPr>
                <w:rFonts w:asciiTheme="minorHAnsi" w:hAnsiTheme="minorHAnsi" w:cstheme="minorHAnsi"/>
                <w:color w:val="auto"/>
                <w:sz w:val="20"/>
                <w:szCs w:val="20"/>
              </w:rPr>
              <w:t xml:space="preserve"> </w:t>
            </w:r>
            <w:r w:rsidR="00341D50" w:rsidRPr="007F63EF">
              <w:rPr>
                <w:rFonts w:asciiTheme="minorHAnsi" w:hAnsiTheme="minorHAnsi" w:cstheme="minorHAnsi"/>
                <w:color w:val="auto"/>
                <w:sz w:val="20"/>
                <w:szCs w:val="20"/>
              </w:rPr>
              <w:t xml:space="preserve">the </w:t>
            </w:r>
            <w:r w:rsidRPr="007F63EF">
              <w:rPr>
                <w:rFonts w:asciiTheme="minorHAnsi" w:hAnsiTheme="minorHAnsi" w:cstheme="minorHAnsi"/>
                <w:color w:val="auto"/>
                <w:sz w:val="20"/>
                <w:szCs w:val="20"/>
              </w:rPr>
              <w:t xml:space="preserve">DHSC and </w:t>
            </w:r>
            <w:r w:rsidR="005B5B44" w:rsidRPr="007F63EF">
              <w:rPr>
                <w:rFonts w:asciiTheme="minorHAnsi" w:hAnsiTheme="minorHAnsi" w:cstheme="minorHAnsi"/>
                <w:color w:val="auto"/>
                <w:sz w:val="20"/>
                <w:szCs w:val="20"/>
              </w:rPr>
              <w:t>MA</w:t>
            </w:r>
            <w:r w:rsidRPr="007F63EF">
              <w:rPr>
                <w:rFonts w:asciiTheme="minorHAnsi" w:hAnsiTheme="minorHAnsi" w:cstheme="minorHAnsi"/>
                <w:color w:val="auto"/>
                <w:sz w:val="20"/>
                <w:szCs w:val="20"/>
              </w:rPr>
              <w:t xml:space="preserve"> on high level technical issues as appropriate</w:t>
            </w:r>
            <w:r w:rsidR="00341D50" w:rsidRPr="007F63EF">
              <w:rPr>
                <w:rFonts w:asciiTheme="minorHAnsi" w:hAnsiTheme="minorHAnsi" w:cstheme="minorHAnsi"/>
                <w:color w:val="auto"/>
                <w:sz w:val="20"/>
                <w:szCs w:val="20"/>
              </w:rPr>
              <w:t>;</w:t>
            </w:r>
            <w:r w:rsidR="007458AC" w:rsidRPr="007F63EF">
              <w:rPr>
                <w:rFonts w:asciiTheme="minorHAnsi" w:hAnsiTheme="minorHAnsi" w:cstheme="minorHAnsi"/>
                <w:color w:val="auto"/>
                <w:sz w:val="20"/>
                <w:szCs w:val="20"/>
              </w:rPr>
              <w:t xml:space="preserve"> </w:t>
            </w:r>
          </w:p>
          <w:p w14:paraId="7FC143AF" w14:textId="78C34563" w:rsidR="00341D50" w:rsidRPr="007F63EF" w:rsidRDefault="00C7080A" w:rsidP="00C6374D">
            <w:pPr>
              <w:pStyle w:val="Default"/>
              <w:numPr>
                <w:ilvl w:val="0"/>
                <w:numId w:val="99"/>
              </w:numPr>
              <w:spacing w:after="37"/>
              <w:rPr>
                <w:rFonts w:asciiTheme="minorHAnsi" w:hAnsiTheme="minorHAnsi" w:cstheme="minorHAnsi"/>
                <w:color w:val="auto"/>
                <w:sz w:val="20"/>
                <w:szCs w:val="20"/>
              </w:rPr>
            </w:pPr>
            <w:r w:rsidRPr="007F63EF">
              <w:rPr>
                <w:rFonts w:asciiTheme="minorHAnsi" w:hAnsiTheme="minorHAnsi" w:cstheme="minorHAnsi"/>
                <w:color w:val="auto"/>
                <w:sz w:val="20"/>
                <w:szCs w:val="20"/>
              </w:rPr>
              <w:t xml:space="preserve">Led on the development of guidance, protocols, </w:t>
            </w:r>
            <w:r w:rsidR="00EA2076">
              <w:rPr>
                <w:rFonts w:asciiTheme="minorHAnsi" w:hAnsiTheme="minorHAnsi" w:cstheme="minorHAnsi"/>
                <w:color w:val="auto"/>
                <w:sz w:val="20"/>
                <w:szCs w:val="20"/>
              </w:rPr>
              <w:t xml:space="preserve">and </w:t>
            </w:r>
            <w:r w:rsidRPr="007F63EF">
              <w:rPr>
                <w:rFonts w:asciiTheme="minorHAnsi" w:hAnsiTheme="minorHAnsi" w:cstheme="minorHAnsi"/>
                <w:color w:val="auto"/>
                <w:sz w:val="20"/>
                <w:szCs w:val="20"/>
              </w:rPr>
              <w:t>tools for data collection/analysis and train</w:t>
            </w:r>
            <w:r w:rsidR="00AF6A1D" w:rsidRPr="007F63EF">
              <w:rPr>
                <w:rFonts w:asciiTheme="minorHAnsi" w:hAnsiTheme="minorHAnsi" w:cstheme="minorHAnsi"/>
                <w:color w:val="auto"/>
                <w:sz w:val="20"/>
                <w:szCs w:val="20"/>
              </w:rPr>
              <w:t>ing</w:t>
            </w:r>
            <w:r w:rsidRPr="007F63EF">
              <w:rPr>
                <w:rFonts w:asciiTheme="minorHAnsi" w:hAnsiTheme="minorHAnsi" w:cstheme="minorHAnsi"/>
                <w:color w:val="auto"/>
                <w:sz w:val="20"/>
                <w:szCs w:val="20"/>
              </w:rPr>
              <w:t xml:space="preserve"> other team members on the evaluation methodology</w:t>
            </w:r>
            <w:r w:rsidR="00341D50" w:rsidRPr="007F63EF">
              <w:rPr>
                <w:rFonts w:asciiTheme="minorHAnsi" w:hAnsiTheme="minorHAnsi" w:cstheme="minorHAnsi"/>
                <w:color w:val="auto"/>
                <w:sz w:val="20"/>
                <w:szCs w:val="20"/>
              </w:rPr>
              <w:t>;</w:t>
            </w:r>
            <w:r w:rsidR="00374CDF" w:rsidRPr="007F63EF">
              <w:rPr>
                <w:rFonts w:asciiTheme="minorHAnsi" w:hAnsiTheme="minorHAnsi" w:cstheme="minorHAnsi"/>
                <w:color w:val="auto"/>
                <w:sz w:val="20"/>
                <w:szCs w:val="20"/>
              </w:rPr>
              <w:t xml:space="preserve"> </w:t>
            </w:r>
          </w:p>
          <w:p w14:paraId="2E5E210D" w14:textId="2496443F" w:rsidR="00341D50" w:rsidRPr="007F63EF" w:rsidRDefault="00C7080A" w:rsidP="00C6374D">
            <w:pPr>
              <w:pStyle w:val="Default"/>
              <w:numPr>
                <w:ilvl w:val="0"/>
                <w:numId w:val="99"/>
              </w:numPr>
              <w:spacing w:after="37"/>
              <w:rPr>
                <w:rFonts w:asciiTheme="minorHAnsi" w:hAnsiTheme="minorHAnsi" w:cstheme="minorHAnsi"/>
                <w:color w:val="auto"/>
                <w:sz w:val="20"/>
                <w:szCs w:val="20"/>
              </w:rPr>
            </w:pPr>
            <w:r w:rsidRPr="007F63EF">
              <w:rPr>
                <w:rFonts w:asciiTheme="minorHAnsi" w:hAnsiTheme="minorHAnsi" w:cstheme="minorHAnsi"/>
                <w:color w:val="auto"/>
                <w:sz w:val="20"/>
                <w:szCs w:val="20"/>
              </w:rPr>
              <w:t>Undert</w:t>
            </w:r>
            <w:r w:rsidR="00082CB0" w:rsidRPr="007F63EF">
              <w:rPr>
                <w:rFonts w:asciiTheme="minorHAnsi" w:hAnsiTheme="minorHAnsi" w:cstheme="minorHAnsi"/>
                <w:color w:val="auto"/>
                <w:sz w:val="20"/>
                <w:szCs w:val="20"/>
              </w:rPr>
              <w:t>ook</w:t>
            </w:r>
            <w:r w:rsidRPr="007F63EF">
              <w:rPr>
                <w:rFonts w:asciiTheme="minorHAnsi" w:hAnsiTheme="minorHAnsi" w:cstheme="minorHAnsi"/>
                <w:color w:val="auto"/>
                <w:sz w:val="20"/>
                <w:szCs w:val="20"/>
              </w:rPr>
              <w:t xml:space="preserve"> pilot country visits to test and refine our approach and other country visits as required</w:t>
            </w:r>
            <w:r w:rsidR="00341D50" w:rsidRPr="007F63EF">
              <w:rPr>
                <w:rFonts w:asciiTheme="minorHAnsi" w:hAnsiTheme="minorHAnsi" w:cstheme="minorHAnsi"/>
                <w:color w:val="auto"/>
                <w:sz w:val="20"/>
                <w:szCs w:val="20"/>
              </w:rPr>
              <w:t>;</w:t>
            </w:r>
            <w:r w:rsidRPr="007F63EF">
              <w:rPr>
                <w:rFonts w:asciiTheme="minorHAnsi" w:hAnsiTheme="minorHAnsi" w:cstheme="minorHAnsi"/>
                <w:color w:val="auto"/>
                <w:sz w:val="20"/>
                <w:szCs w:val="20"/>
              </w:rPr>
              <w:t xml:space="preserve"> </w:t>
            </w:r>
          </w:p>
          <w:p w14:paraId="113CA927" w14:textId="7649EBCF" w:rsidR="00341D50" w:rsidRPr="007F63EF" w:rsidRDefault="00C7080A" w:rsidP="00C6374D">
            <w:pPr>
              <w:pStyle w:val="Default"/>
              <w:numPr>
                <w:ilvl w:val="0"/>
                <w:numId w:val="99"/>
              </w:numPr>
              <w:spacing w:after="37"/>
              <w:rPr>
                <w:rFonts w:asciiTheme="minorHAnsi" w:hAnsiTheme="minorHAnsi" w:cstheme="minorHAnsi"/>
                <w:color w:val="auto"/>
                <w:sz w:val="20"/>
                <w:szCs w:val="20"/>
              </w:rPr>
            </w:pPr>
            <w:r w:rsidRPr="007F63EF">
              <w:rPr>
                <w:rFonts w:asciiTheme="minorHAnsi" w:hAnsiTheme="minorHAnsi" w:cstheme="minorHAnsi"/>
                <w:color w:val="auto"/>
                <w:sz w:val="20"/>
                <w:szCs w:val="20"/>
              </w:rPr>
              <w:t>Led on the development of formative and summative reports.</w:t>
            </w:r>
            <w:r w:rsidR="007458AC" w:rsidRPr="007F63EF">
              <w:rPr>
                <w:rFonts w:asciiTheme="minorHAnsi" w:hAnsiTheme="minorHAnsi" w:cstheme="minorHAnsi"/>
                <w:color w:val="auto"/>
                <w:sz w:val="20"/>
                <w:szCs w:val="20"/>
              </w:rPr>
              <w:t xml:space="preserve"> </w:t>
            </w:r>
          </w:p>
          <w:p w14:paraId="01BB7514" w14:textId="0CE8665A" w:rsidR="00341D50" w:rsidRPr="007F63EF" w:rsidRDefault="004A37EF" w:rsidP="00C6374D">
            <w:pPr>
              <w:pStyle w:val="Default"/>
              <w:numPr>
                <w:ilvl w:val="0"/>
                <w:numId w:val="99"/>
              </w:numPr>
              <w:spacing w:after="37"/>
              <w:rPr>
                <w:rFonts w:asciiTheme="minorHAnsi" w:hAnsiTheme="minorHAnsi" w:cstheme="minorHAnsi"/>
                <w:color w:val="auto"/>
                <w:sz w:val="20"/>
                <w:szCs w:val="20"/>
              </w:rPr>
            </w:pPr>
            <w:r w:rsidRPr="007F63EF">
              <w:rPr>
                <w:rFonts w:asciiTheme="minorHAnsi" w:hAnsiTheme="minorHAnsi" w:cstheme="minorHAnsi"/>
                <w:color w:val="auto"/>
                <w:sz w:val="20"/>
                <w:szCs w:val="20"/>
              </w:rPr>
              <w:t>Ensure</w:t>
            </w:r>
            <w:r w:rsidR="00082CB0" w:rsidRPr="007F63EF">
              <w:rPr>
                <w:rFonts w:asciiTheme="minorHAnsi" w:hAnsiTheme="minorHAnsi" w:cstheme="minorHAnsi"/>
                <w:color w:val="auto"/>
                <w:sz w:val="20"/>
                <w:szCs w:val="20"/>
              </w:rPr>
              <w:t>d</w:t>
            </w:r>
            <w:r w:rsidR="00C7080A" w:rsidRPr="007F63EF">
              <w:rPr>
                <w:rFonts w:asciiTheme="minorHAnsi" w:hAnsiTheme="minorHAnsi" w:cstheme="minorHAnsi"/>
                <w:color w:val="auto"/>
                <w:sz w:val="20"/>
                <w:szCs w:val="20"/>
              </w:rPr>
              <w:t xml:space="preserve"> EAG</w:t>
            </w:r>
            <w:r w:rsidR="00EA2076">
              <w:rPr>
                <w:rFonts w:asciiTheme="minorHAnsi" w:hAnsiTheme="minorHAnsi" w:cstheme="minorHAnsi"/>
                <w:color w:val="auto"/>
                <w:sz w:val="20"/>
                <w:szCs w:val="20"/>
              </w:rPr>
              <w:t>s</w:t>
            </w:r>
            <w:r w:rsidR="00C7080A" w:rsidRPr="007F63EF">
              <w:rPr>
                <w:rFonts w:asciiTheme="minorHAnsi" w:hAnsiTheme="minorHAnsi" w:cstheme="minorHAnsi"/>
                <w:color w:val="auto"/>
                <w:sz w:val="20"/>
                <w:szCs w:val="20"/>
              </w:rPr>
              <w:t xml:space="preserve"> </w:t>
            </w:r>
            <w:r w:rsidR="00EA2076">
              <w:rPr>
                <w:rFonts w:asciiTheme="minorHAnsi" w:hAnsiTheme="minorHAnsi" w:cstheme="minorHAnsi"/>
                <w:color w:val="auto"/>
                <w:sz w:val="20"/>
                <w:szCs w:val="20"/>
              </w:rPr>
              <w:t>we</w:t>
            </w:r>
            <w:r w:rsidR="00C7080A" w:rsidRPr="007F63EF">
              <w:rPr>
                <w:rFonts w:asciiTheme="minorHAnsi" w:hAnsiTheme="minorHAnsi" w:cstheme="minorHAnsi"/>
                <w:color w:val="auto"/>
                <w:sz w:val="20"/>
                <w:szCs w:val="20"/>
              </w:rPr>
              <w:t xml:space="preserve">re briefed and engaged such that they </w:t>
            </w:r>
            <w:r w:rsidR="00082CB0" w:rsidRPr="007F63EF">
              <w:rPr>
                <w:rFonts w:asciiTheme="minorHAnsi" w:hAnsiTheme="minorHAnsi" w:cstheme="minorHAnsi"/>
                <w:color w:val="auto"/>
                <w:sz w:val="20"/>
                <w:szCs w:val="20"/>
              </w:rPr>
              <w:t xml:space="preserve">could </w:t>
            </w:r>
            <w:r w:rsidR="00C7080A" w:rsidRPr="007F63EF">
              <w:rPr>
                <w:rFonts w:asciiTheme="minorHAnsi" w:hAnsiTheme="minorHAnsi" w:cstheme="minorHAnsi"/>
                <w:color w:val="auto"/>
                <w:sz w:val="20"/>
                <w:szCs w:val="20"/>
              </w:rPr>
              <w:t xml:space="preserve">support the evaluation team as envisaged. </w:t>
            </w:r>
          </w:p>
          <w:p w14:paraId="3C20F365" w14:textId="79F26E85" w:rsidR="00341D50" w:rsidRPr="007F63EF" w:rsidRDefault="00C7080A" w:rsidP="00C6374D">
            <w:pPr>
              <w:pStyle w:val="Default"/>
              <w:numPr>
                <w:ilvl w:val="0"/>
                <w:numId w:val="99"/>
              </w:numPr>
              <w:spacing w:after="37"/>
              <w:rPr>
                <w:rFonts w:asciiTheme="minorHAnsi" w:hAnsiTheme="minorHAnsi" w:cstheme="minorHAnsi"/>
                <w:color w:val="auto"/>
                <w:sz w:val="20"/>
                <w:szCs w:val="20"/>
              </w:rPr>
            </w:pPr>
            <w:r w:rsidRPr="007F63EF">
              <w:rPr>
                <w:rFonts w:asciiTheme="minorHAnsi" w:hAnsiTheme="minorHAnsi" w:cstheme="minorHAnsi"/>
                <w:color w:val="auto"/>
                <w:sz w:val="20"/>
                <w:szCs w:val="20"/>
              </w:rPr>
              <w:t>Lead on the sustainability workstream</w:t>
            </w:r>
            <w:r w:rsidR="00341D50" w:rsidRPr="007F63EF">
              <w:rPr>
                <w:rFonts w:asciiTheme="minorHAnsi" w:hAnsiTheme="minorHAnsi" w:cstheme="minorHAnsi"/>
                <w:color w:val="auto"/>
                <w:sz w:val="20"/>
                <w:szCs w:val="20"/>
              </w:rPr>
              <w:t>;</w:t>
            </w:r>
            <w:r w:rsidRPr="007F63EF">
              <w:rPr>
                <w:rFonts w:asciiTheme="minorHAnsi" w:hAnsiTheme="minorHAnsi" w:cstheme="minorHAnsi"/>
                <w:color w:val="auto"/>
                <w:sz w:val="20"/>
                <w:szCs w:val="20"/>
              </w:rPr>
              <w:t xml:space="preserve"> </w:t>
            </w:r>
          </w:p>
          <w:p w14:paraId="5479A846" w14:textId="257B19C1" w:rsidR="00341D50" w:rsidRPr="007F63EF" w:rsidRDefault="00111AEF" w:rsidP="00C6374D">
            <w:pPr>
              <w:pStyle w:val="Default"/>
              <w:numPr>
                <w:ilvl w:val="0"/>
                <w:numId w:val="99"/>
              </w:numPr>
              <w:spacing w:after="37"/>
              <w:rPr>
                <w:rFonts w:asciiTheme="minorHAnsi" w:hAnsiTheme="minorHAnsi" w:cstheme="minorHAnsi"/>
                <w:color w:val="auto"/>
                <w:sz w:val="20"/>
                <w:szCs w:val="20"/>
              </w:rPr>
            </w:pPr>
            <w:r w:rsidRPr="007F63EF">
              <w:rPr>
                <w:rFonts w:asciiTheme="minorHAnsi" w:hAnsiTheme="minorHAnsi" w:cstheme="minorHAnsi"/>
                <w:color w:val="auto"/>
                <w:sz w:val="20"/>
                <w:szCs w:val="20"/>
              </w:rPr>
              <w:t>Contribute</w:t>
            </w:r>
            <w:r w:rsidR="00082CB0" w:rsidRPr="007F63EF">
              <w:rPr>
                <w:rFonts w:asciiTheme="minorHAnsi" w:hAnsiTheme="minorHAnsi" w:cstheme="minorHAnsi"/>
                <w:color w:val="auto"/>
                <w:sz w:val="20"/>
                <w:szCs w:val="20"/>
              </w:rPr>
              <w:t>d</w:t>
            </w:r>
            <w:r w:rsidR="00C7080A" w:rsidRPr="007F63EF">
              <w:rPr>
                <w:rFonts w:asciiTheme="minorHAnsi" w:hAnsiTheme="minorHAnsi" w:cstheme="minorHAnsi"/>
                <w:color w:val="auto"/>
                <w:sz w:val="20"/>
                <w:szCs w:val="20"/>
              </w:rPr>
              <w:t xml:space="preserve"> to </w:t>
            </w:r>
            <w:r w:rsidR="004A40B4" w:rsidRPr="007F63EF">
              <w:rPr>
                <w:rFonts w:asciiTheme="minorHAnsi" w:hAnsiTheme="minorHAnsi" w:cstheme="minorHAnsi"/>
                <w:color w:val="auto"/>
                <w:sz w:val="20"/>
                <w:szCs w:val="20"/>
              </w:rPr>
              <w:t>L&amp;D</w:t>
            </w:r>
            <w:r w:rsidR="00C7080A" w:rsidRPr="007F63EF">
              <w:rPr>
                <w:rFonts w:asciiTheme="minorHAnsi" w:hAnsiTheme="minorHAnsi" w:cstheme="minorHAnsi"/>
                <w:color w:val="auto"/>
                <w:sz w:val="20"/>
                <w:szCs w:val="20"/>
              </w:rPr>
              <w:t xml:space="preserve"> as requested</w:t>
            </w:r>
            <w:r w:rsidR="00341D50" w:rsidRPr="007F63EF">
              <w:rPr>
                <w:rFonts w:asciiTheme="minorHAnsi" w:hAnsiTheme="minorHAnsi" w:cstheme="minorHAnsi"/>
                <w:color w:val="auto"/>
                <w:sz w:val="20"/>
                <w:szCs w:val="20"/>
              </w:rPr>
              <w:t>;</w:t>
            </w:r>
            <w:r w:rsidR="00C7080A" w:rsidRPr="007F63EF">
              <w:rPr>
                <w:rFonts w:asciiTheme="minorHAnsi" w:hAnsiTheme="minorHAnsi" w:cstheme="minorHAnsi"/>
                <w:color w:val="auto"/>
                <w:sz w:val="20"/>
                <w:szCs w:val="20"/>
              </w:rPr>
              <w:t xml:space="preserve"> </w:t>
            </w:r>
          </w:p>
          <w:p w14:paraId="0E0BFE31" w14:textId="2A85677E" w:rsidR="00341D50" w:rsidRPr="007F63EF" w:rsidRDefault="00C7080A" w:rsidP="00C6374D">
            <w:pPr>
              <w:pStyle w:val="Default"/>
              <w:numPr>
                <w:ilvl w:val="0"/>
                <w:numId w:val="99"/>
              </w:numPr>
              <w:spacing w:after="37"/>
              <w:rPr>
                <w:rFonts w:asciiTheme="minorHAnsi" w:hAnsiTheme="minorHAnsi" w:cstheme="minorHAnsi"/>
                <w:color w:val="auto"/>
                <w:sz w:val="20"/>
                <w:szCs w:val="20"/>
              </w:rPr>
            </w:pPr>
            <w:r w:rsidRPr="007F63EF">
              <w:rPr>
                <w:rFonts w:asciiTheme="minorHAnsi" w:hAnsiTheme="minorHAnsi" w:cstheme="minorHAnsi"/>
                <w:color w:val="auto"/>
                <w:sz w:val="20"/>
                <w:szCs w:val="20"/>
              </w:rPr>
              <w:t>Contribute</w:t>
            </w:r>
            <w:r w:rsidR="00082CB0" w:rsidRPr="007F63EF">
              <w:rPr>
                <w:rFonts w:asciiTheme="minorHAnsi" w:hAnsiTheme="minorHAnsi" w:cstheme="minorHAnsi"/>
                <w:color w:val="auto"/>
                <w:sz w:val="20"/>
                <w:szCs w:val="20"/>
              </w:rPr>
              <w:t xml:space="preserve">d </w:t>
            </w:r>
            <w:r w:rsidRPr="007F63EF">
              <w:rPr>
                <w:rFonts w:asciiTheme="minorHAnsi" w:hAnsiTheme="minorHAnsi" w:cstheme="minorHAnsi"/>
                <w:color w:val="auto"/>
                <w:sz w:val="20"/>
                <w:szCs w:val="20"/>
              </w:rPr>
              <w:t>to regular team calls and evaluation management calls with the project manager</w:t>
            </w:r>
            <w:r w:rsidR="00341D50" w:rsidRPr="007F63EF">
              <w:rPr>
                <w:rFonts w:asciiTheme="minorHAnsi" w:hAnsiTheme="minorHAnsi" w:cstheme="minorHAnsi"/>
                <w:color w:val="auto"/>
                <w:sz w:val="20"/>
                <w:szCs w:val="20"/>
              </w:rPr>
              <w:t>;</w:t>
            </w:r>
            <w:r w:rsidRPr="007F63EF">
              <w:rPr>
                <w:rFonts w:asciiTheme="minorHAnsi" w:hAnsiTheme="minorHAnsi" w:cstheme="minorHAnsi"/>
                <w:color w:val="auto"/>
                <w:sz w:val="20"/>
                <w:szCs w:val="20"/>
              </w:rPr>
              <w:t xml:space="preserve"> </w:t>
            </w:r>
          </w:p>
          <w:p w14:paraId="5F0BC47E" w14:textId="60B54F0E" w:rsidR="00C7080A" w:rsidRPr="007F63EF" w:rsidRDefault="00341D50" w:rsidP="00C6374D">
            <w:pPr>
              <w:pStyle w:val="Default"/>
              <w:numPr>
                <w:ilvl w:val="0"/>
                <w:numId w:val="99"/>
              </w:numPr>
              <w:spacing w:after="37"/>
              <w:rPr>
                <w:rFonts w:asciiTheme="minorHAnsi" w:hAnsiTheme="minorHAnsi" w:cstheme="minorHAnsi"/>
                <w:color w:val="auto"/>
                <w:sz w:val="20"/>
                <w:szCs w:val="20"/>
              </w:rPr>
            </w:pPr>
            <w:r w:rsidRPr="007F63EF">
              <w:rPr>
                <w:rFonts w:asciiTheme="minorHAnsi" w:hAnsiTheme="minorHAnsi" w:cstheme="minorHAnsi"/>
                <w:color w:val="auto"/>
                <w:sz w:val="20"/>
                <w:szCs w:val="20"/>
              </w:rPr>
              <w:t>C</w:t>
            </w:r>
            <w:r w:rsidR="00C7080A" w:rsidRPr="007F63EF">
              <w:rPr>
                <w:rFonts w:asciiTheme="minorHAnsi" w:hAnsiTheme="minorHAnsi" w:cstheme="minorHAnsi"/>
                <w:color w:val="auto"/>
                <w:sz w:val="20"/>
                <w:szCs w:val="20"/>
              </w:rPr>
              <w:t>ontribute</w:t>
            </w:r>
            <w:r w:rsidR="00082CB0" w:rsidRPr="007F63EF">
              <w:rPr>
                <w:rFonts w:asciiTheme="minorHAnsi" w:hAnsiTheme="minorHAnsi" w:cstheme="minorHAnsi"/>
                <w:color w:val="auto"/>
                <w:sz w:val="20"/>
                <w:szCs w:val="20"/>
              </w:rPr>
              <w:t>d</w:t>
            </w:r>
            <w:r w:rsidR="00C7080A" w:rsidRPr="007F63EF">
              <w:rPr>
                <w:rFonts w:asciiTheme="minorHAnsi" w:hAnsiTheme="minorHAnsi" w:cstheme="minorHAnsi"/>
                <w:color w:val="auto"/>
                <w:sz w:val="20"/>
                <w:szCs w:val="20"/>
              </w:rPr>
              <w:t xml:space="preserve"> to quarterly and annual reporting.</w:t>
            </w:r>
          </w:p>
        </w:tc>
      </w:tr>
      <w:tr w:rsidR="00C7080A" w14:paraId="14151696" w14:textId="77777777" w:rsidTr="00563732">
        <w:trPr>
          <w:cnfStyle w:val="000000100000" w:firstRow="0" w:lastRow="0" w:firstColumn="0" w:lastColumn="0" w:oddVBand="0" w:evenVBand="0" w:oddHBand="1" w:evenHBand="0" w:firstRowFirstColumn="0" w:firstRowLastColumn="0" w:lastRowFirstColumn="0" w:lastRowLastColumn="0"/>
          <w:trHeight w:val="773"/>
        </w:trPr>
        <w:tc>
          <w:tcPr>
            <w:tcW w:w="3284" w:type="dxa"/>
          </w:tcPr>
          <w:p w14:paraId="0C8194C6" w14:textId="77777777" w:rsidR="00C7080A" w:rsidRPr="007F63EF" w:rsidRDefault="00C7080A">
            <w:pPr>
              <w:pStyle w:val="ItadNormalText"/>
              <w:spacing w:after="0"/>
              <w:rPr>
                <w:rFonts w:asciiTheme="minorHAnsi" w:hAnsiTheme="minorHAnsi" w:cstheme="minorHAnsi"/>
                <w:b/>
                <w:color w:val="auto"/>
                <w:sz w:val="20"/>
                <w:szCs w:val="20"/>
              </w:rPr>
            </w:pPr>
            <w:r w:rsidRPr="002F4BB7">
              <w:rPr>
                <w:rFonts w:asciiTheme="minorHAnsi" w:hAnsiTheme="minorHAnsi" w:cstheme="minorHAnsi"/>
                <w:b/>
                <w:sz w:val="20"/>
                <w:szCs w:val="20"/>
              </w:rPr>
              <w:t>Giada Tu Thanh</w:t>
            </w:r>
          </w:p>
          <w:p w14:paraId="6235208E" w14:textId="77777777" w:rsidR="00C7080A" w:rsidRPr="007F63EF" w:rsidRDefault="00C7080A">
            <w:pPr>
              <w:pStyle w:val="ItadNormalText"/>
              <w:spacing w:after="0"/>
              <w:rPr>
                <w:rFonts w:asciiTheme="minorHAnsi" w:hAnsiTheme="minorHAnsi" w:cstheme="minorHAnsi"/>
                <w:b/>
                <w:color w:val="auto"/>
                <w:sz w:val="20"/>
                <w:szCs w:val="20"/>
              </w:rPr>
            </w:pPr>
          </w:p>
        </w:tc>
        <w:tc>
          <w:tcPr>
            <w:tcW w:w="6096" w:type="dxa"/>
            <w:hideMark/>
          </w:tcPr>
          <w:p w14:paraId="5FCAAD73" w14:textId="4AAB51CD" w:rsidR="00341D50" w:rsidRPr="007F63EF" w:rsidRDefault="00C7080A">
            <w:pPr>
              <w:pStyle w:val="ItadNormalText"/>
              <w:rPr>
                <w:rFonts w:asciiTheme="minorHAnsi" w:hAnsiTheme="minorHAnsi" w:cstheme="minorHAnsi"/>
                <w:color w:val="auto"/>
                <w:sz w:val="20"/>
                <w:szCs w:val="20"/>
              </w:rPr>
            </w:pPr>
            <w:r w:rsidRPr="002F4BB7">
              <w:rPr>
                <w:rFonts w:asciiTheme="minorHAnsi" w:hAnsiTheme="minorHAnsi" w:cstheme="minorHAnsi"/>
                <w:b/>
                <w:sz w:val="20"/>
                <w:szCs w:val="20"/>
              </w:rPr>
              <w:t xml:space="preserve">Deputy Team Leader &amp; Coherence and </w:t>
            </w:r>
            <w:r w:rsidR="00F91E38" w:rsidRPr="002F4BB7">
              <w:rPr>
                <w:rFonts w:asciiTheme="minorHAnsi" w:hAnsiTheme="minorHAnsi" w:cstheme="minorHAnsi"/>
                <w:b/>
                <w:sz w:val="20"/>
                <w:szCs w:val="20"/>
              </w:rPr>
              <w:t>Contribution Analysis</w:t>
            </w:r>
            <w:r w:rsidR="002B6D96" w:rsidRPr="002F4BB7">
              <w:rPr>
                <w:rFonts w:asciiTheme="minorHAnsi" w:hAnsiTheme="minorHAnsi" w:cstheme="minorHAnsi"/>
                <w:b/>
                <w:sz w:val="20"/>
                <w:szCs w:val="20"/>
              </w:rPr>
              <w:t xml:space="preserve"> </w:t>
            </w:r>
            <w:r w:rsidRPr="002F4BB7">
              <w:rPr>
                <w:rFonts w:asciiTheme="minorHAnsi" w:hAnsiTheme="minorHAnsi" w:cstheme="minorHAnsi"/>
                <w:b/>
                <w:sz w:val="20"/>
                <w:szCs w:val="20"/>
              </w:rPr>
              <w:t xml:space="preserve">Lead: </w:t>
            </w:r>
            <w:r w:rsidRPr="002F4BB7">
              <w:rPr>
                <w:rFonts w:asciiTheme="minorHAnsi" w:hAnsiTheme="minorHAnsi" w:cstheme="minorHAnsi"/>
                <w:sz w:val="20"/>
                <w:szCs w:val="20"/>
              </w:rPr>
              <w:t xml:space="preserve">Led on </w:t>
            </w:r>
            <w:r w:rsidR="00C90FE7">
              <w:rPr>
                <w:rFonts w:asciiTheme="minorHAnsi" w:hAnsiTheme="minorHAnsi" w:cstheme="minorHAnsi"/>
                <w:color w:val="auto"/>
                <w:sz w:val="20"/>
                <w:szCs w:val="20"/>
              </w:rPr>
              <w:t xml:space="preserve">the </w:t>
            </w:r>
            <w:r w:rsidRPr="002F4BB7">
              <w:rPr>
                <w:rFonts w:asciiTheme="minorHAnsi" w:hAnsiTheme="minorHAnsi" w:cstheme="minorHAnsi"/>
                <w:sz w:val="20"/>
                <w:szCs w:val="20"/>
              </w:rPr>
              <w:t xml:space="preserve">development of a protocol for </w:t>
            </w:r>
            <w:r w:rsidR="00F91E38" w:rsidRPr="002F4BB7">
              <w:rPr>
                <w:rFonts w:asciiTheme="minorHAnsi" w:hAnsiTheme="minorHAnsi" w:cstheme="minorHAnsi"/>
                <w:sz w:val="20"/>
                <w:szCs w:val="20"/>
              </w:rPr>
              <w:t>Contribution Analysis</w:t>
            </w:r>
            <w:r w:rsidR="002B6D96" w:rsidRPr="002F4BB7">
              <w:rPr>
                <w:rFonts w:asciiTheme="minorHAnsi" w:hAnsiTheme="minorHAnsi" w:cstheme="minorHAnsi"/>
                <w:sz w:val="20"/>
                <w:szCs w:val="20"/>
              </w:rPr>
              <w:t xml:space="preserve"> </w:t>
            </w:r>
            <w:r w:rsidRPr="002F4BB7">
              <w:rPr>
                <w:rFonts w:asciiTheme="minorHAnsi" w:hAnsiTheme="minorHAnsi" w:cstheme="minorHAnsi"/>
                <w:sz w:val="20"/>
                <w:szCs w:val="20"/>
              </w:rPr>
              <w:t xml:space="preserve">and Coherence to ensure that all country visits </w:t>
            </w:r>
            <w:r w:rsidR="00082CB0" w:rsidRPr="002F4BB7">
              <w:rPr>
                <w:rFonts w:asciiTheme="minorHAnsi" w:hAnsiTheme="minorHAnsi" w:cstheme="minorHAnsi"/>
                <w:sz w:val="20"/>
                <w:szCs w:val="20"/>
              </w:rPr>
              <w:t>were</w:t>
            </w:r>
            <w:r w:rsidRPr="002F4BB7">
              <w:rPr>
                <w:rFonts w:asciiTheme="minorHAnsi" w:hAnsiTheme="minorHAnsi" w:cstheme="minorHAnsi"/>
                <w:sz w:val="20"/>
                <w:szCs w:val="20"/>
              </w:rPr>
              <w:t xml:space="preserve"> contributing as required to the overall approach</w:t>
            </w:r>
            <w:r w:rsidR="00341D50" w:rsidRPr="002F4BB7">
              <w:rPr>
                <w:rFonts w:asciiTheme="minorHAnsi" w:hAnsiTheme="minorHAnsi" w:cstheme="minorHAnsi"/>
                <w:sz w:val="20"/>
                <w:szCs w:val="20"/>
              </w:rPr>
              <w:t>:</w:t>
            </w:r>
            <w:r w:rsidR="007458AC" w:rsidRPr="002F4BB7">
              <w:rPr>
                <w:rFonts w:asciiTheme="minorHAnsi" w:hAnsiTheme="minorHAnsi" w:cstheme="minorHAnsi"/>
                <w:sz w:val="20"/>
                <w:szCs w:val="20"/>
              </w:rPr>
              <w:t xml:space="preserve"> </w:t>
            </w:r>
          </w:p>
          <w:p w14:paraId="7D643A38" w14:textId="43DE9429" w:rsidR="00341D50" w:rsidRPr="007F63EF" w:rsidRDefault="00C7080A" w:rsidP="00C6374D">
            <w:pPr>
              <w:pStyle w:val="ItadNormalText"/>
              <w:numPr>
                <w:ilvl w:val="0"/>
                <w:numId w:val="100"/>
              </w:numPr>
              <w:rPr>
                <w:rFonts w:asciiTheme="minorHAnsi" w:hAnsiTheme="minorHAnsi" w:cstheme="minorHAnsi"/>
                <w:color w:val="auto"/>
                <w:sz w:val="20"/>
                <w:szCs w:val="20"/>
              </w:rPr>
            </w:pPr>
            <w:r w:rsidRPr="002F4BB7">
              <w:rPr>
                <w:rFonts w:asciiTheme="minorHAnsi" w:hAnsiTheme="minorHAnsi" w:cstheme="minorHAnsi"/>
                <w:sz w:val="20"/>
                <w:szCs w:val="20"/>
              </w:rPr>
              <w:t>Input to a number of deliverables a</w:t>
            </w:r>
            <w:r w:rsidR="009B56F8" w:rsidRPr="002F4BB7">
              <w:rPr>
                <w:rFonts w:asciiTheme="minorHAnsi" w:hAnsiTheme="minorHAnsi" w:cstheme="minorHAnsi"/>
                <w:sz w:val="20"/>
                <w:szCs w:val="20"/>
              </w:rPr>
              <w:t>s</w:t>
            </w:r>
            <w:r w:rsidRPr="002F4BB7">
              <w:rPr>
                <w:rFonts w:asciiTheme="minorHAnsi" w:hAnsiTheme="minorHAnsi" w:cstheme="minorHAnsi"/>
                <w:sz w:val="20"/>
                <w:szCs w:val="20"/>
              </w:rPr>
              <w:t xml:space="preserve"> required to ensure that Itad</w:t>
            </w:r>
            <w:r w:rsidR="00C90FE7">
              <w:rPr>
                <w:rFonts w:asciiTheme="minorHAnsi" w:hAnsiTheme="minorHAnsi" w:cstheme="minorHAnsi"/>
                <w:color w:val="auto"/>
                <w:sz w:val="20"/>
                <w:szCs w:val="20"/>
              </w:rPr>
              <w:t>’s</w:t>
            </w:r>
            <w:r w:rsidRPr="002F4BB7">
              <w:rPr>
                <w:rFonts w:asciiTheme="minorHAnsi" w:hAnsiTheme="minorHAnsi" w:cstheme="minorHAnsi"/>
                <w:sz w:val="20"/>
                <w:szCs w:val="20"/>
              </w:rPr>
              <w:t xml:space="preserve"> expertise and best practice on methodologies and approaches </w:t>
            </w:r>
            <w:r w:rsidR="009B56F8" w:rsidRPr="002F4BB7">
              <w:rPr>
                <w:rFonts w:asciiTheme="minorHAnsi" w:hAnsiTheme="minorHAnsi" w:cstheme="minorHAnsi"/>
                <w:sz w:val="20"/>
                <w:szCs w:val="20"/>
              </w:rPr>
              <w:t>were</w:t>
            </w:r>
            <w:r w:rsidRPr="002F4BB7">
              <w:rPr>
                <w:rFonts w:asciiTheme="minorHAnsi" w:hAnsiTheme="minorHAnsi" w:cstheme="minorHAnsi"/>
                <w:sz w:val="20"/>
                <w:szCs w:val="20"/>
              </w:rPr>
              <w:t xml:space="preserve"> reflected in the evaluation tools and guidance</w:t>
            </w:r>
            <w:r w:rsidR="00341D50" w:rsidRPr="002F4BB7">
              <w:rPr>
                <w:rFonts w:asciiTheme="minorHAnsi" w:hAnsiTheme="minorHAnsi" w:cstheme="minorHAnsi"/>
                <w:sz w:val="20"/>
                <w:szCs w:val="20"/>
              </w:rPr>
              <w:t>;</w:t>
            </w:r>
          </w:p>
          <w:p w14:paraId="358C1034" w14:textId="7631A800" w:rsidR="00341D50" w:rsidRPr="007F63EF" w:rsidRDefault="00C7080A" w:rsidP="00C6374D">
            <w:pPr>
              <w:pStyle w:val="ItadNormalText"/>
              <w:numPr>
                <w:ilvl w:val="0"/>
                <w:numId w:val="100"/>
              </w:numPr>
              <w:rPr>
                <w:rFonts w:asciiTheme="minorHAnsi" w:hAnsiTheme="minorHAnsi" w:cstheme="minorHAnsi"/>
                <w:color w:val="auto"/>
                <w:sz w:val="20"/>
                <w:szCs w:val="20"/>
              </w:rPr>
            </w:pPr>
            <w:r w:rsidRPr="002F4BB7">
              <w:rPr>
                <w:rFonts w:asciiTheme="minorHAnsi" w:hAnsiTheme="minorHAnsi" w:cstheme="minorHAnsi"/>
                <w:sz w:val="20"/>
                <w:szCs w:val="20"/>
              </w:rPr>
              <w:t>Contribute</w:t>
            </w:r>
            <w:r w:rsidR="009B56F8" w:rsidRPr="002F4BB7">
              <w:rPr>
                <w:rFonts w:asciiTheme="minorHAnsi" w:hAnsiTheme="minorHAnsi" w:cstheme="minorHAnsi"/>
                <w:sz w:val="20"/>
                <w:szCs w:val="20"/>
              </w:rPr>
              <w:t>d</w:t>
            </w:r>
            <w:r w:rsidRPr="002F4BB7">
              <w:rPr>
                <w:rFonts w:asciiTheme="minorHAnsi" w:hAnsiTheme="minorHAnsi" w:cstheme="minorHAnsi"/>
                <w:sz w:val="20"/>
                <w:szCs w:val="20"/>
              </w:rPr>
              <w:t xml:space="preserve"> to learning and dissemination activities</w:t>
            </w:r>
            <w:r w:rsidR="00341D50" w:rsidRPr="002F4BB7">
              <w:rPr>
                <w:rFonts w:asciiTheme="minorHAnsi" w:hAnsiTheme="minorHAnsi" w:cstheme="minorHAnsi"/>
                <w:sz w:val="20"/>
                <w:szCs w:val="20"/>
              </w:rPr>
              <w:t>;</w:t>
            </w:r>
            <w:r w:rsidRPr="002F4BB7">
              <w:rPr>
                <w:rFonts w:asciiTheme="minorHAnsi" w:hAnsiTheme="minorHAnsi" w:cstheme="minorHAnsi"/>
                <w:sz w:val="20"/>
                <w:szCs w:val="20"/>
              </w:rPr>
              <w:t xml:space="preserve"> </w:t>
            </w:r>
          </w:p>
          <w:p w14:paraId="21DAF758" w14:textId="374D3F0B" w:rsidR="00341D50" w:rsidRPr="007F63EF" w:rsidRDefault="00C7080A" w:rsidP="00C6374D">
            <w:pPr>
              <w:pStyle w:val="ItadNormalText"/>
              <w:numPr>
                <w:ilvl w:val="0"/>
                <w:numId w:val="100"/>
              </w:numPr>
              <w:rPr>
                <w:rFonts w:asciiTheme="minorHAnsi" w:hAnsiTheme="minorHAnsi" w:cstheme="minorHAnsi"/>
                <w:color w:val="auto"/>
                <w:sz w:val="20"/>
                <w:szCs w:val="20"/>
              </w:rPr>
            </w:pPr>
            <w:r w:rsidRPr="002F4BB7">
              <w:rPr>
                <w:rFonts w:asciiTheme="minorHAnsi" w:hAnsiTheme="minorHAnsi" w:cstheme="minorHAnsi"/>
                <w:sz w:val="20"/>
                <w:szCs w:val="20"/>
              </w:rPr>
              <w:t>Under</w:t>
            </w:r>
            <w:r w:rsidR="009B56F8" w:rsidRPr="002F4BB7">
              <w:rPr>
                <w:rFonts w:asciiTheme="minorHAnsi" w:hAnsiTheme="minorHAnsi" w:cstheme="minorHAnsi"/>
                <w:sz w:val="20"/>
                <w:szCs w:val="20"/>
              </w:rPr>
              <w:t>took</w:t>
            </w:r>
            <w:r w:rsidRPr="002F4BB7">
              <w:rPr>
                <w:rFonts w:asciiTheme="minorHAnsi" w:hAnsiTheme="minorHAnsi" w:cstheme="minorHAnsi"/>
                <w:sz w:val="20"/>
                <w:szCs w:val="20"/>
              </w:rPr>
              <w:t xml:space="preserve"> a number of country visits and provide</w:t>
            </w:r>
            <w:r w:rsidR="009B56F8" w:rsidRPr="002F4BB7">
              <w:rPr>
                <w:rFonts w:asciiTheme="minorHAnsi" w:hAnsiTheme="minorHAnsi" w:cstheme="minorHAnsi"/>
                <w:sz w:val="20"/>
                <w:szCs w:val="20"/>
              </w:rPr>
              <w:t>d</w:t>
            </w:r>
            <w:r w:rsidRPr="002F4BB7">
              <w:rPr>
                <w:rFonts w:asciiTheme="minorHAnsi" w:hAnsiTheme="minorHAnsi" w:cstheme="minorHAnsi"/>
                <w:sz w:val="20"/>
                <w:szCs w:val="20"/>
              </w:rPr>
              <w:t xml:space="preserve"> senior inputs to the </w:t>
            </w:r>
            <w:r w:rsidR="00F91E38" w:rsidRPr="002F4BB7">
              <w:rPr>
                <w:rFonts w:asciiTheme="minorHAnsi" w:hAnsiTheme="minorHAnsi" w:cstheme="minorHAnsi"/>
                <w:sz w:val="20"/>
                <w:szCs w:val="20"/>
              </w:rPr>
              <w:t>ToC</w:t>
            </w:r>
            <w:r w:rsidRPr="002F4BB7">
              <w:rPr>
                <w:rFonts w:asciiTheme="minorHAnsi" w:hAnsiTheme="minorHAnsi" w:cstheme="minorHAnsi"/>
                <w:sz w:val="20"/>
                <w:szCs w:val="20"/>
              </w:rPr>
              <w:t xml:space="preserve"> and </w:t>
            </w:r>
            <w:r w:rsidR="00F91E38" w:rsidRPr="002F4BB7">
              <w:rPr>
                <w:rFonts w:asciiTheme="minorHAnsi" w:hAnsiTheme="minorHAnsi" w:cstheme="minorHAnsi"/>
                <w:sz w:val="20"/>
                <w:szCs w:val="20"/>
              </w:rPr>
              <w:t>Contribution Analysis</w:t>
            </w:r>
            <w:r w:rsidR="002B6D96" w:rsidRPr="002F4BB7">
              <w:rPr>
                <w:rFonts w:asciiTheme="minorHAnsi" w:hAnsiTheme="minorHAnsi" w:cstheme="minorHAnsi"/>
                <w:sz w:val="20"/>
                <w:szCs w:val="20"/>
              </w:rPr>
              <w:t xml:space="preserve"> </w:t>
            </w:r>
            <w:r w:rsidRPr="002F4BB7">
              <w:rPr>
                <w:rFonts w:asciiTheme="minorHAnsi" w:hAnsiTheme="minorHAnsi" w:cstheme="minorHAnsi"/>
                <w:sz w:val="20"/>
                <w:szCs w:val="20"/>
              </w:rPr>
              <w:t>work</w:t>
            </w:r>
            <w:r w:rsidR="00341D50" w:rsidRPr="002F4BB7">
              <w:rPr>
                <w:rFonts w:asciiTheme="minorHAnsi" w:hAnsiTheme="minorHAnsi" w:cstheme="minorHAnsi"/>
                <w:sz w:val="20"/>
                <w:szCs w:val="20"/>
              </w:rPr>
              <w:t>;</w:t>
            </w:r>
          </w:p>
          <w:p w14:paraId="085D08ED" w14:textId="0EA815CA" w:rsidR="00A63EE3" w:rsidRPr="007F63EF" w:rsidRDefault="00C7080A" w:rsidP="00C6374D">
            <w:pPr>
              <w:pStyle w:val="ItadNormalText"/>
              <w:numPr>
                <w:ilvl w:val="0"/>
                <w:numId w:val="100"/>
              </w:numPr>
              <w:rPr>
                <w:rFonts w:asciiTheme="minorHAnsi" w:hAnsiTheme="minorHAnsi" w:cstheme="minorHAnsi"/>
                <w:color w:val="auto"/>
                <w:sz w:val="20"/>
                <w:szCs w:val="20"/>
              </w:rPr>
            </w:pPr>
            <w:r w:rsidRPr="002F4BB7">
              <w:rPr>
                <w:rFonts w:asciiTheme="minorHAnsi" w:hAnsiTheme="minorHAnsi" w:cstheme="minorHAnsi"/>
                <w:sz w:val="20"/>
                <w:szCs w:val="20"/>
              </w:rPr>
              <w:t>Work</w:t>
            </w:r>
            <w:r w:rsidR="009B56F8" w:rsidRPr="002F4BB7">
              <w:rPr>
                <w:rFonts w:asciiTheme="minorHAnsi" w:hAnsiTheme="minorHAnsi" w:cstheme="minorHAnsi"/>
                <w:sz w:val="20"/>
                <w:szCs w:val="20"/>
              </w:rPr>
              <w:t>ed</w:t>
            </w:r>
            <w:r w:rsidRPr="002F4BB7">
              <w:rPr>
                <w:rFonts w:asciiTheme="minorHAnsi" w:hAnsiTheme="minorHAnsi" w:cstheme="minorHAnsi"/>
                <w:sz w:val="20"/>
                <w:szCs w:val="20"/>
              </w:rPr>
              <w:t xml:space="preserve"> with the Team Leader in the development of methodologies and in delivering the Client’s overall </w:t>
            </w:r>
            <w:r w:rsidR="00256C1E" w:rsidRPr="002F4BB7">
              <w:rPr>
                <w:rFonts w:asciiTheme="minorHAnsi" w:hAnsiTheme="minorHAnsi" w:cstheme="minorHAnsi"/>
                <w:sz w:val="20"/>
                <w:szCs w:val="20"/>
              </w:rPr>
              <w:t>ToR</w:t>
            </w:r>
            <w:r w:rsidRPr="002F4BB7">
              <w:rPr>
                <w:rFonts w:asciiTheme="minorHAnsi" w:hAnsiTheme="minorHAnsi" w:cstheme="minorHAnsi"/>
                <w:sz w:val="20"/>
                <w:szCs w:val="20"/>
              </w:rPr>
              <w:t xml:space="preserve"> for this evaluation</w:t>
            </w:r>
            <w:r w:rsidR="00A63EE3" w:rsidRPr="002F4BB7">
              <w:rPr>
                <w:rFonts w:asciiTheme="minorHAnsi" w:hAnsiTheme="minorHAnsi" w:cstheme="minorHAnsi"/>
                <w:sz w:val="20"/>
                <w:szCs w:val="20"/>
              </w:rPr>
              <w:t>;</w:t>
            </w:r>
            <w:r w:rsidRPr="002F4BB7">
              <w:rPr>
                <w:rFonts w:asciiTheme="minorHAnsi" w:hAnsiTheme="minorHAnsi" w:cstheme="minorHAnsi"/>
                <w:sz w:val="20"/>
                <w:szCs w:val="20"/>
              </w:rPr>
              <w:t xml:space="preserve"> </w:t>
            </w:r>
          </w:p>
          <w:p w14:paraId="640BCFBE" w14:textId="1F8C192A" w:rsidR="00A63EE3" w:rsidRPr="007F63EF" w:rsidRDefault="00C7080A" w:rsidP="00C6374D">
            <w:pPr>
              <w:pStyle w:val="ItadNormalText"/>
              <w:numPr>
                <w:ilvl w:val="0"/>
                <w:numId w:val="100"/>
              </w:numPr>
              <w:rPr>
                <w:rFonts w:asciiTheme="minorHAnsi" w:hAnsiTheme="minorHAnsi" w:cstheme="minorHAnsi"/>
                <w:color w:val="auto"/>
                <w:sz w:val="20"/>
                <w:szCs w:val="20"/>
              </w:rPr>
            </w:pPr>
            <w:r w:rsidRPr="002F4BB7">
              <w:rPr>
                <w:rFonts w:asciiTheme="minorHAnsi" w:hAnsiTheme="minorHAnsi" w:cstheme="minorHAnsi"/>
                <w:sz w:val="20"/>
                <w:szCs w:val="20"/>
              </w:rPr>
              <w:t>Contribute</w:t>
            </w:r>
            <w:r w:rsidR="009B56F8" w:rsidRPr="002F4BB7">
              <w:rPr>
                <w:rFonts w:asciiTheme="minorHAnsi" w:hAnsiTheme="minorHAnsi" w:cstheme="minorHAnsi"/>
                <w:sz w:val="20"/>
                <w:szCs w:val="20"/>
              </w:rPr>
              <w:t>d</w:t>
            </w:r>
            <w:r w:rsidRPr="002F4BB7">
              <w:rPr>
                <w:rFonts w:asciiTheme="minorHAnsi" w:hAnsiTheme="minorHAnsi" w:cstheme="minorHAnsi"/>
                <w:sz w:val="20"/>
                <w:szCs w:val="20"/>
              </w:rPr>
              <w:t xml:space="preserve"> to the drafting of the Summative Report as instructed by the Team Leader, </w:t>
            </w:r>
          </w:p>
          <w:p w14:paraId="64A0885F" w14:textId="1F74C4CF" w:rsidR="00A63EE3" w:rsidRPr="007F63EF" w:rsidRDefault="00A63EE3" w:rsidP="00C6374D">
            <w:pPr>
              <w:pStyle w:val="ItadNormalText"/>
              <w:numPr>
                <w:ilvl w:val="0"/>
                <w:numId w:val="100"/>
              </w:numPr>
              <w:rPr>
                <w:rFonts w:asciiTheme="minorHAnsi" w:hAnsiTheme="minorHAnsi" w:cstheme="minorHAnsi"/>
                <w:color w:val="auto"/>
                <w:sz w:val="20"/>
                <w:szCs w:val="20"/>
              </w:rPr>
            </w:pPr>
            <w:r w:rsidRPr="002F4BB7">
              <w:rPr>
                <w:rFonts w:asciiTheme="minorHAnsi" w:hAnsiTheme="minorHAnsi" w:cstheme="minorHAnsi"/>
                <w:sz w:val="20"/>
                <w:szCs w:val="20"/>
              </w:rPr>
              <w:t>Monitor</w:t>
            </w:r>
            <w:r w:rsidR="009B56F8" w:rsidRPr="002F4BB7">
              <w:rPr>
                <w:rFonts w:asciiTheme="minorHAnsi" w:hAnsiTheme="minorHAnsi" w:cstheme="minorHAnsi"/>
                <w:sz w:val="20"/>
                <w:szCs w:val="20"/>
              </w:rPr>
              <w:t>ed</w:t>
            </w:r>
            <w:r w:rsidRPr="002F4BB7">
              <w:rPr>
                <w:rFonts w:asciiTheme="minorHAnsi" w:hAnsiTheme="minorHAnsi" w:cstheme="minorHAnsi"/>
                <w:sz w:val="20"/>
                <w:szCs w:val="20"/>
              </w:rPr>
              <w:t xml:space="preserve"> the progress towards and quality of deliverables by team members; </w:t>
            </w:r>
          </w:p>
          <w:p w14:paraId="26ADE2A1" w14:textId="7112D454" w:rsidR="00A63EE3" w:rsidRPr="007F63EF" w:rsidRDefault="00A63EE3" w:rsidP="00C6374D">
            <w:pPr>
              <w:pStyle w:val="ItadNormalText"/>
              <w:numPr>
                <w:ilvl w:val="0"/>
                <w:numId w:val="100"/>
              </w:numPr>
              <w:rPr>
                <w:rFonts w:asciiTheme="minorHAnsi" w:hAnsiTheme="minorHAnsi" w:cstheme="minorHAnsi"/>
                <w:color w:val="auto"/>
                <w:sz w:val="20"/>
                <w:szCs w:val="20"/>
              </w:rPr>
            </w:pPr>
            <w:r w:rsidRPr="002F4BB7">
              <w:rPr>
                <w:rFonts w:asciiTheme="minorHAnsi" w:hAnsiTheme="minorHAnsi" w:cstheme="minorHAnsi"/>
                <w:sz w:val="20"/>
                <w:szCs w:val="20"/>
              </w:rPr>
              <w:t>Engage</w:t>
            </w:r>
            <w:r w:rsidR="009B56F8" w:rsidRPr="002F4BB7">
              <w:rPr>
                <w:rFonts w:asciiTheme="minorHAnsi" w:hAnsiTheme="minorHAnsi" w:cstheme="minorHAnsi"/>
                <w:sz w:val="20"/>
                <w:szCs w:val="20"/>
              </w:rPr>
              <w:t>d</w:t>
            </w:r>
            <w:r w:rsidRPr="002F4BB7">
              <w:rPr>
                <w:rFonts w:asciiTheme="minorHAnsi" w:hAnsiTheme="minorHAnsi" w:cstheme="minorHAnsi"/>
                <w:sz w:val="20"/>
                <w:szCs w:val="20"/>
              </w:rPr>
              <w:t xml:space="preserve"> with the MA as appropriate; </w:t>
            </w:r>
          </w:p>
          <w:p w14:paraId="50A71831" w14:textId="04DD544F" w:rsidR="00A63EE3" w:rsidRPr="007F63EF" w:rsidRDefault="00A63EE3" w:rsidP="00C6374D">
            <w:pPr>
              <w:pStyle w:val="ItadNormalText"/>
              <w:numPr>
                <w:ilvl w:val="0"/>
                <w:numId w:val="100"/>
              </w:numPr>
              <w:rPr>
                <w:rFonts w:asciiTheme="minorHAnsi" w:hAnsiTheme="minorHAnsi" w:cstheme="minorHAnsi"/>
                <w:color w:val="auto"/>
                <w:sz w:val="20"/>
                <w:szCs w:val="20"/>
              </w:rPr>
            </w:pPr>
            <w:r w:rsidRPr="002F4BB7">
              <w:rPr>
                <w:rFonts w:asciiTheme="minorHAnsi" w:hAnsiTheme="minorHAnsi" w:cstheme="minorHAnsi"/>
                <w:sz w:val="20"/>
                <w:szCs w:val="20"/>
              </w:rPr>
              <w:t>Engage</w:t>
            </w:r>
            <w:r w:rsidR="009B56F8" w:rsidRPr="002F4BB7">
              <w:rPr>
                <w:rFonts w:asciiTheme="minorHAnsi" w:hAnsiTheme="minorHAnsi" w:cstheme="minorHAnsi"/>
                <w:sz w:val="20"/>
                <w:szCs w:val="20"/>
              </w:rPr>
              <w:t xml:space="preserve">d </w:t>
            </w:r>
            <w:r w:rsidRPr="002F4BB7">
              <w:rPr>
                <w:rFonts w:asciiTheme="minorHAnsi" w:hAnsiTheme="minorHAnsi" w:cstheme="minorHAnsi"/>
                <w:sz w:val="20"/>
                <w:szCs w:val="20"/>
              </w:rPr>
              <w:t xml:space="preserve">with the DHSC as requested on technical matters and makes sure the evaluation meets their needs; </w:t>
            </w:r>
          </w:p>
          <w:p w14:paraId="564444ED" w14:textId="296E0DC6" w:rsidR="00C7080A" w:rsidRPr="007F63EF" w:rsidRDefault="00A63EE3" w:rsidP="00C6374D">
            <w:pPr>
              <w:pStyle w:val="ItadNormalText"/>
              <w:numPr>
                <w:ilvl w:val="0"/>
                <w:numId w:val="100"/>
              </w:numPr>
              <w:rPr>
                <w:rFonts w:asciiTheme="minorHAnsi" w:hAnsiTheme="minorHAnsi" w:cstheme="minorHAnsi"/>
                <w:b/>
                <w:color w:val="auto"/>
                <w:sz w:val="20"/>
                <w:szCs w:val="20"/>
              </w:rPr>
            </w:pPr>
            <w:r w:rsidRPr="002F4BB7">
              <w:rPr>
                <w:rFonts w:asciiTheme="minorHAnsi" w:hAnsiTheme="minorHAnsi" w:cstheme="minorHAnsi"/>
                <w:sz w:val="20"/>
                <w:szCs w:val="20"/>
              </w:rPr>
              <w:t>Contribute</w:t>
            </w:r>
            <w:r w:rsidR="009B56F8" w:rsidRPr="002F4BB7">
              <w:rPr>
                <w:rFonts w:asciiTheme="minorHAnsi" w:hAnsiTheme="minorHAnsi" w:cstheme="minorHAnsi"/>
                <w:sz w:val="20"/>
                <w:szCs w:val="20"/>
              </w:rPr>
              <w:t>d</w:t>
            </w:r>
            <w:r w:rsidRPr="002F4BB7">
              <w:rPr>
                <w:rFonts w:asciiTheme="minorHAnsi" w:hAnsiTheme="minorHAnsi" w:cstheme="minorHAnsi"/>
                <w:sz w:val="20"/>
                <w:szCs w:val="20"/>
              </w:rPr>
              <w:t xml:space="preserve"> to L&amp;D as requested and to quarterly and annual reporting.</w:t>
            </w:r>
          </w:p>
        </w:tc>
      </w:tr>
      <w:tr w:rsidR="00C7080A" w14:paraId="50B3ACAA" w14:textId="77777777" w:rsidTr="00563732">
        <w:trPr>
          <w:cnfStyle w:val="000000010000" w:firstRow="0" w:lastRow="0" w:firstColumn="0" w:lastColumn="0" w:oddVBand="0" w:evenVBand="0" w:oddHBand="0" w:evenHBand="1" w:firstRowFirstColumn="0" w:firstRowLastColumn="0" w:lastRowFirstColumn="0" w:lastRowLastColumn="0"/>
          <w:trHeight w:val="773"/>
        </w:trPr>
        <w:tc>
          <w:tcPr>
            <w:tcW w:w="3284" w:type="dxa"/>
            <w:tcBorders>
              <w:bottom w:val="nil"/>
            </w:tcBorders>
          </w:tcPr>
          <w:p w14:paraId="08102DD8" w14:textId="77777777" w:rsidR="00C7080A" w:rsidRPr="007F63EF" w:rsidRDefault="00C7080A">
            <w:pPr>
              <w:pStyle w:val="ItadNormalText"/>
              <w:spacing w:after="0"/>
              <w:rPr>
                <w:rFonts w:asciiTheme="minorHAnsi" w:hAnsiTheme="minorHAnsi" w:cstheme="minorHAnsi"/>
                <w:b/>
                <w:color w:val="auto"/>
                <w:sz w:val="20"/>
                <w:szCs w:val="20"/>
                <w:lang w:val="en-US"/>
              </w:rPr>
            </w:pPr>
            <w:r w:rsidRPr="002F4BB7">
              <w:rPr>
                <w:rFonts w:asciiTheme="minorHAnsi" w:hAnsiTheme="minorHAnsi" w:cstheme="minorHAnsi"/>
                <w:b/>
                <w:sz w:val="20"/>
                <w:szCs w:val="20"/>
              </w:rPr>
              <w:t>Julie-Anne Darsley</w:t>
            </w:r>
          </w:p>
          <w:p w14:paraId="6FBB7788" w14:textId="77777777" w:rsidR="00C7080A" w:rsidRPr="007F63EF" w:rsidRDefault="00C7080A">
            <w:pPr>
              <w:pStyle w:val="ItadNormalText"/>
              <w:spacing w:after="0"/>
              <w:rPr>
                <w:rFonts w:asciiTheme="minorHAnsi" w:hAnsiTheme="minorHAnsi" w:cstheme="minorHAnsi"/>
                <w:b/>
                <w:color w:val="auto"/>
                <w:sz w:val="20"/>
                <w:szCs w:val="20"/>
              </w:rPr>
            </w:pPr>
          </w:p>
        </w:tc>
        <w:tc>
          <w:tcPr>
            <w:tcW w:w="6096" w:type="dxa"/>
            <w:tcBorders>
              <w:bottom w:val="nil"/>
            </w:tcBorders>
            <w:hideMark/>
          </w:tcPr>
          <w:p w14:paraId="335F71C8" w14:textId="2E593860" w:rsidR="00A63EE3" w:rsidRPr="007F63EF" w:rsidRDefault="00C7080A">
            <w:pPr>
              <w:pStyle w:val="ItadNormalText"/>
              <w:rPr>
                <w:rFonts w:asciiTheme="minorHAnsi" w:hAnsiTheme="minorHAnsi" w:cstheme="minorHAnsi"/>
                <w:color w:val="auto"/>
                <w:sz w:val="20"/>
                <w:szCs w:val="20"/>
              </w:rPr>
            </w:pPr>
            <w:r w:rsidRPr="002F4BB7">
              <w:rPr>
                <w:rFonts w:asciiTheme="minorHAnsi" w:hAnsiTheme="minorHAnsi" w:cstheme="minorHAnsi"/>
                <w:b/>
                <w:sz w:val="20"/>
                <w:szCs w:val="20"/>
              </w:rPr>
              <w:t xml:space="preserve">Project Manager (PM): </w:t>
            </w:r>
            <w:r w:rsidRPr="002F4BB7">
              <w:rPr>
                <w:rFonts w:asciiTheme="minorHAnsi" w:hAnsiTheme="minorHAnsi" w:cstheme="minorHAnsi"/>
                <w:sz w:val="20"/>
                <w:szCs w:val="20"/>
              </w:rPr>
              <w:t xml:space="preserve">Responsible for the day to day running of the </w:t>
            </w:r>
            <w:r w:rsidR="00BE078D" w:rsidRPr="002F4BB7">
              <w:rPr>
                <w:rFonts w:asciiTheme="minorHAnsi" w:hAnsiTheme="minorHAnsi" w:cstheme="minorHAnsi"/>
                <w:sz w:val="20"/>
                <w:szCs w:val="20"/>
              </w:rPr>
              <w:t>evaluation</w:t>
            </w:r>
            <w:r w:rsidRPr="002F4BB7">
              <w:rPr>
                <w:rFonts w:asciiTheme="minorHAnsi" w:hAnsiTheme="minorHAnsi" w:cstheme="minorHAnsi"/>
                <w:sz w:val="20"/>
                <w:szCs w:val="20"/>
              </w:rPr>
              <w:t xml:space="preserve"> from Itad's side</w:t>
            </w:r>
            <w:r w:rsidR="00A63EE3" w:rsidRPr="002F4BB7">
              <w:rPr>
                <w:rFonts w:asciiTheme="minorHAnsi" w:hAnsiTheme="minorHAnsi" w:cstheme="minorHAnsi"/>
                <w:sz w:val="20"/>
                <w:szCs w:val="20"/>
              </w:rPr>
              <w:t>:</w:t>
            </w:r>
            <w:r w:rsidRPr="002F4BB7">
              <w:rPr>
                <w:rFonts w:asciiTheme="minorHAnsi" w:hAnsiTheme="minorHAnsi" w:cstheme="minorHAnsi"/>
                <w:sz w:val="20"/>
                <w:szCs w:val="20"/>
              </w:rPr>
              <w:t xml:space="preserve"> </w:t>
            </w:r>
          </w:p>
          <w:p w14:paraId="7566A24A" w14:textId="69F88B05" w:rsidR="00A63EE3" w:rsidRPr="007F63EF" w:rsidRDefault="00C7080A" w:rsidP="00C6374D">
            <w:pPr>
              <w:pStyle w:val="ItadNormalText"/>
              <w:numPr>
                <w:ilvl w:val="0"/>
                <w:numId w:val="101"/>
              </w:numPr>
              <w:rPr>
                <w:rFonts w:asciiTheme="minorHAnsi" w:hAnsiTheme="minorHAnsi" w:cstheme="minorHAnsi"/>
                <w:color w:val="auto"/>
                <w:sz w:val="20"/>
                <w:szCs w:val="20"/>
                <w:shd w:val="clear" w:color="auto" w:fill="FFFFFF" w:themeFill="background1"/>
              </w:rPr>
            </w:pPr>
            <w:r w:rsidRPr="002F4BB7">
              <w:rPr>
                <w:rFonts w:asciiTheme="minorHAnsi" w:hAnsiTheme="minorHAnsi" w:cstheme="minorHAnsi"/>
                <w:sz w:val="20"/>
                <w:szCs w:val="20"/>
              </w:rPr>
              <w:t>Liaise</w:t>
            </w:r>
            <w:r w:rsidR="009B56F8" w:rsidRPr="002F4BB7">
              <w:rPr>
                <w:rFonts w:asciiTheme="minorHAnsi" w:hAnsiTheme="minorHAnsi" w:cstheme="minorHAnsi"/>
                <w:sz w:val="20"/>
                <w:szCs w:val="20"/>
              </w:rPr>
              <w:t>d</w:t>
            </w:r>
            <w:r w:rsidRPr="002F4BB7">
              <w:rPr>
                <w:rFonts w:asciiTheme="minorHAnsi" w:hAnsiTheme="minorHAnsi" w:cstheme="minorHAnsi"/>
                <w:sz w:val="20"/>
                <w:szCs w:val="20"/>
              </w:rPr>
              <w:t xml:space="preserve"> with </w:t>
            </w:r>
            <w:r w:rsidR="00A63EE3" w:rsidRPr="002F4BB7">
              <w:rPr>
                <w:rFonts w:asciiTheme="minorHAnsi" w:hAnsiTheme="minorHAnsi" w:cstheme="minorHAnsi"/>
                <w:sz w:val="20"/>
                <w:szCs w:val="20"/>
              </w:rPr>
              <w:t xml:space="preserve">the </w:t>
            </w:r>
            <w:r w:rsidRPr="002F4BB7">
              <w:rPr>
                <w:rFonts w:asciiTheme="minorHAnsi" w:hAnsiTheme="minorHAnsi" w:cstheme="minorHAnsi"/>
                <w:sz w:val="20"/>
                <w:szCs w:val="20"/>
              </w:rPr>
              <w:t xml:space="preserve">DHSC and </w:t>
            </w:r>
            <w:r w:rsidR="00111AEF" w:rsidRPr="002F4BB7">
              <w:rPr>
                <w:rFonts w:asciiTheme="minorHAnsi" w:hAnsiTheme="minorHAnsi" w:cstheme="minorHAnsi"/>
                <w:sz w:val="20"/>
                <w:szCs w:val="20"/>
              </w:rPr>
              <w:t>MA</w:t>
            </w:r>
            <w:r w:rsidRPr="002F4BB7">
              <w:rPr>
                <w:rFonts w:asciiTheme="minorHAnsi" w:hAnsiTheme="minorHAnsi" w:cstheme="minorHAnsi"/>
                <w:sz w:val="20"/>
                <w:szCs w:val="20"/>
              </w:rPr>
              <w:t xml:space="preserve"> on day-to-day issues and scale</w:t>
            </w:r>
            <w:r w:rsidR="009B56F8" w:rsidRPr="002F4BB7">
              <w:rPr>
                <w:rFonts w:asciiTheme="minorHAnsi" w:hAnsiTheme="minorHAnsi" w:cstheme="minorHAnsi"/>
                <w:sz w:val="20"/>
                <w:szCs w:val="20"/>
              </w:rPr>
              <w:t>d</w:t>
            </w:r>
            <w:r w:rsidRPr="002F4BB7">
              <w:rPr>
                <w:rFonts w:asciiTheme="minorHAnsi" w:hAnsiTheme="minorHAnsi" w:cstheme="minorHAnsi"/>
                <w:sz w:val="20"/>
                <w:szCs w:val="20"/>
              </w:rPr>
              <w:t xml:space="preserve"> up issues as appropriate</w:t>
            </w:r>
            <w:r w:rsidR="00A63EE3" w:rsidRPr="002F4BB7">
              <w:rPr>
                <w:rFonts w:asciiTheme="minorHAnsi" w:hAnsiTheme="minorHAnsi" w:cstheme="minorHAnsi"/>
                <w:sz w:val="20"/>
                <w:szCs w:val="20"/>
              </w:rPr>
              <w:t>;</w:t>
            </w:r>
            <w:r w:rsidRPr="002F4BB7">
              <w:rPr>
                <w:rFonts w:asciiTheme="minorHAnsi" w:hAnsiTheme="minorHAnsi" w:cstheme="minorHAnsi"/>
                <w:sz w:val="20"/>
                <w:szCs w:val="20"/>
              </w:rPr>
              <w:t xml:space="preserve"> </w:t>
            </w:r>
          </w:p>
          <w:p w14:paraId="471250D0" w14:textId="182EED4B" w:rsidR="00A63EE3" w:rsidRPr="007F63EF" w:rsidRDefault="00C7080A" w:rsidP="00C6374D">
            <w:pPr>
              <w:pStyle w:val="ItadNormalText"/>
              <w:numPr>
                <w:ilvl w:val="0"/>
                <w:numId w:val="101"/>
              </w:numPr>
              <w:rPr>
                <w:rFonts w:asciiTheme="minorHAnsi" w:hAnsiTheme="minorHAnsi" w:cstheme="minorHAnsi"/>
                <w:color w:val="auto"/>
                <w:sz w:val="20"/>
                <w:szCs w:val="20"/>
                <w:shd w:val="clear" w:color="auto" w:fill="FFFFFF" w:themeFill="background1"/>
              </w:rPr>
            </w:pPr>
            <w:r w:rsidRPr="002F4BB7">
              <w:rPr>
                <w:rFonts w:asciiTheme="minorHAnsi" w:hAnsiTheme="minorHAnsi" w:cstheme="minorHAnsi"/>
                <w:sz w:val="20"/>
                <w:szCs w:val="20"/>
              </w:rPr>
              <w:t>Closely monitor</w:t>
            </w:r>
            <w:r w:rsidR="009B56F8" w:rsidRPr="002F4BB7">
              <w:rPr>
                <w:rFonts w:asciiTheme="minorHAnsi" w:hAnsiTheme="minorHAnsi" w:cstheme="minorHAnsi"/>
                <w:sz w:val="20"/>
                <w:szCs w:val="20"/>
              </w:rPr>
              <w:t>ed</w:t>
            </w:r>
            <w:r w:rsidRPr="002F4BB7">
              <w:rPr>
                <w:rFonts w:asciiTheme="minorHAnsi" w:hAnsiTheme="minorHAnsi" w:cstheme="minorHAnsi"/>
                <w:sz w:val="20"/>
                <w:szCs w:val="20"/>
              </w:rPr>
              <w:t xml:space="preserve"> the budget and the </w:t>
            </w:r>
            <w:r w:rsidR="00FB10B9" w:rsidRPr="002F4BB7">
              <w:rPr>
                <w:rFonts w:asciiTheme="minorHAnsi" w:hAnsiTheme="minorHAnsi" w:cstheme="minorHAnsi"/>
                <w:sz w:val="20"/>
                <w:szCs w:val="20"/>
              </w:rPr>
              <w:t>work plan</w:t>
            </w:r>
            <w:r w:rsidRPr="002F4BB7">
              <w:rPr>
                <w:rFonts w:asciiTheme="minorHAnsi" w:hAnsiTheme="minorHAnsi" w:cstheme="minorHAnsi"/>
                <w:sz w:val="20"/>
                <w:szCs w:val="20"/>
              </w:rPr>
              <w:t xml:space="preserve"> together with </w:t>
            </w:r>
            <w:r w:rsidR="009C3687" w:rsidRPr="002F4BB7">
              <w:rPr>
                <w:rFonts w:asciiTheme="minorHAnsi" w:hAnsiTheme="minorHAnsi" w:cstheme="minorHAnsi"/>
                <w:sz w:val="20"/>
                <w:szCs w:val="20"/>
              </w:rPr>
              <w:t xml:space="preserve">the </w:t>
            </w:r>
            <w:r w:rsidRPr="002F4BB7">
              <w:rPr>
                <w:rFonts w:asciiTheme="minorHAnsi" w:hAnsiTheme="minorHAnsi" w:cstheme="minorHAnsi"/>
                <w:sz w:val="20"/>
                <w:szCs w:val="20"/>
              </w:rPr>
              <w:t xml:space="preserve">Project Officer, in liaison with the Project Director and the </w:t>
            </w:r>
            <w:r w:rsidR="00A63EE3" w:rsidRPr="002F4BB7">
              <w:rPr>
                <w:rFonts w:asciiTheme="minorHAnsi" w:hAnsiTheme="minorHAnsi" w:cstheme="minorHAnsi"/>
                <w:sz w:val="20"/>
                <w:szCs w:val="20"/>
              </w:rPr>
              <w:t>Team Leader;</w:t>
            </w:r>
            <w:r w:rsidRPr="002F4BB7">
              <w:rPr>
                <w:rFonts w:asciiTheme="minorHAnsi" w:hAnsiTheme="minorHAnsi" w:cstheme="minorHAnsi"/>
                <w:sz w:val="20"/>
                <w:szCs w:val="20"/>
                <w:shd w:val="clear" w:color="auto" w:fill="FFFFFF" w:themeFill="background1"/>
              </w:rPr>
              <w:t xml:space="preserve"> </w:t>
            </w:r>
          </w:p>
          <w:p w14:paraId="1A3F06B3" w14:textId="551EB504" w:rsidR="00A63EE3" w:rsidRPr="007F63EF" w:rsidRDefault="00A63EE3" w:rsidP="00C6374D">
            <w:pPr>
              <w:pStyle w:val="ItadNormalText"/>
              <w:numPr>
                <w:ilvl w:val="0"/>
                <w:numId w:val="101"/>
              </w:numPr>
              <w:rPr>
                <w:rFonts w:asciiTheme="minorHAnsi" w:hAnsiTheme="minorHAnsi" w:cstheme="minorHAnsi"/>
                <w:color w:val="auto"/>
                <w:sz w:val="20"/>
                <w:szCs w:val="20"/>
                <w:shd w:val="clear" w:color="auto" w:fill="FFFFFF" w:themeFill="background1"/>
              </w:rPr>
            </w:pPr>
            <w:r w:rsidRPr="002F4BB7">
              <w:rPr>
                <w:rFonts w:asciiTheme="minorHAnsi" w:hAnsiTheme="minorHAnsi" w:cstheme="minorHAnsi"/>
                <w:sz w:val="20"/>
                <w:szCs w:val="20"/>
              </w:rPr>
              <w:t>W</w:t>
            </w:r>
            <w:r w:rsidR="00111AEF" w:rsidRPr="002F4BB7">
              <w:rPr>
                <w:rFonts w:asciiTheme="minorHAnsi" w:hAnsiTheme="minorHAnsi" w:cstheme="minorHAnsi"/>
                <w:sz w:val="20"/>
                <w:szCs w:val="20"/>
              </w:rPr>
              <w:t>ork</w:t>
            </w:r>
            <w:r w:rsidR="009B56F8" w:rsidRPr="002F4BB7">
              <w:rPr>
                <w:rFonts w:asciiTheme="minorHAnsi" w:hAnsiTheme="minorHAnsi" w:cstheme="minorHAnsi"/>
                <w:sz w:val="20"/>
                <w:szCs w:val="20"/>
              </w:rPr>
              <w:t>ed</w:t>
            </w:r>
            <w:r w:rsidR="00111AEF" w:rsidRPr="002F4BB7">
              <w:rPr>
                <w:rFonts w:asciiTheme="minorHAnsi" w:hAnsiTheme="minorHAnsi" w:cstheme="minorHAnsi"/>
                <w:sz w:val="20"/>
                <w:szCs w:val="20"/>
              </w:rPr>
              <w:t xml:space="preserve"> </w:t>
            </w:r>
            <w:r w:rsidR="00C7080A" w:rsidRPr="002F4BB7">
              <w:rPr>
                <w:rFonts w:asciiTheme="minorHAnsi" w:hAnsiTheme="minorHAnsi" w:cstheme="minorHAnsi"/>
                <w:sz w:val="20"/>
                <w:szCs w:val="20"/>
              </w:rPr>
              <w:t xml:space="preserve">with the Team Leader and Deputy Team Leader in delivering the Client’s overall </w:t>
            </w:r>
            <w:r w:rsidR="00256C1E" w:rsidRPr="002F4BB7">
              <w:rPr>
                <w:rFonts w:asciiTheme="minorHAnsi" w:hAnsiTheme="minorHAnsi" w:cstheme="minorHAnsi"/>
                <w:sz w:val="20"/>
                <w:szCs w:val="20"/>
              </w:rPr>
              <w:t>ToR</w:t>
            </w:r>
            <w:r w:rsidR="00C7080A" w:rsidRPr="002F4BB7">
              <w:rPr>
                <w:rFonts w:asciiTheme="minorHAnsi" w:hAnsiTheme="minorHAnsi" w:cstheme="minorHAnsi"/>
                <w:sz w:val="20"/>
                <w:szCs w:val="20"/>
              </w:rPr>
              <w:t xml:space="preserve"> for this evaluation</w:t>
            </w:r>
            <w:r w:rsidRPr="002F4BB7">
              <w:rPr>
                <w:rFonts w:asciiTheme="minorHAnsi" w:hAnsiTheme="minorHAnsi" w:cstheme="minorHAnsi"/>
                <w:sz w:val="20"/>
                <w:szCs w:val="20"/>
              </w:rPr>
              <w:t>;</w:t>
            </w:r>
            <w:r w:rsidR="00C7080A" w:rsidRPr="002F4BB7">
              <w:rPr>
                <w:rFonts w:asciiTheme="minorHAnsi" w:hAnsiTheme="minorHAnsi" w:cstheme="minorHAnsi"/>
                <w:sz w:val="20"/>
                <w:szCs w:val="20"/>
              </w:rPr>
              <w:t xml:space="preserve"> </w:t>
            </w:r>
          </w:p>
          <w:p w14:paraId="1E365D4E" w14:textId="6D2793B3" w:rsidR="00A63EE3" w:rsidRPr="007F63EF" w:rsidRDefault="00C7080A" w:rsidP="00C6374D">
            <w:pPr>
              <w:pStyle w:val="ItadNormalText"/>
              <w:numPr>
                <w:ilvl w:val="0"/>
                <w:numId w:val="101"/>
              </w:numPr>
              <w:rPr>
                <w:rFonts w:asciiTheme="minorHAnsi" w:hAnsiTheme="minorHAnsi" w:cstheme="minorHAnsi"/>
                <w:color w:val="auto"/>
                <w:sz w:val="20"/>
                <w:szCs w:val="20"/>
                <w:shd w:val="clear" w:color="auto" w:fill="FFFFFF" w:themeFill="background1"/>
              </w:rPr>
            </w:pPr>
            <w:r w:rsidRPr="002F4BB7">
              <w:rPr>
                <w:rFonts w:asciiTheme="minorHAnsi" w:hAnsiTheme="minorHAnsi" w:cstheme="minorHAnsi"/>
                <w:sz w:val="20"/>
                <w:szCs w:val="20"/>
                <w:shd w:val="clear" w:color="auto" w:fill="FFFFFF" w:themeFill="background1"/>
              </w:rPr>
              <w:t>Manage</w:t>
            </w:r>
            <w:r w:rsidR="009B56F8" w:rsidRPr="002F4BB7">
              <w:rPr>
                <w:rFonts w:asciiTheme="minorHAnsi" w:hAnsiTheme="minorHAnsi" w:cstheme="minorHAnsi"/>
                <w:sz w:val="20"/>
                <w:szCs w:val="20"/>
                <w:shd w:val="clear" w:color="auto" w:fill="FFFFFF" w:themeFill="background1"/>
              </w:rPr>
              <w:t>d</w:t>
            </w:r>
            <w:r w:rsidRPr="002F4BB7">
              <w:rPr>
                <w:rFonts w:asciiTheme="minorHAnsi" w:hAnsiTheme="minorHAnsi" w:cstheme="minorHAnsi"/>
                <w:sz w:val="20"/>
                <w:szCs w:val="20"/>
                <w:shd w:val="clear" w:color="auto" w:fill="FFFFFF" w:themeFill="background1"/>
              </w:rPr>
              <w:t xml:space="preserve"> TEAMS and ensure</w:t>
            </w:r>
            <w:r w:rsidR="009B56F8" w:rsidRPr="002F4BB7">
              <w:rPr>
                <w:rFonts w:asciiTheme="minorHAnsi" w:hAnsiTheme="minorHAnsi" w:cstheme="minorHAnsi"/>
                <w:sz w:val="20"/>
                <w:szCs w:val="20"/>
                <w:shd w:val="clear" w:color="auto" w:fill="FFFFFF" w:themeFill="background1"/>
              </w:rPr>
              <w:t>d</w:t>
            </w:r>
            <w:r w:rsidRPr="002F4BB7">
              <w:rPr>
                <w:rFonts w:asciiTheme="minorHAnsi" w:hAnsiTheme="minorHAnsi" w:cstheme="minorHAnsi"/>
                <w:sz w:val="20"/>
                <w:szCs w:val="20"/>
                <w:shd w:val="clear" w:color="auto" w:fill="FFFFFF" w:themeFill="background1"/>
              </w:rPr>
              <w:t xml:space="preserve"> all deliverables </w:t>
            </w:r>
            <w:r w:rsidR="009B56F8" w:rsidRPr="002F4BB7">
              <w:rPr>
                <w:rFonts w:asciiTheme="minorHAnsi" w:hAnsiTheme="minorHAnsi" w:cstheme="minorHAnsi"/>
                <w:sz w:val="20"/>
                <w:szCs w:val="20"/>
                <w:shd w:val="clear" w:color="auto" w:fill="FFFFFF" w:themeFill="background1"/>
              </w:rPr>
              <w:t>were</w:t>
            </w:r>
            <w:r w:rsidRPr="002F4BB7">
              <w:rPr>
                <w:rFonts w:asciiTheme="minorHAnsi" w:hAnsiTheme="minorHAnsi" w:cstheme="minorHAnsi"/>
                <w:sz w:val="20"/>
                <w:szCs w:val="20"/>
                <w:shd w:val="clear" w:color="auto" w:fill="FFFFFF" w:themeFill="background1"/>
              </w:rPr>
              <w:t xml:space="preserve"> filed appropriately</w:t>
            </w:r>
            <w:r w:rsidR="00A63EE3" w:rsidRPr="002F4BB7">
              <w:rPr>
                <w:rFonts w:asciiTheme="minorHAnsi" w:hAnsiTheme="minorHAnsi" w:cstheme="minorHAnsi"/>
                <w:sz w:val="20"/>
                <w:szCs w:val="20"/>
                <w:shd w:val="clear" w:color="auto" w:fill="FFFFFF" w:themeFill="background1"/>
              </w:rPr>
              <w:t>;</w:t>
            </w:r>
            <w:r w:rsidRPr="002F4BB7">
              <w:rPr>
                <w:rFonts w:asciiTheme="minorHAnsi" w:hAnsiTheme="minorHAnsi" w:cstheme="minorHAnsi"/>
                <w:sz w:val="20"/>
                <w:szCs w:val="20"/>
                <w:shd w:val="clear" w:color="auto" w:fill="FFFFFF" w:themeFill="background1"/>
              </w:rPr>
              <w:t xml:space="preserve"> </w:t>
            </w:r>
          </w:p>
          <w:p w14:paraId="414DB8B4" w14:textId="7E1338C5" w:rsidR="00A63EE3" w:rsidRPr="007F63EF" w:rsidRDefault="00A63EE3" w:rsidP="00C6374D">
            <w:pPr>
              <w:pStyle w:val="ItadNormalText"/>
              <w:numPr>
                <w:ilvl w:val="0"/>
                <w:numId w:val="101"/>
              </w:numPr>
              <w:rPr>
                <w:rFonts w:asciiTheme="minorHAnsi" w:hAnsiTheme="minorHAnsi" w:cstheme="minorHAnsi"/>
                <w:color w:val="auto"/>
                <w:sz w:val="20"/>
                <w:szCs w:val="20"/>
                <w:shd w:val="clear" w:color="auto" w:fill="FFFFFF" w:themeFill="background1"/>
              </w:rPr>
            </w:pPr>
            <w:r w:rsidRPr="002F4BB7">
              <w:rPr>
                <w:rFonts w:asciiTheme="minorHAnsi" w:hAnsiTheme="minorHAnsi" w:cstheme="minorHAnsi"/>
                <w:sz w:val="20"/>
                <w:szCs w:val="20"/>
                <w:shd w:val="clear" w:color="auto" w:fill="FFFFFF" w:themeFill="background1"/>
              </w:rPr>
              <w:t>Led</w:t>
            </w:r>
            <w:r w:rsidR="00C7080A" w:rsidRPr="002F4BB7">
              <w:rPr>
                <w:rFonts w:asciiTheme="minorHAnsi" w:hAnsiTheme="minorHAnsi" w:cstheme="minorHAnsi"/>
                <w:sz w:val="20"/>
                <w:szCs w:val="20"/>
                <w:shd w:val="clear" w:color="auto" w:fill="FFFFFF" w:themeFill="background1"/>
              </w:rPr>
              <w:t xml:space="preserve"> regular team calls, evaluation management calls with the </w:t>
            </w:r>
            <w:r w:rsidRPr="002F4BB7">
              <w:rPr>
                <w:rFonts w:asciiTheme="minorHAnsi" w:hAnsiTheme="minorHAnsi" w:cstheme="minorHAnsi"/>
                <w:sz w:val="20"/>
                <w:szCs w:val="20"/>
                <w:shd w:val="clear" w:color="auto" w:fill="FFFFFF" w:themeFill="background1"/>
              </w:rPr>
              <w:t xml:space="preserve">Team Leader </w:t>
            </w:r>
            <w:r w:rsidR="002A1620" w:rsidRPr="002F4BB7">
              <w:rPr>
                <w:rFonts w:asciiTheme="minorHAnsi" w:hAnsiTheme="minorHAnsi" w:cstheme="minorHAnsi"/>
                <w:sz w:val="20"/>
                <w:szCs w:val="20"/>
                <w:shd w:val="clear" w:color="auto" w:fill="FFFFFF" w:themeFill="background1"/>
              </w:rPr>
              <w:t xml:space="preserve">and </w:t>
            </w:r>
            <w:r w:rsidRPr="002F4BB7">
              <w:rPr>
                <w:rFonts w:asciiTheme="minorHAnsi" w:hAnsiTheme="minorHAnsi" w:cstheme="minorHAnsi"/>
                <w:sz w:val="20"/>
                <w:szCs w:val="20"/>
                <w:shd w:val="clear" w:color="auto" w:fill="FFFFFF" w:themeFill="background1"/>
              </w:rPr>
              <w:t>Deputy Team Leader</w:t>
            </w:r>
            <w:r w:rsidR="00C7080A" w:rsidRPr="002F4BB7">
              <w:rPr>
                <w:rFonts w:asciiTheme="minorHAnsi" w:hAnsiTheme="minorHAnsi" w:cstheme="minorHAnsi"/>
                <w:sz w:val="20"/>
                <w:szCs w:val="20"/>
                <w:shd w:val="clear" w:color="auto" w:fill="FFFFFF" w:themeFill="background1"/>
              </w:rPr>
              <w:t>, and meetings</w:t>
            </w:r>
            <w:r w:rsidR="002A1620" w:rsidRPr="002F4BB7">
              <w:rPr>
                <w:rFonts w:asciiTheme="minorHAnsi" w:hAnsiTheme="minorHAnsi" w:cstheme="minorHAnsi"/>
                <w:sz w:val="20"/>
                <w:szCs w:val="20"/>
                <w:shd w:val="clear" w:color="auto" w:fill="FFFFFF" w:themeFill="background1"/>
              </w:rPr>
              <w:t>,</w:t>
            </w:r>
            <w:r w:rsidR="00C7080A" w:rsidRPr="002F4BB7">
              <w:rPr>
                <w:rFonts w:asciiTheme="minorHAnsi" w:hAnsiTheme="minorHAnsi" w:cstheme="minorHAnsi"/>
                <w:sz w:val="20"/>
                <w:szCs w:val="20"/>
                <w:shd w:val="clear" w:color="auto" w:fill="FFFFFF" w:themeFill="background1"/>
              </w:rPr>
              <w:t xml:space="preserve"> and ensure</w:t>
            </w:r>
            <w:r w:rsidR="009B56F8" w:rsidRPr="002F4BB7">
              <w:rPr>
                <w:rFonts w:asciiTheme="minorHAnsi" w:hAnsiTheme="minorHAnsi" w:cstheme="minorHAnsi"/>
                <w:sz w:val="20"/>
                <w:szCs w:val="20"/>
                <w:shd w:val="clear" w:color="auto" w:fill="FFFFFF" w:themeFill="background1"/>
              </w:rPr>
              <w:t>d</w:t>
            </w:r>
            <w:r w:rsidR="00C7080A" w:rsidRPr="002F4BB7">
              <w:rPr>
                <w:rFonts w:asciiTheme="minorHAnsi" w:hAnsiTheme="minorHAnsi" w:cstheme="minorHAnsi"/>
                <w:sz w:val="20"/>
                <w:szCs w:val="20"/>
                <w:shd w:val="clear" w:color="auto" w:fill="FFFFFF" w:themeFill="background1"/>
              </w:rPr>
              <w:t xml:space="preserve"> work </w:t>
            </w:r>
            <w:r w:rsidR="009B56F8" w:rsidRPr="002F4BB7">
              <w:rPr>
                <w:rFonts w:asciiTheme="minorHAnsi" w:hAnsiTheme="minorHAnsi" w:cstheme="minorHAnsi"/>
                <w:sz w:val="20"/>
                <w:szCs w:val="20"/>
                <w:shd w:val="clear" w:color="auto" w:fill="FFFFFF" w:themeFill="background1"/>
              </w:rPr>
              <w:t>was</w:t>
            </w:r>
            <w:r w:rsidR="00C7080A" w:rsidRPr="002F4BB7">
              <w:rPr>
                <w:rFonts w:asciiTheme="minorHAnsi" w:hAnsiTheme="minorHAnsi" w:cstheme="minorHAnsi"/>
                <w:sz w:val="20"/>
                <w:szCs w:val="20"/>
                <w:shd w:val="clear" w:color="auto" w:fill="FFFFFF" w:themeFill="background1"/>
              </w:rPr>
              <w:t xml:space="preserve"> delivered against our overall plan. </w:t>
            </w:r>
          </w:p>
          <w:p w14:paraId="05E581DD" w14:textId="4275E796" w:rsidR="002F4BB7" w:rsidRPr="007F63EF" w:rsidRDefault="00A63EE3" w:rsidP="00C6374D">
            <w:pPr>
              <w:pStyle w:val="ItadNormalText"/>
              <w:numPr>
                <w:ilvl w:val="0"/>
                <w:numId w:val="101"/>
              </w:numPr>
              <w:rPr>
                <w:rFonts w:asciiTheme="minorHAnsi" w:hAnsiTheme="minorHAnsi" w:cstheme="minorHAnsi"/>
                <w:color w:val="auto"/>
                <w:sz w:val="20"/>
                <w:szCs w:val="20"/>
                <w:shd w:val="clear" w:color="auto" w:fill="FFFFFF" w:themeFill="background1"/>
              </w:rPr>
            </w:pPr>
            <w:r w:rsidRPr="002F4BB7">
              <w:rPr>
                <w:rFonts w:asciiTheme="minorHAnsi" w:hAnsiTheme="minorHAnsi" w:cstheme="minorHAnsi"/>
                <w:sz w:val="20"/>
                <w:szCs w:val="20"/>
                <w:shd w:val="clear" w:color="auto" w:fill="FFFFFF" w:themeFill="background1"/>
              </w:rPr>
              <w:t>L</w:t>
            </w:r>
            <w:r w:rsidR="002A1620" w:rsidRPr="002F4BB7">
              <w:rPr>
                <w:rFonts w:asciiTheme="minorHAnsi" w:hAnsiTheme="minorHAnsi" w:cstheme="minorHAnsi"/>
                <w:sz w:val="20"/>
                <w:szCs w:val="20"/>
                <w:shd w:val="clear" w:color="auto" w:fill="FFFFFF" w:themeFill="background1"/>
              </w:rPr>
              <w:t xml:space="preserve">ed </w:t>
            </w:r>
            <w:r w:rsidR="00C7080A" w:rsidRPr="002F4BB7">
              <w:rPr>
                <w:rFonts w:asciiTheme="minorHAnsi" w:hAnsiTheme="minorHAnsi" w:cstheme="minorHAnsi"/>
                <w:sz w:val="20"/>
                <w:szCs w:val="20"/>
              </w:rPr>
              <w:t xml:space="preserve">on quarterly and annual reporting to </w:t>
            </w:r>
            <w:r w:rsidRPr="002F4BB7">
              <w:rPr>
                <w:rFonts w:asciiTheme="minorHAnsi" w:hAnsiTheme="minorHAnsi" w:cstheme="minorHAnsi"/>
                <w:sz w:val="20"/>
                <w:szCs w:val="20"/>
              </w:rPr>
              <w:t xml:space="preserve">the </w:t>
            </w:r>
            <w:r w:rsidR="00C7080A" w:rsidRPr="002F4BB7">
              <w:rPr>
                <w:rFonts w:asciiTheme="minorHAnsi" w:hAnsiTheme="minorHAnsi" w:cstheme="minorHAnsi"/>
                <w:sz w:val="20"/>
                <w:szCs w:val="20"/>
              </w:rPr>
              <w:t>DHSC.</w:t>
            </w:r>
          </w:p>
        </w:tc>
      </w:tr>
      <w:tr w:rsidR="00973CD3" w14:paraId="7DB8260A" w14:textId="77777777" w:rsidTr="00563732">
        <w:trPr>
          <w:cnfStyle w:val="000000100000" w:firstRow="0" w:lastRow="0" w:firstColumn="0" w:lastColumn="0" w:oddVBand="0" w:evenVBand="0" w:oddHBand="1" w:evenHBand="0" w:firstRowFirstColumn="0" w:firstRowLastColumn="0" w:lastRowFirstColumn="0" w:lastRowLastColumn="0"/>
          <w:trHeight w:val="633"/>
        </w:trPr>
        <w:tc>
          <w:tcPr>
            <w:tcW w:w="3284" w:type="dxa"/>
            <w:tcBorders>
              <w:top w:val="nil"/>
            </w:tcBorders>
          </w:tcPr>
          <w:p w14:paraId="5DD5A285" w14:textId="40422F72" w:rsidR="00973CD3" w:rsidRPr="00973CD3" w:rsidRDefault="00973CD3">
            <w:pPr>
              <w:pStyle w:val="ItadNormalText"/>
              <w:spacing w:before="0" w:after="0"/>
              <w:rPr>
                <w:rFonts w:asciiTheme="minorHAnsi" w:hAnsiTheme="minorHAnsi" w:cstheme="minorHAnsi"/>
                <w:i/>
                <w:sz w:val="20"/>
                <w:szCs w:val="20"/>
              </w:rPr>
            </w:pPr>
          </w:p>
        </w:tc>
        <w:tc>
          <w:tcPr>
            <w:tcW w:w="6096" w:type="dxa"/>
            <w:tcBorders>
              <w:top w:val="nil"/>
            </w:tcBorders>
          </w:tcPr>
          <w:p w14:paraId="17F3C423" w14:textId="38563254" w:rsidR="00973CD3" w:rsidRPr="007F63EF" w:rsidRDefault="00973CD3">
            <w:pPr>
              <w:pStyle w:val="ItadNormalText"/>
              <w:spacing w:before="0" w:after="0"/>
              <w:rPr>
                <w:rFonts w:asciiTheme="minorHAnsi" w:hAnsiTheme="minorHAnsi" w:cstheme="minorHAnsi"/>
                <w:i/>
                <w:color w:val="auto"/>
                <w:sz w:val="20"/>
                <w:szCs w:val="20"/>
              </w:rPr>
            </w:pPr>
          </w:p>
        </w:tc>
      </w:tr>
      <w:tr w:rsidR="00973CD3" w14:paraId="73337144" w14:textId="77777777" w:rsidTr="00563732">
        <w:trPr>
          <w:cnfStyle w:val="000000010000" w:firstRow="0" w:lastRow="0" w:firstColumn="0" w:lastColumn="0" w:oddVBand="0" w:evenVBand="0" w:oddHBand="0" w:evenHBand="1" w:firstRowFirstColumn="0" w:firstRowLastColumn="0" w:lastRowFirstColumn="0" w:lastRowLastColumn="0"/>
          <w:trHeight w:val="193"/>
        </w:trPr>
        <w:tc>
          <w:tcPr>
            <w:tcW w:w="9380" w:type="dxa"/>
            <w:gridSpan w:val="2"/>
          </w:tcPr>
          <w:p w14:paraId="1F574D0B" w14:textId="07489306" w:rsidR="00973CD3" w:rsidRPr="002F4BB7" w:rsidRDefault="00973CD3" w:rsidP="00973CD3">
            <w:pPr>
              <w:pStyle w:val="ItadNormalText"/>
              <w:spacing w:before="0" w:after="0"/>
              <w:rPr>
                <w:rFonts w:asciiTheme="minorHAnsi" w:hAnsiTheme="minorHAnsi" w:cstheme="minorHAnsi"/>
                <w:i/>
                <w:sz w:val="20"/>
                <w:szCs w:val="20"/>
              </w:rPr>
            </w:pPr>
            <w:r w:rsidRPr="00ED1157">
              <w:rPr>
                <w:rFonts w:asciiTheme="minorHAnsi" w:hAnsiTheme="minorHAnsi" w:cstheme="minorHAnsi"/>
                <w:i/>
                <w:color w:val="auto"/>
                <w:sz w:val="20"/>
                <w:szCs w:val="20"/>
              </w:rPr>
              <w:t>Thematic Leads</w:t>
            </w:r>
          </w:p>
        </w:tc>
      </w:tr>
      <w:tr w:rsidR="00973CD3" w14:paraId="6866A226" w14:textId="77777777" w:rsidTr="00563732">
        <w:trPr>
          <w:cnfStyle w:val="000000100000" w:firstRow="0" w:lastRow="0" w:firstColumn="0" w:lastColumn="0" w:oddVBand="0" w:evenVBand="0" w:oddHBand="1" w:evenHBand="0" w:firstRowFirstColumn="0" w:firstRowLastColumn="0" w:lastRowFirstColumn="0" w:lastRowLastColumn="0"/>
          <w:trHeight w:val="979"/>
        </w:trPr>
        <w:tc>
          <w:tcPr>
            <w:tcW w:w="3284" w:type="dxa"/>
            <w:hideMark/>
          </w:tcPr>
          <w:p w14:paraId="1C9837BC" w14:textId="77777777" w:rsidR="00973CD3" w:rsidRPr="007F63EF" w:rsidRDefault="00973CD3" w:rsidP="00973CD3">
            <w:pPr>
              <w:pStyle w:val="ItadNormalText"/>
              <w:spacing w:after="0"/>
              <w:rPr>
                <w:rFonts w:asciiTheme="minorHAnsi" w:hAnsiTheme="minorHAnsi" w:cstheme="minorBidi"/>
                <w:b/>
                <w:bCs/>
                <w:color w:val="auto"/>
                <w:sz w:val="20"/>
                <w:szCs w:val="20"/>
              </w:rPr>
            </w:pPr>
            <w:r w:rsidRPr="002F4BB7">
              <w:rPr>
                <w:rFonts w:asciiTheme="minorHAnsi" w:hAnsiTheme="minorHAnsi" w:cstheme="minorBidi"/>
                <w:b/>
                <w:bCs/>
                <w:sz w:val="20"/>
                <w:szCs w:val="20"/>
              </w:rPr>
              <w:t>Syed Abbas</w:t>
            </w:r>
          </w:p>
        </w:tc>
        <w:tc>
          <w:tcPr>
            <w:tcW w:w="6096" w:type="dxa"/>
            <w:hideMark/>
          </w:tcPr>
          <w:p w14:paraId="2B01D304" w14:textId="70409230" w:rsidR="00973CD3" w:rsidRPr="007F63EF" w:rsidRDefault="00973CD3" w:rsidP="00973CD3">
            <w:pPr>
              <w:pStyle w:val="ItadNormalText"/>
              <w:rPr>
                <w:rFonts w:asciiTheme="minorHAnsi" w:hAnsiTheme="minorHAnsi" w:cstheme="minorHAnsi"/>
                <w:color w:val="auto"/>
                <w:sz w:val="20"/>
                <w:szCs w:val="20"/>
              </w:rPr>
            </w:pPr>
            <w:r w:rsidRPr="002F4BB7">
              <w:rPr>
                <w:rFonts w:asciiTheme="minorHAnsi" w:hAnsiTheme="minorHAnsi" w:cstheme="minorHAnsi"/>
                <w:b/>
                <w:sz w:val="20"/>
                <w:szCs w:val="20"/>
              </w:rPr>
              <w:t xml:space="preserve">Predicting Change Expert and One Health Expert: </w:t>
            </w:r>
            <w:r w:rsidRPr="002F4BB7">
              <w:rPr>
                <w:rFonts w:asciiTheme="minorHAnsi" w:hAnsiTheme="minorHAnsi" w:cstheme="minorHAnsi"/>
                <w:bCs/>
                <w:sz w:val="20"/>
                <w:szCs w:val="20"/>
              </w:rPr>
              <w:t>Responsible for the delivery of the One Health workstream and undertaking</w:t>
            </w:r>
            <w:r w:rsidRPr="002F4BB7">
              <w:rPr>
                <w:rFonts w:asciiTheme="minorHAnsi" w:hAnsiTheme="minorHAnsi" w:cstheme="minorHAnsi"/>
                <w:sz w:val="20"/>
                <w:szCs w:val="20"/>
              </w:rPr>
              <w:t xml:space="preserve"> a number of country visits as required:</w:t>
            </w:r>
          </w:p>
          <w:p w14:paraId="54C1BDFB" w14:textId="5DDEB0F2" w:rsidR="00973CD3" w:rsidRPr="007F63EF" w:rsidRDefault="00973CD3" w:rsidP="00C6374D">
            <w:pPr>
              <w:pStyle w:val="ItadNormalText"/>
              <w:numPr>
                <w:ilvl w:val="0"/>
                <w:numId w:val="102"/>
              </w:numPr>
              <w:rPr>
                <w:rFonts w:asciiTheme="minorHAnsi" w:hAnsiTheme="minorHAnsi" w:cstheme="minorHAnsi"/>
                <w:b/>
                <w:color w:val="auto"/>
                <w:sz w:val="20"/>
                <w:szCs w:val="20"/>
              </w:rPr>
            </w:pPr>
            <w:r w:rsidRPr="002F4BB7">
              <w:rPr>
                <w:rFonts w:asciiTheme="minorHAnsi" w:hAnsiTheme="minorHAnsi" w:cstheme="minorHAnsi"/>
                <w:sz w:val="20"/>
                <w:szCs w:val="20"/>
              </w:rPr>
              <w:t xml:space="preserve">Fed into the revision of data collection tools; </w:t>
            </w:r>
          </w:p>
          <w:p w14:paraId="731B2B72" w14:textId="4EF6E704" w:rsidR="00973CD3" w:rsidRPr="007F63EF" w:rsidRDefault="00973CD3" w:rsidP="00C6374D">
            <w:pPr>
              <w:pStyle w:val="ItadNormalText"/>
              <w:numPr>
                <w:ilvl w:val="0"/>
                <w:numId w:val="102"/>
              </w:numPr>
              <w:rPr>
                <w:rFonts w:asciiTheme="minorHAnsi" w:hAnsiTheme="minorHAnsi" w:cstheme="minorHAnsi"/>
                <w:b/>
                <w:color w:val="auto"/>
                <w:sz w:val="20"/>
                <w:szCs w:val="20"/>
              </w:rPr>
            </w:pPr>
            <w:r w:rsidRPr="002F4BB7">
              <w:rPr>
                <w:rFonts w:asciiTheme="minorHAnsi" w:hAnsiTheme="minorHAnsi" w:cstheme="minorHAnsi"/>
                <w:sz w:val="20"/>
                <w:szCs w:val="20"/>
              </w:rPr>
              <w:t>Contributed to annual deliverables, team training workshops</w:t>
            </w:r>
            <w:r w:rsidR="00C90FE7">
              <w:rPr>
                <w:rFonts w:asciiTheme="minorHAnsi" w:hAnsiTheme="minorHAnsi" w:cstheme="minorHAnsi"/>
                <w:color w:val="auto"/>
                <w:sz w:val="20"/>
                <w:szCs w:val="20"/>
              </w:rPr>
              <w:t>,</w:t>
            </w:r>
            <w:r w:rsidRPr="002F4BB7">
              <w:rPr>
                <w:rFonts w:asciiTheme="minorHAnsi" w:hAnsiTheme="minorHAnsi" w:cstheme="minorHAnsi"/>
                <w:sz w:val="20"/>
                <w:szCs w:val="20"/>
              </w:rPr>
              <w:t xml:space="preserve"> and analysis workshops; and</w:t>
            </w:r>
            <w:r w:rsidRPr="002F4BB7">
              <w:rPr>
                <w:rFonts w:asciiTheme="minorHAnsi" w:hAnsiTheme="minorHAnsi" w:cstheme="minorHAnsi"/>
                <w:bCs/>
                <w:sz w:val="20"/>
                <w:szCs w:val="20"/>
              </w:rPr>
              <w:t xml:space="preserve"> </w:t>
            </w:r>
          </w:p>
          <w:p w14:paraId="407544A9" w14:textId="56970BB5" w:rsidR="00973CD3" w:rsidRPr="007F63EF" w:rsidRDefault="00973CD3" w:rsidP="00C6374D">
            <w:pPr>
              <w:pStyle w:val="ItadNormalText"/>
              <w:numPr>
                <w:ilvl w:val="0"/>
                <w:numId w:val="102"/>
              </w:numPr>
              <w:rPr>
                <w:rFonts w:asciiTheme="minorHAnsi" w:hAnsiTheme="minorHAnsi" w:cstheme="minorHAnsi"/>
                <w:b/>
                <w:color w:val="auto"/>
                <w:sz w:val="20"/>
                <w:szCs w:val="20"/>
              </w:rPr>
            </w:pPr>
            <w:r w:rsidRPr="002F4BB7">
              <w:rPr>
                <w:rFonts w:asciiTheme="minorHAnsi" w:hAnsiTheme="minorHAnsi" w:cstheme="minorHAnsi"/>
                <w:bCs/>
                <w:sz w:val="20"/>
                <w:szCs w:val="20"/>
              </w:rPr>
              <w:t>C</w:t>
            </w:r>
            <w:r w:rsidRPr="002F4BB7">
              <w:rPr>
                <w:rFonts w:cstheme="minorHAnsi"/>
                <w:bCs/>
                <w:sz w:val="20"/>
                <w:szCs w:val="20"/>
              </w:rPr>
              <w:t xml:space="preserve">ontributed to L&amp;D as requested. </w:t>
            </w:r>
          </w:p>
          <w:p w14:paraId="169EE291" w14:textId="59C99B9A" w:rsidR="00973CD3" w:rsidRPr="007F63EF" w:rsidRDefault="00973CD3" w:rsidP="00C6374D">
            <w:pPr>
              <w:pStyle w:val="ItadNormalText"/>
              <w:numPr>
                <w:ilvl w:val="0"/>
                <w:numId w:val="102"/>
              </w:numPr>
              <w:rPr>
                <w:rFonts w:asciiTheme="minorHAnsi" w:hAnsiTheme="minorHAnsi" w:cstheme="minorHAnsi"/>
                <w:b/>
                <w:color w:val="auto"/>
                <w:sz w:val="20"/>
                <w:szCs w:val="20"/>
              </w:rPr>
            </w:pPr>
            <w:r w:rsidRPr="002F4BB7">
              <w:rPr>
                <w:rFonts w:cstheme="minorHAnsi"/>
                <w:bCs/>
                <w:sz w:val="20"/>
                <w:szCs w:val="20"/>
              </w:rPr>
              <w:t>Attended regular team calls and provided regular updates on the One Health workstream.</w:t>
            </w:r>
          </w:p>
        </w:tc>
      </w:tr>
      <w:tr w:rsidR="00973CD3" w14:paraId="59351494" w14:textId="77777777" w:rsidTr="00563732">
        <w:trPr>
          <w:cnfStyle w:val="000000010000" w:firstRow="0" w:lastRow="0" w:firstColumn="0" w:lastColumn="0" w:oddVBand="0" w:evenVBand="0" w:oddHBand="0" w:evenHBand="1" w:firstRowFirstColumn="0" w:firstRowLastColumn="0" w:lastRowFirstColumn="0" w:lastRowLastColumn="0"/>
          <w:trHeight w:val="1281"/>
        </w:trPr>
        <w:tc>
          <w:tcPr>
            <w:tcW w:w="3284" w:type="dxa"/>
          </w:tcPr>
          <w:p w14:paraId="446784F7" w14:textId="77777777" w:rsidR="00973CD3" w:rsidRPr="007F63EF" w:rsidRDefault="00973CD3" w:rsidP="00973CD3">
            <w:pPr>
              <w:pStyle w:val="ItadNormalText"/>
              <w:spacing w:after="0"/>
              <w:rPr>
                <w:rFonts w:asciiTheme="minorHAnsi" w:hAnsiTheme="minorHAnsi" w:cstheme="minorHAnsi"/>
                <w:color w:val="auto"/>
                <w:sz w:val="20"/>
                <w:szCs w:val="20"/>
                <w:u w:val="single"/>
              </w:rPr>
            </w:pPr>
            <w:r w:rsidRPr="002F4BB7">
              <w:rPr>
                <w:rFonts w:asciiTheme="minorHAnsi" w:hAnsiTheme="minorHAnsi" w:cstheme="minorHAnsi"/>
                <w:b/>
                <w:sz w:val="20"/>
                <w:szCs w:val="20"/>
                <w:lang w:val="fr-FR"/>
              </w:rPr>
              <w:t xml:space="preserve">Jennifer Armitage </w:t>
            </w:r>
          </w:p>
          <w:p w14:paraId="5264C68E" w14:textId="77777777" w:rsidR="00973CD3" w:rsidRPr="007F63EF" w:rsidRDefault="00973CD3" w:rsidP="00973CD3">
            <w:pPr>
              <w:pStyle w:val="ItadNormalText"/>
              <w:rPr>
                <w:rFonts w:asciiTheme="minorHAnsi" w:hAnsiTheme="minorHAnsi" w:cstheme="minorHAnsi"/>
                <w:color w:val="auto"/>
                <w:sz w:val="20"/>
                <w:szCs w:val="20"/>
                <w:u w:val="single"/>
              </w:rPr>
            </w:pPr>
          </w:p>
        </w:tc>
        <w:tc>
          <w:tcPr>
            <w:tcW w:w="6096" w:type="dxa"/>
            <w:hideMark/>
          </w:tcPr>
          <w:p w14:paraId="04E7E5D1" w14:textId="13C109DA" w:rsidR="00973CD3" w:rsidRPr="007F63EF" w:rsidRDefault="00973CD3" w:rsidP="00973CD3">
            <w:pPr>
              <w:pStyle w:val="ItadNormalText"/>
              <w:rPr>
                <w:rFonts w:asciiTheme="minorHAnsi" w:hAnsiTheme="minorHAnsi" w:cstheme="minorHAnsi"/>
                <w:bCs/>
                <w:color w:val="auto"/>
                <w:sz w:val="20"/>
                <w:szCs w:val="20"/>
              </w:rPr>
            </w:pPr>
            <w:r w:rsidRPr="002F4BB7">
              <w:rPr>
                <w:rFonts w:asciiTheme="minorHAnsi" w:hAnsiTheme="minorHAnsi" w:cstheme="minorHAnsi"/>
                <w:b/>
                <w:sz w:val="20"/>
                <w:szCs w:val="20"/>
              </w:rPr>
              <w:t xml:space="preserve">VfM Lead: </w:t>
            </w:r>
            <w:r w:rsidRPr="002F4BB7">
              <w:rPr>
                <w:rFonts w:asciiTheme="minorHAnsi" w:hAnsiTheme="minorHAnsi" w:cstheme="minorHAnsi"/>
                <w:bCs/>
                <w:sz w:val="20"/>
                <w:szCs w:val="20"/>
              </w:rPr>
              <w:t xml:space="preserve">Responsible for the delivery of this workstream: </w:t>
            </w:r>
          </w:p>
          <w:p w14:paraId="7B8620E9" w14:textId="46230CF8" w:rsidR="00973CD3" w:rsidRPr="007F63EF" w:rsidRDefault="00973CD3" w:rsidP="00C6374D">
            <w:pPr>
              <w:pStyle w:val="ItadNormalText"/>
              <w:numPr>
                <w:ilvl w:val="0"/>
                <w:numId w:val="103"/>
              </w:numPr>
              <w:rPr>
                <w:rFonts w:asciiTheme="minorHAnsi" w:hAnsiTheme="minorHAnsi" w:cstheme="minorHAnsi"/>
                <w:color w:val="auto"/>
                <w:sz w:val="20"/>
                <w:szCs w:val="20"/>
              </w:rPr>
            </w:pPr>
            <w:r w:rsidRPr="002F4BB7">
              <w:rPr>
                <w:rFonts w:asciiTheme="minorHAnsi" w:hAnsiTheme="minorHAnsi" w:cstheme="minorHAnsi"/>
                <w:sz w:val="20"/>
                <w:szCs w:val="20"/>
              </w:rPr>
              <w:t xml:space="preserve">Led on the development of the VfM approach and fed into the revision of data collection tools, training team members in relevant aspects of VfM and inputs into relevant deliverables; </w:t>
            </w:r>
          </w:p>
          <w:p w14:paraId="2211B9C3" w14:textId="7590CC34" w:rsidR="00973CD3" w:rsidRPr="007F63EF" w:rsidRDefault="00973CD3" w:rsidP="00C6374D">
            <w:pPr>
              <w:pStyle w:val="ItadNormalText"/>
              <w:numPr>
                <w:ilvl w:val="0"/>
                <w:numId w:val="103"/>
              </w:numPr>
              <w:rPr>
                <w:rFonts w:asciiTheme="minorHAnsi" w:hAnsiTheme="minorHAnsi" w:cstheme="minorHAnsi"/>
                <w:color w:val="auto"/>
                <w:sz w:val="20"/>
                <w:szCs w:val="20"/>
              </w:rPr>
            </w:pPr>
            <w:r w:rsidRPr="002F4BB7">
              <w:rPr>
                <w:rFonts w:asciiTheme="minorHAnsi" w:hAnsiTheme="minorHAnsi" w:cstheme="minorHAnsi"/>
                <w:sz w:val="20"/>
                <w:szCs w:val="20"/>
              </w:rPr>
              <w:t>Contributed to annual deliverables, team training workshops</w:t>
            </w:r>
            <w:r w:rsidR="00C90FE7">
              <w:rPr>
                <w:rFonts w:asciiTheme="minorHAnsi" w:hAnsiTheme="minorHAnsi" w:cstheme="minorHAnsi"/>
                <w:color w:val="auto"/>
                <w:sz w:val="20"/>
                <w:szCs w:val="20"/>
              </w:rPr>
              <w:t>,</w:t>
            </w:r>
            <w:r w:rsidRPr="002F4BB7">
              <w:rPr>
                <w:rFonts w:asciiTheme="minorHAnsi" w:hAnsiTheme="minorHAnsi" w:cstheme="minorHAnsi"/>
                <w:sz w:val="20"/>
                <w:szCs w:val="20"/>
              </w:rPr>
              <w:t xml:space="preserve"> and analysis workshops; </w:t>
            </w:r>
          </w:p>
          <w:p w14:paraId="68BE8DF7" w14:textId="586EAF12" w:rsidR="00973CD3" w:rsidRPr="007F63EF" w:rsidRDefault="00973CD3" w:rsidP="00C6374D">
            <w:pPr>
              <w:pStyle w:val="ItadNormalText"/>
              <w:numPr>
                <w:ilvl w:val="0"/>
                <w:numId w:val="103"/>
              </w:numPr>
              <w:rPr>
                <w:rFonts w:asciiTheme="minorHAnsi" w:hAnsiTheme="minorHAnsi" w:cstheme="minorHAnsi"/>
                <w:color w:val="auto"/>
                <w:sz w:val="20"/>
                <w:szCs w:val="20"/>
              </w:rPr>
            </w:pPr>
            <w:r w:rsidRPr="002F4BB7">
              <w:rPr>
                <w:rFonts w:asciiTheme="minorHAnsi" w:hAnsiTheme="minorHAnsi" w:cstheme="minorHAnsi"/>
                <w:sz w:val="20"/>
                <w:szCs w:val="20"/>
              </w:rPr>
              <w:t>C</w:t>
            </w:r>
            <w:r w:rsidRPr="002F4BB7">
              <w:rPr>
                <w:rFonts w:asciiTheme="minorHAnsi" w:hAnsiTheme="minorHAnsi" w:cstheme="minorHAnsi"/>
                <w:bCs/>
                <w:sz w:val="20"/>
                <w:szCs w:val="20"/>
              </w:rPr>
              <w:t>onducted global KIIs and c</w:t>
            </w:r>
            <w:r w:rsidRPr="002F4BB7">
              <w:rPr>
                <w:rFonts w:cstheme="minorHAnsi"/>
                <w:bCs/>
                <w:sz w:val="20"/>
                <w:szCs w:val="20"/>
              </w:rPr>
              <w:t xml:space="preserve">ontributed to L&amp;D as requested. </w:t>
            </w:r>
          </w:p>
          <w:p w14:paraId="7F2212B8" w14:textId="5FC15A9B" w:rsidR="00973CD3" w:rsidRPr="007F63EF" w:rsidRDefault="00973CD3" w:rsidP="00C6374D">
            <w:pPr>
              <w:pStyle w:val="ItadNormalText"/>
              <w:numPr>
                <w:ilvl w:val="0"/>
                <w:numId w:val="103"/>
              </w:numPr>
              <w:rPr>
                <w:rFonts w:asciiTheme="minorHAnsi" w:hAnsiTheme="minorHAnsi" w:cstheme="minorHAnsi"/>
                <w:color w:val="auto"/>
                <w:sz w:val="20"/>
                <w:szCs w:val="20"/>
              </w:rPr>
            </w:pPr>
            <w:r w:rsidRPr="002F4BB7">
              <w:rPr>
                <w:rFonts w:cstheme="minorHAnsi"/>
                <w:bCs/>
                <w:sz w:val="20"/>
                <w:szCs w:val="20"/>
              </w:rPr>
              <w:t>Attended regular team calls and provided regular updates on the VfM workstream.</w:t>
            </w:r>
          </w:p>
        </w:tc>
      </w:tr>
      <w:tr w:rsidR="00973CD3" w14:paraId="7BA999B3" w14:textId="77777777" w:rsidTr="00563732">
        <w:trPr>
          <w:cnfStyle w:val="000000100000" w:firstRow="0" w:lastRow="0" w:firstColumn="0" w:lastColumn="0" w:oddVBand="0" w:evenVBand="0" w:oddHBand="1" w:evenHBand="0" w:firstRowFirstColumn="0" w:firstRowLastColumn="0" w:lastRowFirstColumn="0" w:lastRowLastColumn="0"/>
          <w:trHeight w:val="471"/>
        </w:trPr>
        <w:tc>
          <w:tcPr>
            <w:tcW w:w="3284" w:type="dxa"/>
            <w:hideMark/>
          </w:tcPr>
          <w:p w14:paraId="646355CB" w14:textId="77777777" w:rsidR="00973CD3" w:rsidRPr="007F63EF" w:rsidRDefault="00973CD3" w:rsidP="00973CD3">
            <w:pPr>
              <w:pStyle w:val="ItadNormalText"/>
              <w:rPr>
                <w:rFonts w:asciiTheme="minorHAnsi" w:hAnsiTheme="minorHAnsi" w:cstheme="minorHAnsi"/>
                <w:b/>
                <w:color w:val="auto"/>
                <w:sz w:val="20"/>
                <w:szCs w:val="20"/>
                <w:lang w:val="fr-FR"/>
              </w:rPr>
            </w:pPr>
            <w:r w:rsidRPr="002F4BB7">
              <w:rPr>
                <w:rFonts w:asciiTheme="minorHAnsi" w:hAnsiTheme="minorHAnsi" w:cstheme="minorHAnsi"/>
                <w:b/>
                <w:sz w:val="20"/>
                <w:szCs w:val="20"/>
                <w:lang w:val="fr-FR"/>
              </w:rPr>
              <w:t>Ankur Gupta-Wright</w:t>
            </w:r>
          </w:p>
        </w:tc>
        <w:tc>
          <w:tcPr>
            <w:tcW w:w="6096" w:type="dxa"/>
            <w:hideMark/>
          </w:tcPr>
          <w:p w14:paraId="01D857C3" w14:textId="1C97D663" w:rsidR="00973CD3" w:rsidRPr="007F63EF" w:rsidRDefault="00973CD3" w:rsidP="00973CD3">
            <w:pPr>
              <w:pStyle w:val="ItadNormalText"/>
              <w:rPr>
                <w:rFonts w:asciiTheme="minorHAnsi" w:hAnsiTheme="minorHAnsi" w:cstheme="minorHAnsi"/>
                <w:color w:val="auto"/>
                <w:sz w:val="20"/>
                <w:szCs w:val="20"/>
              </w:rPr>
            </w:pPr>
            <w:r w:rsidRPr="002F4BB7">
              <w:rPr>
                <w:rFonts w:asciiTheme="minorHAnsi" w:hAnsiTheme="minorHAnsi" w:cstheme="minorHAnsi"/>
                <w:b/>
                <w:sz w:val="20"/>
                <w:szCs w:val="20"/>
              </w:rPr>
              <w:t xml:space="preserve">Quality Lead: </w:t>
            </w:r>
            <w:r w:rsidRPr="002F4BB7">
              <w:rPr>
                <w:rFonts w:asciiTheme="minorHAnsi" w:hAnsiTheme="minorHAnsi" w:cstheme="minorHAnsi"/>
                <w:bCs/>
                <w:sz w:val="20"/>
                <w:szCs w:val="20"/>
              </w:rPr>
              <w:t xml:space="preserve">Responsible for the delivery of the Quality workstream and leading </w:t>
            </w:r>
            <w:r w:rsidRPr="002F4BB7">
              <w:rPr>
                <w:rFonts w:asciiTheme="minorHAnsi" w:hAnsiTheme="minorHAnsi" w:cstheme="minorHAnsi"/>
                <w:sz w:val="20"/>
                <w:szCs w:val="20"/>
              </w:rPr>
              <w:t xml:space="preserve">the development of the Quality approach and feeding into the revision of data collection tools, training team members in relevant aspects of Quality and inputting into relevant deliverables: </w:t>
            </w:r>
          </w:p>
          <w:p w14:paraId="3780385C" w14:textId="74764112" w:rsidR="00973CD3" w:rsidRPr="007F63EF" w:rsidRDefault="00973CD3" w:rsidP="00C6374D">
            <w:pPr>
              <w:pStyle w:val="ItadNormalText"/>
              <w:numPr>
                <w:ilvl w:val="0"/>
                <w:numId w:val="104"/>
              </w:numPr>
              <w:rPr>
                <w:rFonts w:asciiTheme="minorHAnsi" w:hAnsiTheme="minorHAnsi" w:cstheme="minorHAnsi"/>
                <w:color w:val="auto"/>
                <w:sz w:val="20"/>
                <w:szCs w:val="20"/>
              </w:rPr>
            </w:pPr>
            <w:r w:rsidRPr="002F4BB7">
              <w:rPr>
                <w:rFonts w:asciiTheme="minorHAnsi" w:hAnsiTheme="minorHAnsi" w:cstheme="minorHAnsi"/>
                <w:sz w:val="20"/>
                <w:szCs w:val="20"/>
              </w:rPr>
              <w:t xml:space="preserve">Contributed to annual deliverables, team training workshops and analysis workshops. </w:t>
            </w:r>
          </w:p>
          <w:p w14:paraId="2454046B" w14:textId="1E9046B7" w:rsidR="00973CD3" w:rsidRPr="007F63EF" w:rsidRDefault="00973CD3" w:rsidP="00C6374D">
            <w:pPr>
              <w:pStyle w:val="ItadNormalText"/>
              <w:numPr>
                <w:ilvl w:val="0"/>
                <w:numId w:val="104"/>
              </w:numPr>
              <w:rPr>
                <w:rFonts w:asciiTheme="minorHAnsi" w:hAnsiTheme="minorHAnsi" w:cstheme="minorHAnsi"/>
                <w:color w:val="auto"/>
                <w:sz w:val="20"/>
                <w:szCs w:val="20"/>
              </w:rPr>
            </w:pPr>
            <w:r w:rsidRPr="002F4BB7">
              <w:rPr>
                <w:rFonts w:asciiTheme="minorHAnsi" w:hAnsiTheme="minorHAnsi" w:cstheme="minorHAnsi"/>
                <w:sz w:val="20"/>
                <w:szCs w:val="20"/>
              </w:rPr>
              <w:t>C</w:t>
            </w:r>
            <w:r w:rsidRPr="002F4BB7">
              <w:rPr>
                <w:rFonts w:asciiTheme="minorHAnsi" w:hAnsiTheme="minorHAnsi" w:cstheme="minorHAnsi"/>
                <w:bCs/>
                <w:sz w:val="20"/>
                <w:szCs w:val="20"/>
              </w:rPr>
              <w:t>onducted global KIIs and c</w:t>
            </w:r>
            <w:r w:rsidRPr="002F4BB7">
              <w:rPr>
                <w:rFonts w:cstheme="minorHAnsi"/>
                <w:bCs/>
                <w:sz w:val="20"/>
                <w:szCs w:val="20"/>
              </w:rPr>
              <w:t xml:space="preserve">ontributed to L&amp;D as requested. </w:t>
            </w:r>
          </w:p>
          <w:p w14:paraId="51DF3964" w14:textId="0E1B546A" w:rsidR="00973CD3" w:rsidRPr="007F63EF" w:rsidRDefault="00973CD3" w:rsidP="00C6374D">
            <w:pPr>
              <w:pStyle w:val="ItadNormalText"/>
              <w:numPr>
                <w:ilvl w:val="0"/>
                <w:numId w:val="104"/>
              </w:numPr>
              <w:rPr>
                <w:rFonts w:asciiTheme="minorHAnsi" w:hAnsiTheme="minorHAnsi" w:cstheme="minorHAnsi"/>
                <w:color w:val="auto"/>
                <w:sz w:val="20"/>
                <w:szCs w:val="20"/>
              </w:rPr>
            </w:pPr>
            <w:r w:rsidRPr="002F4BB7">
              <w:rPr>
                <w:rFonts w:cstheme="minorHAnsi"/>
                <w:bCs/>
                <w:sz w:val="20"/>
                <w:szCs w:val="20"/>
              </w:rPr>
              <w:t>Attended regular team calls and provided regular updates on your workstream.</w:t>
            </w:r>
          </w:p>
        </w:tc>
      </w:tr>
      <w:tr w:rsidR="00973CD3" w14:paraId="6D7C52C6" w14:textId="77777777" w:rsidTr="00563732">
        <w:trPr>
          <w:cnfStyle w:val="000000010000" w:firstRow="0" w:lastRow="0" w:firstColumn="0" w:lastColumn="0" w:oddVBand="0" w:evenVBand="0" w:oddHBand="0" w:evenHBand="1" w:firstRowFirstColumn="0" w:firstRowLastColumn="0" w:lastRowFirstColumn="0" w:lastRowLastColumn="0"/>
          <w:trHeight w:val="471"/>
        </w:trPr>
        <w:tc>
          <w:tcPr>
            <w:tcW w:w="3284" w:type="dxa"/>
            <w:hideMark/>
          </w:tcPr>
          <w:p w14:paraId="347A6934" w14:textId="77777777" w:rsidR="00973CD3" w:rsidRPr="007F63EF" w:rsidRDefault="00973CD3" w:rsidP="00973CD3">
            <w:pPr>
              <w:pStyle w:val="ItadNormalText"/>
              <w:rPr>
                <w:rFonts w:asciiTheme="minorHAnsi" w:hAnsiTheme="minorHAnsi" w:cstheme="minorHAnsi"/>
                <w:b/>
                <w:color w:val="auto"/>
                <w:sz w:val="20"/>
                <w:szCs w:val="20"/>
                <w:lang w:val="fr-FR"/>
              </w:rPr>
            </w:pPr>
            <w:r w:rsidRPr="002F4BB7">
              <w:rPr>
                <w:rFonts w:asciiTheme="minorHAnsi" w:hAnsiTheme="minorHAnsi" w:cstheme="minorHAnsi"/>
                <w:b/>
                <w:sz w:val="20"/>
                <w:szCs w:val="20"/>
                <w:lang w:val="fr-FR"/>
              </w:rPr>
              <w:t>Archie Drake</w:t>
            </w:r>
          </w:p>
        </w:tc>
        <w:tc>
          <w:tcPr>
            <w:tcW w:w="6096" w:type="dxa"/>
            <w:hideMark/>
          </w:tcPr>
          <w:p w14:paraId="6A99C6B7" w14:textId="4DD2DBDD" w:rsidR="00973CD3" w:rsidRPr="007F63EF" w:rsidRDefault="00973CD3" w:rsidP="00973CD3">
            <w:pPr>
              <w:pStyle w:val="ItadNormalText"/>
              <w:rPr>
                <w:rFonts w:asciiTheme="minorHAnsi" w:hAnsiTheme="minorHAnsi" w:cstheme="minorHAnsi"/>
                <w:color w:val="auto"/>
                <w:sz w:val="20"/>
                <w:szCs w:val="20"/>
              </w:rPr>
            </w:pPr>
            <w:r w:rsidRPr="002F4BB7">
              <w:rPr>
                <w:rFonts w:asciiTheme="minorHAnsi" w:hAnsiTheme="minorHAnsi" w:cstheme="minorHAnsi"/>
                <w:b/>
                <w:sz w:val="20"/>
                <w:szCs w:val="20"/>
              </w:rPr>
              <w:t xml:space="preserve">USE Lead: </w:t>
            </w:r>
            <w:r w:rsidRPr="002F4BB7">
              <w:rPr>
                <w:rFonts w:asciiTheme="minorHAnsi" w:hAnsiTheme="minorHAnsi" w:cstheme="minorHAnsi"/>
                <w:bCs/>
                <w:sz w:val="20"/>
                <w:szCs w:val="20"/>
              </w:rPr>
              <w:t xml:space="preserve">Responsible for the delivery of this workstream. </w:t>
            </w:r>
            <w:r w:rsidRPr="002F4BB7">
              <w:rPr>
                <w:rFonts w:asciiTheme="minorHAnsi" w:hAnsiTheme="minorHAnsi" w:cstheme="minorHAnsi"/>
                <w:sz w:val="20"/>
                <w:szCs w:val="20"/>
              </w:rPr>
              <w:t>Led the development of the USE approach and fed into the revision of data collection tools, training team members in relevant aspects of USE and inputt</w:t>
            </w:r>
            <w:r w:rsidR="00C90FE7">
              <w:rPr>
                <w:rFonts w:asciiTheme="minorHAnsi" w:hAnsiTheme="minorHAnsi" w:cstheme="minorHAnsi"/>
                <w:color w:val="auto"/>
                <w:sz w:val="20"/>
                <w:szCs w:val="20"/>
              </w:rPr>
              <w:t>ing</w:t>
            </w:r>
            <w:r w:rsidRPr="002F4BB7">
              <w:rPr>
                <w:rFonts w:asciiTheme="minorHAnsi" w:hAnsiTheme="minorHAnsi" w:cstheme="minorHAnsi"/>
                <w:sz w:val="20"/>
                <w:szCs w:val="20"/>
              </w:rPr>
              <w:t xml:space="preserve"> into relevant deliverables: </w:t>
            </w:r>
          </w:p>
          <w:p w14:paraId="529175DF" w14:textId="5A3B064C" w:rsidR="00973CD3" w:rsidRPr="007F63EF" w:rsidRDefault="00973CD3" w:rsidP="00C6374D">
            <w:pPr>
              <w:pStyle w:val="ItadNormalText"/>
              <w:numPr>
                <w:ilvl w:val="0"/>
                <w:numId w:val="105"/>
              </w:numPr>
              <w:rPr>
                <w:rFonts w:asciiTheme="minorHAnsi" w:hAnsiTheme="minorHAnsi" w:cstheme="minorHAnsi"/>
                <w:color w:val="auto"/>
                <w:sz w:val="20"/>
                <w:szCs w:val="20"/>
              </w:rPr>
            </w:pPr>
            <w:r w:rsidRPr="002F4BB7">
              <w:rPr>
                <w:rFonts w:asciiTheme="minorHAnsi" w:hAnsiTheme="minorHAnsi" w:cstheme="minorHAnsi"/>
                <w:sz w:val="20"/>
                <w:szCs w:val="20"/>
              </w:rPr>
              <w:t>Contributed to annual deliverables, team training workshops and analysis workshops;</w:t>
            </w:r>
          </w:p>
          <w:p w14:paraId="3B010F67" w14:textId="1A31A3F6" w:rsidR="00973CD3" w:rsidRPr="007F63EF" w:rsidRDefault="00973CD3" w:rsidP="00C6374D">
            <w:pPr>
              <w:pStyle w:val="ItadNormalText"/>
              <w:numPr>
                <w:ilvl w:val="0"/>
                <w:numId w:val="105"/>
              </w:numPr>
              <w:rPr>
                <w:rFonts w:asciiTheme="minorHAnsi" w:hAnsiTheme="minorHAnsi" w:cstheme="minorHAnsi"/>
                <w:color w:val="auto"/>
                <w:sz w:val="20"/>
                <w:szCs w:val="20"/>
              </w:rPr>
            </w:pPr>
            <w:r w:rsidRPr="002F4BB7">
              <w:rPr>
                <w:rFonts w:asciiTheme="minorHAnsi" w:hAnsiTheme="minorHAnsi" w:cstheme="minorHAnsi"/>
                <w:sz w:val="20"/>
                <w:szCs w:val="20"/>
              </w:rPr>
              <w:t>C</w:t>
            </w:r>
            <w:r w:rsidRPr="002F4BB7">
              <w:rPr>
                <w:rFonts w:asciiTheme="minorHAnsi" w:hAnsiTheme="minorHAnsi" w:cstheme="minorHAnsi"/>
                <w:bCs/>
                <w:sz w:val="20"/>
                <w:szCs w:val="20"/>
              </w:rPr>
              <w:t>onducted global KIIs and c</w:t>
            </w:r>
            <w:r w:rsidRPr="002F4BB7">
              <w:rPr>
                <w:rFonts w:cstheme="minorHAnsi"/>
                <w:bCs/>
                <w:sz w:val="20"/>
                <w:szCs w:val="20"/>
              </w:rPr>
              <w:t>ontributed to L&amp;D as requested;</w:t>
            </w:r>
          </w:p>
          <w:p w14:paraId="5722CF6C" w14:textId="4771F45A" w:rsidR="00973CD3" w:rsidRPr="007F63EF" w:rsidRDefault="00973CD3" w:rsidP="00C6374D">
            <w:pPr>
              <w:pStyle w:val="ItadNormalText"/>
              <w:numPr>
                <w:ilvl w:val="0"/>
                <w:numId w:val="105"/>
              </w:numPr>
              <w:rPr>
                <w:rFonts w:asciiTheme="minorHAnsi" w:hAnsiTheme="minorHAnsi" w:cstheme="minorHAnsi"/>
                <w:color w:val="auto"/>
                <w:sz w:val="20"/>
                <w:szCs w:val="20"/>
              </w:rPr>
            </w:pPr>
            <w:r w:rsidRPr="002F4BB7">
              <w:rPr>
                <w:rFonts w:cstheme="minorHAnsi"/>
                <w:bCs/>
                <w:sz w:val="20"/>
                <w:szCs w:val="20"/>
              </w:rPr>
              <w:t>Attended regular team calls and provided regular updates on the Quality workstream.</w:t>
            </w:r>
          </w:p>
        </w:tc>
      </w:tr>
      <w:tr w:rsidR="00973CD3" w14:paraId="51BD0773" w14:textId="77777777" w:rsidTr="00563732">
        <w:trPr>
          <w:cnfStyle w:val="000000100000" w:firstRow="0" w:lastRow="0" w:firstColumn="0" w:lastColumn="0" w:oddVBand="0" w:evenVBand="0" w:oddHBand="1" w:evenHBand="0" w:firstRowFirstColumn="0" w:firstRowLastColumn="0" w:lastRowFirstColumn="0" w:lastRowLastColumn="0"/>
          <w:trHeight w:val="773"/>
        </w:trPr>
        <w:tc>
          <w:tcPr>
            <w:tcW w:w="3284" w:type="dxa"/>
          </w:tcPr>
          <w:p w14:paraId="55806F63" w14:textId="77777777" w:rsidR="00973CD3" w:rsidRPr="007F63EF" w:rsidRDefault="00973CD3" w:rsidP="00973CD3">
            <w:pPr>
              <w:pStyle w:val="ItadNormalText"/>
              <w:spacing w:after="0"/>
              <w:rPr>
                <w:rFonts w:asciiTheme="minorHAnsi" w:hAnsiTheme="minorHAnsi" w:cstheme="minorHAnsi"/>
                <w:b/>
                <w:color w:val="auto"/>
                <w:sz w:val="20"/>
                <w:szCs w:val="20"/>
              </w:rPr>
            </w:pPr>
            <w:r w:rsidRPr="002F4BB7">
              <w:rPr>
                <w:rFonts w:asciiTheme="minorHAnsi" w:hAnsiTheme="minorHAnsi" w:cstheme="minorHAnsi"/>
                <w:b/>
                <w:sz w:val="20"/>
                <w:szCs w:val="20"/>
              </w:rPr>
              <w:t>Cheryl Brown</w:t>
            </w:r>
          </w:p>
          <w:p w14:paraId="3B3E13BD" w14:textId="77777777" w:rsidR="00973CD3" w:rsidRPr="007F63EF" w:rsidRDefault="00973CD3" w:rsidP="00973CD3">
            <w:pPr>
              <w:pStyle w:val="ItadNormalText"/>
              <w:spacing w:before="0"/>
              <w:rPr>
                <w:rFonts w:asciiTheme="minorHAnsi" w:hAnsiTheme="minorHAnsi" w:cstheme="minorHAnsi"/>
                <w:b/>
                <w:color w:val="auto"/>
                <w:sz w:val="20"/>
                <w:szCs w:val="20"/>
              </w:rPr>
            </w:pPr>
          </w:p>
        </w:tc>
        <w:tc>
          <w:tcPr>
            <w:tcW w:w="6096" w:type="dxa"/>
            <w:hideMark/>
          </w:tcPr>
          <w:p w14:paraId="57880D47" w14:textId="42DE3D71" w:rsidR="00973CD3" w:rsidRPr="007F63EF" w:rsidRDefault="00973CD3" w:rsidP="00973CD3">
            <w:pPr>
              <w:pStyle w:val="ItadNormalText"/>
              <w:rPr>
                <w:rFonts w:asciiTheme="minorHAnsi" w:hAnsiTheme="minorHAnsi" w:cstheme="minorHAnsi"/>
                <w:color w:val="auto"/>
                <w:sz w:val="20"/>
                <w:szCs w:val="20"/>
              </w:rPr>
            </w:pPr>
            <w:r w:rsidRPr="002F4BB7">
              <w:rPr>
                <w:rFonts w:asciiTheme="minorHAnsi" w:hAnsiTheme="minorHAnsi" w:cstheme="minorHAnsi"/>
                <w:b/>
                <w:sz w:val="20"/>
                <w:szCs w:val="20"/>
              </w:rPr>
              <w:t xml:space="preserve">Learning and Dissemination (L&amp;D) Lead: </w:t>
            </w:r>
            <w:r w:rsidRPr="002F4BB7">
              <w:rPr>
                <w:rFonts w:asciiTheme="minorHAnsi" w:hAnsiTheme="minorHAnsi" w:cstheme="minorHAnsi"/>
                <w:bCs/>
                <w:sz w:val="20"/>
                <w:szCs w:val="20"/>
              </w:rPr>
              <w:t>Responsible for the delivery of L&amp;D.</w:t>
            </w:r>
            <w:r w:rsidRPr="002F4BB7">
              <w:rPr>
                <w:rFonts w:asciiTheme="minorHAnsi" w:hAnsiTheme="minorHAnsi" w:cstheme="minorHAnsi"/>
                <w:b/>
                <w:sz w:val="20"/>
                <w:szCs w:val="20"/>
              </w:rPr>
              <w:t xml:space="preserve"> </w:t>
            </w:r>
            <w:r w:rsidRPr="002F4BB7">
              <w:rPr>
                <w:rFonts w:asciiTheme="minorHAnsi" w:hAnsiTheme="minorHAnsi" w:cstheme="minorHAnsi"/>
                <w:sz w:val="20"/>
                <w:szCs w:val="20"/>
              </w:rPr>
              <w:t>Lead on learning and dissemination activities, engagement with the MA and DHSC for learning purposes</w:t>
            </w:r>
            <w:r w:rsidR="00C90FE7">
              <w:rPr>
                <w:rFonts w:asciiTheme="minorHAnsi" w:hAnsiTheme="minorHAnsi" w:cstheme="minorHAnsi"/>
                <w:color w:val="auto"/>
                <w:sz w:val="20"/>
                <w:szCs w:val="20"/>
              </w:rPr>
              <w:t>,</w:t>
            </w:r>
            <w:r w:rsidRPr="002F4BB7">
              <w:rPr>
                <w:rFonts w:asciiTheme="minorHAnsi" w:hAnsiTheme="minorHAnsi" w:cstheme="minorHAnsi"/>
                <w:sz w:val="20"/>
                <w:szCs w:val="20"/>
              </w:rPr>
              <w:t xml:space="preserve"> and on the production and dissemination of learning products:</w:t>
            </w:r>
          </w:p>
          <w:p w14:paraId="1BE355E9" w14:textId="7BD678F7" w:rsidR="00973CD3" w:rsidRPr="007F63EF" w:rsidRDefault="00973CD3" w:rsidP="00C6374D">
            <w:pPr>
              <w:pStyle w:val="ItadNormalText"/>
              <w:numPr>
                <w:ilvl w:val="0"/>
                <w:numId w:val="106"/>
              </w:numPr>
              <w:rPr>
                <w:rFonts w:asciiTheme="minorHAnsi" w:hAnsiTheme="minorHAnsi" w:cstheme="minorHAnsi"/>
                <w:color w:val="auto"/>
                <w:sz w:val="20"/>
                <w:szCs w:val="20"/>
              </w:rPr>
            </w:pPr>
            <w:r w:rsidRPr="002F4BB7">
              <w:rPr>
                <w:rFonts w:asciiTheme="minorHAnsi" w:hAnsiTheme="minorHAnsi" w:cstheme="minorHAnsi"/>
                <w:sz w:val="20"/>
                <w:szCs w:val="20"/>
              </w:rPr>
              <w:t xml:space="preserve">Facilitated internal and external workshops as requested; </w:t>
            </w:r>
          </w:p>
          <w:p w14:paraId="197251E9" w14:textId="3E2B8905" w:rsidR="00973CD3" w:rsidRPr="007F63EF" w:rsidRDefault="00973CD3" w:rsidP="00C6374D">
            <w:pPr>
              <w:pStyle w:val="ItadNormalText"/>
              <w:numPr>
                <w:ilvl w:val="0"/>
                <w:numId w:val="106"/>
              </w:numPr>
              <w:rPr>
                <w:rFonts w:asciiTheme="minorHAnsi" w:hAnsiTheme="minorHAnsi" w:cstheme="minorHAnsi"/>
                <w:color w:val="auto"/>
                <w:sz w:val="20"/>
                <w:szCs w:val="20"/>
              </w:rPr>
            </w:pPr>
            <w:r w:rsidRPr="002F4BB7">
              <w:rPr>
                <w:rFonts w:asciiTheme="minorHAnsi" w:hAnsiTheme="minorHAnsi" w:cstheme="minorHAnsi"/>
                <w:sz w:val="20"/>
                <w:szCs w:val="20"/>
              </w:rPr>
              <w:t xml:space="preserve">Contributed to the drafting of deliverables as per </w:t>
            </w:r>
            <w:r w:rsidR="00C90FE7">
              <w:rPr>
                <w:rFonts w:asciiTheme="minorHAnsi" w:hAnsiTheme="minorHAnsi" w:cstheme="minorHAnsi"/>
                <w:color w:val="auto"/>
                <w:sz w:val="20"/>
                <w:szCs w:val="20"/>
              </w:rPr>
              <w:t xml:space="preserve">the </w:t>
            </w:r>
            <w:r w:rsidRPr="002F4BB7">
              <w:rPr>
                <w:rFonts w:asciiTheme="minorHAnsi" w:hAnsiTheme="minorHAnsi" w:cstheme="minorHAnsi"/>
                <w:sz w:val="20"/>
                <w:szCs w:val="20"/>
              </w:rPr>
              <w:t xml:space="preserve">guidance of the Team Leader/Deputy Team Leader. </w:t>
            </w:r>
          </w:p>
        </w:tc>
      </w:tr>
      <w:tr w:rsidR="00973CD3" w14:paraId="601EE692" w14:textId="77777777" w:rsidTr="00563732">
        <w:trPr>
          <w:cnfStyle w:val="000000010000" w:firstRow="0" w:lastRow="0" w:firstColumn="0" w:lastColumn="0" w:oddVBand="0" w:evenVBand="0" w:oddHBand="0" w:evenHBand="1" w:firstRowFirstColumn="0" w:firstRowLastColumn="0" w:lastRowFirstColumn="0" w:lastRowLastColumn="0"/>
          <w:trHeight w:val="181"/>
        </w:trPr>
        <w:tc>
          <w:tcPr>
            <w:tcW w:w="9380" w:type="dxa"/>
            <w:gridSpan w:val="2"/>
            <w:hideMark/>
          </w:tcPr>
          <w:p w14:paraId="5BD39C45" w14:textId="77777777" w:rsidR="00973CD3" w:rsidRPr="007F63EF" w:rsidRDefault="00973CD3" w:rsidP="00973CD3">
            <w:pPr>
              <w:pStyle w:val="ItadNormalText"/>
              <w:spacing w:before="0" w:after="0"/>
              <w:rPr>
                <w:rFonts w:asciiTheme="minorHAnsi" w:hAnsiTheme="minorHAnsi" w:cstheme="minorHAnsi"/>
                <w:i/>
                <w:color w:val="auto"/>
                <w:sz w:val="20"/>
                <w:szCs w:val="20"/>
              </w:rPr>
            </w:pPr>
            <w:r w:rsidRPr="002F4BB7">
              <w:rPr>
                <w:rFonts w:asciiTheme="minorHAnsi" w:hAnsiTheme="minorHAnsi" w:cstheme="minorHAnsi"/>
                <w:i/>
                <w:sz w:val="20"/>
                <w:szCs w:val="20"/>
              </w:rPr>
              <w:t>Country Leads</w:t>
            </w:r>
          </w:p>
        </w:tc>
      </w:tr>
      <w:tr w:rsidR="00973CD3" w14:paraId="4F9718EF" w14:textId="77777777" w:rsidTr="00563732">
        <w:trPr>
          <w:cnfStyle w:val="000000100000" w:firstRow="0" w:lastRow="0" w:firstColumn="0" w:lastColumn="0" w:oddVBand="0" w:evenVBand="0" w:oddHBand="1" w:evenHBand="0" w:firstRowFirstColumn="0" w:firstRowLastColumn="0" w:lastRowFirstColumn="0" w:lastRowLastColumn="0"/>
          <w:trHeight w:val="786"/>
        </w:trPr>
        <w:tc>
          <w:tcPr>
            <w:tcW w:w="3284" w:type="dxa"/>
            <w:hideMark/>
          </w:tcPr>
          <w:p w14:paraId="1C805146" w14:textId="303324FA" w:rsidR="00973CD3" w:rsidRPr="007F63EF" w:rsidRDefault="00973CD3" w:rsidP="00973CD3">
            <w:pPr>
              <w:pStyle w:val="ItadNormalText"/>
              <w:spacing w:before="0"/>
              <w:rPr>
                <w:rFonts w:asciiTheme="minorHAnsi" w:hAnsiTheme="minorHAnsi" w:cstheme="minorHAnsi"/>
                <w:b/>
                <w:color w:val="auto"/>
                <w:sz w:val="20"/>
                <w:szCs w:val="20"/>
              </w:rPr>
            </w:pPr>
            <w:r w:rsidRPr="002F4BB7">
              <w:rPr>
                <w:rFonts w:asciiTheme="minorHAnsi" w:hAnsiTheme="minorHAnsi" w:cstheme="minorHAnsi"/>
                <w:b/>
                <w:sz w:val="20"/>
                <w:szCs w:val="20"/>
              </w:rPr>
              <w:t xml:space="preserve">Tim Shorten </w:t>
            </w:r>
            <w:r w:rsidRPr="002F4BB7">
              <w:rPr>
                <w:rFonts w:asciiTheme="minorHAnsi" w:hAnsiTheme="minorHAnsi" w:cstheme="minorHAnsi"/>
                <w:bCs/>
                <w:sz w:val="20"/>
                <w:szCs w:val="20"/>
              </w:rPr>
              <w:t>(Zambia)</w:t>
            </w:r>
          </w:p>
          <w:p w14:paraId="01BAA2EE" w14:textId="6A3745B7" w:rsidR="00973CD3" w:rsidRPr="007F63EF" w:rsidRDefault="00973CD3" w:rsidP="00973CD3">
            <w:pPr>
              <w:pStyle w:val="ItadNormalText"/>
              <w:spacing w:before="0"/>
              <w:rPr>
                <w:rFonts w:asciiTheme="minorHAnsi" w:hAnsiTheme="minorHAnsi" w:cstheme="minorHAnsi"/>
                <w:bCs/>
                <w:color w:val="auto"/>
                <w:sz w:val="20"/>
                <w:szCs w:val="20"/>
              </w:rPr>
            </w:pPr>
            <w:r w:rsidRPr="002F4BB7">
              <w:rPr>
                <w:rFonts w:asciiTheme="minorHAnsi" w:hAnsiTheme="minorHAnsi" w:cstheme="minorHAnsi"/>
                <w:b/>
                <w:sz w:val="20"/>
                <w:szCs w:val="20"/>
              </w:rPr>
              <w:t xml:space="preserve">Giada Tu Thanh </w:t>
            </w:r>
            <w:r w:rsidRPr="002F4BB7">
              <w:rPr>
                <w:rFonts w:asciiTheme="minorHAnsi" w:hAnsiTheme="minorHAnsi" w:cstheme="minorHAnsi"/>
                <w:bCs/>
                <w:sz w:val="20"/>
                <w:szCs w:val="20"/>
              </w:rPr>
              <w:t>(Laos &amp; Vietnam)</w:t>
            </w:r>
          </w:p>
          <w:p w14:paraId="70093649" w14:textId="4F848B16" w:rsidR="00973CD3" w:rsidRPr="002B0A41" w:rsidRDefault="00973CD3" w:rsidP="00973CD3">
            <w:pPr>
              <w:pStyle w:val="ItadNormalText"/>
              <w:spacing w:before="0"/>
              <w:rPr>
                <w:rFonts w:asciiTheme="minorHAnsi" w:hAnsiTheme="minorHAnsi" w:cstheme="minorHAnsi"/>
                <w:b/>
                <w:color w:val="auto"/>
                <w:sz w:val="20"/>
                <w:szCs w:val="20"/>
              </w:rPr>
            </w:pPr>
            <w:r w:rsidRPr="002B0A41">
              <w:rPr>
                <w:rFonts w:asciiTheme="minorHAnsi" w:hAnsiTheme="minorHAnsi" w:cstheme="minorHAnsi"/>
                <w:b/>
                <w:sz w:val="20"/>
                <w:szCs w:val="20"/>
              </w:rPr>
              <w:t xml:space="preserve">Aminah Rajput </w:t>
            </w:r>
            <w:r w:rsidRPr="002B0A41">
              <w:rPr>
                <w:rFonts w:asciiTheme="minorHAnsi" w:hAnsiTheme="minorHAnsi" w:cstheme="minorHAnsi"/>
                <w:sz w:val="20"/>
                <w:szCs w:val="20"/>
              </w:rPr>
              <w:t>(Pakistan &amp; Bangladesh)</w:t>
            </w:r>
          </w:p>
          <w:p w14:paraId="2C7486B5" w14:textId="41A4155A" w:rsidR="00973CD3" w:rsidRPr="002B0A41" w:rsidRDefault="00973CD3" w:rsidP="00973CD3">
            <w:pPr>
              <w:pStyle w:val="ItadNormalText"/>
              <w:spacing w:before="0"/>
              <w:rPr>
                <w:rFonts w:asciiTheme="minorHAnsi" w:hAnsiTheme="minorHAnsi" w:cstheme="minorHAnsi"/>
                <w:b/>
                <w:color w:val="auto"/>
                <w:sz w:val="20"/>
                <w:szCs w:val="20"/>
              </w:rPr>
            </w:pPr>
            <w:r w:rsidRPr="002B0A41">
              <w:rPr>
                <w:rFonts w:asciiTheme="minorHAnsi" w:hAnsiTheme="minorHAnsi" w:cstheme="minorHAnsi"/>
                <w:b/>
                <w:sz w:val="20"/>
                <w:szCs w:val="20"/>
              </w:rPr>
              <w:t xml:space="preserve">Marco Maragno </w:t>
            </w:r>
            <w:r w:rsidRPr="002B0A41">
              <w:rPr>
                <w:rFonts w:asciiTheme="minorHAnsi" w:hAnsiTheme="minorHAnsi" w:cstheme="minorHAnsi"/>
                <w:sz w:val="20"/>
                <w:szCs w:val="20"/>
              </w:rPr>
              <w:t xml:space="preserve">(Nepal, Sierra Leone, Uganda &amp; </w:t>
            </w:r>
            <w:r w:rsidR="00260B8A" w:rsidRPr="002B0A41">
              <w:rPr>
                <w:rFonts w:asciiTheme="minorHAnsi" w:hAnsiTheme="minorHAnsi" w:cstheme="minorHAnsi"/>
                <w:sz w:val="20"/>
                <w:szCs w:val="20"/>
              </w:rPr>
              <w:t>Timor-Leste</w:t>
            </w:r>
            <w:r w:rsidRPr="002B0A41">
              <w:rPr>
                <w:rFonts w:asciiTheme="minorHAnsi" w:hAnsiTheme="minorHAnsi" w:cstheme="minorHAnsi"/>
                <w:sz w:val="20"/>
                <w:szCs w:val="20"/>
              </w:rPr>
              <w:t>)</w:t>
            </w:r>
          </w:p>
          <w:p w14:paraId="0D60A5CC" w14:textId="18E1AFEE" w:rsidR="00973CD3" w:rsidRPr="002B0A41" w:rsidRDefault="00973CD3" w:rsidP="00973CD3">
            <w:pPr>
              <w:pStyle w:val="ItadNormalText"/>
              <w:spacing w:before="0"/>
              <w:rPr>
                <w:rFonts w:asciiTheme="minorHAnsi" w:hAnsiTheme="minorHAnsi" w:cstheme="minorHAnsi"/>
                <w:color w:val="auto"/>
                <w:sz w:val="20"/>
                <w:szCs w:val="20"/>
              </w:rPr>
            </w:pPr>
            <w:r w:rsidRPr="002B0A41">
              <w:rPr>
                <w:rFonts w:asciiTheme="minorHAnsi" w:hAnsiTheme="minorHAnsi" w:cstheme="minorHAnsi"/>
                <w:b/>
                <w:sz w:val="20"/>
                <w:szCs w:val="20"/>
              </w:rPr>
              <w:t xml:space="preserve">Archie Drake </w:t>
            </w:r>
            <w:r w:rsidRPr="002B0A41">
              <w:rPr>
                <w:rFonts w:asciiTheme="minorHAnsi" w:hAnsiTheme="minorHAnsi" w:cstheme="minorHAnsi"/>
                <w:sz w:val="20"/>
                <w:szCs w:val="20"/>
              </w:rPr>
              <w:t>(Ghana, Nigeria &amp; Senegal)</w:t>
            </w:r>
          </w:p>
          <w:p w14:paraId="4FC546FE" w14:textId="74018DE8" w:rsidR="00973CD3" w:rsidRPr="002B0A41" w:rsidRDefault="00973CD3" w:rsidP="00973CD3">
            <w:pPr>
              <w:pStyle w:val="ItadNormalText"/>
              <w:spacing w:before="0"/>
              <w:rPr>
                <w:rFonts w:asciiTheme="minorHAnsi" w:hAnsiTheme="minorHAnsi" w:cstheme="minorHAnsi"/>
                <w:b/>
                <w:color w:val="auto"/>
                <w:sz w:val="20"/>
                <w:szCs w:val="20"/>
              </w:rPr>
            </w:pPr>
            <w:r w:rsidRPr="002B0A41">
              <w:rPr>
                <w:rFonts w:asciiTheme="minorHAnsi" w:hAnsiTheme="minorHAnsi" w:cstheme="minorHAnsi"/>
                <w:b/>
                <w:sz w:val="20"/>
                <w:szCs w:val="20"/>
              </w:rPr>
              <w:t xml:space="preserve">Abbas Syed </w:t>
            </w:r>
            <w:r w:rsidRPr="002B0A41">
              <w:rPr>
                <w:rFonts w:asciiTheme="minorHAnsi" w:hAnsiTheme="minorHAnsi" w:cstheme="minorHAnsi"/>
                <w:sz w:val="20"/>
                <w:szCs w:val="20"/>
              </w:rPr>
              <w:t>(Indonesia)</w:t>
            </w:r>
          </w:p>
          <w:p w14:paraId="5E416DD7" w14:textId="60AFF2F9" w:rsidR="00973CD3" w:rsidRPr="007F63EF" w:rsidRDefault="00973CD3" w:rsidP="00973CD3">
            <w:pPr>
              <w:pStyle w:val="ItadNormalText"/>
              <w:spacing w:before="0"/>
              <w:rPr>
                <w:rFonts w:asciiTheme="minorHAnsi" w:hAnsiTheme="minorHAnsi" w:cstheme="minorHAnsi"/>
                <w:b/>
                <w:color w:val="auto"/>
                <w:sz w:val="20"/>
                <w:szCs w:val="20"/>
                <w:lang w:val="it-IT"/>
              </w:rPr>
            </w:pPr>
            <w:r w:rsidRPr="002B0A41">
              <w:rPr>
                <w:rFonts w:asciiTheme="minorHAnsi" w:hAnsiTheme="minorHAnsi" w:cstheme="minorHAnsi"/>
                <w:b/>
                <w:sz w:val="20"/>
                <w:szCs w:val="20"/>
              </w:rPr>
              <w:t xml:space="preserve">Ruth Sherratt </w:t>
            </w:r>
            <w:r w:rsidRPr="002B0A41">
              <w:rPr>
                <w:rFonts w:asciiTheme="minorHAnsi" w:hAnsiTheme="minorHAnsi" w:cstheme="minorHAnsi"/>
                <w:sz w:val="20"/>
                <w:szCs w:val="20"/>
              </w:rPr>
              <w:t xml:space="preserve">(Bhutan. </w:t>
            </w:r>
            <w:r w:rsidRPr="002F4BB7">
              <w:rPr>
                <w:rFonts w:asciiTheme="minorHAnsi" w:hAnsiTheme="minorHAnsi" w:cstheme="minorHAnsi"/>
                <w:bCs/>
                <w:sz w:val="20"/>
                <w:szCs w:val="20"/>
                <w:lang w:val="it-IT"/>
              </w:rPr>
              <w:t>Kenya &amp; Tanzania)</w:t>
            </w:r>
            <w:r w:rsidRPr="002F4BB7">
              <w:rPr>
                <w:rFonts w:asciiTheme="minorHAnsi" w:hAnsiTheme="minorHAnsi" w:cstheme="minorHAnsi"/>
                <w:b/>
                <w:sz w:val="20"/>
                <w:szCs w:val="20"/>
                <w:lang w:val="it-IT"/>
              </w:rPr>
              <w:t xml:space="preserve"> </w:t>
            </w:r>
          </w:p>
        </w:tc>
        <w:tc>
          <w:tcPr>
            <w:tcW w:w="6096" w:type="dxa"/>
            <w:hideMark/>
          </w:tcPr>
          <w:p w14:paraId="0F1FBCB5" w14:textId="7BBA26CC" w:rsidR="00973CD3" w:rsidRPr="007F63EF" w:rsidRDefault="00973CD3" w:rsidP="00973CD3">
            <w:pPr>
              <w:pStyle w:val="ItadNormalText"/>
              <w:rPr>
                <w:rFonts w:asciiTheme="minorHAnsi" w:hAnsiTheme="minorHAnsi" w:cstheme="minorHAnsi"/>
                <w:color w:val="auto"/>
                <w:sz w:val="20"/>
                <w:szCs w:val="20"/>
              </w:rPr>
            </w:pPr>
            <w:r w:rsidRPr="002F4BB7">
              <w:rPr>
                <w:rFonts w:asciiTheme="minorHAnsi" w:hAnsiTheme="minorHAnsi" w:cstheme="minorHAnsi"/>
                <w:b/>
                <w:sz w:val="20"/>
                <w:szCs w:val="20"/>
              </w:rPr>
              <w:t xml:space="preserve">Country Leads: </w:t>
            </w:r>
            <w:r w:rsidRPr="002F4BB7">
              <w:rPr>
                <w:rFonts w:asciiTheme="minorHAnsi" w:hAnsiTheme="minorHAnsi" w:cstheme="minorHAnsi"/>
                <w:sz w:val="20"/>
                <w:szCs w:val="20"/>
              </w:rPr>
              <w:t xml:space="preserve">Responsible for the successful delivery of the country level data collection exercise, and the production of </w:t>
            </w:r>
            <w:r w:rsidRPr="002F4BB7">
              <w:rPr>
                <w:rFonts w:asciiTheme="minorHAnsi" w:hAnsiTheme="minorHAnsi" w:cstheme="minorHAnsi"/>
                <w:color w:val="auto"/>
                <w:sz w:val="20"/>
                <w:szCs w:val="20"/>
              </w:rPr>
              <w:t>high-quality</w:t>
            </w:r>
            <w:r w:rsidRPr="002F4BB7">
              <w:rPr>
                <w:rFonts w:asciiTheme="minorHAnsi" w:hAnsiTheme="minorHAnsi" w:cstheme="minorHAnsi"/>
                <w:sz w:val="20"/>
                <w:szCs w:val="20"/>
              </w:rPr>
              <w:t xml:space="preserve"> outputs. The Country Leads oversaw the work of the In-Country Consultants and the Country RAs to ensure all document reviews and tools were complete and the team </w:t>
            </w:r>
            <w:r w:rsidR="00553972">
              <w:rPr>
                <w:rFonts w:asciiTheme="minorHAnsi" w:hAnsiTheme="minorHAnsi" w:cstheme="minorHAnsi"/>
                <w:color w:val="auto"/>
                <w:sz w:val="20"/>
                <w:szCs w:val="20"/>
              </w:rPr>
              <w:t>was</w:t>
            </w:r>
            <w:r w:rsidR="00553972" w:rsidRPr="002F4BB7">
              <w:rPr>
                <w:rFonts w:asciiTheme="minorHAnsi" w:hAnsiTheme="minorHAnsi" w:cstheme="minorHAnsi"/>
                <w:sz w:val="20"/>
                <w:szCs w:val="20"/>
              </w:rPr>
              <w:t xml:space="preserve"> </w:t>
            </w:r>
            <w:r w:rsidRPr="002F4BB7">
              <w:rPr>
                <w:rFonts w:asciiTheme="minorHAnsi" w:hAnsiTheme="minorHAnsi" w:cstheme="minorHAnsi"/>
                <w:sz w:val="20"/>
                <w:szCs w:val="20"/>
              </w:rPr>
              <w:t>ready for the country visit. The Country Leads undertook country visits either remotely (if travel restrictions were in place) or in person and worked with the In-Country Consultants and the Country RAs to ensure tools, analysis and debriefs were complete post country visit</w:t>
            </w:r>
            <w:r w:rsidR="00553972">
              <w:rPr>
                <w:rFonts w:asciiTheme="minorHAnsi" w:hAnsiTheme="minorHAnsi" w:cstheme="minorHAnsi"/>
                <w:color w:val="auto"/>
                <w:sz w:val="20"/>
                <w:szCs w:val="20"/>
              </w:rPr>
              <w:t>s</w:t>
            </w:r>
            <w:r w:rsidRPr="002F4BB7">
              <w:rPr>
                <w:rFonts w:asciiTheme="minorHAnsi" w:hAnsiTheme="minorHAnsi" w:cstheme="minorHAnsi"/>
                <w:sz w:val="20"/>
                <w:szCs w:val="20"/>
              </w:rPr>
              <w:t xml:space="preserve"> and contributed to annual deliverables and team training workshops as required.</w:t>
            </w:r>
          </w:p>
        </w:tc>
      </w:tr>
      <w:tr w:rsidR="00973CD3" w14:paraId="2A74E262" w14:textId="77777777" w:rsidTr="00563732">
        <w:trPr>
          <w:cnfStyle w:val="000000010000" w:firstRow="0" w:lastRow="0" w:firstColumn="0" w:lastColumn="0" w:oddVBand="0" w:evenVBand="0" w:oddHBand="0" w:evenHBand="1" w:firstRowFirstColumn="0" w:firstRowLastColumn="0" w:lastRowFirstColumn="0" w:lastRowLastColumn="0"/>
          <w:trHeight w:val="42"/>
        </w:trPr>
        <w:tc>
          <w:tcPr>
            <w:tcW w:w="9380" w:type="dxa"/>
            <w:gridSpan w:val="2"/>
            <w:hideMark/>
          </w:tcPr>
          <w:p w14:paraId="72A476F7" w14:textId="77777777" w:rsidR="00973CD3" w:rsidRPr="007F63EF" w:rsidRDefault="00973CD3" w:rsidP="00973CD3">
            <w:pPr>
              <w:pStyle w:val="ItadNormalText"/>
              <w:spacing w:before="0" w:after="0"/>
              <w:rPr>
                <w:rFonts w:asciiTheme="minorHAnsi" w:hAnsiTheme="minorHAnsi" w:cstheme="minorHAnsi"/>
                <w:i/>
                <w:color w:val="auto"/>
                <w:sz w:val="20"/>
                <w:szCs w:val="20"/>
              </w:rPr>
            </w:pPr>
            <w:r w:rsidRPr="002F4BB7">
              <w:rPr>
                <w:rFonts w:asciiTheme="minorHAnsi" w:hAnsiTheme="minorHAnsi" w:cstheme="minorHAnsi"/>
                <w:i/>
                <w:sz w:val="20"/>
                <w:szCs w:val="20"/>
              </w:rPr>
              <w:t>In-Country Consultants</w:t>
            </w:r>
          </w:p>
        </w:tc>
      </w:tr>
      <w:tr w:rsidR="00973CD3" w14:paraId="67E4E9A6" w14:textId="77777777" w:rsidTr="00563732">
        <w:trPr>
          <w:cnfStyle w:val="000000100000" w:firstRow="0" w:lastRow="0" w:firstColumn="0" w:lastColumn="0" w:oddVBand="0" w:evenVBand="0" w:oddHBand="1" w:evenHBand="0" w:firstRowFirstColumn="0" w:firstRowLastColumn="0" w:lastRowFirstColumn="0" w:lastRowLastColumn="0"/>
          <w:trHeight w:val="773"/>
        </w:trPr>
        <w:tc>
          <w:tcPr>
            <w:tcW w:w="3284" w:type="dxa"/>
            <w:hideMark/>
          </w:tcPr>
          <w:p w14:paraId="4861BFBE" w14:textId="6C35881C" w:rsidR="00973CD3" w:rsidRPr="002B0A41" w:rsidRDefault="00973CD3" w:rsidP="00973CD3">
            <w:pPr>
              <w:pStyle w:val="ItadNormalText"/>
              <w:rPr>
                <w:rFonts w:asciiTheme="minorHAnsi" w:hAnsiTheme="minorHAnsi" w:cstheme="minorHAnsi"/>
                <w:b/>
                <w:color w:val="auto"/>
                <w:sz w:val="20"/>
                <w:szCs w:val="20"/>
              </w:rPr>
            </w:pPr>
            <w:r w:rsidRPr="002B0A41">
              <w:rPr>
                <w:rFonts w:asciiTheme="minorHAnsi" w:hAnsiTheme="minorHAnsi" w:cstheme="minorHAnsi"/>
                <w:b/>
                <w:sz w:val="20"/>
                <w:szCs w:val="20"/>
              </w:rPr>
              <w:t xml:space="preserve">Pascalina Chanda </w:t>
            </w:r>
            <w:r w:rsidRPr="002B0A41">
              <w:rPr>
                <w:rFonts w:asciiTheme="minorHAnsi" w:hAnsiTheme="minorHAnsi" w:cstheme="minorHAnsi"/>
                <w:sz w:val="20"/>
                <w:szCs w:val="20"/>
              </w:rPr>
              <w:t>(Zambia)</w:t>
            </w:r>
          </w:p>
          <w:p w14:paraId="6905A860" w14:textId="2527015A" w:rsidR="00973CD3" w:rsidRPr="002B0A41" w:rsidRDefault="00973CD3" w:rsidP="00973CD3">
            <w:pPr>
              <w:pStyle w:val="ItadNormalText"/>
              <w:rPr>
                <w:rFonts w:asciiTheme="minorHAnsi" w:hAnsiTheme="minorHAnsi" w:cstheme="minorHAnsi"/>
                <w:b/>
                <w:color w:val="auto"/>
                <w:sz w:val="20"/>
                <w:szCs w:val="20"/>
              </w:rPr>
            </w:pPr>
            <w:r w:rsidRPr="002B0A41">
              <w:rPr>
                <w:rFonts w:asciiTheme="minorHAnsi" w:hAnsiTheme="minorHAnsi" w:cstheme="minorHAnsi"/>
                <w:b/>
                <w:sz w:val="20"/>
                <w:szCs w:val="20"/>
              </w:rPr>
              <w:t xml:space="preserve">Murshid Hasan </w:t>
            </w:r>
            <w:r w:rsidRPr="002B0A41">
              <w:rPr>
                <w:rFonts w:asciiTheme="minorHAnsi" w:hAnsiTheme="minorHAnsi" w:cstheme="minorHAnsi"/>
                <w:sz w:val="20"/>
                <w:szCs w:val="20"/>
              </w:rPr>
              <w:t>(Bangladesh)</w:t>
            </w:r>
          </w:p>
          <w:p w14:paraId="1919483D" w14:textId="4A2C9740" w:rsidR="00973CD3" w:rsidRPr="002B0A41" w:rsidRDefault="00973CD3" w:rsidP="00973CD3">
            <w:pPr>
              <w:pStyle w:val="ItadNormalText"/>
              <w:rPr>
                <w:rFonts w:asciiTheme="minorHAnsi" w:hAnsiTheme="minorHAnsi" w:cstheme="minorHAnsi"/>
                <w:b/>
                <w:color w:val="auto"/>
                <w:sz w:val="20"/>
                <w:szCs w:val="20"/>
              </w:rPr>
            </w:pPr>
            <w:r w:rsidRPr="002B0A41">
              <w:rPr>
                <w:rFonts w:asciiTheme="minorHAnsi" w:hAnsiTheme="minorHAnsi" w:cstheme="minorHAnsi"/>
                <w:b/>
                <w:sz w:val="20"/>
                <w:szCs w:val="20"/>
              </w:rPr>
              <w:t xml:space="preserve">Isma Novitasari Yusadiredja </w:t>
            </w:r>
            <w:r w:rsidRPr="002B0A41">
              <w:rPr>
                <w:rFonts w:asciiTheme="minorHAnsi" w:hAnsiTheme="minorHAnsi" w:cstheme="minorHAnsi"/>
                <w:sz w:val="20"/>
                <w:szCs w:val="20"/>
              </w:rPr>
              <w:t>(Indonesia)</w:t>
            </w:r>
            <w:r w:rsidRPr="002B0A41">
              <w:rPr>
                <w:rFonts w:asciiTheme="minorHAnsi" w:hAnsiTheme="minorHAnsi" w:cstheme="minorHAnsi"/>
                <w:b/>
                <w:sz w:val="20"/>
                <w:szCs w:val="20"/>
              </w:rPr>
              <w:t xml:space="preserve"> </w:t>
            </w:r>
          </w:p>
          <w:p w14:paraId="79F50C12" w14:textId="47AC2981" w:rsidR="00973CD3" w:rsidRPr="002B0A41" w:rsidRDefault="00973CD3" w:rsidP="00973CD3">
            <w:pPr>
              <w:pStyle w:val="ItadNormalText"/>
              <w:rPr>
                <w:rFonts w:asciiTheme="minorHAnsi" w:hAnsiTheme="minorHAnsi" w:cstheme="minorHAnsi"/>
                <w:b/>
                <w:color w:val="auto"/>
                <w:sz w:val="20"/>
                <w:szCs w:val="20"/>
              </w:rPr>
            </w:pPr>
            <w:r w:rsidRPr="002B0A41">
              <w:rPr>
                <w:rFonts w:asciiTheme="minorHAnsi" w:hAnsiTheme="minorHAnsi" w:cstheme="minorHAnsi"/>
                <w:b/>
                <w:sz w:val="20"/>
                <w:szCs w:val="20"/>
              </w:rPr>
              <w:t xml:space="preserve">Ozioma Nwagwu </w:t>
            </w:r>
            <w:r w:rsidRPr="002B0A41">
              <w:rPr>
                <w:rFonts w:asciiTheme="minorHAnsi" w:hAnsiTheme="minorHAnsi" w:cstheme="minorHAnsi"/>
                <w:sz w:val="20"/>
                <w:szCs w:val="20"/>
              </w:rPr>
              <w:t>(Nigeria)</w:t>
            </w:r>
          </w:p>
          <w:p w14:paraId="48DD0C6B" w14:textId="324DF127" w:rsidR="00973CD3" w:rsidRPr="002B0A41" w:rsidRDefault="00973CD3" w:rsidP="00973CD3">
            <w:pPr>
              <w:pStyle w:val="ItadNormalText"/>
              <w:rPr>
                <w:rFonts w:asciiTheme="minorHAnsi" w:hAnsiTheme="minorHAnsi" w:cstheme="minorHAnsi"/>
                <w:color w:val="auto"/>
                <w:sz w:val="20"/>
                <w:szCs w:val="20"/>
              </w:rPr>
            </w:pPr>
            <w:r w:rsidRPr="002B0A41">
              <w:rPr>
                <w:rFonts w:asciiTheme="minorHAnsi" w:hAnsiTheme="minorHAnsi" w:cstheme="minorHAnsi"/>
                <w:b/>
                <w:sz w:val="20"/>
                <w:szCs w:val="20"/>
              </w:rPr>
              <w:t xml:space="preserve">Ismael Barreto </w:t>
            </w:r>
            <w:r w:rsidRPr="002B0A41">
              <w:rPr>
                <w:rFonts w:asciiTheme="minorHAnsi" w:hAnsiTheme="minorHAnsi" w:cstheme="minorHAnsi"/>
                <w:sz w:val="20"/>
                <w:szCs w:val="20"/>
              </w:rPr>
              <w:t>(</w:t>
            </w:r>
            <w:r w:rsidR="00260B8A" w:rsidRPr="002B0A41">
              <w:rPr>
                <w:rFonts w:asciiTheme="minorHAnsi" w:hAnsiTheme="minorHAnsi" w:cstheme="minorHAnsi"/>
                <w:sz w:val="20"/>
                <w:szCs w:val="20"/>
              </w:rPr>
              <w:t>Timor-Leste</w:t>
            </w:r>
            <w:r w:rsidRPr="002B0A41">
              <w:rPr>
                <w:rFonts w:asciiTheme="minorHAnsi" w:hAnsiTheme="minorHAnsi" w:cstheme="minorHAnsi"/>
                <w:sz w:val="20"/>
                <w:szCs w:val="20"/>
              </w:rPr>
              <w:t>)</w:t>
            </w:r>
          </w:p>
          <w:p w14:paraId="633244B4" w14:textId="0270529D" w:rsidR="00973CD3" w:rsidRPr="002B0A41" w:rsidRDefault="00973CD3" w:rsidP="00973CD3">
            <w:pPr>
              <w:pStyle w:val="ItadNormalText"/>
              <w:rPr>
                <w:rFonts w:asciiTheme="minorHAnsi" w:hAnsiTheme="minorHAnsi" w:cstheme="minorHAnsi"/>
                <w:b/>
                <w:color w:val="auto"/>
                <w:sz w:val="20"/>
                <w:szCs w:val="20"/>
              </w:rPr>
            </w:pPr>
            <w:r w:rsidRPr="002B0A41">
              <w:rPr>
                <w:rFonts w:asciiTheme="minorHAnsi" w:hAnsiTheme="minorHAnsi" w:cstheme="minorHAnsi"/>
                <w:b/>
                <w:sz w:val="20"/>
                <w:szCs w:val="20"/>
              </w:rPr>
              <w:t xml:space="preserve">Eric Ogola </w:t>
            </w:r>
            <w:r w:rsidRPr="002B0A41">
              <w:rPr>
                <w:rFonts w:asciiTheme="minorHAnsi" w:hAnsiTheme="minorHAnsi" w:cstheme="minorHAnsi"/>
                <w:sz w:val="20"/>
                <w:szCs w:val="20"/>
              </w:rPr>
              <w:t>(Kenya)</w:t>
            </w:r>
          </w:p>
          <w:p w14:paraId="1A829372" w14:textId="7D779CCE" w:rsidR="00973CD3" w:rsidRPr="002B0A41" w:rsidRDefault="00973CD3" w:rsidP="00973CD3">
            <w:pPr>
              <w:pStyle w:val="ItadNormalText"/>
              <w:rPr>
                <w:rFonts w:asciiTheme="minorHAnsi" w:hAnsiTheme="minorHAnsi" w:cstheme="minorHAnsi"/>
                <w:color w:val="auto"/>
                <w:sz w:val="20"/>
                <w:szCs w:val="20"/>
              </w:rPr>
            </w:pPr>
            <w:r w:rsidRPr="002B0A41">
              <w:rPr>
                <w:rFonts w:asciiTheme="minorHAnsi" w:hAnsiTheme="minorHAnsi" w:cstheme="minorHAnsi"/>
                <w:b/>
                <w:sz w:val="20"/>
                <w:szCs w:val="20"/>
              </w:rPr>
              <w:t xml:space="preserve">Pham Hong Hanh </w:t>
            </w:r>
            <w:r w:rsidRPr="002B0A41">
              <w:rPr>
                <w:rFonts w:asciiTheme="minorHAnsi" w:hAnsiTheme="minorHAnsi" w:cstheme="minorHAnsi"/>
                <w:sz w:val="20"/>
                <w:szCs w:val="20"/>
              </w:rPr>
              <w:t>(Vietnam)</w:t>
            </w:r>
          </w:p>
          <w:p w14:paraId="1E5F3F07" w14:textId="45C2A8E8" w:rsidR="00973CD3" w:rsidRPr="002B0A41" w:rsidRDefault="00973CD3" w:rsidP="00973CD3">
            <w:pPr>
              <w:pStyle w:val="ItadNormalText"/>
              <w:rPr>
                <w:rFonts w:asciiTheme="minorHAnsi" w:hAnsiTheme="minorHAnsi" w:cstheme="minorHAnsi"/>
                <w:color w:val="auto"/>
                <w:sz w:val="20"/>
                <w:szCs w:val="20"/>
              </w:rPr>
            </w:pPr>
            <w:r w:rsidRPr="002B0A41">
              <w:rPr>
                <w:rFonts w:asciiTheme="minorHAnsi" w:hAnsiTheme="minorHAnsi" w:cstheme="minorHAnsi"/>
                <w:b/>
                <w:sz w:val="20"/>
                <w:szCs w:val="20"/>
              </w:rPr>
              <w:t xml:space="preserve">Robert Sam-Kpakra </w:t>
            </w:r>
            <w:r w:rsidRPr="002B0A41">
              <w:rPr>
                <w:rFonts w:asciiTheme="minorHAnsi" w:hAnsiTheme="minorHAnsi" w:cstheme="minorHAnsi"/>
                <w:sz w:val="20"/>
                <w:szCs w:val="20"/>
              </w:rPr>
              <w:t>(Sierra Leone)</w:t>
            </w:r>
          </w:p>
          <w:p w14:paraId="4701B560" w14:textId="2D45C4BD" w:rsidR="00973CD3" w:rsidRPr="002B0A41" w:rsidRDefault="00973CD3" w:rsidP="00973CD3">
            <w:pPr>
              <w:pStyle w:val="ItadNormalText"/>
              <w:rPr>
                <w:rFonts w:asciiTheme="minorHAnsi" w:hAnsiTheme="minorHAnsi" w:cstheme="minorHAnsi"/>
                <w:b/>
                <w:color w:val="auto"/>
                <w:sz w:val="20"/>
                <w:szCs w:val="20"/>
              </w:rPr>
            </w:pPr>
            <w:r w:rsidRPr="002B0A41">
              <w:rPr>
                <w:rFonts w:asciiTheme="minorHAnsi" w:hAnsiTheme="minorHAnsi" w:cstheme="minorHAnsi"/>
                <w:b/>
                <w:sz w:val="20"/>
                <w:szCs w:val="20"/>
              </w:rPr>
              <w:t xml:space="preserve">Sylla Thiam </w:t>
            </w:r>
            <w:r w:rsidRPr="002B0A41">
              <w:rPr>
                <w:rFonts w:asciiTheme="minorHAnsi" w:hAnsiTheme="minorHAnsi" w:cstheme="minorHAnsi"/>
                <w:sz w:val="20"/>
                <w:szCs w:val="20"/>
              </w:rPr>
              <w:t>(Senegal)</w:t>
            </w:r>
          </w:p>
          <w:p w14:paraId="279808CE" w14:textId="6152E538" w:rsidR="00973CD3" w:rsidRPr="002B0A41" w:rsidRDefault="00973CD3" w:rsidP="00973CD3">
            <w:pPr>
              <w:pStyle w:val="ItadNormalText"/>
              <w:rPr>
                <w:rFonts w:asciiTheme="minorHAnsi" w:hAnsiTheme="minorHAnsi" w:cstheme="minorHAnsi"/>
                <w:b/>
                <w:color w:val="auto"/>
                <w:sz w:val="20"/>
                <w:szCs w:val="20"/>
              </w:rPr>
            </w:pPr>
            <w:r w:rsidRPr="002B0A41">
              <w:rPr>
                <w:rFonts w:asciiTheme="minorHAnsi" w:hAnsiTheme="minorHAnsi" w:cstheme="minorHAnsi"/>
                <w:b/>
                <w:sz w:val="20"/>
                <w:szCs w:val="20"/>
              </w:rPr>
              <w:t xml:space="preserve">Yusaf Hamba </w:t>
            </w:r>
            <w:r w:rsidRPr="002B0A41">
              <w:rPr>
                <w:rFonts w:asciiTheme="minorHAnsi" w:hAnsiTheme="minorHAnsi" w:cstheme="minorHAnsi"/>
                <w:sz w:val="20"/>
                <w:szCs w:val="20"/>
              </w:rPr>
              <w:t>(Uganda)</w:t>
            </w:r>
          </w:p>
          <w:p w14:paraId="0E969404" w14:textId="4E8E883D" w:rsidR="00973CD3" w:rsidRPr="002B0A41" w:rsidRDefault="00973CD3" w:rsidP="00973CD3">
            <w:pPr>
              <w:pStyle w:val="ItadNormalText"/>
              <w:rPr>
                <w:rFonts w:asciiTheme="minorHAnsi" w:hAnsiTheme="minorHAnsi" w:cstheme="minorHAnsi"/>
                <w:color w:val="auto"/>
                <w:sz w:val="20"/>
                <w:szCs w:val="20"/>
              </w:rPr>
            </w:pPr>
            <w:r w:rsidRPr="002B0A41">
              <w:rPr>
                <w:rFonts w:asciiTheme="minorHAnsi" w:hAnsiTheme="minorHAnsi" w:cstheme="minorHAnsi"/>
                <w:b/>
                <w:sz w:val="20"/>
                <w:szCs w:val="20"/>
              </w:rPr>
              <w:t xml:space="preserve">Hussein Mohammed </w:t>
            </w:r>
            <w:r w:rsidRPr="002B0A41">
              <w:rPr>
                <w:rFonts w:asciiTheme="minorHAnsi" w:hAnsiTheme="minorHAnsi" w:cstheme="minorHAnsi"/>
                <w:sz w:val="20"/>
                <w:szCs w:val="20"/>
              </w:rPr>
              <w:t>(Bangladesh)</w:t>
            </w:r>
          </w:p>
          <w:p w14:paraId="28AF663D" w14:textId="77777777" w:rsidR="00973CD3" w:rsidRPr="002B0A41" w:rsidRDefault="00973CD3" w:rsidP="00973CD3">
            <w:pPr>
              <w:pStyle w:val="ItadNormalText"/>
              <w:spacing w:before="0"/>
              <w:rPr>
                <w:rFonts w:asciiTheme="minorHAnsi" w:hAnsiTheme="minorHAnsi" w:cstheme="minorHAnsi"/>
                <w:color w:val="auto"/>
                <w:sz w:val="20"/>
                <w:szCs w:val="20"/>
              </w:rPr>
            </w:pPr>
            <w:r w:rsidRPr="002B0A41">
              <w:rPr>
                <w:rFonts w:asciiTheme="minorHAnsi" w:hAnsiTheme="minorHAnsi" w:cstheme="minorHAnsi"/>
                <w:b/>
                <w:sz w:val="20"/>
                <w:szCs w:val="20"/>
              </w:rPr>
              <w:t xml:space="preserve">Prakash Ghimire </w:t>
            </w:r>
            <w:r w:rsidRPr="002B0A41">
              <w:rPr>
                <w:rFonts w:asciiTheme="minorHAnsi" w:hAnsiTheme="minorHAnsi" w:cstheme="minorHAnsi"/>
                <w:sz w:val="20"/>
                <w:szCs w:val="20"/>
              </w:rPr>
              <w:t>(Bhutan)</w:t>
            </w:r>
          </w:p>
          <w:p w14:paraId="4C580035" w14:textId="77777777" w:rsidR="00973CD3" w:rsidRPr="002B0A41" w:rsidRDefault="00973CD3" w:rsidP="00973CD3">
            <w:pPr>
              <w:pStyle w:val="ItadNormalText"/>
              <w:spacing w:before="0"/>
              <w:rPr>
                <w:rFonts w:asciiTheme="minorHAnsi" w:hAnsiTheme="minorHAnsi" w:cstheme="minorHAnsi"/>
                <w:color w:val="auto"/>
                <w:sz w:val="20"/>
                <w:szCs w:val="20"/>
              </w:rPr>
            </w:pPr>
            <w:r w:rsidRPr="002B0A41">
              <w:rPr>
                <w:rFonts w:asciiTheme="minorHAnsi" w:hAnsiTheme="minorHAnsi" w:cstheme="minorHAnsi"/>
                <w:b/>
                <w:sz w:val="20"/>
                <w:szCs w:val="20"/>
              </w:rPr>
              <w:t xml:space="preserve">Latsany Phakdisoth </w:t>
            </w:r>
            <w:r w:rsidRPr="002B0A41">
              <w:rPr>
                <w:rFonts w:asciiTheme="minorHAnsi" w:hAnsiTheme="minorHAnsi" w:cstheme="minorHAnsi"/>
                <w:sz w:val="20"/>
                <w:szCs w:val="20"/>
              </w:rPr>
              <w:t xml:space="preserve">(Laos) </w:t>
            </w:r>
          </w:p>
          <w:p w14:paraId="70C0F714" w14:textId="77777777" w:rsidR="00973CD3" w:rsidRPr="002B0A41" w:rsidRDefault="00973CD3" w:rsidP="00973CD3">
            <w:pPr>
              <w:pStyle w:val="ItadNormalText"/>
              <w:spacing w:before="0"/>
              <w:rPr>
                <w:rFonts w:asciiTheme="minorHAnsi" w:hAnsiTheme="minorHAnsi" w:cstheme="minorHAnsi"/>
                <w:color w:val="auto"/>
                <w:sz w:val="20"/>
                <w:szCs w:val="20"/>
              </w:rPr>
            </w:pPr>
            <w:r w:rsidRPr="002B0A41">
              <w:rPr>
                <w:rFonts w:asciiTheme="minorHAnsi" w:hAnsiTheme="minorHAnsi" w:cstheme="minorHAnsi"/>
                <w:b/>
                <w:sz w:val="20"/>
                <w:szCs w:val="20"/>
              </w:rPr>
              <w:t xml:space="preserve">Alex Afram </w:t>
            </w:r>
            <w:r w:rsidRPr="002B0A41">
              <w:rPr>
                <w:rFonts w:asciiTheme="minorHAnsi" w:hAnsiTheme="minorHAnsi" w:cstheme="minorHAnsi"/>
                <w:sz w:val="20"/>
                <w:szCs w:val="20"/>
              </w:rPr>
              <w:t xml:space="preserve">(Ghana) </w:t>
            </w:r>
          </w:p>
          <w:p w14:paraId="41B91460" w14:textId="1E752838" w:rsidR="00973CD3" w:rsidRPr="007F63EF" w:rsidRDefault="00973CD3" w:rsidP="00973CD3">
            <w:pPr>
              <w:pStyle w:val="ItadNormalText"/>
              <w:spacing w:before="0"/>
              <w:rPr>
                <w:rFonts w:asciiTheme="minorHAnsi" w:hAnsiTheme="minorHAnsi" w:cstheme="minorHAnsi"/>
                <w:b/>
                <w:color w:val="auto"/>
                <w:sz w:val="20"/>
                <w:szCs w:val="20"/>
                <w:lang w:val="it-IT"/>
              </w:rPr>
            </w:pPr>
            <w:r w:rsidRPr="002F4BB7">
              <w:rPr>
                <w:rFonts w:asciiTheme="minorHAnsi" w:hAnsiTheme="minorHAnsi" w:cstheme="minorHAnsi"/>
                <w:b/>
                <w:sz w:val="20"/>
                <w:szCs w:val="20"/>
                <w:lang w:val="it-IT"/>
              </w:rPr>
              <w:t xml:space="preserve">Megha Raj Banjara </w:t>
            </w:r>
            <w:r w:rsidRPr="002F4BB7">
              <w:rPr>
                <w:rFonts w:asciiTheme="minorHAnsi" w:hAnsiTheme="minorHAnsi" w:cstheme="minorHAnsi"/>
                <w:bCs/>
                <w:sz w:val="20"/>
                <w:szCs w:val="20"/>
                <w:lang w:val="it-IT"/>
              </w:rPr>
              <w:t>(Nepal)</w:t>
            </w:r>
          </w:p>
        </w:tc>
        <w:tc>
          <w:tcPr>
            <w:tcW w:w="6096" w:type="dxa"/>
            <w:hideMark/>
          </w:tcPr>
          <w:p w14:paraId="744F862E" w14:textId="0C226E19" w:rsidR="00973CD3" w:rsidRPr="007F63EF" w:rsidRDefault="00973CD3" w:rsidP="00973CD3">
            <w:pPr>
              <w:pStyle w:val="ItadNormalText"/>
              <w:rPr>
                <w:rFonts w:asciiTheme="minorHAnsi" w:hAnsiTheme="minorHAnsi" w:cstheme="minorHAnsi"/>
                <w:color w:val="auto"/>
                <w:sz w:val="20"/>
                <w:szCs w:val="20"/>
              </w:rPr>
            </w:pPr>
            <w:r w:rsidRPr="002F4BB7">
              <w:rPr>
                <w:rFonts w:asciiTheme="minorHAnsi" w:hAnsiTheme="minorHAnsi" w:cstheme="minorHAnsi"/>
                <w:b/>
                <w:sz w:val="20"/>
                <w:szCs w:val="20"/>
              </w:rPr>
              <w:t xml:space="preserve">Research Support Team: </w:t>
            </w:r>
            <w:r w:rsidRPr="002F4BB7">
              <w:rPr>
                <w:rFonts w:asciiTheme="minorHAnsi" w:hAnsiTheme="minorHAnsi" w:cstheme="minorHAnsi"/>
                <w:sz w:val="20"/>
                <w:szCs w:val="20"/>
              </w:rPr>
              <w:t>Involved in desk-based research in preparation for the country visits. The In-Country Consultants supported data collection following the guidance provided by the CL/core team, including taking a lead on KIIs (if the CL could not join in person) and site visits. They also took on other responsibilities as long as the CL maintained oversight. The research support team contributed to annual deliverables and team training workshops as required.</w:t>
            </w:r>
          </w:p>
          <w:p w14:paraId="29DB94B7" w14:textId="77777777" w:rsidR="00973CD3" w:rsidRPr="007F63EF" w:rsidRDefault="00973CD3" w:rsidP="00973CD3">
            <w:pPr>
              <w:pStyle w:val="ItadNormalText"/>
              <w:rPr>
                <w:rFonts w:asciiTheme="minorHAnsi" w:hAnsiTheme="minorHAnsi" w:cstheme="minorHAnsi"/>
                <w:b/>
                <w:color w:val="auto"/>
                <w:sz w:val="20"/>
                <w:szCs w:val="20"/>
              </w:rPr>
            </w:pPr>
            <w:r w:rsidRPr="002F4BB7">
              <w:rPr>
                <w:rFonts w:asciiTheme="minorHAnsi" w:hAnsiTheme="minorHAnsi" w:cstheme="minorHAnsi"/>
                <w:sz w:val="20"/>
                <w:szCs w:val="20"/>
              </w:rPr>
              <w:t xml:space="preserve"> </w:t>
            </w:r>
          </w:p>
        </w:tc>
      </w:tr>
      <w:tr w:rsidR="00973CD3" w14:paraId="7E89D8ED" w14:textId="77777777" w:rsidTr="00563732">
        <w:trPr>
          <w:cnfStyle w:val="000000010000" w:firstRow="0" w:lastRow="0" w:firstColumn="0" w:lastColumn="0" w:oddVBand="0" w:evenVBand="0" w:oddHBand="0" w:evenHBand="1" w:firstRowFirstColumn="0" w:firstRowLastColumn="0" w:lastRowFirstColumn="0" w:lastRowLastColumn="0"/>
          <w:trHeight w:val="319"/>
        </w:trPr>
        <w:tc>
          <w:tcPr>
            <w:tcW w:w="9380" w:type="dxa"/>
            <w:gridSpan w:val="2"/>
            <w:hideMark/>
          </w:tcPr>
          <w:p w14:paraId="53E475D9" w14:textId="77777777" w:rsidR="00973CD3" w:rsidRPr="007F63EF" w:rsidRDefault="00973CD3" w:rsidP="00973CD3">
            <w:pPr>
              <w:pStyle w:val="ItadNormalText"/>
              <w:spacing w:before="0" w:after="0"/>
              <w:rPr>
                <w:rFonts w:asciiTheme="minorHAnsi" w:hAnsiTheme="minorHAnsi" w:cstheme="minorHAnsi"/>
                <w:b/>
                <w:color w:val="auto"/>
                <w:sz w:val="20"/>
                <w:szCs w:val="20"/>
              </w:rPr>
            </w:pPr>
            <w:r w:rsidRPr="002F4BB7">
              <w:rPr>
                <w:rFonts w:asciiTheme="minorHAnsi" w:hAnsiTheme="minorHAnsi" w:cstheme="minorHAnsi"/>
                <w:i/>
                <w:sz w:val="20"/>
                <w:szCs w:val="20"/>
              </w:rPr>
              <w:t>Country Research Analysts</w:t>
            </w:r>
          </w:p>
        </w:tc>
      </w:tr>
      <w:tr w:rsidR="00973CD3" w14:paraId="68A2E612" w14:textId="77777777" w:rsidTr="00563732">
        <w:trPr>
          <w:cnfStyle w:val="000000100000" w:firstRow="0" w:lastRow="0" w:firstColumn="0" w:lastColumn="0" w:oddVBand="0" w:evenVBand="0" w:oddHBand="1" w:evenHBand="0" w:firstRowFirstColumn="0" w:firstRowLastColumn="0" w:lastRowFirstColumn="0" w:lastRowLastColumn="0"/>
          <w:trHeight w:val="773"/>
        </w:trPr>
        <w:tc>
          <w:tcPr>
            <w:tcW w:w="3284" w:type="dxa"/>
            <w:hideMark/>
          </w:tcPr>
          <w:p w14:paraId="0953E6CD" w14:textId="77777777" w:rsidR="00973CD3" w:rsidRPr="002B0A41" w:rsidRDefault="00973CD3" w:rsidP="00973CD3">
            <w:pPr>
              <w:pStyle w:val="ItadNormalText"/>
              <w:rPr>
                <w:rFonts w:asciiTheme="minorHAnsi" w:hAnsiTheme="minorHAnsi" w:cstheme="minorHAnsi"/>
                <w:b/>
                <w:color w:val="auto"/>
                <w:sz w:val="20"/>
                <w:szCs w:val="20"/>
              </w:rPr>
            </w:pPr>
            <w:r w:rsidRPr="002B0A41">
              <w:rPr>
                <w:rFonts w:asciiTheme="minorHAnsi" w:hAnsiTheme="minorHAnsi" w:cstheme="minorHAnsi"/>
                <w:b/>
                <w:sz w:val="20"/>
                <w:szCs w:val="20"/>
              </w:rPr>
              <w:t>Krista Kruja</w:t>
            </w:r>
          </w:p>
          <w:p w14:paraId="72C9ECC2" w14:textId="77777777" w:rsidR="00973CD3" w:rsidRPr="002B0A41" w:rsidRDefault="00973CD3" w:rsidP="00973CD3">
            <w:pPr>
              <w:pStyle w:val="ItadNormalText"/>
              <w:rPr>
                <w:rFonts w:asciiTheme="minorHAnsi" w:hAnsiTheme="minorHAnsi" w:cstheme="minorHAnsi"/>
                <w:b/>
                <w:color w:val="auto"/>
                <w:sz w:val="20"/>
                <w:szCs w:val="20"/>
              </w:rPr>
            </w:pPr>
            <w:r w:rsidRPr="002B0A41">
              <w:rPr>
                <w:rFonts w:asciiTheme="minorHAnsi" w:hAnsiTheme="minorHAnsi" w:cstheme="minorHAnsi"/>
                <w:b/>
                <w:sz w:val="20"/>
                <w:szCs w:val="20"/>
              </w:rPr>
              <w:t>Juliette Gautron</w:t>
            </w:r>
          </w:p>
          <w:p w14:paraId="478CC7B6" w14:textId="05A803DF" w:rsidR="00973CD3" w:rsidRPr="002B0A41" w:rsidRDefault="00973CD3" w:rsidP="00973CD3">
            <w:pPr>
              <w:pStyle w:val="ItadNormalText"/>
              <w:rPr>
                <w:rFonts w:asciiTheme="minorHAnsi" w:hAnsiTheme="minorHAnsi" w:cstheme="minorHAnsi"/>
                <w:b/>
                <w:color w:val="auto"/>
                <w:sz w:val="20"/>
                <w:szCs w:val="20"/>
              </w:rPr>
            </w:pPr>
            <w:r w:rsidRPr="002B0A41">
              <w:rPr>
                <w:rFonts w:asciiTheme="minorHAnsi" w:hAnsiTheme="minorHAnsi" w:cstheme="minorHAnsi"/>
                <w:b/>
                <w:sz w:val="20"/>
                <w:szCs w:val="20"/>
              </w:rPr>
              <w:t>Zoe Bonnell</w:t>
            </w:r>
          </w:p>
          <w:p w14:paraId="7ED6670E" w14:textId="43C4111F" w:rsidR="00973CD3" w:rsidRPr="007F63EF" w:rsidRDefault="00973CD3" w:rsidP="00973CD3">
            <w:pPr>
              <w:pStyle w:val="ItadNormalText"/>
              <w:spacing w:after="0"/>
              <w:rPr>
                <w:rFonts w:asciiTheme="minorHAnsi" w:hAnsiTheme="minorHAnsi" w:cstheme="minorHAnsi"/>
                <w:b/>
                <w:color w:val="auto"/>
                <w:sz w:val="20"/>
                <w:szCs w:val="20"/>
                <w:lang w:val="de-DE"/>
              </w:rPr>
            </w:pPr>
            <w:r w:rsidRPr="002F4BB7">
              <w:rPr>
                <w:rFonts w:asciiTheme="minorHAnsi" w:hAnsiTheme="minorHAnsi" w:cstheme="minorHAnsi"/>
                <w:b/>
                <w:sz w:val="20"/>
                <w:szCs w:val="20"/>
                <w:lang w:val="de-DE"/>
              </w:rPr>
              <w:t>Shiuli Das</w:t>
            </w:r>
          </w:p>
        </w:tc>
        <w:tc>
          <w:tcPr>
            <w:tcW w:w="6096" w:type="dxa"/>
            <w:hideMark/>
          </w:tcPr>
          <w:p w14:paraId="023C9168" w14:textId="49E0289C" w:rsidR="00973CD3" w:rsidRPr="007F63EF" w:rsidRDefault="00973CD3" w:rsidP="00973CD3">
            <w:pPr>
              <w:pStyle w:val="ItadNormalText"/>
              <w:rPr>
                <w:rFonts w:asciiTheme="minorHAnsi" w:hAnsiTheme="minorHAnsi" w:cstheme="minorHAnsi"/>
                <w:color w:val="auto"/>
                <w:sz w:val="20"/>
                <w:szCs w:val="20"/>
              </w:rPr>
            </w:pPr>
            <w:r w:rsidRPr="002F4BB7">
              <w:rPr>
                <w:rFonts w:asciiTheme="minorHAnsi" w:hAnsiTheme="minorHAnsi" w:cstheme="minorHAnsi"/>
                <w:b/>
                <w:sz w:val="20"/>
                <w:szCs w:val="20"/>
              </w:rPr>
              <w:t>Country R</w:t>
            </w:r>
            <w:r w:rsidR="00553972" w:rsidRPr="00AC139B">
              <w:rPr>
                <w:rFonts w:asciiTheme="minorHAnsi" w:hAnsiTheme="minorHAnsi" w:cstheme="minorHAnsi"/>
                <w:b/>
                <w:color w:val="auto"/>
                <w:sz w:val="20"/>
                <w:szCs w:val="20"/>
              </w:rPr>
              <w:t>a</w:t>
            </w:r>
            <w:r w:rsidRPr="002F4BB7">
              <w:rPr>
                <w:rFonts w:asciiTheme="minorHAnsi" w:hAnsiTheme="minorHAnsi" w:cstheme="minorHAnsi"/>
                <w:b/>
                <w:sz w:val="20"/>
                <w:szCs w:val="20"/>
              </w:rPr>
              <w:t xml:space="preserve">s: </w:t>
            </w:r>
            <w:r w:rsidRPr="002F4BB7">
              <w:rPr>
                <w:rFonts w:asciiTheme="minorHAnsi" w:hAnsiTheme="minorHAnsi" w:cstheme="minorHAnsi"/>
                <w:bCs/>
                <w:sz w:val="20"/>
                <w:szCs w:val="20"/>
              </w:rPr>
              <w:t>Responsible for completing</w:t>
            </w:r>
            <w:r w:rsidRPr="002F4BB7">
              <w:rPr>
                <w:rFonts w:asciiTheme="minorHAnsi" w:hAnsiTheme="minorHAnsi" w:cstheme="minorHAnsi"/>
                <w:sz w:val="20"/>
                <w:szCs w:val="20"/>
              </w:rPr>
              <w:t xml:space="preserve"> desk-based research in preparation for the country visits, working with country leads and in-country consultants to ensure all tools were complete. The country R</w:t>
            </w:r>
            <w:r w:rsidR="00553972" w:rsidRPr="00AC139B">
              <w:rPr>
                <w:rFonts w:asciiTheme="minorHAnsi" w:hAnsiTheme="minorHAnsi" w:cstheme="minorHAnsi"/>
                <w:color w:val="auto"/>
                <w:sz w:val="20"/>
                <w:szCs w:val="20"/>
              </w:rPr>
              <w:t>a</w:t>
            </w:r>
            <w:r w:rsidRPr="002F4BB7">
              <w:rPr>
                <w:rFonts w:asciiTheme="minorHAnsi" w:hAnsiTheme="minorHAnsi" w:cstheme="minorHAnsi"/>
                <w:sz w:val="20"/>
                <w:szCs w:val="20"/>
              </w:rPr>
              <w:t>s contributed to annual deliverables and team training workshops as required.</w:t>
            </w:r>
          </w:p>
        </w:tc>
      </w:tr>
      <w:tr w:rsidR="00973CD3" w14:paraId="476B5F50" w14:textId="77777777" w:rsidTr="00563732">
        <w:trPr>
          <w:cnfStyle w:val="000000010000" w:firstRow="0" w:lastRow="0" w:firstColumn="0" w:lastColumn="0" w:oddVBand="0" w:evenVBand="0" w:oddHBand="0" w:evenHBand="1" w:firstRowFirstColumn="0" w:firstRowLastColumn="0" w:lastRowFirstColumn="0" w:lastRowLastColumn="0"/>
          <w:trHeight w:val="280"/>
        </w:trPr>
        <w:tc>
          <w:tcPr>
            <w:tcW w:w="9380" w:type="dxa"/>
            <w:gridSpan w:val="2"/>
            <w:hideMark/>
          </w:tcPr>
          <w:p w14:paraId="4C612F96" w14:textId="77777777" w:rsidR="00973CD3" w:rsidRPr="007F63EF" w:rsidRDefault="00973CD3" w:rsidP="00973CD3">
            <w:pPr>
              <w:pStyle w:val="ItadNormalText"/>
              <w:spacing w:before="0" w:after="0"/>
              <w:rPr>
                <w:rFonts w:asciiTheme="minorHAnsi" w:hAnsiTheme="minorHAnsi" w:cstheme="minorHAnsi"/>
                <w:b/>
                <w:color w:val="auto"/>
                <w:sz w:val="20"/>
                <w:szCs w:val="20"/>
              </w:rPr>
            </w:pPr>
            <w:r w:rsidRPr="002F4BB7">
              <w:rPr>
                <w:rFonts w:asciiTheme="minorHAnsi" w:hAnsiTheme="minorHAnsi" w:cstheme="minorHAnsi"/>
                <w:i/>
                <w:sz w:val="20"/>
                <w:szCs w:val="20"/>
              </w:rPr>
              <w:t>Central Research Analyst</w:t>
            </w:r>
          </w:p>
        </w:tc>
      </w:tr>
      <w:tr w:rsidR="00973CD3" w14:paraId="6A2A22B6" w14:textId="77777777" w:rsidTr="00563732">
        <w:trPr>
          <w:cnfStyle w:val="000000100000" w:firstRow="0" w:lastRow="0" w:firstColumn="0" w:lastColumn="0" w:oddVBand="0" w:evenVBand="0" w:oddHBand="1" w:evenHBand="0" w:firstRowFirstColumn="0" w:firstRowLastColumn="0" w:lastRowFirstColumn="0" w:lastRowLastColumn="0"/>
          <w:trHeight w:val="773"/>
        </w:trPr>
        <w:tc>
          <w:tcPr>
            <w:tcW w:w="3284" w:type="dxa"/>
            <w:hideMark/>
          </w:tcPr>
          <w:p w14:paraId="7D346763" w14:textId="55C7B54F" w:rsidR="00973CD3" w:rsidRPr="007F63EF" w:rsidRDefault="00973CD3" w:rsidP="00973CD3">
            <w:pPr>
              <w:pStyle w:val="ItadNormalText"/>
              <w:spacing w:after="0"/>
              <w:rPr>
                <w:rFonts w:asciiTheme="minorHAnsi" w:hAnsiTheme="minorHAnsi" w:cstheme="minorHAnsi"/>
                <w:b/>
                <w:color w:val="auto"/>
                <w:sz w:val="20"/>
                <w:szCs w:val="20"/>
                <w:lang w:val="fr-FR"/>
              </w:rPr>
            </w:pPr>
            <w:r w:rsidRPr="002F4BB7">
              <w:rPr>
                <w:rFonts w:asciiTheme="minorHAnsi" w:hAnsiTheme="minorHAnsi" w:cstheme="minorHAnsi"/>
                <w:b/>
                <w:sz w:val="20"/>
                <w:szCs w:val="20"/>
                <w:lang w:val="fr-FR"/>
              </w:rPr>
              <w:t xml:space="preserve">Zoe Bonnell </w:t>
            </w:r>
          </w:p>
        </w:tc>
        <w:tc>
          <w:tcPr>
            <w:tcW w:w="6096" w:type="dxa"/>
            <w:hideMark/>
          </w:tcPr>
          <w:p w14:paraId="5E6F2D4F" w14:textId="005AD62A" w:rsidR="00973CD3" w:rsidRPr="007F63EF" w:rsidRDefault="00973CD3" w:rsidP="00973CD3">
            <w:pPr>
              <w:pStyle w:val="ItadNormalText"/>
              <w:rPr>
                <w:rFonts w:asciiTheme="minorHAnsi" w:hAnsiTheme="minorHAnsi" w:cstheme="minorHAnsi"/>
                <w:color w:val="auto"/>
                <w:sz w:val="20"/>
                <w:szCs w:val="20"/>
              </w:rPr>
            </w:pPr>
            <w:r w:rsidRPr="002F4BB7">
              <w:rPr>
                <w:rFonts w:asciiTheme="minorHAnsi" w:hAnsiTheme="minorHAnsi" w:cstheme="minorHAnsi"/>
                <w:b/>
                <w:sz w:val="20"/>
                <w:szCs w:val="20"/>
              </w:rPr>
              <w:t xml:space="preserve">Central RA: </w:t>
            </w:r>
            <w:r w:rsidRPr="002F4BB7">
              <w:rPr>
                <w:rFonts w:asciiTheme="minorHAnsi" w:hAnsiTheme="minorHAnsi" w:cstheme="minorHAnsi"/>
                <w:sz w:val="20"/>
                <w:szCs w:val="20"/>
              </w:rPr>
              <w:t xml:space="preserve">Responsible for liaising with the MA on documentation for country visits and for uploading it onto TEAMs. The central RA supported desk-based research ahead of country visits, working with USE and VfM thematic leads to complete TrACSS and VfM deliverables; and contributed to annual deliverables and team training workshops as required. </w:t>
            </w:r>
          </w:p>
        </w:tc>
      </w:tr>
      <w:tr w:rsidR="00973CD3" w14:paraId="4641E77D" w14:textId="77777777" w:rsidTr="00563732">
        <w:trPr>
          <w:cnfStyle w:val="000000010000" w:firstRow="0" w:lastRow="0" w:firstColumn="0" w:lastColumn="0" w:oddVBand="0" w:evenVBand="0" w:oddHBand="0" w:evenHBand="1" w:firstRowFirstColumn="0" w:firstRowLastColumn="0" w:lastRowFirstColumn="0" w:lastRowLastColumn="0"/>
          <w:trHeight w:val="193"/>
        </w:trPr>
        <w:tc>
          <w:tcPr>
            <w:tcW w:w="9380" w:type="dxa"/>
            <w:gridSpan w:val="2"/>
            <w:hideMark/>
          </w:tcPr>
          <w:p w14:paraId="6D829959" w14:textId="2D173417" w:rsidR="00973CD3" w:rsidRPr="007F63EF" w:rsidRDefault="00973CD3" w:rsidP="00973CD3">
            <w:pPr>
              <w:pStyle w:val="ItadNormalText"/>
              <w:spacing w:before="0" w:after="0"/>
              <w:rPr>
                <w:rFonts w:asciiTheme="minorHAnsi" w:hAnsiTheme="minorHAnsi" w:cstheme="minorHAnsi"/>
                <w:i/>
                <w:color w:val="auto"/>
                <w:sz w:val="20"/>
                <w:szCs w:val="20"/>
              </w:rPr>
            </w:pPr>
            <w:r w:rsidRPr="002F4BB7">
              <w:rPr>
                <w:rFonts w:asciiTheme="minorHAnsi" w:hAnsiTheme="minorHAnsi" w:cstheme="minorHAnsi"/>
                <w:i/>
                <w:sz w:val="20"/>
                <w:szCs w:val="20"/>
              </w:rPr>
              <w:t>Technical Advisor</w:t>
            </w:r>
          </w:p>
        </w:tc>
      </w:tr>
      <w:tr w:rsidR="00973CD3" w14:paraId="63F211A5" w14:textId="77777777" w:rsidTr="00563732">
        <w:trPr>
          <w:cnfStyle w:val="000000100000" w:firstRow="0" w:lastRow="0" w:firstColumn="0" w:lastColumn="0" w:oddVBand="0" w:evenVBand="0" w:oddHBand="1" w:evenHBand="0" w:firstRowFirstColumn="0" w:firstRowLastColumn="0" w:lastRowFirstColumn="0" w:lastRowLastColumn="0"/>
          <w:trHeight w:val="773"/>
        </w:trPr>
        <w:tc>
          <w:tcPr>
            <w:tcW w:w="3284" w:type="dxa"/>
          </w:tcPr>
          <w:p w14:paraId="72885968" w14:textId="77777777" w:rsidR="00973CD3" w:rsidRPr="007F63EF" w:rsidRDefault="00973CD3" w:rsidP="00973CD3">
            <w:pPr>
              <w:pStyle w:val="ItadNormalText"/>
              <w:spacing w:after="0"/>
              <w:rPr>
                <w:rFonts w:asciiTheme="minorHAnsi" w:hAnsiTheme="minorHAnsi" w:cstheme="minorHAnsi"/>
                <w:b/>
                <w:color w:val="auto"/>
                <w:sz w:val="20"/>
                <w:szCs w:val="20"/>
              </w:rPr>
            </w:pPr>
            <w:r w:rsidRPr="002F4BB7">
              <w:rPr>
                <w:rFonts w:asciiTheme="minorHAnsi" w:hAnsiTheme="minorHAnsi" w:cstheme="minorHAnsi"/>
                <w:b/>
                <w:sz w:val="20"/>
                <w:szCs w:val="20"/>
              </w:rPr>
              <w:t>Gerry Bloom</w:t>
            </w:r>
          </w:p>
          <w:p w14:paraId="73DAD2EE" w14:textId="77777777" w:rsidR="00973CD3" w:rsidRPr="007F63EF" w:rsidRDefault="00973CD3" w:rsidP="00973CD3">
            <w:pPr>
              <w:pStyle w:val="ItadNormalText"/>
              <w:spacing w:before="0"/>
              <w:rPr>
                <w:rFonts w:asciiTheme="minorHAnsi" w:hAnsiTheme="minorHAnsi" w:cstheme="minorHAnsi"/>
                <w:b/>
                <w:color w:val="auto"/>
                <w:sz w:val="20"/>
                <w:szCs w:val="20"/>
              </w:rPr>
            </w:pPr>
          </w:p>
        </w:tc>
        <w:tc>
          <w:tcPr>
            <w:tcW w:w="6096" w:type="dxa"/>
            <w:hideMark/>
          </w:tcPr>
          <w:p w14:paraId="2CDAE0E2" w14:textId="7DE5DE29" w:rsidR="00973CD3" w:rsidRPr="007F63EF" w:rsidRDefault="00973CD3" w:rsidP="00973CD3">
            <w:pPr>
              <w:pStyle w:val="ItadNormalText"/>
              <w:rPr>
                <w:rFonts w:asciiTheme="minorHAnsi" w:hAnsiTheme="minorHAnsi" w:cstheme="minorHAnsi"/>
                <w:color w:val="auto"/>
                <w:sz w:val="20"/>
                <w:szCs w:val="20"/>
              </w:rPr>
            </w:pPr>
            <w:r w:rsidRPr="002F4BB7">
              <w:rPr>
                <w:rFonts w:asciiTheme="minorHAnsi" w:hAnsiTheme="minorHAnsi" w:cstheme="minorHAnsi"/>
                <w:b/>
                <w:sz w:val="20"/>
                <w:szCs w:val="20"/>
              </w:rPr>
              <w:t xml:space="preserve">Health Systems Strengthening (HSS) and Health Policy Advisor: </w:t>
            </w:r>
            <w:r w:rsidRPr="002F4BB7">
              <w:rPr>
                <w:rFonts w:asciiTheme="minorHAnsi" w:hAnsiTheme="minorHAnsi" w:cstheme="minorHAnsi"/>
                <w:sz w:val="20"/>
                <w:szCs w:val="20"/>
              </w:rPr>
              <w:t>Input into the development of tools and protocols, provided technical advice in HSS and Health Policy</w:t>
            </w:r>
            <w:r w:rsidR="00553972">
              <w:rPr>
                <w:rFonts w:asciiTheme="minorHAnsi" w:hAnsiTheme="minorHAnsi" w:cstheme="minorHAnsi"/>
                <w:color w:val="auto"/>
                <w:sz w:val="20"/>
                <w:szCs w:val="20"/>
              </w:rPr>
              <w:t>,</w:t>
            </w:r>
            <w:r w:rsidRPr="002F4BB7">
              <w:rPr>
                <w:rFonts w:asciiTheme="minorHAnsi" w:hAnsiTheme="minorHAnsi" w:cstheme="minorHAnsi"/>
                <w:sz w:val="20"/>
                <w:szCs w:val="20"/>
              </w:rPr>
              <w:t xml:space="preserve"> and provided input in various deliverables as needed.</w:t>
            </w:r>
          </w:p>
        </w:tc>
      </w:tr>
      <w:tr w:rsidR="00973CD3" w14:paraId="6D4A8747" w14:textId="77777777" w:rsidTr="00563732">
        <w:trPr>
          <w:cnfStyle w:val="000000010000" w:firstRow="0" w:lastRow="0" w:firstColumn="0" w:lastColumn="0" w:oddVBand="0" w:evenVBand="0" w:oddHBand="0" w:evenHBand="1" w:firstRowFirstColumn="0" w:firstRowLastColumn="0" w:lastRowFirstColumn="0" w:lastRowLastColumn="0"/>
          <w:trHeight w:val="193"/>
        </w:trPr>
        <w:tc>
          <w:tcPr>
            <w:tcW w:w="9380" w:type="dxa"/>
            <w:gridSpan w:val="2"/>
            <w:hideMark/>
          </w:tcPr>
          <w:p w14:paraId="589BD516" w14:textId="77777777" w:rsidR="00973CD3" w:rsidRPr="007F63EF" w:rsidRDefault="00973CD3" w:rsidP="00973CD3">
            <w:pPr>
              <w:pStyle w:val="ItadNormalText"/>
              <w:spacing w:before="0" w:after="0"/>
              <w:rPr>
                <w:rFonts w:asciiTheme="minorHAnsi" w:hAnsiTheme="minorHAnsi" w:cstheme="minorHAnsi"/>
                <w:i/>
                <w:color w:val="auto"/>
                <w:sz w:val="20"/>
                <w:szCs w:val="20"/>
              </w:rPr>
            </w:pPr>
            <w:r w:rsidRPr="002F4BB7">
              <w:rPr>
                <w:rFonts w:asciiTheme="minorHAnsi" w:hAnsiTheme="minorHAnsi" w:cstheme="minorHAnsi"/>
                <w:i/>
                <w:sz w:val="20"/>
                <w:szCs w:val="20"/>
              </w:rPr>
              <w:t>Central Support roles</w:t>
            </w:r>
          </w:p>
        </w:tc>
      </w:tr>
      <w:tr w:rsidR="00973CD3" w14:paraId="3B5121CF" w14:textId="77777777" w:rsidTr="00563732">
        <w:trPr>
          <w:cnfStyle w:val="000000100000" w:firstRow="0" w:lastRow="0" w:firstColumn="0" w:lastColumn="0" w:oddVBand="0" w:evenVBand="0" w:oddHBand="1" w:evenHBand="0" w:firstRowFirstColumn="0" w:firstRowLastColumn="0" w:lastRowFirstColumn="0" w:lastRowLastColumn="0"/>
          <w:trHeight w:val="773"/>
        </w:trPr>
        <w:tc>
          <w:tcPr>
            <w:tcW w:w="3284" w:type="dxa"/>
          </w:tcPr>
          <w:p w14:paraId="5F34AA46" w14:textId="77777777" w:rsidR="00973CD3" w:rsidRPr="007F63EF" w:rsidRDefault="00973CD3" w:rsidP="00973CD3">
            <w:pPr>
              <w:pStyle w:val="ItadNormalText"/>
              <w:spacing w:before="0"/>
              <w:rPr>
                <w:rFonts w:asciiTheme="minorHAnsi" w:hAnsiTheme="minorHAnsi" w:cstheme="minorHAnsi"/>
                <w:b/>
                <w:color w:val="auto"/>
                <w:sz w:val="20"/>
                <w:szCs w:val="20"/>
                <w:lang w:val="fr-FR"/>
              </w:rPr>
            </w:pPr>
            <w:r w:rsidRPr="002F4BB7">
              <w:rPr>
                <w:rFonts w:asciiTheme="minorHAnsi" w:hAnsiTheme="minorHAnsi" w:cstheme="minorHAnsi"/>
                <w:b/>
                <w:sz w:val="20"/>
                <w:szCs w:val="20"/>
                <w:lang w:val="fr-FR"/>
              </w:rPr>
              <w:t>Jack Dale</w:t>
            </w:r>
          </w:p>
          <w:p w14:paraId="02752676" w14:textId="77777777" w:rsidR="00973CD3" w:rsidRPr="007F63EF" w:rsidRDefault="00973CD3" w:rsidP="00973CD3">
            <w:pPr>
              <w:pStyle w:val="ItadNormalText"/>
              <w:spacing w:before="0"/>
              <w:rPr>
                <w:rFonts w:asciiTheme="minorHAnsi" w:hAnsiTheme="minorHAnsi" w:cstheme="minorHAnsi"/>
                <w:b/>
                <w:color w:val="auto"/>
                <w:sz w:val="20"/>
                <w:szCs w:val="20"/>
                <w:lang w:val="fr-FR"/>
              </w:rPr>
            </w:pPr>
          </w:p>
        </w:tc>
        <w:tc>
          <w:tcPr>
            <w:tcW w:w="6096" w:type="dxa"/>
            <w:hideMark/>
          </w:tcPr>
          <w:p w14:paraId="635126FA" w14:textId="2F6F66AF" w:rsidR="00973CD3" w:rsidRPr="007F63EF" w:rsidRDefault="00973CD3" w:rsidP="00973CD3">
            <w:pPr>
              <w:pStyle w:val="ItadNormalText"/>
              <w:rPr>
                <w:rFonts w:asciiTheme="minorHAnsi" w:hAnsiTheme="minorHAnsi" w:cstheme="minorHAnsi"/>
                <w:b/>
                <w:color w:val="auto"/>
                <w:sz w:val="20"/>
                <w:szCs w:val="20"/>
              </w:rPr>
            </w:pPr>
            <w:r w:rsidRPr="002F4BB7">
              <w:rPr>
                <w:rFonts w:asciiTheme="minorHAnsi" w:hAnsiTheme="minorHAnsi" w:cstheme="minorHAnsi"/>
                <w:b/>
                <w:sz w:val="20"/>
                <w:szCs w:val="20"/>
              </w:rPr>
              <w:t xml:space="preserve">Project Officer: </w:t>
            </w:r>
            <w:r w:rsidRPr="002F4BB7">
              <w:rPr>
                <w:rFonts w:asciiTheme="minorHAnsi" w:hAnsiTheme="minorHAnsi" w:cstheme="minorHAnsi"/>
                <w:sz w:val="20"/>
                <w:szCs w:val="20"/>
              </w:rPr>
              <w:t>Worked closely with the Project Manager and DHSC to ensure the smooth delivery of the evaluation. The Project Officer supported team members on contractual and logistic issues related to the project and numerous country visits, closely monitored the budget and the work plan, in collaboration with the Project Manager and the Project Director</w:t>
            </w:r>
            <w:r w:rsidR="00553972">
              <w:rPr>
                <w:rFonts w:asciiTheme="minorHAnsi" w:hAnsiTheme="minorHAnsi" w:cstheme="minorHAnsi"/>
                <w:color w:val="auto"/>
                <w:sz w:val="20"/>
                <w:szCs w:val="20"/>
              </w:rPr>
              <w:t>,</w:t>
            </w:r>
            <w:r w:rsidRPr="002F4BB7">
              <w:rPr>
                <w:rFonts w:asciiTheme="minorHAnsi" w:hAnsiTheme="minorHAnsi" w:cstheme="minorHAnsi"/>
                <w:sz w:val="20"/>
                <w:szCs w:val="20"/>
              </w:rPr>
              <w:t xml:space="preserve"> and oversaw invoicing with team members and the DHSC. </w:t>
            </w:r>
          </w:p>
        </w:tc>
      </w:tr>
    </w:tbl>
    <w:p w14:paraId="328ADCA4" w14:textId="77777777" w:rsidR="00C7080A" w:rsidRDefault="00C7080A" w:rsidP="00C7080A">
      <w:pPr>
        <w:tabs>
          <w:tab w:val="left" w:pos="900"/>
        </w:tabs>
      </w:pPr>
    </w:p>
    <w:p w14:paraId="58F801D9" w14:textId="6287161D" w:rsidR="00C7080A" w:rsidRDefault="00C7080A" w:rsidP="00C7080A">
      <w:pPr>
        <w:pStyle w:val="ItadNormalText"/>
        <w:spacing w:before="0"/>
        <w:jc w:val="both"/>
      </w:pPr>
      <w:r>
        <w:t xml:space="preserve">In addition, the evaluation team </w:t>
      </w:r>
      <w:r w:rsidR="00553972">
        <w:t xml:space="preserve">was </w:t>
      </w:r>
      <w:r>
        <w:t xml:space="preserve">guided by an EAG. This is a group of leading experts whose role is to i) ensure the team </w:t>
      </w:r>
      <w:r w:rsidR="00553972">
        <w:t xml:space="preserve">was </w:t>
      </w:r>
      <w:r>
        <w:t>aware of other key initiatives in AMR that might affect what we d</w:t>
      </w:r>
      <w:r w:rsidR="003A6B30">
        <w:t>id</w:t>
      </w:r>
      <w:r>
        <w:t xml:space="preserve">; ii) check that the team </w:t>
      </w:r>
      <w:r w:rsidR="00553972">
        <w:t xml:space="preserve">was </w:t>
      </w:r>
      <w:r>
        <w:t xml:space="preserve">not overlooking key technical issues that might strengthen our approach if addressed or would provide an alternative explanation for what we </w:t>
      </w:r>
      <w:r w:rsidR="003A6B30">
        <w:t>found</w:t>
      </w:r>
      <w:r>
        <w:t xml:space="preserve"> in the evaluation; iii) to input into our adaptive learning approach to provide a practitioners’ perspective on our findings and how to present</w:t>
      </w:r>
      <w:r w:rsidR="003A6B30">
        <w:t xml:space="preserve"> them</w:t>
      </w:r>
      <w:r>
        <w:t xml:space="preserve"> in a way useful to the broader AMR constituency.</w:t>
      </w:r>
      <w:r w:rsidR="007458AC">
        <w:t xml:space="preserve"> </w:t>
      </w:r>
      <w:r>
        <w:t>The EAG is made up of:</w:t>
      </w:r>
    </w:p>
    <w:p w14:paraId="3D6BD96B" w14:textId="75BD6BE6" w:rsidR="00C7080A" w:rsidRDefault="00C7080A" w:rsidP="00C6374D">
      <w:pPr>
        <w:pStyle w:val="ItadNormalText"/>
        <w:numPr>
          <w:ilvl w:val="0"/>
          <w:numId w:val="93"/>
        </w:numPr>
        <w:jc w:val="both"/>
      </w:pPr>
      <w:r>
        <w:t xml:space="preserve">Prof </w:t>
      </w:r>
      <w:r>
        <w:rPr>
          <w:b/>
        </w:rPr>
        <w:t>Tim Peto</w:t>
      </w:r>
      <w:r>
        <w:t xml:space="preserve">, Professor of medicine at the University of Oxford and a consultant in infectious diseases; co-leader for the Infection Theme of the Oxford Biomedical Research Centre, and a co-lead of the Oxford Health Protection Research Unit on Healthcare associated infections and </w:t>
      </w:r>
      <w:r w:rsidR="00265143">
        <w:t>AMR</w:t>
      </w:r>
      <w:r>
        <w:t xml:space="preserve"> and a National Institute for Health Research Senior Investigator.</w:t>
      </w:r>
    </w:p>
    <w:p w14:paraId="7D7F1983" w14:textId="0A6B62B4" w:rsidR="00C7080A" w:rsidRDefault="00C7080A" w:rsidP="00C6374D">
      <w:pPr>
        <w:pStyle w:val="ItadNormalText"/>
        <w:numPr>
          <w:ilvl w:val="0"/>
          <w:numId w:val="93"/>
        </w:numPr>
        <w:tabs>
          <w:tab w:val="left" w:pos="900"/>
        </w:tabs>
        <w:jc w:val="both"/>
      </w:pPr>
      <w:r>
        <w:t xml:space="preserve">Prof </w:t>
      </w:r>
      <w:r>
        <w:rPr>
          <w:b/>
        </w:rPr>
        <w:t>David Heyman</w:t>
      </w:r>
      <w:r>
        <w:t xml:space="preserve">, Professor of Infectious Disease Epidemiology, </w:t>
      </w:r>
      <w:r w:rsidR="00EF2191">
        <w:t>LSHTM</w:t>
      </w:r>
      <w:r>
        <w:t xml:space="preserve">; head of the Centre on </w:t>
      </w:r>
      <w:r w:rsidR="004E72EC">
        <w:t>GHS</w:t>
      </w:r>
      <w:r>
        <w:t xml:space="preserve"> at Chatham House; and chairman of Public Health England. </w:t>
      </w:r>
    </w:p>
    <w:p w14:paraId="16ABA886" w14:textId="67B6354D" w:rsidR="00E22F49" w:rsidRDefault="00814B7D" w:rsidP="00096217">
      <w:pPr>
        <w:pStyle w:val="ItadNormalText"/>
      </w:pPr>
      <w:r w:rsidRPr="008B335B">
        <w:t>The</w:t>
      </w:r>
      <w:r>
        <w:t xml:space="preserve"> </w:t>
      </w:r>
      <w:r w:rsidRPr="008B335B">
        <w:t>above</w:t>
      </w:r>
      <w:r w:rsidR="007458AC">
        <w:t xml:space="preserve"> </w:t>
      </w:r>
      <w:r w:rsidRPr="008B335B">
        <w:t>organisational</w:t>
      </w:r>
      <w:r w:rsidR="007458AC">
        <w:t xml:space="preserve"> </w:t>
      </w:r>
      <w:r w:rsidRPr="008B335B">
        <w:t>structure</w:t>
      </w:r>
      <w:r w:rsidR="007458AC">
        <w:t xml:space="preserve"> </w:t>
      </w:r>
      <w:r w:rsidRPr="008B335B">
        <w:t>and</w:t>
      </w:r>
      <w:r w:rsidR="007458AC">
        <w:t xml:space="preserve"> </w:t>
      </w:r>
      <w:r w:rsidRPr="008B335B">
        <w:t>accountabilities and</w:t>
      </w:r>
      <w:r w:rsidR="007458AC">
        <w:t xml:space="preserve"> </w:t>
      </w:r>
      <w:r w:rsidRPr="008B335B">
        <w:t xml:space="preserve">responsibilities </w:t>
      </w:r>
      <w:r w:rsidR="003A6B30">
        <w:t>were</w:t>
      </w:r>
      <w:r w:rsidR="007458AC">
        <w:t xml:space="preserve"> </w:t>
      </w:r>
      <w:r w:rsidRPr="008B335B">
        <w:t>designed</w:t>
      </w:r>
      <w:r w:rsidR="007458AC">
        <w:t xml:space="preserve"> </w:t>
      </w:r>
      <w:r w:rsidRPr="008B335B">
        <w:t>to promote both the independence of the evaluation</w:t>
      </w:r>
      <w:r>
        <w:t xml:space="preserve"> </w:t>
      </w:r>
      <w:r w:rsidRPr="008B335B">
        <w:t>and ensure efficient implementation through a clear division in roles, accountabilities and responsibilities.</w:t>
      </w:r>
      <w:r>
        <w:t xml:space="preserve"> </w:t>
      </w:r>
    </w:p>
    <w:bookmarkEnd w:id="324"/>
    <w:p w14:paraId="69E5CC35" w14:textId="77777777" w:rsidR="004D05F4" w:rsidRDefault="004D05F4" w:rsidP="00C7080A">
      <w:pPr>
        <w:rPr>
          <w:color w:val="000000"/>
        </w:rPr>
      </w:pPr>
    </w:p>
    <w:p w14:paraId="0D2A62F5" w14:textId="77777777" w:rsidR="004D05F4" w:rsidRDefault="004D05F4" w:rsidP="00C7080A">
      <w:pPr>
        <w:rPr>
          <w:color w:val="000000"/>
        </w:rPr>
      </w:pPr>
    </w:p>
    <w:p w14:paraId="10F9AE27" w14:textId="77777777" w:rsidR="004D05F4" w:rsidRDefault="004D05F4" w:rsidP="00C7080A">
      <w:pPr>
        <w:rPr>
          <w:color w:val="000000"/>
        </w:rPr>
      </w:pPr>
    </w:p>
    <w:p w14:paraId="178015B6" w14:textId="77777777" w:rsidR="001231C2" w:rsidRDefault="00590FC3" w:rsidP="006357A9">
      <w:pPr>
        <w:pStyle w:val="ItadH1Numbered"/>
        <w:numPr>
          <w:ilvl w:val="0"/>
          <w:numId w:val="0"/>
        </w:numPr>
        <w:sectPr w:rsidR="001231C2" w:rsidSect="00FD18DA">
          <w:pgSz w:w="11900" w:h="16840"/>
          <w:pgMar w:top="1134" w:right="1191" w:bottom="1134" w:left="1191" w:header="720" w:footer="680" w:gutter="0"/>
          <w:cols w:space="720"/>
        </w:sectPr>
      </w:pPr>
      <w:r>
        <w:br w:type="page"/>
      </w:r>
    </w:p>
    <w:p w14:paraId="27F7EFF4" w14:textId="6DEAD8C2" w:rsidR="006357A9" w:rsidRDefault="007D16E0" w:rsidP="006357A9">
      <w:pPr>
        <w:pStyle w:val="ItadH1Numbered"/>
        <w:numPr>
          <w:ilvl w:val="0"/>
          <w:numId w:val="0"/>
        </w:numPr>
      </w:pPr>
      <w:bookmarkStart w:id="331" w:name="_Toc142383195"/>
      <w:r w:rsidRPr="007C65F2">
        <w:t xml:space="preserve">Annex </w:t>
      </w:r>
      <w:r>
        <w:t>1</w:t>
      </w:r>
      <w:r w:rsidR="00A70655">
        <w:t>5</w:t>
      </w:r>
      <w:r w:rsidRPr="007C65F2">
        <w:t xml:space="preserve">: </w:t>
      </w:r>
      <w:r>
        <w:t xml:space="preserve">Country </w:t>
      </w:r>
      <w:r w:rsidR="00764EB0">
        <w:t>c</w:t>
      </w:r>
      <w:r>
        <w:t>ategorisation</w:t>
      </w:r>
      <w:bookmarkEnd w:id="331"/>
    </w:p>
    <w:p w14:paraId="0B5D5DDE" w14:textId="3A73C073" w:rsidR="006357A9" w:rsidRDefault="00C2121C" w:rsidP="006357A9">
      <w:r w:rsidRPr="002B44FF">
        <w:rPr>
          <w:noProof/>
        </w:rPr>
        <w:drawing>
          <wp:anchor distT="0" distB="0" distL="114300" distR="114300" simplePos="0" relativeHeight="251658254" behindDoc="0" locked="0" layoutInCell="1" allowOverlap="1" wp14:anchorId="0D2B02FF" wp14:editId="7B877C22">
            <wp:simplePos x="0" y="0"/>
            <wp:positionH relativeFrom="column">
              <wp:posOffset>7592060</wp:posOffset>
            </wp:positionH>
            <wp:positionV relativeFrom="paragraph">
              <wp:posOffset>466725</wp:posOffset>
            </wp:positionV>
            <wp:extent cx="2298700" cy="4150995"/>
            <wp:effectExtent l="0" t="0" r="6350" b="1905"/>
            <wp:wrapNone/>
            <wp:docPr id="5" name="Picture 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with medium confidence"/>
                    <pic:cNvPicPr/>
                  </pic:nvPicPr>
                  <pic:blipFill>
                    <a:blip r:embed="rId93">
                      <a:extLst>
                        <a:ext uri="{28A0092B-C50C-407E-A947-70E740481C1C}">
                          <a14:useLocalDpi xmlns:a14="http://schemas.microsoft.com/office/drawing/2010/main" val="0"/>
                        </a:ext>
                      </a:extLst>
                    </a:blip>
                    <a:stretch>
                      <a:fillRect/>
                    </a:stretch>
                  </pic:blipFill>
                  <pic:spPr>
                    <a:xfrm>
                      <a:off x="0" y="0"/>
                      <a:ext cx="2298700" cy="4150995"/>
                    </a:xfrm>
                    <a:prstGeom prst="rect">
                      <a:avLst/>
                    </a:prstGeom>
                  </pic:spPr>
                </pic:pic>
              </a:graphicData>
            </a:graphic>
            <wp14:sizeRelH relativeFrom="page">
              <wp14:pctWidth>0</wp14:pctWidth>
            </wp14:sizeRelH>
            <wp14:sizeRelV relativeFrom="page">
              <wp14:pctHeight>0</wp14:pctHeight>
            </wp14:sizeRelV>
          </wp:anchor>
        </w:drawing>
      </w:r>
      <w:r w:rsidR="00167609" w:rsidRPr="00167609">
        <w:t xml:space="preserve">The original </w:t>
      </w:r>
      <w:r w:rsidRPr="00167609">
        <w:t>2</w:t>
      </w:r>
      <w:r>
        <w:t>3</w:t>
      </w:r>
      <w:r w:rsidR="00E07358">
        <w:rPr>
          <w:rStyle w:val="FootnoteReference"/>
        </w:rPr>
        <w:footnoteReference w:id="58"/>
      </w:r>
      <w:r w:rsidRPr="00167609">
        <w:t xml:space="preserve"> </w:t>
      </w:r>
      <w:r w:rsidR="00167609" w:rsidRPr="00167609">
        <w:t>Fleming Fund countries had different starting points in terms</w:t>
      </w:r>
      <w:r w:rsidR="007458AC">
        <w:t xml:space="preserve"> </w:t>
      </w:r>
      <w:r w:rsidR="00167609" w:rsidRPr="00167609">
        <w:t>of</w:t>
      </w:r>
      <w:r w:rsidR="007458AC">
        <w:t xml:space="preserve"> </w:t>
      </w:r>
      <w:r w:rsidR="00167609" w:rsidRPr="00167609">
        <w:t>what surveillance</w:t>
      </w:r>
      <w:r w:rsidR="007458AC">
        <w:t xml:space="preserve"> </w:t>
      </w:r>
      <w:r w:rsidR="00167609" w:rsidRPr="00167609">
        <w:t xml:space="preserve">systems </w:t>
      </w:r>
      <w:r w:rsidR="007A37F3">
        <w:t>were</w:t>
      </w:r>
      <w:r w:rsidR="00167609" w:rsidRPr="00167609">
        <w:t xml:space="preserve"> already in place </w:t>
      </w:r>
      <w:r w:rsidR="00152244">
        <w:t>(</w:t>
      </w:r>
      <w:r w:rsidR="007A37F3">
        <w:fldChar w:fldCharType="begin"/>
      </w:r>
      <w:r w:rsidR="007A37F3">
        <w:instrText xml:space="preserve"> REF _Ref119936079 \h </w:instrText>
      </w:r>
      <w:r w:rsidR="007A37F3">
        <w:fldChar w:fldCharType="separate"/>
      </w:r>
      <w:r w:rsidR="009A383C">
        <w:t xml:space="preserve">Figure </w:t>
      </w:r>
      <w:r w:rsidR="009A383C">
        <w:rPr>
          <w:noProof/>
        </w:rPr>
        <w:t>27</w:t>
      </w:r>
      <w:r w:rsidR="007A37F3">
        <w:fldChar w:fldCharType="end"/>
      </w:r>
      <w:r w:rsidR="00167609" w:rsidRPr="00167609">
        <w:t>) and were assigned to one</w:t>
      </w:r>
      <w:r w:rsidR="007458AC">
        <w:t xml:space="preserve"> </w:t>
      </w:r>
      <w:r w:rsidR="00167609" w:rsidRPr="00167609">
        <w:t>of</w:t>
      </w:r>
      <w:r w:rsidR="007458AC">
        <w:t xml:space="preserve"> </w:t>
      </w:r>
      <w:r w:rsidR="00167609" w:rsidRPr="00167609">
        <w:t>four</w:t>
      </w:r>
      <w:r w:rsidR="007458AC">
        <w:t xml:space="preserve"> </w:t>
      </w:r>
      <w:r w:rsidR="00167609" w:rsidRPr="00167609">
        <w:t>broad</w:t>
      </w:r>
      <w:r w:rsidR="007458AC">
        <w:t xml:space="preserve"> </w:t>
      </w:r>
      <w:r w:rsidR="00167609" w:rsidRPr="00167609">
        <w:t>categories as follows</w:t>
      </w:r>
      <w:r w:rsidR="00167609">
        <w:t xml:space="preserve">. </w:t>
      </w:r>
      <w:r w:rsidR="003A6B30">
        <w:fldChar w:fldCharType="begin"/>
      </w:r>
      <w:r w:rsidR="003A6B30">
        <w:instrText xml:space="preserve"> REF _Ref119935869 \h </w:instrText>
      </w:r>
      <w:r w:rsidR="003A6B30">
        <w:fldChar w:fldCharType="separate"/>
      </w:r>
      <w:r w:rsidR="009A383C">
        <w:t xml:space="preserve">Table </w:t>
      </w:r>
      <w:r w:rsidR="009A383C">
        <w:rPr>
          <w:noProof/>
        </w:rPr>
        <w:t>47</w:t>
      </w:r>
      <w:r w:rsidR="003A6B30">
        <w:fldChar w:fldCharType="end"/>
      </w:r>
      <w:r w:rsidR="006357A9" w:rsidRPr="00A03302">
        <w:t xml:space="preserve"> provides a description of the A-D categories that the MA used to describe the status of AMR surveillance across Fleming Fund focus countries (source MA implementation plan v2.5).</w:t>
      </w:r>
    </w:p>
    <w:p w14:paraId="3EA81B2D" w14:textId="67ABFF9E" w:rsidR="006357A9" w:rsidRPr="006357A9" w:rsidRDefault="00C2121C" w:rsidP="006357A9">
      <w:r>
        <w:rPr>
          <w:noProof/>
        </w:rPr>
        <w:drawing>
          <wp:anchor distT="0" distB="0" distL="114300" distR="114300" simplePos="0" relativeHeight="251658255" behindDoc="0" locked="0" layoutInCell="1" allowOverlap="1" wp14:anchorId="18F285EB" wp14:editId="515B9051">
            <wp:simplePos x="0" y="0"/>
            <wp:positionH relativeFrom="column">
              <wp:posOffset>-156210</wp:posOffset>
            </wp:positionH>
            <wp:positionV relativeFrom="paragraph">
              <wp:posOffset>107315</wp:posOffset>
            </wp:positionV>
            <wp:extent cx="8072120" cy="4121785"/>
            <wp:effectExtent l="0" t="0" r="5080" b="0"/>
            <wp:wrapNone/>
            <wp:docPr id="285481965" name="Picture 28548196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481965" name="Picture 285481965" descr="Map&#10;&#10;Description automatically generated"/>
                    <pic:cNvPicPr>
                      <a:picLocks noChangeAspect="1" noChangeArrowheads="1"/>
                    </pic:cNvPicPr>
                  </pic:nvPicPr>
                  <pic:blipFill rotWithShape="1">
                    <a:blip r:embed="rId94">
                      <a:extLst>
                        <a:ext uri="{28A0092B-C50C-407E-A947-70E740481C1C}">
                          <a14:useLocalDpi xmlns:a14="http://schemas.microsoft.com/office/drawing/2010/main" val="0"/>
                        </a:ext>
                      </a:extLst>
                    </a:blip>
                    <a:srcRect t="17846"/>
                    <a:stretch/>
                  </pic:blipFill>
                  <pic:spPr bwMode="auto">
                    <a:xfrm>
                      <a:off x="0" y="0"/>
                      <a:ext cx="8072120" cy="41217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1E5D8E" w14:textId="1F37E66F" w:rsidR="001231C2" w:rsidRDefault="00152244" w:rsidP="006357A9">
      <w:r>
        <w:rPr>
          <w:noProof/>
        </w:rPr>
        <mc:AlternateContent>
          <mc:Choice Requires="wps">
            <w:drawing>
              <wp:anchor distT="0" distB="0" distL="114300" distR="114300" simplePos="0" relativeHeight="251658248" behindDoc="0" locked="0" layoutInCell="1" allowOverlap="1" wp14:anchorId="0880B981" wp14:editId="0B480780">
                <wp:simplePos x="0" y="0"/>
                <wp:positionH relativeFrom="column">
                  <wp:posOffset>8931</wp:posOffset>
                </wp:positionH>
                <wp:positionV relativeFrom="paragraph">
                  <wp:posOffset>4657725</wp:posOffset>
                </wp:positionV>
                <wp:extent cx="5372100" cy="635"/>
                <wp:effectExtent l="0" t="0" r="0" b="0"/>
                <wp:wrapNone/>
                <wp:docPr id="1977043524" name="Text Box 1977043524"/>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22D5402D" w14:textId="5AA4B7EC" w:rsidR="00152244" w:rsidRPr="00FB4DE1" w:rsidRDefault="00152244" w:rsidP="00C04C3C">
                            <w:pPr>
                              <w:pStyle w:val="ItadCaption"/>
                              <w:rPr>
                                <w:noProof/>
                              </w:rPr>
                            </w:pPr>
                            <w:bookmarkStart w:id="332" w:name="_Ref119936079"/>
                            <w:bookmarkStart w:id="333" w:name="_Ref119936076"/>
                            <w:bookmarkStart w:id="334" w:name="_Toc143858081"/>
                            <w:r>
                              <w:t xml:space="preserve">Figure </w:t>
                            </w:r>
                            <w:r>
                              <w:fldChar w:fldCharType="begin"/>
                            </w:r>
                            <w:r>
                              <w:instrText>SEQ Figure \* ARABIC</w:instrText>
                            </w:r>
                            <w:r>
                              <w:fldChar w:fldCharType="separate"/>
                            </w:r>
                            <w:r w:rsidR="00777FDB">
                              <w:rPr>
                                <w:noProof/>
                              </w:rPr>
                              <w:t>27</w:t>
                            </w:r>
                            <w:r>
                              <w:fldChar w:fldCharType="end"/>
                            </w:r>
                            <w:bookmarkEnd w:id="332"/>
                            <w:r>
                              <w:t xml:space="preserve"> Country Categorisation</w:t>
                            </w:r>
                            <w:bookmarkEnd w:id="333"/>
                            <w:bookmarkEnd w:id="33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80B981" id="Text Box 1977043524" o:spid="_x0000_s1032" type="#_x0000_t202" style="position:absolute;margin-left:.7pt;margin-top:366.75pt;width:423pt;height:.05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" stroked="f">
                <v:textbox style="mso-fit-shape-to-text:t" inset="0,0,0,0">
                  <w:txbxContent>
                    <w:p w14:paraId="22D5402D" w14:textId="5AA4B7EC" w:rsidR="00152244" w:rsidRPr="00FB4DE1" w:rsidRDefault="00152244" w:rsidP="00C04C3C">
                      <w:pPr>
                        <w:pStyle w:val="ItadCaption"/>
                        <w:rPr>
                          <w:noProof/>
                        </w:rPr>
                      </w:pPr>
                      <w:bookmarkStart w:id="335" w:name="_Ref119936079"/>
                      <w:bookmarkStart w:id="336" w:name="_Ref119936076"/>
                      <w:bookmarkStart w:id="337" w:name="_Toc143858081"/>
                      <w:r>
                        <w:t xml:space="preserve">Figure </w:t>
                      </w:r>
                      <w:r>
                        <w:fldChar w:fldCharType="begin"/>
                      </w:r>
                      <w:r>
                        <w:instrText>SEQ Figure \* ARABIC</w:instrText>
                      </w:r>
                      <w:r>
                        <w:fldChar w:fldCharType="separate"/>
                      </w:r>
                      <w:r w:rsidR="00777FDB">
                        <w:rPr>
                          <w:noProof/>
                        </w:rPr>
                        <w:t>27</w:t>
                      </w:r>
                      <w:r>
                        <w:fldChar w:fldCharType="end"/>
                      </w:r>
                      <w:bookmarkEnd w:id="335"/>
                      <w:r>
                        <w:t xml:space="preserve"> Country Categorisation</w:t>
                      </w:r>
                      <w:bookmarkEnd w:id="336"/>
                      <w:bookmarkEnd w:id="337"/>
                    </w:p>
                  </w:txbxContent>
                </v:textbox>
              </v:shape>
            </w:pict>
          </mc:Fallback>
        </mc:AlternateContent>
      </w:r>
    </w:p>
    <w:p w14:paraId="27CDA9A8" w14:textId="3E624740" w:rsidR="001231C2" w:rsidRDefault="002B44FF" w:rsidP="006357A9">
      <w:pPr>
        <w:sectPr w:rsidR="001231C2" w:rsidSect="001231C2">
          <w:pgSz w:w="16840" w:h="11900" w:orient="landscape"/>
          <w:pgMar w:top="1191" w:right="1134" w:bottom="1191" w:left="1134" w:header="720" w:footer="680" w:gutter="0"/>
          <w:cols w:space="720"/>
        </w:sectPr>
      </w:pPr>
      <w:r w:rsidRPr="002B44FF">
        <w:rPr>
          <w:noProof/>
        </w:rPr>
        <w:t xml:space="preserve"> </w:t>
      </w:r>
    </w:p>
    <w:p w14:paraId="492A21C3" w14:textId="38717FC1" w:rsidR="006357A9" w:rsidRDefault="006357A9" w:rsidP="00C04C3C">
      <w:pPr>
        <w:pStyle w:val="ItadCaption"/>
      </w:pPr>
      <w:bookmarkStart w:id="338" w:name="_Ref119935869"/>
      <w:bookmarkStart w:id="339" w:name="_Toc143857915"/>
      <w:r>
        <w:t xml:space="preserve">Table </w:t>
      </w:r>
      <w:r>
        <w:fldChar w:fldCharType="begin"/>
      </w:r>
      <w:r>
        <w:instrText>SEQ Table \* ARABIC</w:instrText>
      </w:r>
      <w:r>
        <w:fldChar w:fldCharType="separate"/>
      </w:r>
      <w:r w:rsidR="009A383C">
        <w:rPr>
          <w:noProof/>
        </w:rPr>
        <w:t>47</w:t>
      </w:r>
      <w:r>
        <w:fldChar w:fldCharType="end"/>
      </w:r>
      <w:bookmarkEnd w:id="338"/>
      <w:r>
        <w:t xml:space="preserve"> Country Categorisation A-D</w:t>
      </w:r>
      <w:bookmarkEnd w:id="339"/>
    </w:p>
    <w:tbl>
      <w:tblPr>
        <w:tblStyle w:val="ItadGreenHeaderRow"/>
        <w:tblW w:w="13893" w:type="dxa"/>
        <w:tblLook w:val="04A0" w:firstRow="1" w:lastRow="0" w:firstColumn="1" w:lastColumn="0" w:noHBand="0" w:noVBand="1"/>
      </w:tblPr>
      <w:tblGrid>
        <w:gridCol w:w="1016"/>
        <w:gridCol w:w="8647"/>
        <w:gridCol w:w="2245"/>
        <w:gridCol w:w="1985"/>
      </w:tblGrid>
      <w:tr w:rsidR="00E07358" w:rsidRPr="008D2613" w14:paraId="76E964F6" w14:textId="7390C584" w:rsidTr="00F93EC9">
        <w:trPr>
          <w:cnfStyle w:val="100000000000" w:firstRow="1" w:lastRow="0" w:firstColumn="0" w:lastColumn="0" w:oddVBand="0" w:evenVBand="0" w:oddHBand="0" w:evenHBand="0" w:firstRowFirstColumn="0" w:firstRowLastColumn="0" w:lastRowFirstColumn="0" w:lastRowLastColumn="0"/>
          <w:trHeight w:val="369"/>
        </w:trPr>
        <w:tc>
          <w:tcPr>
            <w:tcW w:w="1016" w:type="dxa"/>
          </w:tcPr>
          <w:p w14:paraId="1BE50B99" w14:textId="576471BA" w:rsidR="00E07358" w:rsidRPr="00BB4743" w:rsidRDefault="00E07358">
            <w:pPr>
              <w:pStyle w:val="Default"/>
              <w:spacing w:line="252" w:lineRule="auto"/>
              <w:rPr>
                <w:rFonts w:asciiTheme="minorHAnsi" w:hAnsiTheme="minorHAnsi" w:cstheme="minorHAnsi"/>
                <w:b/>
                <w:bCs/>
                <w:color w:val="3B3B3C" w:themeColor="text1"/>
                <w:sz w:val="20"/>
                <w:szCs w:val="20"/>
              </w:rPr>
            </w:pPr>
            <w:r w:rsidRPr="00BB4743">
              <w:rPr>
                <w:rFonts w:asciiTheme="minorHAnsi" w:hAnsiTheme="minorHAnsi" w:cstheme="minorHAnsi"/>
                <w:b/>
                <w:bCs/>
                <w:color w:val="3B3B3C" w:themeColor="text1"/>
                <w:sz w:val="20"/>
                <w:szCs w:val="20"/>
              </w:rPr>
              <w:t>Category</w:t>
            </w:r>
          </w:p>
        </w:tc>
        <w:tc>
          <w:tcPr>
            <w:tcW w:w="8647" w:type="dxa"/>
          </w:tcPr>
          <w:p w14:paraId="3CFAA71A" w14:textId="3E14616D" w:rsidR="00E07358" w:rsidRPr="00BB4743" w:rsidRDefault="00E07358">
            <w:pPr>
              <w:pStyle w:val="Default"/>
              <w:spacing w:line="252" w:lineRule="auto"/>
              <w:rPr>
                <w:rFonts w:asciiTheme="minorHAnsi" w:hAnsiTheme="minorHAnsi" w:cstheme="minorHAnsi"/>
                <w:b/>
                <w:bCs/>
                <w:color w:val="3B3B3C" w:themeColor="text1"/>
                <w:sz w:val="20"/>
                <w:szCs w:val="20"/>
              </w:rPr>
            </w:pPr>
            <w:r w:rsidRPr="00BB4743">
              <w:rPr>
                <w:rFonts w:asciiTheme="minorHAnsi" w:hAnsiTheme="minorHAnsi" w:cstheme="minorHAnsi"/>
                <w:b/>
                <w:bCs/>
                <w:color w:val="3B3B3C" w:themeColor="text1"/>
                <w:sz w:val="20"/>
                <w:szCs w:val="20"/>
              </w:rPr>
              <w:t>Description</w:t>
            </w:r>
          </w:p>
        </w:tc>
        <w:tc>
          <w:tcPr>
            <w:tcW w:w="4230" w:type="dxa"/>
            <w:gridSpan w:val="2"/>
          </w:tcPr>
          <w:p w14:paraId="13F63E09" w14:textId="0B315E1E" w:rsidR="00E07358" w:rsidRPr="00BB4743" w:rsidRDefault="00E07358">
            <w:pPr>
              <w:pStyle w:val="Default"/>
              <w:spacing w:line="252" w:lineRule="auto"/>
              <w:rPr>
                <w:rFonts w:asciiTheme="minorHAnsi" w:hAnsiTheme="minorHAnsi" w:cstheme="minorHAnsi"/>
                <w:b/>
                <w:bCs/>
                <w:color w:val="3B3B3C" w:themeColor="text1"/>
                <w:sz w:val="20"/>
                <w:szCs w:val="20"/>
              </w:rPr>
            </w:pPr>
            <w:r>
              <w:rPr>
                <w:rFonts w:asciiTheme="minorHAnsi" w:hAnsiTheme="minorHAnsi" w:cstheme="minorHAnsi"/>
                <w:b/>
                <w:bCs/>
                <w:color w:val="3B3B3C" w:themeColor="text1"/>
                <w:sz w:val="20"/>
                <w:szCs w:val="20"/>
              </w:rPr>
              <w:t>Countries</w:t>
            </w:r>
          </w:p>
        </w:tc>
      </w:tr>
      <w:tr w:rsidR="00E07358" w:rsidRPr="008D2613" w14:paraId="71908280" w14:textId="4FF939DF" w:rsidTr="00F93EC9">
        <w:trPr>
          <w:cnfStyle w:val="000000100000" w:firstRow="0" w:lastRow="0" w:firstColumn="0" w:lastColumn="0" w:oddVBand="0" w:evenVBand="0" w:oddHBand="1" w:evenHBand="0" w:firstRowFirstColumn="0" w:firstRowLastColumn="0" w:lastRowFirstColumn="0" w:lastRowLastColumn="0"/>
          <w:trHeight w:val="638"/>
        </w:trPr>
        <w:tc>
          <w:tcPr>
            <w:tcW w:w="1016" w:type="dxa"/>
            <w:hideMark/>
          </w:tcPr>
          <w:p w14:paraId="328BACF2" w14:textId="77777777" w:rsidR="00E07358" w:rsidRPr="00BB4743" w:rsidRDefault="00E07358">
            <w:pPr>
              <w:pStyle w:val="Default"/>
              <w:spacing w:line="252" w:lineRule="auto"/>
              <w:rPr>
                <w:rFonts w:asciiTheme="minorHAnsi" w:hAnsiTheme="minorHAnsi" w:cstheme="minorHAnsi"/>
                <w:color w:val="3B3B3C" w:themeColor="text1"/>
                <w:sz w:val="20"/>
                <w:szCs w:val="20"/>
              </w:rPr>
            </w:pPr>
            <w:r w:rsidRPr="00BB4743">
              <w:rPr>
                <w:rFonts w:asciiTheme="minorHAnsi" w:hAnsiTheme="minorHAnsi" w:cstheme="minorHAnsi"/>
                <w:b/>
                <w:bCs/>
                <w:color w:val="3B3B3C" w:themeColor="text1"/>
                <w:sz w:val="20"/>
                <w:szCs w:val="20"/>
              </w:rPr>
              <w:t xml:space="preserve">A </w:t>
            </w:r>
          </w:p>
        </w:tc>
        <w:tc>
          <w:tcPr>
            <w:tcW w:w="8647" w:type="dxa"/>
            <w:hideMark/>
          </w:tcPr>
          <w:p w14:paraId="33767CE8" w14:textId="2D78C60B" w:rsidR="00E07358" w:rsidRPr="00BB4743" w:rsidRDefault="00E07358">
            <w:pPr>
              <w:pStyle w:val="Default"/>
              <w:spacing w:line="252" w:lineRule="auto"/>
              <w:rPr>
                <w:rFonts w:asciiTheme="minorHAnsi" w:hAnsiTheme="minorHAnsi" w:cstheme="minorHAnsi"/>
                <w:color w:val="3B3B3C" w:themeColor="text1"/>
                <w:sz w:val="20"/>
                <w:szCs w:val="20"/>
              </w:rPr>
            </w:pPr>
            <w:r w:rsidRPr="00BB4743">
              <w:rPr>
                <w:rFonts w:asciiTheme="minorHAnsi" w:hAnsiTheme="minorHAnsi" w:cstheme="minorHAnsi"/>
                <w:b/>
                <w:bCs/>
                <w:color w:val="3B3B3C" w:themeColor="text1"/>
                <w:sz w:val="20"/>
                <w:szCs w:val="20"/>
              </w:rPr>
              <w:t xml:space="preserve">Countries which had no NAP </w:t>
            </w:r>
          </w:p>
          <w:p w14:paraId="63A2A493" w14:textId="07DC87B8" w:rsidR="00E07358" w:rsidRPr="00BB4743" w:rsidRDefault="00E07358">
            <w:pPr>
              <w:pStyle w:val="Default"/>
              <w:spacing w:line="252" w:lineRule="auto"/>
              <w:rPr>
                <w:rFonts w:asciiTheme="minorHAnsi" w:hAnsiTheme="minorHAnsi" w:cstheme="minorHAnsi"/>
                <w:color w:val="3B3B3C" w:themeColor="text1"/>
                <w:sz w:val="20"/>
                <w:szCs w:val="20"/>
              </w:rPr>
            </w:pPr>
            <w:r w:rsidRPr="00BB4743">
              <w:rPr>
                <w:rFonts w:asciiTheme="minorHAnsi" w:hAnsiTheme="minorHAnsi" w:cstheme="minorHAnsi"/>
                <w:color w:val="3B3B3C" w:themeColor="text1"/>
                <w:sz w:val="20"/>
                <w:szCs w:val="20"/>
              </w:rPr>
              <w:t xml:space="preserve">These were countries without a NAP in process or where it was in draft and not yet close to being finalised. They also tended to lack a functional coordination committee, may not have had a situation analysis and may not be engaging with the AMR issue. These were not favoured for investment at this time. </w:t>
            </w:r>
          </w:p>
        </w:tc>
        <w:tc>
          <w:tcPr>
            <w:tcW w:w="4230" w:type="dxa"/>
            <w:gridSpan w:val="2"/>
          </w:tcPr>
          <w:p w14:paraId="0926C914" w14:textId="77777777" w:rsidR="00543A76" w:rsidRDefault="00E07358">
            <w:pPr>
              <w:pStyle w:val="Default"/>
              <w:spacing w:line="252" w:lineRule="auto"/>
              <w:rPr>
                <w:rFonts w:asciiTheme="minorHAnsi" w:hAnsiTheme="minorHAnsi" w:cstheme="minorHAnsi"/>
                <w:b/>
                <w:bCs/>
                <w:color w:val="3B3B3C" w:themeColor="text1"/>
                <w:sz w:val="20"/>
                <w:szCs w:val="20"/>
              </w:rPr>
            </w:pPr>
            <w:r>
              <w:rPr>
                <w:rFonts w:asciiTheme="minorHAnsi" w:hAnsiTheme="minorHAnsi" w:cstheme="minorHAnsi"/>
                <w:b/>
                <w:bCs/>
                <w:color w:val="3B3B3C" w:themeColor="text1"/>
                <w:sz w:val="20"/>
                <w:szCs w:val="20"/>
              </w:rPr>
              <w:t>Sierra Leone</w:t>
            </w:r>
          </w:p>
          <w:p w14:paraId="272DF4FB" w14:textId="4CE1AFEC" w:rsidR="00E07358" w:rsidRPr="00BB4743" w:rsidRDefault="00E07358">
            <w:pPr>
              <w:pStyle w:val="Default"/>
              <w:spacing w:line="252" w:lineRule="auto"/>
              <w:rPr>
                <w:rFonts w:asciiTheme="minorHAnsi" w:hAnsiTheme="minorHAnsi" w:cstheme="minorHAnsi"/>
                <w:b/>
                <w:bCs/>
                <w:color w:val="3B3B3C" w:themeColor="text1"/>
                <w:sz w:val="20"/>
                <w:szCs w:val="20"/>
              </w:rPr>
            </w:pPr>
            <w:r>
              <w:rPr>
                <w:rFonts w:asciiTheme="minorHAnsi" w:hAnsiTheme="minorHAnsi" w:cstheme="minorHAnsi"/>
                <w:b/>
                <w:bCs/>
                <w:color w:val="3B3B3C" w:themeColor="text1"/>
                <w:sz w:val="20"/>
                <w:szCs w:val="20"/>
              </w:rPr>
              <w:t>Myanmar</w:t>
            </w:r>
          </w:p>
        </w:tc>
      </w:tr>
      <w:tr w:rsidR="00543A76" w:rsidRPr="008D2613" w14:paraId="10AB4A85" w14:textId="55930FAD" w:rsidTr="00F93EC9">
        <w:trPr>
          <w:cnfStyle w:val="000000010000" w:firstRow="0" w:lastRow="0" w:firstColumn="0" w:lastColumn="0" w:oddVBand="0" w:evenVBand="0" w:oddHBand="0" w:evenHBand="1" w:firstRowFirstColumn="0" w:firstRowLastColumn="0" w:lastRowFirstColumn="0" w:lastRowLastColumn="0"/>
          <w:trHeight w:val="1022"/>
        </w:trPr>
        <w:tc>
          <w:tcPr>
            <w:tcW w:w="1016" w:type="dxa"/>
            <w:hideMark/>
          </w:tcPr>
          <w:p w14:paraId="4FEB664E" w14:textId="77777777" w:rsidR="00543A76" w:rsidRPr="00BB4743" w:rsidRDefault="00543A76">
            <w:pPr>
              <w:pStyle w:val="Default"/>
              <w:spacing w:line="252" w:lineRule="auto"/>
              <w:rPr>
                <w:rFonts w:asciiTheme="minorHAnsi" w:hAnsiTheme="minorHAnsi" w:cstheme="minorHAnsi"/>
                <w:color w:val="3B3B3C" w:themeColor="text1"/>
                <w:sz w:val="20"/>
                <w:szCs w:val="20"/>
              </w:rPr>
            </w:pPr>
            <w:r w:rsidRPr="00BB4743">
              <w:rPr>
                <w:rFonts w:asciiTheme="minorHAnsi" w:hAnsiTheme="minorHAnsi" w:cstheme="minorHAnsi"/>
                <w:b/>
                <w:bCs/>
                <w:color w:val="3B3B3C" w:themeColor="text1"/>
                <w:sz w:val="20"/>
                <w:szCs w:val="20"/>
              </w:rPr>
              <w:t xml:space="preserve">B </w:t>
            </w:r>
          </w:p>
        </w:tc>
        <w:tc>
          <w:tcPr>
            <w:tcW w:w="8647" w:type="dxa"/>
            <w:hideMark/>
          </w:tcPr>
          <w:p w14:paraId="14C09747" w14:textId="77777777" w:rsidR="00543A76" w:rsidRPr="00BB4743" w:rsidRDefault="00543A76">
            <w:pPr>
              <w:pStyle w:val="Default"/>
              <w:spacing w:line="252" w:lineRule="auto"/>
              <w:rPr>
                <w:rFonts w:asciiTheme="minorHAnsi" w:hAnsiTheme="minorHAnsi" w:cstheme="minorHAnsi"/>
                <w:color w:val="3B3B3C" w:themeColor="text1"/>
                <w:sz w:val="20"/>
                <w:szCs w:val="20"/>
              </w:rPr>
            </w:pPr>
            <w:r w:rsidRPr="00BB4743">
              <w:rPr>
                <w:rFonts w:asciiTheme="minorHAnsi" w:hAnsiTheme="minorHAnsi" w:cstheme="minorHAnsi"/>
                <w:b/>
                <w:bCs/>
                <w:color w:val="3B3B3C" w:themeColor="text1"/>
                <w:sz w:val="20"/>
                <w:szCs w:val="20"/>
              </w:rPr>
              <w:t xml:space="preserve">Countries which have a NAP but no surveillance system in operation </w:t>
            </w:r>
          </w:p>
          <w:p w14:paraId="3B784992" w14:textId="30484067" w:rsidR="00543A76" w:rsidRPr="00BB4743" w:rsidRDefault="00543A76">
            <w:pPr>
              <w:pStyle w:val="Default"/>
              <w:spacing w:line="252" w:lineRule="auto"/>
              <w:rPr>
                <w:rFonts w:asciiTheme="minorHAnsi" w:hAnsiTheme="minorHAnsi" w:cstheme="minorHAnsi"/>
                <w:color w:val="3B3B3C" w:themeColor="text1"/>
                <w:sz w:val="20"/>
                <w:szCs w:val="20"/>
              </w:rPr>
            </w:pPr>
            <w:r w:rsidRPr="00BB4743">
              <w:rPr>
                <w:rFonts w:asciiTheme="minorHAnsi" w:hAnsiTheme="minorHAnsi" w:cstheme="minorHAnsi"/>
                <w:color w:val="3B3B3C" w:themeColor="text1"/>
                <w:sz w:val="20"/>
                <w:szCs w:val="20"/>
              </w:rPr>
              <w:t xml:space="preserve">These countries had received support from the Tripartite Alliance (or others) to develop a NAP or have developed a response to AMR on paper. There was recognition that a surveillance system needs to be developed and there was a plan for doing so, or the plans were well advanced. Little or no progress had been made with implementation largely due to resource constraints, rather than an absence of political will. These countries were targeted for the majority of investment through the Fleming Fund Grants and Fellowship Scheme. </w:t>
            </w:r>
          </w:p>
        </w:tc>
        <w:tc>
          <w:tcPr>
            <w:tcW w:w="2245" w:type="dxa"/>
          </w:tcPr>
          <w:p w14:paraId="59739B8D" w14:textId="77777777" w:rsidR="00543A76" w:rsidRPr="002B0A41" w:rsidRDefault="00543A76">
            <w:pPr>
              <w:pStyle w:val="Default"/>
              <w:spacing w:line="252" w:lineRule="auto"/>
              <w:rPr>
                <w:rFonts w:asciiTheme="minorHAnsi" w:hAnsiTheme="minorHAnsi" w:cstheme="minorHAnsi"/>
                <w:b/>
                <w:bCs/>
                <w:color w:val="3B3B3C" w:themeColor="text1"/>
                <w:sz w:val="20"/>
                <w:szCs w:val="20"/>
              </w:rPr>
            </w:pPr>
            <w:r w:rsidRPr="002B0A41">
              <w:rPr>
                <w:rFonts w:asciiTheme="minorHAnsi" w:hAnsiTheme="minorHAnsi" w:cstheme="minorHAnsi"/>
                <w:b/>
                <w:bCs/>
                <w:color w:val="3B3B3C" w:themeColor="text1"/>
                <w:sz w:val="20"/>
                <w:szCs w:val="20"/>
              </w:rPr>
              <w:t>Ghana</w:t>
            </w:r>
          </w:p>
          <w:p w14:paraId="6DC4E878" w14:textId="77777777" w:rsidR="00543A76" w:rsidRPr="002B0A41" w:rsidRDefault="00543A76">
            <w:pPr>
              <w:pStyle w:val="Default"/>
              <w:spacing w:line="252" w:lineRule="auto"/>
              <w:rPr>
                <w:rFonts w:asciiTheme="minorHAnsi" w:hAnsiTheme="minorHAnsi" w:cstheme="minorHAnsi"/>
                <w:b/>
                <w:bCs/>
                <w:color w:val="3B3B3C" w:themeColor="text1"/>
                <w:sz w:val="20"/>
                <w:szCs w:val="20"/>
              </w:rPr>
            </w:pPr>
            <w:r w:rsidRPr="002B0A41">
              <w:rPr>
                <w:rFonts w:asciiTheme="minorHAnsi" w:hAnsiTheme="minorHAnsi" w:cstheme="minorHAnsi"/>
                <w:b/>
                <w:bCs/>
                <w:color w:val="3B3B3C" w:themeColor="text1"/>
                <w:sz w:val="20"/>
                <w:szCs w:val="20"/>
              </w:rPr>
              <w:t>Senegal</w:t>
            </w:r>
          </w:p>
          <w:p w14:paraId="6D2FA6D6" w14:textId="77777777" w:rsidR="00543A76" w:rsidRPr="002B0A41" w:rsidRDefault="00543A76">
            <w:pPr>
              <w:pStyle w:val="Default"/>
              <w:spacing w:line="252" w:lineRule="auto"/>
              <w:rPr>
                <w:rFonts w:asciiTheme="minorHAnsi" w:hAnsiTheme="minorHAnsi" w:cstheme="minorHAnsi"/>
                <w:b/>
                <w:bCs/>
                <w:color w:val="3B3B3C" w:themeColor="text1"/>
                <w:sz w:val="20"/>
                <w:szCs w:val="20"/>
              </w:rPr>
            </w:pPr>
            <w:r w:rsidRPr="002B0A41">
              <w:rPr>
                <w:rFonts w:asciiTheme="minorHAnsi" w:hAnsiTheme="minorHAnsi" w:cstheme="minorHAnsi"/>
                <w:b/>
                <w:bCs/>
                <w:color w:val="3B3B3C" w:themeColor="text1"/>
                <w:sz w:val="20"/>
                <w:szCs w:val="20"/>
              </w:rPr>
              <w:t>Eswatini</w:t>
            </w:r>
          </w:p>
          <w:p w14:paraId="21604826" w14:textId="77777777" w:rsidR="00543A76" w:rsidRPr="002B0A41" w:rsidRDefault="00543A76" w:rsidP="00543A76">
            <w:pPr>
              <w:pStyle w:val="Default"/>
              <w:spacing w:line="252" w:lineRule="auto"/>
              <w:rPr>
                <w:rFonts w:asciiTheme="minorHAnsi" w:hAnsiTheme="minorHAnsi" w:cstheme="minorHAnsi"/>
                <w:b/>
                <w:bCs/>
                <w:color w:val="3B3B3C" w:themeColor="text1"/>
                <w:sz w:val="20"/>
                <w:szCs w:val="20"/>
              </w:rPr>
            </w:pPr>
            <w:r w:rsidRPr="002B0A41">
              <w:rPr>
                <w:rFonts w:asciiTheme="minorHAnsi" w:hAnsiTheme="minorHAnsi" w:cstheme="minorHAnsi"/>
                <w:b/>
                <w:bCs/>
                <w:color w:val="3B3B3C" w:themeColor="text1"/>
                <w:sz w:val="20"/>
                <w:szCs w:val="20"/>
              </w:rPr>
              <w:t>Malawi</w:t>
            </w:r>
          </w:p>
          <w:p w14:paraId="05BC9500" w14:textId="77777777" w:rsidR="00543A76" w:rsidRPr="002B0A41" w:rsidRDefault="00543A76" w:rsidP="00543A76">
            <w:pPr>
              <w:pStyle w:val="Default"/>
              <w:spacing w:line="252" w:lineRule="auto"/>
              <w:rPr>
                <w:rFonts w:asciiTheme="minorHAnsi" w:hAnsiTheme="minorHAnsi" w:cstheme="minorHAnsi"/>
                <w:b/>
                <w:bCs/>
                <w:color w:val="3B3B3C" w:themeColor="text1"/>
                <w:sz w:val="20"/>
                <w:szCs w:val="20"/>
              </w:rPr>
            </w:pPr>
            <w:r w:rsidRPr="002B0A41">
              <w:rPr>
                <w:rFonts w:asciiTheme="minorHAnsi" w:hAnsiTheme="minorHAnsi" w:cstheme="minorHAnsi"/>
                <w:b/>
                <w:bCs/>
                <w:color w:val="3B3B3C" w:themeColor="text1"/>
                <w:sz w:val="20"/>
                <w:szCs w:val="20"/>
              </w:rPr>
              <w:t>Zambia</w:t>
            </w:r>
          </w:p>
          <w:p w14:paraId="223175B7" w14:textId="77777777" w:rsidR="00543A76" w:rsidRPr="002B0A41" w:rsidRDefault="00543A76">
            <w:pPr>
              <w:pStyle w:val="Default"/>
              <w:spacing w:line="252" w:lineRule="auto"/>
              <w:rPr>
                <w:rFonts w:asciiTheme="minorHAnsi" w:hAnsiTheme="minorHAnsi" w:cstheme="minorHAnsi"/>
                <w:b/>
                <w:bCs/>
                <w:color w:val="3B3B3C" w:themeColor="text1"/>
                <w:sz w:val="20"/>
                <w:szCs w:val="20"/>
              </w:rPr>
            </w:pPr>
            <w:r w:rsidRPr="002B0A41">
              <w:rPr>
                <w:rFonts w:asciiTheme="minorHAnsi" w:hAnsiTheme="minorHAnsi" w:cstheme="minorHAnsi"/>
                <w:b/>
                <w:bCs/>
                <w:color w:val="3B3B3C" w:themeColor="text1"/>
                <w:sz w:val="20"/>
                <w:szCs w:val="20"/>
              </w:rPr>
              <w:t>Laos</w:t>
            </w:r>
          </w:p>
          <w:p w14:paraId="5A5B956A" w14:textId="77777777" w:rsidR="00543A76" w:rsidRDefault="00543A76">
            <w:pPr>
              <w:pStyle w:val="Default"/>
              <w:spacing w:line="252" w:lineRule="auto"/>
              <w:rPr>
                <w:rFonts w:asciiTheme="minorHAnsi" w:hAnsiTheme="minorHAnsi" w:cstheme="minorHAnsi"/>
                <w:b/>
                <w:bCs/>
                <w:color w:val="3B3B3C" w:themeColor="text1"/>
                <w:sz w:val="20"/>
                <w:szCs w:val="20"/>
              </w:rPr>
            </w:pPr>
            <w:r w:rsidRPr="00543A76">
              <w:rPr>
                <w:rFonts w:asciiTheme="minorHAnsi" w:hAnsiTheme="minorHAnsi" w:cstheme="minorHAnsi"/>
                <w:b/>
                <w:bCs/>
                <w:color w:val="3B3B3C" w:themeColor="text1"/>
                <w:sz w:val="20"/>
                <w:szCs w:val="20"/>
              </w:rPr>
              <w:t>Pakistan</w:t>
            </w:r>
          </w:p>
          <w:p w14:paraId="24DD7CD5" w14:textId="783445EC" w:rsidR="0083028E" w:rsidRDefault="0083028E">
            <w:pPr>
              <w:pStyle w:val="Default"/>
              <w:spacing w:line="252" w:lineRule="auto"/>
              <w:rPr>
                <w:rFonts w:asciiTheme="minorHAnsi" w:hAnsiTheme="minorHAnsi" w:cstheme="minorHAnsi"/>
                <w:b/>
                <w:bCs/>
                <w:color w:val="3B3B3C" w:themeColor="text1"/>
                <w:sz w:val="20"/>
                <w:szCs w:val="20"/>
              </w:rPr>
            </w:pPr>
            <w:r w:rsidRPr="00543A76">
              <w:rPr>
                <w:rFonts w:asciiTheme="minorHAnsi" w:hAnsiTheme="minorHAnsi" w:cstheme="minorHAnsi"/>
                <w:b/>
                <w:bCs/>
                <w:color w:val="3B3B3C" w:themeColor="text1"/>
                <w:sz w:val="20"/>
                <w:szCs w:val="20"/>
              </w:rPr>
              <w:t>Tanzania</w:t>
            </w:r>
          </w:p>
        </w:tc>
        <w:tc>
          <w:tcPr>
            <w:tcW w:w="1985" w:type="dxa"/>
          </w:tcPr>
          <w:p w14:paraId="17D6EBF1" w14:textId="77777777" w:rsidR="00543A76" w:rsidRDefault="00543A76">
            <w:pPr>
              <w:pStyle w:val="Default"/>
              <w:spacing w:line="252" w:lineRule="auto"/>
              <w:rPr>
                <w:rFonts w:asciiTheme="minorHAnsi" w:hAnsiTheme="minorHAnsi" w:cstheme="minorHAnsi"/>
                <w:b/>
                <w:bCs/>
                <w:color w:val="3B3B3C" w:themeColor="text1"/>
                <w:sz w:val="20"/>
                <w:szCs w:val="20"/>
              </w:rPr>
            </w:pPr>
            <w:r w:rsidRPr="00543A76">
              <w:rPr>
                <w:rFonts w:asciiTheme="minorHAnsi" w:hAnsiTheme="minorHAnsi" w:cstheme="minorHAnsi"/>
                <w:b/>
                <w:bCs/>
                <w:color w:val="3B3B3C" w:themeColor="text1"/>
                <w:sz w:val="20"/>
                <w:szCs w:val="20"/>
              </w:rPr>
              <w:t>Zimbabwe</w:t>
            </w:r>
          </w:p>
          <w:p w14:paraId="75A91D69" w14:textId="77777777" w:rsidR="00543A76" w:rsidRDefault="00543A76">
            <w:pPr>
              <w:pStyle w:val="Default"/>
              <w:spacing w:line="252" w:lineRule="auto"/>
              <w:rPr>
                <w:rFonts w:asciiTheme="minorHAnsi" w:hAnsiTheme="minorHAnsi" w:cstheme="minorHAnsi"/>
                <w:b/>
                <w:bCs/>
                <w:color w:val="3B3B3C" w:themeColor="text1"/>
                <w:sz w:val="20"/>
                <w:szCs w:val="20"/>
              </w:rPr>
            </w:pPr>
            <w:r w:rsidRPr="00543A76">
              <w:rPr>
                <w:rFonts w:asciiTheme="minorHAnsi" w:hAnsiTheme="minorHAnsi" w:cstheme="minorHAnsi"/>
                <w:b/>
                <w:bCs/>
                <w:color w:val="3B3B3C" w:themeColor="text1"/>
                <w:sz w:val="20"/>
                <w:szCs w:val="20"/>
              </w:rPr>
              <w:t>Kenya</w:t>
            </w:r>
          </w:p>
          <w:p w14:paraId="007033E1" w14:textId="77777777" w:rsidR="00543A76" w:rsidRDefault="00543A76">
            <w:pPr>
              <w:pStyle w:val="Default"/>
              <w:spacing w:line="252" w:lineRule="auto"/>
              <w:rPr>
                <w:rFonts w:asciiTheme="minorHAnsi" w:hAnsiTheme="minorHAnsi" w:cstheme="minorHAnsi"/>
                <w:b/>
                <w:bCs/>
                <w:color w:val="3B3B3C" w:themeColor="text1"/>
                <w:sz w:val="20"/>
                <w:szCs w:val="20"/>
              </w:rPr>
            </w:pPr>
            <w:r w:rsidRPr="00543A76">
              <w:rPr>
                <w:rFonts w:asciiTheme="minorHAnsi" w:hAnsiTheme="minorHAnsi" w:cstheme="minorHAnsi"/>
                <w:b/>
                <w:bCs/>
                <w:color w:val="3B3B3C" w:themeColor="text1"/>
                <w:sz w:val="20"/>
                <w:szCs w:val="20"/>
              </w:rPr>
              <w:t>Bhutan</w:t>
            </w:r>
          </w:p>
          <w:p w14:paraId="5B1562DB" w14:textId="77777777" w:rsidR="00543A76" w:rsidRDefault="00543A76">
            <w:pPr>
              <w:pStyle w:val="Default"/>
              <w:spacing w:line="252" w:lineRule="auto"/>
              <w:rPr>
                <w:rFonts w:asciiTheme="minorHAnsi" w:hAnsiTheme="minorHAnsi" w:cstheme="minorHAnsi"/>
                <w:b/>
                <w:bCs/>
                <w:color w:val="3B3B3C" w:themeColor="text1"/>
                <w:sz w:val="20"/>
                <w:szCs w:val="20"/>
              </w:rPr>
            </w:pPr>
            <w:r w:rsidRPr="00543A76">
              <w:rPr>
                <w:rFonts w:asciiTheme="minorHAnsi" w:hAnsiTheme="minorHAnsi" w:cstheme="minorHAnsi"/>
                <w:b/>
                <w:bCs/>
                <w:color w:val="3B3B3C" w:themeColor="text1"/>
                <w:sz w:val="20"/>
                <w:szCs w:val="20"/>
              </w:rPr>
              <w:t>Bangladesh</w:t>
            </w:r>
          </w:p>
          <w:p w14:paraId="7B35FC04" w14:textId="77777777" w:rsidR="00543A76" w:rsidRDefault="00543A76">
            <w:pPr>
              <w:pStyle w:val="Default"/>
              <w:spacing w:line="252" w:lineRule="auto"/>
              <w:rPr>
                <w:rFonts w:asciiTheme="minorHAnsi" w:hAnsiTheme="minorHAnsi" w:cstheme="minorHAnsi"/>
                <w:b/>
                <w:bCs/>
                <w:color w:val="3B3B3C" w:themeColor="text1"/>
                <w:sz w:val="20"/>
                <w:szCs w:val="20"/>
              </w:rPr>
            </w:pPr>
            <w:r w:rsidRPr="00543A76">
              <w:rPr>
                <w:rFonts w:asciiTheme="minorHAnsi" w:hAnsiTheme="minorHAnsi" w:cstheme="minorHAnsi"/>
                <w:b/>
                <w:bCs/>
                <w:color w:val="3B3B3C" w:themeColor="text1"/>
                <w:sz w:val="20"/>
                <w:szCs w:val="20"/>
              </w:rPr>
              <w:t>Indonesia</w:t>
            </w:r>
          </w:p>
          <w:p w14:paraId="444EDF9D" w14:textId="77777777" w:rsidR="00543A76" w:rsidRDefault="00543A76">
            <w:pPr>
              <w:pStyle w:val="Default"/>
              <w:spacing w:line="252" w:lineRule="auto"/>
              <w:rPr>
                <w:rFonts w:asciiTheme="minorHAnsi" w:hAnsiTheme="minorHAnsi" w:cstheme="minorHAnsi"/>
                <w:b/>
                <w:bCs/>
                <w:color w:val="3B3B3C" w:themeColor="text1"/>
                <w:sz w:val="20"/>
                <w:szCs w:val="20"/>
              </w:rPr>
            </w:pPr>
            <w:r w:rsidRPr="00543A76">
              <w:rPr>
                <w:rFonts w:asciiTheme="minorHAnsi" w:hAnsiTheme="minorHAnsi" w:cstheme="minorHAnsi"/>
                <w:b/>
                <w:bCs/>
                <w:color w:val="3B3B3C" w:themeColor="text1"/>
                <w:sz w:val="20"/>
                <w:szCs w:val="20"/>
              </w:rPr>
              <w:t>Timor-Leste</w:t>
            </w:r>
          </w:p>
          <w:p w14:paraId="05CD50B2" w14:textId="641BFBAD" w:rsidR="00543A76" w:rsidRPr="00BB4743" w:rsidRDefault="0083028E">
            <w:pPr>
              <w:pStyle w:val="Default"/>
              <w:spacing w:line="252" w:lineRule="auto"/>
              <w:rPr>
                <w:rFonts w:asciiTheme="minorHAnsi" w:hAnsiTheme="minorHAnsi" w:cstheme="minorHAnsi"/>
                <w:b/>
                <w:bCs/>
                <w:color w:val="3B3B3C" w:themeColor="text1"/>
                <w:sz w:val="20"/>
                <w:szCs w:val="20"/>
              </w:rPr>
            </w:pPr>
            <w:r w:rsidRPr="0083028E">
              <w:rPr>
                <w:rFonts w:asciiTheme="minorHAnsi" w:hAnsiTheme="minorHAnsi" w:cstheme="minorHAnsi"/>
                <w:b/>
                <w:bCs/>
                <w:color w:val="3B3B3C" w:themeColor="text1"/>
                <w:sz w:val="20"/>
                <w:szCs w:val="20"/>
              </w:rPr>
              <w:t>Papua New Guinea</w:t>
            </w:r>
          </w:p>
        </w:tc>
      </w:tr>
      <w:tr w:rsidR="00E07358" w:rsidRPr="0018207B" w14:paraId="54AE72C9" w14:textId="08D50A4A" w:rsidTr="00F93EC9">
        <w:trPr>
          <w:cnfStyle w:val="000000100000" w:firstRow="0" w:lastRow="0" w:firstColumn="0" w:lastColumn="0" w:oddVBand="0" w:evenVBand="0" w:oddHBand="1" w:evenHBand="0" w:firstRowFirstColumn="0" w:firstRowLastColumn="0" w:lastRowFirstColumn="0" w:lastRowLastColumn="0"/>
          <w:trHeight w:val="895"/>
        </w:trPr>
        <w:tc>
          <w:tcPr>
            <w:tcW w:w="1016" w:type="dxa"/>
            <w:hideMark/>
          </w:tcPr>
          <w:p w14:paraId="16569A0C" w14:textId="77777777" w:rsidR="00E07358" w:rsidRPr="00BB4743" w:rsidRDefault="00E07358">
            <w:pPr>
              <w:pStyle w:val="Default"/>
              <w:spacing w:line="252" w:lineRule="auto"/>
              <w:rPr>
                <w:rFonts w:asciiTheme="minorHAnsi" w:hAnsiTheme="minorHAnsi" w:cstheme="minorHAnsi"/>
                <w:color w:val="3B3B3C" w:themeColor="text1"/>
                <w:sz w:val="20"/>
                <w:szCs w:val="20"/>
              </w:rPr>
            </w:pPr>
            <w:r w:rsidRPr="00BB4743">
              <w:rPr>
                <w:rFonts w:asciiTheme="minorHAnsi" w:hAnsiTheme="minorHAnsi" w:cstheme="minorHAnsi"/>
                <w:b/>
                <w:bCs/>
                <w:color w:val="3B3B3C" w:themeColor="text1"/>
                <w:sz w:val="20"/>
                <w:szCs w:val="20"/>
              </w:rPr>
              <w:t xml:space="preserve">C </w:t>
            </w:r>
          </w:p>
        </w:tc>
        <w:tc>
          <w:tcPr>
            <w:tcW w:w="8647" w:type="dxa"/>
            <w:hideMark/>
          </w:tcPr>
          <w:p w14:paraId="13608E03" w14:textId="286A9771" w:rsidR="00E07358" w:rsidRPr="00BB4743" w:rsidRDefault="00E07358">
            <w:pPr>
              <w:pStyle w:val="Default"/>
              <w:spacing w:line="252" w:lineRule="auto"/>
              <w:rPr>
                <w:rFonts w:asciiTheme="minorHAnsi" w:hAnsiTheme="minorHAnsi" w:cstheme="minorHAnsi"/>
                <w:color w:val="3B3B3C" w:themeColor="text1"/>
                <w:sz w:val="20"/>
                <w:szCs w:val="20"/>
              </w:rPr>
            </w:pPr>
            <w:r w:rsidRPr="00BB4743">
              <w:rPr>
                <w:rFonts w:asciiTheme="minorHAnsi" w:hAnsiTheme="minorHAnsi" w:cstheme="minorHAnsi"/>
                <w:b/>
                <w:bCs/>
                <w:color w:val="3B3B3C" w:themeColor="text1"/>
                <w:sz w:val="20"/>
                <w:szCs w:val="20"/>
              </w:rPr>
              <w:t xml:space="preserve">Countries where modest surveillance was established, gaps needed to be filled and activities needed to be connected </w:t>
            </w:r>
          </w:p>
          <w:p w14:paraId="7A34BFC9" w14:textId="5EDB7FD1" w:rsidR="00E07358" w:rsidRPr="00BB4743" w:rsidRDefault="00E07358">
            <w:pPr>
              <w:pStyle w:val="Default"/>
              <w:spacing w:line="252" w:lineRule="auto"/>
              <w:rPr>
                <w:rFonts w:asciiTheme="minorHAnsi" w:hAnsiTheme="minorHAnsi" w:cstheme="minorHAnsi"/>
                <w:color w:val="3B3B3C" w:themeColor="text1"/>
                <w:sz w:val="20"/>
                <w:szCs w:val="20"/>
              </w:rPr>
            </w:pPr>
            <w:r w:rsidRPr="00BB4743">
              <w:rPr>
                <w:rFonts w:asciiTheme="minorHAnsi" w:hAnsiTheme="minorHAnsi" w:cstheme="minorHAnsi"/>
                <w:color w:val="3B3B3C" w:themeColor="text1"/>
                <w:sz w:val="20"/>
                <w:szCs w:val="20"/>
              </w:rPr>
              <w:t xml:space="preserve">These countries had some form of surveillance system in place, but that system was solely or predominantly in HH, small scale, and likely to be fragmented. There were other significant constraints such as poor QA, lack of capacity to analyse data and/or weak laboratory capacity, and/or sustainability issues. Weak connection between sectors for One Health approaches. </w:t>
            </w:r>
          </w:p>
        </w:tc>
        <w:tc>
          <w:tcPr>
            <w:tcW w:w="4230" w:type="dxa"/>
            <w:gridSpan w:val="2"/>
          </w:tcPr>
          <w:p w14:paraId="2D760A3A" w14:textId="77777777" w:rsidR="00543A76" w:rsidRPr="007F63EF" w:rsidRDefault="00543A76">
            <w:pPr>
              <w:pStyle w:val="Default"/>
              <w:spacing w:line="252" w:lineRule="auto"/>
              <w:rPr>
                <w:rFonts w:asciiTheme="minorHAnsi" w:hAnsiTheme="minorHAnsi" w:cstheme="minorHAnsi"/>
                <w:b/>
                <w:bCs/>
                <w:color w:val="3B3B3C" w:themeColor="text1"/>
                <w:sz w:val="20"/>
                <w:szCs w:val="20"/>
                <w:lang w:val="it-IT"/>
              </w:rPr>
            </w:pPr>
            <w:r w:rsidRPr="007F63EF">
              <w:rPr>
                <w:rFonts w:asciiTheme="minorHAnsi" w:hAnsiTheme="minorHAnsi" w:cstheme="minorHAnsi"/>
                <w:b/>
                <w:bCs/>
                <w:color w:val="3B3B3C" w:themeColor="text1"/>
                <w:sz w:val="20"/>
                <w:szCs w:val="20"/>
                <w:lang w:val="it-IT"/>
              </w:rPr>
              <w:t>Nigeria</w:t>
            </w:r>
          </w:p>
          <w:p w14:paraId="64C4D813" w14:textId="77777777" w:rsidR="00543A76" w:rsidRPr="007F63EF" w:rsidRDefault="00543A76">
            <w:pPr>
              <w:pStyle w:val="Default"/>
              <w:spacing w:line="252" w:lineRule="auto"/>
              <w:rPr>
                <w:rFonts w:asciiTheme="minorHAnsi" w:hAnsiTheme="minorHAnsi" w:cstheme="minorHAnsi"/>
                <w:b/>
                <w:bCs/>
                <w:color w:val="3B3B3C" w:themeColor="text1"/>
                <w:sz w:val="20"/>
                <w:szCs w:val="20"/>
                <w:lang w:val="it-IT"/>
              </w:rPr>
            </w:pPr>
            <w:r w:rsidRPr="007F63EF">
              <w:rPr>
                <w:rFonts w:asciiTheme="minorHAnsi" w:hAnsiTheme="minorHAnsi" w:cstheme="minorHAnsi"/>
                <w:b/>
                <w:bCs/>
                <w:color w:val="3B3B3C" w:themeColor="text1"/>
                <w:sz w:val="20"/>
                <w:szCs w:val="20"/>
                <w:lang w:val="it-IT"/>
              </w:rPr>
              <w:t>Uganda</w:t>
            </w:r>
          </w:p>
          <w:p w14:paraId="572181EB" w14:textId="77777777" w:rsidR="00543A76" w:rsidRPr="007F63EF" w:rsidRDefault="00543A76">
            <w:pPr>
              <w:pStyle w:val="Default"/>
              <w:spacing w:line="252" w:lineRule="auto"/>
              <w:rPr>
                <w:rFonts w:asciiTheme="minorHAnsi" w:hAnsiTheme="minorHAnsi" w:cstheme="minorHAnsi"/>
                <w:b/>
                <w:bCs/>
                <w:color w:val="3B3B3C" w:themeColor="text1"/>
                <w:sz w:val="20"/>
                <w:szCs w:val="20"/>
                <w:lang w:val="it-IT"/>
              </w:rPr>
            </w:pPr>
            <w:r w:rsidRPr="007F63EF">
              <w:rPr>
                <w:rFonts w:asciiTheme="minorHAnsi" w:hAnsiTheme="minorHAnsi" w:cstheme="minorHAnsi"/>
                <w:b/>
                <w:bCs/>
                <w:color w:val="3B3B3C" w:themeColor="text1"/>
                <w:sz w:val="20"/>
                <w:szCs w:val="20"/>
                <w:lang w:val="it-IT"/>
              </w:rPr>
              <w:t>Nepal</w:t>
            </w:r>
          </w:p>
          <w:p w14:paraId="6FF87DAA" w14:textId="01F2B54A" w:rsidR="00E07358" w:rsidRPr="007F63EF" w:rsidRDefault="00543A76">
            <w:pPr>
              <w:pStyle w:val="Default"/>
              <w:spacing w:line="252" w:lineRule="auto"/>
              <w:rPr>
                <w:rFonts w:asciiTheme="minorHAnsi" w:hAnsiTheme="minorHAnsi" w:cstheme="minorHAnsi"/>
                <w:b/>
                <w:bCs/>
                <w:color w:val="3B3B3C" w:themeColor="text1"/>
                <w:sz w:val="20"/>
                <w:szCs w:val="20"/>
                <w:lang w:val="it-IT"/>
              </w:rPr>
            </w:pPr>
            <w:r w:rsidRPr="007F63EF">
              <w:rPr>
                <w:rFonts w:asciiTheme="minorHAnsi" w:hAnsiTheme="minorHAnsi" w:cstheme="minorHAnsi"/>
                <w:b/>
                <w:bCs/>
                <w:color w:val="3B3B3C" w:themeColor="text1"/>
                <w:sz w:val="20"/>
                <w:szCs w:val="20"/>
                <w:lang w:val="it-IT"/>
              </w:rPr>
              <w:t>Sri Lanka</w:t>
            </w:r>
          </w:p>
        </w:tc>
      </w:tr>
      <w:tr w:rsidR="00E07358" w:rsidRPr="008D2613" w14:paraId="2AA1606B" w14:textId="3462781C" w:rsidTr="00F93EC9">
        <w:trPr>
          <w:cnfStyle w:val="000000010000" w:firstRow="0" w:lastRow="0" w:firstColumn="0" w:lastColumn="0" w:oddVBand="0" w:evenVBand="0" w:oddHBand="0" w:evenHBand="1" w:firstRowFirstColumn="0" w:firstRowLastColumn="0" w:lastRowFirstColumn="0" w:lastRowLastColumn="0"/>
          <w:trHeight w:val="767"/>
        </w:trPr>
        <w:tc>
          <w:tcPr>
            <w:tcW w:w="1016" w:type="dxa"/>
            <w:hideMark/>
          </w:tcPr>
          <w:p w14:paraId="43767118" w14:textId="77777777" w:rsidR="00E07358" w:rsidRPr="00BB4743" w:rsidRDefault="00E07358">
            <w:pPr>
              <w:pStyle w:val="Default"/>
              <w:spacing w:line="252" w:lineRule="auto"/>
              <w:rPr>
                <w:rFonts w:asciiTheme="minorHAnsi" w:hAnsiTheme="minorHAnsi" w:cstheme="minorHAnsi"/>
                <w:color w:val="3B3B3C" w:themeColor="text1"/>
                <w:sz w:val="20"/>
                <w:szCs w:val="20"/>
              </w:rPr>
            </w:pPr>
            <w:r w:rsidRPr="00BB4743">
              <w:rPr>
                <w:rFonts w:asciiTheme="minorHAnsi" w:hAnsiTheme="minorHAnsi" w:cstheme="minorHAnsi"/>
                <w:b/>
                <w:bCs/>
                <w:color w:val="3B3B3C" w:themeColor="text1"/>
                <w:sz w:val="20"/>
                <w:szCs w:val="20"/>
              </w:rPr>
              <w:t xml:space="preserve">D </w:t>
            </w:r>
          </w:p>
        </w:tc>
        <w:tc>
          <w:tcPr>
            <w:tcW w:w="8647" w:type="dxa"/>
          </w:tcPr>
          <w:p w14:paraId="31DD8B06" w14:textId="12A0D0ED" w:rsidR="00E07358" w:rsidRPr="00BB4743" w:rsidRDefault="00E07358">
            <w:pPr>
              <w:pStyle w:val="Default"/>
              <w:spacing w:line="252" w:lineRule="auto"/>
              <w:rPr>
                <w:rFonts w:asciiTheme="minorHAnsi" w:hAnsiTheme="minorHAnsi" w:cstheme="minorHAnsi"/>
                <w:color w:val="3B3B3C" w:themeColor="text1"/>
                <w:sz w:val="20"/>
                <w:szCs w:val="20"/>
              </w:rPr>
            </w:pPr>
            <w:r w:rsidRPr="00BB4743">
              <w:rPr>
                <w:rFonts w:asciiTheme="minorHAnsi" w:hAnsiTheme="minorHAnsi" w:cstheme="minorHAnsi"/>
                <w:b/>
                <w:bCs/>
                <w:color w:val="3B3B3C" w:themeColor="text1"/>
                <w:sz w:val="20"/>
                <w:szCs w:val="20"/>
              </w:rPr>
              <w:t xml:space="preserve">Countries which were relatively more advanced and would benefit from nuanced support and/or could be supported to do more in One Health </w:t>
            </w:r>
          </w:p>
          <w:p w14:paraId="62B0906C" w14:textId="7EC73BDC" w:rsidR="00E07358" w:rsidRPr="00BB4743" w:rsidRDefault="00E07358" w:rsidP="00A03302">
            <w:pPr>
              <w:pStyle w:val="Default"/>
              <w:spacing w:line="252" w:lineRule="auto"/>
              <w:rPr>
                <w:rFonts w:asciiTheme="minorHAnsi" w:hAnsiTheme="minorHAnsi" w:cstheme="minorHAnsi"/>
                <w:color w:val="3B3B3C" w:themeColor="text1"/>
                <w:sz w:val="20"/>
                <w:szCs w:val="20"/>
              </w:rPr>
            </w:pPr>
            <w:r w:rsidRPr="00BB4743">
              <w:rPr>
                <w:rFonts w:asciiTheme="minorHAnsi" w:hAnsiTheme="minorHAnsi" w:cstheme="minorHAnsi"/>
                <w:color w:val="3B3B3C" w:themeColor="text1"/>
                <w:sz w:val="20"/>
                <w:szCs w:val="20"/>
              </w:rPr>
              <w:t>These countries had a surveillance system (some including AH) which was relatively well established, or likely to be well established with donor support. Investment areas were likely to be in addition and aligned with the actions of other donors and/or the government, seeking to add value.</w:t>
            </w:r>
          </w:p>
        </w:tc>
        <w:tc>
          <w:tcPr>
            <w:tcW w:w="4230" w:type="dxa"/>
            <w:gridSpan w:val="2"/>
          </w:tcPr>
          <w:p w14:paraId="7BC2BC9A" w14:textId="77777777" w:rsidR="00543A76" w:rsidRDefault="00543A76">
            <w:pPr>
              <w:pStyle w:val="Default"/>
              <w:spacing w:line="252" w:lineRule="auto"/>
              <w:rPr>
                <w:rFonts w:asciiTheme="minorHAnsi" w:hAnsiTheme="minorHAnsi" w:cstheme="minorHAnsi"/>
                <w:b/>
                <w:bCs/>
                <w:color w:val="3B3B3C" w:themeColor="text1"/>
                <w:sz w:val="20"/>
                <w:szCs w:val="20"/>
              </w:rPr>
            </w:pPr>
            <w:r w:rsidRPr="00543A76">
              <w:rPr>
                <w:rFonts w:asciiTheme="minorHAnsi" w:hAnsiTheme="minorHAnsi" w:cstheme="minorHAnsi"/>
                <w:b/>
                <w:bCs/>
                <w:color w:val="3B3B3C" w:themeColor="text1"/>
                <w:sz w:val="20"/>
                <w:szCs w:val="20"/>
              </w:rPr>
              <w:t>India</w:t>
            </w:r>
          </w:p>
          <w:p w14:paraId="40A689F0" w14:textId="7AED46D1" w:rsidR="00E07358" w:rsidRPr="00BB4743" w:rsidRDefault="00543A76">
            <w:pPr>
              <w:pStyle w:val="Default"/>
              <w:spacing w:line="252" w:lineRule="auto"/>
              <w:rPr>
                <w:rFonts w:asciiTheme="minorHAnsi" w:hAnsiTheme="minorHAnsi" w:cstheme="minorHAnsi"/>
                <w:b/>
                <w:bCs/>
                <w:color w:val="3B3B3C" w:themeColor="text1"/>
                <w:sz w:val="20"/>
                <w:szCs w:val="20"/>
              </w:rPr>
            </w:pPr>
            <w:r w:rsidRPr="00543A76">
              <w:rPr>
                <w:rFonts w:asciiTheme="minorHAnsi" w:hAnsiTheme="minorHAnsi" w:cstheme="minorHAnsi"/>
                <w:b/>
                <w:bCs/>
                <w:color w:val="3B3B3C" w:themeColor="text1"/>
                <w:sz w:val="20"/>
                <w:szCs w:val="20"/>
              </w:rPr>
              <w:t>Vietnam</w:t>
            </w:r>
          </w:p>
        </w:tc>
      </w:tr>
    </w:tbl>
    <w:p w14:paraId="0F58C951" w14:textId="2E384524" w:rsidR="00EF172C" w:rsidRPr="00E00668" w:rsidRDefault="00EF172C" w:rsidP="0095690F">
      <w:pPr>
        <w:pStyle w:val="ItadNormalText"/>
      </w:pPr>
      <w:r w:rsidRPr="00E00668">
        <w:t>Three-fifths</w:t>
      </w:r>
      <w:r w:rsidR="00F528AD">
        <w:t xml:space="preserve"> </w:t>
      </w:r>
      <w:r w:rsidRPr="00E00668">
        <w:t>(16/24)</w:t>
      </w:r>
      <w:r w:rsidR="003A6B30">
        <w:t xml:space="preserve"> </w:t>
      </w:r>
      <w:r w:rsidRPr="00E00668">
        <w:t xml:space="preserve">of the countries selected </w:t>
      </w:r>
      <w:r w:rsidR="008F19B7" w:rsidRPr="00E00668">
        <w:t>were</w:t>
      </w:r>
      <w:r w:rsidRPr="00E00668">
        <w:t xml:space="preserve"> in category B. In</w:t>
      </w:r>
      <w:r w:rsidR="007458AC">
        <w:t xml:space="preserve"> </w:t>
      </w:r>
      <w:r w:rsidRPr="00E00668">
        <w:t>these countries there</w:t>
      </w:r>
      <w:r w:rsidR="007458AC">
        <w:t xml:space="preserve"> </w:t>
      </w:r>
      <w:r w:rsidR="008F19B7" w:rsidRPr="00E00668">
        <w:t>was</w:t>
      </w:r>
      <w:r w:rsidR="007458AC">
        <w:t xml:space="preserve"> </w:t>
      </w:r>
      <w:r w:rsidRPr="00E00668">
        <w:t xml:space="preserve">an AMR </w:t>
      </w:r>
      <w:r w:rsidR="00D14C6B">
        <w:t>NAP</w:t>
      </w:r>
      <w:r w:rsidRPr="00E00668">
        <w:t xml:space="preserve"> in place and the MA believe</w:t>
      </w:r>
      <w:r w:rsidR="008F19B7" w:rsidRPr="00E00668">
        <w:t>d</w:t>
      </w:r>
      <w:r w:rsidRPr="00E00668">
        <w:t xml:space="preserve">, based on a review of desk material and </w:t>
      </w:r>
      <w:r w:rsidR="002F0774">
        <w:t>KI</w:t>
      </w:r>
      <w:r w:rsidRPr="00E00668">
        <w:t xml:space="preserve"> views, there</w:t>
      </w:r>
      <w:r w:rsidR="00E00668">
        <w:t xml:space="preserve"> </w:t>
      </w:r>
      <w:r w:rsidR="008F19B7" w:rsidRPr="00E00668">
        <w:t>was</w:t>
      </w:r>
      <w:r w:rsidR="004F16D9" w:rsidRPr="00E00668">
        <w:t xml:space="preserve"> </w:t>
      </w:r>
      <w:r w:rsidRPr="00E00668">
        <w:t>political</w:t>
      </w:r>
      <w:r w:rsidR="00E00668">
        <w:t xml:space="preserve"> </w:t>
      </w:r>
      <w:r w:rsidRPr="00E00668">
        <w:t>will</w:t>
      </w:r>
      <w:r w:rsidR="00E00668">
        <w:t xml:space="preserve"> </w:t>
      </w:r>
      <w:r w:rsidRPr="00E00668">
        <w:t>to</w:t>
      </w:r>
      <w:r w:rsidR="00E00668">
        <w:t xml:space="preserve"> </w:t>
      </w:r>
      <w:r w:rsidRPr="00E00668">
        <w:t>move</w:t>
      </w:r>
      <w:r w:rsidR="00E00668">
        <w:t xml:space="preserve"> </w:t>
      </w:r>
      <w:r w:rsidRPr="00E00668">
        <w:t>on</w:t>
      </w:r>
      <w:r w:rsidR="00E00668">
        <w:t xml:space="preserve"> </w:t>
      </w:r>
      <w:r w:rsidRPr="00E00668">
        <w:t>the AMR surveillance agenda.</w:t>
      </w:r>
      <w:r w:rsidR="008F19B7" w:rsidRPr="00E00668">
        <w:t xml:space="preserve"> </w:t>
      </w:r>
      <w:r w:rsidRPr="00E00668">
        <w:t>However,</w:t>
      </w:r>
      <w:r w:rsidR="00E00668">
        <w:t xml:space="preserve"> </w:t>
      </w:r>
      <w:r w:rsidRPr="00E00668">
        <w:t>while</w:t>
      </w:r>
      <w:r w:rsidR="00E00668">
        <w:t xml:space="preserve"> </w:t>
      </w:r>
      <w:r w:rsidRPr="00E00668">
        <w:t>aspects</w:t>
      </w:r>
      <w:r w:rsidR="00E00668">
        <w:t xml:space="preserve"> </w:t>
      </w:r>
      <w:r w:rsidRPr="00E00668">
        <w:t>of</w:t>
      </w:r>
      <w:r w:rsidR="00E00668">
        <w:t xml:space="preserve"> </w:t>
      </w:r>
      <w:r w:rsidRPr="00E00668">
        <w:t>a</w:t>
      </w:r>
      <w:r w:rsidR="00E00668">
        <w:t xml:space="preserve"> </w:t>
      </w:r>
      <w:r w:rsidRPr="00E00668">
        <w:t xml:space="preserve">basic surveillance system </w:t>
      </w:r>
      <w:r w:rsidR="008F19B7" w:rsidRPr="00E00668">
        <w:t xml:space="preserve">were </w:t>
      </w:r>
      <w:r w:rsidRPr="00E00668">
        <w:t>in place</w:t>
      </w:r>
      <w:r w:rsidR="008F19B7" w:rsidRPr="00E00668">
        <w:t xml:space="preserve"> </w:t>
      </w:r>
      <w:r w:rsidRPr="00E00668">
        <w:t xml:space="preserve">in these countries, an operational surveillance system </w:t>
      </w:r>
      <w:r w:rsidR="008F19B7" w:rsidRPr="00E00668">
        <w:t>was</w:t>
      </w:r>
      <w:r w:rsidRPr="00E00668">
        <w:t xml:space="preserve"> not</w:t>
      </w:r>
      <w:r w:rsidR="0020384F">
        <w:t>,</w:t>
      </w:r>
      <w:r w:rsidR="00E00668">
        <w:t xml:space="preserve"> therefore, t</w:t>
      </w:r>
      <w:r w:rsidRPr="00E00668">
        <w:t>hese 16 countries</w:t>
      </w:r>
      <w:r w:rsidR="007458AC">
        <w:t xml:space="preserve"> </w:t>
      </w:r>
      <w:r w:rsidR="00E00668">
        <w:t>were t</w:t>
      </w:r>
      <w:r w:rsidRPr="00E00668">
        <w:t>h</w:t>
      </w:r>
      <w:r w:rsidR="00E00668">
        <w:t xml:space="preserve">e </w:t>
      </w:r>
      <w:r w:rsidRPr="00E00668">
        <w:t>main</w:t>
      </w:r>
      <w:r w:rsidR="00E00668">
        <w:t xml:space="preserve"> </w:t>
      </w:r>
      <w:r w:rsidRPr="00E00668">
        <w:t>focus</w:t>
      </w:r>
      <w:r w:rsidR="00E00668">
        <w:t xml:space="preserve"> in terms of </w:t>
      </w:r>
      <w:r w:rsidRPr="00E00668">
        <w:t>resources and time.</w:t>
      </w:r>
      <w:r w:rsidR="00E00668">
        <w:t xml:space="preserve"> </w:t>
      </w:r>
      <w:r w:rsidRPr="00E00668">
        <w:t>Six of the remaining eight</w:t>
      </w:r>
      <w:r w:rsidR="004F16D9" w:rsidRPr="00E00668">
        <w:t xml:space="preserve"> </w:t>
      </w:r>
      <w:r w:rsidRPr="00E00668">
        <w:t>countries h</w:t>
      </w:r>
      <w:r w:rsidR="004F16D9" w:rsidRPr="00E00668">
        <w:t>ad</w:t>
      </w:r>
      <w:r w:rsidRPr="00E00668">
        <w:t xml:space="preserve"> an operational surveillance system in place</w:t>
      </w:r>
      <w:r w:rsidR="004F16D9" w:rsidRPr="00E00668">
        <w:t xml:space="preserve"> </w:t>
      </w:r>
      <w:r w:rsidRPr="00E00668">
        <w:t>and</w:t>
      </w:r>
      <w:r w:rsidR="007458AC">
        <w:t xml:space="preserve"> </w:t>
      </w:r>
      <w:r w:rsidRPr="00E00668">
        <w:t>for</w:t>
      </w:r>
      <w:r w:rsidR="007458AC">
        <w:t xml:space="preserve"> </w:t>
      </w:r>
      <w:r w:rsidRPr="00E00668">
        <w:t>these</w:t>
      </w:r>
      <w:r w:rsidR="007458AC">
        <w:t xml:space="preserve"> </w:t>
      </w:r>
      <w:r w:rsidRPr="00E00668">
        <w:t>countries</w:t>
      </w:r>
      <w:r w:rsidR="007458AC">
        <w:t xml:space="preserve"> </w:t>
      </w:r>
      <w:r w:rsidRPr="00E00668">
        <w:t>the</w:t>
      </w:r>
      <w:r w:rsidR="007458AC">
        <w:t xml:space="preserve"> </w:t>
      </w:r>
      <w:r w:rsidRPr="00E00668">
        <w:t>focus</w:t>
      </w:r>
      <w:r w:rsidR="007458AC">
        <w:t xml:space="preserve"> </w:t>
      </w:r>
      <w:r w:rsidR="004F16D9" w:rsidRPr="00E00668">
        <w:t>was</w:t>
      </w:r>
      <w:r w:rsidR="007458AC">
        <w:t xml:space="preserve"> </w:t>
      </w:r>
      <w:r w:rsidRPr="00E00668">
        <w:t>on filling gaps</w:t>
      </w:r>
      <w:r w:rsidR="004F16D9" w:rsidRPr="00E00668">
        <w:t xml:space="preserve"> </w:t>
      </w:r>
      <w:r w:rsidRPr="00E00668">
        <w:t>in the already functioning system</w:t>
      </w:r>
      <w:r w:rsidR="004F16D9" w:rsidRPr="00E00668">
        <w:t xml:space="preserve">. </w:t>
      </w:r>
    </w:p>
    <w:p w14:paraId="33DD358A" w14:textId="77777777" w:rsidR="00EF172C" w:rsidRDefault="00EF172C" w:rsidP="00EF172C">
      <w:pPr>
        <w:pStyle w:val="ItadNormalText"/>
        <w:rPr>
          <w:rFonts w:ascii="Arial" w:hAnsi="Arial"/>
          <w:shd w:val="clear" w:color="auto" w:fill="FAF9F8"/>
        </w:rPr>
      </w:pPr>
    </w:p>
    <w:p w14:paraId="0F7B4EEF" w14:textId="77777777" w:rsidR="00E07358" w:rsidRDefault="00E07358" w:rsidP="007D16E0">
      <w:pPr>
        <w:pStyle w:val="ItadNormalText"/>
        <w:sectPr w:rsidR="00E07358" w:rsidSect="007F63EF">
          <w:pgSz w:w="16840" w:h="11900" w:orient="landscape"/>
          <w:pgMar w:top="1191" w:right="1134" w:bottom="1191" w:left="1134" w:header="720" w:footer="680" w:gutter="0"/>
          <w:cols w:space="720"/>
        </w:sectPr>
      </w:pPr>
    </w:p>
    <w:p w14:paraId="6AC714C0" w14:textId="0ED1A8B8" w:rsidR="00590FC3" w:rsidRPr="00C1040D" w:rsidRDefault="00D11152" w:rsidP="007F63EF">
      <w:pPr>
        <w:pStyle w:val="ItadH1Numbered"/>
        <w:numPr>
          <w:ilvl w:val="0"/>
          <w:numId w:val="0"/>
        </w:numPr>
      </w:pPr>
      <w:bookmarkStart w:id="340" w:name="_Toc118968555"/>
      <w:bookmarkStart w:id="341" w:name="_Toc142383196"/>
      <w:r w:rsidRPr="00A96494">
        <w:t xml:space="preserve">Annex </w:t>
      </w:r>
      <w:r w:rsidR="007D16E0" w:rsidRPr="00A96494">
        <w:t>1</w:t>
      </w:r>
      <w:r w:rsidR="00A70655" w:rsidRPr="00A96494">
        <w:t>6</w:t>
      </w:r>
      <w:r w:rsidRPr="00A96494">
        <w:t xml:space="preserve">: </w:t>
      </w:r>
      <w:r w:rsidRPr="00A35286">
        <w:t>Participation</w:t>
      </w:r>
      <w:r w:rsidRPr="00A96494">
        <w:t xml:space="preserve"> of </w:t>
      </w:r>
      <w:r w:rsidR="00764EB0">
        <w:t>s</w:t>
      </w:r>
      <w:r w:rsidRPr="00A96494">
        <w:t>takeholders</w:t>
      </w:r>
      <w:bookmarkEnd w:id="340"/>
      <w:bookmarkEnd w:id="341"/>
    </w:p>
    <w:p w14:paraId="6302EE0F" w14:textId="6DAAEBAD" w:rsidR="00590FC3" w:rsidRDefault="008878AB" w:rsidP="00A35286">
      <w:pPr>
        <w:pStyle w:val="ItadNormalText"/>
        <w:rPr>
          <w:b/>
          <w:bCs/>
        </w:rPr>
      </w:pPr>
      <w:r>
        <w:rPr>
          <w:b/>
          <w:bCs/>
        </w:rPr>
        <w:fldChar w:fldCharType="begin"/>
      </w:r>
      <w:r>
        <w:instrText xml:space="preserve"> REF _Ref119936235 \h  \* MERGEFORMAT </w:instrText>
      </w:r>
      <w:r>
        <w:rPr>
          <w:b/>
          <w:bCs/>
        </w:rPr>
      </w:r>
      <w:r>
        <w:rPr>
          <w:b/>
          <w:bCs/>
        </w:rPr>
        <w:fldChar w:fldCharType="separate"/>
      </w:r>
      <w:r w:rsidR="009A383C">
        <w:t>Table 48</w:t>
      </w:r>
      <w:r>
        <w:rPr>
          <w:b/>
          <w:bCs/>
        </w:rPr>
        <w:fldChar w:fldCharType="end"/>
      </w:r>
      <w:r w:rsidR="00590FC3" w:rsidRPr="007F1B4B">
        <w:t xml:space="preserve"> be</w:t>
      </w:r>
      <w:r w:rsidR="00590FC3">
        <w:t>low</w:t>
      </w:r>
      <w:r w:rsidR="00590FC3" w:rsidRPr="005256CE">
        <w:t xml:space="preserve"> details </w:t>
      </w:r>
      <w:r w:rsidR="00590FC3">
        <w:t xml:space="preserve">how and when stakeholders were engaged in the Summative Evaluation. Further details for how the evaluation findings will be disseminated can be found </w:t>
      </w:r>
      <w:r w:rsidR="00590FC3" w:rsidRPr="00B85D06">
        <w:t xml:space="preserve">in Annex </w:t>
      </w:r>
      <w:r w:rsidR="000D4F0C" w:rsidRPr="00B85D06">
        <w:t>1</w:t>
      </w:r>
      <w:r w:rsidR="001773BF" w:rsidRPr="00B85D06">
        <w:t>7</w:t>
      </w:r>
      <w:r w:rsidR="00590FC3" w:rsidRPr="00B85D06">
        <w:t>.</w:t>
      </w:r>
      <w:r w:rsidR="00590FC3">
        <w:t xml:space="preserve"> </w:t>
      </w:r>
    </w:p>
    <w:p w14:paraId="02739BA8" w14:textId="77777777" w:rsidR="00590FC3" w:rsidRDefault="00590FC3" w:rsidP="00A35286">
      <w:pPr>
        <w:pStyle w:val="ItadNormalText"/>
        <w:rPr>
          <w:b/>
          <w:bCs/>
        </w:rPr>
      </w:pPr>
    </w:p>
    <w:p w14:paraId="116D6B23" w14:textId="58B404BB" w:rsidR="007F1B4B" w:rsidRDefault="007F1B4B" w:rsidP="00C04C3C">
      <w:pPr>
        <w:pStyle w:val="ItadCaption"/>
      </w:pPr>
      <w:bookmarkStart w:id="342" w:name="_Ref119936235"/>
      <w:bookmarkStart w:id="343" w:name="_Ref118378633"/>
      <w:bookmarkStart w:id="344" w:name="_Toc143857916"/>
      <w:r>
        <w:t xml:space="preserve">Table </w:t>
      </w:r>
      <w:r>
        <w:fldChar w:fldCharType="begin"/>
      </w:r>
      <w:r>
        <w:instrText>SEQ Table \* ARABIC</w:instrText>
      </w:r>
      <w:r>
        <w:fldChar w:fldCharType="separate"/>
      </w:r>
      <w:r w:rsidR="009A383C">
        <w:rPr>
          <w:noProof/>
        </w:rPr>
        <w:t>48</w:t>
      </w:r>
      <w:r>
        <w:fldChar w:fldCharType="end"/>
      </w:r>
      <w:bookmarkEnd w:id="342"/>
      <w:r>
        <w:t xml:space="preserve"> Participation of stakeholders</w:t>
      </w:r>
      <w:bookmarkEnd w:id="343"/>
      <w:bookmarkEnd w:id="344"/>
    </w:p>
    <w:tbl>
      <w:tblPr>
        <w:tblStyle w:val="ItadGreenHeaderRow"/>
        <w:tblW w:w="0" w:type="auto"/>
        <w:tblLook w:val="04A0" w:firstRow="1" w:lastRow="0" w:firstColumn="1" w:lastColumn="0" w:noHBand="0" w:noVBand="1"/>
      </w:tblPr>
      <w:tblGrid>
        <w:gridCol w:w="3284"/>
        <w:gridCol w:w="1418"/>
        <w:gridCol w:w="6917"/>
        <w:gridCol w:w="2098"/>
      </w:tblGrid>
      <w:tr w:rsidR="00590FC3" w:rsidRPr="00220FB8" w14:paraId="16381BFA" w14:textId="77777777" w:rsidTr="00CA1F7A">
        <w:trPr>
          <w:cnfStyle w:val="100000000000" w:firstRow="1" w:lastRow="0" w:firstColumn="0" w:lastColumn="0" w:oddVBand="0" w:evenVBand="0" w:oddHBand="0" w:evenHBand="0" w:firstRowFirstColumn="0" w:firstRowLastColumn="0" w:lastRowFirstColumn="0" w:lastRowLastColumn="0"/>
          <w:trHeight w:val="324"/>
          <w:tblHeader/>
        </w:trPr>
        <w:tc>
          <w:tcPr>
            <w:tcW w:w="3284" w:type="dxa"/>
          </w:tcPr>
          <w:p w14:paraId="28272638" w14:textId="77777777" w:rsidR="00590FC3" w:rsidRPr="00BB4743" w:rsidRDefault="00590FC3">
            <w:pPr>
              <w:pStyle w:val="ItadNormalText"/>
              <w:rPr>
                <w:b/>
                <w:bCs/>
                <w:sz w:val="20"/>
                <w:szCs w:val="20"/>
              </w:rPr>
            </w:pPr>
            <w:r w:rsidRPr="00BB4743">
              <w:rPr>
                <w:b/>
                <w:bCs/>
                <w:sz w:val="20"/>
                <w:szCs w:val="20"/>
              </w:rPr>
              <w:t xml:space="preserve">Stage of Summative Evaluation </w:t>
            </w:r>
          </w:p>
        </w:tc>
        <w:tc>
          <w:tcPr>
            <w:tcW w:w="1418" w:type="dxa"/>
          </w:tcPr>
          <w:p w14:paraId="00F1EFF1" w14:textId="77777777" w:rsidR="00590FC3" w:rsidRPr="00BB4743" w:rsidRDefault="00590FC3">
            <w:pPr>
              <w:pStyle w:val="ItadNormalText"/>
              <w:rPr>
                <w:b/>
                <w:bCs/>
                <w:sz w:val="20"/>
                <w:szCs w:val="20"/>
              </w:rPr>
            </w:pPr>
            <w:r w:rsidRPr="00BB4743">
              <w:rPr>
                <w:b/>
                <w:bCs/>
                <w:sz w:val="20"/>
                <w:szCs w:val="20"/>
              </w:rPr>
              <w:t>Stakeholder</w:t>
            </w:r>
          </w:p>
        </w:tc>
        <w:tc>
          <w:tcPr>
            <w:tcW w:w="6917" w:type="dxa"/>
          </w:tcPr>
          <w:p w14:paraId="5C8EA081" w14:textId="77777777" w:rsidR="00590FC3" w:rsidRPr="00BB4743" w:rsidRDefault="00590FC3">
            <w:pPr>
              <w:pStyle w:val="ItadNormalText"/>
              <w:rPr>
                <w:b/>
                <w:bCs/>
                <w:sz w:val="20"/>
                <w:szCs w:val="20"/>
              </w:rPr>
            </w:pPr>
            <w:r w:rsidRPr="00BB4743">
              <w:rPr>
                <w:b/>
                <w:bCs/>
                <w:sz w:val="20"/>
                <w:szCs w:val="20"/>
              </w:rPr>
              <w:t>Participation</w:t>
            </w:r>
          </w:p>
        </w:tc>
        <w:tc>
          <w:tcPr>
            <w:tcW w:w="2098" w:type="dxa"/>
          </w:tcPr>
          <w:p w14:paraId="66B0584B" w14:textId="77777777" w:rsidR="00590FC3" w:rsidRPr="00BB4743" w:rsidRDefault="00590FC3">
            <w:pPr>
              <w:pStyle w:val="ItadNormalText"/>
              <w:rPr>
                <w:b/>
                <w:bCs/>
                <w:sz w:val="20"/>
                <w:szCs w:val="20"/>
              </w:rPr>
            </w:pPr>
            <w:r w:rsidRPr="00BB4743">
              <w:rPr>
                <w:b/>
                <w:bCs/>
                <w:sz w:val="20"/>
                <w:szCs w:val="20"/>
              </w:rPr>
              <w:t>When</w:t>
            </w:r>
          </w:p>
        </w:tc>
      </w:tr>
      <w:tr w:rsidR="00590FC3" w14:paraId="17B9B45E" w14:textId="77777777" w:rsidTr="00CA1F7A">
        <w:trPr>
          <w:cnfStyle w:val="000000100000" w:firstRow="0" w:lastRow="0" w:firstColumn="0" w:lastColumn="0" w:oddVBand="0" w:evenVBand="0" w:oddHBand="1" w:evenHBand="0" w:firstRowFirstColumn="0" w:firstRowLastColumn="0" w:lastRowFirstColumn="0" w:lastRowLastColumn="0"/>
          <w:trHeight w:val="857"/>
        </w:trPr>
        <w:tc>
          <w:tcPr>
            <w:tcW w:w="3284" w:type="dxa"/>
          </w:tcPr>
          <w:p w14:paraId="0195FA6D" w14:textId="77777777" w:rsidR="00590FC3" w:rsidRPr="00DD3653" w:rsidRDefault="00590FC3">
            <w:pPr>
              <w:pStyle w:val="ItadNormalText"/>
              <w:rPr>
                <w:sz w:val="20"/>
                <w:szCs w:val="20"/>
              </w:rPr>
            </w:pPr>
            <w:r w:rsidRPr="00DD3653">
              <w:rPr>
                <w:sz w:val="20"/>
                <w:szCs w:val="20"/>
              </w:rPr>
              <w:t xml:space="preserve">Design of summative evaluation </w:t>
            </w:r>
          </w:p>
        </w:tc>
        <w:tc>
          <w:tcPr>
            <w:tcW w:w="1418" w:type="dxa"/>
          </w:tcPr>
          <w:p w14:paraId="71B4C857" w14:textId="77777777" w:rsidR="00590FC3" w:rsidRPr="00DD3653" w:rsidRDefault="00590FC3">
            <w:pPr>
              <w:pStyle w:val="ItadNormalText"/>
              <w:rPr>
                <w:sz w:val="20"/>
                <w:szCs w:val="20"/>
              </w:rPr>
            </w:pPr>
            <w:r w:rsidRPr="00DD3653">
              <w:rPr>
                <w:sz w:val="20"/>
                <w:szCs w:val="20"/>
              </w:rPr>
              <w:t>DHSC</w:t>
            </w:r>
          </w:p>
        </w:tc>
        <w:tc>
          <w:tcPr>
            <w:tcW w:w="6917" w:type="dxa"/>
          </w:tcPr>
          <w:p w14:paraId="3F7699E8" w14:textId="4EFD2973" w:rsidR="00590FC3" w:rsidRPr="00DD3653" w:rsidRDefault="00590FC3">
            <w:pPr>
              <w:pStyle w:val="ItadNormalText"/>
              <w:rPr>
                <w:sz w:val="20"/>
                <w:szCs w:val="20"/>
              </w:rPr>
            </w:pPr>
            <w:r w:rsidRPr="00DD3653">
              <w:rPr>
                <w:sz w:val="20"/>
                <w:szCs w:val="20"/>
              </w:rPr>
              <w:t>Discussions held with key stakeholders</w:t>
            </w:r>
            <w:r w:rsidR="00AD5362" w:rsidRPr="00DD3653">
              <w:rPr>
                <w:sz w:val="20"/>
                <w:szCs w:val="20"/>
              </w:rPr>
              <w:t xml:space="preserve"> at DHSC</w:t>
            </w:r>
            <w:r w:rsidRPr="00DD3653">
              <w:rPr>
                <w:sz w:val="20"/>
                <w:szCs w:val="20"/>
              </w:rPr>
              <w:t xml:space="preserve"> to ensure focus of the evaluation met their needs</w:t>
            </w:r>
          </w:p>
        </w:tc>
        <w:tc>
          <w:tcPr>
            <w:tcW w:w="2098" w:type="dxa"/>
          </w:tcPr>
          <w:p w14:paraId="43FB38AA" w14:textId="77777777" w:rsidR="00590FC3" w:rsidRPr="00DD3653" w:rsidRDefault="00590FC3">
            <w:pPr>
              <w:pStyle w:val="ItadNormalText"/>
              <w:rPr>
                <w:sz w:val="20"/>
                <w:szCs w:val="20"/>
              </w:rPr>
            </w:pPr>
            <w:r w:rsidRPr="00DD3653">
              <w:rPr>
                <w:sz w:val="20"/>
                <w:szCs w:val="20"/>
              </w:rPr>
              <w:t>Q4 2021</w:t>
            </w:r>
          </w:p>
        </w:tc>
      </w:tr>
      <w:tr w:rsidR="00590FC3" w14:paraId="5E2BF590" w14:textId="77777777" w:rsidTr="00CA1F7A">
        <w:trPr>
          <w:cnfStyle w:val="000000010000" w:firstRow="0" w:lastRow="0" w:firstColumn="0" w:lastColumn="0" w:oddVBand="0" w:evenVBand="0" w:oddHBand="0" w:evenHBand="1" w:firstRowFirstColumn="0" w:firstRowLastColumn="0" w:lastRowFirstColumn="0" w:lastRowLastColumn="0"/>
          <w:trHeight w:val="1914"/>
        </w:trPr>
        <w:tc>
          <w:tcPr>
            <w:tcW w:w="3284" w:type="dxa"/>
          </w:tcPr>
          <w:p w14:paraId="4A492F1F" w14:textId="77777777" w:rsidR="00590FC3" w:rsidRPr="00DD3653" w:rsidRDefault="00590FC3">
            <w:pPr>
              <w:pStyle w:val="ItadNormalText"/>
              <w:rPr>
                <w:sz w:val="20"/>
                <w:szCs w:val="20"/>
              </w:rPr>
            </w:pPr>
            <w:r w:rsidRPr="00DD3653">
              <w:rPr>
                <w:sz w:val="20"/>
                <w:szCs w:val="20"/>
              </w:rPr>
              <w:t xml:space="preserve">Pilot Data Collection (Pakistan and Zambia) </w:t>
            </w:r>
          </w:p>
        </w:tc>
        <w:tc>
          <w:tcPr>
            <w:tcW w:w="1418" w:type="dxa"/>
          </w:tcPr>
          <w:p w14:paraId="74A1A235" w14:textId="77777777" w:rsidR="00590FC3" w:rsidRPr="002B0A41" w:rsidRDefault="00590FC3">
            <w:pPr>
              <w:pStyle w:val="ItadNormalText"/>
              <w:rPr>
                <w:sz w:val="20"/>
                <w:szCs w:val="20"/>
                <w:lang w:val="de-DE"/>
              </w:rPr>
            </w:pPr>
            <w:r w:rsidRPr="002B0A41">
              <w:rPr>
                <w:sz w:val="20"/>
                <w:szCs w:val="20"/>
                <w:lang w:val="de-DE"/>
              </w:rPr>
              <w:t>MA, DHSC, RCs, CGs &amp; KIs</w:t>
            </w:r>
          </w:p>
        </w:tc>
        <w:tc>
          <w:tcPr>
            <w:tcW w:w="6917" w:type="dxa"/>
          </w:tcPr>
          <w:p w14:paraId="77D8C54F" w14:textId="77777777" w:rsidR="00590FC3" w:rsidRPr="00DD3653" w:rsidRDefault="00590FC3">
            <w:pPr>
              <w:pStyle w:val="ItadNormalText"/>
              <w:rPr>
                <w:sz w:val="20"/>
                <w:szCs w:val="20"/>
              </w:rPr>
            </w:pPr>
            <w:r w:rsidRPr="00DD3653">
              <w:rPr>
                <w:sz w:val="20"/>
                <w:szCs w:val="20"/>
              </w:rPr>
              <w:t xml:space="preserve">Itad worked with the MA and RCs on the timing of the pilot country visits. </w:t>
            </w:r>
          </w:p>
          <w:p w14:paraId="521663DB" w14:textId="41D270DB" w:rsidR="00590FC3" w:rsidRPr="00DD3653" w:rsidRDefault="00A37A0E">
            <w:pPr>
              <w:pStyle w:val="ItadNormalText"/>
              <w:rPr>
                <w:sz w:val="20"/>
                <w:szCs w:val="20"/>
              </w:rPr>
            </w:pPr>
            <w:r>
              <w:rPr>
                <w:sz w:val="20"/>
                <w:szCs w:val="20"/>
              </w:rPr>
              <w:t xml:space="preserve">The </w:t>
            </w:r>
            <w:r w:rsidR="00590FC3" w:rsidRPr="00DD3653">
              <w:rPr>
                <w:sz w:val="20"/>
                <w:szCs w:val="20"/>
              </w:rPr>
              <w:t xml:space="preserve">MA provided documentation on </w:t>
            </w:r>
            <w:r w:rsidR="00BF101D">
              <w:rPr>
                <w:sz w:val="20"/>
                <w:szCs w:val="20"/>
              </w:rPr>
              <w:t>CGs</w:t>
            </w:r>
            <w:r w:rsidR="00590FC3" w:rsidRPr="00DD3653">
              <w:rPr>
                <w:sz w:val="20"/>
                <w:szCs w:val="20"/>
              </w:rPr>
              <w:t xml:space="preserve"> to support document reviews and country visit preparation. </w:t>
            </w:r>
          </w:p>
          <w:p w14:paraId="4001A1A6" w14:textId="77777777" w:rsidR="00590FC3" w:rsidRPr="00DD3653" w:rsidRDefault="00590FC3">
            <w:pPr>
              <w:pStyle w:val="ItadNormalText"/>
              <w:rPr>
                <w:sz w:val="20"/>
                <w:szCs w:val="20"/>
              </w:rPr>
            </w:pPr>
            <w:r w:rsidRPr="00DD3653">
              <w:rPr>
                <w:sz w:val="20"/>
                <w:szCs w:val="20"/>
              </w:rPr>
              <w:t xml:space="preserve">The evaluation team liaised with RCs and CGs on the logistics of the pilot country visits, setting up KIIs and arranging site visits. </w:t>
            </w:r>
          </w:p>
          <w:p w14:paraId="2743F2F8" w14:textId="77777777" w:rsidR="00590FC3" w:rsidRPr="00DD3653" w:rsidRDefault="00590FC3">
            <w:pPr>
              <w:pStyle w:val="ItadNormalText"/>
              <w:rPr>
                <w:sz w:val="20"/>
                <w:szCs w:val="20"/>
              </w:rPr>
            </w:pPr>
            <w:r w:rsidRPr="00DD3653">
              <w:rPr>
                <w:sz w:val="20"/>
                <w:szCs w:val="20"/>
              </w:rPr>
              <w:t xml:space="preserve">The evaluation team contacted KIs to arrange interviews and site visits and conducted these during the pilot country visit. </w:t>
            </w:r>
          </w:p>
          <w:p w14:paraId="19A33606" w14:textId="3D0B455F" w:rsidR="007B49BA" w:rsidRPr="00DD3653" w:rsidRDefault="007B49BA" w:rsidP="00E86338">
            <w:pPr>
              <w:pStyle w:val="ItadNormalText"/>
              <w:rPr>
                <w:sz w:val="20"/>
                <w:szCs w:val="20"/>
              </w:rPr>
            </w:pPr>
            <w:r w:rsidRPr="00DD3653">
              <w:rPr>
                <w:sz w:val="20"/>
                <w:szCs w:val="20"/>
              </w:rPr>
              <w:t xml:space="preserve">On completion of the </w:t>
            </w:r>
            <w:r w:rsidR="00C643D8" w:rsidRPr="00DD3653">
              <w:rPr>
                <w:sz w:val="20"/>
                <w:szCs w:val="20"/>
              </w:rPr>
              <w:t xml:space="preserve">pilot country data collection, a pre debrief meeting was held with RCs for comment and to check factual accuracy. Following this the debrief presentation was shared with and presented to </w:t>
            </w:r>
            <w:r w:rsidR="002C2EFE">
              <w:rPr>
                <w:sz w:val="20"/>
                <w:szCs w:val="20"/>
              </w:rPr>
              <w:t xml:space="preserve">the </w:t>
            </w:r>
            <w:r w:rsidR="00C643D8" w:rsidRPr="00DD3653">
              <w:rPr>
                <w:sz w:val="20"/>
                <w:szCs w:val="20"/>
              </w:rPr>
              <w:t xml:space="preserve">MA and DHSC for discussion. </w:t>
            </w:r>
          </w:p>
        </w:tc>
        <w:tc>
          <w:tcPr>
            <w:tcW w:w="2098" w:type="dxa"/>
          </w:tcPr>
          <w:p w14:paraId="255C3A0E" w14:textId="77777777" w:rsidR="00590FC3" w:rsidRPr="00DD3653" w:rsidRDefault="00590FC3">
            <w:pPr>
              <w:pStyle w:val="ItadNormalText"/>
              <w:rPr>
                <w:sz w:val="20"/>
                <w:szCs w:val="20"/>
              </w:rPr>
            </w:pPr>
            <w:r w:rsidRPr="00DD3653">
              <w:rPr>
                <w:sz w:val="20"/>
                <w:szCs w:val="20"/>
              </w:rPr>
              <w:t>Q4 2021</w:t>
            </w:r>
          </w:p>
        </w:tc>
      </w:tr>
      <w:tr w:rsidR="00590FC3" w14:paraId="38FFC064" w14:textId="77777777" w:rsidTr="00CA1F7A">
        <w:trPr>
          <w:cnfStyle w:val="000000100000" w:firstRow="0" w:lastRow="0" w:firstColumn="0" w:lastColumn="0" w:oddVBand="0" w:evenVBand="0" w:oddHBand="1" w:evenHBand="0" w:firstRowFirstColumn="0" w:firstRowLastColumn="0" w:lastRowFirstColumn="0" w:lastRowLastColumn="0"/>
          <w:trHeight w:val="1905"/>
        </w:trPr>
        <w:tc>
          <w:tcPr>
            <w:tcW w:w="3284" w:type="dxa"/>
          </w:tcPr>
          <w:p w14:paraId="57788448" w14:textId="77777777" w:rsidR="00590FC3" w:rsidRPr="00DD3653" w:rsidRDefault="00590FC3">
            <w:pPr>
              <w:pStyle w:val="ItadNormalText"/>
              <w:rPr>
                <w:sz w:val="20"/>
                <w:szCs w:val="20"/>
              </w:rPr>
            </w:pPr>
            <w:r w:rsidRPr="00DD3653">
              <w:rPr>
                <w:sz w:val="20"/>
                <w:szCs w:val="20"/>
              </w:rPr>
              <w:t>Data Collection:</w:t>
            </w:r>
          </w:p>
          <w:p w14:paraId="4577985F" w14:textId="77777777" w:rsidR="00590FC3" w:rsidRPr="00BB4743" w:rsidRDefault="00590FC3" w:rsidP="00C6374D">
            <w:pPr>
              <w:pStyle w:val="ItadNormalText"/>
              <w:numPr>
                <w:ilvl w:val="0"/>
                <w:numId w:val="71"/>
              </w:numPr>
              <w:rPr>
                <w:sz w:val="20"/>
                <w:szCs w:val="20"/>
              </w:rPr>
            </w:pPr>
            <w:r w:rsidRPr="00BB4743">
              <w:rPr>
                <w:sz w:val="20"/>
                <w:szCs w:val="20"/>
              </w:rPr>
              <w:t>Document Review</w:t>
            </w:r>
          </w:p>
          <w:p w14:paraId="181D42AA" w14:textId="77777777" w:rsidR="00590FC3" w:rsidRPr="00BB4743" w:rsidRDefault="00590FC3" w:rsidP="00C6374D">
            <w:pPr>
              <w:pStyle w:val="ItadNormalText"/>
              <w:numPr>
                <w:ilvl w:val="0"/>
                <w:numId w:val="71"/>
              </w:numPr>
              <w:rPr>
                <w:sz w:val="20"/>
                <w:szCs w:val="20"/>
              </w:rPr>
            </w:pPr>
            <w:r w:rsidRPr="00BB4743">
              <w:rPr>
                <w:sz w:val="20"/>
                <w:szCs w:val="20"/>
              </w:rPr>
              <w:t>Country KIIs</w:t>
            </w:r>
          </w:p>
          <w:p w14:paraId="3593388B" w14:textId="77777777" w:rsidR="00590FC3" w:rsidRPr="00BB4743" w:rsidRDefault="00590FC3" w:rsidP="00C6374D">
            <w:pPr>
              <w:pStyle w:val="ItadNormalText"/>
              <w:numPr>
                <w:ilvl w:val="0"/>
                <w:numId w:val="71"/>
              </w:numPr>
              <w:rPr>
                <w:sz w:val="20"/>
                <w:szCs w:val="20"/>
              </w:rPr>
            </w:pPr>
            <w:r w:rsidRPr="00BB4743">
              <w:rPr>
                <w:sz w:val="20"/>
                <w:szCs w:val="20"/>
              </w:rPr>
              <w:t>Site Visits</w:t>
            </w:r>
          </w:p>
          <w:p w14:paraId="6BECFC98" w14:textId="77777777" w:rsidR="00590FC3" w:rsidRPr="00DD3653" w:rsidRDefault="00590FC3" w:rsidP="00C6374D">
            <w:pPr>
              <w:pStyle w:val="ItadNormalText"/>
              <w:numPr>
                <w:ilvl w:val="0"/>
                <w:numId w:val="71"/>
              </w:numPr>
              <w:rPr>
                <w:sz w:val="20"/>
                <w:szCs w:val="20"/>
              </w:rPr>
            </w:pPr>
            <w:r w:rsidRPr="002C2EFE">
              <w:rPr>
                <w:sz w:val="20"/>
                <w:szCs w:val="20"/>
              </w:rPr>
              <w:t>KIIs with DPs, DHSC and MA</w:t>
            </w:r>
          </w:p>
        </w:tc>
        <w:tc>
          <w:tcPr>
            <w:tcW w:w="1418" w:type="dxa"/>
          </w:tcPr>
          <w:p w14:paraId="7DA333B9" w14:textId="77777777" w:rsidR="00590FC3" w:rsidRPr="00DD3653" w:rsidRDefault="00590FC3">
            <w:pPr>
              <w:pStyle w:val="ItadNormalText"/>
              <w:rPr>
                <w:sz w:val="20"/>
                <w:szCs w:val="20"/>
              </w:rPr>
            </w:pPr>
            <w:r w:rsidRPr="00DD3653">
              <w:rPr>
                <w:sz w:val="20"/>
                <w:szCs w:val="20"/>
              </w:rPr>
              <w:t>MA, DHSC, RCs, CGs, HIs, KIs &amp; DPs</w:t>
            </w:r>
          </w:p>
        </w:tc>
        <w:tc>
          <w:tcPr>
            <w:tcW w:w="6917" w:type="dxa"/>
          </w:tcPr>
          <w:p w14:paraId="79043E9C" w14:textId="77777777" w:rsidR="00590FC3" w:rsidRPr="00DD3653" w:rsidRDefault="00590FC3">
            <w:pPr>
              <w:pStyle w:val="ItadNormalText"/>
              <w:rPr>
                <w:sz w:val="20"/>
                <w:szCs w:val="20"/>
              </w:rPr>
            </w:pPr>
            <w:r w:rsidRPr="00DD3653">
              <w:rPr>
                <w:sz w:val="20"/>
                <w:szCs w:val="20"/>
              </w:rPr>
              <w:t xml:space="preserve">Itad worked with the MA and RCs on the timing of the country visits. </w:t>
            </w:r>
          </w:p>
          <w:p w14:paraId="32E2D0FF" w14:textId="5713CEEB" w:rsidR="00590FC3" w:rsidRPr="00DD3653" w:rsidRDefault="00400B50">
            <w:pPr>
              <w:pStyle w:val="ItadNormalText"/>
              <w:rPr>
                <w:sz w:val="20"/>
                <w:szCs w:val="20"/>
              </w:rPr>
            </w:pPr>
            <w:r>
              <w:rPr>
                <w:sz w:val="20"/>
                <w:szCs w:val="20"/>
              </w:rPr>
              <w:t xml:space="preserve">The </w:t>
            </w:r>
            <w:r w:rsidR="00590FC3" w:rsidRPr="00DD3653">
              <w:rPr>
                <w:sz w:val="20"/>
                <w:szCs w:val="20"/>
              </w:rPr>
              <w:t xml:space="preserve">MA and DHSC provided documentation on country, regional and </w:t>
            </w:r>
            <w:r w:rsidR="00B6022A">
              <w:rPr>
                <w:sz w:val="20"/>
                <w:szCs w:val="20"/>
              </w:rPr>
              <w:t>global</w:t>
            </w:r>
            <w:r w:rsidR="00590FC3" w:rsidRPr="00DD3653">
              <w:rPr>
                <w:sz w:val="20"/>
                <w:szCs w:val="20"/>
              </w:rPr>
              <w:t xml:space="preserve"> grants to support document reviews and country visit preparation. </w:t>
            </w:r>
          </w:p>
          <w:p w14:paraId="27414A8C" w14:textId="47AFBD6B" w:rsidR="00590FC3" w:rsidRPr="00DD3653" w:rsidRDefault="00590FC3">
            <w:pPr>
              <w:pStyle w:val="ItadNormalText"/>
              <w:rPr>
                <w:sz w:val="20"/>
                <w:szCs w:val="20"/>
              </w:rPr>
            </w:pPr>
            <w:r w:rsidRPr="00DD3653">
              <w:rPr>
                <w:sz w:val="20"/>
                <w:szCs w:val="20"/>
              </w:rPr>
              <w:t xml:space="preserve">The evaluation team liaised with RCs and CGs on the logistics of the country visits, setting up KIIs and arranging site visits. </w:t>
            </w:r>
          </w:p>
          <w:p w14:paraId="0ED5ACA9" w14:textId="259A8A8C" w:rsidR="00590FC3" w:rsidRPr="00DD3653" w:rsidRDefault="00590FC3">
            <w:pPr>
              <w:pStyle w:val="ItadNormalText"/>
              <w:rPr>
                <w:sz w:val="20"/>
                <w:szCs w:val="20"/>
              </w:rPr>
            </w:pPr>
            <w:r w:rsidRPr="00DD3653">
              <w:rPr>
                <w:sz w:val="20"/>
                <w:szCs w:val="20"/>
              </w:rPr>
              <w:t xml:space="preserve">Ahead of data collection, a copy of the data collection ToRs </w:t>
            </w:r>
            <w:r w:rsidR="000806D3" w:rsidRPr="00DD3653">
              <w:rPr>
                <w:sz w:val="20"/>
                <w:szCs w:val="20"/>
              </w:rPr>
              <w:t>was</w:t>
            </w:r>
            <w:r w:rsidRPr="00DD3653">
              <w:rPr>
                <w:sz w:val="20"/>
                <w:szCs w:val="20"/>
              </w:rPr>
              <w:t xml:space="preserve"> shared with </w:t>
            </w:r>
            <w:r w:rsidR="000806D3">
              <w:rPr>
                <w:sz w:val="20"/>
                <w:szCs w:val="20"/>
              </w:rPr>
              <w:t xml:space="preserve">the </w:t>
            </w:r>
            <w:r w:rsidRPr="00DD3653">
              <w:rPr>
                <w:sz w:val="20"/>
                <w:szCs w:val="20"/>
              </w:rPr>
              <w:t xml:space="preserve">MA, DHSC and CGs. </w:t>
            </w:r>
          </w:p>
          <w:p w14:paraId="364D9408" w14:textId="77777777" w:rsidR="00590FC3" w:rsidRPr="00DD3653" w:rsidRDefault="00590FC3">
            <w:pPr>
              <w:pStyle w:val="ItadNormalText"/>
              <w:rPr>
                <w:sz w:val="20"/>
                <w:szCs w:val="20"/>
              </w:rPr>
            </w:pPr>
            <w:r w:rsidRPr="00DD3653">
              <w:rPr>
                <w:sz w:val="20"/>
                <w:szCs w:val="20"/>
              </w:rPr>
              <w:t xml:space="preserve">The evaluation team contacted KIs to arrange interviews and site visits and conducted these during the country visit. </w:t>
            </w:r>
          </w:p>
          <w:p w14:paraId="5934B911" w14:textId="1FCEA6B1" w:rsidR="00590FC3" w:rsidRPr="00DD3653" w:rsidRDefault="00590FC3">
            <w:pPr>
              <w:pStyle w:val="ItadNormalText"/>
              <w:rPr>
                <w:sz w:val="20"/>
                <w:szCs w:val="20"/>
              </w:rPr>
            </w:pPr>
            <w:r w:rsidRPr="00DD3653">
              <w:rPr>
                <w:sz w:val="20"/>
                <w:szCs w:val="20"/>
              </w:rPr>
              <w:t xml:space="preserve">The evaluation team also conducted interviews with key stakeholders at </w:t>
            </w:r>
            <w:r w:rsidR="00BA2EC1">
              <w:rPr>
                <w:sz w:val="20"/>
                <w:szCs w:val="20"/>
              </w:rPr>
              <w:t xml:space="preserve">the </w:t>
            </w:r>
            <w:r w:rsidRPr="00DD3653">
              <w:rPr>
                <w:sz w:val="20"/>
                <w:szCs w:val="20"/>
              </w:rPr>
              <w:t xml:space="preserve">DHSC, MA, RCs, HIs and DPs. </w:t>
            </w:r>
          </w:p>
        </w:tc>
        <w:tc>
          <w:tcPr>
            <w:tcW w:w="2098" w:type="dxa"/>
          </w:tcPr>
          <w:p w14:paraId="56ACA9ED" w14:textId="77777777" w:rsidR="00590FC3" w:rsidRPr="00DD3653" w:rsidRDefault="00590FC3">
            <w:pPr>
              <w:pStyle w:val="ItadNormalText"/>
              <w:rPr>
                <w:sz w:val="20"/>
                <w:szCs w:val="20"/>
              </w:rPr>
            </w:pPr>
            <w:r w:rsidRPr="00DD3653">
              <w:rPr>
                <w:sz w:val="20"/>
                <w:szCs w:val="20"/>
              </w:rPr>
              <w:t>Q4 2021-Q3 2022</w:t>
            </w:r>
          </w:p>
        </w:tc>
      </w:tr>
      <w:tr w:rsidR="00590FC3" w14:paraId="1D423D11" w14:textId="77777777" w:rsidTr="00CA1F7A">
        <w:trPr>
          <w:cnfStyle w:val="000000010000" w:firstRow="0" w:lastRow="0" w:firstColumn="0" w:lastColumn="0" w:oddVBand="0" w:evenVBand="0" w:oddHBand="0" w:evenHBand="1" w:firstRowFirstColumn="0" w:firstRowLastColumn="0" w:lastRowFirstColumn="0" w:lastRowLastColumn="0"/>
          <w:trHeight w:val="832"/>
        </w:trPr>
        <w:tc>
          <w:tcPr>
            <w:tcW w:w="3284" w:type="dxa"/>
          </w:tcPr>
          <w:p w14:paraId="46848742" w14:textId="77777777" w:rsidR="00590FC3" w:rsidRPr="00DD3653" w:rsidRDefault="00590FC3">
            <w:pPr>
              <w:pStyle w:val="ItadNormalText"/>
              <w:rPr>
                <w:sz w:val="20"/>
                <w:szCs w:val="20"/>
              </w:rPr>
            </w:pPr>
            <w:r w:rsidRPr="00DD3653">
              <w:rPr>
                <w:sz w:val="20"/>
                <w:szCs w:val="20"/>
              </w:rPr>
              <w:t>Country Level Debriefs</w:t>
            </w:r>
          </w:p>
        </w:tc>
        <w:tc>
          <w:tcPr>
            <w:tcW w:w="1418" w:type="dxa"/>
          </w:tcPr>
          <w:p w14:paraId="391E8C6F" w14:textId="79B5E8D2" w:rsidR="00590FC3" w:rsidRPr="002B0A41" w:rsidRDefault="00590FC3">
            <w:pPr>
              <w:pStyle w:val="ItadNormalText"/>
              <w:rPr>
                <w:sz w:val="20"/>
                <w:szCs w:val="20"/>
                <w:lang w:val="de-DE"/>
              </w:rPr>
            </w:pPr>
            <w:r w:rsidRPr="002B0A41">
              <w:rPr>
                <w:sz w:val="20"/>
                <w:szCs w:val="20"/>
                <w:lang w:val="de-DE"/>
              </w:rPr>
              <w:t>MA</w:t>
            </w:r>
            <w:r w:rsidR="00917304" w:rsidRPr="002B0A41">
              <w:rPr>
                <w:sz w:val="20"/>
                <w:szCs w:val="20"/>
                <w:lang w:val="de-DE"/>
              </w:rPr>
              <w:t xml:space="preserve">, </w:t>
            </w:r>
            <w:r w:rsidRPr="002B0A41">
              <w:rPr>
                <w:sz w:val="20"/>
                <w:szCs w:val="20"/>
                <w:lang w:val="de-DE"/>
              </w:rPr>
              <w:t>DHSC</w:t>
            </w:r>
            <w:r w:rsidR="00917304" w:rsidRPr="002B0A41">
              <w:rPr>
                <w:sz w:val="20"/>
                <w:szCs w:val="20"/>
                <w:lang w:val="de-DE"/>
              </w:rPr>
              <w:t xml:space="preserve">, </w:t>
            </w:r>
            <w:r w:rsidRPr="002B0A41">
              <w:rPr>
                <w:sz w:val="20"/>
                <w:szCs w:val="20"/>
                <w:lang w:val="de-DE"/>
              </w:rPr>
              <w:t>RCs</w:t>
            </w:r>
            <w:r w:rsidR="00917304" w:rsidRPr="002B0A41">
              <w:rPr>
                <w:sz w:val="20"/>
                <w:szCs w:val="20"/>
                <w:lang w:val="de-DE"/>
              </w:rPr>
              <w:t xml:space="preserve">, </w:t>
            </w:r>
            <w:r w:rsidRPr="002B0A41">
              <w:rPr>
                <w:sz w:val="20"/>
                <w:szCs w:val="20"/>
                <w:lang w:val="de-DE"/>
              </w:rPr>
              <w:t>CGs</w:t>
            </w:r>
            <w:r w:rsidR="00917304" w:rsidRPr="002B0A41">
              <w:rPr>
                <w:sz w:val="20"/>
                <w:szCs w:val="20"/>
                <w:lang w:val="de-DE"/>
              </w:rPr>
              <w:t xml:space="preserve"> &amp; </w:t>
            </w:r>
            <w:r w:rsidRPr="002B0A41">
              <w:rPr>
                <w:sz w:val="20"/>
                <w:szCs w:val="20"/>
                <w:lang w:val="de-DE"/>
              </w:rPr>
              <w:t>KIs</w:t>
            </w:r>
          </w:p>
        </w:tc>
        <w:tc>
          <w:tcPr>
            <w:tcW w:w="6917" w:type="dxa"/>
          </w:tcPr>
          <w:p w14:paraId="63FE43B5" w14:textId="6F4A1E2F" w:rsidR="00590FC3" w:rsidRPr="00DD3653" w:rsidRDefault="00590FC3">
            <w:pPr>
              <w:pStyle w:val="ItadNormalText"/>
              <w:rPr>
                <w:sz w:val="20"/>
                <w:szCs w:val="20"/>
              </w:rPr>
            </w:pPr>
            <w:r w:rsidRPr="00DD3653">
              <w:rPr>
                <w:sz w:val="20"/>
                <w:szCs w:val="20"/>
              </w:rPr>
              <w:t xml:space="preserve">A debrief meeting was held for each of the 16 countries in </w:t>
            </w:r>
            <w:r w:rsidR="00B63DD6" w:rsidRPr="00DD3653">
              <w:rPr>
                <w:sz w:val="20"/>
                <w:szCs w:val="20"/>
              </w:rPr>
              <w:t xml:space="preserve">the </w:t>
            </w:r>
            <w:r w:rsidRPr="00DD3653">
              <w:rPr>
                <w:sz w:val="20"/>
                <w:szCs w:val="20"/>
              </w:rPr>
              <w:t xml:space="preserve">sample. An initial meeting took place with RCs for comment and to check factual accuracy. Following this the debrief presentation was shared with and presented to </w:t>
            </w:r>
            <w:r w:rsidR="006B09C1">
              <w:rPr>
                <w:sz w:val="20"/>
                <w:szCs w:val="20"/>
              </w:rPr>
              <w:t xml:space="preserve">the </w:t>
            </w:r>
            <w:r w:rsidRPr="00DD3653">
              <w:rPr>
                <w:sz w:val="20"/>
                <w:szCs w:val="20"/>
              </w:rPr>
              <w:t xml:space="preserve">MA and DHSC for discussion. </w:t>
            </w:r>
          </w:p>
          <w:p w14:paraId="2C78583D" w14:textId="5EA5DD84" w:rsidR="00590FC3" w:rsidRPr="00DD3653" w:rsidRDefault="00590FC3">
            <w:pPr>
              <w:pStyle w:val="ItadNormalText"/>
              <w:rPr>
                <w:sz w:val="20"/>
                <w:szCs w:val="20"/>
              </w:rPr>
            </w:pPr>
            <w:r w:rsidRPr="00DD3653">
              <w:rPr>
                <w:sz w:val="20"/>
                <w:szCs w:val="20"/>
              </w:rPr>
              <w:t>Following the debrief meeting, the country teams shared the presentation with CGs to check for sensitivities, this was then distributed to</w:t>
            </w:r>
            <w:r w:rsidR="00FD56C8">
              <w:rPr>
                <w:sz w:val="20"/>
                <w:szCs w:val="20"/>
              </w:rPr>
              <w:t xml:space="preserve"> the</w:t>
            </w:r>
            <w:r w:rsidRPr="00DD3653">
              <w:rPr>
                <w:sz w:val="20"/>
                <w:szCs w:val="20"/>
              </w:rPr>
              <w:t xml:space="preserve"> </w:t>
            </w:r>
            <w:r w:rsidR="002F0774">
              <w:rPr>
                <w:sz w:val="20"/>
                <w:szCs w:val="20"/>
              </w:rPr>
              <w:t>KIs</w:t>
            </w:r>
            <w:r w:rsidRPr="00DD3653">
              <w:rPr>
                <w:sz w:val="20"/>
                <w:szCs w:val="20"/>
              </w:rPr>
              <w:t xml:space="preserve"> who took part in the interviews. </w:t>
            </w:r>
          </w:p>
        </w:tc>
        <w:tc>
          <w:tcPr>
            <w:tcW w:w="2098" w:type="dxa"/>
          </w:tcPr>
          <w:p w14:paraId="1FDDDBB4" w14:textId="77777777" w:rsidR="00590FC3" w:rsidRPr="00DD3653" w:rsidRDefault="00590FC3">
            <w:pPr>
              <w:pStyle w:val="ItadNormalText"/>
              <w:rPr>
                <w:sz w:val="20"/>
                <w:szCs w:val="20"/>
              </w:rPr>
            </w:pPr>
            <w:r w:rsidRPr="00DD3653">
              <w:rPr>
                <w:sz w:val="20"/>
                <w:szCs w:val="20"/>
              </w:rPr>
              <w:t>Q2 2022-Q4 2022</w:t>
            </w:r>
          </w:p>
        </w:tc>
      </w:tr>
      <w:tr w:rsidR="00590FC3" w:rsidRPr="00A317B7" w14:paraId="5ED36763" w14:textId="77777777" w:rsidTr="00CA1F7A">
        <w:trPr>
          <w:cnfStyle w:val="000000100000" w:firstRow="0" w:lastRow="0" w:firstColumn="0" w:lastColumn="0" w:oddVBand="0" w:evenVBand="0" w:oddHBand="1" w:evenHBand="0" w:firstRowFirstColumn="0" w:firstRowLastColumn="0" w:lastRowFirstColumn="0" w:lastRowLastColumn="0"/>
          <w:trHeight w:val="816"/>
        </w:trPr>
        <w:tc>
          <w:tcPr>
            <w:tcW w:w="3284" w:type="dxa"/>
          </w:tcPr>
          <w:p w14:paraId="112D8341" w14:textId="77777777" w:rsidR="00590FC3" w:rsidRPr="00DD3653" w:rsidRDefault="00590FC3">
            <w:pPr>
              <w:pStyle w:val="ItadNormalText"/>
              <w:rPr>
                <w:sz w:val="20"/>
                <w:szCs w:val="20"/>
              </w:rPr>
            </w:pPr>
            <w:r w:rsidRPr="00DD3653">
              <w:rPr>
                <w:sz w:val="20"/>
                <w:szCs w:val="20"/>
              </w:rPr>
              <w:t>Report drafting</w:t>
            </w:r>
          </w:p>
        </w:tc>
        <w:tc>
          <w:tcPr>
            <w:tcW w:w="1418" w:type="dxa"/>
          </w:tcPr>
          <w:p w14:paraId="4E4AF6D8" w14:textId="2AC00261" w:rsidR="00590FC3" w:rsidRPr="00DD3653" w:rsidRDefault="00917304">
            <w:pPr>
              <w:pStyle w:val="ItadNormalText"/>
              <w:rPr>
                <w:sz w:val="20"/>
                <w:szCs w:val="20"/>
                <w:lang w:val="it-IT"/>
              </w:rPr>
            </w:pPr>
            <w:r w:rsidRPr="00DD3653">
              <w:rPr>
                <w:sz w:val="20"/>
                <w:szCs w:val="20"/>
                <w:lang w:val="it-IT"/>
              </w:rPr>
              <w:t xml:space="preserve">EAG, </w:t>
            </w:r>
            <w:r w:rsidR="00590FC3" w:rsidRPr="00DD3653">
              <w:rPr>
                <w:sz w:val="20"/>
                <w:szCs w:val="20"/>
                <w:lang w:val="it-IT"/>
              </w:rPr>
              <w:t>MA</w:t>
            </w:r>
            <w:r w:rsidRPr="00DD3653">
              <w:rPr>
                <w:sz w:val="20"/>
                <w:szCs w:val="20"/>
                <w:lang w:val="it-IT"/>
              </w:rPr>
              <w:t xml:space="preserve"> &amp; </w:t>
            </w:r>
            <w:r w:rsidR="00590FC3" w:rsidRPr="00DD3653">
              <w:rPr>
                <w:sz w:val="20"/>
                <w:szCs w:val="20"/>
                <w:lang w:val="it-IT"/>
              </w:rPr>
              <w:t>DHSC</w:t>
            </w:r>
          </w:p>
        </w:tc>
        <w:tc>
          <w:tcPr>
            <w:tcW w:w="6917" w:type="dxa"/>
          </w:tcPr>
          <w:p w14:paraId="2CEC9808" w14:textId="34C1DCA0" w:rsidR="00590FC3" w:rsidRPr="00DD3653" w:rsidRDefault="00590FC3">
            <w:pPr>
              <w:pStyle w:val="ItadNormalText"/>
              <w:rPr>
                <w:sz w:val="20"/>
                <w:szCs w:val="20"/>
              </w:rPr>
            </w:pPr>
            <w:r w:rsidRPr="00DD3653">
              <w:rPr>
                <w:sz w:val="20"/>
                <w:szCs w:val="20"/>
              </w:rPr>
              <w:t xml:space="preserve">A draft of the report was shared with the EAG for review and comments. A draft of the report was also shared with </w:t>
            </w:r>
            <w:r w:rsidR="00F174B6">
              <w:rPr>
                <w:sz w:val="20"/>
                <w:szCs w:val="20"/>
              </w:rPr>
              <w:t xml:space="preserve">the </w:t>
            </w:r>
            <w:r w:rsidRPr="00DD3653">
              <w:rPr>
                <w:sz w:val="20"/>
                <w:szCs w:val="20"/>
              </w:rPr>
              <w:t xml:space="preserve">MA for comment and to check factual accuracy. Finally, the </w:t>
            </w:r>
            <w:r w:rsidR="00F174B6" w:rsidRPr="00DD3653">
              <w:rPr>
                <w:sz w:val="20"/>
                <w:szCs w:val="20"/>
              </w:rPr>
              <w:t>high-level</w:t>
            </w:r>
            <w:r w:rsidRPr="00DD3653">
              <w:rPr>
                <w:sz w:val="20"/>
                <w:szCs w:val="20"/>
              </w:rPr>
              <w:t xml:space="preserve"> findings were shared with</w:t>
            </w:r>
            <w:r w:rsidR="00F174B6">
              <w:rPr>
                <w:sz w:val="20"/>
                <w:szCs w:val="20"/>
              </w:rPr>
              <w:t xml:space="preserve"> the</w:t>
            </w:r>
            <w:r w:rsidRPr="00DD3653">
              <w:rPr>
                <w:sz w:val="20"/>
                <w:szCs w:val="20"/>
              </w:rPr>
              <w:t xml:space="preserve"> DHSC before submission of the report.</w:t>
            </w:r>
          </w:p>
        </w:tc>
        <w:tc>
          <w:tcPr>
            <w:tcW w:w="2098" w:type="dxa"/>
          </w:tcPr>
          <w:p w14:paraId="0B914366" w14:textId="77777777" w:rsidR="00590FC3" w:rsidRPr="00DD3653" w:rsidRDefault="00590FC3">
            <w:pPr>
              <w:pStyle w:val="ItadNormalText"/>
              <w:rPr>
                <w:sz w:val="20"/>
                <w:szCs w:val="20"/>
                <w:lang w:val="it-IT"/>
              </w:rPr>
            </w:pPr>
            <w:r w:rsidRPr="00DD3653">
              <w:rPr>
                <w:sz w:val="20"/>
                <w:szCs w:val="20"/>
                <w:lang w:val="it-IT"/>
              </w:rPr>
              <w:t>Q4 2022</w:t>
            </w:r>
          </w:p>
        </w:tc>
      </w:tr>
      <w:tr w:rsidR="00590FC3" w14:paraId="349E5A82" w14:textId="77777777" w:rsidTr="00CA1F7A">
        <w:trPr>
          <w:cnfStyle w:val="000000010000" w:firstRow="0" w:lastRow="0" w:firstColumn="0" w:lastColumn="0" w:oddVBand="0" w:evenVBand="0" w:oddHBand="0" w:evenHBand="1" w:firstRowFirstColumn="0" w:firstRowLastColumn="0" w:lastRowFirstColumn="0" w:lastRowLastColumn="0"/>
          <w:trHeight w:val="1905"/>
        </w:trPr>
        <w:tc>
          <w:tcPr>
            <w:tcW w:w="3284" w:type="dxa"/>
          </w:tcPr>
          <w:p w14:paraId="6F3217CE" w14:textId="77777777" w:rsidR="00590FC3" w:rsidRPr="00DD3653" w:rsidRDefault="00590FC3">
            <w:pPr>
              <w:pStyle w:val="ItadNormalText"/>
              <w:rPr>
                <w:sz w:val="20"/>
                <w:szCs w:val="20"/>
              </w:rPr>
            </w:pPr>
            <w:r w:rsidRPr="00DD3653">
              <w:rPr>
                <w:sz w:val="20"/>
                <w:szCs w:val="20"/>
              </w:rPr>
              <w:t xml:space="preserve">Submission &amp; Dissemination </w:t>
            </w:r>
          </w:p>
        </w:tc>
        <w:tc>
          <w:tcPr>
            <w:tcW w:w="1418" w:type="dxa"/>
          </w:tcPr>
          <w:p w14:paraId="75331FD7" w14:textId="2E4F7FC4" w:rsidR="00590FC3" w:rsidRPr="00DD3653" w:rsidRDefault="00590FC3">
            <w:pPr>
              <w:pStyle w:val="ItadNormalText"/>
              <w:rPr>
                <w:sz w:val="20"/>
                <w:szCs w:val="20"/>
                <w:lang w:val="it-IT"/>
              </w:rPr>
            </w:pPr>
            <w:r w:rsidRPr="00DD3653">
              <w:rPr>
                <w:sz w:val="20"/>
                <w:szCs w:val="20"/>
                <w:lang w:val="it-IT"/>
              </w:rPr>
              <w:t>MA</w:t>
            </w:r>
            <w:r w:rsidR="00917304" w:rsidRPr="00DD3653">
              <w:rPr>
                <w:sz w:val="20"/>
                <w:szCs w:val="20"/>
                <w:lang w:val="it-IT"/>
              </w:rPr>
              <w:t xml:space="preserve">, </w:t>
            </w:r>
            <w:r w:rsidRPr="00DD3653">
              <w:rPr>
                <w:sz w:val="20"/>
                <w:szCs w:val="20"/>
                <w:lang w:val="it-IT"/>
              </w:rPr>
              <w:t>DHSC</w:t>
            </w:r>
            <w:r w:rsidR="00917304" w:rsidRPr="00DD3653">
              <w:rPr>
                <w:sz w:val="20"/>
                <w:szCs w:val="20"/>
                <w:lang w:val="it-IT"/>
              </w:rPr>
              <w:t xml:space="preserve">, </w:t>
            </w:r>
            <w:r w:rsidRPr="00DD3653">
              <w:rPr>
                <w:sz w:val="20"/>
                <w:szCs w:val="20"/>
              </w:rPr>
              <w:t>TAG</w:t>
            </w:r>
            <w:r w:rsidR="00917304" w:rsidRPr="00DD3653">
              <w:rPr>
                <w:sz w:val="20"/>
                <w:szCs w:val="20"/>
              </w:rPr>
              <w:t xml:space="preserve">, </w:t>
            </w:r>
            <w:r w:rsidRPr="00DD3653">
              <w:rPr>
                <w:sz w:val="20"/>
                <w:szCs w:val="20"/>
              </w:rPr>
              <w:t>KIs</w:t>
            </w:r>
          </w:p>
        </w:tc>
        <w:tc>
          <w:tcPr>
            <w:tcW w:w="6917" w:type="dxa"/>
          </w:tcPr>
          <w:p w14:paraId="455983A0" w14:textId="7014DF3F" w:rsidR="00590FC3" w:rsidRPr="00DD3653" w:rsidRDefault="00590FC3">
            <w:pPr>
              <w:pStyle w:val="ItadNormalText"/>
              <w:rPr>
                <w:sz w:val="20"/>
                <w:szCs w:val="20"/>
              </w:rPr>
            </w:pPr>
            <w:r w:rsidRPr="00DD3653">
              <w:rPr>
                <w:sz w:val="20"/>
                <w:szCs w:val="20"/>
              </w:rPr>
              <w:t xml:space="preserve">The Summative Evaluation was submitted to DHSC in December. Following feedback and revisions the final report will be made publicly available, it will also be shared with those who were interviewed as part of the evaluation. A series of findings workshops will take place with </w:t>
            </w:r>
            <w:r w:rsidR="004904CB">
              <w:rPr>
                <w:sz w:val="20"/>
                <w:szCs w:val="20"/>
              </w:rPr>
              <w:t xml:space="preserve">the </w:t>
            </w:r>
            <w:r w:rsidRPr="00DD3653">
              <w:rPr>
                <w:sz w:val="20"/>
                <w:szCs w:val="20"/>
              </w:rPr>
              <w:t xml:space="preserve">DHSC, TAG and MA. The report and products will also be disseminated as </w:t>
            </w:r>
            <w:r w:rsidRPr="00B85D06">
              <w:rPr>
                <w:sz w:val="20"/>
                <w:szCs w:val="20"/>
              </w:rPr>
              <w:t xml:space="preserve">per Annex </w:t>
            </w:r>
            <w:r w:rsidR="000D4F0C" w:rsidRPr="00B85D06">
              <w:rPr>
                <w:sz w:val="20"/>
                <w:szCs w:val="20"/>
              </w:rPr>
              <w:t>1</w:t>
            </w:r>
            <w:r w:rsidR="004C32EC" w:rsidRPr="00B85D06">
              <w:rPr>
                <w:sz w:val="20"/>
                <w:szCs w:val="20"/>
              </w:rPr>
              <w:t>7</w:t>
            </w:r>
            <w:r w:rsidRPr="00B85D06">
              <w:rPr>
                <w:sz w:val="20"/>
                <w:szCs w:val="20"/>
              </w:rPr>
              <w:t>.</w:t>
            </w:r>
            <w:r w:rsidRPr="00DD3653">
              <w:rPr>
                <w:sz w:val="20"/>
                <w:szCs w:val="20"/>
              </w:rPr>
              <w:t xml:space="preserve"> </w:t>
            </w:r>
          </w:p>
        </w:tc>
        <w:tc>
          <w:tcPr>
            <w:tcW w:w="2098" w:type="dxa"/>
          </w:tcPr>
          <w:p w14:paraId="161B692B" w14:textId="77777777" w:rsidR="00590FC3" w:rsidRPr="00DD3653" w:rsidRDefault="00590FC3">
            <w:pPr>
              <w:pStyle w:val="ItadNormalText"/>
              <w:rPr>
                <w:sz w:val="20"/>
                <w:szCs w:val="20"/>
              </w:rPr>
            </w:pPr>
            <w:r w:rsidRPr="00DD3653">
              <w:rPr>
                <w:sz w:val="20"/>
                <w:szCs w:val="20"/>
              </w:rPr>
              <w:t>Q4 2022 – Q1 2023</w:t>
            </w:r>
          </w:p>
        </w:tc>
      </w:tr>
    </w:tbl>
    <w:p w14:paraId="1777A8F1" w14:textId="77777777" w:rsidR="00590FC3" w:rsidRDefault="00590FC3" w:rsidP="00590FC3">
      <w:pPr>
        <w:pStyle w:val="ItadNormalText"/>
        <w:sectPr w:rsidR="00590FC3" w:rsidSect="00590FC3">
          <w:pgSz w:w="16840" w:h="11900" w:orient="landscape"/>
          <w:pgMar w:top="1191" w:right="1134" w:bottom="1191" w:left="1134" w:header="720" w:footer="680" w:gutter="0"/>
          <w:cols w:space="720"/>
        </w:sectPr>
      </w:pPr>
    </w:p>
    <w:p w14:paraId="74C0D5D3" w14:textId="1DCB985D" w:rsidR="004D05F4" w:rsidRDefault="00C62F4B" w:rsidP="004D05F4">
      <w:pPr>
        <w:pStyle w:val="ItadH1Numbered"/>
        <w:numPr>
          <w:ilvl w:val="0"/>
          <w:numId w:val="0"/>
        </w:numPr>
      </w:pPr>
      <w:bookmarkStart w:id="345" w:name="_Toc118968556"/>
      <w:bookmarkStart w:id="346" w:name="_Toc142383197"/>
      <w:r>
        <w:t>A</w:t>
      </w:r>
      <w:r w:rsidR="004D05F4" w:rsidRPr="00B57527">
        <w:t>nnex</w:t>
      </w:r>
      <w:r w:rsidR="004D05F4">
        <w:t xml:space="preserve"> </w:t>
      </w:r>
      <w:r w:rsidR="000D4F0C">
        <w:t>1</w:t>
      </w:r>
      <w:r w:rsidR="00A70655">
        <w:t>7</w:t>
      </w:r>
      <w:r w:rsidR="004D05F4" w:rsidRPr="00B57527">
        <w:t xml:space="preserve">: </w:t>
      </w:r>
      <w:r w:rsidR="009C5714">
        <w:t>Use and Influence Plan</w:t>
      </w:r>
      <w:bookmarkEnd w:id="345"/>
      <w:bookmarkEnd w:id="346"/>
    </w:p>
    <w:p w14:paraId="18E6A228" w14:textId="77777777" w:rsidR="00E30E4B" w:rsidRPr="000D4F0C" w:rsidRDefault="00E30E4B" w:rsidP="000D4F0C">
      <w:pPr>
        <w:pStyle w:val="ItadH3"/>
        <w:rPr>
          <w:lang w:val="en-GB"/>
        </w:rPr>
      </w:pPr>
      <w:bookmarkStart w:id="347" w:name="_Toc118968557"/>
      <w:bookmarkStart w:id="348" w:name="_Toc142383198"/>
      <w:r w:rsidRPr="000D4F0C">
        <w:rPr>
          <w:lang w:val="en-GB"/>
        </w:rPr>
        <w:t>Purpose of use and influence plan</w:t>
      </w:r>
      <w:bookmarkEnd w:id="347"/>
      <w:bookmarkEnd w:id="348"/>
      <w:r w:rsidRPr="000D4F0C">
        <w:rPr>
          <w:lang w:val="en-GB"/>
        </w:rPr>
        <w:t xml:space="preserve"> </w:t>
      </w:r>
    </w:p>
    <w:p w14:paraId="6ACD198C" w14:textId="755C3DDD" w:rsidR="00E30E4B" w:rsidRPr="000A6344" w:rsidRDefault="00E30E4B" w:rsidP="00E30E4B">
      <w:pPr>
        <w:spacing w:after="240" w:line="276" w:lineRule="atLeast"/>
        <w:jc w:val="both"/>
      </w:pPr>
      <w:r w:rsidRPr="00122A50">
        <w:rPr>
          <w:rFonts w:cstheme="minorHAnsi"/>
        </w:rPr>
        <w:t xml:space="preserve">The evaluation team </w:t>
      </w:r>
      <w:r w:rsidRPr="00B93102">
        <w:t xml:space="preserve">are committed to making </w:t>
      </w:r>
      <w:r>
        <w:t>the</w:t>
      </w:r>
      <w:r w:rsidRPr="00B93102">
        <w:t xml:space="preserve"> evaluation as useful as possible </w:t>
      </w:r>
      <w:r>
        <w:t xml:space="preserve">and </w:t>
      </w:r>
      <w:r w:rsidRPr="00122A50">
        <w:rPr>
          <w:rFonts w:cstheme="minorHAnsi"/>
        </w:rPr>
        <w:t xml:space="preserve">recognise that </w:t>
      </w:r>
      <w:r>
        <w:rPr>
          <w:rFonts w:cstheme="minorHAnsi"/>
        </w:rPr>
        <w:t>the</w:t>
      </w:r>
      <w:r w:rsidRPr="00122A50">
        <w:rPr>
          <w:rFonts w:cstheme="minorHAnsi"/>
        </w:rPr>
        <w:t xml:space="preserve"> </w:t>
      </w:r>
      <w:r>
        <w:rPr>
          <w:rFonts w:cstheme="minorHAnsi"/>
        </w:rPr>
        <w:t xml:space="preserve">Summative </w:t>
      </w:r>
      <w:r w:rsidRPr="00122A50">
        <w:rPr>
          <w:rFonts w:cstheme="minorHAnsi"/>
        </w:rPr>
        <w:t>evaluation</w:t>
      </w:r>
      <w:r>
        <w:rPr>
          <w:rFonts w:cstheme="minorHAnsi"/>
        </w:rPr>
        <w:t xml:space="preserve"> will have utility only if it is understood and used to inform decisions. The following section outlines how we improve utility through the </w:t>
      </w:r>
      <w:r w:rsidRPr="00896FF8">
        <w:rPr>
          <w:rFonts w:cstheme="minorHAnsi"/>
        </w:rPr>
        <w:t>dissemination of evaluation results</w:t>
      </w:r>
      <w:r w:rsidR="006A3212">
        <w:rPr>
          <w:rFonts w:cstheme="minorHAnsi"/>
        </w:rPr>
        <w:t>, which will be done collaboratively with DHSC</w:t>
      </w:r>
      <w:r>
        <w:rPr>
          <w:rFonts w:cstheme="minorHAnsi"/>
        </w:rPr>
        <w:t xml:space="preserve">. </w:t>
      </w:r>
    </w:p>
    <w:p w14:paraId="595A04AC" w14:textId="5BDC9E2E" w:rsidR="00E30E4B" w:rsidRDefault="00E30E4B" w:rsidP="00E30E4B">
      <w:pPr>
        <w:spacing w:after="240" w:line="276" w:lineRule="atLeast"/>
      </w:pPr>
      <w:r>
        <w:rPr>
          <w:rFonts w:cstheme="minorHAnsi"/>
        </w:rPr>
        <w:t xml:space="preserve">Throughout the evaluation, Itad aimed to provide learning at key stages, to </w:t>
      </w:r>
      <w:r>
        <w:t xml:space="preserve">support adaptive management and inform decision-making for this and other </w:t>
      </w:r>
      <w:r w:rsidR="00265143">
        <w:t>AMR</w:t>
      </w:r>
      <w:r>
        <w:t xml:space="preserve"> programmes. Three key </w:t>
      </w:r>
      <w:r w:rsidRPr="00712319">
        <w:rPr>
          <w:rFonts w:cstheme="minorHAnsi"/>
        </w:rPr>
        <w:t>objectives for learning and dissemination</w:t>
      </w:r>
      <w:r>
        <w:t xml:space="preserve"> were agreed with </w:t>
      </w:r>
      <w:r w:rsidR="0041461E">
        <w:t xml:space="preserve">the </w:t>
      </w:r>
      <w:r>
        <w:t xml:space="preserve">DHSC within the evaluation, these were as follows: </w:t>
      </w:r>
    </w:p>
    <w:p w14:paraId="6D721B37" w14:textId="77777777" w:rsidR="00E30E4B" w:rsidRPr="00515A56" w:rsidRDefault="00E30E4B" w:rsidP="00C6374D">
      <w:pPr>
        <w:pStyle w:val="ListParagraph"/>
        <w:numPr>
          <w:ilvl w:val="0"/>
          <w:numId w:val="76"/>
        </w:numPr>
        <w:spacing w:after="240" w:line="276" w:lineRule="atLeast"/>
        <w:rPr>
          <w:rFonts w:cstheme="minorHAnsi"/>
        </w:rPr>
      </w:pPr>
      <w:r w:rsidRPr="00515A56">
        <w:rPr>
          <w:rFonts w:cstheme="minorHAnsi"/>
        </w:rPr>
        <w:t>Objective 1: To support adaptive management of the Fleming Fund, particularly of the grant making and implementation processes.</w:t>
      </w:r>
    </w:p>
    <w:p w14:paraId="4D8AF9ED" w14:textId="736B733C" w:rsidR="00E30E4B" w:rsidRPr="00515A56" w:rsidRDefault="00E30E4B" w:rsidP="00C6374D">
      <w:pPr>
        <w:pStyle w:val="ListParagraph"/>
        <w:numPr>
          <w:ilvl w:val="0"/>
          <w:numId w:val="76"/>
        </w:numPr>
        <w:spacing w:after="240" w:line="276" w:lineRule="atLeast"/>
        <w:rPr>
          <w:rFonts w:cstheme="minorHAnsi"/>
        </w:rPr>
      </w:pPr>
      <w:r w:rsidRPr="00515A56">
        <w:rPr>
          <w:rFonts w:cstheme="minorHAnsi"/>
        </w:rPr>
        <w:t xml:space="preserve">Objective 2: To support evidence-based decision-making by </w:t>
      </w:r>
      <w:r w:rsidR="00F81C3F">
        <w:rPr>
          <w:rFonts w:cstheme="minorHAnsi"/>
        </w:rPr>
        <w:t xml:space="preserve">the </w:t>
      </w:r>
      <w:r w:rsidRPr="00515A56">
        <w:rPr>
          <w:rFonts w:cstheme="minorHAnsi"/>
        </w:rPr>
        <w:t xml:space="preserve">DHSC and HMT on whether to fund a new phase and how to design it. </w:t>
      </w:r>
    </w:p>
    <w:p w14:paraId="67A2D721" w14:textId="53166837" w:rsidR="00E30E4B" w:rsidRPr="00192DE2" w:rsidRDefault="00E30E4B" w:rsidP="00C6374D">
      <w:pPr>
        <w:pStyle w:val="ListParagraph"/>
        <w:numPr>
          <w:ilvl w:val="0"/>
          <w:numId w:val="76"/>
        </w:numPr>
        <w:spacing w:after="240" w:line="276" w:lineRule="atLeast"/>
        <w:rPr>
          <w:rFonts w:cstheme="minorHAnsi"/>
        </w:rPr>
      </w:pPr>
      <w:r w:rsidRPr="00515A56">
        <w:rPr>
          <w:rFonts w:cstheme="minorHAnsi"/>
        </w:rPr>
        <w:t xml:space="preserve">Objective 3: To make lessons learned through </w:t>
      </w:r>
      <w:r w:rsidR="00F81C3F">
        <w:rPr>
          <w:rFonts w:cstheme="minorHAnsi"/>
        </w:rPr>
        <w:t xml:space="preserve">the </w:t>
      </w:r>
      <w:r w:rsidRPr="00515A56">
        <w:rPr>
          <w:rFonts w:cstheme="minorHAnsi"/>
        </w:rPr>
        <w:t xml:space="preserve">evaluation </w:t>
      </w:r>
      <w:r w:rsidR="00F81C3F">
        <w:rPr>
          <w:rFonts w:cstheme="minorHAnsi"/>
        </w:rPr>
        <w:t>o</w:t>
      </w:r>
      <w:r w:rsidR="00BA47CC">
        <w:rPr>
          <w:rFonts w:cstheme="minorHAnsi"/>
        </w:rPr>
        <w:t>f</w:t>
      </w:r>
      <w:r w:rsidR="00F81C3F" w:rsidRPr="00515A56">
        <w:rPr>
          <w:rFonts w:cstheme="minorHAnsi"/>
        </w:rPr>
        <w:t xml:space="preserve"> </w:t>
      </w:r>
      <w:r w:rsidRPr="00515A56">
        <w:rPr>
          <w:rFonts w:cstheme="minorHAnsi"/>
        </w:rPr>
        <w:t xml:space="preserve">the Fleming Fund available externally as global public goods. </w:t>
      </w:r>
    </w:p>
    <w:p w14:paraId="6D240B9D" w14:textId="7492DE48" w:rsidR="00E30E4B" w:rsidRDefault="00E30E4B" w:rsidP="00E30E4B">
      <w:pPr>
        <w:spacing w:after="240" w:line="276" w:lineRule="atLeast"/>
        <w:rPr>
          <w:rFonts w:cstheme="minorHAnsi"/>
        </w:rPr>
      </w:pPr>
      <w:r>
        <w:rPr>
          <w:rFonts w:cstheme="minorHAnsi"/>
        </w:rPr>
        <w:t>Objective</w:t>
      </w:r>
      <w:r w:rsidR="003810CB">
        <w:rPr>
          <w:rFonts w:cstheme="minorHAnsi"/>
        </w:rPr>
        <w:t>s</w:t>
      </w:r>
      <w:r>
        <w:rPr>
          <w:rFonts w:cstheme="minorHAnsi"/>
        </w:rPr>
        <w:t xml:space="preserve"> 1 and 2 were addressed throughout the evaluation and in previous deliverables: </w:t>
      </w:r>
    </w:p>
    <w:p w14:paraId="1ADE8531" w14:textId="0C514FFF" w:rsidR="00E30E4B" w:rsidRPr="00D1621B" w:rsidRDefault="00E30E4B" w:rsidP="00C6374D">
      <w:pPr>
        <w:pStyle w:val="ListParagraph"/>
        <w:numPr>
          <w:ilvl w:val="0"/>
          <w:numId w:val="76"/>
        </w:numPr>
        <w:spacing w:after="240" w:line="276" w:lineRule="atLeast"/>
        <w:rPr>
          <w:rFonts w:cstheme="minorHAnsi"/>
        </w:rPr>
      </w:pPr>
      <w:r w:rsidRPr="00D1621B">
        <w:rPr>
          <w:rFonts w:cstheme="minorHAnsi"/>
        </w:rPr>
        <w:t>Report 1: January 2019 Formative report incl</w:t>
      </w:r>
      <w:r>
        <w:rPr>
          <w:rFonts w:cstheme="minorHAnsi"/>
        </w:rPr>
        <w:t>uding</w:t>
      </w:r>
      <w:r w:rsidRPr="00D1621B">
        <w:rPr>
          <w:rFonts w:cstheme="minorHAnsi"/>
        </w:rPr>
        <w:t xml:space="preserve"> judgements for </w:t>
      </w:r>
      <w:r w:rsidR="002F698E">
        <w:rPr>
          <w:rFonts w:cstheme="minorHAnsi"/>
        </w:rPr>
        <w:t xml:space="preserve">the </w:t>
      </w:r>
      <w:r w:rsidRPr="00D1621B">
        <w:rPr>
          <w:rFonts w:cstheme="minorHAnsi"/>
        </w:rPr>
        <w:t xml:space="preserve">DHSC, MA and HMT to support </w:t>
      </w:r>
      <w:r w:rsidR="005065FC">
        <w:rPr>
          <w:rFonts w:cstheme="minorHAnsi"/>
        </w:rPr>
        <w:t xml:space="preserve">a </w:t>
      </w:r>
      <w:r w:rsidRPr="00D1621B">
        <w:rPr>
          <w:rFonts w:cstheme="minorHAnsi"/>
        </w:rPr>
        <w:t>decision on future Fleming Fund funding</w:t>
      </w:r>
      <w:r w:rsidR="005065FC">
        <w:rPr>
          <w:rFonts w:cstheme="minorHAnsi"/>
        </w:rPr>
        <w:t>;</w:t>
      </w:r>
    </w:p>
    <w:p w14:paraId="65A865B7" w14:textId="7D5A9122" w:rsidR="00E30E4B" w:rsidRPr="00D1621B" w:rsidRDefault="00E30E4B" w:rsidP="00C6374D">
      <w:pPr>
        <w:pStyle w:val="ListParagraph"/>
        <w:numPr>
          <w:ilvl w:val="0"/>
          <w:numId w:val="76"/>
        </w:numPr>
        <w:spacing w:after="240" w:line="276" w:lineRule="atLeast"/>
        <w:rPr>
          <w:rFonts w:cstheme="minorHAnsi"/>
        </w:rPr>
      </w:pPr>
      <w:r w:rsidRPr="00D1621B">
        <w:rPr>
          <w:rFonts w:cstheme="minorHAnsi"/>
        </w:rPr>
        <w:t xml:space="preserve">Report 2: Formative deliverable for </w:t>
      </w:r>
      <w:r w:rsidR="003663B6">
        <w:rPr>
          <w:rFonts w:cstheme="minorHAnsi"/>
        </w:rPr>
        <w:t xml:space="preserve">the </w:t>
      </w:r>
      <w:r w:rsidRPr="00D1621B">
        <w:rPr>
          <w:rFonts w:cstheme="minorHAnsi"/>
        </w:rPr>
        <w:t xml:space="preserve">DHSC, </w:t>
      </w:r>
      <w:r w:rsidR="0085569A">
        <w:rPr>
          <w:rFonts w:cstheme="minorHAnsi"/>
        </w:rPr>
        <w:t xml:space="preserve">and </w:t>
      </w:r>
      <w:r w:rsidRPr="00D1621B">
        <w:rPr>
          <w:rFonts w:cstheme="minorHAnsi"/>
        </w:rPr>
        <w:t>MA to support adaptive learning in key window</w:t>
      </w:r>
      <w:r w:rsidR="001E457A">
        <w:rPr>
          <w:rFonts w:cstheme="minorHAnsi"/>
        </w:rPr>
        <w:t>s</w:t>
      </w:r>
      <w:r w:rsidRPr="00D1621B">
        <w:rPr>
          <w:rFonts w:cstheme="minorHAnsi"/>
        </w:rPr>
        <w:t xml:space="preserve"> of opportunity, </w:t>
      </w:r>
      <w:r w:rsidR="00714753" w:rsidRPr="00D1621B">
        <w:rPr>
          <w:rFonts w:cstheme="minorHAnsi"/>
        </w:rPr>
        <w:t>submitted</w:t>
      </w:r>
      <w:r w:rsidRPr="00D1621B">
        <w:rPr>
          <w:rFonts w:cstheme="minorHAnsi"/>
        </w:rPr>
        <w:t xml:space="preserve"> January 2020. </w:t>
      </w:r>
    </w:p>
    <w:p w14:paraId="0853112C" w14:textId="0DB28346" w:rsidR="00E30E4B" w:rsidRPr="00D1621B" w:rsidRDefault="00E30E4B" w:rsidP="00C6374D">
      <w:pPr>
        <w:pStyle w:val="ListParagraph"/>
        <w:numPr>
          <w:ilvl w:val="0"/>
          <w:numId w:val="76"/>
        </w:numPr>
        <w:spacing w:after="240" w:line="276" w:lineRule="atLeast"/>
        <w:rPr>
          <w:rFonts w:cstheme="minorHAnsi"/>
        </w:rPr>
      </w:pPr>
      <w:r w:rsidRPr="00D1621B">
        <w:rPr>
          <w:rFonts w:cstheme="minorHAnsi"/>
        </w:rPr>
        <w:t xml:space="preserve">Report 3: Formative deliverable requested by </w:t>
      </w:r>
      <w:r w:rsidR="002C0881">
        <w:rPr>
          <w:rFonts w:cstheme="minorHAnsi"/>
        </w:rPr>
        <w:t xml:space="preserve">the </w:t>
      </w:r>
      <w:r w:rsidRPr="00D1621B">
        <w:rPr>
          <w:rFonts w:cstheme="minorHAnsi"/>
        </w:rPr>
        <w:t xml:space="preserve">DHSC to inform </w:t>
      </w:r>
      <w:r w:rsidR="00A05DF5">
        <w:rPr>
          <w:rFonts w:cstheme="minorHAnsi"/>
        </w:rPr>
        <w:t xml:space="preserve">the </w:t>
      </w:r>
      <w:r w:rsidRPr="00D1621B">
        <w:rPr>
          <w:rFonts w:cstheme="minorHAnsi"/>
        </w:rPr>
        <w:t xml:space="preserve">design of the second phase of the Fleming Fund (specifically focusing on Fleming Fellows, </w:t>
      </w:r>
      <w:r w:rsidR="00B56682">
        <w:rPr>
          <w:rFonts w:cstheme="minorHAnsi"/>
        </w:rPr>
        <w:t>RGs</w:t>
      </w:r>
      <w:r w:rsidRPr="00D1621B">
        <w:rPr>
          <w:rFonts w:cstheme="minorHAnsi"/>
        </w:rPr>
        <w:t xml:space="preserve"> and Use of data) and identify any potential adaptations for </w:t>
      </w:r>
      <w:r w:rsidR="00454DEE">
        <w:rPr>
          <w:rFonts w:cstheme="minorHAnsi"/>
        </w:rPr>
        <w:t>the remainder</w:t>
      </w:r>
      <w:r w:rsidRPr="00D1621B">
        <w:rPr>
          <w:rFonts w:cstheme="minorHAnsi"/>
        </w:rPr>
        <w:t xml:space="preserve"> of </w:t>
      </w:r>
      <w:r w:rsidR="009E2AC2">
        <w:rPr>
          <w:rFonts w:cstheme="minorHAnsi"/>
        </w:rPr>
        <w:t>phase 1</w:t>
      </w:r>
      <w:r w:rsidR="007E7B36">
        <w:rPr>
          <w:rFonts w:cstheme="minorHAnsi"/>
        </w:rPr>
        <w:t>,</w:t>
      </w:r>
      <w:r w:rsidRPr="00D1621B">
        <w:rPr>
          <w:rFonts w:cstheme="minorHAnsi"/>
        </w:rPr>
        <w:t xml:space="preserve"> </w:t>
      </w:r>
      <w:r w:rsidR="007E7B36" w:rsidRPr="00D1621B">
        <w:rPr>
          <w:rFonts w:cstheme="minorHAnsi"/>
        </w:rPr>
        <w:t>submitted</w:t>
      </w:r>
      <w:r w:rsidRPr="00D1621B">
        <w:rPr>
          <w:rFonts w:cstheme="minorHAnsi"/>
        </w:rPr>
        <w:t xml:space="preserve"> March 2021</w:t>
      </w:r>
      <w:r w:rsidR="00DB6428">
        <w:rPr>
          <w:rFonts w:cstheme="minorHAnsi"/>
        </w:rPr>
        <w:t>.</w:t>
      </w:r>
    </w:p>
    <w:p w14:paraId="75C689D7" w14:textId="2E4DED6D" w:rsidR="00E30E4B" w:rsidRPr="001C1F3D" w:rsidRDefault="00E30E4B" w:rsidP="00E30E4B">
      <w:pPr>
        <w:spacing w:after="240" w:line="276" w:lineRule="atLeast"/>
        <w:jc w:val="both"/>
        <w:rPr>
          <w:rFonts w:cstheme="minorHAnsi"/>
        </w:rPr>
      </w:pPr>
      <w:r>
        <w:rPr>
          <w:rFonts w:cstheme="minorHAnsi"/>
        </w:rPr>
        <w:t xml:space="preserve">The summative evaluation focuses primarily on meeting learning objective 3 which </w:t>
      </w:r>
      <w:r w:rsidRPr="00CF0F41">
        <w:rPr>
          <w:rFonts w:cstheme="minorHAnsi"/>
        </w:rPr>
        <w:t xml:space="preserve">focuses on turning the learning from the Fleming Fund evaluation into global public goods that are accessible and useful to the AMR and donor communities. </w:t>
      </w:r>
      <w:r>
        <w:rPr>
          <w:rFonts w:cstheme="minorHAnsi"/>
        </w:rPr>
        <w:t xml:space="preserve">However, because a second phase of the Fleming Fund has been agreed, to improve the usefulness of the report, we will also look to broaden the focus of this plan to ensure findings and recommendations can be incorporated into </w:t>
      </w:r>
      <w:r w:rsidR="009E2AC2">
        <w:rPr>
          <w:rFonts w:cstheme="minorHAnsi"/>
        </w:rPr>
        <w:t>phase 2</w:t>
      </w:r>
      <w:r>
        <w:rPr>
          <w:rFonts w:cstheme="minorHAnsi"/>
        </w:rPr>
        <w:t xml:space="preserve"> of the Fleming Fund. </w:t>
      </w:r>
      <w:r w:rsidRPr="0027490A">
        <w:rPr>
          <w:rFonts w:cstheme="minorHAnsi"/>
        </w:rPr>
        <w:t>(</w:t>
      </w:r>
      <w:r>
        <w:rPr>
          <w:rFonts w:cstheme="minorHAnsi"/>
        </w:rPr>
        <w:t xml:space="preserve">The design and planning of </w:t>
      </w:r>
      <w:r w:rsidR="009E2AC2">
        <w:rPr>
          <w:rFonts w:cstheme="minorHAnsi"/>
        </w:rPr>
        <w:t>phase 2</w:t>
      </w:r>
      <w:r w:rsidRPr="0027490A">
        <w:rPr>
          <w:rFonts w:cstheme="minorHAnsi"/>
        </w:rPr>
        <w:t xml:space="preserve"> has already started but we hope our recommendations can be incorporated into later adaptions of the programme)</w:t>
      </w:r>
      <w:r>
        <w:rPr>
          <w:rFonts w:cstheme="minorHAnsi"/>
        </w:rPr>
        <w:t xml:space="preserve">. With this in mind, the use and influence plan is built with our guiding principles for learning and dissemination in mind: </w:t>
      </w:r>
    </w:p>
    <w:p w14:paraId="5CA2FA89" w14:textId="77777777" w:rsidR="00E30E4B" w:rsidRDefault="00E30E4B" w:rsidP="00C6374D">
      <w:pPr>
        <w:pStyle w:val="ListParagraph"/>
        <w:numPr>
          <w:ilvl w:val="0"/>
          <w:numId w:val="75"/>
        </w:numPr>
      </w:pPr>
      <w:r>
        <w:t>Making evaluation findings as useful as possible to key stakeholders – using appropriate language, medium, format, level of detail, etc.</w:t>
      </w:r>
    </w:p>
    <w:p w14:paraId="7372364E" w14:textId="10DB3A72" w:rsidR="00E30E4B" w:rsidRDefault="00E30E4B" w:rsidP="00C6374D">
      <w:pPr>
        <w:pStyle w:val="ListParagraph"/>
        <w:numPr>
          <w:ilvl w:val="0"/>
          <w:numId w:val="75"/>
        </w:numPr>
      </w:pPr>
      <w:r>
        <w:t xml:space="preserve">Sharing learning in time to inform </w:t>
      </w:r>
      <w:r w:rsidR="00E80482">
        <w:t xml:space="preserve">the </w:t>
      </w:r>
      <w:r w:rsidR="005B5B44">
        <w:t>MA</w:t>
      </w:r>
      <w:r>
        <w:t xml:space="preserve"> and DHSC’s planning and decisions </w:t>
      </w:r>
    </w:p>
    <w:p w14:paraId="7F9A34AF" w14:textId="77777777" w:rsidR="00E30E4B" w:rsidRDefault="00E30E4B" w:rsidP="00C6374D">
      <w:pPr>
        <w:pStyle w:val="ListParagraph"/>
        <w:numPr>
          <w:ilvl w:val="0"/>
          <w:numId w:val="75"/>
        </w:numPr>
      </w:pPr>
      <w:r>
        <w:t xml:space="preserve">Using resources wisely - activities capitalise on Fleming Fund events, and use existing digital channels, where appropriate. </w:t>
      </w:r>
    </w:p>
    <w:p w14:paraId="59E42292" w14:textId="6BB5A8CC" w:rsidR="00E30E4B" w:rsidRDefault="00E30E4B" w:rsidP="00C6374D">
      <w:pPr>
        <w:pStyle w:val="ListParagraph"/>
        <w:numPr>
          <w:ilvl w:val="0"/>
          <w:numId w:val="75"/>
        </w:numPr>
      </w:pPr>
      <w:r>
        <w:t xml:space="preserve">Continuously improving – monitoring dissemination, asking for feedback from </w:t>
      </w:r>
      <w:r w:rsidR="00BA786D">
        <w:t xml:space="preserve">the </w:t>
      </w:r>
      <w:r>
        <w:t xml:space="preserve">MA and DHSC, and regularly reviewing the </w:t>
      </w:r>
      <w:r w:rsidR="00FB10B9">
        <w:t>work plan</w:t>
      </w:r>
      <w:r>
        <w:t>.</w:t>
      </w:r>
    </w:p>
    <w:p w14:paraId="6F44BF5A" w14:textId="77777777" w:rsidR="00E30E4B" w:rsidRPr="008E5462" w:rsidRDefault="00E30E4B" w:rsidP="000D4F0C">
      <w:pPr>
        <w:pStyle w:val="ItadH3"/>
        <w:rPr>
          <w:lang w:val="en-GB"/>
        </w:rPr>
      </w:pPr>
      <w:bookmarkStart w:id="349" w:name="_Toc118968558"/>
      <w:bookmarkStart w:id="350" w:name="_Toc142383199"/>
      <w:r w:rsidRPr="008E5462">
        <w:rPr>
          <w:lang w:val="en-GB"/>
        </w:rPr>
        <w:t>Target audience and key stakeholders</w:t>
      </w:r>
      <w:bookmarkEnd w:id="349"/>
      <w:bookmarkEnd w:id="350"/>
    </w:p>
    <w:p w14:paraId="7FDD498D" w14:textId="77777777" w:rsidR="00E30E4B" w:rsidRDefault="00E30E4B" w:rsidP="000D4F0C">
      <w:pPr>
        <w:pStyle w:val="FFNormal"/>
        <w:rPr>
          <w:rFonts w:cstheme="minorHAnsi"/>
        </w:rPr>
      </w:pPr>
      <w:r>
        <w:rPr>
          <w:rFonts w:cstheme="minorHAnsi"/>
        </w:rPr>
        <w:t xml:space="preserve">We believe that the key audiences for the summative evaluation are: </w:t>
      </w:r>
    </w:p>
    <w:p w14:paraId="675B956A" w14:textId="77777777" w:rsidR="00E30E4B" w:rsidRDefault="00E30E4B" w:rsidP="00C6374D">
      <w:pPr>
        <w:pStyle w:val="FFNormal"/>
        <w:numPr>
          <w:ilvl w:val="0"/>
          <w:numId w:val="84"/>
        </w:numPr>
      </w:pPr>
      <w:r>
        <w:t>DHSC</w:t>
      </w:r>
    </w:p>
    <w:p w14:paraId="2EB67355" w14:textId="4731F27D" w:rsidR="0037268B" w:rsidRDefault="0037268B" w:rsidP="00C6374D">
      <w:pPr>
        <w:pStyle w:val="FFNormal"/>
        <w:numPr>
          <w:ilvl w:val="0"/>
          <w:numId w:val="84"/>
        </w:numPr>
      </w:pPr>
      <w:r>
        <w:t xml:space="preserve">DHSC </w:t>
      </w:r>
      <w:r w:rsidR="00957F2A">
        <w:t>Investment Committee</w:t>
      </w:r>
    </w:p>
    <w:p w14:paraId="3F7FF2A0" w14:textId="77777777" w:rsidR="00E30E4B" w:rsidRDefault="00E30E4B" w:rsidP="00C6374D">
      <w:pPr>
        <w:pStyle w:val="FFNormal"/>
        <w:numPr>
          <w:ilvl w:val="0"/>
          <w:numId w:val="84"/>
        </w:numPr>
      </w:pPr>
      <w:r>
        <w:t>MA</w:t>
      </w:r>
    </w:p>
    <w:p w14:paraId="2A8BCC47" w14:textId="2650E63A" w:rsidR="00E30E4B" w:rsidRDefault="00E30E4B" w:rsidP="00C6374D">
      <w:pPr>
        <w:pStyle w:val="FFNormal"/>
        <w:numPr>
          <w:ilvl w:val="0"/>
          <w:numId w:val="84"/>
        </w:numPr>
      </w:pPr>
      <w:r>
        <w:t xml:space="preserve">Fleming Fund </w:t>
      </w:r>
      <w:r w:rsidR="00BF101D">
        <w:t>RG</w:t>
      </w:r>
      <w:r>
        <w:t xml:space="preserve"> and </w:t>
      </w:r>
      <w:r w:rsidR="00BF101D">
        <w:t>CG</w:t>
      </w:r>
      <w:r>
        <w:t xml:space="preserve"> recipients and Fleming Fellows</w:t>
      </w:r>
    </w:p>
    <w:p w14:paraId="56AA35C2" w14:textId="13EF969B" w:rsidR="00DC0CD5" w:rsidRDefault="00DC0CD5" w:rsidP="00C6374D">
      <w:pPr>
        <w:pStyle w:val="FFNormal"/>
        <w:numPr>
          <w:ilvl w:val="0"/>
          <w:numId w:val="84"/>
        </w:numPr>
      </w:pPr>
      <w:r>
        <w:t>TAG</w:t>
      </w:r>
    </w:p>
    <w:p w14:paraId="502885B3" w14:textId="6037C5C0" w:rsidR="00E30E4B" w:rsidRDefault="00E30E4B" w:rsidP="00C6374D">
      <w:pPr>
        <w:pStyle w:val="FFNormal"/>
        <w:numPr>
          <w:ilvl w:val="0"/>
          <w:numId w:val="84"/>
        </w:numPr>
      </w:pPr>
      <w:r>
        <w:t>HMG &amp; HMT</w:t>
      </w:r>
    </w:p>
    <w:p w14:paraId="3D9E0FED" w14:textId="324A18CD" w:rsidR="00E30E4B" w:rsidRDefault="00E30E4B" w:rsidP="00C6374D">
      <w:pPr>
        <w:pStyle w:val="FFNormal"/>
        <w:numPr>
          <w:ilvl w:val="0"/>
          <w:numId w:val="84"/>
        </w:numPr>
      </w:pPr>
      <w:r>
        <w:t xml:space="preserve">Fleming Fund partners (The Fleming Fund </w:t>
      </w:r>
      <w:r w:rsidRPr="001369D8">
        <w:t>Tripartite</w:t>
      </w:r>
      <w:r>
        <w:t>, GRAM, South Centre et</w:t>
      </w:r>
      <w:r w:rsidR="008D46DE">
        <w:t>c</w:t>
      </w:r>
      <w:r>
        <w:t xml:space="preserve">. including their regional and country offices). </w:t>
      </w:r>
    </w:p>
    <w:p w14:paraId="73D5C026" w14:textId="77777777" w:rsidR="00E30E4B" w:rsidRDefault="00E30E4B" w:rsidP="00C6374D">
      <w:pPr>
        <w:pStyle w:val="FFNormal"/>
        <w:numPr>
          <w:ilvl w:val="0"/>
          <w:numId w:val="84"/>
        </w:numPr>
      </w:pPr>
      <w:r>
        <w:t>Aid agencies in other countries currently funding initiatives similar to the Fleming Fund.</w:t>
      </w:r>
    </w:p>
    <w:p w14:paraId="6A3975D3" w14:textId="1E167833" w:rsidR="00E30E4B" w:rsidRDefault="00E30E4B" w:rsidP="00C6374D">
      <w:pPr>
        <w:pStyle w:val="FFNormal"/>
        <w:numPr>
          <w:ilvl w:val="0"/>
          <w:numId w:val="84"/>
        </w:numPr>
      </w:pPr>
      <w:r>
        <w:t xml:space="preserve">International initiatives, including the </w:t>
      </w:r>
      <w:r w:rsidR="0088566E" w:rsidRPr="0088566E">
        <w:t>UN Interagency Coordination Group</w:t>
      </w:r>
      <w:r>
        <w:t xml:space="preserve"> on AMR, and </w:t>
      </w:r>
      <w:r w:rsidR="00423AD8" w:rsidRPr="00423AD8">
        <w:t>Global Health Security Agenda</w:t>
      </w:r>
      <w:r>
        <w:t xml:space="preserve">. </w:t>
      </w:r>
    </w:p>
    <w:p w14:paraId="396A21F4" w14:textId="77777777" w:rsidR="00E30E4B" w:rsidRDefault="00E30E4B" w:rsidP="00C6374D">
      <w:pPr>
        <w:pStyle w:val="FFNormal"/>
        <w:numPr>
          <w:ilvl w:val="0"/>
          <w:numId w:val="84"/>
        </w:numPr>
      </w:pPr>
      <w:r>
        <w:t xml:space="preserve">Other donors and organisations interested in funding AMR. </w:t>
      </w:r>
    </w:p>
    <w:p w14:paraId="37A5629C" w14:textId="77777777" w:rsidR="00E30E4B" w:rsidRDefault="00E30E4B" w:rsidP="00C6374D">
      <w:pPr>
        <w:pStyle w:val="FFNormal"/>
        <w:numPr>
          <w:ilvl w:val="0"/>
          <w:numId w:val="84"/>
        </w:numPr>
      </w:pPr>
      <w:r>
        <w:t xml:space="preserve">Wider AMR and One Health communities, e.g. the ReAct group, the GARP, One Health Commission, etc. and those operating at national and regional levels. </w:t>
      </w:r>
    </w:p>
    <w:p w14:paraId="5EC4D3C3" w14:textId="460AACC9" w:rsidR="00E30E4B" w:rsidRPr="00AB7D14" w:rsidRDefault="00E30E4B" w:rsidP="00C6374D">
      <w:pPr>
        <w:pStyle w:val="FFNormal"/>
        <w:numPr>
          <w:ilvl w:val="0"/>
          <w:numId w:val="84"/>
        </w:numPr>
        <w:rPr>
          <w:rFonts w:cs="Calibri"/>
          <w:color w:val="444444"/>
          <w:shd w:val="clear" w:color="auto" w:fill="FFFFFF"/>
        </w:rPr>
      </w:pPr>
      <w:r>
        <w:t>Other organisations and networks recommended by the TAG</w:t>
      </w:r>
      <w:r w:rsidR="00615482">
        <w:t>.</w:t>
      </w:r>
    </w:p>
    <w:p w14:paraId="21099822" w14:textId="6C5CCD7D" w:rsidR="00E30E4B" w:rsidRPr="008E5462" w:rsidRDefault="00E30E4B" w:rsidP="000D4F0C">
      <w:pPr>
        <w:pStyle w:val="ItadH3"/>
        <w:rPr>
          <w:lang w:val="en-GB"/>
        </w:rPr>
      </w:pPr>
      <w:bookmarkStart w:id="351" w:name="_Toc118968559"/>
      <w:bookmarkStart w:id="352" w:name="_Toc142383200"/>
      <w:r w:rsidRPr="008E5462">
        <w:rPr>
          <w:lang w:val="en-GB"/>
        </w:rPr>
        <w:t>Planned activity</w:t>
      </w:r>
      <w:bookmarkEnd w:id="351"/>
      <w:bookmarkEnd w:id="352"/>
      <w:r w:rsidRPr="008E5462">
        <w:rPr>
          <w:lang w:val="en-GB"/>
        </w:rPr>
        <w:t xml:space="preserve"> </w:t>
      </w:r>
    </w:p>
    <w:p w14:paraId="05B04939" w14:textId="78384DE1" w:rsidR="00E30E4B" w:rsidRDefault="00E30E4B" w:rsidP="00E30E4B">
      <w:pPr>
        <w:spacing w:after="240" w:line="276" w:lineRule="atLeast"/>
      </w:pPr>
      <w:r>
        <w:rPr>
          <w:rFonts w:cstheme="minorHAnsi"/>
        </w:rPr>
        <w:t xml:space="preserve">To support dissemination and increase utility, we have planned a range of </w:t>
      </w:r>
      <w:r w:rsidR="00615482">
        <w:rPr>
          <w:rFonts w:cstheme="minorHAnsi"/>
        </w:rPr>
        <w:t xml:space="preserve">activities </w:t>
      </w:r>
      <w:r>
        <w:rPr>
          <w:rFonts w:cstheme="minorHAnsi"/>
        </w:rPr>
        <w:t xml:space="preserve">from </w:t>
      </w:r>
      <w:r w:rsidRPr="00CF0F41">
        <w:rPr>
          <w:rFonts w:cstheme="minorHAnsi"/>
        </w:rPr>
        <w:t xml:space="preserve">ensuring that evaluation outputs that can be shared externally are hosted online and promoted to key audiences; to developing tailored learning products and dissemination activities that meet the information needs of those audiences in terms of timeliness, format, language, </w:t>
      </w:r>
      <w:r w:rsidR="002B7143">
        <w:rPr>
          <w:rFonts w:cstheme="minorHAnsi"/>
        </w:rPr>
        <w:t>etc</w:t>
      </w:r>
      <w:r>
        <w:rPr>
          <w:rFonts w:cstheme="minorHAnsi"/>
        </w:rPr>
        <w:t xml:space="preserve">. The final evaluation report is </w:t>
      </w:r>
      <w:r w:rsidRPr="00534F33">
        <w:t xml:space="preserve">written in a short and accessible style with data annexed, so that evidence is available to back up findings. </w:t>
      </w:r>
      <w:r>
        <w:t xml:space="preserve">We also plan to make the report and supporting products accessible to people with disabilities. </w:t>
      </w:r>
    </w:p>
    <w:p w14:paraId="2B8D47EC" w14:textId="77777777" w:rsidR="00E30E4B" w:rsidRPr="004B6AFD" w:rsidRDefault="00E30E4B" w:rsidP="000D4F0C">
      <w:pPr>
        <w:pStyle w:val="ItadH4"/>
      </w:pPr>
      <w:r>
        <w:t>Review of summative report findings</w:t>
      </w:r>
    </w:p>
    <w:p w14:paraId="660CF8D5" w14:textId="6AFE5E5D" w:rsidR="00E30E4B" w:rsidRDefault="00E30E4B" w:rsidP="00E30E4B">
      <w:pPr>
        <w:spacing w:after="240" w:line="276" w:lineRule="atLeast"/>
      </w:pPr>
      <w:r>
        <w:t xml:space="preserve">Although Itad have already shared evaluation findings with </w:t>
      </w:r>
      <w:r w:rsidR="00D41AE6">
        <w:t xml:space="preserve">the </w:t>
      </w:r>
      <w:r>
        <w:t>DHSC and MA, the production of the summative deliverable is a critical point at which to take stock of the evaluation findings before they are shared with a wider set of audiences.</w:t>
      </w:r>
      <w:r w:rsidR="007458AC">
        <w:t xml:space="preserve"> </w:t>
      </w:r>
      <w:r>
        <w:t xml:space="preserve">A workshop </w:t>
      </w:r>
      <w:r w:rsidR="0151B1D8">
        <w:t xml:space="preserve">has been </w:t>
      </w:r>
      <w:r>
        <w:t xml:space="preserve">held with </w:t>
      </w:r>
      <w:r w:rsidR="00D41AE6">
        <w:t xml:space="preserve">the </w:t>
      </w:r>
      <w:r>
        <w:t xml:space="preserve">DHSC, MA and the TAG to present and discuss the findings and recommendations of the summative evaluation. </w:t>
      </w:r>
    </w:p>
    <w:p w14:paraId="1AB2E3E4" w14:textId="77777777" w:rsidR="00E30E4B" w:rsidRPr="003F057B" w:rsidRDefault="00E30E4B" w:rsidP="000D4F0C">
      <w:pPr>
        <w:pStyle w:val="ItadH4"/>
      </w:pPr>
      <w:r w:rsidRPr="003F057B">
        <w:t xml:space="preserve">Learning events and workshops </w:t>
      </w:r>
    </w:p>
    <w:p w14:paraId="2CBB6839" w14:textId="7E9A3F84" w:rsidR="00E30E4B" w:rsidRDefault="00E30E4B" w:rsidP="00E30E4B">
      <w:pPr>
        <w:spacing w:after="240" w:line="276" w:lineRule="atLeast"/>
      </w:pPr>
      <w:bookmarkStart w:id="353" w:name="_Hlk129481089"/>
      <w:r>
        <w:t xml:space="preserve">Events that bring Fleming Fund partners together present opportunities for Itad to make the evaluation more useful (and more likely to be used). The evaluation team is </w:t>
      </w:r>
      <w:r w:rsidR="00D900A5">
        <w:t xml:space="preserve">well </w:t>
      </w:r>
      <w:r>
        <w:t xml:space="preserve">situated to take on the role of ’honest broker’ within the programme; the team is committed to helping the Fleming Fund be as effective as possible while not being directly affected by the programme’s results. Based on this, and the likely global interest in learning that comes from the programme, we will work with </w:t>
      </w:r>
      <w:r w:rsidR="00D900A5">
        <w:t xml:space="preserve">the </w:t>
      </w:r>
      <w:r>
        <w:t xml:space="preserve">organisers of annual Fleming Fund </w:t>
      </w:r>
      <w:r w:rsidR="00417F18">
        <w:t>DP</w:t>
      </w:r>
      <w:r>
        <w:t xml:space="preserve"> events to include interactive learning sessions (facilitated by Itad). We suggest that the </w:t>
      </w:r>
      <w:r w:rsidR="007377BD">
        <w:t xml:space="preserve">DHSC, MA and Itad, collectively decide the </w:t>
      </w:r>
      <w:r>
        <w:t xml:space="preserve">themes for these sessions. </w:t>
      </w:r>
      <w:r w:rsidR="00741AD7">
        <w:t>We are also due, at</w:t>
      </w:r>
      <w:r w:rsidR="0033691F">
        <w:t xml:space="preserve"> the</w:t>
      </w:r>
      <w:r w:rsidR="00741AD7">
        <w:t xml:space="preserve"> request of </w:t>
      </w:r>
      <w:r w:rsidR="0033691F">
        <w:t xml:space="preserve">the </w:t>
      </w:r>
      <w:r w:rsidR="00741AD7">
        <w:t xml:space="preserve">DHSC, to facilitate thinking on how to strengthen adaptive management during phase 2; this is expected to take place during Q1 or early Q2 </w:t>
      </w:r>
      <w:r w:rsidR="00FC6116">
        <w:t>of 2023</w:t>
      </w:r>
      <w:r w:rsidR="00741AD7">
        <w:t>.</w:t>
      </w:r>
    </w:p>
    <w:p w14:paraId="5BDD5381" w14:textId="43A1BD9B" w:rsidR="00E30E4B" w:rsidRDefault="00E30E4B" w:rsidP="00E30E4B">
      <w:pPr>
        <w:spacing w:after="240" w:line="276" w:lineRule="atLeast"/>
      </w:pPr>
      <w:r>
        <w:t xml:space="preserve">As well as supporting </w:t>
      </w:r>
      <w:r w:rsidR="0033691F">
        <w:t xml:space="preserve">the </w:t>
      </w:r>
      <w:r>
        <w:t xml:space="preserve">adaptive management of the Fleming Fund, and informing </w:t>
      </w:r>
      <w:r w:rsidR="0033691F">
        <w:t xml:space="preserve">the DHSC’s </w:t>
      </w:r>
      <w:r>
        <w:t xml:space="preserve">decision making, learning captured through the workshops will be shared externally through reports, blog posts and articles following a process of approval by workshop participants. </w:t>
      </w:r>
    </w:p>
    <w:p w14:paraId="3491C622" w14:textId="3B78DD18" w:rsidR="77E1E16E" w:rsidRDefault="77E1E16E" w:rsidP="650DCE97">
      <w:pPr>
        <w:spacing w:after="240" w:line="276" w:lineRule="atLeast"/>
      </w:pPr>
      <w:r>
        <w:t xml:space="preserve">Itad will work with </w:t>
      </w:r>
      <w:r w:rsidR="0033691F">
        <w:t xml:space="preserve">the </w:t>
      </w:r>
      <w:r>
        <w:t xml:space="preserve">DHSC to design and facilitate a set of </w:t>
      </w:r>
      <w:r w:rsidR="0033691F">
        <w:t xml:space="preserve">strategic shift workshops </w:t>
      </w:r>
      <w:r>
        <w:t xml:space="preserve">for Fleming Fund partners which revisit the discussions held </w:t>
      </w:r>
      <w:r w:rsidR="4AEB5961">
        <w:t>in 2022, provide an opportunity for partners to share their plans</w:t>
      </w:r>
      <w:r w:rsidR="0033691F">
        <w:t>,</w:t>
      </w:r>
      <w:r w:rsidR="4AEB5961">
        <w:t xml:space="preserve"> and identify potential areas of collaboration, and into which relevant findings from the evaluation can </w:t>
      </w:r>
      <w:r w:rsidR="287360CB">
        <w:t xml:space="preserve">feed in. </w:t>
      </w:r>
    </w:p>
    <w:bookmarkEnd w:id="353"/>
    <w:p w14:paraId="54D9661C" w14:textId="6FE16411" w:rsidR="00E30E4B" w:rsidRPr="002C2B60" w:rsidRDefault="00E30E4B" w:rsidP="00BB4743">
      <w:pPr>
        <w:pStyle w:val="ItadH4"/>
        <w:keepNext/>
      </w:pPr>
      <w:r w:rsidRPr="002C2B60">
        <w:t xml:space="preserve">Producing materials for DHSC to </w:t>
      </w:r>
      <w:r w:rsidR="000B007F">
        <w:t>communicate to</w:t>
      </w:r>
      <w:r w:rsidRPr="002C2B60">
        <w:t xml:space="preserve"> their </w:t>
      </w:r>
      <w:r w:rsidR="000B007F">
        <w:t>network</w:t>
      </w:r>
    </w:p>
    <w:p w14:paraId="332F2FBE" w14:textId="0B02E062" w:rsidR="00E30E4B" w:rsidRDefault="00E30E4B" w:rsidP="00E30E4B">
      <w:r>
        <w:t xml:space="preserve">Itad’s evaluation deliverables will be an important reference for </w:t>
      </w:r>
      <w:r w:rsidR="00766D5C">
        <w:t xml:space="preserve">the </w:t>
      </w:r>
      <w:r>
        <w:t xml:space="preserve">DHSC to check the quality of the evidence and dig into the detail of the findings. For busy policymakers who are less familiar with the Fleming Fund, a well-timed email of bullet points from a trusted source, is more likely to have an impact than a chunky report, so the evaluation team will discuss and agree with </w:t>
      </w:r>
      <w:r w:rsidR="00766D5C">
        <w:t xml:space="preserve">the </w:t>
      </w:r>
      <w:r>
        <w:t>DHSC</w:t>
      </w:r>
      <w:r w:rsidR="007458AC">
        <w:t xml:space="preserve"> </w:t>
      </w:r>
      <w:r>
        <w:t xml:space="preserve">what additional materials could be generated to support it to communicate with </w:t>
      </w:r>
      <w:r>
        <w:rPr>
          <w:i/>
        </w:rPr>
        <w:t>its</w:t>
      </w:r>
      <w:r>
        <w:t xml:space="preserve"> key audiences such as HMT and other donors. These could include: </w:t>
      </w:r>
    </w:p>
    <w:p w14:paraId="4A921166" w14:textId="77777777" w:rsidR="00AA1983" w:rsidRDefault="00AA1983" w:rsidP="00E30E4B"/>
    <w:p w14:paraId="34475142" w14:textId="0180EF7B" w:rsidR="00E30E4B" w:rsidRDefault="00E30E4B" w:rsidP="00C6374D">
      <w:pPr>
        <w:pStyle w:val="ListParagraph"/>
        <w:numPr>
          <w:ilvl w:val="0"/>
          <w:numId w:val="82"/>
        </w:numPr>
        <w:spacing w:after="160" w:line="259" w:lineRule="auto"/>
      </w:pPr>
      <w:r>
        <w:t xml:space="preserve">short briefing notes for </w:t>
      </w:r>
      <w:r w:rsidR="00766D5C">
        <w:t xml:space="preserve">the </w:t>
      </w:r>
      <w:r>
        <w:t>DHSC to share or to draw on when drafting memos</w:t>
      </w:r>
      <w:r w:rsidR="00766D5C">
        <w:t>;</w:t>
      </w:r>
    </w:p>
    <w:p w14:paraId="2F052486" w14:textId="640038AE" w:rsidR="00E30E4B" w:rsidRDefault="00E30E4B" w:rsidP="00C6374D">
      <w:pPr>
        <w:pStyle w:val="ListParagraph"/>
        <w:numPr>
          <w:ilvl w:val="0"/>
          <w:numId w:val="82"/>
        </w:numPr>
        <w:spacing w:after="160" w:line="259" w:lineRule="auto"/>
      </w:pPr>
      <w:r>
        <w:t xml:space="preserve">slides of key messages that </w:t>
      </w:r>
      <w:r w:rsidR="00766D5C">
        <w:t xml:space="preserve">the </w:t>
      </w:r>
      <w:r>
        <w:t>DHSC can incorporate into presentations</w:t>
      </w:r>
      <w:r w:rsidR="00766D5C">
        <w:t>;</w:t>
      </w:r>
    </w:p>
    <w:p w14:paraId="7356F075" w14:textId="002B0297" w:rsidR="00E30E4B" w:rsidRDefault="00E30E4B" w:rsidP="00C6374D">
      <w:pPr>
        <w:pStyle w:val="ListParagraph"/>
        <w:numPr>
          <w:ilvl w:val="0"/>
          <w:numId w:val="82"/>
        </w:numPr>
        <w:spacing w:after="160" w:line="259" w:lineRule="auto"/>
      </w:pPr>
      <w:r>
        <w:t>charts, tables and quotes that illustrate key messages</w:t>
      </w:r>
      <w:r w:rsidR="00766D5C">
        <w:t>; and</w:t>
      </w:r>
    </w:p>
    <w:p w14:paraId="6953B927" w14:textId="0866D07E" w:rsidR="00E30E4B" w:rsidRDefault="00E30E4B" w:rsidP="00C6374D">
      <w:pPr>
        <w:pStyle w:val="ListParagraph"/>
        <w:numPr>
          <w:ilvl w:val="0"/>
          <w:numId w:val="82"/>
        </w:numPr>
        <w:spacing w:after="240" w:line="276" w:lineRule="atLeast"/>
      </w:pPr>
      <w:r>
        <w:t>infographics</w:t>
      </w:r>
      <w:r w:rsidR="00766D5C">
        <w:t>.</w:t>
      </w:r>
    </w:p>
    <w:p w14:paraId="7732DA1B" w14:textId="6F61D272" w:rsidR="004C51E4" w:rsidRDefault="004C51E4" w:rsidP="004C51E4">
      <w:pPr>
        <w:spacing w:after="240" w:line="276" w:lineRule="atLeast"/>
      </w:pPr>
      <w:r>
        <w:t>Evaluation deliverables will also be used to support decisions on further investment into the Fleming Fund. With this in mind, Itad will create products to support the Fleming Fund project team</w:t>
      </w:r>
      <w:r w:rsidR="00766D5C">
        <w:t xml:space="preserve"> to</w:t>
      </w:r>
      <w:r>
        <w:t xml:space="preserve"> develop a business case. </w:t>
      </w:r>
    </w:p>
    <w:p w14:paraId="4BF308B9" w14:textId="68F3859B" w:rsidR="00E30E4B" w:rsidRPr="000D4F0C" w:rsidRDefault="00E30E4B" w:rsidP="000D4F0C">
      <w:pPr>
        <w:pStyle w:val="ItadH4"/>
      </w:pPr>
      <w:r w:rsidRPr="000D4F0C">
        <w:t xml:space="preserve">Making the evaluation findings and recommendations available </w:t>
      </w:r>
      <w:r w:rsidR="442612B4">
        <w:t xml:space="preserve">and accessible </w:t>
      </w:r>
      <w:r w:rsidRPr="000D4F0C">
        <w:t>in a range of formats</w:t>
      </w:r>
    </w:p>
    <w:p w14:paraId="45A28F34" w14:textId="0D1B5558" w:rsidR="00E30E4B" w:rsidRDefault="00E30E4B" w:rsidP="00E30E4B">
      <w:r>
        <w:t>Full and detailed reports, usually with several annexes, are a necessary product of evaluations, but they are unlikely to be relevant for many people with an interest in what the Fleming Fund has achieved and the learning that has come from it.</w:t>
      </w:r>
      <w:r w:rsidR="007458AC">
        <w:t xml:space="preserve"> </w:t>
      </w:r>
      <w:r>
        <w:t xml:space="preserve">So, while all public versions of the evaluation reports will be produced in attractive and easy-to-read formats, </w:t>
      </w:r>
      <w:r w:rsidR="3F120F30">
        <w:t xml:space="preserve">using infographics where appropriate, </w:t>
      </w:r>
      <w:r>
        <w:t xml:space="preserve">we will also </w:t>
      </w:r>
      <w:r w:rsidR="61F8D070">
        <w:t xml:space="preserve">continue to discuss </w:t>
      </w:r>
      <w:r>
        <w:t xml:space="preserve">and agree with </w:t>
      </w:r>
      <w:r w:rsidR="008A3BF0">
        <w:t xml:space="preserve">the </w:t>
      </w:r>
      <w:r>
        <w:t>DHSC</w:t>
      </w:r>
      <w:r w:rsidR="00EB08F4">
        <w:t>,</w:t>
      </w:r>
      <w:r>
        <w:t xml:space="preserve"> other products that share the findings of the summative evaluation report.</w:t>
      </w:r>
    </w:p>
    <w:p w14:paraId="02DB1583" w14:textId="77777777" w:rsidR="00AA1983" w:rsidRDefault="00AA1983" w:rsidP="00E30E4B"/>
    <w:p w14:paraId="085C8A3F" w14:textId="6CA5D646" w:rsidR="00E30E4B" w:rsidRDefault="00E30E4B" w:rsidP="00E30E4B">
      <w:pPr>
        <w:spacing w:after="240" w:line="276" w:lineRule="atLeast"/>
      </w:pPr>
      <w:r>
        <w:t xml:space="preserve">In our experience, a report of 50 pages, can be neatly reduced to a </w:t>
      </w:r>
      <w:r w:rsidRPr="650DCE97">
        <w:t>summary of just a few pages.</w:t>
      </w:r>
      <w:r w:rsidRPr="650DCE97">
        <w:rPr>
          <w:b/>
          <w:bCs/>
        </w:rPr>
        <w:t xml:space="preserve"> </w:t>
      </w:r>
      <w:r w:rsidRPr="001140FA">
        <w:t>This may be</w:t>
      </w:r>
      <w:r>
        <w:t xml:space="preserve"> enough for some readers, while for others it can serve as a springboard to exploring sections of the longer report. Some audiences may be interested in a single </w:t>
      </w:r>
      <w:r w:rsidR="00CE24CE">
        <w:t>EQ</w:t>
      </w:r>
      <w:r w:rsidR="008A3BF0">
        <w:t xml:space="preserve"> </w:t>
      </w:r>
      <w:r>
        <w:t xml:space="preserve">e.g. </w:t>
      </w:r>
      <w:r w:rsidR="008A3BF0">
        <w:t>‘</w:t>
      </w:r>
      <w:r>
        <w:t>Did the Fleming Fund’s investments at</w:t>
      </w:r>
      <w:r w:rsidR="00EB08F4">
        <w:t xml:space="preserve"> the</w:t>
      </w:r>
      <w:r>
        <w:t xml:space="preserve"> country level offer </w:t>
      </w:r>
      <w:r w:rsidR="04650658">
        <w:t>VfM</w:t>
      </w:r>
      <w:r w:rsidR="39AB9223">
        <w:t>?</w:t>
      </w:r>
      <w:r w:rsidR="008A3BF0">
        <w:t>’</w:t>
      </w:r>
      <w:r>
        <w:t xml:space="preserve"> and we will produce </w:t>
      </w:r>
      <w:r w:rsidRPr="650DCE97">
        <w:t>briefing notes</w:t>
      </w:r>
      <w:r w:rsidRPr="650DCE97">
        <w:rPr>
          <w:rStyle w:val="FootnoteReference"/>
        </w:rPr>
        <w:footnoteReference w:id="59"/>
      </w:r>
      <w:r>
        <w:t xml:space="preserve"> on individual evaluation themes. Academic audiences will be used to a more formal and in-depth approach, and for them we </w:t>
      </w:r>
      <w:r w:rsidRPr="00D504A2">
        <w:t>intend to submit papers based on evaluation data, to open access peer-reviewed journals.</w:t>
      </w:r>
      <w:r w:rsidR="0955E100" w:rsidRPr="00D504A2">
        <w:t xml:space="preserve"> </w:t>
      </w:r>
    </w:p>
    <w:p w14:paraId="26C072F6" w14:textId="5B9D5912" w:rsidR="7CD33CB7" w:rsidRDefault="7CD33CB7" w:rsidP="650DCE97">
      <w:pPr>
        <w:spacing w:after="240" w:line="276" w:lineRule="atLeast"/>
      </w:pPr>
      <w:r>
        <w:t xml:space="preserve">In addition, </w:t>
      </w:r>
      <w:r w:rsidR="5FD7D117">
        <w:t xml:space="preserve">any material that is produced for publishing on the Fleming Fund website, will be compliant with </w:t>
      </w:r>
      <w:r w:rsidR="182A79F0">
        <w:t xml:space="preserve">the </w:t>
      </w:r>
      <w:r w:rsidR="5FD7D117">
        <w:t>W</w:t>
      </w:r>
      <w:r w:rsidR="47592669">
        <w:t xml:space="preserve">eb Content </w:t>
      </w:r>
      <w:r w:rsidR="5FD7D117">
        <w:t>A</w:t>
      </w:r>
      <w:r w:rsidR="4042C199">
        <w:t xml:space="preserve">ccessibility Guidelines </w:t>
      </w:r>
      <w:r w:rsidR="5FD7D117">
        <w:t>2</w:t>
      </w:r>
      <w:r w:rsidR="37D713AB">
        <w:t xml:space="preserve"> (WCAG2)</w:t>
      </w:r>
      <w:r w:rsidR="00FC6116">
        <w:rPr>
          <w:rStyle w:val="FootnoteReference"/>
        </w:rPr>
        <w:footnoteReference w:id="60"/>
      </w:r>
      <w:r w:rsidR="10695074">
        <w:t xml:space="preserve"> and where resources allow for it, key outputs, such as the Executive Summary of the summative report, will be translated into French.</w:t>
      </w:r>
    </w:p>
    <w:p w14:paraId="148F4962" w14:textId="77777777" w:rsidR="00E30E4B" w:rsidRPr="000D4F0C" w:rsidRDefault="00E30E4B" w:rsidP="000D4F0C">
      <w:pPr>
        <w:pStyle w:val="ItadH4"/>
      </w:pPr>
      <w:r w:rsidRPr="000D4F0C">
        <w:t>Using a mix of channels to reach different audiences</w:t>
      </w:r>
    </w:p>
    <w:p w14:paraId="57FEE5C1" w14:textId="5688665C" w:rsidR="00E30E4B" w:rsidRPr="00443576" w:rsidRDefault="00E30E4B" w:rsidP="00E30E4B">
      <w:r w:rsidRPr="00443576">
        <w:t xml:space="preserve">For key stakeholders of the Fleming Fund, we want to communicate the evaluation reports </w:t>
      </w:r>
      <w:r w:rsidR="00AF064A">
        <w:t>interactively</w:t>
      </w:r>
      <w:r w:rsidRPr="00443576">
        <w:t xml:space="preserve">. By using face-to-face roundtables and webinars with </w:t>
      </w:r>
      <w:r w:rsidR="0069467D">
        <w:t xml:space="preserve">the </w:t>
      </w:r>
      <w:r w:rsidRPr="00443576">
        <w:t>DHSC and their invited guests e.g. the TAG and HMG, the evaluation team will be available to present headlines, answer questions and offer frank reflections in a way that is not possible through other communication tools.</w:t>
      </w:r>
      <w:r w:rsidR="448BF35B">
        <w:t xml:space="preserve"> In addition, Itad will support</w:t>
      </w:r>
      <w:r w:rsidR="00AF064A">
        <w:t xml:space="preserve"> the</w:t>
      </w:r>
      <w:r w:rsidR="448BF35B">
        <w:t xml:space="preserve"> DHSC to design and deliver a hybrid Delivery Partners Event in September 2023, with a </w:t>
      </w:r>
      <w:r w:rsidR="00AF064A">
        <w:t>face-to-face</w:t>
      </w:r>
      <w:r w:rsidR="448BF35B">
        <w:t xml:space="preserve"> meeting in Ghana complemented by online participation.</w:t>
      </w:r>
    </w:p>
    <w:p w14:paraId="5EB93BD2" w14:textId="1FEB6CD0" w:rsidR="650DCE97" w:rsidRDefault="650DCE97" w:rsidP="650DCE97"/>
    <w:p w14:paraId="68C0FCF2" w14:textId="267BC797" w:rsidR="00E30E4B" w:rsidRDefault="00E30E4B" w:rsidP="00E30E4B">
      <w:r w:rsidRPr="00443576">
        <w:t xml:space="preserve">We expect the Fleming Fund website to be the first port of call for people wanting to find out what </w:t>
      </w:r>
      <w:r w:rsidR="00AF064A" w:rsidRPr="00443576">
        <w:t xml:space="preserve">the grants and Fleming Fellows </w:t>
      </w:r>
      <w:r w:rsidR="00AF064A">
        <w:t>have</w:t>
      </w:r>
      <w:r w:rsidRPr="00443576">
        <w:t xml:space="preserve"> achieved and learned. Itad will produce (subject to the identification of relevant and interesting topics) a series of news articles for the Fleming Fund website and send the Fleming Fund website editors digital copies of all evaluation outputs for hosting in the Knowledge</w:t>
      </w:r>
      <w:r w:rsidR="00DA6EA8">
        <w:t xml:space="preserve"> and </w:t>
      </w:r>
      <w:r w:rsidRPr="00443576">
        <w:t xml:space="preserve">Resources section as soon as they are signed off for external publication by </w:t>
      </w:r>
      <w:r w:rsidR="00E86C26">
        <w:t xml:space="preserve">the </w:t>
      </w:r>
      <w:r w:rsidRPr="00443576">
        <w:t xml:space="preserve">DHSC. </w:t>
      </w:r>
      <w:r w:rsidR="32501F98">
        <w:t xml:space="preserve">In addition, we will work with </w:t>
      </w:r>
      <w:r w:rsidR="00AF064A">
        <w:t xml:space="preserve">the </w:t>
      </w:r>
      <w:r w:rsidR="32501F98">
        <w:t xml:space="preserve">DHSC to provide content from the summative report that responds to requests </w:t>
      </w:r>
      <w:r w:rsidR="7BC6AD4C">
        <w:t>iss</w:t>
      </w:r>
      <w:r w:rsidR="4AFA0CF3">
        <w:t>u</w:t>
      </w:r>
      <w:r w:rsidR="7BC6AD4C">
        <w:t xml:space="preserve">ed </w:t>
      </w:r>
      <w:r w:rsidR="32501F98">
        <w:t>to all</w:t>
      </w:r>
      <w:r w:rsidR="7CDC9EEC">
        <w:t xml:space="preserve"> Fleming Fund partners for </w:t>
      </w:r>
      <w:r w:rsidR="61DC0E1F">
        <w:t xml:space="preserve">contributions to Knowledge and Resource blog posts. </w:t>
      </w:r>
      <w:r w:rsidRPr="00443576">
        <w:t xml:space="preserve">We will also explore other repositories for these publications such as the </w:t>
      </w:r>
      <w:r w:rsidR="00485D03" w:rsidRPr="00485D03">
        <w:t>National Institute for Health and Care Research</w:t>
      </w:r>
      <w:r w:rsidRPr="00443576">
        <w:t xml:space="preserve"> website.</w:t>
      </w:r>
    </w:p>
    <w:p w14:paraId="5707EEA0" w14:textId="77777777" w:rsidR="00AA1983" w:rsidRPr="00443576" w:rsidRDefault="00AA1983" w:rsidP="00E30E4B"/>
    <w:p w14:paraId="4EB4B5F7" w14:textId="66DA06C5" w:rsidR="00E30E4B" w:rsidRPr="00443576" w:rsidRDefault="00E30E4B" w:rsidP="00E30E4B">
      <w:r w:rsidRPr="00443576">
        <w:t>To widen the reach of the evaluation findings to Itad’s connections in the development and evaluation communities, we will produce a dedicated page on the Itad website about the Fleming Fund evaluation (linking to the Fleming Fund site), use the Itad blog and Itad’s Twitter account to share news of the evaluation</w:t>
      </w:r>
      <w:r w:rsidR="00E86C26">
        <w:t>,</w:t>
      </w:r>
      <w:r w:rsidRPr="00443576">
        <w:rPr>
          <w:rStyle w:val="FootnoteReference"/>
        </w:rPr>
        <w:footnoteReference w:id="61"/>
      </w:r>
      <w:r w:rsidRPr="00443576">
        <w:t xml:space="preserve"> mentioning @FlemingFund to prompt retweeting by </w:t>
      </w:r>
      <w:r w:rsidR="00E86C26">
        <w:t xml:space="preserve">the </w:t>
      </w:r>
      <w:r w:rsidRPr="00443576">
        <w:t xml:space="preserve">DHSC (if permitted by DHSC). </w:t>
      </w:r>
    </w:p>
    <w:p w14:paraId="25D5BE97" w14:textId="77777777" w:rsidR="00E30E4B" w:rsidRPr="002B06E0" w:rsidRDefault="00E30E4B" w:rsidP="000D4F0C">
      <w:pPr>
        <w:pStyle w:val="ItadH4"/>
      </w:pPr>
      <w:r w:rsidRPr="002B06E0">
        <w:t>Being responsive to AMR discussions</w:t>
      </w:r>
    </w:p>
    <w:p w14:paraId="13FD656C" w14:textId="642333BB" w:rsidR="00E30E4B" w:rsidRDefault="00E30E4B" w:rsidP="00E30E4B">
      <w:r w:rsidRPr="0087009C">
        <w:t xml:space="preserve">Timeliness and relevance are key factors in making information useful to people. By monitoring hashtags such as #AMR and #OneHealth on Twitter, Itad will </w:t>
      </w:r>
      <w:r w:rsidR="00061CAB">
        <w:t>work with DHSC</w:t>
      </w:r>
      <w:r w:rsidRPr="0087009C">
        <w:t xml:space="preserve"> to share key messages from the evaluation when our intended audiences are likely to be receptive and direct them to our online publications. </w:t>
      </w:r>
    </w:p>
    <w:p w14:paraId="358479E1" w14:textId="77777777" w:rsidR="00AF064A" w:rsidRPr="0087009C" w:rsidRDefault="00AF064A" w:rsidP="00E30E4B"/>
    <w:p w14:paraId="7B28AD68" w14:textId="322D01D1" w:rsidR="00E30E4B" w:rsidRDefault="00E30E4B" w:rsidP="00E30E4B">
      <w:r w:rsidRPr="0087009C">
        <w:t>Similarly, we will track discussions on other social media, on AMR and One Health, including any created to support Fleming Fellows, so that we can contribute evaluation findings in a timely manner. As a good starting point, the One Health Commission manages a global One Health community listserv and maintains a list of relevant social media accounts</w:t>
      </w:r>
      <w:r w:rsidR="00E86C26">
        <w:t>.</w:t>
      </w:r>
      <w:r w:rsidRPr="0087009C">
        <w:rPr>
          <w:rStyle w:val="FootnoteReference"/>
        </w:rPr>
        <w:footnoteReference w:id="62"/>
      </w:r>
    </w:p>
    <w:p w14:paraId="2A084815" w14:textId="77777777" w:rsidR="00AA1983" w:rsidRPr="0087009C" w:rsidRDefault="00AA1983" w:rsidP="00E30E4B"/>
    <w:p w14:paraId="6291726E" w14:textId="77777777" w:rsidR="00E30E4B" w:rsidRPr="0087009C" w:rsidRDefault="00E30E4B" w:rsidP="00E30E4B">
      <w:r w:rsidRPr="0087009C">
        <w:t>Finally, we will identify conferences and workshops taking place later in the programme to which we can submit papers that speak to the planned themes</w:t>
      </w:r>
      <w:r>
        <w:t>.</w:t>
      </w:r>
    </w:p>
    <w:p w14:paraId="23A2A394" w14:textId="77777777" w:rsidR="00E30E4B" w:rsidRPr="006E3E30" w:rsidRDefault="00E30E4B" w:rsidP="000D4F0C">
      <w:pPr>
        <w:pStyle w:val="ItadH4"/>
      </w:pPr>
      <w:r w:rsidRPr="006E3E30">
        <w:t xml:space="preserve">Feedback </w:t>
      </w:r>
    </w:p>
    <w:p w14:paraId="316A19BE" w14:textId="75A4BE46" w:rsidR="00E30E4B" w:rsidRDefault="00E30E4B" w:rsidP="00E30E4B">
      <w:pPr>
        <w:pStyle w:val="ListParagraph"/>
        <w:ind w:left="0"/>
        <w:rPr>
          <w:color w:val="3B3B3C" w:themeColor="text1"/>
          <w:lang w:val="en-US"/>
        </w:rPr>
      </w:pPr>
      <w:r w:rsidRPr="00487927">
        <w:rPr>
          <w:color w:val="3B3B3C" w:themeColor="text1"/>
          <w:lang w:val="en-US"/>
        </w:rPr>
        <w:t xml:space="preserve">Sharing findings and </w:t>
      </w:r>
      <w:r>
        <w:rPr>
          <w:color w:val="3B3B3C" w:themeColor="text1"/>
          <w:lang w:val="en-US"/>
        </w:rPr>
        <w:t>recommendations</w:t>
      </w:r>
      <w:r w:rsidRPr="00487927">
        <w:rPr>
          <w:color w:val="3B3B3C" w:themeColor="text1"/>
          <w:lang w:val="en-US"/>
        </w:rPr>
        <w:t xml:space="preserve"> with participants is </w:t>
      </w:r>
      <w:r w:rsidR="00B0502C" w:rsidRPr="00487927">
        <w:rPr>
          <w:color w:val="3B3B3C" w:themeColor="text1"/>
          <w:lang w:val="en-US"/>
        </w:rPr>
        <w:t>an important</w:t>
      </w:r>
      <w:r w:rsidRPr="00487927">
        <w:rPr>
          <w:color w:val="3B3B3C" w:themeColor="text1"/>
          <w:lang w:val="en-US"/>
        </w:rPr>
        <w:t xml:space="preserve"> step to ensure those involved understand how the results are being used. </w:t>
      </w:r>
      <w:r>
        <w:rPr>
          <w:color w:val="3B3B3C" w:themeColor="text1"/>
          <w:lang w:val="en-US"/>
        </w:rPr>
        <w:t>There is also a possibility that the outcome of the evaluation</w:t>
      </w:r>
      <w:r w:rsidRPr="00487927">
        <w:rPr>
          <w:color w:val="3B3B3C" w:themeColor="text1"/>
          <w:lang w:val="en-US"/>
        </w:rPr>
        <w:t xml:space="preserve"> </w:t>
      </w:r>
      <w:r>
        <w:rPr>
          <w:color w:val="3B3B3C" w:themeColor="text1"/>
          <w:lang w:val="en-US"/>
        </w:rPr>
        <w:t>may</w:t>
      </w:r>
      <w:r w:rsidRPr="00487927">
        <w:rPr>
          <w:color w:val="3B3B3C" w:themeColor="text1"/>
          <w:lang w:val="en-US"/>
        </w:rPr>
        <w:t xml:space="preserve"> influence future decisions which will directly affect the people </w:t>
      </w:r>
      <w:r>
        <w:rPr>
          <w:color w:val="3B3B3C" w:themeColor="text1"/>
          <w:lang w:val="en-US"/>
        </w:rPr>
        <w:t>who have participated in the evaluation</w:t>
      </w:r>
      <w:r w:rsidRPr="00487927">
        <w:rPr>
          <w:color w:val="3B3B3C" w:themeColor="text1"/>
          <w:lang w:val="en-US"/>
        </w:rPr>
        <w:t xml:space="preserve">. </w:t>
      </w:r>
      <w:r>
        <w:rPr>
          <w:color w:val="3B3B3C" w:themeColor="text1"/>
          <w:lang w:val="en-US"/>
        </w:rPr>
        <w:t xml:space="preserve">Itad therefore </w:t>
      </w:r>
      <w:r w:rsidR="005D23FD">
        <w:rPr>
          <w:color w:val="3B3B3C" w:themeColor="text1"/>
          <w:lang w:val="en-US"/>
        </w:rPr>
        <w:t>intends</w:t>
      </w:r>
      <w:r>
        <w:rPr>
          <w:color w:val="3B3B3C" w:themeColor="text1"/>
          <w:lang w:val="en-US"/>
        </w:rPr>
        <w:t xml:space="preserve"> to share the report with all </w:t>
      </w:r>
      <w:r w:rsidR="006E78B5" w:rsidRPr="006E78B5">
        <w:rPr>
          <w:color w:val="3B3B3C" w:themeColor="text1"/>
          <w:lang w:val="en-US"/>
        </w:rPr>
        <w:t>the evaluation participant</w:t>
      </w:r>
      <w:r w:rsidR="006E78B5">
        <w:rPr>
          <w:color w:val="3B3B3C" w:themeColor="text1"/>
          <w:lang w:val="en-US"/>
        </w:rPr>
        <w:t>s</w:t>
      </w:r>
      <w:r>
        <w:rPr>
          <w:color w:val="3B3B3C" w:themeColor="text1"/>
          <w:lang w:val="en-US"/>
        </w:rPr>
        <w:t xml:space="preserve">. </w:t>
      </w:r>
    </w:p>
    <w:p w14:paraId="7478E71E" w14:textId="2959A88C" w:rsidR="00E30E4B" w:rsidRPr="007F63EF" w:rsidRDefault="00E30E4B" w:rsidP="007F63EF">
      <w:pPr>
        <w:pStyle w:val="ItadH3"/>
        <w:keepNext/>
        <w:rPr>
          <w:lang w:val="en-GB"/>
        </w:rPr>
      </w:pPr>
      <w:bookmarkStart w:id="354" w:name="_Toc118968560"/>
      <w:bookmarkStart w:id="355" w:name="_Toc142383201"/>
      <w:r w:rsidRPr="007F63EF">
        <w:rPr>
          <w:lang w:val="en-GB"/>
        </w:rPr>
        <w:t>The Plan</w:t>
      </w:r>
      <w:bookmarkEnd w:id="354"/>
      <w:bookmarkEnd w:id="355"/>
    </w:p>
    <w:p w14:paraId="5D4765C1" w14:textId="4D4174D6" w:rsidR="00E30E4B" w:rsidRDefault="5CF5C645" w:rsidP="00CB2351">
      <w:pPr>
        <w:pStyle w:val="FFNormal"/>
      </w:pPr>
      <w:r>
        <w:t>This table shows when activities are expected to take place but will be reviewed regularly with</w:t>
      </w:r>
      <w:r w:rsidR="0001364D">
        <w:t xml:space="preserve"> the</w:t>
      </w:r>
      <w:r>
        <w:t xml:space="preserve"> DHSC to align </w:t>
      </w:r>
      <w:r w:rsidR="0D750A71">
        <w:t xml:space="preserve">with their communications plans. To support this coordination, Itad will produce a live communications calendar that the </w:t>
      </w:r>
      <w:r w:rsidR="0001364D">
        <w:t xml:space="preserve">evaluation team </w:t>
      </w:r>
      <w:r w:rsidR="0D750A71">
        <w:t xml:space="preserve">and </w:t>
      </w:r>
      <w:r w:rsidR="791077AF">
        <w:t>DHSC can use to identify opportunities for timely and effective evidence utilisation activities.</w:t>
      </w:r>
    </w:p>
    <w:p w14:paraId="632C15B9" w14:textId="77777777" w:rsidR="00CB2351" w:rsidRDefault="00CB2351" w:rsidP="007F63EF">
      <w:pPr>
        <w:pStyle w:val="FFNormal"/>
      </w:pPr>
    </w:p>
    <w:tbl>
      <w:tblPr>
        <w:tblStyle w:val="ItadGreenHeaderRow"/>
        <w:tblW w:w="9125" w:type="dxa"/>
        <w:tblLook w:val="04A0" w:firstRow="1" w:lastRow="0" w:firstColumn="1" w:lastColumn="0" w:noHBand="0" w:noVBand="1"/>
      </w:tblPr>
      <w:tblGrid>
        <w:gridCol w:w="2587"/>
        <w:gridCol w:w="2280"/>
        <w:gridCol w:w="2783"/>
        <w:gridCol w:w="1475"/>
      </w:tblGrid>
      <w:tr w:rsidR="00E30E4B" w14:paraId="0188D5BF" w14:textId="77777777" w:rsidTr="00BB4743">
        <w:trPr>
          <w:cnfStyle w:val="100000000000" w:firstRow="1" w:lastRow="0" w:firstColumn="0" w:lastColumn="0" w:oddVBand="0" w:evenVBand="0" w:oddHBand="0" w:evenHBand="0" w:firstRowFirstColumn="0" w:firstRowLastColumn="0" w:lastRowFirstColumn="0" w:lastRowLastColumn="0"/>
          <w:trHeight w:val="20"/>
          <w:tblHeader/>
        </w:trPr>
        <w:tc>
          <w:tcPr>
            <w:tcW w:w="0" w:type="dxa"/>
          </w:tcPr>
          <w:p w14:paraId="171780B2"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b/>
                <w:sz w:val="20"/>
                <w:szCs w:val="20"/>
              </w:rPr>
              <w:t xml:space="preserve">Activity </w:t>
            </w:r>
          </w:p>
        </w:tc>
        <w:tc>
          <w:tcPr>
            <w:tcW w:w="0" w:type="dxa"/>
          </w:tcPr>
          <w:p w14:paraId="7BB0EF7F" w14:textId="3CF388A4" w:rsidR="00E30E4B" w:rsidRPr="00E32954" w:rsidRDefault="00E30E4B">
            <w:pPr>
              <w:rPr>
                <w:rFonts w:asciiTheme="minorHAnsi" w:hAnsiTheme="minorHAnsi" w:cstheme="minorBidi"/>
                <w:b/>
                <w:bCs/>
                <w:sz w:val="20"/>
                <w:szCs w:val="20"/>
              </w:rPr>
            </w:pPr>
            <w:r w:rsidRPr="650DCE97">
              <w:rPr>
                <w:rFonts w:asciiTheme="minorHAnsi" w:hAnsiTheme="minorHAnsi" w:cstheme="minorBidi"/>
                <w:b/>
                <w:bCs/>
                <w:sz w:val="20"/>
                <w:szCs w:val="20"/>
              </w:rPr>
              <w:t>Target Audience</w:t>
            </w:r>
          </w:p>
        </w:tc>
        <w:tc>
          <w:tcPr>
            <w:tcW w:w="0" w:type="dxa"/>
          </w:tcPr>
          <w:p w14:paraId="4DE0DC3D"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b/>
                <w:sz w:val="20"/>
                <w:szCs w:val="20"/>
              </w:rPr>
              <w:t>Intended Outcome / Result</w:t>
            </w:r>
          </w:p>
        </w:tc>
        <w:tc>
          <w:tcPr>
            <w:tcW w:w="0" w:type="dxa"/>
          </w:tcPr>
          <w:p w14:paraId="466DE8CD" w14:textId="65CDDBB6" w:rsidR="00E30E4B" w:rsidRPr="00E32954" w:rsidRDefault="00E30E4B">
            <w:pPr>
              <w:rPr>
                <w:rFonts w:asciiTheme="minorHAnsi" w:hAnsiTheme="minorHAnsi" w:cstheme="minorBidi"/>
                <w:b/>
                <w:bCs/>
                <w:sz w:val="20"/>
                <w:szCs w:val="20"/>
              </w:rPr>
            </w:pPr>
            <w:r w:rsidRPr="650DCE97">
              <w:rPr>
                <w:rFonts w:asciiTheme="minorHAnsi" w:hAnsiTheme="minorHAnsi" w:cstheme="minorBidi"/>
                <w:b/>
                <w:bCs/>
                <w:sz w:val="20"/>
                <w:szCs w:val="20"/>
              </w:rPr>
              <w:t>Timing</w:t>
            </w:r>
          </w:p>
        </w:tc>
      </w:tr>
      <w:tr w:rsidR="00E30E4B" w14:paraId="11BE92F1" w14:textId="77777777" w:rsidTr="00E32954">
        <w:trPr>
          <w:cnfStyle w:val="000000100000" w:firstRow="0" w:lastRow="0" w:firstColumn="0" w:lastColumn="0" w:oddVBand="0" w:evenVBand="0" w:oddHBand="1" w:evenHBand="0" w:firstRowFirstColumn="0" w:firstRowLastColumn="0" w:lastRowFirstColumn="0" w:lastRowLastColumn="0"/>
          <w:trHeight w:val="20"/>
        </w:trPr>
        <w:tc>
          <w:tcPr>
            <w:tcW w:w="2587" w:type="dxa"/>
          </w:tcPr>
          <w:p w14:paraId="797CA89F" w14:textId="2572B0AE" w:rsidR="00E30E4B" w:rsidRPr="00E32954" w:rsidRDefault="00E30E4B">
            <w:pPr>
              <w:rPr>
                <w:rFonts w:asciiTheme="minorHAnsi" w:hAnsiTheme="minorHAnsi" w:cstheme="minorBidi"/>
                <w:b/>
                <w:bCs/>
                <w:sz w:val="20"/>
                <w:szCs w:val="20"/>
              </w:rPr>
            </w:pPr>
            <w:r w:rsidRPr="650DCE97">
              <w:rPr>
                <w:rFonts w:asciiTheme="minorHAnsi" w:hAnsiTheme="minorHAnsi" w:cstheme="minorBidi"/>
                <w:b/>
                <w:bCs/>
                <w:sz w:val="20"/>
                <w:szCs w:val="20"/>
              </w:rPr>
              <w:t>Findings and recommendations workshops</w:t>
            </w:r>
          </w:p>
        </w:tc>
        <w:tc>
          <w:tcPr>
            <w:tcW w:w="2280" w:type="dxa"/>
          </w:tcPr>
          <w:p w14:paraId="3E5DCA5C" w14:textId="0B4225DB"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DHSC,</w:t>
            </w:r>
            <w:r w:rsidR="008E0FDD">
              <w:rPr>
                <w:rFonts w:asciiTheme="minorHAnsi" w:hAnsiTheme="minorHAnsi" w:cstheme="minorHAnsi"/>
                <w:sz w:val="20"/>
                <w:szCs w:val="20"/>
              </w:rPr>
              <w:t xml:space="preserve"> Special Envoy,</w:t>
            </w:r>
            <w:r w:rsidRPr="00E32954">
              <w:rPr>
                <w:rFonts w:asciiTheme="minorHAnsi" w:hAnsiTheme="minorHAnsi" w:cstheme="minorHAnsi"/>
                <w:sz w:val="20"/>
                <w:szCs w:val="20"/>
              </w:rPr>
              <w:t xml:space="preserve"> MA </w:t>
            </w:r>
            <w:r w:rsidR="00D27A19">
              <w:rPr>
                <w:rFonts w:asciiTheme="minorHAnsi" w:hAnsiTheme="minorHAnsi" w:cstheme="minorHAnsi"/>
                <w:sz w:val="20"/>
                <w:szCs w:val="20"/>
              </w:rPr>
              <w:t>Senior Management Team (</w:t>
            </w:r>
            <w:r w:rsidR="008E0FDD">
              <w:rPr>
                <w:rFonts w:asciiTheme="minorHAnsi" w:hAnsiTheme="minorHAnsi" w:cstheme="minorHAnsi"/>
                <w:sz w:val="20"/>
                <w:szCs w:val="20"/>
              </w:rPr>
              <w:t xml:space="preserve">SMT </w:t>
            </w:r>
            <w:r w:rsidR="00D27A19">
              <w:rPr>
                <w:rFonts w:asciiTheme="minorHAnsi" w:hAnsiTheme="minorHAnsi" w:cstheme="minorHAnsi"/>
                <w:sz w:val="20"/>
                <w:szCs w:val="20"/>
              </w:rPr>
              <w:t>)</w:t>
            </w:r>
            <w:r w:rsidRPr="00E32954">
              <w:rPr>
                <w:rFonts w:asciiTheme="minorHAnsi" w:hAnsiTheme="minorHAnsi" w:cstheme="minorHAnsi"/>
                <w:sz w:val="20"/>
                <w:szCs w:val="20"/>
              </w:rPr>
              <w:t>&amp; TAG</w:t>
            </w:r>
          </w:p>
        </w:tc>
        <w:tc>
          <w:tcPr>
            <w:tcW w:w="2783" w:type="dxa"/>
          </w:tcPr>
          <w:p w14:paraId="2F28EE56" w14:textId="0595059D"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 xml:space="preserve">Key stakeholders fully informed and clear on recommendations – discussion for how these can be incorporated into </w:t>
            </w:r>
            <w:r w:rsidR="009E2AC2">
              <w:rPr>
                <w:rFonts w:asciiTheme="minorHAnsi" w:hAnsiTheme="minorHAnsi" w:cstheme="minorHAnsi"/>
                <w:sz w:val="20"/>
                <w:szCs w:val="20"/>
              </w:rPr>
              <w:t>phase 2</w:t>
            </w:r>
            <w:r w:rsidRPr="00E32954">
              <w:rPr>
                <w:rFonts w:asciiTheme="minorHAnsi" w:hAnsiTheme="minorHAnsi" w:cstheme="minorHAnsi"/>
                <w:sz w:val="20"/>
                <w:szCs w:val="20"/>
              </w:rPr>
              <w:t xml:space="preserve"> </w:t>
            </w:r>
          </w:p>
        </w:tc>
        <w:tc>
          <w:tcPr>
            <w:tcW w:w="1475" w:type="dxa"/>
          </w:tcPr>
          <w:p w14:paraId="504C1496"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Q1 2023</w:t>
            </w:r>
          </w:p>
        </w:tc>
      </w:tr>
      <w:tr w:rsidR="00E30E4B" w:rsidRPr="00B137E3" w14:paraId="04B09670" w14:textId="77777777" w:rsidTr="00E32954">
        <w:trPr>
          <w:cnfStyle w:val="000000010000" w:firstRow="0" w:lastRow="0" w:firstColumn="0" w:lastColumn="0" w:oddVBand="0" w:evenVBand="0" w:oddHBand="0" w:evenHBand="1" w:firstRowFirstColumn="0" w:firstRowLastColumn="0" w:lastRowFirstColumn="0" w:lastRowLastColumn="0"/>
          <w:trHeight w:val="20"/>
        </w:trPr>
        <w:tc>
          <w:tcPr>
            <w:tcW w:w="2587" w:type="dxa"/>
          </w:tcPr>
          <w:p w14:paraId="5717CFDC"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b/>
                <w:sz w:val="20"/>
                <w:szCs w:val="20"/>
              </w:rPr>
              <w:t>Report and executive summary slides available on Fleming Fund website</w:t>
            </w:r>
          </w:p>
        </w:tc>
        <w:tc>
          <w:tcPr>
            <w:tcW w:w="2280" w:type="dxa"/>
          </w:tcPr>
          <w:p w14:paraId="478E207C" w14:textId="5374308B"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DHSC, MA</w:t>
            </w:r>
            <w:r w:rsidR="008E0FDD">
              <w:rPr>
                <w:rFonts w:asciiTheme="minorHAnsi" w:hAnsiTheme="minorHAnsi" w:cstheme="minorHAnsi"/>
                <w:sz w:val="20"/>
                <w:szCs w:val="20"/>
              </w:rPr>
              <w:t xml:space="preserve"> SMT and RTs</w:t>
            </w:r>
            <w:r w:rsidRPr="00E32954">
              <w:rPr>
                <w:rFonts w:asciiTheme="minorHAnsi" w:hAnsiTheme="minorHAnsi" w:cstheme="minorHAnsi"/>
                <w:sz w:val="20"/>
                <w:szCs w:val="20"/>
              </w:rPr>
              <w:t>, CG,</w:t>
            </w:r>
            <w:r w:rsidR="007458AC">
              <w:rPr>
                <w:rFonts w:asciiTheme="minorHAnsi" w:hAnsiTheme="minorHAnsi" w:cstheme="minorHAnsi"/>
                <w:sz w:val="20"/>
                <w:szCs w:val="20"/>
              </w:rPr>
              <w:t xml:space="preserve"> </w:t>
            </w:r>
            <w:r w:rsidRPr="00E32954">
              <w:rPr>
                <w:rFonts w:asciiTheme="minorHAnsi" w:hAnsiTheme="minorHAnsi" w:cstheme="minorHAnsi"/>
                <w:sz w:val="20"/>
                <w:szCs w:val="20"/>
              </w:rPr>
              <w:t xml:space="preserve">RCs TAG, Fleming Fellows, Fleming Fund partners </w:t>
            </w:r>
          </w:p>
        </w:tc>
        <w:tc>
          <w:tcPr>
            <w:tcW w:w="2783" w:type="dxa"/>
          </w:tcPr>
          <w:p w14:paraId="32810EAA"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 xml:space="preserve">Key stakeholders fully informed and clear on recommendations </w:t>
            </w:r>
          </w:p>
        </w:tc>
        <w:tc>
          <w:tcPr>
            <w:tcW w:w="1475" w:type="dxa"/>
          </w:tcPr>
          <w:p w14:paraId="1C1C4C87"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sz w:val="20"/>
                <w:szCs w:val="20"/>
              </w:rPr>
              <w:t>Q2 2023</w:t>
            </w:r>
          </w:p>
        </w:tc>
      </w:tr>
      <w:tr w:rsidR="00E30E4B" w14:paraId="3D6F6C42" w14:textId="77777777" w:rsidTr="00E32954">
        <w:trPr>
          <w:cnfStyle w:val="000000100000" w:firstRow="0" w:lastRow="0" w:firstColumn="0" w:lastColumn="0" w:oddVBand="0" w:evenVBand="0" w:oddHBand="1" w:evenHBand="0" w:firstRowFirstColumn="0" w:firstRowLastColumn="0" w:lastRowFirstColumn="0" w:lastRowLastColumn="0"/>
          <w:trHeight w:val="20"/>
        </w:trPr>
        <w:tc>
          <w:tcPr>
            <w:tcW w:w="2587" w:type="dxa"/>
          </w:tcPr>
          <w:p w14:paraId="0587ED6E"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b/>
                <w:sz w:val="20"/>
                <w:szCs w:val="20"/>
              </w:rPr>
              <w:t>Link to report and executive summary slides sent to participants</w:t>
            </w:r>
          </w:p>
        </w:tc>
        <w:tc>
          <w:tcPr>
            <w:tcW w:w="2280" w:type="dxa"/>
          </w:tcPr>
          <w:p w14:paraId="4AAC44EA" w14:textId="01648626"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Participants of evaluation (</w:t>
            </w:r>
            <w:r w:rsidR="008E0FDD">
              <w:rPr>
                <w:rFonts w:asciiTheme="minorHAnsi" w:hAnsiTheme="minorHAnsi" w:cstheme="minorHAnsi"/>
                <w:sz w:val="20"/>
                <w:szCs w:val="20"/>
              </w:rPr>
              <w:t xml:space="preserve">MA RTs </w:t>
            </w:r>
            <w:r w:rsidRPr="00E32954">
              <w:rPr>
                <w:rFonts w:asciiTheme="minorHAnsi" w:hAnsiTheme="minorHAnsi" w:cstheme="minorHAnsi"/>
                <w:sz w:val="20"/>
                <w:szCs w:val="20"/>
              </w:rPr>
              <w:t>CGs,</w:t>
            </w:r>
            <w:r w:rsidR="007458AC">
              <w:rPr>
                <w:rFonts w:asciiTheme="minorHAnsi" w:hAnsiTheme="minorHAnsi" w:cstheme="minorHAnsi"/>
                <w:sz w:val="20"/>
                <w:szCs w:val="20"/>
              </w:rPr>
              <w:t xml:space="preserve"> </w:t>
            </w:r>
            <w:r w:rsidRPr="00E32954">
              <w:rPr>
                <w:rFonts w:asciiTheme="minorHAnsi" w:hAnsiTheme="minorHAnsi" w:cstheme="minorHAnsi"/>
                <w:sz w:val="20"/>
                <w:szCs w:val="20"/>
              </w:rPr>
              <w:t xml:space="preserve">RCs, Fleming Fellows, KIIs) </w:t>
            </w:r>
          </w:p>
        </w:tc>
        <w:tc>
          <w:tcPr>
            <w:tcW w:w="2783" w:type="dxa"/>
          </w:tcPr>
          <w:p w14:paraId="4DDCA870" w14:textId="29A3A79B"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Key stakeholders fully informed on findings and recommendations of evaluation – potential for recommendations to be incorporated into AMRCC meetings/country level discussions</w:t>
            </w:r>
          </w:p>
        </w:tc>
        <w:tc>
          <w:tcPr>
            <w:tcW w:w="1475" w:type="dxa"/>
          </w:tcPr>
          <w:p w14:paraId="2536ABF4"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sz w:val="20"/>
                <w:szCs w:val="20"/>
              </w:rPr>
              <w:t>Q2 2023</w:t>
            </w:r>
          </w:p>
        </w:tc>
      </w:tr>
      <w:tr w:rsidR="00E30E4B" w14:paraId="75AB0C40" w14:textId="77777777" w:rsidTr="00E32954">
        <w:trPr>
          <w:cnfStyle w:val="000000010000" w:firstRow="0" w:lastRow="0" w:firstColumn="0" w:lastColumn="0" w:oddVBand="0" w:evenVBand="0" w:oddHBand="0" w:evenHBand="1" w:firstRowFirstColumn="0" w:firstRowLastColumn="0" w:lastRowFirstColumn="0" w:lastRowLastColumn="0"/>
          <w:trHeight w:val="20"/>
        </w:trPr>
        <w:tc>
          <w:tcPr>
            <w:tcW w:w="2587" w:type="dxa"/>
          </w:tcPr>
          <w:p w14:paraId="7698F7CA"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b/>
                <w:sz w:val="20"/>
                <w:szCs w:val="20"/>
              </w:rPr>
              <w:t xml:space="preserve">Report and executive summary slides available on Itad website (pending DHSC approval) </w:t>
            </w:r>
          </w:p>
        </w:tc>
        <w:tc>
          <w:tcPr>
            <w:tcW w:w="2280" w:type="dxa"/>
          </w:tcPr>
          <w:p w14:paraId="6566FC16"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Aid agencies, international initiatives, other donors and organisations interested in funding AMR, wider AMR and One Health communities.</w:t>
            </w:r>
          </w:p>
        </w:tc>
        <w:tc>
          <w:tcPr>
            <w:tcW w:w="2783" w:type="dxa"/>
          </w:tcPr>
          <w:p w14:paraId="3AE1D400"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Wider audience informed and clear on recommendations</w:t>
            </w:r>
          </w:p>
        </w:tc>
        <w:tc>
          <w:tcPr>
            <w:tcW w:w="1475" w:type="dxa"/>
          </w:tcPr>
          <w:p w14:paraId="048ECF15"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sz w:val="20"/>
                <w:szCs w:val="20"/>
              </w:rPr>
              <w:t>Q2 2023</w:t>
            </w:r>
          </w:p>
        </w:tc>
      </w:tr>
      <w:tr w:rsidR="00E30E4B" w14:paraId="441A7AF9" w14:textId="77777777" w:rsidTr="00E32954">
        <w:trPr>
          <w:cnfStyle w:val="000000100000" w:firstRow="0" w:lastRow="0" w:firstColumn="0" w:lastColumn="0" w:oddVBand="0" w:evenVBand="0" w:oddHBand="1" w:evenHBand="0" w:firstRowFirstColumn="0" w:firstRowLastColumn="0" w:lastRowFirstColumn="0" w:lastRowLastColumn="0"/>
          <w:trHeight w:val="20"/>
        </w:trPr>
        <w:tc>
          <w:tcPr>
            <w:tcW w:w="2587" w:type="dxa"/>
          </w:tcPr>
          <w:p w14:paraId="3E01F939"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b/>
                <w:sz w:val="20"/>
                <w:szCs w:val="20"/>
              </w:rPr>
              <w:t>Version of report available for external sites</w:t>
            </w:r>
          </w:p>
        </w:tc>
        <w:tc>
          <w:tcPr>
            <w:tcW w:w="2280" w:type="dxa"/>
          </w:tcPr>
          <w:p w14:paraId="08D33089" w14:textId="41050C69" w:rsidR="00E30E4B" w:rsidRPr="00E32954" w:rsidRDefault="00E30E4B" w:rsidP="00CB2351">
            <w:pPr>
              <w:rPr>
                <w:rFonts w:asciiTheme="minorHAnsi" w:hAnsiTheme="minorHAnsi" w:cstheme="minorHAnsi"/>
                <w:sz w:val="20"/>
                <w:szCs w:val="20"/>
              </w:rPr>
            </w:pPr>
            <w:r w:rsidRPr="00E32954">
              <w:rPr>
                <w:rFonts w:asciiTheme="minorHAnsi" w:hAnsiTheme="minorHAnsi" w:cstheme="minorHAnsi"/>
                <w:sz w:val="20"/>
                <w:szCs w:val="20"/>
              </w:rPr>
              <w:t>Aid agencies, international initiatives, other donors and organisations interested in funding AMR, wider AMR and One Health communities, other organisations and networks recommended by the TAG</w:t>
            </w:r>
            <w:r w:rsidR="00CB2351">
              <w:rPr>
                <w:rFonts w:asciiTheme="minorHAnsi" w:hAnsiTheme="minorHAnsi" w:cstheme="minorHAnsi"/>
                <w:sz w:val="20"/>
                <w:szCs w:val="20"/>
              </w:rPr>
              <w:t>.</w:t>
            </w:r>
          </w:p>
        </w:tc>
        <w:tc>
          <w:tcPr>
            <w:tcW w:w="2783" w:type="dxa"/>
          </w:tcPr>
          <w:p w14:paraId="28F9BCA1"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Wider audience informed and clear on recommendations</w:t>
            </w:r>
          </w:p>
        </w:tc>
        <w:tc>
          <w:tcPr>
            <w:tcW w:w="1475" w:type="dxa"/>
          </w:tcPr>
          <w:p w14:paraId="0FC6438F"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sz w:val="20"/>
                <w:szCs w:val="20"/>
              </w:rPr>
              <w:t>Q2 2023</w:t>
            </w:r>
          </w:p>
        </w:tc>
      </w:tr>
      <w:tr w:rsidR="00E30E4B" w14:paraId="7630B3EC" w14:textId="77777777" w:rsidTr="00E32954">
        <w:trPr>
          <w:cnfStyle w:val="000000010000" w:firstRow="0" w:lastRow="0" w:firstColumn="0" w:lastColumn="0" w:oddVBand="0" w:evenVBand="0" w:oddHBand="0" w:evenHBand="1" w:firstRowFirstColumn="0" w:firstRowLastColumn="0" w:lastRowFirstColumn="0" w:lastRowLastColumn="0"/>
          <w:trHeight w:val="20"/>
        </w:trPr>
        <w:tc>
          <w:tcPr>
            <w:tcW w:w="2587" w:type="dxa"/>
          </w:tcPr>
          <w:p w14:paraId="46EC7ADF"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b/>
                <w:sz w:val="20"/>
                <w:szCs w:val="20"/>
              </w:rPr>
              <w:t>Blog post of Itad site to promote report</w:t>
            </w:r>
          </w:p>
        </w:tc>
        <w:tc>
          <w:tcPr>
            <w:tcW w:w="2280" w:type="dxa"/>
          </w:tcPr>
          <w:p w14:paraId="7932A3BC"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 xml:space="preserve">Aid agencies, international initiatives, other donors and organisations interested in funding AMR, wider AMR and One Health communities. </w:t>
            </w:r>
          </w:p>
        </w:tc>
        <w:tc>
          <w:tcPr>
            <w:tcW w:w="2783" w:type="dxa"/>
          </w:tcPr>
          <w:p w14:paraId="26C064A0"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Wider audience informed and clear on recommendations</w:t>
            </w:r>
          </w:p>
          <w:p w14:paraId="3DE11562"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Findings and recommendations processed and reflected upon</w:t>
            </w:r>
          </w:p>
        </w:tc>
        <w:tc>
          <w:tcPr>
            <w:tcW w:w="1475" w:type="dxa"/>
          </w:tcPr>
          <w:p w14:paraId="7EFE2079"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sz w:val="20"/>
                <w:szCs w:val="20"/>
              </w:rPr>
              <w:t>Q2 2023</w:t>
            </w:r>
          </w:p>
        </w:tc>
      </w:tr>
      <w:tr w:rsidR="00E30E4B" w14:paraId="45FB504F" w14:textId="77777777" w:rsidTr="00E32954">
        <w:trPr>
          <w:cnfStyle w:val="000000100000" w:firstRow="0" w:lastRow="0" w:firstColumn="0" w:lastColumn="0" w:oddVBand="0" w:evenVBand="0" w:oddHBand="1" w:evenHBand="0" w:firstRowFirstColumn="0" w:firstRowLastColumn="0" w:lastRowFirstColumn="0" w:lastRowLastColumn="0"/>
          <w:trHeight w:val="20"/>
        </w:trPr>
        <w:tc>
          <w:tcPr>
            <w:tcW w:w="2587" w:type="dxa"/>
          </w:tcPr>
          <w:p w14:paraId="45734937"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b/>
                <w:sz w:val="20"/>
                <w:szCs w:val="20"/>
              </w:rPr>
              <w:t xml:space="preserve">2-3 thematic focused blog posts for Fleming Fund website </w:t>
            </w:r>
          </w:p>
        </w:tc>
        <w:tc>
          <w:tcPr>
            <w:tcW w:w="2280" w:type="dxa"/>
          </w:tcPr>
          <w:p w14:paraId="72CC8CC8" w14:textId="6CFC07D9"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DHSC, MA</w:t>
            </w:r>
            <w:r w:rsidR="008E0FDD">
              <w:rPr>
                <w:rFonts w:asciiTheme="minorHAnsi" w:hAnsiTheme="minorHAnsi" w:cstheme="minorHAnsi"/>
                <w:sz w:val="20"/>
                <w:szCs w:val="20"/>
              </w:rPr>
              <w:t xml:space="preserve"> SMT and RT</w:t>
            </w:r>
            <w:r w:rsidRPr="00E32954">
              <w:rPr>
                <w:rFonts w:asciiTheme="minorHAnsi" w:hAnsiTheme="minorHAnsi" w:cstheme="minorHAnsi"/>
                <w:sz w:val="20"/>
                <w:szCs w:val="20"/>
              </w:rPr>
              <w:t>, CG,</w:t>
            </w:r>
            <w:r w:rsidR="007458AC">
              <w:rPr>
                <w:rFonts w:asciiTheme="minorHAnsi" w:hAnsiTheme="minorHAnsi" w:cstheme="minorHAnsi"/>
                <w:sz w:val="20"/>
                <w:szCs w:val="20"/>
              </w:rPr>
              <w:t xml:space="preserve"> </w:t>
            </w:r>
            <w:r w:rsidRPr="00E32954">
              <w:rPr>
                <w:rFonts w:asciiTheme="minorHAnsi" w:hAnsiTheme="minorHAnsi" w:cstheme="minorHAnsi"/>
                <w:sz w:val="20"/>
                <w:szCs w:val="20"/>
              </w:rPr>
              <w:t>RCs</w:t>
            </w:r>
            <w:r w:rsidR="00E159C1">
              <w:rPr>
                <w:rFonts w:asciiTheme="minorHAnsi" w:hAnsiTheme="minorHAnsi" w:cstheme="minorHAnsi"/>
                <w:sz w:val="20"/>
                <w:szCs w:val="20"/>
              </w:rPr>
              <w:t>,</w:t>
            </w:r>
            <w:r w:rsidRPr="00E32954">
              <w:rPr>
                <w:rFonts w:asciiTheme="minorHAnsi" w:hAnsiTheme="minorHAnsi" w:cstheme="minorHAnsi"/>
                <w:sz w:val="20"/>
                <w:szCs w:val="20"/>
              </w:rPr>
              <w:t xml:space="preserve"> TAG, Fleming Fellows, Fleming Fund partners</w:t>
            </w:r>
          </w:p>
        </w:tc>
        <w:tc>
          <w:tcPr>
            <w:tcW w:w="2783" w:type="dxa"/>
          </w:tcPr>
          <w:p w14:paraId="2C41D1A3"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 xml:space="preserve">Findings and recommendations processed and reflected upon </w:t>
            </w:r>
          </w:p>
        </w:tc>
        <w:tc>
          <w:tcPr>
            <w:tcW w:w="1475" w:type="dxa"/>
          </w:tcPr>
          <w:p w14:paraId="74143327"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sz w:val="20"/>
                <w:szCs w:val="20"/>
              </w:rPr>
              <w:t>Q2 2023</w:t>
            </w:r>
          </w:p>
        </w:tc>
      </w:tr>
      <w:tr w:rsidR="00E30E4B" w14:paraId="67A62A7F" w14:textId="77777777" w:rsidTr="00E32954">
        <w:trPr>
          <w:cnfStyle w:val="000000010000" w:firstRow="0" w:lastRow="0" w:firstColumn="0" w:lastColumn="0" w:oddVBand="0" w:evenVBand="0" w:oddHBand="0" w:evenHBand="1" w:firstRowFirstColumn="0" w:firstRowLastColumn="0" w:lastRowFirstColumn="0" w:lastRowLastColumn="0"/>
          <w:trHeight w:val="20"/>
        </w:trPr>
        <w:tc>
          <w:tcPr>
            <w:tcW w:w="2587" w:type="dxa"/>
          </w:tcPr>
          <w:p w14:paraId="5544CB54" w14:textId="7EFE0051" w:rsidR="00E30E4B" w:rsidRPr="00E32954" w:rsidRDefault="00E30E4B">
            <w:pPr>
              <w:rPr>
                <w:rFonts w:asciiTheme="minorHAnsi" w:hAnsiTheme="minorHAnsi" w:cstheme="minorHAnsi"/>
                <w:b/>
                <w:sz w:val="20"/>
                <w:szCs w:val="20"/>
              </w:rPr>
            </w:pPr>
            <w:r w:rsidRPr="00E32954">
              <w:rPr>
                <w:rFonts w:asciiTheme="minorHAnsi" w:hAnsiTheme="minorHAnsi" w:cstheme="minorHAnsi"/>
                <w:b/>
                <w:sz w:val="20"/>
                <w:szCs w:val="20"/>
              </w:rPr>
              <w:t xml:space="preserve">Learning event – </w:t>
            </w:r>
            <w:r w:rsidR="00417F18" w:rsidRPr="00E32954">
              <w:rPr>
                <w:rFonts w:asciiTheme="minorHAnsi" w:hAnsiTheme="minorHAnsi" w:cstheme="minorHAnsi"/>
                <w:b/>
                <w:sz w:val="20"/>
                <w:szCs w:val="20"/>
              </w:rPr>
              <w:t>DPs</w:t>
            </w:r>
            <w:r w:rsidRPr="00E32954">
              <w:rPr>
                <w:rFonts w:asciiTheme="minorHAnsi" w:hAnsiTheme="minorHAnsi" w:cstheme="minorHAnsi"/>
                <w:b/>
                <w:sz w:val="20"/>
                <w:szCs w:val="20"/>
              </w:rPr>
              <w:t xml:space="preserve"> Event</w:t>
            </w:r>
            <w:r w:rsidR="005C298E">
              <w:rPr>
                <w:rStyle w:val="FootnoteReference"/>
                <w:b/>
              </w:rPr>
              <w:footnoteReference w:id="63"/>
            </w:r>
          </w:p>
        </w:tc>
        <w:tc>
          <w:tcPr>
            <w:tcW w:w="2280" w:type="dxa"/>
          </w:tcPr>
          <w:p w14:paraId="4B392D2E" w14:textId="1F3A9C1F"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DHSC, MA</w:t>
            </w:r>
            <w:r w:rsidR="008E0FDD">
              <w:rPr>
                <w:rFonts w:asciiTheme="minorHAnsi" w:hAnsiTheme="minorHAnsi" w:cstheme="minorHAnsi"/>
                <w:sz w:val="20"/>
                <w:szCs w:val="20"/>
              </w:rPr>
              <w:t xml:space="preserve"> SMT</w:t>
            </w:r>
            <w:r w:rsidRPr="00E32954">
              <w:rPr>
                <w:rFonts w:asciiTheme="minorHAnsi" w:hAnsiTheme="minorHAnsi" w:cstheme="minorHAnsi"/>
                <w:sz w:val="20"/>
                <w:szCs w:val="20"/>
              </w:rPr>
              <w:t>, CG,</w:t>
            </w:r>
            <w:r w:rsidR="007458AC">
              <w:rPr>
                <w:rFonts w:asciiTheme="minorHAnsi" w:hAnsiTheme="minorHAnsi" w:cstheme="minorHAnsi"/>
                <w:sz w:val="20"/>
                <w:szCs w:val="20"/>
              </w:rPr>
              <w:t xml:space="preserve"> </w:t>
            </w:r>
            <w:r w:rsidRPr="00E32954">
              <w:rPr>
                <w:rFonts w:asciiTheme="minorHAnsi" w:hAnsiTheme="minorHAnsi" w:cstheme="minorHAnsi"/>
                <w:sz w:val="20"/>
                <w:szCs w:val="20"/>
              </w:rPr>
              <w:t>RCs</w:t>
            </w:r>
            <w:r w:rsidR="00E159C1">
              <w:rPr>
                <w:rFonts w:asciiTheme="minorHAnsi" w:hAnsiTheme="minorHAnsi" w:cstheme="minorHAnsi"/>
                <w:sz w:val="20"/>
                <w:szCs w:val="20"/>
              </w:rPr>
              <w:t>,</w:t>
            </w:r>
            <w:r w:rsidRPr="00E32954">
              <w:rPr>
                <w:rFonts w:asciiTheme="minorHAnsi" w:hAnsiTheme="minorHAnsi" w:cstheme="minorHAnsi"/>
                <w:sz w:val="20"/>
                <w:szCs w:val="20"/>
              </w:rPr>
              <w:t xml:space="preserve"> TAG, Fleming Fellows, Fleming Fund partners</w:t>
            </w:r>
          </w:p>
        </w:tc>
        <w:tc>
          <w:tcPr>
            <w:tcW w:w="2783" w:type="dxa"/>
          </w:tcPr>
          <w:p w14:paraId="6B872B7B"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Findings and recommendations processed and reflected upon</w:t>
            </w:r>
          </w:p>
        </w:tc>
        <w:tc>
          <w:tcPr>
            <w:tcW w:w="1475" w:type="dxa"/>
          </w:tcPr>
          <w:p w14:paraId="3B9BEB7F" w14:textId="79B9F0B5" w:rsidR="00E30E4B" w:rsidRPr="00E32954" w:rsidRDefault="00E30E4B">
            <w:pPr>
              <w:rPr>
                <w:rFonts w:asciiTheme="minorHAnsi" w:hAnsiTheme="minorHAnsi" w:cstheme="minorBidi"/>
                <w:b/>
                <w:bCs/>
                <w:sz w:val="20"/>
                <w:szCs w:val="20"/>
              </w:rPr>
            </w:pPr>
            <w:r w:rsidRPr="650DCE97">
              <w:rPr>
                <w:rFonts w:asciiTheme="minorHAnsi" w:hAnsiTheme="minorHAnsi" w:cstheme="minorBidi"/>
                <w:sz w:val="20"/>
                <w:szCs w:val="20"/>
              </w:rPr>
              <w:t>Q</w:t>
            </w:r>
            <w:r w:rsidR="777939B5" w:rsidRPr="650DCE97">
              <w:rPr>
                <w:rFonts w:asciiTheme="minorHAnsi" w:hAnsiTheme="minorHAnsi" w:cstheme="minorBidi"/>
                <w:sz w:val="20"/>
                <w:szCs w:val="20"/>
              </w:rPr>
              <w:t>3</w:t>
            </w:r>
            <w:r w:rsidRPr="650DCE97">
              <w:rPr>
                <w:rFonts w:asciiTheme="minorHAnsi" w:hAnsiTheme="minorHAnsi" w:cstheme="minorBidi"/>
                <w:sz w:val="20"/>
                <w:szCs w:val="20"/>
              </w:rPr>
              <w:t xml:space="preserve"> 2023</w:t>
            </w:r>
          </w:p>
        </w:tc>
      </w:tr>
      <w:tr w:rsidR="007F7E7F" w14:paraId="1A280346" w14:textId="77777777" w:rsidTr="00E32954">
        <w:trPr>
          <w:cnfStyle w:val="000000100000" w:firstRow="0" w:lastRow="0" w:firstColumn="0" w:lastColumn="0" w:oddVBand="0" w:evenVBand="0" w:oddHBand="1" w:evenHBand="0" w:firstRowFirstColumn="0" w:firstRowLastColumn="0" w:lastRowFirstColumn="0" w:lastRowLastColumn="0"/>
          <w:trHeight w:val="20"/>
        </w:trPr>
        <w:tc>
          <w:tcPr>
            <w:tcW w:w="2587" w:type="dxa"/>
          </w:tcPr>
          <w:p w14:paraId="7BBE9775" w14:textId="52624514" w:rsidR="007F7E7F" w:rsidRPr="00E32954" w:rsidRDefault="007F7E7F">
            <w:pPr>
              <w:rPr>
                <w:rFonts w:asciiTheme="minorHAnsi" w:hAnsiTheme="minorHAnsi" w:cstheme="minorHAnsi"/>
                <w:b/>
                <w:sz w:val="20"/>
                <w:szCs w:val="20"/>
              </w:rPr>
            </w:pPr>
            <w:r>
              <w:rPr>
                <w:rFonts w:asciiTheme="minorHAnsi" w:hAnsiTheme="minorHAnsi" w:cstheme="minorHAnsi"/>
                <w:b/>
                <w:sz w:val="20"/>
                <w:szCs w:val="20"/>
              </w:rPr>
              <w:t>Support to strategic shift workshops</w:t>
            </w:r>
          </w:p>
        </w:tc>
        <w:tc>
          <w:tcPr>
            <w:tcW w:w="2280" w:type="dxa"/>
          </w:tcPr>
          <w:p w14:paraId="59C564E7" w14:textId="577A0966" w:rsidR="007F7E7F" w:rsidRPr="00E32954" w:rsidRDefault="007F7E7F">
            <w:pPr>
              <w:rPr>
                <w:rFonts w:asciiTheme="minorHAnsi" w:hAnsiTheme="minorHAnsi" w:cstheme="minorHAnsi"/>
                <w:sz w:val="20"/>
                <w:szCs w:val="20"/>
              </w:rPr>
            </w:pPr>
            <w:r>
              <w:rPr>
                <w:rFonts w:asciiTheme="minorHAnsi" w:hAnsiTheme="minorHAnsi" w:cstheme="minorHAnsi"/>
                <w:sz w:val="20"/>
                <w:szCs w:val="20"/>
              </w:rPr>
              <w:t>DHSC</w:t>
            </w:r>
            <w:r w:rsidR="008E0FDD">
              <w:rPr>
                <w:rFonts w:asciiTheme="minorHAnsi" w:hAnsiTheme="minorHAnsi" w:cstheme="minorHAnsi"/>
                <w:sz w:val="20"/>
                <w:szCs w:val="20"/>
              </w:rPr>
              <w:t xml:space="preserve">, TAG, </w:t>
            </w:r>
            <w:r w:rsidR="008E0FDD" w:rsidRPr="00E32954">
              <w:rPr>
                <w:rFonts w:asciiTheme="minorHAnsi" w:hAnsiTheme="minorHAnsi" w:cstheme="minorHAnsi"/>
                <w:sz w:val="20"/>
                <w:szCs w:val="20"/>
              </w:rPr>
              <w:t>Fleming Fund partners</w:t>
            </w:r>
            <w:r>
              <w:rPr>
                <w:rFonts w:asciiTheme="minorHAnsi" w:hAnsiTheme="minorHAnsi" w:cstheme="minorHAnsi"/>
                <w:sz w:val="20"/>
                <w:szCs w:val="20"/>
              </w:rPr>
              <w:t xml:space="preserve"> &amp; MA</w:t>
            </w:r>
            <w:r w:rsidR="008E0FDD">
              <w:rPr>
                <w:rFonts w:asciiTheme="minorHAnsi" w:hAnsiTheme="minorHAnsi" w:cstheme="minorHAnsi"/>
                <w:sz w:val="20"/>
                <w:szCs w:val="20"/>
              </w:rPr>
              <w:t xml:space="preserve"> SMT</w:t>
            </w:r>
          </w:p>
        </w:tc>
        <w:tc>
          <w:tcPr>
            <w:tcW w:w="2783" w:type="dxa"/>
          </w:tcPr>
          <w:p w14:paraId="04BCE66F" w14:textId="546A530D" w:rsidR="007F7E7F" w:rsidRPr="00E32954" w:rsidRDefault="294AD12E" w:rsidP="0033094D">
            <w:pPr>
              <w:rPr>
                <w:rFonts w:asciiTheme="minorHAnsi" w:hAnsiTheme="minorHAnsi" w:cstheme="minorBidi"/>
                <w:sz w:val="20"/>
                <w:szCs w:val="20"/>
              </w:rPr>
            </w:pPr>
            <w:r w:rsidRPr="650DCE97">
              <w:rPr>
                <w:rFonts w:asciiTheme="minorHAnsi" w:hAnsiTheme="minorHAnsi" w:cstheme="minorBidi"/>
                <w:sz w:val="20"/>
                <w:szCs w:val="20"/>
              </w:rPr>
              <w:t>Findings and recommendations processed and reflected upon</w:t>
            </w:r>
          </w:p>
        </w:tc>
        <w:tc>
          <w:tcPr>
            <w:tcW w:w="1475" w:type="dxa"/>
          </w:tcPr>
          <w:p w14:paraId="5DE0F51B" w14:textId="49A9E1FA" w:rsidR="007F7E7F" w:rsidRPr="00E32954" w:rsidRDefault="294AD12E">
            <w:pPr>
              <w:rPr>
                <w:rFonts w:asciiTheme="minorHAnsi" w:hAnsiTheme="minorHAnsi" w:cstheme="minorBidi"/>
                <w:sz w:val="20"/>
                <w:szCs w:val="20"/>
              </w:rPr>
            </w:pPr>
            <w:r w:rsidRPr="650DCE97">
              <w:rPr>
                <w:rFonts w:asciiTheme="minorHAnsi" w:hAnsiTheme="minorHAnsi" w:cstheme="minorBidi"/>
                <w:sz w:val="20"/>
                <w:szCs w:val="20"/>
              </w:rPr>
              <w:t>Q1 and Q2 2023</w:t>
            </w:r>
          </w:p>
        </w:tc>
      </w:tr>
      <w:tr w:rsidR="00E30E4B" w14:paraId="2459B669" w14:textId="77777777" w:rsidTr="00E32954">
        <w:trPr>
          <w:cnfStyle w:val="000000010000" w:firstRow="0" w:lastRow="0" w:firstColumn="0" w:lastColumn="0" w:oddVBand="0" w:evenVBand="0" w:oddHBand="0" w:evenHBand="1" w:firstRowFirstColumn="0" w:firstRowLastColumn="0" w:lastRowFirstColumn="0" w:lastRowLastColumn="0"/>
          <w:trHeight w:val="20"/>
        </w:trPr>
        <w:tc>
          <w:tcPr>
            <w:tcW w:w="2587" w:type="dxa"/>
          </w:tcPr>
          <w:p w14:paraId="6CB92F4A"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b/>
                <w:sz w:val="20"/>
                <w:szCs w:val="20"/>
              </w:rPr>
              <w:t>Adaptive management workshops</w:t>
            </w:r>
          </w:p>
        </w:tc>
        <w:tc>
          <w:tcPr>
            <w:tcW w:w="2280" w:type="dxa"/>
          </w:tcPr>
          <w:p w14:paraId="17580BF7" w14:textId="5EF6A07A"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DHSC &amp; MA</w:t>
            </w:r>
            <w:r w:rsidR="008E0FDD">
              <w:rPr>
                <w:rFonts w:asciiTheme="minorHAnsi" w:hAnsiTheme="minorHAnsi" w:cstheme="minorHAnsi"/>
                <w:sz w:val="20"/>
                <w:szCs w:val="20"/>
              </w:rPr>
              <w:t xml:space="preserve"> SMT</w:t>
            </w:r>
          </w:p>
        </w:tc>
        <w:tc>
          <w:tcPr>
            <w:tcW w:w="2783" w:type="dxa"/>
          </w:tcPr>
          <w:p w14:paraId="27CFD3BB"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Most important lessons and recommendations for course correction are agreed and actioned</w:t>
            </w:r>
          </w:p>
        </w:tc>
        <w:tc>
          <w:tcPr>
            <w:tcW w:w="1475" w:type="dxa"/>
          </w:tcPr>
          <w:p w14:paraId="6AFA6DF8" w14:textId="77777777" w:rsidR="00E30E4B" w:rsidRPr="00E32954" w:rsidRDefault="00E30E4B">
            <w:pPr>
              <w:rPr>
                <w:rFonts w:asciiTheme="minorHAnsi" w:hAnsiTheme="minorHAnsi" w:cstheme="minorHAnsi"/>
                <w:sz w:val="20"/>
                <w:szCs w:val="20"/>
              </w:rPr>
            </w:pPr>
          </w:p>
        </w:tc>
      </w:tr>
      <w:tr w:rsidR="00E30E4B" w14:paraId="671E3805" w14:textId="77777777" w:rsidTr="00E32954">
        <w:trPr>
          <w:cnfStyle w:val="000000100000" w:firstRow="0" w:lastRow="0" w:firstColumn="0" w:lastColumn="0" w:oddVBand="0" w:evenVBand="0" w:oddHBand="1" w:evenHBand="0" w:firstRowFirstColumn="0" w:firstRowLastColumn="0" w:lastRowFirstColumn="0" w:lastRowLastColumn="0"/>
          <w:trHeight w:val="20"/>
        </w:trPr>
        <w:tc>
          <w:tcPr>
            <w:tcW w:w="2587" w:type="dxa"/>
          </w:tcPr>
          <w:p w14:paraId="20B7A29A"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b/>
                <w:sz w:val="20"/>
                <w:szCs w:val="20"/>
              </w:rPr>
              <w:t>Internal communication material for DHSC</w:t>
            </w:r>
          </w:p>
        </w:tc>
        <w:tc>
          <w:tcPr>
            <w:tcW w:w="2280" w:type="dxa"/>
          </w:tcPr>
          <w:p w14:paraId="3FE5BA39" w14:textId="06931F2C"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 xml:space="preserve">DHSC, </w:t>
            </w:r>
            <w:r w:rsidR="008E0FDD">
              <w:rPr>
                <w:rFonts w:asciiTheme="minorHAnsi" w:hAnsiTheme="minorHAnsi" w:cstheme="minorHAnsi"/>
                <w:sz w:val="20"/>
                <w:szCs w:val="20"/>
              </w:rPr>
              <w:t xml:space="preserve">Special Envoy, </w:t>
            </w:r>
            <w:r w:rsidR="004C51E4">
              <w:rPr>
                <w:rFonts w:asciiTheme="minorHAnsi" w:hAnsiTheme="minorHAnsi" w:cstheme="minorHAnsi"/>
                <w:sz w:val="20"/>
                <w:szCs w:val="20"/>
              </w:rPr>
              <w:t>DHSC investment</w:t>
            </w:r>
            <w:r w:rsidR="00333B33">
              <w:rPr>
                <w:rFonts w:asciiTheme="minorHAnsi" w:hAnsiTheme="minorHAnsi" w:cstheme="minorHAnsi"/>
                <w:sz w:val="20"/>
                <w:szCs w:val="20"/>
              </w:rPr>
              <w:t xml:space="preserve"> committee,</w:t>
            </w:r>
            <w:r w:rsidR="004C51E4">
              <w:rPr>
                <w:rFonts w:asciiTheme="minorHAnsi" w:hAnsiTheme="minorHAnsi" w:cstheme="minorHAnsi"/>
                <w:sz w:val="20"/>
                <w:szCs w:val="20"/>
              </w:rPr>
              <w:t xml:space="preserve"> </w:t>
            </w:r>
            <w:r w:rsidRPr="00E32954">
              <w:rPr>
                <w:rFonts w:asciiTheme="minorHAnsi" w:hAnsiTheme="minorHAnsi" w:cstheme="minorHAnsi"/>
                <w:sz w:val="20"/>
                <w:szCs w:val="20"/>
              </w:rPr>
              <w:t>FCDO, HMT &amp; HMG</w:t>
            </w:r>
          </w:p>
        </w:tc>
        <w:tc>
          <w:tcPr>
            <w:tcW w:w="2783" w:type="dxa"/>
          </w:tcPr>
          <w:p w14:paraId="5B7575D3" w14:textId="3F36075E" w:rsidR="00E30E4B" w:rsidRPr="00E32954" w:rsidRDefault="00E30E4B" w:rsidP="00E159C1">
            <w:pPr>
              <w:rPr>
                <w:rFonts w:asciiTheme="minorHAnsi" w:hAnsiTheme="minorHAnsi" w:cstheme="minorHAnsi"/>
                <w:sz w:val="20"/>
                <w:szCs w:val="20"/>
              </w:rPr>
            </w:pPr>
            <w:r w:rsidRPr="00E32954">
              <w:rPr>
                <w:rFonts w:asciiTheme="minorHAnsi" w:hAnsiTheme="minorHAnsi" w:cstheme="minorHAnsi"/>
                <w:sz w:val="20"/>
                <w:szCs w:val="20"/>
              </w:rPr>
              <w:t xml:space="preserve">Key stakeholders fully informed and clear on recommendations which can be used to support decisions on future funding/design </w:t>
            </w:r>
          </w:p>
        </w:tc>
        <w:tc>
          <w:tcPr>
            <w:tcW w:w="1475" w:type="dxa"/>
          </w:tcPr>
          <w:p w14:paraId="44360302"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sz w:val="20"/>
                <w:szCs w:val="20"/>
              </w:rPr>
              <w:t>Q2 2023</w:t>
            </w:r>
          </w:p>
        </w:tc>
      </w:tr>
      <w:tr w:rsidR="00E30E4B" w14:paraId="37906794" w14:textId="77777777" w:rsidTr="00E32954">
        <w:trPr>
          <w:cnfStyle w:val="000000010000" w:firstRow="0" w:lastRow="0" w:firstColumn="0" w:lastColumn="0" w:oddVBand="0" w:evenVBand="0" w:oddHBand="0" w:evenHBand="1" w:firstRowFirstColumn="0" w:firstRowLastColumn="0" w:lastRowFirstColumn="0" w:lastRowLastColumn="0"/>
          <w:trHeight w:val="20"/>
        </w:trPr>
        <w:tc>
          <w:tcPr>
            <w:tcW w:w="2587" w:type="dxa"/>
          </w:tcPr>
          <w:p w14:paraId="0D57FEEC"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b/>
                <w:sz w:val="20"/>
                <w:szCs w:val="20"/>
              </w:rPr>
              <w:t xml:space="preserve">Academic paper (if felt to be relevant) </w:t>
            </w:r>
          </w:p>
        </w:tc>
        <w:tc>
          <w:tcPr>
            <w:tcW w:w="2280" w:type="dxa"/>
          </w:tcPr>
          <w:p w14:paraId="03DB54D1" w14:textId="3305F6D2"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 xml:space="preserve">Academic communities focused on AMR, GHS, policymaking, One Health </w:t>
            </w:r>
            <w:r w:rsidR="00E159C1" w:rsidRPr="00E32954">
              <w:rPr>
                <w:rFonts w:asciiTheme="minorHAnsi" w:hAnsiTheme="minorHAnsi" w:cstheme="minorHAnsi"/>
                <w:sz w:val="20"/>
                <w:szCs w:val="20"/>
              </w:rPr>
              <w:t>etc</w:t>
            </w:r>
            <w:r w:rsidR="00E159C1">
              <w:rPr>
                <w:rFonts w:asciiTheme="minorHAnsi" w:hAnsiTheme="minorHAnsi" w:cstheme="minorHAnsi"/>
                <w:sz w:val="20"/>
                <w:szCs w:val="20"/>
              </w:rPr>
              <w:t>.</w:t>
            </w:r>
          </w:p>
          <w:p w14:paraId="1051886E" w14:textId="77777777" w:rsidR="00E30E4B" w:rsidRPr="00E32954" w:rsidRDefault="00E30E4B">
            <w:pPr>
              <w:rPr>
                <w:rFonts w:asciiTheme="minorHAnsi" w:hAnsiTheme="minorHAnsi" w:cstheme="minorHAnsi"/>
                <w:sz w:val="20"/>
                <w:szCs w:val="20"/>
              </w:rPr>
            </w:pPr>
          </w:p>
        </w:tc>
        <w:tc>
          <w:tcPr>
            <w:tcW w:w="2783" w:type="dxa"/>
          </w:tcPr>
          <w:p w14:paraId="22EBA7C6"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Evidence processed and reflected upon</w:t>
            </w:r>
          </w:p>
          <w:p w14:paraId="44224FFA" w14:textId="6D54446A" w:rsidR="00E30E4B" w:rsidRPr="00E32954" w:rsidRDefault="00E30E4B" w:rsidP="00CB2351">
            <w:pPr>
              <w:rPr>
                <w:rFonts w:asciiTheme="minorHAnsi" w:hAnsiTheme="minorHAnsi" w:cstheme="minorHAnsi"/>
                <w:sz w:val="20"/>
                <w:szCs w:val="20"/>
              </w:rPr>
            </w:pPr>
            <w:r w:rsidRPr="00E32954">
              <w:rPr>
                <w:rFonts w:asciiTheme="minorHAnsi" w:hAnsiTheme="minorHAnsi" w:cstheme="minorHAnsi"/>
                <w:sz w:val="20"/>
                <w:szCs w:val="20"/>
              </w:rPr>
              <w:t>Lessons shared with audience to guide other AMR programmes</w:t>
            </w:r>
          </w:p>
        </w:tc>
        <w:tc>
          <w:tcPr>
            <w:tcW w:w="1475" w:type="dxa"/>
          </w:tcPr>
          <w:p w14:paraId="7362FCFD" w14:textId="77777777" w:rsidR="00E30E4B" w:rsidRPr="00E32954" w:rsidRDefault="00E30E4B">
            <w:pPr>
              <w:rPr>
                <w:rFonts w:asciiTheme="minorHAnsi" w:hAnsiTheme="minorHAnsi" w:cstheme="minorHAnsi"/>
                <w:b/>
                <w:sz w:val="20"/>
                <w:szCs w:val="20"/>
              </w:rPr>
            </w:pPr>
            <w:r w:rsidRPr="00E32954">
              <w:rPr>
                <w:rFonts w:asciiTheme="minorHAnsi" w:hAnsiTheme="minorHAnsi" w:cstheme="minorHAnsi"/>
                <w:sz w:val="20"/>
                <w:szCs w:val="20"/>
              </w:rPr>
              <w:t>Q3-4 2023</w:t>
            </w:r>
          </w:p>
        </w:tc>
      </w:tr>
      <w:tr w:rsidR="00E30E4B" w14:paraId="267D59A4" w14:textId="77777777" w:rsidTr="00E32954">
        <w:trPr>
          <w:cnfStyle w:val="000000100000" w:firstRow="0" w:lastRow="0" w:firstColumn="0" w:lastColumn="0" w:oddVBand="0" w:evenVBand="0" w:oddHBand="1" w:evenHBand="0" w:firstRowFirstColumn="0" w:firstRowLastColumn="0" w:lastRowFirstColumn="0" w:lastRowLastColumn="0"/>
          <w:trHeight w:val="20"/>
        </w:trPr>
        <w:tc>
          <w:tcPr>
            <w:tcW w:w="2587" w:type="dxa"/>
          </w:tcPr>
          <w:p w14:paraId="39E2615F" w14:textId="40CD6DED" w:rsidR="00E30E4B" w:rsidRPr="00E32954" w:rsidRDefault="00E30E4B">
            <w:pPr>
              <w:rPr>
                <w:rFonts w:asciiTheme="minorHAnsi" w:hAnsiTheme="minorHAnsi" w:cstheme="minorHAnsi"/>
                <w:b/>
                <w:sz w:val="20"/>
                <w:szCs w:val="20"/>
              </w:rPr>
            </w:pPr>
            <w:r w:rsidRPr="00E32954">
              <w:rPr>
                <w:rFonts w:asciiTheme="minorHAnsi" w:hAnsiTheme="minorHAnsi" w:cstheme="minorHAnsi"/>
                <w:b/>
                <w:sz w:val="20"/>
                <w:szCs w:val="20"/>
              </w:rPr>
              <w:t xml:space="preserve">Speaking slot at AMR conference or workshop – partnering with </w:t>
            </w:r>
            <w:r w:rsidR="00E159C1">
              <w:rPr>
                <w:rFonts w:asciiTheme="minorHAnsi" w:hAnsiTheme="minorHAnsi" w:cstheme="minorHAnsi"/>
                <w:b/>
                <w:sz w:val="20"/>
                <w:szCs w:val="20"/>
              </w:rPr>
              <w:t xml:space="preserve">the </w:t>
            </w:r>
            <w:r w:rsidRPr="00E32954">
              <w:rPr>
                <w:rFonts w:asciiTheme="minorHAnsi" w:hAnsiTheme="minorHAnsi" w:cstheme="minorHAnsi"/>
                <w:b/>
                <w:sz w:val="20"/>
                <w:szCs w:val="20"/>
              </w:rPr>
              <w:t>DHSC &amp; MA</w:t>
            </w:r>
          </w:p>
        </w:tc>
        <w:tc>
          <w:tcPr>
            <w:tcW w:w="2280" w:type="dxa"/>
          </w:tcPr>
          <w:p w14:paraId="3CBE53BA"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Aid agencies, international initiatives, other donors and organisations interested in funding AMR, wider AMR and One Health communities, other organisations and networks recommended by the TAG</w:t>
            </w:r>
          </w:p>
        </w:tc>
        <w:tc>
          <w:tcPr>
            <w:tcW w:w="2783" w:type="dxa"/>
          </w:tcPr>
          <w:p w14:paraId="32AEBD86" w14:textId="7C689D5F" w:rsidR="00E30E4B" w:rsidRPr="00E32954" w:rsidRDefault="00E30E4B" w:rsidP="0033094D">
            <w:pPr>
              <w:rPr>
                <w:rFonts w:asciiTheme="minorHAnsi" w:hAnsiTheme="minorHAnsi" w:cstheme="minorHAnsi"/>
                <w:sz w:val="20"/>
                <w:szCs w:val="20"/>
              </w:rPr>
            </w:pPr>
            <w:r w:rsidRPr="00E32954">
              <w:rPr>
                <w:rFonts w:asciiTheme="minorHAnsi" w:hAnsiTheme="minorHAnsi" w:cstheme="minorHAnsi"/>
                <w:sz w:val="20"/>
                <w:szCs w:val="20"/>
              </w:rPr>
              <w:t>Evidence processed and reflected upon. Lessons shared with audience to guide other AMR programmes</w:t>
            </w:r>
          </w:p>
        </w:tc>
        <w:tc>
          <w:tcPr>
            <w:tcW w:w="1475" w:type="dxa"/>
          </w:tcPr>
          <w:p w14:paraId="74A985C2" w14:textId="77777777" w:rsidR="00E30E4B" w:rsidRPr="00E32954" w:rsidRDefault="00E30E4B">
            <w:pPr>
              <w:rPr>
                <w:rFonts w:asciiTheme="minorHAnsi" w:hAnsiTheme="minorHAnsi" w:cstheme="minorHAnsi"/>
                <w:sz w:val="20"/>
                <w:szCs w:val="20"/>
              </w:rPr>
            </w:pPr>
            <w:r w:rsidRPr="00E32954">
              <w:rPr>
                <w:rFonts w:asciiTheme="minorHAnsi" w:hAnsiTheme="minorHAnsi" w:cstheme="minorHAnsi"/>
                <w:sz w:val="20"/>
                <w:szCs w:val="20"/>
              </w:rPr>
              <w:t>TBC – in 2023</w:t>
            </w:r>
          </w:p>
        </w:tc>
      </w:tr>
    </w:tbl>
    <w:p w14:paraId="084EF7F2" w14:textId="77777777" w:rsidR="000925C4" w:rsidRPr="000925C4" w:rsidRDefault="000925C4" w:rsidP="000925C4">
      <w:pPr>
        <w:pStyle w:val="ItadH3"/>
        <w:rPr>
          <w:lang w:val="en-GB"/>
        </w:rPr>
      </w:pPr>
      <w:bookmarkStart w:id="356" w:name="_Toc142383202"/>
      <w:r w:rsidRPr="000925C4">
        <w:rPr>
          <w:lang w:val="en-GB"/>
        </w:rPr>
        <w:t>Dependencies:</w:t>
      </w:r>
      <w:bookmarkEnd w:id="356"/>
    </w:p>
    <w:p w14:paraId="588AA953" w14:textId="77777777" w:rsidR="000925C4" w:rsidRDefault="000925C4" w:rsidP="000925C4">
      <w:pPr>
        <w:spacing w:before="100" w:beforeAutospacing="1" w:after="100" w:afterAutospacing="1"/>
      </w:pPr>
      <w:r>
        <w:t xml:space="preserve">Delivery of the outlined plan is based on a number of dependencies: </w:t>
      </w:r>
    </w:p>
    <w:p w14:paraId="5A8EA7A6" w14:textId="78D5195A" w:rsidR="000925C4" w:rsidRPr="000638DC" w:rsidRDefault="000925C4" w:rsidP="00C6374D">
      <w:pPr>
        <w:pStyle w:val="ListParagraph"/>
        <w:numPr>
          <w:ilvl w:val="0"/>
          <w:numId w:val="96"/>
        </w:numPr>
        <w:spacing w:before="100" w:beforeAutospacing="1" w:after="100" w:afterAutospacing="1"/>
      </w:pPr>
      <w:r>
        <w:t>T</w:t>
      </w:r>
      <w:r w:rsidRPr="000638DC">
        <w:t>ime available after the summative report is signed off for making available online via the Fleming Fund website</w:t>
      </w:r>
      <w:r w:rsidR="00CA2A50">
        <w:t>;</w:t>
      </w:r>
    </w:p>
    <w:p w14:paraId="2DC2649F" w14:textId="06DAB347" w:rsidR="000925C4" w:rsidRPr="00A31A21" w:rsidRDefault="000925C4" w:rsidP="00C6374D">
      <w:pPr>
        <w:pStyle w:val="ListParagraph"/>
        <w:numPr>
          <w:ilvl w:val="0"/>
          <w:numId w:val="96"/>
        </w:numPr>
        <w:spacing w:before="100" w:beforeAutospacing="1" w:after="100" w:afterAutospacing="1"/>
      </w:pPr>
      <w:r w:rsidRPr="00A31A21">
        <w:t xml:space="preserve">Approval from </w:t>
      </w:r>
      <w:r w:rsidR="00356020">
        <w:t xml:space="preserve">the </w:t>
      </w:r>
      <w:r w:rsidRPr="00A31A21">
        <w:t>DHSC on dissemination material</w:t>
      </w:r>
      <w:r w:rsidR="00CA2A50">
        <w:t>.</w:t>
      </w:r>
    </w:p>
    <w:p w14:paraId="113E8CB9" w14:textId="0A8310BE" w:rsidR="00E30E4B" w:rsidRPr="008E5462" w:rsidRDefault="00E30E4B" w:rsidP="000D4F0C">
      <w:pPr>
        <w:pStyle w:val="ItadH3"/>
        <w:rPr>
          <w:lang w:val="en-GB"/>
        </w:rPr>
      </w:pPr>
      <w:bookmarkStart w:id="357" w:name="_Toc118968561"/>
      <w:bookmarkStart w:id="358" w:name="_Toc142383203"/>
      <w:r w:rsidRPr="008E5462">
        <w:rPr>
          <w:lang w:val="en-GB"/>
        </w:rPr>
        <w:t>How we will monitor and report on learning and dissemination:</w:t>
      </w:r>
      <w:bookmarkEnd w:id="357"/>
      <w:bookmarkEnd w:id="358"/>
    </w:p>
    <w:p w14:paraId="27A94683" w14:textId="54D18FAA" w:rsidR="00E30E4B" w:rsidRDefault="00E30E4B" w:rsidP="00E30E4B">
      <w:r>
        <w:t xml:space="preserve">During </w:t>
      </w:r>
      <w:r w:rsidR="009E2AC2">
        <w:t>phase 2</w:t>
      </w:r>
      <w:r>
        <w:t xml:space="preserve"> of the Fleming Fund we intend to monitor and report on learning through: </w:t>
      </w:r>
    </w:p>
    <w:p w14:paraId="2402D700" w14:textId="50BD9331" w:rsidR="00E30E4B" w:rsidRDefault="00E30E4B" w:rsidP="00C6374D">
      <w:pPr>
        <w:pStyle w:val="ListParagraph"/>
        <w:numPr>
          <w:ilvl w:val="0"/>
          <w:numId w:val="78"/>
        </w:numPr>
      </w:pPr>
      <w:r>
        <w:t xml:space="preserve">Quarterly reviews of the six-month joint </w:t>
      </w:r>
      <w:r w:rsidR="00FB10B9">
        <w:t>work plan</w:t>
      </w:r>
      <w:r>
        <w:t xml:space="preserve"> for </w:t>
      </w:r>
      <w:r w:rsidR="00356020">
        <w:t xml:space="preserve">the </w:t>
      </w:r>
      <w:r w:rsidR="005B5B44">
        <w:t>MA</w:t>
      </w:r>
      <w:r>
        <w:t xml:space="preserve"> and Itad, using these to discuss joint opportunities for learning and dissemination. </w:t>
      </w:r>
    </w:p>
    <w:p w14:paraId="1BFED273" w14:textId="19AEE29A" w:rsidR="00E30E4B" w:rsidRDefault="00E30E4B" w:rsidP="00C6374D">
      <w:pPr>
        <w:pStyle w:val="ListParagraph"/>
        <w:numPr>
          <w:ilvl w:val="0"/>
          <w:numId w:val="78"/>
        </w:numPr>
      </w:pPr>
      <w:r>
        <w:t>Six-monthly reviews with</w:t>
      </w:r>
      <w:r w:rsidR="00CA2A50">
        <w:t xml:space="preserve"> the</w:t>
      </w:r>
      <w:r>
        <w:t xml:space="preserve"> DHSC, specifically of the Learning</w:t>
      </w:r>
      <w:r w:rsidR="00DA6EA8">
        <w:t xml:space="preserve"> and </w:t>
      </w:r>
      <w:r>
        <w:t xml:space="preserve">Dissemination </w:t>
      </w:r>
      <w:r w:rsidR="00FB10B9">
        <w:t>work plan</w:t>
      </w:r>
      <w:r>
        <w:t xml:space="preserve"> for the year ahead, this will help us </w:t>
      </w:r>
      <w:r w:rsidR="006E78B5" w:rsidRPr="006E78B5">
        <w:t xml:space="preserve">to time and prioritise </w:t>
      </w:r>
      <w:r>
        <w:t xml:space="preserve">activities. </w:t>
      </w:r>
    </w:p>
    <w:p w14:paraId="19DC4924" w14:textId="4CCD97C8" w:rsidR="00E30E4B" w:rsidRPr="00B44218" w:rsidRDefault="00E30E4B" w:rsidP="00C6374D">
      <w:pPr>
        <w:pStyle w:val="ListParagraph"/>
        <w:numPr>
          <w:ilvl w:val="0"/>
          <w:numId w:val="78"/>
        </w:numPr>
        <w:rPr>
          <w:b/>
          <w:bCs/>
        </w:rPr>
      </w:pPr>
      <w:r>
        <w:t>Itad will be submitting quarterly and annual reports to</w:t>
      </w:r>
      <w:r w:rsidR="003A57DC">
        <w:t xml:space="preserve"> the</w:t>
      </w:r>
      <w:r>
        <w:t xml:space="preserve"> DHSC and we propose including a section on Learning and Dissemination: progress against the activities for the period covered, activities planned for the forthcoming one, highlights/challenges/lessons learned and a report on uptake indicators.</w:t>
      </w:r>
    </w:p>
    <w:p w14:paraId="32EEA8DF" w14:textId="77777777" w:rsidR="00E30E4B" w:rsidRDefault="00E30E4B" w:rsidP="00E30E4B">
      <w:pPr>
        <w:spacing w:before="100" w:beforeAutospacing="1" w:after="100" w:afterAutospacing="1"/>
      </w:pPr>
      <w:r>
        <w:t xml:space="preserve">Our monitoring and reporting serve the dual needs of: </w:t>
      </w:r>
    </w:p>
    <w:p w14:paraId="08D12EBC" w14:textId="77777777" w:rsidR="00E30E4B" w:rsidRDefault="00E30E4B" w:rsidP="00C6374D">
      <w:pPr>
        <w:pStyle w:val="ListParagraph"/>
        <w:numPr>
          <w:ilvl w:val="0"/>
          <w:numId w:val="77"/>
        </w:numPr>
        <w:spacing w:before="100" w:beforeAutospacing="1" w:after="100" w:afterAutospacing="1"/>
      </w:pPr>
      <w:r>
        <w:t>Keeping the plan on track and relevant</w:t>
      </w:r>
    </w:p>
    <w:p w14:paraId="5BFA8CDB" w14:textId="06816206" w:rsidR="00E30E4B" w:rsidRDefault="00E30E4B" w:rsidP="00C6374D">
      <w:pPr>
        <w:pStyle w:val="ListParagraph"/>
        <w:numPr>
          <w:ilvl w:val="0"/>
          <w:numId w:val="77"/>
        </w:numPr>
        <w:spacing w:before="100" w:beforeAutospacing="1" w:after="100" w:afterAutospacing="1"/>
      </w:pPr>
      <w:r>
        <w:t xml:space="preserve">Sharing successes, challenges and learning which will help us make improvements to our use and influence plan in </w:t>
      </w:r>
      <w:r w:rsidR="009E2AC2">
        <w:t>phase 2</w:t>
      </w:r>
      <w:r>
        <w:t>.</w:t>
      </w:r>
    </w:p>
    <w:p w14:paraId="728CCD17" w14:textId="111A67B9" w:rsidR="00EE5B29" w:rsidRPr="00B44218" w:rsidRDefault="00EE5B29" w:rsidP="007F63EF">
      <w:pPr>
        <w:spacing w:before="100" w:beforeAutospacing="1" w:after="100" w:afterAutospacing="1"/>
        <w:ind w:left="360"/>
      </w:pPr>
      <w:r>
        <w:rPr>
          <w:noProof/>
        </w:rPr>
        <mc:AlternateContent>
          <mc:Choice Requires="wps">
            <w:drawing>
              <wp:anchor distT="0" distB="0" distL="114300" distR="114300" simplePos="0" relativeHeight="251658246" behindDoc="0" locked="0" layoutInCell="1" allowOverlap="1" wp14:anchorId="20C5146D" wp14:editId="05B71D22">
                <wp:simplePos x="0" y="0"/>
                <wp:positionH relativeFrom="column">
                  <wp:posOffset>136850</wp:posOffset>
                </wp:positionH>
                <wp:positionV relativeFrom="paragraph">
                  <wp:posOffset>230343</wp:posOffset>
                </wp:positionV>
                <wp:extent cx="2838450" cy="635"/>
                <wp:effectExtent l="0" t="0" r="0" b="0"/>
                <wp:wrapTopAndBottom/>
                <wp:docPr id="7" name="Text Box 7"/>
                <wp:cNvGraphicFramePr/>
                <a:graphic xmlns:a="http://schemas.openxmlformats.org/drawingml/2006/main">
                  <a:graphicData uri="http://schemas.microsoft.com/office/word/2010/wordprocessingShape">
                    <wps:wsp>
                      <wps:cNvSpPr txBox="1"/>
                      <wps:spPr>
                        <a:xfrm>
                          <a:off x="0" y="0"/>
                          <a:ext cx="2838450" cy="635"/>
                        </a:xfrm>
                        <a:prstGeom prst="rect">
                          <a:avLst/>
                        </a:prstGeom>
                        <a:solidFill>
                          <a:prstClr val="white"/>
                        </a:solidFill>
                        <a:ln>
                          <a:noFill/>
                        </a:ln>
                      </wps:spPr>
                      <wps:txbx>
                        <w:txbxContent>
                          <w:p w14:paraId="7778A2E0" w14:textId="5A96981A" w:rsidR="007F1B4B" w:rsidRPr="007F1B4B" w:rsidRDefault="007F1B4B" w:rsidP="00C04C3C">
                            <w:pPr>
                              <w:pStyle w:val="ItadCaption"/>
                              <w:rPr>
                                <w:b/>
                                <w:bCs/>
                                <w:noProof/>
                                <w:sz w:val="24"/>
                                <w:szCs w:val="24"/>
                              </w:rPr>
                            </w:pPr>
                            <w:bookmarkStart w:id="359" w:name="_Ref118378735"/>
                            <w:bookmarkStart w:id="360" w:name="_Ref118378712"/>
                            <w:bookmarkStart w:id="361" w:name="_Toc143858082"/>
                            <w:r>
                              <w:t xml:space="preserve">Figure </w:t>
                            </w:r>
                            <w:r>
                              <w:fldChar w:fldCharType="begin"/>
                            </w:r>
                            <w:r>
                              <w:instrText>SEQ Figure \* ARABIC</w:instrText>
                            </w:r>
                            <w:r>
                              <w:fldChar w:fldCharType="separate"/>
                            </w:r>
                            <w:r w:rsidR="00777FDB">
                              <w:rPr>
                                <w:noProof/>
                              </w:rPr>
                              <w:t>28</w:t>
                            </w:r>
                            <w:r>
                              <w:fldChar w:fldCharType="end"/>
                            </w:r>
                            <w:bookmarkEnd w:id="359"/>
                            <w:r w:rsidR="00F15F6B">
                              <w:t xml:space="preserve"> </w:t>
                            </w:r>
                            <w:r w:rsidRPr="00631F52">
                              <w:t>Hierarchy of learning uptake indicators</w:t>
                            </w:r>
                            <w:bookmarkEnd w:id="360"/>
                            <w:bookmarkEnd w:id="3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0C5146D" id="Text Box 7" o:spid="_x0000_s1033" type="#_x0000_t202" style="position:absolute;left:0;text-align:left;margin-left:10.8pt;margin-top:18.15pt;width:223.5pt;height:.05pt;z-index:25165824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" stroked="f">
                <v:textbox style="mso-fit-shape-to-text:t" inset="0,0,0,0">
                  <w:txbxContent>
                    <w:p w14:paraId="7778A2E0" w14:textId="5A96981A" w:rsidR="007F1B4B" w:rsidRPr="007F1B4B" w:rsidRDefault="007F1B4B" w:rsidP="00C04C3C">
                      <w:pPr>
                        <w:pStyle w:val="ItadCaption"/>
                        <w:rPr>
                          <w:b/>
                          <w:bCs/>
                          <w:noProof/>
                          <w:sz w:val="24"/>
                          <w:szCs w:val="24"/>
                        </w:rPr>
                      </w:pPr>
                      <w:bookmarkStart w:id="362" w:name="_Ref118378735"/>
                      <w:bookmarkStart w:id="363" w:name="_Ref118378712"/>
                      <w:bookmarkStart w:id="364" w:name="_Toc143858082"/>
                      <w:r>
                        <w:t xml:space="preserve">Figure </w:t>
                      </w:r>
                      <w:r>
                        <w:fldChar w:fldCharType="begin"/>
                      </w:r>
                      <w:r>
                        <w:instrText>SEQ Figure \* ARABIC</w:instrText>
                      </w:r>
                      <w:r>
                        <w:fldChar w:fldCharType="separate"/>
                      </w:r>
                      <w:r w:rsidR="00777FDB">
                        <w:rPr>
                          <w:noProof/>
                        </w:rPr>
                        <w:t>28</w:t>
                      </w:r>
                      <w:r>
                        <w:fldChar w:fldCharType="end"/>
                      </w:r>
                      <w:bookmarkEnd w:id="362"/>
                      <w:r w:rsidR="00F15F6B">
                        <w:t xml:space="preserve"> </w:t>
                      </w:r>
                      <w:r w:rsidRPr="00631F52">
                        <w:t>Hierarchy of learning uptake indicators</w:t>
                      </w:r>
                      <w:bookmarkEnd w:id="363"/>
                      <w:bookmarkEnd w:id="364"/>
                    </w:p>
                  </w:txbxContent>
                </v:textbox>
                <w10:wrap type="topAndBottom"/>
              </v:shape>
            </w:pict>
          </mc:Fallback>
        </mc:AlternateContent>
      </w:r>
    </w:p>
    <w:p w14:paraId="565EC4E1" w14:textId="0FCEBA06" w:rsidR="00FE74BA" w:rsidRDefault="00FE74BA" w:rsidP="0001364D">
      <w:pPr>
        <w:rPr>
          <w:noProof/>
        </w:rPr>
      </w:pPr>
      <w:bookmarkStart w:id="365" w:name="_Toc119937401"/>
      <w:bookmarkStart w:id="366" w:name="_Toc118968562"/>
      <w:r w:rsidRPr="00FE74BA">
        <w:rPr>
          <w:noProof/>
        </w:rPr>
        <w:t xml:space="preserve"> </w:t>
      </w:r>
      <w:r>
        <w:rPr>
          <w:noProof/>
        </w:rPr>
        <w:drawing>
          <wp:inline distT="0" distB="0" distL="0" distR="0" wp14:anchorId="4490C7B9" wp14:editId="4C8DD91F">
            <wp:extent cx="2468155" cy="2520950"/>
            <wp:effectExtent l="0" t="0" r="8890" b="0"/>
            <wp:docPr id="1415503940" name="Picture 14155039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503940" name="Picture 1415503940" descr="Diagram&#10;&#10;Description automatically generated"/>
                    <pic:cNvPicPr/>
                  </pic:nvPicPr>
                  <pic:blipFill>
                    <a:blip r:embed="rId95"/>
                    <a:stretch>
                      <a:fillRect/>
                    </a:stretch>
                  </pic:blipFill>
                  <pic:spPr>
                    <a:xfrm>
                      <a:off x="0" y="0"/>
                      <a:ext cx="2483095" cy="2536210"/>
                    </a:xfrm>
                    <a:prstGeom prst="rect">
                      <a:avLst/>
                    </a:prstGeom>
                  </pic:spPr>
                </pic:pic>
              </a:graphicData>
            </a:graphic>
          </wp:inline>
        </w:drawing>
      </w:r>
      <w:bookmarkEnd w:id="365"/>
    </w:p>
    <w:p w14:paraId="08C32C7C" w14:textId="77777777" w:rsidR="00EE5B29" w:rsidRDefault="00EE5B29" w:rsidP="007F63EF">
      <w:pPr>
        <w:rPr>
          <w:noProof/>
        </w:rPr>
      </w:pPr>
    </w:p>
    <w:p w14:paraId="68261A58" w14:textId="734A53A9" w:rsidR="00E30E4B" w:rsidRPr="006409BF" w:rsidRDefault="00E30E4B" w:rsidP="000D4F0C">
      <w:pPr>
        <w:pStyle w:val="ItadH3"/>
        <w:rPr>
          <w:lang w:val="en-GB"/>
        </w:rPr>
      </w:pPr>
      <w:bookmarkStart w:id="367" w:name="_Toc142383204"/>
      <w:r w:rsidRPr="006409BF">
        <w:rPr>
          <w:lang w:val="en-GB"/>
        </w:rPr>
        <w:t xml:space="preserve">Proposed indicators for </w:t>
      </w:r>
      <w:r w:rsidR="00764EB0" w:rsidRPr="006409BF">
        <w:rPr>
          <w:lang w:val="en-GB"/>
        </w:rPr>
        <w:t>learning and dissemination activities</w:t>
      </w:r>
      <w:bookmarkEnd w:id="366"/>
      <w:bookmarkEnd w:id="367"/>
      <w:r w:rsidR="00764EB0" w:rsidRPr="006409BF">
        <w:rPr>
          <w:lang w:val="en-GB"/>
        </w:rPr>
        <w:t xml:space="preserve"> </w:t>
      </w:r>
    </w:p>
    <w:p w14:paraId="21272270" w14:textId="08EF4B6A" w:rsidR="00E30E4B" w:rsidRDefault="00E30E4B" w:rsidP="00E30E4B">
      <w:bookmarkStart w:id="368" w:name="_Hlk129482532"/>
      <w:r>
        <w:t xml:space="preserve">The activities in this plan are ultimately aimed at encouraging </w:t>
      </w:r>
      <w:r w:rsidR="00D1440F">
        <w:t xml:space="preserve">the </w:t>
      </w:r>
      <w:r>
        <w:t>uptake of learning from the evaluation and our approach to this is built on an understanding of information behaviour – how people encounter and engage with information. Our reading of the stages of learning uptake is shown in</w:t>
      </w:r>
      <w:r w:rsidR="007F1B4B">
        <w:t xml:space="preserve"> </w:t>
      </w:r>
      <w:r w:rsidR="007F1B4B">
        <w:fldChar w:fldCharType="begin"/>
      </w:r>
      <w:r w:rsidR="007F1B4B">
        <w:instrText xml:space="preserve"> REF _Ref118378735 \h </w:instrText>
      </w:r>
      <w:r w:rsidR="007F1B4B">
        <w:fldChar w:fldCharType="separate"/>
      </w:r>
      <w:r w:rsidR="009A383C">
        <w:t xml:space="preserve">Figure </w:t>
      </w:r>
      <w:r w:rsidR="009A383C">
        <w:rPr>
          <w:noProof/>
        </w:rPr>
        <w:t>28</w:t>
      </w:r>
      <w:r w:rsidR="007F1B4B">
        <w:fldChar w:fldCharType="end"/>
      </w:r>
      <w:r w:rsidR="007F1B4B">
        <w:t>.</w:t>
      </w:r>
      <w:r>
        <w:t xml:space="preserve"> It recognises the many barriers that can lead to learning being used by a small proportion of th</w:t>
      </w:r>
      <w:r w:rsidR="00AA4E6E">
        <w:t>o</w:t>
      </w:r>
      <w:r>
        <w:t>se to whom it was made available. While our plan focuses on trying to respond to as many of these barriers as possible e.g. directing people to information at a time when they need it, there will be some attrition and a limit to what we can monitor. In the context of this evaluation, successful uptake begins with Itad making learning available in appropriate formats and through appropriate channels e.g. producing an evaluation report and uploading it to the Fleming Fund and Itad’s website</w:t>
      </w:r>
      <w:r w:rsidR="00EE5B29">
        <w:t>,</w:t>
      </w:r>
      <w:r>
        <w:t xml:space="preserve"> and ends when the reader or listener has processed the information and decided that it is of value to them (or to other people) for evidence-informed practice or decision-making. Our indicators for monitoring the learning and dissemination activities are linked to these stages and include a set of indicators on client satisfaction with Itad’s </w:t>
      </w:r>
      <w:r w:rsidR="0001364D">
        <w:t>activities.</w:t>
      </w:r>
    </w:p>
    <w:bookmarkEnd w:id="368"/>
    <w:p w14:paraId="0F5943D9" w14:textId="53D98796" w:rsidR="00AA1983" w:rsidRDefault="00AA1983" w:rsidP="00E30E4B">
      <w:pPr>
        <w:rPr>
          <w:b/>
          <w:bCs/>
        </w:rPr>
      </w:pPr>
    </w:p>
    <w:p w14:paraId="5B3370CA" w14:textId="77777777" w:rsidR="00EE5B29" w:rsidRDefault="00EE5B29" w:rsidP="00E30E4B">
      <w:pPr>
        <w:rPr>
          <w:b/>
          <w:bCs/>
        </w:rPr>
      </w:pPr>
    </w:p>
    <w:p w14:paraId="7560EB71" w14:textId="4DC8AB44" w:rsidR="00E30E4B" w:rsidRDefault="00AA1983" w:rsidP="00C04C3C">
      <w:pPr>
        <w:pStyle w:val="ItadCaption"/>
        <w:rPr>
          <w:b/>
          <w:bCs/>
        </w:rPr>
      </w:pPr>
      <w:bookmarkStart w:id="369" w:name="_Toc143857917"/>
      <w:r>
        <w:t xml:space="preserve">Table </w:t>
      </w:r>
      <w:r>
        <w:fldChar w:fldCharType="begin"/>
      </w:r>
      <w:r>
        <w:instrText>SEQ Table \* ARABIC</w:instrText>
      </w:r>
      <w:r>
        <w:fldChar w:fldCharType="separate"/>
      </w:r>
      <w:r w:rsidR="009A383C">
        <w:rPr>
          <w:noProof/>
        </w:rPr>
        <w:t>49</w:t>
      </w:r>
      <w:r>
        <w:fldChar w:fldCharType="end"/>
      </w:r>
      <w:r>
        <w:t xml:space="preserve"> Proposed indicators for L&amp;D Activities</w:t>
      </w:r>
      <w:bookmarkEnd w:id="369"/>
    </w:p>
    <w:tbl>
      <w:tblPr>
        <w:tblStyle w:val="ItadGreenHeaderRow"/>
        <w:tblW w:w="9776" w:type="dxa"/>
        <w:tblLook w:val="04A0" w:firstRow="1" w:lastRow="0" w:firstColumn="1" w:lastColumn="0" w:noHBand="0" w:noVBand="1"/>
      </w:tblPr>
      <w:tblGrid>
        <w:gridCol w:w="2122"/>
        <w:gridCol w:w="5244"/>
        <w:gridCol w:w="2410"/>
      </w:tblGrid>
      <w:tr w:rsidR="00E30E4B" w:rsidRPr="00AA1983" w14:paraId="6BC9CDB6" w14:textId="77777777" w:rsidTr="00BB4743">
        <w:trPr>
          <w:cnfStyle w:val="100000000000" w:firstRow="1" w:lastRow="0" w:firstColumn="0" w:lastColumn="0" w:oddVBand="0" w:evenVBand="0" w:oddHBand="0" w:evenHBand="0" w:firstRowFirstColumn="0" w:firstRowLastColumn="0" w:lastRowFirstColumn="0" w:lastRowLastColumn="0"/>
          <w:tblHeader/>
        </w:trPr>
        <w:tc>
          <w:tcPr>
            <w:tcW w:w="0" w:type="dxa"/>
          </w:tcPr>
          <w:p w14:paraId="22353634" w14:textId="77777777" w:rsidR="00E30E4B" w:rsidRPr="00BB4743" w:rsidRDefault="00E30E4B">
            <w:pPr>
              <w:rPr>
                <w:b/>
                <w:bCs/>
                <w:sz w:val="20"/>
                <w:szCs w:val="20"/>
              </w:rPr>
            </w:pPr>
            <w:r w:rsidRPr="00BB4743">
              <w:rPr>
                <w:b/>
                <w:bCs/>
                <w:sz w:val="20"/>
                <w:szCs w:val="20"/>
              </w:rPr>
              <w:t>Category of Uptake</w:t>
            </w:r>
          </w:p>
        </w:tc>
        <w:tc>
          <w:tcPr>
            <w:tcW w:w="0" w:type="dxa"/>
          </w:tcPr>
          <w:p w14:paraId="6E6D2EF2" w14:textId="77777777" w:rsidR="00E30E4B" w:rsidRPr="00BB4743" w:rsidRDefault="00E30E4B">
            <w:pPr>
              <w:rPr>
                <w:b/>
                <w:bCs/>
                <w:sz w:val="20"/>
                <w:szCs w:val="20"/>
              </w:rPr>
            </w:pPr>
            <w:r w:rsidRPr="00BB4743">
              <w:rPr>
                <w:b/>
                <w:bCs/>
                <w:sz w:val="20"/>
                <w:szCs w:val="20"/>
              </w:rPr>
              <w:t xml:space="preserve">Indicators </w:t>
            </w:r>
          </w:p>
        </w:tc>
        <w:tc>
          <w:tcPr>
            <w:tcW w:w="0" w:type="dxa"/>
          </w:tcPr>
          <w:p w14:paraId="6DAEF3BF" w14:textId="77777777" w:rsidR="00E30E4B" w:rsidRPr="00BB4743" w:rsidRDefault="00E30E4B">
            <w:pPr>
              <w:rPr>
                <w:b/>
                <w:bCs/>
                <w:sz w:val="20"/>
                <w:szCs w:val="20"/>
              </w:rPr>
            </w:pPr>
            <w:r w:rsidRPr="00BB4743">
              <w:rPr>
                <w:b/>
                <w:bCs/>
                <w:sz w:val="20"/>
                <w:szCs w:val="20"/>
              </w:rPr>
              <w:t>Data sources</w:t>
            </w:r>
          </w:p>
        </w:tc>
      </w:tr>
      <w:tr w:rsidR="00E30E4B" w14:paraId="29F46E4F" w14:textId="77777777" w:rsidTr="000D4F0C">
        <w:trPr>
          <w:cnfStyle w:val="000000100000" w:firstRow="0" w:lastRow="0" w:firstColumn="0" w:lastColumn="0" w:oddVBand="0" w:evenVBand="0" w:oddHBand="1" w:evenHBand="0" w:firstRowFirstColumn="0" w:firstRowLastColumn="0" w:lastRowFirstColumn="0" w:lastRowLastColumn="0"/>
        </w:trPr>
        <w:tc>
          <w:tcPr>
            <w:tcW w:w="2122" w:type="dxa"/>
          </w:tcPr>
          <w:p w14:paraId="37E5AB8A" w14:textId="77777777" w:rsidR="00E30E4B" w:rsidRPr="00E32954" w:rsidRDefault="00E30E4B">
            <w:pPr>
              <w:rPr>
                <w:sz w:val="20"/>
                <w:szCs w:val="20"/>
              </w:rPr>
            </w:pPr>
            <w:r w:rsidRPr="00E32954">
              <w:rPr>
                <w:sz w:val="20"/>
                <w:szCs w:val="20"/>
              </w:rPr>
              <w:t>Learning from the evaluation is made available</w:t>
            </w:r>
          </w:p>
        </w:tc>
        <w:tc>
          <w:tcPr>
            <w:tcW w:w="5244" w:type="dxa"/>
          </w:tcPr>
          <w:p w14:paraId="00F2A0AF" w14:textId="77777777" w:rsidR="00E30E4B" w:rsidRPr="00E32954" w:rsidRDefault="00E30E4B" w:rsidP="00C6374D">
            <w:pPr>
              <w:pStyle w:val="ListParagraph"/>
              <w:numPr>
                <w:ilvl w:val="0"/>
                <w:numId w:val="83"/>
              </w:numPr>
              <w:rPr>
                <w:sz w:val="20"/>
                <w:szCs w:val="20"/>
              </w:rPr>
            </w:pPr>
            <w:r w:rsidRPr="00E32954">
              <w:rPr>
                <w:sz w:val="20"/>
                <w:szCs w:val="20"/>
              </w:rPr>
              <w:t>Number of open access publications and other learning products published online.</w:t>
            </w:r>
          </w:p>
          <w:p w14:paraId="770AFAFD" w14:textId="77777777" w:rsidR="00E30E4B" w:rsidRPr="00E32954" w:rsidRDefault="00E30E4B" w:rsidP="00C6374D">
            <w:pPr>
              <w:pStyle w:val="ListParagraph"/>
              <w:numPr>
                <w:ilvl w:val="0"/>
                <w:numId w:val="83"/>
              </w:numPr>
              <w:rPr>
                <w:sz w:val="20"/>
                <w:szCs w:val="20"/>
              </w:rPr>
            </w:pPr>
            <w:r w:rsidRPr="00E32954">
              <w:rPr>
                <w:sz w:val="20"/>
                <w:szCs w:val="20"/>
              </w:rPr>
              <w:t xml:space="preserve">Reach of promotional activities about publications put online. </w:t>
            </w:r>
          </w:p>
          <w:p w14:paraId="7B4BBC8F" w14:textId="7A2CF8F9" w:rsidR="00E30E4B" w:rsidRPr="00E32954" w:rsidRDefault="00E30E4B" w:rsidP="00C6374D">
            <w:pPr>
              <w:pStyle w:val="ListParagraph"/>
              <w:numPr>
                <w:ilvl w:val="0"/>
                <w:numId w:val="83"/>
              </w:numPr>
              <w:rPr>
                <w:sz w:val="20"/>
                <w:szCs w:val="20"/>
              </w:rPr>
            </w:pPr>
            <w:r w:rsidRPr="00E32954">
              <w:rPr>
                <w:sz w:val="20"/>
                <w:szCs w:val="20"/>
              </w:rPr>
              <w:t>Distribution of publications (sent direct</w:t>
            </w:r>
            <w:r w:rsidR="00A25356">
              <w:rPr>
                <w:sz w:val="20"/>
                <w:szCs w:val="20"/>
              </w:rPr>
              <w:t>ly</w:t>
            </w:r>
            <w:r w:rsidRPr="00E32954">
              <w:rPr>
                <w:sz w:val="20"/>
                <w:szCs w:val="20"/>
              </w:rPr>
              <w:t xml:space="preserve">, put in repositories, </w:t>
            </w:r>
            <w:r w:rsidR="00A25356">
              <w:rPr>
                <w:sz w:val="20"/>
                <w:szCs w:val="20"/>
              </w:rPr>
              <w:t xml:space="preserve">or </w:t>
            </w:r>
            <w:r w:rsidRPr="00E32954">
              <w:rPr>
                <w:sz w:val="20"/>
                <w:szCs w:val="20"/>
              </w:rPr>
              <w:t>on webpages)</w:t>
            </w:r>
          </w:p>
          <w:p w14:paraId="238DC10C" w14:textId="77777777" w:rsidR="00E30E4B" w:rsidRPr="00E32954" w:rsidRDefault="00E30E4B" w:rsidP="00C6374D">
            <w:pPr>
              <w:pStyle w:val="ListParagraph"/>
              <w:numPr>
                <w:ilvl w:val="0"/>
                <w:numId w:val="83"/>
              </w:numPr>
              <w:rPr>
                <w:sz w:val="20"/>
                <w:szCs w:val="20"/>
              </w:rPr>
            </w:pPr>
            <w:r w:rsidRPr="00E32954">
              <w:rPr>
                <w:sz w:val="20"/>
                <w:szCs w:val="20"/>
              </w:rPr>
              <w:t>Number of events at which learning from the programme is shared.</w:t>
            </w:r>
          </w:p>
        </w:tc>
        <w:tc>
          <w:tcPr>
            <w:tcW w:w="2410" w:type="dxa"/>
          </w:tcPr>
          <w:p w14:paraId="1033B005" w14:textId="77777777" w:rsidR="00E30E4B" w:rsidRPr="00E32954" w:rsidRDefault="00E30E4B">
            <w:pPr>
              <w:rPr>
                <w:sz w:val="20"/>
                <w:szCs w:val="20"/>
              </w:rPr>
            </w:pPr>
            <w:r w:rsidRPr="00E32954">
              <w:rPr>
                <w:sz w:val="20"/>
                <w:szCs w:val="20"/>
              </w:rPr>
              <w:t>Itad quarterly reports, social media statistics (followers), website statistics (views and visits).</w:t>
            </w:r>
          </w:p>
        </w:tc>
      </w:tr>
      <w:tr w:rsidR="00E30E4B" w14:paraId="483960AF" w14:textId="77777777" w:rsidTr="000D4F0C">
        <w:trPr>
          <w:cnfStyle w:val="000000010000" w:firstRow="0" w:lastRow="0" w:firstColumn="0" w:lastColumn="0" w:oddVBand="0" w:evenVBand="0" w:oddHBand="0" w:evenHBand="1" w:firstRowFirstColumn="0" w:firstRowLastColumn="0" w:lastRowFirstColumn="0" w:lastRowLastColumn="0"/>
        </w:trPr>
        <w:tc>
          <w:tcPr>
            <w:tcW w:w="2122" w:type="dxa"/>
          </w:tcPr>
          <w:p w14:paraId="213892E9" w14:textId="77777777" w:rsidR="00E30E4B" w:rsidRPr="00E32954" w:rsidRDefault="00E30E4B">
            <w:pPr>
              <w:rPr>
                <w:sz w:val="20"/>
                <w:szCs w:val="20"/>
              </w:rPr>
            </w:pPr>
            <w:r w:rsidRPr="00E32954">
              <w:rPr>
                <w:sz w:val="20"/>
                <w:szCs w:val="20"/>
              </w:rPr>
              <w:t>Learning from the evaluation is accessed</w:t>
            </w:r>
          </w:p>
        </w:tc>
        <w:tc>
          <w:tcPr>
            <w:tcW w:w="5244" w:type="dxa"/>
          </w:tcPr>
          <w:p w14:paraId="1268AFB1" w14:textId="14A26F31" w:rsidR="00E30E4B" w:rsidRPr="00E32954" w:rsidRDefault="00E30E4B" w:rsidP="00C6374D">
            <w:pPr>
              <w:pStyle w:val="ListParagraph"/>
              <w:numPr>
                <w:ilvl w:val="0"/>
                <w:numId w:val="83"/>
              </w:numPr>
              <w:rPr>
                <w:sz w:val="20"/>
                <w:szCs w:val="20"/>
              </w:rPr>
            </w:pPr>
            <w:r w:rsidRPr="00E32954">
              <w:rPr>
                <w:sz w:val="20"/>
                <w:szCs w:val="20"/>
              </w:rPr>
              <w:t xml:space="preserve">Number of </w:t>
            </w:r>
            <w:r w:rsidR="00B06891">
              <w:rPr>
                <w:sz w:val="20"/>
                <w:szCs w:val="20"/>
              </w:rPr>
              <w:t>views / engagements</w:t>
            </w:r>
            <w:r w:rsidRPr="00E32954">
              <w:rPr>
                <w:sz w:val="20"/>
                <w:szCs w:val="20"/>
              </w:rPr>
              <w:t xml:space="preserve"> made of publications.</w:t>
            </w:r>
          </w:p>
          <w:p w14:paraId="5528D1DF" w14:textId="77777777" w:rsidR="00E30E4B" w:rsidRPr="00E32954" w:rsidRDefault="00E30E4B" w:rsidP="00C6374D">
            <w:pPr>
              <w:pStyle w:val="ListParagraph"/>
              <w:numPr>
                <w:ilvl w:val="0"/>
                <w:numId w:val="83"/>
              </w:numPr>
              <w:rPr>
                <w:sz w:val="20"/>
                <w:szCs w:val="20"/>
              </w:rPr>
            </w:pPr>
            <w:r w:rsidRPr="00E32954">
              <w:rPr>
                <w:sz w:val="20"/>
                <w:szCs w:val="20"/>
              </w:rPr>
              <w:t xml:space="preserve">Number of people attending events/sessions where programme learning is shared. </w:t>
            </w:r>
          </w:p>
        </w:tc>
        <w:tc>
          <w:tcPr>
            <w:tcW w:w="2410" w:type="dxa"/>
          </w:tcPr>
          <w:p w14:paraId="1A08372C" w14:textId="77777777" w:rsidR="00E30E4B" w:rsidRPr="00E32954" w:rsidRDefault="00E30E4B">
            <w:pPr>
              <w:rPr>
                <w:sz w:val="20"/>
                <w:szCs w:val="20"/>
              </w:rPr>
            </w:pPr>
            <w:r w:rsidRPr="00E32954">
              <w:rPr>
                <w:sz w:val="20"/>
                <w:szCs w:val="20"/>
              </w:rPr>
              <w:t>Website statistics, Itad quarterly reports.</w:t>
            </w:r>
          </w:p>
        </w:tc>
      </w:tr>
      <w:tr w:rsidR="00E30E4B" w14:paraId="08E4539D" w14:textId="77777777" w:rsidTr="000D4F0C">
        <w:trPr>
          <w:cnfStyle w:val="000000100000" w:firstRow="0" w:lastRow="0" w:firstColumn="0" w:lastColumn="0" w:oddVBand="0" w:evenVBand="0" w:oddHBand="1" w:evenHBand="0" w:firstRowFirstColumn="0" w:firstRowLastColumn="0" w:lastRowFirstColumn="0" w:lastRowLastColumn="0"/>
        </w:trPr>
        <w:tc>
          <w:tcPr>
            <w:tcW w:w="2122" w:type="dxa"/>
          </w:tcPr>
          <w:p w14:paraId="5C3F0146" w14:textId="77777777" w:rsidR="00E30E4B" w:rsidRPr="00E32954" w:rsidRDefault="00E30E4B">
            <w:pPr>
              <w:rPr>
                <w:sz w:val="20"/>
                <w:szCs w:val="20"/>
              </w:rPr>
            </w:pPr>
            <w:r w:rsidRPr="00E32954">
              <w:rPr>
                <w:sz w:val="20"/>
                <w:szCs w:val="20"/>
              </w:rPr>
              <w:t>Learning from the evaluation is read, heard or discussed</w:t>
            </w:r>
          </w:p>
        </w:tc>
        <w:tc>
          <w:tcPr>
            <w:tcW w:w="5244" w:type="dxa"/>
          </w:tcPr>
          <w:p w14:paraId="1BEF72E0" w14:textId="77777777" w:rsidR="00E30E4B" w:rsidRPr="00E32954" w:rsidRDefault="00E30E4B" w:rsidP="00C6374D">
            <w:pPr>
              <w:pStyle w:val="ListParagraph"/>
              <w:numPr>
                <w:ilvl w:val="0"/>
                <w:numId w:val="83"/>
              </w:numPr>
              <w:rPr>
                <w:sz w:val="20"/>
                <w:szCs w:val="20"/>
              </w:rPr>
            </w:pPr>
            <w:r w:rsidRPr="00E32954">
              <w:rPr>
                <w:sz w:val="20"/>
                <w:szCs w:val="20"/>
              </w:rPr>
              <w:t>Responses on Twitter and other social media</w:t>
            </w:r>
          </w:p>
          <w:p w14:paraId="4C16C255" w14:textId="77777777" w:rsidR="00E30E4B" w:rsidRPr="00E32954" w:rsidRDefault="00E30E4B" w:rsidP="00C6374D">
            <w:pPr>
              <w:pStyle w:val="ListParagraph"/>
              <w:numPr>
                <w:ilvl w:val="0"/>
                <w:numId w:val="83"/>
              </w:numPr>
              <w:rPr>
                <w:sz w:val="20"/>
                <w:szCs w:val="20"/>
              </w:rPr>
            </w:pPr>
            <w:r w:rsidRPr="00E32954">
              <w:rPr>
                <w:sz w:val="20"/>
                <w:szCs w:val="20"/>
              </w:rPr>
              <w:t>Number and nature of questions or comments made in response to presentations/during roundtables, etc.</w:t>
            </w:r>
          </w:p>
        </w:tc>
        <w:tc>
          <w:tcPr>
            <w:tcW w:w="2410" w:type="dxa"/>
          </w:tcPr>
          <w:p w14:paraId="202A113F" w14:textId="77777777" w:rsidR="00E30E4B" w:rsidRPr="00E32954" w:rsidRDefault="00E30E4B">
            <w:pPr>
              <w:rPr>
                <w:sz w:val="20"/>
                <w:szCs w:val="20"/>
              </w:rPr>
            </w:pPr>
            <w:r w:rsidRPr="00E32954">
              <w:rPr>
                <w:sz w:val="20"/>
                <w:szCs w:val="20"/>
              </w:rPr>
              <w:t>Monitoring blogs, social media statistics, Itad quarterly reports.</w:t>
            </w:r>
          </w:p>
        </w:tc>
      </w:tr>
      <w:tr w:rsidR="00E30E4B" w14:paraId="118055DA" w14:textId="77777777" w:rsidTr="000D4F0C">
        <w:trPr>
          <w:cnfStyle w:val="000000010000" w:firstRow="0" w:lastRow="0" w:firstColumn="0" w:lastColumn="0" w:oddVBand="0" w:evenVBand="0" w:oddHBand="0" w:evenHBand="1" w:firstRowFirstColumn="0" w:firstRowLastColumn="0" w:lastRowFirstColumn="0" w:lastRowLastColumn="0"/>
        </w:trPr>
        <w:tc>
          <w:tcPr>
            <w:tcW w:w="2122" w:type="dxa"/>
          </w:tcPr>
          <w:p w14:paraId="3A686A94" w14:textId="77777777" w:rsidR="00E30E4B" w:rsidRPr="00E32954" w:rsidRDefault="00E30E4B">
            <w:pPr>
              <w:rPr>
                <w:sz w:val="20"/>
                <w:szCs w:val="20"/>
              </w:rPr>
            </w:pPr>
            <w:r w:rsidRPr="00E32954">
              <w:rPr>
                <w:sz w:val="20"/>
                <w:szCs w:val="20"/>
              </w:rPr>
              <w:t>Learning from the evaluation is valued</w:t>
            </w:r>
          </w:p>
        </w:tc>
        <w:tc>
          <w:tcPr>
            <w:tcW w:w="5244" w:type="dxa"/>
          </w:tcPr>
          <w:p w14:paraId="52CD809D" w14:textId="07AE8020" w:rsidR="00E30E4B" w:rsidRPr="00E32954" w:rsidRDefault="00E30E4B" w:rsidP="00C6374D">
            <w:pPr>
              <w:pStyle w:val="ListParagraph"/>
              <w:numPr>
                <w:ilvl w:val="0"/>
                <w:numId w:val="83"/>
              </w:numPr>
              <w:rPr>
                <w:sz w:val="20"/>
                <w:szCs w:val="20"/>
              </w:rPr>
            </w:pPr>
            <w:r w:rsidRPr="00E32954">
              <w:rPr>
                <w:sz w:val="20"/>
                <w:szCs w:val="20"/>
              </w:rPr>
              <w:t>Number of times products</w:t>
            </w:r>
            <w:r w:rsidR="00A25356">
              <w:rPr>
                <w:sz w:val="20"/>
                <w:szCs w:val="20"/>
              </w:rPr>
              <w:t xml:space="preserve"> are</w:t>
            </w:r>
            <w:r w:rsidRPr="00E32954">
              <w:rPr>
                <w:sz w:val="20"/>
                <w:szCs w:val="20"/>
              </w:rPr>
              <w:t xml:space="preserve"> referenced in other publications, event proceedings, online discussions, etc. </w:t>
            </w:r>
          </w:p>
          <w:p w14:paraId="30CBE080" w14:textId="47B5D978" w:rsidR="00E30E4B" w:rsidRPr="00E32954" w:rsidRDefault="00E30E4B" w:rsidP="00C6374D">
            <w:pPr>
              <w:pStyle w:val="ListParagraph"/>
              <w:numPr>
                <w:ilvl w:val="0"/>
                <w:numId w:val="83"/>
              </w:numPr>
              <w:rPr>
                <w:sz w:val="20"/>
                <w:szCs w:val="20"/>
              </w:rPr>
            </w:pPr>
            <w:r w:rsidRPr="00E32954">
              <w:rPr>
                <w:sz w:val="20"/>
                <w:szCs w:val="20"/>
              </w:rPr>
              <w:t xml:space="preserve">Number of times products </w:t>
            </w:r>
            <w:r w:rsidR="00A25356">
              <w:rPr>
                <w:sz w:val="20"/>
                <w:szCs w:val="20"/>
              </w:rPr>
              <w:t xml:space="preserve">are </w:t>
            </w:r>
            <w:r w:rsidRPr="00E32954">
              <w:rPr>
                <w:sz w:val="20"/>
                <w:szCs w:val="20"/>
              </w:rPr>
              <w:t>shared by readers, with others (e.g. posted to</w:t>
            </w:r>
            <w:r w:rsidR="00C371A8">
              <w:rPr>
                <w:sz w:val="20"/>
                <w:szCs w:val="20"/>
              </w:rPr>
              <w:t xml:space="preserve"> the</w:t>
            </w:r>
            <w:r w:rsidRPr="00E32954">
              <w:rPr>
                <w:sz w:val="20"/>
                <w:szCs w:val="20"/>
              </w:rPr>
              <w:t xml:space="preserve"> online community by someone outside of the programme).</w:t>
            </w:r>
          </w:p>
          <w:p w14:paraId="187063B2" w14:textId="7C8411AB" w:rsidR="00E30E4B" w:rsidRPr="00E32954" w:rsidRDefault="00E30E4B" w:rsidP="00C6374D">
            <w:pPr>
              <w:pStyle w:val="ListParagraph"/>
              <w:numPr>
                <w:ilvl w:val="0"/>
                <w:numId w:val="83"/>
              </w:numPr>
              <w:rPr>
                <w:sz w:val="20"/>
                <w:szCs w:val="20"/>
              </w:rPr>
            </w:pPr>
            <w:r w:rsidRPr="00E32954">
              <w:rPr>
                <w:sz w:val="20"/>
                <w:szCs w:val="20"/>
              </w:rPr>
              <w:t>DHSC satisfaction with Itad-facilitated events</w:t>
            </w:r>
            <w:r w:rsidR="00C371A8">
              <w:rPr>
                <w:sz w:val="20"/>
                <w:szCs w:val="20"/>
              </w:rPr>
              <w:t>.</w:t>
            </w:r>
          </w:p>
          <w:p w14:paraId="2AAD6B4C" w14:textId="489C3BC5" w:rsidR="00E30E4B" w:rsidRPr="00E32954" w:rsidRDefault="00E30E4B" w:rsidP="00C6374D">
            <w:pPr>
              <w:pStyle w:val="ListParagraph"/>
              <w:numPr>
                <w:ilvl w:val="0"/>
                <w:numId w:val="83"/>
              </w:numPr>
              <w:rPr>
                <w:sz w:val="20"/>
                <w:szCs w:val="20"/>
              </w:rPr>
            </w:pPr>
            <w:r w:rsidRPr="00E32954">
              <w:rPr>
                <w:sz w:val="20"/>
                <w:szCs w:val="20"/>
              </w:rPr>
              <w:t xml:space="preserve">DHSC satisfaction with usefulness of materials produced and presentations, and Itad’s ability to respond to reasonable requests for </w:t>
            </w:r>
            <w:r w:rsidR="00EE5B29" w:rsidRPr="00E32954">
              <w:rPr>
                <w:sz w:val="20"/>
                <w:szCs w:val="20"/>
              </w:rPr>
              <w:t>support.</w:t>
            </w:r>
          </w:p>
          <w:p w14:paraId="59FA0EF6" w14:textId="657B849A" w:rsidR="00E30E4B" w:rsidRPr="00E32954" w:rsidRDefault="005B5B44" w:rsidP="00C6374D">
            <w:pPr>
              <w:pStyle w:val="ListParagraph"/>
              <w:numPr>
                <w:ilvl w:val="0"/>
                <w:numId w:val="83"/>
              </w:numPr>
              <w:rPr>
                <w:sz w:val="20"/>
                <w:szCs w:val="20"/>
              </w:rPr>
            </w:pPr>
            <w:r w:rsidRPr="00E32954">
              <w:rPr>
                <w:sz w:val="20"/>
                <w:szCs w:val="20"/>
              </w:rPr>
              <w:t>MA</w:t>
            </w:r>
            <w:r w:rsidR="00BE2072">
              <w:rPr>
                <w:sz w:val="20"/>
                <w:szCs w:val="20"/>
              </w:rPr>
              <w:t>’s</w:t>
            </w:r>
            <w:r w:rsidR="00E30E4B" w:rsidRPr="00E32954">
              <w:rPr>
                <w:sz w:val="20"/>
                <w:szCs w:val="20"/>
              </w:rPr>
              <w:t xml:space="preserve"> feedback that evaluation reports and country trip debriefs are useful and used to inform their management of grants.</w:t>
            </w:r>
          </w:p>
        </w:tc>
        <w:tc>
          <w:tcPr>
            <w:tcW w:w="2410" w:type="dxa"/>
          </w:tcPr>
          <w:p w14:paraId="691CD0BA" w14:textId="5F9E4402" w:rsidR="00E30E4B" w:rsidRPr="00E32954" w:rsidRDefault="00E30E4B">
            <w:pPr>
              <w:rPr>
                <w:sz w:val="20"/>
                <w:szCs w:val="20"/>
              </w:rPr>
            </w:pPr>
            <w:r w:rsidRPr="00E32954">
              <w:rPr>
                <w:sz w:val="20"/>
                <w:szCs w:val="20"/>
              </w:rPr>
              <w:t xml:space="preserve">Social media discussions, feedback from stakeholders, links and references made to Itad outputs, feedback from DHSC and </w:t>
            </w:r>
            <w:r w:rsidR="005B5B44" w:rsidRPr="00E32954">
              <w:rPr>
                <w:sz w:val="20"/>
                <w:szCs w:val="20"/>
              </w:rPr>
              <w:t>MA</w:t>
            </w:r>
            <w:r w:rsidRPr="00E32954">
              <w:rPr>
                <w:sz w:val="20"/>
                <w:szCs w:val="20"/>
              </w:rPr>
              <w:t xml:space="preserve">, quarterly meetings with </w:t>
            </w:r>
            <w:r w:rsidR="005B5B44" w:rsidRPr="00E32954">
              <w:rPr>
                <w:sz w:val="20"/>
                <w:szCs w:val="20"/>
              </w:rPr>
              <w:t>MA</w:t>
            </w:r>
            <w:r w:rsidRPr="00E32954">
              <w:rPr>
                <w:sz w:val="20"/>
                <w:szCs w:val="20"/>
              </w:rPr>
              <w:t>, follow-up country visits.</w:t>
            </w:r>
          </w:p>
        </w:tc>
      </w:tr>
    </w:tbl>
    <w:p w14:paraId="036A3D5A" w14:textId="77777777" w:rsidR="00E30E4B" w:rsidRDefault="00E30E4B" w:rsidP="00E30E4B">
      <w:pPr>
        <w:rPr>
          <w:b/>
          <w:bCs/>
        </w:rPr>
      </w:pPr>
    </w:p>
    <w:p w14:paraId="1DC05F2B" w14:textId="77777777" w:rsidR="00E30E4B" w:rsidRPr="00B44218" w:rsidRDefault="00E30E4B" w:rsidP="00E30E4B">
      <w:pPr>
        <w:spacing w:before="100" w:beforeAutospacing="1" w:after="100" w:afterAutospacing="1"/>
      </w:pPr>
    </w:p>
    <w:p w14:paraId="03ECD9CF" w14:textId="77777777" w:rsidR="00E30E4B" w:rsidRPr="00E30E4B" w:rsidRDefault="00E30E4B" w:rsidP="00E30E4B">
      <w:pPr>
        <w:pStyle w:val="ItadNormalText"/>
      </w:pPr>
    </w:p>
    <w:p w14:paraId="43C5DCD0" w14:textId="77777777" w:rsidR="0064424E" w:rsidRPr="0064424E" w:rsidRDefault="0064424E" w:rsidP="0064424E">
      <w:pPr>
        <w:pStyle w:val="ItadNormalText"/>
      </w:pPr>
    </w:p>
    <w:p w14:paraId="1002A69C" w14:textId="0F1C9F68" w:rsidR="008629F5" w:rsidRDefault="008629F5" w:rsidP="00C7080A">
      <w:pPr>
        <w:rPr>
          <w:color w:val="000000"/>
        </w:rPr>
        <w:sectPr w:rsidR="008629F5">
          <w:pgSz w:w="11900" w:h="16840"/>
          <w:pgMar w:top="1134" w:right="1191" w:bottom="1134" w:left="1191" w:header="720" w:footer="680" w:gutter="0"/>
          <w:cols w:space="720"/>
        </w:sectPr>
      </w:pPr>
    </w:p>
    <w:p w14:paraId="1D63AB37" w14:textId="4041E8E9" w:rsidR="007C65F2" w:rsidRDefault="007C65F2" w:rsidP="007C65F2">
      <w:pPr>
        <w:pStyle w:val="ItadH1Numbered"/>
        <w:numPr>
          <w:ilvl w:val="0"/>
          <w:numId w:val="0"/>
        </w:numPr>
      </w:pPr>
      <w:bookmarkStart w:id="370" w:name="_Toc118968563"/>
      <w:bookmarkStart w:id="371" w:name="_Toc142383205"/>
      <w:r w:rsidRPr="007C65F2">
        <w:t xml:space="preserve">Annex </w:t>
      </w:r>
      <w:r w:rsidR="000D4F0C">
        <w:t>1</w:t>
      </w:r>
      <w:r w:rsidR="00A70655">
        <w:t>8</w:t>
      </w:r>
      <w:r w:rsidRPr="007C65F2">
        <w:t xml:space="preserve">: Fleming Fund </w:t>
      </w:r>
      <w:r w:rsidR="0033094D">
        <w:t>p</w:t>
      </w:r>
      <w:r>
        <w:t xml:space="preserve">rogramme </w:t>
      </w:r>
      <w:r w:rsidR="0033094D">
        <w:t>theory of change</w:t>
      </w:r>
      <w:bookmarkEnd w:id="370"/>
      <w:bookmarkEnd w:id="371"/>
    </w:p>
    <w:p w14:paraId="0C93FA44" w14:textId="27217666" w:rsidR="007F1B4B" w:rsidRDefault="007B2A9B" w:rsidP="00DA710E">
      <w:pPr>
        <w:pStyle w:val="ItadNormalText"/>
      </w:pPr>
      <w:r>
        <w:t xml:space="preserve">Following </w:t>
      </w:r>
      <w:r w:rsidR="003672DE">
        <w:t xml:space="preserve">the </w:t>
      </w:r>
      <w:r>
        <w:t xml:space="preserve">submission of the first formative evaluation report in January 2019, </w:t>
      </w:r>
      <w:r w:rsidR="00E71FF5">
        <w:t xml:space="preserve">Itad supported </w:t>
      </w:r>
      <w:r w:rsidR="003672DE">
        <w:t xml:space="preserve">the </w:t>
      </w:r>
      <w:r w:rsidR="00E71FF5">
        <w:t xml:space="preserve">DHSC to set out a portfolio-level </w:t>
      </w:r>
      <w:r w:rsidR="003672DE">
        <w:t xml:space="preserve">theory of change </w:t>
      </w:r>
      <w:r>
        <w:t>for the Fleming Fund in mid-2019.</w:t>
      </w:r>
      <w:r w:rsidR="00C86D6A">
        <w:rPr>
          <w:rStyle w:val="FootnoteReference"/>
        </w:rPr>
        <w:footnoteReference w:id="64"/>
      </w:r>
      <w:r>
        <w:t xml:space="preserve"> This was revised in December 2021</w:t>
      </w:r>
      <w:r w:rsidR="007A6C4A">
        <w:t xml:space="preserve"> along with a </w:t>
      </w:r>
      <w:r w:rsidR="00531478">
        <w:t>ToC narrative to describe the intervention logic</w:t>
      </w:r>
      <w:r>
        <w:t>.</w:t>
      </w:r>
      <w:r w:rsidR="00534881">
        <w:t xml:space="preserve"> The narrative was developed in partnership with </w:t>
      </w:r>
      <w:r w:rsidR="00534881" w:rsidRPr="00534881">
        <w:t xml:space="preserve">DHSC </w:t>
      </w:r>
      <w:r w:rsidR="00534881">
        <w:t>but has not</w:t>
      </w:r>
      <w:r w:rsidR="00534881" w:rsidRPr="00534881">
        <w:t xml:space="preserve"> been published </w:t>
      </w:r>
      <w:r w:rsidR="00534881">
        <w:t xml:space="preserve">to date so is not included here. </w:t>
      </w:r>
      <w:r w:rsidR="00534881" w:rsidRPr="00534881">
        <w:t xml:space="preserve"> </w:t>
      </w:r>
      <w:r w:rsidR="00CF7AEF">
        <w:rPr>
          <w:noProof/>
        </w:rPr>
        <w:drawing>
          <wp:inline distT="0" distB="0" distL="0" distR="0" wp14:anchorId="1A794E7E" wp14:editId="36945317">
            <wp:extent cx="8183267" cy="4271962"/>
            <wp:effectExtent l="0" t="0" r="8255" b="0"/>
            <wp:docPr id="12" name="Picture 12" descr="A picture containing text, watch&#10;&#10;Description automatically generated">
              <a:extLst xmlns:a="http://schemas.openxmlformats.org/drawingml/2006/main">
                <a:ext uri="{FF2B5EF4-FFF2-40B4-BE49-F238E27FC236}">
                  <a16:creationId xmlns:a16="http://schemas.microsoft.com/office/drawing/2014/main" id="{8D8F421C-4D62-42F8-8814-2EB7263289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watch&#10;&#10;Description automatically generated">
                      <a:extLst>
                        <a:ext uri="{FF2B5EF4-FFF2-40B4-BE49-F238E27FC236}">
                          <a16:creationId xmlns:a16="http://schemas.microsoft.com/office/drawing/2014/main" id="{8D8F421C-4D62-42F8-8814-2EB72632896D}"/>
                        </a:ext>
                      </a:extLst>
                    </pic:cNvPr>
                    <pic:cNvPicPr>
                      <a:picLocks noChangeAspect="1"/>
                    </pic:cNvPicPr>
                  </pic:nvPicPr>
                  <pic:blipFill>
                    <a:blip r:embed="rId96"/>
                    <a:stretch>
                      <a:fillRect/>
                    </a:stretch>
                  </pic:blipFill>
                  <pic:spPr>
                    <a:xfrm>
                      <a:off x="0" y="0"/>
                      <a:ext cx="8198106" cy="4279709"/>
                    </a:xfrm>
                    <a:prstGeom prst="rect">
                      <a:avLst/>
                    </a:prstGeom>
                  </pic:spPr>
                </pic:pic>
              </a:graphicData>
            </a:graphic>
          </wp:inline>
        </w:drawing>
      </w:r>
    </w:p>
    <w:p w14:paraId="502A5D29" w14:textId="5146D364" w:rsidR="00956057" w:rsidRDefault="007F1B4B" w:rsidP="007F63EF">
      <w:pPr>
        <w:pStyle w:val="ItadCaption"/>
        <w:rPr>
          <w:lang w:eastAsia="en-GB"/>
        </w:rPr>
        <w:sectPr w:rsidR="00956057" w:rsidSect="00CF7AEF">
          <w:pgSz w:w="16840" w:h="11900" w:orient="landscape"/>
          <w:pgMar w:top="1191" w:right="1134" w:bottom="1191" w:left="1134" w:header="720" w:footer="255" w:gutter="0"/>
          <w:cols w:space="720"/>
          <w:titlePg/>
          <w:docGrid w:linePitch="360"/>
        </w:sectPr>
      </w:pPr>
      <w:bookmarkStart w:id="372" w:name="_Toc143858083"/>
      <w:r>
        <w:t xml:space="preserve">Figure </w:t>
      </w:r>
      <w:r>
        <w:rPr>
          <w:color w:val="767171" w:themeColor="background2" w:themeShade="80"/>
          <w:lang w:eastAsia="en-GB"/>
        </w:rPr>
        <w:fldChar w:fldCharType="begin"/>
      </w:r>
      <w:r>
        <w:instrText>SEQ Figure \* ARABIC</w:instrText>
      </w:r>
      <w:r>
        <w:rPr>
          <w:color w:val="767171" w:themeColor="background2" w:themeShade="80"/>
          <w:lang w:eastAsia="en-GB"/>
        </w:rPr>
        <w:fldChar w:fldCharType="separate"/>
      </w:r>
      <w:r w:rsidR="009A383C">
        <w:rPr>
          <w:noProof/>
        </w:rPr>
        <w:t>29</w:t>
      </w:r>
      <w:r>
        <w:rPr>
          <w:color w:val="767171" w:themeColor="background2" w:themeShade="80"/>
          <w:lang w:eastAsia="en-GB"/>
        </w:rPr>
        <w:fldChar w:fldCharType="end"/>
      </w:r>
      <w:r w:rsidR="00F15F6B">
        <w:t xml:space="preserve"> </w:t>
      </w:r>
      <w:r w:rsidRPr="00BD369E">
        <w:t>Fleming Fund ToC diagram</w:t>
      </w:r>
      <w:bookmarkEnd w:id="372"/>
    </w:p>
    <w:bookmarkStart w:id="373" w:name="_Toc142383206" w:displacedByCustomXml="next"/>
    <w:sdt>
      <w:sdtPr>
        <w:rPr>
          <w:color w:val="3B3B3C" w:themeColor="text1"/>
          <w:sz w:val="22"/>
          <w:szCs w:val="22"/>
        </w:rPr>
        <w:id w:val="-2128146896"/>
        <w:docPartObj>
          <w:docPartGallery w:val="Bibliographies"/>
          <w:docPartUnique/>
        </w:docPartObj>
      </w:sdtPr>
      <w:sdtEndPr>
        <w:rPr>
          <w:color w:val="auto"/>
        </w:rPr>
      </w:sdtEndPr>
      <w:sdtContent>
        <w:p w14:paraId="05C6AAE0" w14:textId="180D7ABD" w:rsidR="005F3C9D" w:rsidRPr="0003374C" w:rsidRDefault="00092361" w:rsidP="0003374C">
          <w:pPr>
            <w:pStyle w:val="Heading1"/>
            <w:numPr>
              <w:ilvl w:val="0"/>
              <w:numId w:val="0"/>
            </w:numPr>
            <w:rPr>
              <w:b/>
              <w:bCs/>
              <w:color w:val="588B46" w:themeColor="text2"/>
            </w:rPr>
          </w:pPr>
          <w:r w:rsidRPr="00BE2903">
            <w:rPr>
              <w:rStyle w:val="ItadH1Char"/>
            </w:rPr>
            <w:t xml:space="preserve">Annex </w:t>
          </w:r>
          <w:r w:rsidR="00A70655" w:rsidRPr="00BE2903">
            <w:rPr>
              <w:rStyle w:val="ItadH1Char"/>
            </w:rPr>
            <w:t>19</w:t>
          </w:r>
          <w:r w:rsidRPr="00BE2903">
            <w:rPr>
              <w:rStyle w:val="ItadH1Char"/>
            </w:rPr>
            <w:t xml:space="preserve">: </w:t>
          </w:r>
          <w:r w:rsidR="005F3C9D" w:rsidRPr="00BE2903">
            <w:rPr>
              <w:rStyle w:val="ItadH1Char"/>
            </w:rPr>
            <w:t>Bibliography</w:t>
          </w:r>
          <w:bookmarkEnd w:id="373"/>
        </w:p>
        <w:sdt>
          <w:sdtPr>
            <w:rPr>
              <w:color w:val="3B3B3C" w:themeColor="text1"/>
            </w:rPr>
            <w:id w:val="111145805"/>
            <w:bibliography/>
          </w:sdtPr>
          <w:sdtEndPr>
            <w:rPr>
              <w:color w:val="auto"/>
            </w:rPr>
          </w:sdtEndPr>
          <w:sdtContent>
            <w:p w14:paraId="46CE8432" w14:textId="77777777" w:rsidR="009A383C" w:rsidRDefault="005F3C9D" w:rsidP="009A383C">
              <w:pPr>
                <w:pStyle w:val="Bibliography"/>
                <w:ind w:left="720" w:hanging="720"/>
                <w:rPr>
                  <w:noProof/>
                  <w:sz w:val="24"/>
                  <w:szCs w:val="24"/>
                </w:rPr>
              </w:pPr>
              <w:r w:rsidRPr="0003374C">
                <w:rPr>
                  <w:rFonts w:eastAsia="Calibri" w:cs="Times New Roman"/>
                </w:rPr>
                <w:fldChar w:fldCharType="begin"/>
              </w:r>
              <w:r>
                <w:instrText xml:space="preserve"> BIBLIOGRAPHY </w:instrText>
              </w:r>
              <w:r w:rsidRPr="0003374C">
                <w:rPr>
                  <w:rFonts w:eastAsia="Calibri" w:cs="Times New Roman"/>
                </w:rPr>
                <w:fldChar w:fldCharType="separate"/>
              </w:r>
              <w:r w:rsidR="009A383C">
                <w:rPr>
                  <w:noProof/>
                </w:rPr>
                <w:t xml:space="preserve">Abbas, S. S., Shorten, T., &amp; Rushton, J. (2022). Meanings and mechanisms of One Health partnerships: insights from a critical review of literature on cross-government collaborations. </w:t>
              </w:r>
              <w:r w:rsidR="009A383C">
                <w:rPr>
                  <w:i/>
                  <w:iCs/>
                  <w:noProof/>
                </w:rPr>
                <w:t>Health Policy and Planning, 37</w:t>
              </w:r>
              <w:r w:rsidR="009A383C">
                <w:rPr>
                  <w:noProof/>
                </w:rPr>
                <w:t>(3), 385-399.</w:t>
              </w:r>
            </w:p>
            <w:p w14:paraId="7BB23A2B" w14:textId="77777777" w:rsidR="009A383C" w:rsidRDefault="009A383C" w:rsidP="009A383C">
              <w:pPr>
                <w:pStyle w:val="Bibliography"/>
                <w:ind w:left="720" w:hanging="720"/>
                <w:rPr>
                  <w:noProof/>
                </w:rPr>
              </w:pPr>
              <w:r>
                <w:rPr>
                  <w:noProof/>
                </w:rPr>
                <w:t xml:space="preserve">American Veterinary Medical Association. (2022). </w:t>
              </w:r>
              <w:r>
                <w:rPr>
                  <w:i/>
                  <w:iCs/>
                  <w:noProof/>
                </w:rPr>
                <w:t>One Health</w:t>
              </w:r>
              <w:r>
                <w:rPr>
                  <w:noProof/>
                </w:rPr>
                <w:t>. Retrieved from AVMA: https://www.avma.org/resources-tools/one-health</w:t>
              </w:r>
            </w:p>
            <w:p w14:paraId="7F6E72D0" w14:textId="77777777" w:rsidR="009A383C" w:rsidRDefault="009A383C" w:rsidP="009A383C">
              <w:pPr>
                <w:pStyle w:val="Bibliography"/>
                <w:ind w:left="720" w:hanging="720"/>
                <w:rPr>
                  <w:noProof/>
                </w:rPr>
              </w:pPr>
              <w:r>
                <w:rPr>
                  <w:noProof/>
                </w:rPr>
                <w:t xml:space="preserve">Bailey, H. (2012). </w:t>
              </w:r>
              <w:r>
                <w:rPr>
                  <w:i/>
                  <w:iCs/>
                  <w:noProof/>
                </w:rPr>
                <w:t>Stories of Change.</w:t>
              </w:r>
              <w:r>
                <w:rPr>
                  <w:noProof/>
                </w:rPr>
                <w:t xml:space="preserve"> Brighton: IDS.</w:t>
              </w:r>
            </w:p>
            <w:p w14:paraId="4B3784AE" w14:textId="77777777" w:rsidR="009A383C" w:rsidRDefault="009A383C" w:rsidP="009A383C">
              <w:pPr>
                <w:pStyle w:val="Bibliography"/>
                <w:ind w:left="720" w:hanging="720"/>
                <w:rPr>
                  <w:noProof/>
                </w:rPr>
              </w:pPr>
              <w:r>
                <w:rPr>
                  <w:noProof/>
                </w:rPr>
                <w:t xml:space="preserve">BOND. (2012). </w:t>
              </w:r>
              <w:r>
                <w:rPr>
                  <w:i/>
                  <w:iCs/>
                  <w:noProof/>
                </w:rPr>
                <w:t>BOND’s Value for Money: what it means for UK NGOs.</w:t>
              </w:r>
              <w:r>
                <w:rPr>
                  <w:noProof/>
                </w:rPr>
                <w:t xml:space="preserve"> BOND.</w:t>
              </w:r>
            </w:p>
            <w:p w14:paraId="2BE9EF70" w14:textId="77777777" w:rsidR="009A383C" w:rsidRDefault="009A383C" w:rsidP="009A383C">
              <w:pPr>
                <w:pStyle w:val="Bibliography"/>
                <w:ind w:left="720" w:hanging="720"/>
                <w:rPr>
                  <w:noProof/>
                </w:rPr>
              </w:pPr>
              <w:r>
                <w:rPr>
                  <w:noProof/>
                </w:rPr>
                <w:t xml:space="preserve">Brown, C., &amp; Shorten, T. (2021, 07 21). </w:t>
              </w:r>
              <w:r>
                <w:rPr>
                  <w:i/>
                  <w:iCs/>
                  <w:noProof/>
                </w:rPr>
                <w:t>Common elements of good practice for sustainability</w:t>
              </w:r>
              <w:r>
                <w:rPr>
                  <w:noProof/>
                </w:rPr>
                <w:t>. Retrieved from The Fleming Fund: https://www.flemingfund.org/publications/common-elements-of-good-practice-for-sustainability/</w:t>
              </w:r>
            </w:p>
            <w:p w14:paraId="48936890" w14:textId="77777777" w:rsidR="009A383C" w:rsidRDefault="009A383C" w:rsidP="009A383C">
              <w:pPr>
                <w:pStyle w:val="Bibliography"/>
                <w:ind w:left="720" w:hanging="720"/>
                <w:rPr>
                  <w:noProof/>
                </w:rPr>
              </w:pPr>
              <w:r>
                <w:rPr>
                  <w:noProof/>
                </w:rPr>
                <w:t xml:space="preserve">Cairney, P., &amp; Zahariadis, N. (2016). MSA: a flexible metaphor presents an opportunity to operationalize agenda setting processes. In N. Zahariadis, </w:t>
              </w:r>
              <w:r>
                <w:rPr>
                  <w:i/>
                  <w:iCs/>
                  <w:noProof/>
                </w:rPr>
                <w:t>Handbook of Public Policy Agenda Setting.</w:t>
              </w:r>
              <w:r>
                <w:rPr>
                  <w:noProof/>
                </w:rPr>
                <w:t xml:space="preserve"> Cheltenham, UK and Northampton, MA:: Edward Elgar.</w:t>
              </w:r>
            </w:p>
            <w:p w14:paraId="5A1F4416" w14:textId="77777777" w:rsidR="009A383C" w:rsidRDefault="009A383C" w:rsidP="009A383C">
              <w:pPr>
                <w:pStyle w:val="Bibliography"/>
                <w:ind w:left="720" w:hanging="720"/>
                <w:rPr>
                  <w:noProof/>
                </w:rPr>
              </w:pPr>
              <w:r>
                <w:rPr>
                  <w:noProof/>
                </w:rPr>
                <w:t xml:space="preserve">Chiolero, A., &amp; Buckeridge, D. (2020). Glossary for Public Health Surveillance in the Age of Data Science. </w:t>
              </w:r>
              <w:r>
                <w:rPr>
                  <w:i/>
                  <w:iCs/>
                  <w:noProof/>
                </w:rPr>
                <w:t>Journal of Epidemiology and Community Health, 74</w:t>
              </w:r>
              <w:r>
                <w:rPr>
                  <w:noProof/>
                </w:rPr>
                <w:t>, 612-616.</w:t>
              </w:r>
            </w:p>
            <w:p w14:paraId="7C83EFC8" w14:textId="77777777" w:rsidR="009A383C" w:rsidRDefault="009A383C" w:rsidP="009A383C">
              <w:pPr>
                <w:pStyle w:val="Bibliography"/>
                <w:ind w:left="720" w:hanging="720"/>
                <w:rPr>
                  <w:noProof/>
                </w:rPr>
              </w:pPr>
              <w:r>
                <w:rPr>
                  <w:noProof/>
                </w:rPr>
                <w:t xml:space="preserve">Cooper, J. (2019, May 3). </w:t>
              </w:r>
              <w:r>
                <w:rPr>
                  <w:i/>
                  <w:iCs/>
                  <w:noProof/>
                </w:rPr>
                <w:t>No time to wait: evaluating the fight against ‘Drugmageddon’</w:t>
              </w:r>
              <w:r>
                <w:rPr>
                  <w:noProof/>
                </w:rPr>
                <w:t>. Retrieved from Itad: https://www.itad.com/article/no-time-to-wait-evaluating-the-fight-against-drugmageddon/</w:t>
              </w:r>
            </w:p>
            <w:p w14:paraId="6C92CC28" w14:textId="77777777" w:rsidR="009A383C" w:rsidRDefault="009A383C" w:rsidP="009A383C">
              <w:pPr>
                <w:pStyle w:val="Bibliography"/>
                <w:ind w:left="720" w:hanging="720"/>
                <w:rPr>
                  <w:noProof/>
                </w:rPr>
              </w:pPr>
              <w:r>
                <w:rPr>
                  <w:noProof/>
                </w:rPr>
                <w:t xml:space="preserve">Davies, R. M. (2012). </w:t>
              </w:r>
              <w:r>
                <w:rPr>
                  <w:i/>
                  <w:iCs/>
                  <w:noProof/>
                </w:rPr>
                <w:t>DFID Working Paper 38. Broadening the range of designs and methods for impact evaluations. .</w:t>
              </w:r>
              <w:r>
                <w:rPr>
                  <w:noProof/>
                </w:rPr>
                <w:t xml:space="preserve"> London: DFID.</w:t>
              </w:r>
            </w:p>
            <w:p w14:paraId="56AF0826" w14:textId="77777777" w:rsidR="009A383C" w:rsidRDefault="009A383C" w:rsidP="009A383C">
              <w:pPr>
                <w:pStyle w:val="Bibliography"/>
                <w:ind w:left="720" w:hanging="720"/>
                <w:rPr>
                  <w:noProof/>
                </w:rPr>
              </w:pPr>
              <w:r>
                <w:rPr>
                  <w:noProof/>
                </w:rPr>
                <w:t xml:space="preserve">Department of Health and Social Care. (2020). </w:t>
              </w:r>
              <w:r>
                <w:rPr>
                  <w:i/>
                  <w:iCs/>
                  <w:noProof/>
                </w:rPr>
                <w:t>Fleming Fund annual review: January to December 2019.</w:t>
              </w:r>
              <w:r>
                <w:rPr>
                  <w:noProof/>
                </w:rPr>
                <w:t xml:space="preserve"> Department of Health and Social Care.</w:t>
              </w:r>
            </w:p>
            <w:p w14:paraId="13D8901F" w14:textId="77777777" w:rsidR="009A383C" w:rsidRDefault="009A383C" w:rsidP="009A383C">
              <w:pPr>
                <w:pStyle w:val="Bibliography"/>
                <w:ind w:left="720" w:hanging="720"/>
                <w:rPr>
                  <w:noProof/>
                </w:rPr>
              </w:pPr>
              <w:r>
                <w:rPr>
                  <w:noProof/>
                </w:rPr>
                <w:t xml:space="preserve">DFID. (2011). </w:t>
              </w:r>
              <w:r>
                <w:rPr>
                  <w:i/>
                  <w:iCs/>
                  <w:noProof/>
                </w:rPr>
                <w:t>DFID’s Approach to Value for Money (VfM).</w:t>
              </w:r>
              <w:r>
                <w:rPr>
                  <w:noProof/>
                </w:rPr>
                <w:t xml:space="preserve"> London: DFID.</w:t>
              </w:r>
            </w:p>
            <w:p w14:paraId="761DA177" w14:textId="77777777" w:rsidR="009A383C" w:rsidRDefault="009A383C" w:rsidP="009A383C">
              <w:pPr>
                <w:pStyle w:val="Bibliography"/>
                <w:ind w:left="720" w:hanging="720"/>
                <w:rPr>
                  <w:noProof/>
                </w:rPr>
              </w:pPr>
              <w:r>
                <w:rPr>
                  <w:noProof/>
                </w:rPr>
                <w:t xml:space="preserve">DFID. (2011). </w:t>
              </w:r>
              <w:r>
                <w:rPr>
                  <w:i/>
                  <w:iCs/>
                  <w:noProof/>
                </w:rPr>
                <w:t>Withdrawn - DFID Ethics Principles For Research and Evaluation.</w:t>
              </w:r>
              <w:r>
                <w:rPr>
                  <w:noProof/>
                </w:rPr>
                <w:t xml:space="preserve"> </w:t>
              </w:r>
            </w:p>
            <w:p w14:paraId="69C858E0" w14:textId="77777777" w:rsidR="009A383C" w:rsidRDefault="009A383C" w:rsidP="009A383C">
              <w:pPr>
                <w:pStyle w:val="Bibliography"/>
                <w:ind w:left="720" w:hanging="720"/>
                <w:rPr>
                  <w:noProof/>
                </w:rPr>
              </w:pPr>
              <w:r>
                <w:rPr>
                  <w:noProof/>
                </w:rPr>
                <w:t xml:space="preserve">DFID. (2020). </w:t>
              </w:r>
              <w:r>
                <w:rPr>
                  <w:i/>
                  <w:iCs/>
                  <w:noProof/>
                </w:rPr>
                <w:t>DFID's Approach to Value for Monney - Guidance for External Partners.</w:t>
              </w:r>
              <w:r>
                <w:rPr>
                  <w:noProof/>
                </w:rPr>
                <w:t xml:space="preserve"> London: DFID.</w:t>
              </w:r>
            </w:p>
            <w:p w14:paraId="460672F3" w14:textId="77777777" w:rsidR="009A383C" w:rsidRDefault="009A383C" w:rsidP="009A383C">
              <w:pPr>
                <w:pStyle w:val="Bibliography"/>
                <w:ind w:left="720" w:hanging="720"/>
                <w:rPr>
                  <w:noProof/>
                </w:rPr>
              </w:pPr>
              <w:r>
                <w:rPr>
                  <w:noProof/>
                </w:rPr>
                <w:t xml:space="preserve">Forss, K., Marra, M., &amp; Schwartz, R. (. (2011). </w:t>
              </w:r>
              <w:r>
                <w:rPr>
                  <w:i/>
                  <w:iCs/>
                  <w:noProof/>
                </w:rPr>
                <w:t>Contribution Analysis: Addressing Cause and Effect.</w:t>
              </w:r>
              <w:r>
                <w:rPr>
                  <w:noProof/>
                </w:rPr>
                <w:t xml:space="preserve"> Transaction Publishers.</w:t>
              </w:r>
            </w:p>
            <w:p w14:paraId="0074AB80" w14:textId="77777777" w:rsidR="009A383C" w:rsidRDefault="009A383C" w:rsidP="009A383C">
              <w:pPr>
                <w:pStyle w:val="Bibliography"/>
                <w:ind w:left="720" w:hanging="720"/>
                <w:rPr>
                  <w:noProof/>
                </w:rPr>
              </w:pPr>
              <w:r>
                <w:rPr>
                  <w:noProof/>
                </w:rPr>
                <w:t xml:space="preserve">Frid-Nielsen, S. S., Rubin, O., &amp; Baekkeskov, E. (2019). The state of social science research on antimicrobial resistance. </w:t>
              </w:r>
              <w:r>
                <w:rPr>
                  <w:i/>
                  <w:iCs/>
                  <w:noProof/>
                </w:rPr>
                <w:t>Social Science &amp; Medicine (1982), 242</w:t>
              </w:r>
              <w:r>
                <w:rPr>
                  <w:noProof/>
                </w:rPr>
                <w:t>(112596).</w:t>
              </w:r>
            </w:p>
            <w:p w14:paraId="16E3EB19" w14:textId="77777777" w:rsidR="009A383C" w:rsidRDefault="009A383C" w:rsidP="009A383C">
              <w:pPr>
                <w:pStyle w:val="Bibliography"/>
                <w:ind w:left="720" w:hanging="720"/>
                <w:rPr>
                  <w:noProof/>
                </w:rPr>
              </w:pPr>
              <w:r>
                <w:rPr>
                  <w:noProof/>
                </w:rPr>
                <w:t xml:space="preserve">Groves Williams, L. (2015). </w:t>
              </w:r>
              <w:r>
                <w:rPr>
                  <w:i/>
                  <w:iCs/>
                  <w:noProof/>
                </w:rPr>
                <w:t>Review of Ethics Principles and Guidance in Evaluation and Research.</w:t>
              </w:r>
              <w:r>
                <w:rPr>
                  <w:noProof/>
                </w:rPr>
                <w:t xml:space="preserve"> </w:t>
              </w:r>
            </w:p>
            <w:p w14:paraId="40BEEE42" w14:textId="77777777" w:rsidR="009A383C" w:rsidRDefault="009A383C" w:rsidP="009A383C">
              <w:pPr>
                <w:pStyle w:val="Bibliography"/>
                <w:ind w:left="720" w:hanging="720"/>
                <w:rPr>
                  <w:noProof/>
                </w:rPr>
              </w:pPr>
              <w:r>
                <w:rPr>
                  <w:noProof/>
                </w:rPr>
                <w:t xml:space="preserve">Hassel, A., &amp; Wegrich, K. (2022). How to Set the Agenda. In A. Hassel, &amp; K. Wegrich, </w:t>
              </w:r>
              <w:r>
                <w:rPr>
                  <w:i/>
                  <w:iCs/>
                  <w:noProof/>
                </w:rPr>
                <w:t>How to Do Public Policy</w:t>
              </w:r>
              <w:r>
                <w:rPr>
                  <w:noProof/>
                </w:rPr>
                <w:t xml:space="preserve"> (p. 0). Oxford University Press.</w:t>
              </w:r>
            </w:p>
            <w:p w14:paraId="77C72696" w14:textId="77777777" w:rsidR="009A383C" w:rsidRDefault="009A383C" w:rsidP="009A383C">
              <w:pPr>
                <w:pStyle w:val="Bibliography"/>
                <w:ind w:left="720" w:hanging="720"/>
                <w:rPr>
                  <w:noProof/>
                </w:rPr>
              </w:pPr>
              <w:r>
                <w:rPr>
                  <w:noProof/>
                </w:rPr>
                <w:t xml:space="preserve">HEART. (2019). </w:t>
              </w:r>
              <w:r>
                <w:rPr>
                  <w:i/>
                  <w:iCs/>
                  <w:noProof/>
                </w:rPr>
                <w:t>Fleming Fund Implementation January-December 2018 Annual Review.</w:t>
              </w:r>
              <w:r>
                <w:rPr>
                  <w:noProof/>
                </w:rPr>
                <w:t xml:space="preserve"> HEART.</w:t>
              </w:r>
            </w:p>
            <w:p w14:paraId="2E205176" w14:textId="77777777" w:rsidR="009A383C" w:rsidRDefault="009A383C" w:rsidP="009A383C">
              <w:pPr>
                <w:pStyle w:val="Bibliography"/>
                <w:ind w:left="720" w:hanging="720"/>
                <w:rPr>
                  <w:noProof/>
                </w:rPr>
              </w:pPr>
              <w:r>
                <w:rPr>
                  <w:noProof/>
                </w:rPr>
                <w:t xml:space="preserve">ICAI. (2015). </w:t>
              </w:r>
              <w:r>
                <w:rPr>
                  <w:i/>
                  <w:iCs/>
                  <w:noProof/>
                </w:rPr>
                <w:t>DFID's approach to delivering impact.</w:t>
              </w:r>
              <w:r>
                <w:rPr>
                  <w:noProof/>
                </w:rPr>
                <w:t xml:space="preserve"> </w:t>
              </w:r>
            </w:p>
            <w:p w14:paraId="28E1F735" w14:textId="77777777" w:rsidR="009A383C" w:rsidRDefault="009A383C" w:rsidP="009A383C">
              <w:pPr>
                <w:pStyle w:val="Bibliography"/>
                <w:ind w:left="720" w:hanging="720"/>
                <w:rPr>
                  <w:noProof/>
                </w:rPr>
              </w:pPr>
              <w:r>
                <w:rPr>
                  <w:noProof/>
                </w:rPr>
                <w:t xml:space="preserve">ICAI. (2018). </w:t>
              </w:r>
              <w:r>
                <w:rPr>
                  <w:i/>
                  <w:iCs/>
                  <w:noProof/>
                </w:rPr>
                <w:t>DFID's approach to value for money in programme and portfolio mannagement: a performance review.</w:t>
              </w:r>
              <w:r>
                <w:rPr>
                  <w:noProof/>
                </w:rPr>
                <w:t xml:space="preserve"> London: ICAI.</w:t>
              </w:r>
            </w:p>
            <w:p w14:paraId="7FD56FD6" w14:textId="77777777" w:rsidR="009A383C" w:rsidRDefault="009A383C" w:rsidP="009A383C">
              <w:pPr>
                <w:pStyle w:val="Bibliography"/>
                <w:ind w:left="720" w:hanging="720"/>
                <w:rPr>
                  <w:noProof/>
                </w:rPr>
              </w:pPr>
              <w:r>
                <w:rPr>
                  <w:noProof/>
                </w:rPr>
                <w:t xml:space="preserve">Interagency Coordination Group on Antimicrobial Resistance. (2018). </w:t>
              </w:r>
              <w:r>
                <w:rPr>
                  <w:i/>
                  <w:iCs/>
                  <w:noProof/>
                </w:rPr>
                <w:t>Antimicrobial resistance: national action plans .</w:t>
              </w:r>
              <w:r>
                <w:rPr>
                  <w:noProof/>
                </w:rPr>
                <w:t xml:space="preserve"> Interagency Coordination Group on Antimicrobial Resistance.</w:t>
              </w:r>
            </w:p>
            <w:p w14:paraId="3A305ECD" w14:textId="77777777" w:rsidR="009A383C" w:rsidRDefault="009A383C" w:rsidP="009A383C">
              <w:pPr>
                <w:pStyle w:val="Bibliography"/>
                <w:ind w:left="720" w:hanging="720"/>
                <w:rPr>
                  <w:noProof/>
                </w:rPr>
              </w:pPr>
              <w:r>
                <w:rPr>
                  <w:noProof/>
                </w:rPr>
                <w:t xml:space="preserve">Interagency Coordination Group on Antimicrobial Resistance. (2018). </w:t>
              </w:r>
              <w:r>
                <w:rPr>
                  <w:i/>
                  <w:iCs/>
                  <w:noProof/>
                </w:rPr>
                <w:t>Call to Action on Antimicrobial Resistance 2018.</w:t>
              </w:r>
              <w:r>
                <w:rPr>
                  <w:noProof/>
                </w:rPr>
                <w:t xml:space="preserve"> Interagency Coordination Group on Antimicrobial Resistance.</w:t>
              </w:r>
            </w:p>
            <w:p w14:paraId="6CB1B443" w14:textId="77777777" w:rsidR="009A383C" w:rsidRDefault="009A383C" w:rsidP="009A383C">
              <w:pPr>
                <w:pStyle w:val="Bibliography"/>
                <w:ind w:left="720" w:hanging="720"/>
                <w:rPr>
                  <w:noProof/>
                </w:rPr>
              </w:pPr>
              <w:r>
                <w:rPr>
                  <w:noProof/>
                </w:rPr>
                <w:t xml:space="preserve">Jones, D. M., Peterson, H. L., Pierce, J. J., Herweg, N., Bernal, A., Lamberta Raney, H., &amp; Zahariadis, N. (2015). A River Runs Through It: A Multiple Streams Meta-Review. </w:t>
              </w:r>
              <w:r>
                <w:rPr>
                  <w:i/>
                  <w:iCs/>
                  <w:noProof/>
                </w:rPr>
                <w:t>Policy Studies Journal, 44</w:t>
              </w:r>
              <w:r>
                <w:rPr>
                  <w:noProof/>
                </w:rPr>
                <w:t>(1), 13-36.</w:t>
              </w:r>
            </w:p>
            <w:p w14:paraId="785D6DB7" w14:textId="77777777" w:rsidR="009A383C" w:rsidRDefault="009A383C" w:rsidP="009A383C">
              <w:pPr>
                <w:pStyle w:val="Bibliography"/>
                <w:ind w:left="720" w:hanging="720"/>
                <w:rPr>
                  <w:noProof/>
                </w:rPr>
              </w:pPr>
              <w:r>
                <w:rPr>
                  <w:noProof/>
                </w:rPr>
                <w:t xml:space="preserve">Kingdon, J. (2010). </w:t>
              </w:r>
              <w:r>
                <w:rPr>
                  <w:i/>
                  <w:iCs/>
                  <w:noProof/>
                </w:rPr>
                <w:t>Agendas, alternatives, and public policies, update edition, with an epilogue on health care, 2nd edition.</w:t>
              </w:r>
              <w:r>
                <w:rPr>
                  <w:noProof/>
                </w:rPr>
                <w:t xml:space="preserve"> Boston: Pearson.</w:t>
              </w:r>
            </w:p>
            <w:p w14:paraId="3346FD97" w14:textId="77777777" w:rsidR="009A383C" w:rsidRDefault="009A383C" w:rsidP="009A383C">
              <w:pPr>
                <w:pStyle w:val="Bibliography"/>
                <w:ind w:left="720" w:hanging="720"/>
                <w:rPr>
                  <w:noProof/>
                </w:rPr>
              </w:pPr>
              <w:r>
                <w:rPr>
                  <w:noProof/>
                </w:rPr>
                <w:t xml:space="preserve">Loft, P., &amp; Brien, P. (2021). </w:t>
              </w:r>
              <w:r>
                <w:rPr>
                  <w:i/>
                  <w:iCs/>
                  <w:noProof/>
                </w:rPr>
                <w:t>Reducing the UK's aid spend in 2021.</w:t>
              </w:r>
              <w:r>
                <w:rPr>
                  <w:noProof/>
                </w:rPr>
                <w:t xml:space="preserve"> House of Commons Library.</w:t>
              </w:r>
            </w:p>
            <w:p w14:paraId="457B6A4A" w14:textId="77777777" w:rsidR="009A383C" w:rsidRDefault="009A383C" w:rsidP="009A383C">
              <w:pPr>
                <w:pStyle w:val="Bibliography"/>
                <w:ind w:left="720" w:hanging="720"/>
                <w:rPr>
                  <w:noProof/>
                </w:rPr>
              </w:pPr>
              <w:r>
                <w:rPr>
                  <w:noProof/>
                </w:rPr>
                <w:t xml:space="preserve">Mott MacDonald. (2018). </w:t>
              </w:r>
              <w:r>
                <w:rPr>
                  <w:i/>
                  <w:iCs/>
                  <w:noProof/>
                </w:rPr>
                <w:t>Implementation Plan.</w:t>
              </w:r>
              <w:r>
                <w:rPr>
                  <w:noProof/>
                </w:rPr>
                <w:t xml:space="preserve"> London: Mott MacDonald.</w:t>
              </w:r>
            </w:p>
            <w:p w14:paraId="2AA969F5" w14:textId="77777777" w:rsidR="009A383C" w:rsidRDefault="009A383C" w:rsidP="009A383C">
              <w:pPr>
                <w:pStyle w:val="Bibliography"/>
                <w:ind w:left="720" w:hanging="720"/>
                <w:rPr>
                  <w:noProof/>
                </w:rPr>
              </w:pPr>
              <w:r>
                <w:rPr>
                  <w:noProof/>
                </w:rPr>
                <w:t xml:space="preserve">Mott MacDonald. (2021). </w:t>
              </w:r>
              <w:r>
                <w:rPr>
                  <w:i/>
                  <w:iCs/>
                  <w:noProof/>
                </w:rPr>
                <w:t>Fleming Fund Management Agent. Phase II Technical Proposal. March.</w:t>
              </w:r>
              <w:r>
                <w:rPr>
                  <w:noProof/>
                </w:rPr>
                <w:t xml:space="preserve"> London: Mott MacDonald.</w:t>
              </w:r>
            </w:p>
            <w:p w14:paraId="4052A403" w14:textId="77777777" w:rsidR="009A383C" w:rsidRDefault="009A383C" w:rsidP="009A383C">
              <w:pPr>
                <w:pStyle w:val="Bibliography"/>
                <w:ind w:left="720" w:hanging="720"/>
                <w:rPr>
                  <w:noProof/>
                </w:rPr>
              </w:pPr>
              <w:r>
                <w:rPr>
                  <w:noProof/>
                </w:rPr>
                <w:t xml:space="preserve">Murray, J. L. (2022). Global burden of bacterial antimicrobial resistance in 2019: a systematic analysis. </w:t>
              </w:r>
              <w:r>
                <w:rPr>
                  <w:i/>
                  <w:iCs/>
                  <w:noProof/>
                </w:rPr>
                <w:t>The Lancet, 399</w:t>
              </w:r>
              <w:r>
                <w:rPr>
                  <w:noProof/>
                </w:rPr>
                <w:t>(10325), 629-655.</w:t>
              </w:r>
            </w:p>
            <w:p w14:paraId="3D6ACFEC" w14:textId="77777777" w:rsidR="009A383C" w:rsidRDefault="009A383C" w:rsidP="009A383C">
              <w:pPr>
                <w:pStyle w:val="Bibliography"/>
                <w:ind w:left="720" w:hanging="720"/>
                <w:rPr>
                  <w:noProof/>
                </w:rPr>
              </w:pPr>
              <w:r>
                <w:rPr>
                  <w:noProof/>
                </w:rPr>
                <w:t xml:space="preserve">National Audit Office. (2022). </w:t>
              </w:r>
              <w:r>
                <w:rPr>
                  <w:i/>
                  <w:iCs/>
                  <w:noProof/>
                </w:rPr>
                <w:t>Successful commissioning toolkit: Assessing value for money</w:t>
              </w:r>
              <w:r>
                <w:rPr>
                  <w:noProof/>
                </w:rPr>
                <w:t>. Retrieved from National Audit Office: https://www.nao.org.uk/successful-commissioning/general-principles/value-for-money/assessing-value-for-money/</w:t>
              </w:r>
            </w:p>
            <w:p w14:paraId="45B7597D" w14:textId="77777777" w:rsidR="009A383C" w:rsidRDefault="009A383C" w:rsidP="009A383C">
              <w:pPr>
                <w:pStyle w:val="Bibliography"/>
                <w:ind w:left="720" w:hanging="720"/>
                <w:rPr>
                  <w:noProof/>
                </w:rPr>
              </w:pPr>
              <w:r>
                <w:rPr>
                  <w:noProof/>
                </w:rPr>
                <w:t xml:space="preserve">OECD. (2010). </w:t>
              </w:r>
              <w:r>
                <w:rPr>
                  <w:i/>
                  <w:iCs/>
                  <w:noProof/>
                </w:rPr>
                <w:t>Quality Standards for Development Evaluation.</w:t>
              </w:r>
              <w:r>
                <w:rPr>
                  <w:noProof/>
                </w:rPr>
                <w:t xml:space="preserve"> OECD DAC Evaluation Network.</w:t>
              </w:r>
            </w:p>
            <w:p w14:paraId="25F0F890" w14:textId="77777777" w:rsidR="009A383C" w:rsidRDefault="009A383C" w:rsidP="009A383C">
              <w:pPr>
                <w:pStyle w:val="Bibliography"/>
                <w:ind w:left="720" w:hanging="720"/>
                <w:rPr>
                  <w:noProof/>
                </w:rPr>
              </w:pPr>
              <w:r>
                <w:rPr>
                  <w:noProof/>
                </w:rPr>
                <w:t xml:space="preserve">OECD. (2021). </w:t>
              </w:r>
              <w:r>
                <w:rPr>
                  <w:i/>
                  <w:iCs/>
                  <w:noProof/>
                </w:rPr>
                <w:t>Applying Evaluation Criteria Thoughtfully.</w:t>
              </w:r>
              <w:r>
                <w:rPr>
                  <w:noProof/>
                </w:rPr>
                <w:t xml:space="preserve"> OECD.</w:t>
              </w:r>
            </w:p>
            <w:p w14:paraId="287C7239" w14:textId="77777777" w:rsidR="009A383C" w:rsidRDefault="009A383C" w:rsidP="009A383C">
              <w:pPr>
                <w:pStyle w:val="Bibliography"/>
                <w:ind w:left="720" w:hanging="720"/>
                <w:rPr>
                  <w:noProof/>
                </w:rPr>
              </w:pPr>
              <w:r>
                <w:rPr>
                  <w:noProof/>
                </w:rPr>
                <w:t xml:space="preserve">OECD DAC Evaluation Network. (2012). </w:t>
              </w:r>
              <w:r>
                <w:rPr>
                  <w:i/>
                  <w:iCs/>
                  <w:noProof/>
                </w:rPr>
                <w:t>UK Evaluation Society Good Practice Guidelines, and International Development .</w:t>
              </w:r>
              <w:r>
                <w:rPr>
                  <w:noProof/>
                </w:rPr>
                <w:t xml:space="preserve"> OECD DAC Evaluation Network (EvalNet).</w:t>
              </w:r>
            </w:p>
            <w:p w14:paraId="4936BA3E" w14:textId="77777777" w:rsidR="009A383C" w:rsidRDefault="009A383C" w:rsidP="009A383C">
              <w:pPr>
                <w:pStyle w:val="Bibliography"/>
                <w:ind w:left="720" w:hanging="720"/>
                <w:rPr>
                  <w:noProof/>
                </w:rPr>
              </w:pPr>
              <w:r>
                <w:rPr>
                  <w:noProof/>
                </w:rPr>
                <w:t xml:space="preserve">OECD iLibrary. (2022). </w:t>
              </w:r>
              <w:r>
                <w:rPr>
                  <w:i/>
                  <w:iCs/>
                  <w:noProof/>
                </w:rPr>
                <w:t xml:space="preserve">4. Understanding the six criteria: Definitions, elements for analysis and key challenges </w:t>
              </w:r>
              <w:r>
                <w:rPr>
                  <w:noProof/>
                </w:rPr>
                <w:t>. Retrieved from OECD iLibrary: https://www.oecd-ilibrary.org/sites/543e84ed-en/1/3/4/index.html?itemId=/content/publication/543e84ed-en&amp;_csp_=535d2f2a848b7727d35502d7f36e4885&amp;itemIGO=oecd&amp;itemContentType=book#chapter-d1e2438</w:t>
              </w:r>
            </w:p>
            <w:p w14:paraId="5393A594" w14:textId="77777777" w:rsidR="009A383C" w:rsidRDefault="009A383C" w:rsidP="009A383C">
              <w:pPr>
                <w:pStyle w:val="Bibliography"/>
                <w:ind w:left="720" w:hanging="720"/>
                <w:rPr>
                  <w:noProof/>
                </w:rPr>
              </w:pPr>
              <w:r>
                <w:rPr>
                  <w:noProof/>
                </w:rPr>
                <w:t xml:space="preserve">One Health Commission. (2022). </w:t>
              </w:r>
              <w:r>
                <w:rPr>
                  <w:i/>
                  <w:iCs/>
                  <w:noProof/>
                </w:rPr>
                <w:t>Resources / Services</w:t>
              </w:r>
              <w:r>
                <w:rPr>
                  <w:noProof/>
                </w:rPr>
                <w:t>. Retrieved from One Health Commission: https://www.onehealthcommission.org/en/resources__services/</w:t>
              </w:r>
            </w:p>
            <w:p w14:paraId="6243FC6D" w14:textId="77777777" w:rsidR="009A383C" w:rsidRDefault="009A383C" w:rsidP="009A383C">
              <w:pPr>
                <w:pStyle w:val="Bibliography"/>
                <w:ind w:left="720" w:hanging="720"/>
                <w:rPr>
                  <w:noProof/>
                </w:rPr>
              </w:pPr>
              <w:r>
                <w:rPr>
                  <w:noProof/>
                </w:rPr>
                <w:t xml:space="preserve">One Health Trust. (2022). </w:t>
              </w:r>
              <w:r>
                <w:rPr>
                  <w:i/>
                  <w:iCs/>
                  <w:noProof/>
                </w:rPr>
                <w:t>Global Antibiotic Resistance Partnership (GARP)</w:t>
              </w:r>
              <w:r>
                <w:rPr>
                  <w:noProof/>
                </w:rPr>
                <w:t>. Retrieved from One Health Trust: https://onehealthtrust.org/projects/global-antibiotic-resistance-partnership/</w:t>
              </w:r>
            </w:p>
            <w:p w14:paraId="6537BD62" w14:textId="77777777" w:rsidR="009A383C" w:rsidRDefault="009A383C" w:rsidP="009A383C">
              <w:pPr>
                <w:pStyle w:val="Bibliography"/>
                <w:ind w:left="720" w:hanging="720"/>
                <w:rPr>
                  <w:noProof/>
                </w:rPr>
              </w:pPr>
              <w:r>
                <w:rPr>
                  <w:noProof/>
                </w:rPr>
                <w:t xml:space="preserve">Patton, M. Q. (2002). </w:t>
              </w:r>
              <w:r>
                <w:rPr>
                  <w:i/>
                  <w:iCs/>
                  <w:noProof/>
                </w:rPr>
                <w:t>Qualitative Research and Evaluation Options (3rd ed.).</w:t>
              </w:r>
              <w:r>
                <w:rPr>
                  <w:noProof/>
                </w:rPr>
                <w:t xml:space="preserve"> Thousand Oaks, California: Sage Publications.</w:t>
              </w:r>
            </w:p>
            <w:p w14:paraId="26694600" w14:textId="77777777" w:rsidR="009A383C" w:rsidRDefault="009A383C" w:rsidP="009A383C">
              <w:pPr>
                <w:pStyle w:val="Bibliography"/>
                <w:ind w:left="720" w:hanging="720"/>
                <w:rPr>
                  <w:noProof/>
                </w:rPr>
              </w:pPr>
              <w:r>
                <w:rPr>
                  <w:noProof/>
                </w:rPr>
                <w:t xml:space="preserve">Patton, M. Q. (2002). </w:t>
              </w:r>
              <w:r>
                <w:rPr>
                  <w:i/>
                  <w:iCs/>
                  <w:noProof/>
                </w:rPr>
                <w:t>Qualitative Research and Evaluation Options (3rd ed.).</w:t>
              </w:r>
              <w:r>
                <w:rPr>
                  <w:noProof/>
                </w:rPr>
                <w:t xml:space="preserve"> Thousand Oaks, California: Sage Publications.</w:t>
              </w:r>
            </w:p>
            <w:p w14:paraId="2FAF28F8" w14:textId="77777777" w:rsidR="009A383C" w:rsidRDefault="009A383C" w:rsidP="009A383C">
              <w:pPr>
                <w:pStyle w:val="Bibliography"/>
                <w:ind w:left="720" w:hanging="720"/>
                <w:rPr>
                  <w:noProof/>
                </w:rPr>
              </w:pPr>
              <w:r>
                <w:rPr>
                  <w:noProof/>
                </w:rPr>
                <w:t xml:space="preserve">Review on Antimicrobial Resistance. (2022). </w:t>
              </w:r>
              <w:r>
                <w:rPr>
                  <w:i/>
                  <w:iCs/>
                  <w:noProof/>
                </w:rPr>
                <w:t>Home</w:t>
              </w:r>
              <w:r>
                <w:rPr>
                  <w:noProof/>
                </w:rPr>
                <w:t>. Retrieved from Review on Antimicrobial Resistance: https://amr-review.org/</w:t>
              </w:r>
            </w:p>
            <w:p w14:paraId="6DC38A0F" w14:textId="77777777" w:rsidR="009A383C" w:rsidRDefault="009A383C" w:rsidP="009A383C">
              <w:pPr>
                <w:pStyle w:val="Bibliography"/>
                <w:ind w:left="720" w:hanging="720"/>
                <w:rPr>
                  <w:noProof/>
                </w:rPr>
              </w:pPr>
              <w:r>
                <w:rPr>
                  <w:noProof/>
                </w:rPr>
                <w:t xml:space="preserve">Seale, A., Gordon, N., &amp; Islam, J. e. (2017). AMR Surveillance in low and middle-income settings - A roadmap for participation in the Global Antimicrobial Surveillance System (GLASS). </w:t>
              </w:r>
              <w:r>
                <w:rPr>
                  <w:i/>
                  <w:iCs/>
                  <w:noProof/>
                </w:rPr>
                <w:t>Wellcome Open Research, 2</w:t>
              </w:r>
              <w:r>
                <w:rPr>
                  <w:noProof/>
                </w:rPr>
                <w:t>(92).</w:t>
              </w:r>
            </w:p>
            <w:p w14:paraId="019444BC" w14:textId="77777777" w:rsidR="009A383C" w:rsidRDefault="009A383C" w:rsidP="009A383C">
              <w:pPr>
                <w:pStyle w:val="Bibliography"/>
                <w:ind w:left="720" w:hanging="720"/>
                <w:rPr>
                  <w:noProof/>
                </w:rPr>
              </w:pPr>
              <w:r>
                <w:rPr>
                  <w:noProof/>
                </w:rPr>
                <w:t xml:space="preserve">Sieleunou, I., Turcotte-Tremblay, A.-M., Fotso, J.-C., Tamga, D., Yumo, H., Kouokam, E., &amp; Ridde, V. (2017). Setting performance-based financing in the health sector agenda: a case study in Cameroon. </w:t>
              </w:r>
              <w:r>
                <w:rPr>
                  <w:i/>
                  <w:iCs/>
                  <w:noProof/>
                </w:rPr>
                <w:t>Globalization and Health, 13</w:t>
              </w:r>
              <w:r>
                <w:rPr>
                  <w:noProof/>
                </w:rPr>
                <w:t>(52).</w:t>
              </w:r>
            </w:p>
            <w:p w14:paraId="301D8756" w14:textId="77777777" w:rsidR="009A383C" w:rsidRDefault="009A383C" w:rsidP="009A383C">
              <w:pPr>
                <w:pStyle w:val="Bibliography"/>
                <w:ind w:left="720" w:hanging="720"/>
                <w:rPr>
                  <w:noProof/>
                </w:rPr>
              </w:pPr>
              <w:r>
                <w:rPr>
                  <w:noProof/>
                </w:rPr>
                <w:t xml:space="preserve">Spencer, L., Ritchie, J., Lewis, J., &amp; Dillon, L. (2003). </w:t>
              </w:r>
              <w:r>
                <w:rPr>
                  <w:i/>
                  <w:iCs/>
                  <w:noProof/>
                </w:rPr>
                <w:t>Quality in Qualitative Evaluation: A framework for assessing research evidence.</w:t>
              </w:r>
              <w:r>
                <w:rPr>
                  <w:noProof/>
                </w:rPr>
                <w:t xml:space="preserve"> London: Government Chief Social Researcher’s Office.</w:t>
              </w:r>
            </w:p>
            <w:p w14:paraId="77DDBA11" w14:textId="77777777" w:rsidR="009A383C" w:rsidRDefault="009A383C" w:rsidP="009A383C">
              <w:pPr>
                <w:pStyle w:val="Bibliography"/>
                <w:ind w:left="720" w:hanging="720"/>
                <w:rPr>
                  <w:noProof/>
                </w:rPr>
              </w:pPr>
              <w:r>
                <w:rPr>
                  <w:noProof/>
                </w:rPr>
                <w:t xml:space="preserve">Spencer, L., Ritchie, J., Lewis, J., &amp; Dillon, L. (2003). </w:t>
              </w:r>
              <w:r>
                <w:rPr>
                  <w:i/>
                  <w:iCs/>
                  <w:noProof/>
                </w:rPr>
                <w:t>Quality in Qualitative Evaluation: A framework for assessing research evidence. Government Chief Social Researcher’s Office.</w:t>
              </w:r>
              <w:r>
                <w:rPr>
                  <w:noProof/>
                </w:rPr>
                <w:t xml:space="preserve"> London: Cabinet Office.</w:t>
              </w:r>
            </w:p>
            <w:p w14:paraId="103822FD" w14:textId="77777777" w:rsidR="009A383C" w:rsidRDefault="009A383C" w:rsidP="009A383C">
              <w:pPr>
                <w:pStyle w:val="Bibliography"/>
                <w:ind w:left="720" w:hanging="720"/>
                <w:rPr>
                  <w:noProof/>
                </w:rPr>
              </w:pPr>
              <w:r>
                <w:rPr>
                  <w:noProof/>
                </w:rPr>
                <w:t xml:space="preserve">The Review on Antimicrobial Resistance. (2016). </w:t>
              </w:r>
              <w:r>
                <w:rPr>
                  <w:i/>
                  <w:iCs/>
                  <w:noProof/>
                </w:rPr>
                <w:t>Tackling drug-resistant infections globally: final report and recommendations.</w:t>
              </w:r>
              <w:r>
                <w:rPr>
                  <w:noProof/>
                </w:rPr>
                <w:t xml:space="preserve"> The Review on Antimicrobial Resistance.</w:t>
              </w:r>
            </w:p>
            <w:p w14:paraId="54A30911" w14:textId="77777777" w:rsidR="009A383C" w:rsidRDefault="009A383C" w:rsidP="009A383C">
              <w:pPr>
                <w:pStyle w:val="Bibliography"/>
                <w:ind w:left="720" w:hanging="720"/>
                <w:rPr>
                  <w:noProof/>
                </w:rPr>
              </w:pPr>
              <w:r>
                <w:rPr>
                  <w:noProof/>
                </w:rPr>
                <w:t xml:space="preserve">The Review on Antimicrobial Resistance. (2016). </w:t>
              </w:r>
              <w:r>
                <w:rPr>
                  <w:i/>
                  <w:iCs/>
                  <w:noProof/>
                </w:rPr>
                <w:t>Tackling Drug-Resistant Infections Globally: final report and recommendations.</w:t>
              </w:r>
              <w:r>
                <w:rPr>
                  <w:noProof/>
                </w:rPr>
                <w:t xml:space="preserve"> London: The Review on Antimicrobial Resistance.</w:t>
              </w:r>
            </w:p>
            <w:p w14:paraId="0D9FC41F" w14:textId="77777777" w:rsidR="009A383C" w:rsidRDefault="009A383C" w:rsidP="009A383C">
              <w:pPr>
                <w:pStyle w:val="Bibliography"/>
                <w:ind w:left="720" w:hanging="720"/>
                <w:rPr>
                  <w:noProof/>
                </w:rPr>
              </w:pPr>
              <w:r>
                <w:rPr>
                  <w:noProof/>
                </w:rPr>
                <w:t xml:space="preserve">Thinking and Working Politically Community of Practice . (2022). </w:t>
              </w:r>
              <w:r>
                <w:rPr>
                  <w:i/>
                  <w:iCs/>
                  <w:noProof/>
                </w:rPr>
                <w:t xml:space="preserve">Thinking and Working Politically Community of Practice </w:t>
              </w:r>
              <w:r>
                <w:rPr>
                  <w:noProof/>
                </w:rPr>
                <w:t>. Retrieved from Thinking and Working Politically Community of Practice : https://twpcommunity.org/</w:t>
              </w:r>
            </w:p>
            <w:p w14:paraId="45337ECD" w14:textId="77777777" w:rsidR="009A383C" w:rsidRDefault="009A383C" w:rsidP="009A383C">
              <w:pPr>
                <w:pStyle w:val="Bibliography"/>
                <w:ind w:left="720" w:hanging="720"/>
                <w:rPr>
                  <w:noProof/>
                </w:rPr>
              </w:pPr>
              <w:r>
                <w:rPr>
                  <w:noProof/>
                </w:rPr>
                <w:t xml:space="preserve">UK Evaluation Society. (2018). </w:t>
              </w:r>
              <w:r>
                <w:rPr>
                  <w:i/>
                  <w:iCs/>
                  <w:noProof/>
                </w:rPr>
                <w:t>Guidelines for Good Practice in Evaluation.</w:t>
              </w:r>
              <w:r>
                <w:rPr>
                  <w:noProof/>
                </w:rPr>
                <w:t xml:space="preserve"> Hertfordshire: UK Evaluation Society.</w:t>
              </w:r>
            </w:p>
            <w:p w14:paraId="63945862" w14:textId="77777777" w:rsidR="009A383C" w:rsidRDefault="009A383C" w:rsidP="009A383C">
              <w:pPr>
                <w:pStyle w:val="Bibliography"/>
                <w:ind w:left="720" w:hanging="720"/>
                <w:rPr>
                  <w:noProof/>
                </w:rPr>
              </w:pPr>
              <w:r>
                <w:rPr>
                  <w:noProof/>
                </w:rPr>
                <w:t xml:space="preserve">UK Health Security Agency. (2015). </w:t>
              </w:r>
              <w:r>
                <w:rPr>
                  <w:i/>
                  <w:iCs/>
                  <w:noProof/>
                </w:rPr>
                <w:t>Human Animal Infections and Risk Surveillance group (HAIRS)</w:t>
              </w:r>
              <w:r>
                <w:rPr>
                  <w:noProof/>
                </w:rPr>
                <w:t>. Retrieved from Gov.uk: https://www.gov.uk/government/collections/human-animal-infections-and-risk-surveillance-group-hairs#:~:text=Contents&amp;text=The%20Human%20Animal%20Infections%20and%20Risk%20Surveillance%20(%20HAIRS%20)%20group%20is,threat%20to%20UK%20public%20health</w:t>
              </w:r>
            </w:p>
            <w:p w14:paraId="4D0FA69B" w14:textId="77777777" w:rsidR="009A383C" w:rsidRDefault="009A383C" w:rsidP="009A383C">
              <w:pPr>
                <w:pStyle w:val="Bibliography"/>
                <w:ind w:left="720" w:hanging="720"/>
                <w:rPr>
                  <w:noProof/>
                </w:rPr>
              </w:pPr>
              <w:r>
                <w:rPr>
                  <w:noProof/>
                </w:rPr>
                <w:t xml:space="preserve">United Nations. (2010, April 21). </w:t>
              </w:r>
              <w:r>
                <w:rPr>
                  <w:i/>
                  <w:iCs/>
                  <w:noProof/>
                </w:rPr>
                <w:t>Hanoi Declaration Sets Global Framework for Avian Influenza, Pandemic Readiness, Proposes National Steps to Detect Animal-Human Transmission, Control Outbreaks.</w:t>
              </w:r>
              <w:r>
                <w:rPr>
                  <w:noProof/>
                </w:rPr>
                <w:t xml:space="preserve"> Retrieved from United Nations Meetings Coveage and Press Releases: https://press.un.org/en/2010/sag433.doc.htm</w:t>
              </w:r>
            </w:p>
            <w:p w14:paraId="6C775D93" w14:textId="77777777" w:rsidR="009A383C" w:rsidRDefault="009A383C" w:rsidP="009A383C">
              <w:pPr>
                <w:pStyle w:val="Bibliography"/>
                <w:ind w:left="720" w:hanging="720"/>
                <w:rPr>
                  <w:noProof/>
                </w:rPr>
              </w:pPr>
              <w:r>
                <w:rPr>
                  <w:noProof/>
                </w:rPr>
                <w:t xml:space="preserve">Vähämäki, J., &amp; Verger, C. (2019). </w:t>
              </w:r>
              <w:r>
                <w:rPr>
                  <w:i/>
                  <w:iCs/>
                  <w:noProof/>
                </w:rPr>
                <w:t>Learning from Results-Based Management evaluations and reviews. OECD Development Co-Operation Working Paper 53.</w:t>
              </w:r>
              <w:r>
                <w:rPr>
                  <w:noProof/>
                </w:rPr>
                <w:t xml:space="preserve"> Paris: OECD.</w:t>
              </w:r>
            </w:p>
            <w:p w14:paraId="3A4DC55E" w14:textId="77777777" w:rsidR="009A383C" w:rsidRDefault="009A383C" w:rsidP="009A383C">
              <w:pPr>
                <w:pStyle w:val="Bibliography"/>
                <w:ind w:left="720" w:hanging="720"/>
                <w:rPr>
                  <w:noProof/>
                </w:rPr>
              </w:pPr>
              <w:r>
                <w:rPr>
                  <w:noProof/>
                </w:rPr>
                <w:t xml:space="preserve">Wilson-Grau, R. (2018). </w:t>
              </w:r>
              <w:r>
                <w:rPr>
                  <w:i/>
                  <w:iCs/>
                  <w:noProof/>
                </w:rPr>
                <w:t>Outcome Harvesting: Principles, Steps, and Evaluation Applications.</w:t>
              </w:r>
              <w:r>
                <w:rPr>
                  <w:noProof/>
                </w:rPr>
                <w:t xml:space="preserve"> IAP.</w:t>
              </w:r>
            </w:p>
            <w:p w14:paraId="54996F74" w14:textId="77777777" w:rsidR="009A383C" w:rsidRDefault="009A383C" w:rsidP="009A383C">
              <w:pPr>
                <w:pStyle w:val="Bibliography"/>
                <w:ind w:left="720" w:hanging="720"/>
                <w:rPr>
                  <w:noProof/>
                </w:rPr>
              </w:pPr>
              <w:r>
                <w:rPr>
                  <w:noProof/>
                </w:rPr>
                <w:t xml:space="preserve">World Bank. (2021, June 3). </w:t>
              </w:r>
              <w:r>
                <w:rPr>
                  <w:i/>
                  <w:iCs/>
                  <w:noProof/>
                </w:rPr>
                <w:t>The World Bank</w:t>
              </w:r>
              <w:r>
                <w:rPr>
                  <w:noProof/>
                </w:rPr>
                <w:t>. Retrieved from Safeguarding Animal, Human and Ecosystem Health: One Health at the World Bank : https://www.worldbank.org/en/topic/agriculture/brief/safeguarding-animal-human-and-ecosystem-health-one-health-at-the-world-bank</w:t>
              </w:r>
            </w:p>
            <w:p w14:paraId="1D5599D9" w14:textId="77777777" w:rsidR="009A383C" w:rsidRDefault="009A383C" w:rsidP="009A383C">
              <w:pPr>
                <w:pStyle w:val="Bibliography"/>
                <w:ind w:left="720" w:hanging="720"/>
                <w:rPr>
                  <w:noProof/>
                </w:rPr>
              </w:pPr>
              <w:r>
                <w:rPr>
                  <w:noProof/>
                </w:rPr>
                <w:t xml:space="preserve">World Health Organisation. (2020, August 10). </w:t>
              </w:r>
              <w:r>
                <w:rPr>
                  <w:i/>
                  <w:iCs/>
                  <w:noProof/>
                </w:rPr>
                <w:t xml:space="preserve">Global Leaders Group Terms of Reference </w:t>
              </w:r>
              <w:r>
                <w:rPr>
                  <w:noProof/>
                </w:rPr>
                <w:t>. Retrieved from World Health Organisation: https://www.who.int/news-room/articles-detail/global-leaders-group-terms-of-reference</w:t>
              </w:r>
            </w:p>
            <w:p w14:paraId="77FBD21A" w14:textId="77777777" w:rsidR="009A383C" w:rsidRDefault="009A383C" w:rsidP="009A383C">
              <w:pPr>
                <w:pStyle w:val="Bibliography"/>
                <w:ind w:left="720" w:hanging="720"/>
                <w:rPr>
                  <w:noProof/>
                </w:rPr>
              </w:pPr>
              <w:r>
                <w:rPr>
                  <w:noProof/>
                </w:rPr>
                <w:t xml:space="preserve">World Health Organisation. (2021, November 17). </w:t>
              </w:r>
              <w:r>
                <w:rPr>
                  <w:i/>
                  <w:iCs/>
                  <w:noProof/>
                </w:rPr>
                <w:t>Antimicrobial Resistance</w:t>
              </w:r>
              <w:r>
                <w:rPr>
                  <w:noProof/>
                </w:rPr>
                <w:t>. Retrieved from World Health Organisation: https://www.who.int/news-room/fact-sheets/detail/antimicrobial-resistance</w:t>
              </w:r>
            </w:p>
            <w:p w14:paraId="12B81919" w14:textId="77777777" w:rsidR="009A383C" w:rsidRDefault="009A383C" w:rsidP="009A383C">
              <w:pPr>
                <w:pStyle w:val="Bibliography"/>
                <w:ind w:left="720" w:hanging="720"/>
                <w:rPr>
                  <w:noProof/>
                </w:rPr>
              </w:pPr>
              <w:r>
                <w:rPr>
                  <w:noProof/>
                </w:rPr>
                <w:t xml:space="preserve">World Health Organisation. (2021). </w:t>
              </w:r>
              <w:r>
                <w:rPr>
                  <w:i/>
                  <w:iCs/>
                  <w:noProof/>
                </w:rPr>
                <w:t>Tripartite AMR Country Self-Assessment Survey (TrACSS) 2020-2021.</w:t>
              </w:r>
              <w:r>
                <w:rPr>
                  <w:noProof/>
                </w:rPr>
                <w:t xml:space="preserve"> Geneva: World Health Organisation.</w:t>
              </w:r>
            </w:p>
            <w:p w14:paraId="3BA78C0E" w14:textId="77777777" w:rsidR="009A383C" w:rsidRDefault="009A383C" w:rsidP="009A383C">
              <w:pPr>
                <w:pStyle w:val="Bibliography"/>
                <w:ind w:left="720" w:hanging="720"/>
                <w:rPr>
                  <w:noProof/>
                </w:rPr>
              </w:pPr>
              <w:r>
                <w:rPr>
                  <w:noProof/>
                </w:rPr>
                <w:t xml:space="preserve">World Health Organisation. (2021). </w:t>
              </w:r>
              <w:r>
                <w:rPr>
                  <w:i/>
                  <w:iCs/>
                  <w:noProof/>
                </w:rPr>
                <w:t>WHO integrated global surveillance on ESBL-producing E. coli using a “One Health” approach.</w:t>
              </w:r>
              <w:r>
                <w:rPr>
                  <w:noProof/>
                </w:rPr>
                <w:t xml:space="preserve"> Geneva: WHO.</w:t>
              </w:r>
            </w:p>
            <w:p w14:paraId="25B4C2DD" w14:textId="77777777" w:rsidR="009A383C" w:rsidRDefault="009A383C" w:rsidP="009A383C">
              <w:pPr>
                <w:pStyle w:val="Bibliography"/>
                <w:ind w:left="720" w:hanging="720"/>
                <w:rPr>
                  <w:noProof/>
                </w:rPr>
              </w:pPr>
              <w:r>
                <w:rPr>
                  <w:noProof/>
                </w:rPr>
                <w:t xml:space="preserve">World Health Organisation. (2022). </w:t>
              </w:r>
              <w:r>
                <w:rPr>
                  <w:i/>
                  <w:iCs/>
                  <w:noProof/>
                </w:rPr>
                <w:t>GLASS Resource Centre</w:t>
              </w:r>
              <w:r>
                <w:rPr>
                  <w:noProof/>
                </w:rPr>
                <w:t>. Retrieved from World Health Organisation: https://www.who.int/initiatives/glass/resource-centre#glassreports</w:t>
              </w:r>
            </w:p>
            <w:p w14:paraId="22A46098" w14:textId="77777777" w:rsidR="009A383C" w:rsidRDefault="009A383C" w:rsidP="009A383C">
              <w:pPr>
                <w:pStyle w:val="Bibliography"/>
                <w:ind w:left="720" w:hanging="720"/>
                <w:rPr>
                  <w:noProof/>
                </w:rPr>
              </w:pPr>
              <w:r>
                <w:rPr>
                  <w:noProof/>
                </w:rPr>
                <w:t xml:space="preserve">World Health Organisation. (2022). </w:t>
              </w:r>
              <w:r>
                <w:rPr>
                  <w:i/>
                  <w:iCs/>
                  <w:noProof/>
                </w:rPr>
                <w:t xml:space="preserve">Global Antimicrobial Resistance and Use Surveillance System (GLASS) </w:t>
              </w:r>
              <w:r>
                <w:rPr>
                  <w:noProof/>
                </w:rPr>
                <w:t>. Retrieved from World Health Organisation: https://www.who.int/initiatives/glass</w:t>
              </w:r>
            </w:p>
            <w:p w14:paraId="171A6590" w14:textId="77777777" w:rsidR="009A383C" w:rsidRDefault="009A383C" w:rsidP="009A383C">
              <w:pPr>
                <w:pStyle w:val="Bibliography"/>
                <w:ind w:left="720" w:hanging="720"/>
                <w:rPr>
                  <w:noProof/>
                </w:rPr>
              </w:pPr>
              <w:r>
                <w:rPr>
                  <w:noProof/>
                </w:rPr>
                <w:t xml:space="preserve">World Health Organisation. (2022). </w:t>
              </w:r>
              <w:r>
                <w:rPr>
                  <w:i/>
                  <w:iCs/>
                  <w:noProof/>
                </w:rPr>
                <w:t>PPS-AMU: Point prevalence survey on antibiotic use in hospitals</w:t>
              </w:r>
              <w:r>
                <w:rPr>
                  <w:noProof/>
                </w:rPr>
                <w:t>. Retrieved from World Health Organisation: https://www.who.int/initiatives/glass/glass-modules-8</w:t>
              </w:r>
            </w:p>
            <w:p w14:paraId="6AB6FD95" w14:textId="77777777" w:rsidR="009A383C" w:rsidRDefault="009A383C" w:rsidP="009A383C">
              <w:pPr>
                <w:pStyle w:val="Bibliography"/>
                <w:ind w:left="720" w:hanging="720"/>
                <w:rPr>
                  <w:noProof/>
                </w:rPr>
              </w:pPr>
              <w:r>
                <w:rPr>
                  <w:noProof/>
                </w:rPr>
                <w:t xml:space="preserve">World Health Organisation. (2022). </w:t>
              </w:r>
              <w:r>
                <w:rPr>
                  <w:i/>
                  <w:iCs/>
                  <w:noProof/>
                </w:rPr>
                <w:t>Strengthening WHO preparedness for and response to health emergencies: Strengthening collaboration on One Health.</w:t>
              </w:r>
              <w:r>
                <w:rPr>
                  <w:noProof/>
                </w:rPr>
                <w:t xml:space="preserve"> World Health Organisation.</w:t>
              </w:r>
            </w:p>
            <w:p w14:paraId="092B26C8" w14:textId="77777777" w:rsidR="009A383C" w:rsidRDefault="009A383C" w:rsidP="009A383C">
              <w:pPr>
                <w:pStyle w:val="Bibliography"/>
                <w:ind w:left="720" w:hanging="720"/>
                <w:rPr>
                  <w:noProof/>
                </w:rPr>
              </w:pPr>
              <w:r>
                <w:rPr>
                  <w:noProof/>
                </w:rPr>
                <w:t xml:space="preserve">World Health Organisation. (2022). </w:t>
              </w:r>
              <w:r>
                <w:rPr>
                  <w:i/>
                  <w:iCs/>
                  <w:noProof/>
                </w:rPr>
                <w:t>Tripartite Zoonoses Guide: Operational tools and approaches for zoonotic diseases</w:t>
              </w:r>
              <w:r>
                <w:rPr>
                  <w:noProof/>
                </w:rPr>
                <w:t>. Retrieved from World Health Organisation: https://www.who.int/initiatives/tripartite-zoonosis-guide</w:t>
              </w:r>
            </w:p>
            <w:p w14:paraId="577B7E7A" w14:textId="77777777" w:rsidR="009A383C" w:rsidRDefault="009A383C" w:rsidP="009A383C">
              <w:pPr>
                <w:pStyle w:val="Bibliography"/>
                <w:ind w:left="720" w:hanging="720"/>
                <w:rPr>
                  <w:noProof/>
                </w:rPr>
              </w:pPr>
              <w:r>
                <w:rPr>
                  <w:noProof/>
                </w:rPr>
                <w:t xml:space="preserve">World Health Organisation. Regional Office for the Western Pacific. (2008). </w:t>
              </w:r>
              <w:r>
                <w:rPr>
                  <w:i/>
                  <w:iCs/>
                  <w:noProof/>
                </w:rPr>
                <w:t>Zoonotic diseases : a guide to establishing collaboration between animal and human health sectors at the country level. .</w:t>
              </w:r>
              <w:r>
                <w:rPr>
                  <w:noProof/>
                </w:rPr>
                <w:t xml:space="preserve"> WHO Regional Office for the Western Pacific.</w:t>
              </w:r>
            </w:p>
            <w:p w14:paraId="37AFF486" w14:textId="77777777" w:rsidR="009A383C" w:rsidRDefault="009A383C" w:rsidP="009A383C">
              <w:pPr>
                <w:pStyle w:val="Bibliography"/>
                <w:ind w:left="720" w:hanging="720"/>
                <w:rPr>
                  <w:noProof/>
                </w:rPr>
              </w:pPr>
              <w:r>
                <w:rPr>
                  <w:noProof/>
                </w:rPr>
                <w:t xml:space="preserve">World Health Organization; Food and Agriculture Organization of the United Nations; United Nations Environment Programme; World Organisation for Animal Health. (2022). </w:t>
              </w:r>
              <w:r>
                <w:rPr>
                  <w:i/>
                  <w:iCs/>
                  <w:noProof/>
                </w:rPr>
                <w:t>Antimicrobial Resistance Multi-Partner Trust Fund annual report 2021.</w:t>
              </w:r>
              <w:r>
                <w:rPr>
                  <w:noProof/>
                </w:rPr>
                <w:t xml:space="preserve"> Geneva: United Nations MTPF Office.</w:t>
              </w:r>
            </w:p>
            <w:p w14:paraId="3195FE63" w14:textId="5C29C1D2" w:rsidR="005F3C9D" w:rsidRDefault="005F3C9D" w:rsidP="009A383C">
              <w:pPr>
                <w:pStyle w:val="ItadNormalText"/>
              </w:pPr>
              <w:r w:rsidRPr="0003374C">
                <w:fldChar w:fldCharType="end"/>
              </w:r>
            </w:p>
          </w:sdtContent>
        </w:sdt>
      </w:sdtContent>
    </w:sdt>
    <w:p w14:paraId="72EFB6B3" w14:textId="77777777" w:rsidR="005F3C9D" w:rsidRDefault="005F3C9D" w:rsidP="00BB4743">
      <w:pPr>
        <w:pStyle w:val="ItadNormalText"/>
      </w:pPr>
    </w:p>
    <w:p w14:paraId="60935749" w14:textId="77777777" w:rsidR="005F3C9D" w:rsidRDefault="005F3C9D" w:rsidP="00BB4743">
      <w:pPr>
        <w:pStyle w:val="ItadNormalText"/>
      </w:pPr>
    </w:p>
    <w:p w14:paraId="07C0BC4E" w14:textId="7140DE0C" w:rsidR="00A03302" w:rsidRDefault="00A03302" w:rsidP="00BB4743">
      <w:pPr>
        <w:pStyle w:val="ItadNormalText"/>
      </w:pPr>
      <w:r>
        <w:br w:type="page"/>
      </w:r>
    </w:p>
    <w:p w14:paraId="21E1049C" w14:textId="777D4E80" w:rsidR="001848A4" w:rsidRPr="004D05F4" w:rsidRDefault="08BCB6C0" w:rsidP="00093F07">
      <w:pPr>
        <w:pStyle w:val="ItadH1"/>
      </w:pPr>
      <w:bookmarkStart w:id="374" w:name="_Toc118968565"/>
      <w:bookmarkStart w:id="375" w:name="_Toc142383207"/>
      <w:r>
        <w:t xml:space="preserve">Annex </w:t>
      </w:r>
      <w:r w:rsidR="00AE14D5">
        <w:t>2</w:t>
      </w:r>
      <w:r w:rsidR="00A70655">
        <w:t>0</w:t>
      </w:r>
      <w:r>
        <w:t xml:space="preserve">: List of </w:t>
      </w:r>
      <w:r w:rsidR="00764EB0">
        <w:t>c</w:t>
      </w:r>
      <w:r>
        <w:t>onsultees</w:t>
      </w:r>
      <w:bookmarkEnd w:id="374"/>
      <w:bookmarkEnd w:id="375"/>
    </w:p>
    <w:p w14:paraId="6B498B1A" w14:textId="48616C8C" w:rsidR="01917EC2" w:rsidRDefault="01917EC2" w:rsidP="64C55F6E">
      <w:pPr>
        <w:pStyle w:val="BodyText"/>
      </w:pPr>
      <w:r>
        <w:t>Please note that some names are listed multiple times, under different categories</w:t>
      </w:r>
      <w:r w:rsidR="288846C9">
        <w:t>, for</w:t>
      </w:r>
      <w:r w:rsidR="001B6806">
        <w:t xml:space="preserve"> </w:t>
      </w:r>
      <w:r w:rsidR="288846C9">
        <w:t>the same country</w:t>
      </w:r>
      <w:r>
        <w:t xml:space="preserve">. When listed more than once within one country’s list of consultees, </w:t>
      </w:r>
      <w:r w:rsidR="736A9611">
        <w:t xml:space="preserve">* is placed after the name the second time it is listed, ** </w:t>
      </w:r>
      <w:r w:rsidR="24F738D8">
        <w:t xml:space="preserve">is </w:t>
      </w:r>
      <w:r w:rsidR="736A9611">
        <w:t>placed the third time the name is listed, etc.</w:t>
      </w:r>
    </w:p>
    <w:p w14:paraId="3929DB5A" w14:textId="4EB3F333" w:rsidR="001848A4" w:rsidRDefault="46C90ECF" w:rsidP="000D4F0C">
      <w:pPr>
        <w:pStyle w:val="ItadH2"/>
      </w:pPr>
      <w:bookmarkStart w:id="376" w:name="_Toc118968566"/>
      <w:bookmarkStart w:id="377" w:name="_Toc122209920"/>
      <w:bookmarkStart w:id="378" w:name="_Toc142383208"/>
      <w:r>
        <w:t>Global KIIs</w:t>
      </w:r>
      <w:bookmarkEnd w:id="376"/>
      <w:bookmarkEnd w:id="377"/>
      <w:bookmarkEnd w:id="378"/>
    </w:p>
    <w:tbl>
      <w:tblPr>
        <w:tblStyle w:val="Itadalternaterows"/>
        <w:tblW w:w="5000" w:type="pct"/>
        <w:tblInd w:w="0" w:type="dxa"/>
        <w:tblLook w:val="04A0" w:firstRow="1" w:lastRow="0" w:firstColumn="1" w:lastColumn="0" w:noHBand="0" w:noVBand="1"/>
      </w:tblPr>
      <w:tblGrid>
        <w:gridCol w:w="3170"/>
        <w:gridCol w:w="2143"/>
        <w:gridCol w:w="4195"/>
      </w:tblGrid>
      <w:tr w:rsidR="17D077F0" w14:paraId="40B3B6CD" w14:textId="77777777" w:rsidTr="00BB4743">
        <w:trPr>
          <w:cnfStyle w:val="100000000000" w:firstRow="1" w:lastRow="0" w:firstColumn="0" w:lastColumn="0" w:oddVBand="0" w:evenVBand="0" w:oddHBand="0" w:evenHBand="0" w:firstRowFirstColumn="0" w:firstRowLastColumn="0" w:lastRowFirstColumn="0" w:lastRowLastColumn="0"/>
          <w:trHeight w:val="340"/>
        </w:trPr>
        <w:tc>
          <w:tcPr>
            <w:tcW w:w="5000" w:type="pct"/>
            <w:gridSpan w:val="3"/>
          </w:tcPr>
          <w:p w14:paraId="1A6BCC83" w14:textId="18A3C2B2" w:rsidR="46C90ECF" w:rsidRPr="00AE14D5" w:rsidRDefault="46C90ECF" w:rsidP="17D077F0">
            <w:pPr>
              <w:spacing w:line="259" w:lineRule="auto"/>
              <w:rPr>
                <w:sz w:val="20"/>
                <w:szCs w:val="20"/>
              </w:rPr>
            </w:pPr>
            <w:r w:rsidRPr="17D077F0">
              <w:rPr>
                <w:rFonts w:cstheme="minorBidi"/>
                <w:color w:val="FFFFFF" w:themeColor="background1"/>
                <w:sz w:val="20"/>
                <w:szCs w:val="20"/>
                <w:lang w:eastAsia="en-GB"/>
              </w:rPr>
              <w:t>Global KIIs</w:t>
            </w:r>
          </w:p>
        </w:tc>
      </w:tr>
      <w:tr w:rsidR="17D077F0" w14:paraId="1C4967F1"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1667" w:type="pct"/>
          </w:tcPr>
          <w:p w14:paraId="7136C836" w14:textId="22B6E554" w:rsidR="46C90ECF" w:rsidRPr="00AE14D5" w:rsidRDefault="46C90ECF" w:rsidP="17D077F0">
            <w:pPr>
              <w:spacing w:line="259" w:lineRule="auto"/>
              <w:rPr>
                <w:sz w:val="20"/>
                <w:szCs w:val="20"/>
              </w:rPr>
            </w:pPr>
            <w:r w:rsidRPr="17D077F0">
              <w:rPr>
                <w:rFonts w:cstheme="minorBidi"/>
                <w:b/>
                <w:bCs/>
                <w:color w:val="auto"/>
                <w:sz w:val="20"/>
                <w:szCs w:val="20"/>
              </w:rPr>
              <w:t xml:space="preserve">Eileen </w:t>
            </w:r>
            <w:r w:rsidR="3F668BBF" w:rsidRPr="1B2B06ED">
              <w:rPr>
                <w:rFonts w:cstheme="minorBidi"/>
                <w:b/>
                <w:bCs/>
                <w:color w:val="auto"/>
                <w:sz w:val="20"/>
                <w:szCs w:val="20"/>
              </w:rPr>
              <w:t xml:space="preserve">A. </w:t>
            </w:r>
            <w:r w:rsidRPr="17D077F0">
              <w:rPr>
                <w:rFonts w:cstheme="minorBidi"/>
                <w:b/>
                <w:bCs/>
                <w:color w:val="auto"/>
                <w:sz w:val="20"/>
                <w:szCs w:val="20"/>
              </w:rPr>
              <w:t>Chappell</w:t>
            </w:r>
          </w:p>
        </w:tc>
        <w:tc>
          <w:tcPr>
            <w:tcW w:w="1127" w:type="pct"/>
          </w:tcPr>
          <w:p w14:paraId="60C02C69" w14:textId="0C85D884" w:rsidR="46C90ECF" w:rsidRDefault="005B5B44" w:rsidP="00BB4743">
            <w:pPr>
              <w:rPr>
                <w:rFonts w:cstheme="minorBidi"/>
                <w:color w:val="auto"/>
                <w:sz w:val="20"/>
                <w:szCs w:val="20"/>
              </w:rPr>
            </w:pPr>
            <w:r>
              <w:rPr>
                <w:rFonts w:cstheme="minorBidi"/>
                <w:color w:val="auto"/>
                <w:sz w:val="20"/>
                <w:szCs w:val="20"/>
              </w:rPr>
              <w:t>MA</w:t>
            </w:r>
          </w:p>
        </w:tc>
        <w:tc>
          <w:tcPr>
            <w:tcW w:w="2206" w:type="pct"/>
          </w:tcPr>
          <w:p w14:paraId="7C15FAA2" w14:textId="1D561AA4" w:rsidR="46C90ECF" w:rsidRDefault="46C90ECF" w:rsidP="00BB4743">
            <w:pPr>
              <w:rPr>
                <w:rFonts w:cstheme="minorBidi"/>
                <w:color w:val="auto"/>
                <w:sz w:val="20"/>
                <w:szCs w:val="20"/>
              </w:rPr>
            </w:pPr>
            <w:r w:rsidRPr="17D077F0">
              <w:rPr>
                <w:rFonts w:cstheme="minorBidi"/>
                <w:color w:val="auto"/>
                <w:sz w:val="20"/>
                <w:szCs w:val="20"/>
              </w:rPr>
              <w:t>Fleming Fellowship Scheme Coordinator</w:t>
            </w:r>
          </w:p>
        </w:tc>
      </w:tr>
      <w:tr w:rsidR="17D077F0" w14:paraId="1EB3957D"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009CE2BE" w14:textId="52DFAE37" w:rsidR="46C90ECF" w:rsidRDefault="46C90ECF" w:rsidP="17D077F0">
            <w:pPr>
              <w:rPr>
                <w:rFonts w:cstheme="minorBidi"/>
                <w:b/>
                <w:bCs/>
                <w:color w:val="auto"/>
                <w:sz w:val="20"/>
                <w:szCs w:val="20"/>
              </w:rPr>
            </w:pPr>
            <w:r w:rsidRPr="17D077F0">
              <w:rPr>
                <w:rFonts w:cstheme="minorBidi"/>
                <w:b/>
                <w:bCs/>
                <w:color w:val="auto"/>
                <w:sz w:val="20"/>
                <w:szCs w:val="20"/>
              </w:rPr>
              <w:t>Steve</w:t>
            </w:r>
            <w:r w:rsidR="77B65CAF" w:rsidRPr="1B2B06ED">
              <w:rPr>
                <w:rFonts w:cstheme="minorBidi"/>
                <w:b/>
                <w:bCs/>
                <w:color w:val="auto"/>
                <w:sz w:val="20"/>
                <w:szCs w:val="20"/>
              </w:rPr>
              <w:t xml:space="preserve"> A. Wilson</w:t>
            </w:r>
          </w:p>
        </w:tc>
        <w:tc>
          <w:tcPr>
            <w:tcW w:w="1127" w:type="pct"/>
          </w:tcPr>
          <w:p w14:paraId="20C86BEA" w14:textId="148FA216" w:rsidR="46C90ECF" w:rsidRDefault="005B5B44" w:rsidP="00BB4743">
            <w:pPr>
              <w:rPr>
                <w:rFonts w:cstheme="minorBidi"/>
                <w:color w:val="auto"/>
                <w:sz w:val="20"/>
                <w:szCs w:val="20"/>
              </w:rPr>
            </w:pPr>
            <w:r>
              <w:rPr>
                <w:rFonts w:cstheme="minorBidi"/>
                <w:color w:val="auto"/>
                <w:sz w:val="20"/>
                <w:szCs w:val="20"/>
              </w:rPr>
              <w:t>MA</w:t>
            </w:r>
          </w:p>
        </w:tc>
        <w:tc>
          <w:tcPr>
            <w:tcW w:w="2206" w:type="pct"/>
          </w:tcPr>
          <w:p w14:paraId="7B7E0BFB" w14:textId="0F640370" w:rsidR="46C90ECF" w:rsidRDefault="46C90ECF" w:rsidP="00BB4743">
            <w:pPr>
              <w:rPr>
                <w:rFonts w:cstheme="minorBidi"/>
                <w:color w:val="auto"/>
                <w:sz w:val="20"/>
                <w:szCs w:val="20"/>
              </w:rPr>
            </w:pPr>
            <w:r w:rsidRPr="17D077F0">
              <w:rPr>
                <w:rFonts w:cstheme="minorBidi"/>
                <w:color w:val="auto"/>
                <w:sz w:val="20"/>
                <w:szCs w:val="20"/>
              </w:rPr>
              <w:t>Programme Director – Finance and programme management</w:t>
            </w:r>
          </w:p>
        </w:tc>
      </w:tr>
      <w:tr w:rsidR="17D077F0" w14:paraId="2C1DFA3B"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1667" w:type="pct"/>
          </w:tcPr>
          <w:p w14:paraId="52BD4A82" w14:textId="5C4183F3" w:rsidR="46C90ECF" w:rsidRDefault="46C90ECF" w:rsidP="17D077F0">
            <w:pPr>
              <w:rPr>
                <w:rFonts w:cstheme="minorBidi"/>
                <w:b/>
                <w:bCs/>
                <w:color w:val="auto"/>
                <w:sz w:val="20"/>
                <w:szCs w:val="20"/>
              </w:rPr>
            </w:pPr>
            <w:r w:rsidRPr="17D077F0">
              <w:rPr>
                <w:rFonts w:cstheme="minorBidi"/>
                <w:b/>
                <w:bCs/>
                <w:color w:val="auto"/>
                <w:sz w:val="20"/>
                <w:szCs w:val="20"/>
              </w:rPr>
              <w:t>Toby</w:t>
            </w:r>
            <w:r w:rsidR="7EA94C04" w:rsidRPr="1B2B06ED">
              <w:rPr>
                <w:rFonts w:cstheme="minorBidi"/>
                <w:b/>
                <w:bCs/>
                <w:color w:val="auto"/>
                <w:sz w:val="20"/>
                <w:szCs w:val="20"/>
              </w:rPr>
              <w:t xml:space="preserve"> J. Leslie</w:t>
            </w:r>
          </w:p>
        </w:tc>
        <w:tc>
          <w:tcPr>
            <w:tcW w:w="1127" w:type="pct"/>
          </w:tcPr>
          <w:p w14:paraId="5B7BC01A" w14:textId="5E1457A9" w:rsidR="46C90ECF" w:rsidRDefault="005B5B44" w:rsidP="00BB4743">
            <w:pPr>
              <w:rPr>
                <w:rFonts w:cstheme="minorBidi"/>
                <w:color w:val="auto"/>
                <w:sz w:val="20"/>
                <w:szCs w:val="20"/>
              </w:rPr>
            </w:pPr>
            <w:r>
              <w:rPr>
                <w:rFonts w:cstheme="minorBidi"/>
                <w:color w:val="auto"/>
                <w:sz w:val="20"/>
                <w:szCs w:val="20"/>
              </w:rPr>
              <w:t>MA</w:t>
            </w:r>
          </w:p>
        </w:tc>
        <w:tc>
          <w:tcPr>
            <w:tcW w:w="2206" w:type="pct"/>
          </w:tcPr>
          <w:p w14:paraId="6D3EBAE5" w14:textId="5BF26A71" w:rsidR="46C90ECF" w:rsidRDefault="46C90ECF" w:rsidP="00BB4743">
            <w:pPr>
              <w:rPr>
                <w:rFonts w:cstheme="minorBidi"/>
                <w:color w:val="auto"/>
                <w:sz w:val="20"/>
                <w:szCs w:val="20"/>
              </w:rPr>
            </w:pPr>
            <w:r w:rsidRPr="17D077F0">
              <w:rPr>
                <w:rFonts w:cstheme="minorBidi"/>
                <w:color w:val="auto"/>
                <w:sz w:val="20"/>
                <w:szCs w:val="20"/>
              </w:rPr>
              <w:t>Technical Lead</w:t>
            </w:r>
          </w:p>
        </w:tc>
      </w:tr>
      <w:tr w:rsidR="17D077F0" w14:paraId="581EB1DB"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72C8996C" w14:textId="702B7AFC" w:rsidR="46C90ECF" w:rsidRDefault="46C90ECF" w:rsidP="17D077F0">
            <w:pPr>
              <w:rPr>
                <w:rFonts w:cstheme="minorBidi"/>
                <w:b/>
                <w:bCs/>
                <w:color w:val="auto"/>
                <w:sz w:val="20"/>
                <w:szCs w:val="20"/>
              </w:rPr>
            </w:pPr>
            <w:r w:rsidRPr="17D077F0">
              <w:rPr>
                <w:rFonts w:cstheme="minorBidi"/>
                <w:b/>
                <w:bCs/>
                <w:color w:val="auto"/>
                <w:sz w:val="20"/>
                <w:szCs w:val="20"/>
              </w:rPr>
              <w:t>Sriram</w:t>
            </w:r>
            <w:r w:rsidR="7D77C8F4" w:rsidRPr="1B2B06ED">
              <w:rPr>
                <w:rFonts w:cstheme="minorBidi"/>
                <w:b/>
                <w:bCs/>
                <w:color w:val="auto"/>
                <w:sz w:val="20"/>
                <w:szCs w:val="20"/>
              </w:rPr>
              <w:t xml:space="preserve"> Raghu</w:t>
            </w:r>
          </w:p>
        </w:tc>
        <w:tc>
          <w:tcPr>
            <w:tcW w:w="1127" w:type="pct"/>
          </w:tcPr>
          <w:p w14:paraId="0F03E2F4" w14:textId="6EDDEB91" w:rsidR="46C90ECF" w:rsidRDefault="005B5B44" w:rsidP="00BB4743">
            <w:pPr>
              <w:rPr>
                <w:rFonts w:cstheme="minorBidi"/>
                <w:color w:val="auto"/>
                <w:sz w:val="20"/>
                <w:szCs w:val="20"/>
              </w:rPr>
            </w:pPr>
            <w:r>
              <w:rPr>
                <w:rFonts w:cstheme="minorBidi"/>
                <w:color w:val="auto"/>
                <w:sz w:val="20"/>
                <w:szCs w:val="20"/>
              </w:rPr>
              <w:t>MA</w:t>
            </w:r>
          </w:p>
        </w:tc>
        <w:tc>
          <w:tcPr>
            <w:tcW w:w="2206" w:type="pct"/>
          </w:tcPr>
          <w:p w14:paraId="27B39EF0" w14:textId="36E7E232" w:rsidR="46C90ECF" w:rsidRDefault="46C90ECF" w:rsidP="00BB4743">
            <w:pPr>
              <w:rPr>
                <w:rFonts w:cstheme="minorBidi"/>
                <w:color w:val="auto"/>
                <w:sz w:val="20"/>
                <w:szCs w:val="20"/>
              </w:rPr>
            </w:pPr>
            <w:r w:rsidRPr="17D077F0">
              <w:rPr>
                <w:rFonts w:cstheme="minorBidi"/>
                <w:color w:val="auto"/>
                <w:sz w:val="20"/>
                <w:szCs w:val="20"/>
              </w:rPr>
              <w:t>Procurement</w:t>
            </w:r>
          </w:p>
        </w:tc>
      </w:tr>
      <w:tr w:rsidR="17D077F0" w14:paraId="5CBF7AFD"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1667" w:type="pct"/>
          </w:tcPr>
          <w:p w14:paraId="7E532620" w14:textId="4BD27E11" w:rsidR="46C90ECF" w:rsidRDefault="46C90ECF" w:rsidP="17D077F0">
            <w:pPr>
              <w:rPr>
                <w:rFonts w:cstheme="minorBidi"/>
                <w:b/>
                <w:bCs/>
                <w:color w:val="auto"/>
                <w:sz w:val="20"/>
                <w:szCs w:val="20"/>
              </w:rPr>
            </w:pPr>
            <w:r w:rsidRPr="17D077F0">
              <w:rPr>
                <w:rFonts w:cstheme="minorBidi"/>
                <w:b/>
                <w:bCs/>
                <w:color w:val="auto"/>
                <w:sz w:val="20"/>
                <w:szCs w:val="20"/>
              </w:rPr>
              <w:t>Adrienne</w:t>
            </w:r>
            <w:r w:rsidR="08893589" w:rsidRPr="742CCB01">
              <w:rPr>
                <w:rFonts w:cstheme="minorBidi"/>
                <w:b/>
                <w:bCs/>
                <w:color w:val="auto"/>
                <w:sz w:val="20"/>
                <w:szCs w:val="20"/>
              </w:rPr>
              <w:t xml:space="preserve"> </w:t>
            </w:r>
            <w:r w:rsidR="08893589" w:rsidRPr="1B2B06ED">
              <w:rPr>
                <w:rFonts w:cstheme="minorBidi"/>
                <w:b/>
                <w:bCs/>
                <w:color w:val="auto"/>
                <w:sz w:val="20"/>
                <w:szCs w:val="20"/>
              </w:rPr>
              <w:t>Chattoe-Brown</w:t>
            </w:r>
          </w:p>
        </w:tc>
        <w:tc>
          <w:tcPr>
            <w:tcW w:w="1127" w:type="pct"/>
          </w:tcPr>
          <w:p w14:paraId="52708FB5" w14:textId="56BFD780" w:rsidR="46C90ECF" w:rsidRDefault="005B5B44" w:rsidP="00BB4743">
            <w:pPr>
              <w:rPr>
                <w:rFonts w:cstheme="minorBidi"/>
                <w:color w:val="auto"/>
                <w:sz w:val="20"/>
                <w:szCs w:val="20"/>
              </w:rPr>
            </w:pPr>
            <w:r>
              <w:rPr>
                <w:rFonts w:cstheme="minorBidi"/>
                <w:color w:val="auto"/>
                <w:sz w:val="20"/>
                <w:szCs w:val="20"/>
              </w:rPr>
              <w:t>MA</w:t>
            </w:r>
          </w:p>
        </w:tc>
        <w:tc>
          <w:tcPr>
            <w:tcW w:w="2206" w:type="pct"/>
          </w:tcPr>
          <w:p w14:paraId="5F9D29FE" w14:textId="57879E09" w:rsidR="46C90ECF" w:rsidRDefault="46C90ECF" w:rsidP="00BB4743">
            <w:pPr>
              <w:rPr>
                <w:rFonts w:cstheme="minorBidi"/>
                <w:color w:val="auto"/>
                <w:sz w:val="20"/>
                <w:szCs w:val="20"/>
              </w:rPr>
            </w:pPr>
            <w:r w:rsidRPr="17D077F0">
              <w:rPr>
                <w:rFonts w:cstheme="minorBidi"/>
                <w:color w:val="auto"/>
                <w:sz w:val="20"/>
                <w:szCs w:val="20"/>
              </w:rPr>
              <w:t>VfM Lead</w:t>
            </w:r>
          </w:p>
        </w:tc>
      </w:tr>
      <w:tr w:rsidR="17D077F0" w14:paraId="575F3496"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0FCCAC2C" w14:textId="6899C950" w:rsidR="46C90ECF" w:rsidRDefault="46C90ECF" w:rsidP="17D077F0">
            <w:pPr>
              <w:rPr>
                <w:rFonts w:cstheme="minorBidi"/>
                <w:b/>
                <w:bCs/>
                <w:color w:val="auto"/>
                <w:sz w:val="20"/>
                <w:szCs w:val="20"/>
              </w:rPr>
            </w:pPr>
            <w:r w:rsidRPr="17D077F0">
              <w:rPr>
                <w:rFonts w:cstheme="minorBidi"/>
                <w:b/>
                <w:bCs/>
                <w:color w:val="auto"/>
                <w:sz w:val="20"/>
                <w:szCs w:val="20"/>
              </w:rPr>
              <w:t>Luna Parry</w:t>
            </w:r>
          </w:p>
        </w:tc>
        <w:tc>
          <w:tcPr>
            <w:tcW w:w="1127" w:type="pct"/>
          </w:tcPr>
          <w:p w14:paraId="2A11F523" w14:textId="6066D9D5" w:rsidR="46C90ECF" w:rsidRDefault="005B5B44" w:rsidP="00BB4743">
            <w:pPr>
              <w:rPr>
                <w:rFonts w:cstheme="minorBidi"/>
                <w:color w:val="auto"/>
                <w:sz w:val="20"/>
                <w:szCs w:val="20"/>
              </w:rPr>
            </w:pPr>
            <w:r>
              <w:rPr>
                <w:rFonts w:cstheme="minorBidi"/>
                <w:color w:val="auto"/>
                <w:sz w:val="20"/>
                <w:szCs w:val="20"/>
              </w:rPr>
              <w:t>MA</w:t>
            </w:r>
          </w:p>
        </w:tc>
        <w:tc>
          <w:tcPr>
            <w:tcW w:w="2206" w:type="pct"/>
          </w:tcPr>
          <w:p w14:paraId="220581FC" w14:textId="6D13933E" w:rsidR="46C90ECF" w:rsidRDefault="46C90ECF" w:rsidP="00BB4743">
            <w:pPr>
              <w:rPr>
                <w:rFonts w:cstheme="minorBidi"/>
                <w:color w:val="auto"/>
                <w:sz w:val="20"/>
                <w:szCs w:val="20"/>
              </w:rPr>
            </w:pPr>
            <w:r w:rsidRPr="17D077F0">
              <w:rPr>
                <w:rFonts w:cstheme="minorBidi"/>
                <w:color w:val="auto"/>
                <w:sz w:val="20"/>
                <w:szCs w:val="20"/>
              </w:rPr>
              <w:t>Regional Coordinator</w:t>
            </w:r>
          </w:p>
        </w:tc>
      </w:tr>
      <w:tr w:rsidR="06450652" w14:paraId="6E9A7658"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1667" w:type="pct"/>
          </w:tcPr>
          <w:p w14:paraId="53EB9789" w14:textId="291CF51A" w:rsidR="11E51D95" w:rsidRDefault="11E51D95" w:rsidP="06450652">
            <w:pPr>
              <w:spacing w:line="259" w:lineRule="auto"/>
              <w:rPr>
                <w:rFonts w:cstheme="minorBidi"/>
                <w:b/>
                <w:bCs/>
                <w:color w:val="auto"/>
                <w:sz w:val="20"/>
                <w:szCs w:val="20"/>
              </w:rPr>
            </w:pPr>
            <w:r w:rsidRPr="06450652">
              <w:rPr>
                <w:rFonts w:cstheme="minorBidi"/>
                <w:b/>
                <w:bCs/>
                <w:color w:val="auto"/>
                <w:sz w:val="20"/>
                <w:szCs w:val="20"/>
              </w:rPr>
              <w:t>Jemima Clarke</w:t>
            </w:r>
          </w:p>
        </w:tc>
        <w:tc>
          <w:tcPr>
            <w:tcW w:w="1127" w:type="pct"/>
          </w:tcPr>
          <w:p w14:paraId="19FCC172" w14:textId="70DC8C18" w:rsidR="11E51D95" w:rsidRDefault="11E51D95" w:rsidP="00BB4743">
            <w:pPr>
              <w:spacing w:line="259" w:lineRule="auto"/>
              <w:rPr>
                <w:rFonts w:cstheme="minorBidi"/>
                <w:color w:val="auto"/>
                <w:sz w:val="20"/>
                <w:szCs w:val="20"/>
              </w:rPr>
            </w:pPr>
            <w:r w:rsidRPr="06450652">
              <w:rPr>
                <w:rFonts w:cstheme="minorBidi"/>
                <w:color w:val="auto"/>
                <w:sz w:val="20"/>
                <w:szCs w:val="20"/>
              </w:rPr>
              <w:t>DHSC</w:t>
            </w:r>
          </w:p>
        </w:tc>
        <w:tc>
          <w:tcPr>
            <w:tcW w:w="2206" w:type="pct"/>
          </w:tcPr>
          <w:p w14:paraId="6EBD5FE6" w14:textId="2601B2BA" w:rsidR="11E51D95" w:rsidRDefault="11E51D95" w:rsidP="00BB4743">
            <w:pPr>
              <w:spacing w:line="259" w:lineRule="auto"/>
              <w:rPr>
                <w:rFonts w:cstheme="minorBidi"/>
                <w:color w:val="auto"/>
                <w:sz w:val="20"/>
                <w:szCs w:val="20"/>
              </w:rPr>
            </w:pPr>
            <w:r w:rsidRPr="06450652">
              <w:rPr>
                <w:rFonts w:cstheme="minorBidi"/>
                <w:color w:val="auto"/>
                <w:sz w:val="20"/>
                <w:szCs w:val="20"/>
              </w:rPr>
              <w:t>Fleming Fellowship Scheme Coordinator</w:t>
            </w:r>
          </w:p>
        </w:tc>
      </w:tr>
    </w:tbl>
    <w:p w14:paraId="3F0AA65E" w14:textId="77777777" w:rsidR="00AC10DF" w:rsidRDefault="00AC10DF" w:rsidP="00BB4743">
      <w:pPr>
        <w:pStyle w:val="ItadNormalText"/>
      </w:pPr>
      <w:bookmarkStart w:id="379" w:name="_Toc118968567"/>
    </w:p>
    <w:p w14:paraId="1393C929" w14:textId="48B76781" w:rsidR="04071F07" w:rsidRPr="000D4F0C" w:rsidRDefault="04071F07" w:rsidP="000D4F0C">
      <w:pPr>
        <w:pStyle w:val="ItadH2"/>
      </w:pPr>
      <w:bookmarkStart w:id="380" w:name="_Toc122209921"/>
      <w:bookmarkStart w:id="381" w:name="_Toc142383209"/>
      <w:r w:rsidRPr="000D4F0C">
        <w:t>Host Institutions KIIs</w:t>
      </w:r>
      <w:bookmarkEnd w:id="379"/>
      <w:bookmarkEnd w:id="380"/>
      <w:bookmarkEnd w:id="381"/>
    </w:p>
    <w:tbl>
      <w:tblPr>
        <w:tblStyle w:val="Itadalternaterows"/>
        <w:tblW w:w="0" w:type="auto"/>
        <w:tblInd w:w="0" w:type="dxa"/>
        <w:tblLook w:val="04A0" w:firstRow="1" w:lastRow="0" w:firstColumn="1" w:lastColumn="0" w:noHBand="0" w:noVBand="1"/>
      </w:tblPr>
      <w:tblGrid>
        <w:gridCol w:w="3159"/>
        <w:gridCol w:w="3179"/>
        <w:gridCol w:w="3170"/>
      </w:tblGrid>
      <w:tr w:rsidR="17D077F0" w:rsidRPr="001B7050" w14:paraId="27BC84D3" w14:textId="77777777" w:rsidTr="00BB4743">
        <w:trPr>
          <w:cnfStyle w:val="100000000000" w:firstRow="1" w:lastRow="0" w:firstColumn="0" w:lastColumn="0" w:oddVBand="0" w:evenVBand="0" w:oddHBand="0" w:evenHBand="0" w:firstRowFirstColumn="0" w:firstRowLastColumn="0" w:lastRowFirstColumn="0" w:lastRowLastColumn="0"/>
          <w:trHeight w:val="340"/>
        </w:trPr>
        <w:tc>
          <w:tcPr>
            <w:tcW w:w="0" w:type="dxa"/>
            <w:gridSpan w:val="3"/>
          </w:tcPr>
          <w:p w14:paraId="47FE98F0" w14:textId="0F718C44" w:rsidR="7F2B3323" w:rsidRPr="00135E03" w:rsidRDefault="7F2B3323" w:rsidP="00BB4743">
            <w:pPr>
              <w:spacing w:line="259" w:lineRule="auto"/>
              <w:jc w:val="both"/>
              <w:rPr>
                <w:rFonts w:cs="Calibri"/>
                <w:color w:val="FFFFFF" w:themeColor="background1"/>
                <w:sz w:val="20"/>
                <w:szCs w:val="20"/>
                <w:lang w:val="pt-PT" w:eastAsia="en-GB"/>
              </w:rPr>
            </w:pPr>
            <w:r w:rsidRPr="00135E03">
              <w:rPr>
                <w:rFonts w:cs="Calibri"/>
                <w:color w:val="FFFFFF" w:themeColor="background1"/>
                <w:sz w:val="20"/>
                <w:szCs w:val="20"/>
                <w:lang w:val="pt-PT" w:eastAsia="en-GB"/>
              </w:rPr>
              <w:t xml:space="preserve">Bhutan, Nepal, </w:t>
            </w:r>
            <w:r w:rsidR="00260B8A">
              <w:rPr>
                <w:rFonts w:cs="Calibri"/>
                <w:color w:val="FFFFFF" w:themeColor="background1"/>
                <w:sz w:val="20"/>
                <w:szCs w:val="20"/>
                <w:lang w:val="pt-PT" w:eastAsia="en-GB"/>
              </w:rPr>
              <w:t>Timor-Leste</w:t>
            </w:r>
            <w:r w:rsidRPr="00135E03">
              <w:rPr>
                <w:rFonts w:cs="Calibri"/>
                <w:color w:val="FFFFFF" w:themeColor="background1"/>
                <w:sz w:val="20"/>
                <w:szCs w:val="20"/>
                <w:lang w:val="pt-PT" w:eastAsia="en-GB"/>
              </w:rPr>
              <w:t>, Pakistan</w:t>
            </w:r>
          </w:p>
        </w:tc>
      </w:tr>
      <w:tr w:rsidR="17D077F0" w:rsidRPr="00135E03" w14:paraId="52A77589"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1CF33E7D" w14:textId="7C949F33" w:rsidR="7F2B3323" w:rsidRPr="00135E03" w:rsidRDefault="7F2B3323" w:rsidP="00BB4743">
            <w:pPr>
              <w:spacing w:line="259" w:lineRule="auto"/>
              <w:jc w:val="both"/>
              <w:rPr>
                <w:rFonts w:cs="Calibri"/>
                <w:b/>
                <w:bCs/>
                <w:color w:val="auto"/>
                <w:sz w:val="20"/>
                <w:szCs w:val="20"/>
              </w:rPr>
            </w:pPr>
            <w:r w:rsidRPr="00135E03">
              <w:rPr>
                <w:rFonts w:cs="Calibri"/>
                <w:b/>
                <w:bCs/>
                <w:color w:val="auto"/>
                <w:sz w:val="20"/>
                <w:szCs w:val="20"/>
              </w:rPr>
              <w:t>Benjamin Howden</w:t>
            </w:r>
          </w:p>
        </w:tc>
        <w:tc>
          <w:tcPr>
            <w:tcW w:w="0" w:type="dxa"/>
          </w:tcPr>
          <w:p w14:paraId="4A1BC6A4" w14:textId="6C25455C" w:rsidR="7F2B3323" w:rsidRPr="00135E03" w:rsidRDefault="7F2B3323" w:rsidP="00BB4743">
            <w:pPr>
              <w:jc w:val="both"/>
              <w:rPr>
                <w:rFonts w:cs="Calibri"/>
                <w:color w:val="auto"/>
                <w:sz w:val="20"/>
                <w:szCs w:val="20"/>
              </w:rPr>
            </w:pPr>
            <w:r w:rsidRPr="00135E03">
              <w:rPr>
                <w:rFonts w:cs="Calibri"/>
                <w:color w:val="auto"/>
                <w:sz w:val="20"/>
                <w:szCs w:val="20"/>
              </w:rPr>
              <w:t>Doherty Institute/University of Melbourne</w:t>
            </w:r>
          </w:p>
        </w:tc>
        <w:tc>
          <w:tcPr>
            <w:tcW w:w="0" w:type="dxa"/>
          </w:tcPr>
          <w:p w14:paraId="7B825845" w14:textId="1A8B10EA" w:rsidR="17D077F0" w:rsidRPr="00135E03" w:rsidRDefault="07D35A67" w:rsidP="00BB4743">
            <w:pPr>
              <w:jc w:val="both"/>
              <w:rPr>
                <w:rFonts w:cs="Calibri"/>
                <w:color w:val="auto"/>
                <w:sz w:val="20"/>
                <w:szCs w:val="20"/>
              </w:rPr>
            </w:pPr>
            <w:r w:rsidRPr="00135E03">
              <w:rPr>
                <w:rFonts w:cs="Calibri"/>
                <w:color w:val="auto"/>
                <w:sz w:val="20"/>
                <w:szCs w:val="20"/>
              </w:rPr>
              <w:t>Program</w:t>
            </w:r>
            <w:r w:rsidR="00813FEE" w:rsidRPr="00135E03">
              <w:rPr>
                <w:rFonts w:cs="Calibri"/>
                <w:color w:val="auto"/>
                <w:sz w:val="20"/>
                <w:szCs w:val="20"/>
              </w:rPr>
              <w:t>me</w:t>
            </w:r>
            <w:r w:rsidRPr="00135E03">
              <w:rPr>
                <w:rFonts w:cs="Calibri"/>
                <w:color w:val="auto"/>
                <w:sz w:val="20"/>
                <w:szCs w:val="20"/>
              </w:rPr>
              <w:t xml:space="preserve"> Director, Fleming Fund Fellowship Scheme</w:t>
            </w:r>
          </w:p>
        </w:tc>
      </w:tr>
      <w:tr w:rsidR="17D077F0" w:rsidRPr="00135E03" w14:paraId="23220E9C"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3956FE5A" w14:textId="5A8DA9F4" w:rsidR="7F2B3323" w:rsidRPr="00135E03" w:rsidRDefault="7F2B3323" w:rsidP="00BB4743">
            <w:pPr>
              <w:spacing w:line="259" w:lineRule="auto"/>
              <w:jc w:val="both"/>
              <w:rPr>
                <w:rFonts w:cs="Calibri"/>
                <w:b/>
                <w:bCs/>
                <w:color w:val="auto"/>
                <w:sz w:val="20"/>
                <w:szCs w:val="20"/>
              </w:rPr>
            </w:pPr>
            <w:r w:rsidRPr="00135E03">
              <w:rPr>
                <w:rFonts w:cs="Calibri"/>
                <w:b/>
                <w:bCs/>
                <w:color w:val="auto"/>
                <w:sz w:val="20"/>
                <w:szCs w:val="20"/>
              </w:rPr>
              <w:t>Glenn Browning</w:t>
            </w:r>
          </w:p>
        </w:tc>
        <w:tc>
          <w:tcPr>
            <w:tcW w:w="0" w:type="dxa"/>
          </w:tcPr>
          <w:p w14:paraId="182DE031" w14:textId="52B3E2DC" w:rsidR="7F2B3323" w:rsidRPr="00135E03" w:rsidRDefault="7F2B3323" w:rsidP="00BB4743">
            <w:pPr>
              <w:jc w:val="both"/>
              <w:rPr>
                <w:rFonts w:cs="Calibri"/>
                <w:color w:val="auto"/>
                <w:sz w:val="20"/>
                <w:szCs w:val="20"/>
              </w:rPr>
            </w:pPr>
            <w:r w:rsidRPr="00135E03">
              <w:rPr>
                <w:rFonts w:cs="Calibri"/>
                <w:color w:val="auto"/>
                <w:sz w:val="20"/>
                <w:szCs w:val="20"/>
              </w:rPr>
              <w:t>Doherty Institute/University of Melbourne</w:t>
            </w:r>
          </w:p>
        </w:tc>
        <w:tc>
          <w:tcPr>
            <w:tcW w:w="0" w:type="dxa"/>
          </w:tcPr>
          <w:p w14:paraId="6C4E6C9A" w14:textId="6B2D4C5F" w:rsidR="0D9B7809" w:rsidRPr="00135E03" w:rsidRDefault="0D9B7809" w:rsidP="00BB4743">
            <w:pPr>
              <w:jc w:val="both"/>
              <w:rPr>
                <w:rFonts w:cs="Calibri"/>
                <w:color w:val="auto"/>
                <w:sz w:val="20"/>
                <w:szCs w:val="20"/>
              </w:rPr>
            </w:pPr>
            <w:r w:rsidRPr="00135E03">
              <w:rPr>
                <w:rFonts w:cs="Calibri"/>
                <w:color w:val="auto"/>
                <w:sz w:val="20"/>
                <w:szCs w:val="20"/>
              </w:rPr>
              <w:t>Veterinary Microbiologist</w:t>
            </w:r>
          </w:p>
        </w:tc>
      </w:tr>
      <w:tr w:rsidR="17D077F0" w:rsidRPr="00135E03" w14:paraId="0A72F1E7"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3B524317" w14:textId="26BDBD7A" w:rsidR="7F2B3323" w:rsidRPr="00135E03" w:rsidRDefault="7F2B3323" w:rsidP="00BB4743">
            <w:pPr>
              <w:spacing w:line="259" w:lineRule="auto"/>
              <w:jc w:val="both"/>
              <w:rPr>
                <w:rFonts w:cs="Calibri"/>
                <w:b/>
                <w:bCs/>
                <w:color w:val="auto"/>
                <w:sz w:val="20"/>
                <w:szCs w:val="20"/>
              </w:rPr>
            </w:pPr>
            <w:r w:rsidRPr="00135E03">
              <w:rPr>
                <w:rFonts w:cs="Calibri"/>
                <w:b/>
                <w:bCs/>
                <w:color w:val="auto"/>
                <w:sz w:val="20"/>
                <w:szCs w:val="20"/>
              </w:rPr>
              <w:t>Chantel Lin</w:t>
            </w:r>
          </w:p>
        </w:tc>
        <w:tc>
          <w:tcPr>
            <w:tcW w:w="0" w:type="dxa"/>
          </w:tcPr>
          <w:p w14:paraId="7367BC11" w14:textId="2250307F" w:rsidR="7F2B3323" w:rsidRPr="00135E03" w:rsidRDefault="7F2B3323" w:rsidP="00BB4743">
            <w:pPr>
              <w:jc w:val="both"/>
              <w:rPr>
                <w:rFonts w:cs="Calibri"/>
                <w:color w:val="auto"/>
                <w:sz w:val="20"/>
                <w:szCs w:val="20"/>
              </w:rPr>
            </w:pPr>
            <w:r w:rsidRPr="00135E03">
              <w:rPr>
                <w:rFonts w:cs="Calibri"/>
                <w:color w:val="auto"/>
                <w:sz w:val="20"/>
                <w:szCs w:val="20"/>
              </w:rPr>
              <w:t>Doherty Institute/University of Melbourne</w:t>
            </w:r>
          </w:p>
        </w:tc>
        <w:tc>
          <w:tcPr>
            <w:tcW w:w="0" w:type="dxa"/>
          </w:tcPr>
          <w:p w14:paraId="40DBEC15" w14:textId="3EB6B06A" w:rsidR="22000ACA" w:rsidRPr="00135E03" w:rsidRDefault="22000ACA" w:rsidP="00BB4743">
            <w:pPr>
              <w:jc w:val="both"/>
              <w:rPr>
                <w:rFonts w:cs="Calibri"/>
                <w:color w:val="auto"/>
                <w:sz w:val="20"/>
                <w:szCs w:val="20"/>
              </w:rPr>
            </w:pPr>
            <w:r w:rsidRPr="00135E03">
              <w:rPr>
                <w:rFonts w:cs="Calibri"/>
                <w:color w:val="auto"/>
                <w:sz w:val="20"/>
                <w:szCs w:val="20"/>
              </w:rPr>
              <w:t>Programme Manager for the Fellowship programme at the Doherty Institute</w:t>
            </w:r>
          </w:p>
        </w:tc>
      </w:tr>
      <w:tr w:rsidR="17D077F0" w:rsidRPr="00135E03" w14:paraId="045EEBC6"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gridSpan w:val="3"/>
            <w:shd w:val="clear" w:color="auto" w:fill="96C286" w:themeFill="text2" w:themeFillTint="99"/>
          </w:tcPr>
          <w:p w14:paraId="2466EB5D" w14:textId="4891F769" w:rsidR="7F2B3323" w:rsidRPr="00135E03" w:rsidRDefault="7F2B3323" w:rsidP="00BB4743">
            <w:pPr>
              <w:spacing w:line="259" w:lineRule="auto"/>
              <w:jc w:val="both"/>
              <w:rPr>
                <w:rFonts w:cs="Calibri"/>
                <w:color w:val="FFFFFF" w:themeColor="background1"/>
                <w:sz w:val="20"/>
                <w:szCs w:val="20"/>
                <w:lang w:eastAsia="en-GB"/>
              </w:rPr>
            </w:pPr>
            <w:r w:rsidRPr="00135E03">
              <w:rPr>
                <w:rFonts w:cs="Calibri"/>
                <w:color w:val="FFFFFF" w:themeColor="background1"/>
                <w:sz w:val="20"/>
                <w:szCs w:val="20"/>
                <w:lang w:eastAsia="en-GB"/>
              </w:rPr>
              <w:t>Ghana, Kenya</w:t>
            </w:r>
          </w:p>
        </w:tc>
      </w:tr>
      <w:tr w:rsidR="17D077F0" w:rsidRPr="00135E03" w14:paraId="37477872"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2144E57E" w14:textId="7DB10C6C" w:rsidR="7F2B3323" w:rsidRPr="00135E03" w:rsidRDefault="7F2B3323" w:rsidP="00BB4743">
            <w:pPr>
              <w:spacing w:line="259" w:lineRule="auto"/>
              <w:jc w:val="both"/>
              <w:rPr>
                <w:rFonts w:cs="Calibri"/>
                <w:b/>
                <w:bCs/>
                <w:color w:val="auto"/>
                <w:sz w:val="20"/>
                <w:szCs w:val="20"/>
              </w:rPr>
            </w:pPr>
            <w:r w:rsidRPr="00135E03">
              <w:rPr>
                <w:rFonts w:cs="Calibri"/>
                <w:b/>
                <w:bCs/>
                <w:color w:val="auto"/>
                <w:sz w:val="20"/>
                <w:szCs w:val="20"/>
              </w:rPr>
              <w:t>Clare Chandler</w:t>
            </w:r>
          </w:p>
        </w:tc>
        <w:tc>
          <w:tcPr>
            <w:tcW w:w="0" w:type="dxa"/>
          </w:tcPr>
          <w:p w14:paraId="2F8F51FD" w14:textId="7B27C90E" w:rsidR="7F2B3323" w:rsidRPr="00135E03" w:rsidRDefault="7F2B3323" w:rsidP="00BB4743">
            <w:pPr>
              <w:jc w:val="both"/>
              <w:rPr>
                <w:rFonts w:cs="Calibri"/>
                <w:color w:val="auto"/>
                <w:sz w:val="20"/>
                <w:szCs w:val="20"/>
              </w:rPr>
            </w:pPr>
            <w:r w:rsidRPr="00135E03">
              <w:rPr>
                <w:rFonts w:cs="Calibri"/>
                <w:color w:val="auto"/>
                <w:sz w:val="20"/>
                <w:szCs w:val="20"/>
              </w:rPr>
              <w:t>LSHTM</w:t>
            </w:r>
          </w:p>
        </w:tc>
        <w:tc>
          <w:tcPr>
            <w:tcW w:w="0" w:type="dxa"/>
          </w:tcPr>
          <w:p w14:paraId="6E5A09C3" w14:textId="18854401" w:rsidR="700CC7F7" w:rsidRPr="00135E03" w:rsidRDefault="700CC7F7" w:rsidP="00BB4743">
            <w:pPr>
              <w:jc w:val="both"/>
              <w:rPr>
                <w:rFonts w:cs="Calibri"/>
                <w:color w:val="auto"/>
                <w:sz w:val="20"/>
                <w:szCs w:val="20"/>
              </w:rPr>
            </w:pPr>
            <w:r w:rsidRPr="00135E03">
              <w:rPr>
                <w:rFonts w:cs="Calibri"/>
                <w:color w:val="auto"/>
                <w:sz w:val="20"/>
                <w:szCs w:val="20"/>
              </w:rPr>
              <w:t>Academic Lead, Secretariat Member</w:t>
            </w:r>
          </w:p>
        </w:tc>
      </w:tr>
      <w:tr w:rsidR="17D077F0" w:rsidRPr="00135E03" w14:paraId="7CC5932E"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7427A686" w14:textId="3752A850" w:rsidR="7F2B3323" w:rsidRPr="00135E03" w:rsidRDefault="7F2B3323" w:rsidP="00BB4743">
            <w:pPr>
              <w:spacing w:line="259" w:lineRule="auto"/>
              <w:jc w:val="both"/>
              <w:rPr>
                <w:rFonts w:cs="Calibri"/>
                <w:b/>
                <w:bCs/>
                <w:color w:val="auto"/>
                <w:sz w:val="20"/>
                <w:szCs w:val="20"/>
              </w:rPr>
            </w:pPr>
            <w:r w:rsidRPr="00135E03">
              <w:rPr>
                <w:rFonts w:cs="Calibri"/>
                <w:b/>
                <w:bCs/>
                <w:color w:val="auto"/>
                <w:sz w:val="20"/>
                <w:szCs w:val="20"/>
              </w:rPr>
              <w:t>Richard Stabler</w:t>
            </w:r>
          </w:p>
        </w:tc>
        <w:tc>
          <w:tcPr>
            <w:tcW w:w="0" w:type="dxa"/>
          </w:tcPr>
          <w:p w14:paraId="51E8B4CC" w14:textId="4FE8302F" w:rsidR="7F2B3323" w:rsidRPr="00135E03" w:rsidRDefault="7F2B3323" w:rsidP="00BB4743">
            <w:pPr>
              <w:jc w:val="both"/>
              <w:rPr>
                <w:rFonts w:cs="Calibri"/>
                <w:color w:val="auto"/>
                <w:sz w:val="20"/>
                <w:szCs w:val="20"/>
              </w:rPr>
            </w:pPr>
            <w:r w:rsidRPr="00135E03">
              <w:rPr>
                <w:rFonts w:cs="Calibri"/>
                <w:color w:val="auto"/>
                <w:sz w:val="20"/>
                <w:szCs w:val="20"/>
              </w:rPr>
              <w:t>LSHTM</w:t>
            </w:r>
          </w:p>
        </w:tc>
        <w:tc>
          <w:tcPr>
            <w:tcW w:w="0" w:type="dxa"/>
          </w:tcPr>
          <w:p w14:paraId="23344CDB" w14:textId="67813100" w:rsidR="4889DB82" w:rsidRPr="00135E03" w:rsidRDefault="00184A64" w:rsidP="00BB4743">
            <w:pPr>
              <w:jc w:val="both"/>
              <w:rPr>
                <w:rFonts w:cs="Calibri"/>
                <w:color w:val="auto"/>
                <w:sz w:val="20"/>
                <w:szCs w:val="20"/>
              </w:rPr>
            </w:pPr>
            <w:r w:rsidRPr="00184A64">
              <w:rPr>
                <w:rFonts w:cs="Calibri"/>
                <w:color w:val="auto"/>
                <w:sz w:val="20"/>
                <w:szCs w:val="20"/>
              </w:rPr>
              <w:t>Co-principal investigator</w:t>
            </w:r>
            <w:r>
              <w:rPr>
                <w:rFonts w:cs="Calibri"/>
                <w:color w:val="auto"/>
                <w:sz w:val="20"/>
                <w:szCs w:val="20"/>
              </w:rPr>
              <w:t xml:space="preserve"> </w:t>
            </w:r>
            <w:r w:rsidR="4889DB82" w:rsidRPr="00135E03">
              <w:rPr>
                <w:rFonts w:cs="Calibri"/>
                <w:color w:val="auto"/>
                <w:sz w:val="20"/>
                <w:szCs w:val="20"/>
              </w:rPr>
              <w:t xml:space="preserve">for </w:t>
            </w:r>
            <w:r>
              <w:rPr>
                <w:rFonts w:cs="Calibri"/>
                <w:color w:val="auto"/>
                <w:sz w:val="20"/>
                <w:szCs w:val="20"/>
              </w:rPr>
              <w:t xml:space="preserve">the </w:t>
            </w:r>
            <w:r w:rsidR="00F21D1C" w:rsidRPr="00135E03">
              <w:rPr>
                <w:rFonts w:cs="Calibri"/>
                <w:color w:val="auto"/>
                <w:sz w:val="20"/>
                <w:szCs w:val="20"/>
              </w:rPr>
              <w:t xml:space="preserve">Fleming Fund </w:t>
            </w:r>
            <w:r w:rsidR="4889DB82" w:rsidRPr="00135E03">
              <w:rPr>
                <w:rFonts w:cs="Calibri"/>
                <w:color w:val="auto"/>
                <w:sz w:val="20"/>
                <w:szCs w:val="20"/>
              </w:rPr>
              <w:t>Programme</w:t>
            </w:r>
          </w:p>
        </w:tc>
      </w:tr>
      <w:tr w:rsidR="17D077F0" w:rsidRPr="00135E03" w14:paraId="2A87FCE4"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10CE28FC" w14:textId="39EEBD23" w:rsidR="7F2B3323" w:rsidRPr="00135E03" w:rsidRDefault="7F2B3323" w:rsidP="00BB4743">
            <w:pPr>
              <w:spacing w:line="259" w:lineRule="auto"/>
              <w:jc w:val="both"/>
              <w:rPr>
                <w:rFonts w:cs="Calibri"/>
                <w:color w:val="FFFFFF" w:themeColor="background1"/>
                <w:sz w:val="20"/>
                <w:szCs w:val="20"/>
                <w:lang w:eastAsia="en-GB"/>
              </w:rPr>
            </w:pPr>
            <w:r w:rsidRPr="00135E03">
              <w:rPr>
                <w:rFonts w:cs="Calibri"/>
                <w:color w:val="FFFFFF" w:themeColor="background1"/>
                <w:sz w:val="20"/>
                <w:szCs w:val="20"/>
                <w:lang w:eastAsia="en-GB"/>
              </w:rPr>
              <w:t>Ghana, Nigeria</w:t>
            </w:r>
          </w:p>
        </w:tc>
      </w:tr>
      <w:tr w:rsidR="17D077F0" w:rsidRPr="00135E03" w14:paraId="0620130E"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6ACB4947" w14:textId="058E2C4F" w:rsidR="7F2B3323" w:rsidRPr="00135E03" w:rsidRDefault="7F2B3323" w:rsidP="00BB4743">
            <w:pPr>
              <w:spacing w:line="259" w:lineRule="auto"/>
              <w:jc w:val="both"/>
              <w:rPr>
                <w:rFonts w:cs="Calibri"/>
                <w:b/>
                <w:bCs/>
                <w:color w:val="auto"/>
                <w:sz w:val="20"/>
                <w:szCs w:val="20"/>
              </w:rPr>
            </w:pPr>
            <w:r w:rsidRPr="00135E03">
              <w:rPr>
                <w:rFonts w:cs="Calibri"/>
                <w:b/>
                <w:bCs/>
                <w:color w:val="auto"/>
                <w:sz w:val="20"/>
                <w:szCs w:val="20"/>
              </w:rPr>
              <w:t>Pernille Nilsson</w:t>
            </w:r>
          </w:p>
        </w:tc>
        <w:tc>
          <w:tcPr>
            <w:tcW w:w="0" w:type="dxa"/>
          </w:tcPr>
          <w:p w14:paraId="2FD5151F" w14:textId="02EB6F8B" w:rsidR="7F2B3323" w:rsidRPr="00135E03" w:rsidRDefault="7F2B3323" w:rsidP="00BB4743">
            <w:pPr>
              <w:jc w:val="both"/>
              <w:rPr>
                <w:rFonts w:cs="Calibri"/>
                <w:color w:val="auto"/>
                <w:sz w:val="20"/>
                <w:szCs w:val="20"/>
              </w:rPr>
            </w:pPr>
            <w:r w:rsidRPr="00135E03">
              <w:rPr>
                <w:rFonts w:cs="Calibri"/>
                <w:color w:val="auto"/>
                <w:sz w:val="20"/>
                <w:szCs w:val="20"/>
              </w:rPr>
              <w:t>Technical University of Denmark (DTU Food)</w:t>
            </w:r>
          </w:p>
        </w:tc>
        <w:tc>
          <w:tcPr>
            <w:tcW w:w="0" w:type="dxa"/>
          </w:tcPr>
          <w:p w14:paraId="04A18F6D" w14:textId="7020EBFC" w:rsidR="16B8440A" w:rsidRPr="00135E03" w:rsidRDefault="16B8440A" w:rsidP="00BB4743">
            <w:pPr>
              <w:jc w:val="both"/>
              <w:rPr>
                <w:rFonts w:cs="Calibri"/>
                <w:color w:val="auto"/>
                <w:sz w:val="20"/>
                <w:szCs w:val="20"/>
              </w:rPr>
            </w:pPr>
            <w:r w:rsidRPr="00135E03">
              <w:rPr>
                <w:rFonts w:cs="Calibri"/>
                <w:color w:val="auto"/>
                <w:sz w:val="20"/>
                <w:szCs w:val="20"/>
              </w:rPr>
              <w:t>Project Manager for Seek Africa</w:t>
            </w:r>
          </w:p>
        </w:tc>
      </w:tr>
      <w:tr w:rsidR="17D077F0" w:rsidRPr="00135E03" w14:paraId="6F56D81F"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1DB595C7" w14:textId="32AC3E5E" w:rsidR="7F2B3323" w:rsidRPr="00135E03" w:rsidRDefault="7F2B3323" w:rsidP="00BB4743">
            <w:pPr>
              <w:spacing w:line="259" w:lineRule="auto"/>
              <w:jc w:val="both"/>
              <w:rPr>
                <w:rFonts w:cs="Calibri"/>
                <w:b/>
                <w:bCs/>
                <w:color w:val="auto"/>
                <w:sz w:val="20"/>
                <w:szCs w:val="20"/>
              </w:rPr>
            </w:pPr>
            <w:r w:rsidRPr="00135E03">
              <w:rPr>
                <w:rFonts w:cs="Calibri"/>
                <w:b/>
                <w:bCs/>
                <w:color w:val="auto"/>
                <w:sz w:val="20"/>
                <w:szCs w:val="20"/>
              </w:rPr>
              <w:t>Rene Hendriksen</w:t>
            </w:r>
          </w:p>
        </w:tc>
        <w:tc>
          <w:tcPr>
            <w:tcW w:w="0" w:type="dxa"/>
          </w:tcPr>
          <w:p w14:paraId="1FB97404" w14:textId="10668835" w:rsidR="7F2B3323" w:rsidRPr="00135E03" w:rsidRDefault="7F2B3323" w:rsidP="00BB4743">
            <w:pPr>
              <w:jc w:val="both"/>
              <w:rPr>
                <w:rFonts w:cs="Calibri"/>
                <w:color w:val="auto"/>
                <w:sz w:val="20"/>
                <w:szCs w:val="20"/>
              </w:rPr>
            </w:pPr>
            <w:r w:rsidRPr="00135E03">
              <w:rPr>
                <w:rFonts w:cs="Calibri"/>
                <w:color w:val="auto"/>
                <w:sz w:val="20"/>
                <w:szCs w:val="20"/>
              </w:rPr>
              <w:t>Technical University of Denmark (DTU Food)</w:t>
            </w:r>
          </w:p>
        </w:tc>
        <w:tc>
          <w:tcPr>
            <w:tcW w:w="0" w:type="dxa"/>
          </w:tcPr>
          <w:p w14:paraId="59C9A9C5" w14:textId="4F057A5C" w:rsidR="1548477A" w:rsidRPr="00135E03" w:rsidRDefault="1548477A" w:rsidP="00BB4743">
            <w:pPr>
              <w:jc w:val="both"/>
              <w:rPr>
                <w:rFonts w:cs="Calibri"/>
                <w:color w:val="auto"/>
                <w:sz w:val="20"/>
                <w:szCs w:val="20"/>
              </w:rPr>
            </w:pPr>
            <w:r w:rsidRPr="00135E03">
              <w:rPr>
                <w:rFonts w:cs="Calibri"/>
                <w:color w:val="auto"/>
                <w:sz w:val="20"/>
                <w:szCs w:val="20"/>
              </w:rPr>
              <w:t>Professor, Head of the Unit</w:t>
            </w:r>
          </w:p>
        </w:tc>
      </w:tr>
      <w:tr w:rsidR="17D077F0" w:rsidRPr="00135E03" w14:paraId="0B13B402"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gridSpan w:val="3"/>
            <w:shd w:val="clear" w:color="auto" w:fill="96C286" w:themeFill="text2" w:themeFillTint="99"/>
          </w:tcPr>
          <w:p w14:paraId="22317782" w14:textId="093E8F5F" w:rsidR="7F2B3323" w:rsidRPr="00135E03" w:rsidRDefault="7F2B3323" w:rsidP="00BB4743">
            <w:pPr>
              <w:spacing w:line="259" w:lineRule="auto"/>
              <w:jc w:val="both"/>
              <w:rPr>
                <w:rFonts w:cs="Calibri"/>
                <w:color w:val="FFFFFF" w:themeColor="background1"/>
                <w:sz w:val="20"/>
                <w:szCs w:val="20"/>
                <w:lang w:eastAsia="en-GB"/>
              </w:rPr>
            </w:pPr>
            <w:r w:rsidRPr="00135E03">
              <w:rPr>
                <w:rFonts w:cs="Calibri"/>
                <w:color w:val="FFFFFF" w:themeColor="background1"/>
                <w:sz w:val="20"/>
                <w:szCs w:val="20"/>
                <w:lang w:eastAsia="en-GB"/>
              </w:rPr>
              <w:t>Uganda</w:t>
            </w:r>
          </w:p>
        </w:tc>
      </w:tr>
      <w:tr w:rsidR="17D077F0" w:rsidRPr="00135E03" w14:paraId="3A143289"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3D578290" w14:textId="63CBE508" w:rsidR="7F2B3323" w:rsidRPr="00135E03" w:rsidRDefault="7F2B3323" w:rsidP="00BB4743">
            <w:pPr>
              <w:spacing w:line="259" w:lineRule="auto"/>
              <w:jc w:val="both"/>
              <w:rPr>
                <w:rFonts w:cs="Calibri"/>
                <w:b/>
                <w:bCs/>
                <w:color w:val="auto"/>
                <w:sz w:val="20"/>
                <w:szCs w:val="20"/>
              </w:rPr>
            </w:pPr>
            <w:r w:rsidRPr="00135E03">
              <w:rPr>
                <w:rFonts w:cs="Calibri"/>
                <w:b/>
                <w:bCs/>
                <w:color w:val="auto"/>
                <w:sz w:val="20"/>
                <w:szCs w:val="20"/>
              </w:rPr>
              <w:t>Hilary Snaith</w:t>
            </w:r>
          </w:p>
        </w:tc>
        <w:tc>
          <w:tcPr>
            <w:tcW w:w="0" w:type="dxa"/>
          </w:tcPr>
          <w:p w14:paraId="328B3B6E" w14:textId="453EA48F" w:rsidR="7F2B3323" w:rsidRPr="00135E03" w:rsidRDefault="7F2B3323" w:rsidP="00BB4743">
            <w:pPr>
              <w:jc w:val="both"/>
              <w:rPr>
                <w:rFonts w:cs="Calibri"/>
                <w:color w:val="auto"/>
                <w:sz w:val="20"/>
                <w:szCs w:val="20"/>
              </w:rPr>
            </w:pPr>
            <w:r w:rsidRPr="00135E03">
              <w:rPr>
                <w:rFonts w:cs="Calibri"/>
                <w:color w:val="auto"/>
                <w:sz w:val="20"/>
                <w:szCs w:val="20"/>
              </w:rPr>
              <w:t>University of Edinburgh</w:t>
            </w:r>
          </w:p>
        </w:tc>
        <w:tc>
          <w:tcPr>
            <w:tcW w:w="0" w:type="dxa"/>
          </w:tcPr>
          <w:p w14:paraId="39F93521" w14:textId="4BBBE3A5" w:rsidR="681C4782" w:rsidRPr="00135E03" w:rsidRDefault="681C4782" w:rsidP="00BB4743">
            <w:pPr>
              <w:jc w:val="both"/>
              <w:rPr>
                <w:rFonts w:cs="Calibri"/>
                <w:color w:val="auto"/>
                <w:sz w:val="20"/>
                <w:szCs w:val="20"/>
              </w:rPr>
            </w:pPr>
            <w:r w:rsidRPr="00135E03">
              <w:rPr>
                <w:rFonts w:cs="Calibri"/>
                <w:color w:val="auto"/>
                <w:sz w:val="20"/>
                <w:szCs w:val="20"/>
              </w:rPr>
              <w:t>Fellowship Coordinator</w:t>
            </w:r>
          </w:p>
        </w:tc>
      </w:tr>
      <w:tr w:rsidR="17D077F0" w:rsidRPr="00135E03" w14:paraId="59D4F470"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gridSpan w:val="3"/>
            <w:shd w:val="clear" w:color="auto" w:fill="96C286" w:themeFill="text2" w:themeFillTint="99"/>
          </w:tcPr>
          <w:p w14:paraId="4F06FA4F" w14:textId="458C1DC2" w:rsidR="7F2B3323" w:rsidRPr="00135E03" w:rsidRDefault="7F2B3323" w:rsidP="00BB4743">
            <w:pPr>
              <w:spacing w:line="259" w:lineRule="auto"/>
              <w:jc w:val="both"/>
              <w:rPr>
                <w:rFonts w:cs="Calibri"/>
                <w:color w:val="FFFFFF" w:themeColor="background1"/>
                <w:sz w:val="20"/>
                <w:szCs w:val="20"/>
                <w:lang w:eastAsia="en-GB"/>
              </w:rPr>
            </w:pPr>
            <w:r w:rsidRPr="00135E03">
              <w:rPr>
                <w:rFonts w:cs="Calibri"/>
                <w:color w:val="FFFFFF" w:themeColor="background1"/>
                <w:sz w:val="20"/>
                <w:szCs w:val="20"/>
                <w:lang w:eastAsia="en-GB"/>
              </w:rPr>
              <w:t>Tanzania</w:t>
            </w:r>
          </w:p>
        </w:tc>
      </w:tr>
      <w:tr w:rsidR="17D077F0" w:rsidRPr="00135E03" w14:paraId="2707D2CB"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6FC78F9E" w14:textId="5DB9FB5B" w:rsidR="7F2B3323" w:rsidRPr="00135E03" w:rsidRDefault="7F2B3323" w:rsidP="00BB4743">
            <w:pPr>
              <w:spacing w:line="259" w:lineRule="auto"/>
              <w:jc w:val="both"/>
              <w:rPr>
                <w:rFonts w:cs="Calibri"/>
                <w:b/>
                <w:bCs/>
                <w:color w:val="auto"/>
                <w:sz w:val="20"/>
                <w:szCs w:val="20"/>
                <w:lang w:eastAsia="en-GB"/>
              </w:rPr>
            </w:pPr>
            <w:r w:rsidRPr="00135E03">
              <w:rPr>
                <w:rFonts w:cs="Calibri"/>
                <w:b/>
                <w:bCs/>
                <w:color w:val="auto"/>
                <w:sz w:val="20"/>
                <w:szCs w:val="20"/>
                <w:lang w:eastAsia="en-GB"/>
              </w:rPr>
              <w:t>Pascale Ondoa</w:t>
            </w:r>
          </w:p>
        </w:tc>
        <w:tc>
          <w:tcPr>
            <w:tcW w:w="0" w:type="dxa"/>
          </w:tcPr>
          <w:p w14:paraId="0D123D5B" w14:textId="717BF811" w:rsidR="7F2B3323" w:rsidRPr="00135E03" w:rsidRDefault="7F2B3323" w:rsidP="00BB4743">
            <w:pPr>
              <w:jc w:val="both"/>
              <w:rPr>
                <w:rFonts w:cs="Calibri"/>
                <w:color w:val="auto"/>
                <w:sz w:val="20"/>
                <w:szCs w:val="20"/>
                <w:lang w:eastAsia="en-GB"/>
              </w:rPr>
            </w:pPr>
            <w:r w:rsidRPr="00135E03">
              <w:rPr>
                <w:rFonts w:cs="Calibri"/>
                <w:color w:val="auto"/>
                <w:sz w:val="20"/>
                <w:szCs w:val="20"/>
                <w:lang w:eastAsia="en-GB"/>
              </w:rPr>
              <w:t>ASLM</w:t>
            </w:r>
          </w:p>
        </w:tc>
        <w:tc>
          <w:tcPr>
            <w:tcW w:w="0" w:type="dxa"/>
          </w:tcPr>
          <w:p w14:paraId="4251F2F7" w14:textId="6CEDD67B" w:rsidR="4A2309E1" w:rsidRPr="00135E03" w:rsidRDefault="4A2309E1" w:rsidP="00BB4743">
            <w:pPr>
              <w:jc w:val="both"/>
              <w:rPr>
                <w:rFonts w:cs="Calibri"/>
                <w:color w:val="auto"/>
                <w:sz w:val="20"/>
                <w:szCs w:val="20"/>
                <w:lang w:eastAsia="en-GB"/>
              </w:rPr>
            </w:pPr>
            <w:r w:rsidRPr="00135E03">
              <w:rPr>
                <w:rFonts w:cs="Calibri"/>
                <w:color w:val="auto"/>
                <w:sz w:val="20"/>
                <w:szCs w:val="20"/>
                <w:lang w:eastAsia="en-GB"/>
              </w:rPr>
              <w:t xml:space="preserve">PI for </w:t>
            </w:r>
            <w:r w:rsidR="00F21D1C" w:rsidRPr="00135E03">
              <w:rPr>
                <w:rFonts w:cs="Calibri"/>
                <w:color w:val="auto"/>
                <w:sz w:val="20"/>
                <w:szCs w:val="20"/>
                <w:lang w:eastAsia="en-GB"/>
              </w:rPr>
              <w:t xml:space="preserve">Fleming Fund </w:t>
            </w:r>
            <w:r w:rsidRPr="00135E03">
              <w:rPr>
                <w:rFonts w:cs="Calibri"/>
                <w:color w:val="auto"/>
                <w:sz w:val="20"/>
                <w:szCs w:val="20"/>
                <w:lang w:eastAsia="en-GB"/>
              </w:rPr>
              <w:t>programme and Regional Grant</w:t>
            </w:r>
          </w:p>
        </w:tc>
      </w:tr>
      <w:tr w:rsidR="17D077F0" w:rsidRPr="00135E03" w14:paraId="4FEFE932"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21F079CB" w14:textId="4FCB9DF9" w:rsidR="7F2B3323" w:rsidRPr="00135E03" w:rsidRDefault="7F2B3323" w:rsidP="00BB4743">
            <w:pPr>
              <w:spacing w:line="259" w:lineRule="auto"/>
              <w:jc w:val="both"/>
              <w:rPr>
                <w:rFonts w:cs="Calibri"/>
                <w:color w:val="auto"/>
                <w:sz w:val="20"/>
                <w:szCs w:val="20"/>
                <w:lang w:eastAsia="en-GB"/>
              </w:rPr>
            </w:pPr>
            <w:r w:rsidRPr="00135E03">
              <w:rPr>
                <w:rFonts w:cs="Calibri"/>
                <w:b/>
                <w:bCs/>
                <w:color w:val="auto"/>
                <w:sz w:val="20"/>
                <w:szCs w:val="20"/>
                <w:lang w:eastAsia="en-GB"/>
              </w:rPr>
              <w:t>Edwin Shumba</w:t>
            </w:r>
          </w:p>
        </w:tc>
        <w:tc>
          <w:tcPr>
            <w:tcW w:w="0" w:type="dxa"/>
          </w:tcPr>
          <w:p w14:paraId="389D8CCD" w14:textId="257B24C8" w:rsidR="7F2B3323" w:rsidRPr="00135E03" w:rsidRDefault="7F2B3323" w:rsidP="00BB4743">
            <w:pPr>
              <w:jc w:val="both"/>
              <w:rPr>
                <w:rFonts w:cs="Calibri"/>
                <w:color w:val="auto"/>
                <w:sz w:val="20"/>
                <w:szCs w:val="20"/>
                <w:lang w:eastAsia="en-GB"/>
              </w:rPr>
            </w:pPr>
            <w:r w:rsidRPr="00135E03">
              <w:rPr>
                <w:rFonts w:cs="Calibri"/>
                <w:color w:val="auto"/>
                <w:sz w:val="20"/>
                <w:szCs w:val="20"/>
                <w:lang w:eastAsia="en-GB"/>
              </w:rPr>
              <w:t>ASLM</w:t>
            </w:r>
          </w:p>
        </w:tc>
        <w:tc>
          <w:tcPr>
            <w:tcW w:w="0" w:type="dxa"/>
          </w:tcPr>
          <w:p w14:paraId="58C1AEAC" w14:textId="0B089F17" w:rsidR="14FB1480" w:rsidRPr="00135E03" w:rsidRDefault="14FB1480" w:rsidP="00BB4743">
            <w:pPr>
              <w:jc w:val="both"/>
              <w:rPr>
                <w:rFonts w:cs="Calibri"/>
                <w:color w:val="auto"/>
                <w:sz w:val="20"/>
                <w:szCs w:val="20"/>
                <w:lang w:eastAsia="en-GB"/>
              </w:rPr>
            </w:pPr>
            <w:r w:rsidRPr="00135E03">
              <w:rPr>
                <w:rFonts w:cs="Calibri"/>
                <w:color w:val="auto"/>
                <w:sz w:val="20"/>
                <w:szCs w:val="20"/>
                <w:lang w:eastAsia="en-GB"/>
              </w:rPr>
              <w:t>MAA</w:t>
            </w:r>
            <w:r w:rsidR="50DBD5EC" w:rsidRPr="00135E03">
              <w:rPr>
                <w:rFonts w:cs="Calibri"/>
                <w:color w:val="auto"/>
                <w:sz w:val="20"/>
                <w:szCs w:val="20"/>
                <w:lang w:eastAsia="en-GB"/>
              </w:rPr>
              <w:t>P</w:t>
            </w:r>
            <w:r w:rsidRPr="00135E03">
              <w:rPr>
                <w:rFonts w:cs="Calibri"/>
                <w:color w:val="auto"/>
                <w:sz w:val="20"/>
                <w:szCs w:val="20"/>
                <w:lang w:eastAsia="en-GB"/>
              </w:rPr>
              <w:t xml:space="preserve"> Project Lead</w:t>
            </w:r>
          </w:p>
        </w:tc>
      </w:tr>
      <w:tr w:rsidR="17D077F0" w:rsidRPr="00135E03" w14:paraId="1ADE486F"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33211321" w14:textId="770960A7" w:rsidR="5A53C30F" w:rsidRPr="00135E03" w:rsidRDefault="5A53C30F" w:rsidP="00BB4743">
            <w:pPr>
              <w:spacing w:line="259" w:lineRule="auto"/>
              <w:jc w:val="both"/>
              <w:rPr>
                <w:rFonts w:cs="Calibri"/>
                <w:color w:val="FFFFFF" w:themeColor="background1"/>
                <w:sz w:val="20"/>
                <w:szCs w:val="20"/>
                <w:lang w:eastAsia="en-GB"/>
              </w:rPr>
            </w:pPr>
            <w:r w:rsidRPr="00135E03">
              <w:rPr>
                <w:rFonts w:cs="Calibri"/>
                <w:color w:val="FFFFFF" w:themeColor="background1"/>
                <w:sz w:val="20"/>
                <w:szCs w:val="20"/>
                <w:lang w:eastAsia="en-GB"/>
              </w:rPr>
              <w:t>Pakistan, Zambia</w:t>
            </w:r>
          </w:p>
        </w:tc>
      </w:tr>
      <w:tr w:rsidR="17D077F0" w:rsidRPr="00135E03" w14:paraId="0B3AACE5" w14:textId="77777777" w:rsidTr="0016575D">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017D47E6" w14:textId="73E71509" w:rsidR="5A53C30F" w:rsidRPr="00135E03" w:rsidRDefault="5A53C30F" w:rsidP="00BB4743">
            <w:pPr>
              <w:spacing w:line="259" w:lineRule="auto"/>
              <w:jc w:val="both"/>
              <w:rPr>
                <w:rFonts w:cs="Calibri"/>
                <w:b/>
                <w:bCs/>
                <w:color w:val="auto"/>
                <w:sz w:val="20"/>
                <w:szCs w:val="20"/>
                <w:lang w:eastAsia="en-GB"/>
              </w:rPr>
            </w:pPr>
            <w:r w:rsidRPr="00135E03">
              <w:rPr>
                <w:rFonts w:cs="Calibri"/>
                <w:b/>
                <w:bCs/>
                <w:color w:val="auto"/>
                <w:sz w:val="20"/>
                <w:szCs w:val="20"/>
                <w:lang w:eastAsia="en-GB"/>
              </w:rPr>
              <w:t>Katherine Heitz</w:t>
            </w:r>
          </w:p>
        </w:tc>
        <w:tc>
          <w:tcPr>
            <w:tcW w:w="3221" w:type="dxa"/>
          </w:tcPr>
          <w:p w14:paraId="455D9477" w14:textId="1EAEC033" w:rsidR="5A53C30F" w:rsidRPr="00135E03" w:rsidRDefault="00314978" w:rsidP="0016575D">
            <w:pPr>
              <w:jc w:val="both"/>
              <w:rPr>
                <w:rFonts w:cs="Calibri"/>
                <w:color w:val="auto"/>
                <w:sz w:val="20"/>
                <w:szCs w:val="20"/>
                <w:lang w:eastAsia="en-GB"/>
              </w:rPr>
            </w:pPr>
            <w:r w:rsidRPr="00314978">
              <w:rPr>
                <w:rFonts w:cs="Calibri"/>
                <w:color w:val="auto"/>
                <w:sz w:val="20"/>
                <w:szCs w:val="20"/>
                <w:lang w:eastAsia="en-GB"/>
              </w:rPr>
              <w:t>American Society for Microbiology</w:t>
            </w:r>
            <w:r>
              <w:rPr>
                <w:rFonts w:cs="Calibri"/>
                <w:color w:val="auto"/>
                <w:sz w:val="20"/>
                <w:szCs w:val="20"/>
                <w:lang w:eastAsia="en-GB"/>
              </w:rPr>
              <w:t xml:space="preserve"> (ASM)</w:t>
            </w:r>
          </w:p>
        </w:tc>
        <w:tc>
          <w:tcPr>
            <w:tcW w:w="3221" w:type="dxa"/>
          </w:tcPr>
          <w:p w14:paraId="0AC9C963" w14:textId="2AADAF7E" w:rsidR="5A53C30F" w:rsidRPr="00135E03" w:rsidRDefault="5A53C30F" w:rsidP="00BB4743">
            <w:pPr>
              <w:jc w:val="both"/>
              <w:rPr>
                <w:rFonts w:cs="Calibri"/>
                <w:color w:val="auto"/>
                <w:sz w:val="20"/>
                <w:szCs w:val="20"/>
                <w:lang w:eastAsia="en-GB"/>
              </w:rPr>
            </w:pPr>
            <w:r w:rsidRPr="00135E03">
              <w:rPr>
                <w:rFonts w:cs="Calibri"/>
                <w:color w:val="auto"/>
                <w:sz w:val="20"/>
                <w:szCs w:val="20"/>
                <w:lang w:eastAsia="en-GB"/>
              </w:rPr>
              <w:t>Program</w:t>
            </w:r>
            <w:r w:rsidR="00FC060B" w:rsidRPr="00135E03">
              <w:rPr>
                <w:rFonts w:cs="Calibri"/>
                <w:color w:val="auto"/>
                <w:sz w:val="20"/>
                <w:szCs w:val="20"/>
                <w:lang w:eastAsia="en-GB"/>
              </w:rPr>
              <w:t>me</w:t>
            </w:r>
            <w:r w:rsidRPr="00135E03">
              <w:rPr>
                <w:rFonts w:cs="Calibri"/>
                <w:color w:val="auto"/>
                <w:sz w:val="20"/>
                <w:szCs w:val="20"/>
                <w:lang w:eastAsia="en-GB"/>
              </w:rPr>
              <w:t xml:space="preserve"> Officer, Global Public Health Program</w:t>
            </w:r>
            <w:r w:rsidR="00FC060B" w:rsidRPr="00135E03">
              <w:rPr>
                <w:rFonts w:cs="Calibri"/>
                <w:color w:val="auto"/>
                <w:sz w:val="20"/>
                <w:szCs w:val="20"/>
                <w:lang w:eastAsia="en-GB"/>
              </w:rPr>
              <w:t>me</w:t>
            </w:r>
            <w:r w:rsidRPr="00135E03">
              <w:rPr>
                <w:rFonts w:cs="Calibri"/>
                <w:color w:val="auto"/>
                <w:sz w:val="20"/>
                <w:szCs w:val="20"/>
                <w:lang w:eastAsia="en-GB"/>
              </w:rPr>
              <w:t>s</w:t>
            </w:r>
          </w:p>
        </w:tc>
      </w:tr>
      <w:tr w:rsidR="17D077F0" w:rsidRPr="00135E03" w14:paraId="2FF61AEC"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5C596DA8" w14:textId="6A979D24" w:rsidR="7F2B3323" w:rsidRPr="00135E03" w:rsidRDefault="7F2B3323" w:rsidP="00BB4743">
            <w:pPr>
              <w:spacing w:line="259" w:lineRule="auto"/>
              <w:jc w:val="both"/>
              <w:rPr>
                <w:rFonts w:cs="Calibri"/>
                <w:color w:val="FFFFFF" w:themeColor="background1"/>
                <w:sz w:val="20"/>
                <w:szCs w:val="20"/>
                <w:lang w:eastAsia="en-GB"/>
              </w:rPr>
            </w:pPr>
            <w:r w:rsidRPr="00135E03">
              <w:rPr>
                <w:rFonts w:cs="Calibri"/>
                <w:color w:val="FFFFFF" w:themeColor="background1"/>
                <w:sz w:val="20"/>
                <w:szCs w:val="20"/>
                <w:lang w:eastAsia="en-GB"/>
              </w:rPr>
              <w:t>Nigeria</w:t>
            </w:r>
          </w:p>
        </w:tc>
      </w:tr>
      <w:tr w:rsidR="17D077F0" w:rsidRPr="00135E03" w14:paraId="321DDB6B"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2669DAA5" w14:textId="6C11EDCF" w:rsidR="7F2B3323" w:rsidRPr="00135E03" w:rsidRDefault="7F2B3323" w:rsidP="00BB4743">
            <w:pPr>
              <w:spacing w:line="259" w:lineRule="auto"/>
              <w:jc w:val="both"/>
              <w:rPr>
                <w:rFonts w:cs="Calibri"/>
                <w:b/>
                <w:bCs/>
                <w:color w:val="auto"/>
                <w:sz w:val="20"/>
                <w:szCs w:val="20"/>
                <w:lang w:eastAsia="en-GB"/>
              </w:rPr>
            </w:pPr>
            <w:r w:rsidRPr="00135E03">
              <w:rPr>
                <w:rFonts w:cs="Calibri"/>
                <w:b/>
                <w:bCs/>
                <w:color w:val="auto"/>
                <w:sz w:val="20"/>
                <w:szCs w:val="20"/>
                <w:lang w:eastAsia="en-GB"/>
              </w:rPr>
              <w:t>Hemanti Patel</w:t>
            </w:r>
          </w:p>
        </w:tc>
        <w:tc>
          <w:tcPr>
            <w:tcW w:w="0" w:type="dxa"/>
          </w:tcPr>
          <w:p w14:paraId="1402A199" w14:textId="0294D020" w:rsidR="7F2B3323" w:rsidRPr="00135E03" w:rsidRDefault="0065724C" w:rsidP="00BB4743">
            <w:pPr>
              <w:jc w:val="both"/>
              <w:rPr>
                <w:rFonts w:cs="Calibri"/>
                <w:color w:val="auto"/>
                <w:sz w:val="20"/>
                <w:szCs w:val="20"/>
                <w:lang w:eastAsia="en-GB"/>
              </w:rPr>
            </w:pPr>
            <w:r w:rsidRPr="0065724C">
              <w:rPr>
                <w:rFonts w:cs="Calibri"/>
                <w:color w:val="auto"/>
                <w:sz w:val="20"/>
                <w:szCs w:val="20"/>
                <w:lang w:eastAsia="en-GB"/>
              </w:rPr>
              <w:t>UK Health Security Agency</w:t>
            </w:r>
          </w:p>
        </w:tc>
        <w:tc>
          <w:tcPr>
            <w:tcW w:w="0" w:type="dxa"/>
          </w:tcPr>
          <w:p w14:paraId="7832E1A9" w14:textId="10F4D741" w:rsidR="3FEA1145" w:rsidRPr="00135E03" w:rsidRDefault="3FEA1145" w:rsidP="00BB4743">
            <w:pPr>
              <w:jc w:val="both"/>
              <w:rPr>
                <w:rFonts w:cs="Calibri"/>
                <w:color w:val="auto"/>
                <w:sz w:val="20"/>
                <w:szCs w:val="20"/>
                <w:lang w:eastAsia="en-GB"/>
              </w:rPr>
            </w:pPr>
            <w:r w:rsidRPr="00135E03">
              <w:rPr>
                <w:rFonts w:cs="Calibri"/>
                <w:color w:val="auto"/>
                <w:sz w:val="20"/>
                <w:szCs w:val="20"/>
                <w:lang w:eastAsia="en-GB"/>
              </w:rPr>
              <w:t>Human Health Mentor</w:t>
            </w:r>
          </w:p>
        </w:tc>
      </w:tr>
      <w:tr w:rsidR="17D077F0" w:rsidRPr="00135E03" w14:paraId="52F1B601"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44E3DCBD" w14:textId="22FF0475" w:rsidR="7F2B3323" w:rsidRPr="00135E03" w:rsidRDefault="7F2B3323" w:rsidP="00BB4743">
            <w:pPr>
              <w:spacing w:line="259" w:lineRule="auto"/>
              <w:jc w:val="both"/>
              <w:rPr>
                <w:rFonts w:cs="Calibri"/>
                <w:color w:val="FFFFFF" w:themeColor="background1"/>
                <w:sz w:val="20"/>
                <w:szCs w:val="20"/>
                <w:lang w:eastAsia="en-GB"/>
              </w:rPr>
            </w:pPr>
            <w:r w:rsidRPr="00135E03">
              <w:rPr>
                <w:rFonts w:cs="Calibri"/>
                <w:color w:val="FFFFFF" w:themeColor="background1"/>
                <w:sz w:val="20"/>
                <w:szCs w:val="20"/>
                <w:lang w:eastAsia="en-GB"/>
              </w:rPr>
              <w:t>Indonesia, Vietnam</w:t>
            </w:r>
          </w:p>
        </w:tc>
      </w:tr>
      <w:tr w:rsidR="17D077F0" w:rsidRPr="00135E03" w14:paraId="5B916EEB"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6F66A054" w14:textId="3C24265D" w:rsidR="7F2B3323" w:rsidRPr="00135E03" w:rsidRDefault="7F2B3323" w:rsidP="00BB4743">
            <w:pPr>
              <w:spacing w:line="259" w:lineRule="auto"/>
              <w:jc w:val="both"/>
              <w:rPr>
                <w:rFonts w:cs="Calibri"/>
                <w:b/>
                <w:bCs/>
                <w:color w:val="auto"/>
                <w:sz w:val="20"/>
                <w:szCs w:val="20"/>
                <w:lang w:eastAsia="en-GB"/>
              </w:rPr>
            </w:pPr>
            <w:r w:rsidRPr="00135E03">
              <w:rPr>
                <w:rFonts w:cs="Calibri"/>
                <w:b/>
                <w:bCs/>
                <w:color w:val="auto"/>
                <w:sz w:val="20"/>
                <w:szCs w:val="20"/>
                <w:lang w:eastAsia="en-GB"/>
              </w:rPr>
              <w:t>Annelise Pires Ferreira</w:t>
            </w:r>
          </w:p>
        </w:tc>
        <w:tc>
          <w:tcPr>
            <w:tcW w:w="0" w:type="dxa"/>
          </w:tcPr>
          <w:p w14:paraId="2D133D90" w14:textId="6F6FC2EA" w:rsidR="7F2B3323" w:rsidRPr="00135E03" w:rsidRDefault="7F2B3323" w:rsidP="00BB4743">
            <w:pPr>
              <w:jc w:val="both"/>
              <w:rPr>
                <w:rFonts w:cs="Calibri"/>
                <w:color w:val="auto"/>
                <w:sz w:val="20"/>
                <w:szCs w:val="20"/>
                <w:lang w:eastAsia="en-GB"/>
              </w:rPr>
            </w:pPr>
            <w:r w:rsidRPr="00135E03">
              <w:rPr>
                <w:rFonts w:cs="Calibri"/>
                <w:color w:val="auto"/>
                <w:sz w:val="20"/>
                <w:szCs w:val="20"/>
                <w:lang w:eastAsia="en-GB"/>
              </w:rPr>
              <w:t>Erasmus</w:t>
            </w:r>
          </w:p>
        </w:tc>
        <w:tc>
          <w:tcPr>
            <w:tcW w:w="0" w:type="dxa"/>
          </w:tcPr>
          <w:p w14:paraId="2C707DB8" w14:textId="022053EE" w:rsidR="17D077F0" w:rsidRPr="00135E03" w:rsidRDefault="6F977B8B" w:rsidP="00BB4743">
            <w:pPr>
              <w:jc w:val="both"/>
              <w:rPr>
                <w:rFonts w:cs="Calibri"/>
                <w:color w:val="auto"/>
                <w:sz w:val="20"/>
                <w:szCs w:val="20"/>
                <w:lang w:eastAsia="en-GB"/>
              </w:rPr>
            </w:pPr>
            <w:r w:rsidRPr="00135E03">
              <w:rPr>
                <w:rFonts w:cs="Calibri"/>
                <w:color w:val="auto"/>
                <w:sz w:val="20"/>
                <w:szCs w:val="20"/>
                <w:lang w:eastAsia="en-GB"/>
              </w:rPr>
              <w:t>Programme manager, Fleming Fund Fellowship Scheme</w:t>
            </w:r>
          </w:p>
        </w:tc>
      </w:tr>
      <w:tr w:rsidR="17D077F0" w:rsidRPr="00135E03" w14:paraId="6A9BC7DC"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573D7DAB" w14:textId="4A46A800" w:rsidR="7F2B3323" w:rsidRPr="00135E03" w:rsidRDefault="7F2B3323" w:rsidP="00BB4743">
            <w:pPr>
              <w:spacing w:line="259" w:lineRule="auto"/>
              <w:jc w:val="both"/>
              <w:rPr>
                <w:rFonts w:cs="Calibri"/>
                <w:b/>
                <w:bCs/>
                <w:color w:val="auto"/>
                <w:sz w:val="20"/>
                <w:szCs w:val="20"/>
                <w:lang w:eastAsia="en-GB"/>
              </w:rPr>
            </w:pPr>
            <w:r w:rsidRPr="00135E03">
              <w:rPr>
                <w:rFonts w:cs="Calibri"/>
                <w:b/>
                <w:bCs/>
                <w:color w:val="auto"/>
                <w:sz w:val="20"/>
                <w:szCs w:val="20"/>
                <w:lang w:eastAsia="en-GB"/>
              </w:rPr>
              <w:t>Juliette A. Severin</w:t>
            </w:r>
          </w:p>
        </w:tc>
        <w:tc>
          <w:tcPr>
            <w:tcW w:w="0" w:type="dxa"/>
          </w:tcPr>
          <w:p w14:paraId="6F51314D" w14:textId="74D1CCC9" w:rsidR="7F2B3323" w:rsidRPr="00135E03" w:rsidRDefault="7F2B3323" w:rsidP="00BB4743">
            <w:pPr>
              <w:jc w:val="both"/>
              <w:rPr>
                <w:rFonts w:cs="Calibri"/>
                <w:color w:val="auto"/>
                <w:sz w:val="20"/>
                <w:szCs w:val="20"/>
                <w:lang w:eastAsia="en-GB"/>
              </w:rPr>
            </w:pPr>
            <w:r w:rsidRPr="00135E03">
              <w:rPr>
                <w:rFonts w:cs="Calibri"/>
                <w:color w:val="auto"/>
                <w:sz w:val="20"/>
                <w:szCs w:val="20"/>
                <w:lang w:eastAsia="en-GB"/>
              </w:rPr>
              <w:t>Erasmus</w:t>
            </w:r>
          </w:p>
        </w:tc>
        <w:tc>
          <w:tcPr>
            <w:tcW w:w="0" w:type="dxa"/>
          </w:tcPr>
          <w:p w14:paraId="4D430974" w14:textId="5FC255FA" w:rsidR="17D077F0" w:rsidRPr="00135E03" w:rsidRDefault="09346487" w:rsidP="00BB4743">
            <w:pPr>
              <w:jc w:val="both"/>
              <w:rPr>
                <w:rFonts w:cs="Calibri"/>
                <w:color w:val="auto"/>
                <w:sz w:val="20"/>
                <w:szCs w:val="20"/>
                <w:lang w:eastAsia="en-GB"/>
              </w:rPr>
            </w:pPr>
            <w:r w:rsidRPr="00135E03">
              <w:rPr>
                <w:rFonts w:cs="Calibri"/>
                <w:color w:val="auto"/>
                <w:sz w:val="20"/>
                <w:szCs w:val="20"/>
                <w:lang w:eastAsia="en-GB"/>
              </w:rPr>
              <w:t>Program</w:t>
            </w:r>
            <w:r w:rsidR="00FC060B" w:rsidRPr="00135E03">
              <w:rPr>
                <w:rFonts w:cs="Calibri"/>
                <w:color w:val="auto"/>
                <w:sz w:val="20"/>
                <w:szCs w:val="20"/>
                <w:lang w:eastAsia="en-GB"/>
              </w:rPr>
              <w:t>me</w:t>
            </w:r>
            <w:r w:rsidRPr="00135E03">
              <w:rPr>
                <w:rFonts w:cs="Calibri"/>
                <w:color w:val="auto"/>
                <w:sz w:val="20"/>
                <w:szCs w:val="20"/>
                <w:lang w:eastAsia="en-GB"/>
              </w:rPr>
              <w:t xml:space="preserve"> Director, Fleming Fund Fellowship Scheme</w:t>
            </w:r>
          </w:p>
        </w:tc>
      </w:tr>
      <w:tr w:rsidR="17D077F0" w:rsidRPr="00135E03" w14:paraId="0EC57C75"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gridSpan w:val="3"/>
            <w:shd w:val="clear" w:color="auto" w:fill="96C286" w:themeFill="text2" w:themeFillTint="99"/>
          </w:tcPr>
          <w:p w14:paraId="6C8201BF" w14:textId="52ED1397" w:rsidR="7F2B3323" w:rsidRPr="00BB4743" w:rsidRDefault="7F2B3323" w:rsidP="00BB4743">
            <w:pPr>
              <w:spacing w:line="259" w:lineRule="auto"/>
              <w:jc w:val="both"/>
              <w:rPr>
                <w:rFonts w:cs="Calibri"/>
                <w:sz w:val="20"/>
                <w:szCs w:val="20"/>
              </w:rPr>
            </w:pPr>
            <w:r w:rsidRPr="00135E03">
              <w:rPr>
                <w:rFonts w:cs="Calibri"/>
                <w:color w:val="FFFFFF" w:themeColor="background1"/>
                <w:sz w:val="20"/>
                <w:szCs w:val="20"/>
                <w:lang w:eastAsia="en-GB"/>
              </w:rPr>
              <w:t>Senegal, Laos</w:t>
            </w:r>
          </w:p>
        </w:tc>
      </w:tr>
      <w:tr w:rsidR="17D077F0" w:rsidRPr="00135E03" w14:paraId="13FC884C"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155D913A" w14:textId="0715C5AE" w:rsidR="7F2B3323" w:rsidRPr="00135E03" w:rsidRDefault="7F2B3323" w:rsidP="00BB4743">
            <w:pPr>
              <w:spacing w:line="259" w:lineRule="auto"/>
              <w:jc w:val="both"/>
              <w:rPr>
                <w:rFonts w:cs="Calibri"/>
                <w:b/>
                <w:bCs/>
                <w:color w:val="auto"/>
                <w:sz w:val="20"/>
                <w:szCs w:val="20"/>
                <w:lang w:eastAsia="en-GB"/>
              </w:rPr>
            </w:pPr>
            <w:r w:rsidRPr="00135E03">
              <w:rPr>
                <w:rFonts w:cs="Calibri"/>
                <w:b/>
                <w:bCs/>
                <w:color w:val="auto"/>
                <w:sz w:val="20"/>
                <w:szCs w:val="20"/>
                <w:lang w:eastAsia="en-GB"/>
              </w:rPr>
              <w:t>Chrystèle Corbery</w:t>
            </w:r>
          </w:p>
        </w:tc>
        <w:tc>
          <w:tcPr>
            <w:tcW w:w="0" w:type="dxa"/>
          </w:tcPr>
          <w:p w14:paraId="7B6E4C1E" w14:textId="4E8BAE21" w:rsidR="7F2B3323" w:rsidRPr="00135E03" w:rsidRDefault="7F2B3323" w:rsidP="00BB4743">
            <w:pPr>
              <w:jc w:val="both"/>
              <w:rPr>
                <w:rFonts w:cs="Calibri"/>
                <w:color w:val="auto"/>
                <w:sz w:val="20"/>
                <w:szCs w:val="20"/>
                <w:lang w:eastAsia="en-GB"/>
              </w:rPr>
            </w:pPr>
            <w:r w:rsidRPr="00135E03">
              <w:rPr>
                <w:rFonts w:cs="Calibri"/>
                <w:color w:val="auto"/>
                <w:sz w:val="20"/>
                <w:szCs w:val="20"/>
                <w:lang w:eastAsia="en-GB"/>
              </w:rPr>
              <w:t>Fondation Mérieux</w:t>
            </w:r>
          </w:p>
        </w:tc>
        <w:tc>
          <w:tcPr>
            <w:tcW w:w="0" w:type="dxa"/>
          </w:tcPr>
          <w:p w14:paraId="115BE83A" w14:textId="3A2CC4E0" w:rsidR="17D077F0" w:rsidRPr="00135E03" w:rsidRDefault="3FE8214E" w:rsidP="00BB4743">
            <w:pPr>
              <w:jc w:val="both"/>
              <w:rPr>
                <w:rFonts w:cs="Calibri"/>
                <w:color w:val="auto"/>
                <w:sz w:val="20"/>
                <w:szCs w:val="20"/>
                <w:lang w:eastAsia="en-GB"/>
              </w:rPr>
            </w:pPr>
            <w:r w:rsidRPr="00135E03">
              <w:rPr>
                <w:rFonts w:cs="Calibri"/>
                <w:color w:val="auto"/>
                <w:sz w:val="20"/>
                <w:szCs w:val="20"/>
                <w:lang w:eastAsia="en-GB"/>
              </w:rPr>
              <w:t>Head of West Africa</w:t>
            </w:r>
          </w:p>
        </w:tc>
      </w:tr>
      <w:tr w:rsidR="17D077F0" w:rsidRPr="001B7050" w14:paraId="7B22C8A4"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6AE91E09" w14:textId="5004683C" w:rsidR="7F2B3323" w:rsidRPr="00135E03" w:rsidRDefault="7F2B3323" w:rsidP="00BB4743">
            <w:pPr>
              <w:spacing w:line="259" w:lineRule="auto"/>
              <w:jc w:val="both"/>
              <w:rPr>
                <w:rFonts w:cs="Calibri"/>
                <w:b/>
                <w:bCs/>
                <w:color w:val="auto"/>
                <w:sz w:val="20"/>
                <w:szCs w:val="20"/>
                <w:lang w:eastAsia="en-GB"/>
              </w:rPr>
            </w:pPr>
            <w:r w:rsidRPr="00135E03">
              <w:rPr>
                <w:rFonts w:cs="Calibri"/>
                <w:b/>
                <w:bCs/>
                <w:color w:val="auto"/>
                <w:sz w:val="20"/>
                <w:szCs w:val="20"/>
                <w:lang w:eastAsia="en-GB"/>
              </w:rPr>
              <w:t>Florence Pradel</w:t>
            </w:r>
          </w:p>
        </w:tc>
        <w:tc>
          <w:tcPr>
            <w:tcW w:w="0" w:type="dxa"/>
          </w:tcPr>
          <w:p w14:paraId="5CAE1FDC" w14:textId="21B7F804" w:rsidR="7F2B3323" w:rsidRPr="00135E03" w:rsidRDefault="7F2B3323" w:rsidP="00BB4743">
            <w:pPr>
              <w:jc w:val="both"/>
              <w:rPr>
                <w:rFonts w:cs="Calibri"/>
                <w:color w:val="auto"/>
                <w:sz w:val="20"/>
                <w:szCs w:val="20"/>
                <w:lang w:eastAsia="en-GB"/>
              </w:rPr>
            </w:pPr>
            <w:r w:rsidRPr="00135E03">
              <w:rPr>
                <w:rFonts w:cs="Calibri"/>
                <w:color w:val="auto"/>
                <w:sz w:val="20"/>
                <w:szCs w:val="20"/>
                <w:lang w:eastAsia="en-GB"/>
              </w:rPr>
              <w:t>Fondation Mérieux</w:t>
            </w:r>
          </w:p>
        </w:tc>
        <w:tc>
          <w:tcPr>
            <w:tcW w:w="0" w:type="dxa"/>
          </w:tcPr>
          <w:p w14:paraId="1B611D50" w14:textId="7DD9DB68" w:rsidR="17D077F0" w:rsidRPr="00135E03" w:rsidRDefault="5508B61F" w:rsidP="00BB4743">
            <w:pPr>
              <w:jc w:val="both"/>
              <w:rPr>
                <w:rFonts w:cs="Calibri"/>
                <w:color w:val="auto"/>
                <w:sz w:val="20"/>
                <w:szCs w:val="20"/>
                <w:lang w:val="fr-FR" w:eastAsia="en-GB"/>
              </w:rPr>
            </w:pPr>
            <w:r w:rsidRPr="00135E03">
              <w:rPr>
                <w:rFonts w:cs="Calibri"/>
                <w:color w:val="auto"/>
                <w:sz w:val="20"/>
                <w:szCs w:val="20"/>
                <w:lang w:val="fr-FR" w:eastAsia="en-GB"/>
              </w:rPr>
              <w:t>Responsable d'un réseau de laboratoires de recherche dans les pays en développement</w:t>
            </w:r>
          </w:p>
        </w:tc>
      </w:tr>
      <w:tr w:rsidR="17D077F0" w:rsidRPr="00135E03" w14:paraId="54222212"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3A5CF4B2" w14:textId="56D9AC77" w:rsidR="7F2B3323" w:rsidRPr="00135E03" w:rsidRDefault="7F2B3323" w:rsidP="00BB4743">
            <w:pPr>
              <w:spacing w:line="259" w:lineRule="auto"/>
              <w:jc w:val="both"/>
              <w:rPr>
                <w:rFonts w:cs="Calibri"/>
                <w:b/>
                <w:bCs/>
                <w:color w:val="auto"/>
                <w:sz w:val="20"/>
                <w:szCs w:val="20"/>
                <w:lang w:eastAsia="en-GB"/>
              </w:rPr>
            </w:pPr>
            <w:r w:rsidRPr="00135E03">
              <w:rPr>
                <w:rFonts w:cs="Calibri"/>
                <w:b/>
                <w:bCs/>
                <w:color w:val="auto"/>
                <w:sz w:val="20"/>
                <w:szCs w:val="20"/>
                <w:lang w:eastAsia="en-GB"/>
              </w:rPr>
              <w:t>François-Xavier Babin</w:t>
            </w:r>
          </w:p>
        </w:tc>
        <w:tc>
          <w:tcPr>
            <w:tcW w:w="0" w:type="dxa"/>
          </w:tcPr>
          <w:p w14:paraId="5BF3F410" w14:textId="44E4179F" w:rsidR="7F2B3323" w:rsidRPr="00135E03" w:rsidRDefault="7F2B3323" w:rsidP="00BB4743">
            <w:pPr>
              <w:jc w:val="both"/>
              <w:rPr>
                <w:rFonts w:cs="Calibri"/>
                <w:color w:val="auto"/>
                <w:sz w:val="20"/>
                <w:szCs w:val="20"/>
                <w:lang w:eastAsia="en-GB"/>
              </w:rPr>
            </w:pPr>
            <w:r w:rsidRPr="00135E03">
              <w:rPr>
                <w:rFonts w:cs="Calibri"/>
                <w:color w:val="auto"/>
                <w:sz w:val="20"/>
                <w:szCs w:val="20"/>
                <w:lang w:eastAsia="en-GB"/>
              </w:rPr>
              <w:t>Fondation Mérieux</w:t>
            </w:r>
          </w:p>
        </w:tc>
        <w:tc>
          <w:tcPr>
            <w:tcW w:w="0" w:type="dxa"/>
          </w:tcPr>
          <w:p w14:paraId="38F96944" w14:textId="479FC21D" w:rsidR="4F5F3A90" w:rsidRPr="00135E03" w:rsidRDefault="4F5F3A90" w:rsidP="00BB4743">
            <w:pPr>
              <w:jc w:val="both"/>
              <w:rPr>
                <w:rFonts w:cs="Calibri"/>
                <w:color w:val="auto"/>
                <w:sz w:val="20"/>
                <w:szCs w:val="20"/>
                <w:lang w:eastAsia="en-GB"/>
              </w:rPr>
            </w:pPr>
            <w:r w:rsidRPr="00135E03">
              <w:rPr>
                <w:rFonts w:cs="Calibri"/>
                <w:color w:val="auto"/>
                <w:sz w:val="20"/>
                <w:szCs w:val="20"/>
                <w:lang w:eastAsia="en-GB"/>
              </w:rPr>
              <w:t>Director for international operations</w:t>
            </w:r>
          </w:p>
        </w:tc>
      </w:tr>
      <w:tr w:rsidR="17D077F0" w:rsidRPr="00135E03" w14:paraId="6AF9DEDC"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7E8D5FDB" w14:textId="0997C1DB" w:rsidR="7F2B3323" w:rsidRPr="00135E03" w:rsidRDefault="7F2B3323" w:rsidP="00BB4743">
            <w:pPr>
              <w:spacing w:line="259" w:lineRule="auto"/>
              <w:jc w:val="both"/>
              <w:rPr>
                <w:rFonts w:cs="Calibri"/>
                <w:b/>
                <w:bCs/>
                <w:color w:val="auto"/>
                <w:sz w:val="20"/>
                <w:szCs w:val="20"/>
                <w:lang w:eastAsia="en-GB"/>
              </w:rPr>
            </w:pPr>
            <w:r w:rsidRPr="00135E03">
              <w:rPr>
                <w:rFonts w:cs="Calibri"/>
                <w:b/>
                <w:bCs/>
                <w:color w:val="auto"/>
                <w:sz w:val="20"/>
                <w:szCs w:val="20"/>
                <w:lang w:eastAsia="en-GB"/>
              </w:rPr>
              <w:t>Benoit Chevalier</w:t>
            </w:r>
          </w:p>
        </w:tc>
        <w:tc>
          <w:tcPr>
            <w:tcW w:w="0" w:type="dxa"/>
          </w:tcPr>
          <w:p w14:paraId="7EFD7A61" w14:textId="7148AF9C" w:rsidR="7F2B3323" w:rsidRPr="00135E03" w:rsidRDefault="7F2B3323" w:rsidP="00BB4743">
            <w:pPr>
              <w:jc w:val="both"/>
              <w:rPr>
                <w:rFonts w:cs="Calibri"/>
                <w:color w:val="auto"/>
                <w:sz w:val="20"/>
                <w:szCs w:val="20"/>
                <w:lang w:eastAsia="en-GB"/>
              </w:rPr>
            </w:pPr>
            <w:r w:rsidRPr="00135E03">
              <w:rPr>
                <w:rFonts w:cs="Calibri"/>
                <w:color w:val="auto"/>
                <w:sz w:val="20"/>
                <w:szCs w:val="20"/>
                <w:lang w:eastAsia="en-GB"/>
              </w:rPr>
              <w:t>Fondation Mérieux</w:t>
            </w:r>
          </w:p>
        </w:tc>
        <w:tc>
          <w:tcPr>
            <w:tcW w:w="0" w:type="dxa"/>
          </w:tcPr>
          <w:p w14:paraId="1B6DB9D9" w14:textId="47F6C208" w:rsidR="43DB88B3" w:rsidRPr="00135E03" w:rsidRDefault="43DB88B3" w:rsidP="00BB4743">
            <w:pPr>
              <w:jc w:val="both"/>
              <w:rPr>
                <w:rFonts w:cs="Calibri"/>
                <w:color w:val="000000"/>
                <w:sz w:val="20"/>
                <w:szCs w:val="20"/>
                <w:lang w:eastAsia="en-GB"/>
              </w:rPr>
            </w:pPr>
            <w:r w:rsidRPr="00135E03">
              <w:rPr>
                <w:rFonts w:cs="Calibri"/>
                <w:color w:val="auto"/>
                <w:sz w:val="20"/>
                <w:szCs w:val="20"/>
                <w:lang w:eastAsia="en-GB"/>
              </w:rPr>
              <w:t>Fellowship Coordinator</w:t>
            </w:r>
          </w:p>
        </w:tc>
      </w:tr>
    </w:tbl>
    <w:p w14:paraId="7C2F4C77" w14:textId="77777777" w:rsidR="00AC10DF" w:rsidRPr="00AC10DF" w:rsidRDefault="00AC10DF" w:rsidP="00AC10DF">
      <w:pPr>
        <w:pStyle w:val="ItadNormalText"/>
      </w:pPr>
    </w:p>
    <w:p w14:paraId="6E74CBE3" w14:textId="2932B829" w:rsidR="7F2B3323" w:rsidRDefault="7F2B3323" w:rsidP="004F2001">
      <w:pPr>
        <w:pStyle w:val="ItadH2"/>
      </w:pPr>
      <w:bookmarkStart w:id="382" w:name="_Toc118968568"/>
      <w:bookmarkStart w:id="383" w:name="_Toc122209922"/>
      <w:bookmarkStart w:id="384" w:name="_Toc142383210"/>
      <w:r>
        <w:t>Regional Grants KIIs</w:t>
      </w:r>
      <w:bookmarkEnd w:id="382"/>
      <w:bookmarkEnd w:id="383"/>
      <w:bookmarkEnd w:id="384"/>
    </w:p>
    <w:tbl>
      <w:tblPr>
        <w:tblStyle w:val="Itadalternaterows"/>
        <w:tblW w:w="0" w:type="auto"/>
        <w:tblInd w:w="0" w:type="dxa"/>
        <w:tblLook w:val="04A0" w:firstRow="1" w:lastRow="0" w:firstColumn="1" w:lastColumn="0" w:noHBand="0" w:noVBand="1"/>
      </w:tblPr>
      <w:tblGrid>
        <w:gridCol w:w="3172"/>
        <w:gridCol w:w="3171"/>
        <w:gridCol w:w="3165"/>
      </w:tblGrid>
      <w:tr w:rsidR="17D077F0" w14:paraId="60EEA5CB" w14:textId="77777777" w:rsidTr="00BB4743">
        <w:trPr>
          <w:cnfStyle w:val="100000000000" w:firstRow="1" w:lastRow="0" w:firstColumn="0" w:lastColumn="0" w:oddVBand="0" w:evenVBand="0" w:oddHBand="0" w:evenHBand="0" w:firstRowFirstColumn="0" w:firstRowLastColumn="0" w:lastRowFirstColumn="0" w:lastRowLastColumn="0"/>
          <w:trHeight w:val="340"/>
        </w:trPr>
        <w:tc>
          <w:tcPr>
            <w:tcW w:w="9508" w:type="dxa"/>
            <w:gridSpan w:val="3"/>
          </w:tcPr>
          <w:p w14:paraId="3BD12823" w14:textId="0B182A44" w:rsidR="3BF31109" w:rsidRDefault="3BF31109" w:rsidP="17D077F0">
            <w:pPr>
              <w:spacing w:line="259" w:lineRule="auto"/>
              <w:rPr>
                <w:rFonts w:cstheme="minorBidi"/>
                <w:color w:val="FFFFFF" w:themeColor="background1"/>
                <w:sz w:val="20"/>
                <w:szCs w:val="20"/>
                <w:lang w:eastAsia="en-GB"/>
              </w:rPr>
            </w:pPr>
            <w:r w:rsidRPr="17D077F0">
              <w:rPr>
                <w:rFonts w:cstheme="minorBidi"/>
                <w:color w:val="FFFFFF" w:themeColor="background1"/>
                <w:sz w:val="20"/>
                <w:szCs w:val="20"/>
                <w:lang w:eastAsia="en-GB"/>
              </w:rPr>
              <w:t>ASLM</w:t>
            </w:r>
          </w:p>
        </w:tc>
      </w:tr>
      <w:tr w:rsidR="17D077F0" w14:paraId="49193B12"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3172" w:type="dxa"/>
          </w:tcPr>
          <w:p w14:paraId="18644991" w14:textId="5A93CFBF" w:rsidR="5324E9C1" w:rsidRDefault="5324E9C1" w:rsidP="17D077F0">
            <w:pPr>
              <w:spacing w:line="259" w:lineRule="auto"/>
              <w:rPr>
                <w:rFonts w:cstheme="minorBidi"/>
                <w:b/>
                <w:bCs/>
                <w:color w:val="auto"/>
                <w:sz w:val="20"/>
                <w:szCs w:val="20"/>
              </w:rPr>
            </w:pPr>
            <w:r w:rsidRPr="17D077F0">
              <w:rPr>
                <w:rFonts w:cstheme="minorBidi"/>
                <w:b/>
                <w:bCs/>
                <w:color w:val="auto"/>
                <w:sz w:val="20"/>
                <w:szCs w:val="20"/>
              </w:rPr>
              <w:t>Marianne Holmes</w:t>
            </w:r>
          </w:p>
        </w:tc>
        <w:tc>
          <w:tcPr>
            <w:tcW w:w="3171" w:type="dxa"/>
          </w:tcPr>
          <w:p w14:paraId="4DACEBCF" w14:textId="53BDD249" w:rsidR="5324E9C1" w:rsidRDefault="5324E9C1" w:rsidP="00BB4743">
            <w:pPr>
              <w:rPr>
                <w:rFonts w:cstheme="minorBidi"/>
                <w:color w:val="auto"/>
                <w:sz w:val="20"/>
                <w:szCs w:val="20"/>
              </w:rPr>
            </w:pPr>
            <w:r w:rsidRPr="17D077F0">
              <w:rPr>
                <w:rFonts w:cstheme="minorBidi"/>
                <w:color w:val="auto"/>
                <w:sz w:val="20"/>
                <w:szCs w:val="20"/>
              </w:rPr>
              <w:t>ASLM</w:t>
            </w:r>
          </w:p>
        </w:tc>
        <w:tc>
          <w:tcPr>
            <w:tcW w:w="3165" w:type="dxa"/>
          </w:tcPr>
          <w:p w14:paraId="307819BE" w14:textId="77D7A558" w:rsidR="5324E9C1" w:rsidRDefault="5324E9C1" w:rsidP="00BB4743">
            <w:pPr>
              <w:rPr>
                <w:rFonts w:cstheme="minorBidi"/>
                <w:color w:val="auto"/>
                <w:sz w:val="20"/>
                <w:szCs w:val="20"/>
              </w:rPr>
            </w:pPr>
            <w:r w:rsidRPr="17D077F0">
              <w:rPr>
                <w:rFonts w:cstheme="minorBidi"/>
                <w:color w:val="auto"/>
                <w:sz w:val="20"/>
                <w:szCs w:val="20"/>
              </w:rPr>
              <w:t>Project Technical Lead of MAAP</w:t>
            </w:r>
          </w:p>
        </w:tc>
      </w:tr>
      <w:tr w:rsidR="17D077F0" w14:paraId="27D30467"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3172" w:type="dxa"/>
          </w:tcPr>
          <w:p w14:paraId="5112ADE0" w14:textId="06A61F20" w:rsidR="5324E9C1" w:rsidRDefault="5324E9C1" w:rsidP="17D077F0">
            <w:pPr>
              <w:spacing w:line="259" w:lineRule="auto"/>
              <w:rPr>
                <w:rFonts w:cstheme="minorBidi"/>
                <w:b/>
                <w:bCs/>
                <w:color w:val="auto"/>
                <w:sz w:val="20"/>
                <w:szCs w:val="20"/>
              </w:rPr>
            </w:pPr>
            <w:r w:rsidRPr="17D077F0">
              <w:rPr>
                <w:rFonts w:cstheme="minorBidi"/>
                <w:b/>
                <w:bCs/>
                <w:color w:val="auto"/>
                <w:sz w:val="20"/>
                <w:szCs w:val="20"/>
              </w:rPr>
              <w:t>Edwin Shumba</w:t>
            </w:r>
            <w:r w:rsidR="00B82041">
              <w:rPr>
                <w:rFonts w:cstheme="minorBidi"/>
                <w:b/>
                <w:bCs/>
                <w:color w:val="auto"/>
                <w:sz w:val="20"/>
                <w:szCs w:val="20"/>
              </w:rPr>
              <w:t>*</w:t>
            </w:r>
          </w:p>
        </w:tc>
        <w:tc>
          <w:tcPr>
            <w:tcW w:w="3171" w:type="dxa"/>
          </w:tcPr>
          <w:p w14:paraId="15094B86" w14:textId="59F0412D" w:rsidR="5324E9C1" w:rsidRDefault="5324E9C1" w:rsidP="00BB4743">
            <w:pPr>
              <w:rPr>
                <w:rFonts w:cstheme="minorBidi"/>
                <w:color w:val="auto"/>
                <w:sz w:val="20"/>
                <w:szCs w:val="20"/>
              </w:rPr>
            </w:pPr>
            <w:r w:rsidRPr="17D077F0">
              <w:rPr>
                <w:rFonts w:cstheme="minorBidi"/>
                <w:color w:val="auto"/>
                <w:sz w:val="20"/>
                <w:szCs w:val="20"/>
              </w:rPr>
              <w:t>ASLM</w:t>
            </w:r>
          </w:p>
        </w:tc>
        <w:tc>
          <w:tcPr>
            <w:tcW w:w="3165" w:type="dxa"/>
          </w:tcPr>
          <w:p w14:paraId="20448330" w14:textId="1DDA6FE4" w:rsidR="383DD433" w:rsidRDefault="383DD433" w:rsidP="00BB4743">
            <w:pPr>
              <w:rPr>
                <w:rFonts w:cstheme="minorBidi"/>
                <w:color w:val="auto"/>
                <w:sz w:val="20"/>
                <w:szCs w:val="20"/>
                <w:lang w:eastAsia="en-GB"/>
              </w:rPr>
            </w:pPr>
            <w:r w:rsidRPr="17D077F0">
              <w:rPr>
                <w:rFonts w:cstheme="minorBidi"/>
                <w:color w:val="auto"/>
                <w:sz w:val="20"/>
                <w:szCs w:val="20"/>
                <w:lang w:eastAsia="en-GB"/>
              </w:rPr>
              <w:t>MAAP Project Lead</w:t>
            </w:r>
          </w:p>
        </w:tc>
      </w:tr>
      <w:tr w:rsidR="17D077F0" w14:paraId="6CB18162"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3172" w:type="dxa"/>
          </w:tcPr>
          <w:p w14:paraId="3CD6476F" w14:textId="27DCB7E4" w:rsidR="383DD433" w:rsidRDefault="383DD433" w:rsidP="17D077F0">
            <w:pPr>
              <w:spacing w:line="259" w:lineRule="auto"/>
              <w:rPr>
                <w:rFonts w:cstheme="minorBidi"/>
                <w:b/>
                <w:bCs/>
                <w:color w:val="auto"/>
                <w:sz w:val="20"/>
                <w:szCs w:val="20"/>
              </w:rPr>
            </w:pPr>
            <w:r w:rsidRPr="17D077F0">
              <w:rPr>
                <w:rFonts w:cstheme="minorBidi"/>
                <w:b/>
                <w:bCs/>
                <w:color w:val="auto"/>
                <w:sz w:val="20"/>
                <w:szCs w:val="20"/>
              </w:rPr>
              <w:t>Anafi</w:t>
            </w:r>
          </w:p>
        </w:tc>
        <w:tc>
          <w:tcPr>
            <w:tcW w:w="3171" w:type="dxa"/>
          </w:tcPr>
          <w:p w14:paraId="43766C3E" w14:textId="7FA4A76A" w:rsidR="383DD433" w:rsidRDefault="383DD433" w:rsidP="00BB4743">
            <w:pPr>
              <w:rPr>
                <w:rFonts w:cstheme="minorBidi"/>
                <w:color w:val="auto"/>
                <w:sz w:val="20"/>
                <w:szCs w:val="20"/>
              </w:rPr>
            </w:pPr>
            <w:r w:rsidRPr="17D077F0">
              <w:rPr>
                <w:rFonts w:cstheme="minorBidi"/>
                <w:color w:val="auto"/>
                <w:sz w:val="20"/>
                <w:szCs w:val="20"/>
              </w:rPr>
              <w:t>ASLM</w:t>
            </w:r>
          </w:p>
        </w:tc>
        <w:tc>
          <w:tcPr>
            <w:tcW w:w="3165" w:type="dxa"/>
          </w:tcPr>
          <w:p w14:paraId="23351422" w14:textId="78D25FDC" w:rsidR="383DD433" w:rsidRDefault="383DD433" w:rsidP="00BB4743">
            <w:pPr>
              <w:rPr>
                <w:rFonts w:cstheme="minorBidi"/>
                <w:color w:val="auto"/>
                <w:sz w:val="20"/>
                <w:szCs w:val="20"/>
              </w:rPr>
            </w:pPr>
            <w:r w:rsidRPr="17D077F0">
              <w:rPr>
                <w:rFonts w:cstheme="minorBidi"/>
                <w:color w:val="auto"/>
                <w:sz w:val="20"/>
                <w:szCs w:val="20"/>
              </w:rPr>
              <w:t>Training</w:t>
            </w:r>
          </w:p>
        </w:tc>
      </w:tr>
      <w:tr w:rsidR="17D077F0" w14:paraId="5F0F701E"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3172" w:type="dxa"/>
          </w:tcPr>
          <w:p w14:paraId="2A8D4A0D" w14:textId="6674F3E1" w:rsidR="383DD433" w:rsidRDefault="383DD433" w:rsidP="17D077F0">
            <w:pPr>
              <w:spacing w:line="259" w:lineRule="auto"/>
              <w:rPr>
                <w:rFonts w:cstheme="minorBidi"/>
                <w:b/>
                <w:bCs/>
                <w:color w:val="auto"/>
                <w:sz w:val="20"/>
                <w:szCs w:val="20"/>
              </w:rPr>
            </w:pPr>
            <w:r w:rsidRPr="17D077F0">
              <w:rPr>
                <w:rFonts w:cstheme="minorBidi"/>
                <w:b/>
                <w:bCs/>
                <w:color w:val="auto"/>
                <w:sz w:val="20"/>
                <w:szCs w:val="20"/>
              </w:rPr>
              <w:t>Beatrice</w:t>
            </w:r>
          </w:p>
        </w:tc>
        <w:tc>
          <w:tcPr>
            <w:tcW w:w="3171" w:type="dxa"/>
          </w:tcPr>
          <w:p w14:paraId="45FF09A4" w14:textId="65251AC5" w:rsidR="383DD433" w:rsidRDefault="383DD433" w:rsidP="00BB4743">
            <w:pPr>
              <w:rPr>
                <w:rFonts w:cstheme="minorBidi"/>
                <w:color w:val="auto"/>
                <w:sz w:val="20"/>
                <w:szCs w:val="20"/>
              </w:rPr>
            </w:pPr>
            <w:r w:rsidRPr="17D077F0">
              <w:rPr>
                <w:rFonts w:cstheme="minorBidi"/>
                <w:color w:val="auto"/>
                <w:sz w:val="20"/>
                <w:szCs w:val="20"/>
              </w:rPr>
              <w:t>ASLM</w:t>
            </w:r>
          </w:p>
        </w:tc>
        <w:tc>
          <w:tcPr>
            <w:tcW w:w="3165" w:type="dxa"/>
          </w:tcPr>
          <w:p w14:paraId="0DF118D4" w14:textId="085CBD57" w:rsidR="383DD433" w:rsidRDefault="383DD433" w:rsidP="00BB4743">
            <w:pPr>
              <w:rPr>
                <w:rFonts w:cstheme="minorBidi"/>
                <w:color w:val="auto"/>
                <w:sz w:val="20"/>
                <w:szCs w:val="20"/>
              </w:rPr>
            </w:pPr>
            <w:r w:rsidRPr="17D077F0">
              <w:rPr>
                <w:rFonts w:cstheme="minorBidi"/>
                <w:color w:val="auto"/>
                <w:sz w:val="20"/>
                <w:szCs w:val="20"/>
              </w:rPr>
              <w:t>EQA</w:t>
            </w:r>
          </w:p>
        </w:tc>
      </w:tr>
      <w:tr w:rsidR="17D077F0" w14:paraId="1BBDD814"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9508" w:type="dxa"/>
            <w:gridSpan w:val="3"/>
            <w:shd w:val="clear" w:color="auto" w:fill="96C286" w:themeFill="text2" w:themeFillTint="99"/>
          </w:tcPr>
          <w:p w14:paraId="49B6041D" w14:textId="15FB4247" w:rsidR="3CF444EF" w:rsidRDefault="3CF444EF" w:rsidP="00041B22">
            <w:pPr>
              <w:spacing w:line="259" w:lineRule="auto"/>
            </w:pPr>
            <w:r w:rsidRPr="17D077F0">
              <w:rPr>
                <w:rFonts w:cstheme="minorBidi"/>
                <w:color w:val="FFFFFF" w:themeColor="background1"/>
                <w:sz w:val="20"/>
                <w:szCs w:val="20"/>
                <w:lang w:eastAsia="en-GB"/>
              </w:rPr>
              <w:t>CAPTURA</w:t>
            </w:r>
          </w:p>
        </w:tc>
      </w:tr>
      <w:tr w:rsidR="17D077F0" w14:paraId="646E6C63"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3172" w:type="dxa"/>
          </w:tcPr>
          <w:p w14:paraId="58EA013D" w14:textId="2E04D2F6" w:rsidR="3CF444EF" w:rsidRDefault="3CF444EF" w:rsidP="17D077F0">
            <w:pPr>
              <w:spacing w:line="259" w:lineRule="auto"/>
              <w:rPr>
                <w:rFonts w:cstheme="minorBidi"/>
                <w:b/>
                <w:bCs/>
                <w:color w:val="auto"/>
                <w:sz w:val="20"/>
                <w:szCs w:val="20"/>
              </w:rPr>
            </w:pPr>
            <w:r w:rsidRPr="17D077F0">
              <w:rPr>
                <w:rFonts w:cstheme="minorBidi"/>
                <w:b/>
                <w:bCs/>
                <w:color w:val="auto"/>
                <w:sz w:val="20"/>
                <w:szCs w:val="20"/>
              </w:rPr>
              <w:t>Marianne Holmes</w:t>
            </w:r>
            <w:r w:rsidR="00B82041">
              <w:rPr>
                <w:rFonts w:cstheme="minorBidi"/>
                <w:b/>
                <w:bCs/>
                <w:color w:val="auto"/>
                <w:sz w:val="20"/>
                <w:szCs w:val="20"/>
              </w:rPr>
              <w:t>*</w:t>
            </w:r>
          </w:p>
        </w:tc>
        <w:tc>
          <w:tcPr>
            <w:tcW w:w="3171" w:type="dxa"/>
          </w:tcPr>
          <w:p w14:paraId="0DBDCBC8" w14:textId="281C6FF8" w:rsidR="17D077F0" w:rsidRDefault="00BD4EB9" w:rsidP="00BB4743">
            <w:pPr>
              <w:rPr>
                <w:rFonts w:cstheme="minorBidi"/>
                <w:color w:val="auto"/>
                <w:sz w:val="20"/>
                <w:szCs w:val="20"/>
              </w:rPr>
            </w:pPr>
            <w:r w:rsidRPr="00BD4EB9">
              <w:rPr>
                <w:rFonts w:cstheme="minorBidi"/>
                <w:color w:val="auto"/>
                <w:sz w:val="20"/>
                <w:szCs w:val="20"/>
              </w:rPr>
              <w:t>International Vaccine Institute</w:t>
            </w:r>
            <w:r w:rsidR="00F272B3">
              <w:rPr>
                <w:rFonts w:cstheme="minorBidi"/>
                <w:color w:val="auto"/>
                <w:sz w:val="20"/>
                <w:szCs w:val="20"/>
              </w:rPr>
              <w:t xml:space="preserve"> (IVI)</w:t>
            </w:r>
          </w:p>
        </w:tc>
        <w:tc>
          <w:tcPr>
            <w:tcW w:w="3165" w:type="dxa"/>
          </w:tcPr>
          <w:p w14:paraId="33C1AE5E" w14:textId="3A070535" w:rsidR="3CF444EF" w:rsidRDefault="3CF444EF" w:rsidP="00BB4743">
            <w:pPr>
              <w:rPr>
                <w:rFonts w:cstheme="minorBidi"/>
                <w:color w:val="auto"/>
                <w:sz w:val="20"/>
                <w:szCs w:val="20"/>
              </w:rPr>
            </w:pPr>
            <w:r w:rsidRPr="17D077F0">
              <w:rPr>
                <w:rFonts w:cstheme="minorBidi"/>
                <w:color w:val="auto"/>
                <w:sz w:val="20"/>
                <w:szCs w:val="20"/>
              </w:rPr>
              <w:t>Project technical lead of CAPTURA</w:t>
            </w:r>
          </w:p>
        </w:tc>
      </w:tr>
      <w:tr w:rsidR="17D077F0" w14:paraId="464EBBEA"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9508" w:type="dxa"/>
            <w:gridSpan w:val="3"/>
            <w:shd w:val="clear" w:color="auto" w:fill="96C286" w:themeFill="text2" w:themeFillTint="99"/>
          </w:tcPr>
          <w:p w14:paraId="55A775AB" w14:textId="5199F7C2" w:rsidR="3CF444EF" w:rsidRDefault="3CF444EF" w:rsidP="00041B22">
            <w:pPr>
              <w:spacing w:line="259" w:lineRule="auto"/>
            </w:pPr>
            <w:r w:rsidRPr="17D077F0">
              <w:rPr>
                <w:rFonts w:cstheme="minorBidi"/>
                <w:color w:val="FFFFFF" w:themeColor="background1"/>
                <w:sz w:val="20"/>
                <w:szCs w:val="20"/>
                <w:lang w:eastAsia="en-GB"/>
              </w:rPr>
              <w:t>RADAAR</w:t>
            </w:r>
          </w:p>
        </w:tc>
      </w:tr>
      <w:tr w:rsidR="00F272B3" w14:paraId="5562023D"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3172" w:type="dxa"/>
          </w:tcPr>
          <w:p w14:paraId="0DFDA8F2" w14:textId="3FB8C4B5" w:rsidR="00F272B3" w:rsidRDefault="00F272B3" w:rsidP="00F272B3">
            <w:pPr>
              <w:spacing w:line="259" w:lineRule="auto"/>
              <w:rPr>
                <w:rFonts w:cstheme="minorBidi"/>
                <w:b/>
                <w:bCs/>
                <w:color w:val="auto"/>
                <w:sz w:val="20"/>
                <w:szCs w:val="20"/>
              </w:rPr>
            </w:pPr>
            <w:r w:rsidRPr="17D077F0">
              <w:rPr>
                <w:rFonts w:cstheme="minorBidi"/>
                <w:b/>
                <w:bCs/>
                <w:color w:val="auto"/>
                <w:sz w:val="20"/>
                <w:szCs w:val="20"/>
              </w:rPr>
              <w:t>Marianne Holmes</w:t>
            </w:r>
            <w:r>
              <w:rPr>
                <w:rFonts w:cstheme="minorBidi"/>
                <w:b/>
                <w:bCs/>
                <w:color w:val="auto"/>
                <w:sz w:val="20"/>
                <w:szCs w:val="20"/>
              </w:rPr>
              <w:t>**</w:t>
            </w:r>
          </w:p>
        </w:tc>
        <w:tc>
          <w:tcPr>
            <w:tcW w:w="3171" w:type="dxa"/>
          </w:tcPr>
          <w:p w14:paraId="08B21D56" w14:textId="6600544F" w:rsidR="00F272B3" w:rsidRPr="000B3487" w:rsidRDefault="00F272B3" w:rsidP="00BB4743">
            <w:pPr>
              <w:rPr>
                <w:rFonts w:cstheme="minorBidi"/>
                <w:color w:val="auto"/>
                <w:sz w:val="20"/>
                <w:szCs w:val="20"/>
              </w:rPr>
            </w:pPr>
            <w:r>
              <w:rPr>
                <w:rFonts w:cstheme="minorBidi"/>
                <w:color w:val="auto"/>
                <w:sz w:val="20"/>
                <w:szCs w:val="20"/>
              </w:rPr>
              <w:t>IVI</w:t>
            </w:r>
          </w:p>
        </w:tc>
        <w:tc>
          <w:tcPr>
            <w:tcW w:w="3165" w:type="dxa"/>
          </w:tcPr>
          <w:p w14:paraId="03D4E52C" w14:textId="1A2D61F4" w:rsidR="00F272B3" w:rsidRPr="00BB4743" w:rsidRDefault="00F272B3" w:rsidP="00BB4743">
            <w:pPr>
              <w:rPr>
                <w:color w:val="auto"/>
              </w:rPr>
            </w:pPr>
            <w:r w:rsidRPr="00C02073">
              <w:rPr>
                <w:rFonts w:eastAsia="Calibri" w:cs="Calibri"/>
                <w:sz w:val="20"/>
                <w:szCs w:val="20"/>
              </w:rPr>
              <w:t>RADAAR Project Lead</w:t>
            </w:r>
          </w:p>
        </w:tc>
      </w:tr>
      <w:tr w:rsidR="00F272B3" w14:paraId="763D8CAA"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3172" w:type="dxa"/>
          </w:tcPr>
          <w:p w14:paraId="3318FB9B" w14:textId="0A5DE9CA" w:rsidR="00F272B3" w:rsidRDefault="00F272B3" w:rsidP="00F272B3">
            <w:pPr>
              <w:spacing w:line="259" w:lineRule="auto"/>
              <w:rPr>
                <w:rFonts w:cstheme="minorBidi"/>
                <w:b/>
                <w:bCs/>
                <w:color w:val="auto"/>
                <w:sz w:val="20"/>
                <w:szCs w:val="20"/>
              </w:rPr>
            </w:pPr>
            <w:r w:rsidRPr="17D077F0">
              <w:rPr>
                <w:rFonts w:cstheme="minorBidi"/>
                <w:b/>
                <w:bCs/>
                <w:color w:val="auto"/>
                <w:sz w:val="20"/>
                <w:szCs w:val="20"/>
              </w:rPr>
              <w:t>Anthony Burnett</w:t>
            </w:r>
          </w:p>
        </w:tc>
        <w:tc>
          <w:tcPr>
            <w:tcW w:w="3171" w:type="dxa"/>
          </w:tcPr>
          <w:p w14:paraId="134B0CCF" w14:textId="35AF4506" w:rsidR="00F272B3" w:rsidRPr="000B3487" w:rsidRDefault="00F272B3" w:rsidP="00BB4743">
            <w:pPr>
              <w:rPr>
                <w:rFonts w:cstheme="minorBidi"/>
                <w:color w:val="auto"/>
                <w:sz w:val="20"/>
                <w:szCs w:val="20"/>
              </w:rPr>
            </w:pPr>
            <w:r>
              <w:rPr>
                <w:rFonts w:cstheme="minorBidi"/>
                <w:color w:val="auto"/>
                <w:sz w:val="20"/>
                <w:szCs w:val="20"/>
              </w:rPr>
              <w:t>IVI</w:t>
            </w:r>
          </w:p>
        </w:tc>
        <w:tc>
          <w:tcPr>
            <w:tcW w:w="3165" w:type="dxa"/>
          </w:tcPr>
          <w:p w14:paraId="2C8E4EDC" w14:textId="7F221A73" w:rsidR="00F272B3" w:rsidRPr="00BB4743" w:rsidRDefault="00F272B3" w:rsidP="00BB4743">
            <w:pPr>
              <w:rPr>
                <w:color w:val="auto"/>
              </w:rPr>
            </w:pPr>
            <w:r w:rsidRPr="00C02073">
              <w:rPr>
                <w:rFonts w:eastAsia="Calibri" w:cs="Calibri"/>
                <w:sz w:val="20"/>
                <w:szCs w:val="20"/>
              </w:rPr>
              <w:t>RADAAR Project</w:t>
            </w:r>
          </w:p>
        </w:tc>
      </w:tr>
      <w:tr w:rsidR="17D077F0" w14:paraId="5A8A5536"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9508" w:type="dxa"/>
            <w:gridSpan w:val="3"/>
            <w:shd w:val="clear" w:color="auto" w:fill="96C286" w:themeFill="text2" w:themeFillTint="99"/>
          </w:tcPr>
          <w:p w14:paraId="1A37C016" w14:textId="16372F1C" w:rsidR="3CF444EF" w:rsidRDefault="3CF444EF" w:rsidP="00041B22">
            <w:pPr>
              <w:spacing w:line="259" w:lineRule="auto"/>
              <w:rPr>
                <w:rFonts w:cstheme="minorBidi"/>
                <w:color w:val="FFFFFF" w:themeColor="background1"/>
                <w:sz w:val="20"/>
                <w:szCs w:val="20"/>
                <w:lang w:eastAsia="en-GB"/>
              </w:rPr>
            </w:pPr>
            <w:r w:rsidRPr="17D077F0">
              <w:rPr>
                <w:rFonts w:cstheme="minorBidi"/>
                <w:color w:val="FFFFFF" w:themeColor="background1"/>
                <w:sz w:val="20"/>
                <w:szCs w:val="20"/>
                <w:lang w:eastAsia="en-GB"/>
              </w:rPr>
              <w:t>EQAsia, SEQAfrica</w:t>
            </w:r>
          </w:p>
        </w:tc>
      </w:tr>
      <w:tr w:rsidR="17D077F0" w14:paraId="7E8C954B"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3172" w:type="dxa"/>
          </w:tcPr>
          <w:p w14:paraId="3F580094" w14:textId="085A4D08" w:rsidR="3CF444EF" w:rsidRDefault="3CF444EF" w:rsidP="17D077F0">
            <w:pPr>
              <w:spacing w:line="259" w:lineRule="auto"/>
              <w:rPr>
                <w:rFonts w:cstheme="minorBidi"/>
                <w:b/>
                <w:bCs/>
                <w:color w:val="auto"/>
                <w:sz w:val="20"/>
                <w:szCs w:val="20"/>
                <w:lang w:eastAsia="en-GB"/>
              </w:rPr>
            </w:pPr>
            <w:r w:rsidRPr="17D077F0">
              <w:rPr>
                <w:rFonts w:cstheme="minorBidi"/>
                <w:b/>
                <w:bCs/>
                <w:color w:val="auto"/>
                <w:sz w:val="20"/>
                <w:szCs w:val="20"/>
                <w:lang w:eastAsia="en-GB"/>
              </w:rPr>
              <w:t>Rene Hendrikson</w:t>
            </w:r>
          </w:p>
        </w:tc>
        <w:tc>
          <w:tcPr>
            <w:tcW w:w="3171" w:type="dxa"/>
          </w:tcPr>
          <w:p w14:paraId="23D07533" w14:textId="5251BE23" w:rsidR="3CF444EF" w:rsidRDefault="3CF444EF" w:rsidP="00BB4743">
            <w:pPr>
              <w:rPr>
                <w:rFonts w:cstheme="minorBidi"/>
                <w:color w:val="auto"/>
                <w:sz w:val="20"/>
                <w:szCs w:val="20"/>
              </w:rPr>
            </w:pPr>
            <w:r w:rsidRPr="17D077F0">
              <w:rPr>
                <w:rFonts w:cstheme="minorBidi"/>
                <w:color w:val="auto"/>
                <w:sz w:val="20"/>
                <w:szCs w:val="20"/>
              </w:rPr>
              <w:t>Technical University of Denmark (DTU Food)</w:t>
            </w:r>
          </w:p>
        </w:tc>
        <w:tc>
          <w:tcPr>
            <w:tcW w:w="3165" w:type="dxa"/>
          </w:tcPr>
          <w:p w14:paraId="190B789D" w14:textId="321DCD9B" w:rsidR="3CF444EF" w:rsidRDefault="3CF444EF" w:rsidP="00BB4743">
            <w:pPr>
              <w:rPr>
                <w:rFonts w:cstheme="minorBidi"/>
                <w:color w:val="auto"/>
                <w:sz w:val="20"/>
                <w:szCs w:val="20"/>
              </w:rPr>
            </w:pPr>
            <w:r w:rsidRPr="17D077F0">
              <w:rPr>
                <w:rFonts w:cstheme="minorBidi"/>
                <w:color w:val="auto"/>
                <w:sz w:val="20"/>
                <w:szCs w:val="20"/>
              </w:rPr>
              <w:t>Professor, Head of the Unit</w:t>
            </w:r>
          </w:p>
        </w:tc>
      </w:tr>
      <w:tr w:rsidR="17D077F0" w14:paraId="5F8326B5"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3172" w:type="dxa"/>
          </w:tcPr>
          <w:p w14:paraId="607F0275" w14:textId="0B49ED8C" w:rsidR="3CF444EF" w:rsidRDefault="3CF444EF" w:rsidP="17D077F0">
            <w:pPr>
              <w:spacing w:line="259" w:lineRule="auto"/>
              <w:rPr>
                <w:rFonts w:cstheme="minorBidi"/>
                <w:b/>
                <w:bCs/>
                <w:color w:val="auto"/>
                <w:sz w:val="20"/>
                <w:szCs w:val="20"/>
                <w:lang w:eastAsia="en-GB"/>
              </w:rPr>
            </w:pPr>
            <w:r w:rsidRPr="17D077F0">
              <w:rPr>
                <w:rFonts w:cstheme="minorBidi"/>
                <w:b/>
                <w:bCs/>
                <w:color w:val="auto"/>
                <w:sz w:val="20"/>
                <w:szCs w:val="20"/>
                <w:lang w:eastAsia="en-GB"/>
              </w:rPr>
              <w:t>Pernille Nilssonn</w:t>
            </w:r>
          </w:p>
        </w:tc>
        <w:tc>
          <w:tcPr>
            <w:tcW w:w="3171" w:type="dxa"/>
          </w:tcPr>
          <w:p w14:paraId="04649B63" w14:textId="0C02B164" w:rsidR="3CF444EF" w:rsidRDefault="3CF444EF" w:rsidP="00BB4743">
            <w:pPr>
              <w:rPr>
                <w:rFonts w:cstheme="minorBidi"/>
                <w:color w:val="auto"/>
                <w:sz w:val="20"/>
                <w:szCs w:val="20"/>
              </w:rPr>
            </w:pPr>
            <w:r w:rsidRPr="17D077F0">
              <w:rPr>
                <w:rFonts w:cstheme="minorBidi"/>
                <w:color w:val="auto"/>
                <w:sz w:val="20"/>
                <w:szCs w:val="20"/>
              </w:rPr>
              <w:t>Technical University of Denmark (DTU Food)</w:t>
            </w:r>
          </w:p>
        </w:tc>
        <w:tc>
          <w:tcPr>
            <w:tcW w:w="3165" w:type="dxa"/>
          </w:tcPr>
          <w:p w14:paraId="7279B1D9" w14:textId="6880728D" w:rsidR="3CF444EF" w:rsidRDefault="3CF444EF" w:rsidP="00BB4743">
            <w:pPr>
              <w:rPr>
                <w:rFonts w:cstheme="minorBidi"/>
                <w:color w:val="auto"/>
                <w:sz w:val="20"/>
                <w:szCs w:val="20"/>
              </w:rPr>
            </w:pPr>
            <w:r w:rsidRPr="17D077F0">
              <w:rPr>
                <w:rFonts w:cstheme="minorBidi"/>
                <w:color w:val="auto"/>
                <w:sz w:val="20"/>
                <w:szCs w:val="20"/>
              </w:rPr>
              <w:t>Project Manager for Seek Africa</w:t>
            </w:r>
          </w:p>
        </w:tc>
      </w:tr>
      <w:tr w:rsidR="17D077F0" w14:paraId="61C0C4F2"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3172" w:type="dxa"/>
          </w:tcPr>
          <w:p w14:paraId="6A1C2B33" w14:textId="68F32E9C" w:rsidR="3CF444EF" w:rsidRDefault="3CF444EF" w:rsidP="17D077F0">
            <w:pPr>
              <w:spacing w:line="259" w:lineRule="auto"/>
              <w:rPr>
                <w:rFonts w:cstheme="minorBidi"/>
                <w:b/>
                <w:bCs/>
                <w:color w:val="auto"/>
                <w:sz w:val="20"/>
                <w:szCs w:val="20"/>
                <w:lang w:eastAsia="en-GB"/>
              </w:rPr>
            </w:pPr>
            <w:r w:rsidRPr="17D077F0">
              <w:rPr>
                <w:rFonts w:cstheme="minorBidi"/>
                <w:b/>
                <w:bCs/>
                <w:color w:val="auto"/>
                <w:sz w:val="20"/>
                <w:szCs w:val="20"/>
                <w:lang w:eastAsia="en-GB"/>
              </w:rPr>
              <w:t>Paulina Tamez Hilgado</w:t>
            </w:r>
          </w:p>
        </w:tc>
        <w:tc>
          <w:tcPr>
            <w:tcW w:w="3171" w:type="dxa"/>
          </w:tcPr>
          <w:p w14:paraId="20333AFA" w14:textId="599673E9" w:rsidR="3CF444EF" w:rsidRDefault="3CF444EF" w:rsidP="00BB4743">
            <w:pPr>
              <w:rPr>
                <w:rFonts w:cstheme="minorBidi"/>
                <w:color w:val="auto"/>
                <w:sz w:val="20"/>
                <w:szCs w:val="20"/>
              </w:rPr>
            </w:pPr>
            <w:r w:rsidRPr="17D077F0">
              <w:rPr>
                <w:rFonts w:cstheme="minorBidi"/>
                <w:color w:val="auto"/>
                <w:sz w:val="20"/>
                <w:szCs w:val="20"/>
              </w:rPr>
              <w:t>Technical University of Denmark (DTU Food)</w:t>
            </w:r>
          </w:p>
        </w:tc>
        <w:tc>
          <w:tcPr>
            <w:tcW w:w="3165" w:type="dxa"/>
          </w:tcPr>
          <w:p w14:paraId="2BA99282" w14:textId="20DE8939" w:rsidR="17D077F0" w:rsidRDefault="47AB1919" w:rsidP="00BB4743">
            <w:r w:rsidRPr="6A4048FE">
              <w:rPr>
                <w:rFonts w:eastAsia="Calibri" w:cs="Calibri"/>
                <w:color w:val="000000"/>
                <w:sz w:val="20"/>
                <w:szCs w:val="20"/>
              </w:rPr>
              <w:t>Project Manager for EQA Grant (Asia)</w:t>
            </w:r>
          </w:p>
        </w:tc>
      </w:tr>
    </w:tbl>
    <w:p w14:paraId="2A940F56" w14:textId="1C9AA096" w:rsidR="6A4048FE" w:rsidRDefault="6A4048FE"/>
    <w:p w14:paraId="58A68752" w14:textId="77777777" w:rsidR="002125AC" w:rsidRDefault="002125AC" w:rsidP="00BB4743">
      <w:pPr>
        <w:pStyle w:val="ItadNormalText"/>
      </w:pPr>
      <w:bookmarkStart w:id="385" w:name="_Toc118968569"/>
      <w:r>
        <w:br w:type="page"/>
      </w:r>
    </w:p>
    <w:p w14:paraId="0D42CED6" w14:textId="06DC9E03" w:rsidR="17D077F0" w:rsidRDefault="46C90ECF" w:rsidP="004F2001">
      <w:pPr>
        <w:pStyle w:val="ItadH2"/>
      </w:pPr>
      <w:bookmarkStart w:id="386" w:name="_Toc122209923"/>
      <w:bookmarkStart w:id="387" w:name="_Toc142383211"/>
      <w:r>
        <w:t>Bangladesh</w:t>
      </w:r>
      <w:bookmarkEnd w:id="385"/>
      <w:bookmarkEnd w:id="386"/>
      <w:bookmarkEnd w:id="387"/>
    </w:p>
    <w:tbl>
      <w:tblPr>
        <w:tblStyle w:val="Itadalternaterows"/>
        <w:tblW w:w="9663" w:type="dxa"/>
        <w:tblInd w:w="0" w:type="dxa"/>
        <w:tblLook w:val="04A0" w:firstRow="1" w:lastRow="0" w:firstColumn="1" w:lastColumn="0" w:noHBand="0" w:noVBand="1"/>
      </w:tblPr>
      <w:tblGrid>
        <w:gridCol w:w="3112"/>
        <w:gridCol w:w="3207"/>
        <w:gridCol w:w="3344"/>
      </w:tblGrid>
      <w:tr w:rsidR="008B6689" w:rsidRPr="008B6689" w14:paraId="1E9C0590" w14:textId="34FAE0F1" w:rsidTr="00BB4743">
        <w:trPr>
          <w:cnfStyle w:val="100000000000" w:firstRow="1" w:lastRow="0" w:firstColumn="0" w:lastColumn="0" w:oddVBand="0" w:evenVBand="0" w:oddHBand="0" w:evenHBand="0" w:firstRowFirstColumn="0" w:firstRowLastColumn="0" w:lastRowFirstColumn="0" w:lastRowLastColumn="0"/>
          <w:trHeight w:val="340"/>
        </w:trPr>
        <w:tc>
          <w:tcPr>
            <w:tcW w:w="0" w:type="dxa"/>
            <w:gridSpan w:val="3"/>
            <w:hideMark/>
          </w:tcPr>
          <w:p w14:paraId="220B17C8" w14:textId="6D42768F" w:rsidR="00E86422" w:rsidRPr="00F83281" w:rsidRDefault="00E86422">
            <w:pPr>
              <w:rPr>
                <w:rFonts w:cstheme="minorHAnsi"/>
                <w:bCs/>
                <w:color w:val="FFFFFF" w:themeColor="background1"/>
                <w:sz w:val="20"/>
                <w:szCs w:val="20"/>
                <w:lang w:eastAsia="en-GB"/>
              </w:rPr>
            </w:pPr>
            <w:r w:rsidRPr="00F83281">
              <w:rPr>
                <w:rFonts w:cstheme="minorHAnsi"/>
                <w:color w:val="FFFFFF" w:themeColor="background1"/>
                <w:sz w:val="20"/>
                <w:szCs w:val="20"/>
                <w:lang w:eastAsia="en-GB"/>
              </w:rPr>
              <w:t xml:space="preserve">Fleming Fund </w:t>
            </w:r>
            <w:r w:rsidR="005B5B44" w:rsidRPr="00F83281">
              <w:rPr>
                <w:rFonts w:cstheme="minorHAnsi"/>
                <w:color w:val="FFFFFF" w:themeColor="background1"/>
                <w:sz w:val="20"/>
                <w:szCs w:val="20"/>
                <w:lang w:eastAsia="en-GB"/>
              </w:rPr>
              <w:t>CG</w:t>
            </w:r>
          </w:p>
        </w:tc>
      </w:tr>
      <w:tr w:rsidR="008B6689" w:rsidRPr="008B6689" w14:paraId="732752F4" w14:textId="73E11A36"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628E2EBE" w14:textId="3438A4E0" w:rsidR="00E86422" w:rsidRPr="00BB4743" w:rsidRDefault="00EA437E">
            <w:pPr>
              <w:rPr>
                <w:rFonts w:cs="Calibri"/>
                <w:b/>
                <w:color w:val="auto"/>
                <w:sz w:val="20"/>
                <w:szCs w:val="20"/>
                <w:lang w:eastAsia="en-GB"/>
              </w:rPr>
            </w:pPr>
            <w:r w:rsidRPr="00BB4743">
              <w:rPr>
                <w:rFonts w:cs="Calibri"/>
                <w:b/>
                <w:color w:val="auto"/>
                <w:sz w:val="20"/>
                <w:szCs w:val="20"/>
                <w:lang w:eastAsia="en-GB"/>
              </w:rPr>
              <w:t>Profe</w:t>
            </w:r>
            <w:r w:rsidR="008076A8" w:rsidRPr="00BB4743">
              <w:rPr>
                <w:rFonts w:cs="Calibri"/>
                <w:b/>
                <w:color w:val="auto"/>
                <w:sz w:val="20"/>
                <w:szCs w:val="20"/>
                <w:lang w:eastAsia="en-GB"/>
              </w:rPr>
              <w:t>ssor Nitish Debnath and team</w:t>
            </w:r>
          </w:p>
        </w:tc>
        <w:tc>
          <w:tcPr>
            <w:tcW w:w="0" w:type="dxa"/>
          </w:tcPr>
          <w:p w14:paraId="03A4092B" w14:textId="0A40283C" w:rsidR="00E86422" w:rsidRPr="00BB4743" w:rsidRDefault="000F47D8" w:rsidP="00BB4743">
            <w:pPr>
              <w:rPr>
                <w:rFonts w:cs="Calibri"/>
                <w:color w:val="auto"/>
                <w:sz w:val="20"/>
                <w:szCs w:val="20"/>
                <w:lang w:eastAsia="en-GB"/>
              </w:rPr>
            </w:pPr>
            <w:r w:rsidRPr="000F47D8">
              <w:rPr>
                <w:rFonts w:cs="Calibri"/>
                <w:color w:val="auto"/>
                <w:sz w:val="20"/>
                <w:szCs w:val="20"/>
                <w:lang w:eastAsia="en-GB"/>
              </w:rPr>
              <w:t>Fleming Fund Country Grant to Bangladesh</w:t>
            </w:r>
            <w:r w:rsidRPr="00B301B6">
              <w:rPr>
                <w:rFonts w:cs="Calibri"/>
                <w:color w:val="auto"/>
                <w:sz w:val="20"/>
                <w:szCs w:val="20"/>
                <w:lang w:eastAsia="en-GB"/>
              </w:rPr>
              <w:t xml:space="preserve"> </w:t>
            </w:r>
            <w:r w:rsidR="00B301B6">
              <w:rPr>
                <w:rFonts w:cs="Calibri"/>
                <w:color w:val="auto"/>
                <w:sz w:val="20"/>
                <w:szCs w:val="20"/>
                <w:lang w:eastAsia="en-GB"/>
              </w:rPr>
              <w:t>(</w:t>
            </w:r>
            <w:r w:rsidR="008076A8" w:rsidRPr="00BB4743">
              <w:rPr>
                <w:rFonts w:cs="Calibri"/>
                <w:color w:val="auto"/>
                <w:sz w:val="20"/>
                <w:szCs w:val="20"/>
                <w:lang w:eastAsia="en-GB"/>
              </w:rPr>
              <w:t>FFCGB</w:t>
            </w:r>
            <w:r w:rsidR="00B301B6">
              <w:rPr>
                <w:rFonts w:cs="Calibri"/>
                <w:color w:val="auto"/>
                <w:sz w:val="20"/>
                <w:szCs w:val="20"/>
                <w:lang w:eastAsia="en-GB"/>
              </w:rPr>
              <w:t>)</w:t>
            </w:r>
          </w:p>
        </w:tc>
        <w:tc>
          <w:tcPr>
            <w:tcW w:w="0" w:type="dxa"/>
          </w:tcPr>
          <w:p w14:paraId="47005771" w14:textId="0B5DA43B" w:rsidR="00E86422" w:rsidRPr="00BB4743" w:rsidRDefault="4B1653F1" w:rsidP="00BB4743">
            <w:pPr>
              <w:rPr>
                <w:rFonts w:cs="Calibri"/>
                <w:color w:val="auto"/>
                <w:sz w:val="20"/>
                <w:szCs w:val="20"/>
              </w:rPr>
            </w:pPr>
            <w:r w:rsidRPr="00BB4743">
              <w:rPr>
                <w:rFonts w:eastAsia="Calibri" w:cs="Calibri"/>
                <w:color w:val="auto"/>
                <w:sz w:val="20"/>
                <w:szCs w:val="20"/>
              </w:rPr>
              <w:t>Country Team Lead</w:t>
            </w:r>
          </w:p>
        </w:tc>
      </w:tr>
      <w:tr w:rsidR="008B6689" w:rsidRPr="008B6689" w14:paraId="59DB9A13" w14:textId="5169996F"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gridSpan w:val="3"/>
            <w:shd w:val="clear" w:color="auto" w:fill="96C286" w:themeFill="text2" w:themeFillTint="99"/>
          </w:tcPr>
          <w:p w14:paraId="74CC3A0A" w14:textId="3DCDD8FC" w:rsidR="00E86422" w:rsidRPr="00F83281" w:rsidRDefault="00E86422" w:rsidP="00041B22">
            <w:pPr>
              <w:rPr>
                <w:rFonts w:cstheme="minorHAnsi"/>
                <w:sz w:val="20"/>
                <w:szCs w:val="20"/>
              </w:rPr>
            </w:pPr>
            <w:r w:rsidRPr="00F83281">
              <w:rPr>
                <w:rFonts w:cstheme="minorHAnsi"/>
                <w:color w:val="FFFFFF" w:themeColor="background1"/>
                <w:sz w:val="20"/>
                <w:szCs w:val="20"/>
                <w:lang w:eastAsia="en-GB"/>
              </w:rPr>
              <w:t>AMRCC Members</w:t>
            </w:r>
          </w:p>
        </w:tc>
      </w:tr>
      <w:tr w:rsidR="008B6689" w:rsidRPr="008B6689" w14:paraId="666C5333" w14:textId="41C05072"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58B2C243" w14:textId="4803DF15" w:rsidR="00E86422" w:rsidRPr="00BB4743" w:rsidRDefault="008076A8">
            <w:pPr>
              <w:rPr>
                <w:rFonts w:cs="Calibri"/>
                <w:b/>
                <w:color w:val="auto"/>
                <w:sz w:val="20"/>
                <w:szCs w:val="20"/>
                <w:lang w:val="de-DE" w:eastAsia="en-GB"/>
              </w:rPr>
            </w:pPr>
            <w:r w:rsidRPr="00BB4743">
              <w:rPr>
                <w:rFonts w:cs="Calibri"/>
                <w:b/>
                <w:color w:val="auto"/>
                <w:sz w:val="20"/>
                <w:szCs w:val="20"/>
                <w:lang w:val="de-DE" w:eastAsia="en-GB"/>
              </w:rPr>
              <w:t>Dr Abu Sufian</w:t>
            </w:r>
          </w:p>
        </w:tc>
        <w:tc>
          <w:tcPr>
            <w:tcW w:w="0" w:type="dxa"/>
          </w:tcPr>
          <w:p w14:paraId="5CD36BBD" w14:textId="4E82EAE3" w:rsidR="00E86422" w:rsidRPr="00BB4743" w:rsidRDefault="001770A9" w:rsidP="00BB4743">
            <w:pPr>
              <w:rPr>
                <w:rFonts w:cs="Calibri"/>
                <w:color w:val="auto"/>
                <w:sz w:val="20"/>
                <w:szCs w:val="20"/>
                <w:lang w:eastAsia="en-GB"/>
              </w:rPr>
            </w:pPr>
            <w:r w:rsidRPr="001770A9">
              <w:rPr>
                <w:rFonts w:cs="Calibri"/>
                <w:color w:val="auto"/>
                <w:sz w:val="20"/>
                <w:szCs w:val="20"/>
                <w:lang w:eastAsia="en-GB"/>
              </w:rPr>
              <w:t>Department of Livestock Services</w:t>
            </w:r>
            <w:r w:rsidRPr="004A4AA9">
              <w:rPr>
                <w:rFonts w:cs="Calibri"/>
                <w:color w:val="auto"/>
                <w:sz w:val="20"/>
                <w:szCs w:val="20"/>
                <w:lang w:eastAsia="en-GB"/>
              </w:rPr>
              <w:t xml:space="preserve"> </w:t>
            </w:r>
            <w:r>
              <w:rPr>
                <w:rFonts w:cs="Calibri"/>
                <w:color w:val="auto"/>
                <w:sz w:val="20"/>
                <w:szCs w:val="20"/>
                <w:lang w:eastAsia="en-GB"/>
              </w:rPr>
              <w:t>(</w:t>
            </w:r>
            <w:r w:rsidR="00AF0A6D" w:rsidRPr="00BB4743">
              <w:rPr>
                <w:rFonts w:cs="Calibri"/>
                <w:color w:val="auto"/>
                <w:sz w:val="20"/>
                <w:szCs w:val="20"/>
                <w:lang w:eastAsia="en-GB"/>
              </w:rPr>
              <w:t>DLS</w:t>
            </w:r>
            <w:r>
              <w:rPr>
                <w:rFonts w:cs="Calibri"/>
                <w:color w:val="auto"/>
                <w:sz w:val="20"/>
                <w:szCs w:val="20"/>
                <w:lang w:eastAsia="en-GB"/>
              </w:rPr>
              <w:t>)</w:t>
            </w:r>
          </w:p>
        </w:tc>
        <w:tc>
          <w:tcPr>
            <w:tcW w:w="0" w:type="dxa"/>
          </w:tcPr>
          <w:p w14:paraId="35D924FA" w14:textId="02EA0559" w:rsidR="00E86422" w:rsidRPr="00BB4743" w:rsidRDefault="00AF0A6D" w:rsidP="00BB4743">
            <w:pPr>
              <w:rPr>
                <w:rFonts w:cs="Calibri"/>
                <w:color w:val="auto"/>
                <w:sz w:val="20"/>
                <w:szCs w:val="20"/>
                <w:lang w:eastAsia="en-GB"/>
              </w:rPr>
            </w:pPr>
            <w:r w:rsidRPr="00BB4743">
              <w:rPr>
                <w:rFonts w:cs="Calibri"/>
                <w:color w:val="auto"/>
                <w:sz w:val="20"/>
                <w:szCs w:val="20"/>
                <w:lang w:eastAsia="en-GB"/>
              </w:rPr>
              <w:t>Assistant Director (A</w:t>
            </w:r>
            <w:r w:rsidR="008C7496" w:rsidRPr="00BB4743">
              <w:rPr>
                <w:rFonts w:cs="Calibri"/>
                <w:color w:val="auto"/>
                <w:sz w:val="20"/>
                <w:szCs w:val="20"/>
                <w:lang w:eastAsia="en-GB"/>
              </w:rPr>
              <w:t xml:space="preserve">nimal </w:t>
            </w:r>
            <w:r w:rsidRPr="00BB4743">
              <w:rPr>
                <w:rFonts w:cs="Calibri"/>
                <w:color w:val="auto"/>
                <w:sz w:val="20"/>
                <w:szCs w:val="20"/>
                <w:lang w:eastAsia="en-GB"/>
              </w:rPr>
              <w:t>H</w:t>
            </w:r>
            <w:r w:rsidR="008C7496" w:rsidRPr="00BB4743">
              <w:rPr>
                <w:rFonts w:cs="Calibri"/>
                <w:color w:val="auto"/>
                <w:sz w:val="20"/>
                <w:szCs w:val="20"/>
                <w:lang w:eastAsia="en-GB"/>
              </w:rPr>
              <w:t>ealth</w:t>
            </w:r>
            <w:r w:rsidRPr="00BB4743">
              <w:rPr>
                <w:rFonts w:cs="Calibri"/>
                <w:color w:val="auto"/>
                <w:sz w:val="20"/>
                <w:szCs w:val="20"/>
                <w:lang w:eastAsia="en-GB"/>
              </w:rPr>
              <w:t xml:space="preserve"> and Admin</w:t>
            </w:r>
            <w:r w:rsidR="00135E03" w:rsidRPr="00BB4743">
              <w:rPr>
                <w:rFonts w:cs="Calibri"/>
                <w:color w:val="auto"/>
                <w:sz w:val="20"/>
                <w:szCs w:val="20"/>
                <w:lang w:eastAsia="en-GB"/>
              </w:rPr>
              <w:t>istration</w:t>
            </w:r>
            <w:r w:rsidRPr="00BB4743">
              <w:rPr>
                <w:rFonts w:cs="Calibri"/>
                <w:color w:val="auto"/>
                <w:sz w:val="20"/>
                <w:szCs w:val="20"/>
                <w:lang w:eastAsia="en-GB"/>
              </w:rPr>
              <w:t>)</w:t>
            </w:r>
          </w:p>
        </w:tc>
      </w:tr>
      <w:tr w:rsidR="008B6689" w:rsidRPr="008B6689" w14:paraId="148E76B3" w14:textId="58D8354A"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64C0B733" w14:textId="75106549" w:rsidR="00E86422" w:rsidRPr="00BB4743" w:rsidRDefault="009538EA">
            <w:pPr>
              <w:rPr>
                <w:rFonts w:cs="Calibri"/>
                <w:b/>
                <w:color w:val="auto"/>
                <w:sz w:val="20"/>
                <w:szCs w:val="20"/>
                <w:lang w:eastAsia="en-GB"/>
              </w:rPr>
            </w:pPr>
            <w:r w:rsidRPr="00BB4743">
              <w:rPr>
                <w:rFonts w:cs="Calibri"/>
                <w:b/>
                <w:color w:val="auto"/>
                <w:sz w:val="20"/>
                <w:szCs w:val="20"/>
                <w:lang w:eastAsia="en-GB"/>
              </w:rPr>
              <w:t>Dr Aninda Rahman</w:t>
            </w:r>
          </w:p>
        </w:tc>
        <w:tc>
          <w:tcPr>
            <w:tcW w:w="0" w:type="dxa"/>
          </w:tcPr>
          <w:p w14:paraId="5040FA0A" w14:textId="220BCB35" w:rsidR="00E86422" w:rsidRPr="00BB4743" w:rsidRDefault="009538EA" w:rsidP="00BB4743">
            <w:pPr>
              <w:rPr>
                <w:rFonts w:cs="Calibri"/>
                <w:color w:val="auto"/>
                <w:sz w:val="20"/>
                <w:szCs w:val="20"/>
                <w:lang w:eastAsia="en-GB"/>
              </w:rPr>
            </w:pPr>
            <w:r w:rsidRPr="00BB4743">
              <w:rPr>
                <w:rFonts w:cs="Calibri"/>
                <w:color w:val="auto"/>
                <w:sz w:val="20"/>
                <w:szCs w:val="20"/>
                <w:lang w:eastAsia="en-GB"/>
              </w:rPr>
              <w:t>CDC</w:t>
            </w:r>
          </w:p>
        </w:tc>
        <w:tc>
          <w:tcPr>
            <w:tcW w:w="0" w:type="dxa"/>
          </w:tcPr>
          <w:p w14:paraId="67C53BA7" w14:textId="4DB638C5" w:rsidR="00E86422" w:rsidRPr="00BB4743" w:rsidRDefault="009538EA" w:rsidP="00BB4743">
            <w:pPr>
              <w:rPr>
                <w:rFonts w:cs="Calibri"/>
                <w:color w:val="auto"/>
                <w:sz w:val="20"/>
                <w:szCs w:val="20"/>
                <w:lang w:eastAsia="en-GB"/>
              </w:rPr>
            </w:pPr>
            <w:r w:rsidRPr="00BB4743">
              <w:rPr>
                <w:rFonts w:cs="Calibri"/>
                <w:color w:val="auto"/>
                <w:sz w:val="20"/>
                <w:szCs w:val="20"/>
                <w:lang w:eastAsia="en-GB"/>
              </w:rPr>
              <w:t>DPM</w:t>
            </w:r>
          </w:p>
        </w:tc>
      </w:tr>
      <w:tr w:rsidR="008B6689" w:rsidRPr="008B6689" w14:paraId="165883D1" w14:textId="72C42F43"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48203330" w14:textId="7B0846D4" w:rsidR="00E86422" w:rsidRPr="008B6689" w:rsidRDefault="00E86422" w:rsidP="00041B22">
            <w:pPr>
              <w:rPr>
                <w:rFonts w:cs="Calibri"/>
                <w:color w:val="auto"/>
                <w:sz w:val="20"/>
                <w:szCs w:val="20"/>
              </w:rPr>
            </w:pPr>
            <w:r w:rsidRPr="00F83281">
              <w:rPr>
                <w:rFonts w:cstheme="minorHAnsi"/>
                <w:color w:val="FFFFFF" w:themeColor="background1"/>
                <w:sz w:val="20"/>
                <w:szCs w:val="20"/>
                <w:lang w:eastAsia="en-GB"/>
              </w:rPr>
              <w:t>Fleming Fund Fellows</w:t>
            </w:r>
          </w:p>
        </w:tc>
      </w:tr>
      <w:tr w:rsidR="008B6689" w:rsidRPr="008B6689" w14:paraId="169BED73" w14:textId="76098376"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5CC5B86C" w14:textId="1EF4DD56" w:rsidR="00E86422" w:rsidRPr="00BB4743" w:rsidRDefault="00AF0A6D">
            <w:pPr>
              <w:rPr>
                <w:rFonts w:cs="Calibri"/>
                <w:b/>
                <w:color w:val="auto"/>
                <w:sz w:val="20"/>
                <w:szCs w:val="20"/>
                <w:lang w:eastAsia="en-GB"/>
              </w:rPr>
            </w:pPr>
            <w:r w:rsidRPr="00BB4743">
              <w:rPr>
                <w:rFonts w:cs="Calibri"/>
                <w:b/>
                <w:color w:val="auto"/>
                <w:sz w:val="20"/>
                <w:szCs w:val="20"/>
                <w:lang w:eastAsia="en-GB"/>
              </w:rPr>
              <w:t>S.M. Sabrina Yesmin</w:t>
            </w:r>
          </w:p>
        </w:tc>
        <w:tc>
          <w:tcPr>
            <w:tcW w:w="0" w:type="dxa"/>
          </w:tcPr>
          <w:p w14:paraId="2840FCB9" w14:textId="7E1CDD40" w:rsidR="00E86422" w:rsidRPr="00BB4743" w:rsidRDefault="004A4AA9" w:rsidP="00BB4743">
            <w:pPr>
              <w:rPr>
                <w:rFonts w:cs="Calibri"/>
                <w:color w:val="auto"/>
                <w:sz w:val="20"/>
                <w:szCs w:val="20"/>
                <w:lang w:eastAsia="en-GB"/>
              </w:rPr>
            </w:pPr>
            <w:r w:rsidRPr="004A4AA9">
              <w:rPr>
                <w:rFonts w:cs="Calibri"/>
                <w:color w:val="auto"/>
                <w:sz w:val="20"/>
                <w:szCs w:val="20"/>
                <w:lang w:eastAsia="en-GB"/>
              </w:rPr>
              <w:t>Directorate General of Drug Administration</w:t>
            </w:r>
            <w:r w:rsidRPr="00BF1E5D">
              <w:rPr>
                <w:rFonts w:cs="Calibri"/>
                <w:color w:val="auto"/>
                <w:sz w:val="20"/>
                <w:szCs w:val="20"/>
                <w:lang w:eastAsia="en-GB"/>
              </w:rPr>
              <w:t xml:space="preserve"> </w:t>
            </w:r>
            <w:r w:rsidR="00AE0EF6">
              <w:rPr>
                <w:rFonts w:cs="Calibri"/>
                <w:color w:val="auto"/>
                <w:sz w:val="20"/>
                <w:szCs w:val="20"/>
                <w:lang w:eastAsia="en-GB"/>
              </w:rPr>
              <w:t>(</w:t>
            </w:r>
            <w:r w:rsidR="001E3C0B" w:rsidRPr="00BB4743">
              <w:rPr>
                <w:rFonts w:cs="Calibri"/>
                <w:color w:val="auto"/>
                <w:sz w:val="20"/>
                <w:szCs w:val="20"/>
                <w:lang w:eastAsia="en-GB"/>
              </w:rPr>
              <w:t>DGDA</w:t>
            </w:r>
            <w:r w:rsidR="00AE0EF6">
              <w:rPr>
                <w:rFonts w:cs="Calibri"/>
                <w:color w:val="auto"/>
                <w:sz w:val="20"/>
                <w:szCs w:val="20"/>
                <w:lang w:eastAsia="en-GB"/>
              </w:rPr>
              <w:t>)</w:t>
            </w:r>
          </w:p>
        </w:tc>
        <w:tc>
          <w:tcPr>
            <w:tcW w:w="0" w:type="dxa"/>
          </w:tcPr>
          <w:p w14:paraId="602C17DA" w14:textId="501B165F" w:rsidR="00E86422" w:rsidRPr="00BB4743" w:rsidRDefault="001E3C0B" w:rsidP="00BB4743">
            <w:pPr>
              <w:rPr>
                <w:rFonts w:cs="Calibri"/>
                <w:color w:val="auto"/>
                <w:sz w:val="20"/>
                <w:szCs w:val="20"/>
                <w:lang w:eastAsia="en-GB"/>
              </w:rPr>
            </w:pPr>
            <w:r w:rsidRPr="00BB4743">
              <w:rPr>
                <w:rFonts w:cs="Calibri"/>
                <w:color w:val="auto"/>
                <w:sz w:val="20"/>
                <w:szCs w:val="20"/>
                <w:lang w:eastAsia="en-GB"/>
              </w:rPr>
              <w:t>Assistant Director</w:t>
            </w:r>
          </w:p>
        </w:tc>
      </w:tr>
      <w:tr w:rsidR="008B6689" w:rsidRPr="008B6689" w14:paraId="72CFC1BD" w14:textId="675B4073"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76F113CA" w14:textId="5F0E9D38" w:rsidR="00E86422" w:rsidRPr="00BB4743" w:rsidRDefault="009538EA">
            <w:pPr>
              <w:rPr>
                <w:rFonts w:cs="Calibri"/>
                <w:b/>
                <w:color w:val="auto"/>
                <w:sz w:val="20"/>
                <w:szCs w:val="20"/>
                <w:lang w:eastAsia="en-GB"/>
              </w:rPr>
            </w:pPr>
            <w:r w:rsidRPr="00BB4743">
              <w:rPr>
                <w:rFonts w:cs="Calibri"/>
                <w:b/>
                <w:color w:val="auto"/>
                <w:sz w:val="20"/>
                <w:szCs w:val="20"/>
                <w:lang w:eastAsia="en-GB"/>
              </w:rPr>
              <w:t>Gazi Shah Alam</w:t>
            </w:r>
          </w:p>
        </w:tc>
        <w:tc>
          <w:tcPr>
            <w:tcW w:w="0" w:type="dxa"/>
          </w:tcPr>
          <w:p w14:paraId="1991235F" w14:textId="7DE1C89D" w:rsidR="00E86422" w:rsidRPr="00BB4743" w:rsidRDefault="0C716EC0" w:rsidP="00BB4743">
            <w:pPr>
              <w:rPr>
                <w:rFonts w:cs="Calibri"/>
                <w:color w:val="auto"/>
                <w:sz w:val="20"/>
                <w:szCs w:val="20"/>
                <w:lang w:eastAsia="en-GB"/>
              </w:rPr>
            </w:pPr>
            <w:r w:rsidRPr="00BB4743">
              <w:rPr>
                <w:rFonts w:cs="Calibri"/>
                <w:color w:val="auto"/>
                <w:sz w:val="20"/>
                <w:szCs w:val="20"/>
                <w:lang w:eastAsia="en-GB"/>
              </w:rPr>
              <w:t>DLS</w:t>
            </w:r>
          </w:p>
        </w:tc>
        <w:tc>
          <w:tcPr>
            <w:tcW w:w="0" w:type="dxa"/>
          </w:tcPr>
          <w:p w14:paraId="4CD06C18" w14:textId="0D397F38" w:rsidR="00E86422" w:rsidRPr="00BB4743" w:rsidRDefault="0C716EC0" w:rsidP="00BB4743">
            <w:pPr>
              <w:rPr>
                <w:rFonts w:cs="Calibri"/>
                <w:color w:val="auto"/>
                <w:sz w:val="20"/>
                <w:szCs w:val="20"/>
              </w:rPr>
            </w:pPr>
            <w:r w:rsidRPr="00041B22">
              <w:rPr>
                <w:rFonts w:cs="Calibri"/>
                <w:sz w:val="20"/>
                <w:szCs w:val="20"/>
              </w:rPr>
              <w:t>Director</w:t>
            </w:r>
          </w:p>
        </w:tc>
      </w:tr>
      <w:tr w:rsidR="008B6689" w:rsidRPr="008B6689" w14:paraId="69E18CB0" w14:textId="1F4C5559"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27485484" w14:textId="0811CB09" w:rsidR="00E86422" w:rsidRPr="008B6689" w:rsidRDefault="0018555A">
            <w:pPr>
              <w:rPr>
                <w:rFonts w:cs="Calibri"/>
                <w:b/>
                <w:color w:val="auto"/>
                <w:sz w:val="20"/>
                <w:szCs w:val="20"/>
                <w:lang w:eastAsia="en-GB"/>
              </w:rPr>
            </w:pPr>
            <w:bookmarkStart w:id="388" w:name="_Hlk6212292"/>
            <w:r w:rsidRPr="008B6689">
              <w:rPr>
                <w:rFonts w:cs="Calibri"/>
                <w:b/>
                <w:color w:val="auto"/>
                <w:sz w:val="20"/>
                <w:szCs w:val="20"/>
                <w:lang w:eastAsia="en-GB"/>
              </w:rPr>
              <w:t>Nawroj Afreen</w:t>
            </w:r>
          </w:p>
        </w:tc>
        <w:tc>
          <w:tcPr>
            <w:tcW w:w="0" w:type="dxa"/>
          </w:tcPr>
          <w:p w14:paraId="1CDF1250" w14:textId="0EC5A930" w:rsidR="00E86422" w:rsidRPr="008B6689" w:rsidRDefault="00BF1E5D" w:rsidP="00BB4743">
            <w:pPr>
              <w:rPr>
                <w:rFonts w:cs="Calibri"/>
                <w:color w:val="auto"/>
                <w:sz w:val="20"/>
                <w:szCs w:val="20"/>
                <w:lang w:eastAsia="en-GB"/>
              </w:rPr>
            </w:pPr>
            <w:r w:rsidRPr="00BF1E5D">
              <w:rPr>
                <w:rFonts w:cs="Calibri"/>
                <w:color w:val="auto"/>
                <w:sz w:val="20"/>
                <w:szCs w:val="20"/>
                <w:lang w:eastAsia="en-GB"/>
              </w:rPr>
              <w:t xml:space="preserve">Institute of Epidemiology, Disease Control And Research </w:t>
            </w:r>
            <w:r w:rsidR="000A4EB0">
              <w:rPr>
                <w:rFonts w:cs="Calibri"/>
                <w:color w:val="auto"/>
                <w:sz w:val="20"/>
                <w:szCs w:val="20"/>
                <w:lang w:eastAsia="en-GB"/>
              </w:rPr>
              <w:t>(</w:t>
            </w:r>
            <w:r w:rsidR="221708B5" w:rsidRPr="008B6689">
              <w:rPr>
                <w:rFonts w:cs="Calibri"/>
                <w:color w:val="auto"/>
                <w:sz w:val="20"/>
                <w:szCs w:val="20"/>
                <w:lang w:eastAsia="en-GB"/>
              </w:rPr>
              <w:t>IEDCR</w:t>
            </w:r>
            <w:r w:rsidR="000A4EB0">
              <w:rPr>
                <w:rFonts w:cs="Calibri"/>
                <w:color w:val="auto"/>
                <w:sz w:val="20"/>
                <w:szCs w:val="20"/>
                <w:lang w:eastAsia="en-GB"/>
              </w:rPr>
              <w:t>)</w:t>
            </w:r>
          </w:p>
        </w:tc>
        <w:tc>
          <w:tcPr>
            <w:tcW w:w="0" w:type="dxa"/>
          </w:tcPr>
          <w:p w14:paraId="34CE500B" w14:textId="0D9B2191" w:rsidR="00E86422" w:rsidRPr="008B6689" w:rsidRDefault="221708B5" w:rsidP="00BB4743">
            <w:pPr>
              <w:rPr>
                <w:rFonts w:cs="Calibri"/>
                <w:color w:val="auto"/>
                <w:sz w:val="20"/>
                <w:szCs w:val="20"/>
              </w:rPr>
            </w:pPr>
            <w:r w:rsidRPr="008B6689">
              <w:rPr>
                <w:rFonts w:cs="Calibri"/>
                <w:color w:val="auto"/>
                <w:sz w:val="20"/>
                <w:szCs w:val="20"/>
              </w:rPr>
              <w:t>Programmer NIO</w:t>
            </w:r>
          </w:p>
        </w:tc>
      </w:tr>
      <w:tr w:rsidR="00C02073" w:rsidRPr="000B3487" w14:paraId="30AC23CA"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445DA32D" w14:textId="5F6CF002" w:rsidR="008850F1" w:rsidRPr="00BB4743" w:rsidRDefault="008850F1">
            <w:pPr>
              <w:rPr>
                <w:rFonts w:cstheme="minorHAnsi"/>
                <w:b/>
                <w:color w:val="auto"/>
                <w:sz w:val="20"/>
                <w:szCs w:val="20"/>
                <w:lang w:eastAsia="en-GB"/>
              </w:rPr>
            </w:pPr>
            <w:r w:rsidRPr="00C02073">
              <w:rPr>
                <w:rFonts w:cstheme="minorHAnsi"/>
                <w:b/>
                <w:sz w:val="20"/>
                <w:szCs w:val="20"/>
                <w:lang w:eastAsia="en-GB"/>
              </w:rPr>
              <w:t>Dr Markatul Alam</w:t>
            </w:r>
          </w:p>
        </w:tc>
        <w:tc>
          <w:tcPr>
            <w:tcW w:w="0" w:type="dxa"/>
          </w:tcPr>
          <w:p w14:paraId="5749C153" w14:textId="2BBD2024" w:rsidR="008850F1" w:rsidRPr="00BB4743" w:rsidRDefault="008850F1" w:rsidP="00BB4743">
            <w:pPr>
              <w:rPr>
                <w:rFonts w:cstheme="minorHAnsi"/>
                <w:color w:val="auto"/>
                <w:sz w:val="20"/>
                <w:szCs w:val="20"/>
                <w:lang w:eastAsia="en-GB"/>
              </w:rPr>
            </w:pPr>
            <w:r w:rsidRPr="00C02073">
              <w:rPr>
                <w:rFonts w:cstheme="minorHAnsi"/>
                <w:sz w:val="20"/>
                <w:szCs w:val="20"/>
                <w:lang w:eastAsia="en-GB"/>
              </w:rPr>
              <w:t>FIQC, Savar</w:t>
            </w:r>
          </w:p>
        </w:tc>
        <w:tc>
          <w:tcPr>
            <w:tcW w:w="0" w:type="dxa"/>
          </w:tcPr>
          <w:p w14:paraId="438A6E09" w14:textId="615F3EBE" w:rsidR="008850F1" w:rsidRPr="00BB4743" w:rsidRDefault="008850F1" w:rsidP="00BB4743">
            <w:pPr>
              <w:rPr>
                <w:rFonts w:cstheme="minorHAnsi"/>
                <w:color w:val="auto"/>
                <w:sz w:val="20"/>
                <w:szCs w:val="20"/>
              </w:rPr>
            </w:pPr>
            <w:r w:rsidRPr="00C02073">
              <w:rPr>
                <w:rFonts w:cstheme="minorHAnsi"/>
                <w:sz w:val="20"/>
                <w:szCs w:val="20"/>
              </w:rPr>
              <w:t>FIQC Officer</w:t>
            </w:r>
          </w:p>
        </w:tc>
      </w:tr>
      <w:bookmarkEnd w:id="388"/>
      <w:tr w:rsidR="008B6689" w:rsidRPr="008B6689" w14:paraId="31B680EA" w14:textId="03EAAAEB"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gridSpan w:val="3"/>
            <w:shd w:val="clear" w:color="auto" w:fill="96C286" w:themeFill="text2" w:themeFillTint="99"/>
          </w:tcPr>
          <w:p w14:paraId="2AD11244" w14:textId="5F0EA200" w:rsidR="00E86422" w:rsidRPr="008B6689" w:rsidRDefault="000F463A" w:rsidP="00041B22">
            <w:pPr>
              <w:rPr>
                <w:rFonts w:cs="Calibri"/>
                <w:color w:val="auto"/>
                <w:sz w:val="20"/>
                <w:szCs w:val="20"/>
              </w:rPr>
            </w:pPr>
            <w:r w:rsidRPr="006911A6">
              <w:rPr>
                <w:rFonts w:cstheme="minorHAnsi"/>
                <w:color w:val="FFFFFF" w:themeColor="background1"/>
                <w:sz w:val="20"/>
                <w:szCs w:val="20"/>
                <w:lang w:eastAsia="en-GB"/>
              </w:rPr>
              <w:t>Other decision makers</w:t>
            </w:r>
          </w:p>
        </w:tc>
      </w:tr>
      <w:tr w:rsidR="008B6689" w:rsidRPr="008B6689" w14:paraId="426B1680" w14:textId="0E3475B4"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417C4C0D" w14:textId="5489DED7" w:rsidR="00E86422" w:rsidRPr="008B6689" w:rsidRDefault="001E3C0B">
            <w:pPr>
              <w:rPr>
                <w:rFonts w:cs="Calibri"/>
                <w:b/>
                <w:color w:val="auto"/>
                <w:sz w:val="20"/>
                <w:szCs w:val="20"/>
              </w:rPr>
            </w:pPr>
            <w:r w:rsidRPr="008B6689">
              <w:rPr>
                <w:rFonts w:cs="Calibri"/>
                <w:b/>
                <w:color w:val="auto"/>
                <w:sz w:val="20"/>
                <w:szCs w:val="20"/>
              </w:rPr>
              <w:t>Dr Md Shahinur Alom</w:t>
            </w:r>
          </w:p>
        </w:tc>
        <w:tc>
          <w:tcPr>
            <w:tcW w:w="0" w:type="dxa"/>
          </w:tcPr>
          <w:p w14:paraId="587E6DA8" w14:textId="70429392" w:rsidR="00E86422" w:rsidRPr="000B3487" w:rsidRDefault="001E3C0B" w:rsidP="00BB4743">
            <w:pPr>
              <w:rPr>
                <w:rFonts w:cs="Calibri"/>
                <w:color w:val="auto"/>
                <w:sz w:val="20"/>
                <w:szCs w:val="20"/>
              </w:rPr>
            </w:pPr>
            <w:r w:rsidRPr="00041B22">
              <w:rPr>
                <w:rFonts w:cs="Calibri"/>
                <w:color w:val="auto"/>
                <w:sz w:val="20"/>
                <w:szCs w:val="20"/>
              </w:rPr>
              <w:t>DLS, Prani sastho</w:t>
            </w:r>
          </w:p>
        </w:tc>
        <w:tc>
          <w:tcPr>
            <w:tcW w:w="0" w:type="dxa"/>
          </w:tcPr>
          <w:p w14:paraId="0541A532" w14:textId="654653CF" w:rsidR="00E86422" w:rsidRPr="000B3487" w:rsidRDefault="00EC64DA" w:rsidP="00BB4743">
            <w:pPr>
              <w:rPr>
                <w:rFonts w:cs="Calibri"/>
                <w:color w:val="auto"/>
                <w:sz w:val="20"/>
                <w:szCs w:val="20"/>
              </w:rPr>
            </w:pPr>
            <w:r w:rsidRPr="000B3487">
              <w:rPr>
                <w:rFonts w:cs="Calibri"/>
                <w:color w:val="auto"/>
                <w:sz w:val="20"/>
                <w:szCs w:val="20"/>
              </w:rPr>
              <w:t>Deputy Director</w:t>
            </w:r>
          </w:p>
        </w:tc>
      </w:tr>
      <w:tr w:rsidR="008B6689" w:rsidRPr="008B6689" w14:paraId="23ACA4BA"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4190363C" w14:textId="6C57B25C" w:rsidR="53AEEDD0" w:rsidRPr="008B6689" w:rsidRDefault="53AEEDD0" w:rsidP="17D077F0">
            <w:pPr>
              <w:rPr>
                <w:rFonts w:cs="Calibri"/>
                <w:b/>
                <w:bCs/>
                <w:color w:val="auto"/>
                <w:sz w:val="20"/>
                <w:szCs w:val="20"/>
              </w:rPr>
            </w:pPr>
            <w:r w:rsidRPr="008B6689">
              <w:rPr>
                <w:rFonts w:cs="Calibri"/>
                <w:b/>
                <w:bCs/>
                <w:color w:val="auto"/>
                <w:sz w:val="20"/>
                <w:szCs w:val="20"/>
              </w:rPr>
              <w:t>Pr</w:t>
            </w:r>
            <w:r w:rsidR="004C7DF6">
              <w:rPr>
                <w:rFonts w:cs="Calibri"/>
                <w:b/>
                <w:bCs/>
                <w:color w:val="auto"/>
                <w:sz w:val="20"/>
                <w:szCs w:val="20"/>
              </w:rPr>
              <w:t>of</w:t>
            </w:r>
            <w:r w:rsidR="006E78B5">
              <w:rPr>
                <w:rFonts w:cs="Calibri"/>
                <w:b/>
                <w:bCs/>
                <w:color w:val="auto"/>
                <w:sz w:val="20"/>
                <w:szCs w:val="20"/>
              </w:rPr>
              <w:t xml:space="preserve">essor </w:t>
            </w:r>
            <w:r w:rsidRPr="008B6689">
              <w:rPr>
                <w:rFonts w:cs="Calibri"/>
                <w:b/>
                <w:bCs/>
                <w:color w:val="auto"/>
                <w:sz w:val="20"/>
                <w:szCs w:val="20"/>
              </w:rPr>
              <w:t>Nazmul Islam</w:t>
            </w:r>
          </w:p>
        </w:tc>
        <w:tc>
          <w:tcPr>
            <w:tcW w:w="0" w:type="dxa"/>
          </w:tcPr>
          <w:p w14:paraId="33BBD57F" w14:textId="67F31B92" w:rsidR="53AEEDD0" w:rsidRPr="000B3487" w:rsidRDefault="53AEEDD0" w:rsidP="00BB4743">
            <w:pPr>
              <w:rPr>
                <w:rFonts w:cs="Calibri"/>
                <w:color w:val="auto"/>
                <w:sz w:val="20"/>
                <w:szCs w:val="20"/>
              </w:rPr>
            </w:pPr>
            <w:r w:rsidRPr="00041B22">
              <w:rPr>
                <w:rFonts w:cs="Calibri"/>
                <w:color w:val="auto"/>
                <w:sz w:val="20"/>
                <w:szCs w:val="20"/>
              </w:rPr>
              <w:t>CDC</w:t>
            </w:r>
          </w:p>
        </w:tc>
        <w:tc>
          <w:tcPr>
            <w:tcW w:w="0" w:type="dxa"/>
          </w:tcPr>
          <w:p w14:paraId="7DB63901" w14:textId="74DEF517" w:rsidR="53AEEDD0" w:rsidRPr="000B3487" w:rsidRDefault="53AEEDD0" w:rsidP="00BB4743">
            <w:pPr>
              <w:rPr>
                <w:rFonts w:cs="Calibri"/>
                <w:color w:val="auto"/>
                <w:sz w:val="20"/>
                <w:szCs w:val="20"/>
              </w:rPr>
            </w:pPr>
            <w:r w:rsidRPr="000B3487">
              <w:rPr>
                <w:rFonts w:cs="Calibri"/>
                <w:color w:val="auto"/>
                <w:sz w:val="20"/>
                <w:szCs w:val="20"/>
              </w:rPr>
              <w:t>Director</w:t>
            </w:r>
          </w:p>
        </w:tc>
      </w:tr>
      <w:tr w:rsidR="008B6689" w:rsidRPr="008B6689" w14:paraId="182CD286" w14:textId="6BCCD29E"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60C59D35" w14:textId="5B2F0B97" w:rsidR="000F463A" w:rsidRPr="006911A6" w:rsidRDefault="000F463A" w:rsidP="00041B22">
            <w:pPr>
              <w:rPr>
                <w:rFonts w:cstheme="minorHAnsi"/>
                <w:sz w:val="20"/>
                <w:szCs w:val="20"/>
              </w:rPr>
            </w:pPr>
            <w:r w:rsidRPr="006911A6">
              <w:rPr>
                <w:rFonts w:cstheme="minorHAnsi"/>
                <w:color w:val="FFFFFF" w:themeColor="background1"/>
                <w:sz w:val="20"/>
                <w:szCs w:val="20"/>
                <w:lang w:eastAsia="en-GB"/>
              </w:rPr>
              <w:t>Policy Fellows</w:t>
            </w:r>
          </w:p>
        </w:tc>
      </w:tr>
      <w:tr w:rsidR="008B6689" w:rsidRPr="008B6689" w14:paraId="22AD6291" w14:textId="101605F9"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0A951C93" w14:textId="75AAE408" w:rsidR="00E86422" w:rsidRPr="00BB4743" w:rsidRDefault="00EC64DA">
            <w:pPr>
              <w:rPr>
                <w:rFonts w:cs="Calibri"/>
                <w:b/>
                <w:color w:val="auto"/>
                <w:sz w:val="20"/>
                <w:szCs w:val="20"/>
                <w:lang w:eastAsia="en-GB"/>
              </w:rPr>
            </w:pPr>
            <w:r w:rsidRPr="00BB4743">
              <w:rPr>
                <w:rFonts w:cs="Calibri"/>
                <w:b/>
                <w:color w:val="auto"/>
                <w:sz w:val="20"/>
                <w:szCs w:val="20"/>
                <w:lang w:eastAsia="en-GB"/>
              </w:rPr>
              <w:t>Major General Mahbub</w:t>
            </w:r>
            <w:r w:rsidR="009538EA" w:rsidRPr="00BB4743">
              <w:rPr>
                <w:rFonts w:cs="Calibri"/>
                <w:b/>
                <w:color w:val="auto"/>
                <w:sz w:val="20"/>
                <w:szCs w:val="20"/>
                <w:lang w:eastAsia="en-GB"/>
              </w:rPr>
              <w:t>ur Rahman</w:t>
            </w:r>
          </w:p>
        </w:tc>
        <w:tc>
          <w:tcPr>
            <w:tcW w:w="0" w:type="dxa"/>
          </w:tcPr>
          <w:p w14:paraId="1575E83B" w14:textId="3F4588CA" w:rsidR="00E86422" w:rsidRPr="00BB4743" w:rsidRDefault="009538EA" w:rsidP="00BB4743">
            <w:pPr>
              <w:rPr>
                <w:rFonts w:cs="Calibri"/>
                <w:color w:val="auto"/>
                <w:sz w:val="20"/>
                <w:szCs w:val="20"/>
                <w:lang w:eastAsia="en-GB"/>
              </w:rPr>
            </w:pPr>
            <w:r w:rsidRPr="00BB4743">
              <w:rPr>
                <w:rFonts w:cs="Calibri"/>
                <w:color w:val="auto"/>
                <w:sz w:val="20"/>
                <w:szCs w:val="20"/>
                <w:lang w:eastAsia="en-GB"/>
              </w:rPr>
              <w:t>DGDA</w:t>
            </w:r>
          </w:p>
        </w:tc>
        <w:tc>
          <w:tcPr>
            <w:tcW w:w="0" w:type="dxa"/>
          </w:tcPr>
          <w:p w14:paraId="675AD515" w14:textId="58684943" w:rsidR="00E86422" w:rsidRPr="00BB4743" w:rsidRDefault="009538EA" w:rsidP="00BB4743">
            <w:pPr>
              <w:rPr>
                <w:rFonts w:cs="Calibri"/>
                <w:color w:val="auto"/>
                <w:sz w:val="20"/>
                <w:szCs w:val="20"/>
              </w:rPr>
            </w:pPr>
            <w:r w:rsidRPr="00BB4743">
              <w:rPr>
                <w:rFonts w:cs="Calibri"/>
                <w:sz w:val="20"/>
                <w:szCs w:val="20"/>
              </w:rPr>
              <w:t>DG</w:t>
            </w:r>
          </w:p>
        </w:tc>
      </w:tr>
      <w:tr w:rsidR="008B6689" w:rsidRPr="008B6689" w14:paraId="165B0796" w14:textId="7B338868"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7EA83736" w14:textId="52DF66EF" w:rsidR="00E86422" w:rsidRPr="00F83281" w:rsidRDefault="000F463A" w:rsidP="00041B22">
            <w:pPr>
              <w:rPr>
                <w:rFonts w:cstheme="minorHAnsi"/>
                <w:color w:val="FFFFFF" w:themeColor="background1"/>
                <w:sz w:val="20"/>
                <w:szCs w:val="20"/>
              </w:rPr>
            </w:pPr>
            <w:r w:rsidRPr="00F83281">
              <w:rPr>
                <w:rFonts w:cstheme="minorHAnsi"/>
                <w:color w:val="FFFFFF" w:themeColor="background1"/>
                <w:sz w:val="20"/>
                <w:szCs w:val="20"/>
              </w:rPr>
              <w:t>AMR Focal Point</w:t>
            </w:r>
          </w:p>
        </w:tc>
      </w:tr>
      <w:tr w:rsidR="00C02073" w:rsidRPr="000B3487" w14:paraId="0AC7270C" w14:textId="2A7CE6C5"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3D3EBE5D" w14:textId="7A9F05BF" w:rsidR="00E86422" w:rsidRPr="00BB4743" w:rsidRDefault="6BC3E158" w:rsidP="17D077F0">
            <w:pPr>
              <w:rPr>
                <w:rFonts w:cs="Calibri"/>
                <w:b/>
                <w:bCs/>
                <w:color w:val="auto"/>
                <w:sz w:val="20"/>
                <w:szCs w:val="20"/>
                <w:lang w:eastAsia="en-GB"/>
              </w:rPr>
            </w:pPr>
            <w:r w:rsidRPr="0033426C">
              <w:rPr>
                <w:rFonts w:cs="Calibri"/>
                <w:b/>
                <w:bCs/>
                <w:sz w:val="20"/>
                <w:szCs w:val="20"/>
                <w:lang w:eastAsia="en-GB"/>
              </w:rPr>
              <w:t>Dr Muzaffar</w:t>
            </w:r>
            <w:r w:rsidR="6499E9AC" w:rsidRPr="0033426C">
              <w:rPr>
                <w:rFonts w:cs="Calibri"/>
                <w:b/>
                <w:bCs/>
                <w:sz w:val="20"/>
                <w:szCs w:val="20"/>
                <w:lang w:eastAsia="en-GB"/>
              </w:rPr>
              <w:t xml:space="preserve"> Ghani Osmani</w:t>
            </w:r>
          </w:p>
        </w:tc>
        <w:tc>
          <w:tcPr>
            <w:tcW w:w="0" w:type="dxa"/>
          </w:tcPr>
          <w:p w14:paraId="2B19CA75" w14:textId="3632F023" w:rsidR="00E86422" w:rsidRPr="00BB4743" w:rsidRDefault="009538EA" w:rsidP="00BB4743">
            <w:pPr>
              <w:rPr>
                <w:rFonts w:cs="Calibri"/>
                <w:color w:val="auto"/>
                <w:sz w:val="20"/>
                <w:szCs w:val="20"/>
                <w:lang w:eastAsia="en-GB"/>
              </w:rPr>
            </w:pPr>
            <w:r w:rsidRPr="0033426C">
              <w:rPr>
                <w:rFonts w:cs="Calibri"/>
                <w:sz w:val="20"/>
                <w:szCs w:val="20"/>
                <w:lang w:eastAsia="en-GB"/>
              </w:rPr>
              <w:t>DLS</w:t>
            </w:r>
          </w:p>
        </w:tc>
        <w:tc>
          <w:tcPr>
            <w:tcW w:w="0" w:type="dxa"/>
          </w:tcPr>
          <w:p w14:paraId="1778A7B9" w14:textId="2400E15E" w:rsidR="00E86422" w:rsidRPr="00BB4743" w:rsidRDefault="009538EA" w:rsidP="00BB4743">
            <w:pPr>
              <w:rPr>
                <w:rFonts w:cs="Calibri"/>
                <w:color w:val="auto"/>
                <w:sz w:val="20"/>
                <w:szCs w:val="20"/>
              </w:rPr>
            </w:pPr>
            <w:r w:rsidRPr="00BB4743">
              <w:rPr>
                <w:rFonts w:cs="Calibri"/>
                <w:sz w:val="20"/>
                <w:szCs w:val="20"/>
              </w:rPr>
              <w:t>ULO</w:t>
            </w:r>
          </w:p>
        </w:tc>
      </w:tr>
      <w:tr w:rsidR="00C02073" w:rsidRPr="000B3487" w14:paraId="79813A5D"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495002B5" w14:textId="2E2ACBD5" w:rsidR="00C174C4" w:rsidRPr="00BB4743" w:rsidRDefault="00C174C4">
            <w:pPr>
              <w:rPr>
                <w:rFonts w:cs="Calibri"/>
                <w:b/>
                <w:color w:val="auto"/>
                <w:sz w:val="20"/>
                <w:szCs w:val="20"/>
                <w:lang w:eastAsia="en-GB"/>
              </w:rPr>
            </w:pPr>
            <w:r w:rsidRPr="0033426C">
              <w:rPr>
                <w:rFonts w:cs="Calibri"/>
                <w:b/>
                <w:sz w:val="20"/>
                <w:szCs w:val="20"/>
                <w:lang w:eastAsia="en-GB"/>
              </w:rPr>
              <w:t xml:space="preserve">Prof </w:t>
            </w:r>
            <w:r w:rsidR="00D448A9" w:rsidRPr="0033426C">
              <w:rPr>
                <w:rFonts w:cs="Calibri"/>
                <w:b/>
                <w:sz w:val="20"/>
                <w:szCs w:val="20"/>
                <w:lang w:eastAsia="en-GB"/>
              </w:rPr>
              <w:t>Tahmina</w:t>
            </w:r>
            <w:r w:rsidRPr="0033426C">
              <w:rPr>
                <w:rFonts w:cs="Calibri"/>
                <w:b/>
                <w:sz w:val="20"/>
                <w:szCs w:val="20"/>
                <w:lang w:eastAsia="en-GB"/>
              </w:rPr>
              <w:t xml:space="preserve"> Shirin</w:t>
            </w:r>
          </w:p>
        </w:tc>
        <w:tc>
          <w:tcPr>
            <w:tcW w:w="0" w:type="dxa"/>
          </w:tcPr>
          <w:p w14:paraId="1D84C341" w14:textId="08D02C16" w:rsidR="00C174C4" w:rsidRPr="00BB4743" w:rsidRDefault="00C174C4" w:rsidP="00BB4743">
            <w:pPr>
              <w:rPr>
                <w:rFonts w:cs="Calibri"/>
                <w:color w:val="auto"/>
                <w:sz w:val="20"/>
                <w:szCs w:val="20"/>
                <w:lang w:eastAsia="en-GB"/>
              </w:rPr>
            </w:pPr>
            <w:r w:rsidRPr="0033426C">
              <w:rPr>
                <w:rFonts w:cs="Calibri"/>
                <w:sz w:val="20"/>
                <w:szCs w:val="20"/>
                <w:lang w:eastAsia="en-GB"/>
              </w:rPr>
              <w:t>IEDCR</w:t>
            </w:r>
          </w:p>
        </w:tc>
        <w:tc>
          <w:tcPr>
            <w:tcW w:w="0" w:type="dxa"/>
          </w:tcPr>
          <w:p w14:paraId="094364DD" w14:textId="74130509" w:rsidR="00C174C4" w:rsidRPr="00BB4743" w:rsidRDefault="00C174C4" w:rsidP="00BB4743">
            <w:pPr>
              <w:rPr>
                <w:rFonts w:cs="Calibri"/>
                <w:color w:val="auto"/>
                <w:sz w:val="20"/>
                <w:szCs w:val="20"/>
              </w:rPr>
            </w:pPr>
            <w:r w:rsidRPr="00BB4743">
              <w:rPr>
                <w:rFonts w:cs="Calibri"/>
                <w:sz w:val="20"/>
                <w:szCs w:val="20"/>
              </w:rPr>
              <w:t>Director</w:t>
            </w:r>
          </w:p>
        </w:tc>
      </w:tr>
      <w:tr w:rsidR="008B6689" w:rsidRPr="008B6689" w14:paraId="0B928437" w14:textId="44713158"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gridSpan w:val="3"/>
            <w:shd w:val="clear" w:color="auto" w:fill="96C286" w:themeFill="text2" w:themeFillTint="99"/>
          </w:tcPr>
          <w:p w14:paraId="73EAA395" w14:textId="50565C89" w:rsidR="000F463A" w:rsidRPr="006911A6" w:rsidRDefault="003B4A72" w:rsidP="00041B22">
            <w:pPr>
              <w:rPr>
                <w:rFonts w:cstheme="minorHAnsi"/>
                <w:color w:val="FFFFFF" w:themeColor="background1"/>
                <w:sz w:val="20"/>
                <w:szCs w:val="20"/>
              </w:rPr>
            </w:pPr>
            <w:r w:rsidRPr="006911A6">
              <w:rPr>
                <w:rFonts w:cstheme="minorHAnsi"/>
                <w:color w:val="FFFFFF" w:themeColor="background1"/>
                <w:sz w:val="20"/>
                <w:szCs w:val="20"/>
              </w:rPr>
              <w:t>Development Partners</w:t>
            </w:r>
            <w:r w:rsidR="00FF7FD3" w:rsidRPr="006911A6">
              <w:rPr>
                <w:rFonts w:cstheme="minorHAnsi"/>
                <w:color w:val="FFFFFF" w:themeColor="background1"/>
                <w:sz w:val="20"/>
                <w:szCs w:val="20"/>
              </w:rPr>
              <w:t>/ Academia</w:t>
            </w:r>
          </w:p>
        </w:tc>
      </w:tr>
      <w:tr w:rsidR="00C02073" w:rsidRPr="000B3487" w14:paraId="2077560A" w14:textId="4A2BC1F9"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0EE6F9D7" w14:textId="5E3C05C2" w:rsidR="00E86422" w:rsidRPr="00BB4743" w:rsidRDefault="00FF7FD3">
            <w:pPr>
              <w:rPr>
                <w:rFonts w:cs="Calibri"/>
                <w:b/>
                <w:color w:val="auto"/>
                <w:sz w:val="20"/>
                <w:szCs w:val="20"/>
                <w:lang w:eastAsia="en-GB"/>
              </w:rPr>
            </w:pPr>
            <w:r w:rsidRPr="0033426C">
              <w:rPr>
                <w:rFonts w:cs="Calibri"/>
                <w:b/>
                <w:sz w:val="20"/>
                <w:szCs w:val="20"/>
                <w:lang w:eastAsia="en-GB"/>
              </w:rPr>
              <w:t>Dr Ismail Ramzy</w:t>
            </w:r>
          </w:p>
        </w:tc>
        <w:tc>
          <w:tcPr>
            <w:tcW w:w="0" w:type="dxa"/>
          </w:tcPr>
          <w:p w14:paraId="4E0B6800" w14:textId="09CF0B98" w:rsidR="00E86422" w:rsidRPr="00BB4743" w:rsidRDefault="00FF7FD3" w:rsidP="00BB4743">
            <w:pPr>
              <w:rPr>
                <w:rFonts w:cs="Calibri"/>
                <w:color w:val="auto"/>
                <w:sz w:val="20"/>
                <w:szCs w:val="20"/>
                <w:lang w:eastAsia="en-GB"/>
              </w:rPr>
            </w:pPr>
            <w:r w:rsidRPr="0033426C">
              <w:rPr>
                <w:rFonts w:cs="Calibri"/>
                <w:sz w:val="20"/>
                <w:szCs w:val="20"/>
                <w:lang w:eastAsia="en-GB"/>
              </w:rPr>
              <w:t>WHO</w:t>
            </w:r>
          </w:p>
        </w:tc>
        <w:tc>
          <w:tcPr>
            <w:tcW w:w="0" w:type="dxa"/>
          </w:tcPr>
          <w:p w14:paraId="26A19900" w14:textId="7E3A3A51" w:rsidR="00E86422" w:rsidRPr="00BB4743" w:rsidRDefault="00FF7FD3" w:rsidP="00BB4743">
            <w:pPr>
              <w:rPr>
                <w:rFonts w:cs="Calibri"/>
                <w:color w:val="auto"/>
                <w:sz w:val="20"/>
                <w:szCs w:val="20"/>
              </w:rPr>
            </w:pPr>
            <w:r w:rsidRPr="00BB4743">
              <w:rPr>
                <w:rFonts w:cs="Calibri"/>
                <w:sz w:val="20"/>
                <w:szCs w:val="20"/>
              </w:rPr>
              <w:t>MO</w:t>
            </w:r>
          </w:p>
        </w:tc>
      </w:tr>
      <w:tr w:rsidR="00C02073" w:rsidRPr="000B3487" w14:paraId="0BD7D617" w14:textId="4F3127D8"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1D2C8A96" w14:textId="4FD769BF" w:rsidR="00E86422" w:rsidRPr="00BB4743" w:rsidRDefault="00FF7FD3">
            <w:pPr>
              <w:rPr>
                <w:rFonts w:cs="Calibri"/>
                <w:b/>
                <w:color w:val="auto"/>
                <w:sz w:val="20"/>
                <w:szCs w:val="20"/>
                <w:lang w:eastAsia="en-GB"/>
              </w:rPr>
            </w:pPr>
            <w:r w:rsidRPr="0033426C">
              <w:rPr>
                <w:rFonts w:cs="Calibri"/>
                <w:b/>
                <w:sz w:val="20"/>
                <w:szCs w:val="20"/>
                <w:lang w:eastAsia="en-GB"/>
              </w:rPr>
              <w:t>DR Abul Kalam Azad</w:t>
            </w:r>
          </w:p>
        </w:tc>
        <w:tc>
          <w:tcPr>
            <w:tcW w:w="0" w:type="dxa"/>
          </w:tcPr>
          <w:p w14:paraId="50CD64DF" w14:textId="2E8F9E6B" w:rsidR="00E86422" w:rsidRPr="00BB4743" w:rsidRDefault="00256C1E" w:rsidP="00BB4743">
            <w:pPr>
              <w:rPr>
                <w:rFonts w:cs="Calibri"/>
                <w:color w:val="auto"/>
                <w:sz w:val="20"/>
                <w:szCs w:val="20"/>
                <w:lang w:eastAsia="en-GB"/>
              </w:rPr>
            </w:pPr>
            <w:r w:rsidRPr="0033426C">
              <w:rPr>
                <w:rFonts w:cs="Calibri"/>
                <w:sz w:val="20"/>
                <w:szCs w:val="20"/>
                <w:lang w:eastAsia="en-GB"/>
              </w:rPr>
              <w:t>United States Agency for International Development (</w:t>
            </w:r>
            <w:r w:rsidR="00FF7FD3" w:rsidRPr="0033426C">
              <w:rPr>
                <w:rFonts w:cs="Calibri"/>
                <w:sz w:val="20"/>
                <w:szCs w:val="20"/>
                <w:lang w:eastAsia="en-GB"/>
              </w:rPr>
              <w:t>USAID</w:t>
            </w:r>
            <w:r w:rsidRPr="0033426C">
              <w:rPr>
                <w:rFonts w:cs="Calibri"/>
                <w:sz w:val="20"/>
                <w:szCs w:val="20"/>
                <w:lang w:eastAsia="en-GB"/>
              </w:rPr>
              <w:t>)</w:t>
            </w:r>
            <w:r w:rsidR="00FF7FD3" w:rsidRPr="0033426C">
              <w:rPr>
                <w:rFonts w:cs="Calibri"/>
                <w:sz w:val="20"/>
                <w:szCs w:val="20"/>
                <w:lang w:eastAsia="en-GB"/>
              </w:rPr>
              <w:t xml:space="preserve"> </w:t>
            </w:r>
          </w:p>
        </w:tc>
        <w:tc>
          <w:tcPr>
            <w:tcW w:w="0" w:type="dxa"/>
          </w:tcPr>
          <w:p w14:paraId="72A3AAAE" w14:textId="2674BB7E" w:rsidR="00E86422" w:rsidRPr="00BB4743" w:rsidRDefault="00FF7FD3" w:rsidP="00BB4743">
            <w:pPr>
              <w:rPr>
                <w:rFonts w:cs="Calibri"/>
                <w:color w:val="auto"/>
                <w:sz w:val="20"/>
                <w:szCs w:val="20"/>
              </w:rPr>
            </w:pPr>
            <w:r w:rsidRPr="00BB4743">
              <w:rPr>
                <w:rFonts w:cs="Calibri"/>
                <w:sz w:val="20"/>
                <w:szCs w:val="20"/>
              </w:rPr>
              <w:t>Global Health Security Specialist</w:t>
            </w:r>
          </w:p>
        </w:tc>
      </w:tr>
      <w:tr w:rsidR="00C02073" w:rsidRPr="000B3487" w14:paraId="4249297C"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71E21C42" w14:textId="623EEA1A" w:rsidR="00891194" w:rsidRPr="00BB4743" w:rsidRDefault="00891194">
            <w:pPr>
              <w:rPr>
                <w:rFonts w:cs="Calibri"/>
                <w:b/>
                <w:color w:val="auto"/>
                <w:sz w:val="20"/>
                <w:szCs w:val="20"/>
                <w:lang w:eastAsia="en-GB"/>
              </w:rPr>
            </w:pPr>
            <w:r w:rsidRPr="0033426C">
              <w:rPr>
                <w:rFonts w:cs="Calibri"/>
                <w:b/>
                <w:sz w:val="20"/>
                <w:szCs w:val="20"/>
                <w:lang w:eastAsia="en-GB"/>
              </w:rPr>
              <w:t>Mr Eric Braum</w:t>
            </w:r>
          </w:p>
        </w:tc>
        <w:tc>
          <w:tcPr>
            <w:tcW w:w="0" w:type="dxa"/>
          </w:tcPr>
          <w:p w14:paraId="0A630E62" w14:textId="7DD5688C" w:rsidR="00891194" w:rsidRPr="00BB4743" w:rsidRDefault="00891194" w:rsidP="00BB4743">
            <w:pPr>
              <w:rPr>
                <w:rFonts w:cs="Calibri"/>
                <w:color w:val="auto"/>
                <w:sz w:val="20"/>
                <w:szCs w:val="20"/>
                <w:lang w:eastAsia="en-GB"/>
              </w:rPr>
            </w:pPr>
            <w:r w:rsidRPr="0033426C">
              <w:rPr>
                <w:rFonts w:cs="Calibri"/>
                <w:sz w:val="20"/>
                <w:szCs w:val="20"/>
                <w:lang w:eastAsia="en-GB"/>
              </w:rPr>
              <w:t>FAO</w:t>
            </w:r>
          </w:p>
        </w:tc>
        <w:tc>
          <w:tcPr>
            <w:tcW w:w="0" w:type="dxa"/>
          </w:tcPr>
          <w:p w14:paraId="152B8991" w14:textId="41E01215" w:rsidR="00891194" w:rsidRPr="00BB4743" w:rsidRDefault="0129A800" w:rsidP="00BB4743">
            <w:pPr>
              <w:rPr>
                <w:rFonts w:eastAsia="Calibri" w:cs="Calibri"/>
                <w:color w:val="auto"/>
                <w:sz w:val="20"/>
                <w:szCs w:val="20"/>
              </w:rPr>
            </w:pPr>
            <w:r w:rsidRPr="00BB4743">
              <w:rPr>
                <w:rFonts w:eastAsia="Calibri" w:cs="Calibri"/>
                <w:color w:val="auto"/>
                <w:sz w:val="20"/>
                <w:szCs w:val="20"/>
              </w:rPr>
              <w:t>Team Leader</w:t>
            </w:r>
          </w:p>
        </w:tc>
      </w:tr>
      <w:tr w:rsidR="008B6689" w:rsidRPr="008B6689" w14:paraId="3054824D" w14:textId="309A8CB3"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gridSpan w:val="3"/>
            <w:shd w:val="clear" w:color="auto" w:fill="96C286" w:themeFill="text2" w:themeFillTint="99"/>
          </w:tcPr>
          <w:p w14:paraId="2C2C08A6" w14:textId="5A150971" w:rsidR="0018555A" w:rsidRPr="006911A6" w:rsidRDefault="0018555A" w:rsidP="00041B22">
            <w:pPr>
              <w:rPr>
                <w:rFonts w:cstheme="minorHAnsi"/>
                <w:color w:val="FFFFFF" w:themeColor="background1"/>
                <w:sz w:val="20"/>
                <w:szCs w:val="20"/>
              </w:rPr>
            </w:pPr>
            <w:r w:rsidRPr="006911A6">
              <w:rPr>
                <w:rFonts w:cstheme="minorHAnsi"/>
                <w:color w:val="FFFFFF" w:themeColor="background1"/>
                <w:sz w:val="20"/>
                <w:szCs w:val="20"/>
              </w:rPr>
              <w:t>NRL &amp; Site Visit</w:t>
            </w:r>
          </w:p>
        </w:tc>
      </w:tr>
      <w:tr w:rsidR="00C02073" w:rsidRPr="000B3487" w14:paraId="4F26F068"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31E1E09E" w14:textId="1388C535" w:rsidR="0018555A" w:rsidRPr="00BB4743" w:rsidRDefault="0018555A">
            <w:pPr>
              <w:rPr>
                <w:rFonts w:cs="Calibri"/>
                <w:b/>
                <w:color w:val="auto"/>
                <w:sz w:val="20"/>
                <w:szCs w:val="20"/>
                <w:lang w:eastAsia="en-GB"/>
              </w:rPr>
            </w:pPr>
            <w:r w:rsidRPr="0033426C">
              <w:rPr>
                <w:rFonts w:cs="Calibri"/>
                <w:b/>
                <w:sz w:val="20"/>
                <w:szCs w:val="20"/>
                <w:lang w:eastAsia="en-GB"/>
              </w:rPr>
              <w:t>Dr Zakir Hossain Habib</w:t>
            </w:r>
          </w:p>
        </w:tc>
        <w:tc>
          <w:tcPr>
            <w:tcW w:w="0" w:type="dxa"/>
          </w:tcPr>
          <w:p w14:paraId="4172E61D" w14:textId="4A54B831" w:rsidR="0018555A" w:rsidRPr="00BB4743" w:rsidRDefault="0018555A" w:rsidP="00BB4743">
            <w:pPr>
              <w:rPr>
                <w:rFonts w:cs="Calibri"/>
                <w:color w:val="auto"/>
                <w:sz w:val="20"/>
                <w:szCs w:val="20"/>
                <w:lang w:eastAsia="en-GB"/>
              </w:rPr>
            </w:pPr>
            <w:r w:rsidRPr="0033426C">
              <w:rPr>
                <w:rFonts w:cs="Calibri"/>
                <w:sz w:val="20"/>
                <w:szCs w:val="20"/>
                <w:lang w:eastAsia="en-GB"/>
              </w:rPr>
              <w:t>IEDCR</w:t>
            </w:r>
          </w:p>
        </w:tc>
        <w:tc>
          <w:tcPr>
            <w:tcW w:w="0" w:type="dxa"/>
          </w:tcPr>
          <w:p w14:paraId="6FF2C2C5" w14:textId="2128B50E" w:rsidR="0018555A" w:rsidRPr="00BB4743" w:rsidRDefault="0018555A" w:rsidP="00BB4743">
            <w:pPr>
              <w:rPr>
                <w:rFonts w:cs="Calibri"/>
                <w:color w:val="auto"/>
                <w:sz w:val="20"/>
                <w:szCs w:val="20"/>
              </w:rPr>
            </w:pPr>
            <w:r w:rsidRPr="00BB4743">
              <w:rPr>
                <w:rFonts w:cs="Calibri"/>
                <w:sz w:val="20"/>
                <w:szCs w:val="20"/>
              </w:rPr>
              <w:t>PSO &amp; Head, Department of Microbiology</w:t>
            </w:r>
          </w:p>
        </w:tc>
      </w:tr>
      <w:tr w:rsidR="00C02073" w:rsidRPr="000B3487" w14:paraId="125AC88C"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223A1A22" w14:textId="009317D0" w:rsidR="0018555A" w:rsidRPr="00BB4743" w:rsidRDefault="00E21FB7">
            <w:pPr>
              <w:rPr>
                <w:rFonts w:cs="Calibri"/>
                <w:b/>
                <w:color w:val="auto"/>
                <w:sz w:val="20"/>
                <w:szCs w:val="20"/>
                <w:lang w:eastAsia="en-GB"/>
              </w:rPr>
            </w:pPr>
            <w:r w:rsidRPr="0033426C">
              <w:rPr>
                <w:rFonts w:cs="Calibri"/>
                <w:b/>
                <w:sz w:val="20"/>
                <w:szCs w:val="20"/>
                <w:lang w:eastAsia="en-GB"/>
              </w:rPr>
              <w:t>Dr Md. Abdus Samad</w:t>
            </w:r>
          </w:p>
        </w:tc>
        <w:tc>
          <w:tcPr>
            <w:tcW w:w="0" w:type="dxa"/>
          </w:tcPr>
          <w:p w14:paraId="2A093DAE" w14:textId="04FEC76F" w:rsidR="0018555A" w:rsidRPr="00BB4743" w:rsidRDefault="001B0D47" w:rsidP="00BB4743">
            <w:pPr>
              <w:rPr>
                <w:rFonts w:cs="Calibri"/>
                <w:color w:val="auto"/>
                <w:sz w:val="20"/>
                <w:szCs w:val="20"/>
                <w:lang w:eastAsia="en-GB"/>
              </w:rPr>
            </w:pPr>
            <w:r w:rsidRPr="001B0D47">
              <w:rPr>
                <w:rFonts w:cs="Calibri"/>
                <w:color w:val="auto"/>
                <w:sz w:val="20"/>
                <w:szCs w:val="20"/>
                <w:lang w:eastAsia="en-GB"/>
              </w:rPr>
              <w:t>Bangladesh Livestock Research Institute</w:t>
            </w:r>
          </w:p>
        </w:tc>
        <w:tc>
          <w:tcPr>
            <w:tcW w:w="0" w:type="dxa"/>
          </w:tcPr>
          <w:p w14:paraId="3F8FFFF2" w14:textId="5B449D3B" w:rsidR="0018555A" w:rsidRPr="00BB4743" w:rsidRDefault="00E21FB7" w:rsidP="00BB4743">
            <w:pPr>
              <w:rPr>
                <w:rFonts w:cs="Calibri"/>
                <w:color w:val="auto"/>
                <w:sz w:val="20"/>
                <w:szCs w:val="20"/>
              </w:rPr>
            </w:pPr>
            <w:r w:rsidRPr="00BB4743">
              <w:rPr>
                <w:rFonts w:cs="Calibri"/>
                <w:sz w:val="20"/>
                <w:szCs w:val="20"/>
              </w:rPr>
              <w:t>PSO &amp; Head, AHRD</w:t>
            </w:r>
          </w:p>
        </w:tc>
      </w:tr>
      <w:tr w:rsidR="00C02073" w:rsidRPr="000B3487" w14:paraId="4E015861"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69DE5EFA" w14:textId="034665DF" w:rsidR="00532DAE" w:rsidRPr="00BB4743" w:rsidRDefault="00532DAE">
            <w:pPr>
              <w:rPr>
                <w:rFonts w:cs="Calibri"/>
                <w:b/>
                <w:color w:val="auto"/>
                <w:sz w:val="20"/>
                <w:szCs w:val="20"/>
                <w:lang w:eastAsia="en-GB"/>
              </w:rPr>
            </w:pPr>
            <w:r w:rsidRPr="0033426C">
              <w:rPr>
                <w:rFonts w:cs="Calibri"/>
                <w:b/>
                <w:sz w:val="20"/>
                <w:szCs w:val="20"/>
                <w:lang w:eastAsia="en-GB"/>
              </w:rPr>
              <w:t>Dr Golam Azam Chowdhury</w:t>
            </w:r>
          </w:p>
        </w:tc>
        <w:tc>
          <w:tcPr>
            <w:tcW w:w="0" w:type="dxa"/>
          </w:tcPr>
          <w:p w14:paraId="12EE990E" w14:textId="3D359B68" w:rsidR="00532DAE" w:rsidRPr="00BB4743" w:rsidRDefault="00DA3549" w:rsidP="00BB4743">
            <w:pPr>
              <w:rPr>
                <w:rFonts w:cs="Calibri"/>
                <w:color w:val="auto"/>
                <w:sz w:val="20"/>
                <w:szCs w:val="20"/>
                <w:lang w:eastAsia="en-GB"/>
              </w:rPr>
            </w:pPr>
            <w:r w:rsidRPr="00DA3549">
              <w:rPr>
                <w:rFonts w:cs="Calibri"/>
                <w:color w:val="auto"/>
                <w:sz w:val="20"/>
                <w:szCs w:val="20"/>
                <w:lang w:eastAsia="en-GB"/>
              </w:rPr>
              <w:t>Central Disease Investigation Laboratory</w:t>
            </w:r>
            <w:r>
              <w:rPr>
                <w:rFonts w:cs="Calibri"/>
                <w:color w:val="auto"/>
                <w:sz w:val="20"/>
                <w:szCs w:val="20"/>
                <w:lang w:eastAsia="en-GB"/>
              </w:rPr>
              <w:t xml:space="preserve"> (CDIL)</w:t>
            </w:r>
          </w:p>
        </w:tc>
        <w:tc>
          <w:tcPr>
            <w:tcW w:w="0" w:type="dxa"/>
          </w:tcPr>
          <w:p w14:paraId="667267B4" w14:textId="1254A91C" w:rsidR="00532DAE" w:rsidRPr="00BB4743" w:rsidRDefault="1253D302" w:rsidP="00BB4743">
            <w:pPr>
              <w:rPr>
                <w:rFonts w:cs="Calibri"/>
                <w:color w:val="auto"/>
                <w:sz w:val="20"/>
                <w:szCs w:val="20"/>
              </w:rPr>
            </w:pPr>
            <w:r w:rsidRPr="00BB4743">
              <w:rPr>
                <w:rFonts w:eastAsia="Calibri" w:cs="Calibri"/>
                <w:color w:val="auto"/>
                <w:sz w:val="20"/>
                <w:szCs w:val="20"/>
              </w:rPr>
              <w:t>Principal Scientific Officer</w:t>
            </w:r>
            <w:r w:rsidR="00DA3549">
              <w:rPr>
                <w:rFonts w:eastAsia="Calibri" w:cs="Calibri"/>
                <w:color w:val="auto"/>
                <w:sz w:val="20"/>
                <w:szCs w:val="20"/>
              </w:rPr>
              <w:t>,</w:t>
            </w:r>
            <w:r w:rsidRPr="00BB4743">
              <w:rPr>
                <w:rFonts w:eastAsia="Calibri" w:cs="Calibri"/>
                <w:color w:val="auto"/>
                <w:sz w:val="20"/>
                <w:szCs w:val="20"/>
              </w:rPr>
              <w:t xml:space="preserve"> CDIL</w:t>
            </w:r>
          </w:p>
        </w:tc>
      </w:tr>
      <w:tr w:rsidR="00C02073" w:rsidRPr="000B3487" w14:paraId="1FEF5124"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1493AAD5" w14:textId="21710BD6" w:rsidR="00AE5481" w:rsidRPr="00BB4743" w:rsidRDefault="00AE5481">
            <w:pPr>
              <w:rPr>
                <w:rFonts w:cs="Calibri"/>
                <w:b/>
                <w:color w:val="auto"/>
                <w:sz w:val="20"/>
                <w:szCs w:val="20"/>
                <w:lang w:eastAsia="en-GB"/>
              </w:rPr>
            </w:pPr>
            <w:r w:rsidRPr="0033426C">
              <w:rPr>
                <w:rFonts w:cs="Calibri"/>
                <w:b/>
                <w:sz w:val="20"/>
                <w:szCs w:val="20"/>
                <w:lang w:eastAsia="en-GB"/>
              </w:rPr>
              <w:t>Prof. S M Samsuzzaman</w:t>
            </w:r>
          </w:p>
        </w:tc>
        <w:tc>
          <w:tcPr>
            <w:tcW w:w="0" w:type="dxa"/>
          </w:tcPr>
          <w:p w14:paraId="000D5FF6" w14:textId="4C97B375" w:rsidR="00AE5481" w:rsidRPr="00BB4743" w:rsidRDefault="007207E1" w:rsidP="00BB4743">
            <w:pPr>
              <w:rPr>
                <w:rFonts w:cs="Calibri"/>
                <w:color w:val="auto"/>
                <w:sz w:val="20"/>
                <w:szCs w:val="20"/>
                <w:lang w:eastAsia="en-GB"/>
              </w:rPr>
            </w:pPr>
            <w:r w:rsidRPr="007207E1">
              <w:rPr>
                <w:rFonts w:cs="Calibri"/>
                <w:color w:val="auto"/>
                <w:sz w:val="20"/>
                <w:szCs w:val="20"/>
                <w:lang w:eastAsia="en-GB"/>
              </w:rPr>
              <w:t>Dhaka Medical College and Hospital</w:t>
            </w:r>
          </w:p>
        </w:tc>
        <w:tc>
          <w:tcPr>
            <w:tcW w:w="0" w:type="dxa"/>
          </w:tcPr>
          <w:p w14:paraId="1C2704C9" w14:textId="72CC5EB3" w:rsidR="00AE5481" w:rsidRPr="00BB4743" w:rsidRDefault="00AE5481" w:rsidP="00BB4743">
            <w:pPr>
              <w:rPr>
                <w:rFonts w:cs="Calibri"/>
                <w:color w:val="auto"/>
                <w:sz w:val="20"/>
                <w:szCs w:val="20"/>
              </w:rPr>
            </w:pPr>
            <w:r w:rsidRPr="00BB4743">
              <w:rPr>
                <w:rFonts w:cs="Calibri"/>
                <w:sz w:val="20"/>
                <w:szCs w:val="20"/>
              </w:rPr>
              <w:t xml:space="preserve">Head of Department of </w:t>
            </w:r>
            <w:r w:rsidR="00135E03" w:rsidRPr="00C02073">
              <w:rPr>
                <w:rFonts w:cs="Calibri"/>
                <w:sz w:val="20"/>
                <w:szCs w:val="20"/>
              </w:rPr>
              <w:t>Microbiology</w:t>
            </w:r>
          </w:p>
        </w:tc>
      </w:tr>
    </w:tbl>
    <w:p w14:paraId="3242206F" w14:textId="77777777" w:rsidR="00C523D7" w:rsidRPr="00C523D7" w:rsidRDefault="00C523D7" w:rsidP="00C523D7">
      <w:pPr>
        <w:pStyle w:val="ItadNormalText"/>
      </w:pPr>
    </w:p>
    <w:p w14:paraId="13DDF553" w14:textId="6EC85C76" w:rsidR="00F022D3" w:rsidRDefault="002636A3" w:rsidP="00BB4743">
      <w:pPr>
        <w:pStyle w:val="ItadH2"/>
        <w:keepNext/>
      </w:pPr>
      <w:bookmarkStart w:id="389" w:name="_Toc118968570"/>
      <w:bookmarkStart w:id="390" w:name="_Toc122209924"/>
      <w:bookmarkStart w:id="391" w:name="_Toc142383212"/>
      <w:r>
        <w:t>Bhutan</w:t>
      </w:r>
      <w:bookmarkEnd w:id="389"/>
      <w:bookmarkEnd w:id="390"/>
      <w:bookmarkEnd w:id="391"/>
    </w:p>
    <w:tbl>
      <w:tblPr>
        <w:tblStyle w:val="Itadalternaterows"/>
        <w:tblW w:w="5000" w:type="pct"/>
        <w:tblInd w:w="0" w:type="dxa"/>
        <w:tblLook w:val="04A0" w:firstRow="1" w:lastRow="0" w:firstColumn="1" w:lastColumn="0" w:noHBand="0" w:noVBand="1"/>
      </w:tblPr>
      <w:tblGrid>
        <w:gridCol w:w="3657"/>
        <w:gridCol w:w="3649"/>
        <w:gridCol w:w="2202"/>
      </w:tblGrid>
      <w:tr w:rsidR="008B6689" w:rsidRPr="008B6689" w14:paraId="7619C838" w14:textId="77777777" w:rsidTr="00BB4743">
        <w:trPr>
          <w:cnfStyle w:val="100000000000" w:firstRow="1" w:lastRow="0" w:firstColumn="0" w:lastColumn="0" w:oddVBand="0" w:evenVBand="0" w:oddHBand="0" w:evenHBand="0" w:firstRowFirstColumn="0" w:firstRowLastColumn="0" w:lastRowFirstColumn="0" w:lastRowLastColumn="0"/>
          <w:trHeight w:val="327"/>
        </w:trPr>
        <w:tc>
          <w:tcPr>
            <w:tcW w:w="5000" w:type="pct"/>
            <w:gridSpan w:val="3"/>
          </w:tcPr>
          <w:p w14:paraId="4501375D" w14:textId="767D4E30" w:rsidR="17D077F0" w:rsidRPr="006911A6" w:rsidRDefault="17D077F0" w:rsidP="17D077F0">
            <w:pPr>
              <w:rPr>
                <w:rFonts w:cstheme="minorBidi"/>
                <w:color w:val="FFFFFF" w:themeColor="background1"/>
                <w:sz w:val="20"/>
                <w:szCs w:val="20"/>
                <w:lang w:eastAsia="en-GB"/>
              </w:rPr>
            </w:pPr>
            <w:r w:rsidRPr="006911A6">
              <w:rPr>
                <w:rFonts w:cstheme="minorBidi"/>
                <w:color w:val="FFFFFF" w:themeColor="background1"/>
                <w:sz w:val="20"/>
                <w:szCs w:val="20"/>
                <w:lang w:eastAsia="en-GB"/>
              </w:rPr>
              <w:t xml:space="preserve">Fleming Fund </w:t>
            </w:r>
            <w:r w:rsidR="005B5B44" w:rsidRPr="006911A6">
              <w:rPr>
                <w:rFonts w:cstheme="minorBidi"/>
                <w:color w:val="FFFFFF" w:themeColor="background1"/>
                <w:sz w:val="20"/>
                <w:szCs w:val="20"/>
                <w:lang w:eastAsia="en-GB"/>
              </w:rPr>
              <w:t>CG</w:t>
            </w:r>
          </w:p>
        </w:tc>
      </w:tr>
      <w:tr w:rsidR="00437B6A" w:rsidRPr="008B6689" w14:paraId="1506E44D"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78924941" w14:textId="15297E75" w:rsidR="5BF8B2E7" w:rsidRPr="00BB4743" w:rsidRDefault="5BF8B2E7" w:rsidP="17D077F0">
            <w:pPr>
              <w:rPr>
                <w:rFonts w:cs="Calibri"/>
                <w:b/>
                <w:bCs/>
                <w:color w:val="auto"/>
                <w:sz w:val="20"/>
                <w:szCs w:val="20"/>
                <w:lang w:eastAsia="en-GB"/>
              </w:rPr>
            </w:pPr>
            <w:r w:rsidRPr="00BB4743">
              <w:rPr>
                <w:rFonts w:cs="Calibri"/>
                <w:b/>
                <w:bCs/>
                <w:color w:val="auto"/>
                <w:sz w:val="20"/>
                <w:szCs w:val="20"/>
                <w:lang w:eastAsia="en-GB"/>
              </w:rPr>
              <w:t>Sonam Wangda</w:t>
            </w:r>
          </w:p>
        </w:tc>
        <w:tc>
          <w:tcPr>
            <w:tcW w:w="1919" w:type="pct"/>
          </w:tcPr>
          <w:p w14:paraId="54DFEAAF" w14:textId="248FB941" w:rsidR="17D077F0" w:rsidRPr="00BB4743" w:rsidRDefault="007B65CD" w:rsidP="00BB4743">
            <w:pPr>
              <w:rPr>
                <w:rFonts w:cs="Calibri"/>
                <w:color w:val="auto"/>
                <w:sz w:val="20"/>
                <w:szCs w:val="20"/>
                <w:lang w:eastAsia="en-GB"/>
              </w:rPr>
            </w:pPr>
            <w:r w:rsidRPr="00BB4743">
              <w:rPr>
                <w:rFonts w:cs="Calibri"/>
                <w:color w:val="auto"/>
                <w:sz w:val="20"/>
                <w:szCs w:val="20"/>
                <w:lang w:eastAsia="en-GB"/>
              </w:rPr>
              <w:t>RGOB</w:t>
            </w:r>
          </w:p>
        </w:tc>
        <w:tc>
          <w:tcPr>
            <w:tcW w:w="1157" w:type="pct"/>
          </w:tcPr>
          <w:p w14:paraId="163C9182" w14:textId="19980CEA" w:rsidR="5BF8B2E7" w:rsidRPr="00BB4743" w:rsidRDefault="5BF8B2E7" w:rsidP="00BB4743">
            <w:pPr>
              <w:rPr>
                <w:rFonts w:cs="Calibri"/>
                <w:color w:val="auto"/>
                <w:sz w:val="20"/>
                <w:szCs w:val="20"/>
                <w:lang w:eastAsia="en-GB"/>
              </w:rPr>
            </w:pPr>
            <w:r w:rsidRPr="00BB4743">
              <w:rPr>
                <w:rFonts w:cs="Calibri"/>
                <w:color w:val="auto"/>
                <w:sz w:val="20"/>
                <w:szCs w:val="20"/>
                <w:lang w:eastAsia="en-GB"/>
              </w:rPr>
              <w:t>Project Director</w:t>
            </w:r>
          </w:p>
        </w:tc>
      </w:tr>
      <w:tr w:rsidR="00437B6A" w:rsidRPr="008B6689" w14:paraId="7D7E99F5" w14:textId="77777777" w:rsidTr="00437B6A">
        <w:trPr>
          <w:cnfStyle w:val="000000010000" w:firstRow="0" w:lastRow="0" w:firstColumn="0" w:lastColumn="0" w:oddVBand="0" w:evenVBand="0" w:oddHBand="0" w:evenHBand="1" w:firstRowFirstColumn="0" w:firstRowLastColumn="0" w:lastRowFirstColumn="0" w:lastRowLastColumn="0"/>
          <w:trHeight w:val="327"/>
        </w:trPr>
        <w:tc>
          <w:tcPr>
            <w:tcW w:w="1923" w:type="pct"/>
          </w:tcPr>
          <w:p w14:paraId="46853211" w14:textId="5344A07E" w:rsidR="5BF8B2E7" w:rsidRPr="00BB4743" w:rsidRDefault="5BF8B2E7" w:rsidP="17D077F0">
            <w:pPr>
              <w:rPr>
                <w:rFonts w:cs="Calibri"/>
                <w:b/>
                <w:bCs/>
                <w:color w:val="auto"/>
                <w:sz w:val="20"/>
                <w:szCs w:val="20"/>
                <w:lang w:eastAsia="en-GB"/>
              </w:rPr>
            </w:pPr>
            <w:r w:rsidRPr="00BB4743">
              <w:rPr>
                <w:rFonts w:cs="Calibri"/>
                <w:b/>
                <w:bCs/>
                <w:color w:val="auto"/>
                <w:sz w:val="20"/>
                <w:szCs w:val="20"/>
                <w:lang w:eastAsia="en-GB"/>
              </w:rPr>
              <w:t>Ugyen Kelzang</w:t>
            </w:r>
          </w:p>
        </w:tc>
        <w:tc>
          <w:tcPr>
            <w:tcW w:w="1919" w:type="pct"/>
          </w:tcPr>
          <w:p w14:paraId="7282B7BC" w14:textId="70BD59B6" w:rsidR="17D077F0" w:rsidRPr="00BB4743" w:rsidRDefault="007B65CD" w:rsidP="00BB4743">
            <w:pPr>
              <w:rPr>
                <w:rFonts w:cs="Calibri"/>
                <w:color w:val="auto"/>
                <w:sz w:val="20"/>
                <w:szCs w:val="20"/>
                <w:lang w:eastAsia="en-GB"/>
              </w:rPr>
            </w:pPr>
            <w:r w:rsidRPr="00BB4743">
              <w:rPr>
                <w:rFonts w:cs="Calibri"/>
                <w:color w:val="auto"/>
                <w:sz w:val="20"/>
                <w:szCs w:val="20"/>
                <w:lang w:eastAsia="en-GB"/>
              </w:rPr>
              <w:t>RGOB</w:t>
            </w:r>
          </w:p>
        </w:tc>
        <w:tc>
          <w:tcPr>
            <w:tcW w:w="1157" w:type="pct"/>
          </w:tcPr>
          <w:p w14:paraId="7A34416E" w14:textId="0BCC491F" w:rsidR="5BF8B2E7" w:rsidRPr="00BB4743" w:rsidRDefault="5BF8B2E7" w:rsidP="00BB4743">
            <w:pPr>
              <w:rPr>
                <w:rFonts w:cs="Calibri"/>
                <w:color w:val="auto"/>
                <w:sz w:val="20"/>
                <w:szCs w:val="20"/>
                <w:lang w:eastAsia="en-GB"/>
              </w:rPr>
            </w:pPr>
            <w:r w:rsidRPr="00BB4743">
              <w:rPr>
                <w:rFonts w:cs="Calibri"/>
                <w:color w:val="auto"/>
                <w:sz w:val="20"/>
                <w:szCs w:val="20"/>
                <w:lang w:eastAsia="en-GB"/>
              </w:rPr>
              <w:t>Project Officer</w:t>
            </w:r>
          </w:p>
        </w:tc>
      </w:tr>
      <w:tr w:rsidR="00437B6A" w:rsidRPr="008B6689" w14:paraId="7A14E8BF"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668F1CCA" w14:textId="00FAE120" w:rsidR="5BF8B2E7" w:rsidRPr="00BB4743" w:rsidRDefault="5BF8B2E7" w:rsidP="17D077F0">
            <w:pPr>
              <w:rPr>
                <w:rFonts w:cs="Calibri"/>
                <w:b/>
                <w:bCs/>
                <w:color w:val="auto"/>
                <w:sz w:val="20"/>
                <w:szCs w:val="20"/>
                <w:lang w:eastAsia="en-GB"/>
              </w:rPr>
            </w:pPr>
            <w:r w:rsidRPr="00BB4743">
              <w:rPr>
                <w:rFonts w:cs="Calibri"/>
                <w:b/>
                <w:bCs/>
                <w:color w:val="auto"/>
                <w:sz w:val="20"/>
                <w:szCs w:val="20"/>
                <w:lang w:eastAsia="en-GB"/>
              </w:rPr>
              <w:t>Tshering Dorji</w:t>
            </w:r>
          </w:p>
        </w:tc>
        <w:tc>
          <w:tcPr>
            <w:tcW w:w="1919" w:type="pct"/>
          </w:tcPr>
          <w:p w14:paraId="5A1C50F9" w14:textId="55DF26EA" w:rsidR="17D077F0" w:rsidRPr="00BB4743" w:rsidRDefault="007B65CD" w:rsidP="00BB4743">
            <w:pPr>
              <w:rPr>
                <w:rFonts w:cs="Calibri"/>
                <w:color w:val="auto"/>
                <w:sz w:val="20"/>
                <w:szCs w:val="20"/>
                <w:lang w:eastAsia="en-GB"/>
              </w:rPr>
            </w:pPr>
            <w:r w:rsidRPr="00BB4743">
              <w:rPr>
                <w:rFonts w:cs="Calibri"/>
                <w:color w:val="auto"/>
                <w:sz w:val="20"/>
                <w:szCs w:val="20"/>
                <w:lang w:eastAsia="en-GB"/>
              </w:rPr>
              <w:t>RGOB</w:t>
            </w:r>
          </w:p>
        </w:tc>
        <w:tc>
          <w:tcPr>
            <w:tcW w:w="1157" w:type="pct"/>
          </w:tcPr>
          <w:p w14:paraId="004B8436" w14:textId="046FB10A" w:rsidR="5BF8B2E7" w:rsidRPr="00BB4743" w:rsidRDefault="5BF8B2E7" w:rsidP="00BB4743">
            <w:pPr>
              <w:rPr>
                <w:rFonts w:cs="Calibri"/>
                <w:color w:val="auto"/>
                <w:sz w:val="20"/>
                <w:szCs w:val="20"/>
                <w:lang w:eastAsia="en-GB"/>
              </w:rPr>
            </w:pPr>
            <w:r w:rsidRPr="00BB4743">
              <w:rPr>
                <w:rFonts w:cs="Calibri"/>
                <w:color w:val="auto"/>
                <w:sz w:val="20"/>
                <w:szCs w:val="20"/>
                <w:lang w:eastAsia="en-GB"/>
              </w:rPr>
              <w:t>M&amp;E Officer</w:t>
            </w:r>
          </w:p>
        </w:tc>
      </w:tr>
      <w:tr w:rsidR="00437B6A" w:rsidRPr="008B6689" w14:paraId="6F31D808" w14:textId="77777777" w:rsidTr="00437B6A">
        <w:trPr>
          <w:cnfStyle w:val="000000010000" w:firstRow="0" w:lastRow="0" w:firstColumn="0" w:lastColumn="0" w:oddVBand="0" w:evenVBand="0" w:oddHBand="0" w:evenHBand="1" w:firstRowFirstColumn="0" w:firstRowLastColumn="0" w:lastRowFirstColumn="0" w:lastRowLastColumn="0"/>
          <w:trHeight w:val="327"/>
        </w:trPr>
        <w:tc>
          <w:tcPr>
            <w:tcW w:w="1923" w:type="pct"/>
          </w:tcPr>
          <w:p w14:paraId="5C4B3610" w14:textId="2D97706E" w:rsidR="007B65CD" w:rsidRPr="00BB4743" w:rsidRDefault="007B65CD" w:rsidP="007B65CD">
            <w:pPr>
              <w:rPr>
                <w:rFonts w:cs="Calibri"/>
                <w:b/>
                <w:bCs/>
                <w:color w:val="auto"/>
                <w:sz w:val="20"/>
                <w:szCs w:val="20"/>
                <w:lang w:eastAsia="en-GB"/>
              </w:rPr>
            </w:pPr>
            <w:r w:rsidRPr="00BB4743">
              <w:rPr>
                <w:rFonts w:cs="Calibri"/>
                <w:b/>
                <w:bCs/>
                <w:color w:val="auto"/>
                <w:sz w:val="20"/>
                <w:szCs w:val="20"/>
                <w:lang w:eastAsia="en-GB"/>
              </w:rPr>
              <w:t>Kezang Mangmo</w:t>
            </w:r>
          </w:p>
        </w:tc>
        <w:tc>
          <w:tcPr>
            <w:tcW w:w="1919" w:type="pct"/>
          </w:tcPr>
          <w:p w14:paraId="70F637F1" w14:textId="31576789" w:rsidR="007B65CD" w:rsidRPr="00BB4743" w:rsidRDefault="007B65CD" w:rsidP="00BB4743">
            <w:pPr>
              <w:rPr>
                <w:rFonts w:cs="Calibri"/>
                <w:b/>
                <w:bCs/>
                <w:color w:val="auto"/>
                <w:sz w:val="20"/>
                <w:szCs w:val="20"/>
                <w:lang w:eastAsia="en-GB"/>
              </w:rPr>
            </w:pPr>
            <w:r w:rsidRPr="00BB4743">
              <w:rPr>
                <w:rFonts w:cs="Calibri"/>
                <w:color w:val="auto"/>
                <w:sz w:val="20"/>
                <w:szCs w:val="20"/>
                <w:lang w:eastAsia="en-GB"/>
              </w:rPr>
              <w:t>RGOB</w:t>
            </w:r>
          </w:p>
        </w:tc>
        <w:tc>
          <w:tcPr>
            <w:tcW w:w="1157" w:type="pct"/>
          </w:tcPr>
          <w:p w14:paraId="0FD18AD3" w14:textId="412489BC" w:rsidR="007B65CD" w:rsidRPr="00BB4743" w:rsidRDefault="007B65CD" w:rsidP="00BB4743">
            <w:pPr>
              <w:rPr>
                <w:rFonts w:cs="Calibri"/>
                <w:color w:val="auto"/>
                <w:sz w:val="20"/>
                <w:szCs w:val="20"/>
                <w:lang w:eastAsia="en-GB"/>
              </w:rPr>
            </w:pPr>
            <w:r w:rsidRPr="00BB4743">
              <w:rPr>
                <w:rFonts w:cs="Calibri"/>
                <w:color w:val="auto"/>
                <w:sz w:val="20"/>
                <w:szCs w:val="20"/>
                <w:lang w:eastAsia="en-GB"/>
              </w:rPr>
              <w:t>Project Officer</w:t>
            </w:r>
          </w:p>
        </w:tc>
      </w:tr>
      <w:tr w:rsidR="00437B6A" w:rsidRPr="008B6689" w14:paraId="155CB3DF"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3F07D028" w14:textId="269A55BB" w:rsidR="007B65CD" w:rsidRPr="00BB4743" w:rsidRDefault="007B65CD" w:rsidP="007B65CD">
            <w:pPr>
              <w:rPr>
                <w:rFonts w:cs="Calibri"/>
                <w:b/>
                <w:bCs/>
                <w:color w:val="auto"/>
                <w:sz w:val="20"/>
                <w:szCs w:val="20"/>
                <w:lang w:eastAsia="en-GB"/>
              </w:rPr>
            </w:pPr>
            <w:r w:rsidRPr="00BB4743">
              <w:rPr>
                <w:rFonts w:cs="Calibri"/>
                <w:b/>
                <w:bCs/>
                <w:color w:val="auto"/>
                <w:sz w:val="20"/>
                <w:szCs w:val="20"/>
                <w:lang w:eastAsia="en-GB"/>
              </w:rPr>
              <w:t>Purmila Gurung</w:t>
            </w:r>
          </w:p>
        </w:tc>
        <w:tc>
          <w:tcPr>
            <w:tcW w:w="1919" w:type="pct"/>
          </w:tcPr>
          <w:p w14:paraId="3398828C" w14:textId="0444BD2A" w:rsidR="007B65CD" w:rsidRPr="00BB4743" w:rsidRDefault="007B65CD" w:rsidP="00BB4743">
            <w:pPr>
              <w:rPr>
                <w:rFonts w:cs="Calibri"/>
                <w:color w:val="auto"/>
                <w:sz w:val="20"/>
                <w:szCs w:val="20"/>
                <w:lang w:eastAsia="en-GB"/>
              </w:rPr>
            </w:pPr>
            <w:r w:rsidRPr="00BB4743">
              <w:rPr>
                <w:rFonts w:cs="Calibri"/>
                <w:color w:val="auto"/>
                <w:sz w:val="20"/>
                <w:szCs w:val="20"/>
                <w:lang w:eastAsia="en-GB"/>
              </w:rPr>
              <w:t>RGOB</w:t>
            </w:r>
          </w:p>
        </w:tc>
        <w:tc>
          <w:tcPr>
            <w:tcW w:w="1157" w:type="pct"/>
          </w:tcPr>
          <w:p w14:paraId="71E4E8A1" w14:textId="117953EA" w:rsidR="007B65CD" w:rsidRPr="00BB4743" w:rsidRDefault="007B65CD" w:rsidP="00BB4743">
            <w:pPr>
              <w:rPr>
                <w:rFonts w:cs="Calibri"/>
                <w:color w:val="auto"/>
                <w:sz w:val="20"/>
                <w:szCs w:val="20"/>
                <w:lang w:eastAsia="en-GB"/>
              </w:rPr>
            </w:pPr>
            <w:r w:rsidRPr="00BB4743">
              <w:rPr>
                <w:rFonts w:cs="Calibri"/>
                <w:color w:val="auto"/>
                <w:sz w:val="20"/>
                <w:szCs w:val="20"/>
                <w:lang w:eastAsia="en-GB"/>
              </w:rPr>
              <w:t>Project Assistant</w:t>
            </w:r>
          </w:p>
        </w:tc>
      </w:tr>
      <w:tr w:rsidR="008B6689" w:rsidRPr="008B6689" w14:paraId="3E22500D" w14:textId="77777777" w:rsidTr="00BB4743">
        <w:trPr>
          <w:cnfStyle w:val="000000010000" w:firstRow="0" w:lastRow="0" w:firstColumn="0" w:lastColumn="0" w:oddVBand="0" w:evenVBand="0" w:oddHBand="0" w:evenHBand="1" w:firstRowFirstColumn="0" w:firstRowLastColumn="0" w:lastRowFirstColumn="0" w:lastRowLastColumn="0"/>
          <w:trHeight w:val="327"/>
        </w:trPr>
        <w:tc>
          <w:tcPr>
            <w:tcW w:w="5000" w:type="pct"/>
            <w:gridSpan w:val="3"/>
            <w:shd w:val="clear" w:color="auto" w:fill="96C286" w:themeFill="text2" w:themeFillTint="99"/>
          </w:tcPr>
          <w:p w14:paraId="28519671" w14:textId="77777777" w:rsidR="17D077F0" w:rsidRPr="006911A6" w:rsidRDefault="17D077F0" w:rsidP="00041B22">
            <w:pPr>
              <w:rPr>
                <w:rFonts w:cstheme="minorBidi"/>
                <w:sz w:val="20"/>
                <w:szCs w:val="20"/>
              </w:rPr>
            </w:pPr>
            <w:r w:rsidRPr="006911A6">
              <w:rPr>
                <w:rFonts w:cstheme="minorBidi"/>
                <w:color w:val="FFFFFF" w:themeColor="background1"/>
                <w:sz w:val="20"/>
                <w:szCs w:val="20"/>
                <w:lang w:eastAsia="en-GB"/>
              </w:rPr>
              <w:t>AMRCC Members</w:t>
            </w:r>
          </w:p>
        </w:tc>
      </w:tr>
      <w:tr w:rsidR="00437B6A" w:rsidRPr="008B6689" w14:paraId="5B2B2305"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0DD568EC" w14:textId="32F50E9D" w:rsidR="07E95FDE" w:rsidRPr="00BB4743" w:rsidRDefault="07E95FDE" w:rsidP="17D077F0">
            <w:pPr>
              <w:rPr>
                <w:rFonts w:cs="Calibri"/>
                <w:b/>
                <w:bCs/>
                <w:color w:val="auto"/>
                <w:sz w:val="20"/>
                <w:szCs w:val="20"/>
                <w:lang w:val="de-DE" w:eastAsia="en-GB"/>
              </w:rPr>
            </w:pPr>
            <w:r w:rsidRPr="00BB4743">
              <w:rPr>
                <w:rFonts w:cs="Calibri"/>
                <w:b/>
                <w:bCs/>
                <w:color w:val="auto"/>
                <w:sz w:val="20"/>
                <w:szCs w:val="20"/>
                <w:lang w:val="de-DE" w:eastAsia="en-GB"/>
              </w:rPr>
              <w:t>Rinzin Pe</w:t>
            </w:r>
            <w:r w:rsidR="2A7D24B8" w:rsidRPr="00BB4743">
              <w:rPr>
                <w:rFonts w:cs="Calibri"/>
                <w:b/>
                <w:bCs/>
                <w:color w:val="auto"/>
                <w:sz w:val="20"/>
                <w:szCs w:val="20"/>
                <w:lang w:val="de-DE" w:eastAsia="en-GB"/>
              </w:rPr>
              <w:t>m</w:t>
            </w:r>
          </w:p>
        </w:tc>
        <w:tc>
          <w:tcPr>
            <w:tcW w:w="1919" w:type="pct"/>
          </w:tcPr>
          <w:p w14:paraId="6841D0FB" w14:textId="2EE25416" w:rsidR="07E95FDE" w:rsidRPr="00BB4743" w:rsidRDefault="07E95FDE" w:rsidP="00BB4743">
            <w:pPr>
              <w:rPr>
                <w:rFonts w:cs="Calibri"/>
                <w:color w:val="auto"/>
                <w:sz w:val="20"/>
                <w:szCs w:val="20"/>
                <w:lang w:eastAsia="en-GB"/>
              </w:rPr>
            </w:pPr>
            <w:r w:rsidRPr="00BB4743">
              <w:rPr>
                <w:rFonts w:cs="Calibri"/>
                <w:color w:val="auto"/>
                <w:sz w:val="20"/>
                <w:szCs w:val="20"/>
                <w:lang w:eastAsia="en-GB"/>
              </w:rPr>
              <w:t xml:space="preserve">National Centre for </w:t>
            </w:r>
            <w:r w:rsidR="00CD2DFD" w:rsidRPr="00BB4743">
              <w:rPr>
                <w:rFonts w:cs="Calibri"/>
                <w:color w:val="auto"/>
                <w:sz w:val="20"/>
                <w:szCs w:val="20"/>
                <w:lang w:eastAsia="en-GB"/>
              </w:rPr>
              <w:t>Animal Health (NCAH)</w:t>
            </w:r>
            <w:r w:rsidRPr="00BB4743">
              <w:rPr>
                <w:rFonts w:cs="Calibri"/>
                <w:color w:val="auto"/>
                <w:sz w:val="20"/>
                <w:szCs w:val="20"/>
                <w:lang w:eastAsia="en-GB"/>
              </w:rPr>
              <w:t xml:space="preserve">, </w:t>
            </w:r>
            <w:r w:rsidR="00CE7422" w:rsidRPr="00CE7422">
              <w:rPr>
                <w:rFonts w:cs="Calibri"/>
                <w:color w:val="auto"/>
                <w:sz w:val="20"/>
                <w:szCs w:val="20"/>
                <w:lang w:eastAsia="en-GB"/>
              </w:rPr>
              <w:t>Ministry of Agriculture and Forests</w:t>
            </w:r>
            <w:r w:rsidR="00CE7422" w:rsidRPr="00891B8B">
              <w:rPr>
                <w:rFonts w:cs="Calibri"/>
                <w:color w:val="auto"/>
                <w:sz w:val="20"/>
                <w:szCs w:val="20"/>
                <w:lang w:eastAsia="en-GB"/>
              </w:rPr>
              <w:t xml:space="preserve"> </w:t>
            </w:r>
            <w:r w:rsidR="00CE7422">
              <w:rPr>
                <w:rFonts w:cs="Calibri"/>
                <w:color w:val="auto"/>
                <w:sz w:val="20"/>
                <w:szCs w:val="20"/>
                <w:lang w:eastAsia="en-GB"/>
              </w:rPr>
              <w:t>(</w:t>
            </w:r>
            <w:r w:rsidRPr="00BB4743">
              <w:rPr>
                <w:rFonts w:cs="Calibri"/>
                <w:color w:val="auto"/>
                <w:sz w:val="20"/>
                <w:szCs w:val="20"/>
                <w:lang w:eastAsia="en-GB"/>
              </w:rPr>
              <w:t>MOAF</w:t>
            </w:r>
            <w:r w:rsidR="00CE7422">
              <w:rPr>
                <w:rFonts w:cs="Calibri"/>
                <w:color w:val="auto"/>
                <w:sz w:val="20"/>
                <w:szCs w:val="20"/>
                <w:lang w:eastAsia="en-GB"/>
              </w:rPr>
              <w:t>)</w:t>
            </w:r>
          </w:p>
        </w:tc>
        <w:tc>
          <w:tcPr>
            <w:tcW w:w="1157" w:type="pct"/>
          </w:tcPr>
          <w:p w14:paraId="7D6A05C7" w14:textId="07B27E7F" w:rsidR="07E95FDE" w:rsidRPr="00BB4743" w:rsidRDefault="07E95FDE" w:rsidP="00BB4743">
            <w:pPr>
              <w:rPr>
                <w:rFonts w:cs="Calibri"/>
                <w:color w:val="auto"/>
                <w:sz w:val="20"/>
                <w:szCs w:val="20"/>
                <w:lang w:eastAsia="en-GB"/>
              </w:rPr>
            </w:pPr>
            <w:r w:rsidRPr="00BB4743">
              <w:rPr>
                <w:rFonts w:cs="Calibri"/>
                <w:color w:val="auto"/>
                <w:sz w:val="20"/>
                <w:szCs w:val="20"/>
                <w:lang w:eastAsia="en-GB"/>
              </w:rPr>
              <w:t>Chief Veterinary Officer,</w:t>
            </w:r>
            <w:r w:rsidR="007458AC" w:rsidRPr="00BB4743">
              <w:rPr>
                <w:rFonts w:cs="Calibri"/>
                <w:color w:val="auto"/>
                <w:sz w:val="20"/>
                <w:szCs w:val="20"/>
                <w:lang w:eastAsia="en-GB"/>
              </w:rPr>
              <w:t xml:space="preserve"> </w:t>
            </w:r>
            <w:r w:rsidRPr="00BB4743">
              <w:rPr>
                <w:rFonts w:cs="Calibri"/>
                <w:color w:val="auto"/>
                <w:sz w:val="20"/>
                <w:szCs w:val="20"/>
                <w:lang w:eastAsia="en-GB"/>
              </w:rPr>
              <w:t>Animal Health Division, Dep</w:t>
            </w:r>
            <w:r w:rsidR="00527316">
              <w:rPr>
                <w:rFonts w:cs="Calibri"/>
                <w:color w:val="auto"/>
                <w:sz w:val="20"/>
                <w:szCs w:val="20"/>
                <w:lang w:eastAsia="en-GB"/>
              </w:rPr>
              <w:t>artment</w:t>
            </w:r>
            <w:r w:rsidRPr="00BB4743">
              <w:rPr>
                <w:rFonts w:cs="Calibri"/>
                <w:color w:val="auto"/>
                <w:sz w:val="20"/>
                <w:szCs w:val="20"/>
                <w:lang w:eastAsia="en-GB"/>
              </w:rPr>
              <w:t xml:space="preserve"> of Livestock</w:t>
            </w:r>
          </w:p>
        </w:tc>
      </w:tr>
      <w:tr w:rsidR="00437B6A" w:rsidRPr="008B6689" w14:paraId="6463DAAC" w14:textId="77777777" w:rsidTr="00437B6A">
        <w:trPr>
          <w:cnfStyle w:val="000000010000" w:firstRow="0" w:lastRow="0" w:firstColumn="0" w:lastColumn="0" w:oddVBand="0" w:evenVBand="0" w:oddHBand="0" w:evenHBand="1" w:firstRowFirstColumn="0" w:firstRowLastColumn="0" w:lastRowFirstColumn="0" w:lastRowLastColumn="0"/>
          <w:trHeight w:val="327"/>
        </w:trPr>
        <w:tc>
          <w:tcPr>
            <w:tcW w:w="1923" w:type="pct"/>
          </w:tcPr>
          <w:p w14:paraId="05DCB377" w14:textId="3041FD32" w:rsidR="0634A002" w:rsidRPr="00BB4743" w:rsidRDefault="0634A002" w:rsidP="17D077F0">
            <w:pPr>
              <w:rPr>
                <w:rFonts w:cs="Calibri"/>
                <w:b/>
                <w:bCs/>
                <w:color w:val="auto"/>
                <w:sz w:val="20"/>
                <w:szCs w:val="20"/>
                <w:lang w:val="de-DE" w:eastAsia="en-GB"/>
              </w:rPr>
            </w:pPr>
            <w:r w:rsidRPr="00BB4743">
              <w:rPr>
                <w:rFonts w:cs="Calibri"/>
                <w:b/>
                <w:bCs/>
                <w:color w:val="auto"/>
                <w:sz w:val="20"/>
                <w:szCs w:val="20"/>
                <w:lang w:val="de-DE" w:eastAsia="en-GB"/>
              </w:rPr>
              <w:t>Ratna Gurung</w:t>
            </w:r>
          </w:p>
        </w:tc>
        <w:tc>
          <w:tcPr>
            <w:tcW w:w="1919" w:type="pct"/>
          </w:tcPr>
          <w:p w14:paraId="680406BB" w14:textId="084EF095" w:rsidR="0634A002" w:rsidRPr="00BB4743" w:rsidRDefault="00CD2DFD" w:rsidP="00BB4743">
            <w:pPr>
              <w:rPr>
                <w:rFonts w:cs="Calibri"/>
                <w:color w:val="auto"/>
                <w:sz w:val="20"/>
                <w:szCs w:val="20"/>
                <w:lang w:eastAsia="en-GB"/>
              </w:rPr>
            </w:pPr>
            <w:r w:rsidRPr="00BB4743">
              <w:rPr>
                <w:rFonts w:cs="Calibri"/>
                <w:color w:val="auto"/>
                <w:sz w:val="20"/>
                <w:szCs w:val="20"/>
                <w:lang w:eastAsia="en-GB"/>
              </w:rPr>
              <w:t>NCAH</w:t>
            </w:r>
          </w:p>
        </w:tc>
        <w:tc>
          <w:tcPr>
            <w:tcW w:w="1157" w:type="pct"/>
          </w:tcPr>
          <w:p w14:paraId="606F1316" w14:textId="77B72234" w:rsidR="0634A002" w:rsidRPr="00BB4743" w:rsidRDefault="0634A002" w:rsidP="00BB4743">
            <w:pPr>
              <w:rPr>
                <w:rFonts w:cs="Calibri"/>
                <w:color w:val="auto"/>
                <w:sz w:val="20"/>
                <w:szCs w:val="20"/>
                <w:lang w:eastAsia="en-GB"/>
              </w:rPr>
            </w:pPr>
            <w:r w:rsidRPr="00BB4743">
              <w:rPr>
                <w:rFonts w:cs="Calibri"/>
                <w:color w:val="auto"/>
                <w:sz w:val="20"/>
                <w:szCs w:val="20"/>
                <w:lang w:eastAsia="en-GB"/>
              </w:rPr>
              <w:t>Program</w:t>
            </w:r>
            <w:r w:rsidR="002D2908" w:rsidRPr="00BB4743">
              <w:rPr>
                <w:rFonts w:cs="Calibri"/>
                <w:color w:val="auto"/>
                <w:sz w:val="20"/>
                <w:szCs w:val="20"/>
                <w:lang w:eastAsia="en-GB"/>
              </w:rPr>
              <w:t>me</w:t>
            </w:r>
            <w:r w:rsidRPr="00BB4743">
              <w:rPr>
                <w:rFonts w:cs="Calibri"/>
                <w:color w:val="auto"/>
                <w:sz w:val="20"/>
                <w:szCs w:val="20"/>
                <w:lang w:eastAsia="en-GB"/>
              </w:rPr>
              <w:t xml:space="preserve"> Director</w:t>
            </w:r>
          </w:p>
        </w:tc>
      </w:tr>
      <w:tr w:rsidR="00437B6A" w:rsidRPr="008B6689" w14:paraId="737C05B3"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389E3254" w14:textId="51DA3445" w:rsidR="0634A002" w:rsidRPr="00BB4743" w:rsidRDefault="0634A002" w:rsidP="17D077F0">
            <w:pPr>
              <w:rPr>
                <w:rFonts w:cs="Calibri"/>
                <w:b/>
                <w:bCs/>
                <w:color w:val="auto"/>
                <w:sz w:val="20"/>
                <w:szCs w:val="20"/>
                <w:lang w:val="de-DE" w:eastAsia="en-GB"/>
              </w:rPr>
            </w:pPr>
            <w:r w:rsidRPr="00BB4743">
              <w:rPr>
                <w:rFonts w:cs="Calibri"/>
                <w:b/>
                <w:bCs/>
                <w:color w:val="auto"/>
                <w:sz w:val="20"/>
                <w:szCs w:val="20"/>
                <w:lang w:val="de-DE" w:eastAsia="en-GB"/>
              </w:rPr>
              <w:t>Pema Tshewang</w:t>
            </w:r>
          </w:p>
        </w:tc>
        <w:tc>
          <w:tcPr>
            <w:tcW w:w="1919" w:type="pct"/>
          </w:tcPr>
          <w:p w14:paraId="66C83EA7" w14:textId="2A60836D" w:rsidR="0634A002" w:rsidRPr="00BB4743" w:rsidRDefault="0634A002" w:rsidP="00BB4743">
            <w:pPr>
              <w:rPr>
                <w:rFonts w:cs="Calibri"/>
                <w:color w:val="auto"/>
                <w:sz w:val="20"/>
                <w:szCs w:val="20"/>
                <w:lang w:eastAsia="en-GB"/>
              </w:rPr>
            </w:pPr>
            <w:r w:rsidRPr="00BB4743">
              <w:rPr>
                <w:rFonts w:cs="Calibri"/>
                <w:color w:val="auto"/>
                <w:sz w:val="20"/>
                <w:szCs w:val="20"/>
                <w:lang w:eastAsia="en-GB"/>
              </w:rPr>
              <w:t>National Veterinary Hospital</w:t>
            </w:r>
          </w:p>
        </w:tc>
        <w:tc>
          <w:tcPr>
            <w:tcW w:w="1157" w:type="pct"/>
          </w:tcPr>
          <w:p w14:paraId="1A9E9469" w14:textId="2F3A52B6" w:rsidR="0634A002" w:rsidRPr="00BB4743" w:rsidRDefault="0634A002" w:rsidP="00BB4743">
            <w:pPr>
              <w:rPr>
                <w:rFonts w:cs="Calibri"/>
                <w:color w:val="auto"/>
                <w:sz w:val="20"/>
                <w:szCs w:val="20"/>
                <w:lang w:eastAsia="en-GB"/>
              </w:rPr>
            </w:pPr>
            <w:r w:rsidRPr="00BB4743">
              <w:rPr>
                <w:rFonts w:cs="Calibri"/>
                <w:color w:val="auto"/>
                <w:sz w:val="20"/>
                <w:szCs w:val="20"/>
                <w:lang w:eastAsia="en-GB"/>
              </w:rPr>
              <w:t>Deputy Chief Veterinary Officer</w:t>
            </w:r>
          </w:p>
        </w:tc>
      </w:tr>
      <w:tr w:rsidR="00437B6A" w:rsidRPr="008B6689" w14:paraId="4A33EB45" w14:textId="77777777" w:rsidTr="00437B6A">
        <w:trPr>
          <w:cnfStyle w:val="000000010000" w:firstRow="0" w:lastRow="0" w:firstColumn="0" w:lastColumn="0" w:oddVBand="0" w:evenVBand="0" w:oddHBand="0" w:evenHBand="1" w:firstRowFirstColumn="0" w:firstRowLastColumn="0" w:lastRowFirstColumn="0" w:lastRowLastColumn="0"/>
          <w:trHeight w:val="327"/>
        </w:trPr>
        <w:tc>
          <w:tcPr>
            <w:tcW w:w="1923" w:type="pct"/>
          </w:tcPr>
          <w:p w14:paraId="1FA8F757" w14:textId="4D1EB6A5" w:rsidR="631D7C94" w:rsidRPr="00BB4743" w:rsidRDefault="631D7C94" w:rsidP="17D077F0">
            <w:pPr>
              <w:rPr>
                <w:rFonts w:cs="Calibri"/>
                <w:b/>
                <w:bCs/>
                <w:color w:val="auto"/>
                <w:sz w:val="20"/>
                <w:szCs w:val="20"/>
                <w:lang w:val="de-DE" w:eastAsia="en-GB"/>
              </w:rPr>
            </w:pPr>
            <w:r w:rsidRPr="00BB4743">
              <w:rPr>
                <w:rFonts w:cs="Calibri"/>
                <w:b/>
                <w:bCs/>
                <w:color w:val="auto"/>
                <w:sz w:val="20"/>
                <w:szCs w:val="20"/>
                <w:lang w:val="de-DE" w:eastAsia="en-GB"/>
              </w:rPr>
              <w:t>Dr Pem Chuki</w:t>
            </w:r>
          </w:p>
        </w:tc>
        <w:tc>
          <w:tcPr>
            <w:tcW w:w="1919" w:type="pct"/>
          </w:tcPr>
          <w:p w14:paraId="05EC04EB" w14:textId="0B0CFEC3" w:rsidR="631D7C94" w:rsidRPr="00BB4743" w:rsidRDefault="631D7C94" w:rsidP="00BB4743">
            <w:pPr>
              <w:rPr>
                <w:rFonts w:cs="Calibri"/>
                <w:color w:val="auto"/>
                <w:sz w:val="20"/>
                <w:szCs w:val="20"/>
                <w:lang w:eastAsia="en-GB"/>
              </w:rPr>
            </w:pPr>
            <w:r w:rsidRPr="00BB4743">
              <w:rPr>
                <w:rFonts w:cs="Calibri"/>
                <w:color w:val="auto"/>
                <w:sz w:val="20"/>
                <w:szCs w:val="20"/>
                <w:lang w:eastAsia="en-GB"/>
              </w:rPr>
              <w:t xml:space="preserve">JDWNRH National Referral Hospital and HH </w:t>
            </w:r>
            <w:r w:rsidR="000517C2">
              <w:rPr>
                <w:rFonts w:cs="Calibri"/>
                <w:color w:val="auto"/>
                <w:sz w:val="20"/>
                <w:szCs w:val="20"/>
                <w:lang w:eastAsia="en-GB"/>
              </w:rPr>
              <w:t>NRL</w:t>
            </w:r>
          </w:p>
        </w:tc>
        <w:tc>
          <w:tcPr>
            <w:tcW w:w="1157" w:type="pct"/>
          </w:tcPr>
          <w:p w14:paraId="6F8C8C1E" w14:textId="74E3FCBB" w:rsidR="631D7C94" w:rsidRPr="00BB4743" w:rsidRDefault="631D7C94" w:rsidP="00BB4743">
            <w:pPr>
              <w:rPr>
                <w:rFonts w:cs="Calibri"/>
                <w:color w:val="auto"/>
                <w:sz w:val="20"/>
                <w:szCs w:val="20"/>
                <w:lang w:eastAsia="en-GB"/>
              </w:rPr>
            </w:pPr>
            <w:r w:rsidRPr="00BB4743">
              <w:rPr>
                <w:rFonts w:cs="Calibri"/>
                <w:color w:val="auto"/>
                <w:sz w:val="20"/>
                <w:szCs w:val="20"/>
                <w:lang w:eastAsia="en-GB"/>
              </w:rPr>
              <w:t>Medical Superintendent, Antimicrobial Stewardship Coordinator</w:t>
            </w:r>
          </w:p>
        </w:tc>
      </w:tr>
      <w:tr w:rsidR="008B6689" w:rsidRPr="008B6689" w14:paraId="6AD0E27B" w14:textId="77777777" w:rsidTr="00BB4743">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7303523B" w14:textId="31C40049" w:rsidR="631D7C94" w:rsidRPr="00BB4743" w:rsidRDefault="631D7C94" w:rsidP="17D077F0">
            <w:pPr>
              <w:rPr>
                <w:rFonts w:cs="Calibri"/>
                <w:b/>
                <w:bCs/>
                <w:color w:val="auto"/>
                <w:sz w:val="20"/>
                <w:szCs w:val="20"/>
                <w:lang w:val="de-DE" w:eastAsia="en-GB"/>
              </w:rPr>
            </w:pPr>
            <w:r w:rsidRPr="00BB4743">
              <w:rPr>
                <w:rFonts w:cs="Calibri"/>
                <w:b/>
                <w:bCs/>
                <w:color w:val="auto"/>
                <w:sz w:val="20"/>
                <w:szCs w:val="20"/>
                <w:lang w:val="de-DE" w:eastAsia="en-GB"/>
              </w:rPr>
              <w:t>Sonam Wangchuk</w:t>
            </w:r>
          </w:p>
        </w:tc>
        <w:tc>
          <w:tcPr>
            <w:tcW w:w="1919" w:type="pct"/>
          </w:tcPr>
          <w:p w14:paraId="22178185" w14:textId="75CDD43F" w:rsidR="631D7C94" w:rsidRPr="00BB4743" w:rsidRDefault="631D7C94" w:rsidP="00BB4743">
            <w:pPr>
              <w:rPr>
                <w:rFonts w:cs="Calibri"/>
                <w:color w:val="auto"/>
                <w:sz w:val="20"/>
                <w:szCs w:val="20"/>
                <w:lang w:eastAsia="en-GB"/>
              </w:rPr>
            </w:pPr>
            <w:r w:rsidRPr="00BB4743">
              <w:rPr>
                <w:rFonts w:cs="Calibri"/>
                <w:color w:val="auto"/>
                <w:sz w:val="20"/>
                <w:szCs w:val="20"/>
                <w:lang w:eastAsia="en-GB"/>
              </w:rPr>
              <w:t xml:space="preserve">RCDC (Royal </w:t>
            </w:r>
            <w:r w:rsidRPr="00A63E84">
              <w:rPr>
                <w:rFonts w:cstheme="minorBidi"/>
                <w:color w:val="000000"/>
                <w:sz w:val="20"/>
                <w:szCs w:val="20"/>
                <w:lang w:eastAsia="en-GB"/>
              </w:rPr>
              <w:t>Center</w:t>
            </w:r>
            <w:r w:rsidRPr="00BB4743">
              <w:rPr>
                <w:rFonts w:cs="Calibri"/>
                <w:color w:val="auto"/>
                <w:sz w:val="20"/>
                <w:szCs w:val="20"/>
                <w:lang w:eastAsia="en-GB"/>
              </w:rPr>
              <w:t xml:space="preserve"> for Disease Control, HH Reference Lab</w:t>
            </w:r>
            <w:r w:rsidR="000C5B14">
              <w:rPr>
                <w:rFonts w:cs="Calibri"/>
                <w:color w:val="auto"/>
                <w:sz w:val="20"/>
                <w:szCs w:val="20"/>
                <w:lang w:eastAsia="en-GB"/>
              </w:rPr>
              <w:t>oratory</w:t>
            </w:r>
            <w:r w:rsidRPr="00BB4743">
              <w:rPr>
                <w:rFonts w:cs="Calibri"/>
                <w:color w:val="auto"/>
                <w:sz w:val="20"/>
                <w:szCs w:val="20"/>
                <w:lang w:eastAsia="en-GB"/>
              </w:rPr>
              <w:t>)</w:t>
            </w:r>
          </w:p>
        </w:tc>
        <w:tc>
          <w:tcPr>
            <w:tcW w:w="1157" w:type="pct"/>
          </w:tcPr>
          <w:p w14:paraId="0732FB99" w14:textId="6AF3D485" w:rsidR="631D7C94" w:rsidRPr="00BB4743" w:rsidRDefault="631D7C94" w:rsidP="00BB4743">
            <w:pPr>
              <w:rPr>
                <w:rFonts w:cs="Calibri"/>
                <w:color w:val="auto"/>
                <w:sz w:val="20"/>
                <w:szCs w:val="20"/>
                <w:lang w:eastAsia="en-GB"/>
              </w:rPr>
            </w:pPr>
            <w:r w:rsidRPr="00BB4743">
              <w:rPr>
                <w:rFonts w:cs="Calibri"/>
                <w:color w:val="auto"/>
                <w:sz w:val="20"/>
                <w:szCs w:val="20"/>
                <w:lang w:eastAsia="en-GB"/>
              </w:rPr>
              <w:t>Specialist/Head, Department of Public Health</w:t>
            </w:r>
          </w:p>
        </w:tc>
      </w:tr>
      <w:tr w:rsidR="008B6689" w:rsidRPr="008B6689" w14:paraId="1CD69378" w14:textId="77777777" w:rsidTr="00BB4743">
        <w:trPr>
          <w:cnfStyle w:val="000000010000" w:firstRow="0" w:lastRow="0" w:firstColumn="0" w:lastColumn="0" w:oddVBand="0" w:evenVBand="0" w:oddHBand="0" w:evenHBand="1" w:firstRowFirstColumn="0" w:firstRowLastColumn="0" w:lastRowFirstColumn="0" w:lastRowLastColumn="0"/>
          <w:trHeight w:val="327"/>
        </w:trPr>
        <w:tc>
          <w:tcPr>
            <w:tcW w:w="5000" w:type="pct"/>
            <w:gridSpan w:val="3"/>
            <w:shd w:val="clear" w:color="auto" w:fill="96C286" w:themeFill="text2" w:themeFillTint="99"/>
          </w:tcPr>
          <w:p w14:paraId="40D39C91" w14:textId="77777777" w:rsidR="17D077F0" w:rsidRPr="008B6689" w:rsidRDefault="17D077F0" w:rsidP="00041B22">
            <w:pPr>
              <w:rPr>
                <w:rFonts w:cs="Calibri"/>
                <w:color w:val="auto"/>
                <w:sz w:val="20"/>
                <w:szCs w:val="20"/>
              </w:rPr>
            </w:pPr>
            <w:r w:rsidRPr="006911A6">
              <w:rPr>
                <w:rFonts w:cstheme="minorBidi"/>
                <w:color w:val="FFFFFF" w:themeColor="background1"/>
                <w:sz w:val="20"/>
                <w:szCs w:val="20"/>
                <w:lang w:eastAsia="en-GB"/>
              </w:rPr>
              <w:t>Other decision makers</w:t>
            </w:r>
          </w:p>
        </w:tc>
      </w:tr>
      <w:tr w:rsidR="00437B6A" w:rsidRPr="008B6689" w14:paraId="78A64F39"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35A42C77" w14:textId="2E4E4549" w:rsidR="6EF07E32" w:rsidRPr="008B6689" w:rsidRDefault="6EF07E32" w:rsidP="06450652">
            <w:pPr>
              <w:rPr>
                <w:rFonts w:cs="Calibri"/>
                <w:b/>
                <w:bCs/>
                <w:color w:val="auto"/>
                <w:sz w:val="20"/>
                <w:szCs w:val="20"/>
              </w:rPr>
            </w:pPr>
            <w:r w:rsidRPr="008B6689">
              <w:rPr>
                <w:rFonts w:cs="Calibri"/>
                <w:b/>
                <w:bCs/>
                <w:color w:val="auto"/>
                <w:sz w:val="20"/>
                <w:szCs w:val="20"/>
              </w:rPr>
              <w:t>Kinley Panjor</w:t>
            </w:r>
          </w:p>
        </w:tc>
        <w:tc>
          <w:tcPr>
            <w:tcW w:w="1919" w:type="pct"/>
          </w:tcPr>
          <w:p w14:paraId="34B7C49A" w14:textId="0C963BE9" w:rsidR="6EF07E32" w:rsidRPr="00BB4743" w:rsidRDefault="00891B8B" w:rsidP="00BB4743">
            <w:pPr>
              <w:rPr>
                <w:rFonts w:cs="Calibri"/>
                <w:color w:val="auto"/>
                <w:sz w:val="20"/>
                <w:szCs w:val="20"/>
                <w:lang w:eastAsia="en-GB"/>
              </w:rPr>
            </w:pPr>
            <w:r w:rsidRPr="00891B8B">
              <w:rPr>
                <w:rFonts w:cs="Calibri"/>
                <w:color w:val="auto"/>
                <w:sz w:val="20"/>
                <w:szCs w:val="20"/>
                <w:lang w:eastAsia="en-GB"/>
              </w:rPr>
              <w:t>Bhutan Agriculture and Food Regulatory Authority</w:t>
            </w:r>
          </w:p>
        </w:tc>
        <w:tc>
          <w:tcPr>
            <w:tcW w:w="1157" w:type="pct"/>
          </w:tcPr>
          <w:p w14:paraId="6FBAF54A" w14:textId="66AC64B1" w:rsidR="17D077F0" w:rsidRPr="008B6689" w:rsidRDefault="4DD8A4BA" w:rsidP="00BB4743">
            <w:pPr>
              <w:rPr>
                <w:rFonts w:cs="Calibri"/>
                <w:color w:val="auto"/>
                <w:sz w:val="20"/>
                <w:szCs w:val="20"/>
              </w:rPr>
            </w:pPr>
            <w:r w:rsidRPr="008B6689">
              <w:rPr>
                <w:rFonts w:cs="Calibri"/>
                <w:color w:val="auto"/>
                <w:sz w:val="20"/>
                <w:szCs w:val="20"/>
              </w:rPr>
              <w:t>Deputy Chief Regulatory and Quarantine Officer and Head- Animal Biosecurity Section, Plant and Animal Biosecurity Division</w:t>
            </w:r>
          </w:p>
        </w:tc>
      </w:tr>
      <w:tr w:rsidR="008B6689" w:rsidRPr="008B6689" w14:paraId="6834D949" w14:textId="77777777" w:rsidTr="00BB4743">
        <w:trPr>
          <w:cnfStyle w:val="000000010000" w:firstRow="0" w:lastRow="0" w:firstColumn="0" w:lastColumn="0" w:oddVBand="0" w:evenVBand="0" w:oddHBand="0" w:evenHBand="1" w:firstRowFirstColumn="0" w:firstRowLastColumn="0" w:lastRowFirstColumn="0" w:lastRowLastColumn="0"/>
          <w:trHeight w:val="327"/>
        </w:trPr>
        <w:tc>
          <w:tcPr>
            <w:tcW w:w="5000" w:type="pct"/>
            <w:gridSpan w:val="3"/>
            <w:shd w:val="clear" w:color="auto" w:fill="96C286" w:themeFill="text2" w:themeFillTint="99"/>
          </w:tcPr>
          <w:p w14:paraId="62AF2605" w14:textId="77777777" w:rsidR="17D077F0" w:rsidRPr="006911A6" w:rsidRDefault="17D077F0" w:rsidP="00041B22">
            <w:pPr>
              <w:rPr>
                <w:rFonts w:cstheme="minorBidi"/>
                <w:sz w:val="20"/>
                <w:szCs w:val="20"/>
              </w:rPr>
            </w:pPr>
            <w:r w:rsidRPr="006911A6">
              <w:rPr>
                <w:rFonts w:cstheme="minorBidi"/>
                <w:color w:val="FFFFFF" w:themeColor="background1"/>
                <w:sz w:val="20"/>
                <w:szCs w:val="20"/>
                <w:lang w:eastAsia="en-GB"/>
              </w:rPr>
              <w:t>Policy Fellows HH</w:t>
            </w:r>
          </w:p>
        </w:tc>
      </w:tr>
      <w:tr w:rsidR="00437B6A" w:rsidRPr="008B6689" w14:paraId="172B501B"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shd w:val="clear" w:color="auto" w:fill="auto"/>
          </w:tcPr>
          <w:p w14:paraId="5F0648AE" w14:textId="0650737F" w:rsidR="374A5180" w:rsidRPr="00BB4743" w:rsidRDefault="374A5180" w:rsidP="17D077F0">
            <w:pPr>
              <w:rPr>
                <w:rFonts w:cs="Calibri"/>
                <w:b/>
                <w:bCs/>
                <w:color w:val="auto"/>
                <w:sz w:val="20"/>
                <w:szCs w:val="20"/>
                <w:lang w:eastAsia="en-GB"/>
              </w:rPr>
            </w:pPr>
            <w:r w:rsidRPr="00BB4743">
              <w:rPr>
                <w:rFonts w:cs="Calibri"/>
                <w:b/>
                <w:bCs/>
                <w:color w:val="auto"/>
                <w:sz w:val="20"/>
                <w:szCs w:val="20"/>
                <w:lang w:eastAsia="en-GB"/>
              </w:rPr>
              <w:t>Sonam Wangda</w:t>
            </w:r>
            <w:r w:rsidR="1E1200FF" w:rsidRPr="00BB4743">
              <w:rPr>
                <w:rFonts w:cs="Calibri"/>
                <w:b/>
                <w:bCs/>
                <w:color w:val="auto"/>
                <w:sz w:val="20"/>
                <w:szCs w:val="20"/>
                <w:lang w:eastAsia="en-GB"/>
              </w:rPr>
              <w:t>*</w:t>
            </w:r>
          </w:p>
        </w:tc>
        <w:tc>
          <w:tcPr>
            <w:tcW w:w="1919" w:type="pct"/>
          </w:tcPr>
          <w:p w14:paraId="0A5C89AB" w14:textId="3B0F3039" w:rsidR="51764FCE" w:rsidRPr="00BB4743" w:rsidRDefault="007B65CD" w:rsidP="00BB4743">
            <w:pPr>
              <w:spacing w:line="259" w:lineRule="auto"/>
              <w:rPr>
                <w:rFonts w:cs="Calibri"/>
                <w:color w:val="auto"/>
                <w:sz w:val="20"/>
                <w:szCs w:val="20"/>
                <w:lang w:eastAsia="en-GB"/>
              </w:rPr>
            </w:pPr>
            <w:r w:rsidRPr="00BB4743">
              <w:rPr>
                <w:rFonts w:cs="Calibri"/>
                <w:color w:val="auto"/>
                <w:sz w:val="20"/>
                <w:szCs w:val="20"/>
                <w:lang w:eastAsia="en-GB"/>
              </w:rPr>
              <w:t>RGOB</w:t>
            </w:r>
          </w:p>
        </w:tc>
        <w:tc>
          <w:tcPr>
            <w:tcW w:w="1157" w:type="pct"/>
            <w:shd w:val="clear" w:color="auto" w:fill="auto"/>
          </w:tcPr>
          <w:p w14:paraId="1DBC87FD" w14:textId="39F83076" w:rsidR="374A5180" w:rsidRPr="00BB4743" w:rsidRDefault="374A5180" w:rsidP="00BB4743">
            <w:pPr>
              <w:rPr>
                <w:rFonts w:cs="Calibri"/>
                <w:color w:val="auto"/>
                <w:sz w:val="20"/>
                <w:szCs w:val="20"/>
                <w:lang w:eastAsia="en-GB"/>
              </w:rPr>
            </w:pPr>
            <w:r w:rsidRPr="00BB4743">
              <w:rPr>
                <w:rFonts w:cs="Calibri"/>
                <w:color w:val="auto"/>
                <w:sz w:val="20"/>
                <w:szCs w:val="20"/>
                <w:lang w:eastAsia="en-GB"/>
              </w:rPr>
              <w:t>Project Director</w:t>
            </w:r>
          </w:p>
        </w:tc>
      </w:tr>
      <w:tr w:rsidR="008B6689" w:rsidRPr="008B6689" w14:paraId="53E98F77" w14:textId="77777777" w:rsidTr="00BB4743">
        <w:trPr>
          <w:cnfStyle w:val="000000010000" w:firstRow="0" w:lastRow="0" w:firstColumn="0" w:lastColumn="0" w:oddVBand="0" w:evenVBand="0" w:oddHBand="0" w:evenHBand="1" w:firstRowFirstColumn="0" w:firstRowLastColumn="0" w:lastRowFirstColumn="0" w:lastRowLastColumn="0"/>
          <w:trHeight w:val="327"/>
        </w:trPr>
        <w:tc>
          <w:tcPr>
            <w:tcW w:w="5000" w:type="pct"/>
            <w:gridSpan w:val="3"/>
            <w:shd w:val="clear" w:color="auto" w:fill="96C286" w:themeFill="text2" w:themeFillTint="99"/>
          </w:tcPr>
          <w:p w14:paraId="6A3C22B2" w14:textId="465C35AD" w:rsidR="17D077F0" w:rsidRPr="006911A6" w:rsidRDefault="17D077F0" w:rsidP="00041B22">
            <w:pPr>
              <w:rPr>
                <w:rFonts w:cstheme="minorBidi"/>
                <w:color w:val="FFFFFF" w:themeColor="background1"/>
                <w:sz w:val="20"/>
                <w:szCs w:val="20"/>
                <w:lang w:eastAsia="en-GB"/>
              </w:rPr>
            </w:pPr>
            <w:r w:rsidRPr="006911A6">
              <w:rPr>
                <w:rFonts w:cstheme="minorBidi"/>
                <w:color w:val="FFFFFF" w:themeColor="background1"/>
                <w:sz w:val="20"/>
                <w:szCs w:val="20"/>
                <w:lang w:eastAsia="en-GB"/>
              </w:rPr>
              <w:t>Professional Fellows HH</w:t>
            </w:r>
          </w:p>
        </w:tc>
      </w:tr>
      <w:tr w:rsidR="00437B6A" w:rsidRPr="008B6689" w14:paraId="17D81967"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shd w:val="clear" w:color="auto" w:fill="auto"/>
          </w:tcPr>
          <w:p w14:paraId="3FFFBF9B" w14:textId="3B1781CE" w:rsidR="17EA05E2" w:rsidRPr="008B6689" w:rsidRDefault="17EA05E2" w:rsidP="06450652">
            <w:pPr>
              <w:rPr>
                <w:rFonts w:cs="Calibri"/>
                <w:b/>
                <w:bCs/>
                <w:color w:val="auto"/>
                <w:sz w:val="20"/>
                <w:szCs w:val="20"/>
              </w:rPr>
            </w:pPr>
            <w:r w:rsidRPr="008B6689">
              <w:rPr>
                <w:rFonts w:cs="Calibri"/>
                <w:b/>
                <w:bCs/>
                <w:color w:val="auto"/>
                <w:sz w:val="20"/>
                <w:szCs w:val="20"/>
              </w:rPr>
              <w:t>Kinley Wangchuk</w:t>
            </w:r>
          </w:p>
        </w:tc>
        <w:tc>
          <w:tcPr>
            <w:tcW w:w="1919" w:type="pct"/>
            <w:shd w:val="clear" w:color="auto" w:fill="auto"/>
          </w:tcPr>
          <w:p w14:paraId="4385BBD8" w14:textId="768F1776" w:rsidR="17EA05E2" w:rsidRPr="00BB4743" w:rsidRDefault="17EA05E2" w:rsidP="00BB4743">
            <w:pPr>
              <w:rPr>
                <w:rFonts w:cs="Calibri"/>
                <w:color w:val="auto"/>
                <w:sz w:val="20"/>
                <w:szCs w:val="20"/>
                <w:lang w:eastAsia="en-GB"/>
              </w:rPr>
            </w:pPr>
            <w:r w:rsidRPr="00BB4743">
              <w:rPr>
                <w:rFonts w:cs="Calibri"/>
                <w:color w:val="auto"/>
                <w:sz w:val="20"/>
                <w:szCs w:val="20"/>
                <w:lang w:eastAsia="en-GB"/>
              </w:rPr>
              <w:t xml:space="preserve">JDWNRH National Referral Hospital and HH </w:t>
            </w:r>
            <w:r w:rsidR="0085271E">
              <w:rPr>
                <w:rFonts w:cs="Calibri"/>
                <w:color w:val="auto"/>
                <w:sz w:val="20"/>
                <w:szCs w:val="20"/>
                <w:lang w:eastAsia="en-GB"/>
              </w:rPr>
              <w:t>NRL</w:t>
            </w:r>
          </w:p>
        </w:tc>
        <w:tc>
          <w:tcPr>
            <w:tcW w:w="1157" w:type="pct"/>
            <w:shd w:val="clear" w:color="auto" w:fill="auto"/>
          </w:tcPr>
          <w:p w14:paraId="680476FB" w14:textId="3B2D40FF" w:rsidR="17EA05E2" w:rsidRPr="008B6689" w:rsidRDefault="17EA05E2" w:rsidP="00BB4743">
            <w:pPr>
              <w:rPr>
                <w:rFonts w:cs="Calibri"/>
                <w:color w:val="auto"/>
                <w:sz w:val="20"/>
                <w:szCs w:val="20"/>
              </w:rPr>
            </w:pPr>
            <w:r w:rsidRPr="008B6689">
              <w:rPr>
                <w:rFonts w:cs="Calibri"/>
                <w:color w:val="auto"/>
                <w:sz w:val="20"/>
                <w:szCs w:val="20"/>
              </w:rPr>
              <w:t>AMR Laboratory Fellow, Officer in Charge of the Microbiology Unit, Department of Pathology and Laboratory Medicine</w:t>
            </w:r>
          </w:p>
        </w:tc>
      </w:tr>
      <w:tr w:rsidR="008B6689" w:rsidRPr="008B6689" w14:paraId="1151BC4F" w14:textId="77777777" w:rsidTr="00BB4743">
        <w:trPr>
          <w:cnfStyle w:val="000000010000" w:firstRow="0" w:lastRow="0" w:firstColumn="0" w:lastColumn="0" w:oddVBand="0" w:evenVBand="0" w:oddHBand="0" w:evenHBand="1" w:firstRowFirstColumn="0" w:firstRowLastColumn="0" w:lastRowFirstColumn="0" w:lastRowLastColumn="0"/>
          <w:trHeight w:val="327"/>
        </w:trPr>
        <w:tc>
          <w:tcPr>
            <w:tcW w:w="5000" w:type="pct"/>
            <w:gridSpan w:val="3"/>
            <w:shd w:val="clear" w:color="auto" w:fill="96C286" w:themeFill="text2" w:themeFillTint="99"/>
          </w:tcPr>
          <w:p w14:paraId="5647CA92" w14:textId="1709D38E" w:rsidR="17D077F0" w:rsidRPr="006911A6" w:rsidRDefault="17D077F0" w:rsidP="00041B22">
            <w:pPr>
              <w:rPr>
                <w:rFonts w:cstheme="minorBidi"/>
                <w:color w:val="FFFFFF" w:themeColor="background1"/>
                <w:sz w:val="20"/>
                <w:szCs w:val="20"/>
                <w:lang w:eastAsia="en-GB"/>
              </w:rPr>
            </w:pPr>
            <w:r w:rsidRPr="006911A6">
              <w:rPr>
                <w:rFonts w:cstheme="minorBidi"/>
                <w:color w:val="FFFFFF" w:themeColor="background1"/>
                <w:sz w:val="20"/>
                <w:szCs w:val="20"/>
                <w:lang w:eastAsia="en-GB"/>
              </w:rPr>
              <w:t xml:space="preserve">Professional Fellows </w:t>
            </w:r>
            <w:r w:rsidR="13055115" w:rsidRPr="006911A6">
              <w:rPr>
                <w:rFonts w:cstheme="minorBidi"/>
                <w:color w:val="FFFFFF" w:themeColor="background1"/>
                <w:sz w:val="20"/>
                <w:szCs w:val="20"/>
                <w:lang w:eastAsia="en-GB"/>
              </w:rPr>
              <w:t>Animal Health</w:t>
            </w:r>
          </w:p>
        </w:tc>
      </w:tr>
      <w:tr w:rsidR="00437B6A" w:rsidRPr="008B6689" w14:paraId="1042D694"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09E17CDA" w14:textId="19E76D0B" w:rsidR="2A8B5DD2" w:rsidRPr="00BB4743" w:rsidRDefault="2A8B5DD2" w:rsidP="17D077F0">
            <w:pPr>
              <w:rPr>
                <w:rFonts w:cs="Calibri"/>
                <w:b/>
                <w:bCs/>
                <w:color w:val="auto"/>
                <w:sz w:val="20"/>
                <w:szCs w:val="20"/>
                <w:lang w:val="de-DE" w:eastAsia="en-GB"/>
              </w:rPr>
            </w:pPr>
            <w:r w:rsidRPr="00BB4743">
              <w:rPr>
                <w:rFonts w:cs="Calibri"/>
                <w:b/>
                <w:bCs/>
                <w:color w:val="auto"/>
                <w:sz w:val="20"/>
                <w:szCs w:val="20"/>
                <w:lang w:val="de-DE" w:eastAsia="en-GB"/>
              </w:rPr>
              <w:t>Pema Tshewang*</w:t>
            </w:r>
          </w:p>
        </w:tc>
        <w:tc>
          <w:tcPr>
            <w:tcW w:w="1919" w:type="pct"/>
          </w:tcPr>
          <w:p w14:paraId="4B4EF2CD" w14:textId="35556D01" w:rsidR="2A8B5DD2" w:rsidRPr="00BB4743" w:rsidRDefault="2A8B5DD2" w:rsidP="00BB4743">
            <w:pPr>
              <w:rPr>
                <w:rFonts w:cs="Calibri"/>
                <w:color w:val="auto"/>
                <w:sz w:val="20"/>
                <w:szCs w:val="20"/>
                <w:lang w:eastAsia="en-GB"/>
              </w:rPr>
            </w:pPr>
            <w:r w:rsidRPr="00BB4743">
              <w:rPr>
                <w:rFonts w:cs="Calibri"/>
                <w:color w:val="auto"/>
                <w:sz w:val="20"/>
                <w:szCs w:val="20"/>
                <w:lang w:eastAsia="en-GB"/>
              </w:rPr>
              <w:t>National Veterinary Hospital</w:t>
            </w:r>
          </w:p>
        </w:tc>
        <w:tc>
          <w:tcPr>
            <w:tcW w:w="1157" w:type="pct"/>
          </w:tcPr>
          <w:p w14:paraId="1B933C5D" w14:textId="6A62F907" w:rsidR="2A8B5DD2" w:rsidRPr="00BB4743" w:rsidRDefault="00265143" w:rsidP="00BB4743">
            <w:pPr>
              <w:rPr>
                <w:rFonts w:cs="Calibri"/>
                <w:color w:val="auto"/>
                <w:sz w:val="20"/>
                <w:szCs w:val="20"/>
                <w:lang w:eastAsia="en-GB"/>
              </w:rPr>
            </w:pPr>
            <w:r w:rsidRPr="00BB4743">
              <w:rPr>
                <w:rFonts w:cs="Calibri"/>
                <w:color w:val="auto"/>
                <w:sz w:val="20"/>
                <w:szCs w:val="20"/>
                <w:lang w:eastAsia="en-GB"/>
              </w:rPr>
              <w:t>AMC</w:t>
            </w:r>
            <w:r w:rsidR="2A8B5DD2" w:rsidRPr="00BB4743">
              <w:rPr>
                <w:rFonts w:cs="Calibri"/>
                <w:color w:val="auto"/>
                <w:sz w:val="20"/>
                <w:szCs w:val="20"/>
                <w:lang w:eastAsia="en-GB"/>
              </w:rPr>
              <w:t>/U Surveillance Fellow, Deputy Chief Veterinary Officer</w:t>
            </w:r>
          </w:p>
        </w:tc>
      </w:tr>
      <w:tr w:rsidR="00437B6A" w:rsidRPr="008B6689" w14:paraId="7004A8E2" w14:textId="77777777" w:rsidTr="00437B6A">
        <w:trPr>
          <w:cnfStyle w:val="000000010000" w:firstRow="0" w:lastRow="0" w:firstColumn="0" w:lastColumn="0" w:oddVBand="0" w:evenVBand="0" w:oddHBand="0" w:evenHBand="1" w:firstRowFirstColumn="0" w:firstRowLastColumn="0" w:lastRowFirstColumn="0" w:lastRowLastColumn="0"/>
          <w:trHeight w:val="327"/>
        </w:trPr>
        <w:tc>
          <w:tcPr>
            <w:tcW w:w="1923" w:type="pct"/>
          </w:tcPr>
          <w:p w14:paraId="68439901" w14:textId="5FAD9B32" w:rsidR="2A8B5DD2" w:rsidRPr="00BB4743" w:rsidRDefault="2A8B5DD2" w:rsidP="17D077F0">
            <w:pPr>
              <w:rPr>
                <w:rFonts w:cs="Calibri"/>
                <w:b/>
                <w:bCs/>
                <w:color w:val="auto"/>
                <w:sz w:val="20"/>
                <w:szCs w:val="20"/>
                <w:lang w:val="de-DE" w:eastAsia="en-GB"/>
              </w:rPr>
            </w:pPr>
            <w:r w:rsidRPr="00BB4743">
              <w:rPr>
                <w:rFonts w:cs="Calibri"/>
                <w:b/>
                <w:bCs/>
                <w:color w:val="auto"/>
                <w:sz w:val="20"/>
                <w:szCs w:val="20"/>
                <w:lang w:val="de-DE" w:eastAsia="en-GB"/>
              </w:rPr>
              <w:t>Puspa Sharma</w:t>
            </w:r>
          </w:p>
        </w:tc>
        <w:tc>
          <w:tcPr>
            <w:tcW w:w="1919" w:type="pct"/>
          </w:tcPr>
          <w:p w14:paraId="73F514DB" w14:textId="5E7681BB" w:rsidR="2A8B5DD2" w:rsidRPr="00BB4743" w:rsidRDefault="2A8B5DD2" w:rsidP="00BB4743">
            <w:pPr>
              <w:rPr>
                <w:rFonts w:cs="Calibri"/>
                <w:color w:val="auto"/>
                <w:sz w:val="20"/>
                <w:szCs w:val="20"/>
                <w:lang w:eastAsia="en-GB"/>
              </w:rPr>
            </w:pPr>
            <w:r w:rsidRPr="00BB4743">
              <w:rPr>
                <w:rFonts w:cs="Calibri"/>
                <w:color w:val="auto"/>
                <w:sz w:val="20"/>
                <w:szCs w:val="20"/>
                <w:lang w:eastAsia="en-GB"/>
              </w:rPr>
              <w:t>National Veterinary Hospital</w:t>
            </w:r>
          </w:p>
        </w:tc>
        <w:tc>
          <w:tcPr>
            <w:tcW w:w="1157" w:type="pct"/>
          </w:tcPr>
          <w:p w14:paraId="70932803" w14:textId="0A25A226" w:rsidR="2A8B5DD2" w:rsidRPr="00BB4743" w:rsidRDefault="2A8B5DD2" w:rsidP="00BB4743">
            <w:pPr>
              <w:rPr>
                <w:rFonts w:cs="Calibri"/>
                <w:color w:val="auto"/>
                <w:sz w:val="20"/>
                <w:szCs w:val="20"/>
                <w:lang w:eastAsia="en-GB"/>
              </w:rPr>
            </w:pPr>
            <w:r w:rsidRPr="00BB4743">
              <w:rPr>
                <w:rFonts w:cs="Calibri"/>
                <w:color w:val="auto"/>
                <w:sz w:val="20"/>
                <w:szCs w:val="20"/>
                <w:lang w:eastAsia="en-GB"/>
              </w:rPr>
              <w:t>AMR Laboratory Fellow, Unit Head, Bacteriology and Molecular Biology and Biosafety and Biosecurity Sections</w:t>
            </w:r>
          </w:p>
        </w:tc>
      </w:tr>
      <w:tr w:rsidR="00765DFA" w:rsidRPr="00765DFA" w14:paraId="4DD22F20"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3F878D33" w14:textId="6A06E592" w:rsidR="2A8B5DD2" w:rsidRPr="00765DFA" w:rsidRDefault="2A8B5DD2" w:rsidP="17D077F0">
            <w:pPr>
              <w:rPr>
                <w:rFonts w:cs="Calibri"/>
                <w:b/>
                <w:bCs/>
                <w:color w:val="auto"/>
                <w:sz w:val="20"/>
                <w:szCs w:val="20"/>
                <w:lang w:eastAsia="en-GB"/>
              </w:rPr>
            </w:pPr>
            <w:r w:rsidRPr="00765DFA">
              <w:rPr>
                <w:rFonts w:cs="Calibri"/>
                <w:b/>
                <w:bCs/>
                <w:sz w:val="20"/>
                <w:szCs w:val="20"/>
                <w:lang w:eastAsia="en-GB"/>
              </w:rPr>
              <w:t>Ugyen Namgyel</w:t>
            </w:r>
          </w:p>
        </w:tc>
        <w:tc>
          <w:tcPr>
            <w:tcW w:w="1919" w:type="pct"/>
          </w:tcPr>
          <w:p w14:paraId="110062AA" w14:textId="452755F0" w:rsidR="2A8B5DD2" w:rsidRPr="00765DFA" w:rsidRDefault="00CD2DFD" w:rsidP="00BB4743">
            <w:pPr>
              <w:rPr>
                <w:rFonts w:cs="Calibri"/>
                <w:color w:val="auto"/>
                <w:sz w:val="20"/>
                <w:szCs w:val="20"/>
                <w:lang w:eastAsia="en-GB"/>
              </w:rPr>
            </w:pPr>
            <w:r w:rsidRPr="00765DFA">
              <w:rPr>
                <w:rFonts w:cs="Calibri"/>
                <w:sz w:val="20"/>
                <w:szCs w:val="20"/>
                <w:lang w:eastAsia="en-GB"/>
              </w:rPr>
              <w:t>NCAH</w:t>
            </w:r>
            <w:r w:rsidR="2A8B5DD2" w:rsidRPr="00765DFA">
              <w:rPr>
                <w:rFonts w:cs="Calibri"/>
                <w:sz w:val="20"/>
                <w:szCs w:val="20"/>
                <w:lang w:eastAsia="en-GB"/>
              </w:rPr>
              <w:t>, MOAF</w:t>
            </w:r>
          </w:p>
        </w:tc>
        <w:tc>
          <w:tcPr>
            <w:tcW w:w="1157" w:type="pct"/>
          </w:tcPr>
          <w:p w14:paraId="15763FAD" w14:textId="455722A0" w:rsidR="2A8B5DD2" w:rsidRPr="00765DFA" w:rsidRDefault="2A8B5DD2" w:rsidP="00BB4743">
            <w:pPr>
              <w:rPr>
                <w:rFonts w:cs="Calibri"/>
                <w:color w:val="auto"/>
                <w:sz w:val="20"/>
                <w:szCs w:val="20"/>
                <w:lang w:eastAsia="en-GB"/>
              </w:rPr>
            </w:pPr>
            <w:r w:rsidRPr="00765DFA">
              <w:rPr>
                <w:rFonts w:cs="Calibri"/>
                <w:sz w:val="20"/>
                <w:szCs w:val="20"/>
                <w:lang w:eastAsia="en-GB"/>
              </w:rPr>
              <w:t xml:space="preserve">AMR Surveillance Fellow, Senior Veterinary Officer, </w:t>
            </w:r>
            <w:r w:rsidR="00265143" w:rsidRPr="00765DFA">
              <w:rPr>
                <w:rFonts w:cs="Calibri"/>
                <w:color w:val="auto"/>
                <w:sz w:val="20"/>
                <w:szCs w:val="20"/>
                <w:lang w:eastAsia="en-GB"/>
              </w:rPr>
              <w:t>AH</w:t>
            </w:r>
            <w:r w:rsidR="00265143" w:rsidRPr="00765DFA">
              <w:rPr>
                <w:rFonts w:cs="Calibri"/>
                <w:sz w:val="20"/>
                <w:szCs w:val="20"/>
                <w:lang w:eastAsia="en-GB"/>
              </w:rPr>
              <w:t xml:space="preserve"> </w:t>
            </w:r>
            <w:r w:rsidRPr="00765DFA">
              <w:rPr>
                <w:rFonts w:cs="Calibri"/>
                <w:sz w:val="20"/>
                <w:szCs w:val="20"/>
                <w:lang w:eastAsia="en-GB"/>
              </w:rPr>
              <w:t>Unit, Regional Livestock Development Centre (</w:t>
            </w:r>
            <w:r w:rsidR="00121E83" w:rsidRPr="00765DFA">
              <w:rPr>
                <w:rFonts w:cs="Calibri"/>
                <w:sz w:val="20"/>
                <w:szCs w:val="20"/>
                <w:lang w:eastAsia="en-GB"/>
              </w:rPr>
              <w:t>WOAH Focal Point</w:t>
            </w:r>
            <w:r w:rsidRPr="00765DFA">
              <w:rPr>
                <w:rFonts w:cs="Calibri"/>
                <w:sz w:val="20"/>
                <w:szCs w:val="20"/>
                <w:lang w:eastAsia="en-GB"/>
              </w:rPr>
              <w:t>)</w:t>
            </w:r>
          </w:p>
        </w:tc>
      </w:tr>
      <w:tr w:rsidR="008B6689" w:rsidRPr="008B6689" w14:paraId="6B6EA54F" w14:textId="77777777" w:rsidTr="00BB4743">
        <w:trPr>
          <w:cnfStyle w:val="000000010000" w:firstRow="0" w:lastRow="0" w:firstColumn="0" w:lastColumn="0" w:oddVBand="0" w:evenVBand="0" w:oddHBand="0" w:evenHBand="1" w:firstRowFirstColumn="0" w:firstRowLastColumn="0" w:lastRowFirstColumn="0" w:lastRowLastColumn="0"/>
          <w:trHeight w:val="327"/>
        </w:trPr>
        <w:tc>
          <w:tcPr>
            <w:tcW w:w="5000" w:type="pct"/>
            <w:gridSpan w:val="3"/>
            <w:shd w:val="clear" w:color="auto" w:fill="96C286" w:themeFill="text2" w:themeFillTint="99"/>
          </w:tcPr>
          <w:p w14:paraId="58BB39AD" w14:textId="273313FF" w:rsidR="17D077F0" w:rsidRPr="006911A6" w:rsidRDefault="17D077F0" w:rsidP="00041B22">
            <w:pPr>
              <w:rPr>
                <w:rFonts w:cstheme="minorBidi"/>
                <w:color w:val="FFFFFF" w:themeColor="background1"/>
                <w:sz w:val="20"/>
                <w:szCs w:val="20"/>
              </w:rPr>
            </w:pPr>
            <w:r w:rsidRPr="006911A6">
              <w:rPr>
                <w:rFonts w:cstheme="minorBidi"/>
                <w:color w:val="FFFFFF" w:themeColor="background1"/>
                <w:sz w:val="20"/>
                <w:szCs w:val="20"/>
              </w:rPr>
              <w:t>AMR Focal Point</w:t>
            </w:r>
          </w:p>
        </w:tc>
      </w:tr>
      <w:tr w:rsidR="00437B6A" w:rsidRPr="008B6689" w14:paraId="49DCB807"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5D9AAD64" w14:textId="0A97BFDE" w:rsidR="00C1046A" w:rsidRPr="008B6689" w:rsidRDefault="00C1046A" w:rsidP="06450652">
            <w:pPr>
              <w:rPr>
                <w:rFonts w:cs="Calibri"/>
                <w:b/>
                <w:bCs/>
                <w:color w:val="auto"/>
                <w:sz w:val="20"/>
                <w:szCs w:val="20"/>
              </w:rPr>
            </w:pPr>
            <w:r w:rsidRPr="008B6689">
              <w:rPr>
                <w:rFonts w:cs="Calibri"/>
                <w:b/>
                <w:bCs/>
                <w:color w:val="auto"/>
                <w:sz w:val="20"/>
                <w:szCs w:val="20"/>
              </w:rPr>
              <w:t>Nirmal Kumar Thapa</w:t>
            </w:r>
          </w:p>
        </w:tc>
        <w:tc>
          <w:tcPr>
            <w:tcW w:w="1919" w:type="pct"/>
          </w:tcPr>
          <w:p w14:paraId="5F78108E" w14:textId="6255ABD7" w:rsidR="00C1046A" w:rsidRPr="008B6689" w:rsidRDefault="00C1046A" w:rsidP="00BB4743">
            <w:pPr>
              <w:rPr>
                <w:rFonts w:cs="Calibri"/>
                <w:color w:val="auto"/>
                <w:sz w:val="20"/>
                <w:szCs w:val="20"/>
              </w:rPr>
            </w:pPr>
            <w:r w:rsidRPr="00BB4743">
              <w:rPr>
                <w:rFonts w:cs="Calibri"/>
                <w:color w:val="auto"/>
                <w:sz w:val="20"/>
                <w:szCs w:val="20"/>
                <w:lang w:eastAsia="en-GB"/>
              </w:rPr>
              <w:t xml:space="preserve">National Centre for </w:t>
            </w:r>
            <w:r w:rsidR="00265143" w:rsidRPr="00BB4743">
              <w:rPr>
                <w:rFonts w:cs="Calibri"/>
                <w:color w:val="auto"/>
                <w:sz w:val="20"/>
                <w:szCs w:val="20"/>
                <w:lang w:eastAsia="en-GB"/>
              </w:rPr>
              <w:t>AH</w:t>
            </w:r>
            <w:r w:rsidRPr="00BB4743">
              <w:rPr>
                <w:rFonts w:cs="Calibri"/>
                <w:color w:val="auto"/>
                <w:sz w:val="20"/>
                <w:szCs w:val="20"/>
                <w:lang w:eastAsia="en-GB"/>
              </w:rPr>
              <w:t>, MOAF</w:t>
            </w:r>
          </w:p>
        </w:tc>
        <w:tc>
          <w:tcPr>
            <w:tcW w:w="1157" w:type="pct"/>
          </w:tcPr>
          <w:p w14:paraId="1813A5E1" w14:textId="6A840FFD" w:rsidR="00C1046A" w:rsidRPr="008B6689" w:rsidRDefault="00C1046A" w:rsidP="00BB4743">
            <w:pPr>
              <w:rPr>
                <w:rFonts w:cs="Calibri"/>
                <w:color w:val="auto"/>
                <w:sz w:val="20"/>
                <w:szCs w:val="20"/>
              </w:rPr>
            </w:pPr>
            <w:r w:rsidRPr="008B6689">
              <w:rPr>
                <w:rFonts w:cs="Calibri"/>
                <w:color w:val="auto"/>
                <w:sz w:val="20"/>
                <w:szCs w:val="20"/>
              </w:rPr>
              <w:t xml:space="preserve">Animal Specialist, </w:t>
            </w:r>
            <w:r w:rsidR="00265143" w:rsidRPr="00BB4743">
              <w:rPr>
                <w:rFonts w:cs="Calibri"/>
                <w:color w:val="auto"/>
                <w:sz w:val="20"/>
                <w:szCs w:val="20"/>
                <w:lang w:eastAsia="en-GB"/>
              </w:rPr>
              <w:t>AH</w:t>
            </w:r>
            <w:r w:rsidR="00265143" w:rsidRPr="008B6689">
              <w:rPr>
                <w:rFonts w:cs="Calibri"/>
                <w:color w:val="auto"/>
                <w:sz w:val="20"/>
                <w:szCs w:val="20"/>
              </w:rPr>
              <w:t xml:space="preserve"> </w:t>
            </w:r>
            <w:r w:rsidRPr="008B6689">
              <w:rPr>
                <w:rFonts w:cs="Calibri"/>
                <w:color w:val="auto"/>
                <w:sz w:val="20"/>
                <w:szCs w:val="20"/>
              </w:rPr>
              <w:t xml:space="preserve">Division, </w:t>
            </w:r>
            <w:r w:rsidR="00E66BB8">
              <w:rPr>
                <w:rFonts w:cs="Calibri"/>
                <w:color w:val="auto"/>
                <w:sz w:val="20"/>
                <w:szCs w:val="20"/>
              </w:rPr>
              <w:t>Department</w:t>
            </w:r>
            <w:r w:rsidRPr="008B6689">
              <w:rPr>
                <w:rFonts w:cs="Calibri"/>
                <w:color w:val="auto"/>
                <w:sz w:val="20"/>
                <w:szCs w:val="20"/>
              </w:rPr>
              <w:t>. of Livestock</w:t>
            </w:r>
            <w:r w:rsidR="004B0B62" w:rsidRPr="008B6689">
              <w:rPr>
                <w:rFonts w:cs="Calibri"/>
                <w:color w:val="auto"/>
                <w:sz w:val="20"/>
                <w:szCs w:val="20"/>
              </w:rPr>
              <w:t>, AMR AH Focal Point</w:t>
            </w:r>
          </w:p>
        </w:tc>
      </w:tr>
      <w:tr w:rsidR="00437B6A" w:rsidRPr="008B6689" w14:paraId="296EF7BD" w14:textId="77777777" w:rsidTr="00437B6A">
        <w:trPr>
          <w:cnfStyle w:val="000000010000" w:firstRow="0" w:lastRow="0" w:firstColumn="0" w:lastColumn="0" w:oddVBand="0" w:evenVBand="0" w:oddHBand="0" w:evenHBand="1" w:firstRowFirstColumn="0" w:firstRowLastColumn="0" w:lastRowFirstColumn="0" w:lastRowLastColumn="0"/>
          <w:trHeight w:val="327"/>
        </w:trPr>
        <w:tc>
          <w:tcPr>
            <w:tcW w:w="1923" w:type="pct"/>
          </w:tcPr>
          <w:p w14:paraId="7655E244" w14:textId="29AB4BD6" w:rsidR="004B0B62" w:rsidRPr="008B6689" w:rsidRDefault="004B0B62" w:rsidP="06450652">
            <w:pPr>
              <w:rPr>
                <w:rFonts w:cs="Calibri"/>
                <w:b/>
                <w:bCs/>
                <w:color w:val="auto"/>
                <w:sz w:val="20"/>
                <w:szCs w:val="20"/>
              </w:rPr>
            </w:pPr>
            <w:r w:rsidRPr="008B6689">
              <w:rPr>
                <w:rFonts w:cs="Calibri"/>
                <w:b/>
                <w:bCs/>
                <w:color w:val="auto"/>
                <w:sz w:val="20"/>
                <w:szCs w:val="20"/>
              </w:rPr>
              <w:t>Jigme Tenzin</w:t>
            </w:r>
          </w:p>
        </w:tc>
        <w:tc>
          <w:tcPr>
            <w:tcW w:w="1919" w:type="pct"/>
          </w:tcPr>
          <w:p w14:paraId="6BFD0607" w14:textId="67663C24" w:rsidR="004B0B62" w:rsidRPr="00BB4743" w:rsidRDefault="00C71FC5" w:rsidP="00BB4743">
            <w:pPr>
              <w:rPr>
                <w:rFonts w:cs="Calibri"/>
                <w:color w:val="auto"/>
                <w:sz w:val="20"/>
                <w:szCs w:val="20"/>
                <w:lang w:eastAsia="en-GB"/>
              </w:rPr>
            </w:pPr>
            <w:r w:rsidRPr="00C71FC5">
              <w:rPr>
                <w:rFonts w:cs="Calibri"/>
                <w:color w:val="auto"/>
                <w:sz w:val="20"/>
                <w:szCs w:val="20"/>
                <w:lang w:eastAsia="en-GB"/>
              </w:rPr>
              <w:t>Drug Regulatory Authority</w:t>
            </w:r>
          </w:p>
        </w:tc>
        <w:tc>
          <w:tcPr>
            <w:tcW w:w="1157" w:type="pct"/>
          </w:tcPr>
          <w:p w14:paraId="15200AD4" w14:textId="002FE6F7" w:rsidR="004B0B62" w:rsidRPr="008B6689" w:rsidRDefault="004B0B62" w:rsidP="00BB4743">
            <w:pPr>
              <w:rPr>
                <w:rFonts w:cs="Calibri"/>
                <w:color w:val="auto"/>
                <w:sz w:val="20"/>
                <w:szCs w:val="20"/>
              </w:rPr>
            </w:pPr>
            <w:r w:rsidRPr="008B6689">
              <w:rPr>
                <w:rFonts w:cs="Calibri"/>
                <w:color w:val="auto"/>
                <w:sz w:val="20"/>
                <w:szCs w:val="20"/>
              </w:rPr>
              <w:t>AMR Focal Point</w:t>
            </w:r>
          </w:p>
        </w:tc>
      </w:tr>
      <w:tr w:rsidR="00437B6A" w:rsidRPr="008B6689" w14:paraId="0BE1E3A3"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74F06AE9" w14:textId="2814A148" w:rsidR="3626F487" w:rsidRPr="008B6689" w:rsidRDefault="00EE3BF1" w:rsidP="06450652">
            <w:pPr>
              <w:rPr>
                <w:rFonts w:cs="Calibri"/>
                <w:b/>
                <w:bCs/>
                <w:color w:val="auto"/>
                <w:sz w:val="20"/>
                <w:szCs w:val="20"/>
              </w:rPr>
            </w:pPr>
            <w:r>
              <w:rPr>
                <w:rFonts w:cs="Calibri"/>
                <w:b/>
                <w:bCs/>
                <w:color w:val="auto"/>
                <w:sz w:val="20"/>
                <w:szCs w:val="20"/>
              </w:rPr>
              <w:t xml:space="preserve">Dr </w:t>
            </w:r>
            <w:r w:rsidR="3626F487" w:rsidRPr="008B6689">
              <w:rPr>
                <w:rFonts w:cs="Calibri"/>
                <w:b/>
                <w:bCs/>
                <w:color w:val="auto"/>
                <w:sz w:val="20"/>
                <w:szCs w:val="20"/>
              </w:rPr>
              <w:t>Tshokey</w:t>
            </w:r>
          </w:p>
        </w:tc>
        <w:tc>
          <w:tcPr>
            <w:tcW w:w="1919" w:type="pct"/>
          </w:tcPr>
          <w:p w14:paraId="3716A99C" w14:textId="581E2C1C" w:rsidR="3626F487" w:rsidRPr="00BB4743" w:rsidRDefault="3626F487" w:rsidP="00BB4743">
            <w:pPr>
              <w:rPr>
                <w:rFonts w:cs="Calibri"/>
                <w:color w:val="auto"/>
                <w:sz w:val="20"/>
                <w:szCs w:val="20"/>
                <w:lang w:eastAsia="en-GB"/>
              </w:rPr>
            </w:pPr>
            <w:r w:rsidRPr="00BB4743">
              <w:rPr>
                <w:rFonts w:cs="Calibri"/>
                <w:color w:val="auto"/>
                <w:sz w:val="20"/>
                <w:szCs w:val="20"/>
                <w:lang w:eastAsia="en-GB"/>
              </w:rPr>
              <w:t xml:space="preserve">JDWNRH National Referral Hospital and HH </w:t>
            </w:r>
            <w:r w:rsidR="00693D2D">
              <w:rPr>
                <w:rFonts w:cs="Calibri"/>
                <w:color w:val="auto"/>
                <w:sz w:val="20"/>
                <w:szCs w:val="20"/>
                <w:lang w:eastAsia="en-GB"/>
              </w:rPr>
              <w:t>NRL</w:t>
            </w:r>
          </w:p>
        </w:tc>
        <w:tc>
          <w:tcPr>
            <w:tcW w:w="1157" w:type="pct"/>
          </w:tcPr>
          <w:p w14:paraId="66EF3CE4" w14:textId="346C888B" w:rsidR="3626F487" w:rsidRPr="008B6689" w:rsidRDefault="3626F487" w:rsidP="00BB4743">
            <w:pPr>
              <w:rPr>
                <w:rFonts w:cs="Calibri"/>
                <w:color w:val="auto"/>
                <w:sz w:val="20"/>
                <w:szCs w:val="20"/>
              </w:rPr>
            </w:pPr>
            <w:r w:rsidRPr="008B6689">
              <w:rPr>
                <w:rFonts w:cs="Calibri"/>
                <w:color w:val="auto"/>
                <w:sz w:val="20"/>
                <w:szCs w:val="20"/>
              </w:rPr>
              <w:t>Microbiologist, AMR HH Focal Point</w:t>
            </w:r>
          </w:p>
        </w:tc>
      </w:tr>
      <w:tr w:rsidR="00437B6A" w:rsidRPr="008B6689" w14:paraId="4E19D453" w14:textId="77777777" w:rsidTr="00437B6A">
        <w:trPr>
          <w:cnfStyle w:val="000000010000" w:firstRow="0" w:lastRow="0" w:firstColumn="0" w:lastColumn="0" w:oddVBand="0" w:evenVBand="0" w:oddHBand="0" w:evenHBand="1" w:firstRowFirstColumn="0" w:firstRowLastColumn="0" w:lastRowFirstColumn="0" w:lastRowLastColumn="0"/>
          <w:trHeight w:val="327"/>
        </w:trPr>
        <w:tc>
          <w:tcPr>
            <w:tcW w:w="1923" w:type="pct"/>
          </w:tcPr>
          <w:p w14:paraId="7DBBD05B" w14:textId="1896CAA4" w:rsidR="6891182C" w:rsidRPr="008B6689" w:rsidRDefault="6891182C" w:rsidP="06450652">
            <w:pPr>
              <w:rPr>
                <w:rFonts w:cs="Calibri"/>
                <w:b/>
                <w:bCs/>
                <w:color w:val="auto"/>
                <w:sz w:val="20"/>
                <w:szCs w:val="20"/>
              </w:rPr>
            </w:pPr>
            <w:r w:rsidRPr="008B6689">
              <w:rPr>
                <w:rFonts w:cs="Calibri"/>
                <w:b/>
                <w:bCs/>
                <w:color w:val="auto"/>
                <w:sz w:val="20"/>
                <w:szCs w:val="20"/>
              </w:rPr>
              <w:t>Kinley Gyem</w:t>
            </w:r>
          </w:p>
        </w:tc>
        <w:tc>
          <w:tcPr>
            <w:tcW w:w="1919" w:type="pct"/>
          </w:tcPr>
          <w:p w14:paraId="23B8A992" w14:textId="05BEB794" w:rsidR="6891182C" w:rsidRPr="00BB4743" w:rsidRDefault="6891182C" w:rsidP="00BB4743">
            <w:pPr>
              <w:rPr>
                <w:rFonts w:cs="Calibri"/>
                <w:color w:val="auto"/>
                <w:sz w:val="20"/>
                <w:szCs w:val="20"/>
                <w:lang w:eastAsia="en-GB"/>
              </w:rPr>
            </w:pPr>
            <w:r w:rsidRPr="00BB4743">
              <w:rPr>
                <w:rFonts w:cs="Calibri"/>
                <w:color w:val="auto"/>
                <w:sz w:val="20"/>
                <w:szCs w:val="20"/>
                <w:lang w:eastAsia="en-GB"/>
              </w:rPr>
              <w:t>RCDC, HH Reference Lab</w:t>
            </w:r>
            <w:r w:rsidR="00CC2C32">
              <w:rPr>
                <w:rFonts w:cs="Calibri"/>
                <w:color w:val="auto"/>
                <w:sz w:val="20"/>
                <w:szCs w:val="20"/>
                <w:lang w:eastAsia="en-GB"/>
              </w:rPr>
              <w:t>oratory</w:t>
            </w:r>
          </w:p>
        </w:tc>
        <w:tc>
          <w:tcPr>
            <w:tcW w:w="1157" w:type="pct"/>
          </w:tcPr>
          <w:p w14:paraId="23278699" w14:textId="7B0CBF74" w:rsidR="6891182C" w:rsidRPr="00BB4743" w:rsidRDefault="6891182C" w:rsidP="00BB4743">
            <w:pPr>
              <w:rPr>
                <w:rFonts w:cs="Calibri"/>
                <w:color w:val="auto"/>
                <w:sz w:val="20"/>
                <w:szCs w:val="20"/>
                <w:lang w:eastAsia="en-GB"/>
              </w:rPr>
            </w:pPr>
            <w:r w:rsidRPr="00BB4743">
              <w:rPr>
                <w:rFonts w:cs="Calibri"/>
                <w:color w:val="auto"/>
                <w:sz w:val="20"/>
                <w:szCs w:val="20"/>
                <w:lang w:eastAsia="en-GB"/>
              </w:rPr>
              <w:t>Senior laboratory officer (AMR Focal Point)</w:t>
            </w:r>
          </w:p>
        </w:tc>
      </w:tr>
      <w:tr w:rsidR="008B6689" w:rsidRPr="008B6689" w14:paraId="3635DA0E" w14:textId="77777777" w:rsidTr="00BB4743">
        <w:trPr>
          <w:cnfStyle w:val="000000100000" w:firstRow="0" w:lastRow="0" w:firstColumn="0" w:lastColumn="0" w:oddVBand="0" w:evenVBand="0" w:oddHBand="1" w:evenHBand="0" w:firstRowFirstColumn="0" w:firstRowLastColumn="0" w:lastRowFirstColumn="0" w:lastRowLastColumn="0"/>
          <w:trHeight w:val="327"/>
        </w:trPr>
        <w:tc>
          <w:tcPr>
            <w:tcW w:w="5000" w:type="pct"/>
            <w:gridSpan w:val="3"/>
            <w:shd w:val="clear" w:color="auto" w:fill="96C286" w:themeFill="text2" w:themeFillTint="99"/>
          </w:tcPr>
          <w:p w14:paraId="6B0B2204" w14:textId="0FBBA5F0" w:rsidR="17D077F0" w:rsidRPr="006911A6" w:rsidRDefault="2905245A" w:rsidP="00041B22">
            <w:pPr>
              <w:spacing w:line="259" w:lineRule="auto"/>
              <w:rPr>
                <w:rFonts w:cstheme="minorBidi"/>
                <w:color w:val="FFFFFF" w:themeColor="background1"/>
                <w:sz w:val="20"/>
                <w:szCs w:val="20"/>
              </w:rPr>
            </w:pPr>
            <w:r w:rsidRPr="006911A6">
              <w:rPr>
                <w:rFonts w:cstheme="minorBidi"/>
                <w:color w:val="FFFFFF" w:themeColor="background1"/>
                <w:sz w:val="20"/>
                <w:szCs w:val="20"/>
              </w:rPr>
              <w:t>WOAH</w:t>
            </w:r>
            <w:r w:rsidR="17D077F0" w:rsidRPr="006911A6">
              <w:rPr>
                <w:rFonts w:cstheme="minorBidi"/>
                <w:color w:val="FFFFFF" w:themeColor="background1"/>
                <w:sz w:val="20"/>
                <w:szCs w:val="20"/>
              </w:rPr>
              <w:t xml:space="preserve"> Focal Point</w:t>
            </w:r>
          </w:p>
        </w:tc>
      </w:tr>
      <w:tr w:rsidR="00765DFA" w:rsidRPr="00765DFA" w14:paraId="4B0BA119" w14:textId="77777777" w:rsidTr="00437B6A">
        <w:trPr>
          <w:cnfStyle w:val="000000010000" w:firstRow="0" w:lastRow="0" w:firstColumn="0" w:lastColumn="0" w:oddVBand="0" w:evenVBand="0" w:oddHBand="0" w:evenHBand="1" w:firstRowFirstColumn="0" w:firstRowLastColumn="0" w:lastRowFirstColumn="0" w:lastRowLastColumn="0"/>
          <w:trHeight w:val="327"/>
        </w:trPr>
        <w:tc>
          <w:tcPr>
            <w:tcW w:w="1923" w:type="pct"/>
          </w:tcPr>
          <w:p w14:paraId="7818AB78" w14:textId="6C06790A" w:rsidR="1F41116E" w:rsidRPr="00765DFA" w:rsidRDefault="1F41116E" w:rsidP="17D077F0">
            <w:pPr>
              <w:rPr>
                <w:rFonts w:cs="Calibri"/>
                <w:b/>
                <w:bCs/>
                <w:color w:val="auto"/>
                <w:sz w:val="20"/>
                <w:szCs w:val="20"/>
                <w:lang w:eastAsia="en-GB"/>
              </w:rPr>
            </w:pPr>
            <w:r w:rsidRPr="00765DFA">
              <w:rPr>
                <w:rFonts w:cs="Calibri"/>
                <w:b/>
                <w:bCs/>
                <w:sz w:val="20"/>
                <w:szCs w:val="20"/>
                <w:lang w:eastAsia="en-GB"/>
              </w:rPr>
              <w:t>Ugyen Namgyel</w:t>
            </w:r>
            <w:r w:rsidR="30523804" w:rsidRPr="00765DFA">
              <w:rPr>
                <w:rFonts w:cs="Calibri"/>
                <w:b/>
                <w:bCs/>
                <w:sz w:val="20"/>
                <w:szCs w:val="20"/>
                <w:lang w:eastAsia="en-GB"/>
              </w:rPr>
              <w:t>*</w:t>
            </w:r>
          </w:p>
        </w:tc>
        <w:tc>
          <w:tcPr>
            <w:tcW w:w="1919" w:type="pct"/>
          </w:tcPr>
          <w:p w14:paraId="3521FC55" w14:textId="548A7721" w:rsidR="1F41116E" w:rsidRPr="00765DFA" w:rsidRDefault="1F41116E" w:rsidP="00BB4743">
            <w:pPr>
              <w:rPr>
                <w:rFonts w:cs="Calibri"/>
                <w:color w:val="auto"/>
                <w:sz w:val="20"/>
                <w:szCs w:val="20"/>
                <w:lang w:eastAsia="en-GB"/>
              </w:rPr>
            </w:pPr>
            <w:r w:rsidRPr="00765DFA">
              <w:rPr>
                <w:rFonts w:cs="Calibri"/>
                <w:sz w:val="20"/>
                <w:szCs w:val="20"/>
                <w:lang w:eastAsia="en-GB"/>
              </w:rPr>
              <w:t xml:space="preserve">National Centre for </w:t>
            </w:r>
            <w:r w:rsidR="00265143" w:rsidRPr="00765DFA">
              <w:rPr>
                <w:rFonts w:cs="Calibri"/>
                <w:sz w:val="20"/>
                <w:szCs w:val="20"/>
                <w:lang w:eastAsia="en-GB"/>
              </w:rPr>
              <w:t>AH</w:t>
            </w:r>
            <w:r w:rsidRPr="00765DFA">
              <w:rPr>
                <w:rFonts w:cs="Calibri"/>
                <w:sz w:val="20"/>
                <w:szCs w:val="20"/>
                <w:lang w:eastAsia="en-GB"/>
              </w:rPr>
              <w:t>, MOAF</w:t>
            </w:r>
          </w:p>
        </w:tc>
        <w:tc>
          <w:tcPr>
            <w:tcW w:w="1157" w:type="pct"/>
          </w:tcPr>
          <w:p w14:paraId="44536CF7" w14:textId="2CC93FD9" w:rsidR="1F41116E" w:rsidRPr="00765DFA" w:rsidRDefault="1F41116E" w:rsidP="00BB4743">
            <w:pPr>
              <w:rPr>
                <w:rFonts w:cs="Calibri"/>
                <w:color w:val="auto"/>
                <w:sz w:val="20"/>
                <w:szCs w:val="20"/>
                <w:lang w:eastAsia="en-GB"/>
              </w:rPr>
            </w:pPr>
            <w:r w:rsidRPr="00765DFA">
              <w:rPr>
                <w:rFonts w:cs="Calibri"/>
                <w:sz w:val="20"/>
                <w:szCs w:val="20"/>
                <w:lang w:eastAsia="en-GB"/>
              </w:rPr>
              <w:t xml:space="preserve">Senior Veterinary Officer, </w:t>
            </w:r>
            <w:r w:rsidR="00265143" w:rsidRPr="00765DFA">
              <w:rPr>
                <w:rFonts w:cs="Calibri"/>
                <w:sz w:val="20"/>
                <w:szCs w:val="20"/>
                <w:lang w:eastAsia="en-GB"/>
              </w:rPr>
              <w:t>AH</w:t>
            </w:r>
            <w:r w:rsidRPr="00765DFA">
              <w:rPr>
                <w:rFonts w:cs="Calibri"/>
                <w:sz w:val="20"/>
                <w:szCs w:val="20"/>
                <w:lang w:eastAsia="en-GB"/>
              </w:rPr>
              <w:t xml:space="preserve"> Unit, Regional Livestock Development Centre (</w:t>
            </w:r>
            <w:r w:rsidR="00121E83" w:rsidRPr="00765DFA">
              <w:rPr>
                <w:rFonts w:cs="Calibri"/>
                <w:sz w:val="20"/>
                <w:szCs w:val="20"/>
                <w:lang w:eastAsia="en-GB"/>
              </w:rPr>
              <w:t>WOAH Focal Point</w:t>
            </w:r>
            <w:r w:rsidRPr="00765DFA">
              <w:rPr>
                <w:rFonts w:cs="Calibri"/>
                <w:sz w:val="20"/>
                <w:szCs w:val="20"/>
                <w:lang w:eastAsia="en-GB"/>
              </w:rPr>
              <w:t>)</w:t>
            </w:r>
          </w:p>
        </w:tc>
      </w:tr>
      <w:tr w:rsidR="008B6689" w:rsidRPr="008B6689" w14:paraId="13293F99" w14:textId="77777777" w:rsidTr="00BB4743">
        <w:trPr>
          <w:cnfStyle w:val="000000100000" w:firstRow="0" w:lastRow="0" w:firstColumn="0" w:lastColumn="0" w:oddVBand="0" w:evenVBand="0" w:oddHBand="1" w:evenHBand="0" w:firstRowFirstColumn="0" w:firstRowLastColumn="0" w:lastRowFirstColumn="0" w:lastRowLastColumn="0"/>
          <w:trHeight w:val="327"/>
        </w:trPr>
        <w:tc>
          <w:tcPr>
            <w:tcW w:w="5000" w:type="pct"/>
            <w:gridSpan w:val="3"/>
            <w:shd w:val="clear" w:color="auto" w:fill="96C286" w:themeFill="text2" w:themeFillTint="99"/>
          </w:tcPr>
          <w:p w14:paraId="1783021D" w14:textId="77777777" w:rsidR="17D077F0" w:rsidRPr="006911A6" w:rsidRDefault="17D077F0" w:rsidP="00041B22">
            <w:pPr>
              <w:rPr>
                <w:rFonts w:cstheme="minorBidi"/>
                <w:color w:val="FFFFFF" w:themeColor="background1"/>
                <w:sz w:val="20"/>
                <w:szCs w:val="20"/>
              </w:rPr>
            </w:pPr>
            <w:r w:rsidRPr="006911A6">
              <w:rPr>
                <w:rFonts w:cstheme="minorBidi"/>
                <w:color w:val="FFFFFF" w:themeColor="background1"/>
                <w:sz w:val="20"/>
                <w:szCs w:val="20"/>
              </w:rPr>
              <w:t>Development Partners/ Academia</w:t>
            </w:r>
          </w:p>
        </w:tc>
      </w:tr>
      <w:tr w:rsidR="00437B6A" w:rsidRPr="000B3487" w14:paraId="1898CBD7" w14:textId="77777777" w:rsidTr="00437B6A">
        <w:trPr>
          <w:cnfStyle w:val="000000010000" w:firstRow="0" w:lastRow="0" w:firstColumn="0" w:lastColumn="0" w:oddVBand="0" w:evenVBand="0" w:oddHBand="0" w:evenHBand="1" w:firstRowFirstColumn="0" w:firstRowLastColumn="0" w:lastRowFirstColumn="0" w:lastRowLastColumn="0"/>
          <w:trHeight w:val="327"/>
        </w:trPr>
        <w:tc>
          <w:tcPr>
            <w:tcW w:w="1923" w:type="pct"/>
          </w:tcPr>
          <w:p w14:paraId="7084C699" w14:textId="21AAB501" w:rsidR="23859C97" w:rsidRPr="00BB4743" w:rsidRDefault="23859C97" w:rsidP="17D077F0">
            <w:pPr>
              <w:rPr>
                <w:rFonts w:eastAsia="Calibri" w:cs="Calibri"/>
                <w:b/>
                <w:bCs/>
                <w:color w:val="auto"/>
                <w:sz w:val="20"/>
                <w:szCs w:val="20"/>
              </w:rPr>
            </w:pPr>
            <w:r w:rsidRPr="00BB4743">
              <w:rPr>
                <w:rFonts w:eastAsia="Calibri" w:cs="Calibri"/>
                <w:b/>
                <w:bCs/>
                <w:color w:val="auto"/>
                <w:sz w:val="20"/>
                <w:szCs w:val="20"/>
              </w:rPr>
              <w:t>Chadho Tenzin</w:t>
            </w:r>
          </w:p>
        </w:tc>
        <w:tc>
          <w:tcPr>
            <w:tcW w:w="1919" w:type="pct"/>
          </w:tcPr>
          <w:p w14:paraId="40266E08" w14:textId="63B819B5" w:rsidR="23859C97" w:rsidRPr="00BB4743" w:rsidRDefault="23859C97" w:rsidP="00BB4743">
            <w:pPr>
              <w:rPr>
                <w:rFonts w:cs="Calibri"/>
                <w:color w:val="auto"/>
                <w:sz w:val="20"/>
                <w:szCs w:val="20"/>
                <w:lang w:eastAsia="en-GB"/>
              </w:rPr>
            </w:pPr>
            <w:r w:rsidRPr="0033426C">
              <w:rPr>
                <w:rFonts w:cs="Calibri"/>
                <w:sz w:val="20"/>
                <w:szCs w:val="20"/>
                <w:lang w:eastAsia="en-GB"/>
              </w:rPr>
              <w:t>FAO</w:t>
            </w:r>
          </w:p>
        </w:tc>
        <w:tc>
          <w:tcPr>
            <w:tcW w:w="1157" w:type="pct"/>
          </w:tcPr>
          <w:p w14:paraId="1E3A0516" w14:textId="2B71C9DC" w:rsidR="17D077F0" w:rsidRPr="00BB4743" w:rsidRDefault="3D57C67F" w:rsidP="00041B22">
            <w:pPr>
              <w:spacing w:line="259" w:lineRule="auto"/>
              <w:rPr>
                <w:rFonts w:eastAsia="Calibri" w:cs="Calibri"/>
                <w:color w:val="auto"/>
                <w:sz w:val="20"/>
                <w:szCs w:val="20"/>
              </w:rPr>
            </w:pPr>
            <w:r w:rsidRPr="00BB4743">
              <w:rPr>
                <w:rFonts w:eastAsia="Calibri" w:cs="Calibri"/>
                <w:color w:val="auto"/>
                <w:sz w:val="20"/>
                <w:szCs w:val="20"/>
              </w:rPr>
              <w:t>Assistant Representative</w:t>
            </w:r>
          </w:p>
        </w:tc>
      </w:tr>
      <w:tr w:rsidR="00437B6A" w:rsidRPr="000B3487" w14:paraId="7984D7EC"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6A9ADA9D" w14:textId="61411851" w:rsidR="23859C97" w:rsidRPr="00BB4743" w:rsidRDefault="23859C97" w:rsidP="17D077F0">
            <w:pPr>
              <w:rPr>
                <w:rFonts w:eastAsia="Calibri" w:cs="Calibri"/>
                <w:b/>
                <w:bCs/>
                <w:color w:val="auto"/>
                <w:sz w:val="20"/>
                <w:szCs w:val="20"/>
              </w:rPr>
            </w:pPr>
            <w:r w:rsidRPr="00BB4743">
              <w:rPr>
                <w:rFonts w:eastAsia="Calibri" w:cs="Calibri"/>
                <w:b/>
                <w:bCs/>
                <w:color w:val="auto"/>
                <w:sz w:val="20"/>
                <w:szCs w:val="20"/>
              </w:rPr>
              <w:t>Sonam Wangdi</w:t>
            </w:r>
          </w:p>
        </w:tc>
        <w:tc>
          <w:tcPr>
            <w:tcW w:w="1919" w:type="pct"/>
          </w:tcPr>
          <w:p w14:paraId="724F0A4D" w14:textId="07E3A3B0" w:rsidR="23859C97" w:rsidRPr="00BB4743" w:rsidRDefault="23859C97" w:rsidP="00BB4743">
            <w:pPr>
              <w:rPr>
                <w:rFonts w:cs="Calibri"/>
                <w:color w:val="auto"/>
                <w:sz w:val="20"/>
                <w:szCs w:val="20"/>
                <w:lang w:eastAsia="en-GB"/>
              </w:rPr>
            </w:pPr>
            <w:r w:rsidRPr="0033426C">
              <w:rPr>
                <w:rFonts w:cs="Calibri"/>
                <w:sz w:val="20"/>
                <w:szCs w:val="20"/>
                <w:lang w:eastAsia="en-GB"/>
              </w:rPr>
              <w:t>WHO</w:t>
            </w:r>
          </w:p>
        </w:tc>
        <w:tc>
          <w:tcPr>
            <w:tcW w:w="1157" w:type="pct"/>
          </w:tcPr>
          <w:p w14:paraId="26230DB3" w14:textId="1E9C0F14" w:rsidR="23859C97" w:rsidRPr="00BB4743" w:rsidRDefault="23859C97" w:rsidP="00041B22">
            <w:pPr>
              <w:spacing w:line="259" w:lineRule="auto"/>
              <w:rPr>
                <w:rFonts w:eastAsia="Calibri" w:cs="Calibri"/>
                <w:color w:val="auto"/>
                <w:sz w:val="20"/>
                <w:szCs w:val="20"/>
              </w:rPr>
            </w:pPr>
            <w:r w:rsidRPr="00BB4743">
              <w:rPr>
                <w:rFonts w:eastAsia="Calibri" w:cs="Calibri"/>
                <w:color w:val="auto"/>
                <w:sz w:val="20"/>
                <w:szCs w:val="20"/>
              </w:rPr>
              <w:t>National Professional Officer</w:t>
            </w:r>
          </w:p>
        </w:tc>
      </w:tr>
      <w:tr w:rsidR="008B6689" w:rsidRPr="008B6689" w14:paraId="6CE1EA2C" w14:textId="77777777" w:rsidTr="00BB4743">
        <w:trPr>
          <w:cnfStyle w:val="000000010000" w:firstRow="0" w:lastRow="0" w:firstColumn="0" w:lastColumn="0" w:oddVBand="0" w:evenVBand="0" w:oddHBand="0" w:evenHBand="1" w:firstRowFirstColumn="0" w:firstRowLastColumn="0" w:lastRowFirstColumn="0" w:lastRowLastColumn="0"/>
          <w:trHeight w:val="327"/>
        </w:trPr>
        <w:tc>
          <w:tcPr>
            <w:tcW w:w="5000" w:type="pct"/>
            <w:gridSpan w:val="3"/>
            <w:shd w:val="clear" w:color="auto" w:fill="96C286" w:themeFill="text2" w:themeFillTint="99"/>
          </w:tcPr>
          <w:p w14:paraId="384DB7EC" w14:textId="77777777" w:rsidR="17D077F0" w:rsidRPr="006911A6" w:rsidRDefault="17D077F0" w:rsidP="00041B22">
            <w:pPr>
              <w:rPr>
                <w:rFonts w:cstheme="minorBidi"/>
                <w:color w:val="FFFFFF" w:themeColor="background1"/>
                <w:sz w:val="20"/>
                <w:szCs w:val="20"/>
              </w:rPr>
            </w:pPr>
            <w:r w:rsidRPr="006911A6">
              <w:rPr>
                <w:rFonts w:cstheme="minorBidi"/>
                <w:color w:val="FFFFFF" w:themeColor="background1"/>
                <w:sz w:val="20"/>
                <w:szCs w:val="20"/>
              </w:rPr>
              <w:t>NRL &amp; Site Visit</w:t>
            </w:r>
          </w:p>
        </w:tc>
      </w:tr>
      <w:tr w:rsidR="00437B6A" w:rsidRPr="008B6689" w14:paraId="725E2E9B"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4249BF4F" w14:textId="70E54359" w:rsidR="6086A6C0" w:rsidRPr="008B6689" w:rsidRDefault="6086A6C0" w:rsidP="06450652">
            <w:pPr>
              <w:rPr>
                <w:rFonts w:cs="Calibri"/>
                <w:b/>
                <w:bCs/>
                <w:color w:val="auto"/>
                <w:sz w:val="20"/>
                <w:szCs w:val="20"/>
              </w:rPr>
            </w:pPr>
            <w:r w:rsidRPr="008B6689">
              <w:rPr>
                <w:rFonts w:cs="Calibri"/>
                <w:b/>
                <w:bCs/>
                <w:color w:val="auto"/>
                <w:sz w:val="20"/>
                <w:szCs w:val="20"/>
              </w:rPr>
              <w:t>Kinley Wangchuk</w:t>
            </w:r>
            <w:r w:rsidR="00655668" w:rsidRPr="008B6689">
              <w:rPr>
                <w:rFonts w:cs="Calibri"/>
                <w:b/>
                <w:bCs/>
                <w:color w:val="auto"/>
                <w:sz w:val="20"/>
                <w:szCs w:val="20"/>
              </w:rPr>
              <w:t>*</w:t>
            </w:r>
          </w:p>
        </w:tc>
        <w:tc>
          <w:tcPr>
            <w:tcW w:w="1919" w:type="pct"/>
          </w:tcPr>
          <w:p w14:paraId="6CC854E1" w14:textId="188F11C1" w:rsidR="6086A6C0" w:rsidRPr="00BB4743" w:rsidRDefault="6086A6C0" w:rsidP="00BB4743">
            <w:pPr>
              <w:rPr>
                <w:rFonts w:cs="Calibri"/>
                <w:color w:val="auto"/>
                <w:sz w:val="20"/>
                <w:szCs w:val="20"/>
                <w:lang w:eastAsia="en-GB"/>
              </w:rPr>
            </w:pPr>
            <w:r w:rsidRPr="00BB4743">
              <w:rPr>
                <w:rFonts w:cs="Calibri"/>
                <w:color w:val="auto"/>
                <w:sz w:val="20"/>
                <w:szCs w:val="20"/>
                <w:lang w:eastAsia="en-GB"/>
              </w:rPr>
              <w:t xml:space="preserve">JDWNRH National Referral Hospital and HH </w:t>
            </w:r>
            <w:r w:rsidR="00693D2D">
              <w:rPr>
                <w:rFonts w:cs="Calibri"/>
                <w:color w:val="auto"/>
                <w:sz w:val="20"/>
                <w:szCs w:val="20"/>
                <w:lang w:eastAsia="en-GB"/>
              </w:rPr>
              <w:t>NRL</w:t>
            </w:r>
          </w:p>
        </w:tc>
        <w:tc>
          <w:tcPr>
            <w:tcW w:w="1157" w:type="pct"/>
          </w:tcPr>
          <w:p w14:paraId="4221C53F" w14:textId="0FB91DCC" w:rsidR="6086A6C0" w:rsidRPr="008B6689" w:rsidRDefault="6086A6C0" w:rsidP="00BB4743">
            <w:pPr>
              <w:rPr>
                <w:rFonts w:cs="Calibri"/>
                <w:color w:val="auto"/>
                <w:sz w:val="20"/>
                <w:szCs w:val="20"/>
              </w:rPr>
            </w:pPr>
            <w:r w:rsidRPr="008B6689">
              <w:rPr>
                <w:rFonts w:cs="Calibri"/>
                <w:color w:val="auto"/>
                <w:sz w:val="20"/>
                <w:szCs w:val="20"/>
              </w:rPr>
              <w:t>AMR Laboratory Fellow, Officer in Charge of the Microbiology Unit, Department of Pathology and Laboratory Medicine</w:t>
            </w:r>
          </w:p>
        </w:tc>
      </w:tr>
      <w:tr w:rsidR="00437B6A" w:rsidRPr="008B6689" w14:paraId="312AC559" w14:textId="77777777" w:rsidTr="00437B6A">
        <w:trPr>
          <w:cnfStyle w:val="000000010000" w:firstRow="0" w:lastRow="0" w:firstColumn="0" w:lastColumn="0" w:oddVBand="0" w:evenVBand="0" w:oddHBand="0" w:evenHBand="1" w:firstRowFirstColumn="0" w:firstRowLastColumn="0" w:lastRowFirstColumn="0" w:lastRowLastColumn="0"/>
          <w:trHeight w:val="327"/>
        </w:trPr>
        <w:tc>
          <w:tcPr>
            <w:tcW w:w="1923" w:type="pct"/>
          </w:tcPr>
          <w:p w14:paraId="36C8DF38" w14:textId="73F53D07" w:rsidR="6086A6C0" w:rsidRPr="00BB4743" w:rsidRDefault="6086A6C0" w:rsidP="06450652">
            <w:pPr>
              <w:rPr>
                <w:rFonts w:cs="Calibri"/>
                <w:b/>
                <w:bCs/>
                <w:color w:val="auto"/>
                <w:sz w:val="20"/>
                <w:szCs w:val="20"/>
              </w:rPr>
            </w:pPr>
            <w:r w:rsidRPr="00BB4743">
              <w:rPr>
                <w:rFonts w:eastAsia="Calibri" w:cs="Calibri"/>
                <w:b/>
                <w:bCs/>
                <w:color w:val="auto"/>
                <w:sz w:val="20"/>
                <w:szCs w:val="20"/>
              </w:rPr>
              <w:t>Ragunath Sharma</w:t>
            </w:r>
          </w:p>
        </w:tc>
        <w:tc>
          <w:tcPr>
            <w:tcW w:w="1919" w:type="pct"/>
          </w:tcPr>
          <w:p w14:paraId="5C537E21" w14:textId="43A8DBF3" w:rsidR="6086A6C0" w:rsidRPr="00BB4743" w:rsidRDefault="6086A6C0" w:rsidP="00BB4743">
            <w:pPr>
              <w:rPr>
                <w:rFonts w:cs="Calibri"/>
                <w:color w:val="auto"/>
                <w:sz w:val="20"/>
                <w:szCs w:val="20"/>
                <w:lang w:eastAsia="en-GB"/>
              </w:rPr>
            </w:pPr>
            <w:r w:rsidRPr="00BB4743">
              <w:rPr>
                <w:rFonts w:cs="Calibri"/>
                <w:color w:val="auto"/>
                <w:sz w:val="20"/>
                <w:szCs w:val="20"/>
                <w:lang w:eastAsia="en-GB"/>
              </w:rPr>
              <w:t xml:space="preserve">JDWNRH National Referral Hospital and HH </w:t>
            </w:r>
            <w:r w:rsidR="0066446D">
              <w:rPr>
                <w:rFonts w:cs="Calibri"/>
                <w:color w:val="auto"/>
                <w:sz w:val="20"/>
                <w:szCs w:val="20"/>
                <w:lang w:eastAsia="en-GB"/>
              </w:rPr>
              <w:t>NRL</w:t>
            </w:r>
          </w:p>
        </w:tc>
        <w:tc>
          <w:tcPr>
            <w:tcW w:w="1157" w:type="pct"/>
          </w:tcPr>
          <w:p w14:paraId="4A195AEA" w14:textId="400AD404" w:rsidR="6086A6C0" w:rsidRPr="008B6689" w:rsidRDefault="6086A6C0" w:rsidP="00BB4743">
            <w:pPr>
              <w:rPr>
                <w:rFonts w:cs="Calibri"/>
                <w:color w:val="auto"/>
                <w:sz w:val="20"/>
                <w:szCs w:val="20"/>
              </w:rPr>
            </w:pPr>
            <w:r w:rsidRPr="008B6689">
              <w:rPr>
                <w:rFonts w:cs="Calibri"/>
                <w:color w:val="auto"/>
                <w:sz w:val="20"/>
                <w:szCs w:val="20"/>
              </w:rPr>
              <w:t xml:space="preserve">Laboratory Officer. </w:t>
            </w:r>
            <w:r w:rsidR="0049408A" w:rsidRPr="008B6689">
              <w:rPr>
                <w:rFonts w:cs="Calibri"/>
                <w:color w:val="auto"/>
                <w:sz w:val="20"/>
                <w:szCs w:val="20"/>
              </w:rPr>
              <w:t>Department</w:t>
            </w:r>
            <w:r w:rsidR="0049408A" w:rsidRPr="008B6689" w:rsidDel="0049408A">
              <w:rPr>
                <w:rFonts w:cs="Calibri"/>
                <w:color w:val="auto"/>
                <w:sz w:val="20"/>
                <w:szCs w:val="20"/>
              </w:rPr>
              <w:t xml:space="preserve"> </w:t>
            </w:r>
            <w:r w:rsidRPr="008B6689">
              <w:rPr>
                <w:rFonts w:cs="Calibri"/>
                <w:color w:val="auto"/>
                <w:sz w:val="20"/>
                <w:szCs w:val="20"/>
              </w:rPr>
              <w:t>of Pathology and Laboratory Medicine</w:t>
            </w:r>
          </w:p>
        </w:tc>
      </w:tr>
      <w:tr w:rsidR="00437B6A" w:rsidRPr="008B6689" w14:paraId="73226015" w14:textId="77777777" w:rsidTr="00437B6A">
        <w:trPr>
          <w:cnfStyle w:val="000000100000" w:firstRow="0" w:lastRow="0" w:firstColumn="0" w:lastColumn="0" w:oddVBand="0" w:evenVBand="0" w:oddHBand="1" w:evenHBand="0" w:firstRowFirstColumn="0" w:firstRowLastColumn="0" w:lastRowFirstColumn="0" w:lastRowLastColumn="0"/>
          <w:trHeight w:val="327"/>
        </w:trPr>
        <w:tc>
          <w:tcPr>
            <w:tcW w:w="1923" w:type="pct"/>
          </w:tcPr>
          <w:p w14:paraId="347081E6" w14:textId="52554211" w:rsidR="721CACD7" w:rsidRPr="008B6689" w:rsidRDefault="721CACD7" w:rsidP="06450652">
            <w:pPr>
              <w:rPr>
                <w:rFonts w:cs="Calibri"/>
                <w:b/>
                <w:bCs/>
                <w:color w:val="auto"/>
                <w:sz w:val="20"/>
                <w:szCs w:val="20"/>
              </w:rPr>
            </w:pPr>
            <w:r w:rsidRPr="008B6689">
              <w:rPr>
                <w:rFonts w:cs="Calibri"/>
                <w:b/>
                <w:bCs/>
                <w:color w:val="auto"/>
                <w:sz w:val="20"/>
                <w:szCs w:val="20"/>
              </w:rPr>
              <w:t>Kinley Gyem</w:t>
            </w:r>
            <w:r w:rsidR="0094388B" w:rsidRPr="008B6689">
              <w:rPr>
                <w:rFonts w:cs="Calibri"/>
                <w:b/>
                <w:bCs/>
                <w:color w:val="auto"/>
                <w:sz w:val="20"/>
                <w:szCs w:val="20"/>
              </w:rPr>
              <w:t>*</w:t>
            </w:r>
          </w:p>
        </w:tc>
        <w:tc>
          <w:tcPr>
            <w:tcW w:w="1919" w:type="pct"/>
          </w:tcPr>
          <w:p w14:paraId="598D8172" w14:textId="23E16C90" w:rsidR="721CACD7" w:rsidRPr="00BB4743" w:rsidRDefault="721CACD7" w:rsidP="00BB4743">
            <w:pPr>
              <w:rPr>
                <w:rFonts w:cs="Calibri"/>
                <w:color w:val="auto"/>
                <w:sz w:val="20"/>
                <w:szCs w:val="20"/>
                <w:lang w:eastAsia="en-GB"/>
              </w:rPr>
            </w:pPr>
            <w:r w:rsidRPr="00BB4743">
              <w:rPr>
                <w:rFonts w:cs="Calibri"/>
                <w:color w:val="auto"/>
                <w:sz w:val="20"/>
                <w:szCs w:val="20"/>
                <w:lang w:eastAsia="en-GB"/>
              </w:rPr>
              <w:t>RCDC HH Reference Lab</w:t>
            </w:r>
            <w:r w:rsidR="00CC2C32">
              <w:rPr>
                <w:rFonts w:cs="Calibri"/>
                <w:color w:val="auto"/>
                <w:sz w:val="20"/>
                <w:szCs w:val="20"/>
                <w:lang w:eastAsia="en-GB"/>
              </w:rPr>
              <w:t>oratory</w:t>
            </w:r>
          </w:p>
        </w:tc>
        <w:tc>
          <w:tcPr>
            <w:tcW w:w="1157" w:type="pct"/>
          </w:tcPr>
          <w:p w14:paraId="60D6F2B4" w14:textId="4662081E" w:rsidR="721CACD7" w:rsidRPr="00BB4743" w:rsidRDefault="721CACD7" w:rsidP="00BB4743">
            <w:pPr>
              <w:rPr>
                <w:rFonts w:cs="Calibri"/>
                <w:color w:val="auto"/>
                <w:sz w:val="20"/>
                <w:szCs w:val="20"/>
                <w:lang w:eastAsia="en-GB"/>
              </w:rPr>
            </w:pPr>
            <w:r w:rsidRPr="00BB4743">
              <w:rPr>
                <w:rFonts w:cs="Calibri"/>
                <w:color w:val="auto"/>
                <w:sz w:val="20"/>
                <w:szCs w:val="20"/>
                <w:lang w:eastAsia="en-GB"/>
              </w:rPr>
              <w:t>Senior laboratory officer</w:t>
            </w:r>
          </w:p>
        </w:tc>
      </w:tr>
    </w:tbl>
    <w:p w14:paraId="0AFBBADD" w14:textId="4579D4CB" w:rsidR="002636A3" w:rsidRDefault="00CF4E89" w:rsidP="004F2001">
      <w:pPr>
        <w:pStyle w:val="ItadH2"/>
      </w:pPr>
      <w:bookmarkStart w:id="392" w:name="_Toc118968571"/>
      <w:bookmarkStart w:id="393" w:name="_Toc122209925"/>
      <w:bookmarkStart w:id="394" w:name="_Toc142383213"/>
      <w:r>
        <w:t>Ghana</w:t>
      </w:r>
      <w:bookmarkEnd w:id="392"/>
      <w:bookmarkEnd w:id="393"/>
      <w:bookmarkEnd w:id="394"/>
    </w:p>
    <w:tbl>
      <w:tblPr>
        <w:tblStyle w:val="Itadalternaterows"/>
        <w:tblW w:w="9663" w:type="dxa"/>
        <w:tblInd w:w="0" w:type="dxa"/>
        <w:tblLook w:val="04A0" w:firstRow="1" w:lastRow="0" w:firstColumn="1" w:lastColumn="0" w:noHBand="0" w:noVBand="1"/>
      </w:tblPr>
      <w:tblGrid>
        <w:gridCol w:w="2800"/>
        <w:gridCol w:w="3344"/>
        <w:gridCol w:w="3519"/>
      </w:tblGrid>
      <w:tr w:rsidR="0049408A" w:rsidRPr="00E66889" w14:paraId="77D3155D" w14:textId="77777777" w:rsidTr="00BB4743">
        <w:trPr>
          <w:cnfStyle w:val="100000000000" w:firstRow="1" w:lastRow="0" w:firstColumn="0" w:lastColumn="0" w:oddVBand="0" w:evenVBand="0" w:oddHBand="0" w:evenHBand="0" w:firstRowFirstColumn="0" w:firstRowLastColumn="0" w:lastRowFirstColumn="0" w:lastRowLastColumn="0"/>
          <w:trHeight w:val="340"/>
        </w:trPr>
        <w:tc>
          <w:tcPr>
            <w:tcW w:w="0" w:type="dxa"/>
            <w:gridSpan w:val="3"/>
            <w:hideMark/>
          </w:tcPr>
          <w:p w14:paraId="4AE2BF56" w14:textId="2DFB8D6D" w:rsidR="00171BA4" w:rsidRPr="006911A6" w:rsidRDefault="00171BA4">
            <w:pPr>
              <w:rPr>
                <w:rFonts w:cs="Calibri"/>
                <w:bCs/>
                <w:color w:val="FFFFFF" w:themeColor="background1"/>
                <w:sz w:val="20"/>
                <w:szCs w:val="20"/>
                <w:lang w:eastAsia="en-GB"/>
              </w:rPr>
            </w:pPr>
            <w:r w:rsidRPr="006911A6">
              <w:rPr>
                <w:rFonts w:cs="Calibri"/>
                <w:color w:val="FFFFFF" w:themeColor="background1"/>
                <w:sz w:val="20"/>
                <w:szCs w:val="20"/>
                <w:lang w:eastAsia="en-GB"/>
              </w:rPr>
              <w:t xml:space="preserve">Fleming Fund </w:t>
            </w:r>
            <w:r w:rsidR="005B5B44" w:rsidRPr="006911A6">
              <w:rPr>
                <w:rFonts w:cs="Calibri"/>
                <w:color w:val="FFFFFF" w:themeColor="background1"/>
                <w:sz w:val="20"/>
                <w:szCs w:val="20"/>
                <w:lang w:eastAsia="en-GB"/>
              </w:rPr>
              <w:t>CG</w:t>
            </w:r>
          </w:p>
        </w:tc>
      </w:tr>
      <w:tr w:rsidR="0049408A" w:rsidRPr="00E66889" w14:paraId="252AEED7"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77E789CB" w14:textId="5D5560F7" w:rsidR="00171BA4" w:rsidRPr="00BB4743" w:rsidRDefault="004B1801">
            <w:pPr>
              <w:rPr>
                <w:rFonts w:cs="Calibri"/>
                <w:b/>
                <w:color w:val="auto"/>
                <w:sz w:val="20"/>
                <w:szCs w:val="20"/>
                <w:lang w:eastAsia="en-GB"/>
              </w:rPr>
            </w:pPr>
            <w:r w:rsidRPr="00BB4743">
              <w:rPr>
                <w:rFonts w:cs="Calibri"/>
                <w:b/>
                <w:color w:val="auto"/>
                <w:sz w:val="20"/>
                <w:szCs w:val="20"/>
                <w:lang w:eastAsia="en-GB"/>
              </w:rPr>
              <w:t>Prof. Japheth Opintan</w:t>
            </w:r>
          </w:p>
        </w:tc>
        <w:tc>
          <w:tcPr>
            <w:tcW w:w="0" w:type="dxa"/>
          </w:tcPr>
          <w:p w14:paraId="089E1813" w14:textId="7A747604" w:rsidR="00171BA4" w:rsidRPr="00BB4743" w:rsidRDefault="00D47711" w:rsidP="00BB4743">
            <w:pPr>
              <w:rPr>
                <w:rFonts w:cs="Calibri"/>
                <w:color w:val="auto"/>
                <w:sz w:val="20"/>
                <w:szCs w:val="20"/>
                <w:lang w:eastAsia="en-GB"/>
              </w:rPr>
            </w:pPr>
            <w:r w:rsidRPr="00BB4743">
              <w:rPr>
                <w:rFonts w:cs="Calibri"/>
                <w:color w:val="auto"/>
                <w:sz w:val="20"/>
                <w:szCs w:val="20"/>
                <w:lang w:eastAsia="en-GB"/>
              </w:rPr>
              <w:t>U</w:t>
            </w:r>
            <w:r w:rsidR="00E66BB8">
              <w:rPr>
                <w:rFonts w:cs="Calibri"/>
                <w:color w:val="auto"/>
                <w:sz w:val="20"/>
                <w:szCs w:val="20"/>
                <w:lang w:eastAsia="en-GB"/>
              </w:rPr>
              <w:t xml:space="preserve">niversity of </w:t>
            </w:r>
            <w:r w:rsidRPr="00BB4743">
              <w:rPr>
                <w:rFonts w:cs="Calibri"/>
                <w:color w:val="auto"/>
                <w:sz w:val="20"/>
                <w:szCs w:val="20"/>
                <w:lang w:eastAsia="en-GB"/>
              </w:rPr>
              <w:t>G</w:t>
            </w:r>
            <w:r w:rsidR="00E66BB8">
              <w:rPr>
                <w:rFonts w:cs="Calibri"/>
                <w:color w:val="auto"/>
                <w:sz w:val="20"/>
                <w:szCs w:val="20"/>
                <w:lang w:eastAsia="en-GB"/>
              </w:rPr>
              <w:t>hana</w:t>
            </w:r>
            <w:r w:rsidRPr="00BB4743">
              <w:rPr>
                <w:rFonts w:cs="Calibri"/>
                <w:color w:val="auto"/>
                <w:sz w:val="20"/>
                <w:szCs w:val="20"/>
                <w:lang w:eastAsia="en-GB"/>
              </w:rPr>
              <w:t xml:space="preserve"> </w:t>
            </w:r>
            <w:r w:rsidR="00E66BB8">
              <w:rPr>
                <w:rFonts w:cs="Calibri"/>
                <w:color w:val="auto"/>
                <w:sz w:val="20"/>
                <w:szCs w:val="20"/>
                <w:lang w:eastAsia="en-GB"/>
              </w:rPr>
              <w:t>Department</w:t>
            </w:r>
            <w:r w:rsidRPr="00BB4743">
              <w:rPr>
                <w:rFonts w:cs="Calibri"/>
                <w:color w:val="auto"/>
                <w:sz w:val="20"/>
                <w:szCs w:val="20"/>
                <w:lang w:eastAsia="en-GB"/>
              </w:rPr>
              <w:t xml:space="preserve"> of Medical Microbiology</w:t>
            </w:r>
          </w:p>
        </w:tc>
        <w:tc>
          <w:tcPr>
            <w:tcW w:w="0" w:type="dxa"/>
          </w:tcPr>
          <w:p w14:paraId="340E56F6" w14:textId="60E06C1D" w:rsidR="00171BA4" w:rsidRPr="00BB4743" w:rsidRDefault="00D47711" w:rsidP="00BB4743">
            <w:pPr>
              <w:rPr>
                <w:rFonts w:cs="Calibri"/>
                <w:color w:val="auto"/>
                <w:sz w:val="20"/>
                <w:szCs w:val="20"/>
                <w:lang w:eastAsia="en-GB"/>
              </w:rPr>
            </w:pPr>
            <w:r w:rsidRPr="00BB4743">
              <w:rPr>
                <w:rFonts w:cs="Calibri"/>
                <w:color w:val="auto"/>
                <w:sz w:val="20"/>
                <w:szCs w:val="20"/>
                <w:lang w:eastAsia="en-GB"/>
              </w:rPr>
              <w:t xml:space="preserve">Medical Microbiologist (CG </w:t>
            </w:r>
            <w:r w:rsidR="00A63EE3" w:rsidRPr="00BB4743">
              <w:rPr>
                <w:rFonts w:cs="Calibri"/>
                <w:color w:val="auto"/>
                <w:sz w:val="20"/>
                <w:szCs w:val="20"/>
                <w:lang w:eastAsia="en-GB"/>
              </w:rPr>
              <w:t>Team Leader</w:t>
            </w:r>
            <w:r w:rsidRPr="00BB4743">
              <w:rPr>
                <w:rFonts w:cs="Calibri"/>
                <w:color w:val="auto"/>
                <w:sz w:val="20"/>
                <w:szCs w:val="20"/>
                <w:lang w:eastAsia="en-GB"/>
              </w:rPr>
              <w:t>)</w:t>
            </w:r>
          </w:p>
        </w:tc>
      </w:tr>
      <w:tr w:rsidR="0049408A" w:rsidRPr="00E66889" w14:paraId="0446FC45"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2D588B88" w14:textId="55662E1D" w:rsidR="00D47711" w:rsidRPr="00BB4743" w:rsidRDefault="00290FA1">
            <w:pPr>
              <w:rPr>
                <w:rFonts w:cs="Calibri"/>
                <w:b/>
                <w:color w:val="auto"/>
                <w:sz w:val="20"/>
                <w:szCs w:val="20"/>
                <w:lang w:eastAsia="en-GB"/>
              </w:rPr>
            </w:pPr>
            <w:r w:rsidRPr="00BB4743">
              <w:rPr>
                <w:rFonts w:cs="Calibri"/>
                <w:b/>
                <w:color w:val="auto"/>
                <w:sz w:val="20"/>
                <w:szCs w:val="20"/>
                <w:lang w:eastAsia="en-GB"/>
              </w:rPr>
              <w:t>Jabina Anaman</w:t>
            </w:r>
          </w:p>
        </w:tc>
        <w:tc>
          <w:tcPr>
            <w:tcW w:w="0" w:type="dxa"/>
          </w:tcPr>
          <w:p w14:paraId="38EDA92A" w14:textId="6132532E" w:rsidR="00D47711" w:rsidRPr="00BB4743" w:rsidRDefault="00290FA1" w:rsidP="00BB4743">
            <w:pPr>
              <w:rPr>
                <w:rFonts w:cs="Calibri"/>
                <w:color w:val="auto"/>
                <w:sz w:val="20"/>
                <w:szCs w:val="20"/>
                <w:lang w:eastAsia="en-GB"/>
              </w:rPr>
            </w:pPr>
            <w:r w:rsidRPr="00BB4743">
              <w:rPr>
                <w:rFonts w:cs="Calibri"/>
                <w:color w:val="auto"/>
                <w:sz w:val="20"/>
                <w:szCs w:val="20"/>
                <w:lang w:eastAsia="en-GB"/>
              </w:rPr>
              <w:t>Aurum</w:t>
            </w:r>
          </w:p>
        </w:tc>
        <w:tc>
          <w:tcPr>
            <w:tcW w:w="0" w:type="dxa"/>
          </w:tcPr>
          <w:p w14:paraId="107F720C" w14:textId="3D882DA9" w:rsidR="00D47711" w:rsidRPr="00BB4743" w:rsidRDefault="00FC132C" w:rsidP="00BB4743">
            <w:pPr>
              <w:rPr>
                <w:rFonts w:cs="Calibri"/>
                <w:color w:val="auto"/>
                <w:sz w:val="20"/>
                <w:szCs w:val="20"/>
                <w:lang w:eastAsia="en-GB"/>
              </w:rPr>
            </w:pPr>
            <w:r w:rsidRPr="00BB4743">
              <w:rPr>
                <w:rFonts w:cs="Calibri"/>
                <w:color w:val="auto"/>
                <w:sz w:val="20"/>
                <w:szCs w:val="20"/>
                <w:lang w:eastAsia="en-GB"/>
              </w:rPr>
              <w:t>Head, M&amp;E Officer</w:t>
            </w:r>
          </w:p>
        </w:tc>
      </w:tr>
      <w:tr w:rsidR="0049408A" w:rsidRPr="00E66889" w14:paraId="0BF9754F"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08ABCD56" w14:textId="2F3DDB15" w:rsidR="00FC132C" w:rsidRPr="00BB4743" w:rsidRDefault="00FC132C">
            <w:pPr>
              <w:rPr>
                <w:rFonts w:cs="Calibri"/>
                <w:b/>
                <w:color w:val="auto"/>
                <w:sz w:val="20"/>
                <w:szCs w:val="20"/>
                <w:lang w:eastAsia="en-GB"/>
              </w:rPr>
            </w:pPr>
            <w:r w:rsidRPr="00BB4743">
              <w:rPr>
                <w:rFonts w:cs="Calibri"/>
                <w:b/>
                <w:color w:val="auto"/>
                <w:sz w:val="20"/>
                <w:szCs w:val="20"/>
                <w:lang w:eastAsia="en-GB"/>
              </w:rPr>
              <w:t>Dziedzorm Awalime</w:t>
            </w:r>
          </w:p>
        </w:tc>
        <w:tc>
          <w:tcPr>
            <w:tcW w:w="0" w:type="dxa"/>
          </w:tcPr>
          <w:p w14:paraId="41F120E0" w14:textId="751719A3" w:rsidR="00FC132C" w:rsidRPr="00BB4743" w:rsidRDefault="00FC132C" w:rsidP="00BB4743">
            <w:pPr>
              <w:rPr>
                <w:rFonts w:cs="Calibri"/>
                <w:color w:val="auto"/>
                <w:sz w:val="20"/>
                <w:szCs w:val="20"/>
                <w:lang w:eastAsia="en-GB"/>
              </w:rPr>
            </w:pPr>
            <w:r w:rsidRPr="00BB4743">
              <w:rPr>
                <w:rFonts w:cs="Calibri"/>
                <w:color w:val="auto"/>
                <w:sz w:val="20"/>
                <w:szCs w:val="20"/>
                <w:lang w:eastAsia="en-GB"/>
              </w:rPr>
              <w:t>Aurum</w:t>
            </w:r>
          </w:p>
        </w:tc>
        <w:tc>
          <w:tcPr>
            <w:tcW w:w="0" w:type="dxa"/>
          </w:tcPr>
          <w:p w14:paraId="5A8719E6" w14:textId="09DCA598" w:rsidR="00FC132C" w:rsidRPr="00BB4743" w:rsidRDefault="00FC132C" w:rsidP="00BB4743">
            <w:pPr>
              <w:rPr>
                <w:rFonts w:cs="Calibri"/>
                <w:color w:val="auto"/>
                <w:sz w:val="20"/>
                <w:szCs w:val="20"/>
                <w:lang w:eastAsia="en-GB"/>
              </w:rPr>
            </w:pPr>
            <w:r w:rsidRPr="00BB4743">
              <w:rPr>
                <w:rFonts w:cs="Calibri"/>
                <w:color w:val="auto"/>
                <w:sz w:val="20"/>
                <w:szCs w:val="20"/>
                <w:lang w:eastAsia="en-GB"/>
              </w:rPr>
              <w:t>Head, M&amp;E Officer</w:t>
            </w:r>
          </w:p>
        </w:tc>
      </w:tr>
      <w:tr w:rsidR="0049408A" w:rsidRPr="00E66889" w14:paraId="19C10BC9"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gridSpan w:val="3"/>
            <w:shd w:val="clear" w:color="auto" w:fill="96C286" w:themeFill="text2" w:themeFillTint="99"/>
          </w:tcPr>
          <w:p w14:paraId="7B196EEA" w14:textId="77777777" w:rsidR="00171BA4" w:rsidRPr="006911A6" w:rsidRDefault="00171BA4" w:rsidP="00041B22">
            <w:pPr>
              <w:rPr>
                <w:rFonts w:cs="Calibri"/>
                <w:sz w:val="20"/>
                <w:szCs w:val="20"/>
              </w:rPr>
            </w:pPr>
            <w:r w:rsidRPr="006911A6">
              <w:rPr>
                <w:rFonts w:cs="Calibri"/>
                <w:color w:val="FFFFFF" w:themeColor="background1"/>
                <w:sz w:val="20"/>
                <w:szCs w:val="20"/>
                <w:lang w:eastAsia="en-GB"/>
              </w:rPr>
              <w:t>AMRCC Members</w:t>
            </w:r>
          </w:p>
        </w:tc>
      </w:tr>
      <w:tr w:rsidR="0049408A" w:rsidRPr="00E66889" w14:paraId="76E53D4A"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1DEDCC67" w14:textId="6227A178" w:rsidR="00171BA4" w:rsidRPr="00BB4743" w:rsidRDefault="3124C0A1" w:rsidP="64C55F6E">
            <w:pPr>
              <w:rPr>
                <w:rFonts w:cs="Calibri"/>
                <w:b/>
                <w:bCs/>
                <w:color w:val="auto"/>
                <w:sz w:val="20"/>
                <w:szCs w:val="20"/>
                <w:lang w:val="de-DE" w:eastAsia="en-GB"/>
              </w:rPr>
            </w:pPr>
            <w:r w:rsidRPr="00BB4743">
              <w:rPr>
                <w:rFonts w:cs="Calibri"/>
                <w:b/>
                <w:bCs/>
                <w:color w:val="auto"/>
                <w:sz w:val="20"/>
                <w:szCs w:val="20"/>
                <w:lang w:val="de-DE" w:eastAsia="en-GB"/>
              </w:rPr>
              <w:t>Dr Joycelyn Azeez</w:t>
            </w:r>
          </w:p>
        </w:tc>
        <w:tc>
          <w:tcPr>
            <w:tcW w:w="0" w:type="dxa"/>
          </w:tcPr>
          <w:p w14:paraId="46C74F9A" w14:textId="500F97FF" w:rsidR="00171BA4" w:rsidRPr="00BB4743" w:rsidRDefault="00387F7C" w:rsidP="00BB4743">
            <w:pPr>
              <w:rPr>
                <w:rFonts w:cs="Calibri"/>
                <w:color w:val="auto"/>
                <w:sz w:val="20"/>
                <w:szCs w:val="20"/>
                <w:lang w:eastAsia="en-GB"/>
              </w:rPr>
            </w:pPr>
            <w:r w:rsidRPr="00BB4743">
              <w:rPr>
                <w:rFonts w:cs="Calibri"/>
                <w:color w:val="auto"/>
                <w:sz w:val="20"/>
                <w:szCs w:val="20"/>
                <w:lang w:eastAsia="en-GB"/>
              </w:rPr>
              <w:t>Ministry of Health</w:t>
            </w:r>
          </w:p>
        </w:tc>
        <w:tc>
          <w:tcPr>
            <w:tcW w:w="0" w:type="dxa"/>
          </w:tcPr>
          <w:p w14:paraId="6745AC06" w14:textId="1CA08DB2" w:rsidR="00171BA4" w:rsidRPr="00BB4743" w:rsidRDefault="00387F7C" w:rsidP="00BB4743">
            <w:pPr>
              <w:rPr>
                <w:rFonts w:cs="Calibri"/>
                <w:color w:val="auto"/>
                <w:sz w:val="20"/>
                <w:szCs w:val="20"/>
                <w:lang w:eastAsia="en-GB"/>
              </w:rPr>
            </w:pPr>
            <w:r w:rsidRPr="00BB4743">
              <w:rPr>
                <w:rFonts w:cs="Calibri"/>
                <w:color w:val="auto"/>
                <w:sz w:val="20"/>
                <w:szCs w:val="20"/>
                <w:lang w:eastAsia="en-GB"/>
              </w:rPr>
              <w:t>Chief Program</w:t>
            </w:r>
            <w:r w:rsidR="0049408A" w:rsidRPr="00BB4743">
              <w:rPr>
                <w:rFonts w:cs="Calibri"/>
                <w:color w:val="auto"/>
                <w:sz w:val="20"/>
                <w:szCs w:val="20"/>
                <w:lang w:eastAsia="en-GB"/>
              </w:rPr>
              <w:t>me</w:t>
            </w:r>
            <w:r w:rsidRPr="00BB4743">
              <w:rPr>
                <w:rFonts w:cs="Calibri"/>
                <w:color w:val="auto"/>
                <w:sz w:val="20"/>
                <w:szCs w:val="20"/>
                <w:lang w:eastAsia="en-GB"/>
              </w:rPr>
              <w:t xml:space="preserve"> Officer</w:t>
            </w:r>
            <w:r w:rsidR="0049408A" w:rsidRPr="00BB4743">
              <w:rPr>
                <w:rFonts w:cs="Calibri"/>
                <w:color w:val="auto"/>
                <w:sz w:val="20"/>
                <w:szCs w:val="20"/>
                <w:lang w:eastAsia="en-GB"/>
              </w:rPr>
              <w:t xml:space="preserve">, </w:t>
            </w:r>
            <w:r w:rsidRPr="00BB4743">
              <w:rPr>
                <w:rFonts w:cs="Calibri"/>
                <w:color w:val="auto"/>
                <w:sz w:val="20"/>
                <w:szCs w:val="20"/>
                <w:lang w:eastAsia="en-GB"/>
              </w:rPr>
              <w:t>Pharmacy</w:t>
            </w:r>
          </w:p>
        </w:tc>
      </w:tr>
      <w:tr w:rsidR="0049408A" w:rsidRPr="00E66889" w14:paraId="46B508F1"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536D3B4A" w14:textId="59B6A703" w:rsidR="00171BA4" w:rsidRPr="00BB4743" w:rsidRDefault="00846189">
            <w:pPr>
              <w:rPr>
                <w:rFonts w:cs="Calibri"/>
                <w:b/>
                <w:color w:val="auto"/>
                <w:sz w:val="20"/>
                <w:szCs w:val="20"/>
                <w:lang w:eastAsia="en-GB"/>
              </w:rPr>
            </w:pPr>
            <w:r w:rsidRPr="00BB4743">
              <w:rPr>
                <w:rFonts w:cs="Calibri"/>
                <w:b/>
                <w:color w:val="auto"/>
                <w:sz w:val="20"/>
                <w:szCs w:val="20"/>
                <w:lang w:eastAsia="en-GB"/>
              </w:rPr>
              <w:t>Prof. Kwame Ohene-Buaben</w:t>
            </w:r>
          </w:p>
        </w:tc>
        <w:tc>
          <w:tcPr>
            <w:tcW w:w="0" w:type="dxa"/>
          </w:tcPr>
          <w:p w14:paraId="20886605" w14:textId="58C55F28" w:rsidR="00171BA4" w:rsidRPr="00BB4743" w:rsidRDefault="00846189" w:rsidP="00BB4743">
            <w:pPr>
              <w:rPr>
                <w:rFonts w:cs="Calibri"/>
                <w:color w:val="auto"/>
                <w:sz w:val="20"/>
                <w:szCs w:val="20"/>
                <w:lang w:eastAsia="en-GB"/>
              </w:rPr>
            </w:pPr>
            <w:r w:rsidRPr="00BB4743">
              <w:rPr>
                <w:rFonts w:cs="Calibri"/>
                <w:color w:val="auto"/>
                <w:sz w:val="20"/>
                <w:szCs w:val="20"/>
                <w:lang w:eastAsia="en-GB"/>
              </w:rPr>
              <w:t>Kwame Nkrumah University of Science &amp; Technology</w:t>
            </w:r>
          </w:p>
        </w:tc>
        <w:tc>
          <w:tcPr>
            <w:tcW w:w="0" w:type="dxa"/>
          </w:tcPr>
          <w:p w14:paraId="2BBE8304" w14:textId="7E39CDD2" w:rsidR="00171BA4" w:rsidRPr="00BB4743" w:rsidRDefault="00846189" w:rsidP="00BB4743">
            <w:pPr>
              <w:rPr>
                <w:rFonts w:cs="Calibri"/>
                <w:color w:val="auto"/>
                <w:sz w:val="20"/>
                <w:szCs w:val="20"/>
                <w:lang w:eastAsia="en-GB"/>
              </w:rPr>
            </w:pPr>
            <w:r w:rsidRPr="00BB4743">
              <w:rPr>
                <w:rFonts w:cs="Calibri"/>
                <w:color w:val="auto"/>
                <w:sz w:val="20"/>
                <w:szCs w:val="20"/>
                <w:lang w:eastAsia="en-GB"/>
              </w:rPr>
              <w:t>Vice chair AMR platform</w:t>
            </w:r>
          </w:p>
        </w:tc>
      </w:tr>
      <w:tr w:rsidR="0049408A" w:rsidRPr="00E66889" w14:paraId="66948EBA"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2A24F33F" w14:textId="77777777" w:rsidR="00171BA4" w:rsidRPr="00E66889" w:rsidRDefault="00171BA4" w:rsidP="00041B22">
            <w:pPr>
              <w:rPr>
                <w:rFonts w:cs="Calibri"/>
                <w:color w:val="auto"/>
                <w:sz w:val="20"/>
                <w:szCs w:val="20"/>
              </w:rPr>
            </w:pPr>
            <w:r w:rsidRPr="006911A6">
              <w:rPr>
                <w:rFonts w:cs="Calibri"/>
                <w:color w:val="FFFFFF" w:themeColor="background1"/>
                <w:sz w:val="20"/>
                <w:szCs w:val="20"/>
                <w:lang w:eastAsia="en-GB"/>
              </w:rPr>
              <w:t>Fleming Fund Fellows</w:t>
            </w:r>
          </w:p>
        </w:tc>
      </w:tr>
      <w:tr w:rsidR="0049408A" w:rsidRPr="00E66889" w14:paraId="216256AA"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6C34636A" w14:textId="3E36A891" w:rsidR="00171BA4" w:rsidRPr="00BB4743" w:rsidRDefault="004D6112">
            <w:pPr>
              <w:rPr>
                <w:rFonts w:cs="Calibri"/>
                <w:b/>
                <w:color w:val="auto"/>
                <w:sz w:val="20"/>
                <w:szCs w:val="20"/>
                <w:lang w:eastAsia="en-GB"/>
              </w:rPr>
            </w:pPr>
            <w:r w:rsidRPr="00BB4743">
              <w:rPr>
                <w:rFonts w:cs="Calibri"/>
                <w:b/>
                <w:color w:val="auto"/>
                <w:sz w:val="20"/>
                <w:szCs w:val="20"/>
                <w:lang w:eastAsia="en-GB"/>
              </w:rPr>
              <w:t>Jennifer Bonnah</w:t>
            </w:r>
          </w:p>
        </w:tc>
        <w:tc>
          <w:tcPr>
            <w:tcW w:w="0" w:type="dxa"/>
          </w:tcPr>
          <w:p w14:paraId="30D6BE4A" w14:textId="03E91D4F" w:rsidR="00171BA4" w:rsidRPr="00BB4743" w:rsidRDefault="00DF6E50" w:rsidP="00BB4743">
            <w:pPr>
              <w:rPr>
                <w:rFonts w:cs="Calibri"/>
                <w:color w:val="auto"/>
                <w:sz w:val="20"/>
                <w:szCs w:val="20"/>
                <w:lang w:eastAsia="en-GB"/>
              </w:rPr>
            </w:pPr>
            <w:r w:rsidRPr="00BB4743">
              <w:rPr>
                <w:rFonts w:cs="Calibri"/>
                <w:color w:val="auto"/>
                <w:sz w:val="20"/>
                <w:szCs w:val="20"/>
                <w:lang w:eastAsia="en-GB"/>
              </w:rPr>
              <w:t>Food and Drugs Authority of Ghana</w:t>
            </w:r>
          </w:p>
        </w:tc>
        <w:tc>
          <w:tcPr>
            <w:tcW w:w="0" w:type="dxa"/>
          </w:tcPr>
          <w:p w14:paraId="394EDC33" w14:textId="5D2571DE" w:rsidR="00171BA4" w:rsidRPr="00BB4743" w:rsidRDefault="00DF6E50" w:rsidP="00BB4743">
            <w:pPr>
              <w:rPr>
                <w:rFonts w:cs="Calibri"/>
                <w:color w:val="auto"/>
                <w:sz w:val="20"/>
                <w:szCs w:val="20"/>
                <w:lang w:eastAsia="en-GB"/>
              </w:rPr>
            </w:pPr>
            <w:r w:rsidRPr="00BB4743">
              <w:rPr>
                <w:rFonts w:cs="Calibri"/>
                <w:color w:val="auto"/>
                <w:sz w:val="20"/>
                <w:szCs w:val="20"/>
                <w:lang w:eastAsia="en-GB"/>
              </w:rPr>
              <w:t>Pharmacist</w:t>
            </w:r>
          </w:p>
        </w:tc>
      </w:tr>
      <w:tr w:rsidR="0049408A" w:rsidRPr="00E66889" w14:paraId="2954FD29"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498FB664" w14:textId="77777777" w:rsidR="00171BA4" w:rsidRPr="00E66889" w:rsidRDefault="00171BA4" w:rsidP="00041B22">
            <w:pPr>
              <w:rPr>
                <w:rFonts w:cs="Calibri"/>
                <w:color w:val="auto"/>
                <w:sz w:val="20"/>
                <w:szCs w:val="20"/>
              </w:rPr>
            </w:pPr>
            <w:r w:rsidRPr="006911A6">
              <w:rPr>
                <w:rFonts w:cs="Calibri"/>
                <w:color w:val="FFFFFF" w:themeColor="background1"/>
                <w:sz w:val="20"/>
                <w:szCs w:val="20"/>
                <w:lang w:eastAsia="en-GB"/>
              </w:rPr>
              <w:t>Other decision makers</w:t>
            </w:r>
          </w:p>
        </w:tc>
      </w:tr>
      <w:tr w:rsidR="0049408A" w:rsidRPr="00E66889" w14:paraId="4B31E715"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3C80D7C6" w14:textId="42397FCA" w:rsidR="00171BA4" w:rsidRPr="00E66889" w:rsidRDefault="00EE3BF1">
            <w:pPr>
              <w:rPr>
                <w:rFonts w:cs="Calibri"/>
                <w:b/>
                <w:color w:val="auto"/>
                <w:sz w:val="20"/>
                <w:szCs w:val="20"/>
              </w:rPr>
            </w:pPr>
            <w:r>
              <w:rPr>
                <w:rFonts w:cs="Calibri"/>
                <w:b/>
                <w:color w:val="auto"/>
                <w:sz w:val="20"/>
                <w:szCs w:val="20"/>
              </w:rPr>
              <w:t xml:space="preserve">Dr </w:t>
            </w:r>
            <w:r w:rsidR="00786972" w:rsidRPr="00E66889">
              <w:rPr>
                <w:rFonts w:cs="Calibri"/>
                <w:b/>
                <w:color w:val="auto"/>
                <w:sz w:val="20"/>
                <w:szCs w:val="20"/>
              </w:rPr>
              <w:t>Emmanuel Odame</w:t>
            </w:r>
          </w:p>
        </w:tc>
        <w:tc>
          <w:tcPr>
            <w:tcW w:w="0" w:type="dxa"/>
          </w:tcPr>
          <w:p w14:paraId="35E2A484" w14:textId="0385AA4A" w:rsidR="00171BA4" w:rsidRPr="00E66889" w:rsidRDefault="00786972" w:rsidP="00BB4743">
            <w:pPr>
              <w:rPr>
                <w:rFonts w:cs="Calibri"/>
                <w:color w:val="auto"/>
                <w:sz w:val="20"/>
                <w:szCs w:val="20"/>
              </w:rPr>
            </w:pPr>
            <w:r w:rsidRPr="00E66889">
              <w:rPr>
                <w:rFonts w:cs="Calibri"/>
                <w:color w:val="auto"/>
                <w:sz w:val="20"/>
                <w:szCs w:val="20"/>
              </w:rPr>
              <w:t>Policy Planning, Budgeting, Monitoring and Evaluation Directorate (PPBMED), Ministry of Health</w:t>
            </w:r>
          </w:p>
        </w:tc>
        <w:tc>
          <w:tcPr>
            <w:tcW w:w="0" w:type="dxa"/>
          </w:tcPr>
          <w:p w14:paraId="52CE30C5" w14:textId="48DDE3A0" w:rsidR="00171BA4" w:rsidRPr="00E66889" w:rsidRDefault="00D40DA6" w:rsidP="00BB4743">
            <w:pPr>
              <w:rPr>
                <w:rFonts w:cs="Calibri"/>
                <w:color w:val="auto"/>
                <w:sz w:val="20"/>
                <w:szCs w:val="20"/>
              </w:rPr>
            </w:pPr>
            <w:r w:rsidRPr="00E66889">
              <w:rPr>
                <w:rFonts w:cs="Calibri"/>
                <w:color w:val="auto"/>
                <w:sz w:val="20"/>
                <w:szCs w:val="20"/>
              </w:rPr>
              <w:t>Director of Policy, Planning, Monitoring and Evaluation</w:t>
            </w:r>
          </w:p>
        </w:tc>
      </w:tr>
      <w:tr w:rsidR="0049408A" w:rsidRPr="00E66889" w14:paraId="0B92E2FC"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547AF196" w14:textId="372B2996" w:rsidR="00171BA4" w:rsidRPr="006911A6" w:rsidRDefault="00171BA4" w:rsidP="00041B22">
            <w:pPr>
              <w:rPr>
                <w:rFonts w:cs="Calibri"/>
                <w:sz w:val="20"/>
                <w:szCs w:val="20"/>
              </w:rPr>
            </w:pPr>
            <w:r w:rsidRPr="006911A6">
              <w:rPr>
                <w:rFonts w:cs="Calibri"/>
                <w:color w:val="FFFFFF" w:themeColor="background1"/>
                <w:sz w:val="20"/>
                <w:szCs w:val="20"/>
                <w:lang w:eastAsia="en-GB"/>
              </w:rPr>
              <w:t>Policy Fellows</w:t>
            </w:r>
            <w:r w:rsidR="00680B56" w:rsidRPr="006911A6">
              <w:rPr>
                <w:rFonts w:cs="Calibri"/>
                <w:color w:val="FFFFFF" w:themeColor="background1"/>
                <w:sz w:val="20"/>
                <w:szCs w:val="20"/>
                <w:lang w:eastAsia="en-GB"/>
              </w:rPr>
              <w:t xml:space="preserve"> HH</w:t>
            </w:r>
          </w:p>
        </w:tc>
      </w:tr>
      <w:tr w:rsidR="0049408A" w:rsidRPr="00E66889" w14:paraId="1B7074BB"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shd w:val="clear" w:color="auto" w:fill="auto"/>
          </w:tcPr>
          <w:p w14:paraId="402FDB12" w14:textId="0934E42F" w:rsidR="009F29BA" w:rsidRPr="00BB4743" w:rsidRDefault="009F29BA">
            <w:pPr>
              <w:rPr>
                <w:rFonts w:cs="Calibri"/>
                <w:b/>
                <w:color w:val="auto"/>
                <w:sz w:val="20"/>
                <w:szCs w:val="20"/>
                <w:lang w:eastAsia="en-GB"/>
              </w:rPr>
            </w:pPr>
            <w:r w:rsidRPr="00BB4743">
              <w:rPr>
                <w:rFonts w:cs="Calibri"/>
                <w:b/>
                <w:color w:val="auto"/>
                <w:sz w:val="20"/>
                <w:szCs w:val="20"/>
                <w:lang w:eastAsia="en-GB"/>
              </w:rPr>
              <w:t>Saviour Yevutsey</w:t>
            </w:r>
          </w:p>
        </w:tc>
        <w:tc>
          <w:tcPr>
            <w:tcW w:w="0" w:type="dxa"/>
            <w:shd w:val="clear" w:color="auto" w:fill="auto"/>
          </w:tcPr>
          <w:p w14:paraId="06F409C6" w14:textId="5C16E11E" w:rsidR="009F29BA" w:rsidRPr="00BB4743" w:rsidRDefault="009F29BA" w:rsidP="00BB4743">
            <w:pPr>
              <w:rPr>
                <w:rFonts w:cs="Calibri"/>
                <w:color w:val="auto"/>
                <w:sz w:val="20"/>
                <w:szCs w:val="20"/>
                <w:lang w:eastAsia="en-GB"/>
              </w:rPr>
            </w:pPr>
            <w:r w:rsidRPr="00BB4743">
              <w:rPr>
                <w:rFonts w:cs="Calibri"/>
                <w:color w:val="auto"/>
                <w:sz w:val="20"/>
                <w:szCs w:val="20"/>
                <w:lang w:eastAsia="en-GB"/>
              </w:rPr>
              <w:t>Chief Pharmacist’s Office, Ministry of Health</w:t>
            </w:r>
          </w:p>
        </w:tc>
        <w:tc>
          <w:tcPr>
            <w:tcW w:w="0" w:type="dxa"/>
            <w:shd w:val="clear" w:color="auto" w:fill="auto"/>
          </w:tcPr>
          <w:p w14:paraId="5B27A84D" w14:textId="2A1FEE00" w:rsidR="009F29BA" w:rsidRPr="00BB4743" w:rsidRDefault="00991729" w:rsidP="00BB4743">
            <w:pPr>
              <w:rPr>
                <w:rFonts w:cs="Calibri"/>
                <w:color w:val="auto"/>
                <w:sz w:val="20"/>
                <w:szCs w:val="20"/>
                <w:lang w:eastAsia="en-GB"/>
              </w:rPr>
            </w:pPr>
            <w:r w:rsidRPr="00BB4743">
              <w:rPr>
                <w:rFonts w:cs="Calibri"/>
                <w:color w:val="auto"/>
                <w:sz w:val="20"/>
                <w:szCs w:val="20"/>
                <w:lang w:eastAsia="en-GB"/>
              </w:rPr>
              <w:t>AMR Policy Analysis</w:t>
            </w:r>
          </w:p>
        </w:tc>
      </w:tr>
      <w:tr w:rsidR="0049408A" w:rsidRPr="00E66889" w14:paraId="44CB1C25"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15965F1A" w14:textId="00B33715" w:rsidR="00DC1397" w:rsidRPr="006911A6" w:rsidRDefault="00DC1397" w:rsidP="00041B22">
            <w:pPr>
              <w:rPr>
                <w:rFonts w:cs="Calibri"/>
                <w:color w:val="000000"/>
                <w:sz w:val="20"/>
                <w:szCs w:val="20"/>
                <w:lang w:eastAsia="en-GB"/>
              </w:rPr>
            </w:pPr>
            <w:r w:rsidRPr="006911A6">
              <w:rPr>
                <w:rFonts w:cs="Calibri"/>
                <w:color w:val="FFFFFF" w:themeColor="background1"/>
                <w:sz w:val="20"/>
                <w:szCs w:val="20"/>
                <w:lang w:eastAsia="en-GB"/>
              </w:rPr>
              <w:t>Policy Fellows AH</w:t>
            </w:r>
          </w:p>
        </w:tc>
      </w:tr>
      <w:tr w:rsidR="0049408A" w:rsidRPr="00E66889" w14:paraId="6182EBAB"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shd w:val="clear" w:color="auto" w:fill="auto"/>
          </w:tcPr>
          <w:p w14:paraId="26D14B41" w14:textId="3B76496D" w:rsidR="00304110" w:rsidRPr="00BB4743" w:rsidRDefault="00DC1397">
            <w:pPr>
              <w:rPr>
                <w:rFonts w:cs="Calibri"/>
                <w:b/>
                <w:color w:val="auto"/>
                <w:sz w:val="20"/>
                <w:szCs w:val="20"/>
                <w:lang w:eastAsia="en-GB"/>
              </w:rPr>
            </w:pPr>
            <w:r w:rsidRPr="00BB4743">
              <w:rPr>
                <w:rFonts w:cs="Calibri"/>
                <w:b/>
                <w:color w:val="auto"/>
                <w:sz w:val="20"/>
                <w:szCs w:val="20"/>
                <w:lang w:eastAsia="en-GB"/>
              </w:rPr>
              <w:t>William Kumah Adu</w:t>
            </w:r>
          </w:p>
        </w:tc>
        <w:tc>
          <w:tcPr>
            <w:tcW w:w="0" w:type="dxa"/>
            <w:shd w:val="clear" w:color="auto" w:fill="auto"/>
          </w:tcPr>
          <w:p w14:paraId="4640B303" w14:textId="34A07A97" w:rsidR="00304110" w:rsidRPr="00BB4743" w:rsidRDefault="00DC1397" w:rsidP="00BB4743">
            <w:pPr>
              <w:rPr>
                <w:rFonts w:cs="Calibri"/>
                <w:color w:val="auto"/>
                <w:sz w:val="20"/>
                <w:szCs w:val="20"/>
                <w:lang w:eastAsia="en-GB"/>
              </w:rPr>
            </w:pPr>
            <w:r w:rsidRPr="00BB4743">
              <w:rPr>
                <w:rFonts w:cs="Calibri"/>
                <w:color w:val="auto"/>
                <w:sz w:val="20"/>
                <w:szCs w:val="20"/>
                <w:lang w:eastAsia="en-GB"/>
              </w:rPr>
              <w:t>Director, Veterinary Services Directorate</w:t>
            </w:r>
          </w:p>
        </w:tc>
        <w:tc>
          <w:tcPr>
            <w:tcW w:w="0" w:type="dxa"/>
            <w:shd w:val="clear" w:color="auto" w:fill="auto"/>
          </w:tcPr>
          <w:p w14:paraId="3B204EFC" w14:textId="7FE5C74D" w:rsidR="00304110" w:rsidRPr="00BB4743" w:rsidRDefault="00DC1397" w:rsidP="00BB4743">
            <w:pPr>
              <w:rPr>
                <w:rFonts w:cs="Calibri"/>
                <w:color w:val="auto"/>
                <w:sz w:val="20"/>
                <w:szCs w:val="20"/>
                <w:lang w:eastAsia="en-GB"/>
              </w:rPr>
            </w:pPr>
            <w:r w:rsidRPr="00BB4743">
              <w:rPr>
                <w:rFonts w:cs="Calibri"/>
                <w:color w:val="auto"/>
                <w:sz w:val="20"/>
                <w:szCs w:val="20"/>
                <w:lang w:eastAsia="en-GB"/>
              </w:rPr>
              <w:t>AMR Advocacy &amp; Resource Mobilization</w:t>
            </w:r>
          </w:p>
        </w:tc>
      </w:tr>
      <w:tr w:rsidR="0049408A" w:rsidRPr="00E66889" w14:paraId="23A7D05C"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6D77B000" w14:textId="3FC33D0C" w:rsidR="00BB476F" w:rsidRPr="006911A6" w:rsidRDefault="00585440" w:rsidP="00041B22">
            <w:pPr>
              <w:rPr>
                <w:rFonts w:cs="Calibri"/>
                <w:color w:val="000000"/>
                <w:sz w:val="20"/>
                <w:szCs w:val="20"/>
                <w:lang w:eastAsia="en-GB"/>
              </w:rPr>
            </w:pPr>
            <w:r w:rsidRPr="006911A6">
              <w:rPr>
                <w:rFonts w:cs="Calibri"/>
                <w:color w:val="FFFFFF" w:themeColor="background1"/>
                <w:sz w:val="20"/>
                <w:szCs w:val="20"/>
                <w:lang w:eastAsia="en-GB"/>
              </w:rPr>
              <w:t>Professional Fellows HH</w:t>
            </w:r>
          </w:p>
        </w:tc>
      </w:tr>
      <w:tr w:rsidR="0049408A" w:rsidRPr="00E66889" w14:paraId="430D190E"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shd w:val="clear" w:color="auto" w:fill="auto"/>
          </w:tcPr>
          <w:p w14:paraId="46902466" w14:textId="7536FCA3" w:rsidR="00BB476F" w:rsidRPr="00BB4743" w:rsidRDefault="6751924C" w:rsidP="26ECD1FF">
            <w:pPr>
              <w:spacing w:line="259" w:lineRule="auto"/>
              <w:rPr>
                <w:rFonts w:cs="Calibri"/>
                <w:b/>
                <w:color w:val="auto"/>
                <w:sz w:val="20"/>
                <w:szCs w:val="20"/>
                <w:lang w:eastAsia="en-GB"/>
              </w:rPr>
            </w:pPr>
            <w:r w:rsidRPr="00BB4743">
              <w:rPr>
                <w:rFonts w:cs="Calibri"/>
                <w:b/>
                <w:color w:val="auto"/>
                <w:sz w:val="20"/>
                <w:szCs w:val="20"/>
                <w:lang w:eastAsia="en-GB"/>
              </w:rPr>
              <w:t>Brian Adu Asare</w:t>
            </w:r>
          </w:p>
        </w:tc>
        <w:tc>
          <w:tcPr>
            <w:tcW w:w="0" w:type="dxa"/>
            <w:shd w:val="clear" w:color="auto" w:fill="auto"/>
          </w:tcPr>
          <w:p w14:paraId="22D14AAD" w14:textId="08DE3C29" w:rsidR="00BB476F" w:rsidRPr="00BB4743" w:rsidRDefault="6751924C" w:rsidP="00BB4743">
            <w:pPr>
              <w:rPr>
                <w:rFonts w:cs="Calibri"/>
                <w:color w:val="auto"/>
                <w:sz w:val="20"/>
                <w:szCs w:val="20"/>
                <w:lang w:eastAsia="en-GB"/>
              </w:rPr>
            </w:pPr>
            <w:r w:rsidRPr="00BB4743">
              <w:rPr>
                <w:rFonts w:cs="Calibri"/>
                <w:color w:val="auto"/>
                <w:sz w:val="20"/>
                <w:szCs w:val="20"/>
                <w:lang w:eastAsia="en-GB"/>
              </w:rPr>
              <w:t>Ministry of Health</w:t>
            </w:r>
          </w:p>
        </w:tc>
        <w:tc>
          <w:tcPr>
            <w:tcW w:w="0" w:type="dxa"/>
            <w:shd w:val="clear" w:color="auto" w:fill="auto"/>
          </w:tcPr>
          <w:p w14:paraId="24F4166D" w14:textId="544932E2" w:rsidR="00BB476F" w:rsidRPr="00BB4743" w:rsidRDefault="0E391810" w:rsidP="00BB4743">
            <w:pPr>
              <w:spacing w:line="259" w:lineRule="auto"/>
              <w:rPr>
                <w:rFonts w:cs="Calibri"/>
                <w:color w:val="auto"/>
                <w:sz w:val="20"/>
                <w:szCs w:val="20"/>
                <w:lang w:eastAsia="en-GB"/>
              </w:rPr>
            </w:pPr>
            <w:r w:rsidRPr="00BB4743">
              <w:rPr>
                <w:rFonts w:cs="Calibri"/>
                <w:color w:val="auto"/>
                <w:sz w:val="20"/>
                <w:szCs w:val="20"/>
                <w:lang w:eastAsia="en-GB"/>
              </w:rPr>
              <w:t>AMR Health Informatics</w:t>
            </w:r>
            <w:r w:rsidR="0381E7B3" w:rsidRPr="00BB4743">
              <w:rPr>
                <w:rFonts w:cs="Calibri"/>
                <w:color w:val="auto"/>
                <w:sz w:val="20"/>
                <w:szCs w:val="20"/>
                <w:lang w:eastAsia="en-GB"/>
              </w:rPr>
              <w:t xml:space="preserve"> HH Fellow</w:t>
            </w:r>
          </w:p>
        </w:tc>
      </w:tr>
      <w:tr w:rsidR="0049408A" w:rsidRPr="00E66889" w14:paraId="16E0B835"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7D8FF616" w14:textId="53606EC4" w:rsidR="00AD6EFD" w:rsidRPr="006911A6" w:rsidRDefault="00AD6EFD" w:rsidP="00041B22">
            <w:pPr>
              <w:rPr>
                <w:rFonts w:cs="Calibri"/>
                <w:color w:val="FFFFFF" w:themeColor="background1"/>
                <w:sz w:val="20"/>
                <w:szCs w:val="20"/>
                <w:lang w:eastAsia="en-GB"/>
              </w:rPr>
            </w:pPr>
            <w:r w:rsidRPr="006911A6">
              <w:rPr>
                <w:rFonts w:cs="Calibri"/>
                <w:color w:val="FFFFFF" w:themeColor="background1"/>
                <w:sz w:val="20"/>
                <w:szCs w:val="20"/>
                <w:lang w:eastAsia="en-GB"/>
              </w:rPr>
              <w:t xml:space="preserve">Professional Fellows </w:t>
            </w:r>
            <w:r w:rsidR="006B4B65" w:rsidRPr="006911A6">
              <w:rPr>
                <w:rFonts w:cs="Calibri"/>
                <w:color w:val="FFFFFF" w:themeColor="background1"/>
                <w:sz w:val="20"/>
                <w:szCs w:val="20"/>
                <w:lang w:eastAsia="en-GB"/>
              </w:rPr>
              <w:t>AH</w:t>
            </w:r>
          </w:p>
        </w:tc>
      </w:tr>
      <w:tr w:rsidR="0049408A" w:rsidRPr="00E66889" w14:paraId="0AD9FA37"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1D1A88B5" w14:textId="4671F660" w:rsidR="00171BA4" w:rsidRPr="00BB4743" w:rsidRDefault="006B4B65">
            <w:pPr>
              <w:rPr>
                <w:rFonts w:cs="Calibri"/>
                <w:b/>
                <w:color w:val="auto"/>
                <w:sz w:val="20"/>
                <w:szCs w:val="20"/>
                <w:lang w:eastAsia="en-GB"/>
              </w:rPr>
            </w:pPr>
            <w:r w:rsidRPr="00BB4743">
              <w:rPr>
                <w:rFonts w:cs="Calibri"/>
                <w:b/>
                <w:color w:val="auto"/>
                <w:sz w:val="20"/>
                <w:szCs w:val="20"/>
                <w:lang w:eastAsia="en-GB"/>
              </w:rPr>
              <w:t>Victoria Sedor</w:t>
            </w:r>
          </w:p>
        </w:tc>
        <w:tc>
          <w:tcPr>
            <w:tcW w:w="0" w:type="dxa"/>
          </w:tcPr>
          <w:p w14:paraId="1DFB5336" w14:textId="14A56333" w:rsidR="00171BA4" w:rsidRPr="00BB4743" w:rsidRDefault="00184A64" w:rsidP="00BB4743">
            <w:pPr>
              <w:rPr>
                <w:rFonts w:cs="Calibri"/>
                <w:color w:val="auto"/>
                <w:sz w:val="20"/>
                <w:szCs w:val="20"/>
                <w:lang w:eastAsia="en-GB"/>
              </w:rPr>
            </w:pPr>
            <w:r w:rsidRPr="00184A64">
              <w:rPr>
                <w:rFonts w:cs="Calibri"/>
                <w:color w:val="auto"/>
                <w:sz w:val="20"/>
                <w:szCs w:val="20"/>
                <w:lang w:eastAsia="en-GB"/>
              </w:rPr>
              <w:t>National Food Safety Laboratory</w:t>
            </w:r>
          </w:p>
        </w:tc>
        <w:tc>
          <w:tcPr>
            <w:tcW w:w="0" w:type="dxa"/>
          </w:tcPr>
          <w:p w14:paraId="4DB3EEB8" w14:textId="5668B47D" w:rsidR="00171BA4" w:rsidRPr="00BB4743" w:rsidRDefault="00D770D4" w:rsidP="00BB4743">
            <w:pPr>
              <w:rPr>
                <w:rFonts w:cs="Calibri"/>
                <w:color w:val="auto"/>
                <w:sz w:val="20"/>
                <w:szCs w:val="20"/>
              </w:rPr>
            </w:pPr>
            <w:r>
              <w:rPr>
                <w:rFonts w:cs="Calibri"/>
                <w:color w:val="auto"/>
                <w:sz w:val="20"/>
                <w:szCs w:val="20"/>
              </w:rPr>
              <w:t xml:space="preserve">Laboratory </w:t>
            </w:r>
            <w:r w:rsidR="004D6112" w:rsidRPr="00BB4743">
              <w:rPr>
                <w:rFonts w:cs="Calibri"/>
                <w:sz w:val="20"/>
                <w:szCs w:val="20"/>
              </w:rPr>
              <w:t>technician</w:t>
            </w:r>
          </w:p>
        </w:tc>
      </w:tr>
      <w:tr w:rsidR="00BD7C90" w:rsidRPr="00BD7C90" w14:paraId="08617D06"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78E3B33F" w14:textId="130AE4E1" w:rsidR="063F8166" w:rsidRPr="00BD7C90" w:rsidRDefault="063F8166" w:rsidP="26ECD1FF">
            <w:pPr>
              <w:rPr>
                <w:rFonts w:cs="Calibri"/>
                <w:b/>
                <w:bCs/>
                <w:color w:val="auto"/>
                <w:sz w:val="20"/>
                <w:szCs w:val="20"/>
                <w:lang w:eastAsia="en-GB"/>
              </w:rPr>
            </w:pPr>
            <w:r w:rsidRPr="00BD7C90">
              <w:rPr>
                <w:rFonts w:cs="Calibri"/>
                <w:b/>
                <w:bCs/>
                <w:color w:val="auto"/>
                <w:sz w:val="20"/>
                <w:szCs w:val="20"/>
                <w:lang w:eastAsia="en-GB"/>
              </w:rPr>
              <w:t>Dr Bashiru Boi Kikimoto</w:t>
            </w:r>
          </w:p>
        </w:tc>
        <w:tc>
          <w:tcPr>
            <w:tcW w:w="0" w:type="dxa"/>
          </w:tcPr>
          <w:p w14:paraId="4CDB0AEB" w14:textId="3D289090" w:rsidR="12731294" w:rsidRPr="00BD7C90" w:rsidRDefault="12731294" w:rsidP="00BB4743">
            <w:pPr>
              <w:spacing w:line="259" w:lineRule="auto"/>
              <w:rPr>
                <w:rFonts w:cs="Calibri"/>
                <w:color w:val="auto"/>
                <w:sz w:val="20"/>
                <w:szCs w:val="20"/>
                <w:lang w:eastAsia="en-GB"/>
              </w:rPr>
            </w:pPr>
            <w:r w:rsidRPr="00BD7C90">
              <w:rPr>
                <w:rFonts w:cs="Calibri"/>
                <w:color w:val="auto"/>
                <w:sz w:val="20"/>
                <w:szCs w:val="20"/>
                <w:lang w:eastAsia="en-GB"/>
              </w:rPr>
              <w:t>Ministry of Agriculture, Directorate of Veterinary Services</w:t>
            </w:r>
          </w:p>
        </w:tc>
        <w:tc>
          <w:tcPr>
            <w:tcW w:w="0" w:type="dxa"/>
          </w:tcPr>
          <w:p w14:paraId="7F8A909C" w14:textId="19A4815D" w:rsidR="12731294" w:rsidRPr="00BD7C90" w:rsidRDefault="12731294" w:rsidP="00BB4743">
            <w:pPr>
              <w:spacing w:line="259" w:lineRule="auto"/>
              <w:rPr>
                <w:rFonts w:cs="Calibri"/>
                <w:color w:val="auto"/>
                <w:sz w:val="20"/>
                <w:szCs w:val="20"/>
                <w:lang w:eastAsia="en-GB"/>
              </w:rPr>
            </w:pPr>
            <w:r w:rsidRPr="00BD7C90">
              <w:rPr>
                <w:rFonts w:cs="Calibri"/>
                <w:color w:val="auto"/>
                <w:sz w:val="20"/>
                <w:szCs w:val="20"/>
                <w:lang w:eastAsia="en-GB"/>
              </w:rPr>
              <w:t>AMU/C Surveillance AH Fellow</w:t>
            </w:r>
          </w:p>
        </w:tc>
      </w:tr>
      <w:tr w:rsidR="0049408A" w:rsidRPr="00E66889" w14:paraId="46EBE488"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gridSpan w:val="3"/>
            <w:shd w:val="clear" w:color="auto" w:fill="96C286" w:themeFill="text2" w:themeFillTint="99"/>
          </w:tcPr>
          <w:p w14:paraId="53F7079D" w14:textId="40B9C64B" w:rsidR="003832EB" w:rsidRPr="006911A6" w:rsidRDefault="003832EB" w:rsidP="00041B22">
            <w:pPr>
              <w:rPr>
                <w:rFonts w:cs="Calibri"/>
                <w:color w:val="FFFFFF" w:themeColor="background1"/>
                <w:sz w:val="20"/>
                <w:szCs w:val="20"/>
                <w:lang w:eastAsia="en-GB"/>
              </w:rPr>
            </w:pPr>
            <w:r w:rsidRPr="006911A6">
              <w:rPr>
                <w:rFonts w:cs="Calibri"/>
                <w:color w:val="FFFFFF" w:themeColor="background1"/>
                <w:sz w:val="20"/>
                <w:szCs w:val="20"/>
                <w:lang w:eastAsia="en-GB"/>
              </w:rPr>
              <w:t>Professional Fellow Aquaculture</w:t>
            </w:r>
          </w:p>
        </w:tc>
      </w:tr>
      <w:tr w:rsidR="0049408A" w:rsidRPr="00E66889" w14:paraId="4377F333"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19D75250" w14:textId="7B82D7AB" w:rsidR="003832EB" w:rsidRPr="00BB4743" w:rsidRDefault="001B7627">
            <w:pPr>
              <w:rPr>
                <w:rFonts w:cs="Calibri"/>
                <w:b/>
                <w:color w:val="auto"/>
                <w:sz w:val="20"/>
                <w:szCs w:val="20"/>
                <w:lang w:eastAsia="en-GB"/>
              </w:rPr>
            </w:pPr>
            <w:r w:rsidRPr="00BB4743">
              <w:rPr>
                <w:rFonts w:cs="Calibri"/>
                <w:b/>
                <w:color w:val="auto"/>
                <w:sz w:val="20"/>
                <w:szCs w:val="20"/>
                <w:lang w:eastAsia="en-GB"/>
              </w:rPr>
              <w:t>Eric Sawyerr</w:t>
            </w:r>
          </w:p>
        </w:tc>
        <w:tc>
          <w:tcPr>
            <w:tcW w:w="0" w:type="dxa"/>
          </w:tcPr>
          <w:p w14:paraId="747D8DCB" w14:textId="0CF7B3A5" w:rsidR="003832EB" w:rsidRPr="00BB4743" w:rsidRDefault="001B7627" w:rsidP="00BB4743">
            <w:pPr>
              <w:spacing w:line="259" w:lineRule="auto"/>
              <w:rPr>
                <w:rFonts w:cs="Calibri"/>
                <w:color w:val="auto"/>
                <w:sz w:val="20"/>
                <w:szCs w:val="20"/>
                <w:lang w:eastAsia="en-GB"/>
              </w:rPr>
            </w:pPr>
            <w:r w:rsidRPr="00BB4743">
              <w:rPr>
                <w:rFonts w:cs="Calibri"/>
                <w:color w:val="auto"/>
                <w:sz w:val="20"/>
                <w:szCs w:val="20"/>
                <w:lang w:eastAsia="en-GB"/>
              </w:rPr>
              <w:t>Ministry of Fisheries and Aquaculture Development</w:t>
            </w:r>
          </w:p>
        </w:tc>
        <w:tc>
          <w:tcPr>
            <w:tcW w:w="0" w:type="dxa"/>
          </w:tcPr>
          <w:p w14:paraId="0FB59092" w14:textId="559EF914" w:rsidR="003832EB" w:rsidRPr="00BB4743" w:rsidRDefault="6C871C5C" w:rsidP="00BB4743">
            <w:pPr>
              <w:spacing w:line="259" w:lineRule="auto"/>
              <w:rPr>
                <w:rFonts w:cs="Calibri"/>
                <w:color w:val="auto"/>
                <w:sz w:val="20"/>
                <w:szCs w:val="20"/>
                <w:lang w:eastAsia="en-GB"/>
              </w:rPr>
            </w:pPr>
            <w:r w:rsidRPr="00BB4743">
              <w:rPr>
                <w:rFonts w:cs="Calibri"/>
                <w:color w:val="auto"/>
                <w:sz w:val="20"/>
                <w:szCs w:val="20"/>
                <w:lang w:eastAsia="en-GB"/>
              </w:rPr>
              <w:t>Head, National Food Safet</w:t>
            </w:r>
            <w:r w:rsidR="0E457941" w:rsidRPr="00BB4743">
              <w:rPr>
                <w:rFonts w:cs="Calibri"/>
                <w:color w:val="auto"/>
                <w:sz w:val="20"/>
                <w:szCs w:val="20"/>
                <w:lang w:eastAsia="en-GB"/>
              </w:rPr>
              <w:t>y</w:t>
            </w:r>
            <w:r w:rsidRPr="00BB4743">
              <w:rPr>
                <w:rFonts w:cs="Calibri"/>
                <w:color w:val="auto"/>
                <w:sz w:val="20"/>
                <w:szCs w:val="20"/>
                <w:lang w:eastAsia="en-GB"/>
              </w:rPr>
              <w:t xml:space="preserve"> Laboratory</w:t>
            </w:r>
          </w:p>
        </w:tc>
      </w:tr>
      <w:tr w:rsidR="0049408A" w:rsidRPr="006C2954" w14:paraId="05319CF3"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gridSpan w:val="3"/>
            <w:shd w:val="clear" w:color="auto" w:fill="96C286" w:themeFill="text2" w:themeFillTint="99"/>
          </w:tcPr>
          <w:p w14:paraId="6760BCA3" w14:textId="44140F6C" w:rsidR="00171BA4" w:rsidRPr="006911A6" w:rsidRDefault="59E1F0CD" w:rsidP="00041B22">
            <w:pPr>
              <w:rPr>
                <w:rFonts w:cs="Calibri"/>
                <w:color w:val="FFFFFF" w:themeColor="background1"/>
                <w:sz w:val="20"/>
                <w:szCs w:val="20"/>
              </w:rPr>
            </w:pPr>
            <w:r w:rsidRPr="006911A6">
              <w:rPr>
                <w:rFonts w:cs="Calibri"/>
                <w:color w:val="FFFFFF" w:themeColor="background1"/>
                <w:sz w:val="20"/>
                <w:szCs w:val="20"/>
              </w:rPr>
              <w:t>AMR Focal Point</w:t>
            </w:r>
          </w:p>
        </w:tc>
      </w:tr>
      <w:tr w:rsidR="00BD7C90" w:rsidRPr="00BD7C90" w14:paraId="73A70BD5"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5B5EC0AF" w14:textId="1C0EA380" w:rsidR="00171BA4" w:rsidRPr="00BD7C90" w:rsidRDefault="005F2F77">
            <w:pPr>
              <w:rPr>
                <w:rFonts w:cs="Calibri"/>
                <w:b/>
                <w:color w:val="auto"/>
                <w:sz w:val="20"/>
                <w:szCs w:val="20"/>
                <w:lang w:eastAsia="en-GB"/>
              </w:rPr>
            </w:pPr>
            <w:r w:rsidRPr="00BD7C90">
              <w:rPr>
                <w:rFonts w:cs="Calibri"/>
                <w:b/>
                <w:color w:val="auto"/>
                <w:sz w:val="20"/>
                <w:szCs w:val="20"/>
                <w:lang w:eastAsia="en-GB"/>
              </w:rPr>
              <w:t>Dr Bashiru Boi Kikimoto</w:t>
            </w:r>
            <w:r w:rsidR="2DC93EB1" w:rsidRPr="00BD7C90">
              <w:rPr>
                <w:rFonts w:cs="Calibri"/>
                <w:b/>
                <w:bCs/>
                <w:color w:val="auto"/>
                <w:sz w:val="20"/>
                <w:szCs w:val="20"/>
                <w:lang w:eastAsia="en-GB"/>
              </w:rPr>
              <w:t>*</w:t>
            </w:r>
          </w:p>
        </w:tc>
        <w:tc>
          <w:tcPr>
            <w:tcW w:w="0" w:type="dxa"/>
          </w:tcPr>
          <w:p w14:paraId="5D12F26F" w14:textId="6F6AAB8A" w:rsidR="00171BA4" w:rsidRPr="00BD7C90" w:rsidRDefault="72018C31" w:rsidP="00BB4743">
            <w:pPr>
              <w:spacing w:line="259" w:lineRule="auto"/>
              <w:rPr>
                <w:rFonts w:cs="Calibri"/>
                <w:color w:val="auto"/>
                <w:sz w:val="20"/>
                <w:szCs w:val="20"/>
                <w:lang w:eastAsia="en-GB"/>
              </w:rPr>
            </w:pPr>
            <w:r w:rsidRPr="00BD7C90">
              <w:rPr>
                <w:rFonts w:cs="Calibri"/>
                <w:color w:val="auto"/>
                <w:sz w:val="20"/>
                <w:szCs w:val="20"/>
                <w:lang w:eastAsia="en-GB"/>
              </w:rPr>
              <w:t>Ministry of Agriculture, Directorate of Veterinary Services</w:t>
            </w:r>
          </w:p>
        </w:tc>
        <w:tc>
          <w:tcPr>
            <w:tcW w:w="0" w:type="dxa"/>
          </w:tcPr>
          <w:p w14:paraId="3AEB65A4" w14:textId="27A88D02" w:rsidR="00171BA4" w:rsidRPr="00BD7C90" w:rsidRDefault="17C8FDEE" w:rsidP="00BB4743">
            <w:pPr>
              <w:spacing w:line="259" w:lineRule="auto"/>
              <w:rPr>
                <w:rFonts w:cs="Calibri"/>
                <w:color w:val="auto"/>
                <w:sz w:val="20"/>
                <w:szCs w:val="20"/>
                <w:lang w:eastAsia="en-GB"/>
              </w:rPr>
            </w:pPr>
            <w:r w:rsidRPr="00BD7C90">
              <w:rPr>
                <w:rFonts w:cs="Calibri"/>
                <w:color w:val="auto"/>
                <w:sz w:val="20"/>
                <w:szCs w:val="20"/>
                <w:lang w:eastAsia="en-GB"/>
              </w:rPr>
              <w:t>AMU/C Surveillance AH Fellow</w:t>
            </w:r>
          </w:p>
        </w:tc>
      </w:tr>
      <w:tr w:rsidR="0049408A" w:rsidRPr="006C2954" w14:paraId="7F274CE8"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gridSpan w:val="3"/>
            <w:shd w:val="clear" w:color="auto" w:fill="96C286" w:themeFill="text2" w:themeFillTint="99"/>
          </w:tcPr>
          <w:p w14:paraId="64B14169" w14:textId="77777777" w:rsidR="00171BA4" w:rsidRPr="006911A6" w:rsidRDefault="00171BA4" w:rsidP="00041B22">
            <w:pPr>
              <w:rPr>
                <w:rFonts w:cs="Calibri"/>
                <w:color w:val="FFFFFF" w:themeColor="background1"/>
                <w:sz w:val="20"/>
                <w:szCs w:val="20"/>
              </w:rPr>
            </w:pPr>
            <w:r w:rsidRPr="006911A6">
              <w:rPr>
                <w:rFonts w:cs="Calibri"/>
                <w:color w:val="FFFFFF" w:themeColor="background1"/>
                <w:sz w:val="20"/>
                <w:szCs w:val="20"/>
              </w:rPr>
              <w:t>Development Partners/ Academia</w:t>
            </w:r>
          </w:p>
        </w:tc>
      </w:tr>
      <w:tr w:rsidR="00BD7C90" w:rsidRPr="00BD7C90" w14:paraId="27BB681B"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21BE5279" w14:textId="57F5D1E7" w:rsidR="00171BA4" w:rsidRPr="00BD7C90" w:rsidRDefault="00F31DB6" w:rsidP="00F31DB6">
            <w:pPr>
              <w:tabs>
                <w:tab w:val="left" w:pos="992"/>
              </w:tabs>
              <w:rPr>
                <w:rFonts w:cs="Calibri"/>
                <w:b/>
                <w:color w:val="auto"/>
                <w:sz w:val="20"/>
                <w:szCs w:val="20"/>
                <w:lang w:eastAsia="en-GB"/>
              </w:rPr>
            </w:pPr>
            <w:r w:rsidRPr="00BD7C90">
              <w:rPr>
                <w:rFonts w:cs="Calibri"/>
                <w:b/>
                <w:color w:val="auto"/>
                <w:sz w:val="20"/>
                <w:szCs w:val="20"/>
                <w:lang w:eastAsia="en-GB"/>
              </w:rPr>
              <w:t>Uzoamaka Gilpin</w:t>
            </w:r>
          </w:p>
        </w:tc>
        <w:tc>
          <w:tcPr>
            <w:tcW w:w="0" w:type="dxa"/>
          </w:tcPr>
          <w:p w14:paraId="1D6EBEE8" w14:textId="588196DF" w:rsidR="00171BA4" w:rsidRPr="00BD7C90" w:rsidRDefault="00F31DB6" w:rsidP="00BB4743">
            <w:pPr>
              <w:spacing w:line="259" w:lineRule="auto"/>
              <w:rPr>
                <w:rFonts w:cs="Calibri"/>
                <w:color w:val="auto"/>
                <w:sz w:val="20"/>
                <w:szCs w:val="20"/>
                <w:lang w:eastAsia="en-GB"/>
              </w:rPr>
            </w:pPr>
            <w:r w:rsidRPr="00BD7C90">
              <w:rPr>
                <w:rFonts w:cs="Calibri"/>
                <w:color w:val="auto"/>
                <w:sz w:val="20"/>
                <w:szCs w:val="20"/>
                <w:lang w:eastAsia="en-GB"/>
              </w:rPr>
              <w:t>FCDO</w:t>
            </w:r>
          </w:p>
        </w:tc>
        <w:tc>
          <w:tcPr>
            <w:tcW w:w="0" w:type="dxa"/>
          </w:tcPr>
          <w:p w14:paraId="3C9E80AE" w14:textId="7AE5FA0E" w:rsidR="00171BA4" w:rsidRPr="00BD7C90" w:rsidRDefault="00F31DB6" w:rsidP="00BB4743">
            <w:pPr>
              <w:spacing w:line="259" w:lineRule="auto"/>
              <w:rPr>
                <w:rFonts w:cs="Calibri"/>
                <w:color w:val="auto"/>
                <w:sz w:val="20"/>
                <w:szCs w:val="20"/>
                <w:lang w:eastAsia="en-GB"/>
              </w:rPr>
            </w:pPr>
            <w:r w:rsidRPr="00BD7C90">
              <w:rPr>
                <w:rFonts w:cs="Calibri"/>
                <w:color w:val="auto"/>
                <w:sz w:val="20"/>
                <w:szCs w:val="20"/>
                <w:lang w:eastAsia="en-GB"/>
              </w:rPr>
              <w:t>Health Adviser</w:t>
            </w:r>
          </w:p>
        </w:tc>
      </w:tr>
      <w:tr w:rsidR="00BD7C90" w:rsidRPr="00BD7C90" w14:paraId="23E10AF6"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5B95A5EE" w14:textId="08915BE6" w:rsidR="00171BA4" w:rsidRPr="00BD7C90" w:rsidRDefault="00505C63">
            <w:pPr>
              <w:rPr>
                <w:rFonts w:cs="Calibri"/>
                <w:b/>
                <w:color w:val="auto"/>
                <w:sz w:val="20"/>
                <w:szCs w:val="20"/>
                <w:lang w:eastAsia="en-GB"/>
              </w:rPr>
            </w:pPr>
            <w:r w:rsidRPr="00BD7C90">
              <w:rPr>
                <w:rFonts w:cs="Calibri"/>
                <w:b/>
                <w:color w:val="auto"/>
                <w:sz w:val="20"/>
                <w:szCs w:val="20"/>
                <w:lang w:eastAsia="en-GB"/>
              </w:rPr>
              <w:t>Shamwill Issah</w:t>
            </w:r>
          </w:p>
        </w:tc>
        <w:tc>
          <w:tcPr>
            <w:tcW w:w="0" w:type="dxa"/>
          </w:tcPr>
          <w:p w14:paraId="170B784D" w14:textId="49DCEB9F" w:rsidR="00171BA4" w:rsidRPr="00BD7C90" w:rsidRDefault="00505C63" w:rsidP="00BB4743">
            <w:pPr>
              <w:spacing w:line="259" w:lineRule="auto"/>
              <w:rPr>
                <w:rFonts w:cs="Calibri"/>
                <w:color w:val="auto"/>
                <w:sz w:val="20"/>
                <w:szCs w:val="20"/>
                <w:lang w:eastAsia="en-GB"/>
              </w:rPr>
            </w:pPr>
            <w:r w:rsidRPr="00BD7C90">
              <w:rPr>
                <w:rFonts w:cs="Calibri"/>
                <w:color w:val="auto"/>
                <w:sz w:val="20"/>
                <w:szCs w:val="20"/>
                <w:lang w:eastAsia="en-GB"/>
              </w:rPr>
              <w:t>FCDO</w:t>
            </w:r>
          </w:p>
        </w:tc>
        <w:tc>
          <w:tcPr>
            <w:tcW w:w="0" w:type="dxa"/>
          </w:tcPr>
          <w:p w14:paraId="2E12D779" w14:textId="52B46CD7" w:rsidR="00171BA4" w:rsidRPr="00BD7C90" w:rsidRDefault="739A2EE9" w:rsidP="00BB4743">
            <w:pPr>
              <w:spacing w:line="259" w:lineRule="auto"/>
              <w:rPr>
                <w:rFonts w:cs="Calibri"/>
                <w:color w:val="auto"/>
                <w:sz w:val="20"/>
                <w:szCs w:val="20"/>
                <w:lang w:eastAsia="en-GB"/>
              </w:rPr>
            </w:pPr>
            <w:r w:rsidRPr="00BD7C90">
              <w:rPr>
                <w:rFonts w:cs="Calibri"/>
                <w:color w:val="auto"/>
                <w:sz w:val="20"/>
                <w:szCs w:val="20"/>
                <w:lang w:eastAsia="en-GB"/>
              </w:rPr>
              <w:t>Health Adviser</w:t>
            </w:r>
          </w:p>
        </w:tc>
      </w:tr>
      <w:tr w:rsidR="00BD7C90" w:rsidRPr="00BD7C90" w14:paraId="437F12F2"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0B6E3638" w14:textId="37079BD9" w:rsidR="00171BA4" w:rsidRPr="00BD7C90" w:rsidRDefault="00505C63">
            <w:pPr>
              <w:rPr>
                <w:rFonts w:cs="Calibri"/>
                <w:b/>
                <w:color w:val="auto"/>
                <w:sz w:val="20"/>
                <w:szCs w:val="20"/>
                <w:lang w:eastAsia="en-GB"/>
              </w:rPr>
            </w:pPr>
            <w:r w:rsidRPr="00BD7C90">
              <w:rPr>
                <w:rFonts w:cs="Calibri"/>
                <w:b/>
                <w:color w:val="auto"/>
                <w:sz w:val="20"/>
                <w:szCs w:val="20"/>
                <w:lang w:eastAsia="en-GB"/>
              </w:rPr>
              <w:t>Yvonne Esseku</w:t>
            </w:r>
          </w:p>
        </w:tc>
        <w:tc>
          <w:tcPr>
            <w:tcW w:w="0" w:type="dxa"/>
          </w:tcPr>
          <w:p w14:paraId="1E22B453" w14:textId="5CA4211F" w:rsidR="00171BA4" w:rsidRPr="00BD7C90" w:rsidRDefault="00505C63" w:rsidP="00BB4743">
            <w:pPr>
              <w:spacing w:line="259" w:lineRule="auto"/>
              <w:rPr>
                <w:rFonts w:cs="Calibri"/>
                <w:color w:val="auto"/>
                <w:sz w:val="20"/>
                <w:szCs w:val="20"/>
                <w:lang w:eastAsia="en-GB"/>
              </w:rPr>
            </w:pPr>
            <w:r w:rsidRPr="00BD7C90">
              <w:rPr>
                <w:rFonts w:cs="Calibri"/>
                <w:color w:val="auto"/>
                <w:sz w:val="20"/>
                <w:szCs w:val="20"/>
                <w:lang w:eastAsia="en-GB"/>
              </w:rPr>
              <w:t>CwPAMS</w:t>
            </w:r>
          </w:p>
        </w:tc>
        <w:tc>
          <w:tcPr>
            <w:tcW w:w="0" w:type="dxa"/>
          </w:tcPr>
          <w:p w14:paraId="346C8D8C" w14:textId="7657C359" w:rsidR="00171BA4" w:rsidRPr="00BD7C90" w:rsidRDefault="00505C63" w:rsidP="00BB4743">
            <w:pPr>
              <w:spacing w:line="259" w:lineRule="auto"/>
              <w:rPr>
                <w:rFonts w:cs="Calibri"/>
                <w:color w:val="auto"/>
                <w:sz w:val="20"/>
                <w:szCs w:val="20"/>
                <w:lang w:eastAsia="en-GB"/>
              </w:rPr>
            </w:pPr>
            <w:r w:rsidRPr="00BD7C90">
              <w:rPr>
                <w:rFonts w:cs="Calibri"/>
                <w:color w:val="auto"/>
                <w:sz w:val="20"/>
                <w:szCs w:val="20"/>
                <w:lang w:eastAsia="en-GB"/>
              </w:rPr>
              <w:t>Ghana Lead</w:t>
            </w:r>
          </w:p>
        </w:tc>
      </w:tr>
      <w:tr w:rsidR="00BD7C90" w:rsidRPr="00BD7C90" w14:paraId="2E706D43"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45BC3463" w14:textId="13EF27EB" w:rsidR="00E33736" w:rsidRPr="00BD7C90" w:rsidRDefault="00E33736">
            <w:pPr>
              <w:rPr>
                <w:rFonts w:cs="Calibri"/>
                <w:b/>
                <w:color w:val="auto"/>
                <w:sz w:val="20"/>
                <w:szCs w:val="20"/>
                <w:lang w:eastAsia="en-GB"/>
              </w:rPr>
            </w:pPr>
            <w:r w:rsidRPr="00BD7C90">
              <w:rPr>
                <w:rFonts w:cs="Calibri"/>
                <w:b/>
                <w:color w:val="auto"/>
                <w:sz w:val="20"/>
                <w:szCs w:val="20"/>
                <w:lang w:eastAsia="en-GB"/>
              </w:rPr>
              <w:t>Prof Eric Sampane-Donkor</w:t>
            </w:r>
          </w:p>
        </w:tc>
        <w:tc>
          <w:tcPr>
            <w:tcW w:w="0" w:type="dxa"/>
          </w:tcPr>
          <w:p w14:paraId="60329C45" w14:textId="54B3E80D" w:rsidR="00E33736" w:rsidRPr="00BD7C90" w:rsidRDefault="00E33736" w:rsidP="00BB4743">
            <w:pPr>
              <w:spacing w:line="259" w:lineRule="auto"/>
              <w:rPr>
                <w:rFonts w:cs="Calibri"/>
                <w:color w:val="auto"/>
                <w:sz w:val="20"/>
                <w:szCs w:val="20"/>
                <w:lang w:eastAsia="en-GB"/>
              </w:rPr>
            </w:pPr>
            <w:r w:rsidRPr="00BD7C90">
              <w:rPr>
                <w:rFonts w:cs="Calibri"/>
                <w:color w:val="auto"/>
                <w:sz w:val="20"/>
                <w:szCs w:val="20"/>
                <w:lang w:eastAsia="en-GB"/>
              </w:rPr>
              <w:t>Medical Microbiology Department at University of Ghana</w:t>
            </w:r>
          </w:p>
        </w:tc>
        <w:tc>
          <w:tcPr>
            <w:tcW w:w="0" w:type="dxa"/>
          </w:tcPr>
          <w:p w14:paraId="10A1E8E6" w14:textId="7B1D50EB" w:rsidR="00E33736" w:rsidRPr="00BD7C90" w:rsidRDefault="00E33736" w:rsidP="00BB4743">
            <w:pPr>
              <w:spacing w:line="259" w:lineRule="auto"/>
              <w:rPr>
                <w:rFonts w:cs="Calibri"/>
                <w:color w:val="auto"/>
                <w:sz w:val="20"/>
                <w:szCs w:val="20"/>
                <w:lang w:eastAsia="en-GB"/>
              </w:rPr>
            </w:pPr>
            <w:r w:rsidRPr="00BD7C90">
              <w:rPr>
                <w:rFonts w:cs="Calibri"/>
                <w:color w:val="auto"/>
                <w:sz w:val="20"/>
                <w:szCs w:val="20"/>
                <w:lang w:eastAsia="en-GB"/>
              </w:rPr>
              <w:t>Head (and PI PAARSE - RG)</w:t>
            </w:r>
          </w:p>
        </w:tc>
      </w:tr>
      <w:tr w:rsidR="00BD7C90" w:rsidRPr="00BD7C90" w14:paraId="2468FDD2"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4944688A" w14:textId="62FE7CC8" w:rsidR="001249A2" w:rsidRPr="00BD7C90" w:rsidRDefault="001249A2">
            <w:pPr>
              <w:rPr>
                <w:rFonts w:cs="Calibri"/>
                <w:b/>
                <w:color w:val="auto"/>
                <w:sz w:val="20"/>
                <w:szCs w:val="20"/>
                <w:lang w:eastAsia="en-GB"/>
              </w:rPr>
            </w:pPr>
            <w:r w:rsidRPr="00BD7C90">
              <w:rPr>
                <w:rFonts w:cs="Calibri"/>
                <w:b/>
                <w:color w:val="auto"/>
                <w:sz w:val="20"/>
                <w:szCs w:val="20"/>
                <w:lang w:eastAsia="en-GB"/>
              </w:rPr>
              <w:t>Beatrice Puije</w:t>
            </w:r>
          </w:p>
        </w:tc>
        <w:tc>
          <w:tcPr>
            <w:tcW w:w="0" w:type="dxa"/>
          </w:tcPr>
          <w:p w14:paraId="606B5477" w14:textId="02A3DC62" w:rsidR="001249A2" w:rsidRPr="00BD7C90" w:rsidRDefault="001249A2" w:rsidP="00BB4743">
            <w:pPr>
              <w:spacing w:line="259" w:lineRule="auto"/>
              <w:rPr>
                <w:rFonts w:cs="Calibri"/>
                <w:color w:val="auto"/>
                <w:sz w:val="20"/>
                <w:szCs w:val="20"/>
                <w:lang w:eastAsia="en-GB"/>
              </w:rPr>
            </w:pPr>
            <w:r w:rsidRPr="00BD7C90">
              <w:rPr>
                <w:rFonts w:cs="Calibri"/>
                <w:color w:val="auto"/>
                <w:sz w:val="20"/>
                <w:szCs w:val="20"/>
                <w:lang w:eastAsia="en-GB"/>
              </w:rPr>
              <w:t>ASLM</w:t>
            </w:r>
          </w:p>
        </w:tc>
        <w:tc>
          <w:tcPr>
            <w:tcW w:w="0" w:type="dxa"/>
          </w:tcPr>
          <w:p w14:paraId="10944D5F" w14:textId="76F2BF57" w:rsidR="001249A2" w:rsidRPr="00BD7C90" w:rsidRDefault="001249A2" w:rsidP="00BB4743">
            <w:pPr>
              <w:spacing w:line="259" w:lineRule="auto"/>
              <w:rPr>
                <w:rFonts w:cs="Calibri"/>
                <w:color w:val="auto"/>
                <w:sz w:val="20"/>
                <w:szCs w:val="20"/>
                <w:lang w:eastAsia="en-GB"/>
              </w:rPr>
            </w:pPr>
            <w:r w:rsidRPr="00BD7C90">
              <w:rPr>
                <w:rFonts w:cs="Calibri"/>
                <w:color w:val="auto"/>
                <w:sz w:val="20"/>
                <w:szCs w:val="20"/>
                <w:lang w:eastAsia="en-GB"/>
              </w:rPr>
              <w:t>E</w:t>
            </w:r>
            <w:r w:rsidR="00DF2290" w:rsidRPr="00BD7C90">
              <w:rPr>
                <w:rFonts w:cs="Calibri"/>
                <w:color w:val="auto"/>
                <w:sz w:val="20"/>
                <w:szCs w:val="20"/>
                <w:lang w:eastAsia="en-GB"/>
              </w:rPr>
              <w:t>Q</w:t>
            </w:r>
            <w:r w:rsidRPr="00BD7C90">
              <w:rPr>
                <w:rFonts w:cs="Calibri"/>
                <w:color w:val="auto"/>
                <w:sz w:val="20"/>
                <w:szCs w:val="20"/>
                <w:lang w:eastAsia="en-GB"/>
              </w:rPr>
              <w:t>uAfrica Lead</w:t>
            </w:r>
          </w:p>
        </w:tc>
      </w:tr>
      <w:tr w:rsidR="00BD7C90" w:rsidRPr="00BD7C90" w14:paraId="2024D0EF"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188510B4" w14:textId="16881978" w:rsidR="001249A2" w:rsidRPr="00BD7C90" w:rsidRDefault="00B807AD">
            <w:pPr>
              <w:rPr>
                <w:rFonts w:cs="Calibri"/>
                <w:b/>
                <w:color w:val="auto"/>
                <w:sz w:val="20"/>
                <w:szCs w:val="20"/>
                <w:lang w:eastAsia="en-GB"/>
              </w:rPr>
            </w:pPr>
            <w:r w:rsidRPr="00BD7C90">
              <w:rPr>
                <w:rFonts w:cs="Calibri"/>
                <w:b/>
                <w:color w:val="auto"/>
                <w:sz w:val="20"/>
                <w:szCs w:val="20"/>
                <w:lang w:eastAsia="en-GB"/>
              </w:rPr>
              <w:t>Raymond Fatchu</w:t>
            </w:r>
          </w:p>
        </w:tc>
        <w:tc>
          <w:tcPr>
            <w:tcW w:w="0" w:type="dxa"/>
          </w:tcPr>
          <w:p w14:paraId="43DE8542" w14:textId="09E0FC8D" w:rsidR="001249A2" w:rsidRPr="00BD7C90" w:rsidRDefault="00B807AD" w:rsidP="00BB4743">
            <w:pPr>
              <w:spacing w:line="259" w:lineRule="auto"/>
              <w:rPr>
                <w:rFonts w:cs="Calibri"/>
                <w:color w:val="auto"/>
                <w:sz w:val="20"/>
                <w:szCs w:val="20"/>
                <w:lang w:eastAsia="en-GB"/>
              </w:rPr>
            </w:pPr>
            <w:r w:rsidRPr="00BD7C90">
              <w:rPr>
                <w:rFonts w:cs="Calibri"/>
                <w:color w:val="auto"/>
                <w:sz w:val="20"/>
                <w:szCs w:val="20"/>
                <w:lang w:eastAsia="en-GB"/>
              </w:rPr>
              <w:t>A</w:t>
            </w:r>
            <w:r w:rsidR="000524BF" w:rsidRPr="00BD7C90">
              <w:rPr>
                <w:rFonts w:cs="Calibri"/>
                <w:color w:val="auto"/>
                <w:sz w:val="20"/>
                <w:szCs w:val="20"/>
                <w:lang w:eastAsia="en-GB"/>
              </w:rPr>
              <w:t>SL</w:t>
            </w:r>
            <w:r w:rsidRPr="00BD7C90">
              <w:rPr>
                <w:rFonts w:cs="Calibri"/>
                <w:color w:val="auto"/>
                <w:sz w:val="20"/>
                <w:szCs w:val="20"/>
                <w:lang w:eastAsia="en-GB"/>
              </w:rPr>
              <w:t>M</w:t>
            </w:r>
          </w:p>
        </w:tc>
        <w:tc>
          <w:tcPr>
            <w:tcW w:w="0" w:type="dxa"/>
          </w:tcPr>
          <w:p w14:paraId="4AAB13D6" w14:textId="2BAF104A" w:rsidR="001249A2" w:rsidRPr="00BD7C90" w:rsidRDefault="00B807AD" w:rsidP="00BB4743">
            <w:pPr>
              <w:spacing w:line="259" w:lineRule="auto"/>
              <w:rPr>
                <w:rFonts w:cs="Calibri"/>
                <w:color w:val="auto"/>
                <w:sz w:val="20"/>
                <w:szCs w:val="20"/>
                <w:lang w:eastAsia="en-GB"/>
              </w:rPr>
            </w:pPr>
            <w:r w:rsidRPr="00BD7C90">
              <w:rPr>
                <w:rFonts w:cs="Calibri"/>
                <w:color w:val="auto"/>
                <w:sz w:val="20"/>
                <w:szCs w:val="20"/>
                <w:lang w:eastAsia="en-GB"/>
              </w:rPr>
              <w:t>EQuAfrica manager</w:t>
            </w:r>
          </w:p>
        </w:tc>
      </w:tr>
      <w:tr w:rsidR="0049408A" w:rsidRPr="006C2954" w14:paraId="2D52D98C"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gridSpan w:val="3"/>
            <w:shd w:val="clear" w:color="auto" w:fill="96C286" w:themeFill="text2" w:themeFillTint="99"/>
          </w:tcPr>
          <w:p w14:paraId="3068535D" w14:textId="297D1AA0" w:rsidR="00727F10" w:rsidRPr="006911A6" w:rsidRDefault="005B5B44" w:rsidP="00041B22">
            <w:pPr>
              <w:rPr>
                <w:rFonts w:cs="Calibri"/>
                <w:color w:val="FFFFFF" w:themeColor="background1"/>
                <w:sz w:val="20"/>
                <w:szCs w:val="20"/>
              </w:rPr>
            </w:pPr>
            <w:r w:rsidRPr="006911A6">
              <w:rPr>
                <w:rFonts w:cs="Calibri"/>
                <w:color w:val="FFFFFF" w:themeColor="background1"/>
                <w:sz w:val="20"/>
                <w:szCs w:val="20"/>
              </w:rPr>
              <w:t>MA</w:t>
            </w:r>
          </w:p>
        </w:tc>
      </w:tr>
      <w:tr w:rsidR="00765DFA" w:rsidRPr="00765DFA" w14:paraId="6A5803AB"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5E70A3A1" w14:textId="3819B384" w:rsidR="00171BA4" w:rsidRPr="00BD7C90" w:rsidRDefault="00727F10">
            <w:pPr>
              <w:rPr>
                <w:rFonts w:cs="Calibri"/>
                <w:b/>
                <w:color w:val="auto"/>
                <w:sz w:val="20"/>
                <w:szCs w:val="20"/>
                <w:lang w:eastAsia="en-GB"/>
              </w:rPr>
            </w:pPr>
            <w:r w:rsidRPr="00BD7C90">
              <w:rPr>
                <w:rFonts w:cs="Calibri"/>
                <w:b/>
                <w:color w:val="auto"/>
                <w:sz w:val="20"/>
                <w:szCs w:val="20"/>
                <w:lang w:eastAsia="en-GB"/>
              </w:rPr>
              <w:t>Adjo Mfodwo</w:t>
            </w:r>
          </w:p>
        </w:tc>
        <w:tc>
          <w:tcPr>
            <w:tcW w:w="0" w:type="dxa"/>
          </w:tcPr>
          <w:p w14:paraId="2242342D" w14:textId="4030F5DD" w:rsidR="00171BA4" w:rsidRPr="00765DFA" w:rsidRDefault="005B5B44" w:rsidP="00BB4743">
            <w:pPr>
              <w:spacing w:line="259" w:lineRule="auto"/>
              <w:rPr>
                <w:rFonts w:cs="Calibri"/>
                <w:color w:val="auto"/>
                <w:sz w:val="20"/>
                <w:szCs w:val="20"/>
                <w:lang w:eastAsia="en-GB"/>
              </w:rPr>
            </w:pPr>
            <w:r w:rsidRPr="00765DFA">
              <w:rPr>
                <w:rFonts w:cs="Calibri"/>
                <w:color w:val="auto"/>
                <w:sz w:val="20"/>
                <w:szCs w:val="20"/>
                <w:lang w:eastAsia="en-GB"/>
              </w:rPr>
              <w:t>MA</w:t>
            </w:r>
          </w:p>
        </w:tc>
        <w:tc>
          <w:tcPr>
            <w:tcW w:w="0" w:type="dxa"/>
          </w:tcPr>
          <w:p w14:paraId="60D87045" w14:textId="6CA9D81A" w:rsidR="00171BA4" w:rsidRPr="00765DFA" w:rsidRDefault="00DB16BA" w:rsidP="00BB4743">
            <w:pPr>
              <w:spacing w:line="259" w:lineRule="auto"/>
              <w:rPr>
                <w:rFonts w:cs="Calibri"/>
                <w:color w:val="auto"/>
                <w:sz w:val="20"/>
                <w:szCs w:val="20"/>
                <w:lang w:eastAsia="en-GB"/>
              </w:rPr>
            </w:pPr>
            <w:r w:rsidRPr="00765DFA">
              <w:rPr>
                <w:rFonts w:cs="Calibri"/>
                <w:color w:val="auto"/>
                <w:sz w:val="20"/>
                <w:szCs w:val="20"/>
                <w:lang w:eastAsia="en-GB"/>
              </w:rPr>
              <w:t>Regional Coordinator- West Africa</w:t>
            </w:r>
          </w:p>
        </w:tc>
      </w:tr>
      <w:tr w:rsidR="00765DFA" w:rsidRPr="00765DFA" w14:paraId="22169F52"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4D91B9F2" w14:textId="0A19C506" w:rsidR="00171BA4" w:rsidRPr="00BD7C90" w:rsidRDefault="008F1053">
            <w:pPr>
              <w:rPr>
                <w:rFonts w:cs="Calibri"/>
                <w:b/>
                <w:color w:val="auto"/>
                <w:sz w:val="20"/>
                <w:szCs w:val="20"/>
                <w:lang w:eastAsia="en-GB"/>
              </w:rPr>
            </w:pPr>
            <w:r w:rsidRPr="00BD7C90">
              <w:rPr>
                <w:rFonts w:cs="Calibri"/>
                <w:b/>
                <w:color w:val="auto"/>
                <w:sz w:val="20"/>
                <w:szCs w:val="20"/>
                <w:lang w:eastAsia="en-GB"/>
              </w:rPr>
              <w:t>Bashiru</w:t>
            </w:r>
            <w:r w:rsidR="17502988" w:rsidRPr="00BD7C90">
              <w:rPr>
                <w:rFonts w:cs="Calibri"/>
                <w:b/>
                <w:bCs/>
                <w:color w:val="auto"/>
                <w:sz w:val="20"/>
                <w:szCs w:val="20"/>
                <w:lang w:eastAsia="en-GB"/>
              </w:rPr>
              <w:t xml:space="preserve"> Adams</w:t>
            </w:r>
          </w:p>
        </w:tc>
        <w:tc>
          <w:tcPr>
            <w:tcW w:w="0" w:type="dxa"/>
          </w:tcPr>
          <w:p w14:paraId="6A97584C" w14:textId="26449703" w:rsidR="00171BA4" w:rsidRPr="00765DFA" w:rsidRDefault="005B5B44" w:rsidP="00BB4743">
            <w:pPr>
              <w:spacing w:line="259" w:lineRule="auto"/>
              <w:rPr>
                <w:rFonts w:cs="Calibri"/>
                <w:color w:val="auto"/>
                <w:sz w:val="20"/>
                <w:szCs w:val="20"/>
                <w:lang w:eastAsia="en-GB"/>
              </w:rPr>
            </w:pPr>
            <w:r w:rsidRPr="00765DFA">
              <w:rPr>
                <w:rFonts w:cs="Calibri"/>
                <w:color w:val="auto"/>
                <w:sz w:val="20"/>
                <w:szCs w:val="20"/>
                <w:lang w:eastAsia="en-GB"/>
              </w:rPr>
              <w:t>MA</w:t>
            </w:r>
          </w:p>
        </w:tc>
        <w:tc>
          <w:tcPr>
            <w:tcW w:w="0" w:type="dxa"/>
          </w:tcPr>
          <w:p w14:paraId="4B233E37" w14:textId="77BB5E86" w:rsidR="00171BA4" w:rsidRPr="00765DFA" w:rsidRDefault="344CEFC0" w:rsidP="00BB4743">
            <w:pPr>
              <w:spacing w:line="259" w:lineRule="auto"/>
              <w:rPr>
                <w:rFonts w:cs="Calibri"/>
                <w:color w:val="auto"/>
                <w:sz w:val="20"/>
                <w:szCs w:val="20"/>
                <w:lang w:eastAsia="en-GB"/>
              </w:rPr>
            </w:pPr>
            <w:r w:rsidRPr="00765DFA">
              <w:rPr>
                <w:rFonts w:cs="Calibri"/>
                <w:color w:val="auto"/>
                <w:sz w:val="20"/>
                <w:szCs w:val="20"/>
                <w:lang w:eastAsia="en-GB"/>
              </w:rPr>
              <w:t>Regional Monitoring and Evaluation Coordinator- West Africa</w:t>
            </w:r>
          </w:p>
        </w:tc>
      </w:tr>
      <w:tr w:rsidR="00765DFA" w:rsidRPr="00765DFA" w14:paraId="4A2B7B9E"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304EC09D" w14:textId="416F9F01" w:rsidR="00E33843" w:rsidRPr="00BD7C90" w:rsidRDefault="008F1053">
            <w:pPr>
              <w:rPr>
                <w:rFonts w:cs="Calibri"/>
                <w:b/>
                <w:color w:val="auto"/>
                <w:sz w:val="20"/>
                <w:szCs w:val="20"/>
                <w:lang w:eastAsia="en-GB"/>
              </w:rPr>
            </w:pPr>
            <w:r w:rsidRPr="00BD7C90">
              <w:rPr>
                <w:rFonts w:cs="Calibri"/>
                <w:b/>
                <w:color w:val="auto"/>
                <w:sz w:val="20"/>
                <w:szCs w:val="20"/>
                <w:lang w:eastAsia="en-GB"/>
              </w:rPr>
              <w:t>Ruth</w:t>
            </w:r>
            <w:r w:rsidR="41B0DA7B" w:rsidRPr="00BD7C90">
              <w:rPr>
                <w:rFonts w:cs="Calibri"/>
                <w:b/>
                <w:bCs/>
                <w:color w:val="auto"/>
                <w:sz w:val="20"/>
                <w:szCs w:val="20"/>
                <w:lang w:eastAsia="en-GB"/>
              </w:rPr>
              <w:t xml:space="preserve"> Gaisie</w:t>
            </w:r>
          </w:p>
        </w:tc>
        <w:tc>
          <w:tcPr>
            <w:tcW w:w="0" w:type="dxa"/>
          </w:tcPr>
          <w:p w14:paraId="584016AF" w14:textId="3CBD3402" w:rsidR="00E33843" w:rsidRPr="00765DFA" w:rsidRDefault="005B5B44" w:rsidP="00BB4743">
            <w:pPr>
              <w:spacing w:line="259" w:lineRule="auto"/>
              <w:rPr>
                <w:rFonts w:cs="Calibri"/>
                <w:color w:val="auto"/>
                <w:sz w:val="20"/>
                <w:szCs w:val="20"/>
                <w:lang w:eastAsia="en-GB"/>
              </w:rPr>
            </w:pPr>
            <w:r w:rsidRPr="00765DFA">
              <w:rPr>
                <w:rFonts w:cs="Calibri"/>
                <w:color w:val="auto"/>
                <w:sz w:val="20"/>
                <w:szCs w:val="20"/>
                <w:lang w:eastAsia="en-GB"/>
              </w:rPr>
              <w:t>MA</w:t>
            </w:r>
          </w:p>
        </w:tc>
        <w:tc>
          <w:tcPr>
            <w:tcW w:w="0" w:type="dxa"/>
          </w:tcPr>
          <w:p w14:paraId="2DB314A3" w14:textId="15BF073E" w:rsidR="00E33843" w:rsidRPr="00765DFA" w:rsidRDefault="621273C1" w:rsidP="00BB4743">
            <w:pPr>
              <w:spacing w:line="259" w:lineRule="auto"/>
              <w:rPr>
                <w:rFonts w:cs="Calibri"/>
                <w:color w:val="auto"/>
                <w:sz w:val="20"/>
                <w:szCs w:val="20"/>
                <w:lang w:eastAsia="en-GB"/>
              </w:rPr>
            </w:pPr>
            <w:r w:rsidRPr="00765DFA">
              <w:rPr>
                <w:rFonts w:cs="Calibri"/>
                <w:color w:val="auto"/>
                <w:sz w:val="20"/>
                <w:szCs w:val="20"/>
                <w:lang w:eastAsia="en-GB"/>
              </w:rPr>
              <w:t>Regional Finance Officer</w:t>
            </w:r>
          </w:p>
        </w:tc>
      </w:tr>
      <w:tr w:rsidR="00765DFA" w:rsidRPr="00765DFA" w14:paraId="5151A90F"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6A64D657" w14:textId="7AC939CA" w:rsidR="00E33843" w:rsidRPr="00BD7C90" w:rsidRDefault="008F1053">
            <w:pPr>
              <w:rPr>
                <w:rFonts w:cs="Calibri"/>
                <w:b/>
                <w:color w:val="auto"/>
                <w:sz w:val="20"/>
                <w:szCs w:val="20"/>
                <w:lang w:eastAsia="en-GB"/>
              </w:rPr>
            </w:pPr>
            <w:r w:rsidRPr="00BD7C90">
              <w:rPr>
                <w:rFonts w:cs="Calibri"/>
                <w:b/>
                <w:color w:val="auto"/>
                <w:sz w:val="20"/>
                <w:szCs w:val="20"/>
                <w:lang w:eastAsia="en-GB"/>
              </w:rPr>
              <w:t>Hilary</w:t>
            </w:r>
            <w:r w:rsidR="703EA399" w:rsidRPr="00BD7C90">
              <w:rPr>
                <w:rFonts w:cs="Calibri"/>
                <w:b/>
                <w:bCs/>
                <w:color w:val="auto"/>
                <w:sz w:val="20"/>
                <w:szCs w:val="20"/>
                <w:lang w:eastAsia="en-GB"/>
              </w:rPr>
              <w:t xml:space="preserve"> Lopes</w:t>
            </w:r>
          </w:p>
        </w:tc>
        <w:tc>
          <w:tcPr>
            <w:tcW w:w="0" w:type="dxa"/>
          </w:tcPr>
          <w:p w14:paraId="397FAB43" w14:textId="10033CE4" w:rsidR="00E33843" w:rsidRPr="00765DFA" w:rsidRDefault="005B5B44" w:rsidP="00BB4743">
            <w:pPr>
              <w:spacing w:line="259" w:lineRule="auto"/>
              <w:rPr>
                <w:rFonts w:cs="Calibri"/>
                <w:color w:val="auto"/>
                <w:sz w:val="20"/>
                <w:szCs w:val="20"/>
                <w:lang w:eastAsia="en-GB"/>
              </w:rPr>
            </w:pPr>
            <w:r w:rsidRPr="00765DFA">
              <w:rPr>
                <w:rFonts w:cs="Calibri"/>
                <w:color w:val="auto"/>
                <w:sz w:val="20"/>
                <w:szCs w:val="20"/>
                <w:lang w:eastAsia="en-GB"/>
              </w:rPr>
              <w:t>MA</w:t>
            </w:r>
          </w:p>
        </w:tc>
        <w:tc>
          <w:tcPr>
            <w:tcW w:w="0" w:type="dxa"/>
          </w:tcPr>
          <w:p w14:paraId="71D9F324" w14:textId="6C981746" w:rsidR="00E33843" w:rsidRPr="00765DFA" w:rsidRDefault="2CDA3835" w:rsidP="00BB4743">
            <w:pPr>
              <w:spacing w:line="259" w:lineRule="auto"/>
              <w:rPr>
                <w:rFonts w:cs="Calibri"/>
                <w:color w:val="auto"/>
                <w:sz w:val="20"/>
                <w:szCs w:val="20"/>
                <w:lang w:eastAsia="en-GB"/>
              </w:rPr>
            </w:pPr>
            <w:r w:rsidRPr="00765DFA">
              <w:rPr>
                <w:rFonts w:cs="Calibri"/>
                <w:color w:val="auto"/>
                <w:sz w:val="20"/>
                <w:szCs w:val="20"/>
                <w:lang w:eastAsia="en-GB"/>
              </w:rPr>
              <w:t>Regional One Health Specialist</w:t>
            </w:r>
          </w:p>
        </w:tc>
      </w:tr>
      <w:tr w:rsidR="0049408A" w:rsidRPr="006C2954" w14:paraId="269C6A08"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0" w:type="dxa"/>
            <w:gridSpan w:val="3"/>
            <w:shd w:val="clear" w:color="auto" w:fill="96C286" w:themeFill="text2" w:themeFillTint="99"/>
          </w:tcPr>
          <w:p w14:paraId="1958F20F" w14:textId="49D61500" w:rsidR="61A94F84" w:rsidRPr="006911A6" w:rsidRDefault="61A94F84" w:rsidP="00041B22">
            <w:pPr>
              <w:rPr>
                <w:rFonts w:cs="Calibri"/>
                <w:color w:val="FFFFFF" w:themeColor="background1"/>
                <w:sz w:val="20"/>
                <w:szCs w:val="20"/>
              </w:rPr>
            </w:pPr>
            <w:r w:rsidRPr="006911A6">
              <w:rPr>
                <w:rFonts w:cs="Calibri"/>
                <w:color w:val="FFFFFF" w:themeColor="background1"/>
                <w:sz w:val="20"/>
                <w:szCs w:val="20"/>
              </w:rPr>
              <w:t>ITAD</w:t>
            </w:r>
          </w:p>
        </w:tc>
      </w:tr>
      <w:tr w:rsidR="00BD7C90" w:rsidRPr="00BD7C90" w14:paraId="2CCA5899"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0" w:type="dxa"/>
          </w:tcPr>
          <w:p w14:paraId="1A7F2030" w14:textId="4CCC31D6" w:rsidR="61A94F84" w:rsidRPr="00BD7C90" w:rsidRDefault="61A94F84" w:rsidP="64C55F6E">
            <w:pPr>
              <w:rPr>
                <w:rFonts w:cs="Calibri"/>
                <w:b/>
                <w:bCs/>
                <w:color w:val="auto"/>
                <w:sz w:val="20"/>
                <w:szCs w:val="20"/>
                <w:lang w:eastAsia="en-GB"/>
              </w:rPr>
            </w:pPr>
            <w:r w:rsidRPr="00BD7C90">
              <w:rPr>
                <w:rFonts w:cs="Calibri"/>
                <w:b/>
                <w:bCs/>
                <w:color w:val="auto"/>
                <w:sz w:val="20"/>
                <w:szCs w:val="20"/>
                <w:lang w:eastAsia="en-GB"/>
              </w:rPr>
              <w:t>Kwame Asante</w:t>
            </w:r>
          </w:p>
        </w:tc>
        <w:tc>
          <w:tcPr>
            <w:tcW w:w="0" w:type="dxa"/>
          </w:tcPr>
          <w:p w14:paraId="15B46D57" w14:textId="579E30B5" w:rsidR="61A94F84" w:rsidRPr="00BD7C90" w:rsidRDefault="61A94F84" w:rsidP="00BB4743">
            <w:pPr>
              <w:spacing w:line="259" w:lineRule="auto"/>
              <w:rPr>
                <w:rFonts w:cs="Calibri"/>
                <w:color w:val="auto"/>
                <w:sz w:val="20"/>
                <w:szCs w:val="20"/>
                <w:lang w:eastAsia="en-GB"/>
              </w:rPr>
            </w:pPr>
            <w:r w:rsidRPr="00BD7C90">
              <w:rPr>
                <w:rFonts w:cs="Calibri"/>
                <w:color w:val="auto"/>
                <w:sz w:val="20"/>
                <w:szCs w:val="20"/>
                <w:lang w:eastAsia="en-GB"/>
              </w:rPr>
              <w:t>Former ITAD</w:t>
            </w:r>
          </w:p>
        </w:tc>
        <w:tc>
          <w:tcPr>
            <w:tcW w:w="0" w:type="dxa"/>
          </w:tcPr>
          <w:p w14:paraId="1FC89AF4" w14:textId="2863E5AD" w:rsidR="61A94F84" w:rsidRPr="00BD7C90" w:rsidRDefault="61A94F84" w:rsidP="00BB4743">
            <w:pPr>
              <w:spacing w:line="259" w:lineRule="auto"/>
              <w:rPr>
                <w:rFonts w:cs="Calibri"/>
                <w:color w:val="auto"/>
                <w:sz w:val="20"/>
                <w:szCs w:val="20"/>
                <w:lang w:eastAsia="en-GB"/>
              </w:rPr>
            </w:pPr>
            <w:r w:rsidRPr="00BD7C90">
              <w:rPr>
                <w:rFonts w:cs="Calibri"/>
                <w:color w:val="auto"/>
                <w:sz w:val="20"/>
                <w:szCs w:val="20"/>
                <w:lang w:eastAsia="en-GB"/>
              </w:rPr>
              <w:t>Consultant</w:t>
            </w:r>
          </w:p>
        </w:tc>
      </w:tr>
    </w:tbl>
    <w:p w14:paraId="0E67A6A3" w14:textId="144C2458" w:rsidR="00CF4E89" w:rsidRDefault="00CF4E89" w:rsidP="00BB4743">
      <w:pPr>
        <w:pStyle w:val="ItadH2"/>
        <w:keepNext/>
      </w:pPr>
      <w:bookmarkStart w:id="395" w:name="_Toc118968572"/>
      <w:bookmarkStart w:id="396" w:name="_Toc122209926"/>
      <w:bookmarkStart w:id="397" w:name="_Toc142383214"/>
      <w:r>
        <w:t>Indonesia</w:t>
      </w:r>
      <w:bookmarkEnd w:id="395"/>
      <w:bookmarkEnd w:id="396"/>
      <w:bookmarkEnd w:id="397"/>
    </w:p>
    <w:tbl>
      <w:tblPr>
        <w:tblStyle w:val="Itadalternaterows"/>
        <w:tblW w:w="0" w:type="auto"/>
        <w:tblLook w:val="04A0" w:firstRow="1" w:lastRow="0" w:firstColumn="1" w:lastColumn="0" w:noHBand="0" w:noVBand="1"/>
      </w:tblPr>
      <w:tblGrid>
        <w:gridCol w:w="3134"/>
        <w:gridCol w:w="3131"/>
        <w:gridCol w:w="3130"/>
      </w:tblGrid>
      <w:tr w:rsidR="17D077F0" w14:paraId="5758D0E2" w14:textId="77777777" w:rsidTr="17D077F0">
        <w:trPr>
          <w:cnfStyle w:val="100000000000" w:firstRow="1" w:lastRow="0" w:firstColumn="0" w:lastColumn="0" w:oddVBand="0" w:evenVBand="0" w:oddHBand="0" w:evenHBand="0" w:firstRowFirstColumn="0" w:firstRowLastColumn="0" w:lastRowFirstColumn="0" w:lastRowLastColumn="0"/>
          <w:trHeight w:val="340"/>
        </w:trPr>
        <w:tc>
          <w:tcPr>
            <w:tcW w:w="9395" w:type="dxa"/>
            <w:gridSpan w:val="3"/>
          </w:tcPr>
          <w:p w14:paraId="57FCD6EE" w14:textId="4D9D0A3F" w:rsidR="17D077F0" w:rsidRPr="006911A6" w:rsidRDefault="17D077F0" w:rsidP="17D077F0">
            <w:pPr>
              <w:rPr>
                <w:rFonts w:cstheme="minorBidi"/>
                <w:color w:val="FFFFFF" w:themeColor="background1"/>
                <w:sz w:val="20"/>
                <w:szCs w:val="20"/>
                <w:lang w:eastAsia="en-GB"/>
              </w:rPr>
            </w:pPr>
            <w:r w:rsidRPr="006911A6">
              <w:rPr>
                <w:rFonts w:cstheme="minorBidi"/>
                <w:color w:val="FFFFFF" w:themeColor="background1"/>
                <w:sz w:val="20"/>
                <w:szCs w:val="20"/>
                <w:lang w:eastAsia="en-GB"/>
              </w:rPr>
              <w:t xml:space="preserve">Fleming Fund </w:t>
            </w:r>
            <w:r w:rsidR="005B5B44" w:rsidRPr="006911A6">
              <w:rPr>
                <w:rFonts w:cstheme="minorBidi"/>
                <w:color w:val="FFFFFF" w:themeColor="background1"/>
                <w:sz w:val="20"/>
                <w:szCs w:val="20"/>
                <w:lang w:eastAsia="en-GB"/>
              </w:rPr>
              <w:t>CG</w:t>
            </w:r>
          </w:p>
        </w:tc>
      </w:tr>
      <w:tr w:rsidR="17D077F0" w14:paraId="5965C099"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2A0B78E4" w14:textId="13ABB199" w:rsidR="17D077F0" w:rsidRPr="00BB4743" w:rsidRDefault="00EE3BF1" w:rsidP="17D077F0">
            <w:pPr>
              <w:rPr>
                <w:rFonts w:cs="Calibri"/>
                <w:b/>
                <w:bCs/>
                <w:color w:val="auto"/>
                <w:sz w:val="20"/>
                <w:szCs w:val="20"/>
              </w:rPr>
            </w:pPr>
            <w:r>
              <w:rPr>
                <w:rFonts w:eastAsia="Calibri" w:cs="Calibri"/>
                <w:b/>
                <w:bCs/>
                <w:color w:val="auto"/>
                <w:sz w:val="20"/>
                <w:szCs w:val="20"/>
              </w:rPr>
              <w:t xml:space="preserve">Dr </w:t>
            </w:r>
            <w:r w:rsidR="2BEA4E0A" w:rsidRPr="00BB4743">
              <w:rPr>
                <w:rFonts w:eastAsia="Calibri" w:cs="Calibri"/>
                <w:b/>
                <w:bCs/>
                <w:color w:val="auto"/>
                <w:sz w:val="20"/>
                <w:szCs w:val="20"/>
              </w:rPr>
              <w:t>Tom Weaver</w:t>
            </w:r>
          </w:p>
        </w:tc>
        <w:tc>
          <w:tcPr>
            <w:tcW w:w="3131" w:type="dxa"/>
          </w:tcPr>
          <w:p w14:paraId="0BA38D70" w14:textId="6A1ED0D5" w:rsidR="17D077F0" w:rsidRPr="00BB4743" w:rsidRDefault="00862283" w:rsidP="00BB4743">
            <w:pPr>
              <w:rPr>
                <w:rFonts w:cs="Calibri"/>
                <w:color w:val="auto"/>
                <w:sz w:val="20"/>
                <w:szCs w:val="20"/>
                <w:lang w:eastAsia="en-GB"/>
              </w:rPr>
            </w:pPr>
            <w:r w:rsidRPr="00862283">
              <w:rPr>
                <w:rFonts w:cs="Calibri"/>
                <w:sz w:val="20"/>
                <w:szCs w:val="20"/>
                <w:lang w:eastAsia="en-GB"/>
              </w:rPr>
              <w:t>Dewan Asuransi Indonesia</w:t>
            </w:r>
            <w:r w:rsidRPr="001B7F84">
              <w:rPr>
                <w:rFonts w:cs="Calibri"/>
                <w:color w:val="auto"/>
                <w:sz w:val="20"/>
                <w:szCs w:val="20"/>
                <w:lang w:eastAsia="en-GB"/>
              </w:rPr>
              <w:t xml:space="preserve"> (</w:t>
            </w:r>
            <w:r w:rsidR="2BEA4E0A" w:rsidRPr="00BB4743">
              <w:rPr>
                <w:rFonts w:cs="Calibri"/>
                <w:color w:val="auto"/>
                <w:sz w:val="20"/>
                <w:szCs w:val="20"/>
                <w:lang w:eastAsia="en-GB"/>
              </w:rPr>
              <w:t>DAI</w:t>
            </w:r>
            <w:r>
              <w:rPr>
                <w:rFonts w:cs="Calibri"/>
                <w:color w:val="auto"/>
                <w:sz w:val="20"/>
                <w:szCs w:val="20"/>
                <w:lang w:eastAsia="en-GB"/>
              </w:rPr>
              <w:t>)</w:t>
            </w:r>
          </w:p>
        </w:tc>
        <w:tc>
          <w:tcPr>
            <w:tcW w:w="3130" w:type="dxa"/>
          </w:tcPr>
          <w:p w14:paraId="53EFCD71" w14:textId="07C77335" w:rsidR="17D077F0" w:rsidRPr="00BB4743" w:rsidRDefault="2BEA4E0A" w:rsidP="00BB4743">
            <w:pPr>
              <w:rPr>
                <w:rFonts w:cs="Calibri"/>
                <w:color w:val="auto"/>
                <w:sz w:val="20"/>
                <w:szCs w:val="20"/>
              </w:rPr>
            </w:pPr>
            <w:r w:rsidRPr="00BB4743">
              <w:rPr>
                <w:rFonts w:eastAsia="Calibri" w:cs="Calibri"/>
                <w:color w:val="auto"/>
                <w:sz w:val="20"/>
                <w:szCs w:val="20"/>
              </w:rPr>
              <w:t>Team Leader</w:t>
            </w:r>
          </w:p>
        </w:tc>
      </w:tr>
      <w:tr w:rsidR="6A4048FE" w14:paraId="6731BBB6"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5FF29FC3" w14:textId="09A40CF2" w:rsidR="2BEA4E0A" w:rsidRPr="00BB4743" w:rsidRDefault="2BEA4E0A" w:rsidP="6A4048FE">
            <w:pPr>
              <w:rPr>
                <w:rFonts w:cs="Calibri"/>
                <w:b/>
                <w:bCs/>
                <w:color w:val="auto"/>
                <w:sz w:val="20"/>
                <w:szCs w:val="20"/>
              </w:rPr>
            </w:pPr>
            <w:r w:rsidRPr="00BB4743">
              <w:rPr>
                <w:rFonts w:eastAsia="Calibri" w:cs="Calibri"/>
                <w:b/>
                <w:bCs/>
                <w:color w:val="auto"/>
                <w:sz w:val="20"/>
                <w:szCs w:val="20"/>
              </w:rPr>
              <w:t>Ms. Desrina Sitompul</w:t>
            </w:r>
          </w:p>
        </w:tc>
        <w:tc>
          <w:tcPr>
            <w:tcW w:w="3131" w:type="dxa"/>
          </w:tcPr>
          <w:p w14:paraId="7FF8AB38" w14:textId="6BDBF176" w:rsidR="2BEA4E0A" w:rsidRPr="00BB4743" w:rsidRDefault="2BEA4E0A" w:rsidP="00BB4743">
            <w:pPr>
              <w:rPr>
                <w:rFonts w:cs="Calibri"/>
                <w:color w:val="auto"/>
                <w:sz w:val="20"/>
                <w:szCs w:val="20"/>
                <w:lang w:eastAsia="en-GB"/>
              </w:rPr>
            </w:pPr>
            <w:r w:rsidRPr="00BB4743">
              <w:rPr>
                <w:rFonts w:cs="Calibri"/>
                <w:color w:val="auto"/>
                <w:sz w:val="20"/>
                <w:szCs w:val="20"/>
                <w:lang w:eastAsia="en-GB"/>
              </w:rPr>
              <w:t>DAI</w:t>
            </w:r>
          </w:p>
        </w:tc>
        <w:tc>
          <w:tcPr>
            <w:tcW w:w="3130" w:type="dxa"/>
          </w:tcPr>
          <w:p w14:paraId="5A04AF99" w14:textId="2B3565B8" w:rsidR="2BEA4E0A" w:rsidRPr="00BB4743" w:rsidRDefault="2BEA4E0A" w:rsidP="00BB4743">
            <w:pPr>
              <w:rPr>
                <w:rFonts w:cs="Calibri"/>
                <w:color w:val="auto"/>
                <w:sz w:val="20"/>
                <w:szCs w:val="20"/>
              </w:rPr>
            </w:pPr>
            <w:r w:rsidRPr="00BB4743">
              <w:rPr>
                <w:rFonts w:eastAsia="Calibri" w:cs="Calibri"/>
                <w:color w:val="auto"/>
                <w:sz w:val="20"/>
                <w:szCs w:val="20"/>
              </w:rPr>
              <w:t>Project Coordinator/Technical Program</w:t>
            </w:r>
            <w:r w:rsidR="00E66889">
              <w:rPr>
                <w:rFonts w:eastAsia="Calibri" w:cs="Calibri"/>
                <w:color w:val="auto"/>
                <w:sz w:val="20"/>
                <w:szCs w:val="20"/>
              </w:rPr>
              <w:t>me</w:t>
            </w:r>
            <w:r w:rsidRPr="00BB4743">
              <w:rPr>
                <w:rFonts w:eastAsia="Calibri" w:cs="Calibri"/>
                <w:color w:val="auto"/>
                <w:sz w:val="20"/>
                <w:szCs w:val="20"/>
              </w:rPr>
              <w:t xml:space="preserve"> Lead</w:t>
            </w:r>
          </w:p>
        </w:tc>
      </w:tr>
      <w:tr w:rsidR="6A4048FE" w14:paraId="3335084B"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5A40B337" w14:textId="0C82A21E" w:rsidR="2BEA4E0A" w:rsidRPr="00BB4743" w:rsidRDefault="2BEA4E0A" w:rsidP="6A4048FE">
            <w:pPr>
              <w:rPr>
                <w:rFonts w:cs="Calibri"/>
                <w:b/>
                <w:bCs/>
                <w:color w:val="auto"/>
                <w:sz w:val="20"/>
                <w:szCs w:val="20"/>
              </w:rPr>
            </w:pPr>
            <w:r w:rsidRPr="00BB4743">
              <w:rPr>
                <w:rFonts w:eastAsia="Calibri" w:cs="Calibri"/>
                <w:b/>
                <w:bCs/>
                <w:color w:val="auto"/>
                <w:sz w:val="20"/>
                <w:szCs w:val="20"/>
              </w:rPr>
              <w:t>Mr. Havan Yusuf</w:t>
            </w:r>
          </w:p>
        </w:tc>
        <w:tc>
          <w:tcPr>
            <w:tcW w:w="3131" w:type="dxa"/>
          </w:tcPr>
          <w:p w14:paraId="2EACABCB" w14:textId="2DB53985" w:rsidR="2BEA4E0A" w:rsidRPr="00BB4743" w:rsidRDefault="2BEA4E0A" w:rsidP="00BB4743">
            <w:pPr>
              <w:rPr>
                <w:rFonts w:cs="Calibri"/>
                <w:color w:val="auto"/>
                <w:sz w:val="20"/>
                <w:szCs w:val="20"/>
                <w:lang w:eastAsia="en-GB"/>
              </w:rPr>
            </w:pPr>
            <w:r w:rsidRPr="00BB4743">
              <w:rPr>
                <w:rFonts w:cs="Calibri"/>
                <w:color w:val="auto"/>
                <w:sz w:val="20"/>
                <w:szCs w:val="20"/>
                <w:lang w:eastAsia="en-GB"/>
              </w:rPr>
              <w:t>DAI</w:t>
            </w:r>
          </w:p>
        </w:tc>
        <w:tc>
          <w:tcPr>
            <w:tcW w:w="3130" w:type="dxa"/>
          </w:tcPr>
          <w:p w14:paraId="0E6768FC" w14:textId="67E08DBD" w:rsidR="2BEA4E0A" w:rsidRPr="00BB4743" w:rsidRDefault="2BEA4E0A" w:rsidP="00BB4743">
            <w:pPr>
              <w:rPr>
                <w:rFonts w:cs="Calibri"/>
                <w:color w:val="auto"/>
                <w:sz w:val="20"/>
                <w:szCs w:val="20"/>
              </w:rPr>
            </w:pPr>
            <w:r w:rsidRPr="00BB4743">
              <w:rPr>
                <w:rFonts w:eastAsia="Calibri" w:cs="Calibri"/>
                <w:color w:val="auto"/>
                <w:sz w:val="20"/>
                <w:szCs w:val="20"/>
              </w:rPr>
              <w:t>Lead Surveillance Specialist</w:t>
            </w:r>
          </w:p>
        </w:tc>
      </w:tr>
      <w:tr w:rsidR="6A4048FE" w14:paraId="2F10C460"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1657A414" w14:textId="5227B4EF" w:rsidR="2BEA4E0A" w:rsidRPr="00BB4743" w:rsidRDefault="2BEA4E0A" w:rsidP="6A4048FE">
            <w:pPr>
              <w:rPr>
                <w:rFonts w:cs="Calibri"/>
                <w:b/>
                <w:bCs/>
                <w:color w:val="auto"/>
                <w:sz w:val="20"/>
                <w:szCs w:val="20"/>
              </w:rPr>
            </w:pPr>
            <w:r w:rsidRPr="00BB4743">
              <w:rPr>
                <w:rFonts w:eastAsia="Calibri" w:cs="Calibri"/>
                <w:b/>
                <w:bCs/>
                <w:color w:val="auto"/>
                <w:sz w:val="20"/>
                <w:szCs w:val="20"/>
              </w:rPr>
              <w:t>Ms. Asih Hartanti</w:t>
            </w:r>
          </w:p>
        </w:tc>
        <w:tc>
          <w:tcPr>
            <w:tcW w:w="3131" w:type="dxa"/>
          </w:tcPr>
          <w:p w14:paraId="25A05D5A" w14:textId="641F9ED0" w:rsidR="2BEA4E0A" w:rsidRPr="00BB4743" w:rsidRDefault="2BEA4E0A" w:rsidP="00BB4743">
            <w:pPr>
              <w:rPr>
                <w:rFonts w:cs="Calibri"/>
                <w:color w:val="auto"/>
                <w:sz w:val="20"/>
                <w:szCs w:val="20"/>
              </w:rPr>
            </w:pPr>
            <w:r w:rsidRPr="00BB4743">
              <w:rPr>
                <w:rFonts w:eastAsia="Calibri" w:cs="Calibri"/>
                <w:color w:val="auto"/>
                <w:sz w:val="20"/>
                <w:szCs w:val="20"/>
              </w:rPr>
              <w:t>Health Security Partners (HSP)</w:t>
            </w:r>
          </w:p>
        </w:tc>
        <w:tc>
          <w:tcPr>
            <w:tcW w:w="3130" w:type="dxa"/>
          </w:tcPr>
          <w:p w14:paraId="30849BAC" w14:textId="189F75AE" w:rsidR="2BEA4E0A" w:rsidRPr="00BB4743" w:rsidRDefault="2BEA4E0A" w:rsidP="00BB4743">
            <w:pPr>
              <w:rPr>
                <w:rFonts w:cs="Calibri"/>
                <w:color w:val="auto"/>
                <w:sz w:val="20"/>
                <w:szCs w:val="20"/>
              </w:rPr>
            </w:pPr>
            <w:r w:rsidRPr="00BB4743">
              <w:rPr>
                <w:rFonts w:eastAsia="Calibri" w:cs="Calibri"/>
                <w:color w:val="auto"/>
                <w:sz w:val="20"/>
                <w:szCs w:val="20"/>
              </w:rPr>
              <w:t>Lead Laboratory Specialist</w:t>
            </w:r>
          </w:p>
        </w:tc>
      </w:tr>
      <w:tr w:rsidR="6A4048FE" w14:paraId="40C0A5F6"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046A84EE" w14:textId="284F6F85" w:rsidR="2BEA4E0A" w:rsidRPr="00BB4743" w:rsidRDefault="2BEA4E0A" w:rsidP="6A4048FE">
            <w:pPr>
              <w:rPr>
                <w:rFonts w:cs="Calibri"/>
                <w:b/>
                <w:bCs/>
                <w:color w:val="auto"/>
                <w:sz w:val="20"/>
                <w:szCs w:val="20"/>
              </w:rPr>
            </w:pPr>
            <w:r w:rsidRPr="00BB4743">
              <w:rPr>
                <w:rFonts w:eastAsia="Calibri" w:cs="Calibri"/>
                <w:b/>
                <w:bCs/>
                <w:color w:val="auto"/>
                <w:sz w:val="20"/>
                <w:szCs w:val="20"/>
              </w:rPr>
              <w:t>Prof. Amir Soebandrio</w:t>
            </w:r>
          </w:p>
        </w:tc>
        <w:tc>
          <w:tcPr>
            <w:tcW w:w="3131" w:type="dxa"/>
          </w:tcPr>
          <w:p w14:paraId="13C0E3A5" w14:textId="5537C712" w:rsidR="2BEA4E0A" w:rsidRPr="00BB4743" w:rsidRDefault="2BEA4E0A" w:rsidP="00BB4743">
            <w:pPr>
              <w:rPr>
                <w:rFonts w:cs="Calibri"/>
                <w:color w:val="auto"/>
                <w:sz w:val="20"/>
                <w:szCs w:val="20"/>
              </w:rPr>
            </w:pPr>
            <w:r w:rsidRPr="00BB4743">
              <w:rPr>
                <w:rFonts w:eastAsia="Calibri" w:cs="Calibri"/>
                <w:color w:val="auto"/>
                <w:sz w:val="20"/>
                <w:szCs w:val="20"/>
              </w:rPr>
              <w:t>Eijkman Institute</w:t>
            </w:r>
          </w:p>
        </w:tc>
        <w:tc>
          <w:tcPr>
            <w:tcW w:w="3130" w:type="dxa"/>
          </w:tcPr>
          <w:p w14:paraId="75127B79" w14:textId="1F11E8F5" w:rsidR="2BEA4E0A" w:rsidRPr="00BB4743" w:rsidRDefault="2BEA4E0A" w:rsidP="00BB4743">
            <w:pPr>
              <w:rPr>
                <w:rFonts w:cs="Calibri"/>
                <w:color w:val="auto"/>
                <w:sz w:val="20"/>
                <w:szCs w:val="20"/>
              </w:rPr>
            </w:pPr>
            <w:r w:rsidRPr="00BB4743">
              <w:rPr>
                <w:rFonts w:eastAsia="Calibri" w:cs="Calibri"/>
                <w:color w:val="auto"/>
                <w:sz w:val="20"/>
                <w:szCs w:val="20"/>
              </w:rPr>
              <w:t>Expert/Sub Grantee</w:t>
            </w:r>
          </w:p>
        </w:tc>
      </w:tr>
      <w:tr w:rsidR="17D077F0" w14:paraId="359AB3BE"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08278DD2" w14:textId="77777777" w:rsidR="17D077F0" w:rsidRPr="006C2954" w:rsidRDefault="17D077F0" w:rsidP="00041B22">
            <w:pPr>
              <w:rPr>
                <w:rFonts w:cs="Calibri"/>
                <w:color w:val="auto"/>
                <w:sz w:val="20"/>
                <w:szCs w:val="20"/>
              </w:rPr>
            </w:pPr>
            <w:r w:rsidRPr="006911A6">
              <w:rPr>
                <w:rFonts w:cstheme="minorBidi"/>
                <w:color w:val="FFFFFF" w:themeColor="background1"/>
                <w:sz w:val="20"/>
                <w:szCs w:val="20"/>
                <w:lang w:eastAsia="en-GB"/>
              </w:rPr>
              <w:t>Other decision makers</w:t>
            </w:r>
          </w:p>
        </w:tc>
      </w:tr>
      <w:tr w:rsidR="17D077F0" w14:paraId="5E2EFEEF"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2F1898B8" w14:textId="0375A638" w:rsidR="17D077F0" w:rsidRPr="00BB4743" w:rsidRDefault="00EE3BF1" w:rsidP="17D077F0">
            <w:pPr>
              <w:spacing w:line="259" w:lineRule="auto"/>
              <w:rPr>
                <w:rFonts w:cs="Calibri"/>
                <w:b/>
                <w:bCs/>
                <w:color w:val="auto"/>
                <w:sz w:val="20"/>
                <w:szCs w:val="20"/>
                <w:lang w:val="pt-PT"/>
              </w:rPr>
            </w:pPr>
            <w:r>
              <w:rPr>
                <w:rFonts w:eastAsia="Calibri" w:cs="Calibri"/>
                <w:b/>
                <w:bCs/>
                <w:color w:val="auto"/>
                <w:sz w:val="20"/>
                <w:szCs w:val="20"/>
                <w:lang w:val="pt-PT"/>
              </w:rPr>
              <w:t xml:space="preserve">Dr </w:t>
            </w:r>
            <w:r w:rsidR="1AA7F6C7" w:rsidRPr="00BB4743">
              <w:rPr>
                <w:rFonts w:eastAsia="Calibri" w:cs="Calibri"/>
                <w:b/>
                <w:bCs/>
                <w:color w:val="auto"/>
                <w:sz w:val="20"/>
                <w:szCs w:val="20"/>
                <w:lang w:val="pt-PT"/>
              </w:rPr>
              <w:t>Agus Suprapto., M.Kes</w:t>
            </w:r>
          </w:p>
        </w:tc>
        <w:tc>
          <w:tcPr>
            <w:tcW w:w="3131" w:type="dxa"/>
          </w:tcPr>
          <w:p w14:paraId="6C1F7E53" w14:textId="6C31509D" w:rsidR="17D077F0" w:rsidRPr="00BB4743" w:rsidRDefault="1AA7F6C7" w:rsidP="00041B22">
            <w:pPr>
              <w:spacing w:line="259" w:lineRule="auto"/>
              <w:rPr>
                <w:rFonts w:eastAsia="Calibri" w:cs="Calibri"/>
                <w:color w:val="auto"/>
                <w:sz w:val="20"/>
                <w:szCs w:val="20"/>
              </w:rPr>
            </w:pPr>
            <w:r w:rsidRPr="00BB4743">
              <w:rPr>
                <w:rFonts w:eastAsia="Calibri" w:cs="Calibri"/>
                <w:color w:val="auto"/>
                <w:sz w:val="20"/>
                <w:szCs w:val="20"/>
              </w:rPr>
              <w:t>Coordinating Ministry for Human Development and Cultural Affairs/Kemenko PMK</w:t>
            </w:r>
            <w:r w:rsidR="008767A9">
              <w:rPr>
                <w:rFonts w:eastAsia="Calibri" w:cs="Calibri"/>
                <w:color w:val="auto"/>
                <w:sz w:val="20"/>
                <w:szCs w:val="20"/>
              </w:rPr>
              <w:t xml:space="preserve"> </w:t>
            </w:r>
            <w:r w:rsidRPr="00BB4743">
              <w:rPr>
                <w:rFonts w:eastAsia="Calibri" w:cs="Calibri"/>
                <w:color w:val="auto"/>
                <w:sz w:val="20"/>
                <w:szCs w:val="20"/>
              </w:rPr>
              <w:t>(Coordinator of AMR coordinating body)</w:t>
            </w:r>
          </w:p>
        </w:tc>
        <w:tc>
          <w:tcPr>
            <w:tcW w:w="3130" w:type="dxa"/>
          </w:tcPr>
          <w:p w14:paraId="112B42C1" w14:textId="5ECEBE32" w:rsidR="17D077F0" w:rsidRPr="00BB4743" w:rsidRDefault="1AA7F6C7" w:rsidP="000B3487">
            <w:pPr>
              <w:spacing w:line="259" w:lineRule="auto"/>
              <w:rPr>
                <w:rFonts w:eastAsia="Calibri" w:cs="Calibri"/>
                <w:color w:val="auto"/>
                <w:sz w:val="20"/>
                <w:szCs w:val="20"/>
              </w:rPr>
            </w:pPr>
            <w:r w:rsidRPr="00BB4743">
              <w:rPr>
                <w:rFonts w:eastAsia="Calibri" w:cs="Calibri"/>
                <w:color w:val="auto"/>
                <w:sz w:val="20"/>
                <w:szCs w:val="20"/>
              </w:rPr>
              <w:t>Deputy of Quality Health Improvement and Population</w:t>
            </w:r>
          </w:p>
          <w:p w14:paraId="7E73333E" w14:textId="5CE9950B" w:rsidR="17D077F0" w:rsidRPr="006C2954" w:rsidRDefault="17D077F0" w:rsidP="00BB4743">
            <w:pPr>
              <w:rPr>
                <w:rFonts w:cs="Calibri"/>
                <w:color w:val="auto"/>
                <w:sz w:val="20"/>
                <w:szCs w:val="20"/>
              </w:rPr>
            </w:pPr>
          </w:p>
        </w:tc>
      </w:tr>
      <w:tr w:rsidR="6A4048FE" w14:paraId="06368519"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6541DFEB" w14:textId="1745583C" w:rsidR="1AA7F6C7" w:rsidRPr="00BB4743" w:rsidRDefault="1AA7F6C7" w:rsidP="6A4048FE">
            <w:pPr>
              <w:spacing w:line="259" w:lineRule="auto"/>
              <w:rPr>
                <w:rFonts w:cs="Calibri"/>
                <w:b/>
                <w:bCs/>
                <w:color w:val="auto"/>
                <w:sz w:val="20"/>
                <w:szCs w:val="20"/>
              </w:rPr>
            </w:pPr>
            <w:r w:rsidRPr="00BB4743">
              <w:rPr>
                <w:rFonts w:eastAsia="Calibri" w:cs="Calibri"/>
                <w:b/>
                <w:bCs/>
                <w:color w:val="auto"/>
                <w:sz w:val="20"/>
                <w:szCs w:val="20"/>
              </w:rPr>
              <w:t>Drh. Christina Retna Handayani</w:t>
            </w:r>
          </w:p>
        </w:tc>
        <w:tc>
          <w:tcPr>
            <w:tcW w:w="3131" w:type="dxa"/>
          </w:tcPr>
          <w:p w14:paraId="6D028760" w14:textId="1225DA1A" w:rsidR="1AA7F6C7" w:rsidRPr="00BB4743" w:rsidRDefault="1AA7F6C7" w:rsidP="00041B22">
            <w:pPr>
              <w:spacing w:line="259" w:lineRule="auto"/>
              <w:rPr>
                <w:rFonts w:cs="Calibri"/>
                <w:color w:val="auto"/>
                <w:sz w:val="20"/>
                <w:szCs w:val="20"/>
              </w:rPr>
            </w:pPr>
            <w:r w:rsidRPr="00BB4743">
              <w:rPr>
                <w:rFonts w:eastAsia="Calibri" w:cs="Calibri"/>
                <w:color w:val="auto"/>
                <w:sz w:val="20"/>
                <w:szCs w:val="20"/>
              </w:rPr>
              <w:t>Ministry of Marine and Fish Affairs</w:t>
            </w:r>
          </w:p>
        </w:tc>
        <w:tc>
          <w:tcPr>
            <w:tcW w:w="3130" w:type="dxa"/>
          </w:tcPr>
          <w:p w14:paraId="7A1F1632" w14:textId="6A29B6D5" w:rsidR="1AA7F6C7" w:rsidRPr="00BB4743" w:rsidRDefault="1AA7F6C7" w:rsidP="000B3487">
            <w:pPr>
              <w:spacing w:line="259" w:lineRule="auto"/>
              <w:rPr>
                <w:rFonts w:eastAsia="Calibri" w:cs="Calibri"/>
                <w:color w:val="auto"/>
                <w:sz w:val="20"/>
                <w:szCs w:val="20"/>
              </w:rPr>
            </w:pPr>
            <w:r w:rsidRPr="00BB4743">
              <w:rPr>
                <w:rFonts w:eastAsia="Calibri" w:cs="Calibri"/>
                <w:color w:val="auto"/>
                <w:sz w:val="20"/>
                <w:szCs w:val="20"/>
              </w:rPr>
              <w:t>Coordinator of Pest and Fish Diseases</w:t>
            </w:r>
          </w:p>
        </w:tc>
      </w:tr>
      <w:tr w:rsidR="17D077F0" w14:paraId="6AE939A6"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0762B319" w14:textId="465C35AD" w:rsidR="17D077F0" w:rsidRPr="006911A6" w:rsidRDefault="17D077F0" w:rsidP="00041B22">
            <w:pPr>
              <w:rPr>
                <w:rFonts w:cstheme="minorBidi"/>
                <w:color w:val="FFFFFF" w:themeColor="background1"/>
                <w:sz w:val="20"/>
                <w:szCs w:val="20"/>
                <w:lang w:eastAsia="en-GB"/>
              </w:rPr>
            </w:pPr>
            <w:r w:rsidRPr="006911A6">
              <w:rPr>
                <w:rFonts w:cstheme="minorBidi"/>
                <w:color w:val="FFFFFF" w:themeColor="background1"/>
                <w:sz w:val="20"/>
                <w:szCs w:val="20"/>
                <w:lang w:eastAsia="en-GB"/>
              </w:rPr>
              <w:t>Professional Fellows HH</w:t>
            </w:r>
          </w:p>
        </w:tc>
      </w:tr>
      <w:tr w:rsidR="17D077F0" w14:paraId="6F1933E6"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shd w:val="clear" w:color="auto" w:fill="auto"/>
          </w:tcPr>
          <w:p w14:paraId="4ADC3116" w14:textId="0188CB51" w:rsidR="17D077F0" w:rsidRPr="00BB4743" w:rsidRDefault="00EE3BF1" w:rsidP="17D077F0">
            <w:pPr>
              <w:rPr>
                <w:rFonts w:cs="Calibri"/>
                <w:b/>
                <w:bCs/>
                <w:color w:val="auto"/>
                <w:sz w:val="20"/>
                <w:szCs w:val="20"/>
              </w:rPr>
            </w:pPr>
            <w:r>
              <w:rPr>
                <w:rFonts w:eastAsia="Calibri" w:cs="Calibri"/>
                <w:b/>
                <w:bCs/>
                <w:color w:val="auto"/>
                <w:sz w:val="20"/>
                <w:szCs w:val="20"/>
              </w:rPr>
              <w:t xml:space="preserve">Dr </w:t>
            </w:r>
            <w:r w:rsidR="7A78F849" w:rsidRPr="00BB4743">
              <w:rPr>
                <w:rFonts w:eastAsia="Calibri" w:cs="Calibri"/>
                <w:b/>
                <w:bCs/>
                <w:color w:val="auto"/>
                <w:sz w:val="20"/>
                <w:szCs w:val="20"/>
              </w:rPr>
              <w:t>Titiek Sulistyowati, SpMk</w:t>
            </w:r>
          </w:p>
        </w:tc>
        <w:tc>
          <w:tcPr>
            <w:tcW w:w="3131" w:type="dxa"/>
            <w:shd w:val="clear" w:color="auto" w:fill="auto"/>
          </w:tcPr>
          <w:p w14:paraId="5FEB24C5" w14:textId="2F64C431" w:rsidR="17D077F0" w:rsidRPr="00BB4743" w:rsidRDefault="00815961" w:rsidP="00BB4743">
            <w:pPr>
              <w:spacing w:line="259" w:lineRule="auto"/>
              <w:rPr>
                <w:rFonts w:cs="Calibri"/>
                <w:color w:val="auto"/>
                <w:sz w:val="20"/>
                <w:szCs w:val="20"/>
              </w:rPr>
            </w:pPr>
            <w:r w:rsidRPr="00815961">
              <w:rPr>
                <w:rFonts w:eastAsia="Calibri" w:cs="Calibri"/>
                <w:color w:val="auto"/>
                <w:sz w:val="20"/>
                <w:szCs w:val="20"/>
              </w:rPr>
              <w:t xml:space="preserve">Balai Besar Laboratorium Kesehatan </w:t>
            </w:r>
            <w:r>
              <w:rPr>
                <w:rFonts w:eastAsia="Calibri" w:cs="Calibri"/>
                <w:color w:val="auto"/>
                <w:sz w:val="20"/>
                <w:szCs w:val="20"/>
              </w:rPr>
              <w:t>(</w:t>
            </w:r>
            <w:r w:rsidR="17B56C5F" w:rsidRPr="00BB4743">
              <w:rPr>
                <w:rFonts w:eastAsia="Calibri" w:cs="Calibri"/>
                <w:color w:val="auto"/>
                <w:sz w:val="20"/>
                <w:szCs w:val="20"/>
              </w:rPr>
              <w:t>BBLK</w:t>
            </w:r>
            <w:r>
              <w:rPr>
                <w:rFonts w:eastAsia="Calibri" w:cs="Calibri"/>
                <w:color w:val="auto"/>
                <w:sz w:val="20"/>
                <w:szCs w:val="20"/>
              </w:rPr>
              <w:t>)</w:t>
            </w:r>
            <w:r w:rsidR="17B56C5F" w:rsidRPr="00BB4743">
              <w:rPr>
                <w:rFonts w:eastAsia="Calibri" w:cs="Calibri"/>
                <w:color w:val="auto"/>
                <w:sz w:val="20"/>
                <w:szCs w:val="20"/>
              </w:rPr>
              <w:t xml:space="preserve"> Surabaya</w:t>
            </w:r>
          </w:p>
        </w:tc>
        <w:tc>
          <w:tcPr>
            <w:tcW w:w="3130" w:type="dxa"/>
            <w:shd w:val="clear" w:color="auto" w:fill="auto"/>
          </w:tcPr>
          <w:p w14:paraId="0CDB9872" w14:textId="7498AD77" w:rsidR="17D077F0" w:rsidRPr="00BB4743" w:rsidRDefault="7A78F849" w:rsidP="00BB4743">
            <w:pPr>
              <w:rPr>
                <w:rFonts w:cs="Calibri"/>
                <w:color w:val="auto"/>
                <w:sz w:val="20"/>
                <w:szCs w:val="20"/>
              </w:rPr>
            </w:pPr>
            <w:r w:rsidRPr="00BB4743">
              <w:rPr>
                <w:rFonts w:eastAsia="Calibri" w:cs="Calibri"/>
                <w:color w:val="auto"/>
                <w:sz w:val="20"/>
                <w:szCs w:val="20"/>
              </w:rPr>
              <w:t>AMR HH Laboratory Fellow</w:t>
            </w:r>
          </w:p>
        </w:tc>
      </w:tr>
      <w:tr w:rsidR="6A4048FE" w14:paraId="07B550D5"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134" w:type="dxa"/>
            <w:shd w:val="clear" w:color="auto" w:fill="auto"/>
          </w:tcPr>
          <w:p w14:paraId="6C3EE5EC" w14:textId="46D6BE84" w:rsidR="541258CE" w:rsidRPr="00BB4743" w:rsidRDefault="541258CE" w:rsidP="6A4048FE">
            <w:pPr>
              <w:rPr>
                <w:rFonts w:cs="Calibri"/>
                <w:b/>
                <w:bCs/>
                <w:color w:val="auto"/>
                <w:sz w:val="20"/>
                <w:szCs w:val="20"/>
                <w:lang w:val="it-IT"/>
              </w:rPr>
            </w:pPr>
            <w:r w:rsidRPr="00BB4743">
              <w:rPr>
                <w:rFonts w:eastAsia="Calibri" w:cs="Calibri"/>
                <w:b/>
                <w:bCs/>
                <w:color w:val="auto"/>
                <w:sz w:val="20"/>
                <w:szCs w:val="20"/>
                <w:lang w:val="it-IT"/>
              </w:rPr>
              <w:t>Ms. Tati Febriyanti., S.Si</w:t>
            </w:r>
          </w:p>
        </w:tc>
        <w:tc>
          <w:tcPr>
            <w:tcW w:w="3131" w:type="dxa"/>
            <w:shd w:val="clear" w:color="auto" w:fill="auto"/>
          </w:tcPr>
          <w:p w14:paraId="2026A8C4" w14:textId="4562F897" w:rsidR="541258CE" w:rsidRPr="00BB4743" w:rsidRDefault="00CC5090" w:rsidP="00BB4743">
            <w:pPr>
              <w:spacing w:line="259" w:lineRule="auto"/>
              <w:rPr>
                <w:rFonts w:cs="Calibri"/>
                <w:color w:val="auto"/>
                <w:sz w:val="20"/>
                <w:szCs w:val="20"/>
              </w:rPr>
            </w:pPr>
            <w:r w:rsidRPr="00CC5090">
              <w:rPr>
                <w:rFonts w:eastAsia="Calibri" w:cs="Calibri"/>
                <w:color w:val="auto"/>
                <w:sz w:val="20"/>
                <w:szCs w:val="20"/>
              </w:rPr>
              <w:t xml:space="preserve">National Institute of Health Research Development </w:t>
            </w:r>
            <w:r>
              <w:rPr>
                <w:rFonts w:eastAsia="Calibri" w:cs="Calibri"/>
                <w:color w:val="auto"/>
                <w:sz w:val="20"/>
                <w:szCs w:val="20"/>
              </w:rPr>
              <w:t>(</w:t>
            </w:r>
            <w:r w:rsidR="541258CE" w:rsidRPr="00BB4743">
              <w:rPr>
                <w:rFonts w:eastAsia="Calibri" w:cs="Calibri"/>
                <w:color w:val="auto"/>
                <w:sz w:val="20"/>
                <w:szCs w:val="20"/>
              </w:rPr>
              <w:t>NIHRD</w:t>
            </w:r>
            <w:r>
              <w:rPr>
                <w:rFonts w:eastAsia="Calibri" w:cs="Calibri"/>
                <w:color w:val="auto"/>
                <w:sz w:val="20"/>
                <w:szCs w:val="20"/>
              </w:rPr>
              <w:t>)</w:t>
            </w:r>
          </w:p>
        </w:tc>
        <w:tc>
          <w:tcPr>
            <w:tcW w:w="3130" w:type="dxa"/>
            <w:shd w:val="clear" w:color="auto" w:fill="auto"/>
          </w:tcPr>
          <w:p w14:paraId="75731502" w14:textId="43FC07F4" w:rsidR="465E7109" w:rsidRPr="00BB4743" w:rsidRDefault="465E7109" w:rsidP="00BB4743">
            <w:pPr>
              <w:rPr>
                <w:rFonts w:cs="Calibri"/>
                <w:color w:val="auto"/>
                <w:sz w:val="20"/>
                <w:szCs w:val="20"/>
              </w:rPr>
            </w:pPr>
            <w:r w:rsidRPr="00BB4743">
              <w:rPr>
                <w:rFonts w:eastAsia="Calibri" w:cs="Calibri"/>
                <w:color w:val="auto"/>
                <w:sz w:val="20"/>
                <w:szCs w:val="20"/>
              </w:rPr>
              <w:t xml:space="preserve">AMR HH Surveillance </w:t>
            </w:r>
            <w:r w:rsidR="0C1F15A3" w:rsidRPr="00BB4743">
              <w:rPr>
                <w:rFonts w:eastAsia="Calibri" w:cs="Calibri"/>
                <w:color w:val="auto"/>
                <w:sz w:val="20"/>
                <w:szCs w:val="20"/>
              </w:rPr>
              <w:t>Fellow</w:t>
            </w:r>
          </w:p>
        </w:tc>
      </w:tr>
      <w:tr w:rsidR="17D077F0" w14:paraId="70426DFA"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48B5A197" w14:textId="77777777" w:rsidR="17D077F0" w:rsidRPr="006911A6" w:rsidRDefault="17D077F0" w:rsidP="00041B22">
            <w:pPr>
              <w:rPr>
                <w:rFonts w:cstheme="minorBidi"/>
                <w:color w:val="FFFFFF" w:themeColor="background1"/>
                <w:sz w:val="20"/>
                <w:szCs w:val="20"/>
                <w:lang w:eastAsia="en-GB"/>
              </w:rPr>
            </w:pPr>
            <w:r w:rsidRPr="006911A6">
              <w:rPr>
                <w:rFonts w:cstheme="minorBidi"/>
                <w:color w:val="FFFFFF" w:themeColor="background1"/>
                <w:sz w:val="20"/>
                <w:szCs w:val="20"/>
                <w:lang w:eastAsia="en-GB"/>
              </w:rPr>
              <w:t>Professional Fellows AH</w:t>
            </w:r>
          </w:p>
        </w:tc>
      </w:tr>
      <w:tr w:rsidR="17D077F0" w14:paraId="13A6E1E7"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3628B2FD" w14:textId="34DF1592" w:rsidR="17D077F0" w:rsidRPr="00BB4743" w:rsidRDefault="6DB570D0" w:rsidP="17D077F0">
            <w:pPr>
              <w:spacing w:line="259" w:lineRule="auto"/>
              <w:rPr>
                <w:rFonts w:eastAsia="Calibri" w:cs="Calibri"/>
                <w:b/>
                <w:bCs/>
                <w:color w:val="auto"/>
                <w:sz w:val="20"/>
                <w:szCs w:val="20"/>
              </w:rPr>
            </w:pPr>
            <w:r w:rsidRPr="00BB4743">
              <w:rPr>
                <w:rFonts w:eastAsia="Calibri" w:cs="Calibri"/>
                <w:b/>
                <w:bCs/>
                <w:color w:val="auto"/>
                <w:sz w:val="20"/>
                <w:szCs w:val="20"/>
              </w:rPr>
              <w:t>Ms. Dinarti</w:t>
            </w:r>
          </w:p>
        </w:tc>
        <w:tc>
          <w:tcPr>
            <w:tcW w:w="3131" w:type="dxa"/>
          </w:tcPr>
          <w:p w14:paraId="0297AEE4" w14:textId="48893AE2" w:rsidR="17D077F0" w:rsidRPr="00BB4743" w:rsidRDefault="6DB570D0" w:rsidP="00BB4743">
            <w:pPr>
              <w:spacing w:line="259" w:lineRule="auto"/>
              <w:rPr>
                <w:rFonts w:cs="Calibri"/>
                <w:color w:val="auto"/>
                <w:sz w:val="20"/>
                <w:szCs w:val="20"/>
              </w:rPr>
            </w:pPr>
            <w:r w:rsidRPr="00BB4743">
              <w:rPr>
                <w:rFonts w:eastAsia="Calibri" w:cs="Calibri"/>
                <w:color w:val="auto"/>
                <w:sz w:val="20"/>
                <w:szCs w:val="20"/>
              </w:rPr>
              <w:t>Station for Investigation of Fish Disease and Environment (SIFDE) Serang</w:t>
            </w:r>
          </w:p>
        </w:tc>
        <w:tc>
          <w:tcPr>
            <w:tcW w:w="3130" w:type="dxa"/>
          </w:tcPr>
          <w:p w14:paraId="55E9664B" w14:textId="220F0B1B" w:rsidR="17D077F0" w:rsidRPr="00BB4743" w:rsidRDefault="6DB570D0" w:rsidP="00BB4743">
            <w:pPr>
              <w:rPr>
                <w:rFonts w:cs="Calibri"/>
                <w:color w:val="auto"/>
                <w:sz w:val="20"/>
                <w:szCs w:val="20"/>
              </w:rPr>
            </w:pPr>
            <w:r w:rsidRPr="00BB4743">
              <w:rPr>
                <w:rFonts w:eastAsia="Calibri" w:cs="Calibri"/>
                <w:color w:val="auto"/>
                <w:sz w:val="20"/>
                <w:szCs w:val="20"/>
              </w:rPr>
              <w:t>AMR AQ Laboratory Fellow</w:t>
            </w:r>
          </w:p>
        </w:tc>
      </w:tr>
      <w:tr w:rsidR="6A4048FE" w14:paraId="680A2A9B"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1A66822F" w14:textId="5A56B350" w:rsidR="6DB570D0" w:rsidRPr="00BB4743" w:rsidRDefault="6DB570D0" w:rsidP="6A4048FE">
            <w:pPr>
              <w:spacing w:line="259" w:lineRule="auto"/>
              <w:rPr>
                <w:rFonts w:cs="Calibri"/>
                <w:b/>
                <w:bCs/>
                <w:color w:val="auto"/>
                <w:sz w:val="20"/>
                <w:szCs w:val="20"/>
              </w:rPr>
            </w:pPr>
            <w:r w:rsidRPr="00BB4743">
              <w:rPr>
                <w:rFonts w:eastAsia="Calibri" w:cs="Calibri"/>
                <w:b/>
                <w:bCs/>
                <w:color w:val="auto"/>
                <w:sz w:val="20"/>
                <w:szCs w:val="20"/>
              </w:rPr>
              <w:t>Dr</w:t>
            </w:r>
            <w:r w:rsidR="004644F6">
              <w:rPr>
                <w:rFonts w:eastAsia="Calibri" w:cs="Calibri"/>
                <w:b/>
                <w:bCs/>
                <w:color w:val="auto"/>
                <w:sz w:val="20"/>
                <w:szCs w:val="20"/>
              </w:rPr>
              <w:t>h</w:t>
            </w:r>
            <w:r w:rsidRPr="00BB4743">
              <w:rPr>
                <w:rFonts w:eastAsia="Calibri" w:cs="Calibri"/>
                <w:b/>
                <w:bCs/>
                <w:color w:val="auto"/>
                <w:sz w:val="20"/>
                <w:szCs w:val="20"/>
              </w:rPr>
              <w:t>. Liys Desmayanti</w:t>
            </w:r>
          </w:p>
        </w:tc>
        <w:tc>
          <w:tcPr>
            <w:tcW w:w="3131" w:type="dxa"/>
          </w:tcPr>
          <w:p w14:paraId="24B22E45" w14:textId="4B29E2C6" w:rsidR="6DB570D0" w:rsidRPr="00BB4743" w:rsidRDefault="6DB570D0" w:rsidP="00BB4743">
            <w:pPr>
              <w:spacing w:line="259" w:lineRule="auto"/>
              <w:rPr>
                <w:rFonts w:cs="Calibri"/>
                <w:color w:val="auto"/>
                <w:sz w:val="20"/>
                <w:szCs w:val="20"/>
              </w:rPr>
            </w:pPr>
            <w:r w:rsidRPr="00BB4743">
              <w:rPr>
                <w:rFonts w:eastAsia="Calibri" w:cs="Calibri"/>
                <w:color w:val="auto"/>
                <w:sz w:val="20"/>
                <w:szCs w:val="20"/>
              </w:rPr>
              <w:t xml:space="preserve">Directorate of Animal Health (DAH) </w:t>
            </w:r>
            <w:r w:rsidR="00036DA4">
              <w:rPr>
                <w:rFonts w:eastAsia="Calibri" w:cs="Calibri"/>
                <w:color w:val="auto"/>
                <w:sz w:val="20"/>
                <w:szCs w:val="20"/>
              </w:rPr>
              <w:t>–</w:t>
            </w:r>
            <w:r w:rsidRPr="00BB4743">
              <w:rPr>
                <w:rFonts w:eastAsia="Calibri" w:cs="Calibri"/>
                <w:color w:val="auto"/>
                <w:sz w:val="20"/>
                <w:szCs w:val="20"/>
              </w:rPr>
              <w:t xml:space="preserve"> MoA</w:t>
            </w:r>
          </w:p>
        </w:tc>
        <w:tc>
          <w:tcPr>
            <w:tcW w:w="3130" w:type="dxa"/>
          </w:tcPr>
          <w:p w14:paraId="342C0776" w14:textId="5FDAB93F" w:rsidR="6DB570D0" w:rsidRPr="00BB4743" w:rsidRDefault="6DB570D0" w:rsidP="00BB4743">
            <w:pPr>
              <w:rPr>
                <w:rFonts w:eastAsia="Calibri" w:cs="Calibri"/>
                <w:color w:val="auto"/>
                <w:sz w:val="20"/>
                <w:szCs w:val="20"/>
              </w:rPr>
            </w:pPr>
            <w:r w:rsidRPr="00BB4743">
              <w:rPr>
                <w:rFonts w:eastAsia="Calibri" w:cs="Calibri"/>
                <w:color w:val="auto"/>
                <w:sz w:val="20"/>
                <w:szCs w:val="20"/>
              </w:rPr>
              <w:t>AM</w:t>
            </w:r>
            <w:r w:rsidR="00BD7C90">
              <w:rPr>
                <w:rFonts w:eastAsia="Calibri" w:cs="Calibri"/>
                <w:color w:val="auto"/>
                <w:sz w:val="20"/>
                <w:szCs w:val="20"/>
              </w:rPr>
              <w:t>C</w:t>
            </w:r>
            <w:r w:rsidRPr="00BB4743">
              <w:rPr>
                <w:rFonts w:eastAsia="Calibri" w:cs="Calibri"/>
                <w:color w:val="auto"/>
                <w:sz w:val="20"/>
                <w:szCs w:val="20"/>
              </w:rPr>
              <w:t>/</w:t>
            </w:r>
            <w:r w:rsidR="00BD7C90">
              <w:rPr>
                <w:rFonts w:eastAsia="Calibri" w:cs="Calibri"/>
                <w:color w:val="auto"/>
                <w:sz w:val="20"/>
                <w:szCs w:val="20"/>
              </w:rPr>
              <w:t>U</w:t>
            </w:r>
            <w:r w:rsidR="1A0DF109" w:rsidRPr="00BB4743">
              <w:rPr>
                <w:rFonts w:eastAsia="Calibri" w:cs="Calibri"/>
                <w:color w:val="auto"/>
                <w:sz w:val="20"/>
                <w:szCs w:val="20"/>
              </w:rPr>
              <w:t xml:space="preserve"> AH</w:t>
            </w:r>
            <w:r w:rsidRPr="00BB4743">
              <w:rPr>
                <w:rFonts w:eastAsia="Calibri" w:cs="Calibri"/>
                <w:color w:val="auto"/>
                <w:sz w:val="20"/>
                <w:szCs w:val="20"/>
              </w:rPr>
              <w:t xml:space="preserve"> Surveillance Fellow</w:t>
            </w:r>
          </w:p>
        </w:tc>
      </w:tr>
      <w:tr w:rsidR="6A4048FE" w14:paraId="17C69F10"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1089EA7D" w14:textId="54C13523" w:rsidR="1F1B9ADB" w:rsidRPr="00BB4743" w:rsidRDefault="1F1B9ADB" w:rsidP="6A4048FE">
            <w:pPr>
              <w:spacing w:line="259" w:lineRule="auto"/>
              <w:rPr>
                <w:rFonts w:cs="Calibri"/>
                <w:b/>
                <w:bCs/>
                <w:color w:val="auto"/>
                <w:sz w:val="20"/>
                <w:szCs w:val="20"/>
              </w:rPr>
            </w:pPr>
            <w:r w:rsidRPr="00BB4743">
              <w:rPr>
                <w:rFonts w:eastAsia="Calibri" w:cs="Calibri"/>
                <w:b/>
                <w:bCs/>
                <w:color w:val="auto"/>
                <w:sz w:val="20"/>
                <w:szCs w:val="20"/>
              </w:rPr>
              <w:t>Dr</w:t>
            </w:r>
            <w:r w:rsidR="004644F6">
              <w:rPr>
                <w:rFonts w:eastAsia="Calibri" w:cs="Calibri"/>
                <w:b/>
                <w:bCs/>
                <w:color w:val="auto"/>
                <w:sz w:val="20"/>
                <w:szCs w:val="20"/>
              </w:rPr>
              <w:t>h</w:t>
            </w:r>
            <w:r w:rsidRPr="00BB4743">
              <w:rPr>
                <w:rFonts w:eastAsia="Calibri" w:cs="Calibri"/>
                <w:b/>
                <w:bCs/>
                <w:color w:val="auto"/>
                <w:sz w:val="20"/>
                <w:szCs w:val="20"/>
              </w:rPr>
              <w:t>. Imron Suandy, MVPH</w:t>
            </w:r>
          </w:p>
        </w:tc>
        <w:tc>
          <w:tcPr>
            <w:tcW w:w="3131" w:type="dxa"/>
          </w:tcPr>
          <w:p w14:paraId="28672544" w14:textId="248729B5" w:rsidR="1F1B9ADB" w:rsidRPr="00BB4743" w:rsidRDefault="1F1B9ADB" w:rsidP="00BB4743">
            <w:pPr>
              <w:spacing w:line="259" w:lineRule="auto"/>
              <w:rPr>
                <w:rFonts w:cs="Calibri"/>
                <w:color w:val="auto"/>
                <w:sz w:val="20"/>
                <w:szCs w:val="20"/>
              </w:rPr>
            </w:pPr>
            <w:r w:rsidRPr="00BB4743">
              <w:rPr>
                <w:rFonts w:eastAsia="Calibri" w:cs="Calibri"/>
                <w:color w:val="auto"/>
                <w:sz w:val="20"/>
                <w:szCs w:val="20"/>
              </w:rPr>
              <w:t>Directorate of Veterinary Public Health (DVPH)</w:t>
            </w:r>
          </w:p>
        </w:tc>
        <w:tc>
          <w:tcPr>
            <w:tcW w:w="3130" w:type="dxa"/>
          </w:tcPr>
          <w:p w14:paraId="753C38CC" w14:textId="7290359A" w:rsidR="1F1B9ADB" w:rsidRPr="00BB4743" w:rsidRDefault="1F1B9ADB" w:rsidP="00BB4743">
            <w:pPr>
              <w:rPr>
                <w:rFonts w:cs="Calibri"/>
                <w:color w:val="auto"/>
                <w:sz w:val="20"/>
                <w:szCs w:val="20"/>
              </w:rPr>
            </w:pPr>
            <w:r w:rsidRPr="00BB4743">
              <w:rPr>
                <w:rFonts w:eastAsia="Calibri" w:cs="Calibri"/>
                <w:color w:val="auto"/>
                <w:sz w:val="20"/>
                <w:szCs w:val="20"/>
              </w:rPr>
              <w:t>AMR AH Surveillance Fellow</w:t>
            </w:r>
          </w:p>
        </w:tc>
      </w:tr>
      <w:tr w:rsidR="17D077F0" w14:paraId="522D7F2F"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00E858E5" w14:textId="2A593F03" w:rsidR="17D077F0" w:rsidRPr="006911A6" w:rsidRDefault="3231AF71" w:rsidP="00041B22">
            <w:pPr>
              <w:rPr>
                <w:rFonts w:cstheme="minorBidi"/>
                <w:color w:val="FFFFFF" w:themeColor="background1"/>
                <w:sz w:val="20"/>
                <w:szCs w:val="20"/>
              </w:rPr>
            </w:pPr>
            <w:r w:rsidRPr="006911A6">
              <w:rPr>
                <w:rFonts w:cstheme="minorBidi"/>
                <w:color w:val="FFFFFF" w:themeColor="background1"/>
                <w:sz w:val="20"/>
                <w:szCs w:val="20"/>
              </w:rPr>
              <w:t>AMR Focal Point</w:t>
            </w:r>
            <w:r w:rsidR="47215A53" w:rsidRPr="006911A6">
              <w:rPr>
                <w:rFonts w:cstheme="minorBidi"/>
                <w:color w:val="FFFFFF" w:themeColor="background1"/>
                <w:sz w:val="20"/>
                <w:szCs w:val="20"/>
              </w:rPr>
              <w:t xml:space="preserve"> (no formal AMR Focal point at MoH and MoMF yet)</w:t>
            </w:r>
          </w:p>
        </w:tc>
      </w:tr>
      <w:tr w:rsidR="007B6213" w:rsidRPr="007B6213" w14:paraId="532B56F2"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25C5FDF6" w14:textId="4A31313D" w:rsidR="17D077F0" w:rsidRPr="001B7050" w:rsidRDefault="0BD1F853" w:rsidP="17D077F0">
            <w:pPr>
              <w:spacing w:line="259" w:lineRule="auto"/>
              <w:rPr>
                <w:rFonts w:cs="Calibri"/>
                <w:b/>
                <w:color w:val="auto"/>
                <w:sz w:val="20"/>
                <w:szCs w:val="20"/>
              </w:rPr>
            </w:pPr>
            <w:r w:rsidRPr="001B7050">
              <w:rPr>
                <w:rFonts w:eastAsia="Calibri" w:cs="Calibri"/>
                <w:b/>
                <w:sz w:val="20"/>
                <w:szCs w:val="20"/>
              </w:rPr>
              <w:t xml:space="preserve">Prof. </w:t>
            </w:r>
            <w:r w:rsidR="00EE3BF1" w:rsidRPr="001B7050">
              <w:rPr>
                <w:rFonts w:eastAsia="Calibri" w:cs="Calibri"/>
                <w:b/>
                <w:sz w:val="20"/>
                <w:szCs w:val="20"/>
              </w:rPr>
              <w:t xml:space="preserve">Dr </w:t>
            </w:r>
            <w:r w:rsidRPr="001B7050">
              <w:rPr>
                <w:rFonts w:eastAsia="Calibri" w:cs="Calibri"/>
                <w:b/>
                <w:sz w:val="20"/>
                <w:szCs w:val="20"/>
              </w:rPr>
              <w:t>Anis Karuniawati, PhD</w:t>
            </w:r>
          </w:p>
        </w:tc>
        <w:tc>
          <w:tcPr>
            <w:tcW w:w="3131" w:type="dxa"/>
          </w:tcPr>
          <w:p w14:paraId="24230E5B" w14:textId="5D011845" w:rsidR="17D077F0" w:rsidRPr="007B6213" w:rsidRDefault="4AE094AA" w:rsidP="00BB4743">
            <w:pPr>
              <w:spacing w:line="259" w:lineRule="auto"/>
              <w:rPr>
                <w:rFonts w:cs="Calibri"/>
                <w:color w:val="auto"/>
                <w:sz w:val="20"/>
                <w:szCs w:val="20"/>
              </w:rPr>
            </w:pPr>
            <w:r w:rsidRPr="007B6213">
              <w:rPr>
                <w:rFonts w:eastAsia="Calibri" w:cs="Calibri"/>
                <w:color w:val="auto"/>
                <w:sz w:val="20"/>
                <w:szCs w:val="20"/>
              </w:rPr>
              <w:t xml:space="preserve">National Agency </w:t>
            </w:r>
            <w:r w:rsidR="003B3C7C" w:rsidRPr="007B6213">
              <w:rPr>
                <w:rFonts w:eastAsia="Calibri" w:cs="Calibri"/>
                <w:color w:val="auto"/>
                <w:sz w:val="20"/>
                <w:szCs w:val="20"/>
              </w:rPr>
              <w:t>Antimicrobial</w:t>
            </w:r>
            <w:r w:rsidRPr="007B6213">
              <w:rPr>
                <w:rFonts w:eastAsia="Calibri" w:cs="Calibri"/>
                <w:color w:val="auto"/>
                <w:sz w:val="20"/>
                <w:szCs w:val="20"/>
              </w:rPr>
              <w:t xml:space="preserve"> </w:t>
            </w:r>
            <w:r w:rsidR="00FF1804" w:rsidRPr="007B6213">
              <w:rPr>
                <w:rFonts w:eastAsia="Calibri" w:cs="Calibri"/>
                <w:color w:val="auto"/>
                <w:sz w:val="20"/>
                <w:szCs w:val="20"/>
              </w:rPr>
              <w:t>Resistance</w:t>
            </w:r>
            <w:r w:rsidRPr="007B6213">
              <w:rPr>
                <w:rFonts w:eastAsia="Calibri" w:cs="Calibri"/>
                <w:color w:val="auto"/>
                <w:sz w:val="20"/>
                <w:szCs w:val="20"/>
              </w:rPr>
              <w:t xml:space="preserve"> (KPRA) - MoH</w:t>
            </w:r>
          </w:p>
        </w:tc>
        <w:tc>
          <w:tcPr>
            <w:tcW w:w="3130" w:type="dxa"/>
          </w:tcPr>
          <w:p w14:paraId="44A24B9A" w14:textId="4673100D" w:rsidR="17D077F0" w:rsidRPr="007B6213" w:rsidRDefault="0BD1F853" w:rsidP="00BB4743">
            <w:pPr>
              <w:spacing w:line="259" w:lineRule="auto"/>
              <w:rPr>
                <w:rFonts w:cs="Calibri"/>
                <w:color w:val="auto"/>
                <w:sz w:val="20"/>
                <w:szCs w:val="20"/>
              </w:rPr>
            </w:pPr>
            <w:r w:rsidRPr="007B6213">
              <w:rPr>
                <w:rFonts w:eastAsia="Calibri" w:cs="Calibri"/>
                <w:color w:val="auto"/>
                <w:sz w:val="20"/>
                <w:szCs w:val="20"/>
              </w:rPr>
              <w:t>Executive Secretary</w:t>
            </w:r>
          </w:p>
        </w:tc>
      </w:tr>
      <w:tr w:rsidR="6A4048FE" w14:paraId="2B83ED19"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2F29A451" w14:textId="11B1FDF0" w:rsidR="0BD1F853" w:rsidRPr="00BB4743" w:rsidRDefault="0BD1F853" w:rsidP="6A4048FE">
            <w:pPr>
              <w:spacing w:line="259" w:lineRule="auto"/>
              <w:rPr>
                <w:rFonts w:cs="Calibri"/>
                <w:b/>
                <w:bCs/>
                <w:color w:val="auto"/>
                <w:sz w:val="20"/>
                <w:szCs w:val="20"/>
                <w:lang w:val="it-IT"/>
              </w:rPr>
            </w:pPr>
            <w:r w:rsidRPr="00BB4743">
              <w:rPr>
                <w:rFonts w:eastAsia="Calibri" w:cs="Calibri"/>
                <w:b/>
                <w:bCs/>
                <w:color w:val="auto"/>
                <w:sz w:val="20"/>
                <w:szCs w:val="20"/>
                <w:lang w:val="it-IT"/>
              </w:rPr>
              <w:t>Drh. Christina Retna Handayani., Msi</w:t>
            </w:r>
            <w:r w:rsidR="00414185">
              <w:rPr>
                <w:rFonts w:eastAsia="Calibri" w:cs="Calibri"/>
                <w:b/>
                <w:bCs/>
                <w:color w:val="auto"/>
                <w:sz w:val="20"/>
                <w:szCs w:val="20"/>
                <w:lang w:val="it-IT"/>
              </w:rPr>
              <w:t>*</w:t>
            </w:r>
          </w:p>
        </w:tc>
        <w:tc>
          <w:tcPr>
            <w:tcW w:w="3131" w:type="dxa"/>
          </w:tcPr>
          <w:p w14:paraId="72D91EBC" w14:textId="646779FA" w:rsidR="4A1E729D" w:rsidRPr="00BB4743" w:rsidRDefault="4A1E729D" w:rsidP="00BB4743">
            <w:pPr>
              <w:spacing w:line="259" w:lineRule="auto"/>
              <w:rPr>
                <w:rFonts w:cs="Calibri"/>
                <w:color w:val="auto"/>
                <w:sz w:val="20"/>
                <w:szCs w:val="20"/>
              </w:rPr>
            </w:pPr>
            <w:r w:rsidRPr="00BB4743">
              <w:rPr>
                <w:rFonts w:eastAsia="Calibri" w:cs="Calibri"/>
                <w:color w:val="auto"/>
                <w:sz w:val="20"/>
                <w:szCs w:val="20"/>
              </w:rPr>
              <w:t>Ministry of Marine and Fish Affairs</w:t>
            </w:r>
          </w:p>
        </w:tc>
        <w:tc>
          <w:tcPr>
            <w:tcW w:w="3130" w:type="dxa"/>
          </w:tcPr>
          <w:p w14:paraId="4FBBDB22" w14:textId="1824FA85" w:rsidR="0BD1F853" w:rsidRPr="00BB4743" w:rsidRDefault="0BD1F853" w:rsidP="00BB4743">
            <w:pPr>
              <w:spacing w:line="259" w:lineRule="auto"/>
              <w:rPr>
                <w:rFonts w:cs="Calibri"/>
                <w:color w:val="auto"/>
                <w:sz w:val="20"/>
                <w:szCs w:val="20"/>
              </w:rPr>
            </w:pPr>
            <w:r w:rsidRPr="00BB4743">
              <w:rPr>
                <w:rFonts w:eastAsia="Helvetica" w:cs="Calibri"/>
                <w:color w:val="auto"/>
                <w:sz w:val="20"/>
                <w:szCs w:val="20"/>
              </w:rPr>
              <w:t>Coordinator of Pest and Fish Diseases</w:t>
            </w:r>
          </w:p>
        </w:tc>
      </w:tr>
      <w:tr w:rsidR="007B6213" w:rsidRPr="007B6213" w14:paraId="5E35AA0E"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394412FD" w14:textId="65B20A34" w:rsidR="0BD1F853" w:rsidRPr="001B7050" w:rsidRDefault="0BD1F853" w:rsidP="6A4048FE">
            <w:pPr>
              <w:spacing w:line="259" w:lineRule="auto"/>
              <w:rPr>
                <w:rFonts w:cs="Calibri"/>
                <w:b/>
                <w:color w:val="auto"/>
                <w:sz w:val="20"/>
                <w:szCs w:val="20"/>
              </w:rPr>
            </w:pPr>
            <w:r w:rsidRPr="001B7050">
              <w:rPr>
                <w:rFonts w:eastAsia="Calibri" w:cs="Calibri"/>
                <w:b/>
                <w:sz w:val="20"/>
                <w:szCs w:val="20"/>
              </w:rPr>
              <w:t>Drh. Purnama Martha Oktavia Simanjuntak., M.Si</w:t>
            </w:r>
          </w:p>
        </w:tc>
        <w:tc>
          <w:tcPr>
            <w:tcW w:w="3131" w:type="dxa"/>
          </w:tcPr>
          <w:p w14:paraId="3F9747C6" w14:textId="0CB11A0B" w:rsidR="51E246A6" w:rsidRPr="007B6213" w:rsidRDefault="51E246A6" w:rsidP="00BB4743">
            <w:pPr>
              <w:spacing w:line="259" w:lineRule="auto"/>
              <w:rPr>
                <w:rFonts w:cs="Calibri"/>
                <w:color w:val="auto"/>
                <w:sz w:val="20"/>
                <w:szCs w:val="20"/>
              </w:rPr>
            </w:pPr>
            <w:r w:rsidRPr="007B6213">
              <w:rPr>
                <w:rFonts w:eastAsia="Calibri" w:cs="Calibri"/>
                <w:color w:val="auto"/>
                <w:sz w:val="20"/>
                <w:szCs w:val="20"/>
              </w:rPr>
              <w:t>Directorate Animal Health - Ministry of Agriculture</w:t>
            </w:r>
          </w:p>
        </w:tc>
        <w:tc>
          <w:tcPr>
            <w:tcW w:w="3130" w:type="dxa"/>
          </w:tcPr>
          <w:p w14:paraId="1AF3394B" w14:textId="3ACE25A4" w:rsidR="0BD1F853" w:rsidRPr="007B6213" w:rsidRDefault="0BD1F853" w:rsidP="00BB4743">
            <w:pPr>
              <w:spacing w:line="259" w:lineRule="auto"/>
              <w:rPr>
                <w:rFonts w:cs="Calibri"/>
                <w:color w:val="auto"/>
                <w:sz w:val="20"/>
                <w:szCs w:val="20"/>
              </w:rPr>
            </w:pPr>
            <w:r w:rsidRPr="007B6213">
              <w:rPr>
                <w:rFonts w:eastAsia="Helvetica" w:cs="Calibri"/>
                <w:color w:val="auto"/>
                <w:sz w:val="20"/>
                <w:szCs w:val="20"/>
              </w:rPr>
              <w:t>Surveillance and Animal Health Testing Sub Coordinator</w:t>
            </w:r>
          </w:p>
        </w:tc>
      </w:tr>
      <w:tr w:rsidR="17D077F0" w14:paraId="753C9FC3"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591BB9E6" w14:textId="36890795" w:rsidR="17D077F0" w:rsidRPr="006911A6" w:rsidRDefault="17D077F0" w:rsidP="00041B22">
            <w:pPr>
              <w:spacing w:line="259" w:lineRule="auto"/>
              <w:rPr>
                <w:rFonts w:cstheme="minorBidi"/>
                <w:color w:val="FFFFFF" w:themeColor="background1"/>
                <w:sz w:val="20"/>
                <w:szCs w:val="20"/>
              </w:rPr>
            </w:pPr>
            <w:r w:rsidRPr="006911A6">
              <w:rPr>
                <w:rFonts w:cstheme="minorBidi"/>
                <w:color w:val="FFFFFF" w:themeColor="background1"/>
                <w:sz w:val="20"/>
                <w:szCs w:val="20"/>
              </w:rPr>
              <w:t>GLASS Focal Point</w:t>
            </w:r>
          </w:p>
        </w:tc>
      </w:tr>
      <w:tr w:rsidR="17D077F0" w:rsidRPr="00FF1804" w14:paraId="319111F1"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5170ECA2" w14:textId="558D9C0D" w:rsidR="17D077F0" w:rsidRPr="00BB4743" w:rsidRDefault="00EE3BF1" w:rsidP="17D077F0">
            <w:pPr>
              <w:spacing w:line="259" w:lineRule="auto"/>
              <w:rPr>
                <w:rFonts w:cs="Calibri"/>
                <w:b/>
                <w:bCs/>
                <w:color w:val="auto"/>
                <w:sz w:val="20"/>
                <w:szCs w:val="20"/>
              </w:rPr>
            </w:pPr>
            <w:r>
              <w:rPr>
                <w:rFonts w:eastAsia="Calibri" w:cs="Calibri"/>
                <w:b/>
                <w:bCs/>
                <w:color w:val="auto"/>
                <w:sz w:val="20"/>
                <w:szCs w:val="20"/>
              </w:rPr>
              <w:t xml:space="preserve">Dr </w:t>
            </w:r>
            <w:r w:rsidR="3B6B6B5F" w:rsidRPr="00BB4743">
              <w:rPr>
                <w:rFonts w:eastAsia="Calibri" w:cs="Calibri"/>
                <w:b/>
                <w:bCs/>
                <w:color w:val="auto"/>
                <w:sz w:val="20"/>
                <w:szCs w:val="20"/>
              </w:rPr>
              <w:t>Nelly Puspandari , SpMK</w:t>
            </w:r>
          </w:p>
        </w:tc>
        <w:tc>
          <w:tcPr>
            <w:tcW w:w="3131" w:type="dxa"/>
          </w:tcPr>
          <w:p w14:paraId="102D73AE" w14:textId="247D2DD9" w:rsidR="17D077F0" w:rsidRPr="00BB4743" w:rsidRDefault="3B6B6B5F" w:rsidP="00BB4743">
            <w:pPr>
              <w:spacing w:line="259" w:lineRule="auto"/>
              <w:rPr>
                <w:rFonts w:cs="Calibri"/>
                <w:color w:val="auto"/>
                <w:sz w:val="20"/>
                <w:szCs w:val="20"/>
              </w:rPr>
            </w:pPr>
            <w:r w:rsidRPr="00BB4743">
              <w:rPr>
                <w:rFonts w:eastAsia="Calibri" w:cs="Calibri"/>
                <w:color w:val="auto"/>
                <w:sz w:val="20"/>
                <w:szCs w:val="20"/>
              </w:rPr>
              <w:t>NIHRD</w:t>
            </w:r>
          </w:p>
        </w:tc>
        <w:tc>
          <w:tcPr>
            <w:tcW w:w="3130" w:type="dxa"/>
          </w:tcPr>
          <w:p w14:paraId="045A4CAC" w14:textId="17088FF5" w:rsidR="17D077F0" w:rsidRPr="00BB4743" w:rsidRDefault="3B6B6B5F" w:rsidP="00BB4743">
            <w:pPr>
              <w:spacing w:line="259" w:lineRule="auto"/>
              <w:rPr>
                <w:rFonts w:cs="Calibri"/>
                <w:color w:val="auto"/>
                <w:sz w:val="20"/>
                <w:szCs w:val="20"/>
              </w:rPr>
            </w:pPr>
            <w:r w:rsidRPr="00BB4743">
              <w:rPr>
                <w:rFonts w:eastAsia="Calibri" w:cs="Calibri"/>
                <w:color w:val="auto"/>
                <w:sz w:val="20"/>
                <w:szCs w:val="20"/>
              </w:rPr>
              <w:t xml:space="preserve">GLASS </w:t>
            </w:r>
            <w:r w:rsidR="007E003B" w:rsidRPr="00BB4743">
              <w:rPr>
                <w:rFonts w:eastAsia="Calibri" w:cs="Calibri"/>
                <w:color w:val="auto"/>
                <w:sz w:val="20"/>
                <w:szCs w:val="20"/>
              </w:rPr>
              <w:t>Focal Point</w:t>
            </w:r>
          </w:p>
        </w:tc>
      </w:tr>
      <w:tr w:rsidR="17D077F0" w14:paraId="3CA3EC65"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72CE9617" w14:textId="4A7423DF" w:rsidR="17D077F0" w:rsidRPr="006911A6" w:rsidRDefault="00121E83" w:rsidP="00041B22">
            <w:pPr>
              <w:spacing w:line="259" w:lineRule="auto"/>
              <w:rPr>
                <w:rFonts w:cstheme="minorBidi"/>
                <w:color w:val="FFFFFF" w:themeColor="background1"/>
                <w:sz w:val="20"/>
                <w:szCs w:val="20"/>
              </w:rPr>
            </w:pPr>
            <w:r w:rsidRPr="006911A6">
              <w:rPr>
                <w:rFonts w:cstheme="minorBidi"/>
                <w:color w:val="FFFFFF" w:themeColor="background1"/>
                <w:sz w:val="20"/>
                <w:szCs w:val="20"/>
              </w:rPr>
              <w:t>WOAH</w:t>
            </w:r>
            <w:r w:rsidR="17D077F0" w:rsidRPr="006911A6">
              <w:rPr>
                <w:rFonts w:cstheme="minorBidi"/>
                <w:color w:val="FFFFFF" w:themeColor="background1"/>
                <w:sz w:val="20"/>
                <w:szCs w:val="20"/>
              </w:rPr>
              <w:t xml:space="preserve"> Focal Point</w:t>
            </w:r>
          </w:p>
        </w:tc>
      </w:tr>
      <w:tr w:rsidR="17D077F0" w14:paraId="217E229E"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1FB12D3E" w14:textId="5F6BE0E5" w:rsidR="17D077F0" w:rsidRPr="00BB4743" w:rsidRDefault="720DC0C5" w:rsidP="17D077F0">
            <w:pPr>
              <w:spacing w:line="259" w:lineRule="auto"/>
              <w:rPr>
                <w:rFonts w:eastAsia="Calibri" w:cs="Calibri"/>
                <w:b/>
                <w:bCs/>
                <w:color w:val="auto"/>
                <w:sz w:val="20"/>
                <w:szCs w:val="20"/>
              </w:rPr>
            </w:pPr>
            <w:r w:rsidRPr="00BB4743">
              <w:rPr>
                <w:rFonts w:eastAsia="Calibri" w:cs="Calibri"/>
                <w:b/>
                <w:bCs/>
                <w:color w:val="auto"/>
                <w:sz w:val="20"/>
                <w:szCs w:val="20"/>
              </w:rPr>
              <w:t>Ms. Nuraini Triwijayanti</w:t>
            </w:r>
          </w:p>
        </w:tc>
        <w:tc>
          <w:tcPr>
            <w:tcW w:w="3131" w:type="dxa"/>
          </w:tcPr>
          <w:p w14:paraId="2FA7D4ED" w14:textId="3DDD1C2A" w:rsidR="17D077F0" w:rsidRPr="00BB4743" w:rsidRDefault="720DC0C5" w:rsidP="00BB4743">
            <w:pPr>
              <w:spacing w:line="259" w:lineRule="auto"/>
              <w:rPr>
                <w:rFonts w:cs="Calibri"/>
                <w:color w:val="auto"/>
                <w:sz w:val="20"/>
                <w:szCs w:val="20"/>
              </w:rPr>
            </w:pPr>
            <w:r w:rsidRPr="00BB4743">
              <w:rPr>
                <w:rFonts w:eastAsia="Calibri" w:cs="Calibri"/>
                <w:color w:val="auto"/>
                <w:sz w:val="20"/>
                <w:szCs w:val="20"/>
              </w:rPr>
              <w:t>Directorate Animal Health - Ministry of Agriculture</w:t>
            </w:r>
          </w:p>
        </w:tc>
        <w:tc>
          <w:tcPr>
            <w:tcW w:w="3130" w:type="dxa"/>
          </w:tcPr>
          <w:p w14:paraId="01FE397D" w14:textId="5AE279E4" w:rsidR="17D077F0" w:rsidRPr="00BB4743" w:rsidRDefault="00121E83" w:rsidP="00BB4743">
            <w:pPr>
              <w:spacing w:line="259" w:lineRule="auto"/>
              <w:rPr>
                <w:rFonts w:cs="Calibri"/>
                <w:color w:val="auto"/>
                <w:sz w:val="20"/>
                <w:szCs w:val="20"/>
              </w:rPr>
            </w:pPr>
            <w:r w:rsidRPr="00BB4743">
              <w:rPr>
                <w:rFonts w:eastAsia="Calibri" w:cs="Calibri"/>
                <w:color w:val="auto"/>
                <w:sz w:val="20"/>
                <w:szCs w:val="20"/>
              </w:rPr>
              <w:t>WOAH</w:t>
            </w:r>
            <w:r w:rsidR="720DC0C5" w:rsidRPr="00BB4743">
              <w:rPr>
                <w:rFonts w:eastAsia="Calibri" w:cs="Calibri"/>
                <w:color w:val="auto"/>
                <w:sz w:val="20"/>
                <w:szCs w:val="20"/>
              </w:rPr>
              <w:t xml:space="preserve"> </w:t>
            </w:r>
            <w:r w:rsidR="007E003B" w:rsidRPr="00BB4743">
              <w:rPr>
                <w:rFonts w:eastAsia="Calibri" w:cs="Calibri"/>
                <w:color w:val="auto"/>
                <w:sz w:val="20"/>
                <w:szCs w:val="20"/>
              </w:rPr>
              <w:t xml:space="preserve">Focal Point </w:t>
            </w:r>
            <w:r w:rsidR="720DC0C5" w:rsidRPr="00BB4743">
              <w:rPr>
                <w:rFonts w:eastAsia="Calibri" w:cs="Calibri"/>
                <w:color w:val="auto"/>
                <w:sz w:val="20"/>
                <w:szCs w:val="20"/>
              </w:rPr>
              <w:t>/Coordinator</w:t>
            </w:r>
          </w:p>
        </w:tc>
      </w:tr>
      <w:tr w:rsidR="17D077F0" w14:paraId="2911C8B5"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423593A5" w14:textId="77777777" w:rsidR="17D077F0" w:rsidRPr="006911A6" w:rsidRDefault="17D077F0" w:rsidP="00041B22">
            <w:pPr>
              <w:rPr>
                <w:rFonts w:cstheme="minorBidi"/>
                <w:color w:val="FFFFFF" w:themeColor="background1"/>
                <w:sz w:val="20"/>
                <w:szCs w:val="20"/>
              </w:rPr>
            </w:pPr>
            <w:r w:rsidRPr="006911A6">
              <w:rPr>
                <w:rFonts w:cstheme="minorBidi"/>
                <w:color w:val="FFFFFF" w:themeColor="background1"/>
                <w:sz w:val="20"/>
                <w:szCs w:val="20"/>
              </w:rPr>
              <w:t>Development Partners/ Academia</w:t>
            </w:r>
          </w:p>
        </w:tc>
      </w:tr>
      <w:tr w:rsidR="17D077F0" w14:paraId="4BDE947F"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604DA4A3" w14:textId="40AFA0C2" w:rsidR="17D077F0" w:rsidRPr="00BB4743" w:rsidRDefault="00EE3BF1" w:rsidP="17D077F0">
            <w:pPr>
              <w:rPr>
                <w:rFonts w:cs="Calibri"/>
                <w:b/>
                <w:bCs/>
                <w:color w:val="auto"/>
                <w:sz w:val="20"/>
                <w:szCs w:val="20"/>
              </w:rPr>
            </w:pPr>
            <w:r>
              <w:rPr>
                <w:rFonts w:eastAsia="Calibri" w:cs="Calibri"/>
                <w:b/>
                <w:bCs/>
                <w:color w:val="auto"/>
                <w:sz w:val="20"/>
                <w:szCs w:val="20"/>
              </w:rPr>
              <w:t xml:space="preserve">Dr </w:t>
            </w:r>
            <w:r w:rsidR="430655B6" w:rsidRPr="00BB4743">
              <w:rPr>
                <w:rFonts w:eastAsia="Calibri" w:cs="Calibri"/>
                <w:b/>
                <w:bCs/>
                <w:color w:val="auto"/>
                <w:sz w:val="20"/>
                <w:szCs w:val="20"/>
              </w:rPr>
              <w:t>Gunawan Budioutomo</w:t>
            </w:r>
          </w:p>
        </w:tc>
        <w:tc>
          <w:tcPr>
            <w:tcW w:w="3131" w:type="dxa"/>
          </w:tcPr>
          <w:p w14:paraId="4F4580F8" w14:textId="7154925B" w:rsidR="17D077F0" w:rsidRPr="00BB4743" w:rsidRDefault="430655B6" w:rsidP="00BB4743">
            <w:pPr>
              <w:rPr>
                <w:rFonts w:cs="Calibri"/>
                <w:color w:val="auto"/>
                <w:sz w:val="20"/>
                <w:szCs w:val="20"/>
              </w:rPr>
            </w:pPr>
            <w:r w:rsidRPr="00BB4743">
              <w:rPr>
                <w:rFonts w:eastAsia="Calibri" w:cs="Calibri"/>
                <w:color w:val="auto"/>
                <w:sz w:val="20"/>
                <w:szCs w:val="20"/>
              </w:rPr>
              <w:t>FAO</w:t>
            </w:r>
            <w:r w:rsidR="001D6EAF">
              <w:rPr>
                <w:rFonts w:eastAsia="Calibri" w:cs="Calibri"/>
                <w:color w:val="auto"/>
                <w:sz w:val="20"/>
                <w:szCs w:val="20"/>
              </w:rPr>
              <w:t xml:space="preserve"> </w:t>
            </w:r>
            <w:r w:rsidR="001D6EAF" w:rsidRPr="001D6EAF">
              <w:rPr>
                <w:rFonts w:eastAsia="Calibri" w:cs="Calibri"/>
                <w:color w:val="auto"/>
                <w:sz w:val="20"/>
                <w:szCs w:val="20"/>
              </w:rPr>
              <w:t>Emergency Centre for Transboundary Animal Diseases</w:t>
            </w:r>
            <w:r w:rsidR="001D6EAF">
              <w:rPr>
                <w:rFonts w:eastAsia="Calibri" w:cs="Calibri"/>
                <w:color w:val="auto"/>
                <w:sz w:val="20"/>
                <w:szCs w:val="20"/>
              </w:rPr>
              <w:t xml:space="preserve"> (</w:t>
            </w:r>
            <w:r w:rsidRPr="00BB4743">
              <w:rPr>
                <w:rFonts w:eastAsia="Calibri" w:cs="Calibri"/>
                <w:color w:val="auto"/>
                <w:sz w:val="20"/>
                <w:szCs w:val="20"/>
              </w:rPr>
              <w:t>ECTAD</w:t>
            </w:r>
            <w:r w:rsidR="001D6EAF">
              <w:rPr>
                <w:rFonts w:eastAsia="Calibri" w:cs="Calibri"/>
                <w:color w:val="auto"/>
                <w:sz w:val="20"/>
                <w:szCs w:val="20"/>
              </w:rPr>
              <w:t>)</w:t>
            </w:r>
          </w:p>
        </w:tc>
        <w:tc>
          <w:tcPr>
            <w:tcW w:w="3130" w:type="dxa"/>
          </w:tcPr>
          <w:p w14:paraId="462A79E6" w14:textId="31A00484" w:rsidR="17D077F0" w:rsidRPr="00BB4743" w:rsidRDefault="430655B6" w:rsidP="00041B22">
            <w:pPr>
              <w:spacing w:line="259" w:lineRule="auto"/>
              <w:rPr>
                <w:rFonts w:cs="Calibri"/>
                <w:color w:val="auto"/>
                <w:sz w:val="20"/>
                <w:szCs w:val="20"/>
              </w:rPr>
            </w:pPr>
            <w:r w:rsidRPr="00BB4743">
              <w:rPr>
                <w:rFonts w:eastAsia="Calibri" w:cs="Calibri"/>
                <w:color w:val="auto"/>
                <w:sz w:val="20"/>
                <w:szCs w:val="20"/>
              </w:rPr>
              <w:t>Senior Technical Advisor</w:t>
            </w:r>
          </w:p>
        </w:tc>
      </w:tr>
      <w:tr w:rsidR="6A4048FE" w14:paraId="690B700A"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1EEF630B" w14:textId="03B6E43E" w:rsidR="430655B6" w:rsidRPr="00BB4743" w:rsidRDefault="00EE3BF1" w:rsidP="6A4048FE">
            <w:pPr>
              <w:rPr>
                <w:rFonts w:cs="Calibri"/>
                <w:b/>
                <w:bCs/>
                <w:color w:val="auto"/>
                <w:sz w:val="20"/>
                <w:szCs w:val="20"/>
              </w:rPr>
            </w:pPr>
            <w:r>
              <w:rPr>
                <w:rFonts w:eastAsia="Calibri" w:cs="Calibri"/>
                <w:b/>
                <w:bCs/>
                <w:color w:val="auto"/>
                <w:sz w:val="20"/>
                <w:szCs w:val="20"/>
              </w:rPr>
              <w:t xml:space="preserve">Dr </w:t>
            </w:r>
            <w:r w:rsidR="430655B6" w:rsidRPr="00BB4743">
              <w:rPr>
                <w:rFonts w:eastAsia="Calibri" w:cs="Calibri"/>
                <w:b/>
                <w:bCs/>
                <w:color w:val="auto"/>
                <w:sz w:val="20"/>
                <w:szCs w:val="20"/>
              </w:rPr>
              <w:t>Luuk Schoonman</w:t>
            </w:r>
          </w:p>
        </w:tc>
        <w:tc>
          <w:tcPr>
            <w:tcW w:w="3131" w:type="dxa"/>
          </w:tcPr>
          <w:p w14:paraId="340BAEEC" w14:textId="64C33158" w:rsidR="430655B6" w:rsidRPr="00BB4743" w:rsidRDefault="430655B6" w:rsidP="00BB4743">
            <w:pPr>
              <w:rPr>
                <w:rFonts w:cs="Calibri"/>
                <w:color w:val="auto"/>
                <w:sz w:val="20"/>
                <w:szCs w:val="20"/>
              </w:rPr>
            </w:pPr>
            <w:r w:rsidRPr="00BB4743">
              <w:rPr>
                <w:rFonts w:eastAsia="Calibri" w:cs="Calibri"/>
                <w:color w:val="auto"/>
                <w:sz w:val="20"/>
                <w:szCs w:val="20"/>
              </w:rPr>
              <w:t>FAO-ECTAD</w:t>
            </w:r>
          </w:p>
        </w:tc>
        <w:tc>
          <w:tcPr>
            <w:tcW w:w="3130" w:type="dxa"/>
          </w:tcPr>
          <w:p w14:paraId="6C387E38" w14:textId="5E66C31A" w:rsidR="430655B6" w:rsidRPr="00BB4743" w:rsidRDefault="430655B6" w:rsidP="00041B22">
            <w:pPr>
              <w:spacing w:line="259" w:lineRule="auto"/>
              <w:rPr>
                <w:rFonts w:cs="Calibri"/>
                <w:color w:val="auto"/>
                <w:sz w:val="20"/>
                <w:szCs w:val="20"/>
              </w:rPr>
            </w:pPr>
            <w:r w:rsidRPr="00BB4743">
              <w:rPr>
                <w:rFonts w:eastAsia="Calibri" w:cs="Calibri"/>
                <w:color w:val="auto"/>
                <w:sz w:val="20"/>
                <w:szCs w:val="20"/>
              </w:rPr>
              <w:t>AMR/Chief Technical Advisor</w:t>
            </w:r>
          </w:p>
        </w:tc>
      </w:tr>
      <w:tr w:rsidR="6A4048FE" w14:paraId="66A6B6A6"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48231E21" w14:textId="3B0772CA" w:rsidR="430655B6" w:rsidRPr="00BB4743" w:rsidRDefault="430655B6" w:rsidP="6A4048FE">
            <w:pPr>
              <w:rPr>
                <w:rFonts w:cs="Calibri"/>
                <w:b/>
                <w:bCs/>
                <w:color w:val="auto"/>
                <w:sz w:val="20"/>
                <w:szCs w:val="20"/>
              </w:rPr>
            </w:pPr>
            <w:r w:rsidRPr="00BB4743">
              <w:rPr>
                <w:rFonts w:eastAsia="Calibri" w:cs="Calibri"/>
                <w:b/>
                <w:bCs/>
                <w:color w:val="auto"/>
                <w:sz w:val="20"/>
                <w:szCs w:val="20"/>
              </w:rPr>
              <w:t>Mr. Benyamin Sihombing</w:t>
            </w:r>
          </w:p>
        </w:tc>
        <w:tc>
          <w:tcPr>
            <w:tcW w:w="3131" w:type="dxa"/>
          </w:tcPr>
          <w:p w14:paraId="5FD6E9B1" w14:textId="6F644767" w:rsidR="430655B6" w:rsidRPr="00BB4743" w:rsidRDefault="430655B6" w:rsidP="00BB4743">
            <w:pPr>
              <w:rPr>
                <w:rFonts w:eastAsia="Calibri" w:cs="Calibri"/>
                <w:color w:val="auto"/>
                <w:sz w:val="20"/>
                <w:szCs w:val="20"/>
              </w:rPr>
            </w:pPr>
            <w:r w:rsidRPr="00BB4743">
              <w:rPr>
                <w:rFonts w:eastAsia="Calibri" w:cs="Calibri"/>
                <w:color w:val="auto"/>
                <w:sz w:val="20"/>
                <w:szCs w:val="20"/>
              </w:rPr>
              <w:t>WHO</w:t>
            </w:r>
          </w:p>
        </w:tc>
        <w:tc>
          <w:tcPr>
            <w:tcW w:w="3130" w:type="dxa"/>
          </w:tcPr>
          <w:p w14:paraId="4FEB874F" w14:textId="3CC3CB9F" w:rsidR="430655B6" w:rsidRPr="00BB4743" w:rsidRDefault="430655B6" w:rsidP="00041B22">
            <w:pPr>
              <w:spacing w:line="259" w:lineRule="auto"/>
              <w:rPr>
                <w:rFonts w:cs="Calibri"/>
                <w:color w:val="auto"/>
                <w:sz w:val="20"/>
                <w:szCs w:val="20"/>
              </w:rPr>
            </w:pPr>
            <w:r w:rsidRPr="00BB4743">
              <w:rPr>
                <w:rFonts w:eastAsia="Calibri" w:cs="Calibri"/>
                <w:color w:val="auto"/>
                <w:sz w:val="20"/>
                <w:szCs w:val="20"/>
              </w:rPr>
              <w:t>WHO Rep for Infection Prevention Control</w:t>
            </w:r>
          </w:p>
        </w:tc>
      </w:tr>
      <w:tr w:rsidR="6A4048FE" w14:paraId="60BDDCB2" w14:textId="77777777" w:rsidTr="0003374C">
        <w:trPr>
          <w:cnfStyle w:val="000000010000" w:firstRow="0" w:lastRow="0" w:firstColumn="0" w:lastColumn="0" w:oddVBand="0" w:evenVBand="0" w:oddHBand="0" w:evenHBand="1" w:firstRowFirstColumn="0" w:firstRowLastColumn="0" w:lastRowFirstColumn="0" w:lastRowLastColumn="0"/>
          <w:trHeight w:val="340"/>
        </w:trPr>
        <w:tc>
          <w:tcPr>
            <w:tcW w:w="0" w:type="dxa"/>
          </w:tcPr>
          <w:p w14:paraId="6545E457" w14:textId="4204632C" w:rsidR="430655B6" w:rsidRPr="00BB4743" w:rsidRDefault="00EE3BF1" w:rsidP="6A4048FE">
            <w:pPr>
              <w:rPr>
                <w:rFonts w:cs="Calibri"/>
                <w:b/>
                <w:bCs/>
                <w:color w:val="auto"/>
                <w:sz w:val="20"/>
                <w:szCs w:val="20"/>
              </w:rPr>
            </w:pPr>
            <w:r>
              <w:rPr>
                <w:rFonts w:eastAsia="Calibri" w:cs="Calibri"/>
                <w:b/>
                <w:bCs/>
                <w:color w:val="auto"/>
                <w:sz w:val="20"/>
                <w:szCs w:val="20"/>
              </w:rPr>
              <w:t xml:space="preserve">Dr </w:t>
            </w:r>
            <w:r w:rsidR="430655B6" w:rsidRPr="00BB4743">
              <w:rPr>
                <w:rFonts w:eastAsia="Calibri" w:cs="Calibri"/>
                <w:b/>
                <w:bCs/>
                <w:color w:val="auto"/>
                <w:sz w:val="20"/>
                <w:szCs w:val="20"/>
              </w:rPr>
              <w:t>John Weaver</w:t>
            </w:r>
          </w:p>
        </w:tc>
        <w:tc>
          <w:tcPr>
            <w:tcW w:w="0" w:type="dxa"/>
          </w:tcPr>
          <w:p w14:paraId="4127E2FA" w14:textId="50C8A4B7" w:rsidR="430655B6" w:rsidRPr="00BB4743" w:rsidRDefault="00C519DE" w:rsidP="00BB4743">
            <w:pPr>
              <w:rPr>
                <w:rFonts w:cs="Calibri"/>
                <w:color w:val="auto"/>
                <w:sz w:val="20"/>
                <w:szCs w:val="20"/>
              </w:rPr>
            </w:pPr>
            <w:r w:rsidRPr="00BB4743">
              <w:rPr>
                <w:rFonts w:eastAsia="Calibri" w:cs="Calibri"/>
                <w:color w:val="auto"/>
                <w:sz w:val="20"/>
                <w:szCs w:val="20"/>
              </w:rPr>
              <w:t>Australian Department of Foreign Affairs and Trade</w:t>
            </w:r>
          </w:p>
        </w:tc>
        <w:tc>
          <w:tcPr>
            <w:tcW w:w="0" w:type="dxa"/>
          </w:tcPr>
          <w:p w14:paraId="7F12286A" w14:textId="41258F2C" w:rsidR="6A4048FE" w:rsidRPr="00BB4743" w:rsidRDefault="2C3161B8" w:rsidP="00041B22">
            <w:pPr>
              <w:spacing w:line="259" w:lineRule="auto"/>
              <w:rPr>
                <w:rFonts w:eastAsia="Calibri" w:cs="Calibri"/>
                <w:color w:val="auto"/>
                <w:sz w:val="20"/>
                <w:szCs w:val="20"/>
              </w:rPr>
            </w:pPr>
            <w:r w:rsidRPr="00BB4743">
              <w:rPr>
                <w:rFonts w:eastAsia="Calibri" w:cs="Calibri"/>
                <w:color w:val="auto"/>
                <w:sz w:val="20"/>
                <w:szCs w:val="20"/>
              </w:rPr>
              <w:t>International Veterinary Consultant</w:t>
            </w:r>
          </w:p>
        </w:tc>
      </w:tr>
      <w:tr w:rsidR="6A4048FE" w14:paraId="7747CD4A"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6C51F92D" w14:textId="0CB87A86" w:rsidR="430655B6" w:rsidRPr="00BB4743" w:rsidRDefault="430655B6" w:rsidP="6A4048FE">
            <w:pPr>
              <w:rPr>
                <w:rFonts w:cs="Calibri"/>
                <w:b/>
                <w:bCs/>
                <w:color w:val="auto"/>
                <w:sz w:val="20"/>
                <w:szCs w:val="20"/>
              </w:rPr>
            </w:pPr>
            <w:r w:rsidRPr="00BB4743">
              <w:rPr>
                <w:rFonts w:eastAsia="Calibri" w:cs="Calibri"/>
                <w:b/>
                <w:bCs/>
                <w:color w:val="auto"/>
                <w:sz w:val="20"/>
                <w:szCs w:val="20"/>
              </w:rPr>
              <w:t>Prof. Agus Suwandono</w:t>
            </w:r>
          </w:p>
        </w:tc>
        <w:tc>
          <w:tcPr>
            <w:tcW w:w="3131" w:type="dxa"/>
          </w:tcPr>
          <w:p w14:paraId="0F3FE4B0" w14:textId="79056B0B" w:rsidR="430655B6" w:rsidRPr="00BB4743" w:rsidRDefault="430655B6" w:rsidP="00BB4743">
            <w:pPr>
              <w:rPr>
                <w:rFonts w:cs="Calibri"/>
                <w:color w:val="auto"/>
                <w:sz w:val="20"/>
                <w:szCs w:val="20"/>
              </w:rPr>
            </w:pPr>
            <w:r w:rsidRPr="00BB4743">
              <w:rPr>
                <w:rFonts w:eastAsia="Calibri" w:cs="Calibri"/>
                <w:color w:val="auto"/>
                <w:sz w:val="20"/>
                <w:szCs w:val="20"/>
              </w:rPr>
              <w:t>INDOHUN (Indonesia One Health University Network)</w:t>
            </w:r>
          </w:p>
        </w:tc>
        <w:tc>
          <w:tcPr>
            <w:tcW w:w="3130" w:type="dxa"/>
          </w:tcPr>
          <w:p w14:paraId="630D7529" w14:textId="5A8486A7" w:rsidR="430655B6" w:rsidRPr="00BB4743" w:rsidRDefault="430655B6" w:rsidP="00041B22">
            <w:pPr>
              <w:spacing w:line="259" w:lineRule="auto"/>
              <w:rPr>
                <w:rFonts w:cs="Calibri"/>
                <w:color w:val="auto"/>
                <w:sz w:val="20"/>
                <w:szCs w:val="20"/>
              </w:rPr>
            </w:pPr>
            <w:r w:rsidRPr="00BB4743">
              <w:rPr>
                <w:rFonts w:eastAsia="Calibri" w:cs="Calibri"/>
                <w:color w:val="auto"/>
                <w:sz w:val="20"/>
                <w:szCs w:val="20"/>
              </w:rPr>
              <w:t>One Health Workforce Technical Adviser for Indonesia</w:t>
            </w:r>
          </w:p>
        </w:tc>
      </w:tr>
      <w:tr w:rsidR="17D077F0" w14:paraId="1759DB07"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49C924C2" w14:textId="77777777" w:rsidR="17D077F0" w:rsidRPr="006911A6" w:rsidRDefault="17D077F0" w:rsidP="00041B22">
            <w:pPr>
              <w:rPr>
                <w:rFonts w:cstheme="minorBidi"/>
                <w:color w:val="FFFFFF" w:themeColor="background1"/>
                <w:sz w:val="20"/>
                <w:szCs w:val="20"/>
              </w:rPr>
            </w:pPr>
            <w:r w:rsidRPr="006911A6">
              <w:rPr>
                <w:rFonts w:cstheme="minorBidi"/>
                <w:color w:val="FFFFFF" w:themeColor="background1"/>
                <w:sz w:val="20"/>
                <w:szCs w:val="20"/>
              </w:rPr>
              <w:t>NRL &amp; Site Visit</w:t>
            </w:r>
          </w:p>
        </w:tc>
      </w:tr>
      <w:tr w:rsidR="17D077F0" w14:paraId="7D154DDC"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62CC7210" w14:textId="44CD29D7" w:rsidR="17D077F0" w:rsidRPr="00BB4743" w:rsidRDefault="00EE3BF1" w:rsidP="17D077F0">
            <w:pPr>
              <w:spacing w:line="259" w:lineRule="auto"/>
              <w:rPr>
                <w:rFonts w:cs="Calibri"/>
                <w:b/>
                <w:bCs/>
                <w:color w:val="auto"/>
                <w:sz w:val="20"/>
                <w:szCs w:val="20"/>
              </w:rPr>
            </w:pPr>
            <w:r>
              <w:rPr>
                <w:rFonts w:eastAsia="Calibri" w:cs="Calibri"/>
                <w:b/>
                <w:bCs/>
                <w:color w:val="auto"/>
                <w:sz w:val="20"/>
                <w:szCs w:val="20"/>
              </w:rPr>
              <w:t xml:space="preserve">Dr </w:t>
            </w:r>
            <w:r w:rsidR="1EFCEB57" w:rsidRPr="00BB4743">
              <w:rPr>
                <w:rFonts w:eastAsia="Calibri" w:cs="Calibri"/>
                <w:b/>
                <w:bCs/>
                <w:color w:val="auto"/>
                <w:sz w:val="20"/>
                <w:szCs w:val="20"/>
              </w:rPr>
              <w:t>H. Abidin, MPH</w:t>
            </w:r>
          </w:p>
        </w:tc>
        <w:tc>
          <w:tcPr>
            <w:tcW w:w="3131" w:type="dxa"/>
          </w:tcPr>
          <w:p w14:paraId="699D1AFC" w14:textId="6E4F89F5" w:rsidR="17D077F0" w:rsidRPr="00BB4743" w:rsidRDefault="1EFCEB57" w:rsidP="00BB4743">
            <w:pPr>
              <w:spacing w:line="259" w:lineRule="auto"/>
              <w:rPr>
                <w:rFonts w:cs="Calibri"/>
                <w:color w:val="auto"/>
                <w:sz w:val="20"/>
                <w:szCs w:val="20"/>
              </w:rPr>
            </w:pPr>
            <w:r w:rsidRPr="00BB4743">
              <w:rPr>
                <w:rFonts w:eastAsia="Calibri" w:cs="Calibri"/>
                <w:color w:val="auto"/>
                <w:sz w:val="20"/>
                <w:szCs w:val="20"/>
              </w:rPr>
              <w:t>BBLK Surabaya</w:t>
            </w:r>
          </w:p>
        </w:tc>
        <w:tc>
          <w:tcPr>
            <w:tcW w:w="3130" w:type="dxa"/>
          </w:tcPr>
          <w:p w14:paraId="41FCB519" w14:textId="67C5539D" w:rsidR="17D077F0" w:rsidRPr="00BB4743" w:rsidRDefault="1EFCEB57" w:rsidP="00BB4743">
            <w:pPr>
              <w:rPr>
                <w:rFonts w:cs="Calibri"/>
                <w:color w:val="auto"/>
                <w:sz w:val="20"/>
                <w:szCs w:val="20"/>
              </w:rPr>
            </w:pPr>
            <w:r w:rsidRPr="00BB4743">
              <w:rPr>
                <w:rFonts w:eastAsia="Calibri" w:cs="Calibri"/>
                <w:color w:val="auto"/>
                <w:sz w:val="20"/>
                <w:szCs w:val="20"/>
              </w:rPr>
              <w:t>Chief of Laboratory</w:t>
            </w:r>
          </w:p>
        </w:tc>
      </w:tr>
      <w:tr w:rsidR="6A4048FE" w14:paraId="627BD1D2"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7707D5C9" w14:textId="20F46287" w:rsidR="1EFCEB57" w:rsidRPr="00BB4743" w:rsidRDefault="1EFCEB57" w:rsidP="6A4048FE">
            <w:pPr>
              <w:spacing w:line="259" w:lineRule="auto"/>
              <w:rPr>
                <w:rFonts w:cs="Calibri"/>
                <w:b/>
                <w:bCs/>
                <w:color w:val="auto"/>
                <w:sz w:val="20"/>
                <w:szCs w:val="20"/>
              </w:rPr>
            </w:pPr>
            <w:r w:rsidRPr="00BB4743">
              <w:rPr>
                <w:rFonts w:eastAsia="Calibri" w:cs="Calibri"/>
                <w:b/>
                <w:bCs/>
                <w:color w:val="auto"/>
                <w:sz w:val="20"/>
                <w:szCs w:val="20"/>
              </w:rPr>
              <w:t>Mr. Yayan Sofyan, A.PI, MP</w:t>
            </w:r>
          </w:p>
        </w:tc>
        <w:tc>
          <w:tcPr>
            <w:tcW w:w="3131" w:type="dxa"/>
          </w:tcPr>
          <w:p w14:paraId="33BA84E5" w14:textId="62B3FCA6" w:rsidR="1EFCEB57" w:rsidRPr="00BB4743" w:rsidRDefault="1EFCEB57" w:rsidP="00BB4743">
            <w:pPr>
              <w:spacing w:line="259" w:lineRule="auto"/>
              <w:rPr>
                <w:rFonts w:cs="Calibri"/>
                <w:color w:val="auto"/>
                <w:sz w:val="20"/>
                <w:szCs w:val="20"/>
              </w:rPr>
            </w:pPr>
            <w:r w:rsidRPr="00BB4743">
              <w:rPr>
                <w:rFonts w:eastAsia="Calibri" w:cs="Calibri"/>
                <w:color w:val="auto"/>
                <w:sz w:val="20"/>
                <w:szCs w:val="20"/>
              </w:rPr>
              <w:t>Station for Investigation of Fish Disease and Environment (SIFDE) Serang</w:t>
            </w:r>
          </w:p>
        </w:tc>
        <w:tc>
          <w:tcPr>
            <w:tcW w:w="3130" w:type="dxa"/>
          </w:tcPr>
          <w:p w14:paraId="14072A87" w14:textId="6DB814D7" w:rsidR="1EFCEB57" w:rsidRPr="00BB4743" w:rsidRDefault="1EFCEB57" w:rsidP="00BB4743">
            <w:pPr>
              <w:rPr>
                <w:rFonts w:cs="Calibri"/>
                <w:color w:val="auto"/>
                <w:sz w:val="20"/>
                <w:szCs w:val="20"/>
              </w:rPr>
            </w:pPr>
            <w:r w:rsidRPr="00BB4743">
              <w:rPr>
                <w:rFonts w:eastAsia="Calibri" w:cs="Calibri"/>
                <w:color w:val="auto"/>
                <w:sz w:val="20"/>
                <w:szCs w:val="20"/>
              </w:rPr>
              <w:t>Chief of Laboratory</w:t>
            </w:r>
          </w:p>
        </w:tc>
      </w:tr>
      <w:tr w:rsidR="6A4048FE" w14:paraId="3EDDEE2A"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77896C5F" w14:textId="3B79ED48" w:rsidR="1EFCEB57" w:rsidRPr="00BB4743" w:rsidRDefault="32FF24C4" w:rsidP="6A4048FE">
            <w:pPr>
              <w:spacing w:line="259" w:lineRule="auto"/>
              <w:rPr>
                <w:rFonts w:cs="Calibri"/>
                <w:b/>
                <w:bCs/>
                <w:color w:val="auto"/>
                <w:sz w:val="20"/>
                <w:szCs w:val="20"/>
              </w:rPr>
            </w:pPr>
            <w:r w:rsidRPr="00BB4743">
              <w:rPr>
                <w:rFonts w:eastAsia="Calibri" w:cs="Calibri"/>
                <w:b/>
                <w:bCs/>
                <w:color w:val="auto"/>
                <w:sz w:val="20"/>
                <w:szCs w:val="20"/>
              </w:rPr>
              <w:t>D</w:t>
            </w:r>
            <w:r w:rsidR="0D37BED1" w:rsidRPr="00BB4743">
              <w:rPr>
                <w:rFonts w:eastAsia="Calibri" w:cs="Calibri"/>
                <w:b/>
                <w:bCs/>
                <w:color w:val="auto"/>
                <w:sz w:val="20"/>
                <w:szCs w:val="20"/>
              </w:rPr>
              <w:t>rh</w:t>
            </w:r>
            <w:r w:rsidR="1EFCEB57" w:rsidRPr="00BB4743">
              <w:rPr>
                <w:rFonts w:eastAsia="Calibri" w:cs="Calibri"/>
                <w:b/>
                <w:bCs/>
                <w:color w:val="auto"/>
                <w:sz w:val="20"/>
                <w:szCs w:val="20"/>
              </w:rPr>
              <w:t>. Nasirudin MSc</w:t>
            </w:r>
          </w:p>
        </w:tc>
        <w:tc>
          <w:tcPr>
            <w:tcW w:w="3131" w:type="dxa"/>
          </w:tcPr>
          <w:p w14:paraId="42CE8887" w14:textId="28AAC0D4" w:rsidR="1EFCEB57" w:rsidRPr="00BB4743" w:rsidRDefault="00D14C6B" w:rsidP="00BB4743">
            <w:pPr>
              <w:spacing w:line="259" w:lineRule="auto"/>
              <w:rPr>
                <w:rFonts w:cs="Calibri"/>
                <w:color w:val="auto"/>
                <w:sz w:val="20"/>
                <w:szCs w:val="20"/>
              </w:rPr>
            </w:pPr>
            <w:r w:rsidRPr="00BB4743">
              <w:rPr>
                <w:rFonts w:eastAsia="Calibri" w:cs="Calibri"/>
                <w:color w:val="auto"/>
                <w:sz w:val="20"/>
                <w:szCs w:val="20"/>
              </w:rPr>
              <w:t>NRL</w:t>
            </w:r>
            <w:r w:rsidR="1EFCEB57" w:rsidRPr="00BB4743">
              <w:rPr>
                <w:rFonts w:eastAsia="Calibri" w:cs="Calibri"/>
                <w:color w:val="auto"/>
                <w:sz w:val="20"/>
                <w:szCs w:val="20"/>
              </w:rPr>
              <w:t xml:space="preserve"> for Animal Health (BPMSPH)</w:t>
            </w:r>
          </w:p>
        </w:tc>
        <w:tc>
          <w:tcPr>
            <w:tcW w:w="3130" w:type="dxa"/>
          </w:tcPr>
          <w:p w14:paraId="0DCFCF27" w14:textId="79AEE8CA" w:rsidR="1EFCEB57" w:rsidRPr="00BB4743" w:rsidRDefault="1EFCEB57" w:rsidP="00BB4743">
            <w:pPr>
              <w:rPr>
                <w:rFonts w:cs="Calibri"/>
                <w:color w:val="auto"/>
                <w:sz w:val="20"/>
                <w:szCs w:val="20"/>
              </w:rPr>
            </w:pPr>
            <w:r w:rsidRPr="00BB4743">
              <w:rPr>
                <w:rFonts w:eastAsia="Calibri" w:cs="Calibri"/>
                <w:color w:val="auto"/>
                <w:sz w:val="20"/>
                <w:szCs w:val="20"/>
              </w:rPr>
              <w:t>Chief of Laboratory</w:t>
            </w:r>
          </w:p>
        </w:tc>
      </w:tr>
      <w:tr w:rsidR="6A4048FE" w14:paraId="6F2B71CF"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070225D4" w14:textId="3E31366E" w:rsidR="3732D65F" w:rsidRPr="00BB4743" w:rsidRDefault="00EE3BF1" w:rsidP="6A4048FE">
            <w:pPr>
              <w:spacing w:line="259" w:lineRule="auto"/>
              <w:rPr>
                <w:rFonts w:cs="Calibri"/>
                <w:b/>
                <w:bCs/>
                <w:color w:val="auto"/>
                <w:sz w:val="20"/>
                <w:szCs w:val="20"/>
              </w:rPr>
            </w:pPr>
            <w:r>
              <w:rPr>
                <w:rFonts w:eastAsia="Calibri" w:cs="Calibri"/>
                <w:b/>
                <w:bCs/>
                <w:color w:val="auto"/>
                <w:sz w:val="20"/>
                <w:szCs w:val="20"/>
              </w:rPr>
              <w:t xml:space="preserve">Dr </w:t>
            </w:r>
            <w:r w:rsidR="3732D65F" w:rsidRPr="00BB4743">
              <w:rPr>
                <w:rFonts w:eastAsia="Calibri" w:cs="Calibri"/>
                <w:b/>
                <w:bCs/>
                <w:color w:val="auto"/>
                <w:sz w:val="20"/>
                <w:szCs w:val="20"/>
              </w:rPr>
              <w:t>Titiek Sulistyowati, SpMk</w:t>
            </w:r>
            <w:r w:rsidR="00414185">
              <w:rPr>
                <w:rFonts w:eastAsia="Calibri" w:cs="Calibri"/>
                <w:b/>
                <w:bCs/>
                <w:color w:val="auto"/>
                <w:sz w:val="20"/>
                <w:szCs w:val="20"/>
              </w:rPr>
              <w:t>*</w:t>
            </w:r>
          </w:p>
        </w:tc>
        <w:tc>
          <w:tcPr>
            <w:tcW w:w="3131" w:type="dxa"/>
          </w:tcPr>
          <w:p w14:paraId="3A1A948E" w14:textId="54DC4923" w:rsidR="3732D65F" w:rsidRPr="00BB4743" w:rsidRDefault="3732D65F" w:rsidP="00BB4743">
            <w:pPr>
              <w:spacing w:line="259" w:lineRule="auto"/>
              <w:rPr>
                <w:rFonts w:cs="Calibri"/>
                <w:color w:val="auto"/>
                <w:sz w:val="20"/>
                <w:szCs w:val="20"/>
              </w:rPr>
            </w:pPr>
            <w:r w:rsidRPr="00BB4743">
              <w:rPr>
                <w:rFonts w:eastAsia="Calibri" w:cs="Calibri"/>
                <w:color w:val="auto"/>
                <w:sz w:val="20"/>
                <w:szCs w:val="20"/>
              </w:rPr>
              <w:t>BBLK Surabaya</w:t>
            </w:r>
          </w:p>
        </w:tc>
        <w:tc>
          <w:tcPr>
            <w:tcW w:w="3130" w:type="dxa"/>
          </w:tcPr>
          <w:p w14:paraId="57202849" w14:textId="2741870E" w:rsidR="3732D65F" w:rsidRPr="00BB4743" w:rsidRDefault="3732D65F" w:rsidP="00BB4743">
            <w:pPr>
              <w:rPr>
                <w:rFonts w:cs="Calibri"/>
                <w:color w:val="auto"/>
                <w:sz w:val="20"/>
                <w:szCs w:val="20"/>
              </w:rPr>
            </w:pPr>
            <w:r w:rsidRPr="00BB4743">
              <w:rPr>
                <w:rFonts w:eastAsia="Calibri" w:cs="Calibri"/>
                <w:color w:val="auto"/>
                <w:sz w:val="20"/>
                <w:szCs w:val="20"/>
              </w:rPr>
              <w:t>Head of Microbiology Installation</w:t>
            </w:r>
          </w:p>
        </w:tc>
      </w:tr>
      <w:tr w:rsidR="6A4048FE" w14:paraId="1589EC80"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034E925E" w14:textId="44F839DE" w:rsidR="3732D65F" w:rsidRPr="00BB4743" w:rsidRDefault="00EE3BF1" w:rsidP="6A4048FE">
            <w:pPr>
              <w:spacing w:line="259" w:lineRule="auto"/>
              <w:rPr>
                <w:rFonts w:cs="Calibri"/>
                <w:b/>
                <w:bCs/>
                <w:color w:val="auto"/>
                <w:sz w:val="20"/>
                <w:szCs w:val="20"/>
              </w:rPr>
            </w:pPr>
            <w:r>
              <w:rPr>
                <w:rFonts w:eastAsia="Calibri" w:cs="Calibri"/>
                <w:b/>
                <w:bCs/>
                <w:color w:val="auto"/>
                <w:sz w:val="20"/>
                <w:szCs w:val="20"/>
              </w:rPr>
              <w:t xml:space="preserve">Dr </w:t>
            </w:r>
            <w:r w:rsidR="3732D65F" w:rsidRPr="00BB4743">
              <w:rPr>
                <w:rFonts w:eastAsia="Calibri" w:cs="Calibri"/>
                <w:b/>
                <w:bCs/>
                <w:color w:val="auto"/>
                <w:sz w:val="20"/>
                <w:szCs w:val="20"/>
              </w:rPr>
              <w:t>Nida Hajidati Fauziyah</w:t>
            </w:r>
          </w:p>
        </w:tc>
        <w:tc>
          <w:tcPr>
            <w:tcW w:w="3131" w:type="dxa"/>
          </w:tcPr>
          <w:p w14:paraId="7C69C1CA" w14:textId="5231F890" w:rsidR="3732D65F" w:rsidRPr="00BB4743" w:rsidRDefault="3732D65F" w:rsidP="00BB4743">
            <w:pPr>
              <w:spacing w:line="259" w:lineRule="auto"/>
              <w:rPr>
                <w:rFonts w:cs="Calibri"/>
                <w:color w:val="auto"/>
                <w:sz w:val="20"/>
                <w:szCs w:val="20"/>
              </w:rPr>
            </w:pPr>
            <w:r w:rsidRPr="00BB4743">
              <w:rPr>
                <w:rFonts w:eastAsia="Calibri" w:cs="Calibri"/>
                <w:color w:val="auto"/>
                <w:sz w:val="20"/>
                <w:szCs w:val="20"/>
              </w:rPr>
              <w:t>BBLK Jakarta</w:t>
            </w:r>
          </w:p>
        </w:tc>
        <w:tc>
          <w:tcPr>
            <w:tcW w:w="3130" w:type="dxa"/>
          </w:tcPr>
          <w:p w14:paraId="642EFF6A" w14:textId="1716316C" w:rsidR="3732D65F" w:rsidRPr="00BB4743" w:rsidRDefault="3732D65F" w:rsidP="00BB4743">
            <w:pPr>
              <w:rPr>
                <w:rFonts w:eastAsia="Calibri" w:cs="Calibri"/>
                <w:color w:val="auto"/>
                <w:sz w:val="20"/>
                <w:szCs w:val="20"/>
              </w:rPr>
            </w:pPr>
            <w:r w:rsidRPr="00BB4743">
              <w:rPr>
                <w:rFonts w:eastAsia="Calibri" w:cs="Calibri"/>
                <w:color w:val="auto"/>
                <w:sz w:val="20"/>
                <w:szCs w:val="20"/>
              </w:rPr>
              <w:t>Medical Microbiologist</w:t>
            </w:r>
          </w:p>
        </w:tc>
      </w:tr>
      <w:tr w:rsidR="6A4048FE" w14:paraId="2142DAC2"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2419A113" w14:textId="08104490" w:rsidR="3732D65F" w:rsidRPr="00BB4743" w:rsidRDefault="3732D65F" w:rsidP="6A4048FE">
            <w:pPr>
              <w:spacing w:line="259" w:lineRule="auto"/>
              <w:rPr>
                <w:rFonts w:eastAsia="Calibri" w:cs="Calibri"/>
                <w:b/>
                <w:bCs/>
                <w:color w:val="auto"/>
                <w:sz w:val="20"/>
                <w:szCs w:val="20"/>
              </w:rPr>
            </w:pPr>
            <w:r w:rsidRPr="00BB4743">
              <w:rPr>
                <w:rFonts w:eastAsia="Calibri" w:cs="Calibri"/>
                <w:b/>
                <w:bCs/>
                <w:color w:val="auto"/>
                <w:sz w:val="20"/>
                <w:szCs w:val="20"/>
              </w:rPr>
              <w:t>Ms. Dinarti*</w:t>
            </w:r>
          </w:p>
        </w:tc>
        <w:tc>
          <w:tcPr>
            <w:tcW w:w="3131" w:type="dxa"/>
          </w:tcPr>
          <w:p w14:paraId="41D8F3E0" w14:textId="01D7208B" w:rsidR="3732D65F" w:rsidRPr="00BB4743" w:rsidRDefault="3732D65F" w:rsidP="00BB4743">
            <w:pPr>
              <w:spacing w:line="259" w:lineRule="auto"/>
              <w:rPr>
                <w:rFonts w:cs="Calibri"/>
                <w:color w:val="auto"/>
                <w:sz w:val="20"/>
                <w:szCs w:val="20"/>
              </w:rPr>
            </w:pPr>
            <w:r w:rsidRPr="00BB4743">
              <w:rPr>
                <w:rFonts w:eastAsia="Calibri" w:cs="Calibri"/>
                <w:color w:val="auto"/>
                <w:sz w:val="20"/>
                <w:szCs w:val="20"/>
              </w:rPr>
              <w:t>Station for Investigation of Fish Disease and Environment (SIFDE) Serang</w:t>
            </w:r>
          </w:p>
        </w:tc>
        <w:tc>
          <w:tcPr>
            <w:tcW w:w="3130" w:type="dxa"/>
          </w:tcPr>
          <w:p w14:paraId="0922073C" w14:textId="3D4CC15F" w:rsidR="3732D65F" w:rsidRPr="00BB4743" w:rsidRDefault="00D770D4" w:rsidP="00BB4743">
            <w:pPr>
              <w:rPr>
                <w:rFonts w:cs="Calibri"/>
                <w:color w:val="auto"/>
                <w:sz w:val="20"/>
                <w:szCs w:val="20"/>
              </w:rPr>
            </w:pPr>
            <w:r>
              <w:rPr>
                <w:rFonts w:eastAsia="Calibri" w:cs="Calibri"/>
                <w:color w:val="auto"/>
                <w:sz w:val="20"/>
                <w:szCs w:val="20"/>
              </w:rPr>
              <w:t xml:space="preserve">Laboratory </w:t>
            </w:r>
            <w:r w:rsidR="3732D65F" w:rsidRPr="00BB4743">
              <w:rPr>
                <w:rFonts w:eastAsia="Calibri" w:cs="Calibri"/>
                <w:color w:val="auto"/>
                <w:sz w:val="20"/>
                <w:szCs w:val="20"/>
              </w:rPr>
              <w:t>Analyst</w:t>
            </w:r>
          </w:p>
        </w:tc>
      </w:tr>
      <w:tr w:rsidR="6A4048FE" w14:paraId="2B7213C3"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51464432" w14:textId="414E9691" w:rsidR="3732D65F" w:rsidRPr="00BB4743" w:rsidRDefault="00EE3BF1" w:rsidP="6A4048FE">
            <w:pPr>
              <w:spacing w:line="259" w:lineRule="auto"/>
              <w:rPr>
                <w:rFonts w:cs="Calibri"/>
                <w:b/>
                <w:bCs/>
                <w:color w:val="auto"/>
                <w:sz w:val="20"/>
                <w:szCs w:val="20"/>
                <w:lang w:val="it-IT"/>
              </w:rPr>
            </w:pPr>
            <w:r>
              <w:rPr>
                <w:rFonts w:eastAsia="Calibri" w:cs="Calibri"/>
                <w:b/>
                <w:bCs/>
                <w:color w:val="auto"/>
                <w:sz w:val="20"/>
                <w:szCs w:val="20"/>
                <w:lang w:val="it-IT"/>
              </w:rPr>
              <w:t xml:space="preserve">Dr </w:t>
            </w:r>
            <w:r w:rsidR="3732D65F" w:rsidRPr="00BB4743">
              <w:rPr>
                <w:rFonts w:eastAsia="Calibri" w:cs="Calibri"/>
                <w:b/>
                <w:bCs/>
                <w:color w:val="auto"/>
                <w:sz w:val="20"/>
                <w:szCs w:val="20"/>
                <w:lang w:val="it-IT"/>
              </w:rPr>
              <w:t>Siti Rochmanah Oktaviani, SpMK</w:t>
            </w:r>
          </w:p>
        </w:tc>
        <w:tc>
          <w:tcPr>
            <w:tcW w:w="3131" w:type="dxa"/>
          </w:tcPr>
          <w:p w14:paraId="1904A7D4" w14:textId="2BAB5CF9" w:rsidR="3732D65F" w:rsidRPr="00BB4743" w:rsidRDefault="3732D65F" w:rsidP="00BB4743">
            <w:pPr>
              <w:spacing w:line="259" w:lineRule="auto"/>
              <w:rPr>
                <w:rFonts w:cs="Calibri"/>
                <w:color w:val="auto"/>
                <w:sz w:val="20"/>
                <w:szCs w:val="20"/>
                <w:lang w:val="pt-PT"/>
              </w:rPr>
            </w:pPr>
            <w:r w:rsidRPr="00BB4743">
              <w:rPr>
                <w:rFonts w:eastAsia="Calibri" w:cs="Calibri"/>
                <w:color w:val="auto"/>
                <w:sz w:val="20"/>
                <w:szCs w:val="20"/>
                <w:lang w:val="pt-PT"/>
              </w:rPr>
              <w:t>RSUP Dr Soetomo Surabaya (Sentinel Hospital)</w:t>
            </w:r>
          </w:p>
        </w:tc>
        <w:tc>
          <w:tcPr>
            <w:tcW w:w="3130" w:type="dxa"/>
          </w:tcPr>
          <w:p w14:paraId="5F3068D1" w14:textId="5C2BD7A8" w:rsidR="3732D65F" w:rsidRPr="00BB4743" w:rsidRDefault="3732D65F" w:rsidP="00BB4743">
            <w:pPr>
              <w:rPr>
                <w:rFonts w:cs="Calibri"/>
                <w:color w:val="auto"/>
                <w:sz w:val="20"/>
                <w:szCs w:val="20"/>
              </w:rPr>
            </w:pPr>
            <w:r w:rsidRPr="00BB4743">
              <w:rPr>
                <w:rFonts w:eastAsia="Calibri" w:cs="Calibri"/>
                <w:color w:val="auto"/>
                <w:sz w:val="20"/>
                <w:szCs w:val="20"/>
              </w:rPr>
              <w:t>Clinical Microbiologist</w:t>
            </w:r>
          </w:p>
        </w:tc>
      </w:tr>
      <w:tr w:rsidR="6A4048FE" w14:paraId="18F6FD76"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6DCABFBA" w14:textId="4D87A139" w:rsidR="3732D65F" w:rsidRPr="00BB4743" w:rsidRDefault="00EE3BF1" w:rsidP="6A4048FE">
            <w:pPr>
              <w:spacing w:line="259" w:lineRule="auto"/>
              <w:rPr>
                <w:rFonts w:eastAsia="Calibri" w:cs="Calibri"/>
                <w:b/>
                <w:bCs/>
                <w:color w:val="auto"/>
                <w:sz w:val="20"/>
                <w:szCs w:val="20"/>
              </w:rPr>
            </w:pPr>
            <w:r>
              <w:rPr>
                <w:rFonts w:eastAsia="Calibri" w:cs="Calibri"/>
                <w:b/>
                <w:bCs/>
                <w:color w:val="auto"/>
                <w:sz w:val="20"/>
                <w:szCs w:val="20"/>
              </w:rPr>
              <w:t xml:space="preserve">Dr </w:t>
            </w:r>
            <w:r w:rsidR="3732D65F" w:rsidRPr="00BB4743">
              <w:rPr>
                <w:rFonts w:eastAsia="Calibri" w:cs="Calibri"/>
                <w:b/>
                <w:bCs/>
                <w:color w:val="auto"/>
                <w:sz w:val="20"/>
                <w:szCs w:val="20"/>
              </w:rPr>
              <w:t>Leonardus Widyatmoko, SpMK</w:t>
            </w:r>
          </w:p>
        </w:tc>
        <w:tc>
          <w:tcPr>
            <w:tcW w:w="3131" w:type="dxa"/>
          </w:tcPr>
          <w:p w14:paraId="32F8AFBF" w14:textId="0AC24F44" w:rsidR="3732D65F" w:rsidRPr="00BB4743" w:rsidRDefault="3732D65F" w:rsidP="00BB4743">
            <w:pPr>
              <w:spacing w:line="259" w:lineRule="auto"/>
              <w:rPr>
                <w:rFonts w:cs="Calibri"/>
                <w:color w:val="auto"/>
                <w:sz w:val="20"/>
                <w:szCs w:val="20"/>
                <w:lang w:val="de-DE"/>
              </w:rPr>
            </w:pPr>
            <w:r w:rsidRPr="00BB4743">
              <w:rPr>
                <w:rFonts w:eastAsia="Calibri" w:cs="Calibri"/>
                <w:color w:val="auto"/>
                <w:sz w:val="20"/>
                <w:szCs w:val="20"/>
                <w:lang w:val="de-DE"/>
              </w:rPr>
              <w:t>RSUP Hasan Sadikin Bandung (Sentinel Hospital)</w:t>
            </w:r>
          </w:p>
        </w:tc>
        <w:tc>
          <w:tcPr>
            <w:tcW w:w="3130" w:type="dxa"/>
          </w:tcPr>
          <w:p w14:paraId="22F59FD9" w14:textId="44A32CFB" w:rsidR="3732D65F" w:rsidRPr="00BB4743" w:rsidRDefault="3732D65F" w:rsidP="00BB4743">
            <w:pPr>
              <w:rPr>
                <w:rFonts w:cs="Calibri"/>
                <w:color w:val="auto"/>
                <w:sz w:val="20"/>
                <w:szCs w:val="20"/>
              </w:rPr>
            </w:pPr>
            <w:r w:rsidRPr="00BB4743">
              <w:rPr>
                <w:rFonts w:eastAsia="Calibri" w:cs="Calibri"/>
                <w:color w:val="auto"/>
                <w:sz w:val="20"/>
                <w:szCs w:val="20"/>
              </w:rPr>
              <w:t xml:space="preserve">Clinical </w:t>
            </w:r>
            <w:r w:rsidR="000F4575" w:rsidRPr="00BB4743">
              <w:rPr>
                <w:rFonts w:eastAsia="Calibri" w:cs="Calibri"/>
                <w:color w:val="auto"/>
                <w:sz w:val="20"/>
                <w:szCs w:val="20"/>
              </w:rPr>
              <w:t>Microbiologist</w:t>
            </w:r>
          </w:p>
        </w:tc>
      </w:tr>
      <w:tr w:rsidR="6A4048FE" w14:paraId="3646542F"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16EFB914" w14:textId="4301805C" w:rsidR="3732D65F" w:rsidRPr="00BB4743" w:rsidRDefault="3732D65F" w:rsidP="6A4048FE">
            <w:pPr>
              <w:spacing w:line="259" w:lineRule="auto"/>
              <w:rPr>
                <w:rFonts w:cs="Calibri"/>
                <w:b/>
                <w:bCs/>
                <w:color w:val="auto"/>
                <w:sz w:val="20"/>
                <w:szCs w:val="20"/>
              </w:rPr>
            </w:pPr>
            <w:r w:rsidRPr="00BB4743">
              <w:rPr>
                <w:rFonts w:eastAsia="Calibri" w:cs="Calibri"/>
                <w:b/>
                <w:bCs/>
                <w:color w:val="auto"/>
                <w:sz w:val="20"/>
                <w:szCs w:val="20"/>
              </w:rPr>
              <w:t>Drh. Tri Widayati., MSc</w:t>
            </w:r>
          </w:p>
        </w:tc>
        <w:tc>
          <w:tcPr>
            <w:tcW w:w="3131" w:type="dxa"/>
          </w:tcPr>
          <w:p w14:paraId="343862FF" w14:textId="6E5DB803" w:rsidR="3732D65F" w:rsidRPr="00BB4743" w:rsidRDefault="3732D65F" w:rsidP="00BB4743">
            <w:pPr>
              <w:spacing w:line="259" w:lineRule="auto"/>
              <w:rPr>
                <w:rFonts w:cs="Calibri"/>
                <w:color w:val="auto"/>
                <w:sz w:val="20"/>
                <w:szCs w:val="20"/>
              </w:rPr>
            </w:pPr>
            <w:r w:rsidRPr="00BB4743">
              <w:rPr>
                <w:rFonts w:eastAsia="Calibri" w:cs="Calibri"/>
                <w:color w:val="auto"/>
                <w:sz w:val="20"/>
                <w:szCs w:val="20"/>
              </w:rPr>
              <w:t>DIC Wates /NRL AH</w:t>
            </w:r>
          </w:p>
        </w:tc>
        <w:tc>
          <w:tcPr>
            <w:tcW w:w="3130" w:type="dxa"/>
          </w:tcPr>
          <w:p w14:paraId="3115088C" w14:textId="0C818DDC" w:rsidR="3732D65F" w:rsidRPr="00BB4743" w:rsidRDefault="3732D65F" w:rsidP="00BB4743">
            <w:pPr>
              <w:rPr>
                <w:rFonts w:cs="Calibri"/>
                <w:color w:val="auto"/>
                <w:sz w:val="20"/>
                <w:szCs w:val="20"/>
              </w:rPr>
            </w:pPr>
            <w:r w:rsidRPr="00BB4743">
              <w:rPr>
                <w:rFonts w:eastAsia="Calibri" w:cs="Calibri"/>
                <w:color w:val="auto"/>
                <w:sz w:val="20"/>
                <w:szCs w:val="20"/>
              </w:rPr>
              <w:t>Medical Vet</w:t>
            </w:r>
            <w:r w:rsidR="00057927" w:rsidRPr="00BB4743">
              <w:rPr>
                <w:rFonts w:eastAsia="Calibri" w:cs="Calibri"/>
                <w:color w:val="auto"/>
                <w:sz w:val="20"/>
                <w:szCs w:val="20"/>
              </w:rPr>
              <w:t>er</w:t>
            </w:r>
            <w:r w:rsidR="00952EDD" w:rsidRPr="00BB4743">
              <w:rPr>
                <w:rFonts w:eastAsia="Calibri" w:cs="Calibri"/>
                <w:color w:val="auto"/>
                <w:sz w:val="20"/>
                <w:szCs w:val="20"/>
              </w:rPr>
              <w:t>inary</w:t>
            </w:r>
            <w:r w:rsidRPr="00BB4743">
              <w:rPr>
                <w:rFonts w:eastAsia="Calibri" w:cs="Calibri"/>
                <w:color w:val="auto"/>
                <w:sz w:val="20"/>
                <w:szCs w:val="20"/>
              </w:rPr>
              <w:t xml:space="preserve"> epidemiologist</w:t>
            </w:r>
          </w:p>
        </w:tc>
      </w:tr>
      <w:tr w:rsidR="6A4048FE" w14:paraId="1610A1A7"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1DDA588F" w14:textId="53DF32F6" w:rsidR="3732D65F" w:rsidRPr="00BB4743" w:rsidRDefault="3732D65F" w:rsidP="6A4048FE">
            <w:pPr>
              <w:spacing w:line="259" w:lineRule="auto"/>
              <w:rPr>
                <w:rFonts w:cs="Calibri"/>
                <w:b/>
                <w:bCs/>
                <w:color w:val="auto"/>
                <w:sz w:val="20"/>
                <w:szCs w:val="20"/>
              </w:rPr>
            </w:pPr>
            <w:r w:rsidRPr="00BB4743">
              <w:rPr>
                <w:rFonts w:eastAsia="Calibri" w:cs="Calibri"/>
                <w:b/>
                <w:bCs/>
                <w:color w:val="auto"/>
                <w:sz w:val="20"/>
                <w:szCs w:val="20"/>
              </w:rPr>
              <w:t>Drh. Yuli Yanti., MSc</w:t>
            </w:r>
          </w:p>
        </w:tc>
        <w:tc>
          <w:tcPr>
            <w:tcW w:w="3131" w:type="dxa"/>
          </w:tcPr>
          <w:p w14:paraId="357CEFBC" w14:textId="2BA627D5" w:rsidR="3732D65F" w:rsidRPr="00BB4743" w:rsidRDefault="3732D65F" w:rsidP="00BB4743">
            <w:pPr>
              <w:spacing w:line="259" w:lineRule="auto"/>
              <w:rPr>
                <w:rFonts w:cs="Calibri"/>
                <w:color w:val="auto"/>
                <w:sz w:val="20"/>
                <w:szCs w:val="20"/>
              </w:rPr>
            </w:pPr>
            <w:r w:rsidRPr="00BB4743">
              <w:rPr>
                <w:rFonts w:eastAsia="Calibri" w:cs="Calibri"/>
                <w:color w:val="auto"/>
                <w:sz w:val="20"/>
                <w:szCs w:val="20"/>
              </w:rPr>
              <w:t xml:space="preserve">DIC Subang/Sentinel </w:t>
            </w:r>
            <w:r w:rsidR="00D770D4">
              <w:rPr>
                <w:rFonts w:eastAsia="Calibri" w:cs="Calibri"/>
                <w:color w:val="auto"/>
                <w:sz w:val="20"/>
                <w:szCs w:val="20"/>
              </w:rPr>
              <w:t xml:space="preserve">Laboratory </w:t>
            </w:r>
            <w:r w:rsidRPr="00BB4743">
              <w:rPr>
                <w:rFonts w:eastAsia="Calibri" w:cs="Calibri"/>
                <w:color w:val="auto"/>
                <w:sz w:val="20"/>
                <w:szCs w:val="20"/>
              </w:rPr>
              <w:t>AH</w:t>
            </w:r>
          </w:p>
        </w:tc>
        <w:tc>
          <w:tcPr>
            <w:tcW w:w="3130" w:type="dxa"/>
          </w:tcPr>
          <w:p w14:paraId="446C36BB" w14:textId="2052EB20" w:rsidR="3732D65F" w:rsidRPr="00BB4743" w:rsidRDefault="3732D65F" w:rsidP="00BB4743">
            <w:pPr>
              <w:rPr>
                <w:rFonts w:cs="Calibri"/>
                <w:color w:val="auto"/>
                <w:sz w:val="20"/>
                <w:szCs w:val="20"/>
              </w:rPr>
            </w:pPr>
            <w:r w:rsidRPr="00BB4743">
              <w:rPr>
                <w:rFonts w:eastAsia="Calibri" w:cs="Calibri"/>
                <w:color w:val="auto"/>
                <w:sz w:val="20"/>
                <w:szCs w:val="20"/>
              </w:rPr>
              <w:t>Medical Vet</w:t>
            </w:r>
            <w:r w:rsidR="00952EDD" w:rsidRPr="00BB4743">
              <w:rPr>
                <w:rFonts w:eastAsia="Calibri" w:cs="Calibri"/>
                <w:color w:val="auto"/>
                <w:sz w:val="20"/>
                <w:szCs w:val="20"/>
              </w:rPr>
              <w:t>erinary</w:t>
            </w:r>
            <w:r w:rsidRPr="00BB4743">
              <w:rPr>
                <w:rFonts w:eastAsia="Calibri" w:cs="Calibri"/>
                <w:color w:val="auto"/>
                <w:sz w:val="20"/>
                <w:szCs w:val="20"/>
              </w:rPr>
              <w:t xml:space="preserve"> </w:t>
            </w:r>
            <w:r w:rsidR="00290E4A" w:rsidRPr="00BB4743">
              <w:rPr>
                <w:rFonts w:eastAsia="Calibri" w:cs="Calibri"/>
                <w:color w:val="auto"/>
                <w:sz w:val="20"/>
                <w:szCs w:val="20"/>
              </w:rPr>
              <w:t xml:space="preserve">laboratory </w:t>
            </w:r>
            <w:r w:rsidRPr="00BB4743">
              <w:rPr>
                <w:rFonts w:eastAsia="Calibri" w:cs="Calibri"/>
                <w:color w:val="auto"/>
                <w:sz w:val="20"/>
                <w:szCs w:val="20"/>
              </w:rPr>
              <w:t>epidemiologist</w:t>
            </w:r>
          </w:p>
        </w:tc>
      </w:tr>
      <w:tr w:rsidR="6A4048FE" w14:paraId="220262C2"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556A16CF" w14:textId="59D6CD16" w:rsidR="3732D65F" w:rsidRPr="00BB4743" w:rsidRDefault="496820F6" w:rsidP="6A4048FE">
            <w:pPr>
              <w:spacing w:line="259" w:lineRule="auto"/>
              <w:rPr>
                <w:rFonts w:eastAsia="Calibri" w:cs="Calibri"/>
                <w:b/>
                <w:bCs/>
                <w:color w:val="auto"/>
                <w:sz w:val="20"/>
                <w:szCs w:val="20"/>
              </w:rPr>
            </w:pPr>
            <w:r w:rsidRPr="00BB4743">
              <w:rPr>
                <w:rFonts w:eastAsia="Calibri" w:cs="Calibri"/>
                <w:b/>
                <w:bCs/>
                <w:color w:val="auto"/>
                <w:sz w:val="20"/>
                <w:szCs w:val="20"/>
              </w:rPr>
              <w:t>D</w:t>
            </w:r>
            <w:r w:rsidR="2E508FF6" w:rsidRPr="00BB4743">
              <w:rPr>
                <w:rFonts w:eastAsia="Calibri" w:cs="Calibri"/>
                <w:b/>
                <w:bCs/>
                <w:color w:val="auto"/>
                <w:sz w:val="20"/>
                <w:szCs w:val="20"/>
              </w:rPr>
              <w:t>rh</w:t>
            </w:r>
            <w:r w:rsidR="3732D65F" w:rsidRPr="00BB4743">
              <w:rPr>
                <w:rFonts w:eastAsia="Calibri" w:cs="Calibri"/>
                <w:b/>
                <w:bCs/>
                <w:color w:val="auto"/>
                <w:sz w:val="20"/>
                <w:szCs w:val="20"/>
              </w:rPr>
              <w:t>. Oli Susanti</w:t>
            </w:r>
          </w:p>
        </w:tc>
        <w:tc>
          <w:tcPr>
            <w:tcW w:w="3131" w:type="dxa"/>
          </w:tcPr>
          <w:p w14:paraId="462ED3A4" w14:textId="02F7BF54" w:rsidR="6A4048FE" w:rsidRPr="00BB4743" w:rsidRDefault="3732D65F" w:rsidP="00BB4743">
            <w:pPr>
              <w:rPr>
                <w:rFonts w:eastAsia="Calibri" w:cs="Calibri"/>
                <w:color w:val="auto"/>
                <w:sz w:val="20"/>
                <w:szCs w:val="20"/>
              </w:rPr>
            </w:pPr>
            <w:r w:rsidRPr="00BB4743">
              <w:rPr>
                <w:rFonts w:eastAsia="Calibri" w:cs="Calibri"/>
                <w:color w:val="auto"/>
                <w:sz w:val="20"/>
                <w:szCs w:val="20"/>
              </w:rPr>
              <w:t xml:space="preserve">BPSMPH Bogor, Ministry of Agriculture (Sentinel </w:t>
            </w:r>
            <w:r w:rsidR="00D770D4">
              <w:rPr>
                <w:rFonts w:eastAsia="Calibri" w:cs="Calibri"/>
                <w:color w:val="auto"/>
                <w:sz w:val="20"/>
                <w:szCs w:val="20"/>
              </w:rPr>
              <w:t xml:space="preserve">Laboratory </w:t>
            </w:r>
            <w:r w:rsidRPr="00BB4743">
              <w:rPr>
                <w:rFonts w:eastAsia="Calibri" w:cs="Calibri"/>
                <w:color w:val="auto"/>
                <w:sz w:val="20"/>
                <w:szCs w:val="20"/>
              </w:rPr>
              <w:t>AH)</w:t>
            </w:r>
          </w:p>
        </w:tc>
        <w:tc>
          <w:tcPr>
            <w:tcW w:w="3130" w:type="dxa"/>
          </w:tcPr>
          <w:p w14:paraId="4BC904D5" w14:textId="7573B335" w:rsidR="3732D65F" w:rsidRPr="00BB4743" w:rsidRDefault="00D770D4" w:rsidP="00BB4743">
            <w:pPr>
              <w:rPr>
                <w:rFonts w:cs="Calibri"/>
                <w:color w:val="auto"/>
                <w:sz w:val="20"/>
                <w:szCs w:val="20"/>
              </w:rPr>
            </w:pPr>
            <w:r>
              <w:rPr>
                <w:rFonts w:eastAsia="Calibri" w:cs="Calibri"/>
                <w:color w:val="auto"/>
                <w:sz w:val="20"/>
                <w:szCs w:val="20"/>
              </w:rPr>
              <w:t xml:space="preserve">Laboratory </w:t>
            </w:r>
            <w:r w:rsidR="3732D65F" w:rsidRPr="00BB4743">
              <w:rPr>
                <w:rFonts w:eastAsia="Calibri" w:cs="Calibri"/>
                <w:color w:val="auto"/>
                <w:sz w:val="20"/>
                <w:szCs w:val="20"/>
              </w:rPr>
              <w:t>Coordinator</w:t>
            </w:r>
          </w:p>
        </w:tc>
      </w:tr>
    </w:tbl>
    <w:p w14:paraId="4E7997BD" w14:textId="7C37DEBB" w:rsidR="00CF4E89" w:rsidRDefault="00CF4E89" w:rsidP="00BB4743">
      <w:pPr>
        <w:pStyle w:val="ItadH2"/>
        <w:keepNext/>
      </w:pPr>
      <w:bookmarkStart w:id="398" w:name="_Toc118968573"/>
      <w:bookmarkStart w:id="399" w:name="_Toc122209927"/>
      <w:bookmarkStart w:id="400" w:name="_Toc142383215"/>
      <w:r>
        <w:t>Kenya</w:t>
      </w:r>
      <w:bookmarkEnd w:id="398"/>
      <w:bookmarkEnd w:id="399"/>
      <w:bookmarkEnd w:id="400"/>
    </w:p>
    <w:tbl>
      <w:tblPr>
        <w:tblStyle w:val="Itadalternaterows"/>
        <w:tblW w:w="9663" w:type="dxa"/>
        <w:tblLook w:val="04A0" w:firstRow="1" w:lastRow="0" w:firstColumn="1" w:lastColumn="0" w:noHBand="0" w:noVBand="1"/>
      </w:tblPr>
      <w:tblGrid>
        <w:gridCol w:w="3221"/>
        <w:gridCol w:w="3221"/>
        <w:gridCol w:w="3221"/>
      </w:tblGrid>
      <w:tr w:rsidR="00687B10" w:rsidRPr="00B577FB" w14:paraId="2A52C890" w14:textId="77777777" w:rsidTr="17D077F0">
        <w:trPr>
          <w:cnfStyle w:val="100000000000" w:firstRow="1" w:lastRow="0" w:firstColumn="0" w:lastColumn="0" w:oddVBand="0" w:evenVBand="0" w:oddHBand="0" w:evenHBand="0" w:firstRowFirstColumn="0" w:firstRowLastColumn="0" w:lastRowFirstColumn="0" w:lastRowLastColumn="0"/>
          <w:trHeight w:val="340"/>
        </w:trPr>
        <w:tc>
          <w:tcPr>
            <w:tcW w:w="9663" w:type="dxa"/>
            <w:gridSpan w:val="3"/>
            <w:hideMark/>
          </w:tcPr>
          <w:p w14:paraId="4CF33C07" w14:textId="1B08A96C" w:rsidR="00687B10" w:rsidRPr="00B577FB" w:rsidRDefault="00687B10">
            <w:pPr>
              <w:rPr>
                <w:rFonts w:cs="Calibri"/>
                <w:bCs/>
                <w:color w:val="FFFFFF" w:themeColor="background1"/>
                <w:sz w:val="20"/>
                <w:szCs w:val="20"/>
                <w:lang w:eastAsia="en-GB"/>
              </w:rPr>
            </w:pPr>
            <w:r w:rsidRPr="00B577FB">
              <w:rPr>
                <w:rFonts w:cs="Calibri"/>
                <w:color w:val="FFFFFF" w:themeColor="background1"/>
                <w:sz w:val="20"/>
                <w:szCs w:val="20"/>
                <w:lang w:eastAsia="en-GB"/>
              </w:rPr>
              <w:t xml:space="preserve">Fleming Fund </w:t>
            </w:r>
            <w:r w:rsidR="005B5B44" w:rsidRPr="00B577FB">
              <w:rPr>
                <w:rFonts w:cs="Calibri"/>
                <w:color w:val="FFFFFF" w:themeColor="background1"/>
                <w:sz w:val="20"/>
                <w:szCs w:val="20"/>
                <w:lang w:eastAsia="en-GB"/>
              </w:rPr>
              <w:t>CG</w:t>
            </w:r>
          </w:p>
        </w:tc>
      </w:tr>
      <w:tr w:rsidR="00687B10" w:rsidRPr="00B577FB" w14:paraId="4AD663EE"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44E504FE" w14:textId="2590C9F4" w:rsidR="00687B10" w:rsidRPr="00B577FB" w:rsidRDefault="009D169F">
            <w:pPr>
              <w:rPr>
                <w:rFonts w:cs="Calibri"/>
                <w:b/>
                <w:color w:val="000000"/>
                <w:sz w:val="20"/>
                <w:szCs w:val="20"/>
                <w:lang w:eastAsia="en-GB"/>
              </w:rPr>
            </w:pPr>
            <w:r w:rsidRPr="00B577FB">
              <w:rPr>
                <w:rFonts w:cs="Calibri"/>
                <w:b/>
                <w:color w:val="000000"/>
                <w:sz w:val="20"/>
                <w:szCs w:val="20"/>
                <w:lang w:eastAsia="en-GB"/>
              </w:rPr>
              <w:t>Dr Revathi Gunturu</w:t>
            </w:r>
          </w:p>
        </w:tc>
        <w:tc>
          <w:tcPr>
            <w:tcW w:w="3221" w:type="dxa"/>
          </w:tcPr>
          <w:p w14:paraId="20FD6575" w14:textId="4B01889B" w:rsidR="00687B10" w:rsidRPr="00B577FB" w:rsidRDefault="00ED203F" w:rsidP="00BB4743">
            <w:pPr>
              <w:rPr>
                <w:rFonts w:cs="Calibri"/>
                <w:color w:val="000000"/>
                <w:sz w:val="20"/>
                <w:szCs w:val="20"/>
                <w:lang w:eastAsia="en-GB"/>
              </w:rPr>
            </w:pPr>
            <w:r w:rsidRPr="00B577FB">
              <w:rPr>
                <w:rFonts w:cs="Calibri"/>
                <w:color w:val="000000"/>
                <w:sz w:val="20"/>
                <w:szCs w:val="20"/>
                <w:lang w:eastAsia="en-GB"/>
              </w:rPr>
              <w:t>Aga Khan University Hospital, Nairobi</w:t>
            </w:r>
          </w:p>
        </w:tc>
        <w:tc>
          <w:tcPr>
            <w:tcW w:w="3221" w:type="dxa"/>
          </w:tcPr>
          <w:p w14:paraId="342A0389" w14:textId="69382661" w:rsidR="00687B10" w:rsidRPr="00B577FB" w:rsidRDefault="00ED203F" w:rsidP="00BB4743">
            <w:pPr>
              <w:rPr>
                <w:rFonts w:cs="Calibri"/>
                <w:color w:val="000000"/>
                <w:sz w:val="20"/>
                <w:szCs w:val="20"/>
                <w:lang w:eastAsia="en-GB"/>
              </w:rPr>
            </w:pPr>
            <w:r w:rsidRPr="00B577FB">
              <w:rPr>
                <w:rFonts w:cs="Calibri"/>
                <w:color w:val="000000"/>
                <w:sz w:val="20"/>
                <w:szCs w:val="20"/>
                <w:lang w:eastAsia="en-GB"/>
              </w:rPr>
              <w:t>Associate Professor</w:t>
            </w:r>
          </w:p>
        </w:tc>
      </w:tr>
      <w:tr w:rsidR="00687B10" w:rsidRPr="00B577FB" w14:paraId="600B5836"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1DC46E0A" w14:textId="14B5F2E5" w:rsidR="00687B10" w:rsidRPr="00B577FB" w:rsidRDefault="00ED203F">
            <w:pPr>
              <w:rPr>
                <w:rFonts w:cs="Calibri"/>
                <w:b/>
                <w:color w:val="000000"/>
                <w:sz w:val="20"/>
                <w:szCs w:val="20"/>
                <w:lang w:eastAsia="en-GB"/>
              </w:rPr>
            </w:pPr>
            <w:r w:rsidRPr="00B577FB">
              <w:rPr>
                <w:rFonts w:cs="Calibri"/>
                <w:b/>
                <w:color w:val="000000"/>
                <w:sz w:val="20"/>
                <w:szCs w:val="20"/>
                <w:lang w:eastAsia="en-GB"/>
              </w:rPr>
              <w:t>Prof Sam Kariuki</w:t>
            </w:r>
          </w:p>
        </w:tc>
        <w:tc>
          <w:tcPr>
            <w:tcW w:w="3221" w:type="dxa"/>
          </w:tcPr>
          <w:p w14:paraId="13BE418A" w14:textId="4A0DD595" w:rsidR="00687B10" w:rsidRPr="00B577FB" w:rsidRDefault="00DA4F15" w:rsidP="00BB4743">
            <w:pPr>
              <w:rPr>
                <w:rFonts w:cs="Calibri"/>
                <w:color w:val="000000"/>
                <w:sz w:val="20"/>
                <w:szCs w:val="20"/>
                <w:lang w:eastAsia="en-GB"/>
              </w:rPr>
            </w:pPr>
            <w:r w:rsidRPr="00B577FB">
              <w:rPr>
                <w:rFonts w:cs="Calibri"/>
                <w:color w:val="000000"/>
                <w:sz w:val="20"/>
                <w:szCs w:val="20"/>
                <w:lang w:eastAsia="en-GB"/>
              </w:rPr>
              <w:t>KEMRI</w:t>
            </w:r>
          </w:p>
        </w:tc>
        <w:tc>
          <w:tcPr>
            <w:tcW w:w="3221" w:type="dxa"/>
          </w:tcPr>
          <w:p w14:paraId="04E4FEB0" w14:textId="324C8B93" w:rsidR="00687B10" w:rsidRPr="00B577FB" w:rsidRDefault="00DA4F15" w:rsidP="00BB4743">
            <w:pPr>
              <w:rPr>
                <w:rFonts w:cs="Calibri"/>
                <w:color w:val="000000"/>
                <w:sz w:val="20"/>
                <w:szCs w:val="20"/>
                <w:lang w:eastAsia="en-GB"/>
              </w:rPr>
            </w:pPr>
            <w:r w:rsidRPr="00B577FB">
              <w:rPr>
                <w:rFonts w:cs="Calibri"/>
                <w:color w:val="000000"/>
                <w:sz w:val="20"/>
                <w:szCs w:val="20"/>
                <w:lang w:eastAsia="en-GB"/>
              </w:rPr>
              <w:t>Director of the Centre for Microbiology Research</w:t>
            </w:r>
          </w:p>
        </w:tc>
      </w:tr>
      <w:tr w:rsidR="00687B10" w:rsidRPr="00B577FB" w14:paraId="02C47E56"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E440B40" w14:textId="6985DDD3" w:rsidR="00687B10" w:rsidRPr="00B577FB" w:rsidRDefault="00DA4F15">
            <w:pPr>
              <w:rPr>
                <w:rFonts w:cs="Calibri"/>
                <w:b/>
                <w:color w:val="000000"/>
                <w:sz w:val="20"/>
                <w:szCs w:val="20"/>
                <w:lang w:eastAsia="en-GB"/>
              </w:rPr>
            </w:pPr>
            <w:r w:rsidRPr="00B577FB">
              <w:rPr>
                <w:rFonts w:cs="Calibri"/>
                <w:b/>
                <w:color w:val="000000"/>
                <w:sz w:val="20"/>
                <w:szCs w:val="20"/>
                <w:lang w:eastAsia="en-GB"/>
              </w:rPr>
              <w:t>Prof Eric Fevre</w:t>
            </w:r>
          </w:p>
        </w:tc>
        <w:tc>
          <w:tcPr>
            <w:tcW w:w="3221" w:type="dxa"/>
          </w:tcPr>
          <w:p w14:paraId="037064DB" w14:textId="60FE768D" w:rsidR="00687B10" w:rsidRPr="00B577FB" w:rsidRDefault="001B7F84" w:rsidP="00BB4743">
            <w:pPr>
              <w:rPr>
                <w:rFonts w:cs="Calibri"/>
                <w:color w:val="000000"/>
                <w:sz w:val="20"/>
                <w:szCs w:val="20"/>
                <w:lang w:eastAsia="en-GB"/>
              </w:rPr>
            </w:pPr>
            <w:r w:rsidRPr="001B7F84">
              <w:rPr>
                <w:rFonts w:cs="Calibri"/>
                <w:color w:val="000000"/>
                <w:sz w:val="20"/>
                <w:szCs w:val="20"/>
                <w:lang w:eastAsia="en-GB"/>
              </w:rPr>
              <w:t xml:space="preserve">International Livestock Research Institute </w:t>
            </w:r>
            <w:r w:rsidR="009D294E">
              <w:rPr>
                <w:rFonts w:cs="Calibri"/>
                <w:color w:val="000000"/>
                <w:sz w:val="20"/>
                <w:szCs w:val="20"/>
                <w:lang w:eastAsia="en-GB"/>
              </w:rPr>
              <w:t>(</w:t>
            </w:r>
            <w:r w:rsidR="00DA4F15" w:rsidRPr="00B577FB">
              <w:rPr>
                <w:rFonts w:cs="Calibri"/>
                <w:color w:val="000000"/>
                <w:sz w:val="20"/>
                <w:szCs w:val="20"/>
                <w:lang w:eastAsia="en-GB"/>
              </w:rPr>
              <w:t>I</w:t>
            </w:r>
            <w:r w:rsidR="00132EB2" w:rsidRPr="00B577FB">
              <w:rPr>
                <w:rFonts w:cs="Calibri"/>
                <w:color w:val="000000"/>
                <w:sz w:val="20"/>
                <w:szCs w:val="20"/>
                <w:lang w:eastAsia="en-GB"/>
              </w:rPr>
              <w:t>LRI</w:t>
            </w:r>
            <w:r w:rsidR="009D294E">
              <w:rPr>
                <w:rFonts w:cs="Calibri"/>
                <w:color w:val="000000"/>
                <w:sz w:val="20"/>
                <w:szCs w:val="20"/>
                <w:lang w:eastAsia="en-GB"/>
              </w:rPr>
              <w:t>)</w:t>
            </w:r>
          </w:p>
        </w:tc>
        <w:tc>
          <w:tcPr>
            <w:tcW w:w="3221" w:type="dxa"/>
          </w:tcPr>
          <w:p w14:paraId="09D9C76E" w14:textId="5E6321F3" w:rsidR="00687B10" w:rsidRPr="00B577FB" w:rsidRDefault="0AA8D74A" w:rsidP="00BB4743">
            <w:pPr>
              <w:rPr>
                <w:rFonts w:cs="Calibri"/>
                <w:color w:val="000000"/>
                <w:sz w:val="20"/>
                <w:szCs w:val="20"/>
                <w:lang w:eastAsia="en-GB"/>
              </w:rPr>
            </w:pPr>
            <w:r w:rsidRPr="00B577FB">
              <w:rPr>
                <w:rFonts w:cs="Calibri"/>
                <w:color w:val="000000"/>
                <w:sz w:val="20"/>
                <w:szCs w:val="20"/>
                <w:lang w:eastAsia="en-GB"/>
              </w:rPr>
              <w:t>Scientist</w:t>
            </w:r>
          </w:p>
        </w:tc>
      </w:tr>
      <w:tr w:rsidR="00DA4F15" w:rsidRPr="00B577FB" w14:paraId="101D385F"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14041005" w14:textId="05084EF5" w:rsidR="00DA4F15" w:rsidRPr="00B577FB" w:rsidRDefault="00132EB2">
            <w:pPr>
              <w:rPr>
                <w:rFonts w:cs="Calibri"/>
                <w:b/>
                <w:color w:val="000000"/>
                <w:sz w:val="20"/>
                <w:szCs w:val="20"/>
                <w:lang w:eastAsia="en-GB"/>
              </w:rPr>
            </w:pPr>
            <w:r w:rsidRPr="00B577FB">
              <w:rPr>
                <w:rFonts w:cs="Calibri"/>
                <w:b/>
                <w:color w:val="000000"/>
                <w:sz w:val="20"/>
                <w:szCs w:val="20"/>
                <w:lang w:eastAsia="en-GB"/>
              </w:rPr>
              <w:t>Dr Loice Acheng</w:t>
            </w:r>
          </w:p>
        </w:tc>
        <w:tc>
          <w:tcPr>
            <w:tcW w:w="3221" w:type="dxa"/>
          </w:tcPr>
          <w:p w14:paraId="7AE75CEA" w14:textId="7CFC489A" w:rsidR="00DA4F15" w:rsidRPr="00B577FB" w:rsidRDefault="00132EB2" w:rsidP="00BB4743">
            <w:pPr>
              <w:rPr>
                <w:rFonts w:cs="Calibri"/>
                <w:color w:val="000000"/>
                <w:sz w:val="20"/>
                <w:szCs w:val="20"/>
                <w:lang w:eastAsia="en-GB"/>
              </w:rPr>
            </w:pPr>
            <w:r w:rsidRPr="00B577FB">
              <w:rPr>
                <w:rFonts w:cs="Calibri"/>
                <w:color w:val="000000"/>
                <w:sz w:val="20"/>
                <w:szCs w:val="20"/>
                <w:lang w:eastAsia="en-GB"/>
              </w:rPr>
              <w:t>Infectious Diseases Unit, University of Nairobi</w:t>
            </w:r>
          </w:p>
        </w:tc>
        <w:tc>
          <w:tcPr>
            <w:tcW w:w="3221" w:type="dxa"/>
          </w:tcPr>
          <w:p w14:paraId="18E479B1" w14:textId="059D7BF1" w:rsidR="00DA4F15" w:rsidRPr="00B577FB" w:rsidRDefault="3E08620D" w:rsidP="00BB4743">
            <w:pPr>
              <w:rPr>
                <w:rFonts w:cs="Calibri"/>
                <w:color w:val="000000"/>
                <w:sz w:val="20"/>
                <w:szCs w:val="20"/>
                <w:lang w:eastAsia="en-GB"/>
              </w:rPr>
            </w:pPr>
            <w:r w:rsidRPr="00B577FB">
              <w:rPr>
                <w:rFonts w:cs="Calibri"/>
                <w:color w:val="000000"/>
                <w:sz w:val="20"/>
                <w:szCs w:val="20"/>
                <w:lang w:eastAsia="en-GB"/>
              </w:rPr>
              <w:t>H</w:t>
            </w:r>
            <w:r w:rsidR="46F9E5DE" w:rsidRPr="00B577FB">
              <w:rPr>
                <w:rFonts w:cs="Calibri"/>
                <w:color w:val="000000"/>
                <w:sz w:val="20"/>
                <w:szCs w:val="20"/>
                <w:lang w:eastAsia="en-GB"/>
              </w:rPr>
              <w:t>ead of Department</w:t>
            </w:r>
          </w:p>
        </w:tc>
      </w:tr>
      <w:tr w:rsidR="00BE5A0A" w:rsidRPr="00B577FB" w14:paraId="62B7A895"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31498B9A" w14:textId="275FED08" w:rsidR="00BE5A0A" w:rsidRPr="00B577FB" w:rsidRDefault="00BE5A0A">
            <w:pPr>
              <w:rPr>
                <w:rFonts w:cs="Calibri"/>
                <w:b/>
                <w:color w:val="000000"/>
                <w:sz w:val="20"/>
                <w:szCs w:val="20"/>
                <w:lang w:eastAsia="en-GB"/>
              </w:rPr>
            </w:pPr>
            <w:r w:rsidRPr="00B577FB">
              <w:rPr>
                <w:rFonts w:cs="Calibri"/>
                <w:b/>
                <w:color w:val="000000"/>
                <w:sz w:val="20"/>
                <w:szCs w:val="20"/>
                <w:lang w:eastAsia="en-GB"/>
              </w:rPr>
              <w:t>Dr Morris Buliva</w:t>
            </w:r>
          </w:p>
        </w:tc>
        <w:tc>
          <w:tcPr>
            <w:tcW w:w="3221" w:type="dxa"/>
          </w:tcPr>
          <w:p w14:paraId="6D7D50C2" w14:textId="58324161" w:rsidR="00BE5A0A" w:rsidRPr="00B577FB" w:rsidRDefault="00BE5A0A" w:rsidP="00BB4743">
            <w:pPr>
              <w:rPr>
                <w:rFonts w:cs="Calibri"/>
                <w:color w:val="000000"/>
                <w:sz w:val="20"/>
                <w:szCs w:val="20"/>
                <w:lang w:eastAsia="en-GB"/>
              </w:rPr>
            </w:pPr>
            <w:r w:rsidRPr="00B577FB">
              <w:rPr>
                <w:rFonts w:cs="Calibri"/>
                <w:color w:val="000000"/>
                <w:sz w:val="20"/>
                <w:szCs w:val="20"/>
                <w:lang w:eastAsia="en-GB"/>
              </w:rPr>
              <w:t>PATH Kenya</w:t>
            </w:r>
          </w:p>
        </w:tc>
        <w:tc>
          <w:tcPr>
            <w:tcW w:w="3221" w:type="dxa"/>
          </w:tcPr>
          <w:p w14:paraId="7B901D0E" w14:textId="645780ED" w:rsidR="00BE5A0A" w:rsidRPr="00B577FB" w:rsidRDefault="693E9CE9" w:rsidP="00BB4743">
            <w:pPr>
              <w:rPr>
                <w:rFonts w:cs="Calibri"/>
                <w:color w:val="000000"/>
                <w:sz w:val="20"/>
                <w:szCs w:val="20"/>
                <w:lang w:eastAsia="en-GB"/>
              </w:rPr>
            </w:pPr>
            <w:r w:rsidRPr="00B577FB">
              <w:rPr>
                <w:rFonts w:cs="Calibri"/>
                <w:color w:val="000000"/>
                <w:sz w:val="20"/>
                <w:szCs w:val="20"/>
                <w:lang w:eastAsia="en-GB"/>
              </w:rPr>
              <w:t>Former Operations Officer</w:t>
            </w:r>
          </w:p>
        </w:tc>
      </w:tr>
      <w:tr w:rsidR="00687B10" w:rsidRPr="00B577FB" w14:paraId="005AE122"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472F65A2" w14:textId="5CC64843" w:rsidR="00687B10" w:rsidRPr="00B577FB" w:rsidRDefault="2B5664B1" w:rsidP="00041B22">
            <w:pPr>
              <w:rPr>
                <w:rFonts w:cs="Calibri"/>
                <w:sz w:val="20"/>
                <w:szCs w:val="20"/>
              </w:rPr>
            </w:pPr>
            <w:r w:rsidRPr="00B577FB">
              <w:rPr>
                <w:rFonts w:cs="Calibri"/>
                <w:color w:val="FFFFFF" w:themeColor="background1"/>
                <w:sz w:val="20"/>
                <w:szCs w:val="20"/>
                <w:lang w:eastAsia="en-GB"/>
              </w:rPr>
              <w:t xml:space="preserve">NASIC </w:t>
            </w:r>
            <w:r w:rsidR="7B858115" w:rsidRPr="00B577FB">
              <w:rPr>
                <w:rFonts w:cs="Calibri"/>
                <w:color w:val="FFFFFF" w:themeColor="background1"/>
                <w:sz w:val="20"/>
                <w:szCs w:val="20"/>
                <w:lang w:eastAsia="en-GB"/>
              </w:rPr>
              <w:t>Members</w:t>
            </w:r>
          </w:p>
        </w:tc>
      </w:tr>
      <w:tr w:rsidR="00687B10" w:rsidRPr="00B577FB" w14:paraId="67911AA2"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397B8156" w14:textId="3CC293AC" w:rsidR="00687B10" w:rsidRPr="00B577FB" w:rsidRDefault="004F5676">
            <w:pPr>
              <w:rPr>
                <w:rFonts w:cs="Calibri"/>
                <w:b/>
                <w:color w:val="000000"/>
                <w:sz w:val="20"/>
                <w:szCs w:val="20"/>
                <w:lang w:val="de-DE" w:eastAsia="en-GB"/>
              </w:rPr>
            </w:pPr>
            <w:r w:rsidRPr="00B577FB">
              <w:rPr>
                <w:rFonts w:cs="Calibri"/>
                <w:b/>
                <w:color w:val="000000"/>
                <w:sz w:val="20"/>
                <w:szCs w:val="20"/>
                <w:lang w:val="de-DE" w:eastAsia="en-GB"/>
              </w:rPr>
              <w:t>Dr Evelyn Wesangula</w:t>
            </w:r>
          </w:p>
        </w:tc>
        <w:tc>
          <w:tcPr>
            <w:tcW w:w="3221" w:type="dxa"/>
          </w:tcPr>
          <w:p w14:paraId="521D8B9F" w14:textId="3B1B5B02" w:rsidR="00687B10" w:rsidRPr="00B577FB" w:rsidRDefault="00C508CE" w:rsidP="00BB4743">
            <w:pPr>
              <w:rPr>
                <w:rFonts w:cs="Calibri"/>
                <w:color w:val="000000"/>
                <w:sz w:val="20"/>
                <w:szCs w:val="20"/>
                <w:lang w:eastAsia="en-GB"/>
              </w:rPr>
            </w:pPr>
            <w:r w:rsidRPr="00B577FB">
              <w:rPr>
                <w:rFonts w:cs="Calibri"/>
                <w:color w:val="000000"/>
                <w:sz w:val="20"/>
                <w:szCs w:val="20"/>
                <w:lang w:eastAsia="en-GB"/>
              </w:rPr>
              <w:t>MOH Patient and Health Worker Safety Unit/ National Focal Point on AMR</w:t>
            </w:r>
          </w:p>
        </w:tc>
        <w:tc>
          <w:tcPr>
            <w:tcW w:w="3221" w:type="dxa"/>
          </w:tcPr>
          <w:p w14:paraId="528230A5" w14:textId="4E5CA325" w:rsidR="00687B10" w:rsidRPr="00B577FB" w:rsidRDefault="00C508CE" w:rsidP="00BB4743">
            <w:pPr>
              <w:rPr>
                <w:rFonts w:cs="Calibri"/>
                <w:color w:val="000000"/>
                <w:sz w:val="20"/>
                <w:szCs w:val="20"/>
                <w:lang w:eastAsia="en-GB"/>
              </w:rPr>
            </w:pPr>
            <w:r w:rsidRPr="00B577FB">
              <w:rPr>
                <w:rFonts w:cs="Calibri"/>
                <w:color w:val="000000"/>
                <w:sz w:val="20"/>
                <w:szCs w:val="20"/>
                <w:lang w:eastAsia="en-GB"/>
              </w:rPr>
              <w:t>Head of Patient and Health Worker Safety Unit; National Focal Point on AMR</w:t>
            </w:r>
          </w:p>
        </w:tc>
      </w:tr>
      <w:tr w:rsidR="00687B10" w:rsidRPr="00B577FB" w14:paraId="08DE7487"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44B799E2" w14:textId="6D06D961" w:rsidR="00687B10" w:rsidRPr="00B577FB" w:rsidRDefault="007C3B1B">
            <w:pPr>
              <w:rPr>
                <w:rFonts w:cs="Calibri"/>
                <w:b/>
                <w:color w:val="000000"/>
                <w:sz w:val="20"/>
                <w:szCs w:val="20"/>
                <w:lang w:eastAsia="en-GB"/>
              </w:rPr>
            </w:pPr>
            <w:r w:rsidRPr="00B577FB">
              <w:rPr>
                <w:rFonts w:cs="Calibri"/>
                <w:b/>
                <w:color w:val="000000"/>
                <w:sz w:val="20"/>
                <w:szCs w:val="20"/>
                <w:lang w:eastAsia="en-GB"/>
              </w:rPr>
              <w:t>Dr Allan Azegele</w:t>
            </w:r>
          </w:p>
        </w:tc>
        <w:tc>
          <w:tcPr>
            <w:tcW w:w="3221" w:type="dxa"/>
          </w:tcPr>
          <w:p w14:paraId="5297558E" w14:textId="72AEFEB5" w:rsidR="00687B10" w:rsidRPr="00B577FB" w:rsidRDefault="00E66BB8" w:rsidP="00BB4743">
            <w:pPr>
              <w:rPr>
                <w:rFonts w:cs="Calibri"/>
                <w:color w:val="000000"/>
                <w:sz w:val="20"/>
                <w:szCs w:val="20"/>
                <w:lang w:eastAsia="en-GB"/>
              </w:rPr>
            </w:pPr>
            <w:r>
              <w:rPr>
                <w:rFonts w:cs="Calibri"/>
                <w:color w:val="000000"/>
                <w:sz w:val="20"/>
                <w:szCs w:val="20"/>
                <w:lang w:eastAsia="en-GB"/>
              </w:rPr>
              <w:t>Department</w:t>
            </w:r>
            <w:r w:rsidR="007C3B1B" w:rsidRPr="00B577FB">
              <w:rPr>
                <w:rFonts w:cs="Calibri"/>
                <w:color w:val="000000"/>
                <w:sz w:val="20"/>
                <w:szCs w:val="20"/>
                <w:lang w:eastAsia="en-GB"/>
              </w:rPr>
              <w:t xml:space="preserve"> of Veterinary Services</w:t>
            </w:r>
          </w:p>
        </w:tc>
        <w:tc>
          <w:tcPr>
            <w:tcW w:w="3221" w:type="dxa"/>
          </w:tcPr>
          <w:p w14:paraId="12BA1C5A" w14:textId="1A11B91D" w:rsidR="00687B10" w:rsidRPr="00B577FB" w:rsidRDefault="007C3B1B" w:rsidP="00BB4743">
            <w:pPr>
              <w:rPr>
                <w:rFonts w:cs="Calibri"/>
                <w:color w:val="000000"/>
                <w:sz w:val="20"/>
                <w:szCs w:val="20"/>
                <w:lang w:eastAsia="en-GB"/>
              </w:rPr>
            </w:pPr>
            <w:r w:rsidRPr="00B577FB">
              <w:rPr>
                <w:rFonts w:cs="Calibri"/>
                <w:color w:val="000000"/>
                <w:sz w:val="20"/>
                <w:szCs w:val="20"/>
                <w:lang w:eastAsia="en-GB"/>
              </w:rPr>
              <w:t>Deputy Director</w:t>
            </w:r>
          </w:p>
        </w:tc>
      </w:tr>
      <w:tr w:rsidR="005747F8" w:rsidRPr="00B577FB" w14:paraId="24070385"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31FABB48" w14:textId="78E3F5CE" w:rsidR="005747F8" w:rsidRPr="00B577FB" w:rsidRDefault="005747F8">
            <w:pPr>
              <w:rPr>
                <w:rFonts w:cs="Calibri"/>
                <w:b/>
                <w:color w:val="000000"/>
                <w:sz w:val="20"/>
                <w:szCs w:val="20"/>
                <w:lang w:eastAsia="en-GB"/>
              </w:rPr>
            </w:pPr>
            <w:r w:rsidRPr="00B577FB">
              <w:rPr>
                <w:rFonts w:cs="Calibri"/>
                <w:b/>
                <w:color w:val="000000"/>
                <w:sz w:val="20"/>
                <w:szCs w:val="20"/>
                <w:lang w:eastAsia="en-GB"/>
              </w:rPr>
              <w:t>Dr Damaris Mwolo</w:t>
            </w:r>
            <w:r w:rsidR="008D3191" w:rsidRPr="00B577FB">
              <w:rPr>
                <w:rFonts w:cs="Calibri"/>
                <w:b/>
                <w:color w:val="000000"/>
                <w:sz w:val="20"/>
                <w:szCs w:val="20"/>
                <w:lang w:eastAsia="en-GB"/>
              </w:rPr>
              <w:t>lo</w:t>
            </w:r>
          </w:p>
        </w:tc>
        <w:tc>
          <w:tcPr>
            <w:tcW w:w="3221" w:type="dxa"/>
          </w:tcPr>
          <w:p w14:paraId="7AEF85BB" w14:textId="2B758353" w:rsidR="005747F8" w:rsidRPr="00B577FB" w:rsidRDefault="008D3191" w:rsidP="00BB4743">
            <w:pPr>
              <w:rPr>
                <w:rFonts w:cs="Calibri"/>
                <w:color w:val="000000"/>
                <w:sz w:val="20"/>
                <w:szCs w:val="20"/>
                <w:lang w:eastAsia="en-GB"/>
              </w:rPr>
            </w:pPr>
            <w:r w:rsidRPr="00B577FB">
              <w:rPr>
                <w:rFonts w:cs="Calibri"/>
                <w:color w:val="000000"/>
                <w:sz w:val="20"/>
                <w:szCs w:val="20"/>
                <w:lang w:eastAsia="en-GB"/>
              </w:rPr>
              <w:t>Disease Control</w:t>
            </w:r>
            <w:r w:rsidR="00627A37">
              <w:rPr>
                <w:rFonts w:cs="Calibri"/>
                <w:color w:val="000000"/>
                <w:sz w:val="20"/>
                <w:szCs w:val="20"/>
                <w:lang w:eastAsia="en-GB"/>
              </w:rPr>
              <w:t xml:space="preserve">, </w:t>
            </w:r>
            <w:r w:rsidR="00627A37" w:rsidRPr="00627A37">
              <w:rPr>
                <w:rFonts w:cs="Calibri"/>
                <w:color w:val="000000"/>
                <w:sz w:val="20"/>
                <w:szCs w:val="20"/>
                <w:lang w:eastAsia="en-GB"/>
              </w:rPr>
              <w:t xml:space="preserve">Directorate of Veterinary Services </w:t>
            </w:r>
            <w:r w:rsidR="00627A37">
              <w:rPr>
                <w:rFonts w:cs="Calibri"/>
                <w:color w:val="000000"/>
                <w:sz w:val="20"/>
                <w:szCs w:val="20"/>
                <w:lang w:eastAsia="en-GB"/>
              </w:rPr>
              <w:t>(</w:t>
            </w:r>
            <w:r w:rsidRPr="00B577FB">
              <w:rPr>
                <w:rFonts w:cs="Calibri"/>
                <w:color w:val="000000"/>
                <w:sz w:val="20"/>
                <w:szCs w:val="20"/>
                <w:lang w:eastAsia="en-GB"/>
              </w:rPr>
              <w:t>DVS</w:t>
            </w:r>
            <w:r w:rsidR="00627A37">
              <w:rPr>
                <w:rFonts w:cs="Calibri"/>
                <w:color w:val="000000"/>
                <w:sz w:val="20"/>
                <w:szCs w:val="20"/>
                <w:lang w:eastAsia="en-GB"/>
              </w:rPr>
              <w:t>)</w:t>
            </w:r>
            <w:r w:rsidRPr="00B577FB">
              <w:rPr>
                <w:rFonts w:cs="Calibri"/>
                <w:color w:val="000000"/>
                <w:sz w:val="20"/>
                <w:szCs w:val="20"/>
                <w:lang w:eastAsia="en-GB"/>
              </w:rPr>
              <w:t xml:space="preserve">, </w:t>
            </w:r>
            <w:r w:rsidR="005C2C0E" w:rsidRPr="005C2C0E">
              <w:rPr>
                <w:rFonts w:cs="Calibri"/>
                <w:color w:val="000000"/>
                <w:sz w:val="20"/>
                <w:szCs w:val="20"/>
                <w:lang w:eastAsia="en-GB"/>
              </w:rPr>
              <w:t>Ministry of Agriculture Livestock Fisheries and Cooperatives</w:t>
            </w:r>
            <w:r w:rsidR="0064708D">
              <w:rPr>
                <w:rFonts w:cs="Calibri"/>
                <w:color w:val="000000"/>
                <w:sz w:val="20"/>
                <w:szCs w:val="20"/>
                <w:lang w:eastAsia="en-GB"/>
              </w:rPr>
              <w:t xml:space="preserve"> (</w:t>
            </w:r>
            <w:r w:rsidRPr="00B577FB">
              <w:rPr>
                <w:rFonts w:cs="Calibri"/>
                <w:color w:val="000000"/>
                <w:sz w:val="20"/>
                <w:szCs w:val="20"/>
                <w:lang w:eastAsia="en-GB"/>
              </w:rPr>
              <w:t>MoLF</w:t>
            </w:r>
            <w:r w:rsidR="0064708D">
              <w:rPr>
                <w:rFonts w:cs="Calibri"/>
                <w:color w:val="000000"/>
                <w:sz w:val="20"/>
                <w:szCs w:val="20"/>
                <w:lang w:eastAsia="en-GB"/>
              </w:rPr>
              <w:t>)</w:t>
            </w:r>
            <w:r w:rsidRPr="00B577FB">
              <w:rPr>
                <w:rFonts w:cs="Calibri"/>
                <w:color w:val="000000"/>
                <w:sz w:val="20"/>
                <w:szCs w:val="20"/>
                <w:lang w:eastAsia="en-GB"/>
              </w:rPr>
              <w:t>, Kabete</w:t>
            </w:r>
          </w:p>
        </w:tc>
        <w:tc>
          <w:tcPr>
            <w:tcW w:w="3221" w:type="dxa"/>
          </w:tcPr>
          <w:p w14:paraId="51EA4933" w14:textId="0BD59A12" w:rsidR="005747F8" w:rsidRPr="00B577FB" w:rsidRDefault="00121E83" w:rsidP="00BB4743">
            <w:pPr>
              <w:rPr>
                <w:rFonts w:cs="Calibri"/>
                <w:color w:val="000000"/>
                <w:sz w:val="20"/>
                <w:szCs w:val="20"/>
                <w:lang w:eastAsia="en-GB"/>
              </w:rPr>
            </w:pPr>
            <w:r w:rsidRPr="00B577FB">
              <w:rPr>
                <w:rFonts w:cs="Calibri"/>
                <w:color w:val="000000"/>
                <w:sz w:val="20"/>
                <w:szCs w:val="20"/>
                <w:lang w:eastAsia="en-GB"/>
              </w:rPr>
              <w:t>WOAH</w:t>
            </w:r>
            <w:r w:rsidR="008D3191" w:rsidRPr="00B577FB">
              <w:rPr>
                <w:rFonts w:cs="Calibri"/>
                <w:color w:val="000000"/>
                <w:sz w:val="20"/>
                <w:szCs w:val="20"/>
                <w:lang w:eastAsia="en-GB"/>
              </w:rPr>
              <w:t xml:space="preserve"> AMR Focal Point</w:t>
            </w:r>
          </w:p>
        </w:tc>
      </w:tr>
      <w:tr w:rsidR="00DB3EEB" w:rsidRPr="00B577FB" w14:paraId="29CBF223"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C20311C" w14:textId="0C9C31D6" w:rsidR="00DB3EEB" w:rsidRPr="00B577FB" w:rsidRDefault="006A5176">
            <w:pPr>
              <w:rPr>
                <w:rFonts w:cs="Calibri"/>
                <w:b/>
                <w:color w:val="000000"/>
                <w:sz w:val="20"/>
                <w:szCs w:val="20"/>
                <w:lang w:eastAsia="en-GB"/>
              </w:rPr>
            </w:pPr>
            <w:r w:rsidRPr="00B577FB">
              <w:rPr>
                <w:rFonts w:cs="Calibri"/>
                <w:b/>
                <w:color w:val="000000"/>
                <w:sz w:val="20"/>
                <w:szCs w:val="20"/>
                <w:lang w:eastAsia="en-GB"/>
              </w:rPr>
              <w:t>Dr Emmanuel Tanui</w:t>
            </w:r>
          </w:p>
        </w:tc>
        <w:tc>
          <w:tcPr>
            <w:tcW w:w="3221" w:type="dxa"/>
          </w:tcPr>
          <w:p w14:paraId="2A08DF28" w14:textId="145A0535" w:rsidR="00DB3EEB" w:rsidRPr="00B577FB" w:rsidRDefault="006A5176" w:rsidP="00BB4743">
            <w:pPr>
              <w:rPr>
                <w:rFonts w:cs="Calibri"/>
                <w:color w:val="000000"/>
                <w:sz w:val="20"/>
                <w:szCs w:val="20"/>
                <w:lang w:eastAsia="en-GB"/>
              </w:rPr>
            </w:pPr>
            <w:r w:rsidRPr="00B577FB">
              <w:rPr>
                <w:rFonts w:cs="Calibri"/>
                <w:color w:val="000000"/>
                <w:sz w:val="20"/>
                <w:szCs w:val="20"/>
                <w:lang w:eastAsia="en-GB"/>
              </w:rPr>
              <w:t>Laboratory</w:t>
            </w:r>
          </w:p>
        </w:tc>
        <w:tc>
          <w:tcPr>
            <w:tcW w:w="3221" w:type="dxa"/>
          </w:tcPr>
          <w:p w14:paraId="3165CF3C" w14:textId="0DF21CB7" w:rsidR="00DB3EEB" w:rsidRPr="00B577FB" w:rsidRDefault="006A5176" w:rsidP="00BB4743">
            <w:pPr>
              <w:rPr>
                <w:rFonts w:cs="Calibri"/>
                <w:color w:val="000000"/>
                <w:sz w:val="20"/>
                <w:szCs w:val="20"/>
                <w:lang w:eastAsia="en-GB"/>
              </w:rPr>
            </w:pPr>
            <w:r w:rsidRPr="00B577FB">
              <w:rPr>
                <w:rFonts w:cs="Calibri"/>
                <w:color w:val="000000"/>
                <w:sz w:val="20"/>
                <w:szCs w:val="20"/>
                <w:lang w:eastAsia="en-GB"/>
              </w:rPr>
              <w:t>Head Biologist Analyst Unit</w:t>
            </w:r>
          </w:p>
        </w:tc>
      </w:tr>
      <w:tr w:rsidR="17D077F0" w:rsidRPr="00B577FB" w14:paraId="4D90DEB3"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E739D46" w14:textId="0799B3EC" w:rsidR="15FED724" w:rsidRPr="00B577FB" w:rsidRDefault="15FED724" w:rsidP="17D077F0">
            <w:pPr>
              <w:rPr>
                <w:rFonts w:cs="Calibri"/>
                <w:b/>
                <w:bCs/>
                <w:color w:val="000000"/>
                <w:sz w:val="20"/>
                <w:szCs w:val="20"/>
                <w:lang w:eastAsia="en-GB"/>
              </w:rPr>
            </w:pPr>
            <w:r w:rsidRPr="00B577FB">
              <w:rPr>
                <w:rFonts w:cs="Calibri"/>
                <w:b/>
                <w:bCs/>
                <w:color w:val="000000"/>
                <w:sz w:val="20"/>
                <w:szCs w:val="20"/>
                <w:lang w:eastAsia="en-GB"/>
              </w:rPr>
              <w:t>Susan Githij</w:t>
            </w:r>
          </w:p>
        </w:tc>
        <w:tc>
          <w:tcPr>
            <w:tcW w:w="3221" w:type="dxa"/>
          </w:tcPr>
          <w:p w14:paraId="0EA30CA3" w14:textId="4F063095" w:rsidR="15FED724" w:rsidRPr="00B577FB" w:rsidRDefault="15FED724" w:rsidP="00BB4743">
            <w:pPr>
              <w:rPr>
                <w:rFonts w:cs="Calibri"/>
                <w:sz w:val="20"/>
                <w:szCs w:val="20"/>
                <w:lang w:eastAsia="en-GB"/>
              </w:rPr>
            </w:pPr>
            <w:r w:rsidRPr="00B577FB">
              <w:rPr>
                <w:rFonts w:cs="Calibri"/>
                <w:color w:val="000000"/>
                <w:sz w:val="20"/>
                <w:szCs w:val="20"/>
                <w:lang w:eastAsia="en-GB"/>
              </w:rPr>
              <w:t>National Public Health Laboratory</w:t>
            </w:r>
          </w:p>
        </w:tc>
        <w:tc>
          <w:tcPr>
            <w:tcW w:w="3221" w:type="dxa"/>
          </w:tcPr>
          <w:p w14:paraId="0C7952CB" w14:textId="563BBF33" w:rsidR="15FED724" w:rsidRPr="00BB4743" w:rsidRDefault="15FED724" w:rsidP="00BB4743">
            <w:pPr>
              <w:rPr>
                <w:rFonts w:cs="Calibri"/>
                <w:sz w:val="20"/>
                <w:szCs w:val="20"/>
              </w:rPr>
            </w:pPr>
            <w:r w:rsidRPr="00B577FB">
              <w:rPr>
                <w:rFonts w:cs="Calibri"/>
                <w:color w:val="000000"/>
                <w:sz w:val="20"/>
                <w:szCs w:val="20"/>
                <w:lang w:eastAsia="en-GB"/>
              </w:rPr>
              <w:t xml:space="preserve">AMR </w:t>
            </w:r>
            <w:r w:rsidR="00D770D4">
              <w:rPr>
                <w:rFonts w:cs="Calibri"/>
                <w:color w:val="000000"/>
                <w:sz w:val="20"/>
                <w:szCs w:val="20"/>
                <w:lang w:eastAsia="en-GB"/>
              </w:rPr>
              <w:t xml:space="preserve">Laboratory </w:t>
            </w:r>
            <w:r w:rsidRPr="00B577FB">
              <w:rPr>
                <w:rFonts w:cs="Calibri"/>
                <w:color w:val="000000"/>
                <w:sz w:val="20"/>
                <w:szCs w:val="20"/>
                <w:lang w:eastAsia="en-GB"/>
              </w:rPr>
              <w:t>Coordinator</w:t>
            </w:r>
          </w:p>
        </w:tc>
      </w:tr>
      <w:tr w:rsidR="17D077F0" w:rsidRPr="00B577FB" w14:paraId="792A9B36"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C35FC11" w14:textId="7E70761A" w:rsidR="15FED724" w:rsidRPr="00B577FB" w:rsidRDefault="15FED724" w:rsidP="17D077F0">
            <w:pPr>
              <w:rPr>
                <w:rFonts w:cs="Calibri"/>
                <w:b/>
                <w:bCs/>
                <w:color w:val="000000"/>
                <w:sz w:val="20"/>
                <w:szCs w:val="20"/>
                <w:lang w:eastAsia="en-GB"/>
              </w:rPr>
            </w:pPr>
            <w:r w:rsidRPr="00B577FB">
              <w:rPr>
                <w:rFonts w:cs="Calibri"/>
                <w:b/>
                <w:bCs/>
                <w:color w:val="000000"/>
                <w:sz w:val="20"/>
                <w:szCs w:val="20"/>
                <w:lang w:eastAsia="en-GB"/>
              </w:rPr>
              <w:t>Dr Romona Ndanyi</w:t>
            </w:r>
          </w:p>
        </w:tc>
        <w:tc>
          <w:tcPr>
            <w:tcW w:w="3221" w:type="dxa"/>
          </w:tcPr>
          <w:p w14:paraId="1FA1CEFA" w14:textId="72825E7D" w:rsidR="15FED724" w:rsidRPr="00B577FB" w:rsidRDefault="15FED724" w:rsidP="00BB4743">
            <w:pPr>
              <w:rPr>
                <w:rFonts w:cs="Calibri"/>
                <w:sz w:val="20"/>
                <w:szCs w:val="20"/>
                <w:lang w:eastAsia="en-GB"/>
              </w:rPr>
            </w:pPr>
            <w:r w:rsidRPr="00B577FB">
              <w:rPr>
                <w:rFonts w:cs="Calibri"/>
                <w:color w:val="000000"/>
                <w:sz w:val="20"/>
                <w:szCs w:val="20"/>
                <w:lang w:eastAsia="en-GB"/>
              </w:rPr>
              <w:t>Diagnostic Services &amp; Efficacy Trials Centres, Directorate of Veterinary Services,</w:t>
            </w:r>
          </w:p>
        </w:tc>
        <w:tc>
          <w:tcPr>
            <w:tcW w:w="3221" w:type="dxa"/>
          </w:tcPr>
          <w:p w14:paraId="38497EF2" w14:textId="224B993F" w:rsidR="01161241" w:rsidRPr="00BB4743" w:rsidRDefault="01161241" w:rsidP="00BB4743">
            <w:pPr>
              <w:rPr>
                <w:rFonts w:cs="Calibri"/>
                <w:sz w:val="20"/>
                <w:szCs w:val="20"/>
              </w:rPr>
            </w:pPr>
            <w:r w:rsidRPr="00B577FB">
              <w:rPr>
                <w:rFonts w:cs="Calibri"/>
                <w:color w:val="000000"/>
                <w:sz w:val="20"/>
                <w:szCs w:val="20"/>
                <w:lang w:eastAsia="en-GB"/>
              </w:rPr>
              <w:t>Assistant Director of Veterinary Services</w:t>
            </w:r>
          </w:p>
        </w:tc>
      </w:tr>
      <w:tr w:rsidR="00687B10" w:rsidRPr="00B577FB" w14:paraId="786F59EF"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4E56F12E" w14:textId="77777777" w:rsidR="00687B10" w:rsidRPr="00B577FB" w:rsidRDefault="00687B10" w:rsidP="00041B22">
            <w:pPr>
              <w:rPr>
                <w:rFonts w:cs="Calibri"/>
                <w:sz w:val="20"/>
                <w:szCs w:val="20"/>
              </w:rPr>
            </w:pPr>
            <w:r w:rsidRPr="00B577FB">
              <w:rPr>
                <w:rFonts w:cs="Calibri"/>
                <w:color w:val="FFFFFF" w:themeColor="background1"/>
                <w:sz w:val="20"/>
                <w:szCs w:val="20"/>
                <w:lang w:eastAsia="en-GB"/>
              </w:rPr>
              <w:t>Policy Fellows HH</w:t>
            </w:r>
          </w:p>
        </w:tc>
      </w:tr>
      <w:tr w:rsidR="00687B10" w:rsidRPr="00B577FB" w14:paraId="7FE51270"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shd w:val="clear" w:color="auto" w:fill="auto"/>
          </w:tcPr>
          <w:p w14:paraId="62DA1910" w14:textId="2D568EC8" w:rsidR="00687B10" w:rsidRPr="00B577FB" w:rsidRDefault="6BBE84B3" w:rsidP="17D077F0">
            <w:pPr>
              <w:rPr>
                <w:rFonts w:cs="Calibri"/>
                <w:b/>
                <w:bCs/>
                <w:color w:val="FFFFFF" w:themeColor="background1"/>
                <w:sz w:val="20"/>
                <w:szCs w:val="20"/>
                <w:lang w:val="de-DE" w:eastAsia="en-GB"/>
              </w:rPr>
            </w:pPr>
            <w:r w:rsidRPr="00B577FB">
              <w:rPr>
                <w:rFonts w:cs="Calibri"/>
                <w:b/>
                <w:bCs/>
                <w:color w:val="000000"/>
                <w:sz w:val="20"/>
                <w:szCs w:val="20"/>
                <w:lang w:val="de-DE" w:eastAsia="en-GB"/>
              </w:rPr>
              <w:t>Dr Evelyn Wesangula*</w:t>
            </w:r>
          </w:p>
        </w:tc>
        <w:tc>
          <w:tcPr>
            <w:tcW w:w="3221" w:type="dxa"/>
            <w:shd w:val="clear" w:color="auto" w:fill="auto"/>
          </w:tcPr>
          <w:p w14:paraId="640062BC" w14:textId="717CA41B" w:rsidR="00687B10" w:rsidRPr="00B577FB" w:rsidRDefault="2992B56F" w:rsidP="00BB4743">
            <w:pPr>
              <w:rPr>
                <w:rFonts w:cs="Calibri"/>
                <w:color w:val="000000"/>
                <w:sz w:val="20"/>
                <w:szCs w:val="20"/>
                <w:lang w:eastAsia="en-GB"/>
              </w:rPr>
            </w:pPr>
            <w:r w:rsidRPr="00B577FB">
              <w:rPr>
                <w:rFonts w:cs="Calibri"/>
                <w:color w:val="000000"/>
                <w:sz w:val="20"/>
                <w:szCs w:val="20"/>
                <w:lang w:eastAsia="en-GB"/>
              </w:rPr>
              <w:t>MOH Patient and Health Worker Safety Unit</w:t>
            </w:r>
          </w:p>
        </w:tc>
        <w:tc>
          <w:tcPr>
            <w:tcW w:w="3221" w:type="dxa"/>
            <w:shd w:val="clear" w:color="auto" w:fill="auto"/>
          </w:tcPr>
          <w:p w14:paraId="7DD8C406" w14:textId="019773D8" w:rsidR="00687B10" w:rsidRPr="00B577FB" w:rsidRDefault="2992B56F" w:rsidP="00BB4743">
            <w:pPr>
              <w:rPr>
                <w:rFonts w:cs="Calibri"/>
                <w:color w:val="000000"/>
                <w:sz w:val="20"/>
                <w:szCs w:val="20"/>
                <w:lang w:eastAsia="en-GB"/>
              </w:rPr>
            </w:pPr>
            <w:r w:rsidRPr="00B577FB">
              <w:rPr>
                <w:rFonts w:cs="Calibri"/>
                <w:color w:val="000000"/>
                <w:sz w:val="20"/>
                <w:szCs w:val="20"/>
                <w:lang w:eastAsia="en-GB"/>
              </w:rPr>
              <w:t>Head of Patient and Health Worker Safety Unit</w:t>
            </w:r>
          </w:p>
        </w:tc>
      </w:tr>
      <w:tr w:rsidR="17D077F0" w:rsidRPr="00B577FB" w14:paraId="394FE6A5"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5D98E952" w14:textId="18910ED5" w:rsidR="3B9BCE01" w:rsidRPr="00B577FB" w:rsidRDefault="3B9BCE01" w:rsidP="00041B22">
            <w:pPr>
              <w:rPr>
                <w:rFonts w:cs="Calibri"/>
                <w:sz w:val="20"/>
                <w:szCs w:val="20"/>
              </w:rPr>
            </w:pPr>
            <w:r w:rsidRPr="00B577FB">
              <w:rPr>
                <w:rFonts w:cs="Calibri"/>
                <w:color w:val="FFFFFF" w:themeColor="background1"/>
                <w:sz w:val="20"/>
                <w:szCs w:val="20"/>
                <w:lang w:eastAsia="en-GB"/>
              </w:rPr>
              <w:t>Policy Fellows AH</w:t>
            </w:r>
          </w:p>
        </w:tc>
      </w:tr>
      <w:tr w:rsidR="00687B10" w:rsidRPr="00B577FB" w14:paraId="1835D3B0"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shd w:val="clear" w:color="auto" w:fill="auto"/>
          </w:tcPr>
          <w:p w14:paraId="1201410F" w14:textId="170CE1CE" w:rsidR="00687B10" w:rsidRPr="00B577FB" w:rsidRDefault="3B9BCE01" w:rsidP="17D077F0">
            <w:pPr>
              <w:rPr>
                <w:rFonts w:cs="Calibri"/>
                <w:b/>
                <w:bCs/>
                <w:color w:val="000000"/>
                <w:sz w:val="20"/>
                <w:szCs w:val="20"/>
                <w:lang w:eastAsia="en-GB"/>
              </w:rPr>
            </w:pPr>
            <w:r w:rsidRPr="00B577FB">
              <w:rPr>
                <w:rFonts w:cs="Calibri"/>
                <w:b/>
                <w:bCs/>
                <w:color w:val="000000"/>
                <w:sz w:val="20"/>
                <w:szCs w:val="20"/>
                <w:lang w:eastAsia="en-GB"/>
              </w:rPr>
              <w:t>Dr Romona Ndanyi*</w:t>
            </w:r>
          </w:p>
        </w:tc>
        <w:tc>
          <w:tcPr>
            <w:tcW w:w="3221" w:type="dxa"/>
            <w:shd w:val="clear" w:color="auto" w:fill="auto"/>
          </w:tcPr>
          <w:p w14:paraId="5529A55A" w14:textId="6BA2D9FB" w:rsidR="00687B10" w:rsidRPr="00B577FB" w:rsidRDefault="3B9BCE01" w:rsidP="00BB4743">
            <w:pPr>
              <w:rPr>
                <w:rFonts w:cs="Calibri"/>
                <w:sz w:val="20"/>
                <w:szCs w:val="20"/>
                <w:lang w:eastAsia="en-GB"/>
              </w:rPr>
            </w:pPr>
            <w:r w:rsidRPr="00B577FB">
              <w:rPr>
                <w:rFonts w:cs="Calibri"/>
                <w:color w:val="000000"/>
                <w:sz w:val="20"/>
                <w:szCs w:val="20"/>
                <w:lang w:eastAsia="en-GB"/>
              </w:rPr>
              <w:t>Diagnostic Services &amp; Efficacy Trials Centres, Directorate of Veterinary Services,</w:t>
            </w:r>
          </w:p>
        </w:tc>
        <w:tc>
          <w:tcPr>
            <w:tcW w:w="3221" w:type="dxa"/>
            <w:shd w:val="clear" w:color="auto" w:fill="auto"/>
          </w:tcPr>
          <w:p w14:paraId="39B963C8" w14:textId="644846A4" w:rsidR="00687B10" w:rsidRPr="00BB4743" w:rsidRDefault="3B9BCE01" w:rsidP="00BB4743">
            <w:pPr>
              <w:rPr>
                <w:rFonts w:cs="Calibri"/>
                <w:sz w:val="20"/>
                <w:szCs w:val="20"/>
              </w:rPr>
            </w:pPr>
            <w:r w:rsidRPr="00B577FB">
              <w:rPr>
                <w:rFonts w:cs="Calibri"/>
                <w:color w:val="000000"/>
                <w:sz w:val="20"/>
                <w:szCs w:val="20"/>
                <w:lang w:eastAsia="en-GB"/>
              </w:rPr>
              <w:t>Assistant Director of Veterinary Services</w:t>
            </w:r>
          </w:p>
        </w:tc>
      </w:tr>
      <w:tr w:rsidR="00687B10" w:rsidRPr="00B577FB" w14:paraId="73FBC5B7"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6406CD38" w14:textId="65DEE87C" w:rsidR="00687B10" w:rsidRPr="00B577FB" w:rsidRDefault="7B858115" w:rsidP="00041B22">
            <w:pPr>
              <w:rPr>
                <w:rFonts w:cs="Calibri"/>
                <w:color w:val="FFFFFF" w:themeColor="background1"/>
                <w:sz w:val="20"/>
                <w:szCs w:val="20"/>
                <w:lang w:eastAsia="en-GB"/>
              </w:rPr>
            </w:pPr>
            <w:r w:rsidRPr="00B577FB">
              <w:rPr>
                <w:rFonts w:cs="Calibri"/>
                <w:color w:val="FFFFFF" w:themeColor="background1"/>
                <w:sz w:val="20"/>
                <w:szCs w:val="20"/>
                <w:lang w:eastAsia="en-GB"/>
              </w:rPr>
              <w:t xml:space="preserve">Professional Fellows </w:t>
            </w:r>
            <w:r w:rsidR="597BD916" w:rsidRPr="00B577FB">
              <w:rPr>
                <w:rFonts w:cs="Calibri"/>
                <w:color w:val="FFFFFF" w:themeColor="background1"/>
                <w:sz w:val="20"/>
                <w:szCs w:val="20"/>
                <w:lang w:eastAsia="en-GB"/>
              </w:rPr>
              <w:t>H</w:t>
            </w:r>
            <w:r w:rsidRPr="00B577FB">
              <w:rPr>
                <w:rFonts w:cs="Calibri"/>
                <w:color w:val="FFFFFF" w:themeColor="background1"/>
                <w:sz w:val="20"/>
                <w:szCs w:val="20"/>
                <w:lang w:eastAsia="en-GB"/>
              </w:rPr>
              <w:t>H</w:t>
            </w:r>
          </w:p>
        </w:tc>
      </w:tr>
      <w:tr w:rsidR="00C2419C" w:rsidRPr="00B577FB" w14:paraId="02CBFAA8"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1CDCFEA9" w14:textId="07CE49A9" w:rsidR="00687B10" w:rsidRPr="00B577FB" w:rsidRDefault="47F7DC1F" w:rsidP="17D077F0">
            <w:pPr>
              <w:rPr>
                <w:rFonts w:cs="Calibri"/>
                <w:b/>
                <w:bCs/>
                <w:color w:val="000000"/>
                <w:sz w:val="20"/>
                <w:szCs w:val="20"/>
                <w:lang w:eastAsia="en-GB"/>
              </w:rPr>
            </w:pPr>
            <w:r w:rsidRPr="00B577FB">
              <w:rPr>
                <w:rFonts w:cs="Calibri"/>
                <w:b/>
                <w:bCs/>
                <w:color w:val="000000"/>
                <w:sz w:val="20"/>
                <w:szCs w:val="20"/>
                <w:lang w:eastAsia="en-GB"/>
              </w:rPr>
              <w:t>Susan Githij**</w:t>
            </w:r>
          </w:p>
        </w:tc>
        <w:tc>
          <w:tcPr>
            <w:tcW w:w="3221" w:type="dxa"/>
          </w:tcPr>
          <w:p w14:paraId="65225290" w14:textId="5FDD9667" w:rsidR="00687B10" w:rsidRPr="00B577FB" w:rsidRDefault="2FABF0A3" w:rsidP="00BB4743">
            <w:pPr>
              <w:rPr>
                <w:rFonts w:cs="Calibri"/>
                <w:sz w:val="20"/>
                <w:szCs w:val="20"/>
                <w:lang w:eastAsia="en-GB"/>
              </w:rPr>
            </w:pPr>
            <w:r w:rsidRPr="00B577FB">
              <w:rPr>
                <w:rFonts w:cs="Calibri"/>
                <w:color w:val="000000"/>
                <w:sz w:val="20"/>
                <w:szCs w:val="20"/>
                <w:lang w:eastAsia="en-GB"/>
              </w:rPr>
              <w:t>National Public Health Laboratory</w:t>
            </w:r>
          </w:p>
        </w:tc>
        <w:tc>
          <w:tcPr>
            <w:tcW w:w="3221" w:type="dxa"/>
          </w:tcPr>
          <w:p w14:paraId="70C64EDA" w14:textId="4D22DC45" w:rsidR="00687B10" w:rsidRPr="00BB4743" w:rsidRDefault="2FABF0A3" w:rsidP="00BB4743">
            <w:pPr>
              <w:rPr>
                <w:rFonts w:cs="Calibri"/>
                <w:sz w:val="20"/>
                <w:szCs w:val="20"/>
              </w:rPr>
            </w:pPr>
            <w:r w:rsidRPr="00B577FB">
              <w:rPr>
                <w:rFonts w:cs="Calibri"/>
                <w:color w:val="000000"/>
                <w:sz w:val="20"/>
                <w:szCs w:val="20"/>
                <w:lang w:eastAsia="en-GB"/>
              </w:rPr>
              <w:t xml:space="preserve">AMR </w:t>
            </w:r>
            <w:r w:rsidR="00D770D4">
              <w:rPr>
                <w:rFonts w:cs="Calibri"/>
                <w:color w:val="000000"/>
                <w:sz w:val="20"/>
                <w:szCs w:val="20"/>
                <w:lang w:eastAsia="en-GB"/>
              </w:rPr>
              <w:t xml:space="preserve">Laboratory </w:t>
            </w:r>
            <w:r w:rsidRPr="00B577FB">
              <w:rPr>
                <w:rFonts w:cs="Calibri"/>
                <w:color w:val="000000"/>
                <w:sz w:val="20"/>
                <w:szCs w:val="20"/>
                <w:lang w:eastAsia="en-GB"/>
              </w:rPr>
              <w:t>Coordinator, AMR HH Laboratory Fellow</w:t>
            </w:r>
          </w:p>
        </w:tc>
      </w:tr>
      <w:tr w:rsidR="17D077F0" w:rsidRPr="00B577FB" w14:paraId="7DE703DF"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51DAB817" w14:textId="7ADD1535" w:rsidR="26758AEA" w:rsidRPr="00B577FB" w:rsidRDefault="26758AEA" w:rsidP="17D077F0">
            <w:pPr>
              <w:rPr>
                <w:rFonts w:cs="Calibri"/>
                <w:b/>
                <w:bCs/>
                <w:color w:val="000000"/>
                <w:sz w:val="20"/>
                <w:szCs w:val="20"/>
                <w:lang w:eastAsia="en-GB"/>
              </w:rPr>
            </w:pPr>
            <w:r w:rsidRPr="00B577FB">
              <w:rPr>
                <w:rFonts w:cs="Calibri"/>
                <w:b/>
                <w:bCs/>
                <w:color w:val="000000"/>
                <w:sz w:val="20"/>
                <w:szCs w:val="20"/>
                <w:lang w:eastAsia="en-GB"/>
              </w:rPr>
              <w:t>Grace Bartonjo</w:t>
            </w:r>
          </w:p>
        </w:tc>
        <w:tc>
          <w:tcPr>
            <w:tcW w:w="3221" w:type="dxa"/>
          </w:tcPr>
          <w:p w14:paraId="28DAA225" w14:textId="32F093C2" w:rsidR="26758AEA" w:rsidRPr="00B577FB" w:rsidRDefault="26758AEA" w:rsidP="00BB4743">
            <w:pPr>
              <w:rPr>
                <w:rFonts w:cs="Calibri"/>
                <w:color w:val="000000"/>
                <w:sz w:val="20"/>
                <w:szCs w:val="20"/>
                <w:lang w:eastAsia="en-GB"/>
              </w:rPr>
            </w:pPr>
            <w:r w:rsidRPr="00B577FB">
              <w:rPr>
                <w:rFonts w:cs="Calibri"/>
                <w:color w:val="000000"/>
                <w:sz w:val="20"/>
                <w:szCs w:val="20"/>
                <w:lang w:eastAsia="en-GB"/>
              </w:rPr>
              <w:t>Ministry Of Health, National Public Health Laboratory</w:t>
            </w:r>
          </w:p>
        </w:tc>
        <w:tc>
          <w:tcPr>
            <w:tcW w:w="3221" w:type="dxa"/>
          </w:tcPr>
          <w:p w14:paraId="105670DF" w14:textId="6547547D" w:rsidR="26758AEA" w:rsidRPr="00B577FB" w:rsidRDefault="26758AEA" w:rsidP="00BB4743">
            <w:pPr>
              <w:rPr>
                <w:rFonts w:cs="Calibri"/>
                <w:color w:val="000000"/>
                <w:sz w:val="20"/>
                <w:szCs w:val="20"/>
                <w:lang w:eastAsia="en-GB"/>
              </w:rPr>
            </w:pPr>
            <w:r w:rsidRPr="00B577FB">
              <w:rPr>
                <w:rFonts w:cs="Calibri"/>
                <w:color w:val="000000"/>
                <w:sz w:val="20"/>
                <w:szCs w:val="20"/>
                <w:lang w:eastAsia="en-GB"/>
              </w:rPr>
              <w:t>Epidemiologist, AMR Surveillance Fellow</w:t>
            </w:r>
          </w:p>
        </w:tc>
      </w:tr>
      <w:tr w:rsidR="00687B10" w:rsidRPr="00B577FB" w14:paraId="696599AC"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665BC370" w14:textId="50D5E9D6" w:rsidR="00687B10" w:rsidRPr="00B577FB" w:rsidRDefault="7B858115" w:rsidP="00041B22">
            <w:pPr>
              <w:rPr>
                <w:rFonts w:cs="Calibri"/>
                <w:color w:val="FFFFFF" w:themeColor="background1"/>
                <w:sz w:val="20"/>
                <w:szCs w:val="20"/>
                <w:lang w:eastAsia="en-GB"/>
              </w:rPr>
            </w:pPr>
            <w:r w:rsidRPr="00B577FB">
              <w:rPr>
                <w:rFonts w:cs="Calibri"/>
                <w:color w:val="FFFFFF" w:themeColor="background1"/>
                <w:sz w:val="20"/>
                <w:szCs w:val="20"/>
                <w:lang w:eastAsia="en-GB"/>
              </w:rPr>
              <w:t>Professional Fellow A</w:t>
            </w:r>
            <w:r w:rsidR="306FE83F" w:rsidRPr="00B577FB">
              <w:rPr>
                <w:rFonts w:cs="Calibri"/>
                <w:color w:val="FFFFFF" w:themeColor="background1"/>
                <w:sz w:val="20"/>
                <w:szCs w:val="20"/>
                <w:lang w:eastAsia="en-GB"/>
              </w:rPr>
              <w:t>H</w:t>
            </w:r>
          </w:p>
        </w:tc>
      </w:tr>
      <w:tr w:rsidR="005747F8" w:rsidRPr="00B577FB" w14:paraId="2C81CE55"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79C5413C" w14:textId="52333667" w:rsidR="00687B10" w:rsidRPr="00B577FB" w:rsidRDefault="306FE83F" w:rsidP="17D077F0">
            <w:pPr>
              <w:rPr>
                <w:rFonts w:cs="Calibri"/>
                <w:b/>
                <w:bCs/>
                <w:color w:val="000000"/>
                <w:sz w:val="20"/>
                <w:szCs w:val="20"/>
                <w:lang w:eastAsia="en-GB"/>
              </w:rPr>
            </w:pPr>
            <w:r w:rsidRPr="00B577FB">
              <w:rPr>
                <w:rFonts w:cs="Calibri"/>
                <w:b/>
                <w:bCs/>
                <w:color w:val="000000"/>
                <w:sz w:val="20"/>
                <w:szCs w:val="20"/>
                <w:lang w:eastAsia="en-GB"/>
              </w:rPr>
              <w:t>Eunice Atieno Omondo</w:t>
            </w:r>
          </w:p>
        </w:tc>
        <w:tc>
          <w:tcPr>
            <w:tcW w:w="3221" w:type="dxa"/>
          </w:tcPr>
          <w:p w14:paraId="1F648E44" w14:textId="0043387E" w:rsidR="00687B10" w:rsidRPr="00B577FB" w:rsidRDefault="306FE83F" w:rsidP="00BB4743">
            <w:pPr>
              <w:rPr>
                <w:rFonts w:cs="Calibri"/>
                <w:color w:val="000000"/>
                <w:sz w:val="20"/>
                <w:szCs w:val="20"/>
                <w:lang w:eastAsia="en-GB"/>
              </w:rPr>
            </w:pPr>
            <w:r w:rsidRPr="00B577FB">
              <w:rPr>
                <w:rFonts w:cs="Calibri"/>
                <w:color w:val="000000"/>
                <w:sz w:val="20"/>
                <w:szCs w:val="20"/>
                <w:lang w:eastAsia="en-GB"/>
              </w:rPr>
              <w:t>Veterinary Epidemiology and Economics Section/Directorate of Veterinary Services</w:t>
            </w:r>
          </w:p>
        </w:tc>
        <w:tc>
          <w:tcPr>
            <w:tcW w:w="3221" w:type="dxa"/>
          </w:tcPr>
          <w:p w14:paraId="6FB276BB" w14:textId="173A481D" w:rsidR="00687B10" w:rsidRPr="00BB4743" w:rsidRDefault="306FE83F" w:rsidP="00BB4743">
            <w:pPr>
              <w:rPr>
                <w:rFonts w:cs="Calibri"/>
                <w:sz w:val="20"/>
                <w:szCs w:val="20"/>
              </w:rPr>
            </w:pPr>
            <w:r w:rsidRPr="00BB4743">
              <w:rPr>
                <w:rFonts w:cs="Calibri"/>
                <w:sz w:val="20"/>
                <w:szCs w:val="20"/>
              </w:rPr>
              <w:t>Assistant Director of Veterinary Services</w:t>
            </w:r>
          </w:p>
        </w:tc>
      </w:tr>
      <w:tr w:rsidR="00687B10" w:rsidRPr="00B577FB" w14:paraId="3851252C"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0AD56A06" w14:textId="1ADEC6E0" w:rsidR="00687B10" w:rsidRPr="00B577FB" w:rsidRDefault="7B858115" w:rsidP="00041B22">
            <w:pPr>
              <w:rPr>
                <w:rFonts w:cs="Calibri"/>
                <w:color w:val="FFFFFF" w:themeColor="background1"/>
                <w:sz w:val="20"/>
                <w:szCs w:val="20"/>
              </w:rPr>
            </w:pPr>
            <w:r w:rsidRPr="00B577FB">
              <w:rPr>
                <w:rFonts w:cs="Calibri"/>
                <w:color w:val="FFFFFF" w:themeColor="background1"/>
                <w:sz w:val="20"/>
                <w:szCs w:val="20"/>
              </w:rPr>
              <w:t>AMR Focal Point</w:t>
            </w:r>
          </w:p>
        </w:tc>
      </w:tr>
      <w:tr w:rsidR="00DA4F15" w:rsidRPr="00B577FB" w14:paraId="0F7752B8"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C0BDD48" w14:textId="206F2CA2" w:rsidR="00687B10" w:rsidRPr="00B577FB" w:rsidRDefault="5FE452B7" w:rsidP="17D077F0">
            <w:pPr>
              <w:rPr>
                <w:rFonts w:cs="Calibri"/>
                <w:b/>
                <w:bCs/>
                <w:color w:val="000000"/>
                <w:sz w:val="20"/>
                <w:szCs w:val="20"/>
                <w:lang w:val="de-DE" w:eastAsia="en-GB"/>
              </w:rPr>
            </w:pPr>
            <w:r w:rsidRPr="00B577FB">
              <w:rPr>
                <w:rFonts w:cs="Calibri"/>
                <w:b/>
                <w:bCs/>
                <w:color w:val="000000"/>
                <w:sz w:val="20"/>
                <w:szCs w:val="20"/>
                <w:lang w:val="de-DE" w:eastAsia="en-GB"/>
              </w:rPr>
              <w:t>Dr Evelyn Wesangula*</w:t>
            </w:r>
            <w:r w:rsidR="7A1EC18E" w:rsidRPr="00B577FB">
              <w:rPr>
                <w:rFonts w:cs="Calibri"/>
                <w:b/>
                <w:bCs/>
                <w:color w:val="000000"/>
                <w:sz w:val="20"/>
                <w:szCs w:val="20"/>
                <w:lang w:val="de-DE" w:eastAsia="en-GB"/>
              </w:rPr>
              <w:t>*</w:t>
            </w:r>
          </w:p>
        </w:tc>
        <w:tc>
          <w:tcPr>
            <w:tcW w:w="3221" w:type="dxa"/>
          </w:tcPr>
          <w:p w14:paraId="0E34D3E6" w14:textId="33529F85" w:rsidR="00687B10" w:rsidRPr="00B577FB" w:rsidRDefault="5FE452B7" w:rsidP="00BB4743">
            <w:pPr>
              <w:rPr>
                <w:rFonts w:cs="Calibri"/>
                <w:color w:val="000000"/>
                <w:sz w:val="20"/>
                <w:szCs w:val="20"/>
                <w:lang w:eastAsia="en-GB"/>
              </w:rPr>
            </w:pPr>
            <w:r w:rsidRPr="00B577FB">
              <w:rPr>
                <w:rFonts w:cs="Calibri"/>
                <w:color w:val="000000"/>
                <w:sz w:val="20"/>
                <w:szCs w:val="20"/>
                <w:lang w:eastAsia="en-GB"/>
              </w:rPr>
              <w:t>MOH Patient and Health Worker Safety Unit</w:t>
            </w:r>
          </w:p>
        </w:tc>
        <w:tc>
          <w:tcPr>
            <w:tcW w:w="3221" w:type="dxa"/>
          </w:tcPr>
          <w:p w14:paraId="1BB1CFA3" w14:textId="70C66452" w:rsidR="00687B10" w:rsidRPr="00B577FB" w:rsidRDefault="5FE452B7" w:rsidP="00BB4743">
            <w:pPr>
              <w:rPr>
                <w:rFonts w:cs="Calibri"/>
                <w:color w:val="000000"/>
                <w:sz w:val="20"/>
                <w:szCs w:val="20"/>
                <w:lang w:eastAsia="en-GB"/>
              </w:rPr>
            </w:pPr>
            <w:r w:rsidRPr="00B577FB">
              <w:rPr>
                <w:rFonts w:cs="Calibri"/>
                <w:color w:val="000000"/>
                <w:sz w:val="20"/>
                <w:szCs w:val="20"/>
                <w:lang w:eastAsia="en-GB"/>
              </w:rPr>
              <w:t>Head of Patient and Health Worker Safety Unit; National Focal Point on AMR</w:t>
            </w:r>
          </w:p>
        </w:tc>
      </w:tr>
      <w:tr w:rsidR="00BA3B63" w:rsidRPr="00B577FB" w14:paraId="53E0E967"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FAD20A7" w14:textId="1B2AF5F4" w:rsidR="00687B10" w:rsidRPr="00B577FB" w:rsidRDefault="680D3E8A" w:rsidP="17D077F0">
            <w:pPr>
              <w:rPr>
                <w:rFonts w:cs="Calibri"/>
                <w:b/>
                <w:bCs/>
                <w:color w:val="000000"/>
                <w:sz w:val="20"/>
                <w:szCs w:val="20"/>
                <w:lang w:eastAsia="en-GB"/>
              </w:rPr>
            </w:pPr>
            <w:r w:rsidRPr="00B577FB">
              <w:rPr>
                <w:rFonts w:cs="Calibri"/>
                <w:b/>
                <w:bCs/>
                <w:color w:val="000000"/>
                <w:sz w:val="20"/>
                <w:szCs w:val="20"/>
                <w:lang w:eastAsia="en-GB"/>
              </w:rPr>
              <w:t>Dr Allan Azegele*</w:t>
            </w:r>
          </w:p>
        </w:tc>
        <w:tc>
          <w:tcPr>
            <w:tcW w:w="3221" w:type="dxa"/>
          </w:tcPr>
          <w:p w14:paraId="5FCA8F44" w14:textId="4D692D9D" w:rsidR="00687B10" w:rsidRPr="00B577FB" w:rsidRDefault="00E66BB8" w:rsidP="00BB4743">
            <w:pPr>
              <w:rPr>
                <w:rFonts w:cs="Calibri"/>
                <w:color w:val="000000"/>
                <w:sz w:val="20"/>
                <w:szCs w:val="20"/>
                <w:lang w:eastAsia="en-GB"/>
              </w:rPr>
            </w:pPr>
            <w:r>
              <w:rPr>
                <w:rFonts w:cs="Calibri"/>
                <w:color w:val="000000"/>
                <w:sz w:val="20"/>
                <w:szCs w:val="20"/>
                <w:lang w:eastAsia="en-GB"/>
              </w:rPr>
              <w:t>Department</w:t>
            </w:r>
            <w:r w:rsidR="680D3E8A" w:rsidRPr="00B577FB">
              <w:rPr>
                <w:rFonts w:cs="Calibri"/>
                <w:color w:val="000000"/>
                <w:sz w:val="20"/>
                <w:szCs w:val="20"/>
                <w:lang w:eastAsia="en-GB"/>
              </w:rPr>
              <w:t xml:space="preserve"> of Veterinary Services</w:t>
            </w:r>
          </w:p>
        </w:tc>
        <w:tc>
          <w:tcPr>
            <w:tcW w:w="3221" w:type="dxa"/>
          </w:tcPr>
          <w:p w14:paraId="78E7136B" w14:textId="1748B874" w:rsidR="00687B10" w:rsidRPr="00B577FB" w:rsidRDefault="680D3E8A" w:rsidP="00BB4743">
            <w:pPr>
              <w:rPr>
                <w:rFonts w:cs="Calibri"/>
                <w:color w:val="000000"/>
                <w:sz w:val="20"/>
                <w:szCs w:val="20"/>
                <w:lang w:eastAsia="en-GB"/>
              </w:rPr>
            </w:pPr>
            <w:r w:rsidRPr="00B577FB">
              <w:rPr>
                <w:rFonts w:cs="Calibri"/>
                <w:color w:val="000000"/>
                <w:sz w:val="20"/>
                <w:szCs w:val="20"/>
                <w:lang w:eastAsia="en-GB"/>
              </w:rPr>
              <w:t>Deputy Director</w:t>
            </w:r>
          </w:p>
        </w:tc>
      </w:tr>
      <w:tr w:rsidR="17D077F0" w:rsidRPr="00B577FB" w14:paraId="1B9F5916"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692D53F3" w14:textId="0018A853" w:rsidR="7345CE55" w:rsidRPr="00B577FB" w:rsidRDefault="7345CE55" w:rsidP="00041B22">
            <w:pPr>
              <w:rPr>
                <w:rFonts w:cs="Calibri"/>
                <w:color w:val="FFFFFF" w:themeColor="background1"/>
                <w:sz w:val="20"/>
                <w:szCs w:val="20"/>
              </w:rPr>
            </w:pPr>
            <w:r w:rsidRPr="00B577FB">
              <w:rPr>
                <w:rFonts w:cs="Calibri"/>
                <w:color w:val="FFFFFF" w:themeColor="background1"/>
                <w:sz w:val="20"/>
                <w:szCs w:val="20"/>
              </w:rPr>
              <w:t>GLASS Focal Point</w:t>
            </w:r>
          </w:p>
        </w:tc>
      </w:tr>
      <w:tr w:rsidR="17D077F0" w:rsidRPr="00B577FB" w14:paraId="3A60A857"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0B8A8492" w14:textId="158D6B70" w:rsidR="7345CE55" w:rsidRPr="00B577FB" w:rsidRDefault="7345CE55" w:rsidP="17D077F0">
            <w:pPr>
              <w:rPr>
                <w:rFonts w:cs="Calibri"/>
                <w:b/>
                <w:bCs/>
                <w:color w:val="000000"/>
                <w:sz w:val="20"/>
                <w:szCs w:val="20"/>
                <w:lang w:eastAsia="en-GB"/>
              </w:rPr>
            </w:pPr>
            <w:r w:rsidRPr="00B577FB">
              <w:rPr>
                <w:rFonts w:cs="Calibri"/>
                <w:b/>
                <w:bCs/>
                <w:color w:val="000000"/>
                <w:sz w:val="20"/>
                <w:szCs w:val="20"/>
                <w:lang w:eastAsia="en-GB"/>
              </w:rPr>
              <w:t>Susan Githij*</w:t>
            </w:r>
            <w:r w:rsidR="2EF9ECD8" w:rsidRPr="00B577FB">
              <w:rPr>
                <w:rFonts w:cs="Calibri"/>
                <w:b/>
                <w:bCs/>
                <w:color w:val="000000"/>
                <w:sz w:val="20"/>
                <w:szCs w:val="20"/>
                <w:lang w:eastAsia="en-GB"/>
              </w:rPr>
              <w:t>*</w:t>
            </w:r>
          </w:p>
        </w:tc>
        <w:tc>
          <w:tcPr>
            <w:tcW w:w="3221" w:type="dxa"/>
          </w:tcPr>
          <w:p w14:paraId="3042F019" w14:textId="6412C0E2" w:rsidR="7345CE55" w:rsidRPr="00B577FB" w:rsidRDefault="7345CE55" w:rsidP="00BB4743">
            <w:pPr>
              <w:rPr>
                <w:rFonts w:cs="Calibri"/>
                <w:sz w:val="20"/>
                <w:szCs w:val="20"/>
                <w:lang w:eastAsia="en-GB"/>
              </w:rPr>
            </w:pPr>
            <w:r w:rsidRPr="00B577FB">
              <w:rPr>
                <w:rFonts w:cs="Calibri"/>
                <w:color w:val="000000"/>
                <w:sz w:val="20"/>
                <w:szCs w:val="20"/>
                <w:lang w:eastAsia="en-GB"/>
              </w:rPr>
              <w:t>National Public Health Laboratory</w:t>
            </w:r>
          </w:p>
        </w:tc>
        <w:tc>
          <w:tcPr>
            <w:tcW w:w="3221" w:type="dxa"/>
          </w:tcPr>
          <w:p w14:paraId="3C9A9B08" w14:textId="5707C51D" w:rsidR="4C3CD6EA" w:rsidRPr="00BB4743" w:rsidRDefault="4C3CD6EA" w:rsidP="00BB4743">
            <w:pPr>
              <w:rPr>
                <w:rFonts w:cs="Calibri"/>
                <w:sz w:val="20"/>
                <w:szCs w:val="20"/>
              </w:rPr>
            </w:pPr>
            <w:r w:rsidRPr="00B577FB">
              <w:rPr>
                <w:rFonts w:cs="Calibri"/>
                <w:color w:val="000000"/>
                <w:sz w:val="20"/>
                <w:szCs w:val="20"/>
                <w:lang w:eastAsia="en-GB"/>
              </w:rPr>
              <w:t xml:space="preserve">AMR </w:t>
            </w:r>
            <w:r w:rsidR="00D770D4">
              <w:rPr>
                <w:rFonts w:cs="Calibri"/>
                <w:color w:val="000000"/>
                <w:sz w:val="20"/>
                <w:szCs w:val="20"/>
                <w:lang w:eastAsia="en-GB"/>
              </w:rPr>
              <w:t xml:space="preserve">Laboratory </w:t>
            </w:r>
            <w:r w:rsidRPr="00B577FB">
              <w:rPr>
                <w:rFonts w:cs="Calibri"/>
                <w:color w:val="000000"/>
                <w:sz w:val="20"/>
                <w:szCs w:val="20"/>
                <w:lang w:eastAsia="en-GB"/>
              </w:rPr>
              <w:t>Coordinator</w:t>
            </w:r>
          </w:p>
        </w:tc>
      </w:tr>
      <w:tr w:rsidR="17D077F0" w:rsidRPr="00B577FB" w14:paraId="373FAF9D"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5AA8745F" w14:textId="72C45C99" w:rsidR="46CC480C" w:rsidRPr="00B577FB" w:rsidRDefault="00121E83" w:rsidP="00041B22">
            <w:pPr>
              <w:rPr>
                <w:rFonts w:cs="Calibri"/>
                <w:color w:val="FFFFFF" w:themeColor="background1"/>
                <w:sz w:val="20"/>
                <w:szCs w:val="20"/>
              </w:rPr>
            </w:pPr>
            <w:r w:rsidRPr="00B577FB">
              <w:rPr>
                <w:rFonts w:cs="Calibri"/>
                <w:color w:val="FFFFFF" w:themeColor="background1"/>
                <w:sz w:val="20"/>
                <w:szCs w:val="20"/>
              </w:rPr>
              <w:t>WOAH</w:t>
            </w:r>
            <w:r w:rsidR="46CC480C" w:rsidRPr="00B577FB">
              <w:rPr>
                <w:rFonts w:cs="Calibri"/>
                <w:color w:val="FFFFFF" w:themeColor="background1"/>
                <w:sz w:val="20"/>
                <w:szCs w:val="20"/>
              </w:rPr>
              <w:t xml:space="preserve"> Focal Point</w:t>
            </w:r>
          </w:p>
        </w:tc>
      </w:tr>
      <w:tr w:rsidR="17D077F0" w:rsidRPr="00B577FB" w14:paraId="6657D8BB"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7CAFCC8C" w14:textId="17DDC751" w:rsidR="46CC480C" w:rsidRPr="00B577FB" w:rsidRDefault="46CC480C" w:rsidP="17D077F0">
            <w:pPr>
              <w:rPr>
                <w:rFonts w:cs="Calibri"/>
                <w:b/>
                <w:bCs/>
                <w:color w:val="000000"/>
                <w:sz w:val="20"/>
                <w:szCs w:val="20"/>
                <w:lang w:eastAsia="en-GB"/>
              </w:rPr>
            </w:pPr>
            <w:r w:rsidRPr="00B577FB">
              <w:rPr>
                <w:rFonts w:cs="Calibri"/>
                <w:b/>
                <w:bCs/>
                <w:color w:val="000000"/>
                <w:sz w:val="20"/>
                <w:szCs w:val="20"/>
                <w:lang w:eastAsia="en-GB"/>
              </w:rPr>
              <w:t>Dr Damaris Mwololo*</w:t>
            </w:r>
          </w:p>
        </w:tc>
        <w:tc>
          <w:tcPr>
            <w:tcW w:w="3221" w:type="dxa"/>
          </w:tcPr>
          <w:p w14:paraId="790307FB" w14:textId="6021C4A5" w:rsidR="46CC480C" w:rsidRPr="00B577FB" w:rsidRDefault="46CC480C" w:rsidP="00BB4743">
            <w:pPr>
              <w:rPr>
                <w:rFonts w:cs="Calibri"/>
                <w:color w:val="000000"/>
                <w:sz w:val="20"/>
                <w:szCs w:val="20"/>
                <w:lang w:eastAsia="en-GB"/>
              </w:rPr>
            </w:pPr>
            <w:r w:rsidRPr="00B577FB">
              <w:rPr>
                <w:rFonts w:cs="Calibri"/>
                <w:color w:val="000000"/>
                <w:sz w:val="20"/>
                <w:szCs w:val="20"/>
                <w:lang w:eastAsia="en-GB"/>
              </w:rPr>
              <w:t>Disease Control/DVS, MoLF, Kabete</w:t>
            </w:r>
          </w:p>
        </w:tc>
        <w:tc>
          <w:tcPr>
            <w:tcW w:w="3221" w:type="dxa"/>
          </w:tcPr>
          <w:p w14:paraId="78E8D4E0" w14:textId="664922EE" w:rsidR="46CC480C" w:rsidRPr="00B577FB" w:rsidRDefault="00121E83" w:rsidP="00BB4743">
            <w:pPr>
              <w:rPr>
                <w:rFonts w:cs="Calibri"/>
                <w:color w:val="000000"/>
                <w:sz w:val="20"/>
                <w:szCs w:val="20"/>
                <w:lang w:eastAsia="en-GB"/>
              </w:rPr>
            </w:pPr>
            <w:r w:rsidRPr="00B577FB">
              <w:rPr>
                <w:rFonts w:cs="Calibri"/>
                <w:color w:val="000000"/>
                <w:sz w:val="20"/>
                <w:szCs w:val="20"/>
                <w:lang w:eastAsia="en-GB"/>
              </w:rPr>
              <w:t>WOAH</w:t>
            </w:r>
            <w:r w:rsidR="46CC480C" w:rsidRPr="00B577FB">
              <w:rPr>
                <w:rFonts w:cs="Calibri"/>
                <w:color w:val="000000"/>
                <w:sz w:val="20"/>
                <w:szCs w:val="20"/>
                <w:lang w:eastAsia="en-GB"/>
              </w:rPr>
              <w:t xml:space="preserve"> Focal Point</w:t>
            </w:r>
          </w:p>
        </w:tc>
      </w:tr>
      <w:tr w:rsidR="00687B10" w:rsidRPr="00B577FB" w14:paraId="69670243"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7667063B" w14:textId="77777777" w:rsidR="00687B10" w:rsidRPr="00B577FB" w:rsidRDefault="00687B10" w:rsidP="00041B22">
            <w:pPr>
              <w:rPr>
                <w:rFonts w:cs="Calibri"/>
                <w:color w:val="FFFFFF" w:themeColor="background1"/>
                <w:sz w:val="20"/>
                <w:szCs w:val="20"/>
              </w:rPr>
            </w:pPr>
            <w:r w:rsidRPr="00B577FB">
              <w:rPr>
                <w:rFonts w:cs="Calibri"/>
                <w:color w:val="FFFFFF" w:themeColor="background1"/>
                <w:sz w:val="20"/>
                <w:szCs w:val="20"/>
              </w:rPr>
              <w:t>Development Partners/ Academia</w:t>
            </w:r>
          </w:p>
        </w:tc>
      </w:tr>
      <w:tr w:rsidR="00DD1723" w:rsidRPr="000B3487" w14:paraId="4AE74293"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2FCEB5DC" w14:textId="03E8F075" w:rsidR="00687B10" w:rsidRPr="00EE3BF1" w:rsidRDefault="00990BF3">
            <w:pPr>
              <w:rPr>
                <w:rFonts w:cs="Calibri"/>
                <w:b/>
                <w:color w:val="auto"/>
                <w:sz w:val="20"/>
                <w:szCs w:val="20"/>
                <w:lang w:eastAsia="en-GB"/>
              </w:rPr>
            </w:pPr>
            <w:r w:rsidRPr="00EE3BF1">
              <w:rPr>
                <w:rFonts w:cs="Calibri"/>
                <w:b/>
                <w:color w:val="auto"/>
                <w:sz w:val="20"/>
                <w:szCs w:val="20"/>
                <w:lang w:eastAsia="en-GB"/>
              </w:rPr>
              <w:t>Dr Joseph Mu</w:t>
            </w:r>
            <w:r w:rsidR="00000150" w:rsidRPr="00EE3BF1">
              <w:rPr>
                <w:rFonts w:cs="Calibri"/>
                <w:b/>
                <w:color w:val="auto"/>
                <w:sz w:val="20"/>
                <w:szCs w:val="20"/>
                <w:lang w:eastAsia="en-GB"/>
              </w:rPr>
              <w:t>koko</w:t>
            </w:r>
          </w:p>
        </w:tc>
        <w:tc>
          <w:tcPr>
            <w:tcW w:w="3221" w:type="dxa"/>
          </w:tcPr>
          <w:p w14:paraId="28237385" w14:textId="0A81E95A" w:rsidR="00687B10" w:rsidRPr="00BB4743" w:rsidRDefault="75826C90" w:rsidP="00BB4743">
            <w:pPr>
              <w:rPr>
                <w:rFonts w:cs="Calibri"/>
                <w:color w:val="auto"/>
                <w:sz w:val="20"/>
                <w:szCs w:val="20"/>
                <w:lang w:eastAsia="en-GB"/>
              </w:rPr>
            </w:pPr>
            <w:r w:rsidRPr="00BB4743">
              <w:rPr>
                <w:rFonts w:eastAsiaTheme="minorEastAsia" w:cs="Calibri"/>
                <w:color w:val="auto"/>
                <w:sz w:val="20"/>
                <w:szCs w:val="20"/>
                <w:lang w:eastAsia="en-GB"/>
              </w:rPr>
              <w:t>Management Sciences for Health/M</w:t>
            </w:r>
            <w:r w:rsidR="00A96E0A">
              <w:rPr>
                <w:rFonts w:eastAsiaTheme="minorEastAsia" w:cs="Calibri"/>
                <w:color w:val="auto"/>
                <w:sz w:val="20"/>
                <w:szCs w:val="20"/>
                <w:lang w:eastAsia="en-GB"/>
              </w:rPr>
              <w:t>T</w:t>
            </w:r>
            <w:r w:rsidRPr="00BB4743">
              <w:rPr>
                <w:rFonts w:eastAsiaTheme="minorEastAsia" w:cs="Calibri"/>
                <w:color w:val="auto"/>
                <w:sz w:val="20"/>
                <w:szCs w:val="20"/>
                <w:lang w:eastAsia="en-GB"/>
              </w:rPr>
              <w:t>aPS Program</w:t>
            </w:r>
            <w:r w:rsidR="00A96E0A">
              <w:rPr>
                <w:rFonts w:eastAsiaTheme="minorEastAsia" w:cs="Calibri"/>
                <w:color w:val="auto"/>
                <w:sz w:val="20"/>
                <w:szCs w:val="20"/>
                <w:lang w:eastAsia="en-GB"/>
              </w:rPr>
              <w:t>me</w:t>
            </w:r>
          </w:p>
        </w:tc>
        <w:tc>
          <w:tcPr>
            <w:tcW w:w="3221" w:type="dxa"/>
          </w:tcPr>
          <w:p w14:paraId="73136A70" w14:textId="105F10C9" w:rsidR="00687B10" w:rsidRPr="00BB4743" w:rsidRDefault="75826C90" w:rsidP="00BB4743">
            <w:pPr>
              <w:rPr>
                <w:rFonts w:cs="Calibri"/>
                <w:color w:val="auto"/>
                <w:sz w:val="20"/>
                <w:szCs w:val="20"/>
                <w:lang w:eastAsia="en-GB"/>
              </w:rPr>
            </w:pPr>
            <w:r w:rsidRPr="00BB4743">
              <w:rPr>
                <w:rFonts w:eastAsiaTheme="minorEastAsia" w:cs="Calibri"/>
                <w:color w:val="auto"/>
                <w:sz w:val="20"/>
                <w:szCs w:val="20"/>
                <w:lang w:eastAsia="en-GB"/>
              </w:rPr>
              <w:t>Principal Technical Advisor</w:t>
            </w:r>
          </w:p>
        </w:tc>
      </w:tr>
      <w:tr w:rsidR="00DD1723" w:rsidRPr="000B3487" w14:paraId="250CCCF5"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4F1CCDB" w14:textId="07DC0712" w:rsidR="00687B10" w:rsidRPr="00EE3BF1" w:rsidRDefault="00521EC8">
            <w:pPr>
              <w:rPr>
                <w:rFonts w:cs="Calibri"/>
                <w:b/>
                <w:color w:val="auto"/>
                <w:sz w:val="20"/>
                <w:szCs w:val="20"/>
                <w:lang w:eastAsia="en-GB"/>
              </w:rPr>
            </w:pPr>
            <w:r w:rsidRPr="00EE3BF1">
              <w:rPr>
                <w:rFonts w:cs="Calibri"/>
                <w:b/>
                <w:color w:val="auto"/>
                <w:sz w:val="20"/>
                <w:szCs w:val="20"/>
                <w:lang w:eastAsia="en-GB"/>
              </w:rPr>
              <w:t>Fasina Folorunso</w:t>
            </w:r>
          </w:p>
        </w:tc>
        <w:tc>
          <w:tcPr>
            <w:tcW w:w="3221" w:type="dxa"/>
          </w:tcPr>
          <w:p w14:paraId="6B4CC406" w14:textId="43A0415A" w:rsidR="00687B10" w:rsidRPr="00BB4743" w:rsidRDefault="1260C534" w:rsidP="00BB4743">
            <w:pPr>
              <w:rPr>
                <w:rFonts w:cs="Calibri"/>
                <w:color w:val="auto"/>
                <w:sz w:val="20"/>
                <w:szCs w:val="20"/>
                <w:lang w:eastAsia="en-GB"/>
              </w:rPr>
            </w:pPr>
            <w:r w:rsidRPr="00BB4743">
              <w:rPr>
                <w:rFonts w:eastAsiaTheme="minorEastAsia" w:cs="Calibri"/>
                <w:color w:val="auto"/>
                <w:sz w:val="20"/>
                <w:szCs w:val="20"/>
                <w:lang w:eastAsia="en-GB"/>
              </w:rPr>
              <w:t>FAO ECTAD</w:t>
            </w:r>
          </w:p>
        </w:tc>
        <w:tc>
          <w:tcPr>
            <w:tcW w:w="3221" w:type="dxa"/>
          </w:tcPr>
          <w:p w14:paraId="7B090B8B" w14:textId="76B9EAF2" w:rsidR="00687B10" w:rsidRPr="00BB4743" w:rsidRDefault="1260C534" w:rsidP="00BB4743">
            <w:pPr>
              <w:rPr>
                <w:rFonts w:cs="Calibri"/>
                <w:color w:val="auto"/>
                <w:sz w:val="20"/>
                <w:szCs w:val="20"/>
                <w:lang w:eastAsia="en-GB"/>
              </w:rPr>
            </w:pPr>
            <w:r w:rsidRPr="00BB4743">
              <w:rPr>
                <w:rFonts w:eastAsiaTheme="minorEastAsia" w:cs="Calibri"/>
                <w:color w:val="auto"/>
                <w:sz w:val="20"/>
                <w:szCs w:val="20"/>
                <w:lang w:eastAsia="en-GB"/>
              </w:rPr>
              <w:t>Country Team Lead</w:t>
            </w:r>
          </w:p>
        </w:tc>
      </w:tr>
      <w:tr w:rsidR="00DD1723" w:rsidRPr="000B3487" w14:paraId="4F9AC1D4" w14:textId="77777777" w:rsidTr="2B7F3BD2">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771F9769" w14:textId="2022914A" w:rsidR="00687B10" w:rsidRPr="00EE3BF1" w:rsidRDefault="00D3764D">
            <w:pPr>
              <w:rPr>
                <w:rFonts w:cs="Calibri"/>
                <w:b/>
                <w:color w:val="auto"/>
                <w:sz w:val="20"/>
                <w:szCs w:val="20"/>
                <w:lang w:eastAsia="en-GB"/>
              </w:rPr>
            </w:pPr>
            <w:r w:rsidRPr="00EE3BF1">
              <w:rPr>
                <w:rFonts w:cs="Calibri"/>
                <w:b/>
                <w:color w:val="auto"/>
                <w:sz w:val="20"/>
                <w:szCs w:val="20"/>
                <w:lang w:eastAsia="en-GB"/>
              </w:rPr>
              <w:t>Dr Tabitha Kimana</w:t>
            </w:r>
          </w:p>
        </w:tc>
        <w:tc>
          <w:tcPr>
            <w:tcW w:w="3221" w:type="dxa"/>
          </w:tcPr>
          <w:p w14:paraId="12009122" w14:textId="5D75525C" w:rsidR="00687B10" w:rsidRPr="00BB4743" w:rsidRDefault="016A18EB" w:rsidP="00BB4743">
            <w:pPr>
              <w:rPr>
                <w:rFonts w:cs="Calibri"/>
                <w:color w:val="auto"/>
                <w:sz w:val="20"/>
                <w:szCs w:val="20"/>
                <w:lang w:eastAsia="en-GB"/>
              </w:rPr>
            </w:pPr>
            <w:r w:rsidRPr="00BB4743">
              <w:rPr>
                <w:rFonts w:eastAsiaTheme="minorEastAsia" w:cs="Calibri"/>
                <w:color w:val="auto"/>
                <w:sz w:val="20"/>
                <w:szCs w:val="20"/>
                <w:lang w:eastAsia="en-GB"/>
              </w:rPr>
              <w:t>FAO</w:t>
            </w:r>
          </w:p>
        </w:tc>
        <w:tc>
          <w:tcPr>
            <w:tcW w:w="3221" w:type="dxa"/>
          </w:tcPr>
          <w:p w14:paraId="3ACC6DBD" w14:textId="209850C0" w:rsidR="00687B10" w:rsidRPr="00BB4743" w:rsidRDefault="21F2B394" w:rsidP="00BB4743">
            <w:pPr>
              <w:rPr>
                <w:rFonts w:cs="Calibri"/>
                <w:color w:val="auto"/>
                <w:sz w:val="20"/>
                <w:szCs w:val="20"/>
                <w:lang w:eastAsia="en-GB"/>
              </w:rPr>
            </w:pPr>
            <w:r w:rsidRPr="00BB4743">
              <w:rPr>
                <w:rFonts w:cs="Calibri"/>
                <w:color w:val="auto"/>
                <w:sz w:val="20"/>
                <w:szCs w:val="20"/>
                <w:lang w:eastAsia="en-GB"/>
              </w:rPr>
              <w:t xml:space="preserve">Regional ECTAD Veterinary Socio Economist &amp; </w:t>
            </w:r>
            <w:r w:rsidR="00DA6EA8" w:rsidRPr="00BB4743">
              <w:rPr>
                <w:rFonts w:cs="Calibri"/>
                <w:color w:val="auto"/>
                <w:sz w:val="20"/>
                <w:szCs w:val="20"/>
                <w:lang w:eastAsia="en-GB"/>
              </w:rPr>
              <w:t xml:space="preserve">AMR </w:t>
            </w:r>
            <w:r w:rsidRPr="00BB4743">
              <w:rPr>
                <w:rFonts w:cs="Calibri"/>
                <w:color w:val="auto"/>
                <w:sz w:val="20"/>
                <w:szCs w:val="20"/>
                <w:lang w:eastAsia="en-GB"/>
              </w:rPr>
              <w:t>Coordinator (Eastern Africa)</w:t>
            </w:r>
          </w:p>
        </w:tc>
      </w:tr>
      <w:tr w:rsidR="00DD1723" w:rsidRPr="000B3487" w14:paraId="517EBD2A"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4D20A86A" w14:textId="2191FE69" w:rsidR="0084655F" w:rsidRPr="00EE3BF1" w:rsidRDefault="0084655F">
            <w:pPr>
              <w:rPr>
                <w:rFonts w:cs="Calibri"/>
                <w:b/>
                <w:color w:val="auto"/>
                <w:sz w:val="20"/>
                <w:szCs w:val="20"/>
                <w:lang w:eastAsia="en-GB"/>
              </w:rPr>
            </w:pPr>
            <w:r w:rsidRPr="00EE3BF1">
              <w:rPr>
                <w:rFonts w:cs="Calibri"/>
                <w:b/>
                <w:color w:val="auto"/>
                <w:sz w:val="20"/>
                <w:szCs w:val="20"/>
                <w:lang w:eastAsia="en-GB"/>
              </w:rPr>
              <w:t>Dr Jane Lwoyero</w:t>
            </w:r>
          </w:p>
        </w:tc>
        <w:tc>
          <w:tcPr>
            <w:tcW w:w="3221" w:type="dxa"/>
          </w:tcPr>
          <w:p w14:paraId="78E9D115" w14:textId="25ACF0B3" w:rsidR="0084655F" w:rsidRPr="00BB4743" w:rsidRDefault="00121E83" w:rsidP="00BB4743">
            <w:pPr>
              <w:rPr>
                <w:rFonts w:cs="Calibri"/>
                <w:color w:val="auto"/>
                <w:sz w:val="20"/>
                <w:szCs w:val="20"/>
                <w:lang w:eastAsia="en-GB"/>
              </w:rPr>
            </w:pPr>
            <w:r w:rsidRPr="00BB4743">
              <w:rPr>
                <w:rFonts w:eastAsiaTheme="minorEastAsia" w:cs="Calibri"/>
                <w:color w:val="auto"/>
                <w:sz w:val="20"/>
                <w:szCs w:val="20"/>
                <w:lang w:eastAsia="en-GB"/>
              </w:rPr>
              <w:t>WOAH</w:t>
            </w:r>
          </w:p>
        </w:tc>
        <w:tc>
          <w:tcPr>
            <w:tcW w:w="3221" w:type="dxa"/>
          </w:tcPr>
          <w:p w14:paraId="3D070605" w14:textId="54524FBC" w:rsidR="0084655F" w:rsidRPr="00BB4743" w:rsidRDefault="016A18EB" w:rsidP="00BB4743">
            <w:pPr>
              <w:rPr>
                <w:rFonts w:cs="Calibri"/>
                <w:color w:val="auto"/>
                <w:sz w:val="20"/>
                <w:szCs w:val="20"/>
                <w:lang w:eastAsia="en-GB"/>
              </w:rPr>
            </w:pPr>
            <w:r w:rsidRPr="00BB4743">
              <w:rPr>
                <w:rFonts w:eastAsiaTheme="minorEastAsia" w:cs="Calibri"/>
                <w:color w:val="auto"/>
                <w:sz w:val="20"/>
                <w:szCs w:val="20"/>
                <w:lang w:eastAsia="en-GB"/>
              </w:rPr>
              <w:t>Programme Officer for AMR</w:t>
            </w:r>
          </w:p>
        </w:tc>
      </w:tr>
      <w:tr w:rsidR="00687B10" w:rsidRPr="00B577FB" w14:paraId="592ED9BB"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7F0AB781" w14:textId="77777777" w:rsidR="00687B10" w:rsidRPr="00B577FB" w:rsidRDefault="00687B10" w:rsidP="00041B22">
            <w:pPr>
              <w:rPr>
                <w:rFonts w:cs="Calibri"/>
                <w:color w:val="FFFFFF" w:themeColor="background1"/>
                <w:sz w:val="20"/>
                <w:szCs w:val="20"/>
              </w:rPr>
            </w:pPr>
            <w:r w:rsidRPr="00B577FB">
              <w:rPr>
                <w:rFonts w:cs="Calibri"/>
                <w:color w:val="FFFFFF" w:themeColor="background1"/>
                <w:sz w:val="20"/>
                <w:szCs w:val="20"/>
              </w:rPr>
              <w:t>NRL &amp; Site Visit</w:t>
            </w:r>
          </w:p>
        </w:tc>
      </w:tr>
      <w:tr w:rsidR="00DD1723" w:rsidRPr="000B3487" w14:paraId="3EF549EB"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7563BD29" w14:textId="2A8BC790" w:rsidR="00D9253E" w:rsidRPr="00BB4743" w:rsidRDefault="46B0F00C" w:rsidP="17D077F0">
            <w:pPr>
              <w:rPr>
                <w:rFonts w:cs="Calibri"/>
                <w:b/>
                <w:bCs/>
                <w:color w:val="auto"/>
                <w:sz w:val="20"/>
                <w:szCs w:val="20"/>
                <w:lang w:eastAsia="en-GB"/>
              </w:rPr>
            </w:pPr>
            <w:r w:rsidRPr="00BB4743">
              <w:rPr>
                <w:rFonts w:cs="Calibri"/>
                <w:b/>
                <w:bCs/>
                <w:color w:val="auto"/>
                <w:sz w:val="20"/>
                <w:szCs w:val="20"/>
                <w:lang w:eastAsia="en-GB"/>
              </w:rPr>
              <w:t>Susan Githii</w:t>
            </w:r>
            <w:r w:rsidR="5C79B92F" w:rsidRPr="00BB4743">
              <w:rPr>
                <w:rFonts w:cs="Calibri"/>
                <w:b/>
                <w:bCs/>
                <w:color w:val="auto"/>
                <w:sz w:val="20"/>
                <w:szCs w:val="20"/>
                <w:lang w:eastAsia="en-GB"/>
              </w:rPr>
              <w:t>*</w:t>
            </w:r>
            <w:r w:rsidR="7A74C8DB" w:rsidRPr="00BB4743">
              <w:rPr>
                <w:rFonts w:cs="Calibri"/>
                <w:b/>
                <w:bCs/>
                <w:color w:val="auto"/>
                <w:sz w:val="20"/>
                <w:szCs w:val="20"/>
                <w:lang w:eastAsia="en-GB"/>
              </w:rPr>
              <w:t>*</w:t>
            </w:r>
            <w:r w:rsidR="7BE8FDDA" w:rsidRPr="00BB4743">
              <w:rPr>
                <w:rFonts w:cs="Calibri"/>
                <w:b/>
                <w:bCs/>
                <w:color w:val="auto"/>
                <w:sz w:val="20"/>
                <w:szCs w:val="20"/>
                <w:lang w:eastAsia="en-GB"/>
              </w:rPr>
              <w:t>*</w:t>
            </w:r>
          </w:p>
        </w:tc>
        <w:tc>
          <w:tcPr>
            <w:tcW w:w="3221" w:type="dxa"/>
          </w:tcPr>
          <w:p w14:paraId="0E5CD31F" w14:textId="58DD9735" w:rsidR="00D9253E" w:rsidRPr="00BB4743" w:rsidRDefault="46B0F00C" w:rsidP="00BB4743">
            <w:pPr>
              <w:spacing w:line="259" w:lineRule="auto"/>
              <w:rPr>
                <w:rFonts w:eastAsiaTheme="minorEastAsia" w:cs="Calibri"/>
                <w:color w:val="auto"/>
                <w:sz w:val="20"/>
                <w:szCs w:val="20"/>
                <w:lang w:eastAsia="en-GB"/>
              </w:rPr>
            </w:pPr>
            <w:r w:rsidRPr="00BB4743">
              <w:rPr>
                <w:rFonts w:eastAsiaTheme="minorEastAsia" w:cs="Calibri"/>
                <w:color w:val="auto"/>
                <w:sz w:val="20"/>
                <w:szCs w:val="20"/>
                <w:lang w:eastAsia="en-GB"/>
              </w:rPr>
              <w:t>National Public Health Laboratory</w:t>
            </w:r>
          </w:p>
        </w:tc>
        <w:tc>
          <w:tcPr>
            <w:tcW w:w="3221" w:type="dxa"/>
          </w:tcPr>
          <w:p w14:paraId="1A1BFE3E" w14:textId="34E1DB64" w:rsidR="00D9253E" w:rsidRPr="00BB4743" w:rsidRDefault="46B0F00C" w:rsidP="00BB4743">
            <w:pPr>
              <w:spacing w:line="259" w:lineRule="auto"/>
              <w:rPr>
                <w:rFonts w:eastAsiaTheme="minorEastAsia" w:cs="Calibri"/>
                <w:color w:val="auto"/>
                <w:sz w:val="20"/>
                <w:szCs w:val="20"/>
                <w:lang w:eastAsia="en-GB"/>
              </w:rPr>
            </w:pPr>
            <w:r w:rsidRPr="00BB4743">
              <w:rPr>
                <w:rFonts w:eastAsiaTheme="minorEastAsia" w:cs="Calibri"/>
                <w:color w:val="auto"/>
                <w:sz w:val="20"/>
                <w:szCs w:val="20"/>
                <w:lang w:eastAsia="en-GB"/>
              </w:rPr>
              <w:t xml:space="preserve">AMR </w:t>
            </w:r>
            <w:r w:rsidR="00D770D4" w:rsidRPr="00BB4743">
              <w:rPr>
                <w:rFonts w:eastAsiaTheme="minorEastAsia" w:cs="Calibri"/>
                <w:color w:val="auto"/>
                <w:sz w:val="20"/>
                <w:szCs w:val="20"/>
                <w:lang w:eastAsia="en-GB"/>
              </w:rPr>
              <w:t xml:space="preserve">Laboratory </w:t>
            </w:r>
            <w:r w:rsidRPr="00BB4743">
              <w:rPr>
                <w:rFonts w:eastAsiaTheme="minorEastAsia" w:cs="Calibri"/>
                <w:color w:val="auto"/>
                <w:sz w:val="20"/>
                <w:szCs w:val="20"/>
                <w:lang w:eastAsia="en-GB"/>
              </w:rPr>
              <w:t>Coordinator</w:t>
            </w:r>
          </w:p>
        </w:tc>
      </w:tr>
      <w:tr w:rsidR="00DD1723" w:rsidRPr="000B3487" w14:paraId="408F48D9"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3219B74" w14:textId="7BF76605" w:rsidR="00D9253E" w:rsidRPr="00BB4743" w:rsidRDefault="46B0F00C" w:rsidP="17D077F0">
            <w:pPr>
              <w:rPr>
                <w:rFonts w:cs="Calibri"/>
                <w:b/>
                <w:bCs/>
                <w:color w:val="auto"/>
                <w:sz w:val="20"/>
                <w:szCs w:val="20"/>
                <w:lang w:eastAsia="en-GB"/>
              </w:rPr>
            </w:pPr>
            <w:r w:rsidRPr="00BB4743">
              <w:rPr>
                <w:rFonts w:cs="Calibri"/>
                <w:b/>
                <w:bCs/>
                <w:color w:val="auto"/>
                <w:sz w:val="20"/>
                <w:szCs w:val="20"/>
                <w:lang w:eastAsia="en-GB"/>
              </w:rPr>
              <w:t>Dr Romona Ndanyi</w:t>
            </w:r>
            <w:r w:rsidR="0C828BF8" w:rsidRPr="00BB4743">
              <w:rPr>
                <w:rFonts w:cs="Calibri"/>
                <w:b/>
                <w:bCs/>
                <w:color w:val="auto"/>
                <w:sz w:val="20"/>
                <w:szCs w:val="20"/>
                <w:lang w:eastAsia="en-GB"/>
              </w:rPr>
              <w:t>*</w:t>
            </w:r>
            <w:r w:rsidR="6557EE4F" w:rsidRPr="00BB4743">
              <w:rPr>
                <w:rFonts w:cs="Calibri"/>
                <w:b/>
                <w:bCs/>
                <w:color w:val="auto"/>
                <w:sz w:val="20"/>
                <w:szCs w:val="20"/>
                <w:lang w:eastAsia="en-GB"/>
              </w:rPr>
              <w:t>*</w:t>
            </w:r>
          </w:p>
        </w:tc>
        <w:tc>
          <w:tcPr>
            <w:tcW w:w="3221" w:type="dxa"/>
          </w:tcPr>
          <w:p w14:paraId="1B559E3D" w14:textId="358E2424" w:rsidR="00D9253E" w:rsidRPr="00BB4743" w:rsidRDefault="46B0F00C" w:rsidP="00BB4743">
            <w:pPr>
              <w:spacing w:line="259" w:lineRule="auto"/>
              <w:rPr>
                <w:rFonts w:eastAsiaTheme="minorEastAsia" w:cs="Calibri"/>
                <w:color w:val="auto"/>
                <w:sz w:val="20"/>
                <w:szCs w:val="20"/>
                <w:lang w:eastAsia="en-GB"/>
              </w:rPr>
            </w:pPr>
            <w:r w:rsidRPr="00BB4743">
              <w:rPr>
                <w:rFonts w:eastAsiaTheme="minorEastAsia" w:cs="Calibri"/>
                <w:color w:val="auto"/>
                <w:sz w:val="20"/>
                <w:szCs w:val="20"/>
                <w:lang w:eastAsia="en-GB"/>
              </w:rPr>
              <w:t>Diagnostic Services &amp; Efficacy Trials Centres, Directorate of Veterinary Services, Kenya</w:t>
            </w:r>
          </w:p>
        </w:tc>
        <w:tc>
          <w:tcPr>
            <w:tcW w:w="3221" w:type="dxa"/>
          </w:tcPr>
          <w:p w14:paraId="3EA44F9E" w14:textId="290D5850" w:rsidR="00D9253E" w:rsidRPr="00BB4743" w:rsidRDefault="46B0F00C" w:rsidP="00BB4743">
            <w:pPr>
              <w:spacing w:line="259" w:lineRule="auto"/>
              <w:rPr>
                <w:rFonts w:eastAsiaTheme="minorEastAsia" w:cs="Calibri"/>
                <w:color w:val="auto"/>
                <w:sz w:val="20"/>
                <w:szCs w:val="20"/>
                <w:lang w:eastAsia="en-GB"/>
              </w:rPr>
            </w:pPr>
            <w:r w:rsidRPr="00BB4743">
              <w:rPr>
                <w:rFonts w:eastAsiaTheme="minorEastAsia" w:cs="Calibri"/>
                <w:color w:val="auto"/>
                <w:sz w:val="20"/>
                <w:szCs w:val="20"/>
                <w:lang w:eastAsia="en-GB"/>
              </w:rPr>
              <w:t>Assistant Director of Veterinary Services</w:t>
            </w:r>
          </w:p>
        </w:tc>
      </w:tr>
      <w:tr w:rsidR="00EE3BF1" w:rsidRPr="00EE3BF1" w14:paraId="20557274"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53EA8E9D" w14:textId="64E4487E" w:rsidR="00D9253E" w:rsidRPr="00EE3BF1" w:rsidRDefault="398CB440" w:rsidP="17D077F0">
            <w:pPr>
              <w:rPr>
                <w:rFonts w:cs="Calibri"/>
                <w:b/>
                <w:bCs/>
                <w:color w:val="auto"/>
                <w:sz w:val="20"/>
                <w:szCs w:val="20"/>
                <w:lang w:eastAsia="en-GB"/>
              </w:rPr>
            </w:pPr>
            <w:r w:rsidRPr="00EE3BF1">
              <w:rPr>
                <w:rFonts w:cs="Calibri"/>
                <w:b/>
                <w:bCs/>
                <w:color w:val="auto"/>
                <w:sz w:val="20"/>
                <w:szCs w:val="20"/>
                <w:lang w:eastAsia="en-GB"/>
              </w:rPr>
              <w:t>David Ounah</w:t>
            </w:r>
          </w:p>
        </w:tc>
        <w:tc>
          <w:tcPr>
            <w:tcW w:w="3221" w:type="dxa"/>
          </w:tcPr>
          <w:p w14:paraId="686DF872" w14:textId="57AA5FEC" w:rsidR="00D9253E" w:rsidRPr="00EE3BF1" w:rsidRDefault="00E66BB8"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Department</w:t>
            </w:r>
            <w:r w:rsidR="398CB440" w:rsidRPr="00EE3BF1">
              <w:rPr>
                <w:rFonts w:eastAsiaTheme="minorEastAsia" w:cs="Calibri"/>
                <w:color w:val="auto"/>
                <w:sz w:val="20"/>
                <w:szCs w:val="20"/>
                <w:lang w:eastAsia="en-GB"/>
              </w:rPr>
              <w:t xml:space="preserve"> of Veterinary Services; Head of CVL</w:t>
            </w:r>
          </w:p>
        </w:tc>
        <w:tc>
          <w:tcPr>
            <w:tcW w:w="3221" w:type="dxa"/>
          </w:tcPr>
          <w:p w14:paraId="5DE11E54" w14:textId="1E4FD36E" w:rsidR="00D9253E"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Deputy Director of Veterinary Services</w:t>
            </w:r>
          </w:p>
        </w:tc>
      </w:tr>
      <w:tr w:rsidR="00EE3BF1" w:rsidRPr="00EE3BF1" w14:paraId="1239E771"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0914A23D" w14:textId="40727A03" w:rsidR="00D9253E" w:rsidRPr="00EE3BF1" w:rsidRDefault="00EE3BF1" w:rsidP="17D077F0">
            <w:pPr>
              <w:rPr>
                <w:rFonts w:cs="Calibri"/>
                <w:b/>
                <w:bCs/>
                <w:color w:val="auto"/>
                <w:sz w:val="20"/>
                <w:szCs w:val="20"/>
                <w:lang w:eastAsia="en-GB"/>
              </w:rPr>
            </w:pPr>
            <w:r>
              <w:rPr>
                <w:rFonts w:cs="Calibri"/>
                <w:b/>
                <w:bCs/>
                <w:color w:val="auto"/>
                <w:sz w:val="20"/>
                <w:szCs w:val="20"/>
                <w:lang w:eastAsia="en-GB"/>
              </w:rPr>
              <w:t xml:space="preserve">Dr </w:t>
            </w:r>
            <w:r w:rsidR="398CB440" w:rsidRPr="00EE3BF1">
              <w:rPr>
                <w:rFonts w:cs="Calibri"/>
                <w:b/>
                <w:bCs/>
                <w:color w:val="auto"/>
                <w:sz w:val="20"/>
                <w:szCs w:val="20"/>
                <w:lang w:eastAsia="en-GB"/>
              </w:rPr>
              <w:t>Mahacla Odongo</w:t>
            </w:r>
          </w:p>
        </w:tc>
        <w:tc>
          <w:tcPr>
            <w:tcW w:w="3221" w:type="dxa"/>
          </w:tcPr>
          <w:p w14:paraId="77A0A652" w14:textId="5A639E94" w:rsidR="00D9253E"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University of Nairobi</w:t>
            </w:r>
          </w:p>
        </w:tc>
        <w:tc>
          <w:tcPr>
            <w:tcW w:w="3221" w:type="dxa"/>
          </w:tcPr>
          <w:p w14:paraId="69197F6A" w14:textId="12108EDC" w:rsidR="00D9253E"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Lecturer in Microbiology</w:t>
            </w:r>
          </w:p>
        </w:tc>
      </w:tr>
      <w:tr w:rsidR="00EE3BF1" w:rsidRPr="00EE3BF1" w14:paraId="143DAED5"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39C3371A" w14:textId="7D940BAC" w:rsidR="398CB440" w:rsidRPr="00EE3BF1" w:rsidRDefault="398CB440" w:rsidP="17D077F0">
            <w:pPr>
              <w:rPr>
                <w:rFonts w:cs="Calibri"/>
                <w:b/>
                <w:bCs/>
                <w:color w:val="auto"/>
                <w:sz w:val="20"/>
                <w:szCs w:val="20"/>
                <w:lang w:eastAsia="en-GB"/>
              </w:rPr>
            </w:pPr>
            <w:r w:rsidRPr="00EE3BF1">
              <w:rPr>
                <w:rFonts w:cs="Calibri"/>
                <w:b/>
                <w:bCs/>
                <w:color w:val="auto"/>
                <w:sz w:val="20"/>
                <w:szCs w:val="20"/>
                <w:lang w:eastAsia="en-GB"/>
              </w:rPr>
              <w:t>Ann Munene</w:t>
            </w:r>
          </w:p>
        </w:tc>
        <w:tc>
          <w:tcPr>
            <w:tcW w:w="3221" w:type="dxa"/>
          </w:tcPr>
          <w:p w14:paraId="45031A02" w14:textId="35B84749" w:rsidR="398CB440"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University of Nairobi</w:t>
            </w:r>
          </w:p>
        </w:tc>
        <w:tc>
          <w:tcPr>
            <w:tcW w:w="3221" w:type="dxa"/>
          </w:tcPr>
          <w:p w14:paraId="152B88FC" w14:textId="2222C64B" w:rsidR="398CB440"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 xml:space="preserve">Microbiology Laboratory Head, </w:t>
            </w:r>
            <w:r w:rsidR="00E66BB8" w:rsidRPr="00EE3BF1">
              <w:rPr>
                <w:rFonts w:eastAsiaTheme="minorEastAsia" w:cs="Calibri"/>
                <w:color w:val="auto"/>
                <w:sz w:val="20"/>
                <w:szCs w:val="20"/>
                <w:lang w:eastAsia="en-GB"/>
              </w:rPr>
              <w:t>Department</w:t>
            </w:r>
            <w:r w:rsidRPr="00EE3BF1">
              <w:rPr>
                <w:rFonts w:eastAsiaTheme="minorEastAsia" w:cs="Calibri"/>
                <w:color w:val="auto"/>
                <w:sz w:val="20"/>
                <w:szCs w:val="20"/>
                <w:lang w:eastAsia="en-GB"/>
              </w:rPr>
              <w:t xml:space="preserve"> of Vet</w:t>
            </w:r>
            <w:r w:rsidR="00C04EBA" w:rsidRPr="00EE3BF1">
              <w:rPr>
                <w:rFonts w:eastAsiaTheme="minorEastAsia" w:cs="Calibri"/>
                <w:color w:val="auto"/>
                <w:sz w:val="20"/>
                <w:szCs w:val="20"/>
                <w:lang w:eastAsia="en-GB"/>
              </w:rPr>
              <w:t>e</w:t>
            </w:r>
            <w:r w:rsidR="005B6E00" w:rsidRPr="00EE3BF1">
              <w:rPr>
                <w:rFonts w:eastAsiaTheme="minorEastAsia" w:cs="Calibri"/>
                <w:color w:val="auto"/>
                <w:sz w:val="20"/>
                <w:szCs w:val="20"/>
                <w:lang w:eastAsia="en-GB"/>
              </w:rPr>
              <w:t>rinary</w:t>
            </w:r>
            <w:r w:rsidRPr="00EE3BF1">
              <w:rPr>
                <w:rFonts w:eastAsiaTheme="minorEastAsia" w:cs="Calibri"/>
                <w:color w:val="auto"/>
                <w:sz w:val="20"/>
                <w:szCs w:val="20"/>
                <w:lang w:eastAsia="en-GB"/>
              </w:rPr>
              <w:t xml:space="preserve"> Pathology</w:t>
            </w:r>
          </w:p>
        </w:tc>
      </w:tr>
      <w:tr w:rsidR="00EE3BF1" w:rsidRPr="00EE3BF1" w14:paraId="4A274938"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D11EA19" w14:textId="0CD09BAC" w:rsidR="398CB440" w:rsidRPr="00EE3BF1" w:rsidRDefault="00EE3BF1" w:rsidP="17D077F0">
            <w:pPr>
              <w:rPr>
                <w:rFonts w:cs="Calibri"/>
                <w:b/>
                <w:bCs/>
                <w:color w:val="auto"/>
                <w:sz w:val="20"/>
                <w:szCs w:val="20"/>
                <w:lang w:eastAsia="en-GB"/>
              </w:rPr>
            </w:pPr>
            <w:r>
              <w:rPr>
                <w:rFonts w:cs="Calibri"/>
                <w:b/>
                <w:bCs/>
                <w:color w:val="auto"/>
                <w:sz w:val="20"/>
                <w:szCs w:val="20"/>
                <w:lang w:eastAsia="en-GB"/>
              </w:rPr>
              <w:t xml:space="preserve">Dr </w:t>
            </w:r>
            <w:r w:rsidR="398CB440" w:rsidRPr="00EE3BF1">
              <w:rPr>
                <w:rFonts w:cs="Calibri"/>
                <w:b/>
                <w:bCs/>
                <w:color w:val="auto"/>
                <w:sz w:val="20"/>
                <w:szCs w:val="20"/>
                <w:lang w:eastAsia="en-GB"/>
              </w:rPr>
              <w:t>Peninah Wamboi</w:t>
            </w:r>
          </w:p>
        </w:tc>
        <w:tc>
          <w:tcPr>
            <w:tcW w:w="3221" w:type="dxa"/>
          </w:tcPr>
          <w:p w14:paraId="76DB7378" w14:textId="5D037ED2" w:rsidR="398CB440"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Mariakani Vet</w:t>
            </w:r>
            <w:r w:rsidR="00E37CD7" w:rsidRPr="00EE3BF1">
              <w:rPr>
                <w:rFonts w:eastAsiaTheme="minorEastAsia" w:cs="Calibri"/>
                <w:color w:val="auto"/>
                <w:sz w:val="20"/>
                <w:szCs w:val="20"/>
                <w:lang w:eastAsia="en-GB"/>
              </w:rPr>
              <w:t>erinary</w:t>
            </w:r>
            <w:r w:rsidRPr="00EE3BF1">
              <w:rPr>
                <w:rFonts w:eastAsiaTheme="minorEastAsia" w:cs="Calibri"/>
                <w:color w:val="auto"/>
                <w:sz w:val="20"/>
                <w:szCs w:val="20"/>
                <w:lang w:eastAsia="en-GB"/>
              </w:rPr>
              <w:t xml:space="preserve"> Laboratory</w:t>
            </w:r>
          </w:p>
        </w:tc>
        <w:tc>
          <w:tcPr>
            <w:tcW w:w="3221" w:type="dxa"/>
          </w:tcPr>
          <w:p w14:paraId="32BF4E91" w14:textId="252584D2" w:rsidR="398CB440"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Veterinary Officer</w:t>
            </w:r>
          </w:p>
        </w:tc>
      </w:tr>
      <w:tr w:rsidR="00EE3BF1" w:rsidRPr="00EE3BF1" w14:paraId="0D742A7D"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55600CB" w14:textId="304A7170" w:rsidR="398CB440" w:rsidRPr="00EE3BF1" w:rsidRDefault="398CB440" w:rsidP="17D077F0">
            <w:pPr>
              <w:rPr>
                <w:rFonts w:cs="Calibri"/>
                <w:b/>
                <w:bCs/>
                <w:color w:val="auto"/>
                <w:sz w:val="20"/>
                <w:szCs w:val="20"/>
                <w:lang w:eastAsia="en-GB"/>
              </w:rPr>
            </w:pPr>
            <w:r w:rsidRPr="00EE3BF1">
              <w:rPr>
                <w:rFonts w:cs="Calibri"/>
                <w:b/>
                <w:bCs/>
                <w:color w:val="auto"/>
                <w:sz w:val="20"/>
                <w:szCs w:val="20"/>
                <w:lang w:eastAsia="en-GB"/>
              </w:rPr>
              <w:t>George Ambale</w:t>
            </w:r>
          </w:p>
        </w:tc>
        <w:tc>
          <w:tcPr>
            <w:tcW w:w="3221" w:type="dxa"/>
          </w:tcPr>
          <w:p w14:paraId="68470F71" w14:textId="2B1DDF3F" w:rsidR="398CB440"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 xml:space="preserve">Mariakani </w:t>
            </w:r>
            <w:r w:rsidR="00E37CD7" w:rsidRPr="00EE3BF1">
              <w:rPr>
                <w:rFonts w:eastAsiaTheme="minorEastAsia" w:cs="Calibri"/>
                <w:color w:val="auto"/>
                <w:sz w:val="20"/>
                <w:szCs w:val="20"/>
                <w:lang w:eastAsia="en-GB"/>
              </w:rPr>
              <w:t>Veterinary</w:t>
            </w:r>
            <w:r w:rsidRPr="00EE3BF1">
              <w:rPr>
                <w:rFonts w:eastAsiaTheme="minorEastAsia" w:cs="Calibri"/>
                <w:color w:val="auto"/>
                <w:sz w:val="20"/>
                <w:szCs w:val="20"/>
                <w:lang w:eastAsia="en-GB"/>
              </w:rPr>
              <w:t xml:space="preserve"> Laboratory</w:t>
            </w:r>
          </w:p>
        </w:tc>
        <w:tc>
          <w:tcPr>
            <w:tcW w:w="3221" w:type="dxa"/>
          </w:tcPr>
          <w:p w14:paraId="65B60963" w14:textId="23FD6D39" w:rsidR="398CB440"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Chief Technologist</w:t>
            </w:r>
          </w:p>
        </w:tc>
      </w:tr>
      <w:tr w:rsidR="00EE3BF1" w:rsidRPr="00EE3BF1" w14:paraId="511B9EBC"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39DA95D2" w14:textId="560641C8" w:rsidR="398CB440" w:rsidRPr="00EE3BF1" w:rsidRDefault="398CB440" w:rsidP="17D077F0">
            <w:pPr>
              <w:rPr>
                <w:rFonts w:cs="Calibri"/>
                <w:b/>
                <w:bCs/>
                <w:color w:val="auto"/>
                <w:sz w:val="20"/>
                <w:szCs w:val="20"/>
                <w:lang w:eastAsia="en-GB"/>
              </w:rPr>
            </w:pPr>
            <w:r w:rsidRPr="00EE3BF1">
              <w:rPr>
                <w:rFonts w:cs="Calibri"/>
                <w:b/>
                <w:bCs/>
                <w:color w:val="auto"/>
                <w:sz w:val="20"/>
                <w:szCs w:val="20"/>
                <w:lang w:eastAsia="en-GB"/>
              </w:rPr>
              <w:t>Merci Zawadi</w:t>
            </w:r>
          </w:p>
        </w:tc>
        <w:tc>
          <w:tcPr>
            <w:tcW w:w="3221" w:type="dxa"/>
          </w:tcPr>
          <w:p w14:paraId="742BF25F" w14:textId="57EDFCD8" w:rsidR="398CB440"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Ministry Of Health, National Public Health Laboratory</w:t>
            </w:r>
          </w:p>
        </w:tc>
        <w:tc>
          <w:tcPr>
            <w:tcW w:w="3221" w:type="dxa"/>
          </w:tcPr>
          <w:p w14:paraId="74AC2913" w14:textId="22080D47" w:rsidR="398CB440"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Quality Manager</w:t>
            </w:r>
          </w:p>
        </w:tc>
      </w:tr>
      <w:tr w:rsidR="00EE3BF1" w:rsidRPr="00EE3BF1" w14:paraId="371D63C7"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0696207" w14:textId="55872EB4" w:rsidR="398CB440" w:rsidRPr="00EE3BF1" w:rsidRDefault="398CB440" w:rsidP="17D077F0">
            <w:pPr>
              <w:rPr>
                <w:rFonts w:cs="Calibri"/>
                <w:b/>
                <w:bCs/>
                <w:color w:val="auto"/>
                <w:sz w:val="20"/>
                <w:szCs w:val="20"/>
                <w:lang w:eastAsia="en-GB"/>
              </w:rPr>
            </w:pPr>
            <w:r w:rsidRPr="00EE3BF1">
              <w:rPr>
                <w:rFonts w:cs="Calibri"/>
                <w:b/>
                <w:bCs/>
                <w:color w:val="auto"/>
                <w:sz w:val="20"/>
                <w:szCs w:val="20"/>
                <w:lang w:eastAsia="en-GB"/>
              </w:rPr>
              <w:t>Tobias Nyanjong</w:t>
            </w:r>
          </w:p>
        </w:tc>
        <w:tc>
          <w:tcPr>
            <w:tcW w:w="3221" w:type="dxa"/>
          </w:tcPr>
          <w:p w14:paraId="68079A57" w14:textId="01C71BD5" w:rsidR="398CB440"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Jaramogi Oginga Odinga Teaching and Referral Hospital</w:t>
            </w:r>
          </w:p>
        </w:tc>
        <w:tc>
          <w:tcPr>
            <w:tcW w:w="3221" w:type="dxa"/>
          </w:tcPr>
          <w:p w14:paraId="26480C7D" w14:textId="0AAAE65E" w:rsidR="398CB440"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Assist</w:t>
            </w:r>
            <w:r w:rsidR="00D71305" w:rsidRPr="00EE3BF1">
              <w:rPr>
                <w:rFonts w:eastAsiaTheme="minorEastAsia" w:cs="Calibri"/>
                <w:color w:val="auto"/>
                <w:sz w:val="20"/>
                <w:szCs w:val="20"/>
                <w:lang w:eastAsia="en-GB"/>
              </w:rPr>
              <w:t>ant</w:t>
            </w:r>
            <w:r w:rsidRPr="00EE3BF1">
              <w:rPr>
                <w:rFonts w:eastAsiaTheme="minorEastAsia" w:cs="Calibri"/>
                <w:color w:val="auto"/>
                <w:sz w:val="20"/>
                <w:szCs w:val="20"/>
                <w:lang w:eastAsia="en-GB"/>
              </w:rPr>
              <w:t xml:space="preserve"> </w:t>
            </w:r>
            <w:r w:rsidR="00D770D4" w:rsidRPr="00EE3BF1">
              <w:rPr>
                <w:rFonts w:eastAsiaTheme="minorEastAsia" w:cs="Calibri"/>
                <w:color w:val="auto"/>
                <w:sz w:val="20"/>
                <w:szCs w:val="20"/>
                <w:lang w:eastAsia="en-GB"/>
              </w:rPr>
              <w:t xml:space="preserve">Laboratory </w:t>
            </w:r>
            <w:r w:rsidRPr="00EE3BF1">
              <w:rPr>
                <w:rFonts w:eastAsiaTheme="minorEastAsia" w:cs="Calibri"/>
                <w:color w:val="auto"/>
                <w:sz w:val="20"/>
                <w:szCs w:val="20"/>
                <w:lang w:eastAsia="en-GB"/>
              </w:rPr>
              <w:t>Manager and QA manager</w:t>
            </w:r>
          </w:p>
        </w:tc>
      </w:tr>
      <w:tr w:rsidR="00EE3BF1" w:rsidRPr="00EE3BF1" w14:paraId="4E903622"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4C0D21B9" w14:textId="5B91EDDB" w:rsidR="398CB440" w:rsidRPr="00EE3BF1" w:rsidRDefault="398CB440" w:rsidP="17D077F0">
            <w:pPr>
              <w:rPr>
                <w:rFonts w:cs="Calibri"/>
                <w:b/>
                <w:bCs/>
                <w:color w:val="auto"/>
                <w:sz w:val="20"/>
                <w:szCs w:val="20"/>
                <w:lang w:eastAsia="en-GB"/>
              </w:rPr>
            </w:pPr>
            <w:r w:rsidRPr="00EE3BF1">
              <w:rPr>
                <w:rFonts w:cs="Calibri"/>
                <w:b/>
                <w:bCs/>
                <w:color w:val="auto"/>
                <w:sz w:val="20"/>
                <w:szCs w:val="20"/>
                <w:lang w:eastAsia="en-GB"/>
              </w:rPr>
              <w:t>Grade Ndeda</w:t>
            </w:r>
          </w:p>
        </w:tc>
        <w:tc>
          <w:tcPr>
            <w:tcW w:w="3221" w:type="dxa"/>
          </w:tcPr>
          <w:p w14:paraId="539FF6FA" w14:textId="260088DB" w:rsidR="398CB440" w:rsidRPr="00EE3BF1" w:rsidRDefault="398CB440"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Jaramogi Oginga Odinga Teaching and Referral Hospital</w:t>
            </w:r>
          </w:p>
        </w:tc>
        <w:tc>
          <w:tcPr>
            <w:tcW w:w="3221" w:type="dxa"/>
          </w:tcPr>
          <w:p w14:paraId="3805B470" w14:textId="59544EA2" w:rsidR="398CB440" w:rsidRPr="00EE3BF1" w:rsidRDefault="00D770D4" w:rsidP="00BB4743">
            <w:pPr>
              <w:spacing w:line="259" w:lineRule="auto"/>
              <w:rPr>
                <w:rFonts w:eastAsiaTheme="minorEastAsia" w:cs="Calibri"/>
                <w:color w:val="auto"/>
                <w:sz w:val="20"/>
                <w:szCs w:val="20"/>
                <w:lang w:eastAsia="en-GB"/>
              </w:rPr>
            </w:pPr>
            <w:r w:rsidRPr="00EE3BF1">
              <w:rPr>
                <w:rFonts w:eastAsiaTheme="minorEastAsia" w:cs="Calibri"/>
                <w:color w:val="auto"/>
                <w:sz w:val="20"/>
                <w:szCs w:val="20"/>
                <w:lang w:eastAsia="en-GB"/>
              </w:rPr>
              <w:t xml:space="preserve">Laboratory </w:t>
            </w:r>
            <w:r w:rsidR="398CB440" w:rsidRPr="00EE3BF1">
              <w:rPr>
                <w:rFonts w:eastAsiaTheme="minorEastAsia" w:cs="Calibri"/>
                <w:color w:val="auto"/>
                <w:sz w:val="20"/>
                <w:szCs w:val="20"/>
                <w:lang w:eastAsia="en-GB"/>
              </w:rPr>
              <w:t>Technologist and Officer in Charge, Microbiology Lab</w:t>
            </w:r>
          </w:p>
        </w:tc>
      </w:tr>
    </w:tbl>
    <w:p w14:paraId="797262F1" w14:textId="0F2CED5D" w:rsidR="00CF4E89" w:rsidRDefault="00CF4E89" w:rsidP="004F2001">
      <w:pPr>
        <w:pStyle w:val="ItadH2"/>
      </w:pPr>
      <w:bookmarkStart w:id="401" w:name="_Toc118968574"/>
      <w:bookmarkStart w:id="402" w:name="_Toc122209928"/>
      <w:bookmarkStart w:id="403" w:name="_Toc142383216"/>
      <w:r>
        <w:t>Laos</w:t>
      </w:r>
      <w:bookmarkEnd w:id="401"/>
      <w:bookmarkEnd w:id="402"/>
      <w:bookmarkEnd w:id="403"/>
    </w:p>
    <w:tbl>
      <w:tblPr>
        <w:tblStyle w:val="Itadalternaterows"/>
        <w:tblW w:w="9663" w:type="dxa"/>
        <w:tblLook w:val="04A0" w:firstRow="1" w:lastRow="0" w:firstColumn="1" w:lastColumn="0" w:noHBand="0" w:noVBand="1"/>
      </w:tblPr>
      <w:tblGrid>
        <w:gridCol w:w="3221"/>
        <w:gridCol w:w="3221"/>
        <w:gridCol w:w="3221"/>
      </w:tblGrid>
      <w:tr w:rsidR="00687B10" w:rsidRPr="00B807D4" w14:paraId="6A37CDEE" w14:textId="77777777">
        <w:trPr>
          <w:cnfStyle w:val="100000000000" w:firstRow="1" w:lastRow="0" w:firstColumn="0" w:lastColumn="0" w:oddVBand="0" w:evenVBand="0" w:oddHBand="0" w:evenHBand="0" w:firstRowFirstColumn="0" w:firstRowLastColumn="0" w:lastRowFirstColumn="0" w:lastRowLastColumn="0"/>
          <w:trHeight w:val="340"/>
        </w:trPr>
        <w:tc>
          <w:tcPr>
            <w:tcW w:w="9663" w:type="dxa"/>
            <w:gridSpan w:val="3"/>
            <w:hideMark/>
          </w:tcPr>
          <w:p w14:paraId="029A0829" w14:textId="7519F365" w:rsidR="00687B10" w:rsidRPr="00B807D4" w:rsidRDefault="00687B10">
            <w:pPr>
              <w:rPr>
                <w:rFonts w:cstheme="minorHAnsi"/>
                <w:bCs/>
                <w:color w:val="FFFFFF" w:themeColor="background1"/>
                <w:sz w:val="20"/>
                <w:szCs w:val="20"/>
                <w:lang w:eastAsia="en-GB"/>
              </w:rPr>
            </w:pPr>
            <w:r>
              <w:rPr>
                <w:rFonts w:cstheme="minorHAnsi"/>
                <w:color w:val="FFFFFF" w:themeColor="background1"/>
                <w:sz w:val="20"/>
                <w:szCs w:val="20"/>
                <w:lang w:eastAsia="en-GB"/>
              </w:rPr>
              <w:t xml:space="preserve">Fleming Fund </w:t>
            </w:r>
            <w:r w:rsidR="005B5B44">
              <w:rPr>
                <w:rFonts w:cstheme="minorHAnsi"/>
                <w:color w:val="FFFFFF" w:themeColor="background1"/>
                <w:sz w:val="20"/>
                <w:szCs w:val="20"/>
                <w:lang w:eastAsia="en-GB"/>
              </w:rPr>
              <w:t>CG</w:t>
            </w:r>
          </w:p>
        </w:tc>
      </w:tr>
      <w:tr w:rsidR="00687B10" w:rsidRPr="004E74A8" w14:paraId="57CAB759"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79E416C6" w14:textId="7D8574F1" w:rsidR="00687B10" w:rsidRPr="00393928" w:rsidRDefault="008D1B0F">
            <w:pPr>
              <w:rPr>
                <w:rFonts w:cstheme="minorHAnsi"/>
                <w:b/>
                <w:color w:val="000000"/>
                <w:sz w:val="20"/>
                <w:szCs w:val="20"/>
                <w:lang w:eastAsia="en-GB"/>
              </w:rPr>
            </w:pPr>
            <w:r w:rsidRPr="00393928">
              <w:rPr>
                <w:rFonts w:cstheme="minorHAnsi"/>
                <w:b/>
                <w:color w:val="000000"/>
                <w:sz w:val="20"/>
                <w:szCs w:val="20"/>
                <w:lang w:eastAsia="en-GB"/>
              </w:rPr>
              <w:t>Ms. Caroline Spigelski</w:t>
            </w:r>
            <w:r w:rsidR="006931B4" w:rsidRPr="00393928">
              <w:rPr>
                <w:rFonts w:cstheme="minorHAnsi"/>
                <w:b/>
                <w:color w:val="000000"/>
                <w:sz w:val="20"/>
                <w:szCs w:val="20"/>
                <w:lang w:eastAsia="en-GB"/>
              </w:rPr>
              <w:t xml:space="preserve"> </w:t>
            </w:r>
          </w:p>
        </w:tc>
        <w:tc>
          <w:tcPr>
            <w:tcW w:w="3221" w:type="dxa"/>
          </w:tcPr>
          <w:p w14:paraId="3E4AAFAD" w14:textId="06036B76" w:rsidR="00687B10" w:rsidRPr="00393928" w:rsidRDefault="001026C1" w:rsidP="00BB4743">
            <w:pPr>
              <w:rPr>
                <w:rFonts w:cstheme="minorHAnsi"/>
                <w:color w:val="000000"/>
                <w:sz w:val="20"/>
                <w:szCs w:val="20"/>
                <w:lang w:eastAsia="en-GB"/>
              </w:rPr>
            </w:pPr>
            <w:r w:rsidRPr="00393928">
              <w:rPr>
                <w:rFonts w:cstheme="minorHAnsi"/>
                <w:color w:val="000000"/>
                <w:sz w:val="20"/>
                <w:szCs w:val="20"/>
                <w:lang w:eastAsia="en-GB"/>
              </w:rPr>
              <w:t>UNOPS</w:t>
            </w:r>
            <w:r w:rsidR="00B2341B" w:rsidRPr="00393928">
              <w:rPr>
                <w:rFonts w:cstheme="minorHAnsi"/>
                <w:color w:val="000000"/>
                <w:sz w:val="20"/>
                <w:szCs w:val="20"/>
                <w:lang w:eastAsia="en-GB"/>
              </w:rPr>
              <w:t xml:space="preserve"> (former CG)</w:t>
            </w:r>
          </w:p>
        </w:tc>
        <w:tc>
          <w:tcPr>
            <w:tcW w:w="3221" w:type="dxa"/>
          </w:tcPr>
          <w:p w14:paraId="52426287" w14:textId="584F7A8C" w:rsidR="00687B10" w:rsidRPr="00393928" w:rsidRDefault="001026C1" w:rsidP="00BB4743">
            <w:pPr>
              <w:rPr>
                <w:rFonts w:cstheme="minorHAnsi"/>
                <w:color w:val="000000"/>
                <w:sz w:val="20"/>
                <w:szCs w:val="20"/>
                <w:lang w:eastAsia="en-GB"/>
              </w:rPr>
            </w:pPr>
            <w:r w:rsidRPr="00393928">
              <w:rPr>
                <w:rFonts w:cstheme="minorHAnsi"/>
                <w:color w:val="000000"/>
                <w:sz w:val="20"/>
                <w:szCs w:val="20"/>
                <w:lang w:eastAsia="en-GB"/>
              </w:rPr>
              <w:t>Project Manager</w:t>
            </w:r>
            <w:r w:rsidR="006931B4" w:rsidRPr="00393928">
              <w:rPr>
                <w:rFonts w:cstheme="minorHAnsi"/>
                <w:color w:val="000000"/>
                <w:sz w:val="20"/>
                <w:szCs w:val="20"/>
                <w:lang w:eastAsia="en-GB"/>
              </w:rPr>
              <w:t xml:space="preserve"> </w:t>
            </w:r>
          </w:p>
        </w:tc>
      </w:tr>
      <w:tr w:rsidR="00F3059B" w:rsidRPr="004E74A8" w14:paraId="37DEE5F0" w14:textId="77777777">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53339085" w14:textId="63270761" w:rsidR="00F3059B" w:rsidRPr="00393928" w:rsidRDefault="00EE3BF1">
            <w:pPr>
              <w:rPr>
                <w:rFonts w:cstheme="minorHAnsi"/>
                <w:b/>
                <w:color w:val="000000"/>
                <w:sz w:val="20"/>
                <w:szCs w:val="20"/>
                <w:lang w:eastAsia="en-GB"/>
              </w:rPr>
            </w:pPr>
            <w:r>
              <w:rPr>
                <w:rFonts w:cstheme="minorHAnsi"/>
                <w:b/>
                <w:color w:val="000000"/>
                <w:sz w:val="20"/>
                <w:szCs w:val="20"/>
                <w:lang w:eastAsia="en-GB"/>
              </w:rPr>
              <w:t xml:space="preserve">Dr </w:t>
            </w:r>
            <w:r w:rsidR="00F3059B" w:rsidRPr="00393928">
              <w:rPr>
                <w:rFonts w:cstheme="minorHAnsi"/>
                <w:b/>
                <w:color w:val="000000"/>
                <w:sz w:val="20"/>
                <w:szCs w:val="20"/>
                <w:lang w:eastAsia="en-GB"/>
              </w:rPr>
              <w:t xml:space="preserve">Yu Kee Park </w:t>
            </w:r>
          </w:p>
        </w:tc>
        <w:tc>
          <w:tcPr>
            <w:tcW w:w="3221" w:type="dxa"/>
          </w:tcPr>
          <w:p w14:paraId="7C3C1DEC" w14:textId="0577763E" w:rsidR="00F3059B" w:rsidRPr="00393928" w:rsidRDefault="00F3059B" w:rsidP="00BB4743">
            <w:pPr>
              <w:rPr>
                <w:rFonts w:cstheme="minorHAnsi"/>
                <w:color w:val="000000"/>
                <w:sz w:val="20"/>
                <w:szCs w:val="20"/>
                <w:lang w:eastAsia="en-GB"/>
              </w:rPr>
            </w:pPr>
            <w:r w:rsidRPr="00393928">
              <w:rPr>
                <w:rFonts w:cstheme="minorHAnsi"/>
                <w:color w:val="000000"/>
                <w:sz w:val="20"/>
                <w:szCs w:val="20"/>
                <w:lang w:eastAsia="en-GB"/>
              </w:rPr>
              <w:t>WHO (former CG)</w:t>
            </w:r>
          </w:p>
        </w:tc>
        <w:tc>
          <w:tcPr>
            <w:tcW w:w="3221" w:type="dxa"/>
          </w:tcPr>
          <w:p w14:paraId="2954DE3F" w14:textId="79017DDF" w:rsidR="00F3059B" w:rsidRPr="00393928" w:rsidRDefault="00F3059B" w:rsidP="00BB4743">
            <w:pPr>
              <w:rPr>
                <w:rFonts w:cstheme="minorHAnsi"/>
                <w:color w:val="000000"/>
                <w:sz w:val="20"/>
                <w:szCs w:val="20"/>
                <w:lang w:eastAsia="en-GB"/>
              </w:rPr>
            </w:pPr>
            <w:r w:rsidRPr="00393928">
              <w:rPr>
                <w:rFonts w:cstheme="minorHAnsi"/>
                <w:color w:val="000000"/>
                <w:sz w:val="20"/>
                <w:szCs w:val="20"/>
                <w:lang w:eastAsia="en-GB"/>
              </w:rPr>
              <w:t>Coordinator, Health Systems and Social Determinants of Health</w:t>
            </w:r>
          </w:p>
        </w:tc>
      </w:tr>
      <w:tr w:rsidR="00687B10" w:rsidRPr="004E74A8" w14:paraId="436913FA"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6E8B72A" w14:textId="22A60392" w:rsidR="00687B10" w:rsidRPr="00393928" w:rsidRDefault="001026C1">
            <w:pPr>
              <w:rPr>
                <w:rFonts w:cstheme="minorHAnsi"/>
                <w:b/>
                <w:color w:val="000000"/>
                <w:sz w:val="20"/>
                <w:szCs w:val="20"/>
                <w:lang w:eastAsia="en-GB"/>
              </w:rPr>
            </w:pPr>
            <w:r w:rsidRPr="00393928">
              <w:rPr>
                <w:rFonts w:cstheme="minorHAnsi"/>
                <w:b/>
                <w:color w:val="000000"/>
                <w:sz w:val="20"/>
                <w:szCs w:val="20"/>
                <w:lang w:eastAsia="en-GB"/>
              </w:rPr>
              <w:t>Mr. Jean-Pierre LOMBART</w:t>
            </w:r>
          </w:p>
        </w:tc>
        <w:tc>
          <w:tcPr>
            <w:tcW w:w="3221" w:type="dxa"/>
          </w:tcPr>
          <w:p w14:paraId="78C773F6" w14:textId="644DF07B" w:rsidR="00687B10" w:rsidRPr="00393928" w:rsidRDefault="001026C1" w:rsidP="00BB4743">
            <w:pPr>
              <w:rPr>
                <w:rFonts w:cstheme="minorHAnsi"/>
                <w:color w:val="000000"/>
                <w:sz w:val="20"/>
                <w:szCs w:val="20"/>
                <w:lang w:eastAsia="en-GB"/>
              </w:rPr>
            </w:pPr>
            <w:r w:rsidRPr="00393928">
              <w:rPr>
                <w:rFonts w:cstheme="minorHAnsi"/>
                <w:color w:val="000000"/>
                <w:sz w:val="20"/>
                <w:szCs w:val="20"/>
                <w:lang w:eastAsia="en-GB"/>
              </w:rPr>
              <w:t>Fondation Merieux</w:t>
            </w:r>
          </w:p>
        </w:tc>
        <w:tc>
          <w:tcPr>
            <w:tcW w:w="3221" w:type="dxa"/>
          </w:tcPr>
          <w:p w14:paraId="16B89CEE" w14:textId="298E768D" w:rsidR="00687B10" w:rsidRPr="00393928" w:rsidRDefault="006931B4" w:rsidP="00BB4743">
            <w:pPr>
              <w:rPr>
                <w:rFonts w:cstheme="minorHAnsi"/>
                <w:color w:val="000000"/>
                <w:sz w:val="20"/>
                <w:szCs w:val="20"/>
                <w:lang w:eastAsia="en-GB"/>
              </w:rPr>
            </w:pPr>
            <w:r w:rsidRPr="00393928">
              <w:rPr>
                <w:rFonts w:cstheme="minorHAnsi"/>
                <w:color w:val="000000"/>
                <w:sz w:val="20"/>
                <w:szCs w:val="20"/>
                <w:lang w:eastAsia="en-GB"/>
              </w:rPr>
              <w:t xml:space="preserve">FM Country Representative </w:t>
            </w:r>
          </w:p>
        </w:tc>
      </w:tr>
      <w:tr w:rsidR="00687B10" w:rsidRPr="004E74A8" w14:paraId="1A45B715" w14:textId="77777777">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31303C88" w14:textId="75B752E4" w:rsidR="00687B10" w:rsidRPr="00393928" w:rsidRDefault="00B2341B">
            <w:pPr>
              <w:rPr>
                <w:rFonts w:cstheme="minorHAnsi"/>
                <w:b/>
                <w:color w:val="000000"/>
                <w:sz w:val="20"/>
                <w:szCs w:val="20"/>
                <w:lang w:eastAsia="en-GB"/>
              </w:rPr>
            </w:pPr>
            <w:r w:rsidRPr="00393928">
              <w:rPr>
                <w:rFonts w:cstheme="minorHAnsi"/>
                <w:b/>
                <w:color w:val="000000"/>
                <w:sz w:val="20"/>
                <w:szCs w:val="20"/>
                <w:lang w:eastAsia="en-GB"/>
              </w:rPr>
              <w:t>Francois-Xavier Babin</w:t>
            </w:r>
            <w:r w:rsidR="0042686A" w:rsidRPr="00393928">
              <w:rPr>
                <w:rFonts w:cstheme="minorHAnsi"/>
                <w:b/>
                <w:color w:val="000000"/>
                <w:sz w:val="20"/>
                <w:szCs w:val="20"/>
                <w:lang w:eastAsia="en-GB"/>
              </w:rPr>
              <w:t>*</w:t>
            </w:r>
          </w:p>
        </w:tc>
        <w:tc>
          <w:tcPr>
            <w:tcW w:w="3221" w:type="dxa"/>
          </w:tcPr>
          <w:p w14:paraId="228EF7AA" w14:textId="1F873E71" w:rsidR="00687B10" w:rsidRPr="00393928" w:rsidRDefault="00B2341B" w:rsidP="00BB4743">
            <w:pPr>
              <w:rPr>
                <w:rFonts w:cstheme="minorHAnsi"/>
                <w:color w:val="000000"/>
                <w:sz w:val="20"/>
                <w:szCs w:val="20"/>
                <w:lang w:eastAsia="en-GB"/>
              </w:rPr>
            </w:pPr>
            <w:r w:rsidRPr="00393928">
              <w:rPr>
                <w:rFonts w:cstheme="minorHAnsi"/>
                <w:color w:val="000000"/>
                <w:sz w:val="20"/>
                <w:szCs w:val="20"/>
                <w:lang w:eastAsia="en-GB"/>
              </w:rPr>
              <w:t>Fondation Merieux</w:t>
            </w:r>
          </w:p>
        </w:tc>
        <w:tc>
          <w:tcPr>
            <w:tcW w:w="3221" w:type="dxa"/>
          </w:tcPr>
          <w:p w14:paraId="61BFE875" w14:textId="09EFFA8D" w:rsidR="00687B10" w:rsidRPr="00393928" w:rsidRDefault="00B2341B" w:rsidP="00BB4743">
            <w:pPr>
              <w:rPr>
                <w:rFonts w:cstheme="minorHAnsi"/>
                <w:color w:val="000000"/>
                <w:sz w:val="20"/>
                <w:szCs w:val="20"/>
                <w:lang w:eastAsia="en-GB"/>
              </w:rPr>
            </w:pPr>
            <w:r w:rsidRPr="00393928">
              <w:rPr>
                <w:rFonts w:cstheme="minorHAnsi"/>
                <w:color w:val="000000"/>
                <w:sz w:val="20"/>
                <w:szCs w:val="20"/>
                <w:lang w:eastAsia="en-GB"/>
              </w:rPr>
              <w:t>Systems</w:t>
            </w:r>
          </w:p>
        </w:tc>
      </w:tr>
      <w:tr w:rsidR="007A6565" w:rsidRPr="004E74A8" w14:paraId="498B37ED"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545FF458" w14:textId="43C0D456" w:rsidR="007A6565" w:rsidRPr="00393928" w:rsidRDefault="007A6565">
            <w:pPr>
              <w:rPr>
                <w:rFonts w:cstheme="minorHAnsi"/>
                <w:b/>
                <w:color w:val="000000"/>
                <w:sz w:val="20"/>
                <w:szCs w:val="20"/>
                <w:lang w:eastAsia="en-GB"/>
              </w:rPr>
            </w:pPr>
            <w:r w:rsidRPr="00393928">
              <w:rPr>
                <w:rFonts w:cstheme="minorHAnsi"/>
                <w:b/>
                <w:color w:val="000000"/>
                <w:sz w:val="20"/>
                <w:szCs w:val="20"/>
                <w:lang w:eastAsia="en-GB"/>
              </w:rPr>
              <w:t>Benoit Chevalier</w:t>
            </w:r>
            <w:r w:rsidR="0042686A" w:rsidRPr="00393928">
              <w:rPr>
                <w:rFonts w:cstheme="minorHAnsi"/>
                <w:b/>
                <w:color w:val="000000"/>
                <w:sz w:val="20"/>
                <w:szCs w:val="20"/>
                <w:lang w:eastAsia="en-GB"/>
              </w:rPr>
              <w:t>*</w:t>
            </w:r>
          </w:p>
        </w:tc>
        <w:tc>
          <w:tcPr>
            <w:tcW w:w="3221" w:type="dxa"/>
          </w:tcPr>
          <w:p w14:paraId="002DBF45" w14:textId="2F6BCD51" w:rsidR="007A6565" w:rsidRPr="00393928" w:rsidRDefault="007A6565" w:rsidP="00BB4743">
            <w:pPr>
              <w:rPr>
                <w:rFonts w:cstheme="minorHAnsi"/>
                <w:color w:val="000000"/>
                <w:sz w:val="20"/>
                <w:szCs w:val="20"/>
                <w:lang w:eastAsia="en-GB"/>
              </w:rPr>
            </w:pPr>
            <w:r w:rsidRPr="00393928">
              <w:rPr>
                <w:rFonts w:cstheme="minorHAnsi"/>
                <w:color w:val="000000"/>
                <w:sz w:val="20"/>
                <w:szCs w:val="20"/>
                <w:lang w:eastAsia="en-GB"/>
              </w:rPr>
              <w:t>Fondation Merieux</w:t>
            </w:r>
          </w:p>
        </w:tc>
        <w:tc>
          <w:tcPr>
            <w:tcW w:w="3221" w:type="dxa"/>
          </w:tcPr>
          <w:p w14:paraId="760F71BC" w14:textId="6346C677" w:rsidR="007A6565" w:rsidRPr="00393928" w:rsidRDefault="007A6565" w:rsidP="00BB4743">
            <w:pPr>
              <w:rPr>
                <w:rFonts w:cstheme="minorHAnsi"/>
                <w:color w:val="000000"/>
                <w:sz w:val="20"/>
                <w:szCs w:val="20"/>
                <w:lang w:eastAsia="en-GB"/>
              </w:rPr>
            </w:pPr>
            <w:r w:rsidRPr="00393928">
              <w:rPr>
                <w:rFonts w:cstheme="minorHAnsi"/>
                <w:color w:val="000000"/>
                <w:sz w:val="20"/>
                <w:szCs w:val="20"/>
                <w:lang w:eastAsia="en-GB"/>
              </w:rPr>
              <w:t>Country representative 2020-2021</w:t>
            </w:r>
          </w:p>
        </w:tc>
      </w:tr>
      <w:tr w:rsidR="002D0A99" w:rsidRPr="004E74A8" w14:paraId="733DA103" w14:textId="77777777">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0572924C" w14:textId="69DD0BE8" w:rsidR="002D0A99" w:rsidRPr="00393928" w:rsidRDefault="00EE3BF1">
            <w:pPr>
              <w:rPr>
                <w:rFonts w:cstheme="minorHAnsi"/>
                <w:b/>
                <w:color w:val="000000"/>
                <w:sz w:val="20"/>
                <w:szCs w:val="20"/>
                <w:lang w:eastAsia="en-GB"/>
              </w:rPr>
            </w:pPr>
            <w:r>
              <w:rPr>
                <w:rFonts w:cstheme="minorHAnsi"/>
                <w:b/>
                <w:color w:val="000000"/>
                <w:sz w:val="20"/>
                <w:szCs w:val="20"/>
                <w:lang w:eastAsia="en-GB"/>
              </w:rPr>
              <w:t xml:space="preserve">Dr </w:t>
            </w:r>
            <w:r w:rsidR="00125FAC" w:rsidRPr="00393928">
              <w:rPr>
                <w:rFonts w:cstheme="minorHAnsi"/>
                <w:b/>
                <w:color w:val="000000"/>
                <w:sz w:val="20"/>
                <w:szCs w:val="20"/>
                <w:lang w:eastAsia="en-GB"/>
              </w:rPr>
              <w:t>Rungtip Chuanchuen</w:t>
            </w:r>
          </w:p>
        </w:tc>
        <w:tc>
          <w:tcPr>
            <w:tcW w:w="3221" w:type="dxa"/>
          </w:tcPr>
          <w:p w14:paraId="176332FF" w14:textId="7F31F07A" w:rsidR="002D0A99" w:rsidRPr="00393928" w:rsidRDefault="00125FAC" w:rsidP="00BB4743">
            <w:pPr>
              <w:rPr>
                <w:rFonts w:cstheme="minorHAnsi"/>
                <w:color w:val="000000"/>
                <w:sz w:val="20"/>
                <w:szCs w:val="20"/>
                <w:lang w:eastAsia="en-GB"/>
              </w:rPr>
            </w:pPr>
            <w:r w:rsidRPr="00393928">
              <w:rPr>
                <w:rFonts w:cstheme="minorHAnsi"/>
                <w:color w:val="000000"/>
                <w:sz w:val="20"/>
                <w:szCs w:val="20"/>
                <w:lang w:eastAsia="en-GB"/>
              </w:rPr>
              <w:t>Faculty of Veterinary Science, Choulalongkorn University (Sub-grantee)</w:t>
            </w:r>
          </w:p>
        </w:tc>
        <w:tc>
          <w:tcPr>
            <w:tcW w:w="3221" w:type="dxa"/>
          </w:tcPr>
          <w:p w14:paraId="53A81BC1" w14:textId="16FE309F" w:rsidR="002D0A99" w:rsidRPr="00393928" w:rsidRDefault="00125FAC" w:rsidP="00BB4743">
            <w:pPr>
              <w:rPr>
                <w:rFonts w:cstheme="minorHAnsi"/>
                <w:color w:val="000000"/>
                <w:sz w:val="20"/>
                <w:szCs w:val="20"/>
                <w:lang w:eastAsia="en-GB"/>
              </w:rPr>
            </w:pPr>
            <w:r w:rsidRPr="00393928">
              <w:rPr>
                <w:rFonts w:cstheme="minorHAnsi"/>
                <w:color w:val="000000"/>
                <w:sz w:val="20"/>
                <w:szCs w:val="20"/>
                <w:lang w:eastAsia="en-GB"/>
              </w:rPr>
              <w:t>Professor</w:t>
            </w:r>
          </w:p>
        </w:tc>
      </w:tr>
      <w:tr w:rsidR="00687B10" w:rsidRPr="004E74A8" w14:paraId="6FB49561" w14:textId="77777777">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7F8D6DA7" w14:textId="77777777" w:rsidR="00687B10" w:rsidRPr="00B807D4" w:rsidRDefault="00687B10" w:rsidP="00041B22">
            <w:pPr>
              <w:rPr>
                <w:rFonts w:cstheme="minorHAnsi"/>
                <w:sz w:val="20"/>
                <w:szCs w:val="20"/>
              </w:rPr>
            </w:pPr>
            <w:r>
              <w:rPr>
                <w:rFonts w:cstheme="minorHAnsi"/>
                <w:color w:val="FFFFFF" w:themeColor="background1"/>
                <w:sz w:val="20"/>
                <w:szCs w:val="20"/>
                <w:lang w:eastAsia="en-GB"/>
              </w:rPr>
              <w:t>AMRCC Members</w:t>
            </w:r>
          </w:p>
        </w:tc>
      </w:tr>
      <w:tr w:rsidR="00687B10" w:rsidRPr="004E74A8" w14:paraId="241D5F10" w14:textId="77777777">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7DD391DC" w14:textId="2AACD14E" w:rsidR="00687B10" w:rsidRPr="00997EC2" w:rsidRDefault="000C0B4F">
            <w:pPr>
              <w:rPr>
                <w:rFonts w:cstheme="minorHAnsi"/>
                <w:b/>
                <w:color w:val="000000"/>
                <w:sz w:val="20"/>
                <w:szCs w:val="20"/>
                <w:lang w:val="de-DE" w:eastAsia="en-GB"/>
              </w:rPr>
            </w:pPr>
            <w:r w:rsidRPr="000C0B4F">
              <w:rPr>
                <w:rFonts w:cstheme="minorHAnsi"/>
                <w:b/>
                <w:color w:val="000000"/>
                <w:sz w:val="20"/>
                <w:szCs w:val="20"/>
                <w:lang w:val="de-DE" w:eastAsia="en-GB"/>
              </w:rPr>
              <w:t>Mr. Intha Phoungsouvan</w:t>
            </w:r>
          </w:p>
        </w:tc>
        <w:tc>
          <w:tcPr>
            <w:tcW w:w="3221" w:type="dxa"/>
          </w:tcPr>
          <w:p w14:paraId="388FAD38" w14:textId="5A1D21C7" w:rsidR="00687B10" w:rsidRPr="004E74A8" w:rsidRDefault="00110143" w:rsidP="00BB4743">
            <w:pPr>
              <w:rPr>
                <w:rFonts w:cstheme="minorHAnsi"/>
                <w:color w:val="000000"/>
                <w:sz w:val="20"/>
                <w:szCs w:val="20"/>
                <w:lang w:eastAsia="en-GB"/>
              </w:rPr>
            </w:pPr>
            <w:r w:rsidRPr="00110143">
              <w:rPr>
                <w:rFonts w:cstheme="minorHAnsi"/>
                <w:color w:val="000000"/>
                <w:sz w:val="20"/>
                <w:szCs w:val="20"/>
                <w:lang w:eastAsia="en-GB"/>
              </w:rPr>
              <w:t>NAHL/DLF</w:t>
            </w:r>
          </w:p>
        </w:tc>
        <w:tc>
          <w:tcPr>
            <w:tcW w:w="3221" w:type="dxa"/>
          </w:tcPr>
          <w:p w14:paraId="7AF50067" w14:textId="26625965" w:rsidR="00687B10" w:rsidRPr="004E74A8" w:rsidRDefault="000C0B4F" w:rsidP="00BB4743">
            <w:pPr>
              <w:rPr>
                <w:rFonts w:cstheme="minorHAnsi"/>
                <w:color w:val="000000"/>
                <w:sz w:val="20"/>
                <w:szCs w:val="20"/>
                <w:lang w:eastAsia="en-GB"/>
              </w:rPr>
            </w:pPr>
            <w:r w:rsidRPr="000C0B4F">
              <w:rPr>
                <w:rFonts w:cstheme="minorHAnsi"/>
                <w:color w:val="000000"/>
                <w:sz w:val="20"/>
                <w:szCs w:val="20"/>
                <w:lang w:eastAsia="en-GB"/>
              </w:rPr>
              <w:t xml:space="preserve">Head of Project </w:t>
            </w:r>
            <w:r w:rsidR="005B6E00" w:rsidRPr="000C0B4F">
              <w:rPr>
                <w:rFonts w:cstheme="minorHAnsi"/>
                <w:color w:val="000000"/>
                <w:sz w:val="20"/>
                <w:szCs w:val="20"/>
                <w:lang w:eastAsia="en-GB"/>
              </w:rPr>
              <w:t>Management</w:t>
            </w:r>
            <w:r w:rsidRPr="000C0B4F">
              <w:rPr>
                <w:rFonts w:cstheme="minorHAnsi"/>
                <w:color w:val="000000"/>
                <w:sz w:val="20"/>
                <w:szCs w:val="20"/>
                <w:lang w:eastAsia="en-GB"/>
              </w:rPr>
              <w:t xml:space="preserve"> Unit and Head of </w:t>
            </w:r>
            <w:r w:rsidR="005B6E00" w:rsidRPr="000C0B4F">
              <w:rPr>
                <w:rFonts w:cstheme="minorHAnsi"/>
                <w:color w:val="000000"/>
                <w:sz w:val="20"/>
                <w:szCs w:val="20"/>
                <w:lang w:eastAsia="en-GB"/>
              </w:rPr>
              <w:t>Veterinarian</w:t>
            </w:r>
            <w:r w:rsidRPr="000C0B4F">
              <w:rPr>
                <w:rFonts w:cstheme="minorHAnsi"/>
                <w:color w:val="000000"/>
                <w:sz w:val="20"/>
                <w:szCs w:val="20"/>
                <w:lang w:eastAsia="en-GB"/>
              </w:rPr>
              <w:t xml:space="preserve"> Vaccination </w:t>
            </w:r>
            <w:r w:rsidR="00A26D65" w:rsidRPr="000C0B4F">
              <w:rPr>
                <w:rFonts w:cstheme="minorHAnsi"/>
                <w:color w:val="000000"/>
                <w:sz w:val="20"/>
                <w:szCs w:val="20"/>
                <w:lang w:eastAsia="en-GB"/>
              </w:rPr>
              <w:t>Centre</w:t>
            </w:r>
          </w:p>
        </w:tc>
      </w:tr>
      <w:tr w:rsidR="00687B10" w:rsidRPr="00B807D4" w14:paraId="3926FB35" w14:textId="77777777">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33ED7ED2" w14:textId="77777777" w:rsidR="00687B10" w:rsidRPr="00B807D4" w:rsidRDefault="00687B10" w:rsidP="00041B22">
            <w:pPr>
              <w:rPr>
                <w:rFonts w:cstheme="minorHAnsi"/>
                <w:color w:val="auto"/>
                <w:sz w:val="20"/>
                <w:szCs w:val="20"/>
              </w:rPr>
            </w:pPr>
            <w:r w:rsidRPr="000F463A">
              <w:rPr>
                <w:rFonts w:cstheme="minorHAnsi"/>
                <w:color w:val="FFFFFF" w:themeColor="background1"/>
                <w:sz w:val="20"/>
                <w:szCs w:val="20"/>
                <w:lang w:eastAsia="en-GB"/>
              </w:rPr>
              <w:t>Other decision makers</w:t>
            </w:r>
          </w:p>
        </w:tc>
      </w:tr>
      <w:tr w:rsidR="00687B10" w:rsidRPr="00B807D4" w14:paraId="320F8C5C" w14:textId="77777777">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277FED95" w14:textId="2FEFDAFA" w:rsidR="00687B10" w:rsidRPr="00574C3D" w:rsidRDefault="00F166AB">
            <w:pPr>
              <w:rPr>
                <w:rFonts w:cstheme="minorHAnsi"/>
                <w:b/>
                <w:color w:val="auto"/>
                <w:sz w:val="20"/>
                <w:szCs w:val="20"/>
              </w:rPr>
            </w:pPr>
            <w:r w:rsidRPr="00F166AB">
              <w:rPr>
                <w:rFonts w:cstheme="minorHAnsi"/>
                <w:b/>
                <w:color w:val="auto"/>
                <w:sz w:val="20"/>
                <w:szCs w:val="20"/>
              </w:rPr>
              <w:t>Ms. Phouthavan Inlorlham</w:t>
            </w:r>
          </w:p>
        </w:tc>
        <w:tc>
          <w:tcPr>
            <w:tcW w:w="3221" w:type="dxa"/>
          </w:tcPr>
          <w:p w14:paraId="71CA31FC" w14:textId="260C440C" w:rsidR="00687B10" w:rsidRPr="00B807D4" w:rsidRDefault="00F166AB" w:rsidP="00BB4743">
            <w:pPr>
              <w:rPr>
                <w:rFonts w:cstheme="minorHAnsi"/>
                <w:color w:val="auto"/>
                <w:sz w:val="20"/>
                <w:szCs w:val="20"/>
              </w:rPr>
            </w:pPr>
            <w:r w:rsidRPr="00F166AB">
              <w:rPr>
                <w:rFonts w:cstheme="minorHAnsi"/>
                <w:color w:val="auto"/>
                <w:sz w:val="20"/>
                <w:szCs w:val="20"/>
              </w:rPr>
              <w:t>Food and Drug Department (FDD),</w:t>
            </w:r>
            <w:r w:rsidR="007458AC">
              <w:rPr>
                <w:rFonts w:cstheme="minorHAnsi"/>
                <w:color w:val="auto"/>
                <w:sz w:val="20"/>
                <w:szCs w:val="20"/>
              </w:rPr>
              <w:t xml:space="preserve"> </w:t>
            </w:r>
            <w:r w:rsidRPr="00F166AB">
              <w:rPr>
                <w:rFonts w:cstheme="minorHAnsi"/>
                <w:color w:val="auto"/>
                <w:sz w:val="20"/>
                <w:szCs w:val="20"/>
              </w:rPr>
              <w:t>MOH</w:t>
            </w:r>
          </w:p>
        </w:tc>
        <w:tc>
          <w:tcPr>
            <w:tcW w:w="3221" w:type="dxa"/>
          </w:tcPr>
          <w:p w14:paraId="74EC8DF9" w14:textId="5D81F48C" w:rsidR="00687B10" w:rsidRPr="00B807D4" w:rsidRDefault="00F166AB" w:rsidP="00BB4743">
            <w:pPr>
              <w:rPr>
                <w:rFonts w:cstheme="minorHAnsi"/>
                <w:color w:val="auto"/>
                <w:sz w:val="20"/>
                <w:szCs w:val="20"/>
              </w:rPr>
            </w:pPr>
            <w:r w:rsidRPr="00F166AB">
              <w:rPr>
                <w:rFonts w:cstheme="minorHAnsi"/>
                <w:color w:val="auto"/>
                <w:sz w:val="20"/>
                <w:szCs w:val="20"/>
              </w:rPr>
              <w:t>Former Director of Drug and Medical Devi</w:t>
            </w:r>
            <w:r w:rsidR="00C500AB">
              <w:rPr>
                <w:rFonts w:cstheme="minorHAnsi"/>
                <w:color w:val="auto"/>
                <w:sz w:val="20"/>
                <w:szCs w:val="20"/>
              </w:rPr>
              <w:t>c</w:t>
            </w:r>
            <w:r w:rsidRPr="00F166AB">
              <w:rPr>
                <w:rFonts w:cstheme="minorHAnsi"/>
                <w:color w:val="auto"/>
                <w:sz w:val="20"/>
                <w:szCs w:val="20"/>
              </w:rPr>
              <w:t>es Control Division</w:t>
            </w:r>
          </w:p>
        </w:tc>
      </w:tr>
      <w:tr w:rsidR="00EE3BF1" w:rsidRPr="00EE3BF1" w14:paraId="36201B75"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6BB6117B" w14:textId="58D47FB5" w:rsidR="00707E43" w:rsidRPr="00EE3BF1" w:rsidRDefault="002355AF">
            <w:pPr>
              <w:rPr>
                <w:rFonts w:cstheme="minorHAnsi"/>
                <w:b/>
                <w:color w:val="auto"/>
                <w:sz w:val="20"/>
                <w:szCs w:val="20"/>
              </w:rPr>
            </w:pPr>
            <w:r w:rsidRPr="00EE3BF1">
              <w:rPr>
                <w:rFonts w:cstheme="minorHAnsi"/>
                <w:b/>
                <w:color w:val="auto"/>
                <w:sz w:val="20"/>
                <w:szCs w:val="20"/>
              </w:rPr>
              <w:t>Ms. Phuangmalay</w:t>
            </w:r>
          </w:p>
        </w:tc>
        <w:tc>
          <w:tcPr>
            <w:tcW w:w="3221" w:type="dxa"/>
          </w:tcPr>
          <w:p w14:paraId="42C99E35" w14:textId="3F9B375B" w:rsidR="00707E43" w:rsidRPr="00EE3BF1" w:rsidRDefault="002355AF" w:rsidP="00BB4743">
            <w:pPr>
              <w:rPr>
                <w:rFonts w:cstheme="minorHAnsi"/>
                <w:color w:val="auto"/>
                <w:sz w:val="20"/>
                <w:szCs w:val="20"/>
              </w:rPr>
            </w:pPr>
            <w:r w:rsidRPr="00EE3BF1">
              <w:rPr>
                <w:rFonts w:cstheme="minorHAnsi"/>
                <w:color w:val="auto"/>
                <w:sz w:val="20"/>
                <w:szCs w:val="20"/>
              </w:rPr>
              <w:t xml:space="preserve">Medical Supply </w:t>
            </w:r>
            <w:r w:rsidR="00C500AB" w:rsidRPr="00EE3BF1">
              <w:rPr>
                <w:rFonts w:cstheme="minorHAnsi"/>
                <w:color w:val="auto"/>
                <w:sz w:val="20"/>
                <w:szCs w:val="20"/>
              </w:rPr>
              <w:t>Centre</w:t>
            </w:r>
            <w:r w:rsidRPr="00EE3BF1">
              <w:rPr>
                <w:rFonts w:cstheme="minorHAnsi"/>
                <w:color w:val="auto"/>
                <w:sz w:val="20"/>
                <w:szCs w:val="20"/>
              </w:rPr>
              <w:t>, MOH</w:t>
            </w:r>
          </w:p>
        </w:tc>
        <w:tc>
          <w:tcPr>
            <w:tcW w:w="3221" w:type="dxa"/>
          </w:tcPr>
          <w:p w14:paraId="4BC74147" w14:textId="176ED918" w:rsidR="00707E43" w:rsidRPr="00EE3BF1" w:rsidRDefault="002355AF" w:rsidP="00BB4743">
            <w:pPr>
              <w:rPr>
                <w:rFonts w:cstheme="minorHAnsi"/>
                <w:color w:val="auto"/>
                <w:sz w:val="20"/>
                <w:szCs w:val="20"/>
              </w:rPr>
            </w:pPr>
            <w:r w:rsidRPr="00EE3BF1">
              <w:rPr>
                <w:rFonts w:cstheme="minorHAnsi"/>
                <w:color w:val="auto"/>
                <w:sz w:val="20"/>
                <w:szCs w:val="20"/>
              </w:rPr>
              <w:t>Director of Procurement Division</w:t>
            </w:r>
          </w:p>
        </w:tc>
      </w:tr>
      <w:tr w:rsidR="00EE3BF1" w:rsidRPr="00EE3BF1" w14:paraId="16DD1B7D" w14:textId="77777777">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41D7020B" w14:textId="24F2D463" w:rsidR="00723272" w:rsidRPr="00EE3BF1" w:rsidRDefault="00723272">
            <w:pPr>
              <w:rPr>
                <w:rFonts w:cstheme="minorHAnsi"/>
                <w:b/>
                <w:color w:val="auto"/>
                <w:sz w:val="20"/>
                <w:szCs w:val="20"/>
              </w:rPr>
            </w:pPr>
            <w:r w:rsidRPr="00EE3BF1">
              <w:rPr>
                <w:rFonts w:cstheme="minorHAnsi"/>
                <w:b/>
                <w:color w:val="auto"/>
                <w:sz w:val="20"/>
                <w:szCs w:val="20"/>
              </w:rPr>
              <w:t>Ms. Chantanee Buranathai</w:t>
            </w:r>
          </w:p>
        </w:tc>
        <w:tc>
          <w:tcPr>
            <w:tcW w:w="3221" w:type="dxa"/>
          </w:tcPr>
          <w:p w14:paraId="707631E4" w14:textId="71B48872" w:rsidR="00723272" w:rsidRPr="00EE3BF1" w:rsidRDefault="00723272" w:rsidP="00BB4743">
            <w:pPr>
              <w:rPr>
                <w:rFonts w:cstheme="minorHAnsi"/>
                <w:color w:val="auto"/>
                <w:sz w:val="20"/>
                <w:szCs w:val="20"/>
              </w:rPr>
            </w:pPr>
            <w:r w:rsidRPr="00EE3BF1">
              <w:rPr>
                <w:rFonts w:cstheme="minorHAnsi"/>
                <w:color w:val="auto"/>
                <w:sz w:val="20"/>
                <w:szCs w:val="20"/>
              </w:rPr>
              <w:t>WOAH</w:t>
            </w:r>
          </w:p>
        </w:tc>
        <w:tc>
          <w:tcPr>
            <w:tcW w:w="3221" w:type="dxa"/>
          </w:tcPr>
          <w:p w14:paraId="0164E620" w14:textId="6C63A43E" w:rsidR="00723272" w:rsidRPr="00EE3BF1" w:rsidRDefault="00806677" w:rsidP="00BB4743">
            <w:pPr>
              <w:rPr>
                <w:rFonts w:cstheme="minorHAnsi"/>
                <w:color w:val="auto"/>
                <w:sz w:val="20"/>
                <w:szCs w:val="20"/>
              </w:rPr>
            </w:pPr>
            <w:r w:rsidRPr="00EE3BF1">
              <w:rPr>
                <w:rFonts w:cstheme="minorHAnsi"/>
                <w:color w:val="auto"/>
                <w:sz w:val="20"/>
                <w:szCs w:val="20"/>
              </w:rPr>
              <w:t>One Health Coordinator</w:t>
            </w:r>
          </w:p>
        </w:tc>
      </w:tr>
      <w:tr w:rsidR="00EE3BF1" w:rsidRPr="00EE3BF1" w14:paraId="454FA56B"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4C2FDD75" w14:textId="2BB40F16" w:rsidR="00806677" w:rsidRPr="00EE3BF1" w:rsidRDefault="00806677">
            <w:pPr>
              <w:rPr>
                <w:rFonts w:cstheme="minorHAnsi"/>
                <w:b/>
                <w:color w:val="auto"/>
                <w:sz w:val="20"/>
                <w:szCs w:val="20"/>
              </w:rPr>
            </w:pPr>
            <w:r w:rsidRPr="00EE3BF1">
              <w:rPr>
                <w:rFonts w:cstheme="minorHAnsi"/>
                <w:b/>
                <w:color w:val="auto"/>
                <w:sz w:val="20"/>
                <w:szCs w:val="20"/>
              </w:rPr>
              <w:t>Dr Rattanaxay Phetsouvanh</w:t>
            </w:r>
          </w:p>
        </w:tc>
        <w:tc>
          <w:tcPr>
            <w:tcW w:w="3221" w:type="dxa"/>
          </w:tcPr>
          <w:p w14:paraId="634FA6EC" w14:textId="2117DFBE" w:rsidR="00806677" w:rsidRPr="00EE3BF1" w:rsidRDefault="00806677" w:rsidP="00BB4743">
            <w:pPr>
              <w:rPr>
                <w:rFonts w:cstheme="minorHAnsi"/>
                <w:color w:val="auto"/>
                <w:sz w:val="20"/>
                <w:szCs w:val="20"/>
              </w:rPr>
            </w:pPr>
            <w:r w:rsidRPr="00EE3BF1">
              <w:rPr>
                <w:rFonts w:cstheme="minorHAnsi"/>
                <w:color w:val="auto"/>
                <w:sz w:val="20"/>
                <w:szCs w:val="20"/>
              </w:rPr>
              <w:t>DCDC</w:t>
            </w:r>
          </w:p>
        </w:tc>
        <w:tc>
          <w:tcPr>
            <w:tcW w:w="3221" w:type="dxa"/>
          </w:tcPr>
          <w:p w14:paraId="01C38846" w14:textId="2C7FA5D8" w:rsidR="00806677" w:rsidRPr="00EE3BF1" w:rsidRDefault="00806677" w:rsidP="00BB4743">
            <w:pPr>
              <w:rPr>
                <w:rFonts w:cstheme="minorHAnsi"/>
                <w:color w:val="auto"/>
                <w:sz w:val="20"/>
                <w:szCs w:val="20"/>
              </w:rPr>
            </w:pPr>
            <w:r w:rsidRPr="00EE3BF1">
              <w:rPr>
                <w:rFonts w:cstheme="minorHAnsi"/>
                <w:color w:val="auto"/>
                <w:sz w:val="20"/>
                <w:szCs w:val="20"/>
              </w:rPr>
              <w:t>Director General</w:t>
            </w:r>
          </w:p>
        </w:tc>
      </w:tr>
      <w:tr w:rsidR="00687B10" w:rsidRPr="004E74A8" w14:paraId="20AA2B81" w14:textId="77777777">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1988657D" w14:textId="77777777" w:rsidR="00687B10" w:rsidRPr="004E74A8" w:rsidRDefault="00687B10" w:rsidP="00041B22">
            <w:pPr>
              <w:rPr>
                <w:rFonts w:cstheme="minorHAnsi"/>
                <w:sz w:val="20"/>
                <w:szCs w:val="20"/>
              </w:rPr>
            </w:pPr>
            <w:r w:rsidRPr="000F463A">
              <w:rPr>
                <w:rFonts w:cstheme="minorHAnsi"/>
                <w:color w:val="FFFFFF" w:themeColor="background1"/>
                <w:sz w:val="20"/>
                <w:szCs w:val="20"/>
                <w:lang w:eastAsia="en-GB"/>
              </w:rPr>
              <w:t>Policy Fellows</w:t>
            </w:r>
            <w:r>
              <w:rPr>
                <w:rFonts w:cstheme="minorHAnsi"/>
                <w:color w:val="FFFFFF" w:themeColor="background1"/>
                <w:sz w:val="20"/>
                <w:szCs w:val="20"/>
                <w:lang w:eastAsia="en-GB"/>
              </w:rPr>
              <w:t xml:space="preserve"> HH</w:t>
            </w:r>
          </w:p>
        </w:tc>
      </w:tr>
      <w:tr w:rsidR="00687B10" w:rsidRPr="004E74A8" w14:paraId="774F1237"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shd w:val="clear" w:color="auto" w:fill="auto"/>
          </w:tcPr>
          <w:p w14:paraId="3B53A517" w14:textId="1497DC3E" w:rsidR="00687B10" w:rsidRPr="001C4BCB" w:rsidRDefault="00EE3BF1">
            <w:pPr>
              <w:rPr>
                <w:rFonts w:cstheme="minorHAnsi"/>
                <w:b/>
                <w:bCs/>
                <w:color w:val="FFFFFF" w:themeColor="background1"/>
                <w:sz w:val="20"/>
                <w:szCs w:val="20"/>
                <w:lang w:eastAsia="en-GB"/>
              </w:rPr>
            </w:pPr>
            <w:r>
              <w:rPr>
                <w:rFonts w:cstheme="minorHAnsi"/>
                <w:b/>
                <w:bCs/>
                <w:color w:val="auto"/>
                <w:sz w:val="20"/>
                <w:szCs w:val="20"/>
                <w:lang w:eastAsia="en-GB"/>
              </w:rPr>
              <w:t xml:space="preserve">Dr </w:t>
            </w:r>
            <w:r w:rsidR="001C4BCB" w:rsidRPr="001C4BCB">
              <w:rPr>
                <w:rFonts w:cstheme="minorHAnsi"/>
                <w:b/>
                <w:bCs/>
                <w:color w:val="auto"/>
                <w:sz w:val="20"/>
                <w:szCs w:val="20"/>
                <w:lang w:eastAsia="en-GB"/>
              </w:rPr>
              <w:t>Souphatsone Houattonkham</w:t>
            </w:r>
          </w:p>
        </w:tc>
        <w:tc>
          <w:tcPr>
            <w:tcW w:w="3221" w:type="dxa"/>
            <w:shd w:val="clear" w:color="auto" w:fill="auto"/>
          </w:tcPr>
          <w:p w14:paraId="12F14A29" w14:textId="05D78F3D" w:rsidR="00687B10" w:rsidRPr="00635571" w:rsidRDefault="00871FD1" w:rsidP="00BB4743">
            <w:pPr>
              <w:rPr>
                <w:rFonts w:cstheme="minorHAnsi"/>
                <w:color w:val="000000"/>
                <w:sz w:val="20"/>
                <w:szCs w:val="20"/>
                <w:lang w:eastAsia="en-GB"/>
              </w:rPr>
            </w:pPr>
            <w:r>
              <w:rPr>
                <w:rFonts w:cstheme="minorHAnsi"/>
                <w:color w:val="000000"/>
                <w:sz w:val="20"/>
                <w:szCs w:val="20"/>
                <w:lang w:eastAsia="en-GB"/>
              </w:rPr>
              <w:t>NCLE</w:t>
            </w:r>
          </w:p>
        </w:tc>
        <w:tc>
          <w:tcPr>
            <w:tcW w:w="3221" w:type="dxa"/>
            <w:shd w:val="clear" w:color="auto" w:fill="auto"/>
          </w:tcPr>
          <w:p w14:paraId="4DB6C276" w14:textId="4B9D4776" w:rsidR="00687B10" w:rsidRPr="00635571" w:rsidRDefault="00871FD1" w:rsidP="00BB4743">
            <w:pPr>
              <w:rPr>
                <w:rFonts w:cstheme="minorHAnsi"/>
                <w:color w:val="000000"/>
                <w:sz w:val="20"/>
                <w:szCs w:val="20"/>
                <w:lang w:eastAsia="en-GB"/>
              </w:rPr>
            </w:pPr>
            <w:r w:rsidRPr="00871FD1">
              <w:rPr>
                <w:rFonts w:cstheme="minorHAnsi"/>
                <w:color w:val="000000"/>
                <w:sz w:val="20"/>
                <w:szCs w:val="20"/>
                <w:lang w:eastAsia="en-GB"/>
              </w:rPr>
              <w:t>Deputy Chief of Epidemiology unit</w:t>
            </w:r>
          </w:p>
        </w:tc>
      </w:tr>
      <w:tr w:rsidR="00871FD1" w:rsidRPr="004E74A8" w14:paraId="5391FB8F" w14:textId="77777777" w:rsidTr="00871FD1">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500E66FE" w14:textId="07BBCA15" w:rsidR="00871FD1" w:rsidRPr="00871FD1" w:rsidRDefault="00871FD1" w:rsidP="00041B22">
            <w:pPr>
              <w:rPr>
                <w:rFonts w:cstheme="minorHAnsi"/>
                <w:color w:val="FFFFFF" w:themeColor="background1"/>
                <w:sz w:val="20"/>
                <w:szCs w:val="20"/>
                <w:lang w:eastAsia="en-GB"/>
              </w:rPr>
            </w:pPr>
            <w:r>
              <w:rPr>
                <w:rFonts w:cstheme="minorHAnsi"/>
                <w:color w:val="FFFFFF" w:themeColor="background1"/>
                <w:sz w:val="20"/>
                <w:szCs w:val="20"/>
                <w:lang w:eastAsia="en-GB"/>
              </w:rPr>
              <w:t>Professional Fellows HH</w:t>
            </w:r>
          </w:p>
        </w:tc>
      </w:tr>
      <w:tr w:rsidR="00871FD1" w:rsidRPr="004E74A8" w14:paraId="79A6E9A0"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shd w:val="clear" w:color="auto" w:fill="auto"/>
          </w:tcPr>
          <w:p w14:paraId="2668A4DF" w14:textId="0B4014B1" w:rsidR="00871FD1" w:rsidRPr="00871FD1" w:rsidRDefault="00EE3BF1">
            <w:pPr>
              <w:rPr>
                <w:rFonts w:cstheme="minorHAnsi"/>
                <w:b/>
                <w:bCs/>
                <w:color w:val="FFFFFF" w:themeColor="background1"/>
                <w:sz w:val="20"/>
                <w:szCs w:val="20"/>
                <w:lang w:eastAsia="en-GB"/>
              </w:rPr>
            </w:pPr>
            <w:r>
              <w:rPr>
                <w:rFonts w:cstheme="minorHAnsi"/>
                <w:b/>
                <w:bCs/>
                <w:color w:val="auto"/>
                <w:sz w:val="20"/>
                <w:szCs w:val="20"/>
                <w:lang w:eastAsia="en-GB"/>
              </w:rPr>
              <w:t xml:space="preserve">Dr </w:t>
            </w:r>
            <w:r w:rsidR="00871FD1" w:rsidRPr="00871FD1">
              <w:rPr>
                <w:rFonts w:cstheme="minorHAnsi"/>
                <w:b/>
                <w:bCs/>
                <w:color w:val="auto"/>
                <w:sz w:val="20"/>
                <w:szCs w:val="20"/>
                <w:lang w:eastAsia="en-GB"/>
              </w:rPr>
              <w:t>Khambai Nouaylath</w:t>
            </w:r>
          </w:p>
        </w:tc>
        <w:tc>
          <w:tcPr>
            <w:tcW w:w="3221" w:type="dxa"/>
            <w:shd w:val="clear" w:color="auto" w:fill="auto"/>
          </w:tcPr>
          <w:p w14:paraId="1789D0E9" w14:textId="7578A702" w:rsidR="00871FD1" w:rsidRPr="005E6A56" w:rsidRDefault="005E6A56" w:rsidP="00BB4743">
            <w:pPr>
              <w:rPr>
                <w:rFonts w:cstheme="minorHAnsi"/>
                <w:color w:val="auto"/>
                <w:sz w:val="20"/>
                <w:szCs w:val="20"/>
                <w:lang w:eastAsia="en-GB"/>
              </w:rPr>
            </w:pPr>
            <w:r w:rsidRPr="005E6A56">
              <w:rPr>
                <w:rFonts w:cstheme="minorHAnsi"/>
                <w:color w:val="auto"/>
                <w:sz w:val="20"/>
                <w:szCs w:val="20"/>
                <w:lang w:eastAsia="en-GB"/>
              </w:rPr>
              <w:t>NCLE</w:t>
            </w:r>
          </w:p>
        </w:tc>
        <w:tc>
          <w:tcPr>
            <w:tcW w:w="3221" w:type="dxa"/>
            <w:shd w:val="clear" w:color="auto" w:fill="auto"/>
          </w:tcPr>
          <w:p w14:paraId="1D204294" w14:textId="1C7DC615" w:rsidR="00871FD1" w:rsidRPr="00871FD1" w:rsidRDefault="005E6A56" w:rsidP="00BB4743">
            <w:pPr>
              <w:rPr>
                <w:rFonts w:cstheme="minorHAnsi"/>
                <w:color w:val="FFFFFF" w:themeColor="background1"/>
                <w:sz w:val="20"/>
                <w:szCs w:val="20"/>
                <w:lang w:eastAsia="en-GB"/>
              </w:rPr>
            </w:pPr>
            <w:r w:rsidRPr="005E6A56">
              <w:rPr>
                <w:rFonts w:cstheme="minorHAnsi"/>
                <w:color w:val="auto"/>
                <w:sz w:val="20"/>
                <w:szCs w:val="20"/>
                <w:lang w:eastAsia="en-GB"/>
              </w:rPr>
              <w:t>Technical Officer, Laboratory</w:t>
            </w:r>
          </w:p>
        </w:tc>
      </w:tr>
      <w:tr w:rsidR="00687B10" w:rsidRPr="004E74A8" w14:paraId="352E9344" w14:textId="77777777">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3180CC69" w14:textId="77777777" w:rsidR="00687B10" w:rsidRPr="000F463A" w:rsidRDefault="00687B10" w:rsidP="00041B22">
            <w:pPr>
              <w:rPr>
                <w:rFonts w:cstheme="minorHAnsi"/>
                <w:color w:val="FFFFFF" w:themeColor="background1"/>
                <w:sz w:val="20"/>
                <w:szCs w:val="20"/>
                <w:lang w:eastAsia="en-GB"/>
              </w:rPr>
            </w:pPr>
            <w:r>
              <w:rPr>
                <w:rFonts w:cstheme="minorHAnsi"/>
                <w:color w:val="FFFFFF" w:themeColor="background1"/>
                <w:sz w:val="20"/>
                <w:szCs w:val="20"/>
                <w:lang w:eastAsia="en-GB"/>
              </w:rPr>
              <w:t>Professional Fellows AH</w:t>
            </w:r>
          </w:p>
        </w:tc>
      </w:tr>
      <w:tr w:rsidR="00EE3BF1" w:rsidRPr="00EE3BF1" w14:paraId="14F71426"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56D4573E" w14:textId="596FFE6C" w:rsidR="00F53C5E" w:rsidRPr="00EE3BF1" w:rsidRDefault="00EE3BF1" w:rsidP="00F53C5E">
            <w:pPr>
              <w:rPr>
                <w:rFonts w:cstheme="minorHAnsi"/>
                <w:b/>
                <w:color w:val="auto"/>
                <w:sz w:val="20"/>
                <w:szCs w:val="20"/>
                <w:lang w:eastAsia="en-GB"/>
              </w:rPr>
            </w:pPr>
            <w:r w:rsidRPr="00EE3BF1">
              <w:rPr>
                <w:rFonts w:cstheme="minorHAnsi"/>
                <w:b/>
                <w:bCs/>
                <w:color w:val="auto"/>
                <w:sz w:val="20"/>
                <w:szCs w:val="20"/>
                <w:lang w:eastAsia="en-GB"/>
              </w:rPr>
              <w:t xml:space="preserve">Dr </w:t>
            </w:r>
            <w:r w:rsidR="00F53C5E" w:rsidRPr="00EE3BF1">
              <w:rPr>
                <w:rFonts w:cstheme="minorHAnsi"/>
                <w:b/>
                <w:bCs/>
                <w:color w:val="auto"/>
                <w:sz w:val="20"/>
                <w:szCs w:val="20"/>
                <w:lang w:eastAsia="en-GB"/>
              </w:rPr>
              <w:t>Phouvong Phommachanh</w:t>
            </w:r>
          </w:p>
        </w:tc>
        <w:tc>
          <w:tcPr>
            <w:tcW w:w="3221" w:type="dxa"/>
          </w:tcPr>
          <w:p w14:paraId="2B23C090" w14:textId="71D65BD7"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NAHL/DLF</w:t>
            </w:r>
          </w:p>
        </w:tc>
        <w:tc>
          <w:tcPr>
            <w:tcW w:w="3221" w:type="dxa"/>
          </w:tcPr>
          <w:p w14:paraId="159F2264" w14:textId="478E39BF" w:rsidR="00F53C5E" w:rsidRPr="00EE3BF1" w:rsidRDefault="00F53C5E" w:rsidP="00BB4743">
            <w:pPr>
              <w:rPr>
                <w:color w:val="auto"/>
                <w:sz w:val="20"/>
                <w:szCs w:val="20"/>
              </w:rPr>
            </w:pPr>
            <w:r w:rsidRPr="00EE3BF1">
              <w:rPr>
                <w:rFonts w:cstheme="minorHAnsi"/>
                <w:color w:val="auto"/>
                <w:sz w:val="20"/>
                <w:szCs w:val="20"/>
                <w:lang w:eastAsia="en-GB"/>
              </w:rPr>
              <w:t>Director of NAHL</w:t>
            </w:r>
          </w:p>
        </w:tc>
      </w:tr>
      <w:tr w:rsidR="00F53C5E" w:rsidRPr="00574C3D" w14:paraId="17A14DD2" w14:textId="77777777">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30466519" w14:textId="7CBB4E73" w:rsidR="00F53C5E" w:rsidRPr="00574C3D" w:rsidRDefault="00F53C5E" w:rsidP="00041B22">
            <w:pPr>
              <w:rPr>
                <w:rFonts w:cstheme="minorHAnsi"/>
                <w:color w:val="FFFFFF" w:themeColor="background1"/>
                <w:sz w:val="20"/>
                <w:szCs w:val="20"/>
              </w:rPr>
            </w:pPr>
            <w:r>
              <w:rPr>
                <w:rFonts w:cstheme="minorHAnsi"/>
                <w:color w:val="FFFFFF" w:themeColor="background1"/>
                <w:sz w:val="20"/>
                <w:szCs w:val="20"/>
              </w:rPr>
              <w:t xml:space="preserve">AMR Focal Point </w:t>
            </w:r>
          </w:p>
        </w:tc>
      </w:tr>
      <w:tr w:rsidR="00EE3BF1" w:rsidRPr="00EE3BF1" w14:paraId="7BEB5B8E"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2332DAF" w14:textId="474A2C51" w:rsidR="00F53C5E" w:rsidRPr="00EE3BF1" w:rsidRDefault="00F53C5E" w:rsidP="00F53C5E">
            <w:pPr>
              <w:rPr>
                <w:rFonts w:cstheme="minorHAnsi"/>
                <w:b/>
                <w:color w:val="auto"/>
                <w:sz w:val="20"/>
                <w:szCs w:val="20"/>
                <w:lang w:eastAsia="en-GB"/>
              </w:rPr>
            </w:pPr>
            <w:r w:rsidRPr="00EE3BF1">
              <w:rPr>
                <w:rFonts w:cstheme="minorHAnsi"/>
                <w:b/>
                <w:color w:val="auto"/>
                <w:sz w:val="20"/>
                <w:szCs w:val="20"/>
                <w:lang w:eastAsia="en-GB"/>
              </w:rPr>
              <w:t>Dr Bouakham Vannachone</w:t>
            </w:r>
          </w:p>
        </w:tc>
        <w:tc>
          <w:tcPr>
            <w:tcW w:w="3221" w:type="dxa"/>
          </w:tcPr>
          <w:p w14:paraId="206C557D" w14:textId="37D54440"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DCDC</w:t>
            </w:r>
          </w:p>
        </w:tc>
        <w:tc>
          <w:tcPr>
            <w:tcW w:w="3221" w:type="dxa"/>
          </w:tcPr>
          <w:p w14:paraId="771857C0" w14:textId="281011E7" w:rsidR="00F53C5E" w:rsidRPr="00EE3BF1" w:rsidRDefault="00F53C5E" w:rsidP="00BB4743">
            <w:pPr>
              <w:rPr>
                <w:color w:val="auto"/>
                <w:sz w:val="20"/>
                <w:szCs w:val="20"/>
              </w:rPr>
            </w:pPr>
            <w:r w:rsidRPr="00EE3BF1">
              <w:rPr>
                <w:color w:val="auto"/>
                <w:sz w:val="20"/>
                <w:szCs w:val="20"/>
              </w:rPr>
              <w:t>National AMR Focal Point</w:t>
            </w:r>
          </w:p>
        </w:tc>
      </w:tr>
      <w:tr w:rsidR="00EE3BF1" w:rsidRPr="00EE3BF1" w14:paraId="0C56C994" w14:textId="77777777">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0F244BB4" w14:textId="3037DD1D" w:rsidR="00F53C5E" w:rsidRPr="00EE3BF1" w:rsidRDefault="00EE3BF1" w:rsidP="00F53C5E">
            <w:pPr>
              <w:rPr>
                <w:rFonts w:cstheme="minorHAnsi"/>
                <w:b/>
                <w:color w:val="auto"/>
                <w:sz w:val="20"/>
                <w:szCs w:val="20"/>
                <w:lang w:eastAsia="en-GB"/>
              </w:rPr>
            </w:pPr>
            <w:r w:rsidRPr="00EE3BF1">
              <w:rPr>
                <w:rFonts w:cstheme="minorHAnsi"/>
                <w:b/>
                <w:color w:val="auto"/>
                <w:sz w:val="20"/>
                <w:szCs w:val="20"/>
                <w:lang w:eastAsia="en-GB"/>
              </w:rPr>
              <w:t xml:space="preserve">Dr </w:t>
            </w:r>
            <w:r w:rsidR="00F53C5E" w:rsidRPr="00EE3BF1">
              <w:rPr>
                <w:rFonts w:cstheme="minorHAnsi"/>
                <w:b/>
                <w:color w:val="auto"/>
                <w:sz w:val="20"/>
                <w:szCs w:val="20"/>
                <w:lang w:eastAsia="en-GB"/>
              </w:rPr>
              <w:t>Bounlom Douangngeun</w:t>
            </w:r>
          </w:p>
        </w:tc>
        <w:tc>
          <w:tcPr>
            <w:tcW w:w="3221" w:type="dxa"/>
          </w:tcPr>
          <w:p w14:paraId="7E78E844" w14:textId="2F734672"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FAO</w:t>
            </w:r>
          </w:p>
        </w:tc>
        <w:tc>
          <w:tcPr>
            <w:tcW w:w="3221" w:type="dxa"/>
          </w:tcPr>
          <w:p w14:paraId="7F737B86" w14:textId="6E6770DE" w:rsidR="00F53C5E" w:rsidRPr="00EE3BF1" w:rsidRDefault="00F53C5E" w:rsidP="00BB4743">
            <w:pPr>
              <w:rPr>
                <w:color w:val="auto"/>
                <w:sz w:val="20"/>
                <w:szCs w:val="20"/>
              </w:rPr>
            </w:pPr>
            <w:r w:rsidRPr="00EE3BF1">
              <w:rPr>
                <w:color w:val="auto"/>
                <w:sz w:val="20"/>
                <w:szCs w:val="20"/>
              </w:rPr>
              <w:t>AMR Focal Point</w:t>
            </w:r>
          </w:p>
        </w:tc>
      </w:tr>
      <w:tr w:rsidR="00F53C5E" w:rsidRPr="00791C9D" w14:paraId="611A82E1" w14:textId="77777777">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787FFD04" w14:textId="77777777" w:rsidR="00F53C5E" w:rsidRPr="000F463A" w:rsidRDefault="00F53C5E" w:rsidP="00041B22">
            <w:pPr>
              <w:rPr>
                <w:rFonts w:cstheme="minorHAnsi"/>
                <w:color w:val="FFFFFF" w:themeColor="background1"/>
                <w:sz w:val="20"/>
                <w:szCs w:val="20"/>
              </w:rPr>
            </w:pPr>
            <w:r>
              <w:rPr>
                <w:rFonts w:cstheme="minorHAnsi"/>
                <w:color w:val="FFFFFF" w:themeColor="background1"/>
                <w:sz w:val="20"/>
                <w:szCs w:val="20"/>
              </w:rPr>
              <w:t>Development Partners/ Academia</w:t>
            </w:r>
          </w:p>
        </w:tc>
      </w:tr>
      <w:tr w:rsidR="00EE3BF1" w:rsidRPr="00EE3BF1" w14:paraId="1505B85F" w14:textId="77777777">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511BD877" w14:textId="40A78456" w:rsidR="00F53C5E" w:rsidRPr="00EE3BF1" w:rsidRDefault="00F53C5E" w:rsidP="00F53C5E">
            <w:pPr>
              <w:rPr>
                <w:rFonts w:cstheme="minorHAnsi"/>
                <w:b/>
                <w:color w:val="auto"/>
                <w:sz w:val="20"/>
                <w:szCs w:val="20"/>
                <w:lang w:eastAsia="en-GB"/>
              </w:rPr>
            </w:pPr>
            <w:r w:rsidRPr="00EE3BF1">
              <w:rPr>
                <w:rFonts w:cstheme="minorHAnsi"/>
                <w:b/>
                <w:color w:val="auto"/>
                <w:sz w:val="20"/>
                <w:szCs w:val="20"/>
                <w:lang w:eastAsia="en-GB"/>
              </w:rPr>
              <w:t>Mr.</w:t>
            </w:r>
            <w:r w:rsidR="007458AC" w:rsidRPr="00EE3BF1">
              <w:rPr>
                <w:rFonts w:cstheme="minorHAnsi"/>
                <w:b/>
                <w:color w:val="auto"/>
                <w:sz w:val="20"/>
                <w:szCs w:val="20"/>
                <w:lang w:eastAsia="en-GB"/>
              </w:rPr>
              <w:t xml:space="preserve"> </w:t>
            </w:r>
            <w:r w:rsidRPr="00EE3BF1">
              <w:rPr>
                <w:rFonts w:cstheme="minorHAnsi"/>
                <w:b/>
                <w:color w:val="auto"/>
                <w:sz w:val="20"/>
                <w:szCs w:val="20"/>
                <w:lang w:eastAsia="en-GB"/>
              </w:rPr>
              <w:t>Cashel Gleeson</w:t>
            </w:r>
          </w:p>
        </w:tc>
        <w:tc>
          <w:tcPr>
            <w:tcW w:w="3221" w:type="dxa"/>
          </w:tcPr>
          <w:p w14:paraId="344C2832" w14:textId="2005560A"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UK Embassy</w:t>
            </w:r>
          </w:p>
        </w:tc>
        <w:tc>
          <w:tcPr>
            <w:tcW w:w="3221" w:type="dxa"/>
          </w:tcPr>
          <w:p w14:paraId="68AECD45" w14:textId="64CA4CF8" w:rsidR="00F53C5E" w:rsidRPr="00EE3BF1" w:rsidRDefault="00F53C5E" w:rsidP="00BB4743">
            <w:pPr>
              <w:rPr>
                <w:color w:val="auto"/>
                <w:sz w:val="20"/>
                <w:szCs w:val="20"/>
              </w:rPr>
            </w:pPr>
            <w:r w:rsidRPr="00EE3BF1">
              <w:rPr>
                <w:color w:val="auto"/>
                <w:sz w:val="20"/>
                <w:szCs w:val="20"/>
              </w:rPr>
              <w:t>Deputy Head of Mission</w:t>
            </w:r>
          </w:p>
        </w:tc>
      </w:tr>
      <w:tr w:rsidR="00EE3BF1" w:rsidRPr="00EE3BF1" w14:paraId="0192BB66"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77EC1FF" w14:textId="7AF141DD" w:rsidR="00F53C5E" w:rsidRPr="00EE3BF1" w:rsidRDefault="00EE3BF1" w:rsidP="00F53C5E">
            <w:pPr>
              <w:rPr>
                <w:rFonts w:cstheme="minorHAnsi"/>
                <w:b/>
                <w:color w:val="auto"/>
                <w:sz w:val="20"/>
                <w:szCs w:val="20"/>
                <w:lang w:eastAsia="en-GB"/>
              </w:rPr>
            </w:pPr>
            <w:r w:rsidRPr="00EE3BF1">
              <w:rPr>
                <w:rFonts w:cstheme="minorHAnsi"/>
                <w:b/>
                <w:color w:val="auto"/>
                <w:sz w:val="20"/>
                <w:szCs w:val="20"/>
                <w:lang w:eastAsia="en-GB"/>
              </w:rPr>
              <w:t xml:space="preserve">Dr </w:t>
            </w:r>
            <w:r w:rsidR="00F53C5E" w:rsidRPr="00EE3BF1">
              <w:rPr>
                <w:rFonts w:cstheme="minorHAnsi"/>
                <w:b/>
                <w:color w:val="auto"/>
                <w:sz w:val="20"/>
                <w:szCs w:val="20"/>
                <w:lang w:eastAsia="en-GB"/>
              </w:rPr>
              <w:t>Elizabeth Ashley</w:t>
            </w:r>
          </w:p>
        </w:tc>
        <w:tc>
          <w:tcPr>
            <w:tcW w:w="3221" w:type="dxa"/>
          </w:tcPr>
          <w:p w14:paraId="74E510ED" w14:textId="7CAB2F22"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LOMWRU</w:t>
            </w:r>
          </w:p>
        </w:tc>
        <w:tc>
          <w:tcPr>
            <w:tcW w:w="3221" w:type="dxa"/>
          </w:tcPr>
          <w:p w14:paraId="12C74445" w14:textId="499A95FF" w:rsidR="00F53C5E" w:rsidRPr="00EE3BF1" w:rsidRDefault="00F53C5E" w:rsidP="00BB4743">
            <w:pPr>
              <w:rPr>
                <w:color w:val="auto"/>
                <w:sz w:val="20"/>
                <w:szCs w:val="20"/>
              </w:rPr>
            </w:pPr>
            <w:r w:rsidRPr="00EE3BF1">
              <w:rPr>
                <w:color w:val="auto"/>
                <w:sz w:val="20"/>
                <w:szCs w:val="20"/>
              </w:rPr>
              <w:t>Director</w:t>
            </w:r>
          </w:p>
        </w:tc>
      </w:tr>
      <w:tr w:rsidR="00F53C5E" w:rsidRPr="00791C9D" w14:paraId="1DFC9CD7" w14:textId="77777777">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477992AC" w14:textId="56DE0C7C" w:rsidR="00F53C5E" w:rsidRPr="0018555A" w:rsidRDefault="00F53C5E" w:rsidP="00041B22">
            <w:pPr>
              <w:rPr>
                <w:rFonts w:cstheme="minorHAnsi"/>
                <w:color w:val="FFFFFF" w:themeColor="background1"/>
                <w:sz w:val="20"/>
                <w:szCs w:val="20"/>
              </w:rPr>
            </w:pPr>
            <w:r>
              <w:rPr>
                <w:rFonts w:cstheme="minorHAnsi"/>
                <w:color w:val="FFFFFF" w:themeColor="background1"/>
                <w:sz w:val="20"/>
                <w:szCs w:val="20"/>
              </w:rPr>
              <w:t>NRL &amp; Site Visits</w:t>
            </w:r>
          </w:p>
        </w:tc>
      </w:tr>
      <w:tr w:rsidR="00765DFA" w:rsidRPr="00765DFA" w14:paraId="56EE32E9"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7F199B19" w14:textId="1763A6AB" w:rsidR="00F53C5E" w:rsidRPr="00EE3BF1" w:rsidRDefault="00F53C5E" w:rsidP="00F53C5E">
            <w:pPr>
              <w:rPr>
                <w:rFonts w:cstheme="minorHAnsi"/>
                <w:b/>
                <w:color w:val="auto"/>
                <w:sz w:val="20"/>
                <w:szCs w:val="20"/>
                <w:lang w:eastAsia="en-GB"/>
              </w:rPr>
            </w:pPr>
            <w:r w:rsidRPr="00EE3BF1">
              <w:rPr>
                <w:rFonts w:cstheme="minorHAnsi"/>
                <w:b/>
                <w:color w:val="auto"/>
                <w:sz w:val="20"/>
                <w:szCs w:val="20"/>
                <w:lang w:eastAsia="en-GB"/>
              </w:rPr>
              <w:t>Ms.Somphaivanh Chanthavong</w:t>
            </w:r>
          </w:p>
        </w:tc>
        <w:tc>
          <w:tcPr>
            <w:tcW w:w="3221" w:type="dxa"/>
          </w:tcPr>
          <w:p w14:paraId="14601ABA" w14:textId="035F05A6"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NHAL</w:t>
            </w:r>
          </w:p>
        </w:tc>
        <w:tc>
          <w:tcPr>
            <w:tcW w:w="3221" w:type="dxa"/>
          </w:tcPr>
          <w:p w14:paraId="45EE02CC" w14:textId="5B8E732B"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Head of micro lab, NAHL</w:t>
            </w:r>
          </w:p>
        </w:tc>
      </w:tr>
      <w:tr w:rsidR="00765DFA" w:rsidRPr="00765DFA" w14:paraId="649799FE" w14:textId="77777777">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0B23F694" w14:textId="05CCC755" w:rsidR="00F53C5E" w:rsidRPr="00EE3BF1" w:rsidRDefault="00F53C5E" w:rsidP="00F53C5E">
            <w:pPr>
              <w:rPr>
                <w:rFonts w:cstheme="minorHAnsi"/>
                <w:b/>
                <w:color w:val="auto"/>
                <w:sz w:val="20"/>
                <w:szCs w:val="20"/>
                <w:lang w:eastAsia="en-GB"/>
              </w:rPr>
            </w:pPr>
            <w:r w:rsidRPr="00EE3BF1">
              <w:rPr>
                <w:rFonts w:cstheme="minorHAnsi"/>
                <w:b/>
                <w:color w:val="auto"/>
                <w:sz w:val="20"/>
                <w:szCs w:val="20"/>
                <w:lang w:eastAsia="en-GB"/>
              </w:rPr>
              <w:t>Ms. Bouaphanh Khamphaphongphane</w:t>
            </w:r>
          </w:p>
        </w:tc>
        <w:tc>
          <w:tcPr>
            <w:tcW w:w="3221" w:type="dxa"/>
          </w:tcPr>
          <w:p w14:paraId="7DB74EC0" w14:textId="2FD02ADD"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NCLE</w:t>
            </w:r>
          </w:p>
        </w:tc>
        <w:tc>
          <w:tcPr>
            <w:tcW w:w="3221" w:type="dxa"/>
          </w:tcPr>
          <w:p w14:paraId="7C55046C" w14:textId="35464C88" w:rsidR="00F53C5E" w:rsidRPr="00EE3BF1" w:rsidRDefault="00F53C5E" w:rsidP="00BB4743">
            <w:pPr>
              <w:rPr>
                <w:color w:val="auto"/>
                <w:sz w:val="20"/>
                <w:szCs w:val="20"/>
              </w:rPr>
            </w:pPr>
            <w:r w:rsidRPr="00EE3BF1">
              <w:rPr>
                <w:color w:val="auto"/>
                <w:sz w:val="20"/>
                <w:szCs w:val="20"/>
              </w:rPr>
              <w:t>Deputy Director of NCLE</w:t>
            </w:r>
          </w:p>
        </w:tc>
      </w:tr>
      <w:tr w:rsidR="00765DFA" w:rsidRPr="00765DFA" w14:paraId="29051CD9"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6FBA1BB" w14:textId="7464B742" w:rsidR="00F53C5E" w:rsidRPr="00EE3BF1" w:rsidRDefault="00EE3BF1" w:rsidP="00F53C5E">
            <w:pPr>
              <w:rPr>
                <w:rFonts w:cstheme="minorHAnsi"/>
                <w:b/>
                <w:color w:val="auto"/>
                <w:sz w:val="20"/>
                <w:szCs w:val="20"/>
                <w:lang w:eastAsia="en-GB"/>
              </w:rPr>
            </w:pPr>
            <w:r w:rsidRPr="00EE3BF1">
              <w:rPr>
                <w:rFonts w:cstheme="minorHAnsi"/>
                <w:b/>
                <w:color w:val="auto"/>
                <w:sz w:val="20"/>
                <w:szCs w:val="20"/>
                <w:lang w:eastAsia="en-GB"/>
              </w:rPr>
              <w:t xml:space="preserve">Dr </w:t>
            </w:r>
            <w:r w:rsidR="00F53C5E" w:rsidRPr="00EE3BF1">
              <w:rPr>
                <w:rFonts w:cstheme="minorHAnsi"/>
                <w:b/>
                <w:color w:val="auto"/>
                <w:sz w:val="20"/>
                <w:szCs w:val="20"/>
                <w:lang w:eastAsia="en-GB"/>
              </w:rPr>
              <w:t>Noikaseumsy Suthivong</w:t>
            </w:r>
          </w:p>
        </w:tc>
        <w:tc>
          <w:tcPr>
            <w:tcW w:w="3221" w:type="dxa"/>
          </w:tcPr>
          <w:p w14:paraId="1E785176" w14:textId="2E48D323"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NCLE</w:t>
            </w:r>
          </w:p>
        </w:tc>
        <w:tc>
          <w:tcPr>
            <w:tcW w:w="3221" w:type="dxa"/>
          </w:tcPr>
          <w:p w14:paraId="08D9DD22" w14:textId="67F4B4F8" w:rsidR="00F53C5E" w:rsidRPr="00EE3BF1" w:rsidRDefault="00F53C5E" w:rsidP="00BB4743">
            <w:pPr>
              <w:rPr>
                <w:color w:val="auto"/>
                <w:sz w:val="20"/>
                <w:szCs w:val="20"/>
              </w:rPr>
            </w:pPr>
            <w:r w:rsidRPr="00EE3BF1">
              <w:rPr>
                <w:color w:val="auto"/>
                <w:sz w:val="20"/>
                <w:szCs w:val="20"/>
              </w:rPr>
              <w:t>Deputy Chief of Laboratory (and head of micro lab)</w:t>
            </w:r>
          </w:p>
        </w:tc>
      </w:tr>
      <w:tr w:rsidR="00765DFA" w:rsidRPr="00765DFA" w14:paraId="5295A042" w14:textId="77777777">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44306CDA" w14:textId="1E48E699" w:rsidR="00F53C5E" w:rsidRPr="00EE3BF1" w:rsidRDefault="00EE3BF1" w:rsidP="00F53C5E">
            <w:pPr>
              <w:rPr>
                <w:rFonts w:cstheme="minorHAnsi"/>
                <w:b/>
                <w:color w:val="auto"/>
                <w:sz w:val="20"/>
                <w:szCs w:val="20"/>
                <w:lang w:eastAsia="en-GB"/>
              </w:rPr>
            </w:pPr>
            <w:r w:rsidRPr="00EE3BF1">
              <w:rPr>
                <w:rFonts w:cstheme="minorHAnsi"/>
                <w:b/>
                <w:color w:val="auto"/>
                <w:sz w:val="20"/>
                <w:szCs w:val="20"/>
                <w:lang w:eastAsia="en-GB"/>
              </w:rPr>
              <w:t xml:space="preserve">Dr </w:t>
            </w:r>
            <w:r w:rsidR="00F53C5E" w:rsidRPr="00EE3BF1">
              <w:rPr>
                <w:rFonts w:cstheme="minorHAnsi"/>
                <w:b/>
                <w:color w:val="auto"/>
                <w:sz w:val="20"/>
                <w:szCs w:val="20"/>
                <w:lang w:eastAsia="en-GB"/>
              </w:rPr>
              <w:t>Chanthala Phamisith</w:t>
            </w:r>
          </w:p>
        </w:tc>
        <w:tc>
          <w:tcPr>
            <w:tcW w:w="3221" w:type="dxa"/>
          </w:tcPr>
          <w:p w14:paraId="10CCADA2" w14:textId="27090495"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Savannakhet Human Health Laboratory</w:t>
            </w:r>
          </w:p>
        </w:tc>
        <w:tc>
          <w:tcPr>
            <w:tcW w:w="3221" w:type="dxa"/>
          </w:tcPr>
          <w:p w14:paraId="172DC971" w14:textId="5055429A" w:rsidR="00F53C5E" w:rsidRPr="00EE3BF1" w:rsidRDefault="00F53C5E" w:rsidP="00BB4743">
            <w:pPr>
              <w:rPr>
                <w:color w:val="auto"/>
                <w:sz w:val="20"/>
                <w:szCs w:val="20"/>
              </w:rPr>
            </w:pPr>
            <w:r w:rsidRPr="00EE3BF1">
              <w:rPr>
                <w:color w:val="auto"/>
                <w:sz w:val="20"/>
                <w:szCs w:val="20"/>
              </w:rPr>
              <w:t>Vice Director, Savannaket Hospital</w:t>
            </w:r>
          </w:p>
        </w:tc>
      </w:tr>
      <w:tr w:rsidR="00765DFA" w:rsidRPr="00765DFA" w14:paraId="62C8C69E"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36B43B4" w14:textId="751936CC" w:rsidR="00F53C5E" w:rsidRPr="00EE3BF1" w:rsidRDefault="00EE3BF1" w:rsidP="00F53C5E">
            <w:pPr>
              <w:rPr>
                <w:rFonts w:cstheme="minorHAnsi"/>
                <w:b/>
                <w:color w:val="auto"/>
                <w:sz w:val="20"/>
                <w:szCs w:val="20"/>
                <w:lang w:eastAsia="en-GB"/>
              </w:rPr>
            </w:pPr>
            <w:r w:rsidRPr="00EE3BF1">
              <w:rPr>
                <w:rFonts w:cstheme="minorHAnsi"/>
                <w:b/>
                <w:color w:val="auto"/>
                <w:sz w:val="20"/>
                <w:szCs w:val="20"/>
                <w:lang w:eastAsia="en-GB"/>
              </w:rPr>
              <w:t xml:space="preserve">Dr </w:t>
            </w:r>
            <w:r w:rsidR="00F53C5E" w:rsidRPr="00EE3BF1">
              <w:rPr>
                <w:rFonts w:cstheme="minorHAnsi"/>
                <w:b/>
                <w:color w:val="auto"/>
                <w:sz w:val="20"/>
                <w:szCs w:val="20"/>
                <w:lang w:eastAsia="en-GB"/>
              </w:rPr>
              <w:t>Vatsana</w:t>
            </w:r>
          </w:p>
        </w:tc>
        <w:tc>
          <w:tcPr>
            <w:tcW w:w="3221" w:type="dxa"/>
          </w:tcPr>
          <w:p w14:paraId="65110D28" w14:textId="762D1320"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Savannakhet Human Health Laboratory</w:t>
            </w:r>
          </w:p>
        </w:tc>
        <w:tc>
          <w:tcPr>
            <w:tcW w:w="3221" w:type="dxa"/>
          </w:tcPr>
          <w:p w14:paraId="5A329D48" w14:textId="741AEC77" w:rsidR="00F53C5E" w:rsidRPr="00EE3BF1" w:rsidRDefault="00F53C5E" w:rsidP="00BB4743">
            <w:pPr>
              <w:rPr>
                <w:color w:val="auto"/>
                <w:sz w:val="20"/>
                <w:szCs w:val="20"/>
              </w:rPr>
            </w:pPr>
            <w:r w:rsidRPr="00EE3BF1">
              <w:rPr>
                <w:color w:val="auto"/>
                <w:sz w:val="20"/>
                <w:szCs w:val="20"/>
              </w:rPr>
              <w:t>Head of Savannaket Hospital Lab</w:t>
            </w:r>
          </w:p>
        </w:tc>
      </w:tr>
      <w:tr w:rsidR="00765DFA" w:rsidRPr="00765DFA" w14:paraId="31066580" w14:textId="77777777">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30924FF6" w14:textId="26C3509C" w:rsidR="00F53C5E" w:rsidRPr="00EE3BF1" w:rsidRDefault="00F53C5E" w:rsidP="00F53C5E">
            <w:pPr>
              <w:rPr>
                <w:rFonts w:cstheme="minorHAnsi"/>
                <w:b/>
                <w:color w:val="auto"/>
                <w:sz w:val="20"/>
                <w:szCs w:val="20"/>
                <w:lang w:eastAsia="en-GB"/>
              </w:rPr>
            </w:pPr>
            <w:r w:rsidRPr="00EE3BF1">
              <w:rPr>
                <w:rFonts w:cstheme="minorHAnsi"/>
                <w:b/>
                <w:color w:val="auto"/>
                <w:sz w:val="20"/>
                <w:szCs w:val="20"/>
                <w:lang w:eastAsia="en-GB"/>
              </w:rPr>
              <w:t>Ms. Alavanh Samartmanivong</w:t>
            </w:r>
          </w:p>
        </w:tc>
        <w:tc>
          <w:tcPr>
            <w:tcW w:w="3221" w:type="dxa"/>
          </w:tcPr>
          <w:p w14:paraId="781251A0" w14:textId="73F0F440"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Savannaket Provincial Livestock and Fisheries Section</w:t>
            </w:r>
          </w:p>
        </w:tc>
        <w:tc>
          <w:tcPr>
            <w:tcW w:w="3221" w:type="dxa"/>
          </w:tcPr>
          <w:p w14:paraId="71D26F58" w14:textId="5C808FCF" w:rsidR="00F53C5E" w:rsidRPr="00EE3BF1" w:rsidRDefault="00F53C5E" w:rsidP="00BB4743">
            <w:pPr>
              <w:rPr>
                <w:color w:val="auto"/>
                <w:sz w:val="20"/>
                <w:szCs w:val="20"/>
              </w:rPr>
            </w:pPr>
            <w:r w:rsidRPr="00EE3BF1">
              <w:rPr>
                <w:color w:val="auto"/>
                <w:sz w:val="20"/>
                <w:szCs w:val="20"/>
              </w:rPr>
              <w:t>Director</w:t>
            </w:r>
          </w:p>
        </w:tc>
      </w:tr>
      <w:tr w:rsidR="00765DFA" w:rsidRPr="00765DFA" w14:paraId="40E0FA6A"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2E7F7BD" w14:textId="0213F567" w:rsidR="00F53C5E" w:rsidRPr="00EE3BF1" w:rsidRDefault="00F53C5E" w:rsidP="00F53C5E">
            <w:pPr>
              <w:rPr>
                <w:rFonts w:cstheme="minorHAnsi"/>
                <w:b/>
                <w:color w:val="auto"/>
                <w:sz w:val="20"/>
                <w:szCs w:val="20"/>
                <w:lang w:eastAsia="en-GB"/>
              </w:rPr>
            </w:pPr>
            <w:r w:rsidRPr="00EE3BF1">
              <w:rPr>
                <w:rFonts w:cstheme="minorHAnsi"/>
                <w:b/>
                <w:color w:val="auto"/>
                <w:sz w:val="20"/>
                <w:szCs w:val="20"/>
                <w:lang w:eastAsia="en-GB"/>
              </w:rPr>
              <w:t>Mr. Tony Duangchan</w:t>
            </w:r>
          </w:p>
        </w:tc>
        <w:tc>
          <w:tcPr>
            <w:tcW w:w="3221" w:type="dxa"/>
          </w:tcPr>
          <w:p w14:paraId="6817BA3E" w14:textId="2AE6DEAA"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Savannaket Provincial Livestock and Fisheries Section</w:t>
            </w:r>
          </w:p>
        </w:tc>
        <w:tc>
          <w:tcPr>
            <w:tcW w:w="3221" w:type="dxa"/>
          </w:tcPr>
          <w:p w14:paraId="7150B948" w14:textId="51501DFD" w:rsidR="00F53C5E" w:rsidRPr="00EE3BF1" w:rsidRDefault="00F53C5E" w:rsidP="00BB4743">
            <w:pPr>
              <w:rPr>
                <w:color w:val="auto"/>
                <w:sz w:val="20"/>
                <w:szCs w:val="20"/>
              </w:rPr>
            </w:pPr>
            <w:r w:rsidRPr="00EE3BF1">
              <w:rPr>
                <w:color w:val="auto"/>
                <w:sz w:val="20"/>
                <w:szCs w:val="20"/>
              </w:rPr>
              <w:t>Deputy Director</w:t>
            </w:r>
          </w:p>
        </w:tc>
      </w:tr>
      <w:tr w:rsidR="00765DFA" w:rsidRPr="00765DFA" w14:paraId="15894DF9" w14:textId="77777777">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2E7078D" w14:textId="3384E364" w:rsidR="00F53C5E" w:rsidRPr="00EE3BF1" w:rsidRDefault="00F53C5E" w:rsidP="00F53C5E">
            <w:pPr>
              <w:rPr>
                <w:rFonts w:cstheme="minorHAnsi"/>
                <w:b/>
                <w:color w:val="auto"/>
                <w:sz w:val="20"/>
                <w:szCs w:val="20"/>
                <w:lang w:eastAsia="en-GB"/>
              </w:rPr>
            </w:pPr>
            <w:r w:rsidRPr="00EE3BF1">
              <w:rPr>
                <w:rFonts w:cstheme="minorHAnsi"/>
                <w:b/>
                <w:color w:val="auto"/>
                <w:sz w:val="20"/>
                <w:szCs w:val="20"/>
                <w:lang w:eastAsia="en-GB"/>
              </w:rPr>
              <w:t>Ms. Khamma Nammonty</w:t>
            </w:r>
          </w:p>
        </w:tc>
        <w:tc>
          <w:tcPr>
            <w:tcW w:w="3221" w:type="dxa"/>
          </w:tcPr>
          <w:p w14:paraId="541989CF" w14:textId="75F8F852" w:rsidR="00F53C5E" w:rsidRPr="00EE3BF1" w:rsidRDefault="00F53C5E" w:rsidP="00BB4743">
            <w:pPr>
              <w:rPr>
                <w:rFonts w:cstheme="minorHAnsi"/>
                <w:color w:val="auto"/>
                <w:sz w:val="20"/>
                <w:szCs w:val="20"/>
                <w:lang w:eastAsia="en-GB"/>
              </w:rPr>
            </w:pPr>
            <w:r w:rsidRPr="00EE3BF1">
              <w:rPr>
                <w:rFonts w:cstheme="minorHAnsi"/>
                <w:color w:val="auto"/>
                <w:sz w:val="20"/>
                <w:szCs w:val="20"/>
                <w:lang w:eastAsia="en-GB"/>
              </w:rPr>
              <w:t>Savannaket Provincial Livestock and Fisheries Section</w:t>
            </w:r>
          </w:p>
        </w:tc>
        <w:tc>
          <w:tcPr>
            <w:tcW w:w="3221" w:type="dxa"/>
          </w:tcPr>
          <w:p w14:paraId="72C89F04" w14:textId="7115B471" w:rsidR="00F53C5E" w:rsidRPr="00EE3BF1" w:rsidRDefault="00F53C5E" w:rsidP="00BB4743">
            <w:pPr>
              <w:rPr>
                <w:color w:val="auto"/>
                <w:sz w:val="20"/>
                <w:szCs w:val="20"/>
              </w:rPr>
            </w:pPr>
            <w:r w:rsidRPr="00EE3BF1">
              <w:rPr>
                <w:color w:val="auto"/>
                <w:sz w:val="20"/>
                <w:szCs w:val="20"/>
              </w:rPr>
              <w:t>Head of Savannaket Provincial Livestock and Fisheries Section Lab</w:t>
            </w:r>
          </w:p>
        </w:tc>
      </w:tr>
      <w:tr w:rsidR="00765DFA" w:rsidRPr="00765DFA" w14:paraId="27F30327" w14:textId="77777777">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4F30AFAA" w14:textId="48D503B9" w:rsidR="00F53C5E" w:rsidRPr="00EE3BF1" w:rsidRDefault="00EE3BF1" w:rsidP="00F53C5E">
            <w:pPr>
              <w:rPr>
                <w:rFonts w:cstheme="minorHAnsi"/>
                <w:b/>
                <w:color w:val="auto"/>
                <w:sz w:val="20"/>
                <w:szCs w:val="20"/>
                <w:lang w:eastAsia="en-GB"/>
              </w:rPr>
            </w:pPr>
            <w:r w:rsidRPr="00EE3BF1">
              <w:rPr>
                <w:rFonts w:cstheme="minorHAnsi"/>
                <w:b/>
                <w:color w:val="auto"/>
                <w:sz w:val="20"/>
                <w:szCs w:val="20"/>
              </w:rPr>
              <w:t xml:space="preserve">Dr </w:t>
            </w:r>
            <w:r w:rsidR="00F53C5E" w:rsidRPr="00EE3BF1">
              <w:rPr>
                <w:rFonts w:cstheme="minorHAnsi"/>
                <w:b/>
                <w:color w:val="auto"/>
                <w:sz w:val="20"/>
                <w:szCs w:val="20"/>
              </w:rPr>
              <w:t>Phailin Maniphonh</w:t>
            </w:r>
          </w:p>
        </w:tc>
        <w:tc>
          <w:tcPr>
            <w:tcW w:w="3221" w:type="dxa"/>
          </w:tcPr>
          <w:p w14:paraId="19CFF642" w14:textId="758CAEC1" w:rsidR="00F53C5E" w:rsidRPr="00EE3BF1" w:rsidRDefault="00F53C5E" w:rsidP="00BB4743">
            <w:pPr>
              <w:rPr>
                <w:rFonts w:cstheme="minorHAnsi"/>
                <w:color w:val="auto"/>
                <w:sz w:val="20"/>
                <w:szCs w:val="20"/>
                <w:lang w:eastAsia="en-GB"/>
              </w:rPr>
            </w:pPr>
            <w:r w:rsidRPr="00EE3BF1">
              <w:rPr>
                <w:rFonts w:cstheme="minorHAnsi"/>
                <w:color w:val="auto"/>
                <w:sz w:val="20"/>
                <w:szCs w:val="20"/>
              </w:rPr>
              <w:t xml:space="preserve">Luang Prabang </w:t>
            </w:r>
            <w:r w:rsidR="00041B22" w:rsidRPr="00EE3BF1">
              <w:rPr>
                <w:rFonts w:cstheme="minorHAnsi"/>
                <w:color w:val="auto"/>
                <w:sz w:val="20"/>
                <w:szCs w:val="20"/>
              </w:rPr>
              <w:t>Provincial</w:t>
            </w:r>
            <w:r w:rsidRPr="00EE3BF1">
              <w:rPr>
                <w:rFonts w:cstheme="minorHAnsi"/>
                <w:color w:val="auto"/>
                <w:sz w:val="20"/>
                <w:szCs w:val="20"/>
              </w:rPr>
              <w:t xml:space="preserve"> Hospital</w:t>
            </w:r>
          </w:p>
        </w:tc>
        <w:tc>
          <w:tcPr>
            <w:tcW w:w="3221" w:type="dxa"/>
          </w:tcPr>
          <w:p w14:paraId="5A271239" w14:textId="4D983418" w:rsidR="00F53C5E" w:rsidRPr="00EE3BF1" w:rsidRDefault="00F53C5E" w:rsidP="00BB4743">
            <w:pPr>
              <w:rPr>
                <w:color w:val="auto"/>
                <w:sz w:val="20"/>
                <w:szCs w:val="20"/>
              </w:rPr>
            </w:pPr>
            <w:r w:rsidRPr="00EE3BF1">
              <w:rPr>
                <w:rFonts w:cstheme="minorHAnsi"/>
                <w:color w:val="auto"/>
                <w:sz w:val="20"/>
                <w:szCs w:val="20"/>
              </w:rPr>
              <w:t>Deputy Director of LPB hospital</w:t>
            </w:r>
          </w:p>
        </w:tc>
      </w:tr>
      <w:tr w:rsidR="00765DFA" w:rsidRPr="00765DFA" w14:paraId="4A8943C1" w14:textId="77777777">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D808AD8" w14:textId="2F872F59" w:rsidR="00F53C5E" w:rsidRPr="00EE3BF1" w:rsidRDefault="00EE3BF1" w:rsidP="00F53C5E">
            <w:pPr>
              <w:rPr>
                <w:rFonts w:cstheme="minorHAnsi"/>
                <w:b/>
                <w:color w:val="auto"/>
                <w:sz w:val="20"/>
                <w:szCs w:val="20"/>
                <w:lang w:eastAsia="en-GB"/>
              </w:rPr>
            </w:pPr>
            <w:r w:rsidRPr="00EE3BF1">
              <w:rPr>
                <w:rFonts w:cstheme="minorHAnsi"/>
                <w:b/>
                <w:color w:val="auto"/>
                <w:sz w:val="20"/>
                <w:szCs w:val="20"/>
              </w:rPr>
              <w:t xml:space="preserve">Dr </w:t>
            </w:r>
            <w:r w:rsidR="00F53C5E" w:rsidRPr="00EE3BF1">
              <w:rPr>
                <w:rFonts w:cstheme="minorHAnsi"/>
                <w:b/>
                <w:color w:val="auto"/>
                <w:sz w:val="20"/>
                <w:szCs w:val="20"/>
              </w:rPr>
              <w:t>Valy Phongsavanh</w:t>
            </w:r>
          </w:p>
        </w:tc>
        <w:tc>
          <w:tcPr>
            <w:tcW w:w="3221" w:type="dxa"/>
          </w:tcPr>
          <w:p w14:paraId="775B5FD9" w14:textId="31192850" w:rsidR="00F53C5E" w:rsidRPr="00EE3BF1" w:rsidRDefault="00F53C5E" w:rsidP="00BB4743">
            <w:pPr>
              <w:rPr>
                <w:rFonts w:cstheme="minorHAnsi"/>
                <w:color w:val="auto"/>
                <w:sz w:val="20"/>
                <w:szCs w:val="20"/>
                <w:lang w:eastAsia="en-GB"/>
              </w:rPr>
            </w:pPr>
            <w:r w:rsidRPr="00EE3BF1">
              <w:rPr>
                <w:rFonts w:cstheme="minorHAnsi"/>
                <w:color w:val="auto"/>
                <w:sz w:val="20"/>
                <w:szCs w:val="20"/>
              </w:rPr>
              <w:t xml:space="preserve">Luang Prabang </w:t>
            </w:r>
            <w:r w:rsidR="00041B22" w:rsidRPr="00EE3BF1">
              <w:rPr>
                <w:rFonts w:cstheme="minorHAnsi"/>
                <w:color w:val="auto"/>
                <w:sz w:val="20"/>
                <w:szCs w:val="20"/>
              </w:rPr>
              <w:t>Provincial</w:t>
            </w:r>
            <w:r w:rsidRPr="00EE3BF1">
              <w:rPr>
                <w:rFonts w:cstheme="minorHAnsi"/>
                <w:color w:val="auto"/>
                <w:sz w:val="20"/>
                <w:szCs w:val="20"/>
              </w:rPr>
              <w:t xml:space="preserve"> Hospital</w:t>
            </w:r>
          </w:p>
        </w:tc>
        <w:tc>
          <w:tcPr>
            <w:tcW w:w="3221" w:type="dxa"/>
          </w:tcPr>
          <w:p w14:paraId="077910E1" w14:textId="38B0482C" w:rsidR="00F53C5E" w:rsidRPr="00EE3BF1" w:rsidRDefault="00F53C5E" w:rsidP="00BB4743">
            <w:pPr>
              <w:rPr>
                <w:color w:val="auto"/>
                <w:sz w:val="20"/>
                <w:szCs w:val="20"/>
              </w:rPr>
            </w:pPr>
            <w:r w:rsidRPr="00EE3BF1">
              <w:rPr>
                <w:rFonts w:cstheme="minorHAnsi"/>
                <w:color w:val="auto"/>
                <w:sz w:val="20"/>
                <w:szCs w:val="20"/>
              </w:rPr>
              <w:t>Head of LPB hospital lab</w:t>
            </w:r>
          </w:p>
        </w:tc>
      </w:tr>
    </w:tbl>
    <w:p w14:paraId="6C79D2EC" w14:textId="77777777" w:rsidR="003B15E9" w:rsidRPr="003B15E9" w:rsidRDefault="003B15E9" w:rsidP="003B15E9">
      <w:pPr>
        <w:pStyle w:val="ItadNormalText"/>
      </w:pPr>
    </w:p>
    <w:p w14:paraId="4EDF1767" w14:textId="110F8869" w:rsidR="00CF4E89" w:rsidRDefault="00CF4E89" w:rsidP="004F2001">
      <w:pPr>
        <w:pStyle w:val="ItadH2"/>
      </w:pPr>
      <w:bookmarkStart w:id="404" w:name="_Toc118968575"/>
      <w:bookmarkStart w:id="405" w:name="_Toc122209929"/>
      <w:bookmarkStart w:id="406" w:name="_Toc142383217"/>
      <w:r>
        <w:t>Nepal</w:t>
      </w:r>
      <w:bookmarkEnd w:id="404"/>
      <w:bookmarkEnd w:id="405"/>
      <w:bookmarkEnd w:id="406"/>
    </w:p>
    <w:tbl>
      <w:tblPr>
        <w:tblStyle w:val="Itadalternaterows"/>
        <w:tblW w:w="9663" w:type="dxa"/>
        <w:tblLook w:val="04A0" w:firstRow="1" w:lastRow="0" w:firstColumn="1" w:lastColumn="0" w:noHBand="0" w:noVBand="1"/>
      </w:tblPr>
      <w:tblGrid>
        <w:gridCol w:w="3221"/>
        <w:gridCol w:w="3221"/>
        <w:gridCol w:w="3221"/>
      </w:tblGrid>
      <w:tr w:rsidR="00687B10" w:rsidRPr="00EA37E9" w14:paraId="34D18C26" w14:textId="77777777" w:rsidTr="17D077F0">
        <w:trPr>
          <w:cnfStyle w:val="100000000000" w:firstRow="1" w:lastRow="0" w:firstColumn="0" w:lastColumn="0" w:oddVBand="0" w:evenVBand="0" w:oddHBand="0" w:evenHBand="0" w:firstRowFirstColumn="0" w:firstRowLastColumn="0" w:lastRowFirstColumn="0" w:lastRowLastColumn="0"/>
          <w:trHeight w:val="340"/>
        </w:trPr>
        <w:tc>
          <w:tcPr>
            <w:tcW w:w="9663" w:type="dxa"/>
            <w:gridSpan w:val="3"/>
            <w:hideMark/>
          </w:tcPr>
          <w:p w14:paraId="571752D5" w14:textId="09681A4A" w:rsidR="00687B10" w:rsidRPr="00BB4743" w:rsidRDefault="00687B10">
            <w:pPr>
              <w:rPr>
                <w:rFonts w:cs="Calibri"/>
                <w:color w:val="FFFFFF" w:themeColor="background1"/>
                <w:sz w:val="20"/>
                <w:szCs w:val="20"/>
                <w:lang w:eastAsia="en-GB"/>
              </w:rPr>
            </w:pPr>
            <w:r w:rsidRPr="00BB4743">
              <w:rPr>
                <w:rFonts w:cs="Calibri"/>
                <w:color w:val="FFFFFF" w:themeColor="background1"/>
                <w:sz w:val="20"/>
                <w:szCs w:val="20"/>
                <w:lang w:eastAsia="en-GB"/>
              </w:rPr>
              <w:t xml:space="preserve">Fleming Fund </w:t>
            </w:r>
            <w:r w:rsidR="005B5B44" w:rsidRPr="00BB4743">
              <w:rPr>
                <w:rFonts w:cs="Calibri"/>
                <w:color w:val="FFFFFF" w:themeColor="background1"/>
                <w:sz w:val="20"/>
                <w:szCs w:val="20"/>
                <w:lang w:eastAsia="en-GB"/>
              </w:rPr>
              <w:t>CG</w:t>
            </w:r>
          </w:p>
        </w:tc>
      </w:tr>
      <w:tr w:rsidR="00687B10" w:rsidRPr="00EA37E9" w14:paraId="4347454A"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65FA4E51" w14:textId="5EF5477D" w:rsidR="00687B10" w:rsidRPr="00BB4743" w:rsidRDefault="5C74778C" w:rsidP="64C55F6E">
            <w:pPr>
              <w:rPr>
                <w:rFonts w:cs="Calibri"/>
                <w:b/>
                <w:bCs/>
                <w:sz w:val="20"/>
                <w:szCs w:val="20"/>
              </w:rPr>
            </w:pPr>
            <w:r w:rsidRPr="00BB4743">
              <w:rPr>
                <w:rFonts w:eastAsia="Calibri" w:cs="Calibri"/>
                <w:b/>
                <w:bCs/>
                <w:color w:val="000000"/>
                <w:sz w:val="20"/>
                <w:szCs w:val="20"/>
              </w:rPr>
              <w:t>Khagendra KC, Bhagawan Shresta</w:t>
            </w:r>
          </w:p>
        </w:tc>
        <w:tc>
          <w:tcPr>
            <w:tcW w:w="3221" w:type="dxa"/>
          </w:tcPr>
          <w:p w14:paraId="4E9B6253" w14:textId="103DA519" w:rsidR="00687B10" w:rsidRPr="00BB4743" w:rsidRDefault="5C74778C" w:rsidP="00BB4743">
            <w:pPr>
              <w:rPr>
                <w:rFonts w:cs="Calibri"/>
                <w:color w:val="auto"/>
                <w:sz w:val="20"/>
                <w:szCs w:val="20"/>
                <w:lang w:eastAsia="en-GB"/>
              </w:rPr>
            </w:pPr>
            <w:r w:rsidRPr="00BB4743">
              <w:rPr>
                <w:rFonts w:cs="Calibri"/>
                <w:color w:val="auto"/>
                <w:sz w:val="20"/>
                <w:szCs w:val="20"/>
                <w:lang w:eastAsia="en-GB"/>
              </w:rPr>
              <w:t>FHI</w:t>
            </w:r>
          </w:p>
        </w:tc>
        <w:tc>
          <w:tcPr>
            <w:tcW w:w="3221" w:type="dxa"/>
          </w:tcPr>
          <w:p w14:paraId="3A17EF62" w14:textId="054DD232" w:rsidR="00687B10" w:rsidRPr="00BB4743" w:rsidRDefault="5C74778C" w:rsidP="00BB4743">
            <w:pPr>
              <w:rPr>
                <w:rFonts w:cs="Calibri"/>
                <w:color w:val="auto"/>
                <w:sz w:val="20"/>
                <w:szCs w:val="20"/>
                <w:lang w:eastAsia="en-GB"/>
              </w:rPr>
            </w:pPr>
            <w:r w:rsidRPr="00BB4743">
              <w:rPr>
                <w:rFonts w:cs="Calibri"/>
                <w:color w:val="auto"/>
                <w:sz w:val="20"/>
                <w:szCs w:val="20"/>
                <w:lang w:eastAsia="en-GB"/>
              </w:rPr>
              <w:t>Country Director</w:t>
            </w:r>
          </w:p>
        </w:tc>
      </w:tr>
      <w:tr w:rsidR="00687B10" w:rsidRPr="00EA37E9" w14:paraId="224448EF"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2039F4B0" w14:textId="308D5344" w:rsidR="00687B10" w:rsidRPr="00BB4743" w:rsidRDefault="5C74778C" w:rsidP="64C55F6E">
            <w:pPr>
              <w:rPr>
                <w:rFonts w:cs="Calibri"/>
                <w:b/>
                <w:bCs/>
                <w:sz w:val="20"/>
                <w:szCs w:val="20"/>
              </w:rPr>
            </w:pPr>
            <w:r w:rsidRPr="00BB4743">
              <w:rPr>
                <w:rFonts w:eastAsia="Calibri" w:cs="Calibri"/>
                <w:b/>
                <w:bCs/>
                <w:color w:val="000000"/>
                <w:sz w:val="20"/>
                <w:szCs w:val="20"/>
              </w:rPr>
              <w:t>Dr Ritu Amatya</w:t>
            </w:r>
          </w:p>
        </w:tc>
        <w:tc>
          <w:tcPr>
            <w:tcW w:w="3221" w:type="dxa"/>
          </w:tcPr>
          <w:p w14:paraId="6A6CBE61" w14:textId="63D9680F" w:rsidR="00687B10" w:rsidRPr="00BB4743" w:rsidRDefault="5C74778C" w:rsidP="00BB4743">
            <w:pPr>
              <w:rPr>
                <w:rFonts w:cs="Calibri"/>
                <w:color w:val="auto"/>
                <w:sz w:val="20"/>
                <w:szCs w:val="20"/>
                <w:lang w:eastAsia="en-GB"/>
              </w:rPr>
            </w:pPr>
            <w:r w:rsidRPr="00BB4743">
              <w:rPr>
                <w:rFonts w:cs="Calibri"/>
                <w:color w:val="auto"/>
                <w:sz w:val="20"/>
                <w:szCs w:val="20"/>
                <w:lang w:eastAsia="en-GB"/>
              </w:rPr>
              <w:t>FHI</w:t>
            </w:r>
          </w:p>
        </w:tc>
        <w:tc>
          <w:tcPr>
            <w:tcW w:w="3221" w:type="dxa"/>
          </w:tcPr>
          <w:p w14:paraId="68D08326" w14:textId="074BCF63" w:rsidR="00687B10" w:rsidRPr="00BB4743" w:rsidRDefault="5C74778C" w:rsidP="00BB4743">
            <w:pPr>
              <w:rPr>
                <w:rFonts w:cs="Calibri"/>
                <w:color w:val="auto"/>
                <w:sz w:val="20"/>
                <w:szCs w:val="20"/>
                <w:lang w:eastAsia="en-GB"/>
              </w:rPr>
            </w:pPr>
            <w:r w:rsidRPr="00BB4743">
              <w:rPr>
                <w:rFonts w:cs="Calibri"/>
                <w:color w:val="auto"/>
                <w:sz w:val="20"/>
                <w:szCs w:val="20"/>
                <w:lang w:eastAsia="en-GB"/>
              </w:rPr>
              <w:t>Programme Director</w:t>
            </w:r>
          </w:p>
        </w:tc>
      </w:tr>
      <w:tr w:rsidR="00687B10" w:rsidRPr="00EA37E9" w14:paraId="5E12DFF6"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30AEC387" w14:textId="5D673D82" w:rsidR="00687B10" w:rsidRPr="00BB4743" w:rsidRDefault="5C74778C" w:rsidP="64C55F6E">
            <w:pPr>
              <w:rPr>
                <w:rFonts w:cs="Calibri"/>
                <w:b/>
                <w:bCs/>
                <w:sz w:val="20"/>
                <w:szCs w:val="20"/>
              </w:rPr>
            </w:pPr>
            <w:r w:rsidRPr="00BB4743">
              <w:rPr>
                <w:rFonts w:eastAsia="Calibri" w:cs="Calibri"/>
                <w:b/>
                <w:bCs/>
                <w:color w:val="000000"/>
                <w:sz w:val="20"/>
                <w:szCs w:val="20"/>
              </w:rPr>
              <w:t>Parishan Shrestha</w:t>
            </w:r>
          </w:p>
        </w:tc>
        <w:tc>
          <w:tcPr>
            <w:tcW w:w="3221" w:type="dxa"/>
          </w:tcPr>
          <w:p w14:paraId="3B8FEF8E" w14:textId="3C42BABD" w:rsidR="00687B10" w:rsidRPr="00BB4743" w:rsidRDefault="5C74778C" w:rsidP="00BB4743">
            <w:pPr>
              <w:rPr>
                <w:rFonts w:cs="Calibri"/>
                <w:color w:val="auto"/>
                <w:sz w:val="20"/>
                <w:szCs w:val="20"/>
                <w:lang w:eastAsia="en-GB"/>
              </w:rPr>
            </w:pPr>
            <w:r w:rsidRPr="00BB4743">
              <w:rPr>
                <w:rFonts w:cs="Calibri"/>
                <w:color w:val="auto"/>
                <w:sz w:val="20"/>
                <w:szCs w:val="20"/>
                <w:lang w:eastAsia="en-GB"/>
              </w:rPr>
              <w:t>FHI</w:t>
            </w:r>
          </w:p>
        </w:tc>
        <w:tc>
          <w:tcPr>
            <w:tcW w:w="3221" w:type="dxa"/>
          </w:tcPr>
          <w:p w14:paraId="1BE5E870" w14:textId="25BEE16C" w:rsidR="00687B10" w:rsidRPr="00BB4743" w:rsidRDefault="5C74778C" w:rsidP="00BB4743">
            <w:pPr>
              <w:rPr>
                <w:rFonts w:cs="Calibri"/>
                <w:color w:val="auto"/>
                <w:sz w:val="20"/>
                <w:szCs w:val="20"/>
                <w:lang w:eastAsia="en-GB"/>
              </w:rPr>
            </w:pPr>
            <w:r w:rsidRPr="00BB4743">
              <w:rPr>
                <w:rFonts w:cs="Calibri"/>
                <w:color w:val="auto"/>
                <w:sz w:val="20"/>
                <w:szCs w:val="20"/>
                <w:lang w:eastAsia="en-GB"/>
              </w:rPr>
              <w:t>AMU/C</w:t>
            </w:r>
          </w:p>
        </w:tc>
      </w:tr>
      <w:tr w:rsidR="64C55F6E" w:rsidRPr="00EA37E9" w14:paraId="3F61EF6F"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78887AB2" w14:textId="79F10126" w:rsidR="5C74778C" w:rsidRPr="00BB4743" w:rsidRDefault="5C74778C" w:rsidP="64C55F6E">
            <w:pPr>
              <w:rPr>
                <w:rFonts w:cs="Calibri"/>
                <w:b/>
                <w:bCs/>
                <w:sz w:val="20"/>
                <w:szCs w:val="20"/>
              </w:rPr>
            </w:pPr>
            <w:r w:rsidRPr="00BB4743">
              <w:rPr>
                <w:rFonts w:eastAsia="Calibri" w:cs="Calibri"/>
                <w:b/>
                <w:bCs/>
                <w:color w:val="000000"/>
                <w:sz w:val="20"/>
                <w:szCs w:val="20"/>
              </w:rPr>
              <w:t>Nabin Paudel</w:t>
            </w:r>
          </w:p>
        </w:tc>
        <w:tc>
          <w:tcPr>
            <w:tcW w:w="3221" w:type="dxa"/>
          </w:tcPr>
          <w:p w14:paraId="467339D2" w14:textId="2DB5170F" w:rsidR="5C74778C" w:rsidRPr="00BB4743" w:rsidRDefault="5C74778C" w:rsidP="00BB4743">
            <w:pPr>
              <w:rPr>
                <w:rFonts w:cs="Calibri"/>
                <w:color w:val="auto"/>
                <w:sz w:val="20"/>
                <w:szCs w:val="20"/>
                <w:lang w:eastAsia="en-GB"/>
              </w:rPr>
            </w:pPr>
            <w:r w:rsidRPr="00BB4743">
              <w:rPr>
                <w:rFonts w:cs="Calibri"/>
                <w:color w:val="auto"/>
                <w:sz w:val="20"/>
                <w:szCs w:val="20"/>
                <w:lang w:eastAsia="en-GB"/>
              </w:rPr>
              <w:t>FHI</w:t>
            </w:r>
          </w:p>
        </w:tc>
        <w:tc>
          <w:tcPr>
            <w:tcW w:w="3221" w:type="dxa"/>
          </w:tcPr>
          <w:p w14:paraId="62C0E531" w14:textId="75BF506E" w:rsidR="5C74778C" w:rsidRPr="00BB4743" w:rsidRDefault="00265143" w:rsidP="00BB4743">
            <w:pPr>
              <w:rPr>
                <w:rFonts w:cs="Calibri"/>
                <w:color w:val="auto"/>
                <w:sz w:val="20"/>
                <w:szCs w:val="20"/>
                <w:lang w:eastAsia="en-GB"/>
              </w:rPr>
            </w:pPr>
            <w:r w:rsidRPr="00BB4743">
              <w:rPr>
                <w:rFonts w:cs="Calibri"/>
                <w:color w:val="auto"/>
                <w:sz w:val="20"/>
                <w:szCs w:val="20"/>
                <w:lang w:eastAsia="en-GB"/>
              </w:rPr>
              <w:t>AH</w:t>
            </w:r>
          </w:p>
        </w:tc>
      </w:tr>
      <w:tr w:rsidR="64C55F6E" w:rsidRPr="00EA37E9" w14:paraId="3234E7AA"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4B722E7F" w14:textId="0CBCCD71" w:rsidR="5C74778C" w:rsidRPr="00BB4743" w:rsidRDefault="5C74778C" w:rsidP="64C55F6E">
            <w:pPr>
              <w:rPr>
                <w:rFonts w:cs="Calibri"/>
                <w:b/>
                <w:bCs/>
                <w:sz w:val="20"/>
                <w:szCs w:val="20"/>
              </w:rPr>
            </w:pPr>
            <w:r w:rsidRPr="00BB4743">
              <w:rPr>
                <w:rFonts w:eastAsia="Calibri" w:cs="Calibri"/>
                <w:b/>
                <w:bCs/>
                <w:color w:val="000000"/>
                <w:sz w:val="20"/>
                <w:szCs w:val="20"/>
              </w:rPr>
              <w:t>Sanjay Bhandari</w:t>
            </w:r>
          </w:p>
        </w:tc>
        <w:tc>
          <w:tcPr>
            <w:tcW w:w="3221" w:type="dxa"/>
          </w:tcPr>
          <w:p w14:paraId="78B572AD" w14:textId="0EAEE1A4" w:rsidR="5C74778C" w:rsidRPr="00BB4743" w:rsidRDefault="5C74778C" w:rsidP="00BB4743">
            <w:pPr>
              <w:rPr>
                <w:rFonts w:cs="Calibri"/>
                <w:color w:val="auto"/>
                <w:sz w:val="20"/>
                <w:szCs w:val="20"/>
                <w:lang w:eastAsia="en-GB"/>
              </w:rPr>
            </w:pPr>
            <w:r w:rsidRPr="00BB4743">
              <w:rPr>
                <w:rFonts w:cs="Calibri"/>
                <w:color w:val="auto"/>
                <w:sz w:val="20"/>
                <w:szCs w:val="20"/>
                <w:lang w:eastAsia="en-GB"/>
              </w:rPr>
              <w:t>FHI</w:t>
            </w:r>
          </w:p>
        </w:tc>
        <w:tc>
          <w:tcPr>
            <w:tcW w:w="3221" w:type="dxa"/>
          </w:tcPr>
          <w:p w14:paraId="2EDE33BC" w14:textId="61D42080" w:rsidR="5C74778C" w:rsidRPr="00BB4743" w:rsidRDefault="5C74778C" w:rsidP="00BB4743">
            <w:pPr>
              <w:rPr>
                <w:rFonts w:cs="Calibri"/>
                <w:color w:val="auto"/>
                <w:sz w:val="20"/>
                <w:szCs w:val="20"/>
                <w:lang w:eastAsia="en-GB"/>
              </w:rPr>
            </w:pPr>
            <w:r w:rsidRPr="00BB4743">
              <w:rPr>
                <w:rFonts w:cs="Calibri"/>
                <w:color w:val="auto"/>
                <w:sz w:val="20"/>
                <w:szCs w:val="20"/>
                <w:lang w:eastAsia="en-GB"/>
              </w:rPr>
              <w:t>Surveillance</w:t>
            </w:r>
          </w:p>
        </w:tc>
      </w:tr>
      <w:tr w:rsidR="64C55F6E" w:rsidRPr="00EA37E9" w14:paraId="14D22B3D"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49588A4E" w14:textId="3BB2A68F" w:rsidR="5C74778C" w:rsidRPr="00BB4743" w:rsidRDefault="5C74778C" w:rsidP="64C55F6E">
            <w:pPr>
              <w:rPr>
                <w:rFonts w:cs="Calibri"/>
                <w:b/>
                <w:bCs/>
                <w:sz w:val="20"/>
                <w:szCs w:val="20"/>
              </w:rPr>
            </w:pPr>
            <w:r w:rsidRPr="00BB4743">
              <w:rPr>
                <w:rFonts w:eastAsia="Calibri" w:cs="Calibri"/>
                <w:b/>
                <w:bCs/>
                <w:color w:val="000000"/>
                <w:sz w:val="20"/>
                <w:szCs w:val="20"/>
              </w:rPr>
              <w:t>Hari Shankar Joshi</w:t>
            </w:r>
          </w:p>
        </w:tc>
        <w:tc>
          <w:tcPr>
            <w:tcW w:w="3221" w:type="dxa"/>
          </w:tcPr>
          <w:p w14:paraId="4064F9F9" w14:textId="03389E72" w:rsidR="5C74778C" w:rsidRPr="00BB4743" w:rsidRDefault="5C74778C" w:rsidP="00BB4743">
            <w:pPr>
              <w:rPr>
                <w:rFonts w:cs="Calibri"/>
                <w:color w:val="auto"/>
                <w:sz w:val="20"/>
                <w:szCs w:val="20"/>
                <w:lang w:eastAsia="en-GB"/>
              </w:rPr>
            </w:pPr>
            <w:r w:rsidRPr="00BB4743">
              <w:rPr>
                <w:rFonts w:cs="Calibri"/>
                <w:color w:val="auto"/>
                <w:sz w:val="20"/>
                <w:szCs w:val="20"/>
                <w:lang w:eastAsia="en-GB"/>
              </w:rPr>
              <w:t>FHI</w:t>
            </w:r>
          </w:p>
        </w:tc>
        <w:tc>
          <w:tcPr>
            <w:tcW w:w="3221" w:type="dxa"/>
          </w:tcPr>
          <w:p w14:paraId="722DD456" w14:textId="75818A70" w:rsidR="5C74778C" w:rsidRPr="00BB4743" w:rsidRDefault="5C74778C" w:rsidP="00BB4743">
            <w:pPr>
              <w:rPr>
                <w:rFonts w:cs="Calibri"/>
                <w:color w:val="auto"/>
                <w:sz w:val="20"/>
                <w:szCs w:val="20"/>
                <w:lang w:eastAsia="en-GB"/>
              </w:rPr>
            </w:pPr>
            <w:r w:rsidRPr="00BB4743">
              <w:rPr>
                <w:rFonts w:cs="Calibri"/>
                <w:color w:val="auto"/>
                <w:sz w:val="20"/>
                <w:szCs w:val="20"/>
                <w:lang w:eastAsia="en-GB"/>
              </w:rPr>
              <w:t>Food Sector</w:t>
            </w:r>
          </w:p>
        </w:tc>
      </w:tr>
      <w:tr w:rsidR="00771DB5" w:rsidRPr="000B3487" w14:paraId="0AC5094A"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1526C0F4" w14:textId="77777777" w:rsidR="00687B10" w:rsidRPr="00BB4743" w:rsidRDefault="00687B10" w:rsidP="00041B22">
            <w:pPr>
              <w:rPr>
                <w:rFonts w:cs="Calibri"/>
                <w:color w:val="FFFFFF" w:themeColor="background1"/>
                <w:sz w:val="20"/>
                <w:szCs w:val="20"/>
              </w:rPr>
            </w:pPr>
            <w:r w:rsidRPr="00BB4743">
              <w:rPr>
                <w:rFonts w:cs="Calibri"/>
                <w:color w:val="FFFFFF" w:themeColor="background1"/>
                <w:sz w:val="20"/>
                <w:szCs w:val="20"/>
                <w:lang w:eastAsia="en-GB"/>
              </w:rPr>
              <w:t>AMRCC Members</w:t>
            </w:r>
          </w:p>
        </w:tc>
      </w:tr>
      <w:tr w:rsidR="00687B10" w:rsidRPr="00EA37E9" w14:paraId="5BEEC9A6"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44021BA6" w14:textId="074E57FF" w:rsidR="00687B10" w:rsidRPr="00BB4743" w:rsidRDefault="00EE3BF1" w:rsidP="64C55F6E">
            <w:pPr>
              <w:spacing w:line="259" w:lineRule="auto"/>
              <w:rPr>
                <w:rFonts w:eastAsia="Calibri" w:cs="Calibri"/>
                <w:b/>
                <w:bCs/>
                <w:color w:val="000000"/>
                <w:sz w:val="20"/>
                <w:szCs w:val="20"/>
                <w:lang w:val="de-DE"/>
              </w:rPr>
            </w:pPr>
            <w:r>
              <w:rPr>
                <w:rFonts w:eastAsia="Calibri" w:cs="Calibri"/>
                <w:b/>
                <w:bCs/>
                <w:color w:val="000000"/>
                <w:sz w:val="20"/>
                <w:szCs w:val="20"/>
              </w:rPr>
              <w:t xml:space="preserve">Dr </w:t>
            </w:r>
            <w:r w:rsidR="3DD8003D" w:rsidRPr="00BB4743">
              <w:rPr>
                <w:rFonts w:eastAsia="Calibri" w:cs="Calibri"/>
                <w:b/>
                <w:bCs/>
                <w:color w:val="000000"/>
                <w:sz w:val="20"/>
                <w:szCs w:val="20"/>
              </w:rPr>
              <w:t>Madan Upadhyaya</w:t>
            </w:r>
          </w:p>
        </w:tc>
        <w:tc>
          <w:tcPr>
            <w:tcW w:w="3221" w:type="dxa"/>
          </w:tcPr>
          <w:p w14:paraId="1FEB78E3" w14:textId="1A2E00CE" w:rsidR="00687B10" w:rsidRPr="00BB4743" w:rsidRDefault="3DD8003D" w:rsidP="00BB4743">
            <w:pPr>
              <w:spacing w:line="259" w:lineRule="auto"/>
              <w:rPr>
                <w:rFonts w:eastAsia="Calibri" w:cs="Calibri"/>
                <w:color w:val="auto"/>
                <w:sz w:val="20"/>
                <w:szCs w:val="20"/>
              </w:rPr>
            </w:pPr>
            <w:r w:rsidRPr="00BB4743">
              <w:rPr>
                <w:rFonts w:eastAsia="Calibri" w:cs="Calibri"/>
                <w:color w:val="auto"/>
                <w:sz w:val="20"/>
                <w:szCs w:val="20"/>
              </w:rPr>
              <w:t>AMRMSC Member Secretary (MoHP)</w:t>
            </w:r>
          </w:p>
        </w:tc>
        <w:tc>
          <w:tcPr>
            <w:tcW w:w="3221" w:type="dxa"/>
          </w:tcPr>
          <w:p w14:paraId="27895E2E" w14:textId="0B00D8D5" w:rsidR="00687B10" w:rsidRPr="00BB4743" w:rsidRDefault="3DD8003D" w:rsidP="00BB4743">
            <w:pPr>
              <w:spacing w:line="259" w:lineRule="auto"/>
              <w:rPr>
                <w:rFonts w:eastAsia="Calibri" w:cs="Calibri"/>
                <w:color w:val="auto"/>
                <w:sz w:val="20"/>
                <w:szCs w:val="20"/>
              </w:rPr>
            </w:pPr>
            <w:r w:rsidRPr="00BB4743">
              <w:rPr>
                <w:rFonts w:eastAsia="Calibri" w:cs="Calibri"/>
                <w:color w:val="auto"/>
                <w:sz w:val="20"/>
                <w:szCs w:val="20"/>
              </w:rPr>
              <w:t>Chief QSRD</w:t>
            </w:r>
          </w:p>
        </w:tc>
      </w:tr>
      <w:tr w:rsidR="00771DB5" w:rsidRPr="000B3487" w14:paraId="73F894DE"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79274E6D" w14:textId="77777777" w:rsidR="00687B10" w:rsidRPr="00BB4743" w:rsidRDefault="00687B10" w:rsidP="00041B22">
            <w:pPr>
              <w:rPr>
                <w:rFonts w:cs="Calibri"/>
                <w:color w:val="FFFFFF" w:themeColor="background1"/>
                <w:sz w:val="20"/>
                <w:szCs w:val="20"/>
              </w:rPr>
            </w:pPr>
            <w:r w:rsidRPr="00BB4743">
              <w:rPr>
                <w:rFonts w:cs="Calibri"/>
                <w:color w:val="FFFFFF" w:themeColor="background1"/>
                <w:sz w:val="20"/>
                <w:szCs w:val="20"/>
                <w:lang w:eastAsia="en-GB"/>
              </w:rPr>
              <w:t>Other decision makers</w:t>
            </w:r>
          </w:p>
        </w:tc>
      </w:tr>
      <w:tr w:rsidR="00687B10" w:rsidRPr="00EA37E9" w14:paraId="78E9573D"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227410CC" w14:textId="05D8C8EB" w:rsidR="00687B10" w:rsidRPr="00BB4743" w:rsidRDefault="00EE3BF1" w:rsidP="64C55F6E">
            <w:pPr>
              <w:spacing w:line="259" w:lineRule="auto"/>
              <w:rPr>
                <w:rFonts w:eastAsia="Calibri" w:cs="Calibri"/>
                <w:b/>
                <w:bCs/>
                <w:color w:val="000000"/>
                <w:sz w:val="20"/>
                <w:szCs w:val="20"/>
              </w:rPr>
            </w:pPr>
            <w:r>
              <w:rPr>
                <w:rFonts w:eastAsia="Calibri" w:cs="Calibri"/>
                <w:b/>
                <w:bCs/>
                <w:color w:val="000000"/>
                <w:sz w:val="20"/>
                <w:szCs w:val="20"/>
              </w:rPr>
              <w:t xml:space="preserve">Dr </w:t>
            </w:r>
            <w:r w:rsidR="369848D8" w:rsidRPr="00BB4743">
              <w:rPr>
                <w:rFonts w:eastAsia="Calibri" w:cs="Calibri"/>
                <w:b/>
                <w:bCs/>
                <w:color w:val="000000"/>
                <w:sz w:val="20"/>
                <w:szCs w:val="20"/>
              </w:rPr>
              <w:t>Dipendra Raman Singh</w:t>
            </w:r>
          </w:p>
        </w:tc>
        <w:tc>
          <w:tcPr>
            <w:tcW w:w="3221" w:type="dxa"/>
          </w:tcPr>
          <w:p w14:paraId="59B5173B" w14:textId="04A9EABA" w:rsidR="00687B10" w:rsidRPr="00BB4743" w:rsidRDefault="369848D8" w:rsidP="00041B22">
            <w:pPr>
              <w:spacing w:line="259" w:lineRule="auto"/>
              <w:rPr>
                <w:rFonts w:eastAsia="Calibri" w:cs="Calibri"/>
                <w:color w:val="auto"/>
                <w:sz w:val="20"/>
                <w:szCs w:val="20"/>
              </w:rPr>
            </w:pPr>
            <w:r w:rsidRPr="00BB4743">
              <w:rPr>
                <w:rFonts w:eastAsia="Calibri" w:cs="Calibri"/>
                <w:color w:val="auto"/>
                <w:sz w:val="20"/>
                <w:szCs w:val="20"/>
              </w:rPr>
              <w:t>Department of Health Services</w:t>
            </w:r>
          </w:p>
        </w:tc>
        <w:tc>
          <w:tcPr>
            <w:tcW w:w="3221" w:type="dxa"/>
          </w:tcPr>
          <w:p w14:paraId="13492A52" w14:textId="478E5F29" w:rsidR="00687B10" w:rsidRPr="00BB4743" w:rsidRDefault="369848D8" w:rsidP="00BB4743">
            <w:pPr>
              <w:rPr>
                <w:rFonts w:cs="Calibri"/>
                <w:color w:val="auto"/>
                <w:sz w:val="20"/>
                <w:szCs w:val="20"/>
              </w:rPr>
            </w:pPr>
            <w:r w:rsidRPr="00BB4743">
              <w:rPr>
                <w:rFonts w:cs="Calibri"/>
                <w:sz w:val="20"/>
                <w:szCs w:val="20"/>
              </w:rPr>
              <w:t>Director General</w:t>
            </w:r>
          </w:p>
        </w:tc>
      </w:tr>
      <w:tr w:rsidR="64C55F6E" w:rsidRPr="00EA37E9" w14:paraId="5E1B566F"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600569A9" w14:textId="755647AC" w:rsidR="369848D8" w:rsidRPr="00BB4743" w:rsidRDefault="00EE3BF1" w:rsidP="64C55F6E">
            <w:pPr>
              <w:spacing w:line="259" w:lineRule="auto"/>
              <w:rPr>
                <w:rFonts w:eastAsia="Calibri" w:cs="Calibri"/>
                <w:b/>
                <w:bCs/>
                <w:color w:val="000000"/>
                <w:sz w:val="20"/>
                <w:szCs w:val="20"/>
              </w:rPr>
            </w:pPr>
            <w:r>
              <w:rPr>
                <w:rFonts w:eastAsia="Calibri" w:cs="Calibri"/>
                <w:b/>
                <w:bCs/>
                <w:color w:val="000000"/>
                <w:sz w:val="20"/>
                <w:szCs w:val="20"/>
              </w:rPr>
              <w:t xml:space="preserve">Dr </w:t>
            </w:r>
            <w:r w:rsidR="369848D8" w:rsidRPr="00BB4743">
              <w:rPr>
                <w:rFonts w:eastAsia="Calibri" w:cs="Calibri"/>
                <w:b/>
                <w:bCs/>
                <w:color w:val="000000"/>
                <w:sz w:val="20"/>
                <w:szCs w:val="20"/>
              </w:rPr>
              <w:t>Rama Nandan Tiwari</w:t>
            </w:r>
          </w:p>
        </w:tc>
        <w:tc>
          <w:tcPr>
            <w:tcW w:w="3221" w:type="dxa"/>
          </w:tcPr>
          <w:p w14:paraId="428DDD32" w14:textId="7390E78E" w:rsidR="369848D8" w:rsidRPr="00BB4743" w:rsidRDefault="369848D8" w:rsidP="00041B22">
            <w:pPr>
              <w:spacing w:line="259" w:lineRule="auto"/>
              <w:rPr>
                <w:rFonts w:eastAsia="Calibri" w:cs="Calibri"/>
                <w:color w:val="auto"/>
                <w:sz w:val="20"/>
                <w:szCs w:val="20"/>
              </w:rPr>
            </w:pPr>
            <w:r w:rsidRPr="00BB4743">
              <w:rPr>
                <w:rFonts w:eastAsia="Calibri" w:cs="Calibri"/>
                <w:color w:val="auto"/>
                <w:sz w:val="20"/>
                <w:szCs w:val="20"/>
              </w:rPr>
              <w:t>Department of Livestock Services</w:t>
            </w:r>
          </w:p>
        </w:tc>
        <w:tc>
          <w:tcPr>
            <w:tcW w:w="3221" w:type="dxa"/>
          </w:tcPr>
          <w:p w14:paraId="1B5AFFD0" w14:textId="6E663EC3" w:rsidR="369848D8" w:rsidRPr="00BB4743" w:rsidRDefault="369848D8" w:rsidP="00BB4743">
            <w:pPr>
              <w:rPr>
                <w:rFonts w:cs="Calibri"/>
                <w:color w:val="auto"/>
                <w:sz w:val="20"/>
                <w:szCs w:val="20"/>
              </w:rPr>
            </w:pPr>
            <w:r w:rsidRPr="00BB4743">
              <w:rPr>
                <w:rFonts w:cs="Calibri"/>
                <w:sz w:val="20"/>
                <w:szCs w:val="20"/>
              </w:rPr>
              <w:t>Director General</w:t>
            </w:r>
          </w:p>
        </w:tc>
      </w:tr>
      <w:tr w:rsidR="00771DB5" w:rsidRPr="000B3487" w14:paraId="586CCA6D"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2AC4BBFE" w14:textId="77777777" w:rsidR="00687B10" w:rsidRPr="00BB4743" w:rsidRDefault="00687B10" w:rsidP="00041B22">
            <w:pPr>
              <w:rPr>
                <w:rFonts w:cs="Calibri"/>
                <w:color w:val="FFFFFF" w:themeColor="background1"/>
                <w:sz w:val="20"/>
                <w:szCs w:val="20"/>
              </w:rPr>
            </w:pPr>
            <w:r w:rsidRPr="00BB4743">
              <w:rPr>
                <w:rFonts w:cs="Calibri"/>
                <w:color w:val="FFFFFF" w:themeColor="background1"/>
                <w:sz w:val="20"/>
                <w:szCs w:val="20"/>
                <w:lang w:eastAsia="en-GB"/>
              </w:rPr>
              <w:t>Policy Fellows HH</w:t>
            </w:r>
          </w:p>
        </w:tc>
      </w:tr>
      <w:tr w:rsidR="00687B10" w:rsidRPr="00EA37E9" w14:paraId="7387560C"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shd w:val="clear" w:color="auto" w:fill="auto"/>
          </w:tcPr>
          <w:p w14:paraId="609E988E" w14:textId="0220C8D9" w:rsidR="00687B10" w:rsidRPr="00BB4743" w:rsidRDefault="00EE3BF1" w:rsidP="64C55F6E">
            <w:pPr>
              <w:spacing w:line="259" w:lineRule="auto"/>
              <w:rPr>
                <w:rFonts w:eastAsia="Calibri" w:cs="Calibri"/>
                <w:b/>
                <w:bCs/>
                <w:color w:val="FFFFFF" w:themeColor="background1"/>
                <w:sz w:val="20"/>
                <w:szCs w:val="20"/>
              </w:rPr>
            </w:pPr>
            <w:r>
              <w:rPr>
                <w:rFonts w:eastAsia="Calibri" w:cs="Calibri"/>
                <w:b/>
                <w:bCs/>
                <w:color w:val="000000"/>
                <w:sz w:val="20"/>
                <w:szCs w:val="20"/>
              </w:rPr>
              <w:t xml:space="preserve">Dr </w:t>
            </w:r>
            <w:r w:rsidR="2317F961" w:rsidRPr="00BB4743">
              <w:rPr>
                <w:rFonts w:eastAsia="Calibri" w:cs="Calibri"/>
                <w:b/>
                <w:bCs/>
                <w:color w:val="000000"/>
                <w:sz w:val="20"/>
                <w:szCs w:val="20"/>
              </w:rPr>
              <w:t>Bikash Devkota</w:t>
            </w:r>
          </w:p>
        </w:tc>
        <w:tc>
          <w:tcPr>
            <w:tcW w:w="3221" w:type="dxa"/>
            <w:shd w:val="clear" w:color="auto" w:fill="auto"/>
          </w:tcPr>
          <w:p w14:paraId="3F4F5B13" w14:textId="784D4B7E" w:rsidR="00687B10" w:rsidRPr="00BB4743" w:rsidRDefault="2317F961" w:rsidP="00BB4743">
            <w:pPr>
              <w:spacing w:line="259" w:lineRule="auto"/>
              <w:rPr>
                <w:rFonts w:eastAsia="Calibri" w:cs="Calibri"/>
                <w:color w:val="auto"/>
                <w:sz w:val="20"/>
                <w:szCs w:val="20"/>
              </w:rPr>
            </w:pPr>
            <w:r w:rsidRPr="00BB4743">
              <w:rPr>
                <w:rFonts w:eastAsia="Calibri" w:cs="Calibri"/>
                <w:color w:val="auto"/>
                <w:sz w:val="20"/>
                <w:szCs w:val="20"/>
              </w:rPr>
              <w:t>Lumbini Province, Ministry of Health</w:t>
            </w:r>
          </w:p>
        </w:tc>
        <w:tc>
          <w:tcPr>
            <w:tcW w:w="3221" w:type="dxa"/>
            <w:shd w:val="clear" w:color="auto" w:fill="auto"/>
          </w:tcPr>
          <w:p w14:paraId="6265B96C" w14:textId="1F8C9102" w:rsidR="00687B10" w:rsidRPr="00BB4743" w:rsidRDefault="2317F961" w:rsidP="00BB4743">
            <w:pPr>
              <w:spacing w:line="259" w:lineRule="auto"/>
              <w:rPr>
                <w:rFonts w:eastAsia="Calibri" w:cs="Calibri"/>
                <w:color w:val="auto"/>
                <w:sz w:val="20"/>
                <w:szCs w:val="20"/>
              </w:rPr>
            </w:pPr>
            <w:r w:rsidRPr="00BB4743">
              <w:rPr>
                <w:rFonts w:eastAsia="Calibri" w:cs="Calibri"/>
                <w:color w:val="auto"/>
                <w:sz w:val="20"/>
                <w:szCs w:val="20"/>
              </w:rPr>
              <w:t>Secretary</w:t>
            </w:r>
          </w:p>
        </w:tc>
      </w:tr>
      <w:tr w:rsidR="00771DB5" w:rsidRPr="000B3487" w14:paraId="1531AB39"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29FD0731" w14:textId="7316887C" w:rsidR="00687B10" w:rsidRPr="00BB4743" w:rsidRDefault="2C504E7D" w:rsidP="00041B22">
            <w:pPr>
              <w:rPr>
                <w:rFonts w:cs="Calibri"/>
                <w:color w:val="FFFFFF" w:themeColor="background1"/>
                <w:sz w:val="20"/>
                <w:szCs w:val="20"/>
                <w:lang w:eastAsia="en-GB"/>
              </w:rPr>
            </w:pPr>
            <w:r w:rsidRPr="00BB4743">
              <w:rPr>
                <w:rFonts w:cs="Calibri"/>
                <w:color w:val="FFFFFF" w:themeColor="background1"/>
                <w:sz w:val="20"/>
                <w:szCs w:val="20"/>
                <w:lang w:eastAsia="en-GB"/>
              </w:rPr>
              <w:t xml:space="preserve">Policy Fellows </w:t>
            </w:r>
            <w:r w:rsidR="7EB1C12E" w:rsidRPr="00BB4743">
              <w:rPr>
                <w:rFonts w:cs="Calibri"/>
                <w:color w:val="FFFFFF" w:themeColor="background1"/>
                <w:sz w:val="20"/>
                <w:szCs w:val="20"/>
                <w:lang w:eastAsia="en-GB"/>
              </w:rPr>
              <w:t>A</w:t>
            </w:r>
            <w:r w:rsidRPr="00BB4743">
              <w:rPr>
                <w:rFonts w:cs="Calibri"/>
                <w:color w:val="FFFFFF" w:themeColor="background1"/>
                <w:sz w:val="20"/>
                <w:szCs w:val="20"/>
                <w:lang w:eastAsia="en-GB"/>
              </w:rPr>
              <w:t>H</w:t>
            </w:r>
          </w:p>
        </w:tc>
      </w:tr>
      <w:tr w:rsidR="64C55F6E" w:rsidRPr="00EA37E9" w14:paraId="5CB14A4A"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shd w:val="clear" w:color="auto" w:fill="auto"/>
          </w:tcPr>
          <w:p w14:paraId="4B856877" w14:textId="4951DBD4" w:rsidR="1B870EA9" w:rsidRPr="00BB4743" w:rsidRDefault="00EE3BF1" w:rsidP="64C55F6E">
            <w:pPr>
              <w:spacing w:line="259" w:lineRule="auto"/>
              <w:rPr>
                <w:rFonts w:eastAsia="Calibri" w:cs="Calibri"/>
                <w:b/>
                <w:bCs/>
                <w:color w:val="000000"/>
                <w:sz w:val="20"/>
                <w:szCs w:val="20"/>
              </w:rPr>
            </w:pPr>
            <w:r>
              <w:rPr>
                <w:rFonts w:eastAsia="Calibri" w:cs="Calibri"/>
                <w:b/>
                <w:bCs/>
                <w:color w:val="000000"/>
                <w:sz w:val="20"/>
                <w:szCs w:val="20"/>
              </w:rPr>
              <w:t xml:space="preserve">Dr </w:t>
            </w:r>
            <w:r w:rsidR="1B870EA9" w:rsidRPr="00BB4743">
              <w:rPr>
                <w:rFonts w:eastAsia="Calibri" w:cs="Calibri"/>
                <w:b/>
                <w:bCs/>
                <w:color w:val="000000"/>
                <w:sz w:val="20"/>
                <w:szCs w:val="20"/>
              </w:rPr>
              <w:t>Barun Sharma</w:t>
            </w:r>
          </w:p>
        </w:tc>
        <w:tc>
          <w:tcPr>
            <w:tcW w:w="3221" w:type="dxa"/>
            <w:shd w:val="clear" w:color="auto" w:fill="auto"/>
          </w:tcPr>
          <w:p w14:paraId="7A15BB0B" w14:textId="326C0F12" w:rsidR="1B870EA9" w:rsidRPr="00BB4743" w:rsidRDefault="1B870EA9" w:rsidP="00BB4743">
            <w:pPr>
              <w:rPr>
                <w:rFonts w:cs="Calibri"/>
                <w:color w:val="auto"/>
                <w:sz w:val="20"/>
                <w:szCs w:val="20"/>
                <w:lang w:eastAsia="en-GB"/>
              </w:rPr>
            </w:pPr>
            <w:r w:rsidRPr="00BB4743">
              <w:rPr>
                <w:rFonts w:cs="Calibri"/>
                <w:color w:val="auto"/>
                <w:sz w:val="20"/>
                <w:szCs w:val="20"/>
                <w:lang w:eastAsia="en-GB"/>
              </w:rPr>
              <w:t>DGVS, Pulchowk</w:t>
            </w:r>
          </w:p>
        </w:tc>
        <w:tc>
          <w:tcPr>
            <w:tcW w:w="3221" w:type="dxa"/>
            <w:shd w:val="clear" w:color="auto" w:fill="auto"/>
          </w:tcPr>
          <w:p w14:paraId="137D7A4B" w14:textId="46C566B9" w:rsidR="1B870EA9" w:rsidRPr="00BB4743" w:rsidRDefault="1B870EA9" w:rsidP="00BB4743">
            <w:pPr>
              <w:rPr>
                <w:rFonts w:cs="Calibri"/>
                <w:color w:val="auto"/>
                <w:sz w:val="20"/>
                <w:szCs w:val="20"/>
                <w:lang w:eastAsia="en-GB"/>
              </w:rPr>
            </w:pPr>
            <w:r w:rsidRPr="00BB4743">
              <w:rPr>
                <w:rFonts w:cs="Calibri"/>
                <w:color w:val="auto"/>
                <w:sz w:val="20"/>
                <w:szCs w:val="20"/>
                <w:lang w:eastAsia="en-GB"/>
              </w:rPr>
              <w:t>Joint Secretary</w:t>
            </w:r>
          </w:p>
        </w:tc>
      </w:tr>
      <w:tr w:rsidR="00771DB5" w:rsidRPr="000B3487" w14:paraId="212BB101"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5067196D" w14:textId="465C35AD" w:rsidR="264902BC" w:rsidRPr="00BB4743" w:rsidRDefault="264902BC" w:rsidP="00041B22">
            <w:pPr>
              <w:rPr>
                <w:rFonts w:cs="Calibri"/>
                <w:color w:val="FFFFFF" w:themeColor="background1"/>
                <w:sz w:val="20"/>
                <w:szCs w:val="20"/>
                <w:lang w:eastAsia="en-GB"/>
              </w:rPr>
            </w:pPr>
            <w:r w:rsidRPr="00BB4743">
              <w:rPr>
                <w:rFonts w:cs="Calibri"/>
                <w:color w:val="FFFFFF" w:themeColor="background1"/>
                <w:sz w:val="20"/>
                <w:szCs w:val="20"/>
                <w:lang w:eastAsia="en-GB"/>
              </w:rPr>
              <w:t>Professional Fellows HH</w:t>
            </w:r>
          </w:p>
        </w:tc>
      </w:tr>
      <w:tr w:rsidR="64C55F6E" w:rsidRPr="00EA37E9" w14:paraId="477D353A"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shd w:val="clear" w:color="auto" w:fill="auto"/>
          </w:tcPr>
          <w:p w14:paraId="23E8F2E2" w14:textId="0DF3CCB7" w:rsidR="264902BC" w:rsidRPr="00BB4743" w:rsidRDefault="264902BC" w:rsidP="64C55F6E">
            <w:pPr>
              <w:rPr>
                <w:rFonts w:eastAsia="Calibri" w:cs="Calibri"/>
                <w:b/>
                <w:bCs/>
                <w:color w:val="000000"/>
                <w:sz w:val="20"/>
                <w:szCs w:val="20"/>
              </w:rPr>
            </w:pPr>
            <w:r w:rsidRPr="00BB4743">
              <w:rPr>
                <w:rFonts w:eastAsia="Calibri" w:cs="Calibri"/>
                <w:b/>
                <w:bCs/>
                <w:color w:val="000000"/>
                <w:sz w:val="20"/>
                <w:szCs w:val="20"/>
              </w:rPr>
              <w:t>Mrs. Jyoti Acharya</w:t>
            </w:r>
          </w:p>
        </w:tc>
        <w:tc>
          <w:tcPr>
            <w:tcW w:w="3221" w:type="dxa"/>
            <w:shd w:val="clear" w:color="auto" w:fill="auto"/>
          </w:tcPr>
          <w:p w14:paraId="1576CFFD" w14:textId="5E3CDFE2" w:rsidR="264902BC" w:rsidRPr="00BB4743" w:rsidRDefault="264902BC" w:rsidP="00BB4743">
            <w:pPr>
              <w:spacing w:line="259" w:lineRule="auto"/>
              <w:rPr>
                <w:rFonts w:eastAsia="Calibri" w:cs="Calibri"/>
                <w:color w:val="auto"/>
                <w:sz w:val="20"/>
                <w:szCs w:val="20"/>
              </w:rPr>
            </w:pPr>
            <w:r w:rsidRPr="00BB4743">
              <w:rPr>
                <w:rFonts w:eastAsia="Calibri" w:cs="Calibri"/>
                <w:color w:val="auto"/>
                <w:sz w:val="20"/>
                <w:szCs w:val="20"/>
              </w:rPr>
              <w:t>National Public Health Laboratory</w:t>
            </w:r>
          </w:p>
        </w:tc>
        <w:tc>
          <w:tcPr>
            <w:tcW w:w="3221" w:type="dxa"/>
            <w:shd w:val="clear" w:color="auto" w:fill="auto"/>
          </w:tcPr>
          <w:p w14:paraId="6730B328" w14:textId="39ABFF39" w:rsidR="29B61197" w:rsidRPr="00BB4743" w:rsidRDefault="29B61197" w:rsidP="00BB4743">
            <w:pPr>
              <w:rPr>
                <w:rFonts w:cs="Calibri"/>
                <w:color w:val="auto"/>
                <w:sz w:val="20"/>
                <w:szCs w:val="20"/>
                <w:lang w:eastAsia="en-GB"/>
              </w:rPr>
            </w:pPr>
            <w:r w:rsidRPr="00BB4743">
              <w:rPr>
                <w:rFonts w:cs="Calibri"/>
                <w:color w:val="auto"/>
                <w:sz w:val="20"/>
                <w:szCs w:val="20"/>
                <w:lang w:eastAsia="en-GB"/>
              </w:rPr>
              <w:t>Human Health Fellow</w:t>
            </w:r>
          </w:p>
        </w:tc>
      </w:tr>
      <w:tr w:rsidR="00771DB5" w:rsidRPr="000B3487" w14:paraId="7E181BEA"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2D8262E1" w14:textId="77777777" w:rsidR="00687B10" w:rsidRPr="00BB4743" w:rsidRDefault="00687B10" w:rsidP="00041B22">
            <w:pPr>
              <w:rPr>
                <w:rFonts w:cs="Calibri"/>
                <w:color w:val="FFFFFF" w:themeColor="background1"/>
                <w:sz w:val="20"/>
                <w:szCs w:val="20"/>
                <w:lang w:eastAsia="en-GB"/>
              </w:rPr>
            </w:pPr>
            <w:r w:rsidRPr="00BB4743">
              <w:rPr>
                <w:rFonts w:cs="Calibri"/>
                <w:color w:val="FFFFFF" w:themeColor="background1"/>
                <w:sz w:val="20"/>
                <w:szCs w:val="20"/>
                <w:lang w:eastAsia="en-GB"/>
              </w:rPr>
              <w:t>Professional Fellows AH</w:t>
            </w:r>
          </w:p>
        </w:tc>
      </w:tr>
      <w:tr w:rsidR="00687B10" w:rsidRPr="00EA37E9" w14:paraId="6D11E42A"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7DF3D977" w14:textId="7FC2311B" w:rsidR="00687B10" w:rsidRPr="00BB4743" w:rsidRDefault="00EE3BF1" w:rsidP="64C55F6E">
            <w:pPr>
              <w:spacing w:line="259" w:lineRule="auto"/>
              <w:rPr>
                <w:rFonts w:eastAsia="Calibri" w:cs="Calibri"/>
                <w:b/>
                <w:bCs/>
                <w:color w:val="000000"/>
                <w:sz w:val="20"/>
                <w:szCs w:val="20"/>
              </w:rPr>
            </w:pPr>
            <w:r>
              <w:rPr>
                <w:rFonts w:eastAsia="Calibri" w:cs="Calibri"/>
                <w:b/>
                <w:bCs/>
                <w:color w:val="000000"/>
                <w:sz w:val="20"/>
                <w:szCs w:val="20"/>
              </w:rPr>
              <w:t xml:space="preserve">Dr </w:t>
            </w:r>
            <w:r w:rsidR="4E77F825" w:rsidRPr="00BB4743">
              <w:rPr>
                <w:rFonts w:eastAsia="Calibri" w:cs="Calibri"/>
                <w:b/>
                <w:bCs/>
                <w:color w:val="000000"/>
                <w:sz w:val="20"/>
                <w:szCs w:val="20"/>
              </w:rPr>
              <w:t>Suraj Subedi</w:t>
            </w:r>
          </w:p>
        </w:tc>
        <w:tc>
          <w:tcPr>
            <w:tcW w:w="3221" w:type="dxa"/>
          </w:tcPr>
          <w:p w14:paraId="0EEA9502" w14:textId="590DCB97" w:rsidR="00687B10" w:rsidRPr="00BB4743" w:rsidRDefault="4E77F825" w:rsidP="00BB4743">
            <w:pPr>
              <w:spacing w:line="259" w:lineRule="auto"/>
              <w:rPr>
                <w:rFonts w:eastAsia="Calibri" w:cs="Calibri"/>
                <w:color w:val="auto"/>
                <w:sz w:val="20"/>
                <w:szCs w:val="20"/>
              </w:rPr>
            </w:pPr>
            <w:r w:rsidRPr="00BB4743">
              <w:rPr>
                <w:rFonts w:eastAsia="Calibri" w:cs="Calibri"/>
                <w:color w:val="auto"/>
                <w:sz w:val="20"/>
                <w:szCs w:val="20"/>
              </w:rPr>
              <w:t>CVL, Tripureshwor</w:t>
            </w:r>
          </w:p>
        </w:tc>
        <w:tc>
          <w:tcPr>
            <w:tcW w:w="3221" w:type="dxa"/>
          </w:tcPr>
          <w:p w14:paraId="58631B0F" w14:textId="4C6FB664" w:rsidR="00687B10" w:rsidRPr="00BB4743" w:rsidRDefault="4E77F825" w:rsidP="00BB4743">
            <w:pPr>
              <w:rPr>
                <w:rFonts w:cs="Calibri"/>
                <w:color w:val="auto"/>
                <w:sz w:val="20"/>
                <w:szCs w:val="20"/>
              </w:rPr>
            </w:pPr>
            <w:r w:rsidRPr="00BB4743">
              <w:rPr>
                <w:rFonts w:cs="Calibri"/>
                <w:sz w:val="20"/>
                <w:szCs w:val="20"/>
              </w:rPr>
              <w:t>Veterinary Officer</w:t>
            </w:r>
          </w:p>
        </w:tc>
      </w:tr>
      <w:tr w:rsidR="64C55F6E" w:rsidRPr="00EA37E9" w14:paraId="152CF9F0"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3784C66" w14:textId="333C2A64" w:rsidR="4E77F825" w:rsidRPr="00BB4743" w:rsidRDefault="00EE3BF1" w:rsidP="64C55F6E">
            <w:pPr>
              <w:spacing w:line="259" w:lineRule="auto"/>
              <w:rPr>
                <w:rFonts w:eastAsia="Calibri" w:cs="Calibri"/>
                <w:b/>
                <w:bCs/>
                <w:color w:val="000000"/>
                <w:sz w:val="20"/>
                <w:szCs w:val="20"/>
              </w:rPr>
            </w:pPr>
            <w:r>
              <w:rPr>
                <w:rFonts w:eastAsia="Calibri" w:cs="Calibri"/>
                <w:b/>
                <w:bCs/>
                <w:color w:val="000000"/>
                <w:sz w:val="20"/>
                <w:szCs w:val="20"/>
              </w:rPr>
              <w:t xml:space="preserve">Dr </w:t>
            </w:r>
            <w:r w:rsidR="4E77F825" w:rsidRPr="00BB4743">
              <w:rPr>
                <w:rFonts w:eastAsia="Calibri" w:cs="Calibri"/>
                <w:b/>
                <w:bCs/>
                <w:color w:val="000000"/>
                <w:sz w:val="20"/>
                <w:szCs w:val="20"/>
              </w:rPr>
              <w:t>Tulsi Ram Gampo</w:t>
            </w:r>
          </w:p>
        </w:tc>
        <w:tc>
          <w:tcPr>
            <w:tcW w:w="3221" w:type="dxa"/>
          </w:tcPr>
          <w:p w14:paraId="10FBA3C7" w14:textId="55E2D5C6" w:rsidR="4E77F825" w:rsidRPr="00BB4743" w:rsidRDefault="4E77F825" w:rsidP="00BB4743">
            <w:pPr>
              <w:spacing w:line="259" w:lineRule="auto"/>
              <w:rPr>
                <w:rFonts w:eastAsia="Calibri" w:cs="Calibri"/>
                <w:color w:val="auto"/>
                <w:sz w:val="20"/>
                <w:szCs w:val="20"/>
              </w:rPr>
            </w:pPr>
            <w:r w:rsidRPr="00BB4743">
              <w:rPr>
                <w:rFonts w:eastAsia="Calibri" w:cs="Calibri"/>
                <w:color w:val="auto"/>
                <w:sz w:val="20"/>
                <w:szCs w:val="20"/>
              </w:rPr>
              <w:t>CVL</w:t>
            </w:r>
          </w:p>
        </w:tc>
        <w:tc>
          <w:tcPr>
            <w:tcW w:w="3221" w:type="dxa"/>
          </w:tcPr>
          <w:p w14:paraId="0F01F5B5" w14:textId="3BE2C69E" w:rsidR="4E77F825" w:rsidRPr="00BB4743" w:rsidRDefault="4E77F825" w:rsidP="00BB4743">
            <w:pPr>
              <w:rPr>
                <w:rFonts w:cs="Calibri"/>
                <w:color w:val="auto"/>
                <w:sz w:val="20"/>
                <w:szCs w:val="20"/>
              </w:rPr>
            </w:pPr>
            <w:r w:rsidRPr="00BB4743">
              <w:rPr>
                <w:rFonts w:cs="Calibri"/>
                <w:sz w:val="20"/>
                <w:szCs w:val="20"/>
              </w:rPr>
              <w:t>Veterinary Officer</w:t>
            </w:r>
          </w:p>
        </w:tc>
      </w:tr>
      <w:tr w:rsidR="00771DB5" w:rsidRPr="000B3487" w14:paraId="7F4E5551"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01E9F279" w14:textId="7AD72D3A" w:rsidR="384F8235" w:rsidRPr="00BB4743" w:rsidRDefault="384F8235" w:rsidP="00041B22">
            <w:pPr>
              <w:rPr>
                <w:rFonts w:cs="Calibri"/>
                <w:color w:val="FFFFFF" w:themeColor="background1"/>
                <w:sz w:val="20"/>
                <w:szCs w:val="20"/>
              </w:rPr>
            </w:pPr>
            <w:r w:rsidRPr="00BB4743">
              <w:rPr>
                <w:rFonts w:cs="Calibri"/>
                <w:color w:val="FFFFFF" w:themeColor="background1"/>
                <w:sz w:val="20"/>
                <w:szCs w:val="20"/>
              </w:rPr>
              <w:t>AMC Focal Point</w:t>
            </w:r>
          </w:p>
        </w:tc>
      </w:tr>
      <w:tr w:rsidR="00687B10" w:rsidRPr="00EA37E9" w14:paraId="3057535F"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D86ED6E" w14:textId="22ECB578" w:rsidR="00687B10" w:rsidRPr="00BB4743" w:rsidRDefault="384F8235" w:rsidP="64C55F6E">
            <w:pPr>
              <w:spacing w:line="259" w:lineRule="auto"/>
              <w:rPr>
                <w:rFonts w:eastAsia="Calibri" w:cs="Calibri"/>
                <w:b/>
                <w:bCs/>
                <w:color w:val="000000"/>
                <w:sz w:val="20"/>
                <w:szCs w:val="20"/>
              </w:rPr>
            </w:pPr>
            <w:r w:rsidRPr="00BB4743">
              <w:rPr>
                <w:rFonts w:eastAsia="Calibri" w:cs="Calibri"/>
                <w:b/>
                <w:bCs/>
                <w:color w:val="000000"/>
                <w:sz w:val="20"/>
                <w:szCs w:val="20"/>
              </w:rPr>
              <w:t>Kiran Sundar Bajracharya</w:t>
            </w:r>
          </w:p>
        </w:tc>
        <w:tc>
          <w:tcPr>
            <w:tcW w:w="3221" w:type="dxa"/>
          </w:tcPr>
          <w:p w14:paraId="6C4F8726" w14:textId="17E1EC12" w:rsidR="00687B10" w:rsidRPr="00BB4743" w:rsidRDefault="384F8235" w:rsidP="00BB4743">
            <w:pPr>
              <w:spacing w:line="259" w:lineRule="auto"/>
              <w:rPr>
                <w:rFonts w:eastAsia="Calibri" w:cs="Calibri"/>
                <w:color w:val="auto"/>
                <w:sz w:val="20"/>
                <w:szCs w:val="20"/>
              </w:rPr>
            </w:pPr>
            <w:r w:rsidRPr="00BB4743">
              <w:rPr>
                <w:rFonts w:eastAsia="Calibri" w:cs="Calibri"/>
                <w:color w:val="auto"/>
                <w:sz w:val="20"/>
                <w:szCs w:val="20"/>
              </w:rPr>
              <w:t>Department of Drug Administration, Bijulibazar</w:t>
            </w:r>
          </w:p>
        </w:tc>
        <w:tc>
          <w:tcPr>
            <w:tcW w:w="3221" w:type="dxa"/>
          </w:tcPr>
          <w:p w14:paraId="4200B61D" w14:textId="4DFE2B4B" w:rsidR="00687B10" w:rsidRPr="00BB4743" w:rsidRDefault="384F8235" w:rsidP="00BB4743">
            <w:pPr>
              <w:spacing w:line="259" w:lineRule="auto"/>
              <w:rPr>
                <w:rFonts w:eastAsia="Calibri" w:cs="Calibri"/>
                <w:color w:val="auto"/>
                <w:sz w:val="20"/>
                <w:szCs w:val="20"/>
              </w:rPr>
            </w:pPr>
            <w:r w:rsidRPr="00BB4743">
              <w:rPr>
                <w:rFonts w:eastAsia="Calibri" w:cs="Calibri"/>
                <w:color w:val="auto"/>
                <w:sz w:val="20"/>
                <w:szCs w:val="20"/>
              </w:rPr>
              <w:t>Pharmacy Officer</w:t>
            </w:r>
          </w:p>
        </w:tc>
      </w:tr>
      <w:tr w:rsidR="00771DB5" w:rsidRPr="000B3487" w14:paraId="1DD78059"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6A9F1E7F" w14:textId="09D53BAD" w:rsidR="6347765E" w:rsidRPr="00BB4743" w:rsidRDefault="6347765E" w:rsidP="00041B22">
            <w:pPr>
              <w:rPr>
                <w:rFonts w:cs="Calibri"/>
                <w:color w:val="FFFFFF" w:themeColor="background1"/>
                <w:sz w:val="20"/>
                <w:szCs w:val="20"/>
              </w:rPr>
            </w:pPr>
            <w:r w:rsidRPr="00BB4743">
              <w:rPr>
                <w:rFonts w:cs="Calibri"/>
                <w:color w:val="FFFFFF" w:themeColor="background1"/>
                <w:sz w:val="20"/>
                <w:szCs w:val="20"/>
              </w:rPr>
              <w:t>AMR Focal Point</w:t>
            </w:r>
          </w:p>
        </w:tc>
      </w:tr>
      <w:tr w:rsidR="6A4048FE" w:rsidRPr="00EA37E9" w14:paraId="0EA105D5"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08BC363" w14:textId="10BD2099" w:rsidR="6347765E" w:rsidRPr="00BB4743" w:rsidRDefault="00EE3BF1" w:rsidP="6A4048FE">
            <w:pPr>
              <w:spacing w:line="259" w:lineRule="auto"/>
              <w:rPr>
                <w:rFonts w:eastAsia="Calibri" w:cs="Calibri"/>
                <w:b/>
                <w:bCs/>
                <w:color w:val="000000"/>
                <w:sz w:val="20"/>
                <w:szCs w:val="20"/>
              </w:rPr>
            </w:pPr>
            <w:r>
              <w:rPr>
                <w:rFonts w:eastAsia="Calibri" w:cs="Calibri"/>
                <w:b/>
                <w:bCs/>
                <w:color w:val="000000"/>
                <w:sz w:val="20"/>
                <w:szCs w:val="20"/>
              </w:rPr>
              <w:t xml:space="preserve">Dr </w:t>
            </w:r>
            <w:r w:rsidR="6347765E" w:rsidRPr="00BB4743">
              <w:rPr>
                <w:rFonts w:eastAsia="Calibri" w:cs="Calibri"/>
                <w:b/>
                <w:bCs/>
                <w:color w:val="000000"/>
                <w:sz w:val="20"/>
                <w:szCs w:val="20"/>
              </w:rPr>
              <w:t>Arun Govindakarnavara</w:t>
            </w:r>
          </w:p>
        </w:tc>
        <w:tc>
          <w:tcPr>
            <w:tcW w:w="3221" w:type="dxa"/>
          </w:tcPr>
          <w:p w14:paraId="1344924F" w14:textId="1D17D07E" w:rsidR="6347765E" w:rsidRPr="00BB4743" w:rsidRDefault="6347765E" w:rsidP="00BB4743">
            <w:pPr>
              <w:spacing w:line="259" w:lineRule="auto"/>
              <w:rPr>
                <w:rFonts w:eastAsia="Calibri" w:cs="Calibri"/>
                <w:color w:val="auto"/>
                <w:sz w:val="20"/>
                <w:szCs w:val="20"/>
              </w:rPr>
            </w:pPr>
            <w:r w:rsidRPr="00BB4743">
              <w:rPr>
                <w:rFonts w:eastAsia="Calibri" w:cs="Calibri"/>
                <w:color w:val="auto"/>
                <w:sz w:val="20"/>
                <w:szCs w:val="20"/>
              </w:rPr>
              <w:t>WHO</w:t>
            </w:r>
          </w:p>
        </w:tc>
        <w:tc>
          <w:tcPr>
            <w:tcW w:w="3221" w:type="dxa"/>
          </w:tcPr>
          <w:p w14:paraId="0BE096FA" w14:textId="26B5A913" w:rsidR="6347765E" w:rsidRPr="00BB4743" w:rsidRDefault="6347765E" w:rsidP="00BB4743">
            <w:pPr>
              <w:spacing w:line="259" w:lineRule="auto"/>
              <w:rPr>
                <w:rFonts w:eastAsia="Calibri" w:cs="Calibri"/>
                <w:color w:val="auto"/>
                <w:sz w:val="20"/>
                <w:szCs w:val="20"/>
              </w:rPr>
            </w:pPr>
            <w:r w:rsidRPr="00BB4743">
              <w:rPr>
                <w:rFonts w:eastAsia="Calibri" w:cs="Calibri"/>
                <w:color w:val="auto"/>
                <w:sz w:val="20"/>
                <w:szCs w:val="20"/>
              </w:rPr>
              <w:t>Technical Officer</w:t>
            </w:r>
          </w:p>
        </w:tc>
      </w:tr>
      <w:tr w:rsidR="6A4048FE" w:rsidRPr="00EA37E9" w14:paraId="1DED0C79"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3DA8C33" w14:textId="68467420" w:rsidR="6347765E" w:rsidRPr="00BB4743" w:rsidRDefault="00EE3BF1" w:rsidP="6A4048FE">
            <w:pPr>
              <w:spacing w:line="259" w:lineRule="auto"/>
              <w:rPr>
                <w:rFonts w:eastAsia="Calibri" w:cs="Calibri"/>
                <w:b/>
                <w:bCs/>
                <w:color w:val="000000"/>
                <w:sz w:val="20"/>
                <w:szCs w:val="20"/>
              </w:rPr>
            </w:pPr>
            <w:r>
              <w:rPr>
                <w:rFonts w:eastAsia="Calibri" w:cs="Calibri"/>
                <w:b/>
                <w:bCs/>
                <w:color w:val="000000"/>
                <w:sz w:val="20"/>
                <w:szCs w:val="20"/>
              </w:rPr>
              <w:t xml:space="preserve">Dr </w:t>
            </w:r>
            <w:r w:rsidR="6347765E" w:rsidRPr="00BB4743">
              <w:rPr>
                <w:rFonts w:eastAsia="Calibri" w:cs="Calibri"/>
                <w:b/>
                <w:bCs/>
                <w:color w:val="000000"/>
                <w:sz w:val="20"/>
                <w:szCs w:val="20"/>
              </w:rPr>
              <w:t>Palpasa Kansakar</w:t>
            </w:r>
          </w:p>
        </w:tc>
        <w:tc>
          <w:tcPr>
            <w:tcW w:w="3221" w:type="dxa"/>
          </w:tcPr>
          <w:p w14:paraId="4CFDCC6E" w14:textId="2F7261DA" w:rsidR="6347765E" w:rsidRPr="00BB4743" w:rsidRDefault="6347765E" w:rsidP="00BB4743">
            <w:pPr>
              <w:spacing w:line="259" w:lineRule="auto"/>
              <w:rPr>
                <w:rFonts w:eastAsia="Calibri" w:cs="Calibri"/>
                <w:color w:val="auto"/>
                <w:sz w:val="20"/>
                <w:szCs w:val="20"/>
              </w:rPr>
            </w:pPr>
            <w:r w:rsidRPr="00BB4743">
              <w:rPr>
                <w:rFonts w:eastAsia="Calibri" w:cs="Calibri"/>
                <w:color w:val="auto"/>
                <w:sz w:val="20"/>
                <w:szCs w:val="20"/>
              </w:rPr>
              <w:t>WHO</w:t>
            </w:r>
          </w:p>
        </w:tc>
        <w:tc>
          <w:tcPr>
            <w:tcW w:w="3221" w:type="dxa"/>
          </w:tcPr>
          <w:p w14:paraId="6F391BB6" w14:textId="585AF9AA" w:rsidR="6347765E" w:rsidRPr="00BB4743" w:rsidRDefault="6347765E" w:rsidP="00BB4743">
            <w:pPr>
              <w:spacing w:line="259" w:lineRule="auto"/>
              <w:rPr>
                <w:rFonts w:eastAsia="Calibri" w:cs="Calibri"/>
                <w:color w:val="auto"/>
                <w:sz w:val="20"/>
                <w:szCs w:val="20"/>
              </w:rPr>
            </w:pPr>
            <w:r w:rsidRPr="00BB4743">
              <w:rPr>
                <w:rFonts w:eastAsia="Calibri" w:cs="Calibri"/>
                <w:color w:val="auto"/>
                <w:sz w:val="20"/>
                <w:szCs w:val="20"/>
              </w:rPr>
              <w:t>National Professional Officer</w:t>
            </w:r>
          </w:p>
        </w:tc>
      </w:tr>
      <w:tr w:rsidR="00771DB5" w:rsidRPr="000B3487" w14:paraId="346D8628"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6EA5CDFB" w14:textId="36890795" w:rsidR="3F8E9BEA" w:rsidRPr="00BB4743" w:rsidRDefault="3F8E9BEA" w:rsidP="00041B22">
            <w:pPr>
              <w:spacing w:line="259" w:lineRule="auto"/>
              <w:rPr>
                <w:rFonts w:cs="Calibri"/>
                <w:color w:val="FFFFFF" w:themeColor="background1"/>
                <w:sz w:val="20"/>
                <w:szCs w:val="20"/>
              </w:rPr>
            </w:pPr>
            <w:r w:rsidRPr="00BB4743">
              <w:rPr>
                <w:rFonts w:cs="Calibri"/>
                <w:color w:val="FFFFFF" w:themeColor="background1"/>
                <w:sz w:val="20"/>
                <w:szCs w:val="20"/>
              </w:rPr>
              <w:t>GLASS Focal Point</w:t>
            </w:r>
          </w:p>
        </w:tc>
      </w:tr>
      <w:tr w:rsidR="64C55F6E" w:rsidRPr="00EA37E9" w14:paraId="3285C883"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EBDEB48" w14:textId="32D826E5" w:rsidR="3F8E9BEA" w:rsidRPr="00BB4743" w:rsidRDefault="3F8E9BEA" w:rsidP="64C55F6E">
            <w:pPr>
              <w:spacing w:line="259" w:lineRule="auto"/>
              <w:rPr>
                <w:rFonts w:eastAsia="Calibri" w:cs="Calibri"/>
                <w:b/>
                <w:bCs/>
                <w:color w:val="000000"/>
                <w:sz w:val="20"/>
                <w:szCs w:val="20"/>
              </w:rPr>
            </w:pPr>
            <w:r w:rsidRPr="00BB4743">
              <w:rPr>
                <w:rFonts w:eastAsia="Calibri" w:cs="Calibri"/>
                <w:b/>
                <w:bCs/>
                <w:color w:val="000000"/>
                <w:sz w:val="20"/>
                <w:szCs w:val="20"/>
              </w:rPr>
              <w:t>Mrs. Jyoti Acharya*</w:t>
            </w:r>
          </w:p>
        </w:tc>
        <w:tc>
          <w:tcPr>
            <w:tcW w:w="3221" w:type="dxa"/>
          </w:tcPr>
          <w:p w14:paraId="66860883" w14:textId="18399C48" w:rsidR="3F8E9BEA" w:rsidRPr="00BB4743" w:rsidRDefault="3F8E9BEA" w:rsidP="00BB4743">
            <w:pPr>
              <w:spacing w:line="259" w:lineRule="auto"/>
              <w:rPr>
                <w:rFonts w:eastAsia="Calibri" w:cs="Calibri"/>
                <w:color w:val="auto"/>
                <w:sz w:val="20"/>
                <w:szCs w:val="20"/>
              </w:rPr>
            </w:pPr>
            <w:r w:rsidRPr="00BB4743">
              <w:rPr>
                <w:rFonts w:eastAsia="Calibri" w:cs="Calibri"/>
                <w:color w:val="auto"/>
                <w:sz w:val="20"/>
                <w:szCs w:val="20"/>
              </w:rPr>
              <w:t>NPHL, Teku</w:t>
            </w:r>
          </w:p>
        </w:tc>
        <w:tc>
          <w:tcPr>
            <w:tcW w:w="3221" w:type="dxa"/>
          </w:tcPr>
          <w:p w14:paraId="212A31EB" w14:textId="0B295206" w:rsidR="3F8E9BEA" w:rsidRPr="00BB4743" w:rsidRDefault="3F8E9BEA" w:rsidP="00BB4743">
            <w:pPr>
              <w:spacing w:line="259" w:lineRule="auto"/>
              <w:rPr>
                <w:rFonts w:eastAsia="Calibri" w:cs="Calibri"/>
                <w:color w:val="auto"/>
                <w:sz w:val="20"/>
                <w:szCs w:val="20"/>
              </w:rPr>
            </w:pPr>
            <w:r w:rsidRPr="00BB4743">
              <w:rPr>
                <w:rFonts w:eastAsia="Calibri" w:cs="Calibri"/>
                <w:color w:val="auto"/>
                <w:sz w:val="20"/>
                <w:szCs w:val="20"/>
              </w:rPr>
              <w:t>GLASS Focal Point</w:t>
            </w:r>
          </w:p>
        </w:tc>
      </w:tr>
      <w:tr w:rsidR="00771DB5" w:rsidRPr="000B3487" w14:paraId="5CD86CB7"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3418668C" w14:textId="1EDC6950" w:rsidR="286FC368" w:rsidRPr="00BB4743" w:rsidRDefault="00121E83" w:rsidP="00041B22">
            <w:pPr>
              <w:spacing w:line="259" w:lineRule="auto"/>
              <w:rPr>
                <w:rFonts w:cs="Calibri"/>
                <w:color w:val="FFFFFF" w:themeColor="background1"/>
                <w:sz w:val="20"/>
                <w:szCs w:val="20"/>
              </w:rPr>
            </w:pPr>
            <w:r w:rsidRPr="00BB4743">
              <w:rPr>
                <w:rFonts w:cs="Calibri"/>
                <w:color w:val="FFFFFF" w:themeColor="background1"/>
                <w:sz w:val="20"/>
                <w:szCs w:val="20"/>
              </w:rPr>
              <w:t>WOAH</w:t>
            </w:r>
            <w:r w:rsidR="286FC368" w:rsidRPr="00BB4743">
              <w:rPr>
                <w:rFonts w:cs="Calibri"/>
                <w:color w:val="FFFFFF" w:themeColor="background1"/>
                <w:sz w:val="20"/>
                <w:szCs w:val="20"/>
              </w:rPr>
              <w:t xml:space="preserve"> Focal Point</w:t>
            </w:r>
          </w:p>
        </w:tc>
      </w:tr>
      <w:tr w:rsidR="64C55F6E" w:rsidRPr="00EA37E9" w14:paraId="05947B7D"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4B842E6D" w14:textId="004231A7" w:rsidR="286FC368" w:rsidRPr="00BB4743" w:rsidRDefault="00EE3BF1" w:rsidP="64C55F6E">
            <w:pPr>
              <w:spacing w:line="259" w:lineRule="auto"/>
              <w:rPr>
                <w:rFonts w:eastAsia="Calibri" w:cs="Calibri"/>
                <w:b/>
                <w:bCs/>
                <w:color w:val="000000"/>
                <w:sz w:val="20"/>
                <w:szCs w:val="20"/>
              </w:rPr>
            </w:pPr>
            <w:r>
              <w:rPr>
                <w:rFonts w:eastAsia="Calibri" w:cs="Calibri"/>
                <w:b/>
                <w:bCs/>
                <w:color w:val="000000"/>
                <w:sz w:val="20"/>
                <w:szCs w:val="20"/>
              </w:rPr>
              <w:t xml:space="preserve">Dr </w:t>
            </w:r>
            <w:r w:rsidR="286FC368" w:rsidRPr="00BB4743">
              <w:rPr>
                <w:rFonts w:eastAsia="Calibri" w:cs="Calibri"/>
                <w:b/>
                <w:bCs/>
                <w:color w:val="000000"/>
                <w:sz w:val="20"/>
                <w:szCs w:val="20"/>
              </w:rPr>
              <w:t>Nabin Upadhyaya</w:t>
            </w:r>
          </w:p>
        </w:tc>
        <w:tc>
          <w:tcPr>
            <w:tcW w:w="3221" w:type="dxa"/>
          </w:tcPr>
          <w:p w14:paraId="596E6D24" w14:textId="2C3CA293" w:rsidR="64C55F6E" w:rsidRPr="00BB4743" w:rsidRDefault="5ED9375A" w:rsidP="00BB4743">
            <w:pPr>
              <w:spacing w:line="259" w:lineRule="auto"/>
              <w:rPr>
                <w:rFonts w:eastAsia="Calibri" w:cs="Calibri"/>
                <w:color w:val="auto"/>
                <w:sz w:val="20"/>
                <w:szCs w:val="20"/>
              </w:rPr>
            </w:pPr>
            <w:r w:rsidRPr="00BB4743">
              <w:rPr>
                <w:rFonts w:eastAsia="Calibri" w:cs="Calibri"/>
                <w:color w:val="auto"/>
                <w:sz w:val="20"/>
                <w:szCs w:val="20"/>
              </w:rPr>
              <w:t>Government of Nepal, Ministry of Agriculture</w:t>
            </w:r>
          </w:p>
        </w:tc>
        <w:tc>
          <w:tcPr>
            <w:tcW w:w="3221" w:type="dxa"/>
          </w:tcPr>
          <w:p w14:paraId="6271C3CA" w14:textId="1B226A3F" w:rsidR="286FC368" w:rsidRPr="00BB4743" w:rsidRDefault="00121E83" w:rsidP="00BB4743">
            <w:pPr>
              <w:spacing w:line="259" w:lineRule="auto"/>
              <w:rPr>
                <w:rFonts w:eastAsia="Calibri" w:cs="Calibri"/>
                <w:color w:val="auto"/>
                <w:sz w:val="20"/>
                <w:szCs w:val="20"/>
              </w:rPr>
            </w:pPr>
            <w:r w:rsidRPr="00BB4743">
              <w:rPr>
                <w:rFonts w:eastAsia="Calibri" w:cs="Calibri"/>
                <w:color w:val="auto"/>
                <w:sz w:val="20"/>
                <w:szCs w:val="20"/>
              </w:rPr>
              <w:t>WOAH</w:t>
            </w:r>
            <w:r w:rsidR="286FC368" w:rsidRPr="00BB4743">
              <w:rPr>
                <w:rFonts w:eastAsia="Calibri" w:cs="Calibri"/>
                <w:color w:val="auto"/>
                <w:sz w:val="20"/>
                <w:szCs w:val="20"/>
              </w:rPr>
              <w:t xml:space="preserve"> Focal Point</w:t>
            </w:r>
          </w:p>
        </w:tc>
      </w:tr>
      <w:tr w:rsidR="00771DB5" w:rsidRPr="000B3487" w14:paraId="535A13E0"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21263F60" w14:textId="77777777" w:rsidR="00687B10" w:rsidRPr="00BB4743" w:rsidRDefault="00687B10" w:rsidP="00041B22">
            <w:pPr>
              <w:rPr>
                <w:rFonts w:cs="Calibri"/>
                <w:color w:val="FFFFFF" w:themeColor="background1"/>
                <w:sz w:val="20"/>
                <w:szCs w:val="20"/>
              </w:rPr>
            </w:pPr>
            <w:r w:rsidRPr="00BB4743">
              <w:rPr>
                <w:rFonts w:cs="Calibri"/>
                <w:color w:val="FFFFFF" w:themeColor="background1"/>
                <w:sz w:val="20"/>
                <w:szCs w:val="20"/>
              </w:rPr>
              <w:t>Development Partners/ Academia</w:t>
            </w:r>
          </w:p>
        </w:tc>
      </w:tr>
      <w:tr w:rsidR="00687B10" w:rsidRPr="00EA37E9" w14:paraId="52C5E7F3"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41B95596" w14:textId="33969BF6" w:rsidR="00687B10" w:rsidRPr="00BB4743" w:rsidRDefault="00EE3BF1" w:rsidP="64C55F6E">
            <w:pPr>
              <w:rPr>
                <w:rFonts w:cs="Calibri"/>
                <w:b/>
                <w:bCs/>
                <w:sz w:val="20"/>
                <w:szCs w:val="20"/>
              </w:rPr>
            </w:pPr>
            <w:r>
              <w:rPr>
                <w:rFonts w:eastAsia="Calibri" w:cs="Calibri"/>
                <w:b/>
                <w:bCs/>
                <w:color w:val="000000"/>
                <w:sz w:val="20"/>
                <w:szCs w:val="20"/>
              </w:rPr>
              <w:t xml:space="preserve">Dr </w:t>
            </w:r>
            <w:r w:rsidR="7B3C1B0F" w:rsidRPr="00BB4743">
              <w:rPr>
                <w:rFonts w:eastAsia="Calibri" w:cs="Calibri"/>
                <w:b/>
                <w:bCs/>
                <w:color w:val="000000"/>
                <w:sz w:val="20"/>
                <w:szCs w:val="20"/>
              </w:rPr>
              <w:t>Arun Govindakarnavara</w:t>
            </w:r>
            <w:r w:rsidR="000B5A53" w:rsidRPr="00BB4743">
              <w:rPr>
                <w:rFonts w:eastAsia="Calibri" w:cs="Calibri"/>
                <w:b/>
                <w:bCs/>
                <w:color w:val="000000"/>
                <w:sz w:val="20"/>
                <w:szCs w:val="20"/>
              </w:rPr>
              <w:t>*</w:t>
            </w:r>
          </w:p>
        </w:tc>
        <w:tc>
          <w:tcPr>
            <w:tcW w:w="3221" w:type="dxa"/>
          </w:tcPr>
          <w:p w14:paraId="7E1533D4" w14:textId="61DE6F47" w:rsidR="00687B10" w:rsidRPr="00BB4743" w:rsidRDefault="7B3C1B0F" w:rsidP="00BB4743">
            <w:pPr>
              <w:rPr>
                <w:rFonts w:cs="Calibri"/>
                <w:color w:val="auto"/>
                <w:sz w:val="20"/>
                <w:szCs w:val="20"/>
                <w:lang w:eastAsia="en-GB"/>
              </w:rPr>
            </w:pPr>
            <w:r w:rsidRPr="00BB4743">
              <w:rPr>
                <w:rFonts w:cs="Calibri"/>
                <w:sz w:val="20"/>
                <w:szCs w:val="20"/>
                <w:lang w:eastAsia="en-GB"/>
              </w:rPr>
              <w:t>WHO</w:t>
            </w:r>
          </w:p>
        </w:tc>
        <w:tc>
          <w:tcPr>
            <w:tcW w:w="3221" w:type="dxa"/>
          </w:tcPr>
          <w:p w14:paraId="0E725224" w14:textId="50E3CCCA" w:rsidR="00687B10" w:rsidRPr="00BB4743" w:rsidRDefault="7B3C1B0F" w:rsidP="00041B22">
            <w:pPr>
              <w:spacing w:line="259" w:lineRule="auto"/>
              <w:rPr>
                <w:rFonts w:eastAsia="Calibri" w:cs="Calibri"/>
                <w:color w:val="auto"/>
                <w:sz w:val="20"/>
                <w:szCs w:val="20"/>
              </w:rPr>
            </w:pPr>
            <w:r w:rsidRPr="00BB4743">
              <w:rPr>
                <w:rFonts w:eastAsia="Calibri" w:cs="Calibri"/>
                <w:color w:val="auto"/>
                <w:sz w:val="20"/>
                <w:szCs w:val="20"/>
              </w:rPr>
              <w:t>Medical Officer (Focal person for AMR)</w:t>
            </w:r>
          </w:p>
        </w:tc>
      </w:tr>
      <w:tr w:rsidR="00687B10" w:rsidRPr="00EA37E9" w14:paraId="1805F933"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0D6029F3" w14:textId="2FC39793" w:rsidR="00687B10" w:rsidRPr="00BB4743" w:rsidRDefault="00EE3BF1" w:rsidP="64C55F6E">
            <w:pPr>
              <w:rPr>
                <w:rFonts w:cs="Calibri"/>
                <w:b/>
                <w:bCs/>
                <w:sz w:val="20"/>
                <w:szCs w:val="20"/>
              </w:rPr>
            </w:pPr>
            <w:r>
              <w:rPr>
                <w:rFonts w:eastAsia="Calibri" w:cs="Calibri"/>
                <w:b/>
                <w:bCs/>
                <w:color w:val="000000"/>
                <w:sz w:val="20"/>
                <w:szCs w:val="20"/>
              </w:rPr>
              <w:t xml:space="preserve">Dr </w:t>
            </w:r>
            <w:r w:rsidR="7B3C1B0F" w:rsidRPr="00BB4743">
              <w:rPr>
                <w:rFonts w:eastAsia="Calibri" w:cs="Calibri"/>
                <w:b/>
                <w:bCs/>
                <w:color w:val="000000"/>
                <w:sz w:val="20"/>
                <w:szCs w:val="20"/>
              </w:rPr>
              <w:t>Palpasa Kansakar</w:t>
            </w:r>
            <w:r w:rsidR="00242724" w:rsidRPr="00BB4743">
              <w:rPr>
                <w:rFonts w:eastAsia="Calibri" w:cs="Calibri"/>
                <w:b/>
                <w:bCs/>
                <w:color w:val="000000"/>
                <w:sz w:val="20"/>
                <w:szCs w:val="20"/>
              </w:rPr>
              <w:t>*</w:t>
            </w:r>
          </w:p>
        </w:tc>
        <w:tc>
          <w:tcPr>
            <w:tcW w:w="3221" w:type="dxa"/>
          </w:tcPr>
          <w:p w14:paraId="3D360C7F" w14:textId="456EC8BB" w:rsidR="00687B10" w:rsidRPr="00BB4743" w:rsidRDefault="7B3C1B0F" w:rsidP="00BB4743">
            <w:pPr>
              <w:rPr>
                <w:rFonts w:cs="Calibri"/>
                <w:color w:val="auto"/>
                <w:sz w:val="20"/>
                <w:szCs w:val="20"/>
                <w:lang w:eastAsia="en-GB"/>
              </w:rPr>
            </w:pPr>
            <w:r w:rsidRPr="00BB4743">
              <w:rPr>
                <w:rFonts w:cs="Calibri"/>
                <w:sz w:val="20"/>
                <w:szCs w:val="20"/>
                <w:lang w:eastAsia="en-GB"/>
              </w:rPr>
              <w:t>WHO</w:t>
            </w:r>
          </w:p>
        </w:tc>
        <w:tc>
          <w:tcPr>
            <w:tcW w:w="3221" w:type="dxa"/>
          </w:tcPr>
          <w:p w14:paraId="5D8A26F9" w14:textId="5FFF7D93" w:rsidR="00687B10" w:rsidRPr="00BB4743" w:rsidRDefault="7B3C1B0F" w:rsidP="00BB4743">
            <w:pPr>
              <w:rPr>
                <w:rFonts w:cs="Calibri"/>
                <w:color w:val="auto"/>
                <w:sz w:val="20"/>
                <w:szCs w:val="20"/>
              </w:rPr>
            </w:pPr>
            <w:r w:rsidRPr="00BB4743">
              <w:rPr>
                <w:rFonts w:cs="Calibri"/>
                <w:sz w:val="20"/>
                <w:szCs w:val="20"/>
              </w:rPr>
              <w:t>Medical Officer</w:t>
            </w:r>
          </w:p>
        </w:tc>
      </w:tr>
      <w:tr w:rsidR="00687B10" w:rsidRPr="00EA37E9" w14:paraId="4324B12D"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3835CBBB" w14:textId="30AF40BD" w:rsidR="00687B10" w:rsidRPr="00BB4743" w:rsidRDefault="00EE3BF1" w:rsidP="64C55F6E">
            <w:pPr>
              <w:spacing w:line="259" w:lineRule="auto"/>
              <w:rPr>
                <w:rFonts w:eastAsia="Calibri" w:cs="Calibri"/>
                <w:b/>
                <w:bCs/>
                <w:color w:val="000000"/>
                <w:sz w:val="20"/>
                <w:szCs w:val="20"/>
              </w:rPr>
            </w:pPr>
            <w:r>
              <w:rPr>
                <w:rFonts w:eastAsia="Calibri" w:cs="Calibri"/>
                <w:b/>
                <w:bCs/>
                <w:color w:val="auto"/>
                <w:sz w:val="20"/>
                <w:szCs w:val="20"/>
              </w:rPr>
              <w:t xml:space="preserve">Dr </w:t>
            </w:r>
            <w:r w:rsidR="7B3C1B0F" w:rsidRPr="00BB4743">
              <w:rPr>
                <w:rFonts w:eastAsia="Calibri" w:cs="Calibri"/>
                <w:b/>
                <w:bCs/>
                <w:color w:val="auto"/>
                <w:sz w:val="20"/>
                <w:szCs w:val="20"/>
              </w:rPr>
              <w:t>Surendra Karki</w:t>
            </w:r>
          </w:p>
        </w:tc>
        <w:tc>
          <w:tcPr>
            <w:tcW w:w="3221" w:type="dxa"/>
          </w:tcPr>
          <w:p w14:paraId="02D5933D" w14:textId="3D37E131" w:rsidR="00687B10" w:rsidRPr="00BB4743" w:rsidRDefault="7B3C1B0F" w:rsidP="00BB4743">
            <w:pPr>
              <w:rPr>
                <w:rFonts w:cs="Calibri"/>
                <w:color w:val="auto"/>
                <w:sz w:val="20"/>
                <w:szCs w:val="20"/>
                <w:lang w:eastAsia="en-GB"/>
              </w:rPr>
            </w:pPr>
            <w:r w:rsidRPr="00BB4743">
              <w:rPr>
                <w:rFonts w:cs="Calibri"/>
                <w:sz w:val="20"/>
                <w:szCs w:val="20"/>
                <w:lang w:eastAsia="en-GB"/>
              </w:rPr>
              <w:t>FAO</w:t>
            </w:r>
          </w:p>
        </w:tc>
        <w:tc>
          <w:tcPr>
            <w:tcW w:w="3221" w:type="dxa"/>
          </w:tcPr>
          <w:p w14:paraId="567E3784" w14:textId="4BB495E9" w:rsidR="00687B10" w:rsidRPr="00BB4743" w:rsidRDefault="7B3C1B0F" w:rsidP="00041B22">
            <w:pPr>
              <w:spacing w:line="259" w:lineRule="auto"/>
              <w:rPr>
                <w:rFonts w:eastAsia="Roboto" w:cs="Calibri"/>
                <w:color w:val="auto"/>
                <w:sz w:val="20"/>
                <w:szCs w:val="20"/>
              </w:rPr>
            </w:pPr>
            <w:r w:rsidRPr="00BB4743">
              <w:rPr>
                <w:rFonts w:eastAsia="Roboto" w:cs="Calibri"/>
                <w:sz w:val="20"/>
                <w:szCs w:val="20"/>
              </w:rPr>
              <w:t>National Technical Coordinator at FAO</w:t>
            </w:r>
          </w:p>
        </w:tc>
      </w:tr>
      <w:tr w:rsidR="00771DB5" w:rsidRPr="000B3487" w14:paraId="360D81D2"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71ADDD3E" w14:textId="77777777" w:rsidR="00687B10" w:rsidRPr="00BB4743" w:rsidRDefault="00687B10" w:rsidP="00041B22">
            <w:pPr>
              <w:rPr>
                <w:rFonts w:cs="Calibri"/>
                <w:color w:val="FFFFFF" w:themeColor="background1"/>
                <w:sz w:val="20"/>
                <w:szCs w:val="20"/>
              </w:rPr>
            </w:pPr>
            <w:r w:rsidRPr="00BB4743">
              <w:rPr>
                <w:rFonts w:cs="Calibri"/>
                <w:color w:val="FFFFFF" w:themeColor="background1"/>
                <w:sz w:val="20"/>
                <w:szCs w:val="20"/>
              </w:rPr>
              <w:t>NRL &amp; Site Visit</w:t>
            </w:r>
          </w:p>
        </w:tc>
      </w:tr>
      <w:tr w:rsidR="00687B10" w:rsidRPr="00EA37E9" w14:paraId="4BF0AE5C"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3F3A1727" w14:textId="0F7592AF" w:rsidR="00687B10" w:rsidRPr="00BB4743" w:rsidRDefault="6AA49C37" w:rsidP="64C55F6E">
            <w:pPr>
              <w:spacing w:line="259" w:lineRule="auto"/>
              <w:rPr>
                <w:rFonts w:eastAsia="Calibri" w:cs="Calibri"/>
                <w:b/>
                <w:bCs/>
                <w:color w:val="auto"/>
                <w:sz w:val="20"/>
                <w:szCs w:val="20"/>
              </w:rPr>
            </w:pPr>
            <w:r w:rsidRPr="00BB4743">
              <w:rPr>
                <w:rFonts w:eastAsia="Calibri" w:cs="Calibri"/>
                <w:b/>
                <w:bCs/>
                <w:color w:val="auto"/>
                <w:sz w:val="20"/>
                <w:szCs w:val="20"/>
              </w:rPr>
              <w:t>Mrs. Jyoti Acharya*</w:t>
            </w:r>
            <w:r w:rsidR="4C5D2531" w:rsidRPr="00BB4743">
              <w:rPr>
                <w:rFonts w:eastAsia="Calibri" w:cs="Calibri"/>
                <w:b/>
                <w:bCs/>
                <w:color w:val="auto"/>
                <w:sz w:val="20"/>
                <w:szCs w:val="20"/>
              </w:rPr>
              <w:t>*</w:t>
            </w:r>
          </w:p>
        </w:tc>
        <w:tc>
          <w:tcPr>
            <w:tcW w:w="3221" w:type="dxa"/>
          </w:tcPr>
          <w:p w14:paraId="3297000C" w14:textId="07F9E7A9" w:rsidR="00687B10" w:rsidRPr="00BB4743" w:rsidRDefault="6AA49C37" w:rsidP="00BB4743">
            <w:pPr>
              <w:spacing w:line="259" w:lineRule="auto"/>
              <w:rPr>
                <w:rFonts w:eastAsia="Calibri" w:cs="Calibri"/>
                <w:color w:val="auto"/>
                <w:sz w:val="20"/>
                <w:szCs w:val="20"/>
              </w:rPr>
            </w:pPr>
            <w:r w:rsidRPr="00BB4743">
              <w:rPr>
                <w:rFonts w:eastAsia="Calibri" w:cs="Calibri"/>
                <w:color w:val="auto"/>
                <w:sz w:val="20"/>
                <w:szCs w:val="20"/>
              </w:rPr>
              <w:t>National Public Health Laboratory, Kathmandu (NRL, HH)</w:t>
            </w:r>
          </w:p>
        </w:tc>
        <w:tc>
          <w:tcPr>
            <w:tcW w:w="3221" w:type="dxa"/>
          </w:tcPr>
          <w:p w14:paraId="65E98DC5" w14:textId="212E641A" w:rsidR="00687B10" w:rsidRPr="00BB4743" w:rsidRDefault="6AA49C37" w:rsidP="00BB4743">
            <w:pPr>
              <w:rPr>
                <w:rFonts w:cs="Calibri"/>
                <w:color w:val="auto"/>
                <w:sz w:val="20"/>
                <w:szCs w:val="20"/>
              </w:rPr>
            </w:pPr>
            <w:r w:rsidRPr="00BB4743">
              <w:rPr>
                <w:rFonts w:cs="Calibri"/>
                <w:sz w:val="20"/>
                <w:szCs w:val="20"/>
              </w:rPr>
              <w:t>NRL Laboratory Manager</w:t>
            </w:r>
          </w:p>
        </w:tc>
      </w:tr>
      <w:tr w:rsidR="00765DFA" w:rsidRPr="00765DFA" w14:paraId="042ED277"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B5DD98F" w14:textId="70042164" w:rsidR="00687B10" w:rsidRPr="00765DFA" w:rsidRDefault="6AA49C37" w:rsidP="64C55F6E">
            <w:pPr>
              <w:rPr>
                <w:rFonts w:cs="Calibri"/>
                <w:b/>
                <w:bCs/>
                <w:color w:val="auto"/>
                <w:sz w:val="20"/>
                <w:szCs w:val="20"/>
                <w:lang w:eastAsia="en-GB"/>
              </w:rPr>
            </w:pPr>
            <w:r w:rsidRPr="00765DFA">
              <w:rPr>
                <w:rFonts w:cs="Calibri"/>
                <w:b/>
                <w:bCs/>
                <w:sz w:val="20"/>
                <w:szCs w:val="20"/>
                <w:lang w:eastAsia="en-GB"/>
              </w:rPr>
              <w:t>Dr Runa Jha</w:t>
            </w:r>
          </w:p>
        </w:tc>
        <w:tc>
          <w:tcPr>
            <w:tcW w:w="3221" w:type="dxa"/>
          </w:tcPr>
          <w:p w14:paraId="0A70307F" w14:textId="553EF0AE" w:rsidR="00687B10" w:rsidRPr="00765DFA" w:rsidRDefault="6AA49C37" w:rsidP="00BB4743">
            <w:pPr>
              <w:spacing w:line="259" w:lineRule="auto"/>
              <w:rPr>
                <w:rFonts w:eastAsia="Calibri" w:cs="Calibri"/>
                <w:color w:val="auto"/>
                <w:sz w:val="20"/>
                <w:szCs w:val="20"/>
              </w:rPr>
            </w:pPr>
            <w:r w:rsidRPr="00765DFA">
              <w:rPr>
                <w:rFonts w:eastAsia="Calibri" w:cs="Calibri"/>
                <w:color w:val="auto"/>
                <w:sz w:val="20"/>
                <w:szCs w:val="20"/>
              </w:rPr>
              <w:t>National Public Health Laboratory, Kathmandu (NRL, HH)</w:t>
            </w:r>
          </w:p>
        </w:tc>
        <w:tc>
          <w:tcPr>
            <w:tcW w:w="3221" w:type="dxa"/>
          </w:tcPr>
          <w:p w14:paraId="0D014132" w14:textId="4EE6BEAD" w:rsidR="00687B10" w:rsidRPr="00765DFA" w:rsidRDefault="6AA49C37" w:rsidP="00BB4743">
            <w:pPr>
              <w:rPr>
                <w:rFonts w:cs="Calibri"/>
                <w:color w:val="auto"/>
                <w:sz w:val="20"/>
                <w:szCs w:val="20"/>
              </w:rPr>
            </w:pPr>
            <w:r w:rsidRPr="00765DFA">
              <w:rPr>
                <w:rFonts w:cs="Calibri"/>
                <w:sz w:val="20"/>
                <w:szCs w:val="20"/>
              </w:rPr>
              <w:t>Director</w:t>
            </w:r>
          </w:p>
        </w:tc>
      </w:tr>
      <w:tr w:rsidR="00687B10" w:rsidRPr="00EA37E9" w14:paraId="3839E668"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34CD4A8" w14:textId="726D710C" w:rsidR="00687B10" w:rsidRPr="00BB4743" w:rsidRDefault="00EE3BF1" w:rsidP="64C55F6E">
            <w:pPr>
              <w:spacing w:line="259" w:lineRule="auto"/>
              <w:rPr>
                <w:rFonts w:eastAsia="Calibri" w:cs="Calibri"/>
                <w:b/>
                <w:bCs/>
                <w:color w:val="auto"/>
                <w:sz w:val="20"/>
                <w:szCs w:val="20"/>
              </w:rPr>
            </w:pPr>
            <w:r>
              <w:rPr>
                <w:rFonts w:eastAsia="Calibri" w:cs="Calibri"/>
                <w:b/>
                <w:bCs/>
                <w:color w:val="auto"/>
                <w:sz w:val="20"/>
                <w:szCs w:val="20"/>
              </w:rPr>
              <w:t xml:space="preserve">Dr </w:t>
            </w:r>
            <w:r w:rsidR="5BE88FDA" w:rsidRPr="00BB4743">
              <w:rPr>
                <w:rFonts w:eastAsia="Calibri" w:cs="Calibri"/>
                <w:b/>
                <w:bCs/>
                <w:color w:val="auto"/>
                <w:sz w:val="20"/>
                <w:szCs w:val="20"/>
              </w:rPr>
              <w:t>Sharmila Chapagain</w:t>
            </w:r>
          </w:p>
        </w:tc>
        <w:tc>
          <w:tcPr>
            <w:tcW w:w="3221" w:type="dxa"/>
          </w:tcPr>
          <w:p w14:paraId="0586F811" w14:textId="7F8AF9FE" w:rsidR="00687B10" w:rsidRPr="00BB4743" w:rsidRDefault="5BE88FDA" w:rsidP="00BB4743">
            <w:pPr>
              <w:spacing w:line="259" w:lineRule="auto"/>
              <w:rPr>
                <w:rFonts w:eastAsia="Calibri" w:cs="Calibri"/>
                <w:color w:val="auto"/>
                <w:sz w:val="20"/>
                <w:szCs w:val="20"/>
              </w:rPr>
            </w:pPr>
            <w:r w:rsidRPr="00BB4743">
              <w:rPr>
                <w:rFonts w:eastAsia="Calibri" w:cs="Calibri"/>
                <w:color w:val="auto"/>
                <w:sz w:val="20"/>
                <w:szCs w:val="20"/>
              </w:rPr>
              <w:t>CVL, Tripureshwor</w:t>
            </w:r>
          </w:p>
        </w:tc>
        <w:tc>
          <w:tcPr>
            <w:tcW w:w="3221" w:type="dxa"/>
          </w:tcPr>
          <w:p w14:paraId="25E75F25" w14:textId="1C5112FA" w:rsidR="00687B10" w:rsidRPr="00BB4743" w:rsidRDefault="5BE88FDA" w:rsidP="00BB4743">
            <w:pPr>
              <w:rPr>
                <w:rFonts w:cs="Calibri"/>
                <w:color w:val="auto"/>
                <w:sz w:val="20"/>
                <w:szCs w:val="20"/>
              </w:rPr>
            </w:pPr>
            <w:r w:rsidRPr="00BB4743">
              <w:rPr>
                <w:rFonts w:cs="Calibri"/>
                <w:sz w:val="20"/>
                <w:szCs w:val="20"/>
              </w:rPr>
              <w:t>Chief</w:t>
            </w:r>
          </w:p>
        </w:tc>
      </w:tr>
      <w:tr w:rsidR="25BD206A" w:rsidRPr="00EA37E9" w14:paraId="388745A8" w14:textId="77777777" w:rsidTr="25BD206A">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46816074" w14:textId="1F97BDD4" w:rsidR="1061ACDC" w:rsidRPr="00BB4743" w:rsidRDefault="1061ACDC" w:rsidP="25BD206A">
            <w:pPr>
              <w:spacing w:line="259" w:lineRule="auto"/>
              <w:rPr>
                <w:rFonts w:eastAsia="Calibri" w:cs="Calibri"/>
                <w:b/>
                <w:bCs/>
                <w:color w:val="auto"/>
                <w:sz w:val="20"/>
                <w:szCs w:val="20"/>
              </w:rPr>
            </w:pPr>
            <w:r w:rsidRPr="00BB4743">
              <w:rPr>
                <w:rFonts w:eastAsia="Calibri" w:cs="Calibri"/>
                <w:b/>
                <w:bCs/>
                <w:color w:val="auto"/>
                <w:sz w:val="20"/>
                <w:szCs w:val="20"/>
              </w:rPr>
              <w:t>Krishna Prasad Rai</w:t>
            </w:r>
          </w:p>
        </w:tc>
        <w:tc>
          <w:tcPr>
            <w:tcW w:w="3221" w:type="dxa"/>
          </w:tcPr>
          <w:p w14:paraId="70332452" w14:textId="75D84FC4" w:rsidR="1061ACDC" w:rsidRPr="00BB4743" w:rsidRDefault="1061ACDC" w:rsidP="00041B22">
            <w:pPr>
              <w:spacing w:line="259" w:lineRule="auto"/>
              <w:rPr>
                <w:rFonts w:eastAsia="Calibri" w:cs="Calibri"/>
                <w:color w:val="auto"/>
                <w:sz w:val="20"/>
                <w:szCs w:val="20"/>
              </w:rPr>
            </w:pPr>
            <w:r w:rsidRPr="00BB4743">
              <w:rPr>
                <w:rFonts w:eastAsia="Calibri" w:cs="Calibri"/>
                <w:color w:val="auto"/>
                <w:sz w:val="20"/>
                <w:szCs w:val="20"/>
              </w:rPr>
              <w:t>Department of Food Technology and Quality Control, Food Microbiology Laboratory, Babarmahal, Kathmandu</w:t>
            </w:r>
          </w:p>
        </w:tc>
        <w:tc>
          <w:tcPr>
            <w:tcW w:w="3221" w:type="dxa"/>
          </w:tcPr>
          <w:p w14:paraId="1002FB50" w14:textId="76C5523A" w:rsidR="1061ACDC" w:rsidRPr="00BB4743" w:rsidRDefault="1061ACDC" w:rsidP="00BB4743">
            <w:pPr>
              <w:rPr>
                <w:rFonts w:cs="Calibri"/>
                <w:color w:val="auto"/>
                <w:sz w:val="20"/>
                <w:szCs w:val="20"/>
              </w:rPr>
            </w:pPr>
            <w:r w:rsidRPr="00BB4743">
              <w:rPr>
                <w:rFonts w:cs="Calibri"/>
                <w:sz w:val="20"/>
                <w:szCs w:val="20"/>
              </w:rPr>
              <w:t>Chief of Microbiology Laboratory</w:t>
            </w:r>
          </w:p>
        </w:tc>
      </w:tr>
    </w:tbl>
    <w:p w14:paraId="0455A05D" w14:textId="6442F910" w:rsidR="00CF4E89" w:rsidRDefault="00CF4E89" w:rsidP="004F2001">
      <w:pPr>
        <w:pStyle w:val="ItadH2"/>
      </w:pPr>
      <w:bookmarkStart w:id="407" w:name="_Toc118968576"/>
      <w:bookmarkStart w:id="408" w:name="_Toc122209930"/>
      <w:bookmarkStart w:id="409" w:name="_Toc142383218"/>
      <w:r>
        <w:t>Nigeria</w:t>
      </w:r>
      <w:bookmarkEnd w:id="407"/>
      <w:bookmarkEnd w:id="408"/>
      <w:bookmarkEnd w:id="409"/>
    </w:p>
    <w:tbl>
      <w:tblPr>
        <w:tblStyle w:val="Itadalternaterows"/>
        <w:tblW w:w="9663" w:type="dxa"/>
        <w:tblLook w:val="04A0" w:firstRow="1" w:lastRow="0" w:firstColumn="1" w:lastColumn="0" w:noHBand="0" w:noVBand="1"/>
      </w:tblPr>
      <w:tblGrid>
        <w:gridCol w:w="3221"/>
        <w:gridCol w:w="3221"/>
        <w:gridCol w:w="3221"/>
      </w:tblGrid>
      <w:tr w:rsidR="00687B10" w:rsidRPr="00B807D4" w14:paraId="212660ED" w14:textId="77777777" w:rsidTr="64C55F6E">
        <w:trPr>
          <w:cnfStyle w:val="100000000000" w:firstRow="1" w:lastRow="0" w:firstColumn="0" w:lastColumn="0" w:oddVBand="0" w:evenVBand="0" w:oddHBand="0" w:evenHBand="0" w:firstRowFirstColumn="0" w:firstRowLastColumn="0" w:lastRowFirstColumn="0" w:lastRowLastColumn="0"/>
          <w:trHeight w:val="340"/>
        </w:trPr>
        <w:tc>
          <w:tcPr>
            <w:tcW w:w="9663" w:type="dxa"/>
            <w:gridSpan w:val="3"/>
            <w:hideMark/>
          </w:tcPr>
          <w:p w14:paraId="70D11BDA" w14:textId="1CFFFA3D" w:rsidR="00687B10" w:rsidRPr="00B807D4" w:rsidRDefault="00687B10">
            <w:pPr>
              <w:rPr>
                <w:rFonts w:cstheme="minorHAnsi"/>
                <w:bCs/>
                <w:color w:val="FFFFFF" w:themeColor="background1"/>
                <w:sz w:val="20"/>
                <w:szCs w:val="20"/>
                <w:lang w:eastAsia="en-GB"/>
              </w:rPr>
            </w:pPr>
            <w:r>
              <w:rPr>
                <w:rFonts w:cstheme="minorHAnsi"/>
                <w:color w:val="FFFFFF" w:themeColor="background1"/>
                <w:sz w:val="20"/>
                <w:szCs w:val="20"/>
                <w:lang w:eastAsia="en-GB"/>
              </w:rPr>
              <w:t xml:space="preserve">Fleming Fund </w:t>
            </w:r>
            <w:r w:rsidR="005B5B44">
              <w:rPr>
                <w:rFonts w:cstheme="minorHAnsi"/>
                <w:color w:val="FFFFFF" w:themeColor="background1"/>
                <w:sz w:val="20"/>
                <w:szCs w:val="20"/>
                <w:lang w:eastAsia="en-GB"/>
              </w:rPr>
              <w:t>CG</w:t>
            </w:r>
          </w:p>
        </w:tc>
      </w:tr>
      <w:tr w:rsidR="00687B10" w:rsidRPr="004E74A8" w14:paraId="716B8CB6"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586118C5" w14:textId="582EE8D6" w:rsidR="00687B10" w:rsidRPr="00BB4743" w:rsidRDefault="2038ED5B" w:rsidP="64C55F6E">
            <w:pPr>
              <w:rPr>
                <w:b/>
                <w:bCs/>
                <w:sz w:val="20"/>
                <w:szCs w:val="20"/>
              </w:rPr>
            </w:pPr>
            <w:r w:rsidRPr="00BB4743">
              <w:rPr>
                <w:rFonts w:eastAsia="Calibri" w:cs="Calibri"/>
                <w:b/>
                <w:bCs/>
                <w:color w:val="000000"/>
                <w:sz w:val="20"/>
                <w:szCs w:val="20"/>
              </w:rPr>
              <w:t>Blessing Stephen</w:t>
            </w:r>
          </w:p>
        </w:tc>
        <w:tc>
          <w:tcPr>
            <w:tcW w:w="3221" w:type="dxa"/>
          </w:tcPr>
          <w:p w14:paraId="20003202" w14:textId="7A3DE173" w:rsidR="00687B10" w:rsidRPr="004E74A8" w:rsidRDefault="2038ED5B" w:rsidP="00BB4743">
            <w:pPr>
              <w:rPr>
                <w:rFonts w:cstheme="minorBidi"/>
                <w:color w:val="000000"/>
                <w:sz w:val="20"/>
                <w:szCs w:val="20"/>
                <w:lang w:eastAsia="en-GB"/>
              </w:rPr>
            </w:pPr>
            <w:r w:rsidRPr="64C55F6E">
              <w:rPr>
                <w:rFonts w:cstheme="minorBidi"/>
                <w:color w:val="000000"/>
                <w:sz w:val="20"/>
                <w:szCs w:val="20"/>
                <w:lang w:eastAsia="en-GB"/>
              </w:rPr>
              <w:t>DAI</w:t>
            </w:r>
          </w:p>
        </w:tc>
        <w:tc>
          <w:tcPr>
            <w:tcW w:w="3221" w:type="dxa"/>
          </w:tcPr>
          <w:p w14:paraId="428B348B" w14:textId="16A60450" w:rsidR="00687B10" w:rsidRPr="004E74A8" w:rsidRDefault="2038ED5B" w:rsidP="00BB4743">
            <w:pPr>
              <w:rPr>
                <w:rFonts w:cstheme="minorBidi"/>
                <w:color w:val="000000"/>
                <w:sz w:val="20"/>
                <w:szCs w:val="20"/>
                <w:lang w:eastAsia="en-GB"/>
              </w:rPr>
            </w:pPr>
            <w:r w:rsidRPr="64C55F6E">
              <w:rPr>
                <w:rFonts w:cstheme="minorBidi"/>
                <w:color w:val="000000"/>
                <w:sz w:val="20"/>
                <w:szCs w:val="20"/>
                <w:lang w:eastAsia="en-GB"/>
              </w:rPr>
              <w:t>Team Leader</w:t>
            </w:r>
          </w:p>
        </w:tc>
      </w:tr>
      <w:tr w:rsidR="00687B10" w:rsidRPr="004E74A8" w14:paraId="03EEB221"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4602289D" w14:textId="5A0EB881" w:rsidR="00687B10" w:rsidRPr="00BB4743" w:rsidRDefault="0C8BEA53" w:rsidP="64C55F6E">
            <w:pPr>
              <w:rPr>
                <w:b/>
                <w:bCs/>
                <w:sz w:val="20"/>
                <w:szCs w:val="20"/>
              </w:rPr>
            </w:pPr>
            <w:r w:rsidRPr="00BB4743">
              <w:rPr>
                <w:rFonts w:eastAsia="Calibri" w:cs="Calibri"/>
                <w:b/>
                <w:bCs/>
                <w:color w:val="000000"/>
                <w:sz w:val="20"/>
                <w:szCs w:val="20"/>
              </w:rPr>
              <w:t>Bernard Ebruke</w:t>
            </w:r>
          </w:p>
        </w:tc>
        <w:tc>
          <w:tcPr>
            <w:tcW w:w="3221" w:type="dxa"/>
          </w:tcPr>
          <w:p w14:paraId="5BDCEAAC" w14:textId="1BB64D91" w:rsidR="00687B10" w:rsidRPr="00D47711" w:rsidRDefault="0C8BEA53" w:rsidP="00BB4743">
            <w:pPr>
              <w:rPr>
                <w:rFonts w:cstheme="minorBidi"/>
                <w:color w:val="000000"/>
                <w:sz w:val="20"/>
                <w:szCs w:val="20"/>
                <w:lang w:eastAsia="en-GB"/>
              </w:rPr>
            </w:pPr>
            <w:r w:rsidRPr="64C55F6E">
              <w:rPr>
                <w:rFonts w:cstheme="minorBidi"/>
                <w:color w:val="000000"/>
                <w:sz w:val="20"/>
                <w:szCs w:val="20"/>
                <w:lang w:eastAsia="en-GB"/>
              </w:rPr>
              <w:t>IFAIN</w:t>
            </w:r>
          </w:p>
        </w:tc>
        <w:tc>
          <w:tcPr>
            <w:tcW w:w="3221" w:type="dxa"/>
          </w:tcPr>
          <w:p w14:paraId="4523A7F1" w14:textId="61436A3D" w:rsidR="00687B10" w:rsidRPr="00AE14D5" w:rsidRDefault="0C8BEA53" w:rsidP="00BB4743">
            <w:pPr>
              <w:rPr>
                <w:sz w:val="20"/>
                <w:szCs w:val="20"/>
              </w:rPr>
            </w:pPr>
            <w:r w:rsidRPr="00AE14D5">
              <w:rPr>
                <w:rFonts w:eastAsia="Calibri" w:cs="Calibri"/>
                <w:color w:val="000000"/>
                <w:sz w:val="20"/>
                <w:szCs w:val="20"/>
              </w:rPr>
              <w:t>Human Health Advisor</w:t>
            </w:r>
          </w:p>
        </w:tc>
      </w:tr>
      <w:tr w:rsidR="64C55F6E" w14:paraId="3E693934"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DBC29AA" w14:textId="069D765F" w:rsidR="0C8BEA53" w:rsidRPr="00BB4743" w:rsidRDefault="0C8BEA53" w:rsidP="64C55F6E">
            <w:pPr>
              <w:rPr>
                <w:b/>
                <w:bCs/>
                <w:sz w:val="20"/>
                <w:szCs w:val="20"/>
              </w:rPr>
            </w:pPr>
            <w:r w:rsidRPr="00BB4743">
              <w:rPr>
                <w:rFonts w:eastAsia="Calibri" w:cs="Calibri"/>
                <w:b/>
                <w:bCs/>
                <w:color w:val="000000"/>
                <w:sz w:val="20"/>
                <w:szCs w:val="20"/>
              </w:rPr>
              <w:t>Sam Peters</w:t>
            </w:r>
          </w:p>
        </w:tc>
        <w:tc>
          <w:tcPr>
            <w:tcW w:w="3221" w:type="dxa"/>
          </w:tcPr>
          <w:p w14:paraId="043EF02F" w14:textId="60559F37" w:rsidR="0C8BEA53" w:rsidRDefault="0C8BEA53" w:rsidP="00BB4743">
            <w:pPr>
              <w:rPr>
                <w:rFonts w:cstheme="minorBidi"/>
                <w:color w:val="000000"/>
                <w:sz w:val="20"/>
                <w:szCs w:val="20"/>
                <w:lang w:eastAsia="en-GB"/>
              </w:rPr>
            </w:pPr>
            <w:r w:rsidRPr="64C55F6E">
              <w:rPr>
                <w:rFonts w:cstheme="minorBidi"/>
                <w:color w:val="000000"/>
                <w:sz w:val="20"/>
                <w:szCs w:val="20"/>
                <w:lang w:eastAsia="en-GB"/>
              </w:rPr>
              <w:t>IHVN</w:t>
            </w:r>
          </w:p>
        </w:tc>
        <w:tc>
          <w:tcPr>
            <w:tcW w:w="3221" w:type="dxa"/>
          </w:tcPr>
          <w:p w14:paraId="38143B73" w14:textId="477CD445" w:rsidR="0C8BEA53" w:rsidRPr="00AE14D5" w:rsidRDefault="0C8BEA53" w:rsidP="00BB4743">
            <w:pPr>
              <w:rPr>
                <w:sz w:val="20"/>
                <w:szCs w:val="20"/>
              </w:rPr>
            </w:pPr>
            <w:r w:rsidRPr="00AE14D5">
              <w:rPr>
                <w:rFonts w:eastAsia="Calibri" w:cs="Calibri"/>
                <w:color w:val="000000"/>
                <w:sz w:val="20"/>
                <w:szCs w:val="20"/>
              </w:rPr>
              <w:t>Human Health Advisor</w:t>
            </w:r>
          </w:p>
        </w:tc>
      </w:tr>
      <w:tr w:rsidR="00687B10" w:rsidRPr="004E74A8" w14:paraId="27F0A9B3"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77344CD7" w14:textId="2CB503CF" w:rsidR="00687B10" w:rsidRPr="00AE14D5" w:rsidRDefault="005B5B44" w:rsidP="00041B22">
            <w:pPr>
              <w:spacing w:line="259" w:lineRule="auto"/>
              <w:rPr>
                <w:sz w:val="20"/>
                <w:szCs w:val="20"/>
              </w:rPr>
            </w:pPr>
            <w:r>
              <w:rPr>
                <w:rFonts w:cstheme="minorBidi"/>
                <w:color w:val="FFFFFF" w:themeColor="background1"/>
                <w:sz w:val="20"/>
                <w:szCs w:val="20"/>
                <w:lang w:eastAsia="en-GB"/>
              </w:rPr>
              <w:t>MA</w:t>
            </w:r>
          </w:p>
        </w:tc>
      </w:tr>
      <w:tr w:rsidR="64C55F6E" w14:paraId="2999388A"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7AB1F08" w14:textId="0272B7E5" w:rsidR="51E027DF" w:rsidRPr="00BB4743" w:rsidRDefault="51E027DF" w:rsidP="64C55F6E">
            <w:pPr>
              <w:rPr>
                <w:b/>
                <w:bCs/>
                <w:sz w:val="20"/>
                <w:szCs w:val="20"/>
              </w:rPr>
            </w:pPr>
            <w:r w:rsidRPr="00BB4743">
              <w:rPr>
                <w:rFonts w:eastAsia="Calibri" w:cs="Calibri"/>
                <w:b/>
                <w:bCs/>
                <w:color w:val="000000"/>
                <w:sz w:val="20"/>
                <w:szCs w:val="20"/>
              </w:rPr>
              <w:t>Adjo Mfodwo</w:t>
            </w:r>
            <w:r w:rsidR="00B776A6" w:rsidRPr="00BB4743">
              <w:rPr>
                <w:rFonts w:eastAsia="Calibri" w:cs="Calibri"/>
                <w:b/>
                <w:bCs/>
                <w:color w:val="000000"/>
                <w:sz w:val="20"/>
                <w:szCs w:val="20"/>
              </w:rPr>
              <w:t>*</w:t>
            </w:r>
          </w:p>
        </w:tc>
        <w:tc>
          <w:tcPr>
            <w:tcW w:w="3221" w:type="dxa"/>
          </w:tcPr>
          <w:p w14:paraId="703F3E40" w14:textId="7310819C" w:rsidR="51E027DF" w:rsidRDefault="005B5B44" w:rsidP="00BB4743">
            <w:pPr>
              <w:rPr>
                <w:rFonts w:cstheme="minorBidi"/>
                <w:color w:val="000000"/>
                <w:sz w:val="20"/>
                <w:szCs w:val="20"/>
                <w:lang w:eastAsia="en-GB"/>
              </w:rPr>
            </w:pPr>
            <w:r>
              <w:rPr>
                <w:rFonts w:cstheme="minorBidi"/>
                <w:color w:val="000000"/>
                <w:sz w:val="20"/>
                <w:szCs w:val="20"/>
                <w:lang w:eastAsia="en-GB"/>
              </w:rPr>
              <w:t>MA</w:t>
            </w:r>
          </w:p>
        </w:tc>
        <w:tc>
          <w:tcPr>
            <w:tcW w:w="3221" w:type="dxa"/>
          </w:tcPr>
          <w:p w14:paraId="114BBB3F" w14:textId="6BE01BB8" w:rsidR="51E027DF" w:rsidRPr="00AE14D5" w:rsidRDefault="51E027DF" w:rsidP="00BB4743">
            <w:pPr>
              <w:rPr>
                <w:sz w:val="20"/>
                <w:szCs w:val="20"/>
              </w:rPr>
            </w:pPr>
            <w:r w:rsidRPr="00AE14D5">
              <w:rPr>
                <w:rFonts w:eastAsia="Calibri" w:cs="Calibri"/>
                <w:color w:val="000000"/>
                <w:sz w:val="20"/>
                <w:szCs w:val="20"/>
              </w:rPr>
              <w:t>Regional Coordinator- West Africa</w:t>
            </w:r>
          </w:p>
        </w:tc>
      </w:tr>
      <w:tr w:rsidR="64C55F6E" w14:paraId="197112A4"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38FF9C8C" w14:textId="6B231D03" w:rsidR="0D8C59AF" w:rsidRPr="00AE14D5" w:rsidRDefault="0D8C59AF" w:rsidP="00041B22">
            <w:pPr>
              <w:rPr>
                <w:rFonts w:eastAsia="Calibri" w:cs="Calibri"/>
                <w:color w:val="FFFFFF" w:themeColor="background1"/>
                <w:sz w:val="20"/>
                <w:szCs w:val="20"/>
              </w:rPr>
            </w:pPr>
            <w:r w:rsidRPr="00AE14D5">
              <w:rPr>
                <w:rFonts w:eastAsia="Calibri" w:cs="Calibri"/>
                <w:color w:val="FFFFFF" w:themeColor="background1"/>
                <w:sz w:val="20"/>
                <w:szCs w:val="20"/>
              </w:rPr>
              <w:t>ITAD</w:t>
            </w:r>
          </w:p>
        </w:tc>
      </w:tr>
      <w:tr w:rsidR="64C55F6E" w14:paraId="40D2F712"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4B30612A" w14:textId="65CDCAA8" w:rsidR="0D8C59AF" w:rsidRPr="00BB4743" w:rsidRDefault="0D8C59AF" w:rsidP="64C55F6E">
            <w:pPr>
              <w:rPr>
                <w:rFonts w:eastAsia="Calibri" w:cs="Calibri"/>
                <w:b/>
                <w:bCs/>
                <w:color w:val="000000"/>
                <w:sz w:val="20"/>
                <w:szCs w:val="20"/>
              </w:rPr>
            </w:pPr>
            <w:r w:rsidRPr="00BB4743">
              <w:rPr>
                <w:rFonts w:eastAsia="Calibri" w:cs="Calibri"/>
                <w:b/>
                <w:bCs/>
                <w:color w:val="000000"/>
                <w:sz w:val="20"/>
                <w:szCs w:val="20"/>
              </w:rPr>
              <w:t>Paul Balogun</w:t>
            </w:r>
          </w:p>
        </w:tc>
        <w:tc>
          <w:tcPr>
            <w:tcW w:w="3221" w:type="dxa"/>
          </w:tcPr>
          <w:p w14:paraId="1A520379" w14:textId="07B66D5C" w:rsidR="0D8C59AF" w:rsidRDefault="0D8C59AF" w:rsidP="00BB4743">
            <w:pPr>
              <w:rPr>
                <w:rFonts w:cstheme="minorBidi"/>
                <w:color w:val="000000"/>
                <w:sz w:val="20"/>
                <w:szCs w:val="20"/>
                <w:lang w:eastAsia="en-GB"/>
              </w:rPr>
            </w:pPr>
            <w:r w:rsidRPr="64C55F6E">
              <w:rPr>
                <w:rFonts w:cstheme="minorBidi"/>
                <w:color w:val="000000"/>
                <w:sz w:val="20"/>
                <w:szCs w:val="20"/>
                <w:lang w:eastAsia="en-GB"/>
              </w:rPr>
              <w:t>Itad</w:t>
            </w:r>
          </w:p>
        </w:tc>
        <w:tc>
          <w:tcPr>
            <w:tcW w:w="3221" w:type="dxa"/>
          </w:tcPr>
          <w:p w14:paraId="17647204" w14:textId="4D30509E" w:rsidR="46017915" w:rsidRPr="00AE14D5" w:rsidRDefault="46017915" w:rsidP="00BB4743">
            <w:pPr>
              <w:rPr>
                <w:rFonts w:eastAsia="Calibri" w:cs="Calibri"/>
                <w:color w:val="000000"/>
                <w:sz w:val="20"/>
                <w:szCs w:val="20"/>
              </w:rPr>
            </w:pPr>
            <w:r w:rsidRPr="00AE14D5">
              <w:rPr>
                <w:rFonts w:eastAsia="Calibri" w:cs="Calibri"/>
                <w:color w:val="000000"/>
                <w:sz w:val="20"/>
                <w:szCs w:val="20"/>
              </w:rPr>
              <w:t>Senior Consultant</w:t>
            </w:r>
          </w:p>
        </w:tc>
      </w:tr>
      <w:tr w:rsidR="00687B10" w:rsidRPr="004E74A8" w14:paraId="7A5814A6"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56AB07D3" w14:textId="77777777" w:rsidR="00687B10" w:rsidRPr="00B807D4" w:rsidRDefault="00687B10" w:rsidP="00041B22">
            <w:pPr>
              <w:rPr>
                <w:rFonts w:cstheme="minorHAnsi"/>
                <w:sz w:val="20"/>
                <w:szCs w:val="20"/>
              </w:rPr>
            </w:pPr>
            <w:r>
              <w:rPr>
                <w:rFonts w:cstheme="minorHAnsi"/>
                <w:color w:val="FFFFFF" w:themeColor="background1"/>
                <w:sz w:val="20"/>
                <w:szCs w:val="20"/>
                <w:lang w:eastAsia="en-GB"/>
              </w:rPr>
              <w:t>AMRCC Members</w:t>
            </w:r>
          </w:p>
        </w:tc>
      </w:tr>
      <w:tr w:rsidR="00687B10" w:rsidRPr="004E74A8" w14:paraId="467DEBF5"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01D0CD5" w14:textId="49D9CE13" w:rsidR="00687B10" w:rsidRPr="00BB4743" w:rsidRDefault="6591A6E1" w:rsidP="64C55F6E">
            <w:pPr>
              <w:rPr>
                <w:rFonts w:eastAsia="Calibri" w:cs="Calibri"/>
                <w:b/>
                <w:bCs/>
                <w:color w:val="000000"/>
                <w:sz w:val="20"/>
                <w:szCs w:val="20"/>
              </w:rPr>
            </w:pPr>
            <w:r w:rsidRPr="00BB4743">
              <w:rPr>
                <w:rFonts w:eastAsia="Calibri" w:cs="Calibri"/>
                <w:b/>
                <w:bCs/>
                <w:color w:val="000000"/>
                <w:sz w:val="20"/>
                <w:szCs w:val="20"/>
              </w:rPr>
              <w:t>Dr Peter Umanah</w:t>
            </w:r>
          </w:p>
        </w:tc>
        <w:tc>
          <w:tcPr>
            <w:tcW w:w="3221" w:type="dxa"/>
          </w:tcPr>
          <w:p w14:paraId="158209D8" w14:textId="6AEE95C8" w:rsidR="00687B10" w:rsidRPr="00AE14D5" w:rsidRDefault="6591A6E1" w:rsidP="00BB4743">
            <w:pPr>
              <w:rPr>
                <w:sz w:val="20"/>
                <w:szCs w:val="20"/>
              </w:rPr>
            </w:pPr>
            <w:r w:rsidRPr="00AE14D5">
              <w:rPr>
                <w:rFonts w:eastAsia="Calibri" w:cs="Calibri"/>
                <w:color w:val="000000"/>
                <w:sz w:val="20"/>
                <w:szCs w:val="20"/>
              </w:rPr>
              <w:t>FMARD DV</w:t>
            </w:r>
          </w:p>
        </w:tc>
        <w:tc>
          <w:tcPr>
            <w:tcW w:w="3221" w:type="dxa"/>
          </w:tcPr>
          <w:p w14:paraId="38C05B5E" w14:textId="2D2C44D4" w:rsidR="00687B10" w:rsidRPr="00AE14D5" w:rsidRDefault="6591A6E1" w:rsidP="00BB4743">
            <w:pPr>
              <w:rPr>
                <w:sz w:val="20"/>
                <w:szCs w:val="20"/>
              </w:rPr>
            </w:pPr>
            <w:r w:rsidRPr="00AE14D5">
              <w:rPr>
                <w:rFonts w:eastAsia="Calibri" w:cs="Calibri"/>
                <w:color w:val="000000"/>
                <w:sz w:val="20"/>
                <w:szCs w:val="20"/>
              </w:rPr>
              <w:t xml:space="preserve">Co Chair, National </w:t>
            </w:r>
            <w:r w:rsidR="00684DFA" w:rsidRPr="00AE14D5">
              <w:rPr>
                <w:rFonts w:eastAsia="Calibri" w:cs="Calibri"/>
                <w:color w:val="000000"/>
                <w:sz w:val="20"/>
                <w:szCs w:val="20"/>
              </w:rPr>
              <w:t>Antimicrobial</w:t>
            </w:r>
            <w:r w:rsidRPr="00AE14D5">
              <w:rPr>
                <w:rFonts w:eastAsia="Calibri" w:cs="Calibri"/>
                <w:color w:val="000000"/>
                <w:sz w:val="20"/>
                <w:szCs w:val="20"/>
              </w:rPr>
              <w:t xml:space="preserve"> Coordination Committee (AMRCC)</w:t>
            </w:r>
          </w:p>
        </w:tc>
      </w:tr>
      <w:tr w:rsidR="00687B10" w:rsidRPr="004E74A8" w14:paraId="615396AC"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7D1E26E" w14:textId="3A32630B" w:rsidR="00687B10" w:rsidRPr="00BB4743" w:rsidRDefault="066DA612" w:rsidP="64C55F6E">
            <w:pPr>
              <w:rPr>
                <w:b/>
                <w:bCs/>
                <w:sz w:val="20"/>
                <w:szCs w:val="20"/>
              </w:rPr>
            </w:pPr>
            <w:r w:rsidRPr="00BB4743">
              <w:rPr>
                <w:rFonts w:eastAsia="Calibri" w:cs="Calibri"/>
                <w:b/>
                <w:bCs/>
                <w:color w:val="000000"/>
                <w:sz w:val="20"/>
                <w:szCs w:val="20"/>
              </w:rPr>
              <w:t>Dr Tochi Okwor</w:t>
            </w:r>
          </w:p>
        </w:tc>
        <w:tc>
          <w:tcPr>
            <w:tcW w:w="3221" w:type="dxa"/>
          </w:tcPr>
          <w:p w14:paraId="79E87A49" w14:textId="6B43E549" w:rsidR="00687B10" w:rsidRPr="00AE14D5" w:rsidRDefault="005B5B44" w:rsidP="00BB4743">
            <w:pPr>
              <w:rPr>
                <w:sz w:val="20"/>
                <w:szCs w:val="20"/>
              </w:rPr>
            </w:pPr>
            <w:r w:rsidRPr="00AE14D5">
              <w:rPr>
                <w:rFonts w:eastAsia="Calibri" w:cs="Calibri"/>
                <w:color w:val="000000"/>
                <w:sz w:val="20"/>
                <w:szCs w:val="20"/>
              </w:rPr>
              <w:t>Nigeria Centre for Disease Control (</w:t>
            </w:r>
            <w:r w:rsidR="066DA612" w:rsidRPr="00AE14D5">
              <w:rPr>
                <w:rFonts w:eastAsia="Calibri" w:cs="Calibri"/>
                <w:color w:val="000000"/>
                <w:sz w:val="20"/>
                <w:szCs w:val="20"/>
              </w:rPr>
              <w:t>NCDC</w:t>
            </w:r>
            <w:r w:rsidRPr="00AE14D5">
              <w:rPr>
                <w:rFonts w:eastAsia="Calibri" w:cs="Calibri"/>
                <w:color w:val="000000"/>
                <w:sz w:val="20"/>
                <w:szCs w:val="20"/>
              </w:rPr>
              <w:t>)</w:t>
            </w:r>
          </w:p>
        </w:tc>
        <w:tc>
          <w:tcPr>
            <w:tcW w:w="3221" w:type="dxa"/>
          </w:tcPr>
          <w:p w14:paraId="66A84B09" w14:textId="795CA94A" w:rsidR="00687B10" w:rsidRPr="00AE14D5" w:rsidRDefault="066DA612" w:rsidP="00BB4743">
            <w:pPr>
              <w:rPr>
                <w:sz w:val="20"/>
                <w:szCs w:val="20"/>
              </w:rPr>
            </w:pPr>
            <w:r w:rsidRPr="00AE14D5">
              <w:rPr>
                <w:rFonts w:eastAsia="Calibri" w:cs="Calibri"/>
                <w:color w:val="000000"/>
                <w:sz w:val="20"/>
                <w:szCs w:val="20"/>
              </w:rPr>
              <w:t>Chair/Programme Coordinator</w:t>
            </w:r>
          </w:p>
        </w:tc>
      </w:tr>
      <w:tr w:rsidR="64C55F6E" w14:paraId="2DB2229D"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B5C7852" w14:textId="7883DB10" w:rsidR="066DA612" w:rsidRPr="00BB4743" w:rsidRDefault="066DA612" w:rsidP="64C55F6E">
            <w:pPr>
              <w:rPr>
                <w:b/>
                <w:bCs/>
                <w:sz w:val="20"/>
                <w:szCs w:val="20"/>
              </w:rPr>
            </w:pPr>
            <w:r w:rsidRPr="00BB4743">
              <w:rPr>
                <w:rFonts w:eastAsia="Calibri" w:cs="Calibri"/>
                <w:b/>
                <w:bCs/>
                <w:color w:val="000000"/>
                <w:sz w:val="20"/>
                <w:szCs w:val="20"/>
              </w:rPr>
              <w:t>Rita Okea</w:t>
            </w:r>
          </w:p>
        </w:tc>
        <w:tc>
          <w:tcPr>
            <w:tcW w:w="3221" w:type="dxa"/>
          </w:tcPr>
          <w:p w14:paraId="22A6CBF6" w14:textId="4464CD2B" w:rsidR="066DA612" w:rsidRPr="00AE14D5" w:rsidRDefault="066DA612" w:rsidP="00BB4743">
            <w:pPr>
              <w:rPr>
                <w:sz w:val="20"/>
                <w:szCs w:val="20"/>
              </w:rPr>
            </w:pPr>
            <w:r w:rsidRPr="00AE14D5">
              <w:rPr>
                <w:rFonts w:eastAsia="Calibri" w:cs="Calibri"/>
                <w:color w:val="000000"/>
                <w:sz w:val="20"/>
                <w:szCs w:val="20"/>
              </w:rPr>
              <w:t>Ministry of Environment</w:t>
            </w:r>
          </w:p>
        </w:tc>
        <w:tc>
          <w:tcPr>
            <w:tcW w:w="3221" w:type="dxa"/>
          </w:tcPr>
          <w:p w14:paraId="27F4F889" w14:textId="5A3B0A28" w:rsidR="066DA612" w:rsidRPr="00AE14D5" w:rsidRDefault="066DA612" w:rsidP="00BB4743">
            <w:pPr>
              <w:rPr>
                <w:sz w:val="20"/>
                <w:szCs w:val="20"/>
              </w:rPr>
            </w:pPr>
            <w:r w:rsidRPr="00AE14D5">
              <w:rPr>
                <w:rFonts w:eastAsia="Calibri" w:cs="Calibri"/>
                <w:color w:val="000000"/>
                <w:sz w:val="20"/>
                <w:szCs w:val="20"/>
              </w:rPr>
              <w:t>Assistant Director, Pollution Control</w:t>
            </w:r>
          </w:p>
        </w:tc>
      </w:tr>
      <w:tr w:rsidR="00687B10" w:rsidRPr="00B807D4" w14:paraId="7C9C1C1F"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730E09D5" w14:textId="77777777" w:rsidR="00687B10" w:rsidRPr="00B807D4" w:rsidRDefault="00687B10" w:rsidP="00041B22">
            <w:pPr>
              <w:rPr>
                <w:rFonts w:cstheme="minorHAnsi"/>
                <w:color w:val="auto"/>
                <w:sz w:val="20"/>
                <w:szCs w:val="20"/>
              </w:rPr>
            </w:pPr>
            <w:r w:rsidRPr="000F463A">
              <w:rPr>
                <w:rFonts w:cstheme="minorHAnsi"/>
                <w:color w:val="FFFFFF" w:themeColor="background1"/>
                <w:sz w:val="20"/>
                <w:szCs w:val="20"/>
                <w:lang w:eastAsia="en-GB"/>
              </w:rPr>
              <w:t>Other decision makers</w:t>
            </w:r>
          </w:p>
        </w:tc>
      </w:tr>
      <w:tr w:rsidR="00687B10" w:rsidRPr="00B807D4" w14:paraId="6BDD49E6"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0BEFD943" w14:textId="3D599C55" w:rsidR="00687B10" w:rsidRPr="00BB4743" w:rsidRDefault="578C8B51" w:rsidP="64C55F6E">
            <w:pPr>
              <w:rPr>
                <w:b/>
                <w:bCs/>
                <w:sz w:val="20"/>
                <w:szCs w:val="20"/>
              </w:rPr>
            </w:pPr>
            <w:r w:rsidRPr="00BB4743">
              <w:rPr>
                <w:rFonts w:eastAsia="Calibri" w:cs="Calibri"/>
                <w:b/>
                <w:bCs/>
                <w:color w:val="000000"/>
                <w:sz w:val="20"/>
                <w:szCs w:val="20"/>
              </w:rPr>
              <w:t>Prof. Onyebuchi Chukwu</w:t>
            </w:r>
          </w:p>
        </w:tc>
        <w:tc>
          <w:tcPr>
            <w:tcW w:w="3221" w:type="dxa"/>
          </w:tcPr>
          <w:p w14:paraId="0B6E8688" w14:textId="64F813AD" w:rsidR="00687B10" w:rsidRPr="00AE14D5" w:rsidRDefault="578C8B51" w:rsidP="00BB4743">
            <w:pPr>
              <w:rPr>
                <w:sz w:val="20"/>
                <w:szCs w:val="20"/>
              </w:rPr>
            </w:pPr>
            <w:r w:rsidRPr="00AE14D5">
              <w:rPr>
                <w:rFonts w:eastAsia="Calibri" w:cs="Calibri"/>
                <w:color w:val="000000"/>
                <w:sz w:val="20"/>
                <w:szCs w:val="20"/>
              </w:rPr>
              <w:t>National AMR-AMU Community of Practice</w:t>
            </w:r>
          </w:p>
        </w:tc>
        <w:tc>
          <w:tcPr>
            <w:tcW w:w="3221" w:type="dxa"/>
          </w:tcPr>
          <w:p w14:paraId="2A2BC2CF" w14:textId="12B54D6C" w:rsidR="00687B10" w:rsidRPr="00AE14D5" w:rsidRDefault="578C8B51" w:rsidP="00BB4743">
            <w:pPr>
              <w:rPr>
                <w:sz w:val="20"/>
                <w:szCs w:val="20"/>
              </w:rPr>
            </w:pPr>
            <w:r w:rsidRPr="00AE14D5">
              <w:rPr>
                <w:rFonts w:eastAsia="Calibri" w:cs="Calibri"/>
                <w:color w:val="000000"/>
                <w:sz w:val="20"/>
                <w:szCs w:val="20"/>
              </w:rPr>
              <w:t>Chair</w:t>
            </w:r>
          </w:p>
        </w:tc>
      </w:tr>
      <w:tr w:rsidR="64C55F6E" w14:paraId="092281F0"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5BB7247D" w14:textId="54318C21" w:rsidR="578C8B51" w:rsidRPr="00BB4743" w:rsidRDefault="578C8B51" w:rsidP="64C55F6E">
            <w:pPr>
              <w:rPr>
                <w:b/>
                <w:bCs/>
                <w:sz w:val="20"/>
                <w:szCs w:val="20"/>
              </w:rPr>
            </w:pPr>
            <w:r w:rsidRPr="00BB4743">
              <w:rPr>
                <w:rFonts w:eastAsia="Calibri" w:cs="Calibri"/>
                <w:b/>
                <w:bCs/>
                <w:color w:val="000000"/>
                <w:sz w:val="20"/>
                <w:szCs w:val="20"/>
              </w:rPr>
              <w:t>Dr Tosan Erhabor</w:t>
            </w:r>
          </w:p>
        </w:tc>
        <w:tc>
          <w:tcPr>
            <w:tcW w:w="3221" w:type="dxa"/>
          </w:tcPr>
          <w:p w14:paraId="1B5EB7C5" w14:textId="542D835A" w:rsidR="578C8B51" w:rsidRPr="00AE14D5" w:rsidRDefault="578C8B51" w:rsidP="00BB4743">
            <w:pPr>
              <w:rPr>
                <w:sz w:val="20"/>
                <w:szCs w:val="20"/>
              </w:rPr>
            </w:pPr>
            <w:r w:rsidRPr="00AE14D5">
              <w:rPr>
                <w:rFonts w:eastAsia="Calibri" w:cs="Calibri"/>
                <w:color w:val="000000"/>
                <w:sz w:val="20"/>
                <w:szCs w:val="20"/>
              </w:rPr>
              <w:t>Medical Science Laboratory Council of Nigeria (MSLCN)</w:t>
            </w:r>
          </w:p>
        </w:tc>
        <w:tc>
          <w:tcPr>
            <w:tcW w:w="3221" w:type="dxa"/>
          </w:tcPr>
          <w:p w14:paraId="3E445325" w14:textId="72D7878C" w:rsidR="578C8B51" w:rsidRPr="00AE14D5" w:rsidRDefault="578C8B51" w:rsidP="00BB4743">
            <w:pPr>
              <w:rPr>
                <w:sz w:val="20"/>
                <w:szCs w:val="20"/>
              </w:rPr>
            </w:pPr>
            <w:r w:rsidRPr="00AE14D5">
              <w:rPr>
                <w:rFonts w:eastAsia="Calibri" w:cs="Calibri"/>
                <w:color w:val="000000"/>
                <w:sz w:val="20"/>
                <w:szCs w:val="20"/>
              </w:rPr>
              <w:t>Registrar/CEO</w:t>
            </w:r>
          </w:p>
        </w:tc>
      </w:tr>
      <w:tr w:rsidR="64C55F6E" w14:paraId="7A7C6171"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7A2B498E" w14:textId="53D0FCB4" w:rsidR="5BD4AC05" w:rsidRPr="00BB4743" w:rsidRDefault="5BD4AC05" w:rsidP="64C55F6E">
            <w:pPr>
              <w:rPr>
                <w:b/>
                <w:bCs/>
                <w:sz w:val="20"/>
                <w:szCs w:val="20"/>
              </w:rPr>
            </w:pPr>
            <w:r w:rsidRPr="00BB4743">
              <w:rPr>
                <w:rFonts w:eastAsia="Calibri" w:cs="Calibri"/>
                <w:b/>
                <w:bCs/>
                <w:color w:val="000000"/>
                <w:sz w:val="20"/>
                <w:szCs w:val="20"/>
              </w:rPr>
              <w:t>Dr Mudashir Idayat</w:t>
            </w:r>
          </w:p>
        </w:tc>
        <w:tc>
          <w:tcPr>
            <w:tcW w:w="3221" w:type="dxa"/>
          </w:tcPr>
          <w:p w14:paraId="09301304" w14:textId="3E15A32F" w:rsidR="5BD4AC05" w:rsidRPr="00AE14D5" w:rsidRDefault="5BD4AC05" w:rsidP="00BB4743">
            <w:pPr>
              <w:rPr>
                <w:sz w:val="20"/>
                <w:szCs w:val="20"/>
              </w:rPr>
            </w:pPr>
            <w:r w:rsidRPr="00AE14D5">
              <w:rPr>
                <w:rFonts w:eastAsia="Calibri" w:cs="Calibri"/>
                <w:color w:val="000000"/>
                <w:sz w:val="20"/>
                <w:szCs w:val="20"/>
              </w:rPr>
              <w:t>NAFDAC</w:t>
            </w:r>
          </w:p>
        </w:tc>
        <w:tc>
          <w:tcPr>
            <w:tcW w:w="3221" w:type="dxa"/>
          </w:tcPr>
          <w:p w14:paraId="0B3076AA" w14:textId="1E28437C" w:rsidR="5BD4AC05" w:rsidRPr="00AE14D5" w:rsidRDefault="5BD4AC05" w:rsidP="00BB4743">
            <w:pPr>
              <w:rPr>
                <w:sz w:val="20"/>
                <w:szCs w:val="20"/>
              </w:rPr>
            </w:pPr>
            <w:r w:rsidRPr="00AE14D5">
              <w:rPr>
                <w:rFonts w:eastAsia="Calibri" w:cs="Calibri"/>
                <w:color w:val="000000"/>
                <w:sz w:val="20"/>
                <w:szCs w:val="20"/>
              </w:rPr>
              <w:t>Director of Registration &amp; Regulatory Affairs</w:t>
            </w:r>
          </w:p>
        </w:tc>
      </w:tr>
      <w:tr w:rsidR="64C55F6E" w14:paraId="453C5DBA"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132BC8D0" w14:textId="63C772FD" w:rsidR="6F7A77D3" w:rsidRPr="00BB4743" w:rsidRDefault="6F7A77D3" w:rsidP="64C55F6E">
            <w:pPr>
              <w:rPr>
                <w:rFonts w:eastAsia="Calibri" w:cs="Calibri"/>
                <w:b/>
                <w:bCs/>
                <w:color w:val="000000"/>
                <w:sz w:val="20"/>
                <w:szCs w:val="20"/>
              </w:rPr>
            </w:pPr>
            <w:r w:rsidRPr="00BB4743">
              <w:rPr>
                <w:rFonts w:eastAsia="Calibri" w:cs="Calibri"/>
                <w:b/>
                <w:bCs/>
                <w:color w:val="000000"/>
                <w:sz w:val="20"/>
                <w:szCs w:val="20"/>
              </w:rPr>
              <w:t>Josephine Gatua</w:t>
            </w:r>
          </w:p>
        </w:tc>
        <w:tc>
          <w:tcPr>
            <w:tcW w:w="3221" w:type="dxa"/>
          </w:tcPr>
          <w:p w14:paraId="7FA8DED9" w14:textId="221E6C4D" w:rsidR="6F7A77D3" w:rsidRPr="00AE14D5" w:rsidRDefault="00DC5E52" w:rsidP="00BB4743">
            <w:pPr>
              <w:rPr>
                <w:rFonts w:eastAsia="Calibri" w:cs="Calibri"/>
                <w:color w:val="000000"/>
                <w:sz w:val="20"/>
                <w:szCs w:val="20"/>
              </w:rPr>
            </w:pPr>
            <w:r w:rsidRPr="00DC5E52">
              <w:rPr>
                <w:rFonts w:eastAsia="Calibri" w:cs="Calibri"/>
                <w:color w:val="000000"/>
                <w:sz w:val="20"/>
                <w:szCs w:val="20"/>
              </w:rPr>
              <w:t xml:space="preserve">Overseas Development Institute </w:t>
            </w:r>
          </w:p>
        </w:tc>
        <w:tc>
          <w:tcPr>
            <w:tcW w:w="3221" w:type="dxa"/>
          </w:tcPr>
          <w:p w14:paraId="0F436ED4" w14:textId="5177F5E0" w:rsidR="6F7A77D3" w:rsidRPr="00AE14D5" w:rsidRDefault="00DC5E52" w:rsidP="00BB4743">
            <w:pPr>
              <w:rPr>
                <w:sz w:val="20"/>
                <w:szCs w:val="20"/>
              </w:rPr>
            </w:pPr>
            <w:r w:rsidRPr="00DC5E52">
              <w:rPr>
                <w:rFonts w:eastAsia="Calibri" w:cs="Calibri"/>
                <w:color w:val="000000"/>
                <w:sz w:val="20"/>
                <w:szCs w:val="20"/>
              </w:rPr>
              <w:t>Overseas Development Institute</w:t>
            </w:r>
            <w:r w:rsidR="6F7A77D3" w:rsidRPr="00AE14D5">
              <w:rPr>
                <w:rFonts w:eastAsia="Calibri" w:cs="Calibri"/>
                <w:color w:val="000000"/>
                <w:sz w:val="20"/>
                <w:szCs w:val="20"/>
              </w:rPr>
              <w:t>/</w:t>
            </w:r>
            <w:r w:rsidR="00F21D1C" w:rsidRPr="00AE14D5">
              <w:rPr>
                <w:sz w:val="20"/>
                <w:szCs w:val="20"/>
              </w:rPr>
              <w:t xml:space="preserve"> </w:t>
            </w:r>
            <w:r w:rsidR="00F21D1C" w:rsidRPr="00AE14D5">
              <w:rPr>
                <w:rFonts w:eastAsia="Calibri" w:cs="Calibri"/>
                <w:color w:val="000000"/>
                <w:sz w:val="20"/>
                <w:szCs w:val="20"/>
              </w:rPr>
              <w:t>Fleming Fund</w:t>
            </w:r>
            <w:r w:rsidR="6F7A77D3" w:rsidRPr="00AE14D5">
              <w:rPr>
                <w:rFonts w:eastAsia="Calibri" w:cs="Calibri"/>
                <w:color w:val="000000"/>
                <w:sz w:val="20"/>
                <w:szCs w:val="20"/>
              </w:rPr>
              <w:t xml:space="preserve"> Fellow</w:t>
            </w:r>
          </w:p>
        </w:tc>
      </w:tr>
      <w:tr w:rsidR="00687B10" w:rsidRPr="004E74A8" w14:paraId="0E4249D1"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2369006E" w14:textId="77777777" w:rsidR="00687B10" w:rsidRPr="004E74A8" w:rsidRDefault="00687B10" w:rsidP="00041B22">
            <w:pPr>
              <w:rPr>
                <w:rFonts w:cstheme="minorHAnsi"/>
                <w:sz w:val="20"/>
                <w:szCs w:val="20"/>
              </w:rPr>
            </w:pPr>
            <w:r w:rsidRPr="000F463A">
              <w:rPr>
                <w:rFonts w:cstheme="minorHAnsi"/>
                <w:color w:val="FFFFFF" w:themeColor="background1"/>
                <w:sz w:val="20"/>
                <w:szCs w:val="20"/>
                <w:lang w:eastAsia="en-GB"/>
              </w:rPr>
              <w:t>Policy Fellows</w:t>
            </w:r>
            <w:r>
              <w:rPr>
                <w:rFonts w:cstheme="minorHAnsi"/>
                <w:color w:val="FFFFFF" w:themeColor="background1"/>
                <w:sz w:val="20"/>
                <w:szCs w:val="20"/>
                <w:lang w:eastAsia="en-GB"/>
              </w:rPr>
              <w:t xml:space="preserve"> HH</w:t>
            </w:r>
          </w:p>
        </w:tc>
      </w:tr>
      <w:tr w:rsidR="00687B10" w:rsidRPr="004E74A8" w14:paraId="289B3B06"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shd w:val="clear" w:color="auto" w:fill="auto"/>
          </w:tcPr>
          <w:p w14:paraId="20167FD7" w14:textId="6785558B" w:rsidR="00687B10" w:rsidRPr="00BB4743" w:rsidRDefault="36590FA4" w:rsidP="64C55F6E">
            <w:pPr>
              <w:rPr>
                <w:b/>
                <w:bCs/>
                <w:sz w:val="20"/>
                <w:szCs w:val="20"/>
              </w:rPr>
            </w:pPr>
            <w:r w:rsidRPr="00BB4743">
              <w:rPr>
                <w:rFonts w:eastAsia="Calibri" w:cs="Calibri"/>
                <w:b/>
                <w:bCs/>
                <w:color w:val="000000"/>
                <w:sz w:val="20"/>
                <w:szCs w:val="20"/>
              </w:rPr>
              <w:t>Prof Aaron Aboderin</w:t>
            </w:r>
          </w:p>
        </w:tc>
        <w:tc>
          <w:tcPr>
            <w:tcW w:w="3221" w:type="dxa"/>
            <w:shd w:val="clear" w:color="auto" w:fill="auto"/>
          </w:tcPr>
          <w:p w14:paraId="1A331554" w14:textId="4D72C066" w:rsidR="00687B10" w:rsidRPr="00AE14D5" w:rsidRDefault="36590FA4" w:rsidP="00BB4743">
            <w:pPr>
              <w:rPr>
                <w:sz w:val="20"/>
                <w:szCs w:val="20"/>
              </w:rPr>
            </w:pPr>
            <w:r w:rsidRPr="00AE14D5">
              <w:rPr>
                <w:rFonts w:eastAsia="Calibri" w:cs="Calibri"/>
                <w:color w:val="000000"/>
                <w:sz w:val="20"/>
                <w:szCs w:val="20"/>
              </w:rPr>
              <w:t>NTWG</w:t>
            </w:r>
          </w:p>
        </w:tc>
        <w:tc>
          <w:tcPr>
            <w:tcW w:w="3221" w:type="dxa"/>
            <w:shd w:val="clear" w:color="auto" w:fill="auto"/>
          </w:tcPr>
          <w:p w14:paraId="34C5F02A" w14:textId="4759BC3C" w:rsidR="00687B10" w:rsidRPr="00AE14D5" w:rsidRDefault="36590FA4" w:rsidP="00BB4743">
            <w:pPr>
              <w:rPr>
                <w:sz w:val="20"/>
                <w:szCs w:val="20"/>
              </w:rPr>
            </w:pPr>
            <w:r w:rsidRPr="00AE14D5">
              <w:rPr>
                <w:rFonts w:eastAsia="Calibri" w:cs="Calibri"/>
                <w:color w:val="000000"/>
                <w:sz w:val="20"/>
                <w:szCs w:val="20"/>
              </w:rPr>
              <w:t>Chair National Technical Working Group</w:t>
            </w:r>
          </w:p>
        </w:tc>
      </w:tr>
      <w:tr w:rsidR="00687B10" w:rsidRPr="004E74A8" w14:paraId="4B5D12B2"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66341EC2" w14:textId="17B0C7A0" w:rsidR="00687B10" w:rsidRPr="00635571" w:rsidRDefault="59107713" w:rsidP="00041B22">
            <w:pPr>
              <w:rPr>
                <w:rFonts w:cstheme="minorBidi"/>
                <w:sz w:val="20"/>
                <w:szCs w:val="20"/>
                <w:lang w:eastAsia="en-GB"/>
              </w:rPr>
            </w:pPr>
            <w:r w:rsidRPr="64C55F6E">
              <w:rPr>
                <w:rFonts w:cstheme="minorBidi"/>
                <w:color w:val="FFFFFF" w:themeColor="background1"/>
                <w:sz w:val="20"/>
                <w:szCs w:val="20"/>
                <w:lang w:eastAsia="en-GB"/>
              </w:rPr>
              <w:t>Policy Fellows AH</w:t>
            </w:r>
          </w:p>
        </w:tc>
      </w:tr>
      <w:tr w:rsidR="64C55F6E" w14:paraId="79C36C30"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shd w:val="clear" w:color="auto" w:fill="auto"/>
          </w:tcPr>
          <w:p w14:paraId="6909E3D5" w14:textId="4FA94ADF" w:rsidR="59107713" w:rsidRPr="00BB4743" w:rsidRDefault="59107713" w:rsidP="64C55F6E">
            <w:pPr>
              <w:rPr>
                <w:rFonts w:eastAsia="Calibri" w:cs="Calibri"/>
                <w:b/>
                <w:bCs/>
                <w:color w:val="000000"/>
                <w:sz w:val="20"/>
                <w:szCs w:val="20"/>
              </w:rPr>
            </w:pPr>
            <w:r w:rsidRPr="00BB4743">
              <w:rPr>
                <w:rFonts w:eastAsia="Calibri" w:cs="Calibri"/>
                <w:b/>
                <w:bCs/>
                <w:color w:val="000000"/>
                <w:sz w:val="20"/>
                <w:szCs w:val="20"/>
              </w:rPr>
              <w:t>Dr Peter Umanah*</w:t>
            </w:r>
          </w:p>
        </w:tc>
        <w:tc>
          <w:tcPr>
            <w:tcW w:w="3221" w:type="dxa"/>
            <w:shd w:val="clear" w:color="auto" w:fill="auto"/>
          </w:tcPr>
          <w:p w14:paraId="1F103B26" w14:textId="0FFE08E2" w:rsidR="59107713" w:rsidRPr="00AE14D5" w:rsidRDefault="59107713" w:rsidP="00BB4743">
            <w:pPr>
              <w:rPr>
                <w:sz w:val="20"/>
                <w:szCs w:val="20"/>
              </w:rPr>
            </w:pPr>
            <w:r w:rsidRPr="00AE14D5">
              <w:rPr>
                <w:rFonts w:eastAsia="Calibri" w:cs="Calibri"/>
                <w:color w:val="000000"/>
                <w:sz w:val="20"/>
                <w:szCs w:val="20"/>
              </w:rPr>
              <w:t>FMARD DV</w:t>
            </w:r>
          </w:p>
        </w:tc>
        <w:tc>
          <w:tcPr>
            <w:tcW w:w="3221" w:type="dxa"/>
            <w:shd w:val="clear" w:color="auto" w:fill="auto"/>
          </w:tcPr>
          <w:p w14:paraId="54B4FDA2" w14:textId="0220817F" w:rsidR="59107713" w:rsidRPr="00AE14D5" w:rsidRDefault="59107713" w:rsidP="00BB4743">
            <w:pPr>
              <w:rPr>
                <w:sz w:val="20"/>
                <w:szCs w:val="20"/>
              </w:rPr>
            </w:pPr>
            <w:r w:rsidRPr="00AE14D5">
              <w:rPr>
                <w:rFonts w:eastAsia="Calibri" w:cs="Calibri"/>
                <w:color w:val="000000"/>
                <w:sz w:val="20"/>
                <w:szCs w:val="20"/>
              </w:rPr>
              <w:t xml:space="preserve">Co Chair, National </w:t>
            </w:r>
            <w:r w:rsidR="00684DFA" w:rsidRPr="00AE14D5">
              <w:rPr>
                <w:rFonts w:eastAsia="Calibri" w:cs="Calibri"/>
                <w:color w:val="000000"/>
                <w:sz w:val="20"/>
                <w:szCs w:val="20"/>
              </w:rPr>
              <w:t>Antimicrobial</w:t>
            </w:r>
            <w:r w:rsidRPr="00AE14D5">
              <w:rPr>
                <w:rFonts w:eastAsia="Calibri" w:cs="Calibri"/>
                <w:color w:val="000000"/>
                <w:sz w:val="20"/>
                <w:szCs w:val="20"/>
              </w:rPr>
              <w:t xml:space="preserve"> Coordination Committee (AMRCC)</w:t>
            </w:r>
          </w:p>
        </w:tc>
      </w:tr>
      <w:tr w:rsidR="00687B10" w:rsidRPr="004E74A8" w14:paraId="29EA71F0"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4CA325B5" w14:textId="7336B93F" w:rsidR="00687B10" w:rsidRPr="000F463A" w:rsidRDefault="6744C647" w:rsidP="00041B22">
            <w:pPr>
              <w:rPr>
                <w:rFonts w:cstheme="minorBidi"/>
                <w:color w:val="FFFFFF" w:themeColor="background1"/>
                <w:sz w:val="20"/>
                <w:szCs w:val="20"/>
                <w:lang w:eastAsia="en-GB"/>
              </w:rPr>
            </w:pPr>
            <w:r w:rsidRPr="64C55F6E">
              <w:rPr>
                <w:rFonts w:cstheme="minorBidi"/>
                <w:color w:val="FFFFFF" w:themeColor="background1"/>
                <w:sz w:val="20"/>
                <w:szCs w:val="20"/>
                <w:lang w:eastAsia="en-GB"/>
              </w:rPr>
              <w:t>Professional Fellows H</w:t>
            </w:r>
            <w:r w:rsidR="5DEA7C80" w:rsidRPr="64C55F6E">
              <w:rPr>
                <w:rFonts w:cstheme="minorBidi"/>
                <w:color w:val="FFFFFF" w:themeColor="background1"/>
                <w:sz w:val="20"/>
                <w:szCs w:val="20"/>
                <w:lang w:eastAsia="en-GB"/>
              </w:rPr>
              <w:t>H</w:t>
            </w:r>
          </w:p>
        </w:tc>
      </w:tr>
      <w:tr w:rsidR="00687B10" w:rsidRPr="004E74A8" w14:paraId="122AEEF5"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2221CE38" w14:textId="3470A10D" w:rsidR="00687B10" w:rsidRPr="00BB4743" w:rsidRDefault="5DEA7C80" w:rsidP="64C55F6E">
            <w:pPr>
              <w:rPr>
                <w:rFonts w:eastAsia="Calibri" w:cs="Calibri"/>
                <w:b/>
                <w:bCs/>
                <w:color w:val="000000"/>
                <w:sz w:val="20"/>
                <w:szCs w:val="20"/>
              </w:rPr>
            </w:pPr>
            <w:r w:rsidRPr="00BB4743">
              <w:rPr>
                <w:rFonts w:eastAsia="Calibri" w:cs="Calibri"/>
                <w:b/>
                <w:bCs/>
                <w:color w:val="000000"/>
                <w:sz w:val="20"/>
                <w:szCs w:val="20"/>
              </w:rPr>
              <w:t>Dr Abiodun Egwenu</w:t>
            </w:r>
          </w:p>
        </w:tc>
        <w:tc>
          <w:tcPr>
            <w:tcW w:w="3221" w:type="dxa"/>
          </w:tcPr>
          <w:p w14:paraId="05F0FF82" w14:textId="4DC98F6D" w:rsidR="00687B10" w:rsidRPr="004E74A8" w:rsidRDefault="5DEA7C80" w:rsidP="00BB4743">
            <w:pPr>
              <w:rPr>
                <w:rFonts w:cstheme="minorBidi"/>
                <w:color w:val="000000"/>
                <w:sz w:val="20"/>
                <w:szCs w:val="20"/>
                <w:lang w:eastAsia="en-GB"/>
              </w:rPr>
            </w:pPr>
            <w:r w:rsidRPr="64C55F6E">
              <w:rPr>
                <w:rFonts w:cstheme="minorBidi"/>
                <w:color w:val="000000"/>
                <w:sz w:val="20"/>
                <w:szCs w:val="20"/>
                <w:lang w:eastAsia="en-GB"/>
              </w:rPr>
              <w:t>NCDC</w:t>
            </w:r>
          </w:p>
        </w:tc>
        <w:tc>
          <w:tcPr>
            <w:tcW w:w="3221" w:type="dxa"/>
          </w:tcPr>
          <w:p w14:paraId="0986C472" w14:textId="7430EC15" w:rsidR="00687B10" w:rsidRPr="00765DFA" w:rsidRDefault="5DEA7C80" w:rsidP="00BB4743">
            <w:pPr>
              <w:rPr>
                <w:color w:val="auto"/>
                <w:sz w:val="20"/>
                <w:szCs w:val="20"/>
              </w:rPr>
            </w:pPr>
            <w:r w:rsidRPr="00765DFA">
              <w:rPr>
                <w:sz w:val="20"/>
                <w:szCs w:val="20"/>
              </w:rPr>
              <w:t>Field Epidemiologist</w:t>
            </w:r>
          </w:p>
        </w:tc>
      </w:tr>
      <w:tr w:rsidR="64C55F6E" w14:paraId="4E0212CE"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0FEE8DF6" w14:textId="117F65C3" w:rsidR="3A117297" w:rsidRPr="00BB4743" w:rsidRDefault="3A117297" w:rsidP="64C55F6E">
            <w:pPr>
              <w:rPr>
                <w:b/>
                <w:bCs/>
                <w:sz w:val="20"/>
                <w:szCs w:val="20"/>
              </w:rPr>
            </w:pPr>
            <w:r w:rsidRPr="00BB4743">
              <w:rPr>
                <w:rFonts w:eastAsia="Calibri" w:cs="Calibri"/>
                <w:b/>
                <w:bCs/>
                <w:color w:val="000000"/>
                <w:sz w:val="20"/>
                <w:szCs w:val="20"/>
              </w:rPr>
              <w:t>Dr Oluwadamilola Abiodun-Adewusi</w:t>
            </w:r>
          </w:p>
        </w:tc>
        <w:tc>
          <w:tcPr>
            <w:tcW w:w="3221" w:type="dxa"/>
          </w:tcPr>
          <w:p w14:paraId="04354D21" w14:textId="55877357" w:rsidR="3A117297" w:rsidRDefault="3A117297" w:rsidP="00BB4743">
            <w:pPr>
              <w:rPr>
                <w:rFonts w:cstheme="minorBidi"/>
                <w:color w:val="000000"/>
                <w:sz w:val="20"/>
                <w:szCs w:val="20"/>
                <w:lang w:eastAsia="en-GB"/>
              </w:rPr>
            </w:pPr>
            <w:r w:rsidRPr="64C55F6E">
              <w:rPr>
                <w:rFonts w:cstheme="minorBidi"/>
                <w:color w:val="000000"/>
                <w:sz w:val="20"/>
                <w:szCs w:val="20"/>
                <w:lang w:eastAsia="en-GB"/>
              </w:rPr>
              <w:t>NAFDAC</w:t>
            </w:r>
          </w:p>
        </w:tc>
        <w:tc>
          <w:tcPr>
            <w:tcW w:w="3221" w:type="dxa"/>
          </w:tcPr>
          <w:p w14:paraId="74BBD951" w14:textId="7430EC15" w:rsidR="3A117297" w:rsidRPr="00765DFA" w:rsidRDefault="3A117297" w:rsidP="00BB4743">
            <w:pPr>
              <w:rPr>
                <w:color w:val="auto"/>
                <w:sz w:val="20"/>
                <w:szCs w:val="20"/>
              </w:rPr>
            </w:pPr>
            <w:r w:rsidRPr="00765DFA">
              <w:rPr>
                <w:sz w:val="20"/>
                <w:szCs w:val="20"/>
              </w:rPr>
              <w:t>Field Epidemiologist</w:t>
            </w:r>
          </w:p>
          <w:p w14:paraId="232DA26B" w14:textId="60BA6C65" w:rsidR="64C55F6E" w:rsidRPr="00765DFA" w:rsidRDefault="64C55F6E" w:rsidP="00BB4743">
            <w:pPr>
              <w:rPr>
                <w:color w:val="auto"/>
                <w:sz w:val="20"/>
                <w:szCs w:val="20"/>
              </w:rPr>
            </w:pPr>
          </w:p>
        </w:tc>
      </w:tr>
      <w:tr w:rsidR="64C55F6E" w14:paraId="680CD62F"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0A8E7849" w14:textId="625227D9" w:rsidR="3A117297" w:rsidRPr="00AE14D5" w:rsidRDefault="3A117297" w:rsidP="00041B22">
            <w:pPr>
              <w:rPr>
                <w:rFonts w:eastAsia="Calibri" w:cs="Calibri"/>
                <w:color w:val="000000"/>
                <w:sz w:val="20"/>
                <w:szCs w:val="20"/>
              </w:rPr>
            </w:pPr>
            <w:r w:rsidRPr="00AE14D5">
              <w:rPr>
                <w:rFonts w:eastAsia="Calibri" w:cs="Calibri"/>
                <w:color w:val="FFFFFF" w:themeColor="background1"/>
                <w:sz w:val="20"/>
                <w:szCs w:val="20"/>
              </w:rPr>
              <w:t>Professional Fellows AH</w:t>
            </w:r>
          </w:p>
        </w:tc>
      </w:tr>
      <w:tr w:rsidR="64C55F6E" w14:paraId="480BA693"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3F84A3FB" w14:textId="23676851" w:rsidR="3A117297" w:rsidRPr="00BB4743" w:rsidRDefault="3A117297" w:rsidP="64C55F6E">
            <w:pPr>
              <w:rPr>
                <w:b/>
                <w:bCs/>
                <w:sz w:val="20"/>
                <w:szCs w:val="20"/>
              </w:rPr>
            </w:pPr>
            <w:r w:rsidRPr="00BB4743">
              <w:rPr>
                <w:rFonts w:eastAsia="Calibri" w:cs="Calibri"/>
                <w:b/>
                <w:bCs/>
                <w:color w:val="000000"/>
                <w:sz w:val="20"/>
                <w:szCs w:val="20"/>
              </w:rPr>
              <w:t>Mabel Aworh-Ajumobi</w:t>
            </w:r>
          </w:p>
        </w:tc>
        <w:tc>
          <w:tcPr>
            <w:tcW w:w="3221" w:type="dxa"/>
          </w:tcPr>
          <w:p w14:paraId="7FA248D8" w14:textId="78FFD065" w:rsidR="3A117297" w:rsidRPr="00AE14D5" w:rsidRDefault="3A117297" w:rsidP="00BB4743">
            <w:pPr>
              <w:rPr>
                <w:sz w:val="20"/>
                <w:szCs w:val="20"/>
              </w:rPr>
            </w:pPr>
            <w:r w:rsidRPr="00AE14D5">
              <w:rPr>
                <w:rFonts w:eastAsia="Calibri" w:cs="Calibri"/>
                <w:color w:val="000000"/>
                <w:sz w:val="20"/>
                <w:szCs w:val="20"/>
              </w:rPr>
              <w:t>FMARD DVPCS</w:t>
            </w:r>
          </w:p>
        </w:tc>
        <w:tc>
          <w:tcPr>
            <w:tcW w:w="3221" w:type="dxa"/>
          </w:tcPr>
          <w:p w14:paraId="3FF5C7D8" w14:textId="0CB8D35B" w:rsidR="3A117297" w:rsidRPr="007F63EF" w:rsidRDefault="3A117297" w:rsidP="00BB4743">
            <w:pPr>
              <w:rPr>
                <w:color w:val="auto"/>
                <w:sz w:val="20"/>
                <w:szCs w:val="20"/>
              </w:rPr>
            </w:pPr>
            <w:r w:rsidRPr="00765DFA">
              <w:rPr>
                <w:sz w:val="20"/>
                <w:szCs w:val="20"/>
              </w:rPr>
              <w:t>Epidemiologist</w:t>
            </w:r>
          </w:p>
        </w:tc>
      </w:tr>
      <w:tr w:rsidR="00771DB5" w:rsidRPr="000B3487" w14:paraId="5C4E82B0"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09D570A1" w14:textId="0699A836" w:rsidR="00687B10" w:rsidRPr="000B3487" w:rsidRDefault="6744C647" w:rsidP="00041B22">
            <w:pPr>
              <w:rPr>
                <w:rFonts w:cstheme="minorBidi"/>
                <w:color w:val="FFFFFF" w:themeColor="background1"/>
                <w:sz w:val="20"/>
                <w:szCs w:val="20"/>
              </w:rPr>
            </w:pPr>
            <w:r w:rsidRPr="000B3487">
              <w:rPr>
                <w:rFonts w:cstheme="minorBidi"/>
                <w:color w:val="FFFFFF" w:themeColor="background1"/>
                <w:sz w:val="20"/>
                <w:szCs w:val="20"/>
              </w:rPr>
              <w:t>AMR Focal Point</w:t>
            </w:r>
          </w:p>
        </w:tc>
      </w:tr>
      <w:tr w:rsidR="00687B10" w:rsidRPr="00791C9D" w14:paraId="45381F14"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4AF88E9A" w14:textId="0964140F" w:rsidR="00687B10" w:rsidRPr="00BB4743" w:rsidRDefault="3CC8409F" w:rsidP="64C55F6E">
            <w:pPr>
              <w:rPr>
                <w:rFonts w:eastAsia="Calibri" w:cs="Calibri"/>
                <w:b/>
                <w:bCs/>
                <w:color w:val="000000"/>
                <w:sz w:val="20"/>
                <w:szCs w:val="20"/>
              </w:rPr>
            </w:pPr>
            <w:r w:rsidRPr="00BB4743">
              <w:rPr>
                <w:rFonts w:eastAsia="Calibri" w:cs="Calibri"/>
                <w:b/>
                <w:bCs/>
                <w:color w:val="000000"/>
                <w:sz w:val="20"/>
                <w:szCs w:val="20"/>
              </w:rPr>
              <w:t>Dr Abiodun Egwenu</w:t>
            </w:r>
            <w:r w:rsidR="322AA359" w:rsidRPr="00BB4743">
              <w:rPr>
                <w:rFonts w:eastAsia="Calibri" w:cs="Calibri"/>
                <w:b/>
                <w:bCs/>
                <w:color w:val="000000"/>
                <w:sz w:val="20"/>
                <w:szCs w:val="20"/>
              </w:rPr>
              <w:t>*</w:t>
            </w:r>
          </w:p>
        </w:tc>
        <w:tc>
          <w:tcPr>
            <w:tcW w:w="3221" w:type="dxa"/>
          </w:tcPr>
          <w:p w14:paraId="3C837CAB" w14:textId="6F1EA94C" w:rsidR="00687B10" w:rsidRPr="00AE14D5" w:rsidRDefault="3CC8409F" w:rsidP="00BB4743">
            <w:pPr>
              <w:rPr>
                <w:sz w:val="20"/>
                <w:szCs w:val="20"/>
              </w:rPr>
            </w:pPr>
            <w:r w:rsidRPr="00AE14D5">
              <w:rPr>
                <w:rFonts w:eastAsia="Calibri" w:cs="Calibri"/>
                <w:color w:val="000000"/>
                <w:sz w:val="20"/>
                <w:szCs w:val="20"/>
              </w:rPr>
              <w:t>NCDC</w:t>
            </w:r>
          </w:p>
        </w:tc>
        <w:tc>
          <w:tcPr>
            <w:tcW w:w="3221" w:type="dxa"/>
          </w:tcPr>
          <w:p w14:paraId="1B5273FB" w14:textId="32E78720" w:rsidR="00687B10" w:rsidRPr="00765DFA" w:rsidRDefault="3CC8409F" w:rsidP="00BB4743">
            <w:pPr>
              <w:rPr>
                <w:color w:val="auto"/>
                <w:sz w:val="20"/>
                <w:szCs w:val="20"/>
              </w:rPr>
            </w:pPr>
            <w:r w:rsidRPr="00765DFA">
              <w:rPr>
                <w:sz w:val="20"/>
                <w:szCs w:val="20"/>
              </w:rPr>
              <w:t>Field Epidemiologist</w:t>
            </w:r>
            <w:r w:rsidR="11E79D52" w:rsidRPr="00765DFA">
              <w:rPr>
                <w:sz w:val="20"/>
                <w:szCs w:val="20"/>
              </w:rPr>
              <w:t>, AMR Focal Point Human Health</w:t>
            </w:r>
          </w:p>
        </w:tc>
      </w:tr>
      <w:tr w:rsidR="00687B10" w:rsidRPr="00791C9D" w14:paraId="6677E833"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150D1344" w14:textId="34CD1754" w:rsidR="00687B10" w:rsidRPr="00BB4743" w:rsidRDefault="11E79D52" w:rsidP="64C55F6E">
            <w:pPr>
              <w:rPr>
                <w:rFonts w:eastAsia="Calibri" w:cs="Calibri"/>
                <w:b/>
                <w:bCs/>
                <w:color w:val="000000"/>
                <w:sz w:val="20"/>
                <w:szCs w:val="20"/>
              </w:rPr>
            </w:pPr>
            <w:r w:rsidRPr="00BB4743">
              <w:rPr>
                <w:rFonts w:eastAsia="Calibri" w:cs="Calibri"/>
                <w:b/>
                <w:bCs/>
                <w:color w:val="000000"/>
                <w:sz w:val="20"/>
                <w:szCs w:val="20"/>
              </w:rPr>
              <w:t>Mwapu Ndahi</w:t>
            </w:r>
          </w:p>
        </w:tc>
        <w:tc>
          <w:tcPr>
            <w:tcW w:w="3221" w:type="dxa"/>
          </w:tcPr>
          <w:p w14:paraId="31A8D8BE" w14:textId="07B8C509" w:rsidR="00687B10" w:rsidRPr="00AE14D5" w:rsidRDefault="11E79D52" w:rsidP="00BB4743">
            <w:pPr>
              <w:rPr>
                <w:sz w:val="20"/>
                <w:szCs w:val="20"/>
              </w:rPr>
            </w:pPr>
            <w:r w:rsidRPr="00AE14D5">
              <w:rPr>
                <w:rFonts w:eastAsia="Calibri" w:cs="Calibri"/>
                <w:color w:val="000000"/>
                <w:sz w:val="20"/>
                <w:szCs w:val="20"/>
              </w:rPr>
              <w:t>FMARD DVPCS</w:t>
            </w:r>
          </w:p>
        </w:tc>
        <w:tc>
          <w:tcPr>
            <w:tcW w:w="3221" w:type="dxa"/>
          </w:tcPr>
          <w:p w14:paraId="358FBDFA" w14:textId="35BF0148" w:rsidR="00687B10" w:rsidRPr="00765DFA" w:rsidRDefault="11E79D52" w:rsidP="00BB4743">
            <w:pPr>
              <w:rPr>
                <w:color w:val="auto"/>
                <w:sz w:val="20"/>
                <w:szCs w:val="20"/>
              </w:rPr>
            </w:pPr>
            <w:r w:rsidRPr="00765DFA">
              <w:rPr>
                <w:sz w:val="20"/>
                <w:szCs w:val="20"/>
              </w:rPr>
              <w:t xml:space="preserve">Veterinarian, AMR Focal Point </w:t>
            </w:r>
            <w:r w:rsidR="00265143" w:rsidRPr="00765DFA">
              <w:rPr>
                <w:sz w:val="20"/>
                <w:szCs w:val="20"/>
              </w:rPr>
              <w:t>AH</w:t>
            </w:r>
          </w:p>
        </w:tc>
      </w:tr>
      <w:tr w:rsidR="64C55F6E" w14:paraId="284C8697"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06344A62" w14:textId="0793FB06" w:rsidR="11E79D52" w:rsidRPr="00AE14D5" w:rsidRDefault="00121E83" w:rsidP="00041B22">
            <w:pPr>
              <w:rPr>
                <w:rFonts w:eastAsia="Calibri" w:cs="Calibri"/>
                <w:color w:val="FFFFFF" w:themeColor="background1"/>
                <w:sz w:val="20"/>
                <w:szCs w:val="20"/>
              </w:rPr>
            </w:pPr>
            <w:r w:rsidRPr="00121E83">
              <w:rPr>
                <w:rFonts w:eastAsia="Calibri" w:cs="Calibri"/>
                <w:color w:val="FFFFFF" w:themeColor="background1"/>
                <w:sz w:val="20"/>
                <w:szCs w:val="20"/>
              </w:rPr>
              <w:t>WOAH</w:t>
            </w:r>
            <w:r w:rsidR="11E79D52" w:rsidRPr="00AE14D5">
              <w:rPr>
                <w:rFonts w:eastAsia="Calibri" w:cs="Calibri"/>
                <w:color w:val="FFFFFF" w:themeColor="background1"/>
                <w:sz w:val="20"/>
                <w:szCs w:val="20"/>
              </w:rPr>
              <w:t xml:space="preserve"> Focal Point</w:t>
            </w:r>
          </w:p>
        </w:tc>
      </w:tr>
      <w:tr w:rsidR="64C55F6E" w14:paraId="2B93CCBC"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1C333DD" w14:textId="032A9334" w:rsidR="11E79D52" w:rsidRPr="00AE14D5" w:rsidRDefault="11E79D52" w:rsidP="64C55F6E">
            <w:pPr>
              <w:rPr>
                <w:rFonts w:eastAsia="Calibri" w:cs="Calibri"/>
                <w:color w:val="000000"/>
                <w:sz w:val="20"/>
                <w:szCs w:val="20"/>
              </w:rPr>
            </w:pPr>
            <w:r w:rsidRPr="00BB4743">
              <w:rPr>
                <w:rFonts w:eastAsia="Calibri" w:cs="Calibri"/>
                <w:b/>
                <w:bCs/>
                <w:color w:val="000000"/>
                <w:sz w:val="20"/>
                <w:szCs w:val="20"/>
              </w:rPr>
              <w:t>Mwapu</w:t>
            </w:r>
            <w:r w:rsidRPr="00AE14D5">
              <w:rPr>
                <w:rFonts w:eastAsia="Calibri" w:cs="Calibri"/>
                <w:color w:val="000000"/>
                <w:sz w:val="20"/>
                <w:szCs w:val="20"/>
              </w:rPr>
              <w:t xml:space="preserve"> </w:t>
            </w:r>
            <w:r w:rsidRPr="00BB4743">
              <w:rPr>
                <w:rFonts w:eastAsia="Calibri" w:cs="Calibri"/>
                <w:b/>
                <w:bCs/>
                <w:color w:val="000000"/>
                <w:sz w:val="20"/>
                <w:szCs w:val="20"/>
              </w:rPr>
              <w:t>Ndahi</w:t>
            </w:r>
            <w:r w:rsidRPr="00AE14D5">
              <w:rPr>
                <w:rFonts w:eastAsia="Calibri" w:cs="Calibri"/>
                <w:color w:val="000000"/>
                <w:sz w:val="20"/>
                <w:szCs w:val="20"/>
              </w:rPr>
              <w:t>*</w:t>
            </w:r>
          </w:p>
        </w:tc>
        <w:tc>
          <w:tcPr>
            <w:tcW w:w="3221" w:type="dxa"/>
          </w:tcPr>
          <w:p w14:paraId="43EFCB2A" w14:textId="5C02F21E" w:rsidR="11E79D52" w:rsidRPr="00AE14D5" w:rsidRDefault="11E79D52" w:rsidP="00BB4743">
            <w:pPr>
              <w:rPr>
                <w:sz w:val="20"/>
                <w:szCs w:val="20"/>
              </w:rPr>
            </w:pPr>
            <w:r w:rsidRPr="00AE14D5">
              <w:rPr>
                <w:rFonts w:eastAsia="Calibri" w:cs="Calibri"/>
                <w:color w:val="000000"/>
                <w:sz w:val="20"/>
                <w:szCs w:val="20"/>
              </w:rPr>
              <w:t>FMARD DVPCS</w:t>
            </w:r>
          </w:p>
        </w:tc>
        <w:tc>
          <w:tcPr>
            <w:tcW w:w="3221" w:type="dxa"/>
          </w:tcPr>
          <w:p w14:paraId="33E0FD6F" w14:textId="6AF22555" w:rsidR="11E79D52" w:rsidRPr="007F63EF" w:rsidRDefault="11E79D52" w:rsidP="00BB4743">
            <w:pPr>
              <w:rPr>
                <w:color w:val="auto"/>
                <w:sz w:val="20"/>
                <w:szCs w:val="20"/>
              </w:rPr>
            </w:pPr>
            <w:r w:rsidRPr="00765DFA">
              <w:rPr>
                <w:sz w:val="20"/>
                <w:szCs w:val="20"/>
              </w:rPr>
              <w:t xml:space="preserve">Veterinarian, AMR Focal Point </w:t>
            </w:r>
            <w:r w:rsidR="00265143" w:rsidRPr="00765DFA">
              <w:rPr>
                <w:sz w:val="20"/>
                <w:szCs w:val="20"/>
              </w:rPr>
              <w:t>AH</w:t>
            </w:r>
          </w:p>
        </w:tc>
      </w:tr>
      <w:tr w:rsidR="00687B10" w:rsidRPr="00791C9D" w14:paraId="1159F70B"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2113D834" w14:textId="77777777" w:rsidR="00687B10" w:rsidRPr="000F463A" w:rsidRDefault="00687B10" w:rsidP="00041B22">
            <w:pPr>
              <w:rPr>
                <w:rFonts w:cstheme="minorHAnsi"/>
                <w:color w:val="FFFFFF" w:themeColor="background1"/>
                <w:sz w:val="20"/>
                <w:szCs w:val="20"/>
              </w:rPr>
            </w:pPr>
            <w:r>
              <w:rPr>
                <w:rFonts w:cstheme="minorHAnsi"/>
                <w:color w:val="FFFFFF" w:themeColor="background1"/>
                <w:sz w:val="20"/>
                <w:szCs w:val="20"/>
              </w:rPr>
              <w:t>Development Partners/ Academia</w:t>
            </w:r>
          </w:p>
        </w:tc>
      </w:tr>
      <w:tr w:rsidR="00041B22" w:rsidRPr="000B3487" w14:paraId="034DD5C4"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436724A8" w14:textId="2D4C5E27" w:rsidR="00687B10" w:rsidRPr="00765DFA" w:rsidRDefault="798E96D3" w:rsidP="64C55F6E">
            <w:pPr>
              <w:rPr>
                <w:rFonts w:cstheme="minorBidi"/>
                <w:b/>
                <w:bCs/>
                <w:color w:val="auto"/>
                <w:sz w:val="20"/>
                <w:szCs w:val="20"/>
                <w:lang w:eastAsia="en-GB"/>
              </w:rPr>
            </w:pPr>
            <w:r w:rsidRPr="00765DFA">
              <w:rPr>
                <w:rFonts w:cstheme="minorBidi"/>
                <w:b/>
                <w:bCs/>
                <w:sz w:val="20"/>
                <w:szCs w:val="20"/>
                <w:lang w:eastAsia="en-GB"/>
              </w:rPr>
              <w:t>Guy Kouame</w:t>
            </w:r>
          </w:p>
        </w:tc>
        <w:tc>
          <w:tcPr>
            <w:tcW w:w="3221" w:type="dxa"/>
          </w:tcPr>
          <w:p w14:paraId="66F61BB1" w14:textId="638F2ADE" w:rsidR="00687B10" w:rsidRPr="00765DFA" w:rsidRDefault="798E96D3" w:rsidP="00BB4743">
            <w:pPr>
              <w:rPr>
                <w:rFonts w:cstheme="minorBidi"/>
                <w:color w:val="auto"/>
                <w:sz w:val="20"/>
                <w:szCs w:val="20"/>
                <w:lang w:eastAsia="en-GB"/>
              </w:rPr>
            </w:pPr>
            <w:r w:rsidRPr="00765DFA">
              <w:rPr>
                <w:rFonts w:cstheme="minorBidi"/>
                <w:sz w:val="20"/>
                <w:szCs w:val="20"/>
                <w:lang w:eastAsia="en-GB"/>
              </w:rPr>
              <w:t>FAO ECTAD</w:t>
            </w:r>
          </w:p>
        </w:tc>
        <w:tc>
          <w:tcPr>
            <w:tcW w:w="3221" w:type="dxa"/>
          </w:tcPr>
          <w:p w14:paraId="0A914D44" w14:textId="124DBC86" w:rsidR="00687B10" w:rsidRPr="00BB4743" w:rsidRDefault="798E96D3" w:rsidP="00BB4743">
            <w:pPr>
              <w:rPr>
                <w:color w:val="auto"/>
                <w:sz w:val="20"/>
                <w:szCs w:val="20"/>
              </w:rPr>
            </w:pPr>
            <w:r w:rsidRPr="00BB4743">
              <w:rPr>
                <w:rFonts w:eastAsia="Calibri" w:cs="Calibri"/>
                <w:color w:val="auto"/>
                <w:sz w:val="20"/>
                <w:szCs w:val="20"/>
              </w:rPr>
              <w:t>FAO representative</w:t>
            </w:r>
          </w:p>
        </w:tc>
      </w:tr>
      <w:tr w:rsidR="00687B10" w:rsidRPr="00791C9D" w14:paraId="26E29205"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5C0E6C2F" w14:textId="5D977339" w:rsidR="00687B10" w:rsidRPr="00BB4743" w:rsidRDefault="798E96D3" w:rsidP="64C55F6E">
            <w:pPr>
              <w:rPr>
                <w:b/>
                <w:bCs/>
                <w:sz w:val="20"/>
                <w:szCs w:val="20"/>
              </w:rPr>
            </w:pPr>
            <w:r w:rsidRPr="00BB4743">
              <w:rPr>
                <w:rFonts w:eastAsia="Calibri" w:cs="Calibri"/>
                <w:b/>
                <w:bCs/>
                <w:color w:val="000000"/>
                <w:sz w:val="20"/>
                <w:szCs w:val="20"/>
              </w:rPr>
              <w:t>Olubunmi Negedu-Momoh</w:t>
            </w:r>
          </w:p>
        </w:tc>
        <w:tc>
          <w:tcPr>
            <w:tcW w:w="3221" w:type="dxa"/>
          </w:tcPr>
          <w:p w14:paraId="305938D2" w14:textId="3F8FA6DD" w:rsidR="00687B10" w:rsidRPr="00AE14D5" w:rsidRDefault="798E96D3" w:rsidP="00BB4743">
            <w:pPr>
              <w:rPr>
                <w:sz w:val="20"/>
                <w:szCs w:val="20"/>
              </w:rPr>
            </w:pPr>
            <w:r w:rsidRPr="00AE14D5">
              <w:rPr>
                <w:rFonts w:eastAsia="Calibri" w:cs="Calibri"/>
                <w:color w:val="000000"/>
                <w:sz w:val="20"/>
                <w:szCs w:val="20"/>
              </w:rPr>
              <w:t>UK Health Security Agency (Public Health England)</w:t>
            </w:r>
          </w:p>
        </w:tc>
        <w:tc>
          <w:tcPr>
            <w:tcW w:w="3221" w:type="dxa"/>
          </w:tcPr>
          <w:p w14:paraId="69E5906D" w14:textId="16CFC53F" w:rsidR="00687B10" w:rsidRPr="00AE14D5" w:rsidRDefault="798E96D3" w:rsidP="00BB4743">
            <w:pPr>
              <w:rPr>
                <w:sz w:val="20"/>
                <w:szCs w:val="20"/>
              </w:rPr>
            </w:pPr>
            <w:r w:rsidRPr="00AE14D5">
              <w:rPr>
                <w:rFonts w:eastAsia="Calibri" w:cs="Calibri"/>
                <w:color w:val="000000"/>
                <w:sz w:val="20"/>
                <w:szCs w:val="20"/>
              </w:rPr>
              <w:t>Laboratory Technical Adviser to the DG NCDC at Public Health England</w:t>
            </w:r>
          </w:p>
        </w:tc>
      </w:tr>
      <w:tr w:rsidR="00687B10" w:rsidRPr="00791C9D" w14:paraId="12550CA6"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5D089D49" w14:textId="6BE0FDCC" w:rsidR="00687B10" w:rsidRPr="00BB4743" w:rsidRDefault="52246DE7" w:rsidP="64C55F6E">
            <w:pPr>
              <w:rPr>
                <w:b/>
                <w:bCs/>
                <w:sz w:val="20"/>
                <w:szCs w:val="20"/>
              </w:rPr>
            </w:pPr>
            <w:r w:rsidRPr="00BB4743">
              <w:rPr>
                <w:rFonts w:eastAsia="Calibri" w:cs="Calibri"/>
                <w:b/>
                <w:bCs/>
                <w:color w:val="000000"/>
                <w:sz w:val="20"/>
                <w:szCs w:val="20"/>
              </w:rPr>
              <w:t>Olusola Aruna</w:t>
            </w:r>
          </w:p>
        </w:tc>
        <w:tc>
          <w:tcPr>
            <w:tcW w:w="3221" w:type="dxa"/>
          </w:tcPr>
          <w:p w14:paraId="2E86E0B2" w14:textId="06A24D0B" w:rsidR="00687B10" w:rsidRPr="00AE14D5" w:rsidRDefault="52246DE7" w:rsidP="00BB4743">
            <w:pPr>
              <w:rPr>
                <w:sz w:val="20"/>
                <w:szCs w:val="20"/>
              </w:rPr>
            </w:pPr>
            <w:r w:rsidRPr="00AE14D5">
              <w:rPr>
                <w:rFonts w:eastAsia="Calibri" w:cs="Calibri"/>
                <w:color w:val="000000"/>
                <w:sz w:val="20"/>
                <w:szCs w:val="20"/>
              </w:rPr>
              <w:t>UK Health Security Agency (Public Health England)</w:t>
            </w:r>
          </w:p>
        </w:tc>
        <w:tc>
          <w:tcPr>
            <w:tcW w:w="3221" w:type="dxa"/>
          </w:tcPr>
          <w:p w14:paraId="0766EB14" w14:textId="7B6996FE" w:rsidR="00687B10" w:rsidRPr="00AE14D5" w:rsidRDefault="52246DE7" w:rsidP="00BB4743">
            <w:pPr>
              <w:rPr>
                <w:sz w:val="20"/>
                <w:szCs w:val="20"/>
              </w:rPr>
            </w:pPr>
            <w:r w:rsidRPr="00AE14D5">
              <w:rPr>
                <w:rFonts w:eastAsia="Calibri" w:cs="Calibri"/>
                <w:color w:val="000000"/>
                <w:sz w:val="20"/>
                <w:szCs w:val="20"/>
              </w:rPr>
              <w:t>Consultant in Public Health Medicine</w:t>
            </w:r>
          </w:p>
        </w:tc>
      </w:tr>
      <w:tr w:rsidR="00687B10" w:rsidRPr="00791C9D" w14:paraId="30C6A07D"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63D3007D" w14:textId="77777777" w:rsidR="00687B10" w:rsidRPr="0018555A" w:rsidRDefault="00687B10" w:rsidP="00041B22">
            <w:pPr>
              <w:rPr>
                <w:rFonts w:cstheme="minorHAnsi"/>
                <w:color w:val="FFFFFF" w:themeColor="background1"/>
                <w:sz w:val="20"/>
                <w:szCs w:val="20"/>
              </w:rPr>
            </w:pPr>
            <w:r>
              <w:rPr>
                <w:rFonts w:cstheme="minorHAnsi"/>
                <w:color w:val="FFFFFF" w:themeColor="background1"/>
                <w:sz w:val="20"/>
                <w:szCs w:val="20"/>
              </w:rPr>
              <w:t>NRL &amp; Site Visit</w:t>
            </w:r>
          </w:p>
        </w:tc>
      </w:tr>
      <w:tr w:rsidR="00D770D4" w:rsidRPr="00D770D4" w14:paraId="02BF1973"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4F07B686" w14:textId="7B115369" w:rsidR="00687B10" w:rsidRPr="00BB4743" w:rsidRDefault="433EC70C" w:rsidP="64C55F6E">
            <w:pPr>
              <w:rPr>
                <w:b/>
                <w:bCs/>
                <w:color w:val="auto"/>
                <w:sz w:val="20"/>
                <w:szCs w:val="20"/>
              </w:rPr>
            </w:pPr>
            <w:r w:rsidRPr="00BB4743">
              <w:rPr>
                <w:rFonts w:eastAsia="Calibri" w:cs="Calibri"/>
                <w:b/>
                <w:bCs/>
                <w:color w:val="auto"/>
                <w:sz w:val="20"/>
                <w:szCs w:val="20"/>
              </w:rPr>
              <w:t>Nwando Mba</w:t>
            </w:r>
          </w:p>
        </w:tc>
        <w:tc>
          <w:tcPr>
            <w:tcW w:w="3221" w:type="dxa"/>
          </w:tcPr>
          <w:p w14:paraId="75F207B8" w14:textId="03EC5577" w:rsidR="00687B10" w:rsidRPr="00765DFA" w:rsidRDefault="433EC70C" w:rsidP="00BB4743">
            <w:pPr>
              <w:rPr>
                <w:rFonts w:cstheme="minorBidi"/>
                <w:color w:val="auto"/>
                <w:sz w:val="20"/>
                <w:szCs w:val="20"/>
                <w:lang w:eastAsia="en-GB"/>
              </w:rPr>
            </w:pPr>
            <w:r w:rsidRPr="00765DFA">
              <w:rPr>
                <w:rFonts w:cstheme="minorBidi"/>
                <w:sz w:val="20"/>
                <w:szCs w:val="20"/>
                <w:lang w:eastAsia="en-GB"/>
              </w:rPr>
              <w:t>NCDC</w:t>
            </w:r>
          </w:p>
        </w:tc>
        <w:tc>
          <w:tcPr>
            <w:tcW w:w="3221" w:type="dxa"/>
          </w:tcPr>
          <w:p w14:paraId="611F2443" w14:textId="583D5267" w:rsidR="00687B10" w:rsidRPr="00765DFA" w:rsidRDefault="433EC70C" w:rsidP="00BB4743">
            <w:pPr>
              <w:rPr>
                <w:color w:val="auto"/>
                <w:sz w:val="20"/>
                <w:szCs w:val="20"/>
              </w:rPr>
            </w:pPr>
            <w:r w:rsidRPr="00765DFA">
              <w:rPr>
                <w:sz w:val="20"/>
                <w:szCs w:val="20"/>
              </w:rPr>
              <w:t>Director of Laboratory Services</w:t>
            </w:r>
          </w:p>
        </w:tc>
      </w:tr>
      <w:tr w:rsidR="00D770D4" w:rsidRPr="00D770D4" w14:paraId="233F6E63"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784014F6" w14:textId="671C0D8E" w:rsidR="00687B10" w:rsidRPr="00BB4743" w:rsidRDefault="433EC70C" w:rsidP="64C55F6E">
            <w:pPr>
              <w:rPr>
                <w:b/>
                <w:bCs/>
                <w:color w:val="auto"/>
                <w:sz w:val="20"/>
                <w:szCs w:val="20"/>
              </w:rPr>
            </w:pPr>
            <w:r w:rsidRPr="00BB4743">
              <w:rPr>
                <w:rFonts w:eastAsia="Calibri" w:cs="Calibri"/>
                <w:b/>
                <w:bCs/>
                <w:color w:val="auto"/>
                <w:sz w:val="20"/>
                <w:szCs w:val="20"/>
              </w:rPr>
              <w:t>Dr Sati Ngulukun</w:t>
            </w:r>
          </w:p>
        </w:tc>
        <w:tc>
          <w:tcPr>
            <w:tcW w:w="3221" w:type="dxa"/>
          </w:tcPr>
          <w:p w14:paraId="4D710673" w14:textId="22DCF47E" w:rsidR="00687B10" w:rsidRPr="00BB4743" w:rsidRDefault="00136177" w:rsidP="00BB4743">
            <w:pPr>
              <w:rPr>
                <w:rFonts w:cstheme="minorBidi"/>
                <w:color w:val="auto"/>
                <w:sz w:val="20"/>
                <w:szCs w:val="20"/>
                <w:lang w:eastAsia="en-GB"/>
              </w:rPr>
            </w:pPr>
            <w:r w:rsidRPr="00136177">
              <w:rPr>
                <w:rFonts w:cstheme="minorBidi"/>
                <w:color w:val="auto"/>
                <w:sz w:val="20"/>
                <w:szCs w:val="20"/>
                <w:lang w:eastAsia="en-GB"/>
              </w:rPr>
              <w:t>National Veterinary Research Institute</w:t>
            </w:r>
            <w:r w:rsidRPr="00463B81">
              <w:rPr>
                <w:rFonts w:cstheme="minorBidi"/>
                <w:color w:val="auto"/>
                <w:sz w:val="20"/>
                <w:szCs w:val="20"/>
                <w:lang w:eastAsia="en-GB"/>
              </w:rPr>
              <w:t xml:space="preserve"> </w:t>
            </w:r>
            <w:r>
              <w:rPr>
                <w:rFonts w:cstheme="minorBidi"/>
                <w:color w:val="auto"/>
                <w:sz w:val="20"/>
                <w:szCs w:val="20"/>
                <w:lang w:eastAsia="en-GB"/>
              </w:rPr>
              <w:t>(</w:t>
            </w:r>
            <w:r w:rsidR="433EC70C" w:rsidRPr="006C1425">
              <w:rPr>
                <w:rFonts w:cstheme="minorBidi"/>
                <w:sz w:val="20"/>
                <w:szCs w:val="20"/>
                <w:lang w:eastAsia="en-GB"/>
              </w:rPr>
              <w:t>NVRI</w:t>
            </w:r>
            <w:r>
              <w:rPr>
                <w:rFonts w:cstheme="minorBidi"/>
                <w:color w:val="auto"/>
                <w:sz w:val="20"/>
                <w:szCs w:val="20"/>
                <w:lang w:eastAsia="en-GB"/>
              </w:rPr>
              <w:t>)</w:t>
            </w:r>
          </w:p>
        </w:tc>
        <w:tc>
          <w:tcPr>
            <w:tcW w:w="3221" w:type="dxa"/>
          </w:tcPr>
          <w:p w14:paraId="04113589" w14:textId="12071B2E" w:rsidR="00687B10" w:rsidRPr="00BB4743" w:rsidRDefault="433EC70C" w:rsidP="00BB4743">
            <w:pPr>
              <w:rPr>
                <w:color w:val="auto"/>
                <w:sz w:val="20"/>
                <w:szCs w:val="20"/>
              </w:rPr>
            </w:pPr>
            <w:r w:rsidRPr="00BB4743">
              <w:rPr>
                <w:rFonts w:eastAsia="Calibri" w:cs="Calibri"/>
                <w:color w:val="auto"/>
                <w:sz w:val="20"/>
                <w:szCs w:val="20"/>
              </w:rPr>
              <w:t>Director Diagnostics and Extension Services</w:t>
            </w:r>
          </w:p>
        </w:tc>
      </w:tr>
    </w:tbl>
    <w:p w14:paraId="2582702F" w14:textId="3D9A10AB" w:rsidR="00CF4E89" w:rsidRDefault="00CF4E89" w:rsidP="004F2001">
      <w:pPr>
        <w:pStyle w:val="ItadH2"/>
      </w:pPr>
      <w:bookmarkStart w:id="410" w:name="_Toc118968577"/>
      <w:bookmarkStart w:id="411" w:name="_Toc122209931"/>
      <w:bookmarkStart w:id="412" w:name="_Toc142383219"/>
      <w:r>
        <w:t>Pakistan</w:t>
      </w:r>
      <w:bookmarkEnd w:id="410"/>
      <w:bookmarkEnd w:id="411"/>
      <w:bookmarkEnd w:id="412"/>
    </w:p>
    <w:p w14:paraId="554E1880" w14:textId="53CFFEE0" w:rsidR="00687B10" w:rsidRPr="00687B10" w:rsidRDefault="00E67017" w:rsidP="004F2001">
      <w:pPr>
        <w:pStyle w:val="ItadH3"/>
      </w:pPr>
      <w:bookmarkStart w:id="413" w:name="_Toc118968578"/>
      <w:bookmarkStart w:id="414" w:name="_Toc122209932"/>
      <w:bookmarkStart w:id="415" w:name="_Toc142383220"/>
      <w:r>
        <w:t>Pilot</w:t>
      </w:r>
      <w:bookmarkEnd w:id="413"/>
      <w:bookmarkEnd w:id="414"/>
      <w:bookmarkEnd w:id="415"/>
    </w:p>
    <w:tbl>
      <w:tblPr>
        <w:tblStyle w:val="Itadalternaterows"/>
        <w:tblW w:w="0" w:type="auto"/>
        <w:tblLook w:val="04A0" w:firstRow="1" w:lastRow="0" w:firstColumn="1" w:lastColumn="0" w:noHBand="0" w:noVBand="1"/>
      </w:tblPr>
      <w:tblGrid>
        <w:gridCol w:w="3134"/>
        <w:gridCol w:w="3131"/>
        <w:gridCol w:w="3130"/>
      </w:tblGrid>
      <w:tr w:rsidR="17D077F0" w:rsidRPr="00D770D4" w14:paraId="37DAB44D" w14:textId="77777777" w:rsidTr="17D077F0">
        <w:trPr>
          <w:cnfStyle w:val="100000000000" w:firstRow="1" w:lastRow="0" w:firstColumn="0" w:lastColumn="0" w:oddVBand="0" w:evenVBand="0" w:oddHBand="0" w:evenHBand="0" w:firstRowFirstColumn="0" w:firstRowLastColumn="0" w:lastRowFirstColumn="0" w:lastRowLastColumn="0"/>
          <w:trHeight w:val="340"/>
        </w:trPr>
        <w:tc>
          <w:tcPr>
            <w:tcW w:w="9395" w:type="dxa"/>
            <w:gridSpan w:val="3"/>
          </w:tcPr>
          <w:p w14:paraId="512456B7" w14:textId="75EAAB20" w:rsidR="17D077F0" w:rsidRPr="00BB4743" w:rsidRDefault="17D077F0" w:rsidP="17D077F0">
            <w:pPr>
              <w:rPr>
                <w:rFonts w:cs="Calibri"/>
                <w:color w:val="FFFFFF" w:themeColor="background1"/>
                <w:sz w:val="20"/>
                <w:szCs w:val="20"/>
                <w:lang w:eastAsia="en-GB"/>
              </w:rPr>
            </w:pPr>
            <w:r w:rsidRPr="00BB4743">
              <w:rPr>
                <w:rFonts w:cs="Calibri"/>
                <w:color w:val="FFFFFF" w:themeColor="background1"/>
                <w:sz w:val="20"/>
                <w:szCs w:val="20"/>
                <w:lang w:eastAsia="en-GB"/>
              </w:rPr>
              <w:t xml:space="preserve">Fleming Fund </w:t>
            </w:r>
            <w:r w:rsidR="005B5B44" w:rsidRPr="00BB4743">
              <w:rPr>
                <w:rFonts w:cs="Calibri"/>
                <w:color w:val="FFFFFF" w:themeColor="background1"/>
                <w:sz w:val="20"/>
                <w:szCs w:val="20"/>
                <w:lang w:eastAsia="en-GB"/>
              </w:rPr>
              <w:t>CG</w:t>
            </w:r>
          </w:p>
        </w:tc>
      </w:tr>
      <w:tr w:rsidR="17D077F0" w:rsidRPr="00D770D4" w14:paraId="6F5840F4"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26BD1BC1" w14:textId="748AA201" w:rsidR="6D900E77" w:rsidRPr="00BB4743" w:rsidRDefault="6D900E77" w:rsidP="17D077F0">
            <w:pPr>
              <w:spacing w:line="259" w:lineRule="auto"/>
              <w:rPr>
                <w:rFonts w:cs="Calibri"/>
                <w:b/>
                <w:bCs/>
                <w:color w:val="000000"/>
                <w:sz w:val="20"/>
                <w:szCs w:val="20"/>
                <w:lang w:eastAsia="en-GB"/>
              </w:rPr>
            </w:pPr>
            <w:r w:rsidRPr="00BB4743">
              <w:rPr>
                <w:rFonts w:cs="Calibri"/>
                <w:b/>
                <w:bCs/>
                <w:color w:val="000000"/>
                <w:sz w:val="20"/>
                <w:szCs w:val="20"/>
                <w:lang w:eastAsia="en-GB"/>
              </w:rPr>
              <w:t>Dr Ayesha Rasheed</w:t>
            </w:r>
          </w:p>
        </w:tc>
        <w:tc>
          <w:tcPr>
            <w:tcW w:w="3131" w:type="dxa"/>
          </w:tcPr>
          <w:p w14:paraId="64AF2517" w14:textId="3FB1A9DD" w:rsidR="6D900E77" w:rsidRPr="00BB4743" w:rsidRDefault="6D900E77" w:rsidP="00BB4743">
            <w:pPr>
              <w:rPr>
                <w:rFonts w:cs="Calibri"/>
                <w:color w:val="000000"/>
                <w:sz w:val="20"/>
                <w:szCs w:val="20"/>
                <w:lang w:eastAsia="en-GB"/>
              </w:rPr>
            </w:pPr>
            <w:r w:rsidRPr="00BB4743">
              <w:rPr>
                <w:rFonts w:cs="Calibri"/>
                <w:color w:val="000000"/>
                <w:sz w:val="20"/>
                <w:szCs w:val="20"/>
                <w:lang w:eastAsia="en-GB"/>
              </w:rPr>
              <w:t>DAI</w:t>
            </w:r>
          </w:p>
        </w:tc>
        <w:tc>
          <w:tcPr>
            <w:tcW w:w="3130" w:type="dxa"/>
          </w:tcPr>
          <w:p w14:paraId="3BA7531F" w14:textId="23A10D3C" w:rsidR="6D900E77" w:rsidRPr="00BB4743" w:rsidRDefault="6D900E77" w:rsidP="00BB4743">
            <w:pPr>
              <w:spacing w:line="259" w:lineRule="auto"/>
              <w:rPr>
                <w:rFonts w:cs="Calibri"/>
                <w:color w:val="000000"/>
                <w:sz w:val="20"/>
                <w:szCs w:val="20"/>
                <w:lang w:eastAsia="en-GB"/>
              </w:rPr>
            </w:pPr>
            <w:r w:rsidRPr="00BB4743">
              <w:rPr>
                <w:rFonts w:cs="Calibri"/>
                <w:color w:val="000000"/>
                <w:sz w:val="20"/>
                <w:szCs w:val="20"/>
                <w:lang w:eastAsia="en-GB"/>
              </w:rPr>
              <w:t>Team Lead</w:t>
            </w:r>
          </w:p>
        </w:tc>
      </w:tr>
      <w:tr w:rsidR="17D077F0" w:rsidRPr="00D770D4" w14:paraId="7801841C"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116B8D93" w14:textId="388518FA" w:rsidR="6D900E77" w:rsidRPr="00BB4743" w:rsidRDefault="6D900E77" w:rsidP="17D077F0">
            <w:pPr>
              <w:spacing w:line="259" w:lineRule="auto"/>
              <w:rPr>
                <w:rFonts w:cs="Calibri"/>
                <w:b/>
                <w:bCs/>
                <w:color w:val="000000"/>
                <w:sz w:val="20"/>
                <w:szCs w:val="20"/>
                <w:lang w:eastAsia="en-GB"/>
              </w:rPr>
            </w:pPr>
            <w:r w:rsidRPr="00BB4743">
              <w:rPr>
                <w:rFonts w:cs="Calibri"/>
                <w:b/>
                <w:bCs/>
                <w:color w:val="000000"/>
                <w:sz w:val="20"/>
                <w:szCs w:val="20"/>
                <w:lang w:eastAsia="en-GB"/>
              </w:rPr>
              <w:t xml:space="preserve">Dr </w:t>
            </w:r>
            <w:r w:rsidRPr="00BB4743">
              <w:rPr>
                <w:rFonts w:eastAsia="Calibri" w:cs="Calibri"/>
                <w:b/>
                <w:bCs/>
                <w:color w:val="000000"/>
                <w:sz w:val="20"/>
                <w:szCs w:val="20"/>
              </w:rPr>
              <w:t>Qadeer Ahsan</w:t>
            </w:r>
          </w:p>
        </w:tc>
        <w:tc>
          <w:tcPr>
            <w:tcW w:w="3131" w:type="dxa"/>
          </w:tcPr>
          <w:p w14:paraId="70326404" w14:textId="7C6A3D25" w:rsidR="6D900E77" w:rsidRPr="00BB4743" w:rsidRDefault="6D900E77" w:rsidP="00BB4743">
            <w:pPr>
              <w:rPr>
                <w:rFonts w:cs="Calibri"/>
                <w:color w:val="000000"/>
                <w:sz w:val="20"/>
                <w:szCs w:val="20"/>
                <w:lang w:eastAsia="en-GB"/>
              </w:rPr>
            </w:pPr>
            <w:r w:rsidRPr="00BB4743">
              <w:rPr>
                <w:rFonts w:cs="Calibri"/>
                <w:color w:val="000000"/>
                <w:sz w:val="20"/>
                <w:szCs w:val="20"/>
                <w:lang w:eastAsia="en-GB"/>
              </w:rPr>
              <w:t>DAI</w:t>
            </w:r>
          </w:p>
        </w:tc>
        <w:tc>
          <w:tcPr>
            <w:tcW w:w="3130" w:type="dxa"/>
          </w:tcPr>
          <w:p w14:paraId="54B280AB" w14:textId="58425844" w:rsidR="6D900E77" w:rsidRPr="00BB4743" w:rsidRDefault="6D900E77" w:rsidP="00BB4743">
            <w:pPr>
              <w:spacing w:line="259" w:lineRule="auto"/>
              <w:rPr>
                <w:rFonts w:cs="Calibri"/>
                <w:sz w:val="20"/>
                <w:szCs w:val="20"/>
              </w:rPr>
            </w:pPr>
            <w:r w:rsidRPr="00BB4743">
              <w:rPr>
                <w:rFonts w:eastAsia="Calibri" w:cs="Calibri"/>
                <w:color w:val="000000"/>
                <w:sz w:val="20"/>
                <w:szCs w:val="20"/>
              </w:rPr>
              <w:t>Technical Director</w:t>
            </w:r>
          </w:p>
        </w:tc>
      </w:tr>
      <w:tr w:rsidR="17D077F0" w:rsidRPr="00D770D4" w14:paraId="7C0F7006"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659B8738" w14:textId="77777777" w:rsidR="17D077F0" w:rsidRPr="00BB4743" w:rsidRDefault="17D077F0" w:rsidP="00041B22">
            <w:pPr>
              <w:rPr>
                <w:rFonts w:cs="Calibri"/>
                <w:sz w:val="20"/>
                <w:szCs w:val="20"/>
              </w:rPr>
            </w:pPr>
            <w:r w:rsidRPr="00BB4743">
              <w:rPr>
                <w:rFonts w:cs="Calibri"/>
                <w:color w:val="FFFFFF" w:themeColor="background1"/>
                <w:sz w:val="20"/>
                <w:szCs w:val="20"/>
                <w:lang w:eastAsia="en-GB"/>
              </w:rPr>
              <w:t>AMRCC Members</w:t>
            </w:r>
          </w:p>
        </w:tc>
      </w:tr>
      <w:tr w:rsidR="17D077F0" w:rsidRPr="00D770D4" w14:paraId="5E73547F"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6BA5F672" w14:textId="062DFCC6" w:rsidR="0426A4B4" w:rsidRPr="00BB4743" w:rsidRDefault="0426A4B4" w:rsidP="17D077F0">
            <w:pPr>
              <w:spacing w:line="259" w:lineRule="auto"/>
              <w:rPr>
                <w:rFonts w:eastAsia="Calibri" w:cs="Calibri"/>
                <w:b/>
                <w:bCs/>
                <w:color w:val="000000"/>
                <w:sz w:val="20"/>
                <w:szCs w:val="20"/>
              </w:rPr>
            </w:pPr>
            <w:r w:rsidRPr="00BB4743">
              <w:rPr>
                <w:rFonts w:eastAsia="Calibri" w:cs="Calibri"/>
                <w:b/>
                <w:bCs/>
                <w:color w:val="000000"/>
                <w:sz w:val="20"/>
                <w:szCs w:val="20"/>
              </w:rPr>
              <w:t>Dr Muhammad Akram</w:t>
            </w:r>
          </w:p>
        </w:tc>
        <w:tc>
          <w:tcPr>
            <w:tcW w:w="3131" w:type="dxa"/>
          </w:tcPr>
          <w:p w14:paraId="06C4B053" w14:textId="035446C8" w:rsidR="0426A4B4" w:rsidRPr="00BB4743" w:rsidRDefault="00463B81" w:rsidP="00BB4743">
            <w:pPr>
              <w:spacing w:line="259" w:lineRule="auto"/>
              <w:rPr>
                <w:rFonts w:eastAsia="Calibri" w:cs="Calibri"/>
                <w:color w:val="000000"/>
                <w:sz w:val="20"/>
                <w:szCs w:val="20"/>
              </w:rPr>
            </w:pPr>
            <w:r w:rsidRPr="00463B81">
              <w:rPr>
                <w:rFonts w:eastAsia="Calibri" w:cs="Calibri"/>
                <w:color w:val="000000"/>
                <w:sz w:val="20"/>
                <w:szCs w:val="20"/>
              </w:rPr>
              <w:t>Ministry of National Food Security &amp; Research</w:t>
            </w:r>
            <w:r w:rsidRPr="003529AC">
              <w:rPr>
                <w:rFonts w:eastAsia="Calibri" w:cs="Calibri"/>
                <w:color w:val="000000"/>
                <w:sz w:val="20"/>
                <w:szCs w:val="20"/>
              </w:rPr>
              <w:t xml:space="preserve"> </w:t>
            </w:r>
            <w:r>
              <w:rPr>
                <w:rFonts w:eastAsia="Calibri" w:cs="Calibri"/>
                <w:color w:val="000000"/>
                <w:sz w:val="20"/>
                <w:szCs w:val="20"/>
              </w:rPr>
              <w:t>(</w:t>
            </w:r>
            <w:r w:rsidR="0426A4B4" w:rsidRPr="00BB4743">
              <w:rPr>
                <w:rFonts w:eastAsia="Calibri" w:cs="Calibri"/>
                <w:color w:val="000000"/>
                <w:sz w:val="20"/>
                <w:szCs w:val="20"/>
              </w:rPr>
              <w:t>MONFSR</w:t>
            </w:r>
            <w:r>
              <w:rPr>
                <w:rFonts w:eastAsia="Calibri" w:cs="Calibri"/>
                <w:color w:val="000000"/>
                <w:sz w:val="20"/>
                <w:szCs w:val="20"/>
              </w:rPr>
              <w:t>)</w:t>
            </w:r>
          </w:p>
        </w:tc>
        <w:tc>
          <w:tcPr>
            <w:tcW w:w="3130" w:type="dxa"/>
          </w:tcPr>
          <w:p w14:paraId="5BBF53B6" w14:textId="745C7C5D" w:rsidR="0426A4B4" w:rsidRPr="00BB4743" w:rsidRDefault="0426A4B4" w:rsidP="00BB4743">
            <w:pPr>
              <w:rPr>
                <w:rFonts w:cs="Calibri"/>
                <w:sz w:val="20"/>
                <w:szCs w:val="20"/>
              </w:rPr>
            </w:pPr>
            <w:r w:rsidRPr="00BB4743">
              <w:rPr>
                <w:rFonts w:eastAsia="Calibri" w:cs="Calibri"/>
                <w:color w:val="000000"/>
                <w:sz w:val="20"/>
                <w:szCs w:val="20"/>
              </w:rPr>
              <w:t>Deputy AHC</w:t>
            </w:r>
          </w:p>
        </w:tc>
      </w:tr>
      <w:tr w:rsidR="17D077F0" w:rsidRPr="00D770D4" w14:paraId="6B8C10BD"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6D48A7B3" w14:textId="5298680E" w:rsidR="50D7BF5C" w:rsidRPr="00BB4743" w:rsidRDefault="50D7BF5C" w:rsidP="17D077F0">
            <w:pPr>
              <w:spacing w:line="259" w:lineRule="auto"/>
              <w:rPr>
                <w:rFonts w:eastAsia="Calibri" w:cs="Calibri"/>
                <w:b/>
                <w:bCs/>
                <w:color w:val="000000"/>
                <w:sz w:val="20"/>
                <w:szCs w:val="20"/>
              </w:rPr>
            </w:pPr>
            <w:r w:rsidRPr="00BB4743">
              <w:rPr>
                <w:rFonts w:eastAsia="Calibri" w:cs="Calibri"/>
                <w:b/>
                <w:bCs/>
                <w:color w:val="000000"/>
                <w:sz w:val="20"/>
                <w:szCs w:val="20"/>
              </w:rPr>
              <w:t>Dr Muhammad Salman</w:t>
            </w:r>
          </w:p>
        </w:tc>
        <w:tc>
          <w:tcPr>
            <w:tcW w:w="3131" w:type="dxa"/>
          </w:tcPr>
          <w:p w14:paraId="75DDA0D7" w14:textId="6B47A01C" w:rsidR="50D7BF5C" w:rsidRPr="00BB4743" w:rsidRDefault="003529AC" w:rsidP="00BB4743">
            <w:pPr>
              <w:spacing w:line="259" w:lineRule="auto"/>
              <w:rPr>
                <w:rFonts w:eastAsia="Calibri" w:cs="Calibri"/>
                <w:color w:val="000000"/>
                <w:sz w:val="20"/>
                <w:szCs w:val="20"/>
              </w:rPr>
            </w:pPr>
            <w:r>
              <w:rPr>
                <w:rFonts w:eastAsia="Calibri" w:cs="Calibri"/>
                <w:color w:val="000000"/>
                <w:sz w:val="20"/>
                <w:szCs w:val="20"/>
              </w:rPr>
              <w:t>National Institute of Health (</w:t>
            </w:r>
            <w:r w:rsidR="50D7BF5C" w:rsidRPr="00BB4743">
              <w:rPr>
                <w:rFonts w:eastAsia="Calibri" w:cs="Calibri"/>
                <w:color w:val="000000"/>
                <w:sz w:val="20"/>
                <w:szCs w:val="20"/>
              </w:rPr>
              <w:t>NIH</w:t>
            </w:r>
            <w:r>
              <w:rPr>
                <w:rFonts w:eastAsia="Calibri" w:cs="Calibri"/>
                <w:color w:val="000000"/>
                <w:sz w:val="20"/>
                <w:szCs w:val="20"/>
              </w:rPr>
              <w:t>)</w:t>
            </w:r>
          </w:p>
        </w:tc>
        <w:tc>
          <w:tcPr>
            <w:tcW w:w="3130" w:type="dxa"/>
          </w:tcPr>
          <w:p w14:paraId="3225757C" w14:textId="7903EA1E" w:rsidR="50D7BF5C" w:rsidRPr="00765DFA" w:rsidRDefault="50D7BF5C" w:rsidP="00BB4743">
            <w:pPr>
              <w:rPr>
                <w:rFonts w:cs="Calibri"/>
                <w:color w:val="auto"/>
                <w:sz w:val="20"/>
                <w:szCs w:val="20"/>
              </w:rPr>
            </w:pPr>
            <w:r w:rsidRPr="00765DFA">
              <w:rPr>
                <w:rFonts w:cs="Calibri"/>
                <w:sz w:val="20"/>
                <w:szCs w:val="20"/>
              </w:rPr>
              <w:t>Chief PHLD, Head NRL</w:t>
            </w:r>
          </w:p>
        </w:tc>
      </w:tr>
      <w:tr w:rsidR="17D077F0" w:rsidRPr="00D770D4" w14:paraId="01F3DD36" w14:textId="77777777" w:rsidTr="72985B4B">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5A7956D4" w14:textId="1C7715B0" w:rsidR="207DD95E" w:rsidRPr="00BB4743" w:rsidRDefault="207DD95E" w:rsidP="17D077F0">
            <w:pPr>
              <w:spacing w:line="259" w:lineRule="auto"/>
              <w:rPr>
                <w:rFonts w:eastAsia="Calibri" w:cs="Calibri"/>
                <w:b/>
                <w:bCs/>
                <w:color w:val="000000"/>
                <w:sz w:val="20"/>
                <w:szCs w:val="20"/>
              </w:rPr>
            </w:pPr>
            <w:r w:rsidRPr="00BB4743">
              <w:rPr>
                <w:rFonts w:eastAsia="Calibri" w:cs="Calibri"/>
                <w:b/>
                <w:bCs/>
                <w:color w:val="000000"/>
                <w:sz w:val="20"/>
                <w:szCs w:val="20"/>
              </w:rPr>
              <w:t>Munnaza Sarfaraz</w:t>
            </w:r>
          </w:p>
        </w:tc>
        <w:tc>
          <w:tcPr>
            <w:tcW w:w="3131" w:type="dxa"/>
          </w:tcPr>
          <w:p w14:paraId="65388FB4" w14:textId="43619498" w:rsidR="207DD95E" w:rsidRPr="00BB4743" w:rsidRDefault="207DD95E" w:rsidP="00BB4743">
            <w:pPr>
              <w:spacing w:line="259" w:lineRule="auto"/>
              <w:rPr>
                <w:rFonts w:eastAsia="Calibri" w:cs="Calibri"/>
                <w:color w:val="000000"/>
                <w:sz w:val="20"/>
                <w:szCs w:val="20"/>
              </w:rPr>
            </w:pPr>
            <w:r w:rsidRPr="00BB4743">
              <w:rPr>
                <w:rFonts w:eastAsia="Calibri" w:cs="Calibri"/>
                <w:color w:val="000000"/>
                <w:sz w:val="20"/>
                <w:szCs w:val="20"/>
              </w:rPr>
              <w:t>NIH Secretariat</w:t>
            </w:r>
          </w:p>
        </w:tc>
        <w:tc>
          <w:tcPr>
            <w:tcW w:w="3130" w:type="dxa"/>
          </w:tcPr>
          <w:p w14:paraId="01BAD16B" w14:textId="2A21369A" w:rsidR="17D077F0" w:rsidRPr="00765DFA" w:rsidRDefault="2313CC53" w:rsidP="00BB4743">
            <w:pPr>
              <w:rPr>
                <w:rFonts w:cs="Calibri"/>
                <w:color w:val="auto"/>
                <w:sz w:val="20"/>
                <w:szCs w:val="20"/>
              </w:rPr>
            </w:pPr>
            <w:r w:rsidRPr="00765DFA">
              <w:rPr>
                <w:rFonts w:cs="Calibri"/>
                <w:sz w:val="20"/>
                <w:szCs w:val="20"/>
              </w:rPr>
              <w:t>Coordinator AMR Secretariat</w:t>
            </w:r>
          </w:p>
        </w:tc>
      </w:tr>
      <w:tr w:rsidR="17D077F0" w:rsidRPr="00D770D4" w14:paraId="50446537"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438CCB26" w14:textId="77777777" w:rsidR="17D077F0" w:rsidRPr="00BB4743" w:rsidRDefault="17D077F0" w:rsidP="00041B22">
            <w:pPr>
              <w:rPr>
                <w:rFonts w:cs="Calibri"/>
                <w:color w:val="auto"/>
                <w:sz w:val="20"/>
                <w:szCs w:val="20"/>
              </w:rPr>
            </w:pPr>
            <w:r w:rsidRPr="00BB4743">
              <w:rPr>
                <w:rFonts w:cs="Calibri"/>
                <w:color w:val="FFFFFF" w:themeColor="background1"/>
                <w:sz w:val="20"/>
                <w:szCs w:val="20"/>
                <w:lang w:eastAsia="en-GB"/>
              </w:rPr>
              <w:t>Other decision makers</w:t>
            </w:r>
          </w:p>
        </w:tc>
      </w:tr>
      <w:tr w:rsidR="17D077F0" w:rsidRPr="00D770D4" w14:paraId="45C89F58"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281809FD" w14:textId="0F5F216E" w:rsidR="24D4321B" w:rsidRPr="00BB4743" w:rsidRDefault="24D4321B" w:rsidP="17D077F0">
            <w:pPr>
              <w:spacing w:line="259" w:lineRule="auto"/>
              <w:rPr>
                <w:rFonts w:eastAsia="Calibri" w:cs="Calibri"/>
                <w:b/>
                <w:bCs/>
                <w:color w:val="000000"/>
                <w:sz w:val="20"/>
                <w:szCs w:val="20"/>
              </w:rPr>
            </w:pPr>
            <w:r w:rsidRPr="00BB4743">
              <w:rPr>
                <w:rFonts w:eastAsia="Calibri" w:cs="Calibri"/>
                <w:b/>
                <w:bCs/>
                <w:color w:val="000000"/>
                <w:sz w:val="20"/>
                <w:szCs w:val="20"/>
              </w:rPr>
              <w:t>Maj. Gen. Aamer Ikram</w:t>
            </w:r>
          </w:p>
        </w:tc>
        <w:tc>
          <w:tcPr>
            <w:tcW w:w="3131" w:type="dxa"/>
          </w:tcPr>
          <w:p w14:paraId="794969D7" w14:textId="0567AE80" w:rsidR="24D4321B" w:rsidRPr="00BB4743" w:rsidRDefault="24D4321B" w:rsidP="00BB4743">
            <w:pPr>
              <w:spacing w:line="259" w:lineRule="auto"/>
              <w:rPr>
                <w:rFonts w:eastAsia="Calibri" w:cs="Calibri"/>
                <w:color w:val="000000"/>
                <w:sz w:val="20"/>
                <w:szCs w:val="20"/>
              </w:rPr>
            </w:pPr>
            <w:r w:rsidRPr="00BB4743">
              <w:rPr>
                <w:rFonts w:eastAsia="Calibri" w:cs="Calibri"/>
                <w:color w:val="000000"/>
                <w:sz w:val="20"/>
                <w:szCs w:val="20"/>
              </w:rPr>
              <w:t>NIH</w:t>
            </w:r>
          </w:p>
        </w:tc>
        <w:tc>
          <w:tcPr>
            <w:tcW w:w="3130" w:type="dxa"/>
          </w:tcPr>
          <w:p w14:paraId="16808CB2" w14:textId="103711FB" w:rsidR="24D4321B" w:rsidRPr="00BB4743" w:rsidRDefault="24D4321B" w:rsidP="00BB4743">
            <w:pPr>
              <w:rPr>
                <w:rFonts w:cs="Calibri"/>
                <w:color w:val="auto"/>
                <w:sz w:val="20"/>
                <w:szCs w:val="20"/>
              </w:rPr>
            </w:pPr>
            <w:r w:rsidRPr="00BB4743">
              <w:rPr>
                <w:rFonts w:cs="Calibri"/>
                <w:sz w:val="20"/>
                <w:szCs w:val="20"/>
              </w:rPr>
              <w:t>ED</w:t>
            </w:r>
          </w:p>
        </w:tc>
      </w:tr>
      <w:tr w:rsidR="17D077F0" w:rsidRPr="00D770D4" w14:paraId="230D935B"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1B70C14C" w14:textId="51174DB8" w:rsidR="24D4321B" w:rsidRPr="00BB4743" w:rsidRDefault="24D4321B" w:rsidP="17D077F0">
            <w:pPr>
              <w:spacing w:line="259" w:lineRule="auto"/>
              <w:rPr>
                <w:rFonts w:cs="Calibri"/>
                <w:b/>
                <w:bCs/>
                <w:color w:val="000000"/>
                <w:sz w:val="20"/>
                <w:szCs w:val="20"/>
                <w:lang w:eastAsia="en-GB"/>
              </w:rPr>
            </w:pPr>
            <w:r w:rsidRPr="00BB4743">
              <w:rPr>
                <w:rFonts w:cs="Calibri"/>
                <w:b/>
                <w:bCs/>
                <w:color w:val="000000"/>
                <w:sz w:val="20"/>
                <w:szCs w:val="20"/>
                <w:lang w:eastAsia="en-GB"/>
              </w:rPr>
              <w:t xml:space="preserve">Dr </w:t>
            </w:r>
            <w:r w:rsidRPr="00BB4743">
              <w:rPr>
                <w:rFonts w:eastAsia="Calibri" w:cs="Calibri"/>
                <w:b/>
                <w:bCs/>
                <w:color w:val="000000"/>
                <w:sz w:val="20"/>
                <w:szCs w:val="20"/>
              </w:rPr>
              <w:t>Qadeer Ahsan*</w:t>
            </w:r>
          </w:p>
        </w:tc>
        <w:tc>
          <w:tcPr>
            <w:tcW w:w="3131" w:type="dxa"/>
          </w:tcPr>
          <w:p w14:paraId="4E7FD2C2" w14:textId="15A662A1" w:rsidR="24D4321B" w:rsidRPr="00BB4743" w:rsidRDefault="24D4321B" w:rsidP="00BB4743">
            <w:pPr>
              <w:spacing w:line="259" w:lineRule="auto"/>
              <w:rPr>
                <w:rFonts w:eastAsia="Calibri" w:cs="Calibri"/>
                <w:color w:val="000000"/>
                <w:sz w:val="20"/>
                <w:szCs w:val="20"/>
              </w:rPr>
            </w:pPr>
            <w:r w:rsidRPr="00BB4743">
              <w:rPr>
                <w:rFonts w:eastAsia="Calibri" w:cs="Calibri"/>
                <w:color w:val="000000"/>
                <w:sz w:val="20"/>
                <w:szCs w:val="20"/>
              </w:rPr>
              <w:t>DAI</w:t>
            </w:r>
          </w:p>
        </w:tc>
        <w:tc>
          <w:tcPr>
            <w:tcW w:w="3130" w:type="dxa"/>
          </w:tcPr>
          <w:p w14:paraId="3405F878" w14:textId="11285554" w:rsidR="24D4321B" w:rsidRPr="00BB4743" w:rsidRDefault="24D4321B" w:rsidP="00BB4743">
            <w:pPr>
              <w:rPr>
                <w:rFonts w:cs="Calibri"/>
                <w:sz w:val="20"/>
                <w:szCs w:val="20"/>
              </w:rPr>
            </w:pPr>
            <w:r w:rsidRPr="00BB4743">
              <w:rPr>
                <w:rFonts w:eastAsia="Calibri" w:cs="Calibri"/>
                <w:color w:val="000000"/>
                <w:sz w:val="20"/>
                <w:szCs w:val="20"/>
              </w:rPr>
              <w:t>Technical Director</w:t>
            </w:r>
          </w:p>
        </w:tc>
      </w:tr>
      <w:tr w:rsidR="17D077F0" w:rsidRPr="00D770D4" w14:paraId="6E51AE34"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0CBBB611" w14:textId="3055CFA7" w:rsidR="24D4321B" w:rsidRPr="00BB4743" w:rsidRDefault="24D4321B" w:rsidP="17D077F0">
            <w:pPr>
              <w:spacing w:line="259" w:lineRule="auto"/>
              <w:rPr>
                <w:rFonts w:eastAsia="Calibri" w:cs="Calibri"/>
                <w:b/>
                <w:bCs/>
                <w:color w:val="000000"/>
                <w:sz w:val="20"/>
                <w:szCs w:val="20"/>
              </w:rPr>
            </w:pPr>
            <w:r w:rsidRPr="00BB4743">
              <w:rPr>
                <w:rFonts w:eastAsia="Calibri" w:cs="Calibri"/>
                <w:b/>
                <w:bCs/>
                <w:color w:val="000000"/>
                <w:sz w:val="20"/>
                <w:szCs w:val="20"/>
              </w:rPr>
              <w:t>Dr Agha Waqar Yunus</w:t>
            </w:r>
          </w:p>
        </w:tc>
        <w:tc>
          <w:tcPr>
            <w:tcW w:w="3131" w:type="dxa"/>
          </w:tcPr>
          <w:p w14:paraId="6F1717DD" w14:textId="24D13B8C" w:rsidR="24D4321B" w:rsidRPr="00BB4743" w:rsidRDefault="00AB7592" w:rsidP="00BB4743">
            <w:pPr>
              <w:spacing w:line="259" w:lineRule="auto"/>
              <w:rPr>
                <w:rFonts w:eastAsia="Calibri" w:cs="Calibri"/>
                <w:color w:val="000000"/>
                <w:sz w:val="20"/>
                <w:szCs w:val="20"/>
              </w:rPr>
            </w:pPr>
            <w:r w:rsidRPr="00AB7592">
              <w:rPr>
                <w:rFonts w:eastAsia="Calibri" w:cs="Calibri"/>
                <w:color w:val="000000"/>
                <w:sz w:val="20"/>
                <w:szCs w:val="20"/>
              </w:rPr>
              <w:t>National Veterinary Laboratories</w:t>
            </w:r>
            <w:r w:rsidRPr="00066AA4">
              <w:rPr>
                <w:rFonts w:eastAsia="Calibri" w:cs="Calibri"/>
                <w:color w:val="000000"/>
                <w:sz w:val="20"/>
                <w:szCs w:val="20"/>
              </w:rPr>
              <w:t xml:space="preserve"> </w:t>
            </w:r>
            <w:r>
              <w:rPr>
                <w:rFonts w:eastAsia="Calibri" w:cs="Calibri"/>
                <w:color w:val="000000"/>
                <w:sz w:val="20"/>
                <w:szCs w:val="20"/>
              </w:rPr>
              <w:t>(</w:t>
            </w:r>
            <w:r w:rsidR="24D4321B" w:rsidRPr="00BB4743">
              <w:rPr>
                <w:rFonts w:eastAsia="Calibri" w:cs="Calibri"/>
                <w:color w:val="000000"/>
                <w:sz w:val="20"/>
                <w:szCs w:val="20"/>
              </w:rPr>
              <w:t>NVL</w:t>
            </w:r>
            <w:r>
              <w:rPr>
                <w:rFonts w:eastAsia="Calibri" w:cs="Calibri"/>
                <w:color w:val="000000"/>
                <w:sz w:val="20"/>
                <w:szCs w:val="20"/>
              </w:rPr>
              <w:t>)</w:t>
            </w:r>
          </w:p>
        </w:tc>
        <w:tc>
          <w:tcPr>
            <w:tcW w:w="3130" w:type="dxa"/>
          </w:tcPr>
          <w:p w14:paraId="2AD55A83" w14:textId="09BFC5CA" w:rsidR="24D4321B" w:rsidRPr="00BB4743" w:rsidRDefault="24D4321B" w:rsidP="00BB4743">
            <w:pPr>
              <w:rPr>
                <w:rFonts w:cs="Calibri"/>
                <w:color w:val="auto"/>
                <w:sz w:val="20"/>
                <w:szCs w:val="20"/>
              </w:rPr>
            </w:pPr>
            <w:r w:rsidRPr="00BB4743">
              <w:rPr>
                <w:rFonts w:cs="Calibri"/>
                <w:sz w:val="20"/>
                <w:szCs w:val="20"/>
              </w:rPr>
              <w:t>DG</w:t>
            </w:r>
          </w:p>
        </w:tc>
      </w:tr>
      <w:tr w:rsidR="17D077F0" w:rsidRPr="00D770D4" w14:paraId="065CD098"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7456DAA8" w14:textId="77777777" w:rsidR="17D077F0" w:rsidRPr="00BB4743" w:rsidRDefault="17D077F0" w:rsidP="00041B22">
            <w:pPr>
              <w:rPr>
                <w:rFonts w:cs="Calibri"/>
                <w:sz w:val="20"/>
                <w:szCs w:val="20"/>
              </w:rPr>
            </w:pPr>
            <w:r w:rsidRPr="00BB4743">
              <w:rPr>
                <w:rFonts w:cs="Calibri"/>
                <w:color w:val="FFFFFF" w:themeColor="background1"/>
                <w:sz w:val="20"/>
                <w:szCs w:val="20"/>
                <w:lang w:eastAsia="en-GB"/>
              </w:rPr>
              <w:t>Policy Fellows HH</w:t>
            </w:r>
          </w:p>
        </w:tc>
      </w:tr>
      <w:tr w:rsidR="17D077F0" w:rsidRPr="00D770D4" w14:paraId="328CCBE6"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shd w:val="clear" w:color="auto" w:fill="auto"/>
          </w:tcPr>
          <w:p w14:paraId="44EC3458" w14:textId="0C8B3798" w:rsidR="48ADEE27" w:rsidRPr="00BB4743" w:rsidRDefault="48ADEE27" w:rsidP="17D077F0">
            <w:pPr>
              <w:spacing w:line="259" w:lineRule="auto"/>
              <w:rPr>
                <w:rFonts w:cs="Calibri"/>
                <w:b/>
                <w:bCs/>
                <w:sz w:val="20"/>
                <w:szCs w:val="20"/>
              </w:rPr>
            </w:pPr>
            <w:r w:rsidRPr="00BB4743">
              <w:rPr>
                <w:rFonts w:eastAsia="Calibri" w:cs="Calibri"/>
                <w:b/>
                <w:bCs/>
                <w:color w:val="000000"/>
                <w:sz w:val="20"/>
                <w:szCs w:val="20"/>
              </w:rPr>
              <w:t>Dr Ayesha Farooq</w:t>
            </w:r>
          </w:p>
        </w:tc>
        <w:tc>
          <w:tcPr>
            <w:tcW w:w="3131" w:type="dxa"/>
            <w:shd w:val="clear" w:color="auto" w:fill="auto"/>
          </w:tcPr>
          <w:p w14:paraId="67DAF5CF" w14:textId="4F48AA93" w:rsidR="48ADEE27" w:rsidRPr="00BB4743" w:rsidRDefault="48ADEE27" w:rsidP="00BB4743">
            <w:pPr>
              <w:spacing w:line="259" w:lineRule="auto"/>
              <w:rPr>
                <w:rFonts w:eastAsia="Calibri" w:cs="Calibri"/>
                <w:color w:val="000000"/>
                <w:sz w:val="20"/>
                <w:szCs w:val="20"/>
              </w:rPr>
            </w:pPr>
            <w:r w:rsidRPr="00BB4743">
              <w:rPr>
                <w:rFonts w:eastAsia="Calibri" w:cs="Calibri"/>
                <w:color w:val="000000"/>
                <w:sz w:val="20"/>
                <w:szCs w:val="20"/>
              </w:rPr>
              <w:t>NIH</w:t>
            </w:r>
          </w:p>
        </w:tc>
        <w:tc>
          <w:tcPr>
            <w:tcW w:w="3130" w:type="dxa"/>
            <w:shd w:val="clear" w:color="auto" w:fill="auto"/>
          </w:tcPr>
          <w:p w14:paraId="675920F7" w14:textId="1F3C5ADA" w:rsidR="48ADEE27" w:rsidRPr="00BB4743" w:rsidRDefault="48ADEE27" w:rsidP="00BB4743">
            <w:pPr>
              <w:spacing w:line="259" w:lineRule="auto"/>
              <w:rPr>
                <w:rFonts w:cs="Calibri"/>
                <w:sz w:val="20"/>
                <w:szCs w:val="20"/>
              </w:rPr>
            </w:pPr>
            <w:r w:rsidRPr="00BB4743">
              <w:rPr>
                <w:rFonts w:eastAsia="Calibri" w:cs="Calibri"/>
                <w:color w:val="000000"/>
                <w:sz w:val="20"/>
                <w:szCs w:val="20"/>
              </w:rPr>
              <w:t>Head of Microbiology Department</w:t>
            </w:r>
          </w:p>
        </w:tc>
      </w:tr>
      <w:tr w:rsidR="17D077F0" w:rsidRPr="00D770D4" w14:paraId="125BDD20"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505F305D" w14:textId="7316887C" w:rsidR="17D077F0" w:rsidRPr="00BB4743" w:rsidRDefault="17D077F0" w:rsidP="00041B22">
            <w:pPr>
              <w:rPr>
                <w:rFonts w:cs="Calibri"/>
                <w:sz w:val="20"/>
                <w:szCs w:val="20"/>
              </w:rPr>
            </w:pPr>
            <w:r w:rsidRPr="00BB4743">
              <w:rPr>
                <w:rFonts w:cs="Calibri"/>
                <w:color w:val="FFFFFF" w:themeColor="background1"/>
                <w:sz w:val="20"/>
                <w:szCs w:val="20"/>
                <w:lang w:eastAsia="en-GB"/>
              </w:rPr>
              <w:t>Policy Fellows AH</w:t>
            </w:r>
          </w:p>
        </w:tc>
      </w:tr>
      <w:tr w:rsidR="17D077F0" w:rsidRPr="00D770D4" w14:paraId="1E37CA8B"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shd w:val="clear" w:color="auto" w:fill="auto"/>
          </w:tcPr>
          <w:p w14:paraId="65072135" w14:textId="4DAB078C" w:rsidR="221DFC7E" w:rsidRPr="00BB4743" w:rsidRDefault="221DFC7E" w:rsidP="17D077F0">
            <w:pPr>
              <w:spacing w:line="259" w:lineRule="auto"/>
              <w:rPr>
                <w:rFonts w:eastAsia="Calibri" w:cs="Calibri"/>
                <w:b/>
                <w:bCs/>
                <w:color w:val="000000"/>
                <w:sz w:val="20"/>
                <w:szCs w:val="20"/>
              </w:rPr>
            </w:pPr>
            <w:r w:rsidRPr="00BB4743">
              <w:rPr>
                <w:rFonts w:eastAsia="Calibri" w:cs="Calibri"/>
                <w:b/>
                <w:bCs/>
                <w:color w:val="000000"/>
                <w:sz w:val="20"/>
                <w:szCs w:val="20"/>
              </w:rPr>
              <w:t>Dr Naila Siddique</w:t>
            </w:r>
          </w:p>
        </w:tc>
        <w:tc>
          <w:tcPr>
            <w:tcW w:w="3131" w:type="dxa"/>
            <w:shd w:val="clear" w:color="auto" w:fill="auto"/>
          </w:tcPr>
          <w:p w14:paraId="339D81A3" w14:textId="466AC333" w:rsidR="10F3D17C" w:rsidRPr="00BB4743" w:rsidRDefault="10F3D17C" w:rsidP="00BB4743">
            <w:pPr>
              <w:spacing w:line="259" w:lineRule="auto"/>
              <w:rPr>
                <w:rFonts w:eastAsia="Calibri" w:cs="Calibri"/>
                <w:color w:val="000000"/>
                <w:sz w:val="20"/>
                <w:szCs w:val="20"/>
              </w:rPr>
            </w:pPr>
            <w:r w:rsidRPr="00BB4743">
              <w:rPr>
                <w:rFonts w:eastAsia="Calibri" w:cs="Calibri"/>
                <w:color w:val="000000"/>
                <w:sz w:val="20"/>
                <w:szCs w:val="20"/>
              </w:rPr>
              <w:t>NRLPD</w:t>
            </w:r>
          </w:p>
        </w:tc>
        <w:tc>
          <w:tcPr>
            <w:tcW w:w="3130" w:type="dxa"/>
            <w:shd w:val="clear" w:color="auto" w:fill="auto"/>
          </w:tcPr>
          <w:p w14:paraId="33D3CE37" w14:textId="3414A6ED" w:rsidR="10F3D17C" w:rsidRPr="00BB4743" w:rsidRDefault="002A22DF" w:rsidP="00BB4743">
            <w:pPr>
              <w:rPr>
                <w:rFonts w:eastAsia="Calibri" w:cs="Calibri"/>
                <w:color w:val="000000"/>
                <w:sz w:val="20"/>
                <w:szCs w:val="20"/>
              </w:rPr>
            </w:pPr>
            <w:r w:rsidRPr="00BB4743">
              <w:rPr>
                <w:rFonts w:eastAsia="Calibri" w:cs="Calibri"/>
                <w:color w:val="000000"/>
                <w:sz w:val="20"/>
                <w:szCs w:val="20"/>
              </w:rPr>
              <w:t xml:space="preserve">Programme </w:t>
            </w:r>
            <w:r w:rsidR="10F3D17C" w:rsidRPr="00BB4743">
              <w:rPr>
                <w:rFonts w:eastAsia="Calibri" w:cs="Calibri"/>
                <w:color w:val="000000"/>
                <w:sz w:val="20"/>
                <w:szCs w:val="20"/>
              </w:rPr>
              <w:t>Lead</w:t>
            </w:r>
          </w:p>
        </w:tc>
      </w:tr>
      <w:tr w:rsidR="17D077F0" w:rsidRPr="00D770D4" w14:paraId="3018BB6A"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shd w:val="clear" w:color="auto" w:fill="auto"/>
          </w:tcPr>
          <w:p w14:paraId="1C47D962" w14:textId="42732A30" w:rsidR="0D6CBE36" w:rsidRPr="00BB4743" w:rsidRDefault="0D6CBE36" w:rsidP="17D077F0">
            <w:pPr>
              <w:spacing w:line="259" w:lineRule="auto"/>
              <w:rPr>
                <w:rFonts w:eastAsia="Calibri" w:cs="Calibri"/>
                <w:b/>
                <w:bCs/>
                <w:color w:val="000000"/>
                <w:sz w:val="20"/>
                <w:szCs w:val="20"/>
              </w:rPr>
            </w:pPr>
            <w:r w:rsidRPr="00BB4743">
              <w:rPr>
                <w:rFonts w:eastAsia="Calibri" w:cs="Calibri"/>
                <w:b/>
                <w:bCs/>
                <w:color w:val="000000"/>
                <w:sz w:val="20"/>
                <w:szCs w:val="20"/>
              </w:rPr>
              <w:t>Dr Muhammad Akram*</w:t>
            </w:r>
          </w:p>
        </w:tc>
        <w:tc>
          <w:tcPr>
            <w:tcW w:w="3131" w:type="dxa"/>
            <w:shd w:val="clear" w:color="auto" w:fill="auto"/>
          </w:tcPr>
          <w:p w14:paraId="6FB58FB8" w14:textId="5026908E" w:rsidR="0D6CBE36" w:rsidRPr="00BB4743" w:rsidRDefault="0D6CBE36" w:rsidP="00BB4743">
            <w:pPr>
              <w:spacing w:line="259" w:lineRule="auto"/>
              <w:rPr>
                <w:rFonts w:eastAsia="Calibri" w:cs="Calibri"/>
                <w:color w:val="000000"/>
                <w:sz w:val="20"/>
                <w:szCs w:val="20"/>
              </w:rPr>
            </w:pPr>
            <w:r w:rsidRPr="00BB4743">
              <w:rPr>
                <w:rFonts w:eastAsia="Calibri" w:cs="Calibri"/>
                <w:color w:val="000000"/>
                <w:sz w:val="20"/>
                <w:szCs w:val="20"/>
              </w:rPr>
              <w:t>MONFSR</w:t>
            </w:r>
          </w:p>
        </w:tc>
        <w:tc>
          <w:tcPr>
            <w:tcW w:w="3130" w:type="dxa"/>
            <w:shd w:val="clear" w:color="auto" w:fill="auto"/>
          </w:tcPr>
          <w:p w14:paraId="2EF0A0F3" w14:textId="13ADF2B4" w:rsidR="0D6CBE36" w:rsidRPr="00BB4743" w:rsidRDefault="0D6CBE36" w:rsidP="00BB4743">
            <w:pPr>
              <w:rPr>
                <w:rFonts w:cs="Calibri"/>
                <w:sz w:val="20"/>
                <w:szCs w:val="20"/>
              </w:rPr>
            </w:pPr>
            <w:r w:rsidRPr="00BB4743">
              <w:rPr>
                <w:rFonts w:eastAsia="Calibri" w:cs="Calibri"/>
                <w:color w:val="000000"/>
                <w:sz w:val="20"/>
                <w:szCs w:val="20"/>
              </w:rPr>
              <w:t>Deputy AHC</w:t>
            </w:r>
          </w:p>
        </w:tc>
      </w:tr>
      <w:tr w:rsidR="17D077F0" w:rsidRPr="00D770D4" w14:paraId="080BD79F"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39CF9F78" w14:textId="465C35AD" w:rsidR="17D077F0" w:rsidRPr="00BB4743" w:rsidRDefault="17D077F0" w:rsidP="00041B22">
            <w:pPr>
              <w:rPr>
                <w:rFonts w:cs="Calibri"/>
                <w:color w:val="FFFFFF" w:themeColor="background1"/>
                <w:sz w:val="20"/>
                <w:szCs w:val="20"/>
                <w:lang w:eastAsia="en-GB"/>
              </w:rPr>
            </w:pPr>
            <w:r w:rsidRPr="00BB4743">
              <w:rPr>
                <w:rFonts w:cs="Calibri"/>
                <w:color w:val="FFFFFF" w:themeColor="background1"/>
                <w:sz w:val="20"/>
                <w:szCs w:val="20"/>
                <w:lang w:eastAsia="en-GB"/>
              </w:rPr>
              <w:t>Professional Fellows HH</w:t>
            </w:r>
          </w:p>
        </w:tc>
      </w:tr>
      <w:tr w:rsidR="17D077F0" w:rsidRPr="00D770D4" w14:paraId="42940460"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shd w:val="clear" w:color="auto" w:fill="auto"/>
          </w:tcPr>
          <w:p w14:paraId="70EF83FB" w14:textId="3BE8C400" w:rsidR="6364782E" w:rsidRPr="00BB4743" w:rsidRDefault="6364782E" w:rsidP="17D077F0">
            <w:pPr>
              <w:rPr>
                <w:rFonts w:cs="Calibri"/>
                <w:b/>
                <w:bCs/>
                <w:sz w:val="20"/>
                <w:szCs w:val="20"/>
              </w:rPr>
            </w:pPr>
            <w:r w:rsidRPr="00BB4743">
              <w:rPr>
                <w:rFonts w:eastAsia="Calibri" w:cs="Calibri"/>
                <w:b/>
                <w:bCs/>
                <w:color w:val="000000"/>
                <w:sz w:val="20"/>
                <w:szCs w:val="20"/>
              </w:rPr>
              <w:t>Zurva Ashraf</w:t>
            </w:r>
          </w:p>
        </w:tc>
        <w:tc>
          <w:tcPr>
            <w:tcW w:w="3131" w:type="dxa"/>
            <w:shd w:val="clear" w:color="auto" w:fill="auto"/>
          </w:tcPr>
          <w:p w14:paraId="566761F4" w14:textId="72BEC45B" w:rsidR="6364782E" w:rsidRPr="00BB4743" w:rsidRDefault="6364782E" w:rsidP="00BB4743">
            <w:pPr>
              <w:spacing w:line="259" w:lineRule="auto"/>
              <w:rPr>
                <w:rFonts w:eastAsia="Calibri" w:cs="Calibri"/>
                <w:color w:val="000000"/>
                <w:sz w:val="20"/>
                <w:szCs w:val="20"/>
              </w:rPr>
            </w:pPr>
            <w:r w:rsidRPr="00BB4743">
              <w:rPr>
                <w:rFonts w:eastAsia="Calibri" w:cs="Calibri"/>
                <w:color w:val="000000"/>
                <w:sz w:val="20"/>
                <w:szCs w:val="20"/>
              </w:rPr>
              <w:t>NIH</w:t>
            </w:r>
          </w:p>
        </w:tc>
        <w:tc>
          <w:tcPr>
            <w:tcW w:w="3130" w:type="dxa"/>
            <w:shd w:val="clear" w:color="auto" w:fill="auto"/>
          </w:tcPr>
          <w:p w14:paraId="68B41573" w14:textId="7655E7B8" w:rsidR="6364782E" w:rsidRPr="00BB4743" w:rsidRDefault="6364782E" w:rsidP="00BB4743">
            <w:pPr>
              <w:rPr>
                <w:rFonts w:cs="Calibri"/>
                <w:sz w:val="20"/>
                <w:szCs w:val="20"/>
              </w:rPr>
            </w:pPr>
            <w:r w:rsidRPr="00BB4743">
              <w:rPr>
                <w:rFonts w:eastAsia="Calibri" w:cs="Calibri"/>
                <w:color w:val="000000"/>
                <w:sz w:val="20"/>
                <w:szCs w:val="20"/>
              </w:rPr>
              <w:t>Senior Scientific Officer</w:t>
            </w:r>
          </w:p>
        </w:tc>
      </w:tr>
      <w:tr w:rsidR="17D077F0" w:rsidRPr="00D770D4" w14:paraId="2924E3D9"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shd w:val="clear" w:color="auto" w:fill="auto"/>
          </w:tcPr>
          <w:p w14:paraId="7A93295A" w14:textId="79F963F1" w:rsidR="6364782E" w:rsidRPr="00BB4743" w:rsidRDefault="6364782E" w:rsidP="17D077F0">
            <w:pPr>
              <w:rPr>
                <w:rFonts w:cs="Calibri"/>
                <w:b/>
                <w:bCs/>
                <w:sz w:val="20"/>
                <w:szCs w:val="20"/>
              </w:rPr>
            </w:pPr>
            <w:r w:rsidRPr="00BB4743">
              <w:rPr>
                <w:rFonts w:eastAsia="Calibri" w:cs="Calibri"/>
                <w:b/>
                <w:bCs/>
                <w:color w:val="000000"/>
                <w:sz w:val="20"/>
                <w:szCs w:val="20"/>
              </w:rPr>
              <w:t>Ayesha Zaman</w:t>
            </w:r>
          </w:p>
        </w:tc>
        <w:tc>
          <w:tcPr>
            <w:tcW w:w="3131" w:type="dxa"/>
            <w:shd w:val="clear" w:color="auto" w:fill="auto"/>
          </w:tcPr>
          <w:p w14:paraId="0D1AE6D1" w14:textId="4D3A47E8" w:rsidR="6364782E" w:rsidRPr="00BB4743" w:rsidRDefault="6364782E" w:rsidP="00BB4743">
            <w:pPr>
              <w:spacing w:line="259" w:lineRule="auto"/>
              <w:rPr>
                <w:rFonts w:eastAsia="Calibri" w:cs="Calibri"/>
                <w:color w:val="000000"/>
                <w:sz w:val="20"/>
                <w:szCs w:val="20"/>
              </w:rPr>
            </w:pPr>
            <w:r w:rsidRPr="00BB4743">
              <w:rPr>
                <w:rFonts w:eastAsia="Calibri" w:cs="Calibri"/>
                <w:color w:val="000000"/>
                <w:sz w:val="20"/>
                <w:szCs w:val="20"/>
              </w:rPr>
              <w:t>NIH</w:t>
            </w:r>
          </w:p>
        </w:tc>
        <w:tc>
          <w:tcPr>
            <w:tcW w:w="3130" w:type="dxa"/>
            <w:shd w:val="clear" w:color="auto" w:fill="auto"/>
          </w:tcPr>
          <w:p w14:paraId="01D5C3D8" w14:textId="353E451E" w:rsidR="6364782E" w:rsidRPr="00BB4743" w:rsidRDefault="6364782E" w:rsidP="00BB4743">
            <w:pPr>
              <w:rPr>
                <w:rFonts w:cs="Calibri"/>
                <w:sz w:val="20"/>
                <w:szCs w:val="20"/>
              </w:rPr>
            </w:pPr>
            <w:r w:rsidRPr="00BB4743">
              <w:rPr>
                <w:rFonts w:eastAsia="Calibri" w:cs="Calibri"/>
                <w:color w:val="000000"/>
                <w:sz w:val="20"/>
                <w:szCs w:val="20"/>
              </w:rPr>
              <w:t>Assistant Scientific Officer</w:t>
            </w:r>
          </w:p>
        </w:tc>
      </w:tr>
      <w:tr w:rsidR="17D077F0" w:rsidRPr="00D770D4" w14:paraId="27B8447F"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0F8AE264" w14:textId="77777777" w:rsidR="17D077F0" w:rsidRPr="00BB4743" w:rsidRDefault="17D077F0" w:rsidP="00041B22">
            <w:pPr>
              <w:rPr>
                <w:rFonts w:cs="Calibri"/>
                <w:color w:val="FFFFFF" w:themeColor="background1"/>
                <w:sz w:val="20"/>
                <w:szCs w:val="20"/>
                <w:lang w:eastAsia="en-GB"/>
              </w:rPr>
            </w:pPr>
            <w:r w:rsidRPr="00BB4743">
              <w:rPr>
                <w:rFonts w:cs="Calibri"/>
                <w:color w:val="FFFFFF" w:themeColor="background1"/>
                <w:sz w:val="20"/>
                <w:szCs w:val="20"/>
                <w:lang w:eastAsia="en-GB"/>
              </w:rPr>
              <w:t>Professional Fellows AH</w:t>
            </w:r>
          </w:p>
        </w:tc>
      </w:tr>
      <w:tr w:rsidR="17D077F0" w:rsidRPr="00D770D4" w14:paraId="26CF59C7"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2AA0322B" w14:textId="00B24300" w:rsidR="54F5611C" w:rsidRPr="00BB4743" w:rsidRDefault="54F5611C" w:rsidP="17D077F0">
            <w:pPr>
              <w:spacing w:line="259" w:lineRule="auto"/>
              <w:rPr>
                <w:rFonts w:eastAsia="Calibri" w:cs="Calibri"/>
                <w:b/>
                <w:bCs/>
                <w:color w:val="000000"/>
                <w:sz w:val="20"/>
                <w:szCs w:val="20"/>
              </w:rPr>
            </w:pPr>
            <w:r w:rsidRPr="00BB4743">
              <w:rPr>
                <w:rFonts w:eastAsia="Calibri" w:cs="Calibri"/>
                <w:b/>
                <w:bCs/>
                <w:color w:val="000000"/>
                <w:sz w:val="20"/>
                <w:szCs w:val="20"/>
              </w:rPr>
              <w:t>Dr Muhammad Abubakar</w:t>
            </w:r>
          </w:p>
        </w:tc>
        <w:tc>
          <w:tcPr>
            <w:tcW w:w="3131" w:type="dxa"/>
          </w:tcPr>
          <w:p w14:paraId="1D6C0FCA" w14:textId="7392C13F" w:rsidR="54F5611C" w:rsidRPr="00BB4743" w:rsidRDefault="54F5611C" w:rsidP="00BB4743">
            <w:pPr>
              <w:spacing w:line="259" w:lineRule="auto"/>
              <w:rPr>
                <w:rFonts w:eastAsia="Calibri" w:cs="Calibri"/>
                <w:color w:val="000000"/>
                <w:sz w:val="20"/>
                <w:szCs w:val="20"/>
              </w:rPr>
            </w:pPr>
            <w:r w:rsidRPr="00BB4743">
              <w:rPr>
                <w:rFonts w:eastAsia="Calibri" w:cs="Calibri"/>
                <w:color w:val="000000"/>
                <w:sz w:val="20"/>
                <w:szCs w:val="20"/>
              </w:rPr>
              <w:t>NVL</w:t>
            </w:r>
          </w:p>
        </w:tc>
        <w:tc>
          <w:tcPr>
            <w:tcW w:w="3130" w:type="dxa"/>
          </w:tcPr>
          <w:p w14:paraId="2A2AE659" w14:textId="1E4D0BBB" w:rsidR="54F5611C" w:rsidRPr="00BB4743" w:rsidRDefault="54F5611C" w:rsidP="00BB4743">
            <w:pPr>
              <w:rPr>
                <w:rFonts w:cs="Calibri"/>
                <w:sz w:val="20"/>
                <w:szCs w:val="20"/>
              </w:rPr>
            </w:pPr>
            <w:r w:rsidRPr="00BB4743">
              <w:rPr>
                <w:rFonts w:eastAsia="Calibri" w:cs="Calibri"/>
                <w:color w:val="000000"/>
                <w:sz w:val="20"/>
                <w:szCs w:val="20"/>
              </w:rPr>
              <w:t>Senior Scientific Officer</w:t>
            </w:r>
          </w:p>
        </w:tc>
      </w:tr>
      <w:tr w:rsidR="17D077F0" w:rsidRPr="00D770D4" w14:paraId="1B23BEC4"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4E9B53B7" w14:textId="273313FF" w:rsidR="17D077F0" w:rsidRPr="00BB4743" w:rsidRDefault="17D077F0" w:rsidP="00041B22">
            <w:pPr>
              <w:rPr>
                <w:rFonts w:cs="Calibri"/>
                <w:color w:val="FFFFFF" w:themeColor="background1"/>
                <w:sz w:val="20"/>
                <w:szCs w:val="20"/>
              </w:rPr>
            </w:pPr>
            <w:r w:rsidRPr="00BB4743">
              <w:rPr>
                <w:rFonts w:cs="Calibri"/>
                <w:color w:val="FFFFFF" w:themeColor="background1"/>
                <w:sz w:val="20"/>
                <w:szCs w:val="20"/>
              </w:rPr>
              <w:t>AMR Focal Point</w:t>
            </w:r>
          </w:p>
        </w:tc>
      </w:tr>
      <w:tr w:rsidR="17D077F0" w:rsidRPr="00D770D4" w14:paraId="59E97B24"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73B7963F" w14:textId="451A0F81" w:rsidR="4E9782C7" w:rsidRPr="00BB4743" w:rsidRDefault="4E9782C7" w:rsidP="17D077F0">
            <w:pPr>
              <w:spacing w:line="259" w:lineRule="auto"/>
              <w:rPr>
                <w:rFonts w:cs="Calibri"/>
                <w:b/>
                <w:bCs/>
                <w:sz w:val="20"/>
                <w:szCs w:val="20"/>
              </w:rPr>
            </w:pPr>
            <w:r w:rsidRPr="00BB4743">
              <w:rPr>
                <w:rFonts w:eastAsia="Calibri" w:cs="Calibri"/>
                <w:b/>
                <w:bCs/>
                <w:color w:val="000000"/>
                <w:sz w:val="20"/>
                <w:szCs w:val="20"/>
              </w:rPr>
              <w:t>Dr Muhammad Salman</w:t>
            </w:r>
            <w:r w:rsidR="110F8A46" w:rsidRPr="00BB4743">
              <w:rPr>
                <w:rFonts w:eastAsia="Calibri" w:cs="Calibri"/>
                <w:b/>
                <w:bCs/>
                <w:color w:val="000000"/>
                <w:sz w:val="20"/>
                <w:szCs w:val="20"/>
              </w:rPr>
              <w:t>*</w:t>
            </w:r>
          </w:p>
        </w:tc>
        <w:tc>
          <w:tcPr>
            <w:tcW w:w="3131" w:type="dxa"/>
          </w:tcPr>
          <w:p w14:paraId="376242E2" w14:textId="0C71F9A1" w:rsidR="4E9782C7" w:rsidRPr="00BB4743" w:rsidRDefault="4E9782C7" w:rsidP="00BB4743">
            <w:pPr>
              <w:spacing w:line="259" w:lineRule="auto"/>
              <w:rPr>
                <w:rFonts w:eastAsia="Calibri" w:cs="Calibri"/>
                <w:color w:val="000000"/>
                <w:sz w:val="20"/>
                <w:szCs w:val="20"/>
              </w:rPr>
            </w:pPr>
            <w:r w:rsidRPr="00BB4743">
              <w:rPr>
                <w:rFonts w:eastAsia="Calibri" w:cs="Calibri"/>
                <w:color w:val="000000"/>
                <w:sz w:val="20"/>
                <w:szCs w:val="20"/>
              </w:rPr>
              <w:t>NIH</w:t>
            </w:r>
          </w:p>
        </w:tc>
        <w:tc>
          <w:tcPr>
            <w:tcW w:w="3130" w:type="dxa"/>
          </w:tcPr>
          <w:p w14:paraId="57A853FD" w14:textId="2E3D95F0" w:rsidR="4E9782C7" w:rsidRPr="00BB4743" w:rsidRDefault="4E9782C7" w:rsidP="00BB4743">
            <w:pPr>
              <w:rPr>
                <w:rFonts w:cs="Calibri"/>
                <w:sz w:val="20"/>
                <w:szCs w:val="20"/>
              </w:rPr>
            </w:pPr>
            <w:r w:rsidRPr="00BB4743">
              <w:rPr>
                <w:rFonts w:cs="Calibri"/>
                <w:sz w:val="20"/>
                <w:szCs w:val="20"/>
              </w:rPr>
              <w:t>Chief PHLD</w:t>
            </w:r>
          </w:p>
        </w:tc>
      </w:tr>
      <w:tr w:rsidR="17D077F0" w:rsidRPr="00D770D4" w14:paraId="3B80DBF1"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0B9BE6BB" w14:textId="7031CD97" w:rsidR="1D938EC1" w:rsidRPr="00BB4743" w:rsidRDefault="1D938EC1" w:rsidP="17D077F0">
            <w:pPr>
              <w:spacing w:line="259" w:lineRule="auto"/>
              <w:rPr>
                <w:rFonts w:cs="Calibri"/>
                <w:b/>
                <w:bCs/>
                <w:sz w:val="20"/>
                <w:szCs w:val="20"/>
              </w:rPr>
            </w:pPr>
            <w:r w:rsidRPr="00BB4743">
              <w:rPr>
                <w:rFonts w:eastAsia="Calibri" w:cs="Calibri"/>
                <w:b/>
                <w:bCs/>
                <w:color w:val="000000"/>
                <w:sz w:val="20"/>
                <w:szCs w:val="20"/>
              </w:rPr>
              <w:t>Muhammad Abubakar</w:t>
            </w:r>
            <w:r w:rsidR="00CD1B2D" w:rsidRPr="00BB4743">
              <w:rPr>
                <w:rFonts w:eastAsia="Calibri" w:cs="Calibri"/>
                <w:b/>
                <w:bCs/>
                <w:color w:val="000000"/>
                <w:sz w:val="20"/>
                <w:szCs w:val="20"/>
              </w:rPr>
              <w:t>*</w:t>
            </w:r>
          </w:p>
        </w:tc>
        <w:tc>
          <w:tcPr>
            <w:tcW w:w="3131" w:type="dxa"/>
          </w:tcPr>
          <w:p w14:paraId="211E786F" w14:textId="730C9645" w:rsidR="1D938EC1" w:rsidRPr="00BB4743" w:rsidRDefault="1D938EC1" w:rsidP="00BB4743">
            <w:pPr>
              <w:spacing w:line="259" w:lineRule="auto"/>
              <w:rPr>
                <w:rFonts w:eastAsia="Calibri" w:cs="Calibri"/>
                <w:color w:val="000000"/>
                <w:sz w:val="20"/>
                <w:szCs w:val="20"/>
              </w:rPr>
            </w:pPr>
            <w:r w:rsidRPr="00BB4743">
              <w:rPr>
                <w:rFonts w:eastAsia="Calibri" w:cs="Calibri"/>
                <w:color w:val="000000"/>
                <w:sz w:val="20"/>
                <w:szCs w:val="20"/>
              </w:rPr>
              <w:t>NVL</w:t>
            </w:r>
          </w:p>
        </w:tc>
        <w:tc>
          <w:tcPr>
            <w:tcW w:w="3130" w:type="dxa"/>
          </w:tcPr>
          <w:p w14:paraId="4A506DEC" w14:textId="1E5DD438" w:rsidR="1D938EC1" w:rsidRPr="00BB4743" w:rsidRDefault="1D938EC1" w:rsidP="00BB4743">
            <w:pPr>
              <w:rPr>
                <w:rFonts w:cs="Calibri"/>
                <w:sz w:val="20"/>
                <w:szCs w:val="20"/>
              </w:rPr>
            </w:pPr>
            <w:r w:rsidRPr="00BB4743">
              <w:rPr>
                <w:rFonts w:eastAsia="Calibri" w:cs="Calibri"/>
                <w:color w:val="000000"/>
                <w:sz w:val="20"/>
                <w:szCs w:val="20"/>
              </w:rPr>
              <w:t>Senior Scientific Officer</w:t>
            </w:r>
          </w:p>
        </w:tc>
      </w:tr>
      <w:tr w:rsidR="17D077F0" w:rsidRPr="00D770D4" w14:paraId="3F1099EF"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3CAABC09" w14:textId="0EC47E61" w:rsidR="534B0184" w:rsidRPr="00BB4743" w:rsidRDefault="00121E83" w:rsidP="00041B22">
            <w:pPr>
              <w:rPr>
                <w:rFonts w:cs="Calibri"/>
                <w:color w:val="FFFFFF" w:themeColor="background1"/>
                <w:sz w:val="20"/>
                <w:szCs w:val="20"/>
              </w:rPr>
            </w:pPr>
            <w:r w:rsidRPr="00BB4743">
              <w:rPr>
                <w:rFonts w:cs="Calibri"/>
                <w:color w:val="FFFFFF" w:themeColor="background1"/>
                <w:sz w:val="20"/>
                <w:szCs w:val="20"/>
              </w:rPr>
              <w:t>WOAH</w:t>
            </w:r>
            <w:r w:rsidR="534B0184" w:rsidRPr="00BB4743">
              <w:rPr>
                <w:rFonts w:cs="Calibri"/>
                <w:color w:val="FFFFFF" w:themeColor="background1"/>
                <w:sz w:val="20"/>
                <w:szCs w:val="20"/>
              </w:rPr>
              <w:t xml:space="preserve"> Focal Point</w:t>
            </w:r>
          </w:p>
        </w:tc>
      </w:tr>
      <w:tr w:rsidR="17D077F0" w:rsidRPr="00D770D4" w14:paraId="7B63AAB4"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09FEB01D" w14:textId="5085BB5C" w:rsidR="534B0184" w:rsidRPr="00BB4743" w:rsidRDefault="534B0184" w:rsidP="17D077F0">
            <w:pPr>
              <w:spacing w:line="259" w:lineRule="auto"/>
              <w:rPr>
                <w:rFonts w:eastAsia="Calibri" w:cs="Calibri"/>
                <w:b/>
                <w:bCs/>
                <w:color w:val="000000"/>
                <w:sz w:val="20"/>
                <w:szCs w:val="20"/>
              </w:rPr>
            </w:pPr>
            <w:r w:rsidRPr="00BB4743">
              <w:rPr>
                <w:rFonts w:eastAsia="Calibri" w:cs="Calibri"/>
                <w:b/>
                <w:bCs/>
                <w:color w:val="000000"/>
                <w:sz w:val="20"/>
                <w:szCs w:val="20"/>
              </w:rPr>
              <w:t>Dr Muhammad Akram**</w:t>
            </w:r>
          </w:p>
        </w:tc>
        <w:tc>
          <w:tcPr>
            <w:tcW w:w="3131" w:type="dxa"/>
          </w:tcPr>
          <w:p w14:paraId="69C73D0F" w14:textId="04DCF336" w:rsidR="534B0184" w:rsidRPr="00BB4743" w:rsidRDefault="534B0184" w:rsidP="00BB4743">
            <w:pPr>
              <w:spacing w:line="259" w:lineRule="auto"/>
              <w:rPr>
                <w:rFonts w:eastAsia="Calibri" w:cs="Calibri"/>
                <w:color w:val="000000"/>
                <w:sz w:val="20"/>
                <w:szCs w:val="20"/>
              </w:rPr>
            </w:pPr>
            <w:r w:rsidRPr="00BB4743">
              <w:rPr>
                <w:rFonts w:eastAsia="Calibri" w:cs="Calibri"/>
                <w:color w:val="000000"/>
                <w:sz w:val="20"/>
                <w:szCs w:val="20"/>
              </w:rPr>
              <w:t>MONFSR</w:t>
            </w:r>
          </w:p>
        </w:tc>
        <w:tc>
          <w:tcPr>
            <w:tcW w:w="3130" w:type="dxa"/>
          </w:tcPr>
          <w:p w14:paraId="3AF931EB" w14:textId="4FE08838" w:rsidR="534B0184" w:rsidRPr="00BB4743" w:rsidRDefault="00121E83" w:rsidP="00BB4743">
            <w:pPr>
              <w:rPr>
                <w:rFonts w:eastAsia="Calibri" w:cs="Calibri"/>
                <w:color w:val="000000"/>
                <w:sz w:val="20"/>
                <w:szCs w:val="20"/>
              </w:rPr>
            </w:pPr>
            <w:r w:rsidRPr="00BB4743">
              <w:rPr>
                <w:rFonts w:eastAsia="Calibri" w:cs="Calibri"/>
                <w:color w:val="000000"/>
                <w:sz w:val="20"/>
                <w:szCs w:val="20"/>
              </w:rPr>
              <w:t>WOAH</w:t>
            </w:r>
            <w:r w:rsidR="534B0184" w:rsidRPr="00BB4743">
              <w:rPr>
                <w:rFonts w:eastAsia="Calibri" w:cs="Calibri"/>
                <w:color w:val="000000"/>
                <w:sz w:val="20"/>
                <w:szCs w:val="20"/>
              </w:rPr>
              <w:t xml:space="preserve"> Focal Point</w:t>
            </w:r>
          </w:p>
        </w:tc>
      </w:tr>
      <w:tr w:rsidR="17D077F0" w:rsidRPr="00D770D4" w14:paraId="197EE8E1"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59E5DFD6" w14:textId="77777777" w:rsidR="17D077F0" w:rsidRPr="00BB4743" w:rsidRDefault="17D077F0" w:rsidP="00041B22">
            <w:pPr>
              <w:rPr>
                <w:rFonts w:cs="Calibri"/>
                <w:color w:val="FFFFFF" w:themeColor="background1"/>
                <w:sz w:val="20"/>
                <w:szCs w:val="20"/>
              </w:rPr>
            </w:pPr>
            <w:r w:rsidRPr="00BB4743">
              <w:rPr>
                <w:rFonts w:cs="Calibri"/>
                <w:color w:val="FFFFFF" w:themeColor="background1"/>
                <w:sz w:val="20"/>
                <w:szCs w:val="20"/>
              </w:rPr>
              <w:t>Development Partners/ Academia</w:t>
            </w:r>
          </w:p>
        </w:tc>
      </w:tr>
      <w:tr w:rsidR="17D077F0" w:rsidRPr="00D770D4" w14:paraId="3E03D432"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68FF6EA1" w14:textId="28F93C3C" w:rsidR="0D4370B5" w:rsidRPr="00BB4743" w:rsidRDefault="0D4370B5" w:rsidP="17D077F0">
            <w:pPr>
              <w:rPr>
                <w:rFonts w:eastAsia="Calibri" w:cs="Calibri"/>
                <w:b/>
                <w:bCs/>
                <w:color w:val="000000"/>
                <w:sz w:val="20"/>
                <w:szCs w:val="20"/>
              </w:rPr>
            </w:pPr>
            <w:r w:rsidRPr="00BB4743">
              <w:rPr>
                <w:rFonts w:eastAsia="Calibri" w:cs="Calibri"/>
                <w:b/>
                <w:bCs/>
                <w:color w:val="000000"/>
                <w:sz w:val="20"/>
                <w:szCs w:val="20"/>
              </w:rPr>
              <w:t>Dr Syed Mashkoor Mohsin</w:t>
            </w:r>
          </w:p>
        </w:tc>
        <w:tc>
          <w:tcPr>
            <w:tcW w:w="3131" w:type="dxa"/>
          </w:tcPr>
          <w:p w14:paraId="698D5853" w14:textId="49AA6C52" w:rsidR="0D4370B5" w:rsidRPr="00BB4743" w:rsidRDefault="0D4370B5" w:rsidP="00BB4743">
            <w:pPr>
              <w:rPr>
                <w:rFonts w:cs="Calibri"/>
                <w:sz w:val="20"/>
                <w:szCs w:val="20"/>
              </w:rPr>
            </w:pPr>
            <w:r w:rsidRPr="00BB4743">
              <w:rPr>
                <w:rFonts w:eastAsia="Calibri" w:cs="Calibri"/>
                <w:color w:val="000000"/>
                <w:sz w:val="20"/>
                <w:szCs w:val="20"/>
              </w:rPr>
              <w:t>Institute of Microbiology, University of Agriculture</w:t>
            </w:r>
          </w:p>
        </w:tc>
        <w:tc>
          <w:tcPr>
            <w:tcW w:w="3130" w:type="dxa"/>
          </w:tcPr>
          <w:p w14:paraId="7520BBA5" w14:textId="4B69806B" w:rsidR="0D4370B5" w:rsidRPr="00BB4743" w:rsidRDefault="0D4370B5" w:rsidP="00041B22">
            <w:pPr>
              <w:spacing w:line="259" w:lineRule="auto"/>
              <w:rPr>
                <w:rFonts w:eastAsia="Calibri" w:cs="Calibri"/>
                <w:color w:val="000000"/>
                <w:sz w:val="20"/>
                <w:szCs w:val="20"/>
              </w:rPr>
            </w:pPr>
            <w:r w:rsidRPr="00BB4743">
              <w:rPr>
                <w:rFonts w:eastAsia="Calibri" w:cs="Calibri"/>
                <w:color w:val="000000"/>
                <w:sz w:val="20"/>
                <w:szCs w:val="20"/>
              </w:rPr>
              <w:t>Assistant Professor</w:t>
            </w:r>
          </w:p>
        </w:tc>
      </w:tr>
      <w:tr w:rsidR="17D077F0" w:rsidRPr="00D770D4" w14:paraId="47B98B1B"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4275C1E7" w14:textId="3F85FB98" w:rsidR="0D4370B5" w:rsidRPr="00BB4743" w:rsidRDefault="0D4370B5" w:rsidP="17D077F0">
            <w:pPr>
              <w:rPr>
                <w:rFonts w:eastAsia="Calibri" w:cs="Calibri"/>
                <w:b/>
                <w:bCs/>
                <w:color w:val="000000"/>
                <w:sz w:val="20"/>
                <w:szCs w:val="20"/>
              </w:rPr>
            </w:pPr>
            <w:r w:rsidRPr="00BB4743">
              <w:rPr>
                <w:rFonts w:eastAsia="Calibri" w:cs="Calibri"/>
                <w:b/>
                <w:bCs/>
                <w:color w:val="000000"/>
                <w:sz w:val="20"/>
                <w:szCs w:val="20"/>
              </w:rPr>
              <w:t>Dr Muhammad Afzal</w:t>
            </w:r>
          </w:p>
        </w:tc>
        <w:tc>
          <w:tcPr>
            <w:tcW w:w="3131" w:type="dxa"/>
          </w:tcPr>
          <w:p w14:paraId="490B5BAF" w14:textId="687EEC5D" w:rsidR="0D4370B5" w:rsidRPr="00BB4743" w:rsidRDefault="0D4370B5" w:rsidP="00BB4743">
            <w:pPr>
              <w:rPr>
                <w:rFonts w:eastAsia="Calibri" w:cs="Calibri"/>
                <w:color w:val="000000"/>
                <w:sz w:val="20"/>
                <w:szCs w:val="20"/>
              </w:rPr>
            </w:pPr>
            <w:r w:rsidRPr="00BB4743">
              <w:rPr>
                <w:rFonts w:eastAsia="Calibri" w:cs="Calibri"/>
                <w:color w:val="000000"/>
                <w:sz w:val="20"/>
                <w:szCs w:val="20"/>
              </w:rPr>
              <w:t>FAO</w:t>
            </w:r>
          </w:p>
        </w:tc>
        <w:tc>
          <w:tcPr>
            <w:tcW w:w="3130" w:type="dxa"/>
          </w:tcPr>
          <w:p w14:paraId="55B3C7E4" w14:textId="17549803" w:rsidR="0D4370B5" w:rsidRPr="00BB4743" w:rsidRDefault="002A22DF" w:rsidP="00041B22">
            <w:pPr>
              <w:spacing w:line="259" w:lineRule="auto"/>
              <w:rPr>
                <w:rFonts w:cs="Calibri"/>
                <w:sz w:val="20"/>
                <w:szCs w:val="20"/>
              </w:rPr>
            </w:pPr>
            <w:r w:rsidRPr="00BB4743">
              <w:rPr>
                <w:rFonts w:eastAsia="Calibri" w:cs="Calibri"/>
                <w:color w:val="000000"/>
                <w:sz w:val="20"/>
                <w:szCs w:val="20"/>
              </w:rPr>
              <w:t xml:space="preserve">Programme </w:t>
            </w:r>
            <w:r w:rsidR="0D4370B5" w:rsidRPr="00BB4743">
              <w:rPr>
                <w:rFonts w:eastAsia="Calibri" w:cs="Calibri"/>
                <w:color w:val="000000"/>
                <w:sz w:val="20"/>
                <w:szCs w:val="20"/>
              </w:rPr>
              <w:t>Director</w:t>
            </w:r>
          </w:p>
        </w:tc>
      </w:tr>
      <w:tr w:rsidR="17D077F0" w:rsidRPr="00D770D4" w14:paraId="6277C141"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66A95E1B" w14:textId="6FFCAAAA" w:rsidR="0D4370B5" w:rsidRPr="00BB4743" w:rsidRDefault="0D4370B5" w:rsidP="17D077F0">
            <w:pPr>
              <w:rPr>
                <w:rFonts w:cs="Calibri"/>
                <w:b/>
                <w:bCs/>
                <w:sz w:val="20"/>
                <w:szCs w:val="20"/>
              </w:rPr>
            </w:pPr>
            <w:r w:rsidRPr="00BB4743">
              <w:rPr>
                <w:rFonts w:eastAsia="Calibri" w:cs="Calibri"/>
                <w:b/>
                <w:bCs/>
                <w:color w:val="000000"/>
                <w:sz w:val="20"/>
                <w:szCs w:val="20"/>
              </w:rPr>
              <w:t>Asif Bettani</w:t>
            </w:r>
          </w:p>
        </w:tc>
        <w:tc>
          <w:tcPr>
            <w:tcW w:w="3131" w:type="dxa"/>
          </w:tcPr>
          <w:p w14:paraId="38CD8BA7" w14:textId="5A6D36B7" w:rsidR="0D4370B5" w:rsidRPr="00BB4743" w:rsidRDefault="00E532DA" w:rsidP="00BB4743">
            <w:pPr>
              <w:rPr>
                <w:rFonts w:eastAsia="Calibri" w:cs="Calibri"/>
                <w:color w:val="000000"/>
                <w:sz w:val="20"/>
                <w:szCs w:val="20"/>
              </w:rPr>
            </w:pPr>
            <w:r w:rsidRPr="00E532DA">
              <w:rPr>
                <w:rFonts w:eastAsia="Calibri" w:cs="Calibri"/>
                <w:color w:val="000000"/>
                <w:sz w:val="20"/>
                <w:szCs w:val="20"/>
              </w:rPr>
              <w:t xml:space="preserve">Public Health England </w:t>
            </w:r>
            <w:r>
              <w:rPr>
                <w:rFonts w:eastAsia="Calibri" w:cs="Calibri"/>
                <w:color w:val="000000"/>
                <w:sz w:val="20"/>
                <w:szCs w:val="20"/>
              </w:rPr>
              <w:t>(</w:t>
            </w:r>
            <w:r w:rsidR="0D4370B5" w:rsidRPr="00BB4743">
              <w:rPr>
                <w:rFonts w:eastAsia="Calibri" w:cs="Calibri"/>
                <w:color w:val="000000"/>
                <w:sz w:val="20"/>
                <w:szCs w:val="20"/>
              </w:rPr>
              <w:t>PHE</w:t>
            </w:r>
            <w:r>
              <w:rPr>
                <w:rFonts w:eastAsia="Calibri" w:cs="Calibri"/>
                <w:color w:val="000000"/>
                <w:sz w:val="20"/>
                <w:szCs w:val="20"/>
              </w:rPr>
              <w:t>)</w:t>
            </w:r>
          </w:p>
        </w:tc>
        <w:tc>
          <w:tcPr>
            <w:tcW w:w="3130" w:type="dxa"/>
          </w:tcPr>
          <w:p w14:paraId="28527E20" w14:textId="6A7A7DDB" w:rsidR="0D4370B5" w:rsidRPr="00BB4743" w:rsidRDefault="0D4370B5" w:rsidP="00041B22">
            <w:pPr>
              <w:spacing w:line="259" w:lineRule="auto"/>
              <w:rPr>
                <w:rFonts w:cs="Calibri"/>
                <w:sz w:val="20"/>
                <w:szCs w:val="20"/>
              </w:rPr>
            </w:pPr>
            <w:r w:rsidRPr="00BB4743">
              <w:rPr>
                <w:rFonts w:eastAsia="Calibri" w:cs="Calibri"/>
                <w:color w:val="000000"/>
                <w:sz w:val="20"/>
                <w:szCs w:val="20"/>
              </w:rPr>
              <w:t>Technical lead</w:t>
            </w:r>
          </w:p>
        </w:tc>
      </w:tr>
      <w:tr w:rsidR="17D077F0" w:rsidRPr="00D770D4" w14:paraId="6850765B"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36981B91" w14:textId="77777777" w:rsidR="17D077F0" w:rsidRPr="00BB4743" w:rsidRDefault="17D077F0" w:rsidP="00041B22">
            <w:pPr>
              <w:rPr>
                <w:rFonts w:cs="Calibri"/>
                <w:color w:val="FFFFFF" w:themeColor="background1"/>
                <w:sz w:val="20"/>
                <w:szCs w:val="20"/>
              </w:rPr>
            </w:pPr>
            <w:r w:rsidRPr="00BB4743">
              <w:rPr>
                <w:rFonts w:cs="Calibri"/>
                <w:color w:val="FFFFFF" w:themeColor="background1"/>
                <w:sz w:val="20"/>
                <w:szCs w:val="20"/>
              </w:rPr>
              <w:t>NRL &amp; Site Visit</w:t>
            </w:r>
          </w:p>
        </w:tc>
      </w:tr>
      <w:tr w:rsidR="00D770D4" w:rsidRPr="00D770D4" w14:paraId="04AEB1A4"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22AD0663" w14:textId="33A53F96" w:rsidR="07D7057B" w:rsidRPr="00BB4743" w:rsidRDefault="07D7057B" w:rsidP="17D077F0">
            <w:pPr>
              <w:spacing w:line="259" w:lineRule="auto"/>
              <w:rPr>
                <w:rFonts w:cs="Calibri"/>
                <w:b/>
                <w:bCs/>
                <w:color w:val="auto"/>
                <w:sz w:val="20"/>
                <w:szCs w:val="20"/>
              </w:rPr>
            </w:pPr>
            <w:r w:rsidRPr="00BB4743">
              <w:rPr>
                <w:rFonts w:eastAsia="Calibri" w:cs="Calibri"/>
                <w:b/>
                <w:bCs/>
                <w:color w:val="auto"/>
                <w:sz w:val="20"/>
                <w:szCs w:val="20"/>
              </w:rPr>
              <w:t>Dr Muhammad Salman*</w:t>
            </w:r>
            <w:r w:rsidR="5E4092C4" w:rsidRPr="00BB4743">
              <w:rPr>
                <w:rFonts w:eastAsia="Calibri" w:cs="Calibri"/>
                <w:b/>
                <w:bCs/>
                <w:color w:val="auto"/>
                <w:sz w:val="20"/>
                <w:szCs w:val="20"/>
              </w:rPr>
              <w:t>*</w:t>
            </w:r>
          </w:p>
        </w:tc>
        <w:tc>
          <w:tcPr>
            <w:tcW w:w="3131" w:type="dxa"/>
          </w:tcPr>
          <w:p w14:paraId="2654CCB7" w14:textId="6A49A96D" w:rsidR="07D7057B" w:rsidRPr="00BB4743" w:rsidRDefault="07D7057B" w:rsidP="00BB4743">
            <w:pPr>
              <w:spacing w:line="259" w:lineRule="auto"/>
              <w:rPr>
                <w:rFonts w:eastAsia="Calibri" w:cs="Calibri"/>
                <w:color w:val="auto"/>
                <w:sz w:val="20"/>
                <w:szCs w:val="20"/>
              </w:rPr>
            </w:pPr>
            <w:r w:rsidRPr="00BB4743">
              <w:rPr>
                <w:rFonts w:eastAsia="Calibri" w:cs="Calibri"/>
                <w:color w:val="auto"/>
                <w:sz w:val="20"/>
                <w:szCs w:val="20"/>
              </w:rPr>
              <w:t>NIH</w:t>
            </w:r>
          </w:p>
        </w:tc>
        <w:tc>
          <w:tcPr>
            <w:tcW w:w="3130" w:type="dxa"/>
          </w:tcPr>
          <w:p w14:paraId="07356C15" w14:textId="40C80989" w:rsidR="07D7057B" w:rsidRPr="00FC65C1" w:rsidRDefault="07D7057B" w:rsidP="00BB4743">
            <w:pPr>
              <w:rPr>
                <w:rFonts w:cs="Calibri"/>
                <w:color w:val="auto"/>
                <w:sz w:val="20"/>
                <w:szCs w:val="20"/>
              </w:rPr>
            </w:pPr>
            <w:r w:rsidRPr="00FC65C1">
              <w:rPr>
                <w:rFonts w:cs="Calibri"/>
                <w:sz w:val="20"/>
                <w:szCs w:val="20"/>
              </w:rPr>
              <w:t>Chief PHLD</w:t>
            </w:r>
            <w:r w:rsidR="0D12AF48" w:rsidRPr="00FC65C1">
              <w:rPr>
                <w:rFonts w:cs="Calibri"/>
                <w:sz w:val="20"/>
                <w:szCs w:val="20"/>
              </w:rPr>
              <w:t>, Head NRL</w:t>
            </w:r>
          </w:p>
        </w:tc>
      </w:tr>
      <w:tr w:rsidR="00D770D4" w:rsidRPr="00D770D4" w14:paraId="5A8BE9AB"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6121B7BC" w14:textId="41A9115E" w:rsidR="07D7057B" w:rsidRPr="00BB4743" w:rsidRDefault="07D7057B" w:rsidP="17D077F0">
            <w:pPr>
              <w:spacing w:line="259" w:lineRule="auto"/>
              <w:rPr>
                <w:rFonts w:eastAsia="Calibri" w:cs="Calibri"/>
                <w:b/>
                <w:bCs/>
                <w:color w:val="auto"/>
                <w:sz w:val="20"/>
                <w:szCs w:val="20"/>
              </w:rPr>
            </w:pPr>
            <w:r w:rsidRPr="00BB4743">
              <w:rPr>
                <w:rFonts w:eastAsia="Calibri" w:cs="Calibri"/>
                <w:b/>
                <w:bCs/>
                <w:color w:val="auto"/>
                <w:sz w:val="20"/>
                <w:szCs w:val="20"/>
              </w:rPr>
              <w:t>Dr Muhammad Abubakar*</w:t>
            </w:r>
            <w:r w:rsidR="00CD1B2D" w:rsidRPr="00BB4743">
              <w:rPr>
                <w:rFonts w:eastAsia="Calibri" w:cs="Calibri"/>
                <w:b/>
                <w:bCs/>
                <w:color w:val="auto"/>
                <w:sz w:val="20"/>
                <w:szCs w:val="20"/>
              </w:rPr>
              <w:t>*</w:t>
            </w:r>
          </w:p>
        </w:tc>
        <w:tc>
          <w:tcPr>
            <w:tcW w:w="3131" w:type="dxa"/>
          </w:tcPr>
          <w:p w14:paraId="7E2770BF" w14:textId="092C95DA" w:rsidR="07D7057B" w:rsidRPr="00BB4743" w:rsidRDefault="07D7057B" w:rsidP="00BB4743">
            <w:pPr>
              <w:spacing w:line="259" w:lineRule="auto"/>
              <w:rPr>
                <w:rFonts w:eastAsia="Calibri" w:cs="Calibri"/>
                <w:color w:val="auto"/>
                <w:sz w:val="20"/>
                <w:szCs w:val="20"/>
              </w:rPr>
            </w:pPr>
            <w:r w:rsidRPr="00BB4743">
              <w:rPr>
                <w:rFonts w:eastAsia="Calibri" w:cs="Calibri"/>
                <w:color w:val="auto"/>
                <w:sz w:val="20"/>
                <w:szCs w:val="20"/>
              </w:rPr>
              <w:t>NVL</w:t>
            </w:r>
          </w:p>
        </w:tc>
        <w:tc>
          <w:tcPr>
            <w:tcW w:w="3130" w:type="dxa"/>
          </w:tcPr>
          <w:p w14:paraId="1577685B" w14:textId="33D70D42" w:rsidR="07D7057B" w:rsidRPr="00BB4743" w:rsidRDefault="07D7057B" w:rsidP="00BB4743">
            <w:pPr>
              <w:rPr>
                <w:rFonts w:cs="Calibri"/>
                <w:color w:val="auto"/>
                <w:sz w:val="20"/>
                <w:szCs w:val="20"/>
              </w:rPr>
            </w:pPr>
            <w:r w:rsidRPr="00BB4743">
              <w:rPr>
                <w:rFonts w:eastAsia="Calibri" w:cs="Calibri"/>
                <w:color w:val="auto"/>
                <w:sz w:val="20"/>
                <w:szCs w:val="20"/>
              </w:rPr>
              <w:t>Senior Scientific Officer</w:t>
            </w:r>
          </w:p>
        </w:tc>
      </w:tr>
      <w:tr w:rsidR="00D770D4" w:rsidRPr="00D770D4" w14:paraId="3B103C40"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69F46C67" w14:textId="396C4D82" w:rsidR="13C6A1F4" w:rsidRPr="00BB4743" w:rsidRDefault="13C6A1F4" w:rsidP="17D077F0">
            <w:pPr>
              <w:spacing w:line="259" w:lineRule="auto"/>
              <w:rPr>
                <w:rFonts w:eastAsia="Calibri" w:cs="Calibri"/>
                <w:b/>
                <w:bCs/>
                <w:color w:val="auto"/>
                <w:sz w:val="20"/>
                <w:szCs w:val="20"/>
              </w:rPr>
            </w:pPr>
            <w:r w:rsidRPr="00BB4743">
              <w:rPr>
                <w:rFonts w:eastAsia="Calibri" w:cs="Calibri"/>
                <w:b/>
                <w:bCs/>
                <w:color w:val="auto"/>
                <w:sz w:val="20"/>
                <w:szCs w:val="20"/>
              </w:rPr>
              <w:t>Dr Naila Siddique</w:t>
            </w:r>
            <w:r w:rsidR="7CBEE0B2" w:rsidRPr="00BB4743">
              <w:rPr>
                <w:rFonts w:eastAsia="Calibri" w:cs="Calibri"/>
                <w:b/>
                <w:bCs/>
                <w:color w:val="auto"/>
                <w:sz w:val="20"/>
                <w:szCs w:val="20"/>
              </w:rPr>
              <w:t>*</w:t>
            </w:r>
          </w:p>
        </w:tc>
        <w:tc>
          <w:tcPr>
            <w:tcW w:w="3131" w:type="dxa"/>
          </w:tcPr>
          <w:p w14:paraId="125A6150" w14:textId="7A001BA2" w:rsidR="7CBEE0B2" w:rsidRPr="00BB4743" w:rsidRDefault="7CBEE0B2" w:rsidP="00BB4743">
            <w:pPr>
              <w:spacing w:line="259" w:lineRule="auto"/>
              <w:rPr>
                <w:rFonts w:eastAsia="Calibri" w:cs="Calibri"/>
                <w:color w:val="auto"/>
                <w:sz w:val="20"/>
                <w:szCs w:val="20"/>
              </w:rPr>
            </w:pPr>
            <w:r w:rsidRPr="00BB4743">
              <w:rPr>
                <w:rFonts w:eastAsia="Calibri" w:cs="Calibri"/>
                <w:color w:val="auto"/>
                <w:sz w:val="20"/>
                <w:szCs w:val="20"/>
              </w:rPr>
              <w:t>NRLPD</w:t>
            </w:r>
          </w:p>
        </w:tc>
        <w:tc>
          <w:tcPr>
            <w:tcW w:w="3130" w:type="dxa"/>
          </w:tcPr>
          <w:p w14:paraId="30F70FF2" w14:textId="23586144" w:rsidR="7CBEE0B2" w:rsidRPr="00BB4743" w:rsidRDefault="002A22DF" w:rsidP="00BB4743">
            <w:pPr>
              <w:rPr>
                <w:rFonts w:eastAsia="Calibri" w:cs="Calibri"/>
                <w:color w:val="auto"/>
                <w:sz w:val="20"/>
                <w:szCs w:val="20"/>
              </w:rPr>
            </w:pPr>
            <w:r w:rsidRPr="00BB4743">
              <w:rPr>
                <w:rFonts w:eastAsia="Calibri" w:cs="Calibri"/>
                <w:color w:val="auto"/>
                <w:sz w:val="20"/>
                <w:szCs w:val="20"/>
              </w:rPr>
              <w:t xml:space="preserve">Programme </w:t>
            </w:r>
            <w:r w:rsidR="7CBEE0B2" w:rsidRPr="00BB4743">
              <w:rPr>
                <w:rFonts w:eastAsia="Calibri" w:cs="Calibri"/>
                <w:color w:val="auto"/>
                <w:sz w:val="20"/>
                <w:szCs w:val="20"/>
              </w:rPr>
              <w:t>Lead</w:t>
            </w:r>
          </w:p>
        </w:tc>
      </w:tr>
      <w:tr w:rsidR="00D770D4" w:rsidRPr="00D770D4" w14:paraId="09AB7A21"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577BFC81" w14:textId="68E4B0FE" w:rsidR="56BA239E" w:rsidRPr="00BB4743" w:rsidRDefault="56BA239E" w:rsidP="17D077F0">
            <w:pPr>
              <w:spacing w:line="259" w:lineRule="auto"/>
              <w:rPr>
                <w:rFonts w:cs="Calibri"/>
                <w:b/>
                <w:bCs/>
                <w:color w:val="auto"/>
                <w:sz w:val="20"/>
                <w:szCs w:val="20"/>
              </w:rPr>
            </w:pPr>
            <w:r w:rsidRPr="00BB4743">
              <w:rPr>
                <w:rFonts w:eastAsia="Calibri" w:cs="Calibri"/>
                <w:b/>
                <w:bCs/>
                <w:color w:val="auto"/>
                <w:sz w:val="20"/>
                <w:szCs w:val="20"/>
              </w:rPr>
              <w:t>Dr Ayesha Farooq*</w:t>
            </w:r>
          </w:p>
        </w:tc>
        <w:tc>
          <w:tcPr>
            <w:tcW w:w="3131" w:type="dxa"/>
          </w:tcPr>
          <w:p w14:paraId="2D26A542" w14:textId="0BA05F14" w:rsidR="56BA239E" w:rsidRPr="00BB4743" w:rsidRDefault="56BA239E" w:rsidP="00BB4743">
            <w:pPr>
              <w:spacing w:line="259" w:lineRule="auto"/>
              <w:rPr>
                <w:rFonts w:eastAsia="Calibri" w:cs="Calibri"/>
                <w:color w:val="auto"/>
                <w:sz w:val="20"/>
                <w:szCs w:val="20"/>
              </w:rPr>
            </w:pPr>
            <w:r w:rsidRPr="00BB4743">
              <w:rPr>
                <w:rFonts w:eastAsia="Calibri" w:cs="Calibri"/>
                <w:color w:val="auto"/>
                <w:sz w:val="20"/>
                <w:szCs w:val="20"/>
              </w:rPr>
              <w:t>NIH</w:t>
            </w:r>
          </w:p>
        </w:tc>
        <w:tc>
          <w:tcPr>
            <w:tcW w:w="3130" w:type="dxa"/>
          </w:tcPr>
          <w:p w14:paraId="0654FCF3" w14:textId="76E37C7C" w:rsidR="56BA239E" w:rsidRPr="00BB4743" w:rsidRDefault="56BA239E" w:rsidP="00BB4743">
            <w:pPr>
              <w:spacing w:line="259" w:lineRule="auto"/>
              <w:rPr>
                <w:rFonts w:cs="Calibri"/>
                <w:color w:val="auto"/>
                <w:sz w:val="20"/>
                <w:szCs w:val="20"/>
              </w:rPr>
            </w:pPr>
            <w:r w:rsidRPr="00BB4743">
              <w:rPr>
                <w:rFonts w:eastAsia="Calibri" w:cs="Calibri"/>
                <w:color w:val="auto"/>
                <w:sz w:val="20"/>
                <w:szCs w:val="20"/>
              </w:rPr>
              <w:t>Head of Microbiology Department</w:t>
            </w:r>
          </w:p>
        </w:tc>
      </w:tr>
      <w:tr w:rsidR="00D770D4" w:rsidRPr="00D770D4" w14:paraId="50F474BA"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76A0F25D" w14:textId="30A8C0E5" w:rsidR="3553A9BA" w:rsidRPr="00BB4743" w:rsidRDefault="3553A9BA" w:rsidP="17D077F0">
            <w:pPr>
              <w:spacing w:line="259" w:lineRule="auto"/>
              <w:rPr>
                <w:rFonts w:eastAsia="Calibri" w:cs="Calibri"/>
                <w:b/>
                <w:bCs/>
                <w:color w:val="auto"/>
                <w:sz w:val="20"/>
                <w:szCs w:val="20"/>
              </w:rPr>
            </w:pPr>
            <w:r w:rsidRPr="00BB4743">
              <w:rPr>
                <w:rFonts w:eastAsia="Calibri" w:cs="Calibri"/>
                <w:b/>
                <w:bCs/>
                <w:color w:val="auto"/>
                <w:sz w:val="20"/>
                <w:szCs w:val="20"/>
              </w:rPr>
              <w:t xml:space="preserve">Dr </w:t>
            </w:r>
            <w:r w:rsidR="671EF1CC" w:rsidRPr="00BB4743">
              <w:rPr>
                <w:rFonts w:eastAsia="Calibri" w:cs="Calibri"/>
                <w:b/>
                <w:bCs/>
                <w:color w:val="auto"/>
                <w:sz w:val="20"/>
                <w:szCs w:val="20"/>
              </w:rPr>
              <w:t>Athar Abbas</w:t>
            </w:r>
          </w:p>
        </w:tc>
        <w:tc>
          <w:tcPr>
            <w:tcW w:w="3131" w:type="dxa"/>
          </w:tcPr>
          <w:p w14:paraId="3B5F5F8C" w14:textId="6D317498" w:rsidR="671EF1CC" w:rsidRPr="00BB4743" w:rsidRDefault="671EF1CC" w:rsidP="00BB4743">
            <w:pPr>
              <w:spacing w:line="259" w:lineRule="auto"/>
              <w:rPr>
                <w:rFonts w:cs="Calibri"/>
                <w:color w:val="auto"/>
                <w:sz w:val="20"/>
                <w:szCs w:val="20"/>
              </w:rPr>
            </w:pPr>
            <w:r w:rsidRPr="00BB4743">
              <w:rPr>
                <w:rFonts w:eastAsia="Calibri" w:cs="Calibri"/>
                <w:color w:val="auto"/>
                <w:sz w:val="20"/>
                <w:szCs w:val="20"/>
              </w:rPr>
              <w:t>NRLPD</w:t>
            </w:r>
          </w:p>
        </w:tc>
        <w:tc>
          <w:tcPr>
            <w:tcW w:w="3130" w:type="dxa"/>
          </w:tcPr>
          <w:p w14:paraId="6EC2CC36" w14:textId="34A3E279" w:rsidR="671EF1CC" w:rsidRPr="00BB4743" w:rsidRDefault="671EF1CC" w:rsidP="00BB4743">
            <w:pPr>
              <w:spacing w:line="259" w:lineRule="auto"/>
              <w:rPr>
                <w:rFonts w:cs="Calibri"/>
                <w:color w:val="auto"/>
                <w:sz w:val="20"/>
                <w:szCs w:val="20"/>
              </w:rPr>
            </w:pPr>
            <w:r w:rsidRPr="00BB4743">
              <w:rPr>
                <w:rFonts w:eastAsia="Calibri" w:cs="Calibri"/>
                <w:color w:val="auto"/>
                <w:sz w:val="20"/>
                <w:szCs w:val="20"/>
              </w:rPr>
              <w:t>Principal Scientific officer</w:t>
            </w:r>
          </w:p>
        </w:tc>
      </w:tr>
      <w:tr w:rsidR="00D770D4" w:rsidRPr="00D770D4" w14:paraId="26B64EDC" w14:textId="77777777" w:rsidTr="72985B4B">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56015DA8" w14:textId="6895D0DF" w:rsidR="671EF1CC" w:rsidRPr="00BB4743" w:rsidRDefault="671EF1CC" w:rsidP="17D077F0">
            <w:pPr>
              <w:spacing w:line="259" w:lineRule="auto"/>
              <w:rPr>
                <w:rFonts w:cs="Calibri"/>
                <w:b/>
                <w:bCs/>
                <w:color w:val="auto"/>
                <w:sz w:val="20"/>
                <w:szCs w:val="20"/>
              </w:rPr>
            </w:pPr>
            <w:r w:rsidRPr="00BB4743">
              <w:rPr>
                <w:rFonts w:eastAsia="Calibri" w:cs="Calibri"/>
                <w:b/>
                <w:bCs/>
                <w:color w:val="auto"/>
                <w:sz w:val="20"/>
                <w:szCs w:val="20"/>
              </w:rPr>
              <w:t>Farhhan</w:t>
            </w:r>
            <w:r w:rsidR="44F379A8" w:rsidRPr="00BB4743">
              <w:rPr>
                <w:rFonts w:eastAsia="Calibri" w:cs="Calibri"/>
                <w:b/>
                <w:bCs/>
                <w:color w:val="auto"/>
                <w:sz w:val="20"/>
                <w:szCs w:val="20"/>
              </w:rPr>
              <w:t xml:space="preserve"> Afzal</w:t>
            </w:r>
          </w:p>
        </w:tc>
        <w:tc>
          <w:tcPr>
            <w:tcW w:w="3131" w:type="dxa"/>
          </w:tcPr>
          <w:p w14:paraId="0D33DE92" w14:textId="37941187" w:rsidR="671EF1CC" w:rsidRPr="00BB4743" w:rsidRDefault="671EF1CC" w:rsidP="00BB4743">
            <w:pPr>
              <w:spacing w:line="259" w:lineRule="auto"/>
              <w:rPr>
                <w:rFonts w:cs="Calibri"/>
                <w:color w:val="auto"/>
                <w:sz w:val="20"/>
                <w:szCs w:val="20"/>
              </w:rPr>
            </w:pPr>
            <w:r w:rsidRPr="00BB4743">
              <w:rPr>
                <w:rFonts w:eastAsia="Calibri" w:cs="Calibri"/>
                <w:color w:val="auto"/>
                <w:sz w:val="20"/>
                <w:szCs w:val="20"/>
              </w:rPr>
              <w:t>PIR, RWP</w:t>
            </w:r>
          </w:p>
        </w:tc>
        <w:tc>
          <w:tcPr>
            <w:tcW w:w="3130" w:type="dxa"/>
          </w:tcPr>
          <w:p w14:paraId="4BF60164" w14:textId="0BAC02B0" w:rsidR="671EF1CC" w:rsidRPr="00BB4743" w:rsidRDefault="74814ADE" w:rsidP="00BB4743">
            <w:pPr>
              <w:spacing w:line="259" w:lineRule="auto"/>
              <w:rPr>
                <w:rFonts w:eastAsia="Calibri" w:cs="Calibri"/>
                <w:color w:val="auto"/>
                <w:sz w:val="20"/>
                <w:szCs w:val="20"/>
              </w:rPr>
            </w:pPr>
            <w:r w:rsidRPr="00BB4743">
              <w:rPr>
                <w:rFonts w:eastAsia="Calibri" w:cs="Calibri"/>
                <w:color w:val="auto"/>
                <w:sz w:val="20"/>
                <w:szCs w:val="20"/>
              </w:rPr>
              <w:t>Chief Scientific Officer</w:t>
            </w:r>
          </w:p>
        </w:tc>
      </w:tr>
      <w:tr w:rsidR="00D770D4" w:rsidRPr="00D770D4" w14:paraId="7D4D8112"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3386B93C" w14:textId="37C0092A" w:rsidR="701D6AC0" w:rsidRPr="00BB4743" w:rsidRDefault="701D6AC0" w:rsidP="17D077F0">
            <w:pPr>
              <w:spacing w:line="259" w:lineRule="auto"/>
              <w:rPr>
                <w:rFonts w:eastAsia="Calibri" w:cs="Calibri"/>
                <w:b/>
                <w:bCs/>
                <w:color w:val="auto"/>
                <w:sz w:val="20"/>
                <w:szCs w:val="20"/>
              </w:rPr>
            </w:pPr>
            <w:r w:rsidRPr="00BB4743">
              <w:rPr>
                <w:rFonts w:eastAsia="Calibri" w:cs="Calibri"/>
                <w:b/>
                <w:bCs/>
                <w:color w:val="auto"/>
                <w:sz w:val="20"/>
                <w:szCs w:val="20"/>
              </w:rPr>
              <w:t xml:space="preserve">Dr </w:t>
            </w:r>
            <w:r w:rsidR="671EF1CC" w:rsidRPr="00BB4743">
              <w:rPr>
                <w:rFonts w:eastAsia="Calibri" w:cs="Calibri"/>
                <w:b/>
                <w:bCs/>
                <w:color w:val="auto"/>
                <w:sz w:val="20"/>
                <w:szCs w:val="20"/>
              </w:rPr>
              <w:t xml:space="preserve">Amtul </w:t>
            </w:r>
            <w:r w:rsidR="0E2052B4" w:rsidRPr="00BB4743">
              <w:rPr>
                <w:rFonts w:eastAsia="Calibri" w:cs="Calibri"/>
                <w:b/>
                <w:bCs/>
                <w:color w:val="auto"/>
                <w:sz w:val="20"/>
                <w:szCs w:val="20"/>
              </w:rPr>
              <w:t>Q</w:t>
            </w:r>
            <w:r w:rsidR="7F4CCC44" w:rsidRPr="00BB4743">
              <w:rPr>
                <w:rFonts w:eastAsia="Calibri" w:cs="Calibri"/>
                <w:b/>
                <w:bCs/>
                <w:color w:val="auto"/>
                <w:sz w:val="20"/>
                <w:szCs w:val="20"/>
              </w:rPr>
              <w:t>a</w:t>
            </w:r>
            <w:r w:rsidR="0E2052B4" w:rsidRPr="00BB4743">
              <w:rPr>
                <w:rFonts w:eastAsia="Calibri" w:cs="Calibri"/>
                <w:b/>
                <w:bCs/>
                <w:color w:val="auto"/>
                <w:sz w:val="20"/>
                <w:szCs w:val="20"/>
              </w:rPr>
              <w:t>d</w:t>
            </w:r>
            <w:r w:rsidR="469647FD" w:rsidRPr="00BB4743">
              <w:rPr>
                <w:rFonts w:eastAsia="Calibri" w:cs="Calibri"/>
                <w:b/>
                <w:bCs/>
                <w:color w:val="auto"/>
                <w:sz w:val="20"/>
                <w:szCs w:val="20"/>
              </w:rPr>
              <w:t>u</w:t>
            </w:r>
            <w:r w:rsidR="0E2052B4" w:rsidRPr="00BB4743">
              <w:rPr>
                <w:rFonts w:eastAsia="Calibri" w:cs="Calibri"/>
                <w:b/>
                <w:bCs/>
                <w:color w:val="auto"/>
                <w:sz w:val="20"/>
                <w:szCs w:val="20"/>
              </w:rPr>
              <w:t>s</w:t>
            </w:r>
          </w:p>
        </w:tc>
        <w:tc>
          <w:tcPr>
            <w:tcW w:w="3131" w:type="dxa"/>
          </w:tcPr>
          <w:p w14:paraId="1BE2476F" w14:textId="6D5E5B8C" w:rsidR="671EF1CC" w:rsidRPr="00BB4743" w:rsidRDefault="08AB5198" w:rsidP="00BB4743">
            <w:pPr>
              <w:spacing w:line="259" w:lineRule="auto"/>
              <w:rPr>
                <w:rFonts w:cs="Calibri"/>
                <w:color w:val="auto"/>
                <w:sz w:val="20"/>
                <w:szCs w:val="20"/>
              </w:rPr>
            </w:pPr>
            <w:r w:rsidRPr="00FC65C1">
              <w:rPr>
                <w:rFonts w:eastAsia="Calibri" w:cs="Calibri"/>
                <w:sz w:val="20"/>
                <w:szCs w:val="20"/>
                <w:lang w:val="en-US"/>
              </w:rPr>
              <w:t>Jinnah Postgraduate Medical College (JPMC)</w:t>
            </w:r>
          </w:p>
        </w:tc>
        <w:tc>
          <w:tcPr>
            <w:tcW w:w="3130" w:type="dxa"/>
          </w:tcPr>
          <w:p w14:paraId="0DDB85AE" w14:textId="1ABEBABF" w:rsidR="671EF1CC" w:rsidRPr="00BB4743" w:rsidRDefault="671EF1CC" w:rsidP="00BB4743">
            <w:pPr>
              <w:spacing w:line="259" w:lineRule="auto"/>
              <w:rPr>
                <w:rFonts w:cs="Calibri"/>
                <w:color w:val="auto"/>
                <w:sz w:val="20"/>
                <w:szCs w:val="20"/>
              </w:rPr>
            </w:pPr>
            <w:r w:rsidRPr="00BB4743">
              <w:rPr>
                <w:rFonts w:eastAsia="Calibri" w:cs="Calibri"/>
                <w:color w:val="auto"/>
                <w:sz w:val="20"/>
                <w:szCs w:val="20"/>
              </w:rPr>
              <w:t>Head of Microbiology</w:t>
            </w:r>
          </w:p>
        </w:tc>
      </w:tr>
    </w:tbl>
    <w:p w14:paraId="3F30278E" w14:textId="3FE47EE6" w:rsidR="003B15E9" w:rsidRDefault="000D22E1" w:rsidP="004F2001">
      <w:pPr>
        <w:pStyle w:val="ItadH3"/>
      </w:pPr>
      <w:bookmarkStart w:id="416" w:name="_Toc118968579"/>
      <w:bookmarkStart w:id="417" w:name="_Toc122209933"/>
      <w:bookmarkStart w:id="418" w:name="_Toc142383221"/>
      <w:r>
        <w:t xml:space="preserve">Country </w:t>
      </w:r>
      <w:r w:rsidR="00764EB0">
        <w:t>v</w:t>
      </w:r>
      <w:r>
        <w:t>isit 2022</w:t>
      </w:r>
      <w:bookmarkEnd w:id="416"/>
      <w:bookmarkEnd w:id="417"/>
      <w:bookmarkEnd w:id="418"/>
    </w:p>
    <w:tbl>
      <w:tblPr>
        <w:tblStyle w:val="Itadalternaterows"/>
        <w:tblW w:w="9654" w:type="dxa"/>
        <w:tblLook w:val="04A0" w:firstRow="1" w:lastRow="0" w:firstColumn="1" w:lastColumn="0" w:noHBand="0" w:noVBand="1"/>
      </w:tblPr>
      <w:tblGrid>
        <w:gridCol w:w="3220"/>
        <w:gridCol w:w="3217"/>
        <w:gridCol w:w="3217"/>
      </w:tblGrid>
      <w:tr w:rsidR="17D077F0" w14:paraId="1C1BAEF5" w14:textId="77777777" w:rsidTr="00BB4743">
        <w:trPr>
          <w:cnfStyle w:val="100000000000" w:firstRow="1" w:lastRow="0" w:firstColumn="0" w:lastColumn="0" w:oddVBand="0" w:evenVBand="0" w:oddHBand="0" w:evenHBand="0" w:firstRowFirstColumn="0" w:firstRowLastColumn="0" w:lastRowFirstColumn="0" w:lastRowLastColumn="0"/>
          <w:trHeight w:val="342"/>
        </w:trPr>
        <w:tc>
          <w:tcPr>
            <w:tcW w:w="9654" w:type="dxa"/>
            <w:gridSpan w:val="3"/>
          </w:tcPr>
          <w:p w14:paraId="3C7F04F1" w14:textId="7F4A5880" w:rsidR="17D077F0" w:rsidRDefault="17D077F0" w:rsidP="17D077F0">
            <w:pPr>
              <w:rPr>
                <w:rFonts w:cstheme="minorBidi"/>
                <w:color w:val="FFFFFF" w:themeColor="background1"/>
                <w:sz w:val="20"/>
                <w:szCs w:val="20"/>
                <w:lang w:eastAsia="en-GB"/>
              </w:rPr>
            </w:pPr>
            <w:r w:rsidRPr="17D077F0">
              <w:rPr>
                <w:rFonts w:cstheme="minorBidi"/>
                <w:color w:val="FFFFFF" w:themeColor="background1"/>
                <w:sz w:val="20"/>
                <w:szCs w:val="20"/>
                <w:lang w:eastAsia="en-GB"/>
              </w:rPr>
              <w:t xml:space="preserve">Fleming Fund </w:t>
            </w:r>
            <w:r w:rsidR="005B5B44">
              <w:rPr>
                <w:rFonts w:cstheme="minorBidi"/>
                <w:color w:val="FFFFFF" w:themeColor="background1"/>
                <w:sz w:val="20"/>
                <w:szCs w:val="20"/>
                <w:lang w:eastAsia="en-GB"/>
              </w:rPr>
              <w:t>CG</w:t>
            </w:r>
          </w:p>
        </w:tc>
      </w:tr>
      <w:tr w:rsidR="17D077F0" w14:paraId="3AC43FB9" w14:textId="77777777" w:rsidTr="00BB4743">
        <w:trPr>
          <w:cnfStyle w:val="000000100000" w:firstRow="0" w:lastRow="0" w:firstColumn="0" w:lastColumn="0" w:oddVBand="0" w:evenVBand="0" w:oddHBand="1" w:evenHBand="0" w:firstRowFirstColumn="0" w:firstRowLastColumn="0" w:lastRowFirstColumn="0" w:lastRowLastColumn="0"/>
          <w:trHeight w:val="342"/>
        </w:trPr>
        <w:tc>
          <w:tcPr>
            <w:tcW w:w="3220" w:type="dxa"/>
          </w:tcPr>
          <w:p w14:paraId="10EC2521" w14:textId="11946209" w:rsidR="17D077F0" w:rsidRPr="00BB4743" w:rsidRDefault="4272BAC8" w:rsidP="06450652">
            <w:pPr>
              <w:spacing w:line="259" w:lineRule="auto"/>
              <w:rPr>
                <w:rFonts w:asciiTheme="minorHAnsi" w:eastAsia="Calibri" w:hAnsiTheme="minorHAnsi" w:cstheme="minorBidi"/>
                <w:b/>
                <w:bCs/>
                <w:color w:val="000000"/>
                <w:sz w:val="20"/>
                <w:szCs w:val="20"/>
              </w:rPr>
            </w:pPr>
            <w:r w:rsidRPr="00BB4743">
              <w:rPr>
                <w:rFonts w:asciiTheme="minorHAnsi" w:eastAsia="Calibri" w:hAnsiTheme="minorHAnsi" w:cstheme="minorBidi"/>
                <w:b/>
                <w:bCs/>
                <w:color w:val="000000"/>
                <w:sz w:val="20"/>
                <w:szCs w:val="20"/>
              </w:rPr>
              <w:t>Dr Usman Zaheer</w:t>
            </w:r>
          </w:p>
        </w:tc>
        <w:tc>
          <w:tcPr>
            <w:tcW w:w="3217" w:type="dxa"/>
          </w:tcPr>
          <w:p w14:paraId="6670E5B0" w14:textId="7EFBAF4E" w:rsidR="17D077F0" w:rsidRPr="00BB4743" w:rsidRDefault="4272BAC8" w:rsidP="00BB4743">
            <w:pPr>
              <w:rPr>
                <w:rFonts w:cstheme="minorBidi"/>
                <w:color w:val="auto"/>
                <w:sz w:val="20"/>
                <w:szCs w:val="20"/>
                <w:lang w:eastAsia="en-GB"/>
              </w:rPr>
            </w:pPr>
            <w:r w:rsidRPr="00BB4743">
              <w:rPr>
                <w:rFonts w:cstheme="minorBidi"/>
                <w:color w:val="auto"/>
                <w:sz w:val="20"/>
                <w:szCs w:val="20"/>
                <w:lang w:eastAsia="en-GB"/>
              </w:rPr>
              <w:t>DAI</w:t>
            </w:r>
          </w:p>
        </w:tc>
        <w:tc>
          <w:tcPr>
            <w:tcW w:w="3216" w:type="dxa"/>
          </w:tcPr>
          <w:p w14:paraId="08B0D80D" w14:textId="325142FD" w:rsidR="17D077F0" w:rsidRPr="00BB4743" w:rsidRDefault="0468C132" w:rsidP="00BB4743">
            <w:pPr>
              <w:spacing w:line="259" w:lineRule="auto"/>
              <w:rPr>
                <w:rFonts w:asciiTheme="minorHAnsi" w:eastAsia="Calibri" w:hAnsiTheme="minorHAnsi" w:cstheme="minorBidi"/>
                <w:color w:val="auto"/>
                <w:sz w:val="20"/>
                <w:szCs w:val="20"/>
              </w:rPr>
            </w:pPr>
            <w:r w:rsidRPr="00BB4743">
              <w:rPr>
                <w:rFonts w:asciiTheme="minorHAnsi" w:eastAsia="Calibri" w:hAnsiTheme="minorHAnsi" w:cstheme="minorBidi"/>
                <w:color w:val="auto"/>
                <w:sz w:val="20"/>
                <w:szCs w:val="20"/>
              </w:rPr>
              <w:t>Surveillance Lead</w:t>
            </w:r>
          </w:p>
        </w:tc>
      </w:tr>
      <w:tr w:rsidR="06450652" w14:paraId="5974640F" w14:textId="77777777" w:rsidTr="00BB4743">
        <w:trPr>
          <w:cnfStyle w:val="000000010000" w:firstRow="0" w:lastRow="0" w:firstColumn="0" w:lastColumn="0" w:oddVBand="0" w:evenVBand="0" w:oddHBand="0" w:evenHBand="1" w:firstRowFirstColumn="0" w:firstRowLastColumn="0" w:lastRowFirstColumn="0" w:lastRowLastColumn="0"/>
          <w:trHeight w:val="342"/>
        </w:trPr>
        <w:tc>
          <w:tcPr>
            <w:tcW w:w="3220" w:type="dxa"/>
          </w:tcPr>
          <w:p w14:paraId="48ABBF74" w14:textId="3FE9DC57" w:rsidR="4272BAC8" w:rsidRPr="00BB4743" w:rsidRDefault="4272BAC8" w:rsidP="06450652">
            <w:pPr>
              <w:spacing w:line="259" w:lineRule="auto"/>
              <w:rPr>
                <w:rFonts w:asciiTheme="minorHAnsi" w:eastAsia="Calibri" w:hAnsiTheme="minorHAnsi" w:cstheme="minorBidi"/>
                <w:b/>
                <w:bCs/>
                <w:color w:val="000000"/>
                <w:sz w:val="20"/>
                <w:szCs w:val="20"/>
              </w:rPr>
            </w:pPr>
            <w:r w:rsidRPr="00BB4743">
              <w:rPr>
                <w:rFonts w:asciiTheme="minorHAnsi" w:eastAsia="Calibri" w:hAnsiTheme="minorHAnsi" w:cstheme="minorBidi"/>
                <w:b/>
                <w:bCs/>
                <w:color w:val="000000"/>
                <w:sz w:val="20"/>
                <w:szCs w:val="20"/>
              </w:rPr>
              <w:t>Tauqeer Mustafa</w:t>
            </w:r>
          </w:p>
        </w:tc>
        <w:tc>
          <w:tcPr>
            <w:tcW w:w="3217" w:type="dxa"/>
          </w:tcPr>
          <w:p w14:paraId="2467F58E" w14:textId="38D87937" w:rsidR="4272BAC8" w:rsidRPr="00BB4743" w:rsidRDefault="4272BAC8" w:rsidP="00BB4743">
            <w:pPr>
              <w:rPr>
                <w:rFonts w:cstheme="minorBidi"/>
                <w:color w:val="auto"/>
                <w:sz w:val="20"/>
                <w:szCs w:val="20"/>
                <w:lang w:eastAsia="en-GB"/>
              </w:rPr>
            </w:pPr>
            <w:r w:rsidRPr="00BB4743">
              <w:rPr>
                <w:rFonts w:cstheme="minorBidi"/>
                <w:color w:val="auto"/>
                <w:sz w:val="20"/>
                <w:szCs w:val="20"/>
                <w:lang w:eastAsia="en-GB"/>
              </w:rPr>
              <w:t>DAI</w:t>
            </w:r>
          </w:p>
        </w:tc>
        <w:tc>
          <w:tcPr>
            <w:tcW w:w="3216" w:type="dxa"/>
          </w:tcPr>
          <w:p w14:paraId="2156AF79" w14:textId="63FB026D" w:rsidR="4272BAC8" w:rsidRPr="00BB4743" w:rsidRDefault="4272BAC8" w:rsidP="00BB4743">
            <w:pPr>
              <w:spacing w:line="259" w:lineRule="auto"/>
              <w:rPr>
                <w:rFonts w:asciiTheme="minorHAnsi" w:eastAsia="Calibri" w:hAnsiTheme="minorHAnsi" w:cstheme="minorBidi"/>
                <w:color w:val="auto"/>
                <w:sz w:val="20"/>
                <w:szCs w:val="20"/>
              </w:rPr>
            </w:pPr>
            <w:r w:rsidRPr="00BB4743">
              <w:rPr>
                <w:rFonts w:asciiTheme="minorHAnsi" w:eastAsia="Calibri" w:hAnsiTheme="minorHAnsi" w:cstheme="minorBidi"/>
                <w:color w:val="auto"/>
                <w:sz w:val="20"/>
                <w:szCs w:val="20"/>
              </w:rPr>
              <w:t>Project Officer</w:t>
            </w:r>
          </w:p>
        </w:tc>
      </w:tr>
      <w:tr w:rsidR="06450652" w14:paraId="28E880AC" w14:textId="77777777" w:rsidTr="00BB4743">
        <w:trPr>
          <w:cnfStyle w:val="000000100000" w:firstRow="0" w:lastRow="0" w:firstColumn="0" w:lastColumn="0" w:oddVBand="0" w:evenVBand="0" w:oddHBand="1" w:evenHBand="0" w:firstRowFirstColumn="0" w:firstRowLastColumn="0" w:lastRowFirstColumn="0" w:lastRowLastColumn="0"/>
          <w:trHeight w:val="342"/>
        </w:trPr>
        <w:tc>
          <w:tcPr>
            <w:tcW w:w="3220" w:type="dxa"/>
          </w:tcPr>
          <w:p w14:paraId="5008CB0E" w14:textId="61928C95" w:rsidR="646F30DD" w:rsidRPr="00BB4743" w:rsidRDefault="646F30DD" w:rsidP="06450652">
            <w:pPr>
              <w:spacing w:line="259" w:lineRule="auto"/>
              <w:rPr>
                <w:rFonts w:asciiTheme="minorHAnsi" w:eastAsia="Calibri" w:hAnsiTheme="minorHAnsi" w:cstheme="minorBidi"/>
                <w:b/>
                <w:bCs/>
                <w:color w:val="000000"/>
                <w:sz w:val="20"/>
                <w:szCs w:val="20"/>
              </w:rPr>
            </w:pPr>
            <w:r w:rsidRPr="00BB4743">
              <w:rPr>
                <w:rFonts w:asciiTheme="minorHAnsi" w:eastAsia="Calibri" w:hAnsiTheme="minorHAnsi" w:cstheme="minorBidi"/>
                <w:b/>
                <w:bCs/>
                <w:color w:val="000000"/>
                <w:sz w:val="20"/>
                <w:szCs w:val="20"/>
              </w:rPr>
              <w:t>Farooq Tahir</w:t>
            </w:r>
          </w:p>
        </w:tc>
        <w:tc>
          <w:tcPr>
            <w:tcW w:w="3217" w:type="dxa"/>
          </w:tcPr>
          <w:p w14:paraId="2156D09A" w14:textId="51476597" w:rsidR="646F30DD" w:rsidRPr="00BB4743" w:rsidRDefault="646F30DD" w:rsidP="00BB4743">
            <w:pPr>
              <w:rPr>
                <w:rFonts w:cstheme="minorBidi"/>
                <w:color w:val="auto"/>
                <w:sz w:val="20"/>
                <w:szCs w:val="20"/>
                <w:lang w:eastAsia="en-GB"/>
              </w:rPr>
            </w:pPr>
            <w:r w:rsidRPr="00BB4743">
              <w:rPr>
                <w:rFonts w:cstheme="minorBidi"/>
                <w:color w:val="auto"/>
                <w:sz w:val="20"/>
                <w:szCs w:val="20"/>
                <w:lang w:eastAsia="en-GB"/>
              </w:rPr>
              <w:t xml:space="preserve">FAO </w:t>
            </w:r>
          </w:p>
          <w:p w14:paraId="2FEF74FF" w14:textId="0B48E312" w:rsidR="646F30DD" w:rsidRPr="00BB4743" w:rsidRDefault="646F30DD" w:rsidP="00BB4743">
            <w:pPr>
              <w:rPr>
                <w:rFonts w:cstheme="minorBidi"/>
                <w:color w:val="auto"/>
                <w:sz w:val="20"/>
                <w:szCs w:val="20"/>
                <w:lang w:eastAsia="en-GB"/>
              </w:rPr>
            </w:pPr>
            <w:r w:rsidRPr="00BB4743">
              <w:rPr>
                <w:rFonts w:cstheme="minorBidi"/>
                <w:color w:val="auto"/>
                <w:sz w:val="20"/>
                <w:szCs w:val="20"/>
                <w:lang w:eastAsia="en-GB"/>
              </w:rPr>
              <w:t>(</w:t>
            </w:r>
            <w:r w:rsidR="005C3132" w:rsidRPr="00BB4743">
              <w:rPr>
                <w:rFonts w:cstheme="minorBidi"/>
                <w:color w:val="auto"/>
                <w:sz w:val="20"/>
                <w:szCs w:val="20"/>
                <w:lang w:eastAsia="en-GB"/>
              </w:rPr>
              <w:t>Previously</w:t>
            </w:r>
            <w:r w:rsidRPr="00BB4743">
              <w:rPr>
                <w:rFonts w:cstheme="minorBidi"/>
                <w:color w:val="auto"/>
                <w:sz w:val="20"/>
                <w:szCs w:val="20"/>
                <w:lang w:eastAsia="en-GB"/>
              </w:rPr>
              <w:t xml:space="preserve"> DAI)</w:t>
            </w:r>
          </w:p>
        </w:tc>
        <w:tc>
          <w:tcPr>
            <w:tcW w:w="3216" w:type="dxa"/>
          </w:tcPr>
          <w:p w14:paraId="3B2F4A0B" w14:textId="51476597" w:rsidR="06450652" w:rsidRPr="00BB4743" w:rsidRDefault="767E6589" w:rsidP="00BB4743">
            <w:pPr>
              <w:spacing w:line="259" w:lineRule="auto"/>
              <w:rPr>
                <w:rFonts w:asciiTheme="minorHAnsi" w:eastAsia="Calibri" w:hAnsiTheme="minorHAnsi" w:cstheme="minorBidi"/>
                <w:color w:val="auto"/>
                <w:sz w:val="20"/>
                <w:szCs w:val="20"/>
              </w:rPr>
            </w:pPr>
            <w:r w:rsidRPr="00BB4743">
              <w:rPr>
                <w:rFonts w:asciiTheme="minorHAnsi" w:eastAsia="Calibri" w:hAnsiTheme="minorHAnsi" w:cstheme="minorBidi"/>
                <w:color w:val="auto"/>
                <w:sz w:val="20"/>
                <w:szCs w:val="20"/>
              </w:rPr>
              <w:t xml:space="preserve">National Project Coordinator </w:t>
            </w:r>
          </w:p>
          <w:p w14:paraId="12F53BEB" w14:textId="407E20EE" w:rsidR="06450652" w:rsidRPr="00BB4743" w:rsidRDefault="767E6589" w:rsidP="00BB4743">
            <w:pPr>
              <w:spacing w:line="259" w:lineRule="auto"/>
              <w:rPr>
                <w:rFonts w:asciiTheme="minorHAnsi" w:eastAsia="Calibri" w:hAnsiTheme="minorHAnsi" w:cstheme="minorBidi"/>
                <w:color w:val="auto"/>
                <w:sz w:val="20"/>
                <w:szCs w:val="20"/>
              </w:rPr>
            </w:pPr>
            <w:r w:rsidRPr="00BB4743">
              <w:rPr>
                <w:rFonts w:asciiTheme="minorHAnsi" w:eastAsia="Calibri" w:hAnsiTheme="minorHAnsi" w:cstheme="minorBidi"/>
                <w:color w:val="auto"/>
                <w:sz w:val="20"/>
                <w:szCs w:val="20"/>
              </w:rPr>
              <w:t>(</w:t>
            </w:r>
            <w:r w:rsidR="005C3132" w:rsidRPr="00BB4743">
              <w:rPr>
                <w:rFonts w:asciiTheme="minorHAnsi" w:eastAsia="Calibri" w:hAnsiTheme="minorHAnsi" w:cstheme="minorBidi"/>
                <w:color w:val="auto"/>
                <w:sz w:val="20"/>
                <w:szCs w:val="20"/>
              </w:rPr>
              <w:t>Previously</w:t>
            </w:r>
            <w:r w:rsidRPr="00BB4743">
              <w:rPr>
                <w:rFonts w:asciiTheme="minorHAnsi" w:eastAsia="Calibri" w:hAnsiTheme="minorHAnsi" w:cstheme="minorBidi"/>
                <w:color w:val="auto"/>
                <w:sz w:val="20"/>
                <w:szCs w:val="20"/>
              </w:rPr>
              <w:t xml:space="preserve"> Animal Health Lead)</w:t>
            </w:r>
          </w:p>
        </w:tc>
      </w:tr>
      <w:tr w:rsidR="00D03BF9" w:rsidRPr="000B3487" w14:paraId="0200DB97" w14:textId="77777777" w:rsidTr="00BB4743">
        <w:trPr>
          <w:cnfStyle w:val="000000010000" w:firstRow="0" w:lastRow="0" w:firstColumn="0" w:lastColumn="0" w:oddVBand="0" w:evenVBand="0" w:oddHBand="0" w:evenHBand="1" w:firstRowFirstColumn="0" w:firstRowLastColumn="0" w:lastRowFirstColumn="0" w:lastRowLastColumn="0"/>
          <w:trHeight w:val="342"/>
        </w:trPr>
        <w:tc>
          <w:tcPr>
            <w:tcW w:w="9654" w:type="dxa"/>
            <w:gridSpan w:val="3"/>
            <w:shd w:val="clear" w:color="auto" w:fill="96C286" w:themeFill="text2" w:themeFillTint="99"/>
          </w:tcPr>
          <w:p w14:paraId="0CF431F3" w14:textId="77777777" w:rsidR="17D077F0" w:rsidRPr="00BB4743" w:rsidRDefault="17D077F0" w:rsidP="00041B22">
            <w:pPr>
              <w:rPr>
                <w:rFonts w:cstheme="minorBidi"/>
                <w:color w:val="FFFFFF" w:themeColor="background1"/>
                <w:sz w:val="20"/>
                <w:szCs w:val="20"/>
              </w:rPr>
            </w:pPr>
            <w:r w:rsidRPr="00D03BF9">
              <w:rPr>
                <w:rFonts w:cstheme="minorBidi"/>
                <w:color w:val="FFFFFF" w:themeColor="background1"/>
                <w:sz w:val="20"/>
                <w:szCs w:val="20"/>
                <w:lang w:eastAsia="en-GB"/>
              </w:rPr>
              <w:t>Other decision makers</w:t>
            </w:r>
          </w:p>
        </w:tc>
      </w:tr>
      <w:tr w:rsidR="17D077F0" w14:paraId="6D14B516" w14:textId="77777777" w:rsidTr="00BB4743">
        <w:trPr>
          <w:cnfStyle w:val="000000100000" w:firstRow="0" w:lastRow="0" w:firstColumn="0" w:lastColumn="0" w:oddVBand="0" w:evenVBand="0" w:oddHBand="1" w:evenHBand="0" w:firstRowFirstColumn="0" w:firstRowLastColumn="0" w:lastRowFirstColumn="0" w:lastRowLastColumn="0"/>
          <w:trHeight w:val="342"/>
        </w:trPr>
        <w:tc>
          <w:tcPr>
            <w:tcW w:w="3220" w:type="dxa"/>
          </w:tcPr>
          <w:p w14:paraId="16DB198A" w14:textId="23159236" w:rsidR="17D077F0" w:rsidRPr="00BB4743" w:rsidRDefault="36592E30" w:rsidP="17D077F0">
            <w:pPr>
              <w:spacing w:line="259" w:lineRule="auto"/>
              <w:rPr>
                <w:rFonts w:eastAsia="Calibri" w:cs="Calibri"/>
                <w:b/>
                <w:bCs/>
                <w:color w:val="auto"/>
                <w:sz w:val="20"/>
                <w:szCs w:val="20"/>
              </w:rPr>
            </w:pPr>
            <w:r w:rsidRPr="00BB4743">
              <w:rPr>
                <w:rFonts w:eastAsia="Calibri" w:cs="Calibri"/>
                <w:b/>
                <w:bCs/>
                <w:color w:val="auto"/>
                <w:sz w:val="20"/>
                <w:szCs w:val="20"/>
              </w:rPr>
              <w:t>Dr Syed Asad Ali Shah</w:t>
            </w:r>
          </w:p>
        </w:tc>
        <w:tc>
          <w:tcPr>
            <w:tcW w:w="3217" w:type="dxa"/>
          </w:tcPr>
          <w:p w14:paraId="3A21CF91" w14:textId="05635059" w:rsidR="17D077F0" w:rsidRPr="00BB4743" w:rsidRDefault="36592E30" w:rsidP="00041B22">
            <w:pPr>
              <w:spacing w:line="259" w:lineRule="auto"/>
              <w:rPr>
                <w:rFonts w:eastAsia="Calibri" w:cs="Calibri"/>
                <w:color w:val="auto"/>
                <w:sz w:val="20"/>
                <w:szCs w:val="20"/>
              </w:rPr>
            </w:pPr>
            <w:r w:rsidRPr="00BB4743">
              <w:rPr>
                <w:rFonts w:eastAsia="Calibri" w:cs="Calibri"/>
                <w:color w:val="auto"/>
                <w:sz w:val="20"/>
                <w:szCs w:val="20"/>
                <w:lang w:val="en-US"/>
              </w:rPr>
              <w:t>Directorate of Livestock &amp; Dairy Development</w:t>
            </w:r>
          </w:p>
        </w:tc>
        <w:tc>
          <w:tcPr>
            <w:tcW w:w="3216" w:type="dxa"/>
          </w:tcPr>
          <w:p w14:paraId="3421B82F" w14:textId="691DB81D" w:rsidR="17D077F0" w:rsidRPr="00BB4743" w:rsidRDefault="36592E30" w:rsidP="00BB4743">
            <w:pPr>
              <w:rPr>
                <w:rFonts w:eastAsia="Calibri" w:cs="Calibri"/>
                <w:color w:val="auto"/>
                <w:sz w:val="20"/>
                <w:szCs w:val="20"/>
              </w:rPr>
            </w:pPr>
            <w:r w:rsidRPr="00BB4743">
              <w:rPr>
                <w:rFonts w:eastAsia="Calibri" w:cs="Calibri"/>
                <w:color w:val="auto"/>
                <w:sz w:val="20"/>
                <w:szCs w:val="20"/>
                <w:lang w:val="en-US"/>
              </w:rPr>
              <w:t>Epidemiologist</w:t>
            </w:r>
          </w:p>
        </w:tc>
      </w:tr>
      <w:tr w:rsidR="06450652" w14:paraId="775260AB" w14:textId="77777777" w:rsidTr="00BB4743">
        <w:trPr>
          <w:cnfStyle w:val="000000010000" w:firstRow="0" w:lastRow="0" w:firstColumn="0" w:lastColumn="0" w:oddVBand="0" w:evenVBand="0" w:oddHBand="0" w:evenHBand="1" w:firstRowFirstColumn="0" w:firstRowLastColumn="0" w:lastRowFirstColumn="0" w:lastRowLastColumn="0"/>
          <w:trHeight w:val="342"/>
        </w:trPr>
        <w:tc>
          <w:tcPr>
            <w:tcW w:w="3220" w:type="dxa"/>
          </w:tcPr>
          <w:p w14:paraId="3E4C1706" w14:textId="13B54B9E" w:rsidR="36592E30" w:rsidRPr="00BB4743" w:rsidRDefault="00EE3BF1" w:rsidP="06450652">
            <w:pPr>
              <w:spacing w:line="259" w:lineRule="auto"/>
              <w:rPr>
                <w:rFonts w:eastAsia="Calibri" w:cs="Calibri"/>
                <w:b/>
                <w:bCs/>
                <w:color w:val="auto"/>
                <w:sz w:val="20"/>
                <w:szCs w:val="20"/>
                <w:lang w:val="en-US"/>
              </w:rPr>
            </w:pPr>
            <w:r>
              <w:rPr>
                <w:rFonts w:eastAsia="Calibri" w:cs="Calibri"/>
                <w:b/>
                <w:bCs/>
                <w:color w:val="auto"/>
                <w:sz w:val="20"/>
                <w:szCs w:val="20"/>
                <w:lang w:val="en-US"/>
              </w:rPr>
              <w:t xml:space="preserve">Dr </w:t>
            </w:r>
            <w:r w:rsidR="36592E30" w:rsidRPr="00BB4743">
              <w:rPr>
                <w:rFonts w:eastAsia="Calibri" w:cs="Calibri"/>
                <w:b/>
                <w:bCs/>
                <w:color w:val="auto"/>
                <w:sz w:val="20"/>
                <w:szCs w:val="20"/>
                <w:lang w:val="en-US"/>
              </w:rPr>
              <w:t>Shaheen Afridi</w:t>
            </w:r>
          </w:p>
        </w:tc>
        <w:tc>
          <w:tcPr>
            <w:tcW w:w="3217" w:type="dxa"/>
          </w:tcPr>
          <w:p w14:paraId="6BACC1C0" w14:textId="75336546" w:rsidR="36592E30" w:rsidRPr="00BB4743" w:rsidRDefault="36592E30" w:rsidP="00041B22">
            <w:pPr>
              <w:rPr>
                <w:rFonts w:eastAsia="Calibri" w:cs="Calibri"/>
                <w:color w:val="auto"/>
                <w:sz w:val="20"/>
                <w:szCs w:val="20"/>
                <w:lang w:val="en-US"/>
              </w:rPr>
            </w:pPr>
            <w:r w:rsidRPr="00BB4743">
              <w:rPr>
                <w:rFonts w:eastAsia="Calibri" w:cs="Calibri"/>
                <w:color w:val="auto"/>
                <w:sz w:val="20"/>
                <w:szCs w:val="20"/>
                <w:lang w:val="en-US"/>
              </w:rPr>
              <w:t>Department of Health - Khyber Pakhtunkhwa</w:t>
            </w:r>
          </w:p>
        </w:tc>
        <w:tc>
          <w:tcPr>
            <w:tcW w:w="3216" w:type="dxa"/>
          </w:tcPr>
          <w:p w14:paraId="18C1B3C0" w14:textId="3CD45E3A" w:rsidR="36592E30" w:rsidRPr="00BB4743" w:rsidRDefault="36592E30" w:rsidP="00BB4743">
            <w:pPr>
              <w:rPr>
                <w:rFonts w:eastAsia="Calibri" w:cs="Calibri"/>
                <w:color w:val="auto"/>
                <w:sz w:val="20"/>
                <w:szCs w:val="20"/>
                <w:lang w:val="en-US"/>
              </w:rPr>
            </w:pPr>
            <w:r w:rsidRPr="00BB4743">
              <w:rPr>
                <w:rFonts w:eastAsia="Calibri" w:cs="Calibri"/>
                <w:color w:val="auto"/>
                <w:sz w:val="20"/>
                <w:szCs w:val="20"/>
                <w:lang w:val="en-US"/>
              </w:rPr>
              <w:t>Director General Health Services</w:t>
            </w:r>
          </w:p>
        </w:tc>
      </w:tr>
      <w:tr w:rsidR="06450652" w14:paraId="518F8E9F" w14:textId="77777777" w:rsidTr="00BB4743">
        <w:trPr>
          <w:cnfStyle w:val="000000100000" w:firstRow="0" w:lastRow="0" w:firstColumn="0" w:lastColumn="0" w:oddVBand="0" w:evenVBand="0" w:oddHBand="1" w:evenHBand="0" w:firstRowFirstColumn="0" w:firstRowLastColumn="0" w:lastRowFirstColumn="0" w:lastRowLastColumn="0"/>
          <w:trHeight w:val="342"/>
        </w:trPr>
        <w:tc>
          <w:tcPr>
            <w:tcW w:w="3220" w:type="dxa"/>
          </w:tcPr>
          <w:p w14:paraId="4420B8FC" w14:textId="343E5EB1" w:rsidR="36592E30" w:rsidRPr="00BB4743" w:rsidRDefault="36592E30" w:rsidP="06450652">
            <w:pPr>
              <w:spacing w:line="259" w:lineRule="auto"/>
              <w:rPr>
                <w:rFonts w:eastAsia="Calibri" w:cs="Calibri"/>
                <w:b/>
                <w:bCs/>
                <w:color w:val="auto"/>
                <w:sz w:val="20"/>
                <w:szCs w:val="20"/>
                <w:lang w:val="en-US"/>
              </w:rPr>
            </w:pPr>
            <w:r w:rsidRPr="00BB4743">
              <w:rPr>
                <w:rFonts w:eastAsia="Calibri" w:cs="Calibri"/>
                <w:b/>
                <w:bCs/>
                <w:color w:val="auto"/>
                <w:sz w:val="20"/>
                <w:szCs w:val="20"/>
                <w:lang w:val="en-US"/>
              </w:rPr>
              <w:t>Ghulam Fatima</w:t>
            </w:r>
          </w:p>
        </w:tc>
        <w:tc>
          <w:tcPr>
            <w:tcW w:w="3217" w:type="dxa"/>
          </w:tcPr>
          <w:p w14:paraId="1DCDC567" w14:textId="11781F76" w:rsidR="06450652" w:rsidRPr="00BB4743" w:rsidRDefault="47D6DDDC" w:rsidP="00041B22">
            <w:pPr>
              <w:spacing w:line="259" w:lineRule="auto"/>
              <w:rPr>
                <w:rFonts w:eastAsia="Calibri" w:cs="Calibri"/>
                <w:color w:val="auto"/>
                <w:sz w:val="20"/>
                <w:szCs w:val="20"/>
                <w:lang w:val="en-US"/>
              </w:rPr>
            </w:pPr>
            <w:r w:rsidRPr="00BB4743">
              <w:rPr>
                <w:rFonts w:eastAsia="Calibri" w:cs="Calibri"/>
                <w:color w:val="auto"/>
                <w:sz w:val="20"/>
                <w:szCs w:val="20"/>
                <w:lang w:val="en-US"/>
              </w:rPr>
              <w:t xml:space="preserve">Dr Ruth </w:t>
            </w:r>
            <w:r w:rsidR="76FBE506" w:rsidRPr="00BB4743">
              <w:rPr>
                <w:rFonts w:eastAsia="Calibri" w:cs="Calibri"/>
                <w:color w:val="auto"/>
                <w:sz w:val="20"/>
                <w:szCs w:val="20"/>
                <w:lang w:val="en-US"/>
              </w:rPr>
              <w:t>K.M.P Civil Hospital</w:t>
            </w:r>
          </w:p>
        </w:tc>
        <w:tc>
          <w:tcPr>
            <w:tcW w:w="3216" w:type="dxa"/>
          </w:tcPr>
          <w:p w14:paraId="786EF8F6" w14:textId="1DE73ACC" w:rsidR="36592E30" w:rsidRPr="00BB4743" w:rsidRDefault="36592E30" w:rsidP="00BB4743">
            <w:pPr>
              <w:rPr>
                <w:color w:val="auto"/>
                <w:sz w:val="20"/>
                <w:szCs w:val="20"/>
              </w:rPr>
            </w:pPr>
            <w:r w:rsidRPr="00BB4743">
              <w:rPr>
                <w:rFonts w:eastAsia="Calibri" w:cs="Calibri"/>
                <w:color w:val="auto"/>
                <w:sz w:val="20"/>
                <w:szCs w:val="20"/>
                <w:lang w:val="en-US"/>
              </w:rPr>
              <w:t>Chief Pathologist</w:t>
            </w:r>
            <w:r w:rsidR="7A635909" w:rsidRPr="00BB4743">
              <w:rPr>
                <w:rFonts w:eastAsia="Calibri" w:cs="Calibri"/>
                <w:color w:val="auto"/>
                <w:sz w:val="20"/>
                <w:szCs w:val="20"/>
                <w:lang w:val="en-US"/>
              </w:rPr>
              <w:t xml:space="preserve"> Central Laboratory</w:t>
            </w:r>
          </w:p>
        </w:tc>
      </w:tr>
      <w:tr w:rsidR="00765DFA" w:rsidRPr="00FC65C1" w14:paraId="190E8F26" w14:textId="77777777" w:rsidTr="00BB4743">
        <w:trPr>
          <w:cnfStyle w:val="000000010000" w:firstRow="0" w:lastRow="0" w:firstColumn="0" w:lastColumn="0" w:oddVBand="0" w:evenVBand="0" w:oddHBand="0" w:evenHBand="1" w:firstRowFirstColumn="0" w:firstRowLastColumn="0" w:lastRowFirstColumn="0" w:lastRowLastColumn="0"/>
          <w:trHeight w:val="342"/>
        </w:trPr>
        <w:tc>
          <w:tcPr>
            <w:tcW w:w="3220" w:type="dxa"/>
          </w:tcPr>
          <w:p w14:paraId="3E085E73" w14:textId="2850E4FF" w:rsidR="756BD76A" w:rsidRPr="00765DFA" w:rsidRDefault="756BD76A" w:rsidP="72985B4B">
            <w:pPr>
              <w:rPr>
                <w:rFonts w:eastAsia="Calibri" w:cs="Calibri"/>
                <w:b/>
                <w:bCs/>
                <w:color w:val="auto"/>
                <w:sz w:val="20"/>
                <w:szCs w:val="20"/>
                <w:lang w:val="en-US"/>
              </w:rPr>
            </w:pPr>
            <w:r w:rsidRPr="00765DFA">
              <w:rPr>
                <w:rFonts w:eastAsia="Calibri" w:cs="Calibri"/>
                <w:b/>
                <w:bCs/>
                <w:sz w:val="20"/>
                <w:szCs w:val="20"/>
                <w:lang w:val="en-US"/>
              </w:rPr>
              <w:t>Dr Quaid Saeed</w:t>
            </w:r>
          </w:p>
        </w:tc>
        <w:tc>
          <w:tcPr>
            <w:tcW w:w="3217" w:type="dxa"/>
          </w:tcPr>
          <w:p w14:paraId="544D54CF" w14:textId="2D53ACE3" w:rsidR="756BD76A" w:rsidRPr="00765DFA" w:rsidRDefault="756BD76A" w:rsidP="00BB4743">
            <w:pPr>
              <w:rPr>
                <w:rFonts w:cstheme="minorBidi"/>
                <w:color w:val="auto"/>
                <w:sz w:val="20"/>
                <w:szCs w:val="20"/>
                <w:lang w:eastAsia="en-GB"/>
              </w:rPr>
            </w:pPr>
            <w:r w:rsidRPr="00765DFA">
              <w:rPr>
                <w:rFonts w:cstheme="minorBidi"/>
                <w:sz w:val="20"/>
                <w:szCs w:val="20"/>
                <w:lang w:eastAsia="en-GB"/>
              </w:rPr>
              <w:t>Islamabad Health Regulatory Authority (IHRA)</w:t>
            </w:r>
          </w:p>
        </w:tc>
        <w:tc>
          <w:tcPr>
            <w:tcW w:w="3216" w:type="dxa"/>
          </w:tcPr>
          <w:p w14:paraId="4F738551" w14:textId="33F37783" w:rsidR="756BD76A" w:rsidRPr="00765DFA" w:rsidRDefault="756BD76A" w:rsidP="00041B22">
            <w:pPr>
              <w:spacing w:line="259" w:lineRule="auto"/>
              <w:rPr>
                <w:rFonts w:eastAsia="Calibri" w:cs="Calibri"/>
                <w:color w:val="auto"/>
                <w:sz w:val="20"/>
                <w:szCs w:val="20"/>
              </w:rPr>
            </w:pPr>
            <w:r w:rsidRPr="00765DFA">
              <w:rPr>
                <w:rFonts w:eastAsia="Calibri" w:cs="Calibri"/>
                <w:color w:val="auto"/>
                <w:sz w:val="20"/>
                <w:szCs w:val="20"/>
              </w:rPr>
              <w:t>CEO</w:t>
            </w:r>
          </w:p>
        </w:tc>
      </w:tr>
      <w:tr w:rsidR="17D077F0" w14:paraId="5D0D74F2" w14:textId="77777777" w:rsidTr="00BB4743">
        <w:trPr>
          <w:cnfStyle w:val="000000100000" w:firstRow="0" w:lastRow="0" w:firstColumn="0" w:lastColumn="0" w:oddVBand="0" w:evenVBand="0" w:oddHBand="1" w:evenHBand="0" w:firstRowFirstColumn="0" w:firstRowLastColumn="0" w:lastRowFirstColumn="0" w:lastRowLastColumn="0"/>
          <w:trHeight w:val="342"/>
        </w:trPr>
        <w:tc>
          <w:tcPr>
            <w:tcW w:w="9654" w:type="dxa"/>
            <w:gridSpan w:val="3"/>
            <w:shd w:val="clear" w:color="auto" w:fill="96C286" w:themeFill="text2" w:themeFillTint="99"/>
          </w:tcPr>
          <w:p w14:paraId="788367ED" w14:textId="273313FF" w:rsidR="17D077F0" w:rsidRDefault="17D077F0" w:rsidP="17D077F0">
            <w:pPr>
              <w:rPr>
                <w:rFonts w:cstheme="minorBidi"/>
                <w:color w:val="FFFFFF" w:themeColor="background1"/>
                <w:sz w:val="20"/>
                <w:szCs w:val="20"/>
              </w:rPr>
            </w:pPr>
            <w:r w:rsidRPr="17D077F0">
              <w:rPr>
                <w:rFonts w:cstheme="minorBidi"/>
                <w:color w:val="FFFFFF" w:themeColor="background1"/>
                <w:sz w:val="20"/>
                <w:szCs w:val="20"/>
              </w:rPr>
              <w:t>AMR Focal Point</w:t>
            </w:r>
          </w:p>
        </w:tc>
      </w:tr>
      <w:tr w:rsidR="17D077F0" w14:paraId="6A881505" w14:textId="77777777" w:rsidTr="00BB4743">
        <w:trPr>
          <w:cnfStyle w:val="000000010000" w:firstRow="0" w:lastRow="0" w:firstColumn="0" w:lastColumn="0" w:oddVBand="0" w:evenVBand="0" w:oddHBand="0" w:evenHBand="1" w:firstRowFirstColumn="0" w:firstRowLastColumn="0" w:lastRowFirstColumn="0" w:lastRowLastColumn="0"/>
          <w:trHeight w:val="342"/>
        </w:trPr>
        <w:tc>
          <w:tcPr>
            <w:tcW w:w="3220" w:type="dxa"/>
          </w:tcPr>
          <w:p w14:paraId="55FACD41" w14:textId="5D229D55" w:rsidR="17D077F0" w:rsidRPr="00BB4743" w:rsidRDefault="054CC310" w:rsidP="17D077F0">
            <w:pPr>
              <w:spacing w:line="259" w:lineRule="auto"/>
              <w:rPr>
                <w:rFonts w:eastAsia="Calibri" w:cs="Calibri"/>
                <w:b/>
                <w:bCs/>
                <w:color w:val="auto"/>
                <w:sz w:val="20"/>
                <w:szCs w:val="20"/>
                <w:lang w:val="en-US"/>
              </w:rPr>
            </w:pPr>
            <w:r w:rsidRPr="00BB4743">
              <w:rPr>
                <w:rFonts w:eastAsia="Calibri" w:cs="Calibri"/>
                <w:b/>
                <w:bCs/>
                <w:color w:val="auto"/>
                <w:sz w:val="20"/>
                <w:szCs w:val="20"/>
                <w:lang w:val="en-US"/>
              </w:rPr>
              <w:t>Dr Naveed Masood Memon</w:t>
            </w:r>
          </w:p>
        </w:tc>
        <w:tc>
          <w:tcPr>
            <w:tcW w:w="3217" w:type="dxa"/>
          </w:tcPr>
          <w:p w14:paraId="76DE73CC" w14:textId="04B292BB" w:rsidR="17D077F0" w:rsidRPr="00BB4743" w:rsidRDefault="054CC310" w:rsidP="007F63EF">
            <w:pPr>
              <w:spacing w:line="259" w:lineRule="auto"/>
              <w:rPr>
                <w:rFonts w:eastAsia="Calibri" w:cs="Calibri"/>
                <w:color w:val="auto"/>
                <w:sz w:val="20"/>
                <w:szCs w:val="20"/>
              </w:rPr>
            </w:pPr>
            <w:r w:rsidRPr="00BB4743">
              <w:rPr>
                <w:rFonts w:eastAsia="Calibri" w:cs="Calibri"/>
                <w:color w:val="auto"/>
                <w:sz w:val="20"/>
                <w:szCs w:val="20"/>
                <w:lang w:val="en-US"/>
              </w:rPr>
              <w:t>Health Department Government of Sindh</w:t>
            </w:r>
          </w:p>
        </w:tc>
        <w:tc>
          <w:tcPr>
            <w:tcW w:w="3216" w:type="dxa"/>
          </w:tcPr>
          <w:p w14:paraId="0802622B" w14:textId="50DE5D76" w:rsidR="17D077F0" w:rsidRPr="00BB4743" w:rsidRDefault="054CC310" w:rsidP="007F63EF">
            <w:pPr>
              <w:rPr>
                <w:color w:val="auto"/>
                <w:sz w:val="20"/>
                <w:szCs w:val="20"/>
              </w:rPr>
            </w:pPr>
            <w:r w:rsidRPr="00BB4743">
              <w:rPr>
                <w:rFonts w:eastAsia="Calibri" w:cs="Calibri"/>
                <w:color w:val="auto"/>
                <w:sz w:val="20"/>
                <w:szCs w:val="20"/>
                <w:lang w:val="en-US"/>
              </w:rPr>
              <w:t>Deputy Director PDSRU</w:t>
            </w:r>
          </w:p>
          <w:p w14:paraId="2D00D035" w14:textId="1698EECC" w:rsidR="17D077F0" w:rsidRPr="00BB4743" w:rsidRDefault="054CC310" w:rsidP="007F63EF">
            <w:pPr>
              <w:rPr>
                <w:rFonts w:eastAsia="Calibri" w:cs="Calibri"/>
                <w:color w:val="auto"/>
                <w:sz w:val="20"/>
                <w:szCs w:val="20"/>
                <w:lang w:val="en-US"/>
              </w:rPr>
            </w:pPr>
            <w:r w:rsidRPr="00BB4743">
              <w:rPr>
                <w:rFonts w:eastAsia="Calibri" w:cs="Calibri"/>
                <w:color w:val="auto"/>
                <w:sz w:val="20"/>
                <w:szCs w:val="20"/>
                <w:lang w:val="en-US"/>
              </w:rPr>
              <w:t>AMR Focal Person for Human Health</w:t>
            </w:r>
          </w:p>
        </w:tc>
      </w:tr>
      <w:tr w:rsidR="17D077F0" w14:paraId="366989A9" w14:textId="77777777" w:rsidTr="00BB4743">
        <w:trPr>
          <w:cnfStyle w:val="000000100000" w:firstRow="0" w:lastRow="0" w:firstColumn="0" w:lastColumn="0" w:oddVBand="0" w:evenVBand="0" w:oddHBand="1" w:evenHBand="0" w:firstRowFirstColumn="0" w:firstRowLastColumn="0" w:lastRowFirstColumn="0" w:lastRowLastColumn="0"/>
          <w:trHeight w:val="342"/>
        </w:trPr>
        <w:tc>
          <w:tcPr>
            <w:tcW w:w="9654" w:type="dxa"/>
            <w:gridSpan w:val="3"/>
            <w:shd w:val="clear" w:color="auto" w:fill="96C286" w:themeFill="text2" w:themeFillTint="99"/>
          </w:tcPr>
          <w:p w14:paraId="60144BE1" w14:textId="36890795" w:rsidR="17D077F0" w:rsidRDefault="17D077F0" w:rsidP="17D077F0">
            <w:pPr>
              <w:spacing w:line="259" w:lineRule="auto"/>
              <w:rPr>
                <w:rFonts w:cstheme="minorBidi"/>
                <w:color w:val="FFFFFF" w:themeColor="background1"/>
                <w:sz w:val="20"/>
                <w:szCs w:val="20"/>
              </w:rPr>
            </w:pPr>
            <w:r w:rsidRPr="17D077F0">
              <w:rPr>
                <w:rFonts w:cstheme="minorBidi"/>
                <w:color w:val="FFFFFF" w:themeColor="background1"/>
                <w:sz w:val="20"/>
                <w:szCs w:val="20"/>
              </w:rPr>
              <w:t>GLASS Focal Point</w:t>
            </w:r>
          </w:p>
        </w:tc>
      </w:tr>
      <w:tr w:rsidR="003A1573" w:rsidRPr="003A1573" w14:paraId="2B824427" w14:textId="77777777" w:rsidTr="00BB4743">
        <w:trPr>
          <w:cnfStyle w:val="000000010000" w:firstRow="0" w:lastRow="0" w:firstColumn="0" w:lastColumn="0" w:oddVBand="0" w:evenVBand="0" w:oddHBand="0" w:evenHBand="1" w:firstRowFirstColumn="0" w:firstRowLastColumn="0" w:lastRowFirstColumn="0" w:lastRowLastColumn="0"/>
          <w:trHeight w:val="342"/>
        </w:trPr>
        <w:tc>
          <w:tcPr>
            <w:tcW w:w="3220" w:type="dxa"/>
          </w:tcPr>
          <w:p w14:paraId="3572F262" w14:textId="766DF704" w:rsidR="17D077F0" w:rsidRPr="003A1573" w:rsidRDefault="698071CD" w:rsidP="00041B22">
            <w:pPr>
              <w:spacing w:line="259" w:lineRule="auto"/>
              <w:rPr>
                <w:b/>
                <w:bCs/>
                <w:color w:val="auto"/>
                <w:sz w:val="20"/>
                <w:szCs w:val="20"/>
              </w:rPr>
            </w:pPr>
            <w:r w:rsidRPr="003A1573">
              <w:rPr>
                <w:rFonts w:eastAsia="Calibri" w:cs="Calibri"/>
                <w:b/>
                <w:bCs/>
                <w:sz w:val="20"/>
                <w:szCs w:val="20"/>
                <w:lang w:val="en-US"/>
              </w:rPr>
              <w:t>Dr Afreenish Hassan</w:t>
            </w:r>
          </w:p>
        </w:tc>
        <w:tc>
          <w:tcPr>
            <w:tcW w:w="3217" w:type="dxa"/>
          </w:tcPr>
          <w:p w14:paraId="7133D6F2" w14:textId="40BB5D25" w:rsidR="17D077F0" w:rsidRPr="003A1573" w:rsidRDefault="2CD39DA0" w:rsidP="00BB4743">
            <w:pPr>
              <w:spacing w:line="259" w:lineRule="auto"/>
              <w:rPr>
                <w:rFonts w:eastAsia="Calibri" w:cs="Calibri"/>
                <w:color w:val="auto"/>
                <w:sz w:val="20"/>
                <w:szCs w:val="20"/>
              </w:rPr>
            </w:pPr>
            <w:r w:rsidRPr="003A1573">
              <w:rPr>
                <w:rFonts w:eastAsia="Calibri" w:cs="Calibri"/>
                <w:color w:val="auto"/>
                <w:sz w:val="20"/>
                <w:szCs w:val="20"/>
              </w:rPr>
              <w:t>NIH</w:t>
            </w:r>
          </w:p>
        </w:tc>
        <w:tc>
          <w:tcPr>
            <w:tcW w:w="3216" w:type="dxa"/>
          </w:tcPr>
          <w:p w14:paraId="4AF00F31" w14:textId="5142D25C" w:rsidR="17D077F0" w:rsidRPr="003A1573" w:rsidRDefault="698071CD" w:rsidP="00BB4743">
            <w:pPr>
              <w:spacing w:line="259" w:lineRule="auto"/>
              <w:rPr>
                <w:rFonts w:eastAsia="Calibri" w:cs="Calibri"/>
                <w:color w:val="auto"/>
                <w:sz w:val="20"/>
                <w:szCs w:val="20"/>
              </w:rPr>
            </w:pPr>
            <w:r w:rsidRPr="003A1573">
              <w:rPr>
                <w:rFonts w:eastAsia="Calibri" w:cs="Calibri"/>
                <w:color w:val="auto"/>
                <w:sz w:val="20"/>
                <w:szCs w:val="20"/>
              </w:rPr>
              <w:t>GLASS Focal Point</w:t>
            </w:r>
          </w:p>
        </w:tc>
      </w:tr>
      <w:tr w:rsidR="17D077F0" w14:paraId="05837BA3" w14:textId="77777777" w:rsidTr="00BB4743">
        <w:trPr>
          <w:cnfStyle w:val="000000100000" w:firstRow="0" w:lastRow="0" w:firstColumn="0" w:lastColumn="0" w:oddVBand="0" w:evenVBand="0" w:oddHBand="1" w:evenHBand="0" w:firstRowFirstColumn="0" w:firstRowLastColumn="0" w:lastRowFirstColumn="0" w:lastRowLastColumn="0"/>
          <w:trHeight w:val="342"/>
        </w:trPr>
        <w:tc>
          <w:tcPr>
            <w:tcW w:w="9654" w:type="dxa"/>
            <w:gridSpan w:val="3"/>
            <w:shd w:val="clear" w:color="auto" w:fill="96C286" w:themeFill="text2" w:themeFillTint="99"/>
          </w:tcPr>
          <w:p w14:paraId="5C04D83C" w14:textId="77777777" w:rsidR="17D077F0" w:rsidRDefault="17D077F0" w:rsidP="17D077F0">
            <w:pPr>
              <w:rPr>
                <w:rFonts w:cstheme="minorBidi"/>
                <w:color w:val="FFFFFF" w:themeColor="background1"/>
                <w:sz w:val="20"/>
                <w:szCs w:val="20"/>
              </w:rPr>
            </w:pPr>
            <w:r w:rsidRPr="17D077F0">
              <w:rPr>
                <w:rFonts w:cstheme="minorBidi"/>
                <w:color w:val="FFFFFF" w:themeColor="background1"/>
                <w:sz w:val="20"/>
                <w:szCs w:val="20"/>
              </w:rPr>
              <w:t>Development Partners/ Academia</w:t>
            </w:r>
          </w:p>
        </w:tc>
      </w:tr>
      <w:tr w:rsidR="003A1573" w:rsidRPr="003A1573" w14:paraId="04E28747" w14:textId="77777777" w:rsidTr="00BB4743">
        <w:trPr>
          <w:cnfStyle w:val="000000010000" w:firstRow="0" w:lastRow="0" w:firstColumn="0" w:lastColumn="0" w:oddVBand="0" w:evenVBand="0" w:oddHBand="0" w:evenHBand="1" w:firstRowFirstColumn="0" w:firstRowLastColumn="0" w:lastRowFirstColumn="0" w:lastRowLastColumn="0"/>
          <w:trHeight w:val="342"/>
        </w:trPr>
        <w:tc>
          <w:tcPr>
            <w:tcW w:w="3220" w:type="dxa"/>
          </w:tcPr>
          <w:p w14:paraId="40559950" w14:textId="26801CAF" w:rsidR="17D077F0" w:rsidRPr="003A1573" w:rsidRDefault="1FCB81D0" w:rsidP="00041B22">
            <w:pPr>
              <w:rPr>
                <w:b/>
                <w:bCs/>
                <w:color w:val="auto"/>
                <w:sz w:val="20"/>
                <w:szCs w:val="20"/>
              </w:rPr>
            </w:pPr>
            <w:r w:rsidRPr="003A1573">
              <w:rPr>
                <w:rFonts w:eastAsia="Calibri" w:cs="Calibri"/>
                <w:b/>
                <w:bCs/>
                <w:sz w:val="20"/>
                <w:szCs w:val="20"/>
                <w:lang w:val="en-US"/>
              </w:rPr>
              <w:t>Dr Saeed Ahmed</w:t>
            </w:r>
          </w:p>
        </w:tc>
        <w:tc>
          <w:tcPr>
            <w:tcW w:w="3217" w:type="dxa"/>
          </w:tcPr>
          <w:p w14:paraId="19D3C4A7" w14:textId="04554964" w:rsidR="17D077F0" w:rsidRPr="003A1573" w:rsidRDefault="1FCB81D0" w:rsidP="00BB4743">
            <w:pPr>
              <w:rPr>
                <w:rFonts w:cstheme="minorBidi"/>
                <w:color w:val="auto"/>
                <w:sz w:val="20"/>
                <w:szCs w:val="20"/>
                <w:lang w:eastAsia="en-GB"/>
              </w:rPr>
            </w:pPr>
            <w:r w:rsidRPr="003A1573">
              <w:rPr>
                <w:rFonts w:cstheme="minorBidi"/>
                <w:sz w:val="20"/>
                <w:szCs w:val="20"/>
                <w:lang w:eastAsia="en-GB"/>
              </w:rPr>
              <w:t>CDC</w:t>
            </w:r>
          </w:p>
        </w:tc>
        <w:tc>
          <w:tcPr>
            <w:tcW w:w="3216" w:type="dxa"/>
          </w:tcPr>
          <w:p w14:paraId="448A836D" w14:textId="673B520F" w:rsidR="17D077F0" w:rsidRPr="003A1573" w:rsidRDefault="287F4FC2" w:rsidP="00041B22">
            <w:pPr>
              <w:spacing w:line="259" w:lineRule="auto"/>
              <w:rPr>
                <w:rFonts w:eastAsia="Calibri" w:cs="Calibri"/>
                <w:color w:val="auto"/>
                <w:sz w:val="20"/>
                <w:szCs w:val="20"/>
              </w:rPr>
            </w:pPr>
            <w:r w:rsidRPr="003A1573">
              <w:rPr>
                <w:rFonts w:eastAsia="Calibri" w:cs="Calibri"/>
                <w:color w:val="auto"/>
                <w:sz w:val="20"/>
                <w:szCs w:val="20"/>
              </w:rPr>
              <w:t>Consultant</w:t>
            </w:r>
          </w:p>
        </w:tc>
      </w:tr>
      <w:tr w:rsidR="003A1573" w:rsidRPr="003A1573" w14:paraId="2DFB12B5" w14:textId="77777777" w:rsidTr="00BB4743">
        <w:trPr>
          <w:cnfStyle w:val="000000100000" w:firstRow="0" w:lastRow="0" w:firstColumn="0" w:lastColumn="0" w:oddVBand="0" w:evenVBand="0" w:oddHBand="1" w:evenHBand="0" w:firstRowFirstColumn="0" w:firstRowLastColumn="0" w:lastRowFirstColumn="0" w:lastRowLastColumn="0"/>
          <w:trHeight w:val="342"/>
        </w:trPr>
        <w:tc>
          <w:tcPr>
            <w:tcW w:w="3220" w:type="dxa"/>
          </w:tcPr>
          <w:p w14:paraId="53971F99" w14:textId="12E3C4C7" w:rsidR="0BE403EE" w:rsidRPr="003A1573" w:rsidRDefault="0BE403EE" w:rsidP="00041B22">
            <w:pPr>
              <w:rPr>
                <w:rFonts w:eastAsia="Calibri" w:cs="Calibri"/>
                <w:b/>
                <w:bCs/>
                <w:color w:val="auto"/>
                <w:sz w:val="20"/>
                <w:szCs w:val="20"/>
                <w:lang w:val="en-US"/>
              </w:rPr>
            </w:pPr>
            <w:r w:rsidRPr="003A1573">
              <w:rPr>
                <w:rFonts w:eastAsia="Calibri" w:cs="Calibri"/>
                <w:b/>
                <w:bCs/>
                <w:sz w:val="20"/>
                <w:szCs w:val="20"/>
                <w:lang w:val="en-US"/>
              </w:rPr>
              <w:t>Suban Qadir</w:t>
            </w:r>
          </w:p>
        </w:tc>
        <w:tc>
          <w:tcPr>
            <w:tcW w:w="3217" w:type="dxa"/>
          </w:tcPr>
          <w:p w14:paraId="1A4368CD" w14:textId="01003B7C" w:rsidR="0BE403EE" w:rsidRPr="003A1573" w:rsidRDefault="0BE403EE" w:rsidP="00BB4743">
            <w:pPr>
              <w:rPr>
                <w:rFonts w:cstheme="minorBidi"/>
                <w:color w:val="auto"/>
                <w:sz w:val="20"/>
                <w:szCs w:val="20"/>
                <w:lang w:eastAsia="en-GB"/>
              </w:rPr>
            </w:pPr>
            <w:r w:rsidRPr="003A1573">
              <w:rPr>
                <w:rFonts w:cstheme="minorBidi"/>
                <w:sz w:val="20"/>
                <w:szCs w:val="20"/>
                <w:lang w:eastAsia="en-GB"/>
              </w:rPr>
              <w:t>CDC</w:t>
            </w:r>
          </w:p>
        </w:tc>
        <w:tc>
          <w:tcPr>
            <w:tcW w:w="3216" w:type="dxa"/>
          </w:tcPr>
          <w:p w14:paraId="60177CB0" w14:textId="269E842F" w:rsidR="06450652" w:rsidRPr="003A1573" w:rsidRDefault="1AAFC52D" w:rsidP="00041B22">
            <w:pPr>
              <w:spacing w:line="259" w:lineRule="auto"/>
              <w:rPr>
                <w:rFonts w:eastAsia="Calibri" w:cs="Calibri"/>
                <w:color w:val="auto"/>
                <w:sz w:val="20"/>
                <w:szCs w:val="20"/>
              </w:rPr>
            </w:pPr>
            <w:r w:rsidRPr="003A1573">
              <w:rPr>
                <w:rFonts w:eastAsia="Calibri" w:cs="Calibri"/>
                <w:color w:val="auto"/>
                <w:sz w:val="20"/>
                <w:szCs w:val="20"/>
              </w:rPr>
              <w:t>Consultant</w:t>
            </w:r>
          </w:p>
        </w:tc>
      </w:tr>
      <w:tr w:rsidR="003A1573" w:rsidRPr="003A1573" w14:paraId="572ED884" w14:textId="77777777" w:rsidTr="00BB4743">
        <w:trPr>
          <w:cnfStyle w:val="000000010000" w:firstRow="0" w:lastRow="0" w:firstColumn="0" w:lastColumn="0" w:oddVBand="0" w:evenVBand="0" w:oddHBand="0" w:evenHBand="1" w:firstRowFirstColumn="0" w:firstRowLastColumn="0" w:lastRowFirstColumn="0" w:lastRowLastColumn="0"/>
          <w:trHeight w:val="342"/>
        </w:trPr>
        <w:tc>
          <w:tcPr>
            <w:tcW w:w="3220" w:type="dxa"/>
          </w:tcPr>
          <w:p w14:paraId="32E025E5" w14:textId="4F3D1F71" w:rsidR="0BE403EE" w:rsidRPr="003A1573" w:rsidRDefault="0BE403EE" w:rsidP="00041B22">
            <w:pPr>
              <w:rPr>
                <w:rFonts w:eastAsia="Calibri" w:cs="Calibri"/>
                <w:b/>
                <w:bCs/>
                <w:color w:val="auto"/>
                <w:sz w:val="20"/>
                <w:szCs w:val="20"/>
                <w:lang w:val="en-US"/>
              </w:rPr>
            </w:pPr>
            <w:r w:rsidRPr="003A1573">
              <w:rPr>
                <w:rFonts w:eastAsia="Calibri" w:cs="Calibri"/>
                <w:b/>
                <w:bCs/>
                <w:sz w:val="20"/>
                <w:szCs w:val="20"/>
                <w:lang w:val="en-US"/>
              </w:rPr>
              <w:t xml:space="preserve">Dr </w:t>
            </w:r>
            <w:r w:rsidR="11ACCC85" w:rsidRPr="003A1573">
              <w:rPr>
                <w:rFonts w:eastAsia="Calibri" w:cs="Calibri"/>
                <w:b/>
                <w:bCs/>
                <w:sz w:val="20"/>
                <w:szCs w:val="20"/>
                <w:lang w:val="en-US"/>
              </w:rPr>
              <w:t xml:space="preserve">Muhammad </w:t>
            </w:r>
            <w:r w:rsidRPr="003A1573">
              <w:rPr>
                <w:rFonts w:eastAsia="Calibri" w:cs="Calibri"/>
                <w:b/>
                <w:bCs/>
                <w:sz w:val="20"/>
                <w:szCs w:val="20"/>
                <w:lang w:val="en-US"/>
              </w:rPr>
              <w:t>Sirtai</w:t>
            </w:r>
          </w:p>
        </w:tc>
        <w:tc>
          <w:tcPr>
            <w:tcW w:w="3217" w:type="dxa"/>
          </w:tcPr>
          <w:p w14:paraId="4A4DD085" w14:textId="40281C6C" w:rsidR="0BE403EE" w:rsidRPr="003A1573" w:rsidRDefault="0BE403EE" w:rsidP="00BB4743">
            <w:pPr>
              <w:rPr>
                <w:rFonts w:cstheme="minorBidi"/>
                <w:color w:val="auto"/>
                <w:sz w:val="20"/>
                <w:szCs w:val="20"/>
                <w:lang w:eastAsia="en-GB"/>
              </w:rPr>
            </w:pPr>
            <w:r w:rsidRPr="003A1573">
              <w:rPr>
                <w:rFonts w:cstheme="minorBidi"/>
                <w:sz w:val="20"/>
                <w:szCs w:val="20"/>
                <w:lang w:eastAsia="en-GB"/>
              </w:rPr>
              <w:t>Public Health England</w:t>
            </w:r>
          </w:p>
        </w:tc>
        <w:tc>
          <w:tcPr>
            <w:tcW w:w="3216" w:type="dxa"/>
          </w:tcPr>
          <w:p w14:paraId="7CD76F4D" w14:textId="58976723" w:rsidR="06450652" w:rsidRPr="003A1573" w:rsidRDefault="68E7348D" w:rsidP="00041B22">
            <w:pPr>
              <w:spacing w:line="259" w:lineRule="auto"/>
              <w:rPr>
                <w:rFonts w:eastAsia="Calibri" w:cs="Calibri"/>
                <w:color w:val="auto"/>
                <w:sz w:val="20"/>
                <w:szCs w:val="20"/>
              </w:rPr>
            </w:pPr>
            <w:r w:rsidRPr="003A1573">
              <w:rPr>
                <w:rFonts w:eastAsia="Calibri" w:cs="Calibri"/>
                <w:color w:val="auto"/>
                <w:sz w:val="20"/>
                <w:szCs w:val="20"/>
              </w:rPr>
              <w:t>Lead</w:t>
            </w:r>
          </w:p>
        </w:tc>
      </w:tr>
      <w:tr w:rsidR="003A1573" w:rsidRPr="003A1573" w14:paraId="41A71873" w14:textId="77777777" w:rsidTr="00BB4743">
        <w:trPr>
          <w:cnfStyle w:val="000000100000" w:firstRow="0" w:lastRow="0" w:firstColumn="0" w:lastColumn="0" w:oddVBand="0" w:evenVBand="0" w:oddHBand="1" w:evenHBand="0" w:firstRowFirstColumn="0" w:firstRowLastColumn="0" w:lastRowFirstColumn="0" w:lastRowLastColumn="0"/>
          <w:trHeight w:val="342"/>
        </w:trPr>
        <w:tc>
          <w:tcPr>
            <w:tcW w:w="3220" w:type="dxa"/>
          </w:tcPr>
          <w:p w14:paraId="32735080" w14:textId="2458B9AD" w:rsidR="7C0C8EE9" w:rsidRPr="003A1573" w:rsidRDefault="7C0C8EE9" w:rsidP="00041B22">
            <w:pPr>
              <w:rPr>
                <w:rFonts w:eastAsia="Calibri" w:cs="Calibri"/>
                <w:b/>
                <w:bCs/>
                <w:color w:val="auto"/>
                <w:sz w:val="20"/>
                <w:szCs w:val="20"/>
                <w:lang w:val="en-US"/>
              </w:rPr>
            </w:pPr>
            <w:r w:rsidRPr="003A1573">
              <w:rPr>
                <w:rFonts w:eastAsia="Calibri" w:cs="Calibri"/>
                <w:b/>
                <w:bCs/>
                <w:color w:val="auto"/>
                <w:sz w:val="20"/>
                <w:szCs w:val="20"/>
                <w:lang w:val="en-US"/>
              </w:rPr>
              <w:t>Dr Yusra Shafqat</w:t>
            </w:r>
          </w:p>
        </w:tc>
        <w:tc>
          <w:tcPr>
            <w:tcW w:w="3217" w:type="dxa"/>
          </w:tcPr>
          <w:p w14:paraId="4702DE17" w14:textId="4B53F729" w:rsidR="7C0C8EE9" w:rsidRPr="003A1573" w:rsidRDefault="7C0C8EE9" w:rsidP="00BB4743">
            <w:pPr>
              <w:rPr>
                <w:rFonts w:cstheme="minorBidi"/>
                <w:color w:val="auto"/>
                <w:sz w:val="20"/>
                <w:szCs w:val="20"/>
                <w:lang w:eastAsia="en-GB"/>
              </w:rPr>
            </w:pPr>
            <w:r w:rsidRPr="003A1573">
              <w:rPr>
                <w:rFonts w:cstheme="minorBidi"/>
                <w:sz w:val="20"/>
                <w:szCs w:val="20"/>
                <w:lang w:eastAsia="en-GB"/>
              </w:rPr>
              <w:t>Diagnostic and Research Laboratory, Liaquat University of Medical and Health Sciences (LUMHS) Jamshoro/Hyderabad</w:t>
            </w:r>
          </w:p>
          <w:p w14:paraId="1605274B" w14:textId="500BD208" w:rsidR="06450652" w:rsidRPr="003A1573" w:rsidRDefault="06450652" w:rsidP="00BB4743">
            <w:pPr>
              <w:rPr>
                <w:rFonts w:cstheme="minorBidi"/>
                <w:color w:val="auto"/>
                <w:sz w:val="20"/>
                <w:szCs w:val="20"/>
                <w:lang w:eastAsia="en-GB"/>
              </w:rPr>
            </w:pPr>
          </w:p>
        </w:tc>
        <w:tc>
          <w:tcPr>
            <w:tcW w:w="3216" w:type="dxa"/>
          </w:tcPr>
          <w:p w14:paraId="39E60E94" w14:textId="67CA2C23" w:rsidR="7C0C8EE9" w:rsidRPr="003A1573" w:rsidRDefault="7C0C8EE9" w:rsidP="00041B22">
            <w:pPr>
              <w:spacing w:line="259" w:lineRule="auto"/>
              <w:rPr>
                <w:rFonts w:eastAsia="Calibri" w:cs="Calibri"/>
                <w:color w:val="auto"/>
                <w:sz w:val="20"/>
                <w:szCs w:val="20"/>
              </w:rPr>
            </w:pPr>
            <w:r w:rsidRPr="003A1573">
              <w:rPr>
                <w:rFonts w:eastAsia="Calibri" w:cs="Calibri"/>
                <w:color w:val="auto"/>
                <w:sz w:val="20"/>
                <w:szCs w:val="20"/>
                <w:lang w:val="en-US"/>
              </w:rPr>
              <w:t>Assistant Professor</w:t>
            </w:r>
          </w:p>
        </w:tc>
      </w:tr>
      <w:tr w:rsidR="72985B4B" w14:paraId="7BC86B49" w14:textId="77777777" w:rsidTr="00BB4743">
        <w:trPr>
          <w:cnfStyle w:val="000000010000" w:firstRow="0" w:lastRow="0" w:firstColumn="0" w:lastColumn="0" w:oddVBand="0" w:evenVBand="0" w:oddHBand="0" w:evenHBand="1" w:firstRowFirstColumn="0" w:firstRowLastColumn="0" w:lastRowFirstColumn="0" w:lastRowLastColumn="0"/>
          <w:trHeight w:val="342"/>
        </w:trPr>
        <w:tc>
          <w:tcPr>
            <w:tcW w:w="3220" w:type="dxa"/>
          </w:tcPr>
          <w:p w14:paraId="0E1920B0" w14:textId="7C6BEF7D" w:rsidR="204671A3" w:rsidRPr="00FC65C1" w:rsidRDefault="204671A3" w:rsidP="00041B22">
            <w:pPr>
              <w:spacing w:line="259" w:lineRule="auto"/>
              <w:rPr>
                <w:b/>
                <w:bCs/>
                <w:color w:val="auto"/>
                <w:sz w:val="20"/>
                <w:szCs w:val="20"/>
              </w:rPr>
            </w:pPr>
            <w:r w:rsidRPr="00FC65C1">
              <w:rPr>
                <w:rFonts w:eastAsia="Calibri" w:cs="Calibri"/>
                <w:b/>
                <w:bCs/>
                <w:color w:val="auto"/>
                <w:sz w:val="20"/>
                <w:szCs w:val="20"/>
                <w:lang w:val="en-US"/>
              </w:rPr>
              <w:t>Dr Amtul Qadus</w:t>
            </w:r>
            <w:r w:rsidR="00D770D4" w:rsidRPr="00FC65C1">
              <w:rPr>
                <w:rFonts w:eastAsia="Calibri" w:cs="Calibri"/>
                <w:b/>
                <w:bCs/>
                <w:color w:val="auto"/>
                <w:sz w:val="20"/>
                <w:szCs w:val="20"/>
                <w:lang w:val="en-US"/>
              </w:rPr>
              <w:t>*</w:t>
            </w:r>
          </w:p>
        </w:tc>
        <w:tc>
          <w:tcPr>
            <w:tcW w:w="3217" w:type="dxa"/>
          </w:tcPr>
          <w:p w14:paraId="1E94D8EB" w14:textId="57644B29" w:rsidR="204671A3" w:rsidRPr="00FC65C1" w:rsidRDefault="204671A3" w:rsidP="00BB4743">
            <w:pPr>
              <w:spacing w:line="259" w:lineRule="auto"/>
              <w:rPr>
                <w:color w:val="auto"/>
                <w:sz w:val="20"/>
                <w:szCs w:val="20"/>
              </w:rPr>
            </w:pPr>
            <w:r w:rsidRPr="00FC65C1">
              <w:rPr>
                <w:rFonts w:eastAsia="Calibri" w:cs="Calibri"/>
                <w:sz w:val="20"/>
                <w:szCs w:val="20"/>
                <w:lang w:val="en-US"/>
              </w:rPr>
              <w:t>Jinnah Postgraduate Medical College (JPMC)</w:t>
            </w:r>
          </w:p>
        </w:tc>
        <w:tc>
          <w:tcPr>
            <w:tcW w:w="3216" w:type="dxa"/>
          </w:tcPr>
          <w:p w14:paraId="51B355B7" w14:textId="59881FA5" w:rsidR="204671A3" w:rsidRPr="00FC65C1" w:rsidRDefault="204671A3" w:rsidP="00BB4743">
            <w:pPr>
              <w:rPr>
                <w:rFonts w:eastAsia="Calibri" w:cs="Calibri"/>
                <w:color w:val="auto"/>
                <w:sz w:val="20"/>
                <w:szCs w:val="20"/>
                <w:lang w:val="en-US"/>
              </w:rPr>
            </w:pPr>
            <w:r w:rsidRPr="00FC65C1">
              <w:rPr>
                <w:rFonts w:eastAsia="Calibri" w:cs="Calibri"/>
                <w:color w:val="auto"/>
                <w:sz w:val="20"/>
                <w:szCs w:val="20"/>
                <w:lang w:val="en-US"/>
              </w:rPr>
              <w:t>Head of Microbiology</w:t>
            </w:r>
          </w:p>
        </w:tc>
      </w:tr>
      <w:tr w:rsidR="72985B4B" w14:paraId="72573850" w14:textId="77777777" w:rsidTr="00BB4743">
        <w:trPr>
          <w:cnfStyle w:val="000000100000" w:firstRow="0" w:lastRow="0" w:firstColumn="0" w:lastColumn="0" w:oddVBand="0" w:evenVBand="0" w:oddHBand="1" w:evenHBand="0" w:firstRowFirstColumn="0" w:firstRowLastColumn="0" w:lastRowFirstColumn="0" w:lastRowLastColumn="0"/>
          <w:trHeight w:val="342"/>
        </w:trPr>
        <w:tc>
          <w:tcPr>
            <w:tcW w:w="3220" w:type="dxa"/>
          </w:tcPr>
          <w:p w14:paraId="38B19B75" w14:textId="17F153EA" w:rsidR="204671A3" w:rsidRPr="00FC65C1" w:rsidRDefault="204671A3" w:rsidP="00041B22">
            <w:pPr>
              <w:spacing w:line="259" w:lineRule="auto"/>
              <w:rPr>
                <w:rFonts w:eastAsia="Calibri" w:cs="Calibri"/>
                <w:b/>
                <w:bCs/>
                <w:color w:val="auto"/>
                <w:sz w:val="20"/>
                <w:szCs w:val="20"/>
                <w:lang w:val="en-US"/>
              </w:rPr>
            </w:pPr>
            <w:r w:rsidRPr="00FC65C1">
              <w:rPr>
                <w:rFonts w:eastAsia="Calibri" w:cs="Calibri"/>
                <w:b/>
                <w:bCs/>
                <w:color w:val="auto"/>
                <w:sz w:val="20"/>
                <w:szCs w:val="20"/>
                <w:lang w:val="en-US"/>
              </w:rPr>
              <w:t>Pr Dr Azghar Amin</w:t>
            </w:r>
          </w:p>
        </w:tc>
        <w:tc>
          <w:tcPr>
            <w:tcW w:w="3217" w:type="dxa"/>
          </w:tcPr>
          <w:p w14:paraId="05819906" w14:textId="10982DB2" w:rsidR="204671A3" w:rsidRPr="00FC65C1" w:rsidRDefault="204671A3" w:rsidP="00D03BF9">
            <w:pPr>
              <w:spacing w:line="259" w:lineRule="auto"/>
              <w:rPr>
                <w:rFonts w:eastAsia="Calibri" w:cs="Calibri"/>
                <w:color w:val="auto"/>
                <w:sz w:val="20"/>
                <w:szCs w:val="20"/>
                <w:lang w:val="en-US"/>
              </w:rPr>
            </w:pPr>
            <w:r w:rsidRPr="00FC65C1">
              <w:rPr>
                <w:rFonts w:eastAsia="Calibri" w:cs="Calibri"/>
                <w:color w:val="auto"/>
                <w:sz w:val="20"/>
                <w:szCs w:val="20"/>
                <w:lang w:val="en-US"/>
              </w:rPr>
              <w:t>Pathology Department- Khyber Teaching Hospital</w:t>
            </w:r>
            <w:r w:rsidR="007458AC" w:rsidRPr="00FC65C1">
              <w:rPr>
                <w:rFonts w:eastAsia="Calibri" w:cs="Calibri"/>
                <w:color w:val="auto"/>
                <w:sz w:val="20"/>
                <w:szCs w:val="20"/>
                <w:lang w:val="en-US"/>
              </w:rPr>
              <w:t xml:space="preserve"> </w:t>
            </w:r>
            <w:r w:rsidRPr="00FC65C1">
              <w:rPr>
                <w:rFonts w:eastAsia="Calibri" w:cs="Calibri"/>
                <w:color w:val="auto"/>
                <w:sz w:val="20"/>
                <w:szCs w:val="20"/>
                <w:lang w:val="en-US"/>
              </w:rPr>
              <w:t>MTI Peshawar</w:t>
            </w:r>
          </w:p>
        </w:tc>
        <w:tc>
          <w:tcPr>
            <w:tcW w:w="3216" w:type="dxa"/>
          </w:tcPr>
          <w:p w14:paraId="0CF2CC50" w14:textId="40C70731" w:rsidR="204671A3" w:rsidRPr="00FC65C1" w:rsidRDefault="204671A3" w:rsidP="00BB4743">
            <w:pPr>
              <w:rPr>
                <w:rFonts w:eastAsia="Calibri" w:cs="Calibri"/>
                <w:color w:val="auto"/>
                <w:sz w:val="20"/>
                <w:szCs w:val="20"/>
                <w:lang w:val="en-US"/>
              </w:rPr>
            </w:pPr>
            <w:r w:rsidRPr="00FC65C1">
              <w:rPr>
                <w:rFonts w:eastAsia="Calibri" w:cs="Calibri"/>
                <w:color w:val="auto"/>
                <w:sz w:val="20"/>
                <w:szCs w:val="20"/>
                <w:lang w:val="en-US"/>
              </w:rPr>
              <w:t>Professor</w:t>
            </w:r>
          </w:p>
        </w:tc>
      </w:tr>
      <w:tr w:rsidR="17D077F0" w14:paraId="5BC02EE9" w14:textId="77777777" w:rsidTr="00BB4743">
        <w:trPr>
          <w:cnfStyle w:val="000000010000" w:firstRow="0" w:lastRow="0" w:firstColumn="0" w:lastColumn="0" w:oddVBand="0" w:evenVBand="0" w:oddHBand="0" w:evenHBand="1" w:firstRowFirstColumn="0" w:firstRowLastColumn="0" w:lastRowFirstColumn="0" w:lastRowLastColumn="0"/>
          <w:trHeight w:val="342"/>
        </w:trPr>
        <w:tc>
          <w:tcPr>
            <w:tcW w:w="9654" w:type="dxa"/>
            <w:gridSpan w:val="3"/>
            <w:shd w:val="clear" w:color="auto" w:fill="96C286" w:themeFill="text2" w:themeFillTint="99"/>
          </w:tcPr>
          <w:p w14:paraId="4929E16E" w14:textId="77777777" w:rsidR="17D077F0" w:rsidRDefault="17D077F0" w:rsidP="17D077F0">
            <w:pPr>
              <w:rPr>
                <w:rFonts w:cstheme="minorBidi"/>
                <w:color w:val="FFFFFF" w:themeColor="background1"/>
                <w:sz w:val="20"/>
                <w:szCs w:val="20"/>
              </w:rPr>
            </w:pPr>
            <w:r w:rsidRPr="17D077F0">
              <w:rPr>
                <w:rFonts w:cstheme="minorBidi"/>
                <w:color w:val="FFFFFF" w:themeColor="background1"/>
                <w:sz w:val="20"/>
                <w:szCs w:val="20"/>
              </w:rPr>
              <w:t>NRL &amp; Site Visit</w:t>
            </w:r>
          </w:p>
        </w:tc>
      </w:tr>
      <w:tr w:rsidR="00041B22" w:rsidRPr="000B3487" w14:paraId="4B217EC3" w14:textId="77777777" w:rsidTr="00BB4743">
        <w:trPr>
          <w:cnfStyle w:val="000000100000" w:firstRow="0" w:lastRow="0" w:firstColumn="0" w:lastColumn="0" w:oddVBand="0" w:evenVBand="0" w:oddHBand="1" w:evenHBand="0" w:firstRowFirstColumn="0" w:firstRowLastColumn="0" w:lastRowFirstColumn="0" w:lastRowLastColumn="0"/>
          <w:trHeight w:val="342"/>
        </w:trPr>
        <w:tc>
          <w:tcPr>
            <w:tcW w:w="3220" w:type="dxa"/>
          </w:tcPr>
          <w:p w14:paraId="37089471" w14:textId="53CF9B80" w:rsidR="17D077F0" w:rsidRPr="00BB4743" w:rsidRDefault="06EA8BB8" w:rsidP="00041B22">
            <w:pPr>
              <w:spacing w:line="259" w:lineRule="auto"/>
              <w:rPr>
                <w:b/>
                <w:bCs/>
                <w:color w:val="auto"/>
                <w:sz w:val="20"/>
                <w:szCs w:val="20"/>
              </w:rPr>
            </w:pPr>
            <w:r w:rsidRPr="00BB4743">
              <w:rPr>
                <w:rFonts w:eastAsia="Calibri" w:cs="Calibri"/>
                <w:b/>
                <w:bCs/>
                <w:color w:val="auto"/>
                <w:sz w:val="20"/>
                <w:szCs w:val="20"/>
                <w:lang w:val="en-US"/>
              </w:rPr>
              <w:t>Dr Amtul Qadus*</w:t>
            </w:r>
            <w:r w:rsidR="00D770D4" w:rsidRPr="00041B22">
              <w:rPr>
                <w:rFonts w:eastAsia="Calibri" w:cs="Calibri"/>
                <w:b/>
                <w:bCs/>
                <w:color w:val="auto"/>
                <w:sz w:val="20"/>
                <w:szCs w:val="20"/>
                <w:lang w:val="en-US"/>
              </w:rPr>
              <w:t>*</w:t>
            </w:r>
          </w:p>
        </w:tc>
        <w:tc>
          <w:tcPr>
            <w:tcW w:w="3217" w:type="dxa"/>
          </w:tcPr>
          <w:p w14:paraId="76447BAD" w14:textId="06E7CFCA" w:rsidR="17D077F0" w:rsidRPr="00FC65C1" w:rsidRDefault="27DD1696" w:rsidP="00BB4743">
            <w:pPr>
              <w:spacing w:line="259" w:lineRule="auto"/>
              <w:rPr>
                <w:color w:val="auto"/>
                <w:sz w:val="20"/>
                <w:szCs w:val="20"/>
              </w:rPr>
            </w:pPr>
            <w:r w:rsidRPr="00FC65C1">
              <w:rPr>
                <w:rFonts w:eastAsia="Calibri" w:cs="Calibri"/>
                <w:sz w:val="20"/>
                <w:szCs w:val="20"/>
                <w:lang w:val="en-US"/>
              </w:rPr>
              <w:t>Jinnah Postgraduate Medical College (JPMC)</w:t>
            </w:r>
          </w:p>
        </w:tc>
        <w:tc>
          <w:tcPr>
            <w:tcW w:w="3216" w:type="dxa"/>
          </w:tcPr>
          <w:p w14:paraId="71BEF76A" w14:textId="09D4BD6D" w:rsidR="17D077F0" w:rsidRPr="00FC65C1" w:rsidRDefault="652D83C2" w:rsidP="00BB4743">
            <w:pPr>
              <w:rPr>
                <w:rFonts w:eastAsia="Calibri" w:cs="Calibri"/>
                <w:color w:val="auto"/>
                <w:sz w:val="20"/>
                <w:szCs w:val="20"/>
                <w:lang w:val="en-US"/>
              </w:rPr>
            </w:pPr>
            <w:r w:rsidRPr="00FC65C1">
              <w:rPr>
                <w:rFonts w:eastAsia="Calibri" w:cs="Calibri"/>
                <w:color w:val="auto"/>
                <w:sz w:val="20"/>
                <w:szCs w:val="20"/>
                <w:lang w:val="en-US"/>
              </w:rPr>
              <w:t>Head of Microbiology</w:t>
            </w:r>
          </w:p>
        </w:tc>
      </w:tr>
    </w:tbl>
    <w:p w14:paraId="20E38F42" w14:textId="19DD50BA" w:rsidR="000D22E1" w:rsidRPr="000B3487" w:rsidRDefault="000D22E1" w:rsidP="00041B22">
      <w:pPr>
        <w:pStyle w:val="ItadNormalText"/>
      </w:pPr>
    </w:p>
    <w:p w14:paraId="3AF667E2" w14:textId="771A6DD9" w:rsidR="00CF4E89" w:rsidRPr="008F3ACD" w:rsidRDefault="00CF4E89" w:rsidP="00BB4743">
      <w:pPr>
        <w:pStyle w:val="ItadH2"/>
        <w:keepNext/>
      </w:pPr>
      <w:bookmarkStart w:id="419" w:name="_Toc118968580"/>
      <w:bookmarkStart w:id="420" w:name="_Toc122209934"/>
      <w:bookmarkStart w:id="421" w:name="_Toc142383222"/>
      <w:r w:rsidRPr="008F3ACD">
        <w:t>Senegal</w:t>
      </w:r>
      <w:bookmarkEnd w:id="419"/>
      <w:bookmarkEnd w:id="420"/>
      <w:bookmarkEnd w:id="421"/>
      <w:r w:rsidRPr="008F3ACD">
        <w:t xml:space="preserve"> </w:t>
      </w:r>
    </w:p>
    <w:tbl>
      <w:tblPr>
        <w:tblStyle w:val="Itadalternaterows"/>
        <w:tblW w:w="9663" w:type="dxa"/>
        <w:tblLook w:val="04A0" w:firstRow="1" w:lastRow="0" w:firstColumn="1" w:lastColumn="0" w:noHBand="0" w:noVBand="1"/>
      </w:tblPr>
      <w:tblGrid>
        <w:gridCol w:w="3221"/>
        <w:gridCol w:w="3221"/>
        <w:gridCol w:w="3221"/>
      </w:tblGrid>
      <w:tr w:rsidR="00771DB5" w:rsidRPr="000B3487" w14:paraId="6ABB3F98" w14:textId="77777777" w:rsidTr="64C55F6E">
        <w:trPr>
          <w:cnfStyle w:val="100000000000" w:firstRow="1" w:lastRow="0" w:firstColumn="0" w:lastColumn="0" w:oddVBand="0" w:evenVBand="0" w:oddHBand="0" w:evenHBand="0" w:firstRowFirstColumn="0" w:firstRowLastColumn="0" w:lastRowFirstColumn="0" w:lastRowLastColumn="0"/>
          <w:trHeight w:val="340"/>
        </w:trPr>
        <w:tc>
          <w:tcPr>
            <w:tcW w:w="9663" w:type="dxa"/>
            <w:gridSpan w:val="3"/>
            <w:hideMark/>
          </w:tcPr>
          <w:p w14:paraId="19DDBD7E" w14:textId="38C17C0A" w:rsidR="00687B10" w:rsidRPr="00BB4743" w:rsidRDefault="00687B10" w:rsidP="00D03BF9">
            <w:pPr>
              <w:rPr>
                <w:rFonts w:cs="Calibri"/>
                <w:color w:val="FFFFFF" w:themeColor="background1"/>
                <w:sz w:val="20"/>
                <w:szCs w:val="20"/>
                <w:lang w:eastAsia="en-GB"/>
              </w:rPr>
            </w:pPr>
            <w:r w:rsidRPr="00BB4743">
              <w:rPr>
                <w:rFonts w:cs="Calibri"/>
                <w:color w:val="FFFFFF" w:themeColor="background1"/>
                <w:sz w:val="20"/>
                <w:szCs w:val="20"/>
                <w:lang w:eastAsia="en-GB"/>
              </w:rPr>
              <w:t xml:space="preserve">Fleming Fund </w:t>
            </w:r>
            <w:r w:rsidR="005B5B44" w:rsidRPr="00BB4743">
              <w:rPr>
                <w:rFonts w:cs="Calibri"/>
                <w:color w:val="FFFFFF" w:themeColor="background1"/>
                <w:sz w:val="20"/>
                <w:szCs w:val="20"/>
                <w:lang w:eastAsia="en-GB"/>
              </w:rPr>
              <w:t>CG</w:t>
            </w:r>
          </w:p>
        </w:tc>
      </w:tr>
      <w:tr w:rsidR="00041B22" w:rsidRPr="000B3487" w14:paraId="788D0596"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C83AC98" w14:textId="4FF707DB" w:rsidR="00687B10" w:rsidRPr="00BB4743" w:rsidRDefault="60956FEB" w:rsidP="00041B22">
            <w:pPr>
              <w:rPr>
                <w:rFonts w:cs="Calibri"/>
                <w:b/>
                <w:bCs/>
                <w:color w:val="auto"/>
                <w:sz w:val="20"/>
                <w:szCs w:val="20"/>
              </w:rPr>
            </w:pPr>
            <w:r w:rsidRPr="00BB4743">
              <w:rPr>
                <w:rFonts w:eastAsia="Calibri" w:cs="Calibri"/>
                <w:b/>
                <w:bCs/>
                <w:color w:val="auto"/>
                <w:sz w:val="20"/>
                <w:szCs w:val="20"/>
              </w:rPr>
              <w:t>Tafsir Abdoulaye Thiam</w:t>
            </w:r>
          </w:p>
        </w:tc>
        <w:tc>
          <w:tcPr>
            <w:tcW w:w="3221" w:type="dxa"/>
          </w:tcPr>
          <w:p w14:paraId="52811F28" w14:textId="75F5936D" w:rsidR="00687B10" w:rsidRPr="00BB4743" w:rsidRDefault="60956FEB" w:rsidP="00BB4743">
            <w:pPr>
              <w:rPr>
                <w:rFonts w:cs="Calibri"/>
                <w:color w:val="auto"/>
                <w:sz w:val="20"/>
                <w:szCs w:val="20"/>
                <w:lang w:eastAsia="en-GB"/>
              </w:rPr>
            </w:pPr>
            <w:r w:rsidRPr="00BB4743">
              <w:rPr>
                <w:rFonts w:cs="Calibri"/>
                <w:color w:val="auto"/>
                <w:sz w:val="20"/>
                <w:szCs w:val="20"/>
                <w:lang w:eastAsia="en-GB"/>
              </w:rPr>
              <w:t>PATH</w:t>
            </w:r>
          </w:p>
        </w:tc>
        <w:tc>
          <w:tcPr>
            <w:tcW w:w="3221" w:type="dxa"/>
          </w:tcPr>
          <w:p w14:paraId="3E951680" w14:textId="0CD767D3" w:rsidR="00687B10" w:rsidRPr="00BB4743" w:rsidRDefault="60956FEB" w:rsidP="00BB4743">
            <w:pPr>
              <w:rPr>
                <w:rFonts w:cs="Calibri"/>
                <w:color w:val="auto"/>
                <w:sz w:val="20"/>
                <w:szCs w:val="20"/>
                <w:lang w:eastAsia="en-GB"/>
              </w:rPr>
            </w:pPr>
            <w:r w:rsidRPr="00BB4743">
              <w:rPr>
                <w:rFonts w:cs="Calibri"/>
                <w:color w:val="auto"/>
                <w:sz w:val="20"/>
                <w:szCs w:val="20"/>
                <w:lang w:eastAsia="en-GB"/>
              </w:rPr>
              <w:t>Technical Coordinator</w:t>
            </w:r>
          </w:p>
        </w:tc>
      </w:tr>
      <w:tr w:rsidR="00041B22" w:rsidRPr="000B3487" w14:paraId="251B130A"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551C4A92" w14:textId="6E62F6C4" w:rsidR="00687B10" w:rsidRPr="00BB4743" w:rsidRDefault="60956FEB" w:rsidP="00041B22">
            <w:pPr>
              <w:rPr>
                <w:rFonts w:cs="Calibri"/>
                <w:b/>
                <w:bCs/>
                <w:color w:val="auto"/>
                <w:sz w:val="20"/>
                <w:szCs w:val="20"/>
              </w:rPr>
            </w:pPr>
            <w:r w:rsidRPr="00BB4743">
              <w:rPr>
                <w:rFonts w:eastAsia="Calibri" w:cs="Calibri"/>
                <w:b/>
                <w:bCs/>
                <w:color w:val="auto"/>
                <w:sz w:val="20"/>
                <w:szCs w:val="20"/>
              </w:rPr>
              <w:t>Ahmadou Niang</w:t>
            </w:r>
          </w:p>
        </w:tc>
        <w:tc>
          <w:tcPr>
            <w:tcW w:w="3221" w:type="dxa"/>
          </w:tcPr>
          <w:p w14:paraId="39659F47" w14:textId="32CFEDDA" w:rsidR="00687B10" w:rsidRPr="00BB4743" w:rsidRDefault="60956FEB" w:rsidP="00BB4743">
            <w:pPr>
              <w:rPr>
                <w:rFonts w:cs="Calibri"/>
                <w:color w:val="auto"/>
                <w:sz w:val="20"/>
                <w:szCs w:val="20"/>
                <w:lang w:eastAsia="en-GB"/>
              </w:rPr>
            </w:pPr>
            <w:r w:rsidRPr="00BB4743">
              <w:rPr>
                <w:rFonts w:cs="Calibri"/>
                <w:color w:val="auto"/>
                <w:sz w:val="20"/>
                <w:szCs w:val="20"/>
                <w:lang w:eastAsia="en-GB"/>
              </w:rPr>
              <w:t>FAO ECTAD</w:t>
            </w:r>
          </w:p>
        </w:tc>
        <w:tc>
          <w:tcPr>
            <w:tcW w:w="3221" w:type="dxa"/>
          </w:tcPr>
          <w:p w14:paraId="0A9C3146" w14:textId="195E025F" w:rsidR="00687B10" w:rsidRPr="00BB4743" w:rsidRDefault="60956FEB" w:rsidP="00BB4743">
            <w:pPr>
              <w:rPr>
                <w:rFonts w:cs="Calibri"/>
                <w:color w:val="auto"/>
                <w:sz w:val="20"/>
                <w:szCs w:val="20"/>
              </w:rPr>
            </w:pPr>
            <w:r w:rsidRPr="00BB4743">
              <w:rPr>
                <w:rFonts w:eastAsia="Calibri" w:cs="Calibri"/>
                <w:color w:val="auto"/>
                <w:sz w:val="20"/>
                <w:szCs w:val="20"/>
              </w:rPr>
              <w:t>Country Team Leader</w:t>
            </w:r>
          </w:p>
        </w:tc>
      </w:tr>
      <w:tr w:rsidR="00041B22" w:rsidRPr="000B3487" w14:paraId="05B32F2A"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AB61A7C" w14:textId="6FE855B6" w:rsidR="00687B10" w:rsidRPr="00BB4743" w:rsidRDefault="60956FEB" w:rsidP="00041B22">
            <w:pPr>
              <w:rPr>
                <w:rFonts w:cs="Calibri"/>
                <w:b/>
                <w:bCs/>
                <w:color w:val="auto"/>
                <w:sz w:val="20"/>
                <w:szCs w:val="20"/>
              </w:rPr>
            </w:pPr>
            <w:r w:rsidRPr="00BB4743">
              <w:rPr>
                <w:rFonts w:eastAsia="Calibri" w:cs="Calibri"/>
                <w:b/>
                <w:bCs/>
                <w:color w:val="auto"/>
                <w:sz w:val="20"/>
                <w:szCs w:val="20"/>
              </w:rPr>
              <w:t>Coumba Diouf</w:t>
            </w:r>
          </w:p>
        </w:tc>
        <w:tc>
          <w:tcPr>
            <w:tcW w:w="3221" w:type="dxa"/>
          </w:tcPr>
          <w:p w14:paraId="5722D532" w14:textId="5D15EA77" w:rsidR="00687B10" w:rsidRPr="00BB4743" w:rsidRDefault="60956FEB" w:rsidP="00BB4743">
            <w:pPr>
              <w:rPr>
                <w:rFonts w:cs="Calibri"/>
                <w:color w:val="auto"/>
                <w:sz w:val="20"/>
                <w:szCs w:val="20"/>
                <w:lang w:eastAsia="en-GB"/>
              </w:rPr>
            </w:pPr>
            <w:r w:rsidRPr="00BB4743">
              <w:rPr>
                <w:rFonts w:cs="Calibri"/>
                <w:color w:val="auto"/>
                <w:sz w:val="20"/>
                <w:szCs w:val="20"/>
                <w:lang w:eastAsia="en-GB"/>
              </w:rPr>
              <w:t>FAO ECTAD</w:t>
            </w:r>
          </w:p>
        </w:tc>
        <w:tc>
          <w:tcPr>
            <w:tcW w:w="3221" w:type="dxa"/>
          </w:tcPr>
          <w:p w14:paraId="6E59CA4F" w14:textId="2A721145" w:rsidR="00687B10" w:rsidRPr="00BB4743" w:rsidRDefault="3D296336" w:rsidP="00BB4743">
            <w:pPr>
              <w:rPr>
                <w:rFonts w:cs="Calibri"/>
                <w:color w:val="auto"/>
                <w:sz w:val="20"/>
                <w:szCs w:val="20"/>
              </w:rPr>
            </w:pPr>
            <w:r w:rsidRPr="00BB4743">
              <w:rPr>
                <w:rFonts w:eastAsia="Calibri" w:cs="Calibri"/>
                <w:color w:val="auto"/>
                <w:sz w:val="20"/>
                <w:szCs w:val="20"/>
              </w:rPr>
              <w:t>Country Team Leader</w:t>
            </w:r>
          </w:p>
        </w:tc>
      </w:tr>
      <w:tr w:rsidR="00041B22" w:rsidRPr="000B3487" w14:paraId="1D419479"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8FEF32F" w14:textId="7F812A99" w:rsidR="3D296336" w:rsidRPr="00BB4743" w:rsidRDefault="3D296336" w:rsidP="00041B22">
            <w:pPr>
              <w:rPr>
                <w:rFonts w:cs="Calibri"/>
                <w:b/>
                <w:bCs/>
                <w:color w:val="auto"/>
                <w:sz w:val="20"/>
                <w:szCs w:val="20"/>
              </w:rPr>
            </w:pPr>
            <w:r w:rsidRPr="00BB4743">
              <w:rPr>
                <w:rFonts w:eastAsia="Calibri" w:cs="Calibri"/>
                <w:b/>
                <w:bCs/>
                <w:color w:val="auto"/>
                <w:sz w:val="20"/>
                <w:szCs w:val="20"/>
              </w:rPr>
              <w:t>Aicha Marceline Sarr</w:t>
            </w:r>
          </w:p>
        </w:tc>
        <w:tc>
          <w:tcPr>
            <w:tcW w:w="3221" w:type="dxa"/>
          </w:tcPr>
          <w:p w14:paraId="11E704B5" w14:textId="424EA3A0" w:rsidR="3D296336" w:rsidRPr="00BB4743" w:rsidRDefault="3D296336" w:rsidP="00BB4743">
            <w:pPr>
              <w:rPr>
                <w:rFonts w:cs="Calibri"/>
                <w:color w:val="auto"/>
                <w:sz w:val="20"/>
                <w:szCs w:val="20"/>
                <w:lang w:eastAsia="en-GB"/>
              </w:rPr>
            </w:pPr>
            <w:r w:rsidRPr="00BB4743">
              <w:rPr>
                <w:rFonts w:cs="Calibri"/>
                <w:color w:val="auto"/>
                <w:sz w:val="20"/>
                <w:szCs w:val="20"/>
                <w:lang w:eastAsia="en-GB"/>
              </w:rPr>
              <w:t>Fondation Mérieux</w:t>
            </w:r>
          </w:p>
        </w:tc>
        <w:tc>
          <w:tcPr>
            <w:tcW w:w="3221" w:type="dxa"/>
          </w:tcPr>
          <w:p w14:paraId="77B0AE62" w14:textId="70591222" w:rsidR="3D296336" w:rsidRPr="00BB4743" w:rsidRDefault="3D296336" w:rsidP="00BB4743">
            <w:pPr>
              <w:rPr>
                <w:rFonts w:cs="Calibri"/>
                <w:color w:val="auto"/>
                <w:sz w:val="20"/>
                <w:szCs w:val="20"/>
                <w:lang w:eastAsia="en-GB"/>
              </w:rPr>
            </w:pPr>
            <w:r w:rsidRPr="00BB4743">
              <w:rPr>
                <w:rFonts w:cs="Calibri"/>
                <w:color w:val="auto"/>
                <w:sz w:val="20"/>
                <w:szCs w:val="20"/>
                <w:lang w:eastAsia="en-GB"/>
              </w:rPr>
              <w:t>Project Manager</w:t>
            </w:r>
          </w:p>
        </w:tc>
      </w:tr>
      <w:tr w:rsidR="64C55F6E" w:rsidRPr="00D770D4" w14:paraId="04142EF9"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3974B5F2" w14:textId="228CFAEC" w:rsidR="02DFBD93" w:rsidRPr="00BB4743" w:rsidRDefault="005B5B44" w:rsidP="64C55F6E">
            <w:pPr>
              <w:rPr>
                <w:rFonts w:eastAsia="Calibri" w:cs="Calibri"/>
                <w:color w:val="000000"/>
                <w:sz w:val="20"/>
                <w:szCs w:val="20"/>
              </w:rPr>
            </w:pPr>
            <w:r w:rsidRPr="00BB4743">
              <w:rPr>
                <w:rFonts w:eastAsia="Calibri" w:cs="Calibri"/>
                <w:color w:val="FFFFFF" w:themeColor="background1"/>
                <w:sz w:val="20"/>
                <w:szCs w:val="20"/>
              </w:rPr>
              <w:t>MA</w:t>
            </w:r>
          </w:p>
        </w:tc>
      </w:tr>
      <w:tr w:rsidR="00041B22" w:rsidRPr="000B3487" w14:paraId="24D2B217"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E7246EB" w14:textId="1D4A25ED" w:rsidR="02DFBD93" w:rsidRPr="00BB4743" w:rsidRDefault="02DFBD93" w:rsidP="00041B22">
            <w:pPr>
              <w:rPr>
                <w:rFonts w:eastAsia="Calibri" w:cs="Calibri"/>
                <w:b/>
                <w:bCs/>
                <w:color w:val="auto"/>
                <w:sz w:val="20"/>
                <w:szCs w:val="20"/>
              </w:rPr>
            </w:pPr>
            <w:r w:rsidRPr="00BB4743">
              <w:rPr>
                <w:rFonts w:eastAsia="Calibri" w:cs="Calibri"/>
                <w:b/>
                <w:bCs/>
                <w:color w:val="auto"/>
                <w:sz w:val="20"/>
                <w:szCs w:val="20"/>
              </w:rPr>
              <w:t>Adjo Mfodwo</w:t>
            </w:r>
            <w:r w:rsidR="00B776A6" w:rsidRPr="00BB4743">
              <w:rPr>
                <w:rFonts w:eastAsia="Calibri" w:cs="Calibri"/>
                <w:b/>
                <w:bCs/>
                <w:color w:val="auto"/>
                <w:sz w:val="20"/>
                <w:szCs w:val="20"/>
              </w:rPr>
              <w:t>**</w:t>
            </w:r>
          </w:p>
        </w:tc>
        <w:tc>
          <w:tcPr>
            <w:tcW w:w="3221" w:type="dxa"/>
          </w:tcPr>
          <w:p w14:paraId="3A22A16C" w14:textId="5B4A69A8" w:rsidR="02DFBD93" w:rsidRPr="00BB4743" w:rsidRDefault="005B5B44" w:rsidP="00BB4743">
            <w:pPr>
              <w:rPr>
                <w:rFonts w:cs="Calibri"/>
                <w:color w:val="auto"/>
                <w:sz w:val="20"/>
                <w:szCs w:val="20"/>
                <w:lang w:eastAsia="en-GB"/>
              </w:rPr>
            </w:pPr>
            <w:r w:rsidRPr="00BB4743">
              <w:rPr>
                <w:rFonts w:cs="Calibri"/>
                <w:color w:val="auto"/>
                <w:sz w:val="20"/>
                <w:szCs w:val="20"/>
                <w:lang w:eastAsia="en-GB"/>
              </w:rPr>
              <w:t>MA</w:t>
            </w:r>
          </w:p>
        </w:tc>
        <w:tc>
          <w:tcPr>
            <w:tcW w:w="3221" w:type="dxa"/>
          </w:tcPr>
          <w:p w14:paraId="3908189B" w14:textId="391DBDC9" w:rsidR="02DFBD93" w:rsidRPr="00BB4743" w:rsidRDefault="02DFBD93" w:rsidP="00BB4743">
            <w:pPr>
              <w:rPr>
                <w:rFonts w:cs="Calibri"/>
                <w:color w:val="auto"/>
                <w:sz w:val="20"/>
                <w:szCs w:val="20"/>
                <w:lang w:eastAsia="en-GB"/>
              </w:rPr>
            </w:pPr>
            <w:r w:rsidRPr="00BB4743">
              <w:rPr>
                <w:rFonts w:cs="Calibri"/>
                <w:color w:val="auto"/>
                <w:sz w:val="20"/>
                <w:szCs w:val="20"/>
                <w:lang w:eastAsia="en-GB"/>
              </w:rPr>
              <w:t>Regional Coordinator</w:t>
            </w:r>
            <w:r w:rsidR="00D770D4" w:rsidRPr="00BB4743">
              <w:rPr>
                <w:rFonts w:cs="Calibri"/>
                <w:color w:val="auto"/>
                <w:sz w:val="20"/>
                <w:szCs w:val="20"/>
                <w:lang w:eastAsia="en-GB"/>
              </w:rPr>
              <w:t>,</w:t>
            </w:r>
            <w:r w:rsidRPr="00BB4743">
              <w:rPr>
                <w:rFonts w:cs="Calibri"/>
                <w:color w:val="auto"/>
                <w:sz w:val="20"/>
                <w:szCs w:val="20"/>
                <w:lang w:eastAsia="en-GB"/>
              </w:rPr>
              <w:t xml:space="preserve"> West Africa</w:t>
            </w:r>
          </w:p>
        </w:tc>
      </w:tr>
      <w:tr w:rsidR="00687B10" w:rsidRPr="00D770D4" w14:paraId="1828DF55"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4625187A" w14:textId="77777777" w:rsidR="00687B10" w:rsidRPr="00BB4743" w:rsidRDefault="00687B10">
            <w:pPr>
              <w:rPr>
                <w:rFonts w:cs="Calibri"/>
                <w:sz w:val="20"/>
                <w:szCs w:val="20"/>
              </w:rPr>
            </w:pPr>
            <w:r w:rsidRPr="00BB4743">
              <w:rPr>
                <w:rFonts w:cs="Calibri"/>
                <w:color w:val="FFFFFF" w:themeColor="background1"/>
                <w:sz w:val="20"/>
                <w:szCs w:val="20"/>
                <w:lang w:eastAsia="en-GB"/>
              </w:rPr>
              <w:t>AMRCC Members</w:t>
            </w:r>
          </w:p>
        </w:tc>
      </w:tr>
      <w:tr w:rsidR="00041B22" w:rsidRPr="000B3487" w14:paraId="4474B55F"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730C7FA4" w14:textId="1DE9D276" w:rsidR="00687B10" w:rsidRPr="00BB4743" w:rsidRDefault="5D07A249" w:rsidP="00041B22">
            <w:pPr>
              <w:rPr>
                <w:rFonts w:cs="Calibri"/>
                <w:b/>
                <w:bCs/>
                <w:color w:val="auto"/>
                <w:sz w:val="20"/>
                <w:szCs w:val="20"/>
              </w:rPr>
            </w:pPr>
            <w:r w:rsidRPr="00BB4743">
              <w:rPr>
                <w:rFonts w:eastAsia="Calibri" w:cs="Calibri"/>
                <w:b/>
                <w:bCs/>
                <w:color w:val="auto"/>
                <w:sz w:val="20"/>
                <w:szCs w:val="20"/>
                <w:lang w:val="de-DE"/>
              </w:rPr>
              <w:t>Dr Adjaratou Diakhou Ndiaye</w:t>
            </w:r>
          </w:p>
        </w:tc>
        <w:tc>
          <w:tcPr>
            <w:tcW w:w="3221" w:type="dxa"/>
          </w:tcPr>
          <w:p w14:paraId="4189A685" w14:textId="73FA45CA" w:rsidR="00687B10" w:rsidRPr="00BB4743" w:rsidRDefault="5D07A249" w:rsidP="00BB4743">
            <w:pPr>
              <w:rPr>
                <w:rFonts w:cs="Calibri"/>
                <w:color w:val="auto"/>
                <w:sz w:val="20"/>
                <w:szCs w:val="20"/>
              </w:rPr>
            </w:pPr>
            <w:r w:rsidRPr="00BB4743">
              <w:rPr>
                <w:rFonts w:eastAsia="Calibri" w:cs="Calibri"/>
                <w:color w:val="auto"/>
                <w:sz w:val="20"/>
                <w:szCs w:val="20"/>
              </w:rPr>
              <w:t>One Health Secretariat</w:t>
            </w:r>
          </w:p>
        </w:tc>
        <w:tc>
          <w:tcPr>
            <w:tcW w:w="3221" w:type="dxa"/>
          </w:tcPr>
          <w:p w14:paraId="58C6248A" w14:textId="476D53B1" w:rsidR="00687B10" w:rsidRPr="00BB4743" w:rsidRDefault="5D07A249" w:rsidP="00BB4743">
            <w:pPr>
              <w:rPr>
                <w:rFonts w:cs="Calibri"/>
                <w:color w:val="auto"/>
                <w:sz w:val="20"/>
                <w:szCs w:val="20"/>
              </w:rPr>
            </w:pPr>
            <w:r w:rsidRPr="00BB4743">
              <w:rPr>
                <w:rFonts w:eastAsia="Calibri" w:cs="Calibri"/>
                <w:color w:val="auto"/>
                <w:sz w:val="20"/>
                <w:szCs w:val="20"/>
              </w:rPr>
              <w:t>Permanent secretary</w:t>
            </w:r>
          </w:p>
        </w:tc>
      </w:tr>
      <w:tr w:rsidR="00687B10" w:rsidRPr="00D770D4" w14:paraId="4E34DCD5"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7AC0B6E1" w14:textId="463567FD" w:rsidR="00687B10" w:rsidRPr="00BB4743" w:rsidRDefault="44EBA605" w:rsidP="5205A6E4">
            <w:pPr>
              <w:rPr>
                <w:rFonts w:cs="Calibri"/>
                <w:color w:val="FFFFFF" w:themeColor="background1"/>
                <w:sz w:val="20"/>
                <w:szCs w:val="20"/>
                <w:lang w:eastAsia="en-GB"/>
              </w:rPr>
            </w:pPr>
            <w:r w:rsidRPr="00BB4743">
              <w:rPr>
                <w:rFonts w:cs="Calibri"/>
                <w:color w:val="FFFFFF" w:themeColor="background1"/>
                <w:sz w:val="20"/>
                <w:szCs w:val="20"/>
                <w:lang w:eastAsia="en-GB"/>
              </w:rPr>
              <w:t xml:space="preserve">Professional Fellows </w:t>
            </w:r>
            <w:r w:rsidR="0BBA5C6C" w:rsidRPr="00BB4743">
              <w:rPr>
                <w:rFonts w:cs="Calibri"/>
                <w:color w:val="FFFFFF" w:themeColor="background1"/>
                <w:sz w:val="20"/>
                <w:szCs w:val="20"/>
                <w:lang w:eastAsia="en-GB"/>
              </w:rPr>
              <w:t>HH</w:t>
            </w:r>
          </w:p>
        </w:tc>
      </w:tr>
      <w:tr w:rsidR="00041B22" w:rsidRPr="000B3487" w14:paraId="6F44A599"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5D08C466" w14:textId="264B9041" w:rsidR="00687B10" w:rsidRPr="00BB4743" w:rsidRDefault="0BBA5C6C" w:rsidP="00041B22">
            <w:pPr>
              <w:rPr>
                <w:rFonts w:cs="Calibri"/>
                <w:b/>
                <w:bCs/>
                <w:color w:val="auto"/>
                <w:sz w:val="20"/>
                <w:szCs w:val="20"/>
              </w:rPr>
            </w:pPr>
            <w:r w:rsidRPr="00BB4743">
              <w:rPr>
                <w:rFonts w:eastAsia="Calibri" w:cs="Calibri"/>
                <w:b/>
                <w:bCs/>
                <w:color w:val="auto"/>
                <w:sz w:val="20"/>
                <w:szCs w:val="20"/>
              </w:rPr>
              <w:t>Aissatou Ahmet Niang</w:t>
            </w:r>
          </w:p>
        </w:tc>
        <w:tc>
          <w:tcPr>
            <w:tcW w:w="3221" w:type="dxa"/>
          </w:tcPr>
          <w:p w14:paraId="346361E9" w14:textId="477A62AC" w:rsidR="00687B10" w:rsidRPr="00BB4743" w:rsidRDefault="00184A64" w:rsidP="00BB4743">
            <w:pPr>
              <w:rPr>
                <w:rFonts w:cs="Calibri"/>
                <w:color w:val="auto"/>
                <w:sz w:val="20"/>
                <w:szCs w:val="20"/>
              </w:rPr>
            </w:pPr>
            <w:r w:rsidRPr="00184A64">
              <w:rPr>
                <w:rFonts w:eastAsia="Calibri" w:cs="Calibri"/>
                <w:color w:val="auto"/>
                <w:sz w:val="20"/>
                <w:szCs w:val="20"/>
              </w:rPr>
              <w:t>Ministry of Health and Social Action, Laboratories Directorate</w:t>
            </w:r>
          </w:p>
        </w:tc>
        <w:tc>
          <w:tcPr>
            <w:tcW w:w="3221" w:type="dxa"/>
          </w:tcPr>
          <w:p w14:paraId="63AFEDDA" w14:textId="0432041F" w:rsidR="00687B10" w:rsidRPr="00BB4743" w:rsidRDefault="0BBA5C6C" w:rsidP="00BB4743">
            <w:pPr>
              <w:rPr>
                <w:rFonts w:cs="Calibri"/>
                <w:color w:val="auto"/>
                <w:sz w:val="20"/>
                <w:szCs w:val="20"/>
              </w:rPr>
            </w:pPr>
            <w:r w:rsidRPr="00BB4743">
              <w:rPr>
                <w:rFonts w:eastAsia="Calibri" w:cs="Calibri"/>
                <w:color w:val="auto"/>
                <w:sz w:val="20"/>
                <w:szCs w:val="20"/>
              </w:rPr>
              <w:t>Head of the National Network of Laboratories Division</w:t>
            </w:r>
          </w:p>
        </w:tc>
      </w:tr>
      <w:tr w:rsidR="5205A6E4" w:rsidRPr="00D770D4" w14:paraId="097B27D9"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331C79B2" w14:textId="1F884565" w:rsidR="0BBA5C6C" w:rsidRPr="00BB4743" w:rsidRDefault="0BBA5C6C" w:rsidP="5205A6E4">
            <w:pPr>
              <w:rPr>
                <w:rFonts w:eastAsia="Calibri" w:cs="Calibri"/>
                <w:color w:val="000000"/>
                <w:sz w:val="20"/>
                <w:szCs w:val="20"/>
              </w:rPr>
            </w:pPr>
            <w:r w:rsidRPr="00BB4743">
              <w:rPr>
                <w:rFonts w:eastAsia="Calibri" w:cs="Calibri"/>
                <w:color w:val="FFFFFF" w:themeColor="background1"/>
                <w:sz w:val="20"/>
                <w:szCs w:val="20"/>
              </w:rPr>
              <w:t>Professional Fellows AH</w:t>
            </w:r>
          </w:p>
        </w:tc>
      </w:tr>
      <w:tr w:rsidR="00041B22" w:rsidRPr="000B3487" w14:paraId="052D7C9C"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4AED53F" w14:textId="29791C31" w:rsidR="0BBA5C6C" w:rsidRPr="00BB4743" w:rsidRDefault="0BBA5C6C" w:rsidP="00041B22">
            <w:pPr>
              <w:rPr>
                <w:rFonts w:cs="Calibri"/>
                <w:b/>
                <w:bCs/>
                <w:color w:val="auto"/>
                <w:sz w:val="20"/>
                <w:szCs w:val="20"/>
              </w:rPr>
            </w:pPr>
            <w:r w:rsidRPr="00BB4743">
              <w:rPr>
                <w:rFonts w:eastAsia="Calibri" w:cs="Calibri"/>
                <w:b/>
                <w:bCs/>
                <w:color w:val="auto"/>
                <w:sz w:val="20"/>
                <w:szCs w:val="20"/>
              </w:rPr>
              <w:t>Anta Diagne</w:t>
            </w:r>
          </w:p>
        </w:tc>
        <w:tc>
          <w:tcPr>
            <w:tcW w:w="3221" w:type="dxa"/>
          </w:tcPr>
          <w:p w14:paraId="02694621" w14:textId="70431900" w:rsidR="0BBA5C6C" w:rsidRPr="00BB4743" w:rsidRDefault="0BBA5C6C" w:rsidP="00BB4743">
            <w:pPr>
              <w:rPr>
                <w:rFonts w:cs="Calibri"/>
                <w:color w:val="auto"/>
                <w:sz w:val="20"/>
                <w:szCs w:val="20"/>
              </w:rPr>
            </w:pPr>
            <w:r w:rsidRPr="00BB4743">
              <w:rPr>
                <w:rFonts w:eastAsia="Calibri" w:cs="Calibri"/>
                <w:color w:val="auto"/>
                <w:sz w:val="20"/>
                <w:szCs w:val="20"/>
              </w:rPr>
              <w:t>Division of Pharmacy and Veterinary Medicine, Ministry of Livestock</w:t>
            </w:r>
          </w:p>
        </w:tc>
        <w:tc>
          <w:tcPr>
            <w:tcW w:w="3221" w:type="dxa"/>
          </w:tcPr>
          <w:p w14:paraId="6C80647B" w14:textId="756B924B" w:rsidR="0BBA5C6C" w:rsidRPr="00BB4743" w:rsidRDefault="0BBA5C6C" w:rsidP="00BB4743">
            <w:pPr>
              <w:rPr>
                <w:rFonts w:cs="Calibri"/>
                <w:color w:val="auto"/>
                <w:sz w:val="20"/>
                <w:szCs w:val="20"/>
              </w:rPr>
            </w:pPr>
            <w:r w:rsidRPr="00BB4743">
              <w:rPr>
                <w:rFonts w:eastAsia="Calibri" w:cs="Calibri"/>
                <w:color w:val="auto"/>
                <w:sz w:val="20"/>
                <w:szCs w:val="20"/>
              </w:rPr>
              <w:t>Fleming Fund Professional Fellow</w:t>
            </w:r>
          </w:p>
        </w:tc>
      </w:tr>
      <w:tr w:rsidR="00041B22" w:rsidRPr="000B3487" w14:paraId="7CF4CAEB"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6E91FADE" w14:textId="7BDB0689" w:rsidR="0BBA5C6C" w:rsidRPr="00BB4743" w:rsidRDefault="0BBA5C6C" w:rsidP="000B3487">
            <w:pPr>
              <w:rPr>
                <w:rFonts w:cs="Calibri"/>
                <w:b/>
                <w:bCs/>
                <w:color w:val="auto"/>
                <w:sz w:val="20"/>
                <w:szCs w:val="20"/>
              </w:rPr>
            </w:pPr>
            <w:r w:rsidRPr="00BB4743">
              <w:rPr>
                <w:rFonts w:eastAsia="Calibri" w:cs="Calibri"/>
                <w:b/>
                <w:bCs/>
                <w:color w:val="auto"/>
                <w:sz w:val="20"/>
                <w:szCs w:val="20"/>
              </w:rPr>
              <w:t>Bissoume Sambe</w:t>
            </w:r>
          </w:p>
        </w:tc>
        <w:tc>
          <w:tcPr>
            <w:tcW w:w="3221" w:type="dxa"/>
          </w:tcPr>
          <w:p w14:paraId="3842FD68" w14:textId="78D02C10" w:rsidR="0BBA5C6C" w:rsidRPr="00BB4743" w:rsidRDefault="0BBA5C6C" w:rsidP="00BB4743">
            <w:pPr>
              <w:rPr>
                <w:rFonts w:cs="Calibri"/>
                <w:color w:val="auto"/>
                <w:sz w:val="20"/>
                <w:szCs w:val="20"/>
              </w:rPr>
            </w:pPr>
            <w:r w:rsidRPr="00BB4743">
              <w:rPr>
                <w:rFonts w:eastAsia="Calibri" w:cs="Calibri"/>
                <w:color w:val="auto"/>
                <w:sz w:val="20"/>
                <w:szCs w:val="20"/>
              </w:rPr>
              <w:t>Institut Pasteur de Dakar</w:t>
            </w:r>
          </w:p>
        </w:tc>
        <w:tc>
          <w:tcPr>
            <w:tcW w:w="3221" w:type="dxa"/>
          </w:tcPr>
          <w:p w14:paraId="55BAEFC6" w14:textId="418D65E0" w:rsidR="0BBA5C6C" w:rsidRPr="00BB4743" w:rsidRDefault="0BBA5C6C" w:rsidP="00BB4743">
            <w:pPr>
              <w:rPr>
                <w:rFonts w:cs="Calibri"/>
                <w:color w:val="auto"/>
                <w:sz w:val="20"/>
                <w:szCs w:val="20"/>
              </w:rPr>
            </w:pPr>
            <w:r w:rsidRPr="00BB4743">
              <w:rPr>
                <w:rFonts w:eastAsia="Calibri" w:cs="Calibri"/>
                <w:color w:val="auto"/>
                <w:sz w:val="20"/>
                <w:szCs w:val="20"/>
              </w:rPr>
              <w:t>Researcher/FAO AMR expert/ Professional Fellow Food Security &amp; Environment</w:t>
            </w:r>
          </w:p>
        </w:tc>
      </w:tr>
      <w:tr w:rsidR="00687B10" w:rsidRPr="00D770D4" w14:paraId="7AA7D88F"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090407B1" w14:textId="35AC789F" w:rsidR="00687B10" w:rsidRPr="00BB4743" w:rsidRDefault="44EBA605" w:rsidP="5205A6E4">
            <w:pPr>
              <w:rPr>
                <w:rFonts w:cs="Calibri"/>
                <w:color w:val="FFFFFF" w:themeColor="background1"/>
                <w:sz w:val="20"/>
                <w:szCs w:val="20"/>
              </w:rPr>
            </w:pPr>
            <w:r w:rsidRPr="00BB4743">
              <w:rPr>
                <w:rFonts w:cs="Calibri"/>
                <w:color w:val="FFFFFF" w:themeColor="background1"/>
                <w:sz w:val="20"/>
                <w:szCs w:val="20"/>
              </w:rPr>
              <w:t>AMR Focal Point</w:t>
            </w:r>
          </w:p>
        </w:tc>
      </w:tr>
      <w:tr w:rsidR="00041B22" w:rsidRPr="000B3487" w14:paraId="26BCC5FC"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42BCCD2" w14:textId="53AC03CA" w:rsidR="00687B10" w:rsidRPr="00BB4743" w:rsidRDefault="269E1A1A" w:rsidP="000B3487">
            <w:pPr>
              <w:rPr>
                <w:rFonts w:cs="Calibri"/>
                <w:b/>
                <w:bCs/>
                <w:color w:val="auto"/>
                <w:sz w:val="20"/>
                <w:szCs w:val="20"/>
              </w:rPr>
            </w:pPr>
            <w:r w:rsidRPr="00BB4743">
              <w:rPr>
                <w:rFonts w:eastAsia="Calibri" w:cs="Calibri"/>
                <w:b/>
                <w:bCs/>
                <w:color w:val="auto"/>
                <w:sz w:val="20"/>
                <w:szCs w:val="20"/>
              </w:rPr>
              <w:t>Professor Amadou Moctar Dieye</w:t>
            </w:r>
          </w:p>
        </w:tc>
        <w:tc>
          <w:tcPr>
            <w:tcW w:w="3221" w:type="dxa"/>
          </w:tcPr>
          <w:p w14:paraId="6F5D479D" w14:textId="457738C9" w:rsidR="00687B10" w:rsidRPr="00BB4743" w:rsidRDefault="269E1A1A" w:rsidP="00BB4743">
            <w:pPr>
              <w:rPr>
                <w:rFonts w:cs="Calibri"/>
                <w:color w:val="auto"/>
                <w:sz w:val="20"/>
                <w:szCs w:val="20"/>
              </w:rPr>
            </w:pPr>
            <w:r w:rsidRPr="00BB4743">
              <w:rPr>
                <w:rFonts w:eastAsia="Calibri" w:cs="Calibri"/>
                <w:color w:val="auto"/>
                <w:sz w:val="20"/>
                <w:szCs w:val="20"/>
              </w:rPr>
              <w:t>Laboratories Directorate, Ministry of Health</w:t>
            </w:r>
          </w:p>
        </w:tc>
        <w:tc>
          <w:tcPr>
            <w:tcW w:w="3221" w:type="dxa"/>
          </w:tcPr>
          <w:p w14:paraId="68913C22" w14:textId="6DC52C91" w:rsidR="00687B10" w:rsidRPr="00BB4743" w:rsidRDefault="269E1A1A" w:rsidP="00BB4743">
            <w:pPr>
              <w:rPr>
                <w:rFonts w:cs="Calibri"/>
                <w:color w:val="auto"/>
                <w:sz w:val="20"/>
                <w:szCs w:val="20"/>
              </w:rPr>
            </w:pPr>
            <w:r w:rsidRPr="00BB4743">
              <w:rPr>
                <w:rFonts w:eastAsia="Calibri" w:cs="Calibri"/>
                <w:color w:val="auto"/>
                <w:sz w:val="20"/>
                <w:szCs w:val="20"/>
              </w:rPr>
              <w:t>Director of Laboratories</w:t>
            </w:r>
          </w:p>
        </w:tc>
      </w:tr>
      <w:tr w:rsidR="00041B22" w:rsidRPr="001B7050" w14:paraId="58E8CA13"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33042206" w14:textId="269F56D6" w:rsidR="00687B10" w:rsidRPr="00BB4743" w:rsidRDefault="269E1A1A" w:rsidP="000B3487">
            <w:pPr>
              <w:rPr>
                <w:rFonts w:cs="Calibri"/>
                <w:b/>
                <w:bCs/>
                <w:color w:val="auto"/>
                <w:sz w:val="20"/>
                <w:szCs w:val="20"/>
              </w:rPr>
            </w:pPr>
            <w:r w:rsidRPr="00BB4743">
              <w:rPr>
                <w:rFonts w:eastAsia="Calibri" w:cs="Calibri"/>
                <w:b/>
                <w:bCs/>
                <w:color w:val="auto"/>
                <w:sz w:val="20"/>
                <w:szCs w:val="20"/>
              </w:rPr>
              <w:t>Dr Chantal Biagui</w:t>
            </w:r>
          </w:p>
        </w:tc>
        <w:tc>
          <w:tcPr>
            <w:tcW w:w="3221" w:type="dxa"/>
          </w:tcPr>
          <w:p w14:paraId="409A12FA" w14:textId="4225D5DD" w:rsidR="00687B10" w:rsidRPr="00BB4743" w:rsidRDefault="269E1A1A" w:rsidP="00BB4743">
            <w:pPr>
              <w:rPr>
                <w:rFonts w:cs="Calibri"/>
                <w:color w:val="auto"/>
                <w:sz w:val="20"/>
                <w:szCs w:val="20"/>
                <w:lang w:val="fr-FR"/>
              </w:rPr>
            </w:pPr>
            <w:r w:rsidRPr="00BB4743">
              <w:rPr>
                <w:rFonts w:eastAsia="Calibri" w:cs="Calibri"/>
                <w:color w:val="auto"/>
                <w:sz w:val="20"/>
                <w:szCs w:val="20"/>
                <w:lang w:val="fr-FR"/>
              </w:rPr>
              <w:t>Ministère de l'Elevage (MEPA) Direction des Services Vétérinaires (DSV)</w:t>
            </w:r>
          </w:p>
        </w:tc>
        <w:tc>
          <w:tcPr>
            <w:tcW w:w="3221" w:type="dxa"/>
          </w:tcPr>
          <w:p w14:paraId="71D6CFA4" w14:textId="47CF0250" w:rsidR="00687B10" w:rsidRPr="00BB4743" w:rsidRDefault="269E1A1A" w:rsidP="00BB4743">
            <w:pPr>
              <w:rPr>
                <w:rFonts w:cs="Calibri"/>
                <w:color w:val="auto"/>
                <w:sz w:val="20"/>
                <w:szCs w:val="20"/>
                <w:lang w:val="fr-FR"/>
              </w:rPr>
            </w:pPr>
            <w:r w:rsidRPr="00BB4743">
              <w:rPr>
                <w:rFonts w:eastAsia="Calibri" w:cs="Calibri"/>
                <w:color w:val="auto"/>
                <w:sz w:val="20"/>
                <w:szCs w:val="20"/>
                <w:lang w:val="fr-FR"/>
              </w:rPr>
              <w:t>Chef du Bureau de l'Assurance Qualité / Point Focal RAM</w:t>
            </w:r>
          </w:p>
        </w:tc>
      </w:tr>
      <w:tr w:rsidR="5205A6E4" w:rsidRPr="00D770D4" w14:paraId="745D579C"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49ABA7D9" w14:textId="1CDFFD63" w:rsidR="269E1A1A" w:rsidRPr="00BB4743" w:rsidRDefault="00121E83" w:rsidP="5205A6E4">
            <w:pPr>
              <w:rPr>
                <w:rFonts w:eastAsia="Calibri" w:cs="Calibri"/>
                <w:color w:val="FFFFFF" w:themeColor="background1"/>
                <w:sz w:val="20"/>
                <w:szCs w:val="20"/>
              </w:rPr>
            </w:pPr>
            <w:r w:rsidRPr="00BB4743">
              <w:rPr>
                <w:rFonts w:eastAsia="Calibri" w:cs="Calibri"/>
                <w:color w:val="FFFFFF" w:themeColor="background1"/>
                <w:sz w:val="20"/>
                <w:szCs w:val="20"/>
              </w:rPr>
              <w:t>WOAH</w:t>
            </w:r>
            <w:r w:rsidR="269E1A1A" w:rsidRPr="00BB4743">
              <w:rPr>
                <w:rFonts w:eastAsia="Calibri" w:cs="Calibri"/>
                <w:color w:val="FFFFFF" w:themeColor="background1"/>
                <w:sz w:val="20"/>
                <w:szCs w:val="20"/>
              </w:rPr>
              <w:t xml:space="preserve"> Focal Point</w:t>
            </w:r>
          </w:p>
        </w:tc>
      </w:tr>
      <w:tr w:rsidR="003A1573" w:rsidRPr="001B7050" w14:paraId="30090180"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9B71809" w14:textId="1C62546B" w:rsidR="269E1A1A" w:rsidRPr="003A1573" w:rsidRDefault="269E1A1A" w:rsidP="000B3487">
            <w:pPr>
              <w:rPr>
                <w:rFonts w:cs="Calibri"/>
                <w:b/>
                <w:bCs/>
                <w:color w:val="auto"/>
                <w:sz w:val="20"/>
                <w:szCs w:val="20"/>
              </w:rPr>
            </w:pPr>
            <w:r w:rsidRPr="003A1573">
              <w:rPr>
                <w:rFonts w:eastAsia="Calibri" w:cs="Calibri"/>
                <w:b/>
                <w:bCs/>
                <w:sz w:val="20"/>
                <w:szCs w:val="20"/>
              </w:rPr>
              <w:t>Dr Moutar Seydi</w:t>
            </w:r>
          </w:p>
        </w:tc>
        <w:tc>
          <w:tcPr>
            <w:tcW w:w="3221" w:type="dxa"/>
          </w:tcPr>
          <w:p w14:paraId="72B80162" w14:textId="48DEE92A" w:rsidR="269E1A1A" w:rsidRPr="003A1573" w:rsidRDefault="269E1A1A" w:rsidP="00BB4743">
            <w:pPr>
              <w:rPr>
                <w:rFonts w:cs="Calibri"/>
                <w:color w:val="auto"/>
                <w:sz w:val="20"/>
                <w:szCs w:val="20"/>
                <w:lang w:val="fr-FR"/>
              </w:rPr>
            </w:pPr>
            <w:r w:rsidRPr="003A1573">
              <w:rPr>
                <w:rFonts w:eastAsia="Calibri" w:cs="Calibri"/>
                <w:color w:val="auto"/>
                <w:sz w:val="20"/>
                <w:szCs w:val="20"/>
                <w:lang w:val="fr-FR"/>
              </w:rPr>
              <w:t>Ministère de l'Elevage (MEPA) Direction des Services Vétérinaires (DSV)</w:t>
            </w:r>
          </w:p>
        </w:tc>
        <w:tc>
          <w:tcPr>
            <w:tcW w:w="3221" w:type="dxa"/>
          </w:tcPr>
          <w:p w14:paraId="74DBF101" w14:textId="0814BCDD" w:rsidR="269E1A1A" w:rsidRPr="003A1573" w:rsidRDefault="269E1A1A" w:rsidP="00BB4743">
            <w:pPr>
              <w:rPr>
                <w:rFonts w:cs="Calibri"/>
                <w:color w:val="auto"/>
                <w:sz w:val="20"/>
                <w:szCs w:val="20"/>
                <w:lang w:val="fr-FR"/>
              </w:rPr>
            </w:pPr>
            <w:r w:rsidRPr="003A1573">
              <w:rPr>
                <w:rFonts w:eastAsia="Calibri" w:cs="Calibri"/>
                <w:color w:val="auto"/>
                <w:sz w:val="20"/>
                <w:szCs w:val="20"/>
                <w:lang w:val="fr-FR"/>
              </w:rPr>
              <w:t>Chef Bureau de la Pharmacie vétérinaire</w:t>
            </w:r>
          </w:p>
        </w:tc>
      </w:tr>
      <w:tr w:rsidR="00687B10" w:rsidRPr="00D770D4" w14:paraId="2AAF5AF7"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759D32B6" w14:textId="77777777" w:rsidR="00687B10" w:rsidRPr="00BB4743" w:rsidRDefault="00687B10">
            <w:pPr>
              <w:rPr>
                <w:rFonts w:cs="Calibri"/>
                <w:color w:val="FFFFFF" w:themeColor="background1"/>
                <w:sz w:val="20"/>
                <w:szCs w:val="20"/>
              </w:rPr>
            </w:pPr>
            <w:r w:rsidRPr="00BB4743">
              <w:rPr>
                <w:rFonts w:cs="Calibri"/>
                <w:color w:val="FFFFFF" w:themeColor="background1"/>
                <w:sz w:val="20"/>
                <w:szCs w:val="20"/>
              </w:rPr>
              <w:t>Development Partners/ Academia</w:t>
            </w:r>
          </w:p>
        </w:tc>
      </w:tr>
      <w:tr w:rsidR="00041B22" w:rsidRPr="000B3487" w14:paraId="1888DBE4"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24419078" w14:textId="36B80B1A" w:rsidR="00687B10" w:rsidRPr="00BB4743" w:rsidRDefault="293BBB2E" w:rsidP="000B3487">
            <w:pPr>
              <w:rPr>
                <w:rFonts w:cs="Calibri"/>
                <w:b/>
                <w:bCs/>
                <w:color w:val="auto"/>
                <w:sz w:val="20"/>
                <w:szCs w:val="20"/>
              </w:rPr>
            </w:pPr>
            <w:r w:rsidRPr="00BB4743">
              <w:rPr>
                <w:rFonts w:eastAsia="Calibri" w:cs="Calibri"/>
                <w:b/>
                <w:bCs/>
                <w:color w:val="auto"/>
                <w:sz w:val="20"/>
                <w:szCs w:val="20"/>
              </w:rPr>
              <w:t>Dr Ndella Konate</w:t>
            </w:r>
          </w:p>
        </w:tc>
        <w:tc>
          <w:tcPr>
            <w:tcW w:w="3221" w:type="dxa"/>
          </w:tcPr>
          <w:p w14:paraId="0250242A" w14:textId="0D878326" w:rsidR="00687B10" w:rsidRPr="00BB4743" w:rsidRDefault="293BBB2E" w:rsidP="00BB4743">
            <w:pPr>
              <w:rPr>
                <w:rFonts w:cs="Calibri"/>
                <w:color w:val="auto"/>
                <w:sz w:val="20"/>
                <w:szCs w:val="20"/>
                <w:lang w:val="fr-FR"/>
              </w:rPr>
            </w:pPr>
            <w:r w:rsidRPr="00BB4743">
              <w:rPr>
                <w:rFonts w:eastAsia="Calibri" w:cs="Calibri"/>
                <w:color w:val="auto"/>
                <w:sz w:val="20"/>
                <w:szCs w:val="20"/>
                <w:lang w:val="fr-FR"/>
              </w:rPr>
              <w:t>Direction de la Qualité, de la Sécurité et de l’Hygiène Hospitalières</w:t>
            </w:r>
          </w:p>
        </w:tc>
        <w:tc>
          <w:tcPr>
            <w:tcW w:w="3221" w:type="dxa"/>
          </w:tcPr>
          <w:p w14:paraId="57880732" w14:textId="1F271B54" w:rsidR="00687B10" w:rsidRPr="00BB4743" w:rsidRDefault="293BBB2E" w:rsidP="00BB4743">
            <w:pPr>
              <w:rPr>
                <w:rFonts w:cs="Calibri"/>
                <w:color w:val="auto"/>
                <w:sz w:val="20"/>
                <w:szCs w:val="20"/>
              </w:rPr>
            </w:pPr>
            <w:r w:rsidRPr="00BB4743">
              <w:rPr>
                <w:rFonts w:eastAsia="Calibri" w:cs="Calibri"/>
                <w:color w:val="auto"/>
                <w:sz w:val="20"/>
                <w:szCs w:val="20"/>
              </w:rPr>
              <w:t>Director</w:t>
            </w:r>
          </w:p>
        </w:tc>
      </w:tr>
      <w:tr w:rsidR="00041B22" w:rsidRPr="000B3487" w14:paraId="32DF4BB6"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55687253" w14:textId="5A187CB4" w:rsidR="00687B10" w:rsidRPr="00BB4743" w:rsidRDefault="293BBB2E" w:rsidP="000B3487">
            <w:pPr>
              <w:rPr>
                <w:rFonts w:cs="Calibri"/>
                <w:b/>
                <w:bCs/>
                <w:color w:val="auto"/>
                <w:sz w:val="20"/>
                <w:szCs w:val="20"/>
              </w:rPr>
            </w:pPr>
            <w:r w:rsidRPr="00BB4743">
              <w:rPr>
                <w:rFonts w:eastAsia="Calibri" w:cs="Calibri"/>
                <w:b/>
                <w:bCs/>
                <w:color w:val="auto"/>
                <w:sz w:val="20"/>
                <w:szCs w:val="20"/>
              </w:rPr>
              <w:t>Dr Mbargou Lo</w:t>
            </w:r>
          </w:p>
        </w:tc>
        <w:tc>
          <w:tcPr>
            <w:tcW w:w="3221" w:type="dxa"/>
          </w:tcPr>
          <w:p w14:paraId="22F6B258" w14:textId="6D6FF69C" w:rsidR="00687B10" w:rsidRPr="00BB4743" w:rsidRDefault="293BBB2E" w:rsidP="00BB4743">
            <w:pPr>
              <w:rPr>
                <w:rFonts w:cs="Calibri"/>
                <w:color w:val="auto"/>
                <w:sz w:val="20"/>
                <w:szCs w:val="20"/>
                <w:lang w:val="fr-FR"/>
              </w:rPr>
            </w:pPr>
            <w:r w:rsidRPr="00BB4743">
              <w:rPr>
                <w:rFonts w:eastAsia="Calibri" w:cs="Calibri"/>
                <w:color w:val="auto"/>
                <w:sz w:val="20"/>
                <w:szCs w:val="20"/>
                <w:lang w:val="fr-FR"/>
              </w:rPr>
              <w:t>Ministère de l'Elevage (MEPA) Direction des Services Vétérinaires (DSV)</w:t>
            </w:r>
          </w:p>
        </w:tc>
        <w:tc>
          <w:tcPr>
            <w:tcW w:w="3221" w:type="dxa"/>
          </w:tcPr>
          <w:p w14:paraId="6D24ABCA" w14:textId="527A1308" w:rsidR="00687B10" w:rsidRPr="00BB4743" w:rsidRDefault="293BBB2E" w:rsidP="00BB4743">
            <w:pPr>
              <w:rPr>
                <w:rFonts w:cs="Calibri"/>
                <w:color w:val="auto"/>
                <w:sz w:val="20"/>
                <w:szCs w:val="20"/>
              </w:rPr>
            </w:pPr>
            <w:r w:rsidRPr="00BB4743">
              <w:rPr>
                <w:rFonts w:eastAsia="Calibri" w:cs="Calibri"/>
                <w:color w:val="auto"/>
                <w:sz w:val="20"/>
                <w:szCs w:val="20"/>
              </w:rPr>
              <w:t>Directeur des Services vétérinaires</w:t>
            </w:r>
          </w:p>
        </w:tc>
      </w:tr>
      <w:tr w:rsidR="00041B22" w:rsidRPr="000B3487" w14:paraId="62A2C8DA"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3B684B2D" w14:textId="35307385" w:rsidR="00687B10" w:rsidRPr="00BB4743" w:rsidRDefault="293BBB2E" w:rsidP="000B3487">
            <w:pPr>
              <w:rPr>
                <w:rFonts w:cs="Calibri"/>
                <w:b/>
                <w:bCs/>
                <w:color w:val="auto"/>
                <w:sz w:val="20"/>
                <w:szCs w:val="20"/>
              </w:rPr>
            </w:pPr>
            <w:r w:rsidRPr="00BB4743">
              <w:rPr>
                <w:rFonts w:eastAsia="Calibri" w:cs="Calibri"/>
                <w:b/>
                <w:bCs/>
                <w:color w:val="auto"/>
                <w:sz w:val="20"/>
                <w:szCs w:val="20"/>
              </w:rPr>
              <w:t>Mme Fatou Bèye Sarre</w:t>
            </w:r>
          </w:p>
        </w:tc>
        <w:tc>
          <w:tcPr>
            <w:tcW w:w="3221" w:type="dxa"/>
          </w:tcPr>
          <w:p w14:paraId="2B18D0D2" w14:textId="5319A9F8" w:rsidR="00687B10" w:rsidRPr="00BB4743" w:rsidRDefault="293BBB2E" w:rsidP="00BB4743">
            <w:pPr>
              <w:rPr>
                <w:rFonts w:cs="Calibri"/>
                <w:color w:val="auto"/>
                <w:sz w:val="20"/>
                <w:szCs w:val="20"/>
              </w:rPr>
            </w:pPr>
            <w:r w:rsidRPr="00BB4743">
              <w:rPr>
                <w:rFonts w:eastAsia="Calibri" w:cs="Calibri"/>
                <w:color w:val="auto"/>
                <w:sz w:val="20"/>
                <w:szCs w:val="20"/>
              </w:rPr>
              <w:t>LANAC - Ministère du Commerce</w:t>
            </w:r>
          </w:p>
        </w:tc>
        <w:tc>
          <w:tcPr>
            <w:tcW w:w="3221" w:type="dxa"/>
          </w:tcPr>
          <w:p w14:paraId="720FC919" w14:textId="594D61AA" w:rsidR="00687B10" w:rsidRPr="00BB4743" w:rsidRDefault="293BBB2E" w:rsidP="00BB4743">
            <w:pPr>
              <w:rPr>
                <w:rFonts w:cs="Calibri"/>
                <w:color w:val="auto"/>
                <w:sz w:val="20"/>
                <w:szCs w:val="20"/>
              </w:rPr>
            </w:pPr>
            <w:r w:rsidRPr="00BB4743">
              <w:rPr>
                <w:rFonts w:eastAsia="Calibri" w:cs="Calibri"/>
                <w:color w:val="auto"/>
                <w:sz w:val="20"/>
                <w:szCs w:val="20"/>
              </w:rPr>
              <w:t>AMR Contact Point</w:t>
            </w:r>
          </w:p>
        </w:tc>
      </w:tr>
      <w:tr w:rsidR="00041B22" w:rsidRPr="000B3487" w14:paraId="57CC5AF0"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7DD65456" w14:textId="5F5BD382" w:rsidR="2C23F42B" w:rsidRPr="00BB4743" w:rsidRDefault="2C23F42B" w:rsidP="000B3487">
            <w:pPr>
              <w:rPr>
                <w:rFonts w:eastAsia="Calibri" w:cs="Calibri"/>
                <w:b/>
                <w:bCs/>
                <w:color w:val="auto"/>
                <w:sz w:val="20"/>
                <w:szCs w:val="20"/>
              </w:rPr>
            </w:pPr>
            <w:r w:rsidRPr="00BB4743">
              <w:rPr>
                <w:rFonts w:eastAsia="Calibri" w:cs="Calibri"/>
                <w:b/>
                <w:bCs/>
                <w:color w:val="auto"/>
                <w:sz w:val="20"/>
                <w:szCs w:val="20"/>
              </w:rPr>
              <w:t>Dr Mady Ba</w:t>
            </w:r>
          </w:p>
        </w:tc>
        <w:tc>
          <w:tcPr>
            <w:tcW w:w="3221" w:type="dxa"/>
          </w:tcPr>
          <w:p w14:paraId="551029AF" w14:textId="3CBC881C" w:rsidR="2C23F42B" w:rsidRPr="00BB4743" w:rsidRDefault="2C23F42B" w:rsidP="00BB4743">
            <w:pPr>
              <w:rPr>
                <w:rFonts w:eastAsia="Calibri" w:cs="Calibri"/>
                <w:color w:val="auto"/>
                <w:sz w:val="20"/>
                <w:szCs w:val="20"/>
              </w:rPr>
            </w:pPr>
            <w:r w:rsidRPr="00BB4743">
              <w:rPr>
                <w:rFonts w:eastAsia="Calibri" w:cs="Calibri"/>
                <w:color w:val="auto"/>
                <w:sz w:val="20"/>
                <w:szCs w:val="20"/>
              </w:rPr>
              <w:t>WHO</w:t>
            </w:r>
          </w:p>
        </w:tc>
        <w:tc>
          <w:tcPr>
            <w:tcW w:w="3221" w:type="dxa"/>
          </w:tcPr>
          <w:p w14:paraId="1518F32C" w14:textId="5A216DB8" w:rsidR="2C23F42B" w:rsidRPr="00BB4743" w:rsidRDefault="2C23F42B" w:rsidP="00BB4743">
            <w:pPr>
              <w:rPr>
                <w:rFonts w:eastAsia="Calibri" w:cs="Calibri"/>
                <w:color w:val="auto"/>
                <w:sz w:val="20"/>
                <w:szCs w:val="20"/>
              </w:rPr>
            </w:pPr>
            <w:r w:rsidRPr="00BB4743">
              <w:rPr>
                <w:rFonts w:eastAsia="Calibri" w:cs="Calibri"/>
                <w:color w:val="auto"/>
                <w:sz w:val="20"/>
                <w:szCs w:val="20"/>
              </w:rPr>
              <w:t>NPO</w:t>
            </w:r>
          </w:p>
        </w:tc>
      </w:tr>
      <w:tr w:rsidR="00041B22" w:rsidRPr="000B3487" w14:paraId="083403B2"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4FFB4A17" w14:textId="3DC5C26E" w:rsidR="0D013820" w:rsidRPr="00BB4743" w:rsidRDefault="0D013820" w:rsidP="000B3487">
            <w:pPr>
              <w:rPr>
                <w:rFonts w:eastAsia="Calibri" w:cs="Calibri"/>
                <w:b/>
                <w:bCs/>
                <w:color w:val="auto"/>
                <w:sz w:val="20"/>
                <w:szCs w:val="20"/>
              </w:rPr>
            </w:pPr>
            <w:r w:rsidRPr="00BB4743">
              <w:rPr>
                <w:rFonts w:eastAsia="Calibri" w:cs="Calibri"/>
                <w:b/>
                <w:bCs/>
                <w:color w:val="auto"/>
                <w:sz w:val="20"/>
                <w:szCs w:val="20"/>
              </w:rPr>
              <w:t>Doudou Diop</w:t>
            </w:r>
          </w:p>
        </w:tc>
        <w:tc>
          <w:tcPr>
            <w:tcW w:w="3221" w:type="dxa"/>
          </w:tcPr>
          <w:p w14:paraId="39E95E66" w14:textId="05E96B60" w:rsidR="0D013820" w:rsidRPr="00BB4743" w:rsidRDefault="0D013820" w:rsidP="00BB4743">
            <w:pPr>
              <w:rPr>
                <w:rFonts w:eastAsia="Calibri" w:cs="Calibri"/>
                <w:color w:val="auto"/>
                <w:sz w:val="20"/>
                <w:szCs w:val="20"/>
              </w:rPr>
            </w:pPr>
            <w:r w:rsidRPr="00BB4743">
              <w:rPr>
                <w:rFonts w:eastAsia="Calibri" w:cs="Calibri"/>
                <w:color w:val="auto"/>
                <w:sz w:val="20"/>
                <w:szCs w:val="20"/>
              </w:rPr>
              <w:t>PATH</w:t>
            </w:r>
          </w:p>
        </w:tc>
        <w:tc>
          <w:tcPr>
            <w:tcW w:w="3221" w:type="dxa"/>
          </w:tcPr>
          <w:p w14:paraId="68246E7D" w14:textId="4331E73A" w:rsidR="0D013820" w:rsidRPr="00BB4743" w:rsidRDefault="0D013820" w:rsidP="00BB4743">
            <w:pPr>
              <w:rPr>
                <w:rFonts w:eastAsia="Calibri" w:cs="Calibri"/>
                <w:color w:val="auto"/>
                <w:sz w:val="20"/>
                <w:szCs w:val="20"/>
              </w:rPr>
            </w:pPr>
            <w:r w:rsidRPr="00BB4743">
              <w:rPr>
                <w:rFonts w:eastAsia="Calibri" w:cs="Calibri"/>
                <w:color w:val="auto"/>
                <w:sz w:val="20"/>
                <w:szCs w:val="20"/>
              </w:rPr>
              <w:t>USAID IDDS Lead</w:t>
            </w:r>
          </w:p>
        </w:tc>
      </w:tr>
      <w:tr w:rsidR="00041B22" w:rsidRPr="000B3487" w14:paraId="26A9A1DD"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64BD69C1" w14:textId="0D1D254E" w:rsidR="0D013820" w:rsidRPr="00BB4743" w:rsidRDefault="0D013820" w:rsidP="000B3487">
            <w:pPr>
              <w:rPr>
                <w:rFonts w:eastAsia="Calibri" w:cs="Calibri"/>
                <w:b/>
                <w:bCs/>
                <w:color w:val="auto"/>
                <w:sz w:val="20"/>
                <w:szCs w:val="20"/>
              </w:rPr>
            </w:pPr>
            <w:r w:rsidRPr="00BB4743">
              <w:rPr>
                <w:rFonts w:eastAsia="Calibri" w:cs="Calibri"/>
                <w:b/>
                <w:bCs/>
                <w:color w:val="auto"/>
                <w:sz w:val="20"/>
                <w:szCs w:val="20"/>
              </w:rPr>
              <w:t>Pr Makhtar Camara</w:t>
            </w:r>
          </w:p>
        </w:tc>
        <w:tc>
          <w:tcPr>
            <w:tcW w:w="3221" w:type="dxa"/>
          </w:tcPr>
          <w:p w14:paraId="72C314F1" w14:textId="6E9A0889" w:rsidR="0D013820" w:rsidRPr="00BB4743" w:rsidRDefault="0D013820" w:rsidP="00BB4743">
            <w:pPr>
              <w:rPr>
                <w:rFonts w:cs="Calibri"/>
                <w:color w:val="auto"/>
                <w:sz w:val="20"/>
                <w:szCs w:val="20"/>
                <w:lang w:val="fr-FR"/>
              </w:rPr>
            </w:pPr>
            <w:r w:rsidRPr="00BB4743">
              <w:rPr>
                <w:rFonts w:eastAsia="Calibri" w:cs="Calibri"/>
                <w:color w:val="auto"/>
                <w:sz w:val="20"/>
                <w:szCs w:val="20"/>
                <w:lang w:val="fr-FR"/>
              </w:rPr>
              <w:t>Institut de Recherche en Santé, de Surveillance Epidémiologique et de Formation (IRESSEF)</w:t>
            </w:r>
          </w:p>
        </w:tc>
        <w:tc>
          <w:tcPr>
            <w:tcW w:w="3221" w:type="dxa"/>
          </w:tcPr>
          <w:p w14:paraId="4765A117" w14:textId="3C70C5B1" w:rsidR="0D013820" w:rsidRPr="00BB4743" w:rsidRDefault="0D013820" w:rsidP="00BB4743">
            <w:pPr>
              <w:rPr>
                <w:rFonts w:eastAsia="Calibri" w:cs="Calibri"/>
                <w:color w:val="auto"/>
                <w:sz w:val="20"/>
                <w:szCs w:val="20"/>
              </w:rPr>
            </w:pPr>
            <w:r w:rsidRPr="00BB4743">
              <w:rPr>
                <w:rFonts w:eastAsia="Calibri" w:cs="Calibri"/>
                <w:color w:val="auto"/>
                <w:sz w:val="20"/>
                <w:szCs w:val="20"/>
              </w:rPr>
              <w:t>Professor</w:t>
            </w:r>
          </w:p>
        </w:tc>
      </w:tr>
      <w:tr w:rsidR="00041B22" w:rsidRPr="000B3487" w14:paraId="0B644685"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47D81874" w14:textId="36A5F5AD" w:rsidR="0D013820" w:rsidRPr="00BB4743" w:rsidRDefault="0D013820" w:rsidP="000B3487">
            <w:pPr>
              <w:rPr>
                <w:rFonts w:eastAsia="Calibri" w:cs="Calibri"/>
                <w:b/>
                <w:bCs/>
                <w:color w:val="auto"/>
                <w:sz w:val="20"/>
                <w:szCs w:val="20"/>
              </w:rPr>
            </w:pPr>
            <w:r w:rsidRPr="00BB4743">
              <w:rPr>
                <w:rFonts w:eastAsia="Calibri" w:cs="Calibri"/>
                <w:b/>
                <w:bCs/>
                <w:color w:val="auto"/>
                <w:sz w:val="20"/>
                <w:szCs w:val="20"/>
              </w:rPr>
              <w:t>Awa Ba Diallo</w:t>
            </w:r>
          </w:p>
        </w:tc>
        <w:tc>
          <w:tcPr>
            <w:tcW w:w="3221" w:type="dxa"/>
          </w:tcPr>
          <w:p w14:paraId="1D69D815" w14:textId="4F2AFACC" w:rsidR="4D219355" w:rsidRPr="00BB4743" w:rsidRDefault="4D219355" w:rsidP="00BB4743">
            <w:pPr>
              <w:rPr>
                <w:rFonts w:cs="Calibri"/>
                <w:color w:val="auto"/>
                <w:sz w:val="20"/>
                <w:szCs w:val="20"/>
              </w:rPr>
            </w:pPr>
            <w:r w:rsidRPr="00BB4743">
              <w:rPr>
                <w:rFonts w:eastAsia="Calibri" w:cs="Calibri"/>
                <w:color w:val="auto"/>
                <w:sz w:val="20"/>
                <w:szCs w:val="20"/>
              </w:rPr>
              <w:t>Hopital Le Dantec</w:t>
            </w:r>
          </w:p>
        </w:tc>
        <w:tc>
          <w:tcPr>
            <w:tcW w:w="3221" w:type="dxa"/>
          </w:tcPr>
          <w:p w14:paraId="08FD82E7" w14:textId="0F9366C1" w:rsidR="0D013820" w:rsidRPr="00BB4743" w:rsidRDefault="0D013820" w:rsidP="00BB4743">
            <w:pPr>
              <w:rPr>
                <w:rFonts w:cs="Calibri"/>
                <w:color w:val="auto"/>
                <w:sz w:val="20"/>
                <w:szCs w:val="20"/>
              </w:rPr>
            </w:pPr>
            <w:r w:rsidRPr="00BB4743">
              <w:rPr>
                <w:rFonts w:eastAsia="Calibri" w:cs="Calibri"/>
                <w:color w:val="auto"/>
                <w:sz w:val="20"/>
                <w:szCs w:val="20"/>
              </w:rPr>
              <w:t>Colleague of Pr. Camara</w:t>
            </w:r>
          </w:p>
        </w:tc>
      </w:tr>
      <w:tr w:rsidR="00687B10" w:rsidRPr="00D770D4" w14:paraId="18C8CA86"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1A004E4E" w14:textId="77777777" w:rsidR="00687B10" w:rsidRPr="00BB4743" w:rsidRDefault="00687B10">
            <w:pPr>
              <w:rPr>
                <w:rFonts w:cs="Calibri"/>
                <w:color w:val="FFFFFF" w:themeColor="background1"/>
                <w:sz w:val="20"/>
                <w:szCs w:val="20"/>
              </w:rPr>
            </w:pPr>
            <w:r w:rsidRPr="00BB4743">
              <w:rPr>
                <w:rFonts w:cs="Calibri"/>
                <w:color w:val="FFFFFF" w:themeColor="background1"/>
                <w:sz w:val="20"/>
                <w:szCs w:val="20"/>
              </w:rPr>
              <w:t>NRL &amp; Site Visit</w:t>
            </w:r>
          </w:p>
        </w:tc>
      </w:tr>
      <w:tr w:rsidR="00041B22" w:rsidRPr="000B3487" w14:paraId="07124CCD"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A0E3564" w14:textId="54EF125A" w:rsidR="00687B10" w:rsidRPr="00BB4743" w:rsidRDefault="7B412740" w:rsidP="000B3487">
            <w:pPr>
              <w:rPr>
                <w:rFonts w:cs="Calibri"/>
                <w:b/>
                <w:bCs/>
                <w:color w:val="auto"/>
                <w:sz w:val="20"/>
                <w:szCs w:val="20"/>
              </w:rPr>
            </w:pPr>
            <w:r w:rsidRPr="00BB4743">
              <w:rPr>
                <w:rFonts w:eastAsia="Calibri" w:cs="Calibri"/>
                <w:b/>
                <w:bCs/>
                <w:color w:val="auto"/>
                <w:sz w:val="20"/>
                <w:szCs w:val="20"/>
              </w:rPr>
              <w:t>Dr Rokhaya Diagne</w:t>
            </w:r>
          </w:p>
        </w:tc>
        <w:tc>
          <w:tcPr>
            <w:tcW w:w="3221" w:type="dxa"/>
          </w:tcPr>
          <w:p w14:paraId="3E233ECE" w14:textId="74F90199" w:rsidR="00687B10" w:rsidRPr="00FC65C1" w:rsidRDefault="00211F10" w:rsidP="00BB4743">
            <w:pPr>
              <w:rPr>
                <w:rFonts w:cs="Calibri"/>
                <w:color w:val="auto"/>
                <w:sz w:val="20"/>
                <w:szCs w:val="20"/>
                <w:lang w:val="fr-FR" w:eastAsia="en-GB"/>
              </w:rPr>
            </w:pPr>
            <w:r w:rsidRPr="00FC65C1">
              <w:rPr>
                <w:rFonts w:cs="Calibri"/>
                <w:sz w:val="20"/>
                <w:szCs w:val="20"/>
                <w:lang w:val="fr-FR" w:eastAsia="en-GB"/>
              </w:rPr>
              <w:t>Laboratoire National de Santé Publique</w:t>
            </w:r>
          </w:p>
        </w:tc>
        <w:tc>
          <w:tcPr>
            <w:tcW w:w="3221" w:type="dxa"/>
          </w:tcPr>
          <w:p w14:paraId="692D39E1" w14:textId="6187FCB2" w:rsidR="00687B10" w:rsidRPr="00FC65C1" w:rsidRDefault="7B412740" w:rsidP="00BB4743">
            <w:pPr>
              <w:rPr>
                <w:rFonts w:cs="Calibri"/>
                <w:color w:val="auto"/>
                <w:sz w:val="20"/>
                <w:szCs w:val="20"/>
              </w:rPr>
            </w:pPr>
            <w:r w:rsidRPr="00FC65C1">
              <w:rPr>
                <w:rFonts w:cs="Calibri"/>
                <w:sz w:val="20"/>
                <w:szCs w:val="20"/>
              </w:rPr>
              <w:t>Director</w:t>
            </w:r>
          </w:p>
        </w:tc>
      </w:tr>
      <w:tr w:rsidR="00041B22" w:rsidRPr="000B3487" w14:paraId="634B4D27"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641902B4" w14:textId="0530B8DF" w:rsidR="00687B10" w:rsidRPr="00BB4743" w:rsidRDefault="7B412740" w:rsidP="000B3487">
            <w:pPr>
              <w:rPr>
                <w:rFonts w:cs="Calibri"/>
                <w:b/>
                <w:bCs/>
                <w:color w:val="auto"/>
                <w:sz w:val="20"/>
                <w:szCs w:val="20"/>
              </w:rPr>
            </w:pPr>
            <w:r w:rsidRPr="00BB4743">
              <w:rPr>
                <w:rFonts w:eastAsia="Calibri" w:cs="Calibri"/>
                <w:b/>
                <w:bCs/>
                <w:color w:val="auto"/>
                <w:sz w:val="20"/>
                <w:szCs w:val="20"/>
              </w:rPr>
              <w:t>Dr Mame Nahe Diouf</w:t>
            </w:r>
          </w:p>
        </w:tc>
        <w:tc>
          <w:tcPr>
            <w:tcW w:w="3221" w:type="dxa"/>
          </w:tcPr>
          <w:p w14:paraId="2E899001" w14:textId="5948C071" w:rsidR="00687B10" w:rsidRPr="00214C55" w:rsidRDefault="00C84387" w:rsidP="00BB4743">
            <w:pPr>
              <w:rPr>
                <w:rFonts w:cs="Calibri"/>
                <w:color w:val="auto"/>
                <w:sz w:val="20"/>
                <w:szCs w:val="20"/>
                <w:lang w:val="fr-FR" w:eastAsia="en-GB"/>
              </w:rPr>
            </w:pPr>
            <w:r w:rsidRPr="00214C55">
              <w:rPr>
                <w:rFonts w:cs="Calibri"/>
                <w:color w:val="auto"/>
                <w:sz w:val="20"/>
                <w:szCs w:val="20"/>
                <w:lang w:val="fr-FR" w:eastAsia="en-GB"/>
              </w:rPr>
              <w:t>Laboratoire National de l'Elevage et de Recherches Vétérinaires (</w:t>
            </w:r>
            <w:r w:rsidR="7B412740" w:rsidRPr="00214C55">
              <w:rPr>
                <w:rFonts w:cs="Calibri"/>
                <w:sz w:val="20"/>
                <w:szCs w:val="20"/>
                <w:lang w:val="fr-FR" w:eastAsia="en-GB"/>
              </w:rPr>
              <w:t>LNERV</w:t>
            </w:r>
            <w:r w:rsidR="004E5491" w:rsidRPr="00214C55">
              <w:rPr>
                <w:rFonts w:cs="Calibri"/>
                <w:color w:val="auto"/>
                <w:sz w:val="20"/>
                <w:szCs w:val="20"/>
                <w:lang w:val="fr-FR" w:eastAsia="en-GB"/>
              </w:rPr>
              <w:t>)</w:t>
            </w:r>
          </w:p>
        </w:tc>
        <w:tc>
          <w:tcPr>
            <w:tcW w:w="3221" w:type="dxa"/>
          </w:tcPr>
          <w:p w14:paraId="6E663D51" w14:textId="05F05D00" w:rsidR="00687B10" w:rsidRPr="00BB4743" w:rsidRDefault="7B412740" w:rsidP="00BB4743">
            <w:pPr>
              <w:rPr>
                <w:rFonts w:cs="Calibri"/>
                <w:color w:val="auto"/>
                <w:sz w:val="20"/>
                <w:szCs w:val="20"/>
              </w:rPr>
            </w:pPr>
            <w:r w:rsidRPr="00BB4743">
              <w:rPr>
                <w:rFonts w:eastAsia="Calibri" w:cs="Calibri"/>
                <w:color w:val="auto"/>
                <w:sz w:val="20"/>
                <w:szCs w:val="20"/>
              </w:rPr>
              <w:t>Director of the laboratory</w:t>
            </w:r>
          </w:p>
        </w:tc>
      </w:tr>
      <w:tr w:rsidR="00041B22" w:rsidRPr="000B3487" w14:paraId="2E412921"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5ADBAD67" w14:textId="2BD8BF64" w:rsidR="00687B10" w:rsidRPr="00BB4743" w:rsidRDefault="7B412740" w:rsidP="000B3487">
            <w:pPr>
              <w:rPr>
                <w:rFonts w:cs="Calibri"/>
                <w:b/>
                <w:bCs/>
                <w:color w:val="auto"/>
                <w:sz w:val="20"/>
                <w:szCs w:val="20"/>
              </w:rPr>
            </w:pPr>
            <w:r w:rsidRPr="00BB4743">
              <w:rPr>
                <w:rFonts w:eastAsia="Calibri" w:cs="Calibri"/>
                <w:b/>
                <w:bCs/>
                <w:color w:val="auto"/>
                <w:sz w:val="20"/>
                <w:szCs w:val="20"/>
              </w:rPr>
              <w:t>Dr Mamadou Alpha Diallo</w:t>
            </w:r>
          </w:p>
        </w:tc>
        <w:tc>
          <w:tcPr>
            <w:tcW w:w="3221" w:type="dxa"/>
          </w:tcPr>
          <w:p w14:paraId="38983943" w14:textId="3E1B5C7E" w:rsidR="00687B10" w:rsidRPr="00BB4743" w:rsidRDefault="7B412740" w:rsidP="00BB4743">
            <w:pPr>
              <w:rPr>
                <w:rFonts w:cs="Calibri"/>
                <w:color w:val="auto"/>
                <w:sz w:val="20"/>
                <w:szCs w:val="20"/>
                <w:lang w:eastAsia="en-GB"/>
              </w:rPr>
            </w:pPr>
            <w:r w:rsidRPr="00BB4743">
              <w:rPr>
                <w:rFonts w:cs="Calibri"/>
                <w:sz w:val="20"/>
                <w:szCs w:val="20"/>
                <w:lang w:eastAsia="en-GB"/>
              </w:rPr>
              <w:t>LNERV</w:t>
            </w:r>
          </w:p>
        </w:tc>
        <w:tc>
          <w:tcPr>
            <w:tcW w:w="3221" w:type="dxa"/>
          </w:tcPr>
          <w:p w14:paraId="42D987F2" w14:textId="688A19F7" w:rsidR="00687B10" w:rsidRPr="00BB4743" w:rsidRDefault="7B412740" w:rsidP="00BB4743">
            <w:pPr>
              <w:rPr>
                <w:rFonts w:cs="Calibri"/>
                <w:color w:val="auto"/>
                <w:sz w:val="20"/>
                <w:szCs w:val="20"/>
              </w:rPr>
            </w:pPr>
            <w:r w:rsidRPr="00BB4743">
              <w:rPr>
                <w:rFonts w:eastAsia="Calibri" w:cs="Calibri"/>
                <w:color w:val="auto"/>
                <w:sz w:val="20"/>
                <w:szCs w:val="20"/>
              </w:rPr>
              <w:t>Responsible f</w:t>
            </w:r>
            <w:r w:rsidR="00D770D4" w:rsidRPr="00BB4743">
              <w:rPr>
                <w:rFonts w:eastAsia="Calibri" w:cs="Calibri"/>
                <w:color w:val="auto"/>
                <w:sz w:val="20"/>
                <w:szCs w:val="20"/>
              </w:rPr>
              <w:t>or</w:t>
            </w:r>
            <w:r w:rsidRPr="00BB4743">
              <w:rPr>
                <w:rFonts w:eastAsia="Calibri" w:cs="Calibri"/>
                <w:color w:val="auto"/>
                <w:sz w:val="20"/>
                <w:szCs w:val="20"/>
              </w:rPr>
              <w:t xml:space="preserve"> the microbio</w:t>
            </w:r>
            <w:r w:rsidR="00D770D4" w:rsidRPr="00BB4743">
              <w:rPr>
                <w:rFonts w:eastAsia="Calibri" w:cs="Calibri"/>
                <w:color w:val="auto"/>
                <w:sz w:val="20"/>
                <w:szCs w:val="20"/>
              </w:rPr>
              <w:t>l</w:t>
            </w:r>
            <w:r w:rsidRPr="00BB4743">
              <w:rPr>
                <w:rFonts w:eastAsia="Calibri" w:cs="Calibri"/>
                <w:color w:val="auto"/>
                <w:sz w:val="20"/>
                <w:szCs w:val="20"/>
              </w:rPr>
              <w:t>ogy laboratory</w:t>
            </w:r>
          </w:p>
        </w:tc>
      </w:tr>
      <w:tr w:rsidR="00041B22" w:rsidRPr="000B3487" w14:paraId="4CB0701C"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4D3A524" w14:textId="77D2B901" w:rsidR="00687B10" w:rsidRPr="00BB4743" w:rsidRDefault="7B412740" w:rsidP="000B3487">
            <w:pPr>
              <w:rPr>
                <w:rFonts w:cs="Calibri"/>
                <w:b/>
                <w:bCs/>
                <w:color w:val="auto"/>
                <w:sz w:val="20"/>
                <w:szCs w:val="20"/>
              </w:rPr>
            </w:pPr>
            <w:r w:rsidRPr="00BB4743">
              <w:rPr>
                <w:rFonts w:eastAsia="Calibri" w:cs="Calibri"/>
                <w:b/>
                <w:bCs/>
                <w:color w:val="auto"/>
                <w:sz w:val="20"/>
                <w:szCs w:val="20"/>
              </w:rPr>
              <w:t>Mr Thierno NDIAYE</w:t>
            </w:r>
          </w:p>
        </w:tc>
        <w:tc>
          <w:tcPr>
            <w:tcW w:w="3221" w:type="dxa"/>
          </w:tcPr>
          <w:p w14:paraId="16731ADD" w14:textId="22CCDC1D" w:rsidR="00687B10" w:rsidRPr="00BB4743" w:rsidRDefault="7B412740" w:rsidP="00BB4743">
            <w:pPr>
              <w:rPr>
                <w:rFonts w:cs="Calibri"/>
                <w:color w:val="auto"/>
                <w:sz w:val="20"/>
                <w:szCs w:val="20"/>
              </w:rPr>
            </w:pPr>
            <w:r w:rsidRPr="00BB4743">
              <w:rPr>
                <w:rFonts w:eastAsia="Calibri" w:cs="Calibri"/>
                <w:color w:val="auto"/>
                <w:sz w:val="20"/>
                <w:szCs w:val="20"/>
              </w:rPr>
              <w:t>Hopital de St Louis</w:t>
            </w:r>
          </w:p>
        </w:tc>
        <w:tc>
          <w:tcPr>
            <w:tcW w:w="3221" w:type="dxa"/>
          </w:tcPr>
          <w:p w14:paraId="58DA6062" w14:textId="553A9AFD" w:rsidR="00687B10" w:rsidRPr="00BB4743" w:rsidRDefault="7B412740" w:rsidP="00BB4743">
            <w:pPr>
              <w:rPr>
                <w:rFonts w:cs="Calibri"/>
                <w:color w:val="auto"/>
                <w:sz w:val="20"/>
                <w:szCs w:val="20"/>
              </w:rPr>
            </w:pPr>
            <w:r w:rsidRPr="00BB4743">
              <w:rPr>
                <w:rFonts w:eastAsia="Calibri" w:cs="Calibri"/>
                <w:color w:val="auto"/>
                <w:sz w:val="20"/>
                <w:szCs w:val="20"/>
              </w:rPr>
              <w:t>Director of the hospital</w:t>
            </w:r>
          </w:p>
        </w:tc>
      </w:tr>
      <w:tr w:rsidR="00041B22" w:rsidRPr="000B3487" w14:paraId="032602CB"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0F809DD6" w14:textId="4BC960C7" w:rsidR="4643508C" w:rsidRPr="00BB4743" w:rsidRDefault="4643508C" w:rsidP="000B3487">
            <w:pPr>
              <w:rPr>
                <w:rFonts w:cs="Calibri"/>
                <w:b/>
                <w:bCs/>
                <w:color w:val="auto"/>
                <w:sz w:val="20"/>
                <w:szCs w:val="20"/>
              </w:rPr>
            </w:pPr>
            <w:r w:rsidRPr="00BB4743">
              <w:rPr>
                <w:rFonts w:eastAsia="Calibri" w:cs="Calibri"/>
                <w:b/>
                <w:bCs/>
                <w:color w:val="auto"/>
                <w:sz w:val="20"/>
                <w:szCs w:val="20"/>
              </w:rPr>
              <w:t>Pr Rihanatou Alambedji</w:t>
            </w:r>
          </w:p>
        </w:tc>
        <w:tc>
          <w:tcPr>
            <w:tcW w:w="3221" w:type="dxa"/>
          </w:tcPr>
          <w:p w14:paraId="5DCD090F" w14:textId="4CE9D1C8" w:rsidR="4643508C" w:rsidRPr="00214C55" w:rsidRDefault="004E5491" w:rsidP="00BB4743">
            <w:pPr>
              <w:rPr>
                <w:rFonts w:cs="Calibri"/>
                <w:color w:val="auto"/>
                <w:sz w:val="20"/>
                <w:szCs w:val="20"/>
                <w:lang w:val="fr-FR"/>
              </w:rPr>
            </w:pPr>
            <w:r w:rsidRPr="00214C55">
              <w:rPr>
                <w:rFonts w:eastAsia="Calibri" w:cs="Calibri"/>
                <w:color w:val="auto"/>
                <w:sz w:val="20"/>
                <w:szCs w:val="20"/>
                <w:lang w:val="fr-FR"/>
              </w:rPr>
              <w:t>Ecole Inter-Etats des Sciences et Medecine Vétérinaires (</w:t>
            </w:r>
            <w:r w:rsidR="4643508C" w:rsidRPr="00214C55">
              <w:rPr>
                <w:rFonts w:eastAsia="Calibri" w:cs="Calibri"/>
                <w:color w:val="auto"/>
                <w:sz w:val="20"/>
                <w:szCs w:val="20"/>
                <w:lang w:val="fr-FR"/>
              </w:rPr>
              <w:t>EISMV</w:t>
            </w:r>
            <w:r w:rsidRPr="00214C55">
              <w:rPr>
                <w:rFonts w:eastAsia="Calibri" w:cs="Calibri"/>
                <w:color w:val="auto"/>
                <w:sz w:val="20"/>
                <w:szCs w:val="20"/>
                <w:lang w:val="fr-FR"/>
              </w:rPr>
              <w:t>)</w:t>
            </w:r>
          </w:p>
        </w:tc>
        <w:tc>
          <w:tcPr>
            <w:tcW w:w="3221" w:type="dxa"/>
          </w:tcPr>
          <w:p w14:paraId="702EB021" w14:textId="5978E253" w:rsidR="4643508C" w:rsidRPr="00BB4743" w:rsidRDefault="4643508C" w:rsidP="00BB4743">
            <w:pPr>
              <w:rPr>
                <w:rFonts w:cs="Calibri"/>
                <w:color w:val="auto"/>
                <w:sz w:val="20"/>
                <w:szCs w:val="20"/>
              </w:rPr>
            </w:pPr>
            <w:r w:rsidRPr="00BB4743">
              <w:rPr>
                <w:rFonts w:eastAsia="Calibri" w:cs="Calibri"/>
                <w:color w:val="auto"/>
                <w:sz w:val="20"/>
                <w:szCs w:val="20"/>
              </w:rPr>
              <w:t>Director of the Microbiology lab</w:t>
            </w:r>
          </w:p>
        </w:tc>
      </w:tr>
      <w:tr w:rsidR="00041B22" w:rsidRPr="000B3487" w14:paraId="4FA392F0" w14:textId="77777777" w:rsidTr="64C55F6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6AC76614" w14:textId="54808E60" w:rsidR="48F7EF52" w:rsidRPr="00BB4743" w:rsidRDefault="48F7EF52" w:rsidP="000B3487">
            <w:pPr>
              <w:rPr>
                <w:rFonts w:cs="Calibri"/>
                <w:b/>
                <w:bCs/>
                <w:color w:val="auto"/>
                <w:sz w:val="20"/>
                <w:szCs w:val="20"/>
              </w:rPr>
            </w:pPr>
            <w:r w:rsidRPr="00BB4743">
              <w:rPr>
                <w:rFonts w:eastAsia="Calibri" w:cs="Calibri"/>
                <w:b/>
                <w:bCs/>
                <w:color w:val="auto"/>
                <w:sz w:val="20"/>
                <w:szCs w:val="20"/>
              </w:rPr>
              <w:t>Pr Makhtar Camara</w:t>
            </w:r>
            <w:r w:rsidR="719624B6" w:rsidRPr="00BB4743">
              <w:rPr>
                <w:rFonts w:eastAsia="Calibri" w:cs="Calibri"/>
                <w:b/>
                <w:bCs/>
                <w:color w:val="auto"/>
                <w:sz w:val="20"/>
                <w:szCs w:val="20"/>
              </w:rPr>
              <w:t>*</w:t>
            </w:r>
          </w:p>
        </w:tc>
        <w:tc>
          <w:tcPr>
            <w:tcW w:w="3221" w:type="dxa"/>
          </w:tcPr>
          <w:p w14:paraId="262B31A1" w14:textId="66134C85" w:rsidR="3EE1CEE4" w:rsidRPr="00BB4743" w:rsidRDefault="3EE1CEE4" w:rsidP="00BB4743">
            <w:pPr>
              <w:rPr>
                <w:rFonts w:cs="Calibri"/>
                <w:color w:val="auto"/>
                <w:sz w:val="20"/>
                <w:szCs w:val="20"/>
              </w:rPr>
            </w:pPr>
            <w:r w:rsidRPr="00BB4743">
              <w:rPr>
                <w:rFonts w:eastAsia="Calibri" w:cs="Calibri"/>
                <w:color w:val="auto"/>
                <w:sz w:val="20"/>
                <w:szCs w:val="20"/>
              </w:rPr>
              <w:t>Hopital Le Dantec</w:t>
            </w:r>
          </w:p>
        </w:tc>
        <w:tc>
          <w:tcPr>
            <w:tcW w:w="3221" w:type="dxa"/>
          </w:tcPr>
          <w:p w14:paraId="28682109" w14:textId="5365E825" w:rsidR="3EE1CEE4" w:rsidRPr="00BB4743" w:rsidRDefault="3EE1CEE4" w:rsidP="00BB4743">
            <w:pPr>
              <w:rPr>
                <w:rFonts w:cs="Calibri"/>
                <w:color w:val="auto"/>
                <w:sz w:val="20"/>
                <w:szCs w:val="20"/>
              </w:rPr>
            </w:pPr>
            <w:r w:rsidRPr="00BB4743">
              <w:rPr>
                <w:rFonts w:eastAsia="Calibri" w:cs="Calibri"/>
                <w:color w:val="auto"/>
                <w:sz w:val="20"/>
                <w:szCs w:val="20"/>
              </w:rPr>
              <w:t>Responsable du laboratoire</w:t>
            </w:r>
          </w:p>
        </w:tc>
      </w:tr>
      <w:tr w:rsidR="00041B22" w:rsidRPr="001B7050" w14:paraId="70B7A913" w14:textId="77777777" w:rsidTr="64C55F6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6424111" w14:textId="56894DD6" w:rsidR="48F7EF52" w:rsidRPr="00BB4743" w:rsidRDefault="48F7EF52" w:rsidP="000B3487">
            <w:pPr>
              <w:rPr>
                <w:rFonts w:cs="Calibri"/>
                <w:b/>
                <w:bCs/>
                <w:color w:val="auto"/>
                <w:sz w:val="20"/>
                <w:szCs w:val="20"/>
              </w:rPr>
            </w:pPr>
            <w:r w:rsidRPr="00BB4743">
              <w:rPr>
                <w:rFonts w:eastAsia="Calibri" w:cs="Calibri"/>
                <w:b/>
                <w:bCs/>
                <w:color w:val="auto"/>
                <w:sz w:val="20"/>
                <w:szCs w:val="20"/>
              </w:rPr>
              <w:t>Awa Ba Diallo</w:t>
            </w:r>
            <w:r w:rsidR="5EA5D5BD" w:rsidRPr="00BB4743">
              <w:rPr>
                <w:rFonts w:eastAsia="Calibri" w:cs="Calibri"/>
                <w:b/>
                <w:bCs/>
                <w:color w:val="auto"/>
                <w:sz w:val="20"/>
                <w:szCs w:val="20"/>
              </w:rPr>
              <w:t>*</w:t>
            </w:r>
          </w:p>
        </w:tc>
        <w:tc>
          <w:tcPr>
            <w:tcW w:w="3221" w:type="dxa"/>
          </w:tcPr>
          <w:p w14:paraId="58B4B94C" w14:textId="7C16FF38" w:rsidR="3EE1CEE4" w:rsidRPr="00BB4743" w:rsidRDefault="3EE1CEE4" w:rsidP="00BB4743">
            <w:pPr>
              <w:rPr>
                <w:rFonts w:cs="Calibri"/>
                <w:color w:val="auto"/>
                <w:sz w:val="20"/>
                <w:szCs w:val="20"/>
              </w:rPr>
            </w:pPr>
            <w:r w:rsidRPr="00BB4743">
              <w:rPr>
                <w:rFonts w:eastAsia="Calibri" w:cs="Calibri"/>
                <w:color w:val="auto"/>
                <w:sz w:val="20"/>
                <w:szCs w:val="20"/>
              </w:rPr>
              <w:t>Hopital Le Dantec</w:t>
            </w:r>
          </w:p>
        </w:tc>
        <w:tc>
          <w:tcPr>
            <w:tcW w:w="3221" w:type="dxa"/>
          </w:tcPr>
          <w:p w14:paraId="69F98E51" w14:textId="45D0291A" w:rsidR="3EE1CEE4" w:rsidRPr="00BB4743" w:rsidRDefault="3EE1CEE4" w:rsidP="00BB4743">
            <w:pPr>
              <w:rPr>
                <w:rFonts w:eastAsia="Calibri" w:cs="Calibri"/>
                <w:color w:val="auto"/>
                <w:sz w:val="20"/>
                <w:szCs w:val="20"/>
                <w:lang w:val="fr-FR"/>
              </w:rPr>
            </w:pPr>
            <w:r w:rsidRPr="00BB4743">
              <w:rPr>
                <w:rFonts w:eastAsia="Calibri" w:cs="Calibri"/>
                <w:color w:val="auto"/>
                <w:sz w:val="20"/>
                <w:szCs w:val="20"/>
                <w:lang w:val="fr-FR"/>
              </w:rPr>
              <w:t xml:space="preserve">Responsable de </w:t>
            </w:r>
            <w:r w:rsidR="6CA0A41F" w:rsidRPr="00BB4743">
              <w:rPr>
                <w:rFonts w:eastAsia="Calibri" w:cs="Calibri"/>
                <w:color w:val="auto"/>
                <w:sz w:val="20"/>
                <w:szCs w:val="20"/>
                <w:lang w:val="fr-FR"/>
              </w:rPr>
              <w:t>l'unit</w:t>
            </w:r>
            <w:r w:rsidR="57577A41" w:rsidRPr="00BB4743">
              <w:rPr>
                <w:rFonts w:eastAsia="Calibri" w:cs="Calibri"/>
                <w:color w:val="auto"/>
                <w:sz w:val="20"/>
                <w:szCs w:val="20"/>
                <w:lang w:val="fr-FR"/>
              </w:rPr>
              <w:t>é</w:t>
            </w:r>
            <w:r w:rsidRPr="00BB4743">
              <w:rPr>
                <w:rFonts w:eastAsia="Calibri" w:cs="Calibri"/>
                <w:color w:val="auto"/>
                <w:sz w:val="20"/>
                <w:szCs w:val="20"/>
                <w:lang w:val="fr-FR"/>
              </w:rPr>
              <w:t xml:space="preserve"> de </w:t>
            </w:r>
            <w:r w:rsidR="6CA0A41F" w:rsidRPr="00BB4743">
              <w:rPr>
                <w:rFonts w:eastAsia="Calibri" w:cs="Calibri"/>
                <w:color w:val="auto"/>
                <w:sz w:val="20"/>
                <w:szCs w:val="20"/>
                <w:lang w:val="fr-FR"/>
              </w:rPr>
              <w:t>bact</w:t>
            </w:r>
            <w:r w:rsidR="5E38A541" w:rsidRPr="00BB4743">
              <w:rPr>
                <w:rFonts w:eastAsia="Calibri" w:cs="Calibri"/>
                <w:color w:val="auto"/>
                <w:sz w:val="20"/>
                <w:szCs w:val="20"/>
                <w:lang w:val="fr-FR"/>
              </w:rPr>
              <w:t>é</w:t>
            </w:r>
            <w:r w:rsidR="6CA0A41F" w:rsidRPr="00BB4743">
              <w:rPr>
                <w:rFonts w:eastAsia="Calibri" w:cs="Calibri"/>
                <w:color w:val="auto"/>
                <w:sz w:val="20"/>
                <w:szCs w:val="20"/>
                <w:lang w:val="fr-FR"/>
              </w:rPr>
              <w:t>riologie</w:t>
            </w:r>
          </w:p>
        </w:tc>
      </w:tr>
    </w:tbl>
    <w:p w14:paraId="141581E3" w14:textId="09FF32B0" w:rsidR="00CF4E89" w:rsidRDefault="00CF4E89" w:rsidP="004F2001">
      <w:pPr>
        <w:pStyle w:val="ItadH2"/>
      </w:pPr>
      <w:bookmarkStart w:id="422" w:name="_Toc118968581"/>
      <w:bookmarkStart w:id="423" w:name="_Toc122209935"/>
      <w:bookmarkStart w:id="424" w:name="_Toc142383223"/>
      <w:r>
        <w:t>Sierra Leone</w:t>
      </w:r>
      <w:bookmarkEnd w:id="422"/>
      <w:bookmarkEnd w:id="423"/>
      <w:bookmarkEnd w:id="424"/>
    </w:p>
    <w:tbl>
      <w:tblPr>
        <w:tblStyle w:val="Itadalternaterows"/>
        <w:tblW w:w="5000" w:type="pct"/>
        <w:tblInd w:w="0" w:type="dxa"/>
        <w:tblLook w:val="04A0" w:firstRow="1" w:lastRow="0" w:firstColumn="1" w:lastColumn="0" w:noHBand="0" w:noVBand="1"/>
      </w:tblPr>
      <w:tblGrid>
        <w:gridCol w:w="3170"/>
        <w:gridCol w:w="3170"/>
        <w:gridCol w:w="3168"/>
      </w:tblGrid>
      <w:tr w:rsidR="00687B10" w:rsidRPr="00B807D4" w14:paraId="325B879C" w14:textId="77777777" w:rsidTr="00BB4743">
        <w:trPr>
          <w:cnfStyle w:val="100000000000" w:firstRow="1" w:lastRow="0" w:firstColumn="0" w:lastColumn="0" w:oddVBand="0" w:evenVBand="0" w:oddHBand="0" w:evenHBand="0" w:firstRowFirstColumn="0" w:firstRowLastColumn="0" w:lastRowFirstColumn="0" w:lastRowLastColumn="0"/>
          <w:trHeight w:val="340"/>
        </w:trPr>
        <w:tc>
          <w:tcPr>
            <w:tcW w:w="5000" w:type="pct"/>
            <w:gridSpan w:val="3"/>
            <w:hideMark/>
          </w:tcPr>
          <w:p w14:paraId="1A0E518F" w14:textId="79E56873" w:rsidR="00687B10" w:rsidRPr="00B807D4" w:rsidRDefault="00687B10">
            <w:pPr>
              <w:rPr>
                <w:rFonts w:cstheme="minorHAnsi"/>
                <w:bCs/>
                <w:color w:val="FFFFFF" w:themeColor="background1"/>
                <w:sz w:val="20"/>
                <w:szCs w:val="20"/>
                <w:lang w:eastAsia="en-GB"/>
              </w:rPr>
            </w:pPr>
            <w:r>
              <w:rPr>
                <w:rFonts w:cstheme="minorHAnsi"/>
                <w:color w:val="FFFFFF" w:themeColor="background1"/>
                <w:sz w:val="20"/>
                <w:szCs w:val="20"/>
                <w:lang w:eastAsia="en-GB"/>
              </w:rPr>
              <w:t xml:space="preserve">Fleming Fund </w:t>
            </w:r>
            <w:r w:rsidR="005B5B44">
              <w:rPr>
                <w:rFonts w:cstheme="minorHAnsi"/>
                <w:color w:val="FFFFFF" w:themeColor="background1"/>
                <w:sz w:val="20"/>
                <w:szCs w:val="20"/>
                <w:lang w:eastAsia="en-GB"/>
              </w:rPr>
              <w:t>CG</w:t>
            </w:r>
          </w:p>
        </w:tc>
      </w:tr>
      <w:tr w:rsidR="00687B10" w:rsidRPr="004E74A8" w14:paraId="745AA1D9"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1667" w:type="pct"/>
          </w:tcPr>
          <w:p w14:paraId="7C6E2909" w14:textId="0F92F270" w:rsidR="00687B10" w:rsidRPr="00BB4743" w:rsidRDefault="075CEFFA" w:rsidP="64C55F6E">
            <w:pPr>
              <w:rPr>
                <w:b/>
                <w:bCs/>
                <w:sz w:val="20"/>
                <w:szCs w:val="20"/>
              </w:rPr>
            </w:pPr>
            <w:r w:rsidRPr="00BB4743">
              <w:rPr>
                <w:rFonts w:eastAsia="Calibri" w:cs="Calibri"/>
                <w:b/>
                <w:bCs/>
                <w:color w:val="000000"/>
                <w:sz w:val="20"/>
                <w:szCs w:val="20"/>
              </w:rPr>
              <w:t>James Bunn</w:t>
            </w:r>
          </w:p>
        </w:tc>
        <w:tc>
          <w:tcPr>
            <w:tcW w:w="1667" w:type="pct"/>
          </w:tcPr>
          <w:p w14:paraId="29293568" w14:textId="6DD3BF2D" w:rsidR="00687B10" w:rsidRPr="004E74A8" w:rsidRDefault="075CEFFA" w:rsidP="00BB4743">
            <w:pPr>
              <w:rPr>
                <w:rFonts w:cstheme="minorBidi"/>
                <w:color w:val="000000"/>
                <w:sz w:val="20"/>
                <w:szCs w:val="20"/>
                <w:lang w:eastAsia="en-GB"/>
              </w:rPr>
            </w:pPr>
            <w:r w:rsidRPr="64C55F6E">
              <w:rPr>
                <w:rFonts w:cstheme="minorBidi"/>
                <w:color w:val="000000"/>
                <w:sz w:val="20"/>
                <w:szCs w:val="20"/>
                <w:lang w:eastAsia="en-GB"/>
              </w:rPr>
              <w:t>WHO</w:t>
            </w:r>
          </w:p>
        </w:tc>
        <w:tc>
          <w:tcPr>
            <w:tcW w:w="1666" w:type="pct"/>
          </w:tcPr>
          <w:p w14:paraId="2CF2A96E" w14:textId="47EBE427" w:rsidR="00687B10" w:rsidRPr="00AE14D5" w:rsidRDefault="075CEFFA" w:rsidP="00BB4743">
            <w:pPr>
              <w:rPr>
                <w:sz w:val="20"/>
                <w:szCs w:val="20"/>
              </w:rPr>
            </w:pPr>
            <w:r w:rsidRPr="00AE14D5">
              <w:rPr>
                <w:rFonts w:eastAsia="Calibri" w:cs="Calibri"/>
                <w:color w:val="000000"/>
                <w:sz w:val="20"/>
                <w:szCs w:val="20"/>
              </w:rPr>
              <w:t>BPEHS Cluster Lead</w:t>
            </w:r>
          </w:p>
        </w:tc>
      </w:tr>
      <w:tr w:rsidR="00687B10" w:rsidRPr="004E74A8" w14:paraId="66BD8F13"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53FFE736" w14:textId="7EA48213" w:rsidR="00687B10" w:rsidRPr="00BB4743" w:rsidRDefault="075CEFFA" w:rsidP="64C55F6E">
            <w:pPr>
              <w:rPr>
                <w:rFonts w:cstheme="minorBidi"/>
                <w:b/>
                <w:bCs/>
                <w:color w:val="000000"/>
                <w:sz w:val="20"/>
                <w:szCs w:val="20"/>
                <w:lang w:eastAsia="en-GB"/>
              </w:rPr>
            </w:pPr>
            <w:r w:rsidRPr="00BB4743">
              <w:rPr>
                <w:rFonts w:cstheme="minorBidi"/>
                <w:b/>
                <w:bCs/>
                <w:color w:val="000000"/>
                <w:sz w:val="20"/>
                <w:szCs w:val="20"/>
                <w:lang w:eastAsia="en-GB"/>
              </w:rPr>
              <w:t>Anna Maruta</w:t>
            </w:r>
          </w:p>
        </w:tc>
        <w:tc>
          <w:tcPr>
            <w:tcW w:w="1667" w:type="pct"/>
          </w:tcPr>
          <w:p w14:paraId="1B55D351" w14:textId="24A4C905" w:rsidR="00687B10" w:rsidRPr="00D47711" w:rsidRDefault="075CEFFA" w:rsidP="00BB4743">
            <w:pPr>
              <w:rPr>
                <w:rFonts w:cstheme="minorBidi"/>
                <w:color w:val="000000"/>
                <w:sz w:val="20"/>
                <w:szCs w:val="20"/>
                <w:lang w:eastAsia="en-GB"/>
              </w:rPr>
            </w:pPr>
            <w:r w:rsidRPr="64C55F6E">
              <w:rPr>
                <w:rFonts w:cstheme="minorBidi"/>
                <w:color w:val="000000"/>
                <w:sz w:val="20"/>
                <w:szCs w:val="20"/>
                <w:lang w:eastAsia="en-GB"/>
              </w:rPr>
              <w:t>WHO</w:t>
            </w:r>
          </w:p>
        </w:tc>
        <w:tc>
          <w:tcPr>
            <w:tcW w:w="1666" w:type="pct"/>
          </w:tcPr>
          <w:p w14:paraId="469895F4" w14:textId="470009E9" w:rsidR="00687B10" w:rsidRPr="00D47711" w:rsidRDefault="075CEFFA" w:rsidP="00BB4743">
            <w:pPr>
              <w:rPr>
                <w:rFonts w:cstheme="minorBidi"/>
                <w:color w:val="000000"/>
                <w:sz w:val="20"/>
                <w:szCs w:val="20"/>
                <w:lang w:eastAsia="en-GB"/>
              </w:rPr>
            </w:pPr>
            <w:r w:rsidRPr="64C55F6E">
              <w:rPr>
                <w:rFonts w:cstheme="minorBidi"/>
                <w:color w:val="000000"/>
                <w:sz w:val="20"/>
                <w:szCs w:val="20"/>
                <w:lang w:eastAsia="en-GB"/>
              </w:rPr>
              <w:t>AMR/IPC Lead</w:t>
            </w:r>
          </w:p>
        </w:tc>
      </w:tr>
      <w:tr w:rsidR="00687B10" w:rsidRPr="004E74A8" w14:paraId="373A0CD4"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1667" w:type="pct"/>
          </w:tcPr>
          <w:p w14:paraId="1126B927" w14:textId="726E7D58" w:rsidR="00687B10" w:rsidRPr="00BB4743" w:rsidRDefault="075CEFFA" w:rsidP="64C55F6E">
            <w:pPr>
              <w:rPr>
                <w:rFonts w:cstheme="minorBidi"/>
                <w:b/>
                <w:bCs/>
                <w:color w:val="000000"/>
                <w:sz w:val="20"/>
                <w:szCs w:val="20"/>
                <w:lang w:eastAsia="en-GB"/>
              </w:rPr>
            </w:pPr>
            <w:r w:rsidRPr="00BB4743">
              <w:rPr>
                <w:rFonts w:cstheme="minorBidi"/>
                <w:b/>
                <w:bCs/>
                <w:color w:val="000000"/>
                <w:sz w:val="20"/>
                <w:szCs w:val="20"/>
                <w:lang w:eastAsia="en-GB"/>
              </w:rPr>
              <w:t>Victoria Katawera</w:t>
            </w:r>
          </w:p>
        </w:tc>
        <w:tc>
          <w:tcPr>
            <w:tcW w:w="1667" w:type="pct"/>
          </w:tcPr>
          <w:p w14:paraId="1599BA34" w14:textId="1F6A8F02" w:rsidR="00687B10" w:rsidRPr="00290FA1" w:rsidRDefault="075CEFFA" w:rsidP="00BB4743">
            <w:pPr>
              <w:rPr>
                <w:rFonts w:cstheme="minorBidi"/>
                <w:color w:val="000000"/>
                <w:sz w:val="20"/>
                <w:szCs w:val="20"/>
                <w:lang w:eastAsia="en-GB"/>
              </w:rPr>
            </w:pPr>
            <w:r w:rsidRPr="64C55F6E">
              <w:rPr>
                <w:rFonts w:cstheme="minorBidi"/>
                <w:color w:val="000000"/>
                <w:sz w:val="20"/>
                <w:szCs w:val="20"/>
                <w:lang w:eastAsia="en-GB"/>
              </w:rPr>
              <w:t>WHO</w:t>
            </w:r>
          </w:p>
        </w:tc>
        <w:tc>
          <w:tcPr>
            <w:tcW w:w="1666" w:type="pct"/>
          </w:tcPr>
          <w:p w14:paraId="458916BC" w14:textId="16C3A9EC" w:rsidR="00687B10" w:rsidRPr="00FC132C" w:rsidRDefault="075CEFFA" w:rsidP="00BB4743">
            <w:pPr>
              <w:rPr>
                <w:rFonts w:cstheme="minorBidi"/>
                <w:color w:val="000000"/>
                <w:sz w:val="20"/>
                <w:szCs w:val="20"/>
                <w:lang w:eastAsia="en-GB"/>
              </w:rPr>
            </w:pPr>
            <w:r w:rsidRPr="64C55F6E">
              <w:rPr>
                <w:rFonts w:cstheme="minorBidi"/>
                <w:color w:val="000000"/>
                <w:sz w:val="20"/>
                <w:szCs w:val="20"/>
                <w:lang w:eastAsia="en-GB"/>
              </w:rPr>
              <w:t>Laboratory Lead</w:t>
            </w:r>
          </w:p>
        </w:tc>
      </w:tr>
      <w:tr w:rsidR="64C55F6E" w14:paraId="0A1CAF15"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480C441E" w14:textId="631D6053" w:rsidR="075CEFFA" w:rsidRPr="00BB4743" w:rsidRDefault="075CEFFA" w:rsidP="64C55F6E">
            <w:pPr>
              <w:rPr>
                <w:rFonts w:cstheme="minorBidi"/>
                <w:b/>
                <w:bCs/>
                <w:color w:val="000000"/>
                <w:sz w:val="20"/>
                <w:szCs w:val="20"/>
                <w:lang w:eastAsia="en-GB"/>
              </w:rPr>
            </w:pPr>
            <w:r w:rsidRPr="00BB4743">
              <w:rPr>
                <w:rFonts w:cstheme="minorBidi"/>
                <w:b/>
                <w:bCs/>
                <w:color w:val="000000"/>
                <w:sz w:val="20"/>
                <w:szCs w:val="20"/>
                <w:lang w:eastAsia="en-GB"/>
              </w:rPr>
              <w:t>Austine Bitek</w:t>
            </w:r>
          </w:p>
        </w:tc>
        <w:tc>
          <w:tcPr>
            <w:tcW w:w="1667" w:type="pct"/>
          </w:tcPr>
          <w:p w14:paraId="22C71D83" w14:textId="17AE1503" w:rsidR="075CEFFA" w:rsidRDefault="075CEFFA" w:rsidP="00BB4743">
            <w:pPr>
              <w:rPr>
                <w:rFonts w:cstheme="minorBidi"/>
                <w:color w:val="000000"/>
                <w:sz w:val="20"/>
                <w:szCs w:val="20"/>
                <w:lang w:eastAsia="en-GB"/>
              </w:rPr>
            </w:pPr>
            <w:r w:rsidRPr="64C55F6E">
              <w:rPr>
                <w:rFonts w:cstheme="minorBidi"/>
                <w:color w:val="000000"/>
                <w:sz w:val="20"/>
                <w:szCs w:val="20"/>
                <w:lang w:eastAsia="en-GB"/>
              </w:rPr>
              <w:t>FAO ECTAD</w:t>
            </w:r>
          </w:p>
        </w:tc>
        <w:tc>
          <w:tcPr>
            <w:tcW w:w="1666" w:type="pct"/>
          </w:tcPr>
          <w:p w14:paraId="405AEE06" w14:textId="5390CBDD" w:rsidR="075CEFFA" w:rsidRDefault="075CEFFA" w:rsidP="00BB4743">
            <w:pPr>
              <w:rPr>
                <w:rFonts w:cstheme="minorBidi"/>
                <w:color w:val="000000"/>
                <w:sz w:val="20"/>
                <w:szCs w:val="20"/>
                <w:lang w:eastAsia="en-GB"/>
              </w:rPr>
            </w:pPr>
            <w:r w:rsidRPr="64C55F6E">
              <w:rPr>
                <w:rFonts w:cstheme="minorBidi"/>
                <w:color w:val="000000"/>
                <w:sz w:val="20"/>
                <w:szCs w:val="20"/>
                <w:lang w:eastAsia="en-GB"/>
              </w:rPr>
              <w:t>Epidemiologist</w:t>
            </w:r>
          </w:p>
        </w:tc>
      </w:tr>
      <w:tr w:rsidR="64C55F6E" w14:paraId="3928D3C2"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1667" w:type="pct"/>
          </w:tcPr>
          <w:p w14:paraId="715A7634" w14:textId="180A4C0B" w:rsidR="075CEFFA" w:rsidRPr="00BB4743" w:rsidRDefault="075CEFFA" w:rsidP="64C55F6E">
            <w:pPr>
              <w:rPr>
                <w:b/>
                <w:bCs/>
                <w:sz w:val="20"/>
                <w:szCs w:val="20"/>
              </w:rPr>
            </w:pPr>
            <w:r w:rsidRPr="00BB4743">
              <w:rPr>
                <w:rFonts w:eastAsia="Calibri" w:cs="Calibri"/>
                <w:b/>
                <w:bCs/>
                <w:color w:val="000000"/>
                <w:sz w:val="20"/>
                <w:szCs w:val="20"/>
              </w:rPr>
              <w:t>Bridget Oyah Kamara</w:t>
            </w:r>
          </w:p>
        </w:tc>
        <w:tc>
          <w:tcPr>
            <w:tcW w:w="1667" w:type="pct"/>
          </w:tcPr>
          <w:p w14:paraId="57741A47" w14:textId="112D952A" w:rsidR="075CEFFA" w:rsidRDefault="075CEFFA" w:rsidP="00BB4743">
            <w:pPr>
              <w:rPr>
                <w:rFonts w:cstheme="minorBidi"/>
                <w:color w:val="000000"/>
                <w:sz w:val="20"/>
                <w:szCs w:val="20"/>
                <w:lang w:eastAsia="en-GB"/>
              </w:rPr>
            </w:pPr>
            <w:r w:rsidRPr="64C55F6E">
              <w:rPr>
                <w:rFonts w:cstheme="minorBidi"/>
                <w:color w:val="000000"/>
                <w:sz w:val="20"/>
                <w:szCs w:val="20"/>
                <w:lang w:eastAsia="en-GB"/>
              </w:rPr>
              <w:t>FAO ECTAD</w:t>
            </w:r>
          </w:p>
        </w:tc>
        <w:tc>
          <w:tcPr>
            <w:tcW w:w="1666" w:type="pct"/>
          </w:tcPr>
          <w:p w14:paraId="09D366F1" w14:textId="79ED98ED" w:rsidR="075CEFFA" w:rsidRDefault="075CEFFA" w:rsidP="00BB4743">
            <w:pPr>
              <w:rPr>
                <w:rFonts w:cstheme="minorBidi"/>
                <w:color w:val="000000"/>
                <w:sz w:val="20"/>
                <w:szCs w:val="20"/>
                <w:lang w:eastAsia="en-GB"/>
              </w:rPr>
            </w:pPr>
            <w:r w:rsidRPr="64C55F6E">
              <w:rPr>
                <w:rFonts w:cstheme="minorBidi"/>
                <w:color w:val="000000"/>
                <w:sz w:val="20"/>
                <w:szCs w:val="20"/>
                <w:lang w:eastAsia="en-GB"/>
              </w:rPr>
              <w:t>National Project Coordinator</w:t>
            </w:r>
          </w:p>
        </w:tc>
      </w:tr>
      <w:tr w:rsidR="64C55F6E" w14:paraId="71515BF2"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7D0D7FB3" w14:textId="5AF40260" w:rsidR="075CEFFA" w:rsidRPr="00BB4743" w:rsidRDefault="075CEFFA" w:rsidP="64C55F6E">
            <w:pPr>
              <w:rPr>
                <w:b/>
                <w:bCs/>
                <w:sz w:val="20"/>
                <w:szCs w:val="20"/>
              </w:rPr>
            </w:pPr>
            <w:r w:rsidRPr="00BB4743">
              <w:rPr>
                <w:rFonts w:eastAsia="Calibri" w:cs="Calibri"/>
                <w:b/>
                <w:bCs/>
                <w:color w:val="000000"/>
                <w:sz w:val="20"/>
                <w:szCs w:val="20"/>
              </w:rPr>
              <w:t>Jacqueline Kasiiti Lichoti</w:t>
            </w:r>
          </w:p>
        </w:tc>
        <w:tc>
          <w:tcPr>
            <w:tcW w:w="1667" w:type="pct"/>
          </w:tcPr>
          <w:p w14:paraId="3B1DEA3E" w14:textId="092BA2F7" w:rsidR="075CEFFA" w:rsidRDefault="075CEFFA" w:rsidP="00BB4743">
            <w:pPr>
              <w:rPr>
                <w:rFonts w:cstheme="minorBidi"/>
                <w:color w:val="000000"/>
                <w:sz w:val="20"/>
                <w:szCs w:val="20"/>
                <w:lang w:eastAsia="en-GB"/>
              </w:rPr>
            </w:pPr>
            <w:r w:rsidRPr="64C55F6E">
              <w:rPr>
                <w:rFonts w:cstheme="minorBidi"/>
                <w:color w:val="000000"/>
                <w:sz w:val="20"/>
                <w:szCs w:val="20"/>
                <w:lang w:eastAsia="en-GB"/>
              </w:rPr>
              <w:t>FAO ECTAD</w:t>
            </w:r>
          </w:p>
        </w:tc>
        <w:tc>
          <w:tcPr>
            <w:tcW w:w="1666" w:type="pct"/>
          </w:tcPr>
          <w:p w14:paraId="6B097246" w14:textId="12DCBDAC" w:rsidR="075CEFFA" w:rsidRDefault="075CEFFA" w:rsidP="00BB4743">
            <w:pPr>
              <w:rPr>
                <w:rFonts w:cstheme="minorBidi"/>
                <w:color w:val="000000"/>
                <w:sz w:val="20"/>
                <w:szCs w:val="20"/>
                <w:lang w:eastAsia="en-GB"/>
              </w:rPr>
            </w:pPr>
            <w:r w:rsidRPr="64C55F6E">
              <w:rPr>
                <w:rFonts w:cstheme="minorBidi"/>
                <w:color w:val="000000"/>
                <w:sz w:val="20"/>
                <w:szCs w:val="20"/>
                <w:lang w:eastAsia="en-GB"/>
              </w:rPr>
              <w:t>Laboratory Expert</w:t>
            </w:r>
          </w:p>
        </w:tc>
      </w:tr>
      <w:tr w:rsidR="64C55F6E" w14:paraId="25D0C339"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5000" w:type="pct"/>
            <w:gridSpan w:val="3"/>
            <w:shd w:val="clear" w:color="auto" w:fill="96C286" w:themeFill="text2" w:themeFillTint="99"/>
          </w:tcPr>
          <w:p w14:paraId="71D4E8F9" w14:textId="11EAAF24" w:rsidR="5B63C1C8" w:rsidRPr="00AE14D5" w:rsidRDefault="005B5B44" w:rsidP="64C55F6E">
            <w:pPr>
              <w:rPr>
                <w:rFonts w:eastAsia="Calibri" w:cs="Calibri"/>
                <w:color w:val="FFFFFF" w:themeColor="background1"/>
                <w:sz w:val="20"/>
                <w:szCs w:val="20"/>
              </w:rPr>
            </w:pPr>
            <w:r w:rsidRPr="00AE14D5">
              <w:rPr>
                <w:rFonts w:eastAsia="Calibri" w:cs="Calibri"/>
                <w:color w:val="FFFFFF" w:themeColor="background1"/>
                <w:sz w:val="20"/>
                <w:szCs w:val="20"/>
              </w:rPr>
              <w:t>MA</w:t>
            </w:r>
          </w:p>
        </w:tc>
      </w:tr>
      <w:tr w:rsidR="64C55F6E" w14:paraId="6B20A240"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2D0F31E8" w14:textId="3EF8A0F5" w:rsidR="5B63C1C8" w:rsidRPr="00BB4743" w:rsidRDefault="5B63C1C8" w:rsidP="64C55F6E">
            <w:pPr>
              <w:rPr>
                <w:rFonts w:eastAsia="Calibri" w:cs="Calibri"/>
                <w:b/>
                <w:bCs/>
                <w:color w:val="000000"/>
                <w:sz w:val="20"/>
                <w:szCs w:val="20"/>
              </w:rPr>
            </w:pPr>
            <w:r w:rsidRPr="00BB4743">
              <w:rPr>
                <w:rFonts w:eastAsia="Calibri" w:cs="Calibri"/>
                <w:b/>
                <w:bCs/>
                <w:color w:val="000000"/>
                <w:sz w:val="20"/>
                <w:szCs w:val="20"/>
              </w:rPr>
              <w:t>Adjo Mfodwo</w:t>
            </w:r>
            <w:r w:rsidR="00B776A6" w:rsidRPr="00BB4743">
              <w:rPr>
                <w:rFonts w:eastAsia="Calibri" w:cs="Calibri"/>
                <w:b/>
                <w:bCs/>
                <w:color w:val="000000"/>
                <w:sz w:val="20"/>
                <w:szCs w:val="20"/>
              </w:rPr>
              <w:t>***</w:t>
            </w:r>
          </w:p>
        </w:tc>
        <w:tc>
          <w:tcPr>
            <w:tcW w:w="1667" w:type="pct"/>
          </w:tcPr>
          <w:p w14:paraId="42605CD2" w14:textId="08FFB2A1" w:rsidR="5B63C1C8" w:rsidRDefault="005B5B44" w:rsidP="00BB4743">
            <w:pPr>
              <w:rPr>
                <w:rFonts w:cstheme="minorBidi"/>
                <w:color w:val="000000"/>
                <w:sz w:val="20"/>
                <w:szCs w:val="20"/>
                <w:lang w:eastAsia="en-GB"/>
              </w:rPr>
            </w:pPr>
            <w:r>
              <w:rPr>
                <w:rFonts w:cstheme="minorBidi"/>
                <w:color w:val="000000"/>
                <w:sz w:val="20"/>
                <w:szCs w:val="20"/>
                <w:lang w:eastAsia="en-GB"/>
              </w:rPr>
              <w:t>MA</w:t>
            </w:r>
          </w:p>
        </w:tc>
        <w:tc>
          <w:tcPr>
            <w:tcW w:w="1666" w:type="pct"/>
          </w:tcPr>
          <w:p w14:paraId="3458F734" w14:textId="5A0949EA" w:rsidR="5B63C1C8" w:rsidRPr="00AE14D5" w:rsidRDefault="5B63C1C8" w:rsidP="00BB4743">
            <w:pPr>
              <w:rPr>
                <w:sz w:val="20"/>
                <w:szCs w:val="20"/>
              </w:rPr>
            </w:pPr>
            <w:r w:rsidRPr="00AE14D5">
              <w:rPr>
                <w:rFonts w:eastAsia="Calibri" w:cs="Calibri"/>
                <w:color w:val="000000"/>
                <w:sz w:val="20"/>
                <w:szCs w:val="20"/>
              </w:rPr>
              <w:t>Regional Coordinator, West Africa</w:t>
            </w:r>
          </w:p>
        </w:tc>
      </w:tr>
      <w:tr w:rsidR="64C55F6E" w14:paraId="28175EE9"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1667" w:type="pct"/>
          </w:tcPr>
          <w:p w14:paraId="4488441D" w14:textId="21FE0435" w:rsidR="5B63C1C8" w:rsidRPr="00BB4743" w:rsidRDefault="5B63C1C8" w:rsidP="64C55F6E">
            <w:pPr>
              <w:rPr>
                <w:b/>
                <w:bCs/>
                <w:sz w:val="20"/>
                <w:szCs w:val="20"/>
              </w:rPr>
            </w:pPr>
            <w:r w:rsidRPr="00BB4743">
              <w:rPr>
                <w:rFonts w:eastAsia="Calibri" w:cs="Calibri"/>
                <w:b/>
                <w:bCs/>
                <w:color w:val="000000"/>
                <w:sz w:val="20"/>
                <w:szCs w:val="20"/>
              </w:rPr>
              <w:t>Bashiru Adams</w:t>
            </w:r>
            <w:r w:rsidR="00391282" w:rsidRPr="00BB4743">
              <w:rPr>
                <w:rFonts w:eastAsia="Calibri" w:cs="Calibri"/>
                <w:b/>
                <w:bCs/>
                <w:color w:val="000000"/>
                <w:sz w:val="20"/>
                <w:szCs w:val="20"/>
              </w:rPr>
              <w:t>*</w:t>
            </w:r>
          </w:p>
        </w:tc>
        <w:tc>
          <w:tcPr>
            <w:tcW w:w="1667" w:type="pct"/>
          </w:tcPr>
          <w:p w14:paraId="1B8B0351" w14:textId="12849041" w:rsidR="5B63C1C8" w:rsidRDefault="005B5B44" w:rsidP="00BB4743">
            <w:pPr>
              <w:rPr>
                <w:rFonts w:cstheme="minorBidi"/>
                <w:color w:val="000000"/>
                <w:sz w:val="20"/>
                <w:szCs w:val="20"/>
                <w:lang w:eastAsia="en-GB"/>
              </w:rPr>
            </w:pPr>
            <w:r>
              <w:rPr>
                <w:rFonts w:cstheme="minorBidi"/>
                <w:color w:val="000000"/>
                <w:sz w:val="20"/>
                <w:szCs w:val="20"/>
                <w:lang w:eastAsia="en-GB"/>
              </w:rPr>
              <w:t>MA</w:t>
            </w:r>
          </w:p>
        </w:tc>
        <w:tc>
          <w:tcPr>
            <w:tcW w:w="1666" w:type="pct"/>
          </w:tcPr>
          <w:p w14:paraId="67B8BF49" w14:textId="3FDD97F2" w:rsidR="5B63C1C8" w:rsidRPr="00AE14D5" w:rsidRDefault="5B63C1C8" w:rsidP="00BB4743">
            <w:pPr>
              <w:rPr>
                <w:rFonts w:eastAsia="Calibri" w:cs="Calibri"/>
                <w:color w:val="000000"/>
                <w:sz w:val="20"/>
                <w:szCs w:val="20"/>
              </w:rPr>
            </w:pPr>
            <w:r w:rsidRPr="00AE14D5">
              <w:rPr>
                <w:rFonts w:eastAsia="Calibri" w:cs="Calibri"/>
                <w:color w:val="000000"/>
                <w:sz w:val="20"/>
                <w:szCs w:val="20"/>
              </w:rPr>
              <w:t>M&amp;E Officer</w:t>
            </w:r>
          </w:p>
        </w:tc>
      </w:tr>
      <w:tr w:rsidR="64C55F6E" w14:paraId="000B7382"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329BA64E" w14:textId="7319FC59" w:rsidR="5B63C1C8" w:rsidRPr="00BB4743" w:rsidRDefault="5B63C1C8" w:rsidP="64C55F6E">
            <w:pPr>
              <w:rPr>
                <w:b/>
                <w:bCs/>
                <w:sz w:val="20"/>
                <w:szCs w:val="20"/>
              </w:rPr>
            </w:pPr>
            <w:r w:rsidRPr="00BB4743">
              <w:rPr>
                <w:rFonts w:eastAsia="Calibri" w:cs="Calibri"/>
                <w:b/>
                <w:bCs/>
                <w:color w:val="000000"/>
                <w:sz w:val="20"/>
                <w:szCs w:val="20"/>
              </w:rPr>
              <w:t>Ruth Gaisie</w:t>
            </w:r>
            <w:r w:rsidR="00E43C88" w:rsidRPr="00BB4743">
              <w:rPr>
                <w:rFonts w:eastAsia="Calibri" w:cs="Calibri"/>
                <w:b/>
                <w:bCs/>
                <w:color w:val="000000"/>
                <w:sz w:val="20"/>
                <w:szCs w:val="20"/>
              </w:rPr>
              <w:t>*</w:t>
            </w:r>
          </w:p>
        </w:tc>
        <w:tc>
          <w:tcPr>
            <w:tcW w:w="1667" w:type="pct"/>
          </w:tcPr>
          <w:p w14:paraId="27A21CC7" w14:textId="1E4E6D72" w:rsidR="5B63C1C8" w:rsidRDefault="005B5B44" w:rsidP="00BB4743">
            <w:pPr>
              <w:rPr>
                <w:rFonts w:cstheme="minorBidi"/>
                <w:color w:val="000000"/>
                <w:sz w:val="20"/>
                <w:szCs w:val="20"/>
                <w:lang w:eastAsia="en-GB"/>
              </w:rPr>
            </w:pPr>
            <w:r>
              <w:rPr>
                <w:rFonts w:cstheme="minorBidi"/>
                <w:color w:val="000000"/>
                <w:sz w:val="20"/>
                <w:szCs w:val="20"/>
                <w:lang w:eastAsia="en-GB"/>
              </w:rPr>
              <w:t>MA</w:t>
            </w:r>
          </w:p>
        </w:tc>
        <w:tc>
          <w:tcPr>
            <w:tcW w:w="1666" w:type="pct"/>
          </w:tcPr>
          <w:p w14:paraId="5751D3B3" w14:textId="3EBA5B0E" w:rsidR="5B63C1C8" w:rsidRDefault="5B63C1C8" w:rsidP="00BB4743">
            <w:pPr>
              <w:rPr>
                <w:rFonts w:cstheme="minorBidi"/>
                <w:color w:val="000000"/>
                <w:sz w:val="20"/>
                <w:szCs w:val="20"/>
                <w:lang w:eastAsia="en-GB"/>
              </w:rPr>
            </w:pPr>
            <w:r w:rsidRPr="64C55F6E">
              <w:rPr>
                <w:rFonts w:cstheme="minorBidi"/>
                <w:color w:val="000000"/>
                <w:sz w:val="20"/>
                <w:szCs w:val="20"/>
                <w:lang w:eastAsia="en-GB"/>
              </w:rPr>
              <w:t>Finance Officer</w:t>
            </w:r>
          </w:p>
        </w:tc>
      </w:tr>
      <w:tr w:rsidR="00687B10" w:rsidRPr="00B807D4" w14:paraId="275DBC97"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5000" w:type="pct"/>
            <w:gridSpan w:val="3"/>
            <w:shd w:val="clear" w:color="auto" w:fill="96C286" w:themeFill="text2" w:themeFillTint="99"/>
          </w:tcPr>
          <w:p w14:paraId="45A6B43F" w14:textId="77777777" w:rsidR="00687B10" w:rsidRPr="00B807D4" w:rsidRDefault="00687B10">
            <w:pPr>
              <w:rPr>
                <w:rFonts w:cstheme="minorHAnsi"/>
                <w:color w:val="auto"/>
                <w:sz w:val="20"/>
                <w:szCs w:val="20"/>
              </w:rPr>
            </w:pPr>
            <w:r w:rsidRPr="000F463A">
              <w:rPr>
                <w:rFonts w:cstheme="minorHAnsi"/>
                <w:color w:val="FFFFFF" w:themeColor="background1"/>
                <w:sz w:val="20"/>
                <w:szCs w:val="20"/>
                <w:lang w:eastAsia="en-GB"/>
              </w:rPr>
              <w:t>Other decision makers</w:t>
            </w:r>
          </w:p>
        </w:tc>
      </w:tr>
      <w:tr w:rsidR="00687B10" w:rsidRPr="001B7050" w14:paraId="63986DD0"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5218AF51" w14:textId="23E92B39" w:rsidR="00687B10" w:rsidRPr="00BB4743" w:rsidRDefault="00EE3BF1" w:rsidP="64C55F6E">
            <w:pPr>
              <w:rPr>
                <w:b/>
                <w:bCs/>
                <w:sz w:val="20"/>
                <w:szCs w:val="20"/>
              </w:rPr>
            </w:pPr>
            <w:r>
              <w:rPr>
                <w:rFonts w:eastAsia="Calibri" w:cs="Calibri"/>
                <w:b/>
                <w:bCs/>
                <w:color w:val="000000"/>
                <w:sz w:val="20"/>
                <w:szCs w:val="20"/>
              </w:rPr>
              <w:t xml:space="preserve">Dr </w:t>
            </w:r>
            <w:r w:rsidR="0A6CB609" w:rsidRPr="00BB4743">
              <w:rPr>
                <w:rFonts w:eastAsia="Calibri" w:cs="Calibri"/>
                <w:b/>
                <w:bCs/>
                <w:color w:val="000000"/>
                <w:sz w:val="20"/>
                <w:szCs w:val="20"/>
              </w:rPr>
              <w:t>James S. Squire</w:t>
            </w:r>
          </w:p>
        </w:tc>
        <w:tc>
          <w:tcPr>
            <w:tcW w:w="1667" w:type="pct"/>
          </w:tcPr>
          <w:p w14:paraId="180A94B0" w14:textId="5488D3C4" w:rsidR="00687B10" w:rsidRPr="00B807D4" w:rsidRDefault="008F023D" w:rsidP="00BB4743">
            <w:pPr>
              <w:rPr>
                <w:rFonts w:cstheme="minorBidi"/>
                <w:color w:val="auto"/>
                <w:sz w:val="20"/>
                <w:szCs w:val="20"/>
              </w:rPr>
            </w:pPr>
            <w:r>
              <w:rPr>
                <w:rFonts w:cstheme="minorBidi"/>
                <w:color w:val="auto"/>
                <w:sz w:val="20"/>
                <w:szCs w:val="20"/>
              </w:rPr>
              <w:t>Ministry of Health and Sanitation (</w:t>
            </w:r>
            <w:r w:rsidR="0A6CB609" w:rsidRPr="64C55F6E">
              <w:rPr>
                <w:rFonts w:cstheme="minorBidi"/>
                <w:color w:val="auto"/>
                <w:sz w:val="20"/>
                <w:szCs w:val="20"/>
              </w:rPr>
              <w:t>MoHS</w:t>
            </w:r>
            <w:r w:rsidR="006E1431">
              <w:rPr>
                <w:rFonts w:cstheme="minorBidi"/>
                <w:color w:val="auto"/>
                <w:sz w:val="20"/>
                <w:szCs w:val="20"/>
              </w:rPr>
              <w:t>)</w:t>
            </w:r>
          </w:p>
        </w:tc>
        <w:tc>
          <w:tcPr>
            <w:tcW w:w="1666" w:type="pct"/>
          </w:tcPr>
          <w:p w14:paraId="68F6EABE" w14:textId="1512FF89" w:rsidR="00687B10" w:rsidRPr="00214C55" w:rsidRDefault="002A22DF" w:rsidP="00BB4743">
            <w:pPr>
              <w:rPr>
                <w:sz w:val="20"/>
                <w:szCs w:val="20"/>
                <w:lang w:val="fr-FR"/>
              </w:rPr>
            </w:pPr>
            <w:r w:rsidRPr="00214C55">
              <w:rPr>
                <w:rFonts w:eastAsia="Calibri" w:cs="Calibri"/>
                <w:color w:val="000000"/>
                <w:sz w:val="20"/>
                <w:szCs w:val="20"/>
                <w:lang w:val="fr-FR"/>
              </w:rPr>
              <w:t xml:space="preserve">Programme </w:t>
            </w:r>
            <w:r w:rsidR="0A6CB609" w:rsidRPr="00214C55">
              <w:rPr>
                <w:rFonts w:eastAsia="Calibri" w:cs="Calibri"/>
                <w:color w:val="000000"/>
                <w:sz w:val="20"/>
                <w:szCs w:val="20"/>
                <w:lang w:val="fr-FR"/>
              </w:rPr>
              <w:t>Manager, National Disease Surveillance Programme</w:t>
            </w:r>
          </w:p>
        </w:tc>
      </w:tr>
      <w:tr w:rsidR="00687B10" w:rsidRPr="00574C3D" w14:paraId="2B10DCBD"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5000" w:type="pct"/>
            <w:gridSpan w:val="3"/>
            <w:shd w:val="clear" w:color="auto" w:fill="96C286" w:themeFill="text2" w:themeFillTint="99"/>
          </w:tcPr>
          <w:p w14:paraId="5088CC42" w14:textId="77A32F15" w:rsidR="00687B10" w:rsidRPr="00574C3D" w:rsidRDefault="6744C647" w:rsidP="000B3487">
            <w:pPr>
              <w:rPr>
                <w:rFonts w:cstheme="minorBidi"/>
                <w:color w:val="FFFFFF" w:themeColor="background1"/>
                <w:sz w:val="20"/>
                <w:szCs w:val="20"/>
              </w:rPr>
            </w:pPr>
            <w:r w:rsidRPr="64C55F6E">
              <w:rPr>
                <w:rFonts w:cstheme="minorBidi"/>
                <w:color w:val="FFFFFF" w:themeColor="background1"/>
                <w:sz w:val="20"/>
                <w:szCs w:val="20"/>
              </w:rPr>
              <w:t>AMR</w:t>
            </w:r>
            <w:r w:rsidR="6F8F4795" w:rsidRPr="64C55F6E">
              <w:rPr>
                <w:rFonts w:cstheme="minorBidi"/>
                <w:color w:val="FFFFFF" w:themeColor="background1"/>
                <w:sz w:val="20"/>
                <w:szCs w:val="20"/>
              </w:rPr>
              <w:t xml:space="preserve"> </w:t>
            </w:r>
            <w:r w:rsidRPr="64C55F6E">
              <w:rPr>
                <w:rFonts w:cstheme="minorBidi"/>
                <w:color w:val="FFFFFF" w:themeColor="background1"/>
                <w:sz w:val="20"/>
                <w:szCs w:val="20"/>
              </w:rPr>
              <w:t>Focal Point</w:t>
            </w:r>
          </w:p>
        </w:tc>
      </w:tr>
      <w:tr w:rsidR="00687B10" w:rsidRPr="00791C9D" w14:paraId="4DDA08CB"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40F1138E" w14:textId="5612B219" w:rsidR="00687B10" w:rsidRPr="00BB4743" w:rsidRDefault="48A6D0A2" w:rsidP="64C55F6E">
            <w:pPr>
              <w:rPr>
                <w:b/>
                <w:bCs/>
                <w:sz w:val="20"/>
                <w:szCs w:val="20"/>
              </w:rPr>
            </w:pPr>
            <w:r w:rsidRPr="00BB4743">
              <w:rPr>
                <w:rFonts w:eastAsia="Calibri" w:cs="Calibri"/>
                <w:b/>
                <w:bCs/>
                <w:color w:val="000000"/>
                <w:sz w:val="20"/>
                <w:szCs w:val="20"/>
              </w:rPr>
              <w:t>Dr Joseph S Kanu</w:t>
            </w:r>
          </w:p>
        </w:tc>
        <w:tc>
          <w:tcPr>
            <w:tcW w:w="1667" w:type="pct"/>
          </w:tcPr>
          <w:p w14:paraId="7B8800B4" w14:textId="1BB2449B" w:rsidR="00687B10" w:rsidRPr="00AE14D5" w:rsidRDefault="48A6D0A2" w:rsidP="00BB4743">
            <w:pPr>
              <w:rPr>
                <w:sz w:val="20"/>
                <w:szCs w:val="20"/>
              </w:rPr>
            </w:pPr>
            <w:r w:rsidRPr="00AE14D5">
              <w:rPr>
                <w:rFonts w:eastAsia="Calibri" w:cs="Calibri"/>
                <w:color w:val="000000"/>
                <w:sz w:val="20"/>
                <w:szCs w:val="20"/>
              </w:rPr>
              <w:t>MoHS</w:t>
            </w:r>
          </w:p>
        </w:tc>
        <w:tc>
          <w:tcPr>
            <w:tcW w:w="1666" w:type="pct"/>
          </w:tcPr>
          <w:p w14:paraId="2B8FFC97" w14:textId="14E1E657" w:rsidR="00687B10" w:rsidRPr="00AE14D5" w:rsidRDefault="48A6D0A2" w:rsidP="00BB4743">
            <w:pPr>
              <w:rPr>
                <w:rFonts w:eastAsia="Calibri" w:cs="Calibri"/>
                <w:color w:val="000000"/>
                <w:sz w:val="20"/>
                <w:szCs w:val="20"/>
              </w:rPr>
            </w:pPr>
            <w:r w:rsidRPr="00AE14D5">
              <w:rPr>
                <w:rFonts w:eastAsia="Calibri" w:cs="Calibri"/>
                <w:color w:val="000000"/>
                <w:sz w:val="20"/>
                <w:szCs w:val="20"/>
              </w:rPr>
              <w:t xml:space="preserve">Deputy </w:t>
            </w:r>
            <w:r w:rsidR="002A22DF">
              <w:rPr>
                <w:rFonts w:eastAsia="Calibri" w:cs="Calibri"/>
                <w:color w:val="000000"/>
                <w:sz w:val="20"/>
                <w:szCs w:val="20"/>
              </w:rPr>
              <w:t xml:space="preserve">Programme </w:t>
            </w:r>
            <w:r w:rsidRPr="00AE14D5">
              <w:rPr>
                <w:rFonts w:eastAsia="Calibri" w:cs="Calibri"/>
                <w:color w:val="000000"/>
                <w:sz w:val="20"/>
                <w:szCs w:val="20"/>
              </w:rPr>
              <w:t>Manager, National Disease Surveillance Program</w:t>
            </w:r>
            <w:r w:rsidR="59410850" w:rsidRPr="00AE14D5">
              <w:rPr>
                <w:rFonts w:eastAsia="Calibri" w:cs="Calibri"/>
                <w:color w:val="000000"/>
                <w:sz w:val="20"/>
                <w:szCs w:val="20"/>
              </w:rPr>
              <w:t>, National AMR Focal Point</w:t>
            </w:r>
          </w:p>
        </w:tc>
      </w:tr>
      <w:tr w:rsidR="00687B10" w:rsidRPr="00791C9D" w14:paraId="00DCF25B"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1667" w:type="pct"/>
          </w:tcPr>
          <w:p w14:paraId="409028B7" w14:textId="04D2648B" w:rsidR="00687B10" w:rsidRPr="00BB4743" w:rsidRDefault="48A6D0A2" w:rsidP="64C55F6E">
            <w:pPr>
              <w:rPr>
                <w:b/>
                <w:bCs/>
                <w:sz w:val="20"/>
                <w:szCs w:val="20"/>
              </w:rPr>
            </w:pPr>
            <w:r w:rsidRPr="00BB4743">
              <w:rPr>
                <w:rFonts w:eastAsia="Calibri" w:cs="Calibri"/>
                <w:b/>
                <w:bCs/>
                <w:color w:val="000000"/>
                <w:sz w:val="20"/>
                <w:szCs w:val="20"/>
              </w:rPr>
              <w:t>Kadiatu Kamara</w:t>
            </w:r>
          </w:p>
        </w:tc>
        <w:tc>
          <w:tcPr>
            <w:tcW w:w="1667" w:type="pct"/>
          </w:tcPr>
          <w:p w14:paraId="7576CD91" w14:textId="10041582" w:rsidR="00687B10" w:rsidRPr="00AE14D5" w:rsidRDefault="48A6D0A2" w:rsidP="00BB4743">
            <w:pPr>
              <w:rPr>
                <w:sz w:val="20"/>
                <w:szCs w:val="20"/>
              </w:rPr>
            </w:pPr>
            <w:r w:rsidRPr="00AE14D5">
              <w:rPr>
                <w:rFonts w:eastAsia="Calibri" w:cs="Calibri"/>
                <w:color w:val="000000"/>
                <w:sz w:val="20"/>
                <w:szCs w:val="20"/>
              </w:rPr>
              <w:t>MoHS</w:t>
            </w:r>
          </w:p>
        </w:tc>
        <w:tc>
          <w:tcPr>
            <w:tcW w:w="1666" w:type="pct"/>
          </w:tcPr>
          <w:p w14:paraId="69B932C0" w14:textId="5FE984DC" w:rsidR="00687B10" w:rsidRPr="00AE14D5" w:rsidRDefault="48A6D0A2" w:rsidP="00BB4743">
            <w:pPr>
              <w:rPr>
                <w:rFonts w:eastAsia="Calibri" w:cs="Calibri"/>
                <w:color w:val="000000"/>
                <w:sz w:val="20"/>
                <w:szCs w:val="20"/>
              </w:rPr>
            </w:pPr>
            <w:r w:rsidRPr="00AE14D5">
              <w:rPr>
                <w:rFonts w:eastAsia="Calibri" w:cs="Calibri"/>
                <w:color w:val="000000"/>
                <w:sz w:val="20"/>
                <w:szCs w:val="20"/>
              </w:rPr>
              <w:t>AMR Focal P</w:t>
            </w:r>
            <w:r w:rsidR="541CF5D5" w:rsidRPr="00AE14D5">
              <w:rPr>
                <w:rFonts w:eastAsia="Calibri" w:cs="Calibri"/>
                <w:color w:val="000000"/>
                <w:sz w:val="20"/>
                <w:szCs w:val="20"/>
              </w:rPr>
              <w:t>oint, Human Health</w:t>
            </w:r>
          </w:p>
        </w:tc>
      </w:tr>
      <w:tr w:rsidR="64C55F6E" w14:paraId="764A259A"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3BD94BB8" w14:textId="0674D2DE" w:rsidR="1672FE77" w:rsidRPr="00BB4743" w:rsidRDefault="00EE3BF1" w:rsidP="64C55F6E">
            <w:pPr>
              <w:rPr>
                <w:b/>
                <w:bCs/>
                <w:sz w:val="20"/>
                <w:szCs w:val="20"/>
              </w:rPr>
            </w:pPr>
            <w:r>
              <w:rPr>
                <w:rFonts w:eastAsia="Calibri" w:cs="Calibri"/>
                <w:b/>
                <w:bCs/>
                <w:color w:val="000000"/>
                <w:sz w:val="20"/>
                <w:szCs w:val="20"/>
              </w:rPr>
              <w:t xml:space="preserve">Dr </w:t>
            </w:r>
            <w:r w:rsidR="1672FE77" w:rsidRPr="00BB4743">
              <w:rPr>
                <w:rFonts w:eastAsia="Calibri" w:cs="Calibri"/>
                <w:b/>
                <w:bCs/>
                <w:color w:val="000000"/>
                <w:sz w:val="20"/>
                <w:szCs w:val="20"/>
              </w:rPr>
              <w:t>Sahr R Gborie</w:t>
            </w:r>
          </w:p>
        </w:tc>
        <w:tc>
          <w:tcPr>
            <w:tcW w:w="1667" w:type="pct"/>
          </w:tcPr>
          <w:p w14:paraId="41AB3E7D" w14:textId="03E882A9" w:rsidR="5846595B" w:rsidRPr="00AE14D5" w:rsidRDefault="007E2732" w:rsidP="00BB4743">
            <w:pPr>
              <w:rPr>
                <w:rFonts w:eastAsia="Calibri" w:cs="Calibri"/>
                <w:color w:val="000000"/>
                <w:sz w:val="20"/>
                <w:szCs w:val="20"/>
              </w:rPr>
            </w:pPr>
            <w:r>
              <w:rPr>
                <w:rFonts w:eastAsia="Calibri" w:cs="Calibri"/>
                <w:color w:val="000000"/>
                <w:sz w:val="20"/>
                <w:szCs w:val="20"/>
              </w:rPr>
              <w:t>Ministry of Agriculture and Forestry (</w:t>
            </w:r>
            <w:r w:rsidR="5846595B" w:rsidRPr="00AE14D5">
              <w:rPr>
                <w:rFonts w:eastAsia="Calibri" w:cs="Calibri"/>
                <w:color w:val="000000"/>
                <w:sz w:val="20"/>
                <w:szCs w:val="20"/>
              </w:rPr>
              <w:t>MAF</w:t>
            </w:r>
            <w:r>
              <w:rPr>
                <w:rFonts w:eastAsia="Calibri" w:cs="Calibri"/>
                <w:color w:val="000000"/>
                <w:sz w:val="20"/>
                <w:szCs w:val="20"/>
              </w:rPr>
              <w:t>)</w:t>
            </w:r>
          </w:p>
        </w:tc>
        <w:tc>
          <w:tcPr>
            <w:tcW w:w="1666" w:type="pct"/>
          </w:tcPr>
          <w:p w14:paraId="10900249" w14:textId="05AA894D" w:rsidR="1672FE77" w:rsidRPr="00AE14D5" w:rsidRDefault="1672FE77" w:rsidP="00BB4743">
            <w:pPr>
              <w:rPr>
                <w:sz w:val="20"/>
                <w:szCs w:val="20"/>
              </w:rPr>
            </w:pPr>
            <w:r w:rsidRPr="00AE14D5">
              <w:rPr>
                <w:rFonts w:eastAsia="Calibri" w:cs="Calibri"/>
                <w:color w:val="000000"/>
                <w:sz w:val="20"/>
                <w:szCs w:val="20"/>
              </w:rPr>
              <w:t xml:space="preserve">AMR Focal Point, </w:t>
            </w:r>
            <w:r w:rsidR="00265143" w:rsidRPr="00AE14D5">
              <w:rPr>
                <w:rFonts w:eastAsia="Calibri" w:cs="Calibri"/>
                <w:color w:val="000000"/>
                <w:sz w:val="20"/>
                <w:szCs w:val="20"/>
              </w:rPr>
              <w:t>AH</w:t>
            </w:r>
          </w:p>
        </w:tc>
      </w:tr>
      <w:tr w:rsidR="64C55F6E" w14:paraId="12393F37"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5000" w:type="pct"/>
            <w:gridSpan w:val="3"/>
            <w:shd w:val="clear" w:color="auto" w:fill="96C286" w:themeFill="text2" w:themeFillTint="99"/>
          </w:tcPr>
          <w:p w14:paraId="15008DBF" w14:textId="0646F5BF" w:rsidR="302AA2C6" w:rsidRPr="00AE14D5" w:rsidRDefault="00121E83" w:rsidP="000B3487">
            <w:pPr>
              <w:rPr>
                <w:rFonts w:eastAsia="Calibri" w:cs="Calibri"/>
                <w:color w:val="FFFFFF" w:themeColor="background1"/>
                <w:sz w:val="20"/>
                <w:szCs w:val="20"/>
              </w:rPr>
            </w:pPr>
            <w:r w:rsidRPr="00121E83">
              <w:rPr>
                <w:rFonts w:eastAsia="Calibri" w:cs="Calibri"/>
                <w:color w:val="FFFFFF" w:themeColor="background1"/>
                <w:sz w:val="20"/>
                <w:szCs w:val="20"/>
              </w:rPr>
              <w:t>WOAH</w:t>
            </w:r>
            <w:r w:rsidR="302AA2C6" w:rsidRPr="00AE14D5">
              <w:rPr>
                <w:rFonts w:eastAsia="Calibri" w:cs="Calibri"/>
                <w:color w:val="FFFFFF" w:themeColor="background1"/>
                <w:sz w:val="20"/>
                <w:szCs w:val="20"/>
              </w:rPr>
              <w:t xml:space="preserve"> Focal Point</w:t>
            </w:r>
          </w:p>
        </w:tc>
      </w:tr>
      <w:tr w:rsidR="64C55F6E" w14:paraId="3AFA035E"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11A6272C" w14:textId="468EE753" w:rsidR="302AA2C6" w:rsidRPr="00BB4743" w:rsidRDefault="302AA2C6" w:rsidP="64C55F6E">
            <w:pPr>
              <w:rPr>
                <w:b/>
                <w:bCs/>
                <w:sz w:val="20"/>
                <w:szCs w:val="20"/>
              </w:rPr>
            </w:pPr>
            <w:r w:rsidRPr="00BB4743">
              <w:rPr>
                <w:rFonts w:eastAsia="Calibri" w:cs="Calibri"/>
                <w:b/>
                <w:bCs/>
                <w:color w:val="000000"/>
                <w:sz w:val="20"/>
                <w:szCs w:val="20"/>
              </w:rPr>
              <w:t>Dr Mohamed Alpha Bah</w:t>
            </w:r>
          </w:p>
          <w:p w14:paraId="4F463A50" w14:textId="32389765" w:rsidR="64C55F6E" w:rsidRPr="00BB4743" w:rsidRDefault="64C55F6E" w:rsidP="64C55F6E">
            <w:pPr>
              <w:rPr>
                <w:rFonts w:eastAsia="Calibri" w:cs="Calibri"/>
                <w:b/>
                <w:bCs/>
                <w:color w:val="000000"/>
                <w:sz w:val="20"/>
                <w:szCs w:val="20"/>
              </w:rPr>
            </w:pPr>
          </w:p>
        </w:tc>
        <w:tc>
          <w:tcPr>
            <w:tcW w:w="1667" w:type="pct"/>
          </w:tcPr>
          <w:p w14:paraId="2D80E87B" w14:textId="667D5F2F" w:rsidR="302AA2C6" w:rsidRPr="00AE14D5" w:rsidRDefault="007E2732" w:rsidP="00BB4743">
            <w:pPr>
              <w:rPr>
                <w:rFonts w:eastAsia="Calibri" w:cs="Calibri"/>
                <w:color w:val="000000"/>
                <w:sz w:val="20"/>
                <w:szCs w:val="20"/>
              </w:rPr>
            </w:pPr>
            <w:r>
              <w:rPr>
                <w:rFonts w:eastAsia="Calibri" w:cs="Calibri"/>
                <w:color w:val="000000"/>
                <w:sz w:val="20"/>
                <w:szCs w:val="20"/>
              </w:rPr>
              <w:t xml:space="preserve">Ministry of Agriculture and Forestry </w:t>
            </w:r>
            <w:r w:rsidR="006C6F86">
              <w:rPr>
                <w:rFonts w:eastAsia="Calibri" w:cs="Calibri"/>
                <w:color w:val="000000"/>
                <w:sz w:val="20"/>
                <w:szCs w:val="20"/>
              </w:rPr>
              <w:t>(</w:t>
            </w:r>
            <w:r w:rsidR="302AA2C6" w:rsidRPr="00AE14D5">
              <w:rPr>
                <w:rFonts w:eastAsia="Calibri" w:cs="Calibri"/>
                <w:color w:val="000000"/>
                <w:sz w:val="20"/>
                <w:szCs w:val="20"/>
              </w:rPr>
              <w:t>MAF</w:t>
            </w:r>
            <w:r w:rsidR="006C6F86">
              <w:rPr>
                <w:rFonts w:eastAsia="Calibri" w:cs="Calibri"/>
                <w:color w:val="000000"/>
                <w:sz w:val="20"/>
                <w:szCs w:val="20"/>
              </w:rPr>
              <w:t>)</w:t>
            </w:r>
          </w:p>
        </w:tc>
        <w:tc>
          <w:tcPr>
            <w:tcW w:w="1666" w:type="pct"/>
          </w:tcPr>
          <w:p w14:paraId="2718732A" w14:textId="75A5ABA0" w:rsidR="4B8B6E0F" w:rsidRPr="00AE14D5" w:rsidRDefault="4B8B6E0F" w:rsidP="00BB4743">
            <w:pPr>
              <w:rPr>
                <w:sz w:val="20"/>
                <w:szCs w:val="20"/>
              </w:rPr>
            </w:pPr>
            <w:r w:rsidRPr="00AE14D5">
              <w:rPr>
                <w:rFonts w:eastAsia="Calibri" w:cs="Calibri"/>
                <w:color w:val="000000"/>
                <w:sz w:val="20"/>
                <w:szCs w:val="20"/>
              </w:rPr>
              <w:t xml:space="preserve">Director of Livestock, </w:t>
            </w:r>
            <w:r w:rsidR="00121E83" w:rsidRPr="00121E83">
              <w:rPr>
                <w:rFonts w:eastAsia="Calibri" w:cs="Calibri"/>
                <w:color w:val="000000"/>
                <w:sz w:val="20"/>
                <w:szCs w:val="20"/>
              </w:rPr>
              <w:t>WOAH</w:t>
            </w:r>
            <w:r w:rsidRPr="00AE14D5">
              <w:rPr>
                <w:rFonts w:eastAsia="Calibri" w:cs="Calibri"/>
                <w:color w:val="000000"/>
                <w:sz w:val="20"/>
                <w:szCs w:val="20"/>
              </w:rPr>
              <w:t xml:space="preserve"> Focal Point</w:t>
            </w:r>
          </w:p>
        </w:tc>
      </w:tr>
      <w:tr w:rsidR="64C55F6E" w14:paraId="3118F8F7"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5000" w:type="pct"/>
            <w:gridSpan w:val="3"/>
            <w:shd w:val="clear" w:color="auto" w:fill="96C286" w:themeFill="text2" w:themeFillTint="99"/>
          </w:tcPr>
          <w:p w14:paraId="24342C01" w14:textId="2CAA1606" w:rsidR="507BA277" w:rsidRPr="00AE14D5" w:rsidRDefault="507BA277" w:rsidP="000B3487">
            <w:pPr>
              <w:rPr>
                <w:rFonts w:eastAsia="Calibri" w:cs="Calibri"/>
                <w:color w:val="FFFFFF" w:themeColor="background1"/>
                <w:sz w:val="20"/>
                <w:szCs w:val="20"/>
              </w:rPr>
            </w:pPr>
            <w:r w:rsidRPr="00AE14D5">
              <w:rPr>
                <w:rFonts w:eastAsia="Calibri" w:cs="Calibri"/>
                <w:color w:val="FFFFFF" w:themeColor="background1"/>
                <w:sz w:val="20"/>
                <w:szCs w:val="20"/>
              </w:rPr>
              <w:t>AMU Focal Point</w:t>
            </w:r>
          </w:p>
        </w:tc>
      </w:tr>
      <w:tr w:rsidR="64C55F6E" w14:paraId="2F419B18"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001B9450" w14:textId="7706DBA9" w:rsidR="507BA277" w:rsidRPr="00BB4743" w:rsidRDefault="507BA277" w:rsidP="64C55F6E">
            <w:pPr>
              <w:rPr>
                <w:b/>
                <w:bCs/>
                <w:sz w:val="20"/>
                <w:szCs w:val="20"/>
              </w:rPr>
            </w:pPr>
            <w:r w:rsidRPr="00BB4743">
              <w:rPr>
                <w:rFonts w:eastAsia="Calibri" w:cs="Calibri"/>
                <w:b/>
                <w:bCs/>
                <w:color w:val="000000"/>
                <w:sz w:val="20"/>
                <w:szCs w:val="20"/>
              </w:rPr>
              <w:t>Jeanete Buck</w:t>
            </w:r>
          </w:p>
        </w:tc>
        <w:tc>
          <w:tcPr>
            <w:tcW w:w="1667" w:type="pct"/>
          </w:tcPr>
          <w:p w14:paraId="602C770A" w14:textId="2D2A2226" w:rsidR="507BA277" w:rsidRPr="00AE14D5" w:rsidRDefault="507BA277" w:rsidP="00BB4743">
            <w:pPr>
              <w:rPr>
                <w:rFonts w:eastAsia="Calibri" w:cs="Calibri"/>
                <w:color w:val="000000"/>
                <w:sz w:val="20"/>
                <w:szCs w:val="20"/>
              </w:rPr>
            </w:pPr>
            <w:r w:rsidRPr="00AE14D5">
              <w:rPr>
                <w:rFonts w:eastAsia="Calibri" w:cs="Calibri"/>
                <w:color w:val="000000"/>
                <w:sz w:val="20"/>
                <w:szCs w:val="20"/>
              </w:rPr>
              <w:t>MoHS</w:t>
            </w:r>
          </w:p>
        </w:tc>
        <w:tc>
          <w:tcPr>
            <w:tcW w:w="1666" w:type="pct"/>
          </w:tcPr>
          <w:p w14:paraId="40370BB2" w14:textId="2FCF9A63" w:rsidR="507BA277" w:rsidRPr="00AE14D5" w:rsidRDefault="507BA277" w:rsidP="00BB4743">
            <w:pPr>
              <w:rPr>
                <w:sz w:val="20"/>
                <w:szCs w:val="20"/>
              </w:rPr>
            </w:pPr>
            <w:r w:rsidRPr="00AE14D5">
              <w:rPr>
                <w:rFonts w:eastAsia="Calibri" w:cs="Calibri"/>
                <w:color w:val="000000"/>
                <w:sz w:val="20"/>
                <w:szCs w:val="20"/>
              </w:rPr>
              <w:t>AMU focal person in Directorate Pharmaceutical Services</w:t>
            </w:r>
          </w:p>
        </w:tc>
      </w:tr>
      <w:tr w:rsidR="00687B10" w:rsidRPr="00791C9D" w14:paraId="344D53F5"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5000" w:type="pct"/>
            <w:gridSpan w:val="3"/>
            <w:shd w:val="clear" w:color="auto" w:fill="96C286" w:themeFill="text2" w:themeFillTint="99"/>
          </w:tcPr>
          <w:p w14:paraId="374A312D" w14:textId="77777777" w:rsidR="00687B10" w:rsidRPr="000F463A" w:rsidRDefault="00687B10" w:rsidP="000B3487">
            <w:pPr>
              <w:rPr>
                <w:rFonts w:cstheme="minorHAnsi"/>
                <w:color w:val="FFFFFF" w:themeColor="background1"/>
                <w:sz w:val="20"/>
                <w:szCs w:val="20"/>
              </w:rPr>
            </w:pPr>
            <w:r>
              <w:rPr>
                <w:rFonts w:cstheme="minorHAnsi"/>
                <w:color w:val="FFFFFF" w:themeColor="background1"/>
                <w:sz w:val="20"/>
                <w:szCs w:val="20"/>
              </w:rPr>
              <w:t>Development Partners/ Academia</w:t>
            </w:r>
          </w:p>
        </w:tc>
      </w:tr>
      <w:tr w:rsidR="00687B10" w:rsidRPr="00791C9D" w14:paraId="3954AB0A"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159A9D52" w14:textId="03799F97" w:rsidR="00687B10" w:rsidRPr="00BB4743" w:rsidRDefault="0F37495B" w:rsidP="64C55F6E">
            <w:pPr>
              <w:rPr>
                <w:b/>
                <w:bCs/>
                <w:sz w:val="20"/>
                <w:szCs w:val="20"/>
              </w:rPr>
            </w:pPr>
            <w:r w:rsidRPr="00BB4743">
              <w:rPr>
                <w:rFonts w:eastAsia="Calibri" w:cs="Calibri"/>
                <w:b/>
                <w:bCs/>
                <w:color w:val="000000"/>
                <w:sz w:val="20"/>
                <w:szCs w:val="20"/>
              </w:rPr>
              <w:t>Dr Shuwary Ade Barlatt</w:t>
            </w:r>
          </w:p>
        </w:tc>
        <w:tc>
          <w:tcPr>
            <w:tcW w:w="1667" w:type="pct"/>
          </w:tcPr>
          <w:p w14:paraId="679218EB" w14:textId="6C9C9B63" w:rsidR="00687B10" w:rsidRPr="00BB4743" w:rsidRDefault="0F37495B" w:rsidP="00BB4743">
            <w:pPr>
              <w:rPr>
                <w:rFonts w:cstheme="minorBidi"/>
                <w:color w:val="auto"/>
                <w:sz w:val="20"/>
                <w:szCs w:val="20"/>
                <w:lang w:eastAsia="en-GB"/>
              </w:rPr>
            </w:pPr>
            <w:r w:rsidRPr="006C6F86">
              <w:rPr>
                <w:rFonts w:cstheme="minorBidi"/>
                <w:sz w:val="20"/>
                <w:szCs w:val="20"/>
                <w:lang w:eastAsia="en-GB"/>
              </w:rPr>
              <w:t>MoHS</w:t>
            </w:r>
          </w:p>
        </w:tc>
        <w:tc>
          <w:tcPr>
            <w:tcW w:w="1666" w:type="pct"/>
          </w:tcPr>
          <w:p w14:paraId="6AD2F02C" w14:textId="54F6F178" w:rsidR="00687B10" w:rsidRPr="00BB4743" w:rsidRDefault="0F37495B" w:rsidP="00BB4743">
            <w:pPr>
              <w:rPr>
                <w:color w:val="auto"/>
                <w:sz w:val="20"/>
                <w:szCs w:val="20"/>
              </w:rPr>
            </w:pPr>
            <w:r w:rsidRPr="00590546">
              <w:rPr>
                <w:sz w:val="20"/>
                <w:szCs w:val="20"/>
              </w:rPr>
              <w:t>CwPAM</w:t>
            </w:r>
            <w:r w:rsidR="003B04A1">
              <w:rPr>
                <w:color w:val="auto"/>
                <w:sz w:val="20"/>
                <w:szCs w:val="20"/>
              </w:rPr>
              <w:t>S</w:t>
            </w:r>
          </w:p>
        </w:tc>
      </w:tr>
      <w:tr w:rsidR="00687B10" w:rsidRPr="00791C9D" w14:paraId="2C677C2D"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5000" w:type="pct"/>
            <w:gridSpan w:val="3"/>
            <w:shd w:val="clear" w:color="auto" w:fill="96C286" w:themeFill="text2" w:themeFillTint="99"/>
          </w:tcPr>
          <w:p w14:paraId="739814EB" w14:textId="77777777" w:rsidR="00687B10" w:rsidRPr="0018555A" w:rsidRDefault="00687B10" w:rsidP="000B3487">
            <w:pPr>
              <w:rPr>
                <w:rFonts w:cstheme="minorHAnsi"/>
                <w:color w:val="FFFFFF" w:themeColor="background1"/>
                <w:sz w:val="20"/>
                <w:szCs w:val="20"/>
              </w:rPr>
            </w:pPr>
            <w:r>
              <w:rPr>
                <w:rFonts w:cstheme="minorHAnsi"/>
                <w:color w:val="FFFFFF" w:themeColor="background1"/>
                <w:sz w:val="20"/>
                <w:szCs w:val="20"/>
              </w:rPr>
              <w:t>NRL &amp; Site Visit</w:t>
            </w:r>
          </w:p>
        </w:tc>
      </w:tr>
      <w:tr w:rsidR="00687B10" w:rsidRPr="00791C9D" w14:paraId="3FBB61DD"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1913871E" w14:textId="4E18031F" w:rsidR="00687B10" w:rsidRPr="00BB4743" w:rsidRDefault="00EE3BF1" w:rsidP="64C55F6E">
            <w:pPr>
              <w:rPr>
                <w:b/>
                <w:bCs/>
                <w:sz w:val="20"/>
                <w:szCs w:val="20"/>
              </w:rPr>
            </w:pPr>
            <w:r>
              <w:rPr>
                <w:rFonts w:eastAsia="Calibri" w:cs="Calibri"/>
                <w:b/>
                <w:bCs/>
                <w:color w:val="000000"/>
                <w:sz w:val="20"/>
                <w:szCs w:val="20"/>
              </w:rPr>
              <w:t xml:space="preserve">Dr </w:t>
            </w:r>
            <w:r w:rsidR="652DFF04" w:rsidRPr="00BB4743">
              <w:rPr>
                <w:rFonts w:eastAsia="Calibri" w:cs="Calibri"/>
                <w:b/>
                <w:bCs/>
                <w:color w:val="000000"/>
                <w:sz w:val="20"/>
                <w:szCs w:val="20"/>
              </w:rPr>
              <w:t>Zikan Koroma</w:t>
            </w:r>
          </w:p>
        </w:tc>
        <w:tc>
          <w:tcPr>
            <w:tcW w:w="1667" w:type="pct"/>
          </w:tcPr>
          <w:p w14:paraId="1D33494A" w14:textId="331A9665" w:rsidR="00687B10" w:rsidRPr="00FC65C1" w:rsidRDefault="652DFF04" w:rsidP="00BB4743">
            <w:pPr>
              <w:rPr>
                <w:rFonts w:cstheme="minorBidi"/>
                <w:color w:val="auto"/>
                <w:sz w:val="20"/>
                <w:szCs w:val="20"/>
                <w:lang w:eastAsia="en-GB"/>
              </w:rPr>
            </w:pPr>
            <w:r w:rsidRPr="00FC65C1">
              <w:rPr>
                <w:rFonts w:cstheme="minorBidi"/>
                <w:sz w:val="20"/>
                <w:szCs w:val="20"/>
                <w:lang w:eastAsia="en-GB"/>
              </w:rPr>
              <w:t>MoHS</w:t>
            </w:r>
          </w:p>
        </w:tc>
        <w:tc>
          <w:tcPr>
            <w:tcW w:w="1666" w:type="pct"/>
          </w:tcPr>
          <w:p w14:paraId="538F68FC" w14:textId="394E5A98" w:rsidR="00687B10" w:rsidRPr="00BB4743" w:rsidRDefault="652DFF04" w:rsidP="00BB4743">
            <w:pPr>
              <w:rPr>
                <w:color w:val="auto"/>
                <w:sz w:val="20"/>
                <w:szCs w:val="20"/>
              </w:rPr>
            </w:pPr>
            <w:r w:rsidRPr="00BB4743">
              <w:rPr>
                <w:rFonts w:eastAsia="Calibri" w:cs="Calibri"/>
                <w:color w:val="auto"/>
                <w:sz w:val="20"/>
                <w:szCs w:val="20"/>
              </w:rPr>
              <w:t xml:space="preserve">National </w:t>
            </w:r>
            <w:r w:rsidR="002A22DF" w:rsidRPr="00BB4743">
              <w:rPr>
                <w:rFonts w:eastAsia="Calibri" w:cs="Calibri"/>
                <w:color w:val="auto"/>
                <w:sz w:val="20"/>
                <w:szCs w:val="20"/>
              </w:rPr>
              <w:t xml:space="preserve">Programme </w:t>
            </w:r>
            <w:r w:rsidRPr="00BB4743">
              <w:rPr>
                <w:rFonts w:eastAsia="Calibri" w:cs="Calibri"/>
                <w:color w:val="auto"/>
                <w:sz w:val="20"/>
                <w:szCs w:val="20"/>
              </w:rPr>
              <w:t>Manager Clinical Laboratories and National Coordinator BioBanking &amp; Biosecurity.</w:t>
            </w:r>
          </w:p>
        </w:tc>
      </w:tr>
      <w:tr w:rsidR="00687B10" w:rsidRPr="00791C9D" w14:paraId="7C755F2D"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1667" w:type="pct"/>
          </w:tcPr>
          <w:p w14:paraId="12A63EB8" w14:textId="300F412C" w:rsidR="00687B10" w:rsidRPr="00BB4743" w:rsidRDefault="4D388BA8" w:rsidP="64C55F6E">
            <w:pPr>
              <w:rPr>
                <w:b/>
                <w:bCs/>
                <w:sz w:val="20"/>
                <w:szCs w:val="20"/>
              </w:rPr>
            </w:pPr>
            <w:r w:rsidRPr="00BB4743">
              <w:rPr>
                <w:rFonts w:eastAsia="Calibri" w:cs="Calibri"/>
                <w:b/>
                <w:bCs/>
                <w:color w:val="000000"/>
                <w:sz w:val="20"/>
                <w:szCs w:val="20"/>
              </w:rPr>
              <w:t>Santigue Kamara</w:t>
            </w:r>
          </w:p>
        </w:tc>
        <w:tc>
          <w:tcPr>
            <w:tcW w:w="1667" w:type="pct"/>
          </w:tcPr>
          <w:p w14:paraId="0EC0CDBF" w14:textId="08B6FF3E" w:rsidR="00687B10" w:rsidRPr="00FC65C1" w:rsidRDefault="4D388BA8" w:rsidP="00BB4743">
            <w:pPr>
              <w:rPr>
                <w:rFonts w:cstheme="minorBidi"/>
                <w:color w:val="auto"/>
                <w:sz w:val="20"/>
                <w:szCs w:val="20"/>
                <w:lang w:eastAsia="en-GB"/>
              </w:rPr>
            </w:pPr>
            <w:r w:rsidRPr="00FC65C1">
              <w:rPr>
                <w:rFonts w:cstheme="minorBidi"/>
                <w:sz w:val="20"/>
                <w:szCs w:val="20"/>
                <w:lang w:eastAsia="en-GB"/>
              </w:rPr>
              <w:t>MoHS</w:t>
            </w:r>
          </w:p>
        </w:tc>
        <w:tc>
          <w:tcPr>
            <w:tcW w:w="1666" w:type="pct"/>
          </w:tcPr>
          <w:p w14:paraId="15A1D502" w14:textId="0DF63B89" w:rsidR="00687B10" w:rsidRPr="00BB4743" w:rsidRDefault="00D770D4" w:rsidP="00BB4743">
            <w:pPr>
              <w:rPr>
                <w:color w:val="auto"/>
                <w:sz w:val="20"/>
                <w:szCs w:val="20"/>
              </w:rPr>
            </w:pPr>
            <w:r w:rsidRPr="00BB4743">
              <w:rPr>
                <w:rFonts w:eastAsia="Calibri" w:cs="Calibri"/>
                <w:color w:val="auto"/>
                <w:sz w:val="20"/>
                <w:szCs w:val="20"/>
              </w:rPr>
              <w:t xml:space="preserve">Laboratory </w:t>
            </w:r>
            <w:r w:rsidR="4D388BA8" w:rsidRPr="00BB4743">
              <w:rPr>
                <w:rFonts w:eastAsia="Calibri" w:cs="Calibri"/>
                <w:color w:val="auto"/>
                <w:sz w:val="20"/>
                <w:szCs w:val="20"/>
              </w:rPr>
              <w:t>Lead, Connaught Teaching Hospital</w:t>
            </w:r>
          </w:p>
        </w:tc>
      </w:tr>
      <w:tr w:rsidR="00687B10" w:rsidRPr="00791C9D" w14:paraId="52144914"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3DD13D0E" w14:textId="404D23F3" w:rsidR="00687B10" w:rsidRPr="00BB4743" w:rsidRDefault="4D388BA8" w:rsidP="64C55F6E">
            <w:pPr>
              <w:rPr>
                <w:b/>
                <w:bCs/>
                <w:sz w:val="20"/>
                <w:szCs w:val="20"/>
              </w:rPr>
            </w:pPr>
            <w:r w:rsidRPr="00BB4743">
              <w:rPr>
                <w:rFonts w:eastAsia="Calibri" w:cs="Calibri"/>
                <w:b/>
                <w:bCs/>
                <w:color w:val="000000"/>
                <w:sz w:val="20"/>
                <w:szCs w:val="20"/>
              </w:rPr>
              <w:t>Alhaji Thaimu Kamara</w:t>
            </w:r>
          </w:p>
        </w:tc>
        <w:tc>
          <w:tcPr>
            <w:tcW w:w="1667" w:type="pct"/>
          </w:tcPr>
          <w:p w14:paraId="1F2017BB" w14:textId="1A13AF38" w:rsidR="00687B10" w:rsidRPr="00FC65C1" w:rsidRDefault="4D388BA8" w:rsidP="00BB4743">
            <w:pPr>
              <w:rPr>
                <w:rFonts w:cstheme="minorBidi"/>
                <w:color w:val="auto"/>
                <w:sz w:val="20"/>
                <w:szCs w:val="20"/>
                <w:lang w:eastAsia="en-GB"/>
              </w:rPr>
            </w:pPr>
            <w:r w:rsidRPr="00FC65C1">
              <w:rPr>
                <w:rFonts w:cstheme="minorBidi"/>
                <w:sz w:val="20"/>
                <w:szCs w:val="20"/>
                <w:lang w:eastAsia="en-GB"/>
              </w:rPr>
              <w:t>MoHS</w:t>
            </w:r>
          </w:p>
        </w:tc>
        <w:tc>
          <w:tcPr>
            <w:tcW w:w="1666" w:type="pct"/>
          </w:tcPr>
          <w:p w14:paraId="2D3B2C03" w14:textId="3A56A0BB" w:rsidR="00687B10" w:rsidRPr="00BB4743" w:rsidRDefault="00D770D4" w:rsidP="00BB4743">
            <w:pPr>
              <w:rPr>
                <w:color w:val="auto"/>
                <w:sz w:val="20"/>
                <w:szCs w:val="20"/>
              </w:rPr>
            </w:pPr>
            <w:r w:rsidRPr="00BB4743">
              <w:rPr>
                <w:rFonts w:eastAsia="Calibri" w:cs="Calibri"/>
                <w:color w:val="auto"/>
                <w:sz w:val="20"/>
                <w:szCs w:val="20"/>
              </w:rPr>
              <w:t xml:space="preserve">Laboratory </w:t>
            </w:r>
            <w:r w:rsidR="4D388BA8" w:rsidRPr="00BB4743">
              <w:rPr>
                <w:rFonts w:eastAsia="Calibri" w:cs="Calibri"/>
                <w:color w:val="auto"/>
                <w:sz w:val="20"/>
                <w:szCs w:val="20"/>
              </w:rPr>
              <w:t>Lead, Ola During Children's Hospital</w:t>
            </w:r>
          </w:p>
        </w:tc>
      </w:tr>
      <w:tr w:rsidR="00687B10" w:rsidRPr="00791C9D" w14:paraId="3E40299D"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1667" w:type="pct"/>
          </w:tcPr>
          <w:p w14:paraId="6F4463DF" w14:textId="28727DD6" w:rsidR="00687B10" w:rsidRPr="00BB4743" w:rsidRDefault="42714B4F" w:rsidP="64C55F6E">
            <w:pPr>
              <w:rPr>
                <w:b/>
                <w:bCs/>
                <w:sz w:val="20"/>
                <w:szCs w:val="20"/>
              </w:rPr>
            </w:pPr>
            <w:r w:rsidRPr="00BB4743">
              <w:rPr>
                <w:rFonts w:eastAsia="Calibri" w:cs="Calibri"/>
                <w:b/>
                <w:bCs/>
                <w:color w:val="000000"/>
                <w:sz w:val="20"/>
                <w:szCs w:val="20"/>
              </w:rPr>
              <w:t>Ahmed F Samba</w:t>
            </w:r>
          </w:p>
        </w:tc>
        <w:tc>
          <w:tcPr>
            <w:tcW w:w="1667" w:type="pct"/>
          </w:tcPr>
          <w:p w14:paraId="2DB85986" w14:textId="2860F4FC" w:rsidR="00687B10" w:rsidRPr="00FC65C1" w:rsidRDefault="006C6F86" w:rsidP="00BB4743">
            <w:pPr>
              <w:rPr>
                <w:rFonts w:cstheme="minorBidi"/>
                <w:color w:val="auto"/>
                <w:sz w:val="20"/>
                <w:szCs w:val="20"/>
                <w:lang w:eastAsia="en-GB"/>
              </w:rPr>
            </w:pPr>
            <w:r w:rsidRPr="00FC65C1">
              <w:rPr>
                <w:rFonts w:cstheme="minorBidi"/>
                <w:sz w:val="20"/>
                <w:szCs w:val="20"/>
                <w:lang w:eastAsia="en-GB"/>
              </w:rPr>
              <w:t>Ministry of Agriculture and Forestry (MAF)</w:t>
            </w:r>
          </w:p>
        </w:tc>
        <w:tc>
          <w:tcPr>
            <w:tcW w:w="1666" w:type="pct"/>
          </w:tcPr>
          <w:p w14:paraId="144F38BB" w14:textId="2AA3333A" w:rsidR="00687B10" w:rsidRPr="00BB4743" w:rsidRDefault="00D770D4" w:rsidP="00BB4743">
            <w:pPr>
              <w:rPr>
                <w:color w:val="auto"/>
                <w:sz w:val="20"/>
                <w:szCs w:val="20"/>
              </w:rPr>
            </w:pPr>
            <w:r w:rsidRPr="00BB4743">
              <w:rPr>
                <w:rFonts w:eastAsia="Calibri" w:cs="Calibri"/>
                <w:color w:val="auto"/>
                <w:sz w:val="20"/>
                <w:szCs w:val="20"/>
              </w:rPr>
              <w:t xml:space="preserve">Laboratory </w:t>
            </w:r>
            <w:r w:rsidR="42714B4F" w:rsidRPr="00BB4743">
              <w:rPr>
                <w:rFonts w:eastAsia="Calibri" w:cs="Calibri"/>
                <w:color w:val="auto"/>
                <w:sz w:val="20"/>
                <w:szCs w:val="20"/>
              </w:rPr>
              <w:t>Manager, Central Veterinary Laboratory</w:t>
            </w:r>
          </w:p>
        </w:tc>
      </w:tr>
      <w:tr w:rsidR="64C55F6E" w14:paraId="07385A56" w14:textId="77777777" w:rsidTr="00BB4743">
        <w:trPr>
          <w:cnfStyle w:val="000000010000" w:firstRow="0" w:lastRow="0" w:firstColumn="0" w:lastColumn="0" w:oddVBand="0" w:evenVBand="0" w:oddHBand="0" w:evenHBand="1" w:firstRowFirstColumn="0" w:firstRowLastColumn="0" w:lastRowFirstColumn="0" w:lastRowLastColumn="0"/>
          <w:trHeight w:val="340"/>
        </w:trPr>
        <w:tc>
          <w:tcPr>
            <w:tcW w:w="1667" w:type="pct"/>
          </w:tcPr>
          <w:p w14:paraId="22FE53EB" w14:textId="46FCAEFC" w:rsidR="708D7BA4" w:rsidRPr="00BB4743" w:rsidRDefault="708D7BA4" w:rsidP="64C55F6E">
            <w:pPr>
              <w:rPr>
                <w:b/>
                <w:bCs/>
                <w:sz w:val="20"/>
                <w:szCs w:val="20"/>
              </w:rPr>
            </w:pPr>
            <w:r w:rsidRPr="00BB4743">
              <w:rPr>
                <w:rFonts w:eastAsia="Calibri" w:cs="Calibri"/>
                <w:b/>
                <w:bCs/>
                <w:color w:val="000000"/>
                <w:sz w:val="20"/>
                <w:szCs w:val="20"/>
              </w:rPr>
              <w:t>Roy Macaulay</w:t>
            </w:r>
          </w:p>
        </w:tc>
        <w:tc>
          <w:tcPr>
            <w:tcW w:w="1667" w:type="pct"/>
          </w:tcPr>
          <w:p w14:paraId="4537B1A3" w14:textId="29A59E8C" w:rsidR="708D7BA4" w:rsidRPr="00FC65C1" w:rsidRDefault="708D7BA4" w:rsidP="00BB4743">
            <w:pPr>
              <w:rPr>
                <w:rFonts w:cstheme="minorBidi"/>
                <w:color w:val="auto"/>
                <w:sz w:val="20"/>
                <w:szCs w:val="20"/>
                <w:lang w:eastAsia="en-GB"/>
              </w:rPr>
            </w:pPr>
            <w:r w:rsidRPr="00FC65C1">
              <w:rPr>
                <w:rFonts w:cstheme="minorBidi"/>
                <w:sz w:val="20"/>
                <w:szCs w:val="20"/>
                <w:lang w:eastAsia="en-GB"/>
              </w:rPr>
              <w:t>MoHS</w:t>
            </w:r>
          </w:p>
        </w:tc>
        <w:tc>
          <w:tcPr>
            <w:tcW w:w="1666" w:type="pct"/>
          </w:tcPr>
          <w:p w14:paraId="7EB9B851" w14:textId="51F0FD14" w:rsidR="708D7BA4" w:rsidRPr="00BB4743" w:rsidRDefault="00D770D4" w:rsidP="00BB4743">
            <w:pPr>
              <w:rPr>
                <w:color w:val="auto"/>
                <w:sz w:val="20"/>
                <w:szCs w:val="20"/>
              </w:rPr>
            </w:pPr>
            <w:r w:rsidRPr="00BB4743">
              <w:rPr>
                <w:rFonts w:eastAsia="Calibri" w:cs="Calibri"/>
                <w:color w:val="auto"/>
                <w:sz w:val="20"/>
                <w:szCs w:val="20"/>
              </w:rPr>
              <w:t xml:space="preserve">Laboratory </w:t>
            </w:r>
            <w:r w:rsidR="708D7BA4" w:rsidRPr="00BB4743">
              <w:rPr>
                <w:rFonts w:eastAsia="Calibri" w:cs="Calibri"/>
                <w:color w:val="auto"/>
                <w:sz w:val="20"/>
                <w:szCs w:val="20"/>
              </w:rPr>
              <w:t>Lead, Makeni Government Hospital</w:t>
            </w:r>
          </w:p>
        </w:tc>
      </w:tr>
      <w:tr w:rsidR="64C55F6E" w14:paraId="5CB47BB1" w14:textId="77777777" w:rsidTr="00BB4743">
        <w:trPr>
          <w:cnfStyle w:val="000000100000" w:firstRow="0" w:lastRow="0" w:firstColumn="0" w:lastColumn="0" w:oddVBand="0" w:evenVBand="0" w:oddHBand="1" w:evenHBand="0" w:firstRowFirstColumn="0" w:firstRowLastColumn="0" w:lastRowFirstColumn="0" w:lastRowLastColumn="0"/>
          <w:trHeight w:val="340"/>
        </w:trPr>
        <w:tc>
          <w:tcPr>
            <w:tcW w:w="1667" w:type="pct"/>
          </w:tcPr>
          <w:p w14:paraId="0ED9314F" w14:textId="24234628" w:rsidR="708D7BA4" w:rsidRPr="00BB4743" w:rsidRDefault="708D7BA4" w:rsidP="64C55F6E">
            <w:pPr>
              <w:rPr>
                <w:b/>
                <w:bCs/>
                <w:sz w:val="20"/>
                <w:szCs w:val="20"/>
              </w:rPr>
            </w:pPr>
            <w:r w:rsidRPr="00BB4743">
              <w:rPr>
                <w:rFonts w:eastAsia="Calibri" w:cs="Calibri"/>
                <w:b/>
                <w:bCs/>
                <w:color w:val="000000"/>
                <w:sz w:val="20"/>
                <w:szCs w:val="20"/>
              </w:rPr>
              <w:t>Dr Raoul Emeric Guetiya Wadoum</w:t>
            </w:r>
          </w:p>
        </w:tc>
        <w:tc>
          <w:tcPr>
            <w:tcW w:w="1667" w:type="pct"/>
          </w:tcPr>
          <w:p w14:paraId="46454AD2" w14:textId="27DE370C" w:rsidR="708D7BA4" w:rsidRPr="00FC65C1" w:rsidRDefault="708D7BA4" w:rsidP="00BB4743">
            <w:pPr>
              <w:rPr>
                <w:rFonts w:cstheme="minorBidi"/>
                <w:color w:val="auto"/>
                <w:sz w:val="20"/>
                <w:szCs w:val="20"/>
                <w:lang w:eastAsia="en-GB"/>
              </w:rPr>
            </w:pPr>
            <w:r w:rsidRPr="00FC65C1">
              <w:rPr>
                <w:rFonts w:cstheme="minorBidi"/>
                <w:sz w:val="20"/>
                <w:szCs w:val="20"/>
                <w:lang w:eastAsia="en-GB"/>
              </w:rPr>
              <w:t>WHO</w:t>
            </w:r>
          </w:p>
        </w:tc>
        <w:tc>
          <w:tcPr>
            <w:tcW w:w="1666" w:type="pct"/>
          </w:tcPr>
          <w:p w14:paraId="239BFA3F" w14:textId="4FB4A436" w:rsidR="708D7BA4" w:rsidRPr="00BB4743" w:rsidRDefault="00D770D4" w:rsidP="00BB4743">
            <w:pPr>
              <w:rPr>
                <w:color w:val="auto"/>
                <w:sz w:val="20"/>
                <w:szCs w:val="20"/>
              </w:rPr>
            </w:pPr>
            <w:r w:rsidRPr="00BB4743">
              <w:rPr>
                <w:rFonts w:eastAsia="Calibri" w:cs="Calibri"/>
                <w:color w:val="auto"/>
                <w:sz w:val="20"/>
                <w:szCs w:val="20"/>
              </w:rPr>
              <w:t xml:space="preserve">Laboratory </w:t>
            </w:r>
            <w:r w:rsidR="708D7BA4" w:rsidRPr="00BB4743">
              <w:rPr>
                <w:rFonts w:eastAsia="Calibri" w:cs="Calibri"/>
                <w:color w:val="auto"/>
                <w:sz w:val="20"/>
                <w:szCs w:val="20"/>
              </w:rPr>
              <w:t xml:space="preserve">Lead, </w:t>
            </w:r>
            <w:r w:rsidR="0075181D" w:rsidRPr="00BB4743">
              <w:rPr>
                <w:rFonts w:eastAsia="Calibri" w:cs="Calibri"/>
                <w:color w:val="auto"/>
                <w:sz w:val="20"/>
                <w:szCs w:val="20"/>
              </w:rPr>
              <w:t>COVID-</w:t>
            </w:r>
            <w:r w:rsidR="708D7BA4" w:rsidRPr="00BB4743">
              <w:rPr>
                <w:rFonts w:eastAsia="Calibri" w:cs="Calibri"/>
                <w:color w:val="auto"/>
                <w:sz w:val="20"/>
                <w:szCs w:val="20"/>
              </w:rPr>
              <w:t>19, Makeni Government Hospital</w:t>
            </w:r>
          </w:p>
        </w:tc>
      </w:tr>
    </w:tbl>
    <w:p w14:paraId="52CAEFCD" w14:textId="3BBA1948" w:rsidR="00CF4E89" w:rsidRDefault="1ED1C5CC" w:rsidP="004F2001">
      <w:pPr>
        <w:pStyle w:val="ItadH2"/>
      </w:pPr>
      <w:bookmarkStart w:id="425" w:name="_Toc118968582"/>
      <w:bookmarkStart w:id="426" w:name="_Toc122209936"/>
      <w:bookmarkStart w:id="427" w:name="_Toc142383224"/>
      <w:r>
        <w:t>Tanzania</w:t>
      </w:r>
      <w:bookmarkEnd w:id="425"/>
      <w:bookmarkEnd w:id="426"/>
      <w:bookmarkEnd w:id="427"/>
    </w:p>
    <w:tbl>
      <w:tblPr>
        <w:tblStyle w:val="Itadalternaterows"/>
        <w:tblW w:w="0" w:type="auto"/>
        <w:tblLook w:val="04A0" w:firstRow="1" w:lastRow="0" w:firstColumn="1" w:lastColumn="0" w:noHBand="0" w:noVBand="1"/>
      </w:tblPr>
      <w:tblGrid>
        <w:gridCol w:w="3134"/>
        <w:gridCol w:w="3131"/>
        <w:gridCol w:w="3130"/>
      </w:tblGrid>
      <w:tr w:rsidR="17D077F0" w14:paraId="5EFC2CA8" w14:textId="77777777" w:rsidTr="17D077F0">
        <w:trPr>
          <w:cnfStyle w:val="100000000000" w:firstRow="1" w:lastRow="0" w:firstColumn="0" w:lastColumn="0" w:oddVBand="0" w:evenVBand="0" w:oddHBand="0" w:evenHBand="0" w:firstRowFirstColumn="0" w:firstRowLastColumn="0" w:lastRowFirstColumn="0" w:lastRowLastColumn="0"/>
          <w:trHeight w:val="340"/>
        </w:trPr>
        <w:tc>
          <w:tcPr>
            <w:tcW w:w="9395" w:type="dxa"/>
            <w:gridSpan w:val="3"/>
          </w:tcPr>
          <w:p w14:paraId="16DD02F8" w14:textId="1B60D6BF" w:rsidR="17D077F0" w:rsidRDefault="17D077F0" w:rsidP="17D077F0">
            <w:pPr>
              <w:rPr>
                <w:rFonts w:cstheme="minorBidi"/>
                <w:color w:val="FFFFFF" w:themeColor="background1"/>
                <w:sz w:val="20"/>
                <w:szCs w:val="20"/>
                <w:lang w:eastAsia="en-GB"/>
              </w:rPr>
            </w:pPr>
            <w:r w:rsidRPr="17D077F0">
              <w:rPr>
                <w:rFonts w:cstheme="minorBidi"/>
                <w:color w:val="FFFFFF" w:themeColor="background1"/>
                <w:sz w:val="20"/>
                <w:szCs w:val="20"/>
                <w:lang w:eastAsia="en-GB"/>
              </w:rPr>
              <w:t xml:space="preserve">Fleming Fund </w:t>
            </w:r>
            <w:r w:rsidR="005B5B44">
              <w:rPr>
                <w:rFonts w:cstheme="minorBidi"/>
                <w:color w:val="FFFFFF" w:themeColor="background1"/>
                <w:sz w:val="20"/>
                <w:szCs w:val="20"/>
                <w:lang w:eastAsia="en-GB"/>
              </w:rPr>
              <w:t>CG</w:t>
            </w:r>
          </w:p>
        </w:tc>
      </w:tr>
      <w:tr w:rsidR="17D077F0" w14:paraId="43FBA87B"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6C108C23" w14:textId="1182B24B" w:rsidR="708064AA" w:rsidRPr="00BB4743" w:rsidRDefault="708064AA" w:rsidP="17D077F0">
            <w:pPr>
              <w:rPr>
                <w:rFonts w:eastAsia="Calibri" w:cs="Calibri"/>
                <w:b/>
                <w:bCs/>
                <w:color w:val="000000"/>
                <w:sz w:val="20"/>
                <w:szCs w:val="20"/>
              </w:rPr>
            </w:pPr>
            <w:r w:rsidRPr="00BB4743">
              <w:rPr>
                <w:rFonts w:eastAsia="Calibri" w:cs="Calibri"/>
                <w:b/>
                <w:bCs/>
                <w:color w:val="000000"/>
                <w:sz w:val="20"/>
                <w:szCs w:val="20"/>
              </w:rPr>
              <w:t>Loss Mensah</w:t>
            </w:r>
          </w:p>
        </w:tc>
        <w:tc>
          <w:tcPr>
            <w:tcW w:w="3131" w:type="dxa"/>
          </w:tcPr>
          <w:p w14:paraId="13A1CED0" w14:textId="1275D78F" w:rsidR="708064AA" w:rsidRDefault="708064AA" w:rsidP="00BB4743">
            <w:pPr>
              <w:rPr>
                <w:rFonts w:cstheme="minorBidi"/>
                <w:color w:val="000000"/>
                <w:sz w:val="20"/>
                <w:szCs w:val="20"/>
                <w:lang w:eastAsia="en-GB"/>
              </w:rPr>
            </w:pPr>
            <w:r w:rsidRPr="17D077F0">
              <w:rPr>
                <w:rFonts w:cstheme="minorBidi"/>
                <w:color w:val="000000"/>
                <w:sz w:val="20"/>
                <w:szCs w:val="20"/>
                <w:lang w:eastAsia="en-GB"/>
              </w:rPr>
              <w:t>ASM</w:t>
            </w:r>
          </w:p>
        </w:tc>
        <w:tc>
          <w:tcPr>
            <w:tcW w:w="3130" w:type="dxa"/>
          </w:tcPr>
          <w:p w14:paraId="2ACA7EE0" w14:textId="600C84C8" w:rsidR="708064AA" w:rsidRDefault="708064AA" w:rsidP="00BB4743">
            <w:pPr>
              <w:rPr>
                <w:rFonts w:cstheme="minorBidi"/>
                <w:color w:val="000000"/>
                <w:sz w:val="20"/>
                <w:szCs w:val="20"/>
                <w:lang w:eastAsia="en-GB"/>
              </w:rPr>
            </w:pPr>
            <w:r w:rsidRPr="17D077F0">
              <w:rPr>
                <w:rFonts w:cstheme="minorBidi"/>
                <w:color w:val="000000"/>
                <w:sz w:val="20"/>
                <w:szCs w:val="20"/>
                <w:lang w:eastAsia="en-GB"/>
              </w:rPr>
              <w:t xml:space="preserve">Senior </w:t>
            </w:r>
            <w:r w:rsidR="002A22DF">
              <w:rPr>
                <w:rFonts w:cstheme="minorBidi"/>
                <w:color w:val="000000"/>
                <w:sz w:val="20"/>
                <w:szCs w:val="20"/>
                <w:lang w:eastAsia="en-GB"/>
              </w:rPr>
              <w:t xml:space="preserve">Programme </w:t>
            </w:r>
            <w:r w:rsidRPr="17D077F0">
              <w:rPr>
                <w:rFonts w:cstheme="minorBidi"/>
                <w:color w:val="000000"/>
                <w:sz w:val="20"/>
                <w:szCs w:val="20"/>
                <w:lang w:eastAsia="en-GB"/>
              </w:rPr>
              <w:t>Officer</w:t>
            </w:r>
          </w:p>
        </w:tc>
      </w:tr>
      <w:tr w:rsidR="17D077F0" w14:paraId="5C56E97B"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232BE6FE" w14:textId="5FA2D6D0" w:rsidR="708064AA" w:rsidRPr="00BB4743" w:rsidRDefault="708064AA" w:rsidP="17D077F0">
            <w:pPr>
              <w:spacing w:line="259" w:lineRule="auto"/>
              <w:rPr>
                <w:rFonts w:eastAsia="Calibri" w:cs="Calibri"/>
                <w:b/>
                <w:bCs/>
                <w:color w:val="000000"/>
                <w:sz w:val="20"/>
                <w:szCs w:val="20"/>
              </w:rPr>
            </w:pPr>
            <w:r w:rsidRPr="00BB4743">
              <w:rPr>
                <w:rFonts w:eastAsia="Calibri" w:cs="Calibri"/>
                <w:b/>
                <w:bCs/>
                <w:color w:val="000000"/>
                <w:sz w:val="20"/>
                <w:szCs w:val="20"/>
              </w:rPr>
              <w:t>Wes Kim</w:t>
            </w:r>
          </w:p>
        </w:tc>
        <w:tc>
          <w:tcPr>
            <w:tcW w:w="3131" w:type="dxa"/>
          </w:tcPr>
          <w:p w14:paraId="4B414748" w14:textId="7351C06E" w:rsidR="708064AA" w:rsidRDefault="708064AA" w:rsidP="00BB4743">
            <w:pPr>
              <w:spacing w:line="259" w:lineRule="auto"/>
              <w:rPr>
                <w:rFonts w:cstheme="minorBidi"/>
                <w:color w:val="000000"/>
                <w:sz w:val="20"/>
                <w:szCs w:val="20"/>
                <w:lang w:eastAsia="en-GB"/>
              </w:rPr>
            </w:pPr>
            <w:r w:rsidRPr="17D077F0">
              <w:rPr>
                <w:rFonts w:cstheme="minorBidi"/>
                <w:color w:val="000000"/>
                <w:sz w:val="20"/>
                <w:szCs w:val="20"/>
                <w:lang w:eastAsia="en-GB"/>
              </w:rPr>
              <w:t>ASM</w:t>
            </w:r>
          </w:p>
        </w:tc>
        <w:tc>
          <w:tcPr>
            <w:tcW w:w="3130" w:type="dxa"/>
          </w:tcPr>
          <w:p w14:paraId="2B22C192" w14:textId="07DC77E4" w:rsidR="708064AA" w:rsidRDefault="708064AA" w:rsidP="00BB4743">
            <w:pPr>
              <w:spacing w:line="259" w:lineRule="auto"/>
              <w:rPr>
                <w:rFonts w:cstheme="minorBidi"/>
                <w:color w:val="000000"/>
                <w:sz w:val="20"/>
                <w:szCs w:val="20"/>
                <w:lang w:eastAsia="en-GB"/>
              </w:rPr>
            </w:pPr>
            <w:r w:rsidRPr="17D077F0">
              <w:rPr>
                <w:rFonts w:cstheme="minorBidi"/>
                <w:color w:val="000000"/>
                <w:sz w:val="20"/>
                <w:szCs w:val="20"/>
                <w:lang w:eastAsia="en-GB"/>
              </w:rPr>
              <w:t>Director, Global Public Health Programs</w:t>
            </w:r>
          </w:p>
        </w:tc>
      </w:tr>
      <w:tr w:rsidR="17D077F0" w14:paraId="156ED141"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6A5EE9DC" w14:textId="509A205E" w:rsidR="708064AA" w:rsidRPr="00BB4743" w:rsidRDefault="708064AA" w:rsidP="17D077F0">
            <w:pPr>
              <w:rPr>
                <w:rFonts w:eastAsia="Calibri" w:cs="Calibri"/>
                <w:b/>
                <w:bCs/>
                <w:color w:val="000000"/>
                <w:sz w:val="20"/>
                <w:szCs w:val="20"/>
              </w:rPr>
            </w:pPr>
            <w:r w:rsidRPr="00BB4743">
              <w:rPr>
                <w:rFonts w:eastAsia="Calibri" w:cs="Calibri"/>
                <w:b/>
                <w:bCs/>
                <w:color w:val="000000"/>
                <w:sz w:val="20"/>
                <w:szCs w:val="20"/>
              </w:rPr>
              <w:t>Victoria Shek</w:t>
            </w:r>
          </w:p>
        </w:tc>
        <w:tc>
          <w:tcPr>
            <w:tcW w:w="3131" w:type="dxa"/>
          </w:tcPr>
          <w:p w14:paraId="5EF05CCE" w14:textId="34DB094F" w:rsidR="708064AA" w:rsidRDefault="708064AA" w:rsidP="00BB4743">
            <w:pPr>
              <w:rPr>
                <w:rFonts w:cstheme="minorBidi"/>
                <w:color w:val="000000"/>
                <w:sz w:val="20"/>
                <w:szCs w:val="20"/>
                <w:lang w:eastAsia="en-GB"/>
              </w:rPr>
            </w:pPr>
            <w:r w:rsidRPr="17D077F0">
              <w:rPr>
                <w:rFonts w:cstheme="minorBidi"/>
                <w:color w:val="000000"/>
                <w:sz w:val="20"/>
                <w:szCs w:val="20"/>
                <w:lang w:eastAsia="en-GB"/>
              </w:rPr>
              <w:t>ASM</w:t>
            </w:r>
          </w:p>
        </w:tc>
        <w:tc>
          <w:tcPr>
            <w:tcW w:w="3130" w:type="dxa"/>
          </w:tcPr>
          <w:p w14:paraId="2D4C4263" w14:textId="5B4ECC57" w:rsidR="708064AA" w:rsidRDefault="002A22DF" w:rsidP="00BB4743">
            <w:pPr>
              <w:spacing w:line="259" w:lineRule="auto"/>
              <w:rPr>
                <w:rFonts w:cstheme="minorBidi"/>
                <w:color w:val="000000"/>
                <w:sz w:val="20"/>
                <w:szCs w:val="20"/>
                <w:lang w:eastAsia="en-GB"/>
              </w:rPr>
            </w:pPr>
            <w:r>
              <w:rPr>
                <w:rFonts w:cstheme="minorBidi"/>
                <w:color w:val="000000"/>
                <w:sz w:val="20"/>
                <w:szCs w:val="20"/>
                <w:lang w:eastAsia="en-GB"/>
              </w:rPr>
              <w:t xml:space="preserve">Programme </w:t>
            </w:r>
            <w:r w:rsidR="708064AA" w:rsidRPr="17D077F0">
              <w:rPr>
                <w:rFonts w:cstheme="minorBidi"/>
                <w:color w:val="000000"/>
                <w:sz w:val="20"/>
                <w:szCs w:val="20"/>
                <w:lang w:eastAsia="en-GB"/>
              </w:rPr>
              <w:t>Officer, Global Public Health Programs, ASM</w:t>
            </w:r>
          </w:p>
        </w:tc>
      </w:tr>
      <w:tr w:rsidR="17D077F0" w14:paraId="4C76116C"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58FECAC4" w14:textId="437FDAB5" w:rsidR="708064AA" w:rsidRPr="00BB4743" w:rsidRDefault="708064AA" w:rsidP="17D077F0">
            <w:pPr>
              <w:rPr>
                <w:rFonts w:eastAsia="Calibri" w:cs="Calibri"/>
                <w:b/>
                <w:bCs/>
                <w:color w:val="000000"/>
                <w:sz w:val="20"/>
                <w:szCs w:val="20"/>
              </w:rPr>
            </w:pPr>
            <w:r w:rsidRPr="00BB4743">
              <w:rPr>
                <w:rFonts w:eastAsia="Calibri" w:cs="Calibri"/>
                <w:b/>
                <w:bCs/>
                <w:color w:val="000000"/>
                <w:sz w:val="20"/>
                <w:szCs w:val="20"/>
              </w:rPr>
              <w:t>Ade Olarewaju</w:t>
            </w:r>
          </w:p>
        </w:tc>
        <w:tc>
          <w:tcPr>
            <w:tcW w:w="3131" w:type="dxa"/>
          </w:tcPr>
          <w:p w14:paraId="390F805C" w14:textId="691D2FFA" w:rsidR="708064AA" w:rsidRDefault="708064AA" w:rsidP="00BB4743">
            <w:pPr>
              <w:rPr>
                <w:rFonts w:cstheme="minorBidi"/>
                <w:color w:val="000000"/>
                <w:sz w:val="20"/>
                <w:szCs w:val="20"/>
                <w:lang w:eastAsia="en-GB"/>
              </w:rPr>
            </w:pPr>
            <w:r w:rsidRPr="17D077F0">
              <w:rPr>
                <w:rFonts w:cstheme="minorBidi"/>
                <w:color w:val="000000"/>
                <w:sz w:val="20"/>
                <w:szCs w:val="20"/>
                <w:lang w:eastAsia="en-GB"/>
              </w:rPr>
              <w:t>ASM</w:t>
            </w:r>
          </w:p>
        </w:tc>
        <w:tc>
          <w:tcPr>
            <w:tcW w:w="3130" w:type="dxa"/>
          </w:tcPr>
          <w:p w14:paraId="460C39AA" w14:textId="7901FDB8" w:rsidR="708064AA" w:rsidRDefault="002A22DF" w:rsidP="00BB4743">
            <w:pPr>
              <w:spacing w:line="259" w:lineRule="auto"/>
              <w:rPr>
                <w:rFonts w:cstheme="minorBidi"/>
                <w:color w:val="000000"/>
                <w:sz w:val="20"/>
                <w:szCs w:val="20"/>
                <w:lang w:eastAsia="en-GB"/>
              </w:rPr>
            </w:pPr>
            <w:r>
              <w:rPr>
                <w:rFonts w:cstheme="minorBidi"/>
                <w:color w:val="000000"/>
                <w:sz w:val="20"/>
                <w:szCs w:val="20"/>
                <w:lang w:eastAsia="en-GB"/>
              </w:rPr>
              <w:t xml:space="preserve">Programme </w:t>
            </w:r>
            <w:r w:rsidR="708064AA" w:rsidRPr="17D077F0">
              <w:rPr>
                <w:rFonts w:cstheme="minorBidi"/>
                <w:color w:val="000000"/>
                <w:sz w:val="20"/>
                <w:szCs w:val="20"/>
                <w:lang w:eastAsia="en-GB"/>
              </w:rPr>
              <w:t>Officer, Global Public Health Programs, ASM</w:t>
            </w:r>
          </w:p>
        </w:tc>
      </w:tr>
      <w:tr w:rsidR="17D077F0" w14:paraId="31871C17"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5E12BE7C" w14:textId="7F29BFEB" w:rsidR="708064AA" w:rsidRPr="00BB4743" w:rsidRDefault="708064AA" w:rsidP="17D077F0">
            <w:pPr>
              <w:rPr>
                <w:rFonts w:eastAsia="Calibri" w:cs="Calibri"/>
                <w:b/>
                <w:bCs/>
                <w:color w:val="000000"/>
                <w:sz w:val="20"/>
                <w:szCs w:val="20"/>
              </w:rPr>
            </w:pPr>
            <w:r w:rsidRPr="00BB4743">
              <w:rPr>
                <w:rFonts w:eastAsia="Calibri" w:cs="Calibri"/>
                <w:b/>
                <w:bCs/>
                <w:color w:val="000000"/>
                <w:sz w:val="20"/>
                <w:szCs w:val="20"/>
              </w:rPr>
              <w:t>Mayur Banjara</w:t>
            </w:r>
          </w:p>
        </w:tc>
        <w:tc>
          <w:tcPr>
            <w:tcW w:w="3131" w:type="dxa"/>
          </w:tcPr>
          <w:p w14:paraId="324A020D" w14:textId="29A65756" w:rsidR="708064AA" w:rsidRDefault="708064AA" w:rsidP="00BB4743">
            <w:pPr>
              <w:rPr>
                <w:rFonts w:cstheme="minorBidi"/>
                <w:color w:val="000000"/>
                <w:sz w:val="20"/>
                <w:szCs w:val="20"/>
                <w:lang w:eastAsia="en-GB"/>
              </w:rPr>
            </w:pPr>
            <w:r w:rsidRPr="17D077F0">
              <w:rPr>
                <w:rFonts w:cstheme="minorBidi"/>
                <w:color w:val="000000"/>
                <w:sz w:val="20"/>
                <w:szCs w:val="20"/>
                <w:lang w:eastAsia="en-GB"/>
              </w:rPr>
              <w:t>ASM</w:t>
            </w:r>
          </w:p>
        </w:tc>
        <w:tc>
          <w:tcPr>
            <w:tcW w:w="3130" w:type="dxa"/>
          </w:tcPr>
          <w:p w14:paraId="6423A4F0" w14:textId="5C6F6D0F" w:rsidR="708064AA" w:rsidRDefault="002A22DF" w:rsidP="00BB4743">
            <w:pPr>
              <w:spacing w:line="259" w:lineRule="auto"/>
              <w:rPr>
                <w:rFonts w:cstheme="minorBidi"/>
                <w:color w:val="000000"/>
                <w:sz w:val="20"/>
                <w:szCs w:val="20"/>
                <w:lang w:eastAsia="en-GB"/>
              </w:rPr>
            </w:pPr>
            <w:r>
              <w:rPr>
                <w:rFonts w:cstheme="minorBidi"/>
                <w:color w:val="000000"/>
                <w:sz w:val="20"/>
                <w:szCs w:val="20"/>
                <w:lang w:eastAsia="en-GB"/>
              </w:rPr>
              <w:t xml:space="preserve">Programme </w:t>
            </w:r>
            <w:r w:rsidR="708064AA" w:rsidRPr="17D077F0">
              <w:rPr>
                <w:rFonts w:cstheme="minorBidi"/>
                <w:color w:val="000000"/>
                <w:sz w:val="20"/>
                <w:szCs w:val="20"/>
                <w:lang w:eastAsia="en-GB"/>
              </w:rPr>
              <w:t>Officer, Global Public Health Programs, ASM</w:t>
            </w:r>
          </w:p>
        </w:tc>
      </w:tr>
      <w:tr w:rsidR="17D077F0" w14:paraId="378BD73B"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52777CE2" w14:textId="77777777" w:rsidR="17D077F0" w:rsidRDefault="17D077F0" w:rsidP="000B3487">
            <w:pPr>
              <w:rPr>
                <w:rFonts w:cstheme="minorBidi"/>
                <w:sz w:val="20"/>
                <w:szCs w:val="20"/>
              </w:rPr>
            </w:pPr>
            <w:r w:rsidRPr="17D077F0">
              <w:rPr>
                <w:rFonts w:cstheme="minorBidi"/>
                <w:color w:val="FFFFFF" w:themeColor="background1"/>
                <w:sz w:val="20"/>
                <w:szCs w:val="20"/>
                <w:lang w:eastAsia="en-GB"/>
              </w:rPr>
              <w:t>AMRCC Members</w:t>
            </w:r>
          </w:p>
        </w:tc>
      </w:tr>
      <w:tr w:rsidR="17D077F0" w14:paraId="65D5CB15"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50BDBF47" w14:textId="52AA65DB" w:rsidR="2A9D8067" w:rsidRPr="00BB4743" w:rsidRDefault="00EE3BF1" w:rsidP="17D077F0">
            <w:pPr>
              <w:spacing w:line="259" w:lineRule="auto"/>
              <w:rPr>
                <w:rFonts w:eastAsia="Calibri" w:cs="Calibri"/>
                <w:b/>
                <w:bCs/>
                <w:color w:val="000000"/>
                <w:sz w:val="20"/>
                <w:szCs w:val="20"/>
              </w:rPr>
            </w:pPr>
            <w:r>
              <w:rPr>
                <w:rFonts w:eastAsia="Calibri" w:cs="Calibri"/>
                <w:b/>
                <w:bCs/>
                <w:color w:val="000000"/>
                <w:sz w:val="20"/>
                <w:szCs w:val="20"/>
              </w:rPr>
              <w:t xml:space="preserve">Dr </w:t>
            </w:r>
            <w:r w:rsidR="2A9D8067" w:rsidRPr="00BB4743">
              <w:rPr>
                <w:rFonts w:eastAsia="Calibri" w:cs="Calibri"/>
                <w:b/>
                <w:bCs/>
                <w:color w:val="000000"/>
                <w:sz w:val="20"/>
                <w:szCs w:val="20"/>
              </w:rPr>
              <w:t>Mtebe Majigo</w:t>
            </w:r>
          </w:p>
        </w:tc>
        <w:tc>
          <w:tcPr>
            <w:tcW w:w="3131" w:type="dxa"/>
          </w:tcPr>
          <w:p w14:paraId="6BE67D3F" w14:textId="39B7C3F9" w:rsidR="2A9D8067" w:rsidRPr="00AE14D5" w:rsidRDefault="00087F0A" w:rsidP="000B3487">
            <w:pPr>
              <w:spacing w:line="259" w:lineRule="auto"/>
              <w:rPr>
                <w:rFonts w:eastAsia="Calibri" w:cs="Calibri"/>
                <w:color w:val="000000"/>
                <w:sz w:val="20"/>
                <w:szCs w:val="20"/>
              </w:rPr>
            </w:pPr>
            <w:r w:rsidRPr="00087F0A">
              <w:rPr>
                <w:rFonts w:eastAsia="Calibri" w:cs="Calibri"/>
                <w:color w:val="000000"/>
                <w:sz w:val="20"/>
                <w:szCs w:val="20"/>
              </w:rPr>
              <w:t>Muhimbili University of Health and Allied Sciences</w:t>
            </w:r>
          </w:p>
        </w:tc>
        <w:tc>
          <w:tcPr>
            <w:tcW w:w="3130" w:type="dxa"/>
          </w:tcPr>
          <w:p w14:paraId="7F8FB72D" w14:textId="2C68C84D" w:rsidR="2A9D8067" w:rsidRPr="00AE14D5" w:rsidRDefault="2A9D8067" w:rsidP="000B3487">
            <w:pPr>
              <w:spacing w:line="259" w:lineRule="auto"/>
              <w:rPr>
                <w:rFonts w:eastAsia="Calibri" w:cs="Calibri"/>
                <w:color w:val="000000"/>
                <w:sz w:val="20"/>
                <w:szCs w:val="20"/>
              </w:rPr>
            </w:pPr>
            <w:r w:rsidRPr="00AE14D5">
              <w:rPr>
                <w:rFonts w:eastAsia="Calibri" w:cs="Calibri"/>
                <w:color w:val="000000"/>
                <w:sz w:val="20"/>
                <w:szCs w:val="20"/>
              </w:rPr>
              <w:t>Microbiologist/Chair of the surveillance TWG</w:t>
            </w:r>
          </w:p>
        </w:tc>
      </w:tr>
      <w:tr w:rsidR="17D077F0" w14:paraId="2A5BA714"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04F25DCB" w14:textId="609BC426" w:rsidR="7D9FC7FB" w:rsidRPr="00BB4743" w:rsidRDefault="7D9FC7FB" w:rsidP="17D077F0">
            <w:pPr>
              <w:spacing w:line="259" w:lineRule="auto"/>
              <w:rPr>
                <w:rFonts w:eastAsia="Calibri" w:cs="Calibri"/>
                <w:b/>
                <w:bCs/>
                <w:color w:val="000000"/>
                <w:sz w:val="20"/>
                <w:szCs w:val="20"/>
              </w:rPr>
            </w:pPr>
            <w:r w:rsidRPr="00BB4743">
              <w:rPr>
                <w:rFonts w:eastAsia="Calibri" w:cs="Calibri"/>
                <w:b/>
                <w:bCs/>
                <w:color w:val="000000"/>
                <w:sz w:val="20"/>
                <w:szCs w:val="20"/>
              </w:rPr>
              <w:t>Elibariki Mwakapeje</w:t>
            </w:r>
          </w:p>
        </w:tc>
        <w:tc>
          <w:tcPr>
            <w:tcW w:w="3131" w:type="dxa"/>
          </w:tcPr>
          <w:p w14:paraId="2488DE0C" w14:textId="64396D8B" w:rsidR="7D9FC7FB" w:rsidRPr="00AE14D5" w:rsidRDefault="7D9FC7FB" w:rsidP="000B3487">
            <w:pPr>
              <w:spacing w:line="259" w:lineRule="auto"/>
              <w:rPr>
                <w:rFonts w:eastAsia="Calibri" w:cs="Calibri"/>
                <w:color w:val="000000"/>
                <w:sz w:val="20"/>
                <w:szCs w:val="20"/>
              </w:rPr>
            </w:pPr>
            <w:r w:rsidRPr="00AE14D5">
              <w:rPr>
                <w:rFonts w:eastAsia="Calibri" w:cs="Calibri"/>
                <w:color w:val="000000"/>
                <w:sz w:val="20"/>
                <w:szCs w:val="20"/>
              </w:rPr>
              <w:t>FAO ECTAD</w:t>
            </w:r>
          </w:p>
        </w:tc>
        <w:tc>
          <w:tcPr>
            <w:tcW w:w="3130" w:type="dxa"/>
          </w:tcPr>
          <w:p w14:paraId="5354FFF8" w14:textId="171AF4F0" w:rsidR="7D9FC7FB" w:rsidRPr="00AE14D5" w:rsidRDefault="7D9FC7FB" w:rsidP="000B3487">
            <w:pPr>
              <w:spacing w:line="259" w:lineRule="auto"/>
              <w:rPr>
                <w:rFonts w:eastAsia="Calibri" w:cs="Calibri"/>
                <w:color w:val="000000"/>
                <w:sz w:val="20"/>
                <w:szCs w:val="20"/>
              </w:rPr>
            </w:pPr>
            <w:r w:rsidRPr="00AE14D5">
              <w:rPr>
                <w:rFonts w:eastAsia="Calibri" w:cs="Calibri"/>
                <w:color w:val="000000"/>
                <w:sz w:val="20"/>
                <w:szCs w:val="20"/>
              </w:rPr>
              <w:t>National Consultant for AMR ECTAD and Food Security</w:t>
            </w:r>
          </w:p>
        </w:tc>
      </w:tr>
      <w:tr w:rsidR="17D077F0" w14:paraId="746D5D4F"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19852EAC" w14:textId="2DD9ED33" w:rsidR="4B43DD70" w:rsidRPr="00BB4743" w:rsidRDefault="4B43DD70" w:rsidP="17D077F0">
            <w:pPr>
              <w:spacing w:line="259" w:lineRule="auto"/>
              <w:rPr>
                <w:rFonts w:eastAsia="Calibri" w:cs="Calibri"/>
                <w:b/>
                <w:bCs/>
                <w:color w:val="000000"/>
                <w:sz w:val="20"/>
                <w:szCs w:val="20"/>
              </w:rPr>
            </w:pPr>
            <w:r w:rsidRPr="00BB4743">
              <w:rPr>
                <w:rFonts w:eastAsia="Calibri" w:cs="Calibri"/>
                <w:b/>
                <w:bCs/>
                <w:color w:val="000000"/>
                <w:sz w:val="20"/>
                <w:szCs w:val="20"/>
              </w:rPr>
              <w:t>Rose Shija</w:t>
            </w:r>
          </w:p>
        </w:tc>
        <w:tc>
          <w:tcPr>
            <w:tcW w:w="3131" w:type="dxa"/>
          </w:tcPr>
          <w:p w14:paraId="0A04256F" w14:textId="7BE0BFD0" w:rsidR="7B35120B" w:rsidRPr="00AE14D5" w:rsidRDefault="7B35120B" w:rsidP="000B3487">
            <w:pPr>
              <w:spacing w:line="259" w:lineRule="auto"/>
              <w:rPr>
                <w:rFonts w:eastAsia="Calibri" w:cs="Calibri"/>
                <w:color w:val="000000"/>
                <w:sz w:val="20"/>
                <w:szCs w:val="20"/>
              </w:rPr>
            </w:pPr>
            <w:r w:rsidRPr="00AE14D5">
              <w:rPr>
                <w:rFonts w:eastAsia="Calibri" w:cs="Calibri"/>
                <w:color w:val="000000"/>
                <w:sz w:val="20"/>
                <w:szCs w:val="20"/>
              </w:rPr>
              <w:t>WHO</w:t>
            </w:r>
          </w:p>
        </w:tc>
        <w:tc>
          <w:tcPr>
            <w:tcW w:w="3130" w:type="dxa"/>
          </w:tcPr>
          <w:p w14:paraId="58436AB6" w14:textId="10148991" w:rsidR="7B35120B" w:rsidRPr="00AE14D5" w:rsidRDefault="7B35120B" w:rsidP="000B3487">
            <w:pPr>
              <w:spacing w:line="259" w:lineRule="auto"/>
              <w:rPr>
                <w:rFonts w:eastAsia="Calibri" w:cs="Calibri"/>
                <w:color w:val="000000"/>
                <w:sz w:val="20"/>
                <w:szCs w:val="20"/>
              </w:rPr>
            </w:pPr>
            <w:r w:rsidRPr="00AE14D5">
              <w:rPr>
                <w:rFonts w:eastAsia="Calibri" w:cs="Calibri"/>
                <w:color w:val="000000"/>
                <w:sz w:val="20"/>
                <w:szCs w:val="20"/>
              </w:rPr>
              <w:t>Essential Medicines Advisor</w:t>
            </w:r>
          </w:p>
        </w:tc>
      </w:tr>
      <w:tr w:rsidR="17D077F0" w14:paraId="03C14C5F"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2F6F48D4" w14:textId="5F8A2C90" w:rsidR="677828DE" w:rsidRPr="00BB4743" w:rsidRDefault="677828DE" w:rsidP="17D077F0">
            <w:pPr>
              <w:spacing w:line="259" w:lineRule="auto"/>
              <w:rPr>
                <w:rFonts w:eastAsia="Calibri" w:cs="Calibri"/>
                <w:b/>
                <w:bCs/>
                <w:color w:val="000000"/>
                <w:sz w:val="20"/>
                <w:szCs w:val="20"/>
              </w:rPr>
            </w:pPr>
            <w:r w:rsidRPr="00BB4743">
              <w:rPr>
                <w:rFonts w:eastAsia="Calibri" w:cs="Calibri"/>
                <w:b/>
                <w:bCs/>
                <w:color w:val="000000"/>
                <w:sz w:val="20"/>
                <w:szCs w:val="20"/>
              </w:rPr>
              <w:t>Siana Mapunjo</w:t>
            </w:r>
          </w:p>
        </w:tc>
        <w:tc>
          <w:tcPr>
            <w:tcW w:w="3131" w:type="dxa"/>
          </w:tcPr>
          <w:p w14:paraId="07F53EDC" w14:textId="55FF2D6B" w:rsidR="677828DE" w:rsidRPr="00AE14D5" w:rsidRDefault="677828DE" w:rsidP="000B3487">
            <w:pPr>
              <w:spacing w:line="259" w:lineRule="auto"/>
              <w:rPr>
                <w:rFonts w:eastAsia="Calibri" w:cs="Calibri"/>
                <w:color w:val="000000"/>
                <w:sz w:val="20"/>
                <w:szCs w:val="20"/>
              </w:rPr>
            </w:pPr>
            <w:r w:rsidRPr="00AE14D5">
              <w:rPr>
                <w:rFonts w:eastAsia="Calibri" w:cs="Calibri"/>
                <w:color w:val="000000"/>
                <w:sz w:val="20"/>
                <w:szCs w:val="20"/>
              </w:rPr>
              <w:t>Ministry of health community development gender elderly and children</w:t>
            </w:r>
          </w:p>
        </w:tc>
        <w:tc>
          <w:tcPr>
            <w:tcW w:w="3130" w:type="dxa"/>
          </w:tcPr>
          <w:p w14:paraId="1721441F" w14:textId="64D4C6FD" w:rsidR="677828DE" w:rsidRPr="00AE14D5" w:rsidRDefault="677828DE" w:rsidP="000B3487">
            <w:pPr>
              <w:spacing w:line="259" w:lineRule="auto"/>
              <w:rPr>
                <w:rFonts w:eastAsia="Calibri" w:cs="Calibri"/>
                <w:color w:val="000000"/>
                <w:sz w:val="20"/>
                <w:szCs w:val="20"/>
              </w:rPr>
            </w:pPr>
            <w:r w:rsidRPr="00AE14D5">
              <w:rPr>
                <w:rFonts w:eastAsia="Calibri" w:cs="Calibri"/>
                <w:color w:val="000000"/>
                <w:sz w:val="20"/>
                <w:szCs w:val="20"/>
              </w:rPr>
              <w:t>Pharmaceutical Coordinator</w:t>
            </w:r>
          </w:p>
        </w:tc>
      </w:tr>
      <w:tr w:rsidR="17D077F0" w14:paraId="29757436"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03EBEE1C" w14:textId="4FFED70F" w:rsidR="07A18424" w:rsidRPr="00BB4743" w:rsidRDefault="07A18424" w:rsidP="17D077F0">
            <w:pPr>
              <w:spacing w:line="259" w:lineRule="auto"/>
              <w:rPr>
                <w:rFonts w:eastAsia="Calibri" w:cs="Calibri"/>
                <w:b/>
                <w:bCs/>
                <w:color w:val="000000"/>
                <w:sz w:val="20"/>
                <w:szCs w:val="20"/>
              </w:rPr>
            </w:pPr>
            <w:r w:rsidRPr="00BB4743">
              <w:rPr>
                <w:rFonts w:eastAsia="Calibri" w:cs="Calibri"/>
                <w:b/>
                <w:bCs/>
                <w:color w:val="000000"/>
                <w:sz w:val="20"/>
                <w:szCs w:val="20"/>
              </w:rPr>
              <w:t>Daudi Msasi</w:t>
            </w:r>
          </w:p>
        </w:tc>
        <w:tc>
          <w:tcPr>
            <w:tcW w:w="3131" w:type="dxa"/>
          </w:tcPr>
          <w:p w14:paraId="6FA2BF99" w14:textId="171244A9" w:rsidR="07A18424" w:rsidRPr="00AE14D5" w:rsidRDefault="07A18424" w:rsidP="000B3487">
            <w:pPr>
              <w:spacing w:line="259" w:lineRule="auto"/>
              <w:rPr>
                <w:rFonts w:eastAsia="Calibri" w:cs="Calibri"/>
                <w:color w:val="000000"/>
                <w:sz w:val="20"/>
                <w:szCs w:val="20"/>
              </w:rPr>
            </w:pPr>
            <w:r w:rsidRPr="00AE14D5">
              <w:rPr>
                <w:rFonts w:eastAsia="Calibri" w:cs="Calibri"/>
                <w:color w:val="000000"/>
                <w:sz w:val="20"/>
                <w:szCs w:val="20"/>
              </w:rPr>
              <w:t>Ministry of health community development gender elderly and children</w:t>
            </w:r>
          </w:p>
        </w:tc>
        <w:tc>
          <w:tcPr>
            <w:tcW w:w="3130" w:type="dxa"/>
          </w:tcPr>
          <w:p w14:paraId="36D75848" w14:textId="50E9D831" w:rsidR="07A18424" w:rsidRPr="00AE14D5" w:rsidRDefault="07A18424" w:rsidP="000B3487">
            <w:pPr>
              <w:spacing w:line="259" w:lineRule="auto"/>
              <w:rPr>
                <w:rFonts w:eastAsia="Calibri" w:cs="Calibri"/>
                <w:color w:val="000000"/>
                <w:sz w:val="20"/>
                <w:szCs w:val="20"/>
              </w:rPr>
            </w:pPr>
            <w:r w:rsidRPr="00AE14D5">
              <w:rPr>
                <w:rFonts w:eastAsia="Calibri" w:cs="Calibri"/>
                <w:color w:val="000000"/>
                <w:sz w:val="20"/>
                <w:szCs w:val="20"/>
              </w:rPr>
              <w:t>Director Pharmaceutical Services Unit</w:t>
            </w:r>
          </w:p>
        </w:tc>
      </w:tr>
      <w:tr w:rsidR="17D077F0" w14:paraId="77196EFD"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758F60FD" w14:textId="1A63B5C2" w:rsidR="07A18424" w:rsidRPr="00BB4743" w:rsidRDefault="07A18424" w:rsidP="17D077F0">
            <w:pPr>
              <w:spacing w:line="259" w:lineRule="auto"/>
              <w:rPr>
                <w:rFonts w:eastAsia="Calibri" w:cs="Calibri"/>
                <w:b/>
                <w:bCs/>
                <w:color w:val="000000"/>
                <w:sz w:val="20"/>
                <w:szCs w:val="20"/>
              </w:rPr>
            </w:pPr>
            <w:r w:rsidRPr="00BB4743">
              <w:rPr>
                <w:rFonts w:eastAsia="Calibri" w:cs="Calibri"/>
                <w:b/>
                <w:bCs/>
                <w:color w:val="000000"/>
                <w:sz w:val="20"/>
                <w:szCs w:val="20"/>
              </w:rPr>
              <w:t>Dr Hezron Nonga</w:t>
            </w:r>
          </w:p>
        </w:tc>
        <w:tc>
          <w:tcPr>
            <w:tcW w:w="3131" w:type="dxa"/>
          </w:tcPr>
          <w:p w14:paraId="5E992309" w14:textId="3164EA4C" w:rsidR="07A18424" w:rsidRPr="00AE14D5" w:rsidRDefault="07A18424" w:rsidP="000B3487">
            <w:pPr>
              <w:spacing w:line="259" w:lineRule="auto"/>
              <w:rPr>
                <w:rFonts w:eastAsia="Calibri" w:cs="Calibri"/>
                <w:color w:val="000000"/>
                <w:sz w:val="20"/>
                <w:szCs w:val="20"/>
              </w:rPr>
            </w:pPr>
            <w:r w:rsidRPr="00AE14D5">
              <w:rPr>
                <w:rFonts w:eastAsia="Calibri" w:cs="Calibri"/>
                <w:color w:val="000000"/>
                <w:sz w:val="20"/>
                <w:szCs w:val="20"/>
              </w:rPr>
              <w:t>Ministry of Agriculture Livestock and Fisheries</w:t>
            </w:r>
          </w:p>
        </w:tc>
        <w:tc>
          <w:tcPr>
            <w:tcW w:w="3130" w:type="dxa"/>
          </w:tcPr>
          <w:p w14:paraId="5E1C1002" w14:textId="1700BAE1" w:rsidR="07A18424" w:rsidRPr="00AE14D5" w:rsidRDefault="07A18424" w:rsidP="000B3487">
            <w:pPr>
              <w:spacing w:line="259" w:lineRule="auto"/>
              <w:rPr>
                <w:rFonts w:eastAsia="Calibri" w:cs="Calibri"/>
                <w:color w:val="000000"/>
                <w:sz w:val="20"/>
                <w:szCs w:val="20"/>
              </w:rPr>
            </w:pPr>
            <w:r w:rsidRPr="00AE14D5">
              <w:rPr>
                <w:rFonts w:eastAsia="Calibri" w:cs="Calibri"/>
                <w:color w:val="000000"/>
                <w:sz w:val="20"/>
                <w:szCs w:val="20"/>
              </w:rPr>
              <w:t xml:space="preserve">Country Rep for </w:t>
            </w:r>
            <w:r w:rsidR="007F4A59" w:rsidRPr="007F4A59">
              <w:rPr>
                <w:rFonts w:eastAsia="Calibri" w:cs="Calibri"/>
                <w:color w:val="000000"/>
                <w:sz w:val="20"/>
                <w:szCs w:val="20"/>
              </w:rPr>
              <w:t>WOAH</w:t>
            </w:r>
            <w:r w:rsidRPr="00AE14D5">
              <w:rPr>
                <w:rFonts w:eastAsia="Calibri" w:cs="Calibri"/>
                <w:color w:val="000000"/>
                <w:sz w:val="20"/>
                <w:szCs w:val="20"/>
              </w:rPr>
              <w:t>, Director of veterinary services</w:t>
            </w:r>
          </w:p>
        </w:tc>
      </w:tr>
      <w:tr w:rsidR="17D077F0" w14:paraId="193F5347"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7585D9F2" w14:textId="77777777" w:rsidR="17D077F0" w:rsidRDefault="17D077F0" w:rsidP="000B3487">
            <w:pPr>
              <w:spacing w:line="259" w:lineRule="auto"/>
              <w:rPr>
                <w:rFonts w:cstheme="minorBidi"/>
                <w:color w:val="FFFFFF" w:themeColor="background1"/>
                <w:sz w:val="20"/>
                <w:szCs w:val="20"/>
                <w:lang w:eastAsia="en-GB"/>
              </w:rPr>
            </w:pPr>
            <w:r w:rsidRPr="17D077F0">
              <w:rPr>
                <w:rFonts w:cstheme="minorBidi"/>
                <w:color w:val="FFFFFF" w:themeColor="background1"/>
                <w:sz w:val="20"/>
                <w:szCs w:val="20"/>
                <w:lang w:eastAsia="en-GB"/>
              </w:rPr>
              <w:t>Policy Fellows HH</w:t>
            </w:r>
          </w:p>
        </w:tc>
      </w:tr>
      <w:tr w:rsidR="17D077F0" w14:paraId="5F267A75"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shd w:val="clear" w:color="auto" w:fill="auto"/>
          </w:tcPr>
          <w:p w14:paraId="116475FD" w14:textId="24B38585" w:rsidR="528F63FB" w:rsidRPr="00BB4743" w:rsidRDefault="528F63FB" w:rsidP="17D077F0">
            <w:pPr>
              <w:spacing w:line="259" w:lineRule="auto"/>
              <w:rPr>
                <w:rFonts w:eastAsia="Calibri" w:cs="Calibri"/>
                <w:b/>
                <w:bCs/>
                <w:color w:val="000000"/>
                <w:sz w:val="20"/>
                <w:szCs w:val="20"/>
              </w:rPr>
            </w:pPr>
            <w:r w:rsidRPr="00BB4743">
              <w:rPr>
                <w:rFonts w:eastAsia="Calibri" w:cs="Calibri"/>
                <w:b/>
                <w:bCs/>
                <w:color w:val="000000"/>
                <w:sz w:val="20"/>
                <w:szCs w:val="20"/>
              </w:rPr>
              <w:t>Witness Mukalukwatage Mchwampaka</w:t>
            </w:r>
          </w:p>
        </w:tc>
        <w:tc>
          <w:tcPr>
            <w:tcW w:w="3131" w:type="dxa"/>
            <w:shd w:val="clear" w:color="auto" w:fill="auto"/>
          </w:tcPr>
          <w:p w14:paraId="74940FD9" w14:textId="582D7D2D" w:rsidR="528F63FB" w:rsidRPr="00AE14D5" w:rsidRDefault="528F63FB" w:rsidP="000B3487">
            <w:pPr>
              <w:spacing w:line="259" w:lineRule="auto"/>
              <w:rPr>
                <w:rFonts w:eastAsia="Calibri" w:cs="Calibri"/>
                <w:color w:val="000000"/>
                <w:sz w:val="20"/>
                <w:szCs w:val="20"/>
              </w:rPr>
            </w:pPr>
            <w:r w:rsidRPr="00AE14D5">
              <w:rPr>
                <w:rFonts w:eastAsia="Calibri" w:cs="Calibri"/>
                <w:color w:val="000000"/>
                <w:sz w:val="20"/>
                <w:szCs w:val="20"/>
              </w:rPr>
              <w:t>Ministry of health community development gender elderly and children</w:t>
            </w:r>
          </w:p>
        </w:tc>
        <w:tc>
          <w:tcPr>
            <w:tcW w:w="3130" w:type="dxa"/>
            <w:shd w:val="clear" w:color="auto" w:fill="auto"/>
          </w:tcPr>
          <w:p w14:paraId="40B7DC25" w14:textId="5F5A017F" w:rsidR="528F63FB" w:rsidRPr="00AE14D5" w:rsidRDefault="528F63FB" w:rsidP="000B3487">
            <w:pPr>
              <w:spacing w:line="259" w:lineRule="auto"/>
              <w:rPr>
                <w:rFonts w:eastAsia="Calibri" w:cs="Calibri"/>
                <w:color w:val="000000"/>
                <w:sz w:val="20"/>
                <w:szCs w:val="20"/>
              </w:rPr>
            </w:pPr>
            <w:r w:rsidRPr="00AE14D5">
              <w:rPr>
                <w:rFonts w:eastAsia="Calibri" w:cs="Calibri"/>
                <w:color w:val="000000"/>
                <w:sz w:val="20"/>
                <w:szCs w:val="20"/>
              </w:rPr>
              <w:t>Epidemiologist and National IHR Focal Point</w:t>
            </w:r>
          </w:p>
        </w:tc>
      </w:tr>
      <w:tr w:rsidR="17D077F0" w14:paraId="0521F261"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122EE96E" w14:textId="7316887C" w:rsidR="17D077F0" w:rsidRDefault="17D077F0" w:rsidP="000B3487">
            <w:pPr>
              <w:rPr>
                <w:rFonts w:cstheme="minorBidi"/>
                <w:sz w:val="20"/>
                <w:szCs w:val="20"/>
              </w:rPr>
            </w:pPr>
            <w:r w:rsidRPr="17D077F0">
              <w:rPr>
                <w:rFonts w:cstheme="minorBidi"/>
                <w:color w:val="FFFFFF" w:themeColor="background1"/>
                <w:sz w:val="20"/>
                <w:szCs w:val="20"/>
                <w:lang w:eastAsia="en-GB"/>
              </w:rPr>
              <w:t>Policy Fellows AH</w:t>
            </w:r>
          </w:p>
        </w:tc>
      </w:tr>
      <w:tr w:rsidR="17D077F0" w14:paraId="7EC4037F"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shd w:val="clear" w:color="auto" w:fill="auto"/>
          </w:tcPr>
          <w:p w14:paraId="714A6C78" w14:textId="67250287" w:rsidR="1C8A4907" w:rsidRPr="00BB4743" w:rsidRDefault="1C8A4907" w:rsidP="17D077F0">
            <w:pPr>
              <w:spacing w:line="259" w:lineRule="auto"/>
              <w:rPr>
                <w:rFonts w:eastAsia="Calibri" w:cs="Calibri"/>
                <w:b/>
                <w:bCs/>
                <w:color w:val="000000"/>
                <w:sz w:val="20"/>
                <w:szCs w:val="20"/>
              </w:rPr>
            </w:pPr>
            <w:r w:rsidRPr="00BB4743">
              <w:rPr>
                <w:rFonts w:eastAsia="Calibri" w:cs="Calibri"/>
                <w:b/>
                <w:bCs/>
                <w:color w:val="000000"/>
                <w:sz w:val="20"/>
                <w:szCs w:val="20"/>
              </w:rPr>
              <w:t>Dr Gibonce Kayuni</w:t>
            </w:r>
          </w:p>
        </w:tc>
        <w:tc>
          <w:tcPr>
            <w:tcW w:w="3131" w:type="dxa"/>
            <w:shd w:val="clear" w:color="auto" w:fill="auto"/>
          </w:tcPr>
          <w:p w14:paraId="4968482B" w14:textId="6805970F" w:rsidR="1C8A4907" w:rsidRPr="00AE14D5" w:rsidRDefault="1C8A4907" w:rsidP="000B3487">
            <w:pPr>
              <w:spacing w:line="259" w:lineRule="auto"/>
              <w:rPr>
                <w:rFonts w:eastAsia="Calibri" w:cs="Calibri"/>
                <w:color w:val="000000"/>
                <w:sz w:val="20"/>
                <w:szCs w:val="20"/>
              </w:rPr>
            </w:pPr>
            <w:r w:rsidRPr="00AE14D5">
              <w:rPr>
                <w:rFonts w:eastAsia="Calibri" w:cs="Calibri"/>
                <w:color w:val="000000"/>
                <w:sz w:val="20"/>
                <w:szCs w:val="20"/>
              </w:rPr>
              <w:t>Ministry of Agriculture and Fisheries</w:t>
            </w:r>
          </w:p>
        </w:tc>
        <w:tc>
          <w:tcPr>
            <w:tcW w:w="3130" w:type="dxa"/>
            <w:shd w:val="clear" w:color="auto" w:fill="auto"/>
          </w:tcPr>
          <w:p w14:paraId="46D95851" w14:textId="15609759" w:rsidR="1C8A4907" w:rsidRPr="00AE14D5" w:rsidRDefault="1C8A4907" w:rsidP="000B3487">
            <w:pPr>
              <w:spacing w:line="259" w:lineRule="auto"/>
              <w:rPr>
                <w:rFonts w:eastAsia="Calibri" w:cs="Calibri"/>
                <w:color w:val="000000"/>
                <w:sz w:val="20"/>
                <w:szCs w:val="20"/>
              </w:rPr>
            </w:pPr>
            <w:r w:rsidRPr="00AE14D5">
              <w:rPr>
                <w:rFonts w:eastAsia="Calibri" w:cs="Calibri"/>
                <w:color w:val="000000"/>
                <w:sz w:val="20"/>
                <w:szCs w:val="20"/>
              </w:rPr>
              <w:t>AMU AH Surveillance Fellow, AMR Focal Point</w:t>
            </w:r>
          </w:p>
        </w:tc>
      </w:tr>
      <w:tr w:rsidR="17D077F0" w14:paraId="476BAC07"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11AC00A9" w14:textId="465C35AD" w:rsidR="17D077F0" w:rsidRDefault="17D077F0" w:rsidP="000B3487">
            <w:pPr>
              <w:rPr>
                <w:rFonts w:cstheme="minorBidi"/>
                <w:color w:val="FFFFFF" w:themeColor="background1"/>
                <w:sz w:val="20"/>
                <w:szCs w:val="20"/>
                <w:lang w:eastAsia="en-GB"/>
              </w:rPr>
            </w:pPr>
            <w:r w:rsidRPr="17D077F0">
              <w:rPr>
                <w:rFonts w:cstheme="minorBidi"/>
                <w:color w:val="FFFFFF" w:themeColor="background1"/>
                <w:sz w:val="20"/>
                <w:szCs w:val="20"/>
                <w:lang w:eastAsia="en-GB"/>
              </w:rPr>
              <w:t>Professional Fellows HH</w:t>
            </w:r>
          </w:p>
        </w:tc>
      </w:tr>
      <w:tr w:rsidR="17D077F0" w14:paraId="187A9851"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shd w:val="clear" w:color="auto" w:fill="auto"/>
          </w:tcPr>
          <w:p w14:paraId="2AC25DF9" w14:textId="143E12F5" w:rsidR="14E4A9F4" w:rsidRPr="00BB4743" w:rsidRDefault="14E4A9F4" w:rsidP="17D077F0">
            <w:pPr>
              <w:spacing w:line="259" w:lineRule="auto"/>
              <w:rPr>
                <w:rFonts w:eastAsia="Calibri" w:cs="Calibri"/>
                <w:b/>
                <w:bCs/>
                <w:color w:val="000000"/>
                <w:sz w:val="20"/>
                <w:szCs w:val="20"/>
              </w:rPr>
            </w:pPr>
            <w:r w:rsidRPr="00BB4743">
              <w:rPr>
                <w:rFonts w:eastAsia="Calibri" w:cs="Calibri"/>
                <w:b/>
                <w:bCs/>
                <w:color w:val="000000"/>
                <w:sz w:val="20"/>
                <w:szCs w:val="20"/>
              </w:rPr>
              <w:t>Neema Camara</w:t>
            </w:r>
          </w:p>
        </w:tc>
        <w:tc>
          <w:tcPr>
            <w:tcW w:w="3131" w:type="dxa"/>
            <w:shd w:val="clear" w:color="auto" w:fill="auto"/>
          </w:tcPr>
          <w:p w14:paraId="20FD81F0" w14:textId="27E1063F" w:rsidR="14E4A9F4" w:rsidRPr="00AE14D5" w:rsidRDefault="14E4A9F4" w:rsidP="000B3487">
            <w:pPr>
              <w:spacing w:line="259" w:lineRule="auto"/>
              <w:rPr>
                <w:rFonts w:eastAsia="Calibri" w:cs="Calibri"/>
                <w:color w:val="000000"/>
                <w:sz w:val="20"/>
                <w:szCs w:val="20"/>
              </w:rPr>
            </w:pPr>
            <w:r w:rsidRPr="00AE14D5">
              <w:rPr>
                <w:rFonts w:eastAsia="Calibri" w:cs="Calibri"/>
                <w:color w:val="000000"/>
                <w:sz w:val="20"/>
                <w:szCs w:val="20"/>
              </w:rPr>
              <w:t>Ministry of Health/National Health Laboratory Quality Assurance and Training Centre</w:t>
            </w:r>
          </w:p>
        </w:tc>
        <w:tc>
          <w:tcPr>
            <w:tcW w:w="3130" w:type="dxa"/>
            <w:shd w:val="clear" w:color="auto" w:fill="auto"/>
          </w:tcPr>
          <w:p w14:paraId="0FA3506E" w14:textId="3532731D" w:rsidR="14E4A9F4" w:rsidRPr="00AE14D5" w:rsidRDefault="14E4A9F4" w:rsidP="000B3487">
            <w:pPr>
              <w:spacing w:line="259" w:lineRule="auto"/>
              <w:rPr>
                <w:rFonts w:eastAsia="Calibri" w:cs="Calibri"/>
                <w:color w:val="000000"/>
                <w:sz w:val="20"/>
                <w:szCs w:val="20"/>
              </w:rPr>
            </w:pPr>
            <w:r w:rsidRPr="00AE14D5">
              <w:rPr>
                <w:rFonts w:eastAsia="Calibri" w:cs="Calibri"/>
                <w:color w:val="000000"/>
                <w:sz w:val="20"/>
                <w:szCs w:val="20"/>
              </w:rPr>
              <w:t>Epidemiologist, AMR HH Surveillance Fellow</w:t>
            </w:r>
          </w:p>
        </w:tc>
      </w:tr>
      <w:tr w:rsidR="17D077F0" w14:paraId="3CCE448E"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shd w:val="clear" w:color="auto" w:fill="auto"/>
          </w:tcPr>
          <w:p w14:paraId="7C3BD61C" w14:textId="2144A86D" w:rsidR="14E4A9F4" w:rsidRPr="00BB4743" w:rsidRDefault="14E4A9F4" w:rsidP="17D077F0">
            <w:pPr>
              <w:spacing w:line="259" w:lineRule="auto"/>
              <w:rPr>
                <w:rFonts w:eastAsia="Calibri" w:cs="Calibri"/>
                <w:b/>
                <w:bCs/>
                <w:color w:val="000000"/>
                <w:sz w:val="20"/>
                <w:szCs w:val="20"/>
              </w:rPr>
            </w:pPr>
            <w:r w:rsidRPr="00BB4743">
              <w:rPr>
                <w:rFonts w:eastAsia="Calibri" w:cs="Calibri"/>
                <w:b/>
                <w:bCs/>
                <w:color w:val="000000"/>
                <w:sz w:val="20"/>
                <w:szCs w:val="20"/>
              </w:rPr>
              <w:t>Emmanuel Magembe</w:t>
            </w:r>
          </w:p>
        </w:tc>
        <w:tc>
          <w:tcPr>
            <w:tcW w:w="3131" w:type="dxa"/>
            <w:shd w:val="clear" w:color="auto" w:fill="auto"/>
          </w:tcPr>
          <w:p w14:paraId="6257EE31" w14:textId="26ECFF0C" w:rsidR="14E4A9F4" w:rsidRPr="00AE14D5" w:rsidRDefault="14E4A9F4" w:rsidP="000B3487">
            <w:pPr>
              <w:spacing w:line="259" w:lineRule="auto"/>
              <w:rPr>
                <w:rFonts w:eastAsia="Calibri" w:cs="Calibri"/>
                <w:color w:val="000000"/>
                <w:sz w:val="20"/>
                <w:szCs w:val="20"/>
              </w:rPr>
            </w:pPr>
            <w:r w:rsidRPr="00AE14D5">
              <w:rPr>
                <w:rFonts w:eastAsia="Calibri" w:cs="Calibri"/>
                <w:color w:val="000000"/>
                <w:sz w:val="20"/>
                <w:szCs w:val="20"/>
              </w:rPr>
              <w:t>Ministry of Health/National Health Laboratory Quality Assurance and Training Centre</w:t>
            </w:r>
          </w:p>
        </w:tc>
        <w:tc>
          <w:tcPr>
            <w:tcW w:w="3130" w:type="dxa"/>
            <w:shd w:val="clear" w:color="auto" w:fill="auto"/>
          </w:tcPr>
          <w:p w14:paraId="1D609310" w14:textId="7B5D6986" w:rsidR="14E4A9F4" w:rsidRPr="00AE14D5" w:rsidRDefault="14E4A9F4" w:rsidP="000B3487">
            <w:pPr>
              <w:spacing w:line="259" w:lineRule="auto"/>
              <w:rPr>
                <w:rFonts w:eastAsia="Calibri" w:cs="Calibri"/>
                <w:color w:val="000000"/>
                <w:sz w:val="20"/>
                <w:szCs w:val="20"/>
              </w:rPr>
            </w:pPr>
            <w:r w:rsidRPr="00AE14D5">
              <w:rPr>
                <w:rFonts w:eastAsia="Calibri" w:cs="Calibri"/>
                <w:color w:val="000000"/>
                <w:sz w:val="20"/>
                <w:szCs w:val="20"/>
              </w:rPr>
              <w:t>Laboratory Scientist, AMR HH Laboratory Fellow</w:t>
            </w:r>
          </w:p>
        </w:tc>
      </w:tr>
      <w:tr w:rsidR="17D077F0" w14:paraId="51FBEBB3"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shd w:val="clear" w:color="auto" w:fill="auto"/>
          </w:tcPr>
          <w:p w14:paraId="532D6412" w14:textId="7F2DFAF9" w:rsidR="0D8B18C4" w:rsidRPr="00BB4743" w:rsidRDefault="0D8B18C4" w:rsidP="17D077F0">
            <w:pPr>
              <w:spacing w:line="259" w:lineRule="auto"/>
              <w:rPr>
                <w:rFonts w:eastAsia="Calibri" w:cs="Calibri"/>
                <w:b/>
                <w:bCs/>
                <w:color w:val="000000"/>
                <w:sz w:val="20"/>
                <w:szCs w:val="20"/>
              </w:rPr>
            </w:pPr>
            <w:r w:rsidRPr="00BB4743">
              <w:rPr>
                <w:rFonts w:eastAsia="Calibri" w:cs="Calibri"/>
                <w:b/>
                <w:bCs/>
                <w:color w:val="000000"/>
                <w:sz w:val="20"/>
                <w:szCs w:val="20"/>
              </w:rPr>
              <w:t>Siana Mapunjo*</w:t>
            </w:r>
          </w:p>
        </w:tc>
        <w:tc>
          <w:tcPr>
            <w:tcW w:w="3131" w:type="dxa"/>
            <w:shd w:val="clear" w:color="auto" w:fill="auto"/>
          </w:tcPr>
          <w:p w14:paraId="3BC215A7" w14:textId="466F0825" w:rsidR="0D8B18C4" w:rsidRPr="00AE14D5" w:rsidRDefault="0D8B18C4" w:rsidP="000B3487">
            <w:pPr>
              <w:spacing w:line="259" w:lineRule="auto"/>
              <w:rPr>
                <w:rFonts w:eastAsia="Calibri" w:cs="Calibri"/>
                <w:color w:val="000000"/>
                <w:sz w:val="20"/>
                <w:szCs w:val="20"/>
              </w:rPr>
            </w:pPr>
            <w:r w:rsidRPr="00AE14D5">
              <w:rPr>
                <w:rFonts w:eastAsia="Calibri" w:cs="Calibri"/>
                <w:color w:val="000000"/>
                <w:sz w:val="20"/>
                <w:szCs w:val="20"/>
              </w:rPr>
              <w:t>Ministry of health community development gender elderly and children</w:t>
            </w:r>
          </w:p>
        </w:tc>
        <w:tc>
          <w:tcPr>
            <w:tcW w:w="3130" w:type="dxa"/>
            <w:shd w:val="clear" w:color="auto" w:fill="auto"/>
          </w:tcPr>
          <w:p w14:paraId="0DA9E734" w14:textId="5C0ECEAA" w:rsidR="0D8B18C4" w:rsidRPr="00AE14D5" w:rsidRDefault="0D8B18C4" w:rsidP="000B3487">
            <w:pPr>
              <w:spacing w:line="259" w:lineRule="auto"/>
              <w:rPr>
                <w:rFonts w:eastAsia="Calibri" w:cs="Calibri"/>
                <w:color w:val="000000"/>
                <w:sz w:val="20"/>
                <w:szCs w:val="20"/>
              </w:rPr>
            </w:pPr>
            <w:r w:rsidRPr="00AE14D5">
              <w:rPr>
                <w:rFonts w:eastAsia="Calibri" w:cs="Calibri"/>
                <w:color w:val="000000"/>
                <w:sz w:val="20"/>
                <w:szCs w:val="20"/>
              </w:rPr>
              <w:t>Pharmaceutical Coordinator, AMU HH Surveillance Fellow</w:t>
            </w:r>
          </w:p>
        </w:tc>
      </w:tr>
      <w:tr w:rsidR="17D077F0" w14:paraId="2A239A8A"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3DD595A9" w14:textId="77777777" w:rsidR="17D077F0" w:rsidRDefault="17D077F0" w:rsidP="000B3487">
            <w:pPr>
              <w:rPr>
                <w:rFonts w:cstheme="minorBidi"/>
                <w:color w:val="FFFFFF" w:themeColor="background1"/>
                <w:sz w:val="20"/>
                <w:szCs w:val="20"/>
                <w:lang w:eastAsia="en-GB"/>
              </w:rPr>
            </w:pPr>
            <w:r w:rsidRPr="17D077F0">
              <w:rPr>
                <w:rFonts w:cstheme="minorBidi"/>
                <w:color w:val="FFFFFF" w:themeColor="background1"/>
                <w:sz w:val="20"/>
                <w:szCs w:val="20"/>
                <w:lang w:eastAsia="en-GB"/>
              </w:rPr>
              <w:t>Professional Fellows AH</w:t>
            </w:r>
          </w:p>
        </w:tc>
      </w:tr>
      <w:tr w:rsidR="17D077F0" w14:paraId="68722DE6"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5565BF84" w14:textId="4EEF163E" w:rsidR="7249C821" w:rsidRPr="00BB4743" w:rsidRDefault="7249C821" w:rsidP="17D077F0">
            <w:pPr>
              <w:spacing w:line="259" w:lineRule="auto"/>
              <w:rPr>
                <w:rFonts w:eastAsia="Calibri" w:cs="Calibri"/>
                <w:b/>
                <w:bCs/>
                <w:color w:val="000000"/>
                <w:sz w:val="20"/>
                <w:szCs w:val="20"/>
              </w:rPr>
            </w:pPr>
            <w:r w:rsidRPr="00BB4743">
              <w:rPr>
                <w:rFonts w:eastAsia="Calibri" w:cs="Calibri"/>
                <w:b/>
                <w:bCs/>
                <w:color w:val="000000"/>
                <w:sz w:val="20"/>
                <w:szCs w:val="20"/>
              </w:rPr>
              <w:t>Emmanuel Laurent Mayenga</w:t>
            </w:r>
          </w:p>
        </w:tc>
        <w:tc>
          <w:tcPr>
            <w:tcW w:w="3131" w:type="dxa"/>
          </w:tcPr>
          <w:p w14:paraId="708C32E5" w14:textId="5FAC35EC" w:rsidR="2DC27EAE" w:rsidRPr="00AE14D5" w:rsidRDefault="2DC27EAE" w:rsidP="000B3487">
            <w:pPr>
              <w:spacing w:line="259" w:lineRule="auto"/>
              <w:rPr>
                <w:rFonts w:eastAsia="Calibri" w:cs="Calibri"/>
                <w:color w:val="000000"/>
                <w:sz w:val="20"/>
                <w:szCs w:val="20"/>
              </w:rPr>
            </w:pPr>
            <w:r w:rsidRPr="00AE14D5">
              <w:rPr>
                <w:rFonts w:eastAsia="Calibri" w:cs="Calibri"/>
                <w:color w:val="000000"/>
                <w:sz w:val="20"/>
                <w:szCs w:val="20"/>
              </w:rPr>
              <w:t>Department of veterinary health</w:t>
            </w:r>
          </w:p>
        </w:tc>
        <w:tc>
          <w:tcPr>
            <w:tcW w:w="3130" w:type="dxa"/>
          </w:tcPr>
          <w:p w14:paraId="6D86AE98" w14:textId="79675778" w:rsidR="2DC27EAE" w:rsidRPr="00AE14D5" w:rsidRDefault="2DC27EAE" w:rsidP="000B3487">
            <w:pPr>
              <w:spacing w:line="259" w:lineRule="auto"/>
              <w:rPr>
                <w:rFonts w:eastAsia="Calibri" w:cs="Calibri"/>
                <w:color w:val="000000"/>
                <w:sz w:val="20"/>
                <w:szCs w:val="20"/>
              </w:rPr>
            </w:pPr>
            <w:r w:rsidRPr="00AE14D5">
              <w:rPr>
                <w:rFonts w:eastAsia="Calibri" w:cs="Calibri"/>
                <w:color w:val="000000"/>
                <w:sz w:val="20"/>
                <w:szCs w:val="20"/>
              </w:rPr>
              <w:t>Public health veterinary officer, AMR AH Surveillance Fellow</w:t>
            </w:r>
          </w:p>
        </w:tc>
      </w:tr>
      <w:tr w:rsidR="17D077F0" w14:paraId="68AC15A4"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1998ACF1" w14:textId="273313FF" w:rsidR="17D077F0" w:rsidRDefault="17D077F0" w:rsidP="000B3487">
            <w:pPr>
              <w:rPr>
                <w:rFonts w:cstheme="minorBidi"/>
                <w:color w:val="FFFFFF" w:themeColor="background1"/>
                <w:sz w:val="20"/>
                <w:szCs w:val="20"/>
              </w:rPr>
            </w:pPr>
            <w:r w:rsidRPr="17D077F0">
              <w:rPr>
                <w:rFonts w:cstheme="minorBidi"/>
                <w:color w:val="FFFFFF" w:themeColor="background1"/>
                <w:sz w:val="20"/>
                <w:szCs w:val="20"/>
              </w:rPr>
              <w:t>AMR Focal Point</w:t>
            </w:r>
          </w:p>
        </w:tc>
      </w:tr>
      <w:tr w:rsidR="17D077F0" w14:paraId="17CFF101"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21886B76" w14:textId="0F45C343" w:rsidR="40A715C1" w:rsidRPr="00BB4743" w:rsidRDefault="40A715C1" w:rsidP="17D077F0">
            <w:pPr>
              <w:spacing w:line="259" w:lineRule="auto"/>
              <w:rPr>
                <w:rFonts w:eastAsia="Calibri" w:cs="Calibri"/>
                <w:b/>
                <w:bCs/>
                <w:color w:val="000000"/>
                <w:sz w:val="20"/>
                <w:szCs w:val="20"/>
              </w:rPr>
            </w:pPr>
            <w:r w:rsidRPr="00BB4743">
              <w:rPr>
                <w:rFonts w:eastAsia="Calibri" w:cs="Calibri"/>
                <w:b/>
                <w:bCs/>
                <w:color w:val="000000"/>
                <w:sz w:val="20"/>
                <w:szCs w:val="20"/>
              </w:rPr>
              <w:t>Dr Gibonce Kayuni*</w:t>
            </w:r>
          </w:p>
        </w:tc>
        <w:tc>
          <w:tcPr>
            <w:tcW w:w="3131" w:type="dxa"/>
          </w:tcPr>
          <w:p w14:paraId="10D9E98E" w14:textId="07B7917A" w:rsidR="40A715C1" w:rsidRPr="00AE14D5" w:rsidRDefault="40A715C1" w:rsidP="000B3487">
            <w:pPr>
              <w:spacing w:line="259" w:lineRule="auto"/>
              <w:rPr>
                <w:rFonts w:eastAsia="Calibri" w:cs="Calibri"/>
                <w:color w:val="000000"/>
                <w:sz w:val="20"/>
                <w:szCs w:val="20"/>
              </w:rPr>
            </w:pPr>
            <w:r w:rsidRPr="00AE14D5">
              <w:rPr>
                <w:rFonts w:eastAsia="Calibri" w:cs="Calibri"/>
                <w:color w:val="000000"/>
                <w:sz w:val="20"/>
                <w:szCs w:val="20"/>
              </w:rPr>
              <w:t>Ministry of Agriculture and Fisheries</w:t>
            </w:r>
          </w:p>
        </w:tc>
        <w:tc>
          <w:tcPr>
            <w:tcW w:w="3130" w:type="dxa"/>
          </w:tcPr>
          <w:p w14:paraId="59992639" w14:textId="28C2BBF7" w:rsidR="40A715C1" w:rsidRPr="00AE14D5" w:rsidRDefault="40A715C1" w:rsidP="000B3487">
            <w:pPr>
              <w:spacing w:line="259" w:lineRule="auto"/>
              <w:rPr>
                <w:rFonts w:eastAsia="Calibri" w:cs="Calibri"/>
                <w:color w:val="000000"/>
                <w:sz w:val="20"/>
                <w:szCs w:val="20"/>
              </w:rPr>
            </w:pPr>
            <w:r w:rsidRPr="00AE14D5">
              <w:rPr>
                <w:rFonts w:eastAsia="Calibri" w:cs="Calibri"/>
                <w:color w:val="000000"/>
                <w:sz w:val="20"/>
                <w:szCs w:val="20"/>
              </w:rPr>
              <w:t>AMR Focal Point, AMU AH Surveillance Fellow</w:t>
            </w:r>
          </w:p>
        </w:tc>
      </w:tr>
      <w:tr w:rsidR="17D077F0" w14:paraId="5B85183E"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058C4CC1" w14:textId="5876061A" w:rsidR="66FB271A" w:rsidRDefault="66FB271A" w:rsidP="000B3487">
            <w:pPr>
              <w:rPr>
                <w:rFonts w:cstheme="minorBidi"/>
                <w:color w:val="FFFFFF" w:themeColor="background1"/>
                <w:sz w:val="20"/>
                <w:szCs w:val="20"/>
              </w:rPr>
            </w:pPr>
            <w:r w:rsidRPr="17D077F0">
              <w:rPr>
                <w:rFonts w:cstheme="minorBidi"/>
                <w:color w:val="FFFFFF" w:themeColor="background1"/>
                <w:sz w:val="20"/>
                <w:szCs w:val="20"/>
              </w:rPr>
              <w:t>AMC Focal Point</w:t>
            </w:r>
          </w:p>
        </w:tc>
      </w:tr>
      <w:tr w:rsidR="17D077F0" w14:paraId="489E6B63"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3726A53D" w14:textId="771231B1" w:rsidR="66FB271A" w:rsidRPr="00BB4743" w:rsidRDefault="66FB271A" w:rsidP="17D077F0">
            <w:pPr>
              <w:spacing w:line="259" w:lineRule="auto"/>
              <w:rPr>
                <w:rFonts w:eastAsia="Calibri" w:cs="Calibri"/>
                <w:b/>
                <w:bCs/>
                <w:color w:val="000000"/>
                <w:sz w:val="20"/>
                <w:szCs w:val="20"/>
              </w:rPr>
            </w:pPr>
            <w:r w:rsidRPr="00BB4743">
              <w:rPr>
                <w:rFonts w:eastAsia="Calibri" w:cs="Calibri"/>
                <w:b/>
                <w:bCs/>
                <w:color w:val="000000"/>
                <w:sz w:val="20"/>
                <w:szCs w:val="20"/>
              </w:rPr>
              <w:t>Siana Mapunjo*</w:t>
            </w:r>
            <w:r w:rsidR="5313961D" w:rsidRPr="00BB4743">
              <w:rPr>
                <w:rFonts w:eastAsia="Calibri" w:cs="Calibri"/>
                <w:b/>
                <w:bCs/>
                <w:color w:val="000000"/>
                <w:sz w:val="20"/>
                <w:szCs w:val="20"/>
              </w:rPr>
              <w:t>*</w:t>
            </w:r>
          </w:p>
        </w:tc>
        <w:tc>
          <w:tcPr>
            <w:tcW w:w="3131" w:type="dxa"/>
          </w:tcPr>
          <w:p w14:paraId="77FF5D59" w14:textId="220F03EC" w:rsidR="66FB271A" w:rsidRPr="00AE14D5" w:rsidRDefault="66FB271A" w:rsidP="000B3487">
            <w:pPr>
              <w:spacing w:line="259" w:lineRule="auto"/>
              <w:rPr>
                <w:rFonts w:eastAsia="Calibri" w:cs="Calibri"/>
                <w:color w:val="000000"/>
                <w:sz w:val="20"/>
                <w:szCs w:val="20"/>
              </w:rPr>
            </w:pPr>
            <w:r w:rsidRPr="00AE14D5">
              <w:rPr>
                <w:rFonts w:eastAsia="Calibri" w:cs="Calibri"/>
                <w:color w:val="000000"/>
                <w:sz w:val="20"/>
                <w:szCs w:val="20"/>
              </w:rPr>
              <w:t>Ministry of health community development gender elderly and children</w:t>
            </w:r>
          </w:p>
        </w:tc>
        <w:tc>
          <w:tcPr>
            <w:tcW w:w="3130" w:type="dxa"/>
          </w:tcPr>
          <w:p w14:paraId="3B82D3FA" w14:textId="10F548EE" w:rsidR="66FB271A" w:rsidRPr="00AE14D5" w:rsidRDefault="66FB271A" w:rsidP="000B3487">
            <w:pPr>
              <w:spacing w:line="259" w:lineRule="auto"/>
              <w:rPr>
                <w:rFonts w:eastAsia="Calibri" w:cs="Calibri"/>
                <w:color w:val="000000"/>
                <w:sz w:val="20"/>
                <w:szCs w:val="20"/>
              </w:rPr>
            </w:pPr>
            <w:r w:rsidRPr="00AE14D5">
              <w:rPr>
                <w:rFonts w:eastAsia="Calibri" w:cs="Calibri"/>
                <w:color w:val="000000"/>
                <w:sz w:val="20"/>
                <w:szCs w:val="20"/>
              </w:rPr>
              <w:t>Pharmaceutical Coordinator, AMU Focal Point</w:t>
            </w:r>
          </w:p>
        </w:tc>
      </w:tr>
      <w:tr w:rsidR="17D077F0" w14:paraId="4EE34E63"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6C9DC0AC" w14:textId="7AD72D3A" w:rsidR="17D077F0" w:rsidRDefault="17D077F0" w:rsidP="000B3487">
            <w:pPr>
              <w:rPr>
                <w:rFonts w:cstheme="minorBidi"/>
                <w:color w:val="FFFFFF" w:themeColor="background1"/>
                <w:sz w:val="20"/>
                <w:szCs w:val="20"/>
              </w:rPr>
            </w:pPr>
            <w:r w:rsidRPr="17D077F0">
              <w:rPr>
                <w:rFonts w:cstheme="minorBidi"/>
                <w:color w:val="FFFFFF" w:themeColor="background1"/>
                <w:sz w:val="20"/>
                <w:szCs w:val="20"/>
              </w:rPr>
              <w:t>AMC Focal Point</w:t>
            </w:r>
          </w:p>
        </w:tc>
      </w:tr>
      <w:tr w:rsidR="17D077F0" w14:paraId="482D3E57"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7EA9BEE9" w14:textId="5F63A30F" w:rsidR="4740947F" w:rsidRPr="00BB4743" w:rsidRDefault="4740947F" w:rsidP="17D077F0">
            <w:pPr>
              <w:spacing w:line="259" w:lineRule="auto"/>
              <w:rPr>
                <w:rFonts w:eastAsia="Calibri" w:cs="Calibri"/>
                <w:b/>
                <w:bCs/>
                <w:color w:val="000000"/>
                <w:sz w:val="20"/>
                <w:szCs w:val="20"/>
              </w:rPr>
            </w:pPr>
            <w:r w:rsidRPr="00BB4743">
              <w:rPr>
                <w:rFonts w:eastAsia="Calibri" w:cs="Calibri"/>
                <w:b/>
                <w:bCs/>
                <w:color w:val="000000"/>
                <w:sz w:val="20"/>
                <w:szCs w:val="20"/>
              </w:rPr>
              <w:t>Godwin Minga</w:t>
            </w:r>
          </w:p>
        </w:tc>
        <w:tc>
          <w:tcPr>
            <w:tcW w:w="3131" w:type="dxa"/>
          </w:tcPr>
          <w:p w14:paraId="1E34FD35" w14:textId="161A71F1" w:rsidR="4740947F" w:rsidRPr="00AE14D5" w:rsidRDefault="4740947F" w:rsidP="000B3487">
            <w:pPr>
              <w:spacing w:line="259" w:lineRule="auto"/>
              <w:rPr>
                <w:rFonts w:eastAsia="Calibri" w:cs="Calibri"/>
                <w:color w:val="000000"/>
                <w:sz w:val="20"/>
                <w:szCs w:val="20"/>
              </w:rPr>
            </w:pPr>
            <w:r w:rsidRPr="00AE14D5">
              <w:rPr>
                <w:rFonts w:eastAsia="Calibri" w:cs="Calibri"/>
                <w:color w:val="000000"/>
                <w:sz w:val="20"/>
                <w:szCs w:val="20"/>
              </w:rPr>
              <w:t>Ministry of Agriculture Livestock and Fisheries</w:t>
            </w:r>
            <w:r w:rsidR="6A2755BF" w:rsidRPr="00AE14D5">
              <w:rPr>
                <w:rFonts w:eastAsia="Calibri" w:cs="Calibri"/>
                <w:color w:val="000000"/>
                <w:sz w:val="20"/>
                <w:szCs w:val="20"/>
              </w:rPr>
              <w:t xml:space="preserve"> &amp; Central Veterinary Laboratory</w:t>
            </w:r>
          </w:p>
        </w:tc>
        <w:tc>
          <w:tcPr>
            <w:tcW w:w="3130" w:type="dxa"/>
          </w:tcPr>
          <w:p w14:paraId="2CA9F563" w14:textId="59E5F408" w:rsidR="4740947F" w:rsidRPr="00AE14D5" w:rsidRDefault="00D770D4" w:rsidP="000B3487">
            <w:pPr>
              <w:spacing w:line="259" w:lineRule="auto"/>
              <w:rPr>
                <w:rFonts w:eastAsia="Calibri" w:cs="Calibri"/>
                <w:color w:val="000000"/>
                <w:sz w:val="20"/>
                <w:szCs w:val="20"/>
              </w:rPr>
            </w:pPr>
            <w:r>
              <w:rPr>
                <w:rFonts w:eastAsia="Calibri" w:cs="Calibri"/>
                <w:color w:val="000000"/>
                <w:sz w:val="20"/>
                <w:szCs w:val="20"/>
              </w:rPr>
              <w:t xml:space="preserve">Laboratory </w:t>
            </w:r>
            <w:r w:rsidR="4740947F" w:rsidRPr="00AE14D5">
              <w:rPr>
                <w:rFonts w:eastAsia="Calibri" w:cs="Calibri"/>
                <w:color w:val="000000"/>
                <w:sz w:val="20"/>
                <w:szCs w:val="20"/>
              </w:rPr>
              <w:t>Technologist - Microbiology</w:t>
            </w:r>
          </w:p>
        </w:tc>
      </w:tr>
      <w:tr w:rsidR="17D077F0" w14:paraId="2F1F1E49"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43A1FE3E" w14:textId="36890795" w:rsidR="17D077F0" w:rsidRDefault="17D077F0" w:rsidP="000B3487">
            <w:pPr>
              <w:spacing w:line="259" w:lineRule="auto"/>
              <w:rPr>
                <w:rFonts w:cstheme="minorBidi"/>
                <w:color w:val="FFFFFF" w:themeColor="background1"/>
                <w:sz w:val="20"/>
                <w:szCs w:val="20"/>
              </w:rPr>
            </w:pPr>
            <w:r w:rsidRPr="17D077F0">
              <w:rPr>
                <w:rFonts w:cstheme="minorBidi"/>
                <w:color w:val="FFFFFF" w:themeColor="background1"/>
                <w:sz w:val="20"/>
                <w:szCs w:val="20"/>
              </w:rPr>
              <w:t>GLASS Focal Point</w:t>
            </w:r>
          </w:p>
        </w:tc>
      </w:tr>
      <w:tr w:rsidR="17D077F0" w14:paraId="19A0BA9E"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23F05794" w14:textId="369926EE" w:rsidR="1B974E3B" w:rsidRPr="00BB4743" w:rsidRDefault="1B974E3B" w:rsidP="17D077F0">
            <w:pPr>
              <w:spacing w:line="259" w:lineRule="auto"/>
              <w:rPr>
                <w:rFonts w:eastAsia="Calibri" w:cs="Calibri"/>
                <w:b/>
                <w:bCs/>
                <w:color w:val="000000"/>
                <w:sz w:val="20"/>
                <w:szCs w:val="20"/>
              </w:rPr>
            </w:pPr>
            <w:r w:rsidRPr="00BB4743">
              <w:rPr>
                <w:rFonts w:eastAsia="Calibri" w:cs="Calibri"/>
                <w:b/>
                <w:bCs/>
                <w:color w:val="000000"/>
                <w:sz w:val="20"/>
                <w:szCs w:val="20"/>
              </w:rPr>
              <w:t>Reuben Abednego</w:t>
            </w:r>
          </w:p>
        </w:tc>
        <w:tc>
          <w:tcPr>
            <w:tcW w:w="3131" w:type="dxa"/>
          </w:tcPr>
          <w:p w14:paraId="3385B5D8" w14:textId="4173C492" w:rsidR="1B974E3B" w:rsidRPr="00AE14D5" w:rsidRDefault="1B974E3B" w:rsidP="000B3487">
            <w:pPr>
              <w:spacing w:line="259" w:lineRule="auto"/>
              <w:rPr>
                <w:rFonts w:eastAsia="Calibri" w:cs="Calibri"/>
                <w:color w:val="000000"/>
                <w:sz w:val="20"/>
                <w:szCs w:val="20"/>
              </w:rPr>
            </w:pPr>
            <w:r w:rsidRPr="00AE14D5">
              <w:rPr>
                <w:rFonts w:eastAsia="Calibri" w:cs="Calibri"/>
                <w:color w:val="000000"/>
                <w:sz w:val="20"/>
                <w:szCs w:val="20"/>
              </w:rPr>
              <w:t>Ministry of health community development gender elderly and children</w:t>
            </w:r>
          </w:p>
        </w:tc>
        <w:tc>
          <w:tcPr>
            <w:tcW w:w="3130" w:type="dxa"/>
          </w:tcPr>
          <w:p w14:paraId="48B8BE73" w14:textId="7FBED85D" w:rsidR="1B974E3B" w:rsidRPr="00AE14D5" w:rsidRDefault="1B974E3B" w:rsidP="000B3487">
            <w:pPr>
              <w:spacing w:line="259" w:lineRule="auto"/>
              <w:rPr>
                <w:rFonts w:eastAsia="Calibri" w:cs="Calibri"/>
                <w:color w:val="000000"/>
                <w:sz w:val="20"/>
                <w:szCs w:val="20"/>
              </w:rPr>
            </w:pPr>
            <w:r w:rsidRPr="00AE14D5">
              <w:rPr>
                <w:rFonts w:eastAsia="Calibri" w:cs="Calibri"/>
                <w:color w:val="000000"/>
                <w:sz w:val="20"/>
                <w:szCs w:val="20"/>
              </w:rPr>
              <w:t>Laboratory Scientist</w:t>
            </w:r>
          </w:p>
        </w:tc>
      </w:tr>
      <w:tr w:rsidR="17D077F0" w14:paraId="513558A4"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23B43B92" w14:textId="0901E14A" w:rsidR="17D077F0" w:rsidRDefault="007F4A59" w:rsidP="000B3487">
            <w:pPr>
              <w:spacing w:line="259" w:lineRule="auto"/>
              <w:rPr>
                <w:rFonts w:cstheme="minorBidi"/>
                <w:color w:val="FFFFFF" w:themeColor="background1"/>
                <w:sz w:val="20"/>
                <w:szCs w:val="20"/>
              </w:rPr>
            </w:pPr>
            <w:r w:rsidRPr="007F4A59">
              <w:rPr>
                <w:rFonts w:cstheme="minorBidi"/>
                <w:color w:val="FFFFFF" w:themeColor="background1"/>
                <w:sz w:val="20"/>
                <w:szCs w:val="20"/>
              </w:rPr>
              <w:t>WOAH</w:t>
            </w:r>
            <w:r w:rsidR="17D077F0" w:rsidRPr="17D077F0">
              <w:rPr>
                <w:rFonts w:cstheme="minorBidi"/>
                <w:color w:val="FFFFFF" w:themeColor="background1"/>
                <w:sz w:val="20"/>
                <w:szCs w:val="20"/>
              </w:rPr>
              <w:t xml:space="preserve"> Focal Point</w:t>
            </w:r>
          </w:p>
        </w:tc>
      </w:tr>
      <w:tr w:rsidR="17D077F0" w14:paraId="39EE2C81"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348863AA" w14:textId="36068AEE" w:rsidR="34980C31" w:rsidRPr="00BB4743" w:rsidRDefault="34980C31" w:rsidP="17D077F0">
            <w:pPr>
              <w:spacing w:line="259" w:lineRule="auto"/>
              <w:rPr>
                <w:rFonts w:eastAsia="Calibri" w:cs="Calibri"/>
                <w:b/>
                <w:bCs/>
                <w:color w:val="000000"/>
                <w:sz w:val="20"/>
                <w:szCs w:val="20"/>
              </w:rPr>
            </w:pPr>
            <w:r w:rsidRPr="00BB4743">
              <w:rPr>
                <w:rFonts w:eastAsia="Calibri" w:cs="Calibri"/>
                <w:b/>
                <w:bCs/>
                <w:color w:val="000000"/>
                <w:sz w:val="20"/>
                <w:szCs w:val="20"/>
              </w:rPr>
              <w:t>Dr Hezron Nonga*</w:t>
            </w:r>
          </w:p>
        </w:tc>
        <w:tc>
          <w:tcPr>
            <w:tcW w:w="3131" w:type="dxa"/>
          </w:tcPr>
          <w:p w14:paraId="22B427EA" w14:textId="6535DF39" w:rsidR="34980C31" w:rsidRPr="00AE14D5" w:rsidRDefault="34980C31" w:rsidP="000B3487">
            <w:pPr>
              <w:spacing w:line="259" w:lineRule="auto"/>
              <w:rPr>
                <w:rFonts w:eastAsia="Calibri" w:cs="Calibri"/>
                <w:color w:val="000000"/>
                <w:sz w:val="20"/>
                <w:szCs w:val="20"/>
              </w:rPr>
            </w:pPr>
            <w:r w:rsidRPr="00AE14D5">
              <w:rPr>
                <w:rFonts w:eastAsia="Calibri" w:cs="Calibri"/>
                <w:color w:val="000000"/>
                <w:sz w:val="20"/>
                <w:szCs w:val="20"/>
              </w:rPr>
              <w:t>Ministry of Agriculture Livestock and Fisheries</w:t>
            </w:r>
          </w:p>
        </w:tc>
        <w:tc>
          <w:tcPr>
            <w:tcW w:w="3130" w:type="dxa"/>
          </w:tcPr>
          <w:p w14:paraId="404C49DE" w14:textId="716F2884" w:rsidR="34980C31" w:rsidRPr="00AE14D5" w:rsidRDefault="34980C31" w:rsidP="000B3487">
            <w:pPr>
              <w:spacing w:line="259" w:lineRule="auto"/>
              <w:rPr>
                <w:rFonts w:eastAsia="Calibri" w:cs="Calibri"/>
                <w:color w:val="000000"/>
                <w:sz w:val="20"/>
                <w:szCs w:val="20"/>
              </w:rPr>
            </w:pPr>
            <w:r w:rsidRPr="00AE14D5">
              <w:rPr>
                <w:rFonts w:eastAsia="Calibri" w:cs="Calibri"/>
                <w:color w:val="000000"/>
                <w:sz w:val="20"/>
                <w:szCs w:val="20"/>
              </w:rPr>
              <w:t xml:space="preserve">Country Rep for </w:t>
            </w:r>
            <w:r w:rsidR="007F4A59" w:rsidRPr="007F4A59">
              <w:rPr>
                <w:rFonts w:eastAsia="Calibri" w:cs="Calibri"/>
                <w:color w:val="000000"/>
                <w:sz w:val="20"/>
                <w:szCs w:val="20"/>
              </w:rPr>
              <w:t>WOAH</w:t>
            </w:r>
            <w:r w:rsidRPr="00AE14D5">
              <w:rPr>
                <w:rFonts w:eastAsia="Calibri" w:cs="Calibri"/>
                <w:color w:val="000000"/>
                <w:sz w:val="20"/>
                <w:szCs w:val="20"/>
              </w:rPr>
              <w:t>, Director of veterinary services</w:t>
            </w:r>
          </w:p>
        </w:tc>
      </w:tr>
      <w:tr w:rsidR="17D077F0" w14:paraId="7D4A70C2"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483A8C1C" w14:textId="77777777" w:rsidR="17D077F0" w:rsidRDefault="17D077F0" w:rsidP="000B3487">
            <w:pPr>
              <w:rPr>
                <w:rFonts w:cstheme="minorBidi"/>
                <w:color w:val="FFFFFF" w:themeColor="background1"/>
                <w:sz w:val="20"/>
                <w:szCs w:val="20"/>
              </w:rPr>
            </w:pPr>
            <w:r w:rsidRPr="17D077F0">
              <w:rPr>
                <w:rFonts w:cstheme="minorBidi"/>
                <w:color w:val="FFFFFF" w:themeColor="background1"/>
                <w:sz w:val="20"/>
                <w:szCs w:val="20"/>
              </w:rPr>
              <w:t>Development Partners/ Academia</w:t>
            </w:r>
          </w:p>
        </w:tc>
      </w:tr>
      <w:tr w:rsidR="17D077F0" w14:paraId="7624AA1F"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70C8D1B2" w14:textId="3CA0388A" w:rsidR="21FCAE45" w:rsidRPr="00BB4743" w:rsidRDefault="21FCAE45" w:rsidP="17D077F0">
            <w:pPr>
              <w:spacing w:line="259" w:lineRule="auto"/>
              <w:rPr>
                <w:rFonts w:eastAsia="Calibri" w:cs="Calibri"/>
                <w:b/>
                <w:bCs/>
                <w:color w:val="000000"/>
                <w:sz w:val="20"/>
                <w:szCs w:val="20"/>
              </w:rPr>
            </w:pPr>
            <w:r w:rsidRPr="00BB4743">
              <w:rPr>
                <w:rFonts w:eastAsia="Calibri" w:cs="Calibri"/>
                <w:b/>
                <w:bCs/>
                <w:color w:val="000000"/>
                <w:sz w:val="20"/>
                <w:szCs w:val="20"/>
              </w:rPr>
              <w:t>Edgar Lusaya</w:t>
            </w:r>
          </w:p>
        </w:tc>
        <w:tc>
          <w:tcPr>
            <w:tcW w:w="3131" w:type="dxa"/>
          </w:tcPr>
          <w:p w14:paraId="1ECE2BA4" w14:textId="65CFC92B" w:rsidR="45534014" w:rsidRPr="00AE14D5" w:rsidRDefault="45534014" w:rsidP="000B3487">
            <w:pPr>
              <w:spacing w:line="259" w:lineRule="auto"/>
              <w:rPr>
                <w:rFonts w:eastAsia="Calibri" w:cs="Calibri"/>
                <w:color w:val="000000"/>
                <w:sz w:val="20"/>
                <w:szCs w:val="20"/>
              </w:rPr>
            </w:pPr>
            <w:r w:rsidRPr="00AE14D5">
              <w:rPr>
                <w:rFonts w:eastAsia="Calibri" w:cs="Calibri"/>
                <w:color w:val="000000"/>
                <w:sz w:val="20"/>
                <w:szCs w:val="20"/>
              </w:rPr>
              <w:t xml:space="preserve">Medicines, Technologies and Pharmaceutical Services </w:t>
            </w:r>
            <w:r w:rsidR="002A22DF">
              <w:rPr>
                <w:rFonts w:eastAsia="Calibri" w:cs="Calibri"/>
                <w:color w:val="000000"/>
                <w:sz w:val="20"/>
                <w:szCs w:val="20"/>
              </w:rPr>
              <w:t xml:space="preserve">Programme </w:t>
            </w:r>
            <w:r w:rsidRPr="00AE14D5">
              <w:rPr>
                <w:rFonts w:eastAsia="Calibri" w:cs="Calibri"/>
                <w:color w:val="000000"/>
                <w:sz w:val="20"/>
                <w:szCs w:val="20"/>
              </w:rPr>
              <w:t>(MTaPS), USAID</w:t>
            </w:r>
          </w:p>
        </w:tc>
        <w:tc>
          <w:tcPr>
            <w:tcW w:w="3130" w:type="dxa"/>
          </w:tcPr>
          <w:p w14:paraId="46611AED" w14:textId="102A1767" w:rsidR="45534014" w:rsidRPr="00AE14D5" w:rsidRDefault="45534014" w:rsidP="000B3487">
            <w:pPr>
              <w:spacing w:line="259" w:lineRule="auto"/>
              <w:rPr>
                <w:rFonts w:eastAsia="Calibri" w:cs="Calibri"/>
                <w:color w:val="000000"/>
                <w:sz w:val="20"/>
                <w:szCs w:val="20"/>
              </w:rPr>
            </w:pPr>
            <w:r w:rsidRPr="00AE14D5">
              <w:rPr>
                <w:rFonts w:eastAsia="Calibri" w:cs="Calibri"/>
                <w:color w:val="000000"/>
                <w:sz w:val="20"/>
                <w:szCs w:val="20"/>
              </w:rPr>
              <w:t>Country Project Director</w:t>
            </w:r>
          </w:p>
        </w:tc>
      </w:tr>
      <w:tr w:rsidR="17D077F0" w14:paraId="534B32C7"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6A359143" w14:textId="0203E793" w:rsidR="0FCB26E4" w:rsidRPr="00BB4743" w:rsidRDefault="0FCB26E4" w:rsidP="17D077F0">
            <w:pPr>
              <w:spacing w:line="259" w:lineRule="auto"/>
              <w:rPr>
                <w:rFonts w:eastAsia="Calibri" w:cs="Calibri"/>
                <w:b/>
                <w:bCs/>
                <w:color w:val="000000"/>
                <w:sz w:val="20"/>
                <w:szCs w:val="20"/>
              </w:rPr>
            </w:pPr>
            <w:r w:rsidRPr="00BB4743">
              <w:rPr>
                <w:rFonts w:eastAsia="Calibri" w:cs="Calibri"/>
                <w:b/>
                <w:bCs/>
                <w:color w:val="000000"/>
                <w:sz w:val="20"/>
                <w:szCs w:val="20"/>
              </w:rPr>
              <w:t>Elibariki Mwakapeje*</w:t>
            </w:r>
          </w:p>
        </w:tc>
        <w:tc>
          <w:tcPr>
            <w:tcW w:w="3131" w:type="dxa"/>
          </w:tcPr>
          <w:p w14:paraId="68C07E84" w14:textId="414B7D71" w:rsidR="0FCB26E4" w:rsidRPr="00AE14D5" w:rsidRDefault="0FCB26E4" w:rsidP="000B3487">
            <w:pPr>
              <w:spacing w:line="259" w:lineRule="auto"/>
              <w:rPr>
                <w:rFonts w:eastAsia="Calibri" w:cs="Calibri"/>
                <w:color w:val="000000"/>
                <w:sz w:val="20"/>
                <w:szCs w:val="20"/>
              </w:rPr>
            </w:pPr>
            <w:r w:rsidRPr="00AE14D5">
              <w:rPr>
                <w:rFonts w:eastAsia="Calibri" w:cs="Calibri"/>
                <w:color w:val="000000"/>
                <w:sz w:val="20"/>
                <w:szCs w:val="20"/>
              </w:rPr>
              <w:t>FAO ECTAD</w:t>
            </w:r>
          </w:p>
        </w:tc>
        <w:tc>
          <w:tcPr>
            <w:tcW w:w="3130" w:type="dxa"/>
          </w:tcPr>
          <w:p w14:paraId="10E7CA7A" w14:textId="7AC82C35" w:rsidR="0FCB26E4" w:rsidRPr="00AE14D5" w:rsidRDefault="0FCB26E4" w:rsidP="000B3487">
            <w:pPr>
              <w:spacing w:line="259" w:lineRule="auto"/>
              <w:rPr>
                <w:rFonts w:eastAsia="Calibri" w:cs="Calibri"/>
                <w:color w:val="000000"/>
                <w:sz w:val="20"/>
                <w:szCs w:val="20"/>
              </w:rPr>
            </w:pPr>
            <w:r w:rsidRPr="00AE14D5">
              <w:rPr>
                <w:rFonts w:eastAsia="Calibri" w:cs="Calibri"/>
                <w:color w:val="000000"/>
                <w:sz w:val="20"/>
                <w:szCs w:val="20"/>
              </w:rPr>
              <w:t>National Consultant for AMR ECTAD and Food Security</w:t>
            </w:r>
          </w:p>
        </w:tc>
      </w:tr>
      <w:tr w:rsidR="17D077F0" w14:paraId="4B3B7044"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65E7620D" w14:textId="249CABAB" w:rsidR="2F589552" w:rsidRPr="00BB4743" w:rsidRDefault="2F589552" w:rsidP="17D077F0">
            <w:pPr>
              <w:spacing w:line="259" w:lineRule="auto"/>
              <w:rPr>
                <w:rFonts w:eastAsia="Calibri" w:cs="Calibri"/>
                <w:b/>
                <w:bCs/>
                <w:color w:val="000000"/>
                <w:sz w:val="20"/>
                <w:szCs w:val="20"/>
              </w:rPr>
            </w:pPr>
            <w:r w:rsidRPr="00BB4743">
              <w:rPr>
                <w:rFonts w:eastAsia="Calibri" w:cs="Calibri"/>
                <w:b/>
                <w:bCs/>
                <w:color w:val="000000"/>
                <w:sz w:val="20"/>
                <w:szCs w:val="20"/>
              </w:rPr>
              <w:t>Rose Shija*</w:t>
            </w:r>
          </w:p>
        </w:tc>
        <w:tc>
          <w:tcPr>
            <w:tcW w:w="3131" w:type="dxa"/>
          </w:tcPr>
          <w:p w14:paraId="29BA5E5D" w14:textId="141FA459" w:rsidR="0FCB26E4" w:rsidRPr="00AE14D5" w:rsidRDefault="0FCB26E4" w:rsidP="000B3487">
            <w:pPr>
              <w:spacing w:line="259" w:lineRule="auto"/>
              <w:rPr>
                <w:rFonts w:eastAsia="Calibri" w:cs="Calibri"/>
                <w:color w:val="000000"/>
                <w:sz w:val="20"/>
                <w:szCs w:val="20"/>
              </w:rPr>
            </w:pPr>
            <w:r w:rsidRPr="00AE14D5">
              <w:rPr>
                <w:rFonts w:eastAsia="Calibri" w:cs="Calibri"/>
                <w:color w:val="000000"/>
                <w:sz w:val="20"/>
                <w:szCs w:val="20"/>
              </w:rPr>
              <w:t>WHO</w:t>
            </w:r>
          </w:p>
        </w:tc>
        <w:tc>
          <w:tcPr>
            <w:tcW w:w="3130" w:type="dxa"/>
          </w:tcPr>
          <w:p w14:paraId="6B2B4E6B" w14:textId="618EB748" w:rsidR="78D98AC7" w:rsidRPr="00AE14D5" w:rsidRDefault="78D98AC7" w:rsidP="000B3487">
            <w:pPr>
              <w:spacing w:line="259" w:lineRule="auto"/>
              <w:rPr>
                <w:rFonts w:eastAsia="Calibri" w:cs="Calibri"/>
                <w:color w:val="000000"/>
                <w:sz w:val="20"/>
                <w:szCs w:val="20"/>
              </w:rPr>
            </w:pPr>
            <w:r w:rsidRPr="00AE14D5">
              <w:rPr>
                <w:rFonts w:eastAsia="Calibri" w:cs="Calibri"/>
                <w:color w:val="000000"/>
                <w:sz w:val="20"/>
                <w:szCs w:val="20"/>
              </w:rPr>
              <w:t>Essential Medicines Advisor</w:t>
            </w:r>
          </w:p>
        </w:tc>
      </w:tr>
      <w:tr w:rsidR="17D077F0" w14:paraId="3F1059E8"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5BC0EE21" w14:textId="48755CEF" w:rsidR="783A657D" w:rsidRPr="00BB4743" w:rsidRDefault="783A657D" w:rsidP="17D077F0">
            <w:pPr>
              <w:spacing w:line="259" w:lineRule="auto"/>
              <w:rPr>
                <w:rFonts w:eastAsia="Calibri" w:cs="Calibri"/>
                <w:b/>
                <w:bCs/>
                <w:color w:val="000000"/>
                <w:sz w:val="20"/>
                <w:szCs w:val="20"/>
              </w:rPr>
            </w:pPr>
            <w:r w:rsidRPr="00BB4743">
              <w:rPr>
                <w:rFonts w:eastAsia="Calibri" w:cs="Calibri"/>
                <w:b/>
                <w:bCs/>
                <w:color w:val="000000"/>
                <w:sz w:val="20"/>
                <w:szCs w:val="20"/>
              </w:rPr>
              <w:t>Dr Sril Kullaya</w:t>
            </w:r>
          </w:p>
        </w:tc>
        <w:tc>
          <w:tcPr>
            <w:tcW w:w="3131" w:type="dxa"/>
          </w:tcPr>
          <w:p w14:paraId="3CBEDB1C" w14:textId="46D12F0F" w:rsidR="783A657D" w:rsidRPr="00AE14D5" w:rsidRDefault="783A657D" w:rsidP="000B3487">
            <w:pPr>
              <w:spacing w:line="259" w:lineRule="auto"/>
              <w:rPr>
                <w:rFonts w:eastAsia="Calibri" w:cs="Calibri"/>
                <w:color w:val="000000"/>
                <w:sz w:val="20"/>
                <w:szCs w:val="20"/>
              </w:rPr>
            </w:pPr>
            <w:r w:rsidRPr="00BB4743">
              <w:rPr>
                <w:rFonts w:eastAsia="Calibri" w:cs="Calibri"/>
                <w:color w:val="auto"/>
                <w:sz w:val="20"/>
                <w:szCs w:val="20"/>
              </w:rPr>
              <w:t>PATH</w:t>
            </w:r>
          </w:p>
        </w:tc>
        <w:tc>
          <w:tcPr>
            <w:tcW w:w="3130" w:type="dxa"/>
          </w:tcPr>
          <w:p w14:paraId="300D7785" w14:textId="3DF1412D" w:rsidR="783A657D" w:rsidRPr="00AE14D5" w:rsidRDefault="783A657D" w:rsidP="000B3487">
            <w:pPr>
              <w:spacing w:line="259" w:lineRule="auto"/>
              <w:rPr>
                <w:rFonts w:eastAsia="Calibri" w:cs="Calibri"/>
                <w:color w:val="000000"/>
                <w:sz w:val="20"/>
                <w:szCs w:val="20"/>
              </w:rPr>
            </w:pPr>
            <w:r w:rsidRPr="00AE14D5">
              <w:rPr>
                <w:rFonts w:eastAsia="Calibri" w:cs="Calibri"/>
                <w:color w:val="000000"/>
                <w:sz w:val="20"/>
                <w:szCs w:val="20"/>
              </w:rPr>
              <w:t>Tanzania Team Lead, Infectious Disease Detection and Surveillance (IDDS) Programme</w:t>
            </w:r>
          </w:p>
        </w:tc>
      </w:tr>
      <w:tr w:rsidR="17D077F0" w14:paraId="4E685A49"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18E243F7" w14:textId="77777777" w:rsidR="17D077F0" w:rsidRDefault="17D077F0" w:rsidP="000B3487">
            <w:pPr>
              <w:rPr>
                <w:rFonts w:cstheme="minorBidi"/>
                <w:color w:val="FFFFFF" w:themeColor="background1"/>
                <w:sz w:val="20"/>
                <w:szCs w:val="20"/>
              </w:rPr>
            </w:pPr>
            <w:r w:rsidRPr="17D077F0">
              <w:rPr>
                <w:rFonts w:cstheme="minorBidi"/>
                <w:color w:val="FFFFFF" w:themeColor="background1"/>
                <w:sz w:val="20"/>
                <w:szCs w:val="20"/>
              </w:rPr>
              <w:t>NRL &amp; Site Visit</w:t>
            </w:r>
          </w:p>
        </w:tc>
      </w:tr>
      <w:tr w:rsidR="17D077F0" w14:paraId="6B48AD67"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483B8FC1" w14:textId="5E58BAC4" w:rsidR="2A2462C9" w:rsidRPr="00BB4743" w:rsidRDefault="2A2462C9" w:rsidP="17D077F0">
            <w:pPr>
              <w:spacing w:line="259" w:lineRule="auto"/>
              <w:rPr>
                <w:rFonts w:eastAsia="Calibri" w:cs="Calibri"/>
                <w:b/>
                <w:bCs/>
                <w:color w:val="000000"/>
                <w:sz w:val="20"/>
                <w:szCs w:val="20"/>
              </w:rPr>
            </w:pPr>
            <w:r w:rsidRPr="00BB4743">
              <w:rPr>
                <w:rFonts w:eastAsia="Calibri" w:cs="Calibri"/>
                <w:b/>
                <w:bCs/>
                <w:color w:val="000000"/>
                <w:sz w:val="20"/>
                <w:szCs w:val="20"/>
              </w:rPr>
              <w:t>Godwin Minga*</w:t>
            </w:r>
          </w:p>
        </w:tc>
        <w:tc>
          <w:tcPr>
            <w:tcW w:w="3131" w:type="dxa"/>
          </w:tcPr>
          <w:p w14:paraId="43608131" w14:textId="48B44983" w:rsidR="2A2462C9" w:rsidRPr="00AE14D5" w:rsidRDefault="2A2462C9" w:rsidP="000B3487">
            <w:pPr>
              <w:spacing w:line="259" w:lineRule="auto"/>
              <w:rPr>
                <w:rFonts w:eastAsia="Calibri" w:cs="Calibri"/>
                <w:color w:val="000000"/>
                <w:sz w:val="20"/>
                <w:szCs w:val="20"/>
              </w:rPr>
            </w:pPr>
            <w:r w:rsidRPr="00AE14D5">
              <w:rPr>
                <w:rFonts w:eastAsia="Calibri" w:cs="Calibri"/>
                <w:color w:val="000000"/>
                <w:sz w:val="20"/>
                <w:szCs w:val="20"/>
              </w:rPr>
              <w:t>Ministry of Agriculture Livestock and Fisheries &amp; Central Veterinary Laboratory</w:t>
            </w:r>
          </w:p>
        </w:tc>
        <w:tc>
          <w:tcPr>
            <w:tcW w:w="3130" w:type="dxa"/>
          </w:tcPr>
          <w:p w14:paraId="616DDCC3" w14:textId="6F6576E5" w:rsidR="2A2462C9" w:rsidRPr="00AE14D5" w:rsidRDefault="00D770D4" w:rsidP="000B3487">
            <w:pPr>
              <w:spacing w:line="259" w:lineRule="auto"/>
              <w:rPr>
                <w:rFonts w:eastAsia="Calibri" w:cs="Calibri"/>
                <w:color w:val="000000"/>
                <w:sz w:val="20"/>
                <w:szCs w:val="20"/>
              </w:rPr>
            </w:pPr>
            <w:r>
              <w:rPr>
                <w:rFonts w:eastAsia="Calibri" w:cs="Calibri"/>
                <w:color w:val="000000"/>
                <w:sz w:val="20"/>
                <w:szCs w:val="20"/>
              </w:rPr>
              <w:t xml:space="preserve">Laboratory </w:t>
            </w:r>
            <w:r w:rsidR="2A2462C9" w:rsidRPr="00AE14D5">
              <w:rPr>
                <w:rFonts w:eastAsia="Calibri" w:cs="Calibri"/>
                <w:color w:val="000000"/>
                <w:sz w:val="20"/>
                <w:szCs w:val="20"/>
              </w:rPr>
              <w:t>Technologist - Microbiology</w:t>
            </w:r>
          </w:p>
        </w:tc>
      </w:tr>
      <w:tr w:rsidR="17D077F0" w14:paraId="3D38B2AD"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3829C13A" w14:textId="36DB2028" w:rsidR="16A0B467" w:rsidRPr="00BB4743" w:rsidRDefault="16A0B467" w:rsidP="17D077F0">
            <w:pPr>
              <w:spacing w:line="259" w:lineRule="auto"/>
              <w:rPr>
                <w:rFonts w:eastAsia="Calibri" w:cs="Calibri"/>
                <w:b/>
                <w:bCs/>
                <w:color w:val="000000"/>
                <w:sz w:val="20"/>
                <w:szCs w:val="20"/>
              </w:rPr>
            </w:pPr>
            <w:r w:rsidRPr="00BB4743">
              <w:rPr>
                <w:rFonts w:eastAsia="Calibri" w:cs="Calibri"/>
                <w:b/>
                <w:bCs/>
                <w:color w:val="000000"/>
                <w:sz w:val="20"/>
                <w:szCs w:val="20"/>
              </w:rPr>
              <w:t>Adelina Gadiye</w:t>
            </w:r>
          </w:p>
        </w:tc>
        <w:tc>
          <w:tcPr>
            <w:tcW w:w="3131" w:type="dxa"/>
          </w:tcPr>
          <w:p w14:paraId="6B53F438" w14:textId="5256ED0D" w:rsidR="16A0B467" w:rsidRPr="00AE14D5" w:rsidRDefault="16A0B467" w:rsidP="000B3487">
            <w:pPr>
              <w:spacing w:line="259" w:lineRule="auto"/>
              <w:rPr>
                <w:rFonts w:eastAsia="Calibri" w:cs="Calibri"/>
                <w:color w:val="000000"/>
                <w:sz w:val="20"/>
                <w:szCs w:val="20"/>
              </w:rPr>
            </w:pPr>
            <w:r w:rsidRPr="00AE14D5">
              <w:rPr>
                <w:rFonts w:eastAsia="Calibri" w:cs="Calibri"/>
                <w:color w:val="000000"/>
                <w:sz w:val="20"/>
                <w:szCs w:val="20"/>
              </w:rPr>
              <w:t>Muhimbili National Hospital Laboratory</w:t>
            </w:r>
          </w:p>
        </w:tc>
        <w:tc>
          <w:tcPr>
            <w:tcW w:w="3130" w:type="dxa"/>
          </w:tcPr>
          <w:p w14:paraId="5BE3062C" w14:textId="001CFF48" w:rsidR="16A0B467" w:rsidRPr="00AE14D5" w:rsidRDefault="16A0B467" w:rsidP="000B3487">
            <w:pPr>
              <w:spacing w:line="259" w:lineRule="auto"/>
              <w:rPr>
                <w:rFonts w:eastAsia="Calibri" w:cs="Calibri"/>
                <w:color w:val="000000"/>
                <w:sz w:val="20"/>
                <w:szCs w:val="20"/>
              </w:rPr>
            </w:pPr>
            <w:r w:rsidRPr="00AE14D5">
              <w:rPr>
                <w:rFonts w:eastAsia="Calibri" w:cs="Calibri"/>
                <w:color w:val="000000"/>
                <w:sz w:val="20"/>
                <w:szCs w:val="20"/>
              </w:rPr>
              <w:t>Health Laboratory scientist</w:t>
            </w:r>
          </w:p>
        </w:tc>
      </w:tr>
      <w:tr w:rsidR="17D077F0" w14:paraId="7E3C3B78"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2623332D" w14:textId="0FF21FD1" w:rsidR="16A0B467" w:rsidRPr="00BB4743" w:rsidRDefault="16A0B467" w:rsidP="17D077F0">
            <w:pPr>
              <w:spacing w:line="259" w:lineRule="auto"/>
              <w:rPr>
                <w:rFonts w:eastAsia="Calibri" w:cs="Calibri"/>
                <w:b/>
                <w:bCs/>
                <w:color w:val="000000"/>
                <w:sz w:val="20"/>
                <w:szCs w:val="20"/>
              </w:rPr>
            </w:pPr>
            <w:r w:rsidRPr="00BB4743">
              <w:rPr>
                <w:rFonts w:eastAsia="Calibri" w:cs="Calibri"/>
                <w:b/>
                <w:bCs/>
                <w:color w:val="000000"/>
                <w:sz w:val="20"/>
                <w:szCs w:val="20"/>
              </w:rPr>
              <w:t>Ronald Benju</w:t>
            </w:r>
          </w:p>
        </w:tc>
        <w:tc>
          <w:tcPr>
            <w:tcW w:w="3131" w:type="dxa"/>
          </w:tcPr>
          <w:p w14:paraId="56CF9284" w14:textId="1800CF39" w:rsidR="16A0B467" w:rsidRPr="00AE14D5" w:rsidRDefault="16A0B467" w:rsidP="000B3487">
            <w:pPr>
              <w:spacing w:line="259" w:lineRule="auto"/>
              <w:rPr>
                <w:rFonts w:eastAsia="Calibri" w:cs="Calibri"/>
                <w:color w:val="000000"/>
                <w:sz w:val="20"/>
                <w:szCs w:val="20"/>
              </w:rPr>
            </w:pPr>
            <w:r w:rsidRPr="00AE14D5">
              <w:rPr>
                <w:rFonts w:eastAsia="Calibri" w:cs="Calibri"/>
                <w:color w:val="000000"/>
                <w:sz w:val="20"/>
                <w:szCs w:val="20"/>
              </w:rPr>
              <w:t>TVLA Mwanza Vet Lab</w:t>
            </w:r>
          </w:p>
        </w:tc>
        <w:tc>
          <w:tcPr>
            <w:tcW w:w="3130" w:type="dxa"/>
          </w:tcPr>
          <w:p w14:paraId="2F46909A" w14:textId="130211A2" w:rsidR="16A0B467" w:rsidRPr="00AE14D5" w:rsidRDefault="16A0B467" w:rsidP="000B3487">
            <w:pPr>
              <w:spacing w:line="259" w:lineRule="auto"/>
              <w:rPr>
                <w:rFonts w:eastAsia="Calibri" w:cs="Calibri"/>
                <w:color w:val="000000"/>
                <w:sz w:val="20"/>
                <w:szCs w:val="20"/>
              </w:rPr>
            </w:pPr>
            <w:r w:rsidRPr="00AE14D5">
              <w:rPr>
                <w:rFonts w:eastAsia="Calibri" w:cs="Calibri"/>
                <w:color w:val="000000"/>
                <w:sz w:val="20"/>
                <w:szCs w:val="20"/>
              </w:rPr>
              <w:t>Laboratory Manager</w:t>
            </w:r>
          </w:p>
        </w:tc>
      </w:tr>
      <w:tr w:rsidR="17D077F0" w14:paraId="52EB92B8"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1ED00785" w14:textId="5079027E" w:rsidR="16A0B467" w:rsidRPr="00BB4743" w:rsidRDefault="16A0B467" w:rsidP="17D077F0">
            <w:pPr>
              <w:spacing w:line="259" w:lineRule="auto"/>
              <w:rPr>
                <w:rFonts w:eastAsia="Calibri" w:cs="Calibri"/>
                <w:b/>
                <w:bCs/>
                <w:color w:val="000000"/>
                <w:sz w:val="20"/>
                <w:szCs w:val="20"/>
              </w:rPr>
            </w:pPr>
            <w:r w:rsidRPr="00BB4743">
              <w:rPr>
                <w:rFonts w:eastAsia="Calibri" w:cs="Calibri"/>
                <w:b/>
                <w:bCs/>
                <w:color w:val="000000"/>
                <w:sz w:val="20"/>
                <w:szCs w:val="20"/>
              </w:rPr>
              <w:t>Zechariah Igembe</w:t>
            </w:r>
          </w:p>
        </w:tc>
        <w:tc>
          <w:tcPr>
            <w:tcW w:w="3131" w:type="dxa"/>
          </w:tcPr>
          <w:p w14:paraId="79E72BB6" w14:textId="0BD969AF" w:rsidR="16A0B467" w:rsidRPr="00AE14D5" w:rsidRDefault="16A0B467" w:rsidP="000B3487">
            <w:pPr>
              <w:spacing w:line="259" w:lineRule="auto"/>
              <w:rPr>
                <w:rFonts w:eastAsia="Calibri" w:cs="Calibri"/>
                <w:color w:val="000000"/>
                <w:sz w:val="20"/>
                <w:szCs w:val="20"/>
              </w:rPr>
            </w:pPr>
            <w:r w:rsidRPr="00AE14D5">
              <w:rPr>
                <w:rFonts w:eastAsia="Calibri" w:cs="Calibri"/>
                <w:color w:val="000000"/>
                <w:sz w:val="20"/>
                <w:szCs w:val="20"/>
              </w:rPr>
              <w:t>Bugando Medical Centre</w:t>
            </w:r>
          </w:p>
        </w:tc>
        <w:tc>
          <w:tcPr>
            <w:tcW w:w="3130" w:type="dxa"/>
          </w:tcPr>
          <w:p w14:paraId="432CDF56" w14:textId="228F2E32" w:rsidR="16A0B467" w:rsidRPr="00AE14D5" w:rsidRDefault="16A0B467" w:rsidP="000B3487">
            <w:pPr>
              <w:spacing w:line="259" w:lineRule="auto"/>
              <w:rPr>
                <w:rFonts w:eastAsia="Calibri" w:cs="Calibri"/>
                <w:color w:val="000000"/>
                <w:sz w:val="20"/>
                <w:szCs w:val="20"/>
              </w:rPr>
            </w:pPr>
            <w:r w:rsidRPr="00AE14D5">
              <w:rPr>
                <w:rFonts w:eastAsia="Calibri" w:cs="Calibri"/>
                <w:color w:val="000000"/>
                <w:sz w:val="20"/>
                <w:szCs w:val="20"/>
              </w:rPr>
              <w:t xml:space="preserve">Head of Section, Microbiology, </w:t>
            </w:r>
            <w:r w:rsidR="00D770D4">
              <w:rPr>
                <w:rFonts w:eastAsia="Calibri" w:cs="Calibri"/>
                <w:color w:val="000000"/>
                <w:sz w:val="20"/>
                <w:szCs w:val="20"/>
              </w:rPr>
              <w:t xml:space="preserve">Laboratory </w:t>
            </w:r>
            <w:r w:rsidRPr="00AE14D5">
              <w:rPr>
                <w:rFonts w:eastAsia="Calibri" w:cs="Calibri"/>
                <w:color w:val="000000"/>
                <w:sz w:val="20"/>
                <w:szCs w:val="20"/>
              </w:rPr>
              <w:t>Scientist</w:t>
            </w:r>
          </w:p>
        </w:tc>
      </w:tr>
    </w:tbl>
    <w:p w14:paraId="61EA8A35" w14:textId="44E3A5A1" w:rsidR="00CF4E89" w:rsidRDefault="1ED1C5CC" w:rsidP="004F2001">
      <w:pPr>
        <w:pStyle w:val="ItadH2"/>
      </w:pPr>
      <w:bookmarkStart w:id="428" w:name="_Toc118968583"/>
      <w:bookmarkStart w:id="429" w:name="_Toc142383225"/>
      <w:r>
        <w:t>Timor</w:t>
      </w:r>
      <w:r w:rsidR="00260B8A">
        <w:t>-</w:t>
      </w:r>
      <w:r>
        <w:t>Leste</w:t>
      </w:r>
      <w:bookmarkEnd w:id="428"/>
      <w:bookmarkEnd w:id="429"/>
    </w:p>
    <w:tbl>
      <w:tblPr>
        <w:tblStyle w:val="Itadalternaterows"/>
        <w:tblW w:w="0" w:type="auto"/>
        <w:tblLook w:val="04A0" w:firstRow="1" w:lastRow="0" w:firstColumn="1" w:lastColumn="0" w:noHBand="0" w:noVBand="1"/>
      </w:tblPr>
      <w:tblGrid>
        <w:gridCol w:w="3137"/>
        <w:gridCol w:w="3121"/>
        <w:gridCol w:w="3137"/>
      </w:tblGrid>
      <w:tr w:rsidR="64C55F6E" w14:paraId="070287CE" w14:textId="77777777" w:rsidTr="17D077F0">
        <w:trPr>
          <w:cnfStyle w:val="100000000000" w:firstRow="1" w:lastRow="0" w:firstColumn="0" w:lastColumn="0" w:oddVBand="0" w:evenVBand="0" w:oddHBand="0" w:evenHBand="0" w:firstRowFirstColumn="0" w:firstRowLastColumn="0" w:lastRowFirstColumn="0" w:lastRowLastColumn="0"/>
          <w:trHeight w:val="340"/>
        </w:trPr>
        <w:tc>
          <w:tcPr>
            <w:tcW w:w="9663" w:type="dxa"/>
            <w:gridSpan w:val="3"/>
          </w:tcPr>
          <w:p w14:paraId="1A67E729" w14:textId="432BF6E8" w:rsidR="64C55F6E" w:rsidRPr="00AE14D5" w:rsidRDefault="64C55F6E" w:rsidP="64C55F6E">
            <w:pPr>
              <w:rPr>
                <w:rFonts w:asciiTheme="minorHAnsi" w:hAnsiTheme="minorHAnsi" w:cstheme="minorHAnsi"/>
                <w:color w:val="FFFFFF" w:themeColor="background1"/>
                <w:sz w:val="20"/>
                <w:szCs w:val="20"/>
                <w:lang w:eastAsia="en-GB"/>
              </w:rPr>
            </w:pPr>
            <w:r w:rsidRPr="00AE14D5">
              <w:rPr>
                <w:rFonts w:asciiTheme="minorHAnsi" w:hAnsiTheme="minorHAnsi" w:cstheme="minorHAnsi"/>
                <w:color w:val="FFFFFF" w:themeColor="background1"/>
                <w:sz w:val="20"/>
                <w:szCs w:val="20"/>
                <w:lang w:eastAsia="en-GB"/>
              </w:rPr>
              <w:t xml:space="preserve">Fleming Fund </w:t>
            </w:r>
            <w:r w:rsidR="005B5B44" w:rsidRPr="00AE14D5">
              <w:rPr>
                <w:rFonts w:asciiTheme="minorHAnsi" w:hAnsiTheme="minorHAnsi" w:cstheme="minorHAnsi"/>
                <w:color w:val="FFFFFF" w:themeColor="background1"/>
                <w:sz w:val="20"/>
                <w:szCs w:val="20"/>
                <w:lang w:eastAsia="en-GB"/>
              </w:rPr>
              <w:t>CG</w:t>
            </w:r>
          </w:p>
        </w:tc>
      </w:tr>
      <w:tr w:rsidR="64C55F6E" w14:paraId="4D698847"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D709292" w14:textId="533B7209" w:rsidR="64C55F6E" w:rsidRPr="00BB4743" w:rsidRDefault="00EE3BF1" w:rsidP="17D077F0">
            <w:pPr>
              <w:rPr>
                <w:rFonts w:asciiTheme="minorHAnsi" w:hAnsiTheme="minorHAnsi" w:cstheme="minorHAnsi"/>
                <w:b/>
                <w:bCs/>
                <w:sz w:val="20"/>
                <w:szCs w:val="20"/>
              </w:rPr>
            </w:pPr>
            <w:r>
              <w:rPr>
                <w:rFonts w:asciiTheme="minorHAnsi" w:eastAsia="Calibri" w:hAnsiTheme="minorHAnsi" w:cstheme="minorHAnsi"/>
                <w:b/>
                <w:bCs/>
                <w:color w:val="000000"/>
                <w:sz w:val="20"/>
                <w:szCs w:val="20"/>
              </w:rPr>
              <w:t xml:space="preserve">Dr </w:t>
            </w:r>
            <w:r w:rsidR="6BF7BE96" w:rsidRPr="00BB4743">
              <w:rPr>
                <w:rFonts w:asciiTheme="minorHAnsi" w:eastAsia="Calibri" w:hAnsiTheme="minorHAnsi" w:cstheme="minorHAnsi"/>
                <w:b/>
                <w:bCs/>
                <w:color w:val="000000"/>
                <w:sz w:val="20"/>
                <w:szCs w:val="20"/>
              </w:rPr>
              <w:t>Josh Francis</w:t>
            </w:r>
          </w:p>
        </w:tc>
        <w:tc>
          <w:tcPr>
            <w:tcW w:w="3221" w:type="dxa"/>
          </w:tcPr>
          <w:p w14:paraId="31BD2EE6" w14:textId="4DC43831" w:rsidR="64C55F6E" w:rsidRPr="00AE14D5" w:rsidRDefault="0CE19476" w:rsidP="00BB4743">
            <w:pPr>
              <w:rPr>
                <w:rFonts w:asciiTheme="minorHAnsi" w:hAnsiTheme="minorHAnsi" w:cstheme="minorHAnsi"/>
                <w:color w:val="000000"/>
                <w:sz w:val="20"/>
                <w:szCs w:val="20"/>
                <w:lang w:eastAsia="en-GB"/>
              </w:rPr>
            </w:pPr>
            <w:r w:rsidRPr="00AE14D5">
              <w:rPr>
                <w:rFonts w:asciiTheme="minorHAnsi" w:hAnsiTheme="minorHAnsi" w:cstheme="minorHAnsi"/>
                <w:color w:val="000000"/>
                <w:sz w:val="20"/>
                <w:szCs w:val="20"/>
                <w:lang w:eastAsia="en-GB"/>
              </w:rPr>
              <w:t>Menzies</w:t>
            </w:r>
          </w:p>
        </w:tc>
        <w:tc>
          <w:tcPr>
            <w:tcW w:w="3221" w:type="dxa"/>
          </w:tcPr>
          <w:p w14:paraId="57873542" w14:textId="1A5B1A7B" w:rsidR="64C55F6E" w:rsidRPr="00AE14D5" w:rsidRDefault="6BF7BE96" w:rsidP="00BB4743">
            <w:pPr>
              <w:rPr>
                <w:rFonts w:asciiTheme="minorHAnsi" w:hAnsiTheme="minorHAnsi" w:cstheme="minorHAnsi"/>
                <w:sz w:val="20"/>
                <w:szCs w:val="20"/>
              </w:rPr>
            </w:pPr>
            <w:r w:rsidRPr="00AE14D5">
              <w:rPr>
                <w:rFonts w:asciiTheme="minorHAnsi" w:eastAsia="Calibri" w:hAnsiTheme="minorHAnsi" w:cstheme="minorHAnsi"/>
                <w:color w:val="000000"/>
                <w:sz w:val="20"/>
                <w:szCs w:val="20"/>
              </w:rPr>
              <w:t>Team Leader of CG1 grant</w:t>
            </w:r>
          </w:p>
        </w:tc>
      </w:tr>
      <w:tr w:rsidR="17D077F0" w14:paraId="02BC9C22"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48F5657C" w14:textId="548299C6" w:rsidR="6BF7BE96" w:rsidRPr="00BB4743" w:rsidRDefault="00EE3BF1" w:rsidP="17D077F0">
            <w:pPr>
              <w:rPr>
                <w:rFonts w:asciiTheme="minorHAnsi" w:hAnsiTheme="minorHAnsi" w:cstheme="minorHAnsi"/>
                <w:b/>
                <w:bCs/>
                <w:sz w:val="20"/>
                <w:szCs w:val="20"/>
              </w:rPr>
            </w:pPr>
            <w:r>
              <w:rPr>
                <w:rFonts w:asciiTheme="minorHAnsi" w:eastAsia="Calibri" w:hAnsiTheme="minorHAnsi" w:cstheme="minorHAnsi"/>
                <w:b/>
                <w:bCs/>
                <w:color w:val="000000"/>
                <w:sz w:val="20"/>
                <w:szCs w:val="20"/>
              </w:rPr>
              <w:t xml:space="preserve">Dr </w:t>
            </w:r>
            <w:r w:rsidR="6BF7BE96" w:rsidRPr="00BB4743">
              <w:rPr>
                <w:rFonts w:asciiTheme="minorHAnsi" w:eastAsia="Calibri" w:hAnsiTheme="minorHAnsi" w:cstheme="minorHAnsi"/>
                <w:b/>
                <w:bCs/>
                <w:color w:val="000000"/>
                <w:sz w:val="20"/>
                <w:szCs w:val="20"/>
              </w:rPr>
              <w:t>Shawn Ting</w:t>
            </w:r>
          </w:p>
        </w:tc>
        <w:tc>
          <w:tcPr>
            <w:tcW w:w="3131" w:type="dxa"/>
          </w:tcPr>
          <w:p w14:paraId="73E3FE4D" w14:textId="0CB12FAF" w:rsidR="6BF7BE96" w:rsidRPr="00AE14D5" w:rsidRDefault="6BF7BE96" w:rsidP="00BB4743">
            <w:pPr>
              <w:rPr>
                <w:rFonts w:asciiTheme="minorHAnsi" w:hAnsiTheme="minorHAnsi" w:cstheme="minorHAnsi"/>
                <w:sz w:val="20"/>
                <w:szCs w:val="20"/>
              </w:rPr>
            </w:pPr>
            <w:r w:rsidRPr="00AE14D5">
              <w:rPr>
                <w:rFonts w:asciiTheme="minorHAnsi" w:eastAsia="Calibri" w:hAnsiTheme="minorHAnsi" w:cstheme="minorHAnsi"/>
                <w:color w:val="000000"/>
                <w:sz w:val="20"/>
                <w:szCs w:val="20"/>
              </w:rPr>
              <w:t>Menzies</w:t>
            </w:r>
          </w:p>
        </w:tc>
        <w:tc>
          <w:tcPr>
            <w:tcW w:w="3130" w:type="dxa"/>
          </w:tcPr>
          <w:p w14:paraId="616EBB1D" w14:textId="6D39E205" w:rsidR="6BF7BE96" w:rsidRPr="00AE14D5" w:rsidRDefault="00265143" w:rsidP="00BB4743">
            <w:pPr>
              <w:rPr>
                <w:rFonts w:asciiTheme="minorHAnsi" w:hAnsiTheme="minorHAnsi" w:cstheme="minorHAnsi"/>
                <w:sz w:val="20"/>
                <w:szCs w:val="20"/>
              </w:rPr>
            </w:pPr>
            <w:r w:rsidRPr="00AE14D5">
              <w:rPr>
                <w:rFonts w:asciiTheme="minorHAnsi" w:eastAsia="Calibri" w:hAnsiTheme="minorHAnsi" w:cstheme="minorHAnsi"/>
                <w:color w:val="000000"/>
                <w:sz w:val="20"/>
                <w:szCs w:val="20"/>
              </w:rPr>
              <w:t>AH</w:t>
            </w:r>
            <w:r w:rsidR="6BF7BE96" w:rsidRPr="00AE14D5">
              <w:rPr>
                <w:rFonts w:asciiTheme="minorHAnsi" w:eastAsia="Calibri" w:hAnsiTheme="minorHAnsi" w:cstheme="minorHAnsi"/>
                <w:color w:val="000000"/>
                <w:sz w:val="20"/>
                <w:szCs w:val="20"/>
              </w:rPr>
              <w:t xml:space="preserve"> technical lead</w:t>
            </w:r>
          </w:p>
        </w:tc>
      </w:tr>
      <w:tr w:rsidR="17D077F0" w14:paraId="68FE1390"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shd w:val="clear" w:color="auto" w:fill="96C286" w:themeFill="text2" w:themeFillTint="99"/>
          </w:tcPr>
          <w:p w14:paraId="62AAA31B" w14:textId="6777FC96" w:rsidR="3AE9FD69" w:rsidRPr="00AE14D5" w:rsidRDefault="005B5B44" w:rsidP="17D077F0">
            <w:pPr>
              <w:rPr>
                <w:rFonts w:asciiTheme="minorHAnsi" w:hAnsiTheme="minorHAnsi" w:cstheme="minorHAnsi"/>
                <w:color w:val="FFFFFF" w:themeColor="background1"/>
                <w:sz w:val="20"/>
                <w:szCs w:val="20"/>
                <w:lang w:eastAsia="en-GB"/>
              </w:rPr>
            </w:pPr>
            <w:r w:rsidRPr="00AE14D5">
              <w:rPr>
                <w:rFonts w:asciiTheme="minorHAnsi" w:hAnsiTheme="minorHAnsi" w:cstheme="minorHAnsi"/>
                <w:color w:val="FFFFFF" w:themeColor="background1"/>
                <w:sz w:val="20"/>
                <w:szCs w:val="20"/>
                <w:lang w:eastAsia="en-GB"/>
              </w:rPr>
              <w:t>MA</w:t>
            </w:r>
          </w:p>
        </w:tc>
        <w:tc>
          <w:tcPr>
            <w:tcW w:w="3131" w:type="dxa"/>
            <w:shd w:val="clear" w:color="auto" w:fill="96C286" w:themeFill="text2" w:themeFillTint="99"/>
          </w:tcPr>
          <w:p w14:paraId="60A5CFD8" w14:textId="4352A463" w:rsidR="17D077F0" w:rsidRPr="00AE14D5" w:rsidRDefault="17D077F0" w:rsidP="00BB4743">
            <w:pPr>
              <w:rPr>
                <w:rFonts w:asciiTheme="minorHAnsi" w:eastAsia="Calibri" w:hAnsiTheme="minorHAnsi" w:cstheme="minorHAnsi"/>
                <w:color w:val="000000"/>
                <w:sz w:val="20"/>
                <w:szCs w:val="20"/>
              </w:rPr>
            </w:pPr>
          </w:p>
        </w:tc>
        <w:tc>
          <w:tcPr>
            <w:tcW w:w="3130" w:type="dxa"/>
            <w:shd w:val="clear" w:color="auto" w:fill="96C286" w:themeFill="text2" w:themeFillTint="99"/>
          </w:tcPr>
          <w:p w14:paraId="3E499917" w14:textId="557CEE3B" w:rsidR="17D077F0" w:rsidRPr="00AE14D5" w:rsidRDefault="17D077F0" w:rsidP="00BB4743">
            <w:pPr>
              <w:rPr>
                <w:rFonts w:asciiTheme="minorHAnsi" w:eastAsia="Calibri" w:hAnsiTheme="minorHAnsi" w:cstheme="minorHAnsi"/>
                <w:color w:val="000000"/>
                <w:sz w:val="20"/>
                <w:szCs w:val="20"/>
              </w:rPr>
            </w:pPr>
          </w:p>
        </w:tc>
      </w:tr>
      <w:tr w:rsidR="17D077F0" w14:paraId="093B38FD"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14A43760" w14:textId="578045F2" w:rsidR="3AE9FD69" w:rsidRPr="00BB4743" w:rsidRDefault="3AE9FD69" w:rsidP="17D077F0">
            <w:pPr>
              <w:rPr>
                <w:rFonts w:asciiTheme="minorHAnsi" w:hAnsiTheme="minorHAnsi" w:cstheme="minorHAnsi"/>
                <w:b/>
                <w:bCs/>
                <w:sz w:val="20"/>
                <w:szCs w:val="20"/>
              </w:rPr>
            </w:pPr>
            <w:r w:rsidRPr="00BB4743">
              <w:rPr>
                <w:rFonts w:asciiTheme="minorHAnsi" w:eastAsia="Calibri" w:hAnsiTheme="minorHAnsi" w:cstheme="minorHAnsi"/>
                <w:b/>
                <w:bCs/>
                <w:color w:val="000000"/>
                <w:sz w:val="20"/>
                <w:szCs w:val="20"/>
              </w:rPr>
              <w:t>Pr</w:t>
            </w:r>
            <w:r w:rsidR="00D803C9">
              <w:rPr>
                <w:rFonts w:asciiTheme="minorHAnsi" w:eastAsia="Calibri" w:hAnsiTheme="minorHAnsi" w:cstheme="minorHAnsi"/>
                <w:b/>
                <w:bCs/>
                <w:color w:val="000000"/>
                <w:sz w:val="20"/>
                <w:szCs w:val="20"/>
              </w:rPr>
              <w:t>ofessor</w:t>
            </w:r>
            <w:r w:rsidRPr="00BB4743">
              <w:rPr>
                <w:rFonts w:asciiTheme="minorHAnsi" w:eastAsia="Calibri" w:hAnsiTheme="minorHAnsi" w:cstheme="minorHAnsi"/>
                <w:b/>
                <w:bCs/>
                <w:color w:val="000000"/>
                <w:sz w:val="20"/>
                <w:szCs w:val="20"/>
              </w:rPr>
              <w:t xml:space="preserve"> Stanley Fenwick</w:t>
            </w:r>
          </w:p>
        </w:tc>
        <w:tc>
          <w:tcPr>
            <w:tcW w:w="3131" w:type="dxa"/>
          </w:tcPr>
          <w:p w14:paraId="5E62E7CE" w14:textId="0CDB80B7" w:rsidR="3AE9FD69" w:rsidRPr="00AE14D5" w:rsidRDefault="005B5B44" w:rsidP="00BB4743">
            <w:pPr>
              <w:rPr>
                <w:rFonts w:asciiTheme="minorHAnsi" w:eastAsia="Calibri" w:hAnsiTheme="minorHAnsi" w:cstheme="minorHAnsi"/>
                <w:color w:val="000000"/>
                <w:sz w:val="20"/>
                <w:szCs w:val="20"/>
              </w:rPr>
            </w:pPr>
            <w:r w:rsidRPr="00AE14D5">
              <w:rPr>
                <w:rFonts w:asciiTheme="minorHAnsi" w:eastAsia="Calibri" w:hAnsiTheme="minorHAnsi" w:cstheme="minorHAnsi"/>
                <w:color w:val="000000"/>
                <w:sz w:val="20"/>
                <w:szCs w:val="20"/>
              </w:rPr>
              <w:t>MA</w:t>
            </w:r>
          </w:p>
        </w:tc>
        <w:tc>
          <w:tcPr>
            <w:tcW w:w="3130" w:type="dxa"/>
          </w:tcPr>
          <w:p w14:paraId="5547D7C9" w14:textId="7C183FAE" w:rsidR="3AE9FD69" w:rsidRPr="00AE14D5" w:rsidRDefault="3AE9FD69" w:rsidP="00BB4743">
            <w:pPr>
              <w:rPr>
                <w:rFonts w:asciiTheme="minorHAnsi" w:eastAsia="Calibri" w:hAnsiTheme="minorHAnsi" w:cstheme="minorHAnsi"/>
                <w:color w:val="000000"/>
                <w:sz w:val="20"/>
                <w:szCs w:val="20"/>
              </w:rPr>
            </w:pPr>
            <w:r w:rsidRPr="00AE14D5">
              <w:rPr>
                <w:rFonts w:asciiTheme="minorHAnsi" w:eastAsia="Calibri" w:hAnsiTheme="minorHAnsi" w:cstheme="minorHAnsi"/>
                <w:color w:val="000000"/>
                <w:sz w:val="20"/>
                <w:szCs w:val="20"/>
              </w:rPr>
              <w:t>Regional Coordinator</w:t>
            </w:r>
          </w:p>
        </w:tc>
      </w:tr>
      <w:tr w:rsidR="64C55F6E" w14:paraId="102BFAFB"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42F18385" w14:textId="77777777" w:rsidR="64C55F6E" w:rsidRPr="00AE14D5" w:rsidRDefault="64C55F6E" w:rsidP="000B3487">
            <w:pPr>
              <w:rPr>
                <w:rFonts w:asciiTheme="minorHAnsi" w:hAnsiTheme="minorHAnsi" w:cstheme="minorHAnsi"/>
                <w:sz w:val="20"/>
                <w:szCs w:val="20"/>
              </w:rPr>
            </w:pPr>
            <w:r w:rsidRPr="00AE14D5">
              <w:rPr>
                <w:rFonts w:asciiTheme="minorHAnsi" w:hAnsiTheme="minorHAnsi" w:cstheme="minorHAnsi"/>
                <w:color w:val="FFFFFF" w:themeColor="background1"/>
                <w:sz w:val="20"/>
                <w:szCs w:val="20"/>
                <w:lang w:eastAsia="en-GB"/>
              </w:rPr>
              <w:t>AMRCC Members</w:t>
            </w:r>
          </w:p>
        </w:tc>
      </w:tr>
      <w:tr w:rsidR="64C55F6E" w14:paraId="7DC2CF6D"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722FEA5D" w14:textId="4215A386" w:rsidR="64C55F6E" w:rsidRPr="00BB4743" w:rsidRDefault="6D45E7F4" w:rsidP="17D077F0">
            <w:pPr>
              <w:spacing w:line="259" w:lineRule="auto"/>
              <w:rPr>
                <w:rFonts w:asciiTheme="minorHAnsi" w:hAnsiTheme="minorHAnsi" w:cstheme="minorHAnsi"/>
                <w:b/>
                <w:bCs/>
                <w:sz w:val="20"/>
                <w:szCs w:val="20"/>
              </w:rPr>
            </w:pPr>
            <w:r w:rsidRPr="00BB4743">
              <w:rPr>
                <w:rFonts w:asciiTheme="minorHAnsi" w:eastAsia="Calibri" w:hAnsiTheme="minorHAnsi" w:cstheme="minorHAnsi"/>
                <w:b/>
                <w:bCs/>
                <w:color w:val="000000"/>
                <w:sz w:val="20"/>
                <w:szCs w:val="20"/>
              </w:rPr>
              <w:t>Dr Joanita Jong</w:t>
            </w:r>
          </w:p>
        </w:tc>
        <w:tc>
          <w:tcPr>
            <w:tcW w:w="3221" w:type="dxa"/>
          </w:tcPr>
          <w:p w14:paraId="77C37584" w14:textId="0A302F7D" w:rsidR="64C55F6E" w:rsidRPr="00AE14D5" w:rsidRDefault="6D45E7F4"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Ministry of Agriculture and Fisheries (MAF)</w:t>
            </w:r>
          </w:p>
        </w:tc>
        <w:tc>
          <w:tcPr>
            <w:tcW w:w="3221" w:type="dxa"/>
          </w:tcPr>
          <w:p w14:paraId="2A1A5728" w14:textId="1908CF6B" w:rsidR="64C55F6E" w:rsidRPr="00AE14D5" w:rsidRDefault="6D45E7F4"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National AMRCC member</w:t>
            </w:r>
          </w:p>
        </w:tc>
      </w:tr>
      <w:tr w:rsidR="64C55F6E" w14:paraId="1BB0E2FF"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04FB5C01" w14:textId="77777777" w:rsidR="64C55F6E" w:rsidRPr="00AE14D5" w:rsidRDefault="64C55F6E" w:rsidP="000B3487">
            <w:pPr>
              <w:rPr>
                <w:rFonts w:asciiTheme="minorHAnsi" w:hAnsiTheme="minorHAnsi" w:cstheme="minorHAnsi"/>
                <w:color w:val="auto"/>
                <w:sz w:val="20"/>
                <w:szCs w:val="20"/>
              </w:rPr>
            </w:pPr>
            <w:r w:rsidRPr="00AE14D5">
              <w:rPr>
                <w:rFonts w:asciiTheme="minorHAnsi" w:hAnsiTheme="minorHAnsi" w:cstheme="minorHAnsi"/>
                <w:color w:val="FFFFFF" w:themeColor="background1"/>
                <w:sz w:val="20"/>
                <w:szCs w:val="20"/>
                <w:lang w:eastAsia="en-GB"/>
              </w:rPr>
              <w:t>Other decision makers</w:t>
            </w:r>
          </w:p>
        </w:tc>
      </w:tr>
      <w:tr w:rsidR="64C55F6E" w14:paraId="1B0967C5"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1571A3FF" w14:textId="0C259133" w:rsidR="64C55F6E" w:rsidRPr="00BB4743" w:rsidRDefault="7FF578FE" w:rsidP="17D077F0">
            <w:pPr>
              <w:spacing w:line="259" w:lineRule="auto"/>
              <w:rPr>
                <w:rFonts w:asciiTheme="minorHAnsi" w:hAnsiTheme="minorHAnsi" w:cstheme="minorHAnsi"/>
                <w:b/>
                <w:bCs/>
                <w:sz w:val="20"/>
                <w:szCs w:val="20"/>
              </w:rPr>
            </w:pPr>
            <w:r w:rsidRPr="00BB4743">
              <w:rPr>
                <w:rFonts w:asciiTheme="minorHAnsi" w:eastAsia="Calibri" w:hAnsiTheme="minorHAnsi" w:cstheme="minorHAnsi"/>
                <w:b/>
                <w:bCs/>
                <w:color w:val="000000"/>
                <w:sz w:val="20"/>
                <w:szCs w:val="20"/>
              </w:rPr>
              <w:t>Suzana Soares Hendriques</w:t>
            </w:r>
          </w:p>
        </w:tc>
        <w:tc>
          <w:tcPr>
            <w:tcW w:w="3221" w:type="dxa"/>
          </w:tcPr>
          <w:p w14:paraId="02A05CCF" w14:textId="59D24AB3" w:rsidR="64C55F6E" w:rsidRPr="00AE14D5" w:rsidRDefault="7FF578FE"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National Directorate for Pharmacy and Medicine - MoH</w:t>
            </w:r>
          </w:p>
        </w:tc>
        <w:tc>
          <w:tcPr>
            <w:tcW w:w="3221" w:type="dxa"/>
          </w:tcPr>
          <w:p w14:paraId="22100CB1" w14:textId="4D9FED6D" w:rsidR="64C55F6E" w:rsidRPr="00AE14D5" w:rsidRDefault="7FF578FE" w:rsidP="00BB4743">
            <w:pPr>
              <w:rPr>
                <w:rFonts w:asciiTheme="minorHAnsi" w:hAnsiTheme="minorHAnsi" w:cstheme="minorHAnsi"/>
                <w:color w:val="auto"/>
                <w:sz w:val="20"/>
                <w:szCs w:val="20"/>
              </w:rPr>
            </w:pPr>
            <w:r w:rsidRPr="00AE14D5">
              <w:rPr>
                <w:rFonts w:asciiTheme="minorHAnsi" w:hAnsiTheme="minorHAnsi" w:cstheme="minorHAnsi"/>
                <w:color w:val="auto"/>
                <w:sz w:val="20"/>
                <w:szCs w:val="20"/>
              </w:rPr>
              <w:t>Lead on drafting the NAP</w:t>
            </w:r>
          </w:p>
        </w:tc>
      </w:tr>
      <w:tr w:rsidR="17D077F0" w14:paraId="7C2B7621"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16773506" w14:textId="39868EAB" w:rsidR="7FF578FE" w:rsidRPr="00BB4743" w:rsidRDefault="7FF578FE" w:rsidP="17D077F0">
            <w:pPr>
              <w:spacing w:line="259" w:lineRule="auto"/>
              <w:rPr>
                <w:rFonts w:asciiTheme="minorHAnsi" w:hAnsiTheme="minorHAnsi" w:cstheme="minorHAnsi"/>
                <w:b/>
                <w:bCs/>
                <w:sz w:val="20"/>
                <w:szCs w:val="20"/>
              </w:rPr>
            </w:pPr>
            <w:r w:rsidRPr="00BB4743">
              <w:rPr>
                <w:rFonts w:asciiTheme="minorHAnsi" w:eastAsia="Calibri" w:hAnsiTheme="minorHAnsi" w:cstheme="minorHAnsi"/>
                <w:b/>
                <w:bCs/>
                <w:color w:val="000000"/>
                <w:sz w:val="20"/>
                <w:szCs w:val="20"/>
              </w:rPr>
              <w:t>Dr Joanita Jong</w:t>
            </w:r>
            <w:r w:rsidR="2783771A" w:rsidRPr="00BB4743">
              <w:rPr>
                <w:rFonts w:asciiTheme="minorHAnsi" w:eastAsia="Calibri" w:hAnsiTheme="minorHAnsi" w:cstheme="minorHAnsi"/>
                <w:b/>
                <w:bCs/>
                <w:color w:val="000000"/>
                <w:sz w:val="20"/>
                <w:szCs w:val="20"/>
              </w:rPr>
              <w:t>*</w:t>
            </w:r>
          </w:p>
        </w:tc>
        <w:tc>
          <w:tcPr>
            <w:tcW w:w="3131" w:type="dxa"/>
          </w:tcPr>
          <w:p w14:paraId="0F228A2B" w14:textId="339EB084" w:rsidR="7FF578FE" w:rsidRPr="00AE14D5" w:rsidRDefault="7FF578FE"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Ministry of Agriculture and Fisheries (MAF)</w:t>
            </w:r>
          </w:p>
        </w:tc>
        <w:tc>
          <w:tcPr>
            <w:tcW w:w="3130" w:type="dxa"/>
          </w:tcPr>
          <w:p w14:paraId="3419B5A0" w14:textId="33890DD6" w:rsidR="7FF578FE" w:rsidRPr="00AE14D5" w:rsidRDefault="7FF578FE" w:rsidP="00BB4743">
            <w:pPr>
              <w:rPr>
                <w:rFonts w:asciiTheme="minorHAnsi" w:hAnsiTheme="minorHAnsi" w:cstheme="minorHAnsi"/>
                <w:color w:val="auto"/>
                <w:sz w:val="20"/>
                <w:szCs w:val="20"/>
              </w:rPr>
            </w:pPr>
            <w:r w:rsidRPr="00AE14D5">
              <w:rPr>
                <w:rFonts w:asciiTheme="minorHAnsi" w:hAnsiTheme="minorHAnsi" w:cstheme="minorHAnsi"/>
                <w:color w:val="auto"/>
                <w:sz w:val="20"/>
                <w:szCs w:val="20"/>
              </w:rPr>
              <w:t>Lead on drafting the NAP</w:t>
            </w:r>
          </w:p>
        </w:tc>
      </w:tr>
      <w:tr w:rsidR="64C55F6E" w14:paraId="790891C1"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6FDF9775" w14:textId="465C35AD" w:rsidR="64C55F6E" w:rsidRPr="00AE14D5" w:rsidRDefault="64C55F6E" w:rsidP="000B3487">
            <w:pPr>
              <w:rPr>
                <w:rFonts w:asciiTheme="minorHAnsi" w:hAnsiTheme="minorHAnsi" w:cstheme="minorHAnsi"/>
                <w:color w:val="FFFFFF" w:themeColor="background1"/>
                <w:sz w:val="20"/>
                <w:szCs w:val="20"/>
                <w:lang w:eastAsia="en-GB"/>
              </w:rPr>
            </w:pPr>
            <w:r w:rsidRPr="00AE14D5">
              <w:rPr>
                <w:rFonts w:asciiTheme="minorHAnsi" w:hAnsiTheme="minorHAnsi" w:cstheme="minorHAnsi"/>
                <w:color w:val="FFFFFF" w:themeColor="background1"/>
                <w:sz w:val="20"/>
                <w:szCs w:val="20"/>
                <w:lang w:eastAsia="en-GB"/>
              </w:rPr>
              <w:t>Professional Fellows HH</w:t>
            </w:r>
          </w:p>
        </w:tc>
      </w:tr>
      <w:tr w:rsidR="64C55F6E" w14:paraId="5FAA1A86"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shd w:val="clear" w:color="auto" w:fill="auto"/>
          </w:tcPr>
          <w:p w14:paraId="009BF290" w14:textId="5275D5DE" w:rsidR="64C55F6E" w:rsidRPr="00BB4743" w:rsidRDefault="331423CB" w:rsidP="17D077F0">
            <w:pPr>
              <w:rPr>
                <w:rFonts w:asciiTheme="minorHAnsi" w:hAnsiTheme="minorHAnsi" w:cstheme="minorHAnsi"/>
                <w:b/>
                <w:bCs/>
                <w:sz w:val="20"/>
                <w:szCs w:val="20"/>
                <w:lang w:val="pt-PT"/>
              </w:rPr>
            </w:pPr>
            <w:r w:rsidRPr="00BB4743">
              <w:rPr>
                <w:rFonts w:asciiTheme="minorHAnsi" w:eastAsia="Calibri" w:hAnsiTheme="minorHAnsi" w:cstheme="minorHAnsi"/>
                <w:b/>
                <w:bCs/>
                <w:color w:val="000000"/>
                <w:sz w:val="20"/>
                <w:szCs w:val="20"/>
                <w:lang w:val="pt-PT"/>
              </w:rPr>
              <w:t>Dr Helio Sarmento Freitas Guterres</w:t>
            </w:r>
          </w:p>
        </w:tc>
        <w:tc>
          <w:tcPr>
            <w:tcW w:w="3221" w:type="dxa"/>
            <w:shd w:val="clear" w:color="auto" w:fill="auto"/>
          </w:tcPr>
          <w:p w14:paraId="76E510D9" w14:textId="69EC0981" w:rsidR="64C55F6E" w:rsidRPr="0003374C" w:rsidRDefault="331423CB" w:rsidP="00BB4743">
            <w:pPr>
              <w:spacing w:line="259" w:lineRule="auto"/>
              <w:rPr>
                <w:rFonts w:asciiTheme="minorHAnsi" w:hAnsiTheme="minorHAnsi" w:cstheme="minorHAnsi"/>
                <w:sz w:val="20"/>
                <w:szCs w:val="20"/>
                <w:lang w:val="es-ES"/>
              </w:rPr>
            </w:pPr>
            <w:r w:rsidRPr="0003374C">
              <w:rPr>
                <w:rFonts w:asciiTheme="minorHAnsi" w:eastAsia="Calibri" w:hAnsiTheme="minorHAnsi" w:cstheme="minorHAnsi"/>
                <w:color w:val="000000"/>
                <w:sz w:val="20"/>
                <w:szCs w:val="20"/>
                <w:lang w:val="es-ES"/>
              </w:rPr>
              <w:t xml:space="preserve">Guido Valadares </w:t>
            </w:r>
            <w:r w:rsidR="00EA0123" w:rsidRPr="0003374C">
              <w:rPr>
                <w:rFonts w:asciiTheme="minorHAnsi" w:eastAsia="Calibri" w:hAnsiTheme="minorHAnsi" w:cstheme="minorHAnsi"/>
                <w:color w:val="000000"/>
                <w:sz w:val="20"/>
                <w:szCs w:val="20"/>
                <w:lang w:val="es-ES"/>
              </w:rPr>
              <w:t xml:space="preserve">National Hospital </w:t>
            </w:r>
            <w:r w:rsidRPr="0003374C">
              <w:rPr>
                <w:rFonts w:asciiTheme="minorHAnsi" w:eastAsia="Calibri" w:hAnsiTheme="minorHAnsi" w:cstheme="minorHAnsi"/>
                <w:color w:val="000000"/>
                <w:sz w:val="20"/>
                <w:szCs w:val="20"/>
                <w:lang w:val="es-ES"/>
              </w:rPr>
              <w:t>(HNGV) - MoH</w:t>
            </w:r>
          </w:p>
        </w:tc>
        <w:tc>
          <w:tcPr>
            <w:tcW w:w="3221" w:type="dxa"/>
            <w:shd w:val="clear" w:color="auto" w:fill="auto"/>
          </w:tcPr>
          <w:p w14:paraId="438A50E5" w14:textId="54558701" w:rsidR="64C55F6E" w:rsidRPr="00AE14D5" w:rsidRDefault="331423CB" w:rsidP="00BB4743">
            <w:pPr>
              <w:rPr>
                <w:rFonts w:asciiTheme="minorHAnsi" w:hAnsiTheme="minorHAnsi" w:cstheme="minorHAnsi"/>
                <w:sz w:val="20"/>
                <w:szCs w:val="20"/>
              </w:rPr>
            </w:pPr>
            <w:r w:rsidRPr="00AE14D5">
              <w:rPr>
                <w:rFonts w:asciiTheme="minorHAnsi" w:eastAsia="Calibri" w:hAnsiTheme="minorHAnsi" w:cstheme="minorHAnsi"/>
                <w:color w:val="000000"/>
                <w:sz w:val="20"/>
                <w:szCs w:val="20"/>
              </w:rPr>
              <w:t>Human Health AMR Clinician</w:t>
            </w:r>
          </w:p>
        </w:tc>
      </w:tr>
      <w:tr w:rsidR="17D077F0" w14:paraId="32B38AC9"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shd w:val="clear" w:color="auto" w:fill="auto"/>
          </w:tcPr>
          <w:p w14:paraId="2D62CC37" w14:textId="684AF69F" w:rsidR="331423CB" w:rsidRPr="00BB4743" w:rsidRDefault="331423CB" w:rsidP="17D077F0">
            <w:pPr>
              <w:rPr>
                <w:rFonts w:asciiTheme="minorHAnsi" w:eastAsia="Calibri" w:hAnsiTheme="minorHAnsi" w:cstheme="minorHAnsi"/>
                <w:b/>
                <w:bCs/>
                <w:color w:val="000000"/>
                <w:sz w:val="20"/>
                <w:szCs w:val="20"/>
              </w:rPr>
            </w:pPr>
            <w:r w:rsidRPr="00BB4743">
              <w:rPr>
                <w:rFonts w:asciiTheme="minorHAnsi" w:eastAsia="Calibri" w:hAnsiTheme="minorHAnsi" w:cstheme="minorHAnsi"/>
                <w:b/>
                <w:bCs/>
                <w:color w:val="000000"/>
                <w:sz w:val="20"/>
                <w:szCs w:val="20"/>
              </w:rPr>
              <w:t>Suzana Soares Hendriques</w:t>
            </w:r>
            <w:r w:rsidR="1D77857D" w:rsidRPr="00BB4743">
              <w:rPr>
                <w:rFonts w:asciiTheme="minorHAnsi" w:eastAsia="Calibri" w:hAnsiTheme="minorHAnsi" w:cstheme="minorHAnsi"/>
                <w:b/>
                <w:bCs/>
                <w:color w:val="000000"/>
                <w:sz w:val="20"/>
                <w:szCs w:val="20"/>
              </w:rPr>
              <w:t>*</w:t>
            </w:r>
          </w:p>
        </w:tc>
        <w:tc>
          <w:tcPr>
            <w:tcW w:w="3131" w:type="dxa"/>
            <w:shd w:val="clear" w:color="auto" w:fill="auto"/>
          </w:tcPr>
          <w:p w14:paraId="6242BBCD" w14:textId="620F7F7E" w:rsidR="331423CB" w:rsidRPr="00AE14D5" w:rsidRDefault="331423CB"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National Directorate for Pharmacy and Medicine - MoH</w:t>
            </w:r>
          </w:p>
        </w:tc>
        <w:tc>
          <w:tcPr>
            <w:tcW w:w="3130" w:type="dxa"/>
            <w:shd w:val="clear" w:color="auto" w:fill="auto"/>
          </w:tcPr>
          <w:p w14:paraId="21C4E142" w14:textId="2735F2C1" w:rsidR="331423CB" w:rsidRPr="00AE14D5" w:rsidRDefault="331423CB" w:rsidP="00BB4743">
            <w:pPr>
              <w:rPr>
                <w:rFonts w:asciiTheme="minorHAnsi" w:hAnsiTheme="minorHAnsi" w:cstheme="minorHAnsi"/>
                <w:sz w:val="20"/>
                <w:szCs w:val="20"/>
              </w:rPr>
            </w:pPr>
            <w:r w:rsidRPr="00AE14D5">
              <w:rPr>
                <w:rFonts w:asciiTheme="minorHAnsi" w:eastAsia="Calibri" w:hAnsiTheme="minorHAnsi" w:cstheme="minorHAnsi"/>
                <w:color w:val="000000"/>
                <w:sz w:val="20"/>
                <w:szCs w:val="20"/>
              </w:rPr>
              <w:t>Human Health AMU/C Surveillance fellows</w:t>
            </w:r>
          </w:p>
        </w:tc>
      </w:tr>
      <w:tr w:rsidR="64C55F6E" w14:paraId="42FBC451"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0C01DF91" w14:textId="273313FF" w:rsidR="64C55F6E" w:rsidRPr="00AE14D5" w:rsidRDefault="64C55F6E" w:rsidP="000B3487">
            <w:pPr>
              <w:rPr>
                <w:rFonts w:asciiTheme="minorHAnsi" w:hAnsiTheme="minorHAnsi" w:cstheme="minorHAnsi"/>
                <w:color w:val="FFFFFF" w:themeColor="background1"/>
                <w:sz w:val="20"/>
                <w:szCs w:val="20"/>
              </w:rPr>
            </w:pPr>
            <w:r w:rsidRPr="00AE14D5">
              <w:rPr>
                <w:rFonts w:asciiTheme="minorHAnsi" w:hAnsiTheme="minorHAnsi" w:cstheme="minorHAnsi"/>
                <w:color w:val="FFFFFF" w:themeColor="background1"/>
                <w:sz w:val="20"/>
                <w:szCs w:val="20"/>
              </w:rPr>
              <w:t>AMR Focal Point</w:t>
            </w:r>
          </w:p>
        </w:tc>
      </w:tr>
      <w:tr w:rsidR="64C55F6E" w14:paraId="7A7EE2BB"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7DAE4C64" w14:textId="36BE34E2" w:rsidR="64C55F6E" w:rsidRPr="00BB4743" w:rsidRDefault="225FF1D1" w:rsidP="17D077F0">
            <w:pPr>
              <w:spacing w:line="259" w:lineRule="auto"/>
              <w:rPr>
                <w:rFonts w:asciiTheme="minorHAnsi" w:eastAsia="Calibri" w:hAnsiTheme="minorHAnsi" w:cstheme="minorHAnsi"/>
                <w:b/>
                <w:bCs/>
                <w:color w:val="000000"/>
                <w:sz w:val="20"/>
                <w:szCs w:val="20"/>
              </w:rPr>
            </w:pPr>
            <w:r w:rsidRPr="00BB4743">
              <w:rPr>
                <w:rFonts w:asciiTheme="minorHAnsi" w:eastAsia="Calibri" w:hAnsiTheme="minorHAnsi" w:cstheme="minorHAnsi"/>
                <w:b/>
                <w:bCs/>
                <w:color w:val="000000"/>
                <w:sz w:val="20"/>
                <w:szCs w:val="20"/>
              </w:rPr>
              <w:t>Suzana Soares Henriques</w:t>
            </w:r>
            <w:r w:rsidR="75A66FFA" w:rsidRPr="00BB4743">
              <w:rPr>
                <w:rFonts w:asciiTheme="minorHAnsi" w:eastAsia="Calibri" w:hAnsiTheme="minorHAnsi" w:cstheme="minorHAnsi"/>
                <w:b/>
                <w:bCs/>
                <w:color w:val="000000"/>
                <w:sz w:val="20"/>
                <w:szCs w:val="20"/>
              </w:rPr>
              <w:t>**</w:t>
            </w:r>
          </w:p>
        </w:tc>
        <w:tc>
          <w:tcPr>
            <w:tcW w:w="3221" w:type="dxa"/>
          </w:tcPr>
          <w:p w14:paraId="451A53FB" w14:textId="5EA2F2DC" w:rsidR="64C55F6E" w:rsidRPr="00AE14D5" w:rsidRDefault="225FF1D1"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Ministry of Health (MoH)</w:t>
            </w:r>
          </w:p>
        </w:tc>
        <w:tc>
          <w:tcPr>
            <w:tcW w:w="3221" w:type="dxa"/>
          </w:tcPr>
          <w:p w14:paraId="0958D771" w14:textId="0713F01B" w:rsidR="64C55F6E" w:rsidRPr="00AE14D5" w:rsidRDefault="225FF1D1" w:rsidP="00BB4743">
            <w:pPr>
              <w:rPr>
                <w:rFonts w:asciiTheme="minorHAnsi" w:hAnsiTheme="minorHAnsi" w:cstheme="minorHAnsi"/>
                <w:sz w:val="20"/>
                <w:szCs w:val="20"/>
              </w:rPr>
            </w:pPr>
            <w:r w:rsidRPr="00AE14D5">
              <w:rPr>
                <w:rFonts w:asciiTheme="minorHAnsi" w:eastAsia="Calibri" w:hAnsiTheme="minorHAnsi" w:cstheme="minorHAnsi"/>
                <w:color w:val="000000"/>
                <w:sz w:val="20"/>
                <w:szCs w:val="20"/>
              </w:rPr>
              <w:t>HH AMR focal point, Directorate for Pharmacy and Medicines</w:t>
            </w:r>
          </w:p>
        </w:tc>
      </w:tr>
      <w:tr w:rsidR="17D077F0" w14:paraId="7339B7C5"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37B59BEB" w14:textId="3E924FF3" w:rsidR="225FF1D1" w:rsidRPr="00BB4743" w:rsidRDefault="225FF1D1" w:rsidP="17D077F0">
            <w:pPr>
              <w:spacing w:line="259" w:lineRule="auto"/>
              <w:rPr>
                <w:rFonts w:asciiTheme="minorHAnsi" w:eastAsia="Calibri" w:hAnsiTheme="minorHAnsi" w:cstheme="minorHAnsi"/>
                <w:b/>
                <w:bCs/>
                <w:color w:val="000000"/>
                <w:sz w:val="20"/>
                <w:szCs w:val="20"/>
              </w:rPr>
            </w:pPr>
            <w:r w:rsidRPr="00BB4743">
              <w:rPr>
                <w:rFonts w:asciiTheme="minorHAnsi" w:eastAsia="Calibri" w:hAnsiTheme="minorHAnsi" w:cstheme="minorHAnsi"/>
                <w:b/>
                <w:bCs/>
                <w:color w:val="000000"/>
                <w:sz w:val="20"/>
                <w:szCs w:val="20"/>
              </w:rPr>
              <w:t>Dr Joanita Jong</w:t>
            </w:r>
            <w:r w:rsidR="7EDE0358" w:rsidRPr="00BB4743">
              <w:rPr>
                <w:rFonts w:asciiTheme="minorHAnsi" w:eastAsia="Calibri" w:hAnsiTheme="minorHAnsi" w:cstheme="minorHAnsi"/>
                <w:b/>
                <w:bCs/>
                <w:color w:val="000000"/>
                <w:sz w:val="20"/>
                <w:szCs w:val="20"/>
              </w:rPr>
              <w:t>**</w:t>
            </w:r>
          </w:p>
        </w:tc>
        <w:tc>
          <w:tcPr>
            <w:tcW w:w="3131" w:type="dxa"/>
          </w:tcPr>
          <w:p w14:paraId="2A6E711E" w14:textId="6FA652C6" w:rsidR="225FF1D1" w:rsidRPr="00AE14D5" w:rsidRDefault="225FF1D1"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Ministry of Agriculture and Fisheries (MAF)</w:t>
            </w:r>
          </w:p>
        </w:tc>
        <w:tc>
          <w:tcPr>
            <w:tcW w:w="3130" w:type="dxa"/>
          </w:tcPr>
          <w:p w14:paraId="2D7B0C75" w14:textId="6006439F" w:rsidR="225FF1D1" w:rsidRPr="00AE14D5" w:rsidRDefault="225FF1D1" w:rsidP="00BB4743">
            <w:pPr>
              <w:rPr>
                <w:rFonts w:asciiTheme="minorHAnsi" w:hAnsiTheme="minorHAnsi" w:cstheme="minorHAnsi"/>
                <w:sz w:val="20"/>
                <w:szCs w:val="20"/>
              </w:rPr>
            </w:pPr>
            <w:r w:rsidRPr="00AE14D5">
              <w:rPr>
                <w:rFonts w:asciiTheme="minorHAnsi" w:eastAsia="Calibri" w:hAnsiTheme="minorHAnsi" w:cstheme="minorHAnsi"/>
                <w:color w:val="000000"/>
                <w:sz w:val="20"/>
                <w:szCs w:val="20"/>
              </w:rPr>
              <w:t>National Director of Veterinary Directorate, National AMRCC member</w:t>
            </w:r>
          </w:p>
        </w:tc>
      </w:tr>
      <w:tr w:rsidR="64C55F6E" w14:paraId="158E0963"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6A6A4770" w14:textId="36890795" w:rsidR="64C55F6E" w:rsidRPr="00AE14D5" w:rsidRDefault="64C55F6E" w:rsidP="000B3487">
            <w:pPr>
              <w:spacing w:line="259" w:lineRule="auto"/>
              <w:rPr>
                <w:rFonts w:asciiTheme="minorHAnsi" w:hAnsiTheme="minorHAnsi" w:cstheme="minorHAnsi"/>
                <w:color w:val="FFFFFF" w:themeColor="background1"/>
                <w:sz w:val="20"/>
                <w:szCs w:val="20"/>
              </w:rPr>
            </w:pPr>
            <w:r w:rsidRPr="00AE14D5">
              <w:rPr>
                <w:rFonts w:asciiTheme="minorHAnsi" w:hAnsiTheme="minorHAnsi" w:cstheme="minorHAnsi"/>
                <w:color w:val="FFFFFF" w:themeColor="background1"/>
                <w:sz w:val="20"/>
                <w:szCs w:val="20"/>
              </w:rPr>
              <w:t>GLASS Focal Point</w:t>
            </w:r>
          </w:p>
        </w:tc>
      </w:tr>
      <w:tr w:rsidR="64C55F6E" w14:paraId="1A056E7D"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8097FD9" w14:textId="46ED4725" w:rsidR="64C55F6E" w:rsidRPr="00BB4743" w:rsidRDefault="70040745" w:rsidP="17D077F0">
            <w:pPr>
              <w:spacing w:line="259" w:lineRule="auto"/>
              <w:rPr>
                <w:rFonts w:asciiTheme="minorHAnsi" w:hAnsiTheme="minorHAnsi" w:cstheme="minorHAnsi"/>
                <w:b/>
                <w:bCs/>
                <w:sz w:val="20"/>
                <w:szCs w:val="20"/>
                <w:lang w:val="pt-PT"/>
              </w:rPr>
            </w:pPr>
            <w:r w:rsidRPr="00BB4743">
              <w:rPr>
                <w:rFonts w:asciiTheme="minorHAnsi" w:eastAsia="Calibri" w:hAnsiTheme="minorHAnsi" w:cstheme="minorHAnsi"/>
                <w:b/>
                <w:bCs/>
                <w:color w:val="000000"/>
                <w:sz w:val="20"/>
                <w:szCs w:val="20"/>
                <w:lang w:val="pt-PT"/>
              </w:rPr>
              <w:t>Delfim da Costa Xavier Ferreira</w:t>
            </w:r>
          </w:p>
        </w:tc>
        <w:tc>
          <w:tcPr>
            <w:tcW w:w="3221" w:type="dxa"/>
          </w:tcPr>
          <w:p w14:paraId="14975F62" w14:textId="0F65EF3A" w:rsidR="64C55F6E" w:rsidRPr="00AE14D5" w:rsidRDefault="70040745"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Ministry of Health (MoH)</w:t>
            </w:r>
          </w:p>
        </w:tc>
        <w:tc>
          <w:tcPr>
            <w:tcW w:w="3221" w:type="dxa"/>
          </w:tcPr>
          <w:p w14:paraId="263DD03B" w14:textId="40AC1982" w:rsidR="64C55F6E" w:rsidRPr="00AE14D5" w:rsidRDefault="70040745"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National Directorate of Pharmacy &amp; Medicines</w:t>
            </w:r>
          </w:p>
        </w:tc>
      </w:tr>
      <w:tr w:rsidR="64C55F6E" w14:paraId="0FDEA8AC"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35A3D3DF" w14:textId="1F0B00F8" w:rsidR="64C55F6E" w:rsidRPr="00AE14D5" w:rsidRDefault="007F4A59" w:rsidP="000B3487">
            <w:pPr>
              <w:spacing w:line="259" w:lineRule="auto"/>
              <w:rPr>
                <w:rFonts w:asciiTheme="minorHAnsi" w:hAnsiTheme="minorHAnsi" w:cstheme="minorHAnsi"/>
                <w:color w:val="FFFFFF" w:themeColor="background1"/>
                <w:sz w:val="20"/>
                <w:szCs w:val="20"/>
              </w:rPr>
            </w:pPr>
            <w:r w:rsidRPr="007F4A59">
              <w:rPr>
                <w:rFonts w:asciiTheme="minorHAnsi" w:hAnsiTheme="minorHAnsi" w:cstheme="minorHAnsi"/>
                <w:color w:val="FFFFFF" w:themeColor="background1"/>
                <w:sz w:val="20"/>
                <w:szCs w:val="20"/>
              </w:rPr>
              <w:t>WOAH</w:t>
            </w:r>
            <w:r w:rsidR="64C55F6E" w:rsidRPr="007F4A59">
              <w:rPr>
                <w:rFonts w:asciiTheme="minorHAnsi" w:hAnsiTheme="minorHAnsi" w:cstheme="minorHAnsi"/>
                <w:color w:val="FFFFFF" w:themeColor="background1"/>
                <w:sz w:val="20"/>
                <w:szCs w:val="20"/>
              </w:rPr>
              <w:t xml:space="preserve"> </w:t>
            </w:r>
            <w:r w:rsidR="64C55F6E" w:rsidRPr="00AE14D5">
              <w:rPr>
                <w:rFonts w:asciiTheme="minorHAnsi" w:hAnsiTheme="minorHAnsi" w:cstheme="minorHAnsi"/>
                <w:color w:val="FFFFFF" w:themeColor="background1"/>
                <w:sz w:val="20"/>
                <w:szCs w:val="20"/>
              </w:rPr>
              <w:t>Focal Point</w:t>
            </w:r>
          </w:p>
        </w:tc>
      </w:tr>
      <w:tr w:rsidR="64C55F6E" w14:paraId="7DE452B8"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3D58CD68" w14:textId="4EC2EA8A" w:rsidR="64C55F6E" w:rsidRPr="00BB4743" w:rsidRDefault="42894D16" w:rsidP="17D077F0">
            <w:pPr>
              <w:spacing w:line="259" w:lineRule="auto"/>
              <w:rPr>
                <w:rFonts w:asciiTheme="minorHAnsi" w:eastAsia="Calibri" w:hAnsiTheme="minorHAnsi" w:cstheme="minorHAnsi"/>
                <w:b/>
                <w:bCs/>
                <w:color w:val="000000"/>
                <w:sz w:val="20"/>
                <w:szCs w:val="20"/>
              </w:rPr>
            </w:pPr>
            <w:r w:rsidRPr="00BB4743">
              <w:rPr>
                <w:rFonts w:asciiTheme="minorHAnsi" w:eastAsia="Calibri" w:hAnsiTheme="minorHAnsi" w:cstheme="minorHAnsi"/>
                <w:b/>
                <w:bCs/>
                <w:color w:val="000000"/>
                <w:sz w:val="20"/>
                <w:szCs w:val="20"/>
              </w:rPr>
              <w:t>Dr Joanita Jong</w:t>
            </w:r>
            <w:r w:rsidR="5CD26A25" w:rsidRPr="00BB4743">
              <w:rPr>
                <w:rFonts w:asciiTheme="minorHAnsi" w:eastAsia="Calibri" w:hAnsiTheme="minorHAnsi" w:cstheme="minorHAnsi"/>
                <w:b/>
                <w:bCs/>
                <w:color w:val="000000"/>
                <w:sz w:val="20"/>
                <w:szCs w:val="20"/>
              </w:rPr>
              <w:t>***</w:t>
            </w:r>
          </w:p>
        </w:tc>
        <w:tc>
          <w:tcPr>
            <w:tcW w:w="3221" w:type="dxa"/>
          </w:tcPr>
          <w:p w14:paraId="6A63EAD7" w14:textId="7FD26883" w:rsidR="64C55F6E" w:rsidRPr="00AE14D5" w:rsidRDefault="42894D16"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Ministry of Agriculture and Fisheries (MAF)</w:t>
            </w:r>
          </w:p>
        </w:tc>
        <w:tc>
          <w:tcPr>
            <w:tcW w:w="3221" w:type="dxa"/>
          </w:tcPr>
          <w:p w14:paraId="48EF06AE" w14:textId="507767D1" w:rsidR="64C55F6E" w:rsidRPr="00AE14D5" w:rsidRDefault="007F4A59" w:rsidP="00BB4743">
            <w:pPr>
              <w:spacing w:line="259" w:lineRule="auto"/>
              <w:rPr>
                <w:rFonts w:asciiTheme="minorHAnsi" w:eastAsia="Calibri" w:hAnsiTheme="minorHAnsi" w:cstheme="minorHAnsi"/>
                <w:color w:val="000000"/>
                <w:sz w:val="20"/>
                <w:szCs w:val="20"/>
              </w:rPr>
            </w:pPr>
            <w:r w:rsidRPr="007F4A59">
              <w:rPr>
                <w:rFonts w:asciiTheme="minorHAnsi" w:eastAsia="Calibri" w:hAnsiTheme="minorHAnsi" w:cstheme="minorHAnsi"/>
                <w:color w:val="000000"/>
                <w:sz w:val="20"/>
                <w:szCs w:val="20"/>
              </w:rPr>
              <w:t>WOAH</w:t>
            </w:r>
            <w:r w:rsidR="42894D16" w:rsidRPr="00AE14D5">
              <w:rPr>
                <w:rFonts w:asciiTheme="minorHAnsi" w:eastAsia="Calibri" w:hAnsiTheme="minorHAnsi" w:cstheme="minorHAnsi"/>
                <w:color w:val="000000"/>
                <w:sz w:val="20"/>
                <w:szCs w:val="20"/>
              </w:rPr>
              <w:t xml:space="preserve"> Focal Point</w:t>
            </w:r>
          </w:p>
        </w:tc>
      </w:tr>
      <w:tr w:rsidR="64C55F6E" w14:paraId="09D5A158"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06D8FC82" w14:textId="77777777" w:rsidR="64C55F6E" w:rsidRPr="00AE14D5" w:rsidRDefault="64C55F6E" w:rsidP="000B3487">
            <w:pPr>
              <w:rPr>
                <w:rFonts w:asciiTheme="minorHAnsi" w:hAnsiTheme="minorHAnsi" w:cstheme="minorHAnsi"/>
                <w:color w:val="FFFFFF" w:themeColor="background1"/>
                <w:sz w:val="20"/>
                <w:szCs w:val="20"/>
              </w:rPr>
            </w:pPr>
            <w:r w:rsidRPr="00AE14D5">
              <w:rPr>
                <w:rFonts w:asciiTheme="minorHAnsi" w:hAnsiTheme="minorHAnsi" w:cstheme="minorHAnsi"/>
                <w:color w:val="FFFFFF" w:themeColor="background1"/>
                <w:sz w:val="20"/>
                <w:szCs w:val="20"/>
              </w:rPr>
              <w:t>Development Partners/ Academia</w:t>
            </w:r>
          </w:p>
        </w:tc>
      </w:tr>
      <w:tr w:rsidR="00D770D4" w:rsidRPr="00D770D4" w14:paraId="0E3C9474"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5B02480B" w14:textId="28A91470" w:rsidR="64C55F6E" w:rsidRPr="00BB4743" w:rsidRDefault="5803C3DF" w:rsidP="64C55F6E">
            <w:pPr>
              <w:rPr>
                <w:rFonts w:asciiTheme="minorHAnsi" w:hAnsiTheme="minorHAnsi" w:cstheme="minorHAnsi"/>
                <w:b/>
                <w:bCs/>
                <w:color w:val="auto"/>
                <w:sz w:val="20"/>
                <w:szCs w:val="20"/>
              </w:rPr>
            </w:pPr>
            <w:r w:rsidRPr="00BB4743">
              <w:rPr>
                <w:rFonts w:asciiTheme="minorHAnsi" w:eastAsia="Calibri" w:hAnsiTheme="minorHAnsi" w:cstheme="minorHAnsi"/>
                <w:b/>
                <w:bCs/>
                <w:sz w:val="20"/>
                <w:szCs w:val="20"/>
              </w:rPr>
              <w:t>Dr Dongbao Yu</w:t>
            </w:r>
          </w:p>
        </w:tc>
        <w:tc>
          <w:tcPr>
            <w:tcW w:w="3221" w:type="dxa"/>
          </w:tcPr>
          <w:p w14:paraId="5ECB30B7" w14:textId="233D13F7" w:rsidR="64C55F6E" w:rsidRPr="00BB4743" w:rsidRDefault="5803C3DF" w:rsidP="00BB4743">
            <w:pPr>
              <w:rPr>
                <w:rFonts w:asciiTheme="minorHAnsi" w:hAnsiTheme="minorHAnsi" w:cstheme="minorHAnsi"/>
                <w:color w:val="auto"/>
                <w:sz w:val="20"/>
                <w:szCs w:val="20"/>
              </w:rPr>
            </w:pPr>
            <w:r w:rsidRPr="00BB4743">
              <w:rPr>
                <w:rFonts w:asciiTheme="minorHAnsi" w:eastAsia="Calibri" w:hAnsiTheme="minorHAnsi" w:cstheme="minorHAnsi"/>
                <w:color w:val="auto"/>
                <w:sz w:val="20"/>
                <w:szCs w:val="20"/>
              </w:rPr>
              <w:t>WHO</w:t>
            </w:r>
          </w:p>
        </w:tc>
        <w:tc>
          <w:tcPr>
            <w:tcW w:w="3221" w:type="dxa"/>
          </w:tcPr>
          <w:p w14:paraId="51BEA4F6" w14:textId="50839BE9" w:rsidR="64C55F6E" w:rsidRPr="00BB4743" w:rsidRDefault="5803C3DF" w:rsidP="000B3487">
            <w:pPr>
              <w:spacing w:line="259" w:lineRule="auto"/>
              <w:rPr>
                <w:rFonts w:asciiTheme="minorHAnsi" w:hAnsiTheme="minorHAnsi" w:cstheme="minorHAnsi"/>
                <w:color w:val="auto"/>
                <w:sz w:val="20"/>
                <w:szCs w:val="20"/>
              </w:rPr>
            </w:pPr>
            <w:r w:rsidRPr="00BB4743">
              <w:rPr>
                <w:rFonts w:asciiTheme="minorHAnsi" w:eastAsia="Calibri" w:hAnsiTheme="minorHAnsi" w:cstheme="minorHAnsi"/>
                <w:color w:val="auto"/>
                <w:sz w:val="20"/>
                <w:szCs w:val="20"/>
              </w:rPr>
              <w:t>Surveillance officer</w:t>
            </w:r>
          </w:p>
        </w:tc>
      </w:tr>
      <w:tr w:rsidR="64C55F6E" w14:paraId="50DBC76F"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7F937C5D" w14:textId="77777777" w:rsidR="64C55F6E" w:rsidRPr="00AE14D5" w:rsidRDefault="64C55F6E" w:rsidP="000B3487">
            <w:pPr>
              <w:rPr>
                <w:rFonts w:asciiTheme="minorHAnsi" w:hAnsiTheme="minorHAnsi" w:cstheme="minorHAnsi"/>
                <w:color w:val="FFFFFF" w:themeColor="background1"/>
                <w:sz w:val="20"/>
                <w:szCs w:val="20"/>
              </w:rPr>
            </w:pPr>
            <w:r w:rsidRPr="00AE14D5">
              <w:rPr>
                <w:rFonts w:asciiTheme="minorHAnsi" w:hAnsiTheme="minorHAnsi" w:cstheme="minorHAnsi"/>
                <w:color w:val="FFFFFF" w:themeColor="background1"/>
                <w:sz w:val="20"/>
                <w:szCs w:val="20"/>
              </w:rPr>
              <w:t>NRL &amp; Site Visit</w:t>
            </w:r>
          </w:p>
        </w:tc>
      </w:tr>
      <w:tr w:rsidR="64C55F6E" w14:paraId="097751AE"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4828AC3" w14:textId="4BA12D79" w:rsidR="64C55F6E" w:rsidRPr="00BB4743" w:rsidRDefault="0C843222" w:rsidP="17D077F0">
            <w:pPr>
              <w:spacing w:line="259" w:lineRule="auto"/>
              <w:rPr>
                <w:rFonts w:asciiTheme="minorHAnsi" w:hAnsiTheme="minorHAnsi" w:cstheme="minorHAnsi"/>
                <w:b/>
                <w:bCs/>
                <w:sz w:val="20"/>
                <w:szCs w:val="20"/>
              </w:rPr>
            </w:pPr>
            <w:r w:rsidRPr="00BB4743">
              <w:rPr>
                <w:rFonts w:asciiTheme="minorHAnsi" w:eastAsia="Calibri" w:hAnsiTheme="minorHAnsi" w:cstheme="minorHAnsi"/>
                <w:b/>
                <w:bCs/>
                <w:color w:val="000000"/>
                <w:sz w:val="20"/>
                <w:szCs w:val="20"/>
              </w:rPr>
              <w:t>Sra.</w:t>
            </w:r>
            <w:r w:rsidR="6C6AC57B" w:rsidRPr="00BB4743">
              <w:rPr>
                <w:rFonts w:asciiTheme="minorHAnsi" w:eastAsia="Calibri" w:hAnsiTheme="minorHAnsi" w:cstheme="minorHAnsi"/>
                <w:b/>
                <w:bCs/>
                <w:color w:val="000000"/>
                <w:sz w:val="20"/>
                <w:szCs w:val="20"/>
              </w:rPr>
              <w:t xml:space="preserve"> </w:t>
            </w:r>
            <w:r w:rsidRPr="00BB4743">
              <w:rPr>
                <w:rFonts w:asciiTheme="minorHAnsi" w:eastAsia="Calibri" w:hAnsiTheme="minorHAnsi" w:cstheme="minorHAnsi"/>
                <w:b/>
                <w:bCs/>
                <w:color w:val="000000"/>
                <w:sz w:val="20"/>
                <w:szCs w:val="20"/>
              </w:rPr>
              <w:t>Endang da Silva</w:t>
            </w:r>
          </w:p>
        </w:tc>
        <w:tc>
          <w:tcPr>
            <w:tcW w:w="3221" w:type="dxa"/>
          </w:tcPr>
          <w:p w14:paraId="4BC1CB1E" w14:textId="55962E39" w:rsidR="64C55F6E" w:rsidRPr="00AE14D5" w:rsidRDefault="0C843222"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Ministry of Health - National Health Laboratory</w:t>
            </w:r>
          </w:p>
        </w:tc>
        <w:tc>
          <w:tcPr>
            <w:tcW w:w="3221" w:type="dxa"/>
          </w:tcPr>
          <w:p w14:paraId="52EE0E1A" w14:textId="275895EE" w:rsidR="64C55F6E" w:rsidRPr="00AE14D5" w:rsidRDefault="0C843222" w:rsidP="00BB4743">
            <w:pPr>
              <w:rPr>
                <w:rFonts w:asciiTheme="minorHAnsi" w:hAnsiTheme="minorHAnsi" w:cstheme="minorHAnsi"/>
                <w:sz w:val="20"/>
                <w:szCs w:val="20"/>
              </w:rPr>
            </w:pPr>
            <w:r w:rsidRPr="00AE14D5">
              <w:rPr>
                <w:rFonts w:asciiTheme="minorHAnsi" w:eastAsia="Calibri" w:hAnsiTheme="minorHAnsi" w:cstheme="minorHAnsi"/>
                <w:color w:val="000000"/>
                <w:sz w:val="20"/>
                <w:szCs w:val="20"/>
              </w:rPr>
              <w:t>Executive Director of The National Health Laboratory</w:t>
            </w:r>
          </w:p>
        </w:tc>
      </w:tr>
      <w:tr w:rsidR="17D077F0" w14:paraId="0F992A55"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2C1EC7E5" w14:textId="0B91F61F" w:rsidR="0C843222" w:rsidRPr="00BB4743" w:rsidRDefault="0C843222" w:rsidP="17D077F0">
            <w:pPr>
              <w:spacing w:line="259" w:lineRule="auto"/>
              <w:rPr>
                <w:rFonts w:asciiTheme="minorHAnsi" w:eastAsia="Calibri" w:hAnsiTheme="minorHAnsi" w:cstheme="minorHAnsi"/>
                <w:b/>
                <w:bCs/>
                <w:color w:val="000000"/>
                <w:sz w:val="20"/>
                <w:szCs w:val="20"/>
              </w:rPr>
            </w:pPr>
            <w:r w:rsidRPr="00BB4743">
              <w:rPr>
                <w:rFonts w:asciiTheme="minorHAnsi" w:eastAsia="Calibri" w:hAnsiTheme="minorHAnsi" w:cstheme="minorHAnsi"/>
                <w:b/>
                <w:bCs/>
                <w:color w:val="000000"/>
                <w:sz w:val="20"/>
                <w:szCs w:val="20"/>
              </w:rPr>
              <w:t>Suzana Soares Hendriques</w:t>
            </w:r>
            <w:r w:rsidR="22A1A26E" w:rsidRPr="00BB4743">
              <w:rPr>
                <w:rFonts w:asciiTheme="minorHAnsi" w:eastAsia="Calibri" w:hAnsiTheme="minorHAnsi" w:cstheme="minorHAnsi"/>
                <w:b/>
                <w:bCs/>
                <w:color w:val="000000"/>
                <w:sz w:val="20"/>
                <w:szCs w:val="20"/>
              </w:rPr>
              <w:t>***</w:t>
            </w:r>
          </w:p>
        </w:tc>
        <w:tc>
          <w:tcPr>
            <w:tcW w:w="3131" w:type="dxa"/>
          </w:tcPr>
          <w:p w14:paraId="2E6EF72D" w14:textId="1D7D6486" w:rsidR="22A1A26E" w:rsidRPr="00AE14D5" w:rsidRDefault="22A1A26E" w:rsidP="00BB4743">
            <w:pPr>
              <w:spacing w:line="259" w:lineRule="auto"/>
              <w:rPr>
                <w:rFonts w:asciiTheme="minorHAnsi" w:eastAsia="Calibri" w:hAnsiTheme="minorHAnsi" w:cstheme="minorHAnsi"/>
                <w:color w:val="000000"/>
                <w:sz w:val="20"/>
                <w:szCs w:val="20"/>
              </w:rPr>
            </w:pPr>
            <w:r w:rsidRPr="00AE14D5">
              <w:rPr>
                <w:rFonts w:asciiTheme="minorHAnsi" w:eastAsia="Calibri" w:hAnsiTheme="minorHAnsi" w:cstheme="minorHAnsi"/>
                <w:color w:val="000000"/>
                <w:sz w:val="20"/>
                <w:szCs w:val="20"/>
              </w:rPr>
              <w:t>HNGV</w:t>
            </w:r>
          </w:p>
        </w:tc>
        <w:tc>
          <w:tcPr>
            <w:tcW w:w="3130" w:type="dxa"/>
          </w:tcPr>
          <w:p w14:paraId="1E373D43" w14:textId="11F7EA95" w:rsidR="22A1A26E" w:rsidRPr="00AE14D5" w:rsidRDefault="22A1A26E"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National Directorate for Pharmaceutical and Medicines, National AMR focal point</w:t>
            </w:r>
          </w:p>
        </w:tc>
      </w:tr>
      <w:tr w:rsidR="17D077F0" w14:paraId="76F0D31E"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42C3A2A0" w14:textId="699E9E73" w:rsidR="0C843222" w:rsidRPr="00BB4743" w:rsidRDefault="0C843222" w:rsidP="17D077F0">
            <w:pPr>
              <w:spacing w:line="259" w:lineRule="auto"/>
              <w:rPr>
                <w:rFonts w:asciiTheme="minorHAnsi" w:hAnsiTheme="minorHAnsi" w:cstheme="minorHAnsi"/>
                <w:b/>
                <w:bCs/>
                <w:sz w:val="20"/>
                <w:szCs w:val="20"/>
                <w:lang w:val="pt-PT"/>
              </w:rPr>
            </w:pPr>
            <w:r w:rsidRPr="00BB4743">
              <w:rPr>
                <w:rFonts w:asciiTheme="minorHAnsi" w:eastAsia="Calibri" w:hAnsiTheme="minorHAnsi" w:cstheme="minorHAnsi"/>
                <w:b/>
                <w:bCs/>
                <w:color w:val="000000"/>
                <w:sz w:val="20"/>
                <w:szCs w:val="20"/>
                <w:lang w:val="pt-PT"/>
              </w:rPr>
              <w:t>Delfim da Costa Xavier Ferreira</w:t>
            </w:r>
            <w:r w:rsidR="56B33300" w:rsidRPr="00BB4743">
              <w:rPr>
                <w:rFonts w:asciiTheme="minorHAnsi" w:eastAsia="Calibri" w:hAnsiTheme="minorHAnsi" w:cstheme="minorHAnsi"/>
                <w:b/>
                <w:bCs/>
                <w:color w:val="000000"/>
                <w:sz w:val="20"/>
                <w:szCs w:val="20"/>
                <w:lang w:val="pt-PT"/>
              </w:rPr>
              <w:t>*</w:t>
            </w:r>
          </w:p>
        </w:tc>
        <w:tc>
          <w:tcPr>
            <w:tcW w:w="3131" w:type="dxa"/>
          </w:tcPr>
          <w:p w14:paraId="7601193B" w14:textId="76231BF9" w:rsidR="0C843222" w:rsidRPr="00AE14D5" w:rsidRDefault="0C843222"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National Directorate of Pharmacy &amp; Medicines</w:t>
            </w:r>
          </w:p>
        </w:tc>
        <w:tc>
          <w:tcPr>
            <w:tcW w:w="3130" w:type="dxa"/>
          </w:tcPr>
          <w:p w14:paraId="07C75212" w14:textId="5A8C4110" w:rsidR="0C843222" w:rsidRPr="00AE14D5" w:rsidRDefault="0C843222" w:rsidP="00BB4743">
            <w:pPr>
              <w:rPr>
                <w:rFonts w:asciiTheme="minorHAnsi" w:hAnsiTheme="minorHAnsi" w:cstheme="minorHAnsi"/>
                <w:sz w:val="20"/>
                <w:szCs w:val="20"/>
              </w:rPr>
            </w:pPr>
            <w:r w:rsidRPr="00AE14D5">
              <w:rPr>
                <w:rFonts w:asciiTheme="minorHAnsi" w:eastAsia="Calibri" w:hAnsiTheme="minorHAnsi" w:cstheme="minorHAnsi"/>
                <w:color w:val="000000"/>
                <w:sz w:val="20"/>
                <w:szCs w:val="20"/>
              </w:rPr>
              <w:t>Ministry of Health (MoH)</w:t>
            </w:r>
          </w:p>
        </w:tc>
      </w:tr>
      <w:tr w:rsidR="17D077F0" w14:paraId="3ADEDA38"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7D20934F" w14:textId="2FAEF2D9" w:rsidR="0C843222" w:rsidRPr="00BB4743" w:rsidRDefault="0C843222" w:rsidP="17D077F0">
            <w:pPr>
              <w:spacing w:line="259" w:lineRule="auto"/>
              <w:rPr>
                <w:rFonts w:asciiTheme="minorHAnsi" w:eastAsia="Calibri" w:hAnsiTheme="minorHAnsi" w:cstheme="minorHAnsi"/>
                <w:b/>
                <w:bCs/>
                <w:color w:val="000000"/>
                <w:sz w:val="20"/>
                <w:szCs w:val="20"/>
              </w:rPr>
            </w:pPr>
            <w:r w:rsidRPr="00BB4743">
              <w:rPr>
                <w:rFonts w:asciiTheme="minorHAnsi" w:eastAsia="Calibri" w:hAnsiTheme="minorHAnsi" w:cstheme="minorHAnsi"/>
                <w:b/>
                <w:bCs/>
                <w:color w:val="000000"/>
                <w:sz w:val="20"/>
                <w:szCs w:val="20"/>
              </w:rPr>
              <w:t>Dra. Joanita Jong</w:t>
            </w:r>
            <w:r w:rsidR="2FF793FD" w:rsidRPr="00BB4743">
              <w:rPr>
                <w:rFonts w:asciiTheme="minorHAnsi" w:eastAsia="Calibri" w:hAnsiTheme="minorHAnsi" w:cstheme="minorHAnsi"/>
                <w:b/>
                <w:bCs/>
                <w:color w:val="000000"/>
                <w:sz w:val="20"/>
                <w:szCs w:val="20"/>
              </w:rPr>
              <w:t>****</w:t>
            </w:r>
          </w:p>
        </w:tc>
        <w:tc>
          <w:tcPr>
            <w:tcW w:w="3131" w:type="dxa"/>
          </w:tcPr>
          <w:p w14:paraId="28790790" w14:textId="3A2A163C" w:rsidR="0C843222" w:rsidRPr="00AE14D5" w:rsidRDefault="0C843222"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Ministry of Agriculture and Fisheries (MAF)</w:t>
            </w:r>
          </w:p>
        </w:tc>
        <w:tc>
          <w:tcPr>
            <w:tcW w:w="3130" w:type="dxa"/>
          </w:tcPr>
          <w:p w14:paraId="10897C36" w14:textId="4AB65B64" w:rsidR="0C843222" w:rsidRPr="00AE14D5" w:rsidRDefault="0C843222" w:rsidP="00BB4743">
            <w:pPr>
              <w:rPr>
                <w:rFonts w:asciiTheme="minorHAnsi" w:hAnsiTheme="minorHAnsi" w:cstheme="minorHAnsi"/>
                <w:sz w:val="20"/>
                <w:szCs w:val="20"/>
              </w:rPr>
            </w:pPr>
            <w:r w:rsidRPr="00AE14D5">
              <w:rPr>
                <w:rFonts w:asciiTheme="minorHAnsi" w:eastAsia="Calibri" w:hAnsiTheme="minorHAnsi" w:cstheme="minorHAnsi"/>
                <w:color w:val="000000"/>
                <w:sz w:val="20"/>
                <w:szCs w:val="20"/>
              </w:rPr>
              <w:t>National Director of Veterinary Directorate</w:t>
            </w:r>
          </w:p>
        </w:tc>
      </w:tr>
      <w:tr w:rsidR="17D077F0" w14:paraId="120B3238"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5CFF9F26" w14:textId="63DC3F8A" w:rsidR="3CB46898" w:rsidRPr="00BB4743" w:rsidRDefault="3CB46898" w:rsidP="17D077F0">
            <w:pPr>
              <w:spacing w:line="259" w:lineRule="auto"/>
              <w:rPr>
                <w:rFonts w:asciiTheme="minorHAnsi" w:hAnsiTheme="minorHAnsi" w:cstheme="minorHAnsi"/>
                <w:b/>
                <w:bCs/>
                <w:sz w:val="20"/>
                <w:szCs w:val="20"/>
              </w:rPr>
            </w:pPr>
            <w:r w:rsidRPr="00BB4743">
              <w:rPr>
                <w:rFonts w:asciiTheme="minorHAnsi" w:eastAsia="Calibri" w:hAnsiTheme="minorHAnsi" w:cstheme="minorHAnsi"/>
                <w:b/>
                <w:bCs/>
                <w:color w:val="000000"/>
                <w:sz w:val="20"/>
                <w:szCs w:val="20"/>
              </w:rPr>
              <w:t>Dr Felisiano Da Conceicao</w:t>
            </w:r>
          </w:p>
        </w:tc>
        <w:tc>
          <w:tcPr>
            <w:tcW w:w="3131" w:type="dxa"/>
          </w:tcPr>
          <w:p w14:paraId="55A90DAD" w14:textId="51FFA587" w:rsidR="7706CF81" w:rsidRPr="00AE14D5" w:rsidRDefault="7706CF81" w:rsidP="00BB4743">
            <w:pPr>
              <w:spacing w:line="259" w:lineRule="auto"/>
              <w:rPr>
                <w:rFonts w:asciiTheme="minorHAnsi" w:hAnsiTheme="minorHAnsi" w:cstheme="minorHAnsi"/>
                <w:sz w:val="20"/>
                <w:szCs w:val="20"/>
              </w:rPr>
            </w:pPr>
            <w:r w:rsidRPr="00AE14D5">
              <w:rPr>
                <w:rFonts w:asciiTheme="minorHAnsi" w:eastAsia="Calibri" w:hAnsiTheme="minorHAnsi" w:cstheme="minorHAnsi"/>
                <w:color w:val="000000"/>
                <w:sz w:val="20"/>
                <w:szCs w:val="20"/>
              </w:rPr>
              <w:t>Veterinary Diagnostic Laboratory</w:t>
            </w:r>
          </w:p>
        </w:tc>
        <w:tc>
          <w:tcPr>
            <w:tcW w:w="3130" w:type="dxa"/>
          </w:tcPr>
          <w:p w14:paraId="716BC746" w14:textId="16996FF1" w:rsidR="3CB46898" w:rsidRPr="00AE14D5" w:rsidRDefault="3CB46898" w:rsidP="00BB4743">
            <w:pPr>
              <w:rPr>
                <w:rFonts w:asciiTheme="minorHAnsi" w:hAnsiTheme="minorHAnsi" w:cstheme="minorHAnsi"/>
                <w:sz w:val="20"/>
                <w:szCs w:val="20"/>
              </w:rPr>
            </w:pPr>
            <w:r w:rsidRPr="00AE14D5">
              <w:rPr>
                <w:rFonts w:asciiTheme="minorHAnsi" w:eastAsia="Calibri" w:hAnsiTheme="minorHAnsi" w:cstheme="minorHAnsi"/>
                <w:color w:val="000000"/>
                <w:sz w:val="20"/>
                <w:szCs w:val="20"/>
              </w:rPr>
              <w:t>Chief of Veterinary Diagnostic Laboratory</w:t>
            </w:r>
          </w:p>
        </w:tc>
      </w:tr>
    </w:tbl>
    <w:p w14:paraId="43E79277" w14:textId="3FDAFD17" w:rsidR="00CF4E89" w:rsidRDefault="1ED1C5CC" w:rsidP="004F2001">
      <w:pPr>
        <w:pStyle w:val="ItadH2"/>
      </w:pPr>
      <w:bookmarkStart w:id="430" w:name="_Toc118968584"/>
      <w:bookmarkStart w:id="431" w:name="_Toc142383226"/>
      <w:r>
        <w:t>Uganda</w:t>
      </w:r>
      <w:bookmarkEnd w:id="430"/>
      <w:bookmarkEnd w:id="431"/>
    </w:p>
    <w:tbl>
      <w:tblPr>
        <w:tblStyle w:val="Itadalternaterows"/>
        <w:tblW w:w="0" w:type="auto"/>
        <w:tblLook w:val="04A0" w:firstRow="1" w:lastRow="0" w:firstColumn="1" w:lastColumn="0" w:noHBand="0" w:noVBand="1"/>
      </w:tblPr>
      <w:tblGrid>
        <w:gridCol w:w="3130"/>
        <w:gridCol w:w="3126"/>
        <w:gridCol w:w="3139"/>
      </w:tblGrid>
      <w:tr w:rsidR="64C55F6E" w:rsidRPr="004F2001" w14:paraId="491457BE" w14:textId="77777777" w:rsidTr="17D077F0">
        <w:trPr>
          <w:cnfStyle w:val="100000000000" w:firstRow="1" w:lastRow="0" w:firstColumn="0" w:lastColumn="0" w:oddVBand="0" w:evenVBand="0" w:oddHBand="0" w:evenHBand="0" w:firstRowFirstColumn="0" w:firstRowLastColumn="0" w:lastRowFirstColumn="0" w:lastRowLastColumn="0"/>
          <w:trHeight w:val="340"/>
        </w:trPr>
        <w:tc>
          <w:tcPr>
            <w:tcW w:w="9663" w:type="dxa"/>
            <w:gridSpan w:val="3"/>
          </w:tcPr>
          <w:p w14:paraId="7804190F" w14:textId="45E6261C" w:rsidR="64C55F6E" w:rsidRPr="00BB4743" w:rsidRDefault="64C55F6E" w:rsidP="64C55F6E">
            <w:pPr>
              <w:rPr>
                <w:rFonts w:cs="Calibri"/>
                <w:color w:val="FFFFFF" w:themeColor="background1"/>
                <w:sz w:val="20"/>
                <w:szCs w:val="20"/>
                <w:lang w:eastAsia="en-GB"/>
              </w:rPr>
            </w:pPr>
            <w:r w:rsidRPr="00BB4743">
              <w:rPr>
                <w:rFonts w:cs="Calibri"/>
                <w:color w:val="FFFFFF" w:themeColor="background1"/>
                <w:sz w:val="20"/>
                <w:szCs w:val="20"/>
                <w:lang w:eastAsia="en-GB"/>
              </w:rPr>
              <w:t xml:space="preserve">Fleming Fund </w:t>
            </w:r>
            <w:r w:rsidR="005B5B44" w:rsidRPr="00BB4743">
              <w:rPr>
                <w:rFonts w:cs="Calibri"/>
                <w:color w:val="FFFFFF" w:themeColor="background1"/>
                <w:sz w:val="20"/>
                <w:szCs w:val="20"/>
                <w:lang w:eastAsia="en-GB"/>
              </w:rPr>
              <w:t>CG</w:t>
            </w:r>
          </w:p>
        </w:tc>
      </w:tr>
      <w:tr w:rsidR="64C55F6E" w:rsidRPr="004F2001" w14:paraId="72BF3821"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5D0F17A3" w14:textId="3A0CD8DF" w:rsidR="6C1CC676" w:rsidRPr="00BB4743" w:rsidRDefault="00EE3BF1" w:rsidP="17D077F0">
            <w:pPr>
              <w:spacing w:line="259" w:lineRule="auto"/>
              <w:rPr>
                <w:rFonts w:eastAsia="Calibri" w:cs="Calibri"/>
                <w:b/>
                <w:bCs/>
                <w:color w:val="000000"/>
                <w:sz w:val="20"/>
                <w:szCs w:val="20"/>
              </w:rPr>
            </w:pPr>
            <w:r>
              <w:rPr>
                <w:rFonts w:eastAsia="Calibri" w:cs="Calibri"/>
                <w:b/>
                <w:bCs/>
                <w:color w:val="000000"/>
                <w:sz w:val="20"/>
                <w:szCs w:val="20"/>
              </w:rPr>
              <w:t xml:space="preserve">Dr </w:t>
            </w:r>
            <w:r w:rsidR="63DEC588" w:rsidRPr="00BB4743">
              <w:rPr>
                <w:rFonts w:eastAsia="Calibri" w:cs="Calibri"/>
                <w:b/>
                <w:bCs/>
                <w:color w:val="000000"/>
                <w:sz w:val="20"/>
                <w:szCs w:val="20"/>
              </w:rPr>
              <w:t>Jonathan Mayito</w:t>
            </w:r>
          </w:p>
        </w:tc>
        <w:tc>
          <w:tcPr>
            <w:tcW w:w="3221" w:type="dxa"/>
          </w:tcPr>
          <w:p w14:paraId="502D193C" w14:textId="1F3595CC" w:rsidR="6C1CC676" w:rsidRPr="00BB4743" w:rsidRDefault="00830368" w:rsidP="00BB4743">
            <w:pPr>
              <w:spacing w:line="259" w:lineRule="auto"/>
              <w:rPr>
                <w:rFonts w:eastAsia="Calibri" w:cs="Calibri"/>
                <w:color w:val="000000"/>
                <w:sz w:val="20"/>
                <w:szCs w:val="20"/>
              </w:rPr>
            </w:pPr>
            <w:r>
              <w:rPr>
                <w:rFonts w:eastAsia="Calibri" w:cs="Calibri"/>
                <w:color w:val="000000"/>
                <w:sz w:val="20"/>
                <w:szCs w:val="20"/>
              </w:rPr>
              <w:t>Infectious Diseases Institute</w:t>
            </w:r>
          </w:p>
        </w:tc>
        <w:tc>
          <w:tcPr>
            <w:tcW w:w="3221" w:type="dxa"/>
          </w:tcPr>
          <w:p w14:paraId="7BC66693" w14:textId="185C498B" w:rsidR="64C55F6E" w:rsidRPr="00BB4743" w:rsidRDefault="09A873AC" w:rsidP="00BB4743">
            <w:pPr>
              <w:spacing w:line="259" w:lineRule="auto"/>
              <w:rPr>
                <w:rFonts w:eastAsia="Calibri" w:cs="Calibri"/>
                <w:color w:val="000000"/>
                <w:sz w:val="20"/>
                <w:szCs w:val="20"/>
              </w:rPr>
            </w:pPr>
            <w:r w:rsidRPr="00BB4743">
              <w:rPr>
                <w:rFonts w:eastAsia="Calibri" w:cs="Calibri"/>
                <w:color w:val="000000"/>
                <w:sz w:val="20"/>
                <w:szCs w:val="20"/>
              </w:rPr>
              <w:t>Project Manager</w:t>
            </w:r>
          </w:p>
        </w:tc>
      </w:tr>
      <w:tr w:rsidR="64C55F6E" w:rsidRPr="004F2001" w14:paraId="1941A04B"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7E393363" w14:textId="3EAEB527" w:rsidR="6C1CC676" w:rsidRPr="00BB4743" w:rsidRDefault="63DEC588" w:rsidP="17D077F0">
            <w:pPr>
              <w:spacing w:line="259" w:lineRule="auto"/>
              <w:rPr>
                <w:rFonts w:eastAsia="Calibri" w:cs="Calibri"/>
                <w:b/>
                <w:bCs/>
                <w:color w:val="000000"/>
                <w:sz w:val="20"/>
                <w:szCs w:val="20"/>
              </w:rPr>
            </w:pPr>
            <w:r w:rsidRPr="00BB4743">
              <w:rPr>
                <w:rFonts w:eastAsia="Calibri" w:cs="Calibri"/>
                <w:b/>
                <w:bCs/>
                <w:color w:val="000000"/>
                <w:sz w:val="20"/>
                <w:szCs w:val="20"/>
              </w:rPr>
              <w:t>Francis Mohammed Larmode </w:t>
            </w:r>
          </w:p>
        </w:tc>
        <w:tc>
          <w:tcPr>
            <w:tcW w:w="3221" w:type="dxa"/>
          </w:tcPr>
          <w:p w14:paraId="514A6592" w14:textId="65C07738" w:rsidR="6C1CC676" w:rsidRPr="00BB4743" w:rsidRDefault="00830368" w:rsidP="00BB4743">
            <w:pPr>
              <w:spacing w:line="259" w:lineRule="auto"/>
              <w:rPr>
                <w:rFonts w:eastAsia="Calibri" w:cs="Calibri"/>
                <w:color w:val="000000"/>
                <w:sz w:val="20"/>
                <w:szCs w:val="20"/>
              </w:rPr>
            </w:pPr>
            <w:r>
              <w:rPr>
                <w:rFonts w:eastAsia="Calibri" w:cs="Calibri"/>
                <w:color w:val="000000"/>
                <w:sz w:val="20"/>
                <w:szCs w:val="20"/>
              </w:rPr>
              <w:t>Infectious Diseases Institute</w:t>
            </w:r>
          </w:p>
        </w:tc>
        <w:tc>
          <w:tcPr>
            <w:tcW w:w="3221" w:type="dxa"/>
          </w:tcPr>
          <w:p w14:paraId="386055FF" w14:textId="231A6BE5" w:rsidR="64C55F6E" w:rsidRPr="00BB4743" w:rsidRDefault="22C95B73" w:rsidP="00BB4743">
            <w:pPr>
              <w:spacing w:line="259" w:lineRule="auto"/>
              <w:rPr>
                <w:rFonts w:eastAsia="Calibri" w:cs="Calibri"/>
                <w:color w:val="000000"/>
                <w:sz w:val="20"/>
                <w:szCs w:val="20"/>
              </w:rPr>
            </w:pPr>
            <w:r w:rsidRPr="00BB4743">
              <w:rPr>
                <w:rFonts w:eastAsia="Calibri" w:cs="Calibri"/>
                <w:color w:val="000000"/>
                <w:sz w:val="20"/>
                <w:szCs w:val="20"/>
              </w:rPr>
              <w:t>Head of the Global Health Security Programme</w:t>
            </w:r>
          </w:p>
        </w:tc>
      </w:tr>
      <w:tr w:rsidR="64C55F6E" w:rsidRPr="004F2001" w14:paraId="43025AD7"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661211BD" w14:textId="31D385AC" w:rsidR="6C1CC676" w:rsidRPr="00BB4743" w:rsidRDefault="707DCA9F" w:rsidP="17D077F0">
            <w:pPr>
              <w:spacing w:line="259" w:lineRule="auto"/>
              <w:rPr>
                <w:rFonts w:eastAsia="Calibri" w:cs="Calibri"/>
                <w:b/>
                <w:bCs/>
                <w:color w:val="000000"/>
                <w:sz w:val="20"/>
                <w:szCs w:val="20"/>
              </w:rPr>
            </w:pPr>
            <w:r w:rsidRPr="00BB4743">
              <w:rPr>
                <w:rFonts w:eastAsia="Calibri" w:cs="Calibri"/>
                <w:b/>
                <w:bCs/>
                <w:color w:val="000000"/>
                <w:sz w:val="20"/>
                <w:szCs w:val="20"/>
              </w:rPr>
              <w:t>Francis</w:t>
            </w:r>
            <w:r w:rsidR="63DEC588" w:rsidRPr="00BB4743">
              <w:rPr>
                <w:rFonts w:eastAsia="Calibri" w:cs="Calibri"/>
                <w:b/>
                <w:bCs/>
                <w:color w:val="000000"/>
                <w:sz w:val="20"/>
                <w:szCs w:val="20"/>
              </w:rPr>
              <w:t xml:space="preserve"> Kakooza</w:t>
            </w:r>
          </w:p>
        </w:tc>
        <w:tc>
          <w:tcPr>
            <w:tcW w:w="3221" w:type="dxa"/>
          </w:tcPr>
          <w:p w14:paraId="60C61AAC" w14:textId="23AA7D75" w:rsidR="6C1CC676" w:rsidRPr="00BB4743" w:rsidRDefault="00830368" w:rsidP="00BB4743">
            <w:pPr>
              <w:spacing w:line="259" w:lineRule="auto"/>
              <w:rPr>
                <w:rFonts w:eastAsia="Calibri" w:cs="Calibri"/>
                <w:color w:val="000000"/>
                <w:sz w:val="20"/>
                <w:szCs w:val="20"/>
              </w:rPr>
            </w:pPr>
            <w:r>
              <w:rPr>
                <w:rFonts w:eastAsia="Calibri" w:cs="Calibri"/>
                <w:color w:val="000000"/>
                <w:sz w:val="20"/>
                <w:szCs w:val="20"/>
              </w:rPr>
              <w:t>Infectious Diseases Institute</w:t>
            </w:r>
          </w:p>
        </w:tc>
        <w:tc>
          <w:tcPr>
            <w:tcW w:w="3221" w:type="dxa"/>
          </w:tcPr>
          <w:p w14:paraId="49B9BDE4" w14:textId="0CFA17A3" w:rsidR="64C55F6E" w:rsidRPr="00BB4743" w:rsidRDefault="795BA547" w:rsidP="00BB4743">
            <w:pPr>
              <w:spacing w:line="259" w:lineRule="auto"/>
              <w:rPr>
                <w:rFonts w:eastAsia="Calibri" w:cs="Calibri"/>
                <w:color w:val="000000"/>
                <w:sz w:val="20"/>
                <w:szCs w:val="20"/>
              </w:rPr>
            </w:pPr>
            <w:r w:rsidRPr="00BB4743">
              <w:rPr>
                <w:rFonts w:eastAsia="Calibri" w:cs="Calibri"/>
                <w:color w:val="000000"/>
                <w:sz w:val="20"/>
                <w:szCs w:val="20"/>
              </w:rPr>
              <w:t>Deputy head, Global Health Security Department</w:t>
            </w:r>
          </w:p>
        </w:tc>
      </w:tr>
      <w:tr w:rsidR="64C55F6E" w:rsidRPr="004F2001" w14:paraId="52754911"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23EB20D" w14:textId="41897624" w:rsidR="6C1CC676" w:rsidRPr="00BB4743" w:rsidRDefault="6811BF1F" w:rsidP="17D077F0">
            <w:pPr>
              <w:spacing w:line="259" w:lineRule="auto"/>
              <w:rPr>
                <w:rFonts w:eastAsia="Calibri" w:cs="Calibri"/>
                <w:b/>
                <w:bCs/>
                <w:color w:val="000000"/>
                <w:sz w:val="20"/>
                <w:szCs w:val="20"/>
              </w:rPr>
            </w:pPr>
            <w:r w:rsidRPr="00BB4743">
              <w:rPr>
                <w:rFonts w:eastAsia="Calibri" w:cs="Calibri"/>
                <w:b/>
                <w:bCs/>
                <w:color w:val="000000"/>
                <w:sz w:val="20"/>
                <w:szCs w:val="20"/>
              </w:rPr>
              <w:t>Richard</w:t>
            </w:r>
            <w:r w:rsidR="63DEC588" w:rsidRPr="00BB4743">
              <w:rPr>
                <w:rFonts w:eastAsia="Calibri" w:cs="Calibri"/>
                <w:b/>
                <w:bCs/>
                <w:color w:val="000000"/>
                <w:sz w:val="20"/>
                <w:szCs w:val="20"/>
              </w:rPr>
              <w:t xml:space="preserve"> Walwema</w:t>
            </w:r>
          </w:p>
        </w:tc>
        <w:tc>
          <w:tcPr>
            <w:tcW w:w="3221" w:type="dxa"/>
          </w:tcPr>
          <w:p w14:paraId="0EA7B845" w14:textId="5E9BAA5F" w:rsidR="6C1CC676" w:rsidRPr="00BB4743" w:rsidRDefault="00830368" w:rsidP="00BB4743">
            <w:pPr>
              <w:spacing w:line="259" w:lineRule="auto"/>
              <w:rPr>
                <w:rFonts w:eastAsia="Calibri" w:cs="Calibri"/>
                <w:color w:val="000000"/>
                <w:sz w:val="20"/>
                <w:szCs w:val="20"/>
              </w:rPr>
            </w:pPr>
            <w:r>
              <w:rPr>
                <w:rFonts w:eastAsia="Calibri" w:cs="Calibri"/>
                <w:color w:val="000000"/>
                <w:sz w:val="20"/>
                <w:szCs w:val="20"/>
              </w:rPr>
              <w:t>Infectious Diseases Institute</w:t>
            </w:r>
          </w:p>
        </w:tc>
        <w:tc>
          <w:tcPr>
            <w:tcW w:w="3221" w:type="dxa"/>
          </w:tcPr>
          <w:p w14:paraId="0D9CB25B" w14:textId="415EAB44" w:rsidR="64C55F6E" w:rsidRPr="00BB4743" w:rsidRDefault="7129D36B" w:rsidP="00BB4743">
            <w:pPr>
              <w:spacing w:line="259" w:lineRule="auto"/>
              <w:rPr>
                <w:rFonts w:eastAsia="Calibri" w:cs="Calibri"/>
                <w:color w:val="000000"/>
                <w:sz w:val="20"/>
                <w:szCs w:val="20"/>
              </w:rPr>
            </w:pPr>
            <w:r w:rsidRPr="00BB4743">
              <w:rPr>
                <w:rFonts w:eastAsia="Calibri" w:cs="Calibri"/>
                <w:color w:val="000000"/>
                <w:sz w:val="20"/>
                <w:szCs w:val="20"/>
              </w:rPr>
              <w:t>Project Director</w:t>
            </w:r>
          </w:p>
        </w:tc>
      </w:tr>
      <w:tr w:rsidR="64C55F6E" w:rsidRPr="004F2001" w14:paraId="4DB25CAB"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4BD1AFEF" w14:textId="17939671" w:rsidR="6C1CC676" w:rsidRPr="00BB4743" w:rsidRDefault="050F2F09" w:rsidP="17D077F0">
            <w:pPr>
              <w:spacing w:line="259" w:lineRule="auto"/>
              <w:rPr>
                <w:rFonts w:eastAsia="Calibri" w:cs="Calibri"/>
                <w:b/>
                <w:bCs/>
                <w:color w:val="000000"/>
                <w:sz w:val="20"/>
                <w:szCs w:val="20"/>
              </w:rPr>
            </w:pPr>
            <w:r w:rsidRPr="00BB4743">
              <w:rPr>
                <w:rFonts w:eastAsia="Calibri" w:cs="Calibri"/>
                <w:b/>
                <w:bCs/>
                <w:color w:val="000000"/>
                <w:sz w:val="20"/>
                <w:szCs w:val="20"/>
              </w:rPr>
              <w:t>Simon</w:t>
            </w:r>
            <w:r w:rsidR="63DEC588" w:rsidRPr="00BB4743">
              <w:rPr>
                <w:rFonts w:eastAsia="Calibri" w:cs="Calibri"/>
                <w:b/>
                <w:bCs/>
                <w:color w:val="000000"/>
                <w:sz w:val="20"/>
                <w:szCs w:val="20"/>
              </w:rPr>
              <w:t xml:space="preserve"> Kasango</w:t>
            </w:r>
          </w:p>
        </w:tc>
        <w:tc>
          <w:tcPr>
            <w:tcW w:w="3221" w:type="dxa"/>
          </w:tcPr>
          <w:p w14:paraId="40E52A22" w14:textId="14E3F98C" w:rsidR="6C1CC676" w:rsidRPr="00BB4743" w:rsidRDefault="00830368" w:rsidP="00BB4743">
            <w:pPr>
              <w:spacing w:line="259" w:lineRule="auto"/>
              <w:rPr>
                <w:rFonts w:eastAsia="Calibri" w:cs="Calibri"/>
                <w:color w:val="000000"/>
                <w:sz w:val="20"/>
                <w:szCs w:val="20"/>
              </w:rPr>
            </w:pPr>
            <w:r>
              <w:rPr>
                <w:rFonts w:eastAsia="Calibri" w:cs="Calibri"/>
                <w:color w:val="000000"/>
                <w:sz w:val="20"/>
                <w:szCs w:val="20"/>
              </w:rPr>
              <w:t>Infectious Diseases Institute</w:t>
            </w:r>
          </w:p>
        </w:tc>
        <w:tc>
          <w:tcPr>
            <w:tcW w:w="3221" w:type="dxa"/>
          </w:tcPr>
          <w:p w14:paraId="3AD2ADBB" w14:textId="751F11EE" w:rsidR="64C55F6E" w:rsidRPr="00BB4743" w:rsidRDefault="0E9312F4" w:rsidP="00BB4743">
            <w:pPr>
              <w:spacing w:line="259" w:lineRule="auto"/>
              <w:rPr>
                <w:rFonts w:eastAsia="Calibri" w:cs="Calibri"/>
                <w:color w:val="000000"/>
                <w:sz w:val="20"/>
                <w:szCs w:val="20"/>
              </w:rPr>
            </w:pPr>
            <w:r w:rsidRPr="00BB4743">
              <w:rPr>
                <w:rFonts w:eastAsia="Calibri" w:cs="Calibri"/>
                <w:color w:val="000000"/>
                <w:sz w:val="20"/>
                <w:szCs w:val="20"/>
              </w:rPr>
              <w:t>Senior Laboratory coordinator</w:t>
            </w:r>
          </w:p>
        </w:tc>
      </w:tr>
      <w:tr w:rsidR="64C55F6E" w:rsidRPr="004F2001" w14:paraId="1C4601B1" w14:textId="77777777" w:rsidTr="6A4048FE">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10F218ED" w14:textId="3C49090F" w:rsidR="6C1CC676" w:rsidRPr="00BB4743" w:rsidRDefault="7F620C45" w:rsidP="17D077F0">
            <w:pPr>
              <w:spacing w:line="259" w:lineRule="auto"/>
              <w:rPr>
                <w:rFonts w:eastAsia="Calibri" w:cs="Calibri"/>
                <w:b/>
                <w:bCs/>
                <w:color w:val="000000"/>
                <w:sz w:val="20"/>
                <w:szCs w:val="20"/>
              </w:rPr>
            </w:pPr>
            <w:r w:rsidRPr="00BB4743">
              <w:rPr>
                <w:rFonts w:eastAsia="Calibri" w:cs="Calibri"/>
                <w:b/>
                <w:bCs/>
                <w:color w:val="000000"/>
                <w:sz w:val="20"/>
                <w:szCs w:val="20"/>
              </w:rPr>
              <w:t>Andrew Busuge</w:t>
            </w:r>
          </w:p>
        </w:tc>
        <w:tc>
          <w:tcPr>
            <w:tcW w:w="3221" w:type="dxa"/>
          </w:tcPr>
          <w:p w14:paraId="36A3C116" w14:textId="08E92D14" w:rsidR="6C1CC676" w:rsidRPr="00BB4743" w:rsidRDefault="00830368" w:rsidP="00BB4743">
            <w:pPr>
              <w:spacing w:line="259" w:lineRule="auto"/>
              <w:rPr>
                <w:rFonts w:eastAsia="Calibri" w:cs="Calibri"/>
                <w:color w:val="000000"/>
                <w:sz w:val="20"/>
                <w:szCs w:val="20"/>
              </w:rPr>
            </w:pPr>
            <w:r>
              <w:rPr>
                <w:rFonts w:eastAsia="Calibri" w:cs="Calibri"/>
                <w:color w:val="000000"/>
                <w:sz w:val="20"/>
                <w:szCs w:val="20"/>
              </w:rPr>
              <w:t>Infectious Diseases Institute</w:t>
            </w:r>
          </w:p>
        </w:tc>
        <w:tc>
          <w:tcPr>
            <w:tcW w:w="3221" w:type="dxa"/>
          </w:tcPr>
          <w:p w14:paraId="1C46E6AB" w14:textId="12A03753" w:rsidR="64C55F6E" w:rsidRPr="00BB4743" w:rsidRDefault="1166D35A" w:rsidP="00BB4743">
            <w:pPr>
              <w:spacing w:line="259" w:lineRule="auto"/>
              <w:rPr>
                <w:rFonts w:eastAsia="Calibri" w:cs="Calibri"/>
                <w:color w:val="000000"/>
                <w:sz w:val="20"/>
                <w:szCs w:val="20"/>
              </w:rPr>
            </w:pPr>
            <w:r w:rsidRPr="00BB4743">
              <w:rPr>
                <w:rFonts w:eastAsia="Calibri" w:cs="Calibri"/>
                <w:color w:val="000000"/>
                <w:sz w:val="20"/>
                <w:szCs w:val="20"/>
              </w:rPr>
              <w:t>M&amp;E officer</w:t>
            </w:r>
          </w:p>
        </w:tc>
      </w:tr>
      <w:tr w:rsidR="6A4048FE" w14:paraId="44784D6A"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130" w:type="dxa"/>
          </w:tcPr>
          <w:p w14:paraId="7C407BE9" w14:textId="4670C9A7" w:rsidR="33C2CE2C" w:rsidRPr="00BB4743" w:rsidRDefault="33C2CE2C" w:rsidP="6A4048FE">
            <w:pPr>
              <w:spacing w:line="259" w:lineRule="auto"/>
              <w:rPr>
                <w:rFonts w:eastAsia="Calibri" w:cs="Calibri"/>
                <w:b/>
                <w:bCs/>
                <w:color w:val="000000"/>
                <w:sz w:val="20"/>
                <w:szCs w:val="20"/>
              </w:rPr>
            </w:pPr>
            <w:r w:rsidRPr="00BB4743">
              <w:rPr>
                <w:rFonts w:eastAsia="Calibri" w:cs="Calibri"/>
                <w:b/>
                <w:bCs/>
                <w:color w:val="000000"/>
                <w:sz w:val="20"/>
                <w:szCs w:val="20"/>
              </w:rPr>
              <w:t>Rodney Mugasha</w:t>
            </w:r>
          </w:p>
        </w:tc>
        <w:tc>
          <w:tcPr>
            <w:tcW w:w="3124" w:type="dxa"/>
          </w:tcPr>
          <w:p w14:paraId="77E77D82" w14:textId="74731B19" w:rsidR="77128D84" w:rsidRPr="00BB4743" w:rsidRDefault="00830368" w:rsidP="00BB4743">
            <w:pPr>
              <w:spacing w:line="259" w:lineRule="auto"/>
              <w:rPr>
                <w:rFonts w:eastAsia="Calibri" w:cs="Calibri"/>
                <w:color w:val="000000"/>
                <w:sz w:val="20"/>
                <w:szCs w:val="20"/>
              </w:rPr>
            </w:pPr>
            <w:r>
              <w:rPr>
                <w:rFonts w:eastAsia="Calibri" w:cs="Calibri"/>
                <w:color w:val="000000"/>
                <w:sz w:val="20"/>
                <w:szCs w:val="20"/>
              </w:rPr>
              <w:t>Infectious Diseases Institute</w:t>
            </w:r>
          </w:p>
        </w:tc>
        <w:tc>
          <w:tcPr>
            <w:tcW w:w="3141" w:type="dxa"/>
          </w:tcPr>
          <w:p w14:paraId="20983236" w14:textId="4316DD9E" w:rsidR="77128D84" w:rsidRPr="00BB4743" w:rsidRDefault="77128D84" w:rsidP="00BB4743">
            <w:pPr>
              <w:spacing w:line="259" w:lineRule="auto"/>
              <w:rPr>
                <w:rFonts w:eastAsia="Calibri" w:cs="Calibri"/>
                <w:color w:val="000000"/>
                <w:sz w:val="20"/>
                <w:szCs w:val="20"/>
              </w:rPr>
            </w:pPr>
            <w:r w:rsidRPr="00BB4743">
              <w:rPr>
                <w:rFonts w:eastAsia="Calibri" w:cs="Calibri"/>
                <w:color w:val="000000"/>
                <w:sz w:val="20"/>
                <w:szCs w:val="20"/>
              </w:rPr>
              <w:t>Health Information Manager</w:t>
            </w:r>
          </w:p>
        </w:tc>
      </w:tr>
      <w:tr w:rsidR="64C55F6E" w:rsidRPr="004F2001" w14:paraId="6F1AD99B"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6F6686AA" w14:textId="160D9676" w:rsidR="568F96C3" w:rsidRPr="00BB4743" w:rsidRDefault="005B5B44" w:rsidP="000B3487">
            <w:pPr>
              <w:rPr>
                <w:rFonts w:cs="Calibri"/>
                <w:color w:val="FFFFFF" w:themeColor="background1"/>
                <w:sz w:val="20"/>
                <w:szCs w:val="20"/>
                <w:lang w:eastAsia="en-GB"/>
              </w:rPr>
            </w:pPr>
            <w:r w:rsidRPr="00BB4743">
              <w:rPr>
                <w:rFonts w:cs="Calibri"/>
                <w:color w:val="FFFFFF" w:themeColor="background1"/>
                <w:sz w:val="20"/>
                <w:szCs w:val="20"/>
                <w:lang w:eastAsia="en-GB"/>
              </w:rPr>
              <w:t>MA</w:t>
            </w:r>
          </w:p>
        </w:tc>
      </w:tr>
      <w:tr w:rsidR="64C55F6E" w:rsidRPr="004F2001" w14:paraId="1092324B"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950170B" w14:textId="6B06B8E5" w:rsidR="568F96C3" w:rsidRPr="00BB4743" w:rsidRDefault="102038F3" w:rsidP="17D077F0">
            <w:pPr>
              <w:spacing w:line="259" w:lineRule="auto"/>
              <w:rPr>
                <w:rFonts w:eastAsia="Calibri" w:cs="Calibri"/>
                <w:b/>
                <w:bCs/>
                <w:color w:val="000000"/>
                <w:sz w:val="20"/>
                <w:szCs w:val="20"/>
              </w:rPr>
            </w:pPr>
            <w:r w:rsidRPr="00BB4743">
              <w:rPr>
                <w:rFonts w:eastAsia="Calibri" w:cs="Calibri"/>
                <w:b/>
                <w:bCs/>
                <w:color w:val="000000"/>
                <w:sz w:val="20"/>
                <w:szCs w:val="20"/>
              </w:rPr>
              <w:t>Patrick Mubangizi</w:t>
            </w:r>
          </w:p>
        </w:tc>
        <w:tc>
          <w:tcPr>
            <w:tcW w:w="3221" w:type="dxa"/>
          </w:tcPr>
          <w:p w14:paraId="43913F0F" w14:textId="3B34F4D7" w:rsidR="568F96C3" w:rsidRPr="00BB4743" w:rsidRDefault="005B5B44" w:rsidP="00BB4743">
            <w:pPr>
              <w:spacing w:line="259" w:lineRule="auto"/>
              <w:rPr>
                <w:rFonts w:eastAsia="Calibri" w:cs="Calibri"/>
                <w:color w:val="000000"/>
                <w:sz w:val="20"/>
                <w:szCs w:val="20"/>
              </w:rPr>
            </w:pPr>
            <w:r w:rsidRPr="00BB4743">
              <w:rPr>
                <w:rFonts w:eastAsia="Calibri" w:cs="Calibri"/>
                <w:color w:val="000000"/>
                <w:sz w:val="20"/>
                <w:szCs w:val="20"/>
              </w:rPr>
              <w:t>MA</w:t>
            </w:r>
          </w:p>
        </w:tc>
        <w:tc>
          <w:tcPr>
            <w:tcW w:w="3221" w:type="dxa"/>
          </w:tcPr>
          <w:p w14:paraId="52FC4F44" w14:textId="7EE38F2E" w:rsidR="568F96C3" w:rsidRPr="00BB4743" w:rsidRDefault="102038F3" w:rsidP="00BB4743">
            <w:pPr>
              <w:spacing w:line="259" w:lineRule="auto"/>
              <w:rPr>
                <w:rFonts w:eastAsia="Calibri" w:cs="Calibri"/>
                <w:color w:val="000000"/>
                <w:sz w:val="20"/>
                <w:szCs w:val="20"/>
              </w:rPr>
            </w:pPr>
            <w:r w:rsidRPr="00BB4743">
              <w:rPr>
                <w:rFonts w:eastAsia="Calibri" w:cs="Calibri"/>
                <w:color w:val="000000"/>
                <w:sz w:val="20"/>
                <w:szCs w:val="20"/>
              </w:rPr>
              <w:t>Regional grants Coordinator</w:t>
            </w:r>
          </w:p>
        </w:tc>
      </w:tr>
      <w:tr w:rsidR="64C55F6E" w:rsidRPr="004F2001" w14:paraId="5F4367F5"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21F62F52" w14:textId="77777777" w:rsidR="64C55F6E" w:rsidRPr="00BB4743" w:rsidRDefault="64C55F6E" w:rsidP="000B3487">
            <w:pPr>
              <w:rPr>
                <w:rFonts w:cs="Calibri"/>
                <w:sz w:val="20"/>
                <w:szCs w:val="20"/>
              </w:rPr>
            </w:pPr>
            <w:r w:rsidRPr="00BB4743">
              <w:rPr>
                <w:rFonts w:cs="Calibri"/>
                <w:color w:val="FFFFFF" w:themeColor="background1"/>
                <w:sz w:val="20"/>
                <w:szCs w:val="20"/>
                <w:lang w:eastAsia="en-GB"/>
              </w:rPr>
              <w:t>AMRCC Members</w:t>
            </w:r>
          </w:p>
        </w:tc>
      </w:tr>
      <w:tr w:rsidR="64C55F6E" w:rsidRPr="004F2001" w14:paraId="4B11885F"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440DDD3C" w14:textId="0F8DD549" w:rsidR="0D673839" w:rsidRPr="00BB4743" w:rsidRDefault="00EE3BF1" w:rsidP="17D077F0">
            <w:pPr>
              <w:spacing w:line="259" w:lineRule="auto"/>
              <w:rPr>
                <w:rFonts w:eastAsia="Calibri" w:cs="Calibri"/>
                <w:b/>
                <w:bCs/>
                <w:color w:val="000000"/>
                <w:sz w:val="20"/>
                <w:szCs w:val="20"/>
              </w:rPr>
            </w:pPr>
            <w:r>
              <w:rPr>
                <w:rFonts w:eastAsia="Calibri" w:cs="Calibri"/>
                <w:b/>
                <w:bCs/>
                <w:color w:val="000000"/>
                <w:sz w:val="20"/>
                <w:szCs w:val="20"/>
              </w:rPr>
              <w:t xml:space="preserve">Dr </w:t>
            </w:r>
            <w:r w:rsidR="2266098F" w:rsidRPr="00BB4743">
              <w:rPr>
                <w:rFonts w:eastAsia="Calibri" w:cs="Calibri"/>
                <w:b/>
                <w:bCs/>
                <w:color w:val="000000"/>
                <w:sz w:val="20"/>
                <w:szCs w:val="20"/>
              </w:rPr>
              <w:t>Henry Kajumbula</w:t>
            </w:r>
          </w:p>
        </w:tc>
        <w:tc>
          <w:tcPr>
            <w:tcW w:w="3221" w:type="dxa"/>
          </w:tcPr>
          <w:p w14:paraId="0A3A5CF1" w14:textId="7E5B8C18" w:rsidR="0D673839" w:rsidRPr="00BB4743" w:rsidRDefault="2266098F" w:rsidP="00BB4743">
            <w:pPr>
              <w:spacing w:line="259" w:lineRule="auto"/>
              <w:rPr>
                <w:rFonts w:eastAsia="Calibri" w:cs="Calibri"/>
                <w:color w:val="000000"/>
                <w:sz w:val="20"/>
                <w:szCs w:val="20"/>
              </w:rPr>
            </w:pPr>
            <w:r w:rsidRPr="00BB4743">
              <w:rPr>
                <w:rFonts w:eastAsia="Calibri" w:cs="Calibri"/>
                <w:color w:val="000000"/>
                <w:sz w:val="20"/>
                <w:szCs w:val="20"/>
              </w:rPr>
              <w:t>Makerere University College of Health sciences</w:t>
            </w:r>
          </w:p>
        </w:tc>
        <w:tc>
          <w:tcPr>
            <w:tcW w:w="3221" w:type="dxa"/>
          </w:tcPr>
          <w:p w14:paraId="11F40812" w14:textId="0CBDF3FC" w:rsidR="0D673839" w:rsidRPr="00BB4743" w:rsidRDefault="2266098F" w:rsidP="00BB4743">
            <w:pPr>
              <w:spacing w:line="259" w:lineRule="auto"/>
              <w:rPr>
                <w:rFonts w:eastAsia="Calibri" w:cs="Calibri"/>
                <w:color w:val="000000"/>
                <w:sz w:val="20"/>
                <w:szCs w:val="20"/>
              </w:rPr>
            </w:pPr>
            <w:r w:rsidRPr="00BB4743">
              <w:rPr>
                <w:rFonts w:eastAsia="Calibri" w:cs="Calibri"/>
                <w:color w:val="000000"/>
                <w:sz w:val="20"/>
                <w:szCs w:val="20"/>
              </w:rPr>
              <w:t>Chair, National AMR Sub-committee</w:t>
            </w:r>
          </w:p>
        </w:tc>
      </w:tr>
      <w:tr w:rsidR="64C55F6E" w:rsidRPr="004F2001" w14:paraId="7E546612"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5659C93E" w14:textId="77777777" w:rsidR="64C55F6E" w:rsidRPr="00BB4743" w:rsidRDefault="64C55F6E" w:rsidP="000B3487">
            <w:pPr>
              <w:rPr>
                <w:rFonts w:cs="Calibri"/>
                <w:color w:val="auto"/>
                <w:sz w:val="20"/>
                <w:szCs w:val="20"/>
              </w:rPr>
            </w:pPr>
            <w:r w:rsidRPr="00BB4743">
              <w:rPr>
                <w:rFonts w:cs="Calibri"/>
                <w:color w:val="FFFFFF" w:themeColor="background1"/>
                <w:sz w:val="20"/>
                <w:szCs w:val="20"/>
                <w:lang w:eastAsia="en-GB"/>
              </w:rPr>
              <w:t>Other decision makers</w:t>
            </w:r>
          </w:p>
        </w:tc>
      </w:tr>
      <w:tr w:rsidR="64C55F6E" w:rsidRPr="004F2001" w14:paraId="463EABC3"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1B7A0499" w14:textId="4E532864" w:rsidR="682103FA" w:rsidRPr="00BB4743" w:rsidRDefault="00EE3BF1" w:rsidP="17D077F0">
            <w:pPr>
              <w:spacing w:line="259" w:lineRule="auto"/>
              <w:rPr>
                <w:rFonts w:eastAsia="Calibri" w:cs="Calibri"/>
                <w:b/>
                <w:bCs/>
                <w:color w:val="000000"/>
                <w:sz w:val="20"/>
                <w:szCs w:val="20"/>
              </w:rPr>
            </w:pPr>
            <w:r>
              <w:rPr>
                <w:rFonts w:eastAsia="Calibri" w:cs="Calibri"/>
                <w:b/>
                <w:bCs/>
                <w:color w:val="000000"/>
                <w:sz w:val="20"/>
                <w:szCs w:val="20"/>
              </w:rPr>
              <w:t xml:space="preserve">Dr </w:t>
            </w:r>
            <w:r w:rsidR="2CE118DF" w:rsidRPr="00BB4743">
              <w:rPr>
                <w:rFonts w:eastAsia="Calibri" w:cs="Calibri"/>
                <w:b/>
                <w:bCs/>
                <w:color w:val="000000"/>
                <w:sz w:val="20"/>
                <w:szCs w:val="20"/>
              </w:rPr>
              <w:t>Emmanuel Isingoma</w:t>
            </w:r>
          </w:p>
        </w:tc>
        <w:tc>
          <w:tcPr>
            <w:tcW w:w="3221" w:type="dxa"/>
          </w:tcPr>
          <w:p w14:paraId="05ABA493" w14:textId="3751FFD3" w:rsidR="682103FA" w:rsidRPr="00BB4743" w:rsidRDefault="0048215B" w:rsidP="00BB4743">
            <w:pPr>
              <w:spacing w:line="259" w:lineRule="auto"/>
              <w:rPr>
                <w:rFonts w:eastAsia="Calibri" w:cs="Calibri"/>
                <w:color w:val="000000"/>
                <w:sz w:val="20"/>
                <w:szCs w:val="20"/>
              </w:rPr>
            </w:pPr>
            <w:r w:rsidRPr="0048215B">
              <w:rPr>
                <w:rFonts w:eastAsia="Calibri" w:cs="Calibri"/>
                <w:color w:val="000000"/>
                <w:sz w:val="20"/>
                <w:szCs w:val="20"/>
              </w:rPr>
              <w:t>Ministry of Agriculture, Animal Industry and Fisheries</w:t>
            </w:r>
          </w:p>
        </w:tc>
        <w:tc>
          <w:tcPr>
            <w:tcW w:w="3221" w:type="dxa"/>
          </w:tcPr>
          <w:p w14:paraId="44A6251A" w14:textId="6AB0E1BC" w:rsidR="682103FA" w:rsidRPr="00BB4743" w:rsidRDefault="2CE118DF" w:rsidP="00BB4743">
            <w:pPr>
              <w:spacing w:line="259" w:lineRule="auto"/>
              <w:rPr>
                <w:rFonts w:eastAsia="Calibri" w:cs="Calibri"/>
                <w:color w:val="000000"/>
                <w:sz w:val="20"/>
                <w:szCs w:val="20"/>
              </w:rPr>
            </w:pPr>
            <w:r w:rsidRPr="00BB4743">
              <w:rPr>
                <w:rFonts w:eastAsia="Calibri" w:cs="Calibri"/>
                <w:color w:val="000000"/>
                <w:sz w:val="20"/>
                <w:szCs w:val="20"/>
              </w:rPr>
              <w:t>Veterinary Officer</w:t>
            </w:r>
          </w:p>
        </w:tc>
      </w:tr>
      <w:tr w:rsidR="64C55F6E" w:rsidRPr="004F2001" w14:paraId="76A8AF8F"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03E6528F" w14:textId="5FD0174B" w:rsidR="682103FA" w:rsidRPr="00BB4743" w:rsidRDefault="2CE118DF" w:rsidP="17D077F0">
            <w:pPr>
              <w:spacing w:line="259" w:lineRule="auto"/>
              <w:rPr>
                <w:rFonts w:eastAsia="Calibri" w:cs="Calibri"/>
                <w:b/>
                <w:bCs/>
                <w:color w:val="000000"/>
                <w:sz w:val="20"/>
                <w:szCs w:val="20"/>
              </w:rPr>
            </w:pPr>
            <w:r w:rsidRPr="00BB4743">
              <w:rPr>
                <w:rFonts w:eastAsia="Calibri" w:cs="Calibri"/>
                <w:b/>
                <w:bCs/>
                <w:color w:val="000000"/>
                <w:sz w:val="20"/>
                <w:szCs w:val="20"/>
              </w:rPr>
              <w:t>Betty Mbolanyi</w:t>
            </w:r>
          </w:p>
        </w:tc>
        <w:tc>
          <w:tcPr>
            <w:tcW w:w="3221" w:type="dxa"/>
          </w:tcPr>
          <w:p w14:paraId="5025FCF0" w14:textId="51CEFAFA" w:rsidR="682103FA" w:rsidRPr="00BB4743" w:rsidRDefault="2CE118DF" w:rsidP="00BB4743">
            <w:pPr>
              <w:spacing w:line="259" w:lineRule="auto"/>
              <w:rPr>
                <w:rFonts w:eastAsia="Calibri" w:cs="Calibri"/>
                <w:color w:val="000000"/>
                <w:sz w:val="20"/>
                <w:szCs w:val="20"/>
              </w:rPr>
            </w:pPr>
            <w:r w:rsidRPr="00BB4743">
              <w:rPr>
                <w:rFonts w:eastAsia="Calibri" w:cs="Calibri"/>
                <w:color w:val="000000"/>
                <w:sz w:val="20"/>
                <w:szCs w:val="20"/>
              </w:rPr>
              <w:t>Ministry of Water &amp; Environment</w:t>
            </w:r>
          </w:p>
        </w:tc>
        <w:tc>
          <w:tcPr>
            <w:tcW w:w="3221" w:type="dxa"/>
          </w:tcPr>
          <w:p w14:paraId="1D9EC227" w14:textId="08BEDF52" w:rsidR="682103FA" w:rsidRPr="00BB4743" w:rsidRDefault="2CE118DF" w:rsidP="00BB4743">
            <w:pPr>
              <w:spacing w:line="259" w:lineRule="auto"/>
              <w:rPr>
                <w:rFonts w:eastAsia="Calibri" w:cs="Calibri"/>
                <w:color w:val="000000"/>
                <w:sz w:val="20"/>
                <w:szCs w:val="20"/>
              </w:rPr>
            </w:pPr>
            <w:r w:rsidRPr="00BB4743">
              <w:rPr>
                <w:rFonts w:eastAsia="Calibri" w:cs="Calibri"/>
                <w:color w:val="000000"/>
                <w:sz w:val="20"/>
                <w:szCs w:val="20"/>
              </w:rPr>
              <w:t>Senior Environmental Officer</w:t>
            </w:r>
          </w:p>
        </w:tc>
      </w:tr>
      <w:tr w:rsidR="64C55F6E" w:rsidRPr="004F2001" w14:paraId="628CC3FE"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73C2FDC3" w14:textId="77777777" w:rsidR="64C55F6E" w:rsidRPr="00BB4743" w:rsidRDefault="64C55F6E" w:rsidP="000B3487">
            <w:pPr>
              <w:rPr>
                <w:rFonts w:cs="Calibri"/>
                <w:sz w:val="20"/>
                <w:szCs w:val="20"/>
              </w:rPr>
            </w:pPr>
            <w:r w:rsidRPr="00BB4743">
              <w:rPr>
                <w:rFonts w:cs="Calibri"/>
                <w:color w:val="FFFFFF" w:themeColor="background1"/>
                <w:sz w:val="20"/>
                <w:szCs w:val="20"/>
                <w:lang w:eastAsia="en-GB"/>
              </w:rPr>
              <w:t>Policy Fellows HH</w:t>
            </w:r>
          </w:p>
        </w:tc>
      </w:tr>
      <w:tr w:rsidR="64C55F6E" w:rsidRPr="004F2001" w14:paraId="02DF82D2"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shd w:val="clear" w:color="auto" w:fill="auto"/>
          </w:tcPr>
          <w:p w14:paraId="1295B9EC" w14:textId="7ED03E63" w:rsidR="4548A376" w:rsidRPr="00BB4743" w:rsidRDefault="4287CCE5" w:rsidP="17D077F0">
            <w:pPr>
              <w:spacing w:line="259" w:lineRule="auto"/>
              <w:rPr>
                <w:rFonts w:eastAsia="Calibri" w:cs="Calibri"/>
                <w:b/>
                <w:bCs/>
                <w:color w:val="000000"/>
                <w:sz w:val="20"/>
                <w:szCs w:val="20"/>
              </w:rPr>
            </w:pPr>
            <w:r w:rsidRPr="00BB4743">
              <w:rPr>
                <w:rFonts w:eastAsia="Calibri" w:cs="Calibri"/>
                <w:b/>
                <w:bCs/>
                <w:color w:val="000000"/>
                <w:sz w:val="20"/>
                <w:szCs w:val="20"/>
              </w:rPr>
              <w:t>Mr. Musa Ssekamatte</w:t>
            </w:r>
          </w:p>
        </w:tc>
        <w:tc>
          <w:tcPr>
            <w:tcW w:w="3221" w:type="dxa"/>
            <w:shd w:val="clear" w:color="auto" w:fill="auto"/>
          </w:tcPr>
          <w:p w14:paraId="5910604A" w14:textId="070A29EB" w:rsidR="4548A376" w:rsidRPr="00BB4743" w:rsidRDefault="4287CCE5" w:rsidP="00BB4743">
            <w:pPr>
              <w:spacing w:line="259" w:lineRule="auto"/>
              <w:rPr>
                <w:rFonts w:eastAsia="Calibri" w:cs="Calibri"/>
                <w:color w:val="000000"/>
                <w:sz w:val="20"/>
                <w:szCs w:val="20"/>
              </w:rPr>
            </w:pPr>
            <w:r w:rsidRPr="00BB4743">
              <w:rPr>
                <w:rFonts w:eastAsia="Calibri" w:cs="Calibri"/>
                <w:color w:val="000000"/>
                <w:sz w:val="20"/>
                <w:szCs w:val="20"/>
              </w:rPr>
              <w:t>Ministry of Health</w:t>
            </w:r>
          </w:p>
        </w:tc>
        <w:tc>
          <w:tcPr>
            <w:tcW w:w="3221" w:type="dxa"/>
            <w:shd w:val="clear" w:color="auto" w:fill="auto"/>
          </w:tcPr>
          <w:p w14:paraId="0506B7AC" w14:textId="1751901D" w:rsidR="4548A376" w:rsidRPr="00BB4743" w:rsidRDefault="4287CCE5" w:rsidP="00BB4743">
            <w:pPr>
              <w:spacing w:line="259" w:lineRule="auto"/>
              <w:rPr>
                <w:rFonts w:eastAsia="Calibri" w:cs="Calibri"/>
                <w:color w:val="000000"/>
                <w:sz w:val="20"/>
                <w:szCs w:val="20"/>
              </w:rPr>
            </w:pPr>
            <w:r w:rsidRPr="00BB4743">
              <w:rPr>
                <w:rFonts w:eastAsia="Calibri" w:cs="Calibri"/>
                <w:color w:val="000000"/>
                <w:sz w:val="20"/>
                <w:szCs w:val="20"/>
              </w:rPr>
              <w:t>National One Health Coordinator</w:t>
            </w:r>
          </w:p>
        </w:tc>
      </w:tr>
      <w:tr w:rsidR="64C55F6E" w:rsidRPr="004F2001" w14:paraId="2CE53E79"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4D19894F" w14:textId="7316887C" w:rsidR="64C55F6E" w:rsidRPr="00BB4743" w:rsidRDefault="64C55F6E" w:rsidP="000B3487">
            <w:pPr>
              <w:spacing w:line="259" w:lineRule="auto"/>
              <w:rPr>
                <w:rFonts w:cs="Calibri"/>
                <w:color w:val="FFFFFF" w:themeColor="background1"/>
                <w:sz w:val="20"/>
                <w:szCs w:val="20"/>
                <w:lang w:eastAsia="en-GB"/>
              </w:rPr>
            </w:pPr>
            <w:r w:rsidRPr="00BB4743">
              <w:rPr>
                <w:rFonts w:cs="Calibri"/>
                <w:color w:val="FFFFFF" w:themeColor="background1"/>
                <w:sz w:val="20"/>
                <w:szCs w:val="20"/>
                <w:lang w:eastAsia="en-GB"/>
              </w:rPr>
              <w:t>Policy Fellows AH</w:t>
            </w:r>
          </w:p>
        </w:tc>
      </w:tr>
      <w:tr w:rsidR="64C55F6E" w:rsidRPr="004F2001" w14:paraId="2258FB86"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shd w:val="clear" w:color="auto" w:fill="auto"/>
          </w:tcPr>
          <w:p w14:paraId="68705884" w14:textId="4D1A89B0" w:rsidR="737219F2" w:rsidRPr="00BB4743" w:rsidRDefault="00D770D4" w:rsidP="17D077F0">
            <w:pPr>
              <w:spacing w:line="259" w:lineRule="auto"/>
              <w:rPr>
                <w:rFonts w:eastAsia="Calibri" w:cs="Calibri"/>
                <w:b/>
                <w:bCs/>
                <w:color w:val="000000"/>
                <w:sz w:val="20"/>
                <w:szCs w:val="20"/>
              </w:rPr>
            </w:pPr>
            <w:r w:rsidRPr="00D770D4">
              <w:rPr>
                <w:rFonts w:eastAsia="Calibri" w:cs="Calibri"/>
                <w:b/>
                <w:bCs/>
                <w:color w:val="000000"/>
                <w:sz w:val="20"/>
                <w:szCs w:val="20"/>
              </w:rPr>
              <w:t>Michael</w:t>
            </w:r>
            <w:r w:rsidR="760A2470" w:rsidRPr="00BB4743">
              <w:rPr>
                <w:rFonts w:eastAsia="Calibri" w:cs="Calibri"/>
                <w:b/>
                <w:bCs/>
                <w:color w:val="000000"/>
                <w:sz w:val="20"/>
                <w:szCs w:val="20"/>
              </w:rPr>
              <w:t xml:space="preserve"> Kimaanga</w:t>
            </w:r>
          </w:p>
        </w:tc>
        <w:tc>
          <w:tcPr>
            <w:tcW w:w="3221" w:type="dxa"/>
            <w:shd w:val="clear" w:color="auto" w:fill="auto"/>
          </w:tcPr>
          <w:p w14:paraId="5BEEE54B" w14:textId="0E20FEEE" w:rsidR="3602FB60" w:rsidRPr="00BB4743" w:rsidRDefault="0048215B" w:rsidP="00BB4743">
            <w:pPr>
              <w:spacing w:line="259" w:lineRule="auto"/>
              <w:rPr>
                <w:rFonts w:eastAsia="Calibri" w:cs="Calibri"/>
                <w:color w:val="000000"/>
                <w:sz w:val="20"/>
                <w:szCs w:val="20"/>
              </w:rPr>
            </w:pPr>
            <w:r w:rsidRPr="0048215B">
              <w:rPr>
                <w:rFonts w:eastAsia="Calibri" w:cs="Calibri"/>
                <w:color w:val="000000"/>
                <w:sz w:val="20"/>
                <w:szCs w:val="20"/>
              </w:rPr>
              <w:t>Ministry of Agriculture, Animal Industry and Fisheries</w:t>
            </w:r>
          </w:p>
        </w:tc>
        <w:tc>
          <w:tcPr>
            <w:tcW w:w="3221" w:type="dxa"/>
            <w:shd w:val="clear" w:color="auto" w:fill="auto"/>
          </w:tcPr>
          <w:p w14:paraId="419797BB" w14:textId="0E6E29E1" w:rsidR="5E753C02" w:rsidRPr="00BB4743" w:rsidRDefault="199BB350" w:rsidP="00BB4743">
            <w:pPr>
              <w:spacing w:line="259" w:lineRule="auto"/>
              <w:rPr>
                <w:rFonts w:eastAsia="Calibri" w:cs="Calibri"/>
                <w:color w:val="000000"/>
                <w:sz w:val="20"/>
                <w:szCs w:val="20"/>
              </w:rPr>
            </w:pPr>
            <w:r w:rsidRPr="00BB4743">
              <w:rPr>
                <w:rFonts w:eastAsia="Calibri" w:cs="Calibri"/>
                <w:color w:val="000000"/>
                <w:sz w:val="20"/>
                <w:szCs w:val="20"/>
              </w:rPr>
              <w:t>Senior Veterinary Officer</w:t>
            </w:r>
          </w:p>
        </w:tc>
      </w:tr>
      <w:tr w:rsidR="64C55F6E" w:rsidRPr="004F2001" w14:paraId="48271C07"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76BF20C7" w14:textId="465C35AD" w:rsidR="64C55F6E" w:rsidRPr="00BB4743" w:rsidRDefault="64C55F6E" w:rsidP="000B3487">
            <w:pPr>
              <w:rPr>
                <w:rFonts w:cs="Calibri"/>
                <w:color w:val="FFFFFF" w:themeColor="background1"/>
                <w:sz w:val="20"/>
                <w:szCs w:val="20"/>
                <w:lang w:eastAsia="en-GB"/>
              </w:rPr>
            </w:pPr>
            <w:r w:rsidRPr="00BB4743">
              <w:rPr>
                <w:rFonts w:cs="Calibri"/>
                <w:color w:val="FFFFFF" w:themeColor="background1"/>
                <w:sz w:val="20"/>
                <w:szCs w:val="20"/>
                <w:lang w:eastAsia="en-GB"/>
              </w:rPr>
              <w:t>Professional Fellows HH</w:t>
            </w:r>
          </w:p>
        </w:tc>
      </w:tr>
      <w:tr w:rsidR="64C55F6E" w:rsidRPr="004F2001" w14:paraId="72D74BF5"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shd w:val="clear" w:color="auto" w:fill="auto"/>
          </w:tcPr>
          <w:p w14:paraId="25A05B27" w14:textId="6B5992F5" w:rsidR="0833F383" w:rsidRPr="00BB4743" w:rsidRDefault="11867AE1" w:rsidP="17D077F0">
            <w:pPr>
              <w:spacing w:line="259" w:lineRule="auto"/>
              <w:rPr>
                <w:rFonts w:eastAsia="Calibri" w:cs="Calibri"/>
                <w:b/>
                <w:bCs/>
                <w:color w:val="000000"/>
                <w:sz w:val="20"/>
                <w:szCs w:val="20"/>
              </w:rPr>
            </w:pPr>
            <w:r w:rsidRPr="00BB4743">
              <w:rPr>
                <w:rFonts w:eastAsia="Calibri" w:cs="Calibri"/>
                <w:b/>
                <w:bCs/>
                <w:color w:val="000000"/>
                <w:sz w:val="20"/>
                <w:szCs w:val="20"/>
              </w:rPr>
              <w:t>Ibrahim Mugerwa</w:t>
            </w:r>
          </w:p>
        </w:tc>
        <w:tc>
          <w:tcPr>
            <w:tcW w:w="3221" w:type="dxa"/>
            <w:shd w:val="clear" w:color="auto" w:fill="auto"/>
          </w:tcPr>
          <w:p w14:paraId="749EF811" w14:textId="22E0A9B5" w:rsidR="0833F383" w:rsidRPr="00BB4743" w:rsidRDefault="0085271E" w:rsidP="00BB4743">
            <w:pPr>
              <w:spacing w:line="259" w:lineRule="auto"/>
              <w:rPr>
                <w:rFonts w:eastAsia="Calibri" w:cs="Calibri"/>
                <w:color w:val="000000"/>
                <w:sz w:val="20"/>
                <w:szCs w:val="20"/>
              </w:rPr>
            </w:pPr>
            <w:r>
              <w:rPr>
                <w:rFonts w:eastAsia="Calibri" w:cs="Calibri"/>
                <w:color w:val="000000"/>
                <w:sz w:val="20"/>
                <w:szCs w:val="20"/>
              </w:rPr>
              <w:t>NRL</w:t>
            </w:r>
          </w:p>
        </w:tc>
        <w:tc>
          <w:tcPr>
            <w:tcW w:w="3221" w:type="dxa"/>
            <w:shd w:val="clear" w:color="auto" w:fill="auto"/>
          </w:tcPr>
          <w:p w14:paraId="582F45FB" w14:textId="5E885C5B" w:rsidR="0833F383" w:rsidRPr="00BB4743" w:rsidRDefault="11867AE1" w:rsidP="00BB4743">
            <w:pPr>
              <w:spacing w:line="259" w:lineRule="auto"/>
              <w:rPr>
                <w:rFonts w:eastAsia="Calibri" w:cs="Calibri"/>
                <w:color w:val="000000"/>
                <w:sz w:val="20"/>
                <w:szCs w:val="20"/>
              </w:rPr>
            </w:pPr>
            <w:r w:rsidRPr="00BB4743">
              <w:rPr>
                <w:rFonts w:eastAsia="Calibri" w:cs="Calibri"/>
                <w:color w:val="000000"/>
                <w:sz w:val="20"/>
                <w:szCs w:val="20"/>
              </w:rPr>
              <w:t>Secretary National AMR Sub-committee</w:t>
            </w:r>
          </w:p>
        </w:tc>
      </w:tr>
      <w:tr w:rsidR="64C55F6E" w:rsidRPr="004F2001" w14:paraId="6D77927E"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06F72630" w14:textId="77777777" w:rsidR="64C55F6E" w:rsidRPr="00BB4743" w:rsidRDefault="64C55F6E" w:rsidP="000B3487">
            <w:pPr>
              <w:rPr>
                <w:rFonts w:cs="Calibri"/>
                <w:color w:val="FFFFFF" w:themeColor="background1"/>
                <w:sz w:val="20"/>
                <w:szCs w:val="20"/>
                <w:lang w:eastAsia="en-GB"/>
              </w:rPr>
            </w:pPr>
            <w:r w:rsidRPr="00BB4743">
              <w:rPr>
                <w:rFonts w:cs="Calibri"/>
                <w:color w:val="FFFFFF" w:themeColor="background1"/>
                <w:sz w:val="20"/>
                <w:szCs w:val="20"/>
                <w:lang w:eastAsia="en-GB"/>
              </w:rPr>
              <w:t>Professional Fellows AH</w:t>
            </w:r>
          </w:p>
        </w:tc>
      </w:tr>
      <w:tr w:rsidR="64C55F6E" w:rsidRPr="004F2001" w14:paraId="5913AEA6"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7B14EFCF" w14:textId="1FDB55E7" w:rsidR="69CA51AF" w:rsidRPr="00BB4743" w:rsidRDefault="00D770D4" w:rsidP="17D077F0">
            <w:pPr>
              <w:spacing w:line="259" w:lineRule="auto"/>
              <w:rPr>
                <w:rFonts w:eastAsia="Calibri" w:cs="Calibri"/>
                <w:b/>
                <w:bCs/>
                <w:color w:val="000000"/>
                <w:sz w:val="20"/>
                <w:szCs w:val="20"/>
              </w:rPr>
            </w:pPr>
            <w:r w:rsidRPr="00BB4743">
              <w:rPr>
                <w:rFonts w:eastAsia="Calibri" w:cs="Calibri"/>
                <w:b/>
                <w:bCs/>
                <w:color w:val="000000"/>
                <w:sz w:val="20"/>
                <w:szCs w:val="20"/>
              </w:rPr>
              <w:t>Michael</w:t>
            </w:r>
            <w:r w:rsidR="62C1866B" w:rsidRPr="00BB4743">
              <w:rPr>
                <w:rFonts w:eastAsia="Calibri" w:cs="Calibri"/>
                <w:b/>
                <w:bCs/>
                <w:color w:val="000000"/>
                <w:sz w:val="20"/>
                <w:szCs w:val="20"/>
              </w:rPr>
              <w:t xml:space="preserve"> Omodo</w:t>
            </w:r>
          </w:p>
        </w:tc>
        <w:tc>
          <w:tcPr>
            <w:tcW w:w="3221" w:type="dxa"/>
          </w:tcPr>
          <w:p w14:paraId="6BA51D17" w14:textId="3C7B4DE5" w:rsidR="69CA51AF" w:rsidRPr="00BB4743" w:rsidRDefault="00C50850" w:rsidP="00BB4743">
            <w:pPr>
              <w:spacing w:line="259" w:lineRule="auto"/>
              <w:rPr>
                <w:rFonts w:eastAsia="Calibri" w:cs="Calibri"/>
                <w:color w:val="000000"/>
                <w:sz w:val="20"/>
                <w:szCs w:val="20"/>
              </w:rPr>
            </w:pPr>
            <w:r>
              <w:rPr>
                <w:rFonts w:eastAsia="Calibri" w:cs="Calibri"/>
                <w:color w:val="000000"/>
                <w:sz w:val="20"/>
                <w:szCs w:val="20"/>
              </w:rPr>
              <w:t>National Animal Disease Diagnostics and Epidemiology Centre</w:t>
            </w:r>
          </w:p>
        </w:tc>
        <w:tc>
          <w:tcPr>
            <w:tcW w:w="3221" w:type="dxa"/>
          </w:tcPr>
          <w:p w14:paraId="17D78193" w14:textId="6CC2060C" w:rsidR="799C467C" w:rsidRPr="00BB4743" w:rsidRDefault="38624E8B" w:rsidP="00BB4743">
            <w:pPr>
              <w:spacing w:line="259" w:lineRule="auto"/>
              <w:rPr>
                <w:rFonts w:eastAsia="Calibri" w:cs="Calibri"/>
                <w:color w:val="000000"/>
                <w:sz w:val="20"/>
                <w:szCs w:val="20"/>
              </w:rPr>
            </w:pPr>
            <w:r w:rsidRPr="00BB4743">
              <w:rPr>
                <w:rFonts w:eastAsia="Calibri" w:cs="Calibri"/>
                <w:color w:val="000000"/>
                <w:sz w:val="20"/>
                <w:szCs w:val="20"/>
              </w:rPr>
              <w:t>Senior Veterinary Officer</w:t>
            </w:r>
          </w:p>
        </w:tc>
      </w:tr>
      <w:tr w:rsidR="64C55F6E" w:rsidRPr="004F2001" w14:paraId="598ADA8A"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3D48DC1E" w14:textId="03FA2B66" w:rsidR="69CA51AF" w:rsidRPr="00BB4743" w:rsidRDefault="62C1866B" w:rsidP="17D077F0">
            <w:pPr>
              <w:spacing w:line="259" w:lineRule="auto"/>
              <w:rPr>
                <w:rFonts w:eastAsia="Calibri" w:cs="Calibri"/>
                <w:b/>
                <w:bCs/>
                <w:color w:val="000000"/>
                <w:sz w:val="20"/>
                <w:szCs w:val="20"/>
              </w:rPr>
            </w:pPr>
            <w:r w:rsidRPr="00BB4743">
              <w:rPr>
                <w:rFonts w:eastAsia="Calibri" w:cs="Calibri"/>
                <w:b/>
                <w:bCs/>
                <w:color w:val="000000"/>
                <w:sz w:val="20"/>
                <w:szCs w:val="20"/>
              </w:rPr>
              <w:t>Merab Acam</w:t>
            </w:r>
          </w:p>
        </w:tc>
        <w:tc>
          <w:tcPr>
            <w:tcW w:w="3221" w:type="dxa"/>
          </w:tcPr>
          <w:p w14:paraId="486C5EC4" w14:textId="61680EE6" w:rsidR="69CA51AF" w:rsidRPr="00BB4743" w:rsidRDefault="00C50850" w:rsidP="00BB4743">
            <w:pPr>
              <w:spacing w:line="259" w:lineRule="auto"/>
              <w:rPr>
                <w:rFonts w:eastAsia="Calibri" w:cs="Calibri"/>
                <w:color w:val="000000"/>
                <w:sz w:val="20"/>
                <w:szCs w:val="20"/>
              </w:rPr>
            </w:pPr>
            <w:r>
              <w:rPr>
                <w:rFonts w:eastAsia="Calibri" w:cs="Calibri"/>
                <w:color w:val="000000"/>
                <w:sz w:val="20"/>
                <w:szCs w:val="20"/>
              </w:rPr>
              <w:t>National Animal Disease Diagnostics and Epidemiology Centre</w:t>
            </w:r>
          </w:p>
        </w:tc>
        <w:tc>
          <w:tcPr>
            <w:tcW w:w="3221" w:type="dxa"/>
          </w:tcPr>
          <w:p w14:paraId="4EB1D60D" w14:textId="3BE228FB" w:rsidR="6E8CC617" w:rsidRPr="00BB4743" w:rsidRDefault="0D03611B" w:rsidP="00BB4743">
            <w:pPr>
              <w:spacing w:line="259" w:lineRule="auto"/>
              <w:rPr>
                <w:rFonts w:eastAsia="Calibri" w:cs="Calibri"/>
                <w:color w:val="000000"/>
                <w:sz w:val="20"/>
                <w:szCs w:val="20"/>
              </w:rPr>
            </w:pPr>
            <w:r w:rsidRPr="00BB4743">
              <w:rPr>
                <w:rFonts w:eastAsia="Calibri" w:cs="Calibri"/>
                <w:color w:val="000000"/>
                <w:sz w:val="20"/>
                <w:szCs w:val="20"/>
              </w:rPr>
              <w:t>Senior Veterinary Officer</w:t>
            </w:r>
          </w:p>
        </w:tc>
      </w:tr>
      <w:tr w:rsidR="64C55F6E" w:rsidRPr="004F2001" w14:paraId="0C4E8051"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641535E0" w14:textId="273313FF" w:rsidR="6E634B9E" w:rsidRPr="00BB4743" w:rsidRDefault="6E634B9E" w:rsidP="000B3487">
            <w:pPr>
              <w:rPr>
                <w:rFonts w:cs="Calibri"/>
                <w:color w:val="FFFFFF" w:themeColor="background1"/>
                <w:sz w:val="20"/>
                <w:szCs w:val="20"/>
              </w:rPr>
            </w:pPr>
            <w:r w:rsidRPr="00BB4743">
              <w:rPr>
                <w:rFonts w:cs="Calibri"/>
                <w:color w:val="FFFFFF" w:themeColor="background1"/>
                <w:sz w:val="20"/>
                <w:szCs w:val="20"/>
              </w:rPr>
              <w:t>AMR Focal Point</w:t>
            </w:r>
          </w:p>
        </w:tc>
      </w:tr>
      <w:tr w:rsidR="64C55F6E" w:rsidRPr="004F2001" w14:paraId="74DA73D9" w14:textId="77777777" w:rsidTr="6A4048FE">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FF036EA" w14:textId="53A4E227" w:rsidR="6974383F" w:rsidRPr="00BB4743" w:rsidRDefault="625112E2" w:rsidP="17D077F0">
            <w:pPr>
              <w:spacing w:line="259" w:lineRule="auto"/>
              <w:rPr>
                <w:rFonts w:eastAsia="Calibri" w:cs="Calibri"/>
                <w:b/>
                <w:bCs/>
                <w:color w:val="000000"/>
                <w:sz w:val="20"/>
                <w:szCs w:val="20"/>
              </w:rPr>
            </w:pPr>
            <w:r w:rsidRPr="00BB4743">
              <w:rPr>
                <w:rFonts w:eastAsia="Calibri" w:cs="Calibri"/>
                <w:b/>
                <w:bCs/>
                <w:color w:val="000000"/>
                <w:sz w:val="20"/>
                <w:szCs w:val="20"/>
              </w:rPr>
              <w:t>Delegated to Dr Harriet Akello</w:t>
            </w:r>
          </w:p>
        </w:tc>
        <w:tc>
          <w:tcPr>
            <w:tcW w:w="3221" w:type="dxa"/>
          </w:tcPr>
          <w:p w14:paraId="5ABA1E1A" w14:textId="201A0234" w:rsidR="6974383F" w:rsidRPr="00BB4743" w:rsidRDefault="625112E2" w:rsidP="00BB4743">
            <w:pPr>
              <w:spacing w:line="259" w:lineRule="auto"/>
              <w:rPr>
                <w:rFonts w:eastAsia="Calibri" w:cs="Calibri"/>
                <w:color w:val="000000"/>
                <w:sz w:val="20"/>
                <w:szCs w:val="20"/>
              </w:rPr>
            </w:pPr>
            <w:r w:rsidRPr="00BB4743">
              <w:rPr>
                <w:rFonts w:eastAsia="Calibri" w:cs="Calibri"/>
                <w:color w:val="000000"/>
                <w:sz w:val="20"/>
                <w:szCs w:val="20"/>
              </w:rPr>
              <w:t>Ministry of Health</w:t>
            </w:r>
          </w:p>
        </w:tc>
        <w:tc>
          <w:tcPr>
            <w:tcW w:w="3221" w:type="dxa"/>
          </w:tcPr>
          <w:p w14:paraId="6653B1CF" w14:textId="54956945" w:rsidR="6974383F" w:rsidRPr="00BB4743" w:rsidRDefault="436A3C10" w:rsidP="00BB4743">
            <w:pPr>
              <w:spacing w:line="259" w:lineRule="auto"/>
              <w:rPr>
                <w:rFonts w:eastAsia="Calibri" w:cs="Calibri"/>
                <w:color w:val="000000"/>
                <w:sz w:val="20"/>
                <w:szCs w:val="20"/>
              </w:rPr>
            </w:pPr>
            <w:r w:rsidRPr="00BB4743">
              <w:rPr>
                <w:rFonts w:eastAsia="Calibri" w:cs="Calibri"/>
                <w:color w:val="000000"/>
                <w:sz w:val="20"/>
                <w:szCs w:val="20"/>
              </w:rPr>
              <w:t xml:space="preserve">Senior </w:t>
            </w:r>
            <w:r w:rsidR="75600621" w:rsidRPr="00BB4743">
              <w:rPr>
                <w:rFonts w:eastAsia="Calibri" w:cs="Calibri"/>
                <w:color w:val="000000"/>
                <w:sz w:val="20"/>
                <w:szCs w:val="20"/>
              </w:rPr>
              <w:t>Pharmacist</w:t>
            </w:r>
          </w:p>
        </w:tc>
      </w:tr>
      <w:tr w:rsidR="64C55F6E" w:rsidRPr="004F2001" w14:paraId="4E396455"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5F638715" w14:textId="3ADA7828" w:rsidR="57F55C50" w:rsidRPr="00BB4743" w:rsidRDefault="00EE3BF1" w:rsidP="17D077F0">
            <w:pPr>
              <w:spacing w:line="259" w:lineRule="auto"/>
              <w:rPr>
                <w:rFonts w:eastAsia="Calibri" w:cs="Calibri"/>
                <w:b/>
                <w:bCs/>
                <w:color w:val="000000"/>
                <w:sz w:val="20"/>
                <w:szCs w:val="20"/>
              </w:rPr>
            </w:pPr>
            <w:r>
              <w:rPr>
                <w:rFonts w:eastAsia="Calibri" w:cs="Calibri"/>
                <w:b/>
                <w:bCs/>
                <w:color w:val="000000"/>
                <w:sz w:val="20"/>
                <w:szCs w:val="20"/>
              </w:rPr>
              <w:t xml:space="preserve">Dr </w:t>
            </w:r>
            <w:r w:rsidR="67B1FAC7" w:rsidRPr="00BB4743">
              <w:rPr>
                <w:rFonts w:eastAsia="Calibri" w:cs="Calibri"/>
                <w:b/>
                <w:bCs/>
                <w:color w:val="000000"/>
                <w:sz w:val="20"/>
                <w:szCs w:val="20"/>
              </w:rPr>
              <w:t>Anna Rose Ademun</w:t>
            </w:r>
          </w:p>
        </w:tc>
        <w:tc>
          <w:tcPr>
            <w:tcW w:w="3221" w:type="dxa"/>
          </w:tcPr>
          <w:p w14:paraId="72FFBFEB" w14:textId="70107D0C" w:rsidR="57F55C50" w:rsidRPr="00BB4743" w:rsidRDefault="0048215B" w:rsidP="00BB4743">
            <w:pPr>
              <w:spacing w:line="259" w:lineRule="auto"/>
              <w:rPr>
                <w:rFonts w:eastAsia="Calibri" w:cs="Calibri"/>
                <w:color w:val="000000"/>
                <w:sz w:val="20"/>
                <w:szCs w:val="20"/>
              </w:rPr>
            </w:pPr>
            <w:r w:rsidRPr="0048215B">
              <w:rPr>
                <w:rFonts w:eastAsia="Calibri" w:cs="Calibri"/>
                <w:color w:val="000000"/>
                <w:sz w:val="20"/>
                <w:szCs w:val="20"/>
              </w:rPr>
              <w:t>Ministry of Agriculture, Animal Industry and Fisheries</w:t>
            </w:r>
          </w:p>
        </w:tc>
        <w:tc>
          <w:tcPr>
            <w:tcW w:w="3221" w:type="dxa"/>
          </w:tcPr>
          <w:p w14:paraId="450898D9" w14:textId="116396FC" w:rsidR="57F55C50" w:rsidRPr="00BB4743" w:rsidRDefault="67B1FAC7" w:rsidP="00BB4743">
            <w:pPr>
              <w:spacing w:line="259" w:lineRule="auto"/>
              <w:rPr>
                <w:rFonts w:eastAsia="Calibri" w:cs="Calibri"/>
                <w:color w:val="000000"/>
                <w:sz w:val="20"/>
                <w:szCs w:val="20"/>
              </w:rPr>
            </w:pPr>
            <w:r w:rsidRPr="00BB4743">
              <w:rPr>
                <w:rFonts w:eastAsia="Calibri" w:cs="Calibri"/>
                <w:color w:val="000000"/>
                <w:sz w:val="20"/>
                <w:szCs w:val="20"/>
              </w:rPr>
              <w:t xml:space="preserve">Commissioner </w:t>
            </w:r>
            <w:r w:rsidR="00265143" w:rsidRPr="00BB4743">
              <w:rPr>
                <w:rFonts w:eastAsia="Calibri" w:cs="Calibri"/>
                <w:color w:val="000000"/>
                <w:sz w:val="20"/>
                <w:szCs w:val="20"/>
              </w:rPr>
              <w:t>AH</w:t>
            </w:r>
          </w:p>
        </w:tc>
      </w:tr>
      <w:tr w:rsidR="64C55F6E" w:rsidRPr="004F2001" w14:paraId="70C57F19"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328C10C8" w14:textId="36890795" w:rsidR="64C55F6E" w:rsidRPr="00BB4743" w:rsidRDefault="64C55F6E" w:rsidP="000B3487">
            <w:pPr>
              <w:spacing w:line="259" w:lineRule="auto"/>
              <w:rPr>
                <w:rFonts w:cs="Calibri"/>
                <w:color w:val="FFFFFF" w:themeColor="background1"/>
                <w:sz w:val="20"/>
                <w:szCs w:val="20"/>
              </w:rPr>
            </w:pPr>
            <w:r w:rsidRPr="00BB4743">
              <w:rPr>
                <w:rFonts w:cs="Calibri"/>
                <w:color w:val="FFFFFF" w:themeColor="background1"/>
                <w:sz w:val="20"/>
                <w:szCs w:val="20"/>
              </w:rPr>
              <w:t>GLASS Focal Point</w:t>
            </w:r>
          </w:p>
        </w:tc>
      </w:tr>
      <w:tr w:rsidR="64C55F6E" w:rsidRPr="004F2001" w14:paraId="6AA069E8"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4B7A2EBD" w14:textId="7D6E18AB" w:rsidR="1FBC1F07" w:rsidRPr="00BB4743" w:rsidRDefault="00EE3BF1" w:rsidP="17D077F0">
            <w:pPr>
              <w:spacing w:line="259" w:lineRule="auto"/>
              <w:rPr>
                <w:rFonts w:eastAsia="Calibri" w:cs="Calibri"/>
                <w:b/>
                <w:bCs/>
                <w:color w:val="000000"/>
                <w:sz w:val="20"/>
                <w:szCs w:val="20"/>
              </w:rPr>
            </w:pPr>
            <w:r>
              <w:rPr>
                <w:rFonts w:eastAsia="Calibri" w:cs="Calibri"/>
                <w:b/>
                <w:bCs/>
                <w:color w:val="000000"/>
                <w:sz w:val="20"/>
                <w:szCs w:val="20"/>
              </w:rPr>
              <w:t xml:space="preserve">Dr </w:t>
            </w:r>
            <w:r w:rsidR="16B7B1D8" w:rsidRPr="00BB4743">
              <w:rPr>
                <w:rFonts w:eastAsia="Calibri" w:cs="Calibri"/>
                <w:b/>
                <w:bCs/>
                <w:color w:val="000000"/>
                <w:sz w:val="20"/>
                <w:szCs w:val="20"/>
              </w:rPr>
              <w:t>Grace Najjjuka</w:t>
            </w:r>
          </w:p>
        </w:tc>
        <w:tc>
          <w:tcPr>
            <w:tcW w:w="3221" w:type="dxa"/>
          </w:tcPr>
          <w:p w14:paraId="6D5F0B89" w14:textId="439A19FD" w:rsidR="1FBC1F07" w:rsidRPr="00BB4743" w:rsidRDefault="16B7B1D8" w:rsidP="00BB4743">
            <w:pPr>
              <w:spacing w:line="259" w:lineRule="auto"/>
              <w:rPr>
                <w:rFonts w:eastAsia="Calibri" w:cs="Calibri"/>
                <w:color w:val="000000"/>
                <w:sz w:val="20"/>
                <w:szCs w:val="20"/>
              </w:rPr>
            </w:pPr>
            <w:r w:rsidRPr="00BB4743">
              <w:rPr>
                <w:rFonts w:eastAsia="Calibri" w:cs="Calibri"/>
                <w:color w:val="000000"/>
                <w:sz w:val="20"/>
                <w:szCs w:val="20"/>
              </w:rPr>
              <w:t xml:space="preserve">Uganda </w:t>
            </w:r>
            <w:r w:rsidR="00C50850">
              <w:rPr>
                <w:rFonts w:eastAsia="Calibri" w:cs="Calibri"/>
                <w:color w:val="000000"/>
                <w:sz w:val="20"/>
                <w:szCs w:val="20"/>
              </w:rPr>
              <w:t>NRL</w:t>
            </w:r>
          </w:p>
        </w:tc>
        <w:tc>
          <w:tcPr>
            <w:tcW w:w="3221" w:type="dxa"/>
          </w:tcPr>
          <w:p w14:paraId="3B6E0CA9" w14:textId="6BBEE157" w:rsidR="1FBC1F07" w:rsidRPr="00BB4743" w:rsidRDefault="16B7B1D8" w:rsidP="00BB4743">
            <w:pPr>
              <w:spacing w:line="259" w:lineRule="auto"/>
              <w:rPr>
                <w:rFonts w:eastAsia="Calibri" w:cs="Calibri"/>
                <w:color w:val="000000"/>
                <w:sz w:val="20"/>
                <w:szCs w:val="20"/>
              </w:rPr>
            </w:pPr>
            <w:r w:rsidRPr="00BB4743">
              <w:rPr>
                <w:rFonts w:eastAsia="Calibri" w:cs="Calibri"/>
                <w:color w:val="000000"/>
                <w:sz w:val="20"/>
                <w:szCs w:val="20"/>
              </w:rPr>
              <w:t>Director National Microbiology Reference Laboratory</w:t>
            </w:r>
          </w:p>
        </w:tc>
      </w:tr>
      <w:tr w:rsidR="64C55F6E" w:rsidRPr="004F2001" w14:paraId="40364E02"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663" w:type="dxa"/>
            <w:gridSpan w:val="3"/>
            <w:shd w:val="clear" w:color="auto" w:fill="96C286" w:themeFill="text2" w:themeFillTint="99"/>
          </w:tcPr>
          <w:p w14:paraId="55DE6022" w14:textId="77777777" w:rsidR="64C55F6E" w:rsidRPr="00BB4743" w:rsidRDefault="64C55F6E" w:rsidP="000B3487">
            <w:pPr>
              <w:rPr>
                <w:rFonts w:cs="Calibri"/>
                <w:color w:val="FFFFFF" w:themeColor="background1"/>
                <w:sz w:val="20"/>
                <w:szCs w:val="20"/>
              </w:rPr>
            </w:pPr>
            <w:r w:rsidRPr="00BB4743">
              <w:rPr>
                <w:rFonts w:cs="Calibri"/>
                <w:color w:val="FFFFFF" w:themeColor="background1"/>
                <w:sz w:val="20"/>
                <w:szCs w:val="20"/>
              </w:rPr>
              <w:t>Development Partners/ Academia</w:t>
            </w:r>
          </w:p>
        </w:tc>
      </w:tr>
      <w:tr w:rsidR="64C55F6E" w:rsidRPr="004F2001" w14:paraId="32E4064B"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14FD2B85" w14:textId="66466455" w:rsidR="1E7ACFDC" w:rsidRPr="00BB4743" w:rsidRDefault="4DCCAA6C" w:rsidP="17D077F0">
            <w:pPr>
              <w:spacing w:line="259" w:lineRule="auto"/>
              <w:rPr>
                <w:rFonts w:eastAsia="Calibri" w:cs="Calibri"/>
                <w:b/>
                <w:bCs/>
                <w:color w:val="000000"/>
                <w:sz w:val="20"/>
                <w:szCs w:val="20"/>
              </w:rPr>
            </w:pPr>
            <w:r w:rsidRPr="00BB4743">
              <w:rPr>
                <w:rFonts w:eastAsia="Calibri" w:cs="Calibri"/>
                <w:b/>
                <w:bCs/>
                <w:color w:val="000000"/>
                <w:sz w:val="20"/>
                <w:szCs w:val="20"/>
              </w:rPr>
              <w:t>Prof Joel Bazira</w:t>
            </w:r>
          </w:p>
        </w:tc>
        <w:tc>
          <w:tcPr>
            <w:tcW w:w="3221" w:type="dxa"/>
          </w:tcPr>
          <w:p w14:paraId="0763F34D" w14:textId="478AD046" w:rsidR="1E7ACFDC" w:rsidRPr="00BB4743" w:rsidRDefault="4DCCAA6C" w:rsidP="00BB4743">
            <w:pPr>
              <w:spacing w:line="259" w:lineRule="auto"/>
              <w:rPr>
                <w:rFonts w:eastAsia="Calibri" w:cs="Calibri"/>
                <w:color w:val="000000"/>
                <w:sz w:val="20"/>
                <w:szCs w:val="20"/>
              </w:rPr>
            </w:pPr>
            <w:r w:rsidRPr="00BB4743">
              <w:rPr>
                <w:rFonts w:eastAsia="Calibri" w:cs="Calibri"/>
                <w:color w:val="000000"/>
                <w:sz w:val="20"/>
                <w:szCs w:val="20"/>
              </w:rPr>
              <w:t xml:space="preserve">Mbarara </w:t>
            </w:r>
            <w:r w:rsidR="00C50850" w:rsidRPr="00C50850">
              <w:rPr>
                <w:rFonts w:eastAsia="Calibri" w:cs="Calibri"/>
                <w:color w:val="000000"/>
                <w:sz w:val="20"/>
                <w:szCs w:val="20"/>
              </w:rPr>
              <w:t>Universit</w:t>
            </w:r>
            <w:r w:rsidRPr="00BB4743">
              <w:rPr>
                <w:rFonts w:eastAsia="Calibri" w:cs="Calibri"/>
                <w:color w:val="000000"/>
                <w:sz w:val="20"/>
                <w:szCs w:val="20"/>
              </w:rPr>
              <w:t>y</w:t>
            </w:r>
          </w:p>
        </w:tc>
        <w:tc>
          <w:tcPr>
            <w:tcW w:w="3221" w:type="dxa"/>
          </w:tcPr>
          <w:p w14:paraId="4A35B9B9" w14:textId="4BBD235E" w:rsidR="1E7ACFDC" w:rsidRPr="00BB4743" w:rsidRDefault="4DCCAA6C" w:rsidP="00BB4743">
            <w:pPr>
              <w:spacing w:line="259" w:lineRule="auto"/>
              <w:rPr>
                <w:rFonts w:eastAsia="Calibri" w:cs="Calibri"/>
                <w:color w:val="000000"/>
                <w:sz w:val="20"/>
                <w:szCs w:val="20"/>
              </w:rPr>
            </w:pPr>
            <w:r w:rsidRPr="00BB4743">
              <w:rPr>
                <w:rFonts w:eastAsia="Calibri" w:cs="Calibri"/>
                <w:color w:val="000000"/>
                <w:sz w:val="20"/>
                <w:szCs w:val="20"/>
              </w:rPr>
              <w:t>Head of Department Microbiology, Mbarara University</w:t>
            </w:r>
          </w:p>
        </w:tc>
      </w:tr>
      <w:tr w:rsidR="64C55F6E" w:rsidRPr="004F2001" w14:paraId="4D8B6DFE"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62FA8752" w14:textId="7E97DECD" w:rsidR="1E7ACFDC" w:rsidRPr="00BB4743" w:rsidRDefault="4DCCAA6C" w:rsidP="17D077F0">
            <w:pPr>
              <w:spacing w:line="259" w:lineRule="auto"/>
              <w:rPr>
                <w:rFonts w:eastAsia="Calibri" w:cs="Calibri"/>
                <w:b/>
                <w:bCs/>
                <w:color w:val="000000"/>
                <w:sz w:val="20"/>
                <w:szCs w:val="20"/>
              </w:rPr>
            </w:pPr>
            <w:r w:rsidRPr="00BB4743">
              <w:rPr>
                <w:rFonts w:eastAsia="Calibri" w:cs="Calibri"/>
                <w:b/>
                <w:bCs/>
                <w:color w:val="000000"/>
                <w:sz w:val="20"/>
                <w:szCs w:val="20"/>
              </w:rPr>
              <w:t>Wilberforce Owembabazi</w:t>
            </w:r>
          </w:p>
        </w:tc>
        <w:tc>
          <w:tcPr>
            <w:tcW w:w="3221" w:type="dxa"/>
          </w:tcPr>
          <w:p w14:paraId="165A3E8A" w14:textId="377A7A0A" w:rsidR="1E7ACFDC" w:rsidRPr="00BB4743" w:rsidRDefault="4DCCAA6C" w:rsidP="00BB4743">
            <w:pPr>
              <w:spacing w:line="259" w:lineRule="auto"/>
              <w:rPr>
                <w:rFonts w:eastAsia="Calibri" w:cs="Calibri"/>
                <w:color w:val="000000"/>
                <w:sz w:val="20"/>
                <w:szCs w:val="20"/>
              </w:rPr>
            </w:pPr>
            <w:r w:rsidRPr="00BB4743">
              <w:rPr>
                <w:rFonts w:eastAsia="Calibri" w:cs="Calibri"/>
                <w:color w:val="000000"/>
                <w:sz w:val="20"/>
                <w:szCs w:val="20"/>
              </w:rPr>
              <w:t>USAID</w:t>
            </w:r>
          </w:p>
        </w:tc>
        <w:tc>
          <w:tcPr>
            <w:tcW w:w="3221" w:type="dxa"/>
          </w:tcPr>
          <w:p w14:paraId="485743E1" w14:textId="25EBE793" w:rsidR="1E7ACFDC" w:rsidRPr="00BB4743" w:rsidRDefault="4DCCAA6C" w:rsidP="00BB4743">
            <w:pPr>
              <w:spacing w:line="259" w:lineRule="auto"/>
              <w:rPr>
                <w:rFonts w:eastAsia="Calibri" w:cs="Calibri"/>
                <w:color w:val="000000"/>
                <w:sz w:val="20"/>
                <w:szCs w:val="20"/>
              </w:rPr>
            </w:pPr>
            <w:r w:rsidRPr="00BB4743">
              <w:rPr>
                <w:rFonts w:eastAsia="Calibri" w:cs="Calibri"/>
                <w:color w:val="000000"/>
                <w:sz w:val="20"/>
                <w:szCs w:val="20"/>
              </w:rPr>
              <w:t>Project Management Specialist/Global Health Security Lead</w:t>
            </w:r>
          </w:p>
        </w:tc>
      </w:tr>
      <w:tr w:rsidR="64C55F6E" w:rsidRPr="004F2001" w14:paraId="62621173"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663" w:type="dxa"/>
            <w:gridSpan w:val="3"/>
            <w:shd w:val="clear" w:color="auto" w:fill="96C286" w:themeFill="text2" w:themeFillTint="99"/>
          </w:tcPr>
          <w:p w14:paraId="35FB4810" w14:textId="77777777" w:rsidR="64C55F6E" w:rsidRPr="00BB4743" w:rsidRDefault="64C55F6E" w:rsidP="000B3487">
            <w:pPr>
              <w:rPr>
                <w:rFonts w:cs="Calibri"/>
                <w:color w:val="FFFFFF" w:themeColor="background1"/>
                <w:sz w:val="20"/>
                <w:szCs w:val="20"/>
              </w:rPr>
            </w:pPr>
            <w:r w:rsidRPr="00BB4743">
              <w:rPr>
                <w:rFonts w:cs="Calibri"/>
                <w:color w:val="FFFFFF" w:themeColor="background1"/>
                <w:sz w:val="20"/>
                <w:szCs w:val="20"/>
              </w:rPr>
              <w:t>NRL &amp; Site Visit</w:t>
            </w:r>
          </w:p>
        </w:tc>
      </w:tr>
      <w:tr w:rsidR="64C55F6E" w:rsidRPr="004F2001" w14:paraId="2EC2A515"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5041AE00" w14:textId="5D554D8E" w:rsidR="1C1FC234" w:rsidRPr="00BB4743" w:rsidRDefault="00EE3BF1" w:rsidP="17D077F0">
            <w:pPr>
              <w:spacing w:line="259" w:lineRule="auto"/>
              <w:rPr>
                <w:rFonts w:eastAsia="Calibri" w:cs="Calibri"/>
                <w:b/>
                <w:bCs/>
                <w:color w:val="000000"/>
                <w:sz w:val="20"/>
                <w:szCs w:val="20"/>
              </w:rPr>
            </w:pPr>
            <w:r>
              <w:rPr>
                <w:rFonts w:eastAsia="Calibri" w:cs="Calibri"/>
                <w:b/>
                <w:bCs/>
                <w:color w:val="000000"/>
                <w:sz w:val="20"/>
                <w:szCs w:val="20"/>
              </w:rPr>
              <w:t xml:space="preserve">Dr </w:t>
            </w:r>
            <w:r w:rsidR="5E312274" w:rsidRPr="00BB4743">
              <w:rPr>
                <w:rFonts w:eastAsia="Calibri" w:cs="Calibri"/>
                <w:b/>
                <w:bCs/>
                <w:color w:val="000000"/>
                <w:sz w:val="20"/>
                <w:szCs w:val="20"/>
              </w:rPr>
              <w:t>Grace Najjjuka</w:t>
            </w:r>
            <w:r w:rsidR="5FD33DCA" w:rsidRPr="00BB4743">
              <w:rPr>
                <w:rFonts w:eastAsia="Calibri" w:cs="Calibri"/>
                <w:b/>
                <w:bCs/>
                <w:color w:val="000000"/>
                <w:sz w:val="20"/>
                <w:szCs w:val="20"/>
              </w:rPr>
              <w:t>*</w:t>
            </w:r>
          </w:p>
        </w:tc>
        <w:tc>
          <w:tcPr>
            <w:tcW w:w="3221" w:type="dxa"/>
          </w:tcPr>
          <w:p w14:paraId="2AED9498" w14:textId="04AE930C" w:rsidR="1C1FC234" w:rsidRPr="00BB4743" w:rsidRDefault="5E312274" w:rsidP="00BB4743">
            <w:pPr>
              <w:spacing w:line="259" w:lineRule="auto"/>
              <w:rPr>
                <w:rFonts w:eastAsia="Calibri" w:cs="Calibri"/>
                <w:color w:val="000000"/>
                <w:sz w:val="20"/>
                <w:szCs w:val="20"/>
              </w:rPr>
            </w:pPr>
            <w:r w:rsidRPr="00BB4743">
              <w:rPr>
                <w:rFonts w:eastAsia="Calibri" w:cs="Calibri"/>
                <w:color w:val="000000"/>
                <w:sz w:val="20"/>
                <w:szCs w:val="20"/>
              </w:rPr>
              <w:t xml:space="preserve">Uganda </w:t>
            </w:r>
            <w:r w:rsidR="00C50850">
              <w:rPr>
                <w:rFonts w:eastAsia="Calibri" w:cs="Calibri"/>
                <w:color w:val="000000"/>
                <w:sz w:val="20"/>
                <w:szCs w:val="20"/>
              </w:rPr>
              <w:t>NRL</w:t>
            </w:r>
          </w:p>
        </w:tc>
        <w:tc>
          <w:tcPr>
            <w:tcW w:w="3221" w:type="dxa"/>
          </w:tcPr>
          <w:p w14:paraId="0C5E1981" w14:textId="5027C579" w:rsidR="1C1FC234" w:rsidRPr="00BB4743" w:rsidRDefault="5E312274" w:rsidP="00BB4743">
            <w:pPr>
              <w:spacing w:line="259" w:lineRule="auto"/>
              <w:rPr>
                <w:rFonts w:eastAsia="Calibri" w:cs="Calibri"/>
                <w:color w:val="000000"/>
                <w:sz w:val="20"/>
                <w:szCs w:val="20"/>
              </w:rPr>
            </w:pPr>
            <w:r w:rsidRPr="00BB4743">
              <w:rPr>
                <w:rFonts w:eastAsia="Calibri" w:cs="Calibri"/>
                <w:color w:val="000000"/>
                <w:sz w:val="20"/>
                <w:szCs w:val="20"/>
              </w:rPr>
              <w:t>Director National Microbiology Reference Laboratory</w:t>
            </w:r>
          </w:p>
        </w:tc>
      </w:tr>
      <w:tr w:rsidR="64C55F6E" w:rsidRPr="004F2001" w14:paraId="2EC8D4E7"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6B2EFD60" w14:textId="45FF5818" w:rsidR="4AC4D4F0" w:rsidRPr="00BB4743" w:rsidRDefault="3DCDB936" w:rsidP="17D077F0">
            <w:pPr>
              <w:spacing w:line="259" w:lineRule="auto"/>
              <w:rPr>
                <w:rFonts w:eastAsia="Calibri" w:cs="Calibri"/>
                <w:b/>
                <w:bCs/>
                <w:color w:val="000000"/>
                <w:sz w:val="20"/>
                <w:szCs w:val="20"/>
              </w:rPr>
            </w:pPr>
            <w:r w:rsidRPr="00BB4743">
              <w:rPr>
                <w:rFonts w:eastAsia="Calibri" w:cs="Calibri"/>
                <w:b/>
                <w:bCs/>
                <w:color w:val="000000"/>
                <w:sz w:val="20"/>
                <w:szCs w:val="20"/>
              </w:rPr>
              <w:t>Andrew Mbonye</w:t>
            </w:r>
          </w:p>
        </w:tc>
        <w:tc>
          <w:tcPr>
            <w:tcW w:w="3221" w:type="dxa"/>
          </w:tcPr>
          <w:p w14:paraId="2F4184B1" w14:textId="3E5289E2"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Kabale Regional Referral Hospital</w:t>
            </w:r>
          </w:p>
        </w:tc>
        <w:tc>
          <w:tcPr>
            <w:tcW w:w="3221" w:type="dxa"/>
          </w:tcPr>
          <w:p w14:paraId="00116DB4" w14:textId="68CF71D1"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Laboratory Manager</w:t>
            </w:r>
          </w:p>
        </w:tc>
      </w:tr>
      <w:tr w:rsidR="64C55F6E" w:rsidRPr="004F2001" w14:paraId="49048351"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03E5E933" w14:textId="692D6C64" w:rsidR="4AC4D4F0" w:rsidRPr="00BB4743" w:rsidRDefault="3DCDB936" w:rsidP="17D077F0">
            <w:pPr>
              <w:spacing w:line="259" w:lineRule="auto"/>
              <w:rPr>
                <w:rFonts w:eastAsia="Calibri" w:cs="Calibri"/>
                <w:b/>
                <w:bCs/>
                <w:color w:val="000000"/>
                <w:sz w:val="20"/>
                <w:szCs w:val="20"/>
              </w:rPr>
            </w:pPr>
            <w:r w:rsidRPr="00BB4743">
              <w:rPr>
                <w:rFonts w:eastAsia="Calibri" w:cs="Calibri"/>
                <w:b/>
                <w:bCs/>
                <w:color w:val="000000"/>
                <w:sz w:val="20"/>
                <w:szCs w:val="20"/>
              </w:rPr>
              <w:t>Chrispus Ngabirano</w:t>
            </w:r>
          </w:p>
        </w:tc>
        <w:tc>
          <w:tcPr>
            <w:tcW w:w="3221" w:type="dxa"/>
          </w:tcPr>
          <w:p w14:paraId="205C6A69" w14:textId="797F9F7A"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Kabale Regional Referral Hospital</w:t>
            </w:r>
          </w:p>
        </w:tc>
        <w:tc>
          <w:tcPr>
            <w:tcW w:w="3221" w:type="dxa"/>
          </w:tcPr>
          <w:p w14:paraId="4BF77398" w14:textId="0E6D61AE"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Microbiologist</w:t>
            </w:r>
          </w:p>
        </w:tc>
      </w:tr>
      <w:tr w:rsidR="64C55F6E" w:rsidRPr="004F2001" w14:paraId="26FF5952"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11005A00" w14:textId="3F18984B" w:rsidR="4AC4D4F0" w:rsidRPr="00BB4743" w:rsidRDefault="00EE3BF1" w:rsidP="17D077F0">
            <w:pPr>
              <w:spacing w:line="259" w:lineRule="auto"/>
              <w:rPr>
                <w:rFonts w:eastAsia="Calibri" w:cs="Calibri"/>
                <w:b/>
                <w:bCs/>
                <w:color w:val="000000"/>
                <w:sz w:val="20"/>
                <w:szCs w:val="20"/>
              </w:rPr>
            </w:pPr>
            <w:r>
              <w:rPr>
                <w:rFonts w:eastAsia="Calibri" w:cs="Calibri"/>
                <w:b/>
                <w:bCs/>
                <w:color w:val="000000"/>
                <w:sz w:val="20"/>
                <w:szCs w:val="20"/>
              </w:rPr>
              <w:t xml:space="preserve">Dr </w:t>
            </w:r>
            <w:r w:rsidR="3DCDB936" w:rsidRPr="00BB4743">
              <w:rPr>
                <w:rFonts w:eastAsia="Calibri" w:cs="Calibri"/>
                <w:b/>
                <w:bCs/>
                <w:color w:val="000000"/>
                <w:sz w:val="20"/>
                <w:szCs w:val="20"/>
              </w:rPr>
              <w:t>Celestine Barigye</w:t>
            </w:r>
          </w:p>
        </w:tc>
        <w:tc>
          <w:tcPr>
            <w:tcW w:w="3221" w:type="dxa"/>
          </w:tcPr>
          <w:p w14:paraId="5CEB9053" w14:textId="1E99C6DE"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Mbarara Hospital</w:t>
            </w:r>
          </w:p>
        </w:tc>
        <w:tc>
          <w:tcPr>
            <w:tcW w:w="3221" w:type="dxa"/>
          </w:tcPr>
          <w:p w14:paraId="1CA3AC7E" w14:textId="22DBDC7F"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Hospital Director</w:t>
            </w:r>
          </w:p>
        </w:tc>
      </w:tr>
      <w:tr w:rsidR="64C55F6E" w:rsidRPr="004F2001" w14:paraId="35B59A83"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75F748CC" w14:textId="1E19D11D" w:rsidR="4AC4D4F0" w:rsidRPr="00BB4743" w:rsidRDefault="3DCDB936" w:rsidP="17D077F0">
            <w:pPr>
              <w:spacing w:line="259" w:lineRule="auto"/>
              <w:rPr>
                <w:rFonts w:eastAsia="Calibri" w:cs="Calibri"/>
                <w:b/>
                <w:bCs/>
                <w:color w:val="000000"/>
                <w:sz w:val="20"/>
                <w:szCs w:val="20"/>
              </w:rPr>
            </w:pPr>
            <w:r w:rsidRPr="00BB4743">
              <w:rPr>
                <w:rFonts w:eastAsia="Calibri" w:cs="Calibri"/>
                <w:b/>
                <w:bCs/>
                <w:color w:val="000000"/>
                <w:sz w:val="20"/>
                <w:szCs w:val="20"/>
              </w:rPr>
              <w:t>Professor Francis Oriokot</w:t>
            </w:r>
          </w:p>
        </w:tc>
        <w:tc>
          <w:tcPr>
            <w:tcW w:w="3221" w:type="dxa"/>
          </w:tcPr>
          <w:p w14:paraId="1F3D7C1B" w14:textId="51A0B922"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Mbarara Hospital</w:t>
            </w:r>
          </w:p>
        </w:tc>
        <w:tc>
          <w:tcPr>
            <w:tcW w:w="3221" w:type="dxa"/>
          </w:tcPr>
          <w:p w14:paraId="35A4A5A6" w14:textId="7F53D324"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Senior Consultant</w:t>
            </w:r>
          </w:p>
        </w:tc>
      </w:tr>
      <w:tr w:rsidR="64C55F6E" w:rsidRPr="004F2001" w14:paraId="439E7AF2"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5DC53401" w14:textId="1E6ECB70" w:rsidR="4AC4D4F0" w:rsidRPr="00BB4743" w:rsidRDefault="00EE3BF1" w:rsidP="17D077F0">
            <w:pPr>
              <w:spacing w:line="259" w:lineRule="auto"/>
              <w:rPr>
                <w:rFonts w:eastAsia="Calibri" w:cs="Calibri"/>
                <w:b/>
                <w:bCs/>
                <w:color w:val="000000"/>
                <w:sz w:val="20"/>
                <w:szCs w:val="20"/>
              </w:rPr>
            </w:pPr>
            <w:r>
              <w:rPr>
                <w:rFonts w:eastAsia="Calibri" w:cs="Calibri"/>
                <w:b/>
                <w:bCs/>
                <w:color w:val="000000"/>
                <w:sz w:val="20"/>
                <w:szCs w:val="20"/>
              </w:rPr>
              <w:t xml:space="preserve">Dr </w:t>
            </w:r>
            <w:r w:rsidR="3DCDB936" w:rsidRPr="00BB4743">
              <w:rPr>
                <w:rFonts w:eastAsia="Calibri" w:cs="Calibri"/>
                <w:b/>
                <w:bCs/>
                <w:color w:val="000000"/>
                <w:sz w:val="20"/>
                <w:szCs w:val="20"/>
              </w:rPr>
              <w:t>William Olum Pjathui</w:t>
            </w:r>
          </w:p>
        </w:tc>
        <w:tc>
          <w:tcPr>
            <w:tcW w:w="3221" w:type="dxa"/>
          </w:tcPr>
          <w:p w14:paraId="7523E69D" w14:textId="4B0994E5"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Jinja Regional Hospital</w:t>
            </w:r>
          </w:p>
        </w:tc>
        <w:tc>
          <w:tcPr>
            <w:tcW w:w="3221" w:type="dxa"/>
          </w:tcPr>
          <w:p w14:paraId="2CC914EA" w14:textId="58E474C2"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Principal Pharmacist</w:t>
            </w:r>
          </w:p>
        </w:tc>
      </w:tr>
      <w:tr w:rsidR="64C55F6E" w:rsidRPr="004F2001" w14:paraId="287B4F38"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2E7665AB" w14:textId="6E18E64B" w:rsidR="4AC4D4F0" w:rsidRPr="00BB4743" w:rsidRDefault="3DCDB936" w:rsidP="17D077F0">
            <w:pPr>
              <w:spacing w:line="259" w:lineRule="auto"/>
              <w:rPr>
                <w:rFonts w:eastAsia="Calibri" w:cs="Calibri"/>
                <w:b/>
                <w:bCs/>
                <w:color w:val="000000"/>
                <w:sz w:val="20"/>
                <w:szCs w:val="20"/>
              </w:rPr>
            </w:pPr>
            <w:r w:rsidRPr="00BB4743">
              <w:rPr>
                <w:rFonts w:eastAsia="Calibri" w:cs="Calibri"/>
                <w:b/>
                <w:bCs/>
                <w:color w:val="000000"/>
                <w:sz w:val="20"/>
                <w:szCs w:val="20"/>
              </w:rPr>
              <w:t>Didas Atwebembere</w:t>
            </w:r>
          </w:p>
        </w:tc>
        <w:tc>
          <w:tcPr>
            <w:tcW w:w="3221" w:type="dxa"/>
          </w:tcPr>
          <w:p w14:paraId="7C5BAAE0" w14:textId="7437E391"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Mbale Regional Referral Hospital</w:t>
            </w:r>
          </w:p>
        </w:tc>
        <w:tc>
          <w:tcPr>
            <w:tcW w:w="3221" w:type="dxa"/>
          </w:tcPr>
          <w:p w14:paraId="4EA3BF3E" w14:textId="0307B44B"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Head of Laboratory</w:t>
            </w:r>
          </w:p>
        </w:tc>
      </w:tr>
      <w:tr w:rsidR="64C55F6E" w:rsidRPr="004F2001" w14:paraId="1ED19433"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3B97D0D3" w14:textId="322C8630" w:rsidR="4AC4D4F0" w:rsidRPr="00BB4743" w:rsidRDefault="3DCDB936" w:rsidP="17D077F0">
            <w:pPr>
              <w:spacing w:line="259" w:lineRule="auto"/>
              <w:rPr>
                <w:rFonts w:eastAsia="Calibri" w:cs="Calibri"/>
                <w:b/>
                <w:bCs/>
                <w:color w:val="000000"/>
                <w:sz w:val="20"/>
                <w:szCs w:val="20"/>
              </w:rPr>
            </w:pPr>
            <w:r w:rsidRPr="00BB4743">
              <w:rPr>
                <w:rFonts w:eastAsia="Calibri" w:cs="Calibri"/>
                <w:b/>
                <w:bCs/>
                <w:color w:val="000000"/>
                <w:sz w:val="20"/>
                <w:szCs w:val="20"/>
              </w:rPr>
              <w:t>Phiona Katami</w:t>
            </w:r>
          </w:p>
        </w:tc>
        <w:tc>
          <w:tcPr>
            <w:tcW w:w="3221" w:type="dxa"/>
          </w:tcPr>
          <w:p w14:paraId="5D152346" w14:textId="363BC7BF"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Mbale Regional Referral Hospital</w:t>
            </w:r>
          </w:p>
        </w:tc>
        <w:tc>
          <w:tcPr>
            <w:tcW w:w="3221" w:type="dxa"/>
          </w:tcPr>
          <w:p w14:paraId="68D30F78" w14:textId="063FFAEB"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Head of Quality Assurance</w:t>
            </w:r>
          </w:p>
        </w:tc>
      </w:tr>
      <w:tr w:rsidR="64C55F6E" w:rsidRPr="004F2001" w14:paraId="71745808"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221" w:type="dxa"/>
          </w:tcPr>
          <w:p w14:paraId="3C7A217B" w14:textId="384BE6B0" w:rsidR="4AC4D4F0" w:rsidRPr="00BB4743" w:rsidRDefault="3DCDB936" w:rsidP="17D077F0">
            <w:pPr>
              <w:spacing w:line="259" w:lineRule="auto"/>
              <w:rPr>
                <w:rFonts w:eastAsia="Calibri" w:cs="Calibri"/>
                <w:b/>
                <w:bCs/>
                <w:color w:val="000000"/>
                <w:sz w:val="20"/>
                <w:szCs w:val="20"/>
              </w:rPr>
            </w:pPr>
            <w:r w:rsidRPr="00BB4743">
              <w:rPr>
                <w:rFonts w:eastAsia="Calibri" w:cs="Calibri"/>
                <w:b/>
                <w:bCs/>
                <w:color w:val="000000"/>
                <w:sz w:val="20"/>
                <w:szCs w:val="20"/>
              </w:rPr>
              <w:t>Philip</w:t>
            </w:r>
            <w:r w:rsidR="007458AC" w:rsidRPr="00BB4743">
              <w:rPr>
                <w:rFonts w:eastAsia="Calibri" w:cs="Calibri"/>
                <w:b/>
                <w:bCs/>
                <w:color w:val="000000"/>
                <w:sz w:val="20"/>
                <w:szCs w:val="20"/>
              </w:rPr>
              <w:t xml:space="preserve"> </w:t>
            </w:r>
            <w:r w:rsidRPr="00BB4743">
              <w:rPr>
                <w:rFonts w:eastAsia="Calibri" w:cs="Calibri"/>
                <w:b/>
                <w:bCs/>
                <w:color w:val="000000"/>
                <w:sz w:val="20"/>
                <w:szCs w:val="20"/>
              </w:rPr>
              <w:t>Wakimwere</w:t>
            </w:r>
          </w:p>
        </w:tc>
        <w:tc>
          <w:tcPr>
            <w:tcW w:w="3221" w:type="dxa"/>
          </w:tcPr>
          <w:p w14:paraId="01015C37" w14:textId="0A614210"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Mbale Regional Veterinary Laboratory</w:t>
            </w:r>
          </w:p>
        </w:tc>
        <w:tc>
          <w:tcPr>
            <w:tcW w:w="3221" w:type="dxa"/>
          </w:tcPr>
          <w:p w14:paraId="17139841" w14:textId="328E0DB8" w:rsidR="4AC4D4F0" w:rsidRPr="00BB4743" w:rsidRDefault="3DCDB936" w:rsidP="00BB4743">
            <w:pPr>
              <w:spacing w:line="259" w:lineRule="auto"/>
              <w:rPr>
                <w:rFonts w:eastAsia="Calibri" w:cs="Calibri"/>
                <w:color w:val="000000"/>
                <w:sz w:val="20"/>
                <w:szCs w:val="20"/>
              </w:rPr>
            </w:pPr>
            <w:r w:rsidRPr="00BB4743">
              <w:rPr>
                <w:rFonts w:eastAsia="Calibri" w:cs="Calibri"/>
                <w:color w:val="000000"/>
                <w:sz w:val="20"/>
                <w:szCs w:val="20"/>
              </w:rPr>
              <w:t>Laboratory Manager</w:t>
            </w:r>
          </w:p>
        </w:tc>
      </w:tr>
      <w:tr w:rsidR="64C55F6E" w:rsidRPr="004F2001" w14:paraId="52D742E3"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221" w:type="dxa"/>
          </w:tcPr>
          <w:p w14:paraId="796FC7D0" w14:textId="6C72DD60" w:rsidR="0792951D" w:rsidRPr="00BB4743" w:rsidRDefault="5A89A795" w:rsidP="17D077F0">
            <w:pPr>
              <w:spacing w:line="259" w:lineRule="auto"/>
              <w:rPr>
                <w:rFonts w:eastAsia="Calibri" w:cs="Calibri"/>
                <w:b/>
                <w:bCs/>
                <w:color w:val="000000"/>
                <w:sz w:val="20"/>
                <w:szCs w:val="20"/>
              </w:rPr>
            </w:pPr>
            <w:r w:rsidRPr="00BB4743">
              <w:rPr>
                <w:rFonts w:eastAsia="Calibri" w:cs="Calibri"/>
                <w:b/>
                <w:bCs/>
                <w:color w:val="000000"/>
                <w:sz w:val="20"/>
                <w:szCs w:val="20"/>
              </w:rPr>
              <w:t>Mr. Godfrey Katumba</w:t>
            </w:r>
          </w:p>
        </w:tc>
        <w:tc>
          <w:tcPr>
            <w:tcW w:w="3221" w:type="dxa"/>
          </w:tcPr>
          <w:p w14:paraId="3F8D2D6D" w14:textId="0BE6537C" w:rsidR="0792951D" w:rsidRPr="00BB4743" w:rsidRDefault="5A89A795" w:rsidP="00BB4743">
            <w:pPr>
              <w:spacing w:line="259" w:lineRule="auto"/>
              <w:rPr>
                <w:rFonts w:eastAsia="Calibri" w:cs="Calibri"/>
                <w:color w:val="000000"/>
                <w:sz w:val="20"/>
                <w:szCs w:val="20"/>
              </w:rPr>
            </w:pPr>
            <w:r w:rsidRPr="00BB4743">
              <w:rPr>
                <w:rFonts w:eastAsia="Calibri" w:cs="Calibri"/>
                <w:color w:val="000000"/>
                <w:sz w:val="20"/>
                <w:szCs w:val="20"/>
              </w:rPr>
              <w:t>Ministry of Water&amp; environment</w:t>
            </w:r>
          </w:p>
        </w:tc>
        <w:tc>
          <w:tcPr>
            <w:tcW w:w="3221" w:type="dxa"/>
          </w:tcPr>
          <w:p w14:paraId="7D26BED8" w14:textId="3CC197C1" w:rsidR="0792951D" w:rsidRPr="00BB4743" w:rsidRDefault="5A89A795" w:rsidP="00BB4743">
            <w:pPr>
              <w:spacing w:line="259" w:lineRule="auto"/>
              <w:rPr>
                <w:rFonts w:eastAsia="Calibri" w:cs="Calibri"/>
                <w:color w:val="000000"/>
                <w:sz w:val="20"/>
                <w:szCs w:val="20"/>
              </w:rPr>
            </w:pPr>
            <w:r w:rsidRPr="00BB4743">
              <w:rPr>
                <w:rFonts w:eastAsia="Calibri" w:cs="Calibri"/>
                <w:color w:val="000000"/>
                <w:sz w:val="20"/>
                <w:szCs w:val="20"/>
              </w:rPr>
              <w:t>Principal Water Analyst &amp; NWQRL Laboratory</w:t>
            </w:r>
          </w:p>
        </w:tc>
      </w:tr>
    </w:tbl>
    <w:p w14:paraId="6CCB1ECD" w14:textId="1351B99D" w:rsidR="00CF4E89" w:rsidRDefault="00CF4E89" w:rsidP="004F2001">
      <w:pPr>
        <w:pStyle w:val="ItadH2"/>
      </w:pPr>
      <w:bookmarkStart w:id="432" w:name="_Toc118968585"/>
      <w:bookmarkStart w:id="433" w:name="_Toc142383227"/>
      <w:r>
        <w:t>Vietnam</w:t>
      </w:r>
      <w:bookmarkEnd w:id="432"/>
      <w:bookmarkEnd w:id="433"/>
    </w:p>
    <w:tbl>
      <w:tblPr>
        <w:tblStyle w:val="Itadalternaterows"/>
        <w:tblW w:w="0" w:type="auto"/>
        <w:tblLook w:val="04A0" w:firstRow="1" w:lastRow="0" w:firstColumn="1" w:lastColumn="0" w:noHBand="0" w:noVBand="1"/>
      </w:tblPr>
      <w:tblGrid>
        <w:gridCol w:w="3134"/>
        <w:gridCol w:w="3131"/>
        <w:gridCol w:w="3130"/>
      </w:tblGrid>
      <w:tr w:rsidR="17D077F0" w:rsidRPr="00D770D4" w14:paraId="46028ADC" w14:textId="77777777" w:rsidTr="17D077F0">
        <w:trPr>
          <w:cnfStyle w:val="100000000000" w:firstRow="1" w:lastRow="0" w:firstColumn="0" w:lastColumn="0" w:oddVBand="0" w:evenVBand="0" w:oddHBand="0" w:evenHBand="0" w:firstRowFirstColumn="0" w:firstRowLastColumn="0" w:lastRowFirstColumn="0" w:lastRowLastColumn="0"/>
          <w:trHeight w:val="340"/>
        </w:trPr>
        <w:tc>
          <w:tcPr>
            <w:tcW w:w="9395" w:type="dxa"/>
            <w:gridSpan w:val="3"/>
          </w:tcPr>
          <w:p w14:paraId="3A9C5033" w14:textId="1EF9290E" w:rsidR="17D077F0" w:rsidRPr="00BB4743" w:rsidRDefault="17D077F0" w:rsidP="17D077F0">
            <w:pPr>
              <w:rPr>
                <w:rFonts w:cs="Calibri"/>
                <w:color w:val="FFFFFF" w:themeColor="background1"/>
                <w:sz w:val="20"/>
                <w:szCs w:val="20"/>
                <w:lang w:eastAsia="en-GB"/>
              </w:rPr>
            </w:pPr>
            <w:r w:rsidRPr="00BB4743">
              <w:rPr>
                <w:rFonts w:cs="Calibri"/>
                <w:color w:val="FFFFFF" w:themeColor="background1"/>
                <w:sz w:val="20"/>
                <w:szCs w:val="20"/>
                <w:lang w:eastAsia="en-GB"/>
              </w:rPr>
              <w:t xml:space="preserve">Fleming Fund </w:t>
            </w:r>
            <w:r w:rsidR="005B5B44" w:rsidRPr="00BB4743">
              <w:rPr>
                <w:rFonts w:cs="Calibri"/>
                <w:color w:val="FFFFFF" w:themeColor="background1"/>
                <w:sz w:val="20"/>
                <w:szCs w:val="20"/>
                <w:lang w:eastAsia="en-GB"/>
              </w:rPr>
              <w:t>CG</w:t>
            </w:r>
          </w:p>
        </w:tc>
      </w:tr>
      <w:tr w:rsidR="17D077F0" w:rsidRPr="00D770D4" w14:paraId="1F543D61"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4A57FA05" w14:textId="57D52971" w:rsidR="28660EFC" w:rsidRPr="00BB4743" w:rsidRDefault="28660EFC" w:rsidP="17D077F0">
            <w:pPr>
              <w:rPr>
                <w:rFonts w:eastAsia="Calibri" w:cs="Calibri"/>
                <w:b/>
                <w:bCs/>
                <w:color w:val="000000"/>
                <w:sz w:val="20"/>
                <w:szCs w:val="20"/>
              </w:rPr>
            </w:pPr>
            <w:r w:rsidRPr="00BB4743">
              <w:rPr>
                <w:rFonts w:eastAsia="Calibri" w:cs="Calibri"/>
                <w:b/>
                <w:bCs/>
                <w:color w:val="000000"/>
                <w:sz w:val="20"/>
                <w:szCs w:val="20"/>
              </w:rPr>
              <w:t>Nguyen Thu Nam</w:t>
            </w:r>
          </w:p>
        </w:tc>
        <w:tc>
          <w:tcPr>
            <w:tcW w:w="3131" w:type="dxa"/>
          </w:tcPr>
          <w:p w14:paraId="55D258A1" w14:textId="224C3838" w:rsidR="45E76DBE" w:rsidRPr="00BB4743" w:rsidRDefault="45E76DBE" w:rsidP="00BB4743">
            <w:pPr>
              <w:rPr>
                <w:rFonts w:eastAsia="Calibri" w:cs="Calibri"/>
                <w:color w:val="000000"/>
                <w:sz w:val="20"/>
                <w:szCs w:val="20"/>
              </w:rPr>
            </w:pPr>
            <w:r w:rsidRPr="00BB4743">
              <w:rPr>
                <w:rFonts w:eastAsia="Calibri" w:cs="Calibri"/>
                <w:color w:val="000000"/>
                <w:sz w:val="20"/>
                <w:szCs w:val="20"/>
              </w:rPr>
              <w:t>FHI360</w:t>
            </w:r>
          </w:p>
        </w:tc>
        <w:tc>
          <w:tcPr>
            <w:tcW w:w="3130" w:type="dxa"/>
          </w:tcPr>
          <w:p w14:paraId="37BB7490" w14:textId="558855C0" w:rsidR="45E76DBE" w:rsidRPr="00BB4743" w:rsidRDefault="45E76DBE" w:rsidP="00BB4743">
            <w:pPr>
              <w:rPr>
                <w:rFonts w:eastAsia="Calibri" w:cs="Calibri"/>
                <w:color w:val="000000"/>
                <w:sz w:val="20"/>
                <w:szCs w:val="20"/>
              </w:rPr>
            </w:pPr>
            <w:r w:rsidRPr="00BB4743">
              <w:rPr>
                <w:rFonts w:eastAsia="Calibri" w:cs="Calibri"/>
                <w:color w:val="000000"/>
                <w:sz w:val="20"/>
                <w:szCs w:val="20"/>
              </w:rPr>
              <w:t>Director</w:t>
            </w:r>
          </w:p>
        </w:tc>
      </w:tr>
      <w:tr w:rsidR="17D077F0" w:rsidRPr="00D770D4" w14:paraId="0ABBE835"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1DDD0F48" w14:textId="77EEB55D" w:rsidR="14D1BC40" w:rsidRPr="00BB4743" w:rsidRDefault="14D1BC40" w:rsidP="17D077F0">
            <w:pPr>
              <w:rPr>
                <w:rFonts w:eastAsia="Calibri" w:cs="Calibri"/>
                <w:b/>
                <w:bCs/>
                <w:color w:val="000000"/>
                <w:sz w:val="20"/>
                <w:szCs w:val="20"/>
              </w:rPr>
            </w:pPr>
            <w:r w:rsidRPr="00BB4743">
              <w:rPr>
                <w:rFonts w:eastAsia="Calibri" w:cs="Calibri"/>
                <w:b/>
                <w:bCs/>
                <w:color w:val="000000"/>
                <w:sz w:val="20"/>
                <w:szCs w:val="20"/>
              </w:rPr>
              <w:t>Nguyen Thi Le Quyen</w:t>
            </w:r>
          </w:p>
        </w:tc>
        <w:tc>
          <w:tcPr>
            <w:tcW w:w="3131" w:type="dxa"/>
          </w:tcPr>
          <w:p w14:paraId="5664BD7E" w14:textId="1060ACDB" w:rsidR="14D1BC40" w:rsidRPr="00BB4743" w:rsidRDefault="14D1BC40" w:rsidP="00BB4743">
            <w:pPr>
              <w:rPr>
                <w:rFonts w:eastAsia="Calibri" w:cs="Calibri"/>
                <w:color w:val="000000"/>
                <w:sz w:val="20"/>
                <w:szCs w:val="20"/>
              </w:rPr>
            </w:pPr>
            <w:r w:rsidRPr="00BB4743">
              <w:rPr>
                <w:rFonts w:eastAsia="Calibri" w:cs="Calibri"/>
                <w:color w:val="000000"/>
                <w:sz w:val="20"/>
                <w:szCs w:val="20"/>
              </w:rPr>
              <w:t>FHI360</w:t>
            </w:r>
          </w:p>
        </w:tc>
        <w:tc>
          <w:tcPr>
            <w:tcW w:w="3130" w:type="dxa"/>
          </w:tcPr>
          <w:p w14:paraId="7EF1F87E" w14:textId="3333C664" w:rsidR="14D1BC40" w:rsidRPr="00BB4743" w:rsidRDefault="14D1BC40" w:rsidP="00BB4743">
            <w:pPr>
              <w:rPr>
                <w:rFonts w:eastAsia="Calibri" w:cs="Calibri"/>
                <w:color w:val="000000"/>
                <w:sz w:val="20"/>
                <w:szCs w:val="20"/>
              </w:rPr>
            </w:pPr>
            <w:r w:rsidRPr="00BB4743">
              <w:rPr>
                <w:rFonts w:eastAsia="Calibri" w:cs="Calibri"/>
                <w:color w:val="000000"/>
                <w:sz w:val="20"/>
                <w:szCs w:val="20"/>
              </w:rPr>
              <w:t>M&amp;E consultant</w:t>
            </w:r>
          </w:p>
        </w:tc>
      </w:tr>
      <w:tr w:rsidR="585A783B" w:rsidRPr="00D770D4" w14:paraId="1761BB8E" w14:textId="77777777" w:rsidTr="585A783B">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2CE55E88" w14:textId="12CC1C29" w:rsidR="4880BB2D" w:rsidRPr="00BB4743" w:rsidRDefault="4880BB2D" w:rsidP="585A783B">
            <w:pPr>
              <w:rPr>
                <w:rFonts w:eastAsia="Calibri" w:cs="Calibri"/>
                <w:b/>
                <w:bCs/>
                <w:color w:val="000000"/>
                <w:sz w:val="20"/>
                <w:szCs w:val="20"/>
              </w:rPr>
            </w:pPr>
            <w:r w:rsidRPr="00BB4743">
              <w:rPr>
                <w:rFonts w:eastAsia="Calibri" w:cs="Calibri"/>
                <w:b/>
                <w:bCs/>
                <w:color w:val="000000"/>
                <w:sz w:val="20"/>
                <w:szCs w:val="20"/>
              </w:rPr>
              <w:t>Mrs Nguyen To Nhu</w:t>
            </w:r>
          </w:p>
        </w:tc>
        <w:tc>
          <w:tcPr>
            <w:tcW w:w="3131" w:type="dxa"/>
          </w:tcPr>
          <w:p w14:paraId="7056199D" w14:textId="5DF98B7C" w:rsidR="4880BB2D" w:rsidRPr="00BB4743" w:rsidRDefault="4880BB2D" w:rsidP="00BB4743">
            <w:pPr>
              <w:rPr>
                <w:rFonts w:eastAsia="Calibri" w:cs="Calibri"/>
                <w:color w:val="000000"/>
                <w:sz w:val="20"/>
                <w:szCs w:val="20"/>
              </w:rPr>
            </w:pPr>
            <w:r w:rsidRPr="00BB4743">
              <w:rPr>
                <w:rFonts w:eastAsia="Calibri" w:cs="Calibri"/>
                <w:color w:val="000000"/>
                <w:sz w:val="20"/>
                <w:szCs w:val="20"/>
              </w:rPr>
              <w:t>PATH</w:t>
            </w:r>
          </w:p>
        </w:tc>
        <w:tc>
          <w:tcPr>
            <w:tcW w:w="3130" w:type="dxa"/>
          </w:tcPr>
          <w:p w14:paraId="19F84E55" w14:textId="393566D0" w:rsidR="4880BB2D" w:rsidRPr="00BB4743" w:rsidRDefault="4880BB2D" w:rsidP="00BB4743">
            <w:pPr>
              <w:spacing w:line="259" w:lineRule="auto"/>
              <w:rPr>
                <w:rFonts w:eastAsia="Calibri" w:cs="Calibri"/>
                <w:color w:val="000000"/>
                <w:sz w:val="20"/>
                <w:szCs w:val="20"/>
              </w:rPr>
            </w:pPr>
            <w:r w:rsidRPr="00BB4743">
              <w:rPr>
                <w:rFonts w:eastAsia="Calibri" w:cs="Calibri"/>
                <w:color w:val="000000"/>
                <w:sz w:val="20"/>
                <w:szCs w:val="20"/>
              </w:rPr>
              <w:t>Programme Director</w:t>
            </w:r>
          </w:p>
        </w:tc>
      </w:tr>
      <w:tr w:rsidR="17D077F0" w:rsidRPr="00D770D4" w14:paraId="5D5D54A2"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3EB39A12" w14:textId="77777777" w:rsidR="17D077F0" w:rsidRPr="00BB4743" w:rsidRDefault="17D077F0" w:rsidP="000B3487">
            <w:pPr>
              <w:rPr>
                <w:rFonts w:cs="Calibri"/>
                <w:sz w:val="20"/>
                <w:szCs w:val="20"/>
              </w:rPr>
            </w:pPr>
            <w:r w:rsidRPr="00BB4743">
              <w:rPr>
                <w:rFonts w:cs="Calibri"/>
                <w:color w:val="FFFFFF" w:themeColor="background1"/>
                <w:sz w:val="20"/>
                <w:szCs w:val="20"/>
                <w:lang w:eastAsia="en-GB"/>
              </w:rPr>
              <w:t>AMRCC Members</w:t>
            </w:r>
          </w:p>
        </w:tc>
      </w:tr>
      <w:tr w:rsidR="17D077F0" w:rsidRPr="00D770D4" w14:paraId="2E06F304"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362FDD90" w14:textId="3324A406" w:rsidR="3088AFD3" w:rsidRPr="00BB4743" w:rsidRDefault="3088AFD3" w:rsidP="17D077F0">
            <w:pPr>
              <w:spacing w:line="259" w:lineRule="auto"/>
              <w:rPr>
                <w:rFonts w:eastAsia="Calibri" w:cs="Calibri"/>
                <w:b/>
                <w:bCs/>
                <w:color w:val="000000"/>
                <w:sz w:val="20"/>
                <w:szCs w:val="20"/>
              </w:rPr>
            </w:pPr>
            <w:r w:rsidRPr="00BB4743">
              <w:rPr>
                <w:rFonts w:eastAsia="Calibri" w:cs="Calibri"/>
                <w:b/>
                <w:bCs/>
                <w:color w:val="000000"/>
                <w:sz w:val="20"/>
                <w:szCs w:val="20"/>
              </w:rPr>
              <w:t>Nguyen Thu Thuy</w:t>
            </w:r>
          </w:p>
        </w:tc>
        <w:tc>
          <w:tcPr>
            <w:tcW w:w="3131" w:type="dxa"/>
          </w:tcPr>
          <w:p w14:paraId="667D5468" w14:textId="25C6EBD8" w:rsidR="3088AFD3" w:rsidRPr="00BB4743" w:rsidRDefault="3088AFD3" w:rsidP="00BB4743">
            <w:pPr>
              <w:spacing w:line="259" w:lineRule="auto"/>
              <w:rPr>
                <w:rFonts w:eastAsia="Calibri" w:cs="Calibri"/>
                <w:color w:val="000000"/>
                <w:sz w:val="20"/>
                <w:szCs w:val="20"/>
              </w:rPr>
            </w:pPr>
            <w:r w:rsidRPr="00BB4743">
              <w:rPr>
                <w:rFonts w:eastAsia="Calibri" w:cs="Calibri"/>
                <w:color w:val="000000"/>
                <w:sz w:val="20"/>
                <w:szCs w:val="20"/>
              </w:rPr>
              <w:t>Ministry of Agriculture and Rural Development (DAH/MARD)</w:t>
            </w:r>
          </w:p>
        </w:tc>
        <w:tc>
          <w:tcPr>
            <w:tcW w:w="3130" w:type="dxa"/>
          </w:tcPr>
          <w:p w14:paraId="74E05F2B" w14:textId="10F8D8FC" w:rsidR="3088AFD3" w:rsidRPr="00BB4743" w:rsidRDefault="3088AFD3" w:rsidP="00BB4743">
            <w:pPr>
              <w:spacing w:line="259" w:lineRule="auto"/>
              <w:rPr>
                <w:rFonts w:eastAsia="Calibri" w:cs="Calibri"/>
                <w:color w:val="000000"/>
                <w:sz w:val="20"/>
                <w:szCs w:val="20"/>
              </w:rPr>
            </w:pPr>
            <w:r w:rsidRPr="00BB4743">
              <w:rPr>
                <w:rFonts w:eastAsia="Calibri" w:cs="Calibri"/>
                <w:color w:val="000000"/>
                <w:sz w:val="20"/>
                <w:szCs w:val="20"/>
              </w:rPr>
              <w:t xml:space="preserve">Vice Director, Department of </w:t>
            </w:r>
            <w:r w:rsidR="00265143" w:rsidRPr="00BB4743">
              <w:rPr>
                <w:rFonts w:eastAsia="Calibri" w:cs="Calibri"/>
                <w:color w:val="000000"/>
                <w:sz w:val="20"/>
                <w:szCs w:val="20"/>
              </w:rPr>
              <w:t>AH</w:t>
            </w:r>
          </w:p>
        </w:tc>
      </w:tr>
      <w:tr w:rsidR="17D077F0" w:rsidRPr="00D770D4" w14:paraId="79604A23"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47A76FB4" w14:textId="1BC9EF86" w:rsidR="5951D555" w:rsidRPr="00BB4743" w:rsidRDefault="5951D555" w:rsidP="17D077F0">
            <w:pPr>
              <w:spacing w:line="259" w:lineRule="auto"/>
              <w:rPr>
                <w:rFonts w:eastAsia="Calibri" w:cs="Calibri"/>
                <w:b/>
                <w:bCs/>
                <w:color w:val="000000"/>
                <w:sz w:val="20"/>
                <w:szCs w:val="20"/>
              </w:rPr>
            </w:pPr>
            <w:r w:rsidRPr="00BB4743">
              <w:rPr>
                <w:rFonts w:eastAsia="Calibri" w:cs="Calibri"/>
                <w:b/>
                <w:bCs/>
                <w:color w:val="000000"/>
                <w:sz w:val="20"/>
                <w:szCs w:val="20"/>
              </w:rPr>
              <w:t>Cao Hung Thai</w:t>
            </w:r>
          </w:p>
        </w:tc>
        <w:tc>
          <w:tcPr>
            <w:tcW w:w="3131" w:type="dxa"/>
          </w:tcPr>
          <w:p w14:paraId="637CAEE5" w14:textId="4D05743C" w:rsidR="5951D555" w:rsidRPr="00BB4743" w:rsidRDefault="5951D555" w:rsidP="00BB4743">
            <w:pPr>
              <w:spacing w:line="259" w:lineRule="auto"/>
              <w:rPr>
                <w:rFonts w:eastAsia="Calibri" w:cs="Calibri"/>
                <w:color w:val="000000"/>
                <w:sz w:val="20"/>
                <w:szCs w:val="20"/>
              </w:rPr>
            </w:pPr>
            <w:r w:rsidRPr="00BB4743">
              <w:rPr>
                <w:rFonts w:eastAsia="Calibri" w:cs="Calibri"/>
                <w:color w:val="000000"/>
                <w:sz w:val="20"/>
                <w:szCs w:val="20"/>
              </w:rPr>
              <w:t>Ministry of Health (MSA/MOH)</w:t>
            </w:r>
          </w:p>
        </w:tc>
        <w:tc>
          <w:tcPr>
            <w:tcW w:w="3130" w:type="dxa"/>
          </w:tcPr>
          <w:p w14:paraId="2A025F40" w14:textId="4D438F14" w:rsidR="5951D555" w:rsidRPr="00BB4743" w:rsidRDefault="5951D555" w:rsidP="00BB4743">
            <w:pPr>
              <w:spacing w:line="259" w:lineRule="auto"/>
              <w:rPr>
                <w:rFonts w:eastAsia="Calibri" w:cs="Calibri"/>
                <w:color w:val="000000"/>
                <w:sz w:val="20"/>
                <w:szCs w:val="20"/>
              </w:rPr>
            </w:pPr>
            <w:r w:rsidRPr="00BB4743">
              <w:rPr>
                <w:rFonts w:eastAsia="Calibri" w:cs="Calibri"/>
                <w:color w:val="000000"/>
                <w:sz w:val="20"/>
                <w:szCs w:val="20"/>
              </w:rPr>
              <w:t>Vice Director, Medical Services Administration</w:t>
            </w:r>
          </w:p>
        </w:tc>
      </w:tr>
      <w:tr w:rsidR="17D077F0" w:rsidRPr="00D770D4" w14:paraId="7AE9798D"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4037B2B3" w14:textId="273313FF" w:rsidR="17D077F0" w:rsidRPr="00BB4743" w:rsidRDefault="17D077F0" w:rsidP="000B3487">
            <w:pPr>
              <w:rPr>
                <w:rFonts w:cs="Calibri"/>
                <w:color w:val="FFFFFF" w:themeColor="background1"/>
                <w:sz w:val="20"/>
                <w:szCs w:val="20"/>
              </w:rPr>
            </w:pPr>
            <w:r w:rsidRPr="00BB4743">
              <w:rPr>
                <w:rFonts w:cs="Calibri"/>
                <w:color w:val="FFFFFF" w:themeColor="background1"/>
                <w:sz w:val="20"/>
                <w:szCs w:val="20"/>
              </w:rPr>
              <w:t>AMR Focal Point</w:t>
            </w:r>
          </w:p>
        </w:tc>
      </w:tr>
      <w:tr w:rsidR="17D077F0" w:rsidRPr="00D770D4" w14:paraId="409B0C53"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7CCA89CC" w14:textId="16E96E1D" w:rsidR="4AE5104E" w:rsidRPr="00BB4743" w:rsidRDefault="4AE5104E" w:rsidP="17D077F0">
            <w:pPr>
              <w:spacing w:line="259" w:lineRule="auto"/>
              <w:rPr>
                <w:rFonts w:eastAsia="Calibri" w:cs="Calibri"/>
                <w:b/>
                <w:bCs/>
                <w:color w:val="000000"/>
                <w:sz w:val="20"/>
                <w:szCs w:val="20"/>
              </w:rPr>
            </w:pPr>
            <w:r w:rsidRPr="00BB4743">
              <w:rPr>
                <w:rFonts w:eastAsia="Calibri" w:cs="Calibri"/>
                <w:b/>
                <w:bCs/>
                <w:color w:val="000000"/>
                <w:sz w:val="20"/>
                <w:szCs w:val="20"/>
              </w:rPr>
              <w:t>Le Thi Hue</w:t>
            </w:r>
          </w:p>
        </w:tc>
        <w:tc>
          <w:tcPr>
            <w:tcW w:w="3131" w:type="dxa"/>
          </w:tcPr>
          <w:p w14:paraId="49931E4C" w14:textId="58D23645" w:rsidR="4AE5104E" w:rsidRPr="00BB4743" w:rsidRDefault="4AE5104E" w:rsidP="00BB4743">
            <w:pPr>
              <w:spacing w:line="259" w:lineRule="auto"/>
              <w:rPr>
                <w:rFonts w:eastAsia="Calibri" w:cs="Calibri"/>
                <w:color w:val="000000"/>
                <w:sz w:val="20"/>
                <w:szCs w:val="20"/>
              </w:rPr>
            </w:pPr>
            <w:r w:rsidRPr="00BB4743">
              <w:rPr>
                <w:rFonts w:eastAsia="Calibri" w:cs="Calibri"/>
                <w:color w:val="000000"/>
                <w:sz w:val="20"/>
                <w:szCs w:val="20"/>
              </w:rPr>
              <w:t>Vice Head of Veterinary Drugs Management Division (VDMD/DAH)</w:t>
            </w:r>
          </w:p>
        </w:tc>
        <w:tc>
          <w:tcPr>
            <w:tcW w:w="3130" w:type="dxa"/>
          </w:tcPr>
          <w:p w14:paraId="50DEEDAC" w14:textId="5B03AD6D" w:rsidR="67F5A6DA" w:rsidRPr="00BB4743" w:rsidRDefault="67F5A6DA" w:rsidP="00BB4743">
            <w:pPr>
              <w:rPr>
                <w:rFonts w:eastAsia="Calibri" w:cs="Calibri"/>
                <w:color w:val="000000"/>
                <w:sz w:val="20"/>
                <w:szCs w:val="20"/>
              </w:rPr>
            </w:pPr>
            <w:r w:rsidRPr="00BB4743">
              <w:rPr>
                <w:rFonts w:eastAsia="Calibri" w:cs="Calibri"/>
                <w:color w:val="000000"/>
                <w:sz w:val="20"/>
                <w:szCs w:val="20"/>
              </w:rPr>
              <w:t>AMR Focal Point</w:t>
            </w:r>
          </w:p>
        </w:tc>
      </w:tr>
      <w:tr w:rsidR="17D077F0" w:rsidRPr="00D770D4" w14:paraId="2B661CDD"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1CDE47DF" w14:textId="76BC2066" w:rsidR="716C38A5" w:rsidRPr="00BB4743" w:rsidRDefault="716C38A5" w:rsidP="17D077F0">
            <w:pPr>
              <w:spacing w:line="259" w:lineRule="auto"/>
              <w:rPr>
                <w:rFonts w:eastAsia="Calibri" w:cs="Calibri"/>
                <w:b/>
                <w:bCs/>
                <w:color w:val="000000"/>
                <w:sz w:val="20"/>
                <w:szCs w:val="20"/>
              </w:rPr>
            </w:pPr>
            <w:r w:rsidRPr="00BB4743">
              <w:rPr>
                <w:rFonts w:eastAsia="Calibri" w:cs="Calibri"/>
                <w:b/>
                <w:bCs/>
                <w:color w:val="000000"/>
                <w:sz w:val="20"/>
                <w:szCs w:val="20"/>
              </w:rPr>
              <w:t>Truong Le Van Ngoc</w:t>
            </w:r>
          </w:p>
        </w:tc>
        <w:tc>
          <w:tcPr>
            <w:tcW w:w="3131" w:type="dxa"/>
          </w:tcPr>
          <w:p w14:paraId="28B1940C" w14:textId="31FA0A31" w:rsidR="716C38A5" w:rsidRPr="00BB4743" w:rsidRDefault="716C38A5" w:rsidP="00BB4743">
            <w:pPr>
              <w:spacing w:line="259" w:lineRule="auto"/>
              <w:rPr>
                <w:rFonts w:eastAsia="Calibri" w:cs="Calibri"/>
                <w:color w:val="000000"/>
                <w:sz w:val="20"/>
                <w:szCs w:val="20"/>
              </w:rPr>
            </w:pPr>
            <w:r w:rsidRPr="00BB4743">
              <w:rPr>
                <w:rFonts w:eastAsia="Calibri" w:cs="Calibri"/>
                <w:color w:val="000000"/>
                <w:sz w:val="20"/>
                <w:szCs w:val="20"/>
              </w:rPr>
              <w:t>MSA/MOH</w:t>
            </w:r>
          </w:p>
        </w:tc>
        <w:tc>
          <w:tcPr>
            <w:tcW w:w="3130" w:type="dxa"/>
          </w:tcPr>
          <w:p w14:paraId="295D1B7E" w14:textId="4FC279AE" w:rsidR="0C402B1D" w:rsidRPr="00BB4743" w:rsidRDefault="0C402B1D" w:rsidP="00BB4743">
            <w:pPr>
              <w:rPr>
                <w:rFonts w:eastAsia="Calibri" w:cs="Calibri"/>
                <w:color w:val="000000"/>
                <w:sz w:val="20"/>
                <w:szCs w:val="20"/>
              </w:rPr>
            </w:pPr>
            <w:r w:rsidRPr="00BB4743">
              <w:rPr>
                <w:rFonts w:eastAsia="Calibri" w:cs="Calibri"/>
                <w:color w:val="000000"/>
                <w:sz w:val="20"/>
                <w:szCs w:val="20"/>
              </w:rPr>
              <w:t>Vice Head of Professional Affairs, Inspection, Staff Health Protection Division</w:t>
            </w:r>
          </w:p>
        </w:tc>
      </w:tr>
      <w:tr w:rsidR="17D077F0" w:rsidRPr="00D770D4" w14:paraId="68044ADE"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09855603" w14:textId="36890795" w:rsidR="17D077F0" w:rsidRPr="00BB4743" w:rsidRDefault="17D077F0" w:rsidP="000B3487">
            <w:pPr>
              <w:spacing w:line="259" w:lineRule="auto"/>
              <w:rPr>
                <w:rFonts w:cs="Calibri"/>
                <w:color w:val="FFFFFF" w:themeColor="background1"/>
                <w:sz w:val="20"/>
                <w:szCs w:val="20"/>
              </w:rPr>
            </w:pPr>
            <w:r w:rsidRPr="00BB4743">
              <w:rPr>
                <w:rFonts w:cs="Calibri"/>
                <w:color w:val="FFFFFF" w:themeColor="background1"/>
                <w:sz w:val="20"/>
                <w:szCs w:val="20"/>
              </w:rPr>
              <w:t>GLASS Focal Point</w:t>
            </w:r>
          </w:p>
        </w:tc>
      </w:tr>
      <w:tr w:rsidR="17D077F0" w:rsidRPr="00D770D4" w14:paraId="4914F05B"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2D94243B" w14:textId="75BB17F8" w:rsidR="5F20DE20" w:rsidRPr="00BB4743" w:rsidRDefault="5F20DE20" w:rsidP="17D077F0">
            <w:pPr>
              <w:spacing w:line="259" w:lineRule="auto"/>
              <w:rPr>
                <w:rFonts w:eastAsia="Calibri" w:cs="Calibri"/>
                <w:b/>
                <w:bCs/>
                <w:color w:val="000000"/>
                <w:sz w:val="20"/>
                <w:szCs w:val="20"/>
              </w:rPr>
            </w:pPr>
            <w:r w:rsidRPr="00BB4743">
              <w:rPr>
                <w:rFonts w:eastAsia="Calibri" w:cs="Calibri"/>
                <w:b/>
                <w:bCs/>
                <w:color w:val="000000"/>
                <w:sz w:val="20"/>
                <w:szCs w:val="20"/>
              </w:rPr>
              <w:t>Truong Le Van Ngoc</w:t>
            </w:r>
            <w:r w:rsidR="62EFE4EB" w:rsidRPr="00BB4743">
              <w:rPr>
                <w:rFonts w:eastAsia="Calibri" w:cs="Calibri"/>
                <w:b/>
                <w:bCs/>
                <w:color w:val="000000"/>
                <w:sz w:val="20"/>
                <w:szCs w:val="20"/>
              </w:rPr>
              <w:t>*</w:t>
            </w:r>
          </w:p>
        </w:tc>
        <w:tc>
          <w:tcPr>
            <w:tcW w:w="3131" w:type="dxa"/>
          </w:tcPr>
          <w:p w14:paraId="4F42249C" w14:textId="4C04515C" w:rsidR="62EFE4EB" w:rsidRPr="00BB4743" w:rsidRDefault="62EFE4EB" w:rsidP="00BB4743">
            <w:pPr>
              <w:spacing w:line="259" w:lineRule="auto"/>
              <w:rPr>
                <w:rFonts w:eastAsia="Calibri" w:cs="Calibri"/>
                <w:color w:val="000000"/>
                <w:sz w:val="20"/>
                <w:szCs w:val="20"/>
              </w:rPr>
            </w:pPr>
            <w:r w:rsidRPr="00BB4743">
              <w:rPr>
                <w:rFonts w:eastAsia="Calibri" w:cs="Calibri"/>
                <w:color w:val="000000"/>
                <w:sz w:val="20"/>
                <w:szCs w:val="20"/>
              </w:rPr>
              <w:t>MSA/MOH</w:t>
            </w:r>
          </w:p>
        </w:tc>
        <w:tc>
          <w:tcPr>
            <w:tcW w:w="3130" w:type="dxa"/>
          </w:tcPr>
          <w:p w14:paraId="086020A1" w14:textId="712F3C37" w:rsidR="3DE6E8B7" w:rsidRPr="00BB4743" w:rsidRDefault="3DE6E8B7" w:rsidP="00BB4743">
            <w:pPr>
              <w:rPr>
                <w:rFonts w:eastAsia="Calibri" w:cs="Calibri"/>
                <w:color w:val="000000"/>
                <w:sz w:val="20"/>
                <w:szCs w:val="20"/>
              </w:rPr>
            </w:pPr>
            <w:r w:rsidRPr="00BB4743">
              <w:rPr>
                <w:rFonts w:eastAsia="Calibri" w:cs="Calibri"/>
                <w:color w:val="000000"/>
                <w:sz w:val="20"/>
                <w:szCs w:val="20"/>
              </w:rPr>
              <w:t>Vice Head of Professional Affairs, Inspection, Staff Health Protection Division</w:t>
            </w:r>
          </w:p>
        </w:tc>
      </w:tr>
      <w:tr w:rsidR="17D077F0" w:rsidRPr="00D770D4" w14:paraId="7DB2BE45"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7AFA969F" w14:textId="72B74AA4" w:rsidR="17D077F0" w:rsidRPr="00BB4743" w:rsidRDefault="007F4A59" w:rsidP="000B3487">
            <w:pPr>
              <w:spacing w:line="259" w:lineRule="auto"/>
              <w:rPr>
                <w:rFonts w:cs="Calibri"/>
                <w:color w:val="FFFFFF" w:themeColor="background1"/>
                <w:sz w:val="20"/>
                <w:szCs w:val="20"/>
              </w:rPr>
            </w:pPr>
            <w:r w:rsidRPr="00BB4743">
              <w:rPr>
                <w:rFonts w:cs="Calibri"/>
                <w:color w:val="FFFFFF" w:themeColor="background1"/>
                <w:sz w:val="20"/>
                <w:szCs w:val="20"/>
              </w:rPr>
              <w:t>WOAH</w:t>
            </w:r>
            <w:r w:rsidR="17D077F0" w:rsidRPr="00BB4743">
              <w:rPr>
                <w:rFonts w:cs="Calibri"/>
                <w:color w:val="FFFFFF" w:themeColor="background1"/>
                <w:sz w:val="20"/>
                <w:szCs w:val="20"/>
              </w:rPr>
              <w:t xml:space="preserve"> Focal Point</w:t>
            </w:r>
          </w:p>
        </w:tc>
      </w:tr>
      <w:tr w:rsidR="17D077F0" w:rsidRPr="00D770D4" w14:paraId="0682E136"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24069FDE" w14:textId="0C2CAB76" w:rsidR="7582DCEA" w:rsidRPr="00BB4743" w:rsidRDefault="7582DCEA" w:rsidP="17D077F0">
            <w:pPr>
              <w:spacing w:line="259" w:lineRule="auto"/>
              <w:rPr>
                <w:rFonts w:eastAsia="Calibri" w:cs="Calibri"/>
                <w:b/>
                <w:bCs/>
                <w:color w:val="000000"/>
                <w:sz w:val="20"/>
                <w:szCs w:val="20"/>
              </w:rPr>
            </w:pPr>
            <w:r w:rsidRPr="00BB4743">
              <w:rPr>
                <w:rFonts w:eastAsia="Calibri" w:cs="Calibri"/>
                <w:b/>
                <w:bCs/>
                <w:color w:val="000000"/>
                <w:sz w:val="20"/>
                <w:szCs w:val="20"/>
              </w:rPr>
              <w:t>Le Thi Hue</w:t>
            </w:r>
            <w:r w:rsidR="28FAD6C2" w:rsidRPr="00BB4743">
              <w:rPr>
                <w:rFonts w:eastAsia="Calibri" w:cs="Calibri"/>
                <w:b/>
                <w:bCs/>
                <w:color w:val="000000"/>
                <w:sz w:val="20"/>
                <w:szCs w:val="20"/>
              </w:rPr>
              <w:t>*</w:t>
            </w:r>
          </w:p>
          <w:p w14:paraId="7BCB113F" w14:textId="3C275341" w:rsidR="17D077F0" w:rsidRPr="00BB4743" w:rsidRDefault="17D077F0" w:rsidP="17D077F0">
            <w:pPr>
              <w:spacing w:line="259" w:lineRule="auto"/>
              <w:rPr>
                <w:rFonts w:eastAsia="Calibri" w:cs="Calibri"/>
                <w:color w:val="000000"/>
                <w:sz w:val="20"/>
                <w:szCs w:val="20"/>
              </w:rPr>
            </w:pPr>
          </w:p>
        </w:tc>
        <w:tc>
          <w:tcPr>
            <w:tcW w:w="3131" w:type="dxa"/>
          </w:tcPr>
          <w:p w14:paraId="3130B419" w14:textId="36593223" w:rsidR="7582DCEA" w:rsidRPr="00BB4743" w:rsidRDefault="7582DCEA" w:rsidP="00BB4743">
            <w:pPr>
              <w:spacing w:line="259" w:lineRule="auto"/>
              <w:rPr>
                <w:rFonts w:eastAsia="Calibri" w:cs="Calibri"/>
                <w:color w:val="000000"/>
                <w:sz w:val="20"/>
                <w:szCs w:val="20"/>
              </w:rPr>
            </w:pPr>
            <w:r w:rsidRPr="00BB4743">
              <w:rPr>
                <w:rFonts w:eastAsia="Calibri" w:cs="Calibri"/>
                <w:color w:val="000000"/>
                <w:sz w:val="20"/>
                <w:szCs w:val="20"/>
              </w:rPr>
              <w:t>Vice Head of Veterinary Drugs Management Division (VDMD/DAH)</w:t>
            </w:r>
          </w:p>
        </w:tc>
        <w:tc>
          <w:tcPr>
            <w:tcW w:w="3130" w:type="dxa"/>
          </w:tcPr>
          <w:p w14:paraId="210765D7" w14:textId="5FB74EB9" w:rsidR="182F405C" w:rsidRPr="00BB4743" w:rsidRDefault="007F4A59" w:rsidP="00BB4743">
            <w:pPr>
              <w:spacing w:line="259" w:lineRule="auto"/>
              <w:rPr>
                <w:rFonts w:eastAsia="Calibri" w:cs="Calibri"/>
                <w:color w:val="000000"/>
                <w:sz w:val="20"/>
                <w:szCs w:val="20"/>
              </w:rPr>
            </w:pPr>
            <w:r w:rsidRPr="00BB4743">
              <w:rPr>
                <w:rFonts w:eastAsia="Calibri" w:cs="Calibri"/>
                <w:color w:val="000000"/>
                <w:sz w:val="20"/>
                <w:szCs w:val="20"/>
              </w:rPr>
              <w:t>WOAH</w:t>
            </w:r>
            <w:r w:rsidR="182F405C" w:rsidRPr="00BB4743">
              <w:rPr>
                <w:rFonts w:eastAsia="Calibri" w:cs="Calibri"/>
                <w:color w:val="000000"/>
                <w:sz w:val="20"/>
                <w:szCs w:val="20"/>
              </w:rPr>
              <w:t xml:space="preserve"> Focal Point</w:t>
            </w:r>
          </w:p>
        </w:tc>
      </w:tr>
      <w:tr w:rsidR="17D077F0" w:rsidRPr="00D770D4" w14:paraId="3F45E6D5"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5C16597F" w14:textId="77777777" w:rsidR="17D077F0" w:rsidRPr="00BB4743" w:rsidRDefault="17D077F0" w:rsidP="000B3487">
            <w:pPr>
              <w:rPr>
                <w:rFonts w:cs="Calibri"/>
                <w:color w:val="FFFFFF" w:themeColor="background1"/>
                <w:sz w:val="20"/>
                <w:szCs w:val="20"/>
              </w:rPr>
            </w:pPr>
            <w:r w:rsidRPr="00BB4743">
              <w:rPr>
                <w:rFonts w:cs="Calibri"/>
                <w:color w:val="FFFFFF" w:themeColor="background1"/>
                <w:sz w:val="20"/>
                <w:szCs w:val="20"/>
              </w:rPr>
              <w:t>Development Partners/ Academia</w:t>
            </w:r>
          </w:p>
        </w:tc>
      </w:tr>
      <w:tr w:rsidR="17D077F0" w:rsidRPr="00D770D4" w14:paraId="20113243" w14:textId="77777777" w:rsidTr="061A35FA">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23257332" w14:textId="781828F4" w:rsidR="48979606" w:rsidRPr="00BB4743" w:rsidRDefault="48979606" w:rsidP="17D077F0">
            <w:pPr>
              <w:spacing w:line="259" w:lineRule="auto"/>
              <w:rPr>
                <w:rFonts w:eastAsia="Calibri" w:cs="Calibri"/>
                <w:b/>
                <w:bCs/>
                <w:color w:val="000000"/>
                <w:sz w:val="20"/>
                <w:szCs w:val="20"/>
              </w:rPr>
            </w:pPr>
            <w:r w:rsidRPr="00BB4743">
              <w:rPr>
                <w:rFonts w:eastAsia="Calibri" w:cs="Calibri"/>
                <w:b/>
                <w:bCs/>
                <w:color w:val="000000"/>
                <w:sz w:val="20"/>
                <w:szCs w:val="20"/>
              </w:rPr>
              <w:t>Pawin Padungtod</w:t>
            </w:r>
          </w:p>
        </w:tc>
        <w:tc>
          <w:tcPr>
            <w:tcW w:w="3131" w:type="dxa"/>
          </w:tcPr>
          <w:p w14:paraId="2FF3C888" w14:textId="53EB809E" w:rsidR="48979606" w:rsidRPr="00BB4743" w:rsidRDefault="48979606" w:rsidP="00BB4743">
            <w:pPr>
              <w:spacing w:line="259" w:lineRule="auto"/>
              <w:rPr>
                <w:rFonts w:eastAsia="Calibri" w:cs="Calibri"/>
                <w:color w:val="000000"/>
                <w:sz w:val="20"/>
                <w:szCs w:val="20"/>
              </w:rPr>
            </w:pPr>
            <w:r w:rsidRPr="00BB4743">
              <w:rPr>
                <w:rFonts w:eastAsia="Calibri" w:cs="Calibri"/>
                <w:color w:val="000000"/>
                <w:sz w:val="20"/>
                <w:szCs w:val="20"/>
              </w:rPr>
              <w:t>FAO</w:t>
            </w:r>
          </w:p>
        </w:tc>
        <w:tc>
          <w:tcPr>
            <w:tcW w:w="3130" w:type="dxa"/>
          </w:tcPr>
          <w:p w14:paraId="44997F3D" w14:textId="46ED9AB0" w:rsidR="17D077F0" w:rsidRPr="00BB4743" w:rsidRDefault="51E345AB" w:rsidP="00BB4743">
            <w:pPr>
              <w:spacing w:line="259" w:lineRule="auto"/>
              <w:rPr>
                <w:rFonts w:eastAsia="Calibri" w:cs="Calibri"/>
                <w:color w:val="000000"/>
                <w:sz w:val="20"/>
                <w:szCs w:val="20"/>
              </w:rPr>
            </w:pPr>
            <w:r w:rsidRPr="00BB4743">
              <w:rPr>
                <w:rFonts w:eastAsia="Calibri" w:cs="Calibri"/>
                <w:color w:val="000000"/>
                <w:sz w:val="20"/>
                <w:szCs w:val="20"/>
              </w:rPr>
              <w:t>Senior Technical Coordinator ECTAD</w:t>
            </w:r>
          </w:p>
        </w:tc>
      </w:tr>
      <w:tr w:rsidR="17D077F0" w:rsidRPr="00D770D4" w14:paraId="044D4169"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7EB8C591" w14:textId="431FF035" w:rsidR="48979606" w:rsidRPr="00BB4743" w:rsidRDefault="48979606" w:rsidP="17D077F0">
            <w:pPr>
              <w:spacing w:line="259" w:lineRule="auto"/>
              <w:rPr>
                <w:rFonts w:eastAsia="Calibri" w:cs="Calibri"/>
                <w:b/>
                <w:bCs/>
                <w:color w:val="000000"/>
                <w:sz w:val="20"/>
                <w:szCs w:val="20"/>
              </w:rPr>
            </w:pPr>
            <w:r w:rsidRPr="00BB4743">
              <w:rPr>
                <w:rFonts w:eastAsia="Calibri" w:cs="Calibri"/>
                <w:b/>
                <w:bCs/>
                <w:color w:val="000000"/>
                <w:sz w:val="20"/>
                <w:szCs w:val="20"/>
              </w:rPr>
              <w:t>Michael J. O'leary</w:t>
            </w:r>
          </w:p>
        </w:tc>
        <w:tc>
          <w:tcPr>
            <w:tcW w:w="3131" w:type="dxa"/>
          </w:tcPr>
          <w:p w14:paraId="305EFE0D" w14:textId="705B701A" w:rsidR="48979606" w:rsidRPr="00BB4743" w:rsidRDefault="48979606" w:rsidP="00BB4743">
            <w:pPr>
              <w:spacing w:line="259" w:lineRule="auto"/>
              <w:rPr>
                <w:rFonts w:eastAsia="Calibri" w:cs="Calibri"/>
                <w:color w:val="000000"/>
                <w:sz w:val="20"/>
                <w:szCs w:val="20"/>
              </w:rPr>
            </w:pPr>
            <w:r w:rsidRPr="00BB4743">
              <w:rPr>
                <w:rFonts w:eastAsia="Calibri" w:cs="Calibri"/>
                <w:color w:val="000000"/>
                <w:sz w:val="20"/>
                <w:szCs w:val="20"/>
              </w:rPr>
              <w:t>USAID</w:t>
            </w:r>
          </w:p>
        </w:tc>
        <w:tc>
          <w:tcPr>
            <w:tcW w:w="3130" w:type="dxa"/>
          </w:tcPr>
          <w:p w14:paraId="3EFA96EB" w14:textId="3EA006EB" w:rsidR="48979606" w:rsidRPr="00BB4743" w:rsidRDefault="48979606" w:rsidP="00BB4743">
            <w:pPr>
              <w:spacing w:line="259" w:lineRule="auto"/>
              <w:rPr>
                <w:rFonts w:eastAsia="Calibri" w:cs="Calibri"/>
                <w:color w:val="000000"/>
                <w:sz w:val="20"/>
                <w:szCs w:val="20"/>
              </w:rPr>
            </w:pPr>
            <w:r w:rsidRPr="00BB4743">
              <w:rPr>
                <w:rFonts w:eastAsia="Calibri" w:cs="Calibri"/>
                <w:color w:val="000000"/>
                <w:sz w:val="20"/>
                <w:szCs w:val="20"/>
              </w:rPr>
              <w:t>Senior Infectious Diseases Advisor</w:t>
            </w:r>
          </w:p>
        </w:tc>
      </w:tr>
      <w:tr w:rsidR="17D077F0" w:rsidRPr="00D770D4" w14:paraId="026AF1D5"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00625FAA" w14:textId="2386F56A" w:rsidR="48979606" w:rsidRPr="00BB4743" w:rsidRDefault="48979606" w:rsidP="17D077F0">
            <w:pPr>
              <w:spacing w:line="259" w:lineRule="auto"/>
              <w:rPr>
                <w:rFonts w:eastAsia="Calibri" w:cs="Calibri"/>
                <w:b/>
                <w:bCs/>
                <w:color w:val="000000"/>
                <w:sz w:val="20"/>
                <w:szCs w:val="20"/>
              </w:rPr>
            </w:pPr>
            <w:r w:rsidRPr="00BB4743">
              <w:rPr>
                <w:rFonts w:eastAsia="Calibri" w:cs="Calibri"/>
                <w:b/>
                <w:bCs/>
                <w:color w:val="000000"/>
                <w:sz w:val="20"/>
                <w:szCs w:val="20"/>
              </w:rPr>
              <w:t>Rogier van Doorn</w:t>
            </w:r>
          </w:p>
        </w:tc>
        <w:tc>
          <w:tcPr>
            <w:tcW w:w="3131" w:type="dxa"/>
          </w:tcPr>
          <w:p w14:paraId="3ACCE3E5" w14:textId="1223B9ED" w:rsidR="48979606" w:rsidRPr="00BB4743" w:rsidRDefault="48979606" w:rsidP="00BB4743">
            <w:pPr>
              <w:spacing w:line="259" w:lineRule="auto"/>
              <w:rPr>
                <w:rFonts w:eastAsia="Calibri" w:cs="Calibri"/>
                <w:color w:val="000000"/>
                <w:sz w:val="20"/>
                <w:szCs w:val="20"/>
              </w:rPr>
            </w:pPr>
            <w:r w:rsidRPr="00BB4743">
              <w:rPr>
                <w:rFonts w:eastAsia="Calibri" w:cs="Calibri"/>
                <w:color w:val="000000"/>
                <w:sz w:val="20"/>
                <w:szCs w:val="20"/>
              </w:rPr>
              <w:t>OUCRU-Ha Noi</w:t>
            </w:r>
          </w:p>
        </w:tc>
        <w:tc>
          <w:tcPr>
            <w:tcW w:w="3130" w:type="dxa"/>
          </w:tcPr>
          <w:p w14:paraId="3766C63A" w14:textId="73BE3961" w:rsidR="48979606" w:rsidRPr="00BB4743" w:rsidRDefault="48979606" w:rsidP="00BB4743">
            <w:pPr>
              <w:spacing w:line="259" w:lineRule="auto"/>
              <w:rPr>
                <w:rFonts w:eastAsia="Calibri" w:cs="Calibri"/>
                <w:color w:val="000000"/>
                <w:sz w:val="20"/>
                <w:szCs w:val="20"/>
              </w:rPr>
            </w:pPr>
            <w:r w:rsidRPr="00BB4743">
              <w:rPr>
                <w:rFonts w:eastAsia="Calibri" w:cs="Calibri"/>
                <w:color w:val="000000"/>
                <w:sz w:val="20"/>
                <w:szCs w:val="20"/>
              </w:rPr>
              <w:t>Director</w:t>
            </w:r>
          </w:p>
        </w:tc>
      </w:tr>
      <w:tr w:rsidR="17D077F0" w:rsidRPr="00D770D4" w14:paraId="7955CEE2"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17D1F565" w14:textId="77777777" w:rsidR="17D077F0" w:rsidRPr="00BB4743" w:rsidRDefault="17D077F0" w:rsidP="000B3487">
            <w:pPr>
              <w:rPr>
                <w:rFonts w:cs="Calibri"/>
                <w:color w:val="FFFFFF" w:themeColor="background1"/>
                <w:sz w:val="20"/>
                <w:szCs w:val="20"/>
              </w:rPr>
            </w:pPr>
            <w:r w:rsidRPr="00BB4743">
              <w:rPr>
                <w:rFonts w:cs="Calibri"/>
                <w:color w:val="FFFFFF" w:themeColor="background1"/>
                <w:sz w:val="20"/>
                <w:szCs w:val="20"/>
              </w:rPr>
              <w:t>NRL &amp; Site Visit</w:t>
            </w:r>
          </w:p>
        </w:tc>
      </w:tr>
      <w:tr w:rsidR="17D077F0" w:rsidRPr="00D770D4" w14:paraId="53FC27F5"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0C2A027B" w14:textId="54E195C5" w:rsidR="1BA71B4E" w:rsidRPr="00BB4743" w:rsidRDefault="1BA71B4E" w:rsidP="17D077F0">
            <w:pPr>
              <w:spacing w:line="259" w:lineRule="auto"/>
              <w:rPr>
                <w:rFonts w:eastAsia="Calibri" w:cs="Calibri"/>
                <w:b/>
                <w:bCs/>
                <w:color w:val="000000"/>
                <w:sz w:val="20"/>
                <w:szCs w:val="20"/>
              </w:rPr>
            </w:pPr>
            <w:r w:rsidRPr="00BB4743">
              <w:rPr>
                <w:rFonts w:eastAsia="Calibri" w:cs="Calibri"/>
                <w:b/>
                <w:bCs/>
                <w:color w:val="000000"/>
                <w:sz w:val="20"/>
                <w:szCs w:val="20"/>
              </w:rPr>
              <w:t>Chu Van Tuat</w:t>
            </w:r>
          </w:p>
        </w:tc>
        <w:tc>
          <w:tcPr>
            <w:tcW w:w="3131" w:type="dxa"/>
          </w:tcPr>
          <w:p w14:paraId="7D78F312" w14:textId="24032C7B" w:rsidR="1BA71B4E" w:rsidRPr="00BB4743" w:rsidRDefault="1BA71B4E" w:rsidP="00BB4743">
            <w:pPr>
              <w:spacing w:line="259" w:lineRule="auto"/>
              <w:rPr>
                <w:rFonts w:eastAsia="Calibri" w:cs="Calibri"/>
                <w:color w:val="000000"/>
                <w:sz w:val="20"/>
                <w:szCs w:val="20"/>
              </w:rPr>
            </w:pPr>
            <w:r w:rsidRPr="00BB4743">
              <w:rPr>
                <w:rFonts w:eastAsia="Calibri" w:cs="Calibri"/>
                <w:color w:val="000000"/>
                <w:sz w:val="20"/>
                <w:szCs w:val="20"/>
              </w:rPr>
              <w:t>NCVHI1</w:t>
            </w:r>
          </w:p>
        </w:tc>
        <w:tc>
          <w:tcPr>
            <w:tcW w:w="3130" w:type="dxa"/>
          </w:tcPr>
          <w:p w14:paraId="117832F4" w14:textId="18D72CE7" w:rsidR="1BA71B4E" w:rsidRPr="00BB4743" w:rsidRDefault="1BA71B4E" w:rsidP="00BB4743">
            <w:pPr>
              <w:rPr>
                <w:rFonts w:eastAsia="Calibri" w:cs="Calibri"/>
                <w:color w:val="000000"/>
                <w:sz w:val="20"/>
                <w:szCs w:val="20"/>
              </w:rPr>
            </w:pPr>
            <w:r w:rsidRPr="00BB4743">
              <w:rPr>
                <w:rFonts w:eastAsia="Calibri" w:cs="Calibri"/>
                <w:color w:val="000000"/>
                <w:sz w:val="20"/>
                <w:szCs w:val="20"/>
              </w:rPr>
              <w:t>Head of Microbiology Department</w:t>
            </w:r>
          </w:p>
        </w:tc>
      </w:tr>
      <w:tr w:rsidR="17D077F0" w:rsidRPr="00D770D4" w14:paraId="43AFB731"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424646D9" w14:textId="660DA14D" w:rsidR="7DAFC383" w:rsidRPr="00BB4743" w:rsidRDefault="7DAFC383" w:rsidP="17D077F0">
            <w:pPr>
              <w:spacing w:line="259" w:lineRule="auto"/>
              <w:rPr>
                <w:rFonts w:eastAsia="Calibri" w:cs="Calibri"/>
                <w:b/>
                <w:bCs/>
                <w:color w:val="000000"/>
                <w:sz w:val="20"/>
                <w:szCs w:val="20"/>
              </w:rPr>
            </w:pPr>
            <w:r w:rsidRPr="00BB4743">
              <w:rPr>
                <w:rFonts w:eastAsia="Calibri" w:cs="Calibri"/>
                <w:b/>
                <w:bCs/>
                <w:color w:val="000000"/>
                <w:sz w:val="20"/>
                <w:szCs w:val="20"/>
              </w:rPr>
              <w:t>Truong Thien Phu</w:t>
            </w:r>
          </w:p>
        </w:tc>
        <w:tc>
          <w:tcPr>
            <w:tcW w:w="3131" w:type="dxa"/>
          </w:tcPr>
          <w:p w14:paraId="066B3C27" w14:textId="0EA37F0D" w:rsidR="7DAFC383" w:rsidRPr="00BB4743" w:rsidRDefault="7DAFC383" w:rsidP="00BB4743">
            <w:pPr>
              <w:spacing w:line="259" w:lineRule="auto"/>
              <w:rPr>
                <w:rFonts w:eastAsia="Calibri" w:cs="Calibri"/>
                <w:color w:val="000000"/>
                <w:sz w:val="20"/>
                <w:szCs w:val="20"/>
              </w:rPr>
            </w:pPr>
            <w:r w:rsidRPr="00BB4743">
              <w:rPr>
                <w:rFonts w:eastAsia="Calibri" w:cs="Calibri"/>
                <w:color w:val="000000"/>
                <w:sz w:val="20"/>
                <w:szCs w:val="20"/>
              </w:rPr>
              <w:t>Cho Ray Hospital</w:t>
            </w:r>
          </w:p>
        </w:tc>
        <w:tc>
          <w:tcPr>
            <w:tcW w:w="3130" w:type="dxa"/>
          </w:tcPr>
          <w:p w14:paraId="78708110" w14:textId="07949DD9" w:rsidR="7DAFC383" w:rsidRPr="00BB4743" w:rsidRDefault="7DAFC383" w:rsidP="00BB4743">
            <w:pPr>
              <w:rPr>
                <w:rFonts w:eastAsia="Calibri" w:cs="Calibri"/>
                <w:color w:val="000000"/>
                <w:sz w:val="20"/>
                <w:szCs w:val="20"/>
              </w:rPr>
            </w:pPr>
            <w:r w:rsidRPr="00BB4743">
              <w:rPr>
                <w:rFonts w:eastAsia="Calibri" w:cs="Calibri"/>
                <w:color w:val="000000"/>
                <w:sz w:val="20"/>
                <w:szCs w:val="20"/>
              </w:rPr>
              <w:t>Head of Microbiology Department</w:t>
            </w:r>
          </w:p>
        </w:tc>
      </w:tr>
      <w:tr w:rsidR="17D077F0" w:rsidRPr="00D770D4" w14:paraId="67C8CB3F"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7847236A" w14:textId="710DE675" w:rsidR="33F296FD" w:rsidRPr="00BB4743" w:rsidRDefault="33F296FD" w:rsidP="17D077F0">
            <w:pPr>
              <w:rPr>
                <w:rFonts w:eastAsia="Calibri" w:cs="Calibri"/>
                <w:b/>
                <w:bCs/>
                <w:color w:val="000000"/>
                <w:sz w:val="20"/>
                <w:szCs w:val="20"/>
              </w:rPr>
            </w:pPr>
            <w:r w:rsidRPr="00BB4743">
              <w:rPr>
                <w:rFonts w:eastAsia="Calibri" w:cs="Calibri"/>
                <w:b/>
                <w:bCs/>
                <w:color w:val="000000"/>
                <w:sz w:val="20"/>
                <w:szCs w:val="20"/>
              </w:rPr>
              <w:t>Mai Van Tuan</w:t>
            </w:r>
          </w:p>
        </w:tc>
        <w:tc>
          <w:tcPr>
            <w:tcW w:w="3131" w:type="dxa"/>
          </w:tcPr>
          <w:p w14:paraId="5A23F760" w14:textId="52DDB1AC" w:rsidR="63F0B888" w:rsidRPr="00BB4743" w:rsidRDefault="63F0B888" w:rsidP="00BB4743">
            <w:pPr>
              <w:spacing w:line="259" w:lineRule="auto"/>
              <w:rPr>
                <w:rFonts w:eastAsia="Calibri" w:cs="Calibri"/>
                <w:color w:val="000000"/>
                <w:sz w:val="20"/>
                <w:szCs w:val="20"/>
              </w:rPr>
            </w:pPr>
            <w:r w:rsidRPr="00BB4743">
              <w:rPr>
                <w:rFonts w:eastAsia="Calibri" w:cs="Calibri"/>
                <w:color w:val="000000"/>
                <w:sz w:val="20"/>
                <w:szCs w:val="20"/>
              </w:rPr>
              <w:t xml:space="preserve">Hue General </w:t>
            </w:r>
            <w:r w:rsidR="001074F6" w:rsidRPr="001074F6">
              <w:rPr>
                <w:rFonts w:eastAsia="Calibri" w:cs="Calibri"/>
                <w:color w:val="000000"/>
                <w:sz w:val="20"/>
                <w:szCs w:val="20"/>
              </w:rPr>
              <w:t>Centre</w:t>
            </w:r>
            <w:r w:rsidRPr="00BB4743">
              <w:rPr>
                <w:rFonts w:eastAsia="Calibri" w:cs="Calibri"/>
                <w:color w:val="000000"/>
                <w:sz w:val="20"/>
                <w:szCs w:val="20"/>
              </w:rPr>
              <w:t xml:space="preserve"> Hospital, Hue city</w:t>
            </w:r>
          </w:p>
        </w:tc>
        <w:tc>
          <w:tcPr>
            <w:tcW w:w="3130" w:type="dxa"/>
          </w:tcPr>
          <w:p w14:paraId="46C6FD25" w14:textId="36B573F1" w:rsidR="63F0B888" w:rsidRPr="00BB4743" w:rsidRDefault="63F0B888" w:rsidP="00BB4743">
            <w:pPr>
              <w:rPr>
                <w:rFonts w:eastAsia="Calibri" w:cs="Calibri"/>
                <w:color w:val="000000"/>
                <w:sz w:val="20"/>
                <w:szCs w:val="20"/>
              </w:rPr>
            </w:pPr>
            <w:r w:rsidRPr="00BB4743">
              <w:rPr>
                <w:rFonts w:eastAsia="Calibri" w:cs="Calibri"/>
                <w:color w:val="000000"/>
                <w:sz w:val="20"/>
                <w:szCs w:val="20"/>
              </w:rPr>
              <w:t>Head of Microbiology Department</w:t>
            </w:r>
          </w:p>
        </w:tc>
      </w:tr>
      <w:tr w:rsidR="17D077F0" w:rsidRPr="00D770D4" w14:paraId="77156BA9" w14:textId="77777777" w:rsidTr="17D077F0">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51ED8918" w14:textId="70903E4D" w:rsidR="0FDB226C" w:rsidRPr="00BB4743" w:rsidRDefault="0FDB226C" w:rsidP="17D077F0">
            <w:pPr>
              <w:rPr>
                <w:rFonts w:eastAsia="Calibri" w:cs="Calibri"/>
                <w:b/>
                <w:bCs/>
                <w:color w:val="000000"/>
                <w:sz w:val="20"/>
                <w:szCs w:val="20"/>
              </w:rPr>
            </w:pPr>
            <w:r w:rsidRPr="00BB4743">
              <w:rPr>
                <w:rFonts w:eastAsia="Calibri" w:cs="Calibri"/>
                <w:b/>
                <w:bCs/>
                <w:color w:val="000000"/>
                <w:sz w:val="20"/>
                <w:szCs w:val="20"/>
              </w:rPr>
              <w:t>Vo Minh Chau</w:t>
            </w:r>
          </w:p>
        </w:tc>
        <w:tc>
          <w:tcPr>
            <w:tcW w:w="3131" w:type="dxa"/>
          </w:tcPr>
          <w:p w14:paraId="0CB0FB95" w14:textId="31E4D617" w:rsidR="0FDB226C" w:rsidRPr="00BB4743" w:rsidRDefault="0FDB226C" w:rsidP="00BB4743">
            <w:pPr>
              <w:spacing w:line="259" w:lineRule="auto"/>
              <w:rPr>
                <w:rFonts w:eastAsia="Calibri" w:cs="Calibri"/>
                <w:color w:val="000000"/>
                <w:sz w:val="20"/>
                <w:szCs w:val="20"/>
              </w:rPr>
            </w:pPr>
            <w:r w:rsidRPr="00BB4743">
              <w:rPr>
                <w:rFonts w:eastAsia="Calibri" w:cs="Calibri"/>
                <w:color w:val="000000"/>
                <w:sz w:val="20"/>
                <w:szCs w:val="20"/>
              </w:rPr>
              <w:t>National Centre for Veterinary Hygiene Inspection No. 2 (NCVHI 2)</w:t>
            </w:r>
          </w:p>
        </w:tc>
        <w:tc>
          <w:tcPr>
            <w:tcW w:w="3130" w:type="dxa"/>
          </w:tcPr>
          <w:p w14:paraId="056C183A" w14:textId="5AEE16DF" w:rsidR="0FDB226C" w:rsidRPr="00BB4743" w:rsidRDefault="0FDB226C" w:rsidP="00BB4743">
            <w:pPr>
              <w:rPr>
                <w:rFonts w:eastAsia="Calibri" w:cs="Calibri"/>
                <w:color w:val="000000"/>
                <w:sz w:val="20"/>
                <w:szCs w:val="20"/>
              </w:rPr>
            </w:pPr>
            <w:r w:rsidRPr="00BB4743">
              <w:rPr>
                <w:rFonts w:eastAsia="Calibri" w:cs="Calibri"/>
                <w:color w:val="000000"/>
                <w:sz w:val="20"/>
                <w:szCs w:val="20"/>
              </w:rPr>
              <w:t>Vice Head</w:t>
            </w:r>
          </w:p>
        </w:tc>
      </w:tr>
      <w:tr w:rsidR="17D077F0" w:rsidRPr="00D770D4" w14:paraId="4DD24B89" w14:textId="77777777" w:rsidTr="17D077F0">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4A1E6AA9" w14:textId="31B57AE6" w:rsidR="0FDB226C" w:rsidRPr="00BB4743" w:rsidRDefault="0FDB226C" w:rsidP="17D077F0">
            <w:pPr>
              <w:rPr>
                <w:rFonts w:eastAsia="Calibri" w:cs="Calibri"/>
                <w:b/>
                <w:bCs/>
                <w:color w:val="000000"/>
                <w:sz w:val="20"/>
                <w:szCs w:val="20"/>
              </w:rPr>
            </w:pPr>
            <w:r w:rsidRPr="00BB4743">
              <w:rPr>
                <w:rFonts w:eastAsia="Calibri" w:cs="Calibri"/>
                <w:b/>
                <w:bCs/>
                <w:color w:val="000000"/>
                <w:sz w:val="20"/>
                <w:szCs w:val="20"/>
              </w:rPr>
              <w:t>Vu Phuong Thom</w:t>
            </w:r>
          </w:p>
        </w:tc>
        <w:tc>
          <w:tcPr>
            <w:tcW w:w="3131" w:type="dxa"/>
          </w:tcPr>
          <w:p w14:paraId="226F486E" w14:textId="3CD50B33" w:rsidR="0FDB226C" w:rsidRPr="00BB4743" w:rsidRDefault="0FDB226C" w:rsidP="00BB4743">
            <w:pPr>
              <w:spacing w:line="259" w:lineRule="auto"/>
              <w:rPr>
                <w:rFonts w:eastAsia="Calibri" w:cs="Calibri"/>
                <w:color w:val="000000"/>
                <w:sz w:val="20"/>
                <w:szCs w:val="20"/>
              </w:rPr>
            </w:pPr>
            <w:r w:rsidRPr="00BB4743">
              <w:rPr>
                <w:rFonts w:eastAsia="Calibri" w:cs="Calibri"/>
                <w:color w:val="000000"/>
                <w:sz w:val="20"/>
                <w:szCs w:val="20"/>
              </w:rPr>
              <w:t>Saint Paul Hospital</w:t>
            </w:r>
          </w:p>
        </w:tc>
        <w:tc>
          <w:tcPr>
            <w:tcW w:w="3130" w:type="dxa"/>
          </w:tcPr>
          <w:p w14:paraId="007F93F0" w14:textId="25938520" w:rsidR="0FDB226C" w:rsidRPr="00BB4743" w:rsidRDefault="0FDB226C" w:rsidP="00BB4743">
            <w:pPr>
              <w:rPr>
                <w:rFonts w:eastAsia="Calibri" w:cs="Calibri"/>
                <w:color w:val="000000"/>
                <w:sz w:val="20"/>
                <w:szCs w:val="20"/>
              </w:rPr>
            </w:pPr>
            <w:r w:rsidRPr="00BB4743">
              <w:rPr>
                <w:rFonts w:eastAsia="Calibri" w:cs="Calibri"/>
                <w:color w:val="000000"/>
                <w:sz w:val="20"/>
                <w:szCs w:val="20"/>
              </w:rPr>
              <w:t>Head of Microbiology Department</w:t>
            </w:r>
          </w:p>
        </w:tc>
      </w:tr>
    </w:tbl>
    <w:p w14:paraId="6159B29A" w14:textId="24FA4B7C" w:rsidR="00CF4E89" w:rsidRDefault="00CF4E89" w:rsidP="004F2001">
      <w:pPr>
        <w:pStyle w:val="ItadH2"/>
      </w:pPr>
      <w:bookmarkStart w:id="434" w:name="_Toc118968586"/>
      <w:bookmarkStart w:id="435" w:name="_Toc142383228"/>
      <w:r>
        <w:t>Zambia</w:t>
      </w:r>
      <w:bookmarkEnd w:id="434"/>
      <w:bookmarkEnd w:id="435"/>
      <w:r>
        <w:t xml:space="preserve"> </w:t>
      </w:r>
    </w:p>
    <w:p w14:paraId="65B51BF0" w14:textId="0173389C" w:rsidR="00892A2D" w:rsidRDefault="00892A2D" w:rsidP="004F2001">
      <w:pPr>
        <w:pStyle w:val="ItadH3"/>
      </w:pPr>
      <w:bookmarkStart w:id="436" w:name="_Toc118968587"/>
      <w:bookmarkStart w:id="437" w:name="_Toc142383229"/>
      <w:r>
        <w:t>Pilot</w:t>
      </w:r>
      <w:bookmarkEnd w:id="436"/>
      <w:bookmarkEnd w:id="437"/>
      <w:r>
        <w:t xml:space="preserve"> </w:t>
      </w:r>
    </w:p>
    <w:tbl>
      <w:tblPr>
        <w:tblStyle w:val="Itadalternaterows"/>
        <w:tblW w:w="0" w:type="auto"/>
        <w:tblLook w:val="04A0" w:firstRow="1" w:lastRow="0" w:firstColumn="1" w:lastColumn="0" w:noHBand="0" w:noVBand="1"/>
      </w:tblPr>
      <w:tblGrid>
        <w:gridCol w:w="3134"/>
        <w:gridCol w:w="3131"/>
        <w:gridCol w:w="3130"/>
      </w:tblGrid>
      <w:tr w:rsidR="17D077F0" w:rsidRPr="00D770D4" w14:paraId="5F036F4D" w14:textId="77777777" w:rsidTr="1853E80E">
        <w:trPr>
          <w:cnfStyle w:val="100000000000" w:firstRow="1" w:lastRow="0" w:firstColumn="0" w:lastColumn="0" w:oddVBand="0" w:evenVBand="0" w:oddHBand="0" w:evenHBand="0" w:firstRowFirstColumn="0" w:firstRowLastColumn="0" w:lastRowFirstColumn="0" w:lastRowLastColumn="0"/>
          <w:trHeight w:val="340"/>
        </w:trPr>
        <w:tc>
          <w:tcPr>
            <w:tcW w:w="9395" w:type="dxa"/>
            <w:gridSpan w:val="3"/>
          </w:tcPr>
          <w:p w14:paraId="05EE34B7" w14:textId="01260B28" w:rsidR="17D077F0" w:rsidRPr="00BB4743" w:rsidRDefault="17D077F0" w:rsidP="17D077F0">
            <w:pPr>
              <w:rPr>
                <w:rFonts w:cs="Calibri"/>
                <w:color w:val="FFFFFF" w:themeColor="background1"/>
                <w:sz w:val="20"/>
                <w:szCs w:val="20"/>
                <w:lang w:eastAsia="en-GB"/>
              </w:rPr>
            </w:pPr>
            <w:r w:rsidRPr="00BB4743">
              <w:rPr>
                <w:rFonts w:cs="Calibri"/>
                <w:color w:val="FFFFFF" w:themeColor="background1"/>
                <w:sz w:val="20"/>
                <w:szCs w:val="20"/>
                <w:lang w:eastAsia="en-GB"/>
              </w:rPr>
              <w:t xml:space="preserve">Fleming Fund </w:t>
            </w:r>
            <w:r w:rsidR="005B5B44" w:rsidRPr="00BB4743">
              <w:rPr>
                <w:rFonts w:cs="Calibri"/>
                <w:color w:val="FFFFFF" w:themeColor="background1"/>
                <w:sz w:val="20"/>
                <w:szCs w:val="20"/>
                <w:lang w:eastAsia="en-GB"/>
              </w:rPr>
              <w:t>CG</w:t>
            </w:r>
          </w:p>
        </w:tc>
      </w:tr>
      <w:tr w:rsidR="17D077F0" w:rsidRPr="00D770D4" w14:paraId="549DC550"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43A045B1" w14:textId="23514556" w:rsidR="17D077F0" w:rsidRPr="00BB4743" w:rsidRDefault="2C176960" w:rsidP="17D077F0">
            <w:pPr>
              <w:rPr>
                <w:rFonts w:cs="Calibri"/>
                <w:b/>
                <w:bCs/>
                <w:sz w:val="20"/>
                <w:szCs w:val="20"/>
              </w:rPr>
            </w:pPr>
            <w:r w:rsidRPr="00BB4743">
              <w:rPr>
                <w:rFonts w:eastAsia="Calibri Light" w:cs="Calibri"/>
                <w:b/>
                <w:bCs/>
                <w:color w:val="000000"/>
                <w:sz w:val="20"/>
                <w:szCs w:val="20"/>
              </w:rPr>
              <w:t>David Ojok</w:t>
            </w:r>
          </w:p>
        </w:tc>
        <w:tc>
          <w:tcPr>
            <w:tcW w:w="3131" w:type="dxa"/>
          </w:tcPr>
          <w:p w14:paraId="1D29B73F" w14:textId="1DF5F51E" w:rsidR="17D077F0" w:rsidRPr="00BB4743" w:rsidRDefault="00C50850" w:rsidP="00BB4743">
            <w:pPr>
              <w:rPr>
                <w:rFonts w:cs="Calibri"/>
                <w:color w:val="000000"/>
                <w:sz w:val="20"/>
                <w:szCs w:val="20"/>
                <w:lang w:eastAsia="en-GB"/>
              </w:rPr>
            </w:pPr>
            <w:r>
              <w:rPr>
                <w:rFonts w:cs="Calibri"/>
                <w:color w:val="000000"/>
                <w:sz w:val="20"/>
                <w:szCs w:val="20"/>
                <w:lang w:eastAsia="en-GB"/>
              </w:rPr>
              <w:t>Centre for Infectious Disease Research in Zambia (</w:t>
            </w:r>
            <w:r w:rsidRPr="00BF18D1">
              <w:rPr>
                <w:rFonts w:cs="Calibri"/>
                <w:color w:val="000000"/>
                <w:sz w:val="20"/>
                <w:szCs w:val="20"/>
                <w:lang w:eastAsia="en-GB"/>
              </w:rPr>
              <w:t>CIDRZ</w:t>
            </w:r>
            <w:r>
              <w:rPr>
                <w:rFonts w:cs="Calibri"/>
                <w:color w:val="000000"/>
                <w:sz w:val="20"/>
                <w:szCs w:val="20"/>
                <w:lang w:eastAsia="en-GB"/>
              </w:rPr>
              <w:t>)</w:t>
            </w:r>
          </w:p>
        </w:tc>
        <w:tc>
          <w:tcPr>
            <w:tcW w:w="3130" w:type="dxa"/>
          </w:tcPr>
          <w:p w14:paraId="33AD555D" w14:textId="25FDC081" w:rsidR="17D077F0" w:rsidRPr="00BB4743" w:rsidRDefault="2C176960" w:rsidP="00BB4743">
            <w:pPr>
              <w:rPr>
                <w:rFonts w:cs="Calibri"/>
                <w:color w:val="000000"/>
                <w:sz w:val="20"/>
                <w:szCs w:val="20"/>
                <w:lang w:eastAsia="en-GB"/>
              </w:rPr>
            </w:pPr>
            <w:r w:rsidRPr="00BB4743">
              <w:rPr>
                <w:rFonts w:cs="Calibri"/>
                <w:color w:val="000000"/>
                <w:sz w:val="20"/>
                <w:szCs w:val="20"/>
                <w:lang w:eastAsia="en-GB"/>
              </w:rPr>
              <w:t>Director, Team Leader</w:t>
            </w:r>
          </w:p>
        </w:tc>
      </w:tr>
      <w:tr w:rsidR="25BD206A" w:rsidRPr="00D770D4" w14:paraId="5F41EE64"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2FBBE6BA" w14:textId="7FC94D5F" w:rsidR="2C176960" w:rsidRPr="00BB4743" w:rsidRDefault="2C176960" w:rsidP="25BD206A">
            <w:pPr>
              <w:rPr>
                <w:rFonts w:cs="Calibri"/>
                <w:b/>
                <w:bCs/>
                <w:sz w:val="20"/>
                <w:szCs w:val="20"/>
              </w:rPr>
            </w:pPr>
            <w:r w:rsidRPr="00BB4743">
              <w:rPr>
                <w:rFonts w:eastAsia="Calibri Light" w:cs="Calibri"/>
                <w:b/>
                <w:bCs/>
                <w:color w:val="000000"/>
                <w:sz w:val="20"/>
                <w:szCs w:val="20"/>
              </w:rPr>
              <w:t>Kaunda</w:t>
            </w:r>
          </w:p>
        </w:tc>
        <w:tc>
          <w:tcPr>
            <w:tcW w:w="3131" w:type="dxa"/>
          </w:tcPr>
          <w:p w14:paraId="793EB7E7" w14:textId="68AA2EAB" w:rsidR="2C176960" w:rsidRPr="00BB4743" w:rsidRDefault="00C50850" w:rsidP="00BB4743">
            <w:pPr>
              <w:rPr>
                <w:rFonts w:cs="Calibri"/>
                <w:color w:val="000000"/>
                <w:sz w:val="20"/>
                <w:szCs w:val="20"/>
                <w:lang w:eastAsia="en-GB"/>
              </w:rPr>
            </w:pPr>
            <w:r>
              <w:rPr>
                <w:rFonts w:cs="Calibri"/>
                <w:color w:val="000000"/>
                <w:sz w:val="20"/>
                <w:szCs w:val="20"/>
                <w:lang w:eastAsia="en-GB"/>
              </w:rPr>
              <w:t>Centre for Infectious Disease Research in Zambia</w:t>
            </w:r>
          </w:p>
        </w:tc>
        <w:tc>
          <w:tcPr>
            <w:tcW w:w="3130" w:type="dxa"/>
          </w:tcPr>
          <w:p w14:paraId="207A6EE7" w14:textId="0157279E" w:rsidR="2C176960" w:rsidRPr="00BB4743" w:rsidRDefault="2C176960" w:rsidP="00BB4743">
            <w:pPr>
              <w:rPr>
                <w:rFonts w:cs="Calibri"/>
                <w:sz w:val="20"/>
                <w:szCs w:val="20"/>
              </w:rPr>
            </w:pPr>
            <w:r w:rsidRPr="00BB4743">
              <w:rPr>
                <w:rFonts w:eastAsia="Calibri Light" w:cs="Calibri"/>
                <w:color w:val="000000"/>
                <w:sz w:val="20"/>
                <w:szCs w:val="20"/>
              </w:rPr>
              <w:t>Project Manager</w:t>
            </w:r>
          </w:p>
        </w:tc>
      </w:tr>
      <w:tr w:rsidR="0260C2CB" w:rsidRPr="00D770D4" w14:paraId="44A6680F"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1ABE9445" w14:textId="64AFD693" w:rsidR="7CC87EA6" w:rsidRPr="00BB4743" w:rsidRDefault="7CC87EA6" w:rsidP="0260C2CB">
            <w:pPr>
              <w:rPr>
                <w:rFonts w:cs="Calibri"/>
                <w:b/>
                <w:bCs/>
                <w:sz w:val="20"/>
                <w:szCs w:val="20"/>
              </w:rPr>
            </w:pPr>
            <w:r w:rsidRPr="00BB4743">
              <w:rPr>
                <w:rFonts w:eastAsia="Calibri Light" w:cs="Calibri"/>
                <w:b/>
                <w:bCs/>
                <w:color w:val="000000"/>
                <w:sz w:val="20"/>
                <w:szCs w:val="20"/>
              </w:rPr>
              <w:t>Prof. John Muma</w:t>
            </w:r>
          </w:p>
        </w:tc>
        <w:tc>
          <w:tcPr>
            <w:tcW w:w="3131" w:type="dxa"/>
          </w:tcPr>
          <w:p w14:paraId="1EEAE2EC" w14:textId="03CC97E9" w:rsidR="7CC87EA6" w:rsidRPr="00BB4743" w:rsidRDefault="00160368" w:rsidP="00BB4743">
            <w:pPr>
              <w:rPr>
                <w:rFonts w:cs="Calibri"/>
                <w:sz w:val="20"/>
                <w:szCs w:val="20"/>
              </w:rPr>
            </w:pPr>
            <w:r w:rsidRPr="00160368">
              <w:rPr>
                <w:rFonts w:eastAsia="Calibri Light" w:cs="Calibri"/>
                <w:color w:val="000000"/>
                <w:sz w:val="20"/>
                <w:szCs w:val="20"/>
              </w:rPr>
              <w:t xml:space="preserve">University of Zambia </w:t>
            </w:r>
            <w:r w:rsidR="007C54F9">
              <w:rPr>
                <w:rFonts w:eastAsia="Calibri Light" w:cs="Calibri"/>
                <w:color w:val="000000"/>
                <w:sz w:val="20"/>
                <w:szCs w:val="20"/>
              </w:rPr>
              <w:t>(</w:t>
            </w:r>
            <w:r w:rsidR="7CC87EA6" w:rsidRPr="00BB4743">
              <w:rPr>
                <w:rFonts w:eastAsia="Calibri Light" w:cs="Calibri"/>
                <w:color w:val="000000"/>
                <w:sz w:val="20"/>
                <w:szCs w:val="20"/>
              </w:rPr>
              <w:t>UNZA</w:t>
            </w:r>
            <w:r w:rsidR="007C54F9">
              <w:rPr>
                <w:rFonts w:eastAsia="Calibri Light" w:cs="Calibri"/>
                <w:color w:val="000000"/>
                <w:sz w:val="20"/>
                <w:szCs w:val="20"/>
              </w:rPr>
              <w:t>)</w:t>
            </w:r>
          </w:p>
        </w:tc>
        <w:tc>
          <w:tcPr>
            <w:tcW w:w="3130" w:type="dxa"/>
          </w:tcPr>
          <w:p w14:paraId="084A91EF" w14:textId="63CD4B62" w:rsidR="0260C2CB" w:rsidRPr="00BB4743" w:rsidRDefault="7CC87EA6" w:rsidP="000B3487">
            <w:pPr>
              <w:spacing w:line="259" w:lineRule="auto"/>
              <w:rPr>
                <w:rFonts w:cs="Calibri"/>
                <w:sz w:val="20"/>
                <w:szCs w:val="20"/>
              </w:rPr>
            </w:pPr>
            <w:r w:rsidRPr="00BB4743">
              <w:rPr>
                <w:rFonts w:eastAsia="Arial" w:cs="Calibri"/>
                <w:color w:val="000000"/>
                <w:sz w:val="20"/>
                <w:szCs w:val="20"/>
              </w:rPr>
              <w:t xml:space="preserve">Professor, University of Zambia, School of </w:t>
            </w:r>
            <w:r w:rsidR="00CA1EE5" w:rsidRPr="00BB4743">
              <w:rPr>
                <w:rFonts w:eastAsia="Calibri Light" w:cs="Calibri"/>
                <w:color w:val="000000"/>
                <w:sz w:val="20"/>
                <w:szCs w:val="20"/>
              </w:rPr>
              <w:t xml:space="preserve">Veterinary </w:t>
            </w:r>
            <w:r w:rsidRPr="00BB4743">
              <w:rPr>
                <w:rFonts w:eastAsia="Arial" w:cs="Calibri"/>
                <w:color w:val="000000"/>
                <w:sz w:val="20"/>
                <w:szCs w:val="20"/>
              </w:rPr>
              <w:t>Medicine</w:t>
            </w:r>
          </w:p>
        </w:tc>
      </w:tr>
      <w:tr w:rsidR="17D077F0" w:rsidRPr="00D770D4" w14:paraId="5CA8AD6A"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0780E93F" w14:textId="3504243A" w:rsidR="17D077F0" w:rsidRPr="00BB4743" w:rsidRDefault="4FD57361" w:rsidP="000B3487">
            <w:pPr>
              <w:spacing w:line="259" w:lineRule="auto"/>
              <w:rPr>
                <w:rFonts w:cs="Calibri"/>
                <w:sz w:val="20"/>
                <w:szCs w:val="20"/>
              </w:rPr>
            </w:pPr>
            <w:r w:rsidRPr="00BB4743">
              <w:rPr>
                <w:rFonts w:cs="Calibri"/>
                <w:color w:val="FFFFFF" w:themeColor="background1"/>
                <w:sz w:val="20"/>
                <w:szCs w:val="20"/>
                <w:lang w:eastAsia="en-GB"/>
              </w:rPr>
              <w:t>Mott MacDonald</w:t>
            </w:r>
          </w:p>
        </w:tc>
      </w:tr>
      <w:tr w:rsidR="17D077F0" w:rsidRPr="00D770D4" w14:paraId="3695A515"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30065CBA" w14:textId="2B668DD3" w:rsidR="17D077F0" w:rsidRPr="00BB4743" w:rsidRDefault="4FD57361" w:rsidP="17D077F0">
            <w:pPr>
              <w:spacing w:line="259" w:lineRule="auto"/>
              <w:rPr>
                <w:rFonts w:cs="Calibri"/>
                <w:b/>
                <w:bCs/>
                <w:sz w:val="20"/>
                <w:szCs w:val="20"/>
              </w:rPr>
            </w:pPr>
            <w:r w:rsidRPr="00BB4743">
              <w:rPr>
                <w:rFonts w:eastAsia="Arial" w:cs="Calibri"/>
                <w:b/>
                <w:bCs/>
                <w:color w:val="000000"/>
                <w:sz w:val="20"/>
                <w:szCs w:val="20"/>
              </w:rPr>
              <w:t>Patrick Mubangizi</w:t>
            </w:r>
            <w:r w:rsidR="007C5C09">
              <w:rPr>
                <w:rFonts w:eastAsia="Arial" w:cs="Calibri"/>
                <w:b/>
                <w:bCs/>
                <w:color w:val="000000"/>
                <w:sz w:val="20"/>
                <w:szCs w:val="20"/>
              </w:rPr>
              <w:t>*</w:t>
            </w:r>
          </w:p>
        </w:tc>
        <w:tc>
          <w:tcPr>
            <w:tcW w:w="3131" w:type="dxa"/>
          </w:tcPr>
          <w:p w14:paraId="5397998F" w14:textId="6A405ED6" w:rsidR="17D077F0" w:rsidRPr="00BB4743" w:rsidRDefault="4FD57361" w:rsidP="00BB4743">
            <w:pPr>
              <w:spacing w:line="259" w:lineRule="auto"/>
              <w:rPr>
                <w:rFonts w:cs="Calibri"/>
                <w:sz w:val="20"/>
                <w:szCs w:val="20"/>
              </w:rPr>
            </w:pPr>
            <w:r w:rsidRPr="00BB4743">
              <w:rPr>
                <w:rFonts w:eastAsia="Arial" w:cs="Calibri"/>
                <w:color w:val="000000"/>
                <w:sz w:val="20"/>
                <w:szCs w:val="20"/>
              </w:rPr>
              <w:t xml:space="preserve">Mott </w:t>
            </w:r>
            <w:r w:rsidR="00247D11" w:rsidRPr="00BB4743">
              <w:rPr>
                <w:rFonts w:eastAsia="Arial" w:cs="Calibri"/>
                <w:color w:val="000000"/>
                <w:sz w:val="20"/>
                <w:szCs w:val="20"/>
              </w:rPr>
              <w:t>Mac</w:t>
            </w:r>
            <w:r w:rsidR="00247D11">
              <w:rPr>
                <w:rFonts w:eastAsia="Arial" w:cs="Calibri"/>
                <w:color w:val="000000"/>
                <w:sz w:val="20"/>
                <w:szCs w:val="20"/>
              </w:rPr>
              <w:t>D</w:t>
            </w:r>
            <w:r w:rsidR="00247D11" w:rsidRPr="00BB4743">
              <w:rPr>
                <w:rFonts w:eastAsia="Arial" w:cs="Calibri"/>
                <w:color w:val="000000"/>
                <w:sz w:val="20"/>
                <w:szCs w:val="20"/>
              </w:rPr>
              <w:t>onald</w:t>
            </w:r>
          </w:p>
        </w:tc>
        <w:tc>
          <w:tcPr>
            <w:tcW w:w="3130" w:type="dxa"/>
          </w:tcPr>
          <w:p w14:paraId="5E1A012B" w14:textId="780C1E0C" w:rsidR="17D077F0" w:rsidRPr="00BB4743" w:rsidRDefault="4FD57361" w:rsidP="00BB4743">
            <w:pPr>
              <w:spacing w:line="259" w:lineRule="auto"/>
              <w:rPr>
                <w:rFonts w:cs="Calibri"/>
                <w:sz w:val="20"/>
                <w:szCs w:val="20"/>
              </w:rPr>
            </w:pPr>
            <w:r w:rsidRPr="00BB4743">
              <w:rPr>
                <w:rFonts w:eastAsia="Arial" w:cs="Calibri"/>
                <w:color w:val="000000"/>
                <w:sz w:val="20"/>
                <w:szCs w:val="20"/>
              </w:rPr>
              <w:t>Regional Coordinator, ESA</w:t>
            </w:r>
          </w:p>
        </w:tc>
      </w:tr>
      <w:tr w:rsidR="17D077F0" w:rsidRPr="00D770D4" w14:paraId="21D31C0A"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12FB2A6B" w14:textId="77777777" w:rsidR="17D077F0" w:rsidRPr="00BB4743" w:rsidRDefault="17D077F0" w:rsidP="000B3487">
            <w:pPr>
              <w:rPr>
                <w:rFonts w:cs="Calibri"/>
                <w:color w:val="auto"/>
                <w:sz w:val="20"/>
                <w:szCs w:val="20"/>
              </w:rPr>
            </w:pPr>
            <w:r w:rsidRPr="00BB4743">
              <w:rPr>
                <w:rFonts w:cs="Calibri"/>
                <w:color w:val="FFFFFF" w:themeColor="background1"/>
                <w:sz w:val="20"/>
                <w:szCs w:val="20"/>
                <w:lang w:eastAsia="en-GB"/>
              </w:rPr>
              <w:t>Other decision makers</w:t>
            </w:r>
          </w:p>
        </w:tc>
      </w:tr>
      <w:tr w:rsidR="1D096C72" w:rsidRPr="00D770D4" w14:paraId="30487E0B"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558D983E" w14:textId="7C581D0E" w:rsidR="589FDD2E" w:rsidRPr="00BB4743" w:rsidRDefault="00EE3BF1" w:rsidP="1D096C72">
            <w:pPr>
              <w:spacing w:line="259" w:lineRule="auto"/>
              <w:rPr>
                <w:rFonts w:cs="Calibri"/>
                <w:b/>
                <w:bCs/>
                <w:sz w:val="20"/>
                <w:szCs w:val="20"/>
              </w:rPr>
            </w:pPr>
            <w:r>
              <w:rPr>
                <w:rFonts w:eastAsia="Calibri Light" w:cs="Calibri"/>
                <w:b/>
                <w:bCs/>
                <w:color w:val="000000"/>
                <w:sz w:val="20"/>
                <w:szCs w:val="20"/>
              </w:rPr>
              <w:t xml:space="preserve">Dr </w:t>
            </w:r>
            <w:r w:rsidR="589FDD2E" w:rsidRPr="00BB4743">
              <w:rPr>
                <w:rFonts w:eastAsia="Calibri Light" w:cs="Calibri"/>
                <w:b/>
                <w:bCs/>
                <w:color w:val="000000"/>
                <w:sz w:val="20"/>
                <w:szCs w:val="20"/>
              </w:rPr>
              <w:t>Swithine Kabilika</w:t>
            </w:r>
          </w:p>
        </w:tc>
        <w:tc>
          <w:tcPr>
            <w:tcW w:w="3131" w:type="dxa"/>
          </w:tcPr>
          <w:p w14:paraId="70EEE155" w14:textId="44AA66EC" w:rsidR="589FDD2E" w:rsidRPr="00BB4743" w:rsidRDefault="589FDD2E" w:rsidP="000B3487">
            <w:pPr>
              <w:spacing w:line="259" w:lineRule="auto"/>
              <w:rPr>
                <w:rFonts w:cs="Calibri"/>
                <w:color w:val="auto"/>
                <w:sz w:val="20"/>
                <w:szCs w:val="20"/>
              </w:rPr>
            </w:pPr>
            <w:r w:rsidRPr="00BB4743">
              <w:rPr>
                <w:rFonts w:eastAsia="Calibri Light" w:cs="Calibri"/>
                <w:color w:val="auto"/>
                <w:sz w:val="20"/>
                <w:szCs w:val="20"/>
              </w:rPr>
              <w:t>Department of Veterinary Services</w:t>
            </w:r>
          </w:p>
        </w:tc>
        <w:tc>
          <w:tcPr>
            <w:tcW w:w="3130" w:type="dxa"/>
          </w:tcPr>
          <w:p w14:paraId="7E188046" w14:textId="2334189D" w:rsidR="589FDD2E" w:rsidRPr="00BB4743" w:rsidRDefault="589FDD2E" w:rsidP="00BB4743">
            <w:pPr>
              <w:rPr>
                <w:rFonts w:cs="Calibri"/>
                <w:color w:val="auto"/>
                <w:sz w:val="20"/>
                <w:szCs w:val="20"/>
              </w:rPr>
            </w:pPr>
            <w:r w:rsidRPr="00BB4743">
              <w:rPr>
                <w:rFonts w:cs="Calibri"/>
                <w:sz w:val="20"/>
                <w:szCs w:val="20"/>
              </w:rPr>
              <w:t>Director</w:t>
            </w:r>
          </w:p>
        </w:tc>
      </w:tr>
      <w:tr w:rsidR="1D096C72" w:rsidRPr="00D770D4" w14:paraId="3431FA24"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579D5BAC" w14:textId="441BB2E9" w:rsidR="4329FA30" w:rsidRPr="00BB4743" w:rsidRDefault="4329FA30" w:rsidP="1D096C72">
            <w:pPr>
              <w:spacing w:line="259" w:lineRule="auto"/>
              <w:rPr>
                <w:rFonts w:eastAsia="Calibri Light" w:cs="Calibri"/>
                <w:b/>
                <w:bCs/>
                <w:color w:val="000000"/>
                <w:sz w:val="20"/>
                <w:szCs w:val="20"/>
              </w:rPr>
            </w:pPr>
            <w:r w:rsidRPr="00BB4743">
              <w:rPr>
                <w:rFonts w:eastAsia="Calibri Light" w:cs="Calibri"/>
                <w:b/>
                <w:bCs/>
                <w:color w:val="000000"/>
                <w:sz w:val="20"/>
                <w:szCs w:val="20"/>
              </w:rPr>
              <w:t>Prof. Roma Chilengi</w:t>
            </w:r>
          </w:p>
        </w:tc>
        <w:tc>
          <w:tcPr>
            <w:tcW w:w="3131" w:type="dxa"/>
          </w:tcPr>
          <w:p w14:paraId="40DC78B2" w14:textId="10820811" w:rsidR="4329FA30" w:rsidRPr="00BB4743" w:rsidRDefault="007D62CC" w:rsidP="000B3487">
            <w:pPr>
              <w:spacing w:line="259" w:lineRule="auto"/>
              <w:rPr>
                <w:rFonts w:eastAsia="Arial" w:cs="Calibri"/>
                <w:color w:val="auto"/>
                <w:sz w:val="20"/>
                <w:szCs w:val="20"/>
              </w:rPr>
            </w:pPr>
            <w:r w:rsidRPr="007D62CC">
              <w:rPr>
                <w:rFonts w:eastAsia="Arial" w:cs="Calibri"/>
                <w:color w:val="auto"/>
                <w:sz w:val="20"/>
                <w:szCs w:val="20"/>
              </w:rPr>
              <w:t xml:space="preserve">Zambia National Public Health Institute </w:t>
            </w:r>
            <w:r w:rsidR="00BA1243">
              <w:rPr>
                <w:rFonts w:eastAsia="Arial" w:cs="Calibri"/>
                <w:color w:val="auto"/>
                <w:sz w:val="20"/>
                <w:szCs w:val="20"/>
              </w:rPr>
              <w:t>(</w:t>
            </w:r>
            <w:r w:rsidR="4329FA30" w:rsidRPr="00BB4743">
              <w:rPr>
                <w:rFonts w:eastAsia="Arial" w:cs="Calibri"/>
                <w:color w:val="auto"/>
                <w:sz w:val="20"/>
                <w:szCs w:val="20"/>
              </w:rPr>
              <w:t>ZNPHI</w:t>
            </w:r>
            <w:r w:rsidR="00BA1243">
              <w:rPr>
                <w:rFonts w:eastAsia="Arial" w:cs="Calibri"/>
                <w:color w:val="auto"/>
                <w:sz w:val="20"/>
                <w:szCs w:val="20"/>
              </w:rPr>
              <w:t>)</w:t>
            </w:r>
          </w:p>
        </w:tc>
        <w:tc>
          <w:tcPr>
            <w:tcW w:w="3130" w:type="dxa"/>
          </w:tcPr>
          <w:p w14:paraId="72374507" w14:textId="75E24B19" w:rsidR="1D096C72" w:rsidRPr="00BB4743" w:rsidRDefault="4329FA30" w:rsidP="00BB4743">
            <w:pPr>
              <w:rPr>
                <w:rFonts w:eastAsia="Arial" w:cs="Calibri"/>
                <w:color w:val="auto"/>
                <w:sz w:val="20"/>
                <w:szCs w:val="20"/>
              </w:rPr>
            </w:pPr>
            <w:r w:rsidRPr="00BB4743">
              <w:rPr>
                <w:rFonts w:eastAsia="Arial" w:cs="Calibri"/>
                <w:color w:val="auto"/>
                <w:sz w:val="20"/>
                <w:szCs w:val="20"/>
              </w:rPr>
              <w:t>Director</w:t>
            </w:r>
          </w:p>
        </w:tc>
      </w:tr>
      <w:tr w:rsidR="17D077F0" w:rsidRPr="00D770D4" w14:paraId="3F4A9A65"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1CD83290" w14:textId="77777777" w:rsidR="17D077F0" w:rsidRPr="00BB4743" w:rsidRDefault="17D077F0" w:rsidP="000B3487">
            <w:pPr>
              <w:rPr>
                <w:rFonts w:cs="Calibri"/>
                <w:sz w:val="20"/>
                <w:szCs w:val="20"/>
              </w:rPr>
            </w:pPr>
            <w:r w:rsidRPr="00BB4743">
              <w:rPr>
                <w:rFonts w:cs="Calibri"/>
                <w:color w:val="FFFFFF" w:themeColor="background1"/>
                <w:sz w:val="20"/>
                <w:szCs w:val="20"/>
                <w:lang w:eastAsia="en-GB"/>
              </w:rPr>
              <w:t>Policy Fellows HH</w:t>
            </w:r>
          </w:p>
        </w:tc>
      </w:tr>
      <w:tr w:rsidR="17D077F0" w:rsidRPr="00D770D4" w14:paraId="3F14F3FA"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shd w:val="clear" w:color="auto" w:fill="auto"/>
          </w:tcPr>
          <w:p w14:paraId="230723E9" w14:textId="3F3F188F" w:rsidR="17D077F0" w:rsidRPr="00BB4743" w:rsidRDefault="2DB5269F" w:rsidP="451791A7">
            <w:pPr>
              <w:spacing w:line="259" w:lineRule="auto"/>
              <w:rPr>
                <w:rFonts w:eastAsia="Calibri" w:cs="Calibri"/>
                <w:b/>
                <w:bCs/>
                <w:color w:val="000000"/>
                <w:sz w:val="20"/>
                <w:szCs w:val="20"/>
              </w:rPr>
            </w:pPr>
            <w:r w:rsidRPr="00BB4743">
              <w:rPr>
                <w:rFonts w:eastAsia="Calibri" w:cs="Calibri"/>
                <w:b/>
                <w:bCs/>
                <w:color w:val="000000"/>
                <w:sz w:val="20"/>
                <w:szCs w:val="20"/>
              </w:rPr>
              <w:t>Dr Otridah Kapona</w:t>
            </w:r>
          </w:p>
        </w:tc>
        <w:tc>
          <w:tcPr>
            <w:tcW w:w="3131" w:type="dxa"/>
            <w:shd w:val="clear" w:color="auto" w:fill="auto"/>
          </w:tcPr>
          <w:p w14:paraId="05E5870C" w14:textId="55D1D2B4" w:rsidR="17D077F0" w:rsidRPr="00BB4743" w:rsidRDefault="008F0D86" w:rsidP="00BB4743">
            <w:pPr>
              <w:spacing w:line="259" w:lineRule="auto"/>
              <w:rPr>
                <w:rFonts w:eastAsia="Calibri" w:cs="Calibri"/>
                <w:color w:val="000000"/>
                <w:sz w:val="20"/>
                <w:szCs w:val="20"/>
              </w:rPr>
            </w:pPr>
            <w:r>
              <w:rPr>
                <w:rFonts w:eastAsia="Calibri" w:cs="Calibri"/>
                <w:color w:val="000000"/>
                <w:sz w:val="20"/>
                <w:szCs w:val="20"/>
              </w:rPr>
              <w:t>ZNPHI</w:t>
            </w:r>
            <w:r w:rsidR="003D45B3">
              <w:rPr>
                <w:rFonts w:eastAsia="Calibri" w:cs="Calibri"/>
                <w:color w:val="000000"/>
                <w:sz w:val="20"/>
                <w:szCs w:val="20"/>
              </w:rPr>
              <w:t xml:space="preserve"> </w:t>
            </w:r>
          </w:p>
        </w:tc>
        <w:tc>
          <w:tcPr>
            <w:tcW w:w="3130" w:type="dxa"/>
            <w:shd w:val="clear" w:color="auto" w:fill="auto"/>
          </w:tcPr>
          <w:p w14:paraId="77BDEFEB" w14:textId="3F3F188F" w:rsidR="17D077F0" w:rsidRPr="00BB4743" w:rsidRDefault="2DB5269F" w:rsidP="00BB4743">
            <w:pPr>
              <w:spacing w:line="259" w:lineRule="auto"/>
              <w:rPr>
                <w:rFonts w:cs="Calibri"/>
                <w:color w:val="auto"/>
                <w:sz w:val="20"/>
                <w:szCs w:val="20"/>
              </w:rPr>
            </w:pPr>
            <w:r w:rsidRPr="00BB4743">
              <w:rPr>
                <w:rFonts w:cs="Calibri"/>
                <w:sz w:val="20"/>
                <w:szCs w:val="20"/>
              </w:rPr>
              <w:t>AMR Focal person</w:t>
            </w:r>
          </w:p>
        </w:tc>
      </w:tr>
      <w:tr w:rsidR="17D077F0" w:rsidRPr="00D770D4" w14:paraId="54EE258A"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2AF09B34" w14:textId="465C35AD" w:rsidR="17D077F0" w:rsidRPr="00BB4743" w:rsidRDefault="17D077F0" w:rsidP="000B3487">
            <w:pPr>
              <w:rPr>
                <w:rFonts w:cs="Calibri"/>
                <w:color w:val="FFFFFF" w:themeColor="background1"/>
                <w:sz w:val="20"/>
                <w:szCs w:val="20"/>
                <w:lang w:eastAsia="en-GB"/>
              </w:rPr>
            </w:pPr>
            <w:r w:rsidRPr="00BB4743">
              <w:rPr>
                <w:rFonts w:cs="Calibri"/>
                <w:color w:val="FFFFFF" w:themeColor="background1"/>
                <w:sz w:val="20"/>
                <w:szCs w:val="20"/>
                <w:lang w:eastAsia="en-GB"/>
              </w:rPr>
              <w:t>Professional Fellows HH</w:t>
            </w:r>
          </w:p>
        </w:tc>
      </w:tr>
      <w:tr w:rsidR="17D077F0" w:rsidRPr="00D770D4" w14:paraId="64E08AD4"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shd w:val="clear" w:color="auto" w:fill="auto"/>
          </w:tcPr>
          <w:p w14:paraId="02C3CD41" w14:textId="0C6D8CF1" w:rsidR="17D077F0" w:rsidRPr="00BB4743" w:rsidRDefault="4CC7CA0C" w:rsidP="1D096C72">
            <w:pPr>
              <w:spacing w:line="259" w:lineRule="auto"/>
              <w:rPr>
                <w:rFonts w:cs="Calibri"/>
                <w:b/>
                <w:bCs/>
                <w:sz w:val="20"/>
                <w:szCs w:val="20"/>
              </w:rPr>
            </w:pPr>
            <w:r w:rsidRPr="00BB4743">
              <w:rPr>
                <w:rFonts w:eastAsia="Calibri Light" w:cs="Calibri"/>
                <w:b/>
                <w:bCs/>
                <w:color w:val="000000"/>
                <w:sz w:val="20"/>
                <w:szCs w:val="20"/>
              </w:rPr>
              <w:t>Dr Daniel Ndambasia</w:t>
            </w:r>
          </w:p>
        </w:tc>
        <w:tc>
          <w:tcPr>
            <w:tcW w:w="3131" w:type="dxa"/>
            <w:shd w:val="clear" w:color="auto" w:fill="auto"/>
          </w:tcPr>
          <w:p w14:paraId="2E2F9C95" w14:textId="6F9999F4" w:rsidR="17D077F0" w:rsidRPr="00BB4743" w:rsidRDefault="4CC7CA0C" w:rsidP="000B3487">
            <w:pPr>
              <w:spacing w:line="259" w:lineRule="auto"/>
              <w:rPr>
                <w:rFonts w:cs="Calibri"/>
                <w:color w:val="auto"/>
                <w:sz w:val="20"/>
                <w:szCs w:val="20"/>
              </w:rPr>
            </w:pPr>
            <w:r w:rsidRPr="00BB4743">
              <w:rPr>
                <w:rFonts w:eastAsia="Arial" w:cs="Calibri"/>
                <w:color w:val="auto"/>
                <w:sz w:val="20"/>
                <w:szCs w:val="20"/>
              </w:rPr>
              <w:t>Zambia Medicines Regulatory Agency</w:t>
            </w:r>
          </w:p>
        </w:tc>
        <w:tc>
          <w:tcPr>
            <w:tcW w:w="3130" w:type="dxa"/>
            <w:shd w:val="clear" w:color="auto" w:fill="auto"/>
          </w:tcPr>
          <w:p w14:paraId="54D339E9" w14:textId="03953838" w:rsidR="17D077F0" w:rsidRPr="00BB4743" w:rsidRDefault="4CC7CA0C" w:rsidP="00BB4743">
            <w:pPr>
              <w:rPr>
                <w:rFonts w:cs="Calibri"/>
                <w:color w:val="auto"/>
                <w:sz w:val="20"/>
                <w:szCs w:val="20"/>
                <w:lang w:eastAsia="en-GB"/>
              </w:rPr>
            </w:pPr>
            <w:r w:rsidRPr="00BB4743">
              <w:rPr>
                <w:rFonts w:eastAsia="Arial" w:cs="Calibri"/>
                <w:color w:val="auto"/>
                <w:sz w:val="20"/>
                <w:szCs w:val="20"/>
              </w:rPr>
              <w:t>Registration Officer – Veterinary Medicine</w:t>
            </w:r>
          </w:p>
        </w:tc>
      </w:tr>
      <w:tr w:rsidR="451791A7" w:rsidRPr="00D770D4" w14:paraId="503C82DE"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shd w:val="clear" w:color="auto" w:fill="auto"/>
          </w:tcPr>
          <w:p w14:paraId="108ABF05" w14:textId="4D147563" w:rsidR="61C003DB" w:rsidRPr="00BB4743" w:rsidRDefault="61C003DB" w:rsidP="451791A7">
            <w:pPr>
              <w:spacing w:line="259" w:lineRule="auto"/>
              <w:rPr>
                <w:rFonts w:cs="Calibri"/>
                <w:b/>
                <w:bCs/>
                <w:sz w:val="20"/>
                <w:szCs w:val="20"/>
              </w:rPr>
            </w:pPr>
            <w:r w:rsidRPr="00BB4743">
              <w:rPr>
                <w:rFonts w:eastAsia="Calibri Light" w:cs="Calibri"/>
                <w:b/>
                <w:bCs/>
                <w:color w:val="000000"/>
                <w:sz w:val="20"/>
                <w:szCs w:val="20"/>
              </w:rPr>
              <w:t>Mpanga Kasonde</w:t>
            </w:r>
          </w:p>
        </w:tc>
        <w:tc>
          <w:tcPr>
            <w:tcW w:w="3131" w:type="dxa"/>
            <w:shd w:val="clear" w:color="auto" w:fill="auto"/>
          </w:tcPr>
          <w:p w14:paraId="418A95DF" w14:textId="24BE0D4E" w:rsidR="61C003DB" w:rsidRPr="00BB4743" w:rsidRDefault="61C003DB" w:rsidP="000B3487">
            <w:pPr>
              <w:rPr>
                <w:rFonts w:cs="Calibri"/>
                <w:color w:val="auto"/>
                <w:sz w:val="20"/>
                <w:szCs w:val="20"/>
              </w:rPr>
            </w:pPr>
            <w:r w:rsidRPr="00BB4743">
              <w:rPr>
                <w:rFonts w:eastAsia="Calibri Light" w:cs="Calibri"/>
                <w:color w:val="auto"/>
                <w:sz w:val="20"/>
                <w:szCs w:val="20"/>
              </w:rPr>
              <w:t>ZNPHI</w:t>
            </w:r>
          </w:p>
        </w:tc>
        <w:tc>
          <w:tcPr>
            <w:tcW w:w="3130" w:type="dxa"/>
            <w:shd w:val="clear" w:color="auto" w:fill="auto"/>
          </w:tcPr>
          <w:p w14:paraId="5CFF2957" w14:textId="742256F7" w:rsidR="61C003DB" w:rsidRPr="00BB4743" w:rsidRDefault="61C003DB" w:rsidP="00BB4743">
            <w:pPr>
              <w:rPr>
                <w:rFonts w:cs="Calibri"/>
                <w:color w:val="auto"/>
                <w:sz w:val="20"/>
                <w:szCs w:val="20"/>
              </w:rPr>
            </w:pPr>
            <w:r w:rsidRPr="00BB4743">
              <w:rPr>
                <w:rFonts w:eastAsia="Arial" w:cs="Calibri"/>
                <w:color w:val="auto"/>
                <w:sz w:val="20"/>
                <w:szCs w:val="20"/>
              </w:rPr>
              <w:t>Laboratory Scientist</w:t>
            </w:r>
          </w:p>
        </w:tc>
      </w:tr>
      <w:tr w:rsidR="17D077F0" w:rsidRPr="00D770D4" w14:paraId="2D57C354"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146428D1" w14:textId="77777777" w:rsidR="17D077F0" w:rsidRPr="00BB4743" w:rsidRDefault="17D077F0" w:rsidP="000B3487">
            <w:pPr>
              <w:rPr>
                <w:rFonts w:cs="Calibri"/>
                <w:color w:val="FFFFFF" w:themeColor="background1"/>
                <w:sz w:val="20"/>
                <w:szCs w:val="20"/>
                <w:lang w:eastAsia="en-GB"/>
              </w:rPr>
            </w:pPr>
            <w:r w:rsidRPr="00BB4743">
              <w:rPr>
                <w:rFonts w:cs="Calibri"/>
                <w:color w:val="FFFFFF" w:themeColor="background1"/>
                <w:sz w:val="20"/>
                <w:szCs w:val="20"/>
                <w:lang w:eastAsia="en-GB"/>
              </w:rPr>
              <w:t>Professional Fellows AH</w:t>
            </w:r>
          </w:p>
        </w:tc>
      </w:tr>
      <w:tr w:rsidR="17D077F0" w:rsidRPr="00D770D4" w14:paraId="7E16ACAA"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00680E89" w14:textId="7AE4959A" w:rsidR="17D077F0" w:rsidRPr="00BB4743" w:rsidRDefault="294581B8" w:rsidP="17D077F0">
            <w:pPr>
              <w:spacing w:line="259" w:lineRule="auto"/>
              <w:rPr>
                <w:rFonts w:cs="Calibri"/>
                <w:b/>
                <w:bCs/>
                <w:sz w:val="20"/>
                <w:szCs w:val="20"/>
              </w:rPr>
            </w:pPr>
            <w:r w:rsidRPr="00BB4743">
              <w:rPr>
                <w:rFonts w:eastAsia="Calibri Light" w:cs="Calibri"/>
                <w:b/>
                <w:bCs/>
                <w:color w:val="000000"/>
                <w:sz w:val="20"/>
                <w:szCs w:val="20"/>
              </w:rPr>
              <w:t>Taona Sinyawa</w:t>
            </w:r>
          </w:p>
        </w:tc>
        <w:tc>
          <w:tcPr>
            <w:tcW w:w="3131" w:type="dxa"/>
          </w:tcPr>
          <w:p w14:paraId="267B7145" w14:textId="3B04620F" w:rsidR="17D077F0" w:rsidRPr="00BB4743" w:rsidRDefault="00AC0BAA" w:rsidP="00BB4743">
            <w:pPr>
              <w:spacing w:line="259" w:lineRule="auto"/>
              <w:rPr>
                <w:rFonts w:cs="Calibri"/>
                <w:sz w:val="20"/>
                <w:szCs w:val="20"/>
              </w:rPr>
            </w:pPr>
            <w:r w:rsidRPr="00AC0BAA">
              <w:rPr>
                <w:rFonts w:eastAsia="Calibri Light" w:cs="Calibri"/>
                <w:color w:val="000000"/>
                <w:sz w:val="20"/>
                <w:szCs w:val="20"/>
              </w:rPr>
              <w:t xml:space="preserve">Central Veterinary Research Institute </w:t>
            </w:r>
            <w:r w:rsidR="001F1784">
              <w:rPr>
                <w:rFonts w:eastAsia="Calibri Light" w:cs="Calibri"/>
                <w:color w:val="000000"/>
                <w:sz w:val="20"/>
                <w:szCs w:val="20"/>
              </w:rPr>
              <w:t>(</w:t>
            </w:r>
            <w:r w:rsidR="294581B8" w:rsidRPr="00BB4743">
              <w:rPr>
                <w:rFonts w:eastAsia="Calibri Light" w:cs="Calibri"/>
                <w:color w:val="000000"/>
                <w:sz w:val="20"/>
                <w:szCs w:val="20"/>
              </w:rPr>
              <w:t>CVRI</w:t>
            </w:r>
            <w:r w:rsidR="001F1784">
              <w:rPr>
                <w:rFonts w:eastAsia="Calibri Light" w:cs="Calibri"/>
                <w:color w:val="000000"/>
                <w:sz w:val="20"/>
                <w:szCs w:val="20"/>
              </w:rPr>
              <w:t>)</w:t>
            </w:r>
          </w:p>
        </w:tc>
        <w:tc>
          <w:tcPr>
            <w:tcW w:w="3130" w:type="dxa"/>
          </w:tcPr>
          <w:p w14:paraId="7DC9A2F6" w14:textId="2CD859BD" w:rsidR="17D077F0" w:rsidRPr="00BB4743" w:rsidRDefault="294581B8" w:rsidP="00BB4743">
            <w:pPr>
              <w:rPr>
                <w:rFonts w:cs="Calibri"/>
                <w:sz w:val="20"/>
                <w:szCs w:val="20"/>
              </w:rPr>
            </w:pPr>
            <w:r w:rsidRPr="00BB4743">
              <w:rPr>
                <w:rFonts w:eastAsia="Arial" w:cs="Calibri"/>
                <w:color w:val="000000"/>
                <w:sz w:val="20"/>
                <w:szCs w:val="20"/>
              </w:rPr>
              <w:t>Fleming Fund Fellow/</w:t>
            </w:r>
            <w:r w:rsidR="00CA1EE5" w:rsidRPr="00BB4743">
              <w:rPr>
                <w:rFonts w:eastAsia="Calibri Light" w:cs="Calibri"/>
                <w:color w:val="000000"/>
                <w:sz w:val="20"/>
                <w:szCs w:val="20"/>
              </w:rPr>
              <w:t xml:space="preserve">Veterinary </w:t>
            </w:r>
            <w:r w:rsidRPr="00BB4743">
              <w:rPr>
                <w:rFonts w:eastAsia="Arial" w:cs="Calibri"/>
                <w:color w:val="000000"/>
                <w:sz w:val="20"/>
                <w:szCs w:val="20"/>
              </w:rPr>
              <w:t>Officer</w:t>
            </w:r>
          </w:p>
        </w:tc>
      </w:tr>
      <w:tr w:rsidR="17D077F0" w:rsidRPr="00D770D4" w14:paraId="3C4FD793"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6A01E195" w14:textId="273313FF" w:rsidR="17D077F0" w:rsidRPr="00BB4743" w:rsidRDefault="17D077F0" w:rsidP="000B3487">
            <w:pPr>
              <w:rPr>
                <w:rFonts w:cs="Calibri"/>
                <w:color w:val="FFFFFF" w:themeColor="background1"/>
                <w:sz w:val="20"/>
                <w:szCs w:val="20"/>
              </w:rPr>
            </w:pPr>
            <w:r w:rsidRPr="00BB4743">
              <w:rPr>
                <w:rFonts w:cs="Calibri"/>
                <w:color w:val="FFFFFF" w:themeColor="background1"/>
                <w:sz w:val="20"/>
                <w:szCs w:val="20"/>
              </w:rPr>
              <w:t>AMR Focal Point</w:t>
            </w:r>
          </w:p>
        </w:tc>
      </w:tr>
      <w:tr w:rsidR="17D077F0" w:rsidRPr="00D770D4" w14:paraId="6AA20955"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09BDDF37" w14:textId="5B0CB5E1" w:rsidR="17D077F0" w:rsidRPr="00BB4743" w:rsidRDefault="3976C5C7" w:rsidP="451791A7">
            <w:pPr>
              <w:spacing w:line="259" w:lineRule="auto"/>
              <w:rPr>
                <w:rFonts w:eastAsia="Calibri" w:cs="Calibri"/>
                <w:b/>
                <w:bCs/>
                <w:color w:val="000000"/>
                <w:sz w:val="20"/>
                <w:szCs w:val="20"/>
              </w:rPr>
            </w:pPr>
            <w:r w:rsidRPr="00BB4743">
              <w:rPr>
                <w:rFonts w:eastAsia="Calibri" w:cs="Calibri"/>
                <w:b/>
                <w:bCs/>
                <w:color w:val="000000"/>
                <w:sz w:val="20"/>
                <w:szCs w:val="20"/>
              </w:rPr>
              <w:t>Dr Otridah Kapona</w:t>
            </w:r>
            <w:r w:rsidR="4F373AEF" w:rsidRPr="00BB4743">
              <w:rPr>
                <w:rFonts w:eastAsia="Calibri" w:cs="Calibri"/>
                <w:b/>
                <w:bCs/>
                <w:color w:val="000000"/>
                <w:sz w:val="20"/>
                <w:szCs w:val="20"/>
              </w:rPr>
              <w:t>*</w:t>
            </w:r>
          </w:p>
        </w:tc>
        <w:tc>
          <w:tcPr>
            <w:tcW w:w="3131" w:type="dxa"/>
          </w:tcPr>
          <w:p w14:paraId="6FC00043" w14:textId="3826AE86" w:rsidR="17D077F0" w:rsidRPr="00BB4743" w:rsidRDefault="3976C5C7" w:rsidP="00BB4743">
            <w:pPr>
              <w:spacing w:line="259" w:lineRule="auto"/>
              <w:rPr>
                <w:rFonts w:eastAsia="Calibri" w:cs="Calibri"/>
                <w:color w:val="auto"/>
                <w:sz w:val="20"/>
                <w:szCs w:val="20"/>
              </w:rPr>
            </w:pPr>
            <w:r w:rsidRPr="00BB4743">
              <w:rPr>
                <w:rFonts w:eastAsia="Calibri" w:cs="Calibri"/>
                <w:color w:val="auto"/>
                <w:sz w:val="20"/>
                <w:szCs w:val="20"/>
              </w:rPr>
              <w:t>Zambia Public Health Institute</w:t>
            </w:r>
          </w:p>
        </w:tc>
        <w:tc>
          <w:tcPr>
            <w:tcW w:w="3130" w:type="dxa"/>
          </w:tcPr>
          <w:p w14:paraId="07BA60FA" w14:textId="4D085986" w:rsidR="17D077F0" w:rsidRPr="00BB4743" w:rsidRDefault="3976C5C7" w:rsidP="00BB4743">
            <w:pPr>
              <w:rPr>
                <w:rFonts w:cs="Calibri"/>
                <w:color w:val="auto"/>
                <w:sz w:val="20"/>
                <w:szCs w:val="20"/>
              </w:rPr>
            </w:pPr>
            <w:r w:rsidRPr="00BB4743">
              <w:rPr>
                <w:rFonts w:cs="Calibri"/>
                <w:sz w:val="20"/>
                <w:szCs w:val="20"/>
              </w:rPr>
              <w:t>AMR Focal person</w:t>
            </w:r>
          </w:p>
        </w:tc>
      </w:tr>
      <w:tr w:rsidR="4D9497FD" w:rsidRPr="00D770D4" w14:paraId="1AF92B4F"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4E966612" w14:textId="307F0047" w:rsidR="5128AFE3" w:rsidRPr="00BB4743" w:rsidRDefault="5128AFE3" w:rsidP="4D9497FD">
            <w:pPr>
              <w:spacing w:line="259" w:lineRule="auto"/>
              <w:rPr>
                <w:rFonts w:cs="Calibri"/>
                <w:b/>
                <w:bCs/>
                <w:sz w:val="20"/>
                <w:szCs w:val="20"/>
              </w:rPr>
            </w:pPr>
            <w:r w:rsidRPr="00BB4743">
              <w:rPr>
                <w:rFonts w:eastAsia="Calibri Light" w:cs="Calibri"/>
                <w:b/>
                <w:bCs/>
                <w:color w:val="000000"/>
                <w:sz w:val="20"/>
                <w:szCs w:val="20"/>
              </w:rPr>
              <w:t>Dr Fusya Goma</w:t>
            </w:r>
          </w:p>
        </w:tc>
        <w:tc>
          <w:tcPr>
            <w:tcW w:w="3131" w:type="dxa"/>
          </w:tcPr>
          <w:p w14:paraId="0F037333" w14:textId="02F76B40" w:rsidR="52A277D4" w:rsidRPr="00BB4743" w:rsidRDefault="008F39A3" w:rsidP="000B3487">
            <w:pPr>
              <w:rPr>
                <w:rFonts w:eastAsia="Calibri Light" w:cs="Calibri"/>
                <w:color w:val="auto"/>
                <w:sz w:val="20"/>
                <w:szCs w:val="20"/>
              </w:rPr>
            </w:pPr>
            <w:r>
              <w:rPr>
                <w:rFonts w:eastAsia="Calibri Light" w:cs="Calibri"/>
                <w:color w:val="auto"/>
                <w:sz w:val="20"/>
                <w:szCs w:val="20"/>
              </w:rPr>
              <w:t>National Livestock Epidemiological and Information Centre</w:t>
            </w:r>
          </w:p>
        </w:tc>
        <w:tc>
          <w:tcPr>
            <w:tcW w:w="3130" w:type="dxa"/>
          </w:tcPr>
          <w:p w14:paraId="38554198" w14:textId="1AC03263" w:rsidR="52A277D4" w:rsidRPr="00BB4743" w:rsidRDefault="52A277D4" w:rsidP="00BB4743">
            <w:pPr>
              <w:rPr>
                <w:rFonts w:cs="Calibri"/>
                <w:color w:val="auto"/>
                <w:sz w:val="20"/>
                <w:szCs w:val="20"/>
              </w:rPr>
            </w:pPr>
            <w:r w:rsidRPr="00BB4743">
              <w:rPr>
                <w:rFonts w:cs="Calibri"/>
                <w:sz w:val="20"/>
                <w:szCs w:val="20"/>
              </w:rPr>
              <w:t>Senior Veterinary Officer</w:t>
            </w:r>
          </w:p>
        </w:tc>
      </w:tr>
      <w:tr w:rsidR="17D077F0" w:rsidRPr="00D770D4" w14:paraId="7E49708C"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68A5593A" w14:textId="77777777" w:rsidR="17D077F0" w:rsidRPr="00BB4743" w:rsidRDefault="17D077F0" w:rsidP="000B3487">
            <w:pPr>
              <w:rPr>
                <w:rFonts w:cs="Calibri"/>
                <w:color w:val="FFFFFF" w:themeColor="background1"/>
                <w:sz w:val="20"/>
                <w:szCs w:val="20"/>
              </w:rPr>
            </w:pPr>
            <w:r w:rsidRPr="00BB4743">
              <w:rPr>
                <w:rFonts w:cs="Calibri"/>
                <w:color w:val="FFFFFF" w:themeColor="background1"/>
                <w:sz w:val="20"/>
                <w:szCs w:val="20"/>
              </w:rPr>
              <w:t>Development Partners/ Academia</w:t>
            </w:r>
          </w:p>
        </w:tc>
      </w:tr>
      <w:tr w:rsidR="17D077F0" w:rsidRPr="00D770D4" w14:paraId="690ED3D4"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57524D5D" w14:textId="6E912B1B" w:rsidR="17D077F0" w:rsidRPr="00BB4743" w:rsidRDefault="437C2DEF" w:rsidP="17D077F0">
            <w:pPr>
              <w:rPr>
                <w:rFonts w:cs="Calibri"/>
                <w:b/>
                <w:bCs/>
                <w:sz w:val="20"/>
                <w:szCs w:val="20"/>
              </w:rPr>
            </w:pPr>
            <w:r w:rsidRPr="00BB4743">
              <w:rPr>
                <w:rFonts w:eastAsia="Arial" w:cs="Calibri"/>
                <w:b/>
                <w:bCs/>
                <w:color w:val="000000"/>
                <w:sz w:val="20"/>
                <w:szCs w:val="20"/>
              </w:rPr>
              <w:t>Yingst Samuel</w:t>
            </w:r>
          </w:p>
        </w:tc>
        <w:tc>
          <w:tcPr>
            <w:tcW w:w="3131" w:type="dxa"/>
          </w:tcPr>
          <w:p w14:paraId="74727039" w14:textId="481E023F" w:rsidR="17D077F0" w:rsidRPr="00BB4743" w:rsidRDefault="437C2DEF" w:rsidP="00BB4743">
            <w:pPr>
              <w:rPr>
                <w:rFonts w:cs="Calibri"/>
                <w:color w:val="auto"/>
                <w:sz w:val="20"/>
                <w:szCs w:val="20"/>
                <w:lang w:eastAsia="en-GB"/>
              </w:rPr>
            </w:pPr>
            <w:r w:rsidRPr="00BB4743">
              <w:rPr>
                <w:rFonts w:cs="Calibri"/>
                <w:sz w:val="20"/>
                <w:szCs w:val="20"/>
                <w:lang w:eastAsia="en-GB"/>
              </w:rPr>
              <w:t>CDC</w:t>
            </w:r>
          </w:p>
        </w:tc>
        <w:tc>
          <w:tcPr>
            <w:tcW w:w="3130" w:type="dxa"/>
          </w:tcPr>
          <w:p w14:paraId="334EBF37" w14:textId="4C7CA4F1" w:rsidR="17D077F0" w:rsidRPr="00BB4743" w:rsidRDefault="437C2DEF" w:rsidP="000B3487">
            <w:pPr>
              <w:spacing w:line="259" w:lineRule="auto"/>
              <w:rPr>
                <w:rFonts w:eastAsia="Calibri" w:cs="Calibri"/>
                <w:color w:val="auto"/>
                <w:sz w:val="20"/>
                <w:szCs w:val="20"/>
              </w:rPr>
            </w:pPr>
            <w:r w:rsidRPr="00BB4743">
              <w:rPr>
                <w:rFonts w:eastAsia="Calibri" w:cs="Calibri"/>
                <w:color w:val="auto"/>
                <w:sz w:val="20"/>
                <w:szCs w:val="20"/>
              </w:rPr>
              <w:t>Head of Lab</w:t>
            </w:r>
            <w:r w:rsidR="00470C7B">
              <w:rPr>
                <w:rFonts w:eastAsia="Calibri" w:cs="Calibri"/>
                <w:color w:val="auto"/>
                <w:sz w:val="20"/>
                <w:szCs w:val="20"/>
              </w:rPr>
              <w:t>oratory</w:t>
            </w:r>
          </w:p>
        </w:tc>
      </w:tr>
      <w:tr w:rsidR="060364BF" w:rsidRPr="00D770D4" w14:paraId="6D6D99A7"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5F77218F" w14:textId="7345B6D8" w:rsidR="47B9DB46" w:rsidRPr="00BB4743" w:rsidRDefault="47B9DB46" w:rsidP="060364BF">
            <w:pPr>
              <w:rPr>
                <w:rFonts w:cs="Calibri"/>
                <w:b/>
                <w:bCs/>
                <w:sz w:val="20"/>
                <w:szCs w:val="20"/>
              </w:rPr>
            </w:pPr>
            <w:r w:rsidRPr="00BB4743">
              <w:rPr>
                <w:rFonts w:eastAsia="Arial" w:cs="Calibri"/>
                <w:b/>
                <w:bCs/>
                <w:color w:val="000000"/>
                <w:sz w:val="20"/>
                <w:szCs w:val="20"/>
              </w:rPr>
              <w:t>Joseph Pett</w:t>
            </w:r>
          </w:p>
        </w:tc>
        <w:tc>
          <w:tcPr>
            <w:tcW w:w="3131" w:type="dxa"/>
          </w:tcPr>
          <w:p w14:paraId="24F593DE" w14:textId="0E27F429" w:rsidR="47B9DB46" w:rsidRPr="00BB4743" w:rsidRDefault="47B9DB46" w:rsidP="00BB4743">
            <w:pPr>
              <w:rPr>
                <w:rFonts w:cs="Calibri"/>
                <w:color w:val="auto"/>
                <w:sz w:val="20"/>
                <w:szCs w:val="20"/>
              </w:rPr>
            </w:pPr>
            <w:r w:rsidRPr="00BB4743">
              <w:rPr>
                <w:rFonts w:eastAsia="Arial" w:cs="Calibri"/>
                <w:color w:val="auto"/>
                <w:sz w:val="20"/>
                <w:szCs w:val="20"/>
              </w:rPr>
              <w:t>PHE</w:t>
            </w:r>
          </w:p>
        </w:tc>
        <w:tc>
          <w:tcPr>
            <w:tcW w:w="3130" w:type="dxa"/>
          </w:tcPr>
          <w:p w14:paraId="570483F1" w14:textId="1739F123" w:rsidR="47B9DB46" w:rsidRPr="00BB4743" w:rsidRDefault="47B9DB46" w:rsidP="000B3487">
            <w:pPr>
              <w:spacing w:line="259" w:lineRule="auto"/>
              <w:rPr>
                <w:rFonts w:cs="Calibri"/>
                <w:color w:val="auto"/>
                <w:sz w:val="20"/>
                <w:szCs w:val="20"/>
              </w:rPr>
            </w:pPr>
            <w:r w:rsidRPr="00BB4743">
              <w:rPr>
                <w:rFonts w:eastAsia="Arial" w:cs="Calibri"/>
                <w:color w:val="auto"/>
                <w:sz w:val="20"/>
                <w:szCs w:val="20"/>
              </w:rPr>
              <w:t>Senior Public Health Advisor</w:t>
            </w:r>
          </w:p>
        </w:tc>
      </w:tr>
      <w:tr w:rsidR="1853E80E" w:rsidRPr="00D770D4" w14:paraId="2B22C255"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650B9FCB" w14:textId="47A060AF" w:rsidR="7D763955" w:rsidRPr="00BB4743" w:rsidRDefault="7D763955" w:rsidP="1853E80E">
            <w:pPr>
              <w:rPr>
                <w:rFonts w:eastAsia="Calibri" w:cs="Calibri"/>
                <w:b/>
                <w:bCs/>
                <w:color w:val="000000"/>
                <w:sz w:val="20"/>
                <w:szCs w:val="20"/>
              </w:rPr>
            </w:pPr>
            <w:r w:rsidRPr="00BB4743">
              <w:rPr>
                <w:rFonts w:eastAsia="Calibri" w:cs="Calibri"/>
                <w:b/>
                <w:bCs/>
                <w:color w:val="000000"/>
                <w:sz w:val="20"/>
                <w:szCs w:val="20"/>
              </w:rPr>
              <w:t>Dr Fred Masaninga</w:t>
            </w:r>
          </w:p>
        </w:tc>
        <w:tc>
          <w:tcPr>
            <w:tcW w:w="3131" w:type="dxa"/>
          </w:tcPr>
          <w:p w14:paraId="00DB8670" w14:textId="7D5D09D3" w:rsidR="7D763955" w:rsidRPr="00BB4743" w:rsidRDefault="7D763955" w:rsidP="00BB4743">
            <w:pPr>
              <w:spacing w:line="259" w:lineRule="auto"/>
              <w:rPr>
                <w:rFonts w:eastAsia="Calibri" w:cs="Calibri"/>
                <w:color w:val="auto"/>
                <w:sz w:val="20"/>
                <w:szCs w:val="20"/>
              </w:rPr>
            </w:pPr>
            <w:r w:rsidRPr="00BB4743">
              <w:rPr>
                <w:rFonts w:eastAsia="Calibri" w:cs="Calibri"/>
                <w:color w:val="auto"/>
                <w:sz w:val="20"/>
                <w:szCs w:val="20"/>
              </w:rPr>
              <w:t>WHO</w:t>
            </w:r>
          </w:p>
        </w:tc>
        <w:tc>
          <w:tcPr>
            <w:tcW w:w="3130" w:type="dxa"/>
          </w:tcPr>
          <w:p w14:paraId="501EA285" w14:textId="70C6AC08" w:rsidR="7D763955" w:rsidRPr="00BB4743" w:rsidRDefault="7D763955" w:rsidP="000B3487">
            <w:pPr>
              <w:spacing w:line="259" w:lineRule="auto"/>
              <w:rPr>
                <w:rFonts w:eastAsia="Calibri" w:cs="Calibri"/>
                <w:color w:val="auto"/>
                <w:sz w:val="20"/>
                <w:szCs w:val="20"/>
              </w:rPr>
            </w:pPr>
            <w:r w:rsidRPr="00BB4743">
              <w:rPr>
                <w:rFonts w:eastAsia="Calibri" w:cs="Calibri"/>
                <w:color w:val="auto"/>
                <w:sz w:val="20"/>
                <w:szCs w:val="20"/>
              </w:rPr>
              <w:t>AMR Focal Person</w:t>
            </w:r>
          </w:p>
        </w:tc>
      </w:tr>
      <w:tr w:rsidR="1853E80E" w:rsidRPr="00D770D4" w14:paraId="5888250B"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76C7CB26" w14:textId="74E60CE4" w:rsidR="7D763955" w:rsidRPr="00BB4743" w:rsidRDefault="7D763955" w:rsidP="1853E80E">
            <w:pPr>
              <w:spacing w:line="259" w:lineRule="auto"/>
              <w:rPr>
                <w:rFonts w:cs="Calibri"/>
                <w:b/>
                <w:bCs/>
                <w:sz w:val="20"/>
                <w:szCs w:val="20"/>
              </w:rPr>
            </w:pPr>
            <w:r w:rsidRPr="00BB4743">
              <w:rPr>
                <w:rFonts w:eastAsia="Calibri Light" w:cs="Calibri"/>
                <w:b/>
                <w:bCs/>
                <w:color w:val="000000"/>
                <w:sz w:val="20"/>
                <w:szCs w:val="20"/>
              </w:rPr>
              <w:t>Dr Geoffrey Mainda</w:t>
            </w:r>
          </w:p>
        </w:tc>
        <w:tc>
          <w:tcPr>
            <w:tcW w:w="3131" w:type="dxa"/>
          </w:tcPr>
          <w:p w14:paraId="21E97365" w14:textId="0A8D8695" w:rsidR="7D763955" w:rsidRPr="00BB4743" w:rsidRDefault="7D763955" w:rsidP="000B3487">
            <w:pPr>
              <w:rPr>
                <w:rFonts w:cs="Calibri"/>
                <w:color w:val="auto"/>
                <w:sz w:val="20"/>
                <w:szCs w:val="20"/>
              </w:rPr>
            </w:pPr>
            <w:r w:rsidRPr="00BB4743">
              <w:rPr>
                <w:rFonts w:eastAsia="Calibri Light" w:cs="Calibri"/>
                <w:color w:val="auto"/>
                <w:sz w:val="20"/>
                <w:szCs w:val="20"/>
              </w:rPr>
              <w:t>FAO/DVS</w:t>
            </w:r>
          </w:p>
        </w:tc>
        <w:tc>
          <w:tcPr>
            <w:tcW w:w="3130" w:type="dxa"/>
          </w:tcPr>
          <w:p w14:paraId="0FDF27ED" w14:textId="1DF4E82C" w:rsidR="7D763955" w:rsidRPr="00BB4743" w:rsidRDefault="7D763955" w:rsidP="00BB4743">
            <w:pPr>
              <w:rPr>
                <w:rFonts w:cs="Calibri"/>
                <w:color w:val="auto"/>
                <w:sz w:val="20"/>
                <w:szCs w:val="20"/>
              </w:rPr>
            </w:pPr>
            <w:r w:rsidRPr="00BB4743">
              <w:rPr>
                <w:rFonts w:eastAsia="Arial" w:cs="Calibri"/>
                <w:color w:val="auto"/>
                <w:sz w:val="20"/>
                <w:szCs w:val="20"/>
              </w:rPr>
              <w:t>Senior Veterinary Officer</w:t>
            </w:r>
          </w:p>
        </w:tc>
      </w:tr>
      <w:tr w:rsidR="17D077F0" w:rsidRPr="00D770D4" w14:paraId="49AFA6A0"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03CC9235" w14:textId="77777777" w:rsidR="17D077F0" w:rsidRPr="00BB4743" w:rsidRDefault="17D077F0" w:rsidP="000B3487">
            <w:pPr>
              <w:rPr>
                <w:rFonts w:cs="Calibri"/>
                <w:color w:val="FFFFFF" w:themeColor="background1"/>
                <w:sz w:val="20"/>
                <w:szCs w:val="20"/>
              </w:rPr>
            </w:pPr>
            <w:r w:rsidRPr="00BB4743">
              <w:rPr>
                <w:rFonts w:cs="Calibri"/>
                <w:color w:val="FFFFFF" w:themeColor="background1"/>
                <w:sz w:val="20"/>
                <w:szCs w:val="20"/>
              </w:rPr>
              <w:t>NRL &amp; Site Visit</w:t>
            </w:r>
          </w:p>
        </w:tc>
      </w:tr>
      <w:tr w:rsidR="060364BF" w:rsidRPr="00D770D4" w14:paraId="176ECE45"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674847B3" w14:textId="5F282CCA" w:rsidR="6DE234A3" w:rsidRPr="00BB4743" w:rsidRDefault="6DE234A3" w:rsidP="060364BF">
            <w:pPr>
              <w:spacing w:line="259" w:lineRule="auto"/>
              <w:rPr>
                <w:rFonts w:cs="Calibri"/>
                <w:b/>
                <w:bCs/>
                <w:sz w:val="20"/>
                <w:szCs w:val="20"/>
              </w:rPr>
            </w:pPr>
            <w:r w:rsidRPr="00BB4743">
              <w:rPr>
                <w:rFonts w:eastAsia="Calibri Light" w:cs="Calibri"/>
                <w:b/>
                <w:bCs/>
                <w:color w:val="000000"/>
                <w:sz w:val="20"/>
                <w:szCs w:val="20"/>
              </w:rPr>
              <w:t>Dr Chileshe Lukwesa</w:t>
            </w:r>
          </w:p>
        </w:tc>
        <w:tc>
          <w:tcPr>
            <w:tcW w:w="3131" w:type="dxa"/>
          </w:tcPr>
          <w:p w14:paraId="20B10909" w14:textId="4147EE49" w:rsidR="6DE234A3" w:rsidRPr="00BB4743" w:rsidRDefault="6DE234A3" w:rsidP="000B3487">
            <w:pPr>
              <w:rPr>
                <w:rFonts w:cs="Calibri"/>
                <w:color w:val="auto"/>
                <w:sz w:val="20"/>
                <w:szCs w:val="20"/>
              </w:rPr>
            </w:pPr>
            <w:r w:rsidRPr="00BB4743">
              <w:rPr>
                <w:rFonts w:eastAsia="Calibri Light" w:cs="Calibri"/>
                <w:color w:val="auto"/>
                <w:sz w:val="20"/>
                <w:szCs w:val="20"/>
              </w:rPr>
              <w:t>Lusaka District Health Office</w:t>
            </w:r>
          </w:p>
        </w:tc>
        <w:tc>
          <w:tcPr>
            <w:tcW w:w="3130" w:type="dxa"/>
          </w:tcPr>
          <w:p w14:paraId="225F4B0E" w14:textId="751CEFB6" w:rsidR="6DE234A3" w:rsidRPr="00BB4743" w:rsidRDefault="6DE234A3" w:rsidP="00BB4743">
            <w:pPr>
              <w:rPr>
                <w:rFonts w:cs="Calibri"/>
                <w:color w:val="auto"/>
                <w:sz w:val="20"/>
                <w:szCs w:val="20"/>
              </w:rPr>
            </w:pPr>
            <w:r w:rsidRPr="00BB4743">
              <w:rPr>
                <w:rFonts w:eastAsia="Calibri Light" w:cs="Calibri"/>
                <w:color w:val="auto"/>
                <w:sz w:val="20"/>
                <w:szCs w:val="20"/>
              </w:rPr>
              <w:t>Head of Laboratories</w:t>
            </w:r>
          </w:p>
        </w:tc>
      </w:tr>
      <w:tr w:rsidR="060364BF" w:rsidRPr="00D770D4" w14:paraId="2D2FD830"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0BCF5FF0" w14:textId="7152FF78" w:rsidR="6E4EA588" w:rsidRPr="00BB4743" w:rsidRDefault="6E4EA588" w:rsidP="060364BF">
            <w:pPr>
              <w:spacing w:line="259" w:lineRule="auto"/>
              <w:rPr>
                <w:rFonts w:cs="Calibri"/>
                <w:b/>
                <w:bCs/>
                <w:sz w:val="20"/>
                <w:szCs w:val="20"/>
              </w:rPr>
            </w:pPr>
            <w:r w:rsidRPr="00BB4743">
              <w:rPr>
                <w:rFonts w:eastAsia="Calibri Light" w:cs="Calibri"/>
                <w:b/>
                <w:bCs/>
                <w:color w:val="000000"/>
                <w:sz w:val="20"/>
                <w:szCs w:val="20"/>
              </w:rPr>
              <w:t>Dr Fredrick Banda</w:t>
            </w:r>
          </w:p>
        </w:tc>
        <w:tc>
          <w:tcPr>
            <w:tcW w:w="3131" w:type="dxa"/>
          </w:tcPr>
          <w:p w14:paraId="1EF3CD58" w14:textId="0E6BB507" w:rsidR="6E4EA588" w:rsidRPr="00BB4743" w:rsidRDefault="6E4EA588" w:rsidP="000B3487">
            <w:pPr>
              <w:rPr>
                <w:rFonts w:cs="Calibri"/>
                <w:color w:val="auto"/>
                <w:sz w:val="20"/>
                <w:szCs w:val="20"/>
              </w:rPr>
            </w:pPr>
            <w:r w:rsidRPr="00BB4743">
              <w:rPr>
                <w:rFonts w:eastAsia="Calibri Light" w:cs="Calibri"/>
                <w:color w:val="auto"/>
                <w:sz w:val="20"/>
                <w:szCs w:val="20"/>
              </w:rPr>
              <w:t>CVRI</w:t>
            </w:r>
          </w:p>
        </w:tc>
        <w:tc>
          <w:tcPr>
            <w:tcW w:w="3130" w:type="dxa"/>
          </w:tcPr>
          <w:p w14:paraId="10D4B203" w14:textId="47AAC6B4" w:rsidR="6E4EA588" w:rsidRPr="00BB4743" w:rsidRDefault="6E4EA588" w:rsidP="00BB4743">
            <w:pPr>
              <w:rPr>
                <w:rFonts w:cs="Calibri"/>
                <w:color w:val="auto"/>
                <w:sz w:val="20"/>
                <w:szCs w:val="20"/>
              </w:rPr>
            </w:pPr>
            <w:r w:rsidRPr="00BB4743">
              <w:rPr>
                <w:rFonts w:eastAsia="Calibri Light" w:cs="Calibri"/>
                <w:color w:val="auto"/>
                <w:sz w:val="20"/>
                <w:szCs w:val="20"/>
              </w:rPr>
              <w:t>Chief Veterinary Research Officer</w:t>
            </w:r>
          </w:p>
        </w:tc>
      </w:tr>
      <w:tr w:rsidR="060364BF" w:rsidRPr="00D770D4" w14:paraId="7207A2C9"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749CCCCF" w14:textId="7CC83ABC" w:rsidR="6E4EA588" w:rsidRPr="00BB4743" w:rsidRDefault="00EE3BF1" w:rsidP="060364BF">
            <w:pPr>
              <w:spacing w:line="259" w:lineRule="auto"/>
              <w:rPr>
                <w:rFonts w:cs="Calibri"/>
                <w:b/>
                <w:bCs/>
                <w:sz w:val="20"/>
                <w:szCs w:val="20"/>
              </w:rPr>
            </w:pPr>
            <w:r>
              <w:rPr>
                <w:rFonts w:eastAsia="Calibri Light" w:cs="Calibri"/>
                <w:b/>
                <w:bCs/>
                <w:color w:val="000000"/>
                <w:sz w:val="20"/>
                <w:szCs w:val="20"/>
              </w:rPr>
              <w:t xml:space="preserve">Dr </w:t>
            </w:r>
            <w:r w:rsidR="6E4EA588" w:rsidRPr="00BB4743">
              <w:rPr>
                <w:rFonts w:eastAsia="Calibri Light" w:cs="Calibri"/>
                <w:b/>
                <w:bCs/>
                <w:color w:val="000000"/>
                <w:sz w:val="20"/>
                <w:szCs w:val="20"/>
              </w:rPr>
              <w:t>Aaron Shibemba</w:t>
            </w:r>
          </w:p>
        </w:tc>
        <w:tc>
          <w:tcPr>
            <w:tcW w:w="3131" w:type="dxa"/>
          </w:tcPr>
          <w:p w14:paraId="278B9719" w14:textId="68DA2394" w:rsidR="6E4EA588" w:rsidRPr="00BB4743" w:rsidRDefault="00011406" w:rsidP="000B3487">
            <w:pPr>
              <w:rPr>
                <w:rFonts w:cs="Calibri"/>
                <w:color w:val="auto"/>
                <w:sz w:val="20"/>
                <w:szCs w:val="20"/>
              </w:rPr>
            </w:pPr>
            <w:r w:rsidRPr="00011406">
              <w:rPr>
                <w:rFonts w:eastAsia="Calibri Light" w:cs="Calibri"/>
                <w:color w:val="auto"/>
                <w:sz w:val="20"/>
                <w:szCs w:val="20"/>
              </w:rPr>
              <w:t>University Teaching Hospital</w:t>
            </w:r>
          </w:p>
        </w:tc>
        <w:tc>
          <w:tcPr>
            <w:tcW w:w="3130" w:type="dxa"/>
          </w:tcPr>
          <w:p w14:paraId="066C4544" w14:textId="5B916F9C" w:rsidR="6E4EA588" w:rsidRPr="00BB4743" w:rsidRDefault="005018D8" w:rsidP="00BB4743">
            <w:pPr>
              <w:rPr>
                <w:rFonts w:cs="Calibri"/>
                <w:color w:val="auto"/>
                <w:sz w:val="20"/>
                <w:szCs w:val="20"/>
              </w:rPr>
            </w:pPr>
            <w:r>
              <w:rPr>
                <w:rFonts w:eastAsia="Arial" w:cs="Calibri"/>
                <w:color w:val="auto"/>
                <w:sz w:val="20"/>
                <w:szCs w:val="20"/>
              </w:rPr>
              <w:t>H</w:t>
            </w:r>
            <w:r w:rsidR="6E4EA588" w:rsidRPr="00BB4743">
              <w:rPr>
                <w:rFonts w:eastAsia="Arial" w:cs="Calibri"/>
                <w:color w:val="auto"/>
                <w:sz w:val="20"/>
                <w:szCs w:val="20"/>
              </w:rPr>
              <w:t xml:space="preserve">ead </w:t>
            </w:r>
            <w:r w:rsidR="0039564A">
              <w:rPr>
                <w:rFonts w:eastAsia="Arial" w:cs="Calibri"/>
                <w:color w:val="auto"/>
                <w:sz w:val="20"/>
                <w:szCs w:val="20"/>
              </w:rPr>
              <w:t xml:space="preserve">of </w:t>
            </w:r>
            <w:r w:rsidR="6E4EA588" w:rsidRPr="00BB4743">
              <w:rPr>
                <w:rFonts w:eastAsia="Arial" w:cs="Calibri"/>
                <w:color w:val="auto"/>
                <w:sz w:val="20"/>
                <w:szCs w:val="20"/>
              </w:rPr>
              <w:t>Pathology and Microbiology</w:t>
            </w:r>
          </w:p>
        </w:tc>
      </w:tr>
    </w:tbl>
    <w:p w14:paraId="4A2F5ECE" w14:textId="788B9618" w:rsidR="00C713E4" w:rsidRDefault="00E67017" w:rsidP="00BB4743">
      <w:pPr>
        <w:pStyle w:val="ItadH3"/>
        <w:keepNext/>
      </w:pPr>
      <w:bookmarkStart w:id="438" w:name="_Toc118968588"/>
      <w:bookmarkStart w:id="439" w:name="_Toc142383230"/>
      <w:r>
        <w:t>Country Visit 2022</w:t>
      </w:r>
      <w:bookmarkEnd w:id="438"/>
      <w:bookmarkEnd w:id="439"/>
    </w:p>
    <w:tbl>
      <w:tblPr>
        <w:tblStyle w:val="Itadalternaterows"/>
        <w:tblW w:w="0" w:type="auto"/>
        <w:tblLook w:val="04A0" w:firstRow="1" w:lastRow="0" w:firstColumn="1" w:lastColumn="0" w:noHBand="0" w:noVBand="1"/>
      </w:tblPr>
      <w:tblGrid>
        <w:gridCol w:w="3134"/>
        <w:gridCol w:w="3131"/>
        <w:gridCol w:w="3130"/>
      </w:tblGrid>
      <w:tr w:rsidR="1853E80E" w14:paraId="36EA009E" w14:textId="77777777" w:rsidTr="1853E80E">
        <w:trPr>
          <w:cnfStyle w:val="100000000000" w:firstRow="1" w:lastRow="0" w:firstColumn="0" w:lastColumn="0" w:oddVBand="0" w:evenVBand="0" w:oddHBand="0" w:evenHBand="0" w:firstRowFirstColumn="0" w:firstRowLastColumn="0" w:lastRowFirstColumn="0" w:lastRowLastColumn="0"/>
          <w:trHeight w:val="340"/>
        </w:trPr>
        <w:tc>
          <w:tcPr>
            <w:tcW w:w="9395" w:type="dxa"/>
            <w:gridSpan w:val="3"/>
          </w:tcPr>
          <w:p w14:paraId="7E420B85" w14:textId="01260B28" w:rsidR="1853E80E" w:rsidRDefault="1853E80E" w:rsidP="1853E80E">
            <w:pPr>
              <w:rPr>
                <w:rFonts w:asciiTheme="minorHAnsi" w:hAnsiTheme="minorHAnsi" w:cstheme="minorBidi"/>
                <w:color w:val="FFFFFF" w:themeColor="background1"/>
                <w:sz w:val="20"/>
                <w:szCs w:val="20"/>
                <w:lang w:eastAsia="en-GB"/>
              </w:rPr>
            </w:pPr>
            <w:r w:rsidRPr="1853E80E">
              <w:rPr>
                <w:rFonts w:asciiTheme="minorHAnsi" w:hAnsiTheme="minorHAnsi" w:cstheme="minorBidi"/>
                <w:color w:val="FFFFFF" w:themeColor="background1"/>
                <w:sz w:val="20"/>
                <w:szCs w:val="20"/>
                <w:lang w:eastAsia="en-GB"/>
              </w:rPr>
              <w:t>Fleming Fund CG</w:t>
            </w:r>
          </w:p>
        </w:tc>
      </w:tr>
      <w:tr w:rsidR="1853E80E" w14:paraId="2B671584"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30658A63" w14:textId="7365388B" w:rsidR="1853E80E" w:rsidRPr="00BB4743" w:rsidRDefault="1853E80E" w:rsidP="1853E80E">
            <w:pPr>
              <w:rPr>
                <w:rFonts w:asciiTheme="minorHAnsi" w:hAnsiTheme="minorHAnsi" w:cstheme="minorBidi"/>
                <w:b/>
                <w:bCs/>
                <w:sz w:val="20"/>
                <w:szCs w:val="20"/>
              </w:rPr>
            </w:pPr>
            <w:r w:rsidRPr="00BB4743">
              <w:rPr>
                <w:rFonts w:asciiTheme="minorHAnsi" w:eastAsia="Calibri Light" w:hAnsiTheme="minorHAnsi" w:cstheme="minorBidi"/>
                <w:b/>
                <w:bCs/>
                <w:color w:val="000000"/>
                <w:sz w:val="20"/>
                <w:szCs w:val="20"/>
              </w:rPr>
              <w:t>David Ojok</w:t>
            </w:r>
            <w:r w:rsidR="007572FE" w:rsidRPr="00BB4743">
              <w:rPr>
                <w:rFonts w:asciiTheme="minorHAnsi" w:eastAsia="Calibri Light" w:hAnsiTheme="minorHAnsi" w:cstheme="minorBidi"/>
                <w:b/>
                <w:bCs/>
                <w:color w:val="000000"/>
                <w:sz w:val="20"/>
                <w:szCs w:val="20"/>
              </w:rPr>
              <w:t>*</w:t>
            </w:r>
          </w:p>
        </w:tc>
        <w:tc>
          <w:tcPr>
            <w:tcW w:w="3131" w:type="dxa"/>
          </w:tcPr>
          <w:p w14:paraId="20F02541" w14:textId="1393E0DA" w:rsidR="1853E80E" w:rsidRDefault="00C50850" w:rsidP="00BB4743">
            <w:pPr>
              <w:rPr>
                <w:rFonts w:asciiTheme="minorHAnsi" w:hAnsiTheme="minorHAnsi" w:cstheme="minorBidi"/>
                <w:color w:val="000000"/>
                <w:sz w:val="20"/>
                <w:szCs w:val="20"/>
                <w:lang w:eastAsia="en-GB"/>
              </w:rPr>
            </w:pPr>
            <w:r>
              <w:rPr>
                <w:rFonts w:asciiTheme="minorHAnsi" w:hAnsiTheme="minorHAnsi" w:cstheme="minorBidi"/>
                <w:color w:val="000000"/>
                <w:sz w:val="20"/>
                <w:szCs w:val="20"/>
                <w:lang w:eastAsia="en-GB"/>
              </w:rPr>
              <w:t>Centre for Infectious Disease Research in Zambia</w:t>
            </w:r>
          </w:p>
        </w:tc>
        <w:tc>
          <w:tcPr>
            <w:tcW w:w="3130" w:type="dxa"/>
          </w:tcPr>
          <w:p w14:paraId="5571BCD7" w14:textId="25FDC081" w:rsidR="1853E80E" w:rsidRDefault="1853E80E" w:rsidP="00BB4743">
            <w:pPr>
              <w:rPr>
                <w:rFonts w:asciiTheme="minorHAnsi" w:hAnsiTheme="minorHAnsi" w:cstheme="minorBidi"/>
                <w:color w:val="000000"/>
                <w:sz w:val="20"/>
                <w:szCs w:val="20"/>
                <w:lang w:eastAsia="en-GB"/>
              </w:rPr>
            </w:pPr>
            <w:r w:rsidRPr="1853E80E">
              <w:rPr>
                <w:rFonts w:asciiTheme="minorHAnsi" w:hAnsiTheme="minorHAnsi" w:cstheme="minorBidi"/>
                <w:color w:val="000000"/>
                <w:sz w:val="20"/>
                <w:szCs w:val="20"/>
                <w:lang w:eastAsia="en-GB"/>
              </w:rPr>
              <w:t>Director, Team Leader</w:t>
            </w:r>
          </w:p>
        </w:tc>
      </w:tr>
      <w:tr w:rsidR="1853E80E" w14:paraId="6678F5F6"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351A200F" w14:textId="78FBF983" w:rsidR="1853E80E" w:rsidRPr="00BB4743" w:rsidRDefault="1853E80E" w:rsidP="1853E80E">
            <w:pPr>
              <w:rPr>
                <w:rFonts w:asciiTheme="minorHAnsi" w:hAnsiTheme="minorHAnsi" w:cstheme="minorBidi"/>
                <w:b/>
                <w:bCs/>
                <w:sz w:val="20"/>
                <w:szCs w:val="20"/>
              </w:rPr>
            </w:pPr>
            <w:r w:rsidRPr="00BB4743">
              <w:rPr>
                <w:rFonts w:asciiTheme="minorHAnsi" w:eastAsia="Calibri Light" w:hAnsiTheme="minorHAnsi" w:cstheme="minorBidi"/>
                <w:b/>
                <w:bCs/>
                <w:color w:val="000000"/>
                <w:sz w:val="20"/>
                <w:szCs w:val="20"/>
              </w:rPr>
              <w:t>Kaunda Kaunda</w:t>
            </w:r>
            <w:r w:rsidR="00BE1243">
              <w:rPr>
                <w:rFonts w:asciiTheme="minorHAnsi" w:eastAsia="Calibri Light" w:hAnsiTheme="minorHAnsi" w:cstheme="minorBidi"/>
                <w:b/>
                <w:bCs/>
                <w:color w:val="000000"/>
                <w:sz w:val="20"/>
                <w:szCs w:val="20"/>
              </w:rPr>
              <w:t>*</w:t>
            </w:r>
          </w:p>
        </w:tc>
        <w:tc>
          <w:tcPr>
            <w:tcW w:w="3131" w:type="dxa"/>
          </w:tcPr>
          <w:p w14:paraId="76F7838D" w14:textId="2B25CDE2" w:rsidR="1853E80E" w:rsidRDefault="00C50850" w:rsidP="00BB4743">
            <w:pPr>
              <w:rPr>
                <w:rFonts w:asciiTheme="minorHAnsi" w:hAnsiTheme="minorHAnsi" w:cstheme="minorBidi"/>
                <w:color w:val="000000"/>
                <w:sz w:val="20"/>
                <w:szCs w:val="20"/>
                <w:lang w:eastAsia="en-GB"/>
              </w:rPr>
            </w:pPr>
            <w:r>
              <w:rPr>
                <w:rFonts w:asciiTheme="minorHAnsi" w:hAnsiTheme="minorHAnsi" w:cstheme="minorBidi"/>
                <w:color w:val="000000"/>
                <w:sz w:val="20"/>
                <w:szCs w:val="20"/>
                <w:lang w:eastAsia="en-GB"/>
              </w:rPr>
              <w:t>Centre for Infectious Disease Research in Zambia</w:t>
            </w:r>
          </w:p>
        </w:tc>
        <w:tc>
          <w:tcPr>
            <w:tcW w:w="3130" w:type="dxa"/>
          </w:tcPr>
          <w:p w14:paraId="07B875E6" w14:textId="0157279E" w:rsidR="1853E80E" w:rsidRDefault="1853E80E" w:rsidP="00BB4743">
            <w:pPr>
              <w:rPr>
                <w:rFonts w:asciiTheme="minorHAnsi" w:hAnsiTheme="minorHAnsi" w:cstheme="minorBidi"/>
                <w:sz w:val="20"/>
                <w:szCs w:val="20"/>
              </w:rPr>
            </w:pPr>
            <w:r w:rsidRPr="1853E80E">
              <w:rPr>
                <w:rFonts w:asciiTheme="minorHAnsi" w:eastAsia="Calibri Light" w:hAnsiTheme="minorHAnsi" w:cstheme="minorBidi"/>
                <w:color w:val="000000"/>
                <w:sz w:val="20"/>
                <w:szCs w:val="20"/>
              </w:rPr>
              <w:t>Project Manager</w:t>
            </w:r>
          </w:p>
        </w:tc>
      </w:tr>
      <w:tr w:rsidR="1853E80E" w14:paraId="21E75F1E"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4C52A930" w14:textId="3504243A" w:rsidR="1853E80E" w:rsidRDefault="1853E80E" w:rsidP="000B3487">
            <w:pPr>
              <w:spacing w:line="259" w:lineRule="auto"/>
              <w:rPr>
                <w:rFonts w:asciiTheme="minorHAnsi" w:hAnsiTheme="minorHAnsi" w:cstheme="minorBidi"/>
                <w:sz w:val="20"/>
                <w:szCs w:val="20"/>
              </w:rPr>
            </w:pPr>
            <w:r w:rsidRPr="1853E80E">
              <w:rPr>
                <w:rFonts w:asciiTheme="minorHAnsi" w:hAnsiTheme="minorHAnsi" w:cstheme="minorBidi"/>
                <w:color w:val="FFFFFF" w:themeColor="background1"/>
                <w:sz w:val="20"/>
                <w:szCs w:val="20"/>
                <w:lang w:eastAsia="en-GB"/>
              </w:rPr>
              <w:t>Mott MacDonald</w:t>
            </w:r>
          </w:p>
        </w:tc>
      </w:tr>
      <w:tr w:rsidR="1853E80E" w14:paraId="1768A08F"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56B146F1" w14:textId="0BD1C6A6" w:rsidR="1853E80E" w:rsidRPr="00BB4743" w:rsidRDefault="1853E80E" w:rsidP="1853E80E">
            <w:pPr>
              <w:spacing w:line="259" w:lineRule="auto"/>
              <w:rPr>
                <w:rFonts w:asciiTheme="minorHAnsi" w:hAnsiTheme="minorHAnsi" w:cstheme="minorBidi"/>
                <w:b/>
                <w:bCs/>
                <w:sz w:val="20"/>
                <w:szCs w:val="20"/>
              </w:rPr>
            </w:pPr>
            <w:r w:rsidRPr="00BB4743">
              <w:rPr>
                <w:rFonts w:asciiTheme="minorHAnsi" w:eastAsia="Arial" w:hAnsiTheme="minorHAnsi" w:cstheme="minorBidi"/>
                <w:b/>
                <w:bCs/>
                <w:color w:val="000000"/>
                <w:sz w:val="20"/>
                <w:szCs w:val="20"/>
              </w:rPr>
              <w:t>Patrick Mubangizi</w:t>
            </w:r>
            <w:r w:rsidR="007C5C09" w:rsidRPr="00BB4743">
              <w:rPr>
                <w:rFonts w:asciiTheme="minorHAnsi" w:eastAsia="Arial" w:hAnsiTheme="minorHAnsi" w:cstheme="minorBidi"/>
                <w:b/>
                <w:bCs/>
                <w:color w:val="000000"/>
                <w:sz w:val="20"/>
                <w:szCs w:val="20"/>
              </w:rPr>
              <w:t>**</w:t>
            </w:r>
          </w:p>
        </w:tc>
        <w:tc>
          <w:tcPr>
            <w:tcW w:w="3131" w:type="dxa"/>
          </w:tcPr>
          <w:p w14:paraId="11F5C63B" w14:textId="42831C72" w:rsidR="1853E80E" w:rsidRDefault="1853E80E" w:rsidP="00BB4743">
            <w:pPr>
              <w:spacing w:line="259" w:lineRule="auto"/>
              <w:rPr>
                <w:rFonts w:asciiTheme="minorHAnsi" w:hAnsiTheme="minorHAnsi" w:cstheme="minorBidi"/>
                <w:sz w:val="20"/>
                <w:szCs w:val="20"/>
              </w:rPr>
            </w:pPr>
            <w:r w:rsidRPr="1853E80E">
              <w:rPr>
                <w:rFonts w:asciiTheme="minorHAnsi" w:eastAsia="Arial" w:hAnsiTheme="minorHAnsi" w:cstheme="minorBidi"/>
                <w:color w:val="000000"/>
                <w:sz w:val="20"/>
                <w:szCs w:val="20"/>
              </w:rPr>
              <w:t xml:space="preserve">Mott </w:t>
            </w:r>
            <w:r w:rsidR="00247D11" w:rsidRPr="1853E80E">
              <w:rPr>
                <w:rFonts w:asciiTheme="minorHAnsi" w:eastAsia="Arial" w:hAnsiTheme="minorHAnsi" w:cstheme="minorBidi"/>
                <w:color w:val="000000"/>
                <w:sz w:val="20"/>
                <w:szCs w:val="20"/>
              </w:rPr>
              <w:t>Mac</w:t>
            </w:r>
            <w:r w:rsidR="00247D11">
              <w:rPr>
                <w:rFonts w:asciiTheme="minorHAnsi" w:eastAsia="Arial" w:hAnsiTheme="minorHAnsi" w:cstheme="minorBidi"/>
                <w:color w:val="000000"/>
                <w:sz w:val="20"/>
                <w:szCs w:val="20"/>
              </w:rPr>
              <w:t>D</w:t>
            </w:r>
            <w:r w:rsidR="00247D11" w:rsidRPr="1853E80E">
              <w:rPr>
                <w:rFonts w:asciiTheme="minorHAnsi" w:eastAsia="Arial" w:hAnsiTheme="minorHAnsi" w:cstheme="minorBidi"/>
                <w:color w:val="000000"/>
                <w:sz w:val="20"/>
                <w:szCs w:val="20"/>
              </w:rPr>
              <w:t>onald</w:t>
            </w:r>
          </w:p>
        </w:tc>
        <w:tc>
          <w:tcPr>
            <w:tcW w:w="3130" w:type="dxa"/>
          </w:tcPr>
          <w:p w14:paraId="70D60B79" w14:textId="780C1E0C" w:rsidR="1853E80E" w:rsidRDefault="1853E80E" w:rsidP="00BB4743">
            <w:pPr>
              <w:spacing w:line="259" w:lineRule="auto"/>
              <w:rPr>
                <w:rFonts w:asciiTheme="minorHAnsi" w:hAnsiTheme="minorHAnsi" w:cstheme="minorBidi"/>
                <w:sz w:val="20"/>
                <w:szCs w:val="20"/>
              </w:rPr>
            </w:pPr>
            <w:r w:rsidRPr="1853E80E">
              <w:rPr>
                <w:rFonts w:asciiTheme="minorHAnsi" w:eastAsia="Arial" w:hAnsiTheme="minorHAnsi" w:cstheme="minorBidi"/>
                <w:color w:val="000000"/>
                <w:sz w:val="20"/>
                <w:szCs w:val="20"/>
              </w:rPr>
              <w:t>Regional Coordinator, ESA</w:t>
            </w:r>
          </w:p>
        </w:tc>
      </w:tr>
      <w:tr w:rsidR="1853E80E" w14:paraId="5C9A24A0"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7582A20F" w14:textId="77777777" w:rsidR="1853E80E" w:rsidRDefault="1853E80E" w:rsidP="000B3487">
            <w:pPr>
              <w:rPr>
                <w:rFonts w:asciiTheme="minorHAnsi" w:hAnsiTheme="minorHAnsi" w:cstheme="minorBidi"/>
                <w:color w:val="auto"/>
                <w:sz w:val="20"/>
                <w:szCs w:val="20"/>
              </w:rPr>
            </w:pPr>
            <w:r w:rsidRPr="1853E80E">
              <w:rPr>
                <w:rFonts w:asciiTheme="minorHAnsi" w:hAnsiTheme="minorHAnsi" w:cstheme="minorBidi"/>
                <w:color w:val="FFFFFF" w:themeColor="background1"/>
                <w:sz w:val="20"/>
                <w:szCs w:val="20"/>
                <w:lang w:eastAsia="en-GB"/>
              </w:rPr>
              <w:t>Other decision makers</w:t>
            </w:r>
          </w:p>
        </w:tc>
      </w:tr>
      <w:tr w:rsidR="1853E80E" w14:paraId="689E6D16"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6893D144" w14:textId="35829BF8" w:rsidR="1853E80E" w:rsidRPr="00BB4743" w:rsidRDefault="1853E80E" w:rsidP="1853E80E">
            <w:pPr>
              <w:spacing w:line="259" w:lineRule="auto"/>
              <w:rPr>
                <w:rFonts w:asciiTheme="minorHAnsi" w:eastAsia="Calibri Light" w:hAnsiTheme="minorHAnsi" w:cstheme="minorBidi"/>
                <w:b/>
                <w:bCs/>
                <w:color w:val="000000"/>
                <w:sz w:val="20"/>
                <w:szCs w:val="20"/>
              </w:rPr>
            </w:pPr>
            <w:r w:rsidRPr="00BB4743">
              <w:rPr>
                <w:rFonts w:asciiTheme="minorHAnsi" w:eastAsia="Calibri Light" w:hAnsiTheme="minorHAnsi" w:cstheme="minorBidi"/>
                <w:b/>
                <w:bCs/>
                <w:color w:val="000000"/>
                <w:sz w:val="20"/>
                <w:szCs w:val="20"/>
              </w:rPr>
              <w:t>Prof. Roma Chilengi</w:t>
            </w:r>
            <w:r w:rsidR="007C5C09" w:rsidRPr="00BB4743">
              <w:rPr>
                <w:rFonts w:asciiTheme="minorHAnsi" w:eastAsia="Calibri Light" w:hAnsiTheme="minorHAnsi" w:cstheme="minorBidi"/>
                <w:b/>
                <w:bCs/>
                <w:color w:val="000000"/>
                <w:sz w:val="20"/>
                <w:szCs w:val="20"/>
              </w:rPr>
              <w:t>*</w:t>
            </w:r>
          </w:p>
        </w:tc>
        <w:tc>
          <w:tcPr>
            <w:tcW w:w="3131" w:type="dxa"/>
          </w:tcPr>
          <w:p w14:paraId="037D1A58" w14:textId="52942C8D" w:rsidR="1853E80E" w:rsidRDefault="1853E80E" w:rsidP="000B3487">
            <w:pPr>
              <w:spacing w:line="259" w:lineRule="auto"/>
              <w:rPr>
                <w:rFonts w:asciiTheme="minorHAnsi" w:eastAsia="Arial" w:hAnsiTheme="minorHAnsi" w:cstheme="minorBidi"/>
                <w:color w:val="000000"/>
                <w:sz w:val="20"/>
                <w:szCs w:val="20"/>
              </w:rPr>
            </w:pPr>
            <w:r w:rsidRPr="1853E80E">
              <w:rPr>
                <w:rFonts w:asciiTheme="minorHAnsi" w:eastAsia="Arial" w:hAnsiTheme="minorHAnsi" w:cstheme="minorBidi"/>
                <w:color w:val="000000"/>
                <w:sz w:val="20"/>
                <w:szCs w:val="20"/>
              </w:rPr>
              <w:t>ZNPHI</w:t>
            </w:r>
          </w:p>
        </w:tc>
        <w:tc>
          <w:tcPr>
            <w:tcW w:w="3130" w:type="dxa"/>
          </w:tcPr>
          <w:p w14:paraId="74EF5CC3" w14:textId="75E24B19" w:rsidR="1853E80E" w:rsidRDefault="1853E80E" w:rsidP="00BB4743">
            <w:pPr>
              <w:rPr>
                <w:rFonts w:asciiTheme="minorHAnsi" w:eastAsia="Arial" w:hAnsiTheme="minorHAnsi" w:cstheme="minorBidi"/>
                <w:color w:val="000000"/>
                <w:sz w:val="20"/>
                <w:szCs w:val="20"/>
              </w:rPr>
            </w:pPr>
            <w:r w:rsidRPr="1853E80E">
              <w:rPr>
                <w:rFonts w:asciiTheme="minorHAnsi" w:eastAsia="Arial" w:hAnsiTheme="minorHAnsi" w:cstheme="minorBidi"/>
                <w:color w:val="000000"/>
                <w:sz w:val="20"/>
                <w:szCs w:val="20"/>
              </w:rPr>
              <w:t>Director</w:t>
            </w:r>
          </w:p>
        </w:tc>
      </w:tr>
      <w:tr w:rsidR="1853E80E" w14:paraId="1FBB68F2"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5B982CAE" w14:textId="77777777" w:rsidR="1853E80E" w:rsidRDefault="1853E80E" w:rsidP="000B3487">
            <w:pPr>
              <w:rPr>
                <w:rFonts w:asciiTheme="minorHAnsi" w:hAnsiTheme="minorHAnsi" w:cstheme="minorBidi"/>
                <w:sz w:val="20"/>
                <w:szCs w:val="20"/>
              </w:rPr>
            </w:pPr>
            <w:r w:rsidRPr="1853E80E">
              <w:rPr>
                <w:rFonts w:asciiTheme="minorHAnsi" w:hAnsiTheme="minorHAnsi" w:cstheme="minorBidi"/>
                <w:color w:val="FFFFFF" w:themeColor="background1"/>
                <w:sz w:val="20"/>
                <w:szCs w:val="20"/>
                <w:lang w:eastAsia="en-GB"/>
              </w:rPr>
              <w:t>Policy Fellows HH</w:t>
            </w:r>
          </w:p>
        </w:tc>
      </w:tr>
      <w:tr w:rsidR="1853E80E" w14:paraId="1C3193B2"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shd w:val="clear" w:color="auto" w:fill="auto"/>
          </w:tcPr>
          <w:p w14:paraId="54FCFF2E" w14:textId="3F3F188F" w:rsidR="1853E80E" w:rsidRPr="00BB4743" w:rsidRDefault="1853E80E" w:rsidP="1853E80E">
            <w:pPr>
              <w:spacing w:line="259" w:lineRule="auto"/>
              <w:rPr>
                <w:rFonts w:asciiTheme="minorHAnsi" w:eastAsia="Calibri" w:hAnsiTheme="minorHAnsi" w:cstheme="minorBidi"/>
                <w:b/>
                <w:bCs/>
                <w:color w:val="000000"/>
                <w:sz w:val="20"/>
                <w:szCs w:val="20"/>
              </w:rPr>
            </w:pPr>
            <w:r w:rsidRPr="00BB4743">
              <w:rPr>
                <w:rFonts w:asciiTheme="minorHAnsi" w:eastAsia="Calibri" w:hAnsiTheme="minorHAnsi" w:cstheme="minorBidi"/>
                <w:b/>
                <w:bCs/>
                <w:color w:val="000000"/>
                <w:sz w:val="20"/>
                <w:szCs w:val="20"/>
              </w:rPr>
              <w:t>Dr Otridah Kapona</w:t>
            </w:r>
          </w:p>
        </w:tc>
        <w:tc>
          <w:tcPr>
            <w:tcW w:w="3131" w:type="dxa"/>
            <w:shd w:val="clear" w:color="auto" w:fill="auto"/>
          </w:tcPr>
          <w:p w14:paraId="57FCB35F" w14:textId="3F3F188F" w:rsidR="1853E80E" w:rsidRDefault="1853E80E" w:rsidP="00BB4743">
            <w:pPr>
              <w:spacing w:line="259" w:lineRule="auto"/>
              <w:rPr>
                <w:rFonts w:asciiTheme="minorHAnsi" w:eastAsia="Calibri" w:hAnsiTheme="minorHAnsi" w:cstheme="minorBidi"/>
                <w:color w:val="000000"/>
                <w:sz w:val="20"/>
                <w:szCs w:val="20"/>
              </w:rPr>
            </w:pPr>
            <w:r w:rsidRPr="1853E80E">
              <w:rPr>
                <w:rFonts w:asciiTheme="minorHAnsi" w:eastAsia="Calibri" w:hAnsiTheme="minorHAnsi" w:cstheme="minorBidi"/>
                <w:color w:val="000000"/>
                <w:sz w:val="20"/>
                <w:szCs w:val="20"/>
              </w:rPr>
              <w:t>Zambia Public Health Institute</w:t>
            </w:r>
          </w:p>
        </w:tc>
        <w:tc>
          <w:tcPr>
            <w:tcW w:w="3130" w:type="dxa"/>
            <w:shd w:val="clear" w:color="auto" w:fill="auto"/>
          </w:tcPr>
          <w:p w14:paraId="491B00B4" w14:textId="3F3F188F" w:rsidR="1853E80E" w:rsidRPr="007F63EF" w:rsidRDefault="1853E80E" w:rsidP="00BB4743">
            <w:pPr>
              <w:spacing w:line="259" w:lineRule="auto"/>
              <w:rPr>
                <w:rFonts w:asciiTheme="minorHAnsi" w:hAnsiTheme="minorHAnsi" w:cstheme="minorBidi"/>
                <w:color w:val="auto"/>
                <w:sz w:val="20"/>
                <w:szCs w:val="20"/>
              </w:rPr>
            </w:pPr>
            <w:r w:rsidRPr="00247D11">
              <w:rPr>
                <w:rFonts w:asciiTheme="minorHAnsi" w:hAnsiTheme="minorHAnsi" w:cstheme="minorBidi"/>
                <w:sz w:val="20"/>
                <w:szCs w:val="20"/>
              </w:rPr>
              <w:t>AMR Focal person</w:t>
            </w:r>
          </w:p>
        </w:tc>
      </w:tr>
      <w:tr w:rsidR="1853E80E" w14:paraId="0047665E"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0DCE6B56" w14:textId="465C35AD" w:rsidR="1853E80E" w:rsidRDefault="1853E80E" w:rsidP="000B3487">
            <w:pPr>
              <w:rPr>
                <w:rFonts w:asciiTheme="minorHAnsi" w:hAnsiTheme="minorHAnsi" w:cstheme="minorBidi"/>
                <w:color w:val="FFFFFF" w:themeColor="background1"/>
                <w:sz w:val="20"/>
                <w:szCs w:val="20"/>
                <w:lang w:eastAsia="en-GB"/>
              </w:rPr>
            </w:pPr>
            <w:r w:rsidRPr="1853E80E">
              <w:rPr>
                <w:rFonts w:asciiTheme="minorHAnsi" w:hAnsiTheme="minorHAnsi" w:cstheme="minorBidi"/>
                <w:color w:val="FFFFFF" w:themeColor="background1"/>
                <w:sz w:val="20"/>
                <w:szCs w:val="20"/>
                <w:lang w:eastAsia="en-GB"/>
              </w:rPr>
              <w:t>Professional Fellows HH</w:t>
            </w:r>
          </w:p>
        </w:tc>
      </w:tr>
      <w:tr w:rsidR="1853E80E" w14:paraId="79A64FF5"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shd w:val="clear" w:color="auto" w:fill="auto"/>
          </w:tcPr>
          <w:p w14:paraId="3DF2D01F" w14:textId="51C23EDE" w:rsidR="1853E80E" w:rsidRPr="00BB4743" w:rsidRDefault="1853E80E" w:rsidP="1853E80E">
            <w:pPr>
              <w:spacing w:line="259" w:lineRule="auto"/>
              <w:rPr>
                <w:rFonts w:asciiTheme="minorHAnsi" w:hAnsiTheme="minorHAnsi" w:cstheme="minorBidi"/>
                <w:b/>
                <w:bCs/>
                <w:sz w:val="20"/>
                <w:szCs w:val="20"/>
              </w:rPr>
            </w:pPr>
            <w:r w:rsidRPr="00BB4743">
              <w:rPr>
                <w:rFonts w:asciiTheme="minorHAnsi" w:eastAsia="Calibri Light" w:hAnsiTheme="minorHAnsi" w:cstheme="minorBidi"/>
                <w:b/>
                <w:bCs/>
                <w:color w:val="000000"/>
                <w:sz w:val="20"/>
                <w:szCs w:val="20"/>
              </w:rPr>
              <w:t>Mpanga Kasonde</w:t>
            </w:r>
            <w:r w:rsidR="007D0B0B">
              <w:rPr>
                <w:rFonts w:asciiTheme="minorHAnsi" w:eastAsia="Calibri Light" w:hAnsiTheme="minorHAnsi" w:cstheme="minorBidi"/>
                <w:b/>
                <w:bCs/>
                <w:color w:val="000000"/>
                <w:sz w:val="20"/>
                <w:szCs w:val="20"/>
              </w:rPr>
              <w:t>*</w:t>
            </w:r>
          </w:p>
        </w:tc>
        <w:tc>
          <w:tcPr>
            <w:tcW w:w="3131" w:type="dxa"/>
            <w:shd w:val="clear" w:color="auto" w:fill="auto"/>
          </w:tcPr>
          <w:p w14:paraId="471AA4EC" w14:textId="24BE0D4E" w:rsidR="1853E80E" w:rsidRDefault="1853E80E" w:rsidP="000B3487">
            <w:pPr>
              <w:rPr>
                <w:rFonts w:asciiTheme="minorHAnsi" w:hAnsiTheme="minorHAnsi" w:cstheme="minorBidi"/>
                <w:sz w:val="20"/>
                <w:szCs w:val="20"/>
              </w:rPr>
            </w:pPr>
            <w:r w:rsidRPr="1853E80E">
              <w:rPr>
                <w:rFonts w:asciiTheme="minorHAnsi" w:eastAsia="Calibri Light" w:hAnsiTheme="minorHAnsi" w:cstheme="minorBidi"/>
                <w:color w:val="000000"/>
                <w:sz w:val="20"/>
                <w:szCs w:val="20"/>
              </w:rPr>
              <w:t>ZNPHI</w:t>
            </w:r>
          </w:p>
        </w:tc>
        <w:tc>
          <w:tcPr>
            <w:tcW w:w="3130" w:type="dxa"/>
            <w:shd w:val="clear" w:color="auto" w:fill="auto"/>
          </w:tcPr>
          <w:p w14:paraId="774F4158" w14:textId="742256F7" w:rsidR="1853E80E" w:rsidRDefault="1853E80E" w:rsidP="00BB4743">
            <w:pPr>
              <w:rPr>
                <w:rFonts w:asciiTheme="minorHAnsi" w:hAnsiTheme="minorHAnsi" w:cstheme="minorBidi"/>
                <w:sz w:val="20"/>
                <w:szCs w:val="20"/>
              </w:rPr>
            </w:pPr>
            <w:r w:rsidRPr="1853E80E">
              <w:rPr>
                <w:rFonts w:asciiTheme="minorHAnsi" w:eastAsia="Arial" w:hAnsiTheme="minorHAnsi" w:cstheme="minorBidi"/>
                <w:color w:val="000000"/>
                <w:sz w:val="20"/>
                <w:szCs w:val="20"/>
              </w:rPr>
              <w:t>Laboratory Scientist</w:t>
            </w:r>
          </w:p>
        </w:tc>
      </w:tr>
      <w:tr w:rsidR="1853E80E" w14:paraId="3DC69FCC"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43EE31D9" w14:textId="77777777" w:rsidR="1853E80E" w:rsidRDefault="1853E80E" w:rsidP="000B3487">
            <w:pPr>
              <w:rPr>
                <w:rFonts w:asciiTheme="minorHAnsi" w:hAnsiTheme="minorHAnsi" w:cstheme="minorBidi"/>
                <w:color w:val="FFFFFF" w:themeColor="background1"/>
                <w:sz w:val="20"/>
                <w:szCs w:val="20"/>
                <w:lang w:eastAsia="en-GB"/>
              </w:rPr>
            </w:pPr>
            <w:r w:rsidRPr="1853E80E">
              <w:rPr>
                <w:rFonts w:asciiTheme="minorHAnsi" w:hAnsiTheme="minorHAnsi" w:cstheme="minorBidi"/>
                <w:color w:val="FFFFFF" w:themeColor="background1"/>
                <w:sz w:val="20"/>
                <w:szCs w:val="20"/>
                <w:lang w:eastAsia="en-GB"/>
              </w:rPr>
              <w:t>Professional Fellows AH</w:t>
            </w:r>
          </w:p>
        </w:tc>
      </w:tr>
      <w:tr w:rsidR="1853E80E" w14:paraId="4987BF0D"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3BB7DF94" w14:textId="1F1ED405" w:rsidR="1853E80E" w:rsidRPr="00BB4743" w:rsidRDefault="1853E80E" w:rsidP="1853E80E">
            <w:pPr>
              <w:spacing w:line="259" w:lineRule="auto"/>
              <w:rPr>
                <w:rFonts w:asciiTheme="minorHAnsi" w:hAnsiTheme="minorHAnsi" w:cstheme="minorBidi"/>
                <w:b/>
                <w:bCs/>
                <w:sz w:val="20"/>
                <w:szCs w:val="20"/>
              </w:rPr>
            </w:pPr>
            <w:r w:rsidRPr="00BB4743">
              <w:rPr>
                <w:rFonts w:asciiTheme="minorHAnsi" w:eastAsia="Calibri Light" w:hAnsiTheme="minorHAnsi" w:cstheme="minorBidi"/>
                <w:b/>
                <w:bCs/>
                <w:color w:val="000000"/>
                <w:sz w:val="20"/>
                <w:szCs w:val="20"/>
              </w:rPr>
              <w:t>Taona Sinyawa</w:t>
            </w:r>
            <w:r w:rsidR="007D0B0B" w:rsidRPr="00BB4743">
              <w:rPr>
                <w:rFonts w:asciiTheme="minorHAnsi" w:eastAsia="Calibri Light" w:hAnsiTheme="minorHAnsi" w:cstheme="minorBidi"/>
                <w:b/>
                <w:bCs/>
                <w:color w:val="000000"/>
                <w:sz w:val="20"/>
                <w:szCs w:val="20"/>
              </w:rPr>
              <w:t>*</w:t>
            </w:r>
          </w:p>
        </w:tc>
        <w:tc>
          <w:tcPr>
            <w:tcW w:w="3131" w:type="dxa"/>
          </w:tcPr>
          <w:p w14:paraId="38E34DE4" w14:textId="5078AD7C" w:rsidR="1853E80E" w:rsidRDefault="1853E80E" w:rsidP="00BB4743">
            <w:pPr>
              <w:spacing w:line="259" w:lineRule="auto"/>
              <w:rPr>
                <w:rFonts w:asciiTheme="minorHAnsi" w:hAnsiTheme="minorHAnsi" w:cstheme="minorBidi"/>
                <w:sz w:val="20"/>
                <w:szCs w:val="20"/>
              </w:rPr>
            </w:pPr>
            <w:r w:rsidRPr="1853E80E">
              <w:rPr>
                <w:rFonts w:asciiTheme="minorHAnsi" w:eastAsia="Calibri Light" w:hAnsiTheme="minorHAnsi" w:cstheme="minorBidi"/>
                <w:color w:val="000000"/>
                <w:sz w:val="20"/>
                <w:szCs w:val="20"/>
              </w:rPr>
              <w:t>CVRI</w:t>
            </w:r>
          </w:p>
        </w:tc>
        <w:tc>
          <w:tcPr>
            <w:tcW w:w="3130" w:type="dxa"/>
          </w:tcPr>
          <w:p w14:paraId="3FE8B67A" w14:textId="0027EE20" w:rsidR="1853E80E" w:rsidRDefault="1853E80E" w:rsidP="00BB4743">
            <w:pPr>
              <w:rPr>
                <w:rFonts w:asciiTheme="minorHAnsi" w:hAnsiTheme="minorHAnsi" w:cstheme="minorBidi"/>
                <w:sz w:val="20"/>
                <w:szCs w:val="20"/>
              </w:rPr>
            </w:pPr>
            <w:r w:rsidRPr="1853E80E">
              <w:rPr>
                <w:rFonts w:asciiTheme="minorHAnsi" w:eastAsia="Arial" w:hAnsiTheme="minorHAnsi" w:cstheme="minorBidi"/>
                <w:color w:val="000000"/>
                <w:sz w:val="20"/>
                <w:szCs w:val="20"/>
              </w:rPr>
              <w:t>Fleming Fund Fellow/</w:t>
            </w:r>
            <w:r w:rsidR="003714CF" w:rsidRPr="1D096C72">
              <w:rPr>
                <w:rFonts w:asciiTheme="minorHAnsi" w:eastAsia="Calibri Light" w:hAnsiTheme="minorHAnsi" w:cstheme="minorBidi"/>
                <w:color w:val="000000"/>
                <w:sz w:val="20"/>
                <w:szCs w:val="20"/>
              </w:rPr>
              <w:t>Veterinary</w:t>
            </w:r>
            <w:r w:rsidRPr="1853E80E">
              <w:rPr>
                <w:rFonts w:asciiTheme="minorHAnsi" w:eastAsia="Arial" w:hAnsiTheme="minorHAnsi" w:cstheme="minorBidi"/>
                <w:color w:val="000000"/>
                <w:sz w:val="20"/>
                <w:szCs w:val="20"/>
              </w:rPr>
              <w:t xml:space="preserve"> Officer</w:t>
            </w:r>
          </w:p>
        </w:tc>
      </w:tr>
      <w:tr w:rsidR="1853E80E" w14:paraId="1744A4C4"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9395" w:type="dxa"/>
            <w:gridSpan w:val="3"/>
            <w:shd w:val="clear" w:color="auto" w:fill="96C286" w:themeFill="text2" w:themeFillTint="99"/>
          </w:tcPr>
          <w:p w14:paraId="2AD7E04A" w14:textId="273313FF" w:rsidR="1853E80E" w:rsidRDefault="1853E80E" w:rsidP="000B3487">
            <w:pPr>
              <w:rPr>
                <w:rFonts w:asciiTheme="minorHAnsi" w:hAnsiTheme="minorHAnsi" w:cstheme="minorBidi"/>
                <w:color w:val="FFFFFF" w:themeColor="background1"/>
                <w:sz w:val="20"/>
                <w:szCs w:val="20"/>
              </w:rPr>
            </w:pPr>
            <w:r w:rsidRPr="1853E80E">
              <w:rPr>
                <w:rFonts w:asciiTheme="minorHAnsi" w:hAnsiTheme="minorHAnsi" w:cstheme="minorBidi"/>
                <w:color w:val="FFFFFF" w:themeColor="background1"/>
                <w:sz w:val="20"/>
                <w:szCs w:val="20"/>
              </w:rPr>
              <w:t>AMR Focal Point</w:t>
            </w:r>
          </w:p>
        </w:tc>
      </w:tr>
      <w:tr w:rsidR="1853E80E" w14:paraId="69F16B6F"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3134" w:type="dxa"/>
          </w:tcPr>
          <w:p w14:paraId="12CA4226" w14:textId="5B0CB5E1" w:rsidR="1853E80E" w:rsidRPr="00BB4743" w:rsidRDefault="1853E80E" w:rsidP="1853E80E">
            <w:pPr>
              <w:spacing w:line="259" w:lineRule="auto"/>
              <w:rPr>
                <w:rFonts w:asciiTheme="minorHAnsi" w:eastAsia="Calibri" w:hAnsiTheme="minorHAnsi" w:cstheme="minorBidi"/>
                <w:b/>
                <w:bCs/>
                <w:color w:val="000000"/>
                <w:sz w:val="20"/>
                <w:szCs w:val="20"/>
              </w:rPr>
            </w:pPr>
            <w:r w:rsidRPr="00BB4743">
              <w:rPr>
                <w:rFonts w:asciiTheme="minorHAnsi" w:eastAsia="Calibri" w:hAnsiTheme="minorHAnsi" w:cstheme="minorBidi"/>
                <w:b/>
                <w:bCs/>
                <w:color w:val="000000"/>
                <w:sz w:val="20"/>
                <w:szCs w:val="20"/>
              </w:rPr>
              <w:t>Dr Otridah Kapona*</w:t>
            </w:r>
          </w:p>
        </w:tc>
        <w:tc>
          <w:tcPr>
            <w:tcW w:w="3131" w:type="dxa"/>
          </w:tcPr>
          <w:p w14:paraId="7B2CCD6B" w14:textId="3826AE86" w:rsidR="1853E80E" w:rsidRPr="00BB4743" w:rsidRDefault="1853E80E" w:rsidP="00BB4743">
            <w:pPr>
              <w:spacing w:line="259" w:lineRule="auto"/>
              <w:rPr>
                <w:rFonts w:asciiTheme="minorHAnsi" w:eastAsia="Calibri" w:hAnsiTheme="minorHAnsi" w:cstheme="minorBidi"/>
                <w:color w:val="auto"/>
                <w:sz w:val="20"/>
                <w:szCs w:val="20"/>
              </w:rPr>
            </w:pPr>
            <w:r w:rsidRPr="00BB4743">
              <w:rPr>
                <w:rFonts w:asciiTheme="minorHAnsi" w:eastAsia="Calibri" w:hAnsiTheme="minorHAnsi" w:cstheme="minorBidi"/>
                <w:color w:val="auto"/>
                <w:sz w:val="20"/>
                <w:szCs w:val="20"/>
              </w:rPr>
              <w:t>Zambia Public Health Institute</w:t>
            </w:r>
          </w:p>
        </w:tc>
        <w:tc>
          <w:tcPr>
            <w:tcW w:w="3130" w:type="dxa"/>
          </w:tcPr>
          <w:p w14:paraId="2DAD77C3" w14:textId="4D085986" w:rsidR="1853E80E" w:rsidRPr="00247D11" w:rsidRDefault="1853E80E" w:rsidP="00BB4743">
            <w:pPr>
              <w:rPr>
                <w:rFonts w:asciiTheme="minorHAnsi" w:hAnsiTheme="minorHAnsi" w:cstheme="minorBidi"/>
                <w:color w:val="auto"/>
                <w:sz w:val="20"/>
                <w:szCs w:val="20"/>
              </w:rPr>
            </w:pPr>
            <w:r w:rsidRPr="00247D11">
              <w:rPr>
                <w:rFonts w:asciiTheme="minorHAnsi" w:hAnsiTheme="minorHAnsi" w:cstheme="minorBidi"/>
                <w:sz w:val="20"/>
                <w:szCs w:val="20"/>
              </w:rPr>
              <w:t>AMR Focal person</w:t>
            </w:r>
          </w:p>
        </w:tc>
      </w:tr>
      <w:tr w:rsidR="1853E80E" w14:paraId="2588B9DC"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6E56FFD6" w14:textId="4E5135B7" w:rsidR="1853E80E" w:rsidRPr="00BB4743" w:rsidRDefault="1853E80E" w:rsidP="1853E80E">
            <w:pPr>
              <w:spacing w:line="259" w:lineRule="auto"/>
              <w:rPr>
                <w:rFonts w:asciiTheme="minorHAnsi" w:hAnsiTheme="minorHAnsi" w:cstheme="minorBidi"/>
                <w:b/>
                <w:bCs/>
                <w:sz w:val="20"/>
                <w:szCs w:val="20"/>
              </w:rPr>
            </w:pPr>
            <w:r w:rsidRPr="00BB4743">
              <w:rPr>
                <w:rFonts w:asciiTheme="minorHAnsi" w:eastAsia="Calibri Light" w:hAnsiTheme="minorHAnsi" w:cstheme="minorBidi"/>
                <w:b/>
                <w:bCs/>
                <w:color w:val="000000"/>
                <w:sz w:val="20"/>
                <w:szCs w:val="20"/>
              </w:rPr>
              <w:t>Dr Fusya Goma</w:t>
            </w:r>
            <w:r w:rsidR="007D0B0B" w:rsidRPr="00BB4743">
              <w:rPr>
                <w:rFonts w:asciiTheme="minorHAnsi" w:eastAsia="Calibri Light" w:hAnsiTheme="minorHAnsi" w:cstheme="minorBidi"/>
                <w:b/>
                <w:bCs/>
                <w:color w:val="000000"/>
                <w:sz w:val="20"/>
                <w:szCs w:val="20"/>
              </w:rPr>
              <w:t>*</w:t>
            </w:r>
          </w:p>
        </w:tc>
        <w:tc>
          <w:tcPr>
            <w:tcW w:w="3131" w:type="dxa"/>
          </w:tcPr>
          <w:p w14:paraId="0B9B88D7" w14:textId="16E6F507" w:rsidR="1853E80E" w:rsidRPr="00BB4743" w:rsidRDefault="008F39A3" w:rsidP="000B3487">
            <w:pPr>
              <w:rPr>
                <w:rFonts w:asciiTheme="minorHAnsi" w:eastAsia="Calibri Light" w:hAnsiTheme="minorHAnsi" w:cstheme="minorBidi"/>
                <w:color w:val="auto"/>
                <w:sz w:val="20"/>
                <w:szCs w:val="20"/>
              </w:rPr>
            </w:pPr>
            <w:r>
              <w:rPr>
                <w:rFonts w:asciiTheme="minorHAnsi" w:eastAsia="Calibri Light" w:hAnsiTheme="minorHAnsi" w:cstheme="minorBidi"/>
                <w:color w:val="auto"/>
                <w:sz w:val="20"/>
                <w:szCs w:val="20"/>
              </w:rPr>
              <w:t>National Livestock Epidemiological and Information Centre</w:t>
            </w:r>
          </w:p>
        </w:tc>
        <w:tc>
          <w:tcPr>
            <w:tcW w:w="3130" w:type="dxa"/>
          </w:tcPr>
          <w:p w14:paraId="72E97389" w14:textId="1AC03263" w:rsidR="1853E80E" w:rsidRPr="00247D11" w:rsidRDefault="1853E80E" w:rsidP="00BB4743">
            <w:pPr>
              <w:rPr>
                <w:rFonts w:asciiTheme="minorHAnsi" w:hAnsiTheme="minorHAnsi" w:cstheme="minorBidi"/>
                <w:color w:val="auto"/>
                <w:sz w:val="20"/>
                <w:szCs w:val="20"/>
              </w:rPr>
            </w:pPr>
            <w:r w:rsidRPr="00247D11">
              <w:rPr>
                <w:rFonts w:asciiTheme="minorHAnsi" w:hAnsiTheme="minorHAnsi" w:cstheme="minorBidi"/>
                <w:sz w:val="20"/>
                <w:szCs w:val="20"/>
              </w:rPr>
              <w:t>Senior Veterinary Officer</w:t>
            </w:r>
          </w:p>
        </w:tc>
      </w:tr>
      <w:tr w:rsidR="1853E80E" w14:paraId="7D03564A"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3273C552" w14:textId="77777777" w:rsidR="1853E80E" w:rsidRDefault="1853E80E" w:rsidP="000B3487">
            <w:pPr>
              <w:rPr>
                <w:rFonts w:asciiTheme="minorHAnsi" w:hAnsiTheme="minorHAnsi" w:cstheme="minorBidi"/>
                <w:color w:val="FFFFFF" w:themeColor="background1"/>
                <w:sz w:val="20"/>
                <w:szCs w:val="20"/>
              </w:rPr>
            </w:pPr>
            <w:r w:rsidRPr="1853E80E">
              <w:rPr>
                <w:rFonts w:asciiTheme="minorHAnsi" w:hAnsiTheme="minorHAnsi" w:cstheme="minorBidi"/>
                <w:color w:val="FFFFFF" w:themeColor="background1"/>
                <w:sz w:val="20"/>
                <w:szCs w:val="20"/>
              </w:rPr>
              <w:t>Development Partners/ Academia</w:t>
            </w:r>
          </w:p>
        </w:tc>
      </w:tr>
      <w:tr w:rsidR="1853E80E" w14:paraId="7ED73F02"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30379524" w14:textId="316631ED" w:rsidR="1853E80E" w:rsidRPr="00BB4743" w:rsidRDefault="1853E80E" w:rsidP="1853E80E">
            <w:pPr>
              <w:spacing w:line="259" w:lineRule="auto"/>
              <w:rPr>
                <w:rFonts w:asciiTheme="minorHAnsi" w:hAnsiTheme="minorHAnsi" w:cstheme="minorBidi"/>
                <w:b/>
                <w:bCs/>
                <w:sz w:val="20"/>
                <w:szCs w:val="20"/>
              </w:rPr>
            </w:pPr>
            <w:r w:rsidRPr="00BB4743">
              <w:rPr>
                <w:rFonts w:asciiTheme="minorHAnsi" w:eastAsia="Calibri Light" w:hAnsiTheme="minorHAnsi" w:cstheme="minorBidi"/>
                <w:b/>
                <w:bCs/>
                <w:color w:val="000000"/>
                <w:sz w:val="20"/>
                <w:szCs w:val="20"/>
              </w:rPr>
              <w:t>Dr Geoffrey Mainda</w:t>
            </w:r>
            <w:r w:rsidR="007D0B0B" w:rsidRPr="00BB4743">
              <w:rPr>
                <w:rFonts w:asciiTheme="minorHAnsi" w:eastAsia="Calibri Light" w:hAnsiTheme="minorHAnsi" w:cstheme="minorBidi"/>
                <w:b/>
                <w:bCs/>
                <w:color w:val="000000"/>
                <w:sz w:val="20"/>
                <w:szCs w:val="20"/>
              </w:rPr>
              <w:t>*</w:t>
            </w:r>
          </w:p>
        </w:tc>
        <w:tc>
          <w:tcPr>
            <w:tcW w:w="3131" w:type="dxa"/>
          </w:tcPr>
          <w:p w14:paraId="0ECA6E2F" w14:textId="0A8D8695" w:rsidR="1853E80E" w:rsidRDefault="1853E80E" w:rsidP="000B3487">
            <w:pPr>
              <w:rPr>
                <w:rFonts w:asciiTheme="minorHAnsi" w:hAnsiTheme="minorHAnsi" w:cstheme="minorBidi"/>
                <w:sz w:val="20"/>
                <w:szCs w:val="20"/>
              </w:rPr>
            </w:pPr>
            <w:r w:rsidRPr="1853E80E">
              <w:rPr>
                <w:rFonts w:asciiTheme="minorHAnsi" w:eastAsia="Calibri Light" w:hAnsiTheme="minorHAnsi" w:cstheme="minorBidi"/>
                <w:color w:val="000000"/>
                <w:sz w:val="20"/>
                <w:szCs w:val="20"/>
              </w:rPr>
              <w:t>FAO/DVS</w:t>
            </w:r>
          </w:p>
        </w:tc>
        <w:tc>
          <w:tcPr>
            <w:tcW w:w="3130" w:type="dxa"/>
          </w:tcPr>
          <w:p w14:paraId="007F00A6" w14:textId="1DF4E82C" w:rsidR="1853E80E" w:rsidRDefault="1853E80E" w:rsidP="00BB4743">
            <w:pPr>
              <w:rPr>
                <w:rFonts w:asciiTheme="minorHAnsi" w:hAnsiTheme="minorHAnsi" w:cstheme="minorBidi"/>
                <w:sz w:val="20"/>
                <w:szCs w:val="20"/>
              </w:rPr>
            </w:pPr>
            <w:r w:rsidRPr="1853E80E">
              <w:rPr>
                <w:rFonts w:asciiTheme="minorHAnsi" w:eastAsia="Arial" w:hAnsiTheme="minorHAnsi" w:cstheme="minorBidi"/>
                <w:color w:val="000000"/>
                <w:sz w:val="20"/>
                <w:szCs w:val="20"/>
              </w:rPr>
              <w:t>Senior Veterinary Officer</w:t>
            </w:r>
          </w:p>
        </w:tc>
      </w:tr>
      <w:tr w:rsidR="1853E80E" w14:paraId="61EDE0BA" w14:textId="77777777" w:rsidTr="1853E80E">
        <w:trPr>
          <w:cnfStyle w:val="000000010000" w:firstRow="0" w:lastRow="0" w:firstColumn="0" w:lastColumn="0" w:oddVBand="0" w:evenVBand="0" w:oddHBand="0" w:evenHBand="1" w:firstRowFirstColumn="0" w:firstRowLastColumn="0" w:lastRowFirstColumn="0" w:lastRowLastColumn="0"/>
          <w:trHeight w:val="340"/>
        </w:trPr>
        <w:tc>
          <w:tcPr>
            <w:tcW w:w="9395" w:type="dxa"/>
            <w:gridSpan w:val="3"/>
            <w:shd w:val="clear" w:color="auto" w:fill="96C286" w:themeFill="text2" w:themeFillTint="99"/>
          </w:tcPr>
          <w:p w14:paraId="4E658880" w14:textId="77777777" w:rsidR="1853E80E" w:rsidRDefault="1853E80E" w:rsidP="000B3487">
            <w:pPr>
              <w:rPr>
                <w:rFonts w:asciiTheme="minorHAnsi" w:hAnsiTheme="minorHAnsi" w:cstheme="minorBidi"/>
                <w:color w:val="FFFFFF" w:themeColor="background1"/>
                <w:sz w:val="20"/>
                <w:szCs w:val="20"/>
              </w:rPr>
            </w:pPr>
            <w:r w:rsidRPr="1853E80E">
              <w:rPr>
                <w:rFonts w:asciiTheme="minorHAnsi" w:hAnsiTheme="minorHAnsi" w:cstheme="minorBidi"/>
                <w:color w:val="FFFFFF" w:themeColor="background1"/>
                <w:sz w:val="20"/>
                <w:szCs w:val="20"/>
              </w:rPr>
              <w:t>NRL &amp; Site Visit</w:t>
            </w:r>
          </w:p>
        </w:tc>
      </w:tr>
      <w:tr w:rsidR="1853E80E" w14:paraId="575F8160" w14:textId="77777777" w:rsidTr="1853E80E">
        <w:trPr>
          <w:cnfStyle w:val="000000100000" w:firstRow="0" w:lastRow="0" w:firstColumn="0" w:lastColumn="0" w:oddVBand="0" w:evenVBand="0" w:oddHBand="1" w:evenHBand="0" w:firstRowFirstColumn="0" w:firstRowLastColumn="0" w:lastRowFirstColumn="0" w:lastRowLastColumn="0"/>
          <w:trHeight w:val="340"/>
        </w:trPr>
        <w:tc>
          <w:tcPr>
            <w:tcW w:w="3134" w:type="dxa"/>
          </w:tcPr>
          <w:p w14:paraId="4D0065DB" w14:textId="7E8BB641" w:rsidR="1853E80E" w:rsidRPr="00BB4743" w:rsidRDefault="1853E80E" w:rsidP="1853E80E">
            <w:pPr>
              <w:spacing w:line="259" w:lineRule="auto"/>
              <w:rPr>
                <w:rFonts w:asciiTheme="minorHAnsi" w:hAnsiTheme="minorHAnsi" w:cstheme="minorBidi"/>
                <w:b/>
                <w:bCs/>
                <w:sz w:val="20"/>
                <w:szCs w:val="20"/>
              </w:rPr>
            </w:pPr>
            <w:r w:rsidRPr="00BB4743">
              <w:rPr>
                <w:rFonts w:asciiTheme="minorHAnsi" w:eastAsia="Calibri Light" w:hAnsiTheme="minorHAnsi" w:cstheme="minorBidi"/>
                <w:b/>
                <w:bCs/>
                <w:color w:val="000000"/>
                <w:sz w:val="20"/>
                <w:szCs w:val="20"/>
              </w:rPr>
              <w:t>Dr Chileshe Lukwesa</w:t>
            </w:r>
            <w:r w:rsidR="007D0B0B">
              <w:rPr>
                <w:rFonts w:asciiTheme="minorHAnsi" w:eastAsia="Calibri Light" w:hAnsiTheme="minorHAnsi" w:cstheme="minorBidi"/>
                <w:b/>
                <w:bCs/>
                <w:color w:val="000000"/>
                <w:sz w:val="20"/>
                <w:szCs w:val="20"/>
              </w:rPr>
              <w:t>*</w:t>
            </w:r>
          </w:p>
        </w:tc>
        <w:tc>
          <w:tcPr>
            <w:tcW w:w="3131" w:type="dxa"/>
          </w:tcPr>
          <w:p w14:paraId="5E4A5E9A" w14:textId="4147EE49" w:rsidR="1853E80E" w:rsidRDefault="1853E80E" w:rsidP="000B3487">
            <w:pPr>
              <w:rPr>
                <w:rFonts w:asciiTheme="minorHAnsi" w:hAnsiTheme="minorHAnsi" w:cstheme="minorBidi"/>
                <w:sz w:val="20"/>
                <w:szCs w:val="20"/>
              </w:rPr>
            </w:pPr>
            <w:r w:rsidRPr="1853E80E">
              <w:rPr>
                <w:rFonts w:asciiTheme="minorHAnsi" w:eastAsia="Calibri Light" w:hAnsiTheme="minorHAnsi" w:cstheme="minorBidi"/>
                <w:color w:val="000000"/>
                <w:sz w:val="20"/>
                <w:szCs w:val="20"/>
              </w:rPr>
              <w:t>Lusaka District Health Office</w:t>
            </w:r>
          </w:p>
        </w:tc>
        <w:tc>
          <w:tcPr>
            <w:tcW w:w="3130" w:type="dxa"/>
          </w:tcPr>
          <w:p w14:paraId="51BBE6B2" w14:textId="751CEFB6" w:rsidR="1853E80E" w:rsidRDefault="1853E80E" w:rsidP="00BB4743">
            <w:pPr>
              <w:rPr>
                <w:rFonts w:asciiTheme="minorHAnsi" w:hAnsiTheme="minorHAnsi" w:cstheme="minorBidi"/>
                <w:sz w:val="20"/>
                <w:szCs w:val="20"/>
              </w:rPr>
            </w:pPr>
            <w:r w:rsidRPr="1853E80E">
              <w:rPr>
                <w:rFonts w:asciiTheme="minorHAnsi" w:eastAsia="Calibri Light" w:hAnsiTheme="minorHAnsi" w:cstheme="minorBidi"/>
                <w:color w:val="000000"/>
                <w:sz w:val="20"/>
                <w:szCs w:val="20"/>
              </w:rPr>
              <w:t>Head of Laboratories</w:t>
            </w:r>
          </w:p>
        </w:tc>
      </w:tr>
    </w:tbl>
    <w:p w14:paraId="0397137D" w14:textId="61973AD9" w:rsidR="00E67017" w:rsidRPr="00C713E4" w:rsidRDefault="00E67017" w:rsidP="00C713E4">
      <w:pPr>
        <w:pStyle w:val="ItadNormalText"/>
      </w:pPr>
    </w:p>
    <w:p w14:paraId="17C29A61" w14:textId="77777777" w:rsidR="0068654A" w:rsidRDefault="0068654A">
      <w:pPr>
        <w:rPr>
          <w:lang w:val="it-IT"/>
        </w:rPr>
        <w:sectPr w:rsidR="0068654A" w:rsidSect="00372520">
          <w:pgSz w:w="11900" w:h="16840"/>
          <w:pgMar w:top="1134" w:right="1191" w:bottom="1134" w:left="1191" w:header="720" w:footer="258" w:gutter="0"/>
          <w:cols w:space="720"/>
          <w:titlePg/>
          <w:docGrid w:linePitch="360"/>
        </w:sectPr>
      </w:pPr>
    </w:p>
    <w:p w14:paraId="10BF3F92" w14:textId="18B815E6" w:rsidR="000B7513" w:rsidRDefault="0068654A" w:rsidP="004F2001">
      <w:pPr>
        <w:pStyle w:val="ItadH1"/>
      </w:pPr>
      <w:bookmarkStart w:id="440" w:name="_Toc118968589"/>
      <w:bookmarkStart w:id="441" w:name="_Toc142383231"/>
      <w:r w:rsidRPr="0068654A">
        <w:t xml:space="preserve">Annex </w:t>
      </w:r>
      <w:r w:rsidR="004F2001">
        <w:t>2</w:t>
      </w:r>
      <w:r w:rsidR="00A70655">
        <w:t>1</w:t>
      </w:r>
      <w:r w:rsidRPr="0068654A">
        <w:t xml:space="preserve">: </w:t>
      </w:r>
      <w:r w:rsidR="004F2001">
        <w:t>L</w:t>
      </w:r>
      <w:r w:rsidRPr="0068654A">
        <w:t>ine of s</w:t>
      </w:r>
      <w:r>
        <w:t>ight between findings, conclusions and recommendations</w:t>
      </w:r>
      <w:bookmarkEnd w:id="440"/>
      <w:bookmarkEnd w:id="441"/>
    </w:p>
    <w:tbl>
      <w:tblPr>
        <w:tblStyle w:val="TableGrid"/>
        <w:tblW w:w="14596" w:type="dxa"/>
        <w:tblLook w:val="04A0" w:firstRow="1" w:lastRow="0" w:firstColumn="1" w:lastColumn="0" w:noHBand="0" w:noVBand="1"/>
      </w:tblPr>
      <w:tblGrid>
        <w:gridCol w:w="7225"/>
        <w:gridCol w:w="4536"/>
        <w:gridCol w:w="2835"/>
      </w:tblGrid>
      <w:tr w:rsidR="008F6F94" w:rsidRPr="008F6F94" w14:paraId="056101C8" w14:textId="77777777" w:rsidTr="45CDE7E8">
        <w:tc>
          <w:tcPr>
            <w:tcW w:w="7225" w:type="dxa"/>
            <w:shd w:val="clear" w:color="auto" w:fill="96C286" w:themeFill="text2" w:themeFillTint="99"/>
          </w:tcPr>
          <w:p w14:paraId="04560AB8" w14:textId="77777777" w:rsidR="0034108A" w:rsidRPr="008F6F94" w:rsidRDefault="0034108A">
            <w:pPr>
              <w:rPr>
                <w:rFonts w:asciiTheme="minorHAnsi" w:hAnsiTheme="minorHAnsi" w:cstheme="minorHAnsi"/>
                <w:sz w:val="20"/>
                <w:szCs w:val="20"/>
              </w:rPr>
            </w:pPr>
            <w:r w:rsidRPr="008F6F94">
              <w:rPr>
                <w:rFonts w:asciiTheme="minorHAnsi" w:hAnsiTheme="minorHAnsi" w:cstheme="minorHAnsi"/>
                <w:b/>
                <w:sz w:val="20"/>
                <w:szCs w:val="20"/>
              </w:rPr>
              <w:t>Finding</w:t>
            </w:r>
          </w:p>
        </w:tc>
        <w:tc>
          <w:tcPr>
            <w:tcW w:w="4536" w:type="dxa"/>
            <w:shd w:val="clear" w:color="auto" w:fill="96C286" w:themeFill="text2" w:themeFillTint="99"/>
          </w:tcPr>
          <w:p w14:paraId="73E5D942" w14:textId="77777777" w:rsidR="0034108A" w:rsidRPr="008F6F94" w:rsidRDefault="0034108A">
            <w:pPr>
              <w:rPr>
                <w:rFonts w:asciiTheme="minorHAnsi" w:hAnsiTheme="minorHAnsi" w:cstheme="minorHAnsi"/>
                <w:sz w:val="20"/>
                <w:szCs w:val="20"/>
              </w:rPr>
            </w:pPr>
            <w:r w:rsidRPr="008F6F94">
              <w:rPr>
                <w:rFonts w:asciiTheme="minorHAnsi" w:hAnsiTheme="minorHAnsi" w:cstheme="minorHAnsi"/>
                <w:b/>
                <w:sz w:val="20"/>
                <w:szCs w:val="20"/>
              </w:rPr>
              <w:t>Conclusion</w:t>
            </w:r>
          </w:p>
        </w:tc>
        <w:tc>
          <w:tcPr>
            <w:tcW w:w="2835" w:type="dxa"/>
            <w:shd w:val="clear" w:color="auto" w:fill="96C286" w:themeFill="text2" w:themeFillTint="99"/>
          </w:tcPr>
          <w:p w14:paraId="53CC9D74" w14:textId="77777777" w:rsidR="0034108A" w:rsidRPr="008F6F94" w:rsidRDefault="0034108A">
            <w:pPr>
              <w:rPr>
                <w:rFonts w:asciiTheme="minorHAnsi" w:hAnsiTheme="minorHAnsi" w:cstheme="minorHAnsi"/>
                <w:sz w:val="20"/>
                <w:szCs w:val="20"/>
              </w:rPr>
            </w:pPr>
            <w:r w:rsidRPr="008F6F94">
              <w:rPr>
                <w:rFonts w:asciiTheme="minorHAnsi" w:hAnsiTheme="minorHAnsi" w:cstheme="minorHAnsi"/>
                <w:b/>
                <w:sz w:val="20"/>
                <w:szCs w:val="20"/>
              </w:rPr>
              <w:t>Recommendation</w:t>
            </w:r>
          </w:p>
        </w:tc>
      </w:tr>
      <w:tr w:rsidR="008F6F94" w:rsidRPr="008F6F94" w14:paraId="5BEE6C40" w14:textId="77777777" w:rsidTr="45CDE7E8">
        <w:tc>
          <w:tcPr>
            <w:tcW w:w="7225" w:type="dxa"/>
            <w:shd w:val="clear" w:color="auto" w:fill="D9D9D9" w:themeFill="background1" w:themeFillShade="D9"/>
          </w:tcPr>
          <w:p w14:paraId="73D8BC50" w14:textId="77777777" w:rsidR="0034108A" w:rsidRPr="008F6F94" w:rsidRDefault="0034108A">
            <w:pPr>
              <w:rPr>
                <w:rFonts w:asciiTheme="minorHAnsi" w:hAnsiTheme="minorHAnsi" w:cstheme="minorHAnsi"/>
                <w:sz w:val="20"/>
                <w:szCs w:val="20"/>
              </w:rPr>
            </w:pPr>
            <w:r w:rsidRPr="008F6F94">
              <w:rPr>
                <w:rFonts w:asciiTheme="minorHAnsi" w:hAnsiTheme="minorHAnsi" w:cstheme="minorHAnsi"/>
                <w:b/>
                <w:bCs/>
                <w:sz w:val="20"/>
                <w:szCs w:val="20"/>
              </w:rPr>
              <w:t>Quantity and quality (EQ1)</w:t>
            </w:r>
          </w:p>
        </w:tc>
        <w:tc>
          <w:tcPr>
            <w:tcW w:w="4536" w:type="dxa"/>
            <w:shd w:val="clear" w:color="auto" w:fill="D9D9D9" w:themeFill="background1" w:themeFillShade="D9"/>
          </w:tcPr>
          <w:p w14:paraId="5CBD485D" w14:textId="77777777" w:rsidR="0034108A" w:rsidRPr="008F6F94" w:rsidRDefault="0034108A">
            <w:pPr>
              <w:rPr>
                <w:rFonts w:asciiTheme="minorHAnsi" w:hAnsiTheme="minorHAnsi" w:cstheme="minorHAnsi"/>
                <w:sz w:val="20"/>
                <w:szCs w:val="20"/>
              </w:rPr>
            </w:pPr>
          </w:p>
        </w:tc>
        <w:tc>
          <w:tcPr>
            <w:tcW w:w="2835" w:type="dxa"/>
            <w:shd w:val="clear" w:color="auto" w:fill="D9D9D9" w:themeFill="background1" w:themeFillShade="D9"/>
          </w:tcPr>
          <w:p w14:paraId="648E0900" w14:textId="77777777" w:rsidR="0034108A" w:rsidRPr="008F6F94" w:rsidRDefault="0034108A">
            <w:pPr>
              <w:rPr>
                <w:rFonts w:asciiTheme="minorHAnsi" w:hAnsiTheme="minorHAnsi" w:cstheme="minorHAnsi"/>
                <w:sz w:val="20"/>
                <w:szCs w:val="20"/>
              </w:rPr>
            </w:pPr>
          </w:p>
        </w:tc>
      </w:tr>
      <w:tr w:rsidR="008F6F94" w:rsidRPr="008F6F94" w14:paraId="3ED07644" w14:textId="77777777" w:rsidTr="45CDE7E8">
        <w:tc>
          <w:tcPr>
            <w:tcW w:w="7225" w:type="dxa"/>
          </w:tcPr>
          <w:p w14:paraId="60DB7162" w14:textId="77777777" w:rsidR="00FE0867" w:rsidRPr="008F6F94" w:rsidRDefault="00FE0867">
            <w:pPr>
              <w:rPr>
                <w:rFonts w:asciiTheme="minorHAnsi" w:hAnsiTheme="minorHAnsi" w:cstheme="minorHAnsi"/>
                <w:sz w:val="20"/>
                <w:szCs w:val="20"/>
              </w:rPr>
            </w:pPr>
            <w:r w:rsidRPr="008F6F94">
              <w:rPr>
                <w:rStyle w:val="cf01"/>
                <w:rFonts w:asciiTheme="minorHAnsi" w:hAnsiTheme="minorHAnsi" w:cstheme="minorHAnsi"/>
                <w:sz w:val="20"/>
                <w:szCs w:val="20"/>
              </w:rPr>
              <w:t>The starting position in most focus countries, whilst variable, gave something for the Fleming Fund to build on. AMR was a known problem, but NAPs were not being resourced or implemented; data on AMR existed in all countries to some extent, and in most countries, some laboratory capacity existed, although less in terms of quality processes. Capacity was stronger in HH than in AH.</w:t>
            </w:r>
          </w:p>
        </w:tc>
        <w:tc>
          <w:tcPr>
            <w:tcW w:w="4536" w:type="dxa"/>
          </w:tcPr>
          <w:p w14:paraId="5D99B2FD" w14:textId="77777777" w:rsidR="00FE0867" w:rsidRPr="008F6F94" w:rsidRDefault="00FE0867">
            <w:pPr>
              <w:rPr>
                <w:rFonts w:asciiTheme="minorHAnsi" w:hAnsiTheme="minorHAnsi" w:cstheme="minorHAnsi"/>
                <w:sz w:val="20"/>
                <w:szCs w:val="20"/>
              </w:rPr>
            </w:pPr>
          </w:p>
        </w:tc>
        <w:tc>
          <w:tcPr>
            <w:tcW w:w="2835" w:type="dxa"/>
            <w:vMerge w:val="restart"/>
          </w:tcPr>
          <w:p w14:paraId="6C746D72" w14:textId="77777777" w:rsidR="00FE0867" w:rsidRPr="008F6F94" w:rsidRDefault="00FE0867">
            <w:pPr>
              <w:rPr>
                <w:rFonts w:asciiTheme="minorHAnsi" w:hAnsiTheme="minorHAnsi" w:cstheme="minorHAnsi"/>
                <w:sz w:val="20"/>
                <w:szCs w:val="20"/>
              </w:rPr>
            </w:pPr>
          </w:p>
        </w:tc>
      </w:tr>
      <w:tr w:rsidR="008F6F94" w:rsidRPr="008F6F94" w14:paraId="31E94048" w14:textId="77777777" w:rsidTr="45CDE7E8">
        <w:tc>
          <w:tcPr>
            <w:tcW w:w="7225" w:type="dxa"/>
          </w:tcPr>
          <w:p w14:paraId="5B6BD136" w14:textId="77777777" w:rsidR="00FE0867" w:rsidRPr="008F6F94" w:rsidRDefault="00FE0867">
            <w:pPr>
              <w:rPr>
                <w:rFonts w:asciiTheme="minorHAnsi" w:hAnsiTheme="minorHAnsi" w:cstheme="minorHAnsi"/>
                <w:sz w:val="20"/>
                <w:szCs w:val="20"/>
              </w:rPr>
            </w:pPr>
            <w:r w:rsidRPr="008F6F94">
              <w:rPr>
                <w:rStyle w:val="cf01"/>
                <w:rFonts w:asciiTheme="minorHAnsi" w:hAnsiTheme="minorHAnsi" w:cstheme="minorHAnsi"/>
                <w:sz w:val="20"/>
                <w:szCs w:val="20"/>
              </w:rPr>
              <w:t xml:space="preserve">There is evidence of increases in the quantity of HH AMR surveillance data in 11 of the 16 focus countries (69%), although the extent of change varies; and of increases in the quantity of other types of HH data beyond AMR. Progress is expected to continue during 2022 in most countries. </w:t>
            </w:r>
          </w:p>
        </w:tc>
        <w:tc>
          <w:tcPr>
            <w:tcW w:w="4536" w:type="dxa"/>
            <w:vMerge w:val="restart"/>
          </w:tcPr>
          <w:p w14:paraId="5245DF48" w14:textId="3AE7200D" w:rsidR="00FE0867" w:rsidRPr="008F6F94" w:rsidRDefault="00FE0867">
            <w:pPr>
              <w:rPr>
                <w:rFonts w:asciiTheme="minorHAnsi" w:eastAsia="Times New Roman" w:hAnsiTheme="minorHAnsi" w:cstheme="minorHAnsi"/>
                <w:b/>
                <w:bCs/>
                <w:sz w:val="20"/>
                <w:szCs w:val="20"/>
                <w:lang w:eastAsia="en-GB"/>
              </w:rPr>
            </w:pPr>
            <w:r w:rsidRPr="007F63EF">
              <w:rPr>
                <w:rFonts w:asciiTheme="minorHAnsi" w:eastAsia="Times New Roman" w:hAnsiTheme="minorHAnsi" w:cstheme="minorHAnsi"/>
                <w:b/>
                <w:bCs/>
                <w:sz w:val="20"/>
                <w:szCs w:val="20"/>
              </w:rPr>
              <w:t>Conclusion 1</w:t>
            </w:r>
            <w:r w:rsidRPr="007F63EF">
              <w:rPr>
                <w:rFonts w:asciiTheme="minorHAnsi" w:eastAsia="Times New Roman" w:hAnsiTheme="minorHAnsi" w:cstheme="minorHAnsi"/>
                <w:sz w:val="20"/>
                <w:szCs w:val="20"/>
              </w:rPr>
              <w:t>:</w:t>
            </w:r>
            <w:r w:rsidRPr="007F63EF" w:rsidDel="007D2E99">
              <w:rPr>
                <w:rFonts w:asciiTheme="minorHAnsi" w:eastAsia="Times New Roman" w:hAnsiTheme="minorHAnsi" w:cstheme="minorHAnsi"/>
                <w:sz w:val="20"/>
                <w:szCs w:val="20"/>
              </w:rPr>
              <w:t xml:space="preserve"> </w:t>
            </w:r>
            <w:r w:rsidRPr="008F6F94">
              <w:rPr>
                <w:rFonts w:asciiTheme="minorHAnsi" w:eastAsia="Times New Roman" w:hAnsiTheme="minorHAnsi" w:cstheme="minorHAnsi"/>
                <w:b/>
                <w:bCs/>
                <w:sz w:val="20"/>
                <w:szCs w:val="20"/>
              </w:rPr>
              <w:t xml:space="preserve">During </w:t>
            </w:r>
            <w:r w:rsidR="009E2AC2">
              <w:rPr>
                <w:rFonts w:asciiTheme="minorHAnsi" w:eastAsia="Times New Roman" w:hAnsiTheme="minorHAnsi" w:cstheme="minorHAnsi"/>
                <w:b/>
                <w:bCs/>
                <w:sz w:val="20"/>
                <w:szCs w:val="20"/>
              </w:rPr>
              <w:t>phase 1</w:t>
            </w:r>
            <w:r w:rsidRPr="008F6F94">
              <w:rPr>
                <w:rFonts w:asciiTheme="minorHAnsi" w:eastAsia="Times New Roman" w:hAnsiTheme="minorHAnsi" w:cstheme="minorHAnsi"/>
                <w:b/>
                <w:bCs/>
                <w:sz w:val="20"/>
                <w:szCs w:val="20"/>
              </w:rPr>
              <w:t xml:space="preserve">, the Fleming Fund has made important progress </w:t>
            </w:r>
            <w:r w:rsidRPr="008F6F94">
              <w:rPr>
                <w:rFonts w:asciiTheme="minorHAnsi" w:eastAsia="Times New Roman" w:hAnsiTheme="minorHAnsi" w:cstheme="minorHAnsi"/>
                <w:b/>
                <w:bCs/>
                <w:noProof/>
                <w:sz w:val="20"/>
                <w:szCs w:val="20"/>
                <w:lang w:eastAsia="en-GB"/>
              </w:rPr>
              <w:t xml:space="preserve">in supporting countries develop foundations for national AMR and AMU surveillance </w:t>
            </w:r>
            <w:r w:rsidRPr="008F6F94" w:rsidDel="009A7ED2">
              <w:rPr>
                <w:rFonts w:asciiTheme="minorHAnsi" w:eastAsia="Times New Roman" w:hAnsiTheme="minorHAnsi" w:cstheme="minorHAnsi"/>
                <w:b/>
                <w:bCs/>
                <w:sz w:val="20"/>
                <w:szCs w:val="20"/>
                <w:lang w:eastAsia="en-GB"/>
              </w:rPr>
              <w:t>programmes</w:t>
            </w:r>
            <w:r w:rsidR="00A0055C" w:rsidRPr="008F6F94">
              <w:rPr>
                <w:rFonts w:asciiTheme="minorHAnsi" w:eastAsia="Times New Roman" w:hAnsiTheme="minorHAnsi" w:cstheme="minorHAnsi"/>
                <w:b/>
                <w:bCs/>
                <w:sz w:val="20"/>
                <w:szCs w:val="20"/>
                <w:lang w:eastAsia="en-GB"/>
              </w:rPr>
              <w:t>.</w:t>
            </w:r>
          </w:p>
          <w:p w14:paraId="5D939EC0" w14:textId="77777777" w:rsidR="00FE0867" w:rsidRPr="008F6F94" w:rsidRDefault="00FE0867">
            <w:pPr>
              <w:rPr>
                <w:rFonts w:asciiTheme="minorHAnsi" w:eastAsia="Times New Roman" w:hAnsiTheme="minorHAnsi" w:cstheme="minorHAnsi"/>
                <w:b/>
                <w:bCs/>
                <w:sz w:val="20"/>
                <w:szCs w:val="20"/>
                <w:lang w:eastAsia="en-GB"/>
              </w:rPr>
            </w:pPr>
          </w:p>
          <w:p w14:paraId="033E248A" w14:textId="66F8A863" w:rsidR="00FE0867" w:rsidRPr="008F6F94" w:rsidRDefault="00FE0867">
            <w:pPr>
              <w:rPr>
                <w:rFonts w:asciiTheme="minorHAnsi" w:hAnsiTheme="minorHAnsi" w:cstheme="minorHAnsi"/>
                <w:sz w:val="20"/>
                <w:szCs w:val="20"/>
              </w:rPr>
            </w:pPr>
          </w:p>
        </w:tc>
        <w:tc>
          <w:tcPr>
            <w:tcW w:w="2835" w:type="dxa"/>
            <w:vMerge/>
          </w:tcPr>
          <w:p w14:paraId="020C6E1F" w14:textId="4E03039E" w:rsidR="00FE0867" w:rsidRPr="007F63EF" w:rsidRDefault="00FE0867" w:rsidP="0063324A">
            <w:pPr>
              <w:spacing w:after="120"/>
              <w:textAlignment w:val="baseline"/>
              <w:rPr>
                <w:rFonts w:asciiTheme="minorHAnsi" w:eastAsia="Times New Roman" w:hAnsiTheme="minorHAnsi" w:cstheme="minorHAnsi"/>
                <w:sz w:val="20"/>
                <w:szCs w:val="20"/>
                <w:lang w:eastAsia="en-GB"/>
              </w:rPr>
            </w:pPr>
          </w:p>
        </w:tc>
      </w:tr>
      <w:tr w:rsidR="008F6F94" w:rsidRPr="008F6F94" w14:paraId="24FB792B" w14:textId="77777777" w:rsidTr="45CDE7E8">
        <w:tc>
          <w:tcPr>
            <w:tcW w:w="7225" w:type="dxa"/>
          </w:tcPr>
          <w:p w14:paraId="5C53CA4A" w14:textId="77777777" w:rsidR="00FE0867" w:rsidRPr="008F6F94" w:rsidRDefault="00FE0867">
            <w:pPr>
              <w:rPr>
                <w:rFonts w:asciiTheme="minorHAnsi" w:hAnsiTheme="minorHAnsi" w:cstheme="minorHAnsi"/>
                <w:sz w:val="20"/>
                <w:szCs w:val="20"/>
              </w:rPr>
            </w:pPr>
            <w:r w:rsidRPr="008F6F94">
              <w:rPr>
                <w:rStyle w:val="cf01"/>
                <w:rFonts w:asciiTheme="minorHAnsi" w:hAnsiTheme="minorHAnsi" w:cstheme="minorHAnsi"/>
                <w:sz w:val="20"/>
                <w:szCs w:val="20"/>
              </w:rPr>
              <w:t xml:space="preserve">There is evidence of increases in the quantity of AH AMR surveillance data in 12 of the 16 focus countries (75%), with the extent of change also varied; fewer countries than in HH expect to see more progress during 2022. </w:t>
            </w:r>
          </w:p>
        </w:tc>
        <w:tc>
          <w:tcPr>
            <w:tcW w:w="4536" w:type="dxa"/>
            <w:vMerge/>
          </w:tcPr>
          <w:p w14:paraId="15845DAA" w14:textId="77777777" w:rsidR="00FE0867" w:rsidRPr="008F6F94" w:rsidRDefault="00FE0867">
            <w:pPr>
              <w:rPr>
                <w:rFonts w:asciiTheme="minorHAnsi" w:hAnsiTheme="minorHAnsi" w:cstheme="minorHAnsi"/>
                <w:sz w:val="20"/>
                <w:szCs w:val="20"/>
              </w:rPr>
            </w:pPr>
          </w:p>
        </w:tc>
        <w:tc>
          <w:tcPr>
            <w:tcW w:w="2835" w:type="dxa"/>
            <w:vMerge/>
          </w:tcPr>
          <w:p w14:paraId="120A0200" w14:textId="77777777" w:rsidR="00FE0867" w:rsidRPr="008F6F94" w:rsidRDefault="00FE0867">
            <w:pPr>
              <w:rPr>
                <w:rFonts w:asciiTheme="minorHAnsi" w:hAnsiTheme="minorHAnsi" w:cstheme="minorHAnsi"/>
                <w:sz w:val="20"/>
                <w:szCs w:val="20"/>
              </w:rPr>
            </w:pPr>
          </w:p>
        </w:tc>
      </w:tr>
      <w:tr w:rsidR="008F6F94" w:rsidRPr="008F6F94" w14:paraId="60E802DC" w14:textId="77777777" w:rsidTr="45CDE7E8">
        <w:tc>
          <w:tcPr>
            <w:tcW w:w="7225" w:type="dxa"/>
          </w:tcPr>
          <w:p w14:paraId="5E641ED1" w14:textId="3F2B2DD2" w:rsidR="00FE0867" w:rsidRPr="008F6F94" w:rsidRDefault="00FE0867">
            <w:pPr>
              <w:rPr>
                <w:rFonts w:asciiTheme="minorHAnsi" w:hAnsiTheme="minorHAnsi" w:cstheme="minorHAnsi"/>
                <w:sz w:val="20"/>
                <w:szCs w:val="20"/>
              </w:rPr>
            </w:pPr>
            <w:r w:rsidRPr="008F6F94">
              <w:rPr>
                <w:rStyle w:val="cf01"/>
                <w:rFonts w:asciiTheme="minorHAnsi" w:hAnsiTheme="minorHAnsi" w:cstheme="minorHAnsi"/>
                <w:sz w:val="20"/>
                <w:szCs w:val="20"/>
              </w:rPr>
              <w:t xml:space="preserve">Improvements in the quality of AMR testing were seen in HH and AH in a majority of countries, and progress is expected to </w:t>
            </w:r>
            <w:r w:rsidR="00C26298" w:rsidRPr="008F6F94">
              <w:rPr>
                <w:rStyle w:val="cf01"/>
                <w:rFonts w:asciiTheme="minorHAnsi" w:hAnsiTheme="minorHAnsi" w:cstheme="minorHAnsi"/>
                <w:sz w:val="20"/>
                <w:szCs w:val="20"/>
              </w:rPr>
              <w:t>continue.</w:t>
            </w:r>
            <w:r w:rsidRPr="008F6F94">
              <w:rPr>
                <w:rStyle w:val="cf01"/>
                <w:rFonts w:asciiTheme="minorHAnsi" w:hAnsiTheme="minorHAnsi" w:cstheme="minorHAnsi"/>
                <w:sz w:val="20"/>
                <w:szCs w:val="20"/>
              </w:rPr>
              <w:t xml:space="preserve"> </w:t>
            </w:r>
          </w:p>
        </w:tc>
        <w:tc>
          <w:tcPr>
            <w:tcW w:w="4536" w:type="dxa"/>
            <w:vMerge/>
          </w:tcPr>
          <w:p w14:paraId="41FF1A9B" w14:textId="77777777" w:rsidR="00FE0867" w:rsidRPr="008F6F94" w:rsidRDefault="00FE0867">
            <w:pPr>
              <w:rPr>
                <w:rFonts w:asciiTheme="minorHAnsi" w:hAnsiTheme="minorHAnsi" w:cstheme="minorHAnsi"/>
                <w:sz w:val="20"/>
                <w:szCs w:val="20"/>
              </w:rPr>
            </w:pPr>
          </w:p>
        </w:tc>
        <w:tc>
          <w:tcPr>
            <w:tcW w:w="2835" w:type="dxa"/>
            <w:vMerge/>
          </w:tcPr>
          <w:p w14:paraId="72AC8E9D" w14:textId="77777777" w:rsidR="00FE0867" w:rsidRPr="008F6F94" w:rsidRDefault="00FE0867">
            <w:pPr>
              <w:rPr>
                <w:rFonts w:asciiTheme="minorHAnsi" w:hAnsiTheme="minorHAnsi" w:cstheme="minorHAnsi"/>
                <w:sz w:val="20"/>
                <w:szCs w:val="20"/>
              </w:rPr>
            </w:pPr>
          </w:p>
        </w:tc>
      </w:tr>
      <w:tr w:rsidR="008F6F94" w:rsidRPr="008F6F94" w14:paraId="05DBE6D2" w14:textId="77777777" w:rsidTr="45CDE7E8">
        <w:tc>
          <w:tcPr>
            <w:tcW w:w="7225" w:type="dxa"/>
          </w:tcPr>
          <w:p w14:paraId="3FC2AC6E" w14:textId="77777777" w:rsidR="00FE0867" w:rsidRPr="008F6F94" w:rsidRDefault="00FE0867">
            <w:pPr>
              <w:rPr>
                <w:rFonts w:asciiTheme="minorHAnsi" w:hAnsiTheme="minorHAnsi" w:cstheme="minorHAnsi"/>
                <w:sz w:val="20"/>
                <w:szCs w:val="20"/>
              </w:rPr>
            </w:pPr>
            <w:r w:rsidRPr="008F6F94">
              <w:rPr>
                <w:rStyle w:val="cf01"/>
                <w:rFonts w:asciiTheme="minorHAnsi" w:hAnsiTheme="minorHAnsi" w:cstheme="minorHAnsi"/>
                <w:sz w:val="20"/>
                <w:szCs w:val="20"/>
              </w:rPr>
              <w:t>With performance to date, it is clear that the MA achieved its stated aims for data generation as set out in the implementation plan, albeit targets reflecting low success criteria and not sector specific.</w:t>
            </w:r>
          </w:p>
        </w:tc>
        <w:tc>
          <w:tcPr>
            <w:tcW w:w="4536" w:type="dxa"/>
            <w:vMerge/>
          </w:tcPr>
          <w:p w14:paraId="2A5DD121" w14:textId="77777777" w:rsidR="00FE0867" w:rsidRPr="008F6F94" w:rsidRDefault="00FE0867">
            <w:pPr>
              <w:rPr>
                <w:rFonts w:asciiTheme="minorHAnsi" w:hAnsiTheme="minorHAnsi" w:cstheme="minorHAnsi"/>
                <w:sz w:val="20"/>
                <w:szCs w:val="20"/>
              </w:rPr>
            </w:pPr>
          </w:p>
        </w:tc>
        <w:tc>
          <w:tcPr>
            <w:tcW w:w="2835" w:type="dxa"/>
            <w:vMerge/>
          </w:tcPr>
          <w:p w14:paraId="6C2C984E" w14:textId="77777777" w:rsidR="00FE0867" w:rsidRPr="008F6F94" w:rsidRDefault="00FE0867">
            <w:pPr>
              <w:rPr>
                <w:rFonts w:asciiTheme="minorHAnsi" w:hAnsiTheme="minorHAnsi" w:cstheme="minorHAnsi"/>
                <w:sz w:val="20"/>
                <w:szCs w:val="20"/>
              </w:rPr>
            </w:pPr>
          </w:p>
        </w:tc>
      </w:tr>
      <w:tr w:rsidR="008F6F94" w:rsidRPr="008F6F94" w14:paraId="113953E1" w14:textId="77777777" w:rsidTr="45CDE7E8">
        <w:tc>
          <w:tcPr>
            <w:tcW w:w="7225" w:type="dxa"/>
          </w:tcPr>
          <w:p w14:paraId="6032AAC7" w14:textId="4FC55602" w:rsidR="00FE0867" w:rsidRPr="008F6F94" w:rsidRDefault="00FE0867">
            <w:pPr>
              <w:rPr>
                <w:rStyle w:val="cf01"/>
                <w:rFonts w:asciiTheme="minorHAnsi" w:hAnsiTheme="minorHAnsi" w:cstheme="minorHAnsi"/>
                <w:sz w:val="20"/>
                <w:szCs w:val="20"/>
              </w:rPr>
            </w:pPr>
            <w:r w:rsidRPr="008F6F94">
              <w:rPr>
                <w:rStyle w:val="cf01"/>
                <w:rFonts w:asciiTheme="minorHAnsi" w:hAnsiTheme="minorHAnsi" w:cstheme="minorHAnsi"/>
                <w:sz w:val="20"/>
                <w:szCs w:val="20"/>
              </w:rPr>
              <w:t xml:space="preserve">However, quality improvements have varied on a site-by-site basis and it is not clear whether the MA’s aims have been consistently achieved (given the limited delineation of quality goals at the start of </w:t>
            </w:r>
            <w:r w:rsidR="009E2AC2">
              <w:rPr>
                <w:rStyle w:val="cf01"/>
                <w:rFonts w:asciiTheme="minorHAnsi" w:hAnsiTheme="minorHAnsi" w:cstheme="minorHAnsi"/>
                <w:sz w:val="20"/>
                <w:szCs w:val="20"/>
              </w:rPr>
              <w:t>phase 1</w:t>
            </w:r>
            <w:r w:rsidRPr="008F6F94">
              <w:rPr>
                <w:rStyle w:val="cf01"/>
                <w:rFonts w:asciiTheme="minorHAnsi" w:hAnsiTheme="minorHAnsi" w:cstheme="minorHAnsi"/>
                <w:sz w:val="20"/>
                <w:szCs w:val="20"/>
              </w:rPr>
              <w:t>).</w:t>
            </w:r>
          </w:p>
        </w:tc>
        <w:tc>
          <w:tcPr>
            <w:tcW w:w="4536" w:type="dxa"/>
            <w:vMerge/>
          </w:tcPr>
          <w:p w14:paraId="12CE7FBE" w14:textId="77777777" w:rsidR="00FE0867" w:rsidRPr="008F6F94" w:rsidRDefault="00FE0867">
            <w:pPr>
              <w:rPr>
                <w:rFonts w:asciiTheme="minorHAnsi" w:hAnsiTheme="minorHAnsi" w:cstheme="minorHAnsi"/>
                <w:sz w:val="20"/>
                <w:szCs w:val="20"/>
              </w:rPr>
            </w:pPr>
          </w:p>
        </w:tc>
        <w:tc>
          <w:tcPr>
            <w:tcW w:w="2835" w:type="dxa"/>
            <w:vMerge/>
          </w:tcPr>
          <w:p w14:paraId="170761A2" w14:textId="77777777" w:rsidR="00FE0867" w:rsidRPr="008F6F94" w:rsidRDefault="00FE0867">
            <w:pPr>
              <w:rPr>
                <w:rFonts w:asciiTheme="minorHAnsi" w:hAnsiTheme="minorHAnsi" w:cstheme="minorHAnsi"/>
                <w:sz w:val="20"/>
                <w:szCs w:val="20"/>
              </w:rPr>
            </w:pPr>
          </w:p>
        </w:tc>
      </w:tr>
      <w:tr w:rsidR="008F6F94" w:rsidRPr="008F6F94" w14:paraId="072DCDDE" w14:textId="77777777" w:rsidTr="45CDE7E8">
        <w:tc>
          <w:tcPr>
            <w:tcW w:w="7225" w:type="dxa"/>
          </w:tcPr>
          <w:p w14:paraId="5F5391EA" w14:textId="5FA298D8" w:rsidR="00FE0867" w:rsidRPr="008F6F94" w:rsidRDefault="00FE0867">
            <w:pPr>
              <w:rPr>
                <w:rStyle w:val="cf01"/>
                <w:rFonts w:asciiTheme="minorHAnsi" w:hAnsiTheme="minorHAnsi" w:cstheme="minorHAnsi"/>
                <w:sz w:val="20"/>
                <w:szCs w:val="20"/>
              </w:rPr>
            </w:pPr>
            <w:r w:rsidRPr="008F6F94">
              <w:rPr>
                <w:rStyle w:val="cf01"/>
                <w:rFonts w:asciiTheme="minorHAnsi" w:hAnsiTheme="minorHAnsi" w:cstheme="minorHAnsi"/>
                <w:sz w:val="20"/>
                <w:szCs w:val="20"/>
              </w:rPr>
              <w:t xml:space="preserve">Major drivers of increases in quantity and quality were identified as renovation of sites and provision of equipment, training of laboratory workforce, supporting laboratory quality management systems, and AMR governance. In some countries, increases in data </w:t>
            </w:r>
            <w:r w:rsidR="008F6F94">
              <w:rPr>
                <w:rStyle w:val="cf01"/>
                <w:rFonts w:asciiTheme="minorHAnsi" w:hAnsiTheme="minorHAnsi" w:cstheme="minorHAnsi"/>
                <w:sz w:val="20"/>
                <w:szCs w:val="20"/>
              </w:rPr>
              <w:t>we</w:t>
            </w:r>
            <w:r w:rsidR="008F6F94">
              <w:rPr>
                <w:rStyle w:val="cf01"/>
                <w:sz w:val="20"/>
                <w:szCs w:val="20"/>
              </w:rPr>
              <w:t>re</w:t>
            </w:r>
            <w:r w:rsidR="008F6F94" w:rsidRPr="008F6F94">
              <w:rPr>
                <w:rStyle w:val="cf01"/>
                <w:rFonts w:asciiTheme="minorHAnsi" w:hAnsiTheme="minorHAnsi" w:cstheme="minorHAnsi"/>
                <w:sz w:val="20"/>
                <w:szCs w:val="20"/>
              </w:rPr>
              <w:t xml:space="preserve"> </w:t>
            </w:r>
            <w:r w:rsidRPr="008F6F94">
              <w:rPr>
                <w:rStyle w:val="cf01"/>
                <w:rFonts w:asciiTheme="minorHAnsi" w:hAnsiTheme="minorHAnsi" w:cstheme="minorHAnsi"/>
                <w:sz w:val="20"/>
                <w:szCs w:val="20"/>
              </w:rPr>
              <w:t>driven to some extent, by the addition of sites or pathogens to the surveillance system – drivers that are broadly outside Fleming Fund control.</w:t>
            </w:r>
          </w:p>
        </w:tc>
        <w:tc>
          <w:tcPr>
            <w:tcW w:w="4536" w:type="dxa"/>
            <w:vMerge/>
          </w:tcPr>
          <w:p w14:paraId="24119A2C" w14:textId="77777777" w:rsidR="00FE0867" w:rsidRPr="008F6F94" w:rsidRDefault="00FE0867">
            <w:pPr>
              <w:rPr>
                <w:rFonts w:asciiTheme="minorHAnsi" w:hAnsiTheme="minorHAnsi" w:cstheme="minorHAnsi"/>
                <w:sz w:val="20"/>
                <w:szCs w:val="20"/>
              </w:rPr>
            </w:pPr>
          </w:p>
        </w:tc>
        <w:tc>
          <w:tcPr>
            <w:tcW w:w="2835" w:type="dxa"/>
            <w:vMerge/>
          </w:tcPr>
          <w:p w14:paraId="52544D7E" w14:textId="77777777" w:rsidR="00FE0867" w:rsidRPr="008F6F94" w:rsidRDefault="00FE0867">
            <w:pPr>
              <w:rPr>
                <w:rFonts w:asciiTheme="minorHAnsi" w:hAnsiTheme="minorHAnsi" w:cstheme="minorHAnsi"/>
                <w:sz w:val="20"/>
                <w:szCs w:val="20"/>
              </w:rPr>
            </w:pPr>
          </w:p>
        </w:tc>
      </w:tr>
      <w:tr w:rsidR="008F6F94" w:rsidRPr="008F6F94" w14:paraId="342B883B" w14:textId="77777777" w:rsidTr="45CDE7E8">
        <w:tc>
          <w:tcPr>
            <w:tcW w:w="7225" w:type="dxa"/>
          </w:tcPr>
          <w:p w14:paraId="033F7121" w14:textId="6FBA40F5" w:rsidR="00FE0867" w:rsidRPr="008F6F94" w:rsidRDefault="00FE0867">
            <w:pPr>
              <w:rPr>
                <w:rFonts w:asciiTheme="minorHAnsi" w:hAnsiTheme="minorHAnsi" w:cstheme="minorHAnsi"/>
                <w:sz w:val="20"/>
                <w:szCs w:val="20"/>
              </w:rPr>
            </w:pPr>
            <w:bookmarkStart w:id="442" w:name="_Hlk121479087"/>
            <w:r w:rsidRPr="008F6F94">
              <w:rPr>
                <w:rFonts w:asciiTheme="minorHAnsi" w:hAnsiTheme="minorHAnsi" w:cstheme="minorHAnsi"/>
                <w:bCs/>
                <w:sz w:val="20"/>
                <w:szCs w:val="20"/>
              </w:rPr>
              <w:t>Where no progress or reversals in quantity and quality were observed, we identified constraints to progress.</w:t>
            </w:r>
            <w:r w:rsidRPr="008F6F94" w:rsidDel="007D2E99">
              <w:rPr>
                <w:rFonts w:asciiTheme="minorHAnsi" w:hAnsiTheme="minorHAnsi" w:cstheme="minorHAnsi"/>
                <w:bCs/>
                <w:sz w:val="20"/>
                <w:szCs w:val="20"/>
              </w:rPr>
              <w:t xml:space="preserve"> </w:t>
            </w:r>
            <w:r w:rsidRPr="008F6F94">
              <w:rPr>
                <w:rFonts w:asciiTheme="minorHAnsi" w:hAnsiTheme="minorHAnsi" w:cstheme="minorHAnsi"/>
                <w:bCs/>
                <w:sz w:val="20"/>
                <w:szCs w:val="20"/>
              </w:rPr>
              <w:t>In many cases, these were expressed in terms of ‘absence of’ or ‘delays with’ factors that were drivers of progress when present.</w:t>
            </w:r>
            <w:r w:rsidRPr="008F6F94" w:rsidDel="007D2E99">
              <w:rPr>
                <w:rFonts w:asciiTheme="minorHAnsi" w:hAnsiTheme="minorHAnsi" w:cstheme="minorHAnsi"/>
                <w:bCs/>
                <w:sz w:val="20"/>
                <w:szCs w:val="20"/>
              </w:rPr>
              <w:t xml:space="preserve"> </w:t>
            </w:r>
            <w:bookmarkEnd w:id="442"/>
          </w:p>
        </w:tc>
        <w:tc>
          <w:tcPr>
            <w:tcW w:w="4536" w:type="dxa"/>
            <w:vMerge/>
          </w:tcPr>
          <w:p w14:paraId="33E3AA4C" w14:textId="77777777" w:rsidR="00FE0867" w:rsidRPr="008F6F94" w:rsidRDefault="00FE0867">
            <w:pPr>
              <w:rPr>
                <w:rFonts w:asciiTheme="minorHAnsi" w:hAnsiTheme="minorHAnsi" w:cstheme="minorHAnsi"/>
                <w:sz w:val="20"/>
                <w:szCs w:val="20"/>
              </w:rPr>
            </w:pPr>
          </w:p>
        </w:tc>
        <w:tc>
          <w:tcPr>
            <w:tcW w:w="2835" w:type="dxa"/>
            <w:vMerge/>
          </w:tcPr>
          <w:p w14:paraId="4008FF00" w14:textId="77777777" w:rsidR="00FE0867" w:rsidRPr="008F6F94" w:rsidRDefault="00FE0867">
            <w:pPr>
              <w:rPr>
                <w:rFonts w:asciiTheme="minorHAnsi" w:hAnsiTheme="minorHAnsi" w:cstheme="minorHAnsi"/>
                <w:sz w:val="20"/>
                <w:szCs w:val="20"/>
              </w:rPr>
            </w:pPr>
          </w:p>
        </w:tc>
      </w:tr>
      <w:tr w:rsidR="008F6F94" w:rsidRPr="008F6F94" w14:paraId="54EF9B50" w14:textId="77777777" w:rsidTr="45CDE7E8">
        <w:tc>
          <w:tcPr>
            <w:tcW w:w="7225" w:type="dxa"/>
          </w:tcPr>
          <w:p w14:paraId="05160220" w14:textId="063E5516" w:rsidR="00FE0867" w:rsidRPr="008F6F94" w:rsidRDefault="00FE0867">
            <w:pPr>
              <w:rPr>
                <w:rFonts w:asciiTheme="minorHAnsi" w:hAnsiTheme="minorHAnsi" w:cstheme="minorHAnsi"/>
                <w:sz w:val="20"/>
                <w:szCs w:val="20"/>
              </w:rPr>
            </w:pPr>
            <w:bookmarkStart w:id="443" w:name="_Hlk121479238"/>
            <w:r w:rsidRPr="008F6F94">
              <w:rPr>
                <w:rFonts w:asciiTheme="minorHAnsi" w:hAnsiTheme="minorHAnsi" w:cstheme="minorHAnsi"/>
                <w:bCs/>
                <w:sz w:val="20"/>
                <w:szCs w:val="20"/>
              </w:rPr>
              <w:t>Overall, the Fleming Fund has made a vital or important</w:t>
            </w:r>
            <w:r w:rsidRPr="008F6F94">
              <w:rPr>
                <w:rStyle w:val="FootnoteReference"/>
                <w:rFonts w:cstheme="minorHAnsi"/>
                <w:bCs/>
              </w:rPr>
              <w:footnoteReference w:id="65"/>
            </w:r>
            <w:r w:rsidRPr="008F6F94">
              <w:rPr>
                <w:rFonts w:asciiTheme="minorHAnsi" w:hAnsiTheme="minorHAnsi" w:cstheme="minorHAnsi"/>
                <w:bCs/>
                <w:sz w:val="20"/>
                <w:szCs w:val="20"/>
              </w:rPr>
              <w:t xml:space="preserve"> contribution to most key drivers of increased quantity and quality in both HH and AH AMR data, albeit to a variable extent.</w:t>
            </w:r>
            <w:bookmarkEnd w:id="443"/>
          </w:p>
        </w:tc>
        <w:tc>
          <w:tcPr>
            <w:tcW w:w="4536" w:type="dxa"/>
            <w:vMerge/>
          </w:tcPr>
          <w:p w14:paraId="385C2C10" w14:textId="77777777" w:rsidR="00FE0867" w:rsidRPr="008F6F94" w:rsidRDefault="00FE0867">
            <w:pPr>
              <w:rPr>
                <w:rFonts w:asciiTheme="minorHAnsi" w:hAnsiTheme="minorHAnsi" w:cstheme="minorHAnsi"/>
                <w:sz w:val="20"/>
                <w:szCs w:val="20"/>
              </w:rPr>
            </w:pPr>
          </w:p>
        </w:tc>
        <w:tc>
          <w:tcPr>
            <w:tcW w:w="2835" w:type="dxa"/>
            <w:vMerge/>
          </w:tcPr>
          <w:p w14:paraId="4313429F" w14:textId="77777777" w:rsidR="00FE0867" w:rsidRPr="008F6F94" w:rsidRDefault="00FE0867">
            <w:pPr>
              <w:rPr>
                <w:rFonts w:asciiTheme="minorHAnsi" w:hAnsiTheme="minorHAnsi" w:cstheme="minorHAnsi"/>
                <w:sz w:val="20"/>
                <w:szCs w:val="20"/>
              </w:rPr>
            </w:pPr>
          </w:p>
        </w:tc>
      </w:tr>
      <w:tr w:rsidR="008F6F94" w:rsidRPr="008F6F94" w14:paraId="55A120E8" w14:textId="77777777" w:rsidTr="45CDE7E8">
        <w:tc>
          <w:tcPr>
            <w:tcW w:w="7225" w:type="dxa"/>
            <w:shd w:val="clear" w:color="auto" w:fill="D9D9D9" w:themeFill="background1" w:themeFillShade="D9"/>
          </w:tcPr>
          <w:p w14:paraId="072625D5" w14:textId="4F37A606" w:rsidR="0034108A" w:rsidRPr="008F6F94" w:rsidRDefault="0034108A">
            <w:pPr>
              <w:rPr>
                <w:rFonts w:asciiTheme="minorHAnsi" w:hAnsiTheme="minorHAnsi" w:cstheme="minorHAnsi"/>
                <w:b/>
                <w:sz w:val="20"/>
                <w:szCs w:val="20"/>
              </w:rPr>
            </w:pPr>
            <w:r w:rsidRPr="008F6F94" w:rsidDel="007D2E99">
              <w:rPr>
                <w:rFonts w:asciiTheme="minorHAnsi" w:hAnsiTheme="minorHAnsi" w:cstheme="minorHAnsi"/>
                <w:b/>
                <w:sz w:val="20"/>
                <w:szCs w:val="20"/>
              </w:rPr>
              <w:t xml:space="preserve"> </w:t>
            </w:r>
            <w:r w:rsidRPr="008F6F94">
              <w:rPr>
                <w:rFonts w:asciiTheme="minorHAnsi" w:hAnsiTheme="minorHAnsi" w:cstheme="minorHAnsi"/>
                <w:b/>
                <w:sz w:val="20"/>
                <w:szCs w:val="20"/>
              </w:rPr>
              <w:t>Use of AMR surveillance data (EQ4), including international data sharing (EQ5)</w:t>
            </w:r>
          </w:p>
        </w:tc>
        <w:tc>
          <w:tcPr>
            <w:tcW w:w="4536" w:type="dxa"/>
            <w:shd w:val="clear" w:color="auto" w:fill="D9D9D9" w:themeFill="background1" w:themeFillShade="D9"/>
          </w:tcPr>
          <w:p w14:paraId="5D8600B8" w14:textId="77777777" w:rsidR="0034108A" w:rsidRPr="008F6F94" w:rsidRDefault="0034108A">
            <w:pPr>
              <w:rPr>
                <w:rFonts w:asciiTheme="minorHAnsi" w:hAnsiTheme="minorHAnsi" w:cstheme="minorHAnsi"/>
                <w:sz w:val="20"/>
                <w:szCs w:val="20"/>
              </w:rPr>
            </w:pPr>
          </w:p>
        </w:tc>
        <w:tc>
          <w:tcPr>
            <w:tcW w:w="2835" w:type="dxa"/>
            <w:shd w:val="clear" w:color="auto" w:fill="D9D9D9" w:themeFill="background1" w:themeFillShade="D9"/>
          </w:tcPr>
          <w:p w14:paraId="78D6705A" w14:textId="77777777" w:rsidR="0034108A" w:rsidRPr="008F6F94" w:rsidRDefault="0034108A">
            <w:pPr>
              <w:rPr>
                <w:rFonts w:asciiTheme="minorHAnsi" w:hAnsiTheme="minorHAnsi" w:cstheme="minorHAnsi"/>
                <w:sz w:val="20"/>
                <w:szCs w:val="20"/>
              </w:rPr>
            </w:pPr>
          </w:p>
        </w:tc>
      </w:tr>
      <w:tr w:rsidR="008F6F94" w:rsidRPr="008F6F94" w14:paraId="2FDBCAA9" w14:textId="77777777" w:rsidTr="45CDE7E8">
        <w:tc>
          <w:tcPr>
            <w:tcW w:w="7225" w:type="dxa"/>
          </w:tcPr>
          <w:p w14:paraId="217859FF" w14:textId="7BCE8D60" w:rsidR="00FE0867" w:rsidRPr="008F6F94" w:rsidRDefault="00FE0867">
            <w:pPr>
              <w:rPr>
                <w:rFonts w:asciiTheme="minorHAnsi" w:hAnsiTheme="minorHAnsi" w:cstheme="minorHAnsi"/>
                <w:sz w:val="20"/>
                <w:szCs w:val="20"/>
              </w:rPr>
            </w:pPr>
            <w:r w:rsidRPr="008F6F94">
              <w:rPr>
                <w:rFonts w:asciiTheme="minorHAnsi" w:hAnsiTheme="minorHAnsi" w:cstheme="minorHAnsi"/>
                <w:bCs/>
                <w:sz w:val="20"/>
                <w:szCs w:val="20"/>
              </w:rPr>
              <w:t xml:space="preserve">In summary, for </w:t>
            </w:r>
            <w:r w:rsidR="009E2AC2">
              <w:rPr>
                <w:rFonts w:asciiTheme="minorHAnsi" w:hAnsiTheme="minorHAnsi" w:cstheme="minorHAnsi"/>
                <w:bCs/>
                <w:sz w:val="20"/>
                <w:szCs w:val="20"/>
              </w:rPr>
              <w:t>phase 1</w:t>
            </w:r>
            <w:r w:rsidRPr="008F6F94">
              <w:rPr>
                <w:rFonts w:asciiTheme="minorHAnsi" w:hAnsiTheme="minorHAnsi" w:cstheme="minorHAnsi"/>
                <w:bCs/>
                <w:sz w:val="20"/>
                <w:szCs w:val="20"/>
              </w:rPr>
              <w:t xml:space="preserve"> overall, there are initial indications that data from AMR surveillance systems are starting to be used. However, progress has been slower than anticipated, especially at the national level.</w:t>
            </w:r>
          </w:p>
        </w:tc>
        <w:tc>
          <w:tcPr>
            <w:tcW w:w="4536" w:type="dxa"/>
            <w:vMerge w:val="restart"/>
          </w:tcPr>
          <w:p w14:paraId="21214CD4" w14:textId="3E12A631" w:rsidR="00FE0867" w:rsidRPr="007F63EF" w:rsidRDefault="00FE0867">
            <w:pPr>
              <w:rPr>
                <w:rFonts w:asciiTheme="minorHAnsi" w:eastAsia="Calibri" w:hAnsiTheme="minorHAnsi" w:cstheme="minorHAnsi"/>
                <w:b/>
                <w:bCs/>
                <w:sz w:val="20"/>
                <w:szCs w:val="20"/>
              </w:rPr>
            </w:pPr>
            <w:r w:rsidRPr="008F6F94">
              <w:rPr>
                <w:rFonts w:asciiTheme="minorHAnsi" w:eastAsia="Times New Roman" w:hAnsiTheme="minorHAnsi" w:cstheme="minorHAnsi"/>
                <w:b/>
                <w:bCs/>
                <w:sz w:val="20"/>
                <w:szCs w:val="20"/>
              </w:rPr>
              <w:t>Conclusion 2:</w:t>
            </w:r>
            <w:r w:rsidRPr="008F6F94">
              <w:rPr>
                <w:rFonts w:asciiTheme="minorHAnsi" w:eastAsia="Times New Roman" w:hAnsiTheme="minorHAnsi" w:cstheme="minorHAnsi"/>
                <w:sz w:val="20"/>
                <w:szCs w:val="20"/>
              </w:rPr>
              <w:t xml:space="preserve">  </w:t>
            </w:r>
            <w:r w:rsidRPr="007F63EF">
              <w:rPr>
                <w:rFonts w:asciiTheme="minorHAnsi" w:eastAsia="Calibri" w:hAnsiTheme="minorHAnsi" w:cstheme="minorHAnsi"/>
                <w:b/>
                <w:bCs/>
                <w:sz w:val="20"/>
                <w:szCs w:val="20"/>
              </w:rPr>
              <w:t xml:space="preserve">Building on these necessary foundations it is reasonable to expect that the Fleming Fund will be able to make progress towards achieving its higher-level goals for </w:t>
            </w:r>
            <w:r w:rsidR="009E2AC2">
              <w:rPr>
                <w:rFonts w:asciiTheme="minorHAnsi" w:eastAsia="Calibri" w:hAnsiTheme="minorHAnsi" w:cstheme="minorHAnsi"/>
                <w:b/>
                <w:bCs/>
                <w:sz w:val="20"/>
                <w:szCs w:val="20"/>
              </w:rPr>
              <w:t>phase 2</w:t>
            </w:r>
            <w:r w:rsidRPr="007F63EF">
              <w:rPr>
                <w:rFonts w:asciiTheme="minorHAnsi" w:eastAsia="Calibri" w:hAnsiTheme="minorHAnsi" w:cstheme="minorHAnsi"/>
                <w:b/>
                <w:bCs/>
                <w:sz w:val="20"/>
                <w:szCs w:val="20"/>
              </w:rPr>
              <w:t xml:space="preserve"> (in terms of use of data for clinical improvement, policy and behaviour change), </w:t>
            </w:r>
            <w:r w:rsidRPr="008F6F94">
              <w:rPr>
                <w:rFonts w:asciiTheme="minorHAnsi" w:eastAsia="Times New Roman" w:hAnsiTheme="minorHAnsi" w:cstheme="minorHAnsi"/>
                <w:b/>
                <w:bCs/>
                <w:noProof/>
                <w:sz w:val="20"/>
                <w:szCs w:val="20"/>
              </w:rPr>
              <w:t>providing there is a stronger focus on understanding the needs and priorities of decision makers</w:t>
            </w:r>
            <w:r w:rsidRPr="007F63EF">
              <w:rPr>
                <w:rFonts w:asciiTheme="minorHAnsi" w:eastAsia="Calibri" w:hAnsiTheme="minorHAnsi" w:cstheme="minorHAnsi"/>
                <w:b/>
                <w:bCs/>
                <w:sz w:val="20"/>
                <w:szCs w:val="20"/>
              </w:rPr>
              <w:t>.</w:t>
            </w:r>
          </w:p>
          <w:p w14:paraId="158D158B" w14:textId="77777777" w:rsidR="00FE0867" w:rsidRPr="007F63EF" w:rsidRDefault="00FE0867">
            <w:pPr>
              <w:rPr>
                <w:rFonts w:asciiTheme="minorHAnsi" w:hAnsiTheme="minorHAnsi" w:cstheme="minorHAnsi"/>
                <w:b/>
                <w:bCs/>
                <w:sz w:val="20"/>
                <w:szCs w:val="20"/>
              </w:rPr>
            </w:pPr>
          </w:p>
          <w:p w14:paraId="5CCCB000" w14:textId="6C7E8BA0" w:rsidR="00FE0867" w:rsidRPr="008F6F94" w:rsidRDefault="00FE0867" w:rsidP="00A450ED">
            <w:pPr>
              <w:rPr>
                <w:rFonts w:asciiTheme="minorHAnsi" w:eastAsia="Times New Roman" w:hAnsiTheme="minorHAnsi" w:cstheme="minorHAnsi"/>
                <w:b/>
                <w:bCs/>
                <w:sz w:val="20"/>
                <w:szCs w:val="20"/>
              </w:rPr>
            </w:pPr>
            <w:r w:rsidRPr="008F6F94">
              <w:rPr>
                <w:rFonts w:asciiTheme="minorHAnsi" w:eastAsia="Times New Roman" w:hAnsiTheme="minorHAnsi" w:cstheme="minorHAnsi"/>
                <w:b/>
                <w:bCs/>
                <w:sz w:val="20"/>
                <w:szCs w:val="20"/>
              </w:rPr>
              <w:t>Conclusion 6: The Fleming Fund deserves recognition for prioritising One Health and for convening cross-sectoral dialogues. The lack of models</w:t>
            </w:r>
            <w:r w:rsidR="0077340E" w:rsidRPr="008F6F94">
              <w:rPr>
                <w:rStyle w:val="FootnoteReference"/>
                <w:rFonts w:eastAsia="Times New Roman"/>
                <w:b/>
                <w:bCs/>
              </w:rPr>
              <w:footnoteReference w:id="66"/>
            </w:r>
            <w:r w:rsidRPr="008F6F94">
              <w:rPr>
                <w:rFonts w:asciiTheme="minorHAnsi" w:eastAsia="Times New Roman" w:hAnsiTheme="minorHAnsi" w:cstheme="minorHAnsi"/>
                <w:b/>
                <w:bCs/>
                <w:sz w:val="20"/>
                <w:szCs w:val="20"/>
              </w:rPr>
              <w:t xml:space="preserve"> on how this can be operationalised at national scale has impacted the design of the Fleming Fund’s One Health approach. Experience from the joint research aspects of the Fellowship programme, which echoes wider experience in One Health, may help</w:t>
            </w:r>
            <w:r w:rsidRPr="008F6F94" w:rsidDel="00641B20">
              <w:rPr>
                <w:rFonts w:asciiTheme="minorHAnsi" w:eastAsia="Times New Roman" w:hAnsiTheme="minorHAnsi" w:cstheme="minorHAnsi"/>
                <w:b/>
                <w:bCs/>
                <w:sz w:val="20"/>
                <w:szCs w:val="20"/>
              </w:rPr>
              <w:t xml:space="preserve"> </w:t>
            </w:r>
            <w:r w:rsidRPr="008F6F94">
              <w:rPr>
                <w:rFonts w:asciiTheme="minorHAnsi" w:eastAsia="Times New Roman" w:hAnsiTheme="minorHAnsi" w:cstheme="minorHAnsi"/>
                <w:b/>
                <w:bCs/>
                <w:sz w:val="20"/>
                <w:szCs w:val="20"/>
              </w:rPr>
              <w:t xml:space="preserve">identify informal mechanisms to replicate during </w:t>
            </w:r>
            <w:r w:rsidR="009E2AC2">
              <w:rPr>
                <w:rFonts w:asciiTheme="minorHAnsi" w:eastAsia="Times New Roman" w:hAnsiTheme="minorHAnsi" w:cstheme="minorHAnsi"/>
                <w:b/>
                <w:bCs/>
                <w:sz w:val="20"/>
                <w:szCs w:val="20"/>
              </w:rPr>
              <w:t>phase 2</w:t>
            </w:r>
            <w:r w:rsidRPr="008F6F94">
              <w:rPr>
                <w:rFonts w:asciiTheme="minorHAnsi" w:eastAsia="Times New Roman" w:hAnsiTheme="minorHAnsi" w:cstheme="minorHAnsi"/>
                <w:b/>
                <w:bCs/>
                <w:sz w:val="20"/>
                <w:szCs w:val="20"/>
              </w:rPr>
              <w:t>.</w:t>
            </w:r>
          </w:p>
          <w:p w14:paraId="6CB28F9F" w14:textId="77777777" w:rsidR="00FE0867" w:rsidRPr="007F63EF" w:rsidRDefault="00FE0867" w:rsidP="00A450ED">
            <w:pPr>
              <w:rPr>
                <w:rFonts w:asciiTheme="minorHAnsi" w:eastAsia="Calibri" w:hAnsiTheme="minorHAnsi" w:cstheme="minorHAnsi"/>
                <w:b/>
                <w:sz w:val="20"/>
                <w:szCs w:val="20"/>
              </w:rPr>
            </w:pPr>
          </w:p>
          <w:p w14:paraId="73F774E6" w14:textId="44C1074C" w:rsidR="00FE0867" w:rsidRPr="007F63EF" w:rsidRDefault="00FE0867" w:rsidP="00A450ED">
            <w:pPr>
              <w:rPr>
                <w:rFonts w:asciiTheme="minorHAnsi" w:eastAsia="Calibri" w:hAnsiTheme="minorHAnsi" w:cstheme="minorHAnsi"/>
                <w:b/>
                <w:sz w:val="20"/>
                <w:szCs w:val="20"/>
              </w:rPr>
            </w:pPr>
            <w:r w:rsidRPr="008F6F94">
              <w:rPr>
                <w:rFonts w:asciiTheme="minorHAnsi" w:eastAsia="Times New Roman" w:hAnsiTheme="minorHAnsi" w:cstheme="minorHAnsi"/>
                <w:b/>
                <w:bCs/>
                <w:sz w:val="20"/>
                <w:szCs w:val="20"/>
              </w:rPr>
              <w:t>Conclusion 7:</w:t>
            </w:r>
            <w:r w:rsidRPr="008F6F94" w:rsidDel="007D2E99">
              <w:rPr>
                <w:rFonts w:asciiTheme="minorHAnsi" w:eastAsia="Times New Roman" w:hAnsiTheme="minorHAnsi" w:cstheme="minorHAnsi"/>
                <w:b/>
                <w:bCs/>
                <w:sz w:val="20"/>
                <w:szCs w:val="20"/>
              </w:rPr>
              <w:t xml:space="preserve"> </w:t>
            </w:r>
            <w:r w:rsidRPr="008F6F94">
              <w:rPr>
                <w:rFonts w:asciiTheme="minorHAnsi" w:eastAsia="Times New Roman" w:hAnsiTheme="minorHAnsi" w:cstheme="minorHAnsi"/>
                <w:b/>
                <w:bCs/>
                <w:sz w:val="20"/>
                <w:szCs w:val="20"/>
              </w:rPr>
              <w:t xml:space="preserve">During </w:t>
            </w:r>
            <w:r w:rsidR="009E2AC2">
              <w:rPr>
                <w:rFonts w:asciiTheme="minorHAnsi" w:eastAsia="Times New Roman" w:hAnsiTheme="minorHAnsi" w:cstheme="minorHAnsi"/>
                <w:b/>
                <w:bCs/>
                <w:sz w:val="20"/>
                <w:szCs w:val="20"/>
              </w:rPr>
              <w:t>phase 1</w:t>
            </w:r>
            <w:r w:rsidRPr="008F6F94">
              <w:rPr>
                <w:rFonts w:asciiTheme="minorHAnsi" w:eastAsia="Times New Roman" w:hAnsiTheme="minorHAnsi" w:cstheme="minorHAnsi"/>
                <w:b/>
                <w:bCs/>
                <w:sz w:val="20"/>
                <w:szCs w:val="20"/>
              </w:rPr>
              <w:t xml:space="preserve">, planning by both the MA and DHSC was over-optimistic in terms of the time taken for design and approval and then delivery and it is not clear that this has been fully addressed for </w:t>
            </w:r>
            <w:r w:rsidR="009E2AC2">
              <w:rPr>
                <w:rFonts w:asciiTheme="minorHAnsi" w:eastAsia="Times New Roman" w:hAnsiTheme="minorHAnsi" w:cstheme="minorHAnsi"/>
                <w:b/>
                <w:bCs/>
                <w:sz w:val="20"/>
                <w:szCs w:val="20"/>
              </w:rPr>
              <w:t>phase 2</w:t>
            </w:r>
            <w:r w:rsidRPr="008F6F94">
              <w:rPr>
                <w:rFonts w:asciiTheme="minorHAnsi" w:eastAsia="Times New Roman" w:hAnsiTheme="minorHAnsi" w:cstheme="minorHAnsi"/>
                <w:b/>
                <w:bCs/>
                <w:sz w:val="20"/>
                <w:szCs w:val="20"/>
              </w:rPr>
              <w:t>.</w:t>
            </w:r>
          </w:p>
        </w:tc>
        <w:tc>
          <w:tcPr>
            <w:tcW w:w="2835" w:type="dxa"/>
            <w:vMerge w:val="restart"/>
          </w:tcPr>
          <w:p w14:paraId="774C82BA" w14:textId="1E30C2B6" w:rsidR="00FE0867" w:rsidRPr="007F63EF" w:rsidRDefault="00FE0867" w:rsidP="00C6374D">
            <w:pPr>
              <w:pStyle w:val="ListParagraph"/>
              <w:numPr>
                <w:ilvl w:val="0"/>
                <w:numId w:val="109"/>
              </w:numPr>
              <w:spacing w:after="120"/>
              <w:ind w:left="357" w:hanging="357"/>
              <w:contextualSpacing w:val="0"/>
              <w:rPr>
                <w:rFonts w:asciiTheme="minorHAnsi" w:eastAsia="Calibri" w:hAnsiTheme="minorHAnsi" w:cstheme="minorHAnsi"/>
                <w:sz w:val="20"/>
                <w:szCs w:val="20"/>
              </w:rPr>
            </w:pPr>
            <w:r w:rsidRPr="007F63EF">
              <w:rPr>
                <w:rFonts w:asciiTheme="minorHAnsi" w:eastAsia="Times New Roman" w:hAnsiTheme="minorHAnsi" w:cstheme="minorHAnsi"/>
                <w:b/>
                <w:bCs/>
                <w:sz w:val="20"/>
                <w:szCs w:val="20"/>
                <w:lang w:eastAsia="en-GB"/>
              </w:rPr>
              <w:t>Recommendation 3:</w:t>
            </w:r>
            <w:r w:rsidRPr="007F63EF" w:rsidDel="007D2E99">
              <w:rPr>
                <w:rFonts w:asciiTheme="minorHAnsi" w:eastAsia="Times New Roman" w:hAnsiTheme="minorHAnsi" w:cstheme="minorHAnsi"/>
                <w:sz w:val="20"/>
                <w:szCs w:val="20"/>
                <w:lang w:eastAsia="en-GB"/>
              </w:rPr>
              <w:t xml:space="preserve"> </w:t>
            </w:r>
            <w:r w:rsidRPr="007F63EF">
              <w:rPr>
                <w:rFonts w:asciiTheme="minorHAnsi" w:eastAsia="Calibri" w:hAnsiTheme="minorHAnsi" w:cstheme="minorHAnsi"/>
                <w:sz w:val="20"/>
                <w:szCs w:val="20"/>
              </w:rPr>
              <w:t>The process of establishing goals at the country level should be focused on understanding the priorities and needs of key decision makers on AMR, recognising that a) AMR action will take place through multiple policy processes</w:t>
            </w:r>
            <w:r w:rsidR="00487AC1" w:rsidRPr="007F63EF">
              <w:rPr>
                <w:rFonts w:asciiTheme="minorHAnsi" w:eastAsia="Calibri" w:hAnsiTheme="minorHAnsi" w:cstheme="minorHAnsi"/>
                <w:sz w:val="20"/>
                <w:szCs w:val="20"/>
              </w:rPr>
              <w:t>,</w:t>
            </w:r>
            <w:r w:rsidRPr="007F63EF">
              <w:rPr>
                <w:rFonts w:asciiTheme="minorHAnsi" w:eastAsia="Calibri" w:hAnsiTheme="minorHAnsi" w:cstheme="minorHAnsi"/>
                <w:sz w:val="20"/>
                <w:szCs w:val="20"/>
              </w:rPr>
              <w:t xml:space="preserve"> and that differentiation between HH and AH is of fundamental importance; and b)</w:t>
            </w:r>
            <w:r w:rsidRPr="007F63EF" w:rsidDel="00971B73">
              <w:rPr>
                <w:rFonts w:asciiTheme="minorHAnsi" w:eastAsia="Calibri" w:hAnsiTheme="minorHAnsi" w:cstheme="minorHAnsi"/>
                <w:sz w:val="20"/>
                <w:szCs w:val="20"/>
              </w:rPr>
              <w:t xml:space="preserve"> </w:t>
            </w:r>
            <w:r w:rsidRPr="007F63EF">
              <w:rPr>
                <w:rFonts w:asciiTheme="minorHAnsi" w:eastAsia="Calibri" w:hAnsiTheme="minorHAnsi" w:cstheme="minorHAnsi"/>
                <w:sz w:val="20"/>
                <w:szCs w:val="20"/>
              </w:rPr>
              <w:t>achieving higher-level goals requires action by other actors and therefore effective collaboration with key stakeholder groups.</w:t>
            </w:r>
          </w:p>
          <w:p w14:paraId="4D401E6B" w14:textId="77777777" w:rsidR="00FE0867" w:rsidRPr="008F6F94" w:rsidRDefault="00FE0867">
            <w:pPr>
              <w:rPr>
                <w:rFonts w:asciiTheme="minorHAnsi" w:hAnsiTheme="minorHAnsi" w:cstheme="minorHAnsi"/>
                <w:sz w:val="20"/>
                <w:szCs w:val="20"/>
              </w:rPr>
            </w:pPr>
          </w:p>
        </w:tc>
      </w:tr>
      <w:tr w:rsidR="008F6F94" w:rsidRPr="008F6F94" w14:paraId="4E9A44E1" w14:textId="77777777" w:rsidTr="45CDE7E8">
        <w:tc>
          <w:tcPr>
            <w:tcW w:w="7225" w:type="dxa"/>
          </w:tcPr>
          <w:p w14:paraId="1DFA7C6E" w14:textId="77777777" w:rsidR="00FE0867" w:rsidRPr="008F6F94" w:rsidRDefault="00FE0867">
            <w:pPr>
              <w:rPr>
                <w:rFonts w:asciiTheme="minorHAnsi" w:hAnsiTheme="minorHAnsi" w:cstheme="minorHAnsi"/>
                <w:sz w:val="20"/>
                <w:szCs w:val="20"/>
              </w:rPr>
            </w:pPr>
            <w:r w:rsidRPr="008F6F94">
              <w:rPr>
                <w:rFonts w:asciiTheme="minorHAnsi" w:eastAsia="Times New Roman" w:hAnsiTheme="minorHAnsi" w:cstheme="minorHAnsi"/>
                <w:i/>
                <w:iCs/>
                <w:sz w:val="20"/>
                <w:szCs w:val="20"/>
              </w:rPr>
              <w:t>At the national level,</w:t>
            </w:r>
            <w:r w:rsidRPr="008F6F94">
              <w:rPr>
                <w:rFonts w:asciiTheme="minorHAnsi" w:eastAsia="Times New Roman" w:hAnsiTheme="minorHAnsi" w:cstheme="minorHAnsi"/>
                <w:sz w:val="20"/>
                <w:szCs w:val="20"/>
              </w:rPr>
              <w:t xml:space="preserve"> data sharing with relevant committees is happening in six of the 16 focus countries. Even where AMR/C/U data is not yet being shared with relevant committees on a routine basis, some progress towards this goal has been realised in most countries.</w:t>
            </w:r>
            <w:r w:rsidRPr="008F6F94" w:rsidDel="007D2E99">
              <w:rPr>
                <w:rFonts w:asciiTheme="minorHAnsi" w:eastAsia="Times New Roman" w:hAnsiTheme="minorHAnsi" w:cstheme="minorHAnsi"/>
                <w:sz w:val="20"/>
                <w:szCs w:val="20"/>
              </w:rPr>
              <w:t xml:space="preserve"> </w:t>
            </w:r>
            <w:r w:rsidRPr="008F6F94">
              <w:rPr>
                <w:rFonts w:asciiTheme="minorHAnsi" w:eastAsia="Times New Roman" w:hAnsiTheme="minorHAnsi" w:cstheme="minorHAnsi"/>
                <w:sz w:val="20"/>
                <w:szCs w:val="20"/>
              </w:rPr>
              <w:t>Despite good progress, Fleming Fund’s performance on data sharing falls short of the targets set out in the MA’s implementation plan, although this assessment differs from MA reporting because it is undertaken on a different basis.</w:t>
            </w:r>
          </w:p>
        </w:tc>
        <w:tc>
          <w:tcPr>
            <w:tcW w:w="4536" w:type="dxa"/>
            <w:vMerge/>
          </w:tcPr>
          <w:p w14:paraId="2D8442EE" w14:textId="77777777" w:rsidR="00FE0867" w:rsidRPr="008F6F94" w:rsidRDefault="00FE0867">
            <w:pPr>
              <w:rPr>
                <w:rFonts w:asciiTheme="minorHAnsi" w:hAnsiTheme="minorHAnsi" w:cstheme="minorHAnsi"/>
                <w:sz w:val="20"/>
                <w:szCs w:val="20"/>
              </w:rPr>
            </w:pPr>
          </w:p>
        </w:tc>
        <w:tc>
          <w:tcPr>
            <w:tcW w:w="2835" w:type="dxa"/>
            <w:vMerge/>
          </w:tcPr>
          <w:p w14:paraId="46087C6D" w14:textId="77777777" w:rsidR="00FE0867" w:rsidRPr="008F6F94" w:rsidRDefault="00FE0867">
            <w:pPr>
              <w:rPr>
                <w:rFonts w:asciiTheme="minorHAnsi" w:hAnsiTheme="minorHAnsi" w:cstheme="minorHAnsi"/>
                <w:sz w:val="20"/>
                <w:szCs w:val="20"/>
              </w:rPr>
            </w:pPr>
          </w:p>
        </w:tc>
      </w:tr>
      <w:tr w:rsidR="008F6F94" w:rsidRPr="008F6F94" w14:paraId="4352E5A1" w14:textId="77777777" w:rsidTr="45CDE7E8">
        <w:tc>
          <w:tcPr>
            <w:tcW w:w="7225" w:type="dxa"/>
          </w:tcPr>
          <w:p w14:paraId="0F513911" w14:textId="77777777" w:rsidR="00FE0867" w:rsidRPr="008F6F94" w:rsidRDefault="00FE0867">
            <w:pPr>
              <w:rPr>
                <w:rFonts w:asciiTheme="minorHAnsi" w:hAnsiTheme="minorHAnsi" w:cstheme="minorHAnsi"/>
                <w:sz w:val="20"/>
                <w:szCs w:val="20"/>
              </w:rPr>
            </w:pPr>
            <w:r w:rsidRPr="008F6F94">
              <w:rPr>
                <w:rFonts w:asciiTheme="minorHAnsi" w:eastAsia="Times New Roman" w:hAnsiTheme="minorHAnsi" w:cstheme="minorHAnsi"/>
                <w:sz w:val="20"/>
                <w:szCs w:val="20"/>
              </w:rPr>
              <w:t xml:space="preserve">Also at the </w:t>
            </w:r>
            <w:r w:rsidRPr="008F6F94">
              <w:rPr>
                <w:rFonts w:asciiTheme="minorHAnsi" w:eastAsia="Times New Roman" w:hAnsiTheme="minorHAnsi" w:cstheme="minorHAnsi"/>
                <w:i/>
                <w:iCs/>
                <w:sz w:val="20"/>
                <w:szCs w:val="20"/>
              </w:rPr>
              <w:t>national level,</w:t>
            </w:r>
            <w:r w:rsidRPr="008F6F94">
              <w:rPr>
                <w:rFonts w:asciiTheme="minorHAnsi" w:eastAsia="Times New Roman" w:hAnsiTheme="minorHAnsi" w:cstheme="minorHAnsi"/>
                <w:sz w:val="20"/>
                <w:szCs w:val="20"/>
              </w:rPr>
              <w:t xml:space="preserve"> despite progress with sharing, AMR surveillance data is not yet playing a prominent role in relevant decision making at the national level. Some countries are taking action using different data.</w:t>
            </w:r>
          </w:p>
        </w:tc>
        <w:tc>
          <w:tcPr>
            <w:tcW w:w="4536" w:type="dxa"/>
            <w:vMerge/>
          </w:tcPr>
          <w:p w14:paraId="3A070609" w14:textId="77777777" w:rsidR="00FE0867" w:rsidRPr="008F6F94" w:rsidRDefault="00FE0867">
            <w:pPr>
              <w:rPr>
                <w:rFonts w:asciiTheme="minorHAnsi" w:hAnsiTheme="minorHAnsi" w:cstheme="minorHAnsi"/>
                <w:sz w:val="20"/>
                <w:szCs w:val="20"/>
              </w:rPr>
            </w:pPr>
          </w:p>
        </w:tc>
        <w:tc>
          <w:tcPr>
            <w:tcW w:w="2835" w:type="dxa"/>
            <w:vMerge/>
          </w:tcPr>
          <w:p w14:paraId="3A7F5E56" w14:textId="77777777" w:rsidR="00FE0867" w:rsidRPr="008F6F94" w:rsidRDefault="00FE0867">
            <w:pPr>
              <w:rPr>
                <w:rFonts w:asciiTheme="minorHAnsi" w:hAnsiTheme="minorHAnsi" w:cstheme="minorHAnsi"/>
                <w:sz w:val="20"/>
                <w:szCs w:val="20"/>
              </w:rPr>
            </w:pPr>
          </w:p>
        </w:tc>
      </w:tr>
      <w:tr w:rsidR="008F6F94" w:rsidRPr="008F6F94" w14:paraId="36D9C064" w14:textId="77777777" w:rsidTr="45CDE7E8">
        <w:tc>
          <w:tcPr>
            <w:tcW w:w="7225" w:type="dxa"/>
          </w:tcPr>
          <w:p w14:paraId="5E4029E7" w14:textId="77777777" w:rsidR="00FE0867" w:rsidRPr="008F6F94" w:rsidRDefault="00FE0867">
            <w:pPr>
              <w:rPr>
                <w:rFonts w:asciiTheme="minorHAnsi" w:hAnsiTheme="minorHAnsi" w:cstheme="minorHAnsi"/>
                <w:sz w:val="20"/>
                <w:szCs w:val="20"/>
              </w:rPr>
            </w:pPr>
            <w:r w:rsidRPr="008F6F94">
              <w:rPr>
                <w:rFonts w:asciiTheme="minorHAnsi" w:eastAsia="Times New Roman" w:hAnsiTheme="minorHAnsi" w:cstheme="minorHAnsi"/>
                <w:sz w:val="20"/>
                <w:szCs w:val="20"/>
              </w:rPr>
              <w:t xml:space="preserve">At the </w:t>
            </w:r>
            <w:r w:rsidRPr="008F6F94">
              <w:rPr>
                <w:rFonts w:asciiTheme="minorHAnsi" w:eastAsia="Times New Roman" w:hAnsiTheme="minorHAnsi" w:cstheme="minorHAnsi"/>
                <w:i/>
                <w:sz w:val="20"/>
                <w:szCs w:val="20"/>
              </w:rPr>
              <w:t>international level</w:t>
            </w:r>
            <w:r w:rsidRPr="008F6F94">
              <w:rPr>
                <w:rFonts w:asciiTheme="minorHAnsi" w:eastAsia="Times New Roman" w:hAnsiTheme="minorHAnsi" w:cstheme="minorHAnsi"/>
                <w:sz w:val="20"/>
                <w:szCs w:val="20"/>
              </w:rPr>
              <w:t>, for HH more AMR data has been made available, with 81% (13 out of 16) of our focus countries sharing data to GLASS since 2018.</w:t>
            </w:r>
            <w:r w:rsidRPr="008F6F94" w:rsidDel="007D2E99">
              <w:rPr>
                <w:rFonts w:asciiTheme="minorHAnsi" w:eastAsia="Times New Roman" w:hAnsiTheme="minorHAnsi" w:cstheme="minorHAnsi"/>
                <w:sz w:val="20"/>
                <w:szCs w:val="20"/>
              </w:rPr>
              <w:t xml:space="preserve"> </w:t>
            </w:r>
            <w:r w:rsidRPr="008F6F94">
              <w:rPr>
                <w:rFonts w:asciiTheme="minorHAnsi" w:eastAsia="Times New Roman" w:hAnsiTheme="minorHAnsi" w:cstheme="minorHAnsi"/>
                <w:sz w:val="20"/>
                <w:szCs w:val="20"/>
              </w:rPr>
              <w:t>In the AH sector, more data on AMC/U has been reported to WOAH by nine of the 16 focus countries.</w:t>
            </w:r>
          </w:p>
        </w:tc>
        <w:tc>
          <w:tcPr>
            <w:tcW w:w="4536" w:type="dxa"/>
            <w:vMerge/>
          </w:tcPr>
          <w:p w14:paraId="5E9469A5" w14:textId="77777777" w:rsidR="00FE0867" w:rsidRPr="008F6F94" w:rsidRDefault="00FE0867">
            <w:pPr>
              <w:rPr>
                <w:rFonts w:asciiTheme="minorHAnsi" w:hAnsiTheme="minorHAnsi" w:cstheme="minorHAnsi"/>
                <w:sz w:val="20"/>
                <w:szCs w:val="20"/>
              </w:rPr>
            </w:pPr>
          </w:p>
        </w:tc>
        <w:tc>
          <w:tcPr>
            <w:tcW w:w="2835" w:type="dxa"/>
            <w:vMerge/>
          </w:tcPr>
          <w:p w14:paraId="7EA5B9E7" w14:textId="77777777" w:rsidR="00FE0867" w:rsidRPr="008F6F94" w:rsidRDefault="00FE0867">
            <w:pPr>
              <w:rPr>
                <w:rFonts w:asciiTheme="minorHAnsi" w:hAnsiTheme="minorHAnsi" w:cstheme="minorHAnsi"/>
                <w:sz w:val="20"/>
                <w:szCs w:val="20"/>
              </w:rPr>
            </w:pPr>
          </w:p>
        </w:tc>
      </w:tr>
      <w:tr w:rsidR="008F6F94" w:rsidRPr="008F6F94" w14:paraId="4CE4AD76" w14:textId="77777777" w:rsidTr="45CDE7E8">
        <w:tc>
          <w:tcPr>
            <w:tcW w:w="7225" w:type="dxa"/>
          </w:tcPr>
          <w:p w14:paraId="5AB67E57" w14:textId="77777777" w:rsidR="00FE0867" w:rsidRPr="008F6F94" w:rsidRDefault="00FE0867" w:rsidP="00C6374D">
            <w:pPr>
              <w:pStyle w:val="FFNormal"/>
              <w:numPr>
                <w:ilvl w:val="0"/>
                <w:numId w:val="107"/>
              </w:numPr>
              <w:spacing w:after="0" w:line="240" w:lineRule="auto"/>
              <w:ind w:left="306" w:hanging="284"/>
              <w:rPr>
                <w:rFonts w:asciiTheme="minorHAnsi" w:eastAsia="Times New Roman" w:hAnsiTheme="minorHAnsi" w:cstheme="minorHAnsi"/>
                <w:sz w:val="20"/>
                <w:szCs w:val="20"/>
              </w:rPr>
            </w:pPr>
            <w:r w:rsidRPr="008F6F94">
              <w:rPr>
                <w:rFonts w:asciiTheme="minorHAnsi" w:eastAsia="Times New Roman" w:hAnsiTheme="minorHAnsi" w:cstheme="minorHAnsi"/>
                <w:sz w:val="20"/>
                <w:szCs w:val="20"/>
              </w:rPr>
              <w:t xml:space="preserve">At the </w:t>
            </w:r>
            <w:r w:rsidRPr="008F6F94">
              <w:rPr>
                <w:rFonts w:asciiTheme="minorHAnsi" w:eastAsia="Times New Roman" w:hAnsiTheme="minorHAnsi" w:cstheme="minorHAnsi"/>
                <w:i/>
                <w:iCs/>
                <w:sz w:val="20"/>
                <w:szCs w:val="20"/>
              </w:rPr>
              <w:t>local/facility level</w:t>
            </w:r>
            <w:r w:rsidRPr="008F6F94">
              <w:rPr>
                <w:rFonts w:asciiTheme="minorHAnsi" w:eastAsia="Times New Roman" w:hAnsiTheme="minorHAnsi" w:cstheme="minorHAnsi"/>
                <w:sz w:val="20"/>
                <w:szCs w:val="20"/>
              </w:rPr>
              <w:t>, there is emergent evidence that Fleming Fund interventions are stimulating positive changes to practices and attitudes as clinicians and other stakeholders start to interact differently with improved laboratories. However, these are not yet representative of wider system changes within countries.</w:t>
            </w:r>
          </w:p>
          <w:p w14:paraId="2619AA6C" w14:textId="77777777" w:rsidR="00FE0867" w:rsidRPr="008F6F94" w:rsidRDefault="00FE0867">
            <w:pPr>
              <w:rPr>
                <w:rFonts w:asciiTheme="minorHAnsi" w:hAnsiTheme="minorHAnsi" w:cstheme="minorHAnsi"/>
                <w:sz w:val="20"/>
                <w:szCs w:val="20"/>
              </w:rPr>
            </w:pPr>
            <w:r w:rsidRPr="008F6F94">
              <w:rPr>
                <w:rFonts w:asciiTheme="minorHAnsi" w:eastAsia="Times New Roman" w:hAnsiTheme="minorHAnsi" w:cstheme="minorHAnsi"/>
                <w:sz w:val="20"/>
                <w:szCs w:val="20"/>
              </w:rPr>
              <w:t>We have identified a number of factors that have driven examples of data sharing and data use noted above.</w:t>
            </w:r>
            <w:r w:rsidRPr="008F6F94" w:rsidDel="007D2E99">
              <w:rPr>
                <w:rFonts w:asciiTheme="minorHAnsi" w:eastAsia="Times New Roman" w:hAnsiTheme="minorHAnsi" w:cstheme="minorHAnsi"/>
                <w:sz w:val="20"/>
                <w:szCs w:val="20"/>
              </w:rPr>
              <w:t xml:space="preserve"> </w:t>
            </w:r>
            <w:r w:rsidRPr="008F6F94">
              <w:rPr>
                <w:rFonts w:asciiTheme="minorHAnsi" w:eastAsia="Times New Roman" w:hAnsiTheme="minorHAnsi" w:cstheme="minorHAnsi"/>
                <w:sz w:val="20"/>
                <w:szCs w:val="20"/>
              </w:rPr>
              <w:t>For data sharing these include increases in data availability, development of surveillance functions to link data to governance structures, and formal governance structures (albeit with important limitations observed)</w:t>
            </w:r>
          </w:p>
        </w:tc>
        <w:tc>
          <w:tcPr>
            <w:tcW w:w="4536" w:type="dxa"/>
            <w:vMerge/>
          </w:tcPr>
          <w:p w14:paraId="41ABAA68" w14:textId="77777777" w:rsidR="00FE0867" w:rsidRPr="008F6F94" w:rsidRDefault="00FE0867">
            <w:pPr>
              <w:rPr>
                <w:rFonts w:asciiTheme="minorHAnsi" w:hAnsiTheme="minorHAnsi" w:cstheme="minorHAnsi"/>
                <w:sz w:val="20"/>
                <w:szCs w:val="20"/>
              </w:rPr>
            </w:pPr>
          </w:p>
        </w:tc>
        <w:tc>
          <w:tcPr>
            <w:tcW w:w="2835" w:type="dxa"/>
            <w:vMerge/>
          </w:tcPr>
          <w:p w14:paraId="71B521F5" w14:textId="77777777" w:rsidR="00FE0867" w:rsidRPr="008F6F94" w:rsidRDefault="00FE0867">
            <w:pPr>
              <w:rPr>
                <w:rFonts w:asciiTheme="minorHAnsi" w:hAnsiTheme="minorHAnsi" w:cstheme="minorHAnsi"/>
                <w:sz w:val="20"/>
                <w:szCs w:val="20"/>
              </w:rPr>
            </w:pPr>
          </w:p>
        </w:tc>
      </w:tr>
      <w:tr w:rsidR="008F6F94" w:rsidRPr="008F6F94" w14:paraId="052107DD" w14:textId="77777777" w:rsidTr="45CDE7E8">
        <w:tc>
          <w:tcPr>
            <w:tcW w:w="7225" w:type="dxa"/>
          </w:tcPr>
          <w:p w14:paraId="7BDF72A3" w14:textId="1962EF14" w:rsidR="00FE0867" w:rsidRPr="008F6F94" w:rsidRDefault="00FE0867" w:rsidP="00C6374D">
            <w:pPr>
              <w:pStyle w:val="FFNormal"/>
              <w:numPr>
                <w:ilvl w:val="0"/>
                <w:numId w:val="107"/>
              </w:numPr>
              <w:spacing w:after="0" w:line="240" w:lineRule="auto"/>
              <w:ind w:left="306" w:hanging="284"/>
              <w:rPr>
                <w:rFonts w:asciiTheme="minorHAnsi" w:eastAsia="Times New Roman" w:hAnsiTheme="minorHAnsi" w:cstheme="minorHAnsi"/>
                <w:sz w:val="20"/>
                <w:szCs w:val="20"/>
              </w:rPr>
            </w:pPr>
            <w:r w:rsidRPr="008F6F94">
              <w:rPr>
                <w:rFonts w:asciiTheme="minorHAnsi" w:eastAsia="Times New Roman" w:hAnsiTheme="minorHAnsi" w:cstheme="minorHAnsi"/>
                <w:sz w:val="20"/>
                <w:szCs w:val="20"/>
              </w:rPr>
              <w:t xml:space="preserve">A wider range of drivers are relevant to the actual use of data (i.e. beyond data sharing) at the </w:t>
            </w:r>
            <w:r w:rsidR="00C26298" w:rsidRPr="008F6F94">
              <w:rPr>
                <w:rFonts w:asciiTheme="minorHAnsi" w:eastAsia="Times New Roman" w:hAnsiTheme="minorHAnsi" w:cstheme="minorHAnsi"/>
                <w:sz w:val="20"/>
                <w:szCs w:val="20"/>
              </w:rPr>
              <w:t>national level</w:t>
            </w:r>
            <w:r w:rsidRPr="008F6F94">
              <w:rPr>
                <w:rFonts w:asciiTheme="minorHAnsi" w:eastAsia="Times New Roman" w:hAnsiTheme="minorHAnsi" w:cstheme="minorHAnsi"/>
                <w:sz w:val="20"/>
                <w:szCs w:val="20"/>
              </w:rPr>
              <w:t>, recognising the limits of surveillance data itself and the complexity of non-linear policy processes. Key drivers include broader conditions for prioritisation of AMR being in place, and the availability of other forms of information.</w:t>
            </w:r>
            <w:r w:rsidRPr="008F6F94" w:rsidDel="007D2E99">
              <w:rPr>
                <w:rFonts w:asciiTheme="minorHAnsi" w:eastAsia="Times New Roman" w:hAnsiTheme="minorHAnsi" w:cstheme="minorHAnsi"/>
                <w:sz w:val="20"/>
                <w:szCs w:val="20"/>
              </w:rPr>
              <w:t xml:space="preserve"> </w:t>
            </w:r>
          </w:p>
          <w:p w14:paraId="463DD133" w14:textId="77777777" w:rsidR="00FE0867" w:rsidRPr="008F6F94" w:rsidRDefault="00FE0867">
            <w:pPr>
              <w:rPr>
                <w:rFonts w:asciiTheme="minorHAnsi" w:hAnsiTheme="minorHAnsi" w:cstheme="minorHAnsi"/>
                <w:sz w:val="20"/>
                <w:szCs w:val="20"/>
              </w:rPr>
            </w:pPr>
            <w:r w:rsidRPr="008F6F94">
              <w:rPr>
                <w:rFonts w:asciiTheme="minorHAnsi" w:eastAsia="Times New Roman" w:hAnsiTheme="minorHAnsi" w:cstheme="minorHAnsi"/>
                <w:sz w:val="20"/>
                <w:szCs w:val="20"/>
              </w:rPr>
              <w:t>Similar drivers for data sharing at the international level were identified to those described at the national level – in terms of data availability and development of surveillance functions, with some differences in emphasis (e.g. less importance given to governance structures)</w:t>
            </w:r>
          </w:p>
        </w:tc>
        <w:tc>
          <w:tcPr>
            <w:tcW w:w="4536" w:type="dxa"/>
            <w:vMerge/>
          </w:tcPr>
          <w:p w14:paraId="4C8F6047" w14:textId="77777777" w:rsidR="00FE0867" w:rsidRPr="008F6F94" w:rsidRDefault="00FE0867">
            <w:pPr>
              <w:rPr>
                <w:rFonts w:asciiTheme="minorHAnsi" w:hAnsiTheme="minorHAnsi" w:cstheme="minorHAnsi"/>
                <w:sz w:val="20"/>
                <w:szCs w:val="20"/>
              </w:rPr>
            </w:pPr>
          </w:p>
        </w:tc>
        <w:tc>
          <w:tcPr>
            <w:tcW w:w="2835" w:type="dxa"/>
            <w:vMerge/>
          </w:tcPr>
          <w:p w14:paraId="336D59F6" w14:textId="77777777" w:rsidR="00FE0867" w:rsidRPr="008F6F94" w:rsidRDefault="00FE0867">
            <w:pPr>
              <w:rPr>
                <w:rFonts w:asciiTheme="minorHAnsi" w:hAnsiTheme="minorHAnsi" w:cstheme="minorHAnsi"/>
                <w:sz w:val="20"/>
                <w:szCs w:val="20"/>
              </w:rPr>
            </w:pPr>
          </w:p>
        </w:tc>
      </w:tr>
      <w:tr w:rsidR="008F6F94" w:rsidRPr="008F6F94" w14:paraId="34E7CDB7" w14:textId="77777777" w:rsidTr="45CDE7E8">
        <w:tc>
          <w:tcPr>
            <w:tcW w:w="7225" w:type="dxa"/>
          </w:tcPr>
          <w:p w14:paraId="5F37666D" w14:textId="77777777" w:rsidR="00FE0867" w:rsidRPr="008F6F94" w:rsidRDefault="00FE0867">
            <w:pPr>
              <w:rPr>
                <w:rFonts w:asciiTheme="minorHAnsi" w:hAnsiTheme="minorHAnsi" w:cstheme="minorHAnsi"/>
                <w:sz w:val="20"/>
                <w:szCs w:val="20"/>
              </w:rPr>
            </w:pPr>
            <w:r w:rsidRPr="008F6F94">
              <w:rPr>
                <w:rFonts w:asciiTheme="minorHAnsi" w:eastAsia="Times New Roman" w:hAnsiTheme="minorHAnsi" w:cstheme="minorHAnsi"/>
                <w:sz w:val="20"/>
                <w:szCs w:val="20"/>
              </w:rPr>
              <w:t xml:space="preserve">Facility-level drivers are less clear so far, although there is some indication that data availability is important and clinical engagement feedback loops have the potential to drive use. </w:t>
            </w:r>
          </w:p>
        </w:tc>
        <w:tc>
          <w:tcPr>
            <w:tcW w:w="4536" w:type="dxa"/>
            <w:vMerge/>
          </w:tcPr>
          <w:p w14:paraId="6B6145D4" w14:textId="77777777" w:rsidR="00FE0867" w:rsidRPr="008F6F94" w:rsidRDefault="00FE0867">
            <w:pPr>
              <w:rPr>
                <w:rFonts w:asciiTheme="minorHAnsi" w:hAnsiTheme="minorHAnsi" w:cstheme="minorHAnsi"/>
                <w:sz w:val="20"/>
                <w:szCs w:val="20"/>
              </w:rPr>
            </w:pPr>
          </w:p>
        </w:tc>
        <w:tc>
          <w:tcPr>
            <w:tcW w:w="2835" w:type="dxa"/>
            <w:vMerge/>
          </w:tcPr>
          <w:p w14:paraId="0DC0B4E1" w14:textId="77777777" w:rsidR="00FE0867" w:rsidRPr="008F6F94" w:rsidRDefault="00FE0867">
            <w:pPr>
              <w:rPr>
                <w:rFonts w:asciiTheme="minorHAnsi" w:hAnsiTheme="minorHAnsi" w:cstheme="minorHAnsi"/>
                <w:sz w:val="20"/>
                <w:szCs w:val="20"/>
              </w:rPr>
            </w:pPr>
          </w:p>
        </w:tc>
      </w:tr>
      <w:tr w:rsidR="008F6F94" w:rsidRPr="008F6F94" w14:paraId="472CA375" w14:textId="77777777" w:rsidTr="45CDE7E8">
        <w:tc>
          <w:tcPr>
            <w:tcW w:w="7225" w:type="dxa"/>
          </w:tcPr>
          <w:p w14:paraId="3BCBC53D" w14:textId="102A0786" w:rsidR="00FE0867" w:rsidRPr="008F6F94" w:rsidRDefault="00FE0867" w:rsidP="00C6374D">
            <w:pPr>
              <w:pStyle w:val="FFNormal"/>
              <w:numPr>
                <w:ilvl w:val="0"/>
                <w:numId w:val="107"/>
              </w:numPr>
              <w:spacing w:after="0" w:line="240" w:lineRule="auto"/>
              <w:ind w:left="306" w:hanging="284"/>
              <w:rPr>
                <w:rFonts w:asciiTheme="minorHAnsi" w:eastAsia="Times New Roman" w:hAnsiTheme="minorHAnsi" w:cstheme="minorHAnsi"/>
                <w:sz w:val="20"/>
                <w:szCs w:val="20"/>
              </w:rPr>
            </w:pPr>
            <w:r w:rsidRPr="008F6F94">
              <w:rPr>
                <w:rFonts w:asciiTheme="minorHAnsi" w:eastAsia="Times New Roman" w:hAnsiTheme="minorHAnsi" w:cstheme="minorHAnsi"/>
                <w:sz w:val="20"/>
                <w:szCs w:val="20"/>
              </w:rPr>
              <w:t xml:space="preserve">The Fleming Fund has made very substantial contributions to the main drivers of data sharing at the national level, primarily through CGs’ engagement with AMRCCs or equivalent </w:t>
            </w:r>
            <w:r w:rsidR="00C26298" w:rsidRPr="008F6F94">
              <w:rPr>
                <w:rFonts w:asciiTheme="minorHAnsi" w:eastAsia="Times New Roman" w:hAnsiTheme="minorHAnsi" w:cstheme="minorHAnsi"/>
                <w:sz w:val="20"/>
                <w:szCs w:val="20"/>
              </w:rPr>
              <w:t>committees.</w:t>
            </w:r>
          </w:p>
          <w:p w14:paraId="135A943F" w14:textId="4088EE69" w:rsidR="00FE0867" w:rsidRPr="008F6F94" w:rsidRDefault="00FE0867" w:rsidP="00C6374D">
            <w:pPr>
              <w:pStyle w:val="FFNormal"/>
              <w:numPr>
                <w:ilvl w:val="0"/>
                <w:numId w:val="107"/>
              </w:numPr>
              <w:spacing w:after="0" w:line="240" w:lineRule="auto"/>
              <w:ind w:left="306" w:hanging="284"/>
              <w:rPr>
                <w:rFonts w:asciiTheme="minorHAnsi" w:eastAsia="Times New Roman" w:hAnsiTheme="minorHAnsi" w:cstheme="minorHAnsi"/>
                <w:sz w:val="20"/>
                <w:szCs w:val="20"/>
              </w:rPr>
            </w:pPr>
            <w:r w:rsidRPr="008F6F94">
              <w:rPr>
                <w:rFonts w:asciiTheme="minorHAnsi" w:eastAsia="Times New Roman" w:hAnsiTheme="minorHAnsi" w:cstheme="minorHAnsi"/>
                <w:sz w:val="20"/>
                <w:szCs w:val="20"/>
              </w:rPr>
              <w:t xml:space="preserve">Fleming Fund’s approach in </w:t>
            </w:r>
            <w:r w:rsidR="009E2AC2">
              <w:rPr>
                <w:rFonts w:asciiTheme="minorHAnsi" w:eastAsia="Times New Roman" w:hAnsiTheme="minorHAnsi" w:cstheme="minorHAnsi"/>
                <w:sz w:val="20"/>
                <w:szCs w:val="20"/>
              </w:rPr>
              <w:t>phase 1</w:t>
            </w:r>
            <w:r w:rsidRPr="008F6F94">
              <w:rPr>
                <w:rFonts w:asciiTheme="minorHAnsi" w:eastAsia="Times New Roman" w:hAnsiTheme="minorHAnsi" w:cstheme="minorHAnsi"/>
                <w:sz w:val="20"/>
                <w:szCs w:val="20"/>
              </w:rPr>
              <w:t>, especially emphasising One Health and Fellowships, has contributed positively to the prospects for data use.</w:t>
            </w:r>
            <w:r w:rsidRPr="008F6F94" w:rsidDel="007D2E99">
              <w:rPr>
                <w:rFonts w:asciiTheme="minorHAnsi" w:eastAsia="Times New Roman" w:hAnsiTheme="minorHAnsi" w:cstheme="minorHAnsi"/>
                <w:sz w:val="20"/>
                <w:szCs w:val="20"/>
              </w:rPr>
              <w:t xml:space="preserve"> </w:t>
            </w:r>
            <w:r w:rsidR="00D1415E">
              <w:rPr>
                <w:rFonts w:asciiTheme="minorHAnsi" w:eastAsia="Times New Roman" w:hAnsiTheme="minorHAnsi" w:cstheme="minorHAnsi"/>
                <w:sz w:val="20"/>
                <w:szCs w:val="20"/>
              </w:rPr>
              <w:t xml:space="preserve">Phase </w:t>
            </w:r>
            <w:r w:rsidR="009E2AC2">
              <w:rPr>
                <w:rFonts w:asciiTheme="minorHAnsi" w:eastAsia="Times New Roman" w:hAnsiTheme="minorHAnsi" w:cstheme="minorHAnsi"/>
                <w:sz w:val="20"/>
                <w:szCs w:val="20"/>
              </w:rPr>
              <w:t>1</w:t>
            </w:r>
            <w:r w:rsidRPr="008F6F94">
              <w:rPr>
                <w:rFonts w:asciiTheme="minorHAnsi" w:eastAsia="Times New Roman" w:hAnsiTheme="minorHAnsi" w:cstheme="minorHAnsi"/>
                <w:sz w:val="20"/>
                <w:szCs w:val="20"/>
              </w:rPr>
              <w:t xml:space="preserve"> RG activities have also helped to build consensus on data use issues and to equip stakeholders for future initiatives. However, limitations in the MA’s conceptual frameworks currently limit the prospects for Fleming Fund contributions to data use as part of a sustainable, aligned, country-owned approach.</w:t>
            </w:r>
            <w:r w:rsidRPr="008F6F94" w:rsidDel="007D2E99">
              <w:rPr>
                <w:rFonts w:asciiTheme="minorHAnsi" w:eastAsia="Times New Roman" w:hAnsiTheme="minorHAnsi" w:cstheme="minorHAnsi"/>
                <w:sz w:val="20"/>
                <w:szCs w:val="20"/>
              </w:rPr>
              <w:t xml:space="preserve"> </w:t>
            </w:r>
            <w:r w:rsidRPr="008F6F94">
              <w:rPr>
                <w:rFonts w:asciiTheme="minorHAnsi" w:eastAsia="Times New Roman" w:hAnsiTheme="minorHAnsi" w:cstheme="minorHAnsi"/>
                <w:sz w:val="20"/>
                <w:szCs w:val="20"/>
              </w:rPr>
              <w:t>As a result, the Fleming Fund has so far only made a limited contribution to advancing the prospects for sustainable country-owned data use.</w:t>
            </w:r>
          </w:p>
          <w:p w14:paraId="3BC2C839" w14:textId="065086B7" w:rsidR="00FE0867" w:rsidRPr="008F6F94" w:rsidRDefault="00FE0867" w:rsidP="00C6374D">
            <w:pPr>
              <w:pStyle w:val="FFNormal"/>
              <w:numPr>
                <w:ilvl w:val="0"/>
                <w:numId w:val="107"/>
              </w:numPr>
              <w:spacing w:after="0" w:line="240" w:lineRule="auto"/>
              <w:ind w:left="306" w:hanging="284"/>
              <w:rPr>
                <w:rFonts w:asciiTheme="minorHAnsi" w:hAnsiTheme="minorHAnsi" w:cstheme="minorHAnsi"/>
                <w:sz w:val="20"/>
                <w:szCs w:val="20"/>
              </w:rPr>
            </w:pPr>
            <w:r w:rsidRPr="008F6F94">
              <w:rPr>
                <w:rFonts w:asciiTheme="minorHAnsi" w:eastAsia="Times New Roman" w:hAnsiTheme="minorHAnsi" w:cstheme="minorHAnsi"/>
                <w:sz w:val="20"/>
                <w:szCs w:val="20"/>
              </w:rPr>
              <w:t>For changes in reporting to GLASS, the Fleming Fund has contributed to most but not all key drivers of data sharing in all countries, albeit with less significance than the Fleming Fund’s contribution to changes in data availability.</w:t>
            </w:r>
            <w:r w:rsidRPr="008F6F94" w:rsidDel="007D2E99">
              <w:rPr>
                <w:rFonts w:asciiTheme="minorHAnsi" w:eastAsia="Times New Roman" w:hAnsiTheme="minorHAnsi" w:cstheme="minorHAnsi"/>
                <w:sz w:val="20"/>
                <w:szCs w:val="20"/>
              </w:rPr>
              <w:t xml:space="preserve"> </w:t>
            </w:r>
            <w:r w:rsidRPr="008F6F94">
              <w:rPr>
                <w:rFonts w:asciiTheme="minorHAnsi" w:eastAsia="Times New Roman" w:hAnsiTheme="minorHAnsi" w:cstheme="minorHAnsi"/>
                <w:sz w:val="20"/>
                <w:szCs w:val="20"/>
              </w:rPr>
              <w:t xml:space="preserve">For reporting to WOAH, the Fleming Fund has contributed to some drivers of data sharing in some countries, with limited contribution understandable given that this was not an area of focus for </w:t>
            </w:r>
            <w:r w:rsidR="009E2AC2">
              <w:rPr>
                <w:rFonts w:asciiTheme="minorHAnsi" w:eastAsia="Times New Roman" w:hAnsiTheme="minorHAnsi" w:cstheme="minorHAnsi"/>
                <w:sz w:val="20"/>
                <w:szCs w:val="20"/>
              </w:rPr>
              <w:t>phase 1</w:t>
            </w:r>
            <w:r w:rsidRPr="008F6F94">
              <w:rPr>
                <w:rFonts w:asciiTheme="minorHAnsi" w:eastAsia="Times New Roman" w:hAnsiTheme="minorHAnsi" w:cstheme="minorHAnsi"/>
                <w:sz w:val="20"/>
                <w:szCs w:val="20"/>
              </w:rPr>
              <w:t>.</w:t>
            </w:r>
          </w:p>
        </w:tc>
        <w:tc>
          <w:tcPr>
            <w:tcW w:w="4536" w:type="dxa"/>
            <w:vMerge/>
          </w:tcPr>
          <w:p w14:paraId="3A87F4CB" w14:textId="77777777" w:rsidR="00FE0867" w:rsidRPr="008F6F94" w:rsidRDefault="00FE0867">
            <w:pPr>
              <w:rPr>
                <w:rFonts w:asciiTheme="minorHAnsi" w:hAnsiTheme="minorHAnsi" w:cstheme="minorHAnsi"/>
                <w:sz w:val="20"/>
                <w:szCs w:val="20"/>
              </w:rPr>
            </w:pPr>
          </w:p>
        </w:tc>
        <w:tc>
          <w:tcPr>
            <w:tcW w:w="2835" w:type="dxa"/>
            <w:vMerge/>
          </w:tcPr>
          <w:p w14:paraId="0CC6F188" w14:textId="77777777" w:rsidR="00FE0867" w:rsidRPr="008F6F94" w:rsidRDefault="00FE0867">
            <w:pPr>
              <w:rPr>
                <w:rFonts w:asciiTheme="minorHAnsi" w:hAnsiTheme="minorHAnsi" w:cstheme="minorHAnsi"/>
                <w:sz w:val="20"/>
                <w:szCs w:val="20"/>
              </w:rPr>
            </w:pPr>
          </w:p>
        </w:tc>
      </w:tr>
      <w:tr w:rsidR="008F6F94" w:rsidRPr="008F6F94" w14:paraId="51B901A9" w14:textId="77777777" w:rsidTr="45CDE7E8">
        <w:tc>
          <w:tcPr>
            <w:tcW w:w="7225" w:type="dxa"/>
            <w:shd w:val="clear" w:color="auto" w:fill="D9D9D9" w:themeFill="background1" w:themeFillShade="D9"/>
          </w:tcPr>
          <w:p w14:paraId="034ACEC9" w14:textId="083D9C76" w:rsidR="0034108A" w:rsidRPr="008F6F94" w:rsidRDefault="0034108A">
            <w:pPr>
              <w:rPr>
                <w:rFonts w:asciiTheme="minorHAnsi" w:hAnsiTheme="minorHAnsi" w:cstheme="minorHAnsi"/>
                <w:b/>
                <w:bCs/>
                <w:sz w:val="20"/>
                <w:szCs w:val="20"/>
              </w:rPr>
            </w:pPr>
            <w:r w:rsidRPr="008F6F94">
              <w:rPr>
                <w:rFonts w:asciiTheme="minorHAnsi" w:hAnsiTheme="minorHAnsi" w:cstheme="minorHAnsi"/>
                <w:b/>
                <w:bCs/>
                <w:sz w:val="20"/>
                <w:szCs w:val="20"/>
              </w:rPr>
              <w:t>Sustainability (EQ3)</w:t>
            </w:r>
          </w:p>
        </w:tc>
        <w:tc>
          <w:tcPr>
            <w:tcW w:w="4536" w:type="dxa"/>
            <w:shd w:val="clear" w:color="auto" w:fill="D9D9D9" w:themeFill="background1" w:themeFillShade="D9"/>
          </w:tcPr>
          <w:p w14:paraId="67EBB994" w14:textId="77777777" w:rsidR="0034108A" w:rsidRPr="008F6F94" w:rsidRDefault="0034108A">
            <w:pPr>
              <w:rPr>
                <w:rFonts w:asciiTheme="minorHAnsi" w:hAnsiTheme="minorHAnsi" w:cstheme="minorHAnsi"/>
                <w:sz w:val="20"/>
                <w:szCs w:val="20"/>
              </w:rPr>
            </w:pPr>
          </w:p>
        </w:tc>
        <w:tc>
          <w:tcPr>
            <w:tcW w:w="2835" w:type="dxa"/>
            <w:shd w:val="clear" w:color="auto" w:fill="D9D9D9" w:themeFill="background1" w:themeFillShade="D9"/>
          </w:tcPr>
          <w:p w14:paraId="593B4453" w14:textId="77777777" w:rsidR="0034108A" w:rsidRPr="008F6F94" w:rsidRDefault="0034108A">
            <w:pPr>
              <w:rPr>
                <w:rFonts w:asciiTheme="minorHAnsi" w:hAnsiTheme="minorHAnsi" w:cstheme="minorHAnsi"/>
                <w:sz w:val="20"/>
                <w:szCs w:val="20"/>
              </w:rPr>
            </w:pPr>
          </w:p>
        </w:tc>
      </w:tr>
      <w:tr w:rsidR="008F6F94" w:rsidRPr="008F6F94" w14:paraId="1A161626" w14:textId="77777777" w:rsidTr="45CDE7E8">
        <w:tc>
          <w:tcPr>
            <w:tcW w:w="7225" w:type="dxa"/>
          </w:tcPr>
          <w:p w14:paraId="4181A49C" w14:textId="5A4CDB5E" w:rsidR="0063324A" w:rsidRPr="008F6F94" w:rsidRDefault="0063324A">
            <w:pPr>
              <w:rPr>
                <w:rFonts w:asciiTheme="minorHAnsi" w:hAnsiTheme="minorHAnsi" w:cstheme="minorHAnsi"/>
                <w:sz w:val="20"/>
                <w:szCs w:val="20"/>
              </w:rPr>
            </w:pPr>
            <w:r w:rsidRPr="008F6F94">
              <w:rPr>
                <w:rFonts w:asciiTheme="minorHAnsi" w:eastAsia="Times New Roman" w:hAnsiTheme="minorHAnsi" w:cstheme="minorHAnsi"/>
                <w:sz w:val="20"/>
                <w:szCs w:val="20"/>
                <w:lang w:eastAsia="en-GB"/>
              </w:rPr>
              <w:t xml:space="preserve">The MA has been clear that prospects for achieving sustainability during </w:t>
            </w:r>
            <w:r w:rsidR="009E2AC2">
              <w:rPr>
                <w:rFonts w:asciiTheme="minorHAnsi" w:eastAsia="Times New Roman" w:hAnsiTheme="minorHAnsi" w:cstheme="minorHAnsi"/>
                <w:sz w:val="20"/>
                <w:szCs w:val="20"/>
                <w:lang w:eastAsia="en-GB"/>
              </w:rPr>
              <w:t>phase 1</w:t>
            </w:r>
            <w:r w:rsidRPr="008F6F94">
              <w:rPr>
                <w:rFonts w:asciiTheme="minorHAnsi" w:eastAsia="Times New Roman" w:hAnsiTheme="minorHAnsi" w:cstheme="minorHAnsi"/>
                <w:sz w:val="20"/>
                <w:szCs w:val="20"/>
                <w:lang w:eastAsia="en-GB"/>
              </w:rPr>
              <w:t xml:space="preserve"> were limited given the starting points in most countries and limited implementation time of some grants (this is backed up by broader evidence which underlines that sustainability is hard to achieve and takes time).</w:t>
            </w:r>
            <w:r w:rsidRPr="008F6F94" w:rsidDel="007D2E99">
              <w:rPr>
                <w:rFonts w:asciiTheme="minorHAnsi" w:eastAsia="Times New Roman" w:hAnsiTheme="minorHAnsi" w:cstheme="minorHAnsi"/>
                <w:sz w:val="20"/>
                <w:szCs w:val="20"/>
                <w:lang w:eastAsia="en-GB"/>
              </w:rPr>
              <w:t xml:space="preserve"> </w:t>
            </w:r>
            <w:r w:rsidRPr="008F6F94">
              <w:rPr>
                <w:rFonts w:asciiTheme="minorHAnsi" w:eastAsia="Times New Roman" w:hAnsiTheme="minorHAnsi" w:cstheme="minorHAnsi"/>
                <w:sz w:val="20"/>
                <w:szCs w:val="20"/>
                <w:lang w:eastAsia="en-GB"/>
              </w:rPr>
              <w:t>The MA’s approach to sustainability has focused on a) hardwiring sustainability prospects in grant design, b) delivering success in Fleming Fund 1, c) increasing the focus on sustainability in CG2s.</w:t>
            </w:r>
            <w:r w:rsidRPr="008F6F94" w:rsidDel="007D2E99">
              <w:rPr>
                <w:rFonts w:asciiTheme="minorHAnsi" w:eastAsia="Times New Roman" w:hAnsiTheme="minorHAnsi" w:cstheme="minorHAnsi"/>
                <w:sz w:val="20"/>
                <w:szCs w:val="20"/>
                <w:lang w:eastAsia="en-GB"/>
              </w:rPr>
              <w:t xml:space="preserve"> </w:t>
            </w:r>
          </w:p>
        </w:tc>
        <w:tc>
          <w:tcPr>
            <w:tcW w:w="4536" w:type="dxa"/>
            <w:vMerge w:val="restart"/>
          </w:tcPr>
          <w:p w14:paraId="2594C3F3" w14:textId="1EBBFAB6" w:rsidR="0063324A" w:rsidRPr="008F6F94" w:rsidRDefault="0063324A">
            <w:pPr>
              <w:rPr>
                <w:rFonts w:asciiTheme="minorHAnsi" w:hAnsiTheme="minorHAnsi" w:cstheme="minorHAnsi"/>
                <w:sz w:val="20"/>
                <w:szCs w:val="20"/>
              </w:rPr>
            </w:pPr>
            <w:r w:rsidRPr="007F63EF">
              <w:rPr>
                <w:rFonts w:asciiTheme="minorHAnsi" w:eastAsia="Calibri" w:hAnsiTheme="minorHAnsi" w:cstheme="minorHAnsi"/>
                <w:b/>
                <w:bCs/>
                <w:sz w:val="20"/>
                <w:szCs w:val="20"/>
              </w:rPr>
              <w:t>Conclusion 5:</w:t>
            </w:r>
            <w:r w:rsidRPr="007F63EF" w:rsidDel="007D2E99">
              <w:rPr>
                <w:rFonts w:asciiTheme="minorHAnsi" w:eastAsia="Calibri" w:hAnsiTheme="minorHAnsi" w:cstheme="minorHAnsi"/>
                <w:b/>
                <w:bCs/>
                <w:sz w:val="20"/>
                <w:szCs w:val="20"/>
              </w:rPr>
              <w:t xml:space="preserve"> </w:t>
            </w:r>
            <w:r w:rsidR="001321B9" w:rsidRPr="007F63EF">
              <w:rPr>
                <w:rFonts w:asciiTheme="minorHAnsi" w:eastAsia="Times New Roman" w:hAnsiTheme="minorHAnsi" w:cstheme="minorHAnsi"/>
                <w:b/>
                <w:bCs/>
                <w:sz w:val="20"/>
                <w:szCs w:val="20"/>
              </w:rPr>
              <w:t xml:space="preserve">Experience from </w:t>
            </w:r>
            <w:r w:rsidR="009E2AC2">
              <w:rPr>
                <w:rFonts w:asciiTheme="minorHAnsi" w:eastAsia="Times New Roman" w:hAnsiTheme="minorHAnsi" w:cstheme="minorHAnsi"/>
                <w:b/>
                <w:bCs/>
                <w:sz w:val="20"/>
                <w:szCs w:val="20"/>
              </w:rPr>
              <w:t>phase 1</w:t>
            </w:r>
            <w:r w:rsidR="001321B9" w:rsidRPr="007F63EF">
              <w:rPr>
                <w:rFonts w:asciiTheme="minorHAnsi" w:eastAsia="Times New Roman" w:hAnsiTheme="minorHAnsi" w:cstheme="minorHAnsi"/>
                <w:b/>
                <w:bCs/>
                <w:sz w:val="20"/>
                <w:szCs w:val="20"/>
              </w:rPr>
              <w:t xml:space="preserve"> suggests</w:t>
            </w:r>
            <w:r w:rsidR="00D1415E">
              <w:rPr>
                <w:rFonts w:asciiTheme="minorHAnsi" w:eastAsia="Times New Roman" w:hAnsiTheme="minorHAnsi" w:cstheme="minorHAnsi"/>
                <w:b/>
                <w:bCs/>
                <w:sz w:val="20"/>
                <w:szCs w:val="20"/>
              </w:rPr>
              <w:t xml:space="preserve"> that</w:t>
            </w:r>
            <w:r w:rsidR="001321B9" w:rsidRPr="007F63EF">
              <w:rPr>
                <w:rFonts w:asciiTheme="minorHAnsi" w:eastAsia="Times New Roman" w:hAnsiTheme="minorHAnsi" w:cstheme="minorHAnsi"/>
                <w:b/>
                <w:bCs/>
                <w:sz w:val="20"/>
                <w:szCs w:val="20"/>
              </w:rPr>
              <w:t xml:space="preserve"> the Fleming Fund can strengthen its approach through further reflection, including in terms of using a stronger and prioritised sustainability lens from the start in deciding what support to provide to laboratories, working at the organisational level to sustain capacity building results, focusing on other data types as well as AMR, and differentiating more strongly between support provided to AH and HH</w:t>
            </w:r>
            <w:r w:rsidR="009E2AC2">
              <w:rPr>
                <w:rFonts w:asciiTheme="minorHAnsi" w:eastAsia="Times New Roman" w:hAnsiTheme="minorHAnsi" w:cstheme="minorHAnsi"/>
                <w:b/>
                <w:bCs/>
                <w:sz w:val="20"/>
                <w:szCs w:val="20"/>
              </w:rPr>
              <w:t xml:space="preserve"> </w:t>
            </w:r>
            <w:r w:rsidR="009E2AC2">
              <w:rPr>
                <w:rFonts w:asciiTheme="minorHAnsi" w:eastAsia="Times New Roman" w:hAnsiTheme="minorHAnsi" w:cstheme="minorHAnsi"/>
                <w:b/>
                <w:bCs/>
                <w:noProof/>
                <w:sz w:val="20"/>
                <w:szCs w:val="20"/>
              </w:rPr>
              <w:t>phase 1</w:t>
            </w:r>
          </w:p>
        </w:tc>
        <w:tc>
          <w:tcPr>
            <w:tcW w:w="2835" w:type="dxa"/>
            <w:vMerge w:val="restart"/>
          </w:tcPr>
          <w:p w14:paraId="572DFB7F" w14:textId="5AE188AF" w:rsidR="0063324A" w:rsidRPr="008F6F94" w:rsidRDefault="0063324A">
            <w:pPr>
              <w:rPr>
                <w:rFonts w:asciiTheme="minorHAnsi" w:hAnsiTheme="minorHAnsi" w:cstheme="minorHAnsi"/>
                <w:sz w:val="20"/>
                <w:szCs w:val="20"/>
              </w:rPr>
            </w:pPr>
            <w:r w:rsidRPr="007F63EF">
              <w:rPr>
                <w:rFonts w:asciiTheme="minorHAnsi" w:eastAsia="Times New Roman" w:hAnsiTheme="minorHAnsi" w:cstheme="minorHAnsi"/>
                <w:b/>
                <w:bCs/>
                <w:sz w:val="20"/>
                <w:szCs w:val="20"/>
                <w:lang w:eastAsia="en-GB"/>
              </w:rPr>
              <w:t>Recommendation 4:</w:t>
            </w:r>
            <w:r w:rsidRPr="007F63EF" w:rsidDel="007D2E99">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The Fleming Fund should make specific adaptations to or emphases within its technical approach for </w:t>
            </w:r>
            <w:r w:rsidR="009E2AC2">
              <w:rPr>
                <w:rFonts w:asciiTheme="minorHAnsi" w:eastAsia="Times New Roman" w:hAnsiTheme="minorHAnsi" w:cstheme="minorHAnsi"/>
                <w:sz w:val="20"/>
                <w:szCs w:val="20"/>
                <w:lang w:eastAsia="en-GB"/>
              </w:rPr>
              <w:t>phase 2</w:t>
            </w:r>
            <w:r w:rsidRPr="007F63EF">
              <w:rPr>
                <w:rFonts w:asciiTheme="minorHAnsi" w:eastAsia="Times New Roman" w:hAnsiTheme="minorHAnsi" w:cstheme="minorHAnsi"/>
                <w:sz w:val="20"/>
                <w:szCs w:val="20"/>
                <w:lang w:eastAsia="en-GB"/>
              </w:rPr>
              <w:t xml:space="preserve">, that are supported by experience from </w:t>
            </w:r>
            <w:r w:rsidR="009E2AC2">
              <w:rPr>
                <w:rFonts w:asciiTheme="minorHAnsi" w:eastAsia="Times New Roman" w:hAnsiTheme="minorHAnsi" w:cstheme="minorHAnsi"/>
                <w:sz w:val="20"/>
                <w:szCs w:val="20"/>
                <w:lang w:eastAsia="en-GB"/>
              </w:rPr>
              <w:t>phase 1</w:t>
            </w:r>
            <w:r w:rsidRPr="007F63EF">
              <w:rPr>
                <w:rFonts w:asciiTheme="minorHAnsi" w:eastAsia="Times New Roman" w:hAnsiTheme="minorHAnsi" w:cstheme="minorHAnsi"/>
                <w:sz w:val="20"/>
                <w:szCs w:val="20"/>
                <w:lang w:eastAsia="en-GB"/>
              </w:rPr>
              <w:t>, including focusing on AMU and other data sources, identifying informal approaches to One Health multisector collaboration, and maximising the prospects for sustaining laboratory functions.</w:t>
            </w:r>
          </w:p>
        </w:tc>
      </w:tr>
      <w:tr w:rsidR="008F6F94" w:rsidRPr="008F6F94" w14:paraId="22C6CD43" w14:textId="77777777" w:rsidTr="45CDE7E8">
        <w:tc>
          <w:tcPr>
            <w:tcW w:w="7225" w:type="dxa"/>
          </w:tcPr>
          <w:p w14:paraId="5C5C6F91" w14:textId="77777777" w:rsidR="0063324A" w:rsidRPr="008F6F94" w:rsidRDefault="0063324A">
            <w:pPr>
              <w:rPr>
                <w:rFonts w:asciiTheme="minorHAnsi" w:hAnsiTheme="minorHAnsi" w:cstheme="minorHAnsi"/>
                <w:sz w:val="20"/>
                <w:szCs w:val="20"/>
              </w:rPr>
            </w:pPr>
            <w:r w:rsidRPr="008F6F94">
              <w:rPr>
                <w:rFonts w:asciiTheme="minorHAnsi" w:eastAsia="Times New Roman" w:hAnsiTheme="minorHAnsi" w:cstheme="minorHAnsi"/>
                <w:sz w:val="20"/>
                <w:szCs w:val="20"/>
                <w:lang w:eastAsia="en-GB"/>
              </w:rPr>
              <w:t>The MA approach to sustainability has limited the extent to which realistic expectations and plans have been established and actively discussed with key counterparts.</w:t>
            </w:r>
          </w:p>
        </w:tc>
        <w:tc>
          <w:tcPr>
            <w:tcW w:w="4536" w:type="dxa"/>
            <w:vMerge/>
          </w:tcPr>
          <w:p w14:paraId="6130FD9E" w14:textId="77777777" w:rsidR="0063324A" w:rsidRPr="008F6F94" w:rsidRDefault="0063324A">
            <w:pPr>
              <w:rPr>
                <w:rFonts w:asciiTheme="minorHAnsi" w:hAnsiTheme="minorHAnsi" w:cstheme="minorHAnsi"/>
                <w:sz w:val="20"/>
                <w:szCs w:val="20"/>
              </w:rPr>
            </w:pPr>
          </w:p>
        </w:tc>
        <w:tc>
          <w:tcPr>
            <w:tcW w:w="2835" w:type="dxa"/>
            <w:vMerge/>
          </w:tcPr>
          <w:p w14:paraId="2F7E7E7A" w14:textId="77777777" w:rsidR="0063324A" w:rsidRPr="008F6F94" w:rsidRDefault="0063324A">
            <w:pPr>
              <w:rPr>
                <w:rFonts w:asciiTheme="minorHAnsi" w:hAnsiTheme="minorHAnsi" w:cstheme="minorHAnsi"/>
                <w:sz w:val="20"/>
                <w:szCs w:val="20"/>
              </w:rPr>
            </w:pPr>
          </w:p>
        </w:tc>
      </w:tr>
      <w:tr w:rsidR="008F6F94" w:rsidRPr="008F6F94" w14:paraId="323251B4" w14:textId="77777777" w:rsidTr="45CDE7E8">
        <w:tc>
          <w:tcPr>
            <w:tcW w:w="7225" w:type="dxa"/>
          </w:tcPr>
          <w:p w14:paraId="3FBD4CFF" w14:textId="1E174F95" w:rsidR="0063324A" w:rsidRPr="008F6F94" w:rsidRDefault="0063324A">
            <w:pPr>
              <w:rPr>
                <w:rFonts w:asciiTheme="minorHAnsi" w:hAnsiTheme="minorHAnsi" w:cstheme="minorHAnsi"/>
                <w:sz w:val="20"/>
                <w:szCs w:val="20"/>
              </w:rPr>
            </w:pPr>
            <w:r w:rsidRPr="008F6F94">
              <w:rPr>
                <w:rFonts w:asciiTheme="minorHAnsi" w:eastAsia="Times New Roman" w:hAnsiTheme="minorHAnsi" w:cstheme="minorHAnsi"/>
                <w:sz w:val="20"/>
                <w:szCs w:val="20"/>
                <w:lang w:eastAsia="en-GB"/>
              </w:rPr>
              <w:t>Based on action to date and the current status of country-level conditions, there are limited prospects for sustainability.</w:t>
            </w:r>
            <w:r w:rsidRPr="008F6F94" w:rsidDel="007D2E99">
              <w:rPr>
                <w:rFonts w:asciiTheme="minorHAnsi" w:eastAsia="Times New Roman" w:hAnsiTheme="minorHAnsi" w:cstheme="minorHAnsi"/>
                <w:sz w:val="20"/>
                <w:szCs w:val="20"/>
                <w:lang w:eastAsia="en-GB"/>
              </w:rPr>
              <w:t xml:space="preserve"> </w:t>
            </w:r>
            <w:r w:rsidRPr="008F6F94">
              <w:rPr>
                <w:rFonts w:asciiTheme="minorHAnsi" w:eastAsia="Times New Roman" w:hAnsiTheme="minorHAnsi" w:cstheme="minorHAnsi"/>
                <w:sz w:val="20"/>
                <w:szCs w:val="20"/>
                <w:lang w:eastAsia="en-GB"/>
              </w:rPr>
              <w:t xml:space="preserve">Albeit somewhat moot now that a second phase of the Fleming Fund has been approved, if the Fleming Fund had stopped at the end of </w:t>
            </w:r>
            <w:r w:rsidR="009E2AC2">
              <w:rPr>
                <w:rFonts w:asciiTheme="minorHAnsi" w:eastAsia="Times New Roman" w:hAnsiTheme="minorHAnsi" w:cstheme="minorHAnsi"/>
                <w:sz w:val="20"/>
                <w:szCs w:val="20"/>
                <w:lang w:eastAsia="en-GB"/>
              </w:rPr>
              <w:t>phase 1</w:t>
            </w:r>
            <w:r w:rsidRPr="008F6F94">
              <w:rPr>
                <w:rFonts w:asciiTheme="minorHAnsi" w:eastAsia="Times New Roman" w:hAnsiTheme="minorHAnsi" w:cstheme="minorHAnsi"/>
                <w:sz w:val="20"/>
                <w:szCs w:val="20"/>
                <w:lang w:eastAsia="en-GB"/>
              </w:rPr>
              <w:t xml:space="preserve">, sustaining results would </w:t>
            </w:r>
            <w:r w:rsidR="00D1415E">
              <w:rPr>
                <w:rFonts w:asciiTheme="minorHAnsi" w:eastAsia="Times New Roman" w:hAnsiTheme="minorHAnsi" w:cstheme="minorHAnsi"/>
                <w:sz w:val="20"/>
                <w:szCs w:val="20"/>
                <w:lang w:eastAsia="en-GB"/>
              </w:rPr>
              <w:t>have been</w:t>
            </w:r>
            <w:r w:rsidR="00D1415E" w:rsidRPr="008F6F94">
              <w:rPr>
                <w:rFonts w:asciiTheme="minorHAnsi" w:eastAsia="Times New Roman" w:hAnsiTheme="minorHAnsi" w:cstheme="minorHAnsi"/>
                <w:sz w:val="20"/>
                <w:szCs w:val="20"/>
                <w:lang w:eastAsia="en-GB"/>
              </w:rPr>
              <w:t xml:space="preserve"> </w:t>
            </w:r>
            <w:r w:rsidRPr="008F6F94">
              <w:rPr>
                <w:rFonts w:asciiTheme="minorHAnsi" w:eastAsia="Times New Roman" w:hAnsiTheme="minorHAnsi" w:cstheme="minorHAnsi"/>
                <w:sz w:val="20"/>
                <w:szCs w:val="20"/>
                <w:lang w:eastAsia="en-GB"/>
              </w:rPr>
              <w:t>extremely challenging.</w:t>
            </w:r>
            <w:r w:rsidRPr="008F6F94" w:rsidDel="007D2E99">
              <w:rPr>
                <w:rFonts w:asciiTheme="minorHAnsi" w:eastAsia="Times New Roman" w:hAnsiTheme="minorHAnsi" w:cstheme="minorHAnsi"/>
                <w:sz w:val="20"/>
                <w:szCs w:val="20"/>
                <w:lang w:eastAsia="en-GB"/>
              </w:rPr>
              <w:t xml:space="preserve"> </w:t>
            </w:r>
            <w:r w:rsidRPr="008F6F94">
              <w:rPr>
                <w:rFonts w:asciiTheme="minorHAnsi" w:eastAsia="Times New Roman" w:hAnsiTheme="minorHAnsi" w:cstheme="minorHAnsi"/>
                <w:sz w:val="20"/>
                <w:szCs w:val="20"/>
                <w:lang w:eastAsia="en-GB"/>
              </w:rPr>
              <w:t xml:space="preserve">This is linked to the lack of progress in establishing key conditions, as identified in published literature; resources, capacity, </w:t>
            </w:r>
            <w:r w:rsidR="00D1415E">
              <w:rPr>
                <w:rFonts w:asciiTheme="minorHAnsi" w:eastAsia="Times New Roman" w:hAnsiTheme="minorHAnsi" w:cstheme="minorHAnsi"/>
                <w:sz w:val="20"/>
                <w:szCs w:val="20"/>
                <w:lang w:eastAsia="en-GB"/>
              </w:rPr>
              <w:t xml:space="preserve">and </w:t>
            </w:r>
            <w:r w:rsidRPr="008F6F94">
              <w:rPr>
                <w:rFonts w:asciiTheme="minorHAnsi" w:eastAsia="Times New Roman" w:hAnsiTheme="minorHAnsi" w:cstheme="minorHAnsi"/>
                <w:sz w:val="20"/>
                <w:szCs w:val="20"/>
                <w:lang w:eastAsia="en-GB"/>
              </w:rPr>
              <w:t>motivation.</w:t>
            </w:r>
          </w:p>
        </w:tc>
        <w:tc>
          <w:tcPr>
            <w:tcW w:w="4536" w:type="dxa"/>
            <w:vMerge/>
          </w:tcPr>
          <w:p w14:paraId="5C3F9B51" w14:textId="77777777" w:rsidR="0063324A" w:rsidRPr="008F6F94" w:rsidRDefault="0063324A">
            <w:pPr>
              <w:rPr>
                <w:rFonts w:asciiTheme="minorHAnsi" w:hAnsiTheme="minorHAnsi" w:cstheme="minorHAnsi"/>
                <w:sz w:val="20"/>
                <w:szCs w:val="20"/>
              </w:rPr>
            </w:pPr>
          </w:p>
        </w:tc>
        <w:tc>
          <w:tcPr>
            <w:tcW w:w="2835" w:type="dxa"/>
            <w:vMerge/>
          </w:tcPr>
          <w:p w14:paraId="0F36539C" w14:textId="77777777" w:rsidR="0063324A" w:rsidRPr="008F6F94" w:rsidRDefault="0063324A">
            <w:pPr>
              <w:rPr>
                <w:rFonts w:asciiTheme="minorHAnsi" w:hAnsiTheme="minorHAnsi" w:cstheme="minorHAnsi"/>
                <w:sz w:val="20"/>
                <w:szCs w:val="20"/>
              </w:rPr>
            </w:pPr>
          </w:p>
        </w:tc>
      </w:tr>
      <w:tr w:rsidR="008F6F94" w:rsidRPr="008F6F94" w14:paraId="24001CCA" w14:textId="77777777" w:rsidTr="45CDE7E8">
        <w:tc>
          <w:tcPr>
            <w:tcW w:w="7225" w:type="dxa"/>
          </w:tcPr>
          <w:p w14:paraId="4F752B8C" w14:textId="7F54BF79" w:rsidR="0063324A" w:rsidRPr="008F6F94" w:rsidRDefault="0063324A">
            <w:pPr>
              <w:rPr>
                <w:rFonts w:asciiTheme="minorHAnsi" w:hAnsiTheme="minorHAnsi" w:cstheme="minorHAnsi"/>
                <w:sz w:val="20"/>
                <w:szCs w:val="20"/>
              </w:rPr>
            </w:pPr>
            <w:r w:rsidRPr="008F6F94">
              <w:rPr>
                <w:rFonts w:asciiTheme="minorHAnsi" w:eastAsia="Times New Roman" w:hAnsiTheme="minorHAnsi" w:cstheme="minorHAnsi"/>
                <w:sz w:val="20"/>
                <w:szCs w:val="20"/>
                <w:lang w:eastAsia="en-GB"/>
              </w:rPr>
              <w:t>For the drivers of progress on quantity and quality, the prospects for sustainability appear limited.</w:t>
            </w:r>
            <w:r w:rsidRPr="008F6F94" w:rsidDel="007D2E99">
              <w:rPr>
                <w:rFonts w:asciiTheme="minorHAnsi" w:eastAsia="Times New Roman" w:hAnsiTheme="minorHAnsi" w:cstheme="minorHAnsi"/>
                <w:sz w:val="20"/>
                <w:szCs w:val="20"/>
                <w:lang w:eastAsia="en-GB"/>
              </w:rPr>
              <w:t xml:space="preserve"> </w:t>
            </w:r>
            <w:r w:rsidRPr="008F6F94">
              <w:rPr>
                <w:rFonts w:asciiTheme="minorHAnsi" w:eastAsia="Times New Roman" w:hAnsiTheme="minorHAnsi" w:cstheme="minorHAnsi"/>
                <w:sz w:val="20"/>
                <w:szCs w:val="20"/>
                <w:lang w:eastAsia="en-GB"/>
              </w:rPr>
              <w:t xml:space="preserve">Allocation of resources to AMR surveillance is key to sustainability but has not been a strong focus for </w:t>
            </w:r>
            <w:r w:rsidR="009E2AC2">
              <w:rPr>
                <w:rFonts w:asciiTheme="minorHAnsi" w:eastAsia="Times New Roman" w:hAnsiTheme="minorHAnsi" w:cstheme="minorHAnsi"/>
                <w:sz w:val="20"/>
                <w:szCs w:val="20"/>
                <w:lang w:eastAsia="en-GB"/>
              </w:rPr>
              <w:t>phase 1</w:t>
            </w:r>
            <w:r w:rsidRPr="008F6F94">
              <w:rPr>
                <w:rFonts w:asciiTheme="minorHAnsi" w:eastAsia="Times New Roman" w:hAnsiTheme="minorHAnsi" w:cstheme="minorHAnsi"/>
                <w:sz w:val="20"/>
                <w:szCs w:val="20"/>
                <w:lang w:eastAsia="en-GB"/>
              </w:rPr>
              <w:t>. Some aspects of the Fleming Fund design could make securing resources more challenging.</w:t>
            </w:r>
          </w:p>
        </w:tc>
        <w:tc>
          <w:tcPr>
            <w:tcW w:w="4536" w:type="dxa"/>
            <w:vMerge/>
          </w:tcPr>
          <w:p w14:paraId="5D148CCC" w14:textId="77777777" w:rsidR="0063324A" w:rsidRPr="008F6F94" w:rsidRDefault="0063324A">
            <w:pPr>
              <w:rPr>
                <w:rFonts w:asciiTheme="minorHAnsi" w:hAnsiTheme="minorHAnsi" w:cstheme="minorHAnsi"/>
                <w:sz w:val="20"/>
                <w:szCs w:val="20"/>
              </w:rPr>
            </w:pPr>
          </w:p>
        </w:tc>
        <w:tc>
          <w:tcPr>
            <w:tcW w:w="2835" w:type="dxa"/>
            <w:vMerge/>
          </w:tcPr>
          <w:p w14:paraId="786A605F" w14:textId="77777777" w:rsidR="0063324A" w:rsidRPr="008F6F94" w:rsidRDefault="0063324A">
            <w:pPr>
              <w:rPr>
                <w:rFonts w:asciiTheme="minorHAnsi" w:hAnsiTheme="minorHAnsi" w:cstheme="minorHAnsi"/>
                <w:sz w:val="20"/>
                <w:szCs w:val="20"/>
              </w:rPr>
            </w:pPr>
          </w:p>
        </w:tc>
      </w:tr>
      <w:tr w:rsidR="008F6F94" w:rsidRPr="008F6F94" w14:paraId="30FA3878" w14:textId="77777777" w:rsidTr="45CDE7E8">
        <w:tc>
          <w:tcPr>
            <w:tcW w:w="7225" w:type="dxa"/>
          </w:tcPr>
          <w:p w14:paraId="335D4A06" w14:textId="71427592" w:rsidR="0063324A" w:rsidRPr="008F6F94" w:rsidRDefault="0063324A">
            <w:pPr>
              <w:rPr>
                <w:rFonts w:asciiTheme="minorHAnsi" w:hAnsiTheme="minorHAnsi" w:cstheme="minorHAnsi"/>
                <w:sz w:val="20"/>
                <w:szCs w:val="20"/>
              </w:rPr>
            </w:pPr>
            <w:r w:rsidRPr="008F6F94">
              <w:rPr>
                <w:rFonts w:asciiTheme="minorHAnsi" w:eastAsia="Times New Roman" w:hAnsiTheme="minorHAnsi" w:cstheme="minorHAnsi"/>
                <w:sz w:val="20"/>
                <w:szCs w:val="20"/>
                <w:lang w:eastAsia="en-GB"/>
              </w:rPr>
              <w:t xml:space="preserve">Sustaining progress with capacity building and governance is challenging, relying on work at organisational and institutional levels. The MA has not focused strongly on this during </w:t>
            </w:r>
            <w:r w:rsidR="009E2AC2">
              <w:rPr>
                <w:rFonts w:asciiTheme="minorHAnsi" w:eastAsia="Times New Roman" w:hAnsiTheme="minorHAnsi" w:cstheme="minorHAnsi"/>
                <w:sz w:val="20"/>
                <w:szCs w:val="20"/>
                <w:lang w:eastAsia="en-GB"/>
              </w:rPr>
              <w:t>phase 1</w:t>
            </w:r>
            <w:r w:rsidRPr="008F6F94">
              <w:rPr>
                <w:rFonts w:asciiTheme="minorHAnsi" w:hAnsiTheme="minorHAnsi" w:cstheme="minorHAnsi"/>
                <w:sz w:val="20"/>
                <w:szCs w:val="20"/>
              </w:rPr>
              <w:t>.</w:t>
            </w:r>
          </w:p>
        </w:tc>
        <w:tc>
          <w:tcPr>
            <w:tcW w:w="4536" w:type="dxa"/>
            <w:vMerge/>
          </w:tcPr>
          <w:p w14:paraId="1CED9D73" w14:textId="77777777" w:rsidR="0063324A" w:rsidRPr="008F6F94" w:rsidRDefault="0063324A">
            <w:pPr>
              <w:rPr>
                <w:rFonts w:asciiTheme="minorHAnsi" w:hAnsiTheme="minorHAnsi" w:cstheme="minorHAnsi"/>
                <w:sz w:val="20"/>
                <w:szCs w:val="20"/>
              </w:rPr>
            </w:pPr>
          </w:p>
        </w:tc>
        <w:tc>
          <w:tcPr>
            <w:tcW w:w="2835" w:type="dxa"/>
            <w:vMerge/>
          </w:tcPr>
          <w:p w14:paraId="62BE1360" w14:textId="77777777" w:rsidR="0063324A" w:rsidRPr="008F6F94" w:rsidRDefault="0063324A">
            <w:pPr>
              <w:rPr>
                <w:rFonts w:asciiTheme="minorHAnsi" w:hAnsiTheme="minorHAnsi" w:cstheme="minorHAnsi"/>
                <w:sz w:val="20"/>
                <w:szCs w:val="20"/>
              </w:rPr>
            </w:pPr>
          </w:p>
        </w:tc>
      </w:tr>
      <w:tr w:rsidR="008F6F94" w:rsidRPr="008F6F94" w14:paraId="7B31D9F8" w14:textId="77777777" w:rsidTr="45CDE7E8">
        <w:tc>
          <w:tcPr>
            <w:tcW w:w="7225" w:type="dxa"/>
          </w:tcPr>
          <w:p w14:paraId="01524646" w14:textId="1DA5628B" w:rsidR="0063324A" w:rsidRPr="007F63EF" w:rsidRDefault="009E2AC2" w:rsidP="00C6374D">
            <w:pPr>
              <w:pStyle w:val="ListParagraph"/>
              <w:numPr>
                <w:ilvl w:val="0"/>
                <w:numId w:val="108"/>
              </w:numPr>
              <w:tabs>
                <w:tab w:val="left" w:pos="1418"/>
              </w:tabs>
              <w:spacing w:after="120"/>
              <w:rPr>
                <w:rFonts w:asciiTheme="minorHAnsi" w:hAnsiTheme="minorHAnsi" w:cstheme="minorHAnsi"/>
                <w:sz w:val="20"/>
                <w:szCs w:val="20"/>
              </w:rPr>
            </w:pPr>
            <w:r>
              <w:rPr>
                <w:rFonts w:asciiTheme="minorHAnsi" w:eastAsia="Times New Roman" w:hAnsiTheme="minorHAnsi" w:cstheme="minorHAnsi"/>
                <w:sz w:val="20"/>
                <w:szCs w:val="20"/>
                <w:lang w:eastAsia="en-GB"/>
              </w:rPr>
              <w:t>phase 2</w:t>
            </w:r>
            <w:r w:rsidR="0063324A" w:rsidRPr="008F6F94">
              <w:rPr>
                <w:rFonts w:asciiTheme="minorHAnsi" w:eastAsia="Times New Roman" w:hAnsiTheme="minorHAnsi" w:cstheme="minorHAnsi"/>
                <w:sz w:val="20"/>
                <w:szCs w:val="20"/>
                <w:lang w:eastAsia="en-GB"/>
              </w:rPr>
              <w:t xml:space="preserve"> appears set to address some of the challenges noted above, but it is not currently clear to the evaluation team exactly how this will be done. Sustainability is a shared responsibility between the DHSC, MA team and recipient governments</w:t>
            </w:r>
            <w:r w:rsidR="0063324A" w:rsidRPr="008F6F94" w:rsidDel="00F526BA">
              <w:rPr>
                <w:rFonts w:asciiTheme="minorHAnsi" w:eastAsia="Times New Roman" w:hAnsiTheme="minorHAnsi" w:cstheme="minorHAnsi"/>
                <w:sz w:val="20"/>
                <w:szCs w:val="20"/>
                <w:lang w:eastAsia="en-GB"/>
              </w:rPr>
              <w:t>.</w:t>
            </w:r>
          </w:p>
        </w:tc>
        <w:tc>
          <w:tcPr>
            <w:tcW w:w="4536" w:type="dxa"/>
            <w:vMerge/>
          </w:tcPr>
          <w:p w14:paraId="4C5EAE57" w14:textId="77777777" w:rsidR="0063324A" w:rsidRPr="008F6F94" w:rsidRDefault="0063324A">
            <w:pPr>
              <w:rPr>
                <w:rFonts w:asciiTheme="minorHAnsi" w:hAnsiTheme="minorHAnsi" w:cstheme="minorHAnsi"/>
                <w:sz w:val="20"/>
                <w:szCs w:val="20"/>
              </w:rPr>
            </w:pPr>
          </w:p>
        </w:tc>
        <w:tc>
          <w:tcPr>
            <w:tcW w:w="2835" w:type="dxa"/>
            <w:vMerge/>
          </w:tcPr>
          <w:p w14:paraId="67532150" w14:textId="77777777" w:rsidR="0063324A" w:rsidRPr="008F6F94" w:rsidRDefault="0063324A">
            <w:pPr>
              <w:rPr>
                <w:rFonts w:asciiTheme="minorHAnsi" w:hAnsiTheme="minorHAnsi" w:cstheme="minorHAnsi"/>
                <w:sz w:val="20"/>
                <w:szCs w:val="20"/>
              </w:rPr>
            </w:pPr>
          </w:p>
        </w:tc>
      </w:tr>
      <w:tr w:rsidR="008F6F94" w:rsidRPr="008F6F94" w14:paraId="5FCECE11" w14:textId="77777777" w:rsidTr="45CDE7E8">
        <w:tc>
          <w:tcPr>
            <w:tcW w:w="7225" w:type="dxa"/>
            <w:shd w:val="clear" w:color="auto" w:fill="D9D9D9" w:themeFill="background1" w:themeFillShade="D9"/>
          </w:tcPr>
          <w:p w14:paraId="4283EC1D" w14:textId="23D4A8E9" w:rsidR="0034108A" w:rsidRPr="008F6F94" w:rsidRDefault="0034108A">
            <w:pPr>
              <w:rPr>
                <w:rFonts w:asciiTheme="minorHAnsi" w:hAnsiTheme="minorHAnsi" w:cstheme="minorHAnsi"/>
                <w:b/>
                <w:bCs/>
                <w:sz w:val="20"/>
                <w:szCs w:val="20"/>
              </w:rPr>
            </w:pPr>
            <w:r w:rsidRPr="008F6F94">
              <w:rPr>
                <w:rFonts w:asciiTheme="minorHAnsi" w:hAnsiTheme="minorHAnsi" w:cstheme="minorHAnsi"/>
                <w:b/>
                <w:bCs/>
                <w:sz w:val="20"/>
                <w:szCs w:val="20"/>
              </w:rPr>
              <w:t>Value for Money (EQ6), including alignment and coherence (EQ2)</w:t>
            </w:r>
          </w:p>
        </w:tc>
        <w:tc>
          <w:tcPr>
            <w:tcW w:w="4536" w:type="dxa"/>
            <w:shd w:val="clear" w:color="auto" w:fill="D9D9D9" w:themeFill="background1" w:themeFillShade="D9"/>
          </w:tcPr>
          <w:p w14:paraId="5A05F976" w14:textId="77777777" w:rsidR="0034108A" w:rsidRPr="008F6F94" w:rsidRDefault="0034108A">
            <w:pPr>
              <w:rPr>
                <w:rFonts w:asciiTheme="minorHAnsi" w:hAnsiTheme="minorHAnsi" w:cstheme="minorHAnsi"/>
                <w:b/>
                <w:bCs/>
                <w:sz w:val="20"/>
                <w:szCs w:val="20"/>
              </w:rPr>
            </w:pPr>
          </w:p>
        </w:tc>
        <w:tc>
          <w:tcPr>
            <w:tcW w:w="2835" w:type="dxa"/>
            <w:shd w:val="clear" w:color="auto" w:fill="D9D9D9" w:themeFill="background1" w:themeFillShade="D9"/>
          </w:tcPr>
          <w:p w14:paraId="32401768" w14:textId="77777777" w:rsidR="0034108A" w:rsidRPr="008F6F94" w:rsidRDefault="0034108A">
            <w:pPr>
              <w:rPr>
                <w:rFonts w:asciiTheme="minorHAnsi" w:hAnsiTheme="minorHAnsi" w:cstheme="minorHAnsi"/>
                <w:b/>
                <w:bCs/>
                <w:sz w:val="20"/>
                <w:szCs w:val="20"/>
              </w:rPr>
            </w:pPr>
          </w:p>
        </w:tc>
      </w:tr>
      <w:tr w:rsidR="008F6F94" w:rsidRPr="008F6F94" w14:paraId="47F4667B" w14:textId="77777777" w:rsidTr="45CDE7E8">
        <w:tc>
          <w:tcPr>
            <w:tcW w:w="7225" w:type="dxa"/>
          </w:tcPr>
          <w:p w14:paraId="1BC4417D" w14:textId="77777777" w:rsidR="0034108A" w:rsidRPr="008F6F94" w:rsidRDefault="0034108A">
            <w:pPr>
              <w:rPr>
                <w:rFonts w:asciiTheme="minorHAnsi" w:hAnsiTheme="minorHAnsi" w:cstheme="minorHAnsi"/>
                <w:sz w:val="20"/>
                <w:szCs w:val="20"/>
              </w:rPr>
            </w:pPr>
            <w:r w:rsidRPr="008F6F94">
              <w:rPr>
                <w:rFonts w:asciiTheme="minorHAnsi" w:eastAsia="Times New Roman" w:hAnsiTheme="minorHAnsi" w:cstheme="minorHAnsi"/>
                <w:sz w:val="20"/>
                <w:szCs w:val="20"/>
                <w:lang w:eastAsia="en-GB"/>
              </w:rPr>
              <w:t>In narrow terms (economy, efficiency) there is evidence of VfM having been delivered.</w:t>
            </w:r>
            <w:r w:rsidRPr="008F6F94" w:rsidDel="007D2E99">
              <w:rPr>
                <w:rFonts w:asciiTheme="minorHAnsi" w:eastAsia="Times New Roman" w:hAnsiTheme="minorHAnsi" w:cstheme="minorHAnsi"/>
                <w:sz w:val="20"/>
                <w:szCs w:val="20"/>
                <w:lang w:eastAsia="en-GB"/>
              </w:rPr>
              <w:t xml:space="preserve"> </w:t>
            </w:r>
            <w:r w:rsidRPr="008F6F94">
              <w:rPr>
                <w:rFonts w:asciiTheme="minorHAnsi" w:eastAsia="Times New Roman" w:hAnsiTheme="minorHAnsi" w:cstheme="minorHAnsi"/>
                <w:sz w:val="20"/>
                <w:szCs w:val="20"/>
                <w:lang w:eastAsia="en-GB"/>
              </w:rPr>
              <w:t>But in terms of effectiveness (as defined by OECD) the case is less clear.</w:t>
            </w:r>
            <w:r w:rsidRPr="008F6F94" w:rsidDel="007D2E99">
              <w:rPr>
                <w:rFonts w:asciiTheme="minorHAnsi" w:eastAsia="Times New Roman" w:hAnsiTheme="minorHAnsi" w:cstheme="minorHAnsi"/>
                <w:sz w:val="20"/>
                <w:szCs w:val="20"/>
                <w:lang w:eastAsia="en-GB"/>
              </w:rPr>
              <w:t xml:space="preserve"> </w:t>
            </w:r>
          </w:p>
        </w:tc>
        <w:tc>
          <w:tcPr>
            <w:tcW w:w="4536" w:type="dxa"/>
          </w:tcPr>
          <w:p w14:paraId="53110DAF" w14:textId="77777777" w:rsidR="0034108A" w:rsidRPr="008F6F94" w:rsidRDefault="0034108A">
            <w:pPr>
              <w:rPr>
                <w:rFonts w:asciiTheme="minorHAnsi" w:hAnsiTheme="minorHAnsi" w:cstheme="minorHAnsi"/>
                <w:sz w:val="20"/>
                <w:szCs w:val="20"/>
              </w:rPr>
            </w:pPr>
          </w:p>
        </w:tc>
        <w:tc>
          <w:tcPr>
            <w:tcW w:w="2835" w:type="dxa"/>
          </w:tcPr>
          <w:p w14:paraId="5046D208" w14:textId="77777777" w:rsidR="0034108A" w:rsidRPr="008F6F94" w:rsidRDefault="0034108A">
            <w:pPr>
              <w:rPr>
                <w:rFonts w:asciiTheme="minorHAnsi" w:hAnsiTheme="minorHAnsi" w:cstheme="minorHAnsi"/>
                <w:sz w:val="20"/>
                <w:szCs w:val="20"/>
              </w:rPr>
            </w:pPr>
          </w:p>
        </w:tc>
      </w:tr>
      <w:tr w:rsidR="008F6F94" w:rsidRPr="008F6F94" w14:paraId="3D06A51F" w14:textId="77777777" w:rsidTr="45CDE7E8">
        <w:tc>
          <w:tcPr>
            <w:tcW w:w="7225" w:type="dxa"/>
          </w:tcPr>
          <w:p w14:paraId="060C53E7" w14:textId="77777777" w:rsidR="0034108A" w:rsidRPr="008F6F94" w:rsidRDefault="0034108A">
            <w:pPr>
              <w:rPr>
                <w:rFonts w:asciiTheme="minorHAnsi" w:hAnsiTheme="minorHAnsi" w:cstheme="minorHAnsi"/>
                <w:sz w:val="20"/>
                <w:szCs w:val="20"/>
              </w:rPr>
            </w:pPr>
            <w:r w:rsidRPr="008F6F94">
              <w:rPr>
                <w:rFonts w:asciiTheme="minorHAnsi" w:eastAsia="Times New Roman" w:hAnsiTheme="minorHAnsi" w:cstheme="minorHAnsi"/>
                <w:i/>
                <w:iCs/>
                <w:sz w:val="20"/>
                <w:szCs w:val="20"/>
                <w:lang w:eastAsia="en-GB"/>
              </w:rPr>
              <w:t>Economy:</w:t>
            </w:r>
            <w:r w:rsidRPr="008F6F94">
              <w:rPr>
                <w:rFonts w:asciiTheme="minorHAnsi" w:eastAsia="Times New Roman" w:hAnsiTheme="minorHAnsi" w:cstheme="minorHAnsi"/>
                <w:sz w:val="20"/>
                <w:szCs w:val="20"/>
                <w:lang w:eastAsia="en-GB"/>
              </w:rPr>
              <w:t xml:space="preserve"> There is evidence of significant cost savings delivered by the MA, underpinned by strong systems to manage budgets and expenditure; performance is comparable to similar programmes.</w:t>
            </w:r>
          </w:p>
        </w:tc>
        <w:tc>
          <w:tcPr>
            <w:tcW w:w="4536" w:type="dxa"/>
          </w:tcPr>
          <w:p w14:paraId="21FB88E1" w14:textId="77777777" w:rsidR="0034108A" w:rsidRPr="008F6F94" w:rsidRDefault="0034108A">
            <w:pPr>
              <w:rPr>
                <w:rFonts w:asciiTheme="minorHAnsi" w:hAnsiTheme="minorHAnsi" w:cstheme="minorHAnsi"/>
                <w:sz w:val="20"/>
                <w:szCs w:val="20"/>
              </w:rPr>
            </w:pPr>
          </w:p>
        </w:tc>
        <w:tc>
          <w:tcPr>
            <w:tcW w:w="2835" w:type="dxa"/>
          </w:tcPr>
          <w:p w14:paraId="49BEEFE9" w14:textId="77777777" w:rsidR="0034108A" w:rsidRPr="008F6F94" w:rsidRDefault="0034108A">
            <w:pPr>
              <w:rPr>
                <w:rFonts w:asciiTheme="minorHAnsi" w:hAnsiTheme="minorHAnsi" w:cstheme="minorHAnsi"/>
                <w:sz w:val="20"/>
                <w:szCs w:val="20"/>
              </w:rPr>
            </w:pPr>
          </w:p>
        </w:tc>
      </w:tr>
      <w:tr w:rsidR="008F6F94" w:rsidRPr="008F6F94" w14:paraId="61F76EFC" w14:textId="77777777" w:rsidTr="45CDE7E8">
        <w:tc>
          <w:tcPr>
            <w:tcW w:w="7225" w:type="dxa"/>
          </w:tcPr>
          <w:p w14:paraId="42F96A2E" w14:textId="6135A693" w:rsidR="0034108A" w:rsidRPr="008F6F94" w:rsidRDefault="7C16D89C" w:rsidP="45CDE7E8">
            <w:pPr>
              <w:rPr>
                <w:rFonts w:asciiTheme="minorHAnsi" w:hAnsiTheme="minorHAnsi" w:cstheme="minorBidi"/>
                <w:sz w:val="20"/>
                <w:szCs w:val="20"/>
              </w:rPr>
            </w:pPr>
            <w:r w:rsidRPr="45CDE7E8">
              <w:rPr>
                <w:rFonts w:asciiTheme="minorHAnsi" w:eastAsia="Times New Roman" w:hAnsiTheme="minorHAnsi" w:cstheme="minorBidi"/>
                <w:i/>
                <w:iCs/>
                <w:sz w:val="20"/>
                <w:szCs w:val="20"/>
                <w:lang w:eastAsia="en-GB"/>
              </w:rPr>
              <w:t>Efficiency:</w:t>
            </w:r>
            <w:r w:rsidRPr="45CDE7E8">
              <w:rPr>
                <w:rFonts w:asciiTheme="minorHAnsi" w:eastAsia="Times New Roman" w:hAnsiTheme="minorHAnsi" w:cstheme="minorBidi"/>
                <w:sz w:val="20"/>
                <w:szCs w:val="20"/>
                <w:lang w:eastAsia="en-GB"/>
              </w:rPr>
              <w:t xml:space="preserve"> delivering efficiently has been challenging in the context, and with the operational model that has been chosen, which affects VfM in terms of internal and external coherence, as well as management overheads.</w:t>
            </w:r>
            <w:r w:rsidRPr="45CDE7E8">
              <w:rPr>
                <w:rFonts w:asciiTheme="minorHAnsi" w:hAnsiTheme="minorHAnsi" w:cstheme="minorBidi"/>
                <w:sz w:val="20"/>
                <w:szCs w:val="20"/>
              </w:rPr>
              <w:t xml:space="preserve"> </w:t>
            </w:r>
            <w:r w:rsidRPr="45CDE7E8">
              <w:rPr>
                <w:rFonts w:asciiTheme="minorHAnsi" w:eastAsia="Times New Roman" w:hAnsiTheme="minorHAnsi" w:cstheme="minorBidi"/>
                <w:sz w:val="20"/>
                <w:szCs w:val="20"/>
                <w:lang w:eastAsia="en-GB"/>
              </w:rPr>
              <w:t xml:space="preserve">Efficiency has also been challenging to track given the focus on reporting implementation rates and the lack of a link between financial reporting and outputs; this seems to be driven by systems and cultures within DHSC. </w:t>
            </w:r>
            <w:r w:rsidRPr="45CDE7E8">
              <w:rPr>
                <w:rStyle w:val="normaltextrun"/>
                <w:rFonts w:asciiTheme="minorHAnsi" w:hAnsiTheme="minorHAnsi" w:cstheme="minorBidi"/>
                <w:sz w:val="20"/>
                <w:szCs w:val="20"/>
              </w:rPr>
              <w:t>There is some evidence that the value of leveraged resources is reasonably significant in some grants . However, this indicator has not been reported or consistently tracked across all grants. </w:t>
            </w:r>
            <w:r w:rsidRPr="45CDE7E8">
              <w:rPr>
                <w:rFonts w:asciiTheme="minorHAnsi" w:eastAsia="Times New Roman" w:hAnsiTheme="minorHAnsi" w:cstheme="minorBidi"/>
                <w:sz w:val="20"/>
                <w:szCs w:val="20"/>
                <w:lang w:eastAsia="en-GB"/>
              </w:rPr>
              <w:t xml:space="preserve">The alignment between </w:t>
            </w:r>
            <w:r w:rsidRPr="45CDE7E8">
              <w:rPr>
                <w:rStyle w:val="normaltextrun"/>
                <w:rFonts w:asciiTheme="minorHAnsi" w:hAnsiTheme="minorHAnsi" w:cstheme="minorBidi"/>
                <w:sz w:val="20"/>
                <w:szCs w:val="20"/>
              </w:rPr>
              <w:t>Fleming Fund</w:t>
            </w:r>
            <w:r w:rsidRPr="45CDE7E8">
              <w:rPr>
                <w:rFonts w:asciiTheme="minorHAnsi" w:eastAsia="Times New Roman" w:hAnsiTheme="minorHAnsi" w:cstheme="minorBidi"/>
                <w:sz w:val="20"/>
                <w:szCs w:val="20"/>
                <w:lang w:eastAsia="en-GB"/>
              </w:rPr>
              <w:t xml:space="preserve"> expenditure, contribution and progress in generating quality AMR data was found to be high, suggesting a positive outcome in terms of VfM.</w:t>
            </w:r>
          </w:p>
        </w:tc>
        <w:tc>
          <w:tcPr>
            <w:tcW w:w="4536" w:type="dxa"/>
          </w:tcPr>
          <w:p w14:paraId="756B5155" w14:textId="6CC235C0" w:rsidR="0034108A" w:rsidRPr="007F63EF" w:rsidRDefault="0034108A">
            <w:pPr>
              <w:rPr>
                <w:rFonts w:asciiTheme="minorHAnsi" w:eastAsia="Calibri" w:hAnsiTheme="minorHAnsi" w:cstheme="minorHAnsi"/>
                <w:sz w:val="20"/>
                <w:szCs w:val="20"/>
              </w:rPr>
            </w:pPr>
            <w:r w:rsidRPr="007F63EF">
              <w:rPr>
                <w:rFonts w:asciiTheme="minorHAnsi" w:eastAsia="Calibri" w:hAnsiTheme="minorHAnsi" w:cstheme="minorHAnsi"/>
                <w:b/>
                <w:bCs/>
                <w:sz w:val="20"/>
                <w:szCs w:val="20"/>
              </w:rPr>
              <w:t>Conclusion 3:</w:t>
            </w:r>
            <w:r w:rsidRPr="007F63EF" w:rsidDel="007D2E99">
              <w:rPr>
                <w:rFonts w:asciiTheme="minorHAnsi" w:eastAsia="Calibri" w:hAnsiTheme="minorHAnsi" w:cstheme="minorHAnsi"/>
                <w:b/>
                <w:bCs/>
                <w:sz w:val="20"/>
                <w:szCs w:val="20"/>
              </w:rPr>
              <w:t xml:space="preserve"> </w:t>
            </w:r>
            <w:r w:rsidRPr="007F63EF">
              <w:rPr>
                <w:rFonts w:asciiTheme="minorHAnsi" w:eastAsia="Calibri" w:hAnsiTheme="minorHAnsi" w:cstheme="minorHAnsi"/>
                <w:b/>
                <w:bCs/>
                <w:sz w:val="20"/>
                <w:szCs w:val="20"/>
              </w:rPr>
              <w:t xml:space="preserve">The programme has operated within a challenging context, which will continue into </w:t>
            </w:r>
            <w:r w:rsidR="009E2AC2">
              <w:rPr>
                <w:rFonts w:asciiTheme="minorHAnsi" w:eastAsia="Calibri" w:hAnsiTheme="minorHAnsi" w:cstheme="minorHAnsi"/>
                <w:b/>
                <w:bCs/>
                <w:sz w:val="20"/>
                <w:szCs w:val="20"/>
              </w:rPr>
              <w:t>phase 2</w:t>
            </w:r>
            <w:r w:rsidRPr="007F63EF">
              <w:rPr>
                <w:rFonts w:asciiTheme="minorHAnsi" w:eastAsia="Calibri" w:hAnsiTheme="minorHAnsi" w:cstheme="minorHAnsi"/>
                <w:b/>
                <w:bCs/>
                <w:sz w:val="20"/>
                <w:szCs w:val="20"/>
              </w:rPr>
              <w:t>. The Fleming Fund has proven flexible enough to respond effectively, even though some features of the programme design made responding more challenging</w:t>
            </w:r>
            <w:r w:rsidRPr="007F63EF">
              <w:rPr>
                <w:rFonts w:asciiTheme="minorHAnsi" w:eastAsia="Calibri" w:hAnsiTheme="minorHAnsi" w:cstheme="minorHAnsi"/>
                <w:sz w:val="20"/>
                <w:szCs w:val="20"/>
              </w:rPr>
              <w:t>.</w:t>
            </w:r>
          </w:p>
          <w:p w14:paraId="311C15ED" w14:textId="77777777" w:rsidR="0034108A" w:rsidRPr="007F63EF" w:rsidRDefault="0034108A">
            <w:pPr>
              <w:rPr>
                <w:rFonts w:asciiTheme="minorHAnsi" w:eastAsia="Calibri" w:hAnsiTheme="minorHAnsi" w:cstheme="minorHAnsi"/>
                <w:sz w:val="20"/>
                <w:szCs w:val="20"/>
              </w:rPr>
            </w:pPr>
          </w:p>
          <w:p w14:paraId="1EB69384" w14:textId="77777777" w:rsidR="0034108A" w:rsidRPr="008F6F94" w:rsidRDefault="0034108A">
            <w:pPr>
              <w:rPr>
                <w:rFonts w:asciiTheme="minorHAnsi" w:hAnsiTheme="minorHAnsi" w:cstheme="minorHAnsi"/>
                <w:sz w:val="20"/>
                <w:szCs w:val="20"/>
              </w:rPr>
            </w:pPr>
          </w:p>
        </w:tc>
        <w:tc>
          <w:tcPr>
            <w:tcW w:w="2835" w:type="dxa"/>
          </w:tcPr>
          <w:p w14:paraId="5D46033F" w14:textId="77777777" w:rsidR="0034108A" w:rsidRPr="008F6F94" w:rsidRDefault="0034108A">
            <w:pPr>
              <w:rPr>
                <w:rFonts w:asciiTheme="minorHAnsi" w:hAnsiTheme="minorHAnsi" w:cstheme="minorHAnsi"/>
                <w:sz w:val="20"/>
                <w:szCs w:val="20"/>
              </w:rPr>
            </w:pPr>
          </w:p>
        </w:tc>
      </w:tr>
      <w:tr w:rsidR="008F6F94" w:rsidRPr="008F6F94" w14:paraId="59F62F27" w14:textId="77777777" w:rsidTr="45CDE7E8">
        <w:tc>
          <w:tcPr>
            <w:tcW w:w="7225" w:type="dxa"/>
          </w:tcPr>
          <w:p w14:paraId="6C69B759" w14:textId="77777777" w:rsidR="0034108A" w:rsidRPr="008F6F94" w:rsidRDefault="0034108A" w:rsidP="00C6374D">
            <w:pPr>
              <w:pStyle w:val="FFNormal"/>
              <w:numPr>
                <w:ilvl w:val="0"/>
                <w:numId w:val="107"/>
              </w:numPr>
              <w:spacing w:after="120" w:line="240" w:lineRule="auto"/>
              <w:ind w:left="306" w:hanging="284"/>
              <w:rPr>
                <w:rFonts w:asciiTheme="minorHAnsi" w:hAnsiTheme="minorHAnsi" w:cstheme="minorHAnsi"/>
                <w:sz w:val="20"/>
                <w:szCs w:val="20"/>
              </w:rPr>
            </w:pPr>
            <w:r w:rsidRPr="008F6F94">
              <w:rPr>
                <w:rFonts w:asciiTheme="minorHAnsi" w:hAnsiTheme="minorHAnsi" w:cstheme="minorHAnsi"/>
                <w:sz w:val="20"/>
                <w:szCs w:val="20"/>
              </w:rPr>
              <w:t>Effectiveness: Overall there is evidence across the 16 countries in our sample that the Fleming Fund has contributed to improvements in establishing surveillance systems and data use. The headline finding varies slightly when we look at HH, AH and data use separately. The category of the country (level of surveillance system in place at the start of the grant) does not seem to be related to performance, however there is alignment between the length of grant implementation and performance – i.e. the longer the grant has been running the more change and contribution seen.</w:t>
            </w:r>
          </w:p>
          <w:p w14:paraId="2EABD090" w14:textId="77777777" w:rsidR="0034108A" w:rsidRPr="008F6F94" w:rsidRDefault="0034108A">
            <w:pPr>
              <w:rPr>
                <w:rFonts w:asciiTheme="minorHAnsi" w:hAnsiTheme="minorHAnsi" w:cstheme="minorHAnsi"/>
                <w:sz w:val="20"/>
                <w:szCs w:val="20"/>
              </w:rPr>
            </w:pPr>
          </w:p>
        </w:tc>
        <w:tc>
          <w:tcPr>
            <w:tcW w:w="4536" w:type="dxa"/>
          </w:tcPr>
          <w:p w14:paraId="106CE847" w14:textId="06EEF9D6" w:rsidR="0034108A" w:rsidRPr="008F6F94" w:rsidRDefault="0034108A">
            <w:pPr>
              <w:rPr>
                <w:rFonts w:asciiTheme="minorHAnsi" w:hAnsiTheme="minorHAnsi" w:cstheme="minorHAnsi"/>
                <w:sz w:val="20"/>
                <w:szCs w:val="20"/>
              </w:rPr>
            </w:pPr>
            <w:r w:rsidRPr="007F63EF">
              <w:rPr>
                <w:rFonts w:asciiTheme="minorHAnsi" w:eastAsia="Calibri" w:hAnsiTheme="minorHAnsi" w:cstheme="minorHAnsi"/>
                <w:b/>
                <w:bCs/>
                <w:sz w:val="20"/>
                <w:szCs w:val="20"/>
              </w:rPr>
              <w:t>Conclusion 9:</w:t>
            </w:r>
            <w:r w:rsidRPr="007F63EF" w:rsidDel="007D2E99">
              <w:rPr>
                <w:rFonts w:asciiTheme="minorHAnsi" w:eastAsia="Calibri" w:hAnsiTheme="minorHAnsi" w:cstheme="minorHAnsi"/>
                <w:b/>
                <w:bCs/>
                <w:sz w:val="20"/>
                <w:szCs w:val="20"/>
              </w:rPr>
              <w:t xml:space="preserve"> </w:t>
            </w:r>
            <w:r w:rsidR="009E2DA6" w:rsidRPr="007F63EF">
              <w:rPr>
                <w:rFonts w:asciiTheme="minorHAnsi" w:eastAsia="Calibri" w:hAnsiTheme="minorHAnsi" w:cstheme="minorHAnsi"/>
                <w:b/>
                <w:bCs/>
                <w:sz w:val="20"/>
                <w:szCs w:val="20"/>
              </w:rPr>
              <w:t xml:space="preserve">The Fleming Fund could strengthen its approach to managing for effectiveness at the country and portfolio levels. There has been progress in this regard during the course of </w:t>
            </w:r>
            <w:r w:rsidR="009E2AC2">
              <w:rPr>
                <w:rFonts w:asciiTheme="minorHAnsi" w:eastAsia="Calibri" w:hAnsiTheme="minorHAnsi" w:cstheme="minorHAnsi"/>
                <w:b/>
                <w:bCs/>
                <w:sz w:val="20"/>
                <w:szCs w:val="20"/>
              </w:rPr>
              <w:t>phase 1</w:t>
            </w:r>
            <w:r w:rsidR="009E2DA6" w:rsidRPr="007F63EF">
              <w:rPr>
                <w:rFonts w:asciiTheme="minorHAnsi" w:eastAsia="Calibri" w:hAnsiTheme="minorHAnsi" w:cstheme="minorHAnsi"/>
                <w:b/>
                <w:bCs/>
                <w:sz w:val="20"/>
                <w:szCs w:val="20"/>
              </w:rPr>
              <w:t xml:space="preserve">, , in terms of developing a portfolio-level theory of change (ToC) and a core set of indicators; and the challenges observed reflect factors common in many aid programmes. But some challenges are particular to the Fleming Fund, and addressing these will be of increasing importance in </w:t>
            </w:r>
            <w:r w:rsidR="009E2AC2">
              <w:rPr>
                <w:rFonts w:asciiTheme="minorHAnsi" w:eastAsia="Calibri" w:hAnsiTheme="minorHAnsi" w:cstheme="minorHAnsi"/>
                <w:b/>
                <w:bCs/>
                <w:sz w:val="20"/>
                <w:szCs w:val="20"/>
              </w:rPr>
              <w:t>phase 2</w:t>
            </w:r>
            <w:r w:rsidR="009E2DA6" w:rsidRPr="007F63EF">
              <w:rPr>
                <w:rFonts w:asciiTheme="minorHAnsi" w:eastAsia="Calibri" w:hAnsiTheme="minorHAnsi" w:cstheme="minorHAnsi"/>
                <w:b/>
                <w:bCs/>
                <w:sz w:val="20"/>
                <w:szCs w:val="20"/>
              </w:rPr>
              <w:t>.</w:t>
            </w:r>
            <w:r w:rsidR="009E2AC2">
              <w:rPr>
                <w:rFonts w:asciiTheme="minorHAnsi" w:eastAsia="Calibri" w:hAnsiTheme="minorHAnsi" w:cstheme="minorHAnsi"/>
                <w:b/>
                <w:bCs/>
                <w:sz w:val="20"/>
                <w:szCs w:val="20"/>
              </w:rPr>
              <w:t>phase 1</w:t>
            </w:r>
          </w:p>
        </w:tc>
        <w:tc>
          <w:tcPr>
            <w:tcW w:w="2835" w:type="dxa"/>
          </w:tcPr>
          <w:p w14:paraId="3D17959A" w14:textId="212E2BFE" w:rsidR="0034108A" w:rsidRPr="007F63EF" w:rsidRDefault="0034108A">
            <w:pPr>
              <w:spacing w:after="120"/>
              <w:textAlignment w:val="baseline"/>
              <w:rPr>
                <w:rFonts w:asciiTheme="minorHAnsi" w:eastAsia="Times New Roman" w:hAnsiTheme="minorHAnsi" w:cstheme="minorHAnsi"/>
                <w:sz w:val="20"/>
                <w:szCs w:val="20"/>
                <w:lang w:eastAsia="en-GB"/>
              </w:rPr>
            </w:pPr>
            <w:bookmarkStart w:id="444" w:name="_Hlk120965467"/>
            <w:bookmarkStart w:id="445" w:name="_Hlk120965392"/>
            <w:r w:rsidRPr="007F63EF">
              <w:rPr>
                <w:rFonts w:asciiTheme="minorHAnsi" w:eastAsia="Times New Roman" w:hAnsiTheme="minorHAnsi" w:cstheme="minorHAnsi"/>
                <w:b/>
                <w:bCs/>
                <w:sz w:val="20"/>
                <w:szCs w:val="20"/>
                <w:lang w:eastAsia="en-GB"/>
              </w:rPr>
              <w:t xml:space="preserve">Recommendation </w:t>
            </w:r>
            <w:bookmarkEnd w:id="444"/>
            <w:r w:rsidRPr="007F63EF">
              <w:rPr>
                <w:rFonts w:asciiTheme="minorHAnsi" w:eastAsia="Times New Roman" w:hAnsiTheme="minorHAnsi" w:cstheme="minorHAnsi"/>
                <w:b/>
                <w:bCs/>
                <w:sz w:val="20"/>
                <w:szCs w:val="20"/>
                <w:lang w:eastAsia="en-GB"/>
              </w:rPr>
              <w:t>1:</w:t>
            </w:r>
            <w:r w:rsidRPr="007F63EF" w:rsidDel="007D2E99">
              <w:rPr>
                <w:rFonts w:asciiTheme="minorHAnsi" w:eastAsia="Times New Roman" w:hAnsiTheme="minorHAnsi" w:cstheme="minorHAnsi"/>
                <w:sz w:val="20"/>
                <w:szCs w:val="20"/>
                <w:lang w:eastAsia="en-GB"/>
              </w:rPr>
              <w:t xml:space="preserve"> </w:t>
            </w:r>
            <w:bookmarkEnd w:id="445"/>
            <w:r w:rsidRPr="007F63EF">
              <w:rPr>
                <w:rFonts w:asciiTheme="minorHAnsi" w:eastAsia="Times New Roman" w:hAnsiTheme="minorHAnsi" w:cstheme="minorHAnsi"/>
                <w:sz w:val="20"/>
                <w:szCs w:val="20"/>
                <w:lang w:eastAsia="en-GB"/>
              </w:rPr>
              <w:t xml:space="preserve">The DHSC and MA should ensure that clear, ambitious, realistic goals for </w:t>
            </w:r>
            <w:r w:rsidR="009E2AC2">
              <w:rPr>
                <w:rFonts w:asciiTheme="minorHAnsi" w:eastAsia="Times New Roman" w:hAnsiTheme="minorHAnsi" w:cstheme="minorHAnsi"/>
                <w:sz w:val="20"/>
                <w:szCs w:val="20"/>
                <w:lang w:eastAsia="en-GB"/>
              </w:rPr>
              <w:t>phase 2</w:t>
            </w:r>
            <w:r w:rsidRPr="007F63EF">
              <w:rPr>
                <w:rFonts w:asciiTheme="minorHAnsi" w:eastAsia="Times New Roman" w:hAnsiTheme="minorHAnsi" w:cstheme="minorHAnsi"/>
                <w:sz w:val="20"/>
                <w:szCs w:val="20"/>
                <w:lang w:eastAsia="en-GB"/>
              </w:rPr>
              <w:t xml:space="preserve"> are in place from the outset, with targets to track progress. These should be established at the country and portfolio levels, based on understanding the current status of AMR surveillance systems and their use as developed during </w:t>
            </w:r>
            <w:r w:rsidR="009E2AC2">
              <w:rPr>
                <w:rFonts w:asciiTheme="minorHAnsi" w:eastAsia="Times New Roman" w:hAnsiTheme="minorHAnsi" w:cstheme="minorHAnsi"/>
                <w:sz w:val="20"/>
                <w:szCs w:val="20"/>
                <w:lang w:eastAsia="en-GB"/>
              </w:rPr>
              <w:t>phase 1</w:t>
            </w:r>
            <w:r w:rsidRPr="007F63EF">
              <w:rPr>
                <w:rFonts w:asciiTheme="minorHAnsi" w:eastAsia="Times New Roman" w:hAnsiTheme="minorHAnsi" w:cstheme="minorHAnsi"/>
                <w:sz w:val="20"/>
                <w:szCs w:val="20"/>
                <w:lang w:eastAsia="en-GB"/>
              </w:rPr>
              <w:t xml:space="preserve">. Key areas to cover are around the </w:t>
            </w:r>
            <w:r w:rsidR="009E2AC2">
              <w:rPr>
                <w:rFonts w:asciiTheme="minorHAnsi" w:eastAsia="Times New Roman" w:hAnsiTheme="minorHAnsi" w:cstheme="minorHAnsi"/>
                <w:sz w:val="20"/>
                <w:szCs w:val="20"/>
                <w:lang w:eastAsia="en-GB"/>
              </w:rPr>
              <w:t>phase 2</w:t>
            </w:r>
            <w:r w:rsidRPr="007F63EF">
              <w:rPr>
                <w:rFonts w:asciiTheme="minorHAnsi" w:eastAsia="Times New Roman" w:hAnsiTheme="minorHAnsi" w:cstheme="minorHAnsi"/>
                <w:sz w:val="20"/>
                <w:szCs w:val="20"/>
                <w:lang w:eastAsia="en-GB"/>
              </w:rPr>
              <w:t xml:space="preserve"> strategic shifts, in particular on the use of data (for clinical outcomes, national-level policy,</w:t>
            </w:r>
            <w:r w:rsidRPr="007F63EF" w:rsidDel="00C07C32">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behaviour change, and international-level sharing), and sustainability. </w:t>
            </w:r>
          </w:p>
          <w:p w14:paraId="4CD31C6C" w14:textId="77777777" w:rsidR="0034108A" w:rsidRPr="008F6F94" w:rsidRDefault="0034108A">
            <w:pPr>
              <w:rPr>
                <w:rFonts w:asciiTheme="minorHAnsi" w:hAnsiTheme="minorHAnsi" w:cstheme="minorHAnsi"/>
                <w:sz w:val="20"/>
                <w:szCs w:val="20"/>
              </w:rPr>
            </w:pPr>
          </w:p>
        </w:tc>
      </w:tr>
      <w:tr w:rsidR="008F6F94" w:rsidRPr="008F6F94" w14:paraId="09EDD210" w14:textId="77777777" w:rsidTr="45CDE7E8">
        <w:tc>
          <w:tcPr>
            <w:tcW w:w="7225" w:type="dxa"/>
          </w:tcPr>
          <w:p w14:paraId="547BD5CA" w14:textId="77777777" w:rsidR="0034108A" w:rsidRPr="008F6F94" w:rsidRDefault="0034108A" w:rsidP="00C6374D">
            <w:pPr>
              <w:pStyle w:val="FFNormal"/>
              <w:numPr>
                <w:ilvl w:val="0"/>
                <w:numId w:val="107"/>
              </w:numPr>
              <w:spacing w:after="120" w:line="240" w:lineRule="auto"/>
              <w:ind w:left="306" w:hanging="284"/>
              <w:rPr>
                <w:rFonts w:asciiTheme="minorHAnsi" w:hAnsiTheme="minorHAnsi" w:cstheme="minorHAnsi"/>
                <w:sz w:val="20"/>
                <w:szCs w:val="20"/>
                <w:lang w:eastAsia="en-GB"/>
              </w:rPr>
            </w:pPr>
            <w:r w:rsidRPr="008F6F94">
              <w:rPr>
                <w:rFonts w:asciiTheme="minorHAnsi" w:hAnsiTheme="minorHAnsi" w:cstheme="minorHAnsi"/>
                <w:i/>
                <w:iCs/>
                <w:sz w:val="20"/>
                <w:szCs w:val="20"/>
              </w:rPr>
              <w:t>Coherence:</w:t>
            </w:r>
            <w:r w:rsidRPr="008F6F94">
              <w:rPr>
                <w:rFonts w:asciiTheme="minorHAnsi" w:hAnsiTheme="minorHAnsi" w:cstheme="minorHAnsi"/>
                <w:b/>
                <w:bCs/>
                <w:sz w:val="20"/>
                <w:szCs w:val="20"/>
              </w:rPr>
              <w:t xml:space="preserve"> </w:t>
            </w:r>
            <w:r w:rsidRPr="007F63EF">
              <w:rPr>
                <w:rStyle w:val="normaltextrun"/>
                <w:rFonts w:asciiTheme="minorHAnsi" w:hAnsiTheme="minorHAnsi" w:cstheme="minorHAnsi"/>
                <w:sz w:val="20"/>
                <w:szCs w:val="20"/>
              </w:rPr>
              <w:t>The model has created challenges in terms of delivering internal coherence between CGs, RGs and Fellowships.</w:t>
            </w:r>
            <w:r w:rsidRPr="007F63EF" w:rsidDel="007D2E99">
              <w:rPr>
                <w:rStyle w:val="normaltextrun"/>
                <w:rFonts w:asciiTheme="minorHAnsi" w:hAnsiTheme="minorHAnsi" w:cstheme="minorHAnsi"/>
                <w:sz w:val="20"/>
                <w:szCs w:val="20"/>
              </w:rPr>
              <w:t xml:space="preserve"> </w:t>
            </w:r>
            <w:r w:rsidRPr="007F63EF">
              <w:rPr>
                <w:rStyle w:val="normaltextrun"/>
                <w:rFonts w:asciiTheme="minorHAnsi" w:hAnsiTheme="minorHAnsi" w:cstheme="minorHAnsi"/>
                <w:sz w:val="20"/>
                <w:szCs w:val="20"/>
              </w:rPr>
              <w:t>External coherence between all Fleming Fund grants and other DPs interventions was found to be strong in a majority of the focus countries but does not focus on linkages to wider (non-surveillance) aspects of the AMR response.</w:t>
            </w:r>
          </w:p>
        </w:tc>
        <w:tc>
          <w:tcPr>
            <w:tcW w:w="4536" w:type="dxa"/>
          </w:tcPr>
          <w:p w14:paraId="190252ED" w14:textId="77777777" w:rsidR="00493F9D" w:rsidRPr="007F63EF" w:rsidRDefault="00493F9D" w:rsidP="00493F9D">
            <w:pPr>
              <w:rPr>
                <w:rFonts w:asciiTheme="minorHAnsi" w:eastAsia="Calibri" w:hAnsiTheme="minorHAnsi" w:cstheme="minorHAnsi"/>
                <w:sz w:val="20"/>
                <w:szCs w:val="20"/>
              </w:rPr>
            </w:pPr>
            <w:r w:rsidRPr="007F63EF">
              <w:rPr>
                <w:rFonts w:asciiTheme="minorHAnsi" w:eastAsia="Calibri" w:hAnsiTheme="minorHAnsi" w:cstheme="minorHAnsi"/>
                <w:b/>
                <w:bCs/>
                <w:sz w:val="20"/>
                <w:szCs w:val="20"/>
              </w:rPr>
              <w:t>Conclusion 8: The complexity of the programme, with multiple Fund grantees operating at country level, has made it challenging to deliver coherence across the Fleming Fund’s investments. This has been exacerbated by the DHSC’s decision to expand the number of grantees. The challenge was recognised, and progress was made but focused mainly on avoiding duplication. Less progress has been made in enhancing synergy and greater overall effectiveness. Evidence of external coherence with external partners is strong within limits but reflects the lack of working formal government coordination mechanisms: ultimately external coherence should be the remit of AMRCCs but these are not always fully functional and do not always include all relevant non-government stakeholders.</w:t>
            </w:r>
          </w:p>
          <w:p w14:paraId="2DC5926E" w14:textId="77777777" w:rsidR="0034108A" w:rsidRPr="007F63EF" w:rsidRDefault="0034108A">
            <w:pPr>
              <w:rPr>
                <w:rFonts w:asciiTheme="minorHAnsi" w:eastAsia="Calibri" w:hAnsiTheme="minorHAnsi" w:cstheme="minorHAnsi"/>
                <w:b/>
                <w:bCs/>
                <w:sz w:val="20"/>
                <w:szCs w:val="20"/>
              </w:rPr>
            </w:pPr>
          </w:p>
        </w:tc>
        <w:tc>
          <w:tcPr>
            <w:tcW w:w="2835" w:type="dxa"/>
          </w:tcPr>
          <w:p w14:paraId="0F8F5CF5" w14:textId="035A82E6" w:rsidR="0034108A" w:rsidRPr="007F63EF" w:rsidRDefault="0034108A">
            <w:pPr>
              <w:tabs>
                <w:tab w:val="left" w:pos="1418"/>
              </w:tabs>
              <w:spacing w:before="120" w:after="120"/>
              <w:textAlignment w:val="baseline"/>
              <w:rPr>
                <w:rFonts w:asciiTheme="minorHAnsi" w:eastAsia="Calibri" w:hAnsiTheme="minorHAnsi" w:cstheme="minorHAnsi"/>
                <w:sz w:val="20"/>
                <w:szCs w:val="20"/>
              </w:rPr>
            </w:pPr>
            <w:r w:rsidRPr="007F63EF">
              <w:rPr>
                <w:rFonts w:asciiTheme="minorHAnsi" w:eastAsia="Times New Roman" w:hAnsiTheme="minorHAnsi" w:cstheme="minorHAnsi"/>
                <w:b/>
                <w:bCs/>
                <w:sz w:val="20"/>
                <w:szCs w:val="20"/>
                <w:lang w:eastAsia="en-GB"/>
              </w:rPr>
              <w:t>Recommendation 5:</w:t>
            </w:r>
            <w:r w:rsidRPr="007F63EF" w:rsidDel="007D2E99">
              <w:rPr>
                <w:rFonts w:asciiTheme="minorHAnsi" w:eastAsia="Times New Roman" w:hAnsiTheme="minorHAnsi" w:cstheme="minorHAnsi"/>
                <w:sz w:val="20"/>
                <w:szCs w:val="20"/>
                <w:lang w:eastAsia="en-GB"/>
              </w:rPr>
              <w:t xml:space="preserve"> </w:t>
            </w:r>
            <w:r w:rsidRPr="007F63EF">
              <w:rPr>
                <w:rFonts w:asciiTheme="minorHAnsi" w:eastAsia="Times New Roman" w:hAnsiTheme="minorHAnsi" w:cstheme="minorHAnsi"/>
                <w:sz w:val="20"/>
                <w:szCs w:val="20"/>
                <w:lang w:eastAsia="en-GB"/>
              </w:rPr>
              <w:t xml:space="preserve">The Fleming Fund should place greater emphasis on internal and external coherence and coordination from the outset of </w:t>
            </w:r>
            <w:r w:rsidR="009E2AC2">
              <w:rPr>
                <w:rFonts w:asciiTheme="minorHAnsi" w:eastAsia="Times New Roman" w:hAnsiTheme="minorHAnsi" w:cstheme="minorHAnsi"/>
                <w:sz w:val="20"/>
                <w:szCs w:val="20"/>
                <w:lang w:eastAsia="en-GB"/>
              </w:rPr>
              <w:t>phase 2</w:t>
            </w:r>
            <w:r w:rsidRPr="007F63EF">
              <w:rPr>
                <w:rFonts w:asciiTheme="minorHAnsi" w:eastAsia="Times New Roman" w:hAnsiTheme="minorHAnsi" w:cstheme="minorHAnsi"/>
                <w:sz w:val="20"/>
                <w:szCs w:val="20"/>
                <w:lang w:eastAsia="en-GB"/>
              </w:rPr>
              <w:t>, including strengthening AMRCCs and NAPs to play this role and their linkages to institutional homes.</w:t>
            </w:r>
          </w:p>
        </w:tc>
      </w:tr>
      <w:tr w:rsidR="008F6F94" w:rsidRPr="008F6F94" w14:paraId="766FA137" w14:textId="77777777" w:rsidTr="45CDE7E8">
        <w:tc>
          <w:tcPr>
            <w:tcW w:w="7225" w:type="dxa"/>
          </w:tcPr>
          <w:p w14:paraId="03A065FD" w14:textId="425C59F1" w:rsidR="0034108A" w:rsidRPr="008F6F94" w:rsidRDefault="0034108A" w:rsidP="00C6374D">
            <w:pPr>
              <w:pStyle w:val="FFNormal"/>
              <w:numPr>
                <w:ilvl w:val="0"/>
                <w:numId w:val="107"/>
              </w:numPr>
              <w:spacing w:after="120" w:line="240" w:lineRule="auto"/>
              <w:ind w:left="306" w:hanging="284"/>
              <w:rPr>
                <w:rFonts w:asciiTheme="minorHAnsi" w:hAnsiTheme="minorHAnsi" w:cstheme="minorHAnsi"/>
                <w:i/>
                <w:iCs/>
                <w:sz w:val="20"/>
                <w:szCs w:val="20"/>
              </w:rPr>
            </w:pPr>
            <w:r w:rsidRPr="008F6F94">
              <w:rPr>
                <w:rFonts w:asciiTheme="minorHAnsi" w:hAnsiTheme="minorHAnsi" w:cstheme="minorHAnsi"/>
                <w:sz w:val="20"/>
                <w:szCs w:val="20"/>
                <w:lang w:eastAsia="en-GB"/>
              </w:rPr>
              <w:t>The approach taken by DHSC and the MA to VfM generally aligns with FCDO</w:t>
            </w:r>
            <w:r w:rsidRPr="008F6F94">
              <w:rPr>
                <w:rStyle w:val="FootnoteReference"/>
                <w:rFonts w:cstheme="minorHAnsi"/>
                <w:lang w:eastAsia="en-GB"/>
              </w:rPr>
              <w:footnoteReference w:id="67"/>
            </w:r>
            <w:r w:rsidRPr="008F6F94">
              <w:rPr>
                <w:rFonts w:asciiTheme="minorHAnsi" w:hAnsiTheme="minorHAnsi" w:cstheme="minorHAnsi"/>
                <w:sz w:val="20"/>
                <w:szCs w:val="20"/>
                <w:lang w:eastAsia="en-GB"/>
              </w:rPr>
              <w:t xml:space="preserve"> and ICAI </w:t>
            </w:r>
            <w:r w:rsidRPr="008F6F94">
              <w:rPr>
                <w:rStyle w:val="FootnoteReference"/>
                <w:rFonts w:cstheme="minorHAnsi"/>
                <w:lang w:eastAsia="en-GB"/>
              </w:rPr>
              <w:footnoteReference w:id="68"/>
            </w:r>
            <w:r w:rsidRPr="008F6F94">
              <w:rPr>
                <w:rFonts w:asciiTheme="minorHAnsi" w:hAnsiTheme="minorHAnsi" w:cstheme="minorHAnsi"/>
                <w:sz w:val="20"/>
                <w:szCs w:val="20"/>
                <w:lang w:eastAsia="en-GB"/>
              </w:rPr>
              <w:t>guidance.</w:t>
            </w:r>
            <w:r w:rsidRPr="008F6F94" w:rsidDel="007D2E99">
              <w:rPr>
                <w:rFonts w:asciiTheme="minorHAnsi" w:hAnsiTheme="minorHAnsi" w:cstheme="minorHAnsi"/>
                <w:sz w:val="20"/>
                <w:szCs w:val="20"/>
                <w:lang w:eastAsia="en-GB"/>
              </w:rPr>
              <w:t xml:space="preserve"> </w:t>
            </w:r>
            <w:r w:rsidRPr="008F6F94">
              <w:rPr>
                <w:rFonts w:asciiTheme="minorHAnsi" w:hAnsiTheme="minorHAnsi" w:cstheme="minorHAnsi"/>
                <w:sz w:val="20"/>
                <w:szCs w:val="20"/>
              </w:rPr>
              <w:t xml:space="preserve">Overall, there are strong systems in place to manage economy and efficiency. However, the Fleming Fund has been weaker at establishing systems managing for effectiveness. In spite of some existing and planned adaptations to strengthen in this area, and Fleming Fund experience is not uncommon compared with other equivalent programmes, this is a key strategic requirement for </w:t>
            </w:r>
            <w:r w:rsidR="009E2AC2">
              <w:rPr>
                <w:rFonts w:asciiTheme="minorHAnsi" w:hAnsiTheme="minorHAnsi" w:cstheme="minorHAnsi"/>
                <w:sz w:val="20"/>
                <w:szCs w:val="20"/>
              </w:rPr>
              <w:t>phase 2</w:t>
            </w:r>
            <w:r w:rsidRPr="008F6F94">
              <w:rPr>
                <w:rFonts w:asciiTheme="minorHAnsi" w:hAnsiTheme="minorHAnsi" w:cstheme="minorHAnsi"/>
                <w:sz w:val="20"/>
                <w:szCs w:val="20"/>
              </w:rPr>
              <w:t>.</w:t>
            </w:r>
          </w:p>
          <w:p w14:paraId="3B755AE6" w14:textId="77777777" w:rsidR="0034108A" w:rsidRPr="008F6F94" w:rsidRDefault="0034108A">
            <w:pPr>
              <w:rPr>
                <w:rFonts w:asciiTheme="minorHAnsi" w:hAnsiTheme="minorHAnsi" w:cstheme="minorHAnsi"/>
                <w:sz w:val="20"/>
                <w:szCs w:val="20"/>
              </w:rPr>
            </w:pPr>
          </w:p>
        </w:tc>
        <w:tc>
          <w:tcPr>
            <w:tcW w:w="4536" w:type="dxa"/>
          </w:tcPr>
          <w:p w14:paraId="202D080B" w14:textId="6BF348B7" w:rsidR="0034108A" w:rsidRPr="008F6F94" w:rsidRDefault="0034108A">
            <w:pPr>
              <w:rPr>
                <w:rFonts w:asciiTheme="minorHAnsi" w:hAnsiTheme="minorHAnsi" w:cstheme="minorHAnsi"/>
                <w:sz w:val="20"/>
                <w:szCs w:val="20"/>
              </w:rPr>
            </w:pPr>
            <w:r w:rsidRPr="007F63EF">
              <w:rPr>
                <w:rFonts w:asciiTheme="minorHAnsi" w:eastAsia="Calibri" w:hAnsiTheme="minorHAnsi" w:cstheme="minorHAnsi"/>
                <w:b/>
                <w:bCs/>
                <w:sz w:val="20"/>
                <w:szCs w:val="20"/>
              </w:rPr>
              <w:t>Conclusion 4:</w:t>
            </w:r>
            <w:r w:rsidRPr="007F63EF" w:rsidDel="007D2E99">
              <w:rPr>
                <w:rFonts w:asciiTheme="minorHAnsi" w:eastAsia="Calibri" w:hAnsiTheme="minorHAnsi" w:cstheme="minorHAnsi"/>
                <w:b/>
                <w:bCs/>
                <w:sz w:val="20"/>
                <w:szCs w:val="20"/>
              </w:rPr>
              <w:t xml:space="preserve"> </w:t>
            </w:r>
            <w:r w:rsidRPr="007F63EF">
              <w:rPr>
                <w:rFonts w:asciiTheme="minorHAnsi" w:eastAsia="Calibri" w:hAnsiTheme="minorHAnsi" w:cstheme="minorHAnsi"/>
                <w:b/>
                <w:bCs/>
                <w:sz w:val="20"/>
                <w:szCs w:val="20"/>
              </w:rPr>
              <w:t>The MA has successfully operationalised strong and effective procedures to manage economy and efficiency at activity level.</w:t>
            </w:r>
            <w:r w:rsidRPr="007F63EF" w:rsidDel="000D33B8">
              <w:rPr>
                <w:rFonts w:asciiTheme="minorHAnsi" w:eastAsia="Calibri" w:hAnsiTheme="minorHAnsi" w:cstheme="minorHAnsi"/>
                <w:b/>
                <w:bCs/>
                <w:sz w:val="20"/>
                <w:szCs w:val="20"/>
              </w:rPr>
              <w:t xml:space="preserve"> </w:t>
            </w:r>
            <w:r w:rsidRPr="007F63EF">
              <w:rPr>
                <w:rFonts w:asciiTheme="minorHAnsi" w:eastAsia="Calibri" w:hAnsiTheme="minorHAnsi" w:cstheme="minorHAnsi"/>
                <w:b/>
                <w:bCs/>
                <w:sz w:val="20"/>
                <w:szCs w:val="20"/>
              </w:rPr>
              <w:t>With</w:t>
            </w:r>
            <w:r w:rsidRPr="007F63EF" w:rsidDel="008F2233">
              <w:rPr>
                <w:rFonts w:asciiTheme="minorHAnsi" w:eastAsia="Calibri" w:hAnsiTheme="minorHAnsi" w:cstheme="minorHAnsi"/>
                <w:b/>
                <w:bCs/>
                <w:sz w:val="20"/>
                <w:szCs w:val="20"/>
              </w:rPr>
              <w:t xml:space="preserve"> </w:t>
            </w:r>
            <w:r w:rsidRPr="007F63EF">
              <w:rPr>
                <w:rFonts w:asciiTheme="minorHAnsi" w:eastAsia="Calibri" w:hAnsiTheme="minorHAnsi" w:cstheme="minorHAnsi"/>
                <w:b/>
                <w:bCs/>
                <w:sz w:val="20"/>
                <w:szCs w:val="20"/>
              </w:rPr>
              <w:t xml:space="preserve">further use of the laboratory capacity established during </w:t>
            </w:r>
            <w:r w:rsidR="009E2AC2">
              <w:rPr>
                <w:rFonts w:asciiTheme="minorHAnsi" w:eastAsia="Calibri" w:hAnsiTheme="minorHAnsi" w:cstheme="minorHAnsi"/>
                <w:b/>
                <w:bCs/>
                <w:sz w:val="20"/>
                <w:szCs w:val="20"/>
              </w:rPr>
              <w:t>phase 1</w:t>
            </w:r>
            <w:r w:rsidRPr="007F63EF">
              <w:rPr>
                <w:rFonts w:asciiTheme="minorHAnsi" w:eastAsia="Calibri" w:hAnsiTheme="minorHAnsi" w:cstheme="minorHAnsi"/>
                <w:b/>
                <w:bCs/>
                <w:sz w:val="20"/>
                <w:szCs w:val="20"/>
              </w:rPr>
              <w:t xml:space="preserve">, the overall </w:t>
            </w:r>
            <w:r w:rsidR="00451CFB" w:rsidRPr="007F63EF">
              <w:rPr>
                <w:rFonts w:asciiTheme="minorHAnsi" w:eastAsia="Calibri" w:hAnsiTheme="minorHAnsi" w:cstheme="minorHAnsi"/>
                <w:b/>
                <w:bCs/>
                <w:sz w:val="20"/>
                <w:szCs w:val="20"/>
              </w:rPr>
              <w:t>VfM</w:t>
            </w:r>
            <w:r w:rsidRPr="007F63EF">
              <w:rPr>
                <w:rFonts w:asciiTheme="minorHAnsi" w:eastAsia="Calibri" w:hAnsiTheme="minorHAnsi" w:cstheme="minorHAnsi"/>
                <w:b/>
                <w:bCs/>
                <w:sz w:val="20"/>
                <w:szCs w:val="20"/>
              </w:rPr>
              <w:t xml:space="preserve"> of the programme will be enhanced.</w:t>
            </w:r>
          </w:p>
        </w:tc>
        <w:tc>
          <w:tcPr>
            <w:tcW w:w="2835" w:type="dxa"/>
          </w:tcPr>
          <w:p w14:paraId="7A9A4357" w14:textId="77777777" w:rsidR="0034108A" w:rsidRPr="007F63EF" w:rsidRDefault="0034108A">
            <w:pPr>
              <w:spacing w:after="120"/>
              <w:textAlignment w:val="baseline"/>
              <w:rPr>
                <w:rFonts w:asciiTheme="minorHAnsi" w:eastAsia="Times New Roman" w:hAnsiTheme="minorHAnsi" w:cstheme="minorHAnsi"/>
                <w:sz w:val="20"/>
                <w:szCs w:val="20"/>
                <w:lang w:eastAsia="en-GB"/>
              </w:rPr>
            </w:pPr>
            <w:r w:rsidRPr="007F63EF">
              <w:rPr>
                <w:rFonts w:asciiTheme="minorHAnsi" w:eastAsia="Times New Roman" w:hAnsiTheme="minorHAnsi" w:cstheme="minorHAnsi"/>
                <w:b/>
                <w:bCs/>
                <w:sz w:val="20"/>
                <w:szCs w:val="20"/>
                <w:lang w:eastAsia="en-GB"/>
              </w:rPr>
              <w:t>Recommendation 2:</w:t>
            </w:r>
            <w:r w:rsidRPr="007F63EF">
              <w:rPr>
                <w:rFonts w:asciiTheme="minorHAnsi" w:eastAsia="Times New Roman" w:hAnsiTheme="minorHAnsi" w:cstheme="minorHAnsi"/>
                <w:sz w:val="20"/>
                <w:szCs w:val="20"/>
                <w:lang w:eastAsia="en-GB"/>
              </w:rPr>
              <w:t xml:space="preserve"> The DHSC and MA should ensure systems and processes for establishing expectations and tracking progress are proportionate, timely and sufficiently flexible to deal with uncertainty and the need for strategic adaptation. These must strike the right balance between strategic reflection and accountability and avoid focusing too heavily on tracking the implementation of inputs and activities.</w:t>
            </w:r>
          </w:p>
          <w:p w14:paraId="0B166D66" w14:textId="77777777" w:rsidR="0034108A" w:rsidRPr="008F6F94" w:rsidRDefault="0034108A">
            <w:pPr>
              <w:rPr>
                <w:rFonts w:asciiTheme="minorHAnsi" w:hAnsiTheme="minorHAnsi" w:cstheme="minorHAnsi"/>
                <w:sz w:val="20"/>
                <w:szCs w:val="20"/>
              </w:rPr>
            </w:pPr>
          </w:p>
        </w:tc>
      </w:tr>
    </w:tbl>
    <w:p w14:paraId="65578CC2" w14:textId="77777777" w:rsidR="00AA0691" w:rsidRDefault="00AA0691" w:rsidP="00AA0691">
      <w:pPr>
        <w:pStyle w:val="ItadH1"/>
      </w:pPr>
      <w:r>
        <w:br w:type="page"/>
      </w:r>
    </w:p>
    <w:p w14:paraId="13F34AAF" w14:textId="21474A4F" w:rsidR="0034108A" w:rsidRDefault="00AA0691" w:rsidP="007F63EF">
      <w:pPr>
        <w:pStyle w:val="ItadH1"/>
      </w:pPr>
      <w:bookmarkStart w:id="446" w:name="_Toc142383232"/>
      <w:r w:rsidRPr="0068654A">
        <w:t xml:space="preserve">Annex </w:t>
      </w:r>
      <w:r>
        <w:t>22</w:t>
      </w:r>
      <w:r w:rsidRPr="0068654A">
        <w:t xml:space="preserve">: </w:t>
      </w:r>
      <w:r>
        <w:t xml:space="preserve">Contribution </w:t>
      </w:r>
      <w:r w:rsidR="00260B8A">
        <w:t>a</w:t>
      </w:r>
      <w:r>
        <w:t>nalysis visual summaries</w:t>
      </w:r>
      <w:bookmarkEnd w:id="446"/>
    </w:p>
    <w:p w14:paraId="565D21A0" w14:textId="5E18EE44" w:rsidR="00B0196F" w:rsidRPr="00B3660F" w:rsidRDefault="00B0196F" w:rsidP="007F63EF">
      <w:pPr>
        <w:pStyle w:val="ItadH3"/>
        <w:keepNext/>
        <w:rPr>
          <w:b w:val="0"/>
          <w:bCs w:val="0"/>
          <w:lang w:val="en-GB"/>
        </w:rPr>
      </w:pPr>
      <w:bookmarkStart w:id="447" w:name="_Toc142383233"/>
      <w:r w:rsidRPr="007F63EF">
        <w:rPr>
          <w:lang w:val="en-GB"/>
        </w:rPr>
        <w:t xml:space="preserve">C1a </w:t>
      </w:r>
      <w:r w:rsidR="00DA63C1" w:rsidRPr="007F63EF">
        <w:rPr>
          <w:lang w:val="en-GB"/>
        </w:rPr>
        <w:t xml:space="preserve">Changes in </w:t>
      </w:r>
      <w:r w:rsidRPr="007F63EF">
        <w:rPr>
          <w:lang w:val="en-GB"/>
        </w:rPr>
        <w:t>quantity of HH AMR data</w:t>
      </w:r>
      <w:bookmarkEnd w:id="447"/>
      <w:r w:rsidRPr="007F63EF">
        <w:rPr>
          <w:lang w:val="en-GB"/>
        </w:rPr>
        <w:t xml:space="preserve"> </w:t>
      </w:r>
    </w:p>
    <w:p w14:paraId="4DDFDFB9" w14:textId="77777777" w:rsidR="00B0196F" w:rsidRDefault="00B0196F" w:rsidP="00B0196F"/>
    <w:tbl>
      <w:tblPr>
        <w:tblW w:w="14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1645"/>
        <w:gridCol w:w="1676"/>
        <w:gridCol w:w="1749"/>
        <w:gridCol w:w="3058"/>
        <w:gridCol w:w="1673"/>
        <w:gridCol w:w="1479"/>
        <w:gridCol w:w="1341"/>
      </w:tblGrid>
      <w:tr w:rsidR="00B0196F" w:rsidRPr="00D15769" w14:paraId="637B5EEF" w14:textId="77777777" w:rsidTr="007F63EF">
        <w:trPr>
          <w:trHeight w:val="577"/>
        </w:trPr>
        <w:tc>
          <w:tcPr>
            <w:tcW w:w="1458" w:type="dxa"/>
            <w:shd w:val="clear" w:color="auto" w:fill="96C286" w:themeFill="text2" w:themeFillTint="99"/>
            <w:noWrap/>
            <w:vAlign w:val="center"/>
            <w:hideMark/>
          </w:tcPr>
          <w:p w14:paraId="2096ABED" w14:textId="77777777" w:rsidR="00B0196F" w:rsidRPr="00CF4719" w:rsidRDefault="00B0196F">
            <w:pPr>
              <w:jc w:val="center"/>
              <w:rPr>
                <w:rFonts w:asciiTheme="minorHAnsi" w:eastAsia="Times New Roman" w:hAnsiTheme="minorHAnsi" w:cstheme="minorHAnsi"/>
                <w:b/>
                <w:bCs/>
                <w:color w:val="000000"/>
                <w:lang w:eastAsia="en-GB"/>
              </w:rPr>
            </w:pPr>
            <w:r w:rsidRPr="00CF4719">
              <w:rPr>
                <w:rFonts w:asciiTheme="minorHAnsi" w:eastAsia="Times New Roman" w:hAnsiTheme="minorHAnsi" w:cstheme="minorHAnsi"/>
                <w:b/>
                <w:bCs/>
                <w:color w:val="000000"/>
                <w:lang w:eastAsia="en-GB"/>
              </w:rPr>
              <w:t>Countries</w:t>
            </w:r>
          </w:p>
        </w:tc>
        <w:tc>
          <w:tcPr>
            <w:tcW w:w="1645" w:type="dxa"/>
            <w:shd w:val="clear" w:color="auto" w:fill="96C286" w:themeFill="text2" w:themeFillTint="99"/>
            <w:noWrap/>
            <w:vAlign w:val="center"/>
            <w:hideMark/>
          </w:tcPr>
          <w:p w14:paraId="4F4E7644" w14:textId="2F1D9C76" w:rsidR="00B0196F" w:rsidRPr="00CF4719" w:rsidRDefault="00B0196F">
            <w:pPr>
              <w:jc w:val="center"/>
              <w:rPr>
                <w:rFonts w:asciiTheme="minorHAnsi" w:eastAsia="Times New Roman" w:hAnsiTheme="minorHAnsi" w:cstheme="minorHAnsi"/>
                <w:b/>
                <w:bCs/>
                <w:color w:val="000000"/>
                <w:lang w:eastAsia="en-GB"/>
              </w:rPr>
            </w:pPr>
            <w:r w:rsidRPr="00CF4719">
              <w:rPr>
                <w:rFonts w:asciiTheme="minorHAnsi" w:eastAsia="Times New Roman" w:hAnsiTheme="minorHAnsi" w:cstheme="minorHAnsi"/>
                <w:b/>
                <w:bCs/>
                <w:color w:val="000000"/>
                <w:lang w:eastAsia="en-GB"/>
              </w:rPr>
              <w:t>Ext</w:t>
            </w:r>
            <w:r w:rsidR="0017453A">
              <w:rPr>
                <w:rFonts w:asciiTheme="minorHAnsi" w:eastAsia="Times New Roman" w:hAnsiTheme="minorHAnsi" w:cstheme="minorHAnsi"/>
                <w:b/>
                <w:bCs/>
                <w:color w:val="000000"/>
                <w:lang w:eastAsia="en-GB"/>
              </w:rPr>
              <w:t>ent</w:t>
            </w:r>
            <w:r w:rsidRPr="00CF4719">
              <w:rPr>
                <w:rFonts w:asciiTheme="minorHAnsi" w:eastAsia="Times New Roman" w:hAnsiTheme="minorHAnsi" w:cstheme="minorHAnsi"/>
                <w:b/>
                <w:bCs/>
                <w:color w:val="000000"/>
                <w:lang w:eastAsia="en-GB"/>
              </w:rPr>
              <w:t xml:space="preserve"> of change</w:t>
            </w:r>
          </w:p>
        </w:tc>
        <w:tc>
          <w:tcPr>
            <w:tcW w:w="1676" w:type="dxa"/>
            <w:shd w:val="clear" w:color="auto" w:fill="96C286" w:themeFill="text2" w:themeFillTint="99"/>
            <w:noWrap/>
            <w:vAlign w:val="center"/>
            <w:hideMark/>
          </w:tcPr>
          <w:p w14:paraId="101C005F" w14:textId="77777777" w:rsidR="00B0196F" w:rsidRPr="00CF4719" w:rsidRDefault="00B0196F">
            <w:pPr>
              <w:jc w:val="center"/>
              <w:rPr>
                <w:rFonts w:asciiTheme="minorHAnsi" w:eastAsia="Times New Roman" w:hAnsiTheme="minorHAnsi" w:cstheme="minorHAnsi"/>
                <w:b/>
                <w:bCs/>
                <w:color w:val="000000"/>
                <w:lang w:eastAsia="en-GB"/>
              </w:rPr>
            </w:pPr>
            <w:r w:rsidRPr="00CF4719">
              <w:rPr>
                <w:rFonts w:asciiTheme="minorHAnsi" w:eastAsia="Times New Roman" w:hAnsiTheme="minorHAnsi" w:cstheme="minorHAnsi"/>
                <w:b/>
                <w:bCs/>
                <w:color w:val="000000"/>
                <w:lang w:eastAsia="en-GB"/>
              </w:rPr>
              <w:t>Renovation &amp; Equipment</w:t>
            </w:r>
          </w:p>
        </w:tc>
        <w:tc>
          <w:tcPr>
            <w:tcW w:w="1749" w:type="dxa"/>
            <w:shd w:val="clear" w:color="auto" w:fill="96C286" w:themeFill="text2" w:themeFillTint="99"/>
            <w:noWrap/>
            <w:vAlign w:val="center"/>
            <w:hideMark/>
          </w:tcPr>
          <w:p w14:paraId="1D47050B" w14:textId="77777777" w:rsidR="00B0196F" w:rsidRPr="00CF4719" w:rsidRDefault="00B0196F">
            <w:pPr>
              <w:jc w:val="center"/>
              <w:rPr>
                <w:rFonts w:asciiTheme="minorHAnsi" w:eastAsia="Times New Roman" w:hAnsiTheme="minorHAnsi" w:cstheme="minorHAnsi"/>
                <w:b/>
                <w:bCs/>
                <w:color w:val="000000"/>
                <w:lang w:eastAsia="en-GB"/>
              </w:rPr>
            </w:pPr>
            <w:r w:rsidRPr="00CF4719">
              <w:rPr>
                <w:rFonts w:asciiTheme="minorHAnsi" w:eastAsia="Times New Roman" w:hAnsiTheme="minorHAnsi" w:cstheme="minorHAnsi"/>
                <w:b/>
                <w:bCs/>
                <w:color w:val="000000"/>
                <w:lang w:eastAsia="en-GB"/>
              </w:rPr>
              <w:t>Human capacity</w:t>
            </w:r>
          </w:p>
        </w:tc>
        <w:tc>
          <w:tcPr>
            <w:tcW w:w="3058" w:type="dxa"/>
            <w:shd w:val="clear" w:color="auto" w:fill="96C286" w:themeFill="text2" w:themeFillTint="99"/>
            <w:noWrap/>
            <w:vAlign w:val="center"/>
            <w:hideMark/>
          </w:tcPr>
          <w:p w14:paraId="48994A3E" w14:textId="77777777" w:rsidR="00B0196F" w:rsidRPr="00CF4719" w:rsidRDefault="00B0196F">
            <w:pPr>
              <w:jc w:val="center"/>
              <w:rPr>
                <w:rFonts w:asciiTheme="minorHAnsi" w:eastAsia="Times New Roman" w:hAnsiTheme="minorHAnsi" w:cstheme="minorHAnsi"/>
                <w:b/>
                <w:bCs/>
                <w:color w:val="000000"/>
                <w:lang w:eastAsia="en-GB"/>
              </w:rPr>
            </w:pPr>
            <w:r w:rsidRPr="00CF4719">
              <w:rPr>
                <w:rFonts w:asciiTheme="minorHAnsi" w:eastAsia="Times New Roman" w:hAnsiTheme="minorHAnsi" w:cstheme="minorHAnsi"/>
                <w:b/>
                <w:bCs/>
                <w:color w:val="000000"/>
                <w:lang w:eastAsia="en-GB"/>
              </w:rPr>
              <w:t>Governance/prioritisation</w:t>
            </w:r>
          </w:p>
        </w:tc>
        <w:tc>
          <w:tcPr>
            <w:tcW w:w="1673" w:type="dxa"/>
            <w:shd w:val="clear" w:color="auto" w:fill="96C286" w:themeFill="text2" w:themeFillTint="99"/>
            <w:noWrap/>
            <w:vAlign w:val="center"/>
            <w:hideMark/>
          </w:tcPr>
          <w:p w14:paraId="3BC1FECC" w14:textId="77777777" w:rsidR="00B0196F" w:rsidRPr="00CF4719" w:rsidRDefault="00B0196F">
            <w:pPr>
              <w:jc w:val="center"/>
              <w:rPr>
                <w:rFonts w:asciiTheme="minorHAnsi" w:eastAsia="Times New Roman" w:hAnsiTheme="minorHAnsi" w:cstheme="minorHAnsi"/>
                <w:b/>
                <w:bCs/>
                <w:color w:val="000000"/>
                <w:lang w:eastAsia="en-GB"/>
              </w:rPr>
            </w:pPr>
            <w:r w:rsidRPr="00CF4719">
              <w:rPr>
                <w:rFonts w:asciiTheme="minorHAnsi" w:eastAsia="Times New Roman" w:hAnsiTheme="minorHAnsi" w:cstheme="minorHAnsi"/>
                <w:b/>
                <w:bCs/>
                <w:color w:val="000000"/>
                <w:lang w:eastAsia="en-GB"/>
              </w:rPr>
              <w:t>Consumables</w:t>
            </w:r>
          </w:p>
        </w:tc>
        <w:tc>
          <w:tcPr>
            <w:tcW w:w="1479" w:type="dxa"/>
            <w:shd w:val="clear" w:color="auto" w:fill="96C286" w:themeFill="text2" w:themeFillTint="99"/>
            <w:noWrap/>
            <w:vAlign w:val="center"/>
            <w:hideMark/>
          </w:tcPr>
          <w:p w14:paraId="1C589C85" w14:textId="1E081683" w:rsidR="00B0196F" w:rsidRPr="00CF4719" w:rsidRDefault="00B0196F">
            <w:pPr>
              <w:jc w:val="center"/>
              <w:rPr>
                <w:rFonts w:asciiTheme="minorHAnsi" w:eastAsia="Times New Roman" w:hAnsiTheme="minorHAnsi" w:cstheme="minorHAnsi"/>
                <w:b/>
                <w:bCs/>
                <w:color w:val="000000"/>
                <w:lang w:eastAsia="en-GB"/>
              </w:rPr>
            </w:pPr>
            <w:r w:rsidRPr="00CF4719">
              <w:rPr>
                <w:rFonts w:asciiTheme="minorHAnsi" w:eastAsia="Times New Roman" w:hAnsiTheme="minorHAnsi" w:cstheme="minorHAnsi"/>
                <w:b/>
                <w:bCs/>
                <w:color w:val="000000"/>
                <w:lang w:eastAsia="en-GB"/>
              </w:rPr>
              <w:t>N</w:t>
            </w:r>
            <w:r w:rsidR="0017453A">
              <w:rPr>
                <w:rFonts w:asciiTheme="minorHAnsi" w:eastAsia="Times New Roman" w:hAnsiTheme="minorHAnsi" w:cstheme="minorHAnsi"/>
                <w:b/>
                <w:bCs/>
                <w:color w:val="000000"/>
                <w:lang w:eastAsia="en-GB"/>
              </w:rPr>
              <w:t>umber</w:t>
            </w:r>
            <w:r w:rsidRPr="00CF4719">
              <w:rPr>
                <w:rFonts w:asciiTheme="minorHAnsi" w:eastAsia="Times New Roman" w:hAnsiTheme="minorHAnsi" w:cstheme="minorHAnsi"/>
                <w:b/>
                <w:bCs/>
                <w:color w:val="000000"/>
                <w:lang w:eastAsia="en-GB"/>
              </w:rPr>
              <w:t xml:space="preserve"> of sites</w:t>
            </w:r>
          </w:p>
        </w:tc>
        <w:tc>
          <w:tcPr>
            <w:tcW w:w="1341" w:type="dxa"/>
            <w:shd w:val="clear" w:color="auto" w:fill="96C286" w:themeFill="text2" w:themeFillTint="99"/>
            <w:noWrap/>
            <w:vAlign w:val="center"/>
            <w:hideMark/>
          </w:tcPr>
          <w:p w14:paraId="0E796DF1" w14:textId="77777777" w:rsidR="00B0196F" w:rsidRPr="00CF4719" w:rsidRDefault="00B0196F">
            <w:pPr>
              <w:jc w:val="center"/>
              <w:rPr>
                <w:rFonts w:asciiTheme="minorHAnsi" w:eastAsia="Times New Roman" w:hAnsiTheme="minorHAnsi" w:cstheme="minorHAnsi"/>
                <w:b/>
                <w:bCs/>
                <w:color w:val="000000"/>
                <w:lang w:eastAsia="en-GB"/>
              </w:rPr>
            </w:pPr>
            <w:r w:rsidRPr="00CF4719">
              <w:rPr>
                <w:rFonts w:asciiTheme="minorHAnsi" w:eastAsia="Times New Roman" w:hAnsiTheme="minorHAnsi" w:cstheme="minorHAnsi"/>
                <w:b/>
                <w:bCs/>
                <w:color w:val="000000"/>
                <w:lang w:eastAsia="en-GB"/>
              </w:rPr>
              <w:t>Other</w:t>
            </w:r>
          </w:p>
        </w:tc>
      </w:tr>
      <w:tr w:rsidR="00B0196F" w:rsidRPr="00CF4719" w14:paraId="645439FB" w14:textId="77777777">
        <w:trPr>
          <w:trHeight w:val="1289"/>
        </w:trPr>
        <w:tc>
          <w:tcPr>
            <w:tcW w:w="1458" w:type="dxa"/>
            <w:shd w:val="clear" w:color="auto" w:fill="auto"/>
            <w:noWrap/>
            <w:vAlign w:val="center"/>
            <w:hideMark/>
          </w:tcPr>
          <w:p w14:paraId="0EF5F35C" w14:textId="77777777" w:rsidR="00B0196F" w:rsidRPr="00CF4719" w:rsidRDefault="00B0196F">
            <w:pPr>
              <w:jc w:val="center"/>
              <w:rPr>
                <w:rFonts w:asciiTheme="minorHAnsi" w:eastAsia="Times New Roman" w:hAnsiTheme="minorHAnsi" w:cstheme="minorHAnsi"/>
                <w:b/>
                <w:bCs/>
                <w:color w:val="000000"/>
                <w:sz w:val="18"/>
                <w:szCs w:val="18"/>
                <w:lang w:eastAsia="en-GB"/>
              </w:rPr>
            </w:pPr>
          </w:p>
        </w:tc>
        <w:tc>
          <w:tcPr>
            <w:tcW w:w="1645" w:type="dxa"/>
            <w:shd w:val="clear" w:color="auto" w:fill="auto"/>
            <w:noWrap/>
            <w:vAlign w:val="center"/>
            <w:hideMark/>
          </w:tcPr>
          <w:p w14:paraId="0C85BF8E" w14:textId="77777777" w:rsidR="00B0196F" w:rsidRPr="00CF4719" w:rsidRDefault="00B0196F">
            <w:pPr>
              <w:jc w:val="center"/>
              <w:rPr>
                <w:rFonts w:asciiTheme="minorHAnsi" w:eastAsia="Times New Roman" w:hAnsiTheme="minorHAnsi" w:cstheme="minorHAnsi"/>
                <w:sz w:val="18"/>
                <w:szCs w:val="18"/>
                <w:lang w:eastAsia="en-GB"/>
              </w:rPr>
            </w:pPr>
          </w:p>
        </w:tc>
        <w:tc>
          <w:tcPr>
            <w:tcW w:w="1676" w:type="dxa"/>
            <w:shd w:val="clear" w:color="auto" w:fill="auto"/>
            <w:vAlign w:val="center"/>
            <w:hideMark/>
          </w:tcPr>
          <w:p w14:paraId="021267BB" w14:textId="3C61DE0D" w:rsidR="00B0196F" w:rsidRPr="00CF4719" w:rsidRDefault="00B0196F">
            <w:pPr>
              <w:jc w:val="center"/>
              <w:rPr>
                <w:rFonts w:asciiTheme="minorHAnsi" w:eastAsia="Times New Roman" w:hAnsiTheme="minorHAnsi" w:cstheme="minorHAnsi"/>
                <w:i/>
                <w:iCs/>
                <w:color w:val="000000"/>
                <w:sz w:val="18"/>
                <w:szCs w:val="18"/>
                <w:lang w:eastAsia="en-GB"/>
              </w:rPr>
            </w:pPr>
            <w:r w:rsidRPr="00CF4719">
              <w:rPr>
                <w:rFonts w:asciiTheme="minorHAnsi" w:eastAsia="Times New Roman" w:hAnsiTheme="minorHAnsi" w:cstheme="minorHAnsi"/>
                <w:i/>
                <w:iCs/>
                <w:color w:val="000000"/>
                <w:sz w:val="18"/>
                <w:szCs w:val="18"/>
                <w:lang w:eastAsia="en-GB"/>
              </w:rPr>
              <w:t>Appropriate spaces and equipment to perform microbiology/AST tests</w:t>
            </w:r>
          </w:p>
        </w:tc>
        <w:tc>
          <w:tcPr>
            <w:tcW w:w="1749" w:type="dxa"/>
            <w:shd w:val="clear" w:color="auto" w:fill="auto"/>
            <w:vAlign w:val="center"/>
            <w:hideMark/>
          </w:tcPr>
          <w:p w14:paraId="17222CCE" w14:textId="1190696C" w:rsidR="00B0196F" w:rsidRPr="00CF4719" w:rsidRDefault="00B0196F">
            <w:pPr>
              <w:jc w:val="center"/>
              <w:rPr>
                <w:rFonts w:asciiTheme="minorHAnsi" w:eastAsia="Times New Roman" w:hAnsiTheme="minorHAnsi" w:cstheme="minorHAnsi"/>
                <w:i/>
                <w:iCs/>
                <w:color w:val="000000"/>
                <w:sz w:val="18"/>
                <w:szCs w:val="18"/>
                <w:lang w:eastAsia="en-GB"/>
              </w:rPr>
            </w:pPr>
            <w:r w:rsidRPr="00CF4719">
              <w:rPr>
                <w:rFonts w:asciiTheme="minorHAnsi" w:eastAsia="Times New Roman" w:hAnsiTheme="minorHAnsi" w:cstheme="minorHAnsi"/>
                <w:i/>
                <w:iCs/>
                <w:color w:val="000000"/>
                <w:sz w:val="18"/>
                <w:szCs w:val="18"/>
                <w:lang w:eastAsia="en-GB"/>
              </w:rPr>
              <w:t xml:space="preserve">Availability of well-trained </w:t>
            </w:r>
            <w:r w:rsidR="00F25C0E">
              <w:rPr>
                <w:rFonts w:asciiTheme="minorHAnsi" w:eastAsia="Times New Roman" w:hAnsiTheme="minorHAnsi" w:cstheme="minorHAnsi"/>
                <w:i/>
                <w:iCs/>
                <w:color w:val="000000"/>
                <w:sz w:val="18"/>
                <w:szCs w:val="18"/>
                <w:lang w:eastAsia="en-GB"/>
              </w:rPr>
              <w:t xml:space="preserve">laboratory </w:t>
            </w:r>
            <w:r w:rsidRPr="00CF4719">
              <w:rPr>
                <w:rFonts w:asciiTheme="minorHAnsi" w:eastAsia="Times New Roman" w:hAnsiTheme="minorHAnsi" w:cstheme="minorHAnsi"/>
                <w:i/>
                <w:iCs/>
                <w:color w:val="000000"/>
                <w:sz w:val="18"/>
                <w:szCs w:val="18"/>
                <w:lang w:eastAsia="en-GB"/>
              </w:rPr>
              <w:t>staff at all levels</w:t>
            </w:r>
          </w:p>
        </w:tc>
        <w:tc>
          <w:tcPr>
            <w:tcW w:w="3058" w:type="dxa"/>
            <w:shd w:val="clear" w:color="auto" w:fill="auto"/>
            <w:vAlign w:val="center"/>
            <w:hideMark/>
          </w:tcPr>
          <w:p w14:paraId="151D9356" w14:textId="00B45948" w:rsidR="00B0196F" w:rsidRPr="00CF4719" w:rsidRDefault="00B0196F">
            <w:pPr>
              <w:jc w:val="center"/>
              <w:rPr>
                <w:rFonts w:asciiTheme="minorHAnsi" w:eastAsia="Times New Roman" w:hAnsiTheme="minorHAnsi" w:cstheme="minorHAnsi"/>
                <w:i/>
                <w:iCs/>
                <w:color w:val="000000"/>
                <w:sz w:val="18"/>
                <w:szCs w:val="18"/>
                <w:lang w:eastAsia="en-GB"/>
              </w:rPr>
            </w:pPr>
            <w:r w:rsidRPr="00CF4719">
              <w:rPr>
                <w:rFonts w:asciiTheme="minorHAnsi" w:eastAsia="Times New Roman" w:hAnsiTheme="minorHAnsi" w:cstheme="minorHAnsi"/>
                <w:i/>
                <w:iCs/>
                <w:color w:val="000000"/>
                <w:sz w:val="18"/>
                <w:szCs w:val="18"/>
                <w:lang w:eastAsia="en-GB"/>
              </w:rPr>
              <w:t xml:space="preserve">Effective oversight, coalition-building, regulation, attention to system-design and accountability </w:t>
            </w:r>
            <w:r w:rsidR="0017453A">
              <w:rPr>
                <w:rFonts w:asciiTheme="minorHAnsi" w:eastAsia="Times New Roman" w:hAnsiTheme="minorHAnsi" w:cstheme="minorHAnsi"/>
                <w:i/>
                <w:iCs/>
                <w:color w:val="000000"/>
                <w:sz w:val="18"/>
                <w:szCs w:val="18"/>
                <w:lang w:eastAsia="en-GB"/>
              </w:rPr>
              <w:t>and</w:t>
            </w:r>
            <w:r w:rsidR="0017453A" w:rsidRPr="00CF4719">
              <w:rPr>
                <w:rFonts w:asciiTheme="minorHAnsi" w:eastAsia="Times New Roman" w:hAnsiTheme="minorHAnsi" w:cstheme="minorHAnsi"/>
                <w:i/>
                <w:iCs/>
                <w:color w:val="000000"/>
                <w:sz w:val="18"/>
                <w:szCs w:val="18"/>
                <w:lang w:eastAsia="en-GB"/>
              </w:rPr>
              <w:t xml:space="preserve"> </w:t>
            </w:r>
            <w:r w:rsidRPr="00CF4719">
              <w:rPr>
                <w:rFonts w:asciiTheme="minorHAnsi" w:eastAsia="Times New Roman" w:hAnsiTheme="minorHAnsi" w:cstheme="minorHAnsi"/>
                <w:i/>
                <w:iCs/>
                <w:color w:val="000000"/>
                <w:sz w:val="18"/>
                <w:szCs w:val="18"/>
                <w:lang w:eastAsia="en-GB"/>
              </w:rPr>
              <w:t>Increased focus by policymakers and senior staff within the system creating signals about importance</w:t>
            </w:r>
          </w:p>
        </w:tc>
        <w:tc>
          <w:tcPr>
            <w:tcW w:w="1673" w:type="dxa"/>
            <w:shd w:val="clear" w:color="auto" w:fill="auto"/>
            <w:vAlign w:val="center"/>
            <w:hideMark/>
          </w:tcPr>
          <w:p w14:paraId="2AAA1313" w14:textId="77777777" w:rsidR="00B0196F" w:rsidRPr="00CF4719" w:rsidRDefault="00B0196F">
            <w:pPr>
              <w:jc w:val="center"/>
              <w:rPr>
                <w:rFonts w:asciiTheme="minorHAnsi" w:eastAsia="Times New Roman" w:hAnsiTheme="minorHAnsi" w:cstheme="minorHAnsi"/>
                <w:i/>
                <w:iCs/>
                <w:color w:val="000000"/>
                <w:sz w:val="18"/>
                <w:szCs w:val="18"/>
                <w:lang w:eastAsia="en-GB"/>
              </w:rPr>
            </w:pPr>
            <w:r w:rsidRPr="00CF4719">
              <w:rPr>
                <w:rFonts w:asciiTheme="minorHAnsi" w:eastAsia="Times New Roman" w:hAnsiTheme="minorHAnsi" w:cstheme="minorHAnsi"/>
                <w:i/>
                <w:iCs/>
                <w:color w:val="000000"/>
                <w:sz w:val="18"/>
                <w:szCs w:val="18"/>
                <w:lang w:eastAsia="en-GB"/>
              </w:rPr>
              <w:t>Availability of good quality consumable in sufficient quantity</w:t>
            </w:r>
          </w:p>
        </w:tc>
        <w:tc>
          <w:tcPr>
            <w:tcW w:w="1479" w:type="dxa"/>
            <w:shd w:val="clear" w:color="auto" w:fill="auto"/>
            <w:vAlign w:val="center"/>
            <w:hideMark/>
          </w:tcPr>
          <w:p w14:paraId="59AA88A8" w14:textId="77777777" w:rsidR="00B0196F" w:rsidRPr="00CF4719" w:rsidRDefault="00B0196F">
            <w:pPr>
              <w:jc w:val="center"/>
              <w:rPr>
                <w:rFonts w:asciiTheme="minorHAnsi" w:eastAsia="Times New Roman" w:hAnsiTheme="minorHAnsi" w:cstheme="minorHAnsi"/>
                <w:i/>
                <w:iCs/>
                <w:color w:val="000000"/>
                <w:sz w:val="18"/>
                <w:szCs w:val="18"/>
                <w:lang w:eastAsia="en-GB"/>
              </w:rPr>
            </w:pPr>
            <w:r w:rsidRPr="00CF4719">
              <w:rPr>
                <w:rFonts w:asciiTheme="minorHAnsi" w:eastAsia="Times New Roman" w:hAnsiTheme="minorHAnsi" w:cstheme="minorHAnsi"/>
                <w:i/>
                <w:iCs/>
                <w:color w:val="000000"/>
                <w:sz w:val="18"/>
                <w:szCs w:val="18"/>
                <w:lang w:eastAsia="en-GB"/>
              </w:rPr>
              <w:t>Increase in the number of sites part of the AMR surveillance system</w:t>
            </w:r>
          </w:p>
        </w:tc>
        <w:tc>
          <w:tcPr>
            <w:tcW w:w="1341" w:type="dxa"/>
            <w:shd w:val="clear" w:color="auto" w:fill="auto"/>
            <w:vAlign w:val="center"/>
            <w:hideMark/>
          </w:tcPr>
          <w:p w14:paraId="7E497D2E" w14:textId="4B25C5C3" w:rsidR="00B0196F" w:rsidRPr="00CF4719" w:rsidRDefault="00B0196F">
            <w:pPr>
              <w:jc w:val="center"/>
              <w:rPr>
                <w:rFonts w:asciiTheme="minorHAnsi" w:eastAsia="Times New Roman" w:hAnsiTheme="minorHAnsi" w:cstheme="minorHAnsi"/>
                <w:i/>
                <w:iCs/>
                <w:color w:val="000000"/>
                <w:sz w:val="18"/>
                <w:szCs w:val="18"/>
                <w:lang w:eastAsia="en-GB"/>
              </w:rPr>
            </w:pPr>
            <w:r w:rsidRPr="00CF4719">
              <w:rPr>
                <w:rFonts w:asciiTheme="minorHAnsi" w:eastAsia="Times New Roman" w:hAnsiTheme="minorHAnsi" w:cstheme="minorHAnsi"/>
                <w:i/>
                <w:iCs/>
                <w:color w:val="000000"/>
                <w:sz w:val="18"/>
                <w:szCs w:val="18"/>
                <w:lang w:eastAsia="en-GB"/>
              </w:rPr>
              <w:t>Clinician</w:t>
            </w:r>
            <w:r w:rsidR="00DA63C1">
              <w:rPr>
                <w:rFonts w:asciiTheme="minorHAnsi" w:eastAsia="Times New Roman" w:hAnsiTheme="minorHAnsi" w:cstheme="minorHAnsi"/>
                <w:i/>
                <w:iCs/>
                <w:color w:val="000000"/>
                <w:sz w:val="18"/>
                <w:szCs w:val="18"/>
                <w:lang w:eastAsia="en-GB"/>
              </w:rPr>
              <w:t>’</w:t>
            </w:r>
            <w:r w:rsidRPr="00CF4719">
              <w:rPr>
                <w:rFonts w:asciiTheme="minorHAnsi" w:eastAsia="Times New Roman" w:hAnsiTheme="minorHAnsi" w:cstheme="minorHAnsi"/>
                <w:i/>
                <w:iCs/>
                <w:color w:val="000000"/>
                <w:sz w:val="18"/>
                <w:szCs w:val="18"/>
                <w:lang w:eastAsia="en-GB"/>
              </w:rPr>
              <w:t>s engagement, num</w:t>
            </w:r>
            <w:r w:rsidR="00833BB8">
              <w:rPr>
                <w:rFonts w:asciiTheme="minorHAnsi" w:eastAsia="Times New Roman" w:hAnsiTheme="minorHAnsi" w:cstheme="minorHAnsi"/>
                <w:i/>
                <w:iCs/>
                <w:color w:val="000000"/>
                <w:sz w:val="18"/>
                <w:szCs w:val="18"/>
                <w:lang w:eastAsia="en-GB"/>
              </w:rPr>
              <w:t>ber</w:t>
            </w:r>
            <w:r w:rsidRPr="00CF4719">
              <w:rPr>
                <w:rFonts w:asciiTheme="minorHAnsi" w:eastAsia="Times New Roman" w:hAnsiTheme="minorHAnsi" w:cstheme="minorHAnsi"/>
                <w:i/>
                <w:iCs/>
                <w:color w:val="000000"/>
                <w:sz w:val="18"/>
                <w:szCs w:val="18"/>
                <w:lang w:eastAsia="en-GB"/>
              </w:rPr>
              <w:t xml:space="preserve"> of patients, data sharing</w:t>
            </w:r>
          </w:p>
        </w:tc>
      </w:tr>
      <w:tr w:rsidR="00B0196F" w:rsidRPr="00CF4719" w14:paraId="3A7A022E" w14:textId="77777777">
        <w:trPr>
          <w:trHeight w:val="340"/>
        </w:trPr>
        <w:tc>
          <w:tcPr>
            <w:tcW w:w="1458" w:type="dxa"/>
            <w:shd w:val="clear" w:color="auto" w:fill="auto"/>
            <w:noWrap/>
            <w:vAlign w:val="center"/>
            <w:hideMark/>
          </w:tcPr>
          <w:p w14:paraId="0E413E29"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Indonesia</w:t>
            </w:r>
          </w:p>
        </w:tc>
        <w:tc>
          <w:tcPr>
            <w:tcW w:w="1645" w:type="dxa"/>
            <w:shd w:val="clear" w:color="000000" w:fill="BF8F00"/>
            <w:vAlign w:val="center"/>
            <w:hideMark/>
          </w:tcPr>
          <w:p w14:paraId="77FA548D"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Considerable</w:t>
            </w:r>
          </w:p>
        </w:tc>
        <w:tc>
          <w:tcPr>
            <w:tcW w:w="1676" w:type="dxa"/>
            <w:shd w:val="clear" w:color="000000" w:fill="92D050"/>
            <w:noWrap/>
            <w:vAlign w:val="center"/>
            <w:hideMark/>
          </w:tcPr>
          <w:p w14:paraId="598AA520"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749" w:type="dxa"/>
            <w:shd w:val="clear" w:color="000000" w:fill="92D050"/>
            <w:noWrap/>
            <w:vAlign w:val="center"/>
            <w:hideMark/>
          </w:tcPr>
          <w:p w14:paraId="36ED98DD"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3058" w:type="dxa"/>
            <w:shd w:val="clear" w:color="000000" w:fill="FFC000"/>
            <w:noWrap/>
            <w:vAlign w:val="center"/>
            <w:hideMark/>
          </w:tcPr>
          <w:p w14:paraId="540E20C3"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Some</w:t>
            </w:r>
          </w:p>
        </w:tc>
        <w:tc>
          <w:tcPr>
            <w:tcW w:w="1673" w:type="dxa"/>
            <w:shd w:val="clear" w:color="auto" w:fill="auto"/>
            <w:noWrap/>
            <w:vAlign w:val="center"/>
            <w:hideMark/>
          </w:tcPr>
          <w:p w14:paraId="3D0BC7CF"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479" w:type="dxa"/>
            <w:shd w:val="clear" w:color="auto" w:fill="auto"/>
            <w:noWrap/>
            <w:vAlign w:val="center"/>
            <w:hideMark/>
          </w:tcPr>
          <w:p w14:paraId="07FD2A6B" w14:textId="77777777" w:rsidR="00B0196F" w:rsidRPr="00CF4719" w:rsidRDefault="00B0196F">
            <w:pPr>
              <w:jc w:val="center"/>
              <w:rPr>
                <w:rFonts w:asciiTheme="minorHAnsi" w:eastAsia="Times New Roman" w:hAnsiTheme="minorHAnsi" w:cstheme="minorHAnsi"/>
                <w:sz w:val="18"/>
                <w:szCs w:val="18"/>
                <w:lang w:eastAsia="en-GB"/>
              </w:rPr>
            </w:pPr>
          </w:p>
        </w:tc>
        <w:tc>
          <w:tcPr>
            <w:tcW w:w="1341" w:type="dxa"/>
            <w:shd w:val="clear" w:color="auto" w:fill="auto"/>
            <w:noWrap/>
            <w:vAlign w:val="center"/>
            <w:hideMark/>
          </w:tcPr>
          <w:p w14:paraId="1650F2A9" w14:textId="77777777" w:rsidR="00B0196F" w:rsidRPr="00CF4719" w:rsidRDefault="00B0196F">
            <w:pPr>
              <w:jc w:val="center"/>
              <w:rPr>
                <w:rFonts w:asciiTheme="minorHAnsi" w:eastAsia="Times New Roman" w:hAnsiTheme="minorHAnsi" w:cstheme="minorHAnsi"/>
                <w:b/>
                <w:bCs/>
                <w:color w:val="000000"/>
                <w:sz w:val="18"/>
                <w:szCs w:val="18"/>
                <w:lang w:eastAsia="en-GB"/>
              </w:rPr>
            </w:pPr>
          </w:p>
        </w:tc>
      </w:tr>
      <w:tr w:rsidR="00B0196F" w:rsidRPr="00CF4719" w14:paraId="25D7DB62" w14:textId="77777777">
        <w:trPr>
          <w:trHeight w:val="340"/>
        </w:trPr>
        <w:tc>
          <w:tcPr>
            <w:tcW w:w="1458" w:type="dxa"/>
            <w:shd w:val="clear" w:color="auto" w:fill="auto"/>
            <w:noWrap/>
            <w:vAlign w:val="center"/>
            <w:hideMark/>
          </w:tcPr>
          <w:p w14:paraId="75B26ECE"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Kenya</w:t>
            </w:r>
          </w:p>
        </w:tc>
        <w:tc>
          <w:tcPr>
            <w:tcW w:w="1645" w:type="dxa"/>
            <w:shd w:val="clear" w:color="000000" w:fill="BF8F00"/>
            <w:vAlign w:val="center"/>
            <w:hideMark/>
          </w:tcPr>
          <w:p w14:paraId="5951DBB5"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Considerable</w:t>
            </w:r>
          </w:p>
        </w:tc>
        <w:tc>
          <w:tcPr>
            <w:tcW w:w="1676" w:type="dxa"/>
            <w:shd w:val="clear" w:color="000000" w:fill="92D050"/>
            <w:noWrap/>
            <w:vAlign w:val="center"/>
            <w:hideMark/>
          </w:tcPr>
          <w:p w14:paraId="346686CC"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749" w:type="dxa"/>
            <w:shd w:val="clear" w:color="auto" w:fill="auto"/>
            <w:noWrap/>
            <w:vAlign w:val="center"/>
            <w:hideMark/>
          </w:tcPr>
          <w:p w14:paraId="5C4E03FE"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3058" w:type="dxa"/>
            <w:shd w:val="clear" w:color="auto" w:fill="auto"/>
            <w:noWrap/>
            <w:vAlign w:val="center"/>
            <w:hideMark/>
          </w:tcPr>
          <w:p w14:paraId="37FC16D8" w14:textId="77777777" w:rsidR="00B0196F" w:rsidRPr="00CF4719" w:rsidRDefault="00B0196F">
            <w:pPr>
              <w:jc w:val="center"/>
              <w:rPr>
                <w:rFonts w:asciiTheme="minorHAnsi" w:eastAsia="Times New Roman" w:hAnsiTheme="minorHAnsi" w:cstheme="minorHAnsi"/>
                <w:sz w:val="18"/>
                <w:szCs w:val="18"/>
                <w:lang w:eastAsia="en-GB"/>
              </w:rPr>
            </w:pPr>
          </w:p>
        </w:tc>
        <w:tc>
          <w:tcPr>
            <w:tcW w:w="1673" w:type="dxa"/>
            <w:shd w:val="clear" w:color="000000" w:fill="92D050"/>
            <w:noWrap/>
            <w:vAlign w:val="center"/>
            <w:hideMark/>
          </w:tcPr>
          <w:p w14:paraId="5D0521B3"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479" w:type="dxa"/>
            <w:shd w:val="clear" w:color="000000" w:fill="92D050"/>
            <w:noWrap/>
            <w:vAlign w:val="center"/>
            <w:hideMark/>
          </w:tcPr>
          <w:p w14:paraId="28EAC9F0"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341" w:type="dxa"/>
            <w:shd w:val="clear" w:color="000000" w:fill="92D050"/>
            <w:noWrap/>
            <w:vAlign w:val="center"/>
            <w:hideMark/>
          </w:tcPr>
          <w:p w14:paraId="5251C3F8"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r>
      <w:tr w:rsidR="00B0196F" w:rsidRPr="00CF4719" w14:paraId="6F103482" w14:textId="77777777">
        <w:trPr>
          <w:trHeight w:val="340"/>
        </w:trPr>
        <w:tc>
          <w:tcPr>
            <w:tcW w:w="1458" w:type="dxa"/>
            <w:shd w:val="clear" w:color="auto" w:fill="auto"/>
            <w:noWrap/>
            <w:vAlign w:val="center"/>
            <w:hideMark/>
          </w:tcPr>
          <w:p w14:paraId="650813B8"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Nepal</w:t>
            </w:r>
          </w:p>
        </w:tc>
        <w:tc>
          <w:tcPr>
            <w:tcW w:w="1645" w:type="dxa"/>
            <w:shd w:val="clear" w:color="000000" w:fill="BF8F00"/>
            <w:vAlign w:val="center"/>
            <w:hideMark/>
          </w:tcPr>
          <w:p w14:paraId="01E960E0"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Considerable</w:t>
            </w:r>
          </w:p>
        </w:tc>
        <w:tc>
          <w:tcPr>
            <w:tcW w:w="1676" w:type="dxa"/>
            <w:shd w:val="clear" w:color="000000" w:fill="92D050"/>
            <w:noWrap/>
            <w:vAlign w:val="center"/>
            <w:hideMark/>
          </w:tcPr>
          <w:p w14:paraId="71361B7B"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749" w:type="dxa"/>
            <w:shd w:val="clear" w:color="000000" w:fill="00B050"/>
            <w:noWrap/>
            <w:vAlign w:val="center"/>
            <w:hideMark/>
          </w:tcPr>
          <w:p w14:paraId="43C94109"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3058" w:type="dxa"/>
            <w:shd w:val="clear" w:color="auto" w:fill="auto"/>
            <w:noWrap/>
            <w:vAlign w:val="center"/>
            <w:hideMark/>
          </w:tcPr>
          <w:p w14:paraId="1AD0D0B6"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673" w:type="dxa"/>
            <w:shd w:val="clear" w:color="auto" w:fill="auto"/>
            <w:noWrap/>
            <w:vAlign w:val="center"/>
            <w:hideMark/>
          </w:tcPr>
          <w:p w14:paraId="57E392CF" w14:textId="77777777" w:rsidR="00B0196F" w:rsidRPr="00CF4719" w:rsidRDefault="00B0196F">
            <w:pPr>
              <w:jc w:val="center"/>
              <w:rPr>
                <w:rFonts w:asciiTheme="minorHAnsi" w:eastAsia="Times New Roman" w:hAnsiTheme="minorHAnsi" w:cstheme="minorHAnsi"/>
                <w:sz w:val="18"/>
                <w:szCs w:val="18"/>
                <w:lang w:eastAsia="en-GB"/>
              </w:rPr>
            </w:pPr>
          </w:p>
        </w:tc>
        <w:tc>
          <w:tcPr>
            <w:tcW w:w="1479" w:type="dxa"/>
            <w:shd w:val="clear" w:color="000000" w:fill="00B050"/>
            <w:noWrap/>
            <w:vAlign w:val="center"/>
            <w:hideMark/>
          </w:tcPr>
          <w:p w14:paraId="5083EDFC"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1341" w:type="dxa"/>
            <w:shd w:val="clear" w:color="auto" w:fill="auto"/>
            <w:noWrap/>
            <w:vAlign w:val="center"/>
            <w:hideMark/>
          </w:tcPr>
          <w:p w14:paraId="704DADC4" w14:textId="77777777" w:rsidR="00B0196F" w:rsidRPr="00CF4719" w:rsidRDefault="00B0196F">
            <w:pPr>
              <w:jc w:val="center"/>
              <w:rPr>
                <w:rFonts w:asciiTheme="minorHAnsi" w:eastAsia="Times New Roman" w:hAnsiTheme="minorHAnsi" w:cstheme="minorHAnsi"/>
                <w:b/>
                <w:bCs/>
                <w:color w:val="000000"/>
                <w:sz w:val="18"/>
                <w:szCs w:val="18"/>
                <w:lang w:eastAsia="en-GB"/>
              </w:rPr>
            </w:pPr>
          </w:p>
        </w:tc>
      </w:tr>
      <w:tr w:rsidR="00B0196F" w:rsidRPr="00CF4719" w14:paraId="07C6A976" w14:textId="77777777">
        <w:trPr>
          <w:trHeight w:val="340"/>
        </w:trPr>
        <w:tc>
          <w:tcPr>
            <w:tcW w:w="1458" w:type="dxa"/>
            <w:shd w:val="clear" w:color="auto" w:fill="auto"/>
            <w:noWrap/>
            <w:vAlign w:val="center"/>
            <w:hideMark/>
          </w:tcPr>
          <w:p w14:paraId="5BBB4640"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Tanzania</w:t>
            </w:r>
          </w:p>
        </w:tc>
        <w:tc>
          <w:tcPr>
            <w:tcW w:w="1645" w:type="dxa"/>
            <w:shd w:val="clear" w:color="000000" w:fill="BF8F00"/>
            <w:vAlign w:val="center"/>
            <w:hideMark/>
          </w:tcPr>
          <w:p w14:paraId="3A82FC29"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Considerable</w:t>
            </w:r>
          </w:p>
        </w:tc>
        <w:tc>
          <w:tcPr>
            <w:tcW w:w="1676" w:type="dxa"/>
            <w:shd w:val="clear" w:color="000000" w:fill="00B050"/>
            <w:noWrap/>
            <w:vAlign w:val="center"/>
            <w:hideMark/>
          </w:tcPr>
          <w:p w14:paraId="4E1094D9"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1749" w:type="dxa"/>
            <w:shd w:val="clear" w:color="000000" w:fill="92D050"/>
            <w:noWrap/>
            <w:vAlign w:val="center"/>
            <w:hideMark/>
          </w:tcPr>
          <w:p w14:paraId="6D2B2E82"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3058" w:type="dxa"/>
            <w:shd w:val="clear" w:color="000000" w:fill="92D050"/>
            <w:noWrap/>
            <w:vAlign w:val="center"/>
            <w:hideMark/>
          </w:tcPr>
          <w:p w14:paraId="2CA41DB9"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673" w:type="dxa"/>
            <w:shd w:val="clear" w:color="000000" w:fill="92D050"/>
            <w:noWrap/>
            <w:vAlign w:val="center"/>
            <w:hideMark/>
          </w:tcPr>
          <w:p w14:paraId="2F151CA6"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479" w:type="dxa"/>
            <w:shd w:val="clear" w:color="auto" w:fill="auto"/>
            <w:noWrap/>
            <w:vAlign w:val="center"/>
            <w:hideMark/>
          </w:tcPr>
          <w:p w14:paraId="57F8C8FF"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341" w:type="dxa"/>
            <w:shd w:val="clear" w:color="000000" w:fill="92D050"/>
            <w:noWrap/>
            <w:vAlign w:val="center"/>
            <w:hideMark/>
          </w:tcPr>
          <w:p w14:paraId="7E43BD6B"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r>
      <w:tr w:rsidR="00B0196F" w:rsidRPr="00CF4719" w14:paraId="3E5C3597" w14:textId="77777777">
        <w:trPr>
          <w:trHeight w:val="340"/>
        </w:trPr>
        <w:tc>
          <w:tcPr>
            <w:tcW w:w="1458" w:type="dxa"/>
            <w:shd w:val="clear" w:color="auto" w:fill="auto"/>
            <w:noWrap/>
            <w:vAlign w:val="center"/>
            <w:hideMark/>
          </w:tcPr>
          <w:p w14:paraId="6B5FC372"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Uganda</w:t>
            </w:r>
          </w:p>
        </w:tc>
        <w:tc>
          <w:tcPr>
            <w:tcW w:w="1645" w:type="dxa"/>
            <w:shd w:val="clear" w:color="000000" w:fill="BF8F00"/>
            <w:vAlign w:val="center"/>
            <w:hideMark/>
          </w:tcPr>
          <w:p w14:paraId="53D9D35D"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Considerable</w:t>
            </w:r>
          </w:p>
        </w:tc>
        <w:tc>
          <w:tcPr>
            <w:tcW w:w="1676" w:type="dxa"/>
            <w:shd w:val="clear" w:color="auto" w:fill="auto"/>
            <w:noWrap/>
            <w:vAlign w:val="center"/>
            <w:hideMark/>
          </w:tcPr>
          <w:p w14:paraId="668E86CD" w14:textId="77777777" w:rsidR="00B0196F" w:rsidRPr="00CF4719" w:rsidRDefault="00B0196F">
            <w:pPr>
              <w:jc w:val="center"/>
              <w:rPr>
                <w:rFonts w:asciiTheme="minorHAnsi" w:eastAsia="Times New Roman" w:hAnsiTheme="minorHAnsi" w:cstheme="minorHAnsi"/>
                <w:b/>
                <w:bCs/>
                <w:color w:val="000000"/>
                <w:sz w:val="18"/>
                <w:szCs w:val="18"/>
                <w:lang w:eastAsia="en-GB"/>
              </w:rPr>
            </w:pPr>
          </w:p>
        </w:tc>
        <w:tc>
          <w:tcPr>
            <w:tcW w:w="1749" w:type="dxa"/>
            <w:shd w:val="clear" w:color="000000" w:fill="92D050"/>
            <w:noWrap/>
            <w:vAlign w:val="center"/>
            <w:hideMark/>
          </w:tcPr>
          <w:p w14:paraId="04D65585"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3058" w:type="dxa"/>
            <w:shd w:val="clear" w:color="auto" w:fill="auto"/>
            <w:noWrap/>
            <w:vAlign w:val="center"/>
            <w:hideMark/>
          </w:tcPr>
          <w:p w14:paraId="2D9B8A23"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673" w:type="dxa"/>
            <w:shd w:val="clear" w:color="000000" w:fill="92D050"/>
            <w:noWrap/>
            <w:vAlign w:val="center"/>
            <w:hideMark/>
          </w:tcPr>
          <w:p w14:paraId="430F2ABE"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479" w:type="dxa"/>
            <w:shd w:val="clear" w:color="000000" w:fill="00B050"/>
            <w:noWrap/>
            <w:vAlign w:val="center"/>
            <w:hideMark/>
          </w:tcPr>
          <w:p w14:paraId="37E7A68C"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1341" w:type="dxa"/>
            <w:shd w:val="clear" w:color="auto" w:fill="auto"/>
            <w:noWrap/>
            <w:vAlign w:val="center"/>
            <w:hideMark/>
          </w:tcPr>
          <w:p w14:paraId="4CED1570" w14:textId="77777777" w:rsidR="00B0196F" w:rsidRPr="00CF4719" w:rsidRDefault="00B0196F">
            <w:pPr>
              <w:jc w:val="center"/>
              <w:rPr>
                <w:rFonts w:asciiTheme="minorHAnsi" w:eastAsia="Times New Roman" w:hAnsiTheme="minorHAnsi" w:cstheme="minorHAnsi"/>
                <w:b/>
                <w:bCs/>
                <w:color w:val="000000"/>
                <w:sz w:val="18"/>
                <w:szCs w:val="18"/>
                <w:lang w:eastAsia="en-GB"/>
              </w:rPr>
            </w:pPr>
          </w:p>
        </w:tc>
      </w:tr>
      <w:tr w:rsidR="00B0196F" w:rsidRPr="00CF4719" w14:paraId="71B58531" w14:textId="77777777">
        <w:trPr>
          <w:trHeight w:val="340"/>
        </w:trPr>
        <w:tc>
          <w:tcPr>
            <w:tcW w:w="1458" w:type="dxa"/>
            <w:shd w:val="clear" w:color="auto" w:fill="auto"/>
            <w:noWrap/>
            <w:vAlign w:val="center"/>
            <w:hideMark/>
          </w:tcPr>
          <w:p w14:paraId="7280BBC4"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Vietnam</w:t>
            </w:r>
          </w:p>
        </w:tc>
        <w:tc>
          <w:tcPr>
            <w:tcW w:w="1645" w:type="dxa"/>
            <w:shd w:val="clear" w:color="000000" w:fill="BF8F00"/>
            <w:vAlign w:val="center"/>
            <w:hideMark/>
          </w:tcPr>
          <w:p w14:paraId="4FB04D35"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Considerable</w:t>
            </w:r>
          </w:p>
        </w:tc>
        <w:tc>
          <w:tcPr>
            <w:tcW w:w="1676" w:type="dxa"/>
            <w:shd w:val="clear" w:color="auto" w:fill="auto"/>
            <w:noWrap/>
            <w:vAlign w:val="center"/>
            <w:hideMark/>
          </w:tcPr>
          <w:p w14:paraId="398EBF99" w14:textId="77777777" w:rsidR="00B0196F" w:rsidRPr="00CF4719" w:rsidRDefault="00B0196F">
            <w:pPr>
              <w:jc w:val="center"/>
              <w:rPr>
                <w:rFonts w:asciiTheme="minorHAnsi" w:eastAsia="Times New Roman" w:hAnsiTheme="minorHAnsi" w:cstheme="minorHAnsi"/>
                <w:b/>
                <w:bCs/>
                <w:color w:val="000000"/>
                <w:sz w:val="18"/>
                <w:szCs w:val="18"/>
                <w:lang w:eastAsia="en-GB"/>
              </w:rPr>
            </w:pPr>
          </w:p>
        </w:tc>
        <w:tc>
          <w:tcPr>
            <w:tcW w:w="1749" w:type="dxa"/>
            <w:shd w:val="clear" w:color="auto" w:fill="auto"/>
            <w:noWrap/>
            <w:vAlign w:val="center"/>
            <w:hideMark/>
          </w:tcPr>
          <w:p w14:paraId="34592627" w14:textId="77777777" w:rsidR="00B0196F" w:rsidRPr="00CF4719" w:rsidRDefault="00B0196F">
            <w:pPr>
              <w:jc w:val="center"/>
              <w:rPr>
                <w:rFonts w:asciiTheme="minorHAnsi" w:eastAsia="Times New Roman" w:hAnsiTheme="minorHAnsi" w:cstheme="minorHAnsi"/>
                <w:sz w:val="18"/>
                <w:szCs w:val="18"/>
                <w:lang w:eastAsia="en-GB"/>
              </w:rPr>
            </w:pPr>
          </w:p>
        </w:tc>
        <w:tc>
          <w:tcPr>
            <w:tcW w:w="3058" w:type="dxa"/>
            <w:shd w:val="clear" w:color="auto" w:fill="auto"/>
            <w:noWrap/>
            <w:vAlign w:val="center"/>
            <w:hideMark/>
          </w:tcPr>
          <w:p w14:paraId="5B196A47" w14:textId="77777777" w:rsidR="00B0196F" w:rsidRPr="00CF4719" w:rsidRDefault="00B0196F">
            <w:pPr>
              <w:jc w:val="center"/>
              <w:rPr>
                <w:rFonts w:asciiTheme="minorHAnsi" w:eastAsia="Times New Roman" w:hAnsiTheme="minorHAnsi" w:cstheme="minorHAnsi"/>
                <w:sz w:val="18"/>
                <w:szCs w:val="18"/>
                <w:lang w:eastAsia="en-GB"/>
              </w:rPr>
            </w:pPr>
          </w:p>
        </w:tc>
        <w:tc>
          <w:tcPr>
            <w:tcW w:w="1673" w:type="dxa"/>
            <w:shd w:val="clear" w:color="auto" w:fill="auto"/>
            <w:noWrap/>
            <w:vAlign w:val="center"/>
            <w:hideMark/>
          </w:tcPr>
          <w:p w14:paraId="790F03E6" w14:textId="77777777" w:rsidR="00B0196F" w:rsidRPr="00CF4719" w:rsidRDefault="00B0196F">
            <w:pPr>
              <w:jc w:val="center"/>
              <w:rPr>
                <w:rFonts w:asciiTheme="minorHAnsi" w:eastAsia="Times New Roman" w:hAnsiTheme="minorHAnsi" w:cstheme="minorHAnsi"/>
                <w:sz w:val="18"/>
                <w:szCs w:val="18"/>
                <w:lang w:eastAsia="en-GB"/>
              </w:rPr>
            </w:pPr>
          </w:p>
        </w:tc>
        <w:tc>
          <w:tcPr>
            <w:tcW w:w="1479" w:type="dxa"/>
            <w:shd w:val="clear" w:color="000000" w:fill="92D050"/>
            <w:noWrap/>
            <w:vAlign w:val="center"/>
            <w:hideMark/>
          </w:tcPr>
          <w:p w14:paraId="50159427"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341" w:type="dxa"/>
            <w:shd w:val="clear" w:color="000000" w:fill="92D050"/>
            <w:noWrap/>
            <w:vAlign w:val="center"/>
            <w:hideMark/>
          </w:tcPr>
          <w:p w14:paraId="66E170E9"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r>
      <w:tr w:rsidR="00B0196F" w:rsidRPr="00CF4719" w14:paraId="72BCA03C" w14:textId="77777777">
        <w:trPr>
          <w:trHeight w:val="340"/>
        </w:trPr>
        <w:tc>
          <w:tcPr>
            <w:tcW w:w="1458" w:type="dxa"/>
            <w:shd w:val="clear" w:color="auto" w:fill="auto"/>
            <w:noWrap/>
            <w:vAlign w:val="center"/>
            <w:hideMark/>
          </w:tcPr>
          <w:p w14:paraId="5BC38DE1"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Zambia</w:t>
            </w:r>
          </w:p>
        </w:tc>
        <w:tc>
          <w:tcPr>
            <w:tcW w:w="1645" w:type="dxa"/>
            <w:shd w:val="clear" w:color="000000" w:fill="BF8F00"/>
            <w:vAlign w:val="center"/>
            <w:hideMark/>
          </w:tcPr>
          <w:p w14:paraId="7826CBEC"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Considerable</w:t>
            </w:r>
          </w:p>
        </w:tc>
        <w:tc>
          <w:tcPr>
            <w:tcW w:w="1676" w:type="dxa"/>
            <w:shd w:val="clear" w:color="000000" w:fill="00B050"/>
            <w:noWrap/>
            <w:vAlign w:val="center"/>
            <w:hideMark/>
          </w:tcPr>
          <w:p w14:paraId="036A1F1D"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1749" w:type="dxa"/>
            <w:shd w:val="clear" w:color="000000" w:fill="92D050"/>
            <w:noWrap/>
            <w:vAlign w:val="center"/>
            <w:hideMark/>
          </w:tcPr>
          <w:p w14:paraId="1938511D"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3058" w:type="dxa"/>
            <w:shd w:val="clear" w:color="000000" w:fill="92D050"/>
            <w:noWrap/>
            <w:vAlign w:val="center"/>
            <w:hideMark/>
          </w:tcPr>
          <w:p w14:paraId="208C7425"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673" w:type="dxa"/>
            <w:shd w:val="clear" w:color="auto" w:fill="auto"/>
            <w:noWrap/>
            <w:vAlign w:val="center"/>
            <w:hideMark/>
          </w:tcPr>
          <w:p w14:paraId="4750622B"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479" w:type="dxa"/>
            <w:shd w:val="clear" w:color="auto" w:fill="auto"/>
            <w:noWrap/>
            <w:vAlign w:val="center"/>
            <w:hideMark/>
          </w:tcPr>
          <w:p w14:paraId="71D2E455" w14:textId="77777777" w:rsidR="00B0196F" w:rsidRPr="00CF4719" w:rsidRDefault="00B0196F">
            <w:pPr>
              <w:jc w:val="center"/>
              <w:rPr>
                <w:rFonts w:asciiTheme="minorHAnsi" w:eastAsia="Times New Roman" w:hAnsiTheme="minorHAnsi" w:cstheme="minorHAnsi"/>
                <w:sz w:val="18"/>
                <w:szCs w:val="18"/>
                <w:lang w:eastAsia="en-GB"/>
              </w:rPr>
            </w:pPr>
          </w:p>
        </w:tc>
        <w:tc>
          <w:tcPr>
            <w:tcW w:w="1341" w:type="dxa"/>
            <w:shd w:val="clear" w:color="auto" w:fill="auto"/>
            <w:noWrap/>
            <w:vAlign w:val="center"/>
            <w:hideMark/>
          </w:tcPr>
          <w:p w14:paraId="428E937B" w14:textId="77777777" w:rsidR="00B0196F" w:rsidRPr="00CF4719" w:rsidRDefault="00B0196F">
            <w:pPr>
              <w:jc w:val="center"/>
              <w:rPr>
                <w:rFonts w:asciiTheme="minorHAnsi" w:eastAsia="Times New Roman" w:hAnsiTheme="minorHAnsi" w:cstheme="minorHAnsi"/>
                <w:b/>
                <w:bCs/>
                <w:color w:val="000000"/>
                <w:sz w:val="18"/>
                <w:szCs w:val="18"/>
                <w:lang w:eastAsia="en-GB"/>
              </w:rPr>
            </w:pPr>
          </w:p>
        </w:tc>
      </w:tr>
      <w:tr w:rsidR="00B0196F" w:rsidRPr="00CF4719" w14:paraId="557E87DB" w14:textId="77777777">
        <w:trPr>
          <w:trHeight w:val="340"/>
        </w:trPr>
        <w:tc>
          <w:tcPr>
            <w:tcW w:w="1458" w:type="dxa"/>
            <w:shd w:val="clear" w:color="auto" w:fill="auto"/>
            <w:noWrap/>
            <w:vAlign w:val="center"/>
            <w:hideMark/>
          </w:tcPr>
          <w:p w14:paraId="495C13BC"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Bangladesh</w:t>
            </w:r>
          </w:p>
        </w:tc>
        <w:tc>
          <w:tcPr>
            <w:tcW w:w="1645" w:type="dxa"/>
            <w:shd w:val="clear" w:color="000000" w:fill="FBE4D5"/>
            <w:vAlign w:val="center"/>
            <w:hideMark/>
          </w:tcPr>
          <w:p w14:paraId="6C6DE989"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Limited</w:t>
            </w:r>
          </w:p>
        </w:tc>
        <w:tc>
          <w:tcPr>
            <w:tcW w:w="1676" w:type="dxa"/>
            <w:shd w:val="clear" w:color="000000" w:fill="00B050"/>
            <w:noWrap/>
            <w:vAlign w:val="center"/>
            <w:hideMark/>
          </w:tcPr>
          <w:p w14:paraId="4FA52F98"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1749" w:type="dxa"/>
            <w:shd w:val="clear" w:color="000000" w:fill="00B050"/>
            <w:noWrap/>
            <w:vAlign w:val="center"/>
            <w:hideMark/>
          </w:tcPr>
          <w:p w14:paraId="0F1FB9C1"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3058" w:type="dxa"/>
            <w:shd w:val="clear" w:color="000000" w:fill="00B050"/>
            <w:noWrap/>
            <w:vAlign w:val="center"/>
            <w:hideMark/>
          </w:tcPr>
          <w:p w14:paraId="4F25EB4B"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1673" w:type="dxa"/>
            <w:shd w:val="clear" w:color="auto" w:fill="auto"/>
            <w:noWrap/>
            <w:vAlign w:val="center"/>
            <w:hideMark/>
          </w:tcPr>
          <w:p w14:paraId="7CC06F57"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479" w:type="dxa"/>
            <w:shd w:val="clear" w:color="auto" w:fill="auto"/>
            <w:noWrap/>
            <w:vAlign w:val="center"/>
            <w:hideMark/>
          </w:tcPr>
          <w:p w14:paraId="7D7C474D" w14:textId="77777777" w:rsidR="00B0196F" w:rsidRPr="00CF4719" w:rsidRDefault="00B0196F">
            <w:pPr>
              <w:jc w:val="center"/>
              <w:rPr>
                <w:rFonts w:asciiTheme="minorHAnsi" w:eastAsia="Times New Roman" w:hAnsiTheme="minorHAnsi" w:cstheme="minorHAnsi"/>
                <w:sz w:val="18"/>
                <w:szCs w:val="18"/>
                <w:lang w:eastAsia="en-GB"/>
              </w:rPr>
            </w:pPr>
          </w:p>
        </w:tc>
        <w:tc>
          <w:tcPr>
            <w:tcW w:w="1341" w:type="dxa"/>
            <w:shd w:val="clear" w:color="auto" w:fill="auto"/>
            <w:noWrap/>
            <w:vAlign w:val="center"/>
            <w:hideMark/>
          </w:tcPr>
          <w:p w14:paraId="23C847FD" w14:textId="77777777" w:rsidR="00B0196F" w:rsidRPr="00CF4719" w:rsidRDefault="00B0196F">
            <w:pPr>
              <w:jc w:val="center"/>
              <w:rPr>
                <w:rFonts w:asciiTheme="minorHAnsi" w:eastAsia="Times New Roman" w:hAnsiTheme="minorHAnsi" w:cstheme="minorHAnsi"/>
                <w:b/>
                <w:bCs/>
                <w:color w:val="000000"/>
                <w:sz w:val="18"/>
                <w:szCs w:val="18"/>
                <w:lang w:eastAsia="en-GB"/>
              </w:rPr>
            </w:pPr>
          </w:p>
        </w:tc>
      </w:tr>
      <w:tr w:rsidR="00B0196F" w:rsidRPr="00CF4719" w14:paraId="1C034CD8" w14:textId="77777777">
        <w:trPr>
          <w:trHeight w:val="340"/>
        </w:trPr>
        <w:tc>
          <w:tcPr>
            <w:tcW w:w="1458" w:type="dxa"/>
            <w:shd w:val="clear" w:color="auto" w:fill="auto"/>
            <w:noWrap/>
            <w:vAlign w:val="center"/>
            <w:hideMark/>
          </w:tcPr>
          <w:p w14:paraId="722EB951"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Ghana</w:t>
            </w:r>
          </w:p>
        </w:tc>
        <w:tc>
          <w:tcPr>
            <w:tcW w:w="1645" w:type="dxa"/>
            <w:shd w:val="clear" w:color="000000" w:fill="FBE4D5"/>
            <w:vAlign w:val="center"/>
            <w:hideMark/>
          </w:tcPr>
          <w:p w14:paraId="058853B0"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Limited</w:t>
            </w:r>
          </w:p>
        </w:tc>
        <w:tc>
          <w:tcPr>
            <w:tcW w:w="1676" w:type="dxa"/>
            <w:shd w:val="clear" w:color="000000" w:fill="92D050"/>
            <w:noWrap/>
            <w:vAlign w:val="center"/>
            <w:hideMark/>
          </w:tcPr>
          <w:p w14:paraId="59FF32C5"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749" w:type="dxa"/>
            <w:shd w:val="clear" w:color="000000" w:fill="FFC000"/>
            <w:noWrap/>
            <w:vAlign w:val="center"/>
            <w:hideMark/>
          </w:tcPr>
          <w:p w14:paraId="2E4B935F"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Some</w:t>
            </w:r>
          </w:p>
        </w:tc>
        <w:tc>
          <w:tcPr>
            <w:tcW w:w="3058" w:type="dxa"/>
            <w:shd w:val="clear" w:color="000000" w:fill="92D050"/>
            <w:noWrap/>
            <w:vAlign w:val="center"/>
            <w:hideMark/>
          </w:tcPr>
          <w:p w14:paraId="24617B41"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673" w:type="dxa"/>
            <w:shd w:val="clear" w:color="auto" w:fill="auto"/>
            <w:noWrap/>
            <w:vAlign w:val="center"/>
            <w:hideMark/>
          </w:tcPr>
          <w:p w14:paraId="4AC23AFD"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479" w:type="dxa"/>
            <w:shd w:val="clear" w:color="auto" w:fill="auto"/>
            <w:noWrap/>
            <w:vAlign w:val="center"/>
            <w:hideMark/>
          </w:tcPr>
          <w:p w14:paraId="185DD59A" w14:textId="77777777" w:rsidR="00B0196F" w:rsidRPr="00CF4719" w:rsidRDefault="00B0196F">
            <w:pPr>
              <w:jc w:val="center"/>
              <w:rPr>
                <w:rFonts w:asciiTheme="minorHAnsi" w:eastAsia="Times New Roman" w:hAnsiTheme="minorHAnsi" w:cstheme="minorHAnsi"/>
                <w:sz w:val="18"/>
                <w:szCs w:val="18"/>
                <w:lang w:eastAsia="en-GB"/>
              </w:rPr>
            </w:pPr>
          </w:p>
        </w:tc>
        <w:tc>
          <w:tcPr>
            <w:tcW w:w="1341" w:type="dxa"/>
            <w:shd w:val="clear" w:color="auto" w:fill="auto"/>
            <w:noWrap/>
            <w:vAlign w:val="center"/>
            <w:hideMark/>
          </w:tcPr>
          <w:p w14:paraId="62D838AE" w14:textId="77777777" w:rsidR="00B0196F" w:rsidRPr="00CF4719" w:rsidRDefault="00B0196F">
            <w:pPr>
              <w:jc w:val="center"/>
              <w:rPr>
                <w:rFonts w:asciiTheme="minorHAnsi" w:eastAsia="Times New Roman" w:hAnsiTheme="minorHAnsi" w:cstheme="minorHAnsi"/>
                <w:b/>
                <w:bCs/>
                <w:color w:val="000000"/>
                <w:sz w:val="18"/>
                <w:szCs w:val="18"/>
                <w:lang w:eastAsia="en-GB"/>
              </w:rPr>
            </w:pPr>
          </w:p>
        </w:tc>
      </w:tr>
      <w:tr w:rsidR="00B0196F" w:rsidRPr="00CF4719" w14:paraId="0450D578" w14:textId="77777777">
        <w:trPr>
          <w:trHeight w:val="340"/>
        </w:trPr>
        <w:tc>
          <w:tcPr>
            <w:tcW w:w="1458" w:type="dxa"/>
            <w:shd w:val="clear" w:color="auto" w:fill="auto"/>
            <w:noWrap/>
            <w:vAlign w:val="center"/>
            <w:hideMark/>
          </w:tcPr>
          <w:p w14:paraId="45A7C7F2"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Laos</w:t>
            </w:r>
          </w:p>
        </w:tc>
        <w:tc>
          <w:tcPr>
            <w:tcW w:w="1645" w:type="dxa"/>
            <w:shd w:val="clear" w:color="000000" w:fill="FBE4D5"/>
            <w:vAlign w:val="center"/>
            <w:hideMark/>
          </w:tcPr>
          <w:p w14:paraId="50AE61B6"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Limited </w:t>
            </w:r>
          </w:p>
        </w:tc>
        <w:tc>
          <w:tcPr>
            <w:tcW w:w="1676" w:type="dxa"/>
            <w:shd w:val="clear" w:color="000000" w:fill="92D050"/>
            <w:noWrap/>
            <w:vAlign w:val="center"/>
            <w:hideMark/>
          </w:tcPr>
          <w:p w14:paraId="4CE751F1"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749" w:type="dxa"/>
            <w:shd w:val="clear" w:color="000000" w:fill="92D050"/>
            <w:noWrap/>
            <w:vAlign w:val="center"/>
            <w:hideMark/>
          </w:tcPr>
          <w:p w14:paraId="613F67AF"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3058" w:type="dxa"/>
            <w:shd w:val="clear" w:color="auto" w:fill="auto"/>
            <w:noWrap/>
            <w:vAlign w:val="center"/>
            <w:hideMark/>
          </w:tcPr>
          <w:p w14:paraId="58799C4F"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673" w:type="dxa"/>
            <w:shd w:val="clear" w:color="auto" w:fill="auto"/>
            <w:noWrap/>
            <w:vAlign w:val="center"/>
            <w:hideMark/>
          </w:tcPr>
          <w:p w14:paraId="4C6E6694" w14:textId="77777777" w:rsidR="00B0196F" w:rsidRPr="00CF4719" w:rsidRDefault="00B0196F">
            <w:pPr>
              <w:jc w:val="center"/>
              <w:rPr>
                <w:rFonts w:asciiTheme="minorHAnsi" w:eastAsia="Times New Roman" w:hAnsiTheme="minorHAnsi" w:cstheme="minorHAnsi"/>
                <w:sz w:val="18"/>
                <w:szCs w:val="18"/>
                <w:lang w:eastAsia="en-GB"/>
              </w:rPr>
            </w:pPr>
          </w:p>
        </w:tc>
        <w:tc>
          <w:tcPr>
            <w:tcW w:w="1479" w:type="dxa"/>
            <w:shd w:val="clear" w:color="000000" w:fill="92D050"/>
            <w:noWrap/>
            <w:vAlign w:val="center"/>
            <w:hideMark/>
          </w:tcPr>
          <w:p w14:paraId="42621A7A"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341" w:type="dxa"/>
            <w:shd w:val="clear" w:color="000000" w:fill="FFC000"/>
            <w:noWrap/>
            <w:vAlign w:val="center"/>
            <w:hideMark/>
          </w:tcPr>
          <w:p w14:paraId="489E8493"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Some</w:t>
            </w:r>
          </w:p>
        </w:tc>
      </w:tr>
      <w:tr w:rsidR="00B0196F" w:rsidRPr="00CF4719" w14:paraId="101160E9" w14:textId="77777777">
        <w:trPr>
          <w:trHeight w:val="340"/>
        </w:trPr>
        <w:tc>
          <w:tcPr>
            <w:tcW w:w="1458" w:type="dxa"/>
            <w:shd w:val="clear" w:color="auto" w:fill="auto"/>
            <w:noWrap/>
            <w:vAlign w:val="center"/>
            <w:hideMark/>
          </w:tcPr>
          <w:p w14:paraId="2C1A1CCF" w14:textId="1C8D15B7" w:rsidR="00B0196F" w:rsidRPr="00CF4719" w:rsidRDefault="00260B8A">
            <w:pPr>
              <w:jc w:val="center"/>
              <w:rPr>
                <w:rFonts w:asciiTheme="minorHAnsi" w:eastAsia="Times New Roman" w:hAnsiTheme="minorHAnsi" w:cstheme="minorHAnsi"/>
                <w:color w:val="000000"/>
                <w:sz w:val="18"/>
                <w:szCs w:val="18"/>
                <w:lang w:eastAsia="en-GB"/>
              </w:rPr>
            </w:pPr>
            <w:r>
              <w:rPr>
                <w:rFonts w:asciiTheme="minorHAnsi" w:eastAsia="Times New Roman" w:hAnsiTheme="minorHAnsi" w:cstheme="minorHAnsi"/>
                <w:color w:val="000000"/>
                <w:sz w:val="18"/>
                <w:szCs w:val="18"/>
                <w:lang w:eastAsia="en-GB"/>
              </w:rPr>
              <w:t>Timor-Leste</w:t>
            </w:r>
          </w:p>
        </w:tc>
        <w:tc>
          <w:tcPr>
            <w:tcW w:w="1645" w:type="dxa"/>
            <w:shd w:val="clear" w:color="000000" w:fill="FBE4D5"/>
            <w:vAlign w:val="center"/>
            <w:hideMark/>
          </w:tcPr>
          <w:p w14:paraId="00CFFE3B"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Limited</w:t>
            </w:r>
          </w:p>
        </w:tc>
        <w:tc>
          <w:tcPr>
            <w:tcW w:w="1676" w:type="dxa"/>
            <w:shd w:val="clear" w:color="000000" w:fill="00B050"/>
            <w:noWrap/>
            <w:vAlign w:val="center"/>
            <w:hideMark/>
          </w:tcPr>
          <w:p w14:paraId="4658C66B"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1749" w:type="dxa"/>
            <w:shd w:val="clear" w:color="000000" w:fill="00B050"/>
            <w:noWrap/>
            <w:vAlign w:val="center"/>
            <w:hideMark/>
          </w:tcPr>
          <w:p w14:paraId="56C0DE6C"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3058" w:type="dxa"/>
            <w:shd w:val="clear" w:color="000000" w:fill="FFC000"/>
            <w:noWrap/>
            <w:vAlign w:val="center"/>
            <w:hideMark/>
          </w:tcPr>
          <w:p w14:paraId="4021BB96"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Some</w:t>
            </w:r>
          </w:p>
        </w:tc>
        <w:tc>
          <w:tcPr>
            <w:tcW w:w="1673" w:type="dxa"/>
            <w:shd w:val="clear" w:color="auto" w:fill="auto"/>
            <w:noWrap/>
            <w:vAlign w:val="center"/>
            <w:hideMark/>
          </w:tcPr>
          <w:p w14:paraId="692647F9"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479" w:type="dxa"/>
            <w:shd w:val="clear" w:color="auto" w:fill="auto"/>
            <w:noWrap/>
            <w:vAlign w:val="center"/>
            <w:hideMark/>
          </w:tcPr>
          <w:p w14:paraId="7CA41D87" w14:textId="77777777" w:rsidR="00B0196F" w:rsidRPr="00CF4719" w:rsidRDefault="00B0196F">
            <w:pPr>
              <w:jc w:val="center"/>
              <w:rPr>
                <w:rFonts w:asciiTheme="minorHAnsi" w:eastAsia="Times New Roman" w:hAnsiTheme="minorHAnsi" w:cstheme="minorHAnsi"/>
                <w:sz w:val="18"/>
                <w:szCs w:val="18"/>
                <w:lang w:eastAsia="en-GB"/>
              </w:rPr>
            </w:pPr>
          </w:p>
        </w:tc>
        <w:tc>
          <w:tcPr>
            <w:tcW w:w="1341" w:type="dxa"/>
            <w:shd w:val="clear" w:color="auto" w:fill="auto"/>
            <w:noWrap/>
            <w:vAlign w:val="center"/>
            <w:hideMark/>
          </w:tcPr>
          <w:p w14:paraId="3F0DD0D5" w14:textId="77777777" w:rsidR="00B0196F" w:rsidRPr="00CF4719" w:rsidRDefault="00B0196F">
            <w:pPr>
              <w:jc w:val="center"/>
              <w:rPr>
                <w:rFonts w:asciiTheme="minorHAnsi" w:eastAsia="Times New Roman" w:hAnsiTheme="minorHAnsi" w:cstheme="minorHAnsi"/>
                <w:color w:val="000000"/>
                <w:sz w:val="18"/>
                <w:szCs w:val="18"/>
                <w:lang w:eastAsia="en-GB"/>
              </w:rPr>
            </w:pPr>
          </w:p>
        </w:tc>
      </w:tr>
      <w:tr w:rsidR="00B0196F" w:rsidRPr="00CF4719" w14:paraId="3686CB2F" w14:textId="77777777">
        <w:trPr>
          <w:trHeight w:val="340"/>
        </w:trPr>
        <w:tc>
          <w:tcPr>
            <w:tcW w:w="1458" w:type="dxa"/>
            <w:shd w:val="clear" w:color="auto" w:fill="auto"/>
            <w:noWrap/>
            <w:vAlign w:val="center"/>
            <w:hideMark/>
          </w:tcPr>
          <w:p w14:paraId="05BF82D8"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Pakistan</w:t>
            </w:r>
          </w:p>
        </w:tc>
        <w:tc>
          <w:tcPr>
            <w:tcW w:w="1645" w:type="dxa"/>
            <w:shd w:val="clear" w:color="000000" w:fill="FFFF00"/>
            <w:noWrap/>
            <w:vAlign w:val="center"/>
            <w:hideMark/>
          </w:tcPr>
          <w:p w14:paraId="1F0B54CA"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Unclear</w:t>
            </w:r>
          </w:p>
        </w:tc>
        <w:tc>
          <w:tcPr>
            <w:tcW w:w="1676" w:type="dxa"/>
            <w:shd w:val="clear" w:color="000000" w:fill="00B050"/>
            <w:noWrap/>
            <w:vAlign w:val="center"/>
            <w:hideMark/>
          </w:tcPr>
          <w:p w14:paraId="10C08554"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1749" w:type="dxa"/>
            <w:shd w:val="clear" w:color="000000" w:fill="92D050"/>
            <w:noWrap/>
            <w:vAlign w:val="center"/>
            <w:hideMark/>
          </w:tcPr>
          <w:p w14:paraId="44C7A6FB"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3058" w:type="dxa"/>
            <w:shd w:val="clear" w:color="000000" w:fill="92D050"/>
            <w:noWrap/>
            <w:vAlign w:val="center"/>
            <w:hideMark/>
          </w:tcPr>
          <w:p w14:paraId="3A5DBF41"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673" w:type="dxa"/>
            <w:shd w:val="clear" w:color="auto" w:fill="auto"/>
            <w:noWrap/>
            <w:vAlign w:val="center"/>
            <w:hideMark/>
          </w:tcPr>
          <w:p w14:paraId="397EF2CF"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479" w:type="dxa"/>
            <w:shd w:val="clear" w:color="auto" w:fill="auto"/>
            <w:noWrap/>
            <w:vAlign w:val="center"/>
            <w:hideMark/>
          </w:tcPr>
          <w:p w14:paraId="5635D301" w14:textId="77777777" w:rsidR="00B0196F" w:rsidRPr="00CF4719" w:rsidRDefault="00B0196F">
            <w:pPr>
              <w:jc w:val="center"/>
              <w:rPr>
                <w:rFonts w:asciiTheme="minorHAnsi" w:eastAsia="Times New Roman" w:hAnsiTheme="minorHAnsi" w:cstheme="minorHAnsi"/>
                <w:sz w:val="18"/>
                <w:szCs w:val="18"/>
                <w:lang w:eastAsia="en-GB"/>
              </w:rPr>
            </w:pPr>
          </w:p>
        </w:tc>
        <w:tc>
          <w:tcPr>
            <w:tcW w:w="1341" w:type="dxa"/>
            <w:shd w:val="clear" w:color="auto" w:fill="auto"/>
            <w:noWrap/>
            <w:vAlign w:val="center"/>
            <w:hideMark/>
          </w:tcPr>
          <w:p w14:paraId="69ECA51A" w14:textId="77777777" w:rsidR="00B0196F" w:rsidRPr="00CF4719" w:rsidRDefault="00B0196F">
            <w:pPr>
              <w:jc w:val="center"/>
              <w:rPr>
                <w:rFonts w:asciiTheme="minorHAnsi" w:eastAsia="Times New Roman" w:hAnsiTheme="minorHAnsi" w:cstheme="minorHAnsi"/>
                <w:b/>
                <w:bCs/>
                <w:color w:val="000000"/>
                <w:sz w:val="18"/>
                <w:szCs w:val="18"/>
                <w:lang w:eastAsia="en-GB"/>
              </w:rPr>
            </w:pPr>
          </w:p>
        </w:tc>
      </w:tr>
      <w:tr w:rsidR="00B0196F" w:rsidRPr="00CF4719" w14:paraId="27EE2DBC" w14:textId="77777777">
        <w:trPr>
          <w:trHeight w:val="340"/>
        </w:trPr>
        <w:tc>
          <w:tcPr>
            <w:tcW w:w="1458" w:type="dxa"/>
            <w:shd w:val="clear" w:color="auto" w:fill="auto"/>
            <w:noWrap/>
            <w:vAlign w:val="center"/>
            <w:hideMark/>
          </w:tcPr>
          <w:p w14:paraId="6C2DA3C3"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Nigeria</w:t>
            </w:r>
          </w:p>
        </w:tc>
        <w:tc>
          <w:tcPr>
            <w:tcW w:w="1645" w:type="dxa"/>
            <w:shd w:val="clear" w:color="000000" w:fill="BDD6EE"/>
            <w:vAlign w:val="center"/>
            <w:hideMark/>
          </w:tcPr>
          <w:p w14:paraId="2DF059F1"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None yet</w:t>
            </w:r>
          </w:p>
        </w:tc>
        <w:tc>
          <w:tcPr>
            <w:tcW w:w="1676" w:type="dxa"/>
            <w:shd w:val="clear" w:color="000000" w:fill="00B050"/>
            <w:noWrap/>
            <w:vAlign w:val="center"/>
            <w:hideMark/>
          </w:tcPr>
          <w:p w14:paraId="78B72DD1"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1749" w:type="dxa"/>
            <w:shd w:val="clear" w:color="auto" w:fill="auto"/>
            <w:noWrap/>
            <w:vAlign w:val="center"/>
            <w:hideMark/>
          </w:tcPr>
          <w:p w14:paraId="26659EC4"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3058" w:type="dxa"/>
            <w:shd w:val="clear" w:color="000000" w:fill="FFC000"/>
            <w:noWrap/>
            <w:vAlign w:val="center"/>
            <w:hideMark/>
          </w:tcPr>
          <w:p w14:paraId="23889827"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 xml:space="preserve">Some </w:t>
            </w:r>
          </w:p>
        </w:tc>
        <w:tc>
          <w:tcPr>
            <w:tcW w:w="1673" w:type="dxa"/>
            <w:shd w:val="clear" w:color="auto" w:fill="auto"/>
            <w:noWrap/>
            <w:vAlign w:val="center"/>
            <w:hideMark/>
          </w:tcPr>
          <w:p w14:paraId="4A41C691"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479" w:type="dxa"/>
            <w:shd w:val="clear" w:color="auto" w:fill="auto"/>
            <w:noWrap/>
            <w:vAlign w:val="center"/>
            <w:hideMark/>
          </w:tcPr>
          <w:p w14:paraId="586B7D92" w14:textId="77777777" w:rsidR="00B0196F" w:rsidRPr="00CF4719" w:rsidRDefault="00B0196F">
            <w:pPr>
              <w:jc w:val="center"/>
              <w:rPr>
                <w:rFonts w:asciiTheme="minorHAnsi" w:eastAsia="Times New Roman" w:hAnsiTheme="minorHAnsi" w:cstheme="minorHAnsi"/>
                <w:sz w:val="18"/>
                <w:szCs w:val="18"/>
                <w:lang w:eastAsia="en-GB"/>
              </w:rPr>
            </w:pPr>
          </w:p>
        </w:tc>
        <w:tc>
          <w:tcPr>
            <w:tcW w:w="1341" w:type="dxa"/>
            <w:shd w:val="clear" w:color="auto" w:fill="auto"/>
            <w:noWrap/>
            <w:vAlign w:val="center"/>
            <w:hideMark/>
          </w:tcPr>
          <w:p w14:paraId="2EBD1C29" w14:textId="77777777" w:rsidR="00B0196F" w:rsidRPr="00CF4719" w:rsidRDefault="00B0196F">
            <w:pPr>
              <w:jc w:val="center"/>
              <w:rPr>
                <w:rFonts w:asciiTheme="minorHAnsi" w:eastAsia="Times New Roman" w:hAnsiTheme="minorHAnsi" w:cstheme="minorHAnsi"/>
                <w:b/>
                <w:bCs/>
                <w:color w:val="000000"/>
                <w:sz w:val="18"/>
                <w:szCs w:val="18"/>
                <w:lang w:eastAsia="en-GB"/>
              </w:rPr>
            </w:pPr>
          </w:p>
        </w:tc>
      </w:tr>
      <w:tr w:rsidR="00B0196F" w:rsidRPr="00CF4719" w14:paraId="6E95D5D8" w14:textId="77777777">
        <w:trPr>
          <w:trHeight w:val="340"/>
        </w:trPr>
        <w:tc>
          <w:tcPr>
            <w:tcW w:w="1458" w:type="dxa"/>
            <w:shd w:val="clear" w:color="auto" w:fill="auto"/>
            <w:noWrap/>
            <w:vAlign w:val="center"/>
            <w:hideMark/>
          </w:tcPr>
          <w:p w14:paraId="775D3ACB"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Senegal</w:t>
            </w:r>
          </w:p>
        </w:tc>
        <w:tc>
          <w:tcPr>
            <w:tcW w:w="1645" w:type="dxa"/>
            <w:shd w:val="clear" w:color="000000" w:fill="BDD6EE"/>
            <w:vAlign w:val="center"/>
            <w:hideMark/>
          </w:tcPr>
          <w:p w14:paraId="4EA5721C"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None yet</w:t>
            </w:r>
          </w:p>
        </w:tc>
        <w:tc>
          <w:tcPr>
            <w:tcW w:w="1676" w:type="dxa"/>
            <w:shd w:val="clear" w:color="000000" w:fill="92D050"/>
            <w:noWrap/>
            <w:vAlign w:val="center"/>
            <w:hideMark/>
          </w:tcPr>
          <w:p w14:paraId="3C177975"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749" w:type="dxa"/>
            <w:shd w:val="clear" w:color="auto" w:fill="auto"/>
            <w:noWrap/>
            <w:vAlign w:val="center"/>
            <w:hideMark/>
          </w:tcPr>
          <w:p w14:paraId="6B9B5CCF"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3058" w:type="dxa"/>
            <w:shd w:val="clear" w:color="000000" w:fill="FCE4D6"/>
            <w:noWrap/>
            <w:vAlign w:val="center"/>
            <w:hideMark/>
          </w:tcPr>
          <w:p w14:paraId="42447333"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Limited</w:t>
            </w:r>
          </w:p>
        </w:tc>
        <w:tc>
          <w:tcPr>
            <w:tcW w:w="1673" w:type="dxa"/>
            <w:shd w:val="clear" w:color="000000" w:fill="FCE4D6"/>
            <w:noWrap/>
            <w:vAlign w:val="center"/>
            <w:hideMark/>
          </w:tcPr>
          <w:p w14:paraId="57044B0F"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Limited</w:t>
            </w:r>
          </w:p>
        </w:tc>
        <w:tc>
          <w:tcPr>
            <w:tcW w:w="1479" w:type="dxa"/>
            <w:shd w:val="clear" w:color="auto" w:fill="auto"/>
            <w:noWrap/>
            <w:vAlign w:val="center"/>
            <w:hideMark/>
          </w:tcPr>
          <w:p w14:paraId="5AC06EFD"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341" w:type="dxa"/>
            <w:shd w:val="clear" w:color="auto" w:fill="auto"/>
            <w:noWrap/>
            <w:vAlign w:val="center"/>
            <w:hideMark/>
          </w:tcPr>
          <w:p w14:paraId="236ED95F" w14:textId="77777777" w:rsidR="00B0196F" w:rsidRPr="00CF4719" w:rsidRDefault="00B0196F">
            <w:pPr>
              <w:jc w:val="center"/>
              <w:rPr>
                <w:rFonts w:asciiTheme="minorHAnsi" w:eastAsia="Times New Roman" w:hAnsiTheme="minorHAnsi" w:cstheme="minorHAnsi"/>
                <w:b/>
                <w:bCs/>
                <w:color w:val="000000"/>
                <w:sz w:val="18"/>
                <w:szCs w:val="18"/>
                <w:lang w:eastAsia="en-GB"/>
              </w:rPr>
            </w:pPr>
          </w:p>
        </w:tc>
      </w:tr>
      <w:tr w:rsidR="00B0196F" w:rsidRPr="00CF4719" w14:paraId="74CAEC50" w14:textId="77777777">
        <w:trPr>
          <w:trHeight w:val="340"/>
        </w:trPr>
        <w:tc>
          <w:tcPr>
            <w:tcW w:w="1458" w:type="dxa"/>
            <w:shd w:val="clear" w:color="auto" w:fill="auto"/>
            <w:noWrap/>
            <w:vAlign w:val="center"/>
            <w:hideMark/>
          </w:tcPr>
          <w:p w14:paraId="0539B27D"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Sierra Leone</w:t>
            </w:r>
          </w:p>
        </w:tc>
        <w:tc>
          <w:tcPr>
            <w:tcW w:w="1645" w:type="dxa"/>
            <w:shd w:val="clear" w:color="000000" w:fill="BDD6EE"/>
            <w:vAlign w:val="center"/>
            <w:hideMark/>
          </w:tcPr>
          <w:p w14:paraId="118111FF"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None yet</w:t>
            </w:r>
          </w:p>
        </w:tc>
        <w:tc>
          <w:tcPr>
            <w:tcW w:w="1676" w:type="dxa"/>
            <w:shd w:val="clear" w:color="000000" w:fill="00B050"/>
            <w:noWrap/>
            <w:vAlign w:val="center"/>
            <w:hideMark/>
          </w:tcPr>
          <w:p w14:paraId="1F9C1A09"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1749" w:type="dxa"/>
            <w:shd w:val="clear" w:color="auto" w:fill="auto"/>
            <w:noWrap/>
            <w:vAlign w:val="center"/>
            <w:hideMark/>
          </w:tcPr>
          <w:p w14:paraId="429FA02A"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3058" w:type="dxa"/>
            <w:shd w:val="clear" w:color="000000" w:fill="00B050"/>
            <w:noWrap/>
            <w:vAlign w:val="center"/>
            <w:hideMark/>
          </w:tcPr>
          <w:p w14:paraId="00D03D62"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1673" w:type="dxa"/>
            <w:shd w:val="clear" w:color="auto" w:fill="auto"/>
            <w:noWrap/>
            <w:vAlign w:val="center"/>
            <w:hideMark/>
          </w:tcPr>
          <w:p w14:paraId="4FCF8F13"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479" w:type="dxa"/>
            <w:shd w:val="clear" w:color="auto" w:fill="auto"/>
            <w:noWrap/>
            <w:vAlign w:val="center"/>
            <w:hideMark/>
          </w:tcPr>
          <w:p w14:paraId="68B0A7C3" w14:textId="77777777" w:rsidR="00B0196F" w:rsidRPr="00CF4719" w:rsidRDefault="00B0196F">
            <w:pPr>
              <w:jc w:val="center"/>
              <w:rPr>
                <w:rFonts w:asciiTheme="minorHAnsi" w:eastAsia="Times New Roman" w:hAnsiTheme="minorHAnsi" w:cstheme="minorHAnsi"/>
                <w:sz w:val="18"/>
                <w:szCs w:val="18"/>
                <w:lang w:eastAsia="en-GB"/>
              </w:rPr>
            </w:pPr>
          </w:p>
        </w:tc>
        <w:tc>
          <w:tcPr>
            <w:tcW w:w="1341" w:type="dxa"/>
            <w:shd w:val="clear" w:color="000000" w:fill="00B050"/>
            <w:noWrap/>
            <w:vAlign w:val="center"/>
            <w:hideMark/>
          </w:tcPr>
          <w:p w14:paraId="5C20E3AB"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r>
      <w:tr w:rsidR="00B0196F" w:rsidRPr="00CF4719" w14:paraId="4F83D363" w14:textId="77777777">
        <w:trPr>
          <w:trHeight w:val="340"/>
        </w:trPr>
        <w:tc>
          <w:tcPr>
            <w:tcW w:w="1458" w:type="dxa"/>
            <w:shd w:val="clear" w:color="auto" w:fill="auto"/>
            <w:noWrap/>
            <w:vAlign w:val="center"/>
            <w:hideMark/>
          </w:tcPr>
          <w:p w14:paraId="27D8A70F"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Bhutan</w:t>
            </w:r>
          </w:p>
        </w:tc>
        <w:tc>
          <w:tcPr>
            <w:tcW w:w="1645" w:type="dxa"/>
            <w:shd w:val="clear" w:color="000000" w:fill="ED7D31"/>
            <w:vAlign w:val="center"/>
            <w:hideMark/>
          </w:tcPr>
          <w:p w14:paraId="3D8DB6CD" w14:textId="77777777" w:rsidR="00B0196F" w:rsidRPr="00CF4719" w:rsidRDefault="00B0196F">
            <w:pPr>
              <w:jc w:val="center"/>
              <w:rPr>
                <w:rFonts w:asciiTheme="minorHAnsi" w:eastAsia="Times New Roman" w:hAnsiTheme="minorHAnsi" w:cstheme="minorHAnsi"/>
                <w:b/>
                <w:bCs/>
                <w:color w:val="000000"/>
                <w:sz w:val="18"/>
                <w:szCs w:val="18"/>
                <w:lang w:eastAsia="en-GB"/>
              </w:rPr>
            </w:pPr>
            <w:r w:rsidRPr="00CF4719">
              <w:rPr>
                <w:rFonts w:asciiTheme="minorHAnsi" w:eastAsia="Times New Roman" w:hAnsiTheme="minorHAnsi" w:cstheme="minorHAnsi"/>
                <w:b/>
                <w:bCs/>
                <w:color w:val="000000"/>
                <w:sz w:val="18"/>
                <w:szCs w:val="18"/>
                <w:lang w:eastAsia="en-GB"/>
              </w:rPr>
              <w:t>Negative</w:t>
            </w:r>
          </w:p>
        </w:tc>
        <w:tc>
          <w:tcPr>
            <w:tcW w:w="1676" w:type="dxa"/>
            <w:shd w:val="clear" w:color="000000" w:fill="92D050"/>
            <w:noWrap/>
            <w:vAlign w:val="center"/>
            <w:hideMark/>
          </w:tcPr>
          <w:p w14:paraId="00AAB3D6"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Important</w:t>
            </w:r>
          </w:p>
        </w:tc>
        <w:tc>
          <w:tcPr>
            <w:tcW w:w="1749" w:type="dxa"/>
            <w:shd w:val="clear" w:color="auto" w:fill="auto"/>
            <w:noWrap/>
            <w:vAlign w:val="center"/>
            <w:hideMark/>
          </w:tcPr>
          <w:p w14:paraId="2FC1D8A8"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3058" w:type="dxa"/>
            <w:shd w:val="clear" w:color="auto" w:fill="auto"/>
            <w:noWrap/>
            <w:vAlign w:val="center"/>
            <w:hideMark/>
          </w:tcPr>
          <w:p w14:paraId="3AA17C8D" w14:textId="77777777" w:rsidR="00B0196F" w:rsidRPr="00CF4719" w:rsidRDefault="00B0196F">
            <w:pPr>
              <w:jc w:val="center"/>
              <w:rPr>
                <w:rFonts w:asciiTheme="minorHAnsi" w:eastAsia="Times New Roman" w:hAnsiTheme="minorHAnsi" w:cstheme="minorHAnsi"/>
                <w:sz w:val="18"/>
                <w:szCs w:val="18"/>
                <w:lang w:eastAsia="en-GB"/>
              </w:rPr>
            </w:pPr>
          </w:p>
        </w:tc>
        <w:tc>
          <w:tcPr>
            <w:tcW w:w="1673" w:type="dxa"/>
            <w:shd w:val="clear" w:color="000000" w:fill="00B050"/>
            <w:noWrap/>
            <w:vAlign w:val="center"/>
            <w:hideMark/>
          </w:tcPr>
          <w:p w14:paraId="6033F231" w14:textId="77777777" w:rsidR="00B0196F" w:rsidRPr="00CF4719" w:rsidRDefault="00B0196F">
            <w:pPr>
              <w:jc w:val="center"/>
              <w:rPr>
                <w:rFonts w:asciiTheme="minorHAnsi" w:eastAsia="Times New Roman" w:hAnsiTheme="minorHAnsi" w:cstheme="minorHAnsi"/>
                <w:color w:val="000000"/>
                <w:sz w:val="18"/>
                <w:szCs w:val="18"/>
                <w:lang w:eastAsia="en-GB"/>
              </w:rPr>
            </w:pPr>
            <w:r w:rsidRPr="00CF4719">
              <w:rPr>
                <w:rFonts w:asciiTheme="minorHAnsi" w:eastAsia="Times New Roman" w:hAnsiTheme="minorHAnsi" w:cstheme="minorHAnsi"/>
                <w:color w:val="000000"/>
                <w:sz w:val="18"/>
                <w:szCs w:val="18"/>
                <w:lang w:eastAsia="en-GB"/>
              </w:rPr>
              <w:t>Vital</w:t>
            </w:r>
          </w:p>
        </w:tc>
        <w:tc>
          <w:tcPr>
            <w:tcW w:w="1479" w:type="dxa"/>
            <w:shd w:val="clear" w:color="auto" w:fill="auto"/>
            <w:noWrap/>
            <w:vAlign w:val="center"/>
            <w:hideMark/>
          </w:tcPr>
          <w:p w14:paraId="43DF368A" w14:textId="77777777" w:rsidR="00B0196F" w:rsidRPr="00CF4719" w:rsidRDefault="00B0196F">
            <w:pPr>
              <w:jc w:val="center"/>
              <w:rPr>
                <w:rFonts w:asciiTheme="minorHAnsi" w:eastAsia="Times New Roman" w:hAnsiTheme="minorHAnsi" w:cstheme="minorHAnsi"/>
                <w:color w:val="000000"/>
                <w:sz w:val="18"/>
                <w:szCs w:val="18"/>
                <w:lang w:eastAsia="en-GB"/>
              </w:rPr>
            </w:pPr>
          </w:p>
        </w:tc>
        <w:tc>
          <w:tcPr>
            <w:tcW w:w="1341" w:type="dxa"/>
            <w:shd w:val="clear" w:color="auto" w:fill="auto"/>
            <w:noWrap/>
            <w:vAlign w:val="center"/>
            <w:hideMark/>
          </w:tcPr>
          <w:p w14:paraId="653C25D2" w14:textId="77777777" w:rsidR="00B0196F" w:rsidRPr="00CF4719" w:rsidRDefault="00B0196F">
            <w:pPr>
              <w:jc w:val="center"/>
              <w:rPr>
                <w:rFonts w:asciiTheme="minorHAnsi" w:eastAsia="Times New Roman" w:hAnsiTheme="minorHAnsi" w:cstheme="minorHAnsi"/>
                <w:b/>
                <w:bCs/>
                <w:color w:val="000000"/>
                <w:sz w:val="18"/>
                <w:szCs w:val="18"/>
                <w:lang w:eastAsia="en-GB"/>
              </w:rPr>
            </w:pPr>
          </w:p>
        </w:tc>
      </w:tr>
    </w:tbl>
    <w:p w14:paraId="0F515E9A" w14:textId="77777777" w:rsidR="00B0196F" w:rsidRDefault="00B0196F" w:rsidP="00B0196F"/>
    <w:p w14:paraId="0014CF40" w14:textId="43FBF0D3" w:rsidR="00B0196F" w:rsidRPr="00B3660F" w:rsidRDefault="00B0196F" w:rsidP="007F63EF">
      <w:pPr>
        <w:pStyle w:val="ItadH3"/>
        <w:keepNext/>
        <w:rPr>
          <w:b w:val="0"/>
          <w:bCs w:val="0"/>
          <w:lang w:val="en-GB"/>
        </w:rPr>
      </w:pPr>
      <w:bookmarkStart w:id="448" w:name="_Toc142383234"/>
      <w:r w:rsidRPr="007F63EF">
        <w:rPr>
          <w:lang w:val="en-GB"/>
        </w:rPr>
        <w:t xml:space="preserve">C1b </w:t>
      </w:r>
      <w:r w:rsidR="00DA63C1" w:rsidRPr="007F63EF">
        <w:rPr>
          <w:lang w:val="en-GB"/>
        </w:rPr>
        <w:t xml:space="preserve">Changes in </w:t>
      </w:r>
      <w:r w:rsidRPr="007F63EF">
        <w:rPr>
          <w:lang w:val="en-GB"/>
        </w:rPr>
        <w:t>quality of HH AMR data</w:t>
      </w:r>
      <w:bookmarkEnd w:id="448"/>
      <w:r w:rsidRPr="007F63EF">
        <w:rPr>
          <w:lang w:val="en-GB"/>
        </w:rPr>
        <w:t xml:space="preserve"> </w:t>
      </w:r>
    </w:p>
    <w:tbl>
      <w:tblPr>
        <w:tblW w:w="13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495"/>
        <w:gridCol w:w="1816"/>
        <w:gridCol w:w="2695"/>
        <w:gridCol w:w="1569"/>
        <w:gridCol w:w="1776"/>
        <w:gridCol w:w="1544"/>
        <w:gridCol w:w="1456"/>
      </w:tblGrid>
      <w:tr w:rsidR="00DA63C1" w:rsidRPr="00D15769" w14:paraId="77368118" w14:textId="77777777" w:rsidTr="00DA63C1">
        <w:trPr>
          <w:trHeight w:val="320"/>
        </w:trPr>
        <w:tc>
          <w:tcPr>
            <w:tcW w:w="1337" w:type="dxa"/>
            <w:shd w:val="clear" w:color="auto" w:fill="96C286" w:themeFill="text2" w:themeFillTint="99"/>
            <w:noWrap/>
            <w:vAlign w:val="center"/>
            <w:hideMark/>
          </w:tcPr>
          <w:p w14:paraId="395F72B6" w14:textId="77777777" w:rsidR="00B0196F" w:rsidRPr="00D15769" w:rsidRDefault="00B0196F">
            <w:pPr>
              <w:jc w:val="center"/>
              <w:rPr>
                <w:rFonts w:asciiTheme="minorHAnsi" w:eastAsia="Times New Roman" w:hAnsiTheme="minorHAnsi" w:cstheme="minorHAnsi"/>
                <w:b/>
                <w:bCs/>
                <w:color w:val="000000"/>
                <w:lang w:eastAsia="en-GB"/>
              </w:rPr>
            </w:pPr>
            <w:r w:rsidRPr="00D15769">
              <w:rPr>
                <w:rFonts w:asciiTheme="minorHAnsi" w:eastAsia="Times New Roman" w:hAnsiTheme="minorHAnsi" w:cstheme="minorHAnsi"/>
                <w:b/>
                <w:bCs/>
                <w:color w:val="000000"/>
                <w:lang w:eastAsia="en-GB"/>
              </w:rPr>
              <w:t>Countries</w:t>
            </w:r>
          </w:p>
        </w:tc>
        <w:tc>
          <w:tcPr>
            <w:tcW w:w="1495" w:type="dxa"/>
            <w:shd w:val="clear" w:color="auto" w:fill="96C286" w:themeFill="text2" w:themeFillTint="99"/>
            <w:noWrap/>
            <w:vAlign w:val="center"/>
            <w:hideMark/>
          </w:tcPr>
          <w:p w14:paraId="1DC08D42" w14:textId="54108FFA" w:rsidR="00B0196F" w:rsidRPr="00D15769" w:rsidRDefault="00B0196F">
            <w:pPr>
              <w:jc w:val="center"/>
              <w:rPr>
                <w:rFonts w:asciiTheme="minorHAnsi" w:eastAsia="Times New Roman" w:hAnsiTheme="minorHAnsi" w:cstheme="minorHAnsi"/>
                <w:b/>
                <w:bCs/>
                <w:color w:val="000000"/>
                <w:lang w:eastAsia="en-GB"/>
              </w:rPr>
            </w:pPr>
            <w:r w:rsidRPr="00D15769">
              <w:rPr>
                <w:rFonts w:asciiTheme="minorHAnsi" w:eastAsia="Times New Roman" w:hAnsiTheme="minorHAnsi" w:cstheme="minorHAnsi"/>
                <w:b/>
                <w:bCs/>
                <w:color w:val="000000"/>
                <w:lang w:eastAsia="en-GB"/>
              </w:rPr>
              <w:t>Ext</w:t>
            </w:r>
            <w:r w:rsidR="00AC71ED">
              <w:rPr>
                <w:rFonts w:asciiTheme="minorHAnsi" w:eastAsia="Times New Roman" w:hAnsiTheme="minorHAnsi" w:cstheme="minorHAnsi"/>
                <w:b/>
                <w:bCs/>
                <w:color w:val="000000"/>
                <w:lang w:eastAsia="en-GB"/>
              </w:rPr>
              <w:t xml:space="preserve">ent </w:t>
            </w:r>
            <w:r w:rsidRPr="00D15769">
              <w:rPr>
                <w:rFonts w:asciiTheme="minorHAnsi" w:eastAsia="Times New Roman" w:hAnsiTheme="minorHAnsi" w:cstheme="minorHAnsi"/>
                <w:b/>
                <w:bCs/>
                <w:color w:val="000000"/>
                <w:lang w:eastAsia="en-GB"/>
              </w:rPr>
              <w:t>of change</w:t>
            </w:r>
          </w:p>
        </w:tc>
        <w:tc>
          <w:tcPr>
            <w:tcW w:w="1816" w:type="dxa"/>
            <w:shd w:val="clear" w:color="auto" w:fill="96C286" w:themeFill="text2" w:themeFillTint="99"/>
            <w:noWrap/>
            <w:vAlign w:val="center"/>
            <w:hideMark/>
          </w:tcPr>
          <w:p w14:paraId="7EF7D59E" w14:textId="77777777" w:rsidR="00B0196F" w:rsidRPr="00D15769" w:rsidRDefault="00B0196F">
            <w:pPr>
              <w:jc w:val="center"/>
              <w:rPr>
                <w:rFonts w:asciiTheme="minorHAnsi" w:eastAsia="Times New Roman" w:hAnsiTheme="minorHAnsi" w:cstheme="minorHAnsi"/>
                <w:b/>
                <w:bCs/>
                <w:color w:val="000000"/>
                <w:lang w:eastAsia="en-GB"/>
              </w:rPr>
            </w:pPr>
            <w:r w:rsidRPr="00D15769">
              <w:rPr>
                <w:rFonts w:asciiTheme="minorHAnsi" w:eastAsia="Times New Roman" w:hAnsiTheme="minorHAnsi" w:cstheme="minorHAnsi"/>
                <w:b/>
                <w:bCs/>
                <w:color w:val="000000"/>
                <w:lang w:eastAsia="en-GB"/>
              </w:rPr>
              <w:t>Human capacity</w:t>
            </w:r>
          </w:p>
        </w:tc>
        <w:tc>
          <w:tcPr>
            <w:tcW w:w="2695" w:type="dxa"/>
            <w:shd w:val="clear" w:color="auto" w:fill="96C286" w:themeFill="text2" w:themeFillTint="99"/>
            <w:noWrap/>
            <w:vAlign w:val="center"/>
            <w:hideMark/>
          </w:tcPr>
          <w:p w14:paraId="04CB1AE5" w14:textId="77777777" w:rsidR="00B0196F" w:rsidRPr="00D15769" w:rsidRDefault="00B0196F">
            <w:pPr>
              <w:jc w:val="center"/>
              <w:rPr>
                <w:rFonts w:asciiTheme="minorHAnsi" w:eastAsia="Times New Roman" w:hAnsiTheme="minorHAnsi" w:cstheme="minorHAnsi"/>
                <w:b/>
                <w:bCs/>
                <w:color w:val="000000"/>
                <w:lang w:eastAsia="en-GB"/>
              </w:rPr>
            </w:pPr>
            <w:r w:rsidRPr="00D15769">
              <w:rPr>
                <w:rFonts w:asciiTheme="minorHAnsi" w:eastAsia="Times New Roman" w:hAnsiTheme="minorHAnsi" w:cstheme="minorHAnsi"/>
                <w:b/>
                <w:bCs/>
                <w:color w:val="000000"/>
                <w:lang w:eastAsia="en-GB"/>
              </w:rPr>
              <w:t>Renovation &amp; Equipment</w:t>
            </w:r>
          </w:p>
        </w:tc>
        <w:tc>
          <w:tcPr>
            <w:tcW w:w="1569" w:type="dxa"/>
            <w:shd w:val="clear" w:color="auto" w:fill="96C286" w:themeFill="text2" w:themeFillTint="99"/>
            <w:noWrap/>
            <w:vAlign w:val="center"/>
            <w:hideMark/>
          </w:tcPr>
          <w:p w14:paraId="7ED3667B" w14:textId="77777777" w:rsidR="00B0196F" w:rsidRPr="00D15769" w:rsidRDefault="00B0196F">
            <w:pPr>
              <w:jc w:val="center"/>
              <w:rPr>
                <w:rFonts w:asciiTheme="minorHAnsi" w:eastAsia="Times New Roman" w:hAnsiTheme="minorHAnsi" w:cstheme="minorHAnsi"/>
                <w:b/>
                <w:bCs/>
                <w:color w:val="000000"/>
                <w:lang w:eastAsia="en-GB"/>
              </w:rPr>
            </w:pPr>
            <w:r w:rsidRPr="00D15769">
              <w:rPr>
                <w:rFonts w:asciiTheme="minorHAnsi" w:eastAsia="Times New Roman" w:hAnsiTheme="minorHAnsi" w:cstheme="minorHAnsi"/>
                <w:b/>
                <w:bCs/>
                <w:color w:val="000000"/>
                <w:lang w:eastAsia="en-GB"/>
              </w:rPr>
              <w:t>QA</w:t>
            </w:r>
          </w:p>
        </w:tc>
        <w:tc>
          <w:tcPr>
            <w:tcW w:w="1776" w:type="dxa"/>
            <w:shd w:val="clear" w:color="auto" w:fill="96C286" w:themeFill="text2" w:themeFillTint="99"/>
            <w:noWrap/>
            <w:vAlign w:val="center"/>
            <w:hideMark/>
          </w:tcPr>
          <w:p w14:paraId="0F0F6BBB" w14:textId="77777777" w:rsidR="00B0196F" w:rsidRPr="00D15769" w:rsidRDefault="00B0196F">
            <w:pPr>
              <w:jc w:val="center"/>
              <w:rPr>
                <w:rFonts w:asciiTheme="minorHAnsi" w:eastAsia="Times New Roman" w:hAnsiTheme="minorHAnsi" w:cstheme="minorHAnsi"/>
                <w:b/>
                <w:bCs/>
                <w:color w:val="000000"/>
                <w:lang w:eastAsia="en-GB"/>
              </w:rPr>
            </w:pPr>
            <w:r w:rsidRPr="00D15769">
              <w:rPr>
                <w:rFonts w:asciiTheme="minorHAnsi" w:eastAsia="Times New Roman" w:hAnsiTheme="minorHAnsi" w:cstheme="minorHAnsi"/>
                <w:b/>
                <w:bCs/>
                <w:color w:val="000000"/>
                <w:lang w:eastAsia="en-GB"/>
              </w:rPr>
              <w:t>SOPs</w:t>
            </w:r>
          </w:p>
        </w:tc>
        <w:tc>
          <w:tcPr>
            <w:tcW w:w="1544" w:type="dxa"/>
            <w:shd w:val="clear" w:color="auto" w:fill="96C286" w:themeFill="text2" w:themeFillTint="99"/>
            <w:noWrap/>
            <w:vAlign w:val="center"/>
            <w:hideMark/>
          </w:tcPr>
          <w:p w14:paraId="5DA49FE7" w14:textId="77777777" w:rsidR="00B0196F" w:rsidRPr="00D15769" w:rsidRDefault="00B0196F">
            <w:pPr>
              <w:jc w:val="center"/>
              <w:rPr>
                <w:rFonts w:asciiTheme="minorHAnsi" w:eastAsia="Times New Roman" w:hAnsiTheme="minorHAnsi" w:cstheme="minorHAnsi"/>
                <w:b/>
                <w:bCs/>
                <w:color w:val="000000"/>
                <w:lang w:eastAsia="en-GB"/>
              </w:rPr>
            </w:pPr>
            <w:r w:rsidRPr="00D15769">
              <w:rPr>
                <w:rFonts w:asciiTheme="minorHAnsi" w:eastAsia="Times New Roman" w:hAnsiTheme="minorHAnsi" w:cstheme="minorHAnsi"/>
                <w:b/>
                <w:bCs/>
                <w:color w:val="000000"/>
                <w:lang w:eastAsia="en-GB"/>
              </w:rPr>
              <w:t>Consumables</w:t>
            </w:r>
          </w:p>
        </w:tc>
        <w:tc>
          <w:tcPr>
            <w:tcW w:w="1456" w:type="dxa"/>
            <w:shd w:val="clear" w:color="auto" w:fill="96C286" w:themeFill="text2" w:themeFillTint="99"/>
            <w:noWrap/>
            <w:vAlign w:val="center"/>
            <w:hideMark/>
          </w:tcPr>
          <w:p w14:paraId="0F9738E3" w14:textId="77777777" w:rsidR="00B0196F" w:rsidRPr="00D15769" w:rsidRDefault="00B0196F">
            <w:pPr>
              <w:jc w:val="center"/>
              <w:rPr>
                <w:rFonts w:asciiTheme="minorHAnsi" w:eastAsia="Times New Roman" w:hAnsiTheme="minorHAnsi" w:cstheme="minorHAnsi"/>
                <w:b/>
                <w:bCs/>
                <w:color w:val="000000"/>
                <w:lang w:eastAsia="en-GB"/>
              </w:rPr>
            </w:pPr>
            <w:r w:rsidRPr="00D15769">
              <w:rPr>
                <w:rFonts w:asciiTheme="minorHAnsi" w:eastAsia="Times New Roman" w:hAnsiTheme="minorHAnsi" w:cstheme="minorHAnsi"/>
                <w:b/>
                <w:bCs/>
                <w:color w:val="000000"/>
                <w:lang w:eastAsia="en-GB"/>
              </w:rPr>
              <w:t>Other</w:t>
            </w:r>
          </w:p>
        </w:tc>
      </w:tr>
      <w:tr w:rsidR="00B0196F" w:rsidRPr="00D15769" w14:paraId="265686A4" w14:textId="77777777">
        <w:trPr>
          <w:trHeight w:val="1560"/>
        </w:trPr>
        <w:tc>
          <w:tcPr>
            <w:tcW w:w="1337" w:type="dxa"/>
            <w:shd w:val="clear" w:color="auto" w:fill="auto"/>
            <w:noWrap/>
            <w:vAlign w:val="center"/>
            <w:hideMark/>
          </w:tcPr>
          <w:p w14:paraId="15D091EE" w14:textId="77777777" w:rsidR="00B0196F" w:rsidRPr="00D15769" w:rsidRDefault="00B0196F">
            <w:pPr>
              <w:jc w:val="center"/>
              <w:rPr>
                <w:rFonts w:asciiTheme="minorHAnsi" w:eastAsia="Times New Roman" w:hAnsiTheme="minorHAnsi" w:cstheme="minorHAnsi"/>
                <w:b/>
                <w:bCs/>
                <w:color w:val="000000"/>
                <w:sz w:val="18"/>
                <w:szCs w:val="18"/>
                <w:lang w:eastAsia="en-GB"/>
              </w:rPr>
            </w:pPr>
          </w:p>
        </w:tc>
        <w:tc>
          <w:tcPr>
            <w:tcW w:w="1495" w:type="dxa"/>
            <w:shd w:val="clear" w:color="auto" w:fill="auto"/>
            <w:noWrap/>
            <w:vAlign w:val="center"/>
            <w:hideMark/>
          </w:tcPr>
          <w:p w14:paraId="7D7B1C51" w14:textId="77777777" w:rsidR="00B0196F" w:rsidRPr="00D15769" w:rsidRDefault="00B0196F">
            <w:pPr>
              <w:jc w:val="center"/>
              <w:rPr>
                <w:rFonts w:asciiTheme="minorHAnsi" w:eastAsia="Times New Roman" w:hAnsiTheme="minorHAnsi" w:cstheme="minorHAnsi"/>
                <w:sz w:val="18"/>
                <w:szCs w:val="18"/>
                <w:lang w:eastAsia="en-GB"/>
              </w:rPr>
            </w:pPr>
          </w:p>
        </w:tc>
        <w:tc>
          <w:tcPr>
            <w:tcW w:w="1816" w:type="dxa"/>
            <w:shd w:val="clear" w:color="auto" w:fill="auto"/>
            <w:vAlign w:val="center"/>
            <w:hideMark/>
          </w:tcPr>
          <w:p w14:paraId="76FA4CDA" w14:textId="640DCBF5" w:rsidR="00B0196F" w:rsidRPr="00D15769" w:rsidRDefault="00B0196F">
            <w:pPr>
              <w:jc w:val="center"/>
              <w:rPr>
                <w:rFonts w:asciiTheme="minorHAnsi" w:eastAsia="Times New Roman" w:hAnsiTheme="minorHAnsi" w:cstheme="minorHAnsi"/>
                <w:i/>
                <w:iCs/>
                <w:color w:val="000000"/>
                <w:sz w:val="18"/>
                <w:szCs w:val="18"/>
                <w:lang w:eastAsia="en-GB"/>
              </w:rPr>
            </w:pPr>
            <w:r w:rsidRPr="00D15769">
              <w:rPr>
                <w:rFonts w:asciiTheme="minorHAnsi" w:eastAsia="Times New Roman" w:hAnsiTheme="minorHAnsi" w:cstheme="minorHAnsi"/>
                <w:i/>
                <w:iCs/>
                <w:color w:val="000000"/>
                <w:sz w:val="18"/>
                <w:szCs w:val="18"/>
                <w:lang w:eastAsia="en-GB"/>
              </w:rPr>
              <w:t xml:space="preserve">Availability of </w:t>
            </w:r>
            <w:r w:rsidR="00D34D5C">
              <w:rPr>
                <w:rFonts w:asciiTheme="minorHAnsi" w:eastAsia="Times New Roman" w:hAnsiTheme="minorHAnsi" w:cstheme="minorHAnsi"/>
                <w:i/>
                <w:iCs/>
                <w:color w:val="000000"/>
                <w:sz w:val="18"/>
                <w:szCs w:val="18"/>
                <w:lang w:eastAsia="en-GB"/>
              </w:rPr>
              <w:t>well</w:t>
            </w:r>
            <w:r w:rsidRPr="00D15769">
              <w:rPr>
                <w:rFonts w:asciiTheme="minorHAnsi" w:eastAsia="Times New Roman" w:hAnsiTheme="minorHAnsi" w:cstheme="minorHAnsi"/>
                <w:i/>
                <w:iCs/>
                <w:color w:val="000000"/>
                <w:sz w:val="18"/>
                <w:szCs w:val="18"/>
                <w:lang w:eastAsia="en-GB"/>
              </w:rPr>
              <w:t xml:space="preserve">-trained </w:t>
            </w:r>
            <w:r w:rsidR="00F25C0E">
              <w:rPr>
                <w:rFonts w:asciiTheme="minorHAnsi" w:eastAsia="Times New Roman" w:hAnsiTheme="minorHAnsi" w:cstheme="minorHAnsi"/>
                <w:i/>
                <w:iCs/>
                <w:color w:val="000000"/>
                <w:sz w:val="18"/>
                <w:szCs w:val="18"/>
                <w:lang w:eastAsia="en-GB"/>
              </w:rPr>
              <w:t xml:space="preserve">laboratory </w:t>
            </w:r>
            <w:r w:rsidRPr="00D15769">
              <w:rPr>
                <w:rFonts w:asciiTheme="minorHAnsi" w:eastAsia="Times New Roman" w:hAnsiTheme="minorHAnsi" w:cstheme="minorHAnsi"/>
                <w:i/>
                <w:iCs/>
                <w:color w:val="000000"/>
                <w:sz w:val="18"/>
                <w:szCs w:val="18"/>
                <w:lang w:eastAsia="en-GB"/>
              </w:rPr>
              <w:t>staff at all levels in sufficient numbers</w:t>
            </w:r>
          </w:p>
        </w:tc>
        <w:tc>
          <w:tcPr>
            <w:tcW w:w="2695" w:type="dxa"/>
            <w:shd w:val="clear" w:color="auto" w:fill="auto"/>
            <w:vAlign w:val="center"/>
            <w:hideMark/>
          </w:tcPr>
          <w:p w14:paraId="7B634A17" w14:textId="0A6A2155" w:rsidR="00B0196F" w:rsidRPr="00D15769" w:rsidRDefault="00B0196F">
            <w:pPr>
              <w:jc w:val="center"/>
              <w:rPr>
                <w:rFonts w:asciiTheme="minorHAnsi" w:eastAsia="Times New Roman" w:hAnsiTheme="minorHAnsi" w:cstheme="minorHAnsi"/>
                <w:i/>
                <w:iCs/>
                <w:color w:val="000000"/>
                <w:sz w:val="18"/>
                <w:szCs w:val="18"/>
                <w:lang w:eastAsia="en-GB"/>
              </w:rPr>
            </w:pPr>
            <w:r w:rsidRPr="00D15769">
              <w:rPr>
                <w:rFonts w:asciiTheme="minorHAnsi" w:eastAsia="Times New Roman" w:hAnsiTheme="minorHAnsi" w:cstheme="minorHAnsi"/>
                <w:i/>
                <w:iCs/>
                <w:color w:val="000000"/>
                <w:sz w:val="18"/>
                <w:szCs w:val="18"/>
                <w:lang w:eastAsia="en-GB"/>
              </w:rPr>
              <w:t>Appropriate spaces and equipment to perform microbiology/AST tests; equipment is working/serviced/maintained</w:t>
            </w:r>
          </w:p>
        </w:tc>
        <w:tc>
          <w:tcPr>
            <w:tcW w:w="1569" w:type="dxa"/>
            <w:shd w:val="clear" w:color="auto" w:fill="auto"/>
            <w:vAlign w:val="center"/>
            <w:hideMark/>
          </w:tcPr>
          <w:p w14:paraId="2B1E6126" w14:textId="77777777" w:rsidR="00B0196F" w:rsidRPr="00D15769" w:rsidRDefault="00B0196F">
            <w:pPr>
              <w:jc w:val="center"/>
              <w:rPr>
                <w:rFonts w:asciiTheme="minorHAnsi" w:eastAsia="Times New Roman" w:hAnsiTheme="minorHAnsi" w:cstheme="minorHAnsi"/>
                <w:i/>
                <w:iCs/>
                <w:color w:val="000000"/>
                <w:sz w:val="18"/>
                <w:szCs w:val="18"/>
                <w:lang w:eastAsia="en-GB"/>
              </w:rPr>
            </w:pPr>
            <w:r w:rsidRPr="00D15769">
              <w:rPr>
                <w:rFonts w:asciiTheme="minorHAnsi" w:eastAsia="Times New Roman" w:hAnsiTheme="minorHAnsi" w:cstheme="minorHAnsi"/>
                <w:i/>
                <w:iCs/>
                <w:color w:val="000000"/>
                <w:sz w:val="18"/>
                <w:szCs w:val="18"/>
                <w:lang w:eastAsia="en-GB"/>
              </w:rPr>
              <w:t>Presence of appropriate internal and/or external QA systems/processes</w:t>
            </w:r>
          </w:p>
        </w:tc>
        <w:tc>
          <w:tcPr>
            <w:tcW w:w="1776" w:type="dxa"/>
            <w:shd w:val="clear" w:color="auto" w:fill="auto"/>
            <w:vAlign w:val="center"/>
            <w:hideMark/>
          </w:tcPr>
          <w:p w14:paraId="4781ADF8" w14:textId="77777777" w:rsidR="00B0196F" w:rsidRPr="00D15769" w:rsidRDefault="00B0196F">
            <w:pPr>
              <w:jc w:val="center"/>
              <w:rPr>
                <w:rFonts w:asciiTheme="minorHAnsi" w:eastAsia="Times New Roman" w:hAnsiTheme="minorHAnsi" w:cstheme="minorHAnsi"/>
                <w:i/>
                <w:iCs/>
                <w:color w:val="000000"/>
                <w:sz w:val="18"/>
                <w:szCs w:val="18"/>
                <w:lang w:eastAsia="en-GB"/>
              </w:rPr>
            </w:pPr>
            <w:r w:rsidRPr="00D15769">
              <w:rPr>
                <w:rFonts w:asciiTheme="minorHAnsi" w:eastAsia="Times New Roman" w:hAnsiTheme="minorHAnsi" w:cstheme="minorHAnsi"/>
                <w:i/>
                <w:iCs/>
                <w:color w:val="000000"/>
                <w:sz w:val="18"/>
                <w:szCs w:val="18"/>
                <w:lang w:eastAsia="en-GB"/>
              </w:rPr>
              <w:t>Presence of appropriate and up-to-date SOPs</w:t>
            </w:r>
          </w:p>
        </w:tc>
        <w:tc>
          <w:tcPr>
            <w:tcW w:w="1544" w:type="dxa"/>
            <w:shd w:val="clear" w:color="auto" w:fill="auto"/>
            <w:vAlign w:val="center"/>
            <w:hideMark/>
          </w:tcPr>
          <w:p w14:paraId="54FBE1A7" w14:textId="77777777" w:rsidR="00B0196F" w:rsidRPr="00D15769" w:rsidRDefault="00B0196F">
            <w:pPr>
              <w:jc w:val="center"/>
              <w:rPr>
                <w:rFonts w:asciiTheme="minorHAnsi" w:eastAsia="Times New Roman" w:hAnsiTheme="minorHAnsi" w:cstheme="minorHAnsi"/>
                <w:i/>
                <w:iCs/>
                <w:color w:val="000000"/>
                <w:sz w:val="18"/>
                <w:szCs w:val="18"/>
                <w:lang w:eastAsia="en-GB"/>
              </w:rPr>
            </w:pPr>
            <w:r w:rsidRPr="00D15769">
              <w:rPr>
                <w:rFonts w:asciiTheme="minorHAnsi" w:eastAsia="Times New Roman" w:hAnsiTheme="minorHAnsi" w:cstheme="minorHAnsi"/>
                <w:i/>
                <w:iCs/>
                <w:color w:val="000000"/>
                <w:sz w:val="18"/>
                <w:szCs w:val="18"/>
                <w:lang w:eastAsia="en-GB"/>
              </w:rPr>
              <w:t>Availability of good quality consumable in sufficient quantity</w:t>
            </w:r>
          </w:p>
        </w:tc>
        <w:tc>
          <w:tcPr>
            <w:tcW w:w="1456" w:type="dxa"/>
            <w:shd w:val="clear" w:color="auto" w:fill="auto"/>
            <w:vAlign w:val="center"/>
            <w:hideMark/>
          </w:tcPr>
          <w:p w14:paraId="5E0CA659" w14:textId="77777777" w:rsidR="00B0196F" w:rsidRPr="00D15769" w:rsidRDefault="00B0196F">
            <w:pPr>
              <w:jc w:val="center"/>
              <w:rPr>
                <w:rFonts w:asciiTheme="minorHAnsi" w:eastAsia="Times New Roman" w:hAnsiTheme="minorHAnsi" w:cstheme="minorHAnsi"/>
                <w:i/>
                <w:iCs/>
                <w:color w:val="000000"/>
                <w:sz w:val="18"/>
                <w:szCs w:val="18"/>
                <w:lang w:eastAsia="en-GB"/>
              </w:rPr>
            </w:pPr>
            <w:r w:rsidRPr="00D15769">
              <w:rPr>
                <w:rFonts w:asciiTheme="minorHAnsi" w:eastAsia="Times New Roman" w:hAnsiTheme="minorHAnsi" w:cstheme="minorHAnsi"/>
                <w:i/>
                <w:iCs/>
                <w:color w:val="000000"/>
                <w:sz w:val="18"/>
                <w:szCs w:val="18"/>
                <w:lang w:eastAsia="en-GB"/>
              </w:rPr>
              <w:t>Governance, data sharing, prioritisation, staff motivation, appropriate supervision</w:t>
            </w:r>
          </w:p>
        </w:tc>
      </w:tr>
      <w:tr w:rsidR="00B0196F" w:rsidRPr="00D15769" w14:paraId="369394DD" w14:textId="77777777">
        <w:trPr>
          <w:trHeight w:val="320"/>
        </w:trPr>
        <w:tc>
          <w:tcPr>
            <w:tcW w:w="1337" w:type="dxa"/>
            <w:shd w:val="clear" w:color="auto" w:fill="auto"/>
            <w:noWrap/>
            <w:vAlign w:val="center"/>
            <w:hideMark/>
          </w:tcPr>
          <w:p w14:paraId="6078010A"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Bhutan</w:t>
            </w:r>
          </w:p>
        </w:tc>
        <w:tc>
          <w:tcPr>
            <w:tcW w:w="1495" w:type="dxa"/>
            <w:shd w:val="clear" w:color="000000" w:fill="BF8F00"/>
            <w:vAlign w:val="center"/>
            <w:hideMark/>
          </w:tcPr>
          <w:p w14:paraId="76CCD710"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Considerable</w:t>
            </w:r>
          </w:p>
        </w:tc>
        <w:tc>
          <w:tcPr>
            <w:tcW w:w="1816" w:type="dxa"/>
            <w:shd w:val="clear" w:color="000000" w:fill="00B050"/>
            <w:noWrap/>
            <w:vAlign w:val="center"/>
            <w:hideMark/>
          </w:tcPr>
          <w:p w14:paraId="2B637960"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2695" w:type="dxa"/>
            <w:shd w:val="clear" w:color="auto" w:fill="auto"/>
            <w:noWrap/>
            <w:vAlign w:val="center"/>
            <w:hideMark/>
          </w:tcPr>
          <w:p w14:paraId="22341565"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569" w:type="dxa"/>
            <w:shd w:val="clear" w:color="auto" w:fill="auto"/>
            <w:noWrap/>
            <w:vAlign w:val="center"/>
            <w:hideMark/>
          </w:tcPr>
          <w:p w14:paraId="43257C0A" w14:textId="77777777" w:rsidR="00B0196F" w:rsidRPr="00D15769" w:rsidRDefault="00B0196F">
            <w:pPr>
              <w:jc w:val="center"/>
              <w:rPr>
                <w:rFonts w:asciiTheme="minorHAnsi" w:eastAsia="Times New Roman" w:hAnsiTheme="minorHAnsi" w:cstheme="minorHAnsi"/>
                <w:sz w:val="18"/>
                <w:szCs w:val="18"/>
                <w:lang w:eastAsia="en-GB"/>
              </w:rPr>
            </w:pPr>
          </w:p>
        </w:tc>
        <w:tc>
          <w:tcPr>
            <w:tcW w:w="1776" w:type="dxa"/>
            <w:shd w:val="clear" w:color="auto" w:fill="auto"/>
            <w:vAlign w:val="center"/>
            <w:hideMark/>
          </w:tcPr>
          <w:p w14:paraId="101455E4" w14:textId="77777777" w:rsidR="00B0196F" w:rsidRPr="00D15769" w:rsidRDefault="00B0196F">
            <w:pPr>
              <w:jc w:val="center"/>
              <w:rPr>
                <w:rFonts w:asciiTheme="minorHAnsi" w:eastAsia="Times New Roman" w:hAnsiTheme="minorHAnsi" w:cstheme="minorHAnsi"/>
                <w:sz w:val="18"/>
                <w:szCs w:val="18"/>
                <w:lang w:eastAsia="en-GB"/>
              </w:rPr>
            </w:pPr>
          </w:p>
        </w:tc>
        <w:tc>
          <w:tcPr>
            <w:tcW w:w="1544" w:type="dxa"/>
            <w:shd w:val="clear" w:color="000000" w:fill="00B050"/>
            <w:noWrap/>
            <w:vAlign w:val="center"/>
            <w:hideMark/>
          </w:tcPr>
          <w:p w14:paraId="772FBF87"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1456" w:type="dxa"/>
            <w:shd w:val="clear" w:color="000000" w:fill="92D050"/>
            <w:noWrap/>
            <w:vAlign w:val="center"/>
            <w:hideMark/>
          </w:tcPr>
          <w:p w14:paraId="7DD3849E"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r>
      <w:tr w:rsidR="00B0196F" w:rsidRPr="00D15769" w14:paraId="33ACCA00" w14:textId="77777777">
        <w:trPr>
          <w:trHeight w:val="320"/>
        </w:trPr>
        <w:tc>
          <w:tcPr>
            <w:tcW w:w="1337" w:type="dxa"/>
            <w:shd w:val="clear" w:color="auto" w:fill="auto"/>
            <w:noWrap/>
            <w:vAlign w:val="center"/>
            <w:hideMark/>
          </w:tcPr>
          <w:p w14:paraId="56C2B8AD"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Ghana</w:t>
            </w:r>
          </w:p>
        </w:tc>
        <w:tc>
          <w:tcPr>
            <w:tcW w:w="1495" w:type="dxa"/>
            <w:shd w:val="clear" w:color="000000" w:fill="BF8F00"/>
            <w:vAlign w:val="center"/>
            <w:hideMark/>
          </w:tcPr>
          <w:p w14:paraId="0733AF40"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Considerable</w:t>
            </w:r>
          </w:p>
        </w:tc>
        <w:tc>
          <w:tcPr>
            <w:tcW w:w="1816" w:type="dxa"/>
            <w:shd w:val="clear" w:color="000000" w:fill="92D050"/>
            <w:noWrap/>
            <w:vAlign w:val="center"/>
            <w:hideMark/>
          </w:tcPr>
          <w:p w14:paraId="64D6DB07"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2695" w:type="dxa"/>
            <w:shd w:val="clear" w:color="000000" w:fill="00B050"/>
            <w:noWrap/>
            <w:vAlign w:val="center"/>
            <w:hideMark/>
          </w:tcPr>
          <w:p w14:paraId="219D7EE6"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1569" w:type="dxa"/>
            <w:shd w:val="clear" w:color="auto" w:fill="auto"/>
            <w:noWrap/>
            <w:vAlign w:val="center"/>
            <w:hideMark/>
          </w:tcPr>
          <w:p w14:paraId="321A11DA"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776" w:type="dxa"/>
            <w:shd w:val="clear" w:color="000000" w:fill="FFC000"/>
            <w:noWrap/>
            <w:vAlign w:val="center"/>
            <w:hideMark/>
          </w:tcPr>
          <w:p w14:paraId="2D2B98EF"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Some</w:t>
            </w:r>
          </w:p>
        </w:tc>
        <w:tc>
          <w:tcPr>
            <w:tcW w:w="1544" w:type="dxa"/>
            <w:shd w:val="clear" w:color="auto" w:fill="auto"/>
            <w:noWrap/>
            <w:vAlign w:val="center"/>
            <w:hideMark/>
          </w:tcPr>
          <w:p w14:paraId="7C96E043"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456" w:type="dxa"/>
            <w:shd w:val="clear" w:color="auto" w:fill="auto"/>
            <w:noWrap/>
            <w:vAlign w:val="center"/>
            <w:hideMark/>
          </w:tcPr>
          <w:p w14:paraId="43266991" w14:textId="77777777" w:rsidR="00B0196F" w:rsidRPr="00D15769" w:rsidRDefault="00B0196F">
            <w:pPr>
              <w:jc w:val="center"/>
              <w:rPr>
                <w:rFonts w:asciiTheme="minorHAnsi" w:eastAsia="Times New Roman" w:hAnsiTheme="minorHAnsi" w:cstheme="minorHAnsi"/>
                <w:sz w:val="18"/>
                <w:szCs w:val="18"/>
                <w:lang w:eastAsia="en-GB"/>
              </w:rPr>
            </w:pPr>
          </w:p>
        </w:tc>
      </w:tr>
      <w:tr w:rsidR="00B0196F" w:rsidRPr="00D15769" w14:paraId="482B02B8" w14:textId="77777777">
        <w:trPr>
          <w:trHeight w:val="320"/>
        </w:trPr>
        <w:tc>
          <w:tcPr>
            <w:tcW w:w="1337" w:type="dxa"/>
            <w:shd w:val="clear" w:color="auto" w:fill="auto"/>
            <w:noWrap/>
            <w:vAlign w:val="center"/>
            <w:hideMark/>
          </w:tcPr>
          <w:p w14:paraId="06CE322D"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Kenya</w:t>
            </w:r>
          </w:p>
        </w:tc>
        <w:tc>
          <w:tcPr>
            <w:tcW w:w="1495" w:type="dxa"/>
            <w:shd w:val="clear" w:color="000000" w:fill="BF8F00"/>
            <w:vAlign w:val="center"/>
            <w:hideMark/>
          </w:tcPr>
          <w:p w14:paraId="2F67A976"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Considerable</w:t>
            </w:r>
          </w:p>
        </w:tc>
        <w:tc>
          <w:tcPr>
            <w:tcW w:w="1816" w:type="dxa"/>
            <w:shd w:val="clear" w:color="000000" w:fill="92D050"/>
            <w:noWrap/>
            <w:vAlign w:val="center"/>
            <w:hideMark/>
          </w:tcPr>
          <w:p w14:paraId="36DCE7CA"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2695" w:type="dxa"/>
            <w:shd w:val="clear" w:color="auto" w:fill="auto"/>
            <w:noWrap/>
            <w:vAlign w:val="center"/>
            <w:hideMark/>
          </w:tcPr>
          <w:p w14:paraId="53B4F4A4"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569" w:type="dxa"/>
            <w:shd w:val="clear" w:color="000000" w:fill="00B050"/>
            <w:noWrap/>
            <w:vAlign w:val="center"/>
            <w:hideMark/>
          </w:tcPr>
          <w:p w14:paraId="601A23A0"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1776" w:type="dxa"/>
            <w:shd w:val="clear" w:color="000000" w:fill="92D050"/>
            <w:noWrap/>
            <w:vAlign w:val="center"/>
            <w:hideMark/>
          </w:tcPr>
          <w:p w14:paraId="65D5881D"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544" w:type="dxa"/>
            <w:shd w:val="clear" w:color="000000" w:fill="92D050"/>
            <w:noWrap/>
            <w:vAlign w:val="center"/>
            <w:hideMark/>
          </w:tcPr>
          <w:p w14:paraId="4BD3BC51"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456" w:type="dxa"/>
            <w:shd w:val="clear" w:color="000000" w:fill="00B050"/>
            <w:noWrap/>
            <w:vAlign w:val="center"/>
            <w:hideMark/>
          </w:tcPr>
          <w:p w14:paraId="14EC4BF7"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r>
      <w:tr w:rsidR="00B0196F" w:rsidRPr="00D15769" w14:paraId="42C6B138" w14:textId="77777777">
        <w:trPr>
          <w:trHeight w:val="320"/>
        </w:trPr>
        <w:tc>
          <w:tcPr>
            <w:tcW w:w="1337" w:type="dxa"/>
            <w:shd w:val="clear" w:color="auto" w:fill="auto"/>
            <w:noWrap/>
            <w:vAlign w:val="center"/>
            <w:hideMark/>
          </w:tcPr>
          <w:p w14:paraId="35142B54"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Tanzania</w:t>
            </w:r>
          </w:p>
        </w:tc>
        <w:tc>
          <w:tcPr>
            <w:tcW w:w="1495" w:type="dxa"/>
            <w:shd w:val="clear" w:color="000000" w:fill="BF8F00"/>
            <w:vAlign w:val="center"/>
            <w:hideMark/>
          </w:tcPr>
          <w:p w14:paraId="61CF113A"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Considerable</w:t>
            </w:r>
          </w:p>
        </w:tc>
        <w:tc>
          <w:tcPr>
            <w:tcW w:w="1816" w:type="dxa"/>
            <w:shd w:val="clear" w:color="000000" w:fill="92D050"/>
            <w:noWrap/>
            <w:vAlign w:val="center"/>
            <w:hideMark/>
          </w:tcPr>
          <w:p w14:paraId="5FD4C47F"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2695" w:type="dxa"/>
            <w:shd w:val="clear" w:color="auto" w:fill="auto"/>
            <w:noWrap/>
            <w:vAlign w:val="center"/>
            <w:hideMark/>
          </w:tcPr>
          <w:p w14:paraId="00832198"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569" w:type="dxa"/>
            <w:shd w:val="clear" w:color="auto" w:fill="auto"/>
            <w:noWrap/>
            <w:vAlign w:val="center"/>
            <w:hideMark/>
          </w:tcPr>
          <w:p w14:paraId="41AC7572" w14:textId="77777777" w:rsidR="00B0196F" w:rsidRPr="00D15769" w:rsidRDefault="00B0196F">
            <w:pPr>
              <w:jc w:val="center"/>
              <w:rPr>
                <w:rFonts w:asciiTheme="minorHAnsi" w:eastAsia="Times New Roman" w:hAnsiTheme="minorHAnsi" w:cstheme="minorHAnsi"/>
                <w:sz w:val="18"/>
                <w:szCs w:val="18"/>
                <w:lang w:eastAsia="en-GB"/>
              </w:rPr>
            </w:pPr>
          </w:p>
        </w:tc>
        <w:tc>
          <w:tcPr>
            <w:tcW w:w="1776" w:type="dxa"/>
            <w:shd w:val="clear" w:color="000000" w:fill="92D050"/>
            <w:noWrap/>
            <w:vAlign w:val="center"/>
            <w:hideMark/>
          </w:tcPr>
          <w:p w14:paraId="10227D38"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544" w:type="dxa"/>
            <w:shd w:val="clear" w:color="000000" w:fill="92D050"/>
            <w:noWrap/>
            <w:vAlign w:val="center"/>
            <w:hideMark/>
          </w:tcPr>
          <w:p w14:paraId="162A9461"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456" w:type="dxa"/>
            <w:shd w:val="clear" w:color="000000" w:fill="92D050"/>
            <w:noWrap/>
            <w:vAlign w:val="center"/>
            <w:hideMark/>
          </w:tcPr>
          <w:p w14:paraId="7A8B0834"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r>
      <w:tr w:rsidR="00B0196F" w:rsidRPr="00D15769" w14:paraId="4FC4DB1B" w14:textId="77777777">
        <w:trPr>
          <w:trHeight w:val="320"/>
        </w:trPr>
        <w:tc>
          <w:tcPr>
            <w:tcW w:w="1337" w:type="dxa"/>
            <w:shd w:val="clear" w:color="auto" w:fill="auto"/>
            <w:noWrap/>
            <w:vAlign w:val="center"/>
            <w:hideMark/>
          </w:tcPr>
          <w:p w14:paraId="5B8994C6" w14:textId="2C37E215" w:rsidR="00B0196F" w:rsidRPr="00D15769" w:rsidRDefault="00260B8A">
            <w:pPr>
              <w:jc w:val="center"/>
              <w:rPr>
                <w:rFonts w:asciiTheme="minorHAnsi" w:eastAsia="Times New Roman" w:hAnsiTheme="minorHAnsi" w:cstheme="minorHAnsi"/>
                <w:color w:val="000000"/>
                <w:sz w:val="18"/>
                <w:szCs w:val="18"/>
                <w:lang w:eastAsia="en-GB"/>
              </w:rPr>
            </w:pPr>
            <w:r>
              <w:rPr>
                <w:rFonts w:asciiTheme="minorHAnsi" w:eastAsia="Times New Roman" w:hAnsiTheme="minorHAnsi" w:cstheme="minorHAnsi"/>
                <w:color w:val="000000"/>
                <w:sz w:val="18"/>
                <w:szCs w:val="18"/>
                <w:lang w:eastAsia="en-GB"/>
              </w:rPr>
              <w:t>Timor-Leste</w:t>
            </w:r>
          </w:p>
        </w:tc>
        <w:tc>
          <w:tcPr>
            <w:tcW w:w="1495" w:type="dxa"/>
            <w:shd w:val="clear" w:color="000000" w:fill="BF8F00"/>
            <w:vAlign w:val="center"/>
            <w:hideMark/>
          </w:tcPr>
          <w:p w14:paraId="481D4B31"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Considerable</w:t>
            </w:r>
          </w:p>
        </w:tc>
        <w:tc>
          <w:tcPr>
            <w:tcW w:w="1816" w:type="dxa"/>
            <w:shd w:val="clear" w:color="000000" w:fill="00B050"/>
            <w:noWrap/>
            <w:vAlign w:val="center"/>
            <w:hideMark/>
          </w:tcPr>
          <w:p w14:paraId="26DA79C8"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2695" w:type="dxa"/>
            <w:shd w:val="clear" w:color="000000" w:fill="00B050"/>
            <w:noWrap/>
            <w:vAlign w:val="center"/>
            <w:hideMark/>
          </w:tcPr>
          <w:p w14:paraId="267EC579"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1569" w:type="dxa"/>
            <w:shd w:val="clear" w:color="000000" w:fill="92D050"/>
            <w:noWrap/>
            <w:vAlign w:val="center"/>
            <w:hideMark/>
          </w:tcPr>
          <w:p w14:paraId="686A884C"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776" w:type="dxa"/>
            <w:shd w:val="clear" w:color="auto" w:fill="auto"/>
            <w:noWrap/>
            <w:vAlign w:val="center"/>
            <w:hideMark/>
          </w:tcPr>
          <w:p w14:paraId="59FBC78A"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544" w:type="dxa"/>
            <w:shd w:val="clear" w:color="auto" w:fill="auto"/>
            <w:noWrap/>
            <w:vAlign w:val="center"/>
            <w:hideMark/>
          </w:tcPr>
          <w:p w14:paraId="2B22E39C"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456" w:type="dxa"/>
            <w:shd w:val="clear" w:color="auto" w:fill="auto"/>
            <w:noWrap/>
            <w:vAlign w:val="center"/>
            <w:hideMark/>
          </w:tcPr>
          <w:p w14:paraId="74828F6A" w14:textId="77777777" w:rsidR="00B0196F" w:rsidRPr="00D15769" w:rsidRDefault="00B0196F">
            <w:pPr>
              <w:jc w:val="center"/>
              <w:rPr>
                <w:rFonts w:asciiTheme="minorHAnsi" w:eastAsia="Times New Roman" w:hAnsiTheme="minorHAnsi" w:cstheme="minorHAnsi"/>
                <w:sz w:val="18"/>
                <w:szCs w:val="18"/>
                <w:lang w:eastAsia="en-GB"/>
              </w:rPr>
            </w:pPr>
          </w:p>
        </w:tc>
      </w:tr>
      <w:tr w:rsidR="00B0196F" w:rsidRPr="00D15769" w14:paraId="2EEB76C6" w14:textId="77777777">
        <w:trPr>
          <w:trHeight w:val="320"/>
        </w:trPr>
        <w:tc>
          <w:tcPr>
            <w:tcW w:w="1337" w:type="dxa"/>
            <w:shd w:val="clear" w:color="auto" w:fill="auto"/>
            <w:noWrap/>
            <w:vAlign w:val="center"/>
            <w:hideMark/>
          </w:tcPr>
          <w:p w14:paraId="4E166F8D"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Vietnam</w:t>
            </w:r>
          </w:p>
        </w:tc>
        <w:tc>
          <w:tcPr>
            <w:tcW w:w="1495" w:type="dxa"/>
            <w:shd w:val="clear" w:color="000000" w:fill="BF8F00"/>
            <w:vAlign w:val="center"/>
            <w:hideMark/>
          </w:tcPr>
          <w:p w14:paraId="4DC25EC5"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Considerable</w:t>
            </w:r>
          </w:p>
        </w:tc>
        <w:tc>
          <w:tcPr>
            <w:tcW w:w="1816" w:type="dxa"/>
            <w:shd w:val="clear" w:color="000000" w:fill="92D050"/>
            <w:noWrap/>
            <w:vAlign w:val="center"/>
            <w:hideMark/>
          </w:tcPr>
          <w:p w14:paraId="34BA90A5"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2695" w:type="dxa"/>
            <w:shd w:val="clear" w:color="auto" w:fill="auto"/>
            <w:noWrap/>
            <w:vAlign w:val="center"/>
            <w:hideMark/>
          </w:tcPr>
          <w:p w14:paraId="744BE50D"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569" w:type="dxa"/>
            <w:shd w:val="clear" w:color="000000" w:fill="FFC000"/>
            <w:noWrap/>
            <w:vAlign w:val="center"/>
            <w:hideMark/>
          </w:tcPr>
          <w:p w14:paraId="1E9F1F22"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Some</w:t>
            </w:r>
          </w:p>
        </w:tc>
        <w:tc>
          <w:tcPr>
            <w:tcW w:w="1776" w:type="dxa"/>
            <w:shd w:val="clear" w:color="auto" w:fill="auto"/>
            <w:noWrap/>
            <w:vAlign w:val="center"/>
            <w:hideMark/>
          </w:tcPr>
          <w:p w14:paraId="597A151F"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544" w:type="dxa"/>
            <w:shd w:val="clear" w:color="auto" w:fill="auto"/>
            <w:noWrap/>
            <w:vAlign w:val="center"/>
            <w:hideMark/>
          </w:tcPr>
          <w:p w14:paraId="3B8921D3"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456" w:type="dxa"/>
            <w:shd w:val="clear" w:color="000000" w:fill="92D050"/>
            <w:noWrap/>
            <w:vAlign w:val="center"/>
            <w:hideMark/>
          </w:tcPr>
          <w:p w14:paraId="16E37425"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r>
      <w:tr w:rsidR="00B0196F" w:rsidRPr="00D15769" w14:paraId="07815747" w14:textId="77777777">
        <w:trPr>
          <w:trHeight w:val="320"/>
        </w:trPr>
        <w:tc>
          <w:tcPr>
            <w:tcW w:w="1337" w:type="dxa"/>
            <w:shd w:val="clear" w:color="auto" w:fill="auto"/>
            <w:noWrap/>
            <w:vAlign w:val="center"/>
            <w:hideMark/>
          </w:tcPr>
          <w:p w14:paraId="1A3860C6"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Bangladesh</w:t>
            </w:r>
          </w:p>
        </w:tc>
        <w:tc>
          <w:tcPr>
            <w:tcW w:w="1495" w:type="dxa"/>
            <w:shd w:val="clear" w:color="000000" w:fill="FFD966"/>
            <w:vAlign w:val="center"/>
            <w:hideMark/>
          </w:tcPr>
          <w:p w14:paraId="7FE55368"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Some</w:t>
            </w:r>
          </w:p>
        </w:tc>
        <w:tc>
          <w:tcPr>
            <w:tcW w:w="1816" w:type="dxa"/>
            <w:shd w:val="clear" w:color="000000" w:fill="00B050"/>
            <w:noWrap/>
            <w:vAlign w:val="center"/>
            <w:hideMark/>
          </w:tcPr>
          <w:p w14:paraId="1BBDC7ED"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2695" w:type="dxa"/>
            <w:shd w:val="clear" w:color="000000" w:fill="00B050"/>
            <w:noWrap/>
            <w:vAlign w:val="center"/>
            <w:hideMark/>
          </w:tcPr>
          <w:p w14:paraId="5AAB8E69"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1569" w:type="dxa"/>
            <w:shd w:val="clear" w:color="auto" w:fill="auto"/>
            <w:noWrap/>
            <w:vAlign w:val="center"/>
            <w:hideMark/>
          </w:tcPr>
          <w:p w14:paraId="02833EA5"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776" w:type="dxa"/>
            <w:shd w:val="clear" w:color="auto" w:fill="auto"/>
            <w:noWrap/>
            <w:vAlign w:val="center"/>
            <w:hideMark/>
          </w:tcPr>
          <w:p w14:paraId="0006F405" w14:textId="77777777" w:rsidR="00B0196F" w:rsidRPr="00D15769" w:rsidRDefault="00B0196F">
            <w:pPr>
              <w:jc w:val="center"/>
              <w:rPr>
                <w:rFonts w:asciiTheme="minorHAnsi" w:eastAsia="Times New Roman" w:hAnsiTheme="minorHAnsi" w:cstheme="minorHAnsi"/>
                <w:sz w:val="18"/>
                <w:szCs w:val="18"/>
                <w:lang w:eastAsia="en-GB"/>
              </w:rPr>
            </w:pPr>
          </w:p>
        </w:tc>
        <w:tc>
          <w:tcPr>
            <w:tcW w:w="1544" w:type="dxa"/>
            <w:shd w:val="clear" w:color="auto" w:fill="auto"/>
            <w:noWrap/>
            <w:vAlign w:val="center"/>
            <w:hideMark/>
          </w:tcPr>
          <w:p w14:paraId="25CC2083"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456" w:type="dxa"/>
            <w:shd w:val="clear" w:color="000000" w:fill="00B050"/>
            <w:noWrap/>
            <w:vAlign w:val="center"/>
            <w:hideMark/>
          </w:tcPr>
          <w:p w14:paraId="23081103"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r>
      <w:tr w:rsidR="00B0196F" w:rsidRPr="00D15769" w14:paraId="39AA228F" w14:textId="77777777">
        <w:trPr>
          <w:trHeight w:val="320"/>
        </w:trPr>
        <w:tc>
          <w:tcPr>
            <w:tcW w:w="1337" w:type="dxa"/>
            <w:shd w:val="clear" w:color="auto" w:fill="auto"/>
            <w:noWrap/>
            <w:vAlign w:val="center"/>
            <w:hideMark/>
          </w:tcPr>
          <w:p w14:paraId="07FDFCF3"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Indonesia</w:t>
            </w:r>
          </w:p>
        </w:tc>
        <w:tc>
          <w:tcPr>
            <w:tcW w:w="1495" w:type="dxa"/>
            <w:shd w:val="clear" w:color="000000" w:fill="FFD966"/>
            <w:vAlign w:val="center"/>
            <w:hideMark/>
          </w:tcPr>
          <w:p w14:paraId="35DDB04F"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Some</w:t>
            </w:r>
          </w:p>
        </w:tc>
        <w:tc>
          <w:tcPr>
            <w:tcW w:w="1816" w:type="dxa"/>
            <w:shd w:val="clear" w:color="000000" w:fill="92D050"/>
            <w:noWrap/>
            <w:vAlign w:val="center"/>
            <w:hideMark/>
          </w:tcPr>
          <w:p w14:paraId="14C1A779"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2695" w:type="dxa"/>
            <w:shd w:val="clear" w:color="000000" w:fill="00B050"/>
            <w:noWrap/>
            <w:vAlign w:val="center"/>
            <w:hideMark/>
          </w:tcPr>
          <w:p w14:paraId="644283CD"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1569" w:type="dxa"/>
            <w:shd w:val="clear" w:color="auto" w:fill="auto"/>
            <w:noWrap/>
            <w:vAlign w:val="center"/>
            <w:hideMark/>
          </w:tcPr>
          <w:p w14:paraId="66C74E2D"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776" w:type="dxa"/>
            <w:shd w:val="clear" w:color="auto" w:fill="auto"/>
            <w:noWrap/>
            <w:vAlign w:val="center"/>
            <w:hideMark/>
          </w:tcPr>
          <w:p w14:paraId="070EF41C" w14:textId="77777777" w:rsidR="00B0196F" w:rsidRPr="00D15769" w:rsidRDefault="00B0196F">
            <w:pPr>
              <w:jc w:val="center"/>
              <w:rPr>
                <w:rFonts w:asciiTheme="minorHAnsi" w:eastAsia="Times New Roman" w:hAnsiTheme="minorHAnsi" w:cstheme="minorHAnsi"/>
                <w:sz w:val="18"/>
                <w:szCs w:val="18"/>
                <w:lang w:eastAsia="en-GB"/>
              </w:rPr>
            </w:pPr>
          </w:p>
        </w:tc>
        <w:tc>
          <w:tcPr>
            <w:tcW w:w="1544" w:type="dxa"/>
            <w:shd w:val="clear" w:color="auto" w:fill="auto"/>
            <w:noWrap/>
            <w:vAlign w:val="center"/>
            <w:hideMark/>
          </w:tcPr>
          <w:p w14:paraId="63B78EE4"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456" w:type="dxa"/>
            <w:shd w:val="clear" w:color="000000" w:fill="FFC000"/>
            <w:noWrap/>
            <w:vAlign w:val="center"/>
            <w:hideMark/>
          </w:tcPr>
          <w:p w14:paraId="13F1ADED"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Some</w:t>
            </w:r>
          </w:p>
        </w:tc>
      </w:tr>
      <w:tr w:rsidR="00B0196F" w:rsidRPr="00D15769" w14:paraId="578D8E1F" w14:textId="77777777">
        <w:trPr>
          <w:trHeight w:val="320"/>
        </w:trPr>
        <w:tc>
          <w:tcPr>
            <w:tcW w:w="1337" w:type="dxa"/>
            <w:shd w:val="clear" w:color="auto" w:fill="auto"/>
            <w:noWrap/>
            <w:vAlign w:val="center"/>
            <w:hideMark/>
          </w:tcPr>
          <w:p w14:paraId="4EFC8A09"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Laos</w:t>
            </w:r>
          </w:p>
        </w:tc>
        <w:tc>
          <w:tcPr>
            <w:tcW w:w="1495" w:type="dxa"/>
            <w:shd w:val="clear" w:color="000000" w:fill="FFD966"/>
            <w:vAlign w:val="center"/>
            <w:hideMark/>
          </w:tcPr>
          <w:p w14:paraId="49485D0D"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Some</w:t>
            </w:r>
          </w:p>
        </w:tc>
        <w:tc>
          <w:tcPr>
            <w:tcW w:w="1816" w:type="dxa"/>
            <w:shd w:val="clear" w:color="000000" w:fill="92D050"/>
            <w:noWrap/>
            <w:vAlign w:val="center"/>
            <w:hideMark/>
          </w:tcPr>
          <w:p w14:paraId="78269722"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2695" w:type="dxa"/>
            <w:shd w:val="clear" w:color="000000" w:fill="92D050"/>
            <w:noWrap/>
            <w:vAlign w:val="center"/>
            <w:hideMark/>
          </w:tcPr>
          <w:p w14:paraId="7B80E444"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569" w:type="dxa"/>
            <w:shd w:val="clear" w:color="000000" w:fill="FFC000"/>
            <w:noWrap/>
            <w:vAlign w:val="center"/>
            <w:hideMark/>
          </w:tcPr>
          <w:p w14:paraId="1AC1FAB8"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Some</w:t>
            </w:r>
          </w:p>
        </w:tc>
        <w:tc>
          <w:tcPr>
            <w:tcW w:w="1776" w:type="dxa"/>
            <w:shd w:val="clear" w:color="auto" w:fill="auto"/>
            <w:noWrap/>
            <w:vAlign w:val="center"/>
            <w:hideMark/>
          </w:tcPr>
          <w:p w14:paraId="1EBC1B9E"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544" w:type="dxa"/>
            <w:shd w:val="clear" w:color="auto" w:fill="auto"/>
            <w:noWrap/>
            <w:vAlign w:val="center"/>
            <w:hideMark/>
          </w:tcPr>
          <w:p w14:paraId="317C4DC6"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456" w:type="dxa"/>
            <w:shd w:val="clear" w:color="auto" w:fill="auto"/>
            <w:noWrap/>
            <w:vAlign w:val="center"/>
            <w:hideMark/>
          </w:tcPr>
          <w:p w14:paraId="08C06273" w14:textId="77777777" w:rsidR="00B0196F" w:rsidRPr="00D15769" w:rsidRDefault="00B0196F">
            <w:pPr>
              <w:jc w:val="center"/>
              <w:rPr>
                <w:rFonts w:asciiTheme="minorHAnsi" w:eastAsia="Times New Roman" w:hAnsiTheme="minorHAnsi" w:cstheme="minorHAnsi"/>
                <w:sz w:val="18"/>
                <w:szCs w:val="18"/>
                <w:lang w:eastAsia="en-GB"/>
              </w:rPr>
            </w:pPr>
          </w:p>
        </w:tc>
      </w:tr>
      <w:tr w:rsidR="00B0196F" w:rsidRPr="00D15769" w14:paraId="583C5CA0" w14:textId="77777777">
        <w:trPr>
          <w:trHeight w:val="320"/>
        </w:trPr>
        <w:tc>
          <w:tcPr>
            <w:tcW w:w="1337" w:type="dxa"/>
            <w:shd w:val="clear" w:color="auto" w:fill="auto"/>
            <w:noWrap/>
            <w:vAlign w:val="center"/>
            <w:hideMark/>
          </w:tcPr>
          <w:p w14:paraId="6C922BE0"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Nepal</w:t>
            </w:r>
          </w:p>
        </w:tc>
        <w:tc>
          <w:tcPr>
            <w:tcW w:w="1495" w:type="dxa"/>
            <w:shd w:val="clear" w:color="000000" w:fill="FFD966"/>
            <w:vAlign w:val="center"/>
            <w:hideMark/>
          </w:tcPr>
          <w:p w14:paraId="3EAA30CD"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Some</w:t>
            </w:r>
          </w:p>
        </w:tc>
        <w:tc>
          <w:tcPr>
            <w:tcW w:w="1816" w:type="dxa"/>
            <w:shd w:val="clear" w:color="000000" w:fill="00B050"/>
            <w:noWrap/>
            <w:vAlign w:val="center"/>
            <w:hideMark/>
          </w:tcPr>
          <w:p w14:paraId="221F0F34"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2695" w:type="dxa"/>
            <w:shd w:val="clear" w:color="000000" w:fill="00B050"/>
            <w:noWrap/>
            <w:vAlign w:val="center"/>
            <w:hideMark/>
          </w:tcPr>
          <w:p w14:paraId="1C96F27E"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1569" w:type="dxa"/>
            <w:shd w:val="clear" w:color="auto" w:fill="auto"/>
            <w:noWrap/>
            <w:vAlign w:val="center"/>
            <w:hideMark/>
          </w:tcPr>
          <w:p w14:paraId="65E192E1"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776" w:type="dxa"/>
            <w:shd w:val="clear" w:color="000000" w:fill="00B050"/>
            <w:noWrap/>
            <w:vAlign w:val="center"/>
            <w:hideMark/>
          </w:tcPr>
          <w:p w14:paraId="19CCAA0B"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1544" w:type="dxa"/>
            <w:shd w:val="clear" w:color="auto" w:fill="auto"/>
            <w:noWrap/>
            <w:vAlign w:val="center"/>
            <w:hideMark/>
          </w:tcPr>
          <w:p w14:paraId="5BA4157A"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456" w:type="dxa"/>
            <w:shd w:val="clear" w:color="auto" w:fill="auto"/>
            <w:noWrap/>
            <w:vAlign w:val="center"/>
            <w:hideMark/>
          </w:tcPr>
          <w:p w14:paraId="40D8CCFA" w14:textId="77777777" w:rsidR="00B0196F" w:rsidRPr="00D15769" w:rsidRDefault="00B0196F">
            <w:pPr>
              <w:jc w:val="center"/>
              <w:rPr>
                <w:rFonts w:asciiTheme="minorHAnsi" w:eastAsia="Times New Roman" w:hAnsiTheme="minorHAnsi" w:cstheme="minorHAnsi"/>
                <w:sz w:val="18"/>
                <w:szCs w:val="18"/>
                <w:lang w:eastAsia="en-GB"/>
              </w:rPr>
            </w:pPr>
          </w:p>
        </w:tc>
      </w:tr>
      <w:tr w:rsidR="00B0196F" w:rsidRPr="00D15769" w14:paraId="7C0AA4D3" w14:textId="77777777">
        <w:trPr>
          <w:trHeight w:val="320"/>
        </w:trPr>
        <w:tc>
          <w:tcPr>
            <w:tcW w:w="1337" w:type="dxa"/>
            <w:shd w:val="clear" w:color="auto" w:fill="auto"/>
            <w:noWrap/>
            <w:vAlign w:val="center"/>
            <w:hideMark/>
          </w:tcPr>
          <w:p w14:paraId="1EBA3CBF"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Pakistan</w:t>
            </w:r>
          </w:p>
        </w:tc>
        <w:tc>
          <w:tcPr>
            <w:tcW w:w="1495" w:type="dxa"/>
            <w:shd w:val="clear" w:color="000000" w:fill="FFD966"/>
            <w:vAlign w:val="center"/>
            <w:hideMark/>
          </w:tcPr>
          <w:p w14:paraId="69B91DF6"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Some</w:t>
            </w:r>
          </w:p>
        </w:tc>
        <w:tc>
          <w:tcPr>
            <w:tcW w:w="1816" w:type="dxa"/>
            <w:shd w:val="clear" w:color="000000" w:fill="00B050"/>
            <w:noWrap/>
            <w:vAlign w:val="center"/>
            <w:hideMark/>
          </w:tcPr>
          <w:p w14:paraId="7DBF5781"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2695" w:type="dxa"/>
            <w:shd w:val="clear" w:color="auto" w:fill="auto"/>
            <w:noWrap/>
            <w:vAlign w:val="center"/>
            <w:hideMark/>
          </w:tcPr>
          <w:p w14:paraId="308CFAB5"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569" w:type="dxa"/>
            <w:shd w:val="clear" w:color="000000" w:fill="92D050"/>
            <w:noWrap/>
            <w:vAlign w:val="center"/>
            <w:hideMark/>
          </w:tcPr>
          <w:p w14:paraId="2B7ABB8F"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776" w:type="dxa"/>
            <w:shd w:val="clear" w:color="000000" w:fill="92D050"/>
            <w:noWrap/>
            <w:vAlign w:val="center"/>
            <w:hideMark/>
          </w:tcPr>
          <w:p w14:paraId="1E7A3392"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544" w:type="dxa"/>
            <w:shd w:val="clear" w:color="auto" w:fill="auto"/>
            <w:noWrap/>
            <w:vAlign w:val="center"/>
            <w:hideMark/>
          </w:tcPr>
          <w:p w14:paraId="51191A9D"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456" w:type="dxa"/>
            <w:shd w:val="clear" w:color="auto" w:fill="auto"/>
            <w:noWrap/>
            <w:vAlign w:val="center"/>
            <w:hideMark/>
          </w:tcPr>
          <w:p w14:paraId="4B1EEA2D" w14:textId="77777777" w:rsidR="00B0196F" w:rsidRPr="00D15769" w:rsidRDefault="00B0196F">
            <w:pPr>
              <w:jc w:val="center"/>
              <w:rPr>
                <w:rFonts w:asciiTheme="minorHAnsi" w:eastAsia="Times New Roman" w:hAnsiTheme="minorHAnsi" w:cstheme="minorHAnsi"/>
                <w:sz w:val="18"/>
                <w:szCs w:val="18"/>
                <w:lang w:eastAsia="en-GB"/>
              </w:rPr>
            </w:pPr>
          </w:p>
        </w:tc>
      </w:tr>
      <w:tr w:rsidR="00B0196F" w:rsidRPr="00D15769" w14:paraId="62D3899F" w14:textId="77777777">
        <w:trPr>
          <w:trHeight w:val="320"/>
        </w:trPr>
        <w:tc>
          <w:tcPr>
            <w:tcW w:w="1337" w:type="dxa"/>
            <w:shd w:val="clear" w:color="auto" w:fill="auto"/>
            <w:noWrap/>
            <w:vAlign w:val="center"/>
            <w:hideMark/>
          </w:tcPr>
          <w:p w14:paraId="3F6222BF"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Zambia</w:t>
            </w:r>
          </w:p>
        </w:tc>
        <w:tc>
          <w:tcPr>
            <w:tcW w:w="1495" w:type="dxa"/>
            <w:shd w:val="clear" w:color="000000" w:fill="FFD966"/>
            <w:vAlign w:val="center"/>
            <w:hideMark/>
          </w:tcPr>
          <w:p w14:paraId="32DBC909"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Some</w:t>
            </w:r>
          </w:p>
        </w:tc>
        <w:tc>
          <w:tcPr>
            <w:tcW w:w="1816" w:type="dxa"/>
            <w:shd w:val="clear" w:color="000000" w:fill="92D050"/>
            <w:noWrap/>
            <w:vAlign w:val="center"/>
            <w:hideMark/>
          </w:tcPr>
          <w:p w14:paraId="34BC3B55"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2695" w:type="dxa"/>
            <w:shd w:val="clear" w:color="000000" w:fill="92D050"/>
            <w:noWrap/>
            <w:vAlign w:val="center"/>
            <w:hideMark/>
          </w:tcPr>
          <w:p w14:paraId="343CF649"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569" w:type="dxa"/>
            <w:shd w:val="clear" w:color="auto" w:fill="auto"/>
            <w:noWrap/>
            <w:vAlign w:val="center"/>
            <w:hideMark/>
          </w:tcPr>
          <w:p w14:paraId="21C11029"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776" w:type="dxa"/>
            <w:shd w:val="clear" w:color="auto" w:fill="auto"/>
            <w:noWrap/>
            <w:vAlign w:val="center"/>
            <w:hideMark/>
          </w:tcPr>
          <w:p w14:paraId="0695ACDF" w14:textId="77777777" w:rsidR="00B0196F" w:rsidRPr="00D15769" w:rsidRDefault="00B0196F">
            <w:pPr>
              <w:jc w:val="center"/>
              <w:rPr>
                <w:rFonts w:asciiTheme="minorHAnsi" w:eastAsia="Times New Roman" w:hAnsiTheme="minorHAnsi" w:cstheme="minorHAnsi"/>
                <w:sz w:val="18"/>
                <w:szCs w:val="18"/>
                <w:lang w:eastAsia="en-GB"/>
              </w:rPr>
            </w:pPr>
          </w:p>
        </w:tc>
        <w:tc>
          <w:tcPr>
            <w:tcW w:w="1544" w:type="dxa"/>
            <w:shd w:val="clear" w:color="auto" w:fill="auto"/>
            <w:noWrap/>
            <w:vAlign w:val="center"/>
            <w:hideMark/>
          </w:tcPr>
          <w:p w14:paraId="37158E6D"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456" w:type="dxa"/>
            <w:shd w:val="clear" w:color="auto" w:fill="auto"/>
            <w:noWrap/>
            <w:vAlign w:val="center"/>
            <w:hideMark/>
          </w:tcPr>
          <w:p w14:paraId="5105B3E7" w14:textId="77777777" w:rsidR="00B0196F" w:rsidRPr="00D15769" w:rsidRDefault="00B0196F">
            <w:pPr>
              <w:jc w:val="center"/>
              <w:rPr>
                <w:rFonts w:asciiTheme="minorHAnsi" w:eastAsia="Times New Roman" w:hAnsiTheme="minorHAnsi" w:cstheme="minorHAnsi"/>
                <w:sz w:val="18"/>
                <w:szCs w:val="18"/>
                <w:lang w:eastAsia="en-GB"/>
              </w:rPr>
            </w:pPr>
          </w:p>
        </w:tc>
      </w:tr>
      <w:tr w:rsidR="00B0196F" w:rsidRPr="00D15769" w14:paraId="07FB3A57" w14:textId="77777777">
        <w:trPr>
          <w:trHeight w:val="320"/>
        </w:trPr>
        <w:tc>
          <w:tcPr>
            <w:tcW w:w="1337" w:type="dxa"/>
            <w:shd w:val="clear" w:color="auto" w:fill="auto"/>
            <w:noWrap/>
            <w:vAlign w:val="center"/>
            <w:hideMark/>
          </w:tcPr>
          <w:p w14:paraId="68537765"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Nigeria</w:t>
            </w:r>
          </w:p>
        </w:tc>
        <w:tc>
          <w:tcPr>
            <w:tcW w:w="1495" w:type="dxa"/>
            <w:shd w:val="clear" w:color="000000" w:fill="FBE4D5"/>
            <w:vAlign w:val="center"/>
            <w:hideMark/>
          </w:tcPr>
          <w:p w14:paraId="65184757"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Limited</w:t>
            </w:r>
          </w:p>
        </w:tc>
        <w:tc>
          <w:tcPr>
            <w:tcW w:w="1816" w:type="dxa"/>
            <w:shd w:val="clear" w:color="auto" w:fill="auto"/>
            <w:noWrap/>
            <w:vAlign w:val="center"/>
            <w:hideMark/>
          </w:tcPr>
          <w:p w14:paraId="6F75B2CA" w14:textId="77777777" w:rsidR="00B0196F" w:rsidRPr="00D15769" w:rsidRDefault="00B0196F">
            <w:pPr>
              <w:jc w:val="center"/>
              <w:rPr>
                <w:rFonts w:asciiTheme="minorHAnsi" w:eastAsia="Times New Roman" w:hAnsiTheme="minorHAnsi" w:cstheme="minorHAnsi"/>
                <w:b/>
                <w:bCs/>
                <w:color w:val="000000"/>
                <w:sz w:val="18"/>
                <w:szCs w:val="18"/>
                <w:lang w:eastAsia="en-GB"/>
              </w:rPr>
            </w:pPr>
          </w:p>
        </w:tc>
        <w:tc>
          <w:tcPr>
            <w:tcW w:w="2695" w:type="dxa"/>
            <w:shd w:val="clear" w:color="000000" w:fill="92D050"/>
            <w:noWrap/>
            <w:vAlign w:val="center"/>
            <w:hideMark/>
          </w:tcPr>
          <w:p w14:paraId="1158D597"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569" w:type="dxa"/>
            <w:shd w:val="clear" w:color="auto" w:fill="auto"/>
            <w:noWrap/>
            <w:vAlign w:val="center"/>
            <w:hideMark/>
          </w:tcPr>
          <w:p w14:paraId="1806AC0B"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776" w:type="dxa"/>
            <w:shd w:val="clear" w:color="auto" w:fill="auto"/>
            <w:noWrap/>
            <w:vAlign w:val="center"/>
            <w:hideMark/>
          </w:tcPr>
          <w:p w14:paraId="5302DF96" w14:textId="77777777" w:rsidR="00B0196F" w:rsidRPr="00D15769" w:rsidRDefault="00B0196F">
            <w:pPr>
              <w:jc w:val="center"/>
              <w:rPr>
                <w:rFonts w:asciiTheme="minorHAnsi" w:eastAsia="Times New Roman" w:hAnsiTheme="minorHAnsi" w:cstheme="minorHAnsi"/>
                <w:sz w:val="18"/>
                <w:szCs w:val="18"/>
                <w:lang w:eastAsia="en-GB"/>
              </w:rPr>
            </w:pPr>
          </w:p>
        </w:tc>
        <w:tc>
          <w:tcPr>
            <w:tcW w:w="1544" w:type="dxa"/>
            <w:shd w:val="clear" w:color="000000" w:fill="92D050"/>
            <w:noWrap/>
            <w:vAlign w:val="center"/>
            <w:hideMark/>
          </w:tcPr>
          <w:p w14:paraId="3048632C"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456" w:type="dxa"/>
            <w:shd w:val="clear" w:color="000000" w:fill="92D050"/>
            <w:noWrap/>
            <w:vAlign w:val="center"/>
            <w:hideMark/>
          </w:tcPr>
          <w:p w14:paraId="6411551E"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r>
      <w:tr w:rsidR="00B0196F" w:rsidRPr="00D15769" w14:paraId="3ACF21C4" w14:textId="77777777">
        <w:trPr>
          <w:trHeight w:val="320"/>
        </w:trPr>
        <w:tc>
          <w:tcPr>
            <w:tcW w:w="1337" w:type="dxa"/>
            <w:shd w:val="clear" w:color="auto" w:fill="auto"/>
            <w:noWrap/>
            <w:vAlign w:val="center"/>
            <w:hideMark/>
          </w:tcPr>
          <w:p w14:paraId="4BF9D84C"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Uganda</w:t>
            </w:r>
          </w:p>
        </w:tc>
        <w:tc>
          <w:tcPr>
            <w:tcW w:w="1495" w:type="dxa"/>
            <w:shd w:val="clear" w:color="000000" w:fill="FBE4D5"/>
            <w:vAlign w:val="center"/>
            <w:hideMark/>
          </w:tcPr>
          <w:p w14:paraId="4AEBBA65"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Limited</w:t>
            </w:r>
          </w:p>
        </w:tc>
        <w:tc>
          <w:tcPr>
            <w:tcW w:w="1816" w:type="dxa"/>
            <w:shd w:val="clear" w:color="000000" w:fill="92D050"/>
            <w:noWrap/>
            <w:vAlign w:val="center"/>
            <w:hideMark/>
          </w:tcPr>
          <w:p w14:paraId="505A85EA"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2695" w:type="dxa"/>
            <w:shd w:val="clear" w:color="000000" w:fill="00B050"/>
            <w:noWrap/>
            <w:vAlign w:val="center"/>
            <w:hideMark/>
          </w:tcPr>
          <w:p w14:paraId="3BD037F3"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1569" w:type="dxa"/>
            <w:shd w:val="clear" w:color="000000" w:fill="92D050"/>
            <w:noWrap/>
            <w:vAlign w:val="center"/>
            <w:hideMark/>
          </w:tcPr>
          <w:p w14:paraId="3DFF4C3B"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776" w:type="dxa"/>
            <w:shd w:val="clear" w:color="000000" w:fill="92D050"/>
            <w:noWrap/>
            <w:vAlign w:val="center"/>
            <w:hideMark/>
          </w:tcPr>
          <w:p w14:paraId="061C3CF1"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544" w:type="dxa"/>
            <w:shd w:val="clear" w:color="auto" w:fill="auto"/>
            <w:noWrap/>
            <w:vAlign w:val="center"/>
            <w:hideMark/>
          </w:tcPr>
          <w:p w14:paraId="045AA44C"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456" w:type="dxa"/>
            <w:shd w:val="clear" w:color="auto" w:fill="auto"/>
            <w:noWrap/>
            <w:vAlign w:val="center"/>
            <w:hideMark/>
          </w:tcPr>
          <w:p w14:paraId="245DBAAC" w14:textId="77777777" w:rsidR="00B0196F" w:rsidRPr="00D15769" w:rsidRDefault="00B0196F">
            <w:pPr>
              <w:jc w:val="center"/>
              <w:rPr>
                <w:rFonts w:asciiTheme="minorHAnsi" w:eastAsia="Times New Roman" w:hAnsiTheme="minorHAnsi" w:cstheme="minorHAnsi"/>
                <w:sz w:val="18"/>
                <w:szCs w:val="18"/>
                <w:lang w:eastAsia="en-GB"/>
              </w:rPr>
            </w:pPr>
          </w:p>
        </w:tc>
      </w:tr>
      <w:tr w:rsidR="00B0196F" w:rsidRPr="00D15769" w14:paraId="21A2ED0C" w14:textId="77777777">
        <w:trPr>
          <w:trHeight w:val="320"/>
        </w:trPr>
        <w:tc>
          <w:tcPr>
            <w:tcW w:w="1337" w:type="dxa"/>
            <w:shd w:val="clear" w:color="auto" w:fill="auto"/>
            <w:noWrap/>
            <w:vAlign w:val="center"/>
            <w:hideMark/>
          </w:tcPr>
          <w:p w14:paraId="374F2868"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Senegal</w:t>
            </w:r>
          </w:p>
        </w:tc>
        <w:tc>
          <w:tcPr>
            <w:tcW w:w="1495" w:type="dxa"/>
            <w:shd w:val="clear" w:color="000000" w:fill="FBE4D5"/>
            <w:vAlign w:val="center"/>
            <w:hideMark/>
          </w:tcPr>
          <w:p w14:paraId="72CDED34"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Limited</w:t>
            </w:r>
          </w:p>
        </w:tc>
        <w:tc>
          <w:tcPr>
            <w:tcW w:w="1816" w:type="dxa"/>
            <w:shd w:val="clear" w:color="000000" w:fill="92D050"/>
            <w:noWrap/>
            <w:vAlign w:val="center"/>
            <w:hideMark/>
          </w:tcPr>
          <w:p w14:paraId="6111D268"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2695" w:type="dxa"/>
            <w:shd w:val="clear" w:color="auto" w:fill="auto"/>
            <w:noWrap/>
            <w:vAlign w:val="center"/>
            <w:hideMark/>
          </w:tcPr>
          <w:p w14:paraId="03C1DCFE"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569" w:type="dxa"/>
            <w:shd w:val="clear" w:color="000000" w:fill="92D050"/>
            <w:noWrap/>
            <w:vAlign w:val="center"/>
            <w:hideMark/>
          </w:tcPr>
          <w:p w14:paraId="3F479D64"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Important</w:t>
            </w:r>
          </w:p>
        </w:tc>
        <w:tc>
          <w:tcPr>
            <w:tcW w:w="1776" w:type="dxa"/>
            <w:shd w:val="clear" w:color="auto" w:fill="auto"/>
            <w:noWrap/>
            <w:vAlign w:val="center"/>
            <w:hideMark/>
          </w:tcPr>
          <w:p w14:paraId="396DEA1B"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544" w:type="dxa"/>
            <w:shd w:val="clear" w:color="auto" w:fill="auto"/>
            <w:noWrap/>
            <w:vAlign w:val="center"/>
            <w:hideMark/>
          </w:tcPr>
          <w:p w14:paraId="48BAF369"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456" w:type="dxa"/>
            <w:shd w:val="clear" w:color="000000" w:fill="ED7D31"/>
            <w:noWrap/>
            <w:vAlign w:val="center"/>
            <w:hideMark/>
          </w:tcPr>
          <w:p w14:paraId="4718E8AC"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None</w:t>
            </w:r>
          </w:p>
        </w:tc>
      </w:tr>
      <w:tr w:rsidR="00B0196F" w:rsidRPr="00D15769" w14:paraId="35C672CD" w14:textId="77777777">
        <w:trPr>
          <w:trHeight w:val="320"/>
        </w:trPr>
        <w:tc>
          <w:tcPr>
            <w:tcW w:w="1337" w:type="dxa"/>
            <w:shd w:val="clear" w:color="auto" w:fill="auto"/>
            <w:noWrap/>
            <w:vAlign w:val="center"/>
            <w:hideMark/>
          </w:tcPr>
          <w:p w14:paraId="026CA1AE"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Sierra Leone</w:t>
            </w:r>
          </w:p>
        </w:tc>
        <w:tc>
          <w:tcPr>
            <w:tcW w:w="1495" w:type="dxa"/>
            <w:shd w:val="clear" w:color="000000" w:fill="BDD6EE"/>
            <w:vAlign w:val="center"/>
            <w:hideMark/>
          </w:tcPr>
          <w:p w14:paraId="1C834C28" w14:textId="77777777" w:rsidR="00B0196F" w:rsidRPr="00D15769" w:rsidRDefault="00B0196F">
            <w:pPr>
              <w:jc w:val="center"/>
              <w:rPr>
                <w:rFonts w:asciiTheme="minorHAnsi" w:eastAsia="Times New Roman" w:hAnsiTheme="minorHAnsi" w:cstheme="minorHAnsi"/>
                <w:b/>
                <w:bCs/>
                <w:color w:val="000000"/>
                <w:sz w:val="18"/>
                <w:szCs w:val="18"/>
                <w:lang w:eastAsia="en-GB"/>
              </w:rPr>
            </w:pPr>
            <w:r w:rsidRPr="00D15769">
              <w:rPr>
                <w:rFonts w:asciiTheme="minorHAnsi" w:eastAsia="Times New Roman" w:hAnsiTheme="minorHAnsi" w:cstheme="minorHAnsi"/>
                <w:b/>
                <w:bCs/>
                <w:color w:val="000000"/>
                <w:sz w:val="18"/>
                <w:szCs w:val="18"/>
                <w:lang w:eastAsia="en-GB"/>
              </w:rPr>
              <w:t>None yet</w:t>
            </w:r>
          </w:p>
        </w:tc>
        <w:tc>
          <w:tcPr>
            <w:tcW w:w="1816" w:type="dxa"/>
            <w:shd w:val="clear" w:color="000000" w:fill="00B050"/>
            <w:noWrap/>
            <w:vAlign w:val="center"/>
            <w:hideMark/>
          </w:tcPr>
          <w:p w14:paraId="740D59FF"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2695" w:type="dxa"/>
            <w:shd w:val="clear" w:color="000000" w:fill="00B050"/>
            <w:noWrap/>
            <w:vAlign w:val="center"/>
            <w:hideMark/>
          </w:tcPr>
          <w:p w14:paraId="3F4276B6" w14:textId="77777777" w:rsidR="00B0196F" w:rsidRPr="00D15769" w:rsidRDefault="00B0196F">
            <w:pPr>
              <w:jc w:val="center"/>
              <w:rPr>
                <w:rFonts w:asciiTheme="minorHAnsi" w:eastAsia="Times New Roman" w:hAnsiTheme="minorHAnsi" w:cstheme="minorHAnsi"/>
                <w:color w:val="000000"/>
                <w:sz w:val="18"/>
                <w:szCs w:val="18"/>
                <w:lang w:eastAsia="en-GB"/>
              </w:rPr>
            </w:pPr>
            <w:r w:rsidRPr="00D15769">
              <w:rPr>
                <w:rFonts w:asciiTheme="minorHAnsi" w:eastAsia="Times New Roman" w:hAnsiTheme="minorHAnsi" w:cstheme="minorHAnsi"/>
                <w:color w:val="000000"/>
                <w:sz w:val="18"/>
                <w:szCs w:val="18"/>
                <w:lang w:eastAsia="en-GB"/>
              </w:rPr>
              <w:t>Vital</w:t>
            </w:r>
          </w:p>
        </w:tc>
        <w:tc>
          <w:tcPr>
            <w:tcW w:w="1569" w:type="dxa"/>
            <w:shd w:val="clear" w:color="auto" w:fill="auto"/>
            <w:noWrap/>
            <w:vAlign w:val="center"/>
            <w:hideMark/>
          </w:tcPr>
          <w:p w14:paraId="73D0ED52"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776" w:type="dxa"/>
            <w:shd w:val="clear" w:color="auto" w:fill="auto"/>
            <w:noWrap/>
            <w:vAlign w:val="center"/>
            <w:hideMark/>
          </w:tcPr>
          <w:p w14:paraId="312D4E63" w14:textId="77777777" w:rsidR="00B0196F" w:rsidRPr="00D15769" w:rsidRDefault="00B0196F">
            <w:pPr>
              <w:jc w:val="center"/>
              <w:rPr>
                <w:rFonts w:asciiTheme="minorHAnsi" w:eastAsia="Times New Roman" w:hAnsiTheme="minorHAnsi" w:cstheme="minorHAnsi"/>
                <w:sz w:val="18"/>
                <w:szCs w:val="18"/>
                <w:lang w:eastAsia="en-GB"/>
              </w:rPr>
            </w:pPr>
          </w:p>
        </w:tc>
        <w:tc>
          <w:tcPr>
            <w:tcW w:w="1544" w:type="dxa"/>
            <w:shd w:val="clear" w:color="auto" w:fill="auto"/>
            <w:noWrap/>
            <w:vAlign w:val="center"/>
            <w:hideMark/>
          </w:tcPr>
          <w:p w14:paraId="3224FF83" w14:textId="77777777" w:rsidR="00B0196F" w:rsidRPr="00D15769" w:rsidRDefault="00B0196F">
            <w:pPr>
              <w:jc w:val="center"/>
              <w:rPr>
                <w:rFonts w:asciiTheme="minorHAnsi" w:eastAsia="Times New Roman" w:hAnsiTheme="minorHAnsi" w:cstheme="minorHAnsi"/>
                <w:color w:val="000000"/>
                <w:sz w:val="18"/>
                <w:szCs w:val="18"/>
                <w:lang w:eastAsia="en-GB"/>
              </w:rPr>
            </w:pPr>
          </w:p>
        </w:tc>
        <w:tc>
          <w:tcPr>
            <w:tcW w:w="1456" w:type="dxa"/>
            <w:shd w:val="clear" w:color="auto" w:fill="auto"/>
            <w:noWrap/>
            <w:vAlign w:val="center"/>
            <w:hideMark/>
          </w:tcPr>
          <w:p w14:paraId="506B0C5F" w14:textId="77777777" w:rsidR="00B0196F" w:rsidRPr="00D15769" w:rsidRDefault="00B0196F">
            <w:pPr>
              <w:jc w:val="center"/>
              <w:rPr>
                <w:rFonts w:asciiTheme="minorHAnsi" w:eastAsia="Times New Roman" w:hAnsiTheme="minorHAnsi" w:cstheme="minorHAnsi"/>
                <w:sz w:val="18"/>
                <w:szCs w:val="18"/>
                <w:lang w:eastAsia="en-GB"/>
              </w:rPr>
            </w:pPr>
          </w:p>
        </w:tc>
      </w:tr>
    </w:tbl>
    <w:p w14:paraId="192EF798" w14:textId="77777777" w:rsidR="00B0196F" w:rsidRDefault="00B0196F" w:rsidP="00B0196F"/>
    <w:p w14:paraId="39DD42E2" w14:textId="77777777" w:rsidR="00B0196F" w:rsidRDefault="00B0196F" w:rsidP="00B0196F">
      <w:r>
        <w:br w:type="page"/>
      </w:r>
    </w:p>
    <w:p w14:paraId="785BA892" w14:textId="683CA100" w:rsidR="00B0196F" w:rsidRPr="00B3660F" w:rsidRDefault="00B0196F" w:rsidP="007F63EF">
      <w:pPr>
        <w:pStyle w:val="ItadH3"/>
        <w:keepNext/>
        <w:rPr>
          <w:b w:val="0"/>
          <w:bCs w:val="0"/>
          <w:lang w:val="en-GB"/>
        </w:rPr>
      </w:pPr>
      <w:bookmarkStart w:id="449" w:name="_Toc142383235"/>
      <w:r w:rsidRPr="007F63EF">
        <w:rPr>
          <w:lang w:val="en-GB"/>
        </w:rPr>
        <w:t xml:space="preserve">C2a </w:t>
      </w:r>
      <w:r w:rsidR="00DA63C1" w:rsidRPr="007F63EF">
        <w:rPr>
          <w:lang w:val="en-GB"/>
        </w:rPr>
        <w:t xml:space="preserve">Changes in </w:t>
      </w:r>
      <w:r w:rsidRPr="007F63EF">
        <w:rPr>
          <w:lang w:val="en-GB"/>
        </w:rPr>
        <w:t>quantity of AH AMR data</w:t>
      </w:r>
      <w:bookmarkEnd w:id="449"/>
      <w:r w:rsidRPr="007F63EF">
        <w:rPr>
          <w:lang w:val="en-GB"/>
        </w:rPr>
        <w:t xml:space="preserve"> </w:t>
      </w:r>
    </w:p>
    <w:p w14:paraId="6F5EEC63" w14:textId="77777777" w:rsidR="00B0196F" w:rsidRDefault="00B0196F" w:rsidP="00B0196F"/>
    <w:tbl>
      <w:tblPr>
        <w:tblW w:w="15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473"/>
        <w:gridCol w:w="1689"/>
        <w:gridCol w:w="1455"/>
        <w:gridCol w:w="2738"/>
        <w:gridCol w:w="2098"/>
        <w:gridCol w:w="1835"/>
        <w:gridCol w:w="2521"/>
      </w:tblGrid>
      <w:tr w:rsidR="00DA63C1" w:rsidRPr="00C22BFE" w14:paraId="719926A2" w14:textId="77777777" w:rsidTr="00DA63C1">
        <w:trPr>
          <w:trHeight w:val="589"/>
        </w:trPr>
        <w:tc>
          <w:tcPr>
            <w:tcW w:w="1297" w:type="dxa"/>
            <w:shd w:val="clear" w:color="auto" w:fill="96C286" w:themeFill="text2" w:themeFillTint="99"/>
            <w:noWrap/>
            <w:vAlign w:val="center"/>
            <w:hideMark/>
          </w:tcPr>
          <w:p w14:paraId="279F7BD7" w14:textId="77777777" w:rsidR="00B0196F" w:rsidRPr="00C22BFE" w:rsidRDefault="00B0196F">
            <w:pPr>
              <w:jc w:val="center"/>
              <w:rPr>
                <w:rFonts w:cs="Calibri"/>
                <w:b/>
                <w:bCs/>
                <w:color w:val="000000"/>
              </w:rPr>
            </w:pPr>
            <w:r w:rsidRPr="00C22BFE">
              <w:rPr>
                <w:rFonts w:cs="Calibri"/>
                <w:b/>
                <w:bCs/>
                <w:color w:val="000000"/>
              </w:rPr>
              <w:t>Countries</w:t>
            </w:r>
          </w:p>
        </w:tc>
        <w:tc>
          <w:tcPr>
            <w:tcW w:w="1473" w:type="dxa"/>
            <w:shd w:val="clear" w:color="auto" w:fill="96C286" w:themeFill="text2" w:themeFillTint="99"/>
            <w:noWrap/>
            <w:vAlign w:val="center"/>
            <w:hideMark/>
          </w:tcPr>
          <w:p w14:paraId="2C5EB3E9" w14:textId="06DF3FE5" w:rsidR="00B0196F" w:rsidRPr="00C22BFE" w:rsidRDefault="00B0196F">
            <w:pPr>
              <w:jc w:val="center"/>
              <w:rPr>
                <w:rFonts w:cs="Calibri"/>
                <w:b/>
                <w:bCs/>
                <w:color w:val="000000"/>
              </w:rPr>
            </w:pPr>
            <w:r w:rsidRPr="00C22BFE">
              <w:rPr>
                <w:rFonts w:cs="Calibri"/>
                <w:b/>
                <w:bCs/>
                <w:color w:val="000000"/>
              </w:rPr>
              <w:t>Ext</w:t>
            </w:r>
            <w:r w:rsidR="00D34D5C">
              <w:rPr>
                <w:rFonts w:cs="Calibri"/>
                <w:b/>
                <w:bCs/>
                <w:color w:val="000000"/>
              </w:rPr>
              <w:t>ent</w:t>
            </w:r>
            <w:r w:rsidRPr="00C22BFE">
              <w:rPr>
                <w:rFonts w:cs="Calibri"/>
                <w:b/>
                <w:bCs/>
                <w:color w:val="000000"/>
              </w:rPr>
              <w:t xml:space="preserve"> of change</w:t>
            </w:r>
          </w:p>
        </w:tc>
        <w:tc>
          <w:tcPr>
            <w:tcW w:w="1689" w:type="dxa"/>
            <w:shd w:val="clear" w:color="auto" w:fill="96C286" w:themeFill="text2" w:themeFillTint="99"/>
            <w:noWrap/>
            <w:vAlign w:val="center"/>
            <w:hideMark/>
          </w:tcPr>
          <w:p w14:paraId="4828AC17" w14:textId="77777777" w:rsidR="00B0196F" w:rsidRPr="00C22BFE" w:rsidRDefault="00B0196F">
            <w:pPr>
              <w:jc w:val="center"/>
              <w:rPr>
                <w:rFonts w:cs="Calibri"/>
                <w:b/>
                <w:bCs/>
                <w:color w:val="000000"/>
              </w:rPr>
            </w:pPr>
            <w:r w:rsidRPr="00C22BFE">
              <w:rPr>
                <w:rFonts w:cs="Calibri"/>
                <w:b/>
                <w:bCs/>
                <w:color w:val="000000"/>
              </w:rPr>
              <w:t>Human capacity</w:t>
            </w:r>
          </w:p>
        </w:tc>
        <w:tc>
          <w:tcPr>
            <w:tcW w:w="1455" w:type="dxa"/>
            <w:shd w:val="clear" w:color="auto" w:fill="96C286" w:themeFill="text2" w:themeFillTint="99"/>
            <w:noWrap/>
            <w:vAlign w:val="center"/>
            <w:hideMark/>
          </w:tcPr>
          <w:p w14:paraId="5B5EBBE8" w14:textId="77777777" w:rsidR="00B0196F" w:rsidRPr="00C22BFE" w:rsidRDefault="00B0196F">
            <w:pPr>
              <w:jc w:val="center"/>
              <w:rPr>
                <w:rFonts w:cs="Calibri"/>
                <w:b/>
                <w:bCs/>
                <w:color w:val="000000"/>
              </w:rPr>
            </w:pPr>
            <w:r w:rsidRPr="00C22BFE">
              <w:rPr>
                <w:rFonts w:cs="Calibri"/>
                <w:b/>
                <w:bCs/>
                <w:color w:val="000000"/>
              </w:rPr>
              <w:t>Renovation &amp; Equipment</w:t>
            </w:r>
          </w:p>
        </w:tc>
        <w:tc>
          <w:tcPr>
            <w:tcW w:w="2738" w:type="dxa"/>
            <w:shd w:val="clear" w:color="auto" w:fill="96C286" w:themeFill="text2" w:themeFillTint="99"/>
            <w:noWrap/>
            <w:vAlign w:val="center"/>
            <w:hideMark/>
          </w:tcPr>
          <w:p w14:paraId="5C5B8D0B" w14:textId="77777777" w:rsidR="00B0196F" w:rsidRPr="00C22BFE" w:rsidRDefault="00B0196F">
            <w:pPr>
              <w:jc w:val="center"/>
              <w:rPr>
                <w:rFonts w:cs="Calibri"/>
                <w:b/>
                <w:bCs/>
                <w:color w:val="000000"/>
              </w:rPr>
            </w:pPr>
            <w:r w:rsidRPr="00C22BFE">
              <w:rPr>
                <w:rFonts w:cs="Calibri"/>
                <w:b/>
                <w:bCs/>
                <w:color w:val="000000"/>
              </w:rPr>
              <w:t>Governance/prioritisation</w:t>
            </w:r>
          </w:p>
        </w:tc>
        <w:tc>
          <w:tcPr>
            <w:tcW w:w="2098" w:type="dxa"/>
            <w:shd w:val="clear" w:color="auto" w:fill="96C286" w:themeFill="text2" w:themeFillTint="99"/>
            <w:noWrap/>
            <w:vAlign w:val="center"/>
            <w:hideMark/>
          </w:tcPr>
          <w:p w14:paraId="3F3ED010" w14:textId="45248D22" w:rsidR="00B0196F" w:rsidRPr="00C22BFE" w:rsidRDefault="00B0196F">
            <w:pPr>
              <w:jc w:val="center"/>
              <w:rPr>
                <w:rFonts w:cs="Calibri"/>
                <w:b/>
                <w:bCs/>
                <w:color w:val="000000"/>
              </w:rPr>
            </w:pPr>
            <w:r w:rsidRPr="00C22BFE">
              <w:rPr>
                <w:rFonts w:cs="Calibri"/>
                <w:b/>
                <w:bCs/>
                <w:color w:val="000000"/>
              </w:rPr>
              <w:t>Num</w:t>
            </w:r>
            <w:r w:rsidR="00D34D5C">
              <w:rPr>
                <w:rFonts w:cs="Calibri"/>
                <w:b/>
                <w:bCs/>
                <w:color w:val="000000"/>
              </w:rPr>
              <w:t>ber</w:t>
            </w:r>
            <w:r w:rsidRPr="00C22BFE">
              <w:rPr>
                <w:rFonts w:cs="Calibri"/>
                <w:b/>
                <w:bCs/>
                <w:color w:val="000000"/>
              </w:rPr>
              <w:t xml:space="preserve"> of sampling exercises</w:t>
            </w:r>
          </w:p>
        </w:tc>
        <w:tc>
          <w:tcPr>
            <w:tcW w:w="1835" w:type="dxa"/>
            <w:shd w:val="clear" w:color="auto" w:fill="96C286" w:themeFill="text2" w:themeFillTint="99"/>
            <w:noWrap/>
            <w:vAlign w:val="center"/>
            <w:hideMark/>
          </w:tcPr>
          <w:p w14:paraId="67C0D352" w14:textId="77777777" w:rsidR="00B0196F" w:rsidRPr="00C22BFE" w:rsidRDefault="00B0196F">
            <w:pPr>
              <w:jc w:val="center"/>
              <w:rPr>
                <w:rFonts w:cs="Calibri"/>
                <w:b/>
                <w:bCs/>
                <w:color w:val="000000"/>
              </w:rPr>
            </w:pPr>
            <w:r w:rsidRPr="00C22BFE">
              <w:rPr>
                <w:rFonts w:cs="Calibri"/>
                <w:b/>
                <w:bCs/>
                <w:color w:val="000000"/>
              </w:rPr>
              <w:t>Consumables</w:t>
            </w:r>
          </w:p>
        </w:tc>
        <w:tc>
          <w:tcPr>
            <w:tcW w:w="2521" w:type="dxa"/>
            <w:shd w:val="clear" w:color="auto" w:fill="96C286" w:themeFill="text2" w:themeFillTint="99"/>
            <w:noWrap/>
            <w:vAlign w:val="center"/>
            <w:hideMark/>
          </w:tcPr>
          <w:p w14:paraId="6B77E500" w14:textId="77777777" w:rsidR="00B0196F" w:rsidRPr="00C22BFE" w:rsidRDefault="00B0196F">
            <w:pPr>
              <w:jc w:val="center"/>
              <w:rPr>
                <w:rFonts w:cs="Calibri"/>
                <w:b/>
                <w:bCs/>
                <w:color w:val="000000"/>
              </w:rPr>
            </w:pPr>
            <w:r w:rsidRPr="00C22BFE">
              <w:rPr>
                <w:rFonts w:cs="Calibri"/>
                <w:b/>
                <w:bCs/>
                <w:color w:val="000000"/>
              </w:rPr>
              <w:t>Other</w:t>
            </w:r>
          </w:p>
        </w:tc>
      </w:tr>
      <w:tr w:rsidR="00B0196F" w:rsidRPr="00C22BFE" w14:paraId="6F18148D" w14:textId="77777777">
        <w:trPr>
          <w:trHeight w:val="1548"/>
        </w:trPr>
        <w:tc>
          <w:tcPr>
            <w:tcW w:w="1297" w:type="dxa"/>
            <w:shd w:val="clear" w:color="auto" w:fill="auto"/>
            <w:noWrap/>
            <w:vAlign w:val="center"/>
            <w:hideMark/>
          </w:tcPr>
          <w:p w14:paraId="1B6C1BF3" w14:textId="77777777" w:rsidR="00B0196F" w:rsidRPr="00C22BFE" w:rsidRDefault="00B0196F">
            <w:pPr>
              <w:jc w:val="center"/>
              <w:rPr>
                <w:rFonts w:cs="Calibri"/>
                <w:b/>
                <w:bCs/>
                <w:color w:val="000000"/>
                <w:sz w:val="18"/>
                <w:szCs w:val="18"/>
              </w:rPr>
            </w:pPr>
          </w:p>
        </w:tc>
        <w:tc>
          <w:tcPr>
            <w:tcW w:w="1473" w:type="dxa"/>
            <w:shd w:val="clear" w:color="auto" w:fill="auto"/>
            <w:noWrap/>
            <w:vAlign w:val="center"/>
            <w:hideMark/>
          </w:tcPr>
          <w:p w14:paraId="1D78FFF0" w14:textId="77777777" w:rsidR="00B0196F" w:rsidRPr="00C22BFE" w:rsidRDefault="00B0196F">
            <w:pPr>
              <w:jc w:val="center"/>
              <w:rPr>
                <w:sz w:val="18"/>
                <w:szCs w:val="18"/>
              </w:rPr>
            </w:pPr>
          </w:p>
        </w:tc>
        <w:tc>
          <w:tcPr>
            <w:tcW w:w="1689" w:type="dxa"/>
            <w:shd w:val="clear" w:color="auto" w:fill="auto"/>
            <w:vAlign w:val="center"/>
            <w:hideMark/>
          </w:tcPr>
          <w:p w14:paraId="45FF58AD" w14:textId="12966A5C" w:rsidR="00B0196F" w:rsidRPr="00C22BFE" w:rsidRDefault="00B0196F">
            <w:pPr>
              <w:jc w:val="center"/>
              <w:rPr>
                <w:rFonts w:cs="Calibri"/>
                <w:i/>
                <w:iCs/>
                <w:color w:val="000000"/>
                <w:sz w:val="18"/>
                <w:szCs w:val="18"/>
              </w:rPr>
            </w:pPr>
            <w:r w:rsidRPr="00C22BFE">
              <w:rPr>
                <w:rFonts w:cs="Calibri"/>
                <w:i/>
                <w:iCs/>
                <w:color w:val="000000"/>
                <w:sz w:val="18"/>
                <w:szCs w:val="18"/>
              </w:rPr>
              <w:t xml:space="preserve">Availability of well-trained </w:t>
            </w:r>
            <w:r w:rsidR="00F25C0E">
              <w:rPr>
                <w:rFonts w:cs="Calibri"/>
                <w:i/>
                <w:iCs/>
                <w:color w:val="000000"/>
                <w:sz w:val="18"/>
                <w:szCs w:val="18"/>
              </w:rPr>
              <w:t xml:space="preserve">laboratory </w:t>
            </w:r>
            <w:r w:rsidRPr="00C22BFE">
              <w:rPr>
                <w:rFonts w:cs="Calibri"/>
                <w:i/>
                <w:iCs/>
                <w:color w:val="000000"/>
                <w:sz w:val="18"/>
                <w:szCs w:val="18"/>
              </w:rPr>
              <w:t>staff at all levels</w:t>
            </w:r>
          </w:p>
        </w:tc>
        <w:tc>
          <w:tcPr>
            <w:tcW w:w="1455" w:type="dxa"/>
            <w:shd w:val="clear" w:color="auto" w:fill="auto"/>
            <w:vAlign w:val="center"/>
            <w:hideMark/>
          </w:tcPr>
          <w:p w14:paraId="6FF9D16B" w14:textId="2F7AFA67" w:rsidR="00B0196F" w:rsidRPr="00C22BFE" w:rsidRDefault="00B0196F">
            <w:pPr>
              <w:jc w:val="center"/>
              <w:rPr>
                <w:rFonts w:cs="Calibri"/>
                <w:i/>
                <w:iCs/>
                <w:color w:val="000000"/>
                <w:sz w:val="18"/>
                <w:szCs w:val="18"/>
              </w:rPr>
            </w:pPr>
            <w:r w:rsidRPr="00C22BFE">
              <w:rPr>
                <w:rFonts w:cs="Calibri"/>
                <w:i/>
                <w:iCs/>
                <w:color w:val="000000"/>
                <w:sz w:val="18"/>
                <w:szCs w:val="18"/>
              </w:rPr>
              <w:t>Appropriate spaces and equipment to perform microbiology/ AST tests</w:t>
            </w:r>
          </w:p>
        </w:tc>
        <w:tc>
          <w:tcPr>
            <w:tcW w:w="2738" w:type="dxa"/>
            <w:shd w:val="clear" w:color="auto" w:fill="auto"/>
            <w:vAlign w:val="center"/>
            <w:hideMark/>
          </w:tcPr>
          <w:p w14:paraId="5DE3D747" w14:textId="3EAFAC05" w:rsidR="00B0196F" w:rsidRPr="00C22BFE" w:rsidRDefault="00B0196F">
            <w:pPr>
              <w:jc w:val="center"/>
              <w:rPr>
                <w:rFonts w:cs="Calibri"/>
                <w:i/>
                <w:iCs/>
                <w:color w:val="000000"/>
                <w:sz w:val="18"/>
                <w:szCs w:val="18"/>
              </w:rPr>
            </w:pPr>
            <w:r w:rsidRPr="00C22BFE">
              <w:rPr>
                <w:rFonts w:cs="Calibri"/>
                <w:i/>
                <w:iCs/>
                <w:color w:val="000000"/>
                <w:sz w:val="18"/>
                <w:szCs w:val="18"/>
              </w:rPr>
              <w:t xml:space="preserve">Effective oversight, coalition-building, regulation, attention to system-design and accountability </w:t>
            </w:r>
            <w:r w:rsidR="00D34D5C">
              <w:rPr>
                <w:rFonts w:cs="Calibri"/>
                <w:i/>
                <w:iCs/>
                <w:color w:val="000000"/>
                <w:sz w:val="18"/>
                <w:szCs w:val="18"/>
              </w:rPr>
              <w:t>and</w:t>
            </w:r>
            <w:r w:rsidR="00D34D5C" w:rsidRPr="00C22BFE">
              <w:rPr>
                <w:rFonts w:cs="Calibri"/>
                <w:i/>
                <w:iCs/>
                <w:color w:val="000000"/>
                <w:sz w:val="18"/>
                <w:szCs w:val="18"/>
              </w:rPr>
              <w:t xml:space="preserve"> </w:t>
            </w:r>
            <w:r w:rsidRPr="00C22BFE">
              <w:rPr>
                <w:rFonts w:cs="Calibri"/>
                <w:i/>
                <w:iCs/>
                <w:color w:val="000000"/>
                <w:sz w:val="18"/>
                <w:szCs w:val="18"/>
              </w:rPr>
              <w:t xml:space="preserve">Increased focus by </w:t>
            </w:r>
            <w:r w:rsidR="00AC71ED">
              <w:rPr>
                <w:rFonts w:cs="Calibri"/>
                <w:i/>
                <w:iCs/>
                <w:color w:val="000000"/>
                <w:sz w:val="18"/>
                <w:szCs w:val="18"/>
              </w:rPr>
              <w:t>policymak</w:t>
            </w:r>
            <w:r w:rsidRPr="00C22BFE">
              <w:rPr>
                <w:rFonts w:cs="Calibri"/>
                <w:i/>
                <w:iCs/>
                <w:color w:val="000000"/>
                <w:sz w:val="18"/>
                <w:szCs w:val="18"/>
              </w:rPr>
              <w:t>ers and senior staff within the system creating signals about importance</w:t>
            </w:r>
          </w:p>
        </w:tc>
        <w:tc>
          <w:tcPr>
            <w:tcW w:w="2098" w:type="dxa"/>
            <w:shd w:val="clear" w:color="auto" w:fill="auto"/>
            <w:vAlign w:val="center"/>
            <w:hideMark/>
          </w:tcPr>
          <w:p w14:paraId="08C69DBB" w14:textId="77777777" w:rsidR="00B0196F" w:rsidRPr="00C22BFE" w:rsidRDefault="00B0196F">
            <w:pPr>
              <w:jc w:val="center"/>
              <w:rPr>
                <w:rFonts w:cs="Calibri"/>
                <w:i/>
                <w:iCs/>
                <w:color w:val="000000"/>
                <w:sz w:val="18"/>
                <w:szCs w:val="18"/>
              </w:rPr>
            </w:pPr>
            <w:r w:rsidRPr="00C22BFE">
              <w:rPr>
                <w:rFonts w:cs="Calibri"/>
                <w:i/>
                <w:iCs/>
                <w:color w:val="000000"/>
                <w:sz w:val="18"/>
                <w:szCs w:val="18"/>
              </w:rPr>
              <w:t>Increase in the number of pathogens monitored as part of the AMR surveillance system</w:t>
            </w:r>
          </w:p>
        </w:tc>
        <w:tc>
          <w:tcPr>
            <w:tcW w:w="1835" w:type="dxa"/>
            <w:shd w:val="clear" w:color="auto" w:fill="auto"/>
            <w:vAlign w:val="center"/>
            <w:hideMark/>
          </w:tcPr>
          <w:p w14:paraId="469DC7BB" w14:textId="77777777" w:rsidR="00B0196F" w:rsidRPr="00C22BFE" w:rsidRDefault="00B0196F">
            <w:pPr>
              <w:jc w:val="center"/>
              <w:rPr>
                <w:rFonts w:cs="Calibri"/>
                <w:i/>
                <w:iCs/>
                <w:color w:val="000000"/>
                <w:sz w:val="18"/>
                <w:szCs w:val="18"/>
              </w:rPr>
            </w:pPr>
            <w:r w:rsidRPr="00C22BFE">
              <w:rPr>
                <w:rFonts w:cs="Calibri"/>
                <w:i/>
                <w:iCs/>
                <w:color w:val="000000"/>
                <w:sz w:val="18"/>
                <w:szCs w:val="18"/>
              </w:rPr>
              <w:t>Availability of good quality consumable in sufficient quantity</w:t>
            </w:r>
          </w:p>
        </w:tc>
        <w:tc>
          <w:tcPr>
            <w:tcW w:w="2521" w:type="dxa"/>
            <w:shd w:val="clear" w:color="auto" w:fill="auto"/>
            <w:vAlign w:val="center"/>
            <w:hideMark/>
          </w:tcPr>
          <w:p w14:paraId="2E041EA3" w14:textId="77777777" w:rsidR="00B0196F" w:rsidRPr="00C22BFE" w:rsidRDefault="00B0196F">
            <w:pPr>
              <w:jc w:val="center"/>
              <w:rPr>
                <w:rFonts w:cs="Calibri"/>
                <w:i/>
                <w:iCs/>
                <w:color w:val="000000"/>
                <w:sz w:val="18"/>
                <w:szCs w:val="18"/>
              </w:rPr>
            </w:pPr>
            <w:r w:rsidRPr="00C22BFE">
              <w:rPr>
                <w:rFonts w:cs="Calibri"/>
                <w:i/>
                <w:iCs/>
                <w:color w:val="000000"/>
                <w:sz w:val="18"/>
                <w:szCs w:val="18"/>
              </w:rPr>
              <w:t>Engagement with industry, research activities, situation analysis</w:t>
            </w:r>
          </w:p>
        </w:tc>
      </w:tr>
      <w:tr w:rsidR="00B0196F" w:rsidRPr="00C22BFE" w14:paraId="37CDCF5C" w14:textId="77777777">
        <w:trPr>
          <w:trHeight w:val="340"/>
        </w:trPr>
        <w:tc>
          <w:tcPr>
            <w:tcW w:w="1297" w:type="dxa"/>
            <w:shd w:val="clear" w:color="auto" w:fill="auto"/>
            <w:noWrap/>
            <w:vAlign w:val="center"/>
            <w:hideMark/>
          </w:tcPr>
          <w:p w14:paraId="09D94E0D" w14:textId="77777777" w:rsidR="00B0196F" w:rsidRPr="00C22BFE" w:rsidRDefault="00B0196F">
            <w:pPr>
              <w:jc w:val="center"/>
              <w:rPr>
                <w:rFonts w:cs="Calibri"/>
                <w:color w:val="000000"/>
                <w:sz w:val="18"/>
                <w:szCs w:val="18"/>
              </w:rPr>
            </w:pPr>
            <w:r w:rsidRPr="00C22BFE">
              <w:rPr>
                <w:rFonts w:cs="Calibri"/>
                <w:color w:val="000000"/>
                <w:sz w:val="18"/>
                <w:szCs w:val="18"/>
              </w:rPr>
              <w:t>Ghana</w:t>
            </w:r>
          </w:p>
        </w:tc>
        <w:tc>
          <w:tcPr>
            <w:tcW w:w="1473" w:type="dxa"/>
            <w:shd w:val="clear" w:color="000000" w:fill="BF8F00"/>
            <w:vAlign w:val="center"/>
            <w:hideMark/>
          </w:tcPr>
          <w:p w14:paraId="709400B1" w14:textId="77777777" w:rsidR="00B0196F" w:rsidRPr="00C22BFE" w:rsidRDefault="00B0196F">
            <w:pPr>
              <w:jc w:val="center"/>
              <w:rPr>
                <w:rFonts w:cs="Calibri"/>
                <w:b/>
                <w:bCs/>
                <w:color w:val="000000"/>
                <w:sz w:val="18"/>
                <w:szCs w:val="18"/>
              </w:rPr>
            </w:pPr>
            <w:r w:rsidRPr="00C22BFE">
              <w:rPr>
                <w:rFonts w:cs="Calibri"/>
                <w:b/>
                <w:bCs/>
                <w:color w:val="000000"/>
                <w:sz w:val="18"/>
                <w:szCs w:val="18"/>
              </w:rPr>
              <w:t>Considerable</w:t>
            </w:r>
          </w:p>
        </w:tc>
        <w:tc>
          <w:tcPr>
            <w:tcW w:w="1689" w:type="dxa"/>
            <w:shd w:val="clear" w:color="auto" w:fill="auto"/>
            <w:noWrap/>
            <w:vAlign w:val="center"/>
            <w:hideMark/>
          </w:tcPr>
          <w:p w14:paraId="78EB7A70" w14:textId="77777777" w:rsidR="00B0196F" w:rsidRPr="00C22BFE" w:rsidRDefault="00B0196F">
            <w:pPr>
              <w:jc w:val="center"/>
              <w:rPr>
                <w:rFonts w:cs="Calibri"/>
                <w:b/>
                <w:bCs/>
                <w:color w:val="000000"/>
                <w:sz w:val="18"/>
                <w:szCs w:val="18"/>
              </w:rPr>
            </w:pPr>
          </w:p>
        </w:tc>
        <w:tc>
          <w:tcPr>
            <w:tcW w:w="1455" w:type="dxa"/>
            <w:shd w:val="clear" w:color="auto" w:fill="auto"/>
            <w:noWrap/>
            <w:vAlign w:val="center"/>
            <w:hideMark/>
          </w:tcPr>
          <w:p w14:paraId="7CC50981" w14:textId="77777777" w:rsidR="00B0196F" w:rsidRPr="00C22BFE" w:rsidRDefault="00B0196F">
            <w:pPr>
              <w:jc w:val="center"/>
              <w:rPr>
                <w:sz w:val="18"/>
                <w:szCs w:val="18"/>
              </w:rPr>
            </w:pPr>
          </w:p>
        </w:tc>
        <w:tc>
          <w:tcPr>
            <w:tcW w:w="2738" w:type="dxa"/>
            <w:shd w:val="clear" w:color="000000" w:fill="92D050"/>
            <w:noWrap/>
            <w:vAlign w:val="center"/>
            <w:hideMark/>
          </w:tcPr>
          <w:p w14:paraId="2E0A8C94"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2098" w:type="dxa"/>
            <w:shd w:val="clear" w:color="000000" w:fill="92D050"/>
            <w:noWrap/>
            <w:vAlign w:val="center"/>
            <w:hideMark/>
          </w:tcPr>
          <w:p w14:paraId="65BFE733"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1835" w:type="dxa"/>
            <w:shd w:val="clear" w:color="000000" w:fill="FFC000"/>
            <w:noWrap/>
            <w:vAlign w:val="center"/>
            <w:hideMark/>
          </w:tcPr>
          <w:p w14:paraId="0E157CC7" w14:textId="77777777" w:rsidR="00B0196F" w:rsidRPr="00C22BFE" w:rsidRDefault="00B0196F">
            <w:pPr>
              <w:jc w:val="center"/>
              <w:rPr>
                <w:rFonts w:cs="Calibri"/>
                <w:color w:val="000000"/>
                <w:sz w:val="18"/>
                <w:szCs w:val="18"/>
              </w:rPr>
            </w:pPr>
            <w:r w:rsidRPr="00C22BFE">
              <w:rPr>
                <w:rFonts w:cs="Calibri"/>
                <w:color w:val="000000"/>
                <w:sz w:val="18"/>
                <w:szCs w:val="18"/>
              </w:rPr>
              <w:t>Some</w:t>
            </w:r>
          </w:p>
        </w:tc>
        <w:tc>
          <w:tcPr>
            <w:tcW w:w="2521" w:type="dxa"/>
            <w:shd w:val="clear" w:color="auto" w:fill="auto"/>
            <w:noWrap/>
            <w:vAlign w:val="center"/>
            <w:hideMark/>
          </w:tcPr>
          <w:p w14:paraId="69608B53" w14:textId="77777777" w:rsidR="00B0196F" w:rsidRPr="00C22BFE" w:rsidRDefault="00B0196F">
            <w:pPr>
              <w:jc w:val="center"/>
              <w:rPr>
                <w:rFonts w:cs="Calibri"/>
                <w:color w:val="000000"/>
                <w:sz w:val="18"/>
                <w:szCs w:val="18"/>
              </w:rPr>
            </w:pPr>
          </w:p>
        </w:tc>
      </w:tr>
      <w:tr w:rsidR="00B0196F" w:rsidRPr="00C22BFE" w14:paraId="6A7EAD6A" w14:textId="77777777">
        <w:trPr>
          <w:trHeight w:val="340"/>
        </w:trPr>
        <w:tc>
          <w:tcPr>
            <w:tcW w:w="1297" w:type="dxa"/>
            <w:shd w:val="clear" w:color="auto" w:fill="auto"/>
            <w:noWrap/>
            <w:vAlign w:val="center"/>
            <w:hideMark/>
          </w:tcPr>
          <w:p w14:paraId="6D98DEF3" w14:textId="77777777" w:rsidR="00B0196F" w:rsidRPr="00C22BFE" w:rsidRDefault="00B0196F">
            <w:pPr>
              <w:jc w:val="center"/>
              <w:rPr>
                <w:rFonts w:cs="Calibri"/>
                <w:color w:val="000000"/>
                <w:sz w:val="18"/>
                <w:szCs w:val="18"/>
              </w:rPr>
            </w:pPr>
            <w:r w:rsidRPr="00C22BFE">
              <w:rPr>
                <w:rFonts w:cs="Calibri"/>
                <w:color w:val="000000"/>
                <w:sz w:val="18"/>
                <w:szCs w:val="18"/>
              </w:rPr>
              <w:t>Indonesia</w:t>
            </w:r>
          </w:p>
        </w:tc>
        <w:tc>
          <w:tcPr>
            <w:tcW w:w="1473" w:type="dxa"/>
            <w:shd w:val="clear" w:color="000000" w:fill="BF8F00"/>
            <w:vAlign w:val="center"/>
            <w:hideMark/>
          </w:tcPr>
          <w:p w14:paraId="1CAE0B03" w14:textId="77777777" w:rsidR="00B0196F" w:rsidRPr="00C22BFE" w:rsidRDefault="00B0196F">
            <w:pPr>
              <w:jc w:val="center"/>
              <w:rPr>
                <w:rFonts w:cs="Calibri"/>
                <w:b/>
                <w:bCs/>
                <w:color w:val="000000"/>
                <w:sz w:val="18"/>
                <w:szCs w:val="18"/>
              </w:rPr>
            </w:pPr>
            <w:r w:rsidRPr="00C22BFE">
              <w:rPr>
                <w:rFonts w:cs="Calibri"/>
                <w:b/>
                <w:bCs/>
                <w:color w:val="000000"/>
                <w:sz w:val="18"/>
                <w:szCs w:val="18"/>
              </w:rPr>
              <w:t>Considerable</w:t>
            </w:r>
          </w:p>
        </w:tc>
        <w:tc>
          <w:tcPr>
            <w:tcW w:w="1689" w:type="dxa"/>
            <w:shd w:val="clear" w:color="000000" w:fill="92D050"/>
            <w:noWrap/>
            <w:vAlign w:val="center"/>
            <w:hideMark/>
          </w:tcPr>
          <w:p w14:paraId="5BE939F2"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1455" w:type="dxa"/>
            <w:shd w:val="clear" w:color="000000" w:fill="92D050"/>
            <w:noWrap/>
            <w:vAlign w:val="center"/>
            <w:hideMark/>
          </w:tcPr>
          <w:p w14:paraId="1D60DA2C"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2738" w:type="dxa"/>
            <w:shd w:val="clear" w:color="000000" w:fill="FCE4D6"/>
            <w:noWrap/>
            <w:vAlign w:val="center"/>
            <w:hideMark/>
          </w:tcPr>
          <w:p w14:paraId="279E9AFC" w14:textId="77777777" w:rsidR="00B0196F" w:rsidRPr="00C22BFE" w:rsidRDefault="00B0196F">
            <w:pPr>
              <w:jc w:val="center"/>
              <w:rPr>
                <w:rFonts w:cs="Calibri"/>
                <w:color w:val="000000"/>
                <w:sz w:val="18"/>
                <w:szCs w:val="18"/>
              </w:rPr>
            </w:pPr>
            <w:r w:rsidRPr="00C22BFE">
              <w:rPr>
                <w:rFonts w:cs="Calibri"/>
                <w:color w:val="000000"/>
                <w:sz w:val="18"/>
                <w:szCs w:val="18"/>
              </w:rPr>
              <w:t>Limited</w:t>
            </w:r>
          </w:p>
        </w:tc>
        <w:tc>
          <w:tcPr>
            <w:tcW w:w="2098" w:type="dxa"/>
            <w:shd w:val="clear" w:color="auto" w:fill="auto"/>
            <w:noWrap/>
            <w:vAlign w:val="center"/>
            <w:hideMark/>
          </w:tcPr>
          <w:p w14:paraId="0AAC7697" w14:textId="77777777" w:rsidR="00B0196F" w:rsidRPr="00C22BFE" w:rsidRDefault="00B0196F">
            <w:pPr>
              <w:jc w:val="center"/>
              <w:rPr>
                <w:rFonts w:cs="Calibri"/>
                <w:color w:val="000000"/>
                <w:sz w:val="18"/>
                <w:szCs w:val="18"/>
              </w:rPr>
            </w:pPr>
          </w:p>
        </w:tc>
        <w:tc>
          <w:tcPr>
            <w:tcW w:w="1835" w:type="dxa"/>
            <w:shd w:val="clear" w:color="auto" w:fill="auto"/>
            <w:noWrap/>
            <w:vAlign w:val="center"/>
            <w:hideMark/>
          </w:tcPr>
          <w:p w14:paraId="154E2572" w14:textId="77777777" w:rsidR="00B0196F" w:rsidRPr="00C22BFE" w:rsidRDefault="00B0196F">
            <w:pPr>
              <w:jc w:val="center"/>
              <w:rPr>
                <w:sz w:val="18"/>
                <w:szCs w:val="18"/>
              </w:rPr>
            </w:pPr>
          </w:p>
        </w:tc>
        <w:tc>
          <w:tcPr>
            <w:tcW w:w="2521" w:type="dxa"/>
            <w:shd w:val="clear" w:color="auto" w:fill="auto"/>
            <w:noWrap/>
            <w:vAlign w:val="center"/>
            <w:hideMark/>
          </w:tcPr>
          <w:p w14:paraId="71FF4ECB" w14:textId="77777777" w:rsidR="00B0196F" w:rsidRPr="00C22BFE" w:rsidRDefault="00B0196F">
            <w:pPr>
              <w:jc w:val="center"/>
              <w:rPr>
                <w:rFonts w:cs="Calibri"/>
                <w:color w:val="000000"/>
                <w:sz w:val="18"/>
                <w:szCs w:val="18"/>
              </w:rPr>
            </w:pPr>
          </w:p>
        </w:tc>
      </w:tr>
      <w:tr w:rsidR="00B0196F" w:rsidRPr="00C22BFE" w14:paraId="5DFCFEEA" w14:textId="77777777">
        <w:trPr>
          <w:trHeight w:val="340"/>
        </w:trPr>
        <w:tc>
          <w:tcPr>
            <w:tcW w:w="1297" w:type="dxa"/>
            <w:shd w:val="clear" w:color="auto" w:fill="auto"/>
            <w:noWrap/>
            <w:vAlign w:val="center"/>
            <w:hideMark/>
          </w:tcPr>
          <w:p w14:paraId="18CFBC76" w14:textId="77777777" w:rsidR="00B0196F" w:rsidRPr="00C22BFE" w:rsidRDefault="00B0196F">
            <w:pPr>
              <w:jc w:val="center"/>
              <w:rPr>
                <w:rFonts w:cs="Calibri"/>
                <w:color w:val="000000"/>
                <w:sz w:val="18"/>
                <w:szCs w:val="18"/>
              </w:rPr>
            </w:pPr>
            <w:r w:rsidRPr="00C22BFE">
              <w:rPr>
                <w:rFonts w:cs="Calibri"/>
                <w:color w:val="000000"/>
                <w:sz w:val="18"/>
                <w:szCs w:val="18"/>
              </w:rPr>
              <w:t>Kenya</w:t>
            </w:r>
          </w:p>
        </w:tc>
        <w:tc>
          <w:tcPr>
            <w:tcW w:w="1473" w:type="dxa"/>
            <w:shd w:val="clear" w:color="000000" w:fill="BF8F00"/>
            <w:vAlign w:val="center"/>
            <w:hideMark/>
          </w:tcPr>
          <w:p w14:paraId="747DC57E" w14:textId="77777777" w:rsidR="00B0196F" w:rsidRPr="00C22BFE" w:rsidRDefault="00B0196F">
            <w:pPr>
              <w:jc w:val="center"/>
              <w:rPr>
                <w:rFonts w:cs="Calibri"/>
                <w:b/>
                <w:bCs/>
                <w:color w:val="000000"/>
                <w:sz w:val="18"/>
                <w:szCs w:val="18"/>
              </w:rPr>
            </w:pPr>
            <w:r w:rsidRPr="00C22BFE">
              <w:rPr>
                <w:rFonts w:cs="Calibri"/>
                <w:b/>
                <w:bCs/>
                <w:color w:val="000000"/>
                <w:sz w:val="18"/>
                <w:szCs w:val="18"/>
              </w:rPr>
              <w:t>Considerable</w:t>
            </w:r>
          </w:p>
        </w:tc>
        <w:tc>
          <w:tcPr>
            <w:tcW w:w="1689" w:type="dxa"/>
            <w:shd w:val="clear" w:color="000000" w:fill="92D050"/>
            <w:noWrap/>
            <w:vAlign w:val="center"/>
            <w:hideMark/>
          </w:tcPr>
          <w:p w14:paraId="180E6FAF"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1455" w:type="dxa"/>
            <w:shd w:val="clear" w:color="000000" w:fill="00B050"/>
            <w:noWrap/>
            <w:vAlign w:val="center"/>
            <w:hideMark/>
          </w:tcPr>
          <w:p w14:paraId="7CDF3841"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738" w:type="dxa"/>
            <w:shd w:val="clear" w:color="000000" w:fill="92D050"/>
            <w:noWrap/>
            <w:vAlign w:val="center"/>
            <w:hideMark/>
          </w:tcPr>
          <w:p w14:paraId="1A7E11D9"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2098" w:type="dxa"/>
            <w:shd w:val="clear" w:color="000000" w:fill="00B050"/>
            <w:noWrap/>
            <w:vAlign w:val="center"/>
            <w:hideMark/>
          </w:tcPr>
          <w:p w14:paraId="717F6B99"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1835" w:type="dxa"/>
            <w:shd w:val="clear" w:color="000000" w:fill="00B050"/>
            <w:noWrap/>
            <w:vAlign w:val="center"/>
            <w:hideMark/>
          </w:tcPr>
          <w:p w14:paraId="404FCE82"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521" w:type="dxa"/>
            <w:shd w:val="clear" w:color="auto" w:fill="auto"/>
            <w:noWrap/>
            <w:vAlign w:val="center"/>
            <w:hideMark/>
          </w:tcPr>
          <w:p w14:paraId="50B229DE" w14:textId="77777777" w:rsidR="00B0196F" w:rsidRPr="00C22BFE" w:rsidRDefault="00B0196F">
            <w:pPr>
              <w:jc w:val="center"/>
              <w:rPr>
                <w:rFonts w:cs="Calibri"/>
                <w:color w:val="000000"/>
                <w:sz w:val="18"/>
                <w:szCs w:val="18"/>
              </w:rPr>
            </w:pPr>
          </w:p>
        </w:tc>
      </w:tr>
      <w:tr w:rsidR="00B0196F" w:rsidRPr="00C22BFE" w14:paraId="5DC6D7EA" w14:textId="77777777">
        <w:trPr>
          <w:trHeight w:val="340"/>
        </w:trPr>
        <w:tc>
          <w:tcPr>
            <w:tcW w:w="1297" w:type="dxa"/>
            <w:shd w:val="clear" w:color="auto" w:fill="auto"/>
            <w:noWrap/>
            <w:vAlign w:val="center"/>
            <w:hideMark/>
          </w:tcPr>
          <w:p w14:paraId="4DCC4BF8" w14:textId="77777777" w:rsidR="00B0196F" w:rsidRPr="00C22BFE" w:rsidRDefault="00B0196F">
            <w:pPr>
              <w:jc w:val="center"/>
              <w:rPr>
                <w:rFonts w:cs="Calibri"/>
                <w:color w:val="000000"/>
                <w:sz w:val="18"/>
                <w:szCs w:val="18"/>
              </w:rPr>
            </w:pPr>
            <w:r w:rsidRPr="00C22BFE">
              <w:rPr>
                <w:rFonts w:cs="Calibri"/>
                <w:color w:val="000000"/>
                <w:sz w:val="18"/>
                <w:szCs w:val="18"/>
              </w:rPr>
              <w:t>Laos</w:t>
            </w:r>
          </w:p>
        </w:tc>
        <w:tc>
          <w:tcPr>
            <w:tcW w:w="1473" w:type="dxa"/>
            <w:shd w:val="clear" w:color="000000" w:fill="BF8F00"/>
            <w:vAlign w:val="center"/>
            <w:hideMark/>
          </w:tcPr>
          <w:p w14:paraId="318B57B0" w14:textId="77777777" w:rsidR="00B0196F" w:rsidRPr="00C22BFE" w:rsidRDefault="00B0196F">
            <w:pPr>
              <w:jc w:val="center"/>
              <w:rPr>
                <w:rFonts w:cs="Calibri"/>
                <w:b/>
                <w:bCs/>
                <w:color w:val="000000"/>
                <w:sz w:val="18"/>
                <w:szCs w:val="18"/>
              </w:rPr>
            </w:pPr>
            <w:r w:rsidRPr="00C22BFE">
              <w:rPr>
                <w:rFonts w:cs="Calibri"/>
                <w:b/>
                <w:bCs/>
                <w:color w:val="000000"/>
                <w:sz w:val="18"/>
                <w:szCs w:val="18"/>
              </w:rPr>
              <w:t>Considerable</w:t>
            </w:r>
          </w:p>
        </w:tc>
        <w:tc>
          <w:tcPr>
            <w:tcW w:w="1689" w:type="dxa"/>
            <w:shd w:val="clear" w:color="000000" w:fill="00B050"/>
            <w:noWrap/>
            <w:vAlign w:val="center"/>
            <w:hideMark/>
          </w:tcPr>
          <w:p w14:paraId="49AFD8AC"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1455" w:type="dxa"/>
            <w:shd w:val="clear" w:color="000000" w:fill="00B050"/>
            <w:noWrap/>
            <w:vAlign w:val="center"/>
            <w:hideMark/>
          </w:tcPr>
          <w:p w14:paraId="7A18213D"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738" w:type="dxa"/>
            <w:shd w:val="clear" w:color="auto" w:fill="auto"/>
            <w:noWrap/>
            <w:vAlign w:val="center"/>
            <w:hideMark/>
          </w:tcPr>
          <w:p w14:paraId="0AC00A70" w14:textId="77777777" w:rsidR="00B0196F" w:rsidRPr="00C22BFE" w:rsidRDefault="00B0196F">
            <w:pPr>
              <w:jc w:val="center"/>
              <w:rPr>
                <w:rFonts w:cs="Calibri"/>
                <w:color w:val="000000"/>
                <w:sz w:val="18"/>
                <w:szCs w:val="18"/>
              </w:rPr>
            </w:pPr>
          </w:p>
        </w:tc>
        <w:tc>
          <w:tcPr>
            <w:tcW w:w="2098" w:type="dxa"/>
            <w:shd w:val="clear" w:color="000000" w:fill="00B050"/>
            <w:noWrap/>
            <w:vAlign w:val="center"/>
            <w:hideMark/>
          </w:tcPr>
          <w:p w14:paraId="045D261C"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1835" w:type="dxa"/>
            <w:shd w:val="clear" w:color="auto" w:fill="auto"/>
            <w:noWrap/>
            <w:vAlign w:val="center"/>
            <w:hideMark/>
          </w:tcPr>
          <w:p w14:paraId="048BB53A" w14:textId="77777777" w:rsidR="00B0196F" w:rsidRPr="00C22BFE" w:rsidRDefault="00B0196F">
            <w:pPr>
              <w:jc w:val="center"/>
              <w:rPr>
                <w:rFonts w:cs="Calibri"/>
                <w:color w:val="000000"/>
                <w:sz w:val="18"/>
                <w:szCs w:val="18"/>
              </w:rPr>
            </w:pPr>
          </w:p>
        </w:tc>
        <w:tc>
          <w:tcPr>
            <w:tcW w:w="2521" w:type="dxa"/>
            <w:shd w:val="clear" w:color="auto" w:fill="auto"/>
            <w:noWrap/>
            <w:vAlign w:val="center"/>
            <w:hideMark/>
          </w:tcPr>
          <w:p w14:paraId="7EB41642" w14:textId="77777777" w:rsidR="00B0196F" w:rsidRPr="00C22BFE" w:rsidRDefault="00B0196F">
            <w:pPr>
              <w:jc w:val="center"/>
              <w:rPr>
                <w:rFonts w:cs="Calibri"/>
                <w:color w:val="000000"/>
                <w:sz w:val="18"/>
                <w:szCs w:val="18"/>
              </w:rPr>
            </w:pPr>
          </w:p>
        </w:tc>
      </w:tr>
      <w:tr w:rsidR="00B0196F" w:rsidRPr="00C22BFE" w14:paraId="5DC62066" w14:textId="77777777">
        <w:trPr>
          <w:trHeight w:val="340"/>
        </w:trPr>
        <w:tc>
          <w:tcPr>
            <w:tcW w:w="1297" w:type="dxa"/>
            <w:shd w:val="clear" w:color="auto" w:fill="auto"/>
            <w:noWrap/>
            <w:vAlign w:val="center"/>
            <w:hideMark/>
          </w:tcPr>
          <w:p w14:paraId="30560240" w14:textId="77777777" w:rsidR="00B0196F" w:rsidRPr="00C22BFE" w:rsidRDefault="00B0196F">
            <w:pPr>
              <w:jc w:val="center"/>
              <w:rPr>
                <w:rFonts w:cs="Calibri"/>
                <w:color w:val="000000"/>
                <w:sz w:val="18"/>
                <w:szCs w:val="18"/>
              </w:rPr>
            </w:pPr>
            <w:r w:rsidRPr="00C22BFE">
              <w:rPr>
                <w:rFonts w:cs="Calibri"/>
                <w:color w:val="000000"/>
                <w:sz w:val="18"/>
                <w:szCs w:val="18"/>
              </w:rPr>
              <w:t>Nepal</w:t>
            </w:r>
          </w:p>
        </w:tc>
        <w:tc>
          <w:tcPr>
            <w:tcW w:w="1473" w:type="dxa"/>
            <w:shd w:val="clear" w:color="000000" w:fill="BF8F00"/>
            <w:vAlign w:val="center"/>
            <w:hideMark/>
          </w:tcPr>
          <w:p w14:paraId="6EA12DB6" w14:textId="77777777" w:rsidR="00B0196F" w:rsidRPr="00C22BFE" w:rsidRDefault="00B0196F">
            <w:pPr>
              <w:jc w:val="center"/>
              <w:rPr>
                <w:rFonts w:cs="Calibri"/>
                <w:b/>
                <w:bCs/>
                <w:color w:val="000000"/>
                <w:sz w:val="18"/>
                <w:szCs w:val="18"/>
              </w:rPr>
            </w:pPr>
            <w:r w:rsidRPr="00C22BFE">
              <w:rPr>
                <w:rFonts w:cs="Calibri"/>
                <w:b/>
                <w:bCs/>
                <w:color w:val="000000"/>
                <w:sz w:val="18"/>
                <w:szCs w:val="18"/>
              </w:rPr>
              <w:t>Considerable</w:t>
            </w:r>
          </w:p>
        </w:tc>
        <w:tc>
          <w:tcPr>
            <w:tcW w:w="1689" w:type="dxa"/>
            <w:shd w:val="clear" w:color="000000" w:fill="00B050"/>
            <w:noWrap/>
            <w:vAlign w:val="center"/>
            <w:hideMark/>
          </w:tcPr>
          <w:p w14:paraId="38637E80"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1455" w:type="dxa"/>
            <w:shd w:val="clear" w:color="000000" w:fill="00B050"/>
            <w:noWrap/>
            <w:vAlign w:val="center"/>
            <w:hideMark/>
          </w:tcPr>
          <w:p w14:paraId="5BF8D72E"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738" w:type="dxa"/>
            <w:shd w:val="clear" w:color="auto" w:fill="auto"/>
            <w:noWrap/>
            <w:vAlign w:val="center"/>
            <w:hideMark/>
          </w:tcPr>
          <w:p w14:paraId="7463E204" w14:textId="77777777" w:rsidR="00B0196F" w:rsidRPr="00C22BFE" w:rsidRDefault="00B0196F">
            <w:pPr>
              <w:jc w:val="center"/>
              <w:rPr>
                <w:rFonts w:cs="Calibri"/>
                <w:color w:val="000000"/>
                <w:sz w:val="18"/>
                <w:szCs w:val="18"/>
              </w:rPr>
            </w:pPr>
          </w:p>
        </w:tc>
        <w:tc>
          <w:tcPr>
            <w:tcW w:w="2098" w:type="dxa"/>
            <w:shd w:val="clear" w:color="auto" w:fill="auto"/>
            <w:noWrap/>
            <w:vAlign w:val="center"/>
            <w:hideMark/>
          </w:tcPr>
          <w:p w14:paraId="36E29948" w14:textId="77777777" w:rsidR="00B0196F" w:rsidRPr="00C22BFE" w:rsidRDefault="00B0196F">
            <w:pPr>
              <w:jc w:val="center"/>
              <w:rPr>
                <w:sz w:val="18"/>
                <w:szCs w:val="18"/>
              </w:rPr>
            </w:pPr>
          </w:p>
        </w:tc>
        <w:tc>
          <w:tcPr>
            <w:tcW w:w="1835" w:type="dxa"/>
            <w:shd w:val="clear" w:color="000000" w:fill="00B050"/>
            <w:noWrap/>
            <w:vAlign w:val="center"/>
            <w:hideMark/>
          </w:tcPr>
          <w:p w14:paraId="2E1F334D"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521" w:type="dxa"/>
            <w:shd w:val="clear" w:color="auto" w:fill="auto"/>
            <w:noWrap/>
            <w:vAlign w:val="center"/>
            <w:hideMark/>
          </w:tcPr>
          <w:p w14:paraId="7DFFEA22" w14:textId="77777777" w:rsidR="00B0196F" w:rsidRPr="00C22BFE" w:rsidRDefault="00B0196F">
            <w:pPr>
              <w:jc w:val="center"/>
              <w:rPr>
                <w:rFonts w:cs="Calibri"/>
                <w:color w:val="000000"/>
                <w:sz w:val="18"/>
                <w:szCs w:val="18"/>
              </w:rPr>
            </w:pPr>
          </w:p>
        </w:tc>
      </w:tr>
      <w:tr w:rsidR="00B0196F" w:rsidRPr="00C22BFE" w14:paraId="498CCEE4" w14:textId="77777777">
        <w:trPr>
          <w:trHeight w:val="340"/>
        </w:trPr>
        <w:tc>
          <w:tcPr>
            <w:tcW w:w="1297" w:type="dxa"/>
            <w:shd w:val="clear" w:color="auto" w:fill="auto"/>
            <w:noWrap/>
            <w:vAlign w:val="center"/>
            <w:hideMark/>
          </w:tcPr>
          <w:p w14:paraId="14D5C140" w14:textId="77777777" w:rsidR="00B0196F" w:rsidRPr="00C22BFE" w:rsidRDefault="00B0196F">
            <w:pPr>
              <w:jc w:val="center"/>
              <w:rPr>
                <w:rFonts w:cs="Calibri"/>
                <w:color w:val="000000"/>
                <w:sz w:val="18"/>
                <w:szCs w:val="18"/>
              </w:rPr>
            </w:pPr>
            <w:r w:rsidRPr="00C22BFE">
              <w:rPr>
                <w:rFonts w:cs="Calibri"/>
                <w:color w:val="000000"/>
                <w:sz w:val="18"/>
                <w:szCs w:val="18"/>
              </w:rPr>
              <w:t>Vietnam</w:t>
            </w:r>
          </w:p>
        </w:tc>
        <w:tc>
          <w:tcPr>
            <w:tcW w:w="1473" w:type="dxa"/>
            <w:shd w:val="clear" w:color="000000" w:fill="BF8F00"/>
            <w:vAlign w:val="center"/>
            <w:hideMark/>
          </w:tcPr>
          <w:p w14:paraId="67635FB5" w14:textId="77777777" w:rsidR="00B0196F" w:rsidRPr="00C22BFE" w:rsidRDefault="00B0196F">
            <w:pPr>
              <w:jc w:val="center"/>
              <w:rPr>
                <w:rFonts w:cs="Calibri"/>
                <w:b/>
                <w:bCs/>
                <w:color w:val="000000"/>
                <w:sz w:val="18"/>
                <w:szCs w:val="18"/>
              </w:rPr>
            </w:pPr>
            <w:r w:rsidRPr="00C22BFE">
              <w:rPr>
                <w:rFonts w:cs="Calibri"/>
                <w:b/>
                <w:bCs/>
                <w:color w:val="000000"/>
                <w:sz w:val="18"/>
                <w:szCs w:val="18"/>
              </w:rPr>
              <w:t>Considerable</w:t>
            </w:r>
          </w:p>
        </w:tc>
        <w:tc>
          <w:tcPr>
            <w:tcW w:w="1689" w:type="dxa"/>
            <w:shd w:val="clear" w:color="000000" w:fill="92D050"/>
            <w:noWrap/>
            <w:vAlign w:val="center"/>
            <w:hideMark/>
          </w:tcPr>
          <w:p w14:paraId="6A5B8A14"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1455" w:type="dxa"/>
            <w:shd w:val="clear" w:color="auto" w:fill="auto"/>
            <w:noWrap/>
            <w:vAlign w:val="center"/>
            <w:hideMark/>
          </w:tcPr>
          <w:p w14:paraId="54CD0D9C" w14:textId="77777777" w:rsidR="00B0196F" w:rsidRPr="00C22BFE" w:rsidRDefault="00B0196F">
            <w:pPr>
              <w:jc w:val="center"/>
              <w:rPr>
                <w:rFonts w:cs="Calibri"/>
                <w:color w:val="000000"/>
                <w:sz w:val="18"/>
                <w:szCs w:val="18"/>
              </w:rPr>
            </w:pPr>
          </w:p>
        </w:tc>
        <w:tc>
          <w:tcPr>
            <w:tcW w:w="2738" w:type="dxa"/>
            <w:shd w:val="clear" w:color="auto" w:fill="auto"/>
            <w:noWrap/>
            <w:vAlign w:val="center"/>
            <w:hideMark/>
          </w:tcPr>
          <w:p w14:paraId="59900C89" w14:textId="77777777" w:rsidR="00B0196F" w:rsidRPr="00C22BFE" w:rsidRDefault="00B0196F">
            <w:pPr>
              <w:jc w:val="center"/>
              <w:rPr>
                <w:sz w:val="18"/>
                <w:szCs w:val="18"/>
              </w:rPr>
            </w:pPr>
          </w:p>
        </w:tc>
        <w:tc>
          <w:tcPr>
            <w:tcW w:w="2098" w:type="dxa"/>
            <w:shd w:val="clear" w:color="000000" w:fill="00B050"/>
            <w:noWrap/>
            <w:vAlign w:val="center"/>
            <w:hideMark/>
          </w:tcPr>
          <w:p w14:paraId="063DCF12"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1835" w:type="dxa"/>
            <w:shd w:val="clear" w:color="auto" w:fill="auto"/>
            <w:noWrap/>
            <w:vAlign w:val="center"/>
            <w:hideMark/>
          </w:tcPr>
          <w:p w14:paraId="0C3D9D37" w14:textId="77777777" w:rsidR="00B0196F" w:rsidRPr="00C22BFE" w:rsidRDefault="00B0196F">
            <w:pPr>
              <w:jc w:val="center"/>
              <w:rPr>
                <w:rFonts w:cs="Calibri"/>
                <w:color w:val="000000"/>
                <w:sz w:val="18"/>
                <w:szCs w:val="18"/>
              </w:rPr>
            </w:pPr>
          </w:p>
        </w:tc>
        <w:tc>
          <w:tcPr>
            <w:tcW w:w="2521" w:type="dxa"/>
            <w:shd w:val="clear" w:color="auto" w:fill="auto"/>
            <w:noWrap/>
            <w:vAlign w:val="center"/>
            <w:hideMark/>
          </w:tcPr>
          <w:p w14:paraId="32C4F8E2" w14:textId="77777777" w:rsidR="00B0196F" w:rsidRPr="00C22BFE" w:rsidRDefault="00B0196F">
            <w:pPr>
              <w:jc w:val="center"/>
              <w:rPr>
                <w:rFonts w:cs="Calibri"/>
                <w:color w:val="000000"/>
                <w:sz w:val="18"/>
                <w:szCs w:val="18"/>
              </w:rPr>
            </w:pPr>
          </w:p>
        </w:tc>
      </w:tr>
      <w:tr w:rsidR="00B0196F" w:rsidRPr="00C22BFE" w14:paraId="38B33096" w14:textId="77777777">
        <w:trPr>
          <w:trHeight w:val="340"/>
        </w:trPr>
        <w:tc>
          <w:tcPr>
            <w:tcW w:w="1297" w:type="dxa"/>
            <w:shd w:val="clear" w:color="auto" w:fill="auto"/>
            <w:noWrap/>
            <w:vAlign w:val="center"/>
            <w:hideMark/>
          </w:tcPr>
          <w:p w14:paraId="39E9E409" w14:textId="77777777" w:rsidR="00B0196F" w:rsidRPr="00C22BFE" w:rsidRDefault="00B0196F">
            <w:pPr>
              <w:jc w:val="center"/>
              <w:rPr>
                <w:rFonts w:cs="Calibri"/>
                <w:color w:val="000000"/>
                <w:sz w:val="18"/>
                <w:szCs w:val="18"/>
              </w:rPr>
            </w:pPr>
            <w:r w:rsidRPr="00C22BFE">
              <w:rPr>
                <w:rFonts w:cs="Calibri"/>
                <w:color w:val="000000"/>
                <w:sz w:val="18"/>
                <w:szCs w:val="18"/>
              </w:rPr>
              <w:t>Bangladesh</w:t>
            </w:r>
          </w:p>
        </w:tc>
        <w:tc>
          <w:tcPr>
            <w:tcW w:w="1473" w:type="dxa"/>
            <w:shd w:val="clear" w:color="000000" w:fill="FFD966"/>
            <w:vAlign w:val="center"/>
            <w:hideMark/>
          </w:tcPr>
          <w:p w14:paraId="5CDDF3A0" w14:textId="77777777" w:rsidR="00B0196F" w:rsidRPr="00C22BFE" w:rsidRDefault="00B0196F">
            <w:pPr>
              <w:jc w:val="center"/>
              <w:rPr>
                <w:rFonts w:cs="Calibri"/>
                <w:b/>
                <w:bCs/>
                <w:color w:val="000000"/>
                <w:sz w:val="18"/>
                <w:szCs w:val="18"/>
              </w:rPr>
            </w:pPr>
            <w:r w:rsidRPr="00C22BFE">
              <w:rPr>
                <w:rFonts w:cs="Calibri"/>
                <w:b/>
                <w:bCs/>
                <w:color w:val="000000"/>
                <w:sz w:val="18"/>
                <w:szCs w:val="18"/>
              </w:rPr>
              <w:t>Some</w:t>
            </w:r>
          </w:p>
        </w:tc>
        <w:tc>
          <w:tcPr>
            <w:tcW w:w="1689" w:type="dxa"/>
            <w:shd w:val="clear" w:color="000000" w:fill="92D050"/>
            <w:noWrap/>
            <w:vAlign w:val="center"/>
            <w:hideMark/>
          </w:tcPr>
          <w:p w14:paraId="49D83078"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1455" w:type="dxa"/>
            <w:shd w:val="clear" w:color="000000" w:fill="00B050"/>
            <w:noWrap/>
            <w:vAlign w:val="center"/>
            <w:hideMark/>
          </w:tcPr>
          <w:p w14:paraId="05C8424A"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738" w:type="dxa"/>
            <w:shd w:val="clear" w:color="000000" w:fill="92D050"/>
            <w:noWrap/>
            <w:vAlign w:val="center"/>
            <w:hideMark/>
          </w:tcPr>
          <w:p w14:paraId="6EA3CA6D"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2098" w:type="dxa"/>
            <w:shd w:val="clear" w:color="auto" w:fill="auto"/>
            <w:noWrap/>
            <w:vAlign w:val="center"/>
            <w:hideMark/>
          </w:tcPr>
          <w:p w14:paraId="1C99A49F" w14:textId="77777777" w:rsidR="00B0196F" w:rsidRPr="00C22BFE" w:rsidRDefault="00B0196F">
            <w:pPr>
              <w:jc w:val="center"/>
              <w:rPr>
                <w:rFonts w:cs="Calibri"/>
                <w:color w:val="000000"/>
                <w:sz w:val="18"/>
                <w:szCs w:val="18"/>
              </w:rPr>
            </w:pPr>
          </w:p>
        </w:tc>
        <w:tc>
          <w:tcPr>
            <w:tcW w:w="1835" w:type="dxa"/>
            <w:shd w:val="clear" w:color="auto" w:fill="auto"/>
            <w:noWrap/>
            <w:vAlign w:val="center"/>
            <w:hideMark/>
          </w:tcPr>
          <w:p w14:paraId="4D4D2654" w14:textId="77777777" w:rsidR="00B0196F" w:rsidRPr="00C22BFE" w:rsidRDefault="00B0196F">
            <w:pPr>
              <w:jc w:val="center"/>
              <w:rPr>
                <w:sz w:val="18"/>
                <w:szCs w:val="18"/>
              </w:rPr>
            </w:pPr>
          </w:p>
        </w:tc>
        <w:tc>
          <w:tcPr>
            <w:tcW w:w="2521" w:type="dxa"/>
            <w:shd w:val="clear" w:color="auto" w:fill="auto"/>
            <w:noWrap/>
            <w:vAlign w:val="center"/>
            <w:hideMark/>
          </w:tcPr>
          <w:p w14:paraId="23C431B2" w14:textId="77777777" w:rsidR="00B0196F" w:rsidRPr="00C22BFE" w:rsidRDefault="00B0196F">
            <w:pPr>
              <w:jc w:val="center"/>
              <w:rPr>
                <w:rFonts w:cs="Calibri"/>
                <w:color w:val="000000"/>
                <w:sz w:val="18"/>
                <w:szCs w:val="18"/>
              </w:rPr>
            </w:pPr>
          </w:p>
        </w:tc>
      </w:tr>
      <w:tr w:rsidR="00B0196F" w:rsidRPr="00C22BFE" w14:paraId="01737D21" w14:textId="77777777">
        <w:trPr>
          <w:trHeight w:val="340"/>
        </w:trPr>
        <w:tc>
          <w:tcPr>
            <w:tcW w:w="1297" w:type="dxa"/>
            <w:shd w:val="clear" w:color="auto" w:fill="auto"/>
            <w:noWrap/>
            <w:vAlign w:val="center"/>
            <w:hideMark/>
          </w:tcPr>
          <w:p w14:paraId="4D5BC9CD" w14:textId="77777777" w:rsidR="00B0196F" w:rsidRPr="00C22BFE" w:rsidRDefault="00B0196F">
            <w:pPr>
              <w:jc w:val="center"/>
              <w:rPr>
                <w:rFonts w:cs="Calibri"/>
                <w:color w:val="000000"/>
                <w:sz w:val="18"/>
                <w:szCs w:val="18"/>
              </w:rPr>
            </w:pPr>
            <w:r w:rsidRPr="00C22BFE">
              <w:rPr>
                <w:rFonts w:cs="Calibri"/>
                <w:color w:val="000000"/>
                <w:sz w:val="18"/>
                <w:szCs w:val="18"/>
              </w:rPr>
              <w:t>Bhutan</w:t>
            </w:r>
          </w:p>
        </w:tc>
        <w:tc>
          <w:tcPr>
            <w:tcW w:w="1473" w:type="dxa"/>
            <w:shd w:val="clear" w:color="000000" w:fill="FFD966"/>
            <w:vAlign w:val="center"/>
            <w:hideMark/>
          </w:tcPr>
          <w:p w14:paraId="5559991C" w14:textId="77777777" w:rsidR="00B0196F" w:rsidRPr="00C22BFE" w:rsidRDefault="00B0196F">
            <w:pPr>
              <w:jc w:val="center"/>
              <w:rPr>
                <w:rFonts w:cs="Calibri"/>
                <w:b/>
                <w:bCs/>
                <w:color w:val="000000"/>
                <w:sz w:val="18"/>
                <w:szCs w:val="18"/>
              </w:rPr>
            </w:pPr>
            <w:r w:rsidRPr="00C22BFE">
              <w:rPr>
                <w:rFonts w:cs="Calibri"/>
                <w:b/>
                <w:bCs/>
                <w:color w:val="000000"/>
                <w:sz w:val="18"/>
                <w:szCs w:val="18"/>
              </w:rPr>
              <w:t>Some</w:t>
            </w:r>
          </w:p>
        </w:tc>
        <w:tc>
          <w:tcPr>
            <w:tcW w:w="1689" w:type="dxa"/>
            <w:shd w:val="clear" w:color="000000" w:fill="92D050"/>
            <w:noWrap/>
            <w:vAlign w:val="center"/>
            <w:hideMark/>
          </w:tcPr>
          <w:p w14:paraId="6953A6A1"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1455" w:type="dxa"/>
            <w:shd w:val="clear" w:color="000000" w:fill="00B050"/>
            <w:noWrap/>
            <w:vAlign w:val="center"/>
            <w:hideMark/>
          </w:tcPr>
          <w:p w14:paraId="492C5810"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738" w:type="dxa"/>
            <w:shd w:val="clear" w:color="auto" w:fill="auto"/>
            <w:noWrap/>
            <w:vAlign w:val="center"/>
            <w:hideMark/>
          </w:tcPr>
          <w:p w14:paraId="453B3507" w14:textId="77777777" w:rsidR="00B0196F" w:rsidRPr="00C22BFE" w:rsidRDefault="00B0196F">
            <w:pPr>
              <w:jc w:val="center"/>
              <w:rPr>
                <w:rFonts w:cs="Calibri"/>
                <w:color w:val="000000"/>
                <w:sz w:val="18"/>
                <w:szCs w:val="18"/>
              </w:rPr>
            </w:pPr>
          </w:p>
        </w:tc>
        <w:tc>
          <w:tcPr>
            <w:tcW w:w="2098" w:type="dxa"/>
            <w:shd w:val="clear" w:color="auto" w:fill="auto"/>
            <w:noWrap/>
            <w:vAlign w:val="center"/>
            <w:hideMark/>
          </w:tcPr>
          <w:p w14:paraId="0B6E37DF" w14:textId="77777777" w:rsidR="00B0196F" w:rsidRPr="00C22BFE" w:rsidRDefault="00B0196F">
            <w:pPr>
              <w:jc w:val="center"/>
              <w:rPr>
                <w:sz w:val="18"/>
                <w:szCs w:val="18"/>
              </w:rPr>
            </w:pPr>
          </w:p>
        </w:tc>
        <w:tc>
          <w:tcPr>
            <w:tcW w:w="1835" w:type="dxa"/>
            <w:shd w:val="clear" w:color="auto" w:fill="auto"/>
            <w:noWrap/>
            <w:vAlign w:val="center"/>
            <w:hideMark/>
          </w:tcPr>
          <w:p w14:paraId="1E620FD3" w14:textId="77777777" w:rsidR="00B0196F" w:rsidRPr="00C22BFE" w:rsidRDefault="00B0196F">
            <w:pPr>
              <w:jc w:val="center"/>
              <w:rPr>
                <w:sz w:val="18"/>
                <w:szCs w:val="18"/>
              </w:rPr>
            </w:pPr>
          </w:p>
        </w:tc>
        <w:tc>
          <w:tcPr>
            <w:tcW w:w="2521" w:type="dxa"/>
            <w:shd w:val="clear" w:color="auto" w:fill="auto"/>
            <w:noWrap/>
            <w:vAlign w:val="center"/>
            <w:hideMark/>
          </w:tcPr>
          <w:p w14:paraId="3305D2C4" w14:textId="77777777" w:rsidR="00B0196F" w:rsidRPr="00C22BFE" w:rsidRDefault="00B0196F">
            <w:pPr>
              <w:jc w:val="center"/>
              <w:rPr>
                <w:rFonts w:cs="Calibri"/>
                <w:color w:val="000000"/>
                <w:sz w:val="18"/>
                <w:szCs w:val="18"/>
              </w:rPr>
            </w:pPr>
          </w:p>
        </w:tc>
      </w:tr>
      <w:tr w:rsidR="00B0196F" w:rsidRPr="00C22BFE" w14:paraId="42E60C84" w14:textId="77777777">
        <w:trPr>
          <w:trHeight w:val="340"/>
        </w:trPr>
        <w:tc>
          <w:tcPr>
            <w:tcW w:w="1297" w:type="dxa"/>
            <w:shd w:val="clear" w:color="auto" w:fill="auto"/>
            <w:noWrap/>
            <w:vAlign w:val="center"/>
            <w:hideMark/>
          </w:tcPr>
          <w:p w14:paraId="4693F8E2" w14:textId="77777777" w:rsidR="00B0196F" w:rsidRPr="00C22BFE" w:rsidRDefault="00B0196F">
            <w:pPr>
              <w:jc w:val="center"/>
              <w:rPr>
                <w:rFonts w:cs="Calibri"/>
                <w:color w:val="000000"/>
                <w:sz w:val="18"/>
                <w:szCs w:val="18"/>
              </w:rPr>
            </w:pPr>
            <w:r w:rsidRPr="00C22BFE">
              <w:rPr>
                <w:rFonts w:cs="Calibri"/>
                <w:color w:val="000000"/>
                <w:sz w:val="18"/>
                <w:szCs w:val="18"/>
              </w:rPr>
              <w:t>Senegal</w:t>
            </w:r>
          </w:p>
        </w:tc>
        <w:tc>
          <w:tcPr>
            <w:tcW w:w="1473" w:type="dxa"/>
            <w:shd w:val="clear" w:color="000000" w:fill="FFD966"/>
            <w:vAlign w:val="center"/>
            <w:hideMark/>
          </w:tcPr>
          <w:p w14:paraId="35BFE226" w14:textId="77777777" w:rsidR="00B0196F" w:rsidRPr="00C22BFE" w:rsidRDefault="00B0196F">
            <w:pPr>
              <w:jc w:val="center"/>
              <w:rPr>
                <w:rFonts w:cs="Calibri"/>
                <w:b/>
                <w:bCs/>
                <w:color w:val="000000"/>
                <w:sz w:val="18"/>
                <w:szCs w:val="18"/>
              </w:rPr>
            </w:pPr>
            <w:r w:rsidRPr="00C22BFE">
              <w:rPr>
                <w:rFonts w:cs="Calibri"/>
                <w:b/>
                <w:bCs/>
                <w:color w:val="000000"/>
                <w:sz w:val="18"/>
                <w:szCs w:val="18"/>
              </w:rPr>
              <w:t>Some</w:t>
            </w:r>
          </w:p>
        </w:tc>
        <w:tc>
          <w:tcPr>
            <w:tcW w:w="1689" w:type="dxa"/>
            <w:shd w:val="clear" w:color="auto" w:fill="auto"/>
            <w:noWrap/>
            <w:vAlign w:val="center"/>
            <w:hideMark/>
          </w:tcPr>
          <w:p w14:paraId="1D53AE43" w14:textId="77777777" w:rsidR="00B0196F" w:rsidRPr="00C22BFE" w:rsidRDefault="00B0196F">
            <w:pPr>
              <w:jc w:val="center"/>
              <w:rPr>
                <w:rFonts w:cs="Calibri"/>
                <w:b/>
                <w:bCs/>
                <w:color w:val="000000"/>
                <w:sz w:val="18"/>
                <w:szCs w:val="18"/>
              </w:rPr>
            </w:pPr>
          </w:p>
        </w:tc>
        <w:tc>
          <w:tcPr>
            <w:tcW w:w="1455" w:type="dxa"/>
            <w:shd w:val="clear" w:color="000000" w:fill="92D050"/>
            <w:noWrap/>
            <w:vAlign w:val="center"/>
            <w:hideMark/>
          </w:tcPr>
          <w:p w14:paraId="2E510DBE"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2738" w:type="dxa"/>
            <w:shd w:val="clear" w:color="auto" w:fill="auto"/>
            <w:noWrap/>
            <w:vAlign w:val="center"/>
            <w:hideMark/>
          </w:tcPr>
          <w:p w14:paraId="7688FDD9" w14:textId="77777777" w:rsidR="00B0196F" w:rsidRPr="00C22BFE" w:rsidRDefault="00B0196F">
            <w:pPr>
              <w:jc w:val="center"/>
              <w:rPr>
                <w:rFonts w:cs="Calibri"/>
                <w:color w:val="000000"/>
                <w:sz w:val="18"/>
                <w:szCs w:val="18"/>
              </w:rPr>
            </w:pPr>
          </w:p>
        </w:tc>
        <w:tc>
          <w:tcPr>
            <w:tcW w:w="2098" w:type="dxa"/>
            <w:shd w:val="clear" w:color="000000" w:fill="00B050"/>
            <w:noWrap/>
            <w:vAlign w:val="center"/>
            <w:hideMark/>
          </w:tcPr>
          <w:p w14:paraId="007F6725"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1835" w:type="dxa"/>
            <w:shd w:val="clear" w:color="auto" w:fill="auto"/>
            <w:noWrap/>
            <w:vAlign w:val="center"/>
            <w:hideMark/>
          </w:tcPr>
          <w:p w14:paraId="32A4ACEA" w14:textId="77777777" w:rsidR="00B0196F" w:rsidRPr="00C22BFE" w:rsidRDefault="00B0196F">
            <w:pPr>
              <w:jc w:val="center"/>
              <w:rPr>
                <w:rFonts w:cs="Calibri"/>
                <w:color w:val="000000"/>
                <w:sz w:val="18"/>
                <w:szCs w:val="18"/>
              </w:rPr>
            </w:pPr>
          </w:p>
        </w:tc>
        <w:tc>
          <w:tcPr>
            <w:tcW w:w="2521" w:type="dxa"/>
            <w:shd w:val="clear" w:color="000000" w:fill="92D050"/>
            <w:noWrap/>
            <w:vAlign w:val="center"/>
            <w:hideMark/>
          </w:tcPr>
          <w:p w14:paraId="728A68DE"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r>
      <w:tr w:rsidR="00B0196F" w:rsidRPr="00C22BFE" w14:paraId="716C9BE1" w14:textId="77777777">
        <w:trPr>
          <w:trHeight w:val="340"/>
        </w:trPr>
        <w:tc>
          <w:tcPr>
            <w:tcW w:w="1297" w:type="dxa"/>
            <w:shd w:val="clear" w:color="auto" w:fill="auto"/>
            <w:noWrap/>
            <w:vAlign w:val="center"/>
            <w:hideMark/>
          </w:tcPr>
          <w:p w14:paraId="0E7AE991" w14:textId="77777777" w:rsidR="00B0196F" w:rsidRPr="00C22BFE" w:rsidRDefault="00B0196F">
            <w:pPr>
              <w:jc w:val="center"/>
              <w:rPr>
                <w:rFonts w:cs="Calibri"/>
                <w:color w:val="000000"/>
                <w:sz w:val="18"/>
                <w:szCs w:val="18"/>
              </w:rPr>
            </w:pPr>
            <w:r w:rsidRPr="00C22BFE">
              <w:rPr>
                <w:rFonts w:cs="Calibri"/>
                <w:color w:val="000000"/>
                <w:sz w:val="18"/>
                <w:szCs w:val="18"/>
              </w:rPr>
              <w:t>Tanzania</w:t>
            </w:r>
          </w:p>
        </w:tc>
        <w:tc>
          <w:tcPr>
            <w:tcW w:w="1473" w:type="dxa"/>
            <w:shd w:val="clear" w:color="000000" w:fill="FFD966"/>
            <w:vAlign w:val="center"/>
            <w:hideMark/>
          </w:tcPr>
          <w:p w14:paraId="1C5F0957" w14:textId="77777777" w:rsidR="00B0196F" w:rsidRPr="00C22BFE" w:rsidRDefault="00B0196F">
            <w:pPr>
              <w:jc w:val="center"/>
              <w:rPr>
                <w:rFonts w:cs="Calibri"/>
                <w:b/>
                <w:bCs/>
                <w:color w:val="000000"/>
                <w:sz w:val="18"/>
                <w:szCs w:val="18"/>
              </w:rPr>
            </w:pPr>
            <w:r w:rsidRPr="00C22BFE">
              <w:rPr>
                <w:rFonts w:cs="Calibri"/>
                <w:b/>
                <w:bCs/>
                <w:color w:val="000000"/>
                <w:sz w:val="18"/>
                <w:szCs w:val="18"/>
              </w:rPr>
              <w:t>Some</w:t>
            </w:r>
          </w:p>
        </w:tc>
        <w:tc>
          <w:tcPr>
            <w:tcW w:w="1689" w:type="dxa"/>
            <w:shd w:val="clear" w:color="000000" w:fill="92D050"/>
            <w:noWrap/>
            <w:vAlign w:val="center"/>
            <w:hideMark/>
          </w:tcPr>
          <w:p w14:paraId="04F601C9"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1455" w:type="dxa"/>
            <w:shd w:val="clear" w:color="auto" w:fill="auto"/>
            <w:noWrap/>
            <w:vAlign w:val="center"/>
            <w:hideMark/>
          </w:tcPr>
          <w:p w14:paraId="6CAF31D1" w14:textId="77777777" w:rsidR="00B0196F" w:rsidRPr="00C22BFE" w:rsidRDefault="00B0196F">
            <w:pPr>
              <w:jc w:val="center"/>
              <w:rPr>
                <w:rFonts w:cs="Calibri"/>
                <w:color w:val="000000"/>
                <w:sz w:val="18"/>
                <w:szCs w:val="18"/>
              </w:rPr>
            </w:pPr>
          </w:p>
        </w:tc>
        <w:tc>
          <w:tcPr>
            <w:tcW w:w="2738" w:type="dxa"/>
            <w:shd w:val="clear" w:color="auto" w:fill="auto"/>
            <w:noWrap/>
            <w:vAlign w:val="center"/>
            <w:hideMark/>
          </w:tcPr>
          <w:p w14:paraId="181708CD" w14:textId="77777777" w:rsidR="00B0196F" w:rsidRPr="00C22BFE" w:rsidRDefault="00B0196F">
            <w:pPr>
              <w:jc w:val="center"/>
              <w:rPr>
                <w:sz w:val="18"/>
                <w:szCs w:val="18"/>
              </w:rPr>
            </w:pPr>
          </w:p>
        </w:tc>
        <w:tc>
          <w:tcPr>
            <w:tcW w:w="2098" w:type="dxa"/>
            <w:shd w:val="clear" w:color="000000" w:fill="92D050"/>
            <w:noWrap/>
            <w:vAlign w:val="center"/>
            <w:hideMark/>
          </w:tcPr>
          <w:p w14:paraId="46B96D46"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1835" w:type="dxa"/>
            <w:shd w:val="clear" w:color="000000" w:fill="00B050"/>
            <w:noWrap/>
            <w:vAlign w:val="center"/>
            <w:hideMark/>
          </w:tcPr>
          <w:p w14:paraId="52A1F73C"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521" w:type="dxa"/>
            <w:shd w:val="clear" w:color="000000" w:fill="00B050"/>
            <w:noWrap/>
            <w:vAlign w:val="center"/>
            <w:hideMark/>
          </w:tcPr>
          <w:p w14:paraId="2A96ACB6"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r>
      <w:tr w:rsidR="00B0196F" w:rsidRPr="00C22BFE" w14:paraId="69777B13" w14:textId="77777777">
        <w:trPr>
          <w:trHeight w:val="340"/>
        </w:trPr>
        <w:tc>
          <w:tcPr>
            <w:tcW w:w="1297" w:type="dxa"/>
            <w:shd w:val="clear" w:color="auto" w:fill="auto"/>
            <w:noWrap/>
            <w:vAlign w:val="center"/>
            <w:hideMark/>
          </w:tcPr>
          <w:p w14:paraId="6EA4F7CD" w14:textId="64B44298" w:rsidR="00B0196F" w:rsidRPr="00C22BFE" w:rsidRDefault="00260B8A">
            <w:pPr>
              <w:jc w:val="center"/>
              <w:rPr>
                <w:rFonts w:cs="Calibri"/>
                <w:color w:val="000000"/>
                <w:sz w:val="18"/>
                <w:szCs w:val="18"/>
              </w:rPr>
            </w:pPr>
            <w:r>
              <w:rPr>
                <w:rFonts w:cs="Calibri"/>
                <w:color w:val="000000"/>
                <w:sz w:val="18"/>
                <w:szCs w:val="18"/>
              </w:rPr>
              <w:t>Timor-Leste</w:t>
            </w:r>
          </w:p>
        </w:tc>
        <w:tc>
          <w:tcPr>
            <w:tcW w:w="1473" w:type="dxa"/>
            <w:shd w:val="clear" w:color="000000" w:fill="FFD966"/>
            <w:vAlign w:val="center"/>
            <w:hideMark/>
          </w:tcPr>
          <w:p w14:paraId="49C3776C" w14:textId="77777777" w:rsidR="00B0196F" w:rsidRPr="00C22BFE" w:rsidRDefault="00B0196F">
            <w:pPr>
              <w:jc w:val="center"/>
              <w:rPr>
                <w:rFonts w:cs="Calibri"/>
                <w:b/>
                <w:bCs/>
                <w:color w:val="000000"/>
                <w:sz w:val="18"/>
                <w:szCs w:val="18"/>
              </w:rPr>
            </w:pPr>
            <w:r w:rsidRPr="00C22BFE">
              <w:rPr>
                <w:rFonts w:cs="Calibri"/>
                <w:b/>
                <w:bCs/>
                <w:color w:val="000000"/>
                <w:sz w:val="18"/>
                <w:szCs w:val="18"/>
              </w:rPr>
              <w:t>Some</w:t>
            </w:r>
          </w:p>
        </w:tc>
        <w:tc>
          <w:tcPr>
            <w:tcW w:w="1689" w:type="dxa"/>
            <w:shd w:val="clear" w:color="000000" w:fill="00B050"/>
            <w:noWrap/>
            <w:vAlign w:val="center"/>
            <w:hideMark/>
          </w:tcPr>
          <w:p w14:paraId="6AC93F20"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1455" w:type="dxa"/>
            <w:shd w:val="clear" w:color="000000" w:fill="00B050"/>
            <w:noWrap/>
            <w:vAlign w:val="center"/>
            <w:hideMark/>
          </w:tcPr>
          <w:p w14:paraId="4587A71C"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738" w:type="dxa"/>
            <w:shd w:val="clear" w:color="000000" w:fill="FFC000"/>
            <w:noWrap/>
            <w:vAlign w:val="center"/>
            <w:hideMark/>
          </w:tcPr>
          <w:p w14:paraId="0022BA03" w14:textId="77777777" w:rsidR="00B0196F" w:rsidRPr="00C22BFE" w:rsidRDefault="00B0196F">
            <w:pPr>
              <w:jc w:val="center"/>
              <w:rPr>
                <w:rFonts w:cs="Calibri"/>
                <w:color w:val="000000"/>
                <w:sz w:val="18"/>
                <w:szCs w:val="18"/>
              </w:rPr>
            </w:pPr>
            <w:r w:rsidRPr="00C22BFE">
              <w:rPr>
                <w:rFonts w:cs="Calibri"/>
                <w:color w:val="000000"/>
                <w:sz w:val="18"/>
                <w:szCs w:val="18"/>
              </w:rPr>
              <w:t>Some</w:t>
            </w:r>
          </w:p>
        </w:tc>
        <w:tc>
          <w:tcPr>
            <w:tcW w:w="2098" w:type="dxa"/>
            <w:shd w:val="clear" w:color="auto" w:fill="auto"/>
            <w:noWrap/>
            <w:vAlign w:val="center"/>
            <w:hideMark/>
          </w:tcPr>
          <w:p w14:paraId="4F46BA97" w14:textId="77777777" w:rsidR="00B0196F" w:rsidRPr="00C22BFE" w:rsidRDefault="00B0196F">
            <w:pPr>
              <w:jc w:val="center"/>
              <w:rPr>
                <w:rFonts w:cs="Calibri"/>
                <w:color w:val="000000"/>
                <w:sz w:val="18"/>
                <w:szCs w:val="18"/>
              </w:rPr>
            </w:pPr>
          </w:p>
        </w:tc>
        <w:tc>
          <w:tcPr>
            <w:tcW w:w="1835" w:type="dxa"/>
            <w:shd w:val="clear" w:color="auto" w:fill="auto"/>
            <w:noWrap/>
            <w:vAlign w:val="center"/>
            <w:hideMark/>
          </w:tcPr>
          <w:p w14:paraId="677100DB" w14:textId="77777777" w:rsidR="00B0196F" w:rsidRPr="00C22BFE" w:rsidRDefault="00B0196F">
            <w:pPr>
              <w:jc w:val="center"/>
              <w:rPr>
                <w:sz w:val="18"/>
                <w:szCs w:val="18"/>
              </w:rPr>
            </w:pPr>
          </w:p>
        </w:tc>
        <w:tc>
          <w:tcPr>
            <w:tcW w:w="2521" w:type="dxa"/>
            <w:shd w:val="clear" w:color="auto" w:fill="auto"/>
            <w:noWrap/>
            <w:vAlign w:val="center"/>
            <w:hideMark/>
          </w:tcPr>
          <w:p w14:paraId="753ABD27" w14:textId="77777777" w:rsidR="00B0196F" w:rsidRPr="00C22BFE" w:rsidRDefault="00B0196F">
            <w:pPr>
              <w:jc w:val="center"/>
              <w:rPr>
                <w:rFonts w:cs="Calibri"/>
                <w:color w:val="000000"/>
                <w:sz w:val="18"/>
                <w:szCs w:val="18"/>
              </w:rPr>
            </w:pPr>
          </w:p>
        </w:tc>
      </w:tr>
      <w:tr w:rsidR="00B0196F" w:rsidRPr="00C22BFE" w14:paraId="33DBB5ED" w14:textId="77777777">
        <w:trPr>
          <w:trHeight w:val="340"/>
        </w:trPr>
        <w:tc>
          <w:tcPr>
            <w:tcW w:w="1297" w:type="dxa"/>
            <w:shd w:val="clear" w:color="auto" w:fill="auto"/>
            <w:noWrap/>
            <w:vAlign w:val="center"/>
            <w:hideMark/>
          </w:tcPr>
          <w:p w14:paraId="27B97620" w14:textId="77777777" w:rsidR="00B0196F" w:rsidRPr="00C22BFE" w:rsidRDefault="00B0196F">
            <w:pPr>
              <w:jc w:val="center"/>
              <w:rPr>
                <w:rFonts w:cs="Calibri"/>
                <w:color w:val="000000"/>
                <w:sz w:val="18"/>
                <w:szCs w:val="18"/>
              </w:rPr>
            </w:pPr>
            <w:r w:rsidRPr="00C22BFE">
              <w:rPr>
                <w:rFonts w:cs="Calibri"/>
                <w:color w:val="000000"/>
                <w:sz w:val="18"/>
                <w:szCs w:val="18"/>
              </w:rPr>
              <w:t>Uganda</w:t>
            </w:r>
          </w:p>
        </w:tc>
        <w:tc>
          <w:tcPr>
            <w:tcW w:w="1473" w:type="dxa"/>
            <w:shd w:val="clear" w:color="000000" w:fill="FBE4D5"/>
            <w:vAlign w:val="center"/>
            <w:hideMark/>
          </w:tcPr>
          <w:p w14:paraId="10F56486" w14:textId="77777777" w:rsidR="00B0196F" w:rsidRPr="00C22BFE" w:rsidRDefault="00B0196F">
            <w:pPr>
              <w:jc w:val="center"/>
              <w:rPr>
                <w:rFonts w:cs="Calibri"/>
                <w:b/>
                <w:bCs/>
                <w:color w:val="000000"/>
                <w:sz w:val="18"/>
                <w:szCs w:val="18"/>
              </w:rPr>
            </w:pPr>
            <w:r w:rsidRPr="00C22BFE">
              <w:rPr>
                <w:rFonts w:cs="Calibri"/>
                <w:b/>
                <w:bCs/>
                <w:color w:val="000000"/>
                <w:sz w:val="18"/>
                <w:szCs w:val="18"/>
              </w:rPr>
              <w:t>Limited</w:t>
            </w:r>
          </w:p>
        </w:tc>
        <w:tc>
          <w:tcPr>
            <w:tcW w:w="1689" w:type="dxa"/>
            <w:shd w:val="clear" w:color="000000" w:fill="00B050"/>
            <w:noWrap/>
            <w:vAlign w:val="center"/>
            <w:hideMark/>
          </w:tcPr>
          <w:p w14:paraId="311E1351"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1455" w:type="dxa"/>
            <w:shd w:val="clear" w:color="auto" w:fill="auto"/>
            <w:noWrap/>
            <w:vAlign w:val="center"/>
            <w:hideMark/>
          </w:tcPr>
          <w:p w14:paraId="69D7CB76" w14:textId="77777777" w:rsidR="00B0196F" w:rsidRPr="00C22BFE" w:rsidRDefault="00B0196F">
            <w:pPr>
              <w:jc w:val="center"/>
              <w:rPr>
                <w:rFonts w:cs="Calibri"/>
                <w:color w:val="000000"/>
                <w:sz w:val="18"/>
                <w:szCs w:val="18"/>
              </w:rPr>
            </w:pPr>
          </w:p>
        </w:tc>
        <w:tc>
          <w:tcPr>
            <w:tcW w:w="2738" w:type="dxa"/>
            <w:shd w:val="clear" w:color="auto" w:fill="auto"/>
            <w:noWrap/>
            <w:vAlign w:val="center"/>
            <w:hideMark/>
          </w:tcPr>
          <w:p w14:paraId="16A5612F" w14:textId="77777777" w:rsidR="00B0196F" w:rsidRPr="00C22BFE" w:rsidRDefault="00B0196F">
            <w:pPr>
              <w:jc w:val="center"/>
              <w:rPr>
                <w:sz w:val="18"/>
                <w:szCs w:val="18"/>
              </w:rPr>
            </w:pPr>
          </w:p>
        </w:tc>
        <w:tc>
          <w:tcPr>
            <w:tcW w:w="2098" w:type="dxa"/>
            <w:shd w:val="clear" w:color="000000" w:fill="00B050"/>
            <w:noWrap/>
            <w:vAlign w:val="center"/>
            <w:hideMark/>
          </w:tcPr>
          <w:p w14:paraId="618E1074"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1835" w:type="dxa"/>
            <w:shd w:val="clear" w:color="000000" w:fill="00B050"/>
            <w:noWrap/>
            <w:vAlign w:val="center"/>
            <w:hideMark/>
          </w:tcPr>
          <w:p w14:paraId="221A1DD1"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521" w:type="dxa"/>
            <w:shd w:val="clear" w:color="auto" w:fill="auto"/>
            <w:noWrap/>
            <w:vAlign w:val="center"/>
            <w:hideMark/>
          </w:tcPr>
          <w:p w14:paraId="5EF68F13" w14:textId="77777777" w:rsidR="00B0196F" w:rsidRPr="00C22BFE" w:rsidRDefault="00B0196F">
            <w:pPr>
              <w:jc w:val="center"/>
              <w:rPr>
                <w:rFonts w:cs="Calibri"/>
                <w:color w:val="000000"/>
                <w:sz w:val="18"/>
                <w:szCs w:val="18"/>
              </w:rPr>
            </w:pPr>
          </w:p>
        </w:tc>
      </w:tr>
      <w:tr w:rsidR="00B0196F" w:rsidRPr="00C22BFE" w14:paraId="67E59923" w14:textId="77777777">
        <w:trPr>
          <w:trHeight w:val="340"/>
        </w:trPr>
        <w:tc>
          <w:tcPr>
            <w:tcW w:w="1297" w:type="dxa"/>
            <w:shd w:val="clear" w:color="auto" w:fill="auto"/>
            <w:noWrap/>
            <w:vAlign w:val="center"/>
            <w:hideMark/>
          </w:tcPr>
          <w:p w14:paraId="0EDF1FC4" w14:textId="77777777" w:rsidR="00B0196F" w:rsidRPr="00C22BFE" w:rsidRDefault="00B0196F">
            <w:pPr>
              <w:jc w:val="center"/>
              <w:rPr>
                <w:rFonts w:cs="Calibri"/>
                <w:color w:val="000000"/>
                <w:sz w:val="18"/>
                <w:szCs w:val="18"/>
              </w:rPr>
            </w:pPr>
            <w:r w:rsidRPr="00C22BFE">
              <w:rPr>
                <w:rFonts w:cs="Calibri"/>
                <w:color w:val="000000"/>
                <w:sz w:val="18"/>
                <w:szCs w:val="18"/>
              </w:rPr>
              <w:t>Zambia</w:t>
            </w:r>
          </w:p>
        </w:tc>
        <w:tc>
          <w:tcPr>
            <w:tcW w:w="1473" w:type="dxa"/>
            <w:shd w:val="clear" w:color="000000" w:fill="FBE4D5"/>
            <w:vAlign w:val="center"/>
            <w:hideMark/>
          </w:tcPr>
          <w:p w14:paraId="20D24D70" w14:textId="77777777" w:rsidR="00B0196F" w:rsidRPr="00C22BFE" w:rsidRDefault="00B0196F">
            <w:pPr>
              <w:jc w:val="center"/>
              <w:rPr>
                <w:rFonts w:cs="Calibri"/>
                <w:b/>
                <w:bCs/>
                <w:color w:val="000000"/>
                <w:sz w:val="18"/>
                <w:szCs w:val="18"/>
              </w:rPr>
            </w:pPr>
            <w:r w:rsidRPr="00C22BFE">
              <w:rPr>
                <w:rFonts w:cs="Calibri"/>
                <w:b/>
                <w:bCs/>
                <w:color w:val="000000"/>
                <w:sz w:val="18"/>
                <w:szCs w:val="18"/>
              </w:rPr>
              <w:t>Limited</w:t>
            </w:r>
          </w:p>
        </w:tc>
        <w:tc>
          <w:tcPr>
            <w:tcW w:w="1689" w:type="dxa"/>
            <w:shd w:val="clear" w:color="000000" w:fill="92D050"/>
            <w:noWrap/>
            <w:vAlign w:val="center"/>
            <w:hideMark/>
          </w:tcPr>
          <w:p w14:paraId="3EF1941C"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1455" w:type="dxa"/>
            <w:shd w:val="clear" w:color="000000" w:fill="00B050"/>
            <w:noWrap/>
            <w:vAlign w:val="center"/>
            <w:hideMark/>
          </w:tcPr>
          <w:p w14:paraId="54CBC884"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738" w:type="dxa"/>
            <w:shd w:val="clear" w:color="000000" w:fill="92D050"/>
            <w:noWrap/>
            <w:vAlign w:val="center"/>
            <w:hideMark/>
          </w:tcPr>
          <w:p w14:paraId="28D861B2"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2098" w:type="dxa"/>
            <w:shd w:val="clear" w:color="auto" w:fill="auto"/>
            <w:noWrap/>
            <w:vAlign w:val="center"/>
            <w:hideMark/>
          </w:tcPr>
          <w:p w14:paraId="1028B92B" w14:textId="77777777" w:rsidR="00B0196F" w:rsidRPr="00C22BFE" w:rsidRDefault="00B0196F">
            <w:pPr>
              <w:jc w:val="center"/>
              <w:rPr>
                <w:rFonts w:cs="Calibri"/>
                <w:color w:val="000000"/>
                <w:sz w:val="18"/>
                <w:szCs w:val="18"/>
              </w:rPr>
            </w:pPr>
          </w:p>
        </w:tc>
        <w:tc>
          <w:tcPr>
            <w:tcW w:w="1835" w:type="dxa"/>
            <w:shd w:val="clear" w:color="auto" w:fill="auto"/>
            <w:noWrap/>
            <w:vAlign w:val="center"/>
            <w:hideMark/>
          </w:tcPr>
          <w:p w14:paraId="05544F63" w14:textId="77777777" w:rsidR="00B0196F" w:rsidRPr="00C22BFE" w:rsidRDefault="00B0196F">
            <w:pPr>
              <w:jc w:val="center"/>
              <w:rPr>
                <w:sz w:val="18"/>
                <w:szCs w:val="18"/>
              </w:rPr>
            </w:pPr>
          </w:p>
        </w:tc>
        <w:tc>
          <w:tcPr>
            <w:tcW w:w="2521" w:type="dxa"/>
            <w:shd w:val="clear" w:color="auto" w:fill="auto"/>
            <w:noWrap/>
            <w:vAlign w:val="center"/>
            <w:hideMark/>
          </w:tcPr>
          <w:p w14:paraId="0E763540" w14:textId="77777777" w:rsidR="00B0196F" w:rsidRPr="00C22BFE" w:rsidRDefault="00B0196F">
            <w:pPr>
              <w:jc w:val="center"/>
              <w:rPr>
                <w:rFonts w:cs="Calibri"/>
                <w:color w:val="000000"/>
                <w:sz w:val="18"/>
                <w:szCs w:val="18"/>
              </w:rPr>
            </w:pPr>
          </w:p>
        </w:tc>
      </w:tr>
      <w:tr w:rsidR="00B0196F" w:rsidRPr="00C22BFE" w14:paraId="7D57F797" w14:textId="77777777">
        <w:trPr>
          <w:trHeight w:val="340"/>
        </w:trPr>
        <w:tc>
          <w:tcPr>
            <w:tcW w:w="1297" w:type="dxa"/>
            <w:shd w:val="clear" w:color="auto" w:fill="auto"/>
            <w:noWrap/>
            <w:vAlign w:val="center"/>
            <w:hideMark/>
          </w:tcPr>
          <w:p w14:paraId="6E30B917" w14:textId="77777777" w:rsidR="00B0196F" w:rsidRPr="00C22BFE" w:rsidRDefault="00B0196F">
            <w:pPr>
              <w:jc w:val="center"/>
              <w:rPr>
                <w:rFonts w:cs="Calibri"/>
                <w:color w:val="000000"/>
                <w:sz w:val="18"/>
                <w:szCs w:val="18"/>
              </w:rPr>
            </w:pPr>
            <w:r w:rsidRPr="00C22BFE">
              <w:rPr>
                <w:rFonts w:cs="Calibri"/>
                <w:color w:val="000000"/>
                <w:sz w:val="18"/>
                <w:szCs w:val="18"/>
              </w:rPr>
              <w:t>Pakistan</w:t>
            </w:r>
          </w:p>
        </w:tc>
        <w:tc>
          <w:tcPr>
            <w:tcW w:w="1473" w:type="dxa"/>
            <w:shd w:val="clear" w:color="000000" w:fill="FFFF00"/>
            <w:vAlign w:val="center"/>
            <w:hideMark/>
          </w:tcPr>
          <w:p w14:paraId="5E399E57" w14:textId="77777777" w:rsidR="00B0196F" w:rsidRPr="00C22BFE" w:rsidRDefault="00B0196F">
            <w:pPr>
              <w:jc w:val="center"/>
              <w:rPr>
                <w:rFonts w:cs="Calibri"/>
                <w:b/>
                <w:bCs/>
                <w:color w:val="000000"/>
                <w:sz w:val="18"/>
                <w:szCs w:val="18"/>
              </w:rPr>
            </w:pPr>
            <w:r w:rsidRPr="00C22BFE">
              <w:rPr>
                <w:rFonts w:cs="Calibri"/>
                <w:b/>
                <w:bCs/>
                <w:color w:val="000000"/>
                <w:sz w:val="18"/>
                <w:szCs w:val="18"/>
              </w:rPr>
              <w:t>Unclear</w:t>
            </w:r>
          </w:p>
        </w:tc>
        <w:tc>
          <w:tcPr>
            <w:tcW w:w="1689" w:type="dxa"/>
            <w:shd w:val="clear" w:color="000000" w:fill="00B050"/>
            <w:noWrap/>
            <w:vAlign w:val="center"/>
            <w:hideMark/>
          </w:tcPr>
          <w:p w14:paraId="637C5A87"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1455" w:type="dxa"/>
            <w:shd w:val="clear" w:color="000000" w:fill="00B050"/>
            <w:noWrap/>
            <w:vAlign w:val="center"/>
            <w:hideMark/>
          </w:tcPr>
          <w:p w14:paraId="34A9CE9A"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738" w:type="dxa"/>
            <w:shd w:val="clear" w:color="000000" w:fill="00B050"/>
            <w:noWrap/>
            <w:vAlign w:val="center"/>
            <w:hideMark/>
          </w:tcPr>
          <w:p w14:paraId="7167B073"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098" w:type="dxa"/>
            <w:shd w:val="clear" w:color="auto" w:fill="auto"/>
            <w:noWrap/>
            <w:vAlign w:val="center"/>
            <w:hideMark/>
          </w:tcPr>
          <w:p w14:paraId="31E9290F" w14:textId="77777777" w:rsidR="00B0196F" w:rsidRPr="00C22BFE" w:rsidRDefault="00B0196F">
            <w:pPr>
              <w:jc w:val="center"/>
              <w:rPr>
                <w:rFonts w:cs="Calibri"/>
                <w:color w:val="000000"/>
                <w:sz w:val="18"/>
                <w:szCs w:val="18"/>
              </w:rPr>
            </w:pPr>
          </w:p>
        </w:tc>
        <w:tc>
          <w:tcPr>
            <w:tcW w:w="1835" w:type="dxa"/>
            <w:shd w:val="clear" w:color="auto" w:fill="auto"/>
            <w:noWrap/>
            <w:vAlign w:val="center"/>
            <w:hideMark/>
          </w:tcPr>
          <w:p w14:paraId="58D8F2E6" w14:textId="77777777" w:rsidR="00B0196F" w:rsidRPr="00C22BFE" w:rsidRDefault="00B0196F">
            <w:pPr>
              <w:jc w:val="center"/>
              <w:rPr>
                <w:sz w:val="18"/>
                <w:szCs w:val="18"/>
              </w:rPr>
            </w:pPr>
          </w:p>
        </w:tc>
        <w:tc>
          <w:tcPr>
            <w:tcW w:w="2521" w:type="dxa"/>
            <w:shd w:val="clear" w:color="auto" w:fill="auto"/>
            <w:noWrap/>
            <w:vAlign w:val="center"/>
            <w:hideMark/>
          </w:tcPr>
          <w:p w14:paraId="15EB4237" w14:textId="77777777" w:rsidR="00B0196F" w:rsidRPr="00C22BFE" w:rsidRDefault="00B0196F">
            <w:pPr>
              <w:jc w:val="center"/>
              <w:rPr>
                <w:rFonts w:cs="Calibri"/>
                <w:color w:val="000000"/>
                <w:sz w:val="18"/>
                <w:szCs w:val="18"/>
              </w:rPr>
            </w:pPr>
          </w:p>
        </w:tc>
      </w:tr>
      <w:tr w:rsidR="00B0196F" w:rsidRPr="00C22BFE" w14:paraId="09B829D3" w14:textId="77777777">
        <w:trPr>
          <w:trHeight w:val="340"/>
        </w:trPr>
        <w:tc>
          <w:tcPr>
            <w:tcW w:w="1297" w:type="dxa"/>
            <w:shd w:val="clear" w:color="auto" w:fill="auto"/>
            <w:noWrap/>
            <w:vAlign w:val="center"/>
            <w:hideMark/>
          </w:tcPr>
          <w:p w14:paraId="32C2643A" w14:textId="77777777" w:rsidR="00B0196F" w:rsidRPr="00C22BFE" w:rsidRDefault="00B0196F">
            <w:pPr>
              <w:jc w:val="center"/>
              <w:rPr>
                <w:rFonts w:cs="Calibri"/>
                <w:color w:val="000000"/>
                <w:sz w:val="18"/>
                <w:szCs w:val="18"/>
              </w:rPr>
            </w:pPr>
            <w:r w:rsidRPr="00C22BFE">
              <w:rPr>
                <w:rFonts w:cs="Calibri"/>
                <w:color w:val="000000"/>
                <w:sz w:val="18"/>
                <w:szCs w:val="18"/>
              </w:rPr>
              <w:t>Nigeria</w:t>
            </w:r>
          </w:p>
        </w:tc>
        <w:tc>
          <w:tcPr>
            <w:tcW w:w="1473" w:type="dxa"/>
            <w:shd w:val="clear" w:color="000000" w:fill="BDD6EE"/>
            <w:vAlign w:val="center"/>
            <w:hideMark/>
          </w:tcPr>
          <w:p w14:paraId="668BCF06" w14:textId="77777777" w:rsidR="00B0196F" w:rsidRPr="00C22BFE" w:rsidRDefault="00B0196F">
            <w:pPr>
              <w:jc w:val="center"/>
              <w:rPr>
                <w:rFonts w:cs="Calibri"/>
                <w:b/>
                <w:bCs/>
                <w:color w:val="000000"/>
                <w:sz w:val="18"/>
                <w:szCs w:val="18"/>
              </w:rPr>
            </w:pPr>
            <w:r w:rsidRPr="00C22BFE">
              <w:rPr>
                <w:rFonts w:cs="Calibri"/>
                <w:b/>
                <w:bCs/>
                <w:color w:val="000000"/>
                <w:sz w:val="18"/>
                <w:szCs w:val="18"/>
              </w:rPr>
              <w:t>None yet</w:t>
            </w:r>
          </w:p>
        </w:tc>
        <w:tc>
          <w:tcPr>
            <w:tcW w:w="1689" w:type="dxa"/>
            <w:shd w:val="clear" w:color="auto" w:fill="auto"/>
            <w:noWrap/>
            <w:vAlign w:val="center"/>
            <w:hideMark/>
          </w:tcPr>
          <w:p w14:paraId="1C91FDBC" w14:textId="77777777" w:rsidR="00B0196F" w:rsidRPr="00C22BFE" w:rsidRDefault="00B0196F">
            <w:pPr>
              <w:jc w:val="center"/>
              <w:rPr>
                <w:rFonts w:cs="Calibri"/>
                <w:b/>
                <w:bCs/>
                <w:color w:val="000000"/>
                <w:sz w:val="18"/>
                <w:szCs w:val="18"/>
              </w:rPr>
            </w:pPr>
          </w:p>
        </w:tc>
        <w:tc>
          <w:tcPr>
            <w:tcW w:w="1455" w:type="dxa"/>
            <w:shd w:val="clear" w:color="auto" w:fill="auto"/>
            <w:noWrap/>
            <w:vAlign w:val="center"/>
            <w:hideMark/>
          </w:tcPr>
          <w:p w14:paraId="27BFE5FF" w14:textId="77777777" w:rsidR="00B0196F" w:rsidRPr="00C22BFE" w:rsidRDefault="00B0196F">
            <w:pPr>
              <w:jc w:val="center"/>
              <w:rPr>
                <w:sz w:val="18"/>
                <w:szCs w:val="18"/>
              </w:rPr>
            </w:pPr>
          </w:p>
        </w:tc>
        <w:tc>
          <w:tcPr>
            <w:tcW w:w="2738" w:type="dxa"/>
            <w:shd w:val="clear" w:color="000000" w:fill="92D050"/>
            <w:noWrap/>
            <w:vAlign w:val="center"/>
            <w:hideMark/>
          </w:tcPr>
          <w:p w14:paraId="07E7332B" w14:textId="77777777" w:rsidR="00B0196F" w:rsidRPr="00C22BFE" w:rsidRDefault="00B0196F">
            <w:pPr>
              <w:jc w:val="center"/>
              <w:rPr>
                <w:rFonts w:cs="Calibri"/>
                <w:color w:val="000000"/>
                <w:sz w:val="18"/>
                <w:szCs w:val="18"/>
              </w:rPr>
            </w:pPr>
            <w:r w:rsidRPr="00C22BFE">
              <w:rPr>
                <w:rFonts w:cs="Calibri"/>
                <w:color w:val="000000"/>
                <w:sz w:val="18"/>
                <w:szCs w:val="18"/>
              </w:rPr>
              <w:t>Important</w:t>
            </w:r>
          </w:p>
        </w:tc>
        <w:tc>
          <w:tcPr>
            <w:tcW w:w="2098" w:type="dxa"/>
            <w:shd w:val="clear" w:color="000000" w:fill="00B050"/>
            <w:noWrap/>
            <w:vAlign w:val="center"/>
            <w:hideMark/>
          </w:tcPr>
          <w:p w14:paraId="4BA2AFB1"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1835" w:type="dxa"/>
            <w:shd w:val="clear" w:color="auto" w:fill="auto"/>
            <w:noWrap/>
            <w:vAlign w:val="center"/>
            <w:hideMark/>
          </w:tcPr>
          <w:p w14:paraId="3B3B068C" w14:textId="77777777" w:rsidR="00B0196F" w:rsidRPr="00C22BFE" w:rsidRDefault="00B0196F">
            <w:pPr>
              <w:jc w:val="center"/>
              <w:rPr>
                <w:rFonts w:cs="Calibri"/>
                <w:color w:val="000000"/>
                <w:sz w:val="18"/>
                <w:szCs w:val="18"/>
              </w:rPr>
            </w:pPr>
          </w:p>
        </w:tc>
        <w:tc>
          <w:tcPr>
            <w:tcW w:w="2521" w:type="dxa"/>
            <w:shd w:val="clear" w:color="000000" w:fill="ED7D31"/>
            <w:noWrap/>
            <w:vAlign w:val="center"/>
            <w:hideMark/>
          </w:tcPr>
          <w:p w14:paraId="6276FC41" w14:textId="77777777" w:rsidR="00B0196F" w:rsidRPr="00C22BFE" w:rsidRDefault="00B0196F">
            <w:pPr>
              <w:jc w:val="center"/>
              <w:rPr>
                <w:rFonts w:cs="Calibri"/>
                <w:color w:val="000000"/>
                <w:sz w:val="18"/>
                <w:szCs w:val="18"/>
              </w:rPr>
            </w:pPr>
            <w:r w:rsidRPr="00C22BFE">
              <w:rPr>
                <w:rFonts w:cs="Calibri"/>
                <w:color w:val="000000"/>
                <w:sz w:val="18"/>
                <w:szCs w:val="18"/>
              </w:rPr>
              <w:t>None</w:t>
            </w:r>
          </w:p>
        </w:tc>
      </w:tr>
      <w:tr w:rsidR="00B0196F" w:rsidRPr="00C22BFE" w14:paraId="1137C8E9" w14:textId="77777777">
        <w:trPr>
          <w:trHeight w:val="340"/>
        </w:trPr>
        <w:tc>
          <w:tcPr>
            <w:tcW w:w="1297" w:type="dxa"/>
            <w:shd w:val="clear" w:color="auto" w:fill="auto"/>
            <w:noWrap/>
            <w:vAlign w:val="center"/>
            <w:hideMark/>
          </w:tcPr>
          <w:p w14:paraId="79293FD1" w14:textId="77777777" w:rsidR="00B0196F" w:rsidRPr="00C22BFE" w:rsidRDefault="00B0196F">
            <w:pPr>
              <w:jc w:val="center"/>
              <w:rPr>
                <w:rFonts w:cs="Calibri"/>
                <w:color w:val="000000"/>
                <w:sz w:val="18"/>
                <w:szCs w:val="18"/>
              </w:rPr>
            </w:pPr>
            <w:r w:rsidRPr="00C22BFE">
              <w:rPr>
                <w:rFonts w:cs="Calibri"/>
                <w:color w:val="000000"/>
                <w:sz w:val="18"/>
                <w:szCs w:val="18"/>
              </w:rPr>
              <w:t>Sierra Leone</w:t>
            </w:r>
          </w:p>
        </w:tc>
        <w:tc>
          <w:tcPr>
            <w:tcW w:w="1473" w:type="dxa"/>
            <w:shd w:val="clear" w:color="000000" w:fill="BDD6EE"/>
            <w:vAlign w:val="center"/>
            <w:hideMark/>
          </w:tcPr>
          <w:p w14:paraId="3E822FA9" w14:textId="77777777" w:rsidR="00B0196F" w:rsidRPr="00C22BFE" w:rsidRDefault="00B0196F">
            <w:pPr>
              <w:jc w:val="center"/>
              <w:rPr>
                <w:rFonts w:cs="Calibri"/>
                <w:b/>
                <w:bCs/>
                <w:color w:val="000000"/>
                <w:sz w:val="18"/>
                <w:szCs w:val="18"/>
              </w:rPr>
            </w:pPr>
            <w:r w:rsidRPr="00C22BFE">
              <w:rPr>
                <w:rFonts w:cs="Calibri"/>
                <w:b/>
                <w:bCs/>
                <w:color w:val="000000"/>
                <w:sz w:val="18"/>
                <w:szCs w:val="18"/>
              </w:rPr>
              <w:t>None yet</w:t>
            </w:r>
          </w:p>
        </w:tc>
        <w:tc>
          <w:tcPr>
            <w:tcW w:w="1689" w:type="dxa"/>
            <w:shd w:val="clear" w:color="auto" w:fill="auto"/>
            <w:noWrap/>
            <w:vAlign w:val="center"/>
            <w:hideMark/>
          </w:tcPr>
          <w:p w14:paraId="236B2E41" w14:textId="77777777" w:rsidR="00B0196F" w:rsidRPr="00C22BFE" w:rsidRDefault="00B0196F">
            <w:pPr>
              <w:jc w:val="center"/>
              <w:rPr>
                <w:rFonts w:cs="Calibri"/>
                <w:b/>
                <w:bCs/>
                <w:color w:val="000000"/>
                <w:sz w:val="18"/>
                <w:szCs w:val="18"/>
              </w:rPr>
            </w:pPr>
          </w:p>
        </w:tc>
        <w:tc>
          <w:tcPr>
            <w:tcW w:w="1455" w:type="dxa"/>
            <w:shd w:val="clear" w:color="auto" w:fill="auto"/>
            <w:noWrap/>
            <w:vAlign w:val="center"/>
            <w:hideMark/>
          </w:tcPr>
          <w:p w14:paraId="61DA2E81" w14:textId="77777777" w:rsidR="00B0196F" w:rsidRPr="00C22BFE" w:rsidRDefault="00B0196F">
            <w:pPr>
              <w:jc w:val="center"/>
              <w:rPr>
                <w:sz w:val="18"/>
                <w:szCs w:val="18"/>
              </w:rPr>
            </w:pPr>
          </w:p>
        </w:tc>
        <w:tc>
          <w:tcPr>
            <w:tcW w:w="2738" w:type="dxa"/>
            <w:shd w:val="clear" w:color="000000" w:fill="00B050"/>
            <w:noWrap/>
            <w:vAlign w:val="center"/>
            <w:hideMark/>
          </w:tcPr>
          <w:p w14:paraId="0A37023A"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c>
          <w:tcPr>
            <w:tcW w:w="2098" w:type="dxa"/>
            <w:shd w:val="clear" w:color="auto" w:fill="auto"/>
            <w:noWrap/>
            <w:vAlign w:val="center"/>
            <w:hideMark/>
          </w:tcPr>
          <w:p w14:paraId="7B5D2C1B" w14:textId="77777777" w:rsidR="00B0196F" w:rsidRPr="00C22BFE" w:rsidRDefault="00B0196F">
            <w:pPr>
              <w:jc w:val="center"/>
              <w:rPr>
                <w:rFonts w:cs="Calibri"/>
                <w:color w:val="000000"/>
                <w:sz w:val="18"/>
                <w:szCs w:val="18"/>
              </w:rPr>
            </w:pPr>
          </w:p>
        </w:tc>
        <w:tc>
          <w:tcPr>
            <w:tcW w:w="1835" w:type="dxa"/>
            <w:shd w:val="clear" w:color="000000" w:fill="ED7D31"/>
            <w:noWrap/>
            <w:vAlign w:val="center"/>
            <w:hideMark/>
          </w:tcPr>
          <w:p w14:paraId="4071FB20" w14:textId="77777777" w:rsidR="00B0196F" w:rsidRPr="00C22BFE" w:rsidRDefault="00B0196F">
            <w:pPr>
              <w:jc w:val="center"/>
              <w:rPr>
                <w:rFonts w:cs="Calibri"/>
                <w:color w:val="000000"/>
                <w:sz w:val="18"/>
                <w:szCs w:val="18"/>
              </w:rPr>
            </w:pPr>
            <w:r w:rsidRPr="00C22BFE">
              <w:rPr>
                <w:rFonts w:cs="Calibri"/>
                <w:color w:val="000000"/>
                <w:sz w:val="18"/>
                <w:szCs w:val="18"/>
              </w:rPr>
              <w:t>None</w:t>
            </w:r>
          </w:p>
        </w:tc>
        <w:tc>
          <w:tcPr>
            <w:tcW w:w="2521" w:type="dxa"/>
            <w:shd w:val="clear" w:color="000000" w:fill="00B050"/>
            <w:noWrap/>
            <w:vAlign w:val="center"/>
            <w:hideMark/>
          </w:tcPr>
          <w:p w14:paraId="6FBBC314" w14:textId="77777777" w:rsidR="00B0196F" w:rsidRPr="00C22BFE" w:rsidRDefault="00B0196F">
            <w:pPr>
              <w:jc w:val="center"/>
              <w:rPr>
                <w:rFonts w:cs="Calibri"/>
                <w:color w:val="000000"/>
                <w:sz w:val="18"/>
                <w:szCs w:val="18"/>
              </w:rPr>
            </w:pPr>
            <w:r w:rsidRPr="00C22BFE">
              <w:rPr>
                <w:rFonts w:cs="Calibri"/>
                <w:color w:val="000000"/>
                <w:sz w:val="18"/>
                <w:szCs w:val="18"/>
              </w:rPr>
              <w:t>Vital</w:t>
            </w:r>
          </w:p>
        </w:tc>
      </w:tr>
    </w:tbl>
    <w:p w14:paraId="242342D3" w14:textId="77777777" w:rsidR="00B0196F" w:rsidRDefault="00B0196F" w:rsidP="00B0196F"/>
    <w:p w14:paraId="77C76A9F" w14:textId="77777777" w:rsidR="00B0196F" w:rsidRDefault="00B0196F" w:rsidP="00B0196F">
      <w:r>
        <w:br w:type="page"/>
      </w:r>
    </w:p>
    <w:p w14:paraId="38524B06" w14:textId="5225EDC1" w:rsidR="00B0196F" w:rsidRPr="00B3660F" w:rsidRDefault="00B0196F" w:rsidP="007F63EF">
      <w:pPr>
        <w:pStyle w:val="ItadH3"/>
        <w:keepNext/>
        <w:rPr>
          <w:b w:val="0"/>
          <w:bCs w:val="0"/>
          <w:lang w:val="en-GB"/>
        </w:rPr>
      </w:pPr>
      <w:bookmarkStart w:id="450" w:name="_Toc142383236"/>
      <w:r w:rsidRPr="007F63EF">
        <w:rPr>
          <w:lang w:val="en-GB"/>
        </w:rPr>
        <w:t xml:space="preserve">C2b </w:t>
      </w:r>
      <w:r w:rsidR="00DA63C1" w:rsidRPr="007F63EF">
        <w:rPr>
          <w:lang w:val="en-GB"/>
        </w:rPr>
        <w:t xml:space="preserve">Changes in </w:t>
      </w:r>
      <w:r w:rsidRPr="007F63EF">
        <w:rPr>
          <w:lang w:val="en-GB"/>
        </w:rPr>
        <w:t>quality of AH AMR data</w:t>
      </w:r>
      <w:bookmarkEnd w:id="450"/>
      <w:r w:rsidRPr="007F63EF">
        <w:rPr>
          <w:lang w:val="en-GB"/>
        </w:rPr>
        <w:t xml:space="preserve"> </w:t>
      </w: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370"/>
        <w:gridCol w:w="2108"/>
        <w:gridCol w:w="1701"/>
        <w:gridCol w:w="1695"/>
        <w:gridCol w:w="2270"/>
        <w:gridCol w:w="1645"/>
        <w:gridCol w:w="2044"/>
      </w:tblGrid>
      <w:tr w:rsidR="00DA63C1" w:rsidRPr="00E762A7" w14:paraId="603C3EAB" w14:textId="77777777" w:rsidTr="00DA63C1">
        <w:trPr>
          <w:trHeight w:val="680"/>
        </w:trPr>
        <w:tc>
          <w:tcPr>
            <w:tcW w:w="1337" w:type="dxa"/>
            <w:shd w:val="clear" w:color="auto" w:fill="96C286" w:themeFill="text2" w:themeFillTint="99"/>
            <w:vAlign w:val="center"/>
            <w:hideMark/>
          </w:tcPr>
          <w:p w14:paraId="4815095C" w14:textId="77777777" w:rsidR="00B0196F" w:rsidRPr="00E762A7" w:rsidRDefault="00B0196F">
            <w:pPr>
              <w:jc w:val="center"/>
              <w:rPr>
                <w:rFonts w:asciiTheme="minorHAnsi" w:hAnsiTheme="minorHAnsi" w:cstheme="minorHAnsi"/>
                <w:b/>
                <w:bCs/>
                <w:color w:val="000000"/>
              </w:rPr>
            </w:pPr>
            <w:r w:rsidRPr="00E762A7">
              <w:rPr>
                <w:rFonts w:asciiTheme="minorHAnsi" w:hAnsiTheme="minorHAnsi" w:cstheme="minorHAnsi"/>
                <w:b/>
                <w:bCs/>
                <w:color w:val="000000"/>
              </w:rPr>
              <w:t>Countries</w:t>
            </w:r>
          </w:p>
        </w:tc>
        <w:tc>
          <w:tcPr>
            <w:tcW w:w="1370" w:type="dxa"/>
            <w:shd w:val="clear" w:color="auto" w:fill="96C286" w:themeFill="text2" w:themeFillTint="99"/>
            <w:vAlign w:val="center"/>
            <w:hideMark/>
          </w:tcPr>
          <w:p w14:paraId="6A14E2A4" w14:textId="666A6551" w:rsidR="00B0196F" w:rsidRPr="00E762A7" w:rsidRDefault="00B0196F">
            <w:pPr>
              <w:jc w:val="center"/>
              <w:rPr>
                <w:rFonts w:asciiTheme="minorHAnsi" w:hAnsiTheme="minorHAnsi" w:cstheme="minorHAnsi"/>
                <w:b/>
                <w:bCs/>
                <w:color w:val="000000"/>
              </w:rPr>
            </w:pPr>
            <w:r w:rsidRPr="00E762A7">
              <w:rPr>
                <w:rFonts w:asciiTheme="minorHAnsi" w:hAnsiTheme="minorHAnsi" w:cstheme="minorHAnsi"/>
                <w:b/>
                <w:bCs/>
                <w:color w:val="000000"/>
              </w:rPr>
              <w:t>Ext</w:t>
            </w:r>
            <w:r w:rsidR="002D678B">
              <w:rPr>
                <w:rFonts w:asciiTheme="minorHAnsi" w:hAnsiTheme="minorHAnsi" w:cstheme="minorHAnsi"/>
                <w:b/>
                <w:bCs/>
                <w:color w:val="000000"/>
              </w:rPr>
              <w:t>ent</w:t>
            </w:r>
            <w:r w:rsidRPr="00E762A7">
              <w:rPr>
                <w:rFonts w:asciiTheme="minorHAnsi" w:hAnsiTheme="minorHAnsi" w:cstheme="minorHAnsi"/>
                <w:b/>
                <w:bCs/>
                <w:color w:val="000000"/>
              </w:rPr>
              <w:t xml:space="preserve"> of change</w:t>
            </w:r>
          </w:p>
        </w:tc>
        <w:tc>
          <w:tcPr>
            <w:tcW w:w="2108" w:type="dxa"/>
            <w:shd w:val="clear" w:color="auto" w:fill="96C286" w:themeFill="text2" w:themeFillTint="99"/>
            <w:vAlign w:val="center"/>
            <w:hideMark/>
          </w:tcPr>
          <w:p w14:paraId="3E478DB6" w14:textId="77777777" w:rsidR="00B0196F" w:rsidRPr="00E762A7" w:rsidRDefault="00B0196F">
            <w:pPr>
              <w:jc w:val="center"/>
              <w:rPr>
                <w:rFonts w:asciiTheme="minorHAnsi" w:hAnsiTheme="minorHAnsi" w:cstheme="minorHAnsi"/>
                <w:b/>
                <w:bCs/>
                <w:color w:val="000000"/>
              </w:rPr>
            </w:pPr>
            <w:r w:rsidRPr="00E762A7">
              <w:rPr>
                <w:rFonts w:asciiTheme="minorHAnsi" w:hAnsiTheme="minorHAnsi" w:cstheme="minorHAnsi"/>
                <w:b/>
                <w:bCs/>
                <w:color w:val="000000"/>
              </w:rPr>
              <w:t>Human capacity</w:t>
            </w:r>
          </w:p>
        </w:tc>
        <w:tc>
          <w:tcPr>
            <w:tcW w:w="1701" w:type="dxa"/>
            <w:shd w:val="clear" w:color="auto" w:fill="96C286" w:themeFill="text2" w:themeFillTint="99"/>
            <w:vAlign w:val="center"/>
            <w:hideMark/>
          </w:tcPr>
          <w:p w14:paraId="5A145AAE" w14:textId="77777777" w:rsidR="00B0196F" w:rsidRPr="00E762A7" w:rsidRDefault="00B0196F">
            <w:pPr>
              <w:jc w:val="center"/>
              <w:rPr>
                <w:rFonts w:asciiTheme="minorHAnsi" w:hAnsiTheme="minorHAnsi" w:cstheme="minorHAnsi"/>
                <w:b/>
                <w:bCs/>
                <w:color w:val="000000"/>
              </w:rPr>
            </w:pPr>
            <w:r w:rsidRPr="00E762A7">
              <w:rPr>
                <w:rFonts w:asciiTheme="minorHAnsi" w:hAnsiTheme="minorHAnsi" w:cstheme="minorHAnsi"/>
                <w:b/>
                <w:bCs/>
                <w:color w:val="000000"/>
              </w:rPr>
              <w:t>Renovation &amp; Equipment</w:t>
            </w:r>
          </w:p>
        </w:tc>
        <w:tc>
          <w:tcPr>
            <w:tcW w:w="1695" w:type="dxa"/>
            <w:shd w:val="clear" w:color="auto" w:fill="96C286" w:themeFill="text2" w:themeFillTint="99"/>
            <w:vAlign w:val="center"/>
            <w:hideMark/>
          </w:tcPr>
          <w:p w14:paraId="59E79DB3" w14:textId="77777777" w:rsidR="00B0196F" w:rsidRPr="00E762A7" w:rsidRDefault="00B0196F">
            <w:pPr>
              <w:jc w:val="center"/>
              <w:rPr>
                <w:rFonts w:asciiTheme="minorHAnsi" w:hAnsiTheme="minorHAnsi" w:cstheme="minorHAnsi"/>
                <w:b/>
                <w:bCs/>
                <w:color w:val="000000"/>
              </w:rPr>
            </w:pPr>
            <w:r w:rsidRPr="00E762A7">
              <w:rPr>
                <w:rFonts w:asciiTheme="minorHAnsi" w:hAnsiTheme="minorHAnsi" w:cstheme="minorHAnsi"/>
                <w:b/>
                <w:bCs/>
                <w:color w:val="000000"/>
              </w:rPr>
              <w:t>SOPs</w:t>
            </w:r>
          </w:p>
        </w:tc>
        <w:tc>
          <w:tcPr>
            <w:tcW w:w="2270" w:type="dxa"/>
            <w:shd w:val="clear" w:color="auto" w:fill="96C286" w:themeFill="text2" w:themeFillTint="99"/>
            <w:vAlign w:val="center"/>
            <w:hideMark/>
          </w:tcPr>
          <w:p w14:paraId="2599C9B9" w14:textId="77777777" w:rsidR="00B0196F" w:rsidRPr="00E762A7" w:rsidRDefault="00B0196F">
            <w:pPr>
              <w:jc w:val="center"/>
              <w:rPr>
                <w:rFonts w:asciiTheme="minorHAnsi" w:hAnsiTheme="minorHAnsi" w:cstheme="minorHAnsi"/>
                <w:b/>
                <w:bCs/>
                <w:color w:val="000000"/>
              </w:rPr>
            </w:pPr>
            <w:r w:rsidRPr="00E762A7">
              <w:rPr>
                <w:rFonts w:asciiTheme="minorHAnsi" w:hAnsiTheme="minorHAnsi" w:cstheme="minorHAnsi"/>
                <w:b/>
                <w:bCs/>
                <w:color w:val="000000"/>
              </w:rPr>
              <w:t>Governance</w:t>
            </w:r>
          </w:p>
        </w:tc>
        <w:tc>
          <w:tcPr>
            <w:tcW w:w="1645" w:type="dxa"/>
            <w:shd w:val="clear" w:color="auto" w:fill="96C286" w:themeFill="text2" w:themeFillTint="99"/>
            <w:vAlign w:val="center"/>
            <w:hideMark/>
          </w:tcPr>
          <w:p w14:paraId="17DC950D" w14:textId="77777777" w:rsidR="00B0196F" w:rsidRPr="00E762A7" w:rsidRDefault="00B0196F">
            <w:pPr>
              <w:jc w:val="center"/>
              <w:rPr>
                <w:rFonts w:asciiTheme="minorHAnsi" w:hAnsiTheme="minorHAnsi" w:cstheme="minorHAnsi"/>
                <w:b/>
                <w:bCs/>
                <w:color w:val="000000"/>
              </w:rPr>
            </w:pPr>
            <w:r w:rsidRPr="00E762A7">
              <w:rPr>
                <w:rFonts w:asciiTheme="minorHAnsi" w:hAnsiTheme="minorHAnsi" w:cstheme="minorHAnsi"/>
                <w:b/>
                <w:bCs/>
                <w:color w:val="000000"/>
              </w:rPr>
              <w:t>QA</w:t>
            </w:r>
          </w:p>
        </w:tc>
        <w:tc>
          <w:tcPr>
            <w:tcW w:w="2044" w:type="dxa"/>
            <w:shd w:val="clear" w:color="auto" w:fill="96C286" w:themeFill="text2" w:themeFillTint="99"/>
            <w:noWrap/>
            <w:vAlign w:val="center"/>
            <w:hideMark/>
          </w:tcPr>
          <w:p w14:paraId="044EDB35" w14:textId="77777777" w:rsidR="00B0196F" w:rsidRPr="00E762A7" w:rsidRDefault="00B0196F">
            <w:pPr>
              <w:jc w:val="center"/>
              <w:rPr>
                <w:rFonts w:asciiTheme="minorHAnsi" w:hAnsiTheme="minorHAnsi" w:cstheme="minorHAnsi"/>
                <w:b/>
                <w:bCs/>
                <w:color w:val="000000"/>
              </w:rPr>
            </w:pPr>
            <w:r w:rsidRPr="00E762A7">
              <w:rPr>
                <w:rFonts w:asciiTheme="minorHAnsi" w:hAnsiTheme="minorHAnsi" w:cstheme="minorHAnsi"/>
                <w:b/>
                <w:bCs/>
                <w:color w:val="000000"/>
              </w:rPr>
              <w:t>Other</w:t>
            </w:r>
          </w:p>
        </w:tc>
      </w:tr>
      <w:tr w:rsidR="00B0196F" w:rsidRPr="00E762A7" w14:paraId="20E6BB95" w14:textId="77777777">
        <w:trPr>
          <w:trHeight w:val="1035"/>
        </w:trPr>
        <w:tc>
          <w:tcPr>
            <w:tcW w:w="1337" w:type="dxa"/>
            <w:shd w:val="clear" w:color="auto" w:fill="auto"/>
            <w:noWrap/>
            <w:vAlign w:val="center"/>
            <w:hideMark/>
          </w:tcPr>
          <w:p w14:paraId="023D0BBA" w14:textId="77777777" w:rsidR="00B0196F" w:rsidRPr="00E762A7" w:rsidRDefault="00B0196F">
            <w:pPr>
              <w:jc w:val="center"/>
              <w:rPr>
                <w:rFonts w:asciiTheme="minorHAnsi" w:hAnsiTheme="minorHAnsi" w:cstheme="minorHAnsi"/>
                <w:b/>
                <w:bCs/>
                <w:color w:val="000000"/>
                <w:sz w:val="18"/>
                <w:szCs w:val="18"/>
              </w:rPr>
            </w:pPr>
          </w:p>
        </w:tc>
        <w:tc>
          <w:tcPr>
            <w:tcW w:w="1370" w:type="dxa"/>
            <w:shd w:val="clear" w:color="auto" w:fill="auto"/>
            <w:noWrap/>
            <w:vAlign w:val="center"/>
            <w:hideMark/>
          </w:tcPr>
          <w:p w14:paraId="7AF79DBB" w14:textId="77777777" w:rsidR="00B0196F" w:rsidRPr="00E762A7" w:rsidRDefault="00B0196F">
            <w:pPr>
              <w:jc w:val="center"/>
              <w:rPr>
                <w:rFonts w:asciiTheme="minorHAnsi" w:hAnsiTheme="minorHAnsi" w:cstheme="minorHAnsi"/>
                <w:sz w:val="18"/>
                <w:szCs w:val="18"/>
              </w:rPr>
            </w:pPr>
          </w:p>
        </w:tc>
        <w:tc>
          <w:tcPr>
            <w:tcW w:w="2108" w:type="dxa"/>
            <w:shd w:val="clear" w:color="auto" w:fill="auto"/>
            <w:vAlign w:val="center"/>
            <w:hideMark/>
          </w:tcPr>
          <w:p w14:paraId="086B13DD" w14:textId="5B0E7ACF" w:rsidR="00B0196F" w:rsidRPr="00E762A7" w:rsidRDefault="00B0196F">
            <w:pPr>
              <w:jc w:val="center"/>
              <w:rPr>
                <w:rFonts w:asciiTheme="minorHAnsi" w:hAnsiTheme="minorHAnsi" w:cstheme="minorHAnsi"/>
                <w:i/>
                <w:iCs/>
                <w:color w:val="000000"/>
                <w:sz w:val="18"/>
                <w:szCs w:val="18"/>
              </w:rPr>
            </w:pPr>
            <w:r w:rsidRPr="00E762A7">
              <w:rPr>
                <w:rFonts w:asciiTheme="minorHAnsi" w:hAnsiTheme="minorHAnsi" w:cstheme="minorHAnsi"/>
                <w:i/>
                <w:iCs/>
                <w:color w:val="000000"/>
                <w:sz w:val="18"/>
                <w:szCs w:val="18"/>
              </w:rPr>
              <w:t xml:space="preserve">Availability of well-trained </w:t>
            </w:r>
            <w:r w:rsidR="00F25C0E">
              <w:rPr>
                <w:rFonts w:asciiTheme="minorHAnsi" w:hAnsiTheme="minorHAnsi" w:cstheme="minorHAnsi"/>
                <w:i/>
                <w:iCs/>
                <w:color w:val="000000"/>
                <w:sz w:val="18"/>
                <w:szCs w:val="18"/>
              </w:rPr>
              <w:t xml:space="preserve">laboratory </w:t>
            </w:r>
            <w:r w:rsidRPr="00E762A7">
              <w:rPr>
                <w:rFonts w:asciiTheme="minorHAnsi" w:hAnsiTheme="minorHAnsi" w:cstheme="minorHAnsi"/>
                <w:i/>
                <w:iCs/>
                <w:color w:val="000000"/>
                <w:sz w:val="18"/>
                <w:szCs w:val="18"/>
              </w:rPr>
              <w:t>staff at all levels</w:t>
            </w:r>
          </w:p>
        </w:tc>
        <w:tc>
          <w:tcPr>
            <w:tcW w:w="1701" w:type="dxa"/>
            <w:shd w:val="clear" w:color="auto" w:fill="auto"/>
            <w:vAlign w:val="center"/>
            <w:hideMark/>
          </w:tcPr>
          <w:p w14:paraId="0EE5B252" w14:textId="3420206E" w:rsidR="00B0196F" w:rsidRPr="00E762A7" w:rsidRDefault="00B0196F">
            <w:pPr>
              <w:jc w:val="center"/>
              <w:rPr>
                <w:rFonts w:asciiTheme="minorHAnsi" w:hAnsiTheme="minorHAnsi" w:cstheme="minorHAnsi"/>
                <w:i/>
                <w:iCs/>
                <w:color w:val="000000"/>
                <w:sz w:val="18"/>
                <w:szCs w:val="18"/>
              </w:rPr>
            </w:pPr>
            <w:r w:rsidRPr="00E762A7">
              <w:rPr>
                <w:rFonts w:asciiTheme="minorHAnsi" w:hAnsiTheme="minorHAnsi" w:cstheme="minorHAnsi"/>
                <w:i/>
                <w:iCs/>
                <w:color w:val="000000"/>
                <w:sz w:val="18"/>
                <w:szCs w:val="18"/>
              </w:rPr>
              <w:t>Appropriate spaces and equipment to perform microbiology/AST tests</w:t>
            </w:r>
          </w:p>
        </w:tc>
        <w:tc>
          <w:tcPr>
            <w:tcW w:w="1695" w:type="dxa"/>
            <w:shd w:val="clear" w:color="auto" w:fill="auto"/>
            <w:vAlign w:val="center"/>
            <w:hideMark/>
          </w:tcPr>
          <w:p w14:paraId="1CF6ADA3" w14:textId="77777777" w:rsidR="00B0196F" w:rsidRPr="00E762A7" w:rsidRDefault="00B0196F">
            <w:pPr>
              <w:jc w:val="center"/>
              <w:rPr>
                <w:rFonts w:asciiTheme="minorHAnsi" w:hAnsiTheme="minorHAnsi" w:cstheme="minorHAnsi"/>
                <w:i/>
                <w:iCs/>
                <w:color w:val="000000"/>
                <w:sz w:val="18"/>
                <w:szCs w:val="18"/>
              </w:rPr>
            </w:pPr>
            <w:r w:rsidRPr="00E762A7">
              <w:rPr>
                <w:rFonts w:asciiTheme="minorHAnsi" w:hAnsiTheme="minorHAnsi" w:cstheme="minorHAnsi"/>
                <w:i/>
                <w:iCs/>
                <w:color w:val="000000"/>
                <w:sz w:val="18"/>
                <w:szCs w:val="18"/>
              </w:rPr>
              <w:t>Presence of appropriate and up-to-date SOPs</w:t>
            </w:r>
          </w:p>
        </w:tc>
        <w:tc>
          <w:tcPr>
            <w:tcW w:w="2270" w:type="dxa"/>
            <w:shd w:val="clear" w:color="auto" w:fill="auto"/>
            <w:vAlign w:val="center"/>
            <w:hideMark/>
          </w:tcPr>
          <w:p w14:paraId="3E700262" w14:textId="77777777" w:rsidR="00B0196F" w:rsidRPr="00E762A7" w:rsidRDefault="00B0196F">
            <w:pPr>
              <w:jc w:val="center"/>
              <w:rPr>
                <w:rFonts w:asciiTheme="minorHAnsi" w:hAnsiTheme="minorHAnsi" w:cstheme="minorHAnsi"/>
                <w:i/>
                <w:iCs/>
                <w:color w:val="000000"/>
                <w:sz w:val="18"/>
                <w:szCs w:val="18"/>
              </w:rPr>
            </w:pPr>
            <w:r w:rsidRPr="00E762A7">
              <w:rPr>
                <w:rFonts w:asciiTheme="minorHAnsi" w:hAnsiTheme="minorHAnsi" w:cstheme="minorHAnsi"/>
                <w:i/>
                <w:iCs/>
                <w:color w:val="000000"/>
                <w:sz w:val="18"/>
                <w:szCs w:val="18"/>
              </w:rPr>
              <w:t>Effective oversight, coalition-building, regulation, attention to system-design and accountability</w:t>
            </w:r>
          </w:p>
        </w:tc>
        <w:tc>
          <w:tcPr>
            <w:tcW w:w="1645" w:type="dxa"/>
            <w:shd w:val="clear" w:color="auto" w:fill="auto"/>
            <w:vAlign w:val="center"/>
            <w:hideMark/>
          </w:tcPr>
          <w:p w14:paraId="6A183DF8" w14:textId="77777777" w:rsidR="00B0196F" w:rsidRPr="00E762A7" w:rsidRDefault="00B0196F">
            <w:pPr>
              <w:jc w:val="center"/>
              <w:rPr>
                <w:rFonts w:asciiTheme="minorHAnsi" w:hAnsiTheme="minorHAnsi" w:cstheme="minorHAnsi"/>
                <w:i/>
                <w:iCs/>
                <w:color w:val="000000"/>
                <w:sz w:val="18"/>
                <w:szCs w:val="18"/>
              </w:rPr>
            </w:pPr>
            <w:r w:rsidRPr="00E762A7">
              <w:rPr>
                <w:rFonts w:asciiTheme="minorHAnsi" w:hAnsiTheme="minorHAnsi" w:cstheme="minorHAnsi"/>
                <w:i/>
                <w:iCs/>
                <w:color w:val="000000"/>
                <w:sz w:val="18"/>
                <w:szCs w:val="18"/>
              </w:rPr>
              <w:t>Presence of appropriate internal and/or external QA systems/processes</w:t>
            </w:r>
          </w:p>
        </w:tc>
        <w:tc>
          <w:tcPr>
            <w:tcW w:w="2044" w:type="dxa"/>
            <w:shd w:val="clear" w:color="auto" w:fill="auto"/>
            <w:vAlign w:val="center"/>
            <w:hideMark/>
          </w:tcPr>
          <w:p w14:paraId="3F0E412A" w14:textId="77777777" w:rsidR="00B0196F" w:rsidRPr="00E762A7" w:rsidRDefault="00B0196F">
            <w:pPr>
              <w:jc w:val="center"/>
              <w:rPr>
                <w:rFonts w:asciiTheme="minorHAnsi" w:hAnsiTheme="minorHAnsi" w:cstheme="minorHAnsi"/>
                <w:i/>
                <w:iCs/>
                <w:color w:val="000000"/>
                <w:sz w:val="18"/>
                <w:szCs w:val="18"/>
              </w:rPr>
            </w:pPr>
            <w:r w:rsidRPr="00E762A7">
              <w:rPr>
                <w:rFonts w:asciiTheme="minorHAnsi" w:hAnsiTheme="minorHAnsi" w:cstheme="minorHAnsi"/>
                <w:i/>
                <w:iCs/>
                <w:color w:val="000000"/>
                <w:sz w:val="18"/>
                <w:szCs w:val="18"/>
              </w:rPr>
              <w:t>Consumable, staff motivation, appropriate supervision , transportation, situation analysis</w:t>
            </w:r>
          </w:p>
        </w:tc>
      </w:tr>
      <w:tr w:rsidR="00B0196F" w:rsidRPr="00E762A7" w14:paraId="69B7494D" w14:textId="77777777">
        <w:trPr>
          <w:trHeight w:val="320"/>
        </w:trPr>
        <w:tc>
          <w:tcPr>
            <w:tcW w:w="1337" w:type="dxa"/>
            <w:shd w:val="clear" w:color="auto" w:fill="auto"/>
            <w:noWrap/>
            <w:vAlign w:val="center"/>
            <w:hideMark/>
          </w:tcPr>
          <w:p w14:paraId="4EB6F601"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Bhutan</w:t>
            </w:r>
          </w:p>
        </w:tc>
        <w:tc>
          <w:tcPr>
            <w:tcW w:w="1370" w:type="dxa"/>
            <w:shd w:val="clear" w:color="000000" w:fill="BF8F00"/>
            <w:vAlign w:val="center"/>
            <w:hideMark/>
          </w:tcPr>
          <w:p w14:paraId="5C086B03"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Considerable</w:t>
            </w:r>
          </w:p>
        </w:tc>
        <w:tc>
          <w:tcPr>
            <w:tcW w:w="2108" w:type="dxa"/>
            <w:shd w:val="clear" w:color="000000" w:fill="00B050"/>
            <w:noWrap/>
            <w:vAlign w:val="center"/>
            <w:hideMark/>
          </w:tcPr>
          <w:p w14:paraId="49FE4C73"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701" w:type="dxa"/>
            <w:shd w:val="clear" w:color="000000" w:fill="00B050"/>
            <w:noWrap/>
            <w:vAlign w:val="center"/>
            <w:hideMark/>
          </w:tcPr>
          <w:p w14:paraId="3BC7A302"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695" w:type="dxa"/>
            <w:shd w:val="clear" w:color="auto" w:fill="auto"/>
            <w:noWrap/>
            <w:vAlign w:val="center"/>
            <w:hideMark/>
          </w:tcPr>
          <w:p w14:paraId="74C54549" w14:textId="77777777" w:rsidR="00B0196F" w:rsidRPr="00E762A7" w:rsidRDefault="00B0196F">
            <w:pPr>
              <w:jc w:val="center"/>
              <w:rPr>
                <w:rFonts w:asciiTheme="minorHAnsi" w:hAnsiTheme="minorHAnsi" w:cstheme="minorHAnsi"/>
                <w:color w:val="000000"/>
                <w:sz w:val="18"/>
                <w:szCs w:val="18"/>
              </w:rPr>
            </w:pPr>
          </w:p>
        </w:tc>
        <w:tc>
          <w:tcPr>
            <w:tcW w:w="2270" w:type="dxa"/>
            <w:shd w:val="clear" w:color="auto" w:fill="auto"/>
            <w:noWrap/>
            <w:vAlign w:val="center"/>
            <w:hideMark/>
          </w:tcPr>
          <w:p w14:paraId="4EFFFF40" w14:textId="77777777" w:rsidR="00B0196F" w:rsidRPr="00E762A7" w:rsidRDefault="00B0196F">
            <w:pPr>
              <w:jc w:val="center"/>
              <w:rPr>
                <w:rFonts w:asciiTheme="minorHAnsi" w:hAnsiTheme="minorHAnsi" w:cstheme="minorHAnsi"/>
                <w:sz w:val="18"/>
                <w:szCs w:val="18"/>
              </w:rPr>
            </w:pPr>
          </w:p>
        </w:tc>
        <w:tc>
          <w:tcPr>
            <w:tcW w:w="1645" w:type="dxa"/>
            <w:shd w:val="clear" w:color="auto" w:fill="auto"/>
            <w:noWrap/>
            <w:vAlign w:val="center"/>
            <w:hideMark/>
          </w:tcPr>
          <w:p w14:paraId="4DF00C4C" w14:textId="77777777" w:rsidR="00B0196F" w:rsidRPr="00E762A7" w:rsidRDefault="00B0196F">
            <w:pPr>
              <w:jc w:val="center"/>
              <w:rPr>
                <w:rFonts w:asciiTheme="minorHAnsi" w:hAnsiTheme="minorHAnsi" w:cstheme="minorHAnsi"/>
                <w:sz w:val="18"/>
                <w:szCs w:val="18"/>
              </w:rPr>
            </w:pPr>
          </w:p>
        </w:tc>
        <w:tc>
          <w:tcPr>
            <w:tcW w:w="2044" w:type="dxa"/>
            <w:shd w:val="clear" w:color="000000" w:fill="00B050"/>
            <w:noWrap/>
            <w:vAlign w:val="center"/>
            <w:hideMark/>
          </w:tcPr>
          <w:p w14:paraId="0D14957B"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r>
      <w:tr w:rsidR="00B0196F" w:rsidRPr="00E762A7" w14:paraId="7B64F6AD" w14:textId="77777777">
        <w:trPr>
          <w:trHeight w:val="320"/>
        </w:trPr>
        <w:tc>
          <w:tcPr>
            <w:tcW w:w="1337" w:type="dxa"/>
            <w:shd w:val="clear" w:color="auto" w:fill="auto"/>
            <w:noWrap/>
            <w:vAlign w:val="center"/>
            <w:hideMark/>
          </w:tcPr>
          <w:p w14:paraId="378402F6"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Kenya</w:t>
            </w:r>
          </w:p>
        </w:tc>
        <w:tc>
          <w:tcPr>
            <w:tcW w:w="1370" w:type="dxa"/>
            <w:shd w:val="clear" w:color="000000" w:fill="BF8F00"/>
            <w:vAlign w:val="center"/>
            <w:hideMark/>
          </w:tcPr>
          <w:p w14:paraId="5E727819"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Considerable</w:t>
            </w:r>
          </w:p>
        </w:tc>
        <w:tc>
          <w:tcPr>
            <w:tcW w:w="2108" w:type="dxa"/>
            <w:shd w:val="clear" w:color="000000" w:fill="92D050"/>
            <w:noWrap/>
            <w:vAlign w:val="center"/>
            <w:hideMark/>
          </w:tcPr>
          <w:p w14:paraId="68764407"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1701" w:type="dxa"/>
            <w:shd w:val="clear" w:color="auto" w:fill="auto"/>
            <w:noWrap/>
            <w:vAlign w:val="center"/>
            <w:hideMark/>
          </w:tcPr>
          <w:p w14:paraId="1C1C9E6E" w14:textId="77777777" w:rsidR="00B0196F" w:rsidRPr="00E762A7" w:rsidRDefault="00B0196F">
            <w:pPr>
              <w:jc w:val="center"/>
              <w:rPr>
                <w:rFonts w:asciiTheme="minorHAnsi" w:hAnsiTheme="minorHAnsi" w:cstheme="minorHAnsi"/>
                <w:color w:val="000000"/>
                <w:sz w:val="18"/>
                <w:szCs w:val="18"/>
              </w:rPr>
            </w:pPr>
          </w:p>
        </w:tc>
        <w:tc>
          <w:tcPr>
            <w:tcW w:w="1695" w:type="dxa"/>
            <w:shd w:val="clear" w:color="000000" w:fill="92D050"/>
            <w:noWrap/>
            <w:vAlign w:val="center"/>
            <w:hideMark/>
          </w:tcPr>
          <w:p w14:paraId="10F6AC4B"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2270" w:type="dxa"/>
            <w:shd w:val="clear" w:color="000000" w:fill="92D050"/>
            <w:noWrap/>
            <w:vAlign w:val="center"/>
            <w:hideMark/>
          </w:tcPr>
          <w:p w14:paraId="623C73EA"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1645" w:type="dxa"/>
            <w:shd w:val="clear" w:color="000000" w:fill="92D050"/>
            <w:noWrap/>
            <w:vAlign w:val="center"/>
            <w:hideMark/>
          </w:tcPr>
          <w:p w14:paraId="4437BA77"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2044" w:type="dxa"/>
            <w:shd w:val="clear" w:color="auto" w:fill="auto"/>
            <w:noWrap/>
            <w:vAlign w:val="center"/>
            <w:hideMark/>
          </w:tcPr>
          <w:p w14:paraId="28F934A2" w14:textId="77777777" w:rsidR="00B0196F" w:rsidRPr="00E762A7" w:rsidRDefault="00B0196F">
            <w:pPr>
              <w:jc w:val="center"/>
              <w:rPr>
                <w:rFonts w:asciiTheme="minorHAnsi" w:hAnsiTheme="minorHAnsi" w:cstheme="minorHAnsi"/>
                <w:color w:val="000000"/>
                <w:sz w:val="18"/>
                <w:szCs w:val="18"/>
              </w:rPr>
            </w:pPr>
          </w:p>
        </w:tc>
      </w:tr>
      <w:tr w:rsidR="00B0196F" w:rsidRPr="00E762A7" w14:paraId="08FA49CD" w14:textId="77777777">
        <w:trPr>
          <w:trHeight w:val="320"/>
        </w:trPr>
        <w:tc>
          <w:tcPr>
            <w:tcW w:w="1337" w:type="dxa"/>
            <w:shd w:val="clear" w:color="auto" w:fill="auto"/>
            <w:noWrap/>
            <w:vAlign w:val="center"/>
            <w:hideMark/>
          </w:tcPr>
          <w:p w14:paraId="6B584427"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Tanzania</w:t>
            </w:r>
          </w:p>
        </w:tc>
        <w:tc>
          <w:tcPr>
            <w:tcW w:w="1370" w:type="dxa"/>
            <w:shd w:val="clear" w:color="000000" w:fill="BF8F00"/>
            <w:vAlign w:val="center"/>
            <w:hideMark/>
          </w:tcPr>
          <w:p w14:paraId="343B8F5E"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Considerable</w:t>
            </w:r>
          </w:p>
        </w:tc>
        <w:tc>
          <w:tcPr>
            <w:tcW w:w="2108" w:type="dxa"/>
            <w:shd w:val="clear" w:color="000000" w:fill="92D050"/>
            <w:noWrap/>
            <w:vAlign w:val="center"/>
            <w:hideMark/>
          </w:tcPr>
          <w:p w14:paraId="6BF7E515"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1701" w:type="dxa"/>
            <w:shd w:val="clear" w:color="000000" w:fill="00B050"/>
            <w:noWrap/>
            <w:vAlign w:val="center"/>
            <w:hideMark/>
          </w:tcPr>
          <w:p w14:paraId="201C51F7"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695" w:type="dxa"/>
            <w:shd w:val="clear" w:color="auto" w:fill="auto"/>
            <w:noWrap/>
            <w:vAlign w:val="center"/>
            <w:hideMark/>
          </w:tcPr>
          <w:p w14:paraId="7981239B" w14:textId="77777777" w:rsidR="00B0196F" w:rsidRPr="00E762A7" w:rsidRDefault="00B0196F">
            <w:pPr>
              <w:jc w:val="center"/>
              <w:rPr>
                <w:rFonts w:asciiTheme="minorHAnsi" w:hAnsiTheme="minorHAnsi" w:cstheme="minorHAnsi"/>
                <w:color w:val="000000"/>
                <w:sz w:val="18"/>
                <w:szCs w:val="18"/>
              </w:rPr>
            </w:pPr>
          </w:p>
        </w:tc>
        <w:tc>
          <w:tcPr>
            <w:tcW w:w="2270" w:type="dxa"/>
            <w:shd w:val="clear" w:color="auto" w:fill="auto"/>
            <w:noWrap/>
            <w:vAlign w:val="center"/>
            <w:hideMark/>
          </w:tcPr>
          <w:p w14:paraId="6A3FD7F5" w14:textId="77777777" w:rsidR="00B0196F" w:rsidRPr="00E762A7" w:rsidRDefault="00B0196F">
            <w:pPr>
              <w:jc w:val="center"/>
              <w:rPr>
                <w:rFonts w:asciiTheme="minorHAnsi" w:hAnsiTheme="minorHAnsi" w:cstheme="minorHAnsi"/>
                <w:sz w:val="18"/>
                <w:szCs w:val="18"/>
              </w:rPr>
            </w:pPr>
          </w:p>
        </w:tc>
        <w:tc>
          <w:tcPr>
            <w:tcW w:w="1645" w:type="dxa"/>
            <w:shd w:val="clear" w:color="auto" w:fill="auto"/>
            <w:noWrap/>
            <w:vAlign w:val="center"/>
            <w:hideMark/>
          </w:tcPr>
          <w:p w14:paraId="2E4CCC83" w14:textId="77777777" w:rsidR="00B0196F" w:rsidRPr="00E762A7" w:rsidRDefault="00B0196F">
            <w:pPr>
              <w:jc w:val="center"/>
              <w:rPr>
                <w:rFonts w:asciiTheme="minorHAnsi" w:hAnsiTheme="minorHAnsi" w:cstheme="minorHAnsi"/>
                <w:sz w:val="18"/>
                <w:szCs w:val="18"/>
              </w:rPr>
            </w:pPr>
          </w:p>
        </w:tc>
        <w:tc>
          <w:tcPr>
            <w:tcW w:w="2044" w:type="dxa"/>
            <w:shd w:val="clear" w:color="000000" w:fill="00B050"/>
            <w:noWrap/>
            <w:vAlign w:val="center"/>
            <w:hideMark/>
          </w:tcPr>
          <w:p w14:paraId="534E96C1"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r>
      <w:tr w:rsidR="00B0196F" w:rsidRPr="00E762A7" w14:paraId="52BF8744" w14:textId="77777777">
        <w:trPr>
          <w:trHeight w:val="320"/>
        </w:trPr>
        <w:tc>
          <w:tcPr>
            <w:tcW w:w="1337" w:type="dxa"/>
            <w:shd w:val="clear" w:color="auto" w:fill="auto"/>
            <w:noWrap/>
            <w:vAlign w:val="center"/>
            <w:hideMark/>
          </w:tcPr>
          <w:p w14:paraId="04EDEF3B" w14:textId="2A022841" w:rsidR="00B0196F" w:rsidRPr="00E762A7" w:rsidRDefault="00260B8A">
            <w:pPr>
              <w:jc w:val="center"/>
              <w:rPr>
                <w:rFonts w:asciiTheme="minorHAnsi" w:hAnsiTheme="minorHAnsi" w:cstheme="minorHAnsi"/>
                <w:color w:val="000000"/>
                <w:sz w:val="18"/>
                <w:szCs w:val="18"/>
              </w:rPr>
            </w:pPr>
            <w:r>
              <w:rPr>
                <w:rFonts w:asciiTheme="minorHAnsi" w:hAnsiTheme="minorHAnsi" w:cstheme="minorHAnsi"/>
                <w:color w:val="000000"/>
                <w:sz w:val="18"/>
                <w:szCs w:val="18"/>
              </w:rPr>
              <w:t>Timor-Leste</w:t>
            </w:r>
          </w:p>
        </w:tc>
        <w:tc>
          <w:tcPr>
            <w:tcW w:w="1370" w:type="dxa"/>
            <w:shd w:val="clear" w:color="000000" w:fill="BF8F00"/>
            <w:vAlign w:val="center"/>
            <w:hideMark/>
          </w:tcPr>
          <w:p w14:paraId="36FF4EED"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Considerable</w:t>
            </w:r>
          </w:p>
        </w:tc>
        <w:tc>
          <w:tcPr>
            <w:tcW w:w="2108" w:type="dxa"/>
            <w:shd w:val="clear" w:color="000000" w:fill="00B050"/>
            <w:noWrap/>
            <w:vAlign w:val="center"/>
            <w:hideMark/>
          </w:tcPr>
          <w:p w14:paraId="7B839F2E"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701" w:type="dxa"/>
            <w:shd w:val="clear" w:color="000000" w:fill="00B050"/>
            <w:noWrap/>
            <w:vAlign w:val="center"/>
            <w:hideMark/>
          </w:tcPr>
          <w:p w14:paraId="037E93B0"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695" w:type="dxa"/>
            <w:shd w:val="clear" w:color="auto" w:fill="auto"/>
            <w:noWrap/>
            <w:vAlign w:val="center"/>
            <w:hideMark/>
          </w:tcPr>
          <w:p w14:paraId="29F470AD" w14:textId="77777777" w:rsidR="00B0196F" w:rsidRPr="00E762A7" w:rsidRDefault="00B0196F">
            <w:pPr>
              <w:jc w:val="center"/>
              <w:rPr>
                <w:rFonts w:asciiTheme="minorHAnsi" w:hAnsiTheme="minorHAnsi" w:cstheme="minorHAnsi"/>
                <w:color w:val="000000"/>
                <w:sz w:val="18"/>
                <w:szCs w:val="18"/>
              </w:rPr>
            </w:pPr>
          </w:p>
        </w:tc>
        <w:tc>
          <w:tcPr>
            <w:tcW w:w="2270" w:type="dxa"/>
            <w:shd w:val="clear" w:color="auto" w:fill="auto"/>
            <w:noWrap/>
            <w:vAlign w:val="center"/>
            <w:hideMark/>
          </w:tcPr>
          <w:p w14:paraId="219356FF" w14:textId="77777777" w:rsidR="00B0196F" w:rsidRPr="00E762A7" w:rsidRDefault="00B0196F">
            <w:pPr>
              <w:jc w:val="center"/>
              <w:rPr>
                <w:rFonts w:asciiTheme="minorHAnsi" w:hAnsiTheme="minorHAnsi" w:cstheme="minorHAnsi"/>
                <w:sz w:val="18"/>
                <w:szCs w:val="18"/>
              </w:rPr>
            </w:pPr>
          </w:p>
        </w:tc>
        <w:tc>
          <w:tcPr>
            <w:tcW w:w="1645" w:type="dxa"/>
            <w:shd w:val="clear" w:color="auto" w:fill="auto"/>
            <w:noWrap/>
            <w:vAlign w:val="center"/>
            <w:hideMark/>
          </w:tcPr>
          <w:p w14:paraId="2C7D2651" w14:textId="77777777" w:rsidR="00B0196F" w:rsidRPr="00E762A7" w:rsidRDefault="00B0196F">
            <w:pPr>
              <w:jc w:val="center"/>
              <w:rPr>
                <w:rFonts w:asciiTheme="minorHAnsi" w:hAnsiTheme="minorHAnsi" w:cstheme="minorHAnsi"/>
                <w:sz w:val="18"/>
                <w:szCs w:val="18"/>
              </w:rPr>
            </w:pPr>
          </w:p>
        </w:tc>
        <w:tc>
          <w:tcPr>
            <w:tcW w:w="2044" w:type="dxa"/>
            <w:shd w:val="clear" w:color="000000" w:fill="92D050"/>
            <w:noWrap/>
            <w:vAlign w:val="center"/>
            <w:hideMark/>
          </w:tcPr>
          <w:p w14:paraId="5833B54F"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r>
      <w:tr w:rsidR="00B0196F" w:rsidRPr="00E762A7" w14:paraId="333ADCBE" w14:textId="77777777">
        <w:trPr>
          <w:trHeight w:val="320"/>
        </w:trPr>
        <w:tc>
          <w:tcPr>
            <w:tcW w:w="1337" w:type="dxa"/>
            <w:shd w:val="clear" w:color="auto" w:fill="auto"/>
            <w:noWrap/>
            <w:vAlign w:val="center"/>
            <w:hideMark/>
          </w:tcPr>
          <w:p w14:paraId="18B5274E"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Vietnam</w:t>
            </w:r>
          </w:p>
        </w:tc>
        <w:tc>
          <w:tcPr>
            <w:tcW w:w="1370" w:type="dxa"/>
            <w:shd w:val="clear" w:color="000000" w:fill="BF8F00"/>
            <w:vAlign w:val="center"/>
            <w:hideMark/>
          </w:tcPr>
          <w:p w14:paraId="78B18884"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Considerable</w:t>
            </w:r>
          </w:p>
        </w:tc>
        <w:tc>
          <w:tcPr>
            <w:tcW w:w="2108" w:type="dxa"/>
            <w:shd w:val="clear" w:color="000000" w:fill="92D050"/>
            <w:noWrap/>
            <w:vAlign w:val="center"/>
            <w:hideMark/>
          </w:tcPr>
          <w:p w14:paraId="4DCF1E19"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1701" w:type="dxa"/>
            <w:shd w:val="clear" w:color="000000" w:fill="FFC000"/>
            <w:noWrap/>
            <w:vAlign w:val="center"/>
            <w:hideMark/>
          </w:tcPr>
          <w:p w14:paraId="1DC27F86"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Some</w:t>
            </w:r>
          </w:p>
        </w:tc>
        <w:tc>
          <w:tcPr>
            <w:tcW w:w="1695" w:type="dxa"/>
            <w:shd w:val="clear" w:color="000000" w:fill="92D050"/>
            <w:noWrap/>
            <w:vAlign w:val="center"/>
            <w:hideMark/>
          </w:tcPr>
          <w:p w14:paraId="49A2F45F"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2270" w:type="dxa"/>
            <w:shd w:val="clear" w:color="auto" w:fill="auto"/>
            <w:noWrap/>
            <w:vAlign w:val="center"/>
            <w:hideMark/>
          </w:tcPr>
          <w:p w14:paraId="0B85BF4D" w14:textId="77777777" w:rsidR="00B0196F" w:rsidRPr="00E762A7" w:rsidRDefault="00B0196F">
            <w:pPr>
              <w:jc w:val="center"/>
              <w:rPr>
                <w:rFonts w:asciiTheme="minorHAnsi" w:hAnsiTheme="minorHAnsi" w:cstheme="minorHAnsi"/>
                <w:color w:val="000000"/>
                <w:sz w:val="18"/>
                <w:szCs w:val="18"/>
              </w:rPr>
            </w:pPr>
          </w:p>
        </w:tc>
        <w:tc>
          <w:tcPr>
            <w:tcW w:w="1645" w:type="dxa"/>
            <w:shd w:val="clear" w:color="auto" w:fill="auto"/>
            <w:noWrap/>
            <w:vAlign w:val="center"/>
            <w:hideMark/>
          </w:tcPr>
          <w:p w14:paraId="250897D5" w14:textId="77777777" w:rsidR="00B0196F" w:rsidRPr="00E762A7" w:rsidRDefault="00B0196F">
            <w:pPr>
              <w:jc w:val="center"/>
              <w:rPr>
                <w:rFonts w:asciiTheme="minorHAnsi" w:hAnsiTheme="minorHAnsi" w:cstheme="minorHAnsi"/>
                <w:sz w:val="18"/>
                <w:szCs w:val="18"/>
              </w:rPr>
            </w:pPr>
          </w:p>
        </w:tc>
        <w:tc>
          <w:tcPr>
            <w:tcW w:w="2044" w:type="dxa"/>
            <w:shd w:val="clear" w:color="auto" w:fill="auto"/>
            <w:noWrap/>
            <w:vAlign w:val="center"/>
            <w:hideMark/>
          </w:tcPr>
          <w:p w14:paraId="55B59C52" w14:textId="77777777" w:rsidR="00B0196F" w:rsidRPr="00E762A7" w:rsidRDefault="00B0196F">
            <w:pPr>
              <w:jc w:val="center"/>
              <w:rPr>
                <w:rFonts w:asciiTheme="minorHAnsi" w:hAnsiTheme="minorHAnsi" w:cstheme="minorHAnsi"/>
                <w:color w:val="000000"/>
                <w:sz w:val="18"/>
                <w:szCs w:val="18"/>
              </w:rPr>
            </w:pPr>
          </w:p>
        </w:tc>
      </w:tr>
      <w:tr w:rsidR="00B0196F" w:rsidRPr="00E762A7" w14:paraId="7464C8A5" w14:textId="77777777">
        <w:trPr>
          <w:trHeight w:val="320"/>
        </w:trPr>
        <w:tc>
          <w:tcPr>
            <w:tcW w:w="1337" w:type="dxa"/>
            <w:shd w:val="clear" w:color="auto" w:fill="auto"/>
            <w:noWrap/>
            <w:vAlign w:val="center"/>
            <w:hideMark/>
          </w:tcPr>
          <w:p w14:paraId="74332E86"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Bangladesh</w:t>
            </w:r>
          </w:p>
        </w:tc>
        <w:tc>
          <w:tcPr>
            <w:tcW w:w="1370" w:type="dxa"/>
            <w:shd w:val="clear" w:color="000000" w:fill="FFD966"/>
            <w:vAlign w:val="center"/>
            <w:hideMark/>
          </w:tcPr>
          <w:p w14:paraId="6A8CD226"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Some</w:t>
            </w:r>
          </w:p>
        </w:tc>
        <w:tc>
          <w:tcPr>
            <w:tcW w:w="2108" w:type="dxa"/>
            <w:shd w:val="clear" w:color="auto" w:fill="auto"/>
            <w:noWrap/>
            <w:vAlign w:val="center"/>
            <w:hideMark/>
          </w:tcPr>
          <w:p w14:paraId="3766E53B" w14:textId="77777777" w:rsidR="00B0196F" w:rsidRPr="00E762A7" w:rsidRDefault="00B0196F">
            <w:pPr>
              <w:jc w:val="center"/>
              <w:rPr>
                <w:rFonts w:asciiTheme="minorHAnsi" w:hAnsiTheme="minorHAnsi" w:cstheme="minorHAnsi"/>
                <w:b/>
                <w:bCs/>
                <w:color w:val="000000"/>
                <w:sz w:val="18"/>
                <w:szCs w:val="18"/>
              </w:rPr>
            </w:pPr>
          </w:p>
        </w:tc>
        <w:tc>
          <w:tcPr>
            <w:tcW w:w="1701" w:type="dxa"/>
            <w:shd w:val="clear" w:color="000000" w:fill="00B050"/>
            <w:noWrap/>
            <w:vAlign w:val="center"/>
            <w:hideMark/>
          </w:tcPr>
          <w:p w14:paraId="0174D1B8"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695" w:type="dxa"/>
            <w:shd w:val="clear" w:color="000000" w:fill="92D050"/>
            <w:noWrap/>
            <w:vAlign w:val="center"/>
            <w:hideMark/>
          </w:tcPr>
          <w:p w14:paraId="799E25AE"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2270" w:type="dxa"/>
            <w:shd w:val="clear" w:color="000000" w:fill="92D050"/>
            <w:noWrap/>
            <w:vAlign w:val="center"/>
            <w:hideMark/>
          </w:tcPr>
          <w:p w14:paraId="43187A00"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1645" w:type="dxa"/>
            <w:shd w:val="clear" w:color="auto" w:fill="auto"/>
            <w:noWrap/>
            <w:vAlign w:val="center"/>
            <w:hideMark/>
          </w:tcPr>
          <w:p w14:paraId="1D0D25B3" w14:textId="77777777" w:rsidR="00B0196F" w:rsidRPr="00E762A7" w:rsidRDefault="00B0196F">
            <w:pPr>
              <w:jc w:val="center"/>
              <w:rPr>
                <w:rFonts w:asciiTheme="minorHAnsi" w:hAnsiTheme="minorHAnsi" w:cstheme="minorHAnsi"/>
                <w:color w:val="000000"/>
                <w:sz w:val="18"/>
                <w:szCs w:val="18"/>
              </w:rPr>
            </w:pPr>
          </w:p>
        </w:tc>
        <w:tc>
          <w:tcPr>
            <w:tcW w:w="2044" w:type="dxa"/>
            <w:shd w:val="clear" w:color="auto" w:fill="auto"/>
            <w:noWrap/>
            <w:vAlign w:val="center"/>
            <w:hideMark/>
          </w:tcPr>
          <w:p w14:paraId="1C6BF362" w14:textId="77777777" w:rsidR="00B0196F" w:rsidRPr="00E762A7" w:rsidRDefault="00B0196F">
            <w:pPr>
              <w:jc w:val="center"/>
              <w:rPr>
                <w:rFonts w:asciiTheme="minorHAnsi" w:hAnsiTheme="minorHAnsi" w:cstheme="minorHAnsi"/>
                <w:color w:val="000000"/>
                <w:sz w:val="18"/>
                <w:szCs w:val="18"/>
              </w:rPr>
            </w:pPr>
          </w:p>
        </w:tc>
      </w:tr>
      <w:tr w:rsidR="00B0196F" w:rsidRPr="00E762A7" w14:paraId="568A7C41" w14:textId="77777777">
        <w:trPr>
          <w:trHeight w:val="320"/>
        </w:trPr>
        <w:tc>
          <w:tcPr>
            <w:tcW w:w="1337" w:type="dxa"/>
            <w:shd w:val="clear" w:color="auto" w:fill="auto"/>
            <w:noWrap/>
            <w:vAlign w:val="center"/>
            <w:hideMark/>
          </w:tcPr>
          <w:p w14:paraId="59725E2C"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Indonesia</w:t>
            </w:r>
          </w:p>
        </w:tc>
        <w:tc>
          <w:tcPr>
            <w:tcW w:w="1370" w:type="dxa"/>
            <w:shd w:val="clear" w:color="000000" w:fill="FFD966"/>
            <w:vAlign w:val="center"/>
            <w:hideMark/>
          </w:tcPr>
          <w:p w14:paraId="13939E1F"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Some</w:t>
            </w:r>
          </w:p>
        </w:tc>
        <w:tc>
          <w:tcPr>
            <w:tcW w:w="2108" w:type="dxa"/>
            <w:shd w:val="clear" w:color="000000" w:fill="FFC000"/>
            <w:noWrap/>
            <w:vAlign w:val="center"/>
            <w:hideMark/>
          </w:tcPr>
          <w:p w14:paraId="2125C077"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Some</w:t>
            </w:r>
          </w:p>
        </w:tc>
        <w:tc>
          <w:tcPr>
            <w:tcW w:w="1701" w:type="dxa"/>
            <w:shd w:val="clear" w:color="auto" w:fill="auto"/>
            <w:noWrap/>
            <w:vAlign w:val="center"/>
            <w:hideMark/>
          </w:tcPr>
          <w:p w14:paraId="4055475C" w14:textId="77777777" w:rsidR="00B0196F" w:rsidRPr="00E762A7" w:rsidRDefault="00B0196F">
            <w:pPr>
              <w:jc w:val="center"/>
              <w:rPr>
                <w:rFonts w:asciiTheme="minorHAnsi" w:hAnsiTheme="minorHAnsi" w:cstheme="minorHAnsi"/>
                <w:color w:val="000000"/>
                <w:sz w:val="18"/>
                <w:szCs w:val="18"/>
              </w:rPr>
            </w:pPr>
          </w:p>
        </w:tc>
        <w:tc>
          <w:tcPr>
            <w:tcW w:w="1695" w:type="dxa"/>
            <w:shd w:val="clear" w:color="000000" w:fill="FCE4D6"/>
            <w:noWrap/>
            <w:vAlign w:val="center"/>
            <w:hideMark/>
          </w:tcPr>
          <w:p w14:paraId="229F5BC1"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Limited</w:t>
            </w:r>
          </w:p>
        </w:tc>
        <w:tc>
          <w:tcPr>
            <w:tcW w:w="2270" w:type="dxa"/>
            <w:shd w:val="clear" w:color="auto" w:fill="auto"/>
            <w:noWrap/>
            <w:vAlign w:val="center"/>
            <w:hideMark/>
          </w:tcPr>
          <w:p w14:paraId="568FD1F4" w14:textId="77777777" w:rsidR="00B0196F" w:rsidRPr="00E762A7" w:rsidRDefault="00B0196F">
            <w:pPr>
              <w:jc w:val="center"/>
              <w:rPr>
                <w:rFonts w:asciiTheme="minorHAnsi" w:hAnsiTheme="minorHAnsi" w:cstheme="minorHAnsi"/>
                <w:color w:val="000000"/>
                <w:sz w:val="18"/>
                <w:szCs w:val="18"/>
              </w:rPr>
            </w:pPr>
          </w:p>
        </w:tc>
        <w:tc>
          <w:tcPr>
            <w:tcW w:w="1645" w:type="dxa"/>
            <w:shd w:val="clear" w:color="000000" w:fill="FFC000"/>
            <w:noWrap/>
            <w:vAlign w:val="center"/>
            <w:hideMark/>
          </w:tcPr>
          <w:p w14:paraId="66766B7C"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Some</w:t>
            </w:r>
          </w:p>
        </w:tc>
        <w:tc>
          <w:tcPr>
            <w:tcW w:w="2044" w:type="dxa"/>
            <w:shd w:val="clear" w:color="auto" w:fill="auto"/>
            <w:noWrap/>
            <w:vAlign w:val="center"/>
            <w:hideMark/>
          </w:tcPr>
          <w:p w14:paraId="680658D3" w14:textId="77777777" w:rsidR="00B0196F" w:rsidRPr="00E762A7" w:rsidRDefault="00B0196F">
            <w:pPr>
              <w:jc w:val="center"/>
              <w:rPr>
                <w:rFonts w:asciiTheme="minorHAnsi" w:hAnsiTheme="minorHAnsi" w:cstheme="minorHAnsi"/>
                <w:color w:val="000000"/>
                <w:sz w:val="18"/>
                <w:szCs w:val="18"/>
              </w:rPr>
            </w:pPr>
          </w:p>
        </w:tc>
      </w:tr>
      <w:tr w:rsidR="00B0196F" w:rsidRPr="00E762A7" w14:paraId="56D56B34" w14:textId="77777777">
        <w:trPr>
          <w:trHeight w:val="320"/>
        </w:trPr>
        <w:tc>
          <w:tcPr>
            <w:tcW w:w="1337" w:type="dxa"/>
            <w:shd w:val="clear" w:color="auto" w:fill="auto"/>
            <w:noWrap/>
            <w:vAlign w:val="center"/>
            <w:hideMark/>
          </w:tcPr>
          <w:p w14:paraId="19CDAF25"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Pakistan</w:t>
            </w:r>
          </w:p>
        </w:tc>
        <w:tc>
          <w:tcPr>
            <w:tcW w:w="1370" w:type="dxa"/>
            <w:shd w:val="clear" w:color="000000" w:fill="FFD966"/>
            <w:vAlign w:val="center"/>
            <w:hideMark/>
          </w:tcPr>
          <w:p w14:paraId="02C4D6A4"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Some</w:t>
            </w:r>
          </w:p>
        </w:tc>
        <w:tc>
          <w:tcPr>
            <w:tcW w:w="2108" w:type="dxa"/>
            <w:shd w:val="clear" w:color="000000" w:fill="00B050"/>
            <w:noWrap/>
            <w:vAlign w:val="center"/>
            <w:hideMark/>
          </w:tcPr>
          <w:p w14:paraId="546B0DE5"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701" w:type="dxa"/>
            <w:shd w:val="clear" w:color="auto" w:fill="auto"/>
            <w:noWrap/>
            <w:vAlign w:val="center"/>
            <w:hideMark/>
          </w:tcPr>
          <w:p w14:paraId="2A00EC80" w14:textId="77777777" w:rsidR="00B0196F" w:rsidRPr="00E762A7" w:rsidRDefault="00B0196F">
            <w:pPr>
              <w:jc w:val="center"/>
              <w:rPr>
                <w:rFonts w:asciiTheme="minorHAnsi" w:hAnsiTheme="minorHAnsi" w:cstheme="minorHAnsi"/>
                <w:color w:val="000000"/>
                <w:sz w:val="18"/>
                <w:szCs w:val="18"/>
              </w:rPr>
            </w:pPr>
          </w:p>
        </w:tc>
        <w:tc>
          <w:tcPr>
            <w:tcW w:w="1695" w:type="dxa"/>
            <w:shd w:val="clear" w:color="auto" w:fill="auto"/>
            <w:noWrap/>
            <w:vAlign w:val="center"/>
            <w:hideMark/>
          </w:tcPr>
          <w:p w14:paraId="007DC0F9" w14:textId="77777777" w:rsidR="00B0196F" w:rsidRPr="00E762A7" w:rsidRDefault="00B0196F">
            <w:pPr>
              <w:jc w:val="center"/>
              <w:rPr>
                <w:rFonts w:asciiTheme="minorHAnsi" w:hAnsiTheme="minorHAnsi" w:cstheme="minorHAnsi"/>
                <w:sz w:val="18"/>
                <w:szCs w:val="18"/>
              </w:rPr>
            </w:pPr>
          </w:p>
        </w:tc>
        <w:tc>
          <w:tcPr>
            <w:tcW w:w="2270" w:type="dxa"/>
            <w:shd w:val="clear" w:color="auto" w:fill="auto"/>
            <w:noWrap/>
            <w:vAlign w:val="center"/>
            <w:hideMark/>
          </w:tcPr>
          <w:p w14:paraId="7360B518" w14:textId="77777777" w:rsidR="00B0196F" w:rsidRPr="00E762A7" w:rsidRDefault="00B0196F">
            <w:pPr>
              <w:jc w:val="center"/>
              <w:rPr>
                <w:rFonts w:asciiTheme="minorHAnsi" w:hAnsiTheme="minorHAnsi" w:cstheme="minorHAnsi"/>
                <w:sz w:val="18"/>
                <w:szCs w:val="18"/>
              </w:rPr>
            </w:pPr>
          </w:p>
        </w:tc>
        <w:tc>
          <w:tcPr>
            <w:tcW w:w="1645" w:type="dxa"/>
            <w:shd w:val="clear" w:color="000000" w:fill="92D050"/>
            <w:noWrap/>
            <w:vAlign w:val="center"/>
            <w:hideMark/>
          </w:tcPr>
          <w:p w14:paraId="6010531A"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2044" w:type="dxa"/>
            <w:shd w:val="clear" w:color="auto" w:fill="auto"/>
            <w:noWrap/>
            <w:vAlign w:val="center"/>
            <w:hideMark/>
          </w:tcPr>
          <w:p w14:paraId="6D50FBB6" w14:textId="77777777" w:rsidR="00B0196F" w:rsidRPr="00E762A7" w:rsidRDefault="00B0196F">
            <w:pPr>
              <w:jc w:val="center"/>
              <w:rPr>
                <w:rFonts w:asciiTheme="minorHAnsi" w:hAnsiTheme="minorHAnsi" w:cstheme="minorHAnsi"/>
                <w:color w:val="000000"/>
                <w:sz w:val="18"/>
                <w:szCs w:val="18"/>
              </w:rPr>
            </w:pPr>
          </w:p>
        </w:tc>
      </w:tr>
      <w:tr w:rsidR="00B0196F" w:rsidRPr="00E762A7" w14:paraId="3670897B" w14:textId="77777777">
        <w:trPr>
          <w:trHeight w:val="320"/>
        </w:trPr>
        <w:tc>
          <w:tcPr>
            <w:tcW w:w="1337" w:type="dxa"/>
            <w:shd w:val="clear" w:color="auto" w:fill="auto"/>
            <w:noWrap/>
            <w:vAlign w:val="center"/>
            <w:hideMark/>
          </w:tcPr>
          <w:p w14:paraId="547E8DEB"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Uganda</w:t>
            </w:r>
          </w:p>
        </w:tc>
        <w:tc>
          <w:tcPr>
            <w:tcW w:w="1370" w:type="dxa"/>
            <w:shd w:val="clear" w:color="000000" w:fill="FFD966"/>
            <w:vAlign w:val="center"/>
            <w:hideMark/>
          </w:tcPr>
          <w:p w14:paraId="16175D05"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Some</w:t>
            </w:r>
          </w:p>
        </w:tc>
        <w:tc>
          <w:tcPr>
            <w:tcW w:w="2108" w:type="dxa"/>
            <w:shd w:val="clear" w:color="000000" w:fill="00B050"/>
            <w:noWrap/>
            <w:vAlign w:val="center"/>
            <w:hideMark/>
          </w:tcPr>
          <w:p w14:paraId="19584AD5"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701" w:type="dxa"/>
            <w:shd w:val="clear" w:color="000000" w:fill="00B050"/>
            <w:noWrap/>
            <w:vAlign w:val="center"/>
            <w:hideMark/>
          </w:tcPr>
          <w:p w14:paraId="6B3B81D4"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695" w:type="dxa"/>
            <w:shd w:val="clear" w:color="auto" w:fill="auto"/>
            <w:noWrap/>
            <w:vAlign w:val="center"/>
            <w:hideMark/>
          </w:tcPr>
          <w:p w14:paraId="64F0818C" w14:textId="77777777" w:rsidR="00B0196F" w:rsidRPr="00E762A7" w:rsidRDefault="00B0196F">
            <w:pPr>
              <w:jc w:val="center"/>
              <w:rPr>
                <w:rFonts w:asciiTheme="minorHAnsi" w:hAnsiTheme="minorHAnsi" w:cstheme="minorHAnsi"/>
                <w:color w:val="000000"/>
                <w:sz w:val="18"/>
                <w:szCs w:val="18"/>
              </w:rPr>
            </w:pPr>
          </w:p>
        </w:tc>
        <w:tc>
          <w:tcPr>
            <w:tcW w:w="2270" w:type="dxa"/>
            <w:shd w:val="clear" w:color="auto" w:fill="auto"/>
            <w:noWrap/>
            <w:vAlign w:val="center"/>
            <w:hideMark/>
          </w:tcPr>
          <w:p w14:paraId="79A6C879" w14:textId="77777777" w:rsidR="00B0196F" w:rsidRPr="00E762A7" w:rsidRDefault="00B0196F">
            <w:pPr>
              <w:jc w:val="center"/>
              <w:rPr>
                <w:rFonts w:asciiTheme="minorHAnsi" w:hAnsiTheme="minorHAnsi" w:cstheme="minorHAnsi"/>
                <w:sz w:val="18"/>
                <w:szCs w:val="18"/>
              </w:rPr>
            </w:pPr>
          </w:p>
        </w:tc>
        <w:tc>
          <w:tcPr>
            <w:tcW w:w="1645" w:type="dxa"/>
            <w:shd w:val="clear" w:color="auto" w:fill="auto"/>
            <w:noWrap/>
            <w:vAlign w:val="center"/>
            <w:hideMark/>
          </w:tcPr>
          <w:p w14:paraId="0E65CA63" w14:textId="77777777" w:rsidR="00B0196F" w:rsidRPr="00E762A7" w:rsidRDefault="00B0196F">
            <w:pPr>
              <w:jc w:val="center"/>
              <w:rPr>
                <w:rFonts w:asciiTheme="minorHAnsi" w:hAnsiTheme="minorHAnsi" w:cstheme="minorHAnsi"/>
                <w:sz w:val="18"/>
                <w:szCs w:val="18"/>
              </w:rPr>
            </w:pPr>
          </w:p>
        </w:tc>
        <w:tc>
          <w:tcPr>
            <w:tcW w:w="2044" w:type="dxa"/>
            <w:shd w:val="clear" w:color="000000" w:fill="00B050"/>
            <w:noWrap/>
            <w:vAlign w:val="center"/>
            <w:hideMark/>
          </w:tcPr>
          <w:p w14:paraId="7211F853"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r>
      <w:tr w:rsidR="00B0196F" w:rsidRPr="00E762A7" w14:paraId="1E578B9F" w14:textId="77777777">
        <w:trPr>
          <w:trHeight w:val="320"/>
        </w:trPr>
        <w:tc>
          <w:tcPr>
            <w:tcW w:w="1337" w:type="dxa"/>
            <w:shd w:val="clear" w:color="auto" w:fill="auto"/>
            <w:noWrap/>
            <w:vAlign w:val="center"/>
            <w:hideMark/>
          </w:tcPr>
          <w:p w14:paraId="1656FAF1"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Zambia</w:t>
            </w:r>
          </w:p>
        </w:tc>
        <w:tc>
          <w:tcPr>
            <w:tcW w:w="1370" w:type="dxa"/>
            <w:shd w:val="clear" w:color="000000" w:fill="FFD966"/>
            <w:vAlign w:val="center"/>
            <w:hideMark/>
          </w:tcPr>
          <w:p w14:paraId="21E5BF6D"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Some</w:t>
            </w:r>
          </w:p>
        </w:tc>
        <w:tc>
          <w:tcPr>
            <w:tcW w:w="2108" w:type="dxa"/>
            <w:shd w:val="clear" w:color="000000" w:fill="92D050"/>
            <w:noWrap/>
            <w:vAlign w:val="center"/>
            <w:hideMark/>
          </w:tcPr>
          <w:p w14:paraId="05ED8434"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1701" w:type="dxa"/>
            <w:shd w:val="clear" w:color="000000" w:fill="92D050"/>
            <w:noWrap/>
            <w:vAlign w:val="center"/>
            <w:hideMark/>
          </w:tcPr>
          <w:p w14:paraId="03F57CEF"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1695" w:type="dxa"/>
            <w:shd w:val="clear" w:color="auto" w:fill="auto"/>
            <w:noWrap/>
            <w:vAlign w:val="center"/>
            <w:hideMark/>
          </w:tcPr>
          <w:p w14:paraId="7BC69F95" w14:textId="77777777" w:rsidR="00B0196F" w:rsidRPr="00E762A7" w:rsidRDefault="00B0196F">
            <w:pPr>
              <w:jc w:val="center"/>
              <w:rPr>
                <w:rFonts w:asciiTheme="minorHAnsi" w:hAnsiTheme="minorHAnsi" w:cstheme="minorHAnsi"/>
                <w:color w:val="000000"/>
                <w:sz w:val="18"/>
                <w:szCs w:val="18"/>
              </w:rPr>
            </w:pPr>
          </w:p>
        </w:tc>
        <w:tc>
          <w:tcPr>
            <w:tcW w:w="2270" w:type="dxa"/>
            <w:shd w:val="clear" w:color="auto" w:fill="auto"/>
            <w:noWrap/>
            <w:vAlign w:val="center"/>
            <w:hideMark/>
          </w:tcPr>
          <w:p w14:paraId="0DE51144" w14:textId="77777777" w:rsidR="00B0196F" w:rsidRPr="00E762A7" w:rsidRDefault="00B0196F">
            <w:pPr>
              <w:jc w:val="center"/>
              <w:rPr>
                <w:rFonts w:asciiTheme="minorHAnsi" w:hAnsiTheme="minorHAnsi" w:cstheme="minorHAnsi"/>
                <w:sz w:val="18"/>
                <w:szCs w:val="18"/>
              </w:rPr>
            </w:pPr>
          </w:p>
        </w:tc>
        <w:tc>
          <w:tcPr>
            <w:tcW w:w="1645" w:type="dxa"/>
            <w:shd w:val="clear" w:color="auto" w:fill="auto"/>
            <w:noWrap/>
            <w:vAlign w:val="center"/>
            <w:hideMark/>
          </w:tcPr>
          <w:p w14:paraId="27D4142E" w14:textId="77777777" w:rsidR="00B0196F" w:rsidRPr="00E762A7" w:rsidRDefault="00B0196F">
            <w:pPr>
              <w:jc w:val="center"/>
              <w:rPr>
                <w:rFonts w:asciiTheme="minorHAnsi" w:hAnsiTheme="minorHAnsi" w:cstheme="minorHAnsi"/>
                <w:sz w:val="18"/>
                <w:szCs w:val="18"/>
              </w:rPr>
            </w:pPr>
          </w:p>
        </w:tc>
        <w:tc>
          <w:tcPr>
            <w:tcW w:w="2044" w:type="dxa"/>
            <w:shd w:val="clear" w:color="auto" w:fill="auto"/>
            <w:noWrap/>
            <w:vAlign w:val="center"/>
            <w:hideMark/>
          </w:tcPr>
          <w:p w14:paraId="0E16DE37" w14:textId="77777777" w:rsidR="00B0196F" w:rsidRPr="00E762A7" w:rsidRDefault="00B0196F">
            <w:pPr>
              <w:jc w:val="center"/>
              <w:rPr>
                <w:rFonts w:asciiTheme="minorHAnsi" w:hAnsiTheme="minorHAnsi" w:cstheme="minorHAnsi"/>
                <w:color w:val="000000"/>
                <w:sz w:val="18"/>
                <w:szCs w:val="18"/>
              </w:rPr>
            </w:pPr>
          </w:p>
        </w:tc>
      </w:tr>
      <w:tr w:rsidR="00B0196F" w:rsidRPr="00E762A7" w14:paraId="05EF8DB2" w14:textId="77777777">
        <w:trPr>
          <w:trHeight w:val="320"/>
        </w:trPr>
        <w:tc>
          <w:tcPr>
            <w:tcW w:w="1337" w:type="dxa"/>
            <w:shd w:val="clear" w:color="auto" w:fill="auto"/>
            <w:noWrap/>
            <w:vAlign w:val="center"/>
            <w:hideMark/>
          </w:tcPr>
          <w:p w14:paraId="1F94099D"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Ghana</w:t>
            </w:r>
          </w:p>
        </w:tc>
        <w:tc>
          <w:tcPr>
            <w:tcW w:w="1370" w:type="dxa"/>
            <w:shd w:val="clear" w:color="000000" w:fill="FBE4D5"/>
            <w:vAlign w:val="center"/>
            <w:hideMark/>
          </w:tcPr>
          <w:p w14:paraId="0D417E04"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Limited</w:t>
            </w:r>
          </w:p>
        </w:tc>
        <w:tc>
          <w:tcPr>
            <w:tcW w:w="2108" w:type="dxa"/>
            <w:shd w:val="clear" w:color="000000" w:fill="92D050"/>
            <w:noWrap/>
            <w:vAlign w:val="center"/>
            <w:hideMark/>
          </w:tcPr>
          <w:p w14:paraId="248C18DA"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1701" w:type="dxa"/>
            <w:shd w:val="clear" w:color="000000" w:fill="00B050"/>
            <w:noWrap/>
            <w:vAlign w:val="center"/>
            <w:hideMark/>
          </w:tcPr>
          <w:p w14:paraId="2DA21BEB"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695" w:type="dxa"/>
            <w:shd w:val="clear" w:color="auto" w:fill="auto"/>
            <w:noWrap/>
            <w:vAlign w:val="center"/>
            <w:hideMark/>
          </w:tcPr>
          <w:p w14:paraId="3F15CD1B" w14:textId="77777777" w:rsidR="00B0196F" w:rsidRPr="00E762A7" w:rsidRDefault="00B0196F">
            <w:pPr>
              <w:jc w:val="center"/>
              <w:rPr>
                <w:rFonts w:asciiTheme="minorHAnsi" w:hAnsiTheme="minorHAnsi" w:cstheme="minorHAnsi"/>
                <w:color w:val="000000"/>
                <w:sz w:val="18"/>
                <w:szCs w:val="18"/>
              </w:rPr>
            </w:pPr>
          </w:p>
        </w:tc>
        <w:tc>
          <w:tcPr>
            <w:tcW w:w="2270" w:type="dxa"/>
            <w:shd w:val="clear" w:color="000000" w:fill="FFC000"/>
            <w:noWrap/>
            <w:vAlign w:val="center"/>
            <w:hideMark/>
          </w:tcPr>
          <w:p w14:paraId="426A4A44"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Some</w:t>
            </w:r>
          </w:p>
        </w:tc>
        <w:tc>
          <w:tcPr>
            <w:tcW w:w="1645" w:type="dxa"/>
            <w:shd w:val="clear" w:color="auto" w:fill="auto"/>
            <w:noWrap/>
            <w:vAlign w:val="center"/>
            <w:hideMark/>
          </w:tcPr>
          <w:p w14:paraId="02AFFB28" w14:textId="77777777" w:rsidR="00B0196F" w:rsidRPr="00E762A7" w:rsidRDefault="00B0196F">
            <w:pPr>
              <w:jc w:val="center"/>
              <w:rPr>
                <w:rFonts w:asciiTheme="minorHAnsi" w:hAnsiTheme="minorHAnsi" w:cstheme="minorHAnsi"/>
                <w:color w:val="000000"/>
                <w:sz w:val="18"/>
                <w:szCs w:val="18"/>
              </w:rPr>
            </w:pPr>
          </w:p>
        </w:tc>
        <w:tc>
          <w:tcPr>
            <w:tcW w:w="2044" w:type="dxa"/>
            <w:shd w:val="clear" w:color="auto" w:fill="auto"/>
            <w:noWrap/>
            <w:vAlign w:val="center"/>
            <w:hideMark/>
          </w:tcPr>
          <w:p w14:paraId="3442E8F3" w14:textId="77777777" w:rsidR="00B0196F" w:rsidRPr="00E762A7" w:rsidRDefault="00B0196F">
            <w:pPr>
              <w:jc w:val="center"/>
              <w:rPr>
                <w:rFonts w:asciiTheme="minorHAnsi" w:hAnsiTheme="minorHAnsi" w:cstheme="minorHAnsi"/>
                <w:color w:val="000000"/>
                <w:sz w:val="18"/>
                <w:szCs w:val="18"/>
              </w:rPr>
            </w:pPr>
          </w:p>
        </w:tc>
      </w:tr>
      <w:tr w:rsidR="00B0196F" w:rsidRPr="00E762A7" w14:paraId="360522F5" w14:textId="77777777">
        <w:trPr>
          <w:trHeight w:val="320"/>
        </w:trPr>
        <w:tc>
          <w:tcPr>
            <w:tcW w:w="1337" w:type="dxa"/>
            <w:shd w:val="clear" w:color="auto" w:fill="auto"/>
            <w:noWrap/>
            <w:vAlign w:val="center"/>
            <w:hideMark/>
          </w:tcPr>
          <w:p w14:paraId="521BA0DB"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Nepal</w:t>
            </w:r>
          </w:p>
        </w:tc>
        <w:tc>
          <w:tcPr>
            <w:tcW w:w="1370" w:type="dxa"/>
            <w:shd w:val="clear" w:color="000000" w:fill="FBE4D5"/>
            <w:vAlign w:val="center"/>
            <w:hideMark/>
          </w:tcPr>
          <w:p w14:paraId="08F6DE6F"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Limited</w:t>
            </w:r>
          </w:p>
        </w:tc>
        <w:tc>
          <w:tcPr>
            <w:tcW w:w="2108" w:type="dxa"/>
            <w:shd w:val="clear" w:color="000000" w:fill="00B050"/>
            <w:noWrap/>
            <w:vAlign w:val="center"/>
            <w:hideMark/>
          </w:tcPr>
          <w:p w14:paraId="01BFF8E2"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701" w:type="dxa"/>
            <w:shd w:val="clear" w:color="000000" w:fill="00B050"/>
            <w:noWrap/>
            <w:vAlign w:val="center"/>
            <w:hideMark/>
          </w:tcPr>
          <w:p w14:paraId="3CBB9E30"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695" w:type="dxa"/>
            <w:shd w:val="clear" w:color="auto" w:fill="auto"/>
            <w:noWrap/>
            <w:vAlign w:val="center"/>
            <w:hideMark/>
          </w:tcPr>
          <w:p w14:paraId="04B0781A" w14:textId="77777777" w:rsidR="00B0196F" w:rsidRPr="00E762A7" w:rsidRDefault="00B0196F">
            <w:pPr>
              <w:jc w:val="center"/>
              <w:rPr>
                <w:rFonts w:asciiTheme="minorHAnsi" w:hAnsiTheme="minorHAnsi" w:cstheme="minorHAnsi"/>
                <w:color w:val="000000"/>
                <w:sz w:val="18"/>
                <w:szCs w:val="18"/>
              </w:rPr>
            </w:pPr>
          </w:p>
        </w:tc>
        <w:tc>
          <w:tcPr>
            <w:tcW w:w="2270" w:type="dxa"/>
            <w:shd w:val="clear" w:color="auto" w:fill="auto"/>
            <w:noWrap/>
            <w:vAlign w:val="center"/>
            <w:hideMark/>
          </w:tcPr>
          <w:p w14:paraId="00FC2DB4" w14:textId="77777777" w:rsidR="00B0196F" w:rsidRPr="00E762A7" w:rsidRDefault="00B0196F">
            <w:pPr>
              <w:jc w:val="center"/>
              <w:rPr>
                <w:rFonts w:asciiTheme="minorHAnsi" w:hAnsiTheme="minorHAnsi" w:cstheme="minorHAnsi"/>
                <w:sz w:val="18"/>
                <w:szCs w:val="18"/>
              </w:rPr>
            </w:pPr>
          </w:p>
        </w:tc>
        <w:tc>
          <w:tcPr>
            <w:tcW w:w="1645" w:type="dxa"/>
            <w:shd w:val="clear" w:color="000000" w:fill="00B050"/>
            <w:noWrap/>
            <w:vAlign w:val="center"/>
            <w:hideMark/>
          </w:tcPr>
          <w:p w14:paraId="657204F7"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2044" w:type="dxa"/>
            <w:shd w:val="clear" w:color="auto" w:fill="auto"/>
            <w:noWrap/>
            <w:vAlign w:val="center"/>
            <w:hideMark/>
          </w:tcPr>
          <w:p w14:paraId="623568DF" w14:textId="77777777" w:rsidR="00B0196F" w:rsidRPr="00E762A7" w:rsidRDefault="00B0196F">
            <w:pPr>
              <w:jc w:val="center"/>
              <w:rPr>
                <w:rFonts w:asciiTheme="minorHAnsi" w:hAnsiTheme="minorHAnsi" w:cstheme="minorHAnsi"/>
                <w:color w:val="000000"/>
                <w:sz w:val="18"/>
                <w:szCs w:val="18"/>
              </w:rPr>
            </w:pPr>
          </w:p>
        </w:tc>
      </w:tr>
      <w:tr w:rsidR="00B0196F" w:rsidRPr="00E762A7" w14:paraId="289F5A1B" w14:textId="77777777">
        <w:trPr>
          <w:trHeight w:val="320"/>
        </w:trPr>
        <w:tc>
          <w:tcPr>
            <w:tcW w:w="1337" w:type="dxa"/>
            <w:shd w:val="clear" w:color="auto" w:fill="auto"/>
            <w:noWrap/>
            <w:vAlign w:val="center"/>
            <w:hideMark/>
          </w:tcPr>
          <w:p w14:paraId="7E1AD2B6"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Nigeria</w:t>
            </w:r>
          </w:p>
        </w:tc>
        <w:tc>
          <w:tcPr>
            <w:tcW w:w="1370" w:type="dxa"/>
            <w:shd w:val="clear" w:color="000000" w:fill="FBE4D5"/>
            <w:vAlign w:val="center"/>
            <w:hideMark/>
          </w:tcPr>
          <w:p w14:paraId="66129BC8"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Limited</w:t>
            </w:r>
          </w:p>
        </w:tc>
        <w:tc>
          <w:tcPr>
            <w:tcW w:w="2108" w:type="dxa"/>
            <w:shd w:val="clear" w:color="auto" w:fill="auto"/>
            <w:noWrap/>
            <w:vAlign w:val="center"/>
            <w:hideMark/>
          </w:tcPr>
          <w:p w14:paraId="72EF37AC" w14:textId="77777777" w:rsidR="00B0196F" w:rsidRPr="00E762A7" w:rsidRDefault="00B0196F">
            <w:pPr>
              <w:jc w:val="center"/>
              <w:rPr>
                <w:rFonts w:asciiTheme="minorHAnsi" w:hAnsiTheme="minorHAnsi" w:cstheme="minorHAnsi"/>
                <w:b/>
                <w:bCs/>
                <w:color w:val="000000"/>
                <w:sz w:val="18"/>
                <w:szCs w:val="18"/>
              </w:rPr>
            </w:pPr>
          </w:p>
        </w:tc>
        <w:tc>
          <w:tcPr>
            <w:tcW w:w="1701" w:type="dxa"/>
            <w:shd w:val="clear" w:color="auto" w:fill="auto"/>
            <w:noWrap/>
            <w:vAlign w:val="center"/>
            <w:hideMark/>
          </w:tcPr>
          <w:p w14:paraId="5E37B087" w14:textId="77777777" w:rsidR="00B0196F" w:rsidRPr="00E762A7" w:rsidRDefault="00B0196F">
            <w:pPr>
              <w:jc w:val="center"/>
              <w:rPr>
                <w:rFonts w:asciiTheme="minorHAnsi" w:hAnsiTheme="minorHAnsi" w:cstheme="minorHAnsi"/>
                <w:sz w:val="18"/>
                <w:szCs w:val="18"/>
              </w:rPr>
            </w:pPr>
          </w:p>
        </w:tc>
        <w:tc>
          <w:tcPr>
            <w:tcW w:w="1695" w:type="dxa"/>
            <w:shd w:val="clear" w:color="000000" w:fill="00B050"/>
            <w:noWrap/>
            <w:vAlign w:val="center"/>
            <w:hideMark/>
          </w:tcPr>
          <w:p w14:paraId="197C0C61"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2270" w:type="dxa"/>
            <w:shd w:val="clear" w:color="000000" w:fill="92D050"/>
            <w:noWrap/>
            <w:vAlign w:val="center"/>
            <w:hideMark/>
          </w:tcPr>
          <w:p w14:paraId="46F396D7"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1645" w:type="dxa"/>
            <w:shd w:val="clear" w:color="000000" w:fill="00B050"/>
            <w:noWrap/>
            <w:vAlign w:val="center"/>
            <w:hideMark/>
          </w:tcPr>
          <w:p w14:paraId="09EE9964"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2044" w:type="dxa"/>
            <w:shd w:val="clear" w:color="auto" w:fill="auto"/>
            <w:noWrap/>
            <w:vAlign w:val="center"/>
            <w:hideMark/>
          </w:tcPr>
          <w:p w14:paraId="217F384B" w14:textId="77777777" w:rsidR="00B0196F" w:rsidRPr="00E762A7" w:rsidRDefault="00B0196F">
            <w:pPr>
              <w:jc w:val="center"/>
              <w:rPr>
                <w:rFonts w:asciiTheme="minorHAnsi" w:hAnsiTheme="minorHAnsi" w:cstheme="minorHAnsi"/>
                <w:color w:val="000000"/>
                <w:sz w:val="18"/>
                <w:szCs w:val="18"/>
              </w:rPr>
            </w:pPr>
          </w:p>
        </w:tc>
      </w:tr>
      <w:tr w:rsidR="00B0196F" w:rsidRPr="00E762A7" w14:paraId="603D6731" w14:textId="77777777">
        <w:trPr>
          <w:trHeight w:val="320"/>
        </w:trPr>
        <w:tc>
          <w:tcPr>
            <w:tcW w:w="1337" w:type="dxa"/>
            <w:shd w:val="clear" w:color="auto" w:fill="auto"/>
            <w:noWrap/>
            <w:vAlign w:val="center"/>
            <w:hideMark/>
          </w:tcPr>
          <w:p w14:paraId="045094E1"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Laos</w:t>
            </w:r>
          </w:p>
        </w:tc>
        <w:tc>
          <w:tcPr>
            <w:tcW w:w="1370" w:type="dxa"/>
            <w:shd w:val="clear" w:color="000000" w:fill="BDD6EE"/>
            <w:vAlign w:val="center"/>
            <w:hideMark/>
          </w:tcPr>
          <w:p w14:paraId="226C31C4"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None yet</w:t>
            </w:r>
          </w:p>
        </w:tc>
        <w:tc>
          <w:tcPr>
            <w:tcW w:w="2108" w:type="dxa"/>
            <w:shd w:val="clear" w:color="000000" w:fill="00B050"/>
            <w:noWrap/>
            <w:vAlign w:val="center"/>
            <w:hideMark/>
          </w:tcPr>
          <w:p w14:paraId="2BBDDE42"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701" w:type="dxa"/>
            <w:shd w:val="clear" w:color="000000" w:fill="00B050"/>
            <w:noWrap/>
            <w:vAlign w:val="center"/>
            <w:hideMark/>
          </w:tcPr>
          <w:p w14:paraId="2E044A57"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Vital</w:t>
            </w:r>
          </w:p>
        </w:tc>
        <w:tc>
          <w:tcPr>
            <w:tcW w:w="1695" w:type="dxa"/>
            <w:shd w:val="clear" w:color="auto" w:fill="auto"/>
            <w:noWrap/>
            <w:vAlign w:val="center"/>
            <w:hideMark/>
          </w:tcPr>
          <w:p w14:paraId="75A4C691" w14:textId="77777777" w:rsidR="00B0196F" w:rsidRPr="00E762A7" w:rsidRDefault="00B0196F">
            <w:pPr>
              <w:jc w:val="center"/>
              <w:rPr>
                <w:rFonts w:asciiTheme="minorHAnsi" w:hAnsiTheme="minorHAnsi" w:cstheme="minorHAnsi"/>
                <w:color w:val="000000"/>
                <w:sz w:val="18"/>
                <w:szCs w:val="18"/>
              </w:rPr>
            </w:pPr>
          </w:p>
        </w:tc>
        <w:tc>
          <w:tcPr>
            <w:tcW w:w="2270" w:type="dxa"/>
            <w:shd w:val="clear" w:color="auto" w:fill="auto"/>
            <w:noWrap/>
            <w:vAlign w:val="center"/>
            <w:hideMark/>
          </w:tcPr>
          <w:p w14:paraId="4D629625" w14:textId="77777777" w:rsidR="00B0196F" w:rsidRPr="00E762A7" w:rsidRDefault="00B0196F">
            <w:pPr>
              <w:jc w:val="center"/>
              <w:rPr>
                <w:rFonts w:asciiTheme="minorHAnsi" w:hAnsiTheme="minorHAnsi" w:cstheme="minorHAnsi"/>
                <w:sz w:val="18"/>
                <w:szCs w:val="18"/>
              </w:rPr>
            </w:pPr>
          </w:p>
        </w:tc>
        <w:tc>
          <w:tcPr>
            <w:tcW w:w="1645" w:type="dxa"/>
            <w:shd w:val="clear" w:color="auto" w:fill="auto"/>
            <w:noWrap/>
            <w:vAlign w:val="center"/>
            <w:hideMark/>
          </w:tcPr>
          <w:p w14:paraId="5A26F1D1" w14:textId="77777777" w:rsidR="00B0196F" w:rsidRPr="00E762A7" w:rsidRDefault="00B0196F">
            <w:pPr>
              <w:jc w:val="center"/>
              <w:rPr>
                <w:rFonts w:asciiTheme="minorHAnsi" w:hAnsiTheme="minorHAnsi" w:cstheme="minorHAnsi"/>
                <w:sz w:val="18"/>
                <w:szCs w:val="18"/>
              </w:rPr>
            </w:pPr>
          </w:p>
        </w:tc>
        <w:tc>
          <w:tcPr>
            <w:tcW w:w="2044" w:type="dxa"/>
            <w:shd w:val="clear" w:color="000000" w:fill="92D050"/>
            <w:noWrap/>
            <w:vAlign w:val="center"/>
            <w:hideMark/>
          </w:tcPr>
          <w:p w14:paraId="2317B9BE"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r>
      <w:tr w:rsidR="00B0196F" w:rsidRPr="00E762A7" w14:paraId="083FD28F" w14:textId="77777777">
        <w:trPr>
          <w:trHeight w:val="320"/>
        </w:trPr>
        <w:tc>
          <w:tcPr>
            <w:tcW w:w="1337" w:type="dxa"/>
            <w:shd w:val="clear" w:color="auto" w:fill="auto"/>
            <w:noWrap/>
            <w:vAlign w:val="center"/>
            <w:hideMark/>
          </w:tcPr>
          <w:p w14:paraId="2EACB358"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Senegal</w:t>
            </w:r>
          </w:p>
        </w:tc>
        <w:tc>
          <w:tcPr>
            <w:tcW w:w="1370" w:type="dxa"/>
            <w:shd w:val="clear" w:color="000000" w:fill="BDD6EE"/>
            <w:vAlign w:val="center"/>
            <w:hideMark/>
          </w:tcPr>
          <w:p w14:paraId="32690A11"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None yet</w:t>
            </w:r>
          </w:p>
        </w:tc>
        <w:tc>
          <w:tcPr>
            <w:tcW w:w="2108" w:type="dxa"/>
            <w:shd w:val="clear" w:color="000000" w:fill="92D050"/>
            <w:noWrap/>
            <w:vAlign w:val="center"/>
            <w:hideMark/>
          </w:tcPr>
          <w:p w14:paraId="02B3F284"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1701" w:type="dxa"/>
            <w:shd w:val="clear" w:color="000000" w:fill="92D050"/>
            <w:noWrap/>
            <w:vAlign w:val="center"/>
            <w:hideMark/>
          </w:tcPr>
          <w:p w14:paraId="4C6B583E"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Important</w:t>
            </w:r>
          </w:p>
        </w:tc>
        <w:tc>
          <w:tcPr>
            <w:tcW w:w="1695" w:type="dxa"/>
            <w:shd w:val="clear" w:color="auto" w:fill="auto"/>
            <w:noWrap/>
            <w:vAlign w:val="center"/>
            <w:hideMark/>
          </w:tcPr>
          <w:p w14:paraId="4D251565" w14:textId="77777777" w:rsidR="00B0196F" w:rsidRPr="00E762A7" w:rsidRDefault="00B0196F">
            <w:pPr>
              <w:jc w:val="center"/>
              <w:rPr>
                <w:rFonts w:asciiTheme="minorHAnsi" w:hAnsiTheme="minorHAnsi" w:cstheme="minorHAnsi"/>
                <w:color w:val="000000"/>
                <w:sz w:val="18"/>
                <w:szCs w:val="18"/>
              </w:rPr>
            </w:pPr>
          </w:p>
        </w:tc>
        <w:tc>
          <w:tcPr>
            <w:tcW w:w="2270" w:type="dxa"/>
            <w:shd w:val="clear" w:color="000000" w:fill="FFC000"/>
            <w:noWrap/>
            <w:vAlign w:val="center"/>
            <w:hideMark/>
          </w:tcPr>
          <w:p w14:paraId="22B2B07D"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Some</w:t>
            </w:r>
          </w:p>
        </w:tc>
        <w:tc>
          <w:tcPr>
            <w:tcW w:w="1645" w:type="dxa"/>
            <w:shd w:val="clear" w:color="auto" w:fill="auto"/>
            <w:noWrap/>
            <w:vAlign w:val="center"/>
            <w:hideMark/>
          </w:tcPr>
          <w:p w14:paraId="3C297B5C" w14:textId="77777777" w:rsidR="00B0196F" w:rsidRPr="00E762A7" w:rsidRDefault="00B0196F">
            <w:pPr>
              <w:jc w:val="center"/>
              <w:rPr>
                <w:rFonts w:asciiTheme="minorHAnsi" w:hAnsiTheme="minorHAnsi" w:cstheme="minorHAnsi"/>
                <w:color w:val="000000"/>
                <w:sz w:val="18"/>
                <w:szCs w:val="18"/>
              </w:rPr>
            </w:pPr>
          </w:p>
        </w:tc>
        <w:tc>
          <w:tcPr>
            <w:tcW w:w="2044" w:type="dxa"/>
            <w:shd w:val="clear" w:color="000000" w:fill="FFC000"/>
            <w:noWrap/>
            <w:vAlign w:val="center"/>
            <w:hideMark/>
          </w:tcPr>
          <w:p w14:paraId="1E6E4AFF"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Some</w:t>
            </w:r>
          </w:p>
        </w:tc>
      </w:tr>
      <w:tr w:rsidR="00B0196F" w:rsidRPr="00E762A7" w14:paraId="724BE7B8" w14:textId="77777777">
        <w:trPr>
          <w:trHeight w:val="320"/>
        </w:trPr>
        <w:tc>
          <w:tcPr>
            <w:tcW w:w="1337" w:type="dxa"/>
            <w:shd w:val="clear" w:color="auto" w:fill="auto"/>
            <w:noWrap/>
            <w:vAlign w:val="center"/>
            <w:hideMark/>
          </w:tcPr>
          <w:p w14:paraId="137D7B17"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Sierra Leone</w:t>
            </w:r>
          </w:p>
        </w:tc>
        <w:tc>
          <w:tcPr>
            <w:tcW w:w="1370" w:type="dxa"/>
            <w:shd w:val="clear" w:color="000000" w:fill="BDD6EE"/>
            <w:vAlign w:val="center"/>
            <w:hideMark/>
          </w:tcPr>
          <w:p w14:paraId="4FE7CB3D" w14:textId="77777777" w:rsidR="00B0196F" w:rsidRPr="00E762A7" w:rsidRDefault="00B0196F">
            <w:pPr>
              <w:jc w:val="center"/>
              <w:rPr>
                <w:rFonts w:asciiTheme="minorHAnsi" w:hAnsiTheme="minorHAnsi" w:cstheme="minorHAnsi"/>
                <w:b/>
                <w:bCs/>
                <w:color w:val="000000"/>
                <w:sz w:val="18"/>
                <w:szCs w:val="18"/>
              </w:rPr>
            </w:pPr>
            <w:r w:rsidRPr="00E762A7">
              <w:rPr>
                <w:rFonts w:asciiTheme="minorHAnsi" w:hAnsiTheme="minorHAnsi" w:cstheme="minorHAnsi"/>
                <w:b/>
                <w:bCs/>
                <w:color w:val="000000"/>
                <w:sz w:val="18"/>
                <w:szCs w:val="18"/>
              </w:rPr>
              <w:t>None yet</w:t>
            </w:r>
          </w:p>
        </w:tc>
        <w:tc>
          <w:tcPr>
            <w:tcW w:w="2108" w:type="dxa"/>
            <w:shd w:val="clear" w:color="000000" w:fill="FFC000"/>
            <w:noWrap/>
            <w:vAlign w:val="center"/>
            <w:hideMark/>
          </w:tcPr>
          <w:p w14:paraId="0A6CD19C"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Some</w:t>
            </w:r>
          </w:p>
        </w:tc>
        <w:tc>
          <w:tcPr>
            <w:tcW w:w="1701" w:type="dxa"/>
            <w:shd w:val="clear" w:color="000000" w:fill="ED7D31"/>
            <w:noWrap/>
            <w:vAlign w:val="center"/>
            <w:hideMark/>
          </w:tcPr>
          <w:p w14:paraId="0BB1F71C" w14:textId="77777777" w:rsidR="00B0196F" w:rsidRPr="00E762A7" w:rsidRDefault="00B0196F">
            <w:pPr>
              <w:jc w:val="center"/>
              <w:rPr>
                <w:rFonts w:asciiTheme="minorHAnsi" w:hAnsiTheme="minorHAnsi" w:cstheme="minorHAnsi"/>
                <w:color w:val="000000"/>
                <w:sz w:val="18"/>
                <w:szCs w:val="18"/>
              </w:rPr>
            </w:pPr>
            <w:r w:rsidRPr="00E762A7">
              <w:rPr>
                <w:rFonts w:asciiTheme="minorHAnsi" w:hAnsiTheme="minorHAnsi" w:cstheme="minorHAnsi"/>
                <w:color w:val="000000"/>
                <w:sz w:val="18"/>
                <w:szCs w:val="18"/>
              </w:rPr>
              <w:t>None</w:t>
            </w:r>
          </w:p>
        </w:tc>
        <w:tc>
          <w:tcPr>
            <w:tcW w:w="1695" w:type="dxa"/>
            <w:shd w:val="clear" w:color="auto" w:fill="auto"/>
            <w:noWrap/>
            <w:vAlign w:val="center"/>
            <w:hideMark/>
          </w:tcPr>
          <w:p w14:paraId="4561B1CE" w14:textId="77777777" w:rsidR="00B0196F" w:rsidRPr="00E762A7" w:rsidRDefault="00B0196F">
            <w:pPr>
              <w:jc w:val="center"/>
              <w:rPr>
                <w:rFonts w:asciiTheme="minorHAnsi" w:hAnsiTheme="minorHAnsi" w:cstheme="minorHAnsi"/>
                <w:color w:val="000000"/>
                <w:sz w:val="18"/>
                <w:szCs w:val="18"/>
              </w:rPr>
            </w:pPr>
          </w:p>
        </w:tc>
        <w:tc>
          <w:tcPr>
            <w:tcW w:w="2270" w:type="dxa"/>
            <w:shd w:val="clear" w:color="auto" w:fill="auto"/>
            <w:noWrap/>
            <w:vAlign w:val="center"/>
            <w:hideMark/>
          </w:tcPr>
          <w:p w14:paraId="4FEF145C" w14:textId="77777777" w:rsidR="00B0196F" w:rsidRPr="00E762A7" w:rsidRDefault="00B0196F">
            <w:pPr>
              <w:jc w:val="center"/>
              <w:rPr>
                <w:rFonts w:asciiTheme="minorHAnsi" w:hAnsiTheme="minorHAnsi" w:cstheme="minorHAnsi"/>
                <w:sz w:val="18"/>
                <w:szCs w:val="18"/>
              </w:rPr>
            </w:pPr>
          </w:p>
        </w:tc>
        <w:tc>
          <w:tcPr>
            <w:tcW w:w="1645" w:type="dxa"/>
            <w:shd w:val="clear" w:color="auto" w:fill="auto"/>
            <w:noWrap/>
            <w:vAlign w:val="center"/>
            <w:hideMark/>
          </w:tcPr>
          <w:p w14:paraId="21ECF62C" w14:textId="77777777" w:rsidR="00B0196F" w:rsidRPr="00E762A7" w:rsidRDefault="00B0196F">
            <w:pPr>
              <w:jc w:val="center"/>
              <w:rPr>
                <w:rFonts w:asciiTheme="minorHAnsi" w:hAnsiTheme="minorHAnsi" w:cstheme="minorHAnsi"/>
                <w:sz w:val="18"/>
                <w:szCs w:val="18"/>
              </w:rPr>
            </w:pPr>
          </w:p>
        </w:tc>
        <w:tc>
          <w:tcPr>
            <w:tcW w:w="2044" w:type="dxa"/>
            <w:shd w:val="clear" w:color="auto" w:fill="auto"/>
            <w:noWrap/>
            <w:vAlign w:val="center"/>
            <w:hideMark/>
          </w:tcPr>
          <w:p w14:paraId="1AACCD47" w14:textId="77777777" w:rsidR="00B0196F" w:rsidRPr="00E762A7" w:rsidRDefault="00B0196F">
            <w:pPr>
              <w:jc w:val="center"/>
              <w:rPr>
                <w:rFonts w:asciiTheme="minorHAnsi" w:hAnsiTheme="minorHAnsi" w:cstheme="minorHAnsi"/>
                <w:color w:val="000000"/>
                <w:sz w:val="18"/>
                <w:szCs w:val="18"/>
              </w:rPr>
            </w:pPr>
          </w:p>
        </w:tc>
      </w:tr>
    </w:tbl>
    <w:p w14:paraId="65057042" w14:textId="77777777" w:rsidR="00B0196F" w:rsidRDefault="00B0196F" w:rsidP="00B0196F"/>
    <w:p w14:paraId="1CB07BE8" w14:textId="77777777" w:rsidR="00B0196F" w:rsidRDefault="00B0196F" w:rsidP="00B0196F">
      <w:r>
        <w:br w:type="page"/>
      </w:r>
    </w:p>
    <w:p w14:paraId="398E2449" w14:textId="7B3ED029" w:rsidR="00B0196F" w:rsidRPr="00B3660F" w:rsidRDefault="00B0196F" w:rsidP="007F63EF">
      <w:pPr>
        <w:pStyle w:val="ItadH3"/>
        <w:keepNext/>
        <w:rPr>
          <w:b w:val="0"/>
          <w:bCs w:val="0"/>
          <w:lang w:val="en-GB"/>
        </w:rPr>
      </w:pPr>
      <w:bookmarkStart w:id="451" w:name="_Toc142383237"/>
      <w:r w:rsidRPr="007F63EF">
        <w:rPr>
          <w:lang w:val="en-GB"/>
        </w:rPr>
        <w:t xml:space="preserve">C3 </w:t>
      </w:r>
      <w:r w:rsidR="00DA63C1" w:rsidRPr="007F63EF">
        <w:rPr>
          <w:lang w:val="en-GB"/>
        </w:rPr>
        <w:t>Changes in data s</w:t>
      </w:r>
      <w:r w:rsidRPr="007F63EF">
        <w:rPr>
          <w:lang w:val="en-GB"/>
        </w:rPr>
        <w:t>haring with relevant committees</w:t>
      </w:r>
      <w:bookmarkEnd w:id="451"/>
      <w:r w:rsidRPr="007F63EF">
        <w:rPr>
          <w:lang w:val="en-GB"/>
        </w:rPr>
        <w:t xml:space="preserve"> </w:t>
      </w:r>
    </w:p>
    <w:tbl>
      <w:tblPr>
        <w:tblW w:w="148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402"/>
        <w:gridCol w:w="2130"/>
        <w:gridCol w:w="2114"/>
        <w:gridCol w:w="2130"/>
        <w:gridCol w:w="2130"/>
        <w:gridCol w:w="1313"/>
        <w:gridCol w:w="2208"/>
      </w:tblGrid>
      <w:tr w:rsidR="00B0196F" w:rsidRPr="00473226" w14:paraId="4671589F" w14:textId="77777777" w:rsidTr="007F63EF">
        <w:trPr>
          <w:trHeight w:val="717"/>
        </w:trPr>
        <w:tc>
          <w:tcPr>
            <w:tcW w:w="1465" w:type="dxa"/>
            <w:shd w:val="clear" w:color="auto" w:fill="96C286" w:themeFill="text2" w:themeFillTint="99"/>
            <w:noWrap/>
            <w:vAlign w:val="center"/>
            <w:hideMark/>
          </w:tcPr>
          <w:p w14:paraId="1D12D66B" w14:textId="77777777" w:rsidR="00B0196F" w:rsidRPr="00473226" w:rsidRDefault="00B0196F">
            <w:pPr>
              <w:jc w:val="center"/>
              <w:rPr>
                <w:rFonts w:asciiTheme="minorHAnsi" w:hAnsiTheme="minorHAnsi" w:cstheme="minorHAnsi"/>
                <w:b/>
                <w:bCs/>
                <w:color w:val="000000"/>
              </w:rPr>
            </w:pPr>
            <w:r w:rsidRPr="00473226">
              <w:rPr>
                <w:rFonts w:asciiTheme="minorHAnsi" w:hAnsiTheme="minorHAnsi" w:cstheme="minorHAnsi"/>
                <w:b/>
                <w:bCs/>
                <w:color w:val="000000"/>
              </w:rPr>
              <w:t>Countries</w:t>
            </w:r>
          </w:p>
        </w:tc>
        <w:tc>
          <w:tcPr>
            <w:tcW w:w="1402" w:type="dxa"/>
            <w:shd w:val="clear" w:color="auto" w:fill="96C286" w:themeFill="text2" w:themeFillTint="99"/>
            <w:noWrap/>
            <w:vAlign w:val="center"/>
            <w:hideMark/>
          </w:tcPr>
          <w:p w14:paraId="76B88ECD" w14:textId="484F67AE" w:rsidR="00B0196F" w:rsidRPr="00473226" w:rsidRDefault="00B0196F">
            <w:pPr>
              <w:jc w:val="center"/>
              <w:rPr>
                <w:rFonts w:asciiTheme="minorHAnsi" w:hAnsiTheme="minorHAnsi" w:cstheme="minorHAnsi"/>
                <w:b/>
                <w:bCs/>
                <w:color w:val="000000"/>
              </w:rPr>
            </w:pPr>
            <w:r w:rsidRPr="00473226">
              <w:rPr>
                <w:rFonts w:asciiTheme="minorHAnsi" w:hAnsiTheme="minorHAnsi" w:cstheme="minorHAnsi"/>
                <w:b/>
                <w:bCs/>
                <w:color w:val="000000"/>
              </w:rPr>
              <w:t>Ext</w:t>
            </w:r>
            <w:r w:rsidR="002D678B">
              <w:rPr>
                <w:rFonts w:asciiTheme="minorHAnsi" w:hAnsiTheme="minorHAnsi" w:cstheme="minorHAnsi"/>
                <w:b/>
                <w:bCs/>
                <w:color w:val="000000"/>
              </w:rPr>
              <w:t>ent</w:t>
            </w:r>
            <w:r w:rsidRPr="00473226">
              <w:rPr>
                <w:rFonts w:asciiTheme="minorHAnsi" w:hAnsiTheme="minorHAnsi" w:cstheme="minorHAnsi"/>
                <w:b/>
                <w:bCs/>
                <w:color w:val="000000"/>
              </w:rPr>
              <w:t xml:space="preserve"> of change</w:t>
            </w:r>
          </w:p>
        </w:tc>
        <w:tc>
          <w:tcPr>
            <w:tcW w:w="2130" w:type="dxa"/>
            <w:shd w:val="clear" w:color="auto" w:fill="96C286" w:themeFill="text2" w:themeFillTint="99"/>
            <w:noWrap/>
            <w:vAlign w:val="center"/>
            <w:hideMark/>
          </w:tcPr>
          <w:p w14:paraId="214B36B3" w14:textId="462AAB78" w:rsidR="00B0196F" w:rsidRPr="00473226" w:rsidRDefault="00B0196F">
            <w:pPr>
              <w:jc w:val="center"/>
              <w:rPr>
                <w:rFonts w:asciiTheme="minorHAnsi" w:hAnsiTheme="minorHAnsi" w:cstheme="minorHAnsi"/>
                <w:b/>
                <w:bCs/>
                <w:color w:val="000000"/>
              </w:rPr>
            </w:pPr>
            <w:r w:rsidRPr="00473226">
              <w:rPr>
                <w:rFonts w:asciiTheme="minorHAnsi" w:hAnsiTheme="minorHAnsi" w:cstheme="minorHAnsi"/>
                <w:b/>
                <w:bCs/>
                <w:color w:val="000000"/>
              </w:rPr>
              <w:t>Governance/ demand</w:t>
            </w:r>
          </w:p>
        </w:tc>
        <w:tc>
          <w:tcPr>
            <w:tcW w:w="2114" w:type="dxa"/>
            <w:shd w:val="clear" w:color="auto" w:fill="96C286" w:themeFill="text2" w:themeFillTint="99"/>
            <w:noWrap/>
            <w:vAlign w:val="center"/>
            <w:hideMark/>
          </w:tcPr>
          <w:p w14:paraId="5D7E3DFA" w14:textId="77777777" w:rsidR="00B0196F" w:rsidRPr="00473226" w:rsidRDefault="00B0196F">
            <w:pPr>
              <w:jc w:val="center"/>
              <w:rPr>
                <w:rFonts w:asciiTheme="minorHAnsi" w:hAnsiTheme="minorHAnsi" w:cstheme="minorHAnsi"/>
                <w:b/>
                <w:bCs/>
                <w:color w:val="000000"/>
              </w:rPr>
            </w:pPr>
            <w:r w:rsidRPr="00473226">
              <w:rPr>
                <w:rFonts w:asciiTheme="minorHAnsi" w:hAnsiTheme="minorHAnsi" w:cstheme="minorHAnsi"/>
                <w:b/>
                <w:bCs/>
                <w:color w:val="000000"/>
              </w:rPr>
              <w:t>Data supply</w:t>
            </w:r>
          </w:p>
        </w:tc>
        <w:tc>
          <w:tcPr>
            <w:tcW w:w="2130" w:type="dxa"/>
            <w:shd w:val="clear" w:color="auto" w:fill="96C286" w:themeFill="text2" w:themeFillTint="99"/>
            <w:noWrap/>
            <w:vAlign w:val="center"/>
            <w:hideMark/>
          </w:tcPr>
          <w:p w14:paraId="4F1C8E90" w14:textId="77777777" w:rsidR="00B0196F" w:rsidRPr="00473226" w:rsidRDefault="00B0196F">
            <w:pPr>
              <w:jc w:val="center"/>
              <w:rPr>
                <w:rFonts w:asciiTheme="minorHAnsi" w:hAnsiTheme="minorHAnsi" w:cstheme="minorHAnsi"/>
                <w:b/>
                <w:bCs/>
                <w:color w:val="000000"/>
              </w:rPr>
            </w:pPr>
            <w:r w:rsidRPr="00473226">
              <w:rPr>
                <w:rFonts w:asciiTheme="minorHAnsi" w:hAnsiTheme="minorHAnsi" w:cstheme="minorHAnsi"/>
                <w:b/>
                <w:bCs/>
                <w:color w:val="000000"/>
              </w:rPr>
              <w:t>Data sharing processes</w:t>
            </w:r>
          </w:p>
        </w:tc>
        <w:tc>
          <w:tcPr>
            <w:tcW w:w="2130" w:type="dxa"/>
            <w:shd w:val="clear" w:color="auto" w:fill="96C286" w:themeFill="text2" w:themeFillTint="99"/>
            <w:noWrap/>
            <w:vAlign w:val="center"/>
            <w:hideMark/>
          </w:tcPr>
          <w:p w14:paraId="159615FD" w14:textId="77777777" w:rsidR="00B0196F" w:rsidRPr="00473226" w:rsidRDefault="00B0196F">
            <w:pPr>
              <w:jc w:val="center"/>
              <w:rPr>
                <w:rFonts w:asciiTheme="minorHAnsi" w:hAnsiTheme="minorHAnsi" w:cstheme="minorHAnsi"/>
                <w:b/>
                <w:bCs/>
                <w:color w:val="000000"/>
              </w:rPr>
            </w:pPr>
            <w:r w:rsidRPr="00473226">
              <w:rPr>
                <w:rFonts w:asciiTheme="minorHAnsi" w:hAnsiTheme="minorHAnsi" w:cstheme="minorHAnsi"/>
                <w:b/>
                <w:bCs/>
                <w:color w:val="000000"/>
              </w:rPr>
              <w:t>Incentives</w:t>
            </w:r>
          </w:p>
        </w:tc>
        <w:tc>
          <w:tcPr>
            <w:tcW w:w="1313" w:type="dxa"/>
            <w:shd w:val="clear" w:color="auto" w:fill="96C286" w:themeFill="text2" w:themeFillTint="99"/>
            <w:noWrap/>
            <w:vAlign w:val="center"/>
            <w:hideMark/>
          </w:tcPr>
          <w:p w14:paraId="39D63F10" w14:textId="77777777" w:rsidR="00B0196F" w:rsidRPr="00473226" w:rsidRDefault="00B0196F">
            <w:pPr>
              <w:jc w:val="center"/>
              <w:rPr>
                <w:rFonts w:asciiTheme="minorHAnsi" w:hAnsiTheme="minorHAnsi" w:cstheme="minorHAnsi"/>
                <w:b/>
                <w:bCs/>
                <w:color w:val="000000"/>
              </w:rPr>
            </w:pPr>
            <w:r w:rsidRPr="00473226">
              <w:rPr>
                <w:rFonts w:asciiTheme="minorHAnsi" w:hAnsiTheme="minorHAnsi" w:cstheme="minorHAnsi"/>
                <w:b/>
                <w:bCs/>
                <w:color w:val="000000"/>
              </w:rPr>
              <w:t>Resourcing</w:t>
            </w:r>
          </w:p>
        </w:tc>
        <w:tc>
          <w:tcPr>
            <w:tcW w:w="2208" w:type="dxa"/>
            <w:shd w:val="clear" w:color="auto" w:fill="96C286" w:themeFill="text2" w:themeFillTint="99"/>
            <w:noWrap/>
            <w:vAlign w:val="center"/>
            <w:hideMark/>
          </w:tcPr>
          <w:p w14:paraId="6B3E0C78" w14:textId="77777777" w:rsidR="00B0196F" w:rsidRPr="00473226" w:rsidRDefault="00B0196F">
            <w:pPr>
              <w:jc w:val="center"/>
              <w:rPr>
                <w:rFonts w:asciiTheme="minorHAnsi" w:hAnsiTheme="minorHAnsi" w:cstheme="minorHAnsi"/>
                <w:b/>
                <w:bCs/>
                <w:color w:val="000000"/>
              </w:rPr>
            </w:pPr>
            <w:r w:rsidRPr="00473226">
              <w:rPr>
                <w:rFonts w:asciiTheme="minorHAnsi" w:hAnsiTheme="minorHAnsi" w:cstheme="minorHAnsi"/>
                <w:b/>
                <w:bCs/>
                <w:color w:val="000000"/>
              </w:rPr>
              <w:t>Other</w:t>
            </w:r>
          </w:p>
        </w:tc>
      </w:tr>
      <w:tr w:rsidR="00B0196F" w14:paraId="0213BBE5" w14:textId="77777777">
        <w:trPr>
          <w:trHeight w:val="1408"/>
        </w:trPr>
        <w:tc>
          <w:tcPr>
            <w:tcW w:w="1465" w:type="dxa"/>
            <w:shd w:val="clear" w:color="auto" w:fill="auto"/>
            <w:noWrap/>
            <w:vAlign w:val="center"/>
            <w:hideMark/>
          </w:tcPr>
          <w:p w14:paraId="05619D83" w14:textId="77777777" w:rsidR="00B0196F" w:rsidRPr="00473226" w:rsidRDefault="00B0196F">
            <w:pPr>
              <w:jc w:val="center"/>
              <w:rPr>
                <w:rFonts w:asciiTheme="minorHAnsi" w:hAnsiTheme="minorHAnsi" w:cstheme="minorHAnsi"/>
                <w:b/>
                <w:bCs/>
                <w:color w:val="000000"/>
                <w:sz w:val="18"/>
                <w:szCs w:val="18"/>
              </w:rPr>
            </w:pPr>
          </w:p>
        </w:tc>
        <w:tc>
          <w:tcPr>
            <w:tcW w:w="1402" w:type="dxa"/>
            <w:shd w:val="clear" w:color="auto" w:fill="auto"/>
            <w:noWrap/>
            <w:vAlign w:val="center"/>
            <w:hideMark/>
          </w:tcPr>
          <w:p w14:paraId="0CE46496" w14:textId="77777777" w:rsidR="00B0196F" w:rsidRPr="00473226" w:rsidRDefault="00B0196F">
            <w:pPr>
              <w:jc w:val="center"/>
              <w:rPr>
                <w:rFonts w:asciiTheme="minorHAnsi" w:hAnsiTheme="minorHAnsi" w:cstheme="minorHAnsi"/>
                <w:sz w:val="18"/>
                <w:szCs w:val="18"/>
              </w:rPr>
            </w:pPr>
          </w:p>
        </w:tc>
        <w:tc>
          <w:tcPr>
            <w:tcW w:w="2130" w:type="dxa"/>
            <w:shd w:val="clear" w:color="auto" w:fill="auto"/>
            <w:vAlign w:val="center"/>
            <w:hideMark/>
          </w:tcPr>
          <w:p w14:paraId="30F39899" w14:textId="1A4DA496" w:rsidR="00B0196F" w:rsidRPr="00473226" w:rsidRDefault="00B0196F">
            <w:pPr>
              <w:jc w:val="center"/>
              <w:rPr>
                <w:rFonts w:asciiTheme="minorHAnsi" w:hAnsiTheme="minorHAnsi" w:cstheme="minorHAnsi"/>
                <w:i/>
                <w:iCs/>
                <w:color w:val="000000"/>
                <w:sz w:val="18"/>
                <w:szCs w:val="18"/>
              </w:rPr>
            </w:pPr>
            <w:r w:rsidRPr="00473226">
              <w:rPr>
                <w:rFonts w:asciiTheme="minorHAnsi" w:hAnsiTheme="minorHAnsi" w:cstheme="minorHAnsi"/>
                <w:i/>
                <w:iCs/>
                <w:color w:val="000000"/>
                <w:sz w:val="18"/>
                <w:szCs w:val="18"/>
              </w:rPr>
              <w:t>O</w:t>
            </w:r>
            <w:r w:rsidR="002D678B">
              <w:rPr>
                <w:rFonts w:asciiTheme="minorHAnsi" w:hAnsiTheme="minorHAnsi" w:cstheme="minorHAnsi"/>
                <w:i/>
                <w:iCs/>
                <w:color w:val="000000"/>
                <w:sz w:val="18"/>
                <w:szCs w:val="18"/>
              </w:rPr>
              <w:t xml:space="preserve">ne </w:t>
            </w:r>
            <w:r w:rsidRPr="00473226">
              <w:rPr>
                <w:rFonts w:asciiTheme="minorHAnsi" w:hAnsiTheme="minorHAnsi" w:cstheme="minorHAnsi"/>
                <w:i/>
                <w:iCs/>
                <w:color w:val="000000"/>
                <w:sz w:val="18"/>
                <w:szCs w:val="18"/>
              </w:rPr>
              <w:t>H</w:t>
            </w:r>
            <w:r w:rsidR="002D678B">
              <w:rPr>
                <w:rFonts w:asciiTheme="minorHAnsi" w:hAnsiTheme="minorHAnsi" w:cstheme="minorHAnsi"/>
                <w:i/>
                <w:iCs/>
                <w:color w:val="000000"/>
                <w:sz w:val="18"/>
                <w:szCs w:val="18"/>
              </w:rPr>
              <w:t>ealth</w:t>
            </w:r>
            <w:r w:rsidRPr="00473226">
              <w:rPr>
                <w:rFonts w:asciiTheme="minorHAnsi" w:hAnsiTheme="minorHAnsi" w:cstheme="minorHAnsi"/>
                <w:i/>
                <w:iCs/>
                <w:color w:val="000000"/>
                <w:sz w:val="18"/>
                <w:szCs w:val="18"/>
              </w:rPr>
              <w:t xml:space="preserve"> governance structures and systems to justify &amp; enable data sharing; AMRCC exists or meets regularly</w:t>
            </w:r>
          </w:p>
        </w:tc>
        <w:tc>
          <w:tcPr>
            <w:tcW w:w="2114" w:type="dxa"/>
            <w:shd w:val="clear" w:color="auto" w:fill="auto"/>
            <w:vAlign w:val="center"/>
            <w:hideMark/>
          </w:tcPr>
          <w:p w14:paraId="0C31F1B6" w14:textId="6E00E465" w:rsidR="00B0196F" w:rsidRPr="00473226" w:rsidRDefault="00B0196F">
            <w:pPr>
              <w:jc w:val="center"/>
              <w:rPr>
                <w:rFonts w:asciiTheme="minorHAnsi" w:hAnsiTheme="minorHAnsi" w:cstheme="minorHAnsi"/>
                <w:i/>
                <w:iCs/>
                <w:color w:val="000000"/>
                <w:sz w:val="18"/>
                <w:szCs w:val="18"/>
              </w:rPr>
            </w:pPr>
            <w:r w:rsidRPr="00473226">
              <w:rPr>
                <w:rFonts w:asciiTheme="minorHAnsi" w:hAnsiTheme="minorHAnsi" w:cstheme="minorHAnsi"/>
                <w:i/>
                <w:iCs/>
                <w:color w:val="000000"/>
                <w:sz w:val="18"/>
                <w:szCs w:val="18"/>
              </w:rPr>
              <w:t>Availability of data in sufficient quantity/ quality to share</w:t>
            </w:r>
          </w:p>
        </w:tc>
        <w:tc>
          <w:tcPr>
            <w:tcW w:w="2130" w:type="dxa"/>
            <w:shd w:val="clear" w:color="auto" w:fill="auto"/>
            <w:vAlign w:val="center"/>
            <w:hideMark/>
          </w:tcPr>
          <w:p w14:paraId="73129B92" w14:textId="77777777" w:rsidR="00B0196F" w:rsidRPr="00473226" w:rsidRDefault="00B0196F">
            <w:pPr>
              <w:jc w:val="center"/>
              <w:rPr>
                <w:rFonts w:asciiTheme="minorHAnsi" w:hAnsiTheme="minorHAnsi" w:cstheme="minorHAnsi"/>
                <w:i/>
                <w:iCs/>
                <w:color w:val="000000"/>
                <w:sz w:val="18"/>
                <w:szCs w:val="18"/>
              </w:rPr>
            </w:pPr>
            <w:r w:rsidRPr="00473226">
              <w:rPr>
                <w:rFonts w:asciiTheme="minorHAnsi" w:hAnsiTheme="minorHAnsi" w:cstheme="minorHAnsi"/>
                <w:i/>
                <w:iCs/>
                <w:color w:val="000000"/>
                <w:sz w:val="18"/>
                <w:szCs w:val="18"/>
              </w:rPr>
              <w:t>Adequate data sharing processes and systems (including IT systems) in place and functioning</w:t>
            </w:r>
          </w:p>
        </w:tc>
        <w:tc>
          <w:tcPr>
            <w:tcW w:w="2130" w:type="dxa"/>
            <w:shd w:val="clear" w:color="auto" w:fill="auto"/>
            <w:vAlign w:val="center"/>
            <w:hideMark/>
          </w:tcPr>
          <w:p w14:paraId="2BE722AE" w14:textId="77777777" w:rsidR="00B0196F" w:rsidRPr="00473226" w:rsidRDefault="00B0196F">
            <w:pPr>
              <w:jc w:val="center"/>
              <w:rPr>
                <w:rFonts w:asciiTheme="minorHAnsi" w:hAnsiTheme="minorHAnsi" w:cstheme="minorHAnsi"/>
                <w:i/>
                <w:iCs/>
                <w:color w:val="000000"/>
                <w:sz w:val="18"/>
                <w:szCs w:val="18"/>
              </w:rPr>
            </w:pPr>
            <w:r w:rsidRPr="00473226">
              <w:rPr>
                <w:rFonts w:asciiTheme="minorHAnsi" w:hAnsiTheme="minorHAnsi" w:cstheme="minorHAnsi"/>
                <w:i/>
                <w:iCs/>
                <w:color w:val="000000"/>
                <w:sz w:val="18"/>
                <w:szCs w:val="18"/>
              </w:rPr>
              <w:t>People see specific value to data sharing; people want to take responsibility for data deficiencies</w:t>
            </w:r>
          </w:p>
        </w:tc>
        <w:tc>
          <w:tcPr>
            <w:tcW w:w="1313" w:type="dxa"/>
            <w:shd w:val="clear" w:color="auto" w:fill="auto"/>
            <w:vAlign w:val="center"/>
            <w:hideMark/>
          </w:tcPr>
          <w:p w14:paraId="5D2A43C0" w14:textId="77777777" w:rsidR="00B0196F" w:rsidRPr="00473226" w:rsidRDefault="00B0196F">
            <w:pPr>
              <w:jc w:val="center"/>
              <w:rPr>
                <w:rFonts w:asciiTheme="minorHAnsi" w:hAnsiTheme="minorHAnsi" w:cstheme="minorHAnsi"/>
                <w:i/>
                <w:iCs/>
                <w:color w:val="000000"/>
                <w:sz w:val="18"/>
                <w:szCs w:val="18"/>
              </w:rPr>
            </w:pPr>
            <w:r w:rsidRPr="00473226">
              <w:rPr>
                <w:rFonts w:asciiTheme="minorHAnsi" w:hAnsiTheme="minorHAnsi" w:cstheme="minorHAnsi"/>
                <w:i/>
                <w:iCs/>
                <w:color w:val="000000"/>
                <w:sz w:val="18"/>
                <w:szCs w:val="18"/>
              </w:rPr>
              <w:t>Availability of skilled personnel for work and/or of financing for work</w:t>
            </w:r>
          </w:p>
        </w:tc>
        <w:tc>
          <w:tcPr>
            <w:tcW w:w="2208" w:type="dxa"/>
            <w:shd w:val="clear" w:color="auto" w:fill="auto"/>
            <w:vAlign w:val="center"/>
            <w:hideMark/>
          </w:tcPr>
          <w:p w14:paraId="39761516" w14:textId="77777777" w:rsidR="00B0196F" w:rsidRPr="00473226" w:rsidRDefault="00B0196F">
            <w:pPr>
              <w:jc w:val="center"/>
              <w:rPr>
                <w:rFonts w:asciiTheme="minorHAnsi" w:hAnsiTheme="minorHAnsi" w:cstheme="minorHAnsi"/>
                <w:i/>
                <w:iCs/>
                <w:color w:val="000000"/>
                <w:sz w:val="18"/>
                <w:szCs w:val="18"/>
              </w:rPr>
            </w:pPr>
            <w:r w:rsidRPr="00473226">
              <w:rPr>
                <w:rFonts w:asciiTheme="minorHAnsi" w:hAnsiTheme="minorHAnsi" w:cstheme="minorHAnsi"/>
                <w:i/>
                <w:iCs/>
                <w:color w:val="000000"/>
                <w:sz w:val="18"/>
                <w:szCs w:val="18"/>
              </w:rPr>
              <w:t>Cooperation, entrepreneurs/champions, leadership demand, TA</w:t>
            </w:r>
          </w:p>
        </w:tc>
      </w:tr>
      <w:tr w:rsidR="00B0196F" w14:paraId="0AD08879" w14:textId="77777777">
        <w:trPr>
          <w:trHeight w:val="340"/>
        </w:trPr>
        <w:tc>
          <w:tcPr>
            <w:tcW w:w="1465" w:type="dxa"/>
            <w:shd w:val="clear" w:color="auto" w:fill="auto"/>
            <w:noWrap/>
            <w:vAlign w:val="center"/>
            <w:hideMark/>
          </w:tcPr>
          <w:p w14:paraId="4A1BFDEF"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Bangladesh</w:t>
            </w:r>
          </w:p>
        </w:tc>
        <w:tc>
          <w:tcPr>
            <w:tcW w:w="1402" w:type="dxa"/>
            <w:shd w:val="clear" w:color="000000" w:fill="BF8F00"/>
            <w:vAlign w:val="center"/>
            <w:hideMark/>
          </w:tcPr>
          <w:p w14:paraId="2EE98714"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Considerable</w:t>
            </w:r>
          </w:p>
        </w:tc>
        <w:tc>
          <w:tcPr>
            <w:tcW w:w="2130" w:type="dxa"/>
            <w:shd w:val="clear" w:color="000000" w:fill="92D050"/>
            <w:noWrap/>
            <w:vAlign w:val="center"/>
            <w:hideMark/>
          </w:tcPr>
          <w:p w14:paraId="4FEFDF29"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2114" w:type="dxa"/>
            <w:shd w:val="clear" w:color="000000" w:fill="92D050"/>
            <w:noWrap/>
            <w:vAlign w:val="center"/>
            <w:hideMark/>
          </w:tcPr>
          <w:p w14:paraId="4050FA04"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2130" w:type="dxa"/>
            <w:shd w:val="clear" w:color="auto" w:fill="auto"/>
            <w:noWrap/>
            <w:vAlign w:val="center"/>
            <w:hideMark/>
          </w:tcPr>
          <w:p w14:paraId="7D944849" w14:textId="77777777" w:rsidR="00B0196F" w:rsidRPr="00473226" w:rsidRDefault="00B0196F">
            <w:pPr>
              <w:jc w:val="center"/>
              <w:rPr>
                <w:rFonts w:asciiTheme="minorHAnsi" w:hAnsiTheme="minorHAnsi" w:cstheme="minorHAnsi"/>
                <w:color w:val="000000"/>
                <w:sz w:val="18"/>
                <w:szCs w:val="18"/>
              </w:rPr>
            </w:pPr>
          </w:p>
        </w:tc>
        <w:tc>
          <w:tcPr>
            <w:tcW w:w="2130" w:type="dxa"/>
            <w:shd w:val="clear" w:color="auto" w:fill="auto"/>
            <w:noWrap/>
            <w:vAlign w:val="center"/>
            <w:hideMark/>
          </w:tcPr>
          <w:p w14:paraId="3CA61ABF" w14:textId="77777777" w:rsidR="00B0196F" w:rsidRPr="00473226" w:rsidRDefault="00B0196F">
            <w:pPr>
              <w:jc w:val="center"/>
              <w:rPr>
                <w:rFonts w:asciiTheme="minorHAnsi" w:hAnsiTheme="minorHAnsi" w:cstheme="minorHAnsi"/>
                <w:sz w:val="18"/>
                <w:szCs w:val="18"/>
              </w:rPr>
            </w:pPr>
          </w:p>
        </w:tc>
        <w:tc>
          <w:tcPr>
            <w:tcW w:w="1313" w:type="dxa"/>
            <w:shd w:val="clear" w:color="000000" w:fill="92D050"/>
            <w:noWrap/>
            <w:vAlign w:val="center"/>
            <w:hideMark/>
          </w:tcPr>
          <w:p w14:paraId="4B5CDF89"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2208" w:type="dxa"/>
            <w:shd w:val="clear" w:color="auto" w:fill="auto"/>
            <w:noWrap/>
            <w:vAlign w:val="center"/>
            <w:hideMark/>
          </w:tcPr>
          <w:p w14:paraId="44F875EB" w14:textId="77777777" w:rsidR="00B0196F" w:rsidRPr="00473226" w:rsidRDefault="00B0196F">
            <w:pPr>
              <w:jc w:val="center"/>
              <w:rPr>
                <w:rFonts w:asciiTheme="minorHAnsi" w:hAnsiTheme="minorHAnsi" w:cstheme="minorHAnsi"/>
                <w:color w:val="000000"/>
                <w:sz w:val="18"/>
                <w:szCs w:val="18"/>
              </w:rPr>
            </w:pPr>
          </w:p>
        </w:tc>
      </w:tr>
      <w:tr w:rsidR="00B0196F" w14:paraId="580D96B4" w14:textId="77777777">
        <w:trPr>
          <w:trHeight w:val="340"/>
        </w:trPr>
        <w:tc>
          <w:tcPr>
            <w:tcW w:w="1465" w:type="dxa"/>
            <w:shd w:val="clear" w:color="auto" w:fill="auto"/>
            <w:noWrap/>
            <w:vAlign w:val="center"/>
            <w:hideMark/>
          </w:tcPr>
          <w:p w14:paraId="7D104419"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Nepal</w:t>
            </w:r>
          </w:p>
        </w:tc>
        <w:tc>
          <w:tcPr>
            <w:tcW w:w="1402" w:type="dxa"/>
            <w:shd w:val="clear" w:color="000000" w:fill="BF8F00"/>
            <w:vAlign w:val="center"/>
            <w:hideMark/>
          </w:tcPr>
          <w:p w14:paraId="7411717C"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Considerable</w:t>
            </w:r>
          </w:p>
        </w:tc>
        <w:tc>
          <w:tcPr>
            <w:tcW w:w="2130" w:type="dxa"/>
            <w:shd w:val="clear" w:color="000000" w:fill="00B050"/>
            <w:noWrap/>
            <w:vAlign w:val="center"/>
            <w:hideMark/>
          </w:tcPr>
          <w:p w14:paraId="5C3B8C5E"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Vital</w:t>
            </w:r>
          </w:p>
        </w:tc>
        <w:tc>
          <w:tcPr>
            <w:tcW w:w="2114" w:type="dxa"/>
            <w:shd w:val="clear" w:color="000000" w:fill="00B050"/>
            <w:noWrap/>
            <w:vAlign w:val="center"/>
            <w:hideMark/>
          </w:tcPr>
          <w:p w14:paraId="7384E8C2"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Vital</w:t>
            </w:r>
          </w:p>
        </w:tc>
        <w:tc>
          <w:tcPr>
            <w:tcW w:w="2130" w:type="dxa"/>
            <w:shd w:val="clear" w:color="auto" w:fill="auto"/>
            <w:noWrap/>
            <w:vAlign w:val="center"/>
            <w:hideMark/>
          </w:tcPr>
          <w:p w14:paraId="4CE248EC" w14:textId="77777777" w:rsidR="00B0196F" w:rsidRPr="00473226" w:rsidRDefault="00B0196F">
            <w:pPr>
              <w:jc w:val="center"/>
              <w:rPr>
                <w:rFonts w:asciiTheme="minorHAnsi" w:hAnsiTheme="minorHAnsi" w:cstheme="minorHAnsi"/>
                <w:color w:val="000000"/>
                <w:sz w:val="18"/>
                <w:szCs w:val="18"/>
              </w:rPr>
            </w:pPr>
          </w:p>
        </w:tc>
        <w:tc>
          <w:tcPr>
            <w:tcW w:w="2130" w:type="dxa"/>
            <w:shd w:val="clear" w:color="auto" w:fill="auto"/>
            <w:noWrap/>
            <w:vAlign w:val="center"/>
            <w:hideMark/>
          </w:tcPr>
          <w:p w14:paraId="201455AF" w14:textId="77777777" w:rsidR="00B0196F" w:rsidRPr="00473226" w:rsidRDefault="00B0196F">
            <w:pPr>
              <w:jc w:val="center"/>
              <w:rPr>
                <w:rFonts w:asciiTheme="minorHAnsi" w:hAnsiTheme="minorHAnsi" w:cstheme="minorHAnsi"/>
                <w:sz w:val="18"/>
                <w:szCs w:val="18"/>
              </w:rPr>
            </w:pPr>
          </w:p>
        </w:tc>
        <w:tc>
          <w:tcPr>
            <w:tcW w:w="1313" w:type="dxa"/>
            <w:shd w:val="clear" w:color="auto" w:fill="auto"/>
            <w:noWrap/>
            <w:vAlign w:val="center"/>
            <w:hideMark/>
          </w:tcPr>
          <w:p w14:paraId="4727ED25" w14:textId="77777777" w:rsidR="00B0196F" w:rsidRPr="00473226" w:rsidRDefault="00B0196F">
            <w:pPr>
              <w:jc w:val="center"/>
              <w:rPr>
                <w:rFonts w:asciiTheme="minorHAnsi" w:hAnsiTheme="minorHAnsi" w:cstheme="minorHAnsi"/>
                <w:sz w:val="18"/>
                <w:szCs w:val="18"/>
              </w:rPr>
            </w:pPr>
          </w:p>
        </w:tc>
        <w:tc>
          <w:tcPr>
            <w:tcW w:w="2208" w:type="dxa"/>
            <w:shd w:val="clear" w:color="auto" w:fill="auto"/>
            <w:noWrap/>
            <w:vAlign w:val="center"/>
            <w:hideMark/>
          </w:tcPr>
          <w:p w14:paraId="61C184B9" w14:textId="77777777" w:rsidR="00B0196F" w:rsidRPr="00473226" w:rsidRDefault="00B0196F">
            <w:pPr>
              <w:jc w:val="center"/>
              <w:rPr>
                <w:rFonts w:asciiTheme="minorHAnsi" w:hAnsiTheme="minorHAnsi" w:cstheme="minorHAnsi"/>
                <w:b/>
                <w:bCs/>
                <w:color w:val="000000"/>
                <w:sz w:val="18"/>
                <w:szCs w:val="18"/>
              </w:rPr>
            </w:pPr>
          </w:p>
        </w:tc>
      </w:tr>
      <w:tr w:rsidR="00B0196F" w14:paraId="064497E2" w14:textId="77777777">
        <w:trPr>
          <w:trHeight w:val="340"/>
        </w:trPr>
        <w:tc>
          <w:tcPr>
            <w:tcW w:w="1465" w:type="dxa"/>
            <w:shd w:val="clear" w:color="auto" w:fill="auto"/>
            <w:noWrap/>
            <w:vAlign w:val="center"/>
            <w:hideMark/>
          </w:tcPr>
          <w:p w14:paraId="1C5B6E01"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Kenya</w:t>
            </w:r>
          </w:p>
        </w:tc>
        <w:tc>
          <w:tcPr>
            <w:tcW w:w="1402" w:type="dxa"/>
            <w:shd w:val="clear" w:color="000000" w:fill="BF8F00"/>
            <w:vAlign w:val="center"/>
            <w:hideMark/>
          </w:tcPr>
          <w:p w14:paraId="7A97E471"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Considerable</w:t>
            </w:r>
          </w:p>
        </w:tc>
        <w:tc>
          <w:tcPr>
            <w:tcW w:w="2130" w:type="dxa"/>
            <w:shd w:val="clear" w:color="000000" w:fill="92D050"/>
            <w:noWrap/>
            <w:vAlign w:val="center"/>
            <w:hideMark/>
          </w:tcPr>
          <w:p w14:paraId="3023B937"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2114" w:type="dxa"/>
            <w:shd w:val="clear" w:color="000000" w:fill="00B050"/>
            <w:noWrap/>
            <w:vAlign w:val="center"/>
            <w:hideMark/>
          </w:tcPr>
          <w:p w14:paraId="658537B0"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Vital</w:t>
            </w:r>
          </w:p>
        </w:tc>
        <w:tc>
          <w:tcPr>
            <w:tcW w:w="2130" w:type="dxa"/>
            <w:shd w:val="clear" w:color="000000" w:fill="00B050"/>
            <w:noWrap/>
            <w:vAlign w:val="center"/>
            <w:hideMark/>
          </w:tcPr>
          <w:p w14:paraId="42B64A6E"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Vital</w:t>
            </w:r>
          </w:p>
        </w:tc>
        <w:tc>
          <w:tcPr>
            <w:tcW w:w="2130" w:type="dxa"/>
            <w:shd w:val="clear" w:color="000000" w:fill="92D050"/>
            <w:noWrap/>
            <w:vAlign w:val="center"/>
            <w:hideMark/>
          </w:tcPr>
          <w:p w14:paraId="66524296"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1313" w:type="dxa"/>
            <w:shd w:val="clear" w:color="auto" w:fill="auto"/>
            <w:noWrap/>
            <w:vAlign w:val="center"/>
            <w:hideMark/>
          </w:tcPr>
          <w:p w14:paraId="7CD17285" w14:textId="77777777" w:rsidR="00B0196F" w:rsidRPr="00473226" w:rsidRDefault="00B0196F">
            <w:pPr>
              <w:jc w:val="center"/>
              <w:rPr>
                <w:rFonts w:asciiTheme="minorHAnsi" w:hAnsiTheme="minorHAnsi" w:cstheme="minorHAnsi"/>
                <w:color w:val="000000"/>
                <w:sz w:val="18"/>
                <w:szCs w:val="18"/>
              </w:rPr>
            </w:pPr>
          </w:p>
        </w:tc>
        <w:tc>
          <w:tcPr>
            <w:tcW w:w="2208" w:type="dxa"/>
            <w:shd w:val="clear" w:color="auto" w:fill="auto"/>
            <w:noWrap/>
            <w:vAlign w:val="center"/>
            <w:hideMark/>
          </w:tcPr>
          <w:p w14:paraId="0A234617" w14:textId="77777777" w:rsidR="00B0196F" w:rsidRPr="00473226" w:rsidRDefault="00B0196F">
            <w:pPr>
              <w:jc w:val="center"/>
              <w:rPr>
                <w:rFonts w:asciiTheme="minorHAnsi" w:hAnsiTheme="minorHAnsi" w:cstheme="minorHAnsi"/>
                <w:color w:val="000000"/>
                <w:sz w:val="18"/>
                <w:szCs w:val="18"/>
              </w:rPr>
            </w:pPr>
          </w:p>
        </w:tc>
      </w:tr>
      <w:tr w:rsidR="00B0196F" w14:paraId="2CA528D1" w14:textId="77777777">
        <w:trPr>
          <w:trHeight w:val="340"/>
        </w:trPr>
        <w:tc>
          <w:tcPr>
            <w:tcW w:w="1465" w:type="dxa"/>
            <w:shd w:val="clear" w:color="auto" w:fill="auto"/>
            <w:noWrap/>
            <w:vAlign w:val="center"/>
            <w:hideMark/>
          </w:tcPr>
          <w:p w14:paraId="10835D12"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Tanzania</w:t>
            </w:r>
          </w:p>
        </w:tc>
        <w:tc>
          <w:tcPr>
            <w:tcW w:w="1402" w:type="dxa"/>
            <w:shd w:val="clear" w:color="000000" w:fill="BF8F00"/>
            <w:vAlign w:val="center"/>
            <w:hideMark/>
          </w:tcPr>
          <w:p w14:paraId="1A963636"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Considerable</w:t>
            </w:r>
          </w:p>
        </w:tc>
        <w:tc>
          <w:tcPr>
            <w:tcW w:w="2130" w:type="dxa"/>
            <w:shd w:val="clear" w:color="000000" w:fill="92D050"/>
            <w:noWrap/>
            <w:vAlign w:val="center"/>
            <w:hideMark/>
          </w:tcPr>
          <w:p w14:paraId="0FAA71B7"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2114" w:type="dxa"/>
            <w:shd w:val="clear" w:color="000000" w:fill="92D050"/>
            <w:noWrap/>
            <w:vAlign w:val="center"/>
            <w:hideMark/>
          </w:tcPr>
          <w:p w14:paraId="18D92085"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2130" w:type="dxa"/>
            <w:shd w:val="clear" w:color="auto" w:fill="auto"/>
            <w:noWrap/>
            <w:vAlign w:val="center"/>
            <w:hideMark/>
          </w:tcPr>
          <w:p w14:paraId="5CC15A24" w14:textId="77777777" w:rsidR="00B0196F" w:rsidRPr="00473226" w:rsidRDefault="00B0196F">
            <w:pPr>
              <w:jc w:val="center"/>
              <w:rPr>
                <w:rFonts w:asciiTheme="minorHAnsi" w:hAnsiTheme="minorHAnsi" w:cstheme="minorHAnsi"/>
                <w:color w:val="000000"/>
                <w:sz w:val="18"/>
                <w:szCs w:val="18"/>
              </w:rPr>
            </w:pPr>
          </w:p>
        </w:tc>
        <w:tc>
          <w:tcPr>
            <w:tcW w:w="2130" w:type="dxa"/>
            <w:shd w:val="clear" w:color="000000" w:fill="92D050"/>
            <w:noWrap/>
            <w:vAlign w:val="center"/>
            <w:hideMark/>
          </w:tcPr>
          <w:p w14:paraId="00AC1064"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1313" w:type="dxa"/>
            <w:shd w:val="clear" w:color="auto" w:fill="auto"/>
            <w:noWrap/>
            <w:vAlign w:val="center"/>
            <w:hideMark/>
          </w:tcPr>
          <w:p w14:paraId="63FD82B9" w14:textId="77777777" w:rsidR="00B0196F" w:rsidRPr="00473226" w:rsidRDefault="00B0196F">
            <w:pPr>
              <w:jc w:val="center"/>
              <w:rPr>
                <w:rFonts w:asciiTheme="minorHAnsi" w:hAnsiTheme="minorHAnsi" w:cstheme="minorHAnsi"/>
                <w:color w:val="000000"/>
                <w:sz w:val="18"/>
                <w:szCs w:val="18"/>
              </w:rPr>
            </w:pPr>
          </w:p>
        </w:tc>
        <w:tc>
          <w:tcPr>
            <w:tcW w:w="2208" w:type="dxa"/>
            <w:shd w:val="clear" w:color="auto" w:fill="auto"/>
            <w:noWrap/>
            <w:vAlign w:val="center"/>
            <w:hideMark/>
          </w:tcPr>
          <w:p w14:paraId="0F8CEE78" w14:textId="77777777" w:rsidR="00B0196F" w:rsidRPr="00473226" w:rsidRDefault="00B0196F">
            <w:pPr>
              <w:jc w:val="center"/>
              <w:rPr>
                <w:rFonts w:asciiTheme="minorHAnsi" w:hAnsiTheme="minorHAnsi" w:cstheme="minorHAnsi"/>
                <w:b/>
                <w:bCs/>
                <w:color w:val="000000"/>
                <w:sz w:val="18"/>
                <w:szCs w:val="18"/>
              </w:rPr>
            </w:pPr>
          </w:p>
        </w:tc>
      </w:tr>
      <w:tr w:rsidR="00B0196F" w14:paraId="70F80E3C" w14:textId="77777777">
        <w:trPr>
          <w:trHeight w:val="340"/>
        </w:trPr>
        <w:tc>
          <w:tcPr>
            <w:tcW w:w="1465" w:type="dxa"/>
            <w:shd w:val="clear" w:color="auto" w:fill="auto"/>
            <w:noWrap/>
            <w:vAlign w:val="center"/>
            <w:hideMark/>
          </w:tcPr>
          <w:p w14:paraId="571BAEBE"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Uganda</w:t>
            </w:r>
          </w:p>
        </w:tc>
        <w:tc>
          <w:tcPr>
            <w:tcW w:w="1402" w:type="dxa"/>
            <w:shd w:val="clear" w:color="000000" w:fill="FFD966"/>
            <w:vAlign w:val="center"/>
            <w:hideMark/>
          </w:tcPr>
          <w:p w14:paraId="5C0BA08A"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Some</w:t>
            </w:r>
          </w:p>
        </w:tc>
        <w:tc>
          <w:tcPr>
            <w:tcW w:w="2130" w:type="dxa"/>
            <w:shd w:val="clear" w:color="000000" w:fill="00B050"/>
            <w:noWrap/>
            <w:vAlign w:val="center"/>
            <w:hideMark/>
          </w:tcPr>
          <w:p w14:paraId="451AAF17"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Vital</w:t>
            </w:r>
          </w:p>
        </w:tc>
        <w:tc>
          <w:tcPr>
            <w:tcW w:w="2114" w:type="dxa"/>
            <w:shd w:val="clear" w:color="000000" w:fill="92D050"/>
            <w:noWrap/>
            <w:vAlign w:val="center"/>
            <w:hideMark/>
          </w:tcPr>
          <w:p w14:paraId="2BBBE0D8"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2130" w:type="dxa"/>
            <w:shd w:val="clear" w:color="auto" w:fill="auto"/>
            <w:noWrap/>
            <w:vAlign w:val="center"/>
            <w:hideMark/>
          </w:tcPr>
          <w:p w14:paraId="61AD8FFD" w14:textId="77777777" w:rsidR="00B0196F" w:rsidRPr="00473226" w:rsidRDefault="00B0196F">
            <w:pPr>
              <w:jc w:val="center"/>
              <w:rPr>
                <w:rFonts w:asciiTheme="minorHAnsi" w:hAnsiTheme="minorHAnsi" w:cstheme="minorHAnsi"/>
                <w:color w:val="000000"/>
                <w:sz w:val="18"/>
                <w:szCs w:val="18"/>
              </w:rPr>
            </w:pPr>
          </w:p>
        </w:tc>
        <w:tc>
          <w:tcPr>
            <w:tcW w:w="2130" w:type="dxa"/>
            <w:shd w:val="clear" w:color="auto" w:fill="auto"/>
            <w:noWrap/>
            <w:vAlign w:val="center"/>
            <w:hideMark/>
          </w:tcPr>
          <w:p w14:paraId="5A79CEBA" w14:textId="77777777" w:rsidR="00B0196F" w:rsidRPr="00473226" w:rsidRDefault="00B0196F">
            <w:pPr>
              <w:jc w:val="center"/>
              <w:rPr>
                <w:rFonts w:asciiTheme="minorHAnsi" w:hAnsiTheme="minorHAnsi" w:cstheme="minorHAnsi"/>
                <w:sz w:val="18"/>
                <w:szCs w:val="18"/>
              </w:rPr>
            </w:pPr>
          </w:p>
        </w:tc>
        <w:tc>
          <w:tcPr>
            <w:tcW w:w="1313" w:type="dxa"/>
            <w:shd w:val="clear" w:color="auto" w:fill="auto"/>
            <w:noWrap/>
            <w:vAlign w:val="center"/>
            <w:hideMark/>
          </w:tcPr>
          <w:p w14:paraId="0DFC8C0A" w14:textId="77777777" w:rsidR="00B0196F" w:rsidRPr="00473226" w:rsidRDefault="00B0196F">
            <w:pPr>
              <w:jc w:val="center"/>
              <w:rPr>
                <w:rFonts w:asciiTheme="minorHAnsi" w:hAnsiTheme="minorHAnsi" w:cstheme="minorHAnsi"/>
                <w:sz w:val="18"/>
                <w:szCs w:val="18"/>
              </w:rPr>
            </w:pPr>
          </w:p>
        </w:tc>
        <w:tc>
          <w:tcPr>
            <w:tcW w:w="2208" w:type="dxa"/>
            <w:shd w:val="clear" w:color="auto" w:fill="auto"/>
            <w:noWrap/>
            <w:vAlign w:val="center"/>
            <w:hideMark/>
          </w:tcPr>
          <w:p w14:paraId="2C9526A3" w14:textId="77777777" w:rsidR="00B0196F" w:rsidRPr="00473226" w:rsidRDefault="00B0196F">
            <w:pPr>
              <w:jc w:val="center"/>
              <w:rPr>
                <w:rFonts w:asciiTheme="minorHAnsi" w:hAnsiTheme="minorHAnsi" w:cstheme="minorHAnsi"/>
                <w:b/>
                <w:bCs/>
                <w:color w:val="000000"/>
                <w:sz w:val="18"/>
                <w:szCs w:val="18"/>
              </w:rPr>
            </w:pPr>
          </w:p>
        </w:tc>
      </w:tr>
      <w:tr w:rsidR="00B0196F" w14:paraId="4343ED3C" w14:textId="77777777">
        <w:trPr>
          <w:trHeight w:val="340"/>
        </w:trPr>
        <w:tc>
          <w:tcPr>
            <w:tcW w:w="1465" w:type="dxa"/>
            <w:shd w:val="clear" w:color="auto" w:fill="auto"/>
            <w:noWrap/>
            <w:vAlign w:val="center"/>
            <w:hideMark/>
          </w:tcPr>
          <w:p w14:paraId="7746F786"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Bhutan</w:t>
            </w:r>
          </w:p>
        </w:tc>
        <w:tc>
          <w:tcPr>
            <w:tcW w:w="1402" w:type="dxa"/>
            <w:shd w:val="clear" w:color="000000" w:fill="FFD966"/>
            <w:vAlign w:val="center"/>
            <w:hideMark/>
          </w:tcPr>
          <w:p w14:paraId="7892C6E3"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Some</w:t>
            </w:r>
          </w:p>
        </w:tc>
        <w:tc>
          <w:tcPr>
            <w:tcW w:w="2130" w:type="dxa"/>
            <w:shd w:val="clear" w:color="000000" w:fill="92D050"/>
            <w:noWrap/>
            <w:vAlign w:val="center"/>
            <w:hideMark/>
          </w:tcPr>
          <w:p w14:paraId="31E4F25E"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2114" w:type="dxa"/>
            <w:shd w:val="clear" w:color="000000" w:fill="00B050"/>
            <w:noWrap/>
            <w:vAlign w:val="center"/>
            <w:hideMark/>
          </w:tcPr>
          <w:p w14:paraId="3732DC63"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Vital</w:t>
            </w:r>
          </w:p>
        </w:tc>
        <w:tc>
          <w:tcPr>
            <w:tcW w:w="2130" w:type="dxa"/>
            <w:shd w:val="clear" w:color="auto" w:fill="auto"/>
            <w:noWrap/>
            <w:vAlign w:val="center"/>
            <w:hideMark/>
          </w:tcPr>
          <w:p w14:paraId="353D8C72" w14:textId="77777777" w:rsidR="00B0196F" w:rsidRPr="00473226" w:rsidRDefault="00B0196F">
            <w:pPr>
              <w:jc w:val="center"/>
              <w:rPr>
                <w:rFonts w:asciiTheme="minorHAnsi" w:hAnsiTheme="minorHAnsi" w:cstheme="minorHAnsi"/>
                <w:color w:val="000000"/>
                <w:sz w:val="18"/>
                <w:szCs w:val="18"/>
              </w:rPr>
            </w:pPr>
          </w:p>
        </w:tc>
        <w:tc>
          <w:tcPr>
            <w:tcW w:w="2130" w:type="dxa"/>
            <w:shd w:val="clear" w:color="auto" w:fill="auto"/>
            <w:noWrap/>
            <w:vAlign w:val="center"/>
            <w:hideMark/>
          </w:tcPr>
          <w:p w14:paraId="1541BA06" w14:textId="77777777" w:rsidR="00B0196F" w:rsidRPr="00473226" w:rsidRDefault="00B0196F">
            <w:pPr>
              <w:jc w:val="center"/>
              <w:rPr>
                <w:rFonts w:asciiTheme="minorHAnsi" w:hAnsiTheme="minorHAnsi" w:cstheme="minorHAnsi"/>
                <w:sz w:val="18"/>
                <w:szCs w:val="18"/>
              </w:rPr>
            </w:pPr>
          </w:p>
        </w:tc>
        <w:tc>
          <w:tcPr>
            <w:tcW w:w="1313" w:type="dxa"/>
            <w:shd w:val="clear" w:color="000000" w:fill="00B050"/>
            <w:noWrap/>
            <w:vAlign w:val="center"/>
            <w:hideMark/>
          </w:tcPr>
          <w:p w14:paraId="158A2C08"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Vital</w:t>
            </w:r>
          </w:p>
        </w:tc>
        <w:tc>
          <w:tcPr>
            <w:tcW w:w="2208" w:type="dxa"/>
            <w:shd w:val="clear" w:color="auto" w:fill="auto"/>
            <w:noWrap/>
            <w:vAlign w:val="center"/>
            <w:hideMark/>
          </w:tcPr>
          <w:p w14:paraId="70C7FD0E" w14:textId="77777777" w:rsidR="00B0196F" w:rsidRPr="00473226" w:rsidRDefault="00B0196F">
            <w:pPr>
              <w:jc w:val="center"/>
              <w:rPr>
                <w:rFonts w:asciiTheme="minorHAnsi" w:hAnsiTheme="minorHAnsi" w:cstheme="minorHAnsi"/>
                <w:b/>
                <w:bCs/>
                <w:color w:val="000000"/>
                <w:sz w:val="18"/>
                <w:szCs w:val="18"/>
              </w:rPr>
            </w:pPr>
          </w:p>
        </w:tc>
      </w:tr>
      <w:tr w:rsidR="00B0196F" w14:paraId="52AC1C28" w14:textId="77777777">
        <w:trPr>
          <w:trHeight w:val="340"/>
        </w:trPr>
        <w:tc>
          <w:tcPr>
            <w:tcW w:w="1465" w:type="dxa"/>
            <w:shd w:val="clear" w:color="auto" w:fill="auto"/>
            <w:noWrap/>
            <w:vAlign w:val="center"/>
            <w:hideMark/>
          </w:tcPr>
          <w:p w14:paraId="1FF0E70C"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Pakistan</w:t>
            </w:r>
          </w:p>
        </w:tc>
        <w:tc>
          <w:tcPr>
            <w:tcW w:w="1402" w:type="dxa"/>
            <w:shd w:val="clear" w:color="000000" w:fill="FBE4D5"/>
            <w:vAlign w:val="center"/>
            <w:hideMark/>
          </w:tcPr>
          <w:p w14:paraId="77DC7F70"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Limited</w:t>
            </w:r>
          </w:p>
        </w:tc>
        <w:tc>
          <w:tcPr>
            <w:tcW w:w="2130" w:type="dxa"/>
            <w:shd w:val="clear" w:color="auto" w:fill="auto"/>
            <w:noWrap/>
            <w:vAlign w:val="center"/>
            <w:hideMark/>
          </w:tcPr>
          <w:p w14:paraId="6111E1D9"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ABSENT</w:t>
            </w:r>
          </w:p>
        </w:tc>
        <w:tc>
          <w:tcPr>
            <w:tcW w:w="2114" w:type="dxa"/>
            <w:shd w:val="clear" w:color="auto" w:fill="auto"/>
            <w:noWrap/>
            <w:vAlign w:val="center"/>
            <w:hideMark/>
          </w:tcPr>
          <w:p w14:paraId="06122CE9"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PRESENT</w:t>
            </w:r>
          </w:p>
        </w:tc>
        <w:tc>
          <w:tcPr>
            <w:tcW w:w="2130" w:type="dxa"/>
            <w:shd w:val="clear" w:color="000000" w:fill="92D050"/>
            <w:noWrap/>
            <w:vAlign w:val="center"/>
            <w:hideMark/>
          </w:tcPr>
          <w:p w14:paraId="0251896A"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2130" w:type="dxa"/>
            <w:shd w:val="clear" w:color="auto" w:fill="auto"/>
            <w:noWrap/>
            <w:vAlign w:val="center"/>
            <w:hideMark/>
          </w:tcPr>
          <w:p w14:paraId="0D1165C7" w14:textId="77777777" w:rsidR="00B0196F" w:rsidRPr="00473226" w:rsidRDefault="00B0196F">
            <w:pPr>
              <w:jc w:val="center"/>
              <w:rPr>
                <w:rFonts w:asciiTheme="minorHAnsi" w:hAnsiTheme="minorHAnsi" w:cstheme="minorHAnsi"/>
                <w:color w:val="000000"/>
                <w:sz w:val="18"/>
                <w:szCs w:val="18"/>
              </w:rPr>
            </w:pPr>
          </w:p>
        </w:tc>
        <w:tc>
          <w:tcPr>
            <w:tcW w:w="1313" w:type="dxa"/>
            <w:shd w:val="clear" w:color="auto" w:fill="auto"/>
            <w:noWrap/>
            <w:vAlign w:val="center"/>
            <w:hideMark/>
          </w:tcPr>
          <w:p w14:paraId="6F7A3498" w14:textId="77777777" w:rsidR="00B0196F" w:rsidRPr="00473226" w:rsidRDefault="00B0196F">
            <w:pPr>
              <w:jc w:val="center"/>
              <w:rPr>
                <w:rFonts w:asciiTheme="minorHAnsi" w:hAnsiTheme="minorHAnsi" w:cstheme="minorHAnsi"/>
                <w:sz w:val="18"/>
                <w:szCs w:val="18"/>
              </w:rPr>
            </w:pPr>
          </w:p>
        </w:tc>
        <w:tc>
          <w:tcPr>
            <w:tcW w:w="2208" w:type="dxa"/>
            <w:shd w:val="clear" w:color="000000" w:fill="FFC000"/>
            <w:noWrap/>
            <w:vAlign w:val="center"/>
            <w:hideMark/>
          </w:tcPr>
          <w:p w14:paraId="3E40AFFC"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Some</w:t>
            </w:r>
          </w:p>
        </w:tc>
      </w:tr>
      <w:tr w:rsidR="00B0196F" w14:paraId="609C14A7" w14:textId="77777777">
        <w:trPr>
          <w:trHeight w:val="340"/>
        </w:trPr>
        <w:tc>
          <w:tcPr>
            <w:tcW w:w="1465" w:type="dxa"/>
            <w:shd w:val="clear" w:color="auto" w:fill="auto"/>
            <w:noWrap/>
            <w:vAlign w:val="center"/>
            <w:hideMark/>
          </w:tcPr>
          <w:p w14:paraId="2FC0FA8E"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Vietnam</w:t>
            </w:r>
          </w:p>
        </w:tc>
        <w:tc>
          <w:tcPr>
            <w:tcW w:w="1402" w:type="dxa"/>
            <w:shd w:val="clear" w:color="000000" w:fill="FBE4D5"/>
            <w:vAlign w:val="center"/>
            <w:hideMark/>
          </w:tcPr>
          <w:p w14:paraId="1958F321"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Limited</w:t>
            </w:r>
          </w:p>
        </w:tc>
        <w:tc>
          <w:tcPr>
            <w:tcW w:w="2130" w:type="dxa"/>
            <w:shd w:val="clear" w:color="000000" w:fill="92D050"/>
            <w:noWrap/>
            <w:vAlign w:val="center"/>
            <w:hideMark/>
          </w:tcPr>
          <w:p w14:paraId="0473EECA"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2114" w:type="dxa"/>
            <w:shd w:val="clear" w:color="auto" w:fill="auto"/>
            <w:noWrap/>
            <w:vAlign w:val="center"/>
            <w:hideMark/>
          </w:tcPr>
          <w:p w14:paraId="6E9C7EE4"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PRESENT</w:t>
            </w:r>
          </w:p>
        </w:tc>
        <w:tc>
          <w:tcPr>
            <w:tcW w:w="2130" w:type="dxa"/>
            <w:shd w:val="clear" w:color="000000" w:fill="FFC000"/>
            <w:noWrap/>
            <w:vAlign w:val="center"/>
            <w:hideMark/>
          </w:tcPr>
          <w:p w14:paraId="04BCE3EC"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Some</w:t>
            </w:r>
          </w:p>
        </w:tc>
        <w:tc>
          <w:tcPr>
            <w:tcW w:w="2130" w:type="dxa"/>
            <w:shd w:val="clear" w:color="auto" w:fill="auto"/>
            <w:noWrap/>
            <w:vAlign w:val="center"/>
            <w:hideMark/>
          </w:tcPr>
          <w:p w14:paraId="5D808835" w14:textId="77777777" w:rsidR="00B0196F" w:rsidRPr="00473226" w:rsidRDefault="00B0196F">
            <w:pPr>
              <w:jc w:val="center"/>
              <w:rPr>
                <w:rFonts w:asciiTheme="minorHAnsi" w:hAnsiTheme="minorHAnsi" w:cstheme="minorHAnsi"/>
                <w:color w:val="000000"/>
                <w:sz w:val="18"/>
                <w:szCs w:val="18"/>
              </w:rPr>
            </w:pPr>
          </w:p>
        </w:tc>
        <w:tc>
          <w:tcPr>
            <w:tcW w:w="1313" w:type="dxa"/>
            <w:shd w:val="clear" w:color="auto" w:fill="auto"/>
            <w:noWrap/>
            <w:vAlign w:val="center"/>
            <w:hideMark/>
          </w:tcPr>
          <w:p w14:paraId="26F6514A" w14:textId="77777777" w:rsidR="00B0196F" w:rsidRPr="00473226" w:rsidRDefault="00B0196F">
            <w:pPr>
              <w:jc w:val="center"/>
              <w:rPr>
                <w:rFonts w:asciiTheme="minorHAnsi" w:hAnsiTheme="minorHAnsi" w:cstheme="minorHAnsi"/>
                <w:sz w:val="18"/>
                <w:szCs w:val="18"/>
              </w:rPr>
            </w:pPr>
          </w:p>
        </w:tc>
        <w:tc>
          <w:tcPr>
            <w:tcW w:w="2208" w:type="dxa"/>
            <w:shd w:val="clear" w:color="000000" w:fill="FFC000"/>
            <w:noWrap/>
            <w:vAlign w:val="center"/>
            <w:hideMark/>
          </w:tcPr>
          <w:p w14:paraId="52995D45"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Some</w:t>
            </w:r>
          </w:p>
        </w:tc>
      </w:tr>
      <w:tr w:rsidR="00B0196F" w14:paraId="4E7190E1" w14:textId="77777777">
        <w:trPr>
          <w:trHeight w:val="340"/>
        </w:trPr>
        <w:tc>
          <w:tcPr>
            <w:tcW w:w="1465" w:type="dxa"/>
            <w:shd w:val="clear" w:color="auto" w:fill="auto"/>
            <w:noWrap/>
            <w:vAlign w:val="center"/>
            <w:hideMark/>
          </w:tcPr>
          <w:p w14:paraId="5ED13CC8"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Laos</w:t>
            </w:r>
          </w:p>
        </w:tc>
        <w:tc>
          <w:tcPr>
            <w:tcW w:w="1402" w:type="dxa"/>
            <w:shd w:val="clear" w:color="000000" w:fill="FBE4D5"/>
            <w:vAlign w:val="center"/>
            <w:hideMark/>
          </w:tcPr>
          <w:p w14:paraId="1C15B700"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Limited</w:t>
            </w:r>
          </w:p>
        </w:tc>
        <w:tc>
          <w:tcPr>
            <w:tcW w:w="2130" w:type="dxa"/>
            <w:shd w:val="clear" w:color="000000" w:fill="92D050"/>
            <w:noWrap/>
            <w:vAlign w:val="center"/>
            <w:hideMark/>
          </w:tcPr>
          <w:p w14:paraId="081A3586"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2114" w:type="dxa"/>
            <w:shd w:val="clear" w:color="auto" w:fill="auto"/>
            <w:noWrap/>
            <w:vAlign w:val="center"/>
            <w:hideMark/>
          </w:tcPr>
          <w:p w14:paraId="708403D5"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PRESENT</w:t>
            </w:r>
          </w:p>
        </w:tc>
        <w:tc>
          <w:tcPr>
            <w:tcW w:w="2130" w:type="dxa"/>
            <w:shd w:val="clear" w:color="auto" w:fill="auto"/>
            <w:noWrap/>
            <w:vAlign w:val="center"/>
            <w:hideMark/>
          </w:tcPr>
          <w:p w14:paraId="1393FE63" w14:textId="77777777" w:rsidR="00B0196F" w:rsidRPr="00473226" w:rsidRDefault="00B0196F">
            <w:pPr>
              <w:jc w:val="center"/>
              <w:rPr>
                <w:rFonts w:asciiTheme="minorHAnsi" w:hAnsiTheme="minorHAnsi" w:cstheme="minorHAnsi"/>
                <w:color w:val="000000"/>
                <w:sz w:val="18"/>
                <w:szCs w:val="18"/>
              </w:rPr>
            </w:pPr>
          </w:p>
        </w:tc>
        <w:tc>
          <w:tcPr>
            <w:tcW w:w="2130" w:type="dxa"/>
            <w:shd w:val="clear" w:color="000000" w:fill="FCE4D6"/>
            <w:noWrap/>
            <w:vAlign w:val="center"/>
            <w:hideMark/>
          </w:tcPr>
          <w:p w14:paraId="2F92E71F"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Limited</w:t>
            </w:r>
          </w:p>
        </w:tc>
        <w:tc>
          <w:tcPr>
            <w:tcW w:w="1313" w:type="dxa"/>
            <w:shd w:val="clear" w:color="auto" w:fill="auto"/>
            <w:noWrap/>
            <w:vAlign w:val="center"/>
            <w:hideMark/>
          </w:tcPr>
          <w:p w14:paraId="31B94ADB" w14:textId="77777777" w:rsidR="00B0196F" w:rsidRPr="00473226" w:rsidRDefault="00B0196F">
            <w:pPr>
              <w:jc w:val="center"/>
              <w:rPr>
                <w:rFonts w:asciiTheme="minorHAnsi" w:hAnsiTheme="minorHAnsi" w:cstheme="minorHAnsi"/>
                <w:color w:val="000000"/>
                <w:sz w:val="18"/>
                <w:szCs w:val="18"/>
              </w:rPr>
            </w:pPr>
          </w:p>
        </w:tc>
        <w:tc>
          <w:tcPr>
            <w:tcW w:w="2208" w:type="dxa"/>
            <w:shd w:val="clear" w:color="000000" w:fill="FCE4D6"/>
            <w:noWrap/>
            <w:vAlign w:val="center"/>
            <w:hideMark/>
          </w:tcPr>
          <w:p w14:paraId="2C798F0C"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 xml:space="preserve">Limited </w:t>
            </w:r>
          </w:p>
        </w:tc>
      </w:tr>
      <w:tr w:rsidR="00B0196F" w14:paraId="2ED9421E" w14:textId="77777777">
        <w:trPr>
          <w:trHeight w:val="340"/>
        </w:trPr>
        <w:tc>
          <w:tcPr>
            <w:tcW w:w="1465" w:type="dxa"/>
            <w:shd w:val="clear" w:color="auto" w:fill="auto"/>
            <w:noWrap/>
            <w:vAlign w:val="center"/>
            <w:hideMark/>
          </w:tcPr>
          <w:p w14:paraId="75CFF98D"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Zambia</w:t>
            </w:r>
          </w:p>
        </w:tc>
        <w:tc>
          <w:tcPr>
            <w:tcW w:w="1402" w:type="dxa"/>
            <w:shd w:val="clear" w:color="000000" w:fill="FBE4D5"/>
            <w:vAlign w:val="center"/>
            <w:hideMark/>
          </w:tcPr>
          <w:p w14:paraId="46A5930E"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Limited</w:t>
            </w:r>
          </w:p>
        </w:tc>
        <w:tc>
          <w:tcPr>
            <w:tcW w:w="2130" w:type="dxa"/>
            <w:shd w:val="clear" w:color="auto" w:fill="auto"/>
            <w:noWrap/>
            <w:vAlign w:val="center"/>
            <w:hideMark/>
          </w:tcPr>
          <w:p w14:paraId="59074B3D"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ABSENT</w:t>
            </w:r>
          </w:p>
        </w:tc>
        <w:tc>
          <w:tcPr>
            <w:tcW w:w="2114" w:type="dxa"/>
            <w:shd w:val="clear" w:color="auto" w:fill="auto"/>
            <w:noWrap/>
            <w:vAlign w:val="center"/>
            <w:hideMark/>
          </w:tcPr>
          <w:p w14:paraId="07DE441F"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PRESENT</w:t>
            </w:r>
          </w:p>
        </w:tc>
        <w:tc>
          <w:tcPr>
            <w:tcW w:w="2130" w:type="dxa"/>
            <w:shd w:val="clear" w:color="000000" w:fill="92D050"/>
            <w:noWrap/>
            <w:vAlign w:val="center"/>
            <w:hideMark/>
          </w:tcPr>
          <w:p w14:paraId="74E80E62"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2130" w:type="dxa"/>
            <w:shd w:val="clear" w:color="auto" w:fill="auto"/>
            <w:noWrap/>
            <w:vAlign w:val="center"/>
            <w:hideMark/>
          </w:tcPr>
          <w:p w14:paraId="057CBD7E" w14:textId="77777777" w:rsidR="00B0196F" w:rsidRPr="00473226" w:rsidRDefault="00B0196F">
            <w:pPr>
              <w:jc w:val="center"/>
              <w:rPr>
                <w:rFonts w:asciiTheme="minorHAnsi" w:hAnsiTheme="minorHAnsi" w:cstheme="minorHAnsi"/>
                <w:color w:val="000000"/>
                <w:sz w:val="18"/>
                <w:szCs w:val="18"/>
              </w:rPr>
            </w:pPr>
          </w:p>
        </w:tc>
        <w:tc>
          <w:tcPr>
            <w:tcW w:w="1313" w:type="dxa"/>
            <w:shd w:val="clear" w:color="auto" w:fill="auto"/>
            <w:noWrap/>
            <w:vAlign w:val="center"/>
            <w:hideMark/>
          </w:tcPr>
          <w:p w14:paraId="1D7E2FDE" w14:textId="77777777" w:rsidR="00B0196F" w:rsidRPr="00473226" w:rsidRDefault="00B0196F">
            <w:pPr>
              <w:jc w:val="center"/>
              <w:rPr>
                <w:rFonts w:asciiTheme="minorHAnsi" w:hAnsiTheme="minorHAnsi" w:cstheme="minorHAnsi"/>
                <w:sz w:val="18"/>
                <w:szCs w:val="18"/>
              </w:rPr>
            </w:pPr>
          </w:p>
        </w:tc>
        <w:tc>
          <w:tcPr>
            <w:tcW w:w="2208" w:type="dxa"/>
            <w:shd w:val="clear" w:color="000000" w:fill="92D050"/>
            <w:noWrap/>
            <w:vAlign w:val="center"/>
            <w:hideMark/>
          </w:tcPr>
          <w:p w14:paraId="0CFF07C1"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r>
      <w:tr w:rsidR="00B0196F" w14:paraId="70941B7F" w14:textId="77777777">
        <w:trPr>
          <w:trHeight w:val="340"/>
        </w:trPr>
        <w:tc>
          <w:tcPr>
            <w:tcW w:w="1465" w:type="dxa"/>
            <w:shd w:val="clear" w:color="auto" w:fill="auto"/>
            <w:noWrap/>
            <w:vAlign w:val="center"/>
            <w:hideMark/>
          </w:tcPr>
          <w:p w14:paraId="5FCA4BEB"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Ghana</w:t>
            </w:r>
          </w:p>
        </w:tc>
        <w:tc>
          <w:tcPr>
            <w:tcW w:w="1402" w:type="dxa"/>
            <w:shd w:val="clear" w:color="000000" w:fill="FBE4D5"/>
            <w:vAlign w:val="center"/>
            <w:hideMark/>
          </w:tcPr>
          <w:p w14:paraId="6ECF5A19"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Limited</w:t>
            </w:r>
          </w:p>
        </w:tc>
        <w:tc>
          <w:tcPr>
            <w:tcW w:w="2130" w:type="dxa"/>
            <w:shd w:val="clear" w:color="000000" w:fill="FCE4D6"/>
            <w:noWrap/>
            <w:vAlign w:val="center"/>
            <w:hideMark/>
          </w:tcPr>
          <w:p w14:paraId="23C06838"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Limited</w:t>
            </w:r>
          </w:p>
        </w:tc>
        <w:tc>
          <w:tcPr>
            <w:tcW w:w="2114" w:type="dxa"/>
            <w:shd w:val="clear" w:color="000000" w:fill="FFC000"/>
            <w:noWrap/>
            <w:vAlign w:val="center"/>
            <w:hideMark/>
          </w:tcPr>
          <w:p w14:paraId="276AFEFE"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Some</w:t>
            </w:r>
          </w:p>
        </w:tc>
        <w:tc>
          <w:tcPr>
            <w:tcW w:w="2130" w:type="dxa"/>
            <w:shd w:val="clear" w:color="000000" w:fill="92D050"/>
            <w:noWrap/>
            <w:vAlign w:val="center"/>
            <w:hideMark/>
          </w:tcPr>
          <w:p w14:paraId="4EC51729"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 [CONSTRAINING]</w:t>
            </w:r>
          </w:p>
        </w:tc>
        <w:tc>
          <w:tcPr>
            <w:tcW w:w="2130" w:type="dxa"/>
            <w:shd w:val="clear" w:color="auto" w:fill="auto"/>
            <w:noWrap/>
            <w:vAlign w:val="center"/>
            <w:hideMark/>
          </w:tcPr>
          <w:p w14:paraId="7A166545" w14:textId="77777777" w:rsidR="00B0196F" w:rsidRPr="00473226" w:rsidRDefault="00B0196F">
            <w:pPr>
              <w:jc w:val="center"/>
              <w:rPr>
                <w:rFonts w:asciiTheme="minorHAnsi" w:hAnsiTheme="minorHAnsi" w:cstheme="minorHAnsi"/>
                <w:color w:val="000000"/>
                <w:sz w:val="18"/>
                <w:szCs w:val="18"/>
              </w:rPr>
            </w:pPr>
          </w:p>
        </w:tc>
        <w:tc>
          <w:tcPr>
            <w:tcW w:w="1313" w:type="dxa"/>
            <w:shd w:val="clear" w:color="auto" w:fill="auto"/>
            <w:noWrap/>
            <w:vAlign w:val="center"/>
            <w:hideMark/>
          </w:tcPr>
          <w:p w14:paraId="4837FF0D" w14:textId="77777777" w:rsidR="00B0196F" w:rsidRPr="00473226" w:rsidRDefault="00B0196F">
            <w:pPr>
              <w:jc w:val="center"/>
              <w:rPr>
                <w:rFonts w:asciiTheme="minorHAnsi" w:hAnsiTheme="minorHAnsi" w:cstheme="minorHAnsi"/>
                <w:sz w:val="18"/>
                <w:szCs w:val="18"/>
              </w:rPr>
            </w:pPr>
          </w:p>
        </w:tc>
        <w:tc>
          <w:tcPr>
            <w:tcW w:w="2208" w:type="dxa"/>
            <w:shd w:val="clear" w:color="auto" w:fill="auto"/>
            <w:noWrap/>
            <w:vAlign w:val="center"/>
            <w:hideMark/>
          </w:tcPr>
          <w:p w14:paraId="274080A6" w14:textId="77777777" w:rsidR="00B0196F" w:rsidRPr="00473226" w:rsidRDefault="00B0196F">
            <w:pPr>
              <w:jc w:val="center"/>
              <w:rPr>
                <w:rFonts w:asciiTheme="minorHAnsi" w:hAnsiTheme="minorHAnsi" w:cstheme="minorHAnsi"/>
                <w:b/>
                <w:bCs/>
                <w:color w:val="000000"/>
                <w:sz w:val="18"/>
                <w:szCs w:val="18"/>
              </w:rPr>
            </w:pPr>
          </w:p>
        </w:tc>
      </w:tr>
      <w:tr w:rsidR="00B0196F" w14:paraId="7D566F60" w14:textId="77777777">
        <w:trPr>
          <w:trHeight w:val="340"/>
        </w:trPr>
        <w:tc>
          <w:tcPr>
            <w:tcW w:w="1465" w:type="dxa"/>
            <w:shd w:val="clear" w:color="auto" w:fill="auto"/>
            <w:noWrap/>
            <w:vAlign w:val="center"/>
            <w:hideMark/>
          </w:tcPr>
          <w:p w14:paraId="7CEFC401"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Sierra Leone</w:t>
            </w:r>
          </w:p>
        </w:tc>
        <w:tc>
          <w:tcPr>
            <w:tcW w:w="1402" w:type="dxa"/>
            <w:shd w:val="clear" w:color="000000" w:fill="FBE4D5"/>
            <w:vAlign w:val="center"/>
            <w:hideMark/>
          </w:tcPr>
          <w:p w14:paraId="153F57B9"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 xml:space="preserve">Limited </w:t>
            </w:r>
          </w:p>
        </w:tc>
        <w:tc>
          <w:tcPr>
            <w:tcW w:w="2130" w:type="dxa"/>
            <w:shd w:val="clear" w:color="auto" w:fill="auto"/>
            <w:noWrap/>
            <w:vAlign w:val="center"/>
            <w:hideMark/>
          </w:tcPr>
          <w:p w14:paraId="3A150356"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PRESENT</w:t>
            </w:r>
          </w:p>
        </w:tc>
        <w:tc>
          <w:tcPr>
            <w:tcW w:w="2114" w:type="dxa"/>
            <w:shd w:val="clear" w:color="000000" w:fill="00B050"/>
            <w:noWrap/>
            <w:vAlign w:val="center"/>
            <w:hideMark/>
          </w:tcPr>
          <w:p w14:paraId="532DDDBF"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Vital</w:t>
            </w:r>
          </w:p>
        </w:tc>
        <w:tc>
          <w:tcPr>
            <w:tcW w:w="2130" w:type="dxa"/>
            <w:shd w:val="clear" w:color="auto" w:fill="auto"/>
            <w:noWrap/>
            <w:vAlign w:val="center"/>
            <w:hideMark/>
          </w:tcPr>
          <w:p w14:paraId="21A0CA9F" w14:textId="77777777" w:rsidR="00B0196F" w:rsidRPr="00473226" w:rsidRDefault="00B0196F">
            <w:pPr>
              <w:jc w:val="center"/>
              <w:rPr>
                <w:rFonts w:asciiTheme="minorHAnsi" w:hAnsiTheme="minorHAnsi" w:cstheme="minorHAnsi"/>
                <w:color w:val="000000"/>
                <w:sz w:val="18"/>
                <w:szCs w:val="18"/>
              </w:rPr>
            </w:pPr>
          </w:p>
        </w:tc>
        <w:tc>
          <w:tcPr>
            <w:tcW w:w="2130" w:type="dxa"/>
            <w:shd w:val="clear" w:color="auto" w:fill="auto"/>
            <w:noWrap/>
            <w:vAlign w:val="center"/>
            <w:hideMark/>
          </w:tcPr>
          <w:p w14:paraId="3089EE42" w14:textId="77777777" w:rsidR="00B0196F" w:rsidRPr="00473226" w:rsidRDefault="00B0196F">
            <w:pPr>
              <w:jc w:val="center"/>
              <w:rPr>
                <w:rFonts w:asciiTheme="minorHAnsi" w:hAnsiTheme="minorHAnsi" w:cstheme="minorHAnsi"/>
                <w:sz w:val="18"/>
                <w:szCs w:val="18"/>
              </w:rPr>
            </w:pPr>
          </w:p>
        </w:tc>
        <w:tc>
          <w:tcPr>
            <w:tcW w:w="1313" w:type="dxa"/>
            <w:shd w:val="clear" w:color="auto" w:fill="auto"/>
            <w:noWrap/>
            <w:vAlign w:val="center"/>
            <w:hideMark/>
          </w:tcPr>
          <w:p w14:paraId="3686322B" w14:textId="77777777" w:rsidR="00B0196F" w:rsidRPr="00473226" w:rsidRDefault="00B0196F">
            <w:pPr>
              <w:jc w:val="center"/>
              <w:rPr>
                <w:rFonts w:asciiTheme="minorHAnsi" w:hAnsiTheme="minorHAnsi" w:cstheme="minorHAnsi"/>
                <w:sz w:val="18"/>
                <w:szCs w:val="18"/>
              </w:rPr>
            </w:pPr>
          </w:p>
        </w:tc>
        <w:tc>
          <w:tcPr>
            <w:tcW w:w="2208" w:type="dxa"/>
            <w:shd w:val="clear" w:color="000000" w:fill="00B050"/>
            <w:noWrap/>
            <w:vAlign w:val="center"/>
            <w:hideMark/>
          </w:tcPr>
          <w:p w14:paraId="553F6D71"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Vital</w:t>
            </w:r>
          </w:p>
        </w:tc>
      </w:tr>
      <w:tr w:rsidR="00B0196F" w14:paraId="64390F51" w14:textId="77777777">
        <w:trPr>
          <w:trHeight w:val="340"/>
        </w:trPr>
        <w:tc>
          <w:tcPr>
            <w:tcW w:w="1465" w:type="dxa"/>
            <w:shd w:val="clear" w:color="auto" w:fill="auto"/>
            <w:noWrap/>
            <w:vAlign w:val="center"/>
            <w:hideMark/>
          </w:tcPr>
          <w:p w14:paraId="77FBA238" w14:textId="3595123B" w:rsidR="00B0196F" w:rsidRPr="00473226" w:rsidRDefault="00260B8A">
            <w:pPr>
              <w:jc w:val="center"/>
              <w:rPr>
                <w:rFonts w:asciiTheme="minorHAnsi" w:hAnsiTheme="minorHAnsi" w:cstheme="minorHAnsi"/>
                <w:color w:val="000000"/>
                <w:sz w:val="18"/>
                <w:szCs w:val="18"/>
              </w:rPr>
            </w:pPr>
            <w:r>
              <w:rPr>
                <w:rFonts w:asciiTheme="minorHAnsi" w:hAnsiTheme="minorHAnsi" w:cstheme="minorHAnsi"/>
                <w:color w:val="000000"/>
                <w:sz w:val="18"/>
                <w:szCs w:val="18"/>
              </w:rPr>
              <w:t>Timor-Leste</w:t>
            </w:r>
          </w:p>
        </w:tc>
        <w:tc>
          <w:tcPr>
            <w:tcW w:w="1402" w:type="dxa"/>
            <w:shd w:val="clear" w:color="000000" w:fill="FBE4D5"/>
            <w:vAlign w:val="center"/>
            <w:hideMark/>
          </w:tcPr>
          <w:p w14:paraId="0B8B315D"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Limited</w:t>
            </w:r>
          </w:p>
        </w:tc>
        <w:tc>
          <w:tcPr>
            <w:tcW w:w="2130" w:type="dxa"/>
            <w:shd w:val="clear" w:color="auto" w:fill="auto"/>
            <w:noWrap/>
            <w:vAlign w:val="center"/>
            <w:hideMark/>
          </w:tcPr>
          <w:p w14:paraId="75F1695D"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ABSENT</w:t>
            </w:r>
          </w:p>
        </w:tc>
        <w:tc>
          <w:tcPr>
            <w:tcW w:w="2114" w:type="dxa"/>
            <w:shd w:val="clear" w:color="000000" w:fill="FFC000"/>
            <w:noWrap/>
            <w:vAlign w:val="center"/>
            <w:hideMark/>
          </w:tcPr>
          <w:p w14:paraId="496417E9"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Some</w:t>
            </w:r>
          </w:p>
        </w:tc>
        <w:tc>
          <w:tcPr>
            <w:tcW w:w="2130" w:type="dxa"/>
            <w:shd w:val="clear" w:color="auto" w:fill="auto"/>
            <w:noWrap/>
            <w:vAlign w:val="center"/>
            <w:hideMark/>
          </w:tcPr>
          <w:p w14:paraId="1FF61AB1" w14:textId="77777777" w:rsidR="00B0196F" w:rsidRPr="00473226" w:rsidRDefault="00B0196F">
            <w:pPr>
              <w:jc w:val="center"/>
              <w:rPr>
                <w:rFonts w:asciiTheme="minorHAnsi" w:hAnsiTheme="minorHAnsi" w:cstheme="minorHAnsi"/>
                <w:color w:val="000000"/>
                <w:sz w:val="18"/>
                <w:szCs w:val="18"/>
              </w:rPr>
            </w:pPr>
          </w:p>
        </w:tc>
        <w:tc>
          <w:tcPr>
            <w:tcW w:w="2130" w:type="dxa"/>
            <w:shd w:val="clear" w:color="000000" w:fill="FFC000"/>
            <w:noWrap/>
            <w:vAlign w:val="center"/>
            <w:hideMark/>
          </w:tcPr>
          <w:p w14:paraId="3F6AB1FF"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Some</w:t>
            </w:r>
          </w:p>
        </w:tc>
        <w:tc>
          <w:tcPr>
            <w:tcW w:w="1313" w:type="dxa"/>
            <w:shd w:val="clear" w:color="auto" w:fill="auto"/>
            <w:noWrap/>
            <w:vAlign w:val="center"/>
            <w:hideMark/>
          </w:tcPr>
          <w:p w14:paraId="7B3B583A" w14:textId="77777777" w:rsidR="00B0196F" w:rsidRPr="00473226" w:rsidRDefault="00B0196F">
            <w:pPr>
              <w:jc w:val="center"/>
              <w:rPr>
                <w:rFonts w:asciiTheme="minorHAnsi" w:hAnsiTheme="minorHAnsi" w:cstheme="minorHAnsi"/>
                <w:color w:val="000000"/>
                <w:sz w:val="18"/>
                <w:szCs w:val="18"/>
              </w:rPr>
            </w:pPr>
          </w:p>
        </w:tc>
        <w:tc>
          <w:tcPr>
            <w:tcW w:w="2208" w:type="dxa"/>
            <w:shd w:val="clear" w:color="000000" w:fill="FFC000"/>
            <w:noWrap/>
            <w:vAlign w:val="center"/>
            <w:hideMark/>
          </w:tcPr>
          <w:p w14:paraId="2EB4AC0C"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Some</w:t>
            </w:r>
          </w:p>
        </w:tc>
      </w:tr>
      <w:tr w:rsidR="00B0196F" w14:paraId="0F079BB7" w14:textId="77777777">
        <w:trPr>
          <w:trHeight w:val="340"/>
        </w:trPr>
        <w:tc>
          <w:tcPr>
            <w:tcW w:w="1465" w:type="dxa"/>
            <w:shd w:val="clear" w:color="auto" w:fill="auto"/>
            <w:noWrap/>
            <w:vAlign w:val="center"/>
            <w:hideMark/>
          </w:tcPr>
          <w:p w14:paraId="7C0D70C9"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Indonesia</w:t>
            </w:r>
          </w:p>
        </w:tc>
        <w:tc>
          <w:tcPr>
            <w:tcW w:w="1402" w:type="dxa"/>
            <w:shd w:val="clear" w:color="000000" w:fill="BDD6EE"/>
            <w:vAlign w:val="center"/>
            <w:hideMark/>
          </w:tcPr>
          <w:p w14:paraId="2AACD179"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None yet</w:t>
            </w:r>
          </w:p>
        </w:tc>
        <w:tc>
          <w:tcPr>
            <w:tcW w:w="2130" w:type="dxa"/>
            <w:shd w:val="clear" w:color="000000" w:fill="ED7D31"/>
            <w:noWrap/>
            <w:vAlign w:val="center"/>
            <w:hideMark/>
          </w:tcPr>
          <w:p w14:paraId="42ECCB93"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None</w:t>
            </w:r>
          </w:p>
        </w:tc>
        <w:tc>
          <w:tcPr>
            <w:tcW w:w="2114" w:type="dxa"/>
            <w:shd w:val="clear" w:color="000000" w:fill="FCE4D6"/>
            <w:noWrap/>
            <w:vAlign w:val="center"/>
            <w:hideMark/>
          </w:tcPr>
          <w:p w14:paraId="114A9E39"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Limited</w:t>
            </w:r>
          </w:p>
        </w:tc>
        <w:tc>
          <w:tcPr>
            <w:tcW w:w="2130" w:type="dxa"/>
            <w:shd w:val="clear" w:color="000000" w:fill="ED7D31"/>
            <w:noWrap/>
            <w:vAlign w:val="center"/>
            <w:hideMark/>
          </w:tcPr>
          <w:p w14:paraId="76A49FAF"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None</w:t>
            </w:r>
          </w:p>
        </w:tc>
        <w:tc>
          <w:tcPr>
            <w:tcW w:w="2130" w:type="dxa"/>
            <w:shd w:val="clear" w:color="auto" w:fill="auto"/>
            <w:noWrap/>
            <w:vAlign w:val="center"/>
            <w:hideMark/>
          </w:tcPr>
          <w:p w14:paraId="248EF882" w14:textId="77777777" w:rsidR="00B0196F" w:rsidRPr="00473226" w:rsidRDefault="00B0196F">
            <w:pPr>
              <w:jc w:val="center"/>
              <w:rPr>
                <w:rFonts w:asciiTheme="minorHAnsi" w:hAnsiTheme="minorHAnsi" w:cstheme="minorHAnsi"/>
                <w:color w:val="000000"/>
                <w:sz w:val="18"/>
                <w:szCs w:val="18"/>
              </w:rPr>
            </w:pPr>
          </w:p>
        </w:tc>
        <w:tc>
          <w:tcPr>
            <w:tcW w:w="1313" w:type="dxa"/>
            <w:shd w:val="clear" w:color="auto" w:fill="auto"/>
            <w:noWrap/>
            <w:vAlign w:val="center"/>
            <w:hideMark/>
          </w:tcPr>
          <w:p w14:paraId="1BE0577D" w14:textId="77777777" w:rsidR="00B0196F" w:rsidRPr="00473226" w:rsidRDefault="00B0196F">
            <w:pPr>
              <w:jc w:val="center"/>
              <w:rPr>
                <w:rFonts w:asciiTheme="minorHAnsi" w:hAnsiTheme="minorHAnsi" w:cstheme="minorHAnsi"/>
                <w:sz w:val="18"/>
                <w:szCs w:val="18"/>
              </w:rPr>
            </w:pPr>
          </w:p>
        </w:tc>
        <w:tc>
          <w:tcPr>
            <w:tcW w:w="2208" w:type="dxa"/>
            <w:shd w:val="clear" w:color="auto" w:fill="auto"/>
            <w:noWrap/>
            <w:vAlign w:val="center"/>
            <w:hideMark/>
          </w:tcPr>
          <w:p w14:paraId="08891C19" w14:textId="77777777" w:rsidR="00B0196F" w:rsidRPr="00473226" w:rsidRDefault="00B0196F">
            <w:pPr>
              <w:jc w:val="center"/>
              <w:rPr>
                <w:rFonts w:asciiTheme="minorHAnsi" w:hAnsiTheme="minorHAnsi" w:cstheme="minorHAnsi"/>
                <w:b/>
                <w:bCs/>
                <w:color w:val="000000"/>
                <w:sz w:val="18"/>
                <w:szCs w:val="18"/>
              </w:rPr>
            </w:pPr>
          </w:p>
        </w:tc>
      </w:tr>
      <w:tr w:rsidR="00B0196F" w14:paraId="6579FBE4" w14:textId="77777777">
        <w:trPr>
          <w:trHeight w:val="340"/>
        </w:trPr>
        <w:tc>
          <w:tcPr>
            <w:tcW w:w="1465" w:type="dxa"/>
            <w:shd w:val="clear" w:color="auto" w:fill="auto"/>
            <w:noWrap/>
            <w:vAlign w:val="center"/>
            <w:hideMark/>
          </w:tcPr>
          <w:p w14:paraId="31ED6A89"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Nigeria</w:t>
            </w:r>
          </w:p>
        </w:tc>
        <w:tc>
          <w:tcPr>
            <w:tcW w:w="1402" w:type="dxa"/>
            <w:shd w:val="clear" w:color="000000" w:fill="BDD6EE"/>
            <w:vAlign w:val="center"/>
            <w:hideMark/>
          </w:tcPr>
          <w:p w14:paraId="7C1CE64D"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None yet</w:t>
            </w:r>
          </w:p>
        </w:tc>
        <w:tc>
          <w:tcPr>
            <w:tcW w:w="2130" w:type="dxa"/>
            <w:shd w:val="clear" w:color="000000" w:fill="92D050"/>
            <w:noWrap/>
            <w:vAlign w:val="center"/>
            <w:hideMark/>
          </w:tcPr>
          <w:p w14:paraId="7BBC24AF"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Important</w:t>
            </w:r>
          </w:p>
        </w:tc>
        <w:tc>
          <w:tcPr>
            <w:tcW w:w="2114" w:type="dxa"/>
            <w:shd w:val="clear" w:color="000000" w:fill="FFC000"/>
            <w:noWrap/>
            <w:vAlign w:val="center"/>
            <w:hideMark/>
          </w:tcPr>
          <w:p w14:paraId="7BD85292"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Some</w:t>
            </w:r>
          </w:p>
        </w:tc>
        <w:tc>
          <w:tcPr>
            <w:tcW w:w="2130" w:type="dxa"/>
            <w:shd w:val="clear" w:color="auto" w:fill="auto"/>
            <w:noWrap/>
            <w:vAlign w:val="center"/>
            <w:hideMark/>
          </w:tcPr>
          <w:p w14:paraId="34E494C4" w14:textId="77777777" w:rsidR="00B0196F" w:rsidRPr="00473226" w:rsidRDefault="00B0196F">
            <w:pPr>
              <w:jc w:val="center"/>
              <w:rPr>
                <w:rFonts w:asciiTheme="minorHAnsi" w:hAnsiTheme="minorHAnsi" w:cstheme="minorHAnsi"/>
                <w:color w:val="000000"/>
                <w:sz w:val="18"/>
                <w:szCs w:val="18"/>
              </w:rPr>
            </w:pPr>
          </w:p>
        </w:tc>
        <w:tc>
          <w:tcPr>
            <w:tcW w:w="2130" w:type="dxa"/>
            <w:shd w:val="clear" w:color="auto" w:fill="auto"/>
            <w:noWrap/>
            <w:vAlign w:val="center"/>
            <w:hideMark/>
          </w:tcPr>
          <w:p w14:paraId="402BE211" w14:textId="77777777" w:rsidR="00B0196F" w:rsidRPr="00473226" w:rsidRDefault="00B0196F">
            <w:pPr>
              <w:jc w:val="center"/>
              <w:rPr>
                <w:rFonts w:asciiTheme="minorHAnsi" w:hAnsiTheme="minorHAnsi" w:cstheme="minorHAnsi"/>
                <w:sz w:val="18"/>
                <w:szCs w:val="18"/>
              </w:rPr>
            </w:pPr>
          </w:p>
        </w:tc>
        <w:tc>
          <w:tcPr>
            <w:tcW w:w="1313" w:type="dxa"/>
            <w:shd w:val="clear" w:color="auto" w:fill="auto"/>
            <w:noWrap/>
            <w:vAlign w:val="center"/>
            <w:hideMark/>
          </w:tcPr>
          <w:p w14:paraId="6E8C8F39" w14:textId="77777777" w:rsidR="00B0196F" w:rsidRPr="00473226" w:rsidRDefault="00B0196F">
            <w:pPr>
              <w:jc w:val="center"/>
              <w:rPr>
                <w:rFonts w:asciiTheme="minorHAnsi" w:hAnsiTheme="minorHAnsi" w:cstheme="minorHAnsi"/>
                <w:sz w:val="18"/>
                <w:szCs w:val="18"/>
              </w:rPr>
            </w:pPr>
          </w:p>
        </w:tc>
        <w:tc>
          <w:tcPr>
            <w:tcW w:w="2208" w:type="dxa"/>
            <w:shd w:val="clear" w:color="000000" w:fill="FFC000"/>
            <w:noWrap/>
            <w:vAlign w:val="center"/>
            <w:hideMark/>
          </w:tcPr>
          <w:p w14:paraId="215F70E0"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Some</w:t>
            </w:r>
          </w:p>
        </w:tc>
      </w:tr>
      <w:tr w:rsidR="00B0196F" w14:paraId="19048E08" w14:textId="77777777">
        <w:trPr>
          <w:trHeight w:val="340"/>
        </w:trPr>
        <w:tc>
          <w:tcPr>
            <w:tcW w:w="1465" w:type="dxa"/>
            <w:shd w:val="clear" w:color="auto" w:fill="auto"/>
            <w:noWrap/>
            <w:vAlign w:val="center"/>
            <w:hideMark/>
          </w:tcPr>
          <w:p w14:paraId="13C154B7"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Senegal</w:t>
            </w:r>
          </w:p>
        </w:tc>
        <w:tc>
          <w:tcPr>
            <w:tcW w:w="1402" w:type="dxa"/>
            <w:shd w:val="clear" w:color="000000" w:fill="BDD6EE"/>
            <w:vAlign w:val="center"/>
            <w:hideMark/>
          </w:tcPr>
          <w:p w14:paraId="7ADB9FC2" w14:textId="77777777" w:rsidR="00B0196F" w:rsidRPr="00473226" w:rsidRDefault="00B0196F">
            <w:pPr>
              <w:jc w:val="center"/>
              <w:rPr>
                <w:rFonts w:asciiTheme="minorHAnsi" w:hAnsiTheme="minorHAnsi" w:cstheme="minorHAnsi"/>
                <w:b/>
                <w:bCs/>
                <w:color w:val="000000"/>
                <w:sz w:val="18"/>
                <w:szCs w:val="18"/>
              </w:rPr>
            </w:pPr>
            <w:r w:rsidRPr="00473226">
              <w:rPr>
                <w:rFonts w:asciiTheme="minorHAnsi" w:hAnsiTheme="minorHAnsi" w:cstheme="minorHAnsi"/>
                <w:b/>
                <w:bCs/>
                <w:color w:val="000000"/>
                <w:sz w:val="18"/>
                <w:szCs w:val="18"/>
              </w:rPr>
              <w:t>None yet</w:t>
            </w:r>
          </w:p>
        </w:tc>
        <w:tc>
          <w:tcPr>
            <w:tcW w:w="2130" w:type="dxa"/>
            <w:shd w:val="clear" w:color="auto" w:fill="auto"/>
            <w:noWrap/>
            <w:vAlign w:val="center"/>
            <w:hideMark/>
          </w:tcPr>
          <w:p w14:paraId="568CC6EB"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PRESENT</w:t>
            </w:r>
          </w:p>
        </w:tc>
        <w:tc>
          <w:tcPr>
            <w:tcW w:w="2114" w:type="dxa"/>
            <w:shd w:val="clear" w:color="000000" w:fill="FFC000"/>
            <w:noWrap/>
            <w:vAlign w:val="center"/>
            <w:hideMark/>
          </w:tcPr>
          <w:p w14:paraId="71B7FF82"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Some</w:t>
            </w:r>
          </w:p>
        </w:tc>
        <w:tc>
          <w:tcPr>
            <w:tcW w:w="2130" w:type="dxa"/>
            <w:shd w:val="clear" w:color="000000" w:fill="FCE4D6"/>
            <w:noWrap/>
            <w:vAlign w:val="center"/>
            <w:hideMark/>
          </w:tcPr>
          <w:p w14:paraId="3AD20BC6"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Limited</w:t>
            </w:r>
          </w:p>
        </w:tc>
        <w:tc>
          <w:tcPr>
            <w:tcW w:w="2130" w:type="dxa"/>
            <w:shd w:val="clear" w:color="000000" w:fill="FCE4D6"/>
            <w:noWrap/>
            <w:vAlign w:val="center"/>
            <w:hideMark/>
          </w:tcPr>
          <w:p w14:paraId="271A73FD" w14:textId="77777777" w:rsidR="00B0196F" w:rsidRPr="00473226" w:rsidRDefault="00B0196F">
            <w:pPr>
              <w:jc w:val="center"/>
              <w:rPr>
                <w:rFonts w:asciiTheme="minorHAnsi" w:hAnsiTheme="minorHAnsi" w:cstheme="minorHAnsi"/>
                <w:color w:val="000000"/>
                <w:sz w:val="18"/>
                <w:szCs w:val="18"/>
              </w:rPr>
            </w:pPr>
            <w:r w:rsidRPr="00473226">
              <w:rPr>
                <w:rFonts w:asciiTheme="minorHAnsi" w:hAnsiTheme="minorHAnsi" w:cstheme="minorHAnsi"/>
                <w:color w:val="000000"/>
                <w:sz w:val="18"/>
                <w:szCs w:val="18"/>
              </w:rPr>
              <w:t>Limited</w:t>
            </w:r>
          </w:p>
        </w:tc>
        <w:tc>
          <w:tcPr>
            <w:tcW w:w="1313" w:type="dxa"/>
            <w:shd w:val="clear" w:color="auto" w:fill="auto"/>
            <w:noWrap/>
            <w:vAlign w:val="center"/>
            <w:hideMark/>
          </w:tcPr>
          <w:p w14:paraId="3CE06835" w14:textId="77777777" w:rsidR="00B0196F" w:rsidRPr="00473226" w:rsidRDefault="00B0196F">
            <w:pPr>
              <w:jc w:val="center"/>
              <w:rPr>
                <w:rFonts w:asciiTheme="minorHAnsi" w:hAnsiTheme="minorHAnsi" w:cstheme="minorHAnsi"/>
                <w:color w:val="000000"/>
                <w:sz w:val="18"/>
                <w:szCs w:val="18"/>
              </w:rPr>
            </w:pPr>
          </w:p>
        </w:tc>
        <w:tc>
          <w:tcPr>
            <w:tcW w:w="2208" w:type="dxa"/>
            <w:shd w:val="clear" w:color="auto" w:fill="auto"/>
            <w:noWrap/>
            <w:vAlign w:val="center"/>
            <w:hideMark/>
          </w:tcPr>
          <w:p w14:paraId="080A950B" w14:textId="77777777" w:rsidR="00B0196F" w:rsidRPr="00473226" w:rsidRDefault="00B0196F">
            <w:pPr>
              <w:jc w:val="center"/>
              <w:rPr>
                <w:rFonts w:asciiTheme="minorHAnsi" w:hAnsiTheme="minorHAnsi" w:cstheme="minorHAnsi"/>
                <w:b/>
                <w:bCs/>
                <w:color w:val="000000"/>
                <w:sz w:val="18"/>
                <w:szCs w:val="18"/>
              </w:rPr>
            </w:pPr>
          </w:p>
        </w:tc>
      </w:tr>
    </w:tbl>
    <w:p w14:paraId="5EC983E0" w14:textId="77777777" w:rsidR="00B0196F" w:rsidRDefault="00B0196F" w:rsidP="00B0196F"/>
    <w:p w14:paraId="73D50057" w14:textId="77777777" w:rsidR="00B0196F" w:rsidRDefault="00B0196F" w:rsidP="00B0196F">
      <w:r>
        <w:br w:type="page"/>
      </w:r>
    </w:p>
    <w:p w14:paraId="4D7AECE3" w14:textId="1B276013" w:rsidR="00B0196F" w:rsidRPr="00B3660F" w:rsidRDefault="00B0196F" w:rsidP="007F63EF">
      <w:pPr>
        <w:pStyle w:val="ItadH3"/>
        <w:keepNext/>
        <w:rPr>
          <w:b w:val="0"/>
          <w:bCs w:val="0"/>
          <w:lang w:val="en-GB"/>
        </w:rPr>
      </w:pPr>
      <w:bookmarkStart w:id="452" w:name="_Toc142383238"/>
      <w:r w:rsidRPr="007F63EF">
        <w:rPr>
          <w:lang w:val="en-GB"/>
        </w:rPr>
        <w:t xml:space="preserve">C4 </w:t>
      </w:r>
      <w:r w:rsidR="00DA63C1" w:rsidRPr="007F63EF">
        <w:rPr>
          <w:lang w:val="en-GB"/>
        </w:rPr>
        <w:t>Changes in data s</w:t>
      </w:r>
      <w:r w:rsidRPr="007F63EF">
        <w:rPr>
          <w:lang w:val="en-GB"/>
        </w:rPr>
        <w:t>haring with GLASS</w:t>
      </w:r>
      <w:bookmarkEnd w:id="452"/>
    </w:p>
    <w:tbl>
      <w:tblPr>
        <w:tblW w:w="15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2"/>
        <w:gridCol w:w="1289"/>
        <w:gridCol w:w="2277"/>
        <w:gridCol w:w="1591"/>
        <w:gridCol w:w="1994"/>
        <w:gridCol w:w="2262"/>
        <w:gridCol w:w="2262"/>
        <w:gridCol w:w="2262"/>
      </w:tblGrid>
      <w:tr w:rsidR="00DA63C1" w:rsidRPr="008D4945" w14:paraId="7968ED3D" w14:textId="77777777" w:rsidTr="00DA63C1">
        <w:trPr>
          <w:trHeight w:val="304"/>
        </w:trPr>
        <w:tc>
          <w:tcPr>
            <w:tcW w:w="1122" w:type="dxa"/>
            <w:shd w:val="clear" w:color="auto" w:fill="96C286" w:themeFill="text2" w:themeFillTint="99"/>
            <w:noWrap/>
            <w:vAlign w:val="center"/>
            <w:hideMark/>
          </w:tcPr>
          <w:p w14:paraId="7FDE8DDD" w14:textId="77777777" w:rsidR="00B0196F" w:rsidRPr="008D4945" w:rsidRDefault="00B0196F">
            <w:pPr>
              <w:jc w:val="center"/>
              <w:rPr>
                <w:rFonts w:asciiTheme="minorHAnsi" w:hAnsiTheme="minorHAnsi" w:cstheme="minorHAnsi"/>
                <w:b/>
                <w:bCs/>
                <w:color w:val="000000"/>
              </w:rPr>
            </w:pPr>
            <w:r w:rsidRPr="008D4945">
              <w:rPr>
                <w:rFonts w:asciiTheme="minorHAnsi" w:hAnsiTheme="minorHAnsi" w:cstheme="minorHAnsi"/>
                <w:b/>
                <w:bCs/>
                <w:color w:val="000000"/>
              </w:rPr>
              <w:t>Countries</w:t>
            </w:r>
          </w:p>
        </w:tc>
        <w:tc>
          <w:tcPr>
            <w:tcW w:w="1289" w:type="dxa"/>
            <w:shd w:val="clear" w:color="auto" w:fill="96C286" w:themeFill="text2" w:themeFillTint="99"/>
            <w:noWrap/>
            <w:vAlign w:val="center"/>
            <w:hideMark/>
          </w:tcPr>
          <w:p w14:paraId="17F5497B" w14:textId="7A17A650" w:rsidR="00B0196F" w:rsidRPr="008D4945" w:rsidRDefault="00B0196F">
            <w:pPr>
              <w:jc w:val="center"/>
              <w:rPr>
                <w:rFonts w:asciiTheme="minorHAnsi" w:hAnsiTheme="minorHAnsi" w:cstheme="minorHAnsi"/>
                <w:b/>
                <w:bCs/>
                <w:color w:val="000000"/>
              </w:rPr>
            </w:pPr>
            <w:r w:rsidRPr="008D4945">
              <w:rPr>
                <w:rFonts w:asciiTheme="minorHAnsi" w:hAnsiTheme="minorHAnsi" w:cstheme="minorHAnsi"/>
                <w:b/>
                <w:bCs/>
                <w:color w:val="000000"/>
              </w:rPr>
              <w:t>Ext</w:t>
            </w:r>
            <w:r w:rsidR="00CD43FA">
              <w:rPr>
                <w:rFonts w:asciiTheme="minorHAnsi" w:hAnsiTheme="minorHAnsi" w:cstheme="minorHAnsi"/>
                <w:b/>
                <w:bCs/>
                <w:color w:val="000000"/>
              </w:rPr>
              <w:t>ent</w:t>
            </w:r>
            <w:r w:rsidRPr="008D4945">
              <w:rPr>
                <w:rFonts w:asciiTheme="minorHAnsi" w:hAnsiTheme="minorHAnsi" w:cstheme="minorHAnsi"/>
                <w:b/>
                <w:bCs/>
                <w:color w:val="000000"/>
              </w:rPr>
              <w:t xml:space="preserve"> of change</w:t>
            </w:r>
          </w:p>
        </w:tc>
        <w:tc>
          <w:tcPr>
            <w:tcW w:w="2277" w:type="dxa"/>
            <w:shd w:val="clear" w:color="auto" w:fill="96C286" w:themeFill="text2" w:themeFillTint="99"/>
            <w:noWrap/>
            <w:vAlign w:val="center"/>
            <w:hideMark/>
          </w:tcPr>
          <w:p w14:paraId="3810A044" w14:textId="77777777" w:rsidR="00B0196F" w:rsidRPr="008D4945" w:rsidRDefault="00B0196F">
            <w:pPr>
              <w:jc w:val="center"/>
              <w:rPr>
                <w:rFonts w:asciiTheme="minorHAnsi" w:hAnsiTheme="minorHAnsi" w:cstheme="minorHAnsi"/>
                <w:b/>
                <w:bCs/>
                <w:color w:val="000000"/>
              </w:rPr>
            </w:pPr>
            <w:r w:rsidRPr="008D4945">
              <w:rPr>
                <w:rFonts w:asciiTheme="minorHAnsi" w:hAnsiTheme="minorHAnsi" w:cstheme="minorHAnsi"/>
                <w:b/>
                <w:bCs/>
                <w:color w:val="000000"/>
              </w:rPr>
              <w:t>Data supply</w:t>
            </w:r>
          </w:p>
        </w:tc>
        <w:tc>
          <w:tcPr>
            <w:tcW w:w="1591" w:type="dxa"/>
            <w:shd w:val="clear" w:color="auto" w:fill="96C286" w:themeFill="text2" w:themeFillTint="99"/>
            <w:noWrap/>
            <w:vAlign w:val="center"/>
            <w:hideMark/>
          </w:tcPr>
          <w:p w14:paraId="70E12D76" w14:textId="77777777" w:rsidR="00B0196F" w:rsidRPr="008D4945" w:rsidRDefault="00B0196F">
            <w:pPr>
              <w:jc w:val="center"/>
              <w:rPr>
                <w:rFonts w:asciiTheme="minorHAnsi" w:hAnsiTheme="minorHAnsi" w:cstheme="minorHAnsi"/>
                <w:b/>
                <w:bCs/>
                <w:color w:val="000000"/>
              </w:rPr>
            </w:pPr>
            <w:r w:rsidRPr="008D4945">
              <w:rPr>
                <w:rFonts w:asciiTheme="minorHAnsi" w:hAnsiTheme="minorHAnsi" w:cstheme="minorHAnsi"/>
                <w:b/>
                <w:bCs/>
                <w:color w:val="000000"/>
              </w:rPr>
              <w:t>TA</w:t>
            </w:r>
          </w:p>
        </w:tc>
        <w:tc>
          <w:tcPr>
            <w:tcW w:w="1994" w:type="dxa"/>
            <w:shd w:val="clear" w:color="auto" w:fill="96C286" w:themeFill="text2" w:themeFillTint="99"/>
            <w:noWrap/>
            <w:vAlign w:val="center"/>
            <w:hideMark/>
          </w:tcPr>
          <w:p w14:paraId="099A0321" w14:textId="77777777" w:rsidR="00B0196F" w:rsidRPr="008D4945" w:rsidRDefault="00B0196F">
            <w:pPr>
              <w:jc w:val="center"/>
              <w:rPr>
                <w:rFonts w:asciiTheme="minorHAnsi" w:hAnsiTheme="minorHAnsi" w:cstheme="minorHAnsi"/>
                <w:b/>
                <w:bCs/>
                <w:color w:val="000000"/>
              </w:rPr>
            </w:pPr>
            <w:r w:rsidRPr="008D4945">
              <w:rPr>
                <w:rFonts w:asciiTheme="minorHAnsi" w:hAnsiTheme="minorHAnsi" w:cstheme="minorHAnsi"/>
                <w:b/>
                <w:bCs/>
                <w:color w:val="000000"/>
              </w:rPr>
              <w:t>Data sharing processes</w:t>
            </w:r>
          </w:p>
        </w:tc>
        <w:tc>
          <w:tcPr>
            <w:tcW w:w="2262" w:type="dxa"/>
            <w:shd w:val="clear" w:color="auto" w:fill="96C286" w:themeFill="text2" w:themeFillTint="99"/>
            <w:noWrap/>
            <w:vAlign w:val="center"/>
            <w:hideMark/>
          </w:tcPr>
          <w:p w14:paraId="7476B4D2" w14:textId="4791288C" w:rsidR="00B0196F" w:rsidRPr="008D4945" w:rsidRDefault="00B0196F">
            <w:pPr>
              <w:jc w:val="center"/>
              <w:rPr>
                <w:rFonts w:asciiTheme="minorHAnsi" w:hAnsiTheme="minorHAnsi" w:cstheme="minorHAnsi"/>
                <w:b/>
                <w:bCs/>
                <w:color w:val="000000"/>
              </w:rPr>
            </w:pPr>
            <w:r w:rsidRPr="008D4945">
              <w:rPr>
                <w:rFonts w:asciiTheme="minorHAnsi" w:hAnsiTheme="minorHAnsi" w:cstheme="minorHAnsi"/>
                <w:b/>
                <w:bCs/>
                <w:color w:val="000000"/>
              </w:rPr>
              <w:t>Resourcing/human capacity</w:t>
            </w:r>
          </w:p>
        </w:tc>
        <w:tc>
          <w:tcPr>
            <w:tcW w:w="2262" w:type="dxa"/>
            <w:shd w:val="clear" w:color="auto" w:fill="96C286" w:themeFill="text2" w:themeFillTint="99"/>
            <w:noWrap/>
            <w:vAlign w:val="center"/>
            <w:hideMark/>
          </w:tcPr>
          <w:p w14:paraId="0903C019" w14:textId="77777777" w:rsidR="00B0196F" w:rsidRPr="008D4945" w:rsidRDefault="00B0196F">
            <w:pPr>
              <w:jc w:val="center"/>
              <w:rPr>
                <w:rFonts w:asciiTheme="minorHAnsi" w:hAnsiTheme="minorHAnsi" w:cstheme="minorHAnsi"/>
                <w:b/>
                <w:bCs/>
                <w:color w:val="000000"/>
              </w:rPr>
            </w:pPr>
            <w:r w:rsidRPr="008D4945">
              <w:rPr>
                <w:rFonts w:asciiTheme="minorHAnsi" w:hAnsiTheme="minorHAnsi" w:cstheme="minorHAnsi"/>
                <w:b/>
                <w:bCs/>
                <w:color w:val="000000"/>
              </w:rPr>
              <w:t>Incentives</w:t>
            </w:r>
          </w:p>
        </w:tc>
        <w:tc>
          <w:tcPr>
            <w:tcW w:w="2262" w:type="dxa"/>
            <w:shd w:val="clear" w:color="auto" w:fill="96C286" w:themeFill="text2" w:themeFillTint="99"/>
            <w:noWrap/>
            <w:vAlign w:val="center"/>
            <w:hideMark/>
          </w:tcPr>
          <w:p w14:paraId="6FED3075" w14:textId="77777777" w:rsidR="00B0196F" w:rsidRPr="008D4945" w:rsidRDefault="00B0196F">
            <w:pPr>
              <w:jc w:val="center"/>
              <w:rPr>
                <w:rFonts w:asciiTheme="minorHAnsi" w:hAnsiTheme="minorHAnsi" w:cstheme="minorHAnsi"/>
                <w:b/>
                <w:bCs/>
                <w:color w:val="000000"/>
              </w:rPr>
            </w:pPr>
            <w:r w:rsidRPr="008D4945">
              <w:rPr>
                <w:rFonts w:asciiTheme="minorHAnsi" w:hAnsiTheme="minorHAnsi" w:cstheme="minorHAnsi"/>
                <w:b/>
                <w:bCs/>
                <w:color w:val="000000"/>
              </w:rPr>
              <w:t>Other</w:t>
            </w:r>
          </w:p>
        </w:tc>
      </w:tr>
      <w:tr w:rsidR="00B0196F" w:rsidRPr="008D4945" w14:paraId="5BFE80E9" w14:textId="77777777">
        <w:trPr>
          <w:trHeight w:val="1371"/>
        </w:trPr>
        <w:tc>
          <w:tcPr>
            <w:tcW w:w="1122" w:type="dxa"/>
            <w:shd w:val="clear" w:color="auto" w:fill="auto"/>
            <w:noWrap/>
            <w:vAlign w:val="center"/>
            <w:hideMark/>
          </w:tcPr>
          <w:p w14:paraId="49623D5D" w14:textId="77777777" w:rsidR="00B0196F" w:rsidRPr="008D4945" w:rsidRDefault="00B0196F">
            <w:pPr>
              <w:jc w:val="center"/>
              <w:rPr>
                <w:rFonts w:asciiTheme="minorHAnsi" w:hAnsiTheme="minorHAnsi" w:cstheme="minorHAnsi"/>
                <w:b/>
                <w:bCs/>
                <w:color w:val="000000"/>
                <w:sz w:val="18"/>
                <w:szCs w:val="18"/>
              </w:rPr>
            </w:pPr>
          </w:p>
        </w:tc>
        <w:tc>
          <w:tcPr>
            <w:tcW w:w="1289" w:type="dxa"/>
            <w:shd w:val="clear" w:color="auto" w:fill="auto"/>
            <w:noWrap/>
            <w:vAlign w:val="center"/>
            <w:hideMark/>
          </w:tcPr>
          <w:p w14:paraId="58D8EA88" w14:textId="77777777" w:rsidR="00B0196F" w:rsidRPr="008D4945" w:rsidRDefault="00B0196F">
            <w:pPr>
              <w:jc w:val="center"/>
              <w:rPr>
                <w:rFonts w:asciiTheme="minorHAnsi" w:hAnsiTheme="minorHAnsi" w:cstheme="minorHAnsi"/>
                <w:sz w:val="18"/>
                <w:szCs w:val="18"/>
              </w:rPr>
            </w:pPr>
          </w:p>
        </w:tc>
        <w:tc>
          <w:tcPr>
            <w:tcW w:w="2277" w:type="dxa"/>
            <w:shd w:val="clear" w:color="auto" w:fill="auto"/>
            <w:vAlign w:val="center"/>
            <w:hideMark/>
          </w:tcPr>
          <w:p w14:paraId="14AA43C4" w14:textId="2E9B1A03" w:rsidR="00B0196F" w:rsidRPr="008D4945" w:rsidRDefault="00B0196F">
            <w:pPr>
              <w:jc w:val="center"/>
              <w:rPr>
                <w:rFonts w:asciiTheme="minorHAnsi" w:hAnsiTheme="minorHAnsi" w:cstheme="minorHAnsi"/>
                <w:i/>
                <w:iCs/>
                <w:color w:val="000000"/>
                <w:sz w:val="18"/>
                <w:szCs w:val="18"/>
              </w:rPr>
            </w:pPr>
            <w:r w:rsidRPr="008D4945">
              <w:rPr>
                <w:rFonts w:asciiTheme="minorHAnsi" w:hAnsiTheme="minorHAnsi" w:cstheme="minorHAnsi"/>
                <w:i/>
                <w:iCs/>
                <w:color w:val="000000"/>
                <w:sz w:val="18"/>
                <w:szCs w:val="18"/>
              </w:rPr>
              <w:t>Availability of data in sufficient quantity/quality to share</w:t>
            </w:r>
          </w:p>
        </w:tc>
        <w:tc>
          <w:tcPr>
            <w:tcW w:w="1591" w:type="dxa"/>
            <w:shd w:val="clear" w:color="auto" w:fill="auto"/>
            <w:vAlign w:val="center"/>
            <w:hideMark/>
          </w:tcPr>
          <w:p w14:paraId="62F6804E" w14:textId="77777777" w:rsidR="00B0196F" w:rsidRPr="008D4945" w:rsidRDefault="00B0196F">
            <w:pPr>
              <w:jc w:val="center"/>
              <w:rPr>
                <w:rFonts w:asciiTheme="minorHAnsi" w:hAnsiTheme="minorHAnsi" w:cstheme="minorHAnsi"/>
                <w:i/>
                <w:iCs/>
                <w:color w:val="000000"/>
                <w:sz w:val="18"/>
                <w:szCs w:val="18"/>
              </w:rPr>
            </w:pPr>
            <w:r w:rsidRPr="008D4945">
              <w:rPr>
                <w:rFonts w:asciiTheme="minorHAnsi" w:hAnsiTheme="minorHAnsi" w:cstheme="minorHAnsi"/>
                <w:i/>
                <w:iCs/>
                <w:color w:val="000000"/>
                <w:sz w:val="18"/>
                <w:szCs w:val="18"/>
              </w:rPr>
              <w:t>Proactive engagement of WHO or other partners to encourage and support collection and reporting of information to GLASS</w:t>
            </w:r>
          </w:p>
        </w:tc>
        <w:tc>
          <w:tcPr>
            <w:tcW w:w="1994" w:type="dxa"/>
            <w:shd w:val="clear" w:color="auto" w:fill="auto"/>
            <w:vAlign w:val="center"/>
            <w:hideMark/>
          </w:tcPr>
          <w:p w14:paraId="25A522D4" w14:textId="77777777" w:rsidR="00B0196F" w:rsidRPr="008D4945" w:rsidRDefault="00B0196F">
            <w:pPr>
              <w:jc w:val="center"/>
              <w:rPr>
                <w:rFonts w:asciiTheme="minorHAnsi" w:hAnsiTheme="minorHAnsi" w:cstheme="minorHAnsi"/>
                <w:i/>
                <w:iCs/>
                <w:color w:val="000000"/>
                <w:sz w:val="18"/>
                <w:szCs w:val="18"/>
              </w:rPr>
            </w:pPr>
            <w:r w:rsidRPr="008D4945">
              <w:rPr>
                <w:rFonts w:asciiTheme="minorHAnsi" w:hAnsiTheme="minorHAnsi" w:cstheme="minorHAnsi"/>
                <w:i/>
                <w:iCs/>
                <w:color w:val="000000"/>
                <w:sz w:val="18"/>
                <w:szCs w:val="18"/>
              </w:rPr>
              <w:t>Adequate data sharing processes and systems (including IT systems such as the new user-interface database platform) in place and functioning</w:t>
            </w:r>
          </w:p>
        </w:tc>
        <w:tc>
          <w:tcPr>
            <w:tcW w:w="2262" w:type="dxa"/>
            <w:shd w:val="clear" w:color="auto" w:fill="auto"/>
            <w:vAlign w:val="center"/>
            <w:hideMark/>
          </w:tcPr>
          <w:p w14:paraId="4B35E779" w14:textId="66AE547F" w:rsidR="00B0196F" w:rsidRPr="008D4945" w:rsidRDefault="00B0196F">
            <w:pPr>
              <w:jc w:val="center"/>
              <w:rPr>
                <w:rFonts w:asciiTheme="minorHAnsi" w:hAnsiTheme="minorHAnsi" w:cstheme="minorHAnsi"/>
                <w:i/>
                <w:iCs/>
                <w:color w:val="000000"/>
                <w:sz w:val="18"/>
                <w:szCs w:val="18"/>
              </w:rPr>
            </w:pPr>
            <w:r w:rsidRPr="008D4945">
              <w:rPr>
                <w:rFonts w:asciiTheme="minorHAnsi" w:hAnsiTheme="minorHAnsi" w:cstheme="minorHAnsi"/>
                <w:i/>
                <w:iCs/>
                <w:color w:val="000000"/>
                <w:sz w:val="18"/>
                <w:szCs w:val="18"/>
              </w:rPr>
              <w:t>Availability of skilled personnel for work and/or of financing for work/Shall be recoded to data supply or resourcing?</w:t>
            </w:r>
          </w:p>
        </w:tc>
        <w:tc>
          <w:tcPr>
            <w:tcW w:w="2262" w:type="dxa"/>
            <w:shd w:val="clear" w:color="auto" w:fill="auto"/>
            <w:vAlign w:val="center"/>
            <w:hideMark/>
          </w:tcPr>
          <w:p w14:paraId="6DFDD93B" w14:textId="77777777" w:rsidR="00B0196F" w:rsidRPr="008D4945" w:rsidRDefault="00B0196F">
            <w:pPr>
              <w:jc w:val="center"/>
              <w:rPr>
                <w:rFonts w:asciiTheme="minorHAnsi" w:hAnsiTheme="minorHAnsi" w:cstheme="minorHAnsi"/>
                <w:i/>
                <w:iCs/>
                <w:color w:val="000000"/>
                <w:sz w:val="18"/>
                <w:szCs w:val="18"/>
              </w:rPr>
            </w:pPr>
            <w:r w:rsidRPr="008D4945">
              <w:rPr>
                <w:rFonts w:asciiTheme="minorHAnsi" w:hAnsiTheme="minorHAnsi" w:cstheme="minorHAnsi"/>
                <w:i/>
                <w:iCs/>
                <w:color w:val="000000"/>
                <w:sz w:val="18"/>
                <w:szCs w:val="18"/>
              </w:rPr>
              <w:t>People see specific value to data sharing; people want to take responsibility for data deficiencies</w:t>
            </w:r>
          </w:p>
        </w:tc>
        <w:tc>
          <w:tcPr>
            <w:tcW w:w="2262" w:type="dxa"/>
            <w:shd w:val="clear" w:color="auto" w:fill="auto"/>
            <w:vAlign w:val="center"/>
            <w:hideMark/>
          </w:tcPr>
          <w:p w14:paraId="3E83A931" w14:textId="48EC6F44" w:rsidR="00B0196F" w:rsidRPr="008D4945" w:rsidRDefault="00CD43FA">
            <w:pPr>
              <w:jc w:val="center"/>
              <w:rPr>
                <w:rFonts w:asciiTheme="minorHAnsi" w:hAnsiTheme="minorHAnsi" w:cstheme="minorHAnsi"/>
                <w:i/>
                <w:iCs/>
                <w:color w:val="000000"/>
                <w:sz w:val="18"/>
                <w:szCs w:val="18"/>
              </w:rPr>
            </w:pPr>
            <w:r w:rsidRPr="008D4945">
              <w:rPr>
                <w:rFonts w:asciiTheme="minorHAnsi" w:hAnsiTheme="minorHAnsi" w:cstheme="minorHAnsi"/>
                <w:i/>
                <w:iCs/>
                <w:color w:val="000000"/>
                <w:sz w:val="18"/>
                <w:szCs w:val="18"/>
              </w:rPr>
              <w:t>Governance</w:t>
            </w:r>
            <w:r w:rsidR="00B0196F" w:rsidRPr="008D4945">
              <w:rPr>
                <w:rFonts w:asciiTheme="minorHAnsi" w:hAnsiTheme="minorHAnsi" w:cstheme="minorHAnsi"/>
                <w:i/>
                <w:iCs/>
                <w:color w:val="000000"/>
                <w:sz w:val="18"/>
                <w:szCs w:val="18"/>
              </w:rPr>
              <w:t>, external assistance, cooperation, leadership demand</w:t>
            </w:r>
          </w:p>
        </w:tc>
      </w:tr>
      <w:tr w:rsidR="00B0196F" w:rsidRPr="008D4945" w14:paraId="1F5FBD33" w14:textId="77777777">
        <w:trPr>
          <w:trHeight w:val="323"/>
        </w:trPr>
        <w:tc>
          <w:tcPr>
            <w:tcW w:w="1122" w:type="dxa"/>
            <w:shd w:val="clear" w:color="auto" w:fill="auto"/>
            <w:noWrap/>
            <w:vAlign w:val="center"/>
            <w:hideMark/>
          </w:tcPr>
          <w:p w14:paraId="4DA448C1"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Bhutan</w:t>
            </w:r>
          </w:p>
        </w:tc>
        <w:tc>
          <w:tcPr>
            <w:tcW w:w="1289" w:type="dxa"/>
            <w:shd w:val="clear" w:color="000000" w:fill="BF8F00"/>
            <w:vAlign w:val="center"/>
            <w:hideMark/>
          </w:tcPr>
          <w:p w14:paraId="3287F359"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Considerable</w:t>
            </w:r>
          </w:p>
        </w:tc>
        <w:tc>
          <w:tcPr>
            <w:tcW w:w="2277" w:type="dxa"/>
            <w:shd w:val="clear" w:color="000000" w:fill="00B050"/>
            <w:noWrap/>
            <w:vAlign w:val="center"/>
            <w:hideMark/>
          </w:tcPr>
          <w:p w14:paraId="248F7201"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Vital</w:t>
            </w:r>
          </w:p>
        </w:tc>
        <w:tc>
          <w:tcPr>
            <w:tcW w:w="1591" w:type="dxa"/>
            <w:shd w:val="clear" w:color="auto" w:fill="auto"/>
            <w:noWrap/>
            <w:vAlign w:val="center"/>
            <w:hideMark/>
          </w:tcPr>
          <w:p w14:paraId="2E154D95" w14:textId="77777777" w:rsidR="00B0196F" w:rsidRPr="008D4945" w:rsidRDefault="00B0196F">
            <w:pPr>
              <w:jc w:val="center"/>
              <w:rPr>
                <w:rFonts w:asciiTheme="minorHAnsi" w:hAnsiTheme="minorHAnsi" w:cstheme="minorHAnsi"/>
                <w:color w:val="000000"/>
                <w:sz w:val="18"/>
                <w:szCs w:val="18"/>
              </w:rPr>
            </w:pPr>
          </w:p>
        </w:tc>
        <w:tc>
          <w:tcPr>
            <w:tcW w:w="1994" w:type="dxa"/>
            <w:shd w:val="clear" w:color="auto" w:fill="auto"/>
            <w:noWrap/>
            <w:vAlign w:val="center"/>
            <w:hideMark/>
          </w:tcPr>
          <w:p w14:paraId="024E0FF8" w14:textId="77777777" w:rsidR="00B0196F" w:rsidRPr="008D4945" w:rsidRDefault="00B0196F">
            <w:pPr>
              <w:jc w:val="center"/>
              <w:rPr>
                <w:rFonts w:asciiTheme="minorHAnsi" w:hAnsiTheme="minorHAnsi" w:cstheme="minorHAnsi"/>
                <w:sz w:val="18"/>
                <w:szCs w:val="18"/>
              </w:rPr>
            </w:pPr>
          </w:p>
        </w:tc>
        <w:tc>
          <w:tcPr>
            <w:tcW w:w="2262" w:type="dxa"/>
            <w:shd w:val="clear" w:color="auto" w:fill="auto"/>
            <w:noWrap/>
            <w:vAlign w:val="center"/>
            <w:hideMark/>
          </w:tcPr>
          <w:p w14:paraId="07C75179" w14:textId="77777777" w:rsidR="00B0196F" w:rsidRPr="008D4945" w:rsidRDefault="00B0196F">
            <w:pPr>
              <w:jc w:val="center"/>
              <w:rPr>
                <w:rFonts w:asciiTheme="minorHAnsi" w:hAnsiTheme="minorHAnsi" w:cstheme="minorHAnsi"/>
                <w:sz w:val="18"/>
                <w:szCs w:val="18"/>
              </w:rPr>
            </w:pPr>
          </w:p>
        </w:tc>
        <w:tc>
          <w:tcPr>
            <w:tcW w:w="2262" w:type="dxa"/>
            <w:shd w:val="clear" w:color="auto" w:fill="auto"/>
            <w:noWrap/>
            <w:vAlign w:val="center"/>
            <w:hideMark/>
          </w:tcPr>
          <w:p w14:paraId="048D412A"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000000" w:fill="92D050"/>
            <w:noWrap/>
            <w:vAlign w:val="center"/>
            <w:hideMark/>
          </w:tcPr>
          <w:p w14:paraId="3A09A730"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r>
      <w:tr w:rsidR="00B0196F" w:rsidRPr="008D4945" w14:paraId="7AAB8500" w14:textId="77777777">
        <w:trPr>
          <w:trHeight w:val="323"/>
        </w:trPr>
        <w:tc>
          <w:tcPr>
            <w:tcW w:w="1122" w:type="dxa"/>
            <w:shd w:val="clear" w:color="auto" w:fill="auto"/>
            <w:noWrap/>
            <w:vAlign w:val="center"/>
            <w:hideMark/>
          </w:tcPr>
          <w:p w14:paraId="36EA1B87"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Indonesia</w:t>
            </w:r>
          </w:p>
        </w:tc>
        <w:tc>
          <w:tcPr>
            <w:tcW w:w="1289" w:type="dxa"/>
            <w:shd w:val="clear" w:color="000000" w:fill="BF8F00"/>
            <w:vAlign w:val="center"/>
            <w:hideMark/>
          </w:tcPr>
          <w:p w14:paraId="4E2EE741"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Considerable</w:t>
            </w:r>
          </w:p>
        </w:tc>
        <w:tc>
          <w:tcPr>
            <w:tcW w:w="2277" w:type="dxa"/>
            <w:shd w:val="clear" w:color="auto" w:fill="auto"/>
            <w:noWrap/>
            <w:vAlign w:val="center"/>
            <w:hideMark/>
          </w:tcPr>
          <w:p w14:paraId="786A80F3" w14:textId="77777777" w:rsidR="00B0196F" w:rsidRPr="008D4945" w:rsidRDefault="00B0196F">
            <w:pPr>
              <w:jc w:val="center"/>
              <w:rPr>
                <w:rFonts w:asciiTheme="minorHAnsi" w:hAnsiTheme="minorHAnsi" w:cstheme="minorHAnsi"/>
                <w:b/>
                <w:bCs/>
                <w:color w:val="000000"/>
                <w:sz w:val="18"/>
                <w:szCs w:val="18"/>
              </w:rPr>
            </w:pPr>
          </w:p>
        </w:tc>
        <w:tc>
          <w:tcPr>
            <w:tcW w:w="1591" w:type="dxa"/>
            <w:shd w:val="clear" w:color="auto" w:fill="auto"/>
            <w:noWrap/>
            <w:vAlign w:val="center"/>
            <w:hideMark/>
          </w:tcPr>
          <w:p w14:paraId="28E1F067" w14:textId="77777777" w:rsidR="00B0196F" w:rsidRPr="008D4945" w:rsidRDefault="00B0196F">
            <w:pPr>
              <w:jc w:val="center"/>
              <w:rPr>
                <w:rFonts w:asciiTheme="minorHAnsi" w:hAnsiTheme="minorHAnsi" w:cstheme="minorHAnsi"/>
                <w:sz w:val="18"/>
                <w:szCs w:val="18"/>
              </w:rPr>
            </w:pPr>
          </w:p>
        </w:tc>
        <w:tc>
          <w:tcPr>
            <w:tcW w:w="1994" w:type="dxa"/>
            <w:shd w:val="clear" w:color="auto" w:fill="auto"/>
            <w:noWrap/>
            <w:vAlign w:val="center"/>
            <w:hideMark/>
          </w:tcPr>
          <w:p w14:paraId="7ED05849" w14:textId="77777777" w:rsidR="00B0196F" w:rsidRPr="008D4945" w:rsidRDefault="00B0196F">
            <w:pPr>
              <w:jc w:val="center"/>
              <w:rPr>
                <w:rFonts w:asciiTheme="minorHAnsi" w:hAnsiTheme="minorHAnsi" w:cstheme="minorHAnsi"/>
                <w:sz w:val="18"/>
                <w:szCs w:val="18"/>
              </w:rPr>
            </w:pPr>
          </w:p>
        </w:tc>
        <w:tc>
          <w:tcPr>
            <w:tcW w:w="2262" w:type="dxa"/>
            <w:shd w:val="clear" w:color="000000" w:fill="92D050"/>
            <w:noWrap/>
            <w:vAlign w:val="center"/>
            <w:hideMark/>
          </w:tcPr>
          <w:p w14:paraId="19D7E38E"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c>
          <w:tcPr>
            <w:tcW w:w="2262" w:type="dxa"/>
            <w:shd w:val="clear" w:color="000000" w:fill="FFC000"/>
            <w:noWrap/>
            <w:vAlign w:val="center"/>
            <w:hideMark/>
          </w:tcPr>
          <w:p w14:paraId="0A417BF5"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Some</w:t>
            </w:r>
          </w:p>
        </w:tc>
        <w:tc>
          <w:tcPr>
            <w:tcW w:w="2262" w:type="dxa"/>
            <w:shd w:val="clear" w:color="auto" w:fill="auto"/>
            <w:noWrap/>
            <w:vAlign w:val="center"/>
            <w:hideMark/>
          </w:tcPr>
          <w:p w14:paraId="0D3D106B" w14:textId="77777777" w:rsidR="00B0196F" w:rsidRPr="008D4945" w:rsidRDefault="00B0196F">
            <w:pPr>
              <w:jc w:val="center"/>
              <w:rPr>
                <w:rFonts w:asciiTheme="minorHAnsi" w:hAnsiTheme="minorHAnsi" w:cstheme="minorHAnsi"/>
                <w:color w:val="000000"/>
                <w:sz w:val="18"/>
                <w:szCs w:val="18"/>
              </w:rPr>
            </w:pPr>
          </w:p>
        </w:tc>
      </w:tr>
      <w:tr w:rsidR="00B0196F" w:rsidRPr="008D4945" w14:paraId="50A56D8B" w14:textId="77777777">
        <w:trPr>
          <w:trHeight w:val="323"/>
        </w:trPr>
        <w:tc>
          <w:tcPr>
            <w:tcW w:w="1122" w:type="dxa"/>
            <w:shd w:val="clear" w:color="auto" w:fill="auto"/>
            <w:noWrap/>
            <w:vAlign w:val="center"/>
            <w:hideMark/>
          </w:tcPr>
          <w:p w14:paraId="211A50AE"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Nepal</w:t>
            </w:r>
          </w:p>
        </w:tc>
        <w:tc>
          <w:tcPr>
            <w:tcW w:w="1289" w:type="dxa"/>
            <w:shd w:val="clear" w:color="000000" w:fill="BF8F00"/>
            <w:vAlign w:val="center"/>
            <w:hideMark/>
          </w:tcPr>
          <w:p w14:paraId="0995EA79"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Considerable</w:t>
            </w:r>
          </w:p>
        </w:tc>
        <w:tc>
          <w:tcPr>
            <w:tcW w:w="2277" w:type="dxa"/>
            <w:shd w:val="clear" w:color="000000" w:fill="00B050"/>
            <w:noWrap/>
            <w:vAlign w:val="center"/>
            <w:hideMark/>
          </w:tcPr>
          <w:p w14:paraId="5750CD77"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Vital</w:t>
            </w:r>
          </w:p>
        </w:tc>
        <w:tc>
          <w:tcPr>
            <w:tcW w:w="1591" w:type="dxa"/>
            <w:shd w:val="clear" w:color="auto" w:fill="auto"/>
            <w:noWrap/>
            <w:vAlign w:val="center"/>
            <w:hideMark/>
          </w:tcPr>
          <w:p w14:paraId="51E74032" w14:textId="77777777" w:rsidR="00B0196F" w:rsidRPr="008D4945" w:rsidRDefault="00B0196F">
            <w:pPr>
              <w:jc w:val="center"/>
              <w:rPr>
                <w:rFonts w:asciiTheme="minorHAnsi" w:hAnsiTheme="minorHAnsi" w:cstheme="minorHAnsi"/>
                <w:color w:val="000000"/>
                <w:sz w:val="18"/>
                <w:szCs w:val="18"/>
              </w:rPr>
            </w:pPr>
          </w:p>
        </w:tc>
        <w:tc>
          <w:tcPr>
            <w:tcW w:w="1994" w:type="dxa"/>
            <w:shd w:val="clear" w:color="000000" w:fill="00B050"/>
            <w:noWrap/>
            <w:vAlign w:val="center"/>
            <w:hideMark/>
          </w:tcPr>
          <w:p w14:paraId="2F96A292"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Vital</w:t>
            </w:r>
          </w:p>
        </w:tc>
        <w:tc>
          <w:tcPr>
            <w:tcW w:w="2262" w:type="dxa"/>
            <w:shd w:val="clear" w:color="000000" w:fill="00B050"/>
            <w:noWrap/>
            <w:vAlign w:val="center"/>
            <w:hideMark/>
          </w:tcPr>
          <w:p w14:paraId="40E77DCD"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Vital</w:t>
            </w:r>
          </w:p>
        </w:tc>
        <w:tc>
          <w:tcPr>
            <w:tcW w:w="2262" w:type="dxa"/>
            <w:shd w:val="clear" w:color="auto" w:fill="auto"/>
            <w:noWrap/>
            <w:vAlign w:val="center"/>
            <w:hideMark/>
          </w:tcPr>
          <w:p w14:paraId="0BD1F53F"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10BA2837" w14:textId="77777777" w:rsidR="00B0196F" w:rsidRPr="008D4945" w:rsidRDefault="00B0196F">
            <w:pPr>
              <w:jc w:val="center"/>
              <w:rPr>
                <w:rFonts w:asciiTheme="minorHAnsi" w:hAnsiTheme="minorHAnsi" w:cstheme="minorHAnsi"/>
                <w:sz w:val="18"/>
                <w:szCs w:val="18"/>
              </w:rPr>
            </w:pPr>
          </w:p>
        </w:tc>
      </w:tr>
      <w:tr w:rsidR="00B0196F" w:rsidRPr="008D4945" w14:paraId="5C749BAC" w14:textId="77777777">
        <w:trPr>
          <w:trHeight w:val="323"/>
        </w:trPr>
        <w:tc>
          <w:tcPr>
            <w:tcW w:w="1122" w:type="dxa"/>
            <w:shd w:val="clear" w:color="auto" w:fill="auto"/>
            <w:noWrap/>
            <w:vAlign w:val="center"/>
            <w:hideMark/>
          </w:tcPr>
          <w:p w14:paraId="756843BC"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Pakistan</w:t>
            </w:r>
          </w:p>
        </w:tc>
        <w:tc>
          <w:tcPr>
            <w:tcW w:w="1289" w:type="dxa"/>
            <w:shd w:val="clear" w:color="000000" w:fill="BF8F00"/>
            <w:vAlign w:val="center"/>
            <w:hideMark/>
          </w:tcPr>
          <w:p w14:paraId="3BFB861F"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Considerable</w:t>
            </w:r>
          </w:p>
        </w:tc>
        <w:tc>
          <w:tcPr>
            <w:tcW w:w="2277" w:type="dxa"/>
            <w:shd w:val="clear" w:color="000000" w:fill="FFC000"/>
            <w:noWrap/>
            <w:vAlign w:val="center"/>
            <w:hideMark/>
          </w:tcPr>
          <w:p w14:paraId="3B5532CC"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Some</w:t>
            </w:r>
          </w:p>
        </w:tc>
        <w:tc>
          <w:tcPr>
            <w:tcW w:w="1591" w:type="dxa"/>
            <w:shd w:val="clear" w:color="auto" w:fill="auto"/>
            <w:noWrap/>
            <w:vAlign w:val="center"/>
            <w:hideMark/>
          </w:tcPr>
          <w:p w14:paraId="4E8A864A" w14:textId="77777777" w:rsidR="00B0196F" w:rsidRPr="008D4945" w:rsidRDefault="00B0196F">
            <w:pPr>
              <w:jc w:val="center"/>
              <w:rPr>
                <w:rFonts w:asciiTheme="minorHAnsi" w:hAnsiTheme="minorHAnsi" w:cstheme="minorHAnsi"/>
                <w:color w:val="000000"/>
                <w:sz w:val="18"/>
                <w:szCs w:val="18"/>
              </w:rPr>
            </w:pPr>
          </w:p>
        </w:tc>
        <w:tc>
          <w:tcPr>
            <w:tcW w:w="1994" w:type="dxa"/>
            <w:shd w:val="clear" w:color="auto" w:fill="auto"/>
            <w:noWrap/>
            <w:vAlign w:val="center"/>
            <w:hideMark/>
          </w:tcPr>
          <w:p w14:paraId="334E97FB" w14:textId="77777777" w:rsidR="00B0196F" w:rsidRPr="008D4945" w:rsidRDefault="00B0196F">
            <w:pPr>
              <w:jc w:val="center"/>
              <w:rPr>
                <w:rFonts w:asciiTheme="minorHAnsi" w:hAnsiTheme="minorHAnsi" w:cstheme="minorHAnsi"/>
                <w:sz w:val="18"/>
                <w:szCs w:val="18"/>
              </w:rPr>
            </w:pPr>
          </w:p>
        </w:tc>
        <w:tc>
          <w:tcPr>
            <w:tcW w:w="2262" w:type="dxa"/>
            <w:shd w:val="clear" w:color="auto" w:fill="auto"/>
            <w:noWrap/>
            <w:vAlign w:val="center"/>
            <w:hideMark/>
          </w:tcPr>
          <w:p w14:paraId="69293C84" w14:textId="77777777" w:rsidR="00B0196F" w:rsidRPr="008D4945" w:rsidRDefault="00B0196F">
            <w:pPr>
              <w:jc w:val="center"/>
              <w:rPr>
                <w:rFonts w:asciiTheme="minorHAnsi" w:hAnsiTheme="minorHAnsi" w:cstheme="minorHAnsi"/>
                <w:sz w:val="18"/>
                <w:szCs w:val="18"/>
              </w:rPr>
            </w:pPr>
          </w:p>
        </w:tc>
        <w:tc>
          <w:tcPr>
            <w:tcW w:w="2262" w:type="dxa"/>
            <w:shd w:val="clear" w:color="auto" w:fill="auto"/>
            <w:noWrap/>
            <w:vAlign w:val="center"/>
            <w:hideMark/>
          </w:tcPr>
          <w:p w14:paraId="6E0386F7"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000000" w:fill="92D050"/>
            <w:noWrap/>
            <w:vAlign w:val="center"/>
            <w:hideMark/>
          </w:tcPr>
          <w:p w14:paraId="185DAAF8"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r>
      <w:tr w:rsidR="00B0196F" w:rsidRPr="008D4945" w14:paraId="23BE9B38" w14:textId="77777777">
        <w:trPr>
          <w:trHeight w:val="323"/>
        </w:trPr>
        <w:tc>
          <w:tcPr>
            <w:tcW w:w="1122" w:type="dxa"/>
            <w:shd w:val="clear" w:color="auto" w:fill="auto"/>
            <w:noWrap/>
            <w:vAlign w:val="center"/>
            <w:hideMark/>
          </w:tcPr>
          <w:p w14:paraId="0084FC71"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Tanzania</w:t>
            </w:r>
          </w:p>
        </w:tc>
        <w:tc>
          <w:tcPr>
            <w:tcW w:w="1289" w:type="dxa"/>
            <w:shd w:val="clear" w:color="000000" w:fill="BF8F00"/>
            <w:vAlign w:val="center"/>
            <w:hideMark/>
          </w:tcPr>
          <w:p w14:paraId="08D51E32"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Considerable</w:t>
            </w:r>
          </w:p>
        </w:tc>
        <w:tc>
          <w:tcPr>
            <w:tcW w:w="2277" w:type="dxa"/>
            <w:shd w:val="clear" w:color="000000" w:fill="92D050"/>
            <w:noWrap/>
            <w:vAlign w:val="center"/>
            <w:hideMark/>
          </w:tcPr>
          <w:p w14:paraId="72F41EE8"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c>
          <w:tcPr>
            <w:tcW w:w="1591" w:type="dxa"/>
            <w:shd w:val="clear" w:color="auto" w:fill="auto"/>
            <w:noWrap/>
            <w:vAlign w:val="center"/>
            <w:hideMark/>
          </w:tcPr>
          <w:p w14:paraId="1A529F36" w14:textId="77777777" w:rsidR="00B0196F" w:rsidRPr="008D4945" w:rsidRDefault="00B0196F">
            <w:pPr>
              <w:jc w:val="center"/>
              <w:rPr>
                <w:rFonts w:asciiTheme="minorHAnsi" w:hAnsiTheme="minorHAnsi" w:cstheme="minorHAnsi"/>
                <w:color w:val="000000"/>
                <w:sz w:val="18"/>
                <w:szCs w:val="18"/>
              </w:rPr>
            </w:pPr>
          </w:p>
        </w:tc>
        <w:tc>
          <w:tcPr>
            <w:tcW w:w="1994" w:type="dxa"/>
            <w:shd w:val="clear" w:color="000000" w:fill="92D050"/>
            <w:noWrap/>
            <w:vAlign w:val="center"/>
            <w:hideMark/>
          </w:tcPr>
          <w:p w14:paraId="6EB28C4B"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c>
          <w:tcPr>
            <w:tcW w:w="2262" w:type="dxa"/>
            <w:shd w:val="clear" w:color="auto" w:fill="auto"/>
            <w:noWrap/>
            <w:vAlign w:val="center"/>
            <w:hideMark/>
          </w:tcPr>
          <w:p w14:paraId="52BD037E"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383BE87E"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000000" w:fill="92D050"/>
            <w:noWrap/>
            <w:vAlign w:val="center"/>
            <w:hideMark/>
          </w:tcPr>
          <w:p w14:paraId="6D52FCF1"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r>
      <w:tr w:rsidR="00B0196F" w:rsidRPr="008D4945" w14:paraId="57D8C17B" w14:textId="77777777">
        <w:trPr>
          <w:trHeight w:val="323"/>
        </w:trPr>
        <w:tc>
          <w:tcPr>
            <w:tcW w:w="1122" w:type="dxa"/>
            <w:shd w:val="clear" w:color="auto" w:fill="auto"/>
            <w:noWrap/>
            <w:vAlign w:val="center"/>
            <w:hideMark/>
          </w:tcPr>
          <w:p w14:paraId="62557BF3" w14:textId="37350DE1" w:rsidR="00B0196F" w:rsidRPr="008D4945" w:rsidRDefault="00260B8A">
            <w:pPr>
              <w:jc w:val="center"/>
              <w:rPr>
                <w:rFonts w:asciiTheme="minorHAnsi" w:hAnsiTheme="minorHAnsi" w:cstheme="minorHAnsi"/>
                <w:color w:val="000000"/>
                <w:sz w:val="18"/>
                <w:szCs w:val="18"/>
              </w:rPr>
            </w:pPr>
            <w:r>
              <w:rPr>
                <w:rFonts w:asciiTheme="minorHAnsi" w:hAnsiTheme="minorHAnsi" w:cstheme="minorHAnsi"/>
                <w:color w:val="000000"/>
                <w:sz w:val="18"/>
                <w:szCs w:val="18"/>
              </w:rPr>
              <w:t>Timor-Leste</w:t>
            </w:r>
          </w:p>
        </w:tc>
        <w:tc>
          <w:tcPr>
            <w:tcW w:w="1289" w:type="dxa"/>
            <w:shd w:val="clear" w:color="000000" w:fill="BF8F00"/>
            <w:vAlign w:val="center"/>
            <w:hideMark/>
          </w:tcPr>
          <w:p w14:paraId="0480F37F"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Considerable</w:t>
            </w:r>
          </w:p>
        </w:tc>
        <w:tc>
          <w:tcPr>
            <w:tcW w:w="2277" w:type="dxa"/>
            <w:shd w:val="clear" w:color="000000" w:fill="00B050"/>
            <w:noWrap/>
            <w:vAlign w:val="center"/>
            <w:hideMark/>
          </w:tcPr>
          <w:p w14:paraId="6209F6EC"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Vital</w:t>
            </w:r>
          </w:p>
        </w:tc>
        <w:tc>
          <w:tcPr>
            <w:tcW w:w="1591" w:type="dxa"/>
            <w:shd w:val="clear" w:color="auto" w:fill="auto"/>
            <w:noWrap/>
            <w:vAlign w:val="center"/>
            <w:hideMark/>
          </w:tcPr>
          <w:p w14:paraId="3352A6E2" w14:textId="77777777" w:rsidR="00B0196F" w:rsidRPr="008D4945" w:rsidRDefault="00B0196F">
            <w:pPr>
              <w:jc w:val="center"/>
              <w:rPr>
                <w:rFonts w:asciiTheme="minorHAnsi" w:hAnsiTheme="minorHAnsi" w:cstheme="minorHAnsi"/>
                <w:color w:val="000000"/>
                <w:sz w:val="18"/>
                <w:szCs w:val="18"/>
              </w:rPr>
            </w:pPr>
          </w:p>
        </w:tc>
        <w:tc>
          <w:tcPr>
            <w:tcW w:w="1994" w:type="dxa"/>
            <w:shd w:val="clear" w:color="auto" w:fill="auto"/>
            <w:noWrap/>
            <w:vAlign w:val="center"/>
            <w:hideMark/>
          </w:tcPr>
          <w:p w14:paraId="04D8FC34" w14:textId="77777777" w:rsidR="00B0196F" w:rsidRPr="008D4945" w:rsidRDefault="00B0196F">
            <w:pPr>
              <w:jc w:val="center"/>
              <w:rPr>
                <w:rFonts w:asciiTheme="minorHAnsi" w:hAnsiTheme="minorHAnsi" w:cstheme="minorHAnsi"/>
                <w:sz w:val="18"/>
                <w:szCs w:val="18"/>
              </w:rPr>
            </w:pPr>
          </w:p>
        </w:tc>
        <w:tc>
          <w:tcPr>
            <w:tcW w:w="2262" w:type="dxa"/>
            <w:shd w:val="clear" w:color="auto" w:fill="auto"/>
            <w:noWrap/>
            <w:vAlign w:val="center"/>
            <w:hideMark/>
          </w:tcPr>
          <w:p w14:paraId="1350110A" w14:textId="77777777" w:rsidR="00B0196F" w:rsidRPr="008D4945" w:rsidRDefault="00B0196F">
            <w:pPr>
              <w:jc w:val="center"/>
              <w:rPr>
                <w:rFonts w:asciiTheme="minorHAnsi" w:hAnsiTheme="minorHAnsi" w:cstheme="minorHAnsi"/>
                <w:sz w:val="18"/>
                <w:szCs w:val="18"/>
              </w:rPr>
            </w:pPr>
          </w:p>
        </w:tc>
        <w:tc>
          <w:tcPr>
            <w:tcW w:w="2262" w:type="dxa"/>
            <w:shd w:val="clear" w:color="auto" w:fill="auto"/>
            <w:noWrap/>
            <w:vAlign w:val="center"/>
            <w:hideMark/>
          </w:tcPr>
          <w:p w14:paraId="01AA5E50"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7FF0E6F2" w14:textId="77777777" w:rsidR="00B0196F" w:rsidRPr="008D4945" w:rsidRDefault="00B0196F">
            <w:pPr>
              <w:jc w:val="center"/>
              <w:rPr>
                <w:rFonts w:asciiTheme="minorHAnsi" w:hAnsiTheme="minorHAnsi" w:cstheme="minorHAnsi"/>
                <w:sz w:val="18"/>
                <w:szCs w:val="18"/>
              </w:rPr>
            </w:pPr>
          </w:p>
        </w:tc>
      </w:tr>
      <w:tr w:rsidR="00B0196F" w:rsidRPr="008D4945" w14:paraId="4678DEA6" w14:textId="77777777">
        <w:trPr>
          <w:trHeight w:val="323"/>
        </w:trPr>
        <w:tc>
          <w:tcPr>
            <w:tcW w:w="1122" w:type="dxa"/>
            <w:shd w:val="clear" w:color="auto" w:fill="auto"/>
            <w:noWrap/>
            <w:vAlign w:val="center"/>
            <w:hideMark/>
          </w:tcPr>
          <w:p w14:paraId="318382E5"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Uganda</w:t>
            </w:r>
          </w:p>
        </w:tc>
        <w:tc>
          <w:tcPr>
            <w:tcW w:w="1289" w:type="dxa"/>
            <w:shd w:val="clear" w:color="000000" w:fill="BF8F00"/>
            <w:vAlign w:val="center"/>
            <w:hideMark/>
          </w:tcPr>
          <w:p w14:paraId="1D4164A9"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Considerable</w:t>
            </w:r>
          </w:p>
        </w:tc>
        <w:tc>
          <w:tcPr>
            <w:tcW w:w="2277" w:type="dxa"/>
            <w:shd w:val="clear" w:color="000000" w:fill="00B050"/>
            <w:noWrap/>
            <w:vAlign w:val="center"/>
            <w:hideMark/>
          </w:tcPr>
          <w:p w14:paraId="70BF5639"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Vital</w:t>
            </w:r>
          </w:p>
        </w:tc>
        <w:tc>
          <w:tcPr>
            <w:tcW w:w="1591" w:type="dxa"/>
            <w:shd w:val="clear" w:color="000000" w:fill="00B050"/>
            <w:noWrap/>
            <w:vAlign w:val="center"/>
            <w:hideMark/>
          </w:tcPr>
          <w:p w14:paraId="775BB6B3"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Vital</w:t>
            </w:r>
          </w:p>
        </w:tc>
        <w:tc>
          <w:tcPr>
            <w:tcW w:w="1994" w:type="dxa"/>
            <w:shd w:val="clear" w:color="000000" w:fill="FFC000"/>
            <w:noWrap/>
            <w:vAlign w:val="center"/>
            <w:hideMark/>
          </w:tcPr>
          <w:p w14:paraId="147CE3BF"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Some</w:t>
            </w:r>
          </w:p>
        </w:tc>
        <w:tc>
          <w:tcPr>
            <w:tcW w:w="2262" w:type="dxa"/>
            <w:shd w:val="clear" w:color="auto" w:fill="auto"/>
            <w:noWrap/>
            <w:vAlign w:val="center"/>
            <w:hideMark/>
          </w:tcPr>
          <w:p w14:paraId="1639CD76"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428BEEC0"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0D530F26" w14:textId="77777777" w:rsidR="00B0196F" w:rsidRPr="008D4945" w:rsidRDefault="00B0196F">
            <w:pPr>
              <w:jc w:val="center"/>
              <w:rPr>
                <w:rFonts w:asciiTheme="minorHAnsi" w:hAnsiTheme="minorHAnsi" w:cstheme="minorHAnsi"/>
                <w:sz w:val="18"/>
                <w:szCs w:val="18"/>
              </w:rPr>
            </w:pPr>
          </w:p>
        </w:tc>
      </w:tr>
      <w:tr w:rsidR="00B0196F" w:rsidRPr="008D4945" w14:paraId="489D943E" w14:textId="77777777">
        <w:trPr>
          <w:trHeight w:val="323"/>
        </w:trPr>
        <w:tc>
          <w:tcPr>
            <w:tcW w:w="1122" w:type="dxa"/>
            <w:shd w:val="clear" w:color="auto" w:fill="auto"/>
            <w:noWrap/>
            <w:vAlign w:val="center"/>
            <w:hideMark/>
          </w:tcPr>
          <w:p w14:paraId="260268D6"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Bangladesh</w:t>
            </w:r>
          </w:p>
        </w:tc>
        <w:tc>
          <w:tcPr>
            <w:tcW w:w="1289" w:type="dxa"/>
            <w:shd w:val="clear" w:color="000000" w:fill="FFD966"/>
            <w:vAlign w:val="center"/>
            <w:hideMark/>
          </w:tcPr>
          <w:p w14:paraId="457CAE1D"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Some</w:t>
            </w:r>
          </w:p>
        </w:tc>
        <w:tc>
          <w:tcPr>
            <w:tcW w:w="2277" w:type="dxa"/>
            <w:shd w:val="clear" w:color="000000" w:fill="FFC000"/>
            <w:noWrap/>
            <w:vAlign w:val="center"/>
            <w:hideMark/>
          </w:tcPr>
          <w:p w14:paraId="5B30563D"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Some</w:t>
            </w:r>
          </w:p>
        </w:tc>
        <w:tc>
          <w:tcPr>
            <w:tcW w:w="1591" w:type="dxa"/>
            <w:shd w:val="clear" w:color="auto" w:fill="auto"/>
            <w:noWrap/>
            <w:vAlign w:val="center"/>
            <w:hideMark/>
          </w:tcPr>
          <w:p w14:paraId="68695BD7" w14:textId="77777777" w:rsidR="00B0196F" w:rsidRPr="008D4945" w:rsidRDefault="00B0196F">
            <w:pPr>
              <w:jc w:val="center"/>
              <w:rPr>
                <w:rFonts w:asciiTheme="minorHAnsi" w:hAnsiTheme="minorHAnsi" w:cstheme="minorHAnsi"/>
                <w:color w:val="000000"/>
                <w:sz w:val="18"/>
                <w:szCs w:val="18"/>
              </w:rPr>
            </w:pPr>
          </w:p>
        </w:tc>
        <w:tc>
          <w:tcPr>
            <w:tcW w:w="1994" w:type="dxa"/>
            <w:shd w:val="clear" w:color="auto" w:fill="auto"/>
            <w:noWrap/>
            <w:vAlign w:val="center"/>
            <w:hideMark/>
          </w:tcPr>
          <w:p w14:paraId="2CF546B6" w14:textId="77777777" w:rsidR="00B0196F" w:rsidRPr="008D4945" w:rsidRDefault="00B0196F">
            <w:pPr>
              <w:jc w:val="center"/>
              <w:rPr>
                <w:rFonts w:asciiTheme="minorHAnsi" w:hAnsiTheme="minorHAnsi" w:cstheme="minorHAnsi"/>
                <w:sz w:val="18"/>
                <w:szCs w:val="18"/>
              </w:rPr>
            </w:pPr>
          </w:p>
        </w:tc>
        <w:tc>
          <w:tcPr>
            <w:tcW w:w="2262" w:type="dxa"/>
            <w:shd w:val="clear" w:color="000000" w:fill="FCE4D6"/>
            <w:noWrap/>
            <w:vAlign w:val="center"/>
            <w:hideMark/>
          </w:tcPr>
          <w:p w14:paraId="58A67468"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Limited</w:t>
            </w:r>
          </w:p>
        </w:tc>
        <w:tc>
          <w:tcPr>
            <w:tcW w:w="2262" w:type="dxa"/>
            <w:shd w:val="clear" w:color="auto" w:fill="auto"/>
            <w:noWrap/>
            <w:vAlign w:val="center"/>
            <w:hideMark/>
          </w:tcPr>
          <w:p w14:paraId="04CC8DC8"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3667D686" w14:textId="77777777" w:rsidR="00B0196F" w:rsidRPr="008D4945" w:rsidRDefault="00B0196F">
            <w:pPr>
              <w:jc w:val="center"/>
              <w:rPr>
                <w:rFonts w:asciiTheme="minorHAnsi" w:hAnsiTheme="minorHAnsi" w:cstheme="minorHAnsi"/>
                <w:sz w:val="18"/>
                <w:szCs w:val="18"/>
              </w:rPr>
            </w:pPr>
          </w:p>
        </w:tc>
      </w:tr>
      <w:tr w:rsidR="00B0196F" w:rsidRPr="008D4945" w14:paraId="019DBAA1" w14:textId="77777777">
        <w:trPr>
          <w:trHeight w:val="323"/>
        </w:trPr>
        <w:tc>
          <w:tcPr>
            <w:tcW w:w="1122" w:type="dxa"/>
            <w:shd w:val="clear" w:color="auto" w:fill="auto"/>
            <w:noWrap/>
            <w:vAlign w:val="center"/>
            <w:hideMark/>
          </w:tcPr>
          <w:p w14:paraId="604CE5E3"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Kenya</w:t>
            </w:r>
          </w:p>
        </w:tc>
        <w:tc>
          <w:tcPr>
            <w:tcW w:w="1289" w:type="dxa"/>
            <w:shd w:val="clear" w:color="000000" w:fill="FFD966"/>
            <w:vAlign w:val="center"/>
            <w:hideMark/>
          </w:tcPr>
          <w:p w14:paraId="011C2DBB"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Some</w:t>
            </w:r>
          </w:p>
        </w:tc>
        <w:tc>
          <w:tcPr>
            <w:tcW w:w="2277" w:type="dxa"/>
            <w:shd w:val="clear" w:color="000000" w:fill="92D050"/>
            <w:noWrap/>
            <w:vAlign w:val="center"/>
            <w:hideMark/>
          </w:tcPr>
          <w:p w14:paraId="31130081"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c>
          <w:tcPr>
            <w:tcW w:w="1591" w:type="dxa"/>
            <w:shd w:val="clear" w:color="auto" w:fill="auto"/>
            <w:noWrap/>
            <w:vAlign w:val="center"/>
            <w:hideMark/>
          </w:tcPr>
          <w:p w14:paraId="410716BA" w14:textId="77777777" w:rsidR="00B0196F" w:rsidRPr="008D4945" w:rsidRDefault="00B0196F">
            <w:pPr>
              <w:jc w:val="center"/>
              <w:rPr>
                <w:rFonts w:asciiTheme="minorHAnsi" w:hAnsiTheme="minorHAnsi" w:cstheme="minorHAnsi"/>
                <w:color w:val="000000"/>
                <w:sz w:val="18"/>
                <w:szCs w:val="18"/>
              </w:rPr>
            </w:pPr>
          </w:p>
        </w:tc>
        <w:tc>
          <w:tcPr>
            <w:tcW w:w="1994" w:type="dxa"/>
            <w:shd w:val="clear" w:color="000000" w:fill="92D050"/>
            <w:noWrap/>
            <w:vAlign w:val="center"/>
            <w:hideMark/>
          </w:tcPr>
          <w:p w14:paraId="47FFB5F3"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c>
          <w:tcPr>
            <w:tcW w:w="2262" w:type="dxa"/>
            <w:shd w:val="clear" w:color="000000" w:fill="92D050"/>
            <w:noWrap/>
            <w:vAlign w:val="center"/>
            <w:hideMark/>
          </w:tcPr>
          <w:p w14:paraId="37F3FB4D"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c>
          <w:tcPr>
            <w:tcW w:w="2262" w:type="dxa"/>
            <w:shd w:val="clear" w:color="auto" w:fill="auto"/>
            <w:noWrap/>
            <w:vAlign w:val="center"/>
            <w:hideMark/>
          </w:tcPr>
          <w:p w14:paraId="25FC9284"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658D87C0" w14:textId="77777777" w:rsidR="00B0196F" w:rsidRPr="008D4945" w:rsidRDefault="00B0196F">
            <w:pPr>
              <w:jc w:val="center"/>
              <w:rPr>
                <w:rFonts w:asciiTheme="minorHAnsi" w:hAnsiTheme="minorHAnsi" w:cstheme="minorHAnsi"/>
                <w:sz w:val="18"/>
                <w:szCs w:val="18"/>
              </w:rPr>
            </w:pPr>
          </w:p>
        </w:tc>
      </w:tr>
      <w:tr w:rsidR="00B0196F" w:rsidRPr="008D4945" w14:paraId="1C9C4C67" w14:textId="77777777">
        <w:trPr>
          <w:trHeight w:val="323"/>
        </w:trPr>
        <w:tc>
          <w:tcPr>
            <w:tcW w:w="1122" w:type="dxa"/>
            <w:shd w:val="clear" w:color="auto" w:fill="auto"/>
            <w:noWrap/>
            <w:vAlign w:val="center"/>
            <w:hideMark/>
          </w:tcPr>
          <w:p w14:paraId="1B0D58DB"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Laos</w:t>
            </w:r>
          </w:p>
        </w:tc>
        <w:tc>
          <w:tcPr>
            <w:tcW w:w="1289" w:type="dxa"/>
            <w:shd w:val="clear" w:color="000000" w:fill="FFD966"/>
            <w:vAlign w:val="center"/>
            <w:hideMark/>
          </w:tcPr>
          <w:p w14:paraId="6A167D09"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Some</w:t>
            </w:r>
          </w:p>
        </w:tc>
        <w:tc>
          <w:tcPr>
            <w:tcW w:w="2277" w:type="dxa"/>
            <w:shd w:val="clear" w:color="000000" w:fill="92D050"/>
            <w:noWrap/>
            <w:vAlign w:val="center"/>
            <w:hideMark/>
          </w:tcPr>
          <w:p w14:paraId="7BC79F71"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c>
          <w:tcPr>
            <w:tcW w:w="1591" w:type="dxa"/>
            <w:shd w:val="clear" w:color="auto" w:fill="auto"/>
            <w:noWrap/>
            <w:vAlign w:val="center"/>
            <w:hideMark/>
          </w:tcPr>
          <w:p w14:paraId="343C9A0D" w14:textId="77777777" w:rsidR="00B0196F" w:rsidRPr="008D4945" w:rsidRDefault="00B0196F">
            <w:pPr>
              <w:jc w:val="center"/>
              <w:rPr>
                <w:rFonts w:asciiTheme="minorHAnsi" w:hAnsiTheme="minorHAnsi" w:cstheme="minorHAnsi"/>
                <w:color w:val="000000"/>
                <w:sz w:val="18"/>
                <w:szCs w:val="18"/>
              </w:rPr>
            </w:pPr>
          </w:p>
        </w:tc>
        <w:tc>
          <w:tcPr>
            <w:tcW w:w="1994" w:type="dxa"/>
            <w:shd w:val="clear" w:color="auto" w:fill="auto"/>
            <w:noWrap/>
            <w:vAlign w:val="center"/>
            <w:hideMark/>
          </w:tcPr>
          <w:p w14:paraId="13EEC30F" w14:textId="77777777" w:rsidR="00B0196F" w:rsidRPr="008D4945" w:rsidRDefault="00B0196F">
            <w:pPr>
              <w:jc w:val="center"/>
              <w:rPr>
                <w:rFonts w:asciiTheme="minorHAnsi" w:hAnsiTheme="minorHAnsi" w:cstheme="minorHAnsi"/>
                <w:sz w:val="18"/>
                <w:szCs w:val="18"/>
              </w:rPr>
            </w:pPr>
          </w:p>
        </w:tc>
        <w:tc>
          <w:tcPr>
            <w:tcW w:w="2262" w:type="dxa"/>
            <w:shd w:val="clear" w:color="auto" w:fill="auto"/>
            <w:noWrap/>
            <w:vAlign w:val="center"/>
            <w:hideMark/>
          </w:tcPr>
          <w:p w14:paraId="49BDE439" w14:textId="77777777" w:rsidR="00B0196F" w:rsidRPr="008D4945" w:rsidRDefault="00B0196F">
            <w:pPr>
              <w:jc w:val="center"/>
              <w:rPr>
                <w:rFonts w:asciiTheme="minorHAnsi" w:hAnsiTheme="minorHAnsi" w:cstheme="minorHAnsi"/>
                <w:sz w:val="18"/>
                <w:szCs w:val="18"/>
              </w:rPr>
            </w:pPr>
          </w:p>
        </w:tc>
        <w:tc>
          <w:tcPr>
            <w:tcW w:w="2262" w:type="dxa"/>
            <w:shd w:val="clear" w:color="auto" w:fill="auto"/>
            <w:noWrap/>
            <w:vAlign w:val="center"/>
            <w:hideMark/>
          </w:tcPr>
          <w:p w14:paraId="14E94D61"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554A4094" w14:textId="77777777" w:rsidR="00B0196F" w:rsidRPr="008D4945" w:rsidRDefault="00B0196F">
            <w:pPr>
              <w:jc w:val="center"/>
              <w:rPr>
                <w:rFonts w:asciiTheme="minorHAnsi" w:hAnsiTheme="minorHAnsi" w:cstheme="minorHAnsi"/>
                <w:sz w:val="18"/>
                <w:szCs w:val="18"/>
              </w:rPr>
            </w:pPr>
          </w:p>
        </w:tc>
      </w:tr>
      <w:tr w:rsidR="00B0196F" w:rsidRPr="008D4945" w14:paraId="32CD71C9" w14:textId="77777777">
        <w:trPr>
          <w:trHeight w:val="323"/>
        </w:trPr>
        <w:tc>
          <w:tcPr>
            <w:tcW w:w="1122" w:type="dxa"/>
            <w:shd w:val="clear" w:color="auto" w:fill="auto"/>
            <w:noWrap/>
            <w:vAlign w:val="center"/>
            <w:hideMark/>
          </w:tcPr>
          <w:p w14:paraId="332BCEB4"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Zambia</w:t>
            </w:r>
          </w:p>
        </w:tc>
        <w:tc>
          <w:tcPr>
            <w:tcW w:w="1289" w:type="dxa"/>
            <w:shd w:val="clear" w:color="000000" w:fill="FFD966"/>
            <w:vAlign w:val="center"/>
            <w:hideMark/>
          </w:tcPr>
          <w:p w14:paraId="32A5AD94"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Some</w:t>
            </w:r>
          </w:p>
        </w:tc>
        <w:tc>
          <w:tcPr>
            <w:tcW w:w="2277" w:type="dxa"/>
            <w:shd w:val="clear" w:color="auto" w:fill="auto"/>
            <w:noWrap/>
            <w:vAlign w:val="center"/>
            <w:hideMark/>
          </w:tcPr>
          <w:p w14:paraId="1900C69B" w14:textId="77777777" w:rsidR="00B0196F" w:rsidRPr="008D4945" w:rsidRDefault="00B0196F">
            <w:pPr>
              <w:jc w:val="center"/>
              <w:rPr>
                <w:rFonts w:asciiTheme="minorHAnsi" w:hAnsiTheme="minorHAnsi" w:cstheme="minorHAnsi"/>
                <w:b/>
                <w:bCs/>
                <w:color w:val="000000"/>
                <w:sz w:val="18"/>
                <w:szCs w:val="18"/>
              </w:rPr>
            </w:pPr>
          </w:p>
        </w:tc>
        <w:tc>
          <w:tcPr>
            <w:tcW w:w="1591" w:type="dxa"/>
            <w:shd w:val="clear" w:color="000000" w:fill="FFC000"/>
            <w:noWrap/>
            <w:vAlign w:val="center"/>
            <w:hideMark/>
          </w:tcPr>
          <w:p w14:paraId="4DCFF8DB"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Some</w:t>
            </w:r>
          </w:p>
        </w:tc>
        <w:tc>
          <w:tcPr>
            <w:tcW w:w="1994" w:type="dxa"/>
            <w:shd w:val="clear" w:color="000000" w:fill="92D050"/>
            <w:noWrap/>
            <w:vAlign w:val="center"/>
            <w:hideMark/>
          </w:tcPr>
          <w:p w14:paraId="3E8ACD83"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c>
          <w:tcPr>
            <w:tcW w:w="2262" w:type="dxa"/>
            <w:shd w:val="clear" w:color="000000" w:fill="92D050"/>
            <w:noWrap/>
            <w:vAlign w:val="center"/>
            <w:hideMark/>
          </w:tcPr>
          <w:p w14:paraId="6DFB0044"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c>
          <w:tcPr>
            <w:tcW w:w="2262" w:type="dxa"/>
            <w:shd w:val="clear" w:color="auto" w:fill="auto"/>
            <w:noWrap/>
            <w:vAlign w:val="center"/>
            <w:hideMark/>
          </w:tcPr>
          <w:p w14:paraId="51461D33"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09DB07F8" w14:textId="77777777" w:rsidR="00B0196F" w:rsidRPr="008D4945" w:rsidRDefault="00B0196F">
            <w:pPr>
              <w:jc w:val="center"/>
              <w:rPr>
                <w:rFonts w:asciiTheme="minorHAnsi" w:hAnsiTheme="minorHAnsi" w:cstheme="minorHAnsi"/>
                <w:sz w:val="18"/>
                <w:szCs w:val="18"/>
              </w:rPr>
            </w:pPr>
          </w:p>
        </w:tc>
      </w:tr>
      <w:tr w:rsidR="00B0196F" w:rsidRPr="008D4945" w14:paraId="2B705162" w14:textId="77777777">
        <w:trPr>
          <w:trHeight w:val="323"/>
        </w:trPr>
        <w:tc>
          <w:tcPr>
            <w:tcW w:w="1122" w:type="dxa"/>
            <w:shd w:val="clear" w:color="auto" w:fill="auto"/>
            <w:noWrap/>
            <w:vAlign w:val="center"/>
            <w:hideMark/>
          </w:tcPr>
          <w:p w14:paraId="0E930ACF"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Ghana</w:t>
            </w:r>
          </w:p>
        </w:tc>
        <w:tc>
          <w:tcPr>
            <w:tcW w:w="1289" w:type="dxa"/>
            <w:shd w:val="clear" w:color="000000" w:fill="FBE4D5"/>
            <w:vAlign w:val="center"/>
            <w:hideMark/>
          </w:tcPr>
          <w:p w14:paraId="3A12520F"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Limited</w:t>
            </w:r>
          </w:p>
        </w:tc>
        <w:tc>
          <w:tcPr>
            <w:tcW w:w="2277" w:type="dxa"/>
            <w:shd w:val="clear" w:color="000000" w:fill="FFC000"/>
            <w:noWrap/>
            <w:vAlign w:val="center"/>
            <w:hideMark/>
          </w:tcPr>
          <w:p w14:paraId="6BE2DF64"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Some</w:t>
            </w:r>
          </w:p>
        </w:tc>
        <w:tc>
          <w:tcPr>
            <w:tcW w:w="1591" w:type="dxa"/>
            <w:shd w:val="clear" w:color="000000" w:fill="ED7D31"/>
            <w:noWrap/>
            <w:vAlign w:val="center"/>
            <w:hideMark/>
          </w:tcPr>
          <w:p w14:paraId="79A0E647"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None</w:t>
            </w:r>
          </w:p>
        </w:tc>
        <w:tc>
          <w:tcPr>
            <w:tcW w:w="1994" w:type="dxa"/>
            <w:shd w:val="clear" w:color="auto" w:fill="auto"/>
            <w:noWrap/>
            <w:vAlign w:val="center"/>
            <w:hideMark/>
          </w:tcPr>
          <w:p w14:paraId="2CAF21D0"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55B0F151" w14:textId="77777777" w:rsidR="00B0196F" w:rsidRPr="008D4945" w:rsidRDefault="00B0196F">
            <w:pPr>
              <w:jc w:val="center"/>
              <w:rPr>
                <w:rFonts w:asciiTheme="minorHAnsi" w:hAnsiTheme="minorHAnsi" w:cstheme="minorHAnsi"/>
                <w:sz w:val="18"/>
                <w:szCs w:val="18"/>
              </w:rPr>
            </w:pPr>
          </w:p>
        </w:tc>
        <w:tc>
          <w:tcPr>
            <w:tcW w:w="2262" w:type="dxa"/>
            <w:shd w:val="clear" w:color="auto" w:fill="auto"/>
            <w:noWrap/>
            <w:vAlign w:val="center"/>
            <w:hideMark/>
          </w:tcPr>
          <w:p w14:paraId="00269895"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000000" w:fill="ED7D31"/>
            <w:noWrap/>
            <w:vAlign w:val="center"/>
            <w:hideMark/>
          </w:tcPr>
          <w:p w14:paraId="63B82BAC"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None</w:t>
            </w:r>
          </w:p>
        </w:tc>
      </w:tr>
      <w:tr w:rsidR="00B0196F" w:rsidRPr="008D4945" w14:paraId="79487D1D" w14:textId="77777777">
        <w:trPr>
          <w:trHeight w:val="323"/>
        </w:trPr>
        <w:tc>
          <w:tcPr>
            <w:tcW w:w="1122" w:type="dxa"/>
            <w:shd w:val="clear" w:color="auto" w:fill="auto"/>
            <w:noWrap/>
            <w:vAlign w:val="center"/>
            <w:hideMark/>
          </w:tcPr>
          <w:p w14:paraId="0EEEF40C"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Nigeria</w:t>
            </w:r>
          </w:p>
        </w:tc>
        <w:tc>
          <w:tcPr>
            <w:tcW w:w="1289" w:type="dxa"/>
            <w:shd w:val="clear" w:color="000000" w:fill="FBE4D5"/>
            <w:vAlign w:val="center"/>
            <w:hideMark/>
          </w:tcPr>
          <w:p w14:paraId="001522DE"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Limited</w:t>
            </w:r>
          </w:p>
        </w:tc>
        <w:tc>
          <w:tcPr>
            <w:tcW w:w="2277" w:type="dxa"/>
            <w:shd w:val="clear" w:color="000000" w:fill="92D050"/>
            <w:noWrap/>
            <w:vAlign w:val="center"/>
            <w:hideMark/>
          </w:tcPr>
          <w:p w14:paraId="45E73C18"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c>
          <w:tcPr>
            <w:tcW w:w="1591" w:type="dxa"/>
            <w:shd w:val="clear" w:color="000000" w:fill="92D050"/>
            <w:noWrap/>
            <w:vAlign w:val="center"/>
            <w:hideMark/>
          </w:tcPr>
          <w:p w14:paraId="52F94D52"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c>
          <w:tcPr>
            <w:tcW w:w="1994" w:type="dxa"/>
            <w:shd w:val="clear" w:color="000000" w:fill="FCE4D6"/>
            <w:noWrap/>
            <w:vAlign w:val="center"/>
            <w:hideMark/>
          </w:tcPr>
          <w:p w14:paraId="411819C8"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Limited</w:t>
            </w:r>
          </w:p>
        </w:tc>
        <w:tc>
          <w:tcPr>
            <w:tcW w:w="2262" w:type="dxa"/>
            <w:shd w:val="clear" w:color="auto" w:fill="auto"/>
            <w:noWrap/>
            <w:vAlign w:val="center"/>
            <w:hideMark/>
          </w:tcPr>
          <w:p w14:paraId="54A1E313"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61912C70"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1962AB0B" w14:textId="77777777" w:rsidR="00B0196F" w:rsidRPr="008D4945" w:rsidRDefault="00B0196F">
            <w:pPr>
              <w:jc w:val="center"/>
              <w:rPr>
                <w:rFonts w:asciiTheme="minorHAnsi" w:hAnsiTheme="minorHAnsi" w:cstheme="minorHAnsi"/>
                <w:sz w:val="18"/>
                <w:szCs w:val="18"/>
              </w:rPr>
            </w:pPr>
          </w:p>
        </w:tc>
      </w:tr>
      <w:tr w:rsidR="00B0196F" w:rsidRPr="008D4945" w14:paraId="114C458A" w14:textId="77777777">
        <w:trPr>
          <w:trHeight w:val="323"/>
        </w:trPr>
        <w:tc>
          <w:tcPr>
            <w:tcW w:w="1122" w:type="dxa"/>
            <w:shd w:val="clear" w:color="auto" w:fill="auto"/>
            <w:noWrap/>
            <w:vAlign w:val="center"/>
            <w:hideMark/>
          </w:tcPr>
          <w:p w14:paraId="6CF4C39C"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Senegal</w:t>
            </w:r>
          </w:p>
        </w:tc>
        <w:tc>
          <w:tcPr>
            <w:tcW w:w="1289" w:type="dxa"/>
            <w:shd w:val="clear" w:color="000000" w:fill="BDD6EE"/>
            <w:vAlign w:val="center"/>
            <w:hideMark/>
          </w:tcPr>
          <w:p w14:paraId="05011E1A"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None yet</w:t>
            </w:r>
          </w:p>
        </w:tc>
        <w:tc>
          <w:tcPr>
            <w:tcW w:w="2277" w:type="dxa"/>
            <w:shd w:val="clear" w:color="000000" w:fill="FCE4D6"/>
            <w:noWrap/>
            <w:vAlign w:val="center"/>
            <w:hideMark/>
          </w:tcPr>
          <w:p w14:paraId="16EC8A9D"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Limited</w:t>
            </w:r>
          </w:p>
        </w:tc>
        <w:tc>
          <w:tcPr>
            <w:tcW w:w="1591" w:type="dxa"/>
            <w:shd w:val="clear" w:color="000000" w:fill="ED7D31"/>
            <w:noWrap/>
            <w:vAlign w:val="center"/>
            <w:hideMark/>
          </w:tcPr>
          <w:p w14:paraId="0B8E613C"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None</w:t>
            </w:r>
          </w:p>
        </w:tc>
        <w:tc>
          <w:tcPr>
            <w:tcW w:w="1994" w:type="dxa"/>
            <w:shd w:val="clear" w:color="auto" w:fill="auto"/>
            <w:noWrap/>
            <w:vAlign w:val="center"/>
            <w:hideMark/>
          </w:tcPr>
          <w:p w14:paraId="7034F71D"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3AF8F5D7" w14:textId="77777777" w:rsidR="00B0196F" w:rsidRPr="008D4945" w:rsidRDefault="00B0196F">
            <w:pPr>
              <w:jc w:val="center"/>
              <w:rPr>
                <w:rFonts w:asciiTheme="minorHAnsi" w:hAnsiTheme="minorHAnsi" w:cstheme="minorHAnsi"/>
                <w:sz w:val="18"/>
                <w:szCs w:val="18"/>
              </w:rPr>
            </w:pPr>
          </w:p>
        </w:tc>
        <w:tc>
          <w:tcPr>
            <w:tcW w:w="2262" w:type="dxa"/>
            <w:shd w:val="clear" w:color="000000" w:fill="92D050"/>
            <w:noWrap/>
            <w:vAlign w:val="center"/>
            <w:hideMark/>
          </w:tcPr>
          <w:p w14:paraId="7BFC1EEE"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c>
          <w:tcPr>
            <w:tcW w:w="2262" w:type="dxa"/>
            <w:shd w:val="clear" w:color="auto" w:fill="auto"/>
            <w:noWrap/>
            <w:vAlign w:val="center"/>
            <w:hideMark/>
          </w:tcPr>
          <w:p w14:paraId="123B8AE6" w14:textId="77777777" w:rsidR="00B0196F" w:rsidRPr="008D4945" w:rsidRDefault="00B0196F">
            <w:pPr>
              <w:jc w:val="center"/>
              <w:rPr>
                <w:rFonts w:asciiTheme="minorHAnsi" w:hAnsiTheme="minorHAnsi" w:cstheme="minorHAnsi"/>
                <w:color w:val="000000"/>
                <w:sz w:val="18"/>
                <w:szCs w:val="18"/>
              </w:rPr>
            </w:pPr>
          </w:p>
        </w:tc>
      </w:tr>
      <w:tr w:rsidR="00B0196F" w:rsidRPr="008D4945" w14:paraId="4998D20A" w14:textId="77777777">
        <w:trPr>
          <w:trHeight w:val="323"/>
        </w:trPr>
        <w:tc>
          <w:tcPr>
            <w:tcW w:w="1122" w:type="dxa"/>
            <w:shd w:val="clear" w:color="auto" w:fill="auto"/>
            <w:noWrap/>
            <w:vAlign w:val="center"/>
            <w:hideMark/>
          </w:tcPr>
          <w:p w14:paraId="36148A83"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Sierra Leone</w:t>
            </w:r>
          </w:p>
        </w:tc>
        <w:tc>
          <w:tcPr>
            <w:tcW w:w="1289" w:type="dxa"/>
            <w:shd w:val="clear" w:color="000000" w:fill="BDD6EE"/>
            <w:vAlign w:val="center"/>
            <w:hideMark/>
          </w:tcPr>
          <w:p w14:paraId="4D129317"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None yet</w:t>
            </w:r>
          </w:p>
        </w:tc>
        <w:tc>
          <w:tcPr>
            <w:tcW w:w="2277" w:type="dxa"/>
            <w:shd w:val="clear" w:color="auto" w:fill="auto"/>
            <w:noWrap/>
            <w:vAlign w:val="center"/>
            <w:hideMark/>
          </w:tcPr>
          <w:p w14:paraId="5CA1A87A" w14:textId="77777777" w:rsidR="00B0196F" w:rsidRPr="008D4945" w:rsidRDefault="00B0196F">
            <w:pPr>
              <w:jc w:val="center"/>
              <w:rPr>
                <w:rFonts w:asciiTheme="minorHAnsi" w:hAnsiTheme="minorHAnsi" w:cstheme="minorHAnsi"/>
                <w:b/>
                <w:bCs/>
                <w:color w:val="000000"/>
                <w:sz w:val="18"/>
                <w:szCs w:val="18"/>
              </w:rPr>
            </w:pPr>
          </w:p>
        </w:tc>
        <w:tc>
          <w:tcPr>
            <w:tcW w:w="1591" w:type="dxa"/>
            <w:shd w:val="clear" w:color="000000" w:fill="00B050"/>
            <w:noWrap/>
            <w:vAlign w:val="center"/>
            <w:hideMark/>
          </w:tcPr>
          <w:p w14:paraId="40C94954"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Vital</w:t>
            </w:r>
          </w:p>
        </w:tc>
        <w:tc>
          <w:tcPr>
            <w:tcW w:w="1994" w:type="dxa"/>
            <w:shd w:val="clear" w:color="auto" w:fill="auto"/>
            <w:noWrap/>
            <w:vAlign w:val="center"/>
            <w:hideMark/>
          </w:tcPr>
          <w:p w14:paraId="050F02C5"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2BE9FE95" w14:textId="77777777" w:rsidR="00B0196F" w:rsidRPr="008D4945" w:rsidRDefault="00B0196F">
            <w:pPr>
              <w:jc w:val="center"/>
              <w:rPr>
                <w:rFonts w:asciiTheme="minorHAnsi" w:hAnsiTheme="minorHAnsi" w:cstheme="minorHAnsi"/>
                <w:sz w:val="18"/>
                <w:szCs w:val="18"/>
              </w:rPr>
            </w:pPr>
          </w:p>
        </w:tc>
        <w:tc>
          <w:tcPr>
            <w:tcW w:w="2262" w:type="dxa"/>
            <w:shd w:val="clear" w:color="auto" w:fill="auto"/>
            <w:noWrap/>
            <w:vAlign w:val="center"/>
            <w:hideMark/>
          </w:tcPr>
          <w:p w14:paraId="4AD86AC0" w14:textId="77777777" w:rsidR="00B0196F" w:rsidRPr="008D4945" w:rsidRDefault="00B0196F">
            <w:pPr>
              <w:jc w:val="center"/>
              <w:rPr>
                <w:rFonts w:asciiTheme="minorHAnsi" w:hAnsiTheme="minorHAnsi" w:cstheme="minorHAnsi"/>
                <w:color w:val="000000"/>
                <w:sz w:val="18"/>
                <w:szCs w:val="18"/>
              </w:rPr>
            </w:pPr>
          </w:p>
        </w:tc>
        <w:tc>
          <w:tcPr>
            <w:tcW w:w="2262" w:type="dxa"/>
            <w:shd w:val="clear" w:color="auto" w:fill="auto"/>
            <w:noWrap/>
            <w:vAlign w:val="center"/>
            <w:hideMark/>
          </w:tcPr>
          <w:p w14:paraId="6B8432AC" w14:textId="77777777" w:rsidR="00B0196F" w:rsidRPr="008D4945" w:rsidRDefault="00B0196F">
            <w:pPr>
              <w:jc w:val="center"/>
              <w:rPr>
                <w:rFonts w:asciiTheme="minorHAnsi" w:hAnsiTheme="minorHAnsi" w:cstheme="minorHAnsi"/>
                <w:sz w:val="18"/>
                <w:szCs w:val="18"/>
              </w:rPr>
            </w:pPr>
          </w:p>
        </w:tc>
      </w:tr>
      <w:tr w:rsidR="00B0196F" w:rsidRPr="008D4945" w14:paraId="3B614B8C" w14:textId="77777777">
        <w:trPr>
          <w:trHeight w:val="323"/>
        </w:trPr>
        <w:tc>
          <w:tcPr>
            <w:tcW w:w="1122" w:type="dxa"/>
            <w:shd w:val="clear" w:color="auto" w:fill="auto"/>
            <w:noWrap/>
            <w:vAlign w:val="center"/>
            <w:hideMark/>
          </w:tcPr>
          <w:p w14:paraId="06BEB6A8"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Vietnam</w:t>
            </w:r>
          </w:p>
        </w:tc>
        <w:tc>
          <w:tcPr>
            <w:tcW w:w="1289" w:type="dxa"/>
            <w:shd w:val="clear" w:color="000000" w:fill="BDD6EE"/>
            <w:vAlign w:val="center"/>
            <w:hideMark/>
          </w:tcPr>
          <w:p w14:paraId="5D720985" w14:textId="77777777" w:rsidR="00B0196F" w:rsidRPr="008D4945" w:rsidRDefault="00B0196F">
            <w:pPr>
              <w:jc w:val="center"/>
              <w:rPr>
                <w:rFonts w:asciiTheme="minorHAnsi" w:hAnsiTheme="minorHAnsi" w:cstheme="minorHAnsi"/>
                <w:b/>
                <w:bCs/>
                <w:color w:val="000000"/>
                <w:sz w:val="18"/>
                <w:szCs w:val="18"/>
              </w:rPr>
            </w:pPr>
            <w:r w:rsidRPr="008D4945">
              <w:rPr>
                <w:rFonts w:asciiTheme="minorHAnsi" w:hAnsiTheme="minorHAnsi" w:cstheme="minorHAnsi"/>
                <w:b/>
                <w:bCs/>
                <w:color w:val="000000"/>
                <w:sz w:val="18"/>
                <w:szCs w:val="18"/>
              </w:rPr>
              <w:t>None yet</w:t>
            </w:r>
          </w:p>
        </w:tc>
        <w:tc>
          <w:tcPr>
            <w:tcW w:w="2277" w:type="dxa"/>
            <w:shd w:val="clear" w:color="000000" w:fill="92D050"/>
            <w:vAlign w:val="center"/>
            <w:hideMark/>
          </w:tcPr>
          <w:p w14:paraId="7AE41FE2"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Important</w:t>
            </w:r>
          </w:p>
        </w:tc>
        <w:tc>
          <w:tcPr>
            <w:tcW w:w="1591" w:type="dxa"/>
            <w:shd w:val="clear" w:color="auto" w:fill="auto"/>
            <w:noWrap/>
            <w:vAlign w:val="center"/>
            <w:hideMark/>
          </w:tcPr>
          <w:p w14:paraId="1CA828E0" w14:textId="77777777" w:rsidR="00B0196F" w:rsidRPr="008D4945" w:rsidRDefault="00B0196F">
            <w:pPr>
              <w:jc w:val="center"/>
              <w:rPr>
                <w:rFonts w:asciiTheme="minorHAnsi" w:hAnsiTheme="minorHAnsi" w:cstheme="minorHAnsi"/>
                <w:color w:val="000000"/>
                <w:sz w:val="18"/>
                <w:szCs w:val="18"/>
              </w:rPr>
            </w:pPr>
          </w:p>
        </w:tc>
        <w:tc>
          <w:tcPr>
            <w:tcW w:w="1994" w:type="dxa"/>
            <w:shd w:val="clear" w:color="auto" w:fill="auto"/>
            <w:noWrap/>
            <w:vAlign w:val="center"/>
            <w:hideMark/>
          </w:tcPr>
          <w:p w14:paraId="7A34D1F1" w14:textId="77777777" w:rsidR="00B0196F" w:rsidRPr="008D4945" w:rsidRDefault="00B0196F">
            <w:pPr>
              <w:jc w:val="center"/>
              <w:rPr>
                <w:rFonts w:asciiTheme="minorHAnsi" w:hAnsiTheme="minorHAnsi" w:cstheme="minorHAnsi"/>
                <w:sz w:val="18"/>
                <w:szCs w:val="18"/>
              </w:rPr>
            </w:pPr>
          </w:p>
        </w:tc>
        <w:tc>
          <w:tcPr>
            <w:tcW w:w="2262" w:type="dxa"/>
            <w:shd w:val="clear" w:color="auto" w:fill="auto"/>
            <w:noWrap/>
            <w:vAlign w:val="center"/>
            <w:hideMark/>
          </w:tcPr>
          <w:p w14:paraId="57671012" w14:textId="77777777" w:rsidR="00B0196F" w:rsidRPr="008D4945" w:rsidRDefault="00B0196F">
            <w:pPr>
              <w:jc w:val="center"/>
              <w:rPr>
                <w:rFonts w:asciiTheme="minorHAnsi" w:hAnsiTheme="minorHAnsi" w:cstheme="minorHAnsi"/>
                <w:sz w:val="18"/>
                <w:szCs w:val="18"/>
              </w:rPr>
            </w:pPr>
          </w:p>
        </w:tc>
        <w:tc>
          <w:tcPr>
            <w:tcW w:w="2262" w:type="dxa"/>
            <w:shd w:val="clear" w:color="000000" w:fill="FCE4D6"/>
            <w:noWrap/>
            <w:vAlign w:val="center"/>
            <w:hideMark/>
          </w:tcPr>
          <w:p w14:paraId="27E076C1" w14:textId="77777777" w:rsidR="00B0196F" w:rsidRPr="008D4945" w:rsidRDefault="00B0196F">
            <w:pPr>
              <w:jc w:val="center"/>
              <w:rPr>
                <w:rFonts w:asciiTheme="minorHAnsi" w:hAnsiTheme="minorHAnsi" w:cstheme="minorHAnsi"/>
                <w:color w:val="000000"/>
                <w:sz w:val="18"/>
                <w:szCs w:val="18"/>
              </w:rPr>
            </w:pPr>
            <w:r w:rsidRPr="008D4945">
              <w:rPr>
                <w:rFonts w:asciiTheme="minorHAnsi" w:hAnsiTheme="minorHAnsi" w:cstheme="minorHAnsi"/>
                <w:color w:val="000000"/>
                <w:sz w:val="18"/>
                <w:szCs w:val="18"/>
              </w:rPr>
              <w:t>Limited</w:t>
            </w:r>
          </w:p>
        </w:tc>
        <w:tc>
          <w:tcPr>
            <w:tcW w:w="2262" w:type="dxa"/>
            <w:shd w:val="clear" w:color="auto" w:fill="auto"/>
            <w:noWrap/>
            <w:vAlign w:val="center"/>
            <w:hideMark/>
          </w:tcPr>
          <w:p w14:paraId="69389963" w14:textId="77777777" w:rsidR="00B0196F" w:rsidRPr="008D4945" w:rsidRDefault="00B0196F">
            <w:pPr>
              <w:jc w:val="center"/>
              <w:rPr>
                <w:rFonts w:asciiTheme="minorHAnsi" w:hAnsiTheme="minorHAnsi" w:cstheme="minorHAnsi"/>
                <w:color w:val="000000"/>
                <w:sz w:val="18"/>
                <w:szCs w:val="18"/>
              </w:rPr>
            </w:pPr>
          </w:p>
        </w:tc>
      </w:tr>
    </w:tbl>
    <w:p w14:paraId="1E9C18DF" w14:textId="77777777" w:rsidR="00B0196F" w:rsidRDefault="00B0196F" w:rsidP="00B0196F"/>
    <w:p w14:paraId="6572E2C6" w14:textId="77777777" w:rsidR="00B0196F" w:rsidRDefault="00B0196F" w:rsidP="00B0196F">
      <w:r>
        <w:br w:type="page"/>
      </w:r>
    </w:p>
    <w:p w14:paraId="0372B5E0" w14:textId="76EE0686" w:rsidR="00B0196F" w:rsidRPr="00B3660F" w:rsidRDefault="00B0196F" w:rsidP="007F63EF">
      <w:pPr>
        <w:pStyle w:val="ItadH3"/>
        <w:keepNext/>
        <w:rPr>
          <w:b w:val="0"/>
          <w:bCs w:val="0"/>
          <w:lang w:val="en-GB"/>
        </w:rPr>
      </w:pPr>
      <w:bookmarkStart w:id="453" w:name="_Toc142383239"/>
      <w:r w:rsidRPr="007F63EF">
        <w:rPr>
          <w:lang w:val="en-GB"/>
        </w:rPr>
        <w:t xml:space="preserve">C5 </w:t>
      </w:r>
      <w:r w:rsidR="00DA63C1" w:rsidRPr="007F63EF">
        <w:rPr>
          <w:lang w:val="en-GB"/>
        </w:rPr>
        <w:t>Changes in data s</w:t>
      </w:r>
      <w:r w:rsidRPr="007F63EF">
        <w:rPr>
          <w:lang w:val="en-GB"/>
        </w:rPr>
        <w:t>haring with WOAH</w:t>
      </w:r>
      <w:bookmarkEnd w:id="453"/>
    </w:p>
    <w:p w14:paraId="62B81416" w14:textId="77777777" w:rsidR="00B0196F" w:rsidRDefault="00B0196F" w:rsidP="00B0196F"/>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591"/>
        <w:gridCol w:w="2437"/>
        <w:gridCol w:w="1284"/>
        <w:gridCol w:w="1342"/>
        <w:gridCol w:w="1707"/>
        <w:gridCol w:w="2610"/>
        <w:gridCol w:w="1862"/>
      </w:tblGrid>
      <w:tr w:rsidR="00DA63C1" w:rsidRPr="00BB111D" w14:paraId="5EBBAC35" w14:textId="77777777" w:rsidTr="00DA63C1">
        <w:trPr>
          <w:trHeight w:val="316"/>
        </w:trPr>
        <w:tc>
          <w:tcPr>
            <w:tcW w:w="1337" w:type="dxa"/>
            <w:shd w:val="clear" w:color="auto" w:fill="96C286" w:themeFill="text2" w:themeFillTint="99"/>
            <w:noWrap/>
            <w:vAlign w:val="center"/>
            <w:hideMark/>
          </w:tcPr>
          <w:p w14:paraId="4AE7754B" w14:textId="77777777" w:rsidR="00B0196F" w:rsidRPr="00BB111D" w:rsidRDefault="00B0196F">
            <w:pPr>
              <w:jc w:val="center"/>
              <w:rPr>
                <w:rFonts w:cs="Calibri"/>
                <w:b/>
                <w:bCs/>
                <w:color w:val="000000"/>
              </w:rPr>
            </w:pPr>
            <w:r w:rsidRPr="00BB111D">
              <w:rPr>
                <w:rFonts w:cs="Calibri"/>
                <w:b/>
                <w:bCs/>
                <w:color w:val="000000"/>
              </w:rPr>
              <w:t>Countries</w:t>
            </w:r>
          </w:p>
        </w:tc>
        <w:tc>
          <w:tcPr>
            <w:tcW w:w="1591" w:type="dxa"/>
            <w:shd w:val="clear" w:color="auto" w:fill="96C286" w:themeFill="text2" w:themeFillTint="99"/>
            <w:noWrap/>
            <w:vAlign w:val="center"/>
            <w:hideMark/>
          </w:tcPr>
          <w:p w14:paraId="2C8BAE44" w14:textId="5B48AEE7" w:rsidR="00B0196F" w:rsidRPr="00BB111D" w:rsidRDefault="00B0196F">
            <w:pPr>
              <w:jc w:val="center"/>
              <w:rPr>
                <w:rFonts w:cs="Calibri"/>
                <w:b/>
                <w:bCs/>
                <w:color w:val="000000"/>
              </w:rPr>
            </w:pPr>
            <w:r w:rsidRPr="00BB111D">
              <w:rPr>
                <w:rFonts w:cs="Calibri"/>
                <w:b/>
                <w:bCs/>
                <w:color w:val="000000"/>
              </w:rPr>
              <w:t>Ext</w:t>
            </w:r>
            <w:r w:rsidR="00CD43FA">
              <w:rPr>
                <w:rFonts w:cs="Calibri"/>
                <w:b/>
                <w:bCs/>
                <w:color w:val="000000"/>
              </w:rPr>
              <w:t>ent</w:t>
            </w:r>
            <w:r w:rsidRPr="00BB111D">
              <w:rPr>
                <w:rFonts w:cs="Calibri"/>
                <w:b/>
                <w:bCs/>
                <w:color w:val="000000"/>
              </w:rPr>
              <w:t xml:space="preserve"> of change</w:t>
            </w:r>
          </w:p>
        </w:tc>
        <w:tc>
          <w:tcPr>
            <w:tcW w:w="2437" w:type="dxa"/>
            <w:shd w:val="clear" w:color="auto" w:fill="96C286" w:themeFill="text2" w:themeFillTint="99"/>
            <w:noWrap/>
            <w:vAlign w:val="center"/>
            <w:hideMark/>
          </w:tcPr>
          <w:p w14:paraId="05A92F63" w14:textId="77777777" w:rsidR="00B0196F" w:rsidRPr="00BB111D" w:rsidRDefault="00B0196F">
            <w:pPr>
              <w:jc w:val="center"/>
              <w:rPr>
                <w:rFonts w:cs="Calibri"/>
                <w:b/>
                <w:bCs/>
                <w:color w:val="000000"/>
              </w:rPr>
            </w:pPr>
            <w:r w:rsidRPr="00BB111D">
              <w:rPr>
                <w:rFonts w:cs="Calibri"/>
                <w:b/>
                <w:bCs/>
                <w:color w:val="000000"/>
              </w:rPr>
              <w:t>Data sharing processes</w:t>
            </w:r>
          </w:p>
        </w:tc>
        <w:tc>
          <w:tcPr>
            <w:tcW w:w="1284" w:type="dxa"/>
            <w:shd w:val="clear" w:color="auto" w:fill="96C286" w:themeFill="text2" w:themeFillTint="99"/>
            <w:noWrap/>
            <w:vAlign w:val="center"/>
            <w:hideMark/>
          </w:tcPr>
          <w:p w14:paraId="468BA3C9" w14:textId="77777777" w:rsidR="00B0196F" w:rsidRPr="00BB111D" w:rsidRDefault="00B0196F">
            <w:pPr>
              <w:jc w:val="center"/>
              <w:rPr>
                <w:rFonts w:cs="Calibri"/>
                <w:b/>
                <w:bCs/>
                <w:color w:val="000000"/>
              </w:rPr>
            </w:pPr>
            <w:r w:rsidRPr="00BB111D">
              <w:rPr>
                <w:rFonts w:cs="Calibri"/>
                <w:b/>
                <w:bCs/>
                <w:color w:val="000000"/>
              </w:rPr>
              <w:t>Data supply</w:t>
            </w:r>
          </w:p>
        </w:tc>
        <w:tc>
          <w:tcPr>
            <w:tcW w:w="1342" w:type="dxa"/>
            <w:shd w:val="clear" w:color="auto" w:fill="96C286" w:themeFill="text2" w:themeFillTint="99"/>
            <w:noWrap/>
            <w:vAlign w:val="center"/>
            <w:hideMark/>
          </w:tcPr>
          <w:p w14:paraId="7617200C" w14:textId="77777777" w:rsidR="00B0196F" w:rsidRPr="00BB111D" w:rsidRDefault="00B0196F">
            <w:pPr>
              <w:jc w:val="center"/>
              <w:rPr>
                <w:rFonts w:cs="Calibri"/>
                <w:b/>
                <w:bCs/>
              </w:rPr>
            </w:pPr>
            <w:r w:rsidRPr="00BB111D">
              <w:rPr>
                <w:rFonts w:cs="Calibri"/>
                <w:b/>
                <w:bCs/>
              </w:rPr>
              <w:t>Resourcing</w:t>
            </w:r>
          </w:p>
        </w:tc>
        <w:tc>
          <w:tcPr>
            <w:tcW w:w="1707" w:type="dxa"/>
            <w:shd w:val="clear" w:color="auto" w:fill="96C286" w:themeFill="text2" w:themeFillTint="99"/>
            <w:noWrap/>
            <w:vAlign w:val="center"/>
            <w:hideMark/>
          </w:tcPr>
          <w:p w14:paraId="703557E1" w14:textId="3FCA0878" w:rsidR="00B0196F" w:rsidRPr="00BB111D" w:rsidRDefault="00B0196F">
            <w:pPr>
              <w:jc w:val="center"/>
              <w:rPr>
                <w:rFonts w:cs="Calibri"/>
                <w:b/>
                <w:bCs/>
                <w:color w:val="000000"/>
              </w:rPr>
            </w:pPr>
            <w:r w:rsidRPr="00BB111D">
              <w:rPr>
                <w:rFonts w:cs="Calibri"/>
                <w:b/>
                <w:bCs/>
                <w:color w:val="000000"/>
              </w:rPr>
              <w:t>TA/External ass</w:t>
            </w:r>
            <w:r w:rsidR="00CD43FA">
              <w:rPr>
                <w:rFonts w:cs="Calibri"/>
                <w:b/>
                <w:bCs/>
                <w:color w:val="000000"/>
              </w:rPr>
              <w:t>istance</w:t>
            </w:r>
          </w:p>
        </w:tc>
        <w:tc>
          <w:tcPr>
            <w:tcW w:w="2610" w:type="dxa"/>
            <w:shd w:val="clear" w:color="auto" w:fill="96C286" w:themeFill="text2" w:themeFillTint="99"/>
            <w:noWrap/>
            <w:vAlign w:val="center"/>
            <w:hideMark/>
          </w:tcPr>
          <w:p w14:paraId="497945C1" w14:textId="77777777" w:rsidR="00B0196F" w:rsidRPr="00BB111D" w:rsidRDefault="00B0196F">
            <w:pPr>
              <w:jc w:val="center"/>
              <w:rPr>
                <w:rFonts w:cs="Calibri"/>
                <w:b/>
                <w:bCs/>
                <w:color w:val="000000"/>
              </w:rPr>
            </w:pPr>
            <w:r w:rsidRPr="00BB111D">
              <w:rPr>
                <w:rFonts w:cs="Calibri"/>
                <w:b/>
                <w:bCs/>
                <w:color w:val="000000"/>
              </w:rPr>
              <w:t>Incentives</w:t>
            </w:r>
          </w:p>
        </w:tc>
        <w:tc>
          <w:tcPr>
            <w:tcW w:w="1862" w:type="dxa"/>
            <w:shd w:val="clear" w:color="auto" w:fill="96C286" w:themeFill="text2" w:themeFillTint="99"/>
            <w:noWrap/>
            <w:vAlign w:val="center"/>
            <w:hideMark/>
          </w:tcPr>
          <w:p w14:paraId="4C75D00F" w14:textId="77777777" w:rsidR="00B0196F" w:rsidRPr="00BB111D" w:rsidRDefault="00B0196F">
            <w:pPr>
              <w:jc w:val="center"/>
              <w:rPr>
                <w:rFonts w:cs="Calibri"/>
                <w:b/>
                <w:bCs/>
                <w:color w:val="000000"/>
              </w:rPr>
            </w:pPr>
            <w:r w:rsidRPr="00BB111D">
              <w:rPr>
                <w:rFonts w:cs="Calibri"/>
                <w:b/>
                <w:bCs/>
                <w:color w:val="000000"/>
              </w:rPr>
              <w:t>Other</w:t>
            </w:r>
          </w:p>
        </w:tc>
      </w:tr>
      <w:tr w:rsidR="00B0196F" w14:paraId="0A6E1481" w14:textId="77777777">
        <w:trPr>
          <w:trHeight w:val="1761"/>
        </w:trPr>
        <w:tc>
          <w:tcPr>
            <w:tcW w:w="1337" w:type="dxa"/>
            <w:shd w:val="clear" w:color="auto" w:fill="auto"/>
            <w:noWrap/>
            <w:vAlign w:val="center"/>
            <w:hideMark/>
          </w:tcPr>
          <w:p w14:paraId="60CA6882" w14:textId="77777777" w:rsidR="00B0196F" w:rsidRPr="00BB111D" w:rsidRDefault="00B0196F">
            <w:pPr>
              <w:jc w:val="center"/>
              <w:rPr>
                <w:rFonts w:cs="Calibri"/>
                <w:b/>
                <w:bCs/>
                <w:color w:val="000000"/>
                <w:sz w:val="18"/>
                <w:szCs w:val="18"/>
              </w:rPr>
            </w:pPr>
          </w:p>
        </w:tc>
        <w:tc>
          <w:tcPr>
            <w:tcW w:w="1591" w:type="dxa"/>
            <w:shd w:val="clear" w:color="auto" w:fill="auto"/>
            <w:noWrap/>
            <w:vAlign w:val="center"/>
            <w:hideMark/>
          </w:tcPr>
          <w:p w14:paraId="50183BB6" w14:textId="77777777" w:rsidR="00B0196F" w:rsidRPr="00BB111D" w:rsidRDefault="00B0196F">
            <w:pPr>
              <w:jc w:val="center"/>
              <w:rPr>
                <w:sz w:val="18"/>
                <w:szCs w:val="18"/>
              </w:rPr>
            </w:pPr>
          </w:p>
        </w:tc>
        <w:tc>
          <w:tcPr>
            <w:tcW w:w="2437" w:type="dxa"/>
            <w:shd w:val="clear" w:color="auto" w:fill="auto"/>
            <w:vAlign w:val="center"/>
            <w:hideMark/>
          </w:tcPr>
          <w:p w14:paraId="4CB791F4" w14:textId="77777777" w:rsidR="00B0196F" w:rsidRPr="00BB111D" w:rsidRDefault="00B0196F">
            <w:pPr>
              <w:jc w:val="center"/>
              <w:rPr>
                <w:rFonts w:cs="Calibri"/>
                <w:i/>
                <w:iCs/>
                <w:color w:val="000000"/>
                <w:sz w:val="18"/>
                <w:szCs w:val="18"/>
              </w:rPr>
            </w:pPr>
            <w:r w:rsidRPr="00BB111D">
              <w:rPr>
                <w:rFonts w:cs="Calibri"/>
                <w:i/>
                <w:iCs/>
                <w:color w:val="000000"/>
                <w:sz w:val="18"/>
                <w:szCs w:val="18"/>
              </w:rPr>
              <w:t>Adequate data sharing processes and systems (including IT systems such as the new user-interface database platform) in place and functioning</w:t>
            </w:r>
          </w:p>
        </w:tc>
        <w:tc>
          <w:tcPr>
            <w:tcW w:w="1284" w:type="dxa"/>
            <w:shd w:val="clear" w:color="auto" w:fill="auto"/>
            <w:vAlign w:val="center"/>
            <w:hideMark/>
          </w:tcPr>
          <w:p w14:paraId="39671981" w14:textId="39DA29A8" w:rsidR="00B0196F" w:rsidRPr="00BB111D" w:rsidRDefault="00B0196F">
            <w:pPr>
              <w:jc w:val="center"/>
              <w:rPr>
                <w:rFonts w:cs="Calibri"/>
                <w:i/>
                <w:iCs/>
                <w:color w:val="000000"/>
                <w:sz w:val="18"/>
                <w:szCs w:val="18"/>
              </w:rPr>
            </w:pPr>
            <w:r w:rsidRPr="00BB111D">
              <w:rPr>
                <w:rFonts w:cs="Calibri"/>
                <w:i/>
                <w:iCs/>
                <w:color w:val="000000"/>
                <w:sz w:val="18"/>
                <w:szCs w:val="18"/>
              </w:rPr>
              <w:t>Availability of data in sufficient quantity/ quality to share</w:t>
            </w:r>
          </w:p>
        </w:tc>
        <w:tc>
          <w:tcPr>
            <w:tcW w:w="1342" w:type="dxa"/>
            <w:shd w:val="clear" w:color="auto" w:fill="auto"/>
            <w:vAlign w:val="center"/>
            <w:hideMark/>
          </w:tcPr>
          <w:p w14:paraId="434A37DD" w14:textId="77777777" w:rsidR="00B0196F" w:rsidRPr="00BB111D" w:rsidRDefault="00B0196F">
            <w:pPr>
              <w:jc w:val="center"/>
              <w:rPr>
                <w:rFonts w:cs="Calibri"/>
                <w:i/>
                <w:iCs/>
                <w:color w:val="000000"/>
                <w:sz w:val="18"/>
                <w:szCs w:val="18"/>
              </w:rPr>
            </w:pPr>
            <w:r w:rsidRPr="00BB111D">
              <w:rPr>
                <w:rFonts w:cs="Calibri"/>
                <w:i/>
                <w:iCs/>
                <w:color w:val="000000"/>
                <w:sz w:val="18"/>
                <w:szCs w:val="18"/>
              </w:rPr>
              <w:t>Availability of skilled personnel for work and/or of financing for work</w:t>
            </w:r>
          </w:p>
        </w:tc>
        <w:tc>
          <w:tcPr>
            <w:tcW w:w="1707" w:type="dxa"/>
            <w:shd w:val="clear" w:color="auto" w:fill="auto"/>
            <w:vAlign w:val="center"/>
            <w:hideMark/>
          </w:tcPr>
          <w:p w14:paraId="114DF680" w14:textId="77777777" w:rsidR="00B0196F" w:rsidRPr="00BB111D" w:rsidRDefault="00B0196F">
            <w:pPr>
              <w:jc w:val="center"/>
              <w:rPr>
                <w:rFonts w:cs="Calibri"/>
                <w:i/>
                <w:iCs/>
                <w:color w:val="000000"/>
                <w:sz w:val="18"/>
                <w:szCs w:val="18"/>
              </w:rPr>
            </w:pPr>
            <w:r w:rsidRPr="00BB111D">
              <w:rPr>
                <w:rFonts w:cs="Calibri"/>
                <w:i/>
                <w:iCs/>
                <w:color w:val="000000"/>
                <w:sz w:val="18"/>
                <w:szCs w:val="18"/>
              </w:rPr>
              <w:t xml:space="preserve">TA: Proactive engagement of </w:t>
            </w:r>
            <w:r>
              <w:rPr>
                <w:rFonts w:cs="Calibri"/>
                <w:i/>
                <w:iCs/>
                <w:color w:val="000000"/>
                <w:sz w:val="18"/>
                <w:szCs w:val="18"/>
              </w:rPr>
              <w:t>WOAH</w:t>
            </w:r>
            <w:r w:rsidRPr="00BB111D">
              <w:rPr>
                <w:rFonts w:cs="Calibri"/>
                <w:i/>
                <w:iCs/>
                <w:color w:val="000000"/>
                <w:sz w:val="18"/>
                <w:szCs w:val="18"/>
              </w:rPr>
              <w:t>, FAO or other partners to encourage and support collection and reporting of information to OIE</w:t>
            </w:r>
          </w:p>
        </w:tc>
        <w:tc>
          <w:tcPr>
            <w:tcW w:w="2610" w:type="dxa"/>
            <w:shd w:val="clear" w:color="auto" w:fill="auto"/>
            <w:vAlign w:val="center"/>
            <w:hideMark/>
          </w:tcPr>
          <w:p w14:paraId="76F63E79" w14:textId="77777777" w:rsidR="00B0196F" w:rsidRPr="00BB111D" w:rsidRDefault="00B0196F">
            <w:pPr>
              <w:jc w:val="center"/>
              <w:rPr>
                <w:rFonts w:cs="Calibri"/>
                <w:i/>
                <w:iCs/>
                <w:color w:val="000000"/>
                <w:sz w:val="18"/>
                <w:szCs w:val="18"/>
              </w:rPr>
            </w:pPr>
            <w:r w:rsidRPr="00BB111D">
              <w:rPr>
                <w:rFonts w:cs="Calibri"/>
                <w:i/>
                <w:iCs/>
                <w:color w:val="000000"/>
                <w:sz w:val="18"/>
                <w:szCs w:val="18"/>
              </w:rPr>
              <w:t>People see specific value to data sharing; people want to take responsibility for data deficiencies</w:t>
            </w:r>
          </w:p>
        </w:tc>
        <w:tc>
          <w:tcPr>
            <w:tcW w:w="1862" w:type="dxa"/>
            <w:shd w:val="clear" w:color="auto" w:fill="auto"/>
            <w:vAlign w:val="center"/>
            <w:hideMark/>
          </w:tcPr>
          <w:p w14:paraId="5FC7AE14" w14:textId="77777777" w:rsidR="00B0196F" w:rsidRPr="00BB111D" w:rsidRDefault="00B0196F">
            <w:pPr>
              <w:jc w:val="center"/>
              <w:rPr>
                <w:rFonts w:cs="Calibri"/>
                <w:i/>
                <w:iCs/>
                <w:color w:val="000000"/>
                <w:sz w:val="18"/>
                <w:szCs w:val="18"/>
              </w:rPr>
            </w:pPr>
            <w:r w:rsidRPr="00BB111D">
              <w:rPr>
                <w:rFonts w:cs="Calibri"/>
                <w:i/>
                <w:iCs/>
                <w:color w:val="000000"/>
                <w:sz w:val="18"/>
                <w:szCs w:val="18"/>
              </w:rPr>
              <w:t>Governance, cooperation, agenda linkage</w:t>
            </w:r>
          </w:p>
        </w:tc>
      </w:tr>
      <w:tr w:rsidR="00B0196F" w14:paraId="320E3F17" w14:textId="77777777">
        <w:trPr>
          <w:trHeight w:val="340"/>
        </w:trPr>
        <w:tc>
          <w:tcPr>
            <w:tcW w:w="1337" w:type="dxa"/>
            <w:shd w:val="clear" w:color="auto" w:fill="auto"/>
            <w:noWrap/>
            <w:vAlign w:val="center"/>
            <w:hideMark/>
          </w:tcPr>
          <w:p w14:paraId="3C15472B" w14:textId="77777777" w:rsidR="00B0196F" w:rsidRPr="00BB111D" w:rsidRDefault="00B0196F">
            <w:pPr>
              <w:jc w:val="center"/>
              <w:rPr>
                <w:rFonts w:cs="Calibri"/>
                <w:color w:val="000000"/>
                <w:sz w:val="18"/>
                <w:szCs w:val="18"/>
              </w:rPr>
            </w:pPr>
            <w:r w:rsidRPr="00BB111D">
              <w:rPr>
                <w:rFonts w:cs="Calibri"/>
                <w:color w:val="000000"/>
                <w:sz w:val="18"/>
                <w:szCs w:val="18"/>
              </w:rPr>
              <w:t>Bhutan</w:t>
            </w:r>
          </w:p>
        </w:tc>
        <w:tc>
          <w:tcPr>
            <w:tcW w:w="1591" w:type="dxa"/>
            <w:shd w:val="clear" w:color="000000" w:fill="BF8F00"/>
            <w:vAlign w:val="center"/>
            <w:hideMark/>
          </w:tcPr>
          <w:p w14:paraId="17582034" w14:textId="77777777" w:rsidR="00B0196F" w:rsidRPr="00BB111D" w:rsidRDefault="00B0196F">
            <w:pPr>
              <w:jc w:val="center"/>
              <w:rPr>
                <w:rFonts w:cs="Calibri"/>
                <w:b/>
                <w:bCs/>
                <w:color w:val="000000"/>
                <w:sz w:val="18"/>
                <w:szCs w:val="18"/>
              </w:rPr>
            </w:pPr>
            <w:r w:rsidRPr="00BB111D">
              <w:rPr>
                <w:rFonts w:cs="Calibri"/>
                <w:b/>
                <w:bCs/>
                <w:color w:val="000000"/>
                <w:sz w:val="18"/>
                <w:szCs w:val="18"/>
              </w:rPr>
              <w:t>Considerable</w:t>
            </w:r>
          </w:p>
        </w:tc>
        <w:tc>
          <w:tcPr>
            <w:tcW w:w="2437" w:type="dxa"/>
            <w:shd w:val="clear" w:color="000000" w:fill="00B050"/>
            <w:noWrap/>
            <w:vAlign w:val="center"/>
            <w:hideMark/>
          </w:tcPr>
          <w:p w14:paraId="2AD82DBA" w14:textId="77777777" w:rsidR="00B0196F" w:rsidRPr="00BB111D" w:rsidRDefault="00B0196F">
            <w:pPr>
              <w:jc w:val="center"/>
              <w:rPr>
                <w:rFonts w:cs="Calibri"/>
                <w:color w:val="000000"/>
                <w:sz w:val="18"/>
                <w:szCs w:val="18"/>
              </w:rPr>
            </w:pPr>
            <w:r w:rsidRPr="00BB111D">
              <w:rPr>
                <w:rFonts w:cs="Calibri"/>
                <w:color w:val="000000"/>
                <w:sz w:val="18"/>
                <w:szCs w:val="18"/>
              </w:rPr>
              <w:t>Vital</w:t>
            </w:r>
          </w:p>
        </w:tc>
        <w:tc>
          <w:tcPr>
            <w:tcW w:w="1284" w:type="dxa"/>
            <w:shd w:val="clear" w:color="000000" w:fill="00B050"/>
            <w:noWrap/>
            <w:vAlign w:val="center"/>
            <w:hideMark/>
          </w:tcPr>
          <w:p w14:paraId="425F134F" w14:textId="77777777" w:rsidR="00B0196F" w:rsidRPr="00BB111D" w:rsidRDefault="00B0196F">
            <w:pPr>
              <w:jc w:val="center"/>
              <w:rPr>
                <w:rFonts w:cs="Calibri"/>
                <w:color w:val="000000"/>
                <w:sz w:val="18"/>
                <w:szCs w:val="18"/>
              </w:rPr>
            </w:pPr>
            <w:r w:rsidRPr="00BB111D">
              <w:rPr>
                <w:rFonts w:cs="Calibri"/>
                <w:color w:val="000000"/>
                <w:sz w:val="18"/>
                <w:szCs w:val="18"/>
              </w:rPr>
              <w:t>Vital</w:t>
            </w:r>
          </w:p>
        </w:tc>
        <w:tc>
          <w:tcPr>
            <w:tcW w:w="1342" w:type="dxa"/>
            <w:shd w:val="clear" w:color="auto" w:fill="auto"/>
            <w:noWrap/>
            <w:vAlign w:val="center"/>
            <w:hideMark/>
          </w:tcPr>
          <w:p w14:paraId="54749643" w14:textId="77777777" w:rsidR="00B0196F" w:rsidRPr="00BB111D" w:rsidRDefault="00B0196F">
            <w:pPr>
              <w:jc w:val="center"/>
              <w:rPr>
                <w:rFonts w:cs="Calibri"/>
                <w:color w:val="000000"/>
                <w:sz w:val="18"/>
                <w:szCs w:val="18"/>
              </w:rPr>
            </w:pPr>
          </w:p>
        </w:tc>
        <w:tc>
          <w:tcPr>
            <w:tcW w:w="1707" w:type="dxa"/>
            <w:shd w:val="clear" w:color="auto" w:fill="auto"/>
            <w:noWrap/>
            <w:vAlign w:val="center"/>
            <w:hideMark/>
          </w:tcPr>
          <w:p w14:paraId="17B57D02" w14:textId="77777777" w:rsidR="00B0196F" w:rsidRPr="00BB111D" w:rsidRDefault="00B0196F">
            <w:pPr>
              <w:jc w:val="center"/>
              <w:rPr>
                <w:sz w:val="18"/>
                <w:szCs w:val="18"/>
              </w:rPr>
            </w:pPr>
          </w:p>
        </w:tc>
        <w:tc>
          <w:tcPr>
            <w:tcW w:w="2610" w:type="dxa"/>
            <w:shd w:val="clear" w:color="auto" w:fill="auto"/>
            <w:noWrap/>
            <w:vAlign w:val="center"/>
            <w:hideMark/>
          </w:tcPr>
          <w:p w14:paraId="28896216" w14:textId="77777777" w:rsidR="00B0196F" w:rsidRPr="00BB111D" w:rsidRDefault="00B0196F">
            <w:pPr>
              <w:jc w:val="center"/>
              <w:rPr>
                <w:rFonts w:cs="Calibri"/>
                <w:color w:val="000000"/>
                <w:sz w:val="18"/>
                <w:szCs w:val="18"/>
              </w:rPr>
            </w:pPr>
          </w:p>
        </w:tc>
        <w:tc>
          <w:tcPr>
            <w:tcW w:w="1862" w:type="dxa"/>
            <w:shd w:val="clear" w:color="000000" w:fill="92D050"/>
            <w:noWrap/>
            <w:vAlign w:val="center"/>
            <w:hideMark/>
          </w:tcPr>
          <w:p w14:paraId="3984ADD9"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r>
      <w:tr w:rsidR="00B0196F" w14:paraId="5F81B6B9" w14:textId="77777777">
        <w:trPr>
          <w:trHeight w:val="340"/>
        </w:trPr>
        <w:tc>
          <w:tcPr>
            <w:tcW w:w="1337" w:type="dxa"/>
            <w:shd w:val="clear" w:color="auto" w:fill="auto"/>
            <w:noWrap/>
            <w:vAlign w:val="center"/>
            <w:hideMark/>
          </w:tcPr>
          <w:p w14:paraId="6797265A" w14:textId="77777777" w:rsidR="00B0196F" w:rsidRPr="00BB111D" w:rsidRDefault="00B0196F">
            <w:pPr>
              <w:jc w:val="center"/>
              <w:rPr>
                <w:rFonts w:cs="Calibri"/>
                <w:color w:val="000000"/>
                <w:sz w:val="18"/>
                <w:szCs w:val="18"/>
              </w:rPr>
            </w:pPr>
            <w:r w:rsidRPr="00BB111D">
              <w:rPr>
                <w:rFonts w:cs="Calibri"/>
                <w:color w:val="000000"/>
                <w:sz w:val="18"/>
                <w:szCs w:val="18"/>
              </w:rPr>
              <w:t>Nepal</w:t>
            </w:r>
          </w:p>
        </w:tc>
        <w:tc>
          <w:tcPr>
            <w:tcW w:w="1591" w:type="dxa"/>
            <w:shd w:val="clear" w:color="000000" w:fill="BF8F00"/>
            <w:vAlign w:val="center"/>
            <w:hideMark/>
          </w:tcPr>
          <w:p w14:paraId="2CA73219" w14:textId="77777777" w:rsidR="00B0196F" w:rsidRPr="00BB111D" w:rsidRDefault="00B0196F">
            <w:pPr>
              <w:jc w:val="center"/>
              <w:rPr>
                <w:rFonts w:cs="Calibri"/>
                <w:b/>
                <w:bCs/>
                <w:color w:val="000000"/>
                <w:sz w:val="18"/>
                <w:szCs w:val="18"/>
              </w:rPr>
            </w:pPr>
            <w:r w:rsidRPr="00BB111D">
              <w:rPr>
                <w:rFonts w:cs="Calibri"/>
                <w:b/>
                <w:bCs/>
                <w:color w:val="000000"/>
                <w:sz w:val="18"/>
                <w:szCs w:val="18"/>
              </w:rPr>
              <w:t>Considerable</w:t>
            </w:r>
          </w:p>
        </w:tc>
        <w:tc>
          <w:tcPr>
            <w:tcW w:w="2437" w:type="dxa"/>
            <w:shd w:val="clear" w:color="000000" w:fill="00B050"/>
            <w:noWrap/>
            <w:vAlign w:val="center"/>
            <w:hideMark/>
          </w:tcPr>
          <w:p w14:paraId="2539B609" w14:textId="77777777" w:rsidR="00B0196F" w:rsidRPr="00BB111D" w:rsidRDefault="00B0196F">
            <w:pPr>
              <w:jc w:val="center"/>
              <w:rPr>
                <w:rFonts w:cs="Calibri"/>
                <w:color w:val="000000"/>
                <w:sz w:val="18"/>
                <w:szCs w:val="18"/>
              </w:rPr>
            </w:pPr>
            <w:r w:rsidRPr="00BB111D">
              <w:rPr>
                <w:rFonts w:cs="Calibri"/>
                <w:color w:val="000000"/>
                <w:sz w:val="18"/>
                <w:szCs w:val="18"/>
              </w:rPr>
              <w:t>Vital</w:t>
            </w:r>
          </w:p>
        </w:tc>
        <w:tc>
          <w:tcPr>
            <w:tcW w:w="1284" w:type="dxa"/>
            <w:shd w:val="clear" w:color="000000" w:fill="00B050"/>
            <w:noWrap/>
            <w:vAlign w:val="center"/>
            <w:hideMark/>
          </w:tcPr>
          <w:p w14:paraId="32093FA7" w14:textId="77777777" w:rsidR="00B0196F" w:rsidRPr="00BB111D" w:rsidRDefault="00B0196F">
            <w:pPr>
              <w:jc w:val="center"/>
              <w:rPr>
                <w:rFonts w:cs="Calibri"/>
                <w:color w:val="000000"/>
                <w:sz w:val="18"/>
                <w:szCs w:val="18"/>
              </w:rPr>
            </w:pPr>
            <w:r w:rsidRPr="00BB111D">
              <w:rPr>
                <w:rFonts w:cs="Calibri"/>
                <w:color w:val="000000"/>
                <w:sz w:val="18"/>
                <w:szCs w:val="18"/>
              </w:rPr>
              <w:t>Vital</w:t>
            </w:r>
          </w:p>
        </w:tc>
        <w:tc>
          <w:tcPr>
            <w:tcW w:w="1342" w:type="dxa"/>
            <w:shd w:val="clear" w:color="auto" w:fill="auto"/>
            <w:noWrap/>
            <w:vAlign w:val="center"/>
            <w:hideMark/>
          </w:tcPr>
          <w:p w14:paraId="27DBAEFA" w14:textId="77777777" w:rsidR="00B0196F" w:rsidRPr="00BB111D" w:rsidRDefault="00B0196F">
            <w:pPr>
              <w:jc w:val="center"/>
              <w:rPr>
                <w:rFonts w:cs="Calibri"/>
                <w:color w:val="000000"/>
                <w:sz w:val="18"/>
                <w:szCs w:val="18"/>
              </w:rPr>
            </w:pPr>
          </w:p>
        </w:tc>
        <w:tc>
          <w:tcPr>
            <w:tcW w:w="1707" w:type="dxa"/>
            <w:shd w:val="clear" w:color="000000" w:fill="92D050"/>
            <w:noWrap/>
            <w:vAlign w:val="center"/>
            <w:hideMark/>
          </w:tcPr>
          <w:p w14:paraId="31D48756"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c>
          <w:tcPr>
            <w:tcW w:w="2610" w:type="dxa"/>
            <w:shd w:val="clear" w:color="auto" w:fill="auto"/>
            <w:noWrap/>
            <w:vAlign w:val="center"/>
            <w:hideMark/>
          </w:tcPr>
          <w:p w14:paraId="4158B1E7" w14:textId="77777777" w:rsidR="00B0196F" w:rsidRPr="00BB111D" w:rsidRDefault="00B0196F">
            <w:pPr>
              <w:jc w:val="center"/>
              <w:rPr>
                <w:rFonts w:cs="Calibri"/>
                <w:color w:val="000000"/>
                <w:sz w:val="18"/>
                <w:szCs w:val="18"/>
              </w:rPr>
            </w:pPr>
          </w:p>
        </w:tc>
        <w:tc>
          <w:tcPr>
            <w:tcW w:w="1862" w:type="dxa"/>
            <w:shd w:val="clear" w:color="auto" w:fill="auto"/>
            <w:noWrap/>
            <w:vAlign w:val="center"/>
            <w:hideMark/>
          </w:tcPr>
          <w:p w14:paraId="02ADC596" w14:textId="77777777" w:rsidR="00B0196F" w:rsidRPr="00BB111D" w:rsidRDefault="00B0196F">
            <w:pPr>
              <w:jc w:val="center"/>
              <w:rPr>
                <w:sz w:val="18"/>
                <w:szCs w:val="18"/>
              </w:rPr>
            </w:pPr>
          </w:p>
        </w:tc>
      </w:tr>
      <w:tr w:rsidR="00B0196F" w14:paraId="1BDE56DF" w14:textId="77777777">
        <w:trPr>
          <w:trHeight w:val="340"/>
        </w:trPr>
        <w:tc>
          <w:tcPr>
            <w:tcW w:w="1337" w:type="dxa"/>
            <w:shd w:val="clear" w:color="auto" w:fill="auto"/>
            <w:noWrap/>
            <w:vAlign w:val="center"/>
            <w:hideMark/>
          </w:tcPr>
          <w:p w14:paraId="0E4BCFFF" w14:textId="77777777" w:rsidR="00B0196F" w:rsidRPr="00BB111D" w:rsidRDefault="00B0196F">
            <w:pPr>
              <w:jc w:val="center"/>
              <w:rPr>
                <w:rFonts w:cs="Calibri"/>
                <w:color w:val="000000"/>
                <w:sz w:val="18"/>
                <w:szCs w:val="18"/>
              </w:rPr>
            </w:pPr>
            <w:r w:rsidRPr="00BB111D">
              <w:rPr>
                <w:rFonts w:cs="Calibri"/>
                <w:color w:val="000000"/>
                <w:sz w:val="18"/>
                <w:szCs w:val="18"/>
              </w:rPr>
              <w:t>Senegal</w:t>
            </w:r>
          </w:p>
        </w:tc>
        <w:tc>
          <w:tcPr>
            <w:tcW w:w="1591" w:type="dxa"/>
            <w:shd w:val="clear" w:color="000000" w:fill="BF8F00"/>
            <w:vAlign w:val="center"/>
            <w:hideMark/>
          </w:tcPr>
          <w:p w14:paraId="0D772CA0" w14:textId="77777777" w:rsidR="00B0196F" w:rsidRPr="00BB111D" w:rsidRDefault="00B0196F">
            <w:pPr>
              <w:jc w:val="center"/>
              <w:rPr>
                <w:rFonts w:cs="Calibri"/>
                <w:b/>
                <w:bCs/>
                <w:color w:val="000000"/>
                <w:sz w:val="18"/>
                <w:szCs w:val="18"/>
              </w:rPr>
            </w:pPr>
            <w:r w:rsidRPr="00BB111D">
              <w:rPr>
                <w:rFonts w:cs="Calibri"/>
                <w:b/>
                <w:bCs/>
                <w:color w:val="000000"/>
                <w:sz w:val="18"/>
                <w:szCs w:val="18"/>
              </w:rPr>
              <w:t>Considerable</w:t>
            </w:r>
          </w:p>
        </w:tc>
        <w:tc>
          <w:tcPr>
            <w:tcW w:w="2437" w:type="dxa"/>
            <w:shd w:val="clear" w:color="000000" w:fill="ED7D31"/>
            <w:noWrap/>
            <w:vAlign w:val="center"/>
            <w:hideMark/>
          </w:tcPr>
          <w:p w14:paraId="2FF7B870" w14:textId="77777777" w:rsidR="00B0196F" w:rsidRPr="00BB111D" w:rsidRDefault="00B0196F">
            <w:pPr>
              <w:jc w:val="center"/>
              <w:rPr>
                <w:rFonts w:cs="Calibri"/>
                <w:color w:val="000000"/>
                <w:sz w:val="18"/>
                <w:szCs w:val="18"/>
              </w:rPr>
            </w:pPr>
            <w:r w:rsidRPr="00BB111D">
              <w:rPr>
                <w:rFonts w:cs="Calibri"/>
                <w:color w:val="000000"/>
                <w:sz w:val="18"/>
                <w:szCs w:val="18"/>
              </w:rPr>
              <w:t>None</w:t>
            </w:r>
          </w:p>
        </w:tc>
        <w:tc>
          <w:tcPr>
            <w:tcW w:w="1284" w:type="dxa"/>
            <w:shd w:val="clear" w:color="auto" w:fill="auto"/>
            <w:noWrap/>
            <w:vAlign w:val="center"/>
            <w:hideMark/>
          </w:tcPr>
          <w:p w14:paraId="4D6B7103" w14:textId="77777777" w:rsidR="00B0196F" w:rsidRPr="00BB111D" w:rsidRDefault="00B0196F">
            <w:pPr>
              <w:jc w:val="center"/>
              <w:rPr>
                <w:rFonts w:cs="Calibri"/>
                <w:color w:val="000000"/>
                <w:sz w:val="18"/>
                <w:szCs w:val="18"/>
              </w:rPr>
            </w:pPr>
          </w:p>
        </w:tc>
        <w:tc>
          <w:tcPr>
            <w:tcW w:w="1342" w:type="dxa"/>
            <w:shd w:val="clear" w:color="auto" w:fill="auto"/>
            <w:noWrap/>
            <w:vAlign w:val="center"/>
            <w:hideMark/>
          </w:tcPr>
          <w:p w14:paraId="2DDB4F24" w14:textId="77777777" w:rsidR="00B0196F" w:rsidRPr="00BB111D" w:rsidRDefault="00B0196F">
            <w:pPr>
              <w:jc w:val="center"/>
              <w:rPr>
                <w:sz w:val="18"/>
                <w:szCs w:val="18"/>
              </w:rPr>
            </w:pPr>
          </w:p>
        </w:tc>
        <w:tc>
          <w:tcPr>
            <w:tcW w:w="1707" w:type="dxa"/>
            <w:shd w:val="clear" w:color="000000" w:fill="92D050"/>
            <w:noWrap/>
            <w:vAlign w:val="center"/>
            <w:hideMark/>
          </w:tcPr>
          <w:p w14:paraId="5177E3C1"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c>
          <w:tcPr>
            <w:tcW w:w="2610" w:type="dxa"/>
            <w:shd w:val="clear" w:color="auto" w:fill="auto"/>
            <w:noWrap/>
            <w:vAlign w:val="center"/>
            <w:hideMark/>
          </w:tcPr>
          <w:p w14:paraId="7F694E7B" w14:textId="77777777" w:rsidR="00B0196F" w:rsidRPr="00BB111D" w:rsidRDefault="00B0196F">
            <w:pPr>
              <w:jc w:val="center"/>
              <w:rPr>
                <w:rFonts w:cs="Calibri"/>
                <w:color w:val="000000"/>
                <w:sz w:val="18"/>
                <w:szCs w:val="18"/>
              </w:rPr>
            </w:pPr>
          </w:p>
        </w:tc>
        <w:tc>
          <w:tcPr>
            <w:tcW w:w="1862" w:type="dxa"/>
            <w:shd w:val="clear" w:color="000000" w:fill="FCE4D6"/>
            <w:noWrap/>
            <w:vAlign w:val="center"/>
            <w:hideMark/>
          </w:tcPr>
          <w:p w14:paraId="05F4D00E" w14:textId="77777777" w:rsidR="00B0196F" w:rsidRPr="00BB111D" w:rsidRDefault="00B0196F">
            <w:pPr>
              <w:jc w:val="center"/>
              <w:rPr>
                <w:rFonts w:cs="Calibri"/>
                <w:color w:val="000000"/>
                <w:sz w:val="18"/>
                <w:szCs w:val="18"/>
              </w:rPr>
            </w:pPr>
            <w:r w:rsidRPr="00BB111D">
              <w:rPr>
                <w:rFonts w:cs="Calibri"/>
                <w:color w:val="000000"/>
                <w:sz w:val="18"/>
                <w:szCs w:val="18"/>
              </w:rPr>
              <w:t>Limited</w:t>
            </w:r>
          </w:p>
        </w:tc>
      </w:tr>
      <w:tr w:rsidR="00B0196F" w14:paraId="0FDCBCC0" w14:textId="77777777">
        <w:trPr>
          <w:trHeight w:val="340"/>
        </w:trPr>
        <w:tc>
          <w:tcPr>
            <w:tcW w:w="1337" w:type="dxa"/>
            <w:shd w:val="clear" w:color="auto" w:fill="auto"/>
            <w:noWrap/>
            <w:vAlign w:val="center"/>
            <w:hideMark/>
          </w:tcPr>
          <w:p w14:paraId="3BB75BD0" w14:textId="1B5DDB3B" w:rsidR="00B0196F" w:rsidRPr="00BB111D" w:rsidRDefault="00260B8A">
            <w:pPr>
              <w:jc w:val="center"/>
              <w:rPr>
                <w:rFonts w:cs="Calibri"/>
                <w:color w:val="000000"/>
                <w:sz w:val="18"/>
                <w:szCs w:val="18"/>
              </w:rPr>
            </w:pPr>
            <w:r>
              <w:rPr>
                <w:rFonts w:cs="Calibri"/>
                <w:color w:val="000000"/>
                <w:sz w:val="18"/>
                <w:szCs w:val="18"/>
              </w:rPr>
              <w:t>Timor-Leste</w:t>
            </w:r>
          </w:p>
        </w:tc>
        <w:tc>
          <w:tcPr>
            <w:tcW w:w="1591" w:type="dxa"/>
            <w:shd w:val="clear" w:color="000000" w:fill="BF8F00"/>
            <w:vAlign w:val="center"/>
            <w:hideMark/>
          </w:tcPr>
          <w:p w14:paraId="044A1A40" w14:textId="77777777" w:rsidR="00B0196F" w:rsidRPr="00BB111D" w:rsidRDefault="00B0196F">
            <w:pPr>
              <w:jc w:val="center"/>
              <w:rPr>
                <w:rFonts w:cs="Calibri"/>
                <w:b/>
                <w:bCs/>
                <w:color w:val="000000"/>
                <w:sz w:val="18"/>
                <w:szCs w:val="18"/>
              </w:rPr>
            </w:pPr>
            <w:r w:rsidRPr="00BB111D">
              <w:rPr>
                <w:rFonts w:cs="Calibri"/>
                <w:b/>
                <w:bCs/>
                <w:color w:val="000000"/>
                <w:sz w:val="18"/>
                <w:szCs w:val="18"/>
              </w:rPr>
              <w:t>Considerable</w:t>
            </w:r>
          </w:p>
        </w:tc>
        <w:tc>
          <w:tcPr>
            <w:tcW w:w="2437" w:type="dxa"/>
            <w:shd w:val="clear" w:color="000000" w:fill="00B050"/>
            <w:noWrap/>
            <w:vAlign w:val="center"/>
            <w:hideMark/>
          </w:tcPr>
          <w:p w14:paraId="29DDBB01" w14:textId="77777777" w:rsidR="00B0196F" w:rsidRPr="00BB111D" w:rsidRDefault="00B0196F">
            <w:pPr>
              <w:jc w:val="center"/>
              <w:rPr>
                <w:rFonts w:cs="Calibri"/>
                <w:color w:val="000000"/>
                <w:sz w:val="18"/>
                <w:szCs w:val="18"/>
              </w:rPr>
            </w:pPr>
            <w:r w:rsidRPr="00BB111D">
              <w:rPr>
                <w:rFonts w:cs="Calibri"/>
                <w:color w:val="000000"/>
                <w:sz w:val="18"/>
                <w:szCs w:val="18"/>
              </w:rPr>
              <w:t>Vital</w:t>
            </w:r>
          </w:p>
        </w:tc>
        <w:tc>
          <w:tcPr>
            <w:tcW w:w="1284" w:type="dxa"/>
            <w:shd w:val="clear" w:color="auto" w:fill="auto"/>
            <w:noWrap/>
            <w:vAlign w:val="center"/>
            <w:hideMark/>
          </w:tcPr>
          <w:p w14:paraId="3A5BE038" w14:textId="77777777" w:rsidR="00B0196F" w:rsidRPr="00BB111D" w:rsidRDefault="00B0196F">
            <w:pPr>
              <w:jc w:val="center"/>
              <w:rPr>
                <w:rFonts w:cs="Calibri"/>
                <w:color w:val="000000"/>
                <w:sz w:val="18"/>
                <w:szCs w:val="18"/>
              </w:rPr>
            </w:pPr>
          </w:p>
        </w:tc>
        <w:tc>
          <w:tcPr>
            <w:tcW w:w="1342" w:type="dxa"/>
            <w:shd w:val="clear" w:color="000000" w:fill="00B050"/>
            <w:noWrap/>
            <w:vAlign w:val="center"/>
            <w:hideMark/>
          </w:tcPr>
          <w:p w14:paraId="71B5896D" w14:textId="77777777" w:rsidR="00B0196F" w:rsidRPr="00BB111D" w:rsidRDefault="00B0196F">
            <w:pPr>
              <w:jc w:val="center"/>
              <w:rPr>
                <w:rFonts w:cs="Calibri"/>
                <w:color w:val="000000"/>
                <w:sz w:val="18"/>
                <w:szCs w:val="18"/>
              </w:rPr>
            </w:pPr>
            <w:r w:rsidRPr="00BB111D">
              <w:rPr>
                <w:rFonts w:cs="Calibri"/>
                <w:color w:val="000000"/>
                <w:sz w:val="18"/>
                <w:szCs w:val="18"/>
              </w:rPr>
              <w:t>Vital</w:t>
            </w:r>
          </w:p>
        </w:tc>
        <w:tc>
          <w:tcPr>
            <w:tcW w:w="1707" w:type="dxa"/>
            <w:shd w:val="clear" w:color="auto" w:fill="auto"/>
            <w:noWrap/>
            <w:vAlign w:val="center"/>
            <w:hideMark/>
          </w:tcPr>
          <w:p w14:paraId="5C660691" w14:textId="77777777" w:rsidR="00B0196F" w:rsidRPr="00BB111D" w:rsidRDefault="00B0196F">
            <w:pPr>
              <w:jc w:val="center"/>
              <w:rPr>
                <w:rFonts w:cs="Calibri"/>
                <w:color w:val="000000"/>
                <w:sz w:val="18"/>
                <w:szCs w:val="18"/>
              </w:rPr>
            </w:pPr>
          </w:p>
        </w:tc>
        <w:tc>
          <w:tcPr>
            <w:tcW w:w="2610" w:type="dxa"/>
            <w:shd w:val="clear" w:color="auto" w:fill="auto"/>
            <w:noWrap/>
            <w:vAlign w:val="center"/>
            <w:hideMark/>
          </w:tcPr>
          <w:p w14:paraId="5116DF23" w14:textId="77777777" w:rsidR="00B0196F" w:rsidRPr="00BB111D" w:rsidRDefault="00B0196F">
            <w:pPr>
              <w:jc w:val="center"/>
              <w:rPr>
                <w:rFonts w:cs="Calibri"/>
                <w:color w:val="000000"/>
                <w:sz w:val="18"/>
                <w:szCs w:val="18"/>
              </w:rPr>
            </w:pPr>
          </w:p>
        </w:tc>
        <w:tc>
          <w:tcPr>
            <w:tcW w:w="1862" w:type="dxa"/>
            <w:shd w:val="clear" w:color="auto" w:fill="auto"/>
            <w:noWrap/>
            <w:vAlign w:val="center"/>
            <w:hideMark/>
          </w:tcPr>
          <w:p w14:paraId="757B2238" w14:textId="77777777" w:rsidR="00B0196F" w:rsidRPr="00BB111D" w:rsidRDefault="00B0196F">
            <w:pPr>
              <w:jc w:val="center"/>
              <w:rPr>
                <w:sz w:val="18"/>
                <w:szCs w:val="18"/>
              </w:rPr>
            </w:pPr>
          </w:p>
        </w:tc>
      </w:tr>
      <w:tr w:rsidR="00B0196F" w14:paraId="7062F384" w14:textId="77777777">
        <w:trPr>
          <w:trHeight w:val="340"/>
        </w:trPr>
        <w:tc>
          <w:tcPr>
            <w:tcW w:w="1337" w:type="dxa"/>
            <w:shd w:val="clear" w:color="auto" w:fill="auto"/>
            <w:noWrap/>
            <w:vAlign w:val="center"/>
            <w:hideMark/>
          </w:tcPr>
          <w:p w14:paraId="2241D5B6" w14:textId="77777777" w:rsidR="00B0196F" w:rsidRPr="00BB111D" w:rsidRDefault="00B0196F">
            <w:pPr>
              <w:jc w:val="center"/>
              <w:rPr>
                <w:rFonts w:cs="Calibri"/>
                <w:color w:val="000000"/>
                <w:sz w:val="18"/>
                <w:szCs w:val="18"/>
              </w:rPr>
            </w:pPr>
            <w:r w:rsidRPr="00BB111D">
              <w:rPr>
                <w:rFonts w:cs="Calibri"/>
                <w:color w:val="000000"/>
                <w:sz w:val="18"/>
                <w:szCs w:val="18"/>
              </w:rPr>
              <w:t>Zambia</w:t>
            </w:r>
          </w:p>
        </w:tc>
        <w:tc>
          <w:tcPr>
            <w:tcW w:w="1591" w:type="dxa"/>
            <w:shd w:val="clear" w:color="000000" w:fill="BF8F00"/>
            <w:vAlign w:val="center"/>
            <w:hideMark/>
          </w:tcPr>
          <w:p w14:paraId="52B0774A" w14:textId="77777777" w:rsidR="00B0196F" w:rsidRPr="00BB111D" w:rsidRDefault="00B0196F">
            <w:pPr>
              <w:jc w:val="center"/>
              <w:rPr>
                <w:rFonts w:cs="Calibri"/>
                <w:b/>
                <w:bCs/>
                <w:color w:val="000000"/>
                <w:sz w:val="18"/>
                <w:szCs w:val="18"/>
              </w:rPr>
            </w:pPr>
            <w:r w:rsidRPr="00BB111D">
              <w:rPr>
                <w:rFonts w:cs="Calibri"/>
                <w:b/>
                <w:bCs/>
                <w:color w:val="000000"/>
                <w:sz w:val="18"/>
                <w:szCs w:val="18"/>
              </w:rPr>
              <w:t>Considerable</w:t>
            </w:r>
          </w:p>
        </w:tc>
        <w:tc>
          <w:tcPr>
            <w:tcW w:w="2437" w:type="dxa"/>
            <w:shd w:val="clear" w:color="000000" w:fill="92D050"/>
            <w:noWrap/>
            <w:vAlign w:val="center"/>
            <w:hideMark/>
          </w:tcPr>
          <w:p w14:paraId="56DD395C"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c>
          <w:tcPr>
            <w:tcW w:w="1284" w:type="dxa"/>
            <w:shd w:val="clear" w:color="auto" w:fill="auto"/>
            <w:noWrap/>
            <w:vAlign w:val="center"/>
            <w:hideMark/>
          </w:tcPr>
          <w:p w14:paraId="7FEE5257" w14:textId="77777777" w:rsidR="00B0196F" w:rsidRPr="00BB111D" w:rsidRDefault="00B0196F">
            <w:pPr>
              <w:jc w:val="center"/>
              <w:rPr>
                <w:rFonts w:cs="Calibri"/>
                <w:color w:val="000000"/>
                <w:sz w:val="18"/>
                <w:szCs w:val="18"/>
              </w:rPr>
            </w:pPr>
          </w:p>
        </w:tc>
        <w:tc>
          <w:tcPr>
            <w:tcW w:w="1342" w:type="dxa"/>
            <w:shd w:val="clear" w:color="auto" w:fill="auto"/>
            <w:noWrap/>
            <w:vAlign w:val="center"/>
            <w:hideMark/>
          </w:tcPr>
          <w:p w14:paraId="74D9BE3A" w14:textId="77777777" w:rsidR="00B0196F" w:rsidRPr="00BB111D" w:rsidRDefault="00B0196F">
            <w:pPr>
              <w:jc w:val="center"/>
              <w:rPr>
                <w:sz w:val="18"/>
                <w:szCs w:val="18"/>
              </w:rPr>
            </w:pPr>
          </w:p>
        </w:tc>
        <w:tc>
          <w:tcPr>
            <w:tcW w:w="1707" w:type="dxa"/>
            <w:shd w:val="clear" w:color="000000" w:fill="FFC000"/>
            <w:noWrap/>
            <w:vAlign w:val="center"/>
            <w:hideMark/>
          </w:tcPr>
          <w:p w14:paraId="6063A331" w14:textId="77777777" w:rsidR="00B0196F" w:rsidRPr="00BB111D" w:rsidRDefault="00B0196F">
            <w:pPr>
              <w:jc w:val="center"/>
              <w:rPr>
                <w:rFonts w:cs="Calibri"/>
                <w:color w:val="000000"/>
                <w:sz w:val="18"/>
                <w:szCs w:val="18"/>
              </w:rPr>
            </w:pPr>
            <w:r w:rsidRPr="00BB111D">
              <w:rPr>
                <w:rFonts w:cs="Calibri"/>
                <w:color w:val="000000"/>
                <w:sz w:val="18"/>
                <w:szCs w:val="18"/>
              </w:rPr>
              <w:t>Some</w:t>
            </w:r>
          </w:p>
        </w:tc>
        <w:tc>
          <w:tcPr>
            <w:tcW w:w="2610" w:type="dxa"/>
            <w:shd w:val="clear" w:color="auto" w:fill="auto"/>
            <w:noWrap/>
            <w:vAlign w:val="center"/>
            <w:hideMark/>
          </w:tcPr>
          <w:p w14:paraId="69786CD5" w14:textId="77777777" w:rsidR="00B0196F" w:rsidRPr="00BB111D" w:rsidRDefault="00B0196F">
            <w:pPr>
              <w:jc w:val="center"/>
              <w:rPr>
                <w:rFonts w:cs="Calibri"/>
                <w:color w:val="000000"/>
                <w:sz w:val="18"/>
                <w:szCs w:val="18"/>
              </w:rPr>
            </w:pPr>
          </w:p>
        </w:tc>
        <w:tc>
          <w:tcPr>
            <w:tcW w:w="1862" w:type="dxa"/>
            <w:shd w:val="clear" w:color="000000" w:fill="92D050"/>
            <w:noWrap/>
            <w:vAlign w:val="center"/>
            <w:hideMark/>
          </w:tcPr>
          <w:p w14:paraId="4BF42602"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r>
      <w:tr w:rsidR="00B0196F" w14:paraId="11A16891" w14:textId="77777777">
        <w:trPr>
          <w:trHeight w:val="340"/>
        </w:trPr>
        <w:tc>
          <w:tcPr>
            <w:tcW w:w="1337" w:type="dxa"/>
            <w:shd w:val="clear" w:color="auto" w:fill="auto"/>
            <w:noWrap/>
            <w:vAlign w:val="center"/>
            <w:hideMark/>
          </w:tcPr>
          <w:p w14:paraId="1F24F229" w14:textId="77777777" w:rsidR="00B0196F" w:rsidRPr="00BB111D" w:rsidRDefault="00B0196F">
            <w:pPr>
              <w:jc w:val="center"/>
              <w:rPr>
                <w:rFonts w:cs="Calibri"/>
                <w:color w:val="000000"/>
                <w:sz w:val="18"/>
                <w:szCs w:val="18"/>
              </w:rPr>
            </w:pPr>
            <w:r w:rsidRPr="00BB111D">
              <w:rPr>
                <w:rFonts w:cs="Calibri"/>
                <w:color w:val="000000"/>
                <w:sz w:val="18"/>
                <w:szCs w:val="18"/>
              </w:rPr>
              <w:t>Nigeria</w:t>
            </w:r>
          </w:p>
        </w:tc>
        <w:tc>
          <w:tcPr>
            <w:tcW w:w="1591" w:type="dxa"/>
            <w:shd w:val="clear" w:color="000000" w:fill="FFD966"/>
            <w:vAlign w:val="center"/>
            <w:hideMark/>
          </w:tcPr>
          <w:p w14:paraId="676AD540" w14:textId="77777777" w:rsidR="00B0196F" w:rsidRPr="00BB111D" w:rsidRDefault="00B0196F">
            <w:pPr>
              <w:jc w:val="center"/>
              <w:rPr>
                <w:rFonts w:cs="Calibri"/>
                <w:b/>
                <w:bCs/>
                <w:color w:val="000000"/>
                <w:sz w:val="18"/>
                <w:szCs w:val="18"/>
              </w:rPr>
            </w:pPr>
            <w:r w:rsidRPr="00BB111D">
              <w:rPr>
                <w:rFonts w:cs="Calibri"/>
                <w:b/>
                <w:bCs/>
                <w:color w:val="000000"/>
                <w:sz w:val="18"/>
                <w:szCs w:val="18"/>
              </w:rPr>
              <w:t>Some</w:t>
            </w:r>
          </w:p>
        </w:tc>
        <w:tc>
          <w:tcPr>
            <w:tcW w:w="2437" w:type="dxa"/>
            <w:shd w:val="clear" w:color="auto" w:fill="auto"/>
            <w:noWrap/>
            <w:vAlign w:val="center"/>
            <w:hideMark/>
          </w:tcPr>
          <w:p w14:paraId="0883E799" w14:textId="77777777" w:rsidR="00B0196F" w:rsidRPr="00BB111D" w:rsidRDefault="00B0196F">
            <w:pPr>
              <w:jc w:val="center"/>
              <w:rPr>
                <w:rFonts w:cs="Calibri"/>
                <w:b/>
                <w:bCs/>
                <w:color w:val="000000"/>
                <w:sz w:val="18"/>
                <w:szCs w:val="18"/>
              </w:rPr>
            </w:pPr>
          </w:p>
        </w:tc>
        <w:tc>
          <w:tcPr>
            <w:tcW w:w="1284" w:type="dxa"/>
            <w:shd w:val="clear" w:color="000000" w:fill="92D050"/>
            <w:noWrap/>
            <w:vAlign w:val="center"/>
            <w:hideMark/>
          </w:tcPr>
          <w:p w14:paraId="475888E9"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c>
          <w:tcPr>
            <w:tcW w:w="1342" w:type="dxa"/>
            <w:shd w:val="clear" w:color="auto" w:fill="auto"/>
            <w:noWrap/>
            <w:vAlign w:val="center"/>
            <w:hideMark/>
          </w:tcPr>
          <w:p w14:paraId="2A89328E" w14:textId="77777777" w:rsidR="00B0196F" w:rsidRPr="00BB111D" w:rsidRDefault="00B0196F">
            <w:pPr>
              <w:jc w:val="center"/>
              <w:rPr>
                <w:rFonts w:cs="Calibri"/>
                <w:color w:val="000000"/>
                <w:sz w:val="18"/>
                <w:szCs w:val="18"/>
              </w:rPr>
            </w:pPr>
          </w:p>
        </w:tc>
        <w:tc>
          <w:tcPr>
            <w:tcW w:w="1707" w:type="dxa"/>
            <w:shd w:val="clear" w:color="000000" w:fill="ED7D31"/>
            <w:noWrap/>
            <w:vAlign w:val="center"/>
            <w:hideMark/>
          </w:tcPr>
          <w:p w14:paraId="6C65383E" w14:textId="77777777" w:rsidR="00B0196F" w:rsidRPr="00BB111D" w:rsidRDefault="00B0196F">
            <w:pPr>
              <w:jc w:val="center"/>
              <w:rPr>
                <w:rFonts w:cs="Calibri"/>
                <w:color w:val="000000"/>
                <w:sz w:val="18"/>
                <w:szCs w:val="18"/>
              </w:rPr>
            </w:pPr>
            <w:r w:rsidRPr="00BB111D">
              <w:rPr>
                <w:rFonts w:cs="Calibri"/>
                <w:color w:val="000000"/>
                <w:sz w:val="18"/>
                <w:szCs w:val="18"/>
              </w:rPr>
              <w:t>None</w:t>
            </w:r>
          </w:p>
        </w:tc>
        <w:tc>
          <w:tcPr>
            <w:tcW w:w="2610" w:type="dxa"/>
            <w:shd w:val="clear" w:color="000000" w:fill="FFC000"/>
            <w:noWrap/>
            <w:vAlign w:val="center"/>
            <w:hideMark/>
          </w:tcPr>
          <w:p w14:paraId="022B8762" w14:textId="77777777" w:rsidR="00B0196F" w:rsidRPr="00BB111D" w:rsidRDefault="00B0196F">
            <w:pPr>
              <w:jc w:val="center"/>
              <w:rPr>
                <w:rFonts w:cs="Calibri"/>
                <w:color w:val="000000"/>
                <w:sz w:val="18"/>
                <w:szCs w:val="18"/>
              </w:rPr>
            </w:pPr>
            <w:r w:rsidRPr="00BB111D">
              <w:rPr>
                <w:rFonts w:cs="Calibri"/>
                <w:color w:val="000000"/>
                <w:sz w:val="18"/>
                <w:szCs w:val="18"/>
              </w:rPr>
              <w:t>Some</w:t>
            </w:r>
          </w:p>
        </w:tc>
        <w:tc>
          <w:tcPr>
            <w:tcW w:w="1862" w:type="dxa"/>
            <w:shd w:val="clear" w:color="auto" w:fill="auto"/>
            <w:noWrap/>
            <w:vAlign w:val="center"/>
            <w:hideMark/>
          </w:tcPr>
          <w:p w14:paraId="5AF55A98" w14:textId="77777777" w:rsidR="00B0196F" w:rsidRPr="00BB111D" w:rsidRDefault="00B0196F">
            <w:pPr>
              <w:jc w:val="center"/>
              <w:rPr>
                <w:rFonts w:cs="Calibri"/>
                <w:color w:val="000000"/>
                <w:sz w:val="18"/>
                <w:szCs w:val="18"/>
              </w:rPr>
            </w:pPr>
          </w:p>
        </w:tc>
      </w:tr>
      <w:tr w:rsidR="00B0196F" w14:paraId="2D005B88" w14:textId="77777777">
        <w:trPr>
          <w:trHeight w:val="340"/>
        </w:trPr>
        <w:tc>
          <w:tcPr>
            <w:tcW w:w="1337" w:type="dxa"/>
            <w:shd w:val="clear" w:color="auto" w:fill="auto"/>
            <w:noWrap/>
            <w:vAlign w:val="center"/>
            <w:hideMark/>
          </w:tcPr>
          <w:p w14:paraId="78354A01" w14:textId="77777777" w:rsidR="00B0196F" w:rsidRPr="00BB111D" w:rsidRDefault="00B0196F">
            <w:pPr>
              <w:jc w:val="center"/>
              <w:rPr>
                <w:rFonts w:cs="Calibri"/>
                <w:color w:val="000000"/>
                <w:sz w:val="18"/>
                <w:szCs w:val="18"/>
              </w:rPr>
            </w:pPr>
            <w:r w:rsidRPr="00BB111D">
              <w:rPr>
                <w:rFonts w:cs="Calibri"/>
                <w:color w:val="000000"/>
                <w:sz w:val="18"/>
                <w:szCs w:val="18"/>
              </w:rPr>
              <w:t>Tanzania</w:t>
            </w:r>
          </w:p>
        </w:tc>
        <w:tc>
          <w:tcPr>
            <w:tcW w:w="1591" w:type="dxa"/>
            <w:shd w:val="clear" w:color="000000" w:fill="FFD966"/>
            <w:vAlign w:val="center"/>
            <w:hideMark/>
          </w:tcPr>
          <w:p w14:paraId="2F650592" w14:textId="77777777" w:rsidR="00B0196F" w:rsidRPr="00BB111D" w:rsidRDefault="00B0196F">
            <w:pPr>
              <w:jc w:val="center"/>
              <w:rPr>
                <w:rFonts w:cs="Calibri"/>
                <w:b/>
                <w:bCs/>
                <w:color w:val="000000"/>
                <w:sz w:val="18"/>
                <w:szCs w:val="18"/>
              </w:rPr>
            </w:pPr>
            <w:r w:rsidRPr="00BB111D">
              <w:rPr>
                <w:rFonts w:cs="Calibri"/>
                <w:b/>
                <w:bCs/>
                <w:color w:val="000000"/>
                <w:sz w:val="18"/>
                <w:szCs w:val="18"/>
              </w:rPr>
              <w:t>Some</w:t>
            </w:r>
          </w:p>
        </w:tc>
        <w:tc>
          <w:tcPr>
            <w:tcW w:w="2437" w:type="dxa"/>
            <w:shd w:val="clear" w:color="000000" w:fill="ED7D31"/>
            <w:noWrap/>
            <w:vAlign w:val="center"/>
            <w:hideMark/>
          </w:tcPr>
          <w:p w14:paraId="51937998" w14:textId="77777777" w:rsidR="00B0196F" w:rsidRPr="00BB111D" w:rsidRDefault="00B0196F">
            <w:pPr>
              <w:jc w:val="center"/>
              <w:rPr>
                <w:rFonts w:cs="Calibri"/>
                <w:color w:val="000000"/>
                <w:sz w:val="18"/>
                <w:szCs w:val="18"/>
              </w:rPr>
            </w:pPr>
            <w:r w:rsidRPr="00BB111D">
              <w:rPr>
                <w:rFonts w:cs="Calibri"/>
                <w:color w:val="000000"/>
                <w:sz w:val="18"/>
                <w:szCs w:val="18"/>
              </w:rPr>
              <w:t>None</w:t>
            </w:r>
          </w:p>
        </w:tc>
        <w:tc>
          <w:tcPr>
            <w:tcW w:w="1284" w:type="dxa"/>
            <w:shd w:val="clear" w:color="auto" w:fill="auto"/>
            <w:noWrap/>
            <w:vAlign w:val="center"/>
            <w:hideMark/>
          </w:tcPr>
          <w:p w14:paraId="21ACA7F8" w14:textId="77777777" w:rsidR="00B0196F" w:rsidRPr="00BB111D" w:rsidRDefault="00B0196F">
            <w:pPr>
              <w:jc w:val="center"/>
              <w:rPr>
                <w:rFonts w:cs="Calibri"/>
                <w:color w:val="000000"/>
                <w:sz w:val="18"/>
                <w:szCs w:val="18"/>
              </w:rPr>
            </w:pPr>
          </w:p>
        </w:tc>
        <w:tc>
          <w:tcPr>
            <w:tcW w:w="1342" w:type="dxa"/>
            <w:shd w:val="clear" w:color="000000" w:fill="ED7D31"/>
            <w:noWrap/>
            <w:vAlign w:val="center"/>
            <w:hideMark/>
          </w:tcPr>
          <w:p w14:paraId="77B49036" w14:textId="77777777" w:rsidR="00B0196F" w:rsidRPr="00BB111D" w:rsidRDefault="00B0196F">
            <w:pPr>
              <w:jc w:val="center"/>
              <w:rPr>
                <w:rFonts w:cs="Calibri"/>
                <w:color w:val="000000"/>
                <w:sz w:val="18"/>
                <w:szCs w:val="18"/>
              </w:rPr>
            </w:pPr>
            <w:r w:rsidRPr="00BB111D">
              <w:rPr>
                <w:rFonts w:cs="Calibri"/>
                <w:color w:val="000000"/>
                <w:sz w:val="18"/>
                <w:szCs w:val="18"/>
              </w:rPr>
              <w:t>None</w:t>
            </w:r>
          </w:p>
        </w:tc>
        <w:tc>
          <w:tcPr>
            <w:tcW w:w="1707" w:type="dxa"/>
            <w:shd w:val="clear" w:color="000000" w:fill="ED7D31"/>
            <w:noWrap/>
            <w:vAlign w:val="center"/>
            <w:hideMark/>
          </w:tcPr>
          <w:p w14:paraId="650D4D85" w14:textId="77777777" w:rsidR="00B0196F" w:rsidRPr="00BB111D" w:rsidRDefault="00B0196F">
            <w:pPr>
              <w:jc w:val="center"/>
              <w:rPr>
                <w:rFonts w:cs="Calibri"/>
                <w:color w:val="000000"/>
                <w:sz w:val="18"/>
                <w:szCs w:val="18"/>
              </w:rPr>
            </w:pPr>
            <w:r w:rsidRPr="00BB111D">
              <w:rPr>
                <w:rFonts w:cs="Calibri"/>
                <w:color w:val="000000"/>
                <w:sz w:val="18"/>
                <w:szCs w:val="18"/>
              </w:rPr>
              <w:t>None</w:t>
            </w:r>
          </w:p>
        </w:tc>
        <w:tc>
          <w:tcPr>
            <w:tcW w:w="2610" w:type="dxa"/>
            <w:shd w:val="clear" w:color="auto" w:fill="auto"/>
            <w:noWrap/>
            <w:vAlign w:val="center"/>
            <w:hideMark/>
          </w:tcPr>
          <w:p w14:paraId="4A63C25B" w14:textId="77777777" w:rsidR="00B0196F" w:rsidRPr="00BB111D" w:rsidRDefault="00B0196F">
            <w:pPr>
              <w:jc w:val="center"/>
              <w:rPr>
                <w:rFonts w:cs="Calibri"/>
                <w:color w:val="000000"/>
                <w:sz w:val="18"/>
                <w:szCs w:val="18"/>
              </w:rPr>
            </w:pPr>
          </w:p>
        </w:tc>
        <w:tc>
          <w:tcPr>
            <w:tcW w:w="1862" w:type="dxa"/>
            <w:shd w:val="clear" w:color="auto" w:fill="auto"/>
            <w:noWrap/>
            <w:vAlign w:val="center"/>
            <w:hideMark/>
          </w:tcPr>
          <w:p w14:paraId="7023EB22" w14:textId="77777777" w:rsidR="00B0196F" w:rsidRPr="00BB111D" w:rsidRDefault="00B0196F">
            <w:pPr>
              <w:jc w:val="center"/>
              <w:rPr>
                <w:sz w:val="18"/>
                <w:szCs w:val="18"/>
              </w:rPr>
            </w:pPr>
          </w:p>
        </w:tc>
      </w:tr>
      <w:tr w:rsidR="00B0196F" w14:paraId="501AB71E" w14:textId="77777777">
        <w:trPr>
          <w:trHeight w:val="340"/>
        </w:trPr>
        <w:tc>
          <w:tcPr>
            <w:tcW w:w="1337" w:type="dxa"/>
            <w:shd w:val="clear" w:color="auto" w:fill="auto"/>
            <w:noWrap/>
            <w:vAlign w:val="center"/>
            <w:hideMark/>
          </w:tcPr>
          <w:p w14:paraId="01C444B4" w14:textId="77777777" w:rsidR="00B0196F" w:rsidRPr="00BB111D" w:rsidRDefault="00B0196F">
            <w:pPr>
              <w:jc w:val="center"/>
              <w:rPr>
                <w:rFonts w:cs="Calibri"/>
                <w:color w:val="000000"/>
                <w:sz w:val="18"/>
                <w:szCs w:val="18"/>
              </w:rPr>
            </w:pPr>
            <w:r w:rsidRPr="00BB111D">
              <w:rPr>
                <w:rFonts w:cs="Calibri"/>
                <w:color w:val="000000"/>
                <w:sz w:val="18"/>
                <w:szCs w:val="18"/>
              </w:rPr>
              <w:t>Kenya</w:t>
            </w:r>
          </w:p>
        </w:tc>
        <w:tc>
          <w:tcPr>
            <w:tcW w:w="1591" w:type="dxa"/>
            <w:shd w:val="clear" w:color="000000" w:fill="FBE4D5"/>
            <w:vAlign w:val="center"/>
            <w:hideMark/>
          </w:tcPr>
          <w:p w14:paraId="618C6E20" w14:textId="77777777" w:rsidR="00B0196F" w:rsidRPr="00BB111D" w:rsidRDefault="00B0196F">
            <w:pPr>
              <w:jc w:val="center"/>
              <w:rPr>
                <w:rFonts w:cs="Calibri"/>
                <w:b/>
                <w:bCs/>
                <w:color w:val="000000"/>
                <w:sz w:val="18"/>
                <w:szCs w:val="18"/>
              </w:rPr>
            </w:pPr>
            <w:r w:rsidRPr="00BB111D">
              <w:rPr>
                <w:rFonts w:cs="Calibri"/>
                <w:b/>
                <w:bCs/>
                <w:color w:val="000000"/>
                <w:sz w:val="18"/>
                <w:szCs w:val="18"/>
              </w:rPr>
              <w:t>Limited</w:t>
            </w:r>
          </w:p>
        </w:tc>
        <w:tc>
          <w:tcPr>
            <w:tcW w:w="2437" w:type="dxa"/>
            <w:shd w:val="clear" w:color="000000" w:fill="92D050"/>
            <w:noWrap/>
            <w:vAlign w:val="center"/>
            <w:hideMark/>
          </w:tcPr>
          <w:p w14:paraId="6369BF6E"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c>
          <w:tcPr>
            <w:tcW w:w="1284" w:type="dxa"/>
            <w:shd w:val="clear" w:color="auto" w:fill="auto"/>
            <w:noWrap/>
            <w:vAlign w:val="center"/>
            <w:hideMark/>
          </w:tcPr>
          <w:p w14:paraId="6AE1CED4" w14:textId="77777777" w:rsidR="00B0196F" w:rsidRPr="00BB111D" w:rsidRDefault="00B0196F">
            <w:pPr>
              <w:jc w:val="center"/>
              <w:rPr>
                <w:rFonts w:cs="Calibri"/>
                <w:color w:val="000000"/>
                <w:sz w:val="18"/>
                <w:szCs w:val="18"/>
              </w:rPr>
            </w:pPr>
          </w:p>
        </w:tc>
        <w:tc>
          <w:tcPr>
            <w:tcW w:w="1342" w:type="dxa"/>
            <w:shd w:val="clear" w:color="auto" w:fill="auto"/>
            <w:noWrap/>
            <w:vAlign w:val="center"/>
            <w:hideMark/>
          </w:tcPr>
          <w:p w14:paraId="73C87C1F" w14:textId="77777777" w:rsidR="00B0196F" w:rsidRPr="00BB111D" w:rsidRDefault="00B0196F">
            <w:pPr>
              <w:jc w:val="center"/>
              <w:rPr>
                <w:sz w:val="18"/>
                <w:szCs w:val="18"/>
              </w:rPr>
            </w:pPr>
          </w:p>
        </w:tc>
        <w:tc>
          <w:tcPr>
            <w:tcW w:w="1707" w:type="dxa"/>
            <w:shd w:val="clear" w:color="auto" w:fill="auto"/>
            <w:noWrap/>
            <w:vAlign w:val="center"/>
            <w:hideMark/>
          </w:tcPr>
          <w:p w14:paraId="6D4E9AAF" w14:textId="77777777" w:rsidR="00B0196F" w:rsidRPr="00BB111D" w:rsidRDefault="00B0196F">
            <w:pPr>
              <w:jc w:val="center"/>
              <w:rPr>
                <w:sz w:val="18"/>
                <w:szCs w:val="18"/>
              </w:rPr>
            </w:pPr>
          </w:p>
        </w:tc>
        <w:tc>
          <w:tcPr>
            <w:tcW w:w="2610" w:type="dxa"/>
            <w:shd w:val="clear" w:color="auto" w:fill="auto"/>
            <w:noWrap/>
            <w:vAlign w:val="center"/>
            <w:hideMark/>
          </w:tcPr>
          <w:p w14:paraId="7B911B4A" w14:textId="77777777" w:rsidR="00B0196F" w:rsidRPr="00BB111D" w:rsidRDefault="00B0196F">
            <w:pPr>
              <w:jc w:val="center"/>
              <w:rPr>
                <w:rFonts w:cs="Calibri"/>
                <w:color w:val="000000"/>
                <w:sz w:val="18"/>
                <w:szCs w:val="18"/>
              </w:rPr>
            </w:pPr>
          </w:p>
        </w:tc>
        <w:tc>
          <w:tcPr>
            <w:tcW w:w="1862" w:type="dxa"/>
            <w:shd w:val="clear" w:color="000000" w:fill="FCE4D6"/>
            <w:noWrap/>
            <w:vAlign w:val="center"/>
            <w:hideMark/>
          </w:tcPr>
          <w:p w14:paraId="08D0DF7F" w14:textId="77777777" w:rsidR="00B0196F" w:rsidRPr="00BB111D" w:rsidRDefault="00B0196F">
            <w:pPr>
              <w:jc w:val="center"/>
              <w:rPr>
                <w:rFonts w:cs="Calibri"/>
                <w:color w:val="000000"/>
                <w:sz w:val="18"/>
                <w:szCs w:val="18"/>
              </w:rPr>
            </w:pPr>
            <w:r w:rsidRPr="00BB111D">
              <w:rPr>
                <w:rFonts w:cs="Calibri"/>
                <w:color w:val="000000"/>
                <w:sz w:val="18"/>
                <w:szCs w:val="18"/>
              </w:rPr>
              <w:t>Limited</w:t>
            </w:r>
          </w:p>
        </w:tc>
      </w:tr>
      <w:tr w:rsidR="00B0196F" w14:paraId="4C9E972A" w14:textId="77777777">
        <w:trPr>
          <w:trHeight w:val="340"/>
        </w:trPr>
        <w:tc>
          <w:tcPr>
            <w:tcW w:w="1337" w:type="dxa"/>
            <w:shd w:val="clear" w:color="auto" w:fill="auto"/>
            <w:noWrap/>
            <w:vAlign w:val="center"/>
            <w:hideMark/>
          </w:tcPr>
          <w:p w14:paraId="2BEFEBA4" w14:textId="77777777" w:rsidR="00B0196F" w:rsidRPr="00BB111D" w:rsidRDefault="00B0196F">
            <w:pPr>
              <w:jc w:val="center"/>
              <w:rPr>
                <w:rFonts w:cs="Calibri"/>
                <w:color w:val="000000"/>
                <w:sz w:val="18"/>
                <w:szCs w:val="18"/>
              </w:rPr>
            </w:pPr>
            <w:r w:rsidRPr="00BB111D">
              <w:rPr>
                <w:rFonts w:cs="Calibri"/>
                <w:color w:val="000000"/>
                <w:sz w:val="18"/>
                <w:szCs w:val="18"/>
              </w:rPr>
              <w:t>Uganda</w:t>
            </w:r>
          </w:p>
        </w:tc>
        <w:tc>
          <w:tcPr>
            <w:tcW w:w="1591" w:type="dxa"/>
            <w:shd w:val="clear" w:color="000000" w:fill="FBE4D5"/>
            <w:vAlign w:val="center"/>
            <w:hideMark/>
          </w:tcPr>
          <w:p w14:paraId="2E2FC214" w14:textId="77777777" w:rsidR="00B0196F" w:rsidRPr="00BB111D" w:rsidRDefault="00B0196F">
            <w:pPr>
              <w:jc w:val="center"/>
              <w:rPr>
                <w:rFonts w:cs="Calibri"/>
                <w:b/>
                <w:bCs/>
                <w:color w:val="000000"/>
                <w:sz w:val="18"/>
                <w:szCs w:val="18"/>
              </w:rPr>
            </w:pPr>
            <w:r w:rsidRPr="00BB111D">
              <w:rPr>
                <w:rFonts w:cs="Calibri"/>
                <w:b/>
                <w:bCs/>
                <w:color w:val="000000"/>
                <w:sz w:val="18"/>
                <w:szCs w:val="18"/>
              </w:rPr>
              <w:t>Limited</w:t>
            </w:r>
          </w:p>
        </w:tc>
        <w:tc>
          <w:tcPr>
            <w:tcW w:w="2437" w:type="dxa"/>
            <w:shd w:val="clear" w:color="000000" w:fill="92D050"/>
            <w:noWrap/>
            <w:vAlign w:val="center"/>
            <w:hideMark/>
          </w:tcPr>
          <w:p w14:paraId="79354863"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c>
          <w:tcPr>
            <w:tcW w:w="1284" w:type="dxa"/>
            <w:shd w:val="clear" w:color="000000" w:fill="92D050"/>
            <w:noWrap/>
            <w:vAlign w:val="center"/>
            <w:hideMark/>
          </w:tcPr>
          <w:p w14:paraId="0C26F6FA"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c>
          <w:tcPr>
            <w:tcW w:w="1342" w:type="dxa"/>
            <w:shd w:val="clear" w:color="auto" w:fill="auto"/>
            <w:noWrap/>
            <w:vAlign w:val="center"/>
            <w:hideMark/>
          </w:tcPr>
          <w:p w14:paraId="4DDD95C8" w14:textId="77777777" w:rsidR="00B0196F" w:rsidRPr="00BB111D" w:rsidRDefault="00B0196F">
            <w:pPr>
              <w:jc w:val="center"/>
              <w:rPr>
                <w:rFonts w:cs="Calibri"/>
                <w:color w:val="000000"/>
                <w:sz w:val="18"/>
                <w:szCs w:val="18"/>
              </w:rPr>
            </w:pPr>
          </w:p>
        </w:tc>
        <w:tc>
          <w:tcPr>
            <w:tcW w:w="1707" w:type="dxa"/>
            <w:shd w:val="clear" w:color="auto" w:fill="auto"/>
            <w:noWrap/>
            <w:vAlign w:val="center"/>
            <w:hideMark/>
          </w:tcPr>
          <w:p w14:paraId="48C80601" w14:textId="77777777" w:rsidR="00B0196F" w:rsidRPr="00BB111D" w:rsidRDefault="00B0196F">
            <w:pPr>
              <w:jc w:val="center"/>
              <w:rPr>
                <w:sz w:val="18"/>
                <w:szCs w:val="18"/>
              </w:rPr>
            </w:pPr>
          </w:p>
        </w:tc>
        <w:tc>
          <w:tcPr>
            <w:tcW w:w="2610" w:type="dxa"/>
            <w:shd w:val="clear" w:color="auto" w:fill="auto"/>
            <w:noWrap/>
            <w:vAlign w:val="center"/>
            <w:hideMark/>
          </w:tcPr>
          <w:p w14:paraId="3C9B20DE" w14:textId="77777777" w:rsidR="00B0196F" w:rsidRPr="00BB111D" w:rsidRDefault="00B0196F">
            <w:pPr>
              <w:jc w:val="center"/>
              <w:rPr>
                <w:rFonts w:cs="Calibri"/>
                <w:color w:val="000000"/>
                <w:sz w:val="18"/>
                <w:szCs w:val="18"/>
              </w:rPr>
            </w:pPr>
          </w:p>
        </w:tc>
        <w:tc>
          <w:tcPr>
            <w:tcW w:w="1862" w:type="dxa"/>
            <w:shd w:val="clear" w:color="auto" w:fill="auto"/>
            <w:noWrap/>
            <w:vAlign w:val="center"/>
            <w:hideMark/>
          </w:tcPr>
          <w:p w14:paraId="2648A996" w14:textId="77777777" w:rsidR="00B0196F" w:rsidRPr="00BB111D" w:rsidRDefault="00B0196F">
            <w:pPr>
              <w:jc w:val="center"/>
              <w:rPr>
                <w:sz w:val="18"/>
                <w:szCs w:val="18"/>
              </w:rPr>
            </w:pPr>
          </w:p>
        </w:tc>
      </w:tr>
      <w:tr w:rsidR="00B0196F" w14:paraId="54A0D28C" w14:textId="77777777">
        <w:trPr>
          <w:trHeight w:val="340"/>
        </w:trPr>
        <w:tc>
          <w:tcPr>
            <w:tcW w:w="1337" w:type="dxa"/>
            <w:shd w:val="clear" w:color="auto" w:fill="auto"/>
            <w:noWrap/>
            <w:vAlign w:val="center"/>
            <w:hideMark/>
          </w:tcPr>
          <w:p w14:paraId="7B19FE85" w14:textId="77777777" w:rsidR="00B0196F" w:rsidRPr="00BB111D" w:rsidRDefault="00B0196F">
            <w:pPr>
              <w:jc w:val="center"/>
              <w:rPr>
                <w:rFonts w:cs="Calibri"/>
                <w:color w:val="000000"/>
                <w:sz w:val="18"/>
                <w:szCs w:val="18"/>
              </w:rPr>
            </w:pPr>
            <w:r w:rsidRPr="00BB111D">
              <w:rPr>
                <w:rFonts w:cs="Calibri"/>
                <w:color w:val="000000"/>
                <w:sz w:val="18"/>
                <w:szCs w:val="18"/>
              </w:rPr>
              <w:t>Bangladesh</w:t>
            </w:r>
          </w:p>
        </w:tc>
        <w:tc>
          <w:tcPr>
            <w:tcW w:w="1591" w:type="dxa"/>
            <w:shd w:val="clear" w:color="000000" w:fill="FFFF00"/>
            <w:vAlign w:val="center"/>
            <w:hideMark/>
          </w:tcPr>
          <w:p w14:paraId="2F463379" w14:textId="77777777" w:rsidR="00B0196F" w:rsidRPr="00BB111D" w:rsidRDefault="00B0196F">
            <w:pPr>
              <w:jc w:val="center"/>
              <w:rPr>
                <w:rFonts w:cs="Calibri"/>
                <w:b/>
                <w:bCs/>
                <w:color w:val="000000"/>
                <w:sz w:val="18"/>
                <w:szCs w:val="18"/>
              </w:rPr>
            </w:pPr>
            <w:r w:rsidRPr="00BB111D">
              <w:rPr>
                <w:rFonts w:cs="Calibri"/>
                <w:b/>
                <w:bCs/>
                <w:color w:val="000000"/>
                <w:sz w:val="18"/>
                <w:szCs w:val="18"/>
              </w:rPr>
              <w:t>Unclear</w:t>
            </w:r>
          </w:p>
        </w:tc>
        <w:tc>
          <w:tcPr>
            <w:tcW w:w="2437" w:type="dxa"/>
            <w:shd w:val="clear" w:color="000000" w:fill="92D050"/>
            <w:noWrap/>
            <w:vAlign w:val="center"/>
            <w:hideMark/>
          </w:tcPr>
          <w:p w14:paraId="333165E0"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c>
          <w:tcPr>
            <w:tcW w:w="1284" w:type="dxa"/>
            <w:shd w:val="clear" w:color="000000" w:fill="92D050"/>
            <w:noWrap/>
            <w:vAlign w:val="center"/>
            <w:hideMark/>
          </w:tcPr>
          <w:p w14:paraId="091E0FB4"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c>
          <w:tcPr>
            <w:tcW w:w="1342" w:type="dxa"/>
            <w:shd w:val="clear" w:color="000000" w:fill="92D050"/>
            <w:noWrap/>
            <w:vAlign w:val="center"/>
            <w:hideMark/>
          </w:tcPr>
          <w:p w14:paraId="614D313F"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c>
          <w:tcPr>
            <w:tcW w:w="1707" w:type="dxa"/>
            <w:shd w:val="clear" w:color="auto" w:fill="auto"/>
            <w:noWrap/>
            <w:vAlign w:val="center"/>
            <w:hideMark/>
          </w:tcPr>
          <w:p w14:paraId="69673B51" w14:textId="77777777" w:rsidR="00B0196F" w:rsidRPr="00BB111D" w:rsidRDefault="00B0196F">
            <w:pPr>
              <w:jc w:val="center"/>
              <w:rPr>
                <w:rFonts w:cs="Calibri"/>
                <w:color w:val="000000"/>
                <w:sz w:val="18"/>
                <w:szCs w:val="18"/>
              </w:rPr>
            </w:pPr>
          </w:p>
        </w:tc>
        <w:tc>
          <w:tcPr>
            <w:tcW w:w="2610" w:type="dxa"/>
            <w:shd w:val="clear" w:color="auto" w:fill="auto"/>
            <w:noWrap/>
            <w:vAlign w:val="center"/>
            <w:hideMark/>
          </w:tcPr>
          <w:p w14:paraId="385B6ED0" w14:textId="77777777" w:rsidR="00B0196F" w:rsidRPr="00BB111D" w:rsidRDefault="00B0196F">
            <w:pPr>
              <w:jc w:val="center"/>
              <w:rPr>
                <w:rFonts w:cs="Calibri"/>
                <w:color w:val="000000"/>
                <w:sz w:val="18"/>
                <w:szCs w:val="18"/>
              </w:rPr>
            </w:pPr>
          </w:p>
        </w:tc>
        <w:tc>
          <w:tcPr>
            <w:tcW w:w="1862" w:type="dxa"/>
            <w:shd w:val="clear" w:color="auto" w:fill="auto"/>
            <w:noWrap/>
            <w:vAlign w:val="center"/>
            <w:hideMark/>
          </w:tcPr>
          <w:p w14:paraId="26B6F9FB" w14:textId="77777777" w:rsidR="00B0196F" w:rsidRPr="00BB111D" w:rsidRDefault="00B0196F">
            <w:pPr>
              <w:jc w:val="center"/>
              <w:rPr>
                <w:sz w:val="18"/>
                <w:szCs w:val="18"/>
              </w:rPr>
            </w:pPr>
          </w:p>
        </w:tc>
      </w:tr>
      <w:tr w:rsidR="00B0196F" w14:paraId="6BAB91F7" w14:textId="77777777">
        <w:trPr>
          <w:trHeight w:val="340"/>
        </w:trPr>
        <w:tc>
          <w:tcPr>
            <w:tcW w:w="1337" w:type="dxa"/>
            <w:shd w:val="clear" w:color="auto" w:fill="auto"/>
            <w:noWrap/>
            <w:vAlign w:val="center"/>
            <w:hideMark/>
          </w:tcPr>
          <w:p w14:paraId="38BA1FD3" w14:textId="77777777" w:rsidR="00B0196F" w:rsidRPr="00BB111D" w:rsidRDefault="00B0196F">
            <w:pPr>
              <w:jc w:val="center"/>
              <w:rPr>
                <w:rFonts w:cs="Calibri"/>
                <w:color w:val="000000"/>
                <w:sz w:val="18"/>
                <w:szCs w:val="18"/>
              </w:rPr>
            </w:pPr>
            <w:r w:rsidRPr="00BB111D">
              <w:rPr>
                <w:rFonts w:cs="Calibri"/>
                <w:color w:val="000000"/>
                <w:sz w:val="18"/>
                <w:szCs w:val="18"/>
              </w:rPr>
              <w:t>Ghana</w:t>
            </w:r>
          </w:p>
        </w:tc>
        <w:tc>
          <w:tcPr>
            <w:tcW w:w="1591" w:type="dxa"/>
            <w:shd w:val="clear" w:color="000000" w:fill="FFFF00"/>
            <w:noWrap/>
            <w:vAlign w:val="center"/>
            <w:hideMark/>
          </w:tcPr>
          <w:p w14:paraId="5763A8C2" w14:textId="77777777" w:rsidR="00B0196F" w:rsidRPr="00BB111D" w:rsidRDefault="00B0196F">
            <w:pPr>
              <w:jc w:val="center"/>
              <w:rPr>
                <w:rFonts w:cs="Calibri"/>
                <w:b/>
                <w:bCs/>
                <w:color w:val="000000"/>
                <w:sz w:val="18"/>
                <w:szCs w:val="18"/>
              </w:rPr>
            </w:pPr>
            <w:r>
              <w:rPr>
                <w:rFonts w:cs="Calibri"/>
                <w:b/>
                <w:bCs/>
                <w:color w:val="000000"/>
                <w:sz w:val="18"/>
                <w:szCs w:val="18"/>
              </w:rPr>
              <w:t>U</w:t>
            </w:r>
            <w:r w:rsidRPr="00BB111D">
              <w:rPr>
                <w:rFonts w:cs="Calibri"/>
                <w:b/>
                <w:bCs/>
                <w:color w:val="000000"/>
                <w:sz w:val="18"/>
                <w:szCs w:val="18"/>
              </w:rPr>
              <w:t>nclear</w:t>
            </w:r>
          </w:p>
        </w:tc>
        <w:tc>
          <w:tcPr>
            <w:tcW w:w="2437" w:type="dxa"/>
            <w:shd w:val="clear" w:color="auto" w:fill="auto"/>
            <w:noWrap/>
            <w:vAlign w:val="center"/>
            <w:hideMark/>
          </w:tcPr>
          <w:p w14:paraId="254E02C7" w14:textId="77777777" w:rsidR="00B0196F" w:rsidRPr="00BB111D" w:rsidRDefault="00B0196F">
            <w:pPr>
              <w:jc w:val="center"/>
              <w:rPr>
                <w:rFonts w:cs="Calibri"/>
                <w:color w:val="000000"/>
                <w:sz w:val="18"/>
                <w:szCs w:val="18"/>
              </w:rPr>
            </w:pPr>
          </w:p>
        </w:tc>
        <w:tc>
          <w:tcPr>
            <w:tcW w:w="1284" w:type="dxa"/>
            <w:shd w:val="clear" w:color="auto" w:fill="auto"/>
            <w:noWrap/>
            <w:vAlign w:val="center"/>
            <w:hideMark/>
          </w:tcPr>
          <w:p w14:paraId="3CCD6023" w14:textId="77777777" w:rsidR="00B0196F" w:rsidRPr="00BB111D" w:rsidRDefault="00B0196F">
            <w:pPr>
              <w:jc w:val="center"/>
              <w:rPr>
                <w:sz w:val="18"/>
                <w:szCs w:val="18"/>
              </w:rPr>
            </w:pPr>
          </w:p>
        </w:tc>
        <w:tc>
          <w:tcPr>
            <w:tcW w:w="1342" w:type="dxa"/>
            <w:shd w:val="clear" w:color="000000" w:fill="ED7D31"/>
            <w:noWrap/>
            <w:vAlign w:val="center"/>
            <w:hideMark/>
          </w:tcPr>
          <w:p w14:paraId="2DEE025F" w14:textId="77777777" w:rsidR="00B0196F" w:rsidRPr="00BB111D" w:rsidRDefault="00B0196F">
            <w:pPr>
              <w:jc w:val="center"/>
              <w:rPr>
                <w:rFonts w:cs="Calibri"/>
                <w:color w:val="000000"/>
                <w:sz w:val="18"/>
                <w:szCs w:val="18"/>
              </w:rPr>
            </w:pPr>
            <w:r w:rsidRPr="00BB111D">
              <w:rPr>
                <w:rFonts w:cs="Calibri"/>
                <w:color w:val="000000"/>
                <w:sz w:val="18"/>
                <w:szCs w:val="18"/>
              </w:rPr>
              <w:t>None</w:t>
            </w:r>
          </w:p>
        </w:tc>
        <w:tc>
          <w:tcPr>
            <w:tcW w:w="1707" w:type="dxa"/>
            <w:shd w:val="clear" w:color="auto" w:fill="auto"/>
            <w:noWrap/>
            <w:vAlign w:val="center"/>
            <w:hideMark/>
          </w:tcPr>
          <w:p w14:paraId="1EDDC052" w14:textId="77777777" w:rsidR="00B0196F" w:rsidRPr="00BB111D" w:rsidRDefault="00B0196F">
            <w:pPr>
              <w:jc w:val="center"/>
              <w:rPr>
                <w:rFonts w:cs="Calibri"/>
                <w:color w:val="000000"/>
                <w:sz w:val="18"/>
                <w:szCs w:val="18"/>
              </w:rPr>
            </w:pPr>
          </w:p>
        </w:tc>
        <w:tc>
          <w:tcPr>
            <w:tcW w:w="2610" w:type="dxa"/>
            <w:shd w:val="clear" w:color="000000" w:fill="ED7D31"/>
            <w:noWrap/>
            <w:vAlign w:val="center"/>
            <w:hideMark/>
          </w:tcPr>
          <w:p w14:paraId="3C27BA0B" w14:textId="77777777" w:rsidR="00B0196F" w:rsidRPr="00BB111D" w:rsidRDefault="00B0196F">
            <w:pPr>
              <w:jc w:val="center"/>
              <w:rPr>
                <w:rFonts w:cs="Calibri"/>
                <w:color w:val="000000"/>
                <w:sz w:val="18"/>
                <w:szCs w:val="18"/>
              </w:rPr>
            </w:pPr>
            <w:r w:rsidRPr="00BB111D">
              <w:rPr>
                <w:rFonts w:cs="Calibri"/>
                <w:color w:val="000000"/>
                <w:sz w:val="18"/>
                <w:szCs w:val="18"/>
              </w:rPr>
              <w:t>None</w:t>
            </w:r>
          </w:p>
        </w:tc>
        <w:tc>
          <w:tcPr>
            <w:tcW w:w="1862" w:type="dxa"/>
            <w:shd w:val="clear" w:color="000000" w:fill="ED7D31"/>
            <w:noWrap/>
            <w:vAlign w:val="center"/>
            <w:hideMark/>
          </w:tcPr>
          <w:p w14:paraId="5B1910EF" w14:textId="77777777" w:rsidR="00B0196F" w:rsidRPr="00BB111D" w:rsidRDefault="00B0196F">
            <w:pPr>
              <w:jc w:val="center"/>
              <w:rPr>
                <w:rFonts w:cs="Calibri"/>
                <w:color w:val="000000"/>
                <w:sz w:val="18"/>
                <w:szCs w:val="18"/>
              </w:rPr>
            </w:pPr>
            <w:r w:rsidRPr="00BB111D">
              <w:rPr>
                <w:rFonts w:cs="Calibri"/>
                <w:color w:val="000000"/>
                <w:sz w:val="18"/>
                <w:szCs w:val="18"/>
              </w:rPr>
              <w:t>None</w:t>
            </w:r>
          </w:p>
        </w:tc>
      </w:tr>
      <w:tr w:rsidR="00B0196F" w14:paraId="6EBEE99B" w14:textId="77777777">
        <w:trPr>
          <w:trHeight w:val="340"/>
        </w:trPr>
        <w:tc>
          <w:tcPr>
            <w:tcW w:w="1337" w:type="dxa"/>
            <w:shd w:val="clear" w:color="auto" w:fill="auto"/>
            <w:noWrap/>
            <w:vAlign w:val="center"/>
            <w:hideMark/>
          </w:tcPr>
          <w:p w14:paraId="300B9536" w14:textId="77777777" w:rsidR="00B0196F" w:rsidRPr="00BB111D" w:rsidRDefault="00B0196F">
            <w:pPr>
              <w:jc w:val="center"/>
              <w:rPr>
                <w:rFonts w:cs="Calibri"/>
                <w:color w:val="000000"/>
                <w:sz w:val="18"/>
                <w:szCs w:val="18"/>
              </w:rPr>
            </w:pPr>
            <w:r w:rsidRPr="00BB111D">
              <w:rPr>
                <w:rFonts w:cs="Calibri"/>
                <w:color w:val="000000"/>
                <w:sz w:val="18"/>
                <w:szCs w:val="18"/>
              </w:rPr>
              <w:t>Indonesia</w:t>
            </w:r>
          </w:p>
        </w:tc>
        <w:tc>
          <w:tcPr>
            <w:tcW w:w="1591" w:type="dxa"/>
            <w:shd w:val="clear" w:color="000000" w:fill="FFFF00"/>
            <w:noWrap/>
            <w:vAlign w:val="center"/>
            <w:hideMark/>
          </w:tcPr>
          <w:p w14:paraId="4768026C" w14:textId="77777777" w:rsidR="00B0196F" w:rsidRPr="00BB111D" w:rsidRDefault="00B0196F">
            <w:pPr>
              <w:jc w:val="center"/>
              <w:rPr>
                <w:rFonts w:cs="Calibri"/>
                <w:b/>
                <w:bCs/>
                <w:color w:val="000000"/>
                <w:sz w:val="18"/>
                <w:szCs w:val="18"/>
              </w:rPr>
            </w:pPr>
            <w:r w:rsidRPr="00BB111D">
              <w:rPr>
                <w:rFonts w:cs="Calibri"/>
                <w:b/>
                <w:bCs/>
                <w:color w:val="000000"/>
                <w:sz w:val="18"/>
                <w:szCs w:val="18"/>
              </w:rPr>
              <w:t>Unclear</w:t>
            </w:r>
          </w:p>
        </w:tc>
        <w:tc>
          <w:tcPr>
            <w:tcW w:w="2437" w:type="dxa"/>
            <w:shd w:val="clear" w:color="auto" w:fill="auto"/>
            <w:noWrap/>
            <w:vAlign w:val="center"/>
            <w:hideMark/>
          </w:tcPr>
          <w:p w14:paraId="7C31BFD9" w14:textId="77777777" w:rsidR="00B0196F" w:rsidRPr="00BB111D" w:rsidRDefault="00B0196F">
            <w:pPr>
              <w:jc w:val="center"/>
              <w:rPr>
                <w:rFonts w:cs="Calibri"/>
                <w:color w:val="000000"/>
                <w:sz w:val="18"/>
                <w:szCs w:val="18"/>
              </w:rPr>
            </w:pPr>
          </w:p>
        </w:tc>
        <w:tc>
          <w:tcPr>
            <w:tcW w:w="1284" w:type="dxa"/>
            <w:shd w:val="clear" w:color="auto" w:fill="auto"/>
            <w:noWrap/>
            <w:vAlign w:val="center"/>
            <w:hideMark/>
          </w:tcPr>
          <w:p w14:paraId="1B99E723" w14:textId="77777777" w:rsidR="00B0196F" w:rsidRPr="00BB111D" w:rsidRDefault="00B0196F">
            <w:pPr>
              <w:jc w:val="center"/>
              <w:rPr>
                <w:sz w:val="18"/>
                <w:szCs w:val="18"/>
              </w:rPr>
            </w:pPr>
          </w:p>
        </w:tc>
        <w:tc>
          <w:tcPr>
            <w:tcW w:w="1342" w:type="dxa"/>
            <w:shd w:val="clear" w:color="auto" w:fill="auto"/>
            <w:noWrap/>
            <w:vAlign w:val="center"/>
            <w:hideMark/>
          </w:tcPr>
          <w:p w14:paraId="7A44F491" w14:textId="77777777" w:rsidR="00B0196F" w:rsidRPr="00BB111D" w:rsidRDefault="00B0196F">
            <w:pPr>
              <w:jc w:val="center"/>
              <w:rPr>
                <w:sz w:val="18"/>
                <w:szCs w:val="18"/>
              </w:rPr>
            </w:pPr>
          </w:p>
        </w:tc>
        <w:tc>
          <w:tcPr>
            <w:tcW w:w="1707" w:type="dxa"/>
            <w:shd w:val="clear" w:color="auto" w:fill="auto"/>
            <w:noWrap/>
            <w:vAlign w:val="center"/>
            <w:hideMark/>
          </w:tcPr>
          <w:p w14:paraId="42674A20" w14:textId="77777777" w:rsidR="00B0196F" w:rsidRPr="00BB111D" w:rsidRDefault="00B0196F">
            <w:pPr>
              <w:jc w:val="center"/>
              <w:rPr>
                <w:sz w:val="18"/>
                <w:szCs w:val="18"/>
              </w:rPr>
            </w:pPr>
          </w:p>
        </w:tc>
        <w:tc>
          <w:tcPr>
            <w:tcW w:w="2610" w:type="dxa"/>
            <w:shd w:val="clear" w:color="auto" w:fill="auto"/>
            <w:noWrap/>
            <w:vAlign w:val="center"/>
            <w:hideMark/>
          </w:tcPr>
          <w:p w14:paraId="0F937363" w14:textId="77777777" w:rsidR="00B0196F" w:rsidRPr="00BB111D" w:rsidRDefault="00B0196F">
            <w:pPr>
              <w:jc w:val="center"/>
              <w:rPr>
                <w:rFonts w:cs="Calibri"/>
                <w:color w:val="000000"/>
                <w:sz w:val="18"/>
                <w:szCs w:val="18"/>
              </w:rPr>
            </w:pPr>
          </w:p>
        </w:tc>
        <w:tc>
          <w:tcPr>
            <w:tcW w:w="1862" w:type="dxa"/>
            <w:shd w:val="clear" w:color="000000" w:fill="FFC000"/>
            <w:noWrap/>
            <w:vAlign w:val="center"/>
            <w:hideMark/>
          </w:tcPr>
          <w:p w14:paraId="26BE5490" w14:textId="77777777" w:rsidR="00B0196F" w:rsidRPr="00BB111D" w:rsidRDefault="00B0196F">
            <w:pPr>
              <w:jc w:val="center"/>
              <w:rPr>
                <w:rFonts w:cs="Calibri"/>
                <w:color w:val="000000"/>
                <w:sz w:val="18"/>
                <w:szCs w:val="18"/>
              </w:rPr>
            </w:pPr>
            <w:r w:rsidRPr="00BB111D">
              <w:rPr>
                <w:rFonts w:cs="Calibri"/>
                <w:color w:val="000000"/>
                <w:sz w:val="18"/>
                <w:szCs w:val="18"/>
              </w:rPr>
              <w:t>Some</w:t>
            </w:r>
          </w:p>
        </w:tc>
      </w:tr>
      <w:tr w:rsidR="00B0196F" w14:paraId="5D2DAB85" w14:textId="77777777">
        <w:trPr>
          <w:trHeight w:val="340"/>
        </w:trPr>
        <w:tc>
          <w:tcPr>
            <w:tcW w:w="1337" w:type="dxa"/>
            <w:shd w:val="clear" w:color="auto" w:fill="auto"/>
            <w:noWrap/>
            <w:vAlign w:val="center"/>
            <w:hideMark/>
          </w:tcPr>
          <w:p w14:paraId="2D14E296" w14:textId="77777777" w:rsidR="00B0196F" w:rsidRPr="00BB111D" w:rsidRDefault="00B0196F">
            <w:pPr>
              <w:jc w:val="center"/>
              <w:rPr>
                <w:rFonts w:cs="Calibri"/>
                <w:color w:val="000000"/>
                <w:sz w:val="18"/>
                <w:szCs w:val="18"/>
              </w:rPr>
            </w:pPr>
            <w:r w:rsidRPr="00BB111D">
              <w:rPr>
                <w:rFonts w:cs="Calibri"/>
                <w:color w:val="000000"/>
                <w:sz w:val="18"/>
                <w:szCs w:val="18"/>
              </w:rPr>
              <w:t>Laos</w:t>
            </w:r>
          </w:p>
        </w:tc>
        <w:tc>
          <w:tcPr>
            <w:tcW w:w="1591" w:type="dxa"/>
            <w:shd w:val="clear" w:color="000000" w:fill="FFFF00"/>
            <w:vAlign w:val="center"/>
            <w:hideMark/>
          </w:tcPr>
          <w:p w14:paraId="154550F6" w14:textId="77777777" w:rsidR="00B0196F" w:rsidRPr="00BB111D" w:rsidRDefault="00B0196F">
            <w:pPr>
              <w:jc w:val="center"/>
              <w:rPr>
                <w:rFonts w:cs="Calibri"/>
                <w:b/>
                <w:bCs/>
                <w:color w:val="000000"/>
                <w:sz w:val="18"/>
                <w:szCs w:val="18"/>
              </w:rPr>
            </w:pPr>
            <w:r w:rsidRPr="00BB111D">
              <w:rPr>
                <w:rFonts w:cs="Calibri"/>
                <w:b/>
                <w:bCs/>
                <w:color w:val="000000"/>
                <w:sz w:val="18"/>
                <w:szCs w:val="18"/>
              </w:rPr>
              <w:t>Unclear</w:t>
            </w:r>
          </w:p>
        </w:tc>
        <w:tc>
          <w:tcPr>
            <w:tcW w:w="2437" w:type="dxa"/>
            <w:shd w:val="clear" w:color="auto" w:fill="auto"/>
            <w:noWrap/>
            <w:vAlign w:val="center"/>
            <w:hideMark/>
          </w:tcPr>
          <w:p w14:paraId="1F3FB740" w14:textId="77777777" w:rsidR="00B0196F" w:rsidRPr="00BB111D" w:rsidRDefault="00B0196F">
            <w:pPr>
              <w:jc w:val="center"/>
              <w:rPr>
                <w:rFonts w:cs="Calibri"/>
                <w:b/>
                <w:bCs/>
                <w:color w:val="000000"/>
                <w:sz w:val="18"/>
                <w:szCs w:val="18"/>
              </w:rPr>
            </w:pPr>
          </w:p>
        </w:tc>
        <w:tc>
          <w:tcPr>
            <w:tcW w:w="1284" w:type="dxa"/>
            <w:shd w:val="clear" w:color="000000" w:fill="92D050"/>
            <w:noWrap/>
            <w:vAlign w:val="center"/>
            <w:hideMark/>
          </w:tcPr>
          <w:p w14:paraId="6A65C978"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c>
          <w:tcPr>
            <w:tcW w:w="1342" w:type="dxa"/>
            <w:shd w:val="clear" w:color="000000" w:fill="FFC000"/>
            <w:noWrap/>
            <w:vAlign w:val="center"/>
            <w:hideMark/>
          </w:tcPr>
          <w:p w14:paraId="5DEEFBC6" w14:textId="77777777" w:rsidR="00B0196F" w:rsidRPr="00BB111D" w:rsidRDefault="00B0196F">
            <w:pPr>
              <w:jc w:val="center"/>
              <w:rPr>
                <w:rFonts w:cs="Calibri"/>
                <w:color w:val="000000"/>
                <w:sz w:val="18"/>
                <w:szCs w:val="18"/>
              </w:rPr>
            </w:pPr>
            <w:r w:rsidRPr="00BB111D">
              <w:rPr>
                <w:rFonts w:cs="Calibri"/>
                <w:color w:val="000000"/>
                <w:sz w:val="18"/>
                <w:szCs w:val="18"/>
              </w:rPr>
              <w:t>Some</w:t>
            </w:r>
          </w:p>
        </w:tc>
        <w:tc>
          <w:tcPr>
            <w:tcW w:w="1707" w:type="dxa"/>
            <w:shd w:val="clear" w:color="auto" w:fill="auto"/>
            <w:noWrap/>
            <w:vAlign w:val="center"/>
            <w:hideMark/>
          </w:tcPr>
          <w:p w14:paraId="343DCC72" w14:textId="77777777" w:rsidR="00B0196F" w:rsidRPr="00BB111D" w:rsidRDefault="00B0196F">
            <w:pPr>
              <w:jc w:val="center"/>
              <w:rPr>
                <w:rFonts w:cs="Calibri"/>
                <w:color w:val="000000"/>
                <w:sz w:val="18"/>
                <w:szCs w:val="18"/>
              </w:rPr>
            </w:pPr>
          </w:p>
        </w:tc>
        <w:tc>
          <w:tcPr>
            <w:tcW w:w="2610" w:type="dxa"/>
            <w:shd w:val="clear" w:color="000000" w:fill="FCE4D6"/>
            <w:noWrap/>
            <w:vAlign w:val="center"/>
            <w:hideMark/>
          </w:tcPr>
          <w:p w14:paraId="41D9125F" w14:textId="77777777" w:rsidR="00B0196F" w:rsidRPr="00BB111D" w:rsidRDefault="00B0196F">
            <w:pPr>
              <w:jc w:val="center"/>
              <w:rPr>
                <w:rFonts w:cs="Calibri"/>
                <w:color w:val="000000"/>
                <w:sz w:val="18"/>
                <w:szCs w:val="18"/>
              </w:rPr>
            </w:pPr>
            <w:r w:rsidRPr="00BB111D">
              <w:rPr>
                <w:rFonts w:cs="Calibri"/>
                <w:color w:val="000000"/>
                <w:sz w:val="18"/>
                <w:szCs w:val="18"/>
              </w:rPr>
              <w:t>Limited</w:t>
            </w:r>
          </w:p>
        </w:tc>
        <w:tc>
          <w:tcPr>
            <w:tcW w:w="1862" w:type="dxa"/>
            <w:shd w:val="clear" w:color="auto" w:fill="auto"/>
            <w:noWrap/>
            <w:vAlign w:val="center"/>
            <w:hideMark/>
          </w:tcPr>
          <w:p w14:paraId="3FA2A200" w14:textId="77777777" w:rsidR="00B0196F" w:rsidRPr="00BB111D" w:rsidRDefault="00B0196F">
            <w:pPr>
              <w:jc w:val="center"/>
              <w:rPr>
                <w:rFonts w:cs="Calibri"/>
                <w:color w:val="000000"/>
                <w:sz w:val="18"/>
                <w:szCs w:val="18"/>
              </w:rPr>
            </w:pPr>
          </w:p>
        </w:tc>
      </w:tr>
      <w:tr w:rsidR="00B0196F" w14:paraId="3E6623E3" w14:textId="77777777">
        <w:trPr>
          <w:trHeight w:val="340"/>
        </w:trPr>
        <w:tc>
          <w:tcPr>
            <w:tcW w:w="1337" w:type="dxa"/>
            <w:shd w:val="clear" w:color="auto" w:fill="auto"/>
            <w:noWrap/>
            <w:vAlign w:val="center"/>
            <w:hideMark/>
          </w:tcPr>
          <w:p w14:paraId="3C19FF22" w14:textId="77777777" w:rsidR="00B0196F" w:rsidRPr="00BB111D" w:rsidRDefault="00B0196F">
            <w:pPr>
              <w:jc w:val="center"/>
              <w:rPr>
                <w:rFonts w:cs="Calibri"/>
                <w:color w:val="000000"/>
                <w:sz w:val="18"/>
                <w:szCs w:val="18"/>
              </w:rPr>
            </w:pPr>
            <w:r w:rsidRPr="00BB111D">
              <w:rPr>
                <w:rFonts w:cs="Calibri"/>
                <w:color w:val="000000"/>
                <w:sz w:val="18"/>
                <w:szCs w:val="18"/>
              </w:rPr>
              <w:t>Pakistan</w:t>
            </w:r>
          </w:p>
        </w:tc>
        <w:tc>
          <w:tcPr>
            <w:tcW w:w="1591" w:type="dxa"/>
            <w:shd w:val="clear" w:color="000000" w:fill="FFFF00"/>
            <w:vAlign w:val="center"/>
            <w:hideMark/>
          </w:tcPr>
          <w:p w14:paraId="4C5D91D2" w14:textId="77777777" w:rsidR="00B0196F" w:rsidRPr="00BB111D" w:rsidRDefault="00B0196F">
            <w:pPr>
              <w:jc w:val="center"/>
              <w:rPr>
                <w:rFonts w:cs="Calibri"/>
                <w:b/>
                <w:bCs/>
                <w:color w:val="000000"/>
                <w:sz w:val="18"/>
                <w:szCs w:val="18"/>
              </w:rPr>
            </w:pPr>
            <w:r>
              <w:rPr>
                <w:rFonts w:cs="Calibri"/>
                <w:b/>
                <w:bCs/>
                <w:color w:val="000000"/>
                <w:sz w:val="18"/>
                <w:szCs w:val="18"/>
              </w:rPr>
              <w:t>U</w:t>
            </w:r>
            <w:r w:rsidRPr="00BB111D">
              <w:rPr>
                <w:rFonts w:cs="Calibri"/>
                <w:b/>
                <w:bCs/>
                <w:color w:val="000000"/>
                <w:sz w:val="18"/>
                <w:szCs w:val="18"/>
              </w:rPr>
              <w:t>nclear</w:t>
            </w:r>
          </w:p>
        </w:tc>
        <w:tc>
          <w:tcPr>
            <w:tcW w:w="2437" w:type="dxa"/>
            <w:shd w:val="clear" w:color="000000" w:fill="FCE4D6"/>
            <w:noWrap/>
            <w:vAlign w:val="center"/>
            <w:hideMark/>
          </w:tcPr>
          <w:p w14:paraId="3CAFF04B" w14:textId="77777777" w:rsidR="00B0196F" w:rsidRPr="00BB111D" w:rsidRDefault="00B0196F">
            <w:pPr>
              <w:jc w:val="center"/>
              <w:rPr>
                <w:rFonts w:cs="Calibri"/>
                <w:color w:val="000000"/>
                <w:sz w:val="18"/>
                <w:szCs w:val="18"/>
              </w:rPr>
            </w:pPr>
            <w:r w:rsidRPr="00BB111D">
              <w:rPr>
                <w:rFonts w:cs="Calibri"/>
                <w:color w:val="000000"/>
                <w:sz w:val="18"/>
                <w:szCs w:val="18"/>
              </w:rPr>
              <w:t>Limited</w:t>
            </w:r>
          </w:p>
        </w:tc>
        <w:tc>
          <w:tcPr>
            <w:tcW w:w="1284" w:type="dxa"/>
            <w:shd w:val="clear" w:color="auto" w:fill="auto"/>
            <w:noWrap/>
            <w:vAlign w:val="center"/>
            <w:hideMark/>
          </w:tcPr>
          <w:p w14:paraId="44A24044" w14:textId="77777777" w:rsidR="00B0196F" w:rsidRPr="00BB111D" w:rsidRDefault="00B0196F">
            <w:pPr>
              <w:jc w:val="center"/>
              <w:rPr>
                <w:rFonts w:cs="Calibri"/>
                <w:color w:val="000000"/>
                <w:sz w:val="18"/>
                <w:szCs w:val="18"/>
              </w:rPr>
            </w:pPr>
          </w:p>
        </w:tc>
        <w:tc>
          <w:tcPr>
            <w:tcW w:w="1342" w:type="dxa"/>
            <w:shd w:val="clear" w:color="000000" w:fill="FCE4D6"/>
            <w:noWrap/>
            <w:vAlign w:val="center"/>
            <w:hideMark/>
          </w:tcPr>
          <w:p w14:paraId="1F88546F" w14:textId="77777777" w:rsidR="00B0196F" w:rsidRPr="00BB111D" w:rsidRDefault="00B0196F">
            <w:pPr>
              <w:jc w:val="center"/>
              <w:rPr>
                <w:rFonts w:cs="Calibri"/>
                <w:color w:val="000000"/>
                <w:sz w:val="18"/>
                <w:szCs w:val="18"/>
              </w:rPr>
            </w:pPr>
            <w:r w:rsidRPr="00BB111D">
              <w:rPr>
                <w:rFonts w:cs="Calibri"/>
                <w:color w:val="000000"/>
                <w:sz w:val="18"/>
                <w:szCs w:val="18"/>
              </w:rPr>
              <w:t>Limited</w:t>
            </w:r>
          </w:p>
        </w:tc>
        <w:tc>
          <w:tcPr>
            <w:tcW w:w="1707" w:type="dxa"/>
            <w:shd w:val="clear" w:color="auto" w:fill="auto"/>
            <w:noWrap/>
            <w:vAlign w:val="center"/>
            <w:hideMark/>
          </w:tcPr>
          <w:p w14:paraId="4C1BF719" w14:textId="77777777" w:rsidR="00B0196F" w:rsidRPr="00BB111D" w:rsidRDefault="00B0196F">
            <w:pPr>
              <w:jc w:val="center"/>
              <w:rPr>
                <w:rFonts w:cs="Calibri"/>
                <w:color w:val="000000"/>
                <w:sz w:val="18"/>
                <w:szCs w:val="18"/>
              </w:rPr>
            </w:pPr>
          </w:p>
        </w:tc>
        <w:tc>
          <w:tcPr>
            <w:tcW w:w="2610" w:type="dxa"/>
            <w:shd w:val="clear" w:color="000000" w:fill="FCE4D6"/>
            <w:noWrap/>
            <w:vAlign w:val="center"/>
            <w:hideMark/>
          </w:tcPr>
          <w:p w14:paraId="67E34C93" w14:textId="77777777" w:rsidR="00B0196F" w:rsidRPr="00BB111D" w:rsidRDefault="00B0196F">
            <w:pPr>
              <w:jc w:val="center"/>
              <w:rPr>
                <w:rFonts w:cs="Calibri"/>
                <w:color w:val="000000"/>
                <w:sz w:val="18"/>
                <w:szCs w:val="18"/>
              </w:rPr>
            </w:pPr>
            <w:r w:rsidRPr="00BB111D">
              <w:rPr>
                <w:rFonts w:cs="Calibri"/>
                <w:color w:val="000000"/>
                <w:sz w:val="18"/>
                <w:szCs w:val="18"/>
              </w:rPr>
              <w:t>Limited</w:t>
            </w:r>
          </w:p>
        </w:tc>
        <w:tc>
          <w:tcPr>
            <w:tcW w:w="1862" w:type="dxa"/>
            <w:shd w:val="clear" w:color="auto" w:fill="auto"/>
            <w:noWrap/>
            <w:vAlign w:val="center"/>
            <w:hideMark/>
          </w:tcPr>
          <w:p w14:paraId="15FDA315" w14:textId="77777777" w:rsidR="00B0196F" w:rsidRPr="00BB111D" w:rsidRDefault="00B0196F">
            <w:pPr>
              <w:jc w:val="center"/>
              <w:rPr>
                <w:rFonts w:cs="Calibri"/>
                <w:color w:val="000000"/>
                <w:sz w:val="18"/>
                <w:szCs w:val="18"/>
              </w:rPr>
            </w:pPr>
          </w:p>
        </w:tc>
      </w:tr>
      <w:tr w:rsidR="00B0196F" w14:paraId="345C6431" w14:textId="77777777">
        <w:trPr>
          <w:trHeight w:val="340"/>
        </w:trPr>
        <w:tc>
          <w:tcPr>
            <w:tcW w:w="1337" w:type="dxa"/>
            <w:shd w:val="clear" w:color="auto" w:fill="auto"/>
            <w:noWrap/>
            <w:vAlign w:val="center"/>
            <w:hideMark/>
          </w:tcPr>
          <w:p w14:paraId="6F7B8B56" w14:textId="77777777" w:rsidR="00B0196F" w:rsidRPr="00BB111D" w:rsidRDefault="00B0196F">
            <w:pPr>
              <w:jc w:val="center"/>
              <w:rPr>
                <w:rFonts w:cs="Calibri"/>
                <w:color w:val="000000"/>
                <w:sz w:val="18"/>
                <w:szCs w:val="18"/>
              </w:rPr>
            </w:pPr>
            <w:r w:rsidRPr="00BB111D">
              <w:rPr>
                <w:rFonts w:cs="Calibri"/>
                <w:color w:val="000000"/>
                <w:sz w:val="18"/>
                <w:szCs w:val="18"/>
              </w:rPr>
              <w:t>Sierra Leone</w:t>
            </w:r>
          </w:p>
        </w:tc>
        <w:tc>
          <w:tcPr>
            <w:tcW w:w="1591" w:type="dxa"/>
            <w:shd w:val="clear" w:color="000000" w:fill="BDD6EE"/>
            <w:vAlign w:val="center"/>
            <w:hideMark/>
          </w:tcPr>
          <w:p w14:paraId="719D5435" w14:textId="77777777" w:rsidR="00B0196F" w:rsidRPr="00BB111D" w:rsidRDefault="00B0196F">
            <w:pPr>
              <w:jc w:val="center"/>
              <w:rPr>
                <w:rFonts w:cs="Calibri"/>
                <w:b/>
                <w:bCs/>
                <w:color w:val="000000"/>
                <w:sz w:val="18"/>
                <w:szCs w:val="18"/>
              </w:rPr>
            </w:pPr>
            <w:r w:rsidRPr="00BB111D">
              <w:rPr>
                <w:rFonts w:cs="Calibri"/>
                <w:b/>
                <w:bCs/>
                <w:color w:val="000000"/>
                <w:sz w:val="18"/>
                <w:szCs w:val="18"/>
              </w:rPr>
              <w:t>None yet</w:t>
            </w:r>
          </w:p>
        </w:tc>
        <w:tc>
          <w:tcPr>
            <w:tcW w:w="2437" w:type="dxa"/>
            <w:shd w:val="clear" w:color="auto" w:fill="auto"/>
            <w:noWrap/>
            <w:vAlign w:val="center"/>
            <w:hideMark/>
          </w:tcPr>
          <w:p w14:paraId="3BB459BC" w14:textId="77777777" w:rsidR="00B0196F" w:rsidRPr="00BB111D" w:rsidRDefault="00B0196F">
            <w:pPr>
              <w:jc w:val="center"/>
              <w:rPr>
                <w:rFonts w:cs="Calibri"/>
                <w:b/>
                <w:bCs/>
                <w:color w:val="000000"/>
                <w:sz w:val="18"/>
                <w:szCs w:val="18"/>
              </w:rPr>
            </w:pPr>
          </w:p>
        </w:tc>
        <w:tc>
          <w:tcPr>
            <w:tcW w:w="1284" w:type="dxa"/>
            <w:shd w:val="clear" w:color="auto" w:fill="auto"/>
            <w:noWrap/>
            <w:vAlign w:val="center"/>
            <w:hideMark/>
          </w:tcPr>
          <w:p w14:paraId="10E34B1B" w14:textId="77777777" w:rsidR="00B0196F" w:rsidRPr="00BB111D" w:rsidRDefault="00B0196F">
            <w:pPr>
              <w:jc w:val="center"/>
              <w:rPr>
                <w:sz w:val="18"/>
                <w:szCs w:val="18"/>
              </w:rPr>
            </w:pPr>
          </w:p>
        </w:tc>
        <w:tc>
          <w:tcPr>
            <w:tcW w:w="1342" w:type="dxa"/>
            <w:shd w:val="clear" w:color="auto" w:fill="auto"/>
            <w:noWrap/>
            <w:vAlign w:val="center"/>
            <w:hideMark/>
          </w:tcPr>
          <w:p w14:paraId="7AC4FB0F" w14:textId="77777777" w:rsidR="00B0196F" w:rsidRPr="00BB111D" w:rsidRDefault="00B0196F">
            <w:pPr>
              <w:jc w:val="center"/>
              <w:rPr>
                <w:sz w:val="18"/>
                <w:szCs w:val="18"/>
              </w:rPr>
            </w:pPr>
          </w:p>
        </w:tc>
        <w:tc>
          <w:tcPr>
            <w:tcW w:w="1707" w:type="dxa"/>
            <w:shd w:val="clear" w:color="000000" w:fill="00B050"/>
            <w:noWrap/>
            <w:vAlign w:val="center"/>
            <w:hideMark/>
          </w:tcPr>
          <w:p w14:paraId="71E06DC0" w14:textId="77777777" w:rsidR="00B0196F" w:rsidRPr="00BB111D" w:rsidRDefault="00B0196F">
            <w:pPr>
              <w:jc w:val="center"/>
              <w:rPr>
                <w:rFonts w:cs="Calibri"/>
                <w:color w:val="000000"/>
                <w:sz w:val="18"/>
                <w:szCs w:val="18"/>
              </w:rPr>
            </w:pPr>
            <w:r w:rsidRPr="00BB111D">
              <w:rPr>
                <w:rFonts w:cs="Calibri"/>
                <w:color w:val="000000"/>
                <w:sz w:val="18"/>
                <w:szCs w:val="18"/>
              </w:rPr>
              <w:t>Vital</w:t>
            </w:r>
          </w:p>
        </w:tc>
        <w:tc>
          <w:tcPr>
            <w:tcW w:w="2610" w:type="dxa"/>
            <w:shd w:val="clear" w:color="auto" w:fill="auto"/>
            <w:noWrap/>
            <w:vAlign w:val="center"/>
            <w:hideMark/>
          </w:tcPr>
          <w:p w14:paraId="49DF4FF7" w14:textId="77777777" w:rsidR="00B0196F" w:rsidRPr="00BB111D" w:rsidRDefault="00B0196F">
            <w:pPr>
              <w:jc w:val="center"/>
              <w:rPr>
                <w:rFonts w:cs="Calibri"/>
                <w:color w:val="000000"/>
                <w:sz w:val="18"/>
                <w:szCs w:val="18"/>
              </w:rPr>
            </w:pPr>
          </w:p>
        </w:tc>
        <w:tc>
          <w:tcPr>
            <w:tcW w:w="1862" w:type="dxa"/>
            <w:shd w:val="clear" w:color="auto" w:fill="auto"/>
            <w:noWrap/>
            <w:vAlign w:val="center"/>
            <w:hideMark/>
          </w:tcPr>
          <w:p w14:paraId="170BA241" w14:textId="77777777" w:rsidR="00B0196F" w:rsidRPr="00BB111D" w:rsidRDefault="00B0196F">
            <w:pPr>
              <w:jc w:val="center"/>
              <w:rPr>
                <w:sz w:val="18"/>
                <w:szCs w:val="18"/>
              </w:rPr>
            </w:pPr>
          </w:p>
        </w:tc>
      </w:tr>
      <w:tr w:rsidR="00B0196F" w14:paraId="22A23A2C" w14:textId="77777777">
        <w:trPr>
          <w:trHeight w:val="340"/>
        </w:trPr>
        <w:tc>
          <w:tcPr>
            <w:tcW w:w="1337" w:type="dxa"/>
            <w:shd w:val="clear" w:color="auto" w:fill="auto"/>
            <w:noWrap/>
            <w:vAlign w:val="center"/>
            <w:hideMark/>
          </w:tcPr>
          <w:p w14:paraId="577C77B4" w14:textId="77777777" w:rsidR="00B0196F" w:rsidRPr="00BB111D" w:rsidRDefault="00B0196F">
            <w:pPr>
              <w:jc w:val="center"/>
              <w:rPr>
                <w:rFonts w:cs="Calibri"/>
                <w:color w:val="000000"/>
                <w:sz w:val="18"/>
                <w:szCs w:val="18"/>
              </w:rPr>
            </w:pPr>
            <w:r w:rsidRPr="00BB111D">
              <w:rPr>
                <w:rFonts w:cs="Calibri"/>
                <w:color w:val="000000"/>
                <w:sz w:val="18"/>
                <w:szCs w:val="18"/>
              </w:rPr>
              <w:t>Vietnam</w:t>
            </w:r>
          </w:p>
        </w:tc>
        <w:tc>
          <w:tcPr>
            <w:tcW w:w="1591" w:type="dxa"/>
            <w:shd w:val="clear" w:color="000000" w:fill="BDD6EE"/>
            <w:vAlign w:val="center"/>
            <w:hideMark/>
          </w:tcPr>
          <w:p w14:paraId="5D090E4E" w14:textId="77777777" w:rsidR="00B0196F" w:rsidRPr="00BB111D" w:rsidRDefault="00B0196F">
            <w:pPr>
              <w:jc w:val="center"/>
              <w:rPr>
                <w:rFonts w:cs="Calibri"/>
                <w:b/>
                <w:bCs/>
                <w:color w:val="000000"/>
                <w:sz w:val="18"/>
                <w:szCs w:val="18"/>
              </w:rPr>
            </w:pPr>
            <w:r w:rsidRPr="00BB111D">
              <w:rPr>
                <w:rFonts w:cs="Calibri"/>
                <w:b/>
                <w:bCs/>
                <w:color w:val="000000"/>
                <w:sz w:val="18"/>
                <w:szCs w:val="18"/>
              </w:rPr>
              <w:t>None yet</w:t>
            </w:r>
          </w:p>
        </w:tc>
        <w:tc>
          <w:tcPr>
            <w:tcW w:w="2437" w:type="dxa"/>
            <w:shd w:val="clear" w:color="000000" w:fill="92D050"/>
            <w:noWrap/>
            <w:vAlign w:val="center"/>
            <w:hideMark/>
          </w:tcPr>
          <w:p w14:paraId="3F769EFA" w14:textId="77777777" w:rsidR="00B0196F" w:rsidRPr="00BB111D" w:rsidRDefault="00B0196F">
            <w:pPr>
              <w:jc w:val="center"/>
              <w:rPr>
                <w:rFonts w:cs="Calibri"/>
                <w:color w:val="000000"/>
                <w:sz w:val="18"/>
                <w:szCs w:val="18"/>
              </w:rPr>
            </w:pPr>
            <w:r w:rsidRPr="00BB111D">
              <w:rPr>
                <w:rFonts w:cs="Calibri"/>
                <w:color w:val="000000"/>
                <w:sz w:val="18"/>
                <w:szCs w:val="18"/>
              </w:rPr>
              <w:t>Important</w:t>
            </w:r>
          </w:p>
        </w:tc>
        <w:tc>
          <w:tcPr>
            <w:tcW w:w="1284" w:type="dxa"/>
            <w:shd w:val="clear" w:color="000000" w:fill="FCE4D6"/>
            <w:noWrap/>
            <w:vAlign w:val="center"/>
            <w:hideMark/>
          </w:tcPr>
          <w:p w14:paraId="44BDB217" w14:textId="77777777" w:rsidR="00B0196F" w:rsidRPr="00BB111D" w:rsidRDefault="00B0196F">
            <w:pPr>
              <w:jc w:val="center"/>
              <w:rPr>
                <w:rFonts w:cs="Calibri"/>
                <w:color w:val="000000"/>
                <w:sz w:val="18"/>
                <w:szCs w:val="18"/>
              </w:rPr>
            </w:pPr>
            <w:r w:rsidRPr="00BB111D">
              <w:rPr>
                <w:rFonts w:cs="Calibri"/>
                <w:color w:val="000000"/>
                <w:sz w:val="18"/>
                <w:szCs w:val="18"/>
              </w:rPr>
              <w:t>Limited</w:t>
            </w:r>
          </w:p>
        </w:tc>
        <w:tc>
          <w:tcPr>
            <w:tcW w:w="1342" w:type="dxa"/>
            <w:shd w:val="clear" w:color="auto" w:fill="auto"/>
            <w:noWrap/>
            <w:vAlign w:val="center"/>
            <w:hideMark/>
          </w:tcPr>
          <w:p w14:paraId="3C65EAF5" w14:textId="77777777" w:rsidR="00B0196F" w:rsidRPr="00BB111D" w:rsidRDefault="00B0196F">
            <w:pPr>
              <w:jc w:val="center"/>
              <w:rPr>
                <w:rFonts w:cs="Calibri"/>
                <w:color w:val="000000"/>
                <w:sz w:val="18"/>
                <w:szCs w:val="18"/>
              </w:rPr>
            </w:pPr>
          </w:p>
        </w:tc>
        <w:tc>
          <w:tcPr>
            <w:tcW w:w="1707" w:type="dxa"/>
            <w:shd w:val="clear" w:color="auto" w:fill="auto"/>
            <w:noWrap/>
            <w:vAlign w:val="center"/>
            <w:hideMark/>
          </w:tcPr>
          <w:p w14:paraId="2CF3813C" w14:textId="77777777" w:rsidR="00B0196F" w:rsidRPr="00BB111D" w:rsidRDefault="00B0196F">
            <w:pPr>
              <w:jc w:val="center"/>
              <w:rPr>
                <w:sz w:val="18"/>
                <w:szCs w:val="18"/>
              </w:rPr>
            </w:pPr>
          </w:p>
        </w:tc>
        <w:tc>
          <w:tcPr>
            <w:tcW w:w="2610" w:type="dxa"/>
            <w:shd w:val="clear" w:color="auto" w:fill="auto"/>
            <w:noWrap/>
            <w:vAlign w:val="center"/>
            <w:hideMark/>
          </w:tcPr>
          <w:p w14:paraId="14B1B889" w14:textId="77777777" w:rsidR="00B0196F" w:rsidRPr="00BB111D" w:rsidRDefault="00B0196F">
            <w:pPr>
              <w:jc w:val="center"/>
              <w:rPr>
                <w:rFonts w:cs="Calibri"/>
                <w:color w:val="000000"/>
                <w:sz w:val="18"/>
                <w:szCs w:val="18"/>
              </w:rPr>
            </w:pPr>
          </w:p>
        </w:tc>
        <w:tc>
          <w:tcPr>
            <w:tcW w:w="1862" w:type="dxa"/>
            <w:shd w:val="clear" w:color="auto" w:fill="auto"/>
            <w:noWrap/>
            <w:vAlign w:val="center"/>
            <w:hideMark/>
          </w:tcPr>
          <w:p w14:paraId="01011C2A" w14:textId="77777777" w:rsidR="00B0196F" w:rsidRPr="00BB111D" w:rsidRDefault="00B0196F">
            <w:pPr>
              <w:jc w:val="center"/>
              <w:rPr>
                <w:sz w:val="18"/>
                <w:szCs w:val="18"/>
              </w:rPr>
            </w:pPr>
          </w:p>
        </w:tc>
      </w:tr>
    </w:tbl>
    <w:p w14:paraId="449E6554" w14:textId="77777777" w:rsidR="00B0196F" w:rsidRPr="00CF4719" w:rsidRDefault="00B0196F" w:rsidP="00B0196F"/>
    <w:p w14:paraId="4D72E014" w14:textId="77777777" w:rsidR="00186611" w:rsidRDefault="00186611" w:rsidP="002B54A2">
      <w:pPr>
        <w:pStyle w:val="ItadH1"/>
        <w:sectPr w:rsidR="00186611" w:rsidSect="0068654A">
          <w:pgSz w:w="16840" w:h="11900" w:orient="landscape"/>
          <w:pgMar w:top="1191" w:right="1134" w:bottom="1191" w:left="1134" w:header="720" w:footer="258" w:gutter="0"/>
          <w:cols w:space="720"/>
          <w:titlePg/>
          <w:docGrid w:linePitch="360"/>
        </w:sectPr>
      </w:pPr>
    </w:p>
    <w:p w14:paraId="2C6DB6BF" w14:textId="68392891" w:rsidR="007D1943" w:rsidRDefault="002B54A2" w:rsidP="002B54A2">
      <w:pPr>
        <w:pStyle w:val="ItadH1"/>
      </w:pPr>
      <w:bookmarkStart w:id="454" w:name="_Toc142383240"/>
      <w:r w:rsidRPr="0068654A">
        <w:t xml:space="preserve">Annex </w:t>
      </w:r>
      <w:r w:rsidR="008D6103">
        <w:t>23</w:t>
      </w:r>
      <w:r w:rsidRPr="0068654A">
        <w:t xml:space="preserve">: </w:t>
      </w:r>
      <w:r w:rsidR="00C8222C" w:rsidRPr="00C8222C">
        <w:t>Examples of Itad support to adaptations within phase 1 of the Fleming Fund</w:t>
      </w:r>
      <w:bookmarkEnd w:id="454"/>
    </w:p>
    <w:p w14:paraId="08276D61" w14:textId="40ED82EF" w:rsidR="00186611" w:rsidRPr="00E148E6" w:rsidRDefault="00186611" w:rsidP="007F63EF">
      <w:pPr>
        <w:pStyle w:val="FFNormal"/>
      </w:pPr>
      <w:r w:rsidRPr="00E148E6">
        <w:t xml:space="preserve">Itad facilitated a series of meetings to support </w:t>
      </w:r>
      <w:r w:rsidR="00BB5A80">
        <w:t xml:space="preserve">the </w:t>
      </w:r>
      <w:r w:rsidRPr="00E148E6">
        <w:t xml:space="preserve">DHSC and MA to revisit learning from programme delivery and reflect on progress made on responding to </w:t>
      </w:r>
      <w:r w:rsidR="00BB5A80">
        <w:t xml:space="preserve">the </w:t>
      </w:r>
      <w:r w:rsidRPr="00E148E6">
        <w:t>findings and suggestions from the country trip debriefs, evaluation reports and recommendations from the Annual Reviews. While the group agreed that some of this learning would be more feasible to address in a second phase of the Fleming Fund, the meetings identified several areas where action had been taken to incorporate learning into adaptation of the programme and what more could be done during the current phase</w:t>
      </w:r>
      <w:r>
        <w:t>, three of which are presented below.</w:t>
      </w:r>
    </w:p>
    <w:p w14:paraId="6B9BD0B1" w14:textId="1F0FC71E" w:rsidR="00186611" w:rsidRPr="00E148E6" w:rsidRDefault="00186611" w:rsidP="007F63EF">
      <w:pPr>
        <w:pStyle w:val="FFNormal"/>
      </w:pPr>
      <w:r w:rsidRPr="00BB5A80">
        <w:rPr>
          <w:b/>
          <w:bCs/>
        </w:rPr>
        <w:t>Adaptive Management</w:t>
      </w:r>
      <w:r w:rsidRPr="007F63EF">
        <w:t xml:space="preserve"> </w:t>
      </w:r>
      <w:r w:rsidR="00BB5A80">
        <w:t>–</w:t>
      </w:r>
      <w:r w:rsidRPr="007F63EF">
        <w:t xml:space="preserve"> Introducing an adequately resourced and more formalised approach.</w:t>
      </w:r>
      <w:r w:rsidRPr="00BB5A80">
        <w:t xml:space="preserve"> Progress included agreeing to hold regular reflection meetings between </w:t>
      </w:r>
      <w:r w:rsidR="00BB5A80" w:rsidRPr="007F63EF">
        <w:t xml:space="preserve">the </w:t>
      </w:r>
      <w:r w:rsidRPr="00BB5A80">
        <w:t>DHSC and MA (informed by evidence from the evaluation) and holding a workshop dedicated to adaptive management. This workshop (held on 13</w:t>
      </w:r>
      <w:r w:rsidRPr="007F63EF">
        <w:t>th</w:t>
      </w:r>
      <w:r w:rsidRPr="00BB5A80">
        <w:t xml:space="preserve"> October, 2022) helped </w:t>
      </w:r>
      <w:r w:rsidR="00BB5A80" w:rsidRPr="007F63EF">
        <w:t xml:space="preserve">the </w:t>
      </w:r>
      <w:r w:rsidRPr="00BB5A80">
        <w:t xml:space="preserve">DHSC and MA reflect on their experiences of adaptive management, compare these to lessons learned by others working in development, and to reach a better shared understanding of what an appropriate approach to adaptive management in </w:t>
      </w:r>
      <w:r w:rsidR="009E2AC2">
        <w:t>phase 2</w:t>
      </w:r>
      <w:r w:rsidRPr="00BB5A80">
        <w:t xml:space="preserve"> would look like</w:t>
      </w:r>
      <w:r w:rsidRPr="00E148E6">
        <w:t xml:space="preserve">. </w:t>
      </w:r>
    </w:p>
    <w:p w14:paraId="53A207D1" w14:textId="01F4A7F4" w:rsidR="00186611" w:rsidRPr="00E148E6" w:rsidRDefault="00186611" w:rsidP="007F63EF">
      <w:pPr>
        <w:pStyle w:val="FFNormal"/>
        <w:rPr>
          <w:lang w:eastAsia="en-GB"/>
        </w:rPr>
      </w:pPr>
      <w:r w:rsidRPr="00E148E6">
        <w:rPr>
          <w:b/>
          <w:bCs/>
        </w:rPr>
        <w:t>Monitoring Success/Tracking Results</w:t>
      </w:r>
      <w:r w:rsidRPr="00E148E6">
        <w:t xml:space="preserve"> – The second evaluation visit to Nepal had found that the </w:t>
      </w:r>
      <w:r w:rsidRPr="00E148E6">
        <w:rPr>
          <w:lang w:eastAsia="en-GB"/>
        </w:rPr>
        <w:t>c</w:t>
      </w:r>
      <w:r w:rsidRPr="009F44E7">
        <w:rPr>
          <w:lang w:eastAsia="en-GB"/>
        </w:rPr>
        <w:t>urrent approach to monitoring and oversight of the Fleming Fund grants programme focus</w:t>
      </w:r>
      <w:r w:rsidRPr="00E148E6">
        <w:rPr>
          <w:lang w:eastAsia="en-GB"/>
        </w:rPr>
        <w:t>ed</w:t>
      </w:r>
      <w:r w:rsidRPr="009F44E7">
        <w:rPr>
          <w:lang w:eastAsia="en-GB"/>
        </w:rPr>
        <w:t xml:space="preserve"> mainly on efficient delivery and not enough on whether the grant programme </w:t>
      </w:r>
      <w:r w:rsidRPr="00E148E6">
        <w:rPr>
          <w:lang w:eastAsia="en-GB"/>
        </w:rPr>
        <w:t>wa</w:t>
      </w:r>
      <w:r w:rsidRPr="009F44E7">
        <w:rPr>
          <w:lang w:eastAsia="en-GB"/>
        </w:rPr>
        <w:t>s on track to deliver the right things.</w:t>
      </w:r>
      <w:r w:rsidRPr="00E148E6">
        <w:rPr>
          <w:lang w:eastAsia="en-GB"/>
        </w:rPr>
        <w:t xml:space="preserve"> Changes made in response to this issue included: </w:t>
      </w:r>
    </w:p>
    <w:p w14:paraId="0A12BDF6" w14:textId="77777777" w:rsidR="00186611" w:rsidRPr="00E148E6" w:rsidRDefault="00186611" w:rsidP="00C6374D">
      <w:pPr>
        <w:pStyle w:val="FFNormal"/>
        <w:numPr>
          <w:ilvl w:val="0"/>
          <w:numId w:val="112"/>
        </w:numPr>
      </w:pPr>
      <w:r w:rsidRPr="002612F4">
        <w:t xml:space="preserve">A revamped and formalised management review processes at the quarterly review point including routine QA of the quarterly grantee review process by the UK team (oversight of risk and other management action and validation of grant RAG rating etc.) </w:t>
      </w:r>
    </w:p>
    <w:p w14:paraId="0C0E4277" w14:textId="6DBDADFE" w:rsidR="00186611" w:rsidRPr="00E148E6" w:rsidRDefault="00BB5A80" w:rsidP="00C6374D">
      <w:pPr>
        <w:pStyle w:val="FFNormal"/>
        <w:numPr>
          <w:ilvl w:val="0"/>
          <w:numId w:val="112"/>
        </w:numPr>
      </w:pPr>
      <w:r>
        <w:t xml:space="preserve">An introduction of </w:t>
      </w:r>
      <w:r w:rsidR="00186611" w:rsidRPr="002612F4">
        <w:t>KPI</w:t>
      </w:r>
      <w:r>
        <w:t>s</w:t>
      </w:r>
      <w:r w:rsidR="00186611" w:rsidRPr="002612F4">
        <w:t xml:space="preserve"> on grantee progress along the LSHTM road map and submission of quality data to GLASS; this was reported by DHSC to be useful in giving a sense as to whether the programme was on track to achieve outcomes. </w:t>
      </w:r>
    </w:p>
    <w:p w14:paraId="1A187645" w14:textId="0DB90058" w:rsidR="00186611" w:rsidRPr="00E148E6" w:rsidRDefault="00186611" w:rsidP="007F63EF">
      <w:pPr>
        <w:pStyle w:val="FFNormal"/>
        <w:rPr>
          <w:lang w:eastAsia="en-GB"/>
        </w:rPr>
      </w:pPr>
      <w:r w:rsidRPr="00E148E6">
        <w:rPr>
          <w:b/>
          <w:bCs/>
        </w:rPr>
        <w:t>Need for a more efficient grant process for country grants to maximise the time available for implementation</w:t>
      </w:r>
      <w:r w:rsidRPr="007F63EF">
        <w:t xml:space="preserve"> </w:t>
      </w:r>
      <w:r w:rsidR="00BB5A80">
        <w:t>–</w:t>
      </w:r>
      <w:r w:rsidRPr="007F63EF">
        <w:t xml:space="preserve"> </w:t>
      </w:r>
      <w:r w:rsidRPr="00E148E6">
        <w:rPr>
          <w:lang w:eastAsia="en-GB"/>
        </w:rPr>
        <w:t>While work continues on finding further ways to streamline the recommendation and approval process, progress has already been made, including:</w:t>
      </w:r>
    </w:p>
    <w:p w14:paraId="377E00E5" w14:textId="0D4EDFB4" w:rsidR="00186611" w:rsidRPr="002612F4" w:rsidRDefault="00186611" w:rsidP="00C6374D">
      <w:pPr>
        <w:pStyle w:val="FFNormal"/>
        <w:numPr>
          <w:ilvl w:val="0"/>
          <w:numId w:val="113"/>
        </w:numPr>
      </w:pPr>
      <w:r w:rsidRPr="002612F4">
        <w:t xml:space="preserve">Revised </w:t>
      </w:r>
      <w:r w:rsidR="000B2BED">
        <w:t>work plan</w:t>
      </w:r>
      <w:r w:rsidRPr="002612F4">
        <w:t xml:space="preserve"> agreed in Summer 2019 that provided a flexible approach to the roll out of second round of Country Grants. </w:t>
      </w:r>
    </w:p>
    <w:p w14:paraId="77F52422" w14:textId="77777777" w:rsidR="00186611" w:rsidRPr="002612F4" w:rsidRDefault="00186611" w:rsidP="00C6374D">
      <w:pPr>
        <w:pStyle w:val="FFNormal"/>
        <w:numPr>
          <w:ilvl w:val="0"/>
          <w:numId w:val="113"/>
        </w:numPr>
      </w:pPr>
      <w:r w:rsidRPr="002612F4">
        <w:t xml:space="preserve">Revised budget received and agreed with consideration of the delays to country grant roll-out.  </w:t>
      </w:r>
    </w:p>
    <w:p w14:paraId="12782F7B" w14:textId="54D7B0AC" w:rsidR="00186611" w:rsidRPr="002612F4" w:rsidRDefault="00186611" w:rsidP="00C6374D">
      <w:pPr>
        <w:pStyle w:val="FFNormal"/>
        <w:numPr>
          <w:ilvl w:val="0"/>
          <w:numId w:val="113"/>
        </w:numPr>
      </w:pPr>
      <w:r w:rsidRPr="002612F4">
        <w:t>Ernst &amp; Young assurance started at</w:t>
      </w:r>
      <w:r w:rsidR="00710402">
        <w:t xml:space="preserve"> the</w:t>
      </w:r>
      <w:r w:rsidRPr="002612F4">
        <w:t xml:space="preserve"> same time as </w:t>
      </w:r>
      <w:r w:rsidR="00710402">
        <w:t xml:space="preserve">the </w:t>
      </w:r>
      <w:r w:rsidRPr="002612F4">
        <w:t xml:space="preserve">London application reviews to save time. </w:t>
      </w:r>
    </w:p>
    <w:p w14:paraId="27C2305E" w14:textId="77777777" w:rsidR="00186611" w:rsidRPr="002612F4" w:rsidRDefault="00186611" w:rsidP="00C6374D">
      <w:pPr>
        <w:pStyle w:val="FFNormal"/>
        <w:numPr>
          <w:ilvl w:val="0"/>
          <w:numId w:val="113"/>
        </w:numPr>
      </w:pPr>
      <w:r w:rsidRPr="002612F4">
        <w:t xml:space="preserve">Updated fellowships approval process to save time. </w:t>
      </w:r>
    </w:p>
    <w:p w14:paraId="5FC63FD7" w14:textId="647712B0" w:rsidR="00186611" w:rsidRPr="002612F4" w:rsidRDefault="00186611" w:rsidP="00C6374D">
      <w:pPr>
        <w:pStyle w:val="FFNormal"/>
        <w:numPr>
          <w:ilvl w:val="0"/>
          <w:numId w:val="113"/>
        </w:numPr>
      </w:pPr>
      <w:r w:rsidRPr="002612F4">
        <w:t xml:space="preserve">Agreement of </w:t>
      </w:r>
      <w:r w:rsidR="00710402">
        <w:t>six-</w:t>
      </w:r>
      <w:r w:rsidRPr="002612F4">
        <w:t xml:space="preserve">month ‘no cost’ extension of </w:t>
      </w:r>
      <w:r w:rsidR="00710402">
        <w:t>Mott MacDonald’s</w:t>
      </w:r>
      <w:r w:rsidR="00710402" w:rsidRPr="002612F4">
        <w:t xml:space="preserve"> </w:t>
      </w:r>
      <w:r w:rsidRPr="002612F4">
        <w:t xml:space="preserve">contract to maximise achievement of original ambition whilst retaining </w:t>
      </w:r>
      <w:r w:rsidR="00710402">
        <w:t>VfM</w:t>
      </w:r>
      <w:r w:rsidR="00710402" w:rsidRPr="002612F4">
        <w:t xml:space="preserve"> </w:t>
      </w:r>
      <w:r w:rsidRPr="002612F4">
        <w:t>between fees and expenses</w:t>
      </w:r>
      <w:r w:rsidR="00710402">
        <w:t>,</w:t>
      </w:r>
      <w:r w:rsidRPr="002612F4">
        <w:t xml:space="preserve"> and grants</w:t>
      </w:r>
      <w:r w:rsidR="00710402">
        <w:t>.</w:t>
      </w:r>
    </w:p>
    <w:p w14:paraId="538C1610" w14:textId="3B9C446E" w:rsidR="00186611" w:rsidRDefault="00186611" w:rsidP="007F63EF">
      <w:pPr>
        <w:pStyle w:val="FFNormal"/>
      </w:pPr>
      <w:r w:rsidRPr="002612F4">
        <w:t xml:space="preserve">The evaluation has also inputted </w:t>
      </w:r>
      <w:r w:rsidR="00710402">
        <w:t>in</w:t>
      </w:r>
      <w:r w:rsidRPr="002612F4">
        <w:t>to discussions on other key thematic issues</w:t>
      </w:r>
      <w:r>
        <w:t>, including:</w:t>
      </w:r>
    </w:p>
    <w:p w14:paraId="4037406D" w14:textId="77777777" w:rsidR="00186611" w:rsidRDefault="00186611" w:rsidP="00C6374D">
      <w:pPr>
        <w:pStyle w:val="FFNormal"/>
        <w:numPr>
          <w:ilvl w:val="0"/>
          <w:numId w:val="114"/>
        </w:numPr>
      </w:pPr>
      <w:r>
        <w:t>VfM – supporting a sharper focus on management and measurement of VfM, e.g. through discussion around VfM deep dives, requesting financial data for key elements of the programme;</w:t>
      </w:r>
    </w:p>
    <w:p w14:paraId="22AF5C8F" w14:textId="77777777" w:rsidR="00186611" w:rsidRDefault="00186611" w:rsidP="00C6374D">
      <w:pPr>
        <w:pStyle w:val="FFNormal"/>
        <w:numPr>
          <w:ilvl w:val="0"/>
          <w:numId w:val="114"/>
        </w:numPr>
      </w:pPr>
      <w:r>
        <w:t>Sustainability – supporting work to strengthen sustainability approach to address key elements that are supported as ‘common practice’ from published literature;</w:t>
      </w:r>
    </w:p>
    <w:p w14:paraId="3C7E8DF3" w14:textId="341EFBD2" w:rsidR="00186611" w:rsidRDefault="00186611" w:rsidP="00C6374D">
      <w:pPr>
        <w:pStyle w:val="FFNormal"/>
        <w:numPr>
          <w:ilvl w:val="0"/>
          <w:numId w:val="114"/>
        </w:numPr>
      </w:pPr>
      <w:r>
        <w:t>Use – encouraging focus on audiences, purposes of sharing etc</w:t>
      </w:r>
      <w:r w:rsidR="00710402">
        <w:t>.</w:t>
      </w:r>
      <w:r>
        <w:t xml:space="preserve"> which contributed to a stronger focus on facility-level use as an important consideration that had originally been underemphasised in phase 1 design; </w:t>
      </w:r>
    </w:p>
    <w:p w14:paraId="0405DE4E" w14:textId="77777777" w:rsidR="00D27A19" w:rsidRDefault="00186611" w:rsidP="00C6374D">
      <w:pPr>
        <w:pStyle w:val="FFNormal"/>
        <w:numPr>
          <w:ilvl w:val="0"/>
          <w:numId w:val="114"/>
        </w:numPr>
      </w:pPr>
      <w:r>
        <w:t>Quality – as part of exploring EQ1</w:t>
      </w:r>
      <w:r w:rsidR="00710402">
        <w:t>,</w:t>
      </w:r>
      <w:r>
        <w:t xml:space="preserve"> reviewing how quality was being measured contributing to an increased focus on how work to strengthen quality </w:t>
      </w:r>
      <w:r w:rsidR="00710402">
        <w:t xml:space="preserve">was </w:t>
      </w:r>
      <w:r>
        <w:t>being articulated;</w:t>
      </w:r>
    </w:p>
    <w:p w14:paraId="58A0E298" w14:textId="078B3F3E" w:rsidR="007D1943" w:rsidRPr="00D27A19" w:rsidRDefault="00186611" w:rsidP="00C6374D">
      <w:pPr>
        <w:pStyle w:val="FFNormal"/>
        <w:numPr>
          <w:ilvl w:val="0"/>
          <w:numId w:val="114"/>
        </w:numPr>
      </w:pPr>
      <w:r>
        <w:t xml:space="preserve">Coordination – highlighting issues that (whilst already known by </w:t>
      </w:r>
      <w:r w:rsidR="00710402">
        <w:t xml:space="preserve">the </w:t>
      </w:r>
      <w:r>
        <w:t xml:space="preserve">MA) contributed to improvements in information sharing between country and regional grantees and Fleming Fellows, plus other stakeholders (varying on a </w:t>
      </w:r>
      <w:r w:rsidR="00710402">
        <w:t>country-by-country</w:t>
      </w:r>
      <w:r>
        <w:t xml:space="preserve"> basi</w:t>
      </w:r>
      <w:r w:rsidR="00AC167A">
        <w:t>s</w:t>
      </w:r>
      <w:r w:rsidR="00710402">
        <w:t>)</w:t>
      </w:r>
      <w:r w:rsidR="00AC167A">
        <w:t>.</w:t>
      </w:r>
    </w:p>
    <w:p w14:paraId="5693EBC9" w14:textId="77777777" w:rsidR="0081504E" w:rsidRDefault="0081504E" w:rsidP="008A5AB6">
      <w:pPr>
        <w:pStyle w:val="FFNormal"/>
        <w:rPr>
          <w:b/>
          <w:bCs/>
        </w:rPr>
      </w:pPr>
    </w:p>
    <w:p w14:paraId="2FA97C19" w14:textId="77777777" w:rsidR="008A5AB6" w:rsidRDefault="008A5AB6" w:rsidP="008A5AB6">
      <w:pPr>
        <w:pStyle w:val="FFNormal"/>
        <w:rPr>
          <w:b/>
          <w:bCs/>
        </w:rPr>
      </w:pPr>
    </w:p>
    <w:p w14:paraId="1033B0A4" w14:textId="71654554" w:rsidR="008A5AB6" w:rsidRDefault="008A5AB6">
      <w:pPr>
        <w:rPr>
          <w:rFonts w:eastAsia="Calibri" w:cs="Times New Roman"/>
          <w:b/>
          <w:bCs/>
        </w:rPr>
      </w:pPr>
      <w:r>
        <w:rPr>
          <w:b/>
          <w:bCs/>
        </w:rPr>
        <w:br w:type="page"/>
      </w:r>
    </w:p>
    <w:p w14:paraId="06BEBA4E" w14:textId="77777777" w:rsidR="00FB553C" w:rsidRDefault="00FB553C" w:rsidP="008A5AB6">
      <w:pPr>
        <w:pStyle w:val="ItadH1"/>
        <w:sectPr w:rsidR="00FB553C" w:rsidSect="00AC167A">
          <w:pgSz w:w="11900" w:h="16840"/>
          <w:pgMar w:top="1134" w:right="1191" w:bottom="1134" w:left="1191" w:header="720" w:footer="255" w:gutter="0"/>
          <w:cols w:space="720"/>
          <w:titlePg/>
          <w:docGrid w:linePitch="360"/>
        </w:sectPr>
      </w:pPr>
    </w:p>
    <w:p w14:paraId="0CE4817C" w14:textId="03D5BDEB" w:rsidR="008A5AB6" w:rsidRDefault="008A5AB6" w:rsidP="008A5AB6">
      <w:pPr>
        <w:pStyle w:val="ItadH1"/>
      </w:pPr>
      <w:bookmarkStart w:id="455" w:name="_Toc142383241"/>
      <w:r w:rsidRPr="0068654A">
        <w:t xml:space="preserve">Annex </w:t>
      </w:r>
      <w:r>
        <w:t>2</w:t>
      </w:r>
      <w:r w:rsidR="007C0307">
        <w:t>4</w:t>
      </w:r>
      <w:r w:rsidRPr="0068654A">
        <w:t xml:space="preserve">: </w:t>
      </w:r>
      <w:r>
        <w:t>Alignment and coherence of Fleming Fund interventions</w:t>
      </w:r>
      <w:bookmarkEnd w:id="455"/>
    </w:p>
    <w:tbl>
      <w:tblPr>
        <w:tblW w:w="14662"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57"/>
        <w:gridCol w:w="3316"/>
        <w:gridCol w:w="3452"/>
        <w:gridCol w:w="3172"/>
        <w:gridCol w:w="3465"/>
      </w:tblGrid>
      <w:tr w:rsidR="00651C0B" w:rsidRPr="005E2ED3" w14:paraId="55AF2CE8" w14:textId="77777777" w:rsidTr="00651C0B">
        <w:trPr>
          <w:trHeight w:val="411"/>
          <w:tblHeader/>
        </w:trPr>
        <w:tc>
          <w:tcPr>
            <w:tcW w:w="1257" w:type="dxa"/>
            <w:tcBorders>
              <w:top w:val="single" w:sz="6" w:space="0" w:color="auto"/>
              <w:left w:val="single" w:sz="6" w:space="0" w:color="auto"/>
              <w:bottom w:val="single" w:sz="6" w:space="0" w:color="auto"/>
              <w:right w:val="single" w:sz="6" w:space="0" w:color="auto"/>
            </w:tcBorders>
            <w:shd w:val="clear" w:color="auto" w:fill="A8D08D"/>
            <w:hideMark/>
          </w:tcPr>
          <w:p w14:paraId="4B79F3C8"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val="en-CA" w:eastAsia="en-GB"/>
              </w:rPr>
              <w:t>Country / criteria</w:t>
            </w:r>
            <w:r w:rsidRPr="005E2ED3">
              <w:rPr>
                <w:rFonts w:eastAsia="Times New Roman" w:cs="Calibri"/>
                <w:sz w:val="20"/>
                <w:szCs w:val="20"/>
                <w:lang w:eastAsia="en-GB"/>
              </w:rPr>
              <w:t> </w:t>
            </w:r>
          </w:p>
        </w:tc>
        <w:tc>
          <w:tcPr>
            <w:tcW w:w="3316" w:type="dxa"/>
            <w:tcBorders>
              <w:top w:val="single" w:sz="6" w:space="0" w:color="auto"/>
              <w:left w:val="single" w:sz="6" w:space="0" w:color="auto"/>
              <w:bottom w:val="single" w:sz="6" w:space="0" w:color="auto"/>
              <w:right w:val="single" w:sz="6" w:space="0" w:color="auto"/>
            </w:tcBorders>
            <w:shd w:val="clear" w:color="auto" w:fill="A8D08D"/>
            <w:hideMark/>
          </w:tcPr>
          <w:p w14:paraId="208A2736" w14:textId="6A36F7E1" w:rsidR="00651C0B" w:rsidRPr="005E2ED3" w:rsidRDefault="00556EF0" w:rsidP="00BD1EB9">
            <w:pPr>
              <w:textAlignment w:val="baseline"/>
              <w:rPr>
                <w:rFonts w:ascii="Segoe UI" w:eastAsia="Times New Roman" w:hAnsi="Segoe UI" w:cs="Segoe UI"/>
                <w:sz w:val="18"/>
                <w:szCs w:val="18"/>
                <w:lang w:eastAsia="en-GB"/>
              </w:rPr>
            </w:pPr>
            <w:r>
              <w:rPr>
                <w:rFonts w:eastAsia="Times New Roman" w:cs="Calibri"/>
                <w:sz w:val="20"/>
                <w:szCs w:val="20"/>
                <w:lang w:val="en-CA" w:eastAsia="en-GB"/>
              </w:rPr>
              <w:t>Fleming Fund</w:t>
            </w:r>
            <w:r w:rsidR="00651C0B" w:rsidRPr="005E2ED3">
              <w:rPr>
                <w:rFonts w:eastAsia="Times New Roman" w:cs="Calibri"/>
                <w:sz w:val="20"/>
                <w:szCs w:val="20"/>
                <w:lang w:val="en-CA" w:eastAsia="en-GB"/>
              </w:rPr>
              <w:t xml:space="preserve"> investments aligned with the NAP and other government policies/plans</w:t>
            </w:r>
            <w:r w:rsidR="00651C0B" w:rsidRPr="005E2ED3">
              <w:rPr>
                <w:rFonts w:eastAsia="Times New Roman" w:cs="Calibri"/>
                <w:sz w:val="20"/>
                <w:szCs w:val="20"/>
                <w:lang w:eastAsia="en-GB"/>
              </w:rPr>
              <w:t>  </w:t>
            </w:r>
          </w:p>
        </w:tc>
        <w:tc>
          <w:tcPr>
            <w:tcW w:w="3452" w:type="dxa"/>
            <w:tcBorders>
              <w:top w:val="single" w:sz="6" w:space="0" w:color="auto"/>
              <w:left w:val="single" w:sz="6" w:space="0" w:color="auto"/>
              <w:bottom w:val="single" w:sz="6" w:space="0" w:color="auto"/>
              <w:right w:val="single" w:sz="6" w:space="0" w:color="auto"/>
            </w:tcBorders>
            <w:shd w:val="clear" w:color="auto" w:fill="A8D08D"/>
            <w:hideMark/>
          </w:tcPr>
          <w:p w14:paraId="6F0EF724"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val="en-CA" w:eastAsia="en-GB"/>
              </w:rPr>
              <w:t>MA portfolio and Global Projects well coordinated and internally coherent </w:t>
            </w:r>
            <w:r w:rsidRPr="005E2ED3">
              <w:rPr>
                <w:rFonts w:eastAsia="Times New Roman" w:cs="Calibri"/>
                <w:color w:val="000000"/>
                <w:sz w:val="20"/>
                <w:szCs w:val="20"/>
                <w:lang w:eastAsia="en-GB"/>
              </w:rPr>
              <w:t>  </w:t>
            </w:r>
          </w:p>
        </w:tc>
        <w:tc>
          <w:tcPr>
            <w:tcW w:w="3172" w:type="dxa"/>
            <w:tcBorders>
              <w:top w:val="single" w:sz="6" w:space="0" w:color="auto"/>
              <w:left w:val="single" w:sz="6" w:space="0" w:color="auto"/>
              <w:bottom w:val="single" w:sz="6" w:space="0" w:color="auto"/>
              <w:right w:val="single" w:sz="6" w:space="0" w:color="auto"/>
            </w:tcBorders>
            <w:shd w:val="clear" w:color="auto" w:fill="A8D08D"/>
            <w:hideMark/>
          </w:tcPr>
          <w:p w14:paraId="2C2C0695" w14:textId="14B8AAF1" w:rsidR="00651C0B" w:rsidRPr="005E2ED3" w:rsidRDefault="00556EF0" w:rsidP="00BD1EB9">
            <w:pPr>
              <w:textAlignment w:val="baseline"/>
              <w:rPr>
                <w:rFonts w:ascii="Segoe UI" w:eastAsia="Times New Roman" w:hAnsi="Segoe UI" w:cs="Segoe UI"/>
                <w:sz w:val="18"/>
                <w:szCs w:val="18"/>
                <w:lang w:eastAsia="en-GB"/>
              </w:rPr>
            </w:pPr>
            <w:r>
              <w:rPr>
                <w:rFonts w:eastAsia="Times New Roman" w:cs="Calibri"/>
                <w:color w:val="000000"/>
                <w:sz w:val="20"/>
                <w:szCs w:val="20"/>
                <w:lang w:val="en-CA" w:eastAsia="en-GB"/>
              </w:rPr>
              <w:t>Fleming Fund</w:t>
            </w:r>
            <w:r w:rsidR="00651C0B" w:rsidRPr="005E2ED3">
              <w:rPr>
                <w:rFonts w:eastAsia="Times New Roman" w:cs="Calibri"/>
                <w:color w:val="000000"/>
                <w:sz w:val="20"/>
                <w:szCs w:val="20"/>
                <w:lang w:val="en-CA" w:eastAsia="en-GB"/>
              </w:rPr>
              <w:t xml:space="preserve"> investments aligned with interventions funded by other DPs</w:t>
            </w:r>
            <w:r w:rsidR="00651C0B" w:rsidRPr="005E2ED3">
              <w:rPr>
                <w:rFonts w:eastAsia="Times New Roman" w:cs="Calibri"/>
                <w:color w:val="000000"/>
                <w:sz w:val="20"/>
                <w:szCs w:val="20"/>
                <w:lang w:eastAsia="en-GB"/>
              </w:rPr>
              <w:t>  </w:t>
            </w:r>
          </w:p>
        </w:tc>
        <w:tc>
          <w:tcPr>
            <w:tcW w:w="3465" w:type="dxa"/>
            <w:tcBorders>
              <w:top w:val="single" w:sz="6" w:space="0" w:color="auto"/>
              <w:left w:val="single" w:sz="6" w:space="0" w:color="auto"/>
              <w:bottom w:val="single" w:sz="6" w:space="0" w:color="auto"/>
              <w:right w:val="single" w:sz="6" w:space="0" w:color="auto"/>
            </w:tcBorders>
            <w:shd w:val="clear" w:color="auto" w:fill="A8D08D"/>
            <w:hideMark/>
          </w:tcPr>
          <w:p w14:paraId="30054830" w14:textId="6D0C4D9B" w:rsidR="00651C0B" w:rsidRPr="005E2ED3" w:rsidRDefault="00D27A19" w:rsidP="00BD1EB9">
            <w:pPr>
              <w:textAlignment w:val="baseline"/>
              <w:rPr>
                <w:rFonts w:ascii="Segoe UI" w:eastAsia="Times New Roman" w:hAnsi="Segoe UI" w:cs="Segoe UI"/>
                <w:sz w:val="18"/>
                <w:szCs w:val="18"/>
                <w:lang w:eastAsia="en-GB"/>
              </w:rPr>
            </w:pPr>
            <w:r>
              <w:rPr>
                <w:rFonts w:eastAsia="Times New Roman" w:cs="Calibri"/>
                <w:color w:val="000000"/>
                <w:sz w:val="20"/>
                <w:szCs w:val="20"/>
                <w:lang w:val="en-CA" w:eastAsia="en-GB"/>
              </w:rPr>
              <w:t>Overall Summative Judgement on Coherence</w:t>
            </w:r>
          </w:p>
        </w:tc>
      </w:tr>
      <w:tr w:rsidR="00651C0B" w:rsidRPr="005E2ED3" w14:paraId="78133363" w14:textId="77777777" w:rsidTr="00651C0B">
        <w:trPr>
          <w:trHeight w:val="705"/>
        </w:trPr>
        <w:tc>
          <w:tcPr>
            <w:tcW w:w="1257" w:type="dxa"/>
            <w:tcBorders>
              <w:top w:val="nil"/>
              <w:left w:val="single" w:sz="6" w:space="0" w:color="auto"/>
              <w:bottom w:val="single" w:sz="6" w:space="0" w:color="auto"/>
              <w:right w:val="single" w:sz="6" w:space="0" w:color="auto"/>
            </w:tcBorders>
            <w:shd w:val="clear" w:color="auto" w:fill="auto"/>
            <w:hideMark/>
          </w:tcPr>
          <w:p w14:paraId="3C5AA775"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563C1"/>
                <w:sz w:val="20"/>
                <w:szCs w:val="20"/>
                <w:u w:val="single"/>
                <w:lang w:eastAsia="en-GB"/>
              </w:rPr>
              <w:t>Bangladesh</w:t>
            </w:r>
            <w:r w:rsidRPr="005E2ED3">
              <w:rPr>
                <w:rFonts w:eastAsia="Times New Roman" w:cs="Calibri"/>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00B050"/>
            <w:hideMark/>
          </w:tcPr>
          <w:p w14:paraId="12F73A60" w14:textId="228FC6A2" w:rsidR="00651C0B" w:rsidRPr="005E2ED3" w:rsidRDefault="00651C0B" w:rsidP="00D978E2">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All </w:t>
            </w:r>
            <w:r>
              <w:rPr>
                <w:rFonts w:eastAsia="Times New Roman" w:cs="Calibri"/>
                <w:color w:val="000000"/>
                <w:sz w:val="20"/>
                <w:szCs w:val="20"/>
                <w:lang w:eastAsia="en-GB"/>
              </w:rPr>
              <w:t xml:space="preserve">Fleming </w:t>
            </w:r>
            <w:r w:rsidRPr="005E2ED3">
              <w:rPr>
                <w:rFonts w:eastAsia="Times New Roman" w:cs="Calibri"/>
                <w:color w:val="000000"/>
                <w:sz w:val="20"/>
                <w:szCs w:val="20"/>
                <w:lang w:eastAsia="en-GB"/>
              </w:rPr>
              <w:t>F</w:t>
            </w:r>
            <w:r>
              <w:rPr>
                <w:rFonts w:eastAsia="Times New Roman" w:cs="Calibri"/>
                <w:color w:val="000000"/>
                <w:sz w:val="20"/>
                <w:szCs w:val="20"/>
                <w:lang w:eastAsia="en-GB"/>
              </w:rPr>
              <w:t>ellow</w:t>
            </w:r>
            <w:r w:rsidRPr="005E2ED3">
              <w:rPr>
                <w:rFonts w:eastAsia="Times New Roman" w:cs="Calibri"/>
                <w:color w:val="000000"/>
                <w:sz w:val="20"/>
                <w:szCs w:val="20"/>
                <w:lang w:eastAsia="en-GB"/>
              </w:rPr>
              <w:t xml:space="preserve">s are government officials </w:t>
            </w:r>
            <w:r w:rsidR="00D27A19">
              <w:rPr>
                <w:rFonts w:eastAsia="Times New Roman" w:cs="Calibri"/>
                <w:color w:val="000000"/>
                <w:sz w:val="20"/>
                <w:szCs w:val="20"/>
                <w:lang w:eastAsia="en-GB"/>
              </w:rPr>
              <w:t>holding</w:t>
            </w:r>
            <w:r w:rsidRPr="005E2ED3">
              <w:rPr>
                <w:rFonts w:eastAsia="Times New Roman" w:cs="Calibri"/>
                <w:color w:val="000000"/>
                <w:sz w:val="20"/>
                <w:szCs w:val="20"/>
                <w:lang w:eastAsia="en-GB"/>
              </w:rPr>
              <w:t xml:space="preserve"> major positions and working on NAP priorities</w:t>
            </w:r>
            <w:r w:rsidR="00556EF0">
              <w:rPr>
                <w:rFonts w:eastAsia="Times New Roman" w:cs="Calibri"/>
                <w:color w:val="000000"/>
                <w:sz w:val="20"/>
                <w:szCs w:val="20"/>
                <w:lang w:eastAsia="en-GB"/>
              </w:rPr>
              <w:t xml:space="preserve"> with c</w:t>
            </w:r>
            <w:r w:rsidRPr="005E2ED3">
              <w:rPr>
                <w:rFonts w:eastAsia="Times New Roman" w:cs="Calibri"/>
                <w:color w:val="000000"/>
                <w:sz w:val="20"/>
                <w:szCs w:val="20"/>
                <w:lang w:eastAsia="en-GB"/>
              </w:rPr>
              <w:t xml:space="preserve">lose collaboration between </w:t>
            </w:r>
            <w:r w:rsidR="004B3DFF">
              <w:rPr>
                <w:rFonts w:eastAsia="Times New Roman" w:cs="Calibri"/>
                <w:color w:val="000000"/>
                <w:sz w:val="20"/>
                <w:szCs w:val="20"/>
                <w:lang w:eastAsia="en-GB"/>
              </w:rPr>
              <w:t xml:space="preserve">the </w:t>
            </w:r>
            <w:r w:rsidRPr="005E2ED3">
              <w:rPr>
                <w:rFonts w:eastAsia="Times New Roman" w:cs="Calibri"/>
                <w:color w:val="000000"/>
                <w:sz w:val="20"/>
                <w:szCs w:val="20"/>
                <w:lang w:eastAsia="en-GB"/>
              </w:rPr>
              <w:t>F</w:t>
            </w:r>
            <w:r w:rsidR="00556EF0">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556EF0">
              <w:rPr>
                <w:rFonts w:eastAsia="Times New Roman" w:cs="Calibri"/>
                <w:color w:val="000000"/>
                <w:sz w:val="20"/>
                <w:szCs w:val="20"/>
                <w:lang w:eastAsia="en-GB"/>
              </w:rPr>
              <w:t>und</w:t>
            </w:r>
            <w:r w:rsidRPr="005E2ED3">
              <w:rPr>
                <w:rFonts w:eastAsia="Times New Roman" w:cs="Calibri"/>
                <w:color w:val="000000"/>
                <w:sz w:val="20"/>
                <w:szCs w:val="20"/>
                <w:lang w:eastAsia="en-GB"/>
              </w:rPr>
              <w:t>, the government and the NRLs to align</w:t>
            </w:r>
            <w:r w:rsidR="00FB673F">
              <w:rPr>
                <w:rFonts w:eastAsia="Times New Roman" w:cs="Calibri"/>
                <w:color w:val="000000"/>
                <w:sz w:val="20"/>
                <w:szCs w:val="20"/>
                <w:lang w:eastAsia="en-GB"/>
              </w:rPr>
              <w:t xml:space="preserve"> to</w:t>
            </w:r>
            <w:r w:rsidRPr="005E2ED3">
              <w:rPr>
                <w:rFonts w:eastAsia="Times New Roman" w:cs="Calibri"/>
                <w:color w:val="000000"/>
                <w:sz w:val="20"/>
                <w:szCs w:val="20"/>
                <w:lang w:eastAsia="en-GB"/>
              </w:rPr>
              <w:t xml:space="preserve"> </w:t>
            </w:r>
            <w:r w:rsidR="004B3DFF">
              <w:rPr>
                <w:rFonts w:eastAsia="Times New Roman" w:cs="Calibri"/>
                <w:color w:val="000000"/>
                <w:sz w:val="20"/>
                <w:szCs w:val="20"/>
                <w:lang w:eastAsia="en-GB"/>
              </w:rPr>
              <w:t>government</w:t>
            </w:r>
            <w:r w:rsidRPr="005E2ED3">
              <w:rPr>
                <w:rFonts w:eastAsia="Times New Roman" w:cs="Calibri"/>
                <w:color w:val="000000"/>
                <w:sz w:val="20"/>
                <w:szCs w:val="20"/>
                <w:lang w:eastAsia="en-GB"/>
              </w:rPr>
              <w:t xml:space="preserve"> activities.  </w:t>
            </w:r>
          </w:p>
        </w:tc>
        <w:tc>
          <w:tcPr>
            <w:tcW w:w="3452" w:type="dxa"/>
            <w:tcBorders>
              <w:top w:val="nil"/>
              <w:left w:val="single" w:sz="6" w:space="0" w:color="auto"/>
              <w:bottom w:val="single" w:sz="6" w:space="0" w:color="auto"/>
              <w:right w:val="single" w:sz="6" w:space="0" w:color="auto"/>
            </w:tcBorders>
            <w:shd w:val="clear" w:color="auto" w:fill="FFC000"/>
            <w:hideMark/>
          </w:tcPr>
          <w:p w14:paraId="31873A8F" w14:textId="0FD44AB1" w:rsidR="00651C0B" w:rsidRPr="005E2ED3" w:rsidRDefault="00651C0B"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eastAsia="en-GB"/>
              </w:rPr>
              <w:t>C</w:t>
            </w:r>
            <w:r w:rsidRPr="005E2ED3">
              <w:rPr>
                <w:rFonts w:eastAsia="Times New Roman" w:cs="Calibri"/>
                <w:color w:val="000000"/>
                <w:sz w:val="20"/>
                <w:szCs w:val="20"/>
                <w:lang w:eastAsia="en-GB"/>
              </w:rPr>
              <w:t xml:space="preserve">oordination with RGs was more robust as compared with </w:t>
            </w:r>
            <w:r w:rsidR="00D978E2">
              <w:rPr>
                <w:rFonts w:eastAsia="Times New Roman" w:cs="Calibri"/>
                <w:color w:val="000000"/>
                <w:sz w:val="20"/>
                <w:szCs w:val="20"/>
                <w:lang w:eastAsia="en-GB"/>
              </w:rPr>
              <w:t xml:space="preserve">Fleming </w:t>
            </w:r>
            <w:r w:rsidRPr="005E2ED3">
              <w:rPr>
                <w:rFonts w:eastAsia="Times New Roman" w:cs="Calibri"/>
                <w:color w:val="000000"/>
                <w:sz w:val="20"/>
                <w:szCs w:val="20"/>
                <w:lang w:eastAsia="en-GB"/>
              </w:rPr>
              <w:t>Fellows. Many F</w:t>
            </w:r>
            <w:r w:rsidR="00D978E2">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D978E2">
              <w:rPr>
                <w:rFonts w:eastAsia="Times New Roman" w:cs="Calibri"/>
                <w:color w:val="000000"/>
                <w:sz w:val="20"/>
                <w:szCs w:val="20"/>
                <w:lang w:eastAsia="en-GB"/>
              </w:rPr>
              <w:t>ellow</w:t>
            </w:r>
            <w:r w:rsidRPr="005E2ED3">
              <w:rPr>
                <w:rFonts w:eastAsia="Times New Roman" w:cs="Calibri"/>
                <w:color w:val="000000"/>
                <w:sz w:val="20"/>
                <w:szCs w:val="20"/>
                <w:lang w:eastAsia="en-GB"/>
              </w:rPr>
              <w:t xml:space="preserve">s have not contributed to the Country Coordination </w:t>
            </w:r>
            <w:r>
              <w:rPr>
                <w:rFonts w:eastAsia="Times New Roman" w:cs="Calibri"/>
                <w:color w:val="000000"/>
                <w:sz w:val="20"/>
                <w:szCs w:val="20"/>
                <w:lang w:eastAsia="en-GB"/>
              </w:rPr>
              <w:t>Meeting (CCM)</w:t>
            </w:r>
            <w:r w:rsidRPr="005E2ED3">
              <w:rPr>
                <w:rFonts w:eastAsia="Times New Roman" w:cs="Calibri"/>
                <w:color w:val="000000"/>
                <w:sz w:val="20"/>
                <w:szCs w:val="20"/>
                <w:lang w:eastAsia="en-GB"/>
              </w:rPr>
              <w:t xml:space="preserve"> and communication started in the late stages, especially</w:t>
            </w:r>
            <w:r w:rsidR="00D978E2">
              <w:rPr>
                <w:rFonts w:eastAsia="Times New Roman" w:cs="Calibri"/>
                <w:color w:val="000000"/>
                <w:sz w:val="20"/>
                <w:szCs w:val="20"/>
                <w:lang w:eastAsia="en-GB"/>
              </w:rPr>
              <w:t xml:space="preserve"> for</w:t>
            </w:r>
            <w:r w:rsidRPr="005E2ED3">
              <w:rPr>
                <w:rFonts w:eastAsia="Times New Roman" w:cs="Calibri"/>
                <w:color w:val="000000"/>
                <w:sz w:val="20"/>
                <w:szCs w:val="20"/>
                <w:lang w:eastAsia="en-GB"/>
              </w:rPr>
              <w:t xml:space="preserve"> policy fellows</w:t>
            </w:r>
            <w:r>
              <w:rPr>
                <w:rFonts w:eastAsia="Times New Roman" w:cs="Calibri"/>
                <w:color w:val="000000"/>
                <w:sz w:val="20"/>
                <w:szCs w:val="20"/>
                <w:lang w:eastAsia="en-GB"/>
              </w:rPr>
              <w:t xml:space="preserve">. </w:t>
            </w:r>
            <w:r w:rsidR="00D978E2">
              <w:rPr>
                <w:rFonts w:eastAsia="Times New Roman" w:cs="Calibri"/>
                <w:color w:val="000000"/>
                <w:sz w:val="20"/>
                <w:szCs w:val="20"/>
                <w:lang w:eastAsia="en-GB"/>
              </w:rPr>
              <w:t xml:space="preserve">The </w:t>
            </w:r>
            <w:r>
              <w:rPr>
                <w:rFonts w:eastAsia="Times New Roman" w:cs="Calibri"/>
                <w:color w:val="000000"/>
                <w:sz w:val="20"/>
                <w:szCs w:val="20"/>
                <w:lang w:eastAsia="en-GB"/>
              </w:rPr>
              <w:t>Country Grantee (</w:t>
            </w:r>
            <w:r w:rsidRPr="005E2ED3">
              <w:rPr>
                <w:rFonts w:eastAsia="Times New Roman" w:cs="Calibri"/>
                <w:color w:val="000000"/>
                <w:sz w:val="20"/>
                <w:szCs w:val="20"/>
                <w:lang w:eastAsia="en-GB"/>
              </w:rPr>
              <w:t>CG</w:t>
            </w:r>
            <w:r>
              <w:rPr>
                <w:rFonts w:eastAsia="Times New Roman" w:cs="Calibri"/>
                <w:color w:val="000000"/>
                <w:sz w:val="20"/>
                <w:szCs w:val="20"/>
                <w:lang w:eastAsia="en-GB"/>
              </w:rPr>
              <w:t>)</w:t>
            </w:r>
            <w:r w:rsidRPr="005E2ED3">
              <w:rPr>
                <w:rFonts w:eastAsia="Times New Roman" w:cs="Calibri"/>
                <w:color w:val="000000"/>
                <w:sz w:val="20"/>
                <w:szCs w:val="20"/>
                <w:lang w:eastAsia="en-GB"/>
              </w:rPr>
              <w:t xml:space="preserve"> promoted coordination and collaboration with the RGs and F</w:t>
            </w:r>
            <w:r w:rsidR="00D978E2">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D978E2">
              <w:rPr>
                <w:rFonts w:eastAsia="Times New Roman" w:cs="Calibri"/>
                <w:color w:val="000000"/>
                <w:sz w:val="20"/>
                <w:szCs w:val="20"/>
                <w:lang w:eastAsia="en-GB"/>
              </w:rPr>
              <w:t>ellow</w:t>
            </w:r>
            <w:r w:rsidRPr="005E2ED3">
              <w:rPr>
                <w:rFonts w:eastAsia="Times New Roman" w:cs="Calibri"/>
                <w:color w:val="000000"/>
                <w:sz w:val="20"/>
                <w:szCs w:val="20"/>
                <w:lang w:eastAsia="en-GB"/>
              </w:rPr>
              <w:t xml:space="preserve">s through bilateral meetings. </w:t>
            </w:r>
            <w:r w:rsidR="00D978E2">
              <w:rPr>
                <w:rFonts w:eastAsia="Times New Roman" w:cs="Calibri"/>
                <w:color w:val="000000"/>
                <w:sz w:val="20"/>
                <w:szCs w:val="20"/>
                <w:lang w:eastAsia="en-GB"/>
              </w:rPr>
              <w:t>M</w:t>
            </w:r>
            <w:r w:rsidRPr="005E2ED3">
              <w:rPr>
                <w:rFonts w:eastAsia="Times New Roman" w:cs="Calibri"/>
                <w:color w:val="000000"/>
                <w:sz w:val="20"/>
                <w:szCs w:val="20"/>
                <w:lang w:eastAsia="en-GB"/>
              </w:rPr>
              <w:t>ore than 45 participants attend</w:t>
            </w:r>
            <w:r w:rsidR="00D978E2">
              <w:rPr>
                <w:rFonts w:eastAsia="Times New Roman" w:cs="Calibri"/>
                <w:color w:val="000000"/>
                <w:sz w:val="20"/>
                <w:szCs w:val="20"/>
                <w:lang w:eastAsia="en-GB"/>
              </w:rPr>
              <w:t>ed the CCM</w:t>
            </w:r>
            <w:r w:rsidRPr="005E2ED3">
              <w:rPr>
                <w:rFonts w:eastAsia="Times New Roman" w:cs="Calibri"/>
                <w:color w:val="000000"/>
                <w:sz w:val="20"/>
                <w:szCs w:val="20"/>
                <w:lang w:eastAsia="en-GB"/>
              </w:rPr>
              <w:t xml:space="preserve"> and share</w:t>
            </w:r>
            <w:r w:rsidR="00D978E2">
              <w:rPr>
                <w:rFonts w:eastAsia="Times New Roman" w:cs="Calibri"/>
                <w:color w:val="000000"/>
                <w:sz w:val="20"/>
                <w:szCs w:val="20"/>
                <w:lang w:eastAsia="en-GB"/>
              </w:rPr>
              <w:t>d</w:t>
            </w:r>
            <w:r w:rsidRPr="005E2ED3">
              <w:rPr>
                <w:rFonts w:eastAsia="Times New Roman" w:cs="Calibri"/>
                <w:color w:val="000000"/>
                <w:sz w:val="20"/>
                <w:szCs w:val="20"/>
                <w:lang w:eastAsia="en-GB"/>
              </w:rPr>
              <w:t xml:space="preserve"> their progress/updates. </w:t>
            </w:r>
          </w:p>
        </w:tc>
        <w:tc>
          <w:tcPr>
            <w:tcW w:w="3172" w:type="dxa"/>
            <w:tcBorders>
              <w:top w:val="nil"/>
              <w:left w:val="single" w:sz="6" w:space="0" w:color="auto"/>
              <w:bottom w:val="single" w:sz="6" w:space="0" w:color="auto"/>
              <w:right w:val="single" w:sz="6" w:space="0" w:color="auto"/>
            </w:tcBorders>
            <w:shd w:val="clear" w:color="auto" w:fill="FFC000"/>
            <w:hideMark/>
          </w:tcPr>
          <w:p w14:paraId="2BDE56F1" w14:textId="7C0F28E5"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eastAsia="en-GB"/>
              </w:rPr>
              <w:t xml:space="preserve">There are examples of good collaboration, such as working with the WHO on PPS, </w:t>
            </w:r>
            <w:r w:rsidR="003427B6">
              <w:rPr>
                <w:rFonts w:eastAsia="Times New Roman" w:cs="Calibri"/>
                <w:color w:val="000000"/>
                <w:sz w:val="20"/>
                <w:szCs w:val="20"/>
                <w:lang w:eastAsia="en-GB"/>
              </w:rPr>
              <w:t xml:space="preserve">A </w:t>
            </w:r>
            <w:r w:rsidRPr="005E2ED3">
              <w:rPr>
                <w:rFonts w:eastAsia="Times New Roman" w:cs="Calibri"/>
                <w:color w:val="000000"/>
                <w:sz w:val="20"/>
                <w:szCs w:val="20"/>
                <w:lang w:eastAsia="en-GB"/>
              </w:rPr>
              <w:t xml:space="preserve">combined scoping visit etc. </w:t>
            </w:r>
            <w:r w:rsidR="003427B6">
              <w:rPr>
                <w:rFonts w:eastAsia="Times New Roman" w:cs="Calibri"/>
                <w:color w:val="000000"/>
                <w:sz w:val="20"/>
                <w:szCs w:val="20"/>
                <w:lang w:eastAsia="en-GB"/>
              </w:rPr>
              <w:t>There were j</w:t>
            </w:r>
            <w:r w:rsidRPr="005E2ED3">
              <w:rPr>
                <w:rFonts w:eastAsia="Times New Roman" w:cs="Calibri"/>
                <w:color w:val="000000"/>
                <w:sz w:val="20"/>
                <w:szCs w:val="20"/>
                <w:lang w:eastAsia="en-GB"/>
              </w:rPr>
              <w:t xml:space="preserve">oint activities with the FAO and World </w:t>
            </w:r>
            <w:r>
              <w:rPr>
                <w:rFonts w:eastAsia="Times New Roman" w:cs="Calibri"/>
                <w:color w:val="000000"/>
                <w:sz w:val="20"/>
                <w:szCs w:val="20"/>
                <w:lang w:eastAsia="en-GB"/>
              </w:rPr>
              <w:t>B</w:t>
            </w:r>
            <w:r w:rsidRPr="005E2ED3">
              <w:rPr>
                <w:rFonts w:eastAsia="Times New Roman" w:cs="Calibri"/>
                <w:color w:val="000000"/>
                <w:sz w:val="20"/>
                <w:szCs w:val="20"/>
                <w:lang w:eastAsia="en-GB"/>
              </w:rPr>
              <w:t>ank.</w:t>
            </w:r>
            <w:r w:rsidR="003427B6">
              <w:rPr>
                <w:rFonts w:eastAsia="Times New Roman" w:cs="Calibri"/>
                <w:color w:val="000000"/>
                <w:sz w:val="20"/>
                <w:szCs w:val="20"/>
                <w:lang w:eastAsia="en-GB"/>
              </w:rPr>
              <w:t xml:space="preserve"> However,</w:t>
            </w:r>
            <w:r w:rsidRPr="005E2ED3">
              <w:rPr>
                <w:rFonts w:eastAsia="Times New Roman" w:cs="Calibri"/>
                <w:color w:val="000000"/>
                <w:sz w:val="20"/>
                <w:szCs w:val="20"/>
                <w:lang w:eastAsia="en-GB"/>
              </w:rPr>
              <w:t xml:space="preserve"> </w:t>
            </w:r>
            <w:r w:rsidR="003427B6">
              <w:rPr>
                <w:rFonts w:eastAsia="Times New Roman" w:cs="Calibri"/>
                <w:color w:val="000000"/>
                <w:sz w:val="20"/>
                <w:szCs w:val="20"/>
                <w:lang w:eastAsia="en-GB"/>
              </w:rPr>
              <w:t>t</w:t>
            </w:r>
            <w:r w:rsidRPr="005E2ED3">
              <w:rPr>
                <w:rFonts w:eastAsia="Times New Roman" w:cs="Calibri"/>
                <w:color w:val="000000"/>
                <w:sz w:val="20"/>
                <w:szCs w:val="20"/>
                <w:lang w:eastAsia="en-GB"/>
              </w:rPr>
              <w:t xml:space="preserve">here </w:t>
            </w:r>
            <w:r w:rsidR="007239CB">
              <w:rPr>
                <w:rFonts w:eastAsia="Times New Roman" w:cs="Calibri"/>
                <w:color w:val="000000"/>
                <w:sz w:val="20"/>
                <w:szCs w:val="20"/>
                <w:lang w:eastAsia="en-GB"/>
              </w:rPr>
              <w:t>was</w:t>
            </w:r>
            <w:r w:rsidR="007239CB" w:rsidRPr="005E2ED3">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no duplication.  </w:t>
            </w:r>
          </w:p>
          <w:p w14:paraId="0BBA30F9"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eastAsia="en-GB"/>
              </w:rPr>
              <w:t> </w:t>
            </w:r>
          </w:p>
          <w:p w14:paraId="00F576A2" w14:textId="6CA0C4F0"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But the </w:t>
            </w:r>
            <w:r>
              <w:rPr>
                <w:rFonts w:eastAsia="Times New Roman" w:cs="Calibri"/>
                <w:color w:val="000000"/>
                <w:sz w:val="20"/>
                <w:szCs w:val="20"/>
                <w:lang w:eastAsia="en-GB"/>
              </w:rPr>
              <w:t>DPs</w:t>
            </w:r>
            <w:r w:rsidRPr="005E2ED3">
              <w:rPr>
                <w:rFonts w:eastAsia="Times New Roman" w:cs="Calibri"/>
                <w:color w:val="000000"/>
                <w:sz w:val="20"/>
                <w:szCs w:val="20"/>
                <w:lang w:eastAsia="en-GB"/>
              </w:rPr>
              <w:t xml:space="preserve"> feel that partnerships and alignments </w:t>
            </w:r>
            <w:r w:rsidR="003427B6">
              <w:rPr>
                <w:rFonts w:eastAsia="Times New Roman" w:cs="Calibri"/>
                <w:color w:val="000000"/>
                <w:sz w:val="20"/>
                <w:szCs w:val="20"/>
                <w:lang w:eastAsia="en-GB"/>
              </w:rPr>
              <w:t>could</w:t>
            </w:r>
            <w:r w:rsidR="003427B6" w:rsidRPr="005E2ED3">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be improved in future</w:t>
            </w:r>
            <w:r>
              <w:rPr>
                <w:rFonts w:eastAsia="Times New Roman" w:cs="Calibri"/>
                <w:color w:val="000000"/>
                <w:sz w:val="20"/>
                <w:szCs w:val="20"/>
                <w:lang w:eastAsia="en-GB"/>
              </w:rPr>
              <w:t>.</w:t>
            </w:r>
            <w:r w:rsidRPr="005E2ED3">
              <w:rPr>
                <w:rFonts w:eastAsia="Times New Roman" w:cs="Calibri"/>
                <w:color w:val="000000"/>
                <w:sz w:val="20"/>
                <w:szCs w:val="20"/>
                <w:lang w:eastAsia="en-GB"/>
              </w:rPr>
              <w:t>    </w:t>
            </w:r>
          </w:p>
        </w:tc>
        <w:tc>
          <w:tcPr>
            <w:tcW w:w="3465" w:type="dxa"/>
            <w:tcBorders>
              <w:top w:val="nil"/>
              <w:left w:val="single" w:sz="6" w:space="0" w:color="auto"/>
              <w:bottom w:val="single" w:sz="6" w:space="0" w:color="auto"/>
              <w:right w:val="single" w:sz="6" w:space="0" w:color="auto"/>
            </w:tcBorders>
            <w:shd w:val="clear" w:color="auto" w:fill="FFC000"/>
            <w:hideMark/>
          </w:tcPr>
          <w:p w14:paraId="63D4E4D7" w14:textId="7D911C6E"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eastAsia="en-GB"/>
              </w:rPr>
              <w:t xml:space="preserve">Very </w:t>
            </w:r>
            <w:r w:rsidR="006E0000" w:rsidRPr="005E2ED3">
              <w:rPr>
                <w:rFonts w:eastAsia="Times New Roman" w:cs="Calibri"/>
                <w:color w:val="000000"/>
                <w:sz w:val="20"/>
                <w:szCs w:val="20"/>
                <w:lang w:eastAsia="en-GB"/>
              </w:rPr>
              <w:t>good</w:t>
            </w:r>
            <w:r w:rsidRPr="005E2ED3">
              <w:rPr>
                <w:rFonts w:eastAsia="Times New Roman" w:cs="Calibri"/>
                <w:color w:val="000000"/>
                <w:sz w:val="20"/>
                <w:szCs w:val="20"/>
                <w:lang w:eastAsia="en-GB"/>
              </w:rPr>
              <w:t xml:space="preserve"> coherence with NAP and government plans. </w:t>
            </w:r>
          </w:p>
          <w:p w14:paraId="795BEA97"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eastAsia="en-GB"/>
              </w:rPr>
              <w:t>Mechanisms for communication and working to develop synergies  with Fellowships could be improved. </w:t>
            </w:r>
          </w:p>
          <w:p w14:paraId="56438A08" w14:textId="6EB00CD1"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External coordination with DPs was good and </w:t>
            </w:r>
            <w:r w:rsidR="003427B6">
              <w:rPr>
                <w:rFonts w:eastAsia="Times New Roman" w:cs="Calibri"/>
                <w:color w:val="000000"/>
                <w:sz w:val="20"/>
                <w:szCs w:val="20"/>
                <w:lang w:eastAsia="en-GB"/>
              </w:rPr>
              <w:t xml:space="preserve">there was </w:t>
            </w:r>
            <w:r w:rsidRPr="005E2ED3">
              <w:rPr>
                <w:rFonts w:eastAsia="Times New Roman" w:cs="Calibri"/>
                <w:color w:val="000000"/>
                <w:sz w:val="20"/>
                <w:szCs w:val="20"/>
                <w:lang w:eastAsia="en-GB"/>
              </w:rPr>
              <w:t xml:space="preserve">no chance of duplication. DPs </w:t>
            </w:r>
            <w:r w:rsidR="003427B6">
              <w:rPr>
                <w:rFonts w:eastAsia="Times New Roman" w:cs="Calibri"/>
                <w:color w:val="000000"/>
                <w:sz w:val="20"/>
                <w:szCs w:val="20"/>
                <w:lang w:eastAsia="en-GB"/>
              </w:rPr>
              <w:t>expect</w:t>
            </w:r>
            <w:r w:rsidRPr="005E2ED3">
              <w:rPr>
                <w:rFonts w:eastAsia="Times New Roman" w:cs="Calibri"/>
                <w:color w:val="000000"/>
                <w:sz w:val="20"/>
                <w:szCs w:val="20"/>
                <w:lang w:eastAsia="en-GB"/>
              </w:rPr>
              <w:t xml:space="preserve"> more alignment in </w:t>
            </w:r>
            <w:r w:rsidR="003427B6">
              <w:rPr>
                <w:rFonts w:eastAsia="Times New Roman" w:cs="Calibri"/>
                <w:color w:val="000000"/>
                <w:sz w:val="20"/>
                <w:szCs w:val="20"/>
                <w:lang w:eastAsia="en-GB"/>
              </w:rPr>
              <w:t xml:space="preserve">the </w:t>
            </w:r>
            <w:r w:rsidRPr="005E2ED3">
              <w:rPr>
                <w:rFonts w:eastAsia="Times New Roman" w:cs="Calibri"/>
                <w:color w:val="000000"/>
                <w:sz w:val="20"/>
                <w:szCs w:val="20"/>
                <w:lang w:eastAsia="en-GB"/>
              </w:rPr>
              <w:t>future and feel consultation should be done at a higher level and in the design phase</w:t>
            </w:r>
            <w:r>
              <w:rPr>
                <w:rFonts w:eastAsia="Times New Roman" w:cs="Calibri"/>
                <w:color w:val="000000"/>
                <w:sz w:val="20"/>
                <w:szCs w:val="20"/>
                <w:lang w:eastAsia="en-GB"/>
              </w:rPr>
              <w:t>.</w:t>
            </w:r>
            <w:r w:rsidRPr="005E2ED3">
              <w:rPr>
                <w:rFonts w:eastAsia="Times New Roman" w:cs="Calibri"/>
                <w:color w:val="000000"/>
                <w:sz w:val="20"/>
                <w:szCs w:val="20"/>
                <w:lang w:eastAsia="en-GB"/>
              </w:rPr>
              <w:t xml:space="preserve"> </w:t>
            </w:r>
          </w:p>
        </w:tc>
      </w:tr>
      <w:tr w:rsidR="00651C0B" w:rsidRPr="005E2ED3" w14:paraId="6CBF4A36" w14:textId="77777777" w:rsidTr="00651C0B">
        <w:trPr>
          <w:trHeight w:val="705"/>
        </w:trPr>
        <w:tc>
          <w:tcPr>
            <w:tcW w:w="1257" w:type="dxa"/>
            <w:tcBorders>
              <w:top w:val="nil"/>
              <w:left w:val="single" w:sz="6" w:space="0" w:color="auto"/>
              <w:bottom w:val="single" w:sz="6" w:space="0" w:color="auto"/>
              <w:right w:val="single" w:sz="6" w:space="0" w:color="auto"/>
            </w:tcBorders>
            <w:shd w:val="clear" w:color="auto" w:fill="auto"/>
            <w:hideMark/>
          </w:tcPr>
          <w:p w14:paraId="13A75F0B"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563C1"/>
                <w:sz w:val="20"/>
                <w:szCs w:val="20"/>
                <w:u w:val="single"/>
                <w:lang w:val="en-CA" w:eastAsia="en-GB"/>
              </w:rPr>
              <w:t>Bhutan</w:t>
            </w:r>
            <w:r w:rsidRPr="005E2ED3">
              <w:rPr>
                <w:rFonts w:eastAsia="Times New Roman" w:cs="Calibri"/>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00B050"/>
            <w:hideMark/>
          </w:tcPr>
          <w:p w14:paraId="16F5E910" w14:textId="2D828038"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val="en-CA" w:eastAsia="en-GB"/>
              </w:rPr>
              <w:t xml:space="preserve">Strong alignment with government: strong AMR governance structure and clear government planning procedures to prevent duplication. </w:t>
            </w:r>
            <w:r w:rsidR="003427B6">
              <w:rPr>
                <w:rFonts w:eastAsia="Times New Roman" w:cs="Calibri"/>
                <w:color w:val="000000"/>
                <w:sz w:val="20"/>
                <w:szCs w:val="20"/>
                <w:lang w:val="en-CA" w:eastAsia="en-GB"/>
              </w:rPr>
              <w:t xml:space="preserve">The </w:t>
            </w:r>
            <w:r w:rsidRPr="005E2ED3">
              <w:rPr>
                <w:rFonts w:eastAsia="Times New Roman" w:cs="Calibri"/>
                <w:color w:val="000000"/>
                <w:sz w:val="20"/>
                <w:szCs w:val="20"/>
                <w:lang w:val="en-CA" w:eastAsia="en-GB"/>
              </w:rPr>
              <w:t>F</w:t>
            </w:r>
            <w:r w:rsidR="003427B6">
              <w:rPr>
                <w:rFonts w:eastAsia="Times New Roman" w:cs="Calibri"/>
                <w:color w:val="000000"/>
                <w:sz w:val="20"/>
                <w:szCs w:val="20"/>
                <w:lang w:val="en-CA" w:eastAsia="en-GB"/>
              </w:rPr>
              <w:t xml:space="preserve">leming </w:t>
            </w:r>
            <w:r w:rsidRPr="005E2ED3">
              <w:rPr>
                <w:rFonts w:eastAsia="Times New Roman" w:cs="Calibri"/>
                <w:color w:val="000000"/>
                <w:sz w:val="20"/>
                <w:szCs w:val="20"/>
                <w:lang w:val="en-CA" w:eastAsia="en-GB"/>
              </w:rPr>
              <w:t>F</w:t>
            </w:r>
            <w:r w:rsidR="003427B6">
              <w:rPr>
                <w:rFonts w:eastAsia="Times New Roman" w:cs="Calibri"/>
                <w:color w:val="000000"/>
                <w:sz w:val="20"/>
                <w:szCs w:val="20"/>
                <w:lang w:val="en-CA" w:eastAsia="en-GB"/>
              </w:rPr>
              <w:t>und</w:t>
            </w:r>
            <w:r w:rsidRPr="005E2ED3">
              <w:rPr>
                <w:rFonts w:eastAsia="Times New Roman" w:cs="Calibri"/>
                <w:color w:val="000000"/>
                <w:sz w:val="20"/>
                <w:szCs w:val="20"/>
                <w:lang w:val="en-CA" w:eastAsia="en-GB"/>
              </w:rPr>
              <w:t xml:space="preserve"> contributes significantly to NAP activities. </w:t>
            </w:r>
            <w:r w:rsidR="003427B6">
              <w:rPr>
                <w:rFonts w:eastAsia="Times New Roman" w:cs="Calibri"/>
                <w:color w:val="000000"/>
                <w:sz w:val="20"/>
                <w:szCs w:val="20"/>
                <w:lang w:val="en-CA" w:eastAsia="en-GB"/>
              </w:rPr>
              <w:t>There is a c</w:t>
            </w:r>
            <w:r w:rsidRPr="005E2ED3">
              <w:rPr>
                <w:rFonts w:eastAsia="Times New Roman" w:cs="Calibri"/>
                <w:color w:val="000000"/>
                <w:sz w:val="20"/>
                <w:szCs w:val="20"/>
                <w:lang w:val="en-CA" w:eastAsia="en-GB"/>
              </w:rPr>
              <w:t xml:space="preserve">lose relationship between </w:t>
            </w:r>
            <w:r w:rsidR="003427B6">
              <w:rPr>
                <w:rFonts w:eastAsia="Times New Roman" w:cs="Calibri"/>
                <w:color w:val="000000"/>
                <w:sz w:val="20"/>
                <w:szCs w:val="20"/>
                <w:lang w:val="en-CA" w:eastAsia="en-GB"/>
              </w:rPr>
              <w:t>the Fleming Fund</w:t>
            </w:r>
            <w:r w:rsidRPr="005E2ED3">
              <w:rPr>
                <w:rFonts w:eastAsia="Times New Roman" w:cs="Calibri"/>
                <w:color w:val="000000"/>
                <w:sz w:val="20"/>
                <w:szCs w:val="20"/>
                <w:lang w:val="en-CA" w:eastAsia="en-GB"/>
              </w:rPr>
              <w:t>, RGOB and implementing departments</w:t>
            </w:r>
            <w:r w:rsidR="003427B6">
              <w:rPr>
                <w:rFonts w:eastAsia="Times New Roman" w:cs="Calibri"/>
                <w:color w:val="000000"/>
                <w:sz w:val="20"/>
                <w:szCs w:val="20"/>
                <w:lang w:val="en-CA" w:eastAsia="en-GB"/>
              </w:rPr>
              <w:t>. This is because</w:t>
            </w:r>
            <w:r w:rsidRPr="005E2ED3">
              <w:rPr>
                <w:rFonts w:eastAsia="Times New Roman" w:cs="Calibri"/>
                <w:color w:val="000000"/>
                <w:sz w:val="20"/>
                <w:szCs w:val="20"/>
                <w:lang w:val="en-CA" w:eastAsia="en-GB"/>
              </w:rPr>
              <w:t xml:space="preserve"> the RGOB </w:t>
            </w:r>
            <w:r w:rsidR="003427B6">
              <w:rPr>
                <w:rFonts w:eastAsia="Times New Roman" w:cs="Calibri"/>
                <w:color w:val="000000"/>
                <w:sz w:val="20"/>
                <w:szCs w:val="20"/>
                <w:lang w:val="en-CA" w:eastAsia="en-GB"/>
              </w:rPr>
              <w:t xml:space="preserve">is the </w:t>
            </w:r>
            <w:r w:rsidR="006E0000">
              <w:rPr>
                <w:rFonts w:eastAsia="Times New Roman" w:cs="Calibri"/>
                <w:color w:val="000000"/>
                <w:sz w:val="20"/>
                <w:szCs w:val="20"/>
                <w:lang w:val="en-CA" w:eastAsia="en-GB"/>
              </w:rPr>
              <w:t xml:space="preserve">CG and because there are </w:t>
            </w:r>
            <w:r w:rsidRPr="005E2ED3">
              <w:rPr>
                <w:rFonts w:eastAsia="Times New Roman" w:cs="Calibri"/>
                <w:color w:val="000000"/>
                <w:sz w:val="20"/>
                <w:szCs w:val="20"/>
                <w:lang w:val="en-CA" w:eastAsia="en-GB"/>
              </w:rPr>
              <w:t>close existing personal and professional relationships between those involved in CG implementation, Fellowships etc.</w:t>
            </w:r>
            <w:r w:rsidRPr="005E2ED3">
              <w:rPr>
                <w:rFonts w:eastAsia="Times New Roman" w:cs="Calibri"/>
                <w:color w:val="000000"/>
                <w:sz w:val="20"/>
                <w:szCs w:val="20"/>
                <w:lang w:eastAsia="en-GB"/>
              </w:rPr>
              <w:t> </w:t>
            </w:r>
          </w:p>
        </w:tc>
        <w:tc>
          <w:tcPr>
            <w:tcW w:w="3452" w:type="dxa"/>
            <w:tcBorders>
              <w:top w:val="nil"/>
              <w:left w:val="single" w:sz="6" w:space="0" w:color="auto"/>
              <w:bottom w:val="single" w:sz="6" w:space="0" w:color="auto"/>
              <w:right w:val="single" w:sz="6" w:space="0" w:color="auto"/>
            </w:tcBorders>
            <w:shd w:val="clear" w:color="auto" w:fill="00B050"/>
            <w:hideMark/>
          </w:tcPr>
          <w:p w14:paraId="72FAC9E6" w14:textId="451EF19D"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eastAsia="en-GB"/>
              </w:rPr>
              <w:t xml:space="preserve">Good coherence improved with stakeholders particularly between </w:t>
            </w:r>
            <w:r w:rsidR="003427B6">
              <w:rPr>
                <w:rFonts w:eastAsia="Times New Roman" w:cs="Calibri"/>
                <w:sz w:val="20"/>
                <w:szCs w:val="20"/>
                <w:lang w:eastAsia="en-GB"/>
              </w:rPr>
              <w:t xml:space="preserve">the </w:t>
            </w:r>
            <w:r w:rsidRPr="005E2ED3">
              <w:rPr>
                <w:rFonts w:eastAsia="Times New Roman" w:cs="Calibri"/>
                <w:sz w:val="20"/>
                <w:szCs w:val="20"/>
                <w:lang w:eastAsia="en-GB"/>
              </w:rPr>
              <w:t xml:space="preserve">CG </w:t>
            </w:r>
            <w:r w:rsidR="003427B6">
              <w:rPr>
                <w:rFonts w:eastAsia="Times New Roman" w:cs="Calibri"/>
                <w:sz w:val="20"/>
                <w:szCs w:val="20"/>
                <w:lang w:eastAsia="en-GB"/>
              </w:rPr>
              <w:t>and</w:t>
            </w:r>
            <w:r w:rsidRPr="005E2ED3">
              <w:rPr>
                <w:rFonts w:eastAsia="Times New Roman" w:cs="Calibri"/>
                <w:sz w:val="20"/>
                <w:szCs w:val="20"/>
                <w:lang w:eastAsia="en-GB"/>
              </w:rPr>
              <w:t xml:space="preserve"> Fellowships. </w:t>
            </w:r>
            <w:r w:rsidR="006E0000">
              <w:rPr>
                <w:rFonts w:eastAsia="Times New Roman" w:cs="Calibri"/>
                <w:sz w:val="20"/>
                <w:szCs w:val="20"/>
                <w:lang w:val="en-CA" w:eastAsia="en-GB"/>
              </w:rPr>
              <w:t>There was a</w:t>
            </w:r>
            <w:r w:rsidR="006E0000" w:rsidRPr="005E2ED3">
              <w:rPr>
                <w:rFonts w:eastAsia="Times New Roman" w:cs="Calibri"/>
                <w:sz w:val="20"/>
                <w:szCs w:val="20"/>
                <w:lang w:val="en-CA" w:eastAsia="en-GB"/>
              </w:rPr>
              <w:t xml:space="preserve"> </w:t>
            </w:r>
            <w:r w:rsidRPr="005E2ED3">
              <w:rPr>
                <w:rFonts w:eastAsia="Times New Roman" w:cs="Calibri"/>
                <w:sz w:val="20"/>
                <w:szCs w:val="20"/>
                <w:lang w:val="en-CA" w:eastAsia="en-GB"/>
              </w:rPr>
              <w:t xml:space="preserve">good relationship </w:t>
            </w:r>
            <w:r w:rsidR="006E0000">
              <w:rPr>
                <w:rFonts w:eastAsia="Times New Roman" w:cs="Calibri"/>
                <w:sz w:val="20"/>
                <w:szCs w:val="20"/>
                <w:lang w:val="en-CA" w:eastAsia="en-GB"/>
              </w:rPr>
              <w:t>between</w:t>
            </w:r>
            <w:r w:rsidR="006E0000" w:rsidRPr="005E2ED3">
              <w:rPr>
                <w:rFonts w:eastAsia="Times New Roman" w:cs="Calibri"/>
                <w:sz w:val="20"/>
                <w:szCs w:val="20"/>
                <w:lang w:val="en-CA" w:eastAsia="en-GB"/>
              </w:rPr>
              <w:t xml:space="preserve"> </w:t>
            </w:r>
            <w:r w:rsidR="003427B6">
              <w:rPr>
                <w:rFonts w:eastAsia="Times New Roman" w:cs="Calibri"/>
                <w:sz w:val="20"/>
                <w:szCs w:val="20"/>
                <w:lang w:val="en-CA" w:eastAsia="en-GB"/>
              </w:rPr>
              <w:t xml:space="preserve">the </w:t>
            </w:r>
            <w:r w:rsidRPr="005E2ED3">
              <w:rPr>
                <w:rFonts w:eastAsia="Times New Roman" w:cs="Calibri"/>
                <w:sz w:val="20"/>
                <w:szCs w:val="20"/>
                <w:lang w:eastAsia="en-GB"/>
              </w:rPr>
              <w:t xml:space="preserve">MA’s </w:t>
            </w:r>
            <w:r>
              <w:rPr>
                <w:rFonts w:eastAsia="Times New Roman" w:cs="Calibri"/>
                <w:sz w:val="20"/>
                <w:szCs w:val="20"/>
                <w:lang w:eastAsia="en-GB"/>
              </w:rPr>
              <w:t>Regional Coordinator (</w:t>
            </w:r>
            <w:r w:rsidRPr="005E2ED3">
              <w:rPr>
                <w:rFonts w:eastAsia="Times New Roman" w:cs="Calibri"/>
                <w:sz w:val="20"/>
                <w:szCs w:val="20"/>
                <w:lang w:eastAsia="en-GB"/>
              </w:rPr>
              <w:t>RC</w:t>
            </w:r>
            <w:r>
              <w:rPr>
                <w:rFonts w:eastAsia="Times New Roman" w:cs="Calibri"/>
                <w:sz w:val="20"/>
                <w:szCs w:val="20"/>
                <w:lang w:eastAsia="en-GB"/>
              </w:rPr>
              <w:t>)</w:t>
            </w:r>
            <w:r w:rsidRPr="005E2ED3">
              <w:rPr>
                <w:rFonts w:eastAsia="Times New Roman" w:cs="Calibri"/>
                <w:sz w:val="20"/>
                <w:szCs w:val="20"/>
                <w:lang w:eastAsia="en-GB"/>
              </w:rPr>
              <w:t xml:space="preserve"> </w:t>
            </w:r>
            <w:r w:rsidR="006E0000">
              <w:rPr>
                <w:rFonts w:eastAsia="Times New Roman" w:cs="Calibri"/>
                <w:sz w:val="20"/>
                <w:szCs w:val="20"/>
                <w:lang w:eastAsia="en-GB"/>
              </w:rPr>
              <w:t xml:space="preserve">the </w:t>
            </w:r>
            <w:r w:rsidRPr="005E2ED3">
              <w:rPr>
                <w:rFonts w:eastAsia="Times New Roman" w:cs="Calibri"/>
                <w:sz w:val="20"/>
                <w:szCs w:val="20"/>
                <w:lang w:eastAsia="en-GB"/>
              </w:rPr>
              <w:t>wider</w:t>
            </w:r>
            <w:r w:rsidRPr="005E2ED3">
              <w:rPr>
                <w:rFonts w:eastAsia="Times New Roman" w:cs="Calibri"/>
                <w:sz w:val="20"/>
                <w:szCs w:val="20"/>
                <w:lang w:val="en-CA" w:eastAsia="en-GB"/>
              </w:rPr>
              <w:t xml:space="preserve"> team and </w:t>
            </w:r>
            <w:r>
              <w:rPr>
                <w:rFonts w:eastAsia="Times New Roman" w:cs="Calibri"/>
                <w:sz w:val="20"/>
                <w:szCs w:val="20"/>
                <w:lang w:val="en-CA" w:eastAsia="en-GB"/>
              </w:rPr>
              <w:t>Host Institution (</w:t>
            </w:r>
            <w:r w:rsidRPr="005E2ED3">
              <w:rPr>
                <w:rFonts w:eastAsia="Times New Roman" w:cs="Calibri"/>
                <w:sz w:val="20"/>
                <w:szCs w:val="20"/>
                <w:lang w:val="en-CA" w:eastAsia="en-GB"/>
              </w:rPr>
              <w:t>HI</w:t>
            </w:r>
            <w:r>
              <w:rPr>
                <w:rFonts w:eastAsia="Times New Roman" w:cs="Calibri"/>
                <w:sz w:val="20"/>
                <w:szCs w:val="20"/>
                <w:lang w:val="en-CA" w:eastAsia="en-GB"/>
              </w:rPr>
              <w:t>)</w:t>
            </w:r>
            <w:r w:rsidRPr="005E2ED3">
              <w:rPr>
                <w:rFonts w:eastAsia="Times New Roman" w:cs="Calibri"/>
                <w:sz w:val="20"/>
                <w:szCs w:val="20"/>
                <w:lang w:val="en-CA" w:eastAsia="en-GB"/>
              </w:rPr>
              <w:t xml:space="preserve">, </w:t>
            </w:r>
            <w:r w:rsidR="006E0000">
              <w:rPr>
                <w:rFonts w:eastAsia="Times New Roman" w:cs="Calibri"/>
                <w:sz w:val="20"/>
                <w:szCs w:val="20"/>
                <w:lang w:val="en-CA" w:eastAsia="en-GB"/>
              </w:rPr>
              <w:t xml:space="preserve">and </w:t>
            </w:r>
            <w:r w:rsidRPr="005E2ED3">
              <w:rPr>
                <w:rFonts w:eastAsia="Times New Roman" w:cs="Calibri"/>
                <w:sz w:val="20"/>
                <w:szCs w:val="20"/>
                <w:lang w:val="en-CA" w:eastAsia="en-GB"/>
              </w:rPr>
              <w:t xml:space="preserve">strong AMR governance </w:t>
            </w:r>
            <w:r w:rsidR="006E0000">
              <w:rPr>
                <w:rFonts w:eastAsia="Times New Roman" w:cs="Calibri"/>
                <w:sz w:val="20"/>
                <w:szCs w:val="20"/>
                <w:lang w:val="en-CA" w:eastAsia="en-GB"/>
              </w:rPr>
              <w:t>has</w:t>
            </w:r>
            <w:r w:rsidR="006E0000" w:rsidRPr="005E2ED3">
              <w:rPr>
                <w:rFonts w:eastAsia="Times New Roman" w:cs="Calibri"/>
                <w:sz w:val="20"/>
                <w:szCs w:val="20"/>
                <w:lang w:val="en-CA" w:eastAsia="en-GB"/>
              </w:rPr>
              <w:t xml:space="preserve"> </w:t>
            </w:r>
            <w:r w:rsidRPr="005E2ED3">
              <w:rPr>
                <w:rFonts w:eastAsia="Times New Roman" w:cs="Calibri"/>
                <w:sz w:val="20"/>
                <w:szCs w:val="20"/>
                <w:lang w:val="en-CA" w:eastAsia="en-GB"/>
              </w:rPr>
              <w:t xml:space="preserve">been supported for improvement. </w:t>
            </w:r>
            <w:r w:rsidR="006E0000">
              <w:rPr>
                <w:rFonts w:eastAsia="Times New Roman" w:cs="Calibri"/>
                <w:sz w:val="20"/>
                <w:szCs w:val="20"/>
                <w:lang w:val="en-CA" w:eastAsia="en-GB"/>
              </w:rPr>
              <w:t xml:space="preserve">However, </w:t>
            </w:r>
            <w:r w:rsidR="006E0000" w:rsidRPr="005E2ED3">
              <w:rPr>
                <w:rFonts w:eastAsia="Times New Roman" w:cs="Calibri"/>
                <w:sz w:val="20"/>
                <w:szCs w:val="20"/>
                <w:lang w:val="en-CA" w:eastAsia="en-GB"/>
              </w:rPr>
              <w:t>i</w:t>
            </w:r>
            <w:r w:rsidRPr="005E2ED3">
              <w:rPr>
                <w:rFonts w:eastAsia="Times New Roman" w:cs="Calibri"/>
                <w:sz w:val="20"/>
                <w:szCs w:val="20"/>
                <w:lang w:val="en-CA" w:eastAsia="en-GB"/>
              </w:rPr>
              <w:t>nternal coherence between RGs and other investments could be improved</w:t>
            </w:r>
            <w:r w:rsidR="006E0000">
              <w:rPr>
                <w:rFonts w:eastAsia="Times New Roman" w:cs="Calibri"/>
                <w:sz w:val="20"/>
                <w:szCs w:val="20"/>
                <w:lang w:val="en-CA" w:eastAsia="en-GB"/>
              </w:rPr>
              <w:t>.</w:t>
            </w:r>
            <w:r w:rsidRPr="005E2ED3">
              <w:rPr>
                <w:rFonts w:eastAsia="Times New Roman" w:cs="Calibri"/>
                <w:sz w:val="20"/>
                <w:szCs w:val="20"/>
                <w:lang w:val="en-CA" w:eastAsia="en-GB"/>
              </w:rPr>
              <w:t xml:space="preserve"> </w:t>
            </w:r>
            <w:r w:rsidR="006E0000" w:rsidRPr="005E2ED3">
              <w:rPr>
                <w:rFonts w:eastAsia="Times New Roman" w:cs="Calibri"/>
                <w:sz w:val="20"/>
                <w:szCs w:val="20"/>
                <w:lang w:val="en-CA" w:eastAsia="en-GB"/>
              </w:rPr>
              <w:t>Most</w:t>
            </w:r>
            <w:r w:rsidRPr="005E2ED3">
              <w:rPr>
                <w:rFonts w:eastAsia="Times New Roman" w:cs="Calibri"/>
                <w:sz w:val="20"/>
                <w:szCs w:val="20"/>
                <w:lang w:val="en-CA" w:eastAsia="en-GB"/>
              </w:rPr>
              <w:t xml:space="preserve"> stakeholders were only aware of or familiar with one of the </w:t>
            </w:r>
            <w:r w:rsidRPr="007F63EF">
              <w:rPr>
                <w:rFonts w:eastAsia="Times New Roman" w:cs="Calibri"/>
                <w:sz w:val="20"/>
                <w:szCs w:val="20"/>
                <w:lang w:eastAsia="en-GB"/>
              </w:rPr>
              <w:t>RGs d</w:t>
            </w:r>
            <w:r w:rsidRPr="006E0000">
              <w:rPr>
                <w:rFonts w:eastAsia="Times New Roman" w:cs="Calibri"/>
                <w:sz w:val="20"/>
                <w:szCs w:val="20"/>
                <w:lang w:eastAsia="en-GB"/>
              </w:rPr>
              <w:t>ue</w:t>
            </w:r>
            <w:r>
              <w:rPr>
                <w:rFonts w:eastAsia="Times New Roman" w:cs="Calibri"/>
                <w:sz w:val="20"/>
                <w:szCs w:val="20"/>
                <w:lang w:eastAsia="en-GB"/>
              </w:rPr>
              <w:t xml:space="preserve"> </w:t>
            </w:r>
            <w:r w:rsidRPr="005E2ED3">
              <w:rPr>
                <w:rFonts w:eastAsia="Times New Roman" w:cs="Calibri"/>
                <w:sz w:val="20"/>
                <w:szCs w:val="20"/>
                <w:lang w:eastAsia="en-GB"/>
              </w:rPr>
              <w:t xml:space="preserve">to stakeholders not being kept informed of what </w:t>
            </w:r>
            <w:r w:rsidR="006E0000">
              <w:rPr>
                <w:rFonts w:eastAsia="Times New Roman" w:cs="Calibri"/>
                <w:sz w:val="20"/>
                <w:szCs w:val="20"/>
                <w:lang w:eastAsia="en-GB"/>
              </w:rPr>
              <w:t xml:space="preserve">the </w:t>
            </w:r>
            <w:r w:rsidRPr="005E2ED3">
              <w:rPr>
                <w:rFonts w:eastAsia="Times New Roman" w:cs="Calibri"/>
                <w:sz w:val="20"/>
                <w:szCs w:val="20"/>
                <w:lang w:eastAsia="en-GB"/>
              </w:rPr>
              <w:t>RGs were doing. </w:t>
            </w:r>
          </w:p>
        </w:tc>
        <w:tc>
          <w:tcPr>
            <w:tcW w:w="3172" w:type="dxa"/>
            <w:tcBorders>
              <w:top w:val="nil"/>
              <w:left w:val="single" w:sz="6" w:space="0" w:color="auto"/>
              <w:bottom w:val="single" w:sz="6" w:space="0" w:color="auto"/>
              <w:right w:val="single" w:sz="6" w:space="0" w:color="auto"/>
            </w:tcBorders>
            <w:shd w:val="clear" w:color="auto" w:fill="FFC000"/>
            <w:hideMark/>
          </w:tcPr>
          <w:p w14:paraId="1A207A83" w14:textId="0503D465"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eastAsia="en-GB"/>
              </w:rPr>
              <w:t>Medium to strong coherence</w:t>
            </w:r>
            <w:r w:rsidR="00C0784A">
              <w:rPr>
                <w:rFonts w:eastAsia="Times New Roman" w:cs="Calibri"/>
                <w:sz w:val="20"/>
                <w:szCs w:val="20"/>
                <w:lang w:eastAsia="en-GB"/>
              </w:rPr>
              <w:t>:</w:t>
            </w:r>
            <w:r w:rsidRPr="005E2ED3">
              <w:rPr>
                <w:rFonts w:eastAsia="Times New Roman" w:cs="Calibri"/>
                <w:color w:val="000000"/>
                <w:sz w:val="20"/>
                <w:szCs w:val="20"/>
                <w:lang w:val="en-CA" w:eastAsia="en-GB"/>
              </w:rPr>
              <w:t xml:space="preserve"> </w:t>
            </w:r>
            <w:r w:rsidR="00C0784A">
              <w:rPr>
                <w:rFonts w:eastAsia="Times New Roman" w:cs="Calibri"/>
                <w:color w:val="000000"/>
                <w:sz w:val="20"/>
                <w:szCs w:val="20"/>
                <w:lang w:val="en-CA" w:eastAsia="en-GB"/>
              </w:rPr>
              <w:t xml:space="preserve">the </w:t>
            </w:r>
            <w:r w:rsidRPr="005E2ED3">
              <w:rPr>
                <w:rFonts w:eastAsia="Times New Roman" w:cs="Calibri"/>
                <w:sz w:val="20"/>
                <w:szCs w:val="20"/>
                <w:lang w:val="en-CA" w:eastAsia="en-GB"/>
              </w:rPr>
              <w:t>F</w:t>
            </w:r>
            <w:r w:rsidR="00C0784A">
              <w:rPr>
                <w:rFonts w:eastAsia="Times New Roman" w:cs="Calibri"/>
                <w:sz w:val="20"/>
                <w:szCs w:val="20"/>
                <w:lang w:val="en-CA" w:eastAsia="en-GB"/>
              </w:rPr>
              <w:t xml:space="preserve">leming </w:t>
            </w:r>
            <w:r w:rsidRPr="005E2ED3">
              <w:rPr>
                <w:rFonts w:eastAsia="Times New Roman" w:cs="Calibri"/>
                <w:sz w:val="20"/>
                <w:szCs w:val="20"/>
                <w:lang w:val="en-CA" w:eastAsia="en-GB"/>
              </w:rPr>
              <w:t>F</w:t>
            </w:r>
            <w:r w:rsidR="00C0784A">
              <w:rPr>
                <w:rFonts w:eastAsia="Times New Roman" w:cs="Calibri"/>
                <w:sz w:val="20"/>
                <w:szCs w:val="20"/>
                <w:lang w:val="en-CA" w:eastAsia="en-GB"/>
              </w:rPr>
              <w:t>und</w:t>
            </w:r>
            <w:r w:rsidRPr="005E2ED3">
              <w:rPr>
                <w:rFonts w:eastAsia="Times New Roman" w:cs="Calibri"/>
                <w:sz w:val="20"/>
                <w:szCs w:val="20"/>
                <w:lang w:val="en-CA" w:eastAsia="en-GB"/>
              </w:rPr>
              <w:t xml:space="preserve"> </w:t>
            </w:r>
            <w:r w:rsidR="00C0784A">
              <w:rPr>
                <w:rFonts w:eastAsia="Times New Roman" w:cs="Calibri"/>
                <w:sz w:val="20"/>
                <w:szCs w:val="20"/>
                <w:lang w:val="en-CA" w:eastAsia="en-GB"/>
              </w:rPr>
              <w:t>provided</w:t>
            </w:r>
            <w:r w:rsidRPr="005E2ED3">
              <w:rPr>
                <w:rFonts w:eastAsia="Times New Roman" w:cs="Calibri"/>
                <w:sz w:val="20"/>
                <w:szCs w:val="20"/>
                <w:lang w:val="en-CA" w:eastAsia="en-GB"/>
              </w:rPr>
              <w:t xml:space="preserve"> most AMR support, with most other support coming from RGOB. WHO, </w:t>
            </w:r>
            <w:r w:rsidR="00C0784A">
              <w:rPr>
                <w:rFonts w:eastAsia="Times New Roman" w:cs="Calibri"/>
                <w:sz w:val="20"/>
                <w:szCs w:val="20"/>
                <w:lang w:val="en-CA" w:eastAsia="en-GB"/>
              </w:rPr>
              <w:t xml:space="preserve">and </w:t>
            </w:r>
            <w:r w:rsidRPr="005E2ED3">
              <w:rPr>
                <w:rFonts w:eastAsia="Times New Roman" w:cs="Calibri"/>
                <w:color w:val="000000"/>
                <w:sz w:val="20"/>
                <w:szCs w:val="20"/>
                <w:lang w:val="en-CA" w:eastAsia="en-GB"/>
              </w:rPr>
              <w:t>FAO</w:t>
            </w:r>
            <w:r w:rsidR="00C0784A">
              <w:rPr>
                <w:rFonts w:eastAsia="Times New Roman" w:cs="Calibri"/>
                <w:color w:val="000000"/>
                <w:sz w:val="20"/>
                <w:szCs w:val="20"/>
                <w:lang w:val="en-CA" w:eastAsia="en-GB"/>
              </w:rPr>
              <w:t>.</w:t>
            </w:r>
            <w:r w:rsidRPr="005E2ED3">
              <w:rPr>
                <w:rFonts w:eastAsia="Times New Roman" w:cs="Calibri"/>
                <w:color w:val="000000"/>
                <w:sz w:val="20"/>
                <w:szCs w:val="20"/>
                <w:lang w:val="en-CA" w:eastAsia="en-GB"/>
              </w:rPr>
              <w:t xml:space="preserve"> </w:t>
            </w:r>
            <w:r w:rsidR="00D27A19">
              <w:rPr>
                <w:rFonts w:eastAsia="Times New Roman" w:cs="Calibri"/>
                <w:color w:val="000000"/>
                <w:sz w:val="20"/>
                <w:szCs w:val="20"/>
                <w:lang w:val="en-CA" w:eastAsia="en-GB"/>
              </w:rPr>
              <w:t>WOAH</w:t>
            </w:r>
            <w:r w:rsidRPr="005E2ED3">
              <w:rPr>
                <w:rFonts w:eastAsia="Times New Roman" w:cs="Calibri"/>
                <w:color w:val="000000"/>
                <w:sz w:val="20"/>
                <w:szCs w:val="20"/>
                <w:lang w:val="en-CA" w:eastAsia="en-GB"/>
              </w:rPr>
              <w:t xml:space="preserve"> support focused on </w:t>
            </w:r>
            <w:r>
              <w:rPr>
                <w:rFonts w:eastAsia="Times New Roman" w:cs="Calibri"/>
                <w:color w:val="000000"/>
                <w:sz w:val="20"/>
                <w:szCs w:val="20"/>
                <w:lang w:val="en-CA" w:eastAsia="en-GB"/>
              </w:rPr>
              <w:t>World Antibiotic Awareness Week (</w:t>
            </w:r>
            <w:r w:rsidRPr="005E2ED3">
              <w:rPr>
                <w:rFonts w:eastAsia="Times New Roman" w:cs="Calibri"/>
                <w:color w:val="000000"/>
                <w:sz w:val="20"/>
                <w:szCs w:val="20"/>
                <w:lang w:val="en-CA" w:eastAsia="en-GB"/>
              </w:rPr>
              <w:t>WAAW</w:t>
            </w:r>
            <w:r>
              <w:rPr>
                <w:rFonts w:eastAsia="Times New Roman" w:cs="Calibri"/>
                <w:color w:val="000000"/>
                <w:sz w:val="20"/>
                <w:szCs w:val="20"/>
                <w:lang w:val="en-CA" w:eastAsia="en-GB"/>
              </w:rPr>
              <w:t>)</w:t>
            </w:r>
            <w:r w:rsidRPr="005E2ED3">
              <w:rPr>
                <w:rFonts w:eastAsia="Times New Roman" w:cs="Calibri"/>
                <w:color w:val="000000"/>
                <w:sz w:val="20"/>
                <w:szCs w:val="20"/>
                <w:lang w:val="en-CA" w:eastAsia="en-GB"/>
              </w:rPr>
              <w:t>.</w:t>
            </w:r>
            <w:r w:rsidRPr="005E2ED3">
              <w:rPr>
                <w:rFonts w:eastAsia="Times New Roman" w:cs="Calibri"/>
                <w:color w:val="000000"/>
                <w:sz w:val="20"/>
                <w:szCs w:val="20"/>
                <w:lang w:eastAsia="en-GB"/>
              </w:rPr>
              <w:t> </w:t>
            </w:r>
          </w:p>
          <w:p w14:paraId="6B08B41A" w14:textId="22F04FAD"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val="en-CA" w:eastAsia="en-GB"/>
              </w:rPr>
              <w:t xml:space="preserve">FAO and WHO </w:t>
            </w:r>
            <w:r w:rsidR="00C0784A">
              <w:rPr>
                <w:rFonts w:eastAsia="Times New Roman" w:cs="Calibri"/>
                <w:color w:val="000000"/>
                <w:sz w:val="20"/>
                <w:szCs w:val="20"/>
                <w:lang w:val="en-CA" w:eastAsia="en-GB"/>
              </w:rPr>
              <w:t xml:space="preserve">were </w:t>
            </w:r>
            <w:r w:rsidRPr="005E2ED3">
              <w:rPr>
                <w:rFonts w:eastAsia="Times New Roman" w:cs="Calibri"/>
                <w:color w:val="000000"/>
                <w:sz w:val="20"/>
                <w:szCs w:val="20"/>
                <w:lang w:val="en-CA" w:eastAsia="en-GB"/>
              </w:rPr>
              <w:t xml:space="preserve">not members of AMR governance committees but </w:t>
            </w:r>
            <w:r w:rsidR="00C0784A">
              <w:rPr>
                <w:rFonts w:eastAsia="Times New Roman" w:cs="Calibri"/>
                <w:color w:val="000000"/>
                <w:sz w:val="20"/>
                <w:szCs w:val="20"/>
                <w:lang w:val="en-CA" w:eastAsia="en-GB"/>
              </w:rPr>
              <w:t xml:space="preserve">their membership in </w:t>
            </w:r>
            <w:r w:rsidRPr="005E2ED3">
              <w:rPr>
                <w:rFonts w:eastAsia="Times New Roman" w:cs="Calibri"/>
                <w:color w:val="000000"/>
                <w:sz w:val="20"/>
                <w:szCs w:val="20"/>
                <w:lang w:val="en-CA" w:eastAsia="en-GB"/>
              </w:rPr>
              <w:t xml:space="preserve">one of the committees may be useful </w:t>
            </w:r>
            <w:r w:rsidR="00C0784A">
              <w:rPr>
                <w:rFonts w:eastAsia="Times New Roman" w:cs="Calibri"/>
                <w:color w:val="000000"/>
                <w:sz w:val="20"/>
                <w:szCs w:val="20"/>
                <w:lang w:val="en-CA" w:eastAsia="en-GB"/>
              </w:rPr>
              <w:t>in the</w:t>
            </w:r>
            <w:r w:rsidR="00C0784A" w:rsidRPr="005E2ED3">
              <w:rPr>
                <w:rFonts w:eastAsia="Times New Roman" w:cs="Calibri"/>
                <w:color w:val="000000"/>
                <w:sz w:val="20"/>
                <w:szCs w:val="20"/>
                <w:lang w:val="en-CA" w:eastAsia="en-GB"/>
              </w:rPr>
              <w:t xml:space="preserve"> </w:t>
            </w:r>
            <w:r w:rsidRPr="005E2ED3">
              <w:rPr>
                <w:rFonts w:eastAsia="Times New Roman" w:cs="Calibri"/>
                <w:color w:val="000000"/>
                <w:sz w:val="20"/>
                <w:szCs w:val="20"/>
                <w:lang w:val="en-CA" w:eastAsia="en-GB"/>
              </w:rPr>
              <w:t xml:space="preserve">future when </w:t>
            </w:r>
            <w:r w:rsidR="00C0784A">
              <w:rPr>
                <w:rFonts w:eastAsia="Times New Roman" w:cs="Calibri"/>
                <w:color w:val="000000"/>
                <w:sz w:val="20"/>
                <w:szCs w:val="20"/>
                <w:lang w:val="en-CA" w:eastAsia="en-GB"/>
              </w:rPr>
              <w:t xml:space="preserve">the </w:t>
            </w:r>
            <w:r w:rsidRPr="005E2ED3">
              <w:rPr>
                <w:rFonts w:eastAsia="Times New Roman" w:cs="Calibri"/>
                <w:color w:val="000000"/>
                <w:sz w:val="20"/>
                <w:szCs w:val="20"/>
                <w:lang w:val="en-CA" w:eastAsia="en-GB"/>
              </w:rPr>
              <w:t>F</w:t>
            </w:r>
            <w:r w:rsidR="00C0784A">
              <w:rPr>
                <w:rFonts w:eastAsia="Times New Roman" w:cs="Calibri"/>
                <w:color w:val="000000"/>
                <w:sz w:val="20"/>
                <w:szCs w:val="20"/>
                <w:lang w:val="en-CA" w:eastAsia="en-GB"/>
              </w:rPr>
              <w:t xml:space="preserve">leming </w:t>
            </w:r>
            <w:r w:rsidRPr="005E2ED3">
              <w:rPr>
                <w:rFonts w:eastAsia="Times New Roman" w:cs="Calibri"/>
                <w:color w:val="000000"/>
                <w:sz w:val="20"/>
                <w:szCs w:val="20"/>
                <w:lang w:val="en-CA" w:eastAsia="en-GB"/>
              </w:rPr>
              <w:t>F</w:t>
            </w:r>
            <w:r w:rsidR="00C0784A">
              <w:rPr>
                <w:rFonts w:eastAsia="Times New Roman" w:cs="Calibri"/>
                <w:color w:val="000000"/>
                <w:sz w:val="20"/>
                <w:szCs w:val="20"/>
                <w:lang w:val="en-CA" w:eastAsia="en-GB"/>
              </w:rPr>
              <w:t>und ends</w:t>
            </w:r>
            <w:r w:rsidRPr="005E2ED3">
              <w:rPr>
                <w:rFonts w:eastAsia="Times New Roman" w:cs="Calibri"/>
                <w:color w:val="000000"/>
                <w:sz w:val="20"/>
                <w:szCs w:val="20"/>
                <w:lang w:val="en-CA" w:eastAsia="en-GB"/>
              </w:rPr>
              <w:t>.</w:t>
            </w:r>
            <w:r w:rsidRPr="005E2ED3">
              <w:rPr>
                <w:rFonts w:eastAsia="Times New Roman" w:cs="Calibri"/>
                <w:color w:val="000000"/>
                <w:sz w:val="20"/>
                <w:szCs w:val="20"/>
                <w:lang w:eastAsia="en-GB"/>
              </w:rPr>
              <w:t> </w:t>
            </w:r>
          </w:p>
          <w:p w14:paraId="47F23258" w14:textId="77777777" w:rsidR="00651C0B" w:rsidRPr="005E2ED3" w:rsidRDefault="00651C0B" w:rsidP="00BD1EB9">
            <w:pPr>
              <w:textAlignment w:val="baseline"/>
              <w:rPr>
                <w:rFonts w:ascii="Segoe UI" w:eastAsia="Times New Roman" w:hAnsi="Segoe UI" w:cs="Segoe UI"/>
                <w:sz w:val="18"/>
                <w:szCs w:val="18"/>
                <w:lang w:eastAsia="en-GB"/>
              </w:rPr>
            </w:pPr>
          </w:p>
        </w:tc>
        <w:tc>
          <w:tcPr>
            <w:tcW w:w="3465" w:type="dxa"/>
            <w:tcBorders>
              <w:top w:val="nil"/>
              <w:left w:val="single" w:sz="6" w:space="0" w:color="auto"/>
              <w:bottom w:val="single" w:sz="6" w:space="0" w:color="auto"/>
              <w:right w:val="single" w:sz="6" w:space="0" w:color="auto"/>
            </w:tcBorders>
            <w:shd w:val="clear" w:color="auto" w:fill="00B050"/>
            <w:hideMark/>
          </w:tcPr>
          <w:p w14:paraId="31823F33" w14:textId="00D946B0"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Overall strong coherence/alignment, but </w:t>
            </w:r>
            <w:r w:rsidR="006E0000">
              <w:rPr>
                <w:rFonts w:eastAsia="Times New Roman" w:cs="Calibri"/>
                <w:color w:val="000000"/>
                <w:sz w:val="20"/>
                <w:szCs w:val="20"/>
                <w:lang w:eastAsia="en-GB"/>
              </w:rPr>
              <w:t>there is</w:t>
            </w:r>
            <w:r w:rsidR="006E0000" w:rsidRPr="005E2ED3">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room to improve internal coherence with RGs, and external coherence with DPs. </w:t>
            </w:r>
          </w:p>
        </w:tc>
      </w:tr>
      <w:tr w:rsidR="00651C0B" w:rsidRPr="005E2ED3" w14:paraId="5B021BA3" w14:textId="77777777" w:rsidTr="00651C0B">
        <w:trPr>
          <w:trHeight w:val="705"/>
        </w:trPr>
        <w:tc>
          <w:tcPr>
            <w:tcW w:w="1257" w:type="dxa"/>
            <w:tcBorders>
              <w:top w:val="nil"/>
              <w:left w:val="single" w:sz="6" w:space="0" w:color="auto"/>
              <w:bottom w:val="single" w:sz="6" w:space="0" w:color="auto"/>
              <w:right w:val="single" w:sz="6" w:space="0" w:color="auto"/>
            </w:tcBorders>
            <w:shd w:val="clear" w:color="auto" w:fill="auto"/>
            <w:hideMark/>
          </w:tcPr>
          <w:p w14:paraId="018EECC9"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563C1"/>
                <w:sz w:val="20"/>
                <w:szCs w:val="20"/>
                <w:u w:val="single"/>
                <w:lang w:eastAsia="en-GB"/>
              </w:rPr>
              <w:t>Ghana</w:t>
            </w:r>
            <w:r w:rsidRPr="005E2ED3">
              <w:rPr>
                <w:rFonts w:eastAsia="Times New Roman" w:cs="Calibri"/>
                <w:color w:val="000000"/>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FFC000"/>
            <w:hideMark/>
          </w:tcPr>
          <w:p w14:paraId="631E9589" w14:textId="2BCBD7C1" w:rsidR="00651C0B" w:rsidRPr="005E2ED3" w:rsidRDefault="00C0784A"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eastAsia="en-GB"/>
              </w:rPr>
              <w:t xml:space="preserve">The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 xml:space="preserve">leming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und</w:t>
            </w:r>
            <w:r w:rsidR="00651C0B" w:rsidRPr="005E2ED3">
              <w:rPr>
                <w:rFonts w:eastAsia="Times New Roman" w:cs="Calibri"/>
                <w:color w:val="000000"/>
                <w:sz w:val="20"/>
                <w:szCs w:val="20"/>
                <w:lang w:eastAsia="en-GB"/>
              </w:rPr>
              <w:t xml:space="preserve"> seems to be well aligned with the NAP and supports its implementation</w:t>
            </w:r>
            <w:r w:rsidR="00651C0B" w:rsidRPr="005E2ED3">
              <w:rPr>
                <w:rFonts w:eastAsia="Times New Roman" w:cs="Calibri"/>
                <w:color w:val="498205"/>
                <w:sz w:val="20"/>
                <w:szCs w:val="20"/>
                <w:u w:val="single"/>
                <w:lang w:eastAsia="en-GB"/>
              </w:rPr>
              <w:t>.</w:t>
            </w:r>
            <w:r w:rsidR="00651C0B" w:rsidRPr="005E2ED3">
              <w:rPr>
                <w:rFonts w:eastAsia="Times New Roman" w:cs="Calibri"/>
                <w:color w:val="000000"/>
                <w:sz w:val="20"/>
                <w:szCs w:val="20"/>
                <w:lang w:eastAsia="en-GB"/>
              </w:rPr>
              <w:t> </w:t>
            </w:r>
          </w:p>
          <w:p w14:paraId="275BA3A8" w14:textId="104A297F"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Also, alignment with government plans/policies seem to have improved significantly over time. However, there </w:t>
            </w:r>
            <w:r w:rsidR="00C0784A">
              <w:rPr>
                <w:rFonts w:eastAsia="Times New Roman" w:cs="Calibri"/>
                <w:color w:val="000000"/>
                <w:sz w:val="20"/>
                <w:szCs w:val="20"/>
                <w:lang w:eastAsia="en-GB"/>
              </w:rPr>
              <w:t>were</w:t>
            </w:r>
            <w:r w:rsidR="00C0784A" w:rsidRPr="005E2ED3">
              <w:rPr>
                <w:rFonts w:eastAsia="Times New Roman" w:cs="Calibri"/>
                <w:color w:val="000000"/>
                <w:sz w:val="20"/>
                <w:szCs w:val="20"/>
                <w:lang w:eastAsia="en-GB"/>
              </w:rPr>
              <w:t xml:space="preserve"> </w:t>
            </w:r>
            <w:r w:rsidR="00C0784A">
              <w:rPr>
                <w:rFonts w:eastAsia="Times New Roman" w:cs="Calibri"/>
                <w:color w:val="000000"/>
                <w:sz w:val="20"/>
                <w:szCs w:val="20"/>
                <w:lang w:eastAsia="en-GB"/>
              </w:rPr>
              <w:t>(</w:t>
            </w:r>
            <w:r w:rsidRPr="005E2ED3">
              <w:rPr>
                <w:rFonts w:eastAsia="Times New Roman" w:cs="Calibri"/>
                <w:color w:val="000000"/>
                <w:sz w:val="20"/>
                <w:szCs w:val="20"/>
                <w:lang w:eastAsia="en-GB"/>
              </w:rPr>
              <w:t>and still remain</w:t>
            </w:r>
            <w:r w:rsidR="00C0784A">
              <w:rPr>
                <w:rFonts w:eastAsia="Times New Roman" w:cs="Calibri"/>
                <w:color w:val="000000"/>
                <w:sz w:val="20"/>
                <w:szCs w:val="20"/>
                <w:lang w:eastAsia="en-GB"/>
              </w:rPr>
              <w:t xml:space="preserve"> to be)</w:t>
            </w:r>
            <w:r w:rsidRPr="005E2ED3">
              <w:rPr>
                <w:rFonts w:eastAsia="Times New Roman" w:cs="Calibri"/>
                <w:color w:val="000000"/>
                <w:sz w:val="20"/>
                <w:szCs w:val="20"/>
                <w:lang w:eastAsia="en-GB"/>
              </w:rPr>
              <w:t xml:space="preserve"> challenges (in CG1) of bypassing the MoH and engaging directly with</w:t>
            </w:r>
            <w:r w:rsidR="00C0784A">
              <w:rPr>
                <w:rFonts w:eastAsia="Times New Roman" w:cs="Calibri"/>
                <w:color w:val="000000"/>
                <w:sz w:val="20"/>
                <w:szCs w:val="20"/>
                <w:lang w:eastAsia="en-GB"/>
              </w:rPr>
              <w:t xml:space="preserve"> the</w:t>
            </w:r>
            <w:r w:rsidRPr="005E2ED3">
              <w:rPr>
                <w:rFonts w:eastAsia="Times New Roman" w:cs="Calibri"/>
                <w:color w:val="000000"/>
                <w:sz w:val="20"/>
                <w:szCs w:val="20"/>
                <w:lang w:eastAsia="en-GB"/>
              </w:rPr>
              <w:t xml:space="preserve"> U</w:t>
            </w:r>
            <w:r>
              <w:rPr>
                <w:rFonts w:eastAsia="Times New Roman" w:cs="Calibri"/>
                <w:color w:val="000000"/>
                <w:sz w:val="20"/>
                <w:szCs w:val="20"/>
                <w:lang w:eastAsia="en-GB"/>
              </w:rPr>
              <w:t>ni</w:t>
            </w:r>
            <w:r w:rsidR="00C0784A">
              <w:rPr>
                <w:rFonts w:eastAsia="Times New Roman" w:cs="Calibri"/>
                <w:color w:val="000000"/>
                <w:sz w:val="20"/>
                <w:szCs w:val="20"/>
                <w:lang w:eastAsia="en-GB"/>
              </w:rPr>
              <w:t>versity</w:t>
            </w:r>
            <w:r>
              <w:rPr>
                <w:rFonts w:eastAsia="Times New Roman" w:cs="Calibri"/>
                <w:color w:val="000000"/>
                <w:sz w:val="20"/>
                <w:szCs w:val="20"/>
                <w:lang w:eastAsia="en-GB"/>
              </w:rPr>
              <w:t xml:space="preserve"> of </w:t>
            </w:r>
            <w:r w:rsidRPr="005E2ED3">
              <w:rPr>
                <w:rFonts w:eastAsia="Times New Roman" w:cs="Calibri"/>
                <w:color w:val="000000"/>
                <w:sz w:val="20"/>
                <w:szCs w:val="20"/>
                <w:lang w:eastAsia="en-GB"/>
              </w:rPr>
              <w:t>G</w:t>
            </w:r>
            <w:r>
              <w:rPr>
                <w:rFonts w:eastAsia="Times New Roman" w:cs="Calibri"/>
                <w:color w:val="000000"/>
                <w:sz w:val="20"/>
                <w:szCs w:val="20"/>
                <w:lang w:eastAsia="en-GB"/>
              </w:rPr>
              <w:t>hana (UG)</w:t>
            </w:r>
            <w:r w:rsidRPr="005E2ED3">
              <w:rPr>
                <w:rFonts w:eastAsia="Times New Roman" w:cs="Calibri"/>
                <w:color w:val="000000"/>
                <w:sz w:val="20"/>
                <w:szCs w:val="20"/>
                <w:lang w:eastAsia="en-GB"/>
              </w:rPr>
              <w:t xml:space="preserve"> leading to delay in implementing activities.  </w:t>
            </w:r>
          </w:p>
          <w:p w14:paraId="01A21EC7" w14:textId="4FB3E8B3"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Another concern is supported sentinel sites sitting outside the public healthcare delivery system</w:t>
            </w:r>
            <w:r>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 xml:space="preserve">selected </w:t>
            </w:r>
            <w:r w:rsidR="00F25C0E">
              <w:rPr>
                <w:rFonts w:eastAsia="Times New Roman" w:cs="Calibri"/>
                <w:color w:val="000000"/>
                <w:sz w:val="20"/>
                <w:szCs w:val="20"/>
                <w:lang w:eastAsia="en-GB"/>
              </w:rPr>
              <w:t>laboratories</w:t>
            </w:r>
            <w:r w:rsidRPr="005E2ED3">
              <w:rPr>
                <w:rFonts w:eastAsia="Times New Roman" w:cs="Calibri"/>
                <w:color w:val="000000"/>
                <w:sz w:val="20"/>
                <w:szCs w:val="20"/>
                <w:lang w:eastAsia="en-GB"/>
              </w:rPr>
              <w:t xml:space="preserve"> are outside the NPHRL</w:t>
            </w:r>
            <w:r>
              <w:rPr>
                <w:rFonts w:eastAsia="Times New Roman" w:cs="Calibri"/>
                <w:color w:val="000000"/>
                <w:sz w:val="20"/>
                <w:szCs w:val="20"/>
                <w:lang w:eastAsia="en-GB"/>
              </w:rPr>
              <w:t xml:space="preserve">) and </w:t>
            </w:r>
            <w:r w:rsidRPr="005E2ED3">
              <w:rPr>
                <w:rFonts w:eastAsia="Times New Roman" w:cs="Calibri"/>
                <w:color w:val="000000"/>
                <w:sz w:val="20"/>
                <w:szCs w:val="20"/>
                <w:lang w:eastAsia="en-GB"/>
              </w:rPr>
              <w:t xml:space="preserve">AH </w:t>
            </w:r>
            <w:r w:rsidR="00F25C0E">
              <w:rPr>
                <w:rFonts w:eastAsia="Times New Roman" w:cs="Calibri"/>
                <w:color w:val="000000"/>
                <w:sz w:val="20"/>
                <w:szCs w:val="20"/>
                <w:lang w:eastAsia="en-GB"/>
              </w:rPr>
              <w:t>laboratories</w:t>
            </w:r>
            <w:r w:rsidRPr="005E2ED3">
              <w:rPr>
                <w:rFonts w:eastAsia="Times New Roman" w:cs="Calibri"/>
                <w:color w:val="000000"/>
                <w:sz w:val="20"/>
                <w:szCs w:val="20"/>
                <w:lang w:eastAsia="en-GB"/>
              </w:rPr>
              <w:t xml:space="preserve"> work with the NFSL </w:t>
            </w:r>
            <w:r>
              <w:rPr>
                <w:rFonts w:eastAsia="Times New Roman" w:cs="Calibri"/>
                <w:color w:val="000000"/>
                <w:sz w:val="20"/>
                <w:szCs w:val="20"/>
                <w:lang w:eastAsia="en-GB"/>
              </w:rPr>
              <w:t xml:space="preserve">is limited. </w:t>
            </w:r>
          </w:p>
          <w:p w14:paraId="43837B5B" w14:textId="220C4F1E"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Lack of integration into national structures means collating data and reporting to GLASS/</w:t>
            </w:r>
            <w:r w:rsidR="00D27A19">
              <w:rPr>
                <w:rFonts w:eastAsia="Times New Roman" w:cs="Calibri"/>
                <w:color w:val="000000"/>
                <w:sz w:val="20"/>
                <w:szCs w:val="20"/>
                <w:lang w:eastAsia="en-GB"/>
              </w:rPr>
              <w:t>WOAH</w:t>
            </w:r>
            <w:r w:rsidRPr="005E2ED3">
              <w:rPr>
                <w:rFonts w:eastAsia="Times New Roman" w:cs="Calibri"/>
                <w:color w:val="000000"/>
                <w:sz w:val="20"/>
                <w:szCs w:val="20"/>
                <w:lang w:eastAsia="en-GB"/>
              </w:rPr>
              <w:t xml:space="preserve"> </w:t>
            </w:r>
            <w:r>
              <w:rPr>
                <w:rFonts w:eastAsia="Times New Roman" w:cs="Calibri"/>
                <w:color w:val="000000"/>
                <w:sz w:val="20"/>
                <w:szCs w:val="20"/>
                <w:lang w:eastAsia="en-GB"/>
              </w:rPr>
              <w:t>depends</w:t>
            </w:r>
            <w:r w:rsidRPr="005E2ED3">
              <w:rPr>
                <w:rFonts w:eastAsia="Times New Roman" w:cs="Calibri"/>
                <w:color w:val="000000"/>
                <w:sz w:val="20"/>
                <w:szCs w:val="20"/>
                <w:lang w:eastAsia="en-GB"/>
              </w:rPr>
              <w:t xml:space="preserve"> heavily on individual efforts</w:t>
            </w:r>
            <w:r w:rsidR="00FB673F">
              <w:rPr>
                <w:rFonts w:eastAsia="Times New Roman" w:cs="Calibri"/>
                <w:color w:val="000000"/>
                <w:sz w:val="20"/>
                <w:szCs w:val="20"/>
                <w:lang w:eastAsia="en-GB"/>
              </w:rPr>
              <w:t xml:space="preserve">. This </w:t>
            </w:r>
            <w:r w:rsidRPr="005E2ED3">
              <w:rPr>
                <w:rFonts w:eastAsia="Times New Roman" w:cs="Calibri"/>
                <w:color w:val="000000"/>
                <w:sz w:val="20"/>
                <w:szCs w:val="20"/>
                <w:lang w:eastAsia="en-GB"/>
              </w:rPr>
              <w:t>threatens medium to long term sustainability. </w:t>
            </w:r>
          </w:p>
        </w:tc>
        <w:tc>
          <w:tcPr>
            <w:tcW w:w="3452" w:type="dxa"/>
            <w:tcBorders>
              <w:top w:val="nil"/>
              <w:left w:val="single" w:sz="6" w:space="0" w:color="auto"/>
              <w:bottom w:val="single" w:sz="6" w:space="0" w:color="auto"/>
              <w:right w:val="single" w:sz="6" w:space="0" w:color="auto"/>
            </w:tcBorders>
            <w:shd w:val="clear" w:color="auto" w:fill="FF0000"/>
            <w:hideMark/>
          </w:tcPr>
          <w:p w14:paraId="26201B57" w14:textId="551E41A2"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Overall,</w:t>
            </w:r>
            <w:r w:rsidR="00FB673F">
              <w:rPr>
                <w:rFonts w:eastAsia="Times New Roman" w:cs="Calibri"/>
                <w:color w:val="000000"/>
                <w:sz w:val="20"/>
                <w:szCs w:val="20"/>
                <w:lang w:eastAsia="en-GB"/>
              </w:rPr>
              <w:t xml:space="preserve"> there is</w:t>
            </w:r>
            <w:r w:rsidRPr="005E2ED3">
              <w:rPr>
                <w:rFonts w:eastAsia="Times New Roman" w:cs="Calibri"/>
                <w:color w:val="000000"/>
                <w:sz w:val="20"/>
                <w:szCs w:val="20"/>
                <w:lang w:eastAsia="en-GB"/>
              </w:rPr>
              <w:t xml:space="preserve"> limited internal coordination especially between CGs and regional/global grants. </w:t>
            </w:r>
          </w:p>
          <w:p w14:paraId="38C5B046" w14:textId="04C8D6A5"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Multiple F</w:t>
            </w:r>
            <w:r w:rsidR="00FB673F">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FB673F">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activities </w:t>
            </w:r>
            <w:r w:rsidR="00937856">
              <w:rPr>
                <w:rFonts w:eastAsia="Times New Roman" w:cs="Calibri"/>
                <w:color w:val="000000"/>
                <w:sz w:val="20"/>
                <w:szCs w:val="20"/>
                <w:lang w:eastAsia="en-GB"/>
              </w:rPr>
              <w:t>were</w:t>
            </w:r>
            <w:r w:rsidR="00937856" w:rsidRPr="005E2ED3">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 xml:space="preserve">running concurrently but were somewhat disconnected and recipients were unaware these supports were all coming from </w:t>
            </w:r>
            <w:r w:rsidR="00937856">
              <w:rPr>
                <w:rFonts w:eastAsia="Times New Roman" w:cs="Calibri"/>
                <w:color w:val="000000"/>
                <w:sz w:val="20"/>
                <w:szCs w:val="20"/>
                <w:lang w:eastAsia="en-GB"/>
              </w:rPr>
              <w:t xml:space="preserve">the </w:t>
            </w:r>
            <w:r w:rsidRPr="005E2ED3">
              <w:rPr>
                <w:rFonts w:eastAsia="Times New Roman" w:cs="Calibri"/>
                <w:color w:val="000000"/>
                <w:sz w:val="20"/>
                <w:szCs w:val="20"/>
                <w:lang w:eastAsia="en-GB"/>
              </w:rPr>
              <w:t>F</w:t>
            </w:r>
            <w:r w:rsidR="00937856">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937856">
              <w:rPr>
                <w:rFonts w:eastAsia="Times New Roman" w:cs="Calibri"/>
                <w:color w:val="000000"/>
                <w:sz w:val="20"/>
                <w:szCs w:val="20"/>
                <w:lang w:eastAsia="en-GB"/>
              </w:rPr>
              <w:t>und</w:t>
            </w:r>
            <w:r w:rsidRPr="005E2ED3">
              <w:rPr>
                <w:rFonts w:eastAsia="Times New Roman" w:cs="Calibri"/>
                <w:color w:val="000000"/>
                <w:sz w:val="20"/>
                <w:szCs w:val="20"/>
                <w:lang w:eastAsia="en-GB"/>
              </w:rPr>
              <w:t>.</w:t>
            </w:r>
          </w:p>
          <w:p w14:paraId="130834D7" w14:textId="27DF35E9"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Persistence of original structural issues – choice of UG as original CG plus as main HH </w:t>
            </w:r>
            <w:r w:rsidR="00F25C0E">
              <w:rPr>
                <w:rFonts w:eastAsia="Times New Roman" w:cs="Calibri"/>
                <w:color w:val="000000"/>
                <w:sz w:val="20"/>
                <w:szCs w:val="20"/>
                <w:lang w:eastAsia="en-GB"/>
              </w:rPr>
              <w:t xml:space="preserve">laboratory </w:t>
            </w:r>
            <w:r w:rsidRPr="005E2ED3">
              <w:rPr>
                <w:rFonts w:eastAsia="Times New Roman" w:cs="Calibri"/>
                <w:color w:val="000000"/>
                <w:sz w:val="20"/>
                <w:szCs w:val="20"/>
                <w:lang w:eastAsia="en-GB"/>
              </w:rPr>
              <w:t>beneficiary has since been adjusted but has created path dependence where</w:t>
            </w:r>
            <w:r w:rsidR="00937856">
              <w:rPr>
                <w:rFonts w:eastAsia="Times New Roman" w:cs="Calibri"/>
                <w:color w:val="000000"/>
                <w:sz w:val="20"/>
                <w:szCs w:val="20"/>
                <w:lang w:eastAsia="en-GB"/>
              </w:rPr>
              <w:t xml:space="preserve"> the</w:t>
            </w:r>
            <w:r w:rsidRPr="005E2ED3">
              <w:rPr>
                <w:rFonts w:eastAsia="Times New Roman" w:cs="Calibri"/>
                <w:color w:val="000000"/>
                <w:sz w:val="20"/>
                <w:szCs w:val="20"/>
                <w:lang w:eastAsia="en-GB"/>
              </w:rPr>
              <w:t xml:space="preserve"> lead HH organisation/NRL naturally looks more to</w:t>
            </w:r>
            <w:r w:rsidR="00937856">
              <w:rPr>
                <w:rFonts w:eastAsia="Times New Roman" w:cs="Calibri"/>
                <w:color w:val="000000"/>
                <w:sz w:val="20"/>
                <w:szCs w:val="20"/>
                <w:lang w:eastAsia="en-GB"/>
              </w:rPr>
              <w:t xml:space="preserve"> the</w:t>
            </w:r>
            <w:r w:rsidRPr="005E2ED3">
              <w:rPr>
                <w:rFonts w:eastAsia="Times New Roman" w:cs="Calibri"/>
                <w:color w:val="000000"/>
                <w:sz w:val="20"/>
                <w:szCs w:val="20"/>
                <w:lang w:eastAsia="en-GB"/>
              </w:rPr>
              <w:t xml:space="preserve"> research side of</w:t>
            </w:r>
            <w:r w:rsidR="00937856">
              <w:rPr>
                <w:rFonts w:eastAsia="Times New Roman" w:cs="Calibri"/>
                <w:color w:val="000000"/>
                <w:sz w:val="20"/>
                <w:szCs w:val="20"/>
                <w:lang w:eastAsia="en-GB"/>
              </w:rPr>
              <w:t xml:space="preserve"> the</w:t>
            </w:r>
            <w:r w:rsidRPr="005E2ED3">
              <w:rPr>
                <w:rFonts w:eastAsia="Times New Roman" w:cs="Calibri"/>
                <w:color w:val="000000"/>
                <w:sz w:val="20"/>
                <w:szCs w:val="20"/>
                <w:lang w:eastAsia="en-GB"/>
              </w:rPr>
              <w:t xml:space="preserve"> F</w:t>
            </w:r>
            <w:r w:rsidR="00937856">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937856">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programme than to national surveillance systems. </w:t>
            </w:r>
          </w:p>
        </w:tc>
        <w:tc>
          <w:tcPr>
            <w:tcW w:w="3172" w:type="dxa"/>
            <w:tcBorders>
              <w:top w:val="nil"/>
              <w:left w:val="single" w:sz="6" w:space="0" w:color="auto"/>
              <w:bottom w:val="single" w:sz="6" w:space="0" w:color="auto"/>
              <w:right w:val="single" w:sz="6" w:space="0" w:color="auto"/>
            </w:tcBorders>
            <w:shd w:val="clear" w:color="auto" w:fill="FFC000"/>
            <w:hideMark/>
          </w:tcPr>
          <w:p w14:paraId="3CDFD38E" w14:textId="31728B94" w:rsidR="00651C0B" w:rsidRPr="005E2ED3" w:rsidRDefault="00F070E3"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eastAsia="en-GB"/>
              </w:rPr>
              <w:t xml:space="preserve">The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 xml:space="preserve">leming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und</w:t>
            </w:r>
            <w:r w:rsidR="00651C0B" w:rsidRPr="005E2ED3">
              <w:rPr>
                <w:rFonts w:eastAsia="Times New Roman" w:cs="Calibri"/>
                <w:color w:val="000000"/>
                <w:sz w:val="20"/>
                <w:szCs w:val="20"/>
                <w:lang w:eastAsia="en-GB"/>
              </w:rPr>
              <w:t xml:space="preserve"> seem</w:t>
            </w:r>
            <w:r>
              <w:rPr>
                <w:rFonts w:eastAsia="Times New Roman" w:cs="Calibri"/>
                <w:color w:val="000000"/>
                <w:sz w:val="20"/>
                <w:szCs w:val="20"/>
                <w:lang w:eastAsia="en-GB"/>
              </w:rPr>
              <w:t>s</w:t>
            </w:r>
            <w:r w:rsidR="00651C0B" w:rsidRPr="005E2ED3">
              <w:rPr>
                <w:rFonts w:eastAsia="Times New Roman" w:cs="Calibri"/>
                <w:color w:val="000000"/>
                <w:sz w:val="20"/>
                <w:szCs w:val="20"/>
                <w:lang w:eastAsia="en-GB"/>
              </w:rPr>
              <w:t xml:space="preserve"> to be well aligned and coordinated to some exten</w:t>
            </w:r>
            <w:r>
              <w:rPr>
                <w:rFonts w:eastAsia="Times New Roman" w:cs="Calibri"/>
                <w:color w:val="000000"/>
                <w:sz w:val="20"/>
                <w:szCs w:val="20"/>
                <w:lang w:eastAsia="en-GB"/>
              </w:rPr>
              <w:t>t</w:t>
            </w:r>
            <w:r w:rsidR="00651C0B" w:rsidRPr="005E2ED3">
              <w:rPr>
                <w:rFonts w:eastAsia="Times New Roman" w:cs="Calibri"/>
                <w:color w:val="000000"/>
                <w:sz w:val="20"/>
                <w:szCs w:val="20"/>
                <w:lang w:eastAsia="en-GB"/>
              </w:rPr>
              <w:t xml:space="preserve"> with some key DPs – e.g., WHO, FAO, UNDP. However, the strength of coordination between </w:t>
            </w:r>
            <w:r>
              <w:rPr>
                <w:rFonts w:eastAsia="Times New Roman" w:cs="Calibri"/>
                <w:color w:val="000000"/>
                <w:sz w:val="20"/>
                <w:szCs w:val="20"/>
                <w:lang w:eastAsia="en-GB"/>
              </w:rPr>
              <w:t xml:space="preserve">the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 xml:space="preserve">leming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und</w:t>
            </w:r>
            <w:r w:rsidR="00651C0B" w:rsidRPr="005E2ED3">
              <w:rPr>
                <w:rFonts w:eastAsia="Times New Roman" w:cs="Calibri"/>
                <w:color w:val="000000"/>
                <w:sz w:val="20"/>
                <w:szCs w:val="20"/>
                <w:lang w:eastAsia="en-GB"/>
              </w:rPr>
              <w:t xml:space="preserve"> and these DPs</w:t>
            </w:r>
            <w:r w:rsidR="00811FF7">
              <w:rPr>
                <w:rFonts w:eastAsia="Times New Roman" w:cs="Calibri"/>
                <w:color w:val="000000"/>
                <w:sz w:val="20"/>
                <w:szCs w:val="20"/>
                <w:lang w:eastAsia="en-GB"/>
              </w:rPr>
              <w:t xml:space="preserve"> is not clear</w:t>
            </w:r>
            <w:r w:rsidR="00651C0B" w:rsidRPr="005E2ED3">
              <w:rPr>
                <w:rFonts w:eastAsia="Times New Roman" w:cs="Calibri"/>
                <w:color w:val="000000"/>
                <w:sz w:val="20"/>
                <w:szCs w:val="20"/>
                <w:lang w:eastAsia="en-GB"/>
              </w:rPr>
              <w:t xml:space="preserve">. Also, very limited funders are known for AMR work in Ghana beyond </w:t>
            </w:r>
            <w:r>
              <w:rPr>
                <w:rFonts w:eastAsia="Times New Roman" w:cs="Calibri"/>
                <w:color w:val="000000"/>
                <w:sz w:val="20"/>
                <w:szCs w:val="20"/>
                <w:lang w:eastAsia="en-GB"/>
              </w:rPr>
              <w:t xml:space="preserve">the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 xml:space="preserve">leming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und</w:t>
            </w:r>
            <w:r w:rsidR="00651C0B" w:rsidRPr="005E2ED3">
              <w:rPr>
                <w:rFonts w:eastAsia="Times New Roman" w:cs="Calibri"/>
                <w:color w:val="000000"/>
                <w:sz w:val="20"/>
                <w:szCs w:val="20"/>
                <w:lang w:eastAsia="en-GB"/>
              </w:rPr>
              <w:t>.  </w:t>
            </w:r>
          </w:p>
          <w:p w14:paraId="71C3B1F2" w14:textId="0FD2B680"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eastAsia="en-GB"/>
              </w:rPr>
              <w:t>Also, multiple funders were mentioned at some sites (e.g. C</w:t>
            </w:r>
            <w:r w:rsidR="00CD545C">
              <w:rPr>
                <w:rFonts w:eastAsia="Times New Roman" w:cs="Calibri"/>
                <w:sz w:val="20"/>
                <w:szCs w:val="20"/>
                <w:lang w:eastAsia="en-GB"/>
              </w:rPr>
              <w:t xml:space="preserve">entral </w:t>
            </w:r>
            <w:r w:rsidRPr="005E2ED3">
              <w:rPr>
                <w:rFonts w:eastAsia="Times New Roman" w:cs="Calibri"/>
                <w:sz w:val="20"/>
                <w:szCs w:val="20"/>
                <w:lang w:eastAsia="en-GB"/>
              </w:rPr>
              <w:t>V</w:t>
            </w:r>
            <w:r w:rsidR="00CD545C">
              <w:rPr>
                <w:rFonts w:eastAsia="Times New Roman" w:cs="Calibri"/>
                <w:sz w:val="20"/>
                <w:szCs w:val="20"/>
                <w:lang w:eastAsia="en-GB"/>
              </w:rPr>
              <w:t xml:space="preserve">eterinary </w:t>
            </w:r>
            <w:r w:rsidRPr="005E2ED3">
              <w:rPr>
                <w:rFonts w:eastAsia="Times New Roman" w:cs="Calibri"/>
                <w:sz w:val="20"/>
                <w:szCs w:val="20"/>
                <w:lang w:eastAsia="en-GB"/>
              </w:rPr>
              <w:t>L</w:t>
            </w:r>
            <w:r w:rsidR="00CD545C">
              <w:rPr>
                <w:rFonts w:eastAsia="Times New Roman" w:cs="Calibri"/>
                <w:sz w:val="20"/>
                <w:szCs w:val="20"/>
                <w:lang w:eastAsia="en-GB"/>
              </w:rPr>
              <w:t>aboratory</w:t>
            </w:r>
            <w:r w:rsidRPr="005E2ED3">
              <w:rPr>
                <w:rFonts w:eastAsia="Times New Roman" w:cs="Calibri"/>
                <w:sz w:val="20"/>
                <w:szCs w:val="20"/>
                <w:lang w:eastAsia="en-GB"/>
              </w:rPr>
              <w:t xml:space="preserve">) but they seem not to have any links/coordination with </w:t>
            </w:r>
            <w:r w:rsidR="00811FF7">
              <w:rPr>
                <w:rFonts w:eastAsia="Times New Roman" w:cs="Calibri"/>
                <w:sz w:val="20"/>
                <w:szCs w:val="20"/>
                <w:lang w:eastAsia="en-GB"/>
              </w:rPr>
              <w:t xml:space="preserve">the </w:t>
            </w:r>
            <w:r w:rsidRPr="005E2ED3">
              <w:rPr>
                <w:rFonts w:eastAsia="Times New Roman" w:cs="Calibri"/>
                <w:sz w:val="20"/>
                <w:szCs w:val="20"/>
                <w:lang w:eastAsia="en-GB"/>
              </w:rPr>
              <w:t>F</w:t>
            </w:r>
            <w:r w:rsidR="00811FF7">
              <w:rPr>
                <w:rFonts w:eastAsia="Times New Roman" w:cs="Calibri"/>
                <w:sz w:val="20"/>
                <w:szCs w:val="20"/>
                <w:lang w:eastAsia="en-GB"/>
              </w:rPr>
              <w:t xml:space="preserve">leming </w:t>
            </w:r>
            <w:r w:rsidRPr="005E2ED3">
              <w:rPr>
                <w:rFonts w:eastAsia="Times New Roman" w:cs="Calibri"/>
                <w:sz w:val="20"/>
                <w:szCs w:val="20"/>
                <w:lang w:eastAsia="en-GB"/>
              </w:rPr>
              <w:t>F</w:t>
            </w:r>
            <w:r w:rsidR="00811FF7">
              <w:rPr>
                <w:rFonts w:eastAsia="Times New Roman" w:cs="Calibri"/>
                <w:sz w:val="20"/>
                <w:szCs w:val="20"/>
                <w:lang w:eastAsia="en-GB"/>
              </w:rPr>
              <w:t>und</w:t>
            </w:r>
            <w:r w:rsidRPr="005E2ED3">
              <w:rPr>
                <w:rFonts w:eastAsia="Times New Roman" w:cs="Calibri"/>
                <w:sz w:val="20"/>
                <w:szCs w:val="20"/>
                <w:lang w:eastAsia="en-GB"/>
              </w:rPr>
              <w:t xml:space="preserve">. </w:t>
            </w:r>
            <w:r w:rsidR="00811FF7">
              <w:rPr>
                <w:rFonts w:eastAsia="Times New Roman" w:cs="Calibri"/>
                <w:sz w:val="20"/>
                <w:szCs w:val="20"/>
                <w:lang w:eastAsia="en-GB"/>
              </w:rPr>
              <w:t>There is potentia</w:t>
            </w:r>
            <w:r>
              <w:rPr>
                <w:rFonts w:eastAsia="Times New Roman" w:cs="Calibri"/>
                <w:sz w:val="20"/>
                <w:szCs w:val="20"/>
                <w:lang w:eastAsia="en-GB"/>
              </w:rPr>
              <w:t xml:space="preserve">l </w:t>
            </w:r>
            <w:r w:rsidRPr="005E2ED3">
              <w:rPr>
                <w:rFonts w:eastAsia="Times New Roman" w:cs="Calibri"/>
                <w:sz w:val="20"/>
                <w:szCs w:val="20"/>
                <w:lang w:eastAsia="en-GB"/>
              </w:rPr>
              <w:t xml:space="preserve">overlap/duplication </w:t>
            </w:r>
            <w:r>
              <w:rPr>
                <w:rFonts w:eastAsia="Times New Roman" w:cs="Calibri"/>
                <w:sz w:val="20"/>
                <w:szCs w:val="20"/>
                <w:lang w:eastAsia="en-GB"/>
              </w:rPr>
              <w:t xml:space="preserve">as </w:t>
            </w:r>
            <w:r w:rsidRPr="005E2ED3">
              <w:rPr>
                <w:rFonts w:eastAsia="Times New Roman" w:cs="Calibri"/>
                <w:sz w:val="20"/>
                <w:szCs w:val="20"/>
                <w:lang w:eastAsia="en-GB"/>
              </w:rPr>
              <w:t>these partners also provide equipment and consumables. </w:t>
            </w:r>
          </w:p>
        </w:tc>
        <w:tc>
          <w:tcPr>
            <w:tcW w:w="3465" w:type="dxa"/>
            <w:tcBorders>
              <w:top w:val="nil"/>
              <w:left w:val="single" w:sz="6" w:space="0" w:color="auto"/>
              <w:bottom w:val="single" w:sz="6" w:space="0" w:color="auto"/>
              <w:right w:val="single" w:sz="6" w:space="0" w:color="auto"/>
            </w:tcBorders>
            <w:shd w:val="clear" w:color="auto" w:fill="FFC000"/>
            <w:hideMark/>
          </w:tcPr>
          <w:p w14:paraId="7B8E7610" w14:textId="708051F6"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Alignment with government has multiple weaknesses</w:t>
            </w:r>
            <w:r>
              <w:rPr>
                <w:rFonts w:eastAsia="Times New Roman" w:cs="Calibri"/>
                <w:color w:val="000000"/>
                <w:sz w:val="20"/>
                <w:szCs w:val="20"/>
                <w:lang w:eastAsia="en-GB"/>
              </w:rPr>
              <w:t>. I</w:t>
            </w:r>
            <w:r w:rsidR="00811FF7">
              <w:rPr>
                <w:rFonts w:eastAsia="Times New Roman" w:cs="Calibri"/>
                <w:color w:val="000000"/>
                <w:sz w:val="20"/>
                <w:szCs w:val="20"/>
                <w:lang w:eastAsia="en-GB"/>
              </w:rPr>
              <w:t>t i</w:t>
            </w:r>
            <w:r w:rsidRPr="005E2ED3">
              <w:rPr>
                <w:rFonts w:eastAsia="Times New Roman" w:cs="Calibri"/>
                <w:color w:val="000000"/>
                <w:sz w:val="20"/>
                <w:szCs w:val="20"/>
                <w:lang w:eastAsia="en-GB"/>
              </w:rPr>
              <w:t xml:space="preserve">mproved over time but </w:t>
            </w:r>
            <w:r w:rsidR="00811FF7">
              <w:rPr>
                <w:rFonts w:eastAsia="Times New Roman" w:cs="Calibri"/>
                <w:color w:val="000000"/>
                <w:sz w:val="20"/>
                <w:szCs w:val="20"/>
                <w:lang w:eastAsia="en-GB"/>
              </w:rPr>
              <w:t xml:space="preserve">the </w:t>
            </w:r>
            <w:r w:rsidRPr="005E2ED3">
              <w:rPr>
                <w:rFonts w:eastAsia="Times New Roman" w:cs="Calibri"/>
                <w:color w:val="000000"/>
                <w:sz w:val="20"/>
                <w:szCs w:val="20"/>
                <w:lang w:eastAsia="en-GB"/>
              </w:rPr>
              <w:t xml:space="preserve">effects of </w:t>
            </w:r>
            <w:r w:rsidR="00811FF7">
              <w:rPr>
                <w:rFonts w:eastAsia="Times New Roman" w:cs="Calibri"/>
                <w:color w:val="000000"/>
                <w:sz w:val="20"/>
                <w:szCs w:val="20"/>
                <w:lang w:eastAsia="en-GB"/>
              </w:rPr>
              <w:t xml:space="preserve">the </w:t>
            </w:r>
            <w:r w:rsidRPr="005E2ED3">
              <w:rPr>
                <w:rFonts w:eastAsia="Times New Roman" w:cs="Calibri"/>
                <w:color w:val="000000"/>
                <w:sz w:val="20"/>
                <w:szCs w:val="20"/>
                <w:lang w:eastAsia="en-GB"/>
              </w:rPr>
              <w:t>F</w:t>
            </w:r>
            <w:r w:rsidR="00811FF7">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811FF7">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w:t>
            </w:r>
            <w:r>
              <w:rPr>
                <w:rFonts w:eastAsia="Times New Roman" w:cs="Calibri"/>
                <w:color w:val="000000"/>
                <w:sz w:val="20"/>
                <w:szCs w:val="20"/>
                <w:lang w:eastAsia="en-GB"/>
              </w:rPr>
              <w:t xml:space="preserve">working outside </w:t>
            </w:r>
            <w:r w:rsidRPr="005E2ED3">
              <w:rPr>
                <w:rFonts w:eastAsia="Times New Roman" w:cs="Calibri"/>
                <w:color w:val="000000"/>
                <w:sz w:val="20"/>
                <w:szCs w:val="20"/>
                <w:lang w:eastAsia="en-GB"/>
              </w:rPr>
              <w:t xml:space="preserve">government structures </w:t>
            </w:r>
            <w:r w:rsidR="00811FF7">
              <w:rPr>
                <w:rFonts w:eastAsia="Times New Roman" w:cs="Calibri"/>
                <w:color w:val="000000"/>
                <w:sz w:val="20"/>
                <w:szCs w:val="20"/>
                <w:lang w:eastAsia="en-GB"/>
              </w:rPr>
              <w:t xml:space="preserve">were </w:t>
            </w:r>
            <w:r>
              <w:rPr>
                <w:rFonts w:eastAsia="Times New Roman" w:cs="Calibri"/>
                <w:color w:val="000000"/>
                <w:sz w:val="20"/>
                <w:szCs w:val="20"/>
                <w:lang w:eastAsia="en-GB"/>
              </w:rPr>
              <w:t xml:space="preserve">still felt in </w:t>
            </w:r>
            <w:r w:rsidRPr="005E2ED3">
              <w:rPr>
                <w:rFonts w:eastAsia="Times New Roman" w:cs="Calibri"/>
                <w:color w:val="000000"/>
                <w:sz w:val="20"/>
                <w:szCs w:val="20"/>
                <w:lang w:eastAsia="en-GB"/>
              </w:rPr>
              <w:t xml:space="preserve">different ways. </w:t>
            </w:r>
            <w:r w:rsidR="00811FF7">
              <w:rPr>
                <w:rFonts w:eastAsia="Times New Roman" w:cs="Calibri"/>
                <w:color w:val="000000"/>
                <w:sz w:val="20"/>
                <w:szCs w:val="20"/>
                <w:lang w:eastAsia="en-GB"/>
              </w:rPr>
              <w:t>There are g</w:t>
            </w:r>
            <w:r w:rsidRPr="005E2ED3">
              <w:rPr>
                <w:rFonts w:eastAsia="Times New Roman" w:cs="Calibri"/>
                <w:color w:val="000000"/>
                <w:sz w:val="20"/>
                <w:szCs w:val="20"/>
                <w:lang w:eastAsia="en-GB"/>
              </w:rPr>
              <w:t xml:space="preserve">ood relations with </w:t>
            </w:r>
            <w:r w:rsidR="00811FF7">
              <w:rPr>
                <w:rFonts w:eastAsia="Times New Roman" w:cs="Calibri"/>
                <w:color w:val="000000"/>
                <w:sz w:val="20"/>
                <w:szCs w:val="20"/>
                <w:lang w:eastAsia="en-GB"/>
              </w:rPr>
              <w:t xml:space="preserve">the </w:t>
            </w:r>
            <w:r w:rsidRPr="005E2ED3">
              <w:rPr>
                <w:rFonts w:eastAsia="Times New Roman" w:cs="Calibri"/>
                <w:color w:val="000000"/>
                <w:sz w:val="20"/>
                <w:szCs w:val="20"/>
                <w:lang w:eastAsia="en-GB"/>
              </w:rPr>
              <w:t>AMRCC</w:t>
            </w:r>
            <w:r w:rsidR="00811FF7">
              <w:rPr>
                <w:rFonts w:eastAsia="Times New Roman" w:cs="Calibri"/>
                <w:color w:val="000000"/>
                <w:sz w:val="20"/>
                <w:szCs w:val="20"/>
                <w:lang w:eastAsia="en-GB"/>
              </w:rPr>
              <w:t>. T</w:t>
            </w:r>
            <w:r w:rsidRPr="005E2ED3">
              <w:rPr>
                <w:rFonts w:eastAsia="Times New Roman" w:cs="Calibri"/>
                <w:color w:val="000000"/>
                <w:sz w:val="20"/>
                <w:szCs w:val="20"/>
                <w:lang w:eastAsia="en-GB"/>
              </w:rPr>
              <w:t>he AMRCC plays a coordinating role to ensure partner activities are aligned to government plans/priorities of the NAP.  </w:t>
            </w:r>
          </w:p>
          <w:p w14:paraId="23544C69" w14:textId="05D54B53"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Some coordination exists especially among CGs and </w:t>
            </w:r>
            <w:r w:rsidR="00811FF7">
              <w:rPr>
                <w:rFonts w:eastAsia="Times New Roman" w:cs="Calibri"/>
                <w:color w:val="000000"/>
                <w:sz w:val="20"/>
                <w:szCs w:val="20"/>
                <w:lang w:eastAsia="en-GB"/>
              </w:rPr>
              <w:t>Fleming Fellows</w:t>
            </w:r>
            <w:r w:rsidR="00811FF7" w:rsidRPr="005E2ED3">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 xml:space="preserve">and this seems to have also improved over time especially at the introduction of CCMs. However, </w:t>
            </w:r>
            <w:r w:rsidR="00811FF7">
              <w:rPr>
                <w:rFonts w:eastAsia="Times New Roman" w:cs="Calibri"/>
                <w:color w:val="000000"/>
                <w:sz w:val="20"/>
                <w:szCs w:val="20"/>
                <w:lang w:eastAsia="en-GB"/>
              </w:rPr>
              <w:t xml:space="preserve">there is </w:t>
            </w:r>
            <w:r w:rsidRPr="005E2ED3">
              <w:rPr>
                <w:rFonts w:eastAsia="Times New Roman" w:cs="Calibri"/>
                <w:color w:val="000000"/>
                <w:sz w:val="20"/>
                <w:szCs w:val="20"/>
                <w:lang w:eastAsia="en-GB"/>
              </w:rPr>
              <w:t>limited/weak coordination between CGs and regional and global grants. </w:t>
            </w:r>
          </w:p>
          <w:p w14:paraId="740410B6" w14:textId="73314C5E" w:rsidR="00651C0B" w:rsidRPr="005E2ED3" w:rsidRDefault="00811FF7"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eastAsia="en-GB"/>
              </w:rPr>
              <w:t>There is e</w:t>
            </w:r>
            <w:r w:rsidR="00651C0B" w:rsidRPr="005E2ED3">
              <w:rPr>
                <w:rFonts w:eastAsia="Times New Roman" w:cs="Calibri"/>
                <w:color w:val="000000"/>
                <w:sz w:val="20"/>
                <w:szCs w:val="20"/>
                <w:lang w:eastAsia="en-GB"/>
              </w:rPr>
              <w:t>vidence of good alignment with a small circle of DPs, but no</w:t>
            </w:r>
            <w:r w:rsidR="00651C0B">
              <w:rPr>
                <w:rFonts w:eastAsia="Times New Roman" w:cs="Calibri"/>
                <w:color w:val="000000"/>
                <w:sz w:val="20"/>
                <w:szCs w:val="20"/>
                <w:lang w:eastAsia="en-GB"/>
              </w:rPr>
              <w:t>t</w:t>
            </w:r>
            <w:r w:rsidR="00651C0B" w:rsidRPr="005E2ED3">
              <w:rPr>
                <w:rFonts w:eastAsia="Times New Roman" w:cs="Calibri"/>
                <w:color w:val="000000"/>
                <w:sz w:val="20"/>
                <w:szCs w:val="20"/>
                <w:lang w:eastAsia="en-GB"/>
              </w:rPr>
              <w:t xml:space="preserve"> </w:t>
            </w:r>
            <w:r>
              <w:rPr>
                <w:rFonts w:eastAsia="Times New Roman" w:cs="Calibri"/>
                <w:color w:val="000000"/>
                <w:sz w:val="20"/>
                <w:szCs w:val="20"/>
                <w:lang w:eastAsia="en-GB"/>
              </w:rPr>
              <w:t xml:space="preserve">of </w:t>
            </w:r>
            <w:r w:rsidR="00651C0B" w:rsidRPr="005E2ED3">
              <w:rPr>
                <w:rFonts w:eastAsia="Times New Roman" w:cs="Calibri"/>
                <w:color w:val="000000"/>
                <w:sz w:val="20"/>
                <w:szCs w:val="20"/>
                <w:lang w:eastAsia="en-GB"/>
              </w:rPr>
              <w:t>formal coordination</w:t>
            </w:r>
            <w:r>
              <w:rPr>
                <w:rFonts w:eastAsia="Times New Roman" w:cs="Calibri"/>
                <w:color w:val="000000"/>
                <w:sz w:val="20"/>
                <w:szCs w:val="20"/>
                <w:lang w:eastAsia="en-GB"/>
              </w:rPr>
              <w:t>; and l</w:t>
            </w:r>
            <w:r w:rsidR="00651C0B" w:rsidRPr="005E2ED3">
              <w:rPr>
                <w:rFonts w:eastAsia="Times New Roman" w:cs="Calibri"/>
                <w:color w:val="000000"/>
                <w:sz w:val="20"/>
                <w:szCs w:val="20"/>
                <w:lang w:eastAsia="en-GB"/>
              </w:rPr>
              <w:t>ittle to no evidence of coordination with other wider DPs</w:t>
            </w:r>
            <w:r w:rsidR="00651C0B">
              <w:rPr>
                <w:rFonts w:eastAsia="Times New Roman" w:cs="Calibri"/>
                <w:color w:val="000000"/>
                <w:sz w:val="20"/>
                <w:szCs w:val="20"/>
                <w:lang w:eastAsia="en-GB"/>
              </w:rPr>
              <w:t>.</w:t>
            </w:r>
          </w:p>
        </w:tc>
      </w:tr>
      <w:tr w:rsidR="00651C0B" w:rsidRPr="005E2ED3" w14:paraId="06619961" w14:textId="77777777" w:rsidTr="00651C0B">
        <w:trPr>
          <w:trHeight w:val="255"/>
        </w:trPr>
        <w:tc>
          <w:tcPr>
            <w:tcW w:w="1257" w:type="dxa"/>
            <w:tcBorders>
              <w:top w:val="nil"/>
              <w:left w:val="single" w:sz="6" w:space="0" w:color="auto"/>
              <w:bottom w:val="single" w:sz="6" w:space="0" w:color="auto"/>
              <w:right w:val="single" w:sz="6" w:space="0" w:color="auto"/>
            </w:tcBorders>
            <w:shd w:val="clear" w:color="auto" w:fill="auto"/>
            <w:hideMark/>
          </w:tcPr>
          <w:p w14:paraId="7AEB306D"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563C1"/>
                <w:sz w:val="20"/>
                <w:szCs w:val="20"/>
                <w:u w:val="single"/>
                <w:lang w:eastAsia="en-GB"/>
              </w:rPr>
              <w:t>Indonesia</w:t>
            </w:r>
            <w:r w:rsidRPr="005E2ED3">
              <w:rPr>
                <w:rFonts w:eastAsia="Times New Roman" w:cs="Calibri"/>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00B050"/>
            <w:hideMark/>
          </w:tcPr>
          <w:p w14:paraId="2BADBB3D"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val="en-US" w:eastAsia="en-GB"/>
              </w:rPr>
              <w:t xml:space="preserve">Good alignment with government priorities. </w:t>
            </w:r>
            <w:r w:rsidRPr="005E2ED3">
              <w:rPr>
                <w:rFonts w:eastAsia="Times New Roman" w:cs="Calibri"/>
                <w:color w:val="000000"/>
                <w:sz w:val="20"/>
                <w:szCs w:val="20"/>
                <w:lang w:eastAsia="en-GB"/>
              </w:rPr>
              <w:t>Examples of responding to emerging government requests. </w:t>
            </w:r>
          </w:p>
          <w:p w14:paraId="42F4CD88"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w:t>
            </w:r>
          </w:p>
        </w:tc>
        <w:tc>
          <w:tcPr>
            <w:tcW w:w="3452" w:type="dxa"/>
            <w:tcBorders>
              <w:top w:val="nil"/>
              <w:left w:val="single" w:sz="6" w:space="0" w:color="auto"/>
              <w:bottom w:val="single" w:sz="6" w:space="0" w:color="auto"/>
              <w:right w:val="single" w:sz="6" w:space="0" w:color="auto"/>
            </w:tcBorders>
            <w:shd w:val="clear" w:color="auto" w:fill="00B050"/>
            <w:hideMark/>
          </w:tcPr>
          <w:p w14:paraId="447DA0FD" w14:textId="670E4205" w:rsidR="00651C0B" w:rsidRPr="005E2ED3" w:rsidRDefault="006B6878"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val="en-US" w:eastAsia="en-GB"/>
              </w:rPr>
              <w:t xml:space="preserve">There are </w:t>
            </w:r>
            <w:r w:rsidRPr="005E2ED3">
              <w:rPr>
                <w:rFonts w:eastAsia="Times New Roman" w:cs="Calibri"/>
                <w:color w:val="000000"/>
                <w:sz w:val="20"/>
                <w:szCs w:val="20"/>
                <w:lang w:val="en-US" w:eastAsia="en-GB"/>
              </w:rPr>
              <w:t xml:space="preserve">some </w:t>
            </w:r>
            <w:r w:rsidR="00651C0B" w:rsidRPr="005E2ED3">
              <w:rPr>
                <w:rFonts w:eastAsia="Times New Roman" w:cs="Calibri"/>
                <w:color w:val="000000"/>
                <w:sz w:val="20"/>
                <w:szCs w:val="20"/>
                <w:lang w:val="en-US" w:eastAsia="en-GB"/>
              </w:rPr>
              <w:t xml:space="preserve">positive examples of collaboration between CG, Fleming Fellows and RGs. Country coordination </w:t>
            </w:r>
            <w:r w:rsidR="008211AD">
              <w:rPr>
                <w:rFonts w:eastAsia="Times New Roman" w:cs="Calibri"/>
                <w:color w:val="000000"/>
                <w:sz w:val="20"/>
                <w:szCs w:val="20"/>
                <w:lang w:val="en-US" w:eastAsia="en-GB"/>
              </w:rPr>
              <w:t>meetings</w:t>
            </w:r>
            <w:r w:rsidR="00651C0B" w:rsidRPr="005E2ED3">
              <w:rPr>
                <w:rFonts w:eastAsia="Times New Roman" w:cs="Calibri"/>
                <w:color w:val="000000"/>
                <w:sz w:val="20"/>
                <w:szCs w:val="20"/>
                <w:lang w:val="en-US" w:eastAsia="en-GB"/>
              </w:rPr>
              <w:t xml:space="preserve"> seem to be very effective and had good participation from internal and external stakeholders .</w:t>
            </w:r>
            <w:r w:rsidR="00651C0B" w:rsidRPr="005E2ED3">
              <w:rPr>
                <w:rFonts w:eastAsia="Times New Roman" w:cs="Calibri"/>
                <w:color w:val="000000"/>
                <w:sz w:val="20"/>
                <w:szCs w:val="20"/>
                <w:lang w:eastAsia="en-GB"/>
              </w:rPr>
              <w:t> </w:t>
            </w:r>
          </w:p>
        </w:tc>
        <w:tc>
          <w:tcPr>
            <w:tcW w:w="3172" w:type="dxa"/>
            <w:tcBorders>
              <w:top w:val="nil"/>
              <w:left w:val="single" w:sz="6" w:space="0" w:color="auto"/>
              <w:bottom w:val="single" w:sz="6" w:space="0" w:color="auto"/>
              <w:right w:val="single" w:sz="6" w:space="0" w:color="auto"/>
            </w:tcBorders>
            <w:shd w:val="clear" w:color="auto" w:fill="00B050"/>
            <w:hideMark/>
          </w:tcPr>
          <w:p w14:paraId="6BEA4770" w14:textId="17B0AE8E" w:rsidR="00651C0B" w:rsidRPr="005E2ED3" w:rsidRDefault="006B6878" w:rsidP="006B6878">
            <w:pPr>
              <w:textAlignment w:val="baseline"/>
              <w:rPr>
                <w:rFonts w:ascii="Segoe UI" w:eastAsia="Times New Roman" w:hAnsi="Segoe UI" w:cs="Segoe UI"/>
                <w:sz w:val="18"/>
                <w:szCs w:val="18"/>
                <w:lang w:eastAsia="en-GB"/>
              </w:rPr>
            </w:pPr>
            <w:r>
              <w:rPr>
                <w:rFonts w:eastAsia="Times New Roman" w:cs="Calibri"/>
                <w:color w:val="000000"/>
                <w:sz w:val="20"/>
                <w:szCs w:val="20"/>
                <w:lang w:val="en-US" w:eastAsia="en-GB"/>
              </w:rPr>
              <w:t>The r</w:t>
            </w:r>
            <w:r w:rsidR="00651C0B" w:rsidRPr="005E2ED3">
              <w:rPr>
                <w:rFonts w:eastAsia="Times New Roman" w:cs="Calibri"/>
                <w:color w:val="000000"/>
                <w:sz w:val="20"/>
                <w:szCs w:val="20"/>
                <w:lang w:val="en-US" w:eastAsia="en-GB"/>
              </w:rPr>
              <w:t xml:space="preserve">isk of external duplication is currently very low, activities </w:t>
            </w:r>
            <w:r>
              <w:rPr>
                <w:rFonts w:eastAsia="Times New Roman" w:cs="Calibri"/>
                <w:color w:val="000000"/>
                <w:sz w:val="20"/>
                <w:szCs w:val="20"/>
                <w:lang w:val="en-US" w:eastAsia="en-GB"/>
              </w:rPr>
              <w:t xml:space="preserve">are </w:t>
            </w:r>
            <w:r w:rsidR="00651C0B" w:rsidRPr="005E2ED3">
              <w:rPr>
                <w:rFonts w:eastAsia="Times New Roman" w:cs="Calibri"/>
                <w:color w:val="000000"/>
                <w:sz w:val="20"/>
                <w:szCs w:val="20"/>
                <w:lang w:val="en-US" w:eastAsia="en-GB"/>
              </w:rPr>
              <w:t>coordinated with other DPs in the country like FAO, DFAT, WHO and USAID </w:t>
            </w:r>
            <w:r w:rsidR="00651C0B" w:rsidRPr="005E2ED3">
              <w:rPr>
                <w:rFonts w:eastAsia="Times New Roman" w:cs="Calibri"/>
                <w:sz w:val="20"/>
                <w:szCs w:val="20"/>
                <w:lang w:eastAsia="en-GB"/>
              </w:rPr>
              <w:t> </w:t>
            </w:r>
          </w:p>
        </w:tc>
        <w:tc>
          <w:tcPr>
            <w:tcW w:w="3465" w:type="dxa"/>
            <w:tcBorders>
              <w:top w:val="nil"/>
              <w:left w:val="single" w:sz="6" w:space="0" w:color="auto"/>
              <w:bottom w:val="single" w:sz="6" w:space="0" w:color="auto"/>
              <w:right w:val="single" w:sz="6" w:space="0" w:color="auto"/>
            </w:tcBorders>
            <w:shd w:val="clear" w:color="auto" w:fill="00B050"/>
            <w:hideMark/>
          </w:tcPr>
          <w:p w14:paraId="15C374B9" w14:textId="5EF7778D"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eastAsia="en-GB"/>
              </w:rPr>
              <w:t xml:space="preserve">Overall good coherence with </w:t>
            </w:r>
            <w:r w:rsidR="006B6878">
              <w:rPr>
                <w:rFonts w:eastAsia="Times New Roman" w:cs="Calibri"/>
                <w:sz w:val="20"/>
                <w:szCs w:val="20"/>
                <w:lang w:eastAsia="en-GB"/>
              </w:rPr>
              <w:t>government</w:t>
            </w:r>
            <w:r w:rsidRPr="005E2ED3">
              <w:rPr>
                <w:rFonts w:eastAsia="Times New Roman" w:cs="Calibri"/>
                <w:sz w:val="20"/>
                <w:szCs w:val="20"/>
                <w:lang w:eastAsia="en-GB"/>
              </w:rPr>
              <w:t>, CG, RG and D</w:t>
            </w:r>
            <w:r w:rsidR="006B6878">
              <w:rPr>
                <w:rFonts w:eastAsia="Times New Roman" w:cs="Calibri"/>
                <w:sz w:val="20"/>
                <w:szCs w:val="20"/>
                <w:lang w:eastAsia="en-GB"/>
              </w:rPr>
              <w:t>P</w:t>
            </w:r>
            <w:r w:rsidRPr="005E2ED3">
              <w:rPr>
                <w:rFonts w:eastAsia="Times New Roman" w:cs="Calibri"/>
                <w:sz w:val="20"/>
                <w:szCs w:val="20"/>
                <w:lang w:eastAsia="en-GB"/>
              </w:rPr>
              <w:t>s.   </w:t>
            </w:r>
          </w:p>
        </w:tc>
      </w:tr>
      <w:tr w:rsidR="00651C0B" w:rsidRPr="005E2ED3" w14:paraId="27F66D33" w14:textId="77777777" w:rsidTr="00651C0B">
        <w:trPr>
          <w:trHeight w:val="255"/>
        </w:trPr>
        <w:tc>
          <w:tcPr>
            <w:tcW w:w="1257" w:type="dxa"/>
            <w:tcBorders>
              <w:top w:val="nil"/>
              <w:left w:val="single" w:sz="6" w:space="0" w:color="auto"/>
              <w:bottom w:val="single" w:sz="6" w:space="0" w:color="auto"/>
              <w:right w:val="single" w:sz="6" w:space="0" w:color="auto"/>
            </w:tcBorders>
            <w:shd w:val="clear" w:color="auto" w:fill="auto"/>
            <w:hideMark/>
          </w:tcPr>
          <w:p w14:paraId="6945CC3E"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563C1"/>
                <w:sz w:val="20"/>
                <w:szCs w:val="20"/>
                <w:u w:val="single"/>
                <w:lang w:eastAsia="en-GB"/>
              </w:rPr>
              <w:t>Kenya</w:t>
            </w:r>
            <w:r w:rsidRPr="005E2ED3">
              <w:rPr>
                <w:rFonts w:eastAsia="Times New Roman" w:cs="Calibri"/>
                <w:color w:val="000000"/>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00B050"/>
            <w:hideMark/>
          </w:tcPr>
          <w:p w14:paraId="35B95498" w14:textId="3929985D"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F</w:t>
            </w:r>
            <w:r w:rsidR="000B2BED">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0B2BED">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investments are very well aligned with the National AMR strategy, NAP and other government policies to alleviate AMR. </w:t>
            </w:r>
          </w:p>
          <w:p w14:paraId="21EF1E8B" w14:textId="77777777" w:rsidR="00651C0B" w:rsidRPr="005E2ED3" w:rsidRDefault="00651C0B" w:rsidP="00BD1EB9">
            <w:pPr>
              <w:textAlignment w:val="baseline"/>
              <w:rPr>
                <w:rFonts w:ascii="Segoe UI" w:eastAsia="Times New Roman" w:hAnsi="Segoe UI" w:cs="Segoe UI"/>
                <w:color w:val="000000"/>
                <w:sz w:val="18"/>
                <w:szCs w:val="18"/>
                <w:lang w:eastAsia="en-GB"/>
              </w:rPr>
            </w:pPr>
          </w:p>
        </w:tc>
        <w:tc>
          <w:tcPr>
            <w:tcW w:w="3452" w:type="dxa"/>
            <w:tcBorders>
              <w:top w:val="nil"/>
              <w:left w:val="single" w:sz="6" w:space="0" w:color="auto"/>
              <w:bottom w:val="single" w:sz="6" w:space="0" w:color="auto"/>
              <w:right w:val="single" w:sz="6" w:space="0" w:color="auto"/>
            </w:tcBorders>
            <w:shd w:val="clear" w:color="auto" w:fill="FFC000"/>
            <w:hideMark/>
          </w:tcPr>
          <w:p w14:paraId="6D736D5F" w14:textId="1A7E0DE1" w:rsidR="00651C0B" w:rsidRPr="005E2ED3" w:rsidRDefault="00651C0B"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eastAsia="en-GB"/>
              </w:rPr>
              <w:t>V</w:t>
            </w:r>
            <w:r w:rsidRPr="005E2ED3">
              <w:rPr>
                <w:rFonts w:eastAsia="Times New Roman" w:cs="Calibri"/>
                <w:color w:val="000000"/>
                <w:sz w:val="20"/>
                <w:szCs w:val="20"/>
                <w:lang w:eastAsia="en-GB"/>
              </w:rPr>
              <w:t>arious attempts by</w:t>
            </w:r>
            <w:r w:rsidR="000B2BED">
              <w:rPr>
                <w:rFonts w:eastAsia="Times New Roman" w:cs="Calibri"/>
                <w:color w:val="000000"/>
                <w:sz w:val="20"/>
                <w:szCs w:val="20"/>
                <w:lang w:eastAsia="en-GB"/>
              </w:rPr>
              <w:t xml:space="preserve"> a</w:t>
            </w:r>
            <w:r w:rsidRPr="005E2ED3">
              <w:rPr>
                <w:rFonts w:eastAsia="Times New Roman" w:cs="Calibri"/>
                <w:color w:val="000000"/>
                <w:sz w:val="20"/>
                <w:szCs w:val="20"/>
                <w:lang w:eastAsia="en-GB"/>
              </w:rPr>
              <w:t xml:space="preserve"> former </w:t>
            </w:r>
            <w:r>
              <w:rPr>
                <w:rFonts w:eastAsia="Times New Roman" w:cs="Calibri"/>
                <w:color w:val="000000"/>
                <w:sz w:val="20"/>
                <w:szCs w:val="20"/>
                <w:lang w:eastAsia="en-GB"/>
              </w:rPr>
              <w:t>CG</w:t>
            </w:r>
            <w:r w:rsidRPr="005E2ED3">
              <w:rPr>
                <w:rFonts w:eastAsia="Times New Roman" w:cs="Calibri"/>
                <w:color w:val="000000"/>
                <w:sz w:val="20"/>
                <w:szCs w:val="20"/>
                <w:lang w:eastAsia="en-GB"/>
              </w:rPr>
              <w:t xml:space="preserve"> to support internal coordination</w:t>
            </w:r>
            <w:r>
              <w:rPr>
                <w:rFonts w:eastAsia="Times New Roman" w:cs="Calibri"/>
                <w:color w:val="000000"/>
                <w:sz w:val="20"/>
                <w:szCs w:val="20"/>
                <w:lang w:eastAsia="en-GB"/>
              </w:rPr>
              <w:t xml:space="preserve">, with mixed </w:t>
            </w:r>
            <w:r w:rsidRPr="005E2ED3">
              <w:rPr>
                <w:rFonts w:eastAsia="Times New Roman" w:cs="Calibri"/>
                <w:color w:val="000000"/>
                <w:sz w:val="20"/>
                <w:szCs w:val="20"/>
                <w:lang w:eastAsia="en-GB"/>
              </w:rPr>
              <w:t>results</w:t>
            </w:r>
            <w:r>
              <w:rPr>
                <w:rFonts w:eastAsia="Times New Roman" w:cs="Calibri"/>
                <w:color w:val="000000"/>
                <w:sz w:val="20"/>
                <w:szCs w:val="20"/>
                <w:lang w:eastAsia="en-GB"/>
              </w:rPr>
              <w:t xml:space="preserve">. Ending </w:t>
            </w:r>
            <w:r w:rsidRPr="005E2ED3">
              <w:rPr>
                <w:rFonts w:eastAsia="Times New Roman" w:cs="Calibri"/>
                <w:color w:val="000000"/>
                <w:sz w:val="20"/>
                <w:szCs w:val="20"/>
                <w:lang w:eastAsia="en-GB"/>
              </w:rPr>
              <w:t>original CG earl</w:t>
            </w:r>
            <w:r>
              <w:rPr>
                <w:rFonts w:eastAsia="Times New Roman" w:cs="Calibri"/>
                <w:color w:val="000000"/>
                <w:sz w:val="20"/>
                <w:szCs w:val="20"/>
                <w:lang w:eastAsia="en-GB"/>
              </w:rPr>
              <w:t>y</w:t>
            </w:r>
            <w:r w:rsidRPr="005E2ED3">
              <w:rPr>
                <w:rFonts w:eastAsia="Times New Roman" w:cs="Calibri"/>
                <w:color w:val="000000"/>
                <w:sz w:val="20"/>
                <w:szCs w:val="20"/>
                <w:lang w:eastAsia="en-GB"/>
              </w:rPr>
              <w:t xml:space="preserve"> compounded these challenges and reduced internal coherence</w:t>
            </w:r>
            <w:r>
              <w:rPr>
                <w:rFonts w:eastAsia="Times New Roman" w:cs="Calibri"/>
                <w:color w:val="000000"/>
                <w:sz w:val="20"/>
                <w:szCs w:val="20"/>
                <w:lang w:eastAsia="en-GB"/>
              </w:rPr>
              <w:t xml:space="preserve"> - </w:t>
            </w:r>
            <w:r w:rsidRPr="005E2ED3">
              <w:rPr>
                <w:rFonts w:eastAsia="Times New Roman" w:cs="Calibri"/>
                <w:color w:val="000000"/>
                <w:sz w:val="20"/>
                <w:szCs w:val="20"/>
                <w:lang w:eastAsia="en-GB"/>
              </w:rPr>
              <w:t>stakeholders rais</w:t>
            </w:r>
            <w:r>
              <w:rPr>
                <w:rFonts w:eastAsia="Times New Roman" w:cs="Calibri"/>
                <w:color w:val="000000"/>
                <w:sz w:val="20"/>
                <w:szCs w:val="20"/>
                <w:lang w:eastAsia="en-GB"/>
              </w:rPr>
              <w:t>ed</w:t>
            </w:r>
            <w:r w:rsidRPr="005E2ED3">
              <w:rPr>
                <w:rFonts w:eastAsia="Times New Roman" w:cs="Calibri"/>
                <w:color w:val="000000"/>
                <w:sz w:val="20"/>
                <w:szCs w:val="20"/>
                <w:lang w:eastAsia="en-GB"/>
              </w:rPr>
              <w:t xml:space="preserve"> lack of communication between different F</w:t>
            </w:r>
            <w:r w:rsidR="00BA1982">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BA1982">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interventions and</w:t>
            </w:r>
            <w:r w:rsidR="000B2BED">
              <w:rPr>
                <w:rFonts w:eastAsia="Times New Roman" w:cs="Calibri"/>
                <w:color w:val="000000"/>
                <w:sz w:val="20"/>
                <w:szCs w:val="20"/>
                <w:lang w:eastAsia="en-GB"/>
              </w:rPr>
              <w:t xml:space="preserve"> there was an</w:t>
            </w:r>
            <w:r w:rsidRPr="005E2ED3">
              <w:rPr>
                <w:rFonts w:eastAsia="Times New Roman" w:cs="Calibri"/>
                <w:color w:val="000000"/>
                <w:sz w:val="20"/>
                <w:szCs w:val="20"/>
                <w:lang w:eastAsia="en-GB"/>
              </w:rPr>
              <w:t xml:space="preserve"> </w:t>
            </w:r>
            <w:r>
              <w:rPr>
                <w:rFonts w:eastAsia="Times New Roman" w:cs="Calibri"/>
                <w:color w:val="000000"/>
                <w:sz w:val="20"/>
                <w:szCs w:val="20"/>
                <w:lang w:eastAsia="en-GB"/>
              </w:rPr>
              <w:t>over-</w:t>
            </w:r>
            <w:r w:rsidRPr="005E2ED3">
              <w:rPr>
                <w:rFonts w:eastAsia="Times New Roman" w:cs="Calibri"/>
                <w:color w:val="000000"/>
                <w:sz w:val="20"/>
                <w:szCs w:val="20"/>
                <w:lang w:eastAsia="en-GB"/>
              </w:rPr>
              <w:t>focus on individual work</w:t>
            </w:r>
            <w:r w:rsidR="000B2BED">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plans at the expense of coherence. </w:t>
            </w:r>
          </w:p>
        </w:tc>
        <w:tc>
          <w:tcPr>
            <w:tcW w:w="3172" w:type="dxa"/>
            <w:tcBorders>
              <w:top w:val="nil"/>
              <w:left w:val="single" w:sz="6" w:space="0" w:color="auto"/>
              <w:bottom w:val="single" w:sz="6" w:space="0" w:color="auto"/>
              <w:right w:val="single" w:sz="6" w:space="0" w:color="auto"/>
            </w:tcBorders>
            <w:shd w:val="clear" w:color="auto" w:fill="00B050"/>
            <w:hideMark/>
          </w:tcPr>
          <w:p w14:paraId="0037BC2B" w14:textId="41A44DA6"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eastAsia="en-GB"/>
              </w:rPr>
              <w:t>F</w:t>
            </w:r>
            <w:r w:rsidR="000B2BED">
              <w:rPr>
                <w:rFonts w:eastAsia="Times New Roman" w:cs="Calibri"/>
                <w:sz w:val="20"/>
                <w:szCs w:val="20"/>
                <w:lang w:eastAsia="en-GB"/>
              </w:rPr>
              <w:t xml:space="preserve">leming </w:t>
            </w:r>
            <w:r w:rsidRPr="005E2ED3">
              <w:rPr>
                <w:rFonts w:eastAsia="Times New Roman" w:cs="Calibri"/>
                <w:sz w:val="20"/>
                <w:szCs w:val="20"/>
                <w:lang w:eastAsia="en-GB"/>
              </w:rPr>
              <w:t>F</w:t>
            </w:r>
            <w:r w:rsidR="000B2BED">
              <w:rPr>
                <w:rFonts w:eastAsia="Times New Roman" w:cs="Calibri"/>
                <w:sz w:val="20"/>
                <w:szCs w:val="20"/>
                <w:lang w:eastAsia="en-GB"/>
              </w:rPr>
              <w:t>und</w:t>
            </w:r>
            <w:r w:rsidRPr="005E2ED3">
              <w:rPr>
                <w:rFonts w:eastAsia="Times New Roman" w:cs="Calibri"/>
                <w:sz w:val="20"/>
                <w:szCs w:val="20"/>
                <w:lang w:eastAsia="en-GB"/>
              </w:rPr>
              <w:t xml:space="preserve"> investments were well aligned with interventions funded by other DPs because most DPs use the NAP and work through the NASIC. </w:t>
            </w:r>
          </w:p>
        </w:tc>
        <w:tc>
          <w:tcPr>
            <w:tcW w:w="3465" w:type="dxa"/>
            <w:tcBorders>
              <w:top w:val="nil"/>
              <w:left w:val="single" w:sz="6" w:space="0" w:color="auto"/>
              <w:bottom w:val="single" w:sz="6" w:space="0" w:color="auto"/>
              <w:right w:val="single" w:sz="6" w:space="0" w:color="auto"/>
            </w:tcBorders>
            <w:shd w:val="clear" w:color="auto" w:fill="00B050"/>
            <w:hideMark/>
          </w:tcPr>
          <w:p w14:paraId="753A6B66" w14:textId="4D4B636C"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eastAsia="en-GB"/>
              </w:rPr>
              <w:t xml:space="preserve">Overall, </w:t>
            </w:r>
            <w:r w:rsidR="000B2BED">
              <w:rPr>
                <w:rFonts w:eastAsia="Times New Roman" w:cs="Calibri"/>
                <w:color w:val="000000"/>
                <w:sz w:val="20"/>
                <w:szCs w:val="20"/>
                <w:lang w:eastAsia="en-GB"/>
              </w:rPr>
              <w:t xml:space="preserve">there is </w:t>
            </w:r>
            <w:r w:rsidRPr="005E2ED3">
              <w:rPr>
                <w:rFonts w:eastAsia="Times New Roman" w:cs="Calibri"/>
                <w:color w:val="000000"/>
                <w:sz w:val="20"/>
                <w:szCs w:val="20"/>
                <w:lang w:eastAsia="en-GB"/>
              </w:rPr>
              <w:t>strong GoK governance via the NASIC/AMRCC is ensuring strong overall coherence, despite weaker internal coherence between F</w:t>
            </w:r>
            <w:r w:rsidR="000B2BED">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0B2BED">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investments partly as a result of the early termination of the first Country Grant.  </w:t>
            </w:r>
          </w:p>
          <w:p w14:paraId="5D372795"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eastAsia="en-GB"/>
              </w:rPr>
              <w:t> </w:t>
            </w:r>
          </w:p>
        </w:tc>
      </w:tr>
      <w:tr w:rsidR="00651C0B" w:rsidRPr="005E2ED3" w14:paraId="5316509C" w14:textId="77777777" w:rsidTr="00651C0B">
        <w:trPr>
          <w:trHeight w:val="255"/>
        </w:trPr>
        <w:tc>
          <w:tcPr>
            <w:tcW w:w="1257" w:type="dxa"/>
            <w:tcBorders>
              <w:top w:val="nil"/>
              <w:left w:val="single" w:sz="6" w:space="0" w:color="auto"/>
              <w:bottom w:val="single" w:sz="6" w:space="0" w:color="auto"/>
              <w:right w:val="single" w:sz="6" w:space="0" w:color="auto"/>
            </w:tcBorders>
            <w:shd w:val="clear" w:color="auto" w:fill="auto"/>
            <w:hideMark/>
          </w:tcPr>
          <w:p w14:paraId="33C810D9"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u w:val="single"/>
                <w:shd w:val="clear" w:color="auto" w:fill="E1E3E6"/>
                <w:lang w:eastAsia="en-GB"/>
              </w:rPr>
              <w:t>Laos</w:t>
            </w:r>
            <w:r w:rsidRPr="005E2ED3">
              <w:rPr>
                <w:rFonts w:eastAsia="Times New Roman" w:cs="Calibri"/>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FFC000"/>
            <w:hideMark/>
          </w:tcPr>
          <w:p w14:paraId="1D3B2E13" w14:textId="56B23FA7" w:rsidR="00651C0B" w:rsidRPr="005E2ED3" w:rsidRDefault="00651C0B" w:rsidP="00BD1EB9">
            <w:pPr>
              <w:textAlignment w:val="baseline"/>
              <w:rPr>
                <w:rFonts w:ascii="Segoe UI" w:eastAsia="Times New Roman" w:hAnsi="Segoe UI" w:cs="Segoe UI"/>
                <w:color w:val="000000"/>
                <w:sz w:val="18"/>
                <w:szCs w:val="18"/>
                <w:lang w:eastAsia="en-GB"/>
              </w:rPr>
            </w:pPr>
            <w:bookmarkStart w:id="456" w:name="_Hlk129450948"/>
            <w:r w:rsidRPr="005E2ED3">
              <w:rPr>
                <w:rFonts w:eastAsia="Times New Roman" w:cs="Calibri"/>
                <w:color w:val="000000"/>
                <w:sz w:val="20"/>
                <w:szCs w:val="20"/>
                <w:lang w:eastAsia="en-GB"/>
              </w:rPr>
              <w:t>F</w:t>
            </w:r>
            <w:r w:rsidR="000B2BED">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0B2BED">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investments aligned with the NAP objective 2 on strengthening AMR surveillance. However, alignment </w:t>
            </w:r>
            <w:r w:rsidR="000B2BED">
              <w:rPr>
                <w:rFonts w:eastAsia="Times New Roman" w:cs="Calibri"/>
                <w:color w:val="000000"/>
                <w:sz w:val="20"/>
                <w:szCs w:val="20"/>
                <w:lang w:eastAsia="en-GB"/>
              </w:rPr>
              <w:t xml:space="preserve">with </w:t>
            </w:r>
            <w:r w:rsidRPr="005E2ED3">
              <w:rPr>
                <w:rFonts w:eastAsia="Times New Roman" w:cs="Calibri"/>
                <w:color w:val="000000"/>
                <w:sz w:val="20"/>
                <w:szCs w:val="20"/>
                <w:lang w:eastAsia="en-GB"/>
              </w:rPr>
              <w:t>NAP objective</w:t>
            </w:r>
            <w:r>
              <w:rPr>
                <w:rFonts w:eastAsia="Times New Roman" w:cs="Calibri"/>
                <w:color w:val="000000"/>
                <w:sz w:val="20"/>
                <w:szCs w:val="20"/>
                <w:lang w:eastAsia="en-GB"/>
              </w:rPr>
              <w:t xml:space="preserve"> 1 </w:t>
            </w:r>
            <w:r w:rsidRPr="005E2ED3">
              <w:rPr>
                <w:rFonts w:eastAsia="Times New Roman" w:cs="Calibri"/>
                <w:color w:val="000000"/>
                <w:sz w:val="20"/>
                <w:szCs w:val="20"/>
                <w:lang w:eastAsia="en-GB"/>
              </w:rPr>
              <w:t>on awareness</w:t>
            </w:r>
            <w:r w:rsidR="00227335">
              <w:rPr>
                <w:rFonts w:eastAsia="Times New Roman" w:cs="Calibri"/>
                <w:color w:val="000000"/>
                <w:sz w:val="20"/>
                <w:szCs w:val="20"/>
                <w:lang w:eastAsia="en-GB"/>
              </w:rPr>
              <w:t>-</w:t>
            </w:r>
            <w:r w:rsidRPr="005E2ED3">
              <w:rPr>
                <w:rFonts w:eastAsia="Times New Roman" w:cs="Calibri"/>
                <w:color w:val="000000"/>
                <w:sz w:val="20"/>
                <w:szCs w:val="20"/>
                <w:lang w:eastAsia="en-GB"/>
              </w:rPr>
              <w:t>raising</w:t>
            </w:r>
            <w:r>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could be strengthened.</w:t>
            </w:r>
            <w:r>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The F</w:t>
            </w:r>
            <w:r w:rsidR="000952E4">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0952E4">
              <w:rPr>
                <w:rFonts w:eastAsia="Times New Roman" w:cs="Calibri"/>
                <w:color w:val="000000"/>
                <w:sz w:val="20"/>
                <w:szCs w:val="20"/>
                <w:lang w:eastAsia="en-GB"/>
              </w:rPr>
              <w:t>und</w:t>
            </w:r>
            <w:r w:rsidRPr="005E2ED3">
              <w:rPr>
                <w:rFonts w:eastAsia="Times New Roman" w:cs="Calibri"/>
                <w:color w:val="000000"/>
                <w:sz w:val="20"/>
                <w:szCs w:val="20"/>
                <w:lang w:eastAsia="en-GB"/>
              </w:rPr>
              <w:t>’s work also aligned with other government plans, such as the National Antimicrobial Resistance Surveillance Plan in Health Food Animals in Lao P</w:t>
            </w:r>
            <w:r w:rsidR="000952E4">
              <w:rPr>
                <w:rFonts w:eastAsia="Times New Roman" w:cs="Calibri"/>
                <w:color w:val="000000"/>
                <w:sz w:val="20"/>
                <w:szCs w:val="20"/>
                <w:lang w:eastAsia="en-GB"/>
              </w:rPr>
              <w:t xml:space="preserve">eople’s </w:t>
            </w:r>
            <w:r w:rsidRPr="005E2ED3">
              <w:rPr>
                <w:rFonts w:eastAsia="Times New Roman" w:cs="Calibri"/>
                <w:color w:val="000000"/>
                <w:sz w:val="20"/>
                <w:szCs w:val="20"/>
                <w:lang w:eastAsia="en-GB"/>
              </w:rPr>
              <w:t>D</w:t>
            </w:r>
            <w:r w:rsidR="000952E4">
              <w:rPr>
                <w:rFonts w:eastAsia="Times New Roman" w:cs="Calibri"/>
                <w:color w:val="000000"/>
                <w:sz w:val="20"/>
                <w:szCs w:val="20"/>
                <w:lang w:eastAsia="en-GB"/>
              </w:rPr>
              <w:t xml:space="preserve">emocratic </w:t>
            </w:r>
            <w:r w:rsidRPr="005E2ED3">
              <w:rPr>
                <w:rFonts w:eastAsia="Times New Roman" w:cs="Calibri"/>
                <w:color w:val="000000"/>
                <w:sz w:val="20"/>
                <w:szCs w:val="20"/>
                <w:lang w:eastAsia="en-GB"/>
              </w:rPr>
              <w:t>R</w:t>
            </w:r>
            <w:r w:rsidR="000952E4">
              <w:rPr>
                <w:rFonts w:eastAsia="Times New Roman" w:cs="Calibri"/>
                <w:color w:val="000000"/>
                <w:sz w:val="20"/>
                <w:szCs w:val="20"/>
                <w:lang w:eastAsia="en-GB"/>
              </w:rPr>
              <w:t>epublic</w:t>
            </w:r>
            <w:r w:rsidRPr="005E2ED3">
              <w:rPr>
                <w:rFonts w:eastAsia="Times New Roman" w:cs="Calibri"/>
                <w:color w:val="000000"/>
                <w:sz w:val="20"/>
                <w:szCs w:val="20"/>
                <w:lang w:eastAsia="en-GB"/>
              </w:rPr>
              <w:t xml:space="preserve"> from 2020</w:t>
            </w:r>
            <w:r>
              <w:rPr>
                <w:rFonts w:eastAsia="Times New Roman" w:cs="Calibri"/>
                <w:color w:val="000000"/>
                <w:sz w:val="20"/>
                <w:szCs w:val="20"/>
                <w:lang w:eastAsia="en-GB"/>
              </w:rPr>
              <w:t>-</w:t>
            </w:r>
            <w:r w:rsidRPr="005E2ED3">
              <w:rPr>
                <w:rFonts w:eastAsia="Times New Roman" w:cs="Calibri"/>
                <w:color w:val="000000"/>
                <w:sz w:val="20"/>
                <w:szCs w:val="20"/>
                <w:lang w:eastAsia="en-GB"/>
              </w:rPr>
              <w:t>21. </w:t>
            </w:r>
            <w:bookmarkEnd w:id="456"/>
          </w:p>
        </w:tc>
        <w:tc>
          <w:tcPr>
            <w:tcW w:w="3452" w:type="dxa"/>
            <w:tcBorders>
              <w:top w:val="nil"/>
              <w:left w:val="single" w:sz="6" w:space="0" w:color="auto"/>
              <w:bottom w:val="single" w:sz="6" w:space="0" w:color="auto"/>
              <w:right w:val="single" w:sz="6" w:space="0" w:color="auto"/>
            </w:tcBorders>
            <w:shd w:val="clear" w:color="auto" w:fill="FF0000"/>
            <w:hideMark/>
          </w:tcPr>
          <w:p w14:paraId="02634F32" w14:textId="73D6DEC1"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Internal coordination </w:t>
            </w:r>
            <w:r w:rsidR="000B2BED">
              <w:rPr>
                <w:rFonts w:eastAsia="Times New Roman" w:cs="Calibri"/>
                <w:color w:val="000000"/>
                <w:sz w:val="20"/>
                <w:szCs w:val="20"/>
                <w:lang w:eastAsia="en-GB"/>
              </w:rPr>
              <w:t xml:space="preserve">is </w:t>
            </w:r>
            <w:r w:rsidRPr="005E2ED3">
              <w:rPr>
                <w:rFonts w:eastAsia="Times New Roman" w:cs="Calibri"/>
                <w:color w:val="000000"/>
                <w:sz w:val="20"/>
                <w:szCs w:val="20"/>
                <w:lang w:eastAsia="en-GB"/>
              </w:rPr>
              <w:t>challeng</w:t>
            </w:r>
            <w:r>
              <w:rPr>
                <w:rFonts w:eastAsia="Times New Roman" w:cs="Calibri"/>
                <w:color w:val="000000"/>
                <w:sz w:val="20"/>
                <w:szCs w:val="20"/>
                <w:lang w:eastAsia="en-GB"/>
              </w:rPr>
              <w:t xml:space="preserve">ing </w:t>
            </w:r>
            <w:r w:rsidRPr="005E2ED3">
              <w:rPr>
                <w:rFonts w:eastAsia="Times New Roman" w:cs="Calibri"/>
                <w:color w:val="000000"/>
                <w:sz w:val="20"/>
                <w:szCs w:val="20"/>
                <w:lang w:eastAsia="en-GB"/>
              </w:rPr>
              <w:t>due to the multi-layered consortium</w:t>
            </w:r>
            <w:r>
              <w:rPr>
                <w:rFonts w:eastAsia="Times New Roman" w:cs="Calibri"/>
                <w:color w:val="000000"/>
                <w:sz w:val="20"/>
                <w:szCs w:val="20"/>
                <w:lang w:eastAsia="en-GB"/>
              </w:rPr>
              <w:t xml:space="preserve">, and </w:t>
            </w:r>
            <w:r w:rsidRPr="005E2ED3">
              <w:rPr>
                <w:rFonts w:eastAsia="Times New Roman" w:cs="Calibri"/>
                <w:color w:val="000000"/>
                <w:sz w:val="20"/>
                <w:szCs w:val="20"/>
                <w:lang w:eastAsia="en-GB"/>
              </w:rPr>
              <w:t>a change in consortium with CG2. </w:t>
            </w:r>
          </w:p>
          <w:p w14:paraId="36E1DECC" w14:textId="63E39B1B" w:rsidR="00651C0B" w:rsidRPr="005E2ED3" w:rsidRDefault="00651C0B"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eastAsia="en-GB"/>
              </w:rPr>
              <w:t>M</w:t>
            </w:r>
            <w:r w:rsidRPr="005E2ED3">
              <w:rPr>
                <w:rFonts w:eastAsia="Times New Roman" w:cs="Calibri"/>
                <w:color w:val="000000"/>
                <w:sz w:val="20"/>
                <w:szCs w:val="20"/>
                <w:lang w:eastAsia="en-GB"/>
              </w:rPr>
              <w:t>ulti-layered management</w:t>
            </w:r>
            <w:r>
              <w:rPr>
                <w:rFonts w:eastAsia="Times New Roman" w:cs="Calibri"/>
                <w:color w:val="000000"/>
                <w:sz w:val="20"/>
                <w:szCs w:val="20"/>
                <w:lang w:eastAsia="en-GB"/>
              </w:rPr>
              <w:t xml:space="preserve"> of the </w:t>
            </w:r>
            <w:r w:rsidRPr="005E2ED3">
              <w:rPr>
                <w:rFonts w:eastAsia="Times New Roman" w:cs="Calibri"/>
                <w:color w:val="000000"/>
                <w:sz w:val="20"/>
                <w:szCs w:val="20"/>
                <w:lang w:eastAsia="en-GB"/>
              </w:rPr>
              <w:t xml:space="preserve">consortium, and </w:t>
            </w:r>
            <w:r>
              <w:rPr>
                <w:rFonts w:eastAsia="Times New Roman" w:cs="Calibri"/>
                <w:color w:val="000000"/>
                <w:sz w:val="20"/>
                <w:szCs w:val="20"/>
                <w:lang w:eastAsia="en-GB"/>
              </w:rPr>
              <w:t>m</w:t>
            </w:r>
            <w:r w:rsidRPr="005E2ED3">
              <w:rPr>
                <w:rFonts w:eastAsia="Times New Roman" w:cs="Calibri"/>
                <w:color w:val="000000"/>
                <w:sz w:val="20"/>
                <w:szCs w:val="20"/>
                <w:lang w:eastAsia="en-GB"/>
              </w:rPr>
              <w:t xml:space="preserve">anagement </w:t>
            </w:r>
            <w:r>
              <w:rPr>
                <w:rFonts w:eastAsia="Times New Roman" w:cs="Calibri"/>
                <w:color w:val="000000"/>
                <w:sz w:val="20"/>
                <w:szCs w:val="20"/>
                <w:lang w:eastAsia="en-GB"/>
              </w:rPr>
              <w:t>of the F</w:t>
            </w:r>
            <w:r w:rsidR="000B2BED">
              <w:rPr>
                <w:rFonts w:eastAsia="Times New Roman" w:cs="Calibri"/>
                <w:color w:val="000000"/>
                <w:sz w:val="20"/>
                <w:szCs w:val="20"/>
                <w:lang w:eastAsia="en-GB"/>
              </w:rPr>
              <w:t xml:space="preserve">leming </w:t>
            </w:r>
            <w:r>
              <w:rPr>
                <w:rFonts w:eastAsia="Times New Roman" w:cs="Calibri"/>
                <w:color w:val="000000"/>
                <w:sz w:val="20"/>
                <w:szCs w:val="20"/>
                <w:lang w:eastAsia="en-GB"/>
              </w:rPr>
              <w:t>F</w:t>
            </w:r>
            <w:r w:rsidR="000B2BED">
              <w:rPr>
                <w:rFonts w:eastAsia="Times New Roman" w:cs="Calibri"/>
                <w:color w:val="000000"/>
                <w:sz w:val="20"/>
                <w:szCs w:val="20"/>
                <w:lang w:eastAsia="en-GB"/>
              </w:rPr>
              <w:t>und</w:t>
            </w:r>
            <w:r>
              <w:rPr>
                <w:rFonts w:eastAsia="Times New Roman" w:cs="Calibri"/>
                <w:color w:val="000000"/>
                <w:sz w:val="20"/>
                <w:szCs w:val="20"/>
                <w:lang w:eastAsia="en-GB"/>
              </w:rPr>
              <w:t xml:space="preserve"> itself </w:t>
            </w:r>
            <w:r w:rsidRPr="005E2ED3">
              <w:rPr>
                <w:rFonts w:eastAsia="Times New Roman" w:cs="Calibri"/>
                <w:color w:val="000000"/>
                <w:sz w:val="20"/>
                <w:szCs w:val="20"/>
                <w:lang w:eastAsia="en-GB"/>
              </w:rPr>
              <w:t xml:space="preserve">(MM and DHSC) </w:t>
            </w:r>
            <w:r>
              <w:rPr>
                <w:rFonts w:eastAsia="Times New Roman" w:cs="Calibri"/>
                <w:color w:val="000000"/>
                <w:sz w:val="20"/>
                <w:szCs w:val="20"/>
                <w:lang w:eastAsia="en-GB"/>
              </w:rPr>
              <w:t xml:space="preserve">creates challenges in managing duplication and ensuring effective </w:t>
            </w:r>
            <w:r w:rsidRPr="005E2ED3">
              <w:rPr>
                <w:rFonts w:eastAsia="Times New Roman" w:cs="Calibri"/>
                <w:color w:val="000000"/>
                <w:sz w:val="20"/>
                <w:szCs w:val="20"/>
                <w:lang w:eastAsia="en-GB"/>
              </w:rPr>
              <w:t>communication</w:t>
            </w:r>
            <w:r>
              <w:rPr>
                <w:rFonts w:eastAsia="Times New Roman" w:cs="Calibri"/>
                <w:color w:val="000000"/>
                <w:sz w:val="20"/>
                <w:szCs w:val="20"/>
                <w:lang w:eastAsia="en-GB"/>
              </w:rPr>
              <w:t>, leading to l</w:t>
            </w:r>
            <w:r w:rsidRPr="005E2ED3">
              <w:rPr>
                <w:rFonts w:eastAsia="Times New Roman" w:cs="Calibri"/>
                <w:color w:val="000000"/>
                <w:sz w:val="20"/>
                <w:szCs w:val="20"/>
                <w:lang w:eastAsia="en-GB"/>
              </w:rPr>
              <w:t>imited collaboration</w:t>
            </w:r>
            <w:r>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between consortia members and AH and HH grantees. </w:t>
            </w:r>
          </w:p>
          <w:p w14:paraId="122D0358" w14:textId="37459B36"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CGs</w:t>
            </w:r>
            <w:r>
              <w:rPr>
                <w:rFonts w:eastAsia="Times New Roman" w:cs="Calibri"/>
                <w:color w:val="000000"/>
                <w:sz w:val="20"/>
                <w:szCs w:val="20"/>
                <w:lang w:eastAsia="en-GB"/>
              </w:rPr>
              <w:t xml:space="preserve"> and</w:t>
            </w:r>
            <w:r w:rsidRPr="005E2ED3">
              <w:rPr>
                <w:rFonts w:eastAsia="Times New Roman" w:cs="Calibri"/>
                <w:color w:val="000000"/>
                <w:sz w:val="20"/>
                <w:szCs w:val="20"/>
                <w:lang w:eastAsia="en-GB"/>
              </w:rPr>
              <w:t xml:space="preserve"> Fellowships</w:t>
            </w:r>
            <w:r>
              <w:rPr>
                <w:rFonts w:eastAsia="Times New Roman" w:cs="Calibri"/>
                <w:color w:val="000000"/>
                <w:sz w:val="20"/>
                <w:szCs w:val="20"/>
                <w:lang w:eastAsia="en-GB"/>
              </w:rPr>
              <w:t xml:space="preserve"> </w:t>
            </w:r>
            <w:r w:rsidR="000B2BED">
              <w:rPr>
                <w:rFonts w:eastAsia="Times New Roman" w:cs="Calibri"/>
                <w:color w:val="000000"/>
                <w:sz w:val="20"/>
                <w:szCs w:val="20"/>
                <w:lang w:eastAsia="en-GB"/>
              </w:rPr>
              <w:t xml:space="preserve">were </w:t>
            </w:r>
            <w:r w:rsidRPr="005E2ED3">
              <w:rPr>
                <w:rFonts w:eastAsia="Times New Roman" w:cs="Calibri"/>
                <w:color w:val="000000"/>
                <w:sz w:val="20"/>
                <w:szCs w:val="20"/>
                <w:lang w:eastAsia="en-GB"/>
              </w:rPr>
              <w:t>well coordinated, as Fellows are integrated into laboratories that the F</w:t>
            </w:r>
            <w:r w:rsidR="000B2BED">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0B2BED">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supports</w:t>
            </w:r>
            <w:r w:rsidR="000B2BED" w:rsidRPr="005E2ED3">
              <w:rPr>
                <w:rFonts w:eastAsia="Times New Roman" w:cs="Calibri"/>
                <w:color w:val="000000"/>
                <w:sz w:val="20"/>
                <w:szCs w:val="20"/>
                <w:lang w:eastAsia="en-GB"/>
              </w:rPr>
              <w:t>.</w:t>
            </w:r>
            <w:r w:rsidR="000B2BED">
              <w:rPr>
                <w:rFonts w:eastAsia="Times New Roman" w:cs="Calibri"/>
                <w:color w:val="000000"/>
                <w:sz w:val="20"/>
                <w:szCs w:val="20"/>
                <w:lang w:eastAsia="en-GB"/>
              </w:rPr>
              <w:t xml:space="preserve"> </w:t>
            </w:r>
            <w:r>
              <w:rPr>
                <w:rFonts w:eastAsia="Times New Roman" w:cs="Calibri"/>
                <w:color w:val="000000"/>
                <w:sz w:val="20"/>
                <w:szCs w:val="20"/>
                <w:lang w:eastAsia="en-GB"/>
              </w:rPr>
              <w:t>But</w:t>
            </w:r>
            <w:r w:rsidR="000B2BED">
              <w:rPr>
                <w:rFonts w:eastAsia="Times New Roman" w:cs="Calibri"/>
                <w:color w:val="000000"/>
                <w:sz w:val="20"/>
                <w:szCs w:val="20"/>
                <w:lang w:eastAsia="en-GB"/>
              </w:rPr>
              <w:t xml:space="preserve"> there is</w:t>
            </w:r>
            <w:r>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 xml:space="preserve">limited evidence of coordination with RGs. </w:t>
            </w:r>
            <w:r>
              <w:rPr>
                <w:rFonts w:eastAsia="Times New Roman" w:cs="Calibri"/>
                <w:color w:val="000000"/>
                <w:sz w:val="20"/>
                <w:szCs w:val="20"/>
                <w:lang w:eastAsia="en-GB"/>
              </w:rPr>
              <w:t xml:space="preserve">CG </w:t>
            </w:r>
            <w:r w:rsidRPr="005E2ED3">
              <w:rPr>
                <w:rFonts w:eastAsia="Times New Roman" w:cs="Calibri"/>
                <w:color w:val="000000"/>
                <w:sz w:val="20"/>
                <w:szCs w:val="20"/>
                <w:lang w:eastAsia="en-GB"/>
              </w:rPr>
              <w:t>had some coordination with QUARTZ, CAPTURA and EQASIA, but NCLE could not be involved in those due to the burden of C</w:t>
            </w:r>
            <w:r w:rsidR="000B2BED">
              <w:rPr>
                <w:rFonts w:eastAsia="Times New Roman" w:cs="Calibri"/>
                <w:color w:val="000000"/>
                <w:sz w:val="20"/>
                <w:szCs w:val="20"/>
                <w:lang w:eastAsia="en-GB"/>
              </w:rPr>
              <w:t>OVID-</w:t>
            </w:r>
            <w:r w:rsidRPr="005E2ED3">
              <w:rPr>
                <w:rFonts w:eastAsia="Times New Roman" w:cs="Calibri"/>
                <w:color w:val="000000"/>
                <w:sz w:val="20"/>
                <w:szCs w:val="20"/>
                <w:lang w:eastAsia="en-GB"/>
              </w:rPr>
              <w:t>19 work being too high. In contrast, LOMWRU had no interactions with RGs. </w:t>
            </w:r>
          </w:p>
        </w:tc>
        <w:tc>
          <w:tcPr>
            <w:tcW w:w="3172" w:type="dxa"/>
            <w:tcBorders>
              <w:top w:val="nil"/>
              <w:left w:val="single" w:sz="6" w:space="0" w:color="auto"/>
              <w:bottom w:val="single" w:sz="6" w:space="0" w:color="auto"/>
              <w:right w:val="single" w:sz="6" w:space="0" w:color="auto"/>
            </w:tcBorders>
            <w:shd w:val="clear" w:color="auto" w:fill="FFC000"/>
            <w:hideMark/>
          </w:tcPr>
          <w:p w14:paraId="63E5F92B" w14:textId="65E87CDB"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F</w:t>
            </w:r>
            <w:r w:rsidR="000B2BED">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0B2BED">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and KOICA were two very similar projects which were able to complement each other due to the fact that WHO managed both. WHO’s AMR agenda used both KOICA and F</w:t>
            </w:r>
            <w:r w:rsidR="000B2BED">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0B2BED">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funds interchangeably, as both focus on the same goals. Both projects were reported as well coordinated, by focusing on different geographical locations</w:t>
            </w:r>
            <w:r>
              <w:rPr>
                <w:rFonts w:eastAsia="Times New Roman" w:cs="Calibri"/>
                <w:color w:val="000000"/>
                <w:sz w:val="20"/>
                <w:szCs w:val="20"/>
                <w:lang w:eastAsia="en-GB"/>
              </w:rPr>
              <w:t>.</w:t>
            </w:r>
            <w:r w:rsidRPr="005E2ED3">
              <w:rPr>
                <w:rFonts w:eastAsia="Times New Roman" w:cs="Calibri"/>
                <w:color w:val="000000"/>
                <w:sz w:val="20"/>
                <w:szCs w:val="20"/>
                <w:lang w:eastAsia="en-GB"/>
              </w:rPr>
              <w:t xml:space="preserve"> </w:t>
            </w:r>
            <w:r w:rsidR="000B2BED">
              <w:rPr>
                <w:rFonts w:eastAsia="Times New Roman" w:cs="Calibri"/>
                <w:color w:val="000000"/>
                <w:sz w:val="20"/>
                <w:szCs w:val="20"/>
                <w:lang w:eastAsia="en-GB"/>
              </w:rPr>
              <w:t>There is n</w:t>
            </w:r>
            <w:r w:rsidRPr="005E2ED3">
              <w:rPr>
                <w:rFonts w:eastAsia="Times New Roman" w:cs="Calibri"/>
                <w:color w:val="000000"/>
                <w:sz w:val="20"/>
                <w:szCs w:val="20"/>
                <w:lang w:eastAsia="en-GB"/>
              </w:rPr>
              <w:t xml:space="preserve">o evidence </w:t>
            </w:r>
            <w:r w:rsidR="000B2BED">
              <w:rPr>
                <w:rFonts w:eastAsia="Times New Roman" w:cs="Calibri"/>
                <w:color w:val="000000"/>
                <w:sz w:val="20"/>
                <w:szCs w:val="20"/>
                <w:lang w:eastAsia="en-GB"/>
              </w:rPr>
              <w:t>that</w:t>
            </w:r>
            <w:r w:rsidRPr="005E2ED3">
              <w:rPr>
                <w:rFonts w:eastAsia="Times New Roman" w:cs="Calibri"/>
                <w:color w:val="000000"/>
                <w:sz w:val="20"/>
                <w:szCs w:val="20"/>
                <w:lang w:eastAsia="en-GB"/>
              </w:rPr>
              <w:t xml:space="preserve"> activities </w:t>
            </w:r>
            <w:r w:rsidR="000B2BED">
              <w:rPr>
                <w:rFonts w:eastAsia="Times New Roman" w:cs="Calibri"/>
                <w:color w:val="000000"/>
                <w:sz w:val="20"/>
                <w:szCs w:val="20"/>
                <w:lang w:eastAsia="en-GB"/>
              </w:rPr>
              <w:t>were duplicated by</w:t>
            </w:r>
            <w:r w:rsidR="000B2BED" w:rsidRPr="005E2ED3">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any other stakeholder in Laos. </w:t>
            </w:r>
          </w:p>
          <w:p w14:paraId="0894DB4A" w14:textId="37239520"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Despite the lack of duplication, there is a lack of coordination</w:t>
            </w:r>
            <w:r w:rsidR="000B2BED">
              <w:rPr>
                <w:rFonts w:eastAsia="Times New Roman" w:cs="Calibri"/>
                <w:color w:val="000000"/>
                <w:sz w:val="20"/>
                <w:szCs w:val="20"/>
                <w:lang w:eastAsia="en-GB"/>
              </w:rPr>
              <w:t xml:space="preserve"> with not</w:t>
            </w:r>
            <w:r w:rsidRPr="005E2ED3">
              <w:rPr>
                <w:rFonts w:eastAsia="Times New Roman" w:cs="Calibri"/>
                <w:color w:val="000000"/>
                <w:sz w:val="20"/>
                <w:szCs w:val="20"/>
                <w:lang w:eastAsia="en-GB"/>
              </w:rPr>
              <w:t xml:space="preserve"> much coordination between </w:t>
            </w:r>
            <w:r w:rsidR="000B2BED">
              <w:rPr>
                <w:rFonts w:eastAsia="Times New Roman" w:cs="Calibri"/>
                <w:color w:val="000000"/>
                <w:sz w:val="20"/>
                <w:szCs w:val="20"/>
                <w:lang w:eastAsia="en-GB"/>
              </w:rPr>
              <w:t xml:space="preserve">the </w:t>
            </w:r>
            <w:r>
              <w:rPr>
                <w:rFonts w:eastAsia="Times New Roman" w:cs="Calibri"/>
                <w:color w:val="000000"/>
                <w:sz w:val="20"/>
                <w:szCs w:val="20"/>
                <w:lang w:eastAsia="en-GB"/>
              </w:rPr>
              <w:t xml:space="preserve">CG </w:t>
            </w:r>
            <w:r w:rsidRPr="005E2ED3">
              <w:rPr>
                <w:rFonts w:eastAsia="Times New Roman" w:cs="Calibri"/>
                <w:color w:val="000000"/>
                <w:sz w:val="20"/>
                <w:szCs w:val="20"/>
                <w:lang w:eastAsia="en-GB"/>
              </w:rPr>
              <w:t>and other partners that are now outside of the consortia. </w:t>
            </w:r>
          </w:p>
          <w:p w14:paraId="51AD523D"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eastAsia="en-GB"/>
              </w:rPr>
              <w:t> </w:t>
            </w:r>
          </w:p>
        </w:tc>
        <w:tc>
          <w:tcPr>
            <w:tcW w:w="3465" w:type="dxa"/>
            <w:tcBorders>
              <w:top w:val="nil"/>
              <w:left w:val="single" w:sz="6" w:space="0" w:color="auto"/>
              <w:bottom w:val="single" w:sz="6" w:space="0" w:color="auto"/>
              <w:right w:val="single" w:sz="6" w:space="0" w:color="auto"/>
            </w:tcBorders>
            <w:shd w:val="clear" w:color="auto" w:fill="FFC000"/>
            <w:hideMark/>
          </w:tcPr>
          <w:p w14:paraId="0138DC62" w14:textId="7BC85B0C"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Overall, coherence has not been particularly successful and remains a weak point in the F</w:t>
            </w:r>
            <w:r w:rsidR="000B2BED">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0B2BED">
              <w:rPr>
                <w:rFonts w:eastAsia="Times New Roman" w:cs="Calibri"/>
                <w:color w:val="000000"/>
                <w:sz w:val="20"/>
                <w:szCs w:val="20"/>
                <w:lang w:eastAsia="en-GB"/>
              </w:rPr>
              <w:t>und</w:t>
            </w:r>
            <w:r w:rsidRPr="005E2ED3">
              <w:rPr>
                <w:rFonts w:eastAsia="Times New Roman" w:cs="Calibri"/>
                <w:color w:val="000000"/>
                <w:sz w:val="20"/>
                <w:szCs w:val="20"/>
                <w:lang w:eastAsia="en-GB"/>
              </w:rPr>
              <w:t>’s intervention in Laos. </w:t>
            </w:r>
          </w:p>
          <w:p w14:paraId="7D6B567E" w14:textId="68427A78"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Internal coherence was particularly weak, particularly due to the multi-layered consortium. </w:t>
            </w:r>
            <w:r w:rsidR="00CD545C">
              <w:rPr>
                <w:rFonts w:eastAsia="Times New Roman" w:cs="Calibri"/>
                <w:color w:val="000000"/>
                <w:sz w:val="20"/>
                <w:szCs w:val="20"/>
                <w:lang w:eastAsia="en-GB"/>
              </w:rPr>
              <w:t>Within both CG consortia</w:t>
            </w:r>
            <w:r w:rsidRPr="005E2ED3">
              <w:rPr>
                <w:rFonts w:eastAsia="Times New Roman" w:cs="Calibri"/>
                <w:color w:val="000000"/>
                <w:sz w:val="20"/>
                <w:szCs w:val="20"/>
                <w:lang w:eastAsia="en-GB"/>
              </w:rPr>
              <w:t xml:space="preserve"> there were communication issues. </w:t>
            </w:r>
          </w:p>
          <w:p w14:paraId="19E21723" w14:textId="78A2FDDE" w:rsidR="00651C0B" w:rsidRPr="005E2ED3" w:rsidRDefault="000952E4"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eastAsia="en-GB"/>
              </w:rPr>
              <w:t>There was g</w:t>
            </w:r>
            <w:r w:rsidRPr="005E2ED3">
              <w:rPr>
                <w:rFonts w:eastAsia="Times New Roman" w:cs="Calibri"/>
                <w:color w:val="000000"/>
                <w:sz w:val="20"/>
                <w:szCs w:val="20"/>
                <w:lang w:eastAsia="en-GB"/>
              </w:rPr>
              <w:t>ood</w:t>
            </w:r>
            <w:r w:rsidR="00651C0B" w:rsidRPr="005E2ED3">
              <w:rPr>
                <w:rFonts w:eastAsia="Times New Roman" w:cs="Calibri"/>
                <w:color w:val="000000"/>
                <w:sz w:val="20"/>
                <w:szCs w:val="20"/>
                <w:lang w:eastAsia="en-GB"/>
              </w:rPr>
              <w:t xml:space="preserve"> alignment with the NAP, though this could be strengthened. </w:t>
            </w:r>
          </w:p>
          <w:p w14:paraId="119E665F"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External coherence has been somewhat successful</w:t>
            </w:r>
            <w:r>
              <w:rPr>
                <w:rFonts w:eastAsia="Times New Roman" w:cs="Calibri"/>
                <w:color w:val="000000"/>
                <w:sz w:val="20"/>
                <w:szCs w:val="20"/>
                <w:lang w:eastAsia="en-GB"/>
              </w:rPr>
              <w:t>.</w:t>
            </w:r>
            <w:r w:rsidRPr="005E2ED3">
              <w:rPr>
                <w:rFonts w:eastAsia="Times New Roman" w:cs="Calibri"/>
                <w:color w:val="000000"/>
                <w:sz w:val="20"/>
                <w:szCs w:val="20"/>
                <w:lang w:eastAsia="en-GB"/>
              </w:rPr>
              <w:t> </w:t>
            </w:r>
          </w:p>
          <w:p w14:paraId="04C9F706" w14:textId="6B1CCC62" w:rsidR="00651C0B" w:rsidRPr="005E2ED3" w:rsidRDefault="00651C0B" w:rsidP="00BD1EB9">
            <w:pPr>
              <w:textAlignment w:val="baseline"/>
              <w:rPr>
                <w:rFonts w:ascii="Segoe UI" w:eastAsia="Times New Roman" w:hAnsi="Segoe UI" w:cs="Segoe UI"/>
                <w:sz w:val="18"/>
                <w:szCs w:val="18"/>
                <w:lang w:eastAsia="en-GB"/>
              </w:rPr>
            </w:pPr>
            <w:r>
              <w:rPr>
                <w:rFonts w:eastAsia="Times New Roman" w:cs="Calibri"/>
                <w:sz w:val="20"/>
                <w:szCs w:val="20"/>
                <w:lang w:eastAsia="en-GB"/>
              </w:rPr>
              <w:t>N</w:t>
            </w:r>
            <w:r w:rsidRPr="005E2ED3">
              <w:rPr>
                <w:rFonts w:eastAsia="Times New Roman" w:cs="Calibri"/>
                <w:sz w:val="20"/>
                <w:szCs w:val="20"/>
                <w:lang w:eastAsia="en-GB"/>
              </w:rPr>
              <w:t>o regular formal AMR coordination meeting for all external AMR stakeholders; however, all AMR actors in Laos informally know each other and work together on various projects, which reduces the risk of duplication. </w:t>
            </w:r>
          </w:p>
        </w:tc>
      </w:tr>
      <w:tr w:rsidR="00651C0B" w:rsidRPr="005E2ED3" w14:paraId="7B24491B" w14:textId="77777777" w:rsidTr="00651C0B">
        <w:trPr>
          <w:trHeight w:val="255"/>
        </w:trPr>
        <w:tc>
          <w:tcPr>
            <w:tcW w:w="1257" w:type="dxa"/>
            <w:tcBorders>
              <w:top w:val="nil"/>
              <w:left w:val="single" w:sz="6" w:space="0" w:color="auto"/>
              <w:bottom w:val="single" w:sz="6" w:space="0" w:color="auto"/>
              <w:right w:val="single" w:sz="6" w:space="0" w:color="auto"/>
            </w:tcBorders>
            <w:shd w:val="clear" w:color="auto" w:fill="auto"/>
            <w:hideMark/>
          </w:tcPr>
          <w:p w14:paraId="1A1F49B0"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563C1"/>
                <w:sz w:val="20"/>
                <w:szCs w:val="20"/>
                <w:u w:val="single"/>
                <w:lang w:eastAsia="en-GB"/>
              </w:rPr>
              <w:t>Nepal</w:t>
            </w:r>
            <w:r w:rsidRPr="005E2ED3">
              <w:rPr>
                <w:rFonts w:eastAsia="Times New Roman" w:cs="Calibri"/>
                <w:color w:val="000000"/>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FFC000"/>
            <w:hideMark/>
          </w:tcPr>
          <w:p w14:paraId="3D5AB6AF" w14:textId="1B75E8BF" w:rsidR="00651C0B" w:rsidRPr="005E2ED3" w:rsidRDefault="00E5316D"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eastAsia="en-GB"/>
              </w:rPr>
              <w:t>It is c</w:t>
            </w:r>
            <w:r w:rsidRPr="005E2ED3">
              <w:rPr>
                <w:rFonts w:eastAsia="Times New Roman" w:cs="Calibri"/>
                <w:color w:val="000000"/>
                <w:sz w:val="20"/>
                <w:szCs w:val="20"/>
                <w:lang w:eastAsia="en-GB"/>
              </w:rPr>
              <w:t xml:space="preserve">lear </w:t>
            </w:r>
            <w:r w:rsidR="00651C0B" w:rsidRPr="005E2ED3">
              <w:rPr>
                <w:rFonts w:eastAsia="Times New Roman" w:cs="Calibri"/>
                <w:color w:val="000000"/>
                <w:sz w:val="20"/>
                <w:szCs w:val="20"/>
                <w:lang w:eastAsia="en-GB"/>
              </w:rPr>
              <w:t xml:space="preserve">that </w:t>
            </w:r>
            <w:r>
              <w:rPr>
                <w:rFonts w:eastAsia="Times New Roman" w:cs="Calibri"/>
                <w:color w:val="000000"/>
                <w:sz w:val="20"/>
                <w:szCs w:val="20"/>
                <w:lang w:eastAsia="en-GB"/>
              </w:rPr>
              <w:t xml:space="preserve">the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 xml:space="preserve">leming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und</w:t>
            </w:r>
            <w:r w:rsidR="00651C0B" w:rsidRPr="005E2ED3">
              <w:rPr>
                <w:rFonts w:eastAsia="Times New Roman" w:cs="Calibri"/>
                <w:color w:val="000000"/>
                <w:sz w:val="20"/>
                <w:szCs w:val="20"/>
                <w:lang w:eastAsia="en-GB"/>
              </w:rPr>
              <w:t xml:space="preserve"> has been aligned with draft NAP</w:t>
            </w:r>
            <w:r>
              <w:rPr>
                <w:rFonts w:eastAsia="Times New Roman" w:cs="Calibri"/>
                <w:color w:val="000000"/>
                <w:sz w:val="20"/>
                <w:szCs w:val="20"/>
                <w:lang w:eastAsia="en-GB"/>
              </w:rPr>
              <w:t>s</w:t>
            </w:r>
            <w:r w:rsidR="00651C0B" w:rsidRPr="005E2ED3">
              <w:rPr>
                <w:rFonts w:eastAsia="Times New Roman" w:cs="Calibri"/>
                <w:color w:val="000000"/>
                <w:sz w:val="20"/>
                <w:szCs w:val="20"/>
                <w:lang w:eastAsia="en-GB"/>
              </w:rPr>
              <w:t xml:space="preserve">. </w:t>
            </w:r>
            <w:r>
              <w:rPr>
                <w:rFonts w:eastAsia="Times New Roman" w:cs="Calibri"/>
                <w:color w:val="000000"/>
                <w:sz w:val="20"/>
                <w:szCs w:val="20"/>
                <w:lang w:eastAsia="en-GB"/>
              </w:rPr>
              <w:t xml:space="preserve">The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 xml:space="preserve">leming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und</w:t>
            </w:r>
            <w:r w:rsidR="00651C0B" w:rsidRPr="005E2ED3">
              <w:rPr>
                <w:rFonts w:eastAsia="Times New Roman" w:cs="Calibri"/>
                <w:color w:val="000000"/>
                <w:sz w:val="20"/>
                <w:szCs w:val="20"/>
                <w:lang w:eastAsia="en-GB"/>
              </w:rPr>
              <w:t xml:space="preserve"> focused on strategic objective 2 of the NAP</w:t>
            </w:r>
            <w:r>
              <w:rPr>
                <w:rFonts w:eastAsia="Times New Roman" w:cs="Calibri"/>
                <w:color w:val="000000"/>
                <w:sz w:val="20"/>
                <w:szCs w:val="20"/>
                <w:lang w:eastAsia="en-GB"/>
              </w:rPr>
              <w:t xml:space="preserve"> </w:t>
            </w:r>
            <w:r w:rsidR="00651C0B" w:rsidRPr="005E2ED3">
              <w:rPr>
                <w:rFonts w:eastAsia="Times New Roman" w:cs="Calibri"/>
                <w:color w:val="000000"/>
                <w:sz w:val="20"/>
                <w:szCs w:val="20"/>
                <w:lang w:eastAsia="en-GB"/>
              </w:rPr>
              <w:t>- building a functional surveillance system. </w:t>
            </w:r>
          </w:p>
          <w:p w14:paraId="5C1F37EE" w14:textId="4147CE00"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However, there are grounds to believe that alignment with national laboratory needs has not always been optimal. In particular, </w:t>
            </w:r>
            <w:r w:rsidR="00E5316D">
              <w:rPr>
                <w:rFonts w:eastAsia="Times New Roman" w:cs="Calibri"/>
                <w:color w:val="000000"/>
                <w:sz w:val="20"/>
                <w:szCs w:val="20"/>
                <w:lang w:eastAsia="en-GB"/>
              </w:rPr>
              <w:t xml:space="preserve">most of the </w:t>
            </w:r>
            <w:r w:rsidRPr="005E2ED3">
              <w:rPr>
                <w:rFonts w:eastAsia="Times New Roman" w:cs="Calibri"/>
                <w:color w:val="000000"/>
                <w:sz w:val="20"/>
                <w:szCs w:val="20"/>
                <w:lang w:eastAsia="en-GB"/>
              </w:rPr>
              <w:t>equipment provided by the F</w:t>
            </w:r>
            <w:r w:rsidR="00E5316D">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E5316D">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remains unutilised. This has been attributed to</w:t>
            </w:r>
            <w:r>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1) delays from CG in addressing non-functional equipment. 2)equipment not being always relevant for the specific lab</w:t>
            </w:r>
            <w:r w:rsidR="00E5316D">
              <w:rPr>
                <w:rFonts w:eastAsia="Times New Roman" w:cs="Calibri"/>
                <w:color w:val="000000"/>
                <w:sz w:val="20"/>
                <w:szCs w:val="20"/>
                <w:lang w:eastAsia="en-GB"/>
              </w:rPr>
              <w:t>oratories, and</w:t>
            </w:r>
            <w:r w:rsidRPr="005E2ED3">
              <w:rPr>
                <w:rFonts w:eastAsia="Times New Roman" w:cs="Calibri"/>
                <w:color w:val="000000"/>
                <w:sz w:val="20"/>
                <w:szCs w:val="20"/>
                <w:lang w:eastAsia="en-GB"/>
              </w:rPr>
              <w:t xml:space="preserve"> 3) concerns by </w:t>
            </w:r>
            <w:r w:rsidR="00F25C0E">
              <w:rPr>
                <w:rFonts w:eastAsia="Times New Roman" w:cs="Calibri"/>
                <w:color w:val="000000"/>
                <w:sz w:val="20"/>
                <w:szCs w:val="20"/>
                <w:lang w:eastAsia="en-GB"/>
              </w:rPr>
              <w:t xml:space="preserve">laboratory </w:t>
            </w:r>
            <w:r w:rsidRPr="005E2ED3">
              <w:rPr>
                <w:rFonts w:eastAsia="Times New Roman" w:cs="Calibri"/>
                <w:color w:val="000000"/>
                <w:sz w:val="20"/>
                <w:szCs w:val="20"/>
                <w:lang w:eastAsia="en-GB"/>
              </w:rPr>
              <w:t xml:space="preserve">staff that using equipment will increase costs for </w:t>
            </w:r>
            <w:r w:rsidR="00F25C0E">
              <w:rPr>
                <w:rFonts w:eastAsia="Times New Roman" w:cs="Calibri"/>
                <w:color w:val="000000"/>
                <w:sz w:val="20"/>
                <w:szCs w:val="20"/>
                <w:lang w:eastAsia="en-GB"/>
              </w:rPr>
              <w:t xml:space="preserve">the </w:t>
            </w:r>
            <w:r w:rsidRPr="005E2ED3">
              <w:rPr>
                <w:rFonts w:eastAsia="Times New Roman" w:cs="Calibri"/>
                <w:color w:val="000000"/>
                <w:sz w:val="20"/>
                <w:szCs w:val="20"/>
                <w:lang w:eastAsia="en-GB"/>
              </w:rPr>
              <w:t>lab</w:t>
            </w:r>
            <w:r w:rsidR="00F25C0E">
              <w:rPr>
                <w:rFonts w:eastAsia="Times New Roman" w:cs="Calibri"/>
                <w:color w:val="000000"/>
                <w:sz w:val="20"/>
                <w:szCs w:val="20"/>
                <w:lang w:eastAsia="en-GB"/>
              </w:rPr>
              <w:t>oratory</w:t>
            </w:r>
            <w:r w:rsidRPr="005E2ED3">
              <w:rPr>
                <w:rFonts w:eastAsia="Times New Roman" w:cs="Calibri"/>
                <w:color w:val="000000"/>
                <w:sz w:val="20"/>
                <w:szCs w:val="20"/>
                <w:lang w:eastAsia="en-GB"/>
              </w:rPr>
              <w:t>/</w:t>
            </w:r>
            <w:r w:rsidR="00F25C0E" w:rsidRPr="005E2ED3">
              <w:rPr>
                <w:rFonts w:eastAsia="Times New Roman" w:cs="Calibri"/>
                <w:color w:val="000000"/>
                <w:sz w:val="20"/>
                <w:szCs w:val="20"/>
                <w:lang w:eastAsia="en-GB"/>
              </w:rPr>
              <w:t>patient</w:t>
            </w:r>
            <w:r w:rsidR="00F25C0E">
              <w:rPr>
                <w:rFonts w:eastAsia="Times New Roman" w:cs="Calibri"/>
                <w:color w:val="000000"/>
                <w:sz w:val="20"/>
                <w:szCs w:val="20"/>
                <w:lang w:eastAsia="en-GB"/>
              </w:rPr>
              <w:t>.</w:t>
            </w:r>
          </w:p>
        </w:tc>
        <w:tc>
          <w:tcPr>
            <w:tcW w:w="3452" w:type="dxa"/>
            <w:tcBorders>
              <w:top w:val="nil"/>
              <w:left w:val="single" w:sz="6" w:space="0" w:color="auto"/>
              <w:bottom w:val="single" w:sz="6" w:space="0" w:color="auto"/>
              <w:right w:val="single" w:sz="6" w:space="0" w:color="auto"/>
            </w:tcBorders>
            <w:shd w:val="clear" w:color="auto" w:fill="FFC000"/>
            <w:hideMark/>
          </w:tcPr>
          <w:p w14:paraId="34B195EE" w14:textId="4C42AB43"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eastAsia="en-GB"/>
              </w:rPr>
              <w:t>Although activities are eventually aligned, thanks to regular communication and forums across F</w:t>
            </w:r>
            <w:r w:rsidR="00F25C0E">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F25C0E">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grants, this has not always been ingrained from the design stage. In particular,</w:t>
            </w:r>
            <w:r>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CGs</w:t>
            </w:r>
            <w:r w:rsidR="00F25C0E">
              <w:rPr>
                <w:rFonts w:eastAsia="Times New Roman" w:cs="Calibri"/>
                <w:color w:val="000000"/>
                <w:sz w:val="20"/>
                <w:szCs w:val="20"/>
                <w:lang w:eastAsia="en-GB"/>
              </w:rPr>
              <w:t xml:space="preserve"> are </w:t>
            </w:r>
            <w:r w:rsidRPr="005E2ED3">
              <w:rPr>
                <w:rFonts w:eastAsia="Times New Roman" w:cs="Calibri"/>
                <w:color w:val="000000"/>
                <w:sz w:val="20"/>
                <w:szCs w:val="20"/>
                <w:lang w:eastAsia="en-GB"/>
              </w:rPr>
              <w:t>not always aware of what RGs are preparing at design stage.</w:t>
            </w:r>
            <w:r>
              <w:rPr>
                <w:rFonts w:eastAsia="Times New Roman" w:cs="Calibri"/>
                <w:color w:val="000000"/>
                <w:sz w:val="20"/>
                <w:szCs w:val="20"/>
                <w:lang w:eastAsia="en-GB"/>
              </w:rPr>
              <w:t xml:space="preserve"> </w:t>
            </w:r>
            <w:r w:rsidRPr="005E2ED3">
              <w:rPr>
                <w:rFonts w:eastAsia="Times New Roman" w:cs="Calibri"/>
                <w:sz w:val="20"/>
                <w:szCs w:val="20"/>
                <w:lang w:eastAsia="en-GB"/>
              </w:rPr>
              <w:t>Fellowship seems to happen in parallel to</w:t>
            </w:r>
            <w:r w:rsidR="00F25C0E">
              <w:rPr>
                <w:rFonts w:eastAsia="Times New Roman" w:cs="Calibri"/>
                <w:sz w:val="20"/>
                <w:szCs w:val="20"/>
                <w:lang w:eastAsia="en-GB"/>
              </w:rPr>
              <w:t xml:space="preserve"> the</w:t>
            </w:r>
            <w:r w:rsidRPr="005E2ED3">
              <w:rPr>
                <w:rFonts w:eastAsia="Times New Roman" w:cs="Calibri"/>
                <w:sz w:val="20"/>
                <w:szCs w:val="20"/>
                <w:lang w:eastAsia="en-GB"/>
              </w:rPr>
              <w:t xml:space="preserve"> CG and RG rather than integrated, despite there being an intention for fellowships to support some CG activities. Rather th</w:t>
            </w:r>
            <w:r w:rsidR="00A377A9">
              <w:rPr>
                <w:rFonts w:eastAsia="Times New Roman" w:cs="Calibri"/>
                <w:sz w:val="20"/>
                <w:szCs w:val="20"/>
                <w:lang w:eastAsia="en-GB"/>
              </w:rPr>
              <w:t>a</w:t>
            </w:r>
            <w:r w:rsidRPr="005E2ED3">
              <w:rPr>
                <w:rFonts w:eastAsia="Times New Roman" w:cs="Calibri"/>
                <w:sz w:val="20"/>
                <w:szCs w:val="20"/>
                <w:lang w:eastAsia="en-GB"/>
              </w:rPr>
              <w:t xml:space="preserve">n a problem of duplication, this causes lost synergies/missed opportunities for economies of </w:t>
            </w:r>
            <w:r w:rsidRPr="005E2ED3">
              <w:rPr>
                <w:rFonts w:eastAsia="Times New Roman" w:cs="Calibri"/>
                <w:color w:val="000000"/>
                <w:sz w:val="20"/>
                <w:szCs w:val="20"/>
                <w:lang w:eastAsia="en-GB"/>
              </w:rPr>
              <w:t>scale</w:t>
            </w:r>
            <w:r w:rsidRPr="005E2ED3">
              <w:rPr>
                <w:rFonts w:eastAsia="Times New Roman" w:cs="Calibri"/>
                <w:sz w:val="20"/>
                <w:szCs w:val="20"/>
                <w:lang w:eastAsia="en-GB"/>
              </w:rPr>
              <w:t>. </w:t>
            </w:r>
          </w:p>
        </w:tc>
        <w:tc>
          <w:tcPr>
            <w:tcW w:w="3172" w:type="dxa"/>
            <w:tcBorders>
              <w:top w:val="nil"/>
              <w:left w:val="single" w:sz="6" w:space="0" w:color="auto"/>
              <w:bottom w:val="single" w:sz="6" w:space="0" w:color="auto"/>
              <w:right w:val="single" w:sz="6" w:space="0" w:color="auto"/>
            </w:tcBorders>
            <w:shd w:val="clear" w:color="auto" w:fill="00B050"/>
            <w:hideMark/>
          </w:tcPr>
          <w:p w14:paraId="1BD19797" w14:textId="05F64BD6" w:rsidR="00651C0B" w:rsidRPr="005E2ED3" w:rsidRDefault="00F25C0E" w:rsidP="00BD1EB9">
            <w:pPr>
              <w:textAlignment w:val="baseline"/>
              <w:rPr>
                <w:rFonts w:ascii="Segoe UI" w:eastAsia="Times New Roman" w:hAnsi="Segoe UI" w:cs="Segoe UI"/>
                <w:sz w:val="18"/>
                <w:szCs w:val="18"/>
                <w:lang w:eastAsia="en-GB"/>
              </w:rPr>
            </w:pPr>
            <w:r>
              <w:rPr>
                <w:rFonts w:eastAsia="Times New Roman" w:cs="Calibri"/>
                <w:sz w:val="20"/>
                <w:szCs w:val="20"/>
                <w:lang w:eastAsia="en-GB"/>
              </w:rPr>
              <w:t>There is g</w:t>
            </w:r>
            <w:r w:rsidR="00651C0B" w:rsidRPr="005E2ED3">
              <w:rPr>
                <w:rFonts w:eastAsia="Times New Roman" w:cs="Calibri"/>
                <w:sz w:val="20"/>
                <w:szCs w:val="20"/>
                <w:lang w:eastAsia="en-GB"/>
              </w:rPr>
              <w:t xml:space="preserve">ood evidence of alignment with other DPs, both in terms of sharing progress and activities, as well as in </w:t>
            </w:r>
            <w:r>
              <w:rPr>
                <w:rFonts w:eastAsia="Times New Roman" w:cs="Calibri"/>
                <w:sz w:val="20"/>
                <w:szCs w:val="20"/>
                <w:lang w:eastAsia="en-GB"/>
              </w:rPr>
              <w:t>laboratories</w:t>
            </w:r>
            <w:r w:rsidR="00651C0B" w:rsidRPr="005E2ED3">
              <w:rPr>
                <w:rFonts w:eastAsia="Times New Roman" w:cs="Calibri"/>
                <w:sz w:val="20"/>
                <w:szCs w:val="20"/>
                <w:lang w:eastAsia="en-GB"/>
              </w:rPr>
              <w:t xml:space="preserve"> supported by multiple partners. </w:t>
            </w:r>
          </w:p>
        </w:tc>
        <w:tc>
          <w:tcPr>
            <w:tcW w:w="3465" w:type="dxa"/>
            <w:tcBorders>
              <w:top w:val="nil"/>
              <w:left w:val="single" w:sz="6" w:space="0" w:color="auto"/>
              <w:bottom w:val="single" w:sz="6" w:space="0" w:color="auto"/>
              <w:right w:val="single" w:sz="6" w:space="0" w:color="auto"/>
            </w:tcBorders>
            <w:shd w:val="clear" w:color="auto" w:fill="FFC000"/>
            <w:hideMark/>
          </w:tcPr>
          <w:p w14:paraId="52B1444F" w14:textId="54C7F8AE" w:rsidR="00651C0B" w:rsidRPr="005E2ED3" w:rsidRDefault="00F25C0E" w:rsidP="00BD1EB9">
            <w:pPr>
              <w:textAlignment w:val="baseline"/>
              <w:rPr>
                <w:rFonts w:ascii="Segoe UI" w:eastAsia="Times New Roman" w:hAnsi="Segoe UI" w:cs="Segoe UI"/>
                <w:sz w:val="18"/>
                <w:szCs w:val="18"/>
                <w:lang w:eastAsia="en-GB"/>
              </w:rPr>
            </w:pPr>
            <w:r>
              <w:rPr>
                <w:rFonts w:eastAsia="Times New Roman" w:cs="Calibri"/>
                <w:color w:val="000000"/>
                <w:sz w:val="20"/>
                <w:szCs w:val="20"/>
                <w:lang w:eastAsia="en-GB"/>
              </w:rPr>
              <w:t xml:space="preserve">The </w:t>
            </w:r>
            <w:r w:rsidR="00651C0B">
              <w:rPr>
                <w:rFonts w:eastAsia="Times New Roman" w:cs="Calibri"/>
                <w:color w:val="000000"/>
                <w:sz w:val="20"/>
                <w:szCs w:val="20"/>
                <w:lang w:eastAsia="en-GB"/>
              </w:rPr>
              <w:t>F</w:t>
            </w:r>
            <w:r>
              <w:rPr>
                <w:rFonts w:eastAsia="Times New Roman" w:cs="Calibri"/>
                <w:color w:val="000000"/>
                <w:sz w:val="20"/>
                <w:szCs w:val="20"/>
                <w:lang w:eastAsia="en-GB"/>
              </w:rPr>
              <w:t xml:space="preserve">leming </w:t>
            </w:r>
            <w:r w:rsidR="00651C0B">
              <w:rPr>
                <w:rFonts w:eastAsia="Times New Roman" w:cs="Calibri"/>
                <w:color w:val="000000"/>
                <w:sz w:val="20"/>
                <w:szCs w:val="20"/>
                <w:lang w:eastAsia="en-GB"/>
              </w:rPr>
              <w:t>F</w:t>
            </w:r>
            <w:r>
              <w:rPr>
                <w:rFonts w:eastAsia="Times New Roman" w:cs="Calibri"/>
                <w:color w:val="000000"/>
                <w:sz w:val="20"/>
                <w:szCs w:val="20"/>
                <w:lang w:eastAsia="en-GB"/>
              </w:rPr>
              <w:t>und</w:t>
            </w:r>
            <w:r w:rsidR="00651C0B" w:rsidRPr="005E2ED3">
              <w:rPr>
                <w:rFonts w:eastAsia="Times New Roman" w:cs="Calibri"/>
                <w:color w:val="000000"/>
                <w:sz w:val="20"/>
                <w:szCs w:val="20"/>
                <w:lang w:eastAsia="en-GB"/>
              </w:rPr>
              <w:t xml:space="preserve"> very much aligned with NAP</w:t>
            </w:r>
            <w:r>
              <w:rPr>
                <w:rFonts w:eastAsia="Times New Roman" w:cs="Calibri"/>
                <w:color w:val="000000"/>
                <w:sz w:val="20"/>
                <w:szCs w:val="20"/>
                <w:lang w:eastAsia="en-GB"/>
              </w:rPr>
              <w:t>s</w:t>
            </w:r>
            <w:r w:rsidR="00651C0B" w:rsidRPr="005E2ED3">
              <w:rPr>
                <w:rFonts w:eastAsia="Times New Roman" w:cs="Calibri"/>
                <w:color w:val="000000"/>
                <w:sz w:val="20"/>
                <w:szCs w:val="20"/>
                <w:lang w:eastAsia="en-GB"/>
              </w:rPr>
              <w:t xml:space="preserve">. However, </w:t>
            </w:r>
            <w:r>
              <w:rPr>
                <w:rFonts w:eastAsia="Times New Roman" w:cs="Calibri"/>
                <w:color w:val="000000"/>
                <w:sz w:val="20"/>
                <w:szCs w:val="20"/>
                <w:lang w:eastAsia="en-GB"/>
              </w:rPr>
              <w:t xml:space="preserve">the </w:t>
            </w:r>
            <w:r w:rsidR="00651C0B" w:rsidRPr="005E2ED3">
              <w:rPr>
                <w:rFonts w:eastAsia="Times New Roman" w:cs="Calibri"/>
                <w:color w:val="000000"/>
                <w:sz w:val="20"/>
                <w:szCs w:val="20"/>
                <w:lang w:eastAsia="en-GB"/>
              </w:rPr>
              <w:t>actual implementation of the CG has not always been relevant to the needs of national laboratories. </w:t>
            </w:r>
          </w:p>
          <w:p w14:paraId="75967D56" w14:textId="5FA0D177" w:rsidR="00651C0B" w:rsidRPr="005E2ED3" w:rsidRDefault="00F25C0E" w:rsidP="00BD1EB9">
            <w:pPr>
              <w:textAlignment w:val="baseline"/>
              <w:rPr>
                <w:rFonts w:ascii="Segoe UI" w:eastAsia="Times New Roman" w:hAnsi="Segoe UI" w:cs="Segoe UI"/>
                <w:sz w:val="18"/>
                <w:szCs w:val="18"/>
                <w:lang w:eastAsia="en-GB"/>
              </w:rPr>
            </w:pPr>
            <w:r>
              <w:rPr>
                <w:rFonts w:eastAsia="Times New Roman" w:cs="Calibri"/>
                <w:color w:val="000000"/>
                <w:sz w:val="20"/>
                <w:szCs w:val="20"/>
                <w:lang w:eastAsia="en-GB"/>
              </w:rPr>
              <w:t>There are s</w:t>
            </w:r>
            <w:r w:rsidR="00651C0B" w:rsidRPr="005E2ED3">
              <w:rPr>
                <w:rFonts w:eastAsia="Times New Roman" w:cs="Calibri"/>
                <w:color w:val="000000"/>
                <w:sz w:val="20"/>
                <w:szCs w:val="20"/>
                <w:lang w:eastAsia="en-GB"/>
              </w:rPr>
              <w:t>ome examples of collaboration with RGs and F</w:t>
            </w:r>
            <w:r>
              <w:rPr>
                <w:rFonts w:eastAsia="Times New Roman" w:cs="Calibri"/>
                <w:color w:val="000000"/>
                <w:sz w:val="20"/>
                <w:szCs w:val="20"/>
                <w:lang w:eastAsia="en-GB"/>
              </w:rPr>
              <w:t xml:space="preserve">leming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und</w:t>
            </w:r>
            <w:r w:rsidR="00651C0B" w:rsidRPr="005E2ED3">
              <w:rPr>
                <w:rFonts w:eastAsia="Times New Roman" w:cs="Calibri"/>
                <w:color w:val="000000"/>
                <w:sz w:val="20"/>
                <w:szCs w:val="20"/>
                <w:lang w:eastAsia="en-GB"/>
              </w:rPr>
              <w:t xml:space="preserve"> Fellows, but overall these operate parallel </w:t>
            </w:r>
            <w:r>
              <w:rPr>
                <w:rFonts w:eastAsia="Times New Roman" w:cs="Calibri"/>
                <w:color w:val="000000"/>
                <w:sz w:val="20"/>
                <w:szCs w:val="20"/>
                <w:lang w:eastAsia="en-GB"/>
              </w:rPr>
              <w:t>to</w:t>
            </w:r>
            <w:r w:rsidRPr="005E2ED3">
              <w:rPr>
                <w:rFonts w:eastAsia="Times New Roman" w:cs="Calibri"/>
                <w:color w:val="000000"/>
                <w:sz w:val="20"/>
                <w:szCs w:val="20"/>
                <w:lang w:eastAsia="en-GB"/>
              </w:rPr>
              <w:t xml:space="preserve"> </w:t>
            </w:r>
            <w:r w:rsidR="00651C0B" w:rsidRPr="005E2ED3">
              <w:rPr>
                <w:rFonts w:eastAsia="Times New Roman" w:cs="Calibri"/>
                <w:color w:val="000000"/>
                <w:sz w:val="20"/>
                <w:szCs w:val="20"/>
                <w:lang w:eastAsia="en-GB"/>
              </w:rPr>
              <w:t>CG</w:t>
            </w:r>
            <w:r>
              <w:rPr>
                <w:rFonts w:eastAsia="Times New Roman" w:cs="Calibri"/>
                <w:color w:val="000000"/>
                <w:sz w:val="20"/>
                <w:szCs w:val="20"/>
                <w:lang w:eastAsia="en-GB"/>
              </w:rPr>
              <w:t>s</w:t>
            </w:r>
            <w:r w:rsidR="00651C0B" w:rsidRPr="005E2ED3">
              <w:rPr>
                <w:rFonts w:eastAsia="Times New Roman" w:cs="Calibri"/>
                <w:color w:val="000000"/>
                <w:sz w:val="20"/>
                <w:szCs w:val="20"/>
                <w:lang w:eastAsia="en-GB"/>
              </w:rPr>
              <w:t>.  </w:t>
            </w:r>
          </w:p>
          <w:p w14:paraId="29534900" w14:textId="19F22DB6" w:rsidR="00651C0B" w:rsidRPr="005E2ED3" w:rsidRDefault="00F25C0E" w:rsidP="00BD1EB9">
            <w:pPr>
              <w:textAlignment w:val="baseline"/>
              <w:rPr>
                <w:rFonts w:ascii="Segoe UI" w:eastAsia="Times New Roman" w:hAnsi="Segoe UI" w:cs="Segoe UI"/>
                <w:sz w:val="18"/>
                <w:szCs w:val="18"/>
                <w:lang w:eastAsia="en-GB"/>
              </w:rPr>
            </w:pPr>
            <w:r>
              <w:rPr>
                <w:rFonts w:eastAsia="Times New Roman" w:cs="Calibri"/>
                <w:sz w:val="20"/>
                <w:szCs w:val="20"/>
                <w:lang w:eastAsia="en-GB"/>
              </w:rPr>
              <w:t>There is g</w:t>
            </w:r>
            <w:r w:rsidR="00651C0B" w:rsidRPr="005E2ED3">
              <w:rPr>
                <w:rFonts w:eastAsia="Times New Roman" w:cs="Calibri"/>
                <w:sz w:val="20"/>
                <w:szCs w:val="20"/>
                <w:lang w:eastAsia="en-GB"/>
              </w:rPr>
              <w:t>ood alignment with other DPs.</w:t>
            </w:r>
            <w:r w:rsidR="00651C0B">
              <w:rPr>
                <w:rFonts w:eastAsia="Times New Roman" w:cs="Calibri"/>
                <w:sz w:val="20"/>
                <w:szCs w:val="20"/>
                <w:lang w:eastAsia="en-GB"/>
              </w:rPr>
              <w:t xml:space="preserve"> </w:t>
            </w:r>
            <w:r w:rsidR="00A377A9">
              <w:rPr>
                <w:rFonts w:eastAsia="Times New Roman" w:cs="Calibri"/>
                <w:sz w:val="20"/>
                <w:szCs w:val="20"/>
                <w:lang w:eastAsia="en-GB"/>
              </w:rPr>
              <w:t xml:space="preserve">There is </w:t>
            </w:r>
            <w:r w:rsidR="00A377A9">
              <w:rPr>
                <w:rFonts w:eastAsia="Times New Roman" w:cs="Calibri"/>
                <w:color w:val="000000"/>
                <w:sz w:val="20"/>
                <w:szCs w:val="20"/>
                <w:lang w:eastAsia="en-GB"/>
              </w:rPr>
              <w:t>n</w:t>
            </w:r>
            <w:r w:rsidR="00651C0B" w:rsidRPr="005E2ED3">
              <w:rPr>
                <w:rFonts w:eastAsia="Times New Roman" w:cs="Calibri"/>
                <w:color w:val="000000"/>
                <w:sz w:val="20"/>
                <w:szCs w:val="20"/>
                <w:lang w:eastAsia="en-GB"/>
              </w:rPr>
              <w:t>o evidence of duplication, and risk is lo</w:t>
            </w:r>
            <w:r w:rsidR="00651C0B">
              <w:rPr>
                <w:rFonts w:eastAsia="Times New Roman" w:cs="Calibri"/>
                <w:color w:val="000000"/>
                <w:sz w:val="20"/>
                <w:szCs w:val="20"/>
                <w:lang w:eastAsia="en-GB"/>
              </w:rPr>
              <w:t>w</w:t>
            </w:r>
            <w:r w:rsidR="00651C0B" w:rsidRPr="005E2ED3">
              <w:rPr>
                <w:rFonts w:eastAsia="Times New Roman" w:cs="Calibri"/>
                <w:color w:val="000000"/>
                <w:sz w:val="20"/>
                <w:szCs w:val="20"/>
                <w:lang w:eastAsia="en-GB"/>
              </w:rPr>
              <w:t>.</w:t>
            </w:r>
            <w:r w:rsidR="00651C0B">
              <w:rPr>
                <w:rFonts w:eastAsia="Times New Roman" w:cs="Calibri"/>
                <w:color w:val="000000"/>
                <w:sz w:val="20"/>
                <w:szCs w:val="20"/>
                <w:lang w:eastAsia="en-GB"/>
              </w:rPr>
              <w:t xml:space="preserve"> </w:t>
            </w:r>
            <w:r w:rsidR="00651C0B" w:rsidRPr="005E2ED3">
              <w:rPr>
                <w:rFonts w:eastAsia="Times New Roman" w:cs="Calibri"/>
                <w:color w:val="000000"/>
                <w:sz w:val="20"/>
                <w:szCs w:val="20"/>
                <w:lang w:eastAsia="en-GB"/>
              </w:rPr>
              <w:t xml:space="preserve">DPs and government are well connected thanks to different mechanisms such as meetings, </w:t>
            </w:r>
            <w:r w:rsidR="00BA1982" w:rsidRPr="005E2ED3">
              <w:rPr>
                <w:rFonts w:eastAsia="Times New Roman" w:cs="Calibri"/>
                <w:color w:val="000000"/>
                <w:sz w:val="20"/>
                <w:szCs w:val="20"/>
                <w:lang w:eastAsia="en-GB"/>
              </w:rPr>
              <w:t>training,</w:t>
            </w:r>
            <w:r w:rsidR="00651C0B" w:rsidRPr="005E2ED3">
              <w:rPr>
                <w:rFonts w:eastAsia="Times New Roman" w:cs="Calibri"/>
                <w:color w:val="000000"/>
                <w:sz w:val="20"/>
                <w:szCs w:val="20"/>
                <w:lang w:eastAsia="en-GB"/>
              </w:rPr>
              <w:t xml:space="preserve"> and workshop</w:t>
            </w:r>
            <w:r w:rsidR="00A377A9">
              <w:rPr>
                <w:rFonts w:eastAsia="Times New Roman" w:cs="Calibri"/>
                <w:color w:val="000000"/>
                <w:sz w:val="20"/>
                <w:szCs w:val="20"/>
                <w:lang w:eastAsia="en-GB"/>
              </w:rPr>
              <w:t>s</w:t>
            </w:r>
            <w:r w:rsidR="00651C0B" w:rsidRPr="005E2ED3">
              <w:rPr>
                <w:rFonts w:eastAsia="Times New Roman" w:cs="Calibri"/>
                <w:color w:val="000000"/>
                <w:sz w:val="20"/>
                <w:szCs w:val="20"/>
                <w:lang w:eastAsia="en-GB"/>
              </w:rPr>
              <w:t>. </w:t>
            </w:r>
          </w:p>
        </w:tc>
      </w:tr>
      <w:tr w:rsidR="00651C0B" w:rsidRPr="005E2ED3" w14:paraId="7872806A" w14:textId="77777777" w:rsidTr="00651C0B">
        <w:trPr>
          <w:trHeight w:val="345"/>
        </w:trPr>
        <w:tc>
          <w:tcPr>
            <w:tcW w:w="1257" w:type="dxa"/>
            <w:tcBorders>
              <w:top w:val="nil"/>
              <w:left w:val="single" w:sz="6" w:space="0" w:color="auto"/>
              <w:bottom w:val="single" w:sz="6" w:space="0" w:color="auto"/>
              <w:right w:val="single" w:sz="6" w:space="0" w:color="auto"/>
            </w:tcBorders>
            <w:shd w:val="clear" w:color="auto" w:fill="auto"/>
            <w:hideMark/>
          </w:tcPr>
          <w:p w14:paraId="3A159548"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563C1"/>
                <w:sz w:val="20"/>
                <w:szCs w:val="20"/>
                <w:u w:val="single"/>
                <w:lang w:eastAsia="en-GB"/>
              </w:rPr>
              <w:t>Nigeria</w:t>
            </w:r>
            <w:r w:rsidRPr="005E2ED3">
              <w:rPr>
                <w:rFonts w:eastAsia="Times New Roman" w:cs="Calibri"/>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00B050"/>
            <w:hideMark/>
          </w:tcPr>
          <w:p w14:paraId="690CCA63" w14:textId="405D5C9F"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The CG adapted programme plans to the NAP objectives. The F</w:t>
            </w:r>
            <w:r w:rsidR="00B57DA4">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B57DA4">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CG have actively engaged with the NCDC, FMARD, other government agencies &amp; partners through the AMRCC, and TWGs. </w:t>
            </w:r>
          </w:p>
        </w:tc>
        <w:tc>
          <w:tcPr>
            <w:tcW w:w="3452" w:type="dxa"/>
            <w:tcBorders>
              <w:top w:val="nil"/>
              <w:left w:val="single" w:sz="6" w:space="0" w:color="auto"/>
              <w:bottom w:val="single" w:sz="6" w:space="0" w:color="auto"/>
              <w:right w:val="single" w:sz="6" w:space="0" w:color="auto"/>
            </w:tcBorders>
            <w:shd w:val="clear" w:color="auto" w:fill="00B050"/>
            <w:hideMark/>
          </w:tcPr>
          <w:p w14:paraId="2ABD3300" w14:textId="1EE132F2"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eastAsia="en-GB"/>
              </w:rPr>
              <w:t xml:space="preserve">CCM drives the process of collaboration and </w:t>
            </w:r>
            <w:r w:rsidR="00B57DA4" w:rsidRPr="005E2ED3">
              <w:rPr>
                <w:rFonts w:eastAsia="Times New Roman" w:cs="Calibri"/>
                <w:sz w:val="20"/>
                <w:szCs w:val="20"/>
                <w:lang w:eastAsia="en-GB"/>
              </w:rPr>
              <w:t xml:space="preserve">quarterly coordination </w:t>
            </w:r>
            <w:r w:rsidRPr="005E2ED3">
              <w:rPr>
                <w:rFonts w:eastAsia="Times New Roman" w:cs="Calibri"/>
                <w:sz w:val="20"/>
                <w:szCs w:val="20"/>
                <w:lang w:eastAsia="en-GB"/>
              </w:rPr>
              <w:t>meetings to maximise resources and effectively manage the F</w:t>
            </w:r>
            <w:r w:rsidR="00B57DA4">
              <w:rPr>
                <w:rFonts w:eastAsia="Times New Roman" w:cs="Calibri"/>
                <w:sz w:val="20"/>
                <w:szCs w:val="20"/>
                <w:lang w:eastAsia="en-GB"/>
              </w:rPr>
              <w:t xml:space="preserve">leming </w:t>
            </w:r>
            <w:r w:rsidRPr="005E2ED3">
              <w:rPr>
                <w:rFonts w:eastAsia="Times New Roman" w:cs="Calibri"/>
                <w:sz w:val="20"/>
                <w:szCs w:val="20"/>
                <w:lang w:eastAsia="en-GB"/>
              </w:rPr>
              <w:t>F</w:t>
            </w:r>
            <w:r w:rsidR="00B57DA4">
              <w:rPr>
                <w:rFonts w:eastAsia="Times New Roman" w:cs="Calibri"/>
                <w:sz w:val="20"/>
                <w:szCs w:val="20"/>
                <w:lang w:eastAsia="en-GB"/>
              </w:rPr>
              <w:t>und</w:t>
            </w:r>
            <w:r w:rsidRPr="005E2ED3">
              <w:rPr>
                <w:rFonts w:eastAsia="Times New Roman" w:cs="Calibri"/>
                <w:sz w:val="20"/>
                <w:szCs w:val="20"/>
                <w:lang w:eastAsia="en-GB"/>
              </w:rPr>
              <w:t xml:space="preserve"> investments. </w:t>
            </w:r>
          </w:p>
          <w:p w14:paraId="375A4438" w14:textId="7F8E9ADB"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sz w:val="20"/>
                <w:szCs w:val="20"/>
                <w:lang w:eastAsia="en-GB"/>
              </w:rPr>
              <w:t xml:space="preserve">But </w:t>
            </w:r>
            <w:r w:rsidRPr="005E2ED3">
              <w:rPr>
                <w:rFonts w:eastAsia="Times New Roman" w:cs="Calibri"/>
                <w:color w:val="000000"/>
                <w:sz w:val="20"/>
                <w:szCs w:val="20"/>
                <w:lang w:eastAsia="en-GB"/>
              </w:rPr>
              <w:t xml:space="preserve">AH Fellows </w:t>
            </w:r>
            <w:r w:rsidR="00CD545C">
              <w:rPr>
                <w:rFonts w:eastAsia="Times New Roman" w:cs="Calibri"/>
                <w:color w:val="000000"/>
                <w:sz w:val="20"/>
                <w:szCs w:val="20"/>
                <w:lang w:eastAsia="en-GB"/>
              </w:rPr>
              <w:t xml:space="preserve">were </w:t>
            </w:r>
            <w:r w:rsidRPr="005E2ED3">
              <w:rPr>
                <w:rFonts w:eastAsia="Times New Roman" w:cs="Calibri"/>
                <w:color w:val="000000"/>
                <w:sz w:val="20"/>
                <w:szCs w:val="20"/>
                <w:lang w:eastAsia="en-GB"/>
              </w:rPr>
              <w:t xml:space="preserve">frustrated with surveillance plans being dropped; </w:t>
            </w:r>
            <w:r w:rsidR="00B57DA4">
              <w:rPr>
                <w:rFonts w:eastAsia="Times New Roman" w:cs="Calibri"/>
                <w:color w:val="000000"/>
                <w:sz w:val="20"/>
                <w:szCs w:val="20"/>
                <w:lang w:eastAsia="en-GB"/>
              </w:rPr>
              <w:t xml:space="preserve">there are </w:t>
            </w:r>
            <w:r w:rsidRPr="005E2ED3">
              <w:rPr>
                <w:rFonts w:eastAsia="Times New Roman" w:cs="Calibri"/>
                <w:color w:val="000000"/>
                <w:sz w:val="20"/>
                <w:szCs w:val="20"/>
                <w:lang w:eastAsia="en-GB"/>
              </w:rPr>
              <w:t xml:space="preserve">many HH Fellows </w:t>
            </w:r>
            <w:r w:rsidR="00B57DA4">
              <w:rPr>
                <w:rFonts w:eastAsia="Times New Roman" w:cs="Calibri"/>
                <w:color w:val="000000"/>
                <w:sz w:val="20"/>
                <w:szCs w:val="20"/>
                <w:lang w:eastAsia="en-GB"/>
              </w:rPr>
              <w:t xml:space="preserve">who are </w:t>
            </w:r>
            <w:r w:rsidRPr="005E2ED3">
              <w:rPr>
                <w:rFonts w:eastAsia="Times New Roman" w:cs="Calibri"/>
                <w:color w:val="000000"/>
                <w:sz w:val="20"/>
                <w:szCs w:val="20"/>
                <w:lang w:eastAsia="en-GB"/>
              </w:rPr>
              <w:t xml:space="preserve">working in the system but not clear about CG </w:t>
            </w:r>
            <w:r w:rsidR="000B2BED">
              <w:rPr>
                <w:rFonts w:eastAsia="Times New Roman" w:cs="Calibri"/>
                <w:color w:val="000000"/>
                <w:sz w:val="20"/>
                <w:szCs w:val="20"/>
                <w:lang w:eastAsia="en-GB"/>
              </w:rPr>
              <w:t>work plan</w:t>
            </w:r>
            <w:r w:rsidRPr="005E2ED3">
              <w:rPr>
                <w:rFonts w:eastAsia="Times New Roman" w:cs="Calibri"/>
                <w:color w:val="000000"/>
                <w:sz w:val="20"/>
                <w:szCs w:val="20"/>
                <w:lang w:eastAsia="en-GB"/>
              </w:rPr>
              <w:t>s. </w:t>
            </w:r>
          </w:p>
        </w:tc>
        <w:tc>
          <w:tcPr>
            <w:tcW w:w="3172" w:type="dxa"/>
            <w:tcBorders>
              <w:top w:val="nil"/>
              <w:left w:val="single" w:sz="6" w:space="0" w:color="auto"/>
              <w:bottom w:val="single" w:sz="6" w:space="0" w:color="auto"/>
              <w:right w:val="single" w:sz="6" w:space="0" w:color="auto"/>
            </w:tcBorders>
            <w:shd w:val="clear" w:color="auto" w:fill="FFC000"/>
            <w:hideMark/>
          </w:tcPr>
          <w:p w14:paraId="1CF7DB2F" w14:textId="254528B2" w:rsidR="00651C0B" w:rsidRPr="005E2ED3" w:rsidRDefault="00FA3CFD"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eastAsia="en-GB"/>
              </w:rPr>
              <w:t>There is n</w:t>
            </w:r>
            <w:r w:rsidR="00651C0B" w:rsidRPr="005E2ED3">
              <w:rPr>
                <w:rFonts w:eastAsia="Times New Roman" w:cs="Calibri"/>
                <w:color w:val="000000"/>
                <w:sz w:val="20"/>
                <w:szCs w:val="20"/>
                <w:lang w:eastAsia="en-GB"/>
              </w:rPr>
              <w:t xml:space="preserve">ot much donor coordination. Alignment </w:t>
            </w:r>
            <w:r>
              <w:rPr>
                <w:rFonts w:eastAsia="Times New Roman" w:cs="Calibri"/>
                <w:color w:val="000000"/>
                <w:sz w:val="20"/>
                <w:szCs w:val="20"/>
                <w:lang w:eastAsia="en-GB"/>
              </w:rPr>
              <w:t xml:space="preserve">is </w:t>
            </w:r>
            <w:r w:rsidR="00651C0B" w:rsidRPr="005E2ED3">
              <w:rPr>
                <w:rFonts w:eastAsia="Times New Roman" w:cs="Calibri"/>
                <w:color w:val="000000"/>
                <w:sz w:val="20"/>
                <w:szCs w:val="20"/>
                <w:lang w:eastAsia="en-GB"/>
              </w:rPr>
              <w:t xml:space="preserve">not really developing into true synergy. </w:t>
            </w:r>
            <w:r>
              <w:rPr>
                <w:rFonts w:eastAsia="Times New Roman" w:cs="Calibri"/>
                <w:color w:val="000000"/>
                <w:sz w:val="20"/>
                <w:szCs w:val="20"/>
                <w:lang w:eastAsia="en-GB"/>
              </w:rPr>
              <w:t>Yet there are s</w:t>
            </w:r>
            <w:r w:rsidR="00651C0B">
              <w:rPr>
                <w:rFonts w:eastAsia="Times New Roman" w:cs="Calibri"/>
                <w:color w:val="000000"/>
                <w:sz w:val="20"/>
                <w:szCs w:val="20"/>
                <w:lang w:eastAsia="en-GB"/>
              </w:rPr>
              <w:t xml:space="preserve">ome </w:t>
            </w:r>
            <w:r w:rsidR="00651C0B" w:rsidRPr="005E2ED3">
              <w:rPr>
                <w:rFonts w:eastAsia="Times New Roman" w:cs="Calibri"/>
                <w:color w:val="000000"/>
                <w:sz w:val="20"/>
                <w:szCs w:val="20"/>
                <w:lang w:eastAsia="en-GB"/>
              </w:rPr>
              <w:t xml:space="preserve">examples of effective coordination, </w:t>
            </w:r>
            <w:r w:rsidR="00651C0B">
              <w:rPr>
                <w:rFonts w:eastAsia="Times New Roman" w:cs="Calibri"/>
                <w:color w:val="000000"/>
                <w:sz w:val="20"/>
                <w:szCs w:val="20"/>
                <w:lang w:eastAsia="en-GB"/>
              </w:rPr>
              <w:t xml:space="preserve">e.g. </w:t>
            </w:r>
            <w:r w:rsidR="00651C0B" w:rsidRPr="005E2ED3">
              <w:rPr>
                <w:rFonts w:eastAsia="Times New Roman" w:cs="Calibri"/>
                <w:color w:val="000000"/>
                <w:sz w:val="20"/>
                <w:szCs w:val="20"/>
                <w:lang w:eastAsia="en-GB"/>
              </w:rPr>
              <w:t xml:space="preserve">RKI working from CG SOPs in secondary sites or REDISSE being requested to provide HH consumables beyond the end of </w:t>
            </w:r>
            <w:r>
              <w:rPr>
                <w:rFonts w:eastAsia="Times New Roman" w:cs="Calibri"/>
                <w:color w:val="000000"/>
                <w:sz w:val="20"/>
                <w:szCs w:val="20"/>
                <w:lang w:eastAsia="en-GB"/>
              </w:rPr>
              <w:t xml:space="preserve">the </w:t>
            </w:r>
            <w:r w:rsidR="00651C0B" w:rsidRPr="005E2ED3">
              <w:rPr>
                <w:rFonts w:eastAsia="Times New Roman" w:cs="Calibri"/>
                <w:color w:val="000000"/>
                <w:sz w:val="20"/>
                <w:szCs w:val="20"/>
                <w:lang w:eastAsia="en-GB"/>
              </w:rPr>
              <w:t>CG. Coordination</w:t>
            </w:r>
            <w:r>
              <w:rPr>
                <w:rFonts w:eastAsia="Times New Roman" w:cs="Calibri"/>
                <w:color w:val="000000"/>
                <w:sz w:val="20"/>
                <w:szCs w:val="20"/>
                <w:lang w:eastAsia="en-GB"/>
              </w:rPr>
              <w:t xml:space="preserve"> is</w:t>
            </w:r>
            <w:r w:rsidR="00651C0B" w:rsidRPr="005E2ED3">
              <w:rPr>
                <w:rFonts w:eastAsia="Times New Roman" w:cs="Calibri"/>
                <w:color w:val="000000"/>
                <w:sz w:val="20"/>
                <w:szCs w:val="20"/>
                <w:lang w:eastAsia="en-GB"/>
              </w:rPr>
              <w:t xml:space="preserve"> ensured mostly through the AMRCC and TWG</w:t>
            </w:r>
            <w:r w:rsidR="00A918B1">
              <w:rPr>
                <w:rFonts w:eastAsia="Times New Roman" w:cs="Calibri"/>
                <w:color w:val="000000"/>
                <w:sz w:val="20"/>
                <w:szCs w:val="20"/>
                <w:lang w:eastAsia="en-GB"/>
              </w:rPr>
              <w:t>.</w:t>
            </w:r>
            <w:r w:rsidR="00651C0B" w:rsidRPr="005E2ED3">
              <w:rPr>
                <w:rFonts w:eastAsia="Times New Roman" w:cs="Calibri"/>
                <w:color w:val="000000"/>
                <w:sz w:val="20"/>
                <w:szCs w:val="20"/>
                <w:lang w:eastAsia="en-GB"/>
              </w:rPr>
              <w:t> </w:t>
            </w:r>
          </w:p>
        </w:tc>
        <w:tc>
          <w:tcPr>
            <w:tcW w:w="3465" w:type="dxa"/>
            <w:tcBorders>
              <w:top w:val="nil"/>
              <w:left w:val="single" w:sz="6" w:space="0" w:color="auto"/>
              <w:bottom w:val="single" w:sz="6" w:space="0" w:color="auto"/>
              <w:right w:val="single" w:sz="6" w:space="0" w:color="auto"/>
            </w:tcBorders>
            <w:shd w:val="clear" w:color="auto" w:fill="00B050"/>
            <w:hideMark/>
          </w:tcPr>
          <w:p w14:paraId="6BA04E72" w14:textId="35B3A697" w:rsidR="00651C0B" w:rsidRDefault="00651C0B" w:rsidP="00BD1EB9">
            <w:pPr>
              <w:textAlignment w:val="baseline"/>
              <w:rPr>
                <w:rFonts w:eastAsia="Times New Roman" w:cs="Calibri"/>
                <w:color w:val="000000"/>
                <w:sz w:val="20"/>
                <w:szCs w:val="20"/>
                <w:lang w:eastAsia="en-GB"/>
              </w:rPr>
            </w:pPr>
            <w:r>
              <w:rPr>
                <w:rFonts w:eastAsia="Times New Roman" w:cs="Calibri"/>
                <w:color w:val="000000"/>
                <w:sz w:val="20"/>
                <w:szCs w:val="20"/>
                <w:lang w:eastAsia="en-GB"/>
              </w:rPr>
              <w:t>N</w:t>
            </w:r>
            <w:r w:rsidRPr="005E2ED3">
              <w:rPr>
                <w:rFonts w:eastAsia="Times New Roman" w:cs="Calibri"/>
                <w:color w:val="000000"/>
                <w:sz w:val="20"/>
                <w:szCs w:val="20"/>
                <w:lang w:eastAsia="en-GB"/>
              </w:rPr>
              <w:t>CDC play</w:t>
            </w:r>
            <w:r>
              <w:rPr>
                <w:rFonts w:eastAsia="Times New Roman" w:cs="Calibri"/>
                <w:color w:val="000000"/>
                <w:sz w:val="20"/>
                <w:szCs w:val="20"/>
                <w:lang w:eastAsia="en-GB"/>
              </w:rPr>
              <w:t>s</w:t>
            </w:r>
            <w:r w:rsidRPr="005E2ED3">
              <w:rPr>
                <w:rFonts w:eastAsia="Times New Roman" w:cs="Calibri"/>
                <w:color w:val="000000"/>
                <w:sz w:val="20"/>
                <w:szCs w:val="20"/>
                <w:lang w:eastAsia="en-GB"/>
              </w:rPr>
              <w:t xml:space="preserve"> </w:t>
            </w:r>
            <w:r w:rsidR="00FA3CFD">
              <w:rPr>
                <w:rFonts w:eastAsia="Times New Roman" w:cs="Calibri"/>
                <w:color w:val="000000"/>
                <w:sz w:val="20"/>
                <w:szCs w:val="20"/>
                <w:lang w:eastAsia="en-GB"/>
              </w:rPr>
              <w:t xml:space="preserve">a </w:t>
            </w:r>
            <w:r w:rsidRPr="005E2ED3">
              <w:rPr>
                <w:rFonts w:eastAsia="Times New Roman" w:cs="Calibri"/>
                <w:color w:val="000000"/>
                <w:sz w:val="20"/>
                <w:szCs w:val="20"/>
                <w:lang w:eastAsia="en-GB"/>
              </w:rPr>
              <w:t>lead role in ensuring partner</w:t>
            </w:r>
            <w:r>
              <w:rPr>
                <w:rFonts w:eastAsia="Times New Roman" w:cs="Calibri"/>
                <w:color w:val="000000"/>
                <w:sz w:val="20"/>
                <w:szCs w:val="20"/>
                <w:lang w:eastAsia="en-GB"/>
              </w:rPr>
              <w:t>, incl</w:t>
            </w:r>
            <w:r w:rsidR="00FA3CFD">
              <w:rPr>
                <w:rFonts w:eastAsia="Times New Roman" w:cs="Calibri"/>
                <w:color w:val="000000"/>
                <w:sz w:val="20"/>
                <w:szCs w:val="20"/>
                <w:lang w:eastAsia="en-GB"/>
              </w:rPr>
              <w:t>uding</w:t>
            </w:r>
            <w:r>
              <w:rPr>
                <w:rFonts w:eastAsia="Times New Roman" w:cs="Calibri"/>
                <w:color w:val="000000"/>
                <w:sz w:val="20"/>
                <w:szCs w:val="20"/>
                <w:lang w:eastAsia="en-GB"/>
              </w:rPr>
              <w:t xml:space="preserve"> F</w:t>
            </w:r>
            <w:r w:rsidR="00FA3CFD">
              <w:rPr>
                <w:rFonts w:eastAsia="Times New Roman" w:cs="Calibri"/>
                <w:color w:val="000000"/>
                <w:sz w:val="20"/>
                <w:szCs w:val="20"/>
                <w:lang w:eastAsia="en-GB"/>
              </w:rPr>
              <w:t xml:space="preserve">leming </w:t>
            </w:r>
            <w:r>
              <w:rPr>
                <w:rFonts w:eastAsia="Times New Roman" w:cs="Calibri"/>
                <w:color w:val="000000"/>
                <w:sz w:val="20"/>
                <w:szCs w:val="20"/>
                <w:lang w:eastAsia="en-GB"/>
              </w:rPr>
              <w:t>F</w:t>
            </w:r>
            <w:r w:rsidR="00FA3CFD">
              <w:rPr>
                <w:rFonts w:eastAsia="Times New Roman" w:cs="Calibri"/>
                <w:color w:val="000000"/>
                <w:sz w:val="20"/>
                <w:szCs w:val="20"/>
                <w:lang w:eastAsia="en-GB"/>
              </w:rPr>
              <w:t>und</w:t>
            </w:r>
            <w:r>
              <w:rPr>
                <w:rFonts w:eastAsia="Times New Roman" w:cs="Calibri"/>
                <w:color w:val="000000"/>
                <w:sz w:val="20"/>
                <w:szCs w:val="20"/>
                <w:lang w:eastAsia="en-GB"/>
              </w:rPr>
              <w:t>,</w:t>
            </w:r>
            <w:r w:rsidRPr="005E2ED3">
              <w:rPr>
                <w:rFonts w:eastAsia="Times New Roman" w:cs="Calibri"/>
                <w:color w:val="000000"/>
                <w:sz w:val="20"/>
                <w:szCs w:val="20"/>
                <w:lang w:eastAsia="en-GB"/>
              </w:rPr>
              <w:t xml:space="preserve"> activities </w:t>
            </w:r>
            <w:r>
              <w:rPr>
                <w:rFonts w:eastAsia="Times New Roman" w:cs="Calibri"/>
                <w:color w:val="000000"/>
                <w:sz w:val="20"/>
                <w:szCs w:val="20"/>
                <w:lang w:eastAsia="en-GB"/>
              </w:rPr>
              <w:t xml:space="preserve">meet </w:t>
            </w:r>
            <w:r w:rsidRPr="005E2ED3">
              <w:rPr>
                <w:rFonts w:eastAsia="Times New Roman" w:cs="Calibri"/>
                <w:color w:val="000000"/>
                <w:sz w:val="20"/>
                <w:szCs w:val="20"/>
                <w:lang w:eastAsia="en-GB"/>
              </w:rPr>
              <w:t>needs</w:t>
            </w:r>
            <w:r>
              <w:rPr>
                <w:rFonts w:eastAsia="Times New Roman" w:cs="Calibri"/>
                <w:color w:val="000000"/>
                <w:sz w:val="20"/>
                <w:szCs w:val="20"/>
                <w:lang w:eastAsia="en-GB"/>
              </w:rPr>
              <w:t xml:space="preserve"> and NAP </w:t>
            </w:r>
            <w:r w:rsidRPr="005E2ED3">
              <w:rPr>
                <w:rFonts w:eastAsia="Times New Roman" w:cs="Calibri"/>
                <w:color w:val="000000"/>
                <w:sz w:val="20"/>
                <w:szCs w:val="20"/>
                <w:lang w:eastAsia="en-GB"/>
              </w:rPr>
              <w:t xml:space="preserve">objectives. </w:t>
            </w:r>
          </w:p>
          <w:p w14:paraId="7FEE6A57" w14:textId="7E7C7052" w:rsidR="00651C0B" w:rsidRPr="005E2ED3" w:rsidRDefault="00FA3CFD"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eastAsia="en-GB"/>
              </w:rPr>
              <w:t xml:space="preserve">The </w:t>
            </w:r>
            <w:r w:rsidR="00651C0B">
              <w:rPr>
                <w:rFonts w:eastAsia="Times New Roman" w:cs="Calibri"/>
                <w:color w:val="000000"/>
                <w:sz w:val="20"/>
                <w:szCs w:val="20"/>
                <w:lang w:eastAsia="en-GB"/>
              </w:rPr>
              <w:t>F</w:t>
            </w:r>
            <w:r>
              <w:rPr>
                <w:rFonts w:eastAsia="Times New Roman" w:cs="Calibri"/>
                <w:color w:val="000000"/>
                <w:sz w:val="20"/>
                <w:szCs w:val="20"/>
                <w:lang w:eastAsia="en-GB"/>
              </w:rPr>
              <w:t xml:space="preserve">leming </w:t>
            </w:r>
            <w:r w:rsidR="00651C0B">
              <w:rPr>
                <w:rFonts w:eastAsia="Times New Roman" w:cs="Calibri"/>
                <w:color w:val="000000"/>
                <w:sz w:val="20"/>
                <w:szCs w:val="20"/>
                <w:lang w:eastAsia="en-GB"/>
              </w:rPr>
              <w:t>F</w:t>
            </w:r>
            <w:r>
              <w:rPr>
                <w:rFonts w:eastAsia="Times New Roman" w:cs="Calibri"/>
                <w:color w:val="000000"/>
                <w:sz w:val="20"/>
                <w:szCs w:val="20"/>
                <w:lang w:eastAsia="en-GB"/>
              </w:rPr>
              <w:t>und</w:t>
            </w:r>
            <w:r w:rsidR="00651C0B">
              <w:rPr>
                <w:rFonts w:eastAsia="Times New Roman" w:cs="Calibri"/>
                <w:color w:val="000000"/>
                <w:sz w:val="20"/>
                <w:szCs w:val="20"/>
                <w:lang w:eastAsia="en-GB"/>
              </w:rPr>
              <w:t xml:space="preserve"> has </w:t>
            </w:r>
            <w:r w:rsidR="00651C0B" w:rsidRPr="005E2ED3">
              <w:rPr>
                <w:rFonts w:eastAsia="Times New Roman" w:cs="Calibri"/>
                <w:color w:val="000000"/>
                <w:sz w:val="20"/>
                <w:szCs w:val="20"/>
                <w:lang w:eastAsia="en-GB"/>
              </w:rPr>
              <w:t>formal</w:t>
            </w:r>
            <w:r w:rsidR="00651C0B">
              <w:rPr>
                <w:rFonts w:eastAsia="Times New Roman" w:cs="Calibri"/>
                <w:color w:val="000000"/>
                <w:sz w:val="20"/>
                <w:szCs w:val="20"/>
                <w:lang w:eastAsia="en-GB"/>
              </w:rPr>
              <w:t xml:space="preserve">, periodic </w:t>
            </w:r>
            <w:r w:rsidR="00651C0B" w:rsidRPr="005E2ED3">
              <w:rPr>
                <w:rFonts w:eastAsia="Times New Roman" w:cs="Calibri"/>
                <w:color w:val="000000"/>
                <w:sz w:val="20"/>
                <w:szCs w:val="20"/>
                <w:lang w:eastAsia="en-GB"/>
              </w:rPr>
              <w:t>coordinating mechanisms</w:t>
            </w:r>
            <w:r w:rsidR="00651C0B">
              <w:rPr>
                <w:rFonts w:eastAsia="Times New Roman" w:cs="Calibri"/>
                <w:color w:val="000000"/>
                <w:sz w:val="20"/>
                <w:szCs w:val="20"/>
                <w:lang w:eastAsia="en-GB"/>
              </w:rPr>
              <w:t xml:space="preserve">: </w:t>
            </w:r>
            <w:r w:rsidR="00651C0B" w:rsidRPr="005E2ED3">
              <w:rPr>
                <w:rFonts w:eastAsia="Times New Roman" w:cs="Calibri"/>
                <w:color w:val="000000"/>
                <w:sz w:val="20"/>
                <w:szCs w:val="20"/>
                <w:lang w:eastAsia="en-GB"/>
              </w:rPr>
              <w:t>CCM</w:t>
            </w:r>
            <w:r w:rsidR="00651C0B">
              <w:rPr>
                <w:rFonts w:eastAsia="Times New Roman" w:cs="Calibri"/>
                <w:color w:val="000000"/>
                <w:sz w:val="20"/>
                <w:szCs w:val="20"/>
                <w:lang w:eastAsia="en-GB"/>
              </w:rPr>
              <w:t xml:space="preserve">s enable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 xml:space="preserve">leming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und</w:t>
            </w:r>
            <w:r w:rsidR="00651C0B" w:rsidRPr="005E2ED3">
              <w:rPr>
                <w:rFonts w:eastAsia="Times New Roman" w:cs="Calibri"/>
                <w:color w:val="000000"/>
                <w:sz w:val="20"/>
                <w:szCs w:val="20"/>
                <w:lang w:eastAsia="en-GB"/>
              </w:rPr>
              <w:t xml:space="preserve"> grantees to share activity update</w:t>
            </w:r>
            <w:r w:rsidR="00651C0B">
              <w:rPr>
                <w:rFonts w:eastAsia="Times New Roman" w:cs="Calibri"/>
                <w:color w:val="000000"/>
                <w:sz w:val="20"/>
                <w:szCs w:val="20"/>
                <w:lang w:eastAsia="en-GB"/>
              </w:rPr>
              <w:t>s</w:t>
            </w:r>
            <w:r w:rsidR="00651C0B" w:rsidRPr="005E2ED3">
              <w:rPr>
                <w:rFonts w:eastAsia="Times New Roman" w:cs="Calibri"/>
                <w:color w:val="000000"/>
                <w:sz w:val="20"/>
                <w:szCs w:val="20"/>
                <w:lang w:eastAsia="en-GB"/>
              </w:rPr>
              <w:t>, progress and lessons</w:t>
            </w:r>
            <w:r w:rsidR="00651C0B">
              <w:rPr>
                <w:rFonts w:eastAsia="Times New Roman" w:cs="Calibri"/>
                <w:color w:val="000000"/>
                <w:sz w:val="20"/>
                <w:szCs w:val="20"/>
                <w:lang w:eastAsia="en-GB"/>
              </w:rPr>
              <w:t xml:space="preserve"> which helps </w:t>
            </w:r>
            <w:r w:rsidR="00651C0B" w:rsidRPr="005E2ED3">
              <w:rPr>
                <w:rFonts w:eastAsia="Times New Roman" w:cs="Calibri"/>
                <w:color w:val="000000"/>
                <w:sz w:val="20"/>
                <w:szCs w:val="20"/>
                <w:lang w:eastAsia="en-GB"/>
              </w:rPr>
              <w:t xml:space="preserve">regional leads </w:t>
            </w:r>
            <w:r>
              <w:rPr>
                <w:rFonts w:eastAsia="Times New Roman" w:cs="Calibri"/>
                <w:color w:val="000000"/>
                <w:sz w:val="20"/>
                <w:szCs w:val="20"/>
                <w:lang w:eastAsia="en-GB"/>
              </w:rPr>
              <w:t>to</w:t>
            </w:r>
            <w:r w:rsidRPr="005E2ED3">
              <w:rPr>
                <w:rFonts w:eastAsia="Times New Roman" w:cs="Calibri"/>
                <w:color w:val="000000"/>
                <w:sz w:val="20"/>
                <w:szCs w:val="20"/>
                <w:lang w:eastAsia="en-GB"/>
              </w:rPr>
              <w:t xml:space="preserve"> </w:t>
            </w:r>
            <w:r w:rsidR="00651C0B" w:rsidRPr="005E2ED3">
              <w:rPr>
                <w:rFonts w:eastAsia="Times New Roman" w:cs="Calibri"/>
                <w:color w:val="000000"/>
                <w:sz w:val="20"/>
                <w:szCs w:val="20"/>
                <w:lang w:eastAsia="en-GB"/>
              </w:rPr>
              <w:t xml:space="preserve">improve coordination. </w:t>
            </w:r>
            <w:r w:rsidR="00651C0B">
              <w:rPr>
                <w:rFonts w:eastAsia="Times New Roman" w:cs="Calibri"/>
                <w:color w:val="000000"/>
                <w:sz w:val="20"/>
                <w:szCs w:val="20"/>
                <w:lang w:eastAsia="en-GB"/>
              </w:rPr>
              <w:t xml:space="preserve">External </w:t>
            </w:r>
            <w:r w:rsidR="00651C0B" w:rsidRPr="005E2ED3">
              <w:rPr>
                <w:rFonts w:eastAsia="Times New Roman" w:cs="Calibri"/>
                <w:color w:val="000000"/>
                <w:sz w:val="20"/>
                <w:szCs w:val="20"/>
                <w:lang w:eastAsia="en-GB"/>
              </w:rPr>
              <w:t>partners are engaged to share updates on partner projects</w:t>
            </w:r>
            <w:r w:rsidR="00651C0B">
              <w:rPr>
                <w:rFonts w:eastAsia="Times New Roman" w:cs="Calibri"/>
                <w:color w:val="000000"/>
                <w:sz w:val="20"/>
                <w:szCs w:val="20"/>
                <w:lang w:eastAsia="en-GB"/>
              </w:rPr>
              <w:t xml:space="preserve"> which helps </w:t>
            </w:r>
            <w:r>
              <w:rPr>
                <w:rFonts w:eastAsia="Times New Roman" w:cs="Calibri"/>
                <w:color w:val="000000"/>
                <w:sz w:val="20"/>
                <w:szCs w:val="20"/>
                <w:lang w:eastAsia="en-GB"/>
              </w:rPr>
              <w:t xml:space="preserve">to </w:t>
            </w:r>
            <w:r w:rsidR="00651C0B">
              <w:rPr>
                <w:rFonts w:eastAsia="Times New Roman" w:cs="Calibri"/>
                <w:color w:val="000000"/>
                <w:sz w:val="20"/>
                <w:szCs w:val="20"/>
                <w:lang w:eastAsia="en-GB"/>
              </w:rPr>
              <w:t xml:space="preserve">avoid </w:t>
            </w:r>
            <w:r w:rsidR="00651C0B" w:rsidRPr="005E2ED3">
              <w:rPr>
                <w:rFonts w:eastAsia="Times New Roman" w:cs="Calibri"/>
                <w:color w:val="000000"/>
                <w:sz w:val="20"/>
                <w:szCs w:val="20"/>
                <w:lang w:val="en-US" w:eastAsia="en-GB"/>
              </w:rPr>
              <w:t>duplication.</w:t>
            </w:r>
            <w:r w:rsidR="00651C0B" w:rsidRPr="005E2ED3">
              <w:rPr>
                <w:rFonts w:eastAsia="Times New Roman" w:cs="Calibri"/>
                <w:color w:val="000000"/>
                <w:sz w:val="20"/>
                <w:szCs w:val="20"/>
                <w:lang w:eastAsia="en-GB"/>
              </w:rPr>
              <w:t> </w:t>
            </w:r>
          </w:p>
        </w:tc>
      </w:tr>
      <w:tr w:rsidR="00651C0B" w:rsidRPr="005E2ED3" w14:paraId="238F67CF" w14:textId="77777777" w:rsidTr="00651C0B">
        <w:trPr>
          <w:trHeight w:val="345"/>
        </w:trPr>
        <w:tc>
          <w:tcPr>
            <w:tcW w:w="1257" w:type="dxa"/>
            <w:tcBorders>
              <w:top w:val="nil"/>
              <w:left w:val="single" w:sz="6" w:space="0" w:color="auto"/>
              <w:bottom w:val="single" w:sz="6" w:space="0" w:color="auto"/>
              <w:right w:val="single" w:sz="6" w:space="0" w:color="auto"/>
            </w:tcBorders>
            <w:shd w:val="clear" w:color="auto" w:fill="auto"/>
            <w:hideMark/>
          </w:tcPr>
          <w:p w14:paraId="5BB5699A"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563C1"/>
                <w:sz w:val="20"/>
                <w:szCs w:val="20"/>
                <w:u w:val="single"/>
                <w:lang w:eastAsia="en-GB"/>
              </w:rPr>
              <w:t>Pakistan</w:t>
            </w:r>
            <w:r w:rsidRPr="005E2ED3">
              <w:rPr>
                <w:rFonts w:eastAsia="Times New Roman" w:cs="Calibri"/>
                <w:color w:val="000000"/>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00B050"/>
            <w:hideMark/>
          </w:tcPr>
          <w:p w14:paraId="59A125F7"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Very good alignment with the government priorities, alignment is clear with all the objectives of NAP. </w:t>
            </w:r>
          </w:p>
          <w:p w14:paraId="163A5996" w14:textId="6F4C5D18"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Examples of need assessments, consultative meetings, and joint activities with Ministry of </w:t>
            </w:r>
            <w:r w:rsidR="00D83B1E" w:rsidRPr="005E2ED3">
              <w:rPr>
                <w:rFonts w:eastAsia="Times New Roman" w:cs="Calibri"/>
                <w:color w:val="000000"/>
                <w:sz w:val="20"/>
                <w:szCs w:val="20"/>
                <w:lang w:eastAsia="en-GB"/>
              </w:rPr>
              <w:t xml:space="preserve">Food and Agriculture </w:t>
            </w:r>
            <w:r w:rsidRPr="005E2ED3">
              <w:rPr>
                <w:rFonts w:eastAsia="Times New Roman" w:cs="Calibri"/>
                <w:color w:val="000000"/>
                <w:sz w:val="20"/>
                <w:szCs w:val="20"/>
                <w:lang w:eastAsia="en-GB"/>
              </w:rPr>
              <w:t>and also with NIH </w:t>
            </w:r>
          </w:p>
          <w:p w14:paraId="20FAD570" w14:textId="0B8B21E6" w:rsidR="00651C0B" w:rsidRPr="005E2ED3" w:rsidRDefault="00D83B1E" w:rsidP="00D83B1E">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eastAsia="en-GB"/>
              </w:rPr>
              <w:t xml:space="preserve">The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 xml:space="preserve">leming </w:t>
            </w:r>
            <w:r w:rsidR="00651C0B" w:rsidRPr="005E2ED3">
              <w:rPr>
                <w:rFonts w:eastAsia="Times New Roman" w:cs="Calibri"/>
                <w:color w:val="000000"/>
                <w:sz w:val="20"/>
                <w:szCs w:val="20"/>
                <w:lang w:eastAsia="en-GB"/>
              </w:rPr>
              <w:t>F</w:t>
            </w:r>
            <w:r>
              <w:rPr>
                <w:rFonts w:eastAsia="Times New Roman" w:cs="Calibri"/>
                <w:color w:val="000000"/>
                <w:sz w:val="20"/>
                <w:szCs w:val="20"/>
                <w:lang w:eastAsia="en-GB"/>
              </w:rPr>
              <w:t>und</w:t>
            </w:r>
            <w:r w:rsidR="00651C0B" w:rsidRPr="005E2ED3">
              <w:rPr>
                <w:rFonts w:eastAsia="Times New Roman" w:cs="Calibri"/>
                <w:color w:val="000000"/>
                <w:sz w:val="20"/>
                <w:szCs w:val="20"/>
                <w:lang w:eastAsia="en-GB"/>
              </w:rPr>
              <w:t xml:space="preserve"> proposal built on the NAP and the activities proposed were mainly to address the gaps; starting from ensuring basic infrastructure and equipment </w:t>
            </w:r>
            <w:r>
              <w:rPr>
                <w:rFonts w:eastAsia="Times New Roman" w:cs="Calibri"/>
                <w:color w:val="000000"/>
                <w:sz w:val="20"/>
                <w:szCs w:val="20"/>
                <w:lang w:eastAsia="en-GB"/>
              </w:rPr>
              <w:t xml:space="preserve">are </w:t>
            </w:r>
            <w:r w:rsidR="00651C0B" w:rsidRPr="005E2ED3">
              <w:rPr>
                <w:rFonts w:eastAsia="Times New Roman" w:cs="Calibri"/>
                <w:color w:val="000000"/>
                <w:sz w:val="20"/>
                <w:szCs w:val="20"/>
                <w:lang w:eastAsia="en-GB"/>
              </w:rPr>
              <w:t>in place to allow surveillance of AMR </w:t>
            </w:r>
            <w:r w:rsidR="00A918B1">
              <w:rPr>
                <w:rFonts w:eastAsia="Times New Roman" w:cs="Calibri"/>
                <w:color w:val="000000"/>
                <w:sz w:val="20"/>
                <w:szCs w:val="20"/>
                <w:lang w:eastAsia="en-GB"/>
              </w:rPr>
              <w:t>.</w:t>
            </w:r>
            <w:r w:rsidR="00651C0B" w:rsidRPr="005E2ED3">
              <w:rPr>
                <w:rFonts w:eastAsia="Times New Roman" w:cs="Calibri"/>
                <w:color w:val="000000"/>
                <w:sz w:val="20"/>
                <w:szCs w:val="20"/>
                <w:lang w:eastAsia="en-GB"/>
              </w:rPr>
              <w:t> </w:t>
            </w:r>
          </w:p>
        </w:tc>
        <w:tc>
          <w:tcPr>
            <w:tcW w:w="3452" w:type="dxa"/>
            <w:tcBorders>
              <w:top w:val="nil"/>
              <w:left w:val="single" w:sz="6" w:space="0" w:color="auto"/>
              <w:bottom w:val="single" w:sz="6" w:space="0" w:color="auto"/>
              <w:right w:val="single" w:sz="6" w:space="0" w:color="auto"/>
            </w:tcBorders>
            <w:shd w:val="clear" w:color="auto" w:fill="FFC000"/>
            <w:hideMark/>
          </w:tcPr>
          <w:p w14:paraId="51DAE242"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val="en-US" w:eastAsia="en-GB"/>
              </w:rPr>
              <w:t xml:space="preserve">Some positive examples of collaboration between CG, Fleming Fellows and RGs. </w:t>
            </w:r>
            <w:r>
              <w:rPr>
                <w:rFonts w:eastAsia="Times New Roman" w:cs="Calibri"/>
                <w:color w:val="000000"/>
                <w:sz w:val="20"/>
                <w:szCs w:val="20"/>
                <w:lang w:val="en-US" w:eastAsia="en-GB"/>
              </w:rPr>
              <w:t>CCM</w:t>
            </w:r>
            <w:r w:rsidRPr="005E2ED3">
              <w:rPr>
                <w:rFonts w:eastAsia="Times New Roman" w:cs="Calibri"/>
                <w:color w:val="000000"/>
                <w:sz w:val="20"/>
                <w:szCs w:val="20"/>
                <w:lang w:val="en-US" w:eastAsia="en-GB"/>
              </w:rPr>
              <w:t xml:space="preserve"> seems to be very effective and had good participation from internal stakeholders. </w:t>
            </w:r>
            <w:r w:rsidRPr="005E2ED3">
              <w:rPr>
                <w:rFonts w:eastAsia="Times New Roman" w:cs="Calibri"/>
                <w:color w:val="000000"/>
                <w:sz w:val="20"/>
                <w:szCs w:val="20"/>
                <w:lang w:eastAsia="en-GB"/>
              </w:rPr>
              <w:t> </w:t>
            </w:r>
          </w:p>
          <w:p w14:paraId="5526DD22"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w:t>
            </w:r>
          </w:p>
          <w:p w14:paraId="4EFE556A" w14:textId="2A46346A"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val="en-US" w:eastAsia="en-GB"/>
              </w:rPr>
              <w:t xml:space="preserve">Fellowships have incurred some challenges partly linked to coordination/design issues. </w:t>
            </w:r>
            <w:r>
              <w:rPr>
                <w:rFonts w:eastAsia="Times New Roman" w:cs="Calibri"/>
                <w:color w:val="000000"/>
                <w:sz w:val="20"/>
                <w:szCs w:val="20"/>
                <w:lang w:val="en-US" w:eastAsia="en-GB"/>
              </w:rPr>
              <w:t>CCMs</w:t>
            </w:r>
            <w:r w:rsidRPr="005E2ED3">
              <w:rPr>
                <w:rFonts w:eastAsia="Times New Roman" w:cs="Calibri"/>
                <w:color w:val="000000"/>
                <w:sz w:val="20"/>
                <w:szCs w:val="20"/>
                <w:lang w:val="en-US" w:eastAsia="en-GB"/>
              </w:rPr>
              <w:t xml:space="preserve"> are a good start but mechanism</w:t>
            </w:r>
            <w:r w:rsidR="00D83B1E">
              <w:rPr>
                <w:rFonts w:eastAsia="Times New Roman" w:cs="Calibri"/>
                <w:color w:val="000000"/>
                <w:sz w:val="20"/>
                <w:szCs w:val="20"/>
                <w:lang w:val="en-US" w:eastAsia="en-GB"/>
              </w:rPr>
              <w:t>s</w:t>
            </w:r>
            <w:r w:rsidRPr="005E2ED3">
              <w:rPr>
                <w:rFonts w:eastAsia="Times New Roman" w:cs="Calibri"/>
                <w:color w:val="000000"/>
                <w:sz w:val="20"/>
                <w:szCs w:val="20"/>
                <w:lang w:val="en-US" w:eastAsia="en-GB"/>
              </w:rPr>
              <w:t xml:space="preserve"> to ensure internal coherence could be stronger. </w:t>
            </w:r>
            <w:r w:rsidRPr="005E2ED3">
              <w:rPr>
                <w:rFonts w:eastAsia="Times New Roman" w:cs="Calibri"/>
                <w:color w:val="000000"/>
                <w:sz w:val="20"/>
                <w:szCs w:val="20"/>
                <w:lang w:eastAsia="en-GB"/>
              </w:rPr>
              <w:t> </w:t>
            </w:r>
          </w:p>
          <w:p w14:paraId="0E1FAB36"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w:t>
            </w:r>
          </w:p>
        </w:tc>
        <w:tc>
          <w:tcPr>
            <w:tcW w:w="3172" w:type="dxa"/>
            <w:tcBorders>
              <w:top w:val="nil"/>
              <w:left w:val="single" w:sz="6" w:space="0" w:color="auto"/>
              <w:bottom w:val="single" w:sz="6" w:space="0" w:color="auto"/>
              <w:right w:val="single" w:sz="6" w:space="0" w:color="auto"/>
            </w:tcBorders>
            <w:shd w:val="clear" w:color="auto" w:fill="FFC000"/>
            <w:hideMark/>
          </w:tcPr>
          <w:p w14:paraId="6FF7F913" w14:textId="629CA788"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val="en-US" w:eastAsia="en-GB"/>
              </w:rPr>
              <w:t>Government to lead the coordination efforts and align the partners</w:t>
            </w:r>
            <w:r w:rsidR="00A918B1">
              <w:rPr>
                <w:rFonts w:eastAsia="Times New Roman" w:cs="Calibri"/>
                <w:color w:val="000000"/>
                <w:sz w:val="20"/>
                <w:szCs w:val="20"/>
                <w:lang w:eastAsia="en-GB"/>
              </w:rPr>
              <w:t>.</w:t>
            </w:r>
          </w:p>
          <w:p w14:paraId="171B5287" w14:textId="1F6AB450" w:rsidR="00651C0B" w:rsidRPr="005E2ED3" w:rsidRDefault="008211AD"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val="en-US" w:eastAsia="en-GB"/>
              </w:rPr>
              <w:t>WOAH</w:t>
            </w:r>
            <w:r w:rsidR="00651C0B" w:rsidRPr="005E2ED3">
              <w:rPr>
                <w:rFonts w:eastAsia="Times New Roman" w:cs="Calibri"/>
                <w:color w:val="000000"/>
                <w:sz w:val="20"/>
                <w:szCs w:val="20"/>
                <w:lang w:val="en-US" w:eastAsia="en-GB"/>
              </w:rPr>
              <w:t xml:space="preserve">, PHE, Islamabad health regulatory authority, FAO, FCDO, CDC are the key partners. </w:t>
            </w:r>
            <w:r w:rsidR="00A918B1">
              <w:rPr>
                <w:rFonts w:eastAsia="Times New Roman" w:cs="Calibri"/>
                <w:color w:val="000000"/>
                <w:sz w:val="20"/>
                <w:szCs w:val="20"/>
                <w:lang w:val="en-US" w:eastAsia="en-GB"/>
              </w:rPr>
              <w:t>There is c</w:t>
            </w:r>
            <w:r w:rsidR="00651C0B" w:rsidRPr="005E2ED3">
              <w:rPr>
                <w:rFonts w:eastAsia="Times New Roman" w:cs="Calibri"/>
                <w:color w:val="000000"/>
                <w:sz w:val="20"/>
                <w:szCs w:val="20"/>
                <w:lang w:val="en-US" w:eastAsia="en-GB"/>
              </w:rPr>
              <w:t>lose coordination and joint activities with FAO where possible.</w:t>
            </w:r>
            <w:r w:rsidR="00651C0B" w:rsidRPr="005E2ED3">
              <w:rPr>
                <w:rFonts w:eastAsia="Times New Roman" w:cs="Calibri"/>
                <w:color w:val="498205"/>
                <w:sz w:val="20"/>
                <w:szCs w:val="20"/>
                <w:u w:val="single"/>
                <w:lang w:val="en-US" w:eastAsia="en-GB"/>
              </w:rPr>
              <w:t xml:space="preserve"> </w:t>
            </w:r>
          </w:p>
          <w:p w14:paraId="0E39CC01" w14:textId="2BF76E83"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AMRCC remains the major platform where all partners working in AMR participate and activities are discussed</w:t>
            </w:r>
            <w:r w:rsidR="00A918B1">
              <w:rPr>
                <w:rFonts w:eastAsia="Times New Roman" w:cs="Calibri"/>
                <w:color w:val="000000"/>
                <w:sz w:val="20"/>
                <w:szCs w:val="20"/>
                <w:lang w:eastAsia="en-GB"/>
              </w:rPr>
              <w:t>.</w:t>
            </w:r>
            <w:r w:rsidRPr="005E2ED3">
              <w:rPr>
                <w:rFonts w:eastAsia="Times New Roman" w:cs="Calibri"/>
                <w:color w:val="000000"/>
                <w:sz w:val="20"/>
                <w:szCs w:val="20"/>
                <w:lang w:eastAsia="en-GB"/>
              </w:rPr>
              <w:t xml:space="preserve"> One on one meeting</w:t>
            </w:r>
            <w:r w:rsidR="00A918B1">
              <w:rPr>
                <w:rFonts w:eastAsia="Times New Roman" w:cs="Calibri"/>
                <w:color w:val="000000"/>
                <w:sz w:val="20"/>
                <w:szCs w:val="20"/>
                <w:lang w:eastAsia="en-GB"/>
              </w:rPr>
              <w:t>s</w:t>
            </w:r>
            <w:r w:rsidRPr="005E2ED3">
              <w:rPr>
                <w:rFonts w:eastAsia="Times New Roman" w:cs="Calibri"/>
                <w:color w:val="000000"/>
                <w:sz w:val="20"/>
                <w:szCs w:val="20"/>
                <w:lang w:eastAsia="en-GB"/>
              </w:rPr>
              <w:t xml:space="preserve"> with technical partners are done as per the requirement</w:t>
            </w:r>
            <w:r>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Activities can be better aligned with DPs (PHE, CDC)  </w:t>
            </w:r>
          </w:p>
        </w:tc>
        <w:tc>
          <w:tcPr>
            <w:tcW w:w="3465" w:type="dxa"/>
            <w:tcBorders>
              <w:top w:val="nil"/>
              <w:left w:val="single" w:sz="6" w:space="0" w:color="auto"/>
              <w:bottom w:val="single" w:sz="6" w:space="0" w:color="auto"/>
              <w:right w:val="single" w:sz="6" w:space="0" w:color="auto"/>
            </w:tcBorders>
            <w:shd w:val="clear" w:color="auto" w:fill="FFC000"/>
            <w:hideMark/>
          </w:tcPr>
          <w:p w14:paraId="5A53F65D" w14:textId="7801B9F8"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Overall good coherence internally and externally but </w:t>
            </w:r>
            <w:r w:rsidR="00A918B1">
              <w:rPr>
                <w:rFonts w:eastAsia="Times New Roman" w:cs="Calibri"/>
                <w:color w:val="000000"/>
                <w:sz w:val="20"/>
                <w:szCs w:val="20"/>
                <w:lang w:eastAsia="en-GB"/>
              </w:rPr>
              <w:t xml:space="preserve">there is </w:t>
            </w:r>
            <w:r w:rsidRPr="005E2ED3">
              <w:rPr>
                <w:rFonts w:eastAsia="Times New Roman" w:cs="Calibri"/>
                <w:color w:val="000000"/>
                <w:sz w:val="20"/>
                <w:szCs w:val="20"/>
                <w:lang w:eastAsia="en-GB"/>
              </w:rPr>
              <w:t>room for improvement</w:t>
            </w:r>
            <w:r w:rsidR="00A918B1">
              <w:rPr>
                <w:rFonts w:eastAsia="Times New Roman" w:cs="Calibri"/>
                <w:color w:val="000000"/>
                <w:sz w:val="20"/>
                <w:szCs w:val="20"/>
                <w:lang w:eastAsia="en-GB"/>
              </w:rPr>
              <w:t>.</w:t>
            </w:r>
            <w:r w:rsidRPr="005E2ED3">
              <w:rPr>
                <w:rFonts w:eastAsia="Times New Roman" w:cs="Calibri"/>
                <w:color w:val="000000"/>
                <w:sz w:val="20"/>
                <w:szCs w:val="20"/>
                <w:lang w:eastAsia="en-GB"/>
              </w:rPr>
              <w:t>  </w:t>
            </w:r>
          </w:p>
          <w:p w14:paraId="621F29DF" w14:textId="4E5765F7" w:rsidR="00651C0B" w:rsidRPr="005E2ED3" w:rsidRDefault="00A918B1"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val="en-US" w:eastAsia="en-GB"/>
              </w:rPr>
              <w:t>There is s</w:t>
            </w:r>
            <w:r w:rsidR="00651C0B" w:rsidRPr="005E2ED3">
              <w:rPr>
                <w:rFonts w:eastAsia="Times New Roman" w:cs="Calibri"/>
                <w:color w:val="000000"/>
                <w:sz w:val="20"/>
                <w:szCs w:val="20"/>
                <w:lang w:val="en-US" w:eastAsia="en-GB"/>
              </w:rPr>
              <w:t>trong coordination with government</w:t>
            </w:r>
            <w:r w:rsidR="00651C0B">
              <w:rPr>
                <w:rFonts w:eastAsia="Times New Roman" w:cs="Calibri"/>
                <w:color w:val="000000"/>
                <w:sz w:val="20"/>
                <w:szCs w:val="20"/>
                <w:lang w:val="en-US" w:eastAsia="en-GB"/>
              </w:rPr>
              <w:t>.</w:t>
            </w:r>
            <w:r w:rsidR="00651C0B" w:rsidRPr="005E2ED3">
              <w:rPr>
                <w:rFonts w:eastAsia="Times New Roman" w:cs="Calibri"/>
                <w:color w:val="000000"/>
                <w:sz w:val="20"/>
                <w:szCs w:val="20"/>
                <w:lang w:val="en-US" w:eastAsia="en-GB"/>
              </w:rPr>
              <w:t xml:space="preserve"> </w:t>
            </w:r>
          </w:p>
          <w:p w14:paraId="609632EA" w14:textId="7F3C11E8"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val="en-US" w:eastAsia="en-GB"/>
              </w:rPr>
              <w:t>Fellowships have incurred some challenges</w:t>
            </w:r>
            <w:r w:rsidRPr="005E2ED3">
              <w:rPr>
                <w:rFonts w:eastAsia="Times New Roman" w:cs="Calibri"/>
                <w:b/>
                <w:bCs/>
                <w:color w:val="000000"/>
                <w:sz w:val="20"/>
                <w:szCs w:val="20"/>
                <w:lang w:val="en-US" w:eastAsia="en-GB"/>
              </w:rPr>
              <w:t xml:space="preserve"> </w:t>
            </w:r>
            <w:r w:rsidRPr="005E2ED3">
              <w:rPr>
                <w:rFonts w:eastAsia="Times New Roman" w:cs="Calibri"/>
                <w:color w:val="000000"/>
                <w:sz w:val="20"/>
                <w:szCs w:val="20"/>
                <w:lang w:val="en-US" w:eastAsia="en-GB"/>
              </w:rPr>
              <w:t xml:space="preserve">partly linked to coordination/design issues. </w:t>
            </w:r>
            <w:r>
              <w:rPr>
                <w:rFonts w:eastAsia="Times New Roman" w:cs="Calibri"/>
                <w:color w:val="000000"/>
                <w:sz w:val="20"/>
                <w:szCs w:val="20"/>
                <w:lang w:val="en-US" w:eastAsia="en-GB"/>
              </w:rPr>
              <w:t xml:space="preserve">CCMs </w:t>
            </w:r>
            <w:r w:rsidRPr="005E2ED3">
              <w:rPr>
                <w:rFonts w:eastAsia="Times New Roman" w:cs="Calibri"/>
                <w:color w:val="000000"/>
                <w:sz w:val="20"/>
                <w:szCs w:val="20"/>
                <w:lang w:val="en-US" w:eastAsia="en-GB"/>
              </w:rPr>
              <w:t>are a good start but mechanism</w:t>
            </w:r>
            <w:r w:rsidR="00A918B1">
              <w:rPr>
                <w:rFonts w:eastAsia="Times New Roman" w:cs="Calibri"/>
                <w:color w:val="000000"/>
                <w:sz w:val="20"/>
                <w:szCs w:val="20"/>
                <w:lang w:val="en-US" w:eastAsia="en-GB"/>
              </w:rPr>
              <w:t>s</w:t>
            </w:r>
            <w:r w:rsidRPr="005E2ED3">
              <w:rPr>
                <w:rFonts w:eastAsia="Times New Roman" w:cs="Calibri"/>
                <w:color w:val="000000"/>
                <w:sz w:val="20"/>
                <w:szCs w:val="20"/>
                <w:lang w:val="en-US" w:eastAsia="en-GB"/>
              </w:rPr>
              <w:t xml:space="preserve"> to ensure internal coherence could be stronger. </w:t>
            </w:r>
            <w:r w:rsidRPr="005E2ED3">
              <w:rPr>
                <w:rFonts w:eastAsia="Times New Roman" w:cs="Calibri"/>
                <w:color w:val="000000"/>
                <w:sz w:val="20"/>
                <w:szCs w:val="20"/>
                <w:lang w:eastAsia="en-GB"/>
              </w:rPr>
              <w:t> </w:t>
            </w:r>
          </w:p>
          <w:p w14:paraId="7D2C3237" w14:textId="5B8E73B9" w:rsidR="00651C0B" w:rsidRPr="005E2ED3" w:rsidRDefault="00A918B1"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val="en-US" w:eastAsia="en-GB"/>
              </w:rPr>
              <w:t>The r</w:t>
            </w:r>
            <w:r w:rsidR="00651C0B" w:rsidRPr="005E2ED3">
              <w:rPr>
                <w:rFonts w:eastAsia="Times New Roman" w:cs="Calibri"/>
                <w:color w:val="000000"/>
                <w:sz w:val="20"/>
                <w:szCs w:val="20"/>
                <w:lang w:val="en-US" w:eastAsia="en-GB"/>
              </w:rPr>
              <w:t>isk of external duplication is low</w:t>
            </w:r>
            <w:r w:rsidR="00651C0B" w:rsidRPr="005E2ED3">
              <w:rPr>
                <w:rFonts w:eastAsia="Times New Roman" w:cs="Calibri"/>
                <w:b/>
                <w:bCs/>
                <w:color w:val="000000"/>
                <w:sz w:val="20"/>
                <w:szCs w:val="20"/>
                <w:lang w:val="en-US" w:eastAsia="en-GB"/>
              </w:rPr>
              <w:t xml:space="preserve"> </w:t>
            </w:r>
            <w:r w:rsidR="00651C0B" w:rsidRPr="005E2ED3">
              <w:rPr>
                <w:rFonts w:eastAsia="Times New Roman" w:cs="Calibri"/>
                <w:color w:val="000000"/>
                <w:sz w:val="20"/>
                <w:szCs w:val="20"/>
                <w:lang w:val="en-US" w:eastAsia="en-GB"/>
              </w:rPr>
              <w:t xml:space="preserve">and external coordination is somewhat outside the remit of the Fleming Fund. Alignment and </w:t>
            </w:r>
            <w:r w:rsidR="00651C0B" w:rsidRPr="005E2ED3">
              <w:rPr>
                <w:rFonts w:eastAsia="Times New Roman" w:cs="Calibri"/>
                <w:color w:val="000000"/>
                <w:sz w:val="20"/>
                <w:szCs w:val="20"/>
                <w:lang w:eastAsia="en-GB"/>
              </w:rPr>
              <w:t xml:space="preserve">Coordination with </w:t>
            </w:r>
            <w:r w:rsidR="00651C0B" w:rsidRPr="005E2ED3">
              <w:rPr>
                <w:rFonts w:eastAsia="Times New Roman" w:cs="Calibri"/>
                <w:color w:val="000000"/>
                <w:sz w:val="20"/>
                <w:szCs w:val="20"/>
                <w:lang w:val="en-US" w:eastAsia="en-GB"/>
              </w:rPr>
              <w:t xml:space="preserve">partners can be improved (CDC, PHE). </w:t>
            </w:r>
          </w:p>
        </w:tc>
      </w:tr>
      <w:tr w:rsidR="00651C0B" w:rsidRPr="005E2ED3" w14:paraId="076FF950" w14:textId="77777777" w:rsidTr="00651C0B">
        <w:trPr>
          <w:trHeight w:val="345"/>
        </w:trPr>
        <w:tc>
          <w:tcPr>
            <w:tcW w:w="1257" w:type="dxa"/>
            <w:tcBorders>
              <w:top w:val="nil"/>
              <w:left w:val="single" w:sz="6" w:space="0" w:color="auto"/>
              <w:bottom w:val="single" w:sz="6" w:space="0" w:color="auto"/>
              <w:right w:val="single" w:sz="6" w:space="0" w:color="auto"/>
            </w:tcBorders>
            <w:shd w:val="clear" w:color="auto" w:fill="auto"/>
            <w:hideMark/>
          </w:tcPr>
          <w:p w14:paraId="4F8E458B"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563C1"/>
                <w:sz w:val="20"/>
                <w:szCs w:val="20"/>
                <w:u w:val="single"/>
                <w:lang w:eastAsia="en-GB"/>
              </w:rPr>
              <w:t>Sierra Leone</w:t>
            </w:r>
            <w:r w:rsidRPr="005E2ED3">
              <w:rPr>
                <w:rFonts w:eastAsia="Times New Roman" w:cs="Calibri"/>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00B050"/>
            <w:hideMark/>
          </w:tcPr>
          <w:p w14:paraId="200EBB11" w14:textId="6545A45B"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eastAsia="en-GB"/>
              </w:rPr>
              <w:t>F</w:t>
            </w:r>
            <w:r w:rsidR="00B17D35">
              <w:rPr>
                <w:rFonts w:eastAsia="Times New Roman" w:cs="Calibri"/>
                <w:sz w:val="20"/>
                <w:szCs w:val="20"/>
                <w:lang w:eastAsia="en-GB"/>
              </w:rPr>
              <w:t xml:space="preserve">leming </w:t>
            </w:r>
            <w:r w:rsidRPr="005E2ED3">
              <w:rPr>
                <w:rFonts w:eastAsia="Times New Roman" w:cs="Calibri"/>
                <w:sz w:val="20"/>
                <w:szCs w:val="20"/>
                <w:lang w:eastAsia="en-GB"/>
              </w:rPr>
              <w:t>F</w:t>
            </w:r>
            <w:r w:rsidR="00B17D35">
              <w:rPr>
                <w:rFonts w:eastAsia="Times New Roman" w:cs="Calibri"/>
                <w:sz w:val="20"/>
                <w:szCs w:val="20"/>
                <w:lang w:eastAsia="en-GB"/>
              </w:rPr>
              <w:t>und</w:t>
            </w:r>
            <w:r w:rsidRPr="005E2ED3">
              <w:rPr>
                <w:rFonts w:eastAsia="Times New Roman" w:cs="Calibri"/>
                <w:sz w:val="20"/>
                <w:szCs w:val="20"/>
                <w:lang w:eastAsia="en-GB"/>
              </w:rPr>
              <w:t xml:space="preserve"> grantees in HH and AH have been involved in the development of a NAP. This is </w:t>
            </w:r>
            <w:r>
              <w:rPr>
                <w:rFonts w:eastAsia="Times New Roman" w:cs="Calibri"/>
                <w:sz w:val="20"/>
                <w:szCs w:val="20"/>
                <w:lang w:eastAsia="en-GB"/>
              </w:rPr>
              <w:t>central</w:t>
            </w:r>
            <w:r w:rsidRPr="005E2ED3">
              <w:rPr>
                <w:rFonts w:eastAsia="Times New Roman" w:cs="Calibri"/>
                <w:sz w:val="20"/>
                <w:szCs w:val="20"/>
                <w:lang w:eastAsia="en-GB"/>
              </w:rPr>
              <w:t xml:space="preserve"> to the </w:t>
            </w:r>
            <w:r>
              <w:rPr>
                <w:rFonts w:eastAsia="Times New Roman" w:cs="Calibri"/>
                <w:sz w:val="20"/>
                <w:szCs w:val="20"/>
                <w:lang w:eastAsia="en-GB"/>
              </w:rPr>
              <w:t xml:space="preserve">design </w:t>
            </w:r>
            <w:r w:rsidRPr="005E2ED3">
              <w:rPr>
                <w:rFonts w:eastAsia="Times New Roman" w:cs="Calibri"/>
                <w:sz w:val="20"/>
                <w:szCs w:val="20"/>
                <w:lang w:eastAsia="en-GB"/>
              </w:rPr>
              <w:t>of most F</w:t>
            </w:r>
            <w:r w:rsidR="00B17D35">
              <w:rPr>
                <w:rFonts w:eastAsia="Times New Roman" w:cs="Calibri"/>
                <w:sz w:val="20"/>
                <w:szCs w:val="20"/>
                <w:lang w:eastAsia="en-GB"/>
              </w:rPr>
              <w:t xml:space="preserve">leming </w:t>
            </w:r>
            <w:r w:rsidRPr="005E2ED3">
              <w:rPr>
                <w:rFonts w:eastAsia="Times New Roman" w:cs="Calibri"/>
                <w:sz w:val="20"/>
                <w:szCs w:val="20"/>
                <w:lang w:eastAsia="en-GB"/>
              </w:rPr>
              <w:t>F</w:t>
            </w:r>
            <w:r w:rsidR="00B17D35">
              <w:rPr>
                <w:rFonts w:eastAsia="Times New Roman" w:cs="Calibri"/>
                <w:sz w:val="20"/>
                <w:szCs w:val="20"/>
                <w:lang w:eastAsia="en-GB"/>
              </w:rPr>
              <w:t>und</w:t>
            </w:r>
            <w:r w:rsidRPr="005E2ED3">
              <w:rPr>
                <w:rFonts w:eastAsia="Times New Roman" w:cs="Calibri"/>
                <w:sz w:val="20"/>
                <w:szCs w:val="20"/>
                <w:lang w:eastAsia="en-GB"/>
              </w:rPr>
              <w:t xml:space="preserve"> activities, which in CG1 have centred around building AMR governance structures.</w:t>
            </w:r>
            <w:r w:rsidR="00B17D35">
              <w:rPr>
                <w:rFonts w:eastAsia="Times New Roman" w:cs="Calibri"/>
                <w:sz w:val="20"/>
                <w:szCs w:val="20"/>
                <w:lang w:eastAsia="en-GB"/>
              </w:rPr>
              <w:t xml:space="preserve"> The Ministry of Health has g</w:t>
            </w:r>
            <w:r w:rsidRPr="005E2ED3">
              <w:rPr>
                <w:rFonts w:eastAsia="Times New Roman" w:cs="Calibri"/>
                <w:sz w:val="20"/>
                <w:szCs w:val="20"/>
                <w:lang w:eastAsia="en-GB"/>
              </w:rPr>
              <w:t>ood awareness of the F</w:t>
            </w:r>
            <w:r w:rsidR="00B17D35">
              <w:rPr>
                <w:rFonts w:eastAsia="Times New Roman" w:cs="Calibri"/>
                <w:sz w:val="20"/>
                <w:szCs w:val="20"/>
                <w:lang w:eastAsia="en-GB"/>
              </w:rPr>
              <w:t xml:space="preserve">leming </w:t>
            </w:r>
            <w:r w:rsidRPr="005E2ED3">
              <w:rPr>
                <w:rFonts w:eastAsia="Times New Roman" w:cs="Calibri"/>
                <w:sz w:val="20"/>
                <w:szCs w:val="20"/>
                <w:lang w:eastAsia="en-GB"/>
              </w:rPr>
              <w:t>F</w:t>
            </w:r>
            <w:r w:rsidR="00B17D35">
              <w:rPr>
                <w:rFonts w:eastAsia="Times New Roman" w:cs="Calibri"/>
                <w:sz w:val="20"/>
                <w:szCs w:val="20"/>
                <w:lang w:eastAsia="en-GB"/>
              </w:rPr>
              <w:t>und</w:t>
            </w:r>
            <w:r w:rsidRPr="005E2ED3">
              <w:rPr>
                <w:rFonts w:eastAsia="Times New Roman" w:cs="Calibri"/>
                <w:sz w:val="20"/>
                <w:szCs w:val="20"/>
                <w:lang w:eastAsia="en-GB"/>
              </w:rPr>
              <w:t xml:space="preserve"> activities. </w:t>
            </w:r>
          </w:p>
          <w:p w14:paraId="702B3F48"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w:t>
            </w:r>
          </w:p>
        </w:tc>
        <w:tc>
          <w:tcPr>
            <w:tcW w:w="3452" w:type="dxa"/>
            <w:tcBorders>
              <w:top w:val="nil"/>
              <w:left w:val="single" w:sz="6" w:space="0" w:color="auto"/>
              <w:bottom w:val="single" w:sz="6" w:space="0" w:color="auto"/>
              <w:right w:val="single" w:sz="6" w:space="0" w:color="auto"/>
            </w:tcBorders>
            <w:shd w:val="clear" w:color="auto" w:fill="00B050"/>
            <w:hideMark/>
          </w:tcPr>
          <w:p w14:paraId="4627B1A1" w14:textId="25DE73BF"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val="en-US" w:eastAsia="en-GB"/>
              </w:rPr>
              <w:t>CG</w:t>
            </w:r>
            <w:r>
              <w:rPr>
                <w:rFonts w:eastAsia="Times New Roman" w:cs="Calibri"/>
                <w:sz w:val="20"/>
                <w:szCs w:val="20"/>
                <w:lang w:val="en-US" w:eastAsia="en-GB"/>
              </w:rPr>
              <w:t>,</w:t>
            </w:r>
            <w:r w:rsidRPr="005E2ED3">
              <w:rPr>
                <w:rFonts w:eastAsia="Times New Roman" w:cs="Calibri"/>
                <w:sz w:val="20"/>
                <w:szCs w:val="20"/>
                <w:lang w:val="en-US" w:eastAsia="en-GB"/>
              </w:rPr>
              <w:t xml:space="preserve"> RGs</w:t>
            </w:r>
            <w:r>
              <w:rPr>
                <w:rFonts w:eastAsia="Times New Roman" w:cs="Calibri"/>
                <w:sz w:val="20"/>
                <w:szCs w:val="20"/>
                <w:lang w:val="en-US" w:eastAsia="en-GB"/>
              </w:rPr>
              <w:t>,</w:t>
            </w:r>
            <w:r w:rsidRPr="005E2ED3">
              <w:rPr>
                <w:rFonts w:eastAsia="Times New Roman" w:cs="Calibri"/>
                <w:sz w:val="20"/>
                <w:szCs w:val="20"/>
                <w:lang w:val="en-US" w:eastAsia="en-GB"/>
              </w:rPr>
              <w:t xml:space="preserve"> </w:t>
            </w:r>
            <w:r w:rsidR="00B17D35">
              <w:rPr>
                <w:rFonts w:eastAsia="Times New Roman" w:cs="Calibri"/>
                <w:sz w:val="20"/>
                <w:szCs w:val="20"/>
                <w:lang w:val="en-US" w:eastAsia="en-GB"/>
              </w:rPr>
              <w:t xml:space="preserve">and </w:t>
            </w:r>
            <w:r w:rsidRPr="005E2ED3">
              <w:rPr>
                <w:rFonts w:eastAsia="Times New Roman" w:cs="Calibri"/>
                <w:sz w:val="20"/>
                <w:szCs w:val="20"/>
                <w:lang w:val="en-US" w:eastAsia="en-GB"/>
              </w:rPr>
              <w:t>G</w:t>
            </w:r>
            <w:r>
              <w:rPr>
                <w:rFonts w:eastAsia="Times New Roman" w:cs="Calibri"/>
                <w:sz w:val="20"/>
                <w:szCs w:val="20"/>
                <w:lang w:val="en-US" w:eastAsia="en-GB"/>
              </w:rPr>
              <w:t xml:space="preserve">lobal </w:t>
            </w:r>
            <w:r w:rsidRPr="005E2ED3">
              <w:rPr>
                <w:rFonts w:eastAsia="Times New Roman" w:cs="Calibri"/>
                <w:sz w:val="20"/>
                <w:szCs w:val="20"/>
                <w:lang w:val="en-US" w:eastAsia="en-GB"/>
              </w:rPr>
              <w:t>P</w:t>
            </w:r>
            <w:r>
              <w:rPr>
                <w:rFonts w:eastAsia="Times New Roman" w:cs="Calibri"/>
                <w:sz w:val="20"/>
                <w:szCs w:val="20"/>
                <w:lang w:val="en-US" w:eastAsia="en-GB"/>
              </w:rPr>
              <w:t xml:space="preserve">rojects </w:t>
            </w:r>
            <w:r w:rsidR="00B17D35">
              <w:rPr>
                <w:rFonts w:eastAsia="Times New Roman" w:cs="Calibri"/>
                <w:sz w:val="20"/>
                <w:szCs w:val="20"/>
                <w:lang w:val="en-US" w:eastAsia="en-GB"/>
              </w:rPr>
              <w:t xml:space="preserve">are </w:t>
            </w:r>
            <w:r w:rsidRPr="005E2ED3">
              <w:rPr>
                <w:rFonts w:eastAsia="Times New Roman" w:cs="Calibri"/>
                <w:sz w:val="20"/>
                <w:szCs w:val="20"/>
                <w:lang w:val="en-US" w:eastAsia="en-GB"/>
              </w:rPr>
              <w:t>well aligned. </w:t>
            </w:r>
            <w:r w:rsidRPr="005E2ED3">
              <w:rPr>
                <w:rFonts w:eastAsia="Times New Roman" w:cs="Calibri"/>
                <w:sz w:val="20"/>
                <w:szCs w:val="20"/>
                <w:lang w:eastAsia="en-GB"/>
              </w:rPr>
              <w:t> </w:t>
            </w:r>
          </w:p>
          <w:p w14:paraId="7BD64CB8"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val="en-US" w:eastAsia="en-GB"/>
              </w:rPr>
              <w:t xml:space="preserve">1. WHO collaboratively worked with FAO and </w:t>
            </w:r>
            <w:r>
              <w:rPr>
                <w:rFonts w:eastAsia="Times New Roman" w:cs="Calibri"/>
                <w:sz w:val="20"/>
                <w:szCs w:val="20"/>
                <w:lang w:val="en-US" w:eastAsia="en-GB"/>
              </w:rPr>
              <w:t>RGs</w:t>
            </w:r>
            <w:r w:rsidRPr="005E2ED3">
              <w:rPr>
                <w:rFonts w:eastAsia="Times New Roman" w:cs="Calibri"/>
                <w:sz w:val="20"/>
                <w:szCs w:val="20"/>
                <w:lang w:val="en-US" w:eastAsia="en-GB"/>
              </w:rPr>
              <w:t>, through regular CCMs and ad-hoc engagement.</w:t>
            </w:r>
            <w:r w:rsidRPr="005E2ED3">
              <w:rPr>
                <w:rFonts w:eastAsia="Times New Roman" w:cs="Calibri"/>
                <w:sz w:val="20"/>
                <w:szCs w:val="20"/>
                <w:lang w:eastAsia="en-GB"/>
              </w:rPr>
              <w:t> </w:t>
            </w:r>
          </w:p>
          <w:p w14:paraId="674A29E0" w14:textId="2FE90BD6"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val="en-US" w:eastAsia="en-GB"/>
              </w:rPr>
              <w:t xml:space="preserve">2. CG has good collaboration with procurement grantee in developing plans for </w:t>
            </w:r>
            <w:r w:rsidR="00F25C0E">
              <w:rPr>
                <w:rFonts w:eastAsia="Times New Roman" w:cs="Calibri"/>
                <w:sz w:val="20"/>
                <w:szCs w:val="20"/>
                <w:lang w:val="en-US" w:eastAsia="en-GB"/>
              </w:rPr>
              <w:t xml:space="preserve">laboratory </w:t>
            </w:r>
            <w:r w:rsidRPr="005E2ED3">
              <w:rPr>
                <w:rFonts w:eastAsia="Times New Roman" w:cs="Calibri"/>
                <w:sz w:val="20"/>
                <w:szCs w:val="20"/>
                <w:lang w:val="en-US" w:eastAsia="en-GB"/>
              </w:rPr>
              <w:t>refurbishment and to speed up decision</w:t>
            </w:r>
            <w:r w:rsidR="00BA1982">
              <w:rPr>
                <w:rFonts w:eastAsia="Times New Roman" w:cs="Calibri"/>
                <w:sz w:val="20"/>
                <w:szCs w:val="20"/>
                <w:lang w:val="en-US" w:eastAsia="en-GB"/>
              </w:rPr>
              <w:t xml:space="preserve"> </w:t>
            </w:r>
            <w:r w:rsidRPr="005E2ED3">
              <w:rPr>
                <w:rFonts w:eastAsia="Times New Roman" w:cs="Calibri"/>
                <w:sz w:val="20"/>
                <w:szCs w:val="20"/>
                <w:lang w:val="en-US" w:eastAsia="en-GB"/>
              </w:rPr>
              <w:t>making on refurbishment.</w:t>
            </w:r>
            <w:r w:rsidRPr="005E2ED3">
              <w:rPr>
                <w:rFonts w:eastAsia="Times New Roman" w:cs="Calibri"/>
                <w:sz w:val="20"/>
                <w:szCs w:val="20"/>
                <w:lang w:eastAsia="en-GB"/>
              </w:rPr>
              <w:t> </w:t>
            </w:r>
          </w:p>
        </w:tc>
        <w:tc>
          <w:tcPr>
            <w:tcW w:w="3172" w:type="dxa"/>
            <w:tcBorders>
              <w:top w:val="nil"/>
              <w:left w:val="single" w:sz="6" w:space="0" w:color="auto"/>
              <w:bottom w:val="single" w:sz="6" w:space="0" w:color="auto"/>
              <w:right w:val="single" w:sz="6" w:space="0" w:color="auto"/>
            </w:tcBorders>
            <w:shd w:val="clear" w:color="auto" w:fill="00B050"/>
            <w:hideMark/>
          </w:tcPr>
          <w:p w14:paraId="23355A1B" w14:textId="1A77CF16" w:rsidR="00651C0B" w:rsidRPr="005E2ED3" w:rsidRDefault="00BA1982" w:rsidP="00BD1EB9">
            <w:pPr>
              <w:textAlignment w:val="baseline"/>
              <w:rPr>
                <w:rFonts w:ascii="Segoe UI" w:eastAsia="Times New Roman" w:hAnsi="Segoe UI" w:cs="Segoe UI"/>
                <w:sz w:val="18"/>
                <w:szCs w:val="18"/>
                <w:lang w:eastAsia="en-GB"/>
              </w:rPr>
            </w:pPr>
            <w:r>
              <w:rPr>
                <w:rFonts w:eastAsia="Times New Roman" w:cs="Calibri"/>
                <w:color w:val="000000"/>
                <w:sz w:val="20"/>
                <w:szCs w:val="20"/>
                <w:lang w:val="en-US" w:eastAsia="en-GB"/>
              </w:rPr>
              <w:t xml:space="preserve">The </w:t>
            </w:r>
            <w:r w:rsidR="00651C0B" w:rsidRPr="005E2ED3">
              <w:rPr>
                <w:rFonts w:eastAsia="Times New Roman" w:cs="Calibri"/>
                <w:color w:val="000000"/>
                <w:sz w:val="20"/>
                <w:szCs w:val="20"/>
                <w:lang w:val="en-US" w:eastAsia="en-GB"/>
              </w:rPr>
              <w:t>F</w:t>
            </w:r>
            <w:r>
              <w:rPr>
                <w:rFonts w:eastAsia="Times New Roman" w:cs="Calibri"/>
                <w:color w:val="000000"/>
                <w:sz w:val="20"/>
                <w:szCs w:val="20"/>
                <w:lang w:val="en-US" w:eastAsia="en-GB"/>
              </w:rPr>
              <w:t xml:space="preserve">leming </w:t>
            </w:r>
            <w:r w:rsidR="00651C0B" w:rsidRPr="005E2ED3">
              <w:rPr>
                <w:rFonts w:eastAsia="Times New Roman" w:cs="Calibri"/>
                <w:color w:val="000000"/>
                <w:sz w:val="20"/>
                <w:szCs w:val="20"/>
                <w:lang w:val="en-US" w:eastAsia="en-GB"/>
              </w:rPr>
              <w:t>F</w:t>
            </w:r>
            <w:r>
              <w:rPr>
                <w:rFonts w:eastAsia="Times New Roman" w:cs="Calibri"/>
                <w:color w:val="000000"/>
                <w:sz w:val="20"/>
                <w:szCs w:val="20"/>
                <w:lang w:val="en-US" w:eastAsia="en-GB"/>
              </w:rPr>
              <w:t>und</w:t>
            </w:r>
            <w:r w:rsidR="00651C0B" w:rsidRPr="005E2ED3">
              <w:rPr>
                <w:rFonts w:eastAsia="Times New Roman" w:cs="Calibri"/>
                <w:color w:val="000000"/>
                <w:sz w:val="20"/>
                <w:szCs w:val="20"/>
                <w:lang w:val="en-US" w:eastAsia="en-GB"/>
              </w:rPr>
              <w:t xml:space="preserve"> funds the main DPs working on AMR in S</w:t>
            </w:r>
            <w:r>
              <w:rPr>
                <w:rFonts w:eastAsia="Times New Roman" w:cs="Calibri"/>
                <w:color w:val="000000"/>
                <w:sz w:val="20"/>
                <w:szCs w:val="20"/>
                <w:lang w:val="en-US" w:eastAsia="en-GB"/>
              </w:rPr>
              <w:t xml:space="preserve">ierra </w:t>
            </w:r>
            <w:r w:rsidR="00651C0B" w:rsidRPr="005E2ED3">
              <w:rPr>
                <w:rFonts w:eastAsia="Times New Roman" w:cs="Calibri"/>
                <w:color w:val="000000"/>
                <w:sz w:val="20"/>
                <w:szCs w:val="20"/>
                <w:lang w:val="en-US" w:eastAsia="en-GB"/>
              </w:rPr>
              <w:t>L</w:t>
            </w:r>
            <w:r>
              <w:rPr>
                <w:rFonts w:eastAsia="Times New Roman" w:cs="Calibri"/>
                <w:color w:val="000000"/>
                <w:sz w:val="20"/>
                <w:szCs w:val="20"/>
                <w:lang w:val="en-US" w:eastAsia="en-GB"/>
              </w:rPr>
              <w:t>eone</w:t>
            </w:r>
            <w:r w:rsidR="00651C0B" w:rsidRPr="005E2ED3">
              <w:rPr>
                <w:rFonts w:eastAsia="Times New Roman" w:cs="Calibri"/>
                <w:color w:val="000000"/>
                <w:sz w:val="20"/>
                <w:szCs w:val="20"/>
                <w:lang w:val="en-US" w:eastAsia="en-GB"/>
              </w:rPr>
              <w:t>. Good coordination with other DPs through CCM</w:t>
            </w:r>
            <w:r>
              <w:rPr>
                <w:rFonts w:eastAsia="Times New Roman" w:cs="Calibri"/>
                <w:color w:val="000000"/>
                <w:sz w:val="20"/>
                <w:szCs w:val="20"/>
                <w:lang w:val="en-US" w:eastAsia="en-GB"/>
              </w:rPr>
              <w:t>s</w:t>
            </w:r>
            <w:r w:rsidR="00651C0B" w:rsidRPr="005E2ED3">
              <w:rPr>
                <w:rFonts w:eastAsia="Times New Roman" w:cs="Calibri"/>
                <w:color w:val="000000"/>
                <w:sz w:val="20"/>
                <w:szCs w:val="20"/>
                <w:lang w:val="en-US" w:eastAsia="en-GB"/>
              </w:rPr>
              <w:t xml:space="preserve"> &amp; ad-hoc meetings, working closely </w:t>
            </w:r>
            <w:r>
              <w:rPr>
                <w:rFonts w:eastAsia="Times New Roman" w:cs="Calibri"/>
                <w:color w:val="000000"/>
                <w:sz w:val="20"/>
                <w:szCs w:val="20"/>
                <w:lang w:val="en-US" w:eastAsia="en-GB"/>
              </w:rPr>
              <w:t>to identify</w:t>
            </w:r>
            <w:r w:rsidR="00651C0B" w:rsidRPr="005E2ED3">
              <w:rPr>
                <w:rFonts w:eastAsia="Times New Roman" w:cs="Calibri"/>
                <w:color w:val="000000"/>
                <w:sz w:val="20"/>
                <w:szCs w:val="20"/>
                <w:lang w:val="en-US" w:eastAsia="en-GB"/>
              </w:rPr>
              <w:t xml:space="preserve"> gaps and strategies for addressing AMR challenges. Technical meetings were held with USAID and CDC.</w:t>
            </w:r>
            <w:r w:rsidR="00651C0B" w:rsidRPr="005E2ED3">
              <w:rPr>
                <w:rFonts w:eastAsia="Times New Roman" w:cs="Calibri"/>
                <w:color w:val="000000"/>
                <w:sz w:val="20"/>
                <w:szCs w:val="20"/>
                <w:lang w:eastAsia="en-GB"/>
              </w:rPr>
              <w:t> </w:t>
            </w:r>
          </w:p>
        </w:tc>
        <w:tc>
          <w:tcPr>
            <w:tcW w:w="3465" w:type="dxa"/>
            <w:tcBorders>
              <w:top w:val="nil"/>
              <w:left w:val="single" w:sz="6" w:space="0" w:color="auto"/>
              <w:bottom w:val="single" w:sz="6" w:space="0" w:color="auto"/>
              <w:right w:val="single" w:sz="6" w:space="0" w:color="auto"/>
            </w:tcBorders>
            <w:shd w:val="clear" w:color="auto" w:fill="00B050"/>
            <w:hideMark/>
          </w:tcPr>
          <w:p w14:paraId="50CE8E95" w14:textId="6E1E8629" w:rsidR="00651C0B" w:rsidRPr="005E2ED3" w:rsidRDefault="00BA1982" w:rsidP="00BD1EB9">
            <w:pPr>
              <w:textAlignment w:val="baseline"/>
              <w:rPr>
                <w:rFonts w:ascii="Segoe UI" w:eastAsia="Times New Roman" w:hAnsi="Segoe UI" w:cs="Segoe UI"/>
                <w:sz w:val="18"/>
                <w:szCs w:val="18"/>
                <w:lang w:eastAsia="en-GB"/>
              </w:rPr>
            </w:pPr>
            <w:r>
              <w:rPr>
                <w:rFonts w:eastAsia="Times New Roman" w:cs="Calibri"/>
                <w:color w:val="000000"/>
                <w:sz w:val="20"/>
                <w:szCs w:val="20"/>
                <w:lang w:val="en-CA" w:eastAsia="en-GB"/>
              </w:rPr>
              <w:t xml:space="preserve">The </w:t>
            </w:r>
            <w:r w:rsidR="00651C0B" w:rsidRPr="005E2ED3">
              <w:rPr>
                <w:rFonts w:eastAsia="Times New Roman" w:cs="Calibri"/>
                <w:color w:val="000000"/>
                <w:sz w:val="20"/>
                <w:szCs w:val="20"/>
                <w:lang w:val="en-CA" w:eastAsia="en-GB"/>
              </w:rPr>
              <w:t>F</w:t>
            </w:r>
            <w:r>
              <w:rPr>
                <w:rFonts w:eastAsia="Times New Roman" w:cs="Calibri"/>
                <w:color w:val="000000"/>
                <w:sz w:val="20"/>
                <w:szCs w:val="20"/>
                <w:lang w:val="en-CA" w:eastAsia="en-GB"/>
              </w:rPr>
              <w:t xml:space="preserve">leming </w:t>
            </w:r>
            <w:r w:rsidR="00651C0B" w:rsidRPr="005E2ED3">
              <w:rPr>
                <w:rFonts w:eastAsia="Times New Roman" w:cs="Calibri"/>
                <w:color w:val="000000"/>
                <w:sz w:val="20"/>
                <w:szCs w:val="20"/>
                <w:lang w:val="en-CA" w:eastAsia="en-GB"/>
              </w:rPr>
              <w:t>F</w:t>
            </w:r>
            <w:r>
              <w:rPr>
                <w:rFonts w:eastAsia="Times New Roman" w:cs="Calibri"/>
                <w:color w:val="000000"/>
                <w:sz w:val="20"/>
                <w:szCs w:val="20"/>
                <w:lang w:val="en-CA" w:eastAsia="en-GB"/>
              </w:rPr>
              <w:t>und</w:t>
            </w:r>
            <w:r w:rsidR="00651C0B" w:rsidRPr="005E2ED3">
              <w:rPr>
                <w:rFonts w:eastAsia="Times New Roman" w:cs="Calibri"/>
                <w:color w:val="000000"/>
                <w:sz w:val="20"/>
                <w:szCs w:val="20"/>
                <w:lang w:val="en-CA" w:eastAsia="en-GB"/>
              </w:rPr>
              <w:t xml:space="preserve"> CG has worked closely with other agencies.</w:t>
            </w:r>
            <w:r w:rsidR="00651C0B" w:rsidRPr="005E2ED3">
              <w:rPr>
                <w:rFonts w:eastAsia="Times New Roman" w:cs="Calibri"/>
                <w:color w:val="000000"/>
                <w:sz w:val="20"/>
                <w:szCs w:val="20"/>
                <w:lang w:eastAsia="en-GB"/>
              </w:rPr>
              <w:t> </w:t>
            </w:r>
          </w:p>
          <w:p w14:paraId="1F40BCA1" w14:textId="01503744"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val="en-CA" w:eastAsia="en-GB"/>
              </w:rPr>
              <w:t>F</w:t>
            </w:r>
            <w:r w:rsidR="00BA1982">
              <w:rPr>
                <w:rFonts w:eastAsia="Times New Roman" w:cs="Calibri"/>
                <w:color w:val="000000"/>
                <w:sz w:val="20"/>
                <w:szCs w:val="20"/>
                <w:lang w:val="en-CA" w:eastAsia="en-GB"/>
              </w:rPr>
              <w:t xml:space="preserve">leming </w:t>
            </w:r>
            <w:r w:rsidRPr="005E2ED3">
              <w:rPr>
                <w:rFonts w:eastAsia="Times New Roman" w:cs="Calibri"/>
                <w:color w:val="000000"/>
                <w:sz w:val="20"/>
                <w:szCs w:val="20"/>
                <w:lang w:val="en-CA" w:eastAsia="en-GB"/>
              </w:rPr>
              <w:t>F</w:t>
            </w:r>
            <w:r w:rsidR="00BA1982">
              <w:rPr>
                <w:rFonts w:eastAsia="Times New Roman" w:cs="Calibri"/>
                <w:color w:val="000000"/>
                <w:sz w:val="20"/>
                <w:szCs w:val="20"/>
                <w:lang w:val="en-CA" w:eastAsia="en-GB"/>
              </w:rPr>
              <w:t>und</w:t>
            </w:r>
            <w:r w:rsidRPr="005E2ED3">
              <w:rPr>
                <w:rFonts w:eastAsia="Times New Roman" w:cs="Calibri"/>
                <w:color w:val="000000"/>
                <w:sz w:val="20"/>
                <w:szCs w:val="20"/>
                <w:lang w:val="en-CA" w:eastAsia="en-GB"/>
              </w:rPr>
              <w:t xml:space="preserve"> grantees meet to share activity update</w:t>
            </w:r>
            <w:r w:rsidR="00BA1982">
              <w:rPr>
                <w:rFonts w:eastAsia="Times New Roman" w:cs="Calibri"/>
                <w:color w:val="000000"/>
                <w:sz w:val="20"/>
                <w:szCs w:val="20"/>
                <w:lang w:val="en-CA" w:eastAsia="en-GB"/>
              </w:rPr>
              <w:t>s</w:t>
            </w:r>
            <w:r w:rsidRPr="005E2ED3">
              <w:rPr>
                <w:rFonts w:eastAsia="Times New Roman" w:cs="Calibri"/>
                <w:color w:val="000000"/>
                <w:sz w:val="20"/>
                <w:szCs w:val="20"/>
                <w:lang w:val="en-CA" w:eastAsia="en-GB"/>
              </w:rPr>
              <w:t xml:space="preserve">, progress and lessons, </w:t>
            </w:r>
            <w:r w:rsidR="00BA1982">
              <w:rPr>
                <w:rFonts w:eastAsia="Times New Roman" w:cs="Calibri"/>
                <w:color w:val="000000"/>
                <w:sz w:val="20"/>
                <w:szCs w:val="20"/>
                <w:lang w:val="en-CA" w:eastAsia="en-GB"/>
              </w:rPr>
              <w:t xml:space="preserve">and </w:t>
            </w:r>
            <w:r w:rsidRPr="005E2ED3">
              <w:rPr>
                <w:rFonts w:eastAsia="Times New Roman" w:cs="Calibri"/>
                <w:color w:val="000000"/>
                <w:sz w:val="20"/>
                <w:szCs w:val="20"/>
                <w:lang w:val="en-CA" w:eastAsia="en-GB"/>
              </w:rPr>
              <w:t xml:space="preserve">leverage on relevant partner resources. </w:t>
            </w:r>
            <w:r w:rsidR="00BA1982">
              <w:rPr>
                <w:rFonts w:eastAsia="Times New Roman" w:cs="Calibri"/>
                <w:color w:val="000000"/>
                <w:sz w:val="20"/>
                <w:szCs w:val="20"/>
                <w:lang w:val="en-CA" w:eastAsia="en-GB"/>
              </w:rPr>
              <w:t>There were f</w:t>
            </w:r>
            <w:r w:rsidRPr="005E2ED3">
              <w:rPr>
                <w:rFonts w:eastAsia="Times New Roman" w:cs="Calibri"/>
                <w:color w:val="000000"/>
                <w:sz w:val="20"/>
                <w:szCs w:val="20"/>
                <w:lang w:val="en-CA" w:eastAsia="en-GB"/>
              </w:rPr>
              <w:t xml:space="preserve">ew issues with </w:t>
            </w:r>
            <w:r w:rsidR="00BA1982">
              <w:rPr>
                <w:rFonts w:eastAsia="Times New Roman" w:cs="Calibri"/>
                <w:color w:val="000000"/>
                <w:sz w:val="20"/>
                <w:szCs w:val="20"/>
                <w:lang w:val="en-CA" w:eastAsia="en-GB"/>
              </w:rPr>
              <w:t xml:space="preserve">Fleming </w:t>
            </w:r>
            <w:r w:rsidRPr="005E2ED3">
              <w:rPr>
                <w:rFonts w:eastAsia="Times New Roman" w:cs="Calibri"/>
                <w:color w:val="000000"/>
                <w:sz w:val="20"/>
                <w:szCs w:val="20"/>
                <w:lang w:val="en-CA" w:eastAsia="en-GB"/>
              </w:rPr>
              <w:t>Fellows.</w:t>
            </w:r>
            <w:r w:rsidRPr="005E2ED3">
              <w:rPr>
                <w:rFonts w:eastAsia="Times New Roman" w:cs="Calibri"/>
                <w:color w:val="000000"/>
                <w:sz w:val="20"/>
                <w:szCs w:val="20"/>
                <w:lang w:eastAsia="en-GB"/>
              </w:rPr>
              <w:t> </w:t>
            </w:r>
          </w:p>
          <w:p w14:paraId="11911F71" w14:textId="77777777" w:rsidR="00651C0B" w:rsidRPr="005E2ED3" w:rsidRDefault="00651C0B" w:rsidP="00BD1EB9">
            <w:pPr>
              <w:textAlignment w:val="baseline"/>
              <w:rPr>
                <w:rFonts w:ascii="Segoe UI" w:eastAsia="Times New Roman" w:hAnsi="Segoe UI" w:cs="Segoe UI"/>
                <w:color w:val="000000"/>
                <w:sz w:val="18"/>
                <w:szCs w:val="18"/>
                <w:lang w:eastAsia="en-GB"/>
              </w:rPr>
            </w:pPr>
          </w:p>
        </w:tc>
      </w:tr>
      <w:tr w:rsidR="00651C0B" w:rsidRPr="005E2ED3" w14:paraId="21930AC1" w14:textId="77777777" w:rsidTr="00651C0B">
        <w:trPr>
          <w:trHeight w:val="345"/>
        </w:trPr>
        <w:tc>
          <w:tcPr>
            <w:tcW w:w="1257" w:type="dxa"/>
            <w:tcBorders>
              <w:top w:val="nil"/>
              <w:left w:val="single" w:sz="6" w:space="0" w:color="auto"/>
              <w:bottom w:val="single" w:sz="6" w:space="0" w:color="auto"/>
              <w:right w:val="single" w:sz="6" w:space="0" w:color="auto"/>
            </w:tcBorders>
            <w:shd w:val="clear" w:color="auto" w:fill="auto"/>
            <w:hideMark/>
          </w:tcPr>
          <w:p w14:paraId="6DBC1B92"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563C1"/>
                <w:sz w:val="20"/>
                <w:szCs w:val="20"/>
                <w:u w:val="single"/>
                <w:lang w:eastAsia="en-GB"/>
              </w:rPr>
              <w:t>Senegal</w:t>
            </w:r>
            <w:r w:rsidRPr="005E2ED3">
              <w:rPr>
                <w:rFonts w:eastAsia="Times New Roman" w:cs="Calibri"/>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00B050"/>
            <w:hideMark/>
          </w:tcPr>
          <w:p w14:paraId="647AA201" w14:textId="5A46F4C9"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val="en-CA" w:eastAsia="en-GB"/>
              </w:rPr>
              <w:t>Stakeholders stated full alignment with the NAP and other government policies. The National High Council for Global Health Security provides a central O</w:t>
            </w:r>
            <w:r w:rsidR="00BA1982">
              <w:rPr>
                <w:rFonts w:eastAsia="Times New Roman" w:cs="Calibri"/>
                <w:color w:val="000000"/>
                <w:sz w:val="20"/>
                <w:szCs w:val="20"/>
                <w:lang w:val="en-CA" w:eastAsia="en-GB"/>
              </w:rPr>
              <w:t xml:space="preserve">ne </w:t>
            </w:r>
            <w:r w:rsidRPr="005E2ED3">
              <w:rPr>
                <w:rFonts w:eastAsia="Times New Roman" w:cs="Calibri"/>
                <w:color w:val="000000"/>
                <w:sz w:val="20"/>
                <w:szCs w:val="20"/>
                <w:lang w:val="en-CA" w:eastAsia="en-GB"/>
              </w:rPr>
              <w:t>H</w:t>
            </w:r>
            <w:r w:rsidR="00BA1982">
              <w:rPr>
                <w:rFonts w:eastAsia="Times New Roman" w:cs="Calibri"/>
                <w:color w:val="000000"/>
                <w:sz w:val="20"/>
                <w:szCs w:val="20"/>
                <w:lang w:val="en-CA" w:eastAsia="en-GB"/>
              </w:rPr>
              <w:t>ealth</w:t>
            </w:r>
            <w:r w:rsidRPr="005E2ED3">
              <w:rPr>
                <w:rFonts w:eastAsia="Times New Roman" w:cs="Calibri"/>
                <w:color w:val="000000"/>
                <w:sz w:val="20"/>
                <w:szCs w:val="20"/>
                <w:lang w:val="en-CA" w:eastAsia="en-GB"/>
              </w:rPr>
              <w:t xml:space="preserve"> function with which </w:t>
            </w:r>
            <w:r w:rsidR="00BA1982">
              <w:rPr>
                <w:rFonts w:eastAsia="Times New Roman" w:cs="Calibri"/>
                <w:color w:val="000000"/>
                <w:sz w:val="20"/>
                <w:szCs w:val="20"/>
                <w:lang w:val="en-CA" w:eastAsia="en-GB"/>
              </w:rPr>
              <w:t xml:space="preserve">the </w:t>
            </w:r>
            <w:r w:rsidRPr="005E2ED3">
              <w:rPr>
                <w:rFonts w:eastAsia="Times New Roman" w:cs="Calibri"/>
                <w:color w:val="000000"/>
                <w:sz w:val="20"/>
                <w:szCs w:val="20"/>
                <w:lang w:val="en-CA" w:eastAsia="en-GB"/>
              </w:rPr>
              <w:t>F</w:t>
            </w:r>
            <w:r w:rsidR="00BA1982">
              <w:rPr>
                <w:rFonts w:eastAsia="Times New Roman" w:cs="Calibri"/>
                <w:color w:val="000000"/>
                <w:sz w:val="20"/>
                <w:szCs w:val="20"/>
                <w:lang w:val="en-CA" w:eastAsia="en-GB"/>
              </w:rPr>
              <w:t xml:space="preserve">leming </w:t>
            </w:r>
            <w:r w:rsidRPr="005E2ED3">
              <w:rPr>
                <w:rFonts w:eastAsia="Times New Roman" w:cs="Calibri"/>
                <w:color w:val="000000"/>
                <w:sz w:val="20"/>
                <w:szCs w:val="20"/>
                <w:lang w:val="en-CA" w:eastAsia="en-GB"/>
              </w:rPr>
              <w:t>F</w:t>
            </w:r>
            <w:r w:rsidR="00BA1982">
              <w:rPr>
                <w:rFonts w:eastAsia="Times New Roman" w:cs="Calibri"/>
                <w:color w:val="000000"/>
                <w:sz w:val="20"/>
                <w:szCs w:val="20"/>
                <w:lang w:val="en-CA" w:eastAsia="en-GB"/>
              </w:rPr>
              <w:t>und</w:t>
            </w:r>
            <w:r w:rsidRPr="005E2ED3">
              <w:rPr>
                <w:rFonts w:eastAsia="Times New Roman" w:cs="Calibri"/>
                <w:color w:val="000000"/>
                <w:sz w:val="20"/>
                <w:szCs w:val="20"/>
                <w:lang w:val="en-CA" w:eastAsia="en-GB"/>
              </w:rPr>
              <w:t xml:space="preserve"> is coordinating.</w:t>
            </w:r>
            <w:r w:rsidRPr="005E2ED3">
              <w:rPr>
                <w:rFonts w:eastAsia="Times New Roman" w:cs="Calibri"/>
                <w:color w:val="000000"/>
                <w:sz w:val="20"/>
                <w:szCs w:val="20"/>
                <w:lang w:eastAsia="en-GB"/>
              </w:rPr>
              <w:t> </w:t>
            </w:r>
          </w:p>
          <w:p w14:paraId="4FA5E4D7" w14:textId="77777777" w:rsidR="00651C0B" w:rsidRPr="005E2ED3" w:rsidRDefault="00651C0B" w:rsidP="00BD1EB9">
            <w:pPr>
              <w:textAlignment w:val="baseline"/>
              <w:rPr>
                <w:rFonts w:ascii="Segoe UI" w:eastAsia="Times New Roman" w:hAnsi="Segoe UI" w:cs="Segoe UI"/>
                <w:color w:val="000000"/>
                <w:sz w:val="18"/>
                <w:szCs w:val="18"/>
                <w:lang w:eastAsia="en-GB"/>
              </w:rPr>
            </w:pPr>
          </w:p>
        </w:tc>
        <w:tc>
          <w:tcPr>
            <w:tcW w:w="3452" w:type="dxa"/>
            <w:tcBorders>
              <w:top w:val="nil"/>
              <w:left w:val="single" w:sz="6" w:space="0" w:color="auto"/>
              <w:bottom w:val="single" w:sz="6" w:space="0" w:color="auto"/>
              <w:right w:val="single" w:sz="6" w:space="0" w:color="auto"/>
            </w:tcBorders>
            <w:shd w:val="clear" w:color="auto" w:fill="00B050"/>
            <w:hideMark/>
          </w:tcPr>
          <w:p w14:paraId="2A48FC33" w14:textId="3B818E8F"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val="en-CA" w:eastAsia="en-GB"/>
              </w:rPr>
              <w:t>F</w:t>
            </w:r>
            <w:r w:rsidR="00BA1982">
              <w:rPr>
                <w:rFonts w:eastAsia="Times New Roman" w:cs="Calibri"/>
                <w:color w:val="000000"/>
                <w:sz w:val="20"/>
                <w:szCs w:val="20"/>
                <w:lang w:val="en-CA" w:eastAsia="en-GB"/>
              </w:rPr>
              <w:t xml:space="preserve">leming </w:t>
            </w:r>
            <w:r w:rsidRPr="005E2ED3">
              <w:rPr>
                <w:rFonts w:eastAsia="Times New Roman" w:cs="Calibri"/>
                <w:color w:val="000000"/>
                <w:sz w:val="20"/>
                <w:szCs w:val="20"/>
                <w:lang w:val="en-CA" w:eastAsia="en-GB"/>
              </w:rPr>
              <w:t>F</w:t>
            </w:r>
            <w:r w:rsidR="00BA1982">
              <w:rPr>
                <w:rFonts w:eastAsia="Times New Roman" w:cs="Calibri"/>
                <w:color w:val="000000"/>
                <w:sz w:val="20"/>
                <w:szCs w:val="20"/>
                <w:lang w:val="en-CA" w:eastAsia="en-GB"/>
              </w:rPr>
              <w:t>und</w:t>
            </w:r>
            <w:r w:rsidRPr="005E2ED3">
              <w:rPr>
                <w:rFonts w:eastAsia="Times New Roman" w:cs="Calibri"/>
                <w:color w:val="000000"/>
                <w:sz w:val="20"/>
                <w:szCs w:val="20"/>
                <w:lang w:val="en-CA" w:eastAsia="en-GB"/>
              </w:rPr>
              <w:t xml:space="preserve"> investments in Senegal were mostly reported to have been exceptionally well-coordinated, taking advantage of strong in-country networks. MA &amp; CG initiative</w:t>
            </w:r>
            <w:r w:rsidR="001D1B87">
              <w:rPr>
                <w:rFonts w:eastAsia="Times New Roman" w:cs="Calibri"/>
                <w:color w:val="000000"/>
                <w:sz w:val="20"/>
                <w:szCs w:val="20"/>
                <w:lang w:val="en-CA" w:eastAsia="en-GB"/>
              </w:rPr>
              <w:t>s</w:t>
            </w:r>
            <w:r w:rsidRPr="005E2ED3">
              <w:rPr>
                <w:rFonts w:eastAsia="Times New Roman" w:cs="Calibri"/>
                <w:color w:val="000000"/>
                <w:sz w:val="20"/>
                <w:szCs w:val="20"/>
                <w:lang w:val="en-CA" w:eastAsia="en-GB"/>
              </w:rPr>
              <w:t xml:space="preserve"> on CCMs helped avoid potential duplications with RG</w:t>
            </w:r>
            <w:r w:rsidR="001D1B87">
              <w:rPr>
                <w:rFonts w:eastAsia="Times New Roman" w:cs="Calibri"/>
                <w:color w:val="000000"/>
                <w:sz w:val="20"/>
                <w:szCs w:val="20"/>
                <w:lang w:val="en-CA" w:eastAsia="en-GB"/>
              </w:rPr>
              <w:t>s</w:t>
            </w:r>
            <w:r w:rsidRPr="005E2ED3">
              <w:rPr>
                <w:rFonts w:eastAsia="Times New Roman" w:cs="Calibri"/>
                <w:color w:val="000000"/>
                <w:sz w:val="20"/>
                <w:szCs w:val="20"/>
                <w:lang w:val="en-CA" w:eastAsia="en-GB"/>
              </w:rPr>
              <w:t xml:space="preserve">. Global funding is now being mobilised through </w:t>
            </w:r>
            <w:r w:rsidR="001D1B87">
              <w:rPr>
                <w:rFonts w:eastAsia="Times New Roman" w:cs="Calibri"/>
                <w:color w:val="000000"/>
                <w:sz w:val="20"/>
                <w:szCs w:val="20"/>
                <w:lang w:val="en-CA" w:eastAsia="en-GB"/>
              </w:rPr>
              <w:t xml:space="preserve">the </w:t>
            </w:r>
            <w:r w:rsidRPr="005E2ED3">
              <w:rPr>
                <w:rFonts w:eastAsia="Times New Roman" w:cs="Calibri"/>
                <w:color w:val="000000"/>
                <w:sz w:val="20"/>
                <w:szCs w:val="20"/>
                <w:lang w:val="en-CA" w:eastAsia="en-GB"/>
              </w:rPr>
              <w:t>M</w:t>
            </w:r>
            <w:r w:rsidR="001D1B87">
              <w:rPr>
                <w:rFonts w:eastAsia="Times New Roman" w:cs="Calibri"/>
                <w:color w:val="000000"/>
                <w:sz w:val="20"/>
                <w:szCs w:val="20"/>
                <w:lang w:val="en-CA" w:eastAsia="en-GB"/>
              </w:rPr>
              <w:t xml:space="preserve">ulti </w:t>
            </w:r>
            <w:r w:rsidRPr="005E2ED3">
              <w:rPr>
                <w:rFonts w:eastAsia="Times New Roman" w:cs="Calibri"/>
                <w:color w:val="000000"/>
                <w:sz w:val="20"/>
                <w:szCs w:val="20"/>
                <w:lang w:val="en-CA" w:eastAsia="en-GB"/>
              </w:rPr>
              <w:t>P</w:t>
            </w:r>
            <w:r w:rsidR="001D1B87">
              <w:rPr>
                <w:rFonts w:eastAsia="Times New Roman" w:cs="Calibri"/>
                <w:color w:val="000000"/>
                <w:sz w:val="20"/>
                <w:szCs w:val="20"/>
                <w:lang w:val="en-CA" w:eastAsia="en-GB"/>
              </w:rPr>
              <w:t xml:space="preserve">artner </w:t>
            </w:r>
            <w:r w:rsidRPr="005E2ED3">
              <w:rPr>
                <w:rFonts w:eastAsia="Times New Roman" w:cs="Calibri"/>
                <w:color w:val="000000"/>
                <w:sz w:val="20"/>
                <w:szCs w:val="20"/>
                <w:lang w:val="en-CA" w:eastAsia="en-GB"/>
              </w:rPr>
              <w:t>T</w:t>
            </w:r>
            <w:r w:rsidR="001D1B87">
              <w:rPr>
                <w:rFonts w:eastAsia="Times New Roman" w:cs="Calibri"/>
                <w:color w:val="000000"/>
                <w:sz w:val="20"/>
                <w:szCs w:val="20"/>
                <w:lang w:val="en-CA" w:eastAsia="en-GB"/>
              </w:rPr>
              <w:t xml:space="preserve">rust </w:t>
            </w:r>
            <w:r w:rsidRPr="005E2ED3">
              <w:rPr>
                <w:rFonts w:eastAsia="Times New Roman" w:cs="Calibri"/>
                <w:color w:val="000000"/>
                <w:sz w:val="20"/>
                <w:szCs w:val="20"/>
                <w:lang w:val="en-CA" w:eastAsia="en-GB"/>
              </w:rPr>
              <w:t>F</w:t>
            </w:r>
            <w:r w:rsidR="001D1B87">
              <w:rPr>
                <w:rFonts w:eastAsia="Times New Roman" w:cs="Calibri"/>
                <w:color w:val="000000"/>
                <w:sz w:val="20"/>
                <w:szCs w:val="20"/>
                <w:lang w:val="en-CA" w:eastAsia="en-GB"/>
              </w:rPr>
              <w:t>und</w:t>
            </w:r>
            <w:r w:rsidRPr="005E2ED3">
              <w:rPr>
                <w:rFonts w:eastAsia="Times New Roman" w:cs="Calibri"/>
                <w:color w:val="000000"/>
                <w:sz w:val="20"/>
                <w:szCs w:val="20"/>
                <w:lang w:val="en-CA" w:eastAsia="en-GB"/>
              </w:rPr>
              <w:t>.</w:t>
            </w:r>
            <w:r w:rsidRPr="005E2ED3">
              <w:rPr>
                <w:rFonts w:eastAsia="Times New Roman" w:cs="Calibri"/>
                <w:color w:val="000000"/>
                <w:sz w:val="20"/>
                <w:szCs w:val="20"/>
                <w:lang w:eastAsia="en-GB"/>
              </w:rPr>
              <w:t> </w:t>
            </w:r>
          </w:p>
          <w:p w14:paraId="4D00002D" w14:textId="77777777" w:rsidR="00651C0B" w:rsidRPr="005E2ED3" w:rsidRDefault="00651C0B" w:rsidP="00BD1EB9">
            <w:pPr>
              <w:textAlignment w:val="baseline"/>
              <w:rPr>
                <w:rFonts w:ascii="Segoe UI" w:eastAsia="Times New Roman" w:hAnsi="Segoe UI" w:cs="Segoe UI"/>
                <w:color w:val="000000"/>
                <w:sz w:val="18"/>
                <w:szCs w:val="18"/>
                <w:lang w:eastAsia="en-GB"/>
              </w:rPr>
            </w:pPr>
          </w:p>
        </w:tc>
        <w:tc>
          <w:tcPr>
            <w:tcW w:w="3172" w:type="dxa"/>
            <w:tcBorders>
              <w:top w:val="nil"/>
              <w:left w:val="single" w:sz="6" w:space="0" w:color="auto"/>
              <w:bottom w:val="single" w:sz="6" w:space="0" w:color="auto"/>
              <w:right w:val="single" w:sz="6" w:space="0" w:color="auto"/>
            </w:tcBorders>
            <w:shd w:val="clear" w:color="auto" w:fill="FFC000"/>
            <w:hideMark/>
          </w:tcPr>
          <w:p w14:paraId="14139B69" w14:textId="24313E19"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val="en-CA" w:eastAsia="en-GB"/>
              </w:rPr>
              <w:t xml:space="preserve">Alignment with interventions funded by other DPs was generally good, supported by </w:t>
            </w:r>
            <w:r w:rsidR="001D1B87">
              <w:rPr>
                <w:rFonts w:eastAsia="Times New Roman" w:cs="Calibri"/>
                <w:color w:val="000000"/>
                <w:sz w:val="20"/>
                <w:szCs w:val="20"/>
                <w:lang w:val="en-CA" w:eastAsia="en-GB"/>
              </w:rPr>
              <w:t>government’s</w:t>
            </w:r>
            <w:r w:rsidR="001D1B87" w:rsidRPr="005E2ED3">
              <w:rPr>
                <w:rFonts w:eastAsia="Times New Roman" w:cs="Calibri"/>
                <w:color w:val="000000"/>
                <w:sz w:val="20"/>
                <w:szCs w:val="20"/>
                <w:lang w:val="en-CA" w:eastAsia="en-GB"/>
              </w:rPr>
              <w:t xml:space="preserve"> </w:t>
            </w:r>
            <w:r w:rsidRPr="005E2ED3">
              <w:rPr>
                <w:rFonts w:eastAsia="Times New Roman" w:cs="Calibri"/>
                <w:color w:val="000000"/>
                <w:sz w:val="20"/>
                <w:szCs w:val="20"/>
                <w:lang w:val="en-CA" w:eastAsia="en-GB"/>
              </w:rPr>
              <w:t>coordinating role</w:t>
            </w:r>
            <w:r>
              <w:rPr>
                <w:rFonts w:eastAsia="Times New Roman" w:cs="Calibri"/>
                <w:color w:val="000000"/>
                <w:sz w:val="20"/>
                <w:szCs w:val="20"/>
                <w:lang w:val="en-CA" w:eastAsia="en-GB"/>
              </w:rPr>
              <w:t xml:space="preserve"> and s</w:t>
            </w:r>
            <w:r w:rsidRPr="005E2ED3">
              <w:rPr>
                <w:rFonts w:eastAsia="Times New Roman" w:cs="Calibri"/>
                <w:color w:val="000000"/>
                <w:sz w:val="20"/>
                <w:szCs w:val="20"/>
                <w:lang w:val="en-CA" w:eastAsia="en-GB"/>
              </w:rPr>
              <w:t>trong in-country networks. </w:t>
            </w:r>
            <w:r w:rsidRPr="005E2ED3">
              <w:rPr>
                <w:rFonts w:eastAsia="Times New Roman" w:cs="Calibri"/>
                <w:color w:val="000000"/>
                <w:sz w:val="20"/>
                <w:szCs w:val="20"/>
                <w:lang w:eastAsia="en-GB"/>
              </w:rPr>
              <w:t> </w:t>
            </w:r>
          </w:p>
          <w:p w14:paraId="4F3DD58C" w14:textId="1028108A"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val="en-CA" w:eastAsia="en-GB"/>
              </w:rPr>
              <w:t xml:space="preserve">However, </w:t>
            </w:r>
            <w:r>
              <w:rPr>
                <w:rFonts w:eastAsia="Times New Roman" w:cs="Calibri"/>
                <w:color w:val="000000"/>
                <w:sz w:val="20"/>
                <w:szCs w:val="20"/>
                <w:lang w:val="en-CA" w:eastAsia="en-GB"/>
              </w:rPr>
              <w:t>l</w:t>
            </w:r>
            <w:r w:rsidRPr="005E2ED3">
              <w:rPr>
                <w:rFonts w:eastAsia="Times New Roman" w:cs="Calibri"/>
                <w:color w:val="000000"/>
                <w:sz w:val="20"/>
                <w:szCs w:val="20"/>
                <w:lang w:val="en-CA" w:eastAsia="en-GB"/>
              </w:rPr>
              <w:t xml:space="preserve">ittle communication </w:t>
            </w:r>
            <w:r w:rsidR="001D1B87">
              <w:rPr>
                <w:rFonts w:eastAsia="Times New Roman" w:cs="Calibri"/>
                <w:color w:val="000000"/>
                <w:sz w:val="20"/>
                <w:szCs w:val="20"/>
                <w:lang w:val="en-CA" w:eastAsia="en-GB"/>
              </w:rPr>
              <w:t xml:space="preserve">was </w:t>
            </w:r>
            <w:r w:rsidRPr="005E2ED3">
              <w:rPr>
                <w:rFonts w:eastAsia="Times New Roman" w:cs="Calibri"/>
                <w:color w:val="000000"/>
                <w:sz w:val="20"/>
                <w:szCs w:val="20"/>
                <w:lang w:val="en-CA" w:eastAsia="en-GB"/>
              </w:rPr>
              <w:t xml:space="preserve">apparent between </w:t>
            </w:r>
            <w:r w:rsidR="001D1B87">
              <w:rPr>
                <w:rFonts w:eastAsia="Times New Roman" w:cs="Calibri"/>
                <w:color w:val="000000"/>
                <w:sz w:val="20"/>
                <w:szCs w:val="20"/>
                <w:lang w:val="en-CA" w:eastAsia="en-GB"/>
              </w:rPr>
              <w:t xml:space="preserve">the </w:t>
            </w:r>
            <w:r w:rsidRPr="005E2ED3">
              <w:rPr>
                <w:rFonts w:eastAsia="Times New Roman" w:cs="Calibri"/>
                <w:color w:val="000000"/>
                <w:sz w:val="20"/>
                <w:szCs w:val="20"/>
                <w:lang w:val="en-CA" w:eastAsia="en-GB"/>
              </w:rPr>
              <w:t>F</w:t>
            </w:r>
            <w:r w:rsidR="001D1B87">
              <w:rPr>
                <w:rFonts w:eastAsia="Times New Roman" w:cs="Calibri"/>
                <w:color w:val="000000"/>
                <w:sz w:val="20"/>
                <w:szCs w:val="20"/>
                <w:lang w:val="en-CA" w:eastAsia="en-GB"/>
              </w:rPr>
              <w:t xml:space="preserve">leming </w:t>
            </w:r>
            <w:r w:rsidRPr="005E2ED3">
              <w:rPr>
                <w:rFonts w:eastAsia="Times New Roman" w:cs="Calibri"/>
                <w:color w:val="000000"/>
                <w:sz w:val="20"/>
                <w:szCs w:val="20"/>
                <w:lang w:val="en-CA" w:eastAsia="en-GB"/>
              </w:rPr>
              <w:t>F</w:t>
            </w:r>
            <w:r w:rsidR="001D1B87">
              <w:rPr>
                <w:rFonts w:eastAsia="Times New Roman" w:cs="Calibri"/>
                <w:color w:val="000000"/>
                <w:sz w:val="20"/>
                <w:szCs w:val="20"/>
                <w:lang w:val="en-CA" w:eastAsia="en-GB"/>
              </w:rPr>
              <w:t>und</w:t>
            </w:r>
            <w:r w:rsidRPr="005E2ED3">
              <w:rPr>
                <w:rFonts w:eastAsia="Times New Roman" w:cs="Calibri"/>
                <w:color w:val="000000"/>
                <w:sz w:val="20"/>
                <w:szCs w:val="20"/>
                <w:lang w:val="en-CA" w:eastAsia="en-GB"/>
              </w:rPr>
              <w:t xml:space="preserve"> and other DPs at country level. External alignment </w:t>
            </w:r>
            <w:r w:rsidR="001D1B87">
              <w:rPr>
                <w:rFonts w:eastAsia="Times New Roman" w:cs="Calibri"/>
                <w:color w:val="000000"/>
                <w:sz w:val="20"/>
                <w:szCs w:val="20"/>
                <w:lang w:val="en-CA" w:eastAsia="en-GB"/>
              </w:rPr>
              <w:t>depended</w:t>
            </w:r>
            <w:r w:rsidR="001D1B87" w:rsidRPr="005E2ED3">
              <w:rPr>
                <w:rFonts w:eastAsia="Times New Roman" w:cs="Calibri"/>
                <w:color w:val="000000"/>
                <w:sz w:val="20"/>
                <w:szCs w:val="20"/>
                <w:lang w:val="en-CA" w:eastAsia="en-GB"/>
              </w:rPr>
              <w:t xml:space="preserve"> </w:t>
            </w:r>
            <w:r w:rsidRPr="005E2ED3">
              <w:rPr>
                <w:rFonts w:eastAsia="Times New Roman" w:cs="Calibri"/>
                <w:color w:val="000000"/>
                <w:sz w:val="20"/>
                <w:szCs w:val="20"/>
                <w:lang w:val="en-CA" w:eastAsia="en-GB"/>
              </w:rPr>
              <w:t xml:space="preserve">on implementing partners with weak incentives to highlight duplications or integrate efforts. </w:t>
            </w:r>
          </w:p>
        </w:tc>
        <w:tc>
          <w:tcPr>
            <w:tcW w:w="3465" w:type="dxa"/>
            <w:tcBorders>
              <w:top w:val="nil"/>
              <w:left w:val="single" w:sz="6" w:space="0" w:color="auto"/>
              <w:bottom w:val="single" w:sz="6" w:space="0" w:color="auto"/>
              <w:right w:val="single" w:sz="6" w:space="0" w:color="auto"/>
            </w:tcBorders>
            <w:shd w:val="clear" w:color="auto" w:fill="00B050"/>
            <w:hideMark/>
          </w:tcPr>
          <w:p w14:paraId="123643DD" w14:textId="6C0F2E3C" w:rsidR="00651C0B" w:rsidRPr="005E2ED3" w:rsidRDefault="001D1B87" w:rsidP="00BD1EB9">
            <w:pPr>
              <w:textAlignment w:val="baseline"/>
              <w:rPr>
                <w:rFonts w:ascii="Segoe UI" w:eastAsia="Times New Roman" w:hAnsi="Segoe UI" w:cs="Segoe UI"/>
                <w:sz w:val="18"/>
                <w:szCs w:val="18"/>
                <w:lang w:eastAsia="en-GB"/>
              </w:rPr>
            </w:pPr>
            <w:r>
              <w:rPr>
                <w:rFonts w:eastAsia="Times New Roman" w:cs="Calibri"/>
                <w:color w:val="000000"/>
                <w:sz w:val="20"/>
                <w:szCs w:val="20"/>
                <w:lang w:val="en-US" w:eastAsia="en-GB"/>
              </w:rPr>
              <w:t xml:space="preserve">The </w:t>
            </w:r>
            <w:r w:rsidR="00651C0B" w:rsidRPr="005E2ED3">
              <w:rPr>
                <w:rFonts w:eastAsia="Times New Roman" w:cs="Calibri"/>
                <w:color w:val="000000"/>
                <w:sz w:val="20"/>
                <w:szCs w:val="20"/>
                <w:lang w:val="en-US" w:eastAsia="en-GB"/>
              </w:rPr>
              <w:t>F</w:t>
            </w:r>
            <w:r>
              <w:rPr>
                <w:rFonts w:eastAsia="Times New Roman" w:cs="Calibri"/>
                <w:color w:val="000000"/>
                <w:sz w:val="20"/>
                <w:szCs w:val="20"/>
                <w:lang w:val="en-US" w:eastAsia="en-GB"/>
              </w:rPr>
              <w:t xml:space="preserve">leming </w:t>
            </w:r>
            <w:r w:rsidR="00651C0B" w:rsidRPr="005E2ED3">
              <w:rPr>
                <w:rFonts w:eastAsia="Times New Roman" w:cs="Calibri"/>
                <w:color w:val="000000"/>
                <w:sz w:val="20"/>
                <w:szCs w:val="20"/>
                <w:lang w:val="en-US" w:eastAsia="en-GB"/>
              </w:rPr>
              <w:t>F</w:t>
            </w:r>
            <w:r>
              <w:rPr>
                <w:rFonts w:eastAsia="Times New Roman" w:cs="Calibri"/>
                <w:color w:val="000000"/>
                <w:sz w:val="20"/>
                <w:szCs w:val="20"/>
                <w:lang w:val="en-US" w:eastAsia="en-GB"/>
              </w:rPr>
              <w:t>und</w:t>
            </w:r>
            <w:r w:rsidR="00651C0B" w:rsidRPr="005E2ED3">
              <w:rPr>
                <w:rFonts w:eastAsia="Times New Roman" w:cs="Calibri"/>
                <w:color w:val="000000"/>
                <w:sz w:val="20"/>
                <w:szCs w:val="20"/>
                <w:lang w:val="en-US" w:eastAsia="en-GB"/>
              </w:rPr>
              <w:t>’s key activity was strengthening the O</w:t>
            </w:r>
            <w:r>
              <w:rPr>
                <w:rFonts w:eastAsia="Times New Roman" w:cs="Calibri"/>
                <w:color w:val="000000"/>
                <w:sz w:val="20"/>
                <w:szCs w:val="20"/>
                <w:lang w:val="en-US" w:eastAsia="en-GB"/>
              </w:rPr>
              <w:t xml:space="preserve">ne </w:t>
            </w:r>
            <w:r w:rsidR="00651C0B" w:rsidRPr="005E2ED3">
              <w:rPr>
                <w:rFonts w:eastAsia="Times New Roman" w:cs="Calibri"/>
                <w:color w:val="000000"/>
                <w:sz w:val="20"/>
                <w:szCs w:val="20"/>
                <w:lang w:val="en-US" w:eastAsia="en-GB"/>
              </w:rPr>
              <w:t>H</w:t>
            </w:r>
            <w:r>
              <w:rPr>
                <w:rFonts w:eastAsia="Times New Roman" w:cs="Calibri"/>
                <w:color w:val="000000"/>
                <w:sz w:val="20"/>
                <w:szCs w:val="20"/>
                <w:lang w:val="en-US" w:eastAsia="en-GB"/>
              </w:rPr>
              <w:t>ealth</w:t>
            </w:r>
            <w:r w:rsidR="00651C0B" w:rsidRPr="005E2ED3">
              <w:rPr>
                <w:rFonts w:eastAsia="Times New Roman" w:cs="Calibri"/>
                <w:color w:val="000000"/>
                <w:sz w:val="20"/>
                <w:szCs w:val="20"/>
                <w:lang w:val="en-US" w:eastAsia="en-GB"/>
              </w:rPr>
              <w:t xml:space="preserve"> governance structure for AMR/U and by its nature requires the coordination of government stakeholders and the set up of forums to ensure alignment across government, DPs, and F</w:t>
            </w:r>
            <w:r>
              <w:rPr>
                <w:rFonts w:eastAsia="Times New Roman" w:cs="Calibri"/>
                <w:color w:val="000000"/>
                <w:sz w:val="20"/>
                <w:szCs w:val="20"/>
                <w:lang w:val="en-US" w:eastAsia="en-GB"/>
              </w:rPr>
              <w:t xml:space="preserve">leming </w:t>
            </w:r>
            <w:r w:rsidR="00651C0B" w:rsidRPr="005E2ED3">
              <w:rPr>
                <w:rFonts w:eastAsia="Times New Roman" w:cs="Calibri"/>
                <w:color w:val="000000"/>
                <w:sz w:val="20"/>
                <w:szCs w:val="20"/>
                <w:lang w:val="en-US" w:eastAsia="en-GB"/>
              </w:rPr>
              <w:t>F</w:t>
            </w:r>
            <w:r>
              <w:rPr>
                <w:rFonts w:eastAsia="Times New Roman" w:cs="Calibri"/>
                <w:color w:val="000000"/>
                <w:sz w:val="20"/>
                <w:szCs w:val="20"/>
                <w:lang w:val="en-US" w:eastAsia="en-GB"/>
              </w:rPr>
              <w:t>und</w:t>
            </w:r>
            <w:r w:rsidR="00651C0B" w:rsidRPr="005E2ED3">
              <w:rPr>
                <w:rFonts w:eastAsia="Times New Roman" w:cs="Calibri"/>
                <w:color w:val="000000"/>
                <w:sz w:val="20"/>
                <w:szCs w:val="20"/>
                <w:lang w:val="en-US" w:eastAsia="en-GB"/>
              </w:rPr>
              <w:t xml:space="preserve"> grants. This has been set up successfully, with good evidence of functioning governance mechanisms and collaboration. </w:t>
            </w:r>
          </w:p>
          <w:p w14:paraId="46D62D42"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w:t>
            </w:r>
          </w:p>
        </w:tc>
      </w:tr>
      <w:tr w:rsidR="00651C0B" w:rsidRPr="005E2ED3" w14:paraId="083C9EB8" w14:textId="77777777" w:rsidTr="00651C0B">
        <w:trPr>
          <w:trHeight w:val="345"/>
        </w:trPr>
        <w:tc>
          <w:tcPr>
            <w:tcW w:w="1257" w:type="dxa"/>
            <w:tcBorders>
              <w:top w:val="nil"/>
              <w:left w:val="single" w:sz="6" w:space="0" w:color="auto"/>
              <w:bottom w:val="single" w:sz="6" w:space="0" w:color="auto"/>
              <w:right w:val="single" w:sz="6" w:space="0" w:color="auto"/>
            </w:tcBorders>
            <w:shd w:val="clear" w:color="auto" w:fill="auto"/>
            <w:hideMark/>
          </w:tcPr>
          <w:p w14:paraId="2110566C"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u w:val="single"/>
                <w:shd w:val="clear" w:color="auto" w:fill="E1E3E6"/>
                <w:lang w:eastAsia="en-GB"/>
              </w:rPr>
              <w:t>Tanzania</w:t>
            </w:r>
            <w:r w:rsidRPr="005E2ED3">
              <w:rPr>
                <w:rFonts w:eastAsia="Times New Roman" w:cs="Calibri"/>
                <w:color w:val="000000"/>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00B050"/>
            <w:hideMark/>
          </w:tcPr>
          <w:p w14:paraId="0AD02B94" w14:textId="1FFF9377" w:rsidR="00651C0B" w:rsidRPr="005E2ED3" w:rsidRDefault="001D1B87" w:rsidP="00BD1EB9">
            <w:pPr>
              <w:textAlignment w:val="baseline"/>
              <w:rPr>
                <w:rFonts w:eastAsia="Times New Roman" w:cs="Calibri"/>
                <w:color w:val="000000"/>
                <w:sz w:val="20"/>
                <w:szCs w:val="20"/>
                <w:lang w:eastAsia="en-GB"/>
              </w:rPr>
            </w:pPr>
            <w:r>
              <w:rPr>
                <w:rFonts w:eastAsia="Times New Roman" w:cs="Calibri"/>
                <w:color w:val="000000"/>
                <w:sz w:val="20"/>
                <w:szCs w:val="20"/>
                <w:lang w:eastAsia="en-GB"/>
              </w:rPr>
              <w:t>There was s</w:t>
            </w:r>
            <w:r w:rsidR="00651C0B" w:rsidRPr="005E2ED3">
              <w:rPr>
                <w:rFonts w:eastAsia="Times New Roman" w:cs="Calibri"/>
                <w:color w:val="000000"/>
                <w:sz w:val="20"/>
                <w:szCs w:val="20"/>
                <w:lang w:eastAsia="en-GB"/>
              </w:rPr>
              <w:t xml:space="preserve">trong alignment/coherence with government, </w:t>
            </w:r>
            <w:r w:rsidR="00B37493">
              <w:rPr>
                <w:rFonts w:eastAsia="Times New Roman" w:cs="Calibri"/>
                <w:color w:val="000000"/>
                <w:sz w:val="20"/>
                <w:szCs w:val="20"/>
                <w:lang w:eastAsia="en-GB"/>
              </w:rPr>
              <w:t>and the</w:t>
            </w:r>
            <w:r w:rsidR="00B37493" w:rsidRPr="005E2ED3">
              <w:rPr>
                <w:rFonts w:eastAsia="Times New Roman" w:cs="Calibri"/>
                <w:color w:val="000000"/>
                <w:sz w:val="20"/>
                <w:szCs w:val="20"/>
                <w:lang w:eastAsia="en-GB"/>
              </w:rPr>
              <w:t xml:space="preserve"> </w:t>
            </w:r>
            <w:r w:rsidR="00651C0B" w:rsidRPr="005E2ED3">
              <w:rPr>
                <w:rFonts w:eastAsia="Times New Roman" w:cs="Calibri"/>
                <w:color w:val="000000"/>
                <w:sz w:val="20"/>
                <w:szCs w:val="20"/>
                <w:lang w:eastAsia="en-GB"/>
              </w:rPr>
              <w:t xml:space="preserve">key supporting factors </w:t>
            </w:r>
            <w:r w:rsidR="00B37493">
              <w:rPr>
                <w:rFonts w:eastAsia="Times New Roman" w:cs="Calibri"/>
                <w:color w:val="000000"/>
                <w:sz w:val="20"/>
                <w:szCs w:val="20"/>
                <w:lang w:eastAsia="en-GB"/>
              </w:rPr>
              <w:t xml:space="preserve">were </w:t>
            </w:r>
            <w:r w:rsidR="00651C0B">
              <w:rPr>
                <w:rFonts w:eastAsia="Times New Roman" w:cs="Calibri"/>
                <w:color w:val="000000"/>
                <w:sz w:val="20"/>
                <w:szCs w:val="20"/>
                <w:lang w:eastAsia="en-GB"/>
              </w:rPr>
              <w:t>s</w:t>
            </w:r>
            <w:r w:rsidR="00651C0B" w:rsidRPr="005E2ED3">
              <w:rPr>
                <w:rFonts w:eastAsia="Times New Roman" w:cs="Calibri"/>
                <w:color w:val="000000"/>
                <w:sz w:val="20"/>
                <w:szCs w:val="20"/>
                <w:lang w:eastAsia="en-GB"/>
              </w:rPr>
              <w:t>trong overall government buy-in for AMR; strong AMR governance structure</w:t>
            </w:r>
            <w:r w:rsidR="00651C0B">
              <w:rPr>
                <w:rFonts w:eastAsia="Times New Roman" w:cs="Calibri"/>
                <w:color w:val="000000"/>
                <w:sz w:val="20"/>
                <w:szCs w:val="20"/>
                <w:lang w:eastAsia="en-GB"/>
              </w:rPr>
              <w:t xml:space="preserve">; </w:t>
            </w:r>
            <w:r w:rsidR="00B37493">
              <w:rPr>
                <w:rFonts w:eastAsia="Times New Roman" w:cs="Calibri"/>
                <w:color w:val="000000"/>
                <w:sz w:val="20"/>
                <w:szCs w:val="20"/>
                <w:lang w:eastAsia="en-GB"/>
              </w:rPr>
              <w:t xml:space="preserve">and </w:t>
            </w:r>
            <w:r w:rsidR="00651C0B">
              <w:rPr>
                <w:rFonts w:eastAsia="Times New Roman" w:cs="Calibri"/>
                <w:color w:val="000000"/>
                <w:sz w:val="20"/>
                <w:szCs w:val="20"/>
                <w:lang w:eastAsia="en-GB"/>
              </w:rPr>
              <w:t>a</w:t>
            </w:r>
            <w:r w:rsidR="00651C0B" w:rsidRPr="005E2ED3">
              <w:rPr>
                <w:rFonts w:eastAsia="Times New Roman" w:cs="Calibri"/>
                <w:color w:val="000000"/>
                <w:sz w:val="20"/>
                <w:szCs w:val="20"/>
                <w:lang w:eastAsia="en-GB"/>
              </w:rPr>
              <w:t xml:space="preserve">lignment with other agendas including </w:t>
            </w:r>
            <w:r w:rsidR="00B37493">
              <w:rPr>
                <w:rFonts w:eastAsia="Times New Roman" w:cs="Calibri"/>
                <w:color w:val="000000"/>
                <w:sz w:val="20"/>
                <w:szCs w:val="20"/>
                <w:lang w:eastAsia="en-GB"/>
              </w:rPr>
              <w:t xml:space="preserve">the </w:t>
            </w:r>
            <w:r w:rsidR="00651C0B" w:rsidRPr="005E2ED3">
              <w:rPr>
                <w:rFonts w:eastAsia="Times New Roman" w:cs="Calibri"/>
                <w:color w:val="000000"/>
                <w:sz w:val="20"/>
                <w:szCs w:val="20"/>
                <w:lang w:eastAsia="en-GB"/>
              </w:rPr>
              <w:t>broader O</w:t>
            </w:r>
            <w:r w:rsidR="00B37493">
              <w:rPr>
                <w:rFonts w:eastAsia="Times New Roman" w:cs="Calibri"/>
                <w:color w:val="000000"/>
                <w:sz w:val="20"/>
                <w:szCs w:val="20"/>
                <w:lang w:eastAsia="en-GB"/>
              </w:rPr>
              <w:t xml:space="preserve">ne </w:t>
            </w:r>
            <w:r w:rsidR="00651C0B" w:rsidRPr="005E2ED3">
              <w:rPr>
                <w:rFonts w:eastAsia="Times New Roman" w:cs="Calibri"/>
                <w:color w:val="000000"/>
                <w:sz w:val="20"/>
                <w:szCs w:val="20"/>
                <w:lang w:eastAsia="en-GB"/>
              </w:rPr>
              <w:t>H</w:t>
            </w:r>
            <w:r w:rsidR="00B37493">
              <w:rPr>
                <w:rFonts w:eastAsia="Times New Roman" w:cs="Calibri"/>
                <w:color w:val="000000"/>
                <w:sz w:val="20"/>
                <w:szCs w:val="20"/>
                <w:lang w:eastAsia="en-GB"/>
              </w:rPr>
              <w:t>ealth</w:t>
            </w:r>
            <w:r w:rsidR="00651C0B" w:rsidRPr="005E2ED3">
              <w:rPr>
                <w:rFonts w:eastAsia="Times New Roman" w:cs="Calibri"/>
                <w:color w:val="000000"/>
                <w:sz w:val="20"/>
                <w:szCs w:val="20"/>
                <w:lang w:eastAsia="en-GB"/>
              </w:rPr>
              <w:t xml:space="preserve"> agenda and GHS agenda (N</w:t>
            </w:r>
            <w:r w:rsidR="00CD545C">
              <w:rPr>
                <w:rFonts w:eastAsia="Times New Roman" w:cs="Calibri"/>
                <w:color w:val="000000"/>
                <w:sz w:val="20"/>
                <w:szCs w:val="20"/>
                <w:lang w:eastAsia="en-GB"/>
              </w:rPr>
              <w:t xml:space="preserve">ational </w:t>
            </w:r>
            <w:r w:rsidR="00651C0B" w:rsidRPr="005E2ED3">
              <w:rPr>
                <w:rFonts w:eastAsia="Times New Roman" w:cs="Calibri"/>
                <w:color w:val="000000"/>
                <w:sz w:val="20"/>
                <w:szCs w:val="20"/>
                <w:lang w:eastAsia="en-GB"/>
              </w:rPr>
              <w:t>A</w:t>
            </w:r>
            <w:r w:rsidR="00CD545C">
              <w:rPr>
                <w:rFonts w:eastAsia="Times New Roman" w:cs="Calibri"/>
                <w:color w:val="000000"/>
                <w:sz w:val="20"/>
                <w:szCs w:val="20"/>
                <w:lang w:eastAsia="en-GB"/>
              </w:rPr>
              <w:t xml:space="preserve">ction </w:t>
            </w:r>
            <w:r w:rsidR="00651C0B" w:rsidRPr="005E2ED3">
              <w:rPr>
                <w:rFonts w:eastAsia="Times New Roman" w:cs="Calibri"/>
                <w:color w:val="000000"/>
                <w:sz w:val="20"/>
                <w:szCs w:val="20"/>
                <w:lang w:eastAsia="en-GB"/>
              </w:rPr>
              <w:t>P</w:t>
            </w:r>
            <w:r w:rsidR="00CD545C">
              <w:rPr>
                <w:rFonts w:eastAsia="Times New Roman" w:cs="Calibri"/>
                <w:color w:val="000000"/>
                <w:sz w:val="20"/>
                <w:szCs w:val="20"/>
                <w:lang w:eastAsia="en-GB"/>
              </w:rPr>
              <w:t xml:space="preserve">lanning for </w:t>
            </w:r>
            <w:r w:rsidR="00651C0B" w:rsidRPr="005E2ED3">
              <w:rPr>
                <w:rFonts w:eastAsia="Times New Roman" w:cs="Calibri"/>
                <w:color w:val="000000"/>
                <w:sz w:val="20"/>
                <w:szCs w:val="20"/>
                <w:lang w:eastAsia="en-GB"/>
              </w:rPr>
              <w:t>H</w:t>
            </w:r>
            <w:r w:rsidR="00CD545C">
              <w:rPr>
                <w:rFonts w:eastAsia="Times New Roman" w:cs="Calibri"/>
                <w:color w:val="000000"/>
                <w:sz w:val="20"/>
                <w:szCs w:val="20"/>
                <w:lang w:eastAsia="en-GB"/>
              </w:rPr>
              <w:t xml:space="preserve">ealth </w:t>
            </w:r>
            <w:r w:rsidR="00651C0B" w:rsidRPr="005E2ED3">
              <w:rPr>
                <w:rFonts w:eastAsia="Times New Roman" w:cs="Calibri"/>
                <w:color w:val="000000"/>
                <w:sz w:val="20"/>
                <w:szCs w:val="20"/>
                <w:lang w:eastAsia="en-GB"/>
              </w:rPr>
              <w:t>S</w:t>
            </w:r>
            <w:r w:rsidR="00CD545C">
              <w:rPr>
                <w:rFonts w:eastAsia="Times New Roman" w:cs="Calibri"/>
                <w:color w:val="000000"/>
                <w:sz w:val="20"/>
                <w:szCs w:val="20"/>
                <w:lang w:eastAsia="en-GB"/>
              </w:rPr>
              <w:t>ecurity</w:t>
            </w:r>
            <w:r w:rsidR="00B37493" w:rsidRPr="005E2ED3">
              <w:rPr>
                <w:rFonts w:eastAsia="Times New Roman" w:cs="Calibri"/>
                <w:color w:val="000000"/>
                <w:sz w:val="20"/>
                <w:szCs w:val="20"/>
                <w:lang w:eastAsia="en-GB"/>
              </w:rPr>
              <w:t>)</w:t>
            </w:r>
            <w:r w:rsidR="00B37493">
              <w:rPr>
                <w:rFonts w:eastAsia="Times New Roman" w:cs="Calibri"/>
                <w:color w:val="000000"/>
                <w:sz w:val="20"/>
                <w:szCs w:val="20"/>
                <w:lang w:eastAsia="en-GB"/>
              </w:rPr>
              <w:t>.</w:t>
            </w:r>
          </w:p>
          <w:p w14:paraId="6F248509"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w:t>
            </w:r>
          </w:p>
        </w:tc>
        <w:tc>
          <w:tcPr>
            <w:tcW w:w="3452" w:type="dxa"/>
            <w:tcBorders>
              <w:top w:val="nil"/>
              <w:left w:val="single" w:sz="6" w:space="0" w:color="auto"/>
              <w:bottom w:val="single" w:sz="6" w:space="0" w:color="auto"/>
              <w:right w:val="single" w:sz="6" w:space="0" w:color="auto"/>
            </w:tcBorders>
            <w:shd w:val="clear" w:color="auto" w:fill="00B050"/>
            <w:hideMark/>
          </w:tcPr>
          <w:p w14:paraId="671093EB" w14:textId="3669AA76"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xml:space="preserve">Generally strong internal, stakeholders </w:t>
            </w:r>
            <w:r>
              <w:rPr>
                <w:rFonts w:eastAsia="Times New Roman" w:cs="Calibri"/>
                <w:color w:val="000000"/>
                <w:sz w:val="20"/>
                <w:szCs w:val="20"/>
                <w:lang w:eastAsia="en-GB"/>
              </w:rPr>
              <w:t>noted</w:t>
            </w:r>
            <w:r w:rsidRPr="005E2ED3">
              <w:rPr>
                <w:rFonts w:eastAsia="Times New Roman" w:cs="Calibri"/>
                <w:color w:val="000000"/>
                <w:sz w:val="20"/>
                <w:szCs w:val="20"/>
                <w:lang w:eastAsia="en-GB"/>
              </w:rPr>
              <w:t xml:space="preserve"> </w:t>
            </w:r>
            <w:r>
              <w:rPr>
                <w:rFonts w:eastAsia="Times New Roman" w:cs="Calibri"/>
                <w:color w:val="000000"/>
                <w:sz w:val="20"/>
                <w:szCs w:val="20"/>
                <w:lang w:eastAsia="en-GB"/>
              </w:rPr>
              <w:t xml:space="preserve">complementary </w:t>
            </w:r>
            <w:r w:rsidRPr="005E2ED3">
              <w:rPr>
                <w:rFonts w:eastAsia="Times New Roman" w:cs="Calibri"/>
                <w:color w:val="000000"/>
                <w:sz w:val="20"/>
                <w:szCs w:val="20"/>
                <w:lang w:eastAsia="en-GB"/>
              </w:rPr>
              <w:t xml:space="preserve">design of different FF investments, and CCM mechanism as helping to avoid duplication.  However, still some examples of duplication (risk of and actual) e.g. in support for quality management systems and conducting of </w:t>
            </w:r>
            <w:r w:rsidR="00F25C0E">
              <w:rPr>
                <w:rFonts w:eastAsia="Times New Roman" w:cs="Calibri"/>
                <w:color w:val="000000"/>
                <w:sz w:val="20"/>
                <w:szCs w:val="20"/>
                <w:lang w:eastAsia="en-GB"/>
              </w:rPr>
              <w:t xml:space="preserve">laboratory </w:t>
            </w:r>
            <w:r w:rsidRPr="005E2ED3">
              <w:rPr>
                <w:rFonts w:eastAsia="Times New Roman" w:cs="Calibri"/>
                <w:color w:val="000000"/>
                <w:sz w:val="20"/>
                <w:szCs w:val="20"/>
                <w:lang w:eastAsia="en-GB"/>
              </w:rPr>
              <w:t>assessments.</w:t>
            </w:r>
            <w:r>
              <w:rPr>
                <w:rFonts w:eastAsia="Times New Roman" w:cs="Calibri"/>
                <w:color w:val="000000"/>
                <w:sz w:val="20"/>
                <w:szCs w:val="20"/>
                <w:lang w:eastAsia="en-GB"/>
              </w:rPr>
              <w:t xml:space="preserve"> H</w:t>
            </w:r>
            <w:r w:rsidRPr="005E2ED3">
              <w:rPr>
                <w:rFonts w:eastAsia="Times New Roman" w:cs="Calibri"/>
                <w:color w:val="000000"/>
                <w:sz w:val="20"/>
                <w:szCs w:val="20"/>
                <w:lang w:eastAsia="en-GB"/>
              </w:rPr>
              <w:t>aving ASLM as the grantee for three of the RGs and the HI for the Fellows supported internal coordination. </w:t>
            </w:r>
          </w:p>
        </w:tc>
        <w:tc>
          <w:tcPr>
            <w:tcW w:w="3172" w:type="dxa"/>
            <w:tcBorders>
              <w:top w:val="nil"/>
              <w:left w:val="single" w:sz="6" w:space="0" w:color="auto"/>
              <w:bottom w:val="single" w:sz="6" w:space="0" w:color="auto"/>
              <w:right w:val="single" w:sz="6" w:space="0" w:color="auto"/>
            </w:tcBorders>
            <w:shd w:val="clear" w:color="auto" w:fill="00B050"/>
            <w:hideMark/>
          </w:tcPr>
          <w:p w14:paraId="02077CB6" w14:textId="50567876"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CG</w:t>
            </w:r>
            <w:r w:rsidR="00B37493">
              <w:rPr>
                <w:rFonts w:eastAsia="Times New Roman" w:cs="Calibri"/>
                <w:color w:val="000000"/>
                <w:sz w:val="20"/>
                <w:szCs w:val="20"/>
                <w:lang w:eastAsia="en-GB"/>
              </w:rPr>
              <w:t>s</w:t>
            </w:r>
            <w:r w:rsidRPr="005E2ED3">
              <w:rPr>
                <w:rFonts w:eastAsia="Times New Roman" w:cs="Calibri"/>
                <w:color w:val="000000"/>
                <w:sz w:val="20"/>
                <w:szCs w:val="20"/>
                <w:lang w:eastAsia="en-GB"/>
              </w:rPr>
              <w:t>, fellowships and RGs</w:t>
            </w:r>
            <w:r>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complement</w:t>
            </w:r>
            <w:r>
              <w:rPr>
                <w:rFonts w:eastAsia="Times New Roman" w:cs="Calibri"/>
                <w:color w:val="000000"/>
                <w:sz w:val="20"/>
                <w:szCs w:val="20"/>
                <w:lang w:eastAsia="en-GB"/>
              </w:rPr>
              <w:t>ing</w:t>
            </w:r>
            <w:r w:rsidRPr="005E2ED3">
              <w:rPr>
                <w:rFonts w:eastAsia="Times New Roman" w:cs="Calibri"/>
                <w:color w:val="000000"/>
                <w:sz w:val="20"/>
                <w:szCs w:val="20"/>
                <w:lang w:eastAsia="en-GB"/>
              </w:rPr>
              <w:t xml:space="preserve"> support from USAID (IDDS – supporting </w:t>
            </w:r>
            <w:r w:rsidR="00B37493">
              <w:rPr>
                <w:rFonts w:eastAsia="Times New Roman" w:cs="Calibri"/>
                <w:color w:val="000000"/>
                <w:sz w:val="20"/>
                <w:szCs w:val="20"/>
                <w:lang w:eastAsia="en-GB"/>
              </w:rPr>
              <w:t>four</w:t>
            </w:r>
            <w:r w:rsidR="00B37493" w:rsidRPr="005E2ED3">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other sentinel sites and governance; MTAPS –supporting AMS and governance)</w:t>
            </w:r>
            <w:r>
              <w:rPr>
                <w:rFonts w:eastAsia="Times New Roman" w:cs="Calibri"/>
                <w:color w:val="000000"/>
                <w:sz w:val="20"/>
                <w:szCs w:val="20"/>
                <w:lang w:eastAsia="en-GB"/>
              </w:rPr>
              <w:t xml:space="preserve">. </w:t>
            </w:r>
            <w:r w:rsidR="00B37493">
              <w:rPr>
                <w:rFonts w:eastAsia="Times New Roman" w:cs="Calibri"/>
                <w:color w:val="000000"/>
                <w:sz w:val="20"/>
                <w:szCs w:val="20"/>
                <w:lang w:eastAsia="en-GB"/>
              </w:rPr>
              <w:t>The</w:t>
            </w:r>
            <w:r>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F</w:t>
            </w:r>
            <w:r w:rsidR="00B37493">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B37493">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FAO Global grant provid</w:t>
            </w:r>
            <w:r>
              <w:rPr>
                <w:rFonts w:eastAsia="Times New Roman" w:cs="Calibri"/>
                <w:color w:val="000000"/>
                <w:sz w:val="20"/>
                <w:szCs w:val="20"/>
                <w:lang w:eastAsia="en-GB"/>
              </w:rPr>
              <w:t>es</w:t>
            </w:r>
            <w:r w:rsidRPr="005E2ED3">
              <w:rPr>
                <w:rFonts w:eastAsia="Times New Roman" w:cs="Calibri"/>
                <w:color w:val="000000"/>
                <w:sz w:val="20"/>
                <w:szCs w:val="20"/>
                <w:lang w:eastAsia="en-GB"/>
              </w:rPr>
              <w:t xml:space="preserve"> complementary support in AH e.g. surveillance in cattle (</w:t>
            </w:r>
            <w:r w:rsidR="00B37493">
              <w:rPr>
                <w:rFonts w:eastAsia="Times New Roman" w:cs="Calibri"/>
                <w:color w:val="000000"/>
                <w:sz w:val="20"/>
                <w:szCs w:val="20"/>
                <w:lang w:eastAsia="en-GB"/>
              </w:rPr>
              <w:t xml:space="preserve">The </w:t>
            </w:r>
            <w:r w:rsidRPr="005E2ED3">
              <w:rPr>
                <w:rFonts w:eastAsia="Times New Roman" w:cs="Calibri"/>
                <w:color w:val="000000"/>
                <w:sz w:val="20"/>
                <w:szCs w:val="20"/>
                <w:lang w:eastAsia="en-GB"/>
              </w:rPr>
              <w:t>F</w:t>
            </w:r>
            <w:r w:rsidR="00B37493">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B37493">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CG supports surveillance in poultry</w:t>
            </w:r>
            <w:r w:rsidR="00B37493" w:rsidRPr="005E2ED3">
              <w:rPr>
                <w:rFonts w:eastAsia="Times New Roman" w:cs="Calibri"/>
                <w:color w:val="000000"/>
                <w:sz w:val="20"/>
                <w:szCs w:val="20"/>
                <w:lang w:eastAsia="en-GB"/>
              </w:rPr>
              <w:t>).</w:t>
            </w:r>
            <w:r w:rsidR="00B37493">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CC</w:t>
            </w:r>
            <w:r w:rsidR="00B37493">
              <w:rPr>
                <w:rFonts w:eastAsia="Times New Roman" w:cs="Calibri"/>
                <w:color w:val="000000"/>
                <w:sz w:val="20"/>
                <w:szCs w:val="20"/>
                <w:lang w:eastAsia="en-GB"/>
              </w:rPr>
              <w:t>M</w:t>
            </w:r>
            <w:r w:rsidRPr="005E2ED3">
              <w:rPr>
                <w:rFonts w:eastAsia="Times New Roman" w:cs="Calibri"/>
                <w:color w:val="000000"/>
                <w:sz w:val="20"/>
                <w:szCs w:val="20"/>
                <w:lang w:eastAsia="en-GB"/>
              </w:rPr>
              <w:t xml:space="preserve"> </w:t>
            </w:r>
            <w:r>
              <w:rPr>
                <w:rFonts w:eastAsia="Times New Roman" w:cs="Calibri"/>
                <w:color w:val="000000"/>
                <w:sz w:val="20"/>
                <w:szCs w:val="20"/>
                <w:lang w:eastAsia="en-GB"/>
              </w:rPr>
              <w:t xml:space="preserve">ensures </w:t>
            </w:r>
            <w:r w:rsidRPr="005E2ED3">
              <w:rPr>
                <w:rFonts w:eastAsia="Times New Roman" w:cs="Calibri"/>
                <w:color w:val="000000"/>
                <w:sz w:val="20"/>
                <w:szCs w:val="20"/>
                <w:lang w:eastAsia="en-GB"/>
              </w:rPr>
              <w:t xml:space="preserve">coordination overall. DPs are invited to </w:t>
            </w:r>
            <w:r w:rsidR="00B37493">
              <w:rPr>
                <w:rFonts w:eastAsia="Times New Roman" w:cs="Calibri"/>
                <w:color w:val="000000"/>
                <w:sz w:val="20"/>
                <w:szCs w:val="20"/>
                <w:lang w:eastAsia="en-GB"/>
              </w:rPr>
              <w:t>CCM</w:t>
            </w:r>
            <w:r w:rsidR="00B37493" w:rsidRPr="005E2ED3">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 xml:space="preserve">and TWG as observers. </w:t>
            </w:r>
          </w:p>
        </w:tc>
        <w:tc>
          <w:tcPr>
            <w:tcW w:w="3465" w:type="dxa"/>
            <w:tcBorders>
              <w:top w:val="nil"/>
              <w:left w:val="single" w:sz="6" w:space="0" w:color="auto"/>
              <w:bottom w:val="single" w:sz="6" w:space="0" w:color="auto"/>
              <w:right w:val="single" w:sz="6" w:space="0" w:color="auto"/>
            </w:tcBorders>
            <w:shd w:val="clear" w:color="auto" w:fill="00B050"/>
            <w:hideMark/>
          </w:tcPr>
          <w:p w14:paraId="7447F987" w14:textId="20581F36"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Overall strong coherence/alignment, but some room to improve internal coherence further via CCM and/or other mechanisms. </w:t>
            </w:r>
          </w:p>
        </w:tc>
      </w:tr>
      <w:tr w:rsidR="00651C0B" w:rsidRPr="005E2ED3" w14:paraId="755C72FC" w14:textId="77777777" w:rsidTr="00651C0B">
        <w:trPr>
          <w:trHeight w:val="345"/>
        </w:trPr>
        <w:tc>
          <w:tcPr>
            <w:tcW w:w="1257" w:type="dxa"/>
            <w:tcBorders>
              <w:top w:val="nil"/>
              <w:left w:val="single" w:sz="6" w:space="0" w:color="auto"/>
              <w:bottom w:val="single" w:sz="6" w:space="0" w:color="auto"/>
              <w:right w:val="single" w:sz="6" w:space="0" w:color="auto"/>
            </w:tcBorders>
            <w:shd w:val="clear" w:color="auto" w:fill="auto"/>
            <w:hideMark/>
          </w:tcPr>
          <w:p w14:paraId="18A1A7D4" w14:textId="55A75A39" w:rsidR="00651C0B" w:rsidRPr="005E2ED3" w:rsidRDefault="00260B8A" w:rsidP="00BD1EB9">
            <w:pPr>
              <w:textAlignment w:val="baseline"/>
              <w:rPr>
                <w:rFonts w:ascii="Segoe UI" w:eastAsia="Times New Roman" w:hAnsi="Segoe UI" w:cs="Segoe UI"/>
                <w:sz w:val="18"/>
                <w:szCs w:val="18"/>
                <w:lang w:eastAsia="en-GB"/>
              </w:rPr>
            </w:pPr>
            <w:r>
              <w:rPr>
                <w:rFonts w:eastAsia="Times New Roman" w:cs="Calibri"/>
                <w:color w:val="0563C1"/>
                <w:sz w:val="20"/>
                <w:szCs w:val="20"/>
                <w:u w:val="single"/>
                <w:lang w:eastAsia="en-GB"/>
              </w:rPr>
              <w:t>Timor-Leste</w:t>
            </w:r>
            <w:r w:rsidR="00651C0B" w:rsidRPr="005E2ED3">
              <w:rPr>
                <w:rFonts w:eastAsia="Times New Roman" w:cs="Calibri"/>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00B050"/>
            <w:hideMark/>
          </w:tcPr>
          <w:p w14:paraId="0CB01F39" w14:textId="6FB21402"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The current activities implemented by the CG and MoH are aligned with the NAP 2017-2021. The F</w:t>
            </w:r>
            <w:r w:rsidR="00B37493">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B37493">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proposal was built on the NAP and the activities proposed were mainly to address the gaps; starting from ensuring basic infrastructure and equipment </w:t>
            </w:r>
            <w:r w:rsidR="00B37493">
              <w:rPr>
                <w:rFonts w:eastAsia="Times New Roman" w:cs="Calibri"/>
                <w:color w:val="000000"/>
                <w:sz w:val="20"/>
                <w:szCs w:val="20"/>
                <w:lang w:eastAsia="en-GB"/>
              </w:rPr>
              <w:t xml:space="preserve">are </w:t>
            </w:r>
            <w:r w:rsidRPr="005E2ED3">
              <w:rPr>
                <w:rFonts w:eastAsia="Times New Roman" w:cs="Calibri"/>
                <w:color w:val="000000"/>
                <w:sz w:val="20"/>
                <w:szCs w:val="20"/>
                <w:lang w:eastAsia="en-GB"/>
              </w:rPr>
              <w:t xml:space="preserve">in place to allow surveillance of </w:t>
            </w:r>
            <w:r w:rsidR="00B37493" w:rsidRPr="005E2ED3">
              <w:rPr>
                <w:rFonts w:eastAsia="Times New Roman" w:cs="Calibri"/>
                <w:color w:val="000000"/>
                <w:sz w:val="20"/>
                <w:szCs w:val="20"/>
                <w:lang w:eastAsia="en-GB"/>
              </w:rPr>
              <w:t>AMR</w:t>
            </w:r>
            <w:r w:rsidR="00B37493">
              <w:rPr>
                <w:rFonts w:eastAsia="Times New Roman" w:cs="Calibri"/>
                <w:color w:val="000000"/>
                <w:sz w:val="20"/>
                <w:szCs w:val="20"/>
                <w:lang w:eastAsia="en-GB"/>
              </w:rPr>
              <w:t>.</w:t>
            </w:r>
          </w:p>
        </w:tc>
        <w:tc>
          <w:tcPr>
            <w:tcW w:w="3452" w:type="dxa"/>
            <w:tcBorders>
              <w:top w:val="nil"/>
              <w:left w:val="single" w:sz="6" w:space="0" w:color="auto"/>
              <w:bottom w:val="single" w:sz="6" w:space="0" w:color="auto"/>
              <w:right w:val="single" w:sz="6" w:space="0" w:color="auto"/>
            </w:tcBorders>
            <w:shd w:val="clear" w:color="auto" w:fill="00B050"/>
            <w:hideMark/>
          </w:tcPr>
          <w:p w14:paraId="5BAA91D1" w14:textId="1DB6962D"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sz w:val="20"/>
                <w:szCs w:val="20"/>
                <w:lang w:eastAsia="en-GB"/>
              </w:rPr>
              <w:t>Good coordination and internal coherence. Most fellows and RGs</w:t>
            </w:r>
            <w:r>
              <w:rPr>
                <w:rFonts w:eastAsia="Times New Roman" w:cs="Calibri"/>
                <w:sz w:val="20"/>
                <w:szCs w:val="20"/>
                <w:lang w:eastAsia="en-GB"/>
              </w:rPr>
              <w:t xml:space="preserve"> trainees</w:t>
            </w:r>
            <w:r w:rsidRPr="005E2ED3">
              <w:rPr>
                <w:rFonts w:eastAsia="Times New Roman" w:cs="Calibri"/>
                <w:sz w:val="20"/>
                <w:szCs w:val="20"/>
                <w:lang w:eastAsia="en-GB"/>
              </w:rPr>
              <w:t xml:space="preserve"> also work directly with the CG</w:t>
            </w:r>
            <w:r>
              <w:rPr>
                <w:rFonts w:eastAsia="Times New Roman" w:cs="Calibri"/>
                <w:sz w:val="20"/>
                <w:szCs w:val="20"/>
                <w:lang w:eastAsia="en-GB"/>
              </w:rPr>
              <w:t xml:space="preserve"> so </w:t>
            </w:r>
            <w:r w:rsidR="007239CB">
              <w:rPr>
                <w:rFonts w:eastAsia="Times New Roman" w:cs="Calibri"/>
                <w:sz w:val="20"/>
                <w:szCs w:val="20"/>
                <w:lang w:eastAsia="en-GB"/>
              </w:rPr>
              <w:t xml:space="preserve">there is </w:t>
            </w:r>
            <w:r w:rsidRPr="005E2ED3">
              <w:rPr>
                <w:rFonts w:eastAsia="Times New Roman" w:cs="Calibri"/>
                <w:sz w:val="20"/>
                <w:szCs w:val="20"/>
                <w:lang w:eastAsia="en-GB"/>
              </w:rPr>
              <w:t>good awareness of the different strands of the F</w:t>
            </w:r>
            <w:r w:rsidR="007239CB">
              <w:rPr>
                <w:rFonts w:eastAsia="Times New Roman" w:cs="Calibri"/>
                <w:sz w:val="20"/>
                <w:szCs w:val="20"/>
                <w:lang w:eastAsia="en-GB"/>
              </w:rPr>
              <w:t xml:space="preserve">leming </w:t>
            </w:r>
            <w:r w:rsidRPr="005E2ED3">
              <w:rPr>
                <w:rFonts w:eastAsia="Times New Roman" w:cs="Calibri"/>
                <w:sz w:val="20"/>
                <w:szCs w:val="20"/>
                <w:lang w:eastAsia="en-GB"/>
              </w:rPr>
              <w:t>F</w:t>
            </w:r>
            <w:r w:rsidR="007239CB">
              <w:rPr>
                <w:rFonts w:eastAsia="Times New Roman" w:cs="Calibri"/>
                <w:sz w:val="20"/>
                <w:szCs w:val="20"/>
                <w:lang w:eastAsia="en-GB"/>
              </w:rPr>
              <w:t>und</w:t>
            </w:r>
            <w:r w:rsidRPr="005E2ED3">
              <w:rPr>
                <w:rFonts w:eastAsia="Times New Roman" w:cs="Calibri"/>
                <w:sz w:val="20"/>
                <w:szCs w:val="20"/>
                <w:lang w:eastAsia="en-GB"/>
              </w:rPr>
              <w:t>.</w:t>
            </w:r>
            <w:r>
              <w:rPr>
                <w:rFonts w:eastAsia="Times New Roman" w:cs="Calibri"/>
                <w:sz w:val="20"/>
                <w:szCs w:val="20"/>
                <w:lang w:eastAsia="en-GB"/>
              </w:rPr>
              <w:t xml:space="preserve"> </w:t>
            </w:r>
            <w:r w:rsidRPr="005E2ED3">
              <w:rPr>
                <w:rFonts w:eastAsia="Times New Roman" w:cs="Calibri"/>
                <w:sz w:val="20"/>
                <w:szCs w:val="20"/>
                <w:lang w:eastAsia="en-GB"/>
              </w:rPr>
              <w:t xml:space="preserve">Good coordination between CG and </w:t>
            </w:r>
            <w:r>
              <w:rPr>
                <w:rFonts w:eastAsia="Times New Roman" w:cs="Calibri"/>
                <w:sz w:val="20"/>
                <w:szCs w:val="20"/>
                <w:lang w:eastAsia="en-GB"/>
              </w:rPr>
              <w:t xml:space="preserve">HI </w:t>
            </w:r>
            <w:r w:rsidRPr="005E2ED3">
              <w:rPr>
                <w:rFonts w:eastAsia="Times New Roman" w:cs="Calibri"/>
                <w:sz w:val="20"/>
                <w:szCs w:val="20"/>
                <w:lang w:eastAsia="en-GB"/>
              </w:rPr>
              <w:t xml:space="preserve">(Doherty). However, </w:t>
            </w:r>
            <w:r w:rsidR="007239CB">
              <w:rPr>
                <w:rFonts w:eastAsia="Times New Roman" w:cs="Calibri"/>
                <w:sz w:val="20"/>
                <w:szCs w:val="20"/>
                <w:lang w:eastAsia="en-GB"/>
              </w:rPr>
              <w:t xml:space="preserve">the </w:t>
            </w:r>
            <w:r w:rsidRPr="005E2ED3">
              <w:rPr>
                <w:rFonts w:eastAsia="Times New Roman" w:cs="Calibri"/>
                <w:sz w:val="20"/>
                <w:szCs w:val="20"/>
                <w:lang w:eastAsia="en-GB"/>
              </w:rPr>
              <w:t>fellowship model has been challenging</w:t>
            </w:r>
            <w:r>
              <w:rPr>
                <w:rFonts w:eastAsia="Times New Roman" w:cs="Calibri"/>
                <w:sz w:val="20"/>
                <w:szCs w:val="20"/>
                <w:lang w:eastAsia="en-GB"/>
              </w:rPr>
              <w:t xml:space="preserve">, </w:t>
            </w:r>
            <w:r w:rsidRPr="005E2ED3">
              <w:rPr>
                <w:rFonts w:eastAsia="Times New Roman" w:cs="Calibri"/>
                <w:sz w:val="20"/>
                <w:szCs w:val="20"/>
                <w:lang w:eastAsia="en-GB"/>
              </w:rPr>
              <w:t>requir</w:t>
            </w:r>
            <w:r>
              <w:rPr>
                <w:rFonts w:eastAsia="Times New Roman" w:cs="Calibri"/>
                <w:sz w:val="20"/>
                <w:szCs w:val="20"/>
                <w:lang w:eastAsia="en-GB"/>
              </w:rPr>
              <w:t>ing</w:t>
            </w:r>
            <w:r w:rsidRPr="005E2ED3">
              <w:rPr>
                <w:rFonts w:eastAsia="Times New Roman" w:cs="Calibri"/>
                <w:sz w:val="20"/>
                <w:szCs w:val="20"/>
                <w:lang w:eastAsia="en-GB"/>
              </w:rPr>
              <w:t xml:space="preserve"> involvement of CGs to support fellows. </w:t>
            </w:r>
            <w:r w:rsidR="007239CB">
              <w:rPr>
                <w:rFonts w:eastAsia="Times New Roman" w:cs="Calibri"/>
                <w:sz w:val="20"/>
                <w:szCs w:val="20"/>
                <w:lang w:eastAsia="en-GB"/>
              </w:rPr>
              <w:t>There was no</w:t>
            </w:r>
            <w:r w:rsidR="007239CB" w:rsidRPr="005E2ED3">
              <w:rPr>
                <w:rFonts w:eastAsia="Times New Roman" w:cs="Calibri"/>
                <w:sz w:val="20"/>
                <w:szCs w:val="20"/>
                <w:lang w:eastAsia="en-GB"/>
              </w:rPr>
              <w:t xml:space="preserve"> </w:t>
            </w:r>
            <w:r w:rsidRPr="005E2ED3">
              <w:rPr>
                <w:rFonts w:eastAsia="Times New Roman" w:cs="Calibri"/>
                <w:sz w:val="20"/>
                <w:szCs w:val="20"/>
                <w:lang w:eastAsia="en-GB"/>
              </w:rPr>
              <w:t>evidence of serious risk of duplication found</w:t>
            </w:r>
            <w:r>
              <w:rPr>
                <w:rFonts w:eastAsia="Times New Roman" w:cs="Calibri"/>
                <w:sz w:val="20"/>
                <w:szCs w:val="20"/>
                <w:lang w:eastAsia="en-GB"/>
              </w:rPr>
              <w:t>.</w:t>
            </w:r>
            <w:r w:rsidRPr="005E2ED3">
              <w:rPr>
                <w:rFonts w:eastAsia="Times New Roman" w:cs="Calibri"/>
                <w:sz w:val="20"/>
                <w:szCs w:val="20"/>
                <w:lang w:eastAsia="en-GB"/>
              </w:rPr>
              <w:t> </w:t>
            </w:r>
          </w:p>
        </w:tc>
        <w:tc>
          <w:tcPr>
            <w:tcW w:w="3172" w:type="dxa"/>
            <w:tcBorders>
              <w:top w:val="nil"/>
              <w:left w:val="single" w:sz="6" w:space="0" w:color="auto"/>
              <w:bottom w:val="single" w:sz="6" w:space="0" w:color="auto"/>
              <w:right w:val="single" w:sz="6" w:space="0" w:color="auto"/>
            </w:tcBorders>
            <w:shd w:val="clear" w:color="auto" w:fill="00B050"/>
            <w:hideMark/>
          </w:tcPr>
          <w:p w14:paraId="39A8DD09" w14:textId="13E43B88" w:rsidR="00651C0B" w:rsidRPr="005E2ED3" w:rsidRDefault="007239CB" w:rsidP="00BD1EB9">
            <w:pPr>
              <w:textAlignment w:val="baseline"/>
              <w:rPr>
                <w:rFonts w:ascii="Segoe UI" w:eastAsia="Times New Roman" w:hAnsi="Segoe UI" w:cs="Segoe UI"/>
                <w:sz w:val="18"/>
                <w:szCs w:val="18"/>
                <w:lang w:eastAsia="en-GB"/>
              </w:rPr>
            </w:pPr>
            <w:r>
              <w:rPr>
                <w:rFonts w:eastAsia="Times New Roman" w:cs="Calibri"/>
                <w:sz w:val="20"/>
                <w:szCs w:val="20"/>
                <w:lang w:eastAsia="en-GB"/>
              </w:rPr>
              <w:t>There was g</w:t>
            </w:r>
            <w:r w:rsidR="00651C0B" w:rsidRPr="005E2ED3">
              <w:rPr>
                <w:rFonts w:eastAsia="Times New Roman" w:cs="Calibri"/>
                <w:sz w:val="20"/>
                <w:szCs w:val="20"/>
                <w:lang w:eastAsia="en-GB"/>
              </w:rPr>
              <w:t>ood alignment</w:t>
            </w:r>
            <w:r>
              <w:rPr>
                <w:rFonts w:eastAsia="Times New Roman" w:cs="Calibri"/>
                <w:sz w:val="20"/>
                <w:szCs w:val="20"/>
                <w:lang w:eastAsia="en-GB"/>
              </w:rPr>
              <w:t xml:space="preserve">, which is </w:t>
            </w:r>
            <w:r w:rsidR="00651C0B" w:rsidRPr="005E2ED3">
              <w:rPr>
                <w:rFonts w:eastAsia="Times New Roman" w:cs="Calibri"/>
                <w:sz w:val="20"/>
                <w:szCs w:val="20"/>
                <w:lang w:eastAsia="en-GB"/>
              </w:rPr>
              <w:t xml:space="preserve">to be expected given </w:t>
            </w:r>
            <w:r>
              <w:rPr>
                <w:rFonts w:eastAsia="Times New Roman" w:cs="Calibri"/>
                <w:sz w:val="20"/>
                <w:szCs w:val="20"/>
                <w:lang w:eastAsia="en-GB"/>
              </w:rPr>
              <w:t xml:space="preserve">the </w:t>
            </w:r>
            <w:r w:rsidR="00651C0B" w:rsidRPr="005E2ED3">
              <w:rPr>
                <w:rFonts w:eastAsia="Times New Roman" w:cs="Calibri"/>
                <w:sz w:val="20"/>
                <w:szCs w:val="20"/>
                <w:lang w:eastAsia="en-GB"/>
              </w:rPr>
              <w:t xml:space="preserve">small number of interventions on AMR in </w:t>
            </w:r>
            <w:r w:rsidR="00260B8A">
              <w:rPr>
                <w:rFonts w:eastAsia="Times New Roman" w:cs="Calibri"/>
                <w:sz w:val="20"/>
                <w:szCs w:val="20"/>
                <w:lang w:eastAsia="en-GB"/>
              </w:rPr>
              <w:t>Timor-Leste</w:t>
            </w:r>
            <w:r w:rsidR="00651C0B" w:rsidRPr="005E2ED3">
              <w:rPr>
                <w:rFonts w:eastAsia="Times New Roman" w:cs="Calibri"/>
                <w:sz w:val="20"/>
                <w:szCs w:val="20"/>
                <w:lang w:eastAsia="en-GB"/>
              </w:rPr>
              <w:t>, and further enabled by the CG also being the grantee for other DP projects. </w:t>
            </w:r>
          </w:p>
          <w:p w14:paraId="1E348181"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 </w:t>
            </w:r>
          </w:p>
        </w:tc>
        <w:tc>
          <w:tcPr>
            <w:tcW w:w="3465" w:type="dxa"/>
            <w:tcBorders>
              <w:top w:val="nil"/>
              <w:left w:val="single" w:sz="6" w:space="0" w:color="auto"/>
              <w:bottom w:val="single" w:sz="6" w:space="0" w:color="auto"/>
              <w:right w:val="single" w:sz="6" w:space="0" w:color="auto"/>
            </w:tcBorders>
            <w:shd w:val="clear" w:color="auto" w:fill="00B050"/>
            <w:hideMark/>
          </w:tcPr>
          <w:p w14:paraId="5F590688" w14:textId="04F463DC" w:rsidR="00651C0B" w:rsidRPr="005E2ED3" w:rsidRDefault="00651C0B" w:rsidP="00BD1EB9">
            <w:pPr>
              <w:textAlignment w:val="baseline"/>
              <w:rPr>
                <w:rFonts w:ascii="Segoe UI" w:eastAsia="Times New Roman" w:hAnsi="Segoe UI" w:cs="Segoe UI"/>
                <w:color w:val="000000"/>
                <w:sz w:val="18"/>
                <w:szCs w:val="18"/>
                <w:lang w:eastAsia="en-GB"/>
              </w:rPr>
            </w:pPr>
            <w:r w:rsidRPr="007F63EF">
              <w:rPr>
                <w:rFonts w:eastAsia="Times New Roman" w:cs="Calibri"/>
                <w:sz w:val="20"/>
                <w:szCs w:val="20"/>
                <w:lang w:eastAsia="en-GB"/>
              </w:rPr>
              <w:t xml:space="preserve">Strong alignment and internal and external coherence supported by structure of FF set up and facilitated by limited number of actors in </w:t>
            </w:r>
            <w:r w:rsidR="00260B8A">
              <w:rPr>
                <w:rFonts w:eastAsia="Times New Roman" w:cs="Calibri"/>
                <w:sz w:val="20"/>
                <w:szCs w:val="20"/>
                <w:lang w:eastAsia="en-GB"/>
              </w:rPr>
              <w:t>Timor-Leste</w:t>
            </w:r>
            <w:r w:rsidRPr="007F63EF">
              <w:rPr>
                <w:rFonts w:eastAsia="Times New Roman" w:cs="Calibri"/>
                <w:sz w:val="20"/>
                <w:szCs w:val="20"/>
                <w:lang w:eastAsia="en-GB"/>
              </w:rPr>
              <w:t>.</w:t>
            </w:r>
          </w:p>
        </w:tc>
      </w:tr>
      <w:tr w:rsidR="00651C0B" w:rsidRPr="005E2ED3" w14:paraId="5ED0246C" w14:textId="77777777" w:rsidTr="00651C0B">
        <w:trPr>
          <w:trHeight w:val="345"/>
        </w:trPr>
        <w:tc>
          <w:tcPr>
            <w:tcW w:w="1257" w:type="dxa"/>
            <w:tcBorders>
              <w:top w:val="nil"/>
              <w:left w:val="single" w:sz="6" w:space="0" w:color="auto"/>
              <w:bottom w:val="single" w:sz="6" w:space="0" w:color="auto"/>
              <w:right w:val="single" w:sz="6" w:space="0" w:color="auto"/>
            </w:tcBorders>
            <w:shd w:val="clear" w:color="auto" w:fill="auto"/>
            <w:hideMark/>
          </w:tcPr>
          <w:p w14:paraId="76B416BE"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563C1"/>
                <w:sz w:val="20"/>
                <w:szCs w:val="20"/>
                <w:u w:val="single"/>
                <w:lang w:eastAsia="en-GB"/>
              </w:rPr>
              <w:t>Uganda</w:t>
            </w:r>
            <w:r w:rsidRPr="005E2ED3">
              <w:rPr>
                <w:rFonts w:eastAsia="Times New Roman" w:cs="Calibri"/>
                <w:color w:val="000000"/>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FFC000"/>
            <w:hideMark/>
          </w:tcPr>
          <w:p w14:paraId="75D9781F" w14:textId="34398659"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eastAsia="en-GB"/>
              </w:rPr>
              <w:t>F</w:t>
            </w:r>
            <w:r w:rsidR="004B3579">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4B3579">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investments are well aligned with the NAP.</w:t>
            </w:r>
            <w:r>
              <w:rPr>
                <w:rFonts w:eastAsia="Times New Roman" w:cs="Calibri"/>
                <w:color w:val="000000"/>
                <w:sz w:val="20"/>
                <w:szCs w:val="20"/>
                <w:lang w:eastAsia="en-GB"/>
              </w:rPr>
              <w:t xml:space="preserve"> </w:t>
            </w:r>
            <w:r w:rsidRPr="005E2ED3">
              <w:rPr>
                <w:rFonts w:eastAsia="Times New Roman" w:cs="Calibri"/>
                <w:sz w:val="20"/>
                <w:szCs w:val="20"/>
                <w:lang w:eastAsia="en-GB"/>
              </w:rPr>
              <w:t xml:space="preserve">However </w:t>
            </w:r>
            <w:r>
              <w:rPr>
                <w:rFonts w:eastAsia="Times New Roman" w:cs="Calibri"/>
                <w:sz w:val="20"/>
                <w:szCs w:val="20"/>
                <w:lang w:eastAsia="en-GB"/>
              </w:rPr>
              <w:t xml:space="preserve">some </w:t>
            </w:r>
            <w:r w:rsidRPr="005E2ED3">
              <w:rPr>
                <w:rFonts w:eastAsia="Times New Roman" w:cs="Calibri"/>
                <w:sz w:val="20"/>
                <w:szCs w:val="20"/>
                <w:lang w:eastAsia="en-GB"/>
              </w:rPr>
              <w:t xml:space="preserve">issues flagged </w:t>
            </w:r>
            <w:r w:rsidR="004B3579">
              <w:rPr>
                <w:rFonts w:eastAsia="Times New Roman" w:cs="Calibri"/>
                <w:sz w:val="20"/>
                <w:szCs w:val="20"/>
                <w:lang w:eastAsia="en-GB"/>
              </w:rPr>
              <w:t>indicated</w:t>
            </w:r>
            <w:r w:rsidRPr="005E2ED3">
              <w:rPr>
                <w:rFonts w:eastAsia="Times New Roman" w:cs="Calibri"/>
                <w:sz w:val="20"/>
                <w:szCs w:val="20"/>
                <w:lang w:eastAsia="en-GB"/>
              </w:rPr>
              <w:t xml:space="preserve"> misalignment between </w:t>
            </w:r>
            <w:r w:rsidR="004B3579">
              <w:rPr>
                <w:rFonts w:eastAsia="Times New Roman" w:cs="Calibri"/>
                <w:sz w:val="20"/>
                <w:szCs w:val="20"/>
                <w:lang w:eastAsia="en-GB"/>
              </w:rPr>
              <w:t xml:space="preserve">the </w:t>
            </w:r>
            <w:r w:rsidRPr="005E2ED3">
              <w:rPr>
                <w:rFonts w:eastAsia="Times New Roman" w:cs="Calibri"/>
                <w:sz w:val="20"/>
                <w:szCs w:val="20"/>
                <w:lang w:eastAsia="en-GB"/>
              </w:rPr>
              <w:t xml:space="preserve">CG and national laboratories </w:t>
            </w:r>
            <w:r w:rsidR="004B3579">
              <w:rPr>
                <w:rFonts w:eastAsia="Times New Roman" w:cs="Calibri"/>
                <w:sz w:val="20"/>
                <w:szCs w:val="20"/>
                <w:lang w:eastAsia="en-GB"/>
              </w:rPr>
              <w:t>and</w:t>
            </w:r>
            <w:r w:rsidR="004B3579" w:rsidRPr="005E2ED3">
              <w:rPr>
                <w:rFonts w:eastAsia="Times New Roman" w:cs="Calibri"/>
                <w:sz w:val="20"/>
                <w:szCs w:val="20"/>
                <w:lang w:eastAsia="en-GB"/>
              </w:rPr>
              <w:t xml:space="preserve"> </w:t>
            </w:r>
            <w:r w:rsidRPr="005E2ED3">
              <w:rPr>
                <w:rFonts w:eastAsia="Times New Roman" w:cs="Calibri"/>
                <w:sz w:val="20"/>
                <w:szCs w:val="20"/>
                <w:lang w:eastAsia="en-GB"/>
              </w:rPr>
              <w:t>governance</w:t>
            </w:r>
            <w:r>
              <w:rPr>
                <w:rFonts w:eastAsia="Times New Roman" w:cs="Calibri"/>
                <w:sz w:val="20"/>
                <w:szCs w:val="20"/>
                <w:lang w:eastAsia="en-GB"/>
              </w:rPr>
              <w:t>, relating to 1) s</w:t>
            </w:r>
            <w:r w:rsidRPr="005E2ED3">
              <w:rPr>
                <w:rFonts w:eastAsia="Times New Roman" w:cs="Calibri"/>
                <w:sz w:val="20"/>
                <w:szCs w:val="20"/>
                <w:lang w:eastAsia="en-GB"/>
              </w:rPr>
              <w:t>upplies and relevance of equipment</w:t>
            </w:r>
            <w:r>
              <w:rPr>
                <w:rFonts w:eastAsia="Times New Roman" w:cs="Calibri"/>
                <w:sz w:val="20"/>
                <w:szCs w:val="20"/>
                <w:lang w:eastAsia="en-GB"/>
              </w:rPr>
              <w:t>; 2) s</w:t>
            </w:r>
            <w:r w:rsidRPr="005E2ED3">
              <w:rPr>
                <w:rFonts w:eastAsia="Times New Roman" w:cs="Calibri"/>
                <w:sz w:val="20"/>
                <w:szCs w:val="20"/>
                <w:lang w:eastAsia="en-GB"/>
              </w:rPr>
              <w:t xml:space="preserve">upport of staff in </w:t>
            </w:r>
            <w:r w:rsidR="00F25C0E">
              <w:rPr>
                <w:rFonts w:eastAsia="Times New Roman" w:cs="Calibri"/>
                <w:sz w:val="20"/>
                <w:szCs w:val="20"/>
                <w:lang w:eastAsia="en-GB"/>
              </w:rPr>
              <w:t>laboratories</w:t>
            </w:r>
            <w:r>
              <w:rPr>
                <w:rFonts w:eastAsia="Times New Roman" w:cs="Calibri"/>
                <w:sz w:val="20"/>
                <w:szCs w:val="20"/>
                <w:lang w:eastAsia="en-GB"/>
              </w:rPr>
              <w:t xml:space="preserve">; 3) </w:t>
            </w:r>
          </w:p>
          <w:p w14:paraId="32E23C44"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eastAsia="en-GB"/>
              </w:rPr>
              <w:t>Data flow and ownership</w:t>
            </w:r>
            <w:r>
              <w:rPr>
                <w:rFonts w:eastAsia="Times New Roman" w:cs="Calibri"/>
                <w:sz w:val="20"/>
                <w:szCs w:val="20"/>
                <w:lang w:eastAsia="en-GB"/>
              </w:rPr>
              <w:t xml:space="preserve"> </w:t>
            </w:r>
          </w:p>
        </w:tc>
        <w:tc>
          <w:tcPr>
            <w:tcW w:w="3452" w:type="dxa"/>
            <w:tcBorders>
              <w:top w:val="nil"/>
              <w:left w:val="single" w:sz="6" w:space="0" w:color="auto"/>
              <w:bottom w:val="single" w:sz="6" w:space="0" w:color="auto"/>
              <w:right w:val="single" w:sz="6" w:space="0" w:color="auto"/>
            </w:tcBorders>
            <w:shd w:val="clear" w:color="auto" w:fill="FFC000"/>
            <w:hideMark/>
          </w:tcPr>
          <w:p w14:paraId="2C2ED20C" w14:textId="1DE3E49E"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eastAsia="en-GB"/>
              </w:rPr>
              <w:t xml:space="preserve">Overall, it seems improvements could be made to coordination and coherence between the CG, RG and Fellowships. </w:t>
            </w:r>
            <w:r>
              <w:rPr>
                <w:rFonts w:eastAsia="Times New Roman" w:cs="Calibri"/>
                <w:color w:val="000000"/>
                <w:sz w:val="20"/>
                <w:szCs w:val="20"/>
                <w:lang w:eastAsia="en-GB"/>
              </w:rPr>
              <w:t xml:space="preserve">KIs </w:t>
            </w:r>
            <w:r w:rsidRPr="005E2ED3">
              <w:rPr>
                <w:rFonts w:eastAsia="Times New Roman" w:cs="Calibri"/>
                <w:color w:val="000000"/>
                <w:sz w:val="20"/>
                <w:szCs w:val="20"/>
                <w:lang w:eastAsia="en-GB"/>
              </w:rPr>
              <w:t xml:space="preserve">expressed </w:t>
            </w:r>
            <w:r>
              <w:rPr>
                <w:rFonts w:eastAsia="Times New Roman" w:cs="Calibri"/>
                <w:color w:val="000000"/>
                <w:sz w:val="20"/>
                <w:szCs w:val="20"/>
                <w:lang w:eastAsia="en-GB"/>
              </w:rPr>
              <w:t>interest in this</w:t>
            </w:r>
            <w:r w:rsidRPr="005E2ED3">
              <w:rPr>
                <w:rFonts w:eastAsia="Times New Roman" w:cs="Calibri"/>
                <w:color w:val="000000"/>
                <w:sz w:val="20"/>
                <w:szCs w:val="20"/>
                <w:lang w:eastAsia="en-GB"/>
              </w:rPr>
              <w:t>.</w:t>
            </w:r>
            <w:r>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 xml:space="preserve">Good evidence of CG and fellowship interaction </w:t>
            </w:r>
            <w:r>
              <w:rPr>
                <w:rFonts w:eastAsia="Times New Roman" w:cs="Calibri"/>
                <w:color w:val="000000"/>
                <w:sz w:val="20"/>
                <w:szCs w:val="20"/>
                <w:lang w:eastAsia="en-GB"/>
              </w:rPr>
              <w:t xml:space="preserve">- </w:t>
            </w:r>
            <w:r w:rsidR="00533179">
              <w:rPr>
                <w:rFonts w:eastAsia="Times New Roman" w:cs="Calibri"/>
                <w:color w:val="000000"/>
                <w:sz w:val="20"/>
                <w:szCs w:val="20"/>
                <w:lang w:eastAsia="en-GB"/>
              </w:rPr>
              <w:t>e.g.</w:t>
            </w:r>
            <w:r>
              <w:rPr>
                <w:rFonts w:eastAsia="Times New Roman" w:cs="Calibri"/>
                <w:color w:val="000000"/>
                <w:sz w:val="20"/>
                <w:szCs w:val="20"/>
                <w:lang w:eastAsia="en-GB"/>
              </w:rPr>
              <w:t xml:space="preserve"> document </w:t>
            </w:r>
            <w:r w:rsidRPr="005E2ED3">
              <w:rPr>
                <w:rFonts w:eastAsia="Times New Roman" w:cs="Calibri"/>
                <w:color w:val="000000"/>
                <w:sz w:val="20"/>
                <w:szCs w:val="20"/>
                <w:lang w:eastAsia="en-GB"/>
              </w:rPr>
              <w:t>development</w:t>
            </w:r>
            <w:r>
              <w:rPr>
                <w:rFonts w:eastAsia="Times New Roman" w:cs="Calibri"/>
                <w:color w:val="000000"/>
                <w:sz w:val="20"/>
                <w:szCs w:val="20"/>
                <w:lang w:eastAsia="en-GB"/>
              </w:rPr>
              <w:t xml:space="preserve">, active surveillance participation – but </w:t>
            </w:r>
            <w:r w:rsidR="00533179">
              <w:rPr>
                <w:rFonts w:eastAsia="Times New Roman" w:cs="Calibri"/>
                <w:color w:val="000000"/>
                <w:sz w:val="20"/>
                <w:szCs w:val="20"/>
                <w:lang w:eastAsia="en-GB"/>
              </w:rPr>
              <w:t xml:space="preserve">there </w:t>
            </w:r>
            <w:r>
              <w:rPr>
                <w:rFonts w:eastAsia="Times New Roman" w:cs="Calibri"/>
                <w:color w:val="000000"/>
                <w:sz w:val="20"/>
                <w:szCs w:val="20"/>
                <w:lang w:eastAsia="en-GB"/>
              </w:rPr>
              <w:t xml:space="preserve">scope to strengthen coordination within the </w:t>
            </w:r>
            <w:r w:rsidRPr="005E2ED3">
              <w:rPr>
                <w:rFonts w:eastAsia="Times New Roman" w:cs="Calibri"/>
                <w:sz w:val="20"/>
                <w:szCs w:val="20"/>
                <w:lang w:eastAsia="en-GB"/>
              </w:rPr>
              <w:t>fellowship scheme itself.</w:t>
            </w:r>
            <w:r>
              <w:rPr>
                <w:rFonts w:eastAsia="Times New Roman" w:cs="Calibri"/>
                <w:sz w:val="20"/>
                <w:szCs w:val="20"/>
                <w:lang w:eastAsia="en-GB"/>
              </w:rPr>
              <w:t xml:space="preserve"> Currently</w:t>
            </w:r>
            <w:r w:rsidR="00533179">
              <w:rPr>
                <w:rFonts w:eastAsia="Times New Roman" w:cs="Calibri"/>
                <w:sz w:val="20"/>
                <w:szCs w:val="20"/>
                <w:lang w:eastAsia="en-GB"/>
              </w:rPr>
              <w:t>, there is</w:t>
            </w:r>
            <w:r>
              <w:rPr>
                <w:rFonts w:eastAsia="Times New Roman" w:cs="Calibri"/>
                <w:sz w:val="20"/>
                <w:szCs w:val="20"/>
                <w:lang w:eastAsia="en-GB"/>
              </w:rPr>
              <w:t xml:space="preserve"> n</w:t>
            </w:r>
            <w:r w:rsidRPr="005E2ED3">
              <w:rPr>
                <w:rFonts w:eastAsia="Times New Roman" w:cs="Calibri"/>
                <w:sz w:val="20"/>
                <w:szCs w:val="20"/>
                <w:lang w:eastAsia="en-GB"/>
              </w:rPr>
              <w:t>o contact/focal person between RG and CG to ensure alignment. </w:t>
            </w:r>
          </w:p>
        </w:tc>
        <w:tc>
          <w:tcPr>
            <w:tcW w:w="3172" w:type="dxa"/>
            <w:tcBorders>
              <w:top w:val="nil"/>
              <w:left w:val="single" w:sz="6" w:space="0" w:color="auto"/>
              <w:bottom w:val="single" w:sz="6" w:space="0" w:color="auto"/>
              <w:right w:val="single" w:sz="6" w:space="0" w:color="auto"/>
            </w:tcBorders>
            <w:shd w:val="clear" w:color="auto" w:fill="00B050"/>
            <w:hideMark/>
          </w:tcPr>
          <w:p w14:paraId="1B3CEBEE" w14:textId="3B19E3E6" w:rsidR="00651C0B" w:rsidRPr="005E2ED3" w:rsidRDefault="00651C0B"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eastAsia="en-GB"/>
              </w:rPr>
              <w:t>E</w:t>
            </w:r>
            <w:r w:rsidRPr="005E2ED3">
              <w:rPr>
                <w:rFonts w:eastAsia="Times New Roman" w:cs="Calibri"/>
                <w:color w:val="000000"/>
                <w:sz w:val="20"/>
                <w:szCs w:val="20"/>
                <w:lang w:eastAsia="en-GB"/>
              </w:rPr>
              <w:t>xcellent alignment of F</w:t>
            </w:r>
            <w:r w:rsidR="009C4A68">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9C4A68">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activities with other DP interventions. </w:t>
            </w:r>
            <w:r>
              <w:rPr>
                <w:rFonts w:eastAsia="Times New Roman" w:cs="Calibri"/>
                <w:color w:val="000000"/>
                <w:sz w:val="20"/>
                <w:szCs w:val="20"/>
                <w:lang w:eastAsia="en-GB"/>
              </w:rPr>
              <w:t xml:space="preserve">E.g. CG </w:t>
            </w:r>
            <w:r w:rsidRPr="005E2ED3">
              <w:rPr>
                <w:rFonts w:eastAsia="Times New Roman" w:cs="Calibri"/>
                <w:color w:val="000000"/>
                <w:sz w:val="20"/>
                <w:szCs w:val="20"/>
                <w:lang w:eastAsia="en-GB"/>
              </w:rPr>
              <w:t>using the CDC</w:t>
            </w:r>
            <w:r w:rsidR="009C4A68">
              <w:rPr>
                <w:rFonts w:eastAsia="Times New Roman" w:cs="Calibri"/>
                <w:color w:val="000000"/>
                <w:sz w:val="20"/>
                <w:szCs w:val="20"/>
                <w:lang w:eastAsia="en-GB"/>
              </w:rPr>
              <w:t>-</w:t>
            </w:r>
            <w:r w:rsidRPr="005E2ED3">
              <w:rPr>
                <w:rFonts w:eastAsia="Times New Roman" w:cs="Calibri"/>
                <w:color w:val="000000"/>
                <w:sz w:val="20"/>
                <w:szCs w:val="20"/>
                <w:lang w:eastAsia="en-GB"/>
              </w:rPr>
              <w:t xml:space="preserve">funded </w:t>
            </w:r>
            <w:r w:rsidR="009C4A68">
              <w:rPr>
                <w:rFonts w:eastAsia="Times New Roman" w:cs="Calibri"/>
                <w:color w:val="000000"/>
                <w:sz w:val="20"/>
                <w:szCs w:val="20"/>
                <w:lang w:eastAsia="en-GB"/>
              </w:rPr>
              <w:t>GHS</w:t>
            </w:r>
            <w:r w:rsidRPr="005E2ED3">
              <w:rPr>
                <w:rFonts w:eastAsia="Times New Roman" w:cs="Calibri"/>
                <w:color w:val="000000"/>
                <w:sz w:val="20"/>
                <w:szCs w:val="20"/>
                <w:lang w:eastAsia="en-GB"/>
              </w:rPr>
              <w:t xml:space="preserve"> </w:t>
            </w:r>
            <w:r w:rsidR="009C4A68" w:rsidRPr="005E2ED3">
              <w:rPr>
                <w:rFonts w:eastAsia="Times New Roman" w:cs="Calibri"/>
                <w:color w:val="000000"/>
                <w:sz w:val="20"/>
                <w:szCs w:val="20"/>
                <w:lang w:eastAsia="en-GB"/>
              </w:rPr>
              <w:t>project</w:t>
            </w:r>
            <w:r w:rsidRPr="005E2ED3">
              <w:rPr>
                <w:rFonts w:eastAsia="Times New Roman" w:cs="Calibri"/>
                <w:color w:val="000000"/>
                <w:sz w:val="20"/>
                <w:szCs w:val="20"/>
                <w:lang w:eastAsia="en-GB"/>
              </w:rPr>
              <w:t xml:space="preserve"> as a platform to increase testing and quality capacity for F</w:t>
            </w:r>
            <w:r w:rsidR="009C4A68">
              <w:rPr>
                <w:rFonts w:eastAsia="Times New Roman" w:cs="Calibri"/>
                <w:color w:val="000000"/>
                <w:sz w:val="20"/>
                <w:szCs w:val="20"/>
                <w:lang w:eastAsia="en-GB"/>
              </w:rPr>
              <w:t xml:space="preserve">leming </w:t>
            </w:r>
            <w:r w:rsidRPr="005E2ED3">
              <w:rPr>
                <w:rFonts w:eastAsia="Times New Roman" w:cs="Calibri"/>
                <w:color w:val="000000"/>
                <w:sz w:val="20"/>
                <w:szCs w:val="20"/>
                <w:lang w:eastAsia="en-GB"/>
              </w:rPr>
              <w:t>F</w:t>
            </w:r>
            <w:r w:rsidR="009C4A68">
              <w:rPr>
                <w:rFonts w:eastAsia="Times New Roman" w:cs="Calibri"/>
                <w:color w:val="000000"/>
                <w:sz w:val="20"/>
                <w:szCs w:val="20"/>
                <w:lang w:eastAsia="en-GB"/>
              </w:rPr>
              <w:t>und</w:t>
            </w:r>
            <w:r w:rsidRPr="005E2ED3">
              <w:rPr>
                <w:rFonts w:eastAsia="Times New Roman" w:cs="Calibri"/>
                <w:color w:val="000000"/>
                <w:sz w:val="20"/>
                <w:szCs w:val="20"/>
                <w:lang w:eastAsia="en-GB"/>
              </w:rPr>
              <w:t xml:space="preserve"> </w:t>
            </w:r>
            <w:r w:rsidR="009C4A68">
              <w:rPr>
                <w:rFonts w:eastAsia="Times New Roman" w:cs="Calibri"/>
                <w:color w:val="000000"/>
                <w:sz w:val="20"/>
                <w:szCs w:val="20"/>
                <w:lang w:eastAsia="en-GB"/>
              </w:rPr>
              <w:t>HH</w:t>
            </w:r>
            <w:r w:rsidRPr="005E2ED3">
              <w:rPr>
                <w:rFonts w:eastAsia="Times New Roman" w:cs="Calibri"/>
                <w:color w:val="000000"/>
                <w:sz w:val="20"/>
                <w:szCs w:val="20"/>
                <w:lang w:eastAsia="en-GB"/>
              </w:rPr>
              <w:t xml:space="preserve"> AMR/AMU surveillance sites</w:t>
            </w:r>
            <w:r>
              <w:rPr>
                <w:rFonts w:eastAsia="Times New Roman" w:cs="Calibri"/>
                <w:color w:val="000000"/>
                <w:sz w:val="20"/>
                <w:szCs w:val="20"/>
                <w:lang w:eastAsia="en-GB"/>
              </w:rPr>
              <w:t xml:space="preserve">. During </w:t>
            </w:r>
            <w:r w:rsidRPr="005E2ED3">
              <w:rPr>
                <w:rFonts w:eastAsia="Times New Roman" w:cs="Calibri"/>
                <w:color w:val="000000"/>
                <w:sz w:val="20"/>
                <w:szCs w:val="20"/>
                <w:lang w:eastAsia="en-GB"/>
              </w:rPr>
              <w:t xml:space="preserve">FF </w:t>
            </w:r>
            <w:r>
              <w:rPr>
                <w:rFonts w:eastAsia="Times New Roman" w:cs="Calibri"/>
                <w:color w:val="000000"/>
                <w:sz w:val="20"/>
                <w:szCs w:val="20"/>
                <w:lang w:eastAsia="en-GB"/>
              </w:rPr>
              <w:t xml:space="preserve">design, FF spoke to </w:t>
            </w:r>
            <w:r w:rsidRPr="005E2ED3">
              <w:rPr>
                <w:rFonts w:eastAsia="Times New Roman" w:cs="Calibri"/>
                <w:color w:val="000000"/>
                <w:sz w:val="20"/>
                <w:szCs w:val="20"/>
                <w:lang w:eastAsia="en-GB"/>
              </w:rPr>
              <w:t xml:space="preserve">CDC </w:t>
            </w:r>
            <w:r>
              <w:rPr>
                <w:rFonts w:eastAsia="Times New Roman" w:cs="Calibri"/>
                <w:color w:val="000000"/>
                <w:sz w:val="20"/>
                <w:szCs w:val="20"/>
                <w:lang w:eastAsia="en-GB"/>
              </w:rPr>
              <w:t xml:space="preserve">to ensure coherence with existing </w:t>
            </w:r>
            <w:r w:rsidRPr="005E2ED3">
              <w:rPr>
                <w:rFonts w:eastAsia="Times New Roman" w:cs="Calibri"/>
                <w:color w:val="000000"/>
                <w:sz w:val="20"/>
                <w:szCs w:val="20"/>
                <w:lang w:eastAsia="en-GB"/>
              </w:rPr>
              <w:t xml:space="preserve">funding </w:t>
            </w:r>
            <w:r>
              <w:rPr>
                <w:rFonts w:eastAsia="Times New Roman" w:cs="Calibri"/>
                <w:color w:val="000000"/>
                <w:sz w:val="20"/>
                <w:szCs w:val="20"/>
                <w:lang w:eastAsia="en-GB"/>
              </w:rPr>
              <w:t xml:space="preserve">of </w:t>
            </w:r>
            <w:r w:rsidRPr="005E2ED3">
              <w:rPr>
                <w:rFonts w:eastAsia="Times New Roman" w:cs="Calibri"/>
                <w:color w:val="000000"/>
                <w:sz w:val="20"/>
                <w:szCs w:val="20"/>
                <w:lang w:eastAsia="en-GB"/>
              </w:rPr>
              <w:t>AMR. </w:t>
            </w:r>
          </w:p>
          <w:p w14:paraId="0B33CD93"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eastAsia="en-GB"/>
              </w:rPr>
              <w:t>The awareness of FF activities by other DPs could be bolstered</w:t>
            </w:r>
            <w:r>
              <w:rPr>
                <w:rFonts w:eastAsia="Times New Roman" w:cs="Calibri"/>
                <w:sz w:val="20"/>
                <w:szCs w:val="20"/>
                <w:lang w:eastAsia="en-GB"/>
              </w:rPr>
              <w:t>.</w:t>
            </w:r>
            <w:r w:rsidRPr="005E2ED3">
              <w:rPr>
                <w:rFonts w:eastAsia="Times New Roman" w:cs="Calibri"/>
                <w:sz w:val="20"/>
                <w:szCs w:val="20"/>
                <w:lang w:eastAsia="en-GB"/>
              </w:rPr>
              <w:t> </w:t>
            </w:r>
          </w:p>
        </w:tc>
        <w:tc>
          <w:tcPr>
            <w:tcW w:w="3465" w:type="dxa"/>
            <w:tcBorders>
              <w:top w:val="nil"/>
              <w:left w:val="single" w:sz="6" w:space="0" w:color="auto"/>
              <w:bottom w:val="single" w:sz="6" w:space="0" w:color="auto"/>
              <w:right w:val="single" w:sz="6" w:space="0" w:color="auto"/>
            </w:tcBorders>
            <w:shd w:val="clear" w:color="auto" w:fill="FFC000"/>
            <w:hideMark/>
          </w:tcPr>
          <w:p w14:paraId="5D623826" w14:textId="77777777" w:rsidR="00651C0B" w:rsidRPr="005E2ED3" w:rsidRDefault="00651C0B" w:rsidP="00BD1EB9">
            <w:pPr>
              <w:textAlignment w:val="baseline"/>
              <w:rPr>
                <w:rFonts w:ascii="Segoe UI" w:eastAsia="Times New Roman" w:hAnsi="Segoe UI" w:cs="Segoe UI"/>
                <w:color w:val="000000"/>
                <w:sz w:val="18"/>
                <w:szCs w:val="18"/>
                <w:lang w:eastAsia="en-GB"/>
              </w:rPr>
            </w:pPr>
            <w:r>
              <w:rPr>
                <w:rFonts w:eastAsia="Times New Roman" w:cs="Calibri"/>
                <w:color w:val="000000"/>
                <w:sz w:val="20"/>
                <w:szCs w:val="20"/>
                <w:lang w:eastAsia="en-GB"/>
              </w:rPr>
              <w:t>G</w:t>
            </w:r>
            <w:r w:rsidRPr="005E2ED3">
              <w:rPr>
                <w:rFonts w:eastAsia="Times New Roman" w:cs="Calibri"/>
                <w:color w:val="000000"/>
                <w:sz w:val="20"/>
                <w:szCs w:val="20"/>
                <w:lang w:eastAsia="en-GB"/>
              </w:rPr>
              <w:t>ood coherence with the NAP AMR</w:t>
            </w:r>
            <w:r>
              <w:rPr>
                <w:rFonts w:eastAsia="Times New Roman" w:cs="Calibri"/>
                <w:color w:val="000000"/>
                <w:sz w:val="20"/>
                <w:szCs w:val="20"/>
                <w:lang w:eastAsia="en-GB"/>
              </w:rPr>
              <w:t xml:space="preserve"> but some </w:t>
            </w:r>
            <w:r w:rsidRPr="005E2ED3">
              <w:rPr>
                <w:rFonts w:eastAsia="Times New Roman" w:cs="Calibri"/>
                <w:color w:val="000000"/>
                <w:sz w:val="20"/>
                <w:szCs w:val="20"/>
                <w:lang w:eastAsia="en-GB"/>
              </w:rPr>
              <w:t>implementation issues</w:t>
            </w:r>
            <w:r>
              <w:rPr>
                <w:rFonts w:eastAsia="Times New Roman" w:cs="Calibri"/>
                <w:color w:val="000000"/>
                <w:sz w:val="20"/>
                <w:szCs w:val="20"/>
                <w:lang w:eastAsia="en-GB"/>
              </w:rPr>
              <w:t xml:space="preserve"> </w:t>
            </w:r>
            <w:r w:rsidRPr="005E2ED3">
              <w:rPr>
                <w:rFonts w:eastAsia="Times New Roman" w:cs="Calibri"/>
                <w:color w:val="000000"/>
                <w:sz w:val="20"/>
                <w:szCs w:val="20"/>
                <w:lang w:eastAsia="en-GB"/>
              </w:rPr>
              <w:t xml:space="preserve">which indicate misalignment. </w:t>
            </w:r>
          </w:p>
          <w:p w14:paraId="1C10E90B"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The FFCG leads initiatives to ensure coordination. AMRCC and OH meetings generally include relevant stakeholders. </w:t>
            </w:r>
          </w:p>
          <w:p w14:paraId="4FC8F94D"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Internal coordination mechanisms exist, but FFCG, FFS and RGs exist mostly as standalone programmes. </w:t>
            </w:r>
          </w:p>
          <w:p w14:paraId="6C10E28D" w14:textId="77777777" w:rsidR="00651C0B" w:rsidRPr="005E2ED3" w:rsidRDefault="00651C0B" w:rsidP="00BD1EB9">
            <w:pPr>
              <w:textAlignment w:val="baseline"/>
              <w:rPr>
                <w:rFonts w:ascii="Segoe UI" w:eastAsia="Times New Roman" w:hAnsi="Segoe UI" w:cs="Segoe UI"/>
                <w:color w:val="000000"/>
                <w:sz w:val="18"/>
                <w:szCs w:val="18"/>
                <w:lang w:eastAsia="en-GB"/>
              </w:rPr>
            </w:pPr>
            <w:r w:rsidRPr="005E2ED3">
              <w:rPr>
                <w:rFonts w:eastAsia="Times New Roman" w:cs="Calibri"/>
                <w:color w:val="000000"/>
                <w:sz w:val="20"/>
                <w:szCs w:val="20"/>
                <w:lang w:eastAsia="en-GB"/>
              </w:rPr>
              <w:t>Overall, risk of duplication is low. </w:t>
            </w:r>
          </w:p>
        </w:tc>
      </w:tr>
      <w:tr w:rsidR="00651C0B" w:rsidRPr="005E2ED3" w14:paraId="1A08CBE9" w14:textId="77777777" w:rsidTr="00651C0B">
        <w:trPr>
          <w:trHeight w:val="617"/>
        </w:trPr>
        <w:tc>
          <w:tcPr>
            <w:tcW w:w="1257" w:type="dxa"/>
            <w:tcBorders>
              <w:top w:val="nil"/>
              <w:left w:val="single" w:sz="6" w:space="0" w:color="auto"/>
              <w:bottom w:val="single" w:sz="6" w:space="0" w:color="auto"/>
              <w:right w:val="single" w:sz="6" w:space="0" w:color="auto"/>
            </w:tcBorders>
            <w:shd w:val="clear" w:color="auto" w:fill="auto"/>
            <w:hideMark/>
          </w:tcPr>
          <w:p w14:paraId="72121DF8"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563C1"/>
                <w:sz w:val="20"/>
                <w:szCs w:val="20"/>
                <w:u w:val="single"/>
                <w:lang w:val="en-US" w:eastAsia="en-GB"/>
              </w:rPr>
              <w:t>Vietnam</w:t>
            </w:r>
            <w:r w:rsidRPr="005E2ED3">
              <w:rPr>
                <w:rFonts w:eastAsia="Times New Roman" w:cs="Calibri"/>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00B050"/>
            <w:hideMark/>
          </w:tcPr>
          <w:p w14:paraId="3C14B206" w14:textId="77777777" w:rsidR="00651C0B" w:rsidRPr="005E2ED3" w:rsidRDefault="00651C0B" w:rsidP="00BD1EB9">
            <w:pPr>
              <w:textAlignment w:val="baseline"/>
              <w:rPr>
                <w:rFonts w:ascii="Segoe UI" w:eastAsia="Times New Roman" w:hAnsi="Segoe UI" w:cs="Segoe UI"/>
                <w:sz w:val="18"/>
                <w:szCs w:val="18"/>
                <w:lang w:eastAsia="en-GB"/>
              </w:rPr>
            </w:pPr>
            <w:r>
              <w:rPr>
                <w:rFonts w:eastAsia="Times New Roman" w:cs="Calibri"/>
                <w:color w:val="000000"/>
                <w:sz w:val="20"/>
                <w:szCs w:val="20"/>
                <w:lang w:val="en-CA" w:eastAsia="en-GB"/>
              </w:rPr>
              <w:t>Strong a</w:t>
            </w:r>
            <w:r w:rsidRPr="005E2ED3">
              <w:rPr>
                <w:rFonts w:eastAsia="Times New Roman" w:cs="Calibri"/>
                <w:color w:val="000000"/>
                <w:sz w:val="20"/>
                <w:szCs w:val="20"/>
                <w:lang w:val="en-CA" w:eastAsia="en-GB"/>
              </w:rPr>
              <w:t>lignment of FF with the surveillance pillar of the NAP and related government priorities</w:t>
            </w:r>
            <w:r>
              <w:rPr>
                <w:rFonts w:eastAsia="Times New Roman" w:cs="Calibri"/>
                <w:color w:val="000000"/>
                <w:sz w:val="20"/>
                <w:szCs w:val="20"/>
                <w:lang w:val="en-CA" w:eastAsia="en-GB"/>
              </w:rPr>
              <w:t xml:space="preserve"> </w:t>
            </w:r>
            <w:r w:rsidRPr="005E2ED3">
              <w:rPr>
                <w:rFonts w:eastAsia="Times New Roman" w:cs="Calibri"/>
                <w:color w:val="000000"/>
                <w:sz w:val="20"/>
                <w:szCs w:val="20"/>
                <w:lang w:val="en-CA" w:eastAsia="en-GB"/>
              </w:rPr>
              <w:t xml:space="preserve">thanks to </w:t>
            </w:r>
            <w:r>
              <w:rPr>
                <w:rFonts w:eastAsia="Times New Roman" w:cs="Calibri"/>
                <w:color w:val="000000"/>
                <w:sz w:val="20"/>
                <w:szCs w:val="20"/>
                <w:lang w:val="en-CA" w:eastAsia="en-GB"/>
              </w:rPr>
              <w:t xml:space="preserve">FF </w:t>
            </w:r>
            <w:r w:rsidRPr="005E2ED3">
              <w:rPr>
                <w:rFonts w:eastAsia="Times New Roman" w:cs="Calibri"/>
                <w:color w:val="000000"/>
                <w:sz w:val="20"/>
                <w:szCs w:val="20"/>
                <w:lang w:val="en-CA" w:eastAsia="en-GB"/>
              </w:rPr>
              <w:t xml:space="preserve">scoping activities </w:t>
            </w:r>
            <w:r>
              <w:rPr>
                <w:rFonts w:eastAsia="Times New Roman" w:cs="Calibri"/>
                <w:color w:val="000000"/>
                <w:sz w:val="20"/>
                <w:szCs w:val="20"/>
                <w:lang w:val="en-CA" w:eastAsia="en-GB"/>
              </w:rPr>
              <w:t xml:space="preserve">and </w:t>
            </w:r>
            <w:r w:rsidRPr="005E2ED3">
              <w:rPr>
                <w:rFonts w:eastAsia="Times New Roman" w:cs="Calibri"/>
                <w:color w:val="000000"/>
                <w:sz w:val="20"/>
                <w:szCs w:val="20"/>
                <w:lang w:val="en-CA" w:eastAsia="en-GB"/>
              </w:rPr>
              <w:t>CG working closely with government counterparts during implementation. Now supporting the development of the National AMR Strategy.</w:t>
            </w:r>
            <w:r>
              <w:rPr>
                <w:rFonts w:eastAsia="Times New Roman" w:cs="Calibri"/>
                <w:color w:val="000000"/>
                <w:sz w:val="20"/>
                <w:szCs w:val="20"/>
                <w:lang w:val="en-CA" w:eastAsia="en-GB"/>
              </w:rPr>
              <w:t xml:space="preserve"> </w:t>
            </w:r>
            <w:r w:rsidRPr="005E2ED3">
              <w:rPr>
                <w:rFonts w:eastAsia="Times New Roman" w:cs="Calibri"/>
                <w:color w:val="000000"/>
                <w:sz w:val="20"/>
                <w:szCs w:val="20"/>
                <w:lang w:val="en-CA" w:eastAsia="en-GB"/>
              </w:rPr>
              <w:t>No duplication.</w:t>
            </w:r>
            <w:r w:rsidRPr="005E2ED3">
              <w:rPr>
                <w:rFonts w:eastAsia="Times New Roman" w:cs="Calibri"/>
                <w:color w:val="000000"/>
                <w:sz w:val="20"/>
                <w:szCs w:val="20"/>
                <w:lang w:eastAsia="en-GB"/>
              </w:rPr>
              <w:t> </w:t>
            </w:r>
          </w:p>
        </w:tc>
        <w:tc>
          <w:tcPr>
            <w:tcW w:w="3452" w:type="dxa"/>
            <w:tcBorders>
              <w:top w:val="nil"/>
              <w:left w:val="single" w:sz="6" w:space="0" w:color="auto"/>
              <w:bottom w:val="single" w:sz="6" w:space="0" w:color="auto"/>
              <w:right w:val="single" w:sz="6" w:space="0" w:color="auto"/>
            </w:tcBorders>
            <w:shd w:val="clear" w:color="auto" w:fill="FFC000"/>
            <w:hideMark/>
          </w:tcPr>
          <w:p w14:paraId="00FE5EA2" w14:textId="116C07D4"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val="en-CA" w:eastAsia="en-GB"/>
              </w:rPr>
              <w:t xml:space="preserve">Some joint training between CAPTURA </w:t>
            </w:r>
            <w:r w:rsidR="009C4A68">
              <w:rPr>
                <w:rFonts w:eastAsia="Times New Roman" w:cs="Calibri"/>
                <w:color w:val="000000"/>
                <w:sz w:val="20"/>
                <w:szCs w:val="20"/>
                <w:lang w:val="en-CA" w:eastAsia="en-GB"/>
              </w:rPr>
              <w:t>and the</w:t>
            </w:r>
            <w:r w:rsidR="009C4A68" w:rsidRPr="005E2ED3">
              <w:rPr>
                <w:rFonts w:eastAsia="Times New Roman" w:cs="Calibri"/>
                <w:color w:val="000000"/>
                <w:sz w:val="20"/>
                <w:szCs w:val="20"/>
                <w:lang w:val="en-CA" w:eastAsia="en-GB"/>
              </w:rPr>
              <w:t xml:space="preserve"> </w:t>
            </w:r>
            <w:r w:rsidRPr="005E2ED3">
              <w:rPr>
                <w:rFonts w:eastAsia="Times New Roman" w:cs="Calibri"/>
                <w:color w:val="000000"/>
                <w:sz w:val="20"/>
                <w:szCs w:val="20"/>
                <w:lang w:val="en-CA" w:eastAsia="en-GB"/>
              </w:rPr>
              <w:t>CG. CCMs seem like a good mechanism</w:t>
            </w:r>
            <w:r>
              <w:rPr>
                <w:rFonts w:eastAsia="Times New Roman" w:cs="Calibri"/>
                <w:color w:val="000000"/>
                <w:sz w:val="20"/>
                <w:szCs w:val="20"/>
                <w:lang w:val="en-CA" w:eastAsia="en-GB"/>
              </w:rPr>
              <w:t xml:space="preserve">: </w:t>
            </w:r>
            <w:r w:rsidRPr="005E2ED3">
              <w:rPr>
                <w:rFonts w:eastAsia="Times New Roman" w:cs="Calibri"/>
                <w:color w:val="000000"/>
                <w:sz w:val="20"/>
                <w:szCs w:val="20"/>
                <w:lang w:val="en-CA" w:eastAsia="en-GB"/>
              </w:rPr>
              <w:t>HI (</w:t>
            </w:r>
            <w:r w:rsidR="009C4A68" w:rsidRPr="005E2ED3">
              <w:rPr>
                <w:rFonts w:eastAsia="Times New Roman" w:cs="Calibri"/>
                <w:color w:val="000000"/>
                <w:sz w:val="20"/>
                <w:szCs w:val="20"/>
                <w:lang w:val="en-CA" w:eastAsia="en-GB"/>
              </w:rPr>
              <w:t>Erasmus</w:t>
            </w:r>
            <w:r w:rsidRPr="005E2ED3">
              <w:rPr>
                <w:rFonts w:eastAsia="Times New Roman" w:cs="Calibri"/>
                <w:color w:val="000000"/>
                <w:sz w:val="20"/>
                <w:szCs w:val="20"/>
                <w:lang w:val="en-CA" w:eastAsia="en-GB"/>
              </w:rPr>
              <w:t xml:space="preserve">) and RG (CAPTURA, </w:t>
            </w:r>
            <w:r w:rsidR="009C4A68">
              <w:rPr>
                <w:rFonts w:eastAsia="Times New Roman" w:cs="Calibri"/>
                <w:color w:val="000000"/>
                <w:sz w:val="20"/>
                <w:szCs w:val="20"/>
                <w:lang w:val="en-CA" w:eastAsia="en-GB"/>
              </w:rPr>
              <w:t xml:space="preserve">and </w:t>
            </w:r>
            <w:r w:rsidRPr="005E2ED3">
              <w:rPr>
                <w:rFonts w:eastAsia="Times New Roman" w:cs="Calibri"/>
                <w:color w:val="000000"/>
                <w:sz w:val="20"/>
                <w:szCs w:val="20"/>
                <w:lang w:val="en-CA" w:eastAsia="en-GB"/>
              </w:rPr>
              <w:t>RADAAR) join in. There</w:t>
            </w:r>
            <w:r w:rsidR="009C4A68">
              <w:rPr>
                <w:rFonts w:eastAsia="Times New Roman" w:cs="Calibri"/>
                <w:color w:val="000000"/>
                <w:sz w:val="20"/>
                <w:szCs w:val="20"/>
                <w:lang w:val="en-CA" w:eastAsia="en-GB"/>
              </w:rPr>
              <w:t xml:space="preserve"> i</w:t>
            </w:r>
            <w:r w:rsidR="009C4A68" w:rsidRPr="005E2ED3">
              <w:rPr>
                <w:rFonts w:eastAsia="Times New Roman" w:cs="Calibri"/>
                <w:color w:val="000000"/>
                <w:sz w:val="20"/>
                <w:szCs w:val="20"/>
                <w:lang w:val="en-CA" w:eastAsia="en-GB"/>
              </w:rPr>
              <w:t xml:space="preserve">s </w:t>
            </w:r>
            <w:r w:rsidRPr="005E2ED3">
              <w:rPr>
                <w:rFonts w:eastAsia="Times New Roman" w:cs="Calibri"/>
                <w:color w:val="000000"/>
                <w:sz w:val="20"/>
                <w:szCs w:val="20"/>
                <w:lang w:val="en-CA" w:eastAsia="en-GB"/>
              </w:rPr>
              <w:t>also a Google sheet tracker for F</w:t>
            </w:r>
            <w:r w:rsidR="009C4A68">
              <w:rPr>
                <w:rFonts w:eastAsia="Times New Roman" w:cs="Calibri"/>
                <w:color w:val="000000"/>
                <w:sz w:val="20"/>
                <w:szCs w:val="20"/>
                <w:lang w:val="en-CA" w:eastAsia="en-GB"/>
              </w:rPr>
              <w:t xml:space="preserve">leming </w:t>
            </w:r>
            <w:r w:rsidRPr="005E2ED3">
              <w:rPr>
                <w:rFonts w:eastAsia="Times New Roman" w:cs="Calibri"/>
                <w:color w:val="000000"/>
                <w:sz w:val="20"/>
                <w:szCs w:val="20"/>
                <w:lang w:val="en-CA" w:eastAsia="en-GB"/>
              </w:rPr>
              <w:t>F</w:t>
            </w:r>
            <w:r w:rsidR="009C4A68">
              <w:rPr>
                <w:rFonts w:eastAsia="Times New Roman" w:cs="Calibri"/>
                <w:color w:val="000000"/>
                <w:sz w:val="20"/>
                <w:szCs w:val="20"/>
                <w:lang w:val="en-CA" w:eastAsia="en-GB"/>
              </w:rPr>
              <w:t>und</w:t>
            </w:r>
            <w:r w:rsidRPr="005E2ED3">
              <w:rPr>
                <w:rFonts w:eastAsia="Times New Roman" w:cs="Calibri"/>
                <w:color w:val="000000"/>
                <w:sz w:val="20"/>
                <w:szCs w:val="20"/>
                <w:lang w:val="en-CA" w:eastAsia="en-GB"/>
              </w:rPr>
              <w:t xml:space="preserve"> partners (both national and regional) to see who is doing what, with which hospitals/areas, etc. </w:t>
            </w:r>
            <w:r w:rsidR="009C4A68">
              <w:rPr>
                <w:rFonts w:eastAsia="Times New Roman" w:cs="Calibri"/>
                <w:color w:val="000000"/>
                <w:sz w:val="20"/>
                <w:szCs w:val="20"/>
                <w:lang w:val="en-CA" w:eastAsia="en-GB"/>
              </w:rPr>
              <w:t xml:space="preserve">The </w:t>
            </w:r>
            <w:r w:rsidRPr="005E2ED3">
              <w:rPr>
                <w:rFonts w:eastAsia="Times New Roman" w:cs="Calibri"/>
                <w:color w:val="000000"/>
                <w:sz w:val="20"/>
                <w:szCs w:val="20"/>
                <w:lang w:val="en-CA" w:eastAsia="en-GB"/>
              </w:rPr>
              <w:t xml:space="preserve">Fellows </w:t>
            </w:r>
            <w:r w:rsidR="009C4A68">
              <w:rPr>
                <w:rFonts w:eastAsia="Times New Roman" w:cs="Calibri"/>
                <w:color w:val="000000"/>
                <w:sz w:val="20"/>
                <w:szCs w:val="20"/>
                <w:lang w:val="en-CA" w:eastAsia="en-GB"/>
              </w:rPr>
              <w:t xml:space="preserve">are </w:t>
            </w:r>
            <w:r w:rsidRPr="005E2ED3">
              <w:rPr>
                <w:rFonts w:eastAsia="Times New Roman" w:cs="Calibri"/>
                <w:color w:val="000000"/>
                <w:sz w:val="20"/>
                <w:szCs w:val="20"/>
                <w:lang w:val="en-CA" w:eastAsia="en-GB"/>
              </w:rPr>
              <w:t>not really active.</w:t>
            </w:r>
            <w:r w:rsidRPr="005E2ED3">
              <w:rPr>
                <w:rFonts w:eastAsia="Times New Roman" w:cs="Calibri"/>
                <w:sz w:val="20"/>
                <w:szCs w:val="20"/>
                <w:lang w:eastAsia="en-GB"/>
              </w:rPr>
              <w:t> </w:t>
            </w:r>
          </w:p>
        </w:tc>
        <w:tc>
          <w:tcPr>
            <w:tcW w:w="3172" w:type="dxa"/>
            <w:tcBorders>
              <w:top w:val="nil"/>
              <w:left w:val="single" w:sz="6" w:space="0" w:color="auto"/>
              <w:bottom w:val="single" w:sz="6" w:space="0" w:color="auto"/>
              <w:right w:val="single" w:sz="6" w:space="0" w:color="auto"/>
            </w:tcBorders>
            <w:shd w:val="clear" w:color="auto" w:fill="00B050"/>
            <w:hideMark/>
          </w:tcPr>
          <w:p w14:paraId="39812726" w14:textId="1706A120"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lang w:val="en-CA" w:eastAsia="en-GB"/>
              </w:rPr>
              <w:t>Strong external coherence</w:t>
            </w:r>
            <w:r>
              <w:rPr>
                <w:rFonts w:eastAsia="Times New Roman" w:cs="Calibri"/>
                <w:color w:val="000000"/>
                <w:sz w:val="20"/>
                <w:szCs w:val="20"/>
                <w:lang w:val="en-CA" w:eastAsia="en-GB"/>
              </w:rPr>
              <w:t xml:space="preserve"> due to </w:t>
            </w:r>
            <w:r w:rsidR="00DA5362">
              <w:rPr>
                <w:rFonts w:eastAsia="Times New Roman" w:cs="Calibri"/>
                <w:color w:val="000000"/>
                <w:sz w:val="20"/>
                <w:szCs w:val="20"/>
                <w:lang w:val="en-CA" w:eastAsia="en-GB"/>
              </w:rPr>
              <w:t xml:space="preserve">the fact that the </w:t>
            </w:r>
            <w:r w:rsidRPr="005E2ED3">
              <w:rPr>
                <w:rFonts w:eastAsia="Times New Roman" w:cs="Calibri"/>
                <w:color w:val="000000"/>
                <w:sz w:val="20"/>
                <w:szCs w:val="20"/>
                <w:lang w:val="en-CA" w:eastAsia="en-GB"/>
              </w:rPr>
              <w:t xml:space="preserve">same partners (PATH, OUCRU, FAO, WHO.) </w:t>
            </w:r>
            <w:r w:rsidR="00730642">
              <w:rPr>
                <w:rFonts w:eastAsia="Times New Roman" w:cs="Calibri"/>
                <w:color w:val="000000"/>
                <w:sz w:val="20"/>
                <w:szCs w:val="20"/>
                <w:lang w:val="en-CA" w:eastAsia="en-GB"/>
              </w:rPr>
              <w:t>receive</w:t>
            </w:r>
            <w:r w:rsidR="00730642" w:rsidRPr="005E2ED3">
              <w:rPr>
                <w:rFonts w:eastAsia="Times New Roman" w:cs="Calibri"/>
                <w:color w:val="000000"/>
                <w:sz w:val="20"/>
                <w:szCs w:val="20"/>
                <w:lang w:val="en-CA" w:eastAsia="en-GB"/>
              </w:rPr>
              <w:t xml:space="preserve"> </w:t>
            </w:r>
            <w:r w:rsidRPr="005E2ED3">
              <w:rPr>
                <w:rFonts w:eastAsia="Times New Roman" w:cs="Calibri"/>
                <w:color w:val="000000"/>
                <w:sz w:val="20"/>
                <w:szCs w:val="20"/>
                <w:lang w:val="en-CA" w:eastAsia="en-GB"/>
              </w:rPr>
              <w:t>funds from multiple donors and Coordination Working Group meetings bring DPs together to update each other AMR work/research and find potential collaboration opportunities.</w:t>
            </w:r>
            <w:r>
              <w:rPr>
                <w:rFonts w:eastAsia="Times New Roman" w:cs="Calibri"/>
                <w:color w:val="000000"/>
                <w:sz w:val="20"/>
                <w:szCs w:val="20"/>
                <w:lang w:val="en-CA" w:eastAsia="en-GB"/>
              </w:rPr>
              <w:t xml:space="preserve"> </w:t>
            </w:r>
            <w:r w:rsidR="00730642">
              <w:rPr>
                <w:rFonts w:eastAsia="Times New Roman" w:cs="Calibri"/>
                <w:color w:val="000000"/>
                <w:sz w:val="20"/>
                <w:szCs w:val="20"/>
                <w:lang w:val="en-CA" w:eastAsia="en-GB"/>
              </w:rPr>
              <w:t>The r</w:t>
            </w:r>
            <w:r w:rsidRPr="005E2ED3">
              <w:rPr>
                <w:rFonts w:eastAsia="Times New Roman" w:cs="Calibri"/>
                <w:color w:val="000000"/>
                <w:sz w:val="20"/>
                <w:szCs w:val="20"/>
                <w:lang w:val="en-CA" w:eastAsia="en-GB"/>
              </w:rPr>
              <w:t>isk of overlap is low.</w:t>
            </w:r>
          </w:p>
        </w:tc>
        <w:tc>
          <w:tcPr>
            <w:tcW w:w="3465" w:type="dxa"/>
            <w:tcBorders>
              <w:top w:val="nil"/>
              <w:left w:val="single" w:sz="6" w:space="0" w:color="auto"/>
              <w:bottom w:val="single" w:sz="6" w:space="0" w:color="auto"/>
              <w:right w:val="single" w:sz="6" w:space="0" w:color="auto"/>
            </w:tcBorders>
            <w:shd w:val="clear" w:color="auto" w:fill="00B050"/>
            <w:hideMark/>
          </w:tcPr>
          <w:p w14:paraId="2AC79C6C" w14:textId="2051AEE3"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eastAsia="en-GB"/>
              </w:rPr>
              <w:t xml:space="preserve">The CG interventions were designed to fill gaps in the </w:t>
            </w:r>
            <w:r w:rsidR="00730642" w:rsidRPr="005E2ED3">
              <w:rPr>
                <w:rFonts w:eastAsia="Times New Roman" w:cs="Calibri"/>
                <w:sz w:val="20"/>
                <w:szCs w:val="20"/>
                <w:lang w:eastAsia="en-GB"/>
              </w:rPr>
              <w:t>NAP;</w:t>
            </w:r>
            <w:r w:rsidRPr="005E2ED3">
              <w:rPr>
                <w:rFonts w:eastAsia="Times New Roman" w:cs="Calibri"/>
                <w:sz w:val="20"/>
                <w:szCs w:val="20"/>
                <w:lang w:eastAsia="en-GB"/>
              </w:rPr>
              <w:t xml:space="preserve"> hence alignment has been built in from inception. </w:t>
            </w:r>
            <w:r>
              <w:rPr>
                <w:rFonts w:eastAsia="Times New Roman" w:cs="Calibri"/>
                <w:sz w:val="20"/>
                <w:szCs w:val="20"/>
                <w:lang w:eastAsia="en-GB"/>
              </w:rPr>
              <w:t xml:space="preserve">Internal coherence </w:t>
            </w:r>
            <w:r w:rsidR="00730642">
              <w:rPr>
                <w:rFonts w:eastAsia="Times New Roman" w:cs="Calibri"/>
                <w:sz w:val="20"/>
                <w:szCs w:val="20"/>
                <w:lang w:eastAsia="en-GB"/>
              </w:rPr>
              <w:t xml:space="preserve">is </w:t>
            </w:r>
            <w:r>
              <w:rPr>
                <w:rFonts w:eastAsia="Times New Roman" w:cs="Calibri"/>
                <w:sz w:val="20"/>
                <w:szCs w:val="20"/>
                <w:lang w:eastAsia="en-GB"/>
              </w:rPr>
              <w:t>supported by CCM</w:t>
            </w:r>
            <w:r w:rsidR="00730642">
              <w:rPr>
                <w:rFonts w:eastAsia="Times New Roman" w:cs="Calibri"/>
                <w:sz w:val="20"/>
                <w:szCs w:val="20"/>
                <w:lang w:eastAsia="en-GB"/>
              </w:rPr>
              <w:t>s</w:t>
            </w:r>
            <w:r>
              <w:rPr>
                <w:rFonts w:eastAsia="Times New Roman" w:cs="Calibri"/>
                <w:sz w:val="20"/>
                <w:szCs w:val="20"/>
                <w:lang w:eastAsia="en-GB"/>
              </w:rPr>
              <w:t xml:space="preserve"> and </w:t>
            </w:r>
            <w:r w:rsidR="00730642">
              <w:rPr>
                <w:rFonts w:eastAsia="Times New Roman" w:cs="Calibri"/>
                <w:sz w:val="20"/>
                <w:szCs w:val="20"/>
                <w:lang w:eastAsia="en-GB"/>
              </w:rPr>
              <w:t xml:space="preserve">there is </w:t>
            </w:r>
            <w:r>
              <w:rPr>
                <w:rFonts w:eastAsia="Times New Roman" w:cs="Calibri"/>
                <w:sz w:val="20"/>
                <w:szCs w:val="20"/>
                <w:lang w:eastAsia="en-GB"/>
              </w:rPr>
              <w:t>proactive coordination between CG</w:t>
            </w:r>
            <w:r w:rsidR="00730642">
              <w:rPr>
                <w:rFonts w:eastAsia="Times New Roman" w:cs="Calibri"/>
                <w:sz w:val="20"/>
                <w:szCs w:val="20"/>
                <w:lang w:eastAsia="en-GB"/>
              </w:rPr>
              <w:t>s</w:t>
            </w:r>
            <w:r>
              <w:rPr>
                <w:rFonts w:eastAsia="Times New Roman" w:cs="Calibri"/>
                <w:sz w:val="20"/>
                <w:szCs w:val="20"/>
                <w:lang w:eastAsia="en-GB"/>
              </w:rPr>
              <w:t xml:space="preserve"> and RGs. </w:t>
            </w:r>
            <w:r w:rsidR="00730642">
              <w:rPr>
                <w:rFonts w:eastAsia="Times New Roman" w:cs="Calibri"/>
                <w:sz w:val="20"/>
                <w:szCs w:val="20"/>
                <w:lang w:eastAsia="en-GB"/>
              </w:rPr>
              <w:t>The pre</w:t>
            </w:r>
            <w:r>
              <w:rPr>
                <w:rFonts w:eastAsia="Times New Roman" w:cs="Calibri"/>
                <w:sz w:val="20"/>
                <w:szCs w:val="20"/>
                <w:lang w:eastAsia="en-GB"/>
              </w:rPr>
              <w:t>-existing network of donors supports effective external coherence.</w:t>
            </w:r>
          </w:p>
          <w:p w14:paraId="46C8A257" w14:textId="77777777" w:rsidR="00651C0B" w:rsidRPr="005E2ED3" w:rsidRDefault="00651C0B" w:rsidP="00BD1EB9">
            <w:pPr>
              <w:textAlignment w:val="baseline"/>
              <w:rPr>
                <w:rFonts w:ascii="Segoe UI" w:eastAsia="Times New Roman" w:hAnsi="Segoe UI" w:cs="Segoe UI"/>
                <w:sz w:val="18"/>
                <w:szCs w:val="18"/>
                <w:lang w:eastAsia="en-GB"/>
              </w:rPr>
            </w:pPr>
          </w:p>
        </w:tc>
      </w:tr>
      <w:tr w:rsidR="00651C0B" w:rsidRPr="005E2ED3" w14:paraId="443B941F" w14:textId="77777777" w:rsidTr="00651C0B">
        <w:trPr>
          <w:trHeight w:val="2363"/>
        </w:trPr>
        <w:tc>
          <w:tcPr>
            <w:tcW w:w="1257" w:type="dxa"/>
            <w:tcBorders>
              <w:top w:val="nil"/>
              <w:left w:val="single" w:sz="6" w:space="0" w:color="auto"/>
              <w:bottom w:val="single" w:sz="6" w:space="0" w:color="auto"/>
              <w:right w:val="single" w:sz="6" w:space="0" w:color="auto"/>
            </w:tcBorders>
            <w:shd w:val="clear" w:color="auto" w:fill="auto"/>
            <w:hideMark/>
          </w:tcPr>
          <w:p w14:paraId="5E835720" w14:textId="77777777"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color w:val="000000"/>
                <w:sz w:val="20"/>
                <w:szCs w:val="20"/>
                <w:u w:val="single"/>
                <w:shd w:val="clear" w:color="auto" w:fill="E1E3E6"/>
                <w:lang w:eastAsia="en-GB"/>
              </w:rPr>
              <w:t>Zambia</w:t>
            </w:r>
            <w:r w:rsidRPr="005E2ED3">
              <w:rPr>
                <w:rFonts w:eastAsia="Times New Roman" w:cs="Calibri"/>
                <w:color w:val="000000"/>
                <w:sz w:val="20"/>
                <w:szCs w:val="20"/>
                <w:lang w:eastAsia="en-GB"/>
              </w:rPr>
              <w:t> </w:t>
            </w:r>
          </w:p>
        </w:tc>
        <w:tc>
          <w:tcPr>
            <w:tcW w:w="3316" w:type="dxa"/>
            <w:tcBorders>
              <w:top w:val="nil"/>
              <w:left w:val="single" w:sz="6" w:space="0" w:color="auto"/>
              <w:bottom w:val="single" w:sz="6" w:space="0" w:color="auto"/>
              <w:right w:val="single" w:sz="6" w:space="0" w:color="auto"/>
            </w:tcBorders>
            <w:shd w:val="clear" w:color="auto" w:fill="00B050"/>
            <w:hideMark/>
          </w:tcPr>
          <w:p w14:paraId="6FB24A47" w14:textId="7D21A349" w:rsidR="00651C0B" w:rsidRPr="005E2ED3" w:rsidRDefault="00651C0B" w:rsidP="00BD1EB9">
            <w:pPr>
              <w:textAlignment w:val="baseline"/>
              <w:rPr>
                <w:rFonts w:ascii="Segoe UI" w:eastAsia="Times New Roman" w:hAnsi="Segoe UI" w:cs="Segoe UI"/>
                <w:sz w:val="18"/>
                <w:szCs w:val="18"/>
                <w:lang w:eastAsia="en-GB"/>
              </w:rPr>
            </w:pPr>
            <w:r w:rsidRPr="005E2ED3">
              <w:rPr>
                <w:rFonts w:eastAsia="Times New Roman" w:cs="Calibri"/>
                <w:sz w:val="20"/>
                <w:szCs w:val="20"/>
                <w:lang w:eastAsia="en-GB"/>
              </w:rPr>
              <w:t>F</w:t>
            </w:r>
            <w:r w:rsidR="00A73F43">
              <w:rPr>
                <w:rFonts w:eastAsia="Times New Roman" w:cs="Calibri"/>
                <w:sz w:val="20"/>
                <w:szCs w:val="20"/>
                <w:lang w:eastAsia="en-GB"/>
              </w:rPr>
              <w:t xml:space="preserve">leming </w:t>
            </w:r>
            <w:r w:rsidRPr="005E2ED3">
              <w:rPr>
                <w:rFonts w:eastAsia="Times New Roman" w:cs="Calibri"/>
                <w:sz w:val="20"/>
                <w:szCs w:val="20"/>
                <w:lang w:eastAsia="en-GB"/>
              </w:rPr>
              <w:t>F</w:t>
            </w:r>
            <w:r w:rsidR="00A73F43">
              <w:rPr>
                <w:rFonts w:eastAsia="Times New Roman" w:cs="Calibri"/>
                <w:sz w:val="20"/>
                <w:szCs w:val="20"/>
                <w:lang w:eastAsia="en-GB"/>
              </w:rPr>
              <w:t>und</w:t>
            </w:r>
            <w:r w:rsidRPr="005E2ED3">
              <w:rPr>
                <w:rFonts w:eastAsia="Times New Roman" w:cs="Calibri"/>
                <w:sz w:val="20"/>
                <w:szCs w:val="20"/>
                <w:lang w:eastAsia="en-GB"/>
              </w:rPr>
              <w:t xml:space="preserve"> investments </w:t>
            </w:r>
            <w:r w:rsidR="00A73F43">
              <w:rPr>
                <w:rFonts w:eastAsia="Times New Roman" w:cs="Calibri"/>
                <w:sz w:val="20"/>
                <w:szCs w:val="20"/>
                <w:lang w:eastAsia="en-GB"/>
              </w:rPr>
              <w:t xml:space="preserve">are </w:t>
            </w:r>
            <w:r w:rsidRPr="005E2ED3">
              <w:rPr>
                <w:rFonts w:eastAsia="Times New Roman" w:cs="Calibri"/>
                <w:sz w:val="20"/>
                <w:szCs w:val="20"/>
                <w:lang w:eastAsia="en-GB"/>
              </w:rPr>
              <w:t xml:space="preserve">mostly aligned with national priorities as per </w:t>
            </w:r>
            <w:r w:rsidR="00A73F43">
              <w:rPr>
                <w:rFonts w:eastAsia="Times New Roman" w:cs="Calibri"/>
                <w:sz w:val="20"/>
                <w:szCs w:val="20"/>
                <w:lang w:eastAsia="en-GB"/>
              </w:rPr>
              <w:t xml:space="preserve">the </w:t>
            </w:r>
            <w:r w:rsidRPr="005E2ED3">
              <w:rPr>
                <w:rFonts w:eastAsia="Times New Roman" w:cs="Calibri"/>
                <w:sz w:val="20"/>
                <w:szCs w:val="20"/>
                <w:lang w:eastAsia="en-GB"/>
              </w:rPr>
              <w:t>NAP. </w:t>
            </w:r>
          </w:p>
        </w:tc>
        <w:tc>
          <w:tcPr>
            <w:tcW w:w="3452" w:type="dxa"/>
            <w:tcBorders>
              <w:top w:val="nil"/>
              <w:left w:val="single" w:sz="6" w:space="0" w:color="auto"/>
              <w:bottom w:val="single" w:sz="6" w:space="0" w:color="auto"/>
              <w:right w:val="single" w:sz="6" w:space="0" w:color="auto"/>
            </w:tcBorders>
            <w:shd w:val="clear" w:color="auto" w:fill="00B050"/>
            <w:hideMark/>
          </w:tcPr>
          <w:p w14:paraId="25D875F6" w14:textId="78AF0B4F" w:rsidR="00651C0B" w:rsidRPr="005E2ED3" w:rsidRDefault="00A73F43" w:rsidP="00BD1EB9">
            <w:pPr>
              <w:textAlignment w:val="baseline"/>
              <w:rPr>
                <w:rFonts w:ascii="Segoe UI" w:eastAsia="Times New Roman" w:hAnsi="Segoe UI" w:cs="Segoe UI"/>
                <w:sz w:val="18"/>
                <w:szCs w:val="18"/>
                <w:lang w:eastAsia="en-GB"/>
              </w:rPr>
            </w:pPr>
            <w:r>
              <w:rPr>
                <w:rFonts w:eastAsia="Times New Roman" w:cs="Calibri"/>
                <w:sz w:val="20"/>
                <w:szCs w:val="20"/>
                <w:lang w:eastAsia="en-GB"/>
              </w:rPr>
              <w:t>They are m</w:t>
            </w:r>
            <w:r w:rsidR="00651C0B" w:rsidRPr="005E2ED3">
              <w:rPr>
                <w:rFonts w:eastAsia="Times New Roman" w:cs="Calibri"/>
                <w:sz w:val="20"/>
                <w:szCs w:val="20"/>
                <w:lang w:eastAsia="en-GB"/>
              </w:rPr>
              <w:t xml:space="preserve">ostly coherent but </w:t>
            </w:r>
            <w:r>
              <w:rPr>
                <w:rFonts w:eastAsia="Times New Roman" w:cs="Calibri"/>
                <w:sz w:val="20"/>
                <w:szCs w:val="20"/>
                <w:lang w:eastAsia="en-GB"/>
              </w:rPr>
              <w:t xml:space="preserve">there are </w:t>
            </w:r>
            <w:r w:rsidR="00651C0B" w:rsidRPr="005E2ED3">
              <w:rPr>
                <w:rFonts w:eastAsia="Times New Roman" w:cs="Calibri"/>
                <w:sz w:val="20"/>
                <w:szCs w:val="20"/>
                <w:lang w:eastAsia="en-GB"/>
              </w:rPr>
              <w:t xml:space="preserve">concerns on </w:t>
            </w:r>
            <w:r>
              <w:rPr>
                <w:rFonts w:eastAsia="Times New Roman" w:cs="Calibri"/>
                <w:sz w:val="20"/>
                <w:szCs w:val="20"/>
                <w:lang w:eastAsia="en-GB"/>
              </w:rPr>
              <w:t xml:space="preserve">the </w:t>
            </w:r>
            <w:r w:rsidR="00651C0B" w:rsidRPr="005E2ED3">
              <w:rPr>
                <w:rFonts w:eastAsia="Times New Roman" w:cs="Calibri"/>
                <w:sz w:val="20"/>
                <w:szCs w:val="20"/>
                <w:lang w:eastAsia="en-GB"/>
              </w:rPr>
              <w:t>transition between grants</w:t>
            </w:r>
            <w:r w:rsidR="00651C0B" w:rsidRPr="005E2ED3">
              <w:rPr>
                <w:rFonts w:eastAsia="Times New Roman" w:cs="Calibri"/>
                <w:color w:val="000000"/>
                <w:sz w:val="20"/>
                <w:szCs w:val="20"/>
                <w:lang w:eastAsia="en-GB"/>
              </w:rPr>
              <w:t xml:space="preserve">. </w:t>
            </w:r>
            <w:r w:rsidR="00651C0B">
              <w:rPr>
                <w:rFonts w:eastAsia="Times New Roman" w:cs="Calibri"/>
                <w:color w:val="000000"/>
                <w:sz w:val="20"/>
                <w:szCs w:val="20"/>
                <w:lang w:eastAsia="en-GB"/>
              </w:rPr>
              <w:t>CCM works well but mostly focused on info</w:t>
            </w:r>
            <w:r>
              <w:rPr>
                <w:rFonts w:eastAsia="Times New Roman" w:cs="Calibri"/>
                <w:color w:val="000000"/>
                <w:sz w:val="20"/>
                <w:szCs w:val="20"/>
                <w:lang w:eastAsia="en-GB"/>
              </w:rPr>
              <w:t>rmation</w:t>
            </w:r>
            <w:r w:rsidR="00651C0B">
              <w:rPr>
                <w:rFonts w:eastAsia="Times New Roman" w:cs="Calibri"/>
                <w:color w:val="000000"/>
                <w:sz w:val="20"/>
                <w:szCs w:val="20"/>
                <w:lang w:eastAsia="en-GB"/>
              </w:rPr>
              <w:t xml:space="preserve"> sharing. </w:t>
            </w:r>
            <w:r w:rsidR="00651C0B" w:rsidRPr="005E2ED3">
              <w:rPr>
                <w:rFonts w:eastAsia="Times New Roman" w:cs="Calibri"/>
                <w:color w:val="000000"/>
                <w:sz w:val="20"/>
                <w:szCs w:val="20"/>
                <w:lang w:eastAsia="en-GB"/>
              </w:rPr>
              <w:t xml:space="preserve">Policy Fellowships </w:t>
            </w:r>
            <w:r>
              <w:rPr>
                <w:rFonts w:eastAsia="Times New Roman" w:cs="Calibri"/>
                <w:color w:val="000000"/>
                <w:sz w:val="20"/>
                <w:szCs w:val="20"/>
                <w:lang w:eastAsia="en-GB"/>
              </w:rPr>
              <w:t xml:space="preserve">are </w:t>
            </w:r>
            <w:r w:rsidR="00651C0B" w:rsidRPr="005E2ED3">
              <w:rPr>
                <w:rFonts w:eastAsia="Times New Roman" w:cs="Calibri"/>
                <w:color w:val="000000"/>
                <w:sz w:val="20"/>
                <w:szCs w:val="20"/>
                <w:lang w:eastAsia="en-GB"/>
              </w:rPr>
              <w:t>not yet operationalised. </w:t>
            </w:r>
          </w:p>
          <w:p w14:paraId="7C32350E" w14:textId="77777777" w:rsidR="00651C0B" w:rsidRPr="005E2ED3" w:rsidRDefault="00651C0B" w:rsidP="00BD1EB9">
            <w:pPr>
              <w:textAlignment w:val="baseline"/>
              <w:rPr>
                <w:rFonts w:ascii="Segoe UI" w:eastAsia="Times New Roman" w:hAnsi="Segoe UI" w:cs="Segoe UI"/>
                <w:sz w:val="18"/>
                <w:szCs w:val="18"/>
                <w:lang w:eastAsia="en-GB"/>
              </w:rPr>
            </w:pPr>
          </w:p>
        </w:tc>
        <w:tc>
          <w:tcPr>
            <w:tcW w:w="3172" w:type="dxa"/>
            <w:tcBorders>
              <w:top w:val="nil"/>
              <w:left w:val="single" w:sz="6" w:space="0" w:color="auto"/>
              <w:bottom w:val="single" w:sz="6" w:space="0" w:color="auto"/>
              <w:right w:val="single" w:sz="6" w:space="0" w:color="auto"/>
            </w:tcBorders>
            <w:shd w:val="clear" w:color="auto" w:fill="00B050"/>
            <w:hideMark/>
          </w:tcPr>
          <w:p w14:paraId="2D2A605C" w14:textId="4A4EB6BD" w:rsidR="00651C0B" w:rsidRPr="005E2ED3" w:rsidRDefault="00A73F43" w:rsidP="00BD1EB9">
            <w:pPr>
              <w:textAlignment w:val="baseline"/>
              <w:rPr>
                <w:rFonts w:ascii="Segoe UI" w:eastAsia="Times New Roman" w:hAnsi="Segoe UI" w:cs="Segoe UI"/>
                <w:sz w:val="18"/>
                <w:szCs w:val="18"/>
                <w:lang w:eastAsia="en-GB"/>
              </w:rPr>
            </w:pPr>
            <w:r>
              <w:rPr>
                <w:rFonts w:eastAsia="Times New Roman" w:cs="Calibri"/>
                <w:sz w:val="20"/>
                <w:szCs w:val="20"/>
                <w:lang w:eastAsia="en-GB"/>
              </w:rPr>
              <w:t>With f</w:t>
            </w:r>
            <w:r w:rsidR="00651C0B" w:rsidRPr="005E2ED3">
              <w:rPr>
                <w:rFonts w:eastAsia="Times New Roman" w:cs="Calibri"/>
                <w:sz w:val="20"/>
                <w:szCs w:val="20"/>
                <w:lang w:eastAsia="en-GB"/>
              </w:rPr>
              <w:t>ew DPs in AMR space</w:t>
            </w:r>
            <w:r>
              <w:rPr>
                <w:rFonts w:eastAsia="Times New Roman" w:cs="Calibri"/>
                <w:sz w:val="20"/>
                <w:szCs w:val="20"/>
                <w:lang w:eastAsia="en-GB"/>
              </w:rPr>
              <w:t>,</w:t>
            </w:r>
            <w:r w:rsidR="00651C0B" w:rsidRPr="005E2ED3">
              <w:rPr>
                <w:rFonts w:eastAsia="Times New Roman" w:cs="Calibri"/>
                <w:sz w:val="20"/>
                <w:szCs w:val="20"/>
                <w:lang w:eastAsia="en-GB"/>
              </w:rPr>
              <w:t xml:space="preserve"> F</w:t>
            </w:r>
            <w:r>
              <w:rPr>
                <w:rFonts w:eastAsia="Times New Roman" w:cs="Calibri"/>
                <w:sz w:val="20"/>
                <w:szCs w:val="20"/>
                <w:lang w:eastAsia="en-GB"/>
              </w:rPr>
              <w:t xml:space="preserve">leming </w:t>
            </w:r>
            <w:r w:rsidR="00651C0B" w:rsidRPr="005E2ED3">
              <w:rPr>
                <w:rFonts w:eastAsia="Times New Roman" w:cs="Calibri"/>
                <w:sz w:val="20"/>
                <w:szCs w:val="20"/>
                <w:lang w:eastAsia="en-GB"/>
              </w:rPr>
              <w:t>F</w:t>
            </w:r>
            <w:r>
              <w:rPr>
                <w:rFonts w:eastAsia="Times New Roman" w:cs="Calibri"/>
                <w:sz w:val="20"/>
                <w:szCs w:val="20"/>
                <w:lang w:eastAsia="en-GB"/>
              </w:rPr>
              <w:t>und</w:t>
            </w:r>
            <w:r w:rsidR="00651C0B" w:rsidRPr="005E2ED3">
              <w:rPr>
                <w:rFonts w:eastAsia="Times New Roman" w:cs="Calibri"/>
                <w:sz w:val="20"/>
                <w:szCs w:val="20"/>
                <w:lang w:eastAsia="en-GB"/>
              </w:rPr>
              <w:t xml:space="preserve"> investments really aligned with </w:t>
            </w:r>
            <w:r>
              <w:rPr>
                <w:rFonts w:eastAsia="Times New Roman" w:cs="Calibri"/>
                <w:sz w:val="20"/>
                <w:szCs w:val="20"/>
                <w:lang w:eastAsia="en-GB"/>
              </w:rPr>
              <w:t xml:space="preserve">the </w:t>
            </w:r>
            <w:r w:rsidR="00651C0B" w:rsidRPr="005E2ED3">
              <w:rPr>
                <w:rFonts w:eastAsia="Times New Roman" w:cs="Calibri"/>
                <w:sz w:val="20"/>
                <w:szCs w:val="20"/>
                <w:lang w:eastAsia="en-GB"/>
              </w:rPr>
              <w:t>NAP</w:t>
            </w:r>
            <w:r w:rsidR="00651C0B">
              <w:rPr>
                <w:rFonts w:eastAsia="Times New Roman" w:cs="Calibri"/>
                <w:sz w:val="20"/>
                <w:szCs w:val="20"/>
                <w:lang w:eastAsia="en-GB"/>
              </w:rPr>
              <w:t xml:space="preserve">. </w:t>
            </w:r>
            <w:r>
              <w:rPr>
                <w:rFonts w:eastAsia="Times New Roman" w:cs="Calibri"/>
                <w:sz w:val="20"/>
                <w:szCs w:val="20"/>
                <w:lang w:eastAsia="en-GB"/>
              </w:rPr>
              <w:t xml:space="preserve">The </w:t>
            </w:r>
            <w:r w:rsidR="00651C0B" w:rsidRPr="005E2ED3">
              <w:rPr>
                <w:rFonts w:eastAsia="Times New Roman" w:cs="Calibri"/>
                <w:sz w:val="20"/>
                <w:szCs w:val="20"/>
                <w:lang w:eastAsia="en-GB"/>
              </w:rPr>
              <w:t xml:space="preserve">AMRCC structure </w:t>
            </w:r>
            <w:r>
              <w:rPr>
                <w:rFonts w:eastAsia="Times New Roman" w:cs="Calibri"/>
                <w:sz w:val="20"/>
                <w:szCs w:val="20"/>
                <w:lang w:eastAsia="en-GB"/>
              </w:rPr>
              <w:t xml:space="preserve">is </w:t>
            </w:r>
            <w:r w:rsidR="00651C0B" w:rsidRPr="005E2ED3">
              <w:rPr>
                <w:rFonts w:eastAsia="Times New Roman" w:cs="Calibri"/>
                <w:sz w:val="20"/>
                <w:szCs w:val="20"/>
                <w:lang w:eastAsia="en-GB"/>
              </w:rPr>
              <w:t xml:space="preserve">in </w:t>
            </w:r>
            <w:r w:rsidRPr="005E2ED3">
              <w:rPr>
                <w:rFonts w:eastAsia="Times New Roman" w:cs="Calibri"/>
                <w:sz w:val="20"/>
                <w:szCs w:val="20"/>
                <w:lang w:eastAsia="en-GB"/>
              </w:rPr>
              <w:t>place,</w:t>
            </w:r>
            <w:r w:rsidR="00651C0B" w:rsidRPr="005E2ED3">
              <w:rPr>
                <w:rFonts w:eastAsia="Times New Roman" w:cs="Calibri"/>
                <w:sz w:val="20"/>
                <w:szCs w:val="20"/>
                <w:lang w:eastAsia="en-GB"/>
              </w:rPr>
              <w:t xml:space="preserve"> but overall coordination requires strengthening to ensure information sharing happens </w:t>
            </w:r>
            <w:r>
              <w:rPr>
                <w:rFonts w:eastAsia="Times New Roman" w:cs="Calibri"/>
                <w:sz w:val="20"/>
                <w:szCs w:val="20"/>
                <w:lang w:eastAsia="en-GB"/>
              </w:rPr>
              <w:t>timeously.</w:t>
            </w:r>
            <w:r w:rsidR="00651C0B" w:rsidRPr="005E2ED3">
              <w:rPr>
                <w:rFonts w:eastAsia="Times New Roman" w:cs="Calibri"/>
                <w:sz w:val="20"/>
                <w:szCs w:val="20"/>
                <w:lang w:eastAsia="en-GB"/>
              </w:rPr>
              <w:t>  </w:t>
            </w:r>
          </w:p>
        </w:tc>
        <w:tc>
          <w:tcPr>
            <w:tcW w:w="3465" w:type="dxa"/>
            <w:tcBorders>
              <w:top w:val="nil"/>
              <w:left w:val="single" w:sz="6" w:space="0" w:color="auto"/>
              <w:bottom w:val="single" w:sz="6" w:space="0" w:color="auto"/>
              <w:right w:val="single" w:sz="6" w:space="0" w:color="auto"/>
            </w:tcBorders>
            <w:shd w:val="clear" w:color="auto" w:fill="00B050"/>
            <w:hideMark/>
          </w:tcPr>
          <w:p w14:paraId="4DBF7014" w14:textId="616A64F4" w:rsidR="00651C0B" w:rsidRPr="005E2ED3" w:rsidRDefault="00A73F43" w:rsidP="00BD1EB9">
            <w:pPr>
              <w:textAlignment w:val="baseline"/>
              <w:rPr>
                <w:rFonts w:ascii="Segoe UI" w:eastAsia="Times New Roman" w:hAnsi="Segoe UI" w:cs="Segoe UI"/>
                <w:sz w:val="18"/>
                <w:szCs w:val="18"/>
                <w:lang w:eastAsia="en-GB"/>
              </w:rPr>
            </w:pPr>
            <w:r>
              <w:rPr>
                <w:rFonts w:eastAsia="Times New Roman" w:cs="Calibri"/>
                <w:color w:val="000000"/>
                <w:sz w:val="20"/>
                <w:szCs w:val="20"/>
                <w:lang w:val="en-CA" w:eastAsia="en-GB"/>
              </w:rPr>
              <w:t>There are n</w:t>
            </w:r>
            <w:r w:rsidR="00651C0B">
              <w:rPr>
                <w:rFonts w:eastAsia="Times New Roman" w:cs="Calibri"/>
                <w:color w:val="000000"/>
                <w:sz w:val="20"/>
                <w:szCs w:val="20"/>
                <w:lang w:val="en-CA" w:eastAsia="en-GB"/>
              </w:rPr>
              <w:t xml:space="preserve">o major alignment or coherence concerns, which is a reflection of </w:t>
            </w:r>
            <w:r>
              <w:rPr>
                <w:rFonts w:eastAsia="Times New Roman" w:cs="Calibri"/>
                <w:color w:val="000000"/>
                <w:sz w:val="20"/>
                <w:szCs w:val="20"/>
                <w:lang w:val="en-CA" w:eastAsia="en-GB"/>
              </w:rPr>
              <w:t xml:space="preserve">good </w:t>
            </w:r>
            <w:r w:rsidR="00651C0B">
              <w:rPr>
                <w:rFonts w:eastAsia="Times New Roman" w:cs="Calibri"/>
                <w:color w:val="000000"/>
                <w:sz w:val="20"/>
                <w:szCs w:val="20"/>
                <w:lang w:val="en-CA" w:eastAsia="en-GB"/>
              </w:rPr>
              <w:t xml:space="preserve">design and implementation and </w:t>
            </w:r>
            <w:r>
              <w:rPr>
                <w:rFonts w:eastAsia="Times New Roman" w:cs="Calibri"/>
                <w:color w:val="000000"/>
                <w:sz w:val="20"/>
                <w:szCs w:val="20"/>
                <w:lang w:val="en-CA" w:eastAsia="en-GB"/>
              </w:rPr>
              <w:t xml:space="preserve">a </w:t>
            </w:r>
            <w:r w:rsidR="00651C0B">
              <w:rPr>
                <w:rFonts w:eastAsia="Times New Roman" w:cs="Calibri"/>
                <w:color w:val="000000"/>
                <w:sz w:val="20"/>
                <w:szCs w:val="20"/>
                <w:lang w:val="en-CA" w:eastAsia="en-GB"/>
              </w:rPr>
              <w:t xml:space="preserve">supportive context. </w:t>
            </w:r>
            <w:r>
              <w:rPr>
                <w:rFonts w:eastAsia="Times New Roman" w:cs="Calibri"/>
                <w:color w:val="000000"/>
                <w:sz w:val="20"/>
                <w:szCs w:val="20"/>
                <w:lang w:val="en-CA" w:eastAsia="en-GB"/>
              </w:rPr>
              <w:t>The m</w:t>
            </w:r>
            <w:r w:rsidR="00651C0B">
              <w:rPr>
                <w:rFonts w:eastAsia="Times New Roman" w:cs="Calibri"/>
                <w:color w:val="000000"/>
                <w:sz w:val="20"/>
                <w:szCs w:val="20"/>
                <w:lang w:val="en-CA" w:eastAsia="en-GB"/>
              </w:rPr>
              <w:t>ain priority is to strengthen</w:t>
            </w:r>
            <w:r>
              <w:rPr>
                <w:rFonts w:eastAsia="Times New Roman" w:cs="Calibri"/>
                <w:color w:val="000000"/>
                <w:sz w:val="20"/>
                <w:szCs w:val="20"/>
                <w:lang w:val="en-CA" w:eastAsia="en-GB"/>
              </w:rPr>
              <w:t xml:space="preserve"> the</w:t>
            </w:r>
            <w:r w:rsidR="00651C0B">
              <w:rPr>
                <w:rFonts w:eastAsia="Times New Roman" w:cs="Calibri"/>
                <w:color w:val="000000"/>
                <w:sz w:val="20"/>
                <w:szCs w:val="20"/>
                <w:lang w:val="en-CA" w:eastAsia="en-GB"/>
              </w:rPr>
              <w:t xml:space="preserve"> </w:t>
            </w:r>
            <w:r>
              <w:rPr>
                <w:rFonts w:eastAsia="Times New Roman" w:cs="Calibri"/>
                <w:color w:val="000000"/>
                <w:sz w:val="20"/>
                <w:szCs w:val="20"/>
                <w:lang w:val="en-CA" w:eastAsia="en-GB"/>
              </w:rPr>
              <w:t xml:space="preserve">AMRCC’s </w:t>
            </w:r>
            <w:r w:rsidR="00651C0B">
              <w:rPr>
                <w:rFonts w:eastAsia="Times New Roman" w:cs="Calibri"/>
                <w:color w:val="000000"/>
                <w:sz w:val="20"/>
                <w:szCs w:val="20"/>
                <w:lang w:val="en-CA" w:eastAsia="en-GB"/>
              </w:rPr>
              <w:t xml:space="preserve">coordinating role.  </w:t>
            </w:r>
          </w:p>
        </w:tc>
      </w:tr>
    </w:tbl>
    <w:p w14:paraId="3DF8E9E5" w14:textId="77777777" w:rsidR="00651C0B" w:rsidRDefault="00651C0B" w:rsidP="007F63EF">
      <w:pPr>
        <w:pStyle w:val="FFNormal"/>
      </w:pPr>
    </w:p>
    <w:p w14:paraId="299989F9" w14:textId="77777777" w:rsidR="00F32C36" w:rsidRDefault="00F32C36" w:rsidP="007F63EF">
      <w:pPr>
        <w:pStyle w:val="FFNormal"/>
      </w:pPr>
    </w:p>
    <w:p w14:paraId="2679083A" w14:textId="77777777" w:rsidR="00F32C36" w:rsidRDefault="00F32C36" w:rsidP="007F63EF">
      <w:pPr>
        <w:pStyle w:val="FFNormal"/>
      </w:pPr>
    </w:p>
    <w:p w14:paraId="490728A6" w14:textId="77777777" w:rsidR="00F32C36" w:rsidRDefault="00F32C36" w:rsidP="007F63EF">
      <w:pPr>
        <w:pStyle w:val="FFNormal"/>
        <w:sectPr w:rsidR="00F32C36" w:rsidSect="00FB553C">
          <w:pgSz w:w="16840" w:h="11900" w:orient="landscape"/>
          <w:pgMar w:top="1191" w:right="1134" w:bottom="1191" w:left="1134" w:header="720" w:footer="255" w:gutter="0"/>
          <w:cols w:space="720"/>
          <w:titlePg/>
          <w:docGrid w:linePitch="360"/>
        </w:sectPr>
      </w:pPr>
    </w:p>
    <w:p w14:paraId="67DADBE0" w14:textId="71EA1C00" w:rsidR="00F32C36" w:rsidRDefault="00F32C36" w:rsidP="00F32C36">
      <w:pPr>
        <w:pStyle w:val="ItadH1"/>
      </w:pPr>
      <w:bookmarkStart w:id="457" w:name="_Toc142383242"/>
      <w:r>
        <w:t>Annex 25: Mapping of grants by sample country</w:t>
      </w:r>
      <w:bookmarkEnd w:id="457"/>
      <w:r>
        <w:t xml:space="preserve">  </w:t>
      </w:r>
    </w:p>
    <w:p w14:paraId="1C068EE2" w14:textId="3DE003B8" w:rsidR="00E619FA" w:rsidRDefault="00F32C36" w:rsidP="00F32C36">
      <w:pPr>
        <w:pStyle w:val="FFNormal"/>
      </w:pPr>
      <w:bookmarkStart w:id="458" w:name="_Hlk136381975"/>
      <w:r>
        <w:t xml:space="preserve">The table below presents a mapping of </w:t>
      </w:r>
      <w:r w:rsidR="002A1AC8">
        <w:t>Fleming Fund grants by evaluation sample country. Global Projects (</w:t>
      </w:r>
      <w:r w:rsidR="004B588D">
        <w:t>i.e.</w:t>
      </w:r>
      <w:r w:rsidR="002A1AC8">
        <w:t xml:space="preserve"> grants that were directly managed by DHSC) are not </w:t>
      </w:r>
      <w:r w:rsidR="00C10828">
        <w:t>included</w:t>
      </w:r>
      <w:r w:rsidR="004B588D">
        <w:t>,</w:t>
      </w:r>
      <w:r w:rsidR="00C10828">
        <w:t xml:space="preserve"> as they were not in scope for phase 1 evaluation. </w:t>
      </w:r>
    </w:p>
    <w:bookmarkEnd w:id="458"/>
    <w:p w14:paraId="63A4DBAD" w14:textId="1B83ECD3" w:rsidR="00F32C36" w:rsidRPr="00F32C36" w:rsidRDefault="00E619FA" w:rsidP="00A20CEB">
      <w:pPr>
        <w:pStyle w:val="FFNormal"/>
      </w:pPr>
      <w:r>
        <w:rPr>
          <w:noProof/>
        </w:rPr>
        <w:drawing>
          <wp:inline distT="0" distB="0" distL="0" distR="0" wp14:anchorId="4085336C" wp14:editId="45B5F0E9">
            <wp:extent cx="8035638" cy="5047273"/>
            <wp:effectExtent l="0" t="0" r="5080" b="0"/>
            <wp:docPr id="830753488" name="Picture 830753488" descr="A picture containing screenshot,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8035638" cy="5047273"/>
                    </a:xfrm>
                    <a:prstGeom prst="rect">
                      <a:avLst/>
                    </a:prstGeom>
                  </pic:spPr>
                </pic:pic>
              </a:graphicData>
            </a:graphic>
          </wp:inline>
        </w:drawing>
      </w:r>
      <w:r w:rsidR="002A1AC8">
        <w:t xml:space="preserve">  </w:t>
      </w:r>
    </w:p>
    <w:p w14:paraId="1AA76A09" w14:textId="08F7B888" w:rsidR="3AF546A4" w:rsidRDefault="3AF546A4" w:rsidP="6001A257">
      <w:pPr>
        <w:pStyle w:val="ItadH1"/>
      </w:pPr>
      <w:bookmarkStart w:id="459" w:name="_Toc142383243"/>
      <w:r>
        <w:t xml:space="preserve">Annex 26: Data </w:t>
      </w:r>
      <w:r w:rsidR="00260B8A">
        <w:t>collection tools</w:t>
      </w:r>
      <w:r>
        <w:t xml:space="preserve">: KII </w:t>
      </w:r>
      <w:r w:rsidR="00FD7919">
        <w:t>g</w:t>
      </w:r>
      <w:r>
        <w:t>uides</w:t>
      </w:r>
      <w:bookmarkEnd w:id="459"/>
      <w:r>
        <w:t xml:space="preserve"> </w:t>
      </w:r>
    </w:p>
    <w:p w14:paraId="21F03BEE" w14:textId="1F263A50" w:rsidR="6001A257" w:rsidRDefault="45B93E81" w:rsidP="00260B8A">
      <w:pPr>
        <w:pStyle w:val="ItadH3"/>
        <w:widowControl w:val="0"/>
        <w:rPr>
          <w:lang w:val="en-GB"/>
        </w:rPr>
      </w:pPr>
      <w:bookmarkStart w:id="460" w:name="_Toc142383244"/>
      <w:r w:rsidRPr="365D9676">
        <w:rPr>
          <w:lang w:val="en-GB"/>
        </w:rPr>
        <w:t>KII Guide for AH AMR FP</w:t>
      </w:r>
      <w:bookmarkEnd w:id="460"/>
    </w:p>
    <w:p w14:paraId="048897E3" w14:textId="7655FFF3" w:rsidR="6001A257" w:rsidRPr="00425875" w:rsidRDefault="3E7B0945" w:rsidP="00260B8A">
      <w:pPr>
        <w:widowControl w:val="0"/>
        <w:spacing w:after="160" w:line="259" w:lineRule="auto"/>
        <w:jc w:val="both"/>
        <w:rPr>
          <w:rFonts w:ascii="Calibri Light" w:eastAsia="Calibri Light" w:hAnsi="Calibri Light" w:cs="Calibri Light"/>
          <w:color w:val="2F5496"/>
          <w:sz w:val="26"/>
          <w:szCs w:val="26"/>
          <w:lang w:val="de-DE"/>
        </w:rPr>
      </w:pPr>
      <w:r w:rsidRPr="00425875">
        <w:rPr>
          <w:rFonts w:ascii="Calibri Light" w:eastAsia="Calibri Light" w:hAnsi="Calibri Light" w:cs="Calibri Light"/>
          <w:color w:val="2F5496"/>
          <w:sz w:val="26"/>
          <w:szCs w:val="26"/>
          <w:lang w:val="de-DE"/>
        </w:rPr>
        <w:t>AH AMR FP</w:t>
      </w:r>
    </w:p>
    <w:p w14:paraId="101E90F4" w14:textId="393CD9BA" w:rsidR="6001A257" w:rsidRPr="002B0A41" w:rsidRDefault="3E7B0945" w:rsidP="00260B8A">
      <w:pPr>
        <w:widowControl w:val="0"/>
        <w:spacing w:after="160" w:line="259" w:lineRule="auto"/>
        <w:jc w:val="both"/>
        <w:rPr>
          <w:rFonts w:eastAsia="Calibri" w:cs="Calibri"/>
          <w:color w:val="000000"/>
          <w:lang w:val="de-DE"/>
        </w:rPr>
      </w:pPr>
      <w:r w:rsidRPr="002B0A41">
        <w:rPr>
          <w:rFonts w:eastAsia="Calibri" w:cs="Calibri"/>
          <w:b/>
          <w:color w:val="000000"/>
          <w:lang w:val="de-DE"/>
        </w:rPr>
        <w:t>KII name:</w:t>
      </w:r>
    </w:p>
    <w:p w14:paraId="209276D9" w14:textId="44A79B07" w:rsidR="6001A257" w:rsidRPr="002B0A41" w:rsidRDefault="3E7B0945" w:rsidP="00260B8A">
      <w:pPr>
        <w:widowControl w:val="0"/>
        <w:spacing w:after="160" w:line="259" w:lineRule="auto"/>
        <w:jc w:val="both"/>
        <w:rPr>
          <w:rFonts w:eastAsia="Calibri" w:cs="Calibri"/>
          <w:color w:val="000000"/>
        </w:rPr>
      </w:pPr>
      <w:r w:rsidRPr="002B0A41">
        <w:rPr>
          <w:rFonts w:eastAsia="Calibri" w:cs="Calibri"/>
          <w:b/>
          <w:bCs/>
          <w:color w:val="000000"/>
        </w:rPr>
        <w:t>KII date:</w:t>
      </w:r>
    </w:p>
    <w:p w14:paraId="2802EA3E" w14:textId="6D122D31" w:rsidR="6001A257" w:rsidRPr="002B0A41" w:rsidRDefault="3E7B0945" w:rsidP="00260B8A">
      <w:pPr>
        <w:widowControl w:val="0"/>
        <w:spacing w:after="160" w:line="259" w:lineRule="auto"/>
        <w:jc w:val="both"/>
        <w:rPr>
          <w:rFonts w:eastAsia="Calibri" w:cs="Calibri"/>
          <w:color w:val="000000"/>
        </w:rPr>
      </w:pPr>
      <w:r w:rsidRPr="002B0A41">
        <w:rPr>
          <w:rFonts w:eastAsia="Calibri" w:cs="Calibri"/>
          <w:b/>
          <w:bCs/>
          <w:color w:val="000000"/>
        </w:rPr>
        <w:t>KII interviewer(s):</w:t>
      </w:r>
    </w:p>
    <w:p w14:paraId="5E70DA13" w14:textId="5FEFB4CE" w:rsidR="6001A257" w:rsidRPr="002B0A41" w:rsidRDefault="3E7B0945" w:rsidP="00260B8A">
      <w:pPr>
        <w:widowControl w:val="0"/>
        <w:spacing w:after="160" w:line="259" w:lineRule="auto"/>
        <w:rPr>
          <w:rFonts w:eastAsia="Calibri" w:cs="Calibri"/>
          <w:color w:val="000000"/>
        </w:rPr>
      </w:pPr>
      <w:r w:rsidRPr="002B0A41">
        <w:rPr>
          <w:rFonts w:eastAsia="Calibri" w:cs="Calibri"/>
          <w:b/>
          <w:bCs/>
          <w:color w:val="000000"/>
        </w:rPr>
        <w:t>Introduction</w:t>
      </w:r>
      <w:r w:rsidRPr="002B0A41">
        <w:rPr>
          <w:rFonts w:eastAsia="Calibri" w:cs="Calibri"/>
          <w:color w:val="000000"/>
        </w:rPr>
        <w:t xml:space="preserve"> – please adapt and summarise according to the stakeholder / her knowledge of the evaluation etc </w:t>
      </w:r>
      <w:r w:rsidRPr="002B0A41">
        <w:rPr>
          <w:rFonts w:ascii="Times New Roman" w:eastAsia="Times New Roman" w:hAnsi="Times New Roman" w:cs="Times New Roman"/>
          <w:color w:val="000000"/>
          <w:sz w:val="24"/>
          <w:szCs w:val="24"/>
        </w:rPr>
        <w:t>–</w:t>
      </w:r>
      <w:r w:rsidRPr="002B0A41">
        <w:rPr>
          <w:rFonts w:eastAsia="Calibri" w:cs="Calibri"/>
          <w:color w:val="000000"/>
        </w:rPr>
        <w:t xml:space="preserve"> aim to get this intro as short as possible.</w:t>
      </w:r>
    </w:p>
    <w:p w14:paraId="6044F145" w14:textId="30B2F4BE" w:rsidR="6001A257" w:rsidRPr="002B0A41" w:rsidRDefault="3E7B0945" w:rsidP="00260B8A">
      <w:pPr>
        <w:widowControl w:val="0"/>
        <w:spacing w:line="259" w:lineRule="auto"/>
        <w:rPr>
          <w:rFonts w:eastAsia="Calibri" w:cs="Calibri"/>
          <w:color w:val="000000"/>
        </w:rPr>
      </w:pPr>
      <w:r w:rsidRPr="002B0A41">
        <w:rPr>
          <w:rFonts w:eastAsia="Calibri" w:cs="Calibri"/>
          <w:color w:val="000000"/>
        </w:rPr>
        <w:t xml:space="preserve"> • </w:t>
      </w:r>
      <w:r w:rsidRPr="002B0A41">
        <w:rPr>
          <w:rFonts w:eastAsia="Calibri" w:cs="Calibri"/>
          <w:b/>
          <w:bCs/>
          <w:color w:val="000000"/>
        </w:rPr>
        <w:t>Thank you</w:t>
      </w:r>
      <w:r w:rsidRPr="002B0A41">
        <w:rPr>
          <w:rFonts w:eastAsia="Calibri" w:cs="Calibri"/>
          <w:color w:val="000000"/>
        </w:rPr>
        <w:t xml:space="preserve"> – Thank you the interviewee for having accepted the meeting and for their time today. </w:t>
      </w:r>
    </w:p>
    <w:p w14:paraId="1501BE55" w14:textId="56620A36" w:rsidR="6001A257" w:rsidRPr="002B0A41" w:rsidRDefault="3E7B0945" w:rsidP="00260B8A">
      <w:pPr>
        <w:widowControl w:val="0"/>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Introductions</w:t>
      </w:r>
      <w:r w:rsidRPr="002B0A41">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3987E685" w14:textId="1DAD7986" w:rsidR="6001A257" w:rsidRPr="002B0A41" w:rsidRDefault="3E7B0945" w:rsidP="00260B8A">
      <w:pPr>
        <w:widowControl w:val="0"/>
        <w:spacing w:line="259" w:lineRule="auto"/>
        <w:rPr>
          <w:rFonts w:eastAsia="Calibri" w:cs="Calibri"/>
          <w:color w:val="000000"/>
        </w:rPr>
      </w:pPr>
      <w:r w:rsidRPr="002B0A41">
        <w:rPr>
          <w:rFonts w:eastAsia="Calibri" w:cs="Calibri"/>
          <w:color w:val="000000"/>
        </w:rPr>
        <w:t xml:space="preserve">We work for Itad, an UK-based company specialised in Monitoring, Evaluation and Learning that has been commissioned by the UK Department of Health and Social Care to conduct the Independent Evaluation of the Fleming Fund.   </w:t>
      </w:r>
    </w:p>
    <w:p w14:paraId="77B5811F" w14:textId="08B28076" w:rsidR="6001A257" w:rsidRPr="002B0A41" w:rsidRDefault="3E7B0945" w:rsidP="00260B8A">
      <w:pPr>
        <w:widowControl w:val="0"/>
        <w:spacing w:line="259" w:lineRule="auto"/>
        <w:rPr>
          <w:rFonts w:eastAsia="Calibri" w:cs="Calibri"/>
          <w:color w:val="000000"/>
        </w:rPr>
      </w:pPr>
      <w:r w:rsidRPr="002B0A41">
        <w:rPr>
          <w:rFonts w:eastAsia="Calibri" w:cs="Calibri"/>
          <w:color w:val="000000"/>
        </w:rPr>
        <w:t xml:space="preserve">[Let others introduce themselves or tell them there will be a chance after you have explained the purpose of the interview] </w:t>
      </w:r>
    </w:p>
    <w:p w14:paraId="38043C21" w14:textId="782C0AA2" w:rsidR="6001A257" w:rsidRPr="002B0A41" w:rsidRDefault="3E7B0945" w:rsidP="00260B8A">
      <w:pPr>
        <w:widowControl w:val="0"/>
        <w:spacing w:line="259" w:lineRule="auto"/>
        <w:rPr>
          <w:rFonts w:eastAsia="Calibri" w:cs="Calibri"/>
          <w:color w:val="000000"/>
        </w:rPr>
      </w:pPr>
      <w:r w:rsidRPr="002B0A41">
        <w:rPr>
          <w:rFonts w:eastAsia="Calibri" w:cs="Calibri"/>
          <w:color w:val="000000"/>
        </w:rPr>
        <w:t xml:space="preserve">[Acknowledge whether we have already interviewed the stakeholder during CV1/2]  </w:t>
      </w:r>
    </w:p>
    <w:p w14:paraId="5D575DEE" w14:textId="0BAAE8C8" w:rsidR="6001A257" w:rsidRPr="002B0A41" w:rsidRDefault="3E7B0945" w:rsidP="00260B8A">
      <w:pPr>
        <w:widowControl w:val="0"/>
        <w:spacing w:line="259" w:lineRule="auto"/>
        <w:rPr>
          <w:rFonts w:eastAsia="Calibri" w:cs="Calibri"/>
          <w:color w:val="000000"/>
        </w:rPr>
      </w:pPr>
      <w:r w:rsidRPr="002B0A41">
        <w:rPr>
          <w:rFonts w:eastAsia="Calibri" w:cs="Calibri"/>
          <w:color w:val="000000"/>
        </w:rPr>
        <w:t xml:space="preserve"> </w:t>
      </w:r>
    </w:p>
    <w:p w14:paraId="29D987A1" w14:textId="21AC23EF" w:rsidR="6001A257" w:rsidRPr="002B0A41" w:rsidRDefault="3E7B0945" w:rsidP="00260B8A">
      <w:pPr>
        <w:widowControl w:val="0"/>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Purpose</w:t>
      </w:r>
      <w:r w:rsidRPr="002B0A41">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604F9316" w14:textId="4818F311" w:rsidR="6001A257" w:rsidRPr="002B0A41" w:rsidRDefault="3E7B0945" w:rsidP="00260B8A">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 xml:space="preserve">Focus </w:t>
      </w:r>
      <w:r w:rsidRPr="002B0A41">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432CD002" w14:textId="024FC2B7" w:rsidR="6001A257" w:rsidRPr="002B0A41" w:rsidRDefault="3E7B0945" w:rsidP="00260B8A">
      <w:pPr>
        <w:pStyle w:val="ListParagraph"/>
        <w:numPr>
          <w:ilvl w:val="0"/>
          <w:numId w:val="25"/>
        </w:numPr>
        <w:spacing w:line="259" w:lineRule="auto"/>
        <w:rPr>
          <w:rFonts w:eastAsia="Calibri" w:cs="Calibri"/>
          <w:color w:val="000000"/>
        </w:rPr>
      </w:pPr>
      <w:r w:rsidRPr="002B0A41">
        <w:rPr>
          <w:rFonts w:eastAsia="Calibri" w:cs="Calibri"/>
          <w:color w:val="000000"/>
        </w:rPr>
        <w:t xml:space="preserve">More and better AMR/C/U data produced and shared at country level  </w:t>
      </w:r>
    </w:p>
    <w:p w14:paraId="7069381F" w14:textId="31FE8034" w:rsidR="6001A257" w:rsidRPr="002B0A41" w:rsidRDefault="3E7B0945" w:rsidP="00260B8A">
      <w:pPr>
        <w:pStyle w:val="ListParagraph"/>
        <w:numPr>
          <w:ilvl w:val="0"/>
          <w:numId w:val="25"/>
        </w:numPr>
        <w:spacing w:line="259" w:lineRule="auto"/>
        <w:rPr>
          <w:rFonts w:eastAsia="Calibri" w:cs="Calibri"/>
          <w:color w:val="000000"/>
        </w:rPr>
      </w:pPr>
      <w:r w:rsidRPr="002B0A41">
        <w:rPr>
          <w:rFonts w:eastAsia="Calibri" w:cs="Calibri"/>
          <w:color w:val="000000"/>
        </w:rPr>
        <w:t xml:space="preserve">More and better AMR/C/U data shared internationally (with GLASS/OIE) </w:t>
      </w:r>
    </w:p>
    <w:p w14:paraId="2B20A69C" w14:textId="6D4884A0" w:rsidR="6001A257" w:rsidRPr="002B0A41" w:rsidRDefault="3E7B0945" w:rsidP="00260B8A">
      <w:pPr>
        <w:pStyle w:val="ListParagraph"/>
        <w:numPr>
          <w:ilvl w:val="0"/>
          <w:numId w:val="25"/>
        </w:numPr>
        <w:spacing w:line="259" w:lineRule="auto"/>
        <w:rPr>
          <w:rFonts w:eastAsia="Calibri" w:cs="Calibri"/>
          <w:color w:val="000000"/>
        </w:rPr>
      </w:pPr>
      <w:r w:rsidRPr="002B0A41">
        <w:rPr>
          <w:rFonts w:eastAsia="Calibri" w:cs="Calibri"/>
          <w:color w:val="000000"/>
        </w:rPr>
        <w:t xml:space="preserve">Regulatory and policy change that can have an impact in reducing AMR </w:t>
      </w:r>
    </w:p>
    <w:p w14:paraId="1DA2C24B" w14:textId="4A0B8E42" w:rsidR="6001A257" w:rsidRPr="002B0A41" w:rsidRDefault="3E7B0945" w:rsidP="00260B8A">
      <w:pPr>
        <w:pStyle w:val="ListParagraph"/>
        <w:numPr>
          <w:ilvl w:val="0"/>
          <w:numId w:val="25"/>
        </w:numPr>
        <w:spacing w:line="259" w:lineRule="auto"/>
        <w:rPr>
          <w:rFonts w:eastAsia="Calibri" w:cs="Calibri"/>
          <w:color w:val="000000"/>
        </w:rPr>
      </w:pPr>
      <w:r w:rsidRPr="002B0A41">
        <w:rPr>
          <w:rFonts w:eastAsia="Calibri" w:cs="Calibri"/>
          <w:color w:val="000000"/>
        </w:rPr>
        <w:t xml:space="preserve">Changes in practice / attitude towards the use of antimicrobials.  </w:t>
      </w:r>
    </w:p>
    <w:p w14:paraId="5C10AFB5" w14:textId="3F5435AD" w:rsidR="6001A257" w:rsidRPr="002B0A41" w:rsidRDefault="3E7B0945" w:rsidP="00260B8A">
      <w:pPr>
        <w:spacing w:line="259" w:lineRule="auto"/>
        <w:rPr>
          <w:rFonts w:eastAsia="Calibri" w:cs="Calibri"/>
          <w:color w:val="000000"/>
        </w:rPr>
      </w:pPr>
      <w:r w:rsidRPr="002B0A41">
        <w:rPr>
          <w:rFonts w:eastAsia="Calibri" w:cs="Calibri"/>
          <w:color w:val="000000"/>
        </w:rPr>
        <w:t xml:space="preserve"> </w:t>
      </w:r>
    </w:p>
    <w:p w14:paraId="2534A03D" w14:textId="3118355F" w:rsidR="6001A257" w:rsidRPr="002B0A41" w:rsidRDefault="3E7B0945" w:rsidP="00260B8A">
      <w:pPr>
        <w:spacing w:line="259" w:lineRule="auto"/>
        <w:rPr>
          <w:rFonts w:eastAsia="Calibri" w:cs="Calibri"/>
          <w:color w:val="000000"/>
        </w:rPr>
      </w:pPr>
      <w:r w:rsidRPr="002B0A41">
        <w:rPr>
          <w:rFonts w:eastAsia="Calibri" w:cs="Calibri"/>
          <w:color w:val="000000"/>
        </w:rPr>
        <w:t>We have also questions relate to coherence of Fleming Fund efforts with those of other actors in country, sustainability of FF results and Value for Money [adapt the list as appropriate].</w:t>
      </w:r>
    </w:p>
    <w:p w14:paraId="466B2AE2" w14:textId="24538A2B" w:rsidR="6001A257" w:rsidRPr="002B0A41" w:rsidRDefault="3E7B0945" w:rsidP="00260B8A">
      <w:pPr>
        <w:spacing w:line="259" w:lineRule="auto"/>
        <w:rPr>
          <w:rFonts w:eastAsia="Calibri" w:cs="Calibri"/>
          <w:color w:val="000000"/>
        </w:rPr>
      </w:pPr>
      <w:r w:rsidRPr="002B0A41">
        <w:rPr>
          <w:rFonts w:eastAsia="Calibri" w:cs="Calibri"/>
          <w:color w:val="000000"/>
        </w:rPr>
        <w:t xml:space="preserve"> </w:t>
      </w:r>
    </w:p>
    <w:p w14:paraId="4F6C0C72" w14:textId="3C696AFF" w:rsidR="6001A257" w:rsidRPr="002B0A41" w:rsidRDefault="3E7B0945" w:rsidP="00260B8A">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Confidentiality / permission to record</w:t>
      </w:r>
      <w:r w:rsidRPr="002B0A41">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672D4ACC" w14:textId="4717D3F8" w:rsidR="6001A257" w:rsidRPr="002B0A41" w:rsidRDefault="3E7B0945" w:rsidP="00260B8A">
      <w:pPr>
        <w:spacing w:line="259" w:lineRule="auto"/>
        <w:rPr>
          <w:rFonts w:eastAsia="Calibri" w:cs="Calibri"/>
          <w:color w:val="000000"/>
        </w:rPr>
      </w:pPr>
      <w:r w:rsidRPr="002B0A41">
        <w:rPr>
          <w:rFonts w:eastAsia="Calibri" w:cs="Calibri"/>
          <w:color w:val="000000"/>
        </w:rPr>
        <w:t xml:space="preserve"> </w:t>
      </w:r>
    </w:p>
    <w:p w14:paraId="56BD2E6B" w14:textId="7B91C8E3" w:rsidR="6001A257" w:rsidRDefault="3E7B0945" w:rsidP="365D9676">
      <w:pPr>
        <w:keepNext/>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Duration</w:t>
      </w:r>
      <w:r w:rsidRPr="002B0A41">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 know the answer to a question or prefer not to answer – just let me know and I’ll adapt the interview accordingly.</w:t>
      </w:r>
      <w:r w:rsidRPr="365D9676">
        <w:rPr>
          <w:rFonts w:eastAsia="Calibri" w:cs="Calibri"/>
          <w:color w:val="000000"/>
        </w:rPr>
        <w:t xml:space="preserve">   </w:t>
      </w:r>
    </w:p>
    <w:p w14:paraId="471CD135" w14:textId="4AEE0E05" w:rsidR="6001A257" w:rsidRDefault="3E7B0945" w:rsidP="365D9676">
      <w:pPr>
        <w:keepNext/>
        <w:spacing w:line="259" w:lineRule="auto"/>
        <w:rPr>
          <w:rFonts w:ascii="Segoe UI" w:eastAsia="Segoe UI" w:hAnsi="Segoe UI" w:cs="Segoe UI"/>
          <w:color w:val="000000"/>
        </w:rPr>
      </w:pPr>
      <w:r w:rsidRPr="365D9676">
        <w:rPr>
          <w:rFonts w:ascii="Segoe UI" w:eastAsia="Segoe UI" w:hAnsi="Segoe UI" w:cs="Segoe UI"/>
          <w:color w:val="000000"/>
        </w:rPr>
        <w:t xml:space="preserve"> </w:t>
      </w:r>
    </w:p>
    <w:p w14:paraId="1FF4792B" w14:textId="6C9728D5" w:rsidR="6001A257" w:rsidRDefault="3E7B0945" w:rsidP="365D9676">
      <w:pPr>
        <w:keepNext/>
        <w:spacing w:line="259" w:lineRule="auto"/>
        <w:rPr>
          <w:rFonts w:eastAsia="Calibri" w:cs="Calibri"/>
          <w:color w:val="000000"/>
        </w:rPr>
      </w:pPr>
      <w:r w:rsidRPr="365D9676">
        <w:rPr>
          <w:rFonts w:eastAsia="Calibri" w:cs="Calibri"/>
          <w:color w:val="000000"/>
        </w:rPr>
        <w:t xml:space="preserve">• </w:t>
      </w:r>
      <w:r w:rsidRPr="365D9676">
        <w:rPr>
          <w:rFonts w:eastAsia="Calibri" w:cs="Calibri"/>
          <w:b/>
          <w:bCs/>
          <w:color w:val="000000"/>
        </w:rPr>
        <w:t>Opportunity for questions</w:t>
      </w:r>
      <w:r w:rsidRPr="365D9676">
        <w:rPr>
          <w:rFonts w:eastAsia="Calibri" w:cs="Calibri"/>
          <w:color w:val="000000"/>
        </w:rPr>
        <w:t xml:space="preserve"> – Do you have any questions before we start? Of course you are also welcome to ask questions through the interview if something is not clear.  </w:t>
      </w:r>
    </w:p>
    <w:p w14:paraId="2EC23D2F" w14:textId="41415456" w:rsidR="6001A257" w:rsidRDefault="6001A257" w:rsidP="365D9676">
      <w:pPr>
        <w:keepNext/>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50"/>
        <w:gridCol w:w="6270"/>
        <w:gridCol w:w="6270"/>
      </w:tblGrid>
      <w:tr w:rsidR="365D9676" w14:paraId="4E79AE6E" w14:textId="77777777" w:rsidTr="365D9676">
        <w:trPr>
          <w:trHeight w:val="780"/>
        </w:trPr>
        <w:tc>
          <w:tcPr>
            <w:tcW w:w="105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22B9CD80" w14:textId="6D6FF7B7" w:rsidR="365D9676" w:rsidRDefault="365D9676" w:rsidP="365D9676">
            <w:pPr>
              <w:rPr>
                <w:rFonts w:eastAsia="Calibri" w:cs="Calibri"/>
                <w:color w:val="FFFFFF" w:themeColor="background1"/>
                <w:sz w:val="20"/>
                <w:szCs w:val="20"/>
              </w:rPr>
            </w:pPr>
            <w:r w:rsidRPr="365D9676">
              <w:rPr>
                <w:rFonts w:eastAsia="Calibri" w:cs="Calibri"/>
                <w:color w:val="FFFFFF" w:themeColor="background1"/>
                <w:sz w:val="20"/>
                <w:szCs w:val="20"/>
              </w:rPr>
              <w:t>EQ</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2D32DFE9" w14:textId="2A4A7D67" w:rsidR="365D9676" w:rsidRDefault="365D9676" w:rsidP="365D9676">
            <w:pPr>
              <w:rPr>
                <w:rFonts w:eastAsia="Calibri" w:cs="Calibri"/>
                <w:color w:val="FFFFFF" w:themeColor="background1"/>
                <w:sz w:val="20"/>
                <w:szCs w:val="20"/>
              </w:rPr>
            </w:pPr>
            <w:r w:rsidRPr="365D9676">
              <w:rPr>
                <w:rFonts w:eastAsia="Calibri" w:cs="Calibri"/>
                <w:color w:val="FFFFFF" w:themeColor="background1"/>
                <w:sz w:val="20"/>
                <w:szCs w:val="20"/>
              </w:rPr>
              <w:t xml:space="preserve">List of questions  </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tcPr>
          <w:p w14:paraId="02E2BBE9" w14:textId="1A3CFFB6" w:rsidR="365D9676" w:rsidRDefault="365D9676" w:rsidP="365D9676">
            <w:pPr>
              <w:rPr>
                <w:rFonts w:eastAsia="Calibri" w:cs="Calibri"/>
                <w:color w:val="FFFFFF" w:themeColor="background1"/>
                <w:sz w:val="20"/>
                <w:szCs w:val="20"/>
              </w:rPr>
            </w:pPr>
          </w:p>
          <w:p w14:paraId="3D9D39FA" w14:textId="0A3C980D" w:rsidR="365D9676" w:rsidRDefault="365D9676" w:rsidP="365D9676">
            <w:pPr>
              <w:rPr>
                <w:rFonts w:eastAsia="Calibri" w:cs="Calibri"/>
                <w:color w:val="FFFFFF" w:themeColor="background1"/>
                <w:sz w:val="20"/>
                <w:szCs w:val="20"/>
              </w:rPr>
            </w:pPr>
            <w:r w:rsidRPr="365D9676">
              <w:rPr>
                <w:rFonts w:eastAsia="Calibri" w:cs="Calibri"/>
                <w:color w:val="FFFFFF" w:themeColor="background1"/>
                <w:sz w:val="20"/>
                <w:szCs w:val="20"/>
              </w:rPr>
              <w:t>Response</w:t>
            </w:r>
          </w:p>
        </w:tc>
      </w:tr>
      <w:tr w:rsidR="365D9676" w14:paraId="2830FD4E" w14:textId="77777777" w:rsidTr="365D9676">
        <w:trPr>
          <w:trHeight w:val="12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4147217" w14:textId="1F1AE84E"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CE25813" w14:textId="0DD3FB9F"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have the </w:t>
            </w:r>
            <w:r w:rsidRPr="365D9676">
              <w:rPr>
                <w:rFonts w:eastAsia="Calibri" w:cs="Calibri"/>
                <w:b/>
                <w:bCs/>
                <w:color w:val="000000"/>
                <w:sz w:val="20"/>
                <w:szCs w:val="20"/>
              </w:rPr>
              <w:t>Fleming Fund's investments</w:t>
            </w:r>
            <w:r w:rsidRPr="365D9676">
              <w:rPr>
                <w:rFonts w:eastAsia="Calibri" w:cs="Calibri"/>
                <w:color w:val="000000"/>
                <w:sz w:val="20"/>
                <w:szCs w:val="20"/>
              </w:rPr>
              <w:t xml:space="preserve"> been </w:t>
            </w:r>
            <w:r w:rsidRPr="365D9676">
              <w:rPr>
                <w:rFonts w:eastAsia="Calibri" w:cs="Calibri"/>
                <w:b/>
                <w:bCs/>
                <w:color w:val="000000"/>
                <w:sz w:val="20"/>
                <w:szCs w:val="20"/>
              </w:rPr>
              <w:t>aligned</w:t>
            </w:r>
            <w:r w:rsidRPr="365D9676">
              <w:rPr>
                <w:rFonts w:eastAsia="Calibri" w:cs="Calibri"/>
                <w:color w:val="000000"/>
                <w:sz w:val="20"/>
                <w:szCs w:val="20"/>
              </w:rPr>
              <w:t xml:space="preserve"> with the NAP and other government policies/plans?</w:t>
            </w:r>
            <w:r>
              <w:br/>
            </w:r>
            <w:r w:rsidRPr="365D9676">
              <w:rPr>
                <w:rFonts w:eastAsia="Calibri" w:cs="Calibri"/>
                <w:color w:val="000000"/>
                <w:sz w:val="20"/>
                <w:szCs w:val="20"/>
              </w:rPr>
              <w:t xml:space="preserve">Probe: Are there any </w:t>
            </w:r>
            <w:r w:rsidRPr="365D9676">
              <w:rPr>
                <w:color w:val="000000"/>
                <w:sz w:val="20"/>
                <w:szCs w:val="20"/>
                <w:u w:val="single"/>
              </w:rPr>
              <w:t>duplications</w:t>
            </w:r>
            <w:r w:rsidRPr="365D9676">
              <w:rPr>
                <w:rFonts w:eastAsia="Calibri" w:cs="Calibri"/>
                <w:color w:val="000000"/>
                <w:sz w:val="20"/>
                <w:szCs w:val="20"/>
              </w:rPr>
              <w:t xml:space="preserve"> between Fleming Fund's investments and government initiatives?</w:t>
            </w:r>
            <w:r>
              <w:br/>
            </w:r>
            <w:r w:rsidRPr="365D9676">
              <w:rPr>
                <w:rFonts w:eastAsia="Calibri" w:cs="Calibri"/>
                <w:color w:val="000000"/>
                <w:sz w:val="20"/>
                <w:szCs w:val="20"/>
              </w:rPr>
              <w:t xml:space="preserve">Probe: Through which </w:t>
            </w:r>
            <w:r w:rsidRPr="365D9676">
              <w:rPr>
                <w:color w:val="000000"/>
                <w:sz w:val="20"/>
                <w:szCs w:val="20"/>
                <w:u w:val="single"/>
              </w:rPr>
              <w:t>mechanisms</w:t>
            </w:r>
            <w:r w:rsidRPr="365D9676">
              <w:rPr>
                <w:rFonts w:eastAsia="Calibri" w:cs="Calibri"/>
                <w:color w:val="000000"/>
                <w:sz w:val="20"/>
                <w:szCs w:val="20"/>
              </w:rPr>
              <w:t xml:space="preserve"> was alignment ensured?</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6FE205DF" w14:textId="559B395B" w:rsidR="365D9676" w:rsidRDefault="365D9676" w:rsidP="365D9676">
            <w:pPr>
              <w:rPr>
                <w:rFonts w:eastAsia="Calibri" w:cs="Calibri"/>
                <w:color w:val="000000"/>
                <w:sz w:val="20"/>
                <w:szCs w:val="20"/>
              </w:rPr>
            </w:pPr>
          </w:p>
        </w:tc>
      </w:tr>
      <w:tr w:rsidR="365D9676" w14:paraId="13A6CEEC" w14:textId="77777777" w:rsidTr="365D9676">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B9D219E" w14:textId="0CBC3FA3"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1BE3063" w14:textId="3A751D5D"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have the </w:t>
            </w:r>
            <w:r w:rsidRPr="365D9676">
              <w:rPr>
                <w:rFonts w:eastAsia="Calibri" w:cs="Calibri"/>
                <w:b/>
                <w:bCs/>
                <w:color w:val="000000"/>
                <w:sz w:val="20"/>
                <w:szCs w:val="20"/>
              </w:rPr>
              <w:t xml:space="preserve">Fleming Fund's investments </w:t>
            </w:r>
            <w:r w:rsidRPr="365D9676">
              <w:rPr>
                <w:rFonts w:eastAsia="Calibri" w:cs="Calibri"/>
                <w:color w:val="000000"/>
                <w:sz w:val="20"/>
                <w:szCs w:val="20"/>
              </w:rPr>
              <w:t xml:space="preserve">been </w:t>
            </w:r>
            <w:r w:rsidRPr="365D9676">
              <w:rPr>
                <w:rFonts w:eastAsia="Calibri" w:cs="Calibri"/>
                <w:b/>
                <w:bCs/>
                <w:color w:val="000000"/>
                <w:sz w:val="20"/>
                <w:szCs w:val="20"/>
              </w:rPr>
              <w:t>aligned with interventions</w:t>
            </w:r>
            <w:r w:rsidRPr="365D9676">
              <w:rPr>
                <w:rFonts w:eastAsia="Calibri" w:cs="Calibri"/>
                <w:color w:val="000000"/>
                <w:sz w:val="20"/>
                <w:szCs w:val="20"/>
              </w:rPr>
              <w:t xml:space="preserve"> funded </w:t>
            </w:r>
            <w:r w:rsidRPr="365D9676">
              <w:rPr>
                <w:rFonts w:eastAsia="Calibri" w:cs="Calibri"/>
                <w:b/>
                <w:bCs/>
                <w:color w:val="000000"/>
                <w:sz w:val="20"/>
                <w:szCs w:val="20"/>
              </w:rPr>
              <w:t>by other DPs</w:t>
            </w:r>
            <w:r w:rsidRPr="365D9676">
              <w:rPr>
                <w:rFonts w:eastAsia="Calibri" w:cs="Calibri"/>
                <w:color w:val="000000"/>
                <w:sz w:val="20"/>
                <w:szCs w:val="20"/>
              </w:rPr>
              <w:t>?</w:t>
            </w:r>
            <w:r>
              <w:br/>
            </w:r>
            <w:r w:rsidRPr="365D9676">
              <w:rPr>
                <w:rFonts w:eastAsia="Calibri" w:cs="Calibri"/>
                <w:color w:val="000000"/>
                <w:sz w:val="20"/>
                <w:szCs w:val="20"/>
              </w:rPr>
              <w:t xml:space="preserve">Probe: Are there any </w:t>
            </w:r>
            <w:r w:rsidRPr="365D9676">
              <w:rPr>
                <w:color w:val="000000"/>
                <w:sz w:val="20"/>
                <w:szCs w:val="20"/>
                <w:u w:val="single"/>
              </w:rPr>
              <w:t>duplications</w:t>
            </w:r>
            <w:r w:rsidRPr="365D9676">
              <w:rPr>
                <w:rFonts w:eastAsia="Calibri" w:cs="Calibri"/>
                <w:color w:val="000000"/>
                <w:sz w:val="20"/>
                <w:szCs w:val="20"/>
              </w:rPr>
              <w:t xml:space="preserve"> between Fleming Fund's investments and DP initiatives?</w:t>
            </w:r>
            <w:r>
              <w:br/>
            </w:r>
            <w:r w:rsidRPr="365D9676">
              <w:rPr>
                <w:rFonts w:eastAsia="Calibri" w:cs="Calibri"/>
                <w:color w:val="000000"/>
                <w:sz w:val="20"/>
                <w:szCs w:val="20"/>
              </w:rPr>
              <w:t xml:space="preserve">Probe: Through which </w:t>
            </w:r>
            <w:r w:rsidRPr="365D9676">
              <w:rPr>
                <w:color w:val="000000"/>
                <w:sz w:val="20"/>
                <w:szCs w:val="20"/>
                <w:u w:val="single"/>
              </w:rPr>
              <w:t>mechanisms</w:t>
            </w:r>
            <w:r w:rsidRPr="365D9676">
              <w:rPr>
                <w:rFonts w:eastAsia="Calibri" w:cs="Calibri"/>
                <w:color w:val="000000"/>
                <w:sz w:val="20"/>
                <w:szCs w:val="20"/>
              </w:rPr>
              <w:t xml:space="preserve"> did the Fleming Fund coordinate with other DPs involved in AMR / lab strengthening in country?</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0BCD37B" w14:textId="7E9DB5AE" w:rsidR="365D9676" w:rsidRDefault="365D9676" w:rsidP="365D9676">
            <w:pPr>
              <w:rPr>
                <w:rFonts w:eastAsia="Calibri" w:cs="Calibri"/>
                <w:color w:val="000000"/>
                <w:sz w:val="20"/>
                <w:szCs w:val="20"/>
              </w:rPr>
            </w:pPr>
          </w:p>
        </w:tc>
      </w:tr>
      <w:tr w:rsidR="365D9676" w14:paraId="299DC324" w14:textId="77777777" w:rsidTr="365D9676">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E5CE1DA" w14:textId="4BFAD651"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9538F07" w14:textId="59F409DC" w:rsidR="365D9676" w:rsidRDefault="365D9676" w:rsidP="365D9676">
            <w:pPr>
              <w:rPr>
                <w:rFonts w:eastAsia="Calibri" w:cs="Calibri"/>
                <w:color w:val="444444"/>
              </w:rPr>
            </w:pPr>
            <w:r w:rsidRPr="365D9676">
              <w:rPr>
                <w:rFonts w:eastAsia="Calibri" w:cs="Calibri"/>
                <w:strike/>
                <w:color w:val="D13438"/>
              </w:rPr>
              <w:t xml:space="preserve"> </w:t>
            </w:r>
            <w:r w:rsidRPr="365D9676">
              <w:rPr>
                <w:rFonts w:eastAsia="Calibri" w:cs="Calibri"/>
                <w:color w:val="444444"/>
              </w:rPr>
              <w:t>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608678B" w14:textId="4FD8E5F3" w:rsidR="365D9676" w:rsidRDefault="365D9676" w:rsidP="365D9676">
            <w:pPr>
              <w:rPr>
                <w:rFonts w:eastAsia="Calibri" w:cs="Calibri"/>
                <w:color w:val="000000"/>
                <w:sz w:val="20"/>
                <w:szCs w:val="20"/>
              </w:rPr>
            </w:pPr>
          </w:p>
        </w:tc>
      </w:tr>
      <w:tr w:rsidR="365D9676" w14:paraId="35033D1F" w14:textId="77777777" w:rsidTr="365D9676">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B9CA2EB" w14:textId="3E9E4880"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FF312DF" w14:textId="6FB6A2C9" w:rsidR="365D9676" w:rsidRDefault="365D9676" w:rsidP="365D9676">
            <w:pPr>
              <w:rPr>
                <w:rFonts w:eastAsia="Calibri" w:cs="Calibri"/>
                <w:color w:val="444444"/>
              </w:rPr>
            </w:pPr>
            <w:r w:rsidRPr="365D9676">
              <w:rPr>
                <w:rFonts w:eastAsia="Calibri" w:cs="Calibri"/>
                <w:strike/>
                <w:color w:val="D13438"/>
              </w:rPr>
              <w:t xml:space="preserve"> </w:t>
            </w:r>
            <w:r w:rsidRPr="365D9676">
              <w:rPr>
                <w:rFonts w:eastAsia="Calibri" w:cs="Calibri"/>
                <w:color w:val="444444"/>
              </w:rPr>
              <w:t>To what extent do you think staff are motivated to put new skills / responsibilities required to maintain AMR surveillence? PROBES: Is throughput sufficient? Are consumable supplies assured? Are managers and institutions (eg AMRCC) interested in outputs and providing feedback? Will competing demands crowd in? Are there adequate plans in place to address any concerns?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610DE364" w14:textId="5F2B3E3E" w:rsidR="365D9676" w:rsidRDefault="365D9676" w:rsidP="365D9676">
            <w:pPr>
              <w:rPr>
                <w:rFonts w:eastAsia="Calibri" w:cs="Calibri"/>
                <w:color w:val="000000"/>
                <w:sz w:val="20"/>
                <w:szCs w:val="20"/>
              </w:rPr>
            </w:pPr>
          </w:p>
        </w:tc>
      </w:tr>
      <w:tr w:rsidR="365D9676" w14:paraId="3E80E944" w14:textId="77777777" w:rsidTr="365D9676">
        <w:trPr>
          <w:trHeight w:val="178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2709AD8" w14:textId="65B9D830" w:rsidR="365D9676" w:rsidRDefault="365D9676" w:rsidP="365D9676">
            <w:pPr>
              <w:rPr>
                <w:rFonts w:eastAsia="Calibri" w:cs="Calibri"/>
                <w:color w:val="000000"/>
                <w:sz w:val="20"/>
                <w:szCs w:val="20"/>
              </w:rPr>
            </w:pPr>
            <w:r w:rsidRPr="365D9676">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3B81A6DC" w14:textId="47E2FC87" w:rsidR="365D9676" w:rsidRDefault="365D9676" w:rsidP="365D9676">
            <w:pPr>
              <w:rPr>
                <w:rFonts w:eastAsia="Calibri" w:cs="Calibri"/>
                <w:color w:val="000000"/>
                <w:sz w:val="20"/>
                <w:szCs w:val="20"/>
              </w:rPr>
            </w:pPr>
            <w:r w:rsidRPr="365D9676">
              <w:rPr>
                <w:rFonts w:eastAsia="Calibri" w:cs="Calibri"/>
                <w:color w:val="000000"/>
                <w:sz w:val="20"/>
                <w:szCs w:val="20"/>
              </w:rPr>
              <w:t xml:space="preserve">Do you think that surveillance data is already being used to inform strong national actions on AMR (policy implementation, regulatory change or change to national clinical guidelines?)  If yes, please give examples  PROBE: How did Fleming Fund activities contribute to these actions? If no, do you think that the main use so far has been for general awareness-raising in professional and policy networks? PROBE: Do you think that we are still at an early stage of the cycle of AMR data analysis for policy?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28A3F5F" w14:textId="69617AF7" w:rsidR="365D9676" w:rsidRDefault="365D9676" w:rsidP="365D9676">
            <w:pPr>
              <w:rPr>
                <w:rFonts w:eastAsia="Calibri" w:cs="Calibri"/>
                <w:color w:val="000000"/>
                <w:sz w:val="20"/>
                <w:szCs w:val="20"/>
              </w:rPr>
            </w:pPr>
          </w:p>
        </w:tc>
      </w:tr>
      <w:tr w:rsidR="365D9676" w14:paraId="284B3D48" w14:textId="77777777" w:rsidTr="365D9676">
        <w:trPr>
          <w:trHeight w:val="183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1008709E" w14:textId="39966177" w:rsidR="365D9676" w:rsidRDefault="365D9676" w:rsidP="365D9676">
            <w:pPr>
              <w:rPr>
                <w:rFonts w:eastAsia="Calibri" w:cs="Calibri"/>
                <w:color w:val="000000"/>
                <w:sz w:val="20"/>
                <w:szCs w:val="20"/>
              </w:rPr>
            </w:pPr>
            <w:r w:rsidRPr="365D9676">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C29EA35" w14:textId="3A9F675E" w:rsidR="365D9676" w:rsidRDefault="365D9676" w:rsidP="365D9676">
            <w:pPr>
              <w:rPr>
                <w:rFonts w:eastAsia="Calibri" w:cs="Calibri"/>
                <w:color w:val="000000"/>
                <w:sz w:val="20"/>
                <w:szCs w:val="20"/>
              </w:rPr>
            </w:pPr>
            <w:r w:rsidRPr="365D9676">
              <w:rPr>
                <w:rFonts w:eastAsia="Calibri" w:cs="Calibri"/>
                <w:color w:val="000000"/>
                <w:sz w:val="20"/>
                <w:szCs w:val="20"/>
              </w:rPr>
              <w:t>Thinking about the kinds of strong national actions that might be relevant to AMR (for example controls on certain uses of antimicrobials or initiatives to change professional practices), can you think of examples from the past (prior to FF) and/or not motivated by surveillance data?  PROBE: (Refer to any examples suggested by MSA analysis or other information gathered)  If yes, please give details. PROBE: what is different now / what motivates action if not surveillance data?</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003C165" w14:textId="079A3549" w:rsidR="365D9676" w:rsidRDefault="365D9676" w:rsidP="365D9676">
            <w:pPr>
              <w:rPr>
                <w:rFonts w:eastAsia="Calibri" w:cs="Calibri"/>
                <w:color w:val="000000"/>
                <w:sz w:val="20"/>
                <w:szCs w:val="20"/>
              </w:rPr>
            </w:pPr>
          </w:p>
        </w:tc>
      </w:tr>
      <w:tr w:rsidR="365D9676" w14:paraId="0973D640" w14:textId="77777777" w:rsidTr="365D9676">
        <w:trPr>
          <w:trHeight w:val="261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A143B66" w14:textId="257244D5"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540D57A1" w14:textId="3A29D653" w:rsidR="365D9676" w:rsidRDefault="365D9676" w:rsidP="365D9676">
            <w:pPr>
              <w:rPr>
                <w:rFonts w:eastAsia="Calibri" w:cs="Calibri"/>
                <w:color w:val="000000"/>
                <w:sz w:val="20"/>
                <w:szCs w:val="20"/>
              </w:rPr>
            </w:pPr>
            <w:r w:rsidRPr="365D9676">
              <w:rPr>
                <w:rFonts w:eastAsia="Calibri" w:cs="Calibri"/>
                <w:color w:val="000000"/>
                <w:sz w:val="20"/>
                <w:szCs w:val="20"/>
              </w:rPr>
              <w:t>What factors do you think are most important for national policymakers when considering whether AMR is a very severe and urgent problem? PROBE: (Refer to MSA on Indicators/Problem stream, test analysis)</w:t>
            </w:r>
            <w:r>
              <w:br/>
            </w:r>
            <w:r w:rsidRPr="365D9676">
              <w:rPr>
                <w:rFonts w:eastAsia="Calibri" w:cs="Calibri"/>
                <w:color w:val="000000"/>
                <w:sz w:val="20"/>
                <w:szCs w:val="20"/>
              </w:rPr>
              <w:t xml:space="preserve">§ (if need more information on MSA Load) How does AMR compare to other health policy problems? </w:t>
            </w:r>
            <w:r>
              <w:br/>
            </w:r>
            <w:r w:rsidRPr="365D9676">
              <w:rPr>
                <w:rFonts w:eastAsia="Calibri" w:cs="Calibri"/>
                <w:color w:val="000000"/>
                <w:sz w:val="20"/>
                <w:szCs w:val="20"/>
              </w:rPr>
              <w:t xml:space="preserve">§ (if need more information on MSA Feedback / TrACSS suggest links to other plans) Have public policy activities to address other problems started to suggest that AMR is important? </w:t>
            </w:r>
            <w:r>
              <w:br/>
            </w:r>
            <w:r w:rsidRPr="365D9676">
              <w:rPr>
                <w:rFonts w:eastAsia="Calibri" w:cs="Calibri"/>
                <w:color w:val="000000"/>
                <w:sz w:val="20"/>
                <w:szCs w:val="20"/>
              </w:rPr>
              <w:t xml:space="preserve">§ (need more information on MSA Focusing) What has or might focus policymakers’ attention on AMR?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BAC1712" w14:textId="76F8C799" w:rsidR="365D9676" w:rsidRDefault="365D9676" w:rsidP="365D9676">
            <w:pPr>
              <w:rPr>
                <w:rFonts w:eastAsia="Calibri" w:cs="Calibri"/>
                <w:color w:val="000000"/>
                <w:sz w:val="20"/>
                <w:szCs w:val="20"/>
              </w:rPr>
            </w:pPr>
          </w:p>
        </w:tc>
      </w:tr>
      <w:tr w:rsidR="365D9676" w14:paraId="29ECDD12" w14:textId="77777777" w:rsidTr="365D9676">
        <w:trPr>
          <w:trHeight w:val="124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1869F67" w14:textId="2DD378FD"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361884FB" w14:textId="3A14E796" w:rsidR="365D9676" w:rsidRDefault="365D9676" w:rsidP="365D9676">
            <w:pPr>
              <w:rPr>
                <w:rFonts w:eastAsia="Calibri" w:cs="Calibri"/>
                <w:color w:val="000000"/>
                <w:sz w:val="20"/>
                <w:szCs w:val="20"/>
              </w:rPr>
            </w:pPr>
            <w:r w:rsidRPr="365D9676">
              <w:rPr>
                <w:rFonts w:eastAsia="Calibri" w:cs="Calibri"/>
                <w:color w:val="000000"/>
                <w:sz w:val="20"/>
                <w:szCs w:val="20"/>
              </w:rPr>
              <w:t>Has Covid-19 been a distraction, slowing down progress with the national AMR agenda?  PROBE: Has AMRCC met regularly since 2020, including at political as well as technical levels? Has it started to take significant decisions?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2C6790FD" w14:textId="151C48B6" w:rsidR="365D9676" w:rsidRDefault="365D9676" w:rsidP="365D9676">
            <w:pPr>
              <w:rPr>
                <w:rFonts w:eastAsia="Calibri" w:cs="Calibri"/>
                <w:color w:val="000000"/>
                <w:sz w:val="20"/>
                <w:szCs w:val="20"/>
              </w:rPr>
            </w:pPr>
          </w:p>
        </w:tc>
      </w:tr>
      <w:tr w:rsidR="365D9676" w14:paraId="73ED55A6" w14:textId="77777777" w:rsidTr="365D9676">
        <w:trPr>
          <w:trHeight w:val="189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119633BC" w14:textId="5EC997E2"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5A62F4B5" w14:textId="25EC925E" w:rsidR="365D9676" w:rsidRDefault="365D9676" w:rsidP="365D9676">
            <w:pPr>
              <w:rPr>
                <w:rFonts w:eastAsia="Calibri" w:cs="Calibri"/>
                <w:color w:val="000000"/>
                <w:sz w:val="20"/>
                <w:szCs w:val="20"/>
              </w:rPr>
            </w:pPr>
            <w:r w:rsidRPr="365D9676">
              <w:rPr>
                <w:rFonts w:eastAsia="Calibri" w:cs="Calibri"/>
                <w:color w:val="000000"/>
                <w:sz w:val="20"/>
                <w:szCs w:val="20"/>
              </w:rPr>
              <w:t>Have NAP plans continued to develop strongly since 2020? (OR, if NAP expires in 2020-22, is there a process underway for its renewal; do you expect any delay in extending the NAP?)  PROBE: What factors explain the current situation in relation to the NAP?  (if need more information to complete NAP tool, apart from on budgeting) How exactly is the NAP moving from a plan to real action and change?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287838A" w14:textId="3A09ECD3" w:rsidR="365D9676" w:rsidRDefault="365D9676" w:rsidP="365D9676">
            <w:pPr>
              <w:rPr>
                <w:rFonts w:eastAsia="Calibri" w:cs="Calibri"/>
                <w:color w:val="000000"/>
                <w:sz w:val="20"/>
                <w:szCs w:val="20"/>
              </w:rPr>
            </w:pPr>
          </w:p>
        </w:tc>
      </w:tr>
      <w:tr w:rsidR="365D9676" w14:paraId="24262DFD" w14:textId="77777777" w:rsidTr="365D9676">
        <w:trPr>
          <w:trHeight w:val="228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DC2CA47" w14:textId="19365D52"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8985883" w14:textId="3970B2FE" w:rsidR="365D9676" w:rsidRDefault="365D9676" w:rsidP="365D9676">
            <w:pPr>
              <w:rPr>
                <w:rFonts w:eastAsia="Calibri" w:cs="Calibri"/>
                <w:color w:val="000000"/>
                <w:sz w:val="20"/>
                <w:szCs w:val="20"/>
              </w:rPr>
            </w:pPr>
            <w:r w:rsidRPr="365D9676">
              <w:rPr>
                <w:rFonts w:eastAsia="Calibri" w:cs="Calibri"/>
                <w:color w:val="000000"/>
                <w:sz w:val="20"/>
                <w:szCs w:val="20"/>
              </w:rPr>
              <w:t>Do you think that it is likely that there will be significant on-budget domestic funding for AMR initiatives in the foreseeable future?  If yes, please give reasons (have the reasons for prior budget decisions  changed?) If no, will funding from international supporters be sufficient?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D775B0B" w14:textId="787EFD3D" w:rsidR="365D9676" w:rsidRDefault="365D9676" w:rsidP="365D9676">
            <w:pPr>
              <w:rPr>
                <w:rFonts w:eastAsia="Calibri" w:cs="Calibri"/>
                <w:color w:val="000000"/>
                <w:sz w:val="20"/>
                <w:szCs w:val="20"/>
              </w:rPr>
            </w:pPr>
          </w:p>
        </w:tc>
      </w:tr>
      <w:tr w:rsidR="365D9676" w14:paraId="5F01FD11" w14:textId="77777777" w:rsidTr="365D9676">
        <w:trPr>
          <w:trHeight w:val="297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1611A74" w14:textId="03D6EEC4" w:rsidR="365D9676" w:rsidRDefault="365D9676" w:rsidP="365D9676">
            <w:pPr>
              <w:rPr>
                <w:rFonts w:eastAsia="Calibri" w:cs="Calibri"/>
                <w:color w:val="000000"/>
                <w:sz w:val="20"/>
                <w:szCs w:val="20"/>
              </w:rPr>
            </w:pPr>
            <w:r w:rsidRPr="365D9676">
              <w:rPr>
                <w:rFonts w:eastAsia="Calibri" w:cs="Calibri"/>
                <w:color w:val="000000"/>
                <w:sz w:val="20"/>
                <w:szCs w:val="20"/>
              </w:rPr>
              <w:t>POLICY 4.2</w:t>
            </w:r>
            <w:r w:rsidRPr="001B18E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32DF037" w14:textId="2D251748" w:rsidR="365D9676" w:rsidRDefault="365D9676" w:rsidP="365D9676">
            <w:pPr>
              <w:rPr>
                <w:rFonts w:eastAsia="Calibri" w:cs="Calibri"/>
                <w:color w:val="000000"/>
                <w:sz w:val="20"/>
                <w:szCs w:val="20"/>
              </w:rPr>
            </w:pPr>
            <w:r w:rsidRPr="365D9676">
              <w:rPr>
                <w:rFonts w:eastAsia="Calibri" w:cs="Calibri"/>
                <w:color w:val="000000"/>
                <w:sz w:val="20"/>
                <w:szCs w:val="20"/>
              </w:rPr>
              <w:t>Does AMRCC (or other national body in charge of the country AMR strategy) r</w:t>
            </w:r>
            <w:r w:rsidRPr="365D9676">
              <w:rPr>
                <w:rFonts w:eastAsia="Calibri" w:cs="Calibri"/>
                <w:b/>
                <w:bCs/>
                <w:color w:val="000000"/>
                <w:sz w:val="20"/>
                <w:szCs w:val="20"/>
              </w:rPr>
              <w:t>eceive AMR data reports generated by surveillance sites at least once a year</w:t>
            </w:r>
            <w:r w:rsidRPr="365D9676">
              <w:rPr>
                <w:rFonts w:eastAsia="Calibri" w:cs="Calibri"/>
                <w:color w:val="000000"/>
                <w:sz w:val="20"/>
                <w:szCs w:val="20"/>
              </w:rPr>
              <w:t>? Is that an improvement compared to 2018 (i.e. Prior to Fleming Fund activities starting)? PROBE if yes: which organisation(s) assembles and submits these reports? What form do they take, what are they called (descriptive summary or analytical)? Is there good sector representation and national coverage? If yes, do you think that the reports are sufficient to amend national AMR strategy and enable effective AMR decision-making? If no, why not?</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5D8F3B8" w14:textId="2D180640" w:rsidR="365D9676" w:rsidRDefault="365D9676" w:rsidP="365D9676">
            <w:pPr>
              <w:rPr>
                <w:rFonts w:eastAsia="Calibri" w:cs="Calibri"/>
                <w:color w:val="000000"/>
                <w:sz w:val="20"/>
                <w:szCs w:val="20"/>
              </w:rPr>
            </w:pPr>
          </w:p>
        </w:tc>
      </w:tr>
      <w:tr w:rsidR="365D9676" w14:paraId="5B024E40" w14:textId="77777777" w:rsidTr="365D9676">
        <w:trPr>
          <w:trHeight w:val="130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CE4CC98" w14:textId="5018A0F1" w:rsidR="365D9676" w:rsidRDefault="365D9676" w:rsidP="365D9676">
            <w:pPr>
              <w:rPr>
                <w:rFonts w:eastAsia="Calibri" w:cs="Calibri"/>
                <w:color w:val="000000"/>
                <w:sz w:val="20"/>
                <w:szCs w:val="20"/>
              </w:rPr>
            </w:pPr>
            <w:r w:rsidRPr="365D9676">
              <w:rPr>
                <w:rFonts w:eastAsia="Calibri" w:cs="Calibri"/>
                <w:color w:val="000000"/>
                <w:sz w:val="20"/>
                <w:szCs w:val="20"/>
              </w:rPr>
              <w:t>EQ4</w:t>
            </w:r>
            <w:r w:rsidRPr="001B18E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5D91BC02" w14:textId="40B51A05" w:rsidR="365D9676" w:rsidRPr="001B18E8" w:rsidRDefault="365D9676" w:rsidP="365D9676">
            <w:pPr>
              <w:rPr>
                <w:rFonts w:eastAsia="Calibri" w:cs="Calibri"/>
                <w:color w:val="000000"/>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w:t>
            </w:r>
            <w:r w:rsidRPr="001B18E8">
              <w:rPr>
                <w:rFonts w:eastAsia="Calibri" w:cs="Calibri"/>
                <w:sz w:val="20"/>
                <w:szCs w:val="20"/>
              </w:rPr>
              <w:t xml:space="preserve">, </w:t>
            </w:r>
            <w:r w:rsidRPr="001B18E8">
              <w:rPr>
                <w:rFonts w:eastAsia="Calibri" w:cs="Calibri"/>
                <w:b/>
                <w:bCs/>
                <w:sz w:val="20"/>
                <w:szCs w:val="20"/>
              </w:rPr>
              <w:t>in order of importance</w:t>
            </w:r>
            <w:r w:rsidRPr="001B18E8">
              <w:rPr>
                <w:rFonts w:eastAsia="Calibri" w:cs="Calibri"/>
                <w:sz w:val="20"/>
                <w:szCs w:val="20"/>
              </w:rPr>
              <w:t>, behind such change? Probes: more and better data available from the surveillance system (in which case refer to QUANT &amp; QUAL contribution stories), data sharing processes and systems, resourcing, incentives, formal barriers, cooperation, governance, leadership demand, analytical entrepreneurs / champions, other..</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0B6EEF73" w14:textId="550BAC88" w:rsidR="365D9676" w:rsidRDefault="365D9676" w:rsidP="365D9676">
            <w:pPr>
              <w:rPr>
                <w:rFonts w:eastAsia="Calibri" w:cs="Calibri"/>
                <w:color w:val="000000"/>
                <w:sz w:val="20"/>
                <w:szCs w:val="20"/>
              </w:rPr>
            </w:pPr>
          </w:p>
        </w:tc>
      </w:tr>
      <w:tr w:rsidR="365D9676" w14:paraId="5CBDC4B1" w14:textId="77777777" w:rsidTr="365D9676">
        <w:trPr>
          <w:trHeight w:val="151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8FE8FCA" w14:textId="61D412CC" w:rsidR="365D9676" w:rsidRDefault="365D9676" w:rsidP="365D9676">
            <w:pPr>
              <w:rPr>
                <w:rFonts w:eastAsia="Calibri" w:cs="Calibri"/>
                <w:color w:val="000000"/>
                <w:sz w:val="20"/>
                <w:szCs w:val="20"/>
              </w:rPr>
            </w:pPr>
            <w:r w:rsidRPr="365D9676">
              <w:rPr>
                <w:rFonts w:eastAsia="Calibri" w:cs="Calibri"/>
                <w:color w:val="000000"/>
                <w:sz w:val="20"/>
                <w:szCs w:val="20"/>
              </w:rPr>
              <w:t>EQ4</w:t>
            </w:r>
            <w:r w:rsidRPr="001B18E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657091F3" w14:textId="160D8D5F" w:rsidR="365D9676" w:rsidRDefault="365D9676" w:rsidP="365D9676">
            <w:pPr>
              <w:rPr>
                <w:rFonts w:eastAsia="Calibri" w:cs="Calibri"/>
                <w:color w:val="000000"/>
                <w:sz w:val="20"/>
                <w:szCs w:val="20"/>
              </w:rPr>
            </w:pPr>
            <w:r w:rsidRPr="365D9676">
              <w:rPr>
                <w:rFonts w:eastAsia="Calibri" w:cs="Calibri"/>
                <w:color w:val="000000"/>
                <w:sz w:val="20"/>
                <w:szCs w:val="20"/>
              </w:rPr>
              <w:t>What was the Fleming Fund (</w:t>
            </w:r>
            <w:r w:rsidRPr="365D9676">
              <w:rPr>
                <w:rFonts w:eastAsia="Calibri" w:cs="Calibri"/>
                <w:b/>
                <w:bCs/>
                <w:color w:val="000000"/>
                <w:sz w:val="20"/>
                <w:szCs w:val="20"/>
              </w:rPr>
              <w:t>CG/RG/Fellows</w:t>
            </w:r>
            <w:r w:rsidRPr="365D9676">
              <w:rPr>
                <w:rFonts w:eastAsia="Calibri" w:cs="Calibri"/>
                <w:color w:val="000000"/>
                <w:sz w:val="20"/>
                <w:szCs w:val="20"/>
              </w:rPr>
              <w:t xml:space="preserve">) </w:t>
            </w:r>
            <w:r w:rsidRPr="365D9676">
              <w:rPr>
                <w:rFonts w:eastAsia="Calibri" w:cs="Calibri"/>
                <w:b/>
                <w:bCs/>
                <w:color w:val="000000"/>
                <w:sz w:val="20"/>
                <w:szCs w:val="20"/>
              </w:rPr>
              <w:t>contribution to those drivers</w:t>
            </w:r>
            <w:r w:rsidRPr="365D9676">
              <w:rPr>
                <w:rFonts w:eastAsia="Calibri" w:cs="Calibri"/>
                <w:color w:val="000000"/>
                <w:sz w:val="20"/>
                <w:szCs w:val="20"/>
              </w:rPr>
              <w:t>?</w:t>
            </w:r>
            <w:r>
              <w:br/>
            </w:r>
            <w:r w:rsidRPr="365D9676">
              <w:rPr>
                <w:rFonts w:eastAsia="Calibri" w:cs="Calibri"/>
                <w:color w:val="000000"/>
                <w:sz w:val="20"/>
                <w:szCs w:val="20"/>
              </w:rPr>
              <w:t>How vital was that it compared to the contribution of:</w:t>
            </w:r>
            <w:r>
              <w:br/>
            </w:r>
            <w:r w:rsidRPr="365D9676">
              <w:rPr>
                <w:rFonts w:eastAsia="Calibri" w:cs="Calibri"/>
                <w:color w:val="000000"/>
                <w:sz w:val="20"/>
                <w:szCs w:val="20"/>
              </w:rPr>
              <w:t>Global Projects (name any active in country)</w:t>
            </w:r>
            <w:r>
              <w:br/>
            </w:r>
            <w:r w:rsidRPr="365D9676">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32F08A8A" w14:textId="47AD5159" w:rsidR="365D9676" w:rsidRDefault="365D9676" w:rsidP="365D9676">
            <w:pPr>
              <w:rPr>
                <w:rFonts w:eastAsia="Calibri" w:cs="Calibri"/>
                <w:color w:val="000000"/>
                <w:sz w:val="20"/>
                <w:szCs w:val="20"/>
              </w:rPr>
            </w:pPr>
          </w:p>
        </w:tc>
      </w:tr>
      <w:tr w:rsidR="365D9676" w14:paraId="04C0E907" w14:textId="77777777" w:rsidTr="365D9676">
        <w:trPr>
          <w:trHeight w:val="94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80B8867" w14:textId="779C31D2" w:rsidR="365D9676" w:rsidRDefault="365D9676" w:rsidP="365D9676">
            <w:pPr>
              <w:rPr>
                <w:rFonts w:eastAsia="Calibri" w:cs="Calibri"/>
                <w:color w:val="000000"/>
                <w:sz w:val="20"/>
                <w:szCs w:val="20"/>
              </w:rPr>
            </w:pPr>
            <w:r w:rsidRPr="365D9676">
              <w:rPr>
                <w:rFonts w:eastAsia="Calibri" w:cs="Calibri"/>
                <w:color w:val="000000"/>
                <w:sz w:val="20"/>
                <w:szCs w:val="20"/>
              </w:rPr>
              <w:t>EQ4</w:t>
            </w:r>
            <w:r w:rsidRPr="001B18E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60C27827" w14:textId="1CA9B8A0" w:rsidR="365D9676" w:rsidRDefault="365D9676" w:rsidP="365D9676">
            <w:pPr>
              <w:rPr>
                <w:rFonts w:eastAsia="Calibri" w:cs="Calibri"/>
                <w:color w:val="000000"/>
                <w:sz w:val="20"/>
                <w:szCs w:val="20"/>
              </w:rPr>
            </w:pPr>
            <w:r w:rsidRPr="365D9676">
              <w:rPr>
                <w:rFonts w:eastAsia="Calibri" w:cs="Calibri"/>
                <w:color w:val="000000"/>
                <w:sz w:val="20"/>
                <w:szCs w:val="20"/>
              </w:rPr>
              <w:t xml:space="preserve">If there was </w:t>
            </w:r>
            <w:r w:rsidRPr="365D9676">
              <w:rPr>
                <w:rFonts w:eastAsia="Calibri" w:cs="Calibri"/>
                <w:b/>
                <w:bCs/>
                <w:color w:val="000000"/>
                <w:sz w:val="20"/>
                <w:szCs w:val="20"/>
              </w:rPr>
              <w:t xml:space="preserve">no or negative change </w:t>
            </w:r>
            <w:r w:rsidRPr="365D9676">
              <w:rPr>
                <w:rFonts w:eastAsia="Calibri" w:cs="Calibri"/>
                <w:color w:val="000000"/>
                <w:sz w:val="20"/>
                <w:szCs w:val="20"/>
              </w:rPr>
              <w:t xml:space="preserve">in this area, </w:t>
            </w:r>
            <w:r w:rsidRPr="365D9676">
              <w:rPr>
                <w:rFonts w:eastAsia="Calibri" w:cs="Calibri"/>
                <w:b/>
                <w:bCs/>
                <w:color w:val="000000"/>
                <w:sz w:val="20"/>
                <w:szCs w:val="20"/>
              </w:rPr>
              <w:t>why</w:t>
            </w:r>
            <w:r w:rsidRPr="365D9676">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24634CCC" w14:textId="6BC0F97A" w:rsidR="365D9676" w:rsidRDefault="365D9676" w:rsidP="365D9676">
            <w:pPr>
              <w:rPr>
                <w:rFonts w:eastAsia="Calibri" w:cs="Calibri"/>
                <w:color w:val="000000"/>
                <w:sz w:val="20"/>
                <w:szCs w:val="20"/>
              </w:rPr>
            </w:pPr>
          </w:p>
        </w:tc>
      </w:tr>
      <w:tr w:rsidR="365D9676" w14:paraId="6E1D0B6C" w14:textId="77777777" w:rsidTr="365D9676">
        <w:trPr>
          <w:trHeight w:val="157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CE792B9" w14:textId="22990B5D"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9B180A8" w14:textId="719CA595" w:rsidR="365D9676" w:rsidRDefault="365D9676" w:rsidP="365D9676">
            <w:pPr>
              <w:rPr>
                <w:rFonts w:eastAsia="Calibri" w:cs="Calibri"/>
                <w:color w:val="000000"/>
                <w:sz w:val="20"/>
                <w:szCs w:val="20"/>
              </w:rPr>
            </w:pPr>
          </w:p>
          <w:p w14:paraId="44C09F90" w14:textId="12DEFE55" w:rsidR="365D9676" w:rsidRPr="001B18E8" w:rsidRDefault="365D9676" w:rsidP="365D9676">
            <w:pPr>
              <w:spacing w:line="259" w:lineRule="auto"/>
              <w:rPr>
                <w:rFonts w:eastAsia="Calibri" w:cs="Calibri"/>
                <w:color w:val="000000"/>
                <w:sz w:val="20"/>
                <w:szCs w:val="20"/>
              </w:rPr>
            </w:pPr>
            <w:r w:rsidRPr="001B18E8">
              <w:rPr>
                <w:rFonts w:eastAsia="Calibri" w:cs="Calibri"/>
                <w:color w:val="000000"/>
                <w:sz w:val="20"/>
                <w:szCs w:val="20"/>
              </w:rPr>
              <w:t>Can you think of any other examples of relevant surveillance data being used to amend national strategy and/or inform decision-making’, apart from through data reports shared with AMRCC?</w:t>
            </w:r>
          </w:p>
          <w:p w14:paraId="055D5CC0" w14:textId="478CEC35" w:rsidR="365D9676" w:rsidRPr="001B18E8" w:rsidRDefault="365D9676" w:rsidP="365D9676">
            <w:pPr>
              <w:spacing w:line="259" w:lineRule="auto"/>
              <w:rPr>
                <w:rFonts w:eastAsia="Calibri" w:cs="Calibri"/>
                <w:color w:val="000000"/>
                <w:sz w:val="20"/>
                <w:szCs w:val="20"/>
              </w:rPr>
            </w:pPr>
            <w:r w:rsidRPr="001B18E8">
              <w:rPr>
                <w:rFonts w:eastAsia="Calibri" w:cs="Calibri"/>
                <w:color w:val="000000"/>
                <w:sz w:val="20"/>
                <w:szCs w:val="20"/>
              </w:rPr>
              <w:t xml:space="preserve"> </w:t>
            </w:r>
          </w:p>
          <w:p w14:paraId="46E3EA49" w14:textId="50E21FBA" w:rsidR="365D9676" w:rsidRPr="001B18E8" w:rsidRDefault="365D9676" w:rsidP="365D9676">
            <w:pPr>
              <w:spacing w:line="259" w:lineRule="auto"/>
              <w:rPr>
                <w:rFonts w:eastAsia="Calibri" w:cs="Calibri"/>
                <w:color w:val="000000"/>
                <w:sz w:val="20"/>
                <w:szCs w:val="20"/>
              </w:rPr>
            </w:pPr>
            <w:r w:rsidRPr="001B18E8">
              <w:rPr>
                <w:rFonts w:eastAsia="Calibri" w:cs="Calibri"/>
                <w:color w:val="000000"/>
                <w:sz w:val="20"/>
                <w:szCs w:val="20"/>
              </w:rPr>
              <w:t>If yes: Details? What data, in what form? Who are the decision-makers? One-off or routine? Current status?</w:t>
            </w:r>
          </w:p>
          <w:p w14:paraId="22E19710" w14:textId="7E018ED3" w:rsidR="365D9676" w:rsidRDefault="365D9676" w:rsidP="365D9676">
            <w:pPr>
              <w:rPr>
                <w:rFonts w:eastAsia="Calibri" w:cs="Calibri"/>
                <w:color w:val="000000"/>
                <w:sz w:val="20"/>
                <w:szCs w:val="20"/>
              </w:rPr>
            </w:pP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41B511F" w14:textId="4868372A" w:rsidR="365D9676" w:rsidRDefault="365D9676" w:rsidP="365D9676">
            <w:pPr>
              <w:rPr>
                <w:rFonts w:eastAsia="Calibri" w:cs="Calibri"/>
                <w:color w:val="000000"/>
                <w:sz w:val="20"/>
                <w:szCs w:val="20"/>
              </w:rPr>
            </w:pPr>
          </w:p>
        </w:tc>
      </w:tr>
      <w:tr w:rsidR="365D9676" w14:paraId="5413FB7D" w14:textId="77777777" w:rsidTr="365D9676">
        <w:trPr>
          <w:trHeight w:val="156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862E639" w14:textId="3884B0EF" w:rsidR="365D9676" w:rsidRDefault="365D9676" w:rsidP="365D9676">
            <w:pPr>
              <w:rPr>
                <w:rFonts w:eastAsia="Calibri" w:cs="Calibri"/>
                <w:color w:val="000000"/>
                <w:sz w:val="20"/>
                <w:szCs w:val="20"/>
              </w:rPr>
            </w:pPr>
            <w:r w:rsidRPr="365D9676">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881CF03" w14:textId="042DC4C3" w:rsidR="365D9676" w:rsidRDefault="365D9676" w:rsidP="365D9676">
            <w:pPr>
              <w:rPr>
                <w:rFonts w:eastAsia="Calibri" w:cs="Calibri"/>
                <w:color w:val="000000"/>
                <w:sz w:val="20"/>
                <w:szCs w:val="20"/>
              </w:rPr>
            </w:pPr>
            <w:r w:rsidRPr="365D9676">
              <w:rPr>
                <w:rFonts w:eastAsia="Calibri" w:cs="Calibri"/>
                <w:color w:val="000000"/>
                <w:sz w:val="20"/>
                <w:szCs w:val="20"/>
              </w:rPr>
              <w:t>We understand the AMRCC is expected to facilitate sharing and joint analysis of AMR data across different sectors. What is the nature of cross-sector collaborations being convened by the AMRCC? Which are the key institutions involved from different ministries? What is the nature of their involvement? In addition to facilitating AMR data use, what have been some of the other achievements of the AMRCC in your country?</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ECE94D2" w14:textId="4851B67A" w:rsidR="365D9676" w:rsidRDefault="365D9676" w:rsidP="365D9676">
            <w:pPr>
              <w:rPr>
                <w:rFonts w:eastAsia="Calibri" w:cs="Calibri"/>
                <w:color w:val="000000"/>
                <w:sz w:val="20"/>
                <w:szCs w:val="20"/>
              </w:rPr>
            </w:pPr>
          </w:p>
        </w:tc>
      </w:tr>
      <w:tr w:rsidR="365D9676" w14:paraId="2A983421" w14:textId="77777777" w:rsidTr="365D9676">
        <w:trPr>
          <w:trHeight w:val="234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3D606AF" w14:textId="3EABC108" w:rsidR="365D9676" w:rsidRDefault="365D9676" w:rsidP="365D9676">
            <w:pPr>
              <w:rPr>
                <w:rFonts w:eastAsia="Calibri" w:cs="Calibri"/>
                <w:color w:val="000000"/>
                <w:sz w:val="20"/>
                <w:szCs w:val="20"/>
              </w:rPr>
            </w:pPr>
            <w:r w:rsidRPr="365D9676">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C332A9E" w14:textId="5AB49D24" w:rsidR="365D9676" w:rsidRDefault="365D9676" w:rsidP="365D9676">
            <w:pPr>
              <w:rPr>
                <w:rFonts w:eastAsia="Calibri" w:cs="Calibri"/>
                <w:color w:val="000000"/>
                <w:sz w:val="20"/>
                <w:szCs w:val="20"/>
              </w:rPr>
            </w:pPr>
            <w:r w:rsidRPr="365D9676">
              <w:rPr>
                <w:rFonts w:eastAsia="Calibri" w:cs="Calibri"/>
                <w:color w:val="000000"/>
                <w:sz w:val="20"/>
                <w:szCs w:val="20"/>
              </w:rPr>
              <w:t>What are some of the other multisector coordination mechanisms in place to make decisions around AMR at the national and subnational levels? Are there any bodies or platforms or events where people from different sector meet outside the government? (e.g. seminars, AMR awareness week, etc.)  Can you recall some examples of collaborations between different sectors in the past, even if these do not specifically revolve around AMR?  Probe joint research activities; Training programmes, fellowships, including Fleming Fellows; Joint outbreak response activities, such as Avian Influenza, Ebola, etc.</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E8348A5" w14:textId="7B4BD4B0" w:rsidR="365D9676" w:rsidRDefault="365D9676" w:rsidP="365D9676">
            <w:pPr>
              <w:rPr>
                <w:rFonts w:eastAsia="Calibri" w:cs="Calibri"/>
                <w:color w:val="000000"/>
                <w:sz w:val="20"/>
                <w:szCs w:val="20"/>
              </w:rPr>
            </w:pPr>
          </w:p>
        </w:tc>
      </w:tr>
      <w:tr w:rsidR="365D9676" w14:paraId="68F5E72D" w14:textId="77777777" w:rsidTr="365D9676">
        <w:trPr>
          <w:trHeight w:val="259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F27AF5A" w14:textId="2C63FA5B" w:rsidR="365D9676" w:rsidRDefault="365D9676" w:rsidP="365D9676">
            <w:pPr>
              <w:rPr>
                <w:rFonts w:eastAsia="Calibri" w:cs="Calibri"/>
                <w:color w:val="000000"/>
                <w:sz w:val="20"/>
                <w:szCs w:val="20"/>
              </w:rPr>
            </w:pPr>
            <w:r w:rsidRPr="365D9676">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915EBFC" w14:textId="49F88540" w:rsidR="365D9676" w:rsidRDefault="365D9676" w:rsidP="365D9676">
            <w:pPr>
              <w:rPr>
                <w:rFonts w:eastAsia="Calibri" w:cs="Calibri"/>
                <w:color w:val="000000"/>
                <w:sz w:val="20"/>
                <w:szCs w:val="20"/>
              </w:rPr>
            </w:pPr>
            <w:r w:rsidRPr="365D9676">
              <w:rPr>
                <w:rFonts w:eastAsia="Calibri" w:cs="Calibri"/>
                <w:color w:val="000000"/>
                <w:sz w:val="20"/>
                <w:szCs w:val="20"/>
              </w:rPr>
              <w:t xml:space="preserve">Where are these (formal and informal) coordination mechanisms located? Are these hosted by a ministry, government agency, academic body, think tank? (Probe for each of the collaborating mechanisms identified above, if possible): </w:t>
            </w:r>
            <w:r>
              <w:br/>
            </w:r>
            <w:r w:rsidRPr="365D9676">
              <w:rPr>
                <w:rFonts w:eastAsia="Calibri" w:cs="Calibri"/>
                <w:color w:val="000000"/>
                <w:sz w:val="20"/>
                <w:szCs w:val="20"/>
              </w:rPr>
              <w:t>o Who chairs / leads the discussion?</w:t>
            </w:r>
            <w:r>
              <w:br/>
            </w:r>
            <w:r w:rsidRPr="365D9676">
              <w:rPr>
                <w:rFonts w:eastAsia="Calibri" w:cs="Calibri"/>
                <w:color w:val="000000"/>
                <w:sz w:val="20"/>
                <w:szCs w:val="20"/>
              </w:rPr>
              <w:t xml:space="preserve">o Who sets the agenda? </w:t>
            </w:r>
            <w:r>
              <w:br/>
            </w:r>
            <w:r w:rsidRPr="365D9676">
              <w:rPr>
                <w:rFonts w:eastAsia="Calibri" w:cs="Calibri"/>
                <w:color w:val="000000"/>
                <w:sz w:val="20"/>
                <w:szCs w:val="20"/>
              </w:rPr>
              <w:t>o What are its major functions/mandates?</w:t>
            </w:r>
            <w:r>
              <w:br/>
            </w:r>
            <w:r w:rsidRPr="365D9676">
              <w:rPr>
                <w:rFonts w:eastAsia="Calibri" w:cs="Calibri"/>
                <w:color w:val="000000"/>
                <w:sz w:val="20"/>
                <w:szCs w:val="20"/>
              </w:rPr>
              <w:t>o How is it funded?</w:t>
            </w:r>
            <w:r>
              <w:br/>
            </w:r>
            <w:r w:rsidRPr="365D9676">
              <w:rPr>
                <w:rFonts w:eastAsia="Calibri" w:cs="Calibri"/>
                <w:color w:val="000000"/>
                <w:sz w:val="20"/>
                <w:szCs w:val="20"/>
              </w:rPr>
              <w:t>o Can you describe any achievements / outcomes from these interactions?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661B48BB" w14:textId="3FEDA548" w:rsidR="365D9676" w:rsidRDefault="365D9676" w:rsidP="365D9676">
            <w:pPr>
              <w:rPr>
                <w:rFonts w:eastAsia="Calibri" w:cs="Calibri"/>
                <w:color w:val="000000"/>
                <w:sz w:val="20"/>
                <w:szCs w:val="20"/>
              </w:rPr>
            </w:pPr>
          </w:p>
        </w:tc>
      </w:tr>
      <w:tr w:rsidR="365D9676" w14:paraId="0C1E489D" w14:textId="77777777" w:rsidTr="365D9676">
        <w:trPr>
          <w:trHeight w:val="261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5497F5D" w14:textId="7471D71A" w:rsidR="365D9676" w:rsidRDefault="365D9676" w:rsidP="365D9676">
            <w:pPr>
              <w:rPr>
                <w:rFonts w:eastAsia="Calibri" w:cs="Calibri"/>
                <w:color w:val="000000"/>
                <w:sz w:val="20"/>
                <w:szCs w:val="20"/>
              </w:rPr>
            </w:pPr>
            <w:r w:rsidRPr="365D9676">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120245E" w14:textId="03542F0E" w:rsidR="365D9676" w:rsidRDefault="365D9676" w:rsidP="365D9676">
            <w:pPr>
              <w:rPr>
                <w:rFonts w:eastAsia="Calibri" w:cs="Calibri"/>
                <w:color w:val="000000"/>
                <w:sz w:val="20"/>
                <w:szCs w:val="20"/>
              </w:rPr>
            </w:pPr>
            <w:r w:rsidRPr="365D9676">
              <w:rPr>
                <w:rFonts w:eastAsia="Calibri" w:cs="Calibri"/>
                <w:color w:val="000000"/>
                <w:sz w:val="20"/>
                <w:szCs w:val="20"/>
              </w:rPr>
              <w:t>Would you say that the national AMR effort includes a clear and effective strategy for informing specific national actions using surveillance data?o eg as opposed to international reporting or local clinical practice</w:t>
            </w:r>
            <w:r>
              <w:br/>
            </w:r>
            <w:r w:rsidRPr="365D9676">
              <w:rPr>
                <w:rFonts w:eastAsia="Calibri" w:cs="Calibri"/>
                <w:color w:val="000000"/>
                <w:sz w:val="20"/>
                <w:szCs w:val="20"/>
              </w:rPr>
              <w:t>o If yes, how? What policy initiatives? What regulatory initiatives? What approach has been chosen to address practices and attitudes? (What approaches have been discarded?)</w:t>
            </w:r>
            <w:r>
              <w:br/>
            </w:r>
            <w:r w:rsidRPr="365D9676">
              <w:rPr>
                <w:rFonts w:eastAsia="Calibri" w:cs="Calibri"/>
                <w:color w:val="000000"/>
                <w:sz w:val="20"/>
                <w:szCs w:val="20"/>
              </w:rPr>
              <w:t>o PROBE: are sectoral distinctions important, for example policy for gradual development of guidelines in human health but focused push to regulate certain antimicrobial uses in animal health?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9473E43" w14:textId="39176C68" w:rsidR="365D9676" w:rsidRDefault="365D9676" w:rsidP="365D9676">
            <w:pPr>
              <w:rPr>
                <w:rFonts w:eastAsia="Calibri" w:cs="Calibri"/>
                <w:color w:val="000000"/>
                <w:sz w:val="20"/>
                <w:szCs w:val="20"/>
              </w:rPr>
            </w:pPr>
          </w:p>
        </w:tc>
      </w:tr>
      <w:tr w:rsidR="365D9676" w14:paraId="157908E3" w14:textId="77777777" w:rsidTr="365D9676">
        <w:trPr>
          <w:trHeight w:val="286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2D48411" w14:textId="03C059AA" w:rsidR="365D9676" w:rsidRDefault="365D9676" w:rsidP="365D9676">
            <w:pPr>
              <w:rPr>
                <w:rFonts w:eastAsia="Calibri" w:cs="Calibri"/>
                <w:color w:val="000000"/>
                <w:sz w:val="20"/>
                <w:szCs w:val="20"/>
              </w:rPr>
            </w:pPr>
            <w:r w:rsidRPr="365D9676">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8DD1361" w14:textId="46FD3B6A" w:rsidR="365D9676" w:rsidRDefault="365D9676" w:rsidP="365D9676">
            <w:pPr>
              <w:rPr>
                <w:rFonts w:eastAsia="Calibri" w:cs="Calibri"/>
                <w:color w:val="000000"/>
                <w:sz w:val="20"/>
                <w:szCs w:val="20"/>
              </w:rPr>
            </w:pPr>
            <w:r w:rsidRPr="365D9676">
              <w:rPr>
                <w:rFonts w:eastAsia="Calibri" w:cs="Calibri"/>
                <w:color w:val="000000"/>
                <w:sz w:val="20"/>
                <w:szCs w:val="20"/>
              </w:rPr>
              <w:t xml:space="preserve">What do you think should be the future priorities for the Fleming Fund when supporting national AMR actions using surveillance data? PROBES: </w:t>
            </w:r>
            <w:r>
              <w:br/>
            </w:r>
            <w:r w:rsidRPr="365D9676">
              <w:rPr>
                <w:rFonts w:eastAsia="Calibri" w:cs="Calibri"/>
                <w:color w:val="000000"/>
                <w:sz w:val="20"/>
                <w:szCs w:val="20"/>
              </w:rPr>
              <w:t>o Do you think that it will be more effective to foster local change (‘bottom up’) or to concentrate on motivating national initiatives (‘top down’)</w:t>
            </w:r>
            <w:r>
              <w:br/>
            </w:r>
            <w:r w:rsidRPr="365D9676">
              <w:rPr>
                <w:rFonts w:eastAsia="Calibri" w:cs="Calibri"/>
                <w:color w:val="000000"/>
                <w:sz w:val="20"/>
                <w:szCs w:val="20"/>
              </w:rPr>
              <w:t>o Will the data show a need for action (‘push’) or will intended actions show what data is needed (‘pull’)?</w:t>
            </w:r>
            <w:r>
              <w:br/>
            </w:r>
            <w:r w:rsidRPr="365D9676">
              <w:rPr>
                <w:rFonts w:eastAsia="Calibri" w:cs="Calibri"/>
                <w:color w:val="000000"/>
                <w:sz w:val="20"/>
                <w:szCs w:val="20"/>
              </w:rPr>
              <w:t>o What is more important, Infection Prevention &amp; Control (IPC) or Antimicrobial Use controls (AMU)?</w:t>
            </w:r>
            <w:r>
              <w:br/>
            </w:r>
            <w:r w:rsidRPr="365D9676">
              <w:rPr>
                <w:rFonts w:eastAsia="Calibri" w:cs="Calibri"/>
                <w:color w:val="000000"/>
                <w:sz w:val="20"/>
                <w:szCs w:val="20"/>
              </w:rPr>
              <w:t>o Why? What approaches would be required to address these priorities?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4B939A46" w14:textId="29834AEE" w:rsidR="365D9676" w:rsidRDefault="365D9676" w:rsidP="365D9676">
            <w:pPr>
              <w:rPr>
                <w:rFonts w:eastAsia="Calibri" w:cs="Calibri"/>
                <w:color w:val="000000"/>
                <w:sz w:val="20"/>
                <w:szCs w:val="20"/>
              </w:rPr>
            </w:pPr>
          </w:p>
        </w:tc>
      </w:tr>
    </w:tbl>
    <w:p w14:paraId="0BD5C5FD" w14:textId="62869C04" w:rsidR="6001A257" w:rsidRDefault="45B93E81" w:rsidP="365D9676">
      <w:pPr>
        <w:keepNext/>
        <w:spacing w:line="259" w:lineRule="auto"/>
      </w:pPr>
      <w:r>
        <w:br w:type="page"/>
      </w:r>
    </w:p>
    <w:p w14:paraId="29231C8C" w14:textId="3BA3ACA4" w:rsidR="6001A257" w:rsidRDefault="45B93E81" w:rsidP="365D9676">
      <w:pPr>
        <w:pStyle w:val="ItadH3"/>
        <w:keepNext/>
        <w:spacing w:after="160" w:line="259" w:lineRule="auto"/>
        <w:rPr>
          <w:rFonts w:eastAsia="Calibri" w:cs="Calibri"/>
          <w:b w:val="0"/>
          <w:bCs w:val="0"/>
          <w:color w:val="000000"/>
          <w:sz w:val="22"/>
          <w:szCs w:val="22"/>
          <w:lang w:val="en-GB"/>
        </w:rPr>
      </w:pPr>
      <w:bookmarkStart w:id="461" w:name="_Toc142383245"/>
      <w:r w:rsidRPr="365D9676">
        <w:rPr>
          <w:lang w:val="en-GB"/>
        </w:rPr>
        <w:t>KII Guide for AH Fellows</w:t>
      </w:r>
      <w:bookmarkEnd w:id="461"/>
    </w:p>
    <w:p w14:paraId="176427DB" w14:textId="6417932A" w:rsidR="76E554E9" w:rsidRDefault="76E554E9" w:rsidP="365D9676">
      <w:pPr>
        <w:widowControl w:val="0"/>
        <w:spacing w:after="160" w:line="259" w:lineRule="auto"/>
        <w:jc w:val="both"/>
        <w:rPr>
          <w:rFonts w:ascii="Calibri Light" w:eastAsia="Calibri Light" w:hAnsi="Calibri Light" w:cs="Calibri Light"/>
          <w:color w:val="2F5496"/>
          <w:sz w:val="26"/>
          <w:szCs w:val="26"/>
        </w:rPr>
      </w:pPr>
      <w:r w:rsidRPr="365D9676">
        <w:rPr>
          <w:rFonts w:ascii="Calibri Light" w:eastAsia="Calibri Light" w:hAnsi="Calibri Light" w:cs="Calibri Light"/>
          <w:color w:val="2F5496"/>
          <w:sz w:val="26"/>
          <w:szCs w:val="26"/>
          <w:lang w:val="de-DE"/>
        </w:rPr>
        <w:t>AH Fellows</w:t>
      </w:r>
    </w:p>
    <w:p w14:paraId="41717DDF" w14:textId="2F24D34F" w:rsidR="76E554E9" w:rsidRDefault="76E554E9" w:rsidP="365D9676">
      <w:pPr>
        <w:widowControl w:val="0"/>
        <w:spacing w:after="160" w:line="259" w:lineRule="auto"/>
        <w:jc w:val="both"/>
        <w:rPr>
          <w:rFonts w:eastAsia="Calibri" w:cs="Calibri"/>
          <w:color w:val="000000"/>
        </w:rPr>
      </w:pPr>
      <w:r w:rsidRPr="365D9676">
        <w:rPr>
          <w:rFonts w:eastAsia="Calibri" w:cs="Calibri"/>
          <w:b/>
          <w:bCs/>
          <w:color w:val="000000"/>
          <w:lang w:val="de-DE"/>
        </w:rPr>
        <w:t>KII name:</w:t>
      </w:r>
      <w:r w:rsidRPr="365D9676">
        <w:rPr>
          <w:rFonts w:eastAsia="Calibri" w:cs="Calibri"/>
          <w:b/>
          <w:bCs/>
          <w:color w:val="D13438"/>
          <w:u w:val="single"/>
          <w:lang w:val="de-DE"/>
        </w:rPr>
        <w:t xml:space="preserve"> </w:t>
      </w:r>
    </w:p>
    <w:p w14:paraId="46EF51B1" w14:textId="5940E3A3" w:rsidR="76E554E9" w:rsidRDefault="76E554E9" w:rsidP="365D9676">
      <w:pPr>
        <w:widowControl w:val="0"/>
        <w:spacing w:after="160" w:line="259" w:lineRule="auto"/>
        <w:jc w:val="both"/>
        <w:rPr>
          <w:rFonts w:eastAsia="Calibri" w:cs="Calibri"/>
          <w:color w:val="000000"/>
        </w:rPr>
      </w:pPr>
      <w:r w:rsidRPr="365D9676">
        <w:rPr>
          <w:rFonts w:eastAsia="Calibri" w:cs="Calibri"/>
          <w:b/>
          <w:bCs/>
          <w:color w:val="000000"/>
        </w:rPr>
        <w:t>KII date:</w:t>
      </w:r>
    </w:p>
    <w:p w14:paraId="0468AB9D" w14:textId="35719A9C" w:rsidR="76E554E9" w:rsidRPr="002B0A41" w:rsidRDefault="76E554E9" w:rsidP="365D9676">
      <w:pPr>
        <w:widowControl w:val="0"/>
        <w:spacing w:after="160" w:line="259" w:lineRule="auto"/>
        <w:jc w:val="both"/>
        <w:rPr>
          <w:rFonts w:eastAsia="Calibri" w:cs="Calibri"/>
          <w:color w:val="000000"/>
        </w:rPr>
      </w:pPr>
      <w:r w:rsidRPr="002B0A41">
        <w:rPr>
          <w:rFonts w:eastAsia="Calibri" w:cs="Calibri"/>
          <w:b/>
          <w:bCs/>
          <w:color w:val="000000"/>
        </w:rPr>
        <w:t>KII interviewer(s):</w:t>
      </w:r>
    </w:p>
    <w:p w14:paraId="6D33500B" w14:textId="4BA14F5A" w:rsidR="76E554E9" w:rsidRPr="002B0A41" w:rsidRDefault="76E554E9" w:rsidP="365D9676">
      <w:pPr>
        <w:spacing w:after="160" w:line="259" w:lineRule="auto"/>
        <w:rPr>
          <w:rFonts w:eastAsia="Calibri" w:cs="Calibri"/>
          <w:color w:val="000000"/>
        </w:rPr>
      </w:pPr>
      <w:r w:rsidRPr="002B0A41">
        <w:rPr>
          <w:rFonts w:eastAsia="Calibri" w:cs="Calibri"/>
          <w:b/>
          <w:bCs/>
          <w:color w:val="000000"/>
        </w:rPr>
        <w:t>Introduction</w:t>
      </w:r>
      <w:r w:rsidRPr="002B0A41">
        <w:rPr>
          <w:rFonts w:eastAsia="Calibri" w:cs="Calibri"/>
          <w:color w:val="000000"/>
        </w:rPr>
        <w:t xml:space="preserve"> – please adapt and summarise according to the stakeholder / her knowledge of the evaluation etc </w:t>
      </w:r>
      <w:r w:rsidRPr="002B0A41">
        <w:rPr>
          <w:rFonts w:ascii="Times New Roman" w:eastAsia="Times New Roman" w:hAnsi="Times New Roman" w:cs="Times New Roman"/>
          <w:color w:val="000000"/>
          <w:sz w:val="24"/>
          <w:szCs w:val="24"/>
        </w:rPr>
        <w:t>–</w:t>
      </w:r>
      <w:r w:rsidRPr="002B0A41">
        <w:rPr>
          <w:rFonts w:eastAsia="Calibri" w:cs="Calibri"/>
          <w:color w:val="000000"/>
        </w:rPr>
        <w:t xml:space="preserve"> aim to get this intro as short as possible.</w:t>
      </w:r>
    </w:p>
    <w:p w14:paraId="539B0BC1" w14:textId="0C55278F" w:rsidR="76E554E9" w:rsidRPr="002B0A41" w:rsidRDefault="76E554E9" w:rsidP="365D9676">
      <w:pPr>
        <w:spacing w:line="259" w:lineRule="auto"/>
        <w:rPr>
          <w:rFonts w:eastAsia="Calibri" w:cs="Calibri"/>
          <w:color w:val="000000"/>
        </w:rPr>
      </w:pPr>
      <w:r w:rsidRPr="002B0A41">
        <w:rPr>
          <w:rFonts w:eastAsia="Calibri" w:cs="Calibri"/>
          <w:color w:val="000000"/>
        </w:rPr>
        <w:t xml:space="preserve"> • </w:t>
      </w:r>
      <w:r w:rsidRPr="002B0A41">
        <w:rPr>
          <w:rFonts w:eastAsia="Calibri" w:cs="Calibri"/>
          <w:b/>
          <w:bCs/>
          <w:color w:val="000000"/>
        </w:rPr>
        <w:t>Thank you</w:t>
      </w:r>
      <w:r w:rsidRPr="002B0A41">
        <w:rPr>
          <w:rFonts w:eastAsia="Calibri" w:cs="Calibri"/>
          <w:color w:val="000000"/>
        </w:rPr>
        <w:t xml:space="preserve"> – Thank you the interviewee for having accepted the meeting and for their time today. </w:t>
      </w:r>
    </w:p>
    <w:p w14:paraId="019F6676" w14:textId="01A0B1FA" w:rsidR="76E554E9" w:rsidRPr="002B0A41" w:rsidRDefault="76E554E9"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Introductions</w:t>
      </w:r>
      <w:r w:rsidRPr="002B0A41">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2C12D08F" w14:textId="789E41F7" w:rsidR="76E554E9" w:rsidRPr="002B0A41" w:rsidRDefault="76E554E9" w:rsidP="365D9676">
      <w:pPr>
        <w:spacing w:line="259" w:lineRule="auto"/>
        <w:rPr>
          <w:rFonts w:eastAsia="Calibri" w:cs="Calibri"/>
          <w:color w:val="000000"/>
        </w:rPr>
      </w:pPr>
      <w:r w:rsidRPr="002B0A41">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7800699E" w14:textId="5AF78E45" w:rsidR="76E554E9" w:rsidRPr="002B0A41" w:rsidRDefault="76E554E9" w:rsidP="365D9676">
      <w:pPr>
        <w:spacing w:line="259" w:lineRule="auto"/>
        <w:rPr>
          <w:rFonts w:eastAsia="Calibri" w:cs="Calibri"/>
          <w:color w:val="000000"/>
        </w:rPr>
      </w:pPr>
      <w:r w:rsidRPr="002B0A41">
        <w:rPr>
          <w:rFonts w:eastAsia="Calibri" w:cs="Calibri"/>
          <w:color w:val="000000"/>
        </w:rPr>
        <w:t xml:space="preserve">[Let others introduce themselves or tell them there will be a chance after you have explained the purpose of the interview] </w:t>
      </w:r>
    </w:p>
    <w:p w14:paraId="58B906D0" w14:textId="69BCD7FB" w:rsidR="76E554E9" w:rsidRPr="002B0A41" w:rsidRDefault="76E554E9" w:rsidP="365D9676">
      <w:pPr>
        <w:spacing w:line="259" w:lineRule="auto"/>
        <w:rPr>
          <w:rFonts w:eastAsia="Calibri" w:cs="Calibri"/>
          <w:color w:val="000000"/>
        </w:rPr>
      </w:pPr>
      <w:r w:rsidRPr="002B0A41">
        <w:rPr>
          <w:rFonts w:eastAsia="Calibri" w:cs="Calibri"/>
          <w:color w:val="000000"/>
        </w:rPr>
        <w:t xml:space="preserve">[Acknowledge whether we have already interviewed the stakeholder during CV1/2]  </w:t>
      </w:r>
    </w:p>
    <w:p w14:paraId="00D41654" w14:textId="139FDB36" w:rsidR="76E554E9" w:rsidRPr="002B0A41" w:rsidRDefault="76E554E9" w:rsidP="365D9676">
      <w:pPr>
        <w:spacing w:line="259" w:lineRule="auto"/>
        <w:rPr>
          <w:rFonts w:eastAsia="Calibri" w:cs="Calibri"/>
          <w:color w:val="000000"/>
        </w:rPr>
      </w:pPr>
      <w:r w:rsidRPr="002B0A41">
        <w:rPr>
          <w:rFonts w:eastAsia="Calibri" w:cs="Calibri"/>
          <w:color w:val="000000"/>
        </w:rPr>
        <w:t xml:space="preserve"> </w:t>
      </w:r>
    </w:p>
    <w:p w14:paraId="7C114AD5" w14:textId="414207A4" w:rsidR="76E554E9" w:rsidRPr="002B0A41" w:rsidRDefault="76E554E9"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Purpose</w:t>
      </w:r>
      <w:r w:rsidRPr="002B0A41">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140808A9" w14:textId="1921F095" w:rsidR="76E554E9" w:rsidRPr="002B0A41" w:rsidRDefault="76E554E9"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 xml:space="preserve">Focus </w:t>
      </w:r>
      <w:r w:rsidRPr="002B0A41">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646DC616" w14:textId="2712394F" w:rsidR="76E554E9" w:rsidRPr="002B0A41" w:rsidRDefault="76E554E9" w:rsidP="00C6374D">
      <w:pPr>
        <w:pStyle w:val="ListParagraph"/>
        <w:numPr>
          <w:ilvl w:val="0"/>
          <w:numId w:val="24"/>
        </w:numPr>
        <w:spacing w:line="259" w:lineRule="auto"/>
        <w:rPr>
          <w:rFonts w:eastAsia="Calibri" w:cs="Calibri"/>
          <w:color w:val="000000"/>
        </w:rPr>
      </w:pPr>
      <w:r w:rsidRPr="002B0A41">
        <w:rPr>
          <w:rFonts w:eastAsia="Calibri" w:cs="Calibri"/>
          <w:color w:val="000000"/>
        </w:rPr>
        <w:t xml:space="preserve">More and better AMR/C/U data produced and shared at country level  </w:t>
      </w:r>
    </w:p>
    <w:p w14:paraId="1D498721" w14:textId="6F0A348C" w:rsidR="76E554E9" w:rsidRPr="002B0A41" w:rsidRDefault="76E554E9" w:rsidP="00C6374D">
      <w:pPr>
        <w:pStyle w:val="ListParagraph"/>
        <w:numPr>
          <w:ilvl w:val="0"/>
          <w:numId w:val="24"/>
        </w:numPr>
        <w:spacing w:line="259" w:lineRule="auto"/>
        <w:rPr>
          <w:rFonts w:eastAsia="Calibri" w:cs="Calibri"/>
          <w:color w:val="000000"/>
        </w:rPr>
      </w:pPr>
      <w:r w:rsidRPr="002B0A41">
        <w:rPr>
          <w:rFonts w:eastAsia="Calibri" w:cs="Calibri"/>
          <w:color w:val="000000"/>
        </w:rPr>
        <w:t xml:space="preserve">More and better AMR/C/U data shared internationally (with GLASS/OIE) </w:t>
      </w:r>
    </w:p>
    <w:p w14:paraId="622B2907" w14:textId="4BE1B009" w:rsidR="76E554E9" w:rsidRPr="002B0A41" w:rsidRDefault="76E554E9" w:rsidP="00C6374D">
      <w:pPr>
        <w:pStyle w:val="ListParagraph"/>
        <w:numPr>
          <w:ilvl w:val="0"/>
          <w:numId w:val="24"/>
        </w:numPr>
        <w:spacing w:line="259" w:lineRule="auto"/>
        <w:rPr>
          <w:rFonts w:eastAsia="Calibri" w:cs="Calibri"/>
          <w:color w:val="000000"/>
        </w:rPr>
      </w:pPr>
      <w:r w:rsidRPr="002B0A41">
        <w:rPr>
          <w:rFonts w:eastAsia="Calibri" w:cs="Calibri"/>
          <w:color w:val="000000"/>
        </w:rPr>
        <w:t xml:space="preserve">Regulatory and policy change that can have an impact in reducing AMR </w:t>
      </w:r>
    </w:p>
    <w:p w14:paraId="0CBD5DF6" w14:textId="29ACC25B" w:rsidR="76E554E9" w:rsidRPr="002B0A41" w:rsidRDefault="76E554E9" w:rsidP="00C6374D">
      <w:pPr>
        <w:pStyle w:val="ListParagraph"/>
        <w:numPr>
          <w:ilvl w:val="0"/>
          <w:numId w:val="24"/>
        </w:numPr>
        <w:spacing w:line="259" w:lineRule="auto"/>
        <w:rPr>
          <w:rFonts w:eastAsia="Calibri" w:cs="Calibri"/>
          <w:color w:val="000000"/>
        </w:rPr>
      </w:pPr>
      <w:r w:rsidRPr="002B0A41">
        <w:rPr>
          <w:rFonts w:eastAsia="Calibri" w:cs="Calibri"/>
          <w:color w:val="000000"/>
        </w:rPr>
        <w:t xml:space="preserve">Changes in practice / attitude towards the use of antimicrobials.  </w:t>
      </w:r>
    </w:p>
    <w:p w14:paraId="0F7BC02F" w14:textId="01F04C21" w:rsidR="76E554E9" w:rsidRPr="002B0A41" w:rsidRDefault="76E554E9" w:rsidP="365D9676">
      <w:pPr>
        <w:spacing w:line="259" w:lineRule="auto"/>
        <w:rPr>
          <w:rFonts w:eastAsia="Calibri" w:cs="Calibri"/>
          <w:color w:val="000000"/>
        </w:rPr>
      </w:pPr>
      <w:r w:rsidRPr="002B0A41">
        <w:rPr>
          <w:rFonts w:eastAsia="Calibri" w:cs="Calibri"/>
          <w:color w:val="000000"/>
        </w:rPr>
        <w:t xml:space="preserve"> </w:t>
      </w:r>
    </w:p>
    <w:p w14:paraId="5E5F6643" w14:textId="7F4CFEEC" w:rsidR="76E554E9" w:rsidRPr="002B0A41" w:rsidRDefault="76E554E9" w:rsidP="365D9676">
      <w:pPr>
        <w:spacing w:line="259" w:lineRule="auto"/>
        <w:rPr>
          <w:rFonts w:eastAsia="Calibri" w:cs="Calibri"/>
          <w:color w:val="000000"/>
        </w:rPr>
      </w:pPr>
      <w:r w:rsidRPr="002B0A41">
        <w:rPr>
          <w:rFonts w:eastAsia="Calibri" w:cs="Calibri"/>
          <w:color w:val="000000"/>
        </w:rPr>
        <w:t>We have also questions relate to coherence of Fleming Fund efforts with those of other actors in country, sustainability of FF results and Value for Money [adapt the list as appropriate].</w:t>
      </w:r>
    </w:p>
    <w:p w14:paraId="2AFA3E74" w14:textId="115F79CF" w:rsidR="76E554E9" w:rsidRPr="002B0A41" w:rsidRDefault="76E554E9" w:rsidP="365D9676">
      <w:pPr>
        <w:spacing w:line="259" w:lineRule="auto"/>
        <w:rPr>
          <w:rFonts w:eastAsia="Calibri" w:cs="Calibri"/>
          <w:color w:val="000000"/>
        </w:rPr>
      </w:pPr>
      <w:r w:rsidRPr="002B0A41">
        <w:rPr>
          <w:rFonts w:eastAsia="Calibri" w:cs="Calibri"/>
          <w:color w:val="000000"/>
        </w:rPr>
        <w:t xml:space="preserve"> </w:t>
      </w:r>
    </w:p>
    <w:p w14:paraId="1169F06F" w14:textId="3930EC12" w:rsidR="76E554E9" w:rsidRPr="002B0A41" w:rsidRDefault="76E554E9"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Confidentiality / permission to record</w:t>
      </w:r>
      <w:r w:rsidRPr="002B0A41">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1210600E" w14:textId="603AB464" w:rsidR="76E554E9" w:rsidRPr="002B0A41" w:rsidRDefault="76E554E9" w:rsidP="365D9676">
      <w:pPr>
        <w:spacing w:line="259" w:lineRule="auto"/>
        <w:rPr>
          <w:rFonts w:eastAsia="Calibri" w:cs="Calibri"/>
          <w:color w:val="000000"/>
        </w:rPr>
      </w:pPr>
      <w:r w:rsidRPr="002B0A41">
        <w:rPr>
          <w:rFonts w:eastAsia="Calibri" w:cs="Calibri"/>
          <w:color w:val="000000"/>
        </w:rPr>
        <w:t xml:space="preserve"> </w:t>
      </w:r>
    </w:p>
    <w:p w14:paraId="5E69914B" w14:textId="5390DA24" w:rsidR="76E554E9" w:rsidRDefault="76E554E9"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Duration</w:t>
      </w:r>
      <w:r w:rsidRPr="002B0A41">
        <w:rPr>
          <w:rFonts w:eastAsia="Calibri" w:cs="Calibri"/>
          <w:color w:val="000000"/>
        </w:rPr>
        <w:t xml:space="preserve"> – I expect the interview to take approximately [specify length] – is that okay? If</w:t>
      </w:r>
      <w:r w:rsidRPr="365D9676">
        <w:rPr>
          <w:rFonts w:eastAsia="Calibri" w:cs="Calibri"/>
          <w:color w:val="000000"/>
        </w:rPr>
        <w:t xml:space="preserve"> you do not have that much time let me know and I can make sure that I focus on the more important questions. Also, it’s absolutely fine if you do not know the answer to a question or prefer not to answer – just let me know and I’ll adapt the interview accordingly.   </w:t>
      </w:r>
    </w:p>
    <w:p w14:paraId="7C27CD2F" w14:textId="5F57E2BE" w:rsidR="76E554E9" w:rsidRDefault="76E554E9" w:rsidP="365D9676">
      <w:pPr>
        <w:spacing w:line="259" w:lineRule="auto"/>
        <w:rPr>
          <w:rFonts w:ascii="Segoe UI" w:eastAsia="Segoe UI" w:hAnsi="Segoe UI" w:cs="Segoe UI"/>
          <w:color w:val="000000"/>
        </w:rPr>
      </w:pPr>
      <w:r w:rsidRPr="365D9676">
        <w:rPr>
          <w:rFonts w:ascii="Segoe UI" w:eastAsia="Segoe UI" w:hAnsi="Segoe UI" w:cs="Segoe UI"/>
          <w:color w:val="000000"/>
        </w:rPr>
        <w:t xml:space="preserve"> </w:t>
      </w:r>
    </w:p>
    <w:p w14:paraId="604FFF41" w14:textId="33A3CF67" w:rsidR="76E554E9" w:rsidRDefault="76E554E9" w:rsidP="365D9676">
      <w:pPr>
        <w:spacing w:line="259" w:lineRule="auto"/>
        <w:rPr>
          <w:rFonts w:eastAsia="Calibri" w:cs="Calibri"/>
          <w:color w:val="000000"/>
        </w:rPr>
      </w:pPr>
      <w:r w:rsidRPr="365D9676">
        <w:rPr>
          <w:rFonts w:eastAsia="Calibri" w:cs="Calibri"/>
          <w:color w:val="000000"/>
        </w:rPr>
        <w:t xml:space="preserve">• </w:t>
      </w:r>
      <w:r w:rsidRPr="365D9676">
        <w:rPr>
          <w:rFonts w:eastAsia="Calibri" w:cs="Calibri"/>
          <w:b/>
          <w:bCs/>
          <w:color w:val="000000"/>
        </w:rPr>
        <w:t>Opportunity for questions</w:t>
      </w:r>
      <w:r w:rsidRPr="365D9676">
        <w:rPr>
          <w:rFonts w:eastAsia="Calibri" w:cs="Calibri"/>
          <w:color w:val="000000"/>
        </w:rPr>
        <w:t xml:space="preserve"> – Do you have any questions before we start? Of course you are also welcome to ask questions through the interview if something is not clear.  </w:t>
      </w: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75"/>
        <w:gridCol w:w="15"/>
        <w:gridCol w:w="6330"/>
        <w:gridCol w:w="6300"/>
      </w:tblGrid>
      <w:tr w:rsidR="365D9676" w14:paraId="5C229D42" w14:textId="77777777" w:rsidTr="0033094D">
        <w:trPr>
          <w:trHeight w:val="454"/>
          <w:tblHeader/>
        </w:trPr>
        <w:tc>
          <w:tcPr>
            <w:tcW w:w="97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5533B85E" w14:textId="11E532D5" w:rsidR="365D9676" w:rsidRDefault="365D9676" w:rsidP="0033094D">
            <w:pPr>
              <w:rPr>
                <w:rFonts w:eastAsia="Calibri" w:cs="Calibri"/>
                <w:color w:val="FFFFFF" w:themeColor="background1"/>
                <w:sz w:val="20"/>
                <w:szCs w:val="20"/>
              </w:rPr>
            </w:pPr>
            <w:r w:rsidRPr="365D9676">
              <w:rPr>
                <w:rFonts w:eastAsia="Calibri" w:cs="Calibri"/>
                <w:color w:val="FFFFFF" w:themeColor="background1"/>
                <w:sz w:val="20"/>
                <w:szCs w:val="20"/>
              </w:rPr>
              <w:t>EQ</w:t>
            </w:r>
          </w:p>
        </w:tc>
        <w:tc>
          <w:tcPr>
            <w:tcW w:w="6345" w:type="dxa"/>
            <w:gridSpan w:val="2"/>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65182F66" w14:textId="2B009DEA" w:rsidR="365D9676" w:rsidRDefault="365D9676" w:rsidP="0033094D">
            <w:pPr>
              <w:rPr>
                <w:rFonts w:eastAsia="Calibri" w:cs="Calibri"/>
                <w:color w:val="FFFFFF" w:themeColor="background1"/>
                <w:sz w:val="20"/>
                <w:szCs w:val="20"/>
              </w:rPr>
            </w:pPr>
            <w:r w:rsidRPr="365D9676">
              <w:rPr>
                <w:rFonts w:eastAsia="Calibri" w:cs="Calibri"/>
                <w:color w:val="FFFFFF" w:themeColor="background1"/>
                <w:sz w:val="20"/>
                <w:szCs w:val="20"/>
              </w:rPr>
              <w:t xml:space="preserve">List of questions  </w:t>
            </w:r>
          </w:p>
        </w:tc>
        <w:tc>
          <w:tcPr>
            <w:tcW w:w="6300" w:type="dxa"/>
            <w:tcBorders>
              <w:top w:val="single" w:sz="6" w:space="0" w:color="auto"/>
              <w:left w:val="nil"/>
              <w:bottom w:val="single" w:sz="6" w:space="0" w:color="auto"/>
              <w:right w:val="single" w:sz="6" w:space="0" w:color="auto"/>
            </w:tcBorders>
            <w:shd w:val="clear" w:color="auto" w:fill="8496B0"/>
            <w:tcMar>
              <w:left w:w="105" w:type="dxa"/>
              <w:right w:w="105" w:type="dxa"/>
            </w:tcMar>
            <w:vAlign w:val="center"/>
          </w:tcPr>
          <w:p w14:paraId="08D3F093" w14:textId="3AF20E0C" w:rsidR="365D9676" w:rsidRDefault="365D9676" w:rsidP="0033094D">
            <w:pPr>
              <w:rPr>
                <w:rFonts w:eastAsia="Calibri" w:cs="Calibri"/>
                <w:color w:val="FFFFFF" w:themeColor="background1"/>
                <w:sz w:val="20"/>
                <w:szCs w:val="20"/>
              </w:rPr>
            </w:pPr>
            <w:r w:rsidRPr="365D9676">
              <w:rPr>
                <w:rFonts w:eastAsia="Calibri" w:cs="Calibri"/>
                <w:color w:val="FFFFFF" w:themeColor="background1"/>
                <w:sz w:val="20"/>
                <w:szCs w:val="20"/>
              </w:rPr>
              <w:t>Response</w:t>
            </w:r>
          </w:p>
        </w:tc>
      </w:tr>
      <w:tr w:rsidR="365D9676" w14:paraId="03646E4D" w14:textId="77777777" w:rsidTr="365D9676">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1A6F0F8" w14:textId="4D903A7B" w:rsidR="365D9676" w:rsidRPr="001B18E8" w:rsidRDefault="365D9676" w:rsidP="365D9676">
            <w:pPr>
              <w:rPr>
                <w:rFonts w:eastAsia="Calibri" w:cs="Calibri"/>
                <w:color w:val="000000"/>
              </w:rPr>
            </w:pPr>
            <w:r w:rsidRPr="001B18E8">
              <w:rPr>
                <w:rFonts w:eastAsia="Calibri" w:cs="Calibri"/>
                <w:color w:val="000000"/>
              </w:rPr>
              <w:t>EQ1 (AH) / Change 2a</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DF0B753" w14:textId="536F99A1" w:rsidR="365D9676" w:rsidRPr="001B18E8" w:rsidRDefault="365D9676" w:rsidP="365D9676">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quantity</w:t>
            </w:r>
            <w:r w:rsidRPr="001B18E8">
              <w:rPr>
                <w:rFonts w:eastAsia="Calibri" w:cs="Calibri"/>
                <w:sz w:val="20"/>
                <w:szCs w:val="20"/>
              </w:rPr>
              <w:t xml:space="preserve"> of </w:t>
            </w:r>
            <w:r w:rsidRPr="001B18E8">
              <w:rPr>
                <w:sz w:val="20"/>
                <w:szCs w:val="20"/>
              </w:rPr>
              <w:t>AH</w:t>
            </w:r>
            <w:r w:rsidRPr="001B18E8">
              <w:rPr>
                <w:rFonts w:eastAsia="Calibri" w:cs="Calibri"/>
                <w:sz w:val="20"/>
                <w:szCs w:val="20"/>
              </w:rPr>
              <w:t xml:space="preserve"> AMR/C/U data generated has improved since 2018? Summarise our understanding of changes in data quantity (with a focus on</w:t>
            </w:r>
            <w:r w:rsidRPr="001B18E8">
              <w:rPr>
                <w:rFonts w:eastAsia="Calibri" w:cs="Calibri"/>
                <w:strike/>
                <w:sz w:val="20"/>
                <w:szCs w:val="20"/>
              </w:rPr>
              <w:t>,</w:t>
            </w:r>
            <w:r w:rsidRPr="001B18E8">
              <w:rPr>
                <w:rFonts w:eastAsia="Calibri" w:cs="Calibri"/>
                <w:sz w:val="20"/>
                <w:szCs w:val="20"/>
              </w:rPr>
              <w:t xml:space="preserve"> samples) obtained from document review.  To what extent your records on quantity of AMR/U/C data generated match with our understanding? </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02C0F297" w14:textId="7A6BB359" w:rsidR="365D9676" w:rsidRDefault="365D9676" w:rsidP="365D9676">
            <w:pPr>
              <w:rPr>
                <w:rFonts w:eastAsia="Calibri" w:cs="Calibri"/>
                <w:color w:val="000000"/>
                <w:sz w:val="20"/>
                <w:szCs w:val="20"/>
              </w:rPr>
            </w:pPr>
          </w:p>
        </w:tc>
      </w:tr>
      <w:tr w:rsidR="365D9676" w14:paraId="223400FB" w14:textId="77777777" w:rsidTr="0033094D">
        <w:trPr>
          <w:trHeight w:val="907"/>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AB8D5C3" w14:textId="5AEBE964" w:rsidR="365D9676" w:rsidRPr="001B18E8" w:rsidRDefault="365D9676" w:rsidP="0033094D">
            <w:pPr>
              <w:rPr>
                <w:rFonts w:eastAsia="Calibri" w:cs="Calibri"/>
                <w:color w:val="000000"/>
              </w:rPr>
            </w:pPr>
            <w:r w:rsidRPr="001B18E8">
              <w:rPr>
                <w:color w:val="000000"/>
              </w:rPr>
              <w:t>EQ1 (AH)  </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DF72618" w14:textId="4BD30639" w:rsidR="365D9676" w:rsidRPr="001B18E8" w:rsidRDefault="365D9676" w:rsidP="365D9676">
            <w:pPr>
              <w:rPr>
                <w:rFonts w:eastAsia="Calibri" w:cs="Calibri"/>
                <w:sz w:val="20"/>
                <w:szCs w:val="20"/>
              </w:rPr>
            </w:pPr>
            <w:r w:rsidRPr="001B18E8">
              <w:rPr>
                <w:rStyle w:val="normaltextrun"/>
                <w:rFonts w:eastAsia="Calibri" w:cs="Calibri"/>
                <w:sz w:val="20"/>
                <w:szCs w:val="20"/>
              </w:rPr>
              <w:t>To what extent have active surveillance surveys been undertaken as part of a broader strategy? Probe on when relevant strategy was published.</w:t>
            </w:r>
            <w:r w:rsidRPr="001B18E8">
              <w:rPr>
                <w:rStyle w:val="eop"/>
                <w:rFonts w:eastAsia="Calibri" w:cs="Calibri"/>
                <w:sz w:val="20"/>
                <w:szCs w:val="20"/>
              </w:rPr>
              <w:t> </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0BD71A6B" w14:textId="61F5F785" w:rsidR="365D9676" w:rsidRDefault="365D9676" w:rsidP="365D9676">
            <w:pPr>
              <w:rPr>
                <w:rFonts w:eastAsia="Calibri" w:cs="Calibri"/>
                <w:color w:val="000000"/>
                <w:sz w:val="20"/>
                <w:szCs w:val="20"/>
              </w:rPr>
            </w:pPr>
          </w:p>
        </w:tc>
      </w:tr>
      <w:tr w:rsidR="365D9676" w14:paraId="41D0E3C1" w14:textId="77777777" w:rsidTr="365D9676">
        <w:trPr>
          <w:trHeight w:val="1290"/>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CBD4807" w14:textId="65E41F3D" w:rsidR="365D9676" w:rsidRPr="001B18E8" w:rsidRDefault="365D9676" w:rsidP="001B18E8">
            <w:pPr>
              <w:rPr>
                <w:rFonts w:eastAsia="Calibri" w:cs="Calibri"/>
                <w:color w:val="000000"/>
              </w:rPr>
            </w:pPr>
            <w:r w:rsidRPr="001B18E8">
              <w:rPr>
                <w:rFonts w:eastAsia="Calibri" w:cs="Calibri"/>
                <w:color w:val="000000"/>
              </w:rPr>
              <w:t>EQ1 (AH) / Change 2a</w:t>
            </w:r>
          </w:p>
        </w:tc>
        <w:tc>
          <w:tcPr>
            <w:tcW w:w="6345"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C3622A2" w14:textId="04482A0B"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Number of active sampling exercises, Number of pathogens , human capacity, Renovation and equipment, consumable, Prioritisation, governance, engagement with agriculture/industry for sampling</w:t>
            </w:r>
            <w:r w:rsidRPr="001B18E8">
              <w:rPr>
                <w:rFonts w:eastAsia="Calibri" w:cs="Calibri"/>
                <w:b/>
                <w:bCs/>
                <w:sz w:val="20"/>
                <w:szCs w:val="20"/>
              </w:rPr>
              <w:t xml:space="preserve"> </w:t>
            </w:r>
          </w:p>
        </w:tc>
        <w:tc>
          <w:tcPr>
            <w:tcW w:w="6300" w:type="dxa"/>
            <w:tcBorders>
              <w:top w:val="single" w:sz="6" w:space="0" w:color="auto"/>
              <w:left w:val="nil"/>
              <w:bottom w:val="single" w:sz="6" w:space="0" w:color="auto"/>
              <w:right w:val="single" w:sz="6" w:space="0" w:color="auto"/>
            </w:tcBorders>
            <w:tcMar>
              <w:left w:w="105" w:type="dxa"/>
              <w:right w:w="105" w:type="dxa"/>
            </w:tcMar>
          </w:tcPr>
          <w:p w14:paraId="6E452FC3" w14:textId="4D25CA2C" w:rsidR="365D9676" w:rsidRDefault="365D9676" w:rsidP="365D9676">
            <w:pPr>
              <w:rPr>
                <w:rFonts w:eastAsia="Calibri" w:cs="Calibri"/>
                <w:color w:val="0078D4"/>
                <w:sz w:val="20"/>
                <w:szCs w:val="20"/>
              </w:rPr>
            </w:pPr>
          </w:p>
        </w:tc>
      </w:tr>
      <w:tr w:rsidR="365D9676" w14:paraId="4DDB195C" w14:textId="77777777" w:rsidTr="365D9676">
        <w:trPr>
          <w:trHeight w:val="1290"/>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DBD6194" w14:textId="73AE8577" w:rsidR="365D9676" w:rsidRPr="001B18E8" w:rsidRDefault="365D9676" w:rsidP="001B18E8">
            <w:pPr>
              <w:rPr>
                <w:rFonts w:eastAsia="Calibri" w:cs="Calibri"/>
                <w:color w:val="000000"/>
              </w:rPr>
            </w:pPr>
            <w:r w:rsidRPr="001B18E8">
              <w:rPr>
                <w:rFonts w:eastAsia="Calibri" w:cs="Calibri"/>
                <w:color w:val="000000"/>
              </w:rPr>
              <w:t>EQ1 (AH) / Change 2a</w:t>
            </w:r>
          </w:p>
        </w:tc>
        <w:tc>
          <w:tcPr>
            <w:tcW w:w="6345"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9E4F0A5" w14:textId="3C2F1820" w:rsidR="365D9676" w:rsidRPr="001B18E8" w:rsidRDefault="365D9676" w:rsidP="365D9676">
            <w:pPr>
              <w:rPr>
                <w:rFonts w:eastAsia="Calibri" w:cs="Calibri"/>
                <w:sz w:val="20"/>
                <w:szCs w:val="20"/>
              </w:rPr>
            </w:pPr>
            <w:r w:rsidRPr="001B18E8">
              <w:rPr>
                <w:rFonts w:eastAsia="Calibri" w:cs="Calibri"/>
                <w:sz w:val="20"/>
                <w:szCs w:val="20"/>
              </w:rPr>
              <w:t>What was the Fleming Fund (</w:t>
            </w:r>
            <w:r w:rsidRPr="001B18E8">
              <w:rPr>
                <w:rFonts w:eastAsia="Calibri" w:cs="Calibri"/>
                <w:b/>
                <w:bCs/>
                <w:sz w:val="20"/>
                <w:szCs w:val="20"/>
              </w:rPr>
              <w:t>CG/RG/Fellows</w:t>
            </w:r>
            <w:r w:rsidRPr="001B18E8">
              <w:rPr>
                <w:rFonts w:eastAsia="Calibri" w:cs="Calibri"/>
                <w:sz w:val="20"/>
                <w:szCs w:val="20"/>
              </w:rPr>
              <w:t xml:space="preserve">) </w:t>
            </w:r>
            <w:r w:rsidRPr="001B18E8">
              <w:rPr>
                <w:rFonts w:eastAsia="Calibri" w:cs="Calibri"/>
                <w:b/>
                <w:bCs/>
                <w:sz w:val="20"/>
                <w:szCs w:val="20"/>
              </w:rPr>
              <w:t>contribution</w:t>
            </w:r>
            <w:r w:rsidRPr="001B18E8">
              <w:rPr>
                <w:rFonts w:eastAsia="Calibri" w:cs="Calibri"/>
                <w:sz w:val="20"/>
                <w:szCs w:val="20"/>
              </w:rPr>
              <w:t xml:space="preserve"> to those drivers?</w:t>
            </w:r>
            <w:r w:rsidRPr="001B18E8">
              <w:br/>
            </w:r>
            <w:r w:rsidRPr="001B18E8">
              <w:rPr>
                <w:rFonts w:eastAsia="Calibri" w:cs="Calibri"/>
                <w:sz w:val="20"/>
                <w:szCs w:val="20"/>
              </w:rPr>
              <w:t>How vital was that it compared to the contribution of:</w:t>
            </w:r>
            <w:r w:rsidRPr="001B18E8">
              <w:br/>
            </w:r>
            <w:r w:rsidRPr="001B18E8">
              <w:rPr>
                <w:rFonts w:eastAsia="Calibri" w:cs="Calibri"/>
                <w:sz w:val="20"/>
                <w:szCs w:val="20"/>
              </w:rPr>
              <w:t>-Global Projects (name any active in country)</w:t>
            </w:r>
            <w:r w:rsidRPr="001B18E8">
              <w:br/>
            </w:r>
            <w:r w:rsidRPr="001B18E8">
              <w:rPr>
                <w:rFonts w:eastAsia="Calibri" w:cs="Calibri"/>
                <w:sz w:val="20"/>
                <w:szCs w:val="20"/>
              </w:rPr>
              <w:t>-Other influencing factors (could be government activities, interventions by other DPs or exogenous factors such as COVID-19?</w:t>
            </w:r>
          </w:p>
        </w:tc>
        <w:tc>
          <w:tcPr>
            <w:tcW w:w="6300" w:type="dxa"/>
            <w:tcBorders>
              <w:top w:val="single" w:sz="6" w:space="0" w:color="auto"/>
              <w:left w:val="nil"/>
              <w:bottom w:val="single" w:sz="6" w:space="0" w:color="auto"/>
              <w:right w:val="single" w:sz="6" w:space="0" w:color="auto"/>
            </w:tcBorders>
            <w:tcMar>
              <w:left w:w="105" w:type="dxa"/>
              <w:right w:w="105" w:type="dxa"/>
            </w:tcMar>
          </w:tcPr>
          <w:p w14:paraId="7561AC95" w14:textId="2605D48D" w:rsidR="365D9676" w:rsidRDefault="365D9676" w:rsidP="365D9676">
            <w:pPr>
              <w:rPr>
                <w:rFonts w:eastAsia="Calibri" w:cs="Calibri"/>
                <w:color w:val="0078D4"/>
                <w:sz w:val="20"/>
                <w:szCs w:val="20"/>
              </w:rPr>
            </w:pPr>
          </w:p>
        </w:tc>
      </w:tr>
      <w:tr w:rsidR="365D9676" w14:paraId="0BBD4B10" w14:textId="77777777" w:rsidTr="0033094D">
        <w:trPr>
          <w:trHeight w:val="964"/>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FF65315" w14:textId="6D28762A" w:rsidR="365D9676" w:rsidRPr="001B18E8" w:rsidRDefault="365D9676" w:rsidP="001B18E8">
            <w:pPr>
              <w:rPr>
                <w:rFonts w:eastAsia="Calibri" w:cs="Calibri"/>
                <w:color w:val="000000"/>
              </w:rPr>
            </w:pPr>
            <w:r w:rsidRPr="001B18E8">
              <w:rPr>
                <w:rFonts w:eastAsia="Calibri" w:cs="Calibri"/>
                <w:color w:val="000000"/>
              </w:rPr>
              <w:t>EQ1 (AH) / Change 2a</w:t>
            </w:r>
          </w:p>
        </w:tc>
        <w:tc>
          <w:tcPr>
            <w:tcW w:w="6345"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095CE63" w14:textId="5321FD79" w:rsidR="365D9676" w:rsidRPr="001B18E8" w:rsidRDefault="365D9676" w:rsidP="0033094D">
            <w:pPr>
              <w:rPr>
                <w:rFonts w:eastAsia="Calibri" w:cs="Calibri"/>
                <w:sz w:val="20"/>
                <w:szCs w:val="20"/>
              </w:rPr>
            </w:pPr>
            <w:r w:rsidRPr="001B18E8">
              <w:rPr>
                <w:rFonts w:eastAsia="Calibri" w:cs="Calibri"/>
                <w:sz w:val="20"/>
                <w:szCs w:val="20"/>
              </w:rPr>
              <w:t xml:space="preserve">If there was </w:t>
            </w:r>
            <w:r w:rsidRPr="001B18E8">
              <w:rPr>
                <w:rFonts w:eastAsia="Calibri" w:cs="Calibri"/>
                <w:b/>
                <w:bCs/>
                <w:sz w:val="20"/>
                <w:szCs w:val="20"/>
              </w:rPr>
              <w:t xml:space="preserve">no or negative change </w:t>
            </w:r>
            <w:r w:rsidRPr="001B18E8">
              <w:rPr>
                <w:rFonts w:eastAsia="Calibri" w:cs="Calibri"/>
                <w:sz w:val="20"/>
                <w:szCs w:val="20"/>
              </w:rPr>
              <w:t xml:space="preserve">in this area, </w:t>
            </w:r>
            <w:r w:rsidRPr="001B18E8">
              <w:rPr>
                <w:rFonts w:eastAsia="Calibri" w:cs="Calibri"/>
                <w:b/>
                <w:bCs/>
                <w:sz w:val="20"/>
                <w:szCs w:val="20"/>
              </w:rPr>
              <w:t>why</w:t>
            </w:r>
            <w:r w:rsidRPr="001B18E8">
              <w:rPr>
                <w:rFonts w:eastAsia="Calibri" w:cs="Calibri"/>
                <w:sz w:val="20"/>
                <w:szCs w:val="20"/>
              </w:rPr>
              <w:t xml:space="preserve"> was that? And what has the FF and others done to improve the situation?</w:t>
            </w:r>
          </w:p>
        </w:tc>
        <w:tc>
          <w:tcPr>
            <w:tcW w:w="6300" w:type="dxa"/>
            <w:tcBorders>
              <w:top w:val="single" w:sz="6" w:space="0" w:color="auto"/>
              <w:left w:val="nil"/>
              <w:bottom w:val="single" w:sz="6" w:space="0" w:color="auto"/>
              <w:right w:val="single" w:sz="6" w:space="0" w:color="auto"/>
            </w:tcBorders>
            <w:tcMar>
              <w:left w:w="105" w:type="dxa"/>
              <w:right w:w="105" w:type="dxa"/>
            </w:tcMar>
          </w:tcPr>
          <w:p w14:paraId="6E737777" w14:textId="586B0FB5" w:rsidR="365D9676" w:rsidRDefault="365D9676" w:rsidP="365D9676">
            <w:pPr>
              <w:rPr>
                <w:rFonts w:eastAsia="Calibri" w:cs="Calibri"/>
                <w:color w:val="0078D4"/>
                <w:sz w:val="20"/>
                <w:szCs w:val="20"/>
              </w:rPr>
            </w:pPr>
          </w:p>
        </w:tc>
      </w:tr>
      <w:tr w:rsidR="365D9676" w14:paraId="1FDFDCB4" w14:textId="77777777" w:rsidTr="0033094D">
        <w:trPr>
          <w:trHeight w:val="2551"/>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540CD19" w14:textId="00309D9E" w:rsidR="365D9676" w:rsidRPr="001B18E8" w:rsidRDefault="365D9676" w:rsidP="365D9676">
            <w:pPr>
              <w:rPr>
                <w:rFonts w:eastAsia="Calibri" w:cs="Calibri"/>
                <w:color w:val="000000"/>
              </w:rPr>
            </w:pPr>
            <w:r w:rsidRPr="001B18E8">
              <w:rPr>
                <w:rFonts w:eastAsia="Calibri" w:cs="Calibri"/>
                <w:color w:val="000000"/>
              </w:rPr>
              <w:t>EQ1 (AH) / Change 2b</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F71B9F5" w14:textId="67223D67" w:rsidR="365D9676" w:rsidRPr="001B18E8" w:rsidRDefault="365D9676" w:rsidP="365D9676">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quality</w:t>
            </w:r>
            <w:r w:rsidRPr="001B18E8">
              <w:rPr>
                <w:rFonts w:eastAsia="Calibri" w:cs="Calibri"/>
                <w:sz w:val="20"/>
                <w:szCs w:val="20"/>
              </w:rPr>
              <w:t xml:space="preserve"> of AH AMR data has improved? </w:t>
            </w:r>
            <w:r w:rsidRPr="001B18E8">
              <w:br/>
            </w:r>
            <w:r w:rsidRPr="001B18E8">
              <w:rPr>
                <w:rFonts w:eastAsia="Calibri" w:cs="Calibri"/>
                <w:sz w:val="20"/>
                <w:szCs w:val="20"/>
              </w:rPr>
              <w:t>-some prompts that maybe helpful for this question are (1) SOPs, (2) automated instruments, (3) internal and/or external quality assurance procedures, (4) better supplies of reagents/better quality equipment or infrastructure (eg fridges/freezers), (5) Training and/or supervision, (6) Quality manager, (7) Accreditation processes, (8) Reporting of data to clinicians (for HH).</w:t>
            </w:r>
            <w:r w:rsidRPr="001B18E8">
              <w:br/>
            </w:r>
            <w:r w:rsidRPr="001B18E8">
              <w:rPr>
                <w:rFonts w:eastAsia="Calibri" w:cs="Calibri"/>
                <w:sz w:val="20"/>
                <w:szCs w:val="20"/>
              </w:rPr>
              <w:t>- Would be useful to get a feel for what level the improvements are at (references labs and/or surveillance sites or facility laboratories)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3A4B85D1" w14:textId="38680E87" w:rsidR="365D9676" w:rsidRDefault="365D9676" w:rsidP="365D9676">
            <w:pPr>
              <w:rPr>
                <w:rFonts w:eastAsia="Calibri" w:cs="Calibri"/>
                <w:color w:val="000000"/>
                <w:sz w:val="20"/>
                <w:szCs w:val="20"/>
              </w:rPr>
            </w:pPr>
          </w:p>
        </w:tc>
      </w:tr>
      <w:tr w:rsidR="365D9676" w14:paraId="64707EE0" w14:textId="77777777" w:rsidTr="0033094D">
        <w:trPr>
          <w:trHeight w:val="1304"/>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7729D4A" w14:textId="29A2FE24" w:rsidR="365D9676" w:rsidRPr="001B18E8" w:rsidRDefault="365D9676" w:rsidP="365D9676">
            <w:pPr>
              <w:rPr>
                <w:rFonts w:eastAsia="Calibri" w:cs="Calibri"/>
                <w:color w:val="000000"/>
              </w:rPr>
            </w:pPr>
            <w:r w:rsidRPr="001B18E8">
              <w:rPr>
                <w:rFonts w:eastAsia="Calibri" w:cs="Calibri"/>
                <w:color w:val="000000"/>
              </w:rPr>
              <w:t>EQ1 (AH) / Change 2b</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3E6C3D1C" w14:textId="6D34A8D5"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investments in human capacity, renovation work abd improved equipment, reliable supply of reagents, SOPs, internal QA/QM, participation in EQA, prioritisation, governance, other...</w:t>
            </w:r>
          </w:p>
        </w:tc>
        <w:tc>
          <w:tcPr>
            <w:tcW w:w="6300" w:type="dxa"/>
            <w:tcBorders>
              <w:top w:val="single" w:sz="6" w:space="0" w:color="auto"/>
              <w:left w:val="nil"/>
              <w:bottom w:val="single" w:sz="6" w:space="0" w:color="auto"/>
              <w:right w:val="single" w:sz="6" w:space="0" w:color="auto"/>
            </w:tcBorders>
            <w:shd w:val="clear" w:color="auto" w:fill="FCE4D6"/>
            <w:tcMar>
              <w:left w:w="105" w:type="dxa"/>
              <w:right w:w="105" w:type="dxa"/>
            </w:tcMar>
          </w:tcPr>
          <w:p w14:paraId="1329A264" w14:textId="46466829" w:rsidR="365D9676" w:rsidRDefault="365D9676" w:rsidP="365D9676">
            <w:pPr>
              <w:rPr>
                <w:rFonts w:eastAsia="Calibri" w:cs="Calibri"/>
                <w:color w:val="000000"/>
                <w:sz w:val="20"/>
                <w:szCs w:val="20"/>
              </w:rPr>
            </w:pPr>
          </w:p>
        </w:tc>
      </w:tr>
      <w:tr w:rsidR="365D9676" w14:paraId="365CB99C" w14:textId="77777777" w:rsidTr="0033094D">
        <w:trPr>
          <w:trHeight w:val="1701"/>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FBCA641" w14:textId="76771955" w:rsidR="365D9676" w:rsidRPr="001B18E8" w:rsidRDefault="365D9676" w:rsidP="365D9676">
            <w:pPr>
              <w:rPr>
                <w:rFonts w:eastAsia="Calibri" w:cs="Calibri"/>
                <w:color w:val="000000"/>
              </w:rPr>
            </w:pPr>
            <w:r w:rsidRPr="001B18E8">
              <w:rPr>
                <w:rFonts w:eastAsia="Calibri" w:cs="Calibri"/>
                <w:color w:val="000000"/>
              </w:rPr>
              <w:t>EQ1 (AH) / Change 2b</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587967E2" w14:textId="6E2459D5" w:rsidR="365D9676" w:rsidRPr="001B18E8" w:rsidRDefault="365D9676" w:rsidP="365D9676">
            <w:pPr>
              <w:rPr>
                <w:rFonts w:eastAsia="Calibri" w:cs="Calibri"/>
                <w:sz w:val="20"/>
                <w:szCs w:val="20"/>
              </w:rPr>
            </w:pPr>
            <w:r w:rsidRPr="001B18E8">
              <w:rPr>
                <w:rFonts w:eastAsia="Calibri" w:cs="Calibri"/>
                <w:sz w:val="20"/>
                <w:szCs w:val="20"/>
              </w:rPr>
              <w:t>What was the Fleming Fund (</w:t>
            </w:r>
            <w:r w:rsidRPr="001B18E8">
              <w:rPr>
                <w:rFonts w:eastAsia="Calibri" w:cs="Calibri"/>
                <w:b/>
                <w:bCs/>
                <w:sz w:val="20"/>
                <w:szCs w:val="20"/>
              </w:rPr>
              <w:t>CG/RG/Fellows</w:t>
            </w:r>
            <w:r w:rsidRPr="001B18E8">
              <w:rPr>
                <w:rFonts w:eastAsia="Calibri" w:cs="Calibri"/>
                <w:sz w:val="20"/>
                <w:szCs w:val="20"/>
              </w:rPr>
              <w:t xml:space="preserve">) </w:t>
            </w:r>
            <w:r w:rsidRPr="001B18E8">
              <w:rPr>
                <w:rFonts w:eastAsia="Calibri" w:cs="Calibri"/>
                <w:b/>
                <w:bCs/>
                <w:sz w:val="20"/>
                <w:szCs w:val="20"/>
              </w:rPr>
              <w:t>contribution</w:t>
            </w:r>
            <w:r w:rsidRPr="001B18E8">
              <w:rPr>
                <w:rFonts w:eastAsia="Calibri" w:cs="Calibri"/>
                <w:sz w:val="20"/>
                <w:szCs w:val="20"/>
              </w:rPr>
              <w:t xml:space="preserve"> to those drivers?</w:t>
            </w:r>
            <w:r w:rsidRPr="001B18E8">
              <w:br/>
            </w:r>
            <w:r w:rsidRPr="001B18E8">
              <w:rPr>
                <w:rFonts w:eastAsia="Calibri" w:cs="Calibri"/>
                <w:sz w:val="20"/>
                <w:szCs w:val="20"/>
              </w:rPr>
              <w:t>How vital was that it compared to the contribution of:</w:t>
            </w:r>
            <w:r w:rsidRPr="001B18E8">
              <w:br/>
            </w:r>
            <w:r w:rsidRPr="001B18E8">
              <w:rPr>
                <w:rFonts w:eastAsia="Calibri" w:cs="Calibri"/>
                <w:sz w:val="20"/>
                <w:szCs w:val="20"/>
              </w:rPr>
              <w:t>-Global Projects (name any active in country)</w:t>
            </w:r>
            <w:r w:rsidRPr="001B18E8">
              <w:br/>
            </w:r>
            <w:r w:rsidRPr="001B18E8">
              <w:rPr>
                <w:rFonts w:eastAsia="Calibri" w:cs="Calibri"/>
                <w:sz w:val="20"/>
                <w:szCs w:val="20"/>
              </w:rPr>
              <w:t>-Other influencing factors (could be government activities, interventions by other DPs or exogenous factors such as COVID-19?</w:t>
            </w:r>
          </w:p>
        </w:tc>
        <w:tc>
          <w:tcPr>
            <w:tcW w:w="6300" w:type="dxa"/>
            <w:tcBorders>
              <w:top w:val="single" w:sz="6" w:space="0" w:color="auto"/>
              <w:left w:val="nil"/>
              <w:bottom w:val="single" w:sz="6" w:space="0" w:color="auto"/>
              <w:right w:val="single" w:sz="6" w:space="0" w:color="auto"/>
            </w:tcBorders>
            <w:shd w:val="clear" w:color="auto" w:fill="FCE4D6"/>
            <w:tcMar>
              <w:left w:w="105" w:type="dxa"/>
              <w:right w:w="105" w:type="dxa"/>
            </w:tcMar>
          </w:tcPr>
          <w:p w14:paraId="6B7E8D79" w14:textId="5C971DD9" w:rsidR="365D9676" w:rsidRDefault="365D9676" w:rsidP="365D9676">
            <w:pPr>
              <w:rPr>
                <w:rFonts w:eastAsia="Calibri" w:cs="Calibri"/>
                <w:color w:val="000000"/>
                <w:sz w:val="20"/>
                <w:szCs w:val="20"/>
              </w:rPr>
            </w:pPr>
          </w:p>
        </w:tc>
      </w:tr>
      <w:tr w:rsidR="365D9676" w14:paraId="49812437" w14:textId="77777777" w:rsidTr="0033094D">
        <w:trPr>
          <w:trHeight w:val="454"/>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6AFC743" w14:textId="6BC14FF9" w:rsidR="365D9676" w:rsidRPr="001B18E8" w:rsidRDefault="365D9676" w:rsidP="365D9676">
            <w:pPr>
              <w:rPr>
                <w:rFonts w:eastAsia="Calibri" w:cs="Calibri"/>
                <w:color w:val="000000"/>
              </w:rPr>
            </w:pPr>
            <w:r w:rsidRPr="001B18E8">
              <w:rPr>
                <w:rFonts w:eastAsia="Calibri" w:cs="Calibri"/>
                <w:color w:val="000000"/>
              </w:rPr>
              <w:t>EQ1 (AH) / Change 2b</w:t>
            </w:r>
          </w:p>
        </w:tc>
        <w:tc>
          <w:tcPr>
            <w:tcW w:w="6345" w:type="dxa"/>
            <w:gridSpan w:val="2"/>
            <w:tcBorders>
              <w:top w:val="single" w:sz="6" w:space="0" w:color="auto"/>
              <w:left w:val="single" w:sz="6" w:space="0" w:color="auto"/>
              <w:bottom w:val="nil"/>
              <w:right w:val="nil"/>
            </w:tcBorders>
            <w:shd w:val="clear" w:color="auto" w:fill="FCE4D6"/>
            <w:tcMar>
              <w:left w:w="105" w:type="dxa"/>
              <w:right w:w="105" w:type="dxa"/>
            </w:tcMar>
            <w:vAlign w:val="center"/>
          </w:tcPr>
          <w:p w14:paraId="0F315554" w14:textId="62DE4898" w:rsidR="365D9676" w:rsidRPr="001B18E8" w:rsidRDefault="365D9676" w:rsidP="0033094D">
            <w:pPr>
              <w:rPr>
                <w:rFonts w:eastAsia="Calibri" w:cs="Calibri"/>
                <w:sz w:val="20"/>
                <w:szCs w:val="20"/>
              </w:rPr>
            </w:pPr>
            <w:r w:rsidRPr="001B18E8">
              <w:rPr>
                <w:rFonts w:eastAsia="Calibri" w:cs="Calibri"/>
                <w:sz w:val="20"/>
                <w:szCs w:val="20"/>
              </w:rPr>
              <w:t xml:space="preserve">If there was </w:t>
            </w:r>
            <w:r w:rsidRPr="001B18E8">
              <w:rPr>
                <w:rFonts w:eastAsia="Calibri" w:cs="Calibri"/>
                <w:b/>
                <w:bCs/>
                <w:sz w:val="20"/>
                <w:szCs w:val="20"/>
              </w:rPr>
              <w:t xml:space="preserve">no or negative change </w:t>
            </w:r>
            <w:r w:rsidRPr="001B18E8">
              <w:rPr>
                <w:rFonts w:eastAsia="Calibri" w:cs="Calibri"/>
                <w:sz w:val="20"/>
                <w:szCs w:val="20"/>
              </w:rPr>
              <w:t xml:space="preserve">in this area, </w:t>
            </w:r>
            <w:r w:rsidRPr="001B18E8">
              <w:rPr>
                <w:rFonts w:eastAsia="Calibri" w:cs="Calibri"/>
                <w:b/>
                <w:bCs/>
                <w:sz w:val="20"/>
                <w:szCs w:val="20"/>
              </w:rPr>
              <w:t>why</w:t>
            </w:r>
            <w:r w:rsidRPr="001B18E8">
              <w:rPr>
                <w:rFonts w:eastAsia="Calibri" w:cs="Calibri"/>
                <w:sz w:val="20"/>
                <w:szCs w:val="20"/>
              </w:rPr>
              <w:t xml:space="preserve"> was that? And what has the FF and others done to improve the situation?</w:t>
            </w:r>
          </w:p>
        </w:tc>
        <w:tc>
          <w:tcPr>
            <w:tcW w:w="6300" w:type="dxa"/>
            <w:tcBorders>
              <w:top w:val="single" w:sz="6" w:space="0" w:color="auto"/>
              <w:left w:val="nil"/>
              <w:bottom w:val="nil"/>
              <w:right w:val="nil"/>
            </w:tcBorders>
            <w:shd w:val="clear" w:color="auto" w:fill="FCE4D6"/>
            <w:tcMar>
              <w:left w:w="105" w:type="dxa"/>
              <w:right w:w="105" w:type="dxa"/>
            </w:tcMar>
          </w:tcPr>
          <w:p w14:paraId="065C24F7" w14:textId="35A8157B" w:rsidR="365D9676" w:rsidRDefault="365D9676" w:rsidP="365D9676">
            <w:pPr>
              <w:rPr>
                <w:rFonts w:eastAsia="Calibri" w:cs="Calibri"/>
                <w:color w:val="000000"/>
                <w:sz w:val="20"/>
                <w:szCs w:val="20"/>
              </w:rPr>
            </w:pPr>
          </w:p>
        </w:tc>
      </w:tr>
      <w:tr w:rsidR="365D9676" w14:paraId="3DB4FE85" w14:textId="77777777" w:rsidTr="365D9676">
        <w:trPr>
          <w:trHeight w:val="76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E76E4D1" w14:textId="78308D13" w:rsidR="365D9676" w:rsidRPr="001B18E8" w:rsidRDefault="365D9676" w:rsidP="365D9676">
            <w:pPr>
              <w:rPr>
                <w:rFonts w:eastAsia="Calibri" w:cs="Calibri"/>
                <w:color w:val="000000"/>
              </w:rPr>
            </w:pPr>
            <w:r w:rsidRPr="001B18E8">
              <w:rPr>
                <w:rFonts w:eastAsia="Calibri" w:cs="Calibri"/>
                <w:color w:val="000000"/>
              </w:rPr>
              <w:t>EQ1 (AH)</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083AF04" w14:textId="48775340" w:rsidR="365D9676" w:rsidRPr="001B18E8" w:rsidRDefault="365D9676" w:rsidP="365D9676">
            <w:pPr>
              <w:rPr>
                <w:rFonts w:eastAsia="Calibri" w:cs="Calibri"/>
                <w:sz w:val="20"/>
                <w:szCs w:val="20"/>
              </w:rPr>
            </w:pPr>
            <w:r w:rsidRPr="001B18E8">
              <w:rPr>
                <w:rFonts w:eastAsia="Calibri" w:cs="Calibri"/>
                <w:sz w:val="20"/>
                <w:szCs w:val="20"/>
              </w:rPr>
              <w:t xml:space="preserve">To what extent is it plausible that there will be </w:t>
            </w:r>
            <w:r w:rsidRPr="001B18E8">
              <w:rPr>
                <w:rFonts w:eastAsia="Calibri" w:cs="Calibri"/>
                <w:b/>
                <w:bCs/>
                <w:sz w:val="20"/>
                <w:szCs w:val="20"/>
              </w:rPr>
              <w:t>significant additional change in the system</w:t>
            </w:r>
            <w:r w:rsidRPr="001B18E8">
              <w:rPr>
                <w:rFonts w:eastAsia="Calibri" w:cs="Calibri"/>
                <w:sz w:val="20"/>
                <w:szCs w:val="20"/>
              </w:rPr>
              <w:t xml:space="preserve"> (in terms of increases in quantity and quality of AMR data) </w:t>
            </w:r>
            <w:r w:rsidRPr="001B18E8">
              <w:rPr>
                <w:rFonts w:eastAsia="Calibri" w:cs="Calibri"/>
                <w:b/>
                <w:bCs/>
                <w:sz w:val="20"/>
                <w:szCs w:val="20"/>
              </w:rPr>
              <w:t>by end 2022</w:t>
            </w:r>
            <w:r w:rsidRPr="001B18E8">
              <w:rPr>
                <w:rFonts w:eastAsia="Calibri" w:cs="Calibri"/>
                <w:sz w:val="20"/>
                <w:szCs w:val="20"/>
              </w:rPr>
              <w:t xml:space="preserve">?  </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35B15C25" w14:textId="7F3A66E0" w:rsidR="365D9676" w:rsidRDefault="365D9676" w:rsidP="365D9676">
            <w:pPr>
              <w:rPr>
                <w:rFonts w:eastAsia="Calibri" w:cs="Calibri"/>
                <w:color w:val="000000"/>
                <w:sz w:val="20"/>
                <w:szCs w:val="20"/>
              </w:rPr>
            </w:pPr>
          </w:p>
        </w:tc>
      </w:tr>
      <w:tr w:rsidR="365D9676" w14:paraId="4C29C070" w14:textId="77777777" w:rsidTr="0033094D">
        <w:trPr>
          <w:trHeight w:val="3061"/>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2566D18" w14:textId="4CE329B9" w:rsidR="365D9676" w:rsidRPr="001B18E8" w:rsidRDefault="365D9676" w:rsidP="365D9676">
            <w:pPr>
              <w:rPr>
                <w:rFonts w:eastAsia="Calibri" w:cs="Calibri"/>
                <w:color w:val="000000"/>
              </w:rPr>
            </w:pPr>
            <w:r w:rsidRPr="001B18E8">
              <w:rPr>
                <w:rFonts w:eastAsia="Calibri" w:cs="Calibri"/>
                <w:color w:val="000000"/>
              </w:rPr>
              <w:t>EQ5 (AH) / Change 5</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83FEED5" w14:textId="1E8BDD5C" w:rsidR="365D9676" w:rsidRPr="001B18E8" w:rsidRDefault="365D9676" w:rsidP="365D9676">
            <w:pPr>
              <w:rPr>
                <w:rFonts w:eastAsia="Calibri" w:cs="Calibri"/>
                <w:sz w:val="20"/>
                <w:szCs w:val="20"/>
              </w:rPr>
            </w:pPr>
            <w:r w:rsidRPr="001B18E8">
              <w:rPr>
                <w:rFonts w:eastAsia="Calibri" w:cs="Calibri"/>
                <w:sz w:val="20"/>
                <w:szCs w:val="20"/>
              </w:rPr>
              <w:t xml:space="preserve">Has there been an improvement in quantity and quality of </w:t>
            </w:r>
            <w:r w:rsidRPr="001B18E8">
              <w:rPr>
                <w:sz w:val="20"/>
                <w:szCs w:val="20"/>
              </w:rPr>
              <w:t>AH</w:t>
            </w:r>
            <w:r w:rsidRPr="001B18E8">
              <w:rPr>
                <w:rFonts w:eastAsia="Calibri" w:cs="Calibri"/>
                <w:sz w:val="20"/>
                <w:szCs w:val="20"/>
              </w:rPr>
              <w:t xml:space="preserve"> </w:t>
            </w:r>
            <w:r w:rsidRPr="001B18E8">
              <w:rPr>
                <w:rFonts w:eastAsia="Calibri" w:cs="Calibri"/>
                <w:b/>
                <w:bCs/>
                <w:sz w:val="20"/>
                <w:szCs w:val="20"/>
              </w:rPr>
              <w:t>AMU data shared internationally</w:t>
            </w:r>
            <w:r w:rsidRPr="001B18E8">
              <w:rPr>
                <w:rFonts w:eastAsia="Calibri" w:cs="Calibri"/>
                <w:sz w:val="20"/>
                <w:szCs w:val="20"/>
              </w:rPr>
              <w:t xml:space="preserve"> with OIE since 2018? Which reporting option was used then and which reporting option is used now?:</w:t>
            </w:r>
            <w:r w:rsidRPr="001B18E8">
              <w:br/>
            </w:r>
            <w:r w:rsidRPr="001B18E8">
              <w:rPr>
                <w:rFonts w:eastAsia="Calibri" w:cs="Calibri"/>
                <w:sz w:val="20"/>
                <w:szCs w:val="20"/>
              </w:rPr>
              <w:t xml:space="preserve">Reporting Option 1: allows countries to distinguish quantities of antimicrobial agents by type of use (therapeutic or growth promotion);  </w:t>
            </w:r>
            <w:r w:rsidRPr="001B18E8">
              <w:br/>
            </w:r>
            <w:r w:rsidRPr="001B18E8">
              <w:rPr>
                <w:rFonts w:eastAsia="Calibri" w:cs="Calibri"/>
                <w:sz w:val="20"/>
                <w:szCs w:val="20"/>
              </w:rPr>
              <w:t xml:space="preserve">Reporting Option 2: allows countries to distinguish quantities of antimicrobial agents by type of use and animal groups (food-producing terrestrial and aquatic species and companion animals);  </w:t>
            </w:r>
            <w:r w:rsidRPr="001B18E8">
              <w:br/>
            </w:r>
            <w:r w:rsidRPr="001B18E8">
              <w:rPr>
                <w:rFonts w:eastAsia="Calibri" w:cs="Calibri"/>
                <w:sz w:val="20"/>
                <w:szCs w:val="20"/>
              </w:rPr>
              <w:t xml:space="preserve">Reporting Option 3: allows countries to distinguish quantities of antimicrobial agents by type of use and routes of administration (distinguishing by group of animals is optional)   </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0114FF70" w14:textId="5C64713F" w:rsidR="365D9676" w:rsidRDefault="365D9676" w:rsidP="365D9676">
            <w:pPr>
              <w:rPr>
                <w:rFonts w:eastAsia="Calibri" w:cs="Calibri"/>
                <w:sz w:val="20"/>
                <w:szCs w:val="20"/>
              </w:rPr>
            </w:pPr>
          </w:p>
        </w:tc>
      </w:tr>
      <w:tr w:rsidR="365D9676" w14:paraId="4F25C87D" w14:textId="77777777" w:rsidTr="365D9676">
        <w:trPr>
          <w:trHeight w:val="94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5F13EA0" w14:textId="03417058" w:rsidR="365D9676" w:rsidRPr="001B18E8" w:rsidRDefault="365D9676" w:rsidP="365D9676">
            <w:pPr>
              <w:rPr>
                <w:rFonts w:eastAsia="Calibri" w:cs="Calibri"/>
                <w:color w:val="000000"/>
              </w:rPr>
            </w:pPr>
            <w:r w:rsidRPr="001B18E8">
              <w:rPr>
                <w:rFonts w:eastAsia="Calibri" w:cs="Calibri"/>
                <w:color w:val="000000"/>
              </w:rPr>
              <w:t>EQ5 (AH) / Change 5</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70EB430" w14:textId="52589F7F" w:rsidR="365D9676" w:rsidRPr="001B18E8" w:rsidRDefault="365D9676" w:rsidP="365D9676">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quality</w:t>
            </w:r>
            <w:r w:rsidRPr="001B18E8">
              <w:rPr>
                <w:rFonts w:eastAsia="Calibri" w:cs="Calibri"/>
                <w:sz w:val="20"/>
                <w:szCs w:val="20"/>
              </w:rPr>
              <w:t xml:space="preserve"> of AMU data </w:t>
            </w:r>
            <w:r w:rsidRPr="001B18E8">
              <w:rPr>
                <w:rFonts w:eastAsia="Calibri" w:cs="Calibri"/>
                <w:b/>
                <w:bCs/>
                <w:sz w:val="20"/>
                <w:szCs w:val="20"/>
              </w:rPr>
              <w:t xml:space="preserve">reported to OIE </w:t>
            </w:r>
            <w:r w:rsidRPr="001B18E8">
              <w:rPr>
                <w:rFonts w:eastAsia="Calibri" w:cs="Calibri"/>
                <w:sz w:val="20"/>
                <w:szCs w:val="20"/>
              </w:rPr>
              <w:t>has improved since 2018? (including changes within reporting options)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2E7CCA09" w14:textId="3F300433" w:rsidR="365D9676" w:rsidRDefault="365D9676" w:rsidP="365D9676">
            <w:pPr>
              <w:rPr>
                <w:rFonts w:eastAsia="Calibri" w:cs="Calibri"/>
                <w:color w:val="000000"/>
                <w:sz w:val="20"/>
                <w:szCs w:val="20"/>
              </w:rPr>
            </w:pPr>
          </w:p>
        </w:tc>
      </w:tr>
      <w:tr w:rsidR="365D9676" w14:paraId="190A5834" w14:textId="77777777" w:rsidTr="365D9676">
        <w:trPr>
          <w:trHeight w:val="151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5603169" w14:textId="088FC72A" w:rsidR="365D9676" w:rsidRPr="001B18E8" w:rsidRDefault="365D9676" w:rsidP="365D9676">
            <w:pPr>
              <w:rPr>
                <w:rFonts w:eastAsia="Calibri" w:cs="Calibri"/>
                <w:color w:val="000000"/>
              </w:rPr>
            </w:pPr>
            <w:r w:rsidRPr="001B18E8">
              <w:rPr>
                <w:rFonts w:eastAsia="Calibri" w:cs="Calibri"/>
                <w:color w:val="000000"/>
              </w:rPr>
              <w:t>EQ5 (AH) / Change 5</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3B13C065" w14:textId="32AE8BC4"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more and better data available from the surveillance system (in which case refer to QUANT &amp; QUAL contribution stories), data sharing process and systems, resourcing, incentives, cooperation, TA etc</w:t>
            </w:r>
          </w:p>
        </w:tc>
        <w:tc>
          <w:tcPr>
            <w:tcW w:w="6300" w:type="dxa"/>
            <w:tcBorders>
              <w:top w:val="single" w:sz="6" w:space="0" w:color="auto"/>
              <w:left w:val="nil"/>
              <w:bottom w:val="single" w:sz="6" w:space="0" w:color="auto"/>
              <w:right w:val="single" w:sz="6" w:space="0" w:color="auto"/>
            </w:tcBorders>
            <w:shd w:val="clear" w:color="auto" w:fill="FCE4D6"/>
            <w:tcMar>
              <w:left w:w="105" w:type="dxa"/>
              <w:right w:w="105" w:type="dxa"/>
            </w:tcMar>
          </w:tcPr>
          <w:p w14:paraId="3A1352A7" w14:textId="4A8389C7" w:rsidR="365D9676" w:rsidRDefault="365D9676" w:rsidP="365D9676">
            <w:pPr>
              <w:rPr>
                <w:rFonts w:eastAsia="Calibri" w:cs="Calibri"/>
                <w:color w:val="000000"/>
                <w:sz w:val="20"/>
                <w:szCs w:val="20"/>
              </w:rPr>
            </w:pPr>
          </w:p>
        </w:tc>
      </w:tr>
      <w:tr w:rsidR="365D9676" w14:paraId="1913B99F" w14:textId="77777777" w:rsidTr="365D9676">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8215C90" w14:textId="2AA687E4" w:rsidR="365D9676" w:rsidRPr="001B18E8" w:rsidRDefault="365D9676" w:rsidP="365D9676">
            <w:pPr>
              <w:rPr>
                <w:rFonts w:eastAsia="Calibri" w:cs="Calibri"/>
                <w:color w:val="000000"/>
              </w:rPr>
            </w:pPr>
            <w:r w:rsidRPr="001B18E8">
              <w:rPr>
                <w:rFonts w:eastAsia="Calibri" w:cs="Calibri"/>
                <w:color w:val="000000"/>
              </w:rPr>
              <w:t>EQ5 (AH) / Change 5</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52022CA2" w14:textId="0FD183C7" w:rsidR="365D9676" w:rsidRDefault="365D9676" w:rsidP="365D9676">
            <w:pPr>
              <w:rPr>
                <w:rFonts w:eastAsia="Calibri" w:cs="Calibri"/>
                <w:color w:val="000000"/>
                <w:sz w:val="20"/>
                <w:szCs w:val="20"/>
              </w:rPr>
            </w:pPr>
            <w:r w:rsidRPr="365D9676">
              <w:rPr>
                <w:rFonts w:eastAsia="Calibri" w:cs="Calibri"/>
                <w:color w:val="000000"/>
                <w:sz w:val="20"/>
                <w:szCs w:val="20"/>
              </w:rPr>
              <w:t>What was the Fleming Fund (</w:t>
            </w:r>
            <w:r w:rsidRPr="365D9676">
              <w:rPr>
                <w:rFonts w:eastAsia="Calibri" w:cs="Calibri"/>
                <w:b/>
                <w:bCs/>
                <w:color w:val="000000"/>
                <w:sz w:val="20"/>
                <w:szCs w:val="20"/>
              </w:rPr>
              <w:t>CG/RG/Fellows</w:t>
            </w:r>
            <w:r w:rsidRPr="365D9676">
              <w:rPr>
                <w:rFonts w:eastAsia="Calibri" w:cs="Calibri"/>
                <w:color w:val="000000"/>
                <w:sz w:val="20"/>
                <w:szCs w:val="20"/>
              </w:rPr>
              <w:t xml:space="preserve">) </w:t>
            </w:r>
            <w:r w:rsidRPr="365D9676">
              <w:rPr>
                <w:rFonts w:eastAsia="Calibri" w:cs="Calibri"/>
                <w:b/>
                <w:bCs/>
                <w:color w:val="000000"/>
                <w:sz w:val="20"/>
                <w:szCs w:val="20"/>
              </w:rPr>
              <w:t>contribution</w:t>
            </w:r>
            <w:r w:rsidRPr="365D9676">
              <w:rPr>
                <w:rFonts w:eastAsia="Calibri" w:cs="Calibri"/>
                <w:color w:val="000000"/>
                <w:sz w:val="20"/>
                <w:szCs w:val="20"/>
              </w:rPr>
              <w:t xml:space="preserve"> to those drivers?</w:t>
            </w:r>
            <w:r>
              <w:br/>
            </w:r>
            <w:r w:rsidRPr="365D9676">
              <w:rPr>
                <w:rFonts w:eastAsia="Calibri" w:cs="Calibri"/>
                <w:color w:val="000000"/>
                <w:sz w:val="20"/>
                <w:szCs w:val="20"/>
              </w:rPr>
              <w:t>How vital was that it compared to the contribution of:</w:t>
            </w:r>
            <w:r>
              <w:br/>
            </w:r>
            <w:r w:rsidRPr="365D9676">
              <w:rPr>
                <w:rFonts w:eastAsia="Calibri" w:cs="Calibri"/>
                <w:color w:val="000000"/>
                <w:sz w:val="20"/>
                <w:szCs w:val="20"/>
              </w:rPr>
              <w:t>Global Projects (name any active in country)</w:t>
            </w:r>
            <w:r>
              <w:br/>
            </w:r>
            <w:r w:rsidRPr="365D9676">
              <w:rPr>
                <w:rFonts w:eastAsia="Calibri" w:cs="Calibri"/>
                <w:color w:val="000000"/>
                <w:sz w:val="20"/>
                <w:szCs w:val="20"/>
              </w:rPr>
              <w:t>Other influencing factors (could be government activities, interventions by other DPs or exogenous factors such as COVID-19?</w:t>
            </w:r>
          </w:p>
        </w:tc>
        <w:tc>
          <w:tcPr>
            <w:tcW w:w="6300" w:type="dxa"/>
            <w:tcBorders>
              <w:top w:val="single" w:sz="6" w:space="0" w:color="auto"/>
              <w:left w:val="nil"/>
              <w:bottom w:val="single" w:sz="6" w:space="0" w:color="auto"/>
              <w:right w:val="single" w:sz="6" w:space="0" w:color="auto"/>
            </w:tcBorders>
            <w:shd w:val="clear" w:color="auto" w:fill="FCE4D6"/>
            <w:tcMar>
              <w:left w:w="105" w:type="dxa"/>
              <w:right w:w="105" w:type="dxa"/>
            </w:tcMar>
          </w:tcPr>
          <w:p w14:paraId="51004195" w14:textId="08983095" w:rsidR="365D9676" w:rsidRDefault="365D9676" w:rsidP="365D9676">
            <w:pPr>
              <w:rPr>
                <w:rFonts w:eastAsia="Calibri" w:cs="Calibri"/>
                <w:color w:val="000000"/>
                <w:sz w:val="20"/>
                <w:szCs w:val="20"/>
              </w:rPr>
            </w:pPr>
          </w:p>
        </w:tc>
      </w:tr>
      <w:tr w:rsidR="365D9676" w14:paraId="64844DC9" w14:textId="77777777" w:rsidTr="0033094D">
        <w:trPr>
          <w:trHeight w:val="52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1BB8849" w14:textId="71912DF1" w:rsidR="365D9676" w:rsidRPr="001B18E8" w:rsidRDefault="365D9676" w:rsidP="365D9676">
            <w:pPr>
              <w:rPr>
                <w:rFonts w:eastAsia="Calibri" w:cs="Calibri"/>
                <w:color w:val="000000"/>
              </w:rPr>
            </w:pPr>
            <w:r w:rsidRPr="001B18E8">
              <w:rPr>
                <w:rFonts w:eastAsia="Calibri" w:cs="Calibri"/>
                <w:color w:val="000000"/>
              </w:rPr>
              <w:t>EQ5 (AH) / Change 5</w:t>
            </w:r>
          </w:p>
        </w:tc>
        <w:tc>
          <w:tcPr>
            <w:tcW w:w="6345" w:type="dxa"/>
            <w:gridSpan w:val="2"/>
            <w:tcBorders>
              <w:top w:val="single" w:sz="6" w:space="0" w:color="auto"/>
              <w:left w:val="single" w:sz="6" w:space="0" w:color="auto"/>
              <w:bottom w:val="nil"/>
              <w:right w:val="nil"/>
            </w:tcBorders>
            <w:shd w:val="clear" w:color="auto" w:fill="FCE4D6"/>
            <w:tcMar>
              <w:left w:w="105" w:type="dxa"/>
              <w:right w:w="105" w:type="dxa"/>
            </w:tcMar>
            <w:vAlign w:val="center"/>
          </w:tcPr>
          <w:p w14:paraId="41BAA3A6" w14:textId="0141B4BF" w:rsidR="365D9676" w:rsidRDefault="365D9676" w:rsidP="0033094D">
            <w:pPr>
              <w:rPr>
                <w:rFonts w:eastAsia="Calibri" w:cs="Calibri"/>
                <w:color w:val="000000"/>
                <w:sz w:val="20"/>
                <w:szCs w:val="20"/>
              </w:rPr>
            </w:pPr>
            <w:r w:rsidRPr="365D9676">
              <w:rPr>
                <w:rFonts w:eastAsia="Calibri" w:cs="Calibri"/>
                <w:color w:val="000000"/>
                <w:sz w:val="20"/>
                <w:szCs w:val="20"/>
              </w:rPr>
              <w:t xml:space="preserve">If there was </w:t>
            </w:r>
            <w:r w:rsidRPr="365D9676">
              <w:rPr>
                <w:rFonts w:eastAsia="Calibri" w:cs="Calibri"/>
                <w:b/>
                <w:bCs/>
                <w:color w:val="000000"/>
                <w:sz w:val="20"/>
                <w:szCs w:val="20"/>
              </w:rPr>
              <w:t>no or negative change</w:t>
            </w:r>
            <w:r w:rsidRPr="365D9676">
              <w:rPr>
                <w:rFonts w:eastAsia="Calibri" w:cs="Calibri"/>
                <w:color w:val="000000"/>
                <w:sz w:val="20"/>
                <w:szCs w:val="20"/>
              </w:rPr>
              <w:t xml:space="preserve"> in this area, </w:t>
            </w:r>
            <w:r w:rsidRPr="365D9676">
              <w:rPr>
                <w:rFonts w:eastAsia="Calibri" w:cs="Calibri"/>
                <w:b/>
                <w:bCs/>
                <w:color w:val="000000"/>
                <w:sz w:val="20"/>
                <w:szCs w:val="20"/>
              </w:rPr>
              <w:t>why</w:t>
            </w:r>
            <w:r w:rsidRPr="365D9676">
              <w:rPr>
                <w:rFonts w:eastAsia="Calibri" w:cs="Calibri"/>
                <w:color w:val="000000"/>
                <w:sz w:val="20"/>
                <w:szCs w:val="20"/>
              </w:rPr>
              <w:t xml:space="preserve"> was that? And what has the FF and others done to improve the situation?</w:t>
            </w:r>
          </w:p>
        </w:tc>
        <w:tc>
          <w:tcPr>
            <w:tcW w:w="6300" w:type="dxa"/>
            <w:tcBorders>
              <w:top w:val="single" w:sz="6" w:space="0" w:color="auto"/>
              <w:left w:val="nil"/>
              <w:bottom w:val="nil"/>
              <w:right w:val="nil"/>
            </w:tcBorders>
            <w:shd w:val="clear" w:color="auto" w:fill="FCE4D6"/>
            <w:tcMar>
              <w:left w:w="105" w:type="dxa"/>
              <w:right w:w="105" w:type="dxa"/>
            </w:tcMar>
          </w:tcPr>
          <w:p w14:paraId="6404E6D3" w14:textId="70D51EF4" w:rsidR="365D9676" w:rsidRDefault="365D9676" w:rsidP="365D9676">
            <w:pPr>
              <w:rPr>
                <w:rFonts w:eastAsia="Calibri" w:cs="Calibri"/>
                <w:color w:val="000000"/>
                <w:sz w:val="20"/>
                <w:szCs w:val="20"/>
              </w:rPr>
            </w:pPr>
          </w:p>
        </w:tc>
      </w:tr>
      <w:tr w:rsidR="365D9676" w14:paraId="04968CF2" w14:textId="77777777" w:rsidTr="365D9676">
        <w:trPr>
          <w:trHeight w:val="181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C659CC8" w14:textId="30618BA7" w:rsidR="365D9676" w:rsidRDefault="365D9676" w:rsidP="365D9676">
            <w:pPr>
              <w:rPr>
                <w:rFonts w:eastAsia="Calibri" w:cs="Calibri"/>
                <w:color w:val="000000"/>
              </w:rPr>
            </w:pPr>
            <w:r w:rsidRPr="365D9676">
              <w:rPr>
                <w:rFonts w:eastAsia="Calibri" w:cs="Calibri"/>
                <w:color w:val="000000"/>
              </w:rPr>
              <w:t>EQ2</w:t>
            </w:r>
          </w:p>
        </w:tc>
        <w:tc>
          <w:tcPr>
            <w:tcW w:w="6345" w:type="dxa"/>
            <w:gridSpan w:val="2"/>
            <w:tcBorders>
              <w:top w:val="nil"/>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B09DE51" w14:textId="2694006C"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w:t>
            </w:r>
            <w:r w:rsidRPr="365D9676">
              <w:rPr>
                <w:rFonts w:eastAsia="Calibri" w:cs="Calibri"/>
                <w:b/>
                <w:bCs/>
                <w:color w:val="000000"/>
                <w:sz w:val="20"/>
                <w:szCs w:val="20"/>
              </w:rPr>
              <w:t xml:space="preserve">CG, RG, Fellowships and Global Projects </w:t>
            </w:r>
            <w:r w:rsidRPr="365D9676">
              <w:rPr>
                <w:rFonts w:eastAsia="Calibri" w:cs="Calibri"/>
                <w:color w:val="000000"/>
                <w:sz w:val="20"/>
                <w:szCs w:val="20"/>
              </w:rPr>
              <w:t>have been</w:t>
            </w:r>
            <w:r w:rsidRPr="365D9676">
              <w:rPr>
                <w:rFonts w:eastAsia="Calibri" w:cs="Calibri"/>
                <w:b/>
                <w:bCs/>
                <w:color w:val="000000"/>
                <w:sz w:val="20"/>
                <w:szCs w:val="20"/>
              </w:rPr>
              <w:t xml:space="preserve"> well coordinated</w:t>
            </w:r>
            <w:r w:rsidRPr="365D9676">
              <w:rPr>
                <w:rFonts w:eastAsia="Calibri" w:cs="Calibri"/>
                <w:color w:val="000000"/>
                <w:sz w:val="20"/>
                <w:szCs w:val="20"/>
              </w:rPr>
              <w:t xml:space="preserve"> and </w:t>
            </w:r>
            <w:r w:rsidRPr="365D9676">
              <w:rPr>
                <w:rFonts w:eastAsia="Calibri" w:cs="Calibri"/>
                <w:b/>
                <w:bCs/>
                <w:color w:val="000000"/>
                <w:sz w:val="20"/>
                <w:szCs w:val="20"/>
              </w:rPr>
              <w:t>internally coherent</w:t>
            </w:r>
            <w:r w:rsidRPr="365D9676">
              <w:rPr>
                <w:rFonts w:eastAsia="Calibri" w:cs="Calibri"/>
                <w:color w:val="000000"/>
                <w:sz w:val="20"/>
                <w:szCs w:val="20"/>
              </w:rPr>
              <w:t>?</w:t>
            </w:r>
            <w:r>
              <w:br/>
            </w:r>
            <w:r w:rsidRPr="365D9676">
              <w:rPr>
                <w:rFonts w:eastAsia="Calibri" w:cs="Calibri"/>
                <w:color w:val="000000"/>
                <w:sz w:val="20"/>
                <w:szCs w:val="20"/>
              </w:rPr>
              <w:t xml:space="preserve">Probe: Are there any </w:t>
            </w:r>
            <w:r w:rsidRPr="365D9676">
              <w:rPr>
                <w:color w:val="000000"/>
                <w:sz w:val="20"/>
                <w:szCs w:val="20"/>
                <w:u w:val="single"/>
              </w:rPr>
              <w:t>duplications</w:t>
            </w:r>
            <w:r w:rsidRPr="365D9676">
              <w:rPr>
                <w:rFonts w:eastAsia="Calibri" w:cs="Calibri"/>
                <w:color w:val="000000"/>
                <w:sz w:val="20"/>
                <w:szCs w:val="20"/>
              </w:rPr>
              <w:t xml:space="preserve"> between CG, RG, Fellowships and Global Projects?</w:t>
            </w:r>
            <w:r>
              <w:br/>
            </w:r>
            <w:r w:rsidRPr="365D9676">
              <w:rPr>
                <w:rFonts w:eastAsia="Calibri" w:cs="Calibri"/>
                <w:color w:val="000000"/>
                <w:sz w:val="20"/>
                <w:szCs w:val="20"/>
              </w:rPr>
              <w:t xml:space="preserve">Probe: How effective have been </w:t>
            </w:r>
            <w:r w:rsidRPr="365D9676">
              <w:rPr>
                <w:color w:val="000000"/>
                <w:sz w:val="20"/>
                <w:szCs w:val="20"/>
                <w:u w:val="single"/>
              </w:rPr>
              <w:t>mechanisms</w:t>
            </w:r>
            <w:r w:rsidRPr="365D9676">
              <w:rPr>
                <w:rFonts w:eastAsia="Calibri" w:cs="Calibri"/>
                <w:color w:val="000000"/>
                <w:sz w:val="20"/>
                <w:szCs w:val="20"/>
              </w:rPr>
              <w:t xml:space="preserve"> put in place by the MA to ensure internal coherence (such as the Country Coordination mechanisms) in delivering coherence?</w:t>
            </w:r>
          </w:p>
        </w:tc>
        <w:tc>
          <w:tcPr>
            <w:tcW w:w="6300" w:type="dxa"/>
            <w:tcBorders>
              <w:top w:val="nil"/>
              <w:left w:val="nil"/>
              <w:bottom w:val="single" w:sz="6" w:space="0" w:color="auto"/>
              <w:right w:val="single" w:sz="6" w:space="0" w:color="auto"/>
            </w:tcBorders>
            <w:shd w:val="clear" w:color="auto" w:fill="FFFFFF" w:themeFill="background1"/>
            <w:tcMar>
              <w:left w:w="105" w:type="dxa"/>
              <w:right w:w="105" w:type="dxa"/>
            </w:tcMar>
          </w:tcPr>
          <w:p w14:paraId="75B51EAA" w14:textId="0713069C" w:rsidR="365D9676" w:rsidRDefault="365D9676" w:rsidP="365D9676">
            <w:pPr>
              <w:rPr>
                <w:rFonts w:eastAsia="Calibri" w:cs="Calibri"/>
                <w:color w:val="000000"/>
                <w:sz w:val="20"/>
                <w:szCs w:val="20"/>
              </w:rPr>
            </w:pPr>
          </w:p>
        </w:tc>
      </w:tr>
      <w:tr w:rsidR="365D9676" w14:paraId="5522466A" w14:textId="77777777" w:rsidTr="365D9676">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E0AB0E8" w14:textId="0A8FA892"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52DF1FC" w14:textId="019D46D2" w:rsidR="365D9676" w:rsidRDefault="365D9676" w:rsidP="365D9676">
            <w:pPr>
              <w:rPr>
                <w:rFonts w:eastAsia="Calibri" w:cs="Calibri"/>
                <w:color w:val="444444"/>
              </w:rPr>
            </w:pPr>
            <w:r w:rsidRPr="365D9676">
              <w:rPr>
                <w:rFonts w:eastAsia="Calibri" w:cs="Calibri"/>
                <w:strike/>
                <w:color w:val="0078D4"/>
              </w:rPr>
              <w:t xml:space="preserve"> </w:t>
            </w:r>
            <w:r w:rsidRPr="365D9676">
              <w:rPr>
                <w:rFonts w:eastAsia="Calibri" w:cs="Calibri"/>
                <w:color w:val="444444"/>
              </w:rPr>
              <w:t>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77D73BFB" w14:textId="22E8F45C" w:rsidR="365D9676" w:rsidRDefault="365D9676" w:rsidP="365D9676">
            <w:pPr>
              <w:rPr>
                <w:rFonts w:eastAsia="Calibri" w:cs="Calibri"/>
                <w:color w:val="000000"/>
                <w:sz w:val="20"/>
                <w:szCs w:val="20"/>
              </w:rPr>
            </w:pPr>
          </w:p>
        </w:tc>
      </w:tr>
      <w:tr w:rsidR="365D9676" w14:paraId="60B4CE62" w14:textId="77777777" w:rsidTr="365D9676">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A3C6C6F" w14:textId="03B1C023"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AC49B04" w14:textId="42BF0EFF" w:rsidR="365D9676" w:rsidRDefault="365D9676" w:rsidP="365D9676">
            <w:pPr>
              <w:rPr>
                <w:rFonts w:eastAsia="Calibri" w:cs="Calibri"/>
                <w:color w:val="444444"/>
              </w:rPr>
            </w:pPr>
            <w:r w:rsidRPr="365D9676">
              <w:rPr>
                <w:rFonts w:eastAsia="Calibri" w:cs="Calibri"/>
                <w:color w:val="444444"/>
              </w:rPr>
              <w:t xml:space="preserve"> To what extent do you think staff are motivated to put new skills / responsibilities required to maintain AMR </w:t>
            </w:r>
            <w:r w:rsidRPr="001B18E8">
              <w:rPr>
                <w:rFonts w:eastAsia="Calibri" w:cs="Calibri"/>
                <w:color w:val="444444"/>
              </w:rPr>
              <w:t>surveillance</w:t>
            </w:r>
            <w:r w:rsidRPr="365D9676">
              <w:rPr>
                <w:rFonts w:eastAsia="Calibri" w:cs="Calibri"/>
                <w:color w:val="444444"/>
              </w:rPr>
              <w:t>? PROBES: Is throughput sufficient? Are consumable supplies assured? Are managers and institutions (eg AMRCC) interested in outputs and providing feedback? Will competing demands crowd in? Are there adequate plans in place to address any concerns? To what extent is FF focused on addressing these conditions?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29CB4189" w14:textId="314B41F2" w:rsidR="365D9676" w:rsidRDefault="365D9676" w:rsidP="365D9676">
            <w:pPr>
              <w:rPr>
                <w:rFonts w:eastAsia="Calibri" w:cs="Calibri"/>
                <w:color w:val="000000"/>
                <w:sz w:val="20"/>
                <w:szCs w:val="20"/>
              </w:rPr>
            </w:pPr>
          </w:p>
        </w:tc>
      </w:tr>
      <w:tr w:rsidR="365D9676" w14:paraId="68B6E6BA" w14:textId="77777777" w:rsidTr="365D9676">
        <w:trPr>
          <w:trHeight w:val="51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DEFC3B6" w14:textId="2606A78C"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1478C57" w14:textId="7A0D5C09" w:rsidR="365D9676" w:rsidRDefault="365D9676" w:rsidP="365D9676">
            <w:pPr>
              <w:rPr>
                <w:rFonts w:eastAsia="Calibri" w:cs="Calibri"/>
                <w:color w:val="444444"/>
              </w:rPr>
            </w:pPr>
            <w:r w:rsidRPr="365D9676">
              <w:rPr>
                <w:rFonts w:eastAsia="Calibri" w:cs="Calibri"/>
                <w:strike/>
                <w:color w:val="0078D4"/>
              </w:rPr>
              <w:t xml:space="preserve"> </w:t>
            </w:r>
            <w:r w:rsidRPr="365D9676">
              <w:rPr>
                <w:rFonts w:eastAsia="Calibri" w:cs="Calibri"/>
                <w:color w:val="444444"/>
              </w:rPr>
              <w:t>To what extent have you formulated and implemented an exit plan with milestones and shared objectives? If not, why not? Has sustainability received sufficient attention to date? In what ways?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4624782E" w14:textId="7D2EFE6C" w:rsidR="365D9676" w:rsidRDefault="365D9676" w:rsidP="365D9676">
            <w:pPr>
              <w:rPr>
                <w:rFonts w:eastAsia="Calibri" w:cs="Calibri"/>
                <w:color w:val="000000"/>
                <w:sz w:val="20"/>
                <w:szCs w:val="20"/>
              </w:rPr>
            </w:pPr>
          </w:p>
        </w:tc>
      </w:tr>
      <w:tr w:rsidR="365D9676" w14:paraId="4779589F" w14:textId="77777777" w:rsidTr="365D9676">
        <w:trPr>
          <w:trHeight w:val="975"/>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tcPr>
          <w:p w14:paraId="07A9541D" w14:textId="57BED290"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345"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7D364E6" w14:textId="1602C26D" w:rsidR="365D9676" w:rsidRDefault="365D9676" w:rsidP="365D9676">
            <w:pPr>
              <w:rPr>
                <w:rFonts w:eastAsia="Calibri" w:cs="Calibri"/>
                <w:color w:val="000000"/>
                <w:sz w:val="20"/>
                <w:szCs w:val="20"/>
              </w:rPr>
            </w:pPr>
            <w:r w:rsidRPr="365D9676">
              <w:rPr>
                <w:rFonts w:eastAsia="Calibri" w:cs="Calibri"/>
                <w:color w:val="000000"/>
                <w:sz w:val="20"/>
                <w:szCs w:val="20"/>
              </w:rPr>
              <w:t>Has Covid-19 been a distraction, slowing down progress with the national AMR agenda?  PROBE: Has AMRCC met regularly since 2020, including at political as well as technical levels? Has it started to take significant decisions?</w:t>
            </w:r>
          </w:p>
        </w:tc>
        <w:tc>
          <w:tcPr>
            <w:tcW w:w="6300" w:type="dxa"/>
            <w:tcBorders>
              <w:top w:val="single" w:sz="6" w:space="0" w:color="auto"/>
              <w:left w:val="nil"/>
              <w:bottom w:val="single" w:sz="6" w:space="0" w:color="auto"/>
              <w:right w:val="single" w:sz="6" w:space="0" w:color="auto"/>
            </w:tcBorders>
            <w:tcMar>
              <w:left w:w="105" w:type="dxa"/>
              <w:right w:w="105" w:type="dxa"/>
            </w:tcMar>
          </w:tcPr>
          <w:p w14:paraId="398ECEB7" w14:textId="40F966CD" w:rsidR="365D9676" w:rsidRDefault="365D9676" w:rsidP="365D9676">
            <w:pPr>
              <w:rPr>
                <w:rFonts w:eastAsia="Calibri" w:cs="Calibri"/>
                <w:color w:val="000000"/>
                <w:sz w:val="20"/>
                <w:szCs w:val="20"/>
              </w:rPr>
            </w:pPr>
          </w:p>
        </w:tc>
      </w:tr>
      <w:tr w:rsidR="365D9676" w14:paraId="068D7653" w14:textId="77777777" w:rsidTr="365D9676">
        <w:trPr>
          <w:trHeight w:val="2385"/>
        </w:trPr>
        <w:tc>
          <w:tcPr>
            <w:tcW w:w="990" w:type="dxa"/>
            <w:gridSpan w:val="2"/>
            <w:tcBorders>
              <w:top w:val="single" w:sz="6" w:space="0" w:color="auto"/>
              <w:left w:val="single" w:sz="6" w:space="0" w:color="auto"/>
              <w:bottom w:val="single" w:sz="6" w:space="0" w:color="auto"/>
              <w:right w:val="single" w:sz="6" w:space="0" w:color="auto"/>
            </w:tcBorders>
            <w:tcMar>
              <w:left w:w="105" w:type="dxa"/>
              <w:right w:w="105" w:type="dxa"/>
            </w:tcMar>
          </w:tcPr>
          <w:p w14:paraId="24DD823F" w14:textId="4D32B593" w:rsidR="365D9676" w:rsidRPr="001B18E8" w:rsidRDefault="365D9676" w:rsidP="365D9676">
            <w:pPr>
              <w:rPr>
                <w:rFonts w:eastAsia="Calibri" w:cs="Calibri"/>
                <w:color w:val="000000"/>
                <w:sz w:val="20"/>
                <w:szCs w:val="20"/>
              </w:rPr>
            </w:pPr>
            <w:r w:rsidRPr="001B18E8">
              <w:rPr>
                <w:rFonts w:eastAsia="Calibri" w:cs="Calibri"/>
                <w:color w:val="000000"/>
                <w:sz w:val="20"/>
                <w:szCs w:val="20"/>
              </w:rPr>
              <w:t>ACTIONS 4.1</w:t>
            </w:r>
          </w:p>
          <w:p w14:paraId="1A158195" w14:textId="460EB258" w:rsidR="365D9676" w:rsidRDefault="365D9676" w:rsidP="365D9676">
            <w:pPr>
              <w:rPr>
                <w:rFonts w:eastAsia="Calibri" w:cs="Calibri"/>
                <w:color w:val="000000"/>
                <w:sz w:val="20"/>
                <w:szCs w:val="20"/>
              </w:rPr>
            </w:pPr>
          </w:p>
        </w:tc>
        <w:tc>
          <w:tcPr>
            <w:tcW w:w="6330" w:type="dxa"/>
            <w:tcBorders>
              <w:top w:val="nil"/>
              <w:left w:val="single" w:sz="6" w:space="0" w:color="auto"/>
              <w:bottom w:val="single" w:sz="6" w:space="0" w:color="auto"/>
              <w:right w:val="single" w:sz="6" w:space="0" w:color="auto"/>
            </w:tcBorders>
            <w:tcMar>
              <w:left w:w="105" w:type="dxa"/>
              <w:right w:w="105" w:type="dxa"/>
            </w:tcMar>
            <w:vAlign w:val="bottom"/>
          </w:tcPr>
          <w:p w14:paraId="0FCDDF4A" w14:textId="2BA1035F" w:rsidR="365D9676" w:rsidRPr="001B18E8" w:rsidRDefault="365D9676" w:rsidP="365D9676">
            <w:pPr>
              <w:rPr>
                <w:rFonts w:eastAsia="Calibri" w:cs="Calibri"/>
                <w:color w:val="000000"/>
                <w:sz w:val="20"/>
                <w:szCs w:val="20"/>
              </w:rPr>
            </w:pPr>
          </w:p>
          <w:p w14:paraId="05AF974A" w14:textId="29ED5A30" w:rsidR="365D9676" w:rsidRPr="001B18E8" w:rsidRDefault="365D9676" w:rsidP="365D9676">
            <w:pPr>
              <w:rPr>
                <w:rFonts w:eastAsia="Calibri" w:cs="Calibri"/>
                <w:color w:val="000000"/>
                <w:sz w:val="20"/>
                <w:szCs w:val="20"/>
              </w:rPr>
            </w:pPr>
            <w:r w:rsidRPr="001B18E8">
              <w:rPr>
                <w:rFonts w:eastAsia="Calibri" w:cs="Calibri"/>
                <w:color w:val="000000"/>
                <w:sz w:val="20"/>
                <w:szCs w:val="20"/>
              </w:rPr>
              <w:t>If there are any examples from your work of surveillance data already being used by other people for taking decisions about actions related to AMR, for example:</w:t>
            </w:r>
          </w:p>
          <w:p w14:paraId="46A95CDF" w14:textId="39527CCF" w:rsidR="365D9676" w:rsidRPr="001B18E8" w:rsidRDefault="365D9676" w:rsidP="00C6374D">
            <w:pPr>
              <w:pStyle w:val="ListParagraph"/>
              <w:numPr>
                <w:ilvl w:val="0"/>
                <w:numId w:val="23"/>
              </w:numPr>
              <w:rPr>
                <w:rFonts w:eastAsia="Calibri" w:cs="Calibri"/>
                <w:color w:val="000000"/>
                <w:sz w:val="20"/>
                <w:szCs w:val="20"/>
              </w:rPr>
            </w:pPr>
            <w:r w:rsidRPr="001B18E8">
              <w:rPr>
                <w:rFonts w:eastAsia="Calibri" w:cs="Calibri"/>
                <w:color w:val="000000"/>
                <w:sz w:val="20"/>
                <w:szCs w:val="20"/>
              </w:rPr>
              <w:t>Local health professionals in treatment practices or guidelines</w:t>
            </w:r>
          </w:p>
          <w:p w14:paraId="3DFAA375" w14:textId="0ADF23DC" w:rsidR="365D9676" w:rsidRPr="001B18E8" w:rsidRDefault="365D9676" w:rsidP="00C6374D">
            <w:pPr>
              <w:pStyle w:val="ListParagraph"/>
              <w:numPr>
                <w:ilvl w:val="0"/>
                <w:numId w:val="23"/>
              </w:numPr>
              <w:rPr>
                <w:rFonts w:eastAsia="Calibri" w:cs="Calibri"/>
                <w:color w:val="000000"/>
                <w:sz w:val="20"/>
                <w:szCs w:val="20"/>
              </w:rPr>
            </w:pPr>
            <w:r w:rsidRPr="001B18E8">
              <w:rPr>
                <w:rFonts w:eastAsia="Calibri" w:cs="Calibri"/>
                <w:color w:val="000000"/>
                <w:sz w:val="20"/>
                <w:szCs w:val="20"/>
              </w:rPr>
              <w:t>Patients or agricultural producers thinking about the way they use antimicrobials</w:t>
            </w:r>
          </w:p>
          <w:p w14:paraId="1A5C76B3" w14:textId="4F336C4F" w:rsidR="365D9676" w:rsidRPr="001B18E8" w:rsidRDefault="365D9676" w:rsidP="365D9676">
            <w:pPr>
              <w:rPr>
                <w:rFonts w:eastAsia="Calibri" w:cs="Calibri"/>
                <w:color w:val="000000"/>
                <w:sz w:val="20"/>
                <w:szCs w:val="20"/>
              </w:rPr>
            </w:pPr>
          </w:p>
          <w:p w14:paraId="7C74043C" w14:textId="4A408B82" w:rsidR="365D9676" w:rsidRPr="001B18E8" w:rsidRDefault="365D9676" w:rsidP="365D9676">
            <w:pPr>
              <w:rPr>
                <w:rFonts w:eastAsia="Calibri" w:cs="Calibri"/>
                <w:color w:val="000000"/>
                <w:sz w:val="20"/>
                <w:szCs w:val="20"/>
              </w:rPr>
            </w:pPr>
            <w:r w:rsidRPr="001B18E8">
              <w:rPr>
                <w:rFonts w:eastAsia="Calibri" w:cs="Calibri"/>
                <w:color w:val="000000"/>
                <w:sz w:val="20"/>
                <w:szCs w:val="20"/>
              </w:rPr>
              <w:t>Please can we send you our Example of Use template for you to complete and return to us? This will help us communicate this success to Fleming Fund.</w:t>
            </w:r>
          </w:p>
        </w:tc>
        <w:tc>
          <w:tcPr>
            <w:tcW w:w="6300" w:type="dxa"/>
            <w:tcBorders>
              <w:top w:val="single" w:sz="6" w:space="0" w:color="auto"/>
              <w:left w:val="single" w:sz="6" w:space="0" w:color="auto"/>
              <w:bottom w:val="single" w:sz="6" w:space="0" w:color="auto"/>
              <w:right w:val="single" w:sz="6" w:space="0" w:color="auto"/>
            </w:tcBorders>
            <w:tcMar>
              <w:left w:w="105" w:type="dxa"/>
              <w:right w:w="105" w:type="dxa"/>
            </w:tcMar>
          </w:tcPr>
          <w:p w14:paraId="045F5E39" w14:textId="79E69BAB" w:rsidR="365D9676" w:rsidRDefault="365D9676" w:rsidP="365D9676">
            <w:pPr>
              <w:rPr>
                <w:rFonts w:eastAsia="Calibri" w:cs="Calibri"/>
                <w:color w:val="D13438"/>
                <w:sz w:val="20"/>
                <w:szCs w:val="20"/>
              </w:rPr>
            </w:pPr>
          </w:p>
        </w:tc>
      </w:tr>
    </w:tbl>
    <w:p w14:paraId="72B99B4B" w14:textId="289D2111" w:rsidR="365D9676" w:rsidRDefault="365D9676" w:rsidP="365D9676">
      <w:pPr>
        <w:spacing w:after="160" w:line="259" w:lineRule="auto"/>
        <w:rPr>
          <w:rFonts w:eastAsia="Calibri" w:cs="Calibri"/>
          <w:color w:val="000000"/>
        </w:rPr>
      </w:pPr>
    </w:p>
    <w:p w14:paraId="7CB0086A" w14:textId="174B7261" w:rsidR="365D9676" w:rsidRDefault="365D9676">
      <w:r>
        <w:br w:type="page"/>
      </w:r>
    </w:p>
    <w:p w14:paraId="19F46F77" w14:textId="026A9CC0" w:rsidR="6001A257" w:rsidRPr="00493F9D" w:rsidRDefault="45B93E81" w:rsidP="0A930DA0">
      <w:pPr>
        <w:pStyle w:val="ItadH3"/>
        <w:keepNext/>
        <w:spacing w:line="259" w:lineRule="auto"/>
        <w:rPr>
          <w:lang w:val="en-GB"/>
        </w:rPr>
      </w:pPr>
      <w:bookmarkStart w:id="462" w:name="_Toc142383246"/>
      <w:r w:rsidRPr="365D9676">
        <w:rPr>
          <w:lang w:val="en-GB"/>
        </w:rPr>
        <w:t>KII Guide for AH NRL</w:t>
      </w:r>
      <w:bookmarkEnd w:id="462"/>
    </w:p>
    <w:p w14:paraId="7003272E" w14:textId="28574714" w:rsidR="5637C782" w:rsidRDefault="5637C782" w:rsidP="365D9676">
      <w:pPr>
        <w:widowControl w:val="0"/>
        <w:spacing w:after="160" w:line="259" w:lineRule="auto"/>
        <w:jc w:val="both"/>
        <w:rPr>
          <w:rFonts w:ascii="Calibri Light" w:eastAsia="Calibri Light" w:hAnsi="Calibri Light" w:cs="Calibri Light"/>
          <w:color w:val="2F5496"/>
          <w:sz w:val="26"/>
          <w:szCs w:val="26"/>
        </w:rPr>
      </w:pPr>
      <w:r w:rsidRPr="00493F9D">
        <w:rPr>
          <w:rFonts w:ascii="Calibri Light" w:eastAsia="Calibri Light" w:hAnsi="Calibri Light" w:cs="Calibri Light"/>
          <w:color w:val="2F5496"/>
          <w:sz w:val="26"/>
          <w:szCs w:val="26"/>
        </w:rPr>
        <w:t>AH Fellows</w:t>
      </w:r>
    </w:p>
    <w:p w14:paraId="2448030C" w14:textId="73666024" w:rsidR="5637C782" w:rsidRDefault="5637C782" w:rsidP="365D9676">
      <w:pPr>
        <w:widowControl w:val="0"/>
        <w:spacing w:after="160" w:line="259" w:lineRule="auto"/>
        <w:jc w:val="both"/>
        <w:rPr>
          <w:rFonts w:eastAsia="Calibri" w:cs="Calibri"/>
          <w:color w:val="000000"/>
        </w:rPr>
      </w:pPr>
      <w:r w:rsidRPr="00493F9D">
        <w:rPr>
          <w:rFonts w:eastAsia="Calibri" w:cs="Calibri"/>
          <w:b/>
          <w:color w:val="000000"/>
        </w:rPr>
        <w:t>KII name:</w:t>
      </w:r>
      <w:r w:rsidRPr="00493F9D">
        <w:rPr>
          <w:rFonts w:eastAsia="Calibri" w:cs="Calibri"/>
          <w:b/>
          <w:color w:val="D13438"/>
          <w:u w:val="single"/>
        </w:rPr>
        <w:t xml:space="preserve"> </w:t>
      </w:r>
    </w:p>
    <w:p w14:paraId="2F82F08C" w14:textId="0A44EF5B" w:rsidR="5637C782" w:rsidRPr="002B0A41" w:rsidRDefault="5637C782" w:rsidP="365D9676">
      <w:pPr>
        <w:widowControl w:val="0"/>
        <w:spacing w:after="160" w:line="259" w:lineRule="auto"/>
        <w:jc w:val="both"/>
        <w:rPr>
          <w:rFonts w:eastAsia="Calibri" w:cs="Calibri"/>
          <w:color w:val="000000"/>
        </w:rPr>
      </w:pPr>
      <w:r w:rsidRPr="002B0A41">
        <w:rPr>
          <w:rFonts w:eastAsia="Calibri" w:cs="Calibri"/>
          <w:b/>
          <w:bCs/>
          <w:color w:val="000000"/>
        </w:rPr>
        <w:t>KII date:</w:t>
      </w:r>
    </w:p>
    <w:p w14:paraId="0D92222A" w14:textId="12C4459A" w:rsidR="5637C782" w:rsidRPr="002B0A41" w:rsidRDefault="5637C782" w:rsidP="365D9676">
      <w:pPr>
        <w:widowControl w:val="0"/>
        <w:spacing w:after="160" w:line="259" w:lineRule="auto"/>
        <w:jc w:val="both"/>
        <w:rPr>
          <w:rFonts w:eastAsia="Calibri" w:cs="Calibri"/>
          <w:color w:val="000000"/>
        </w:rPr>
      </w:pPr>
      <w:r w:rsidRPr="002B0A41">
        <w:rPr>
          <w:rFonts w:eastAsia="Calibri" w:cs="Calibri"/>
          <w:b/>
          <w:bCs/>
          <w:color w:val="000000"/>
        </w:rPr>
        <w:t>KII interviewer(s):</w:t>
      </w:r>
    </w:p>
    <w:p w14:paraId="4C36A929" w14:textId="294E94BD" w:rsidR="5637C782" w:rsidRPr="002B0A41" w:rsidRDefault="5637C782" w:rsidP="365D9676">
      <w:pPr>
        <w:spacing w:after="160" w:line="259" w:lineRule="auto"/>
        <w:rPr>
          <w:rFonts w:eastAsia="Calibri" w:cs="Calibri"/>
          <w:color w:val="000000"/>
        </w:rPr>
      </w:pPr>
      <w:r w:rsidRPr="002B0A41">
        <w:rPr>
          <w:rFonts w:eastAsia="Calibri" w:cs="Calibri"/>
          <w:b/>
          <w:bCs/>
          <w:color w:val="000000"/>
        </w:rPr>
        <w:t>Introduction</w:t>
      </w:r>
      <w:r w:rsidRPr="002B0A41">
        <w:rPr>
          <w:rFonts w:eastAsia="Calibri" w:cs="Calibri"/>
          <w:color w:val="000000"/>
        </w:rPr>
        <w:t xml:space="preserve"> – please adapt and summarise according to the stakeholder / her knowledge of the evaluation etc </w:t>
      </w:r>
      <w:r w:rsidRPr="002B0A41">
        <w:rPr>
          <w:rFonts w:ascii="Times New Roman" w:eastAsia="Times New Roman" w:hAnsi="Times New Roman" w:cs="Times New Roman"/>
          <w:color w:val="000000"/>
          <w:sz w:val="24"/>
          <w:szCs w:val="24"/>
        </w:rPr>
        <w:t>–</w:t>
      </w:r>
      <w:r w:rsidRPr="002B0A41">
        <w:rPr>
          <w:rFonts w:eastAsia="Calibri" w:cs="Calibri"/>
          <w:color w:val="000000"/>
        </w:rPr>
        <w:t xml:space="preserve"> aim to get this intro as short as possible.</w:t>
      </w:r>
    </w:p>
    <w:p w14:paraId="76E88341" w14:textId="7FAE58E0" w:rsidR="5637C782" w:rsidRPr="002B0A41" w:rsidRDefault="5637C782" w:rsidP="365D9676">
      <w:pPr>
        <w:spacing w:line="259" w:lineRule="auto"/>
        <w:rPr>
          <w:rFonts w:eastAsia="Calibri" w:cs="Calibri"/>
          <w:color w:val="000000"/>
        </w:rPr>
      </w:pPr>
      <w:r w:rsidRPr="002B0A41">
        <w:rPr>
          <w:rFonts w:eastAsia="Calibri" w:cs="Calibri"/>
          <w:color w:val="000000"/>
        </w:rPr>
        <w:t xml:space="preserve"> • </w:t>
      </w:r>
      <w:r w:rsidRPr="002B0A41">
        <w:rPr>
          <w:rFonts w:eastAsia="Calibri" w:cs="Calibri"/>
          <w:b/>
          <w:bCs/>
          <w:color w:val="000000"/>
        </w:rPr>
        <w:t>Thank you</w:t>
      </w:r>
      <w:r w:rsidRPr="002B0A41">
        <w:rPr>
          <w:rFonts w:eastAsia="Calibri" w:cs="Calibri"/>
          <w:color w:val="000000"/>
        </w:rPr>
        <w:t xml:space="preserve"> – Thank you the interviewee for having accepted the meeting and for their time today. </w:t>
      </w:r>
    </w:p>
    <w:p w14:paraId="29B08C2C" w14:textId="1C52EAFB" w:rsidR="5637C782" w:rsidRPr="002B0A41" w:rsidRDefault="5637C782"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Introductions</w:t>
      </w:r>
      <w:r w:rsidRPr="002B0A41">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373E7035" w14:textId="7FD95916" w:rsidR="5637C782" w:rsidRPr="002B0A41" w:rsidRDefault="5637C782" w:rsidP="365D9676">
      <w:pPr>
        <w:spacing w:line="259" w:lineRule="auto"/>
        <w:rPr>
          <w:rFonts w:eastAsia="Calibri" w:cs="Calibri"/>
          <w:color w:val="000000"/>
        </w:rPr>
      </w:pPr>
      <w:r w:rsidRPr="002B0A41">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7EB16D3B" w14:textId="4E68BA14" w:rsidR="5637C782" w:rsidRPr="002B0A41" w:rsidRDefault="5637C782" w:rsidP="365D9676">
      <w:pPr>
        <w:spacing w:line="259" w:lineRule="auto"/>
        <w:rPr>
          <w:rFonts w:eastAsia="Calibri" w:cs="Calibri"/>
          <w:color w:val="000000"/>
        </w:rPr>
      </w:pPr>
      <w:r w:rsidRPr="002B0A41">
        <w:rPr>
          <w:rFonts w:eastAsia="Calibri" w:cs="Calibri"/>
          <w:color w:val="000000"/>
        </w:rPr>
        <w:t xml:space="preserve">[Let others introduce themselves or tell them there will be a chance after you have explained the purpose of the interview] </w:t>
      </w:r>
    </w:p>
    <w:p w14:paraId="3A8291FE" w14:textId="61141544" w:rsidR="5637C782" w:rsidRPr="002B0A41" w:rsidRDefault="5637C782" w:rsidP="365D9676">
      <w:pPr>
        <w:spacing w:line="259" w:lineRule="auto"/>
        <w:rPr>
          <w:rFonts w:eastAsia="Calibri" w:cs="Calibri"/>
          <w:color w:val="000000"/>
        </w:rPr>
      </w:pPr>
      <w:r w:rsidRPr="002B0A41">
        <w:rPr>
          <w:rFonts w:eastAsia="Calibri" w:cs="Calibri"/>
          <w:color w:val="000000"/>
        </w:rPr>
        <w:t xml:space="preserve">[Acknowledge whether we have already interviewed the stakeholder during CV1/2]  </w:t>
      </w:r>
    </w:p>
    <w:p w14:paraId="7156965E" w14:textId="01480119" w:rsidR="5637C782" w:rsidRPr="002B0A41" w:rsidRDefault="5637C782" w:rsidP="365D9676">
      <w:pPr>
        <w:spacing w:line="259" w:lineRule="auto"/>
        <w:rPr>
          <w:rFonts w:eastAsia="Calibri" w:cs="Calibri"/>
          <w:color w:val="000000"/>
        </w:rPr>
      </w:pPr>
      <w:r w:rsidRPr="002B0A41">
        <w:rPr>
          <w:rFonts w:eastAsia="Calibri" w:cs="Calibri"/>
          <w:color w:val="000000"/>
        </w:rPr>
        <w:t xml:space="preserve"> </w:t>
      </w:r>
    </w:p>
    <w:p w14:paraId="5C66B047" w14:textId="25E6DEC3" w:rsidR="5637C782" w:rsidRPr="002B0A41" w:rsidRDefault="5637C782"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Purpose</w:t>
      </w:r>
      <w:r w:rsidRPr="002B0A41">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5AFACBBD" w14:textId="314C293F" w:rsidR="5637C782" w:rsidRPr="002B0A41" w:rsidRDefault="5637C782"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 xml:space="preserve">Focus </w:t>
      </w:r>
      <w:r w:rsidRPr="002B0A41">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37F77A0D" w14:textId="2A2C2378" w:rsidR="5637C782" w:rsidRPr="002B0A41" w:rsidRDefault="5637C782" w:rsidP="00C6374D">
      <w:pPr>
        <w:pStyle w:val="ListParagraph"/>
        <w:numPr>
          <w:ilvl w:val="0"/>
          <w:numId w:val="22"/>
        </w:numPr>
        <w:spacing w:line="259" w:lineRule="auto"/>
        <w:rPr>
          <w:rFonts w:eastAsia="Calibri" w:cs="Calibri"/>
          <w:color w:val="000000"/>
        </w:rPr>
      </w:pPr>
      <w:r w:rsidRPr="002B0A41">
        <w:rPr>
          <w:rFonts w:eastAsia="Calibri" w:cs="Calibri"/>
          <w:color w:val="000000"/>
        </w:rPr>
        <w:t xml:space="preserve">More and better AMR/C/U data produced and shared at country level  </w:t>
      </w:r>
    </w:p>
    <w:p w14:paraId="31455DC7" w14:textId="4D6071F3" w:rsidR="5637C782" w:rsidRPr="002B0A41" w:rsidRDefault="5637C782" w:rsidP="00C6374D">
      <w:pPr>
        <w:pStyle w:val="ListParagraph"/>
        <w:numPr>
          <w:ilvl w:val="0"/>
          <w:numId w:val="22"/>
        </w:numPr>
        <w:spacing w:line="259" w:lineRule="auto"/>
        <w:rPr>
          <w:rFonts w:eastAsia="Calibri" w:cs="Calibri"/>
          <w:color w:val="000000"/>
        </w:rPr>
      </w:pPr>
      <w:r w:rsidRPr="002B0A41">
        <w:rPr>
          <w:rFonts w:eastAsia="Calibri" w:cs="Calibri"/>
          <w:color w:val="000000"/>
        </w:rPr>
        <w:t xml:space="preserve">More and better AMR/C/U data shared internationally (with GLASS/OIE) </w:t>
      </w:r>
    </w:p>
    <w:p w14:paraId="049B6E5B" w14:textId="4BD58BEF" w:rsidR="5637C782" w:rsidRPr="002B0A41" w:rsidRDefault="5637C782" w:rsidP="00C6374D">
      <w:pPr>
        <w:pStyle w:val="ListParagraph"/>
        <w:numPr>
          <w:ilvl w:val="0"/>
          <w:numId w:val="22"/>
        </w:numPr>
        <w:spacing w:line="259" w:lineRule="auto"/>
        <w:rPr>
          <w:rFonts w:eastAsia="Calibri" w:cs="Calibri"/>
          <w:color w:val="000000"/>
        </w:rPr>
      </w:pPr>
      <w:r w:rsidRPr="002B0A41">
        <w:rPr>
          <w:rFonts w:eastAsia="Calibri" w:cs="Calibri"/>
          <w:color w:val="000000"/>
        </w:rPr>
        <w:t xml:space="preserve">Regulatory and policy change that can have an impact in reducing AMR </w:t>
      </w:r>
    </w:p>
    <w:p w14:paraId="13043DB2" w14:textId="63D7DDE5" w:rsidR="5637C782" w:rsidRPr="002B0A41" w:rsidRDefault="5637C782" w:rsidP="00C6374D">
      <w:pPr>
        <w:pStyle w:val="ListParagraph"/>
        <w:numPr>
          <w:ilvl w:val="0"/>
          <w:numId w:val="22"/>
        </w:numPr>
        <w:spacing w:line="259" w:lineRule="auto"/>
        <w:rPr>
          <w:rFonts w:eastAsia="Calibri" w:cs="Calibri"/>
          <w:color w:val="000000"/>
        </w:rPr>
      </w:pPr>
      <w:r w:rsidRPr="002B0A41">
        <w:rPr>
          <w:rFonts w:eastAsia="Calibri" w:cs="Calibri"/>
          <w:color w:val="000000"/>
        </w:rPr>
        <w:t xml:space="preserve">Changes in practice / attitude towards the use of antimicrobials.  </w:t>
      </w:r>
    </w:p>
    <w:p w14:paraId="735F4205" w14:textId="3F778364" w:rsidR="5637C782" w:rsidRPr="002B0A41" w:rsidRDefault="5637C782" w:rsidP="365D9676">
      <w:pPr>
        <w:spacing w:line="259" w:lineRule="auto"/>
        <w:rPr>
          <w:rFonts w:eastAsia="Calibri" w:cs="Calibri"/>
          <w:color w:val="000000"/>
        </w:rPr>
      </w:pPr>
      <w:r w:rsidRPr="002B0A41">
        <w:rPr>
          <w:rFonts w:eastAsia="Calibri" w:cs="Calibri"/>
          <w:color w:val="000000"/>
        </w:rPr>
        <w:t xml:space="preserve"> </w:t>
      </w:r>
    </w:p>
    <w:p w14:paraId="5C347E85" w14:textId="65A28C98" w:rsidR="5637C782" w:rsidRPr="002B0A41" w:rsidRDefault="5637C782" w:rsidP="365D9676">
      <w:pPr>
        <w:spacing w:line="259" w:lineRule="auto"/>
        <w:rPr>
          <w:rFonts w:eastAsia="Calibri" w:cs="Calibri"/>
          <w:color w:val="000000"/>
        </w:rPr>
      </w:pPr>
      <w:r w:rsidRPr="002B0A41">
        <w:rPr>
          <w:rFonts w:eastAsia="Calibri" w:cs="Calibri"/>
          <w:color w:val="000000"/>
        </w:rPr>
        <w:t>We have also questions relate to coherence of Fleming Fund efforts with those of other actors in country, sustainability of FF results and Value for Money [adapt the list as appropriate].</w:t>
      </w:r>
    </w:p>
    <w:p w14:paraId="2C139215" w14:textId="1F590051" w:rsidR="5637C782" w:rsidRPr="002B0A41" w:rsidRDefault="5637C782" w:rsidP="365D9676">
      <w:pPr>
        <w:spacing w:line="259" w:lineRule="auto"/>
        <w:rPr>
          <w:rFonts w:eastAsia="Calibri" w:cs="Calibri"/>
          <w:color w:val="000000"/>
        </w:rPr>
      </w:pPr>
      <w:r w:rsidRPr="002B0A41">
        <w:rPr>
          <w:rFonts w:eastAsia="Calibri" w:cs="Calibri"/>
          <w:color w:val="000000"/>
        </w:rPr>
        <w:t xml:space="preserve"> </w:t>
      </w:r>
    </w:p>
    <w:p w14:paraId="09F7701E" w14:textId="0BA830D5" w:rsidR="5637C782" w:rsidRPr="002B0A41" w:rsidRDefault="5637C782"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Confidentiality / permission to record</w:t>
      </w:r>
      <w:r w:rsidRPr="002B0A41">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40D5E5E8" w14:textId="6DA8C1F1" w:rsidR="5637C782" w:rsidRPr="002B0A41" w:rsidRDefault="5637C782" w:rsidP="365D9676">
      <w:pPr>
        <w:spacing w:line="259" w:lineRule="auto"/>
        <w:rPr>
          <w:rFonts w:eastAsia="Calibri" w:cs="Calibri"/>
          <w:color w:val="000000"/>
        </w:rPr>
      </w:pPr>
      <w:r w:rsidRPr="002B0A41">
        <w:rPr>
          <w:rFonts w:eastAsia="Calibri" w:cs="Calibri"/>
          <w:color w:val="000000"/>
        </w:rPr>
        <w:t xml:space="preserve"> </w:t>
      </w:r>
    </w:p>
    <w:p w14:paraId="66FF9718" w14:textId="7E777408" w:rsidR="5637C782" w:rsidRDefault="5637C782"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Duration</w:t>
      </w:r>
      <w:r w:rsidRPr="002B0A41">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 know the answer to a question or prefer not to answer – just let me know and I’ll</w:t>
      </w:r>
      <w:r w:rsidRPr="365D9676">
        <w:rPr>
          <w:rFonts w:eastAsia="Calibri" w:cs="Calibri"/>
          <w:color w:val="000000"/>
        </w:rPr>
        <w:t xml:space="preserve"> adapt the interview accordingly.   </w:t>
      </w:r>
    </w:p>
    <w:p w14:paraId="54C2148E" w14:textId="7049A438" w:rsidR="5637C782" w:rsidRDefault="5637C782" w:rsidP="365D9676">
      <w:pPr>
        <w:spacing w:line="259" w:lineRule="auto"/>
        <w:rPr>
          <w:rFonts w:ascii="Segoe UI" w:eastAsia="Segoe UI" w:hAnsi="Segoe UI" w:cs="Segoe UI"/>
          <w:color w:val="000000"/>
        </w:rPr>
      </w:pPr>
      <w:r w:rsidRPr="365D9676">
        <w:rPr>
          <w:rFonts w:ascii="Segoe UI" w:eastAsia="Segoe UI" w:hAnsi="Segoe UI" w:cs="Segoe UI"/>
          <w:color w:val="000000"/>
        </w:rPr>
        <w:t xml:space="preserve"> </w:t>
      </w:r>
    </w:p>
    <w:p w14:paraId="547BDB5B" w14:textId="0EE0CEFE" w:rsidR="5637C782" w:rsidRDefault="5637C782" w:rsidP="365D9676">
      <w:pPr>
        <w:spacing w:line="259" w:lineRule="auto"/>
        <w:rPr>
          <w:rFonts w:eastAsia="Calibri" w:cs="Calibri"/>
          <w:color w:val="000000"/>
        </w:rPr>
      </w:pPr>
      <w:r w:rsidRPr="365D9676">
        <w:rPr>
          <w:rFonts w:eastAsia="Calibri" w:cs="Calibri"/>
          <w:color w:val="000000"/>
        </w:rPr>
        <w:t xml:space="preserve">• </w:t>
      </w:r>
      <w:r w:rsidRPr="365D9676">
        <w:rPr>
          <w:rFonts w:eastAsia="Calibri" w:cs="Calibri"/>
          <w:b/>
          <w:bCs/>
          <w:color w:val="000000"/>
        </w:rPr>
        <w:t>Opportunity for questions</w:t>
      </w:r>
      <w:r w:rsidRPr="365D9676">
        <w:rPr>
          <w:rFonts w:eastAsia="Calibri" w:cs="Calibri"/>
          <w:color w:val="000000"/>
        </w:rPr>
        <w:t xml:space="preserve"> – Do you have any questions before we start? Of course you are also welcome to ask questions through the interview if something is not clear.  </w:t>
      </w:r>
    </w:p>
    <w:p w14:paraId="0A41C59B" w14:textId="287BBD9E" w:rsidR="365D9676" w:rsidRDefault="365D9676" w:rsidP="365D9676">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75"/>
        <w:gridCol w:w="15"/>
        <w:gridCol w:w="6330"/>
        <w:gridCol w:w="6300"/>
      </w:tblGrid>
      <w:tr w:rsidR="365D9676" w14:paraId="1EFB93DD" w14:textId="77777777" w:rsidTr="0033094D">
        <w:trPr>
          <w:trHeight w:val="567"/>
          <w:tblHeader/>
        </w:trPr>
        <w:tc>
          <w:tcPr>
            <w:tcW w:w="97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20FCA218" w14:textId="34803B0F" w:rsidR="365D9676" w:rsidRDefault="365D9676" w:rsidP="0033094D">
            <w:pPr>
              <w:rPr>
                <w:rFonts w:eastAsia="Calibri" w:cs="Calibri"/>
                <w:color w:val="FFFFFF" w:themeColor="background1"/>
                <w:sz w:val="20"/>
                <w:szCs w:val="20"/>
              </w:rPr>
            </w:pPr>
            <w:r w:rsidRPr="365D9676">
              <w:rPr>
                <w:rFonts w:eastAsia="Calibri" w:cs="Calibri"/>
                <w:color w:val="FFFFFF" w:themeColor="background1"/>
                <w:sz w:val="20"/>
                <w:szCs w:val="20"/>
              </w:rPr>
              <w:t>EQ</w:t>
            </w:r>
          </w:p>
        </w:tc>
        <w:tc>
          <w:tcPr>
            <w:tcW w:w="6345" w:type="dxa"/>
            <w:gridSpan w:val="2"/>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5034215D" w14:textId="35E4FA70" w:rsidR="365D9676" w:rsidRDefault="365D9676" w:rsidP="0033094D">
            <w:pPr>
              <w:rPr>
                <w:rFonts w:eastAsia="Calibri" w:cs="Calibri"/>
                <w:color w:val="FFFFFF" w:themeColor="background1"/>
                <w:sz w:val="20"/>
                <w:szCs w:val="20"/>
              </w:rPr>
            </w:pPr>
            <w:r w:rsidRPr="365D9676">
              <w:rPr>
                <w:rFonts w:eastAsia="Calibri" w:cs="Calibri"/>
                <w:color w:val="FFFFFF" w:themeColor="background1"/>
                <w:sz w:val="20"/>
                <w:szCs w:val="20"/>
              </w:rPr>
              <w:t xml:space="preserve">List of questions  </w:t>
            </w:r>
          </w:p>
        </w:tc>
        <w:tc>
          <w:tcPr>
            <w:tcW w:w="6300" w:type="dxa"/>
            <w:tcBorders>
              <w:top w:val="single" w:sz="6" w:space="0" w:color="auto"/>
              <w:left w:val="nil"/>
              <w:bottom w:val="single" w:sz="6" w:space="0" w:color="auto"/>
              <w:right w:val="single" w:sz="6" w:space="0" w:color="auto"/>
            </w:tcBorders>
            <w:shd w:val="clear" w:color="auto" w:fill="8496B0"/>
            <w:tcMar>
              <w:left w:w="105" w:type="dxa"/>
              <w:right w:w="105" w:type="dxa"/>
            </w:tcMar>
            <w:vAlign w:val="center"/>
          </w:tcPr>
          <w:p w14:paraId="504A7B67" w14:textId="645FD632" w:rsidR="365D9676" w:rsidRDefault="365D9676" w:rsidP="0033094D">
            <w:pPr>
              <w:rPr>
                <w:rFonts w:eastAsia="Calibri" w:cs="Calibri"/>
                <w:color w:val="FFFFFF" w:themeColor="background1"/>
                <w:sz w:val="20"/>
                <w:szCs w:val="20"/>
              </w:rPr>
            </w:pPr>
            <w:r w:rsidRPr="365D9676">
              <w:rPr>
                <w:rFonts w:eastAsia="Calibri" w:cs="Calibri"/>
                <w:color w:val="FFFFFF" w:themeColor="background1"/>
                <w:sz w:val="20"/>
                <w:szCs w:val="20"/>
              </w:rPr>
              <w:t>Response</w:t>
            </w:r>
          </w:p>
        </w:tc>
      </w:tr>
      <w:tr w:rsidR="365D9676" w14:paraId="067EEE62" w14:textId="77777777" w:rsidTr="365D9676">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519F1B7" w14:textId="7CE631A6" w:rsidR="365D9676" w:rsidRDefault="365D9676" w:rsidP="365D9676">
            <w:pPr>
              <w:rPr>
                <w:rFonts w:eastAsia="Calibri" w:cs="Calibri"/>
                <w:color w:val="000000"/>
                <w:sz w:val="20"/>
                <w:szCs w:val="20"/>
              </w:rPr>
            </w:pPr>
            <w:r w:rsidRPr="365D9676">
              <w:rPr>
                <w:rFonts w:eastAsia="Calibri" w:cs="Calibri"/>
                <w:color w:val="000000"/>
                <w:sz w:val="20"/>
                <w:szCs w:val="20"/>
              </w:rPr>
              <w:t>EQ1 (AH)</w:t>
            </w:r>
            <w:r w:rsidRPr="001B18E8">
              <w:rPr>
                <w:rFonts w:eastAsia="Calibri" w:cs="Calibri"/>
                <w:color w:val="000000"/>
                <w:sz w:val="20"/>
                <w:szCs w:val="20"/>
              </w:rPr>
              <w:t xml:space="preserve"> / Change 2a</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5FABC19" w14:textId="532D1EB1" w:rsidR="365D9676" w:rsidRPr="001B18E8" w:rsidRDefault="365D9676" w:rsidP="365D9676">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quantity</w:t>
            </w:r>
            <w:r w:rsidRPr="001B18E8">
              <w:rPr>
                <w:rFonts w:eastAsia="Calibri" w:cs="Calibri"/>
                <w:sz w:val="20"/>
                <w:szCs w:val="20"/>
              </w:rPr>
              <w:t xml:space="preserve"> of </w:t>
            </w:r>
            <w:r w:rsidRPr="001B18E8">
              <w:rPr>
                <w:sz w:val="20"/>
                <w:szCs w:val="20"/>
              </w:rPr>
              <w:t>AH</w:t>
            </w:r>
            <w:r w:rsidRPr="001B18E8">
              <w:rPr>
                <w:rFonts w:eastAsia="Calibri" w:cs="Calibri"/>
                <w:sz w:val="20"/>
                <w:szCs w:val="20"/>
              </w:rPr>
              <w:t xml:space="preserve"> AMR/C/U data generated has improved since 2018? Summarise our understanding of changes in data quantity (with a focus on</w:t>
            </w:r>
            <w:r w:rsidRPr="001B18E8">
              <w:rPr>
                <w:rFonts w:eastAsia="Calibri" w:cs="Calibri"/>
                <w:strike/>
                <w:sz w:val="20"/>
                <w:szCs w:val="20"/>
              </w:rPr>
              <w:t>,</w:t>
            </w:r>
            <w:r w:rsidRPr="001B18E8">
              <w:rPr>
                <w:rFonts w:eastAsia="Calibri" w:cs="Calibri"/>
                <w:sz w:val="20"/>
                <w:szCs w:val="20"/>
              </w:rPr>
              <w:t xml:space="preserve"> samples) obtained from document review.  To what extent your records on quantity of AMR/U/C data generated match with our understanding? </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77EB5470" w14:textId="20FF4E0A" w:rsidR="365D9676" w:rsidRDefault="365D9676" w:rsidP="365D9676">
            <w:pPr>
              <w:rPr>
                <w:rFonts w:eastAsia="Calibri" w:cs="Calibri"/>
                <w:color w:val="000000"/>
                <w:sz w:val="20"/>
                <w:szCs w:val="20"/>
              </w:rPr>
            </w:pPr>
          </w:p>
        </w:tc>
      </w:tr>
      <w:tr w:rsidR="365D9676" w14:paraId="1F6CA710" w14:textId="77777777" w:rsidTr="0033094D">
        <w:trPr>
          <w:trHeight w:val="85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66E60A1" w14:textId="27658656" w:rsidR="365D9676" w:rsidRDefault="365D9676" w:rsidP="0033094D">
            <w:pPr>
              <w:rPr>
                <w:rFonts w:eastAsia="Calibri" w:cs="Calibri"/>
                <w:color w:val="000000"/>
                <w:sz w:val="20"/>
                <w:szCs w:val="20"/>
              </w:rPr>
            </w:pPr>
            <w:r w:rsidRPr="001B18E8">
              <w:rPr>
                <w:color w:val="000000"/>
              </w:rPr>
              <w:t>EQ1 (AH)  </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C42009F" w14:textId="0B156225" w:rsidR="365D9676" w:rsidRPr="001B18E8" w:rsidRDefault="365D9676" w:rsidP="365D9676">
            <w:pPr>
              <w:rPr>
                <w:rFonts w:eastAsia="Calibri" w:cs="Calibri"/>
                <w:sz w:val="20"/>
                <w:szCs w:val="20"/>
              </w:rPr>
            </w:pPr>
            <w:r w:rsidRPr="001B18E8">
              <w:rPr>
                <w:rStyle w:val="normaltextrun"/>
                <w:rFonts w:eastAsia="Calibri" w:cs="Calibri"/>
                <w:sz w:val="20"/>
                <w:szCs w:val="20"/>
              </w:rPr>
              <w:t>To what extent have active surveillance surveys been undertaken as part of a broader strategy? Probe on when relevant strategy was published.</w:t>
            </w:r>
            <w:r w:rsidRPr="001B18E8">
              <w:rPr>
                <w:rStyle w:val="eop"/>
                <w:rFonts w:eastAsia="Calibri" w:cs="Calibri"/>
                <w:sz w:val="20"/>
                <w:szCs w:val="20"/>
              </w:rPr>
              <w:t> </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3BDAF585" w14:textId="49AC8CCE" w:rsidR="365D9676" w:rsidRDefault="365D9676" w:rsidP="365D9676">
            <w:pPr>
              <w:rPr>
                <w:rFonts w:eastAsia="Calibri" w:cs="Calibri"/>
                <w:color w:val="000000"/>
                <w:sz w:val="20"/>
                <w:szCs w:val="20"/>
              </w:rPr>
            </w:pPr>
          </w:p>
        </w:tc>
      </w:tr>
      <w:tr w:rsidR="365D9676" w14:paraId="49C2C4A2" w14:textId="77777777" w:rsidTr="365D9676">
        <w:trPr>
          <w:trHeight w:val="1290"/>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1ADA855" w14:textId="47242B7F" w:rsidR="365D9676" w:rsidRPr="001B18E8" w:rsidRDefault="365D9676" w:rsidP="365D9676">
            <w:pPr>
              <w:pStyle w:val="paragraph"/>
              <w:spacing w:before="0" w:beforeAutospacing="0" w:after="0" w:afterAutospacing="0"/>
              <w:rPr>
                <w:rFonts w:ascii="Calibri" w:eastAsia="Calibri" w:hAnsi="Calibri" w:cs="Calibri"/>
                <w:color w:val="000000"/>
                <w:sz w:val="20"/>
                <w:szCs w:val="20"/>
                <w:lang w:eastAsia="en-US"/>
              </w:rPr>
            </w:pPr>
            <w:r w:rsidRPr="001B18E8">
              <w:rPr>
                <w:rFonts w:ascii="Calibri" w:eastAsia="Calibri" w:hAnsi="Calibri" w:cs="Calibri"/>
                <w:color w:val="000000"/>
                <w:sz w:val="20"/>
                <w:szCs w:val="20"/>
                <w:lang w:eastAsia="en-US"/>
              </w:rPr>
              <w:t>EQ1 (AH) / Change 2a</w:t>
            </w:r>
          </w:p>
        </w:tc>
        <w:tc>
          <w:tcPr>
            <w:tcW w:w="6345"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626BD77" w14:textId="09BCFEB4"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Number of active sampling exercises, Number of pathogens , human capacity, Renovation and equipment, consumable, Prioritisation, governance, engagement with agriculture/industry for sampling</w:t>
            </w:r>
            <w:r w:rsidRPr="001B18E8">
              <w:rPr>
                <w:rFonts w:eastAsia="Calibri" w:cs="Calibri"/>
                <w:b/>
                <w:bCs/>
                <w:sz w:val="20"/>
                <w:szCs w:val="20"/>
              </w:rPr>
              <w:t xml:space="preserve"> </w:t>
            </w:r>
          </w:p>
        </w:tc>
        <w:tc>
          <w:tcPr>
            <w:tcW w:w="6300" w:type="dxa"/>
            <w:tcBorders>
              <w:top w:val="single" w:sz="6" w:space="0" w:color="auto"/>
              <w:left w:val="nil"/>
              <w:bottom w:val="single" w:sz="6" w:space="0" w:color="auto"/>
              <w:right w:val="single" w:sz="6" w:space="0" w:color="auto"/>
            </w:tcBorders>
            <w:tcMar>
              <w:left w:w="105" w:type="dxa"/>
              <w:right w:w="105" w:type="dxa"/>
            </w:tcMar>
          </w:tcPr>
          <w:p w14:paraId="0D858ADC" w14:textId="445ECB8B" w:rsidR="365D9676" w:rsidRDefault="365D9676" w:rsidP="365D9676">
            <w:pPr>
              <w:rPr>
                <w:rFonts w:eastAsia="Calibri" w:cs="Calibri"/>
                <w:color w:val="0078D4"/>
                <w:sz w:val="20"/>
                <w:szCs w:val="20"/>
              </w:rPr>
            </w:pPr>
          </w:p>
        </w:tc>
      </w:tr>
      <w:tr w:rsidR="365D9676" w14:paraId="55FB9D06" w14:textId="77777777" w:rsidTr="365D9676">
        <w:trPr>
          <w:trHeight w:val="1290"/>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48843F7" w14:textId="62B513EF" w:rsidR="365D9676" w:rsidRPr="001B18E8" w:rsidRDefault="365D9676" w:rsidP="365D9676">
            <w:pPr>
              <w:pStyle w:val="paragraph"/>
              <w:spacing w:before="0" w:beforeAutospacing="0" w:after="0" w:afterAutospacing="0"/>
              <w:rPr>
                <w:rFonts w:ascii="Calibri" w:eastAsia="Calibri" w:hAnsi="Calibri" w:cs="Calibri"/>
                <w:color w:val="000000"/>
                <w:sz w:val="20"/>
                <w:szCs w:val="20"/>
                <w:lang w:eastAsia="en-US"/>
              </w:rPr>
            </w:pPr>
            <w:r w:rsidRPr="001B18E8">
              <w:rPr>
                <w:rFonts w:ascii="Calibri" w:eastAsia="Calibri" w:hAnsi="Calibri" w:cs="Calibri"/>
                <w:color w:val="000000"/>
                <w:sz w:val="20"/>
                <w:szCs w:val="20"/>
                <w:lang w:eastAsia="en-US"/>
              </w:rPr>
              <w:t>EQ1 (AH) / Change 2a</w:t>
            </w:r>
          </w:p>
        </w:tc>
        <w:tc>
          <w:tcPr>
            <w:tcW w:w="6345"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C6461E8" w14:textId="06AAE84C" w:rsidR="365D9676" w:rsidRPr="001B18E8" w:rsidRDefault="365D9676" w:rsidP="365D9676">
            <w:pPr>
              <w:rPr>
                <w:rFonts w:eastAsia="Calibri" w:cs="Calibri"/>
                <w:sz w:val="20"/>
                <w:szCs w:val="20"/>
              </w:rPr>
            </w:pPr>
            <w:r w:rsidRPr="001B18E8">
              <w:rPr>
                <w:rFonts w:eastAsia="Calibri" w:cs="Calibri"/>
                <w:sz w:val="20"/>
                <w:szCs w:val="20"/>
              </w:rPr>
              <w:t>What was the Fleming Fund (</w:t>
            </w:r>
            <w:r w:rsidRPr="001B18E8">
              <w:rPr>
                <w:rFonts w:eastAsia="Calibri" w:cs="Calibri"/>
                <w:b/>
                <w:bCs/>
                <w:sz w:val="20"/>
                <w:szCs w:val="20"/>
              </w:rPr>
              <w:t>CG/RG/Fellows</w:t>
            </w:r>
            <w:r w:rsidRPr="001B18E8">
              <w:rPr>
                <w:rFonts w:eastAsia="Calibri" w:cs="Calibri"/>
                <w:sz w:val="20"/>
                <w:szCs w:val="20"/>
              </w:rPr>
              <w:t xml:space="preserve">) </w:t>
            </w:r>
            <w:r w:rsidRPr="001B18E8">
              <w:rPr>
                <w:rFonts w:eastAsia="Calibri" w:cs="Calibri"/>
                <w:b/>
                <w:bCs/>
                <w:sz w:val="20"/>
                <w:szCs w:val="20"/>
              </w:rPr>
              <w:t>contribution</w:t>
            </w:r>
            <w:r w:rsidRPr="001B18E8">
              <w:rPr>
                <w:rFonts w:eastAsia="Calibri" w:cs="Calibri"/>
                <w:sz w:val="20"/>
                <w:szCs w:val="20"/>
              </w:rPr>
              <w:t xml:space="preserve"> to those drivers?</w:t>
            </w:r>
            <w:r w:rsidRPr="001B18E8">
              <w:br/>
            </w:r>
            <w:r w:rsidRPr="001B18E8">
              <w:rPr>
                <w:rFonts w:eastAsia="Calibri" w:cs="Calibri"/>
                <w:sz w:val="20"/>
                <w:szCs w:val="20"/>
              </w:rPr>
              <w:t>How vital was that it compared to the contribution of:</w:t>
            </w:r>
            <w:r w:rsidRPr="001B18E8">
              <w:br/>
            </w:r>
            <w:r w:rsidRPr="001B18E8">
              <w:rPr>
                <w:rFonts w:eastAsia="Calibri" w:cs="Calibri"/>
                <w:sz w:val="20"/>
                <w:szCs w:val="20"/>
              </w:rPr>
              <w:t>-Global Projects (name any active in country)</w:t>
            </w:r>
            <w:r w:rsidRPr="001B18E8">
              <w:br/>
            </w:r>
            <w:r w:rsidRPr="001B18E8">
              <w:rPr>
                <w:rFonts w:eastAsia="Calibri" w:cs="Calibri"/>
                <w:sz w:val="20"/>
                <w:szCs w:val="20"/>
              </w:rPr>
              <w:t>-Other influencing factors (could be government activities, interventions by other DPs or exogenous factors such as COVID-19?</w:t>
            </w:r>
          </w:p>
        </w:tc>
        <w:tc>
          <w:tcPr>
            <w:tcW w:w="6300" w:type="dxa"/>
            <w:tcBorders>
              <w:top w:val="single" w:sz="6" w:space="0" w:color="auto"/>
              <w:left w:val="nil"/>
              <w:bottom w:val="single" w:sz="6" w:space="0" w:color="auto"/>
              <w:right w:val="single" w:sz="6" w:space="0" w:color="auto"/>
            </w:tcBorders>
            <w:tcMar>
              <w:left w:w="105" w:type="dxa"/>
              <w:right w:w="105" w:type="dxa"/>
            </w:tcMar>
          </w:tcPr>
          <w:p w14:paraId="05B39479" w14:textId="38F11EAB" w:rsidR="365D9676" w:rsidRDefault="365D9676" w:rsidP="365D9676">
            <w:pPr>
              <w:rPr>
                <w:rFonts w:eastAsia="Calibri" w:cs="Calibri"/>
                <w:color w:val="0078D4"/>
                <w:sz w:val="20"/>
                <w:szCs w:val="20"/>
              </w:rPr>
            </w:pPr>
          </w:p>
        </w:tc>
      </w:tr>
      <w:tr w:rsidR="365D9676" w14:paraId="16B29B15" w14:textId="77777777" w:rsidTr="0033094D">
        <w:trPr>
          <w:trHeight w:val="907"/>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FD0368B" w14:textId="73D4F4EC" w:rsidR="365D9676" w:rsidRPr="001B18E8" w:rsidRDefault="365D9676" w:rsidP="365D9676">
            <w:pPr>
              <w:pStyle w:val="paragraph"/>
              <w:spacing w:before="0" w:beforeAutospacing="0" w:after="0" w:afterAutospacing="0"/>
              <w:rPr>
                <w:rFonts w:ascii="Calibri" w:eastAsia="Calibri" w:hAnsi="Calibri" w:cs="Calibri"/>
                <w:color w:val="000000"/>
                <w:sz w:val="20"/>
                <w:szCs w:val="20"/>
                <w:lang w:eastAsia="en-US"/>
              </w:rPr>
            </w:pPr>
            <w:r w:rsidRPr="001B18E8">
              <w:rPr>
                <w:rFonts w:ascii="Calibri" w:eastAsia="Calibri" w:hAnsi="Calibri" w:cs="Calibri"/>
                <w:color w:val="000000"/>
                <w:sz w:val="20"/>
                <w:szCs w:val="20"/>
                <w:lang w:eastAsia="en-US"/>
              </w:rPr>
              <w:t>EQ1 (AH) / Change 2a</w:t>
            </w:r>
          </w:p>
        </w:tc>
        <w:tc>
          <w:tcPr>
            <w:tcW w:w="6345"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4619B48" w14:textId="48759B58" w:rsidR="365D9676" w:rsidRPr="001B18E8" w:rsidRDefault="365D9676" w:rsidP="0033094D">
            <w:pPr>
              <w:rPr>
                <w:rFonts w:eastAsia="Calibri" w:cs="Calibri"/>
                <w:sz w:val="20"/>
                <w:szCs w:val="20"/>
              </w:rPr>
            </w:pPr>
            <w:r w:rsidRPr="001B18E8">
              <w:rPr>
                <w:rFonts w:eastAsia="Calibri" w:cs="Calibri"/>
                <w:sz w:val="20"/>
                <w:szCs w:val="20"/>
              </w:rPr>
              <w:t xml:space="preserve">If there was </w:t>
            </w:r>
            <w:r w:rsidRPr="001B18E8">
              <w:rPr>
                <w:rFonts w:eastAsia="Calibri" w:cs="Calibri"/>
                <w:b/>
                <w:bCs/>
                <w:sz w:val="20"/>
                <w:szCs w:val="20"/>
              </w:rPr>
              <w:t xml:space="preserve">no or negative change </w:t>
            </w:r>
            <w:r w:rsidRPr="001B18E8">
              <w:rPr>
                <w:rFonts w:eastAsia="Calibri" w:cs="Calibri"/>
                <w:sz w:val="20"/>
                <w:szCs w:val="20"/>
              </w:rPr>
              <w:t xml:space="preserve">in this area, </w:t>
            </w:r>
            <w:r w:rsidRPr="001B18E8">
              <w:rPr>
                <w:rFonts w:eastAsia="Calibri" w:cs="Calibri"/>
                <w:b/>
                <w:bCs/>
                <w:sz w:val="20"/>
                <w:szCs w:val="20"/>
              </w:rPr>
              <w:t>why</w:t>
            </w:r>
            <w:r w:rsidRPr="001B18E8">
              <w:rPr>
                <w:rFonts w:eastAsia="Calibri" w:cs="Calibri"/>
                <w:sz w:val="20"/>
                <w:szCs w:val="20"/>
              </w:rPr>
              <w:t xml:space="preserve"> was that? And what has the FF and others done to improve the situation?</w:t>
            </w:r>
          </w:p>
        </w:tc>
        <w:tc>
          <w:tcPr>
            <w:tcW w:w="6300" w:type="dxa"/>
            <w:tcBorders>
              <w:top w:val="single" w:sz="6" w:space="0" w:color="auto"/>
              <w:left w:val="nil"/>
              <w:bottom w:val="single" w:sz="6" w:space="0" w:color="auto"/>
              <w:right w:val="single" w:sz="6" w:space="0" w:color="auto"/>
            </w:tcBorders>
            <w:tcMar>
              <w:left w:w="105" w:type="dxa"/>
              <w:right w:w="105" w:type="dxa"/>
            </w:tcMar>
          </w:tcPr>
          <w:p w14:paraId="45568D98" w14:textId="33E5573D" w:rsidR="365D9676" w:rsidRDefault="365D9676" w:rsidP="365D9676">
            <w:pPr>
              <w:rPr>
                <w:rFonts w:eastAsia="Calibri" w:cs="Calibri"/>
                <w:color w:val="0078D4"/>
                <w:sz w:val="20"/>
                <w:szCs w:val="20"/>
              </w:rPr>
            </w:pPr>
          </w:p>
        </w:tc>
      </w:tr>
      <w:tr w:rsidR="365D9676" w14:paraId="5012A127" w14:textId="77777777" w:rsidTr="365D9676">
        <w:trPr>
          <w:trHeight w:val="283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8F30204" w14:textId="7ECB9ED8" w:rsidR="365D9676" w:rsidRDefault="365D9676" w:rsidP="365D9676">
            <w:pPr>
              <w:rPr>
                <w:rFonts w:eastAsia="Calibri" w:cs="Calibri"/>
                <w:color w:val="000000"/>
                <w:sz w:val="20"/>
                <w:szCs w:val="20"/>
              </w:rPr>
            </w:pPr>
            <w:r w:rsidRPr="365D9676">
              <w:rPr>
                <w:rFonts w:eastAsia="Calibri" w:cs="Calibri"/>
                <w:color w:val="000000"/>
                <w:sz w:val="20"/>
                <w:szCs w:val="20"/>
              </w:rPr>
              <w:t>EQ1 (AH)</w:t>
            </w:r>
            <w:r w:rsidRPr="001B18E8">
              <w:rPr>
                <w:rFonts w:eastAsia="Calibri" w:cs="Calibri"/>
                <w:color w:val="000000"/>
                <w:sz w:val="20"/>
                <w:szCs w:val="20"/>
              </w:rPr>
              <w:t xml:space="preserve"> / Change 2b</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EBBAE81" w14:textId="5A5DAF71" w:rsidR="365D9676" w:rsidRPr="001B18E8" w:rsidRDefault="365D9676" w:rsidP="365D9676">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quality</w:t>
            </w:r>
            <w:r w:rsidRPr="001B18E8">
              <w:rPr>
                <w:rFonts w:eastAsia="Calibri" w:cs="Calibri"/>
                <w:sz w:val="20"/>
                <w:szCs w:val="20"/>
              </w:rPr>
              <w:t xml:space="preserve"> of AH AMR data has improved? </w:t>
            </w:r>
            <w:r w:rsidRPr="001B18E8">
              <w:br/>
            </w:r>
            <w:r w:rsidRPr="001B18E8">
              <w:rPr>
                <w:rFonts w:eastAsia="Calibri" w:cs="Calibri"/>
                <w:sz w:val="20"/>
                <w:szCs w:val="20"/>
              </w:rPr>
              <w:t>-some prompts that maybe helpful for this question are (1) SOPs, (2) automated instruments, (3) internal and/or external quality assurance procedures, (4) better supplies of reagents/better quality equipment or infrastructure (eg fridges/freezers), (5) Training and/or supervision, (6) Quality manager, (7) Accreditation processes, (8) Reporting of data to clinicians (for HH).</w:t>
            </w:r>
            <w:r w:rsidRPr="001B18E8">
              <w:br/>
            </w:r>
            <w:r w:rsidRPr="001B18E8">
              <w:rPr>
                <w:rFonts w:eastAsia="Calibri" w:cs="Calibri"/>
                <w:sz w:val="20"/>
                <w:szCs w:val="20"/>
              </w:rPr>
              <w:t>- Would be useful to get a feel for what level the improvements are at (references labs and/or surveillance sites or facility laboratories)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5621B723" w14:textId="0611A1AC" w:rsidR="365D9676" w:rsidRDefault="365D9676" w:rsidP="365D9676">
            <w:pPr>
              <w:rPr>
                <w:rFonts w:eastAsia="Calibri" w:cs="Calibri"/>
                <w:color w:val="000000"/>
                <w:sz w:val="20"/>
                <w:szCs w:val="20"/>
              </w:rPr>
            </w:pPr>
          </w:p>
        </w:tc>
      </w:tr>
      <w:tr w:rsidR="365D9676" w14:paraId="0DF1FA97" w14:textId="77777777" w:rsidTr="365D9676">
        <w:trPr>
          <w:trHeight w:val="148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7C71EB4" w14:textId="597B493B" w:rsidR="365D9676" w:rsidRDefault="365D9676" w:rsidP="365D9676">
            <w:pPr>
              <w:rPr>
                <w:rFonts w:eastAsia="Calibri" w:cs="Calibri"/>
                <w:color w:val="000000"/>
                <w:sz w:val="20"/>
                <w:szCs w:val="20"/>
              </w:rPr>
            </w:pPr>
            <w:r w:rsidRPr="365D9676">
              <w:rPr>
                <w:rFonts w:eastAsia="Calibri" w:cs="Calibri"/>
                <w:color w:val="000000"/>
                <w:sz w:val="20"/>
                <w:szCs w:val="20"/>
              </w:rPr>
              <w:t>EQ1 (AH)</w:t>
            </w:r>
            <w:r w:rsidRPr="001B18E8">
              <w:rPr>
                <w:rFonts w:eastAsia="Calibri" w:cs="Calibri"/>
                <w:color w:val="000000"/>
                <w:sz w:val="20"/>
                <w:szCs w:val="20"/>
              </w:rPr>
              <w:t xml:space="preserve"> / Change 2b</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289B1F2F" w14:textId="6EAF1641"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investments in human capacity, renovation work abd improved equipment, reliable supply of reagents, SOPs, internal QA/QM, participation in EQA, prioritisation, governance, other...</w:t>
            </w:r>
          </w:p>
        </w:tc>
        <w:tc>
          <w:tcPr>
            <w:tcW w:w="6300" w:type="dxa"/>
            <w:tcBorders>
              <w:top w:val="single" w:sz="6" w:space="0" w:color="auto"/>
              <w:left w:val="nil"/>
              <w:bottom w:val="single" w:sz="6" w:space="0" w:color="auto"/>
              <w:right w:val="single" w:sz="6" w:space="0" w:color="auto"/>
            </w:tcBorders>
            <w:shd w:val="clear" w:color="auto" w:fill="FCE4D6"/>
            <w:tcMar>
              <w:left w:w="105" w:type="dxa"/>
              <w:right w:w="105" w:type="dxa"/>
            </w:tcMar>
          </w:tcPr>
          <w:p w14:paraId="5FB0AE84" w14:textId="047BD97A" w:rsidR="365D9676" w:rsidRDefault="365D9676" w:rsidP="365D9676">
            <w:pPr>
              <w:rPr>
                <w:rFonts w:eastAsia="Calibri" w:cs="Calibri"/>
                <w:color w:val="000000"/>
                <w:sz w:val="20"/>
                <w:szCs w:val="20"/>
              </w:rPr>
            </w:pPr>
          </w:p>
        </w:tc>
      </w:tr>
      <w:tr w:rsidR="365D9676" w14:paraId="353D7FD2" w14:textId="77777777" w:rsidTr="365D9676">
        <w:trPr>
          <w:trHeight w:val="184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4B131F9" w14:textId="606BC493" w:rsidR="365D9676" w:rsidRDefault="365D9676" w:rsidP="365D9676">
            <w:pPr>
              <w:rPr>
                <w:rFonts w:eastAsia="Calibri" w:cs="Calibri"/>
                <w:color w:val="000000"/>
                <w:sz w:val="20"/>
                <w:szCs w:val="20"/>
              </w:rPr>
            </w:pPr>
            <w:r w:rsidRPr="365D9676">
              <w:rPr>
                <w:rFonts w:eastAsia="Calibri" w:cs="Calibri"/>
                <w:color w:val="000000"/>
                <w:sz w:val="20"/>
                <w:szCs w:val="20"/>
              </w:rPr>
              <w:t>EQ1 (AH)</w:t>
            </w:r>
            <w:r w:rsidRPr="001B18E8">
              <w:rPr>
                <w:rFonts w:eastAsia="Calibri" w:cs="Calibri"/>
                <w:color w:val="000000"/>
                <w:sz w:val="20"/>
                <w:szCs w:val="20"/>
              </w:rPr>
              <w:t xml:space="preserve"> / Change 2b</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6E808EDF" w14:textId="1D416DBE" w:rsidR="365D9676" w:rsidRPr="001B18E8" w:rsidRDefault="365D9676" w:rsidP="365D9676">
            <w:pPr>
              <w:rPr>
                <w:rFonts w:eastAsia="Calibri" w:cs="Calibri"/>
                <w:sz w:val="20"/>
                <w:szCs w:val="20"/>
              </w:rPr>
            </w:pPr>
            <w:r w:rsidRPr="001B18E8">
              <w:rPr>
                <w:rFonts w:eastAsia="Calibri" w:cs="Calibri"/>
                <w:sz w:val="20"/>
                <w:szCs w:val="20"/>
              </w:rPr>
              <w:t>What was the Fleming Fund (</w:t>
            </w:r>
            <w:r w:rsidRPr="001B18E8">
              <w:rPr>
                <w:rFonts w:eastAsia="Calibri" w:cs="Calibri"/>
                <w:b/>
                <w:bCs/>
                <w:sz w:val="20"/>
                <w:szCs w:val="20"/>
              </w:rPr>
              <w:t>CG/RG/Fellows</w:t>
            </w:r>
            <w:r w:rsidRPr="001B18E8">
              <w:rPr>
                <w:rFonts w:eastAsia="Calibri" w:cs="Calibri"/>
                <w:sz w:val="20"/>
                <w:szCs w:val="20"/>
              </w:rPr>
              <w:t xml:space="preserve">) </w:t>
            </w:r>
            <w:r w:rsidRPr="001B18E8">
              <w:rPr>
                <w:rFonts w:eastAsia="Calibri" w:cs="Calibri"/>
                <w:b/>
                <w:bCs/>
                <w:sz w:val="20"/>
                <w:szCs w:val="20"/>
              </w:rPr>
              <w:t>contribution</w:t>
            </w:r>
            <w:r w:rsidRPr="001B18E8">
              <w:rPr>
                <w:rFonts w:eastAsia="Calibri" w:cs="Calibri"/>
                <w:sz w:val="20"/>
                <w:szCs w:val="20"/>
              </w:rPr>
              <w:t xml:space="preserve"> to those drivers?</w:t>
            </w:r>
            <w:r w:rsidRPr="001B18E8">
              <w:br/>
            </w:r>
            <w:r w:rsidRPr="001B18E8">
              <w:rPr>
                <w:rFonts w:eastAsia="Calibri" w:cs="Calibri"/>
                <w:sz w:val="20"/>
                <w:szCs w:val="20"/>
              </w:rPr>
              <w:t>How vital was that it compared to the contribution of:</w:t>
            </w:r>
            <w:r w:rsidRPr="001B18E8">
              <w:br/>
            </w:r>
            <w:r w:rsidRPr="001B18E8">
              <w:rPr>
                <w:rFonts w:eastAsia="Calibri" w:cs="Calibri"/>
                <w:sz w:val="20"/>
                <w:szCs w:val="20"/>
              </w:rPr>
              <w:t>-Global Projects (name any active in country)</w:t>
            </w:r>
            <w:r w:rsidRPr="001B18E8">
              <w:br/>
            </w:r>
            <w:r w:rsidRPr="001B18E8">
              <w:rPr>
                <w:rFonts w:eastAsia="Calibri" w:cs="Calibri"/>
                <w:sz w:val="20"/>
                <w:szCs w:val="20"/>
              </w:rPr>
              <w:t>-Other influencing factors (could be government activities, interventions by other DPs or exogenous factors such as COVID-19?</w:t>
            </w:r>
          </w:p>
        </w:tc>
        <w:tc>
          <w:tcPr>
            <w:tcW w:w="6300" w:type="dxa"/>
            <w:tcBorders>
              <w:top w:val="single" w:sz="6" w:space="0" w:color="auto"/>
              <w:left w:val="nil"/>
              <w:bottom w:val="single" w:sz="6" w:space="0" w:color="auto"/>
              <w:right w:val="single" w:sz="6" w:space="0" w:color="auto"/>
            </w:tcBorders>
            <w:shd w:val="clear" w:color="auto" w:fill="FCE4D6"/>
            <w:tcMar>
              <w:left w:w="105" w:type="dxa"/>
              <w:right w:w="105" w:type="dxa"/>
            </w:tcMar>
          </w:tcPr>
          <w:p w14:paraId="04492637" w14:textId="03FB4858" w:rsidR="365D9676" w:rsidRDefault="365D9676" w:rsidP="365D9676">
            <w:pPr>
              <w:rPr>
                <w:rFonts w:eastAsia="Calibri" w:cs="Calibri"/>
                <w:color w:val="000000"/>
                <w:sz w:val="20"/>
                <w:szCs w:val="20"/>
              </w:rPr>
            </w:pPr>
          </w:p>
        </w:tc>
      </w:tr>
      <w:tr w:rsidR="365D9676" w14:paraId="696894A3" w14:textId="77777777" w:rsidTr="0033094D">
        <w:trPr>
          <w:trHeight w:val="52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60027C2" w14:textId="180B3CC3" w:rsidR="365D9676" w:rsidRDefault="365D9676" w:rsidP="365D9676">
            <w:pPr>
              <w:rPr>
                <w:rFonts w:eastAsia="Calibri" w:cs="Calibri"/>
                <w:color w:val="000000"/>
                <w:sz w:val="20"/>
                <w:szCs w:val="20"/>
              </w:rPr>
            </w:pPr>
            <w:r w:rsidRPr="365D9676">
              <w:rPr>
                <w:rFonts w:eastAsia="Calibri" w:cs="Calibri"/>
                <w:color w:val="000000"/>
                <w:sz w:val="20"/>
                <w:szCs w:val="20"/>
              </w:rPr>
              <w:t>EQ1 (AH)</w:t>
            </w:r>
            <w:r w:rsidRPr="001B18E8">
              <w:rPr>
                <w:rFonts w:eastAsia="Calibri" w:cs="Calibri"/>
                <w:color w:val="000000"/>
                <w:sz w:val="20"/>
                <w:szCs w:val="20"/>
              </w:rPr>
              <w:t xml:space="preserve"> / Change 2b</w:t>
            </w:r>
          </w:p>
        </w:tc>
        <w:tc>
          <w:tcPr>
            <w:tcW w:w="6345" w:type="dxa"/>
            <w:gridSpan w:val="2"/>
            <w:tcBorders>
              <w:top w:val="single" w:sz="6" w:space="0" w:color="auto"/>
              <w:left w:val="single" w:sz="6" w:space="0" w:color="auto"/>
              <w:bottom w:val="nil"/>
              <w:right w:val="nil"/>
            </w:tcBorders>
            <w:shd w:val="clear" w:color="auto" w:fill="FCE4D6"/>
            <w:tcMar>
              <w:left w:w="105" w:type="dxa"/>
              <w:right w:w="105" w:type="dxa"/>
            </w:tcMar>
            <w:vAlign w:val="center"/>
          </w:tcPr>
          <w:p w14:paraId="1AA51495" w14:textId="6F8EF720" w:rsidR="365D9676" w:rsidRPr="001B18E8" w:rsidRDefault="365D9676" w:rsidP="0033094D">
            <w:pPr>
              <w:rPr>
                <w:rFonts w:eastAsia="Calibri" w:cs="Calibri"/>
                <w:sz w:val="20"/>
                <w:szCs w:val="20"/>
              </w:rPr>
            </w:pPr>
            <w:r w:rsidRPr="001B18E8">
              <w:rPr>
                <w:rFonts w:eastAsia="Calibri" w:cs="Calibri"/>
                <w:sz w:val="20"/>
                <w:szCs w:val="20"/>
              </w:rPr>
              <w:t xml:space="preserve">If there was </w:t>
            </w:r>
            <w:r w:rsidRPr="001B18E8">
              <w:rPr>
                <w:rFonts w:eastAsia="Calibri" w:cs="Calibri"/>
                <w:b/>
                <w:bCs/>
                <w:sz w:val="20"/>
                <w:szCs w:val="20"/>
              </w:rPr>
              <w:t xml:space="preserve">no or negative change </w:t>
            </w:r>
            <w:r w:rsidRPr="001B18E8">
              <w:rPr>
                <w:rFonts w:eastAsia="Calibri" w:cs="Calibri"/>
                <w:sz w:val="20"/>
                <w:szCs w:val="20"/>
              </w:rPr>
              <w:t xml:space="preserve">in this area, </w:t>
            </w:r>
            <w:r w:rsidRPr="001B18E8">
              <w:rPr>
                <w:rFonts w:eastAsia="Calibri" w:cs="Calibri"/>
                <w:b/>
                <w:bCs/>
                <w:sz w:val="20"/>
                <w:szCs w:val="20"/>
              </w:rPr>
              <w:t>why</w:t>
            </w:r>
            <w:r w:rsidRPr="001B18E8">
              <w:rPr>
                <w:rFonts w:eastAsia="Calibri" w:cs="Calibri"/>
                <w:sz w:val="20"/>
                <w:szCs w:val="20"/>
              </w:rPr>
              <w:t xml:space="preserve"> was that? And what has the FF and others done to improve the situation?</w:t>
            </w:r>
          </w:p>
        </w:tc>
        <w:tc>
          <w:tcPr>
            <w:tcW w:w="6300" w:type="dxa"/>
            <w:tcBorders>
              <w:top w:val="single" w:sz="6" w:space="0" w:color="auto"/>
              <w:left w:val="nil"/>
              <w:bottom w:val="nil"/>
              <w:right w:val="nil"/>
            </w:tcBorders>
            <w:shd w:val="clear" w:color="auto" w:fill="FCE4D6"/>
            <w:tcMar>
              <w:left w:w="105" w:type="dxa"/>
              <w:right w:w="105" w:type="dxa"/>
            </w:tcMar>
          </w:tcPr>
          <w:p w14:paraId="531D2CEB" w14:textId="4EA6761F" w:rsidR="365D9676" w:rsidRDefault="365D9676" w:rsidP="365D9676">
            <w:pPr>
              <w:rPr>
                <w:rFonts w:eastAsia="Calibri" w:cs="Calibri"/>
                <w:color w:val="000000"/>
                <w:sz w:val="20"/>
                <w:szCs w:val="20"/>
              </w:rPr>
            </w:pPr>
          </w:p>
        </w:tc>
      </w:tr>
      <w:tr w:rsidR="365D9676" w14:paraId="70CB4059" w14:textId="77777777" w:rsidTr="365D9676">
        <w:trPr>
          <w:trHeight w:val="76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12181FD" w14:textId="4B937BAF" w:rsidR="365D9676" w:rsidRDefault="365D9676" w:rsidP="365D9676">
            <w:pPr>
              <w:rPr>
                <w:rFonts w:eastAsia="Calibri" w:cs="Calibri"/>
                <w:color w:val="000000"/>
                <w:sz w:val="20"/>
                <w:szCs w:val="20"/>
              </w:rPr>
            </w:pPr>
            <w:r w:rsidRPr="365D9676">
              <w:rPr>
                <w:rFonts w:eastAsia="Calibri" w:cs="Calibri"/>
                <w:color w:val="000000"/>
                <w:sz w:val="20"/>
                <w:szCs w:val="20"/>
              </w:rPr>
              <w:t>EQ1 (AH)</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C08D305" w14:textId="3C59E94C" w:rsidR="365D9676" w:rsidRPr="001B18E8" w:rsidRDefault="365D9676" w:rsidP="365D9676">
            <w:pPr>
              <w:rPr>
                <w:rFonts w:eastAsia="Calibri" w:cs="Calibri"/>
                <w:sz w:val="20"/>
                <w:szCs w:val="20"/>
              </w:rPr>
            </w:pPr>
            <w:r w:rsidRPr="001B18E8">
              <w:rPr>
                <w:rFonts w:eastAsia="Calibri" w:cs="Calibri"/>
                <w:sz w:val="20"/>
                <w:szCs w:val="20"/>
              </w:rPr>
              <w:t xml:space="preserve">To what extent is it plausible that there will be </w:t>
            </w:r>
            <w:r w:rsidRPr="001B18E8">
              <w:rPr>
                <w:rFonts w:eastAsia="Calibri" w:cs="Calibri"/>
                <w:b/>
                <w:bCs/>
                <w:sz w:val="20"/>
                <w:szCs w:val="20"/>
              </w:rPr>
              <w:t>significant additional change in the system</w:t>
            </w:r>
            <w:r w:rsidRPr="001B18E8">
              <w:rPr>
                <w:rFonts w:eastAsia="Calibri" w:cs="Calibri"/>
                <w:sz w:val="20"/>
                <w:szCs w:val="20"/>
              </w:rPr>
              <w:t xml:space="preserve"> (in terms of increases in quantity and quality of AMR data) </w:t>
            </w:r>
            <w:r w:rsidRPr="001B18E8">
              <w:rPr>
                <w:rFonts w:eastAsia="Calibri" w:cs="Calibri"/>
                <w:b/>
                <w:bCs/>
                <w:sz w:val="20"/>
                <w:szCs w:val="20"/>
              </w:rPr>
              <w:t>by end 2022</w:t>
            </w:r>
            <w:r w:rsidRPr="001B18E8">
              <w:rPr>
                <w:rFonts w:eastAsia="Calibri" w:cs="Calibri"/>
                <w:sz w:val="20"/>
                <w:szCs w:val="20"/>
              </w:rPr>
              <w:t xml:space="preserve">?  </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1F3860E8" w14:textId="1E0761FF" w:rsidR="365D9676" w:rsidRDefault="365D9676" w:rsidP="365D9676">
            <w:pPr>
              <w:rPr>
                <w:rFonts w:eastAsia="Calibri" w:cs="Calibri"/>
                <w:color w:val="000000"/>
                <w:sz w:val="20"/>
                <w:szCs w:val="20"/>
              </w:rPr>
            </w:pPr>
          </w:p>
        </w:tc>
      </w:tr>
      <w:tr w:rsidR="365D9676" w14:paraId="388C7542" w14:textId="77777777" w:rsidTr="0033094D">
        <w:trPr>
          <w:trHeight w:val="3061"/>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E45115A" w14:textId="28C27051" w:rsidR="365D9676" w:rsidRDefault="365D9676" w:rsidP="365D9676">
            <w:pPr>
              <w:rPr>
                <w:rFonts w:eastAsia="Calibri" w:cs="Calibri"/>
                <w:color w:val="000000"/>
                <w:sz w:val="20"/>
                <w:szCs w:val="20"/>
              </w:rPr>
            </w:pPr>
            <w:r w:rsidRPr="365D9676">
              <w:rPr>
                <w:rFonts w:eastAsia="Calibri" w:cs="Calibri"/>
                <w:color w:val="000000"/>
                <w:sz w:val="20"/>
                <w:szCs w:val="20"/>
              </w:rPr>
              <w:t>EQ5 (AH)</w:t>
            </w:r>
            <w:r w:rsidRPr="001B18E8">
              <w:rPr>
                <w:rFonts w:eastAsia="Calibri" w:cs="Calibri"/>
                <w:color w:val="000000"/>
                <w:sz w:val="20"/>
                <w:szCs w:val="20"/>
              </w:rPr>
              <w:t xml:space="preserve"> / Change 5</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B681B14" w14:textId="0393CDD4" w:rsidR="365D9676" w:rsidRPr="001B18E8" w:rsidRDefault="365D9676" w:rsidP="365D9676">
            <w:pPr>
              <w:rPr>
                <w:rFonts w:eastAsia="Calibri" w:cs="Calibri"/>
                <w:sz w:val="20"/>
                <w:szCs w:val="20"/>
              </w:rPr>
            </w:pPr>
            <w:r w:rsidRPr="001B18E8">
              <w:rPr>
                <w:rFonts w:eastAsia="Calibri" w:cs="Calibri"/>
                <w:sz w:val="20"/>
                <w:szCs w:val="20"/>
              </w:rPr>
              <w:t xml:space="preserve">Has there been an improvement in quantity and quality of </w:t>
            </w:r>
            <w:r w:rsidRPr="001B18E8">
              <w:rPr>
                <w:sz w:val="20"/>
                <w:szCs w:val="20"/>
              </w:rPr>
              <w:t>AH</w:t>
            </w:r>
            <w:r w:rsidRPr="001B18E8">
              <w:rPr>
                <w:rFonts w:eastAsia="Calibri" w:cs="Calibri"/>
                <w:sz w:val="20"/>
                <w:szCs w:val="20"/>
              </w:rPr>
              <w:t xml:space="preserve"> </w:t>
            </w:r>
            <w:r w:rsidRPr="001B18E8">
              <w:rPr>
                <w:rFonts w:eastAsia="Calibri" w:cs="Calibri"/>
                <w:b/>
                <w:bCs/>
                <w:sz w:val="20"/>
                <w:szCs w:val="20"/>
              </w:rPr>
              <w:t>AMU data shared internationally</w:t>
            </w:r>
            <w:r w:rsidRPr="001B18E8">
              <w:rPr>
                <w:rFonts w:eastAsia="Calibri" w:cs="Calibri"/>
                <w:sz w:val="20"/>
                <w:szCs w:val="20"/>
              </w:rPr>
              <w:t xml:space="preserve"> with OIE since 2018? Which reporting option was used then and which reporting option is used now?:</w:t>
            </w:r>
            <w:r w:rsidRPr="001B18E8">
              <w:br/>
            </w:r>
            <w:r w:rsidRPr="001B18E8">
              <w:rPr>
                <w:rFonts w:eastAsia="Calibri" w:cs="Calibri"/>
                <w:sz w:val="20"/>
                <w:szCs w:val="20"/>
              </w:rPr>
              <w:t xml:space="preserve">Reporting Option 1: allows countries to distinguish quantities of antimicrobial agents by type of use (therapeutic or growth promotion);  </w:t>
            </w:r>
            <w:r w:rsidRPr="001B18E8">
              <w:br/>
            </w:r>
            <w:r w:rsidRPr="001B18E8">
              <w:rPr>
                <w:rFonts w:eastAsia="Calibri" w:cs="Calibri"/>
                <w:sz w:val="20"/>
                <w:szCs w:val="20"/>
              </w:rPr>
              <w:t xml:space="preserve">Reporting Option 2: allows countries to distinguish quantities of antimicrobial agents by type of use and animal groups (food-producing terrestrial and aquatic species and companion animals);  </w:t>
            </w:r>
            <w:r w:rsidRPr="001B18E8">
              <w:br/>
            </w:r>
            <w:r w:rsidRPr="001B18E8">
              <w:rPr>
                <w:rFonts w:eastAsia="Calibri" w:cs="Calibri"/>
                <w:sz w:val="20"/>
                <w:szCs w:val="20"/>
              </w:rPr>
              <w:t xml:space="preserve">Reporting Option 3: allows countries to distinguish quantities of antimicrobial agents by type of use and routes of administration (distinguishing by group of animals is optional)   </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2D3699D8" w14:textId="37447777" w:rsidR="365D9676" w:rsidRDefault="365D9676" w:rsidP="365D9676">
            <w:pPr>
              <w:rPr>
                <w:rFonts w:eastAsia="Calibri" w:cs="Calibri"/>
                <w:sz w:val="20"/>
                <w:szCs w:val="20"/>
              </w:rPr>
            </w:pPr>
          </w:p>
        </w:tc>
      </w:tr>
      <w:tr w:rsidR="365D9676" w14:paraId="697E5A42" w14:textId="77777777" w:rsidTr="365D9676">
        <w:trPr>
          <w:trHeight w:val="94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3F75D38" w14:textId="04F53512" w:rsidR="365D9676" w:rsidRDefault="365D9676" w:rsidP="365D9676">
            <w:pPr>
              <w:rPr>
                <w:rFonts w:eastAsia="Calibri" w:cs="Calibri"/>
                <w:color w:val="000000"/>
                <w:sz w:val="20"/>
                <w:szCs w:val="20"/>
              </w:rPr>
            </w:pPr>
            <w:r w:rsidRPr="365D9676">
              <w:rPr>
                <w:rFonts w:eastAsia="Calibri" w:cs="Calibri"/>
                <w:color w:val="000000"/>
                <w:sz w:val="20"/>
                <w:szCs w:val="20"/>
              </w:rPr>
              <w:t>EQ5 (AH)</w:t>
            </w:r>
            <w:r w:rsidRPr="001B18E8">
              <w:rPr>
                <w:rFonts w:eastAsia="Calibri" w:cs="Calibri"/>
                <w:color w:val="000000"/>
                <w:sz w:val="20"/>
                <w:szCs w:val="20"/>
              </w:rPr>
              <w:t xml:space="preserve"> / Change 5</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ADDBFC2" w14:textId="16060062" w:rsidR="365D9676" w:rsidRPr="001B18E8" w:rsidRDefault="365D9676" w:rsidP="365D9676">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quality</w:t>
            </w:r>
            <w:r w:rsidRPr="001B18E8">
              <w:rPr>
                <w:rFonts w:eastAsia="Calibri" w:cs="Calibri"/>
                <w:sz w:val="20"/>
                <w:szCs w:val="20"/>
              </w:rPr>
              <w:t xml:space="preserve"> of AMU data </w:t>
            </w:r>
            <w:r w:rsidRPr="001B18E8">
              <w:rPr>
                <w:rFonts w:eastAsia="Calibri" w:cs="Calibri"/>
                <w:b/>
                <w:bCs/>
                <w:sz w:val="20"/>
                <w:szCs w:val="20"/>
              </w:rPr>
              <w:t xml:space="preserve">reported to OIE </w:t>
            </w:r>
            <w:r w:rsidRPr="001B18E8">
              <w:rPr>
                <w:rFonts w:eastAsia="Calibri" w:cs="Calibri"/>
                <w:sz w:val="20"/>
                <w:szCs w:val="20"/>
              </w:rPr>
              <w:t>has improved since 2018? (including changes within reporting options)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704226EC" w14:textId="44B07DA4" w:rsidR="365D9676" w:rsidRDefault="365D9676" w:rsidP="365D9676">
            <w:pPr>
              <w:rPr>
                <w:rFonts w:eastAsia="Calibri" w:cs="Calibri"/>
                <w:color w:val="000000"/>
                <w:sz w:val="20"/>
                <w:szCs w:val="20"/>
              </w:rPr>
            </w:pPr>
          </w:p>
        </w:tc>
      </w:tr>
      <w:tr w:rsidR="365D9676" w14:paraId="6AFF7276" w14:textId="77777777" w:rsidTr="365D9676">
        <w:trPr>
          <w:trHeight w:val="151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A999DB9" w14:textId="101D1746" w:rsidR="365D9676" w:rsidRDefault="365D9676" w:rsidP="365D9676">
            <w:pPr>
              <w:rPr>
                <w:rFonts w:eastAsia="Calibri" w:cs="Calibri"/>
                <w:color w:val="000000"/>
                <w:sz w:val="20"/>
                <w:szCs w:val="20"/>
              </w:rPr>
            </w:pPr>
            <w:r w:rsidRPr="365D9676">
              <w:rPr>
                <w:rFonts w:eastAsia="Calibri" w:cs="Calibri"/>
                <w:color w:val="000000"/>
                <w:sz w:val="20"/>
                <w:szCs w:val="20"/>
              </w:rPr>
              <w:t>EQ5 (AH)</w:t>
            </w:r>
            <w:r w:rsidRPr="001B18E8">
              <w:rPr>
                <w:rFonts w:eastAsia="Calibri" w:cs="Calibri"/>
                <w:color w:val="000000"/>
                <w:sz w:val="20"/>
                <w:szCs w:val="20"/>
              </w:rPr>
              <w:t xml:space="preserve"> / Change 5</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43000F18" w14:textId="71325C9C"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more and better data available from the surveillance system (in which case refer to QUANT &amp; QUAL contribution stories), data sharing process and systems, resourcing, incentives, cooperation, TA etc</w:t>
            </w:r>
            <w:r w:rsidRPr="001B18E8">
              <w:rPr>
                <w:rFonts w:eastAsia="Calibri" w:cs="Calibri"/>
                <w:strike/>
                <w:sz w:val="20"/>
                <w:szCs w:val="20"/>
              </w:rPr>
              <w:t xml:space="preserve">What were the </w:t>
            </w:r>
            <w:r w:rsidRPr="001B18E8">
              <w:rPr>
                <w:rFonts w:eastAsia="Calibri" w:cs="Calibri"/>
                <w:b/>
                <w:bCs/>
                <w:strike/>
                <w:sz w:val="20"/>
                <w:szCs w:val="20"/>
              </w:rPr>
              <w:t>key change drivers/factors, in order of importance</w:t>
            </w:r>
            <w:r w:rsidRPr="001B18E8">
              <w:rPr>
                <w:rFonts w:eastAsia="Calibri" w:cs="Calibri"/>
                <w:strike/>
                <w:sz w:val="20"/>
                <w:szCs w:val="20"/>
              </w:rPr>
              <w:t>, behind such change? Probes: more and better data available from the surveillance system (in which case refer to QUANT &amp; QUAL contribution stories), increased access, increased willingness to make data available, momentum etc.</w:t>
            </w:r>
          </w:p>
        </w:tc>
        <w:tc>
          <w:tcPr>
            <w:tcW w:w="6300" w:type="dxa"/>
            <w:tcBorders>
              <w:top w:val="single" w:sz="6" w:space="0" w:color="auto"/>
              <w:left w:val="nil"/>
              <w:bottom w:val="single" w:sz="6" w:space="0" w:color="auto"/>
              <w:right w:val="single" w:sz="6" w:space="0" w:color="auto"/>
            </w:tcBorders>
            <w:shd w:val="clear" w:color="auto" w:fill="FCE4D6"/>
            <w:tcMar>
              <w:left w:w="105" w:type="dxa"/>
              <w:right w:w="105" w:type="dxa"/>
            </w:tcMar>
          </w:tcPr>
          <w:p w14:paraId="48D08EAF" w14:textId="35A41F0C" w:rsidR="365D9676" w:rsidRDefault="365D9676" w:rsidP="365D9676">
            <w:pPr>
              <w:rPr>
                <w:rFonts w:eastAsia="Calibri" w:cs="Calibri"/>
                <w:color w:val="000000"/>
                <w:sz w:val="20"/>
                <w:szCs w:val="20"/>
              </w:rPr>
            </w:pPr>
          </w:p>
        </w:tc>
      </w:tr>
      <w:tr w:rsidR="365D9676" w14:paraId="6B43E2D1" w14:textId="77777777" w:rsidTr="365D9676">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9BD2D66" w14:textId="12722A00" w:rsidR="365D9676" w:rsidRDefault="365D9676" w:rsidP="365D9676">
            <w:pPr>
              <w:rPr>
                <w:rFonts w:eastAsia="Calibri" w:cs="Calibri"/>
                <w:color w:val="000000"/>
                <w:sz w:val="20"/>
                <w:szCs w:val="20"/>
              </w:rPr>
            </w:pPr>
            <w:r w:rsidRPr="365D9676">
              <w:rPr>
                <w:rFonts w:eastAsia="Calibri" w:cs="Calibri"/>
                <w:color w:val="000000"/>
                <w:sz w:val="20"/>
                <w:szCs w:val="20"/>
              </w:rPr>
              <w:t>EQ5 (AH)</w:t>
            </w:r>
            <w:r w:rsidRPr="001B18E8">
              <w:rPr>
                <w:rFonts w:eastAsia="Calibri" w:cs="Calibri"/>
                <w:color w:val="000000"/>
                <w:sz w:val="20"/>
                <w:szCs w:val="20"/>
              </w:rPr>
              <w:t xml:space="preserve"> / Change 5</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4C251AE3" w14:textId="4FB21BB2" w:rsidR="365D9676" w:rsidRPr="001B18E8" w:rsidRDefault="365D9676" w:rsidP="365D9676">
            <w:pPr>
              <w:rPr>
                <w:rFonts w:eastAsia="Calibri" w:cs="Calibri"/>
                <w:sz w:val="20"/>
                <w:szCs w:val="20"/>
              </w:rPr>
            </w:pPr>
            <w:r w:rsidRPr="001B18E8">
              <w:rPr>
                <w:rFonts w:eastAsia="Calibri" w:cs="Calibri"/>
                <w:sz w:val="20"/>
                <w:szCs w:val="20"/>
              </w:rPr>
              <w:t>What was the Fleming Fund (</w:t>
            </w:r>
            <w:r w:rsidRPr="001B18E8">
              <w:rPr>
                <w:rFonts w:eastAsia="Calibri" w:cs="Calibri"/>
                <w:b/>
                <w:bCs/>
                <w:sz w:val="20"/>
                <w:szCs w:val="20"/>
              </w:rPr>
              <w:t>CG/RG/Fellows</w:t>
            </w:r>
            <w:r w:rsidRPr="001B18E8">
              <w:rPr>
                <w:rFonts w:eastAsia="Calibri" w:cs="Calibri"/>
                <w:sz w:val="20"/>
                <w:szCs w:val="20"/>
              </w:rPr>
              <w:t xml:space="preserve">) </w:t>
            </w:r>
            <w:r w:rsidRPr="001B18E8">
              <w:rPr>
                <w:rFonts w:eastAsia="Calibri" w:cs="Calibri"/>
                <w:b/>
                <w:bCs/>
                <w:sz w:val="20"/>
                <w:szCs w:val="20"/>
              </w:rPr>
              <w:t>contribution</w:t>
            </w:r>
            <w:r w:rsidRPr="001B18E8">
              <w:rPr>
                <w:rFonts w:eastAsia="Calibri" w:cs="Calibri"/>
                <w:sz w:val="20"/>
                <w:szCs w:val="20"/>
              </w:rPr>
              <w:t xml:space="preserve"> to those drivers?</w:t>
            </w:r>
            <w:r w:rsidRPr="001B18E8">
              <w:br/>
            </w:r>
            <w:r w:rsidRPr="001B18E8">
              <w:rPr>
                <w:rFonts w:eastAsia="Calibri" w:cs="Calibri"/>
                <w:sz w:val="20"/>
                <w:szCs w:val="20"/>
              </w:rPr>
              <w:t>How vital was that it compared to the contribution of:</w:t>
            </w:r>
            <w:r w:rsidRPr="001B18E8">
              <w:br/>
            </w:r>
            <w:r w:rsidRPr="001B18E8">
              <w:rPr>
                <w:rFonts w:eastAsia="Calibri" w:cs="Calibri"/>
                <w:sz w:val="20"/>
                <w:szCs w:val="20"/>
              </w:rPr>
              <w:t>Global Projects (name any active in country)</w:t>
            </w:r>
            <w:r w:rsidRPr="001B18E8">
              <w:br/>
            </w:r>
            <w:r w:rsidRPr="001B18E8">
              <w:rPr>
                <w:rFonts w:eastAsia="Calibri" w:cs="Calibri"/>
                <w:sz w:val="20"/>
                <w:szCs w:val="20"/>
              </w:rPr>
              <w:t>Other influencing factors (could be government activities, interventions by other DPs or exogenous factors such as COVID-19?</w:t>
            </w:r>
          </w:p>
        </w:tc>
        <w:tc>
          <w:tcPr>
            <w:tcW w:w="6300" w:type="dxa"/>
            <w:tcBorders>
              <w:top w:val="single" w:sz="6" w:space="0" w:color="auto"/>
              <w:left w:val="nil"/>
              <w:bottom w:val="single" w:sz="6" w:space="0" w:color="auto"/>
              <w:right w:val="single" w:sz="6" w:space="0" w:color="auto"/>
            </w:tcBorders>
            <w:shd w:val="clear" w:color="auto" w:fill="FCE4D6"/>
            <w:tcMar>
              <w:left w:w="105" w:type="dxa"/>
              <w:right w:w="105" w:type="dxa"/>
            </w:tcMar>
          </w:tcPr>
          <w:p w14:paraId="7EF8679F" w14:textId="5245CBCA" w:rsidR="365D9676" w:rsidRDefault="365D9676" w:rsidP="365D9676">
            <w:pPr>
              <w:rPr>
                <w:rFonts w:eastAsia="Calibri" w:cs="Calibri"/>
                <w:color w:val="000000"/>
                <w:sz w:val="20"/>
                <w:szCs w:val="20"/>
              </w:rPr>
            </w:pPr>
          </w:p>
        </w:tc>
      </w:tr>
      <w:tr w:rsidR="365D9676" w14:paraId="28874A53" w14:textId="77777777" w:rsidTr="365D9676">
        <w:trPr>
          <w:trHeight w:val="52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11B0AD4" w14:textId="4B1E6CCA" w:rsidR="365D9676" w:rsidRDefault="365D9676" w:rsidP="365D9676">
            <w:pPr>
              <w:rPr>
                <w:rFonts w:eastAsia="Calibri" w:cs="Calibri"/>
                <w:color w:val="000000"/>
                <w:sz w:val="20"/>
                <w:szCs w:val="20"/>
              </w:rPr>
            </w:pPr>
            <w:r w:rsidRPr="365D9676">
              <w:rPr>
                <w:rFonts w:eastAsia="Calibri" w:cs="Calibri"/>
                <w:color w:val="000000"/>
                <w:sz w:val="20"/>
                <w:szCs w:val="20"/>
              </w:rPr>
              <w:t>EQ5 (AH)</w:t>
            </w:r>
            <w:r w:rsidRPr="001B18E8">
              <w:rPr>
                <w:rFonts w:eastAsia="Calibri" w:cs="Calibri"/>
                <w:color w:val="000000"/>
                <w:sz w:val="20"/>
                <w:szCs w:val="20"/>
              </w:rPr>
              <w:t xml:space="preserve"> / Change 5</w:t>
            </w:r>
          </w:p>
        </w:tc>
        <w:tc>
          <w:tcPr>
            <w:tcW w:w="6345" w:type="dxa"/>
            <w:gridSpan w:val="2"/>
            <w:tcBorders>
              <w:top w:val="single" w:sz="6" w:space="0" w:color="auto"/>
              <w:left w:val="single" w:sz="6" w:space="0" w:color="auto"/>
              <w:bottom w:val="nil"/>
              <w:right w:val="nil"/>
            </w:tcBorders>
            <w:shd w:val="clear" w:color="auto" w:fill="FCE4D6"/>
            <w:tcMar>
              <w:left w:w="105" w:type="dxa"/>
              <w:right w:w="105" w:type="dxa"/>
            </w:tcMar>
            <w:vAlign w:val="bottom"/>
          </w:tcPr>
          <w:p w14:paraId="00A8B376" w14:textId="64D79A6E" w:rsidR="365D9676" w:rsidRPr="001B18E8" w:rsidRDefault="365D9676" w:rsidP="365D9676">
            <w:pPr>
              <w:rPr>
                <w:rFonts w:eastAsia="Calibri" w:cs="Calibri"/>
                <w:sz w:val="20"/>
                <w:szCs w:val="20"/>
              </w:rPr>
            </w:pPr>
            <w:r w:rsidRPr="001B18E8">
              <w:rPr>
                <w:rFonts w:eastAsia="Calibri" w:cs="Calibri"/>
                <w:sz w:val="20"/>
                <w:szCs w:val="20"/>
              </w:rPr>
              <w:t xml:space="preserve">If there was </w:t>
            </w:r>
            <w:r w:rsidRPr="001B18E8">
              <w:rPr>
                <w:rFonts w:eastAsia="Calibri" w:cs="Calibri"/>
                <w:b/>
                <w:bCs/>
                <w:sz w:val="20"/>
                <w:szCs w:val="20"/>
              </w:rPr>
              <w:t>no or negative change</w:t>
            </w:r>
            <w:r w:rsidRPr="001B18E8">
              <w:rPr>
                <w:rFonts w:eastAsia="Calibri" w:cs="Calibri"/>
                <w:sz w:val="20"/>
                <w:szCs w:val="20"/>
              </w:rPr>
              <w:t xml:space="preserve"> in this area, </w:t>
            </w:r>
            <w:r w:rsidRPr="001B18E8">
              <w:rPr>
                <w:rFonts w:eastAsia="Calibri" w:cs="Calibri"/>
                <w:b/>
                <w:bCs/>
                <w:sz w:val="20"/>
                <w:szCs w:val="20"/>
              </w:rPr>
              <w:t>why</w:t>
            </w:r>
            <w:r w:rsidRPr="001B18E8">
              <w:rPr>
                <w:rFonts w:eastAsia="Calibri" w:cs="Calibri"/>
                <w:sz w:val="20"/>
                <w:szCs w:val="20"/>
              </w:rPr>
              <w:t xml:space="preserve"> was that? And what has the FF and others done to improve the situation?</w:t>
            </w:r>
          </w:p>
        </w:tc>
        <w:tc>
          <w:tcPr>
            <w:tcW w:w="6300" w:type="dxa"/>
            <w:tcBorders>
              <w:top w:val="single" w:sz="6" w:space="0" w:color="auto"/>
              <w:left w:val="nil"/>
              <w:bottom w:val="nil"/>
              <w:right w:val="nil"/>
            </w:tcBorders>
            <w:shd w:val="clear" w:color="auto" w:fill="FCE4D6"/>
            <w:tcMar>
              <w:left w:w="105" w:type="dxa"/>
              <w:right w:w="105" w:type="dxa"/>
            </w:tcMar>
          </w:tcPr>
          <w:p w14:paraId="3028E21D" w14:textId="7866150A" w:rsidR="365D9676" w:rsidRDefault="365D9676" w:rsidP="365D9676">
            <w:pPr>
              <w:rPr>
                <w:rFonts w:eastAsia="Calibri" w:cs="Calibri"/>
                <w:color w:val="000000"/>
                <w:sz w:val="20"/>
                <w:szCs w:val="20"/>
              </w:rPr>
            </w:pPr>
          </w:p>
        </w:tc>
      </w:tr>
      <w:tr w:rsidR="365D9676" w14:paraId="269B8BCB" w14:textId="77777777" w:rsidTr="365D9676">
        <w:trPr>
          <w:trHeight w:val="181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EB76892" w14:textId="593F5AF1" w:rsidR="365D9676" w:rsidRDefault="365D9676" w:rsidP="365D9676">
            <w:pPr>
              <w:rPr>
                <w:rFonts w:eastAsia="Calibri" w:cs="Calibri"/>
                <w:color w:val="000000"/>
              </w:rPr>
            </w:pPr>
            <w:r w:rsidRPr="365D9676">
              <w:rPr>
                <w:rFonts w:eastAsia="Calibri" w:cs="Calibri"/>
                <w:color w:val="000000"/>
              </w:rPr>
              <w:t>EQ2</w:t>
            </w:r>
          </w:p>
        </w:tc>
        <w:tc>
          <w:tcPr>
            <w:tcW w:w="6345" w:type="dxa"/>
            <w:gridSpan w:val="2"/>
            <w:tcBorders>
              <w:top w:val="nil"/>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B298416" w14:textId="5D553AC9" w:rsidR="365D9676" w:rsidRPr="001B18E8" w:rsidRDefault="365D9676" w:rsidP="365D9676">
            <w:pPr>
              <w:rPr>
                <w:rFonts w:eastAsia="Calibri" w:cs="Calibri"/>
                <w:sz w:val="20"/>
                <w:szCs w:val="20"/>
              </w:rPr>
            </w:pPr>
            <w:r w:rsidRPr="001B18E8">
              <w:rPr>
                <w:rFonts w:eastAsia="Calibri" w:cs="Calibri"/>
                <w:sz w:val="20"/>
                <w:szCs w:val="20"/>
              </w:rPr>
              <w:t xml:space="preserve">To what extent </w:t>
            </w:r>
            <w:r w:rsidRPr="001B18E8">
              <w:rPr>
                <w:rFonts w:eastAsia="Calibri" w:cs="Calibri"/>
                <w:b/>
                <w:bCs/>
                <w:sz w:val="20"/>
                <w:szCs w:val="20"/>
              </w:rPr>
              <w:t xml:space="preserve">CG, RG, Fellowships and Global Projects </w:t>
            </w:r>
            <w:r w:rsidRPr="001B18E8">
              <w:rPr>
                <w:rFonts w:eastAsia="Calibri" w:cs="Calibri"/>
                <w:sz w:val="20"/>
                <w:szCs w:val="20"/>
              </w:rPr>
              <w:t>have been</w:t>
            </w:r>
            <w:r w:rsidRPr="001B18E8">
              <w:rPr>
                <w:rFonts w:eastAsia="Calibri" w:cs="Calibri"/>
                <w:b/>
                <w:bCs/>
                <w:sz w:val="20"/>
                <w:szCs w:val="20"/>
              </w:rPr>
              <w:t xml:space="preserve"> well coordinated</w:t>
            </w:r>
            <w:r w:rsidRPr="001B18E8">
              <w:rPr>
                <w:rFonts w:eastAsia="Calibri" w:cs="Calibri"/>
                <w:sz w:val="20"/>
                <w:szCs w:val="20"/>
              </w:rPr>
              <w:t xml:space="preserve"> and </w:t>
            </w:r>
            <w:r w:rsidRPr="001B18E8">
              <w:rPr>
                <w:rFonts w:eastAsia="Calibri" w:cs="Calibri"/>
                <w:b/>
                <w:bCs/>
                <w:sz w:val="20"/>
                <w:szCs w:val="20"/>
              </w:rPr>
              <w:t>internally coherent</w:t>
            </w:r>
            <w:r w:rsidRPr="001B18E8">
              <w:rPr>
                <w:rFonts w:eastAsia="Calibri" w:cs="Calibri"/>
                <w:sz w:val="20"/>
                <w:szCs w:val="20"/>
              </w:rPr>
              <w:t>?</w:t>
            </w:r>
            <w:r w:rsidRPr="001B18E8">
              <w:br/>
            </w:r>
            <w:r w:rsidRPr="001B18E8">
              <w:rPr>
                <w:rFonts w:eastAsia="Calibri" w:cs="Calibri"/>
                <w:sz w:val="20"/>
                <w:szCs w:val="20"/>
              </w:rPr>
              <w:t xml:space="preserve">Probe: Are there any </w:t>
            </w:r>
            <w:r w:rsidRPr="001B18E8">
              <w:rPr>
                <w:sz w:val="20"/>
                <w:szCs w:val="20"/>
              </w:rPr>
              <w:t>duplications</w:t>
            </w:r>
            <w:r w:rsidRPr="001B18E8">
              <w:rPr>
                <w:rFonts w:eastAsia="Calibri" w:cs="Calibri"/>
                <w:sz w:val="20"/>
                <w:szCs w:val="20"/>
              </w:rPr>
              <w:t xml:space="preserve"> between CG, RG, Fellowships and Global Projects?</w:t>
            </w:r>
            <w:r w:rsidRPr="001B18E8">
              <w:br/>
            </w:r>
            <w:r w:rsidRPr="001B18E8">
              <w:rPr>
                <w:rFonts w:eastAsia="Calibri" w:cs="Calibri"/>
                <w:sz w:val="20"/>
                <w:szCs w:val="20"/>
              </w:rPr>
              <w:t xml:space="preserve">Probe: How effective have been </w:t>
            </w:r>
            <w:r w:rsidRPr="001B18E8">
              <w:rPr>
                <w:sz w:val="20"/>
                <w:szCs w:val="20"/>
              </w:rPr>
              <w:t>mechanisms</w:t>
            </w:r>
            <w:r w:rsidRPr="001B18E8">
              <w:rPr>
                <w:rFonts w:eastAsia="Calibri" w:cs="Calibri"/>
                <w:sz w:val="20"/>
                <w:szCs w:val="20"/>
              </w:rPr>
              <w:t xml:space="preserve"> put in place by the MA to ensure internal coherence (such as the Country Coordination mechanisms) in delivering coherence?</w:t>
            </w:r>
          </w:p>
        </w:tc>
        <w:tc>
          <w:tcPr>
            <w:tcW w:w="6300" w:type="dxa"/>
            <w:tcBorders>
              <w:top w:val="nil"/>
              <w:left w:val="nil"/>
              <w:bottom w:val="single" w:sz="6" w:space="0" w:color="auto"/>
              <w:right w:val="single" w:sz="6" w:space="0" w:color="auto"/>
            </w:tcBorders>
            <w:shd w:val="clear" w:color="auto" w:fill="FFFFFF" w:themeFill="background1"/>
            <w:tcMar>
              <w:left w:w="105" w:type="dxa"/>
              <w:right w:w="105" w:type="dxa"/>
            </w:tcMar>
          </w:tcPr>
          <w:p w14:paraId="7CFF1B36" w14:textId="54B2A1FE" w:rsidR="365D9676" w:rsidRDefault="365D9676" w:rsidP="365D9676">
            <w:pPr>
              <w:rPr>
                <w:rFonts w:eastAsia="Calibri" w:cs="Calibri"/>
                <w:color w:val="000000"/>
                <w:sz w:val="20"/>
                <w:szCs w:val="20"/>
              </w:rPr>
            </w:pPr>
          </w:p>
        </w:tc>
      </w:tr>
      <w:tr w:rsidR="365D9676" w14:paraId="549E08B5" w14:textId="77777777" w:rsidTr="365D9676">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20536C0" w14:textId="7658377E"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9E0902C" w14:textId="0CD0753B" w:rsidR="365D9676" w:rsidRPr="001B18E8" w:rsidRDefault="365D9676" w:rsidP="365D9676">
            <w:pPr>
              <w:rPr>
                <w:rFonts w:eastAsia="Calibri" w:cs="Calibri"/>
              </w:rPr>
            </w:pPr>
            <w:r w:rsidRPr="001B18E8">
              <w:rPr>
                <w:rFonts w:eastAsia="Calibri" w:cs="Calibri"/>
                <w:strike/>
              </w:rPr>
              <w:t xml:space="preserve"> </w:t>
            </w:r>
            <w:r w:rsidRPr="001B18E8">
              <w:rPr>
                <w:rFonts w:eastAsia="Calibri" w:cs="Calibri"/>
              </w:rPr>
              <w:t>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38B4AB21" w14:textId="17BCF8C7" w:rsidR="365D9676" w:rsidRDefault="365D9676" w:rsidP="365D9676">
            <w:pPr>
              <w:rPr>
                <w:rFonts w:eastAsia="Calibri" w:cs="Calibri"/>
                <w:color w:val="000000"/>
                <w:sz w:val="20"/>
                <w:szCs w:val="20"/>
              </w:rPr>
            </w:pPr>
          </w:p>
        </w:tc>
      </w:tr>
      <w:tr w:rsidR="365D9676" w14:paraId="00C0EDE6" w14:textId="77777777" w:rsidTr="365D9676">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D771455" w14:textId="6E58B27B"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E28CBE4" w14:textId="56080013" w:rsidR="365D9676" w:rsidRPr="001B18E8" w:rsidRDefault="365D9676" w:rsidP="365D9676">
            <w:pPr>
              <w:rPr>
                <w:rFonts w:eastAsia="Calibri" w:cs="Calibri"/>
              </w:rPr>
            </w:pPr>
            <w:r w:rsidRPr="001B18E8">
              <w:rPr>
                <w:rFonts w:eastAsia="Calibri" w:cs="Calibri"/>
              </w:rPr>
              <w:t xml:space="preserve"> To what extent do you think staff are motivated to put new skills / responsibilities required to maintain AMR surveillance? PROBES: Is throughput sufficient? Are consumable supplies assured? Are managers and institutions (eg AMRCC) interested in outputs and providing feedback? Will competing demands crowd in? Are there adequate plans in place to address any concerns? To what extent is FF focused on addressing these conditions?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4004C086" w14:textId="2AD94CEA" w:rsidR="365D9676" w:rsidRDefault="365D9676" w:rsidP="365D9676">
            <w:pPr>
              <w:rPr>
                <w:rFonts w:eastAsia="Calibri" w:cs="Calibri"/>
                <w:color w:val="000000"/>
                <w:sz w:val="20"/>
                <w:szCs w:val="20"/>
              </w:rPr>
            </w:pPr>
          </w:p>
        </w:tc>
      </w:tr>
      <w:tr w:rsidR="365D9676" w14:paraId="1D1DD493" w14:textId="77777777" w:rsidTr="365D9676">
        <w:trPr>
          <w:trHeight w:val="51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2E643BA" w14:textId="1E7D3FEF"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79AFE04" w14:textId="51BBC4C1" w:rsidR="365D9676" w:rsidRPr="001B18E8" w:rsidRDefault="365D9676" w:rsidP="365D9676">
            <w:pPr>
              <w:rPr>
                <w:rFonts w:eastAsia="Calibri" w:cs="Calibri"/>
              </w:rPr>
            </w:pPr>
            <w:r w:rsidRPr="001B18E8">
              <w:rPr>
                <w:rFonts w:eastAsia="Calibri" w:cs="Calibri"/>
                <w:strike/>
              </w:rPr>
              <w:t xml:space="preserve"> </w:t>
            </w:r>
            <w:r w:rsidRPr="001B18E8">
              <w:rPr>
                <w:rFonts w:eastAsia="Calibri" w:cs="Calibri"/>
              </w:rPr>
              <w:t>To what extent have you formulated and implemented an exit plan with milestones and shared objectives? If not, why not? Has sustainability received sufficient attention to date? In what ways?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73B38100" w14:textId="03C570F6" w:rsidR="365D9676" w:rsidRDefault="365D9676" w:rsidP="365D9676">
            <w:pPr>
              <w:rPr>
                <w:rFonts w:eastAsia="Calibri" w:cs="Calibri"/>
                <w:color w:val="000000"/>
                <w:sz w:val="20"/>
                <w:szCs w:val="20"/>
              </w:rPr>
            </w:pPr>
          </w:p>
        </w:tc>
      </w:tr>
      <w:tr w:rsidR="365D9676" w14:paraId="71D386D8" w14:textId="77777777" w:rsidTr="365D9676">
        <w:trPr>
          <w:trHeight w:val="975"/>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tcPr>
          <w:p w14:paraId="7EAEB05B" w14:textId="7D9A0269"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345"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9385DDA" w14:textId="7D6D5469" w:rsidR="365D9676" w:rsidRPr="001B18E8" w:rsidRDefault="365D9676" w:rsidP="365D9676">
            <w:pPr>
              <w:rPr>
                <w:rFonts w:eastAsia="Calibri" w:cs="Calibri"/>
                <w:sz w:val="20"/>
                <w:szCs w:val="20"/>
              </w:rPr>
            </w:pPr>
            <w:r w:rsidRPr="001B18E8">
              <w:rPr>
                <w:rFonts w:eastAsia="Calibri" w:cs="Calibri"/>
                <w:sz w:val="20"/>
                <w:szCs w:val="20"/>
              </w:rPr>
              <w:t>Has Covid-19 been a distraction, slowing down progress with the national AMR agenda?  PROBE: Has AMRCC met regularly since 2020, including at political as well as technical levels? Has it started to take significant decisions?</w:t>
            </w:r>
          </w:p>
        </w:tc>
        <w:tc>
          <w:tcPr>
            <w:tcW w:w="6300" w:type="dxa"/>
            <w:tcBorders>
              <w:top w:val="single" w:sz="6" w:space="0" w:color="auto"/>
              <w:left w:val="nil"/>
              <w:bottom w:val="single" w:sz="6" w:space="0" w:color="auto"/>
              <w:right w:val="single" w:sz="6" w:space="0" w:color="auto"/>
            </w:tcBorders>
            <w:tcMar>
              <w:left w:w="105" w:type="dxa"/>
              <w:right w:w="105" w:type="dxa"/>
            </w:tcMar>
          </w:tcPr>
          <w:p w14:paraId="5597961E" w14:textId="102C6FFA" w:rsidR="365D9676" w:rsidRDefault="365D9676" w:rsidP="365D9676">
            <w:pPr>
              <w:rPr>
                <w:rFonts w:eastAsia="Calibri" w:cs="Calibri"/>
                <w:color w:val="000000"/>
                <w:sz w:val="20"/>
                <w:szCs w:val="20"/>
              </w:rPr>
            </w:pPr>
          </w:p>
        </w:tc>
      </w:tr>
      <w:tr w:rsidR="365D9676" w14:paraId="77DD1236" w14:textId="77777777" w:rsidTr="365D9676">
        <w:trPr>
          <w:trHeight w:val="2385"/>
        </w:trPr>
        <w:tc>
          <w:tcPr>
            <w:tcW w:w="990" w:type="dxa"/>
            <w:gridSpan w:val="2"/>
            <w:tcBorders>
              <w:top w:val="single" w:sz="6" w:space="0" w:color="auto"/>
              <w:left w:val="single" w:sz="6" w:space="0" w:color="auto"/>
              <w:bottom w:val="single" w:sz="6" w:space="0" w:color="auto"/>
              <w:right w:val="single" w:sz="6" w:space="0" w:color="auto"/>
            </w:tcBorders>
            <w:tcMar>
              <w:left w:w="105" w:type="dxa"/>
              <w:right w:w="105" w:type="dxa"/>
            </w:tcMar>
          </w:tcPr>
          <w:p w14:paraId="03298E93" w14:textId="035103A7" w:rsidR="365D9676" w:rsidRPr="001B18E8" w:rsidRDefault="365D9676" w:rsidP="365D9676">
            <w:pPr>
              <w:rPr>
                <w:rFonts w:eastAsia="Calibri" w:cs="Calibri"/>
                <w:sz w:val="20"/>
                <w:szCs w:val="20"/>
              </w:rPr>
            </w:pPr>
            <w:r w:rsidRPr="001B18E8">
              <w:rPr>
                <w:rFonts w:eastAsia="Calibri" w:cs="Calibri"/>
                <w:sz w:val="20"/>
                <w:szCs w:val="20"/>
              </w:rPr>
              <w:t>ACTIONS 4.1</w:t>
            </w:r>
          </w:p>
          <w:p w14:paraId="1C67B34A" w14:textId="6EAF0891" w:rsidR="365D9676" w:rsidRPr="001B18E8" w:rsidRDefault="365D9676" w:rsidP="365D9676">
            <w:pPr>
              <w:rPr>
                <w:rFonts w:eastAsia="Calibri" w:cs="Calibri"/>
                <w:sz w:val="20"/>
                <w:szCs w:val="20"/>
              </w:rPr>
            </w:pPr>
          </w:p>
        </w:tc>
        <w:tc>
          <w:tcPr>
            <w:tcW w:w="6330" w:type="dxa"/>
            <w:tcBorders>
              <w:top w:val="nil"/>
              <w:left w:val="single" w:sz="6" w:space="0" w:color="auto"/>
              <w:bottom w:val="single" w:sz="6" w:space="0" w:color="auto"/>
              <w:right w:val="single" w:sz="6" w:space="0" w:color="auto"/>
            </w:tcBorders>
            <w:tcMar>
              <w:left w:w="105" w:type="dxa"/>
              <w:right w:w="105" w:type="dxa"/>
            </w:tcMar>
            <w:vAlign w:val="bottom"/>
          </w:tcPr>
          <w:p w14:paraId="31F60E64" w14:textId="7B4B96D6" w:rsidR="365D9676" w:rsidRPr="001B18E8" w:rsidRDefault="365D9676" w:rsidP="365D9676">
            <w:pPr>
              <w:rPr>
                <w:rFonts w:eastAsia="Calibri" w:cs="Calibri"/>
                <w:sz w:val="20"/>
                <w:szCs w:val="20"/>
              </w:rPr>
            </w:pPr>
          </w:p>
          <w:p w14:paraId="2E09F4F8" w14:textId="2C4AF647" w:rsidR="365D9676" w:rsidRPr="001B18E8" w:rsidRDefault="365D9676" w:rsidP="365D9676">
            <w:pPr>
              <w:rPr>
                <w:rFonts w:eastAsia="Calibri" w:cs="Calibri"/>
                <w:sz w:val="20"/>
                <w:szCs w:val="20"/>
              </w:rPr>
            </w:pPr>
            <w:r w:rsidRPr="001B18E8">
              <w:rPr>
                <w:rFonts w:eastAsia="Calibri" w:cs="Calibri"/>
                <w:sz w:val="20"/>
                <w:szCs w:val="20"/>
              </w:rPr>
              <w:t>If there are any examples from your work of surveillance data already being used by other people for taking decisions about actions related to AMR, for example:</w:t>
            </w:r>
          </w:p>
          <w:p w14:paraId="0F1BB770" w14:textId="0FCB7A20" w:rsidR="365D9676" w:rsidRPr="001B18E8" w:rsidRDefault="365D9676" w:rsidP="00C6374D">
            <w:pPr>
              <w:pStyle w:val="ListParagraph"/>
              <w:numPr>
                <w:ilvl w:val="0"/>
                <w:numId w:val="21"/>
              </w:numPr>
              <w:rPr>
                <w:rFonts w:eastAsia="Calibri" w:cs="Calibri"/>
                <w:sz w:val="20"/>
                <w:szCs w:val="20"/>
              </w:rPr>
            </w:pPr>
            <w:r w:rsidRPr="001B18E8">
              <w:rPr>
                <w:rFonts w:eastAsia="Calibri" w:cs="Calibri"/>
                <w:sz w:val="20"/>
                <w:szCs w:val="20"/>
              </w:rPr>
              <w:t>Local health professionals in treatment practices or guidelines</w:t>
            </w:r>
          </w:p>
          <w:p w14:paraId="53EC2F43" w14:textId="34FF7956" w:rsidR="365D9676" w:rsidRPr="001B18E8" w:rsidRDefault="365D9676" w:rsidP="00C6374D">
            <w:pPr>
              <w:pStyle w:val="ListParagraph"/>
              <w:numPr>
                <w:ilvl w:val="0"/>
                <w:numId w:val="21"/>
              </w:numPr>
              <w:rPr>
                <w:rFonts w:eastAsia="Calibri" w:cs="Calibri"/>
                <w:sz w:val="20"/>
                <w:szCs w:val="20"/>
              </w:rPr>
            </w:pPr>
            <w:r w:rsidRPr="001B18E8">
              <w:rPr>
                <w:rFonts w:eastAsia="Calibri" w:cs="Calibri"/>
                <w:sz w:val="20"/>
                <w:szCs w:val="20"/>
              </w:rPr>
              <w:t>Patients or agricultural producers thinking about the way they use antimicrobials</w:t>
            </w:r>
          </w:p>
          <w:p w14:paraId="44B1D721" w14:textId="6F2465F1" w:rsidR="365D9676" w:rsidRPr="001B18E8" w:rsidRDefault="365D9676" w:rsidP="365D9676">
            <w:pPr>
              <w:rPr>
                <w:rFonts w:eastAsia="Calibri" w:cs="Calibri"/>
                <w:sz w:val="20"/>
                <w:szCs w:val="20"/>
              </w:rPr>
            </w:pPr>
          </w:p>
          <w:p w14:paraId="255596CC" w14:textId="3E46B4EC" w:rsidR="365D9676" w:rsidRPr="001B18E8" w:rsidRDefault="365D9676" w:rsidP="365D9676">
            <w:pPr>
              <w:rPr>
                <w:rFonts w:eastAsia="Calibri" w:cs="Calibri"/>
                <w:sz w:val="20"/>
                <w:szCs w:val="20"/>
              </w:rPr>
            </w:pPr>
            <w:r w:rsidRPr="001B18E8">
              <w:rPr>
                <w:rFonts w:eastAsia="Calibri" w:cs="Calibri"/>
                <w:sz w:val="20"/>
                <w:szCs w:val="20"/>
              </w:rPr>
              <w:t>Please can we send you our Example of Use template for you to complete and return to us? This will help us communicate this success to Fleming Fund.</w:t>
            </w:r>
          </w:p>
        </w:tc>
        <w:tc>
          <w:tcPr>
            <w:tcW w:w="6300" w:type="dxa"/>
            <w:tcBorders>
              <w:top w:val="single" w:sz="6" w:space="0" w:color="auto"/>
              <w:left w:val="single" w:sz="6" w:space="0" w:color="auto"/>
              <w:bottom w:val="single" w:sz="6" w:space="0" w:color="auto"/>
              <w:right w:val="single" w:sz="6" w:space="0" w:color="auto"/>
            </w:tcBorders>
            <w:tcMar>
              <w:left w:w="105" w:type="dxa"/>
              <w:right w:w="105" w:type="dxa"/>
            </w:tcMar>
          </w:tcPr>
          <w:p w14:paraId="4C7D97B1" w14:textId="65F2FA15" w:rsidR="365D9676" w:rsidRDefault="365D9676" w:rsidP="365D9676">
            <w:pPr>
              <w:rPr>
                <w:rFonts w:eastAsia="Calibri" w:cs="Calibri"/>
                <w:color w:val="D13438"/>
                <w:sz w:val="20"/>
                <w:szCs w:val="20"/>
              </w:rPr>
            </w:pPr>
          </w:p>
        </w:tc>
      </w:tr>
    </w:tbl>
    <w:p w14:paraId="101FE3AE" w14:textId="6625E842" w:rsidR="365D9676" w:rsidRDefault="365D9676" w:rsidP="365D9676">
      <w:pPr>
        <w:spacing w:after="160" w:line="259" w:lineRule="auto"/>
        <w:rPr>
          <w:rFonts w:eastAsia="Calibri" w:cs="Calibri"/>
          <w:color w:val="000000"/>
        </w:rPr>
      </w:pPr>
    </w:p>
    <w:p w14:paraId="3C8F9E1C" w14:textId="5BD55C55" w:rsidR="365D9676" w:rsidRDefault="365D9676" w:rsidP="365D9676">
      <w:pPr>
        <w:pStyle w:val="ItadNormalText"/>
        <w:keepNext/>
      </w:pPr>
    </w:p>
    <w:p w14:paraId="0DF420A6" w14:textId="3D9C37AA" w:rsidR="365D9676" w:rsidRDefault="365D9676">
      <w:r>
        <w:br w:type="page"/>
      </w:r>
    </w:p>
    <w:p w14:paraId="10E39815" w14:textId="64B5C55F" w:rsidR="6001A257" w:rsidRPr="00493F9D" w:rsidRDefault="45B93E81" w:rsidP="0A930DA0">
      <w:pPr>
        <w:pStyle w:val="ItadH3"/>
        <w:keepNext/>
        <w:spacing w:line="259" w:lineRule="auto"/>
        <w:rPr>
          <w:lang w:val="en-GB"/>
        </w:rPr>
      </w:pPr>
      <w:bookmarkStart w:id="463" w:name="_Toc142383247"/>
      <w:r w:rsidRPr="365D9676">
        <w:rPr>
          <w:lang w:val="en-GB"/>
        </w:rPr>
        <w:t>KII Guide for AH Site</w:t>
      </w:r>
      <w:bookmarkEnd w:id="463"/>
    </w:p>
    <w:p w14:paraId="60FF59C7" w14:textId="2A6C324E" w:rsidR="365D9676" w:rsidRDefault="12A378DB" w:rsidP="365D9676">
      <w:pPr>
        <w:widowControl w:val="0"/>
        <w:spacing w:after="160" w:line="259" w:lineRule="auto"/>
        <w:jc w:val="both"/>
        <w:rPr>
          <w:rFonts w:ascii="Calibri Light" w:eastAsia="Calibri Light" w:hAnsi="Calibri Light" w:cs="Calibri Light"/>
          <w:color w:val="2F5496"/>
          <w:sz w:val="26"/>
          <w:szCs w:val="26"/>
        </w:rPr>
      </w:pPr>
      <w:r w:rsidRPr="00493F9D">
        <w:rPr>
          <w:rFonts w:ascii="Calibri Light" w:eastAsia="Calibri Light" w:hAnsi="Calibri Light" w:cs="Calibri Light"/>
          <w:color w:val="2F5496"/>
          <w:sz w:val="26"/>
          <w:szCs w:val="26"/>
        </w:rPr>
        <w:t>AH Fellows</w:t>
      </w:r>
    </w:p>
    <w:p w14:paraId="0B9293F1" w14:textId="7ED155AB" w:rsidR="12A378DB" w:rsidRDefault="12A378DB" w:rsidP="365D9676">
      <w:pPr>
        <w:widowControl w:val="0"/>
        <w:spacing w:after="160" w:line="259" w:lineRule="auto"/>
        <w:jc w:val="both"/>
        <w:rPr>
          <w:rFonts w:eastAsia="Calibri" w:cs="Calibri"/>
          <w:color w:val="000000"/>
        </w:rPr>
      </w:pPr>
      <w:r w:rsidRPr="001B18E8">
        <w:rPr>
          <w:rFonts w:eastAsia="Calibri" w:cs="Calibri"/>
          <w:b/>
          <w:bCs/>
          <w:color w:val="000000"/>
        </w:rPr>
        <w:t>KII name:</w:t>
      </w:r>
      <w:r w:rsidRPr="001B18E8">
        <w:rPr>
          <w:rFonts w:eastAsia="Calibri" w:cs="Calibri"/>
          <w:b/>
          <w:bCs/>
          <w:color w:val="D13438"/>
          <w:u w:val="single"/>
        </w:rPr>
        <w:t xml:space="preserve"> </w:t>
      </w:r>
    </w:p>
    <w:p w14:paraId="72FC811B" w14:textId="6CDF5E81" w:rsidR="12A378DB" w:rsidRDefault="12A378DB" w:rsidP="365D9676">
      <w:pPr>
        <w:widowControl w:val="0"/>
        <w:spacing w:after="160" w:line="259" w:lineRule="auto"/>
        <w:jc w:val="both"/>
        <w:rPr>
          <w:rFonts w:eastAsia="Calibri" w:cs="Calibri"/>
          <w:color w:val="000000"/>
        </w:rPr>
      </w:pPr>
      <w:r w:rsidRPr="365D9676">
        <w:rPr>
          <w:rFonts w:eastAsia="Calibri" w:cs="Calibri"/>
          <w:b/>
          <w:bCs/>
          <w:color w:val="000000"/>
        </w:rPr>
        <w:t>KII date:</w:t>
      </w:r>
    </w:p>
    <w:p w14:paraId="27CE5D39" w14:textId="7835C239" w:rsidR="12A378DB" w:rsidRPr="002B0A41" w:rsidRDefault="12A378DB" w:rsidP="365D9676">
      <w:pPr>
        <w:widowControl w:val="0"/>
        <w:spacing w:after="160" w:line="259" w:lineRule="auto"/>
        <w:jc w:val="both"/>
        <w:rPr>
          <w:rFonts w:eastAsia="Calibri" w:cs="Calibri"/>
          <w:color w:val="000000"/>
        </w:rPr>
      </w:pPr>
      <w:r w:rsidRPr="002B0A41">
        <w:rPr>
          <w:rFonts w:eastAsia="Calibri" w:cs="Calibri"/>
          <w:b/>
          <w:bCs/>
          <w:color w:val="000000"/>
        </w:rPr>
        <w:t>KII interviewer(s):</w:t>
      </w:r>
    </w:p>
    <w:p w14:paraId="699A947E" w14:textId="5D5C49F4" w:rsidR="12A378DB" w:rsidRPr="002B0A41" w:rsidRDefault="12A378DB" w:rsidP="365D9676">
      <w:pPr>
        <w:spacing w:after="160" w:line="259" w:lineRule="auto"/>
        <w:rPr>
          <w:rFonts w:eastAsia="Calibri" w:cs="Calibri"/>
          <w:color w:val="000000"/>
        </w:rPr>
      </w:pPr>
      <w:r w:rsidRPr="002B0A41">
        <w:rPr>
          <w:rFonts w:eastAsia="Calibri" w:cs="Calibri"/>
          <w:b/>
          <w:bCs/>
          <w:color w:val="000000"/>
        </w:rPr>
        <w:t>Introduction</w:t>
      </w:r>
      <w:r w:rsidRPr="002B0A41">
        <w:rPr>
          <w:rFonts w:eastAsia="Calibri" w:cs="Calibri"/>
          <w:color w:val="000000"/>
        </w:rPr>
        <w:t xml:space="preserve"> – please adapt and summarise according to the stakeholder / her knowledge of the evaluation etc </w:t>
      </w:r>
      <w:r w:rsidRPr="002B0A41">
        <w:rPr>
          <w:rFonts w:ascii="Times New Roman" w:eastAsia="Times New Roman" w:hAnsi="Times New Roman" w:cs="Times New Roman"/>
          <w:color w:val="000000"/>
          <w:sz w:val="24"/>
          <w:szCs w:val="24"/>
        </w:rPr>
        <w:t>–</w:t>
      </w:r>
      <w:r w:rsidRPr="002B0A41">
        <w:rPr>
          <w:rFonts w:eastAsia="Calibri" w:cs="Calibri"/>
          <w:color w:val="000000"/>
        </w:rPr>
        <w:t xml:space="preserve"> aim to get this intro as short as possible.</w:t>
      </w:r>
    </w:p>
    <w:p w14:paraId="2C215BDC" w14:textId="10C553A3" w:rsidR="12A378DB" w:rsidRPr="002B0A41" w:rsidRDefault="12A378DB" w:rsidP="365D9676">
      <w:pPr>
        <w:spacing w:line="259" w:lineRule="auto"/>
        <w:rPr>
          <w:rFonts w:eastAsia="Calibri" w:cs="Calibri"/>
          <w:color w:val="000000"/>
        </w:rPr>
      </w:pPr>
      <w:r w:rsidRPr="002B0A41">
        <w:rPr>
          <w:rFonts w:eastAsia="Calibri" w:cs="Calibri"/>
          <w:color w:val="000000"/>
        </w:rPr>
        <w:t xml:space="preserve"> • </w:t>
      </w:r>
      <w:r w:rsidRPr="002B0A41">
        <w:rPr>
          <w:rFonts w:eastAsia="Calibri" w:cs="Calibri"/>
          <w:b/>
          <w:bCs/>
          <w:color w:val="000000"/>
        </w:rPr>
        <w:t>Thank you</w:t>
      </w:r>
      <w:r w:rsidRPr="002B0A41">
        <w:rPr>
          <w:rFonts w:eastAsia="Calibri" w:cs="Calibri"/>
          <w:color w:val="000000"/>
        </w:rPr>
        <w:t xml:space="preserve"> – Thank you the interviewee for having accepted the meeting and for their time today. </w:t>
      </w:r>
    </w:p>
    <w:p w14:paraId="06EBA611" w14:textId="687A8A99" w:rsidR="12A378DB" w:rsidRPr="002B0A41" w:rsidRDefault="12A378DB"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Introductions</w:t>
      </w:r>
      <w:r w:rsidRPr="002B0A41">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50EF0091" w14:textId="55617690" w:rsidR="12A378DB" w:rsidRPr="002B0A41" w:rsidRDefault="12A378DB" w:rsidP="365D9676">
      <w:pPr>
        <w:spacing w:line="259" w:lineRule="auto"/>
        <w:rPr>
          <w:rFonts w:eastAsia="Calibri" w:cs="Calibri"/>
          <w:color w:val="000000"/>
        </w:rPr>
      </w:pPr>
      <w:r w:rsidRPr="002B0A41">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3FE0209C" w14:textId="597AE094" w:rsidR="12A378DB" w:rsidRPr="002B0A41" w:rsidRDefault="12A378DB" w:rsidP="365D9676">
      <w:pPr>
        <w:spacing w:line="259" w:lineRule="auto"/>
        <w:rPr>
          <w:rFonts w:eastAsia="Calibri" w:cs="Calibri"/>
          <w:color w:val="000000"/>
        </w:rPr>
      </w:pPr>
      <w:r w:rsidRPr="002B0A41">
        <w:rPr>
          <w:rFonts w:eastAsia="Calibri" w:cs="Calibri"/>
          <w:color w:val="000000"/>
        </w:rPr>
        <w:t xml:space="preserve">[Let others introduce themselves or tell them there will be a chance after you have explained the purpose of the interview] </w:t>
      </w:r>
    </w:p>
    <w:p w14:paraId="0FC11CB7" w14:textId="3254CDDE" w:rsidR="12A378DB" w:rsidRPr="002B0A41" w:rsidRDefault="12A378DB" w:rsidP="365D9676">
      <w:pPr>
        <w:spacing w:line="259" w:lineRule="auto"/>
        <w:rPr>
          <w:rFonts w:eastAsia="Calibri" w:cs="Calibri"/>
          <w:color w:val="000000"/>
        </w:rPr>
      </w:pPr>
      <w:r w:rsidRPr="002B0A41">
        <w:rPr>
          <w:rFonts w:eastAsia="Calibri" w:cs="Calibri"/>
          <w:color w:val="000000"/>
        </w:rPr>
        <w:t xml:space="preserve">[Acknowledge whether we have already interviewed the stakeholder during CV1/2]  </w:t>
      </w:r>
    </w:p>
    <w:p w14:paraId="0743260C" w14:textId="798D398F" w:rsidR="12A378DB" w:rsidRPr="002B0A41" w:rsidRDefault="12A378DB" w:rsidP="365D9676">
      <w:pPr>
        <w:spacing w:line="259" w:lineRule="auto"/>
        <w:rPr>
          <w:rFonts w:eastAsia="Calibri" w:cs="Calibri"/>
          <w:color w:val="000000"/>
        </w:rPr>
      </w:pPr>
      <w:r w:rsidRPr="002B0A41">
        <w:rPr>
          <w:rFonts w:eastAsia="Calibri" w:cs="Calibri"/>
          <w:color w:val="000000"/>
        </w:rPr>
        <w:t xml:space="preserve"> </w:t>
      </w:r>
    </w:p>
    <w:p w14:paraId="72E50CC6" w14:textId="2CC6510B" w:rsidR="12A378DB" w:rsidRPr="002B0A41" w:rsidRDefault="12A378DB"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Purpose</w:t>
      </w:r>
      <w:r w:rsidRPr="002B0A41">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4F85F4AB" w14:textId="0E6238E5" w:rsidR="12A378DB" w:rsidRPr="002B0A41" w:rsidRDefault="12A378DB"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 xml:space="preserve">Focus </w:t>
      </w:r>
      <w:r w:rsidRPr="002B0A41">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055DF83C" w14:textId="498C05F9" w:rsidR="12A378DB" w:rsidRPr="002B0A41" w:rsidRDefault="12A378DB" w:rsidP="00C6374D">
      <w:pPr>
        <w:pStyle w:val="ListParagraph"/>
        <w:numPr>
          <w:ilvl w:val="0"/>
          <w:numId w:val="20"/>
        </w:numPr>
        <w:spacing w:line="259" w:lineRule="auto"/>
        <w:rPr>
          <w:rFonts w:eastAsia="Calibri" w:cs="Calibri"/>
          <w:color w:val="000000"/>
        </w:rPr>
      </w:pPr>
      <w:r w:rsidRPr="002B0A41">
        <w:rPr>
          <w:rFonts w:eastAsia="Calibri" w:cs="Calibri"/>
          <w:color w:val="000000"/>
        </w:rPr>
        <w:t xml:space="preserve">More and better AMR/C/U data produced and shared at country level  </w:t>
      </w:r>
    </w:p>
    <w:p w14:paraId="28650B46" w14:textId="79E3D9BA" w:rsidR="12A378DB" w:rsidRPr="002B0A41" w:rsidRDefault="12A378DB" w:rsidP="00C6374D">
      <w:pPr>
        <w:pStyle w:val="ListParagraph"/>
        <w:numPr>
          <w:ilvl w:val="0"/>
          <w:numId w:val="20"/>
        </w:numPr>
        <w:spacing w:line="259" w:lineRule="auto"/>
        <w:rPr>
          <w:rFonts w:eastAsia="Calibri" w:cs="Calibri"/>
          <w:color w:val="000000"/>
        </w:rPr>
      </w:pPr>
      <w:r w:rsidRPr="002B0A41">
        <w:rPr>
          <w:rFonts w:eastAsia="Calibri" w:cs="Calibri"/>
          <w:color w:val="000000"/>
        </w:rPr>
        <w:t xml:space="preserve">More and better AMR/C/U data shared internationally (with GLASS/OIE) </w:t>
      </w:r>
    </w:p>
    <w:p w14:paraId="083686E6" w14:textId="2909A265" w:rsidR="12A378DB" w:rsidRPr="002B0A41" w:rsidRDefault="12A378DB" w:rsidP="00C6374D">
      <w:pPr>
        <w:pStyle w:val="ListParagraph"/>
        <w:numPr>
          <w:ilvl w:val="0"/>
          <w:numId w:val="20"/>
        </w:numPr>
        <w:spacing w:line="259" w:lineRule="auto"/>
        <w:rPr>
          <w:rFonts w:eastAsia="Calibri" w:cs="Calibri"/>
          <w:color w:val="000000"/>
        </w:rPr>
      </w:pPr>
      <w:r w:rsidRPr="002B0A41">
        <w:rPr>
          <w:rFonts w:eastAsia="Calibri" w:cs="Calibri"/>
          <w:color w:val="000000"/>
        </w:rPr>
        <w:t xml:space="preserve">Regulatory and policy change that can have an impact in reducing AMR </w:t>
      </w:r>
    </w:p>
    <w:p w14:paraId="11A01253" w14:textId="6E2A4443" w:rsidR="12A378DB" w:rsidRPr="002B0A41" w:rsidRDefault="12A378DB" w:rsidP="00C6374D">
      <w:pPr>
        <w:pStyle w:val="ListParagraph"/>
        <w:numPr>
          <w:ilvl w:val="0"/>
          <w:numId w:val="20"/>
        </w:numPr>
        <w:spacing w:line="259" w:lineRule="auto"/>
        <w:rPr>
          <w:rFonts w:eastAsia="Calibri" w:cs="Calibri"/>
          <w:color w:val="000000"/>
        </w:rPr>
      </w:pPr>
      <w:r w:rsidRPr="002B0A41">
        <w:rPr>
          <w:rFonts w:eastAsia="Calibri" w:cs="Calibri"/>
          <w:color w:val="000000"/>
        </w:rPr>
        <w:t xml:space="preserve">Changes in practice / attitude towards the use of antimicrobials.  </w:t>
      </w:r>
    </w:p>
    <w:p w14:paraId="0A10E4F2" w14:textId="5544DF8B" w:rsidR="12A378DB" w:rsidRPr="002B0A41" w:rsidRDefault="12A378DB" w:rsidP="365D9676">
      <w:pPr>
        <w:spacing w:line="259" w:lineRule="auto"/>
        <w:rPr>
          <w:rFonts w:eastAsia="Calibri" w:cs="Calibri"/>
          <w:color w:val="000000"/>
        </w:rPr>
      </w:pPr>
      <w:r w:rsidRPr="002B0A41">
        <w:rPr>
          <w:rFonts w:eastAsia="Calibri" w:cs="Calibri"/>
          <w:color w:val="000000"/>
        </w:rPr>
        <w:t xml:space="preserve"> </w:t>
      </w:r>
    </w:p>
    <w:p w14:paraId="4CEA90A7" w14:textId="380C9CEF" w:rsidR="12A378DB" w:rsidRPr="002B0A41" w:rsidRDefault="12A378DB" w:rsidP="365D9676">
      <w:pPr>
        <w:spacing w:line="259" w:lineRule="auto"/>
        <w:rPr>
          <w:rFonts w:eastAsia="Calibri" w:cs="Calibri"/>
          <w:color w:val="000000"/>
        </w:rPr>
      </w:pPr>
      <w:r w:rsidRPr="002B0A41">
        <w:rPr>
          <w:rFonts w:eastAsia="Calibri" w:cs="Calibri"/>
          <w:color w:val="000000"/>
        </w:rPr>
        <w:t>We have also questions relate to coherence of Fleming Fund efforts with those of other actors in country, sustainability of FF results and Value for Money [adapt the list as appropriate].</w:t>
      </w:r>
    </w:p>
    <w:p w14:paraId="6E6BA412" w14:textId="2FA9CD9E" w:rsidR="12A378DB" w:rsidRPr="002B0A41" w:rsidRDefault="12A378DB" w:rsidP="365D9676">
      <w:pPr>
        <w:spacing w:line="259" w:lineRule="auto"/>
        <w:rPr>
          <w:rFonts w:eastAsia="Calibri" w:cs="Calibri"/>
          <w:color w:val="000000"/>
        </w:rPr>
      </w:pPr>
      <w:r w:rsidRPr="002B0A41">
        <w:rPr>
          <w:rFonts w:eastAsia="Calibri" w:cs="Calibri"/>
          <w:color w:val="000000"/>
        </w:rPr>
        <w:t xml:space="preserve"> </w:t>
      </w:r>
    </w:p>
    <w:p w14:paraId="3B32ED96" w14:textId="5E5F93CD" w:rsidR="12A378DB" w:rsidRPr="002B0A41" w:rsidRDefault="12A378DB"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Confidentiality / permission to record</w:t>
      </w:r>
      <w:r w:rsidRPr="002B0A41">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7729BCED" w14:textId="52AFB1D5" w:rsidR="12A378DB" w:rsidRPr="002B0A41" w:rsidRDefault="12A378DB" w:rsidP="365D9676">
      <w:pPr>
        <w:spacing w:line="259" w:lineRule="auto"/>
        <w:rPr>
          <w:rFonts w:eastAsia="Calibri" w:cs="Calibri"/>
          <w:color w:val="000000"/>
        </w:rPr>
      </w:pPr>
      <w:r w:rsidRPr="002B0A41">
        <w:rPr>
          <w:rFonts w:eastAsia="Calibri" w:cs="Calibri"/>
          <w:color w:val="000000"/>
        </w:rPr>
        <w:t xml:space="preserve"> </w:t>
      </w:r>
    </w:p>
    <w:p w14:paraId="7E8E6E35" w14:textId="65BDCF7C" w:rsidR="12A378DB" w:rsidRDefault="12A378DB"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Duration</w:t>
      </w:r>
      <w:r w:rsidRPr="002B0A41">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w:t>
      </w:r>
      <w:r w:rsidRPr="365D9676">
        <w:rPr>
          <w:rFonts w:eastAsia="Calibri" w:cs="Calibri"/>
          <w:color w:val="000000"/>
        </w:rPr>
        <w:t xml:space="preserve"> know the answer to a question or prefer not to answer – just let me know and I’ll adapt the interview accordingly.   </w:t>
      </w:r>
    </w:p>
    <w:p w14:paraId="48D044AA" w14:textId="75B7D43F" w:rsidR="12A378DB" w:rsidRDefault="12A378DB" w:rsidP="365D9676">
      <w:pPr>
        <w:spacing w:line="259" w:lineRule="auto"/>
        <w:rPr>
          <w:rFonts w:ascii="Segoe UI" w:eastAsia="Segoe UI" w:hAnsi="Segoe UI" w:cs="Segoe UI"/>
          <w:color w:val="000000"/>
        </w:rPr>
      </w:pPr>
      <w:r w:rsidRPr="365D9676">
        <w:rPr>
          <w:rFonts w:ascii="Segoe UI" w:eastAsia="Segoe UI" w:hAnsi="Segoe UI" w:cs="Segoe UI"/>
          <w:color w:val="000000"/>
        </w:rPr>
        <w:t xml:space="preserve"> </w:t>
      </w:r>
    </w:p>
    <w:p w14:paraId="5ED35E23" w14:textId="505DB7C8" w:rsidR="12A378DB" w:rsidRDefault="12A378DB" w:rsidP="365D9676">
      <w:pPr>
        <w:spacing w:line="259" w:lineRule="auto"/>
        <w:rPr>
          <w:rFonts w:eastAsia="Calibri" w:cs="Calibri"/>
          <w:color w:val="000000"/>
        </w:rPr>
      </w:pPr>
      <w:r w:rsidRPr="365D9676">
        <w:rPr>
          <w:rFonts w:eastAsia="Calibri" w:cs="Calibri"/>
          <w:color w:val="000000"/>
        </w:rPr>
        <w:t xml:space="preserve">• </w:t>
      </w:r>
      <w:r w:rsidRPr="365D9676">
        <w:rPr>
          <w:rFonts w:eastAsia="Calibri" w:cs="Calibri"/>
          <w:b/>
          <w:bCs/>
          <w:color w:val="000000"/>
        </w:rPr>
        <w:t>Opportunity for questions</w:t>
      </w:r>
      <w:r w:rsidRPr="365D9676">
        <w:rPr>
          <w:rFonts w:eastAsia="Calibri" w:cs="Calibri"/>
          <w:color w:val="000000"/>
        </w:rPr>
        <w:t xml:space="preserve"> – Do you have any questions before we start? Of course you are also welcome to ask questions through the interview if something is not clear.  </w:t>
      </w:r>
    </w:p>
    <w:p w14:paraId="27225C18" w14:textId="63769EC8" w:rsidR="365D9676" w:rsidRDefault="365D9676" w:rsidP="365D9676">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75"/>
        <w:gridCol w:w="15"/>
        <w:gridCol w:w="6330"/>
        <w:gridCol w:w="6300"/>
      </w:tblGrid>
      <w:tr w:rsidR="365D9676" w14:paraId="69E93120" w14:textId="77777777" w:rsidTr="0033094D">
        <w:trPr>
          <w:trHeight w:val="567"/>
          <w:tblHeader/>
        </w:trPr>
        <w:tc>
          <w:tcPr>
            <w:tcW w:w="97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0F4F387A" w14:textId="3EB15233" w:rsidR="365D9676" w:rsidRDefault="365D9676" w:rsidP="0033094D">
            <w:pPr>
              <w:rPr>
                <w:rFonts w:eastAsia="Calibri" w:cs="Calibri"/>
                <w:color w:val="FFFFFF" w:themeColor="background1"/>
                <w:sz w:val="20"/>
                <w:szCs w:val="20"/>
              </w:rPr>
            </w:pPr>
            <w:r w:rsidRPr="365D9676">
              <w:rPr>
                <w:rFonts w:eastAsia="Calibri" w:cs="Calibri"/>
                <w:color w:val="FFFFFF" w:themeColor="background1"/>
                <w:sz w:val="20"/>
                <w:szCs w:val="20"/>
              </w:rPr>
              <w:t>EQ</w:t>
            </w:r>
          </w:p>
        </w:tc>
        <w:tc>
          <w:tcPr>
            <w:tcW w:w="6345" w:type="dxa"/>
            <w:gridSpan w:val="2"/>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6F863A9F" w14:textId="6542BDAB" w:rsidR="365D9676" w:rsidRDefault="365D9676" w:rsidP="0033094D">
            <w:pPr>
              <w:rPr>
                <w:rFonts w:eastAsia="Calibri" w:cs="Calibri"/>
                <w:color w:val="FFFFFF" w:themeColor="background1"/>
                <w:sz w:val="20"/>
                <w:szCs w:val="20"/>
              </w:rPr>
            </w:pPr>
            <w:r w:rsidRPr="365D9676">
              <w:rPr>
                <w:rFonts w:eastAsia="Calibri" w:cs="Calibri"/>
                <w:color w:val="FFFFFF" w:themeColor="background1"/>
                <w:sz w:val="20"/>
                <w:szCs w:val="20"/>
              </w:rPr>
              <w:t xml:space="preserve">List of questions  </w:t>
            </w:r>
          </w:p>
        </w:tc>
        <w:tc>
          <w:tcPr>
            <w:tcW w:w="6300" w:type="dxa"/>
            <w:tcBorders>
              <w:top w:val="single" w:sz="6" w:space="0" w:color="auto"/>
              <w:left w:val="nil"/>
              <w:bottom w:val="single" w:sz="6" w:space="0" w:color="auto"/>
              <w:right w:val="single" w:sz="6" w:space="0" w:color="auto"/>
            </w:tcBorders>
            <w:shd w:val="clear" w:color="auto" w:fill="8496B0"/>
            <w:tcMar>
              <w:left w:w="105" w:type="dxa"/>
              <w:right w:w="105" w:type="dxa"/>
            </w:tcMar>
            <w:vAlign w:val="center"/>
          </w:tcPr>
          <w:p w14:paraId="77713AC5" w14:textId="63464144" w:rsidR="365D9676" w:rsidRDefault="365D9676" w:rsidP="0033094D">
            <w:pPr>
              <w:rPr>
                <w:rFonts w:eastAsia="Calibri" w:cs="Calibri"/>
                <w:color w:val="FFFFFF" w:themeColor="background1"/>
                <w:sz w:val="20"/>
                <w:szCs w:val="20"/>
              </w:rPr>
            </w:pPr>
            <w:r w:rsidRPr="365D9676">
              <w:rPr>
                <w:rFonts w:eastAsia="Calibri" w:cs="Calibri"/>
                <w:color w:val="FFFFFF" w:themeColor="background1"/>
                <w:sz w:val="20"/>
                <w:szCs w:val="20"/>
              </w:rPr>
              <w:t>Response</w:t>
            </w:r>
          </w:p>
        </w:tc>
      </w:tr>
      <w:tr w:rsidR="365D9676" w14:paraId="21F75E57" w14:textId="77777777" w:rsidTr="365D9676">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01673C6" w14:textId="03F38E2D" w:rsidR="365D9676" w:rsidRPr="001B18E8" w:rsidRDefault="365D9676" w:rsidP="365D9676">
            <w:pPr>
              <w:rPr>
                <w:rFonts w:eastAsia="Calibri" w:cs="Calibri"/>
                <w:color w:val="000000"/>
              </w:rPr>
            </w:pPr>
            <w:r w:rsidRPr="001B18E8">
              <w:rPr>
                <w:rFonts w:eastAsia="Calibri" w:cs="Calibri"/>
                <w:color w:val="000000"/>
              </w:rPr>
              <w:t>EQ1 (AH) / Change 2a</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2E451E0" w14:textId="6C951693" w:rsidR="365D9676" w:rsidRPr="001B18E8" w:rsidRDefault="365D9676" w:rsidP="365D9676">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quantity</w:t>
            </w:r>
            <w:r w:rsidRPr="001B18E8">
              <w:rPr>
                <w:rFonts w:eastAsia="Calibri" w:cs="Calibri"/>
                <w:sz w:val="20"/>
                <w:szCs w:val="20"/>
              </w:rPr>
              <w:t xml:space="preserve"> of </w:t>
            </w:r>
            <w:r w:rsidRPr="001B18E8">
              <w:rPr>
                <w:sz w:val="20"/>
                <w:szCs w:val="20"/>
              </w:rPr>
              <w:t>AH</w:t>
            </w:r>
            <w:r w:rsidRPr="001B18E8">
              <w:rPr>
                <w:rFonts w:eastAsia="Calibri" w:cs="Calibri"/>
                <w:sz w:val="20"/>
                <w:szCs w:val="20"/>
              </w:rPr>
              <w:t xml:space="preserve"> AMR/C/U data generated has improved since 2018? Summarise our understanding of changes in data quantity (a focus on</w:t>
            </w:r>
            <w:r w:rsidRPr="001B18E8">
              <w:rPr>
                <w:rFonts w:eastAsia="Calibri" w:cs="Calibri"/>
                <w:strike/>
                <w:sz w:val="20"/>
                <w:szCs w:val="20"/>
              </w:rPr>
              <w:t>,</w:t>
            </w:r>
            <w:r w:rsidRPr="001B18E8">
              <w:rPr>
                <w:rFonts w:eastAsia="Calibri" w:cs="Calibri"/>
                <w:sz w:val="20"/>
                <w:szCs w:val="20"/>
              </w:rPr>
              <w:t xml:space="preserve"> samples) obtained from document review.  To what extent your records on quantity of AMR/U/C data generated match with our understanding? </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7CAFECD4" w14:textId="2192DEDD" w:rsidR="365D9676" w:rsidRDefault="365D9676" w:rsidP="365D9676">
            <w:pPr>
              <w:rPr>
                <w:rFonts w:eastAsia="Calibri" w:cs="Calibri"/>
                <w:color w:val="000000"/>
                <w:sz w:val="20"/>
                <w:szCs w:val="20"/>
              </w:rPr>
            </w:pPr>
          </w:p>
        </w:tc>
      </w:tr>
      <w:tr w:rsidR="365D9676" w14:paraId="73585D76" w14:textId="77777777" w:rsidTr="0033094D">
        <w:trPr>
          <w:trHeight w:val="794"/>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62BCEE3" w14:textId="7CDF5606" w:rsidR="365D9676" w:rsidRPr="001B18E8" w:rsidRDefault="365D9676" w:rsidP="365D9676">
            <w:pPr>
              <w:rPr>
                <w:rFonts w:eastAsia="Calibri" w:cs="Calibri"/>
                <w:color w:val="000000"/>
              </w:rPr>
            </w:pPr>
            <w:r w:rsidRPr="001B18E8">
              <w:rPr>
                <w:color w:val="000000"/>
              </w:rPr>
              <w:t>EQ1 (AH)</w:t>
            </w:r>
          </w:p>
          <w:p w14:paraId="1DE9B0C1" w14:textId="1A8485BD" w:rsidR="365D9676" w:rsidRPr="001B18E8" w:rsidRDefault="365D9676" w:rsidP="365D9676">
            <w:pPr>
              <w:rPr>
                <w:rFonts w:eastAsia="Calibri" w:cs="Calibri"/>
                <w:color w:val="000000"/>
              </w:rPr>
            </w:pPr>
            <w:r w:rsidRPr="001B18E8">
              <w:rPr>
                <w:color w:val="000000"/>
              </w:rPr>
              <w:t> </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ED5310B" w14:textId="0108678E" w:rsidR="365D9676" w:rsidRPr="001B18E8" w:rsidRDefault="365D9676" w:rsidP="0033094D">
            <w:pPr>
              <w:rPr>
                <w:rFonts w:eastAsia="Calibri" w:cs="Calibri"/>
                <w:sz w:val="20"/>
                <w:szCs w:val="20"/>
              </w:rPr>
            </w:pPr>
            <w:r w:rsidRPr="001B18E8">
              <w:rPr>
                <w:rStyle w:val="normaltextrun"/>
                <w:rFonts w:eastAsia="Calibri" w:cs="Calibri"/>
                <w:sz w:val="20"/>
                <w:szCs w:val="20"/>
              </w:rPr>
              <w:t>To what extent have active surveillance surveys been undertaken as part of a broader strategy? Probe on when relevant strategy was published.</w:t>
            </w:r>
            <w:r w:rsidRPr="001B18E8">
              <w:rPr>
                <w:rStyle w:val="eop"/>
                <w:rFonts w:eastAsia="Calibri" w:cs="Calibri"/>
                <w:sz w:val="20"/>
                <w:szCs w:val="20"/>
              </w:rPr>
              <w:t> </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2F9AC307" w14:textId="5E3DD374" w:rsidR="365D9676" w:rsidRDefault="365D9676" w:rsidP="365D9676">
            <w:pPr>
              <w:rPr>
                <w:rFonts w:eastAsia="Calibri" w:cs="Calibri"/>
                <w:color w:val="000000"/>
                <w:sz w:val="20"/>
                <w:szCs w:val="20"/>
              </w:rPr>
            </w:pPr>
          </w:p>
        </w:tc>
      </w:tr>
      <w:tr w:rsidR="365D9676" w14:paraId="25A2D9EE" w14:textId="77777777" w:rsidTr="365D9676">
        <w:trPr>
          <w:trHeight w:val="1290"/>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5C5009A" w14:textId="60C619D6" w:rsidR="365D9676" w:rsidRPr="001B18E8" w:rsidRDefault="365D9676" w:rsidP="001B18E8">
            <w:pPr>
              <w:rPr>
                <w:rFonts w:eastAsia="Calibri" w:cs="Calibri"/>
                <w:color w:val="000000"/>
              </w:rPr>
            </w:pPr>
            <w:r w:rsidRPr="001B18E8">
              <w:rPr>
                <w:rFonts w:eastAsia="Calibri" w:cs="Calibri"/>
                <w:color w:val="000000"/>
              </w:rPr>
              <w:t>EQ1 (AH) / Change 2a</w:t>
            </w:r>
          </w:p>
        </w:tc>
        <w:tc>
          <w:tcPr>
            <w:tcW w:w="6345"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1B3227E" w14:textId="23355240"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Number of active sampling exercises, Number of pathogens , human capacity, Renovation and equipment, consumable, Prioritisation, governance, engagement with agriculture/industry for sampling</w:t>
            </w:r>
            <w:r w:rsidRPr="001B18E8">
              <w:rPr>
                <w:rFonts w:eastAsia="Calibri" w:cs="Calibri"/>
                <w:b/>
                <w:bCs/>
                <w:sz w:val="20"/>
                <w:szCs w:val="20"/>
              </w:rPr>
              <w:t xml:space="preserve"> </w:t>
            </w:r>
          </w:p>
        </w:tc>
        <w:tc>
          <w:tcPr>
            <w:tcW w:w="6300" w:type="dxa"/>
            <w:tcBorders>
              <w:top w:val="single" w:sz="6" w:space="0" w:color="auto"/>
              <w:left w:val="nil"/>
              <w:bottom w:val="single" w:sz="6" w:space="0" w:color="auto"/>
              <w:right w:val="single" w:sz="6" w:space="0" w:color="auto"/>
            </w:tcBorders>
            <w:tcMar>
              <w:left w:w="105" w:type="dxa"/>
              <w:right w:w="105" w:type="dxa"/>
            </w:tcMar>
          </w:tcPr>
          <w:p w14:paraId="4F9538CE" w14:textId="77812DF4" w:rsidR="365D9676" w:rsidRDefault="365D9676" w:rsidP="365D9676">
            <w:pPr>
              <w:rPr>
                <w:rFonts w:eastAsia="Calibri" w:cs="Calibri"/>
                <w:color w:val="0078D4"/>
                <w:sz w:val="20"/>
                <w:szCs w:val="20"/>
              </w:rPr>
            </w:pPr>
          </w:p>
        </w:tc>
      </w:tr>
      <w:tr w:rsidR="365D9676" w14:paraId="6A434A79" w14:textId="77777777" w:rsidTr="365D9676">
        <w:trPr>
          <w:trHeight w:val="1290"/>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6618875" w14:textId="2B3C6AC7" w:rsidR="365D9676" w:rsidRPr="001B18E8" w:rsidRDefault="365D9676" w:rsidP="001B18E8">
            <w:pPr>
              <w:rPr>
                <w:rFonts w:eastAsia="Calibri" w:cs="Calibri"/>
                <w:color w:val="000000"/>
              </w:rPr>
            </w:pPr>
            <w:r w:rsidRPr="001B18E8">
              <w:rPr>
                <w:rFonts w:eastAsia="Calibri" w:cs="Calibri"/>
                <w:color w:val="000000"/>
              </w:rPr>
              <w:t>EQ1 (AH) / Change 2a</w:t>
            </w:r>
          </w:p>
        </w:tc>
        <w:tc>
          <w:tcPr>
            <w:tcW w:w="6345"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291B2B3" w14:textId="5CC6129E" w:rsidR="365D9676" w:rsidRPr="001B18E8" w:rsidRDefault="365D9676" w:rsidP="365D9676">
            <w:pPr>
              <w:rPr>
                <w:rFonts w:eastAsia="Calibri" w:cs="Calibri"/>
                <w:sz w:val="20"/>
                <w:szCs w:val="20"/>
              </w:rPr>
            </w:pPr>
            <w:r w:rsidRPr="001B18E8">
              <w:rPr>
                <w:rFonts w:eastAsia="Calibri" w:cs="Calibri"/>
                <w:sz w:val="20"/>
                <w:szCs w:val="20"/>
              </w:rPr>
              <w:t>What was the Fleming Fund (</w:t>
            </w:r>
            <w:r w:rsidRPr="001B18E8">
              <w:rPr>
                <w:rFonts w:eastAsia="Calibri" w:cs="Calibri"/>
                <w:b/>
                <w:bCs/>
                <w:sz w:val="20"/>
                <w:szCs w:val="20"/>
              </w:rPr>
              <w:t>CG/RG/Fellows</w:t>
            </w:r>
            <w:r w:rsidRPr="001B18E8">
              <w:rPr>
                <w:rFonts w:eastAsia="Calibri" w:cs="Calibri"/>
                <w:sz w:val="20"/>
                <w:szCs w:val="20"/>
              </w:rPr>
              <w:t xml:space="preserve">) </w:t>
            </w:r>
            <w:r w:rsidRPr="001B18E8">
              <w:rPr>
                <w:rFonts w:eastAsia="Calibri" w:cs="Calibri"/>
                <w:b/>
                <w:bCs/>
                <w:sz w:val="20"/>
                <w:szCs w:val="20"/>
              </w:rPr>
              <w:t>contribution</w:t>
            </w:r>
            <w:r w:rsidRPr="001B18E8">
              <w:rPr>
                <w:rFonts w:eastAsia="Calibri" w:cs="Calibri"/>
                <w:sz w:val="20"/>
                <w:szCs w:val="20"/>
              </w:rPr>
              <w:t xml:space="preserve"> to those drivers?</w:t>
            </w:r>
            <w:r w:rsidRPr="001B18E8">
              <w:br/>
            </w:r>
            <w:r w:rsidRPr="001B18E8">
              <w:rPr>
                <w:rFonts w:eastAsia="Calibri" w:cs="Calibri"/>
                <w:sz w:val="20"/>
                <w:szCs w:val="20"/>
              </w:rPr>
              <w:t>How vital was that it compared to the contribution of:</w:t>
            </w:r>
            <w:r w:rsidRPr="001B18E8">
              <w:br/>
            </w:r>
            <w:r w:rsidRPr="001B18E8">
              <w:rPr>
                <w:rFonts w:eastAsia="Calibri" w:cs="Calibri"/>
                <w:sz w:val="20"/>
                <w:szCs w:val="20"/>
              </w:rPr>
              <w:t>-Global Projects (name any active in country)</w:t>
            </w:r>
            <w:r w:rsidRPr="001B18E8">
              <w:br/>
            </w:r>
            <w:r w:rsidRPr="001B18E8">
              <w:rPr>
                <w:rFonts w:eastAsia="Calibri" w:cs="Calibri"/>
                <w:sz w:val="20"/>
                <w:szCs w:val="20"/>
              </w:rPr>
              <w:t>-Other influencing factors (could be government activities, interventions by other DPs or exogenous factors such as COVID-19?</w:t>
            </w:r>
          </w:p>
        </w:tc>
        <w:tc>
          <w:tcPr>
            <w:tcW w:w="6300" w:type="dxa"/>
            <w:tcBorders>
              <w:top w:val="single" w:sz="6" w:space="0" w:color="auto"/>
              <w:left w:val="nil"/>
              <w:bottom w:val="single" w:sz="6" w:space="0" w:color="auto"/>
              <w:right w:val="single" w:sz="6" w:space="0" w:color="auto"/>
            </w:tcBorders>
            <w:tcMar>
              <w:left w:w="105" w:type="dxa"/>
              <w:right w:w="105" w:type="dxa"/>
            </w:tcMar>
          </w:tcPr>
          <w:p w14:paraId="68CB0CC6" w14:textId="4F707A54" w:rsidR="365D9676" w:rsidRDefault="365D9676" w:rsidP="365D9676">
            <w:pPr>
              <w:rPr>
                <w:rFonts w:eastAsia="Calibri" w:cs="Calibri"/>
                <w:color w:val="0078D4"/>
                <w:sz w:val="20"/>
                <w:szCs w:val="20"/>
              </w:rPr>
            </w:pPr>
          </w:p>
        </w:tc>
      </w:tr>
      <w:tr w:rsidR="365D9676" w14:paraId="7AD0D46A" w14:textId="77777777" w:rsidTr="0033094D">
        <w:trPr>
          <w:trHeight w:val="1020"/>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E79834B" w14:textId="34470077" w:rsidR="365D9676" w:rsidRPr="001B18E8" w:rsidRDefault="365D9676" w:rsidP="001B18E8">
            <w:pPr>
              <w:rPr>
                <w:rFonts w:eastAsia="Calibri" w:cs="Calibri"/>
                <w:color w:val="000000"/>
              </w:rPr>
            </w:pPr>
            <w:r w:rsidRPr="001B18E8">
              <w:rPr>
                <w:rFonts w:eastAsia="Calibri" w:cs="Calibri"/>
                <w:color w:val="000000"/>
              </w:rPr>
              <w:t>EQ1 (AH) / Change 2a</w:t>
            </w:r>
          </w:p>
        </w:tc>
        <w:tc>
          <w:tcPr>
            <w:tcW w:w="6345"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3F78D5A" w14:textId="7179715C" w:rsidR="365D9676" w:rsidRPr="001B18E8" w:rsidRDefault="365D9676" w:rsidP="0033094D">
            <w:pPr>
              <w:rPr>
                <w:rFonts w:eastAsia="Calibri" w:cs="Calibri"/>
                <w:sz w:val="20"/>
                <w:szCs w:val="20"/>
              </w:rPr>
            </w:pPr>
            <w:r w:rsidRPr="001B18E8">
              <w:rPr>
                <w:rFonts w:eastAsia="Calibri" w:cs="Calibri"/>
                <w:sz w:val="20"/>
                <w:szCs w:val="20"/>
              </w:rPr>
              <w:t xml:space="preserve">If there was </w:t>
            </w:r>
            <w:r w:rsidRPr="001B18E8">
              <w:rPr>
                <w:rFonts w:eastAsia="Calibri" w:cs="Calibri"/>
                <w:b/>
                <w:bCs/>
                <w:sz w:val="20"/>
                <w:szCs w:val="20"/>
              </w:rPr>
              <w:t xml:space="preserve">no or negative change </w:t>
            </w:r>
            <w:r w:rsidRPr="001B18E8">
              <w:rPr>
                <w:rFonts w:eastAsia="Calibri" w:cs="Calibri"/>
                <w:sz w:val="20"/>
                <w:szCs w:val="20"/>
              </w:rPr>
              <w:t xml:space="preserve">in this area, </w:t>
            </w:r>
            <w:r w:rsidRPr="001B18E8">
              <w:rPr>
                <w:rFonts w:eastAsia="Calibri" w:cs="Calibri"/>
                <w:b/>
                <w:bCs/>
                <w:sz w:val="20"/>
                <w:szCs w:val="20"/>
              </w:rPr>
              <w:t>why</w:t>
            </w:r>
            <w:r w:rsidRPr="001B18E8">
              <w:rPr>
                <w:rFonts w:eastAsia="Calibri" w:cs="Calibri"/>
                <w:sz w:val="20"/>
                <w:szCs w:val="20"/>
              </w:rPr>
              <w:t xml:space="preserve"> was that? And what has the FF and others done to improve the situation?</w:t>
            </w:r>
          </w:p>
        </w:tc>
        <w:tc>
          <w:tcPr>
            <w:tcW w:w="6300" w:type="dxa"/>
            <w:tcBorders>
              <w:top w:val="single" w:sz="6" w:space="0" w:color="auto"/>
              <w:left w:val="nil"/>
              <w:bottom w:val="single" w:sz="6" w:space="0" w:color="auto"/>
              <w:right w:val="single" w:sz="6" w:space="0" w:color="auto"/>
            </w:tcBorders>
            <w:tcMar>
              <w:left w:w="105" w:type="dxa"/>
              <w:right w:w="105" w:type="dxa"/>
            </w:tcMar>
          </w:tcPr>
          <w:p w14:paraId="254467A2" w14:textId="613CD7F2" w:rsidR="365D9676" w:rsidRDefault="365D9676" w:rsidP="365D9676">
            <w:pPr>
              <w:rPr>
                <w:rFonts w:eastAsia="Calibri" w:cs="Calibri"/>
                <w:color w:val="0078D4"/>
                <w:sz w:val="20"/>
                <w:szCs w:val="20"/>
              </w:rPr>
            </w:pPr>
          </w:p>
        </w:tc>
      </w:tr>
      <w:tr w:rsidR="365D9676" w14:paraId="388C9850" w14:textId="77777777" w:rsidTr="365D9676">
        <w:trPr>
          <w:trHeight w:val="283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EA5D6B2" w14:textId="7430D588" w:rsidR="365D9676" w:rsidRPr="001B18E8" w:rsidRDefault="365D9676" w:rsidP="365D9676">
            <w:pPr>
              <w:rPr>
                <w:rFonts w:eastAsia="Calibri" w:cs="Calibri"/>
                <w:color w:val="000000"/>
              </w:rPr>
            </w:pPr>
            <w:r w:rsidRPr="001B18E8">
              <w:rPr>
                <w:rFonts w:eastAsia="Calibri" w:cs="Calibri"/>
                <w:color w:val="000000"/>
              </w:rPr>
              <w:t>EQ1 (AH) / Change 2b</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7171D03" w14:textId="5F861709" w:rsidR="365D9676" w:rsidRPr="001B18E8" w:rsidRDefault="365D9676" w:rsidP="365D9676">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quality</w:t>
            </w:r>
            <w:r w:rsidRPr="001B18E8">
              <w:rPr>
                <w:rFonts w:eastAsia="Calibri" w:cs="Calibri"/>
                <w:sz w:val="20"/>
                <w:szCs w:val="20"/>
              </w:rPr>
              <w:t xml:space="preserve"> of AH AMR data has improved? </w:t>
            </w:r>
            <w:r w:rsidRPr="001B18E8">
              <w:br/>
            </w:r>
            <w:r w:rsidRPr="001B18E8">
              <w:rPr>
                <w:rFonts w:eastAsia="Calibri" w:cs="Calibri"/>
                <w:sz w:val="20"/>
                <w:szCs w:val="20"/>
              </w:rPr>
              <w:t>-some prompts that maybe helpful for this question are (1) SOPs, (2) automated instruments, (3) internal and/or external quality assurance procedures, (4) better supplies of reagents/better quality equipment or infrastructure (eg fridges/freezers), (5) Training and/or supervision, (6) Quality manager, (7) Accreditation processes, (8) Reporting of data to clinicians (for HH).</w:t>
            </w:r>
            <w:r w:rsidRPr="001B18E8">
              <w:br/>
            </w:r>
            <w:r w:rsidRPr="001B18E8">
              <w:rPr>
                <w:rFonts w:eastAsia="Calibri" w:cs="Calibri"/>
                <w:sz w:val="20"/>
                <w:szCs w:val="20"/>
              </w:rPr>
              <w:t>- Would be useful to get a feel for what level the improvements are at (references labs and/or surveillance sites or facility laboratories)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4CB95266" w14:textId="1F713E5F" w:rsidR="365D9676" w:rsidRDefault="365D9676" w:rsidP="365D9676">
            <w:pPr>
              <w:rPr>
                <w:rFonts w:eastAsia="Calibri" w:cs="Calibri"/>
                <w:color w:val="000000"/>
                <w:sz w:val="20"/>
                <w:szCs w:val="20"/>
              </w:rPr>
            </w:pPr>
          </w:p>
        </w:tc>
      </w:tr>
      <w:tr w:rsidR="365D9676" w14:paraId="02DDD681" w14:textId="77777777" w:rsidTr="365D9676">
        <w:trPr>
          <w:trHeight w:val="148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B8AD7C3" w14:textId="746113AF" w:rsidR="365D9676" w:rsidRPr="001B18E8" w:rsidRDefault="365D9676" w:rsidP="365D9676">
            <w:pPr>
              <w:rPr>
                <w:rFonts w:eastAsia="Calibri" w:cs="Calibri"/>
                <w:color w:val="000000"/>
              </w:rPr>
            </w:pPr>
            <w:r w:rsidRPr="001B18E8">
              <w:rPr>
                <w:rFonts w:eastAsia="Calibri" w:cs="Calibri"/>
                <w:color w:val="000000"/>
              </w:rPr>
              <w:t>EQ1 (AH) / Change 2b</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5B7B0C14" w14:textId="378F0684"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investments in human capacity, renovation work abd improved equipment, reliable supply of reagents, SOPs, internal QA/QM, participation in EQA, prioritisation, governance, other...</w:t>
            </w:r>
          </w:p>
        </w:tc>
        <w:tc>
          <w:tcPr>
            <w:tcW w:w="6300" w:type="dxa"/>
            <w:tcBorders>
              <w:top w:val="single" w:sz="6" w:space="0" w:color="auto"/>
              <w:left w:val="nil"/>
              <w:bottom w:val="single" w:sz="6" w:space="0" w:color="auto"/>
              <w:right w:val="single" w:sz="6" w:space="0" w:color="auto"/>
            </w:tcBorders>
            <w:shd w:val="clear" w:color="auto" w:fill="FCE4D6"/>
            <w:tcMar>
              <w:left w:w="105" w:type="dxa"/>
              <w:right w:w="105" w:type="dxa"/>
            </w:tcMar>
          </w:tcPr>
          <w:p w14:paraId="6AB25CB2" w14:textId="59A92A32" w:rsidR="365D9676" w:rsidRDefault="365D9676" w:rsidP="365D9676">
            <w:pPr>
              <w:rPr>
                <w:rFonts w:eastAsia="Calibri" w:cs="Calibri"/>
                <w:color w:val="000000"/>
                <w:sz w:val="20"/>
                <w:szCs w:val="20"/>
              </w:rPr>
            </w:pPr>
          </w:p>
        </w:tc>
      </w:tr>
      <w:tr w:rsidR="365D9676" w14:paraId="4D21C2EF" w14:textId="77777777" w:rsidTr="365D9676">
        <w:trPr>
          <w:trHeight w:val="184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EAC1A1C" w14:textId="4197C716" w:rsidR="365D9676" w:rsidRPr="001B18E8" w:rsidRDefault="365D9676" w:rsidP="365D9676">
            <w:pPr>
              <w:rPr>
                <w:rFonts w:eastAsia="Calibri" w:cs="Calibri"/>
                <w:color w:val="000000"/>
              </w:rPr>
            </w:pPr>
            <w:r w:rsidRPr="001B18E8">
              <w:rPr>
                <w:rFonts w:eastAsia="Calibri" w:cs="Calibri"/>
                <w:color w:val="000000"/>
              </w:rPr>
              <w:t>EQ1 (AH) / Change 2b</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67CBD4E1" w14:textId="6B67AB2B" w:rsidR="365D9676" w:rsidRDefault="365D9676" w:rsidP="365D9676">
            <w:pPr>
              <w:rPr>
                <w:rFonts w:eastAsia="Calibri" w:cs="Calibri"/>
                <w:color w:val="000000"/>
                <w:sz w:val="20"/>
                <w:szCs w:val="20"/>
              </w:rPr>
            </w:pPr>
            <w:r w:rsidRPr="365D9676">
              <w:rPr>
                <w:rFonts w:eastAsia="Calibri" w:cs="Calibri"/>
                <w:color w:val="000000"/>
                <w:sz w:val="20"/>
                <w:szCs w:val="20"/>
              </w:rPr>
              <w:t>What was the Fleming Fund (</w:t>
            </w:r>
            <w:r w:rsidRPr="365D9676">
              <w:rPr>
                <w:rFonts w:eastAsia="Calibri" w:cs="Calibri"/>
                <w:b/>
                <w:bCs/>
                <w:color w:val="000000"/>
                <w:sz w:val="20"/>
                <w:szCs w:val="20"/>
              </w:rPr>
              <w:t>CG/RG/Fellows</w:t>
            </w:r>
            <w:r w:rsidRPr="365D9676">
              <w:rPr>
                <w:rFonts w:eastAsia="Calibri" w:cs="Calibri"/>
                <w:color w:val="000000"/>
                <w:sz w:val="20"/>
                <w:szCs w:val="20"/>
              </w:rPr>
              <w:t xml:space="preserve">) </w:t>
            </w:r>
            <w:r w:rsidRPr="365D9676">
              <w:rPr>
                <w:rFonts w:eastAsia="Calibri" w:cs="Calibri"/>
                <w:b/>
                <w:bCs/>
                <w:color w:val="000000"/>
                <w:sz w:val="20"/>
                <w:szCs w:val="20"/>
              </w:rPr>
              <w:t>contribution</w:t>
            </w:r>
            <w:r w:rsidRPr="365D9676">
              <w:rPr>
                <w:rFonts w:eastAsia="Calibri" w:cs="Calibri"/>
                <w:color w:val="000000"/>
                <w:sz w:val="20"/>
                <w:szCs w:val="20"/>
              </w:rPr>
              <w:t xml:space="preserve"> to those drivers?</w:t>
            </w:r>
            <w:r>
              <w:br/>
            </w:r>
            <w:r w:rsidRPr="365D9676">
              <w:rPr>
                <w:rFonts w:eastAsia="Calibri" w:cs="Calibri"/>
                <w:color w:val="000000"/>
                <w:sz w:val="20"/>
                <w:szCs w:val="20"/>
              </w:rPr>
              <w:t>How vital was that it compared to the contribution of:</w:t>
            </w:r>
            <w:r>
              <w:br/>
            </w:r>
            <w:r w:rsidRPr="365D9676">
              <w:rPr>
                <w:rFonts w:eastAsia="Calibri" w:cs="Calibri"/>
                <w:color w:val="000000"/>
                <w:sz w:val="20"/>
                <w:szCs w:val="20"/>
              </w:rPr>
              <w:t>-Global Projects (name any active in country)</w:t>
            </w:r>
            <w:r>
              <w:br/>
            </w:r>
            <w:r w:rsidRPr="365D9676">
              <w:rPr>
                <w:rFonts w:eastAsia="Calibri" w:cs="Calibri"/>
                <w:color w:val="000000"/>
                <w:sz w:val="20"/>
                <w:szCs w:val="20"/>
              </w:rPr>
              <w:t>-Other influencing factors (could be government activities, interventions by other DPs or exogenous factors such as COVID-19?</w:t>
            </w:r>
          </w:p>
        </w:tc>
        <w:tc>
          <w:tcPr>
            <w:tcW w:w="6300" w:type="dxa"/>
            <w:tcBorders>
              <w:top w:val="single" w:sz="6" w:space="0" w:color="auto"/>
              <w:left w:val="nil"/>
              <w:bottom w:val="single" w:sz="6" w:space="0" w:color="auto"/>
              <w:right w:val="single" w:sz="6" w:space="0" w:color="auto"/>
            </w:tcBorders>
            <w:shd w:val="clear" w:color="auto" w:fill="FCE4D6"/>
            <w:tcMar>
              <w:left w:w="105" w:type="dxa"/>
              <w:right w:w="105" w:type="dxa"/>
            </w:tcMar>
          </w:tcPr>
          <w:p w14:paraId="1A4CA53A" w14:textId="3325E4C8" w:rsidR="365D9676" w:rsidRDefault="365D9676" w:rsidP="365D9676">
            <w:pPr>
              <w:rPr>
                <w:rFonts w:eastAsia="Calibri" w:cs="Calibri"/>
                <w:color w:val="000000"/>
                <w:sz w:val="20"/>
                <w:szCs w:val="20"/>
              </w:rPr>
            </w:pPr>
          </w:p>
        </w:tc>
      </w:tr>
      <w:tr w:rsidR="365D9676" w14:paraId="307321FF" w14:textId="77777777" w:rsidTr="0033094D">
        <w:trPr>
          <w:trHeight w:val="52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CFA136C" w14:textId="166850DF" w:rsidR="365D9676" w:rsidRPr="001B18E8" w:rsidRDefault="365D9676" w:rsidP="365D9676">
            <w:pPr>
              <w:rPr>
                <w:rFonts w:eastAsia="Calibri" w:cs="Calibri"/>
                <w:color w:val="000000"/>
              </w:rPr>
            </w:pPr>
            <w:r w:rsidRPr="001B18E8">
              <w:rPr>
                <w:rFonts w:eastAsia="Calibri" w:cs="Calibri"/>
                <w:color w:val="000000"/>
              </w:rPr>
              <w:t>EQ1 (AH) / Change 2b</w:t>
            </w:r>
          </w:p>
        </w:tc>
        <w:tc>
          <w:tcPr>
            <w:tcW w:w="6345" w:type="dxa"/>
            <w:gridSpan w:val="2"/>
            <w:tcBorders>
              <w:top w:val="single" w:sz="6" w:space="0" w:color="auto"/>
              <w:left w:val="single" w:sz="6" w:space="0" w:color="auto"/>
              <w:bottom w:val="nil"/>
              <w:right w:val="nil"/>
            </w:tcBorders>
            <w:shd w:val="clear" w:color="auto" w:fill="FCE4D6"/>
            <w:tcMar>
              <w:left w:w="105" w:type="dxa"/>
              <w:right w:w="105" w:type="dxa"/>
            </w:tcMar>
            <w:vAlign w:val="center"/>
          </w:tcPr>
          <w:p w14:paraId="77963AE8" w14:textId="074B8FF5" w:rsidR="365D9676" w:rsidRDefault="365D9676" w:rsidP="0033094D">
            <w:pPr>
              <w:rPr>
                <w:rFonts w:eastAsia="Calibri" w:cs="Calibri"/>
                <w:color w:val="000000"/>
                <w:sz w:val="20"/>
                <w:szCs w:val="20"/>
              </w:rPr>
            </w:pPr>
            <w:r w:rsidRPr="365D9676">
              <w:rPr>
                <w:rFonts w:eastAsia="Calibri" w:cs="Calibri"/>
                <w:color w:val="000000"/>
                <w:sz w:val="20"/>
                <w:szCs w:val="20"/>
              </w:rPr>
              <w:t xml:space="preserve">If there was </w:t>
            </w:r>
            <w:r w:rsidRPr="365D9676">
              <w:rPr>
                <w:rFonts w:eastAsia="Calibri" w:cs="Calibri"/>
                <w:b/>
                <w:bCs/>
                <w:color w:val="000000"/>
                <w:sz w:val="20"/>
                <w:szCs w:val="20"/>
              </w:rPr>
              <w:t xml:space="preserve">no or negative change </w:t>
            </w:r>
            <w:r w:rsidRPr="365D9676">
              <w:rPr>
                <w:rFonts w:eastAsia="Calibri" w:cs="Calibri"/>
                <w:color w:val="000000"/>
                <w:sz w:val="20"/>
                <w:szCs w:val="20"/>
              </w:rPr>
              <w:t xml:space="preserve">in this area, </w:t>
            </w:r>
            <w:r w:rsidRPr="365D9676">
              <w:rPr>
                <w:rFonts w:eastAsia="Calibri" w:cs="Calibri"/>
                <w:b/>
                <w:bCs/>
                <w:color w:val="000000"/>
                <w:sz w:val="20"/>
                <w:szCs w:val="20"/>
              </w:rPr>
              <w:t>why</w:t>
            </w:r>
            <w:r w:rsidRPr="365D9676">
              <w:rPr>
                <w:rFonts w:eastAsia="Calibri" w:cs="Calibri"/>
                <w:color w:val="000000"/>
                <w:sz w:val="20"/>
                <w:szCs w:val="20"/>
              </w:rPr>
              <w:t xml:space="preserve"> was that? And what has the FF and others done to improve the situation?</w:t>
            </w:r>
          </w:p>
        </w:tc>
        <w:tc>
          <w:tcPr>
            <w:tcW w:w="6300" w:type="dxa"/>
            <w:tcBorders>
              <w:top w:val="single" w:sz="6" w:space="0" w:color="auto"/>
              <w:left w:val="nil"/>
              <w:bottom w:val="nil"/>
              <w:right w:val="nil"/>
            </w:tcBorders>
            <w:shd w:val="clear" w:color="auto" w:fill="FCE4D6"/>
            <w:tcMar>
              <w:left w:w="105" w:type="dxa"/>
              <w:right w:w="105" w:type="dxa"/>
            </w:tcMar>
          </w:tcPr>
          <w:p w14:paraId="12CFD848" w14:textId="28626E08" w:rsidR="365D9676" w:rsidRDefault="365D9676" w:rsidP="365D9676">
            <w:pPr>
              <w:rPr>
                <w:rFonts w:eastAsia="Calibri" w:cs="Calibri"/>
                <w:color w:val="000000"/>
                <w:sz w:val="20"/>
                <w:szCs w:val="20"/>
              </w:rPr>
            </w:pPr>
          </w:p>
        </w:tc>
      </w:tr>
      <w:tr w:rsidR="365D9676" w14:paraId="1C70B7C3" w14:textId="77777777" w:rsidTr="365D9676">
        <w:trPr>
          <w:trHeight w:val="76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0E4851E" w14:textId="2E7FB3B4" w:rsidR="365D9676" w:rsidRPr="001B18E8" w:rsidRDefault="365D9676" w:rsidP="365D9676">
            <w:pPr>
              <w:rPr>
                <w:rFonts w:eastAsia="Calibri" w:cs="Calibri"/>
                <w:color w:val="000000"/>
              </w:rPr>
            </w:pPr>
            <w:r w:rsidRPr="001B18E8">
              <w:rPr>
                <w:rFonts w:eastAsia="Calibri" w:cs="Calibri"/>
                <w:color w:val="000000"/>
              </w:rPr>
              <w:t>EQ1 (AH)</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201F3CF" w14:textId="035AA893"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is it plausible that there will be </w:t>
            </w:r>
            <w:r w:rsidRPr="365D9676">
              <w:rPr>
                <w:rFonts w:eastAsia="Calibri" w:cs="Calibri"/>
                <w:b/>
                <w:bCs/>
                <w:color w:val="000000"/>
                <w:sz w:val="20"/>
                <w:szCs w:val="20"/>
              </w:rPr>
              <w:t>significant additional change in the system</w:t>
            </w:r>
            <w:r w:rsidRPr="365D9676">
              <w:rPr>
                <w:rFonts w:eastAsia="Calibri" w:cs="Calibri"/>
                <w:color w:val="000000"/>
                <w:sz w:val="20"/>
                <w:szCs w:val="20"/>
              </w:rPr>
              <w:t xml:space="preserve"> (in terms of increases in quantity and quality of AMR data) </w:t>
            </w:r>
            <w:r w:rsidRPr="365D9676">
              <w:rPr>
                <w:rFonts w:eastAsia="Calibri" w:cs="Calibri"/>
                <w:b/>
                <w:bCs/>
                <w:color w:val="000000"/>
                <w:sz w:val="20"/>
                <w:szCs w:val="20"/>
              </w:rPr>
              <w:t>by end 2022</w:t>
            </w:r>
            <w:r w:rsidRPr="365D9676">
              <w:rPr>
                <w:rFonts w:eastAsia="Calibri" w:cs="Calibri"/>
                <w:color w:val="000000"/>
                <w:sz w:val="20"/>
                <w:szCs w:val="20"/>
              </w:rPr>
              <w:t xml:space="preserve">?  </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48EFDB7A" w14:textId="2564A96C" w:rsidR="365D9676" w:rsidRDefault="365D9676" w:rsidP="365D9676">
            <w:pPr>
              <w:rPr>
                <w:rFonts w:eastAsia="Calibri" w:cs="Calibri"/>
                <w:color w:val="000000"/>
                <w:sz w:val="20"/>
                <w:szCs w:val="20"/>
              </w:rPr>
            </w:pPr>
          </w:p>
        </w:tc>
      </w:tr>
      <w:tr w:rsidR="365D9676" w14:paraId="388EA029" w14:textId="77777777" w:rsidTr="0033094D">
        <w:trPr>
          <w:trHeight w:val="3061"/>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D94EA99" w14:textId="43708A99" w:rsidR="365D9676" w:rsidRPr="001B18E8" w:rsidRDefault="365D9676" w:rsidP="365D9676">
            <w:pPr>
              <w:rPr>
                <w:rFonts w:eastAsia="Calibri" w:cs="Calibri"/>
                <w:color w:val="000000"/>
              </w:rPr>
            </w:pPr>
            <w:r w:rsidRPr="001B18E8">
              <w:rPr>
                <w:rFonts w:eastAsia="Calibri" w:cs="Calibri"/>
                <w:color w:val="000000"/>
              </w:rPr>
              <w:t>EQ5 (AH) / Change 5</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720D052" w14:textId="5A12DED0" w:rsidR="365D9676" w:rsidRDefault="365D9676" w:rsidP="365D9676">
            <w:pPr>
              <w:rPr>
                <w:rFonts w:eastAsia="Calibri" w:cs="Calibri"/>
                <w:sz w:val="20"/>
                <w:szCs w:val="20"/>
              </w:rPr>
            </w:pPr>
            <w:r w:rsidRPr="365D9676">
              <w:rPr>
                <w:rFonts w:eastAsia="Calibri" w:cs="Calibri"/>
                <w:sz w:val="20"/>
                <w:szCs w:val="20"/>
              </w:rPr>
              <w:t xml:space="preserve">Has there been an improvement in quantity and quality of </w:t>
            </w:r>
            <w:r w:rsidRPr="365D9676">
              <w:rPr>
                <w:sz w:val="20"/>
                <w:szCs w:val="20"/>
                <w:u w:val="single"/>
              </w:rPr>
              <w:t>AH</w:t>
            </w:r>
            <w:r w:rsidRPr="365D9676">
              <w:rPr>
                <w:rFonts w:eastAsia="Calibri" w:cs="Calibri"/>
                <w:sz w:val="20"/>
                <w:szCs w:val="20"/>
              </w:rPr>
              <w:t xml:space="preserve"> </w:t>
            </w:r>
            <w:r w:rsidRPr="365D9676">
              <w:rPr>
                <w:rFonts w:eastAsia="Calibri" w:cs="Calibri"/>
                <w:b/>
                <w:bCs/>
                <w:sz w:val="20"/>
                <w:szCs w:val="20"/>
              </w:rPr>
              <w:t>AMU data shared internationally</w:t>
            </w:r>
            <w:r w:rsidRPr="365D9676">
              <w:rPr>
                <w:rFonts w:eastAsia="Calibri" w:cs="Calibri"/>
                <w:sz w:val="20"/>
                <w:szCs w:val="20"/>
              </w:rPr>
              <w:t xml:space="preserve"> with OIE since 2018? Which reporting option was used then and which reporting option is used now?:</w:t>
            </w:r>
            <w:r>
              <w:br/>
            </w:r>
            <w:r w:rsidRPr="365D9676">
              <w:rPr>
                <w:rFonts w:eastAsia="Calibri" w:cs="Calibri"/>
                <w:sz w:val="20"/>
                <w:szCs w:val="20"/>
              </w:rPr>
              <w:t xml:space="preserve">Reporting Option 1: allows countries to distinguish quantities of antimicrobial agents by type of use (therapeutic or growth promotion);  </w:t>
            </w:r>
            <w:r>
              <w:br/>
            </w:r>
            <w:r w:rsidRPr="365D9676">
              <w:rPr>
                <w:rFonts w:eastAsia="Calibri" w:cs="Calibri"/>
                <w:sz w:val="20"/>
                <w:szCs w:val="20"/>
              </w:rPr>
              <w:t xml:space="preserve">Reporting Option 2: allows countries to distinguish quantities of antimicrobial agents by type of use and animal groups (food-producing terrestrial and aquatic species and companion animals);  </w:t>
            </w:r>
            <w:r>
              <w:br/>
            </w:r>
            <w:r w:rsidRPr="365D9676">
              <w:rPr>
                <w:rFonts w:eastAsia="Calibri" w:cs="Calibri"/>
                <w:sz w:val="20"/>
                <w:szCs w:val="20"/>
              </w:rPr>
              <w:t xml:space="preserve">Reporting Option 3: allows countries to distinguish quantities of antimicrobial agents by type of use and routes of administration (distinguishing by group of animals is optional)   </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1E15DA4A" w14:textId="1ED81505" w:rsidR="365D9676" w:rsidRDefault="365D9676" w:rsidP="365D9676">
            <w:pPr>
              <w:rPr>
                <w:rFonts w:eastAsia="Calibri" w:cs="Calibri"/>
                <w:sz w:val="20"/>
                <w:szCs w:val="20"/>
              </w:rPr>
            </w:pPr>
          </w:p>
        </w:tc>
      </w:tr>
      <w:tr w:rsidR="365D9676" w14:paraId="1684DD65" w14:textId="77777777" w:rsidTr="365D9676">
        <w:trPr>
          <w:trHeight w:val="94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8D7955E" w14:textId="5AAE9803" w:rsidR="365D9676" w:rsidRPr="001B18E8" w:rsidRDefault="365D9676" w:rsidP="365D9676">
            <w:pPr>
              <w:rPr>
                <w:rFonts w:eastAsia="Calibri" w:cs="Calibri"/>
                <w:color w:val="000000"/>
              </w:rPr>
            </w:pPr>
            <w:r w:rsidRPr="001B18E8">
              <w:rPr>
                <w:rFonts w:eastAsia="Calibri" w:cs="Calibri"/>
                <w:color w:val="000000"/>
              </w:rPr>
              <w:t>EQ5 (AH) / Change 5</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9AC62E5" w14:textId="33C09B0C"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and in which ways do you think the </w:t>
            </w:r>
            <w:r w:rsidRPr="365D9676">
              <w:rPr>
                <w:rFonts w:eastAsia="Calibri" w:cs="Calibri"/>
                <w:b/>
                <w:bCs/>
                <w:color w:val="000000"/>
                <w:sz w:val="20"/>
                <w:szCs w:val="20"/>
              </w:rPr>
              <w:t>quality</w:t>
            </w:r>
            <w:r w:rsidRPr="365D9676">
              <w:rPr>
                <w:rFonts w:eastAsia="Calibri" w:cs="Calibri"/>
                <w:color w:val="000000"/>
                <w:sz w:val="20"/>
                <w:szCs w:val="20"/>
              </w:rPr>
              <w:t xml:space="preserve"> of AMU data </w:t>
            </w:r>
            <w:r w:rsidRPr="365D9676">
              <w:rPr>
                <w:rFonts w:eastAsia="Calibri" w:cs="Calibri"/>
                <w:b/>
                <w:bCs/>
                <w:color w:val="000000"/>
                <w:sz w:val="20"/>
                <w:szCs w:val="20"/>
              </w:rPr>
              <w:t xml:space="preserve">reported to OIE </w:t>
            </w:r>
            <w:r w:rsidRPr="365D9676">
              <w:rPr>
                <w:rFonts w:eastAsia="Calibri" w:cs="Calibri"/>
                <w:color w:val="000000"/>
                <w:sz w:val="20"/>
                <w:szCs w:val="20"/>
              </w:rPr>
              <w:t>has improved since 2018? (including changes within reporting options)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2E8F83D6" w14:textId="09BB5D06" w:rsidR="365D9676" w:rsidRDefault="365D9676" w:rsidP="365D9676">
            <w:pPr>
              <w:rPr>
                <w:rFonts w:eastAsia="Calibri" w:cs="Calibri"/>
                <w:color w:val="000000"/>
                <w:sz w:val="20"/>
                <w:szCs w:val="20"/>
              </w:rPr>
            </w:pPr>
          </w:p>
        </w:tc>
      </w:tr>
      <w:tr w:rsidR="365D9676" w14:paraId="078FBA53" w14:textId="77777777" w:rsidTr="365D9676">
        <w:trPr>
          <w:trHeight w:val="151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4CE6525" w14:textId="336C5F36" w:rsidR="365D9676" w:rsidRPr="001B18E8" w:rsidRDefault="365D9676" w:rsidP="365D9676">
            <w:pPr>
              <w:rPr>
                <w:rFonts w:eastAsia="Calibri" w:cs="Calibri"/>
              </w:rPr>
            </w:pPr>
            <w:r w:rsidRPr="001B18E8">
              <w:rPr>
                <w:rFonts w:eastAsia="Calibri" w:cs="Calibri"/>
              </w:rPr>
              <w:t>EQ5 (AH) / Change 5</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25E3E1DA" w14:textId="04F9BDE3"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xml:space="preserve">, behind such change? Probes: more and better data available from the surveillance system (in which case refer to QUANT &amp; QUAL contribution stories), data sharing process and systems, resourcing, incentives, cooperation, TA </w:t>
            </w:r>
          </w:p>
        </w:tc>
        <w:tc>
          <w:tcPr>
            <w:tcW w:w="6300" w:type="dxa"/>
            <w:tcBorders>
              <w:top w:val="single" w:sz="6" w:space="0" w:color="auto"/>
              <w:left w:val="nil"/>
              <w:bottom w:val="single" w:sz="6" w:space="0" w:color="auto"/>
              <w:right w:val="single" w:sz="6" w:space="0" w:color="auto"/>
            </w:tcBorders>
            <w:shd w:val="clear" w:color="auto" w:fill="FCE4D6"/>
            <w:tcMar>
              <w:left w:w="105" w:type="dxa"/>
              <w:right w:w="105" w:type="dxa"/>
            </w:tcMar>
          </w:tcPr>
          <w:p w14:paraId="0425CA90" w14:textId="78882361" w:rsidR="365D9676" w:rsidRDefault="365D9676" w:rsidP="365D9676">
            <w:pPr>
              <w:rPr>
                <w:rFonts w:eastAsia="Calibri" w:cs="Calibri"/>
                <w:color w:val="000000"/>
                <w:sz w:val="20"/>
                <w:szCs w:val="20"/>
              </w:rPr>
            </w:pPr>
          </w:p>
        </w:tc>
      </w:tr>
      <w:tr w:rsidR="365D9676" w14:paraId="68D71CF3" w14:textId="77777777" w:rsidTr="365D9676">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EB6CB62" w14:textId="219268F7" w:rsidR="365D9676" w:rsidRPr="001B18E8" w:rsidRDefault="365D9676" w:rsidP="365D9676">
            <w:pPr>
              <w:rPr>
                <w:rFonts w:eastAsia="Calibri" w:cs="Calibri"/>
                <w:color w:val="000000"/>
              </w:rPr>
            </w:pPr>
            <w:r w:rsidRPr="001B18E8">
              <w:rPr>
                <w:rFonts w:eastAsia="Calibri" w:cs="Calibri"/>
                <w:color w:val="000000"/>
              </w:rPr>
              <w:t>EQ5 (AH) / Change 5</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55AD0D5A" w14:textId="4C86140B" w:rsidR="365D9676" w:rsidRDefault="365D9676" w:rsidP="365D9676">
            <w:pPr>
              <w:rPr>
                <w:rFonts w:eastAsia="Calibri" w:cs="Calibri"/>
                <w:color w:val="000000"/>
                <w:sz w:val="20"/>
                <w:szCs w:val="20"/>
              </w:rPr>
            </w:pPr>
            <w:r w:rsidRPr="365D9676">
              <w:rPr>
                <w:rFonts w:eastAsia="Calibri" w:cs="Calibri"/>
                <w:color w:val="000000"/>
                <w:sz w:val="20"/>
                <w:szCs w:val="20"/>
              </w:rPr>
              <w:t>What was the Fleming Fund (</w:t>
            </w:r>
            <w:r w:rsidRPr="365D9676">
              <w:rPr>
                <w:rFonts w:eastAsia="Calibri" w:cs="Calibri"/>
                <w:b/>
                <w:bCs/>
                <w:color w:val="000000"/>
                <w:sz w:val="20"/>
                <w:szCs w:val="20"/>
              </w:rPr>
              <w:t>CG/RG/Fellows</w:t>
            </w:r>
            <w:r w:rsidRPr="365D9676">
              <w:rPr>
                <w:rFonts w:eastAsia="Calibri" w:cs="Calibri"/>
                <w:color w:val="000000"/>
                <w:sz w:val="20"/>
                <w:szCs w:val="20"/>
              </w:rPr>
              <w:t xml:space="preserve">) </w:t>
            </w:r>
            <w:r w:rsidRPr="365D9676">
              <w:rPr>
                <w:rFonts w:eastAsia="Calibri" w:cs="Calibri"/>
                <w:b/>
                <w:bCs/>
                <w:color w:val="000000"/>
                <w:sz w:val="20"/>
                <w:szCs w:val="20"/>
              </w:rPr>
              <w:t>contribution</w:t>
            </w:r>
            <w:r w:rsidRPr="365D9676">
              <w:rPr>
                <w:rFonts w:eastAsia="Calibri" w:cs="Calibri"/>
                <w:color w:val="000000"/>
                <w:sz w:val="20"/>
                <w:szCs w:val="20"/>
              </w:rPr>
              <w:t xml:space="preserve"> to those drivers?</w:t>
            </w:r>
            <w:r>
              <w:br/>
            </w:r>
            <w:r w:rsidRPr="365D9676">
              <w:rPr>
                <w:rFonts w:eastAsia="Calibri" w:cs="Calibri"/>
                <w:color w:val="000000"/>
                <w:sz w:val="20"/>
                <w:szCs w:val="20"/>
              </w:rPr>
              <w:t>How vital was that it compared to the contribution of:</w:t>
            </w:r>
            <w:r>
              <w:br/>
            </w:r>
            <w:r w:rsidRPr="365D9676">
              <w:rPr>
                <w:rFonts w:eastAsia="Calibri" w:cs="Calibri"/>
                <w:color w:val="000000"/>
                <w:sz w:val="20"/>
                <w:szCs w:val="20"/>
              </w:rPr>
              <w:t>Global Projects (name any active in country)</w:t>
            </w:r>
            <w:r>
              <w:br/>
            </w:r>
            <w:r w:rsidRPr="365D9676">
              <w:rPr>
                <w:rFonts w:eastAsia="Calibri" w:cs="Calibri"/>
                <w:color w:val="000000"/>
                <w:sz w:val="20"/>
                <w:szCs w:val="20"/>
              </w:rPr>
              <w:t>Other influencing factors (could be government activities, interventions by other DPs or exogenous factors such as COVID-19?</w:t>
            </w:r>
          </w:p>
        </w:tc>
        <w:tc>
          <w:tcPr>
            <w:tcW w:w="6300" w:type="dxa"/>
            <w:tcBorders>
              <w:top w:val="single" w:sz="6" w:space="0" w:color="auto"/>
              <w:left w:val="nil"/>
              <w:bottom w:val="single" w:sz="6" w:space="0" w:color="auto"/>
              <w:right w:val="single" w:sz="6" w:space="0" w:color="auto"/>
            </w:tcBorders>
            <w:shd w:val="clear" w:color="auto" w:fill="FCE4D6"/>
            <w:tcMar>
              <w:left w:w="105" w:type="dxa"/>
              <w:right w:w="105" w:type="dxa"/>
            </w:tcMar>
          </w:tcPr>
          <w:p w14:paraId="6E461113" w14:textId="52F7C989" w:rsidR="365D9676" w:rsidRDefault="365D9676" w:rsidP="365D9676">
            <w:pPr>
              <w:rPr>
                <w:rFonts w:eastAsia="Calibri" w:cs="Calibri"/>
                <w:color w:val="000000"/>
                <w:sz w:val="20"/>
                <w:szCs w:val="20"/>
              </w:rPr>
            </w:pPr>
          </w:p>
        </w:tc>
      </w:tr>
      <w:tr w:rsidR="365D9676" w14:paraId="5DF41465" w14:textId="77777777" w:rsidTr="365D9676">
        <w:trPr>
          <w:trHeight w:val="52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729606F" w14:textId="404666D2" w:rsidR="365D9676" w:rsidRPr="001B18E8" w:rsidRDefault="365D9676" w:rsidP="365D9676">
            <w:pPr>
              <w:rPr>
                <w:rFonts w:eastAsia="Calibri" w:cs="Calibri"/>
                <w:color w:val="000000"/>
              </w:rPr>
            </w:pPr>
            <w:r w:rsidRPr="001B18E8">
              <w:rPr>
                <w:rFonts w:eastAsia="Calibri" w:cs="Calibri"/>
                <w:color w:val="000000"/>
              </w:rPr>
              <w:t>EQ5 (AH) / Change 5</w:t>
            </w:r>
          </w:p>
        </w:tc>
        <w:tc>
          <w:tcPr>
            <w:tcW w:w="6345" w:type="dxa"/>
            <w:gridSpan w:val="2"/>
            <w:tcBorders>
              <w:top w:val="single" w:sz="6" w:space="0" w:color="auto"/>
              <w:left w:val="single" w:sz="6" w:space="0" w:color="auto"/>
              <w:bottom w:val="nil"/>
              <w:right w:val="nil"/>
            </w:tcBorders>
            <w:shd w:val="clear" w:color="auto" w:fill="FCE4D6"/>
            <w:tcMar>
              <w:left w:w="105" w:type="dxa"/>
              <w:right w:w="105" w:type="dxa"/>
            </w:tcMar>
            <w:vAlign w:val="bottom"/>
          </w:tcPr>
          <w:p w14:paraId="75E43197" w14:textId="1225CDDC" w:rsidR="365D9676" w:rsidRDefault="365D9676" w:rsidP="365D9676">
            <w:pPr>
              <w:rPr>
                <w:rFonts w:eastAsia="Calibri" w:cs="Calibri"/>
                <w:color w:val="000000"/>
                <w:sz w:val="20"/>
                <w:szCs w:val="20"/>
              </w:rPr>
            </w:pPr>
            <w:r w:rsidRPr="365D9676">
              <w:rPr>
                <w:rFonts w:eastAsia="Calibri" w:cs="Calibri"/>
                <w:color w:val="000000"/>
                <w:sz w:val="20"/>
                <w:szCs w:val="20"/>
              </w:rPr>
              <w:t xml:space="preserve">If there was </w:t>
            </w:r>
            <w:r w:rsidRPr="365D9676">
              <w:rPr>
                <w:rFonts w:eastAsia="Calibri" w:cs="Calibri"/>
                <w:b/>
                <w:bCs/>
                <w:color w:val="000000"/>
                <w:sz w:val="20"/>
                <w:szCs w:val="20"/>
              </w:rPr>
              <w:t>no or negative change</w:t>
            </w:r>
            <w:r w:rsidRPr="365D9676">
              <w:rPr>
                <w:rFonts w:eastAsia="Calibri" w:cs="Calibri"/>
                <w:color w:val="000000"/>
                <w:sz w:val="20"/>
                <w:szCs w:val="20"/>
              </w:rPr>
              <w:t xml:space="preserve"> in this area, </w:t>
            </w:r>
            <w:r w:rsidRPr="365D9676">
              <w:rPr>
                <w:rFonts w:eastAsia="Calibri" w:cs="Calibri"/>
                <w:b/>
                <w:bCs/>
                <w:color w:val="000000"/>
                <w:sz w:val="20"/>
                <w:szCs w:val="20"/>
              </w:rPr>
              <w:t>why</w:t>
            </w:r>
            <w:r w:rsidRPr="365D9676">
              <w:rPr>
                <w:rFonts w:eastAsia="Calibri" w:cs="Calibri"/>
                <w:color w:val="000000"/>
                <w:sz w:val="20"/>
                <w:szCs w:val="20"/>
              </w:rPr>
              <w:t xml:space="preserve"> was that? And what has the FF and others done to improve the situation?</w:t>
            </w:r>
          </w:p>
        </w:tc>
        <w:tc>
          <w:tcPr>
            <w:tcW w:w="6300" w:type="dxa"/>
            <w:tcBorders>
              <w:top w:val="single" w:sz="6" w:space="0" w:color="auto"/>
              <w:left w:val="nil"/>
              <w:bottom w:val="nil"/>
              <w:right w:val="nil"/>
            </w:tcBorders>
            <w:shd w:val="clear" w:color="auto" w:fill="FCE4D6"/>
            <w:tcMar>
              <w:left w:w="105" w:type="dxa"/>
              <w:right w:w="105" w:type="dxa"/>
            </w:tcMar>
          </w:tcPr>
          <w:p w14:paraId="67AD1C53" w14:textId="2FC45602" w:rsidR="365D9676" w:rsidRDefault="365D9676" w:rsidP="365D9676">
            <w:pPr>
              <w:rPr>
                <w:rFonts w:eastAsia="Calibri" w:cs="Calibri"/>
                <w:color w:val="000000"/>
                <w:sz w:val="20"/>
                <w:szCs w:val="20"/>
              </w:rPr>
            </w:pPr>
          </w:p>
        </w:tc>
      </w:tr>
      <w:tr w:rsidR="365D9676" w14:paraId="6002A2AA" w14:textId="77777777" w:rsidTr="365D9676">
        <w:trPr>
          <w:trHeight w:val="181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E65D70E" w14:textId="2E0AB492" w:rsidR="365D9676" w:rsidRDefault="365D9676" w:rsidP="365D9676">
            <w:pPr>
              <w:rPr>
                <w:rFonts w:eastAsia="Calibri" w:cs="Calibri"/>
                <w:color w:val="000000"/>
              </w:rPr>
            </w:pPr>
            <w:r w:rsidRPr="365D9676">
              <w:rPr>
                <w:rFonts w:eastAsia="Calibri" w:cs="Calibri"/>
                <w:color w:val="000000"/>
              </w:rPr>
              <w:t>EQ2</w:t>
            </w:r>
          </w:p>
        </w:tc>
        <w:tc>
          <w:tcPr>
            <w:tcW w:w="6345" w:type="dxa"/>
            <w:gridSpan w:val="2"/>
            <w:tcBorders>
              <w:top w:val="nil"/>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B84A938" w14:textId="784C79CB"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w:t>
            </w:r>
            <w:r w:rsidRPr="365D9676">
              <w:rPr>
                <w:rFonts w:eastAsia="Calibri" w:cs="Calibri"/>
                <w:b/>
                <w:bCs/>
                <w:color w:val="000000"/>
                <w:sz w:val="20"/>
                <w:szCs w:val="20"/>
              </w:rPr>
              <w:t xml:space="preserve">CG, RG, Fellowships and Global Projects </w:t>
            </w:r>
            <w:r w:rsidRPr="365D9676">
              <w:rPr>
                <w:rFonts w:eastAsia="Calibri" w:cs="Calibri"/>
                <w:color w:val="000000"/>
                <w:sz w:val="20"/>
                <w:szCs w:val="20"/>
              </w:rPr>
              <w:t>have been</w:t>
            </w:r>
            <w:r w:rsidRPr="365D9676">
              <w:rPr>
                <w:rFonts w:eastAsia="Calibri" w:cs="Calibri"/>
                <w:b/>
                <w:bCs/>
                <w:color w:val="000000"/>
                <w:sz w:val="20"/>
                <w:szCs w:val="20"/>
              </w:rPr>
              <w:t xml:space="preserve"> well coordinated</w:t>
            </w:r>
            <w:r w:rsidRPr="365D9676">
              <w:rPr>
                <w:rFonts w:eastAsia="Calibri" w:cs="Calibri"/>
                <w:color w:val="000000"/>
                <w:sz w:val="20"/>
                <w:szCs w:val="20"/>
              </w:rPr>
              <w:t xml:space="preserve"> and </w:t>
            </w:r>
            <w:r w:rsidRPr="365D9676">
              <w:rPr>
                <w:rFonts w:eastAsia="Calibri" w:cs="Calibri"/>
                <w:b/>
                <w:bCs/>
                <w:color w:val="000000"/>
                <w:sz w:val="20"/>
                <w:szCs w:val="20"/>
              </w:rPr>
              <w:t>internally coherent</w:t>
            </w:r>
            <w:r w:rsidRPr="365D9676">
              <w:rPr>
                <w:rFonts w:eastAsia="Calibri" w:cs="Calibri"/>
                <w:color w:val="000000"/>
                <w:sz w:val="20"/>
                <w:szCs w:val="20"/>
              </w:rPr>
              <w:t>?</w:t>
            </w:r>
            <w:r>
              <w:br/>
            </w:r>
            <w:r w:rsidRPr="365D9676">
              <w:rPr>
                <w:rFonts w:eastAsia="Calibri" w:cs="Calibri"/>
                <w:color w:val="000000"/>
                <w:sz w:val="20"/>
                <w:szCs w:val="20"/>
              </w:rPr>
              <w:t xml:space="preserve">Probe: Are there any </w:t>
            </w:r>
            <w:r w:rsidRPr="365D9676">
              <w:rPr>
                <w:color w:val="000000"/>
                <w:sz w:val="20"/>
                <w:szCs w:val="20"/>
                <w:u w:val="single"/>
              </w:rPr>
              <w:t>duplications</w:t>
            </w:r>
            <w:r w:rsidRPr="365D9676">
              <w:rPr>
                <w:rFonts w:eastAsia="Calibri" w:cs="Calibri"/>
                <w:color w:val="000000"/>
                <w:sz w:val="20"/>
                <w:szCs w:val="20"/>
              </w:rPr>
              <w:t xml:space="preserve"> between CG, RG, Fellowships and Global Projects?</w:t>
            </w:r>
            <w:r>
              <w:br/>
            </w:r>
            <w:r w:rsidRPr="365D9676">
              <w:rPr>
                <w:rFonts w:eastAsia="Calibri" w:cs="Calibri"/>
                <w:color w:val="000000"/>
                <w:sz w:val="20"/>
                <w:szCs w:val="20"/>
              </w:rPr>
              <w:t xml:space="preserve">Probe: How effective have been </w:t>
            </w:r>
            <w:r w:rsidRPr="365D9676">
              <w:rPr>
                <w:color w:val="000000"/>
                <w:sz w:val="20"/>
                <w:szCs w:val="20"/>
                <w:u w:val="single"/>
              </w:rPr>
              <w:t>mechanisms</w:t>
            </w:r>
            <w:r w:rsidRPr="365D9676">
              <w:rPr>
                <w:rFonts w:eastAsia="Calibri" w:cs="Calibri"/>
                <w:color w:val="000000"/>
                <w:sz w:val="20"/>
                <w:szCs w:val="20"/>
              </w:rPr>
              <w:t xml:space="preserve"> put in place by the MA to ensure internal coherence (such as the Country Coordination mechanisms) in delivering coherence?</w:t>
            </w:r>
          </w:p>
        </w:tc>
        <w:tc>
          <w:tcPr>
            <w:tcW w:w="6300" w:type="dxa"/>
            <w:tcBorders>
              <w:top w:val="nil"/>
              <w:left w:val="nil"/>
              <w:bottom w:val="single" w:sz="6" w:space="0" w:color="auto"/>
              <w:right w:val="single" w:sz="6" w:space="0" w:color="auto"/>
            </w:tcBorders>
            <w:shd w:val="clear" w:color="auto" w:fill="FFFFFF" w:themeFill="background1"/>
            <w:tcMar>
              <w:left w:w="105" w:type="dxa"/>
              <w:right w:w="105" w:type="dxa"/>
            </w:tcMar>
          </w:tcPr>
          <w:p w14:paraId="34DBC952" w14:textId="73C8EF7B" w:rsidR="365D9676" w:rsidRDefault="365D9676" w:rsidP="365D9676">
            <w:pPr>
              <w:rPr>
                <w:rFonts w:eastAsia="Calibri" w:cs="Calibri"/>
                <w:color w:val="000000"/>
                <w:sz w:val="20"/>
                <w:szCs w:val="20"/>
              </w:rPr>
            </w:pPr>
          </w:p>
        </w:tc>
      </w:tr>
      <w:tr w:rsidR="365D9676" w14:paraId="6C4F82A3" w14:textId="77777777" w:rsidTr="365D9676">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BF4322E" w14:textId="47C730C2"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9092850" w14:textId="211740B5" w:rsidR="365D9676" w:rsidRDefault="365D9676" w:rsidP="365D9676">
            <w:pPr>
              <w:rPr>
                <w:rFonts w:eastAsia="Calibri" w:cs="Calibri"/>
                <w:color w:val="444444"/>
              </w:rPr>
            </w:pPr>
            <w:r w:rsidRPr="365D9676">
              <w:rPr>
                <w:rFonts w:eastAsia="Calibri" w:cs="Calibri"/>
                <w:strike/>
                <w:color w:val="0078D4"/>
              </w:rPr>
              <w:t xml:space="preserve"> </w:t>
            </w:r>
            <w:r w:rsidRPr="365D9676">
              <w:rPr>
                <w:rFonts w:eastAsia="Calibri" w:cs="Calibri"/>
                <w:color w:val="444444"/>
              </w:rPr>
              <w:t>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256CC4ED" w14:textId="43FC40A3" w:rsidR="365D9676" w:rsidRDefault="365D9676" w:rsidP="365D9676">
            <w:pPr>
              <w:rPr>
                <w:rFonts w:eastAsia="Calibri" w:cs="Calibri"/>
                <w:color w:val="000000"/>
                <w:sz w:val="20"/>
                <w:szCs w:val="20"/>
              </w:rPr>
            </w:pPr>
          </w:p>
        </w:tc>
      </w:tr>
      <w:tr w:rsidR="365D9676" w14:paraId="45274281" w14:textId="77777777" w:rsidTr="365D9676">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FFD457E" w14:textId="215DF2A0"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DFBCAE2" w14:textId="33B463FA" w:rsidR="365D9676" w:rsidRDefault="365D9676" w:rsidP="365D9676">
            <w:pPr>
              <w:rPr>
                <w:rFonts w:eastAsia="Calibri" w:cs="Calibri"/>
                <w:color w:val="444444"/>
              </w:rPr>
            </w:pPr>
            <w:r w:rsidRPr="365D9676">
              <w:rPr>
                <w:rFonts w:eastAsia="Calibri" w:cs="Calibri"/>
                <w:color w:val="444444"/>
              </w:rPr>
              <w:t xml:space="preserve"> To what extent do you think staff are motivated to put new skills / responsibilities required to </w:t>
            </w:r>
            <w:r w:rsidRPr="001B18E8">
              <w:rPr>
                <w:rFonts w:eastAsia="Calibri" w:cs="Calibri"/>
              </w:rPr>
              <w:t xml:space="preserve">maintain AMR </w:t>
            </w:r>
            <w:r w:rsidRPr="001B18E8">
              <w:rPr>
                <w:rFonts w:eastAsia="Calibri" w:cs="Calibri"/>
                <w:u w:val="single"/>
              </w:rPr>
              <w:t>surveillance</w:t>
            </w:r>
            <w:r w:rsidRPr="001B18E8">
              <w:rPr>
                <w:rFonts w:eastAsia="Calibri" w:cs="Calibri"/>
              </w:rPr>
              <w:t>?</w:t>
            </w:r>
            <w:r w:rsidRPr="365D9676">
              <w:rPr>
                <w:rFonts w:eastAsia="Calibri" w:cs="Calibri"/>
                <w:color w:val="444444"/>
              </w:rPr>
              <w:t xml:space="preserve"> PROBES: Is throughput sufficient? Are consumable supplies assured? Are managers and institutions (eg AMRCC) interested in outputs and providing feedback? Will competing demands crowd in? Are there adequate plans in place to address any concerns? To what extent is FF focused on addressing these conditions?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04E77F7E" w14:textId="326973BC" w:rsidR="365D9676" w:rsidRDefault="365D9676" w:rsidP="365D9676">
            <w:pPr>
              <w:rPr>
                <w:rFonts w:eastAsia="Calibri" w:cs="Calibri"/>
                <w:color w:val="000000"/>
                <w:sz w:val="20"/>
                <w:szCs w:val="20"/>
              </w:rPr>
            </w:pPr>
          </w:p>
        </w:tc>
      </w:tr>
      <w:tr w:rsidR="365D9676" w14:paraId="7813AC94" w14:textId="77777777" w:rsidTr="365D9676">
        <w:trPr>
          <w:trHeight w:val="51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6136C90" w14:textId="300D4AFC"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345" w:type="dxa"/>
            <w:gridSpan w:val="2"/>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981FF12" w14:textId="73D6B18F" w:rsidR="365D9676" w:rsidRDefault="365D9676" w:rsidP="365D9676">
            <w:pPr>
              <w:rPr>
                <w:rFonts w:eastAsia="Calibri" w:cs="Calibri"/>
                <w:color w:val="444444"/>
              </w:rPr>
            </w:pPr>
            <w:r w:rsidRPr="365D9676">
              <w:rPr>
                <w:rFonts w:eastAsia="Calibri" w:cs="Calibri"/>
                <w:strike/>
                <w:color w:val="0078D4"/>
              </w:rPr>
              <w:t xml:space="preserve"> </w:t>
            </w:r>
            <w:r w:rsidRPr="365D9676">
              <w:rPr>
                <w:rFonts w:eastAsia="Calibri" w:cs="Calibri"/>
                <w:color w:val="444444"/>
              </w:rPr>
              <w:t>To what extent have you formulated and implemented an exit plan with milestones and shared objectives? If not, why not? Has sustainability received sufficient attention to date? In what ways?</w:t>
            </w:r>
          </w:p>
        </w:tc>
        <w:tc>
          <w:tcPr>
            <w:tcW w:w="6300" w:type="dxa"/>
            <w:tcBorders>
              <w:top w:val="single" w:sz="6" w:space="0" w:color="auto"/>
              <w:left w:val="nil"/>
              <w:bottom w:val="single" w:sz="6" w:space="0" w:color="auto"/>
              <w:right w:val="single" w:sz="6" w:space="0" w:color="auto"/>
            </w:tcBorders>
            <w:shd w:val="clear" w:color="auto" w:fill="FFFFFF" w:themeFill="background1"/>
            <w:tcMar>
              <w:left w:w="105" w:type="dxa"/>
              <w:right w:w="105" w:type="dxa"/>
            </w:tcMar>
          </w:tcPr>
          <w:p w14:paraId="73BC50DB" w14:textId="229C8B97" w:rsidR="365D9676" w:rsidRDefault="365D9676" w:rsidP="365D9676">
            <w:pPr>
              <w:rPr>
                <w:rFonts w:eastAsia="Calibri" w:cs="Calibri"/>
                <w:color w:val="000000"/>
                <w:sz w:val="20"/>
                <w:szCs w:val="20"/>
              </w:rPr>
            </w:pPr>
          </w:p>
        </w:tc>
      </w:tr>
      <w:tr w:rsidR="365D9676" w14:paraId="33B1721D" w14:textId="77777777" w:rsidTr="365D9676">
        <w:trPr>
          <w:trHeight w:val="975"/>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tcPr>
          <w:p w14:paraId="70186F05" w14:textId="155774C1"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345" w:type="dxa"/>
            <w:gridSpan w:val="2"/>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C85002B" w14:textId="21441AA6" w:rsidR="365D9676" w:rsidRDefault="365D9676" w:rsidP="365D9676">
            <w:pPr>
              <w:rPr>
                <w:rFonts w:eastAsia="Calibri" w:cs="Calibri"/>
                <w:color w:val="000000"/>
                <w:sz w:val="20"/>
                <w:szCs w:val="20"/>
              </w:rPr>
            </w:pPr>
            <w:r w:rsidRPr="365D9676">
              <w:rPr>
                <w:rFonts w:eastAsia="Calibri" w:cs="Calibri"/>
                <w:color w:val="000000"/>
                <w:sz w:val="20"/>
                <w:szCs w:val="20"/>
              </w:rPr>
              <w:t>Has Covid-19 been a distraction, slowing down progress with the national AMR agenda?  PROBE: Has AMRCC met regularly since 2020, including at political as well as technical levels? Has it started to take significant decisions?</w:t>
            </w:r>
          </w:p>
        </w:tc>
        <w:tc>
          <w:tcPr>
            <w:tcW w:w="6300" w:type="dxa"/>
            <w:tcBorders>
              <w:top w:val="single" w:sz="6" w:space="0" w:color="auto"/>
              <w:left w:val="nil"/>
              <w:bottom w:val="single" w:sz="6" w:space="0" w:color="auto"/>
              <w:right w:val="single" w:sz="6" w:space="0" w:color="auto"/>
            </w:tcBorders>
            <w:tcMar>
              <w:left w:w="105" w:type="dxa"/>
              <w:right w:w="105" w:type="dxa"/>
            </w:tcMar>
          </w:tcPr>
          <w:p w14:paraId="548BF9A9" w14:textId="7A5BF9E1" w:rsidR="365D9676" w:rsidRDefault="365D9676" w:rsidP="365D9676">
            <w:pPr>
              <w:rPr>
                <w:rFonts w:eastAsia="Calibri" w:cs="Calibri"/>
                <w:color w:val="000000"/>
                <w:sz w:val="20"/>
                <w:szCs w:val="20"/>
              </w:rPr>
            </w:pPr>
          </w:p>
        </w:tc>
      </w:tr>
      <w:tr w:rsidR="365D9676" w14:paraId="14DD9ABF" w14:textId="77777777" w:rsidTr="365D9676">
        <w:trPr>
          <w:trHeight w:val="2385"/>
        </w:trPr>
        <w:tc>
          <w:tcPr>
            <w:tcW w:w="990" w:type="dxa"/>
            <w:gridSpan w:val="2"/>
            <w:tcBorders>
              <w:top w:val="single" w:sz="6" w:space="0" w:color="auto"/>
              <w:left w:val="single" w:sz="6" w:space="0" w:color="auto"/>
              <w:bottom w:val="single" w:sz="6" w:space="0" w:color="auto"/>
              <w:right w:val="single" w:sz="6" w:space="0" w:color="auto"/>
            </w:tcBorders>
            <w:tcMar>
              <w:left w:w="105" w:type="dxa"/>
              <w:right w:w="105" w:type="dxa"/>
            </w:tcMar>
          </w:tcPr>
          <w:p w14:paraId="2F08A681" w14:textId="3B6CC730" w:rsidR="365D9676" w:rsidRPr="001B18E8" w:rsidRDefault="365D9676" w:rsidP="365D9676">
            <w:pPr>
              <w:rPr>
                <w:rFonts w:eastAsia="Calibri" w:cs="Calibri"/>
                <w:color w:val="000000"/>
                <w:sz w:val="20"/>
                <w:szCs w:val="20"/>
              </w:rPr>
            </w:pPr>
            <w:r w:rsidRPr="001B18E8">
              <w:rPr>
                <w:rFonts w:eastAsia="Calibri" w:cs="Calibri"/>
                <w:color w:val="000000"/>
                <w:sz w:val="20"/>
                <w:szCs w:val="20"/>
              </w:rPr>
              <w:t>ACTIONS 4.1</w:t>
            </w:r>
          </w:p>
          <w:p w14:paraId="558E5FAF" w14:textId="3FB6AC68" w:rsidR="365D9676" w:rsidRDefault="365D9676" w:rsidP="365D9676">
            <w:pPr>
              <w:rPr>
                <w:rFonts w:eastAsia="Calibri" w:cs="Calibri"/>
                <w:color w:val="000000"/>
                <w:sz w:val="20"/>
                <w:szCs w:val="20"/>
              </w:rPr>
            </w:pPr>
          </w:p>
        </w:tc>
        <w:tc>
          <w:tcPr>
            <w:tcW w:w="6330" w:type="dxa"/>
            <w:tcBorders>
              <w:top w:val="nil"/>
              <w:left w:val="single" w:sz="6" w:space="0" w:color="auto"/>
              <w:bottom w:val="single" w:sz="6" w:space="0" w:color="auto"/>
              <w:right w:val="single" w:sz="6" w:space="0" w:color="auto"/>
            </w:tcBorders>
            <w:tcMar>
              <w:left w:w="105" w:type="dxa"/>
              <w:right w:w="105" w:type="dxa"/>
            </w:tcMar>
            <w:vAlign w:val="bottom"/>
          </w:tcPr>
          <w:p w14:paraId="17CC1BE3" w14:textId="1E25CF6C" w:rsidR="365D9676" w:rsidRPr="001B18E8" w:rsidRDefault="365D9676" w:rsidP="365D9676">
            <w:pPr>
              <w:rPr>
                <w:rFonts w:eastAsia="Calibri" w:cs="Calibri"/>
                <w:color w:val="000000"/>
                <w:sz w:val="20"/>
                <w:szCs w:val="20"/>
              </w:rPr>
            </w:pPr>
          </w:p>
          <w:p w14:paraId="7213ED86" w14:textId="3D117EB2" w:rsidR="365D9676" w:rsidRPr="001B18E8" w:rsidRDefault="365D9676" w:rsidP="365D9676">
            <w:pPr>
              <w:rPr>
                <w:rFonts w:eastAsia="Calibri" w:cs="Calibri"/>
                <w:color w:val="000000"/>
                <w:sz w:val="20"/>
                <w:szCs w:val="20"/>
              </w:rPr>
            </w:pPr>
            <w:r w:rsidRPr="001B18E8">
              <w:rPr>
                <w:rFonts w:eastAsia="Calibri" w:cs="Calibri"/>
                <w:color w:val="000000"/>
                <w:sz w:val="20"/>
                <w:szCs w:val="20"/>
              </w:rPr>
              <w:t>If there are any examples from your work of surveillance data already being used by other people for taking decisions about actions related to AMR, for example:</w:t>
            </w:r>
          </w:p>
          <w:p w14:paraId="420A2E72" w14:textId="5AD3F10A" w:rsidR="365D9676" w:rsidRPr="001B18E8" w:rsidRDefault="365D9676" w:rsidP="00C6374D">
            <w:pPr>
              <w:pStyle w:val="ListParagraph"/>
              <w:numPr>
                <w:ilvl w:val="0"/>
                <w:numId w:val="19"/>
              </w:numPr>
              <w:rPr>
                <w:rFonts w:eastAsia="Calibri" w:cs="Calibri"/>
                <w:color w:val="000000"/>
                <w:sz w:val="20"/>
                <w:szCs w:val="20"/>
              </w:rPr>
            </w:pPr>
            <w:r w:rsidRPr="001B18E8">
              <w:rPr>
                <w:rFonts w:eastAsia="Calibri" w:cs="Calibri"/>
                <w:color w:val="000000"/>
                <w:sz w:val="20"/>
                <w:szCs w:val="20"/>
              </w:rPr>
              <w:t>Local health professionals in treatment practices or guidelines</w:t>
            </w:r>
          </w:p>
          <w:p w14:paraId="704AA3B0" w14:textId="76458D79" w:rsidR="365D9676" w:rsidRPr="001B18E8" w:rsidRDefault="365D9676" w:rsidP="00C6374D">
            <w:pPr>
              <w:pStyle w:val="ListParagraph"/>
              <w:numPr>
                <w:ilvl w:val="0"/>
                <w:numId w:val="19"/>
              </w:numPr>
              <w:rPr>
                <w:rFonts w:eastAsia="Calibri" w:cs="Calibri"/>
                <w:color w:val="000000"/>
                <w:sz w:val="20"/>
                <w:szCs w:val="20"/>
              </w:rPr>
            </w:pPr>
            <w:r w:rsidRPr="001B18E8">
              <w:rPr>
                <w:rFonts w:eastAsia="Calibri" w:cs="Calibri"/>
                <w:color w:val="000000"/>
                <w:sz w:val="20"/>
                <w:szCs w:val="20"/>
              </w:rPr>
              <w:t>Patients or agricultural producers thinking about the way they use antimicrobials</w:t>
            </w:r>
          </w:p>
          <w:p w14:paraId="5D4E1845" w14:textId="6A854F49" w:rsidR="365D9676" w:rsidRPr="001B18E8" w:rsidRDefault="365D9676" w:rsidP="365D9676">
            <w:pPr>
              <w:rPr>
                <w:rFonts w:eastAsia="Calibri" w:cs="Calibri"/>
                <w:color w:val="000000"/>
                <w:sz w:val="20"/>
                <w:szCs w:val="20"/>
              </w:rPr>
            </w:pPr>
          </w:p>
          <w:p w14:paraId="4DC3A15A" w14:textId="6729F934" w:rsidR="365D9676" w:rsidRPr="001B18E8" w:rsidRDefault="365D9676" w:rsidP="365D9676">
            <w:pPr>
              <w:rPr>
                <w:rFonts w:eastAsia="Calibri" w:cs="Calibri"/>
                <w:color w:val="000000"/>
                <w:sz w:val="20"/>
                <w:szCs w:val="20"/>
              </w:rPr>
            </w:pPr>
            <w:r w:rsidRPr="001B18E8">
              <w:rPr>
                <w:rFonts w:eastAsia="Calibri" w:cs="Calibri"/>
                <w:color w:val="000000"/>
                <w:sz w:val="20"/>
                <w:szCs w:val="20"/>
              </w:rPr>
              <w:t>Please can we send you our Example of Use template for you to complete and return to us? This will help us communicate this success to Fleming Fund.</w:t>
            </w:r>
          </w:p>
        </w:tc>
        <w:tc>
          <w:tcPr>
            <w:tcW w:w="6300" w:type="dxa"/>
            <w:tcBorders>
              <w:top w:val="single" w:sz="6" w:space="0" w:color="auto"/>
              <w:left w:val="single" w:sz="6" w:space="0" w:color="auto"/>
              <w:bottom w:val="single" w:sz="6" w:space="0" w:color="auto"/>
              <w:right w:val="single" w:sz="6" w:space="0" w:color="auto"/>
            </w:tcBorders>
            <w:tcMar>
              <w:left w:w="105" w:type="dxa"/>
              <w:right w:w="105" w:type="dxa"/>
            </w:tcMar>
          </w:tcPr>
          <w:p w14:paraId="2A8CF036" w14:textId="5D0A2F3E" w:rsidR="365D9676" w:rsidRDefault="365D9676" w:rsidP="365D9676">
            <w:pPr>
              <w:rPr>
                <w:rFonts w:eastAsia="Calibri" w:cs="Calibri"/>
                <w:color w:val="D13438"/>
                <w:sz w:val="20"/>
                <w:szCs w:val="20"/>
              </w:rPr>
            </w:pPr>
          </w:p>
        </w:tc>
      </w:tr>
    </w:tbl>
    <w:p w14:paraId="59E6F9EF" w14:textId="6B60869C" w:rsidR="365D9676" w:rsidRDefault="365D9676" w:rsidP="365D9676">
      <w:pPr>
        <w:spacing w:after="160" w:line="259" w:lineRule="auto"/>
        <w:rPr>
          <w:rFonts w:eastAsia="Calibri" w:cs="Calibri"/>
          <w:color w:val="000000"/>
        </w:rPr>
      </w:pPr>
    </w:p>
    <w:p w14:paraId="0CDC15A4" w14:textId="364ECABF" w:rsidR="365D9676" w:rsidRDefault="365D9676" w:rsidP="365D9676"/>
    <w:p w14:paraId="48857C73" w14:textId="709CDD1D" w:rsidR="365D9676" w:rsidRDefault="365D9676" w:rsidP="365D9676">
      <w:pPr>
        <w:pStyle w:val="ItadNormalText"/>
      </w:pPr>
    </w:p>
    <w:p w14:paraId="0A1A713A" w14:textId="27CBA50E" w:rsidR="365D9676" w:rsidRDefault="365D9676">
      <w:r>
        <w:br w:type="page"/>
      </w:r>
    </w:p>
    <w:p w14:paraId="7707130F" w14:textId="6CF8604D" w:rsidR="6001A257" w:rsidRPr="001B18E8" w:rsidRDefault="45B93E81" w:rsidP="0A930DA0">
      <w:pPr>
        <w:pStyle w:val="ItadH3"/>
        <w:keepNext/>
        <w:spacing w:line="259" w:lineRule="auto"/>
        <w:rPr>
          <w:lang w:val="en-GB"/>
        </w:rPr>
      </w:pPr>
      <w:bookmarkStart w:id="464" w:name="_Toc142383248"/>
      <w:r w:rsidRPr="365D9676">
        <w:rPr>
          <w:lang w:val="en-GB"/>
        </w:rPr>
        <w:t>KII Guide for AMRCC</w:t>
      </w:r>
      <w:bookmarkEnd w:id="464"/>
    </w:p>
    <w:p w14:paraId="20231947" w14:textId="6199F717" w:rsidR="20EB7169" w:rsidRDefault="20EB7169" w:rsidP="365D9676">
      <w:pPr>
        <w:widowControl w:val="0"/>
        <w:spacing w:after="160" w:line="259" w:lineRule="auto"/>
        <w:jc w:val="both"/>
        <w:rPr>
          <w:rFonts w:ascii="Calibri Light" w:eastAsia="Calibri Light" w:hAnsi="Calibri Light" w:cs="Calibri Light"/>
          <w:color w:val="2F5496"/>
          <w:sz w:val="26"/>
          <w:szCs w:val="26"/>
        </w:rPr>
      </w:pPr>
      <w:r w:rsidRPr="365D9676">
        <w:rPr>
          <w:rFonts w:ascii="Calibri Light" w:eastAsia="Calibri Light" w:hAnsi="Calibri Light" w:cs="Calibri Light"/>
          <w:color w:val="2F5496"/>
          <w:sz w:val="26"/>
          <w:szCs w:val="26"/>
        </w:rPr>
        <w:t>AMRCC</w:t>
      </w:r>
    </w:p>
    <w:p w14:paraId="363CAE43" w14:textId="1B11E67C" w:rsidR="20EB7169" w:rsidRDefault="20EB7169" w:rsidP="365D9676">
      <w:pPr>
        <w:widowControl w:val="0"/>
        <w:spacing w:after="160" w:line="259" w:lineRule="auto"/>
        <w:jc w:val="both"/>
        <w:rPr>
          <w:rFonts w:eastAsia="Calibri" w:cs="Calibri"/>
          <w:color w:val="000000"/>
        </w:rPr>
      </w:pPr>
      <w:r w:rsidRPr="365D9676">
        <w:rPr>
          <w:rFonts w:eastAsia="Calibri" w:cs="Calibri"/>
          <w:b/>
          <w:bCs/>
          <w:color w:val="000000"/>
        </w:rPr>
        <w:t>KII name:</w:t>
      </w:r>
    </w:p>
    <w:p w14:paraId="231B9979" w14:textId="70DFA1A2" w:rsidR="20EB7169" w:rsidRPr="002B0A41" w:rsidRDefault="20EB7169" w:rsidP="365D9676">
      <w:pPr>
        <w:widowControl w:val="0"/>
        <w:spacing w:after="160" w:line="259" w:lineRule="auto"/>
        <w:jc w:val="both"/>
        <w:rPr>
          <w:rFonts w:eastAsia="Calibri" w:cs="Calibri"/>
          <w:color w:val="000000"/>
        </w:rPr>
      </w:pPr>
      <w:r w:rsidRPr="365D9676">
        <w:rPr>
          <w:rFonts w:eastAsia="Calibri" w:cs="Calibri"/>
          <w:b/>
          <w:bCs/>
          <w:color w:val="000000"/>
        </w:rPr>
        <w:t xml:space="preserve">KII </w:t>
      </w:r>
      <w:r w:rsidRPr="002B0A41">
        <w:rPr>
          <w:rFonts w:eastAsia="Calibri" w:cs="Calibri"/>
          <w:b/>
          <w:bCs/>
          <w:color w:val="000000"/>
        </w:rPr>
        <w:t>date:</w:t>
      </w:r>
    </w:p>
    <w:p w14:paraId="25157670" w14:textId="1935B251" w:rsidR="20EB7169" w:rsidRPr="002B0A41" w:rsidRDefault="20EB7169" w:rsidP="365D9676">
      <w:pPr>
        <w:widowControl w:val="0"/>
        <w:spacing w:after="160" w:line="259" w:lineRule="auto"/>
        <w:jc w:val="both"/>
        <w:rPr>
          <w:rFonts w:eastAsia="Calibri" w:cs="Calibri"/>
          <w:color w:val="000000"/>
        </w:rPr>
      </w:pPr>
      <w:r w:rsidRPr="002B0A41">
        <w:rPr>
          <w:rFonts w:eastAsia="Calibri" w:cs="Calibri"/>
          <w:b/>
          <w:bCs/>
          <w:color w:val="000000"/>
        </w:rPr>
        <w:t>KII interviewer(s):</w:t>
      </w:r>
    </w:p>
    <w:p w14:paraId="56233FEC" w14:textId="7C387688" w:rsidR="20EB7169" w:rsidRPr="002B0A41" w:rsidRDefault="20EB7169" w:rsidP="365D9676">
      <w:pPr>
        <w:spacing w:after="160" w:line="259" w:lineRule="auto"/>
        <w:rPr>
          <w:rFonts w:eastAsia="Calibri" w:cs="Calibri"/>
          <w:color w:val="000000"/>
        </w:rPr>
      </w:pPr>
      <w:r w:rsidRPr="002B0A41">
        <w:rPr>
          <w:rFonts w:eastAsia="Calibri" w:cs="Calibri"/>
          <w:b/>
          <w:bCs/>
          <w:color w:val="000000"/>
        </w:rPr>
        <w:t>Introduction</w:t>
      </w:r>
      <w:r w:rsidRPr="002B0A41">
        <w:rPr>
          <w:rFonts w:eastAsia="Calibri" w:cs="Calibri"/>
          <w:color w:val="000000"/>
        </w:rPr>
        <w:t xml:space="preserve"> – please adapt and summarise according to the stakeholder / her knowledge of the evaluation etc </w:t>
      </w:r>
      <w:r w:rsidRPr="002B0A41">
        <w:rPr>
          <w:rFonts w:ascii="Times New Roman" w:eastAsia="Times New Roman" w:hAnsi="Times New Roman" w:cs="Times New Roman"/>
          <w:color w:val="000000"/>
          <w:sz w:val="24"/>
          <w:szCs w:val="24"/>
        </w:rPr>
        <w:t>–</w:t>
      </w:r>
      <w:r w:rsidRPr="002B0A41">
        <w:rPr>
          <w:rFonts w:eastAsia="Calibri" w:cs="Calibri"/>
          <w:color w:val="000000"/>
        </w:rPr>
        <w:t xml:space="preserve"> aim to get this intro as short as possible.</w:t>
      </w:r>
    </w:p>
    <w:p w14:paraId="73E63C62" w14:textId="66CD8019" w:rsidR="20EB7169" w:rsidRPr="002B0A41" w:rsidRDefault="20EB7169" w:rsidP="365D9676">
      <w:pPr>
        <w:spacing w:line="259" w:lineRule="auto"/>
        <w:rPr>
          <w:rFonts w:eastAsia="Calibri" w:cs="Calibri"/>
          <w:color w:val="000000"/>
        </w:rPr>
      </w:pPr>
      <w:r w:rsidRPr="002B0A41">
        <w:rPr>
          <w:rFonts w:eastAsia="Calibri" w:cs="Calibri"/>
          <w:color w:val="000000"/>
        </w:rPr>
        <w:t xml:space="preserve"> • </w:t>
      </w:r>
      <w:r w:rsidRPr="002B0A41">
        <w:rPr>
          <w:rFonts w:eastAsia="Calibri" w:cs="Calibri"/>
          <w:b/>
          <w:bCs/>
          <w:color w:val="000000"/>
        </w:rPr>
        <w:t>Thank you</w:t>
      </w:r>
      <w:r w:rsidRPr="002B0A41">
        <w:rPr>
          <w:rFonts w:eastAsia="Calibri" w:cs="Calibri"/>
          <w:color w:val="000000"/>
        </w:rPr>
        <w:t xml:space="preserve"> – Thank you the interviewee for having accepted the meeting and for their time today. </w:t>
      </w:r>
    </w:p>
    <w:p w14:paraId="391F9D87" w14:textId="5EA3EDFD" w:rsidR="20EB7169" w:rsidRPr="002B0A41" w:rsidRDefault="20EB7169"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Introductions</w:t>
      </w:r>
      <w:r w:rsidRPr="002B0A41">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53C1A618" w14:textId="29D90FB4" w:rsidR="20EB7169" w:rsidRPr="002B0A41" w:rsidRDefault="20EB7169" w:rsidP="365D9676">
      <w:pPr>
        <w:spacing w:line="259" w:lineRule="auto"/>
        <w:rPr>
          <w:rFonts w:eastAsia="Calibri" w:cs="Calibri"/>
          <w:color w:val="000000"/>
        </w:rPr>
      </w:pPr>
      <w:r w:rsidRPr="002B0A41">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126EE20A" w14:textId="72FEA8FA" w:rsidR="20EB7169" w:rsidRPr="002B0A41" w:rsidRDefault="20EB7169" w:rsidP="365D9676">
      <w:pPr>
        <w:spacing w:line="259" w:lineRule="auto"/>
        <w:rPr>
          <w:rFonts w:eastAsia="Calibri" w:cs="Calibri"/>
          <w:color w:val="000000"/>
        </w:rPr>
      </w:pPr>
      <w:r w:rsidRPr="002B0A41">
        <w:rPr>
          <w:rFonts w:eastAsia="Calibri" w:cs="Calibri"/>
          <w:color w:val="000000"/>
        </w:rPr>
        <w:t xml:space="preserve">[Let others introduce themselves or tell them there will be a chance after you have explained the purpose of the interview] </w:t>
      </w:r>
    </w:p>
    <w:p w14:paraId="463F214E" w14:textId="33C8C2CE" w:rsidR="20EB7169" w:rsidRPr="002B0A41" w:rsidRDefault="20EB7169" w:rsidP="365D9676">
      <w:pPr>
        <w:spacing w:line="259" w:lineRule="auto"/>
        <w:rPr>
          <w:rFonts w:eastAsia="Calibri" w:cs="Calibri"/>
          <w:color w:val="000000"/>
        </w:rPr>
      </w:pPr>
      <w:r w:rsidRPr="002B0A41">
        <w:rPr>
          <w:rFonts w:eastAsia="Calibri" w:cs="Calibri"/>
          <w:color w:val="000000"/>
        </w:rPr>
        <w:t xml:space="preserve">[Acknowledge whether we have already interviewed the stakeholder during CV1/2]  </w:t>
      </w:r>
    </w:p>
    <w:p w14:paraId="3A43A1E9" w14:textId="7894EC12" w:rsidR="20EB7169" w:rsidRPr="002B0A41" w:rsidRDefault="20EB7169" w:rsidP="365D9676">
      <w:pPr>
        <w:spacing w:line="259" w:lineRule="auto"/>
        <w:rPr>
          <w:rFonts w:eastAsia="Calibri" w:cs="Calibri"/>
          <w:color w:val="000000"/>
        </w:rPr>
      </w:pPr>
      <w:r w:rsidRPr="002B0A41">
        <w:rPr>
          <w:rFonts w:eastAsia="Calibri" w:cs="Calibri"/>
          <w:color w:val="000000"/>
        </w:rPr>
        <w:t xml:space="preserve"> </w:t>
      </w:r>
    </w:p>
    <w:p w14:paraId="7CDFEAB1" w14:textId="67CDE055" w:rsidR="20EB7169" w:rsidRPr="002B0A41" w:rsidRDefault="20EB7169"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Purpose</w:t>
      </w:r>
      <w:r w:rsidRPr="002B0A41">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04FC7AD6" w14:textId="5579CAEB" w:rsidR="20EB7169" w:rsidRPr="002B0A41" w:rsidRDefault="20EB7169"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 xml:space="preserve">Focus </w:t>
      </w:r>
      <w:r w:rsidRPr="002B0A41">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45E48870" w14:textId="6805A1FF" w:rsidR="20EB7169" w:rsidRPr="002B0A41" w:rsidRDefault="20EB7169" w:rsidP="00C6374D">
      <w:pPr>
        <w:pStyle w:val="ListParagraph"/>
        <w:numPr>
          <w:ilvl w:val="0"/>
          <w:numId w:val="18"/>
        </w:numPr>
        <w:spacing w:line="259" w:lineRule="auto"/>
        <w:rPr>
          <w:rFonts w:eastAsia="Calibri" w:cs="Calibri"/>
          <w:color w:val="000000"/>
        </w:rPr>
      </w:pPr>
      <w:r w:rsidRPr="002B0A41">
        <w:rPr>
          <w:rFonts w:eastAsia="Calibri" w:cs="Calibri"/>
          <w:color w:val="000000"/>
        </w:rPr>
        <w:t xml:space="preserve">More and better AMR/C/U data produced and shared at country level  </w:t>
      </w:r>
    </w:p>
    <w:p w14:paraId="0B5944A8" w14:textId="7F839757" w:rsidR="20EB7169" w:rsidRPr="002B0A41" w:rsidRDefault="20EB7169" w:rsidP="00C6374D">
      <w:pPr>
        <w:pStyle w:val="ListParagraph"/>
        <w:numPr>
          <w:ilvl w:val="0"/>
          <w:numId w:val="18"/>
        </w:numPr>
        <w:spacing w:line="259" w:lineRule="auto"/>
        <w:rPr>
          <w:rFonts w:eastAsia="Calibri" w:cs="Calibri"/>
          <w:color w:val="000000"/>
        </w:rPr>
      </w:pPr>
      <w:r w:rsidRPr="002B0A41">
        <w:rPr>
          <w:rFonts w:eastAsia="Calibri" w:cs="Calibri"/>
          <w:color w:val="000000"/>
        </w:rPr>
        <w:t xml:space="preserve">More and better AMR/C/U data shared internationally (with GLASS/OIE) </w:t>
      </w:r>
    </w:p>
    <w:p w14:paraId="13F6DD5A" w14:textId="712E2BE3" w:rsidR="20EB7169" w:rsidRPr="002B0A41" w:rsidRDefault="20EB7169" w:rsidP="00C6374D">
      <w:pPr>
        <w:pStyle w:val="ListParagraph"/>
        <w:numPr>
          <w:ilvl w:val="0"/>
          <w:numId w:val="18"/>
        </w:numPr>
        <w:spacing w:line="259" w:lineRule="auto"/>
        <w:rPr>
          <w:rFonts w:eastAsia="Calibri" w:cs="Calibri"/>
          <w:color w:val="000000"/>
        </w:rPr>
      </w:pPr>
      <w:r w:rsidRPr="002B0A41">
        <w:rPr>
          <w:rFonts w:eastAsia="Calibri" w:cs="Calibri"/>
          <w:color w:val="000000"/>
        </w:rPr>
        <w:t xml:space="preserve">Regulatory and policy change that can have an impact in reducing AMR </w:t>
      </w:r>
    </w:p>
    <w:p w14:paraId="57C95982" w14:textId="136D2552" w:rsidR="20EB7169" w:rsidRPr="002B0A41" w:rsidRDefault="20EB7169" w:rsidP="00C6374D">
      <w:pPr>
        <w:pStyle w:val="ListParagraph"/>
        <w:numPr>
          <w:ilvl w:val="0"/>
          <w:numId w:val="18"/>
        </w:numPr>
        <w:spacing w:line="259" w:lineRule="auto"/>
        <w:rPr>
          <w:rFonts w:eastAsia="Calibri" w:cs="Calibri"/>
          <w:color w:val="000000"/>
        </w:rPr>
      </w:pPr>
      <w:r w:rsidRPr="002B0A41">
        <w:rPr>
          <w:rFonts w:eastAsia="Calibri" w:cs="Calibri"/>
          <w:color w:val="000000"/>
        </w:rPr>
        <w:t xml:space="preserve">Changes in practice / attitude towards the use of antimicrobials.  </w:t>
      </w:r>
    </w:p>
    <w:p w14:paraId="553A18B4" w14:textId="3211AA16" w:rsidR="20EB7169" w:rsidRPr="002B0A41" w:rsidRDefault="20EB7169" w:rsidP="365D9676">
      <w:pPr>
        <w:spacing w:line="259" w:lineRule="auto"/>
        <w:rPr>
          <w:rFonts w:eastAsia="Calibri" w:cs="Calibri"/>
          <w:color w:val="000000"/>
        </w:rPr>
      </w:pPr>
      <w:r w:rsidRPr="002B0A41">
        <w:rPr>
          <w:rFonts w:eastAsia="Calibri" w:cs="Calibri"/>
          <w:color w:val="000000"/>
        </w:rPr>
        <w:t xml:space="preserve"> </w:t>
      </w:r>
    </w:p>
    <w:p w14:paraId="780559FD" w14:textId="642113AF" w:rsidR="20EB7169" w:rsidRPr="002B0A41" w:rsidRDefault="20EB7169" w:rsidP="365D9676">
      <w:pPr>
        <w:spacing w:line="259" w:lineRule="auto"/>
        <w:rPr>
          <w:rFonts w:eastAsia="Calibri" w:cs="Calibri"/>
          <w:color w:val="000000"/>
        </w:rPr>
      </w:pPr>
      <w:r w:rsidRPr="002B0A41">
        <w:rPr>
          <w:rFonts w:eastAsia="Calibri" w:cs="Calibri"/>
          <w:color w:val="000000"/>
        </w:rPr>
        <w:t>We have also questions relate to coherence of Fleming Fund efforts with those of other actors in country, sustainability of FF results and Value for Money [adapt the list as appropriate].</w:t>
      </w:r>
    </w:p>
    <w:p w14:paraId="74DE07BA" w14:textId="0ACDFDD2" w:rsidR="20EB7169" w:rsidRPr="002B0A41" w:rsidRDefault="20EB7169" w:rsidP="365D9676">
      <w:pPr>
        <w:spacing w:line="259" w:lineRule="auto"/>
        <w:rPr>
          <w:rFonts w:eastAsia="Calibri" w:cs="Calibri"/>
          <w:color w:val="000000"/>
        </w:rPr>
      </w:pPr>
      <w:r w:rsidRPr="002B0A41">
        <w:rPr>
          <w:rFonts w:eastAsia="Calibri" w:cs="Calibri"/>
          <w:color w:val="000000"/>
        </w:rPr>
        <w:t xml:space="preserve"> </w:t>
      </w:r>
    </w:p>
    <w:p w14:paraId="236F5728" w14:textId="0A5D7EDE" w:rsidR="20EB7169" w:rsidRPr="002B0A41" w:rsidRDefault="20EB7169"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Confidentiality / permission to record</w:t>
      </w:r>
      <w:r w:rsidRPr="002B0A41">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28504FB6" w14:textId="03FCFF71" w:rsidR="20EB7169" w:rsidRPr="002B0A41" w:rsidRDefault="20EB7169" w:rsidP="365D9676">
      <w:pPr>
        <w:spacing w:line="259" w:lineRule="auto"/>
        <w:rPr>
          <w:rFonts w:eastAsia="Calibri" w:cs="Calibri"/>
          <w:color w:val="000000"/>
        </w:rPr>
      </w:pPr>
      <w:r w:rsidRPr="002B0A41">
        <w:rPr>
          <w:rFonts w:eastAsia="Calibri" w:cs="Calibri"/>
          <w:color w:val="000000"/>
        </w:rPr>
        <w:t xml:space="preserve"> </w:t>
      </w:r>
    </w:p>
    <w:p w14:paraId="20895006" w14:textId="36A60EE2" w:rsidR="20EB7169" w:rsidRDefault="20EB7169"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Duration</w:t>
      </w:r>
      <w:r w:rsidRPr="002B0A41">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 know the answer to a question or prefer not to answer – just let me know and I’ll adapt the interview accordingly.</w:t>
      </w:r>
      <w:r w:rsidRPr="365D9676">
        <w:rPr>
          <w:rFonts w:eastAsia="Calibri" w:cs="Calibri"/>
          <w:color w:val="000000"/>
        </w:rPr>
        <w:t xml:space="preserve">   </w:t>
      </w:r>
    </w:p>
    <w:p w14:paraId="5DB8A8FA" w14:textId="24AD2649" w:rsidR="20EB7169" w:rsidRDefault="20EB7169" w:rsidP="365D9676">
      <w:pPr>
        <w:spacing w:line="259" w:lineRule="auto"/>
        <w:rPr>
          <w:rFonts w:ascii="Segoe UI" w:eastAsia="Segoe UI" w:hAnsi="Segoe UI" w:cs="Segoe UI"/>
          <w:color w:val="000000"/>
        </w:rPr>
      </w:pPr>
      <w:r w:rsidRPr="365D9676">
        <w:rPr>
          <w:rFonts w:ascii="Segoe UI" w:eastAsia="Segoe UI" w:hAnsi="Segoe UI" w:cs="Segoe UI"/>
          <w:color w:val="000000"/>
        </w:rPr>
        <w:t xml:space="preserve"> </w:t>
      </w:r>
    </w:p>
    <w:p w14:paraId="166BCC4B" w14:textId="1ABFA493" w:rsidR="20EB7169" w:rsidRDefault="20EB7169" w:rsidP="365D9676">
      <w:pPr>
        <w:spacing w:line="259" w:lineRule="auto"/>
        <w:rPr>
          <w:rFonts w:eastAsia="Calibri" w:cs="Calibri"/>
          <w:color w:val="000000"/>
        </w:rPr>
      </w:pPr>
      <w:r w:rsidRPr="365D9676">
        <w:rPr>
          <w:rFonts w:eastAsia="Calibri" w:cs="Calibri"/>
          <w:color w:val="000000"/>
        </w:rPr>
        <w:t xml:space="preserve">• </w:t>
      </w:r>
      <w:r w:rsidRPr="365D9676">
        <w:rPr>
          <w:rFonts w:eastAsia="Calibri" w:cs="Calibri"/>
          <w:b/>
          <w:bCs/>
          <w:color w:val="000000"/>
        </w:rPr>
        <w:t>Opportunity for questions</w:t>
      </w:r>
      <w:r w:rsidRPr="365D9676">
        <w:rPr>
          <w:rFonts w:eastAsia="Calibri" w:cs="Calibri"/>
          <w:color w:val="000000"/>
        </w:rPr>
        <w:t xml:space="preserve"> – Do you have any questions before we start? Of course you are also welcome to ask questions through the interview if something is not clear.  </w:t>
      </w:r>
    </w:p>
    <w:p w14:paraId="0B578FE5" w14:textId="575A77CA" w:rsidR="365D9676" w:rsidRDefault="365D9676" w:rsidP="365D9676">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50"/>
        <w:gridCol w:w="6270"/>
        <w:gridCol w:w="6270"/>
      </w:tblGrid>
      <w:tr w:rsidR="365D9676" w14:paraId="6261E670" w14:textId="77777777" w:rsidTr="0033094D">
        <w:trPr>
          <w:trHeight w:val="510"/>
          <w:tblHeader/>
        </w:trPr>
        <w:tc>
          <w:tcPr>
            <w:tcW w:w="105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0DFA8A63" w14:textId="4CA6CF0C" w:rsidR="365D9676" w:rsidRDefault="365D9676" w:rsidP="365D9676">
            <w:pPr>
              <w:rPr>
                <w:rFonts w:eastAsia="Calibri" w:cs="Calibri"/>
                <w:color w:val="FFFFFF" w:themeColor="background1"/>
                <w:sz w:val="20"/>
                <w:szCs w:val="20"/>
              </w:rPr>
            </w:pPr>
            <w:r w:rsidRPr="365D9676">
              <w:rPr>
                <w:rFonts w:eastAsia="Calibri" w:cs="Calibri"/>
                <w:color w:val="FFFFFF" w:themeColor="background1"/>
                <w:sz w:val="20"/>
                <w:szCs w:val="20"/>
              </w:rPr>
              <w:t>EQ</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1BB36986" w14:textId="58399EB3" w:rsidR="365D9676" w:rsidRDefault="365D9676" w:rsidP="365D9676">
            <w:pPr>
              <w:rPr>
                <w:rFonts w:eastAsia="Calibri" w:cs="Calibri"/>
                <w:color w:val="FFFFFF" w:themeColor="background1"/>
                <w:sz w:val="20"/>
                <w:szCs w:val="20"/>
              </w:rPr>
            </w:pPr>
            <w:r w:rsidRPr="365D9676">
              <w:rPr>
                <w:rFonts w:eastAsia="Calibri" w:cs="Calibri"/>
                <w:color w:val="FFFFFF" w:themeColor="background1"/>
                <w:sz w:val="20"/>
                <w:szCs w:val="20"/>
              </w:rPr>
              <w:t xml:space="preserve">List of questions  </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515CB9EE" w14:textId="5AC2A602" w:rsidR="365D9676" w:rsidRDefault="365D9676" w:rsidP="0033094D">
            <w:pPr>
              <w:rPr>
                <w:rFonts w:eastAsia="Calibri" w:cs="Calibri"/>
                <w:color w:val="FFFFFF" w:themeColor="background1"/>
                <w:sz w:val="20"/>
                <w:szCs w:val="20"/>
              </w:rPr>
            </w:pPr>
            <w:r w:rsidRPr="365D9676">
              <w:rPr>
                <w:rFonts w:eastAsia="Calibri" w:cs="Calibri"/>
                <w:color w:val="FFFFFF" w:themeColor="background1"/>
                <w:sz w:val="20"/>
                <w:szCs w:val="20"/>
              </w:rPr>
              <w:t>Response</w:t>
            </w:r>
          </w:p>
        </w:tc>
      </w:tr>
      <w:tr w:rsidR="365D9676" w14:paraId="355A6801" w14:textId="77777777" w:rsidTr="365D9676">
        <w:trPr>
          <w:trHeight w:val="12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E0C8203" w14:textId="64BECC13"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A9EFD05" w14:textId="0E15F247"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have the </w:t>
            </w:r>
            <w:r w:rsidRPr="365D9676">
              <w:rPr>
                <w:rFonts w:eastAsia="Calibri" w:cs="Calibri"/>
                <w:b/>
                <w:bCs/>
                <w:color w:val="000000"/>
                <w:sz w:val="20"/>
                <w:szCs w:val="20"/>
              </w:rPr>
              <w:t>Fleming Fund's investments</w:t>
            </w:r>
            <w:r w:rsidRPr="365D9676">
              <w:rPr>
                <w:rFonts w:eastAsia="Calibri" w:cs="Calibri"/>
                <w:color w:val="000000"/>
                <w:sz w:val="20"/>
                <w:szCs w:val="20"/>
              </w:rPr>
              <w:t xml:space="preserve"> been </w:t>
            </w:r>
            <w:r w:rsidRPr="365D9676">
              <w:rPr>
                <w:rFonts w:eastAsia="Calibri" w:cs="Calibri"/>
                <w:b/>
                <w:bCs/>
                <w:color w:val="000000"/>
                <w:sz w:val="20"/>
                <w:szCs w:val="20"/>
              </w:rPr>
              <w:t>aligned</w:t>
            </w:r>
            <w:r w:rsidRPr="365D9676">
              <w:rPr>
                <w:rFonts w:eastAsia="Calibri" w:cs="Calibri"/>
                <w:color w:val="000000"/>
                <w:sz w:val="20"/>
                <w:szCs w:val="20"/>
              </w:rPr>
              <w:t xml:space="preserve"> with the NAP and other government policies/plans?</w:t>
            </w:r>
            <w:r>
              <w:br/>
            </w:r>
            <w:r w:rsidRPr="365D9676">
              <w:rPr>
                <w:rFonts w:eastAsia="Calibri" w:cs="Calibri"/>
                <w:color w:val="000000"/>
                <w:sz w:val="20"/>
                <w:szCs w:val="20"/>
              </w:rPr>
              <w:t xml:space="preserve">Probe: Are there any </w:t>
            </w:r>
            <w:r w:rsidRPr="365D9676">
              <w:rPr>
                <w:color w:val="000000"/>
                <w:sz w:val="20"/>
                <w:szCs w:val="20"/>
                <w:u w:val="single"/>
              </w:rPr>
              <w:t>duplications</w:t>
            </w:r>
            <w:r w:rsidRPr="365D9676">
              <w:rPr>
                <w:rFonts w:eastAsia="Calibri" w:cs="Calibri"/>
                <w:color w:val="000000"/>
                <w:sz w:val="20"/>
                <w:szCs w:val="20"/>
              </w:rPr>
              <w:t xml:space="preserve"> between Fleming Fund's investments and government initiatives?</w:t>
            </w:r>
            <w:r>
              <w:br/>
            </w:r>
            <w:r w:rsidRPr="365D9676">
              <w:rPr>
                <w:rFonts w:eastAsia="Calibri" w:cs="Calibri"/>
                <w:color w:val="000000"/>
                <w:sz w:val="20"/>
                <w:szCs w:val="20"/>
              </w:rPr>
              <w:t xml:space="preserve">Probe: Through which </w:t>
            </w:r>
            <w:r w:rsidRPr="365D9676">
              <w:rPr>
                <w:color w:val="000000"/>
                <w:sz w:val="20"/>
                <w:szCs w:val="20"/>
                <w:u w:val="single"/>
              </w:rPr>
              <w:t>mechanisms</w:t>
            </w:r>
            <w:r w:rsidRPr="365D9676">
              <w:rPr>
                <w:rFonts w:eastAsia="Calibri" w:cs="Calibri"/>
                <w:color w:val="000000"/>
                <w:sz w:val="20"/>
                <w:szCs w:val="20"/>
              </w:rPr>
              <w:t xml:space="preserve"> was alignment ensured?</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16E20F4D" w14:textId="13FD60AD" w:rsidR="365D9676" w:rsidRDefault="365D9676" w:rsidP="365D9676">
            <w:pPr>
              <w:rPr>
                <w:rFonts w:eastAsia="Calibri" w:cs="Calibri"/>
                <w:color w:val="000000"/>
                <w:sz w:val="20"/>
                <w:szCs w:val="20"/>
              </w:rPr>
            </w:pPr>
          </w:p>
        </w:tc>
      </w:tr>
      <w:tr w:rsidR="365D9676" w14:paraId="46F36B24" w14:textId="77777777" w:rsidTr="365D9676">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0A555DF" w14:textId="60E2A5C6"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5F93A63" w14:textId="491ACCEC"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have the </w:t>
            </w:r>
            <w:r w:rsidRPr="365D9676">
              <w:rPr>
                <w:rFonts w:eastAsia="Calibri" w:cs="Calibri"/>
                <w:b/>
                <w:bCs/>
                <w:color w:val="000000"/>
                <w:sz w:val="20"/>
                <w:szCs w:val="20"/>
              </w:rPr>
              <w:t xml:space="preserve">Fleming Fund's investments </w:t>
            </w:r>
            <w:r w:rsidRPr="365D9676">
              <w:rPr>
                <w:rFonts w:eastAsia="Calibri" w:cs="Calibri"/>
                <w:color w:val="000000"/>
                <w:sz w:val="20"/>
                <w:szCs w:val="20"/>
              </w:rPr>
              <w:t xml:space="preserve">been </w:t>
            </w:r>
            <w:r w:rsidRPr="365D9676">
              <w:rPr>
                <w:rFonts w:eastAsia="Calibri" w:cs="Calibri"/>
                <w:b/>
                <w:bCs/>
                <w:color w:val="000000"/>
                <w:sz w:val="20"/>
                <w:szCs w:val="20"/>
              </w:rPr>
              <w:t>aligned with interventions</w:t>
            </w:r>
            <w:r w:rsidRPr="365D9676">
              <w:rPr>
                <w:rFonts w:eastAsia="Calibri" w:cs="Calibri"/>
                <w:color w:val="000000"/>
                <w:sz w:val="20"/>
                <w:szCs w:val="20"/>
              </w:rPr>
              <w:t xml:space="preserve"> funded </w:t>
            </w:r>
            <w:r w:rsidRPr="365D9676">
              <w:rPr>
                <w:rFonts w:eastAsia="Calibri" w:cs="Calibri"/>
                <w:b/>
                <w:bCs/>
                <w:color w:val="000000"/>
                <w:sz w:val="20"/>
                <w:szCs w:val="20"/>
              </w:rPr>
              <w:t>by other DPs</w:t>
            </w:r>
            <w:r w:rsidRPr="365D9676">
              <w:rPr>
                <w:rFonts w:eastAsia="Calibri" w:cs="Calibri"/>
                <w:color w:val="000000"/>
                <w:sz w:val="20"/>
                <w:szCs w:val="20"/>
              </w:rPr>
              <w:t>?</w:t>
            </w:r>
            <w:r>
              <w:br/>
            </w:r>
            <w:r w:rsidRPr="365D9676">
              <w:rPr>
                <w:rFonts w:eastAsia="Calibri" w:cs="Calibri"/>
                <w:color w:val="000000"/>
                <w:sz w:val="20"/>
                <w:szCs w:val="20"/>
              </w:rPr>
              <w:t xml:space="preserve">Probe: Are there any </w:t>
            </w:r>
            <w:r w:rsidRPr="365D9676">
              <w:rPr>
                <w:color w:val="000000"/>
                <w:sz w:val="20"/>
                <w:szCs w:val="20"/>
                <w:u w:val="single"/>
              </w:rPr>
              <w:t>duplications</w:t>
            </w:r>
            <w:r w:rsidRPr="365D9676">
              <w:rPr>
                <w:rFonts w:eastAsia="Calibri" w:cs="Calibri"/>
                <w:color w:val="000000"/>
                <w:sz w:val="20"/>
                <w:szCs w:val="20"/>
              </w:rPr>
              <w:t xml:space="preserve"> between Fleming Fund's investments and DP initiatives?</w:t>
            </w:r>
            <w:r>
              <w:br/>
            </w:r>
            <w:r w:rsidRPr="365D9676">
              <w:rPr>
                <w:rFonts w:eastAsia="Calibri" w:cs="Calibri"/>
                <w:color w:val="000000"/>
                <w:sz w:val="20"/>
                <w:szCs w:val="20"/>
              </w:rPr>
              <w:t xml:space="preserve">Probe: Through which </w:t>
            </w:r>
            <w:r w:rsidRPr="365D9676">
              <w:rPr>
                <w:color w:val="000000"/>
                <w:sz w:val="20"/>
                <w:szCs w:val="20"/>
                <w:u w:val="single"/>
              </w:rPr>
              <w:t>mechanisms</w:t>
            </w:r>
            <w:r w:rsidRPr="365D9676">
              <w:rPr>
                <w:rFonts w:eastAsia="Calibri" w:cs="Calibri"/>
                <w:color w:val="000000"/>
                <w:sz w:val="20"/>
                <w:szCs w:val="20"/>
              </w:rPr>
              <w:t xml:space="preserve"> did the Fleming Fund coordinate with other DPs involved in AMR / lab strengthening in country?</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593C1BED" w14:textId="7ED69C4E" w:rsidR="365D9676" w:rsidRDefault="365D9676" w:rsidP="365D9676">
            <w:pPr>
              <w:rPr>
                <w:rFonts w:eastAsia="Calibri" w:cs="Calibri"/>
                <w:color w:val="000000"/>
                <w:sz w:val="20"/>
                <w:szCs w:val="20"/>
              </w:rPr>
            </w:pPr>
          </w:p>
        </w:tc>
      </w:tr>
      <w:tr w:rsidR="365D9676" w14:paraId="02E363E3" w14:textId="77777777" w:rsidTr="0033094D">
        <w:trPr>
          <w:trHeight w:val="1928"/>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2E175D9" w14:textId="1CC1E10A" w:rsidR="365D9676" w:rsidRDefault="365D9676" w:rsidP="365D9676">
            <w:pPr>
              <w:rPr>
                <w:rFonts w:eastAsia="Calibri" w:cs="Calibri"/>
                <w:color w:val="000000"/>
                <w:sz w:val="20"/>
                <w:szCs w:val="20"/>
              </w:rPr>
            </w:pPr>
            <w:r w:rsidRPr="365D9676">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5ABF1E2D" w14:textId="5F7B99D8" w:rsidR="365D9676" w:rsidRDefault="365D9676" w:rsidP="365D9676">
            <w:pPr>
              <w:rPr>
                <w:rFonts w:eastAsia="Calibri" w:cs="Calibri"/>
                <w:color w:val="000000"/>
                <w:sz w:val="20"/>
                <w:szCs w:val="20"/>
              </w:rPr>
            </w:pPr>
            <w:r w:rsidRPr="365D9676">
              <w:rPr>
                <w:rFonts w:eastAsia="Calibri" w:cs="Calibri"/>
                <w:color w:val="000000"/>
                <w:sz w:val="20"/>
                <w:szCs w:val="20"/>
              </w:rPr>
              <w:t xml:space="preserve">Do you think that surveillance data is already being used to inform strong national actions on AMR (policy implementation, regulatory change or change to national clinical guidelines?)  If yes, please give examples  PROBE: How did Fleming Fund activities contribute to these actions? If no, do you think that the main use so far has been for general awareness-raising in professional and policy networks? PROBE: Do you think that we are still at an early stage of the cycle of AMR data analysis for policy?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702F553" w14:textId="50769154" w:rsidR="365D9676" w:rsidRDefault="365D9676" w:rsidP="365D9676">
            <w:pPr>
              <w:rPr>
                <w:rFonts w:eastAsia="Calibri" w:cs="Calibri"/>
                <w:color w:val="000000"/>
                <w:sz w:val="20"/>
                <w:szCs w:val="20"/>
              </w:rPr>
            </w:pPr>
          </w:p>
        </w:tc>
      </w:tr>
      <w:tr w:rsidR="365D9676" w14:paraId="48358318" w14:textId="77777777" w:rsidTr="0033094D">
        <w:trPr>
          <w:trHeight w:val="1814"/>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719A6F3" w14:textId="4F7A9E6C" w:rsidR="365D9676" w:rsidRDefault="365D9676" w:rsidP="365D9676">
            <w:pPr>
              <w:rPr>
                <w:rFonts w:eastAsia="Calibri" w:cs="Calibri"/>
                <w:color w:val="000000"/>
                <w:sz w:val="20"/>
                <w:szCs w:val="20"/>
              </w:rPr>
            </w:pPr>
            <w:r w:rsidRPr="365D9676">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3195760" w14:textId="0F89FB0A" w:rsidR="365D9676" w:rsidRDefault="365D9676" w:rsidP="0033094D">
            <w:pPr>
              <w:rPr>
                <w:rFonts w:eastAsia="Calibri" w:cs="Calibri"/>
                <w:color w:val="000000"/>
                <w:sz w:val="20"/>
                <w:szCs w:val="20"/>
              </w:rPr>
            </w:pPr>
            <w:r w:rsidRPr="365D9676">
              <w:rPr>
                <w:rFonts w:eastAsia="Calibri" w:cs="Calibri"/>
                <w:color w:val="000000"/>
                <w:sz w:val="20"/>
                <w:szCs w:val="20"/>
              </w:rPr>
              <w:t>Thinking about the kinds of strong national actions that might be relevant to AMR (for example controls on certain uses of antimicrobials or initiatives to change professional practices), can you think of examples from the past (prior to FF) and/or not motivated by surveillance data?  PROBE: (Refer to any examples suggested by MSA analysis or other information gathered)  If yes, please give details. PROBE: what is different now / what motivates action if not surveillance data?</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2705B1CC" w14:textId="4E4CFC7C" w:rsidR="365D9676" w:rsidRDefault="365D9676" w:rsidP="365D9676">
            <w:pPr>
              <w:rPr>
                <w:rFonts w:eastAsia="Calibri" w:cs="Calibri"/>
                <w:color w:val="000000"/>
                <w:sz w:val="20"/>
                <w:szCs w:val="20"/>
              </w:rPr>
            </w:pPr>
          </w:p>
        </w:tc>
      </w:tr>
      <w:tr w:rsidR="365D9676" w14:paraId="260005DA" w14:textId="77777777" w:rsidTr="365D9676">
        <w:trPr>
          <w:trHeight w:val="261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2289BA8" w14:textId="03A0F18D"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393F87BB" w14:textId="3BB4A3D6" w:rsidR="365D9676" w:rsidRDefault="365D9676" w:rsidP="365D9676">
            <w:pPr>
              <w:rPr>
                <w:rFonts w:eastAsia="Calibri" w:cs="Calibri"/>
                <w:color w:val="000000"/>
                <w:sz w:val="20"/>
                <w:szCs w:val="20"/>
              </w:rPr>
            </w:pPr>
            <w:r w:rsidRPr="365D9676">
              <w:rPr>
                <w:rFonts w:eastAsia="Calibri" w:cs="Calibri"/>
                <w:color w:val="000000"/>
                <w:sz w:val="20"/>
                <w:szCs w:val="20"/>
              </w:rPr>
              <w:t>What factors do you think are most important for national policymakers when considering whether AMR is a very severe and urgent problem? PROBE: (Refer to MSA on Indicators/Problem stream, test analysis)</w:t>
            </w:r>
            <w:r>
              <w:br/>
            </w:r>
            <w:r w:rsidRPr="365D9676">
              <w:rPr>
                <w:rFonts w:eastAsia="Calibri" w:cs="Calibri"/>
                <w:color w:val="000000"/>
                <w:sz w:val="20"/>
                <w:szCs w:val="20"/>
              </w:rPr>
              <w:t xml:space="preserve">§ (if need more information on MSA Load) How does AMR compare to other health policy problems? </w:t>
            </w:r>
            <w:r>
              <w:br/>
            </w:r>
            <w:r w:rsidRPr="365D9676">
              <w:rPr>
                <w:rFonts w:eastAsia="Calibri" w:cs="Calibri"/>
                <w:color w:val="000000"/>
                <w:sz w:val="20"/>
                <w:szCs w:val="20"/>
              </w:rPr>
              <w:t xml:space="preserve">§ (if need more information on MSA Feedback / TrACSS suggest links to other plans) Have public policy activities to address other problems started to suggest that AMR is important? </w:t>
            </w:r>
            <w:r>
              <w:br/>
            </w:r>
            <w:r w:rsidRPr="365D9676">
              <w:rPr>
                <w:rFonts w:eastAsia="Calibri" w:cs="Calibri"/>
                <w:color w:val="000000"/>
                <w:sz w:val="20"/>
                <w:szCs w:val="20"/>
              </w:rPr>
              <w:t xml:space="preserve">§ (need more information on MSA Focusing) What has or might focus policymakers’ attention on AMR?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2390659" w14:textId="3728CCE4" w:rsidR="365D9676" w:rsidRDefault="365D9676" w:rsidP="365D9676">
            <w:pPr>
              <w:rPr>
                <w:rFonts w:eastAsia="Calibri" w:cs="Calibri"/>
                <w:color w:val="000000"/>
                <w:sz w:val="20"/>
                <w:szCs w:val="20"/>
              </w:rPr>
            </w:pPr>
          </w:p>
        </w:tc>
      </w:tr>
      <w:tr w:rsidR="365D9676" w14:paraId="48C80C4E" w14:textId="77777777" w:rsidTr="365D9676">
        <w:trPr>
          <w:trHeight w:val="124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1EA82577" w14:textId="4EDEEAE0"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8F78ECF" w14:textId="6D7718C9" w:rsidR="365D9676" w:rsidRDefault="365D9676" w:rsidP="365D9676">
            <w:pPr>
              <w:rPr>
                <w:rFonts w:eastAsia="Calibri" w:cs="Calibri"/>
                <w:color w:val="000000"/>
                <w:sz w:val="20"/>
                <w:szCs w:val="20"/>
              </w:rPr>
            </w:pPr>
            <w:r w:rsidRPr="365D9676">
              <w:rPr>
                <w:rFonts w:eastAsia="Calibri" w:cs="Calibri"/>
                <w:color w:val="000000"/>
                <w:sz w:val="20"/>
                <w:szCs w:val="20"/>
              </w:rPr>
              <w:t>Has Covid-19 been a distraction, slowing down progress with the national AMR agenda?  PROBE: Has AMRCC met regularly since 2020, including at political as well as technical levels? Has it started to take significant decisions?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62DD1BBC" w14:textId="680D9AB1" w:rsidR="365D9676" w:rsidRDefault="365D9676" w:rsidP="365D9676">
            <w:pPr>
              <w:rPr>
                <w:rFonts w:eastAsia="Calibri" w:cs="Calibri"/>
                <w:color w:val="000000"/>
                <w:sz w:val="20"/>
                <w:szCs w:val="20"/>
              </w:rPr>
            </w:pPr>
          </w:p>
        </w:tc>
      </w:tr>
      <w:tr w:rsidR="365D9676" w14:paraId="76F73A30" w14:textId="77777777" w:rsidTr="0033094D">
        <w:trPr>
          <w:trHeight w:val="153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68FA6E4" w14:textId="24D27DC2"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9192418" w14:textId="380E4831" w:rsidR="365D9676" w:rsidRDefault="365D9676" w:rsidP="365D9676">
            <w:pPr>
              <w:rPr>
                <w:rFonts w:eastAsia="Calibri" w:cs="Calibri"/>
                <w:color w:val="000000"/>
                <w:sz w:val="20"/>
                <w:szCs w:val="20"/>
              </w:rPr>
            </w:pPr>
            <w:r w:rsidRPr="365D9676">
              <w:rPr>
                <w:rFonts w:eastAsia="Calibri" w:cs="Calibri"/>
                <w:color w:val="000000"/>
                <w:sz w:val="20"/>
                <w:szCs w:val="20"/>
              </w:rPr>
              <w:t>Have NAP plans continued to develop strongly since 2020? (OR, if NAP expires in 2020-22, is there a process underway for its renewal; do you expect any delay in extending the NAP?)  PROBE: What factors explain the current situation in relation to the NAP?  (if need more information to complete NAP tool, apart from on budgeting) How exactly is the NAP moving from a plan to real action and change?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9B7D510" w14:textId="3F6C3521" w:rsidR="365D9676" w:rsidRDefault="365D9676" w:rsidP="365D9676">
            <w:pPr>
              <w:rPr>
                <w:rFonts w:eastAsia="Calibri" w:cs="Calibri"/>
                <w:color w:val="000000"/>
                <w:sz w:val="20"/>
                <w:szCs w:val="20"/>
              </w:rPr>
            </w:pPr>
          </w:p>
        </w:tc>
      </w:tr>
      <w:tr w:rsidR="365D9676" w14:paraId="71CEC8A0" w14:textId="77777777" w:rsidTr="0033094D">
        <w:trPr>
          <w:trHeight w:val="136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77C9F76" w14:textId="5839C2BE"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B0F074A" w14:textId="2FBDD098" w:rsidR="365D9676" w:rsidRDefault="365D9676" w:rsidP="365D9676">
            <w:pPr>
              <w:rPr>
                <w:rFonts w:eastAsia="Calibri" w:cs="Calibri"/>
                <w:color w:val="000000"/>
                <w:sz w:val="20"/>
                <w:szCs w:val="20"/>
              </w:rPr>
            </w:pPr>
            <w:r w:rsidRPr="365D9676">
              <w:rPr>
                <w:rFonts w:eastAsia="Calibri" w:cs="Calibri"/>
                <w:color w:val="000000"/>
                <w:sz w:val="20"/>
                <w:szCs w:val="20"/>
              </w:rPr>
              <w:t>Do you think that it is likely that there will be significant on-budget domestic funding for AMR initiatives in the foreseeable future?  If yes, please give reasons (have the reasons for prior budget decisions  changed?) If no, will funding from international supporters be sufficient?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38ACD73" w14:textId="23A4880C" w:rsidR="365D9676" w:rsidRDefault="365D9676" w:rsidP="365D9676">
            <w:pPr>
              <w:rPr>
                <w:rFonts w:eastAsia="Calibri" w:cs="Calibri"/>
                <w:color w:val="000000"/>
                <w:sz w:val="20"/>
                <w:szCs w:val="20"/>
              </w:rPr>
            </w:pPr>
          </w:p>
        </w:tc>
      </w:tr>
      <w:tr w:rsidR="365D9676" w14:paraId="62B466CB" w14:textId="77777777" w:rsidTr="365D9676">
        <w:trPr>
          <w:trHeight w:val="189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9B51F13" w14:textId="5DF7FD13" w:rsidR="365D9676" w:rsidRDefault="365D9676" w:rsidP="365D9676">
            <w:pPr>
              <w:rPr>
                <w:rFonts w:eastAsia="Calibri" w:cs="Calibri"/>
                <w:color w:val="000000"/>
                <w:sz w:val="20"/>
                <w:szCs w:val="20"/>
              </w:rPr>
            </w:pPr>
            <w:r w:rsidRPr="365D9676">
              <w:rPr>
                <w:rFonts w:eastAsia="Calibri" w:cs="Calibri"/>
                <w:color w:val="000000"/>
                <w:sz w:val="20"/>
                <w:szCs w:val="20"/>
              </w:rPr>
              <w:t>POLICY 4.2</w:t>
            </w:r>
            <w:r w:rsidRPr="001B18E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3494967" w14:textId="3A5275B8" w:rsidR="365D9676" w:rsidRDefault="365D9676" w:rsidP="365D9676">
            <w:pPr>
              <w:rPr>
                <w:rFonts w:eastAsia="Calibri" w:cs="Calibri"/>
                <w:color w:val="000000"/>
                <w:sz w:val="20"/>
                <w:szCs w:val="20"/>
              </w:rPr>
            </w:pPr>
            <w:r w:rsidRPr="365D9676">
              <w:rPr>
                <w:rFonts w:eastAsia="Calibri" w:cs="Calibri"/>
                <w:color w:val="000000"/>
                <w:sz w:val="20"/>
                <w:szCs w:val="20"/>
              </w:rPr>
              <w:t>Does AMRCC (or other national body in charge of the country AMR strategy) r</w:t>
            </w:r>
            <w:r w:rsidRPr="365D9676">
              <w:rPr>
                <w:rFonts w:eastAsia="Calibri" w:cs="Calibri"/>
                <w:b/>
                <w:bCs/>
                <w:color w:val="000000"/>
                <w:sz w:val="20"/>
                <w:szCs w:val="20"/>
              </w:rPr>
              <w:t>eceive AMR data reports generated by surveillance sites at least once a year</w:t>
            </w:r>
            <w:r w:rsidRPr="365D9676">
              <w:rPr>
                <w:rFonts w:eastAsia="Calibri" w:cs="Calibri"/>
                <w:color w:val="000000"/>
                <w:sz w:val="20"/>
                <w:szCs w:val="20"/>
              </w:rPr>
              <w:t>? Is that an improvement compared to 2018 (i.e. Prior to Fleming Fund activities starting)? PROBE if yes: which organisation(s) assembles and submits these reports? What form do they take, what are they called (descriptive summary or analytical)? Is there good sector representation and national coverage? If yes, do you think that the reports are sufficient to amend national AMR strategy and enable effective AMR decision-making? If no, why not?</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4C8C912" w14:textId="71480B03" w:rsidR="365D9676" w:rsidRDefault="365D9676" w:rsidP="365D9676">
            <w:pPr>
              <w:rPr>
                <w:rFonts w:eastAsia="Calibri" w:cs="Calibri"/>
                <w:color w:val="000000"/>
                <w:sz w:val="20"/>
                <w:szCs w:val="20"/>
              </w:rPr>
            </w:pPr>
          </w:p>
        </w:tc>
      </w:tr>
      <w:tr w:rsidR="365D9676" w14:paraId="25A8A16E" w14:textId="77777777" w:rsidTr="365D9676">
        <w:trPr>
          <w:trHeight w:val="130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DFABEA4" w14:textId="06A42583" w:rsidR="365D9676" w:rsidRDefault="365D9676" w:rsidP="365D9676">
            <w:pPr>
              <w:rPr>
                <w:rFonts w:eastAsia="Calibri" w:cs="Calibri"/>
                <w:color w:val="000000"/>
                <w:sz w:val="20"/>
                <w:szCs w:val="20"/>
              </w:rPr>
            </w:pPr>
            <w:r w:rsidRPr="365D9676">
              <w:rPr>
                <w:rFonts w:eastAsia="Calibri" w:cs="Calibri"/>
                <w:color w:val="000000"/>
                <w:sz w:val="20"/>
                <w:szCs w:val="20"/>
              </w:rPr>
              <w:t>EQ4</w:t>
            </w:r>
            <w:r w:rsidRPr="001B18E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30FECA99" w14:textId="58250487" w:rsidR="365D9676" w:rsidRPr="001B18E8" w:rsidRDefault="365D9676" w:rsidP="365D9676">
            <w:pPr>
              <w:rPr>
                <w:rFonts w:eastAsia="Calibri" w:cs="Calibri"/>
                <w:color w:val="000000"/>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w:t>
            </w:r>
            <w:r w:rsidRPr="001B18E8">
              <w:rPr>
                <w:rFonts w:eastAsia="Calibri" w:cs="Calibri"/>
                <w:sz w:val="20"/>
                <w:szCs w:val="20"/>
              </w:rPr>
              <w:t xml:space="preserve">, </w:t>
            </w:r>
            <w:r w:rsidRPr="001B18E8">
              <w:rPr>
                <w:rFonts w:eastAsia="Calibri" w:cs="Calibri"/>
                <w:b/>
                <w:bCs/>
                <w:sz w:val="20"/>
                <w:szCs w:val="20"/>
              </w:rPr>
              <w:t>in order of importance</w:t>
            </w:r>
            <w:r w:rsidRPr="001B18E8">
              <w:rPr>
                <w:rFonts w:eastAsia="Calibri" w:cs="Calibri"/>
                <w:sz w:val="20"/>
                <w:szCs w:val="20"/>
              </w:rPr>
              <w:t>, behind such change? Probes: more and better data available from the surveillance system (in which case refer to QUANT &amp; QUAL contribution stories), data sharing processes and systems, resourcing, incentives, formal barriers, cooperation, governance, leadership demand, analytical entrepreneurs / champions, other..</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3FA26D15" w14:textId="7839B4CD" w:rsidR="365D9676" w:rsidRDefault="365D9676" w:rsidP="365D9676">
            <w:pPr>
              <w:rPr>
                <w:rFonts w:eastAsia="Calibri" w:cs="Calibri"/>
                <w:color w:val="000000"/>
                <w:sz w:val="20"/>
                <w:szCs w:val="20"/>
              </w:rPr>
            </w:pPr>
          </w:p>
        </w:tc>
      </w:tr>
      <w:tr w:rsidR="365D9676" w14:paraId="49A1891D" w14:textId="77777777" w:rsidTr="365D9676">
        <w:trPr>
          <w:trHeight w:val="196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1D8B9410" w14:textId="564F4415" w:rsidR="365D9676" w:rsidRDefault="365D9676" w:rsidP="365D9676">
            <w:pPr>
              <w:rPr>
                <w:rFonts w:eastAsia="Calibri" w:cs="Calibri"/>
                <w:color w:val="000000"/>
                <w:sz w:val="20"/>
                <w:szCs w:val="20"/>
              </w:rPr>
            </w:pPr>
            <w:r w:rsidRPr="365D9676">
              <w:rPr>
                <w:rFonts w:eastAsia="Calibri" w:cs="Calibri"/>
                <w:color w:val="000000"/>
                <w:sz w:val="20"/>
                <w:szCs w:val="20"/>
              </w:rPr>
              <w:t>EQ4</w:t>
            </w:r>
            <w:r w:rsidRPr="001B18E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12F0F2D9" w14:textId="0C3D1C38" w:rsidR="365D9676" w:rsidRDefault="365D9676" w:rsidP="365D9676">
            <w:pPr>
              <w:rPr>
                <w:rFonts w:eastAsia="Calibri" w:cs="Calibri"/>
                <w:color w:val="D13438"/>
                <w:sz w:val="20"/>
                <w:szCs w:val="20"/>
              </w:rPr>
            </w:pPr>
            <w:r w:rsidRPr="365D9676">
              <w:rPr>
                <w:rFonts w:eastAsia="Calibri" w:cs="Calibri"/>
                <w:color w:val="000000"/>
                <w:sz w:val="20"/>
                <w:szCs w:val="20"/>
              </w:rPr>
              <w:t>What was the Fleming Fund (</w:t>
            </w:r>
            <w:r w:rsidRPr="365D9676">
              <w:rPr>
                <w:rFonts w:eastAsia="Calibri" w:cs="Calibri"/>
                <w:b/>
                <w:bCs/>
                <w:color w:val="000000"/>
                <w:sz w:val="20"/>
                <w:szCs w:val="20"/>
              </w:rPr>
              <w:t>CG/RG/Fellows</w:t>
            </w:r>
            <w:r w:rsidRPr="365D9676">
              <w:rPr>
                <w:rFonts w:eastAsia="Calibri" w:cs="Calibri"/>
                <w:color w:val="000000"/>
                <w:sz w:val="20"/>
                <w:szCs w:val="20"/>
              </w:rPr>
              <w:t xml:space="preserve">) </w:t>
            </w:r>
            <w:r w:rsidRPr="365D9676">
              <w:rPr>
                <w:rFonts w:eastAsia="Calibri" w:cs="Calibri"/>
                <w:b/>
                <w:bCs/>
                <w:color w:val="000000"/>
                <w:sz w:val="20"/>
                <w:szCs w:val="20"/>
              </w:rPr>
              <w:t>contribution to those drivers</w:t>
            </w:r>
            <w:r w:rsidRPr="365D9676">
              <w:rPr>
                <w:rFonts w:eastAsia="Calibri" w:cs="Calibri"/>
                <w:color w:val="000000"/>
                <w:sz w:val="20"/>
                <w:szCs w:val="20"/>
              </w:rPr>
              <w:t>?</w:t>
            </w:r>
            <w:r>
              <w:br/>
            </w:r>
            <w:r w:rsidRPr="365D9676">
              <w:rPr>
                <w:rFonts w:eastAsia="Calibri" w:cs="Calibri"/>
                <w:color w:val="000000"/>
                <w:sz w:val="20"/>
                <w:szCs w:val="20"/>
              </w:rPr>
              <w:t>How vital was that it compared to the contribution of:</w:t>
            </w:r>
          </w:p>
          <w:p w14:paraId="6DCC84C3" w14:textId="4421C70E" w:rsidR="365D9676" w:rsidRDefault="365D9676" w:rsidP="00C6374D">
            <w:pPr>
              <w:pStyle w:val="ListParagraph"/>
              <w:numPr>
                <w:ilvl w:val="0"/>
                <w:numId w:val="17"/>
              </w:numPr>
              <w:rPr>
                <w:rFonts w:eastAsia="Calibri" w:cs="Calibri"/>
                <w:color w:val="D13438"/>
                <w:sz w:val="20"/>
                <w:szCs w:val="20"/>
              </w:rPr>
            </w:pPr>
            <w:r>
              <w:br/>
            </w:r>
            <w:r w:rsidRPr="365D9676">
              <w:rPr>
                <w:rFonts w:eastAsia="Calibri" w:cs="Calibri"/>
                <w:color w:val="000000"/>
                <w:sz w:val="20"/>
                <w:szCs w:val="20"/>
              </w:rPr>
              <w:t>Global Projects (name any active in country)</w:t>
            </w:r>
          </w:p>
          <w:p w14:paraId="0BE3ACD9" w14:textId="1154D6B7" w:rsidR="365D9676" w:rsidRDefault="365D9676" w:rsidP="00C6374D">
            <w:pPr>
              <w:pStyle w:val="ListParagraph"/>
              <w:numPr>
                <w:ilvl w:val="0"/>
                <w:numId w:val="17"/>
              </w:numPr>
              <w:rPr>
                <w:rFonts w:eastAsia="Calibri" w:cs="Calibri"/>
                <w:color w:val="D13438"/>
                <w:sz w:val="20"/>
                <w:szCs w:val="20"/>
              </w:rPr>
            </w:pPr>
            <w:r>
              <w:br/>
            </w:r>
            <w:r w:rsidRPr="365D9676">
              <w:rPr>
                <w:rFonts w:eastAsia="Calibri" w:cs="Calibri"/>
                <w:color w:val="000000"/>
                <w:sz w:val="20"/>
                <w:szCs w:val="20"/>
              </w:rPr>
              <w:t>Other influencing factors (could be government activities,</w:t>
            </w:r>
          </w:p>
          <w:p w14:paraId="20C2533C" w14:textId="006763D1" w:rsidR="365D9676" w:rsidRDefault="365D9676" w:rsidP="00C6374D">
            <w:pPr>
              <w:pStyle w:val="ListParagraph"/>
              <w:numPr>
                <w:ilvl w:val="0"/>
                <w:numId w:val="17"/>
              </w:numPr>
              <w:rPr>
                <w:rFonts w:eastAsia="Calibri" w:cs="Calibri"/>
                <w:color w:val="D13438"/>
                <w:sz w:val="20"/>
                <w:szCs w:val="20"/>
              </w:rPr>
            </w:pPr>
            <w:r w:rsidRPr="365D9676">
              <w:rPr>
                <w:rFonts w:eastAsia="Calibri" w:cs="Calibri"/>
                <w:strike/>
                <w:color w:val="D13438"/>
                <w:sz w:val="20"/>
                <w:szCs w:val="20"/>
              </w:rPr>
              <w:t xml:space="preserve"> </w:t>
            </w:r>
            <w:r w:rsidRPr="365D9676">
              <w:rPr>
                <w:rFonts w:eastAsia="Calibri" w:cs="Calibri"/>
                <w:color w:val="000000"/>
                <w:sz w:val="20"/>
                <w:szCs w:val="20"/>
              </w:rPr>
              <w:t xml:space="preserve">interventions by other DPs or </w:t>
            </w:r>
          </w:p>
          <w:p w14:paraId="7BB4E396" w14:textId="0D3FF724" w:rsidR="365D9676" w:rsidRDefault="365D9676" w:rsidP="00C6374D">
            <w:pPr>
              <w:pStyle w:val="ListParagraph"/>
              <w:numPr>
                <w:ilvl w:val="0"/>
                <w:numId w:val="17"/>
              </w:numPr>
              <w:rPr>
                <w:rFonts w:eastAsia="Calibri" w:cs="Calibri"/>
                <w:color w:val="D13438"/>
                <w:sz w:val="20"/>
                <w:szCs w:val="20"/>
              </w:rPr>
            </w:pPr>
            <w:r w:rsidRPr="365D9676">
              <w:rPr>
                <w:rFonts w:eastAsia="Calibri" w:cs="Calibri"/>
                <w:color w:val="000000"/>
                <w:sz w:val="20"/>
                <w:szCs w:val="20"/>
              </w:rPr>
              <w:t>exogenous factors such as COVID-19)?</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5653F5B9" w14:textId="080055D4" w:rsidR="365D9676" w:rsidRDefault="365D9676" w:rsidP="365D9676">
            <w:pPr>
              <w:rPr>
                <w:rFonts w:eastAsia="Calibri" w:cs="Calibri"/>
                <w:color w:val="000000"/>
                <w:sz w:val="20"/>
                <w:szCs w:val="20"/>
              </w:rPr>
            </w:pPr>
          </w:p>
        </w:tc>
      </w:tr>
      <w:tr w:rsidR="365D9676" w14:paraId="59CD5D6B" w14:textId="77777777" w:rsidTr="365D9676">
        <w:trPr>
          <w:trHeight w:val="42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8EE56A5" w14:textId="2D80B7AF" w:rsidR="365D9676" w:rsidRDefault="365D9676" w:rsidP="365D9676">
            <w:pPr>
              <w:rPr>
                <w:rFonts w:eastAsia="Calibri" w:cs="Calibri"/>
                <w:color w:val="000000"/>
                <w:sz w:val="20"/>
                <w:szCs w:val="20"/>
              </w:rPr>
            </w:pPr>
            <w:r w:rsidRPr="365D9676">
              <w:rPr>
                <w:rFonts w:eastAsia="Calibri" w:cs="Calibri"/>
                <w:color w:val="000000"/>
                <w:sz w:val="20"/>
                <w:szCs w:val="20"/>
              </w:rPr>
              <w:t>EQ4</w:t>
            </w:r>
            <w:r w:rsidRPr="001B18E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564B142B" w14:textId="2B69C067" w:rsidR="365D9676" w:rsidRDefault="365D9676" w:rsidP="365D9676">
            <w:pPr>
              <w:rPr>
                <w:rFonts w:eastAsia="Calibri" w:cs="Calibri"/>
                <w:color w:val="000000"/>
                <w:sz w:val="20"/>
                <w:szCs w:val="20"/>
              </w:rPr>
            </w:pPr>
            <w:r w:rsidRPr="365D9676">
              <w:rPr>
                <w:rFonts w:eastAsia="Calibri" w:cs="Calibri"/>
                <w:color w:val="000000"/>
                <w:sz w:val="20"/>
                <w:szCs w:val="20"/>
              </w:rPr>
              <w:t xml:space="preserve">If there was </w:t>
            </w:r>
            <w:r w:rsidRPr="365D9676">
              <w:rPr>
                <w:rFonts w:eastAsia="Calibri" w:cs="Calibri"/>
                <w:b/>
                <w:bCs/>
                <w:color w:val="000000"/>
                <w:sz w:val="20"/>
                <w:szCs w:val="20"/>
              </w:rPr>
              <w:t xml:space="preserve">no or negative change </w:t>
            </w:r>
            <w:r w:rsidRPr="365D9676">
              <w:rPr>
                <w:rFonts w:eastAsia="Calibri" w:cs="Calibri"/>
                <w:color w:val="000000"/>
                <w:sz w:val="20"/>
                <w:szCs w:val="20"/>
              </w:rPr>
              <w:t xml:space="preserve">in this area, </w:t>
            </w:r>
            <w:r w:rsidRPr="365D9676">
              <w:rPr>
                <w:rFonts w:eastAsia="Calibri" w:cs="Calibri"/>
                <w:b/>
                <w:bCs/>
                <w:color w:val="000000"/>
                <w:sz w:val="20"/>
                <w:szCs w:val="20"/>
              </w:rPr>
              <w:t>why</w:t>
            </w:r>
            <w:r w:rsidRPr="365D9676">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2AC9687E" w14:textId="2E7FADBC" w:rsidR="365D9676" w:rsidRDefault="365D9676" w:rsidP="365D9676">
            <w:pPr>
              <w:rPr>
                <w:rFonts w:eastAsia="Calibri" w:cs="Calibri"/>
                <w:color w:val="000000"/>
                <w:sz w:val="20"/>
                <w:szCs w:val="20"/>
              </w:rPr>
            </w:pPr>
          </w:p>
        </w:tc>
      </w:tr>
      <w:tr w:rsidR="365D9676" w14:paraId="7523A1AA" w14:textId="77777777" w:rsidTr="365D9676">
        <w:trPr>
          <w:trHeight w:val="93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45F1A3F" w14:textId="1963B65A"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7727BC2" w14:textId="4AA222A2" w:rsidR="365D9676" w:rsidRDefault="365D9676" w:rsidP="365D9676">
            <w:pPr>
              <w:rPr>
                <w:rFonts w:eastAsia="Calibri" w:cs="Calibri"/>
                <w:color w:val="D13438"/>
                <w:sz w:val="20"/>
                <w:szCs w:val="20"/>
              </w:rPr>
            </w:pPr>
          </w:p>
          <w:p w14:paraId="03F2A0A1" w14:textId="35B371C4" w:rsidR="365D9676" w:rsidRPr="001B18E8" w:rsidRDefault="365D9676" w:rsidP="365D9676">
            <w:pPr>
              <w:rPr>
                <w:rFonts w:eastAsia="Calibri" w:cs="Calibri"/>
                <w:sz w:val="20"/>
                <w:szCs w:val="20"/>
              </w:rPr>
            </w:pPr>
            <w:r w:rsidRPr="001B18E8">
              <w:rPr>
                <w:rFonts w:eastAsia="Calibri" w:cs="Calibri"/>
                <w:sz w:val="20"/>
                <w:szCs w:val="20"/>
              </w:rPr>
              <w:t>Can you think of any other examples of relevant surveillance data being used to amend national strategy and/or inform decision-making’, apart from through data reports shared with AMRCC?</w:t>
            </w:r>
          </w:p>
          <w:p w14:paraId="2C2CDA48" w14:textId="3AD809CD" w:rsidR="365D9676" w:rsidRPr="001B18E8" w:rsidRDefault="365D9676" w:rsidP="365D9676">
            <w:pPr>
              <w:rPr>
                <w:rFonts w:eastAsia="Calibri" w:cs="Calibri"/>
                <w:sz w:val="20"/>
                <w:szCs w:val="20"/>
              </w:rPr>
            </w:pPr>
            <w:r w:rsidRPr="001B18E8">
              <w:rPr>
                <w:rFonts w:eastAsia="Calibri" w:cs="Calibri"/>
                <w:sz w:val="20"/>
                <w:szCs w:val="20"/>
              </w:rPr>
              <w:t xml:space="preserve"> </w:t>
            </w:r>
          </w:p>
          <w:p w14:paraId="42FC2A14" w14:textId="1EF41AA5" w:rsidR="365D9676" w:rsidRDefault="365D9676" w:rsidP="0033094D">
            <w:pPr>
              <w:rPr>
                <w:rFonts w:eastAsia="Calibri" w:cs="Calibri"/>
                <w:color w:val="000000"/>
                <w:sz w:val="20"/>
                <w:szCs w:val="20"/>
              </w:rPr>
            </w:pPr>
            <w:r w:rsidRPr="001B18E8">
              <w:rPr>
                <w:rFonts w:eastAsia="Calibri" w:cs="Calibri"/>
                <w:sz w:val="20"/>
                <w:szCs w:val="20"/>
              </w:rPr>
              <w:t>If yes: Details? What data, in what form? Who are the decision-makers? One-off or routine? Current status?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F17DB35" w14:textId="6DAA741F" w:rsidR="365D9676" w:rsidRDefault="365D9676" w:rsidP="365D9676">
            <w:pPr>
              <w:rPr>
                <w:rFonts w:eastAsia="Calibri" w:cs="Calibri"/>
                <w:color w:val="000000"/>
                <w:sz w:val="20"/>
                <w:szCs w:val="20"/>
              </w:rPr>
            </w:pPr>
          </w:p>
        </w:tc>
      </w:tr>
      <w:tr w:rsidR="365D9676" w14:paraId="7AF85650" w14:textId="77777777" w:rsidTr="365D9676">
        <w:trPr>
          <w:trHeight w:val="156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9A40783" w14:textId="506F4BE1" w:rsidR="365D9676" w:rsidRDefault="365D9676" w:rsidP="365D9676">
            <w:pPr>
              <w:rPr>
                <w:rFonts w:eastAsia="Calibri" w:cs="Calibri"/>
                <w:color w:val="000000"/>
                <w:sz w:val="20"/>
                <w:szCs w:val="20"/>
              </w:rPr>
            </w:pPr>
            <w:r w:rsidRPr="365D9676">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5D6F1157" w14:textId="37D2B8CF" w:rsidR="365D9676" w:rsidRDefault="365D9676" w:rsidP="365D9676">
            <w:pPr>
              <w:rPr>
                <w:rFonts w:eastAsia="Calibri" w:cs="Calibri"/>
                <w:color w:val="000000"/>
                <w:sz w:val="20"/>
                <w:szCs w:val="20"/>
              </w:rPr>
            </w:pPr>
            <w:r w:rsidRPr="365D9676">
              <w:rPr>
                <w:rFonts w:eastAsia="Calibri" w:cs="Calibri"/>
                <w:color w:val="000000"/>
                <w:sz w:val="20"/>
                <w:szCs w:val="20"/>
              </w:rPr>
              <w:t>We understand the AMRCC is expected to facilitate sharing and joint analysis of AMR data across different sectors. What is the nature of cross-sector collaborations being convened by the AMRCC? Which are the key institutions involved from different ministries? What is the nature of their involvement? In addition to facilitating AMR data use, what have been some of the other achievements of the AMRCC in your country?</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534ADA3" w14:textId="20FBF383" w:rsidR="365D9676" w:rsidRDefault="365D9676" w:rsidP="365D9676">
            <w:pPr>
              <w:rPr>
                <w:rFonts w:eastAsia="Calibri" w:cs="Calibri"/>
                <w:color w:val="000000"/>
                <w:sz w:val="20"/>
                <w:szCs w:val="20"/>
              </w:rPr>
            </w:pPr>
          </w:p>
        </w:tc>
      </w:tr>
      <w:tr w:rsidR="365D9676" w14:paraId="4092339F" w14:textId="77777777" w:rsidTr="365D9676">
        <w:trPr>
          <w:trHeight w:val="234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947F861" w14:textId="755335FE" w:rsidR="365D9676" w:rsidRDefault="365D9676" w:rsidP="365D9676">
            <w:pPr>
              <w:rPr>
                <w:rFonts w:eastAsia="Calibri" w:cs="Calibri"/>
                <w:color w:val="000000"/>
                <w:sz w:val="20"/>
                <w:szCs w:val="20"/>
              </w:rPr>
            </w:pPr>
            <w:r w:rsidRPr="365D9676">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163E2556" w14:textId="675BE730" w:rsidR="365D9676" w:rsidRDefault="365D9676" w:rsidP="365D9676">
            <w:pPr>
              <w:rPr>
                <w:rFonts w:eastAsia="Calibri" w:cs="Calibri"/>
                <w:color w:val="000000"/>
                <w:sz w:val="20"/>
                <w:szCs w:val="20"/>
              </w:rPr>
            </w:pPr>
            <w:r w:rsidRPr="365D9676">
              <w:rPr>
                <w:rFonts w:eastAsia="Calibri" w:cs="Calibri"/>
                <w:color w:val="000000"/>
                <w:sz w:val="20"/>
                <w:szCs w:val="20"/>
              </w:rPr>
              <w:t>What are some of the other multisector coordination mechanisms in place to make decisions around AMR at the national and subnational levels? Are there any bodies or platforms or events where people from different sector meet outside the government? (e.g. seminars, AMR awareness week, etc.)  Can you recall some examples of collaborations between different sectors in the past, even if these do not specifically revolve around AMR?  Probe joint research activities; Training programmes, fellowships, including Fleming Fellows; Joint outbreak response activities, such as Avian Influenza, Ebola, etc.</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6434281" w14:textId="77C2BCAC" w:rsidR="365D9676" w:rsidRDefault="365D9676" w:rsidP="365D9676">
            <w:pPr>
              <w:rPr>
                <w:rFonts w:eastAsia="Calibri" w:cs="Calibri"/>
                <w:color w:val="000000"/>
                <w:sz w:val="20"/>
                <w:szCs w:val="20"/>
              </w:rPr>
            </w:pPr>
          </w:p>
        </w:tc>
      </w:tr>
      <w:tr w:rsidR="365D9676" w14:paraId="2BE1C023" w14:textId="77777777" w:rsidTr="365D9676">
        <w:trPr>
          <w:trHeight w:val="259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D6D5E1D" w14:textId="43904D3D" w:rsidR="365D9676" w:rsidRDefault="365D9676" w:rsidP="365D9676">
            <w:pPr>
              <w:rPr>
                <w:rFonts w:eastAsia="Calibri" w:cs="Calibri"/>
                <w:color w:val="000000"/>
                <w:sz w:val="20"/>
                <w:szCs w:val="20"/>
              </w:rPr>
            </w:pPr>
            <w:r w:rsidRPr="365D9676">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68E96980" w14:textId="18D7420C" w:rsidR="365D9676" w:rsidRDefault="365D9676" w:rsidP="365D9676">
            <w:pPr>
              <w:rPr>
                <w:rFonts w:eastAsia="Calibri" w:cs="Calibri"/>
                <w:color w:val="000000"/>
                <w:sz w:val="20"/>
                <w:szCs w:val="20"/>
              </w:rPr>
            </w:pPr>
            <w:r w:rsidRPr="365D9676">
              <w:rPr>
                <w:rFonts w:eastAsia="Calibri" w:cs="Calibri"/>
                <w:color w:val="000000"/>
                <w:sz w:val="20"/>
                <w:szCs w:val="20"/>
              </w:rPr>
              <w:t xml:space="preserve">Where are these (formal and informal) coordination mechanisms located? Are these hosted by a ministry, government agency, academic body, think tank? (Probe for each of the collaborating mechanisms identified above, if possible): </w:t>
            </w:r>
            <w:r>
              <w:br/>
            </w:r>
            <w:r w:rsidRPr="365D9676">
              <w:rPr>
                <w:rFonts w:eastAsia="Calibri" w:cs="Calibri"/>
                <w:color w:val="000000"/>
                <w:sz w:val="20"/>
                <w:szCs w:val="20"/>
              </w:rPr>
              <w:t>o Who chairs / leads the discussion?</w:t>
            </w:r>
            <w:r>
              <w:br/>
            </w:r>
            <w:r w:rsidRPr="365D9676">
              <w:rPr>
                <w:rFonts w:eastAsia="Calibri" w:cs="Calibri"/>
                <w:color w:val="000000"/>
                <w:sz w:val="20"/>
                <w:szCs w:val="20"/>
              </w:rPr>
              <w:t xml:space="preserve">o Who sets the agenda? </w:t>
            </w:r>
            <w:r>
              <w:br/>
            </w:r>
            <w:r w:rsidRPr="365D9676">
              <w:rPr>
                <w:rFonts w:eastAsia="Calibri" w:cs="Calibri"/>
                <w:color w:val="000000"/>
                <w:sz w:val="20"/>
                <w:szCs w:val="20"/>
              </w:rPr>
              <w:t>o What are its major functions/mandates?</w:t>
            </w:r>
            <w:r>
              <w:br/>
            </w:r>
            <w:r w:rsidRPr="365D9676">
              <w:rPr>
                <w:rFonts w:eastAsia="Calibri" w:cs="Calibri"/>
                <w:color w:val="000000"/>
                <w:sz w:val="20"/>
                <w:szCs w:val="20"/>
              </w:rPr>
              <w:t>o How is it funded?</w:t>
            </w:r>
            <w:r>
              <w:br/>
            </w:r>
            <w:r w:rsidRPr="365D9676">
              <w:rPr>
                <w:rFonts w:eastAsia="Calibri" w:cs="Calibri"/>
                <w:color w:val="000000"/>
                <w:sz w:val="20"/>
                <w:szCs w:val="20"/>
              </w:rPr>
              <w:t>o Can you describe any achievements / outcomes from these interactions?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4861B072" w14:textId="56E422EC" w:rsidR="365D9676" w:rsidRDefault="365D9676" w:rsidP="365D9676">
            <w:pPr>
              <w:rPr>
                <w:rFonts w:eastAsia="Calibri" w:cs="Calibri"/>
                <w:color w:val="000000"/>
                <w:sz w:val="20"/>
                <w:szCs w:val="20"/>
              </w:rPr>
            </w:pPr>
          </w:p>
        </w:tc>
      </w:tr>
      <w:tr w:rsidR="365D9676" w14:paraId="1203C6F3" w14:textId="77777777" w:rsidTr="365D9676">
        <w:trPr>
          <w:trHeight w:val="261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E8C2537" w14:textId="3E666F9E" w:rsidR="365D9676" w:rsidRDefault="365D9676" w:rsidP="365D9676">
            <w:pPr>
              <w:rPr>
                <w:rFonts w:eastAsia="Calibri" w:cs="Calibri"/>
                <w:color w:val="000000"/>
                <w:sz w:val="20"/>
                <w:szCs w:val="20"/>
              </w:rPr>
            </w:pPr>
            <w:r w:rsidRPr="365D9676">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5FBCF40B" w14:textId="47E1812E" w:rsidR="365D9676" w:rsidRDefault="365D9676" w:rsidP="365D9676">
            <w:pPr>
              <w:rPr>
                <w:rFonts w:eastAsia="Calibri" w:cs="Calibri"/>
                <w:color w:val="000000"/>
                <w:sz w:val="20"/>
                <w:szCs w:val="20"/>
              </w:rPr>
            </w:pPr>
            <w:r w:rsidRPr="365D9676">
              <w:rPr>
                <w:rFonts w:eastAsia="Calibri" w:cs="Calibri"/>
                <w:color w:val="000000"/>
                <w:sz w:val="20"/>
                <w:szCs w:val="20"/>
              </w:rPr>
              <w:t>Would you say that the national AMR effort includes a clear and effective strategy for informing specific national actions using surveillance data?o eg as opposed to international reporting or local clinical practice</w:t>
            </w:r>
            <w:r>
              <w:br/>
            </w:r>
            <w:r w:rsidRPr="365D9676">
              <w:rPr>
                <w:rFonts w:eastAsia="Calibri" w:cs="Calibri"/>
                <w:color w:val="000000"/>
                <w:sz w:val="20"/>
                <w:szCs w:val="20"/>
              </w:rPr>
              <w:t>o If yes, how? What policy initiatives? What regulatory initiatives? What approach has been chosen to address practices and attitudes? (What approaches have been discarded?)</w:t>
            </w:r>
            <w:r>
              <w:br/>
            </w:r>
            <w:r w:rsidRPr="365D9676">
              <w:rPr>
                <w:rFonts w:eastAsia="Calibri" w:cs="Calibri"/>
                <w:color w:val="000000"/>
                <w:sz w:val="20"/>
                <w:szCs w:val="20"/>
              </w:rPr>
              <w:t>o PROBE: are sectoral distinctions important, for example policy for gradual development of guidelines in human health but focused push to regulate certain antimicrobial uses in animal health?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E9FE4B6" w14:textId="675C63D3" w:rsidR="365D9676" w:rsidRDefault="365D9676" w:rsidP="365D9676">
            <w:pPr>
              <w:rPr>
                <w:rFonts w:eastAsia="Calibri" w:cs="Calibri"/>
                <w:color w:val="000000"/>
                <w:sz w:val="20"/>
                <w:szCs w:val="20"/>
              </w:rPr>
            </w:pPr>
          </w:p>
        </w:tc>
      </w:tr>
      <w:tr w:rsidR="365D9676" w14:paraId="51D693D0" w14:textId="77777777" w:rsidTr="365D9676">
        <w:trPr>
          <w:trHeight w:val="286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AE8ECBA" w14:textId="6DCDC73F" w:rsidR="365D9676" w:rsidRDefault="365D9676" w:rsidP="365D9676">
            <w:pPr>
              <w:rPr>
                <w:rFonts w:eastAsia="Calibri" w:cs="Calibri"/>
                <w:color w:val="000000"/>
                <w:sz w:val="20"/>
                <w:szCs w:val="20"/>
              </w:rPr>
            </w:pPr>
            <w:r w:rsidRPr="365D9676">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5BDE200" w14:textId="500E36A1" w:rsidR="365D9676" w:rsidRDefault="365D9676" w:rsidP="365D9676">
            <w:pPr>
              <w:rPr>
                <w:rFonts w:eastAsia="Calibri" w:cs="Calibri"/>
                <w:color w:val="000000"/>
                <w:sz w:val="20"/>
                <w:szCs w:val="20"/>
              </w:rPr>
            </w:pPr>
            <w:r w:rsidRPr="365D9676">
              <w:rPr>
                <w:rFonts w:eastAsia="Calibri" w:cs="Calibri"/>
                <w:color w:val="000000"/>
                <w:sz w:val="20"/>
                <w:szCs w:val="20"/>
              </w:rPr>
              <w:t xml:space="preserve">What do you think should be the future priorities for the Fleming Fund when supporting national AMR actions using surveillance data? PROBES: </w:t>
            </w:r>
            <w:r>
              <w:br/>
            </w:r>
            <w:r w:rsidRPr="365D9676">
              <w:rPr>
                <w:rFonts w:eastAsia="Calibri" w:cs="Calibri"/>
                <w:color w:val="000000"/>
                <w:sz w:val="20"/>
                <w:szCs w:val="20"/>
              </w:rPr>
              <w:t>o Do you think that it will be more effective to foster local change (‘bottom up’) or to concentrate on motivating national initiatives (‘top down’)</w:t>
            </w:r>
            <w:r>
              <w:br/>
            </w:r>
            <w:r w:rsidRPr="365D9676">
              <w:rPr>
                <w:rFonts w:eastAsia="Calibri" w:cs="Calibri"/>
                <w:color w:val="000000"/>
                <w:sz w:val="20"/>
                <w:szCs w:val="20"/>
              </w:rPr>
              <w:t>o Will the data show a need for action (‘push’) or will intended actions show what data is needed (‘pull’)?</w:t>
            </w:r>
            <w:r>
              <w:br/>
            </w:r>
            <w:r w:rsidRPr="365D9676">
              <w:rPr>
                <w:rFonts w:eastAsia="Calibri" w:cs="Calibri"/>
                <w:color w:val="000000"/>
                <w:sz w:val="20"/>
                <w:szCs w:val="20"/>
              </w:rPr>
              <w:t>o What is more important, Infection Prevention &amp; Control (IPC) or Antimicrobial Use controls (AMU)?</w:t>
            </w:r>
            <w:r>
              <w:br/>
            </w:r>
            <w:r w:rsidRPr="365D9676">
              <w:rPr>
                <w:rFonts w:eastAsia="Calibri" w:cs="Calibri"/>
                <w:color w:val="000000"/>
                <w:sz w:val="20"/>
                <w:szCs w:val="20"/>
              </w:rPr>
              <w:t>o Why? What approaches would be required to address these priorities?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A878EA3" w14:textId="619130EB" w:rsidR="365D9676" w:rsidRDefault="365D9676" w:rsidP="365D9676">
            <w:pPr>
              <w:rPr>
                <w:rFonts w:eastAsia="Calibri" w:cs="Calibri"/>
                <w:color w:val="000000"/>
                <w:sz w:val="20"/>
                <w:szCs w:val="20"/>
              </w:rPr>
            </w:pPr>
          </w:p>
        </w:tc>
      </w:tr>
    </w:tbl>
    <w:p w14:paraId="07D0F6EA" w14:textId="09954260" w:rsidR="365D9676" w:rsidRDefault="365D9676" w:rsidP="365D9676">
      <w:pPr>
        <w:spacing w:after="160" w:line="259" w:lineRule="auto"/>
        <w:rPr>
          <w:rFonts w:eastAsia="Calibri" w:cs="Calibri"/>
          <w:color w:val="000000"/>
        </w:rPr>
      </w:pPr>
    </w:p>
    <w:p w14:paraId="581C3153" w14:textId="5211246D" w:rsidR="365D9676" w:rsidRDefault="365D9676" w:rsidP="365D9676">
      <w:pPr>
        <w:spacing w:after="160" w:line="259" w:lineRule="auto"/>
        <w:rPr>
          <w:rFonts w:eastAsia="Calibri" w:cs="Calibri"/>
          <w:color w:val="D13438"/>
        </w:rPr>
      </w:pPr>
    </w:p>
    <w:p w14:paraId="3C8017AC" w14:textId="47C65A40" w:rsidR="365D9676" w:rsidRDefault="365D9676" w:rsidP="365D9676">
      <w:pPr>
        <w:pStyle w:val="ItadNormalText"/>
        <w:keepNext/>
      </w:pPr>
    </w:p>
    <w:p w14:paraId="5DDEFBCD" w14:textId="74B7EBC0" w:rsidR="365D9676" w:rsidRDefault="365D9676">
      <w:r>
        <w:br w:type="page"/>
      </w:r>
    </w:p>
    <w:p w14:paraId="63E833EB" w14:textId="1E9B76CF" w:rsidR="6001A257" w:rsidRDefault="45B93E81" w:rsidP="0A930DA0">
      <w:pPr>
        <w:pStyle w:val="ItadH3"/>
        <w:keepNext/>
        <w:spacing w:line="259" w:lineRule="auto"/>
      </w:pPr>
      <w:bookmarkStart w:id="465" w:name="_Toc142383249"/>
      <w:r w:rsidRPr="365D9676">
        <w:rPr>
          <w:lang w:val="en-GB"/>
        </w:rPr>
        <w:t>KII Guide for CG teams</w:t>
      </w:r>
      <w:bookmarkEnd w:id="465"/>
    </w:p>
    <w:p w14:paraId="4377A650" w14:textId="578FBC69" w:rsidR="339B0273" w:rsidRDefault="339B0273" w:rsidP="365D9676">
      <w:pPr>
        <w:widowControl w:val="0"/>
        <w:spacing w:after="160" w:line="259" w:lineRule="auto"/>
        <w:jc w:val="both"/>
        <w:rPr>
          <w:rFonts w:ascii="Calibri Light" w:eastAsia="Calibri Light" w:hAnsi="Calibri Light" w:cs="Calibri Light"/>
          <w:color w:val="2F5496"/>
          <w:sz w:val="26"/>
          <w:szCs w:val="26"/>
        </w:rPr>
      </w:pPr>
      <w:r w:rsidRPr="365D9676">
        <w:rPr>
          <w:rFonts w:ascii="Calibri Light" w:eastAsia="Calibri Light" w:hAnsi="Calibri Light" w:cs="Calibri Light"/>
          <w:color w:val="2F5496"/>
          <w:sz w:val="26"/>
          <w:szCs w:val="26"/>
        </w:rPr>
        <w:t>CG teams</w:t>
      </w:r>
    </w:p>
    <w:p w14:paraId="2F13E072" w14:textId="4949AB96" w:rsidR="339B0273" w:rsidRDefault="339B0273" w:rsidP="365D9676">
      <w:pPr>
        <w:widowControl w:val="0"/>
        <w:spacing w:after="160" w:line="259" w:lineRule="auto"/>
        <w:jc w:val="both"/>
        <w:rPr>
          <w:rFonts w:eastAsia="Calibri" w:cs="Calibri"/>
          <w:color w:val="000000"/>
        </w:rPr>
      </w:pPr>
      <w:r w:rsidRPr="365D9676">
        <w:rPr>
          <w:rFonts w:eastAsia="Calibri" w:cs="Calibri"/>
          <w:b/>
          <w:bCs/>
          <w:color w:val="000000"/>
        </w:rPr>
        <w:t>KII name:</w:t>
      </w:r>
    </w:p>
    <w:p w14:paraId="1F774800" w14:textId="09439FFC" w:rsidR="339B0273" w:rsidRDefault="339B0273" w:rsidP="365D9676">
      <w:pPr>
        <w:widowControl w:val="0"/>
        <w:spacing w:after="160" w:line="259" w:lineRule="auto"/>
        <w:jc w:val="both"/>
        <w:rPr>
          <w:rFonts w:eastAsia="Calibri" w:cs="Calibri"/>
          <w:color w:val="000000"/>
        </w:rPr>
      </w:pPr>
      <w:r w:rsidRPr="365D9676">
        <w:rPr>
          <w:rFonts w:eastAsia="Calibri" w:cs="Calibri"/>
          <w:b/>
          <w:bCs/>
          <w:color w:val="000000"/>
        </w:rPr>
        <w:t>KII date:</w:t>
      </w:r>
    </w:p>
    <w:p w14:paraId="33355638" w14:textId="32E762B4" w:rsidR="339B0273" w:rsidRPr="002B0A41" w:rsidRDefault="339B0273" w:rsidP="365D9676">
      <w:pPr>
        <w:widowControl w:val="0"/>
        <w:spacing w:after="160" w:line="259" w:lineRule="auto"/>
        <w:jc w:val="both"/>
        <w:rPr>
          <w:rFonts w:eastAsia="Calibri" w:cs="Calibri"/>
          <w:color w:val="000000"/>
        </w:rPr>
      </w:pPr>
      <w:r w:rsidRPr="002B0A41">
        <w:rPr>
          <w:rFonts w:eastAsia="Calibri" w:cs="Calibri"/>
          <w:b/>
          <w:bCs/>
          <w:color w:val="000000"/>
        </w:rPr>
        <w:t>KII interviewer(s):</w:t>
      </w:r>
    </w:p>
    <w:p w14:paraId="101F2502" w14:textId="6BA5833C" w:rsidR="339B0273" w:rsidRPr="002B0A41" w:rsidRDefault="339B0273" w:rsidP="365D9676">
      <w:pPr>
        <w:spacing w:after="160" w:line="259" w:lineRule="auto"/>
        <w:rPr>
          <w:rFonts w:eastAsia="Calibri" w:cs="Calibri"/>
          <w:color w:val="000000"/>
        </w:rPr>
      </w:pPr>
      <w:r w:rsidRPr="002B0A41">
        <w:rPr>
          <w:rFonts w:eastAsia="Calibri" w:cs="Calibri"/>
          <w:b/>
          <w:bCs/>
          <w:color w:val="000000"/>
        </w:rPr>
        <w:t>Introduction</w:t>
      </w:r>
      <w:r w:rsidRPr="002B0A41">
        <w:rPr>
          <w:rFonts w:eastAsia="Calibri" w:cs="Calibri"/>
          <w:color w:val="000000"/>
        </w:rPr>
        <w:t xml:space="preserve"> – please adapt and summarise according to the stakeholder / her knowledge of the evaluation etc </w:t>
      </w:r>
      <w:r w:rsidRPr="002B0A41">
        <w:rPr>
          <w:rFonts w:ascii="Times New Roman" w:eastAsia="Times New Roman" w:hAnsi="Times New Roman" w:cs="Times New Roman"/>
          <w:color w:val="000000"/>
          <w:sz w:val="24"/>
          <w:szCs w:val="24"/>
        </w:rPr>
        <w:t>–</w:t>
      </w:r>
      <w:r w:rsidRPr="002B0A41">
        <w:rPr>
          <w:rFonts w:eastAsia="Calibri" w:cs="Calibri"/>
          <w:color w:val="000000"/>
        </w:rPr>
        <w:t xml:space="preserve"> aim to get this intro as short as possible.</w:t>
      </w:r>
    </w:p>
    <w:p w14:paraId="29B65891" w14:textId="3D64BF9B" w:rsidR="339B0273" w:rsidRPr="002B0A41" w:rsidRDefault="339B0273" w:rsidP="365D9676">
      <w:pPr>
        <w:spacing w:line="259" w:lineRule="auto"/>
        <w:rPr>
          <w:rFonts w:eastAsia="Calibri" w:cs="Calibri"/>
          <w:color w:val="000000"/>
        </w:rPr>
      </w:pPr>
      <w:r w:rsidRPr="002B0A41">
        <w:rPr>
          <w:rFonts w:eastAsia="Calibri" w:cs="Calibri"/>
          <w:color w:val="000000"/>
        </w:rPr>
        <w:t xml:space="preserve"> • </w:t>
      </w:r>
      <w:r w:rsidRPr="002B0A41">
        <w:rPr>
          <w:rFonts w:eastAsia="Calibri" w:cs="Calibri"/>
          <w:b/>
          <w:bCs/>
          <w:color w:val="000000"/>
        </w:rPr>
        <w:t>Thank you</w:t>
      </w:r>
      <w:r w:rsidRPr="002B0A41">
        <w:rPr>
          <w:rFonts w:eastAsia="Calibri" w:cs="Calibri"/>
          <w:color w:val="000000"/>
        </w:rPr>
        <w:t xml:space="preserve"> – Thank you the interviewee for having accepted the meeting and for their time today. </w:t>
      </w:r>
    </w:p>
    <w:p w14:paraId="3C2DDEEF" w14:textId="5C600127" w:rsidR="339B0273" w:rsidRPr="002B0A41" w:rsidRDefault="339B0273"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Introductions</w:t>
      </w:r>
      <w:r w:rsidRPr="002B0A41">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0AC0DC69" w14:textId="2A1A5985" w:rsidR="339B0273" w:rsidRPr="002B0A41" w:rsidRDefault="339B0273" w:rsidP="365D9676">
      <w:pPr>
        <w:spacing w:line="259" w:lineRule="auto"/>
        <w:rPr>
          <w:rFonts w:eastAsia="Calibri" w:cs="Calibri"/>
          <w:color w:val="000000"/>
        </w:rPr>
      </w:pPr>
      <w:r w:rsidRPr="002B0A41">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390F4EAC" w14:textId="4007951D" w:rsidR="339B0273" w:rsidRPr="002B0A41" w:rsidRDefault="339B0273" w:rsidP="365D9676">
      <w:pPr>
        <w:spacing w:line="259" w:lineRule="auto"/>
        <w:rPr>
          <w:rFonts w:eastAsia="Calibri" w:cs="Calibri"/>
          <w:color w:val="000000"/>
        </w:rPr>
      </w:pPr>
      <w:r w:rsidRPr="002B0A41">
        <w:rPr>
          <w:rFonts w:eastAsia="Calibri" w:cs="Calibri"/>
          <w:color w:val="000000"/>
        </w:rPr>
        <w:t xml:space="preserve">[Let others introduce themselves or tell them there will be a chance after you have explained the purpose of the interview] </w:t>
      </w:r>
    </w:p>
    <w:p w14:paraId="39C57472" w14:textId="44616664" w:rsidR="339B0273" w:rsidRPr="002B0A41" w:rsidRDefault="339B0273" w:rsidP="365D9676">
      <w:pPr>
        <w:spacing w:line="259" w:lineRule="auto"/>
        <w:rPr>
          <w:rFonts w:eastAsia="Calibri" w:cs="Calibri"/>
          <w:color w:val="000000"/>
        </w:rPr>
      </w:pPr>
      <w:r w:rsidRPr="002B0A41">
        <w:rPr>
          <w:rFonts w:eastAsia="Calibri" w:cs="Calibri"/>
          <w:color w:val="000000"/>
        </w:rPr>
        <w:t xml:space="preserve">[Acknowledge whether we have already interviewed the stakeholder during CV1/2]  </w:t>
      </w:r>
    </w:p>
    <w:p w14:paraId="36A51516" w14:textId="42F27BCC" w:rsidR="339B0273" w:rsidRPr="002B0A41" w:rsidRDefault="339B0273" w:rsidP="365D9676">
      <w:pPr>
        <w:spacing w:line="259" w:lineRule="auto"/>
        <w:rPr>
          <w:rFonts w:eastAsia="Calibri" w:cs="Calibri"/>
          <w:color w:val="000000"/>
        </w:rPr>
      </w:pPr>
      <w:r w:rsidRPr="002B0A41">
        <w:rPr>
          <w:rFonts w:eastAsia="Calibri" w:cs="Calibri"/>
          <w:color w:val="000000"/>
        </w:rPr>
        <w:t xml:space="preserve"> </w:t>
      </w:r>
    </w:p>
    <w:p w14:paraId="1307E4D2" w14:textId="45A0C46D" w:rsidR="339B0273" w:rsidRPr="002B0A41" w:rsidRDefault="339B0273"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Purpose</w:t>
      </w:r>
      <w:r w:rsidRPr="002B0A41">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0D77DA39" w14:textId="0110D373" w:rsidR="339B0273" w:rsidRPr="002B0A41" w:rsidRDefault="339B0273"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 xml:space="preserve">Focus </w:t>
      </w:r>
      <w:r w:rsidRPr="002B0A41">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1F0612DB" w14:textId="5C57FD11" w:rsidR="339B0273" w:rsidRPr="002B0A41" w:rsidRDefault="339B0273" w:rsidP="00C6374D">
      <w:pPr>
        <w:pStyle w:val="ListParagraph"/>
        <w:numPr>
          <w:ilvl w:val="0"/>
          <w:numId w:val="15"/>
        </w:numPr>
        <w:spacing w:line="259" w:lineRule="auto"/>
        <w:rPr>
          <w:rFonts w:eastAsia="Calibri" w:cs="Calibri"/>
          <w:color w:val="000000"/>
        </w:rPr>
      </w:pPr>
      <w:r w:rsidRPr="002B0A41">
        <w:rPr>
          <w:rFonts w:eastAsia="Calibri" w:cs="Calibri"/>
          <w:color w:val="000000"/>
        </w:rPr>
        <w:t xml:space="preserve">More and better AMR/C/U data produced and shared at country level  </w:t>
      </w:r>
    </w:p>
    <w:p w14:paraId="36C6DEBB" w14:textId="6178ADB2" w:rsidR="339B0273" w:rsidRPr="002B0A41" w:rsidRDefault="339B0273" w:rsidP="00C6374D">
      <w:pPr>
        <w:pStyle w:val="ListParagraph"/>
        <w:numPr>
          <w:ilvl w:val="0"/>
          <w:numId w:val="15"/>
        </w:numPr>
        <w:spacing w:line="259" w:lineRule="auto"/>
        <w:rPr>
          <w:rFonts w:eastAsia="Calibri" w:cs="Calibri"/>
          <w:color w:val="000000"/>
        </w:rPr>
      </w:pPr>
      <w:r w:rsidRPr="002B0A41">
        <w:rPr>
          <w:rFonts w:eastAsia="Calibri" w:cs="Calibri"/>
          <w:color w:val="000000"/>
        </w:rPr>
        <w:t xml:space="preserve">More and better AMR/C/U data shared internationally (with GLASS/OIE) </w:t>
      </w:r>
    </w:p>
    <w:p w14:paraId="651256DA" w14:textId="69EF6A3A" w:rsidR="339B0273" w:rsidRPr="002B0A41" w:rsidRDefault="339B0273" w:rsidP="00C6374D">
      <w:pPr>
        <w:pStyle w:val="ListParagraph"/>
        <w:numPr>
          <w:ilvl w:val="0"/>
          <w:numId w:val="15"/>
        </w:numPr>
        <w:spacing w:line="259" w:lineRule="auto"/>
        <w:rPr>
          <w:rFonts w:eastAsia="Calibri" w:cs="Calibri"/>
          <w:color w:val="000000"/>
        </w:rPr>
      </w:pPr>
      <w:r w:rsidRPr="002B0A41">
        <w:rPr>
          <w:rFonts w:eastAsia="Calibri" w:cs="Calibri"/>
          <w:color w:val="000000"/>
        </w:rPr>
        <w:t xml:space="preserve">Regulatory and policy change that can have an impact in reducing AMR </w:t>
      </w:r>
    </w:p>
    <w:p w14:paraId="6E2A6B4E" w14:textId="52B6ED82" w:rsidR="339B0273" w:rsidRPr="002B0A41" w:rsidRDefault="339B0273" w:rsidP="00C6374D">
      <w:pPr>
        <w:pStyle w:val="ListParagraph"/>
        <w:numPr>
          <w:ilvl w:val="0"/>
          <w:numId w:val="15"/>
        </w:numPr>
        <w:spacing w:line="259" w:lineRule="auto"/>
        <w:rPr>
          <w:rFonts w:eastAsia="Calibri" w:cs="Calibri"/>
          <w:color w:val="000000"/>
        </w:rPr>
      </w:pPr>
      <w:r w:rsidRPr="002B0A41">
        <w:rPr>
          <w:rFonts w:eastAsia="Calibri" w:cs="Calibri"/>
          <w:color w:val="000000"/>
        </w:rPr>
        <w:t xml:space="preserve">Changes in practice / attitude towards the use of antimicrobials.  </w:t>
      </w:r>
    </w:p>
    <w:p w14:paraId="25CDFA7E" w14:textId="6FA3C900" w:rsidR="339B0273" w:rsidRPr="002B0A41" w:rsidRDefault="339B0273" w:rsidP="365D9676">
      <w:pPr>
        <w:spacing w:line="259" w:lineRule="auto"/>
        <w:rPr>
          <w:rFonts w:eastAsia="Calibri" w:cs="Calibri"/>
          <w:color w:val="000000"/>
        </w:rPr>
      </w:pPr>
      <w:r w:rsidRPr="002B0A41">
        <w:rPr>
          <w:rFonts w:eastAsia="Calibri" w:cs="Calibri"/>
          <w:color w:val="000000"/>
        </w:rPr>
        <w:t xml:space="preserve"> </w:t>
      </w:r>
    </w:p>
    <w:p w14:paraId="5966B13C" w14:textId="4039CAD7" w:rsidR="339B0273" w:rsidRPr="002B0A41" w:rsidRDefault="339B0273" w:rsidP="365D9676">
      <w:pPr>
        <w:spacing w:line="259" w:lineRule="auto"/>
        <w:rPr>
          <w:rFonts w:eastAsia="Calibri" w:cs="Calibri"/>
          <w:color w:val="000000"/>
        </w:rPr>
      </w:pPr>
      <w:r w:rsidRPr="002B0A41">
        <w:rPr>
          <w:rFonts w:eastAsia="Calibri" w:cs="Calibri"/>
          <w:color w:val="000000"/>
        </w:rPr>
        <w:t>We have also questions relate to coherence of Fleming Fund efforts with those of other actors in country, sustainability of FF results and Value for Money [adapt the list as appropriate].</w:t>
      </w:r>
    </w:p>
    <w:p w14:paraId="02CF3A00" w14:textId="54A15C9E" w:rsidR="339B0273" w:rsidRPr="002B0A41" w:rsidRDefault="339B0273" w:rsidP="365D9676">
      <w:pPr>
        <w:spacing w:line="259" w:lineRule="auto"/>
        <w:rPr>
          <w:rFonts w:eastAsia="Calibri" w:cs="Calibri"/>
          <w:color w:val="000000"/>
        </w:rPr>
      </w:pPr>
      <w:r w:rsidRPr="002B0A41">
        <w:rPr>
          <w:rFonts w:eastAsia="Calibri" w:cs="Calibri"/>
          <w:color w:val="000000"/>
        </w:rPr>
        <w:t xml:space="preserve"> </w:t>
      </w:r>
    </w:p>
    <w:p w14:paraId="2CE54290" w14:textId="067659F6" w:rsidR="339B0273" w:rsidRPr="002B0A41" w:rsidRDefault="339B0273"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Confidentiality / permission to record</w:t>
      </w:r>
      <w:r w:rsidRPr="002B0A41">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1B394B75" w14:textId="446A70EB" w:rsidR="339B0273" w:rsidRPr="002B0A41" w:rsidRDefault="339B0273" w:rsidP="365D9676">
      <w:pPr>
        <w:spacing w:line="259" w:lineRule="auto"/>
        <w:rPr>
          <w:rFonts w:eastAsia="Calibri" w:cs="Calibri"/>
          <w:color w:val="000000"/>
        </w:rPr>
      </w:pPr>
      <w:r w:rsidRPr="002B0A41">
        <w:rPr>
          <w:rFonts w:eastAsia="Calibri" w:cs="Calibri"/>
          <w:color w:val="000000"/>
        </w:rPr>
        <w:t xml:space="preserve"> </w:t>
      </w:r>
    </w:p>
    <w:p w14:paraId="51C3FDD0" w14:textId="1D919372" w:rsidR="339B0273" w:rsidRDefault="339B0273" w:rsidP="365D9676">
      <w:pPr>
        <w:spacing w:line="259" w:lineRule="auto"/>
        <w:rPr>
          <w:rFonts w:eastAsia="Calibri" w:cs="Calibri"/>
          <w:color w:val="000000"/>
        </w:rPr>
      </w:pPr>
      <w:r w:rsidRPr="002B0A41">
        <w:rPr>
          <w:rFonts w:eastAsia="Calibri" w:cs="Calibri"/>
          <w:color w:val="000000"/>
        </w:rPr>
        <w:t xml:space="preserve">• </w:t>
      </w:r>
      <w:r w:rsidRPr="002B0A41">
        <w:rPr>
          <w:rFonts w:eastAsia="Calibri" w:cs="Calibri"/>
          <w:b/>
          <w:bCs/>
          <w:color w:val="000000"/>
        </w:rPr>
        <w:t>Duration</w:t>
      </w:r>
      <w:r w:rsidRPr="002B0A41">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w:t>
      </w:r>
      <w:r w:rsidRPr="365D9676">
        <w:rPr>
          <w:rFonts w:eastAsia="Calibri" w:cs="Calibri"/>
          <w:color w:val="000000"/>
        </w:rPr>
        <w:t xml:space="preserve"> you do not know the answer to a question or prefer not to answer – just let me know and I’ll adapt the interview accordingly.   </w:t>
      </w:r>
    </w:p>
    <w:p w14:paraId="726BA4D5" w14:textId="70882AD0" w:rsidR="339B0273" w:rsidRDefault="339B0273" w:rsidP="365D9676">
      <w:pPr>
        <w:spacing w:line="259" w:lineRule="auto"/>
        <w:rPr>
          <w:rFonts w:ascii="Segoe UI" w:eastAsia="Segoe UI" w:hAnsi="Segoe UI" w:cs="Segoe UI"/>
          <w:color w:val="000000"/>
        </w:rPr>
      </w:pPr>
      <w:r w:rsidRPr="365D9676">
        <w:rPr>
          <w:rFonts w:ascii="Segoe UI" w:eastAsia="Segoe UI" w:hAnsi="Segoe UI" w:cs="Segoe UI"/>
          <w:color w:val="000000"/>
        </w:rPr>
        <w:t xml:space="preserve"> </w:t>
      </w:r>
    </w:p>
    <w:p w14:paraId="233BB928" w14:textId="3CFA6677" w:rsidR="339B0273" w:rsidRDefault="339B0273" w:rsidP="365D9676">
      <w:pPr>
        <w:spacing w:line="259" w:lineRule="auto"/>
        <w:rPr>
          <w:rFonts w:eastAsia="Calibri" w:cs="Calibri"/>
          <w:color w:val="000000"/>
        </w:rPr>
      </w:pPr>
      <w:r w:rsidRPr="365D9676">
        <w:rPr>
          <w:rFonts w:eastAsia="Calibri" w:cs="Calibri"/>
          <w:color w:val="000000"/>
        </w:rPr>
        <w:t xml:space="preserve">• </w:t>
      </w:r>
      <w:r w:rsidRPr="365D9676">
        <w:rPr>
          <w:rFonts w:eastAsia="Calibri" w:cs="Calibri"/>
          <w:b/>
          <w:bCs/>
          <w:color w:val="000000"/>
        </w:rPr>
        <w:t>Opportunity for questions</w:t>
      </w:r>
      <w:r w:rsidRPr="365D9676">
        <w:rPr>
          <w:rFonts w:eastAsia="Calibri" w:cs="Calibri"/>
          <w:color w:val="000000"/>
        </w:rPr>
        <w:t xml:space="preserve"> – Do you have any questions before we start? Of course you are also welcome to ask questions through the interview if something is not clear.  </w:t>
      </w:r>
    </w:p>
    <w:p w14:paraId="69708114" w14:textId="305CE1CA" w:rsidR="365D9676" w:rsidRDefault="365D9676" w:rsidP="365D9676">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50"/>
        <w:gridCol w:w="6270"/>
        <w:gridCol w:w="6270"/>
      </w:tblGrid>
      <w:tr w:rsidR="365D9676" w14:paraId="7512C088" w14:textId="77777777" w:rsidTr="008723CC">
        <w:trPr>
          <w:trHeight w:val="567"/>
          <w:tblHeader/>
        </w:trPr>
        <w:tc>
          <w:tcPr>
            <w:tcW w:w="1050" w:type="dxa"/>
            <w:tcBorders>
              <w:top w:val="single" w:sz="12" w:space="0" w:color="auto"/>
              <w:left w:val="single" w:sz="12" w:space="0" w:color="auto"/>
              <w:bottom w:val="single" w:sz="6" w:space="0" w:color="auto"/>
              <w:right w:val="single" w:sz="6" w:space="0" w:color="auto"/>
            </w:tcBorders>
            <w:shd w:val="clear" w:color="auto" w:fill="8496B0"/>
            <w:tcMar>
              <w:left w:w="105" w:type="dxa"/>
              <w:right w:w="105" w:type="dxa"/>
            </w:tcMar>
            <w:vAlign w:val="center"/>
          </w:tcPr>
          <w:p w14:paraId="4174C4A1" w14:textId="2F8B78D2" w:rsidR="365D9676" w:rsidRDefault="365D9676" w:rsidP="008723CC">
            <w:pPr>
              <w:rPr>
                <w:rFonts w:eastAsia="Calibri" w:cs="Calibri"/>
                <w:color w:val="FFFFFF" w:themeColor="background1"/>
                <w:sz w:val="20"/>
                <w:szCs w:val="20"/>
              </w:rPr>
            </w:pPr>
            <w:r w:rsidRPr="365D9676">
              <w:rPr>
                <w:rFonts w:eastAsia="Calibri" w:cs="Calibri"/>
                <w:color w:val="FFFFFF" w:themeColor="background1"/>
                <w:sz w:val="20"/>
                <w:szCs w:val="20"/>
              </w:rPr>
              <w:t>EQ</w:t>
            </w:r>
          </w:p>
        </w:tc>
        <w:tc>
          <w:tcPr>
            <w:tcW w:w="6270" w:type="dxa"/>
            <w:tcBorders>
              <w:top w:val="single" w:sz="12" w:space="0" w:color="auto"/>
              <w:left w:val="single" w:sz="6" w:space="0" w:color="auto"/>
              <w:bottom w:val="single" w:sz="6" w:space="0" w:color="auto"/>
              <w:right w:val="single" w:sz="12" w:space="0" w:color="auto"/>
            </w:tcBorders>
            <w:shd w:val="clear" w:color="auto" w:fill="8496B0"/>
            <w:tcMar>
              <w:left w:w="105" w:type="dxa"/>
              <w:right w:w="105" w:type="dxa"/>
            </w:tcMar>
            <w:vAlign w:val="center"/>
          </w:tcPr>
          <w:p w14:paraId="7595347E" w14:textId="0E4C73A5" w:rsidR="365D9676" w:rsidRDefault="365D9676" w:rsidP="008723CC">
            <w:pPr>
              <w:rPr>
                <w:rFonts w:eastAsia="Calibri" w:cs="Calibri"/>
                <w:color w:val="FFFFFF" w:themeColor="background1"/>
                <w:sz w:val="20"/>
                <w:szCs w:val="20"/>
              </w:rPr>
            </w:pPr>
            <w:r w:rsidRPr="365D9676">
              <w:rPr>
                <w:rFonts w:eastAsia="Calibri" w:cs="Calibri"/>
                <w:color w:val="FFFFFF" w:themeColor="background1"/>
                <w:sz w:val="20"/>
                <w:szCs w:val="20"/>
              </w:rPr>
              <w:t xml:space="preserve">List of questions  </w:t>
            </w:r>
          </w:p>
        </w:tc>
        <w:tc>
          <w:tcPr>
            <w:tcW w:w="6270" w:type="dxa"/>
            <w:tcBorders>
              <w:top w:val="single" w:sz="12" w:space="0" w:color="auto"/>
              <w:left w:val="single" w:sz="12" w:space="0" w:color="auto"/>
              <w:bottom w:val="single" w:sz="6" w:space="0" w:color="auto"/>
              <w:right w:val="single" w:sz="12" w:space="0" w:color="auto"/>
            </w:tcBorders>
            <w:shd w:val="clear" w:color="auto" w:fill="8496B0"/>
            <w:tcMar>
              <w:left w:w="105" w:type="dxa"/>
              <w:right w:w="105" w:type="dxa"/>
            </w:tcMar>
            <w:vAlign w:val="center"/>
          </w:tcPr>
          <w:p w14:paraId="5D260099" w14:textId="3766C9E3" w:rsidR="365D9676" w:rsidRDefault="365D9676" w:rsidP="008723CC">
            <w:pPr>
              <w:rPr>
                <w:rFonts w:eastAsia="Calibri" w:cs="Calibri"/>
                <w:color w:val="FFFFFF" w:themeColor="background1"/>
                <w:sz w:val="20"/>
                <w:szCs w:val="20"/>
              </w:rPr>
            </w:pPr>
            <w:r w:rsidRPr="365D9676">
              <w:rPr>
                <w:rFonts w:eastAsia="Calibri" w:cs="Calibri"/>
                <w:color w:val="FFFFFF" w:themeColor="background1"/>
                <w:sz w:val="20"/>
                <w:szCs w:val="20"/>
              </w:rPr>
              <w:t>Response</w:t>
            </w:r>
          </w:p>
        </w:tc>
      </w:tr>
      <w:tr w:rsidR="365D9676" w14:paraId="7A6D1C02" w14:textId="77777777" w:rsidTr="365D9676">
        <w:trPr>
          <w:trHeight w:val="1290"/>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4F91CF37" w14:textId="3E9DB125" w:rsidR="365D9676" w:rsidRDefault="365D9676" w:rsidP="365D9676">
            <w:pPr>
              <w:rPr>
                <w:rFonts w:eastAsia="Calibri" w:cs="Calibri"/>
                <w:color w:val="000000"/>
                <w:sz w:val="20"/>
                <w:szCs w:val="20"/>
              </w:rPr>
            </w:pPr>
            <w:r w:rsidRPr="365D9676">
              <w:rPr>
                <w:rFonts w:eastAsia="Calibri" w:cs="Calibri"/>
                <w:color w:val="000000"/>
                <w:sz w:val="20"/>
                <w:szCs w:val="20"/>
              </w:rPr>
              <w:t>EQ1 (HH)</w:t>
            </w:r>
            <w:r w:rsidRPr="001B18E8">
              <w:rPr>
                <w:rFonts w:eastAsia="Calibri" w:cs="Calibri"/>
                <w:color w:val="000000"/>
                <w:sz w:val="20"/>
                <w:szCs w:val="20"/>
              </w:rPr>
              <w:t xml:space="preserve"> / Change 1a</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2FBB6A0E" w14:textId="06D0C522" w:rsidR="365D9676" w:rsidRPr="001B18E8" w:rsidRDefault="365D9676" w:rsidP="365D9676">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quantity</w:t>
            </w:r>
            <w:r w:rsidRPr="001B18E8">
              <w:rPr>
                <w:rFonts w:eastAsia="Calibri" w:cs="Calibri"/>
                <w:sz w:val="20"/>
                <w:szCs w:val="20"/>
              </w:rPr>
              <w:t xml:space="preserve"> of </w:t>
            </w:r>
            <w:r w:rsidRPr="001B18E8">
              <w:rPr>
                <w:sz w:val="20"/>
                <w:szCs w:val="20"/>
              </w:rPr>
              <w:t>HH</w:t>
            </w:r>
            <w:r w:rsidRPr="001B18E8">
              <w:rPr>
                <w:rFonts w:eastAsia="Calibri" w:cs="Calibri"/>
                <w:sz w:val="20"/>
                <w:szCs w:val="20"/>
              </w:rPr>
              <w:t xml:space="preserve"> AMR/C/U data generated has improved since 2018? Summarise our understanding of changes in data quantity (with a focus on samples) obtained from document review.  To what extent your records on quantity of AMR/U/C data generated match with our understanding? </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5C2EBA8C" w14:textId="0419DF7F" w:rsidR="365D9676" w:rsidRDefault="365D9676" w:rsidP="365D9676">
            <w:pPr>
              <w:rPr>
                <w:rFonts w:eastAsia="Calibri" w:cs="Calibri"/>
                <w:color w:val="000000"/>
                <w:sz w:val="20"/>
                <w:szCs w:val="20"/>
              </w:rPr>
            </w:pPr>
          </w:p>
        </w:tc>
      </w:tr>
      <w:tr w:rsidR="365D9676" w14:paraId="40A47FA0" w14:textId="77777777" w:rsidTr="365D9676">
        <w:trPr>
          <w:trHeight w:val="1290"/>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6BAEFE4D" w14:textId="2BF568BF"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EQ1 (HH) / Change 1a</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center"/>
          </w:tcPr>
          <w:p w14:paraId="3B3C1B10" w14:textId="2CE75356"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w:t>
            </w:r>
            <w:r w:rsidRPr="001B18E8">
              <w:rPr>
                <w:rFonts w:eastAsia="Calibri" w:cs="Calibri"/>
                <w:sz w:val="20"/>
                <w:szCs w:val="20"/>
              </w:rPr>
              <w:t xml:space="preserve"> in order of importance, behind such change? Probes: number of sites, number of pathogens, human capacity, renovation and equipment, consumable, prioritisation, governance, awareness, clinician/health facility´s engagement, patient numbers etc.</w:t>
            </w:r>
            <w:r w:rsidRPr="001B18E8">
              <w:rPr>
                <w:rFonts w:eastAsia="Calibri" w:cs="Calibri"/>
                <w:b/>
                <w:bCs/>
              </w:rPr>
              <w:t xml:space="preserve"> </w:t>
            </w:r>
            <w:r w:rsidRPr="001B18E8">
              <w:rPr>
                <w:rFonts w:eastAsia="Calibri" w:cs="Calibri"/>
                <w:sz w:val="20"/>
                <w:szCs w:val="20"/>
              </w:rPr>
              <w:t xml:space="preserve"> </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0B7805B3" w14:textId="54F9D617" w:rsidR="365D9676" w:rsidRDefault="365D9676" w:rsidP="365D9676">
            <w:pPr>
              <w:rPr>
                <w:rFonts w:eastAsia="Calibri" w:cs="Calibri"/>
                <w:color w:val="0078D4"/>
                <w:sz w:val="20"/>
                <w:szCs w:val="20"/>
              </w:rPr>
            </w:pPr>
          </w:p>
        </w:tc>
      </w:tr>
      <w:tr w:rsidR="365D9676" w14:paraId="6FB29BAB" w14:textId="77777777" w:rsidTr="365D9676">
        <w:trPr>
          <w:trHeight w:val="1290"/>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4A10AC73" w14:textId="64E65BB5"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EQ1 (HH) / Change 1a</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center"/>
          </w:tcPr>
          <w:p w14:paraId="4CEF5F22" w14:textId="075A3518" w:rsidR="365D9676" w:rsidRPr="001B18E8" w:rsidRDefault="365D9676" w:rsidP="365D9676">
            <w:pPr>
              <w:rPr>
                <w:rFonts w:eastAsia="Calibri" w:cs="Calibri"/>
                <w:sz w:val="20"/>
                <w:szCs w:val="20"/>
              </w:rPr>
            </w:pPr>
            <w:r w:rsidRPr="001B18E8">
              <w:rPr>
                <w:rFonts w:eastAsia="Calibri" w:cs="Calibri"/>
                <w:sz w:val="20"/>
                <w:szCs w:val="20"/>
              </w:rPr>
              <w:t>What was the Fleming Fund (</w:t>
            </w:r>
            <w:r w:rsidRPr="001B18E8">
              <w:rPr>
                <w:rFonts w:eastAsia="Calibri" w:cs="Calibri"/>
                <w:b/>
                <w:bCs/>
                <w:sz w:val="20"/>
                <w:szCs w:val="20"/>
              </w:rPr>
              <w:t>CG/RG/Fellows</w:t>
            </w:r>
            <w:r w:rsidRPr="001B18E8">
              <w:rPr>
                <w:rFonts w:eastAsia="Calibri" w:cs="Calibri"/>
                <w:sz w:val="20"/>
                <w:szCs w:val="20"/>
              </w:rPr>
              <w:t xml:space="preserve">) </w:t>
            </w:r>
            <w:r w:rsidRPr="001B18E8">
              <w:rPr>
                <w:rFonts w:eastAsia="Calibri" w:cs="Calibri"/>
                <w:b/>
                <w:bCs/>
                <w:sz w:val="20"/>
                <w:szCs w:val="20"/>
              </w:rPr>
              <w:t>contribution</w:t>
            </w:r>
            <w:r w:rsidRPr="001B18E8">
              <w:rPr>
                <w:rFonts w:eastAsia="Calibri" w:cs="Calibri"/>
                <w:sz w:val="20"/>
                <w:szCs w:val="20"/>
              </w:rPr>
              <w:t xml:space="preserve"> to those drivers?</w:t>
            </w:r>
            <w:r w:rsidRPr="001B18E8">
              <w:br/>
            </w:r>
            <w:r w:rsidRPr="001B18E8">
              <w:rPr>
                <w:rFonts w:eastAsia="Calibri" w:cs="Calibri"/>
                <w:sz w:val="20"/>
                <w:szCs w:val="20"/>
              </w:rPr>
              <w:t>How vital was that it compared to the contribution of:</w:t>
            </w:r>
            <w:r w:rsidRPr="001B18E8">
              <w:br/>
            </w:r>
            <w:r w:rsidRPr="001B18E8">
              <w:rPr>
                <w:rFonts w:eastAsia="Calibri" w:cs="Calibri"/>
                <w:sz w:val="20"/>
                <w:szCs w:val="20"/>
              </w:rPr>
              <w:t>-Global Projects (name any active in country)</w:t>
            </w:r>
            <w:r w:rsidRPr="001B18E8">
              <w:br/>
            </w:r>
            <w:r w:rsidRPr="001B18E8">
              <w:rPr>
                <w:rFonts w:eastAsia="Calibri" w:cs="Calibri"/>
                <w:sz w:val="20"/>
                <w:szCs w:val="20"/>
              </w:rPr>
              <w:t>-Other influencing factors (could be government activities, interventions by other DPs or exogenous factors such as COVID-19)?</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3B3CBE05" w14:textId="0E813320" w:rsidR="365D9676" w:rsidRDefault="365D9676" w:rsidP="365D9676">
            <w:pPr>
              <w:rPr>
                <w:rFonts w:eastAsia="Calibri" w:cs="Calibri"/>
                <w:color w:val="0078D4"/>
                <w:sz w:val="20"/>
                <w:szCs w:val="20"/>
              </w:rPr>
            </w:pPr>
          </w:p>
        </w:tc>
      </w:tr>
      <w:tr w:rsidR="365D9676" w14:paraId="065CE853" w14:textId="77777777" w:rsidTr="365D9676">
        <w:trPr>
          <w:trHeight w:val="60"/>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405B42E6" w14:textId="5125D8A5"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EQ1 (HH) / Change 1a</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bottom"/>
          </w:tcPr>
          <w:p w14:paraId="6D010E23" w14:textId="38E9BB3C" w:rsidR="365D9676" w:rsidRPr="001B18E8" w:rsidRDefault="365D9676" w:rsidP="365D9676">
            <w:pPr>
              <w:rPr>
                <w:rFonts w:eastAsia="Calibri" w:cs="Calibri"/>
                <w:sz w:val="20"/>
                <w:szCs w:val="20"/>
              </w:rPr>
            </w:pPr>
            <w:r w:rsidRPr="001B18E8">
              <w:rPr>
                <w:rFonts w:eastAsia="Calibri" w:cs="Calibri"/>
                <w:sz w:val="20"/>
                <w:szCs w:val="20"/>
              </w:rPr>
              <w:t xml:space="preserve">If there was </w:t>
            </w:r>
            <w:r w:rsidRPr="001B18E8">
              <w:rPr>
                <w:rFonts w:eastAsia="Calibri" w:cs="Calibri"/>
                <w:b/>
                <w:bCs/>
                <w:sz w:val="20"/>
                <w:szCs w:val="20"/>
              </w:rPr>
              <w:t>no or negative change in this area, why</w:t>
            </w:r>
            <w:r w:rsidRPr="001B18E8">
              <w:rPr>
                <w:rFonts w:eastAsia="Calibri" w:cs="Calibri"/>
                <w:sz w:val="20"/>
                <w:szCs w:val="20"/>
              </w:rPr>
              <w:t xml:space="preserve"> was that? And what has the FF and others done to improve the situation?</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35C2AE28" w14:textId="29A337AD" w:rsidR="365D9676" w:rsidRDefault="365D9676" w:rsidP="365D9676">
            <w:pPr>
              <w:rPr>
                <w:rFonts w:eastAsia="Calibri" w:cs="Calibri"/>
                <w:color w:val="0078D4"/>
                <w:sz w:val="20"/>
                <w:szCs w:val="20"/>
              </w:rPr>
            </w:pPr>
          </w:p>
        </w:tc>
      </w:tr>
      <w:tr w:rsidR="365D9676" w14:paraId="6B65E705" w14:textId="77777777" w:rsidTr="008723CC">
        <w:trPr>
          <w:trHeight w:val="2608"/>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23963F4A" w14:textId="27DEC05B" w:rsidR="365D9676" w:rsidRDefault="365D9676" w:rsidP="365D9676">
            <w:pPr>
              <w:rPr>
                <w:rFonts w:eastAsia="Calibri" w:cs="Calibri"/>
                <w:color w:val="000000"/>
                <w:sz w:val="20"/>
                <w:szCs w:val="20"/>
              </w:rPr>
            </w:pPr>
            <w:r w:rsidRPr="365D9676">
              <w:rPr>
                <w:rFonts w:eastAsia="Calibri" w:cs="Calibri"/>
                <w:color w:val="000000"/>
                <w:sz w:val="20"/>
                <w:szCs w:val="20"/>
              </w:rPr>
              <w:t>EQ1 (HH)</w:t>
            </w:r>
            <w:r w:rsidRPr="001B18E8">
              <w:rPr>
                <w:rFonts w:eastAsia="Calibri" w:cs="Calibri"/>
                <w:color w:val="000000"/>
                <w:sz w:val="20"/>
                <w:szCs w:val="20"/>
              </w:rPr>
              <w:t xml:space="preserve"> / Change 1b</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778C736B" w14:textId="7D3BEF9E" w:rsidR="365D9676" w:rsidRPr="001B18E8" w:rsidRDefault="365D9676" w:rsidP="365D9676">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quality</w:t>
            </w:r>
            <w:r w:rsidRPr="001B18E8">
              <w:rPr>
                <w:rFonts w:eastAsia="Calibri" w:cs="Calibri"/>
                <w:sz w:val="20"/>
                <w:szCs w:val="20"/>
              </w:rPr>
              <w:t xml:space="preserve"> of HH AMR data has improved? </w:t>
            </w:r>
            <w:r w:rsidRPr="001B18E8">
              <w:br/>
            </w:r>
            <w:r w:rsidRPr="001B18E8">
              <w:rPr>
                <w:rFonts w:eastAsia="Calibri" w:cs="Calibri"/>
                <w:sz w:val="20"/>
                <w:szCs w:val="20"/>
              </w:rPr>
              <w:t>-some prompts that maybe helpful for this question are (1) SOPs, (2) automated instruments, (3) internal and/or external quality assurance procedures, (4) better supplies of reagents/better quality equipment or infrastructure (eg fridges/freezers), (5) Training and/or supervision, (6) Quality manager, (7) Accreditation processes, (8) Reporting of data to clinicians (for HH).</w:t>
            </w:r>
            <w:r w:rsidRPr="001B18E8">
              <w:br/>
            </w:r>
            <w:r w:rsidRPr="001B18E8">
              <w:rPr>
                <w:rFonts w:eastAsia="Calibri" w:cs="Calibri"/>
                <w:sz w:val="20"/>
                <w:szCs w:val="20"/>
              </w:rPr>
              <w:t>- Would be useful to get a feel for what level the improvements are at (references labs and/or surveillance sites or facility laboratories)</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56A0BAEB" w14:textId="3BACC7EF" w:rsidR="365D9676" w:rsidRDefault="365D9676" w:rsidP="365D9676">
            <w:pPr>
              <w:rPr>
                <w:rFonts w:eastAsia="Calibri" w:cs="Calibri"/>
                <w:color w:val="000000"/>
                <w:sz w:val="20"/>
                <w:szCs w:val="20"/>
              </w:rPr>
            </w:pPr>
          </w:p>
        </w:tc>
      </w:tr>
      <w:tr w:rsidR="365D9676" w14:paraId="33170ABC" w14:textId="77777777" w:rsidTr="008723CC">
        <w:trPr>
          <w:trHeight w:val="1191"/>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0FB5329F" w14:textId="51258DF2" w:rsidR="365D9676" w:rsidRDefault="365D9676" w:rsidP="365D9676">
            <w:pPr>
              <w:rPr>
                <w:rFonts w:eastAsia="Calibri" w:cs="Calibri"/>
                <w:color w:val="000000"/>
                <w:sz w:val="20"/>
                <w:szCs w:val="20"/>
              </w:rPr>
            </w:pPr>
            <w:r w:rsidRPr="365D9676">
              <w:rPr>
                <w:rFonts w:eastAsia="Calibri" w:cs="Calibri"/>
                <w:color w:val="000000"/>
                <w:sz w:val="20"/>
                <w:szCs w:val="20"/>
              </w:rPr>
              <w:t>EQ1 (HH)</w:t>
            </w:r>
            <w:r w:rsidRPr="001B18E8">
              <w:rPr>
                <w:rFonts w:eastAsia="Calibri" w:cs="Calibri"/>
                <w:color w:val="000000"/>
                <w:sz w:val="20"/>
                <w:szCs w:val="20"/>
              </w:rPr>
              <w:t xml:space="preserve"> / Change 1b</w:t>
            </w:r>
          </w:p>
        </w:tc>
        <w:tc>
          <w:tcPr>
            <w:tcW w:w="6270" w:type="dxa"/>
            <w:tcBorders>
              <w:top w:val="single" w:sz="6" w:space="0" w:color="auto"/>
              <w:left w:val="single" w:sz="6" w:space="0" w:color="auto"/>
              <w:bottom w:val="single" w:sz="6" w:space="0" w:color="auto"/>
              <w:right w:val="single" w:sz="12" w:space="0" w:color="auto"/>
            </w:tcBorders>
            <w:shd w:val="clear" w:color="auto" w:fill="FCE4D6"/>
            <w:tcMar>
              <w:left w:w="105" w:type="dxa"/>
              <w:right w:w="105" w:type="dxa"/>
            </w:tcMar>
            <w:vAlign w:val="center"/>
          </w:tcPr>
          <w:p w14:paraId="305F9B2D" w14:textId="2200768D"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w:t>
            </w:r>
            <w:r w:rsidRPr="001B18E8">
              <w:rPr>
                <w:rFonts w:eastAsia="Calibri" w:cs="Calibri"/>
                <w:sz w:val="20"/>
                <w:szCs w:val="20"/>
              </w:rPr>
              <w:t xml:space="preserve"> in order of importance, behind such change? Probes: investments in human capacity renovation work and</w:t>
            </w:r>
            <w:r w:rsidRPr="001B18E8">
              <w:rPr>
                <w:rFonts w:eastAsia="Calibri" w:cs="Calibri"/>
                <w:strike/>
                <w:sz w:val="20"/>
                <w:szCs w:val="20"/>
              </w:rPr>
              <w:t>,</w:t>
            </w:r>
            <w:r w:rsidRPr="001B18E8">
              <w:rPr>
                <w:rFonts w:eastAsia="Calibri" w:cs="Calibri"/>
                <w:sz w:val="20"/>
                <w:szCs w:val="20"/>
              </w:rPr>
              <w:t xml:space="preserve"> improved equipment, reliable supply of reagents, SOP, </w:t>
            </w:r>
            <w:r w:rsidR="001B18E8" w:rsidRPr="001B18E8">
              <w:rPr>
                <w:rFonts w:eastAsia="Calibri" w:cs="Calibri"/>
                <w:sz w:val="20"/>
                <w:szCs w:val="20"/>
              </w:rPr>
              <w:t>QA</w:t>
            </w:r>
            <w:r w:rsidRPr="001B18E8">
              <w:rPr>
                <w:rFonts w:eastAsia="Calibri" w:cs="Calibri"/>
                <w:sz w:val="20"/>
                <w:szCs w:val="20"/>
              </w:rPr>
              <w:t xml:space="preserve">, supervision, prioritisation, governance, other </w:t>
            </w:r>
          </w:p>
        </w:tc>
        <w:tc>
          <w:tcPr>
            <w:tcW w:w="6270" w:type="dxa"/>
            <w:tcBorders>
              <w:top w:val="single" w:sz="6" w:space="0" w:color="auto"/>
              <w:left w:val="single" w:sz="12" w:space="0" w:color="auto"/>
              <w:bottom w:val="single" w:sz="6" w:space="0" w:color="auto"/>
              <w:right w:val="single" w:sz="12" w:space="0" w:color="auto"/>
            </w:tcBorders>
            <w:shd w:val="clear" w:color="auto" w:fill="FCE4D6"/>
            <w:tcMar>
              <w:left w:w="105" w:type="dxa"/>
              <w:right w:w="105" w:type="dxa"/>
            </w:tcMar>
          </w:tcPr>
          <w:p w14:paraId="245D7C2A" w14:textId="5B07533A" w:rsidR="365D9676" w:rsidRDefault="365D9676" w:rsidP="365D9676">
            <w:pPr>
              <w:rPr>
                <w:rFonts w:eastAsia="Calibri" w:cs="Calibri"/>
                <w:color w:val="000000"/>
                <w:sz w:val="20"/>
                <w:szCs w:val="20"/>
              </w:rPr>
            </w:pPr>
          </w:p>
        </w:tc>
      </w:tr>
      <w:tr w:rsidR="365D9676" w14:paraId="1B291087" w14:textId="77777777" w:rsidTr="008723CC">
        <w:trPr>
          <w:trHeight w:val="1531"/>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64017611" w14:textId="78A4DFAF" w:rsidR="365D9676" w:rsidRDefault="365D9676" w:rsidP="365D9676">
            <w:pPr>
              <w:rPr>
                <w:rFonts w:eastAsia="Calibri" w:cs="Calibri"/>
                <w:color w:val="000000"/>
                <w:sz w:val="20"/>
                <w:szCs w:val="20"/>
              </w:rPr>
            </w:pPr>
            <w:r w:rsidRPr="365D9676">
              <w:rPr>
                <w:rFonts w:eastAsia="Calibri" w:cs="Calibri"/>
                <w:color w:val="000000"/>
                <w:sz w:val="20"/>
                <w:szCs w:val="20"/>
              </w:rPr>
              <w:t>EQ1 (HH)</w:t>
            </w:r>
            <w:r w:rsidRPr="001B18E8">
              <w:rPr>
                <w:rFonts w:eastAsia="Calibri" w:cs="Calibri"/>
                <w:color w:val="000000"/>
                <w:sz w:val="20"/>
                <w:szCs w:val="20"/>
              </w:rPr>
              <w:t xml:space="preserve"> / Change 1b</w:t>
            </w:r>
          </w:p>
        </w:tc>
        <w:tc>
          <w:tcPr>
            <w:tcW w:w="6270" w:type="dxa"/>
            <w:tcBorders>
              <w:top w:val="single" w:sz="6" w:space="0" w:color="auto"/>
              <w:left w:val="single" w:sz="6" w:space="0" w:color="auto"/>
              <w:bottom w:val="single" w:sz="6" w:space="0" w:color="auto"/>
              <w:right w:val="single" w:sz="12" w:space="0" w:color="auto"/>
            </w:tcBorders>
            <w:shd w:val="clear" w:color="auto" w:fill="FCE4D6"/>
            <w:tcMar>
              <w:left w:w="105" w:type="dxa"/>
              <w:right w:w="105" w:type="dxa"/>
            </w:tcMar>
            <w:vAlign w:val="center"/>
          </w:tcPr>
          <w:p w14:paraId="28AF036B" w14:textId="3A278B13" w:rsidR="365D9676" w:rsidRDefault="365D9676" w:rsidP="365D9676">
            <w:pPr>
              <w:rPr>
                <w:rFonts w:eastAsia="Calibri" w:cs="Calibri"/>
                <w:color w:val="000000"/>
                <w:sz w:val="20"/>
                <w:szCs w:val="20"/>
              </w:rPr>
            </w:pPr>
            <w:r w:rsidRPr="365D9676">
              <w:rPr>
                <w:rFonts w:eastAsia="Calibri" w:cs="Calibri"/>
                <w:color w:val="000000"/>
                <w:sz w:val="20"/>
                <w:szCs w:val="20"/>
              </w:rPr>
              <w:t>What was the Fleming Fund (</w:t>
            </w:r>
            <w:r w:rsidRPr="365D9676">
              <w:rPr>
                <w:rFonts w:eastAsia="Calibri" w:cs="Calibri"/>
                <w:b/>
                <w:bCs/>
                <w:color w:val="000000"/>
                <w:sz w:val="20"/>
                <w:szCs w:val="20"/>
              </w:rPr>
              <w:t>CG/RG/Fellows</w:t>
            </w:r>
            <w:r w:rsidRPr="365D9676">
              <w:rPr>
                <w:rFonts w:eastAsia="Calibri" w:cs="Calibri"/>
                <w:color w:val="000000"/>
                <w:sz w:val="20"/>
                <w:szCs w:val="20"/>
              </w:rPr>
              <w:t xml:space="preserve">) </w:t>
            </w:r>
            <w:r w:rsidRPr="365D9676">
              <w:rPr>
                <w:rFonts w:eastAsia="Calibri" w:cs="Calibri"/>
                <w:b/>
                <w:bCs/>
                <w:color w:val="000000"/>
                <w:sz w:val="20"/>
                <w:szCs w:val="20"/>
              </w:rPr>
              <w:t>contribution</w:t>
            </w:r>
            <w:r w:rsidRPr="365D9676">
              <w:rPr>
                <w:rFonts w:eastAsia="Calibri" w:cs="Calibri"/>
                <w:color w:val="000000"/>
                <w:sz w:val="20"/>
                <w:szCs w:val="20"/>
              </w:rPr>
              <w:t xml:space="preserve"> to those drivers?</w:t>
            </w:r>
            <w:r>
              <w:br/>
            </w:r>
            <w:r w:rsidRPr="365D9676">
              <w:rPr>
                <w:rFonts w:eastAsia="Calibri" w:cs="Calibri"/>
                <w:color w:val="000000"/>
                <w:sz w:val="20"/>
                <w:szCs w:val="20"/>
              </w:rPr>
              <w:t>How vital was that it compared to the contribution of:</w:t>
            </w:r>
            <w:r>
              <w:br/>
            </w:r>
            <w:r w:rsidRPr="365D9676">
              <w:rPr>
                <w:rFonts w:eastAsia="Calibri" w:cs="Calibri"/>
                <w:color w:val="000000"/>
                <w:sz w:val="20"/>
                <w:szCs w:val="20"/>
              </w:rPr>
              <w:t>-Global Projects (name any active in country)</w:t>
            </w:r>
            <w:r>
              <w:br/>
            </w:r>
            <w:r w:rsidRPr="365D9676">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12" w:space="0" w:color="auto"/>
              <w:bottom w:val="single" w:sz="6" w:space="0" w:color="auto"/>
              <w:right w:val="single" w:sz="12" w:space="0" w:color="auto"/>
            </w:tcBorders>
            <w:shd w:val="clear" w:color="auto" w:fill="FCE4D6"/>
            <w:tcMar>
              <w:left w:w="105" w:type="dxa"/>
              <w:right w:w="105" w:type="dxa"/>
            </w:tcMar>
          </w:tcPr>
          <w:p w14:paraId="444A85E4" w14:textId="1D4E40D2" w:rsidR="365D9676" w:rsidRDefault="365D9676" w:rsidP="365D9676">
            <w:pPr>
              <w:rPr>
                <w:rFonts w:eastAsia="Calibri" w:cs="Calibri"/>
                <w:color w:val="000000"/>
                <w:sz w:val="20"/>
                <w:szCs w:val="20"/>
              </w:rPr>
            </w:pPr>
          </w:p>
        </w:tc>
      </w:tr>
      <w:tr w:rsidR="365D9676" w14:paraId="66F5869D" w14:textId="77777777" w:rsidTr="008723CC">
        <w:trPr>
          <w:trHeight w:val="510"/>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008CBA95" w14:textId="415D8C86" w:rsidR="365D9676" w:rsidRDefault="365D9676" w:rsidP="365D9676">
            <w:pPr>
              <w:rPr>
                <w:rFonts w:eastAsia="Calibri" w:cs="Calibri"/>
                <w:color w:val="000000"/>
                <w:sz w:val="20"/>
                <w:szCs w:val="20"/>
              </w:rPr>
            </w:pPr>
            <w:r w:rsidRPr="365D9676">
              <w:rPr>
                <w:rFonts w:eastAsia="Calibri" w:cs="Calibri"/>
                <w:color w:val="000000"/>
                <w:sz w:val="20"/>
                <w:szCs w:val="20"/>
              </w:rPr>
              <w:t>EQ1 (HH)</w:t>
            </w:r>
            <w:r w:rsidRPr="001B18E8">
              <w:rPr>
                <w:rFonts w:eastAsia="Calibri" w:cs="Calibri"/>
                <w:color w:val="000000"/>
                <w:sz w:val="20"/>
                <w:szCs w:val="20"/>
              </w:rPr>
              <w:t xml:space="preserve"> / Change 1b</w:t>
            </w:r>
          </w:p>
        </w:tc>
        <w:tc>
          <w:tcPr>
            <w:tcW w:w="6270" w:type="dxa"/>
            <w:tcBorders>
              <w:top w:val="single" w:sz="6" w:space="0" w:color="auto"/>
              <w:left w:val="single" w:sz="6" w:space="0" w:color="auto"/>
              <w:bottom w:val="nil"/>
              <w:right w:val="single" w:sz="12" w:space="0" w:color="auto"/>
            </w:tcBorders>
            <w:shd w:val="clear" w:color="auto" w:fill="FCE4D6"/>
            <w:tcMar>
              <w:left w:w="105" w:type="dxa"/>
              <w:right w:w="105" w:type="dxa"/>
            </w:tcMar>
            <w:vAlign w:val="center"/>
          </w:tcPr>
          <w:p w14:paraId="1CA35B52" w14:textId="1A53C77D" w:rsidR="365D9676" w:rsidRDefault="365D9676" w:rsidP="008723CC">
            <w:pPr>
              <w:rPr>
                <w:rFonts w:eastAsia="Calibri" w:cs="Calibri"/>
                <w:color w:val="000000"/>
                <w:sz w:val="20"/>
                <w:szCs w:val="20"/>
              </w:rPr>
            </w:pPr>
            <w:r w:rsidRPr="365D9676">
              <w:rPr>
                <w:rFonts w:eastAsia="Calibri" w:cs="Calibri"/>
                <w:color w:val="000000"/>
                <w:sz w:val="20"/>
                <w:szCs w:val="20"/>
              </w:rPr>
              <w:t xml:space="preserve">If there was </w:t>
            </w:r>
            <w:r w:rsidRPr="365D9676">
              <w:rPr>
                <w:rFonts w:eastAsia="Calibri" w:cs="Calibri"/>
                <w:b/>
                <w:bCs/>
                <w:color w:val="000000"/>
                <w:sz w:val="20"/>
                <w:szCs w:val="20"/>
              </w:rPr>
              <w:t>no or negative change in this area, why</w:t>
            </w:r>
            <w:r w:rsidRPr="365D9676">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12" w:space="0" w:color="auto"/>
              <w:bottom w:val="nil"/>
              <w:right w:val="single" w:sz="12" w:space="0" w:color="auto"/>
            </w:tcBorders>
            <w:shd w:val="clear" w:color="auto" w:fill="FCE4D6"/>
            <w:tcMar>
              <w:left w:w="105" w:type="dxa"/>
              <w:right w:w="105" w:type="dxa"/>
            </w:tcMar>
          </w:tcPr>
          <w:p w14:paraId="27DDD498" w14:textId="2AD94E32" w:rsidR="365D9676" w:rsidRDefault="365D9676" w:rsidP="365D9676">
            <w:pPr>
              <w:rPr>
                <w:rFonts w:eastAsia="Calibri" w:cs="Calibri"/>
                <w:color w:val="000000"/>
                <w:sz w:val="20"/>
                <w:szCs w:val="20"/>
              </w:rPr>
            </w:pPr>
          </w:p>
        </w:tc>
      </w:tr>
      <w:tr w:rsidR="365D9676" w14:paraId="21219ABA" w14:textId="77777777" w:rsidTr="365D9676">
        <w:trPr>
          <w:trHeight w:val="855"/>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33ED005A" w14:textId="62AD5C73" w:rsidR="365D9676" w:rsidRDefault="365D9676" w:rsidP="365D9676">
            <w:pPr>
              <w:rPr>
                <w:rFonts w:eastAsia="Calibri" w:cs="Calibri"/>
                <w:color w:val="000000"/>
                <w:sz w:val="20"/>
                <w:szCs w:val="20"/>
              </w:rPr>
            </w:pPr>
            <w:r w:rsidRPr="365D9676">
              <w:rPr>
                <w:rFonts w:eastAsia="Calibri" w:cs="Calibri"/>
                <w:color w:val="000000"/>
                <w:sz w:val="20"/>
                <w:szCs w:val="20"/>
              </w:rPr>
              <w:t>EQ1 (HH)</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75D1D573" w14:textId="0DEF74E3"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is it plausible that there will be </w:t>
            </w:r>
            <w:r w:rsidRPr="365D9676">
              <w:rPr>
                <w:rFonts w:eastAsia="Calibri" w:cs="Calibri"/>
                <w:b/>
                <w:bCs/>
                <w:color w:val="000000"/>
                <w:sz w:val="20"/>
                <w:szCs w:val="20"/>
              </w:rPr>
              <w:t>significant additional change in the system</w:t>
            </w:r>
            <w:r w:rsidRPr="365D9676">
              <w:rPr>
                <w:rFonts w:eastAsia="Calibri" w:cs="Calibri"/>
                <w:color w:val="000000"/>
                <w:sz w:val="20"/>
                <w:szCs w:val="20"/>
              </w:rPr>
              <w:t xml:space="preserve"> (in terms of increases in quantity and quality of AMR data) </w:t>
            </w:r>
            <w:r w:rsidRPr="365D9676">
              <w:rPr>
                <w:rFonts w:eastAsia="Calibri" w:cs="Calibri"/>
                <w:b/>
                <w:bCs/>
                <w:color w:val="000000"/>
                <w:sz w:val="20"/>
                <w:szCs w:val="20"/>
              </w:rPr>
              <w:t>by end 2022</w:t>
            </w:r>
            <w:r w:rsidRPr="365D9676">
              <w:rPr>
                <w:rFonts w:eastAsia="Calibri" w:cs="Calibri"/>
                <w:color w:val="000000"/>
                <w:sz w:val="20"/>
                <w:szCs w:val="20"/>
              </w:rPr>
              <w:t xml:space="preserve">?  </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47EA3356" w14:textId="1DA74CF1" w:rsidR="365D9676" w:rsidRDefault="365D9676" w:rsidP="365D9676">
            <w:pPr>
              <w:rPr>
                <w:rFonts w:eastAsia="Calibri" w:cs="Calibri"/>
                <w:color w:val="000000"/>
                <w:sz w:val="20"/>
                <w:szCs w:val="20"/>
              </w:rPr>
            </w:pPr>
          </w:p>
        </w:tc>
      </w:tr>
      <w:tr w:rsidR="365D9676" w14:paraId="3DC9C7F4" w14:textId="77777777" w:rsidTr="365D9676">
        <w:trPr>
          <w:trHeight w:val="1290"/>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53D0166F" w14:textId="162FCE74" w:rsidR="365D9676" w:rsidRDefault="365D9676" w:rsidP="365D9676">
            <w:pPr>
              <w:rPr>
                <w:rFonts w:eastAsia="Calibri" w:cs="Calibri"/>
                <w:color w:val="000000"/>
                <w:sz w:val="20"/>
                <w:szCs w:val="20"/>
              </w:rPr>
            </w:pPr>
            <w:r w:rsidRPr="365D9676">
              <w:rPr>
                <w:rFonts w:eastAsia="Calibri" w:cs="Calibri"/>
                <w:color w:val="000000"/>
                <w:sz w:val="20"/>
                <w:szCs w:val="20"/>
              </w:rPr>
              <w:t>EQ1 (AH)</w:t>
            </w:r>
            <w:r w:rsidRPr="001B18E8">
              <w:rPr>
                <w:rFonts w:eastAsia="Calibri" w:cs="Calibri"/>
                <w:color w:val="000000"/>
                <w:sz w:val="20"/>
                <w:szCs w:val="20"/>
              </w:rPr>
              <w:t xml:space="preserve"> / Change 2a</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73D1142F" w14:textId="5AF412B9" w:rsidR="365D9676" w:rsidRPr="001B18E8" w:rsidRDefault="365D9676" w:rsidP="365D9676">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quantity</w:t>
            </w:r>
            <w:r w:rsidRPr="001B18E8">
              <w:rPr>
                <w:rFonts w:eastAsia="Calibri" w:cs="Calibri"/>
                <w:sz w:val="20"/>
                <w:szCs w:val="20"/>
              </w:rPr>
              <w:t xml:space="preserve"> of </w:t>
            </w:r>
            <w:r w:rsidRPr="001B18E8">
              <w:rPr>
                <w:sz w:val="20"/>
                <w:szCs w:val="20"/>
              </w:rPr>
              <w:t>AH</w:t>
            </w:r>
            <w:r w:rsidRPr="001B18E8">
              <w:rPr>
                <w:rFonts w:eastAsia="Calibri" w:cs="Calibri"/>
                <w:sz w:val="20"/>
                <w:szCs w:val="20"/>
              </w:rPr>
              <w:t xml:space="preserve"> AMR/C/U data generated has improved since 2018? Summarise our understanding of changes in data quantity (with a focus on</w:t>
            </w:r>
            <w:r w:rsidRPr="001B18E8">
              <w:rPr>
                <w:rFonts w:eastAsia="Calibri" w:cs="Calibri"/>
                <w:strike/>
                <w:sz w:val="20"/>
                <w:szCs w:val="20"/>
              </w:rPr>
              <w:t xml:space="preserve">, </w:t>
            </w:r>
            <w:r w:rsidRPr="001B18E8">
              <w:rPr>
                <w:rFonts w:eastAsia="Calibri" w:cs="Calibri"/>
                <w:sz w:val="20"/>
                <w:szCs w:val="20"/>
              </w:rPr>
              <w:t xml:space="preserve">samples) obtained from document review.  To what extent your records on quantity of AMR/U/C data generated match with our understanding? </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6794D936" w14:textId="38DCAB01" w:rsidR="365D9676" w:rsidRDefault="365D9676" w:rsidP="365D9676">
            <w:pPr>
              <w:rPr>
                <w:rFonts w:eastAsia="Calibri" w:cs="Calibri"/>
                <w:color w:val="000000"/>
                <w:sz w:val="20"/>
                <w:szCs w:val="20"/>
              </w:rPr>
            </w:pPr>
          </w:p>
        </w:tc>
      </w:tr>
      <w:tr w:rsidR="365D9676" w14:paraId="18306C0A" w14:textId="77777777" w:rsidTr="365D9676">
        <w:trPr>
          <w:trHeight w:val="780"/>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vAlign w:val="center"/>
          </w:tcPr>
          <w:p w14:paraId="18A47EAB" w14:textId="27788804"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EQ1 (AH) / Change 2a</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center"/>
          </w:tcPr>
          <w:p w14:paraId="4BDA2A0D" w14:textId="4C1CF222" w:rsidR="365D9676" w:rsidRPr="001B18E8" w:rsidRDefault="365D9676" w:rsidP="365D9676">
            <w:pPr>
              <w:rPr>
                <w:rFonts w:eastAsia="Calibri" w:cs="Calibri"/>
                <w:sz w:val="20"/>
                <w:szCs w:val="20"/>
              </w:rPr>
            </w:pPr>
            <w:r w:rsidRPr="001B18E8">
              <w:rPr>
                <w:rStyle w:val="normaltextrun"/>
                <w:rFonts w:eastAsia="Calibri" w:cs="Calibri"/>
                <w:sz w:val="20"/>
                <w:szCs w:val="20"/>
              </w:rPr>
              <w:t>To what extent have active surveillance surveys been undertaken as part of a broader strategy? Probe on when relevant strategy was published.</w:t>
            </w:r>
            <w:r w:rsidRPr="001B18E8">
              <w:rPr>
                <w:rStyle w:val="eop"/>
                <w:rFonts w:eastAsia="Calibri" w:cs="Calibri"/>
                <w:sz w:val="20"/>
                <w:szCs w:val="20"/>
              </w:rPr>
              <w:t> </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699B19F9" w14:textId="784ECB0E" w:rsidR="365D9676" w:rsidRDefault="365D9676" w:rsidP="365D9676">
            <w:pPr>
              <w:rPr>
                <w:rFonts w:eastAsia="Calibri" w:cs="Calibri"/>
                <w:color w:val="881798"/>
                <w:sz w:val="20"/>
                <w:szCs w:val="20"/>
              </w:rPr>
            </w:pPr>
          </w:p>
        </w:tc>
      </w:tr>
      <w:tr w:rsidR="365D9676" w14:paraId="0B38725E" w14:textId="77777777" w:rsidTr="365D9676">
        <w:trPr>
          <w:trHeight w:val="780"/>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vAlign w:val="center"/>
          </w:tcPr>
          <w:p w14:paraId="68D79D86" w14:textId="5719026F"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EQ1 (AH) / Change 2a</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center"/>
          </w:tcPr>
          <w:p w14:paraId="57D71DF5" w14:textId="6A07A617"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Number of active sampling exercises, Number of pathogens , human capacity, renovation and equipment, consumable, Prioritisation, governance, engagement with agriculture/industry for sampling</w:t>
            </w:r>
            <w:r w:rsidRPr="001B18E8">
              <w:rPr>
                <w:rFonts w:eastAsia="Calibri" w:cs="Calibri"/>
                <w:b/>
                <w:bCs/>
                <w:sz w:val="20"/>
                <w:szCs w:val="20"/>
              </w:rPr>
              <w:t xml:space="preserve"> </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5D8FE911" w14:textId="4539B5DB" w:rsidR="365D9676" w:rsidRDefault="365D9676" w:rsidP="365D9676">
            <w:pPr>
              <w:rPr>
                <w:rFonts w:eastAsia="Calibri" w:cs="Calibri"/>
                <w:color w:val="0078D4"/>
                <w:sz w:val="20"/>
                <w:szCs w:val="20"/>
              </w:rPr>
            </w:pPr>
          </w:p>
        </w:tc>
      </w:tr>
      <w:tr w:rsidR="365D9676" w14:paraId="3391D941" w14:textId="77777777" w:rsidTr="365D9676">
        <w:trPr>
          <w:trHeight w:val="780"/>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vAlign w:val="center"/>
          </w:tcPr>
          <w:p w14:paraId="4062ACC6" w14:textId="5326C5EA"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EQ1 (AH) / Change 2a</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center"/>
          </w:tcPr>
          <w:p w14:paraId="55A09B6D" w14:textId="65E749B6" w:rsidR="365D9676" w:rsidRPr="001B18E8" w:rsidRDefault="365D9676" w:rsidP="365D9676">
            <w:pPr>
              <w:rPr>
                <w:rFonts w:eastAsia="Calibri" w:cs="Calibri"/>
                <w:sz w:val="20"/>
                <w:szCs w:val="20"/>
              </w:rPr>
            </w:pPr>
            <w:r w:rsidRPr="001B18E8">
              <w:rPr>
                <w:rFonts w:eastAsia="Calibri" w:cs="Calibri"/>
                <w:sz w:val="20"/>
                <w:szCs w:val="20"/>
              </w:rPr>
              <w:t>What was the Fleming Fund (</w:t>
            </w:r>
            <w:r w:rsidRPr="001B18E8">
              <w:rPr>
                <w:rFonts w:eastAsia="Calibri" w:cs="Calibri"/>
                <w:b/>
                <w:bCs/>
                <w:sz w:val="20"/>
                <w:szCs w:val="20"/>
              </w:rPr>
              <w:t>CG/RG/Fellows</w:t>
            </w:r>
            <w:r w:rsidRPr="001B18E8">
              <w:rPr>
                <w:rFonts w:eastAsia="Calibri" w:cs="Calibri"/>
                <w:sz w:val="20"/>
                <w:szCs w:val="20"/>
              </w:rPr>
              <w:t xml:space="preserve">) </w:t>
            </w:r>
            <w:r w:rsidRPr="001B18E8">
              <w:rPr>
                <w:rFonts w:eastAsia="Calibri" w:cs="Calibri"/>
                <w:b/>
                <w:bCs/>
                <w:sz w:val="20"/>
                <w:szCs w:val="20"/>
              </w:rPr>
              <w:t>contribution</w:t>
            </w:r>
            <w:r w:rsidRPr="001B18E8">
              <w:rPr>
                <w:rFonts w:eastAsia="Calibri" w:cs="Calibri"/>
                <w:sz w:val="20"/>
                <w:szCs w:val="20"/>
              </w:rPr>
              <w:t xml:space="preserve"> to those drivers?</w:t>
            </w:r>
            <w:r w:rsidRPr="001B18E8">
              <w:br/>
            </w:r>
            <w:r w:rsidRPr="001B18E8">
              <w:rPr>
                <w:rFonts w:eastAsia="Calibri" w:cs="Calibri"/>
                <w:sz w:val="20"/>
                <w:szCs w:val="20"/>
              </w:rPr>
              <w:t>How vital was that it compared to the contribution of:</w:t>
            </w:r>
            <w:r w:rsidRPr="001B18E8">
              <w:br/>
            </w:r>
            <w:r w:rsidRPr="001B18E8">
              <w:rPr>
                <w:rFonts w:eastAsia="Calibri" w:cs="Calibri"/>
                <w:sz w:val="20"/>
                <w:szCs w:val="20"/>
              </w:rPr>
              <w:t>-Global Projects (name any active in country)</w:t>
            </w:r>
            <w:r w:rsidRPr="001B18E8">
              <w:br/>
            </w:r>
            <w:r w:rsidRPr="001B18E8">
              <w:rPr>
                <w:rFonts w:eastAsia="Calibri" w:cs="Calibri"/>
                <w:sz w:val="20"/>
                <w:szCs w:val="20"/>
              </w:rPr>
              <w:t>-Other influencing factors (could be government activities, interventions by other DPs or exogenous factors such as COVID-19?</w:t>
            </w:r>
          </w:p>
          <w:p w14:paraId="1F6EA6FB" w14:textId="22533FD4" w:rsidR="365D9676" w:rsidRPr="001B18E8" w:rsidRDefault="365D9676" w:rsidP="365D9676">
            <w:pPr>
              <w:rPr>
                <w:rFonts w:eastAsia="Calibri" w:cs="Calibri"/>
                <w:sz w:val="20"/>
                <w:szCs w:val="20"/>
              </w:rPr>
            </w:pPr>
          </w:p>
          <w:p w14:paraId="6BAB4820" w14:textId="31259BDE" w:rsidR="365D9676" w:rsidRPr="001B18E8" w:rsidRDefault="365D9676" w:rsidP="365D9676">
            <w:pPr>
              <w:rPr>
                <w:rFonts w:eastAsia="Calibri" w:cs="Calibri"/>
                <w:sz w:val="20"/>
                <w:szCs w:val="20"/>
              </w:rPr>
            </w:pPr>
            <w:r w:rsidRPr="001B18E8">
              <w:rPr>
                <w:rStyle w:val="normaltextrun"/>
                <w:rFonts w:eastAsia="Calibri" w:cs="Calibri"/>
                <w:sz w:val="20"/>
                <w:szCs w:val="20"/>
              </w:rPr>
              <w:t>To what extent were these surveys funded by the FF? Completely, partially, not at all?</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3ACB0FD0" w14:textId="67BA17F9" w:rsidR="365D9676" w:rsidRDefault="365D9676" w:rsidP="365D9676">
            <w:pPr>
              <w:rPr>
                <w:rFonts w:eastAsia="Calibri" w:cs="Calibri"/>
                <w:color w:val="0078D4"/>
                <w:sz w:val="20"/>
                <w:szCs w:val="20"/>
              </w:rPr>
            </w:pPr>
          </w:p>
        </w:tc>
      </w:tr>
      <w:tr w:rsidR="365D9676" w14:paraId="7B881886" w14:textId="77777777" w:rsidTr="365D9676">
        <w:trPr>
          <w:trHeight w:val="780"/>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vAlign w:val="center"/>
          </w:tcPr>
          <w:p w14:paraId="4D48ED19" w14:textId="19665388"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EQ1 (AH) / Change 2a</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bottom"/>
          </w:tcPr>
          <w:p w14:paraId="1E503F88" w14:textId="20E78B8C" w:rsidR="365D9676" w:rsidRPr="001B18E8" w:rsidRDefault="365D9676" w:rsidP="365D9676">
            <w:pPr>
              <w:rPr>
                <w:rFonts w:eastAsia="Calibri" w:cs="Calibri"/>
                <w:sz w:val="20"/>
                <w:szCs w:val="20"/>
              </w:rPr>
            </w:pPr>
            <w:r w:rsidRPr="001B18E8">
              <w:rPr>
                <w:rFonts w:eastAsia="Calibri" w:cs="Calibri"/>
                <w:sz w:val="20"/>
                <w:szCs w:val="20"/>
              </w:rPr>
              <w:t xml:space="preserve">If there was </w:t>
            </w:r>
            <w:r w:rsidRPr="001B18E8">
              <w:rPr>
                <w:rFonts w:eastAsia="Calibri" w:cs="Calibri"/>
                <w:b/>
                <w:bCs/>
                <w:sz w:val="20"/>
                <w:szCs w:val="20"/>
              </w:rPr>
              <w:t xml:space="preserve">no or negative change </w:t>
            </w:r>
            <w:r w:rsidRPr="001B18E8">
              <w:rPr>
                <w:rFonts w:eastAsia="Calibri" w:cs="Calibri"/>
                <w:sz w:val="20"/>
                <w:szCs w:val="20"/>
              </w:rPr>
              <w:t xml:space="preserve">in this area, </w:t>
            </w:r>
            <w:r w:rsidRPr="001B18E8">
              <w:rPr>
                <w:rFonts w:eastAsia="Calibri" w:cs="Calibri"/>
                <w:b/>
                <w:bCs/>
                <w:sz w:val="20"/>
                <w:szCs w:val="20"/>
              </w:rPr>
              <w:t>why</w:t>
            </w:r>
            <w:r w:rsidRPr="001B18E8">
              <w:rPr>
                <w:rFonts w:eastAsia="Calibri" w:cs="Calibri"/>
                <w:sz w:val="20"/>
                <w:szCs w:val="20"/>
              </w:rPr>
              <w:t xml:space="preserve"> was that? And what has the FF and others done to improve the situation?</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3B7D2B4A" w14:textId="1C073253" w:rsidR="365D9676" w:rsidRDefault="365D9676" w:rsidP="365D9676">
            <w:pPr>
              <w:rPr>
                <w:rFonts w:eastAsia="Calibri" w:cs="Calibri"/>
                <w:color w:val="0078D4"/>
                <w:sz w:val="20"/>
                <w:szCs w:val="20"/>
              </w:rPr>
            </w:pPr>
          </w:p>
        </w:tc>
      </w:tr>
      <w:tr w:rsidR="365D9676" w14:paraId="2040C2EB" w14:textId="77777777" w:rsidTr="365D9676">
        <w:trPr>
          <w:trHeight w:val="2835"/>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776BC403" w14:textId="78B7E5FC" w:rsidR="365D9676" w:rsidRDefault="365D9676" w:rsidP="365D9676">
            <w:pPr>
              <w:rPr>
                <w:rFonts w:eastAsia="Calibri" w:cs="Calibri"/>
                <w:color w:val="000000"/>
                <w:sz w:val="20"/>
                <w:szCs w:val="20"/>
              </w:rPr>
            </w:pPr>
            <w:r w:rsidRPr="365D9676">
              <w:rPr>
                <w:rFonts w:eastAsia="Calibri" w:cs="Calibri"/>
                <w:color w:val="000000"/>
                <w:sz w:val="20"/>
                <w:szCs w:val="20"/>
              </w:rPr>
              <w:t>EQ1 (AH)</w:t>
            </w:r>
            <w:r w:rsidRPr="001B18E8">
              <w:rPr>
                <w:rFonts w:eastAsia="Calibri" w:cs="Calibri"/>
                <w:color w:val="000000"/>
                <w:sz w:val="20"/>
                <w:szCs w:val="20"/>
              </w:rPr>
              <w:t xml:space="preserve"> / Change 2b</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7D83EA0C" w14:textId="0C2D9B5F"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and in which ways do you think the </w:t>
            </w:r>
            <w:r w:rsidRPr="365D9676">
              <w:rPr>
                <w:rFonts w:eastAsia="Calibri" w:cs="Calibri"/>
                <w:b/>
                <w:bCs/>
                <w:color w:val="000000"/>
                <w:sz w:val="20"/>
                <w:szCs w:val="20"/>
              </w:rPr>
              <w:t>quality</w:t>
            </w:r>
            <w:r w:rsidRPr="365D9676">
              <w:rPr>
                <w:rFonts w:eastAsia="Calibri" w:cs="Calibri"/>
                <w:color w:val="000000"/>
                <w:sz w:val="20"/>
                <w:szCs w:val="20"/>
              </w:rPr>
              <w:t xml:space="preserve"> of </w:t>
            </w:r>
            <w:r w:rsidRPr="365D9676">
              <w:rPr>
                <w:rFonts w:eastAsia="Calibri" w:cs="Calibri"/>
                <w:color w:val="000000"/>
                <w:sz w:val="20"/>
                <w:szCs w:val="20"/>
                <w:u w:val="single"/>
              </w:rPr>
              <w:t>AH</w:t>
            </w:r>
            <w:r w:rsidRPr="365D9676">
              <w:rPr>
                <w:rFonts w:eastAsia="Calibri" w:cs="Calibri"/>
                <w:color w:val="000000"/>
                <w:sz w:val="20"/>
                <w:szCs w:val="20"/>
              </w:rPr>
              <w:t xml:space="preserve"> AMR data has improved? </w:t>
            </w:r>
            <w:r>
              <w:br/>
            </w:r>
            <w:r w:rsidRPr="365D9676">
              <w:rPr>
                <w:rFonts w:eastAsia="Calibri" w:cs="Calibri"/>
                <w:color w:val="000000"/>
                <w:sz w:val="20"/>
                <w:szCs w:val="20"/>
              </w:rPr>
              <w:t>-some prompts that maybe helpful for this question are (1) SOPs, (2) automated instruments, (3) internal and/or external quality assurance procedures, (4) better supplies of reagents/better quality equipment or infrastructure (eg fridges/freezers), (5) Training and/or supervision, (6) Quality manager, (7) Accreditation processes, (8) Reporting of data to clinicians (for HH).</w:t>
            </w:r>
            <w:r>
              <w:br/>
            </w:r>
            <w:r w:rsidRPr="365D9676">
              <w:rPr>
                <w:rFonts w:eastAsia="Calibri" w:cs="Calibri"/>
                <w:color w:val="000000"/>
                <w:sz w:val="20"/>
                <w:szCs w:val="20"/>
              </w:rPr>
              <w:t>- Would be useful to get a feel for what level the improvements are at (references labs and/or surveillance sites or facility laboratories)</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7588B829" w14:textId="350C6480" w:rsidR="365D9676" w:rsidRDefault="365D9676" w:rsidP="365D9676">
            <w:pPr>
              <w:rPr>
                <w:rFonts w:eastAsia="Calibri" w:cs="Calibri"/>
                <w:color w:val="000000"/>
                <w:sz w:val="20"/>
                <w:szCs w:val="20"/>
              </w:rPr>
            </w:pPr>
          </w:p>
        </w:tc>
      </w:tr>
      <w:tr w:rsidR="365D9676" w14:paraId="2FB5B044" w14:textId="77777777" w:rsidTr="00D11AEE">
        <w:trPr>
          <w:trHeight w:val="1247"/>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340CDFA3" w14:textId="4D94BC7A" w:rsidR="365D9676" w:rsidRDefault="365D9676" w:rsidP="365D9676">
            <w:pPr>
              <w:rPr>
                <w:rFonts w:eastAsia="Calibri" w:cs="Calibri"/>
                <w:color w:val="000000"/>
                <w:sz w:val="20"/>
                <w:szCs w:val="20"/>
              </w:rPr>
            </w:pPr>
            <w:r w:rsidRPr="365D9676">
              <w:rPr>
                <w:rFonts w:eastAsia="Calibri" w:cs="Calibri"/>
                <w:color w:val="000000"/>
                <w:sz w:val="20"/>
                <w:szCs w:val="20"/>
              </w:rPr>
              <w:t>EQ1 (AH)</w:t>
            </w:r>
            <w:r w:rsidRPr="001B18E8">
              <w:rPr>
                <w:rFonts w:eastAsia="Calibri" w:cs="Calibri"/>
                <w:color w:val="000000"/>
                <w:sz w:val="20"/>
                <w:szCs w:val="20"/>
              </w:rPr>
              <w:t xml:space="preserve"> / Change 2b</w:t>
            </w:r>
          </w:p>
        </w:tc>
        <w:tc>
          <w:tcPr>
            <w:tcW w:w="6270" w:type="dxa"/>
            <w:tcBorders>
              <w:top w:val="single" w:sz="6" w:space="0" w:color="auto"/>
              <w:left w:val="single" w:sz="6" w:space="0" w:color="auto"/>
              <w:bottom w:val="single" w:sz="6" w:space="0" w:color="auto"/>
              <w:right w:val="single" w:sz="12" w:space="0" w:color="auto"/>
            </w:tcBorders>
            <w:shd w:val="clear" w:color="auto" w:fill="FCE4D6"/>
            <w:tcMar>
              <w:left w:w="105" w:type="dxa"/>
              <w:right w:w="105" w:type="dxa"/>
            </w:tcMar>
            <w:vAlign w:val="center"/>
          </w:tcPr>
          <w:p w14:paraId="60C0C88C" w14:textId="3FCDF31A"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investments in human capacity, renovation work and improved equipment, reliable supply of reagents, SOPs, internal QA/QM, participation in EQA, prioritisation, governance, other...</w:t>
            </w:r>
          </w:p>
        </w:tc>
        <w:tc>
          <w:tcPr>
            <w:tcW w:w="6270" w:type="dxa"/>
            <w:tcBorders>
              <w:top w:val="single" w:sz="6" w:space="0" w:color="auto"/>
              <w:left w:val="single" w:sz="12" w:space="0" w:color="auto"/>
              <w:bottom w:val="single" w:sz="6" w:space="0" w:color="auto"/>
              <w:right w:val="single" w:sz="12" w:space="0" w:color="auto"/>
            </w:tcBorders>
            <w:shd w:val="clear" w:color="auto" w:fill="FCE4D6"/>
            <w:tcMar>
              <w:left w:w="105" w:type="dxa"/>
              <w:right w:w="105" w:type="dxa"/>
            </w:tcMar>
          </w:tcPr>
          <w:p w14:paraId="5BC3BF80" w14:textId="078A5E29" w:rsidR="365D9676" w:rsidRDefault="365D9676" w:rsidP="365D9676">
            <w:pPr>
              <w:rPr>
                <w:rFonts w:eastAsia="Calibri" w:cs="Calibri"/>
                <w:color w:val="000000"/>
                <w:sz w:val="20"/>
                <w:szCs w:val="20"/>
              </w:rPr>
            </w:pPr>
          </w:p>
        </w:tc>
      </w:tr>
      <w:tr w:rsidR="365D9676" w14:paraId="13A95039" w14:textId="77777777" w:rsidTr="00D11AEE">
        <w:trPr>
          <w:trHeight w:val="1587"/>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5FA4B871" w14:textId="063F9241" w:rsidR="365D9676" w:rsidRDefault="365D9676" w:rsidP="365D9676">
            <w:pPr>
              <w:rPr>
                <w:rFonts w:eastAsia="Calibri" w:cs="Calibri"/>
                <w:color w:val="000000"/>
                <w:sz w:val="20"/>
                <w:szCs w:val="20"/>
              </w:rPr>
            </w:pPr>
            <w:r w:rsidRPr="365D9676">
              <w:rPr>
                <w:rFonts w:eastAsia="Calibri" w:cs="Calibri"/>
                <w:color w:val="000000"/>
                <w:sz w:val="20"/>
                <w:szCs w:val="20"/>
              </w:rPr>
              <w:t>EQ1 (AH)</w:t>
            </w:r>
            <w:r w:rsidRPr="001B18E8">
              <w:rPr>
                <w:rFonts w:eastAsia="Calibri" w:cs="Calibri"/>
                <w:color w:val="000000"/>
                <w:sz w:val="20"/>
                <w:szCs w:val="20"/>
              </w:rPr>
              <w:t xml:space="preserve"> / Change 2b</w:t>
            </w:r>
          </w:p>
        </w:tc>
        <w:tc>
          <w:tcPr>
            <w:tcW w:w="6270" w:type="dxa"/>
            <w:tcBorders>
              <w:top w:val="single" w:sz="6" w:space="0" w:color="auto"/>
              <w:left w:val="single" w:sz="6" w:space="0" w:color="auto"/>
              <w:bottom w:val="single" w:sz="6" w:space="0" w:color="auto"/>
              <w:right w:val="single" w:sz="12" w:space="0" w:color="auto"/>
            </w:tcBorders>
            <w:shd w:val="clear" w:color="auto" w:fill="FCE4D6"/>
            <w:tcMar>
              <w:left w:w="105" w:type="dxa"/>
              <w:right w:w="105" w:type="dxa"/>
            </w:tcMar>
            <w:vAlign w:val="center"/>
          </w:tcPr>
          <w:p w14:paraId="1253B89A" w14:textId="2FD0FDB5" w:rsidR="365D9676" w:rsidRPr="001B18E8" w:rsidRDefault="365D9676" w:rsidP="00D11AEE">
            <w:pPr>
              <w:rPr>
                <w:rFonts w:eastAsia="Calibri" w:cs="Calibri"/>
                <w:sz w:val="20"/>
                <w:szCs w:val="20"/>
              </w:rPr>
            </w:pPr>
            <w:r w:rsidRPr="001B18E8">
              <w:rPr>
                <w:rFonts w:eastAsia="Calibri" w:cs="Calibri"/>
                <w:sz w:val="20"/>
                <w:szCs w:val="20"/>
              </w:rPr>
              <w:t>What was the Fleming Fund (</w:t>
            </w:r>
            <w:r w:rsidRPr="001B18E8">
              <w:rPr>
                <w:rFonts w:eastAsia="Calibri" w:cs="Calibri"/>
                <w:b/>
                <w:bCs/>
                <w:sz w:val="20"/>
                <w:szCs w:val="20"/>
              </w:rPr>
              <w:t>CG/RG/Fellows</w:t>
            </w:r>
            <w:r w:rsidRPr="001B18E8">
              <w:rPr>
                <w:rFonts w:eastAsia="Calibri" w:cs="Calibri"/>
                <w:sz w:val="20"/>
                <w:szCs w:val="20"/>
              </w:rPr>
              <w:t xml:space="preserve">) </w:t>
            </w:r>
            <w:r w:rsidRPr="001B18E8">
              <w:rPr>
                <w:rFonts w:eastAsia="Calibri" w:cs="Calibri"/>
                <w:b/>
                <w:bCs/>
                <w:sz w:val="20"/>
                <w:szCs w:val="20"/>
              </w:rPr>
              <w:t>contribution</w:t>
            </w:r>
            <w:r w:rsidRPr="001B18E8">
              <w:rPr>
                <w:rFonts w:eastAsia="Calibri" w:cs="Calibri"/>
                <w:sz w:val="20"/>
                <w:szCs w:val="20"/>
              </w:rPr>
              <w:t xml:space="preserve"> to those drivers?</w:t>
            </w:r>
            <w:r w:rsidRPr="001B18E8">
              <w:br/>
            </w:r>
            <w:r w:rsidRPr="001B18E8">
              <w:rPr>
                <w:rFonts w:eastAsia="Calibri" w:cs="Calibri"/>
                <w:sz w:val="20"/>
                <w:szCs w:val="20"/>
              </w:rPr>
              <w:t>How vital was that it compared to the contribution of:</w:t>
            </w:r>
            <w:r w:rsidRPr="001B18E8">
              <w:br/>
            </w:r>
            <w:r w:rsidRPr="001B18E8">
              <w:rPr>
                <w:rFonts w:eastAsia="Calibri" w:cs="Calibri"/>
                <w:sz w:val="20"/>
                <w:szCs w:val="20"/>
              </w:rPr>
              <w:t>-Global Projects (name any active in country)</w:t>
            </w:r>
            <w:r w:rsidRPr="001B18E8">
              <w:br/>
            </w:r>
            <w:r w:rsidRPr="001B18E8">
              <w:rPr>
                <w:rFonts w:eastAsia="Calibri" w:cs="Calibri"/>
                <w:sz w:val="20"/>
                <w:szCs w:val="20"/>
              </w:rPr>
              <w:t>-Other influencing factors (could be government activities, interventions by other DPs or exogenous factors such as COVID-19?</w:t>
            </w:r>
          </w:p>
        </w:tc>
        <w:tc>
          <w:tcPr>
            <w:tcW w:w="6270" w:type="dxa"/>
            <w:tcBorders>
              <w:top w:val="single" w:sz="6" w:space="0" w:color="auto"/>
              <w:left w:val="single" w:sz="12" w:space="0" w:color="auto"/>
              <w:bottom w:val="single" w:sz="6" w:space="0" w:color="auto"/>
              <w:right w:val="single" w:sz="12" w:space="0" w:color="auto"/>
            </w:tcBorders>
            <w:shd w:val="clear" w:color="auto" w:fill="FCE4D6"/>
            <w:tcMar>
              <w:left w:w="105" w:type="dxa"/>
              <w:right w:w="105" w:type="dxa"/>
            </w:tcMar>
          </w:tcPr>
          <w:p w14:paraId="6F4CF5DE" w14:textId="0DCC6B12" w:rsidR="365D9676" w:rsidRDefault="365D9676" w:rsidP="365D9676">
            <w:pPr>
              <w:rPr>
                <w:rFonts w:eastAsia="Calibri" w:cs="Calibri"/>
                <w:color w:val="000000"/>
                <w:sz w:val="20"/>
                <w:szCs w:val="20"/>
              </w:rPr>
            </w:pPr>
          </w:p>
        </w:tc>
      </w:tr>
      <w:tr w:rsidR="365D9676" w14:paraId="295A6A2B" w14:textId="77777777" w:rsidTr="00D11AEE">
        <w:trPr>
          <w:trHeight w:val="525"/>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719F744F" w14:textId="79C930B6" w:rsidR="365D9676" w:rsidRDefault="365D9676" w:rsidP="365D9676">
            <w:pPr>
              <w:rPr>
                <w:rFonts w:eastAsia="Calibri" w:cs="Calibri"/>
                <w:color w:val="000000"/>
                <w:sz w:val="20"/>
                <w:szCs w:val="20"/>
              </w:rPr>
            </w:pPr>
            <w:r w:rsidRPr="365D9676">
              <w:rPr>
                <w:rFonts w:eastAsia="Calibri" w:cs="Calibri"/>
                <w:color w:val="000000"/>
                <w:sz w:val="20"/>
                <w:szCs w:val="20"/>
              </w:rPr>
              <w:t>EQ1 (AH)</w:t>
            </w:r>
            <w:r w:rsidRPr="001B18E8">
              <w:rPr>
                <w:rFonts w:eastAsia="Calibri" w:cs="Calibri"/>
                <w:color w:val="000000"/>
                <w:sz w:val="20"/>
                <w:szCs w:val="20"/>
              </w:rPr>
              <w:t xml:space="preserve"> / Change 2b</w:t>
            </w:r>
          </w:p>
        </w:tc>
        <w:tc>
          <w:tcPr>
            <w:tcW w:w="6270" w:type="dxa"/>
            <w:tcBorders>
              <w:top w:val="single" w:sz="6" w:space="0" w:color="auto"/>
              <w:left w:val="single" w:sz="6" w:space="0" w:color="auto"/>
              <w:bottom w:val="nil"/>
              <w:right w:val="single" w:sz="12" w:space="0" w:color="auto"/>
            </w:tcBorders>
            <w:shd w:val="clear" w:color="auto" w:fill="FCE4D6"/>
            <w:tcMar>
              <w:left w:w="105" w:type="dxa"/>
              <w:right w:w="105" w:type="dxa"/>
            </w:tcMar>
            <w:vAlign w:val="center"/>
          </w:tcPr>
          <w:p w14:paraId="32D8643E" w14:textId="3F15ED55" w:rsidR="365D9676" w:rsidRPr="001B18E8" w:rsidRDefault="365D9676" w:rsidP="00D11AEE">
            <w:pPr>
              <w:rPr>
                <w:rFonts w:eastAsia="Calibri" w:cs="Calibri"/>
                <w:sz w:val="20"/>
                <w:szCs w:val="20"/>
              </w:rPr>
            </w:pPr>
            <w:r w:rsidRPr="001B18E8">
              <w:rPr>
                <w:rFonts w:eastAsia="Calibri" w:cs="Calibri"/>
                <w:sz w:val="20"/>
                <w:szCs w:val="20"/>
              </w:rPr>
              <w:t xml:space="preserve">If there was </w:t>
            </w:r>
            <w:r w:rsidRPr="001B18E8">
              <w:rPr>
                <w:rFonts w:eastAsia="Calibri" w:cs="Calibri"/>
                <w:b/>
                <w:bCs/>
                <w:sz w:val="20"/>
                <w:szCs w:val="20"/>
              </w:rPr>
              <w:t xml:space="preserve">no or negative change </w:t>
            </w:r>
            <w:r w:rsidRPr="001B18E8">
              <w:rPr>
                <w:rFonts w:eastAsia="Calibri" w:cs="Calibri"/>
                <w:sz w:val="20"/>
                <w:szCs w:val="20"/>
              </w:rPr>
              <w:t xml:space="preserve">in this area, </w:t>
            </w:r>
            <w:r w:rsidRPr="001B18E8">
              <w:rPr>
                <w:rFonts w:eastAsia="Calibri" w:cs="Calibri"/>
                <w:b/>
                <w:bCs/>
                <w:sz w:val="20"/>
                <w:szCs w:val="20"/>
              </w:rPr>
              <w:t>why</w:t>
            </w:r>
            <w:r w:rsidRPr="001B18E8">
              <w:rPr>
                <w:rFonts w:eastAsia="Calibri" w:cs="Calibri"/>
                <w:sz w:val="20"/>
                <w:szCs w:val="20"/>
              </w:rPr>
              <w:t xml:space="preserve"> was that? And what has the FF and others done to improve the situation?</w:t>
            </w:r>
          </w:p>
        </w:tc>
        <w:tc>
          <w:tcPr>
            <w:tcW w:w="6270" w:type="dxa"/>
            <w:tcBorders>
              <w:top w:val="single" w:sz="6" w:space="0" w:color="auto"/>
              <w:left w:val="single" w:sz="12" w:space="0" w:color="auto"/>
              <w:bottom w:val="nil"/>
              <w:right w:val="single" w:sz="12" w:space="0" w:color="auto"/>
            </w:tcBorders>
            <w:shd w:val="clear" w:color="auto" w:fill="FCE4D6"/>
            <w:tcMar>
              <w:left w:w="105" w:type="dxa"/>
              <w:right w:w="105" w:type="dxa"/>
            </w:tcMar>
          </w:tcPr>
          <w:p w14:paraId="3EBC523F" w14:textId="3950F807" w:rsidR="365D9676" w:rsidRDefault="365D9676" w:rsidP="365D9676">
            <w:pPr>
              <w:rPr>
                <w:rFonts w:eastAsia="Calibri" w:cs="Calibri"/>
                <w:color w:val="000000"/>
                <w:sz w:val="20"/>
                <w:szCs w:val="20"/>
              </w:rPr>
            </w:pPr>
          </w:p>
        </w:tc>
      </w:tr>
      <w:tr w:rsidR="365D9676" w14:paraId="0B896363" w14:textId="77777777" w:rsidTr="365D9676">
        <w:trPr>
          <w:trHeight w:val="765"/>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65E3DA64" w14:textId="166B925A" w:rsidR="365D9676" w:rsidRDefault="365D9676" w:rsidP="365D9676">
            <w:pPr>
              <w:rPr>
                <w:rFonts w:eastAsia="Calibri" w:cs="Calibri"/>
                <w:color w:val="000000"/>
                <w:sz w:val="20"/>
                <w:szCs w:val="20"/>
              </w:rPr>
            </w:pPr>
            <w:r w:rsidRPr="365D9676">
              <w:rPr>
                <w:rFonts w:eastAsia="Calibri" w:cs="Calibri"/>
                <w:color w:val="000000"/>
                <w:sz w:val="20"/>
                <w:szCs w:val="20"/>
              </w:rPr>
              <w:t>EQ1 (AH)</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5E3BCDBD" w14:textId="64A779D2" w:rsidR="365D9676" w:rsidRPr="001B18E8" w:rsidRDefault="365D9676" w:rsidP="365D9676">
            <w:pPr>
              <w:rPr>
                <w:rFonts w:eastAsia="Calibri" w:cs="Calibri"/>
                <w:sz w:val="20"/>
                <w:szCs w:val="20"/>
              </w:rPr>
            </w:pPr>
            <w:r w:rsidRPr="001B18E8">
              <w:rPr>
                <w:rFonts w:eastAsia="Calibri" w:cs="Calibri"/>
                <w:sz w:val="20"/>
                <w:szCs w:val="20"/>
              </w:rPr>
              <w:t xml:space="preserve">To what extent is it plausible that there will be </w:t>
            </w:r>
            <w:r w:rsidRPr="001B18E8">
              <w:rPr>
                <w:rFonts w:eastAsia="Calibri" w:cs="Calibri"/>
                <w:b/>
                <w:bCs/>
                <w:sz w:val="20"/>
                <w:szCs w:val="20"/>
              </w:rPr>
              <w:t>significant additional change in the system</w:t>
            </w:r>
            <w:r w:rsidRPr="001B18E8">
              <w:rPr>
                <w:rFonts w:eastAsia="Calibri" w:cs="Calibri"/>
                <w:sz w:val="20"/>
                <w:szCs w:val="20"/>
              </w:rPr>
              <w:t xml:space="preserve"> (in terms of increases in quantity and quality of AMR data) </w:t>
            </w:r>
            <w:r w:rsidRPr="001B18E8">
              <w:rPr>
                <w:rFonts w:eastAsia="Calibri" w:cs="Calibri"/>
                <w:b/>
                <w:bCs/>
                <w:sz w:val="20"/>
                <w:szCs w:val="20"/>
              </w:rPr>
              <w:t>by end 2022</w:t>
            </w:r>
            <w:r w:rsidRPr="001B18E8">
              <w:rPr>
                <w:rFonts w:eastAsia="Calibri" w:cs="Calibri"/>
                <w:sz w:val="20"/>
                <w:szCs w:val="20"/>
              </w:rPr>
              <w:t xml:space="preserve">?  </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0AF1F289" w14:textId="48A2402F" w:rsidR="365D9676" w:rsidRDefault="365D9676" w:rsidP="365D9676">
            <w:pPr>
              <w:rPr>
                <w:rFonts w:eastAsia="Calibri" w:cs="Calibri"/>
                <w:color w:val="000000"/>
                <w:sz w:val="20"/>
                <w:szCs w:val="20"/>
              </w:rPr>
            </w:pPr>
          </w:p>
        </w:tc>
      </w:tr>
      <w:tr w:rsidR="365D9676" w14:paraId="4BE10CD2" w14:textId="77777777" w:rsidTr="365D9676">
        <w:trPr>
          <w:trHeight w:val="1560"/>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13134B36" w14:textId="54769417" w:rsidR="365D9676" w:rsidRDefault="365D9676" w:rsidP="365D9676">
            <w:pPr>
              <w:rPr>
                <w:rFonts w:eastAsia="Calibri" w:cs="Calibri"/>
                <w:color w:val="000000"/>
                <w:sz w:val="20"/>
                <w:szCs w:val="20"/>
              </w:rPr>
            </w:pPr>
            <w:r w:rsidRPr="365D9676">
              <w:rPr>
                <w:rFonts w:eastAsia="Calibri" w:cs="Calibri"/>
                <w:color w:val="000000"/>
                <w:sz w:val="20"/>
                <w:szCs w:val="20"/>
              </w:rPr>
              <w:t>EQ5 (HH)</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7C55ECE6" w14:textId="04E9F715" w:rsidR="365D9676" w:rsidRPr="001B18E8" w:rsidRDefault="365D9676" w:rsidP="365D9676">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quantity</w:t>
            </w:r>
            <w:r w:rsidRPr="001B18E8">
              <w:rPr>
                <w:rFonts w:eastAsia="Calibri" w:cs="Calibri"/>
                <w:sz w:val="20"/>
                <w:szCs w:val="20"/>
              </w:rPr>
              <w:t xml:space="preserve"> of </w:t>
            </w:r>
            <w:r w:rsidRPr="001B18E8">
              <w:rPr>
                <w:sz w:val="20"/>
                <w:szCs w:val="20"/>
              </w:rPr>
              <w:t>HH</w:t>
            </w:r>
            <w:r w:rsidRPr="001B18E8">
              <w:rPr>
                <w:rFonts w:eastAsia="Calibri" w:cs="Calibri"/>
                <w:sz w:val="20"/>
                <w:szCs w:val="20"/>
              </w:rPr>
              <w:t xml:space="preserve"> AMR data </w:t>
            </w:r>
            <w:r w:rsidRPr="001B18E8">
              <w:rPr>
                <w:rFonts w:eastAsia="Calibri" w:cs="Calibri"/>
                <w:b/>
                <w:bCs/>
                <w:sz w:val="20"/>
                <w:szCs w:val="20"/>
              </w:rPr>
              <w:t xml:space="preserve">reported to GLASS </w:t>
            </w:r>
            <w:r w:rsidRPr="001B18E8">
              <w:rPr>
                <w:rFonts w:eastAsia="Calibri" w:cs="Calibri"/>
                <w:sz w:val="20"/>
                <w:szCs w:val="20"/>
              </w:rPr>
              <w:t>has improved since 2018? Summarise our understanding based on document review. To what extent do your records on quantity of AMR data reported matches our understanding?  [NB: note and clarify understanding where data generated at country level is higher than data reported to GLASS and reasons]</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697E9311" w14:textId="3B9F0DC0" w:rsidR="365D9676" w:rsidRDefault="365D9676" w:rsidP="365D9676">
            <w:pPr>
              <w:rPr>
                <w:rFonts w:eastAsia="Calibri" w:cs="Calibri"/>
                <w:color w:val="000000"/>
                <w:sz w:val="20"/>
                <w:szCs w:val="20"/>
              </w:rPr>
            </w:pPr>
          </w:p>
        </w:tc>
      </w:tr>
      <w:tr w:rsidR="365D9676" w14:paraId="76B73B6D" w14:textId="77777777" w:rsidTr="365D9676">
        <w:trPr>
          <w:trHeight w:val="765"/>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5289A04B" w14:textId="317E3800" w:rsidR="365D9676" w:rsidRDefault="365D9676" w:rsidP="365D9676">
            <w:pPr>
              <w:rPr>
                <w:rFonts w:eastAsia="Calibri" w:cs="Calibri"/>
                <w:color w:val="000000"/>
                <w:sz w:val="20"/>
                <w:szCs w:val="20"/>
              </w:rPr>
            </w:pPr>
            <w:r w:rsidRPr="365D9676">
              <w:rPr>
                <w:rFonts w:eastAsia="Calibri" w:cs="Calibri"/>
                <w:color w:val="000000"/>
                <w:sz w:val="20"/>
                <w:szCs w:val="20"/>
              </w:rPr>
              <w:t>EQ5 (HH)</w:t>
            </w:r>
            <w:r w:rsidRPr="001B18E8">
              <w:rPr>
                <w:rFonts w:eastAsia="Calibri" w:cs="Calibri"/>
                <w:color w:val="000000"/>
                <w:sz w:val="20"/>
                <w:szCs w:val="20"/>
              </w:rPr>
              <w:t xml:space="preserve"> / Change 4</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center"/>
          </w:tcPr>
          <w:p w14:paraId="3CB9C7B8" w14:textId="0E595FEF" w:rsidR="365D9676" w:rsidRPr="001B18E8" w:rsidRDefault="365D9676" w:rsidP="365D9676">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quality</w:t>
            </w:r>
            <w:r w:rsidRPr="001B18E8">
              <w:rPr>
                <w:rFonts w:eastAsia="Calibri" w:cs="Calibri"/>
                <w:sz w:val="20"/>
                <w:szCs w:val="20"/>
              </w:rPr>
              <w:t xml:space="preserve"> of </w:t>
            </w:r>
            <w:r w:rsidRPr="001B18E8">
              <w:rPr>
                <w:sz w:val="20"/>
                <w:szCs w:val="20"/>
              </w:rPr>
              <w:t>HH</w:t>
            </w:r>
            <w:r w:rsidRPr="001B18E8">
              <w:rPr>
                <w:rFonts w:eastAsia="Calibri" w:cs="Calibri"/>
                <w:sz w:val="20"/>
                <w:szCs w:val="20"/>
              </w:rPr>
              <w:t xml:space="preserve"> AMR data </w:t>
            </w:r>
            <w:r w:rsidRPr="001B18E8">
              <w:rPr>
                <w:rFonts w:eastAsia="Calibri" w:cs="Calibri"/>
                <w:b/>
                <w:bCs/>
                <w:sz w:val="20"/>
                <w:szCs w:val="20"/>
              </w:rPr>
              <w:t>reported to GLASS</w:t>
            </w:r>
            <w:r w:rsidRPr="001B18E8">
              <w:rPr>
                <w:rFonts w:eastAsia="Calibri" w:cs="Calibri"/>
                <w:sz w:val="20"/>
                <w:szCs w:val="20"/>
              </w:rPr>
              <w:t xml:space="preserve"> has improved since 2020 (noting that 2018 data was reported in 2020)? </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3C743503" w14:textId="08082C68" w:rsidR="365D9676" w:rsidRDefault="365D9676" w:rsidP="365D9676">
            <w:pPr>
              <w:rPr>
                <w:rFonts w:eastAsia="Calibri" w:cs="Calibri"/>
                <w:color w:val="000000"/>
                <w:sz w:val="20"/>
                <w:szCs w:val="20"/>
              </w:rPr>
            </w:pPr>
          </w:p>
        </w:tc>
      </w:tr>
      <w:tr w:rsidR="365D9676" w14:paraId="260C4C37" w14:textId="77777777" w:rsidTr="365D9676">
        <w:trPr>
          <w:trHeight w:val="1290"/>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05B9A388" w14:textId="2974CB82" w:rsidR="365D9676" w:rsidRDefault="365D9676" w:rsidP="365D9676">
            <w:pPr>
              <w:rPr>
                <w:rFonts w:eastAsia="Calibri" w:cs="Calibri"/>
                <w:color w:val="000000"/>
                <w:sz w:val="20"/>
                <w:szCs w:val="20"/>
              </w:rPr>
            </w:pPr>
            <w:r w:rsidRPr="365D9676">
              <w:rPr>
                <w:rFonts w:eastAsia="Calibri" w:cs="Calibri"/>
                <w:color w:val="000000"/>
                <w:sz w:val="20"/>
                <w:szCs w:val="20"/>
              </w:rPr>
              <w:t>EQ5 (HH)</w:t>
            </w:r>
            <w:r w:rsidRPr="001B18E8">
              <w:rPr>
                <w:rFonts w:eastAsia="Calibri" w:cs="Calibri"/>
                <w:color w:val="000000"/>
                <w:sz w:val="20"/>
                <w:szCs w:val="20"/>
              </w:rPr>
              <w:t xml:space="preserve"> / Change 4</w:t>
            </w:r>
          </w:p>
        </w:tc>
        <w:tc>
          <w:tcPr>
            <w:tcW w:w="6270" w:type="dxa"/>
            <w:tcBorders>
              <w:top w:val="single" w:sz="6" w:space="0" w:color="auto"/>
              <w:left w:val="single" w:sz="6" w:space="0" w:color="auto"/>
              <w:bottom w:val="single" w:sz="6" w:space="0" w:color="auto"/>
              <w:right w:val="single" w:sz="12" w:space="0" w:color="auto"/>
            </w:tcBorders>
            <w:shd w:val="clear" w:color="auto" w:fill="FCE4D6"/>
            <w:tcMar>
              <w:left w:w="105" w:type="dxa"/>
              <w:right w:w="105" w:type="dxa"/>
            </w:tcMar>
            <w:vAlign w:val="center"/>
          </w:tcPr>
          <w:p w14:paraId="4D497999" w14:textId="128CD4D7" w:rsidR="365D9676" w:rsidRPr="001B18E8" w:rsidRDefault="365D9676" w:rsidP="365D9676">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more and better data available from the surveillance system (in which case refer to QUANT &amp; QUAL contribution stories), data sharing processes &amp; systems, resources, incentives, legal factors, cooperation, TA, etc.</w:t>
            </w:r>
          </w:p>
        </w:tc>
        <w:tc>
          <w:tcPr>
            <w:tcW w:w="6270" w:type="dxa"/>
            <w:tcBorders>
              <w:top w:val="single" w:sz="6" w:space="0" w:color="auto"/>
              <w:left w:val="single" w:sz="12" w:space="0" w:color="auto"/>
              <w:bottom w:val="single" w:sz="6" w:space="0" w:color="auto"/>
              <w:right w:val="single" w:sz="12" w:space="0" w:color="auto"/>
            </w:tcBorders>
            <w:shd w:val="clear" w:color="auto" w:fill="FCE4D6"/>
            <w:tcMar>
              <w:left w:w="105" w:type="dxa"/>
              <w:right w:w="105" w:type="dxa"/>
            </w:tcMar>
          </w:tcPr>
          <w:p w14:paraId="0CB6FDBD" w14:textId="7D62FC05" w:rsidR="365D9676" w:rsidRDefault="365D9676" w:rsidP="365D9676">
            <w:pPr>
              <w:rPr>
                <w:rFonts w:eastAsia="Calibri" w:cs="Calibri"/>
                <w:color w:val="000000"/>
                <w:sz w:val="20"/>
                <w:szCs w:val="20"/>
              </w:rPr>
            </w:pPr>
          </w:p>
        </w:tc>
      </w:tr>
      <w:tr w:rsidR="365D9676" w14:paraId="1286E485" w14:textId="77777777" w:rsidTr="365D9676">
        <w:trPr>
          <w:trHeight w:val="1560"/>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0C074B5C" w14:textId="64262EA9" w:rsidR="365D9676" w:rsidRDefault="365D9676" w:rsidP="365D9676">
            <w:pPr>
              <w:rPr>
                <w:rFonts w:eastAsia="Calibri" w:cs="Calibri"/>
                <w:color w:val="000000"/>
                <w:sz w:val="20"/>
                <w:szCs w:val="20"/>
              </w:rPr>
            </w:pPr>
            <w:r w:rsidRPr="365D9676">
              <w:rPr>
                <w:rFonts w:eastAsia="Calibri" w:cs="Calibri"/>
                <w:color w:val="000000"/>
                <w:sz w:val="20"/>
                <w:szCs w:val="20"/>
              </w:rPr>
              <w:t>EQ5 EQ2</w:t>
            </w:r>
            <w:r w:rsidRPr="001B18E8">
              <w:rPr>
                <w:rFonts w:eastAsia="Calibri" w:cs="Calibri"/>
                <w:color w:val="000000"/>
                <w:sz w:val="20"/>
                <w:szCs w:val="20"/>
              </w:rPr>
              <w:t xml:space="preserve"> / Change 4</w:t>
            </w:r>
          </w:p>
        </w:tc>
        <w:tc>
          <w:tcPr>
            <w:tcW w:w="6270" w:type="dxa"/>
            <w:tcBorders>
              <w:top w:val="single" w:sz="6" w:space="0" w:color="auto"/>
              <w:left w:val="single" w:sz="6" w:space="0" w:color="auto"/>
              <w:bottom w:val="single" w:sz="6" w:space="0" w:color="auto"/>
              <w:right w:val="single" w:sz="12" w:space="0" w:color="auto"/>
            </w:tcBorders>
            <w:shd w:val="clear" w:color="auto" w:fill="FCE4D6"/>
            <w:tcMar>
              <w:left w:w="105" w:type="dxa"/>
              <w:right w:w="105" w:type="dxa"/>
            </w:tcMar>
            <w:vAlign w:val="center"/>
          </w:tcPr>
          <w:p w14:paraId="5CFB5F64" w14:textId="35E499A0" w:rsidR="365D9676" w:rsidRPr="001B18E8" w:rsidRDefault="365D9676" w:rsidP="365D9676">
            <w:pPr>
              <w:rPr>
                <w:rFonts w:eastAsia="Calibri" w:cs="Calibri"/>
                <w:sz w:val="20"/>
                <w:szCs w:val="20"/>
              </w:rPr>
            </w:pPr>
            <w:r w:rsidRPr="001B18E8">
              <w:rPr>
                <w:rFonts w:eastAsia="Calibri" w:cs="Calibri"/>
                <w:sz w:val="20"/>
                <w:szCs w:val="20"/>
              </w:rPr>
              <w:t>What was the Fleming Fund (</w:t>
            </w:r>
            <w:r w:rsidRPr="001B18E8">
              <w:rPr>
                <w:rFonts w:eastAsia="Calibri" w:cs="Calibri"/>
                <w:b/>
                <w:bCs/>
                <w:sz w:val="20"/>
                <w:szCs w:val="20"/>
              </w:rPr>
              <w:t>CG/RG/Fellows</w:t>
            </w:r>
            <w:r w:rsidRPr="001B18E8">
              <w:rPr>
                <w:rFonts w:eastAsia="Calibri" w:cs="Calibri"/>
                <w:sz w:val="20"/>
                <w:szCs w:val="20"/>
              </w:rPr>
              <w:t xml:space="preserve">) </w:t>
            </w:r>
            <w:r w:rsidRPr="001B18E8">
              <w:rPr>
                <w:rFonts w:eastAsia="Calibri" w:cs="Calibri"/>
                <w:b/>
                <w:bCs/>
                <w:sz w:val="20"/>
                <w:szCs w:val="20"/>
              </w:rPr>
              <w:t>contribution</w:t>
            </w:r>
            <w:r w:rsidRPr="001B18E8">
              <w:rPr>
                <w:rFonts w:eastAsia="Calibri" w:cs="Calibri"/>
                <w:sz w:val="20"/>
                <w:szCs w:val="20"/>
              </w:rPr>
              <w:t xml:space="preserve"> to those drivers?</w:t>
            </w:r>
            <w:r w:rsidRPr="001B18E8">
              <w:br/>
            </w:r>
            <w:r w:rsidRPr="001B18E8">
              <w:rPr>
                <w:rFonts w:eastAsia="Calibri" w:cs="Calibri"/>
                <w:sz w:val="20"/>
                <w:szCs w:val="20"/>
              </w:rPr>
              <w:t>How vital was that it compared to the contribution of:</w:t>
            </w:r>
            <w:r w:rsidRPr="001B18E8">
              <w:br/>
            </w:r>
            <w:r w:rsidRPr="001B18E8">
              <w:rPr>
                <w:rFonts w:eastAsia="Calibri" w:cs="Calibri"/>
                <w:sz w:val="20"/>
                <w:szCs w:val="20"/>
              </w:rPr>
              <w:t>-Global Projects (name any active in country)</w:t>
            </w:r>
            <w:r w:rsidRPr="001B18E8">
              <w:br/>
            </w:r>
            <w:r w:rsidRPr="001B18E8">
              <w:rPr>
                <w:rFonts w:eastAsia="Calibri" w:cs="Calibri"/>
                <w:sz w:val="20"/>
                <w:szCs w:val="20"/>
              </w:rPr>
              <w:t>-Other influencing factors (could be government activities, interventions by other DPs or exogenous factors such as COVID-19?</w:t>
            </w:r>
          </w:p>
        </w:tc>
        <w:tc>
          <w:tcPr>
            <w:tcW w:w="6270" w:type="dxa"/>
            <w:tcBorders>
              <w:top w:val="single" w:sz="6" w:space="0" w:color="auto"/>
              <w:left w:val="single" w:sz="12" w:space="0" w:color="auto"/>
              <w:bottom w:val="single" w:sz="6" w:space="0" w:color="auto"/>
              <w:right w:val="single" w:sz="12" w:space="0" w:color="auto"/>
            </w:tcBorders>
            <w:shd w:val="clear" w:color="auto" w:fill="FCE4D6"/>
            <w:tcMar>
              <w:left w:w="105" w:type="dxa"/>
              <w:right w:w="105" w:type="dxa"/>
            </w:tcMar>
          </w:tcPr>
          <w:p w14:paraId="2C61A8B6" w14:textId="6154157F" w:rsidR="365D9676" w:rsidRDefault="365D9676" w:rsidP="365D9676">
            <w:pPr>
              <w:rPr>
                <w:rFonts w:eastAsia="Calibri" w:cs="Calibri"/>
                <w:color w:val="000000"/>
                <w:sz w:val="20"/>
                <w:szCs w:val="20"/>
              </w:rPr>
            </w:pPr>
          </w:p>
        </w:tc>
      </w:tr>
      <w:tr w:rsidR="365D9676" w14:paraId="39FC4C1B" w14:textId="77777777" w:rsidTr="00D11AEE">
        <w:trPr>
          <w:trHeight w:val="525"/>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00C3C2D7" w14:textId="11A84211" w:rsidR="365D9676" w:rsidRDefault="365D9676" w:rsidP="365D9676">
            <w:pPr>
              <w:rPr>
                <w:rFonts w:eastAsia="Calibri" w:cs="Calibri"/>
                <w:color w:val="000000"/>
                <w:sz w:val="20"/>
                <w:szCs w:val="20"/>
              </w:rPr>
            </w:pPr>
            <w:r w:rsidRPr="365D9676">
              <w:rPr>
                <w:rFonts w:eastAsia="Calibri" w:cs="Calibri"/>
                <w:color w:val="000000"/>
                <w:sz w:val="20"/>
                <w:szCs w:val="20"/>
              </w:rPr>
              <w:t>EQ5 (HH)</w:t>
            </w:r>
            <w:r w:rsidRPr="001B18E8">
              <w:rPr>
                <w:rFonts w:eastAsia="Calibri" w:cs="Calibri"/>
                <w:color w:val="000000"/>
                <w:sz w:val="20"/>
                <w:szCs w:val="20"/>
              </w:rPr>
              <w:t xml:space="preserve"> / Change 4</w:t>
            </w:r>
          </w:p>
        </w:tc>
        <w:tc>
          <w:tcPr>
            <w:tcW w:w="6270" w:type="dxa"/>
            <w:tcBorders>
              <w:top w:val="single" w:sz="6" w:space="0" w:color="auto"/>
              <w:left w:val="single" w:sz="6" w:space="0" w:color="auto"/>
              <w:bottom w:val="nil"/>
              <w:right w:val="single" w:sz="12" w:space="0" w:color="auto"/>
            </w:tcBorders>
            <w:shd w:val="clear" w:color="auto" w:fill="FCE4D6"/>
            <w:tcMar>
              <w:left w:w="105" w:type="dxa"/>
              <w:right w:w="105" w:type="dxa"/>
            </w:tcMar>
            <w:vAlign w:val="center"/>
          </w:tcPr>
          <w:p w14:paraId="53D759C6" w14:textId="578EBFE5" w:rsidR="365D9676" w:rsidRDefault="365D9676" w:rsidP="00D11AEE">
            <w:pPr>
              <w:rPr>
                <w:rFonts w:eastAsia="Calibri" w:cs="Calibri"/>
                <w:color w:val="000000"/>
                <w:sz w:val="20"/>
                <w:szCs w:val="20"/>
              </w:rPr>
            </w:pPr>
            <w:r w:rsidRPr="365D9676">
              <w:rPr>
                <w:rFonts w:eastAsia="Calibri" w:cs="Calibri"/>
                <w:color w:val="000000"/>
                <w:sz w:val="20"/>
                <w:szCs w:val="20"/>
              </w:rPr>
              <w:t xml:space="preserve">If there was </w:t>
            </w:r>
            <w:r w:rsidRPr="365D9676">
              <w:rPr>
                <w:rFonts w:eastAsia="Calibri" w:cs="Calibri"/>
                <w:b/>
                <w:bCs/>
                <w:color w:val="000000"/>
                <w:sz w:val="20"/>
                <w:szCs w:val="20"/>
              </w:rPr>
              <w:t>no or negative change</w:t>
            </w:r>
            <w:r w:rsidRPr="365D9676">
              <w:rPr>
                <w:rFonts w:eastAsia="Calibri" w:cs="Calibri"/>
                <w:color w:val="000000"/>
                <w:sz w:val="20"/>
                <w:szCs w:val="20"/>
              </w:rPr>
              <w:t xml:space="preserve"> in this area, </w:t>
            </w:r>
            <w:r w:rsidRPr="365D9676">
              <w:rPr>
                <w:rFonts w:eastAsia="Calibri" w:cs="Calibri"/>
                <w:b/>
                <w:bCs/>
                <w:color w:val="000000"/>
                <w:sz w:val="20"/>
                <w:szCs w:val="20"/>
              </w:rPr>
              <w:t>why</w:t>
            </w:r>
            <w:r w:rsidRPr="365D9676">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12" w:space="0" w:color="auto"/>
              <w:bottom w:val="nil"/>
              <w:right w:val="single" w:sz="12" w:space="0" w:color="auto"/>
            </w:tcBorders>
            <w:shd w:val="clear" w:color="auto" w:fill="FCE4D6"/>
            <w:tcMar>
              <w:left w:w="105" w:type="dxa"/>
              <w:right w:w="105" w:type="dxa"/>
            </w:tcMar>
          </w:tcPr>
          <w:p w14:paraId="67C3D10A" w14:textId="75DA0E1E" w:rsidR="365D9676" w:rsidRDefault="365D9676" w:rsidP="365D9676">
            <w:pPr>
              <w:rPr>
                <w:rFonts w:eastAsia="Calibri" w:cs="Calibri"/>
                <w:color w:val="000000"/>
                <w:sz w:val="20"/>
                <w:szCs w:val="20"/>
              </w:rPr>
            </w:pPr>
          </w:p>
        </w:tc>
      </w:tr>
      <w:tr w:rsidR="365D9676" w14:paraId="7BADBAA1" w14:textId="77777777" w:rsidTr="008723CC">
        <w:trPr>
          <w:trHeight w:val="2948"/>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037D4B74" w14:textId="6EEAFFF0" w:rsidR="365D9676" w:rsidRDefault="365D9676" w:rsidP="365D9676">
            <w:pPr>
              <w:rPr>
                <w:rFonts w:eastAsia="Calibri" w:cs="Calibri"/>
                <w:color w:val="000000"/>
                <w:sz w:val="20"/>
                <w:szCs w:val="20"/>
              </w:rPr>
            </w:pPr>
            <w:r w:rsidRPr="365D9676">
              <w:rPr>
                <w:rFonts w:eastAsia="Calibri" w:cs="Calibri"/>
                <w:color w:val="000000"/>
                <w:sz w:val="20"/>
                <w:szCs w:val="20"/>
              </w:rPr>
              <w:t>EQ5 (AH)</w:t>
            </w:r>
            <w:r w:rsidRPr="001B18E8">
              <w:rPr>
                <w:rFonts w:eastAsia="Calibri" w:cs="Calibri"/>
                <w:color w:val="000000"/>
                <w:sz w:val="20"/>
                <w:szCs w:val="20"/>
              </w:rPr>
              <w:t xml:space="preserve"> / Change 5</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11723BF5" w14:textId="5478609C" w:rsidR="365D9676" w:rsidRDefault="365D9676" w:rsidP="365D9676">
            <w:pPr>
              <w:rPr>
                <w:rFonts w:eastAsia="Calibri" w:cs="Calibri"/>
                <w:sz w:val="20"/>
                <w:szCs w:val="20"/>
              </w:rPr>
            </w:pPr>
            <w:r w:rsidRPr="365D9676">
              <w:rPr>
                <w:rFonts w:eastAsia="Calibri" w:cs="Calibri"/>
                <w:sz w:val="20"/>
                <w:szCs w:val="20"/>
              </w:rPr>
              <w:t xml:space="preserve">Has there been an improvement in quantity and quality of </w:t>
            </w:r>
            <w:r w:rsidRPr="365D9676">
              <w:rPr>
                <w:sz w:val="20"/>
                <w:szCs w:val="20"/>
                <w:u w:val="single"/>
              </w:rPr>
              <w:t>AH</w:t>
            </w:r>
            <w:r w:rsidRPr="365D9676">
              <w:rPr>
                <w:rFonts w:eastAsia="Calibri" w:cs="Calibri"/>
                <w:sz w:val="20"/>
                <w:szCs w:val="20"/>
              </w:rPr>
              <w:t xml:space="preserve"> </w:t>
            </w:r>
            <w:r w:rsidRPr="365D9676">
              <w:rPr>
                <w:rFonts w:eastAsia="Calibri" w:cs="Calibri"/>
                <w:b/>
                <w:bCs/>
                <w:sz w:val="20"/>
                <w:szCs w:val="20"/>
              </w:rPr>
              <w:t>AMU data shared internationally</w:t>
            </w:r>
            <w:r w:rsidRPr="365D9676">
              <w:rPr>
                <w:rFonts w:eastAsia="Calibri" w:cs="Calibri"/>
                <w:sz w:val="20"/>
                <w:szCs w:val="20"/>
              </w:rPr>
              <w:t xml:space="preserve"> with OIE since 2018? Which reporting option was used then and which reporting option is used now?:</w:t>
            </w:r>
            <w:r>
              <w:br/>
            </w:r>
            <w:r w:rsidRPr="365D9676">
              <w:rPr>
                <w:rFonts w:eastAsia="Calibri" w:cs="Calibri"/>
                <w:sz w:val="20"/>
                <w:szCs w:val="20"/>
              </w:rPr>
              <w:t xml:space="preserve">Reporting Option 1: allows countries to distinguish quantities of antimicrobial agents by type of use (therapeutic or growth promotion);  </w:t>
            </w:r>
            <w:r>
              <w:br/>
            </w:r>
            <w:r w:rsidRPr="365D9676">
              <w:rPr>
                <w:rFonts w:eastAsia="Calibri" w:cs="Calibri"/>
                <w:sz w:val="20"/>
                <w:szCs w:val="20"/>
              </w:rPr>
              <w:t xml:space="preserve">Reporting Option 2: allows countries to distinguish quantities of antimicrobial agents by type of use and animal groups (food-producing terrestrial and aquatic species and companion animals);  </w:t>
            </w:r>
            <w:r>
              <w:br/>
            </w:r>
            <w:r w:rsidRPr="365D9676">
              <w:rPr>
                <w:rFonts w:eastAsia="Calibri" w:cs="Calibri"/>
                <w:sz w:val="20"/>
                <w:szCs w:val="20"/>
              </w:rPr>
              <w:t xml:space="preserve">Reporting Option 3: allows countries to distinguish quantities of antimicrobial agents by type of use and routes of administration (distinguishing by group of animals is optional)   </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7854236F" w14:textId="6ABC7BD0" w:rsidR="365D9676" w:rsidRDefault="365D9676" w:rsidP="365D9676">
            <w:pPr>
              <w:rPr>
                <w:rFonts w:eastAsia="Calibri" w:cs="Calibri"/>
                <w:sz w:val="20"/>
                <w:szCs w:val="20"/>
              </w:rPr>
            </w:pPr>
          </w:p>
        </w:tc>
      </w:tr>
      <w:tr w:rsidR="365D9676" w14:paraId="34601AEC" w14:textId="77777777" w:rsidTr="365D9676">
        <w:trPr>
          <w:trHeight w:val="945"/>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07765AB0" w14:textId="2B41DB8E" w:rsidR="365D9676" w:rsidRDefault="365D9676" w:rsidP="365D9676">
            <w:pPr>
              <w:rPr>
                <w:rFonts w:eastAsia="Calibri" w:cs="Calibri"/>
                <w:color w:val="000000"/>
                <w:sz w:val="20"/>
                <w:szCs w:val="20"/>
              </w:rPr>
            </w:pPr>
            <w:r w:rsidRPr="365D9676">
              <w:rPr>
                <w:rFonts w:eastAsia="Calibri" w:cs="Calibri"/>
                <w:color w:val="000000"/>
                <w:sz w:val="20"/>
                <w:szCs w:val="20"/>
              </w:rPr>
              <w:t>EQ5 (AH)</w:t>
            </w:r>
            <w:r w:rsidRPr="001B18E8">
              <w:rPr>
                <w:rFonts w:eastAsia="Calibri" w:cs="Calibri"/>
                <w:color w:val="000000"/>
                <w:sz w:val="20"/>
                <w:szCs w:val="20"/>
              </w:rPr>
              <w:t xml:space="preserve"> / Change 5</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0C24177C" w14:textId="36CCE4FA"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and in which ways do you think the </w:t>
            </w:r>
            <w:r w:rsidRPr="365D9676">
              <w:rPr>
                <w:rFonts w:eastAsia="Calibri" w:cs="Calibri"/>
                <w:b/>
                <w:bCs/>
                <w:color w:val="000000"/>
                <w:sz w:val="20"/>
                <w:szCs w:val="20"/>
              </w:rPr>
              <w:t>quality</w:t>
            </w:r>
            <w:r w:rsidRPr="365D9676">
              <w:rPr>
                <w:rFonts w:eastAsia="Calibri" w:cs="Calibri"/>
                <w:color w:val="000000"/>
                <w:sz w:val="20"/>
                <w:szCs w:val="20"/>
              </w:rPr>
              <w:t xml:space="preserve"> of AMU data </w:t>
            </w:r>
            <w:r w:rsidRPr="365D9676">
              <w:rPr>
                <w:rFonts w:eastAsia="Calibri" w:cs="Calibri"/>
                <w:b/>
                <w:bCs/>
                <w:color w:val="000000"/>
                <w:sz w:val="20"/>
                <w:szCs w:val="20"/>
              </w:rPr>
              <w:t xml:space="preserve">reported to OIE </w:t>
            </w:r>
            <w:r w:rsidRPr="365D9676">
              <w:rPr>
                <w:rFonts w:eastAsia="Calibri" w:cs="Calibri"/>
                <w:color w:val="000000"/>
                <w:sz w:val="20"/>
                <w:szCs w:val="20"/>
              </w:rPr>
              <w:t>has improved since 2018? (includingchanges within reporting options)</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3693A2E3" w14:textId="29BC433E" w:rsidR="365D9676" w:rsidRDefault="365D9676" w:rsidP="365D9676">
            <w:pPr>
              <w:rPr>
                <w:rFonts w:eastAsia="Calibri" w:cs="Calibri"/>
                <w:color w:val="000000"/>
                <w:sz w:val="20"/>
                <w:szCs w:val="20"/>
              </w:rPr>
            </w:pPr>
          </w:p>
        </w:tc>
      </w:tr>
      <w:tr w:rsidR="365D9676" w14:paraId="06546794" w14:textId="77777777" w:rsidTr="365D9676">
        <w:trPr>
          <w:trHeight w:val="1515"/>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6A0CF5EC" w14:textId="132500D8" w:rsidR="365D9676" w:rsidRDefault="365D9676" w:rsidP="365D9676">
            <w:pPr>
              <w:rPr>
                <w:rFonts w:eastAsia="Calibri" w:cs="Calibri"/>
                <w:color w:val="000000"/>
                <w:sz w:val="20"/>
                <w:szCs w:val="20"/>
              </w:rPr>
            </w:pPr>
            <w:r w:rsidRPr="365D9676">
              <w:rPr>
                <w:rFonts w:eastAsia="Calibri" w:cs="Calibri"/>
                <w:color w:val="000000"/>
                <w:sz w:val="20"/>
                <w:szCs w:val="20"/>
              </w:rPr>
              <w:t>EQ5 (AH)</w:t>
            </w:r>
            <w:r w:rsidRPr="001B18E8">
              <w:rPr>
                <w:rFonts w:eastAsia="Calibri" w:cs="Calibri"/>
                <w:color w:val="000000"/>
                <w:sz w:val="20"/>
                <w:szCs w:val="20"/>
              </w:rPr>
              <w:t xml:space="preserve"> / Change 5</w:t>
            </w:r>
          </w:p>
        </w:tc>
        <w:tc>
          <w:tcPr>
            <w:tcW w:w="6270" w:type="dxa"/>
            <w:tcBorders>
              <w:top w:val="single" w:sz="6" w:space="0" w:color="auto"/>
              <w:left w:val="single" w:sz="6" w:space="0" w:color="auto"/>
              <w:bottom w:val="single" w:sz="6" w:space="0" w:color="auto"/>
              <w:right w:val="single" w:sz="12" w:space="0" w:color="auto"/>
            </w:tcBorders>
            <w:shd w:val="clear" w:color="auto" w:fill="FCE4D6"/>
            <w:tcMar>
              <w:left w:w="105" w:type="dxa"/>
              <w:right w:w="105" w:type="dxa"/>
            </w:tcMar>
            <w:vAlign w:val="center"/>
          </w:tcPr>
          <w:p w14:paraId="6E897910" w14:textId="0DD72AAD" w:rsidR="365D9676" w:rsidRPr="001B18E8" w:rsidRDefault="365D9676" w:rsidP="365D9676">
            <w:pPr>
              <w:rPr>
                <w:rFonts w:eastAsia="Calibri" w:cs="Calibri"/>
                <w:color w:val="000000"/>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more and better data available from the surveillance system (in which case refer to QUANT &amp; QUAL contribution stories), data sharing process and systems, resourcing, incentives, cooperation, TA etc</w:t>
            </w:r>
          </w:p>
        </w:tc>
        <w:tc>
          <w:tcPr>
            <w:tcW w:w="6270" w:type="dxa"/>
            <w:tcBorders>
              <w:top w:val="single" w:sz="6" w:space="0" w:color="auto"/>
              <w:left w:val="single" w:sz="12" w:space="0" w:color="auto"/>
              <w:bottom w:val="single" w:sz="6" w:space="0" w:color="auto"/>
              <w:right w:val="single" w:sz="12" w:space="0" w:color="auto"/>
            </w:tcBorders>
            <w:shd w:val="clear" w:color="auto" w:fill="FCE4D6"/>
            <w:tcMar>
              <w:left w:w="105" w:type="dxa"/>
              <w:right w:w="105" w:type="dxa"/>
            </w:tcMar>
          </w:tcPr>
          <w:p w14:paraId="7FE460FF" w14:textId="361D047F" w:rsidR="365D9676" w:rsidRDefault="365D9676" w:rsidP="365D9676">
            <w:pPr>
              <w:rPr>
                <w:rFonts w:eastAsia="Calibri" w:cs="Calibri"/>
                <w:color w:val="000000"/>
                <w:sz w:val="20"/>
                <w:szCs w:val="20"/>
              </w:rPr>
            </w:pPr>
          </w:p>
        </w:tc>
      </w:tr>
      <w:tr w:rsidR="365D9676" w14:paraId="4D907CFF" w14:textId="77777777" w:rsidTr="365D9676">
        <w:trPr>
          <w:trHeight w:val="1560"/>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32BCE3B7" w14:textId="08577402" w:rsidR="365D9676" w:rsidRDefault="365D9676" w:rsidP="365D9676">
            <w:pPr>
              <w:rPr>
                <w:rFonts w:eastAsia="Calibri" w:cs="Calibri"/>
                <w:color w:val="000000"/>
                <w:sz w:val="20"/>
                <w:szCs w:val="20"/>
              </w:rPr>
            </w:pPr>
            <w:r w:rsidRPr="365D9676">
              <w:rPr>
                <w:rFonts w:eastAsia="Calibri" w:cs="Calibri"/>
                <w:color w:val="000000"/>
                <w:sz w:val="20"/>
                <w:szCs w:val="20"/>
              </w:rPr>
              <w:t>EQ5 (AH)</w:t>
            </w:r>
            <w:r w:rsidRPr="001B18E8">
              <w:rPr>
                <w:rFonts w:eastAsia="Calibri" w:cs="Calibri"/>
                <w:color w:val="000000"/>
                <w:sz w:val="20"/>
                <w:szCs w:val="20"/>
              </w:rPr>
              <w:t xml:space="preserve"> / Change 5</w:t>
            </w:r>
          </w:p>
        </w:tc>
        <w:tc>
          <w:tcPr>
            <w:tcW w:w="6270" w:type="dxa"/>
            <w:tcBorders>
              <w:top w:val="single" w:sz="6" w:space="0" w:color="auto"/>
              <w:left w:val="single" w:sz="6" w:space="0" w:color="auto"/>
              <w:bottom w:val="single" w:sz="6" w:space="0" w:color="auto"/>
              <w:right w:val="single" w:sz="12" w:space="0" w:color="auto"/>
            </w:tcBorders>
            <w:shd w:val="clear" w:color="auto" w:fill="FCE4D6"/>
            <w:tcMar>
              <w:left w:w="105" w:type="dxa"/>
              <w:right w:w="105" w:type="dxa"/>
            </w:tcMar>
            <w:vAlign w:val="center"/>
          </w:tcPr>
          <w:p w14:paraId="4F1BBEF3" w14:textId="7A54E5F1" w:rsidR="365D9676" w:rsidRDefault="365D9676" w:rsidP="365D9676">
            <w:pPr>
              <w:rPr>
                <w:rFonts w:eastAsia="Calibri" w:cs="Calibri"/>
                <w:color w:val="000000"/>
                <w:sz w:val="20"/>
                <w:szCs w:val="20"/>
              </w:rPr>
            </w:pPr>
            <w:r w:rsidRPr="365D9676">
              <w:rPr>
                <w:rFonts w:eastAsia="Calibri" w:cs="Calibri"/>
                <w:color w:val="000000"/>
                <w:sz w:val="20"/>
                <w:szCs w:val="20"/>
              </w:rPr>
              <w:t>What was the Fleming Fund (</w:t>
            </w:r>
            <w:r w:rsidRPr="365D9676">
              <w:rPr>
                <w:rFonts w:eastAsia="Calibri" w:cs="Calibri"/>
                <w:b/>
                <w:bCs/>
                <w:color w:val="000000"/>
                <w:sz w:val="20"/>
                <w:szCs w:val="20"/>
              </w:rPr>
              <w:t>CG/RG/Fellows</w:t>
            </w:r>
            <w:r w:rsidRPr="365D9676">
              <w:rPr>
                <w:rFonts w:eastAsia="Calibri" w:cs="Calibri"/>
                <w:color w:val="000000"/>
                <w:sz w:val="20"/>
                <w:szCs w:val="20"/>
              </w:rPr>
              <w:t xml:space="preserve">) </w:t>
            </w:r>
            <w:r w:rsidRPr="365D9676">
              <w:rPr>
                <w:rFonts w:eastAsia="Calibri" w:cs="Calibri"/>
                <w:b/>
                <w:bCs/>
                <w:color w:val="000000"/>
                <w:sz w:val="20"/>
                <w:szCs w:val="20"/>
              </w:rPr>
              <w:t>contribution</w:t>
            </w:r>
            <w:r w:rsidRPr="365D9676">
              <w:rPr>
                <w:rFonts w:eastAsia="Calibri" w:cs="Calibri"/>
                <w:color w:val="000000"/>
                <w:sz w:val="20"/>
                <w:szCs w:val="20"/>
              </w:rPr>
              <w:t xml:space="preserve"> to those drivers?</w:t>
            </w:r>
            <w:r>
              <w:br/>
            </w:r>
            <w:r w:rsidRPr="365D9676">
              <w:rPr>
                <w:rFonts w:eastAsia="Calibri" w:cs="Calibri"/>
                <w:color w:val="000000"/>
                <w:sz w:val="20"/>
                <w:szCs w:val="20"/>
              </w:rPr>
              <w:t>How vital was that it compared to the contribution of:</w:t>
            </w:r>
            <w:r>
              <w:br/>
            </w:r>
            <w:r w:rsidRPr="365D9676">
              <w:rPr>
                <w:rFonts w:eastAsia="Calibri" w:cs="Calibri"/>
                <w:color w:val="000000"/>
                <w:sz w:val="20"/>
                <w:szCs w:val="20"/>
              </w:rPr>
              <w:t>Global Projects (name any active in country)</w:t>
            </w:r>
            <w:r>
              <w:br/>
            </w:r>
            <w:r w:rsidRPr="365D9676">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12" w:space="0" w:color="auto"/>
              <w:bottom w:val="single" w:sz="6" w:space="0" w:color="auto"/>
              <w:right w:val="single" w:sz="12" w:space="0" w:color="auto"/>
            </w:tcBorders>
            <w:shd w:val="clear" w:color="auto" w:fill="FCE4D6"/>
            <w:tcMar>
              <w:left w:w="105" w:type="dxa"/>
              <w:right w:w="105" w:type="dxa"/>
            </w:tcMar>
          </w:tcPr>
          <w:p w14:paraId="24AF8BB9" w14:textId="794DF057" w:rsidR="365D9676" w:rsidRDefault="365D9676" w:rsidP="365D9676">
            <w:pPr>
              <w:rPr>
                <w:rFonts w:eastAsia="Calibri" w:cs="Calibri"/>
                <w:color w:val="000000"/>
                <w:sz w:val="20"/>
                <w:szCs w:val="20"/>
              </w:rPr>
            </w:pPr>
          </w:p>
        </w:tc>
      </w:tr>
      <w:tr w:rsidR="365D9676" w14:paraId="3DE98EEC" w14:textId="77777777" w:rsidTr="00D11AEE">
        <w:trPr>
          <w:trHeight w:val="525"/>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167EC1EB" w14:textId="11AA2A8D" w:rsidR="365D9676" w:rsidRDefault="365D9676" w:rsidP="365D9676">
            <w:pPr>
              <w:rPr>
                <w:rFonts w:eastAsia="Calibri" w:cs="Calibri"/>
                <w:color w:val="000000"/>
                <w:sz w:val="20"/>
                <w:szCs w:val="20"/>
              </w:rPr>
            </w:pPr>
            <w:r w:rsidRPr="365D9676">
              <w:rPr>
                <w:rFonts w:eastAsia="Calibri" w:cs="Calibri"/>
                <w:color w:val="000000"/>
                <w:sz w:val="20"/>
                <w:szCs w:val="20"/>
              </w:rPr>
              <w:t>EQ5 (AH)</w:t>
            </w:r>
            <w:r w:rsidRPr="001B18E8">
              <w:rPr>
                <w:rFonts w:eastAsia="Calibri" w:cs="Calibri"/>
                <w:color w:val="000000"/>
                <w:sz w:val="20"/>
                <w:szCs w:val="20"/>
              </w:rPr>
              <w:t xml:space="preserve"> / Change 5</w:t>
            </w:r>
          </w:p>
        </w:tc>
        <w:tc>
          <w:tcPr>
            <w:tcW w:w="6270" w:type="dxa"/>
            <w:tcBorders>
              <w:top w:val="single" w:sz="6" w:space="0" w:color="auto"/>
              <w:left w:val="single" w:sz="6" w:space="0" w:color="auto"/>
              <w:bottom w:val="nil"/>
              <w:right w:val="single" w:sz="12" w:space="0" w:color="auto"/>
            </w:tcBorders>
            <w:shd w:val="clear" w:color="auto" w:fill="FCE4D6"/>
            <w:tcMar>
              <w:left w:w="105" w:type="dxa"/>
              <w:right w:w="105" w:type="dxa"/>
            </w:tcMar>
            <w:vAlign w:val="center"/>
          </w:tcPr>
          <w:p w14:paraId="5140B8BE" w14:textId="735F268D" w:rsidR="365D9676" w:rsidRDefault="365D9676" w:rsidP="00D11AEE">
            <w:pPr>
              <w:rPr>
                <w:rFonts w:eastAsia="Calibri" w:cs="Calibri"/>
                <w:color w:val="000000"/>
                <w:sz w:val="20"/>
                <w:szCs w:val="20"/>
              </w:rPr>
            </w:pPr>
            <w:r w:rsidRPr="365D9676">
              <w:rPr>
                <w:rFonts w:eastAsia="Calibri" w:cs="Calibri"/>
                <w:color w:val="000000"/>
                <w:sz w:val="20"/>
                <w:szCs w:val="20"/>
              </w:rPr>
              <w:t xml:space="preserve">If there was </w:t>
            </w:r>
            <w:r w:rsidRPr="365D9676">
              <w:rPr>
                <w:rFonts w:eastAsia="Calibri" w:cs="Calibri"/>
                <w:b/>
                <w:bCs/>
                <w:color w:val="000000"/>
                <w:sz w:val="20"/>
                <w:szCs w:val="20"/>
              </w:rPr>
              <w:t>no or negative change</w:t>
            </w:r>
            <w:r w:rsidRPr="365D9676">
              <w:rPr>
                <w:rFonts w:eastAsia="Calibri" w:cs="Calibri"/>
                <w:color w:val="000000"/>
                <w:sz w:val="20"/>
                <w:szCs w:val="20"/>
              </w:rPr>
              <w:t xml:space="preserve"> in this area, </w:t>
            </w:r>
            <w:r w:rsidRPr="365D9676">
              <w:rPr>
                <w:rFonts w:eastAsia="Calibri" w:cs="Calibri"/>
                <w:b/>
                <w:bCs/>
                <w:color w:val="000000"/>
                <w:sz w:val="20"/>
                <w:szCs w:val="20"/>
              </w:rPr>
              <w:t>why</w:t>
            </w:r>
            <w:r w:rsidRPr="365D9676">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12" w:space="0" w:color="auto"/>
              <w:bottom w:val="nil"/>
              <w:right w:val="single" w:sz="12" w:space="0" w:color="auto"/>
            </w:tcBorders>
            <w:shd w:val="clear" w:color="auto" w:fill="FCE4D6"/>
            <w:tcMar>
              <w:left w:w="105" w:type="dxa"/>
              <w:right w:w="105" w:type="dxa"/>
            </w:tcMar>
          </w:tcPr>
          <w:p w14:paraId="5440DF05" w14:textId="617B0241" w:rsidR="365D9676" w:rsidRDefault="365D9676" w:rsidP="365D9676">
            <w:pPr>
              <w:rPr>
                <w:rFonts w:eastAsia="Calibri" w:cs="Calibri"/>
                <w:color w:val="000000"/>
                <w:sz w:val="20"/>
                <w:szCs w:val="20"/>
              </w:rPr>
            </w:pPr>
          </w:p>
        </w:tc>
      </w:tr>
      <w:tr w:rsidR="365D9676" w14:paraId="6A0C7B35" w14:textId="77777777" w:rsidTr="365D9676">
        <w:trPr>
          <w:trHeight w:val="1290"/>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728028E0" w14:textId="530CB72B"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EQ2</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67A3607E" w14:textId="36890380"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have the </w:t>
            </w:r>
            <w:r w:rsidRPr="365D9676">
              <w:rPr>
                <w:rFonts w:eastAsia="Calibri" w:cs="Calibri"/>
                <w:b/>
                <w:bCs/>
                <w:color w:val="000000"/>
                <w:sz w:val="20"/>
                <w:szCs w:val="20"/>
              </w:rPr>
              <w:t>Fleming Fund's investments</w:t>
            </w:r>
            <w:r w:rsidRPr="365D9676">
              <w:rPr>
                <w:rFonts w:eastAsia="Calibri" w:cs="Calibri"/>
                <w:color w:val="000000"/>
                <w:sz w:val="20"/>
                <w:szCs w:val="20"/>
              </w:rPr>
              <w:t xml:space="preserve"> been </w:t>
            </w:r>
            <w:r w:rsidRPr="365D9676">
              <w:rPr>
                <w:rFonts w:eastAsia="Calibri" w:cs="Calibri"/>
                <w:b/>
                <w:bCs/>
                <w:color w:val="000000"/>
                <w:sz w:val="20"/>
                <w:szCs w:val="20"/>
              </w:rPr>
              <w:t>aligned</w:t>
            </w:r>
            <w:r w:rsidRPr="365D9676">
              <w:rPr>
                <w:rFonts w:eastAsia="Calibri" w:cs="Calibri"/>
                <w:color w:val="000000"/>
                <w:sz w:val="20"/>
                <w:szCs w:val="20"/>
              </w:rPr>
              <w:t xml:space="preserve"> with the NAP and other government policies/plans?</w:t>
            </w:r>
            <w:r>
              <w:br/>
            </w:r>
            <w:r w:rsidRPr="365D9676">
              <w:rPr>
                <w:rFonts w:eastAsia="Calibri" w:cs="Calibri"/>
                <w:color w:val="000000"/>
                <w:sz w:val="20"/>
                <w:szCs w:val="20"/>
              </w:rPr>
              <w:t xml:space="preserve">Probe: Are there any </w:t>
            </w:r>
            <w:r w:rsidRPr="365D9676">
              <w:rPr>
                <w:color w:val="000000"/>
                <w:sz w:val="20"/>
                <w:szCs w:val="20"/>
                <w:u w:val="single"/>
              </w:rPr>
              <w:t>duplications</w:t>
            </w:r>
            <w:r w:rsidRPr="365D9676">
              <w:rPr>
                <w:rFonts w:eastAsia="Calibri" w:cs="Calibri"/>
                <w:color w:val="000000"/>
                <w:sz w:val="20"/>
                <w:szCs w:val="20"/>
              </w:rPr>
              <w:t xml:space="preserve"> between Fleming Fund's investments and government initiatives?</w:t>
            </w:r>
            <w:r>
              <w:br/>
            </w:r>
            <w:r w:rsidRPr="365D9676">
              <w:rPr>
                <w:rFonts w:eastAsia="Calibri" w:cs="Calibri"/>
                <w:color w:val="000000"/>
                <w:sz w:val="20"/>
                <w:szCs w:val="20"/>
              </w:rPr>
              <w:t xml:space="preserve">Probe: Through which </w:t>
            </w:r>
            <w:r w:rsidRPr="365D9676">
              <w:rPr>
                <w:color w:val="000000"/>
                <w:sz w:val="20"/>
                <w:szCs w:val="20"/>
                <w:u w:val="single"/>
              </w:rPr>
              <w:t>mechanisms</w:t>
            </w:r>
            <w:r w:rsidRPr="365D9676">
              <w:rPr>
                <w:rFonts w:eastAsia="Calibri" w:cs="Calibri"/>
                <w:color w:val="000000"/>
                <w:sz w:val="20"/>
                <w:szCs w:val="20"/>
              </w:rPr>
              <w:t xml:space="preserve"> was alignment ensured?</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6E9A8FCE" w14:textId="1A3668E2" w:rsidR="365D9676" w:rsidRDefault="365D9676" w:rsidP="365D9676">
            <w:pPr>
              <w:rPr>
                <w:rFonts w:eastAsia="Calibri" w:cs="Calibri"/>
                <w:color w:val="000000"/>
                <w:sz w:val="20"/>
                <w:szCs w:val="20"/>
              </w:rPr>
            </w:pPr>
          </w:p>
        </w:tc>
      </w:tr>
      <w:tr w:rsidR="365D9676" w14:paraId="55DBBC04" w14:textId="77777777" w:rsidTr="365D9676">
        <w:trPr>
          <w:trHeight w:val="1815"/>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2E3C2064" w14:textId="6F3ED01C"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EQ2</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0C95165C" w14:textId="3C11EC75"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w:t>
            </w:r>
            <w:r w:rsidRPr="365D9676">
              <w:rPr>
                <w:rFonts w:eastAsia="Calibri" w:cs="Calibri"/>
                <w:b/>
                <w:bCs/>
                <w:color w:val="000000"/>
                <w:sz w:val="20"/>
                <w:szCs w:val="20"/>
              </w:rPr>
              <w:t xml:space="preserve">CG, RG, Fellowships and Global Projects </w:t>
            </w:r>
            <w:r w:rsidRPr="365D9676">
              <w:rPr>
                <w:rFonts w:eastAsia="Calibri" w:cs="Calibri"/>
                <w:color w:val="000000"/>
                <w:sz w:val="20"/>
                <w:szCs w:val="20"/>
              </w:rPr>
              <w:t>have been</w:t>
            </w:r>
            <w:r w:rsidRPr="365D9676">
              <w:rPr>
                <w:rFonts w:eastAsia="Calibri" w:cs="Calibri"/>
                <w:b/>
                <w:bCs/>
                <w:color w:val="000000"/>
                <w:sz w:val="20"/>
                <w:szCs w:val="20"/>
              </w:rPr>
              <w:t xml:space="preserve"> well coordinated</w:t>
            </w:r>
            <w:r w:rsidRPr="365D9676">
              <w:rPr>
                <w:rFonts w:eastAsia="Calibri" w:cs="Calibri"/>
                <w:color w:val="000000"/>
                <w:sz w:val="20"/>
                <w:szCs w:val="20"/>
              </w:rPr>
              <w:t xml:space="preserve"> and </w:t>
            </w:r>
            <w:r w:rsidRPr="365D9676">
              <w:rPr>
                <w:rFonts w:eastAsia="Calibri" w:cs="Calibri"/>
                <w:b/>
                <w:bCs/>
                <w:color w:val="000000"/>
                <w:sz w:val="20"/>
                <w:szCs w:val="20"/>
              </w:rPr>
              <w:t>internally coherent</w:t>
            </w:r>
            <w:r w:rsidRPr="365D9676">
              <w:rPr>
                <w:rFonts w:eastAsia="Calibri" w:cs="Calibri"/>
                <w:color w:val="000000"/>
                <w:sz w:val="20"/>
                <w:szCs w:val="20"/>
              </w:rPr>
              <w:t>?</w:t>
            </w:r>
            <w:r>
              <w:br/>
            </w:r>
            <w:r w:rsidRPr="365D9676">
              <w:rPr>
                <w:rFonts w:eastAsia="Calibri" w:cs="Calibri"/>
                <w:color w:val="000000"/>
                <w:sz w:val="20"/>
                <w:szCs w:val="20"/>
              </w:rPr>
              <w:t xml:space="preserve">Probe: Are there any </w:t>
            </w:r>
            <w:r w:rsidRPr="365D9676">
              <w:rPr>
                <w:color w:val="000000"/>
                <w:sz w:val="20"/>
                <w:szCs w:val="20"/>
                <w:u w:val="single"/>
              </w:rPr>
              <w:t>duplications</w:t>
            </w:r>
            <w:r w:rsidRPr="365D9676">
              <w:rPr>
                <w:rFonts w:eastAsia="Calibri" w:cs="Calibri"/>
                <w:color w:val="000000"/>
                <w:sz w:val="20"/>
                <w:szCs w:val="20"/>
              </w:rPr>
              <w:t xml:space="preserve"> between CG, RG, Fellowships and Global Projects?</w:t>
            </w:r>
            <w:r>
              <w:br/>
            </w:r>
            <w:r w:rsidRPr="365D9676">
              <w:rPr>
                <w:rFonts w:eastAsia="Calibri" w:cs="Calibri"/>
                <w:color w:val="000000"/>
                <w:sz w:val="20"/>
                <w:szCs w:val="20"/>
              </w:rPr>
              <w:t xml:space="preserve">Probe: How effective have been </w:t>
            </w:r>
            <w:r w:rsidRPr="365D9676">
              <w:rPr>
                <w:color w:val="000000"/>
                <w:sz w:val="20"/>
                <w:szCs w:val="20"/>
                <w:u w:val="single"/>
              </w:rPr>
              <w:t>mechanisms</w:t>
            </w:r>
            <w:r w:rsidRPr="365D9676">
              <w:rPr>
                <w:rFonts w:eastAsia="Calibri" w:cs="Calibri"/>
                <w:color w:val="000000"/>
                <w:sz w:val="20"/>
                <w:szCs w:val="20"/>
              </w:rPr>
              <w:t xml:space="preserve"> put in place by the MA to ensure internal coherence (such as the Country Coordination mechanisms) in delivering coherence?</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20E346AB" w14:textId="127D4BD5" w:rsidR="365D9676" w:rsidRDefault="365D9676" w:rsidP="365D9676">
            <w:pPr>
              <w:rPr>
                <w:rFonts w:eastAsia="Calibri" w:cs="Calibri"/>
                <w:color w:val="000000"/>
                <w:sz w:val="20"/>
                <w:szCs w:val="20"/>
              </w:rPr>
            </w:pPr>
          </w:p>
        </w:tc>
      </w:tr>
      <w:tr w:rsidR="365D9676" w14:paraId="49508FED" w14:textId="77777777" w:rsidTr="365D9676">
        <w:trPr>
          <w:trHeight w:val="1560"/>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6B71CBBE" w14:textId="127ACEF5" w:rsidR="365D9676" w:rsidRPr="001B18E8" w:rsidRDefault="365D9676" w:rsidP="365D9676">
            <w:pPr>
              <w:rPr>
                <w:rFonts w:eastAsia="Calibri" w:cs="Calibri"/>
                <w:color w:val="000000"/>
                <w:sz w:val="20"/>
                <w:szCs w:val="20"/>
              </w:rPr>
            </w:pPr>
            <w:r w:rsidRPr="001B18E8">
              <w:rPr>
                <w:rFonts w:eastAsia="Calibri" w:cs="Calibri"/>
                <w:color w:val="000000"/>
                <w:sz w:val="20"/>
                <w:szCs w:val="20"/>
              </w:rPr>
              <w:t>EQ2</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21BD0589" w14:textId="6C4E8311" w:rsidR="365D9676" w:rsidRDefault="365D9676" w:rsidP="365D9676">
            <w:pPr>
              <w:rPr>
                <w:rFonts w:eastAsia="Calibri" w:cs="Calibri"/>
                <w:color w:val="000000"/>
                <w:sz w:val="20"/>
                <w:szCs w:val="20"/>
              </w:rPr>
            </w:pPr>
            <w:r w:rsidRPr="365D9676">
              <w:rPr>
                <w:rFonts w:eastAsia="Calibri" w:cs="Calibri"/>
                <w:color w:val="000000"/>
                <w:sz w:val="20"/>
                <w:szCs w:val="20"/>
              </w:rPr>
              <w:t xml:space="preserve">To what extent have the </w:t>
            </w:r>
            <w:r w:rsidRPr="365D9676">
              <w:rPr>
                <w:rFonts w:eastAsia="Calibri" w:cs="Calibri"/>
                <w:b/>
                <w:bCs/>
                <w:color w:val="000000"/>
                <w:sz w:val="20"/>
                <w:szCs w:val="20"/>
              </w:rPr>
              <w:t xml:space="preserve">Fleming Fund's investments </w:t>
            </w:r>
            <w:r w:rsidRPr="365D9676">
              <w:rPr>
                <w:rFonts w:eastAsia="Calibri" w:cs="Calibri"/>
                <w:color w:val="000000"/>
                <w:sz w:val="20"/>
                <w:szCs w:val="20"/>
              </w:rPr>
              <w:t xml:space="preserve">been </w:t>
            </w:r>
            <w:r w:rsidRPr="365D9676">
              <w:rPr>
                <w:rFonts w:eastAsia="Calibri" w:cs="Calibri"/>
                <w:b/>
                <w:bCs/>
                <w:color w:val="000000"/>
                <w:sz w:val="20"/>
                <w:szCs w:val="20"/>
              </w:rPr>
              <w:t>aligned with interventions</w:t>
            </w:r>
            <w:r w:rsidRPr="365D9676">
              <w:rPr>
                <w:rFonts w:eastAsia="Calibri" w:cs="Calibri"/>
                <w:color w:val="000000"/>
                <w:sz w:val="20"/>
                <w:szCs w:val="20"/>
              </w:rPr>
              <w:t xml:space="preserve"> funded </w:t>
            </w:r>
            <w:r w:rsidRPr="365D9676">
              <w:rPr>
                <w:rFonts w:eastAsia="Calibri" w:cs="Calibri"/>
                <w:b/>
                <w:bCs/>
                <w:color w:val="000000"/>
                <w:sz w:val="20"/>
                <w:szCs w:val="20"/>
              </w:rPr>
              <w:t>by other DPs</w:t>
            </w:r>
            <w:r w:rsidRPr="365D9676">
              <w:rPr>
                <w:rFonts w:eastAsia="Calibri" w:cs="Calibri"/>
                <w:color w:val="000000"/>
                <w:sz w:val="20"/>
                <w:szCs w:val="20"/>
              </w:rPr>
              <w:t>?</w:t>
            </w:r>
            <w:r>
              <w:br/>
            </w:r>
            <w:r w:rsidRPr="365D9676">
              <w:rPr>
                <w:rFonts w:eastAsia="Calibri" w:cs="Calibri"/>
                <w:color w:val="000000"/>
                <w:sz w:val="20"/>
                <w:szCs w:val="20"/>
              </w:rPr>
              <w:t xml:space="preserve">Probe: Are there any </w:t>
            </w:r>
            <w:r w:rsidRPr="365D9676">
              <w:rPr>
                <w:color w:val="000000"/>
                <w:sz w:val="20"/>
                <w:szCs w:val="20"/>
                <w:u w:val="single"/>
              </w:rPr>
              <w:t>duplications</w:t>
            </w:r>
            <w:r w:rsidRPr="365D9676">
              <w:rPr>
                <w:rFonts w:eastAsia="Calibri" w:cs="Calibri"/>
                <w:color w:val="000000"/>
                <w:sz w:val="20"/>
                <w:szCs w:val="20"/>
              </w:rPr>
              <w:t xml:space="preserve"> between Fleming Fund's investments and DP initiatives?</w:t>
            </w:r>
            <w:r>
              <w:br/>
            </w:r>
            <w:r w:rsidRPr="365D9676">
              <w:rPr>
                <w:rFonts w:eastAsia="Calibri" w:cs="Calibri"/>
                <w:color w:val="000000"/>
                <w:sz w:val="20"/>
                <w:szCs w:val="20"/>
              </w:rPr>
              <w:t xml:space="preserve">Probe: Through which </w:t>
            </w:r>
            <w:r w:rsidRPr="365D9676">
              <w:rPr>
                <w:color w:val="000000"/>
                <w:sz w:val="20"/>
                <w:szCs w:val="20"/>
                <w:u w:val="single"/>
              </w:rPr>
              <w:t>mechanisms</w:t>
            </w:r>
            <w:r w:rsidRPr="365D9676">
              <w:rPr>
                <w:rFonts w:eastAsia="Calibri" w:cs="Calibri"/>
                <w:color w:val="000000"/>
                <w:sz w:val="20"/>
                <w:szCs w:val="20"/>
              </w:rPr>
              <w:t xml:space="preserve"> did the Fleming Fund coordinate with other DPs involved in AMR / lab strengthening in country?</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480D6B47" w14:textId="0BB9ADE8" w:rsidR="365D9676" w:rsidRDefault="365D9676" w:rsidP="365D9676">
            <w:pPr>
              <w:rPr>
                <w:rFonts w:eastAsia="Calibri" w:cs="Calibri"/>
                <w:color w:val="000000"/>
                <w:sz w:val="20"/>
                <w:szCs w:val="20"/>
              </w:rPr>
            </w:pPr>
          </w:p>
        </w:tc>
      </w:tr>
      <w:tr w:rsidR="365D9676" w14:paraId="61C4F6FA" w14:textId="77777777" w:rsidTr="365D9676">
        <w:trPr>
          <w:trHeight w:val="1560"/>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6FE66963" w14:textId="77B89D01"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6F736C16" w14:textId="11C18D52" w:rsidR="365D9676" w:rsidRDefault="365D9676" w:rsidP="365D9676">
            <w:pPr>
              <w:rPr>
                <w:rFonts w:eastAsia="Calibri" w:cs="Calibri"/>
                <w:color w:val="444444"/>
              </w:rPr>
            </w:pPr>
            <w:r w:rsidRPr="365D9676">
              <w:rPr>
                <w:rFonts w:eastAsia="Calibri" w:cs="Calibri"/>
                <w:color w:val="444444"/>
              </w:rPr>
              <w:t xml:space="preserve"> 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3AB605CF" w14:textId="77E49892" w:rsidR="365D9676" w:rsidRDefault="365D9676" w:rsidP="365D9676">
            <w:pPr>
              <w:rPr>
                <w:rFonts w:eastAsia="Calibri" w:cs="Calibri"/>
                <w:color w:val="000000"/>
                <w:sz w:val="20"/>
                <w:szCs w:val="20"/>
              </w:rPr>
            </w:pPr>
          </w:p>
        </w:tc>
      </w:tr>
      <w:tr w:rsidR="365D9676" w14:paraId="6C907E88" w14:textId="77777777" w:rsidTr="365D9676">
        <w:trPr>
          <w:trHeight w:val="1560"/>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1EC2B304" w14:textId="1C75C840"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234F21C0" w14:textId="023BB049" w:rsidR="365D9676" w:rsidRDefault="365D9676" w:rsidP="365D9676">
            <w:pPr>
              <w:rPr>
                <w:rFonts w:eastAsia="Calibri" w:cs="Calibri"/>
                <w:color w:val="444444"/>
              </w:rPr>
            </w:pPr>
            <w:r w:rsidRPr="365D9676">
              <w:rPr>
                <w:rFonts w:eastAsia="Calibri" w:cs="Calibri"/>
                <w:strike/>
                <w:color w:val="498205"/>
              </w:rPr>
              <w:t xml:space="preserve"> </w:t>
            </w:r>
            <w:r w:rsidRPr="365D9676">
              <w:rPr>
                <w:rFonts w:eastAsia="Calibri" w:cs="Calibri"/>
                <w:color w:val="444444"/>
              </w:rPr>
              <w:t>To what extent do you think staff are motivated to put new skills / responsibilities required to maintain AMR</w:t>
            </w:r>
            <w:r w:rsidR="001B18E8">
              <w:rPr>
                <w:rFonts w:eastAsia="Calibri" w:cs="Calibri"/>
                <w:strike/>
                <w:color w:val="498205"/>
              </w:rPr>
              <w:t xml:space="preserve"> </w:t>
            </w:r>
            <w:r w:rsidR="001B18E8" w:rsidRPr="001B18E8">
              <w:rPr>
                <w:rFonts w:eastAsia="Calibri" w:cs="Calibri"/>
                <w:strike/>
              </w:rPr>
              <w:t>s</w:t>
            </w:r>
            <w:r w:rsidR="001B18E8" w:rsidRPr="001B18E8">
              <w:rPr>
                <w:rFonts w:eastAsia="Calibri" w:cs="Calibri"/>
                <w:color w:val="444444"/>
              </w:rPr>
              <w:t>urveillance</w:t>
            </w:r>
            <w:r w:rsidRPr="365D9676">
              <w:rPr>
                <w:rFonts w:eastAsia="Calibri" w:cs="Calibri"/>
                <w:color w:val="444444"/>
              </w:rPr>
              <w:t xml:space="preserve">? PROBES: Is throughput sufficient? Are </w:t>
            </w:r>
            <w:r w:rsidRPr="001B18E8">
              <w:rPr>
                <w:rFonts w:eastAsia="Calibri" w:cs="Calibri"/>
                <w:color w:val="444444"/>
              </w:rPr>
              <w:t>consumable</w:t>
            </w:r>
            <w:r w:rsidRPr="365D9676">
              <w:rPr>
                <w:rFonts w:eastAsia="Calibri" w:cs="Calibri"/>
                <w:color w:val="444444"/>
              </w:rPr>
              <w:t xml:space="preserve"> supplies assured? Are managers and institutions (eg AMRCC) interested in outputs and providing feedback? Will competing demands crowd in? Are there adequate plans in place to address any concerns? To what extent is FF focused on addressing these conditions?</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05AF9271" w14:textId="774E2723" w:rsidR="365D9676" w:rsidRDefault="365D9676" w:rsidP="365D9676">
            <w:pPr>
              <w:rPr>
                <w:rFonts w:eastAsia="Calibri" w:cs="Calibri"/>
                <w:color w:val="000000"/>
                <w:sz w:val="20"/>
                <w:szCs w:val="20"/>
              </w:rPr>
            </w:pPr>
          </w:p>
        </w:tc>
      </w:tr>
      <w:tr w:rsidR="365D9676" w14:paraId="3E4B4966" w14:textId="77777777" w:rsidTr="365D9676">
        <w:trPr>
          <w:trHeight w:val="510"/>
        </w:trPr>
        <w:tc>
          <w:tcPr>
            <w:tcW w:w="1050"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3231206C" w14:textId="2F6F87B2" w:rsidR="365D9676" w:rsidRDefault="365D9676" w:rsidP="365D9676">
            <w:pPr>
              <w:rPr>
                <w:rFonts w:eastAsia="Calibri" w:cs="Calibri"/>
                <w:color w:val="000000"/>
                <w:sz w:val="20"/>
                <w:szCs w:val="20"/>
              </w:rPr>
            </w:pPr>
            <w:r w:rsidRPr="365D9676">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6D9B6536" w14:textId="4368EFE4" w:rsidR="365D9676" w:rsidRDefault="365D9676" w:rsidP="365D9676">
            <w:pPr>
              <w:rPr>
                <w:rFonts w:eastAsia="Calibri" w:cs="Calibri"/>
                <w:color w:val="444444"/>
              </w:rPr>
            </w:pPr>
            <w:r w:rsidRPr="365D9676">
              <w:rPr>
                <w:rFonts w:eastAsia="Calibri" w:cs="Calibri"/>
                <w:color w:val="444444"/>
              </w:rPr>
              <w:t xml:space="preserve"> To what extent have you formulated and implemented an exit plan with milestones and shared objectives? If not, why not? Has sustainability received sufficient attention to date? In what ways?</w:t>
            </w:r>
          </w:p>
        </w:tc>
        <w:tc>
          <w:tcPr>
            <w:tcW w:w="627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28E74A7F" w14:textId="7CE10AC5" w:rsidR="365D9676" w:rsidRDefault="365D9676" w:rsidP="365D9676">
            <w:pPr>
              <w:rPr>
                <w:rFonts w:eastAsia="Calibri" w:cs="Calibri"/>
                <w:color w:val="000000"/>
                <w:sz w:val="20"/>
                <w:szCs w:val="20"/>
              </w:rPr>
            </w:pPr>
          </w:p>
        </w:tc>
      </w:tr>
      <w:tr w:rsidR="365D9676" w14:paraId="33E080C3" w14:textId="77777777" w:rsidTr="00D11AEE">
        <w:trPr>
          <w:trHeight w:val="1757"/>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3BC877C4" w14:textId="172DC2D5" w:rsidR="365D9676" w:rsidRDefault="365D9676" w:rsidP="365D9676">
            <w:pPr>
              <w:rPr>
                <w:rFonts w:eastAsia="Calibri" w:cs="Calibri"/>
                <w:color w:val="000000"/>
                <w:sz w:val="20"/>
                <w:szCs w:val="20"/>
              </w:rPr>
            </w:pPr>
            <w:r w:rsidRPr="365D9676">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center"/>
          </w:tcPr>
          <w:p w14:paraId="26B3F4A8" w14:textId="36609C9E" w:rsidR="365D9676" w:rsidRDefault="365D9676" w:rsidP="00D11AEE">
            <w:pPr>
              <w:rPr>
                <w:rFonts w:eastAsia="Calibri" w:cs="Calibri"/>
                <w:color w:val="000000"/>
                <w:sz w:val="20"/>
                <w:szCs w:val="20"/>
              </w:rPr>
            </w:pPr>
            <w:r w:rsidRPr="365D9676">
              <w:rPr>
                <w:rFonts w:eastAsia="Calibri" w:cs="Calibri"/>
                <w:color w:val="000000"/>
                <w:sz w:val="20"/>
                <w:szCs w:val="20"/>
              </w:rPr>
              <w:t xml:space="preserve">Do you think that surveillance data is already being used to inform strong national actions on AMR (policy implementation, regulatory change or change to national clinical guidelines?)  If yes, please give examples  PROBE: How did Fleming Fund activities contribute to these actions? If no, do you think that the main use so far has been for general awareness-raising in professional and policy networks? PROBE: Do you think that we are still at an early stage of the cycle of AMR data analysis for policy? </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7B2D5A24" w14:textId="58ABB9D2" w:rsidR="365D9676" w:rsidRDefault="365D9676" w:rsidP="365D9676">
            <w:pPr>
              <w:rPr>
                <w:rFonts w:eastAsia="Calibri" w:cs="Calibri"/>
                <w:color w:val="000000"/>
                <w:sz w:val="20"/>
                <w:szCs w:val="20"/>
              </w:rPr>
            </w:pPr>
          </w:p>
        </w:tc>
      </w:tr>
      <w:tr w:rsidR="365D9676" w14:paraId="6009B9DB" w14:textId="77777777" w:rsidTr="00D11AEE">
        <w:trPr>
          <w:trHeight w:val="1928"/>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15E58608" w14:textId="0E9CBE90" w:rsidR="365D9676" w:rsidRDefault="365D9676" w:rsidP="365D9676">
            <w:pPr>
              <w:rPr>
                <w:rFonts w:eastAsia="Calibri" w:cs="Calibri"/>
                <w:color w:val="000000"/>
                <w:sz w:val="20"/>
                <w:szCs w:val="20"/>
              </w:rPr>
            </w:pPr>
            <w:r w:rsidRPr="365D9676">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center"/>
          </w:tcPr>
          <w:p w14:paraId="25F50CC2" w14:textId="04D1FAEE" w:rsidR="365D9676" w:rsidRDefault="365D9676" w:rsidP="00D11AEE">
            <w:pPr>
              <w:rPr>
                <w:rFonts w:eastAsia="Calibri" w:cs="Calibri"/>
                <w:color w:val="000000"/>
                <w:sz w:val="20"/>
                <w:szCs w:val="20"/>
              </w:rPr>
            </w:pPr>
            <w:r w:rsidRPr="365D9676">
              <w:rPr>
                <w:rFonts w:eastAsia="Calibri" w:cs="Calibri"/>
                <w:color w:val="000000"/>
                <w:sz w:val="20"/>
                <w:szCs w:val="20"/>
              </w:rPr>
              <w:t>Thinking about the kinds of strong national actions that might be relevant to AMR (for example controls on certain uses of antimicrobials or initiatives to change professional practices), can you think of examples from the past (prior to FF) and/or not motivated by surveillance data?  PROBE: (Refer to any examples suggested by MSA analysis or other information gathered)  If yes, please give details. PROBE: what is different now / what motivates action if not surveillance data?</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5259FC7A" w14:textId="278E8F14" w:rsidR="365D9676" w:rsidRDefault="365D9676" w:rsidP="365D9676">
            <w:pPr>
              <w:rPr>
                <w:rFonts w:eastAsia="Calibri" w:cs="Calibri"/>
                <w:color w:val="000000"/>
                <w:sz w:val="20"/>
                <w:szCs w:val="20"/>
              </w:rPr>
            </w:pPr>
          </w:p>
        </w:tc>
      </w:tr>
      <w:tr w:rsidR="365D9676" w14:paraId="779E7248" w14:textId="77777777" w:rsidTr="365D9676">
        <w:trPr>
          <w:trHeight w:val="2340"/>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639482AB" w14:textId="14548938" w:rsidR="365D9676" w:rsidRDefault="365D9676" w:rsidP="365D9676">
            <w:pPr>
              <w:rPr>
                <w:rFonts w:eastAsia="Calibri" w:cs="Calibri"/>
                <w:color w:val="000000"/>
                <w:sz w:val="20"/>
                <w:szCs w:val="20"/>
              </w:rPr>
            </w:pPr>
            <w:r w:rsidRPr="001B18E8">
              <w:rPr>
                <w:rFonts w:eastAsia="Calibri" w:cs="Calibri"/>
                <w:color w:val="000000"/>
                <w:sz w:val="20"/>
                <w:szCs w:val="20"/>
              </w:rPr>
              <w:t xml:space="preserve">ACTIONS 4.1 </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bottom"/>
          </w:tcPr>
          <w:p w14:paraId="6EFF6A84" w14:textId="555F6A1B" w:rsidR="365D9676" w:rsidRPr="001B18E8" w:rsidRDefault="365D9676" w:rsidP="365D9676">
            <w:pPr>
              <w:rPr>
                <w:rFonts w:eastAsia="Calibri" w:cs="Calibri"/>
                <w:sz w:val="20"/>
                <w:szCs w:val="20"/>
              </w:rPr>
            </w:pPr>
            <w:r w:rsidRPr="001B18E8">
              <w:rPr>
                <w:rFonts w:eastAsia="Calibri" w:cs="Calibri"/>
                <w:sz w:val="20"/>
                <w:szCs w:val="20"/>
              </w:rPr>
              <w:t>Please update us on progress in collecting Examples of Use using the template we provided?</w:t>
            </w:r>
          </w:p>
          <w:p w14:paraId="12EC678A" w14:textId="4E59C0FC" w:rsidR="365D9676" w:rsidRPr="001B18E8" w:rsidRDefault="365D9676" w:rsidP="365D9676">
            <w:pPr>
              <w:rPr>
                <w:rFonts w:eastAsia="Calibri" w:cs="Calibri"/>
                <w:sz w:val="20"/>
                <w:szCs w:val="20"/>
              </w:rPr>
            </w:pPr>
          </w:p>
          <w:p w14:paraId="3DDDCC19" w14:textId="53768159" w:rsidR="365D9676" w:rsidRPr="001B18E8" w:rsidRDefault="365D9676" w:rsidP="365D9676">
            <w:pPr>
              <w:rPr>
                <w:rFonts w:eastAsia="Calibri" w:cs="Calibri"/>
                <w:sz w:val="20"/>
                <w:szCs w:val="20"/>
              </w:rPr>
            </w:pPr>
            <w:r w:rsidRPr="001B18E8">
              <w:rPr>
                <w:rFonts w:eastAsia="Calibri" w:cs="Calibri"/>
                <w:i/>
                <w:iCs/>
                <w:sz w:val="20"/>
                <w:szCs w:val="20"/>
              </w:rPr>
              <w:t xml:space="preserve">By way of reminder, this form is designed to capture </w:t>
            </w:r>
          </w:p>
          <w:p w14:paraId="0F1861E5" w14:textId="0752AA2D" w:rsidR="365D9676" w:rsidRPr="001B18E8" w:rsidRDefault="365D9676" w:rsidP="00C6374D">
            <w:pPr>
              <w:pStyle w:val="ListParagraph"/>
              <w:numPr>
                <w:ilvl w:val="0"/>
                <w:numId w:val="14"/>
              </w:numPr>
              <w:rPr>
                <w:rFonts w:eastAsia="Calibri" w:cs="Calibri"/>
                <w:sz w:val="20"/>
                <w:szCs w:val="20"/>
              </w:rPr>
            </w:pPr>
            <w:r w:rsidRPr="001B18E8">
              <w:rPr>
                <w:rFonts w:eastAsia="Calibri" w:cs="Calibri"/>
                <w:i/>
                <w:iCs/>
                <w:sz w:val="20"/>
                <w:szCs w:val="20"/>
              </w:rPr>
              <w:t>Local/facility-based changes (as opposed to national system changes)</w:t>
            </w:r>
          </w:p>
          <w:p w14:paraId="7B2EE709" w14:textId="2D4D5E44" w:rsidR="365D9676" w:rsidRPr="001B18E8" w:rsidRDefault="365D9676" w:rsidP="00C6374D">
            <w:pPr>
              <w:pStyle w:val="ListParagraph"/>
              <w:numPr>
                <w:ilvl w:val="0"/>
                <w:numId w:val="14"/>
              </w:numPr>
              <w:rPr>
                <w:rFonts w:eastAsia="Calibri" w:cs="Calibri"/>
                <w:sz w:val="20"/>
                <w:szCs w:val="20"/>
              </w:rPr>
            </w:pPr>
            <w:r w:rsidRPr="001B18E8">
              <w:rPr>
                <w:rFonts w:eastAsia="Calibri" w:cs="Calibri"/>
                <w:i/>
                <w:iCs/>
                <w:sz w:val="20"/>
                <w:szCs w:val="20"/>
              </w:rPr>
              <w:t xml:space="preserve">Specific examples of how AMR surveillance data has been used in practice, not just within surveillance systems themselves but to inform actions outside surveillance systems (for example, in clinical practice or to influence peoples’ decisions). </w:t>
            </w:r>
          </w:p>
          <w:p w14:paraId="7814B118" w14:textId="1C4B17DB" w:rsidR="365D9676" w:rsidRDefault="365D9676" w:rsidP="00C6374D">
            <w:pPr>
              <w:pStyle w:val="ListParagraph"/>
              <w:numPr>
                <w:ilvl w:val="0"/>
                <w:numId w:val="14"/>
              </w:numPr>
              <w:rPr>
                <w:rFonts w:eastAsia="Calibri" w:cs="Calibri"/>
                <w:color w:val="D13438"/>
                <w:sz w:val="20"/>
                <w:szCs w:val="20"/>
              </w:rPr>
            </w:pPr>
            <w:r w:rsidRPr="001B18E8">
              <w:rPr>
                <w:rFonts w:eastAsia="Calibri" w:cs="Calibri"/>
                <w:i/>
                <w:iCs/>
                <w:sz w:val="20"/>
                <w:szCs w:val="20"/>
              </w:rPr>
              <w:t>Examples where action has already taken place, not planned or expected action.</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12D3628D" w14:textId="7A279A7D" w:rsidR="365D9676" w:rsidRDefault="365D9676" w:rsidP="365D9676">
            <w:pPr>
              <w:rPr>
                <w:rFonts w:eastAsia="Calibri" w:cs="Calibri"/>
                <w:color w:val="000000"/>
                <w:sz w:val="20"/>
                <w:szCs w:val="20"/>
              </w:rPr>
            </w:pPr>
          </w:p>
        </w:tc>
      </w:tr>
      <w:tr w:rsidR="365D9676" w14:paraId="29DF4B7D" w14:textId="77777777" w:rsidTr="365D9676">
        <w:trPr>
          <w:trHeight w:val="2610"/>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07400897" w14:textId="119215A2"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bottom"/>
          </w:tcPr>
          <w:p w14:paraId="2839798F" w14:textId="1AB3442F" w:rsidR="365D9676" w:rsidRDefault="365D9676" w:rsidP="365D9676">
            <w:pPr>
              <w:rPr>
                <w:rFonts w:eastAsia="Calibri" w:cs="Calibri"/>
                <w:color w:val="000000"/>
                <w:sz w:val="20"/>
                <w:szCs w:val="20"/>
              </w:rPr>
            </w:pPr>
            <w:r w:rsidRPr="365D9676">
              <w:rPr>
                <w:rFonts w:eastAsia="Calibri" w:cs="Calibri"/>
                <w:color w:val="000000"/>
                <w:sz w:val="20"/>
                <w:szCs w:val="20"/>
              </w:rPr>
              <w:t>What factors do you think are most important for national policymakers when considering whether AMR is a very severe and urgent problem? PROBE: (Refer to MSA on Indicators/Problem stream, test analysis)</w:t>
            </w:r>
            <w:r>
              <w:br/>
            </w:r>
            <w:r w:rsidRPr="365D9676">
              <w:rPr>
                <w:rFonts w:eastAsia="Calibri" w:cs="Calibri"/>
                <w:color w:val="000000"/>
                <w:sz w:val="20"/>
                <w:szCs w:val="20"/>
              </w:rPr>
              <w:t xml:space="preserve">§ (if need more information on MSA Load) How does AMR compare to other health policy problems? </w:t>
            </w:r>
            <w:r>
              <w:br/>
            </w:r>
            <w:r w:rsidRPr="365D9676">
              <w:rPr>
                <w:rFonts w:eastAsia="Calibri" w:cs="Calibri"/>
                <w:color w:val="000000"/>
                <w:sz w:val="20"/>
                <w:szCs w:val="20"/>
              </w:rPr>
              <w:t xml:space="preserve">§ (if need more information on MSA Feedback / TrACSS suggest links to other plans) Have public policy activities to address other problems started to suggest that AMR is important? </w:t>
            </w:r>
            <w:r>
              <w:br/>
            </w:r>
            <w:r w:rsidRPr="365D9676">
              <w:rPr>
                <w:rFonts w:eastAsia="Calibri" w:cs="Calibri"/>
                <w:color w:val="000000"/>
                <w:sz w:val="20"/>
                <w:szCs w:val="20"/>
              </w:rPr>
              <w:t xml:space="preserve">§ (need more information on MSA Focusing) What has or might focus policymakers’ attention on AMR? </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4171AD07" w14:textId="155E4049" w:rsidR="365D9676" w:rsidRDefault="365D9676" w:rsidP="365D9676">
            <w:pPr>
              <w:rPr>
                <w:rFonts w:eastAsia="Calibri" w:cs="Calibri"/>
                <w:color w:val="000000"/>
                <w:sz w:val="20"/>
                <w:szCs w:val="20"/>
              </w:rPr>
            </w:pPr>
          </w:p>
        </w:tc>
      </w:tr>
      <w:tr w:rsidR="365D9676" w14:paraId="749D9155" w14:textId="77777777" w:rsidTr="365D9676">
        <w:trPr>
          <w:trHeight w:val="1245"/>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44636D1E" w14:textId="603E6599"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bottom"/>
          </w:tcPr>
          <w:p w14:paraId="7E99AE07" w14:textId="2CFF99B3" w:rsidR="365D9676" w:rsidRDefault="365D9676" w:rsidP="365D9676">
            <w:pPr>
              <w:rPr>
                <w:rFonts w:eastAsia="Calibri" w:cs="Calibri"/>
                <w:color w:val="000000"/>
                <w:sz w:val="20"/>
                <w:szCs w:val="20"/>
              </w:rPr>
            </w:pPr>
            <w:r w:rsidRPr="365D9676">
              <w:rPr>
                <w:rFonts w:eastAsia="Calibri" w:cs="Calibri"/>
                <w:color w:val="000000"/>
                <w:sz w:val="20"/>
                <w:szCs w:val="20"/>
              </w:rPr>
              <w:t>Has Covid-19 been a distraction, slowing down progress with the national AMR agenda?  PROBE: Has AMRCC met regularly since 2020, including at political as well as technical levels? Has it started to take significant decisions?</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075118C7" w14:textId="1409A303" w:rsidR="365D9676" w:rsidRDefault="365D9676" w:rsidP="365D9676">
            <w:pPr>
              <w:rPr>
                <w:rFonts w:eastAsia="Calibri" w:cs="Calibri"/>
                <w:color w:val="000000"/>
                <w:sz w:val="20"/>
                <w:szCs w:val="20"/>
              </w:rPr>
            </w:pPr>
          </w:p>
        </w:tc>
      </w:tr>
      <w:tr w:rsidR="365D9676" w14:paraId="15066F91" w14:textId="77777777" w:rsidTr="00D11AEE">
        <w:trPr>
          <w:trHeight w:val="1531"/>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397219BE" w14:textId="0784323E"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bottom"/>
          </w:tcPr>
          <w:p w14:paraId="20868840" w14:textId="2C9C11A3" w:rsidR="365D9676" w:rsidRDefault="365D9676" w:rsidP="365D9676">
            <w:pPr>
              <w:rPr>
                <w:rFonts w:eastAsia="Calibri" w:cs="Calibri"/>
                <w:color w:val="000000"/>
                <w:sz w:val="20"/>
                <w:szCs w:val="20"/>
              </w:rPr>
            </w:pPr>
            <w:r w:rsidRPr="365D9676">
              <w:rPr>
                <w:rFonts w:eastAsia="Calibri" w:cs="Calibri"/>
                <w:color w:val="000000"/>
                <w:sz w:val="20"/>
                <w:szCs w:val="20"/>
              </w:rPr>
              <w:t>Have NAP plans continued to develop strongly since 2020? (OR, if NAP expires in 2020-22, is there a process underway for its renewal; do you expect any delay in extending the NAP?)  PROBE: What factors explain the current situation in relation to the NAP?  (if need more information to complete NAP tool, apart from on budgeting) How exactly is the NAP moving from a plan to real action and change?</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264AA473" w14:textId="3C4CA2A7" w:rsidR="365D9676" w:rsidRDefault="365D9676" w:rsidP="365D9676">
            <w:pPr>
              <w:rPr>
                <w:rFonts w:eastAsia="Calibri" w:cs="Calibri"/>
                <w:color w:val="000000"/>
                <w:sz w:val="20"/>
                <w:szCs w:val="20"/>
              </w:rPr>
            </w:pPr>
          </w:p>
        </w:tc>
      </w:tr>
      <w:tr w:rsidR="365D9676" w14:paraId="0BEFBCD5" w14:textId="77777777" w:rsidTr="00D11AEE">
        <w:trPr>
          <w:trHeight w:val="1304"/>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6332A087" w14:textId="06B76864"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bottom"/>
          </w:tcPr>
          <w:p w14:paraId="64E50476" w14:textId="557A41AE" w:rsidR="365D9676" w:rsidRDefault="365D9676" w:rsidP="365D9676">
            <w:pPr>
              <w:rPr>
                <w:rFonts w:eastAsia="Calibri" w:cs="Calibri"/>
                <w:color w:val="000000"/>
                <w:sz w:val="20"/>
                <w:szCs w:val="20"/>
              </w:rPr>
            </w:pPr>
            <w:r w:rsidRPr="365D9676">
              <w:rPr>
                <w:rFonts w:eastAsia="Calibri" w:cs="Calibri"/>
                <w:color w:val="000000"/>
                <w:sz w:val="20"/>
                <w:szCs w:val="20"/>
              </w:rPr>
              <w:t>Do you think that it is likely that there will be significant on-budget domestic funding for AMR initiatives in the foreseeable future?  If yes, please give reasons (have the reasons for prior budget decisions  changed?) If no, will funding from international supporters be sufficient?   To what extent is FF focused on addressing these conditions?</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78AFA8FE" w14:textId="21C25761" w:rsidR="365D9676" w:rsidRDefault="365D9676" w:rsidP="365D9676">
            <w:pPr>
              <w:rPr>
                <w:rFonts w:eastAsia="Calibri" w:cs="Calibri"/>
                <w:color w:val="000000"/>
                <w:sz w:val="20"/>
                <w:szCs w:val="20"/>
              </w:rPr>
            </w:pPr>
          </w:p>
        </w:tc>
      </w:tr>
      <w:tr w:rsidR="365D9676" w14:paraId="6A58CEE9" w14:textId="77777777" w:rsidTr="00D11AEE">
        <w:trPr>
          <w:trHeight w:val="2268"/>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0890B51D" w14:textId="11FD23E3" w:rsidR="365D9676" w:rsidRDefault="365D9676" w:rsidP="365D9676">
            <w:pPr>
              <w:rPr>
                <w:rFonts w:eastAsia="Calibri" w:cs="Calibri"/>
                <w:color w:val="000000"/>
                <w:sz w:val="20"/>
                <w:szCs w:val="20"/>
              </w:rPr>
            </w:pPr>
            <w:r w:rsidRPr="365D9676">
              <w:rPr>
                <w:rFonts w:eastAsia="Calibri" w:cs="Calibri"/>
                <w:color w:val="000000"/>
                <w:sz w:val="20"/>
                <w:szCs w:val="20"/>
              </w:rPr>
              <w:t>POLICY 4.2</w:t>
            </w:r>
            <w:r w:rsidRPr="001B18E8">
              <w:rPr>
                <w:rFonts w:eastAsia="Calibri" w:cs="Calibri"/>
                <w:color w:val="000000"/>
                <w:sz w:val="20"/>
                <w:szCs w:val="20"/>
              </w:rPr>
              <w:t xml:space="preserve"> / Change 3 </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bottom"/>
          </w:tcPr>
          <w:p w14:paraId="089567D8" w14:textId="67ED3C53" w:rsidR="365D9676" w:rsidRDefault="365D9676" w:rsidP="365D9676">
            <w:pPr>
              <w:rPr>
                <w:rFonts w:eastAsia="Calibri" w:cs="Calibri"/>
                <w:color w:val="000000"/>
                <w:sz w:val="20"/>
                <w:szCs w:val="20"/>
              </w:rPr>
            </w:pPr>
            <w:r w:rsidRPr="365D9676">
              <w:rPr>
                <w:rFonts w:eastAsia="Calibri" w:cs="Calibri"/>
                <w:color w:val="000000"/>
                <w:sz w:val="20"/>
                <w:szCs w:val="20"/>
              </w:rPr>
              <w:t>Does AMRCC (or other national body in charge of the country AMR strategy) r</w:t>
            </w:r>
            <w:r w:rsidRPr="365D9676">
              <w:rPr>
                <w:rFonts w:eastAsia="Calibri" w:cs="Calibri"/>
                <w:b/>
                <w:bCs/>
                <w:color w:val="000000"/>
                <w:sz w:val="20"/>
                <w:szCs w:val="20"/>
              </w:rPr>
              <w:t>eceive AMR data reports generated by surveillance sites at least once a year</w:t>
            </w:r>
            <w:r w:rsidRPr="365D9676">
              <w:rPr>
                <w:rFonts w:eastAsia="Calibri" w:cs="Calibri"/>
                <w:color w:val="000000"/>
                <w:sz w:val="20"/>
                <w:szCs w:val="20"/>
              </w:rPr>
              <w:t>? Is that an improvement compared to 2018 (i.e. Prior to Fleming Fund activities starting)? PROBE if yes: which organisation(s) assembles and submits these reports? What form do they take, what are they called (descriptive summary or analytical)? Is there good sector representation and national coverage? If yes, do you think that the reports are sufficient to amend national AMR strategy and enable effective AMR decision-making? If no, why not?</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77EFE180" w14:textId="10D15A1C" w:rsidR="365D9676" w:rsidRDefault="365D9676" w:rsidP="365D9676">
            <w:pPr>
              <w:rPr>
                <w:rFonts w:eastAsia="Calibri" w:cs="Calibri"/>
                <w:color w:val="000000"/>
                <w:sz w:val="20"/>
                <w:szCs w:val="20"/>
              </w:rPr>
            </w:pPr>
          </w:p>
        </w:tc>
      </w:tr>
      <w:tr w:rsidR="365D9676" w14:paraId="67FA240C" w14:textId="77777777" w:rsidTr="365D9676">
        <w:trPr>
          <w:trHeight w:val="1305"/>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355C1E6C" w14:textId="3F82B3EC" w:rsidR="365D9676" w:rsidRDefault="365D9676" w:rsidP="365D9676">
            <w:pPr>
              <w:rPr>
                <w:rFonts w:eastAsia="Calibri" w:cs="Calibri"/>
                <w:color w:val="000000"/>
                <w:sz w:val="20"/>
                <w:szCs w:val="20"/>
              </w:rPr>
            </w:pPr>
            <w:r w:rsidRPr="365D9676">
              <w:rPr>
                <w:rFonts w:eastAsia="Calibri" w:cs="Calibri"/>
                <w:color w:val="000000"/>
                <w:sz w:val="20"/>
                <w:szCs w:val="20"/>
              </w:rPr>
              <w:t>EQ4</w:t>
            </w:r>
            <w:r w:rsidRPr="001B18E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12" w:space="0" w:color="auto"/>
            </w:tcBorders>
            <w:shd w:val="clear" w:color="auto" w:fill="FCE4D6"/>
            <w:tcMar>
              <w:left w:w="105" w:type="dxa"/>
              <w:right w:w="105" w:type="dxa"/>
            </w:tcMar>
            <w:vAlign w:val="bottom"/>
          </w:tcPr>
          <w:p w14:paraId="42B17E68" w14:textId="51013327" w:rsidR="365D9676" w:rsidRPr="001B18E8" w:rsidRDefault="365D9676" w:rsidP="365D9676">
            <w:pPr>
              <w:rPr>
                <w:rFonts w:eastAsia="Calibri" w:cs="Calibri"/>
                <w:color w:val="000000"/>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w:t>
            </w:r>
            <w:r w:rsidRPr="001B18E8">
              <w:rPr>
                <w:rFonts w:eastAsia="Calibri" w:cs="Calibri"/>
                <w:sz w:val="20"/>
                <w:szCs w:val="20"/>
              </w:rPr>
              <w:t xml:space="preserve">, </w:t>
            </w:r>
            <w:r w:rsidRPr="001B18E8">
              <w:rPr>
                <w:rFonts w:eastAsia="Calibri" w:cs="Calibri"/>
                <w:b/>
                <w:bCs/>
                <w:sz w:val="20"/>
                <w:szCs w:val="20"/>
              </w:rPr>
              <w:t>in order of importance</w:t>
            </w:r>
            <w:r w:rsidRPr="001B18E8">
              <w:rPr>
                <w:rFonts w:eastAsia="Calibri" w:cs="Calibri"/>
                <w:sz w:val="20"/>
                <w:szCs w:val="20"/>
              </w:rPr>
              <w:t>, behind such change? Probes: more and better data available from the surveillance system (in which case refer to QUANT &amp; QUAL contribution stories), data sharing processes and systems, resourcing, incentives, formal barriers, cooperation, governance, leadership demand, analytical entrepreneurs / champions, other..</w:t>
            </w:r>
          </w:p>
        </w:tc>
        <w:tc>
          <w:tcPr>
            <w:tcW w:w="6270" w:type="dxa"/>
            <w:tcBorders>
              <w:top w:val="single" w:sz="6" w:space="0" w:color="auto"/>
              <w:left w:val="single" w:sz="12" w:space="0" w:color="auto"/>
              <w:bottom w:val="single" w:sz="6" w:space="0" w:color="auto"/>
              <w:right w:val="single" w:sz="12" w:space="0" w:color="auto"/>
            </w:tcBorders>
            <w:shd w:val="clear" w:color="auto" w:fill="FCE4D6"/>
            <w:tcMar>
              <w:left w:w="105" w:type="dxa"/>
              <w:right w:w="105" w:type="dxa"/>
            </w:tcMar>
          </w:tcPr>
          <w:p w14:paraId="2EA7EF5E" w14:textId="5BFF8BA9" w:rsidR="365D9676" w:rsidRDefault="365D9676" w:rsidP="365D9676">
            <w:pPr>
              <w:rPr>
                <w:rFonts w:eastAsia="Calibri" w:cs="Calibri"/>
                <w:color w:val="000000"/>
                <w:sz w:val="20"/>
                <w:szCs w:val="20"/>
              </w:rPr>
            </w:pPr>
          </w:p>
        </w:tc>
      </w:tr>
      <w:tr w:rsidR="365D9676" w14:paraId="604537DC" w14:textId="77777777" w:rsidTr="00D11AEE">
        <w:trPr>
          <w:trHeight w:val="1587"/>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6613F971" w14:textId="0CB3DB0D" w:rsidR="365D9676" w:rsidRDefault="365D9676" w:rsidP="365D9676">
            <w:pPr>
              <w:rPr>
                <w:rFonts w:eastAsia="Calibri" w:cs="Calibri"/>
                <w:color w:val="000000"/>
                <w:sz w:val="20"/>
                <w:szCs w:val="20"/>
              </w:rPr>
            </w:pPr>
            <w:r w:rsidRPr="365D9676">
              <w:rPr>
                <w:rFonts w:eastAsia="Calibri" w:cs="Calibri"/>
                <w:color w:val="000000"/>
                <w:sz w:val="20"/>
                <w:szCs w:val="20"/>
              </w:rPr>
              <w:t>EQ4</w:t>
            </w:r>
            <w:r w:rsidRPr="001B18E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12" w:space="0" w:color="auto"/>
            </w:tcBorders>
            <w:shd w:val="clear" w:color="auto" w:fill="FCE4D6"/>
            <w:tcMar>
              <w:left w:w="105" w:type="dxa"/>
              <w:right w:w="105" w:type="dxa"/>
            </w:tcMar>
            <w:vAlign w:val="center"/>
          </w:tcPr>
          <w:p w14:paraId="2DCC0985" w14:textId="3887D753" w:rsidR="365D9676" w:rsidRDefault="365D9676" w:rsidP="00D11AEE">
            <w:pPr>
              <w:rPr>
                <w:rFonts w:eastAsia="Calibri" w:cs="Calibri"/>
                <w:color w:val="000000"/>
                <w:sz w:val="20"/>
                <w:szCs w:val="20"/>
              </w:rPr>
            </w:pPr>
            <w:r w:rsidRPr="365D9676">
              <w:rPr>
                <w:rFonts w:eastAsia="Calibri" w:cs="Calibri"/>
                <w:color w:val="000000"/>
                <w:sz w:val="20"/>
                <w:szCs w:val="20"/>
              </w:rPr>
              <w:t>What was the Fleming Fund (</w:t>
            </w:r>
            <w:r w:rsidRPr="365D9676">
              <w:rPr>
                <w:rFonts w:eastAsia="Calibri" w:cs="Calibri"/>
                <w:b/>
                <w:bCs/>
                <w:color w:val="000000"/>
                <w:sz w:val="20"/>
                <w:szCs w:val="20"/>
              </w:rPr>
              <w:t>CG/RG/Fellows</w:t>
            </w:r>
            <w:r w:rsidRPr="365D9676">
              <w:rPr>
                <w:rFonts w:eastAsia="Calibri" w:cs="Calibri"/>
                <w:color w:val="000000"/>
                <w:sz w:val="20"/>
                <w:szCs w:val="20"/>
              </w:rPr>
              <w:t xml:space="preserve">) </w:t>
            </w:r>
            <w:r w:rsidRPr="365D9676">
              <w:rPr>
                <w:rFonts w:eastAsia="Calibri" w:cs="Calibri"/>
                <w:b/>
                <w:bCs/>
                <w:color w:val="000000"/>
                <w:sz w:val="20"/>
                <w:szCs w:val="20"/>
              </w:rPr>
              <w:t>contribution to those drivers</w:t>
            </w:r>
            <w:r w:rsidRPr="365D9676">
              <w:rPr>
                <w:rFonts w:eastAsia="Calibri" w:cs="Calibri"/>
                <w:color w:val="000000"/>
                <w:sz w:val="20"/>
                <w:szCs w:val="20"/>
              </w:rPr>
              <w:t>?</w:t>
            </w:r>
            <w:r>
              <w:br/>
            </w:r>
            <w:r w:rsidRPr="365D9676">
              <w:rPr>
                <w:rFonts w:eastAsia="Calibri" w:cs="Calibri"/>
                <w:color w:val="000000"/>
                <w:sz w:val="20"/>
                <w:szCs w:val="20"/>
              </w:rPr>
              <w:t>How vital was that it compared to the contribution of:</w:t>
            </w:r>
            <w:r>
              <w:br/>
            </w:r>
            <w:r w:rsidRPr="365D9676">
              <w:rPr>
                <w:rFonts w:eastAsia="Calibri" w:cs="Calibri"/>
                <w:color w:val="000000"/>
                <w:sz w:val="20"/>
                <w:szCs w:val="20"/>
              </w:rPr>
              <w:t>Global Projects (name any active in country)</w:t>
            </w:r>
            <w:r>
              <w:br/>
            </w:r>
            <w:r w:rsidRPr="365D9676">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12" w:space="0" w:color="auto"/>
              <w:bottom w:val="single" w:sz="6" w:space="0" w:color="auto"/>
              <w:right w:val="single" w:sz="12" w:space="0" w:color="auto"/>
            </w:tcBorders>
            <w:shd w:val="clear" w:color="auto" w:fill="FCE4D6"/>
            <w:tcMar>
              <w:left w:w="105" w:type="dxa"/>
              <w:right w:w="105" w:type="dxa"/>
            </w:tcMar>
          </w:tcPr>
          <w:p w14:paraId="5A87965E" w14:textId="393E416A" w:rsidR="365D9676" w:rsidRDefault="365D9676" w:rsidP="365D9676">
            <w:pPr>
              <w:rPr>
                <w:rFonts w:eastAsia="Calibri" w:cs="Calibri"/>
                <w:color w:val="000000"/>
                <w:sz w:val="20"/>
                <w:szCs w:val="20"/>
              </w:rPr>
            </w:pPr>
          </w:p>
        </w:tc>
      </w:tr>
      <w:tr w:rsidR="365D9676" w14:paraId="68AE4FDE" w14:textId="77777777" w:rsidTr="365D9676">
        <w:trPr>
          <w:trHeight w:val="555"/>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0245DBE8" w14:textId="0B8ABBDC" w:rsidR="365D9676" w:rsidRDefault="365D9676" w:rsidP="365D9676">
            <w:pPr>
              <w:rPr>
                <w:rFonts w:eastAsia="Calibri" w:cs="Calibri"/>
                <w:color w:val="000000"/>
                <w:sz w:val="20"/>
                <w:szCs w:val="20"/>
              </w:rPr>
            </w:pPr>
            <w:r w:rsidRPr="365D9676">
              <w:rPr>
                <w:rFonts w:eastAsia="Calibri" w:cs="Calibri"/>
                <w:color w:val="000000"/>
                <w:sz w:val="20"/>
                <w:szCs w:val="20"/>
              </w:rPr>
              <w:t>EQ4</w:t>
            </w:r>
            <w:r w:rsidRPr="001B18E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12" w:space="0" w:color="auto"/>
            </w:tcBorders>
            <w:shd w:val="clear" w:color="auto" w:fill="FCE4D6"/>
            <w:tcMar>
              <w:left w:w="105" w:type="dxa"/>
              <w:right w:w="105" w:type="dxa"/>
            </w:tcMar>
            <w:vAlign w:val="bottom"/>
          </w:tcPr>
          <w:p w14:paraId="0D53D35B" w14:textId="5D6E2C1A" w:rsidR="365D9676" w:rsidRDefault="365D9676" w:rsidP="365D9676">
            <w:pPr>
              <w:rPr>
                <w:rFonts w:eastAsia="Calibri" w:cs="Calibri"/>
                <w:color w:val="000000"/>
                <w:sz w:val="20"/>
                <w:szCs w:val="20"/>
              </w:rPr>
            </w:pPr>
            <w:r w:rsidRPr="365D9676">
              <w:rPr>
                <w:rFonts w:eastAsia="Calibri" w:cs="Calibri"/>
                <w:color w:val="000000"/>
                <w:sz w:val="20"/>
                <w:szCs w:val="20"/>
              </w:rPr>
              <w:t xml:space="preserve">If there was </w:t>
            </w:r>
            <w:r w:rsidRPr="365D9676">
              <w:rPr>
                <w:rFonts w:eastAsia="Calibri" w:cs="Calibri"/>
                <w:b/>
                <w:bCs/>
                <w:color w:val="000000"/>
                <w:sz w:val="20"/>
                <w:szCs w:val="20"/>
              </w:rPr>
              <w:t xml:space="preserve">no or negative change </w:t>
            </w:r>
            <w:r w:rsidRPr="365D9676">
              <w:rPr>
                <w:rFonts w:eastAsia="Calibri" w:cs="Calibri"/>
                <w:color w:val="000000"/>
                <w:sz w:val="20"/>
                <w:szCs w:val="20"/>
              </w:rPr>
              <w:t xml:space="preserve">in this area, </w:t>
            </w:r>
            <w:r w:rsidRPr="365D9676">
              <w:rPr>
                <w:rFonts w:eastAsia="Calibri" w:cs="Calibri"/>
                <w:b/>
                <w:bCs/>
                <w:color w:val="000000"/>
                <w:sz w:val="20"/>
                <w:szCs w:val="20"/>
              </w:rPr>
              <w:t>why</w:t>
            </w:r>
            <w:r w:rsidRPr="365D9676">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12" w:space="0" w:color="auto"/>
              <w:bottom w:val="single" w:sz="6" w:space="0" w:color="auto"/>
              <w:right w:val="single" w:sz="12" w:space="0" w:color="auto"/>
            </w:tcBorders>
            <w:shd w:val="clear" w:color="auto" w:fill="FCE4D6"/>
            <w:tcMar>
              <w:left w:w="105" w:type="dxa"/>
              <w:right w:w="105" w:type="dxa"/>
            </w:tcMar>
          </w:tcPr>
          <w:p w14:paraId="661FA701" w14:textId="66F4F81A" w:rsidR="365D9676" w:rsidRDefault="365D9676" w:rsidP="365D9676">
            <w:pPr>
              <w:rPr>
                <w:rFonts w:eastAsia="Calibri" w:cs="Calibri"/>
                <w:color w:val="000000"/>
                <w:sz w:val="20"/>
                <w:szCs w:val="20"/>
              </w:rPr>
            </w:pPr>
          </w:p>
        </w:tc>
      </w:tr>
      <w:tr w:rsidR="365D9676" w14:paraId="13086B38" w14:textId="77777777" w:rsidTr="00D11AEE">
        <w:trPr>
          <w:trHeight w:val="1474"/>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739FFC4B" w14:textId="3C835F9C" w:rsidR="365D9676" w:rsidRDefault="365D9676" w:rsidP="365D9676">
            <w:pPr>
              <w:rPr>
                <w:rFonts w:eastAsia="Calibri" w:cs="Calibri"/>
                <w:color w:val="000000"/>
                <w:sz w:val="20"/>
                <w:szCs w:val="20"/>
              </w:rPr>
            </w:pPr>
            <w:r w:rsidRPr="365D9676">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center"/>
          </w:tcPr>
          <w:p w14:paraId="15E60C69" w14:textId="4E5C331A" w:rsidR="365D9676" w:rsidRPr="001B18E8" w:rsidRDefault="365D9676" w:rsidP="00D11AEE">
            <w:pPr>
              <w:spacing w:after="120" w:line="259" w:lineRule="auto"/>
              <w:rPr>
                <w:rFonts w:eastAsia="Calibri" w:cs="Calibri"/>
                <w:sz w:val="20"/>
                <w:szCs w:val="20"/>
              </w:rPr>
            </w:pPr>
            <w:r w:rsidRPr="001B18E8">
              <w:rPr>
                <w:rFonts w:eastAsia="Calibri" w:cs="Calibri"/>
                <w:sz w:val="20"/>
                <w:szCs w:val="20"/>
              </w:rPr>
              <w:t>Can you think of any other examples of relevant surveillance data being used to amend national strategy and/or inform decision-making’, apart from through data reports shared with AMRCC?</w:t>
            </w:r>
            <w:r w:rsidRPr="001B18E8">
              <w:rPr>
                <w:rFonts w:eastAsia="Calibri" w:cs="Calibri"/>
                <w:strike/>
                <w:sz w:val="20"/>
                <w:szCs w:val="20"/>
              </w:rPr>
              <w:t xml:space="preserve"> </w:t>
            </w:r>
          </w:p>
          <w:p w14:paraId="22D9A21C" w14:textId="4E91E71D" w:rsidR="365D9676" w:rsidRDefault="365D9676" w:rsidP="00D11AEE">
            <w:pPr>
              <w:spacing w:line="259" w:lineRule="auto"/>
              <w:rPr>
                <w:rFonts w:eastAsia="Calibri" w:cs="Calibri"/>
                <w:color w:val="000000"/>
                <w:sz w:val="20"/>
                <w:szCs w:val="20"/>
              </w:rPr>
            </w:pPr>
            <w:r w:rsidRPr="001B18E8">
              <w:rPr>
                <w:rFonts w:eastAsia="Calibri" w:cs="Calibri"/>
                <w:sz w:val="20"/>
                <w:szCs w:val="20"/>
              </w:rPr>
              <w:t>If yes: Details? What data, in what form? Who are the decision-makers? One-off or routine? Current status?</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26B7AE26" w14:textId="34800295" w:rsidR="365D9676" w:rsidRDefault="365D9676" w:rsidP="365D9676">
            <w:pPr>
              <w:rPr>
                <w:rFonts w:eastAsia="Calibri" w:cs="Calibri"/>
                <w:color w:val="000000"/>
                <w:sz w:val="20"/>
                <w:szCs w:val="20"/>
              </w:rPr>
            </w:pPr>
          </w:p>
        </w:tc>
      </w:tr>
      <w:tr w:rsidR="365D9676" w14:paraId="5B25F341" w14:textId="77777777" w:rsidTr="365D9676">
        <w:trPr>
          <w:trHeight w:val="1560"/>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6EC8855A" w14:textId="0960D9F7" w:rsidR="365D9676" w:rsidRDefault="365D9676" w:rsidP="365D9676">
            <w:pPr>
              <w:rPr>
                <w:rFonts w:eastAsia="Calibri" w:cs="Calibri"/>
                <w:color w:val="000000"/>
                <w:sz w:val="20"/>
                <w:szCs w:val="20"/>
              </w:rPr>
            </w:pPr>
            <w:r w:rsidRPr="365D9676">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bottom"/>
          </w:tcPr>
          <w:p w14:paraId="2F631597" w14:textId="24965711" w:rsidR="365D9676" w:rsidRDefault="365D9676" w:rsidP="365D9676">
            <w:pPr>
              <w:rPr>
                <w:rFonts w:eastAsia="Calibri" w:cs="Calibri"/>
                <w:color w:val="000000"/>
                <w:sz w:val="20"/>
                <w:szCs w:val="20"/>
              </w:rPr>
            </w:pPr>
            <w:r w:rsidRPr="365D9676">
              <w:rPr>
                <w:rFonts w:eastAsia="Calibri" w:cs="Calibri"/>
                <w:color w:val="000000"/>
                <w:sz w:val="20"/>
                <w:szCs w:val="20"/>
              </w:rPr>
              <w:t>We understand the AMRCC is expected to facilitate sharing and joint analysis of AMR data across different sectors. What is the nature of cross-sector collaborations being convened by the AMRCC? Which are the key institutions involved from different ministries? What is the nature of their involvement? In addition to facilitating AMR data use, what have been some of the other achievements of the AMRCC in your country?</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76BAC3B2" w14:textId="0B1C142B" w:rsidR="365D9676" w:rsidRDefault="365D9676" w:rsidP="365D9676">
            <w:pPr>
              <w:rPr>
                <w:rFonts w:eastAsia="Calibri" w:cs="Calibri"/>
                <w:color w:val="000000"/>
                <w:sz w:val="20"/>
                <w:szCs w:val="20"/>
              </w:rPr>
            </w:pPr>
          </w:p>
        </w:tc>
      </w:tr>
      <w:tr w:rsidR="365D9676" w14:paraId="0CC8828A" w14:textId="77777777" w:rsidTr="365D9676">
        <w:trPr>
          <w:trHeight w:val="2340"/>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1ED16D36" w14:textId="25BF38C8" w:rsidR="365D9676" w:rsidRDefault="365D9676" w:rsidP="365D9676">
            <w:pPr>
              <w:rPr>
                <w:rFonts w:eastAsia="Calibri" w:cs="Calibri"/>
                <w:color w:val="000000"/>
                <w:sz w:val="20"/>
                <w:szCs w:val="20"/>
              </w:rPr>
            </w:pPr>
            <w:r w:rsidRPr="365D9676">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bottom"/>
          </w:tcPr>
          <w:p w14:paraId="1CC9DDDE" w14:textId="7FD08AFD" w:rsidR="365D9676" w:rsidRDefault="365D9676" w:rsidP="365D9676">
            <w:pPr>
              <w:rPr>
                <w:rFonts w:eastAsia="Calibri" w:cs="Calibri"/>
                <w:color w:val="000000"/>
                <w:sz w:val="20"/>
                <w:szCs w:val="20"/>
              </w:rPr>
            </w:pPr>
            <w:r w:rsidRPr="365D9676">
              <w:rPr>
                <w:rFonts w:eastAsia="Calibri" w:cs="Calibri"/>
                <w:color w:val="000000"/>
                <w:sz w:val="20"/>
                <w:szCs w:val="20"/>
              </w:rPr>
              <w:t>What are some of the other multisector coordination mechanisms in place to make decisions around AMR at the national and subnational levels? Are there any bodies or platforms or events where people from different sector meet outside the government? (e.g. seminars, AMR awareness week, etc.)  Can you recall some examples of collaborations between different sectors in the past, even if these do not specifically revolve around AMR?  Probe joint research activities; Training programmes, fellowships, including Fleming Fellows; Joint outbreak response activities, such as Avian Influenza, Ebola, etc.</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598F0F69" w14:textId="29BA0617" w:rsidR="365D9676" w:rsidRDefault="365D9676" w:rsidP="365D9676">
            <w:pPr>
              <w:rPr>
                <w:rFonts w:eastAsia="Calibri" w:cs="Calibri"/>
                <w:color w:val="000000"/>
                <w:sz w:val="20"/>
                <w:szCs w:val="20"/>
              </w:rPr>
            </w:pPr>
          </w:p>
        </w:tc>
      </w:tr>
      <w:tr w:rsidR="365D9676" w14:paraId="0B92D1B9" w14:textId="77777777" w:rsidTr="365D9676">
        <w:trPr>
          <w:trHeight w:val="2595"/>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5841C946" w14:textId="4F74702A" w:rsidR="365D9676" w:rsidRDefault="365D9676" w:rsidP="365D9676">
            <w:pPr>
              <w:rPr>
                <w:rFonts w:eastAsia="Calibri" w:cs="Calibri"/>
                <w:color w:val="000000"/>
                <w:sz w:val="20"/>
                <w:szCs w:val="20"/>
              </w:rPr>
            </w:pPr>
            <w:r w:rsidRPr="365D9676">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tcPr>
          <w:p w14:paraId="77530015" w14:textId="03578DF1" w:rsidR="365D9676" w:rsidRDefault="365D9676" w:rsidP="365D9676">
            <w:pPr>
              <w:rPr>
                <w:rFonts w:eastAsia="Calibri" w:cs="Calibri"/>
                <w:color w:val="000000"/>
                <w:sz w:val="20"/>
                <w:szCs w:val="20"/>
              </w:rPr>
            </w:pPr>
            <w:r w:rsidRPr="365D9676">
              <w:rPr>
                <w:rFonts w:eastAsia="Calibri" w:cs="Calibri"/>
                <w:color w:val="000000"/>
                <w:sz w:val="20"/>
                <w:szCs w:val="20"/>
              </w:rPr>
              <w:t xml:space="preserve">Where are these (formal and informal) coordination mechanisms located? Are these hosted by a ministry, government agency, academic body, think tank? (Probe for each of the collaborating mechanisms identified above, if possible): </w:t>
            </w:r>
            <w:r>
              <w:br/>
            </w:r>
            <w:r w:rsidRPr="365D9676">
              <w:rPr>
                <w:rFonts w:eastAsia="Calibri" w:cs="Calibri"/>
                <w:color w:val="000000"/>
                <w:sz w:val="20"/>
                <w:szCs w:val="20"/>
              </w:rPr>
              <w:t>o Who chairs / leads the discussion?</w:t>
            </w:r>
            <w:r>
              <w:br/>
            </w:r>
            <w:r w:rsidRPr="365D9676">
              <w:rPr>
                <w:rFonts w:eastAsia="Calibri" w:cs="Calibri"/>
                <w:color w:val="000000"/>
                <w:sz w:val="20"/>
                <w:szCs w:val="20"/>
              </w:rPr>
              <w:t xml:space="preserve">o Who sets the agenda? </w:t>
            </w:r>
            <w:r>
              <w:br/>
            </w:r>
            <w:r w:rsidRPr="365D9676">
              <w:rPr>
                <w:rFonts w:eastAsia="Calibri" w:cs="Calibri"/>
                <w:color w:val="000000"/>
                <w:sz w:val="20"/>
                <w:szCs w:val="20"/>
              </w:rPr>
              <w:t>o What are its major functions/mandates?</w:t>
            </w:r>
            <w:r>
              <w:br/>
            </w:r>
            <w:r w:rsidRPr="365D9676">
              <w:rPr>
                <w:rFonts w:eastAsia="Calibri" w:cs="Calibri"/>
                <w:color w:val="000000"/>
                <w:sz w:val="20"/>
                <w:szCs w:val="20"/>
              </w:rPr>
              <w:t>o How is it funded?</w:t>
            </w:r>
            <w:r>
              <w:br/>
            </w:r>
            <w:r w:rsidRPr="365D9676">
              <w:rPr>
                <w:rFonts w:eastAsia="Calibri" w:cs="Calibri"/>
                <w:color w:val="000000"/>
                <w:sz w:val="20"/>
                <w:szCs w:val="20"/>
              </w:rPr>
              <w:t>o Can you describe any achievements / outcomes from these interactions?</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1F1EC45B" w14:textId="6CE6DB18" w:rsidR="365D9676" w:rsidRDefault="365D9676" w:rsidP="365D9676">
            <w:pPr>
              <w:rPr>
                <w:rFonts w:eastAsia="Calibri" w:cs="Calibri"/>
                <w:color w:val="000000"/>
                <w:sz w:val="20"/>
                <w:szCs w:val="20"/>
              </w:rPr>
            </w:pPr>
          </w:p>
        </w:tc>
      </w:tr>
      <w:tr w:rsidR="365D9676" w14:paraId="31C3F86D" w14:textId="77777777" w:rsidTr="00D11AEE">
        <w:trPr>
          <w:trHeight w:val="2324"/>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733487B0" w14:textId="5EF87A26" w:rsidR="365D9676" w:rsidRDefault="365D9676" w:rsidP="365D9676">
            <w:pPr>
              <w:rPr>
                <w:rFonts w:eastAsia="Calibri" w:cs="Calibri"/>
                <w:color w:val="000000"/>
                <w:sz w:val="20"/>
                <w:szCs w:val="20"/>
              </w:rPr>
            </w:pPr>
            <w:r w:rsidRPr="365D9676">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center"/>
          </w:tcPr>
          <w:p w14:paraId="504526EC" w14:textId="11912AAF" w:rsidR="365D9676" w:rsidRDefault="365D9676" w:rsidP="00D11AEE">
            <w:pPr>
              <w:rPr>
                <w:rFonts w:eastAsia="Calibri" w:cs="Calibri"/>
                <w:color w:val="000000"/>
                <w:sz w:val="20"/>
                <w:szCs w:val="20"/>
              </w:rPr>
            </w:pPr>
            <w:r w:rsidRPr="365D9676">
              <w:rPr>
                <w:rFonts w:eastAsia="Calibri" w:cs="Calibri"/>
                <w:color w:val="000000"/>
                <w:sz w:val="20"/>
                <w:szCs w:val="20"/>
              </w:rPr>
              <w:t>Would you say that the national AMR effort includes a clear and effective strategy for informing specific national actions using surveillance data? o eg as opposed to international reporting or local clinical practice</w:t>
            </w:r>
            <w:r>
              <w:br/>
            </w:r>
            <w:r w:rsidRPr="365D9676">
              <w:rPr>
                <w:rFonts w:eastAsia="Calibri" w:cs="Calibri"/>
                <w:color w:val="000000"/>
                <w:sz w:val="20"/>
                <w:szCs w:val="20"/>
              </w:rPr>
              <w:t>o If yes, how? What policy initiatives? What regulatory initiatives? What approach has been chosen to address practices and attitudes? (What approaches have been discarded?)</w:t>
            </w:r>
            <w:r>
              <w:br/>
            </w:r>
            <w:r w:rsidRPr="365D9676">
              <w:rPr>
                <w:rFonts w:eastAsia="Calibri" w:cs="Calibri"/>
                <w:color w:val="000000"/>
                <w:sz w:val="20"/>
                <w:szCs w:val="20"/>
              </w:rPr>
              <w:t>o PROBE: are sectoral distinctions important, for example policy for gradual development of guidelines in human health but focused push to regulate certain antimicrobial uses in animal health?</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4841A16C" w14:textId="4DF2DAFD" w:rsidR="365D9676" w:rsidRDefault="365D9676" w:rsidP="365D9676">
            <w:pPr>
              <w:rPr>
                <w:rFonts w:eastAsia="Calibri" w:cs="Calibri"/>
                <w:color w:val="000000"/>
                <w:sz w:val="20"/>
                <w:szCs w:val="20"/>
              </w:rPr>
            </w:pPr>
          </w:p>
        </w:tc>
      </w:tr>
      <w:tr w:rsidR="365D9676" w14:paraId="5BFAD4C3" w14:textId="77777777" w:rsidTr="00D11AEE">
        <w:trPr>
          <w:trHeight w:val="2438"/>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2ED349D7" w14:textId="342F710A" w:rsidR="365D9676" w:rsidRDefault="365D9676" w:rsidP="365D9676">
            <w:pPr>
              <w:rPr>
                <w:rFonts w:eastAsia="Calibri" w:cs="Calibri"/>
                <w:color w:val="000000"/>
                <w:sz w:val="20"/>
                <w:szCs w:val="20"/>
              </w:rPr>
            </w:pPr>
            <w:r w:rsidRPr="365D9676">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bottom"/>
          </w:tcPr>
          <w:p w14:paraId="7B2FE404" w14:textId="3EB55AF1" w:rsidR="365D9676" w:rsidRDefault="365D9676" w:rsidP="365D9676">
            <w:pPr>
              <w:rPr>
                <w:rFonts w:eastAsia="Calibri" w:cs="Calibri"/>
                <w:color w:val="000000"/>
                <w:sz w:val="20"/>
                <w:szCs w:val="20"/>
              </w:rPr>
            </w:pPr>
            <w:r w:rsidRPr="365D9676">
              <w:rPr>
                <w:rFonts w:eastAsia="Calibri" w:cs="Calibri"/>
                <w:color w:val="000000"/>
                <w:sz w:val="20"/>
                <w:szCs w:val="20"/>
              </w:rPr>
              <w:t xml:space="preserve">What do you think should be the future priorities for the Fleming Fund when supporting national AMR actions using surveillance data? PROBES: </w:t>
            </w:r>
            <w:r>
              <w:br/>
            </w:r>
            <w:r w:rsidRPr="365D9676">
              <w:rPr>
                <w:rFonts w:eastAsia="Calibri" w:cs="Calibri"/>
                <w:color w:val="000000"/>
                <w:sz w:val="20"/>
                <w:szCs w:val="20"/>
              </w:rPr>
              <w:t>o Do you think that it will be more effective to foster local change (‘bottom up’) or to concentrate on motivating national initiatives (‘top down’)</w:t>
            </w:r>
            <w:r>
              <w:br/>
            </w:r>
            <w:r w:rsidRPr="365D9676">
              <w:rPr>
                <w:rFonts w:eastAsia="Calibri" w:cs="Calibri"/>
                <w:color w:val="000000"/>
                <w:sz w:val="20"/>
                <w:szCs w:val="20"/>
              </w:rPr>
              <w:t>o Will the data show a need for action (‘push’) or will intended actions show what data is needed (‘pull’)?</w:t>
            </w:r>
            <w:r>
              <w:br/>
            </w:r>
            <w:r w:rsidRPr="365D9676">
              <w:rPr>
                <w:rFonts w:eastAsia="Calibri" w:cs="Calibri"/>
                <w:color w:val="000000"/>
                <w:sz w:val="20"/>
                <w:szCs w:val="20"/>
              </w:rPr>
              <w:t>o What is more important, Infection Prevention &amp; Control (IPC) or Antimicrobial Use controls (AMU)?</w:t>
            </w:r>
            <w:r>
              <w:br/>
            </w:r>
            <w:r w:rsidRPr="365D9676">
              <w:rPr>
                <w:rFonts w:eastAsia="Calibri" w:cs="Calibri"/>
                <w:color w:val="000000"/>
                <w:sz w:val="20"/>
                <w:szCs w:val="20"/>
              </w:rPr>
              <w:t>o Why? What approaches would be required to address these priorities?</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51271BEF" w14:textId="7DFD7482" w:rsidR="365D9676" w:rsidRDefault="365D9676" w:rsidP="365D9676">
            <w:pPr>
              <w:rPr>
                <w:rFonts w:eastAsia="Calibri" w:cs="Calibri"/>
                <w:color w:val="000000"/>
                <w:sz w:val="20"/>
                <w:szCs w:val="20"/>
              </w:rPr>
            </w:pPr>
          </w:p>
        </w:tc>
      </w:tr>
      <w:tr w:rsidR="365D9676" w14:paraId="160422F9" w14:textId="77777777" w:rsidTr="365D9676">
        <w:trPr>
          <w:trHeight w:val="1035"/>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35BD2AA1" w14:textId="5333BB0B" w:rsidR="365D9676" w:rsidRDefault="365D9676" w:rsidP="365D9676">
            <w:pPr>
              <w:rPr>
                <w:rFonts w:eastAsia="Calibri" w:cs="Calibri"/>
                <w:color w:val="000000"/>
                <w:sz w:val="20"/>
                <w:szCs w:val="20"/>
              </w:rPr>
            </w:pPr>
            <w:r w:rsidRPr="365D9676">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bottom"/>
          </w:tcPr>
          <w:p w14:paraId="36005B54" w14:textId="004FE21C" w:rsidR="365D9676" w:rsidRDefault="365D9676" w:rsidP="365D9676">
            <w:pPr>
              <w:rPr>
                <w:rFonts w:eastAsia="Calibri" w:cs="Calibri"/>
                <w:color w:val="000000"/>
                <w:sz w:val="20"/>
                <w:szCs w:val="20"/>
              </w:rPr>
            </w:pPr>
            <w:r w:rsidRPr="365D9676">
              <w:rPr>
                <w:rFonts w:eastAsia="Calibri" w:cs="Calibri"/>
                <w:color w:val="000000"/>
                <w:sz w:val="20"/>
                <w:szCs w:val="20"/>
              </w:rPr>
              <w:t>Do you think that the Fleming Fund has already established clear expectations for programme partners about how national uses of AMR surveillance data should be promoted?  If yes, what are the expectations and how have they been established?</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10878813" w14:textId="5D17FEED" w:rsidR="365D9676" w:rsidRDefault="365D9676" w:rsidP="365D9676">
            <w:pPr>
              <w:rPr>
                <w:rFonts w:eastAsia="Calibri" w:cs="Calibri"/>
                <w:color w:val="000000"/>
                <w:sz w:val="20"/>
                <w:szCs w:val="20"/>
              </w:rPr>
            </w:pPr>
          </w:p>
        </w:tc>
      </w:tr>
      <w:tr w:rsidR="365D9676" w14:paraId="0D0E1F82" w14:textId="77777777" w:rsidTr="365D9676">
        <w:trPr>
          <w:trHeight w:val="1035"/>
        </w:trPr>
        <w:tc>
          <w:tcPr>
            <w:tcW w:w="1050" w:type="dxa"/>
            <w:tcBorders>
              <w:top w:val="single" w:sz="6" w:space="0" w:color="auto"/>
              <w:left w:val="single" w:sz="12" w:space="0" w:color="auto"/>
              <w:bottom w:val="single" w:sz="6" w:space="0" w:color="auto"/>
              <w:right w:val="single" w:sz="6" w:space="0" w:color="auto"/>
            </w:tcBorders>
            <w:tcMar>
              <w:left w:w="105" w:type="dxa"/>
              <w:right w:w="105" w:type="dxa"/>
            </w:tcMar>
          </w:tcPr>
          <w:p w14:paraId="59037057" w14:textId="2714FA84" w:rsidR="365D9676" w:rsidRDefault="365D9676" w:rsidP="365D9676">
            <w:pPr>
              <w:rPr>
                <w:rFonts w:eastAsia="Calibri" w:cs="Calibri"/>
                <w:color w:val="000000"/>
                <w:sz w:val="20"/>
                <w:szCs w:val="20"/>
              </w:rPr>
            </w:pPr>
            <w:r w:rsidRPr="365D9676">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12" w:space="0" w:color="auto"/>
            </w:tcBorders>
            <w:tcMar>
              <w:left w:w="105" w:type="dxa"/>
              <w:right w:w="105" w:type="dxa"/>
            </w:tcMar>
            <w:vAlign w:val="bottom"/>
          </w:tcPr>
          <w:p w14:paraId="4465D723" w14:textId="319D63D8" w:rsidR="365D9676" w:rsidRDefault="365D9676" w:rsidP="365D9676">
            <w:pPr>
              <w:rPr>
                <w:rFonts w:eastAsia="Calibri" w:cs="Calibri"/>
                <w:color w:val="000000"/>
                <w:sz w:val="20"/>
                <w:szCs w:val="20"/>
              </w:rPr>
            </w:pPr>
            <w:r w:rsidRPr="365D9676">
              <w:rPr>
                <w:rFonts w:eastAsia="Calibri" w:cs="Calibri"/>
                <w:color w:val="000000"/>
                <w:sz w:val="20"/>
                <w:szCs w:val="20"/>
              </w:rPr>
              <w:t>Do you think that your organisation’s interests and capabilities suggest specific opportunities and strengths for future Fleming Fund efforts to support national AMR actions using surveillance data?  o If yes, what are they?</w:t>
            </w:r>
          </w:p>
        </w:tc>
        <w:tc>
          <w:tcPr>
            <w:tcW w:w="6270" w:type="dxa"/>
            <w:tcBorders>
              <w:top w:val="single" w:sz="6" w:space="0" w:color="auto"/>
              <w:left w:val="single" w:sz="12" w:space="0" w:color="auto"/>
              <w:bottom w:val="single" w:sz="6" w:space="0" w:color="auto"/>
              <w:right w:val="single" w:sz="12" w:space="0" w:color="auto"/>
            </w:tcBorders>
            <w:tcMar>
              <w:left w:w="105" w:type="dxa"/>
              <w:right w:w="105" w:type="dxa"/>
            </w:tcMar>
          </w:tcPr>
          <w:p w14:paraId="113BB5E7" w14:textId="69ED9373" w:rsidR="365D9676" w:rsidRDefault="365D9676" w:rsidP="365D9676">
            <w:pPr>
              <w:rPr>
                <w:rFonts w:eastAsia="Calibri" w:cs="Calibri"/>
                <w:color w:val="000000"/>
                <w:sz w:val="20"/>
                <w:szCs w:val="20"/>
              </w:rPr>
            </w:pPr>
          </w:p>
        </w:tc>
      </w:tr>
    </w:tbl>
    <w:p w14:paraId="0DF307FE" w14:textId="79326A9F" w:rsidR="365D9676" w:rsidRDefault="365D9676"/>
    <w:p w14:paraId="4708807C" w14:textId="44DE8A32" w:rsidR="365D9676" w:rsidRDefault="365D9676" w:rsidP="365D9676">
      <w:pPr>
        <w:pStyle w:val="ItadNormalText"/>
        <w:keepNext/>
      </w:pPr>
    </w:p>
    <w:p w14:paraId="650BC479" w14:textId="24BA33A9" w:rsidR="365D9676" w:rsidRDefault="365D9676">
      <w:r>
        <w:br w:type="page"/>
      </w:r>
    </w:p>
    <w:p w14:paraId="30FE7F94" w14:textId="5E9F3628" w:rsidR="4CE1AD5B" w:rsidRDefault="4CE1AD5B" w:rsidP="365D9676">
      <w:pPr>
        <w:pStyle w:val="ItadH3"/>
        <w:keepNext/>
        <w:spacing w:line="259" w:lineRule="auto"/>
        <w:rPr>
          <w:lang w:val="en-GB"/>
        </w:rPr>
      </w:pPr>
      <w:bookmarkStart w:id="466" w:name="_Toc142383250"/>
      <w:r w:rsidRPr="65D9A205">
        <w:rPr>
          <w:lang w:val="en-GB"/>
        </w:rPr>
        <w:t>KII Guide for FAO</w:t>
      </w:r>
      <w:bookmarkEnd w:id="466"/>
    </w:p>
    <w:p w14:paraId="5D3875FC" w14:textId="480C373A" w:rsidR="65D9A205" w:rsidRDefault="19D3FFDE" w:rsidP="65D9A205">
      <w:pPr>
        <w:widowControl w:val="0"/>
        <w:spacing w:after="160" w:line="259" w:lineRule="auto"/>
        <w:jc w:val="both"/>
        <w:rPr>
          <w:rFonts w:ascii="Calibri Light" w:eastAsia="Calibri Light" w:hAnsi="Calibri Light" w:cs="Calibri Light"/>
          <w:color w:val="2F5496"/>
          <w:sz w:val="26"/>
          <w:szCs w:val="26"/>
        </w:rPr>
      </w:pPr>
      <w:r w:rsidRPr="65D9A205">
        <w:rPr>
          <w:rFonts w:ascii="Calibri Light" w:eastAsia="Calibri Light" w:hAnsi="Calibri Light" w:cs="Calibri Light"/>
          <w:color w:val="2F5496"/>
          <w:sz w:val="26"/>
          <w:szCs w:val="26"/>
        </w:rPr>
        <w:t>FAO</w:t>
      </w:r>
    </w:p>
    <w:p w14:paraId="4456BEC2" w14:textId="5385DFD9" w:rsidR="19D3FFDE" w:rsidRDefault="19D3FFDE" w:rsidP="65D9A205">
      <w:pPr>
        <w:widowControl w:val="0"/>
        <w:spacing w:after="160" w:line="259" w:lineRule="auto"/>
        <w:jc w:val="both"/>
        <w:rPr>
          <w:rFonts w:eastAsia="Calibri" w:cs="Calibri"/>
          <w:color w:val="000000"/>
        </w:rPr>
      </w:pPr>
      <w:r w:rsidRPr="65D9A205">
        <w:rPr>
          <w:rFonts w:eastAsia="Calibri" w:cs="Calibri"/>
          <w:b/>
          <w:bCs/>
          <w:color w:val="000000"/>
        </w:rPr>
        <w:t>KII name:</w:t>
      </w:r>
    </w:p>
    <w:p w14:paraId="3A9BF636" w14:textId="41F7BC89" w:rsidR="19D3FFDE" w:rsidRDefault="19D3FFDE" w:rsidP="65D9A205">
      <w:pPr>
        <w:widowControl w:val="0"/>
        <w:spacing w:after="160" w:line="259" w:lineRule="auto"/>
        <w:jc w:val="both"/>
        <w:rPr>
          <w:rFonts w:eastAsia="Calibri" w:cs="Calibri"/>
          <w:color w:val="000000"/>
        </w:rPr>
      </w:pPr>
      <w:r w:rsidRPr="65D9A205">
        <w:rPr>
          <w:rFonts w:eastAsia="Calibri" w:cs="Calibri"/>
          <w:b/>
          <w:bCs/>
          <w:color w:val="000000"/>
        </w:rPr>
        <w:t>KII date:</w:t>
      </w:r>
    </w:p>
    <w:p w14:paraId="39238106" w14:textId="7E1F33DF" w:rsidR="19D3FFDE" w:rsidRPr="001B7050" w:rsidRDefault="19D3FFDE" w:rsidP="65D9A205">
      <w:pPr>
        <w:widowControl w:val="0"/>
        <w:spacing w:after="160" w:line="259" w:lineRule="auto"/>
        <w:jc w:val="both"/>
        <w:rPr>
          <w:rFonts w:eastAsia="Calibri" w:cs="Calibri"/>
          <w:color w:val="000000"/>
        </w:rPr>
      </w:pPr>
      <w:r w:rsidRPr="001B7050">
        <w:rPr>
          <w:rFonts w:eastAsia="Calibri" w:cs="Calibri"/>
          <w:b/>
          <w:bCs/>
          <w:color w:val="000000"/>
        </w:rPr>
        <w:t>KII interviewer(s):</w:t>
      </w:r>
    </w:p>
    <w:p w14:paraId="3B90208B" w14:textId="7008F41D" w:rsidR="19D3FFDE" w:rsidRPr="001B7050" w:rsidRDefault="19D3FFDE" w:rsidP="65D9A205">
      <w:pPr>
        <w:spacing w:after="160" w:line="259" w:lineRule="auto"/>
        <w:rPr>
          <w:rFonts w:eastAsia="Calibri" w:cs="Calibri"/>
          <w:color w:val="000000"/>
        </w:rPr>
      </w:pPr>
      <w:r w:rsidRPr="001B7050">
        <w:rPr>
          <w:rFonts w:eastAsia="Calibri" w:cs="Calibri"/>
          <w:b/>
          <w:bCs/>
          <w:color w:val="000000"/>
        </w:rPr>
        <w:t>Introduction</w:t>
      </w:r>
      <w:r w:rsidRPr="001B7050">
        <w:rPr>
          <w:rFonts w:eastAsia="Calibri" w:cs="Calibri"/>
          <w:color w:val="000000"/>
        </w:rPr>
        <w:t xml:space="preserve"> – please adapt and summarise according to the stakeholder / her knowledge of the evaluation etc </w:t>
      </w:r>
      <w:r w:rsidRPr="001B7050">
        <w:rPr>
          <w:rFonts w:ascii="Times New Roman" w:eastAsia="Times New Roman" w:hAnsi="Times New Roman" w:cs="Times New Roman"/>
          <w:color w:val="000000"/>
          <w:sz w:val="24"/>
          <w:szCs w:val="24"/>
        </w:rPr>
        <w:t>–</w:t>
      </w:r>
      <w:r w:rsidRPr="001B7050">
        <w:rPr>
          <w:rFonts w:eastAsia="Calibri" w:cs="Calibri"/>
          <w:color w:val="000000"/>
        </w:rPr>
        <w:t xml:space="preserve"> aim to get this intro as short as possible.</w:t>
      </w:r>
    </w:p>
    <w:p w14:paraId="5714F520" w14:textId="0C20BCC3" w:rsidR="19D3FFDE" w:rsidRPr="001B7050" w:rsidRDefault="19D3FFDE" w:rsidP="65D9A205">
      <w:pPr>
        <w:spacing w:line="259" w:lineRule="auto"/>
        <w:rPr>
          <w:rFonts w:eastAsia="Calibri" w:cs="Calibri"/>
          <w:color w:val="000000"/>
        </w:rPr>
      </w:pPr>
      <w:r w:rsidRPr="001B7050">
        <w:rPr>
          <w:rFonts w:eastAsia="Calibri" w:cs="Calibri"/>
          <w:color w:val="000000"/>
        </w:rPr>
        <w:t xml:space="preserve"> • </w:t>
      </w:r>
      <w:r w:rsidRPr="001B7050">
        <w:rPr>
          <w:rFonts w:eastAsia="Calibri" w:cs="Calibri"/>
          <w:b/>
          <w:bCs/>
          <w:color w:val="000000"/>
        </w:rPr>
        <w:t>Thank you</w:t>
      </w:r>
      <w:r w:rsidRPr="001B7050">
        <w:rPr>
          <w:rFonts w:eastAsia="Calibri" w:cs="Calibri"/>
          <w:color w:val="000000"/>
        </w:rPr>
        <w:t xml:space="preserve"> – Thank you the interviewee for having accepted the meeting and for their time today. </w:t>
      </w:r>
    </w:p>
    <w:p w14:paraId="6C9FC308" w14:textId="0A7DFCAD" w:rsidR="19D3FFDE" w:rsidRPr="001B7050" w:rsidRDefault="19D3FFDE"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Introductions</w:t>
      </w:r>
      <w:r w:rsidRPr="001B7050">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48EA1B01" w14:textId="21CA229A" w:rsidR="19D3FFDE" w:rsidRPr="001B7050" w:rsidRDefault="19D3FFDE" w:rsidP="65D9A205">
      <w:pPr>
        <w:spacing w:line="259" w:lineRule="auto"/>
        <w:rPr>
          <w:rFonts w:eastAsia="Calibri" w:cs="Calibri"/>
          <w:color w:val="000000"/>
        </w:rPr>
      </w:pPr>
      <w:r w:rsidRPr="001B7050">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54F94FD3" w14:textId="43E12461" w:rsidR="19D3FFDE" w:rsidRPr="001B7050" w:rsidRDefault="19D3FFDE" w:rsidP="65D9A205">
      <w:pPr>
        <w:spacing w:line="259" w:lineRule="auto"/>
        <w:rPr>
          <w:rFonts w:eastAsia="Calibri" w:cs="Calibri"/>
          <w:color w:val="000000"/>
        </w:rPr>
      </w:pPr>
      <w:r w:rsidRPr="001B7050">
        <w:rPr>
          <w:rFonts w:eastAsia="Calibri" w:cs="Calibri"/>
          <w:color w:val="000000"/>
        </w:rPr>
        <w:t xml:space="preserve">[Let others introduce themselves or tell them there will be a chance after you have explained the purpose of the interview] </w:t>
      </w:r>
    </w:p>
    <w:p w14:paraId="51DB3DB6" w14:textId="324394C9" w:rsidR="19D3FFDE" w:rsidRPr="001B7050" w:rsidRDefault="19D3FFDE" w:rsidP="65D9A205">
      <w:pPr>
        <w:spacing w:line="259" w:lineRule="auto"/>
        <w:rPr>
          <w:rFonts w:eastAsia="Calibri" w:cs="Calibri"/>
          <w:color w:val="000000"/>
        </w:rPr>
      </w:pPr>
      <w:r w:rsidRPr="001B7050">
        <w:rPr>
          <w:rFonts w:eastAsia="Calibri" w:cs="Calibri"/>
          <w:color w:val="000000"/>
        </w:rPr>
        <w:t xml:space="preserve">[Acknowledge whether we have already interviewed the stakeholder during CV1/2]  </w:t>
      </w:r>
    </w:p>
    <w:p w14:paraId="1B8C4573" w14:textId="75CB7212" w:rsidR="19D3FFDE" w:rsidRPr="001B7050" w:rsidRDefault="19D3FFDE" w:rsidP="65D9A205">
      <w:pPr>
        <w:spacing w:line="259" w:lineRule="auto"/>
        <w:rPr>
          <w:rFonts w:eastAsia="Calibri" w:cs="Calibri"/>
          <w:color w:val="000000"/>
        </w:rPr>
      </w:pPr>
      <w:r w:rsidRPr="001B7050">
        <w:rPr>
          <w:rFonts w:eastAsia="Calibri" w:cs="Calibri"/>
          <w:color w:val="000000"/>
        </w:rPr>
        <w:t xml:space="preserve"> </w:t>
      </w:r>
    </w:p>
    <w:p w14:paraId="61B9AFC5" w14:textId="1C40C58E" w:rsidR="19D3FFDE" w:rsidRPr="001B7050" w:rsidRDefault="19D3FFDE"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Purpose</w:t>
      </w:r>
      <w:r w:rsidRPr="001B7050">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2BCDAF47" w14:textId="729A300D" w:rsidR="19D3FFDE" w:rsidRPr="001B7050" w:rsidRDefault="19D3FFDE"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 xml:space="preserve">Focus </w:t>
      </w:r>
      <w:r w:rsidRPr="001B7050">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4C4A370F" w14:textId="33F38FA3" w:rsidR="19D3FFDE" w:rsidRPr="001B7050" w:rsidRDefault="19D3FFDE" w:rsidP="00C6374D">
      <w:pPr>
        <w:pStyle w:val="ListParagraph"/>
        <w:numPr>
          <w:ilvl w:val="0"/>
          <w:numId w:val="13"/>
        </w:numPr>
        <w:spacing w:line="259" w:lineRule="auto"/>
        <w:rPr>
          <w:rFonts w:eastAsia="Calibri" w:cs="Calibri"/>
          <w:color w:val="000000"/>
        </w:rPr>
      </w:pPr>
      <w:r w:rsidRPr="001B7050">
        <w:rPr>
          <w:rFonts w:eastAsia="Calibri" w:cs="Calibri"/>
          <w:color w:val="000000"/>
        </w:rPr>
        <w:t xml:space="preserve">More and better AMR/C/U data produced and shared at country level  </w:t>
      </w:r>
    </w:p>
    <w:p w14:paraId="74170030" w14:textId="0E78D56E" w:rsidR="19D3FFDE" w:rsidRPr="001B7050" w:rsidRDefault="19D3FFDE" w:rsidP="00C6374D">
      <w:pPr>
        <w:pStyle w:val="ListParagraph"/>
        <w:numPr>
          <w:ilvl w:val="0"/>
          <w:numId w:val="13"/>
        </w:numPr>
        <w:spacing w:line="259" w:lineRule="auto"/>
        <w:rPr>
          <w:rFonts w:eastAsia="Calibri" w:cs="Calibri"/>
          <w:color w:val="000000"/>
        </w:rPr>
      </w:pPr>
      <w:r w:rsidRPr="001B7050">
        <w:rPr>
          <w:rFonts w:eastAsia="Calibri" w:cs="Calibri"/>
          <w:color w:val="000000"/>
        </w:rPr>
        <w:t xml:space="preserve">More and better AMR/C/U data shared internationally (with GLASS/OIE) </w:t>
      </w:r>
    </w:p>
    <w:p w14:paraId="3E68ECF8" w14:textId="1ED1CB5C" w:rsidR="19D3FFDE" w:rsidRPr="001B7050" w:rsidRDefault="19D3FFDE" w:rsidP="00C6374D">
      <w:pPr>
        <w:pStyle w:val="ListParagraph"/>
        <w:numPr>
          <w:ilvl w:val="0"/>
          <w:numId w:val="13"/>
        </w:numPr>
        <w:spacing w:line="259" w:lineRule="auto"/>
        <w:rPr>
          <w:rFonts w:eastAsia="Calibri" w:cs="Calibri"/>
          <w:color w:val="000000"/>
        </w:rPr>
      </w:pPr>
      <w:r w:rsidRPr="001B7050">
        <w:rPr>
          <w:rFonts w:eastAsia="Calibri" w:cs="Calibri"/>
          <w:color w:val="000000"/>
        </w:rPr>
        <w:t xml:space="preserve">Regulatory and policy change that can have an impact in reducing AMR </w:t>
      </w:r>
    </w:p>
    <w:p w14:paraId="63184BD3" w14:textId="6C28D358" w:rsidR="19D3FFDE" w:rsidRPr="001B7050" w:rsidRDefault="19D3FFDE" w:rsidP="00C6374D">
      <w:pPr>
        <w:pStyle w:val="ListParagraph"/>
        <w:numPr>
          <w:ilvl w:val="0"/>
          <w:numId w:val="13"/>
        </w:numPr>
        <w:spacing w:line="259" w:lineRule="auto"/>
        <w:rPr>
          <w:rFonts w:eastAsia="Calibri" w:cs="Calibri"/>
          <w:color w:val="000000"/>
        </w:rPr>
      </w:pPr>
      <w:r w:rsidRPr="001B7050">
        <w:rPr>
          <w:rFonts w:eastAsia="Calibri" w:cs="Calibri"/>
          <w:color w:val="000000"/>
        </w:rPr>
        <w:t xml:space="preserve">Changes in practice / attitude towards the use of antimicrobials.  </w:t>
      </w:r>
    </w:p>
    <w:p w14:paraId="7E933EB6" w14:textId="5D1656DE" w:rsidR="19D3FFDE" w:rsidRPr="001B7050" w:rsidRDefault="19D3FFDE" w:rsidP="65D9A205">
      <w:pPr>
        <w:spacing w:line="259" w:lineRule="auto"/>
        <w:rPr>
          <w:rFonts w:eastAsia="Calibri" w:cs="Calibri"/>
          <w:color w:val="000000"/>
        </w:rPr>
      </w:pPr>
      <w:r w:rsidRPr="001B7050">
        <w:rPr>
          <w:rFonts w:eastAsia="Calibri" w:cs="Calibri"/>
          <w:color w:val="000000"/>
        </w:rPr>
        <w:t xml:space="preserve"> </w:t>
      </w:r>
    </w:p>
    <w:p w14:paraId="0AF9705A" w14:textId="4B95F1F7" w:rsidR="19D3FFDE" w:rsidRPr="001B7050" w:rsidRDefault="19D3FFDE" w:rsidP="65D9A205">
      <w:pPr>
        <w:spacing w:line="259" w:lineRule="auto"/>
        <w:rPr>
          <w:rFonts w:eastAsia="Calibri" w:cs="Calibri"/>
          <w:color w:val="000000"/>
        </w:rPr>
      </w:pPr>
      <w:r w:rsidRPr="001B7050">
        <w:rPr>
          <w:rFonts w:eastAsia="Calibri" w:cs="Calibri"/>
          <w:color w:val="000000"/>
        </w:rPr>
        <w:t>We have also questions relate to coherence of Fleming Fund efforts with those of other actors in country, sustainability of FF results and Value for Money [adapt the list as appropriate].</w:t>
      </w:r>
    </w:p>
    <w:p w14:paraId="0AE5110F" w14:textId="245B6AEC" w:rsidR="19D3FFDE" w:rsidRPr="001B7050" w:rsidRDefault="19D3FFDE" w:rsidP="65D9A205">
      <w:pPr>
        <w:spacing w:line="259" w:lineRule="auto"/>
        <w:rPr>
          <w:rFonts w:eastAsia="Calibri" w:cs="Calibri"/>
          <w:color w:val="000000"/>
        </w:rPr>
      </w:pPr>
      <w:r w:rsidRPr="001B7050">
        <w:rPr>
          <w:rFonts w:eastAsia="Calibri" w:cs="Calibri"/>
          <w:color w:val="000000"/>
        </w:rPr>
        <w:t xml:space="preserve"> </w:t>
      </w:r>
    </w:p>
    <w:p w14:paraId="66960524" w14:textId="6F90F5CE" w:rsidR="19D3FFDE" w:rsidRPr="001B7050" w:rsidRDefault="19D3FFDE"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Confidentiality / permission to record</w:t>
      </w:r>
      <w:r w:rsidRPr="001B7050">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3DEAA2B1" w14:textId="168FFA19" w:rsidR="19D3FFDE" w:rsidRPr="001B7050" w:rsidRDefault="19D3FFDE" w:rsidP="65D9A205">
      <w:pPr>
        <w:spacing w:line="259" w:lineRule="auto"/>
        <w:rPr>
          <w:rFonts w:eastAsia="Calibri" w:cs="Calibri"/>
          <w:color w:val="000000"/>
        </w:rPr>
      </w:pPr>
      <w:r w:rsidRPr="001B7050">
        <w:rPr>
          <w:rFonts w:eastAsia="Calibri" w:cs="Calibri"/>
          <w:color w:val="000000"/>
        </w:rPr>
        <w:t xml:space="preserve"> </w:t>
      </w:r>
    </w:p>
    <w:p w14:paraId="56918D8C" w14:textId="66CE7E9C" w:rsidR="19D3FFDE" w:rsidRDefault="19D3FFDE"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Duration</w:t>
      </w:r>
      <w:r w:rsidRPr="001B7050">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 know the answer to a question or prefer not to answer – just let me know and I’ll adapt the interview accordingly.</w:t>
      </w:r>
      <w:r w:rsidRPr="65D9A205">
        <w:rPr>
          <w:rFonts w:eastAsia="Calibri" w:cs="Calibri"/>
          <w:color w:val="000000"/>
        </w:rPr>
        <w:t xml:space="preserve">   </w:t>
      </w:r>
    </w:p>
    <w:p w14:paraId="32A6E2C5" w14:textId="3093A245" w:rsidR="19D3FFDE" w:rsidRDefault="19D3FFDE" w:rsidP="65D9A205">
      <w:pPr>
        <w:spacing w:line="259" w:lineRule="auto"/>
        <w:rPr>
          <w:rFonts w:ascii="Segoe UI" w:eastAsia="Segoe UI" w:hAnsi="Segoe UI" w:cs="Segoe UI"/>
          <w:color w:val="000000"/>
        </w:rPr>
      </w:pPr>
      <w:r w:rsidRPr="65D9A205">
        <w:rPr>
          <w:rFonts w:ascii="Segoe UI" w:eastAsia="Segoe UI" w:hAnsi="Segoe UI" w:cs="Segoe UI"/>
          <w:color w:val="000000"/>
        </w:rPr>
        <w:t xml:space="preserve"> </w:t>
      </w:r>
    </w:p>
    <w:p w14:paraId="31642D7F" w14:textId="57F9A492" w:rsidR="19D3FFDE" w:rsidRDefault="19D3FFDE" w:rsidP="65D9A205">
      <w:pPr>
        <w:spacing w:line="259" w:lineRule="auto"/>
        <w:rPr>
          <w:rFonts w:eastAsia="Calibri" w:cs="Calibri"/>
          <w:color w:val="000000"/>
        </w:rPr>
      </w:pPr>
      <w:r w:rsidRPr="65D9A205">
        <w:rPr>
          <w:rFonts w:eastAsia="Calibri" w:cs="Calibri"/>
          <w:color w:val="000000"/>
        </w:rPr>
        <w:t xml:space="preserve">• </w:t>
      </w:r>
      <w:r w:rsidRPr="65D9A205">
        <w:rPr>
          <w:rFonts w:eastAsia="Calibri" w:cs="Calibri"/>
          <w:b/>
          <w:bCs/>
          <w:color w:val="000000"/>
        </w:rPr>
        <w:t>Opportunity for questions</w:t>
      </w:r>
      <w:r w:rsidRPr="65D9A205">
        <w:rPr>
          <w:rFonts w:eastAsia="Calibri" w:cs="Calibri"/>
          <w:color w:val="000000"/>
        </w:rPr>
        <w:t xml:space="preserve"> – Do you have any questions before we start? Of course you are also welcome to ask questions through the interview if something is not clear.  </w:t>
      </w:r>
    </w:p>
    <w:p w14:paraId="330B1E4E" w14:textId="0C3936F8" w:rsidR="65D9A205" w:rsidRDefault="65D9A205" w:rsidP="65D9A205">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75"/>
        <w:gridCol w:w="6345"/>
        <w:gridCol w:w="6345"/>
      </w:tblGrid>
      <w:tr w:rsidR="65D9A205" w14:paraId="1E839B51" w14:textId="77777777" w:rsidTr="00AD6F77">
        <w:trPr>
          <w:trHeight w:val="567"/>
          <w:tblHeader/>
        </w:trPr>
        <w:tc>
          <w:tcPr>
            <w:tcW w:w="97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18D0DCE7" w14:textId="1B4A4565" w:rsidR="65D9A205" w:rsidRPr="00263CAE" w:rsidRDefault="65D9A205" w:rsidP="00AD6F77">
            <w:pPr>
              <w:rPr>
                <w:rFonts w:eastAsia="Calibri" w:cs="Calibri"/>
                <w:color w:val="000000"/>
              </w:rPr>
            </w:pPr>
            <w:r w:rsidRPr="00263CAE">
              <w:rPr>
                <w:rFonts w:eastAsia="Calibri" w:cs="Calibri"/>
                <w:color w:val="000000"/>
              </w:rPr>
              <w:t>EQ</w:t>
            </w:r>
          </w:p>
        </w:tc>
        <w:tc>
          <w:tcPr>
            <w:tcW w:w="634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3346CDEC" w14:textId="334F6A31" w:rsidR="65D9A205" w:rsidRDefault="65D9A205" w:rsidP="00AD6F77">
            <w:pPr>
              <w:rPr>
                <w:rFonts w:eastAsia="Calibri" w:cs="Calibri"/>
                <w:color w:val="FFFFFF" w:themeColor="background1"/>
                <w:sz w:val="20"/>
                <w:szCs w:val="20"/>
              </w:rPr>
            </w:pPr>
            <w:r w:rsidRPr="65D9A205">
              <w:rPr>
                <w:rFonts w:eastAsia="Calibri" w:cs="Calibri"/>
                <w:color w:val="FFFFFF" w:themeColor="background1"/>
                <w:sz w:val="20"/>
                <w:szCs w:val="20"/>
              </w:rPr>
              <w:t xml:space="preserve">List of questions  </w:t>
            </w:r>
          </w:p>
        </w:tc>
        <w:tc>
          <w:tcPr>
            <w:tcW w:w="634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496BE44E" w14:textId="71C873FD" w:rsidR="65D9A205" w:rsidRDefault="65D9A205" w:rsidP="00AD6F77">
            <w:pPr>
              <w:rPr>
                <w:rFonts w:eastAsia="Calibri" w:cs="Calibri"/>
                <w:color w:val="FFFFFF" w:themeColor="background1"/>
                <w:sz w:val="20"/>
                <w:szCs w:val="20"/>
              </w:rPr>
            </w:pPr>
            <w:r w:rsidRPr="65D9A205">
              <w:rPr>
                <w:rFonts w:eastAsia="Calibri" w:cs="Calibri"/>
                <w:color w:val="FFFFFF" w:themeColor="background1"/>
                <w:sz w:val="20"/>
                <w:szCs w:val="20"/>
              </w:rPr>
              <w:t>Response</w:t>
            </w:r>
          </w:p>
        </w:tc>
      </w:tr>
      <w:tr w:rsidR="65D9A205" w14:paraId="2EBDE478" w14:textId="77777777" w:rsidTr="65D9A205">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078082E" w14:textId="0E3B37D1" w:rsidR="65D9A205" w:rsidRPr="00263CAE" w:rsidRDefault="65D9A205" w:rsidP="65D9A205">
            <w:pPr>
              <w:rPr>
                <w:rFonts w:eastAsia="Calibri" w:cs="Calibri"/>
                <w:color w:val="000000"/>
              </w:rPr>
            </w:pPr>
            <w:r w:rsidRPr="00263CAE">
              <w:rPr>
                <w:rFonts w:eastAsia="Calibri" w:cs="Calibri"/>
                <w:color w:val="000000"/>
              </w:rPr>
              <w:t>EQ1 (AH) / Change 2a</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CDCD728" w14:textId="702753C3" w:rsidR="65D9A205" w:rsidRPr="001B18E8" w:rsidRDefault="65D9A205" w:rsidP="65D9A205">
            <w:pPr>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quantity</w:t>
            </w:r>
            <w:r w:rsidRPr="001B18E8">
              <w:rPr>
                <w:rFonts w:eastAsia="Calibri" w:cs="Calibri"/>
                <w:sz w:val="20"/>
                <w:szCs w:val="20"/>
              </w:rPr>
              <w:t xml:space="preserve"> of </w:t>
            </w:r>
            <w:r w:rsidRPr="001B18E8">
              <w:rPr>
                <w:sz w:val="20"/>
                <w:szCs w:val="20"/>
              </w:rPr>
              <w:t>AH</w:t>
            </w:r>
            <w:r w:rsidRPr="001B18E8">
              <w:rPr>
                <w:rFonts w:eastAsia="Calibri" w:cs="Calibri"/>
                <w:sz w:val="20"/>
                <w:szCs w:val="20"/>
              </w:rPr>
              <w:t xml:space="preserve"> AMR/C/U data generated has improved since 2018? Summarise our understanding of changes in data quantity (a focus on</w:t>
            </w:r>
            <w:r w:rsidRPr="001B18E8">
              <w:rPr>
                <w:rFonts w:eastAsia="Calibri" w:cs="Calibri"/>
                <w:strike/>
                <w:sz w:val="20"/>
                <w:szCs w:val="20"/>
              </w:rPr>
              <w:t>,</w:t>
            </w:r>
            <w:r w:rsidRPr="001B18E8">
              <w:rPr>
                <w:rFonts w:eastAsia="Calibri" w:cs="Calibri"/>
                <w:sz w:val="20"/>
                <w:szCs w:val="20"/>
              </w:rPr>
              <w:t xml:space="preserve"> samples) obtained from document review.  To what extent your records on quantity of AMR/U/C data generated match with our understanding? </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005CAB26" w14:textId="72A362FE" w:rsidR="65D9A205" w:rsidRDefault="65D9A205" w:rsidP="65D9A205">
            <w:pPr>
              <w:rPr>
                <w:rFonts w:eastAsia="Calibri" w:cs="Calibri"/>
                <w:color w:val="000000"/>
                <w:sz w:val="20"/>
                <w:szCs w:val="20"/>
              </w:rPr>
            </w:pPr>
          </w:p>
        </w:tc>
      </w:tr>
      <w:tr w:rsidR="65D9A205" w14:paraId="0F2B557F" w14:textId="77777777" w:rsidTr="00AD6F77">
        <w:trPr>
          <w:trHeight w:val="680"/>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FB6BEF7" w14:textId="2BA3D690" w:rsidR="65D9A205" w:rsidRPr="00263CAE" w:rsidRDefault="65D9A205" w:rsidP="00AD6F77">
            <w:pPr>
              <w:rPr>
                <w:rFonts w:eastAsia="Calibri" w:cs="Calibri"/>
                <w:color w:val="000000"/>
              </w:rPr>
            </w:pPr>
            <w:r w:rsidRPr="00263CAE">
              <w:rPr>
                <w:rFonts w:eastAsia="Calibri" w:cs="Calibri"/>
                <w:color w:val="000000"/>
              </w:rPr>
              <w:t>EQ1 (AH)</w:t>
            </w:r>
          </w:p>
        </w:tc>
        <w:tc>
          <w:tcPr>
            <w:tcW w:w="634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27594E8" w14:textId="3216B17D" w:rsidR="65D9A205" w:rsidRPr="001B18E8" w:rsidRDefault="65D9A205" w:rsidP="00AD6F77">
            <w:pPr>
              <w:spacing w:line="259" w:lineRule="auto"/>
              <w:rPr>
                <w:rFonts w:eastAsia="Calibri" w:cs="Calibri"/>
                <w:sz w:val="20"/>
                <w:szCs w:val="20"/>
              </w:rPr>
            </w:pPr>
            <w:r w:rsidRPr="001B18E8">
              <w:rPr>
                <w:rFonts w:eastAsia="Calibri" w:cs="Calibri"/>
                <w:sz w:val="20"/>
                <w:szCs w:val="20"/>
              </w:rPr>
              <w:t>To what extent have active surveillance surveys been undertaken as part of a broader strategy? Probe on when relevant strategy was published.</w:t>
            </w:r>
          </w:p>
        </w:tc>
        <w:tc>
          <w:tcPr>
            <w:tcW w:w="6345" w:type="dxa"/>
            <w:tcBorders>
              <w:top w:val="single" w:sz="6" w:space="0" w:color="auto"/>
              <w:left w:val="single" w:sz="6" w:space="0" w:color="auto"/>
              <w:bottom w:val="single" w:sz="6" w:space="0" w:color="auto"/>
              <w:right w:val="single" w:sz="6" w:space="0" w:color="auto"/>
            </w:tcBorders>
            <w:tcMar>
              <w:left w:w="105" w:type="dxa"/>
              <w:right w:w="105" w:type="dxa"/>
            </w:tcMar>
          </w:tcPr>
          <w:p w14:paraId="76BF6805" w14:textId="268A4F8C" w:rsidR="65D9A205" w:rsidRDefault="65D9A205" w:rsidP="65D9A205">
            <w:pPr>
              <w:rPr>
                <w:rFonts w:eastAsia="Calibri" w:cs="Calibri"/>
                <w:color w:val="D13438"/>
                <w:sz w:val="20"/>
                <w:szCs w:val="20"/>
              </w:rPr>
            </w:pPr>
          </w:p>
        </w:tc>
      </w:tr>
      <w:tr w:rsidR="65D9A205" w14:paraId="25494A0A" w14:textId="77777777" w:rsidTr="65D9A205">
        <w:trPr>
          <w:trHeight w:val="1290"/>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AD72F5F" w14:textId="1392C254" w:rsidR="65D9A205" w:rsidRPr="00263CAE" w:rsidRDefault="65D9A205" w:rsidP="65D9A205">
            <w:pPr>
              <w:rPr>
                <w:rFonts w:eastAsia="Calibri" w:cs="Calibri"/>
                <w:color w:val="000000"/>
              </w:rPr>
            </w:pPr>
            <w:r w:rsidRPr="00263CAE">
              <w:rPr>
                <w:rFonts w:eastAsia="Calibri" w:cs="Calibri"/>
                <w:color w:val="000000"/>
              </w:rPr>
              <w:t>EQ1 (AH) / Change 2a</w:t>
            </w:r>
          </w:p>
        </w:tc>
        <w:tc>
          <w:tcPr>
            <w:tcW w:w="634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36EF3CA" w14:textId="36411A28" w:rsidR="65D9A205" w:rsidRPr="001B18E8" w:rsidRDefault="65D9A205" w:rsidP="65D9A205">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Number of active sampling exercises, Number of pathogens , human capacity, renovation and equipment, consumable, Prioritisation, governance, engagement with agriculture/industry for sampling</w:t>
            </w:r>
            <w:r w:rsidRPr="001B18E8">
              <w:rPr>
                <w:rFonts w:eastAsia="Calibri" w:cs="Calibri"/>
                <w:b/>
                <w:bCs/>
                <w:sz w:val="20"/>
                <w:szCs w:val="20"/>
              </w:rPr>
              <w:t xml:space="preserve"> </w:t>
            </w:r>
          </w:p>
        </w:tc>
        <w:tc>
          <w:tcPr>
            <w:tcW w:w="6345" w:type="dxa"/>
            <w:tcBorders>
              <w:top w:val="single" w:sz="6" w:space="0" w:color="auto"/>
              <w:left w:val="single" w:sz="6" w:space="0" w:color="auto"/>
              <w:bottom w:val="single" w:sz="6" w:space="0" w:color="auto"/>
              <w:right w:val="single" w:sz="6" w:space="0" w:color="auto"/>
            </w:tcBorders>
            <w:tcMar>
              <w:left w:w="105" w:type="dxa"/>
              <w:right w:w="105" w:type="dxa"/>
            </w:tcMar>
          </w:tcPr>
          <w:p w14:paraId="48E6F2BD" w14:textId="4D6B3E97" w:rsidR="65D9A205" w:rsidRDefault="65D9A205" w:rsidP="65D9A205">
            <w:pPr>
              <w:rPr>
                <w:rFonts w:eastAsia="Calibri" w:cs="Calibri"/>
                <w:color w:val="D13438"/>
                <w:sz w:val="20"/>
                <w:szCs w:val="20"/>
              </w:rPr>
            </w:pPr>
          </w:p>
        </w:tc>
      </w:tr>
      <w:tr w:rsidR="65D9A205" w14:paraId="17BBE97C" w14:textId="77777777" w:rsidTr="65D9A205">
        <w:trPr>
          <w:trHeight w:val="405"/>
        </w:trPr>
        <w:tc>
          <w:tcPr>
            <w:tcW w:w="9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8579A02" w14:textId="317A265C" w:rsidR="65D9A205" w:rsidRPr="00263CAE" w:rsidRDefault="65D9A205" w:rsidP="65D9A205">
            <w:pPr>
              <w:rPr>
                <w:rFonts w:eastAsia="Calibri" w:cs="Calibri"/>
                <w:color w:val="000000"/>
              </w:rPr>
            </w:pPr>
            <w:r w:rsidRPr="00263CAE">
              <w:rPr>
                <w:rFonts w:eastAsia="Calibri" w:cs="Calibri"/>
                <w:color w:val="000000"/>
              </w:rPr>
              <w:t>EQ1 (AH) / Change 2a</w:t>
            </w:r>
          </w:p>
        </w:tc>
        <w:tc>
          <w:tcPr>
            <w:tcW w:w="634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4C769A5" w14:textId="1454F613" w:rsidR="65D9A205" w:rsidRPr="001B18E8" w:rsidRDefault="65D9A205" w:rsidP="65D9A205">
            <w:pPr>
              <w:rPr>
                <w:rFonts w:eastAsia="Calibri" w:cs="Calibri"/>
                <w:sz w:val="20"/>
                <w:szCs w:val="20"/>
              </w:rPr>
            </w:pPr>
            <w:r w:rsidRPr="001B18E8">
              <w:rPr>
                <w:rFonts w:eastAsia="Calibri" w:cs="Calibri"/>
                <w:sz w:val="20"/>
                <w:szCs w:val="20"/>
              </w:rPr>
              <w:t>What was the Fleming Fund (</w:t>
            </w:r>
            <w:r w:rsidRPr="001B18E8">
              <w:rPr>
                <w:rFonts w:eastAsia="Calibri" w:cs="Calibri"/>
                <w:b/>
                <w:bCs/>
                <w:sz w:val="20"/>
                <w:szCs w:val="20"/>
              </w:rPr>
              <w:t>CG/RG/Fellows</w:t>
            </w:r>
            <w:r w:rsidRPr="001B18E8">
              <w:rPr>
                <w:rFonts w:eastAsia="Calibri" w:cs="Calibri"/>
                <w:sz w:val="20"/>
                <w:szCs w:val="20"/>
              </w:rPr>
              <w:t xml:space="preserve">) </w:t>
            </w:r>
            <w:r w:rsidRPr="001B18E8">
              <w:rPr>
                <w:rFonts w:eastAsia="Calibri" w:cs="Calibri"/>
                <w:b/>
                <w:bCs/>
                <w:sz w:val="20"/>
                <w:szCs w:val="20"/>
              </w:rPr>
              <w:t>contribution</w:t>
            </w:r>
            <w:r w:rsidRPr="001B18E8">
              <w:rPr>
                <w:rFonts w:eastAsia="Calibri" w:cs="Calibri"/>
                <w:sz w:val="20"/>
                <w:szCs w:val="20"/>
              </w:rPr>
              <w:t xml:space="preserve"> to those drivers?</w:t>
            </w:r>
            <w:r w:rsidRPr="001B18E8">
              <w:br/>
            </w:r>
            <w:r w:rsidRPr="001B18E8">
              <w:rPr>
                <w:rFonts w:eastAsia="Calibri" w:cs="Calibri"/>
                <w:sz w:val="20"/>
                <w:szCs w:val="20"/>
              </w:rPr>
              <w:t>How vital was that it compared to the contribution of:</w:t>
            </w:r>
            <w:r w:rsidRPr="001B18E8">
              <w:br/>
            </w:r>
            <w:r w:rsidRPr="001B18E8">
              <w:rPr>
                <w:rFonts w:eastAsia="Calibri" w:cs="Calibri"/>
                <w:sz w:val="20"/>
                <w:szCs w:val="20"/>
              </w:rPr>
              <w:t>-Global Projects (name any active in country)</w:t>
            </w:r>
            <w:r w:rsidRPr="001B18E8">
              <w:br/>
            </w:r>
            <w:r w:rsidRPr="001B18E8">
              <w:rPr>
                <w:rFonts w:eastAsia="Calibri" w:cs="Calibri"/>
                <w:sz w:val="20"/>
                <w:szCs w:val="20"/>
              </w:rPr>
              <w:t>-Other influencing factors (could be government activities, interventions by other DPs or exogenous factors such as COVID-19?</w:t>
            </w:r>
          </w:p>
          <w:p w14:paraId="13D344F3" w14:textId="75B512E9" w:rsidR="65D9A205" w:rsidRPr="001B18E8" w:rsidRDefault="65D9A205" w:rsidP="65D9A205">
            <w:pPr>
              <w:rPr>
                <w:rFonts w:eastAsia="Calibri" w:cs="Calibri"/>
                <w:sz w:val="20"/>
                <w:szCs w:val="20"/>
              </w:rPr>
            </w:pPr>
            <w:r w:rsidRPr="001B18E8">
              <w:rPr>
                <w:rStyle w:val="normaltextrun"/>
                <w:rFonts w:eastAsia="Calibri" w:cs="Calibri"/>
                <w:sz w:val="20"/>
                <w:szCs w:val="20"/>
              </w:rPr>
              <w:t>To what extent were these surveys funded by the FF? Completely, partially, not at all?</w:t>
            </w:r>
          </w:p>
        </w:tc>
        <w:tc>
          <w:tcPr>
            <w:tcW w:w="6345" w:type="dxa"/>
            <w:tcBorders>
              <w:top w:val="single" w:sz="6" w:space="0" w:color="auto"/>
              <w:left w:val="single" w:sz="6" w:space="0" w:color="auto"/>
              <w:bottom w:val="single" w:sz="6" w:space="0" w:color="auto"/>
              <w:right w:val="single" w:sz="6" w:space="0" w:color="auto"/>
            </w:tcBorders>
            <w:tcMar>
              <w:left w:w="105" w:type="dxa"/>
              <w:right w:w="105" w:type="dxa"/>
            </w:tcMar>
          </w:tcPr>
          <w:p w14:paraId="28EDB3AE" w14:textId="447FCF0F" w:rsidR="65D9A205" w:rsidRDefault="65D9A205" w:rsidP="65D9A205">
            <w:pPr>
              <w:rPr>
                <w:rFonts w:eastAsia="Calibri" w:cs="Calibri"/>
                <w:color w:val="D13438"/>
                <w:sz w:val="20"/>
                <w:szCs w:val="20"/>
              </w:rPr>
            </w:pPr>
          </w:p>
        </w:tc>
      </w:tr>
      <w:tr w:rsidR="65D9A205" w14:paraId="0C53EC7E" w14:textId="77777777" w:rsidTr="00AD6F77">
        <w:trPr>
          <w:trHeight w:val="57"/>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632E053" w14:textId="697CAEF5" w:rsidR="65D9A205" w:rsidRPr="00263CAE" w:rsidRDefault="65D9A205" w:rsidP="65D9A205">
            <w:pPr>
              <w:rPr>
                <w:rFonts w:eastAsia="Calibri" w:cs="Calibri"/>
                <w:color w:val="000000"/>
              </w:rPr>
            </w:pPr>
            <w:r w:rsidRPr="00263CAE">
              <w:rPr>
                <w:rFonts w:eastAsia="Calibri" w:cs="Calibri"/>
                <w:color w:val="000000"/>
              </w:rPr>
              <w:t>EQ1 (AH) / Change 2aEQ1 (AH)</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vAlign w:val="center"/>
          </w:tcPr>
          <w:p w14:paraId="3A5A8EB1" w14:textId="60567730" w:rsidR="65D9A205" w:rsidRPr="001B18E8" w:rsidRDefault="65D9A205" w:rsidP="00AD6F77">
            <w:pPr>
              <w:rPr>
                <w:rFonts w:eastAsia="Calibri" w:cs="Calibri"/>
                <w:sz w:val="20"/>
                <w:szCs w:val="20"/>
              </w:rPr>
            </w:pPr>
            <w:r w:rsidRPr="001B18E8">
              <w:rPr>
                <w:rFonts w:eastAsia="Calibri" w:cs="Calibri"/>
                <w:sz w:val="20"/>
                <w:szCs w:val="20"/>
              </w:rPr>
              <w:t xml:space="preserve">If there was </w:t>
            </w:r>
            <w:r w:rsidRPr="001B18E8">
              <w:rPr>
                <w:rFonts w:eastAsia="Calibri" w:cs="Calibri"/>
                <w:b/>
                <w:bCs/>
                <w:sz w:val="20"/>
                <w:szCs w:val="20"/>
              </w:rPr>
              <w:t xml:space="preserve">no or negative change </w:t>
            </w:r>
            <w:r w:rsidRPr="001B18E8">
              <w:rPr>
                <w:rFonts w:eastAsia="Calibri" w:cs="Calibri"/>
                <w:sz w:val="20"/>
                <w:szCs w:val="20"/>
              </w:rPr>
              <w:t xml:space="preserve">in this area, </w:t>
            </w:r>
            <w:r w:rsidRPr="001B18E8">
              <w:rPr>
                <w:rFonts w:eastAsia="Calibri" w:cs="Calibri"/>
                <w:b/>
                <w:bCs/>
                <w:sz w:val="20"/>
                <w:szCs w:val="20"/>
              </w:rPr>
              <w:t>why</w:t>
            </w:r>
            <w:r w:rsidRPr="001B18E8">
              <w:rPr>
                <w:rFonts w:eastAsia="Calibri" w:cs="Calibri"/>
                <w:sz w:val="20"/>
                <w:szCs w:val="20"/>
              </w:rPr>
              <w:t xml:space="preserve"> was that? And what has the FF and others done to improve the situation</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tcPr>
          <w:p w14:paraId="76008450" w14:textId="2788C800" w:rsidR="65D9A205" w:rsidRDefault="65D9A205" w:rsidP="65D9A205">
            <w:pPr>
              <w:rPr>
                <w:rFonts w:eastAsia="Calibri" w:cs="Calibri"/>
                <w:color w:val="000000"/>
                <w:sz w:val="20"/>
                <w:szCs w:val="20"/>
              </w:rPr>
            </w:pPr>
          </w:p>
        </w:tc>
      </w:tr>
      <w:tr w:rsidR="65D9A205" w14:paraId="3B37DC42" w14:textId="77777777" w:rsidTr="65D9A205">
        <w:trPr>
          <w:trHeight w:val="85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6FA476A" w14:textId="4672543A" w:rsidR="65D9A205" w:rsidRPr="00263CAE" w:rsidRDefault="65D9A205" w:rsidP="65D9A205">
            <w:pPr>
              <w:rPr>
                <w:rFonts w:eastAsia="Calibri" w:cs="Calibri"/>
                <w:color w:val="000000"/>
              </w:rPr>
            </w:pPr>
            <w:r w:rsidRPr="00263CAE">
              <w:rPr>
                <w:rFonts w:eastAsia="Calibri" w:cs="Calibri"/>
                <w:color w:val="000000"/>
              </w:rPr>
              <w:t>EQ1 (AH) / Change 2bEQ1 (AH)</w:t>
            </w:r>
          </w:p>
          <w:p w14:paraId="4583B191" w14:textId="7C093F9B" w:rsidR="65D9A205" w:rsidRPr="00263CAE" w:rsidRDefault="65D9A205" w:rsidP="65D9A205">
            <w:pPr>
              <w:rPr>
                <w:rFonts w:eastAsia="Calibri" w:cs="Calibri"/>
                <w:color w:val="000000"/>
              </w:rPr>
            </w:pP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344E8A6" w14:textId="476B1719" w:rsidR="65D9A205" w:rsidRPr="001B18E8" w:rsidRDefault="65D9A205" w:rsidP="00AD6F77">
            <w:pPr>
              <w:spacing w:line="259" w:lineRule="auto"/>
              <w:rPr>
                <w:rFonts w:eastAsia="Calibri" w:cs="Calibri"/>
                <w:sz w:val="20"/>
                <w:szCs w:val="20"/>
              </w:rPr>
            </w:pPr>
            <w:r w:rsidRPr="001B18E8">
              <w:rPr>
                <w:rFonts w:eastAsia="Calibri" w:cs="Calibri"/>
                <w:sz w:val="20"/>
                <w:szCs w:val="20"/>
              </w:rPr>
              <w:t xml:space="preserve">To what extent and in which ways do you think the </w:t>
            </w:r>
            <w:r w:rsidRPr="001B18E8">
              <w:rPr>
                <w:rFonts w:eastAsia="Calibri" w:cs="Calibri"/>
                <w:b/>
                <w:bCs/>
                <w:sz w:val="20"/>
                <w:szCs w:val="20"/>
              </w:rPr>
              <w:t>quality</w:t>
            </w:r>
            <w:r w:rsidRPr="001B18E8">
              <w:rPr>
                <w:rFonts w:eastAsia="Calibri" w:cs="Calibri"/>
                <w:sz w:val="20"/>
                <w:szCs w:val="20"/>
              </w:rPr>
              <w:t xml:space="preserve"> of AH AMR data has improved? </w:t>
            </w:r>
            <w:r w:rsidRPr="001B18E8">
              <w:br/>
            </w:r>
            <w:r w:rsidRPr="001B18E8">
              <w:rPr>
                <w:rFonts w:eastAsia="Calibri" w:cs="Calibri"/>
                <w:sz w:val="20"/>
                <w:szCs w:val="20"/>
              </w:rPr>
              <w:t>-some prompts that maybe helpful for this question are (1) SOPs, (2) automated instruments, (3) internal and/or external quality assurance procedures, (4) better supplies of reagents/better quality equipment or infrastructure (eg fridges/freezers), (5) Training and/or supervision, (6) Quality manager, (7) Accreditation processes, (8) Reporting of data to clinicians (for HH).</w:t>
            </w:r>
            <w:r w:rsidRPr="001B18E8">
              <w:br/>
            </w:r>
            <w:r w:rsidRPr="001B18E8">
              <w:rPr>
                <w:rFonts w:eastAsia="Calibri" w:cs="Calibri"/>
                <w:sz w:val="20"/>
                <w:szCs w:val="20"/>
              </w:rPr>
              <w:t>- Would be useful to get a feel for what level the improvements are at (references labs and/or surveillance sites or facility laboratories)</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43C4D06" w14:textId="46E44A21" w:rsidR="65D9A205" w:rsidRDefault="65D9A205" w:rsidP="65D9A205">
            <w:pPr>
              <w:rPr>
                <w:rFonts w:eastAsia="Calibri" w:cs="Calibri"/>
                <w:color w:val="000000"/>
                <w:sz w:val="20"/>
                <w:szCs w:val="20"/>
              </w:rPr>
            </w:pPr>
          </w:p>
        </w:tc>
      </w:tr>
      <w:tr w:rsidR="65D9A205" w14:paraId="561A92C3" w14:textId="77777777" w:rsidTr="00AD6F77">
        <w:trPr>
          <w:trHeight w:val="1134"/>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3718605" w14:textId="0F47421D" w:rsidR="65D9A205" w:rsidRPr="00263CAE" w:rsidRDefault="65D9A205" w:rsidP="65D9A205">
            <w:pPr>
              <w:rPr>
                <w:rFonts w:eastAsia="Calibri" w:cs="Calibri"/>
                <w:color w:val="000000"/>
              </w:rPr>
            </w:pPr>
            <w:r w:rsidRPr="00263CAE">
              <w:rPr>
                <w:rFonts w:eastAsia="Calibri" w:cs="Calibri"/>
                <w:color w:val="000000"/>
              </w:rPr>
              <w:t>EQ1 (AH) / Change 2b</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6B776270" w14:textId="4408D491" w:rsidR="65D9A205" w:rsidRPr="001B18E8" w:rsidRDefault="65D9A205" w:rsidP="65D9A205">
            <w:pPr>
              <w:rPr>
                <w:rFonts w:eastAsia="Calibri" w:cs="Calibri"/>
                <w:sz w:val="20"/>
                <w:szCs w:val="20"/>
              </w:rPr>
            </w:pPr>
            <w:r w:rsidRPr="001B18E8">
              <w:rPr>
                <w:rFonts w:eastAsia="Calibri" w:cs="Calibri"/>
                <w:sz w:val="20"/>
                <w:szCs w:val="20"/>
              </w:rPr>
              <w:t xml:space="preserve">What were the </w:t>
            </w:r>
            <w:r w:rsidRPr="001B18E8">
              <w:rPr>
                <w:rFonts w:eastAsia="Calibri" w:cs="Calibri"/>
                <w:b/>
                <w:bCs/>
                <w:sz w:val="20"/>
                <w:szCs w:val="20"/>
              </w:rPr>
              <w:t>key change drivers/factors, in order of importance</w:t>
            </w:r>
            <w:r w:rsidRPr="001B18E8">
              <w:rPr>
                <w:rFonts w:eastAsia="Calibri" w:cs="Calibri"/>
                <w:sz w:val="20"/>
                <w:szCs w:val="20"/>
              </w:rPr>
              <w:t>, behind such change? Probes: investments in human capacity, renovation work abd improved equipment, reliable supply of reagents, SOPs, internal QA/QM, participation in EQA, prioritisation, governance, other...</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5319A8E2" w14:textId="69E9D59E" w:rsidR="65D9A205" w:rsidRDefault="65D9A205" w:rsidP="65D9A205">
            <w:pPr>
              <w:rPr>
                <w:rFonts w:eastAsia="Calibri" w:cs="Calibri"/>
                <w:color w:val="000000"/>
                <w:sz w:val="20"/>
                <w:szCs w:val="20"/>
              </w:rPr>
            </w:pPr>
          </w:p>
        </w:tc>
      </w:tr>
      <w:tr w:rsidR="65D9A205" w14:paraId="377267B5" w14:textId="77777777" w:rsidTr="00AD6F77">
        <w:trPr>
          <w:trHeight w:val="1644"/>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CE68162" w14:textId="152D32F7" w:rsidR="65D9A205" w:rsidRPr="00263CAE" w:rsidRDefault="65D9A205" w:rsidP="65D9A205">
            <w:pPr>
              <w:rPr>
                <w:rFonts w:eastAsia="Calibri" w:cs="Calibri"/>
                <w:color w:val="000000"/>
              </w:rPr>
            </w:pPr>
            <w:r w:rsidRPr="00263CAE">
              <w:rPr>
                <w:rFonts w:eastAsia="Calibri" w:cs="Calibri"/>
                <w:color w:val="000000"/>
              </w:rPr>
              <w:t>EQ1 (AH) / Change 2b</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31F73AC4" w14:textId="52507651"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w:t>
            </w:r>
            <w:r w:rsidRPr="65D9A205">
              <w:rPr>
                <w:rFonts w:eastAsia="Calibri" w:cs="Calibri"/>
                <w:color w:val="000000"/>
                <w:sz w:val="20"/>
                <w:szCs w:val="20"/>
              </w:rPr>
              <w:t xml:space="preserve"> to those drivers?</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6D91D31F" w14:textId="2F3B9E39" w:rsidR="65D9A205" w:rsidRDefault="65D9A205" w:rsidP="65D9A205">
            <w:pPr>
              <w:rPr>
                <w:rFonts w:eastAsia="Calibri" w:cs="Calibri"/>
                <w:color w:val="000000"/>
                <w:sz w:val="20"/>
                <w:szCs w:val="20"/>
              </w:rPr>
            </w:pPr>
          </w:p>
        </w:tc>
      </w:tr>
      <w:tr w:rsidR="65D9A205" w14:paraId="7974DC30" w14:textId="77777777" w:rsidTr="00AD6F77">
        <w:trPr>
          <w:trHeight w:val="397"/>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62FFDCB" w14:textId="2E43EEFE" w:rsidR="65D9A205" w:rsidRPr="00263CAE" w:rsidRDefault="65D9A205" w:rsidP="65D9A205">
            <w:pPr>
              <w:rPr>
                <w:rFonts w:eastAsia="Calibri" w:cs="Calibri"/>
                <w:color w:val="000000"/>
              </w:rPr>
            </w:pPr>
            <w:r w:rsidRPr="00263CAE">
              <w:rPr>
                <w:rFonts w:eastAsia="Calibri" w:cs="Calibri"/>
                <w:color w:val="000000"/>
              </w:rPr>
              <w:t>EQ1 (AH) / Change 2b</w:t>
            </w:r>
          </w:p>
        </w:tc>
        <w:tc>
          <w:tcPr>
            <w:tcW w:w="6345" w:type="dxa"/>
            <w:tcBorders>
              <w:top w:val="single" w:sz="6" w:space="0" w:color="auto"/>
              <w:left w:val="single" w:sz="6" w:space="0" w:color="auto"/>
              <w:bottom w:val="nil"/>
              <w:right w:val="nil"/>
            </w:tcBorders>
            <w:shd w:val="clear" w:color="auto" w:fill="FCE4D6"/>
            <w:tcMar>
              <w:left w:w="105" w:type="dxa"/>
              <w:right w:w="105" w:type="dxa"/>
            </w:tcMar>
            <w:vAlign w:val="center"/>
          </w:tcPr>
          <w:p w14:paraId="714315E5" w14:textId="32D4AAAE" w:rsidR="65D9A205" w:rsidRDefault="65D9A205" w:rsidP="00AD6F77">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 xml:space="preserve">no or negative change </w:t>
            </w:r>
            <w:r w:rsidRPr="65D9A205">
              <w:rPr>
                <w:rFonts w:eastAsia="Calibri" w:cs="Calibri"/>
                <w:color w:val="000000"/>
                <w:sz w:val="20"/>
                <w:szCs w:val="20"/>
              </w:rPr>
              <w:t xml:space="preserve">in this area, </w:t>
            </w:r>
            <w:r w:rsidRPr="65D9A205">
              <w:rPr>
                <w:rFonts w:eastAsia="Calibri" w:cs="Calibri"/>
                <w:b/>
                <w:bCs/>
                <w:color w:val="000000"/>
                <w:sz w:val="20"/>
                <w:szCs w:val="20"/>
              </w:rPr>
              <w:t>why</w:t>
            </w:r>
            <w:r w:rsidRPr="65D9A205">
              <w:rPr>
                <w:rFonts w:eastAsia="Calibri" w:cs="Calibri"/>
                <w:color w:val="000000"/>
                <w:sz w:val="20"/>
                <w:szCs w:val="20"/>
              </w:rPr>
              <w:t xml:space="preserve"> was that? And what has the FF and others done to improve the situation?</w:t>
            </w:r>
          </w:p>
        </w:tc>
        <w:tc>
          <w:tcPr>
            <w:tcW w:w="6345" w:type="dxa"/>
            <w:tcBorders>
              <w:top w:val="single" w:sz="6" w:space="0" w:color="auto"/>
              <w:left w:val="nil"/>
              <w:bottom w:val="nil"/>
              <w:right w:val="nil"/>
            </w:tcBorders>
            <w:shd w:val="clear" w:color="auto" w:fill="FCE4D6"/>
            <w:tcMar>
              <w:left w:w="105" w:type="dxa"/>
              <w:right w:w="105" w:type="dxa"/>
            </w:tcMar>
          </w:tcPr>
          <w:p w14:paraId="2721D75B" w14:textId="21080906" w:rsidR="65D9A205" w:rsidRDefault="65D9A205" w:rsidP="65D9A205">
            <w:pPr>
              <w:rPr>
                <w:rFonts w:eastAsia="Calibri" w:cs="Calibri"/>
                <w:color w:val="000000"/>
                <w:sz w:val="20"/>
                <w:szCs w:val="20"/>
              </w:rPr>
            </w:pPr>
          </w:p>
        </w:tc>
      </w:tr>
      <w:tr w:rsidR="65D9A205" w14:paraId="56E0E732" w14:textId="77777777" w:rsidTr="65D9A205">
        <w:trPr>
          <w:trHeight w:val="76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0D66A6D" w14:textId="2A500D28" w:rsidR="65D9A205" w:rsidRDefault="65D9A205" w:rsidP="65D9A205">
            <w:pPr>
              <w:rPr>
                <w:rFonts w:eastAsia="Calibri" w:cs="Calibri"/>
                <w:color w:val="000000"/>
                <w:sz w:val="20"/>
                <w:szCs w:val="20"/>
              </w:rPr>
            </w:pPr>
            <w:r w:rsidRPr="65D9A205">
              <w:rPr>
                <w:rFonts w:eastAsia="Calibri" w:cs="Calibri"/>
                <w:color w:val="000000"/>
                <w:sz w:val="20"/>
                <w:szCs w:val="20"/>
              </w:rPr>
              <w:t>EQ1 (AH)</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66E635B" w14:textId="00CBFB3D"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is it plausible that there will be </w:t>
            </w:r>
            <w:r w:rsidRPr="65D9A205">
              <w:rPr>
                <w:rFonts w:eastAsia="Calibri" w:cs="Calibri"/>
                <w:b/>
                <w:bCs/>
                <w:color w:val="000000"/>
                <w:sz w:val="20"/>
                <w:szCs w:val="20"/>
              </w:rPr>
              <w:t>significant additional change in the system</w:t>
            </w:r>
            <w:r w:rsidRPr="65D9A205">
              <w:rPr>
                <w:rFonts w:eastAsia="Calibri" w:cs="Calibri"/>
                <w:color w:val="000000"/>
                <w:sz w:val="20"/>
                <w:szCs w:val="20"/>
              </w:rPr>
              <w:t xml:space="preserve"> (in terms of increases in quantity and quality of AMR data) </w:t>
            </w:r>
            <w:r w:rsidRPr="65D9A205">
              <w:rPr>
                <w:rFonts w:eastAsia="Calibri" w:cs="Calibri"/>
                <w:b/>
                <w:bCs/>
                <w:color w:val="000000"/>
                <w:sz w:val="20"/>
                <w:szCs w:val="20"/>
              </w:rPr>
              <w:t>by end 2022</w:t>
            </w:r>
            <w:r w:rsidRPr="65D9A205">
              <w:rPr>
                <w:rFonts w:eastAsia="Calibri" w:cs="Calibri"/>
                <w:color w:val="000000"/>
                <w:sz w:val="20"/>
                <w:szCs w:val="20"/>
              </w:rPr>
              <w:t xml:space="preserve">?  </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3FE364AA" w14:textId="60BDD765" w:rsidR="65D9A205" w:rsidRDefault="65D9A205" w:rsidP="65D9A205">
            <w:pPr>
              <w:rPr>
                <w:rFonts w:eastAsia="Calibri" w:cs="Calibri"/>
                <w:color w:val="000000"/>
                <w:sz w:val="20"/>
                <w:szCs w:val="20"/>
              </w:rPr>
            </w:pPr>
          </w:p>
        </w:tc>
      </w:tr>
      <w:tr w:rsidR="65D9A205" w14:paraId="5339A5F9" w14:textId="77777777" w:rsidTr="65D9A205">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6E287C1" w14:textId="12714F01" w:rsidR="65D9A205" w:rsidRDefault="65D9A205" w:rsidP="65D9A205">
            <w:pPr>
              <w:rPr>
                <w:rFonts w:eastAsia="Calibri" w:cs="Calibri"/>
                <w:color w:val="000000"/>
              </w:rPr>
            </w:pPr>
            <w:r w:rsidRPr="65D9A205">
              <w:rPr>
                <w:rFonts w:eastAsia="Calibri" w:cs="Calibri"/>
                <w:color w:val="000000"/>
              </w:rPr>
              <w:t>EQ2</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8A9360B" w14:textId="1E000EAA"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Fleming Fund's investments</w:t>
            </w:r>
            <w:r w:rsidRPr="65D9A205">
              <w:rPr>
                <w:rFonts w:eastAsia="Calibri" w:cs="Calibri"/>
                <w:color w:val="000000"/>
                <w:sz w:val="20"/>
                <w:szCs w:val="20"/>
              </w:rPr>
              <w:t xml:space="preserve"> been </w:t>
            </w:r>
            <w:r w:rsidRPr="65D9A205">
              <w:rPr>
                <w:rFonts w:eastAsia="Calibri" w:cs="Calibri"/>
                <w:b/>
                <w:bCs/>
                <w:color w:val="000000"/>
                <w:sz w:val="20"/>
                <w:szCs w:val="20"/>
              </w:rPr>
              <w:t>aligned</w:t>
            </w:r>
            <w:r w:rsidRPr="65D9A205">
              <w:rPr>
                <w:rFonts w:eastAsia="Calibri" w:cs="Calibri"/>
                <w:color w:val="000000"/>
                <w:sz w:val="20"/>
                <w:szCs w:val="20"/>
              </w:rPr>
              <w:t xml:space="preserve"> with the NAP and other government policies/plans?</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government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was alignment ensured?</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656D4B21" w14:textId="4F923808" w:rsidR="65D9A205" w:rsidRDefault="65D9A205" w:rsidP="65D9A205">
            <w:pPr>
              <w:rPr>
                <w:rFonts w:eastAsia="Calibri" w:cs="Calibri"/>
                <w:color w:val="000000"/>
                <w:sz w:val="20"/>
                <w:szCs w:val="20"/>
              </w:rPr>
            </w:pPr>
          </w:p>
        </w:tc>
      </w:tr>
      <w:tr w:rsidR="65D9A205" w14:paraId="1AAEAA3F"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AD9756B" w14:textId="15A367D9" w:rsidR="65D9A205" w:rsidRDefault="65D9A205" w:rsidP="65D9A205">
            <w:pPr>
              <w:rPr>
                <w:rFonts w:eastAsia="Calibri" w:cs="Calibri"/>
                <w:color w:val="000000"/>
              </w:rPr>
            </w:pPr>
            <w:r w:rsidRPr="65D9A205">
              <w:rPr>
                <w:rFonts w:eastAsia="Calibri" w:cs="Calibri"/>
                <w:color w:val="000000"/>
              </w:rPr>
              <w:t>EQ2</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F81C0E0" w14:textId="2C26DA49"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 xml:space="preserve">Fleming Fund's investments </w:t>
            </w:r>
            <w:r w:rsidRPr="65D9A205">
              <w:rPr>
                <w:rFonts w:eastAsia="Calibri" w:cs="Calibri"/>
                <w:color w:val="000000"/>
                <w:sz w:val="20"/>
                <w:szCs w:val="20"/>
              </w:rPr>
              <w:t xml:space="preserve">been </w:t>
            </w:r>
            <w:r w:rsidRPr="65D9A205">
              <w:rPr>
                <w:rFonts w:eastAsia="Calibri" w:cs="Calibri"/>
                <w:b/>
                <w:bCs/>
                <w:color w:val="000000"/>
                <w:sz w:val="20"/>
                <w:szCs w:val="20"/>
              </w:rPr>
              <w:t>aligned with interventions</w:t>
            </w:r>
            <w:r w:rsidRPr="65D9A205">
              <w:rPr>
                <w:rFonts w:eastAsia="Calibri" w:cs="Calibri"/>
                <w:color w:val="000000"/>
                <w:sz w:val="20"/>
                <w:szCs w:val="20"/>
              </w:rPr>
              <w:t xml:space="preserve"> funded </w:t>
            </w:r>
            <w:r w:rsidRPr="65D9A205">
              <w:rPr>
                <w:rFonts w:eastAsia="Calibri" w:cs="Calibri"/>
                <w:b/>
                <w:bCs/>
                <w:color w:val="000000"/>
                <w:sz w:val="20"/>
                <w:szCs w:val="20"/>
              </w:rPr>
              <w:t>by other DPs</w:t>
            </w:r>
            <w:r w:rsidRPr="65D9A205">
              <w:rPr>
                <w:rFonts w:eastAsia="Calibri" w:cs="Calibri"/>
                <w:color w:val="000000"/>
                <w:sz w:val="20"/>
                <w:szCs w:val="20"/>
              </w:rPr>
              <w:t>?</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DP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did the Fleming Fund coordinate with other DPs involved in AMR / lab strengthening in country?</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74E9A898" w14:textId="55630080" w:rsidR="65D9A205" w:rsidRDefault="65D9A205" w:rsidP="65D9A205">
            <w:pPr>
              <w:rPr>
                <w:rFonts w:eastAsia="Calibri" w:cs="Calibri"/>
                <w:color w:val="000000"/>
                <w:sz w:val="20"/>
                <w:szCs w:val="20"/>
              </w:rPr>
            </w:pPr>
          </w:p>
        </w:tc>
      </w:tr>
      <w:tr w:rsidR="65D9A205" w14:paraId="2AEA7FC7"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5CA4D4A" w14:textId="50CC5EC2"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D13BF18" w14:textId="5C432DF8" w:rsidR="65D9A205" w:rsidRDefault="65D9A205" w:rsidP="65D9A205">
            <w:pPr>
              <w:rPr>
                <w:rFonts w:eastAsia="Calibri" w:cs="Calibri"/>
                <w:color w:val="444444"/>
              </w:rPr>
            </w:pPr>
            <w:r w:rsidRPr="65D9A205">
              <w:rPr>
                <w:rFonts w:eastAsia="Calibri" w:cs="Calibri"/>
                <w:color w:val="444444"/>
              </w:rPr>
              <w:t xml:space="preserve"> 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3E61A472" w14:textId="4025AC52" w:rsidR="65D9A205" w:rsidRDefault="65D9A205" w:rsidP="65D9A205">
            <w:pPr>
              <w:rPr>
                <w:rFonts w:eastAsia="Calibri" w:cs="Calibri"/>
                <w:color w:val="000000"/>
                <w:sz w:val="20"/>
                <w:szCs w:val="20"/>
              </w:rPr>
            </w:pPr>
          </w:p>
        </w:tc>
      </w:tr>
      <w:tr w:rsidR="65D9A205" w14:paraId="5C5DA8D8"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B69AF07" w14:textId="57DD7B5A"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AF8067F" w14:textId="7E6387DC" w:rsidR="65D9A205" w:rsidRDefault="65D9A205" w:rsidP="65D9A205">
            <w:pPr>
              <w:rPr>
                <w:rFonts w:eastAsia="Calibri" w:cs="Calibri"/>
                <w:color w:val="444444"/>
              </w:rPr>
            </w:pPr>
            <w:r w:rsidRPr="65D9A205">
              <w:rPr>
                <w:rFonts w:eastAsia="Calibri" w:cs="Calibri"/>
                <w:color w:val="444444"/>
              </w:rPr>
              <w:t xml:space="preserve"> To what extent do you think staff are motivated to put new skills / responsibilities required to maintain AMR </w:t>
            </w:r>
            <w:r w:rsidRPr="00263CAE">
              <w:rPr>
                <w:rFonts w:eastAsia="Calibri" w:cs="Calibri"/>
              </w:rPr>
              <w:t>surveillance? PROBES: Is throughput sufficient? Are consumable supplies assured</w:t>
            </w:r>
            <w:r w:rsidRPr="65D9A205">
              <w:rPr>
                <w:rFonts w:eastAsia="Calibri" w:cs="Calibri"/>
                <w:color w:val="444444"/>
              </w:rPr>
              <w:t>? Are managers and institutions (eg AMRCC) interested in outputs and providing feedback? Will competing demands crowd in? Are there adequate plans in place to address any concerns? To what extent is FF focused on addressing these conditions?</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16F58DE" w14:textId="4A20C722" w:rsidR="65D9A205" w:rsidRDefault="65D9A205" w:rsidP="65D9A205">
            <w:pPr>
              <w:rPr>
                <w:rFonts w:eastAsia="Calibri" w:cs="Calibri"/>
                <w:color w:val="000000"/>
                <w:sz w:val="20"/>
                <w:szCs w:val="20"/>
              </w:rPr>
            </w:pPr>
          </w:p>
        </w:tc>
      </w:tr>
    </w:tbl>
    <w:p w14:paraId="1B58B89C" w14:textId="36ED391B" w:rsidR="65D9A205" w:rsidRDefault="65D9A205" w:rsidP="65D9A205">
      <w:pPr>
        <w:spacing w:after="160" w:line="259" w:lineRule="auto"/>
        <w:rPr>
          <w:rFonts w:eastAsia="Calibri" w:cs="Calibri"/>
          <w:color w:val="000000"/>
        </w:rPr>
      </w:pPr>
    </w:p>
    <w:p w14:paraId="09AD8674" w14:textId="0C9F2C65" w:rsidR="65D9A205" w:rsidRDefault="65D9A205" w:rsidP="65D9A205"/>
    <w:p w14:paraId="4193713A" w14:textId="4E39D91C" w:rsidR="65D9A205" w:rsidRDefault="65D9A205">
      <w:r>
        <w:br w:type="page"/>
      </w:r>
    </w:p>
    <w:p w14:paraId="4250B57A" w14:textId="78648D4E" w:rsidR="4CE1AD5B" w:rsidRPr="00493F9D" w:rsidRDefault="4CE1AD5B" w:rsidP="365D9676">
      <w:pPr>
        <w:pStyle w:val="ItadH3"/>
        <w:keepNext/>
        <w:spacing w:line="259" w:lineRule="auto"/>
        <w:rPr>
          <w:lang w:val="nb-NO"/>
        </w:rPr>
      </w:pPr>
      <w:bookmarkStart w:id="467" w:name="_Toc142383251"/>
      <w:r w:rsidRPr="00493F9D">
        <w:rPr>
          <w:lang w:val="nb-NO"/>
        </w:rPr>
        <w:t>KII Guide for GLASS FP</w:t>
      </w:r>
      <w:bookmarkEnd w:id="467"/>
    </w:p>
    <w:p w14:paraId="0B7908B2" w14:textId="34D2F376" w:rsidR="65D9A205" w:rsidRPr="00493F9D" w:rsidRDefault="52124EAB" w:rsidP="65D9A205">
      <w:pPr>
        <w:widowControl w:val="0"/>
        <w:spacing w:after="160" w:line="259" w:lineRule="auto"/>
        <w:jc w:val="both"/>
        <w:rPr>
          <w:rFonts w:ascii="Calibri Light" w:eastAsia="Calibri Light" w:hAnsi="Calibri Light" w:cs="Calibri Light"/>
          <w:color w:val="2F5496"/>
          <w:sz w:val="26"/>
          <w:szCs w:val="26"/>
          <w:lang w:val="nb-NO"/>
        </w:rPr>
      </w:pPr>
      <w:r w:rsidRPr="00493F9D">
        <w:rPr>
          <w:rFonts w:ascii="Calibri Light" w:eastAsia="Calibri Light" w:hAnsi="Calibri Light" w:cs="Calibri Light"/>
          <w:color w:val="2F5496"/>
          <w:sz w:val="26"/>
          <w:szCs w:val="26"/>
          <w:lang w:val="nb-NO"/>
        </w:rPr>
        <w:t>GLASS FP</w:t>
      </w:r>
    </w:p>
    <w:p w14:paraId="793E9991" w14:textId="7FD784C9" w:rsidR="52124EAB" w:rsidRDefault="52124EAB" w:rsidP="65D9A205">
      <w:pPr>
        <w:widowControl w:val="0"/>
        <w:spacing w:after="160" w:line="259" w:lineRule="auto"/>
        <w:jc w:val="both"/>
        <w:rPr>
          <w:rFonts w:eastAsia="Calibri" w:cs="Calibri"/>
          <w:color w:val="000000"/>
        </w:rPr>
      </w:pPr>
      <w:r w:rsidRPr="00263CAE">
        <w:rPr>
          <w:rFonts w:eastAsia="Calibri" w:cs="Calibri"/>
          <w:b/>
          <w:bCs/>
          <w:color w:val="000000"/>
        </w:rPr>
        <w:t>KII name:</w:t>
      </w:r>
    </w:p>
    <w:p w14:paraId="52407C73" w14:textId="3FF7FDA7" w:rsidR="52124EAB" w:rsidRDefault="52124EAB" w:rsidP="65D9A205">
      <w:pPr>
        <w:widowControl w:val="0"/>
        <w:spacing w:after="160" w:line="259" w:lineRule="auto"/>
        <w:jc w:val="both"/>
        <w:rPr>
          <w:rFonts w:eastAsia="Calibri" w:cs="Calibri"/>
          <w:color w:val="000000"/>
        </w:rPr>
      </w:pPr>
      <w:r w:rsidRPr="65D9A205">
        <w:rPr>
          <w:rFonts w:eastAsia="Calibri" w:cs="Calibri"/>
          <w:b/>
          <w:bCs/>
          <w:color w:val="000000"/>
        </w:rPr>
        <w:t>KII date:</w:t>
      </w:r>
    </w:p>
    <w:p w14:paraId="0A5A6948" w14:textId="10568DA5" w:rsidR="52124EAB" w:rsidRPr="001B7050" w:rsidRDefault="52124EAB" w:rsidP="65D9A205">
      <w:pPr>
        <w:widowControl w:val="0"/>
        <w:spacing w:after="160" w:line="259" w:lineRule="auto"/>
        <w:jc w:val="both"/>
        <w:rPr>
          <w:rFonts w:eastAsia="Calibri" w:cs="Calibri"/>
          <w:color w:val="000000"/>
        </w:rPr>
      </w:pPr>
      <w:r w:rsidRPr="001B7050">
        <w:rPr>
          <w:rFonts w:eastAsia="Calibri" w:cs="Calibri"/>
          <w:b/>
          <w:bCs/>
          <w:color w:val="000000"/>
        </w:rPr>
        <w:t>KII interviewer(s):</w:t>
      </w:r>
    </w:p>
    <w:p w14:paraId="19DA00B6" w14:textId="0E7B737B" w:rsidR="52124EAB" w:rsidRPr="001B7050" w:rsidRDefault="52124EAB" w:rsidP="65D9A205">
      <w:pPr>
        <w:spacing w:after="160" w:line="259" w:lineRule="auto"/>
        <w:rPr>
          <w:rFonts w:eastAsia="Calibri" w:cs="Calibri"/>
          <w:color w:val="000000"/>
        </w:rPr>
      </w:pPr>
      <w:r w:rsidRPr="001B7050">
        <w:rPr>
          <w:rFonts w:eastAsia="Calibri" w:cs="Calibri"/>
          <w:b/>
          <w:bCs/>
          <w:color w:val="000000"/>
        </w:rPr>
        <w:t>Introduction</w:t>
      </w:r>
      <w:r w:rsidRPr="001B7050">
        <w:rPr>
          <w:rFonts w:eastAsia="Calibri" w:cs="Calibri"/>
          <w:color w:val="000000"/>
        </w:rPr>
        <w:t xml:space="preserve"> – please adapt and summarise according to the stakeholder / her knowledge of the evaluation etc </w:t>
      </w:r>
      <w:r w:rsidRPr="001B7050">
        <w:rPr>
          <w:rFonts w:ascii="Times New Roman" w:eastAsia="Times New Roman" w:hAnsi="Times New Roman" w:cs="Times New Roman"/>
          <w:color w:val="000000"/>
          <w:sz w:val="24"/>
          <w:szCs w:val="24"/>
        </w:rPr>
        <w:t>–</w:t>
      </w:r>
      <w:r w:rsidRPr="001B7050">
        <w:rPr>
          <w:rFonts w:eastAsia="Calibri" w:cs="Calibri"/>
          <w:color w:val="000000"/>
        </w:rPr>
        <w:t xml:space="preserve"> aim to get this intro as short as possible.</w:t>
      </w:r>
    </w:p>
    <w:p w14:paraId="5C52797A" w14:textId="2A19F0F0" w:rsidR="52124EAB" w:rsidRPr="001B7050" w:rsidRDefault="52124EAB" w:rsidP="65D9A205">
      <w:pPr>
        <w:spacing w:line="259" w:lineRule="auto"/>
        <w:rPr>
          <w:rFonts w:eastAsia="Calibri" w:cs="Calibri"/>
          <w:color w:val="000000"/>
        </w:rPr>
      </w:pPr>
      <w:r w:rsidRPr="001B7050">
        <w:rPr>
          <w:rFonts w:eastAsia="Calibri" w:cs="Calibri"/>
          <w:color w:val="000000"/>
        </w:rPr>
        <w:t xml:space="preserve"> • </w:t>
      </w:r>
      <w:r w:rsidRPr="001B7050">
        <w:rPr>
          <w:rFonts w:eastAsia="Calibri" w:cs="Calibri"/>
          <w:b/>
          <w:bCs/>
          <w:color w:val="000000"/>
        </w:rPr>
        <w:t>Thank you</w:t>
      </w:r>
      <w:r w:rsidRPr="001B7050">
        <w:rPr>
          <w:rFonts w:eastAsia="Calibri" w:cs="Calibri"/>
          <w:color w:val="000000"/>
        </w:rPr>
        <w:t xml:space="preserve"> – Thank you the interviewee for having accepted the meeting and for their time today. </w:t>
      </w:r>
    </w:p>
    <w:p w14:paraId="128021A8" w14:textId="03CE7727" w:rsidR="52124EAB" w:rsidRPr="001B7050" w:rsidRDefault="52124EAB"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Introductions</w:t>
      </w:r>
      <w:r w:rsidRPr="001B7050">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390BFD73" w14:textId="5F5A61D9" w:rsidR="52124EAB" w:rsidRPr="001B7050" w:rsidRDefault="52124EAB" w:rsidP="65D9A205">
      <w:pPr>
        <w:spacing w:line="259" w:lineRule="auto"/>
        <w:rPr>
          <w:rFonts w:eastAsia="Calibri" w:cs="Calibri"/>
          <w:color w:val="000000"/>
        </w:rPr>
      </w:pPr>
      <w:r w:rsidRPr="001B7050">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380966D1" w14:textId="58EC7D3D" w:rsidR="52124EAB" w:rsidRPr="001B7050" w:rsidRDefault="52124EAB" w:rsidP="65D9A205">
      <w:pPr>
        <w:spacing w:line="259" w:lineRule="auto"/>
        <w:rPr>
          <w:rFonts w:eastAsia="Calibri" w:cs="Calibri"/>
          <w:color w:val="000000"/>
        </w:rPr>
      </w:pPr>
      <w:r w:rsidRPr="001B7050">
        <w:rPr>
          <w:rFonts w:eastAsia="Calibri" w:cs="Calibri"/>
          <w:color w:val="000000"/>
        </w:rPr>
        <w:t xml:space="preserve">[Let others introduce themselves or tell them there will be a chance after you have explained the purpose of the interview] </w:t>
      </w:r>
    </w:p>
    <w:p w14:paraId="67499569" w14:textId="08251545" w:rsidR="52124EAB" w:rsidRPr="001B7050" w:rsidRDefault="52124EAB" w:rsidP="65D9A205">
      <w:pPr>
        <w:spacing w:line="259" w:lineRule="auto"/>
        <w:rPr>
          <w:rFonts w:eastAsia="Calibri" w:cs="Calibri"/>
          <w:color w:val="000000"/>
        </w:rPr>
      </w:pPr>
      <w:r w:rsidRPr="001B7050">
        <w:rPr>
          <w:rFonts w:eastAsia="Calibri" w:cs="Calibri"/>
          <w:color w:val="000000"/>
        </w:rPr>
        <w:t xml:space="preserve">[Acknowledge whether we have already interviewed the stakeholder during CV1/2]  </w:t>
      </w:r>
    </w:p>
    <w:p w14:paraId="51CE1C2E" w14:textId="10A75D32" w:rsidR="52124EAB" w:rsidRPr="001B7050" w:rsidRDefault="52124EAB" w:rsidP="65D9A205">
      <w:pPr>
        <w:spacing w:line="259" w:lineRule="auto"/>
        <w:rPr>
          <w:rFonts w:eastAsia="Calibri" w:cs="Calibri"/>
          <w:color w:val="000000"/>
        </w:rPr>
      </w:pPr>
      <w:r w:rsidRPr="001B7050">
        <w:rPr>
          <w:rFonts w:eastAsia="Calibri" w:cs="Calibri"/>
          <w:color w:val="000000"/>
        </w:rPr>
        <w:t xml:space="preserve"> </w:t>
      </w:r>
    </w:p>
    <w:p w14:paraId="71501F6A" w14:textId="691F0926" w:rsidR="52124EAB" w:rsidRPr="001B7050" w:rsidRDefault="52124EAB"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Purpose</w:t>
      </w:r>
      <w:r w:rsidRPr="001B7050">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61F05AF8" w14:textId="6B2A32DB" w:rsidR="52124EAB" w:rsidRPr="001B7050" w:rsidRDefault="52124EAB"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 xml:space="preserve">Focus </w:t>
      </w:r>
      <w:r w:rsidRPr="001B7050">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591AC83C" w14:textId="2B4CFCA6" w:rsidR="52124EAB" w:rsidRPr="001B7050" w:rsidRDefault="52124EAB" w:rsidP="00C6374D">
      <w:pPr>
        <w:pStyle w:val="ListParagraph"/>
        <w:numPr>
          <w:ilvl w:val="0"/>
          <w:numId w:val="12"/>
        </w:numPr>
        <w:spacing w:line="259" w:lineRule="auto"/>
        <w:rPr>
          <w:rFonts w:eastAsia="Calibri" w:cs="Calibri"/>
          <w:color w:val="000000"/>
        </w:rPr>
      </w:pPr>
      <w:r w:rsidRPr="001B7050">
        <w:rPr>
          <w:rFonts w:eastAsia="Calibri" w:cs="Calibri"/>
          <w:color w:val="000000"/>
        </w:rPr>
        <w:t xml:space="preserve">More and better AMR/C/U data produced and shared at country level  </w:t>
      </w:r>
    </w:p>
    <w:p w14:paraId="6FE4C083" w14:textId="32C94C9B" w:rsidR="52124EAB" w:rsidRPr="001B7050" w:rsidRDefault="52124EAB" w:rsidP="00C6374D">
      <w:pPr>
        <w:pStyle w:val="ListParagraph"/>
        <w:numPr>
          <w:ilvl w:val="0"/>
          <w:numId w:val="12"/>
        </w:numPr>
        <w:spacing w:line="259" w:lineRule="auto"/>
        <w:rPr>
          <w:rFonts w:eastAsia="Calibri" w:cs="Calibri"/>
          <w:color w:val="000000"/>
        </w:rPr>
      </w:pPr>
      <w:r w:rsidRPr="001B7050">
        <w:rPr>
          <w:rFonts w:eastAsia="Calibri" w:cs="Calibri"/>
          <w:color w:val="000000"/>
        </w:rPr>
        <w:t xml:space="preserve">More and better AMR/C/U data shared internationally (with GLASS/OIE) </w:t>
      </w:r>
    </w:p>
    <w:p w14:paraId="4F837379" w14:textId="1B0157EF" w:rsidR="52124EAB" w:rsidRPr="001B7050" w:rsidRDefault="52124EAB" w:rsidP="00C6374D">
      <w:pPr>
        <w:pStyle w:val="ListParagraph"/>
        <w:numPr>
          <w:ilvl w:val="0"/>
          <w:numId w:val="12"/>
        </w:numPr>
        <w:spacing w:line="259" w:lineRule="auto"/>
        <w:rPr>
          <w:rFonts w:eastAsia="Calibri" w:cs="Calibri"/>
          <w:color w:val="000000"/>
        </w:rPr>
      </w:pPr>
      <w:r w:rsidRPr="001B7050">
        <w:rPr>
          <w:rFonts w:eastAsia="Calibri" w:cs="Calibri"/>
          <w:color w:val="000000"/>
        </w:rPr>
        <w:t xml:space="preserve">Regulatory and policy change that can have an impact in reducing AMR </w:t>
      </w:r>
    </w:p>
    <w:p w14:paraId="19175C44" w14:textId="2478F2FB" w:rsidR="52124EAB" w:rsidRPr="001B7050" w:rsidRDefault="52124EAB" w:rsidP="00C6374D">
      <w:pPr>
        <w:pStyle w:val="ListParagraph"/>
        <w:numPr>
          <w:ilvl w:val="0"/>
          <w:numId w:val="12"/>
        </w:numPr>
        <w:spacing w:line="259" w:lineRule="auto"/>
        <w:rPr>
          <w:rFonts w:eastAsia="Calibri" w:cs="Calibri"/>
          <w:color w:val="000000"/>
        </w:rPr>
      </w:pPr>
      <w:r w:rsidRPr="001B7050">
        <w:rPr>
          <w:rFonts w:eastAsia="Calibri" w:cs="Calibri"/>
          <w:color w:val="000000"/>
        </w:rPr>
        <w:t xml:space="preserve">Changes in practice / attitude towards the use of antimicrobials.  </w:t>
      </w:r>
    </w:p>
    <w:p w14:paraId="4F503C6D" w14:textId="46C5671D" w:rsidR="52124EAB" w:rsidRPr="001B7050" w:rsidRDefault="52124EAB" w:rsidP="65D9A205">
      <w:pPr>
        <w:spacing w:line="259" w:lineRule="auto"/>
        <w:rPr>
          <w:rFonts w:eastAsia="Calibri" w:cs="Calibri"/>
          <w:color w:val="000000"/>
        </w:rPr>
      </w:pPr>
      <w:r w:rsidRPr="001B7050">
        <w:rPr>
          <w:rFonts w:eastAsia="Calibri" w:cs="Calibri"/>
          <w:color w:val="000000"/>
        </w:rPr>
        <w:t xml:space="preserve"> </w:t>
      </w:r>
    </w:p>
    <w:p w14:paraId="330BDCC7" w14:textId="19FAE93D" w:rsidR="52124EAB" w:rsidRPr="001B7050" w:rsidRDefault="52124EAB" w:rsidP="65D9A205">
      <w:pPr>
        <w:spacing w:line="259" w:lineRule="auto"/>
        <w:rPr>
          <w:rFonts w:eastAsia="Calibri" w:cs="Calibri"/>
          <w:color w:val="000000"/>
        </w:rPr>
      </w:pPr>
      <w:r w:rsidRPr="001B7050">
        <w:rPr>
          <w:rFonts w:eastAsia="Calibri" w:cs="Calibri"/>
          <w:color w:val="000000"/>
        </w:rPr>
        <w:t>We have also questions relate to coherence of Fleming Fund efforts with those of other actors in country, sustainability of FF results and Value for Money [adapt the list as appropriate].</w:t>
      </w:r>
    </w:p>
    <w:p w14:paraId="31170866" w14:textId="72887F7F" w:rsidR="52124EAB" w:rsidRPr="001B7050" w:rsidRDefault="52124EAB" w:rsidP="65D9A205">
      <w:pPr>
        <w:spacing w:line="259" w:lineRule="auto"/>
        <w:rPr>
          <w:rFonts w:eastAsia="Calibri" w:cs="Calibri"/>
          <w:color w:val="000000"/>
        </w:rPr>
      </w:pPr>
      <w:r w:rsidRPr="001B7050">
        <w:rPr>
          <w:rFonts w:eastAsia="Calibri" w:cs="Calibri"/>
          <w:color w:val="000000"/>
        </w:rPr>
        <w:t xml:space="preserve"> </w:t>
      </w:r>
    </w:p>
    <w:p w14:paraId="371FE164" w14:textId="5315F35A" w:rsidR="52124EAB" w:rsidRPr="001B7050" w:rsidRDefault="52124EAB"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Confidentiality / permission to record</w:t>
      </w:r>
      <w:r w:rsidRPr="001B7050">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396B5640" w14:textId="21E1BC3D" w:rsidR="52124EAB" w:rsidRPr="001B7050" w:rsidRDefault="52124EAB" w:rsidP="65D9A205">
      <w:pPr>
        <w:spacing w:line="259" w:lineRule="auto"/>
        <w:rPr>
          <w:rFonts w:eastAsia="Calibri" w:cs="Calibri"/>
          <w:color w:val="000000"/>
        </w:rPr>
      </w:pPr>
      <w:r w:rsidRPr="001B7050">
        <w:rPr>
          <w:rFonts w:eastAsia="Calibri" w:cs="Calibri"/>
          <w:color w:val="000000"/>
        </w:rPr>
        <w:t xml:space="preserve"> </w:t>
      </w:r>
    </w:p>
    <w:p w14:paraId="162CB257" w14:textId="00145E16" w:rsidR="52124EAB" w:rsidRPr="001B7050" w:rsidRDefault="52124EAB"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Duration</w:t>
      </w:r>
      <w:r w:rsidRPr="001B7050">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 know the answer to a question or prefer not to answer – just let me know and I’ll adapt the interview accordingly.   </w:t>
      </w:r>
    </w:p>
    <w:p w14:paraId="4D776FB3" w14:textId="0B480562" w:rsidR="52124EAB" w:rsidRPr="001B7050" w:rsidRDefault="52124EAB" w:rsidP="65D9A205">
      <w:pPr>
        <w:spacing w:line="259" w:lineRule="auto"/>
        <w:rPr>
          <w:rFonts w:ascii="Segoe UI" w:eastAsia="Segoe UI" w:hAnsi="Segoe UI" w:cs="Segoe UI"/>
          <w:color w:val="000000"/>
        </w:rPr>
      </w:pPr>
      <w:r w:rsidRPr="001B7050">
        <w:rPr>
          <w:rFonts w:ascii="Segoe UI" w:eastAsia="Segoe UI" w:hAnsi="Segoe UI" w:cs="Segoe UI"/>
          <w:color w:val="000000"/>
        </w:rPr>
        <w:t xml:space="preserve"> </w:t>
      </w:r>
    </w:p>
    <w:p w14:paraId="4276FA5D" w14:textId="5CF44CC6" w:rsidR="52124EAB" w:rsidRDefault="52124EAB"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Opportunity for questions</w:t>
      </w:r>
      <w:r w:rsidRPr="001B7050">
        <w:rPr>
          <w:rFonts w:eastAsia="Calibri" w:cs="Calibri"/>
          <w:color w:val="000000"/>
        </w:rPr>
        <w:t xml:space="preserve"> – Do you have any questions before we start? Of course you are also welcome to ask questions through the interview if something is not clear.</w:t>
      </w:r>
      <w:r w:rsidRPr="65D9A205">
        <w:rPr>
          <w:rFonts w:eastAsia="Calibri" w:cs="Calibri"/>
          <w:color w:val="000000"/>
        </w:rPr>
        <w:t xml:space="preserve">  </w:t>
      </w:r>
    </w:p>
    <w:p w14:paraId="66AE151F" w14:textId="705D6A85" w:rsidR="65D9A205" w:rsidRDefault="65D9A205" w:rsidP="65D9A205">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50"/>
        <w:gridCol w:w="6270"/>
        <w:gridCol w:w="6270"/>
      </w:tblGrid>
      <w:tr w:rsidR="65D9A205" w14:paraId="6EBD7D35" w14:textId="77777777" w:rsidTr="009874EF">
        <w:trPr>
          <w:trHeight w:val="567"/>
          <w:tblHeader/>
        </w:trPr>
        <w:tc>
          <w:tcPr>
            <w:tcW w:w="105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2E6E87F4" w14:textId="3A08CD4E" w:rsidR="65D9A205" w:rsidRDefault="65D9A205" w:rsidP="009874EF">
            <w:pPr>
              <w:rPr>
                <w:rFonts w:eastAsia="Calibri" w:cs="Calibri"/>
                <w:color w:val="FFFFFF" w:themeColor="background1"/>
                <w:sz w:val="20"/>
                <w:szCs w:val="20"/>
              </w:rPr>
            </w:pPr>
            <w:r w:rsidRPr="65D9A205">
              <w:rPr>
                <w:rFonts w:eastAsia="Calibri" w:cs="Calibri"/>
                <w:color w:val="FFFFFF" w:themeColor="background1"/>
                <w:sz w:val="20"/>
                <w:szCs w:val="20"/>
              </w:rPr>
              <w:t>EQ</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29720324" w14:textId="7C7FEFD3" w:rsidR="65D9A205" w:rsidRDefault="65D9A205" w:rsidP="009874EF">
            <w:pPr>
              <w:rPr>
                <w:rFonts w:eastAsia="Calibri" w:cs="Calibri"/>
                <w:color w:val="FFFFFF" w:themeColor="background1"/>
                <w:sz w:val="20"/>
                <w:szCs w:val="20"/>
              </w:rPr>
            </w:pPr>
            <w:r w:rsidRPr="65D9A205">
              <w:rPr>
                <w:rFonts w:eastAsia="Calibri" w:cs="Calibri"/>
                <w:color w:val="FFFFFF" w:themeColor="background1"/>
                <w:sz w:val="20"/>
                <w:szCs w:val="20"/>
              </w:rPr>
              <w:t xml:space="preserve">List of questions  </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585864F9" w14:textId="00C96280" w:rsidR="65D9A205" w:rsidRDefault="65D9A205" w:rsidP="009874EF">
            <w:pPr>
              <w:rPr>
                <w:rFonts w:eastAsia="Calibri" w:cs="Calibri"/>
                <w:color w:val="FFFFFF" w:themeColor="background1"/>
                <w:sz w:val="20"/>
                <w:szCs w:val="20"/>
              </w:rPr>
            </w:pPr>
            <w:r w:rsidRPr="65D9A205">
              <w:rPr>
                <w:rFonts w:eastAsia="Calibri" w:cs="Calibri"/>
                <w:color w:val="FFFFFF" w:themeColor="background1"/>
                <w:sz w:val="20"/>
                <w:szCs w:val="20"/>
              </w:rPr>
              <w:t>Response</w:t>
            </w:r>
          </w:p>
        </w:tc>
      </w:tr>
      <w:tr w:rsidR="65D9A205" w14:paraId="74B9C2D4"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D3DB251" w14:textId="7772C6E1" w:rsidR="65D9A205" w:rsidRDefault="65D9A205" w:rsidP="65D9A205">
            <w:pPr>
              <w:rPr>
                <w:rFonts w:eastAsia="Calibri" w:cs="Calibri"/>
                <w:color w:val="000000"/>
                <w:sz w:val="20"/>
                <w:szCs w:val="20"/>
              </w:rPr>
            </w:pPr>
            <w:r w:rsidRPr="65D9A205">
              <w:rPr>
                <w:rFonts w:eastAsia="Calibri" w:cs="Calibri"/>
                <w:color w:val="000000"/>
                <w:sz w:val="20"/>
                <w:szCs w:val="20"/>
              </w:rPr>
              <w:t>EQ5 (HH)</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4882809" w14:textId="529714F8"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and in which ways do you think the </w:t>
            </w:r>
            <w:r w:rsidRPr="65D9A205">
              <w:rPr>
                <w:rFonts w:eastAsia="Calibri" w:cs="Calibri"/>
                <w:b/>
                <w:bCs/>
                <w:color w:val="000000"/>
                <w:sz w:val="20"/>
                <w:szCs w:val="20"/>
              </w:rPr>
              <w:t>quantity</w:t>
            </w:r>
            <w:r w:rsidRPr="65D9A205">
              <w:rPr>
                <w:rFonts w:eastAsia="Calibri" w:cs="Calibri"/>
                <w:color w:val="000000"/>
                <w:sz w:val="20"/>
                <w:szCs w:val="20"/>
              </w:rPr>
              <w:t xml:space="preserve"> of </w:t>
            </w:r>
            <w:r w:rsidRPr="65D9A205">
              <w:rPr>
                <w:color w:val="000000"/>
                <w:sz w:val="20"/>
                <w:szCs w:val="20"/>
                <w:u w:val="single"/>
              </w:rPr>
              <w:t>HH</w:t>
            </w:r>
            <w:r w:rsidRPr="65D9A205">
              <w:rPr>
                <w:rFonts w:eastAsia="Calibri" w:cs="Calibri"/>
                <w:color w:val="000000"/>
                <w:sz w:val="20"/>
                <w:szCs w:val="20"/>
              </w:rPr>
              <w:t xml:space="preserve"> AMR data </w:t>
            </w:r>
            <w:r w:rsidRPr="65D9A205">
              <w:rPr>
                <w:rFonts w:eastAsia="Calibri" w:cs="Calibri"/>
                <w:b/>
                <w:bCs/>
                <w:color w:val="000000"/>
                <w:sz w:val="20"/>
                <w:szCs w:val="20"/>
              </w:rPr>
              <w:t xml:space="preserve">reported to GLASS </w:t>
            </w:r>
            <w:r w:rsidRPr="65D9A205">
              <w:rPr>
                <w:rFonts w:eastAsia="Calibri" w:cs="Calibri"/>
                <w:color w:val="000000"/>
                <w:sz w:val="20"/>
                <w:szCs w:val="20"/>
              </w:rPr>
              <w:t>has improved since 2018? Summarise our understanding based on document review. To what extent do your records on quantity of AMR data reported matches our understanding?  [NB: note and clarify understanding where data generated at country level is higher than data reported to GLASS and reasons]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66C08BD4" w14:textId="1EC6D5EC" w:rsidR="65D9A205" w:rsidRDefault="65D9A205" w:rsidP="65D9A205">
            <w:pPr>
              <w:rPr>
                <w:rFonts w:eastAsia="Calibri" w:cs="Calibri"/>
                <w:color w:val="000000"/>
                <w:sz w:val="20"/>
                <w:szCs w:val="20"/>
              </w:rPr>
            </w:pPr>
          </w:p>
        </w:tc>
      </w:tr>
      <w:tr w:rsidR="65D9A205" w14:paraId="1A25AC01" w14:textId="77777777" w:rsidTr="65D9A205">
        <w:trPr>
          <w:trHeight w:val="765"/>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98B9E59" w14:textId="58A68AD7" w:rsidR="65D9A205" w:rsidRDefault="65D9A205" w:rsidP="65D9A205">
            <w:pPr>
              <w:rPr>
                <w:rFonts w:eastAsia="Calibri" w:cs="Calibri"/>
                <w:color w:val="000000"/>
                <w:sz w:val="20"/>
                <w:szCs w:val="20"/>
              </w:rPr>
            </w:pPr>
            <w:r w:rsidRPr="65D9A205">
              <w:rPr>
                <w:rFonts w:eastAsia="Calibri" w:cs="Calibri"/>
                <w:color w:val="000000"/>
                <w:sz w:val="20"/>
                <w:szCs w:val="20"/>
              </w:rPr>
              <w:t>EQ5 (HH)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B62285A" w14:textId="6BAF0BAF"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and in which ways do you think the </w:t>
            </w:r>
            <w:r w:rsidRPr="65D9A205">
              <w:rPr>
                <w:rFonts w:eastAsia="Calibri" w:cs="Calibri"/>
                <w:b/>
                <w:bCs/>
                <w:color w:val="000000"/>
                <w:sz w:val="20"/>
                <w:szCs w:val="20"/>
              </w:rPr>
              <w:t>quality</w:t>
            </w:r>
            <w:r w:rsidRPr="65D9A205">
              <w:rPr>
                <w:rFonts w:eastAsia="Calibri" w:cs="Calibri"/>
                <w:color w:val="000000"/>
                <w:sz w:val="20"/>
                <w:szCs w:val="20"/>
              </w:rPr>
              <w:t xml:space="preserve"> of </w:t>
            </w:r>
            <w:r w:rsidRPr="65D9A205">
              <w:rPr>
                <w:color w:val="000000"/>
                <w:sz w:val="20"/>
                <w:szCs w:val="20"/>
                <w:u w:val="single"/>
              </w:rPr>
              <w:t>HH</w:t>
            </w:r>
            <w:r w:rsidRPr="65D9A205">
              <w:rPr>
                <w:rFonts w:eastAsia="Calibri" w:cs="Calibri"/>
                <w:color w:val="000000"/>
                <w:sz w:val="20"/>
                <w:szCs w:val="20"/>
              </w:rPr>
              <w:t xml:space="preserve"> AMR data </w:t>
            </w:r>
            <w:r w:rsidRPr="65D9A205">
              <w:rPr>
                <w:rFonts w:eastAsia="Calibri" w:cs="Calibri"/>
                <w:b/>
                <w:bCs/>
                <w:color w:val="000000"/>
                <w:sz w:val="20"/>
                <w:szCs w:val="20"/>
              </w:rPr>
              <w:t>reported to GLASS</w:t>
            </w:r>
            <w:r w:rsidRPr="65D9A205">
              <w:rPr>
                <w:rFonts w:eastAsia="Calibri" w:cs="Calibri"/>
                <w:color w:val="000000"/>
                <w:sz w:val="20"/>
                <w:szCs w:val="20"/>
              </w:rPr>
              <w:t xml:space="preserve"> has improved since 2020 (noting that 2018 data was reported in 2020)?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13707D6" w14:textId="6D0FD2BF" w:rsidR="65D9A205" w:rsidRDefault="65D9A205" w:rsidP="65D9A205">
            <w:pPr>
              <w:rPr>
                <w:rFonts w:eastAsia="Calibri" w:cs="Calibri"/>
                <w:color w:val="000000"/>
                <w:sz w:val="20"/>
                <w:szCs w:val="20"/>
              </w:rPr>
            </w:pPr>
          </w:p>
        </w:tc>
      </w:tr>
      <w:tr w:rsidR="65D9A205" w14:paraId="12974FF8" w14:textId="77777777" w:rsidTr="65D9A205">
        <w:trPr>
          <w:trHeight w:val="12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B597D0A" w14:textId="3552E1A3" w:rsidR="65D9A205" w:rsidRDefault="65D9A205" w:rsidP="65D9A205">
            <w:pPr>
              <w:rPr>
                <w:rFonts w:eastAsia="Calibri" w:cs="Calibri"/>
                <w:color w:val="000000"/>
                <w:sz w:val="20"/>
                <w:szCs w:val="20"/>
              </w:rPr>
            </w:pPr>
            <w:r w:rsidRPr="65D9A205">
              <w:rPr>
                <w:rFonts w:eastAsia="Calibri" w:cs="Calibri"/>
                <w:color w:val="000000"/>
                <w:sz w:val="20"/>
                <w:szCs w:val="20"/>
              </w:rPr>
              <w:t>EQ5 (HH)</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4CDB76C9" w14:textId="166B7E24"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were the </w:t>
            </w:r>
            <w:r w:rsidRPr="65D9A205">
              <w:rPr>
                <w:rFonts w:eastAsia="Calibri" w:cs="Calibri"/>
                <w:b/>
                <w:bCs/>
                <w:color w:val="000000"/>
                <w:sz w:val="20"/>
                <w:szCs w:val="20"/>
              </w:rPr>
              <w:t>key change drivers/factors, in order of importance</w:t>
            </w:r>
            <w:r w:rsidRPr="65D9A205">
              <w:rPr>
                <w:rFonts w:eastAsia="Calibri" w:cs="Calibri"/>
                <w:color w:val="000000"/>
                <w:sz w:val="20"/>
                <w:szCs w:val="20"/>
              </w:rPr>
              <w:t>, behind such change</w:t>
            </w:r>
            <w:r w:rsidRPr="00263CAE">
              <w:rPr>
                <w:rFonts w:eastAsia="Calibri" w:cs="Calibri"/>
                <w:sz w:val="20"/>
                <w:szCs w:val="20"/>
              </w:rPr>
              <w:t>? Probes: more and better data available from the surveillance system (in which case refer to QUANT &amp; QUAL contribution stories), data sharing processes &amp; systems, resources, incentives, legal factors, cooperation, TA, etc.</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40EF3FB9" w14:textId="41A6F87D" w:rsidR="65D9A205" w:rsidRDefault="65D9A205" w:rsidP="65D9A205">
            <w:pPr>
              <w:rPr>
                <w:rFonts w:eastAsia="Calibri" w:cs="Calibri"/>
                <w:color w:val="000000"/>
                <w:sz w:val="20"/>
                <w:szCs w:val="20"/>
              </w:rPr>
            </w:pPr>
          </w:p>
        </w:tc>
      </w:tr>
      <w:tr w:rsidR="65D9A205" w14:paraId="58898FA0"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889BE65" w14:textId="7A1B08A8" w:rsidR="65D9A205" w:rsidRDefault="65D9A205" w:rsidP="65D9A205">
            <w:pPr>
              <w:rPr>
                <w:rFonts w:eastAsia="Calibri" w:cs="Calibri"/>
                <w:color w:val="000000"/>
                <w:sz w:val="20"/>
                <w:szCs w:val="20"/>
              </w:rPr>
            </w:pPr>
            <w:r w:rsidRPr="65D9A205">
              <w:rPr>
                <w:rFonts w:eastAsia="Calibri" w:cs="Calibri"/>
                <w:color w:val="000000"/>
                <w:sz w:val="20"/>
                <w:szCs w:val="20"/>
              </w:rPr>
              <w:t>EQ5 EQ2</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0E97E29B" w14:textId="6FDEE3E1"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w:t>
            </w:r>
            <w:r w:rsidRPr="65D9A205">
              <w:rPr>
                <w:rFonts w:eastAsia="Calibri" w:cs="Calibri"/>
                <w:color w:val="000000"/>
                <w:sz w:val="20"/>
                <w:szCs w:val="20"/>
              </w:rPr>
              <w:t xml:space="preserve"> to those drivers?</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711195AF" w14:textId="7A0EDF37" w:rsidR="65D9A205" w:rsidRDefault="65D9A205" w:rsidP="65D9A205">
            <w:pPr>
              <w:rPr>
                <w:rFonts w:eastAsia="Calibri" w:cs="Calibri"/>
                <w:color w:val="000000"/>
                <w:sz w:val="20"/>
                <w:szCs w:val="20"/>
              </w:rPr>
            </w:pPr>
          </w:p>
        </w:tc>
      </w:tr>
      <w:tr w:rsidR="65D9A205" w14:paraId="065D1A99" w14:textId="77777777" w:rsidTr="65D9A205">
        <w:trPr>
          <w:trHeight w:val="525"/>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D15A2B0" w14:textId="0CDDCBC9" w:rsidR="65D9A205" w:rsidRDefault="65D9A205" w:rsidP="65D9A205">
            <w:pPr>
              <w:rPr>
                <w:rFonts w:eastAsia="Calibri" w:cs="Calibri"/>
                <w:color w:val="000000"/>
                <w:sz w:val="20"/>
                <w:szCs w:val="20"/>
              </w:rPr>
            </w:pPr>
            <w:r w:rsidRPr="65D9A205">
              <w:rPr>
                <w:rFonts w:eastAsia="Calibri" w:cs="Calibri"/>
                <w:color w:val="000000"/>
                <w:sz w:val="20"/>
                <w:szCs w:val="20"/>
              </w:rPr>
              <w:t>EQ5 (HH)</w:t>
            </w:r>
          </w:p>
        </w:tc>
        <w:tc>
          <w:tcPr>
            <w:tcW w:w="6270" w:type="dxa"/>
            <w:tcBorders>
              <w:top w:val="single" w:sz="6" w:space="0" w:color="auto"/>
              <w:left w:val="single" w:sz="6" w:space="0" w:color="auto"/>
              <w:bottom w:val="nil"/>
              <w:right w:val="nil"/>
            </w:tcBorders>
            <w:shd w:val="clear" w:color="auto" w:fill="FCE4D6"/>
            <w:tcMar>
              <w:left w:w="105" w:type="dxa"/>
              <w:right w:w="105" w:type="dxa"/>
            </w:tcMar>
            <w:vAlign w:val="bottom"/>
          </w:tcPr>
          <w:p w14:paraId="6C53909B" w14:textId="6A7E16C9"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no or negative change</w:t>
            </w:r>
            <w:r w:rsidRPr="65D9A205">
              <w:rPr>
                <w:rFonts w:eastAsia="Calibri" w:cs="Calibri"/>
                <w:color w:val="000000"/>
                <w:sz w:val="20"/>
                <w:szCs w:val="20"/>
              </w:rPr>
              <w:t xml:space="preserve"> in this area, </w:t>
            </w:r>
            <w:r w:rsidRPr="65D9A205">
              <w:rPr>
                <w:rFonts w:eastAsia="Calibri" w:cs="Calibri"/>
                <w:b/>
                <w:bCs/>
                <w:color w:val="000000"/>
                <w:sz w:val="20"/>
                <w:szCs w:val="20"/>
              </w:rPr>
              <w:t>why</w:t>
            </w:r>
            <w:r w:rsidRPr="65D9A205">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nil"/>
              <w:bottom w:val="nil"/>
              <w:right w:val="nil"/>
            </w:tcBorders>
            <w:shd w:val="clear" w:color="auto" w:fill="FCE4D6"/>
            <w:tcMar>
              <w:left w:w="105" w:type="dxa"/>
              <w:right w:w="105" w:type="dxa"/>
            </w:tcMar>
          </w:tcPr>
          <w:p w14:paraId="614BEB0A" w14:textId="09954F6D" w:rsidR="65D9A205" w:rsidRDefault="65D9A205" w:rsidP="65D9A205">
            <w:pPr>
              <w:rPr>
                <w:rFonts w:eastAsia="Calibri" w:cs="Calibri"/>
                <w:color w:val="000000"/>
                <w:sz w:val="20"/>
                <w:szCs w:val="20"/>
              </w:rPr>
            </w:pPr>
          </w:p>
        </w:tc>
      </w:tr>
      <w:tr w:rsidR="65D9A205" w14:paraId="5788FA13"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EB57FA2" w14:textId="67B5D5C6" w:rsidR="65D9A205" w:rsidRDefault="65D9A205" w:rsidP="65D9A205">
            <w:pPr>
              <w:rPr>
                <w:rFonts w:eastAsia="Calibri" w:cs="Calibri"/>
                <w:color w:val="000000"/>
              </w:rPr>
            </w:pPr>
            <w:r w:rsidRPr="65D9A205">
              <w:rPr>
                <w:rFonts w:eastAsia="Calibri" w:cs="Calibri"/>
                <w:color w:val="000000"/>
              </w:rPr>
              <w:t>EQ2</w:t>
            </w:r>
          </w:p>
        </w:tc>
        <w:tc>
          <w:tcPr>
            <w:tcW w:w="6270" w:type="dxa"/>
            <w:tcBorders>
              <w:top w:val="nil"/>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3CD567E" w14:textId="5D9971D3"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 xml:space="preserve">Fleming Fund's investments </w:t>
            </w:r>
            <w:r w:rsidRPr="65D9A205">
              <w:rPr>
                <w:rFonts w:eastAsia="Calibri" w:cs="Calibri"/>
                <w:color w:val="000000"/>
                <w:sz w:val="20"/>
                <w:szCs w:val="20"/>
              </w:rPr>
              <w:t xml:space="preserve">been </w:t>
            </w:r>
            <w:r w:rsidRPr="65D9A205">
              <w:rPr>
                <w:rFonts w:eastAsia="Calibri" w:cs="Calibri"/>
                <w:b/>
                <w:bCs/>
                <w:color w:val="000000"/>
                <w:sz w:val="20"/>
                <w:szCs w:val="20"/>
              </w:rPr>
              <w:t>aligned with interventions</w:t>
            </w:r>
            <w:r w:rsidRPr="65D9A205">
              <w:rPr>
                <w:rFonts w:eastAsia="Calibri" w:cs="Calibri"/>
                <w:color w:val="000000"/>
                <w:sz w:val="20"/>
                <w:szCs w:val="20"/>
              </w:rPr>
              <w:t xml:space="preserve"> funded </w:t>
            </w:r>
            <w:r w:rsidRPr="65D9A205">
              <w:rPr>
                <w:rFonts w:eastAsia="Calibri" w:cs="Calibri"/>
                <w:b/>
                <w:bCs/>
                <w:color w:val="000000"/>
                <w:sz w:val="20"/>
                <w:szCs w:val="20"/>
              </w:rPr>
              <w:t>by other DPs</w:t>
            </w:r>
            <w:r w:rsidRPr="65D9A205">
              <w:rPr>
                <w:rFonts w:eastAsia="Calibri" w:cs="Calibri"/>
                <w:color w:val="000000"/>
                <w:sz w:val="20"/>
                <w:szCs w:val="20"/>
              </w:rPr>
              <w:t>?</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DP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did the Fleming Fund coordinate with other DPs involved in AMR / lab strengthening in country?</w:t>
            </w:r>
          </w:p>
        </w:tc>
        <w:tc>
          <w:tcPr>
            <w:tcW w:w="6270" w:type="dxa"/>
            <w:tcBorders>
              <w:top w:val="nil"/>
              <w:left w:val="single" w:sz="6" w:space="0" w:color="auto"/>
              <w:bottom w:val="single" w:sz="6" w:space="0" w:color="auto"/>
              <w:right w:val="single" w:sz="6" w:space="0" w:color="auto"/>
            </w:tcBorders>
            <w:shd w:val="clear" w:color="auto" w:fill="FFFFFF" w:themeFill="background1"/>
            <w:tcMar>
              <w:left w:w="105" w:type="dxa"/>
              <w:right w:w="105" w:type="dxa"/>
            </w:tcMar>
          </w:tcPr>
          <w:p w14:paraId="4591F0BD" w14:textId="02CD21F3" w:rsidR="65D9A205" w:rsidRDefault="65D9A205" w:rsidP="65D9A205">
            <w:pPr>
              <w:rPr>
                <w:rFonts w:eastAsia="Calibri" w:cs="Calibri"/>
                <w:color w:val="000000"/>
                <w:sz w:val="20"/>
                <w:szCs w:val="20"/>
              </w:rPr>
            </w:pPr>
          </w:p>
        </w:tc>
      </w:tr>
      <w:tr w:rsidR="65D9A205" w14:paraId="215795E1"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331C1ED" w14:textId="5AE3E519"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01D2813" w14:textId="768B0462" w:rsidR="65D9A205" w:rsidRDefault="65D9A205" w:rsidP="65D9A205">
            <w:pPr>
              <w:rPr>
                <w:rFonts w:eastAsia="Calibri" w:cs="Calibri"/>
                <w:color w:val="444444"/>
              </w:rPr>
            </w:pPr>
            <w:r w:rsidRPr="65D9A205">
              <w:rPr>
                <w:rFonts w:eastAsia="Calibri" w:cs="Calibri"/>
                <w:color w:val="444444"/>
              </w:rPr>
              <w:t xml:space="preserve"> 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664D35F" w14:textId="3142F214" w:rsidR="65D9A205" w:rsidRDefault="65D9A205" w:rsidP="65D9A205">
            <w:pPr>
              <w:rPr>
                <w:rFonts w:eastAsia="Calibri" w:cs="Calibri"/>
                <w:color w:val="000000"/>
                <w:sz w:val="20"/>
                <w:szCs w:val="20"/>
              </w:rPr>
            </w:pPr>
          </w:p>
        </w:tc>
      </w:tr>
      <w:tr w:rsidR="65D9A205" w14:paraId="00435EEE"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AB4CE73" w14:textId="57F0CBC1"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40813C8" w14:textId="2D57129E" w:rsidR="65D9A205" w:rsidRDefault="65D9A205" w:rsidP="65D9A205">
            <w:pPr>
              <w:rPr>
                <w:rFonts w:eastAsia="Calibri" w:cs="Calibri"/>
                <w:color w:val="444444"/>
              </w:rPr>
            </w:pPr>
            <w:r w:rsidRPr="65D9A205">
              <w:rPr>
                <w:rFonts w:eastAsia="Calibri" w:cs="Calibri"/>
                <w:color w:val="444444"/>
              </w:rPr>
              <w:t xml:space="preserve"> To what extent do you think staff are motivated to put new skills / responsibilities required to maintain AMR surveillence? PROBES: Is throughput sufficient? Are consumable supplies assured? Are managers and institutions (eg AMRCC) interested in outputs and providing feedback? Will competing demands crowd in? Are there adequate plans in place to address any concerns?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85182A6" w14:textId="64314455" w:rsidR="65D9A205" w:rsidRDefault="65D9A205" w:rsidP="65D9A205">
            <w:pPr>
              <w:rPr>
                <w:rFonts w:eastAsia="Calibri" w:cs="Calibri"/>
                <w:color w:val="000000"/>
                <w:sz w:val="20"/>
                <w:szCs w:val="20"/>
              </w:rPr>
            </w:pPr>
          </w:p>
        </w:tc>
      </w:tr>
      <w:tr w:rsidR="65D9A205" w14:paraId="3273C627" w14:textId="77777777" w:rsidTr="009874EF">
        <w:trPr>
          <w:trHeight w:val="170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8B31440" w14:textId="4157E10E"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5DFCC723" w14:textId="75BD12DF" w:rsidR="65D9A205" w:rsidRDefault="65D9A205" w:rsidP="65D9A205">
            <w:pPr>
              <w:rPr>
                <w:rFonts w:eastAsia="Calibri" w:cs="Calibri"/>
                <w:color w:val="000000"/>
                <w:sz w:val="20"/>
                <w:szCs w:val="20"/>
              </w:rPr>
            </w:pPr>
            <w:r w:rsidRPr="65D9A205">
              <w:rPr>
                <w:rFonts w:eastAsia="Calibri" w:cs="Calibri"/>
                <w:color w:val="000000"/>
                <w:sz w:val="20"/>
                <w:szCs w:val="20"/>
              </w:rPr>
              <w:t xml:space="preserve">Do you think that surveillance data is already being used to inform strong national actions on AMR (policy implementation, regulatory change or change to national clinical guidelines?)  If yes, please give examples  PROBE: How did Fleming Fund activities contribute to these actions? If no, do you think that the main use so far has been for general awareness-raising in professional and policy networks? PROBE: Do you think that we are still at an early stage of the cycle of AMR data analysis for policy?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8CF5D67" w14:textId="094CC72F" w:rsidR="65D9A205" w:rsidRDefault="65D9A205" w:rsidP="65D9A205">
            <w:pPr>
              <w:rPr>
                <w:rFonts w:eastAsia="Calibri" w:cs="Calibri"/>
                <w:color w:val="000000"/>
                <w:sz w:val="20"/>
                <w:szCs w:val="20"/>
              </w:rPr>
            </w:pPr>
          </w:p>
        </w:tc>
      </w:tr>
      <w:tr w:rsidR="65D9A205" w14:paraId="36755909" w14:textId="77777777" w:rsidTr="009874EF">
        <w:trPr>
          <w:trHeight w:val="1757"/>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1867F221" w14:textId="1155C02B"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05C44F2" w14:textId="4781C616" w:rsidR="65D9A205" w:rsidRDefault="65D9A205" w:rsidP="65D9A205">
            <w:pPr>
              <w:rPr>
                <w:rFonts w:eastAsia="Calibri" w:cs="Calibri"/>
                <w:color w:val="000000"/>
                <w:sz w:val="20"/>
                <w:szCs w:val="20"/>
              </w:rPr>
            </w:pPr>
            <w:r w:rsidRPr="65D9A205">
              <w:rPr>
                <w:rFonts w:eastAsia="Calibri" w:cs="Calibri"/>
                <w:color w:val="000000"/>
                <w:sz w:val="20"/>
                <w:szCs w:val="20"/>
              </w:rPr>
              <w:t>Thinking about the kinds of strong national actions that might be relevant to AMR (for example controls on certain uses of antimicrobials or initiatives to change professional practices), can you think of examples from the past (prior to FF) and/or not motivated by surveillance data?  PROBE: (Refer to any examples suggested by MSA analysis or other information gathered)  If yes, please give details. PROBE: what is different now / what motivates action if not surveillance data?</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46EFD2B" w14:textId="38BF4364" w:rsidR="65D9A205" w:rsidRDefault="65D9A205" w:rsidP="65D9A205">
            <w:pPr>
              <w:rPr>
                <w:rFonts w:eastAsia="Calibri" w:cs="Calibri"/>
                <w:color w:val="000000"/>
                <w:sz w:val="20"/>
                <w:szCs w:val="20"/>
              </w:rPr>
            </w:pPr>
          </w:p>
        </w:tc>
      </w:tr>
      <w:tr w:rsidR="65D9A205" w14:paraId="2D9B9B53" w14:textId="77777777" w:rsidTr="009874EF">
        <w:trPr>
          <w:trHeight w:val="2494"/>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E9DED14" w14:textId="71F205E1"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21422AA" w14:textId="04EA7AED" w:rsidR="65D9A205" w:rsidRDefault="65D9A205" w:rsidP="65D9A205">
            <w:pPr>
              <w:rPr>
                <w:rFonts w:eastAsia="Calibri" w:cs="Calibri"/>
                <w:color w:val="000000"/>
                <w:sz w:val="20"/>
                <w:szCs w:val="20"/>
              </w:rPr>
            </w:pPr>
            <w:r w:rsidRPr="65D9A205">
              <w:rPr>
                <w:rFonts w:eastAsia="Calibri" w:cs="Calibri"/>
                <w:color w:val="000000"/>
                <w:sz w:val="20"/>
                <w:szCs w:val="20"/>
              </w:rPr>
              <w:t>What factors do you think are most important for national policymakers when considering whether AMR is a very severe and urgent problem? PROBE: (Refer to MSA on Indicators/Problem stream, test analysis)</w:t>
            </w:r>
            <w:r>
              <w:br/>
            </w:r>
            <w:r w:rsidRPr="65D9A205">
              <w:rPr>
                <w:rFonts w:eastAsia="Calibri" w:cs="Calibri"/>
                <w:color w:val="000000"/>
                <w:sz w:val="20"/>
                <w:szCs w:val="20"/>
              </w:rPr>
              <w:t xml:space="preserve">§ (if need more information on MSA Load) How does AMR compare to other health policy problems? </w:t>
            </w:r>
            <w:r>
              <w:br/>
            </w:r>
            <w:r w:rsidRPr="65D9A205">
              <w:rPr>
                <w:rFonts w:eastAsia="Calibri" w:cs="Calibri"/>
                <w:color w:val="000000"/>
                <w:sz w:val="20"/>
                <w:szCs w:val="20"/>
              </w:rPr>
              <w:t xml:space="preserve">§ (if need more information on MSA Feedback / TrACSS suggest links to other plans) Have public policy activities to address other problems started to suggest that AMR is important? </w:t>
            </w:r>
            <w:r>
              <w:br/>
            </w:r>
            <w:r w:rsidRPr="65D9A205">
              <w:rPr>
                <w:rFonts w:eastAsia="Calibri" w:cs="Calibri"/>
                <w:color w:val="000000"/>
                <w:sz w:val="20"/>
                <w:szCs w:val="20"/>
              </w:rPr>
              <w:t xml:space="preserve">§ (need more information on MSA Focusing) What has or might focus policymakers’ attention on AMR?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BC47BBA" w14:textId="6A7AA6EA" w:rsidR="65D9A205" w:rsidRDefault="65D9A205" w:rsidP="65D9A205">
            <w:pPr>
              <w:rPr>
                <w:rFonts w:eastAsia="Calibri" w:cs="Calibri"/>
                <w:color w:val="000000"/>
                <w:sz w:val="20"/>
                <w:szCs w:val="20"/>
              </w:rPr>
            </w:pPr>
          </w:p>
        </w:tc>
      </w:tr>
      <w:tr w:rsidR="65D9A205" w14:paraId="5912CB86" w14:textId="77777777" w:rsidTr="009874EF">
        <w:trPr>
          <w:trHeight w:val="102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14886BCE" w14:textId="37A50B6A"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4A03FFA" w14:textId="307003B0" w:rsidR="65D9A205" w:rsidRDefault="65D9A205" w:rsidP="65D9A205">
            <w:pPr>
              <w:rPr>
                <w:rFonts w:eastAsia="Calibri" w:cs="Calibri"/>
                <w:color w:val="000000"/>
                <w:sz w:val="20"/>
                <w:szCs w:val="20"/>
              </w:rPr>
            </w:pPr>
            <w:r w:rsidRPr="65D9A205">
              <w:rPr>
                <w:rFonts w:eastAsia="Calibri" w:cs="Calibri"/>
                <w:color w:val="000000"/>
                <w:sz w:val="20"/>
                <w:szCs w:val="20"/>
              </w:rPr>
              <w:t>Has Covid-19 been a distraction, slowing down progress with the national AMR agenda?  PROBE: Has AMRCC met regularly since 2020, including at political as well as technical levels? Has it started to take significant decisions?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4A9BBB1" w14:textId="06EF4BA1" w:rsidR="65D9A205" w:rsidRDefault="65D9A205" w:rsidP="65D9A205">
            <w:pPr>
              <w:rPr>
                <w:rFonts w:eastAsia="Calibri" w:cs="Calibri"/>
                <w:color w:val="000000"/>
                <w:sz w:val="20"/>
                <w:szCs w:val="20"/>
              </w:rPr>
            </w:pPr>
          </w:p>
        </w:tc>
      </w:tr>
      <w:tr w:rsidR="65D9A205" w14:paraId="2043F0AA" w14:textId="77777777" w:rsidTr="009874EF">
        <w:trPr>
          <w:trHeight w:val="153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9C20298" w14:textId="074D03B2"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694A1B58" w14:textId="75A22B48" w:rsidR="65D9A205" w:rsidRDefault="65D9A205" w:rsidP="65D9A205">
            <w:pPr>
              <w:rPr>
                <w:rFonts w:eastAsia="Calibri" w:cs="Calibri"/>
                <w:color w:val="000000"/>
                <w:sz w:val="20"/>
                <w:szCs w:val="20"/>
              </w:rPr>
            </w:pPr>
            <w:r w:rsidRPr="65D9A205">
              <w:rPr>
                <w:rFonts w:eastAsia="Calibri" w:cs="Calibri"/>
                <w:color w:val="000000"/>
                <w:sz w:val="20"/>
                <w:szCs w:val="20"/>
              </w:rPr>
              <w:t>Have NAP plans continued to develop strongly since 2020? (OR, if NAP expires in 2020-22, is there a process underway for its renewal; do you expect any delay in extending the NAP?)  PROBE: What factors explain the current situation in relation to the NAP?  (if need more information to complete NAP tool, apart from on budgeting) How exactly is the NAP moving from a plan to real action and change?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D6180C1" w14:textId="6C0532A1" w:rsidR="65D9A205" w:rsidRDefault="65D9A205" w:rsidP="65D9A205">
            <w:pPr>
              <w:rPr>
                <w:rFonts w:eastAsia="Calibri" w:cs="Calibri"/>
                <w:color w:val="000000"/>
                <w:sz w:val="20"/>
                <w:szCs w:val="20"/>
              </w:rPr>
            </w:pPr>
          </w:p>
        </w:tc>
      </w:tr>
      <w:tr w:rsidR="65D9A205" w14:paraId="2D80A4AA" w14:textId="77777777" w:rsidTr="009874EF">
        <w:trPr>
          <w:trHeight w:val="136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9835371" w14:textId="4465DBA4"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5BC8FDB" w14:textId="7D41B61C" w:rsidR="65D9A205" w:rsidRDefault="65D9A205" w:rsidP="65D9A205">
            <w:pPr>
              <w:rPr>
                <w:rFonts w:eastAsia="Calibri" w:cs="Calibri"/>
                <w:color w:val="000000"/>
                <w:sz w:val="20"/>
                <w:szCs w:val="20"/>
              </w:rPr>
            </w:pPr>
            <w:r w:rsidRPr="65D9A205">
              <w:rPr>
                <w:rFonts w:eastAsia="Calibri" w:cs="Calibri"/>
                <w:color w:val="000000"/>
                <w:sz w:val="20"/>
                <w:szCs w:val="20"/>
              </w:rPr>
              <w:t>Do you think that it is likely that there will be significant on-budget domestic funding for AMR initiatives in the foreseeable future?  If yes, please give reasons (have the reasons for prior budget decisions  changed?) If no, will funding from international supporters be sufficient?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5A2E8BE" w14:textId="6967080A" w:rsidR="65D9A205" w:rsidRDefault="65D9A205" w:rsidP="65D9A205">
            <w:pPr>
              <w:rPr>
                <w:rFonts w:eastAsia="Calibri" w:cs="Calibri"/>
                <w:color w:val="000000"/>
                <w:sz w:val="20"/>
                <w:szCs w:val="20"/>
              </w:rPr>
            </w:pPr>
          </w:p>
        </w:tc>
      </w:tr>
      <w:tr w:rsidR="65D9A205" w14:paraId="69BEE5C9" w14:textId="77777777" w:rsidTr="009874EF">
        <w:trPr>
          <w:trHeight w:val="221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866F4F9" w14:textId="3739AD6B"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CD635F8" w14:textId="3A8E0D5F" w:rsidR="65D9A205" w:rsidRDefault="65D9A205" w:rsidP="65D9A205">
            <w:pPr>
              <w:rPr>
                <w:rFonts w:eastAsia="Calibri" w:cs="Calibri"/>
                <w:color w:val="000000"/>
                <w:sz w:val="20"/>
                <w:szCs w:val="20"/>
              </w:rPr>
            </w:pPr>
            <w:r w:rsidRPr="65D9A205">
              <w:rPr>
                <w:rFonts w:eastAsia="Calibri" w:cs="Calibri"/>
                <w:color w:val="000000"/>
                <w:sz w:val="20"/>
                <w:szCs w:val="20"/>
              </w:rPr>
              <w:t>Does AMRCC (or other national body in charge of the country AMR strategy) r</w:t>
            </w:r>
            <w:r w:rsidRPr="65D9A205">
              <w:rPr>
                <w:rFonts w:eastAsia="Calibri" w:cs="Calibri"/>
                <w:b/>
                <w:bCs/>
                <w:color w:val="000000"/>
                <w:sz w:val="20"/>
                <w:szCs w:val="20"/>
              </w:rPr>
              <w:t>eceive AMR data reports generated by surveillance sites at least once a year</w:t>
            </w:r>
            <w:r w:rsidRPr="65D9A205">
              <w:rPr>
                <w:rFonts w:eastAsia="Calibri" w:cs="Calibri"/>
                <w:color w:val="000000"/>
                <w:sz w:val="20"/>
                <w:szCs w:val="20"/>
              </w:rPr>
              <w:t>? Is that an improvement compared to 2018 (i.e. Prior to Fleming Fund activities starting)? PROBE if yes: which organisation(s) assembles and submits these reports? What form do they take, what are they called (descriptive summary or analytical)? Is there good sector representation and national coverage? If yes, do you think that the reports are sufficient to amend national AMR strategy and enable effective AMR decision-making? If no, why not?</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42AA1A4A" w14:textId="530869B0" w:rsidR="65D9A205" w:rsidRDefault="65D9A205" w:rsidP="65D9A205">
            <w:pPr>
              <w:rPr>
                <w:rFonts w:eastAsia="Calibri" w:cs="Calibri"/>
                <w:color w:val="000000"/>
                <w:sz w:val="20"/>
                <w:szCs w:val="20"/>
              </w:rPr>
            </w:pPr>
          </w:p>
        </w:tc>
      </w:tr>
      <w:tr w:rsidR="65D9A205" w14:paraId="29DA32DC" w14:textId="77777777" w:rsidTr="65D9A205">
        <w:trPr>
          <w:trHeight w:val="130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51F6E83" w14:textId="6570645F" w:rsidR="65D9A205" w:rsidRDefault="65D9A205" w:rsidP="65D9A205">
            <w:pPr>
              <w:rPr>
                <w:rFonts w:eastAsia="Calibri" w:cs="Calibri"/>
                <w:color w:val="000000"/>
                <w:sz w:val="20"/>
                <w:szCs w:val="20"/>
              </w:rPr>
            </w:pPr>
            <w:r w:rsidRPr="65D9A205">
              <w:rPr>
                <w:rFonts w:eastAsia="Calibri" w:cs="Calibri"/>
                <w:color w:val="000000"/>
                <w:sz w:val="20"/>
                <w:szCs w:val="20"/>
              </w:rPr>
              <w:t>EQ4</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2D0EC30C" w14:textId="3D385FD8"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were the </w:t>
            </w:r>
            <w:r w:rsidRPr="65D9A205">
              <w:rPr>
                <w:rFonts w:eastAsia="Calibri" w:cs="Calibri"/>
                <w:b/>
                <w:bCs/>
                <w:color w:val="000000"/>
                <w:sz w:val="20"/>
                <w:szCs w:val="20"/>
              </w:rPr>
              <w:t>key change drivers/factors</w:t>
            </w:r>
            <w:r w:rsidRPr="65D9A205">
              <w:rPr>
                <w:rFonts w:eastAsia="Calibri" w:cs="Calibri"/>
                <w:color w:val="000000"/>
                <w:sz w:val="20"/>
                <w:szCs w:val="20"/>
              </w:rPr>
              <w:t xml:space="preserve">, </w:t>
            </w:r>
            <w:r w:rsidRPr="65D9A205">
              <w:rPr>
                <w:rFonts w:eastAsia="Calibri" w:cs="Calibri"/>
                <w:b/>
                <w:bCs/>
                <w:color w:val="000000"/>
                <w:sz w:val="20"/>
                <w:szCs w:val="20"/>
              </w:rPr>
              <w:t>in order of importance</w:t>
            </w:r>
            <w:r w:rsidRPr="65D9A205">
              <w:rPr>
                <w:rFonts w:eastAsia="Calibri" w:cs="Calibri"/>
                <w:color w:val="000000"/>
                <w:sz w:val="20"/>
                <w:szCs w:val="20"/>
              </w:rPr>
              <w:t>, behind such change ? Probes: more and better data available from the surveillance system (in which case refer to QUANT &amp; QUAL contribution stories), increased access, increased willingness to share data, increased capacity to analyse data, increase demand, momentum etc</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24DD12BA" w14:textId="576E4A48" w:rsidR="65D9A205" w:rsidRDefault="65D9A205" w:rsidP="65D9A205">
            <w:pPr>
              <w:rPr>
                <w:rFonts w:eastAsia="Calibri" w:cs="Calibri"/>
                <w:color w:val="000000"/>
                <w:sz w:val="20"/>
                <w:szCs w:val="20"/>
              </w:rPr>
            </w:pPr>
          </w:p>
        </w:tc>
      </w:tr>
      <w:tr w:rsidR="65D9A205" w14:paraId="5178FD22" w14:textId="77777777" w:rsidTr="009874EF">
        <w:trPr>
          <w:trHeight w:val="1587"/>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0BFA5EC" w14:textId="65A28173" w:rsidR="65D9A205" w:rsidRDefault="65D9A205" w:rsidP="65D9A205">
            <w:pPr>
              <w:rPr>
                <w:rFonts w:eastAsia="Calibri" w:cs="Calibri"/>
                <w:color w:val="000000"/>
                <w:sz w:val="20"/>
                <w:szCs w:val="20"/>
              </w:rPr>
            </w:pPr>
            <w:r w:rsidRPr="65D9A205">
              <w:rPr>
                <w:rFonts w:eastAsia="Calibri" w:cs="Calibri"/>
                <w:color w:val="000000"/>
                <w:sz w:val="20"/>
                <w:szCs w:val="20"/>
              </w:rPr>
              <w:t>EQ4</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21143A99" w14:textId="7D126C8E"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 to those drivers</w:t>
            </w:r>
            <w:r w:rsidRPr="65D9A205">
              <w:rPr>
                <w:rFonts w:eastAsia="Calibri" w:cs="Calibri"/>
                <w:color w:val="000000"/>
                <w:sz w:val="20"/>
                <w:szCs w:val="20"/>
              </w:rPr>
              <w:t>?</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5DEC3AAA" w14:textId="3C58C1E1" w:rsidR="65D9A205" w:rsidRDefault="65D9A205" w:rsidP="65D9A205">
            <w:pPr>
              <w:rPr>
                <w:rFonts w:eastAsia="Calibri" w:cs="Calibri"/>
                <w:color w:val="000000"/>
                <w:sz w:val="20"/>
                <w:szCs w:val="20"/>
              </w:rPr>
            </w:pPr>
          </w:p>
        </w:tc>
      </w:tr>
      <w:tr w:rsidR="65D9A205" w14:paraId="3564389C" w14:textId="77777777" w:rsidTr="009874EF">
        <w:trPr>
          <w:trHeight w:val="51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B3F5A92" w14:textId="50366B50" w:rsidR="65D9A205" w:rsidRDefault="65D9A205" w:rsidP="65D9A205">
            <w:pPr>
              <w:rPr>
                <w:rFonts w:eastAsia="Calibri" w:cs="Calibri"/>
                <w:color w:val="000000"/>
                <w:sz w:val="20"/>
                <w:szCs w:val="20"/>
              </w:rPr>
            </w:pPr>
            <w:r w:rsidRPr="65D9A205">
              <w:rPr>
                <w:rFonts w:eastAsia="Calibri" w:cs="Calibri"/>
                <w:color w:val="000000"/>
                <w:sz w:val="20"/>
                <w:szCs w:val="20"/>
              </w:rPr>
              <w:t>EQ4</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58F645FB" w14:textId="4FDF83D1"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 xml:space="preserve">no or negative change </w:t>
            </w:r>
            <w:r w:rsidRPr="65D9A205">
              <w:rPr>
                <w:rFonts w:eastAsia="Calibri" w:cs="Calibri"/>
                <w:color w:val="000000"/>
                <w:sz w:val="20"/>
                <w:szCs w:val="20"/>
              </w:rPr>
              <w:t xml:space="preserve">in this area, </w:t>
            </w:r>
            <w:r w:rsidRPr="65D9A205">
              <w:rPr>
                <w:rFonts w:eastAsia="Calibri" w:cs="Calibri"/>
                <w:b/>
                <w:bCs/>
                <w:color w:val="000000"/>
                <w:sz w:val="20"/>
                <w:szCs w:val="20"/>
              </w:rPr>
              <w:t>why</w:t>
            </w:r>
            <w:r w:rsidRPr="65D9A205">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35607060" w14:textId="017C9B4E" w:rsidR="65D9A205" w:rsidRDefault="65D9A205" w:rsidP="65D9A205">
            <w:pPr>
              <w:rPr>
                <w:rFonts w:eastAsia="Calibri" w:cs="Calibri"/>
                <w:color w:val="000000"/>
                <w:sz w:val="20"/>
                <w:szCs w:val="20"/>
              </w:rPr>
            </w:pPr>
          </w:p>
        </w:tc>
      </w:tr>
      <w:tr w:rsidR="65D9A205" w14:paraId="752BBF22" w14:textId="77777777" w:rsidTr="009874EF">
        <w:trPr>
          <w:trHeight w:val="1587"/>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4E2AC47" w14:textId="5A0AAF5F"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F89B71F" w14:textId="1DA6CF58" w:rsidR="65D9A205" w:rsidRPr="00263CAE" w:rsidRDefault="65D9A205" w:rsidP="65D9A205">
            <w:pPr>
              <w:spacing w:line="259" w:lineRule="auto"/>
              <w:rPr>
                <w:rFonts w:eastAsia="Calibri" w:cs="Calibri"/>
                <w:sz w:val="20"/>
                <w:szCs w:val="20"/>
              </w:rPr>
            </w:pPr>
            <w:r w:rsidRPr="00263CAE">
              <w:rPr>
                <w:rFonts w:eastAsia="Calibri" w:cs="Calibri"/>
                <w:sz w:val="20"/>
                <w:szCs w:val="20"/>
              </w:rPr>
              <w:t>Can you think of any other examples of relevant surveillance data being used to amend national strategy and/or inform decision-making’, apart from through data reports shared with AMRCC?</w:t>
            </w:r>
          </w:p>
          <w:p w14:paraId="3560513F" w14:textId="00902B75" w:rsidR="65D9A205" w:rsidRPr="00263CAE" w:rsidRDefault="65D9A205" w:rsidP="65D9A205">
            <w:pPr>
              <w:spacing w:line="259" w:lineRule="auto"/>
              <w:rPr>
                <w:rFonts w:eastAsia="Calibri" w:cs="Calibri"/>
                <w:sz w:val="20"/>
                <w:szCs w:val="20"/>
              </w:rPr>
            </w:pPr>
            <w:r w:rsidRPr="00263CAE">
              <w:rPr>
                <w:rFonts w:eastAsia="Calibri" w:cs="Calibri"/>
                <w:sz w:val="20"/>
                <w:szCs w:val="20"/>
              </w:rPr>
              <w:t xml:space="preserve"> </w:t>
            </w:r>
          </w:p>
          <w:p w14:paraId="01487E5D" w14:textId="5EDFE195" w:rsidR="65D9A205" w:rsidRDefault="65D9A205" w:rsidP="009874EF">
            <w:pPr>
              <w:spacing w:line="259" w:lineRule="auto"/>
              <w:rPr>
                <w:rFonts w:eastAsia="Calibri" w:cs="Calibri"/>
                <w:color w:val="000000"/>
                <w:sz w:val="20"/>
                <w:szCs w:val="20"/>
              </w:rPr>
            </w:pPr>
            <w:r w:rsidRPr="00263CAE">
              <w:rPr>
                <w:rFonts w:eastAsia="Calibri" w:cs="Calibri"/>
                <w:sz w:val="20"/>
                <w:szCs w:val="20"/>
              </w:rPr>
              <w:t>If yes: Details? What data, in what form? Who are the decision-makers? One-off or routine? Current status?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D808B42" w14:textId="7FAD8F9A" w:rsidR="65D9A205" w:rsidRDefault="65D9A205" w:rsidP="65D9A205">
            <w:pPr>
              <w:rPr>
                <w:rFonts w:eastAsia="Calibri" w:cs="Calibri"/>
                <w:color w:val="000000"/>
                <w:sz w:val="20"/>
                <w:szCs w:val="20"/>
              </w:rPr>
            </w:pPr>
          </w:p>
        </w:tc>
      </w:tr>
      <w:tr w:rsidR="65D9A205" w14:paraId="4340F306"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D4659BE" w14:textId="6DC710D9"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1EB429F3" w14:textId="111A57C9" w:rsidR="65D9A205" w:rsidRDefault="65D9A205" w:rsidP="65D9A205">
            <w:pPr>
              <w:rPr>
                <w:rFonts w:eastAsia="Calibri" w:cs="Calibri"/>
                <w:color w:val="000000"/>
                <w:sz w:val="20"/>
                <w:szCs w:val="20"/>
              </w:rPr>
            </w:pPr>
            <w:r w:rsidRPr="65D9A205">
              <w:rPr>
                <w:rFonts w:eastAsia="Calibri" w:cs="Calibri"/>
                <w:color w:val="000000"/>
                <w:sz w:val="20"/>
                <w:szCs w:val="20"/>
              </w:rPr>
              <w:t>We understand the AMRCC is expected to facilitate sharing and joint analysis of AMR data across different sectors. What is the nature of cross-sector collaborations being convened by the AMRCC? Which are the key institutions involved from different ministries? What is the nature of their involvement? In addition to facilitating AMR data use, what have been some of the other achievements of the AMRCC in your country?</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768AF16" w14:textId="5423C759" w:rsidR="65D9A205" w:rsidRDefault="65D9A205" w:rsidP="65D9A205">
            <w:pPr>
              <w:rPr>
                <w:rFonts w:eastAsia="Calibri" w:cs="Calibri"/>
                <w:color w:val="000000"/>
                <w:sz w:val="20"/>
                <w:szCs w:val="20"/>
              </w:rPr>
            </w:pPr>
          </w:p>
        </w:tc>
      </w:tr>
      <w:tr w:rsidR="65D9A205" w14:paraId="2931553F" w14:textId="77777777" w:rsidTr="65D9A205">
        <w:trPr>
          <w:trHeight w:val="234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F294574" w14:textId="0F1D71A8"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1312590" w14:textId="2A9340AD" w:rsidR="65D9A205" w:rsidRDefault="65D9A205" w:rsidP="65D9A205">
            <w:pPr>
              <w:rPr>
                <w:rFonts w:eastAsia="Calibri" w:cs="Calibri"/>
                <w:color w:val="000000"/>
                <w:sz w:val="20"/>
                <w:szCs w:val="20"/>
              </w:rPr>
            </w:pPr>
            <w:r w:rsidRPr="65D9A205">
              <w:rPr>
                <w:rFonts w:eastAsia="Calibri" w:cs="Calibri"/>
                <w:color w:val="000000"/>
                <w:sz w:val="20"/>
                <w:szCs w:val="20"/>
              </w:rPr>
              <w:t>What are some of the other multisector coordination mechanisms in place to make decisions around AMR at the national and subnational levels? Are there any bodies or platforms or events where people from different sector meet outside the government? (e.g. seminars, AMR awareness week, etc.)  Can you recall some examples of collaborations between different sectors in the past, even if these do not specifically revolve around AMR?  Probe joint research activities; Training programmes, fellowships, including Fleming Fellows; Joint outbreak response activities, such as Avian Influenza, Ebola, etc.</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D295AF6" w14:textId="26D70EAE" w:rsidR="65D9A205" w:rsidRDefault="65D9A205" w:rsidP="65D9A205">
            <w:pPr>
              <w:rPr>
                <w:rFonts w:eastAsia="Calibri" w:cs="Calibri"/>
                <w:color w:val="000000"/>
                <w:sz w:val="20"/>
                <w:szCs w:val="20"/>
              </w:rPr>
            </w:pPr>
          </w:p>
        </w:tc>
      </w:tr>
      <w:tr w:rsidR="65D9A205" w14:paraId="240F4D9D" w14:textId="77777777" w:rsidTr="009874EF">
        <w:trPr>
          <w:trHeight w:val="255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FAD70E4" w14:textId="4313DFEC"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431522BD" w14:textId="021AEEC5"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Where are these (formal and informal) coordination mechanisms located? Are these hosted by a ministry, government agency, academic body, think tank? (Probe for each of the collaborating mechanisms identified above, if possible): </w:t>
            </w:r>
            <w:r>
              <w:br/>
            </w:r>
            <w:r w:rsidRPr="65D9A205">
              <w:rPr>
                <w:rFonts w:eastAsia="Calibri" w:cs="Calibri"/>
                <w:color w:val="000000"/>
                <w:sz w:val="20"/>
                <w:szCs w:val="20"/>
              </w:rPr>
              <w:t>o Who chairs / leads the discussion?</w:t>
            </w:r>
            <w:r>
              <w:br/>
            </w:r>
            <w:r w:rsidRPr="65D9A205">
              <w:rPr>
                <w:rFonts w:eastAsia="Calibri" w:cs="Calibri"/>
                <w:color w:val="000000"/>
                <w:sz w:val="20"/>
                <w:szCs w:val="20"/>
              </w:rPr>
              <w:t xml:space="preserve">o Who sets the agenda? </w:t>
            </w:r>
            <w:r>
              <w:br/>
            </w:r>
            <w:r w:rsidRPr="65D9A205">
              <w:rPr>
                <w:rFonts w:eastAsia="Calibri" w:cs="Calibri"/>
                <w:color w:val="000000"/>
                <w:sz w:val="20"/>
                <w:szCs w:val="20"/>
              </w:rPr>
              <w:t>o What are its major functions/mandates?</w:t>
            </w:r>
            <w:r>
              <w:br/>
            </w:r>
            <w:r w:rsidRPr="65D9A205">
              <w:rPr>
                <w:rFonts w:eastAsia="Calibri" w:cs="Calibri"/>
                <w:color w:val="000000"/>
                <w:sz w:val="20"/>
                <w:szCs w:val="20"/>
              </w:rPr>
              <w:t>o How is it funded?</w:t>
            </w:r>
            <w:r>
              <w:br/>
            </w:r>
            <w:r w:rsidRPr="65D9A205">
              <w:rPr>
                <w:rFonts w:eastAsia="Calibri" w:cs="Calibri"/>
                <w:color w:val="000000"/>
                <w:sz w:val="20"/>
                <w:szCs w:val="20"/>
              </w:rPr>
              <w:t>o Can you describe any achievements / outcomes from these interactions?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8DDA910" w14:textId="33DB2D1F" w:rsidR="65D9A205" w:rsidRDefault="65D9A205" w:rsidP="65D9A205">
            <w:pPr>
              <w:rPr>
                <w:rFonts w:eastAsia="Calibri" w:cs="Calibri"/>
                <w:color w:val="000000"/>
                <w:sz w:val="20"/>
                <w:szCs w:val="20"/>
              </w:rPr>
            </w:pPr>
          </w:p>
        </w:tc>
      </w:tr>
      <w:tr w:rsidR="65D9A205" w14:paraId="12CBC640" w14:textId="77777777" w:rsidTr="009874EF">
        <w:trPr>
          <w:trHeight w:val="2268"/>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EAB7933" w14:textId="1EF02BE7"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3F9DAB92" w14:textId="3E403701" w:rsidR="65D9A205" w:rsidRDefault="65D9A205" w:rsidP="65D9A205">
            <w:pPr>
              <w:rPr>
                <w:rFonts w:eastAsia="Calibri" w:cs="Calibri"/>
                <w:color w:val="000000"/>
                <w:sz w:val="20"/>
                <w:szCs w:val="20"/>
              </w:rPr>
            </w:pPr>
            <w:r w:rsidRPr="65D9A205">
              <w:rPr>
                <w:rFonts w:eastAsia="Calibri" w:cs="Calibri"/>
                <w:color w:val="000000"/>
                <w:sz w:val="20"/>
                <w:szCs w:val="20"/>
              </w:rPr>
              <w:t>Would you say that the national AMR effort includes a clear and effective strategy for informing specific national actions using surveillance data?o eg as opposed to international reporting or local clinical practice</w:t>
            </w:r>
            <w:r>
              <w:br/>
            </w:r>
            <w:r w:rsidRPr="65D9A205">
              <w:rPr>
                <w:rFonts w:eastAsia="Calibri" w:cs="Calibri"/>
                <w:color w:val="000000"/>
                <w:sz w:val="20"/>
                <w:szCs w:val="20"/>
              </w:rPr>
              <w:t>o If yes, how? What policy initiatives? What regulatory initiatives? What approach has been chosen to address practices and attitudes? (What approaches have been discarded?)</w:t>
            </w:r>
            <w:r>
              <w:br/>
            </w:r>
            <w:r w:rsidRPr="65D9A205">
              <w:rPr>
                <w:rFonts w:eastAsia="Calibri" w:cs="Calibri"/>
                <w:color w:val="000000"/>
                <w:sz w:val="20"/>
                <w:szCs w:val="20"/>
              </w:rPr>
              <w:t>o PROBE: are sectoral distinctions important, for example policy for gradual development of guidelines in human health but focused push to regulate certain antimicrobial uses in animal health?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8F9EF88" w14:textId="3C6AF4EC" w:rsidR="65D9A205" w:rsidRDefault="65D9A205" w:rsidP="65D9A205">
            <w:pPr>
              <w:rPr>
                <w:rFonts w:eastAsia="Calibri" w:cs="Calibri"/>
                <w:color w:val="000000"/>
                <w:sz w:val="20"/>
                <w:szCs w:val="20"/>
              </w:rPr>
            </w:pPr>
          </w:p>
        </w:tc>
      </w:tr>
      <w:tr w:rsidR="65D9A205" w14:paraId="44E1BFE4" w14:textId="77777777" w:rsidTr="009874EF">
        <w:trPr>
          <w:trHeight w:val="255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A69BD29" w14:textId="12C46F00"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560D7D75" w14:textId="3540CB00"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do you think should be the future priorities for the Fleming Fund when supporting national AMR actions using surveillance data? PROBES: </w:t>
            </w:r>
            <w:r>
              <w:br/>
            </w:r>
            <w:r w:rsidRPr="65D9A205">
              <w:rPr>
                <w:rFonts w:eastAsia="Calibri" w:cs="Calibri"/>
                <w:color w:val="000000"/>
                <w:sz w:val="20"/>
                <w:szCs w:val="20"/>
              </w:rPr>
              <w:t>o Do you think that it will be more effective to foster local change (‘bottom up’) or to concentrate on motivating national initiatives (‘top down’)</w:t>
            </w:r>
            <w:r>
              <w:br/>
            </w:r>
            <w:r w:rsidRPr="65D9A205">
              <w:rPr>
                <w:rFonts w:eastAsia="Calibri" w:cs="Calibri"/>
                <w:color w:val="000000"/>
                <w:sz w:val="20"/>
                <w:szCs w:val="20"/>
              </w:rPr>
              <w:t>o Will the data show a need for action (‘push’) or will intended actions show what data is needed (‘pull’)?</w:t>
            </w:r>
            <w:r>
              <w:br/>
            </w:r>
            <w:r w:rsidRPr="65D9A205">
              <w:rPr>
                <w:rFonts w:eastAsia="Calibri" w:cs="Calibri"/>
                <w:color w:val="000000"/>
                <w:sz w:val="20"/>
                <w:szCs w:val="20"/>
              </w:rPr>
              <w:t>o What is more important, Infection Prevention &amp; Control (IPC) or Antimicrobial Use controls (AMU)?</w:t>
            </w:r>
            <w:r>
              <w:br/>
            </w:r>
            <w:r w:rsidRPr="65D9A205">
              <w:rPr>
                <w:rFonts w:eastAsia="Calibri" w:cs="Calibri"/>
                <w:color w:val="000000"/>
                <w:sz w:val="20"/>
                <w:szCs w:val="20"/>
              </w:rPr>
              <w:t>o Why? What approaches would be required to address these priorities?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453444F" w14:textId="1B20A186" w:rsidR="65D9A205" w:rsidRDefault="65D9A205" w:rsidP="65D9A205">
            <w:pPr>
              <w:rPr>
                <w:rFonts w:eastAsia="Calibri" w:cs="Calibri"/>
                <w:color w:val="000000"/>
                <w:sz w:val="20"/>
                <w:szCs w:val="20"/>
              </w:rPr>
            </w:pPr>
          </w:p>
        </w:tc>
      </w:tr>
    </w:tbl>
    <w:p w14:paraId="7F6F9B7E" w14:textId="247DD270" w:rsidR="65D9A205" w:rsidRDefault="65D9A205" w:rsidP="65D9A205">
      <w:pPr>
        <w:spacing w:after="160" w:line="259" w:lineRule="auto"/>
        <w:rPr>
          <w:rFonts w:eastAsia="Calibri" w:cs="Calibri"/>
          <w:color w:val="000000"/>
        </w:rPr>
      </w:pPr>
    </w:p>
    <w:p w14:paraId="0AC76A6A" w14:textId="015632B3" w:rsidR="65D9A205" w:rsidRDefault="65D9A205" w:rsidP="65D9A205"/>
    <w:p w14:paraId="5764E514" w14:textId="433A6A18" w:rsidR="4CE1AD5B" w:rsidRPr="001B18E8" w:rsidRDefault="4CE1AD5B" w:rsidP="365D9676">
      <w:pPr>
        <w:pStyle w:val="ItadH3"/>
        <w:keepNext/>
        <w:spacing w:line="259" w:lineRule="auto"/>
        <w:rPr>
          <w:lang w:val="en-GB"/>
        </w:rPr>
      </w:pPr>
      <w:bookmarkStart w:id="468" w:name="_Toc142383252"/>
      <w:r w:rsidRPr="65D9A205">
        <w:rPr>
          <w:lang w:val="en-GB"/>
        </w:rPr>
        <w:t>KII Guide for HH AMR FP</w:t>
      </w:r>
      <w:bookmarkEnd w:id="468"/>
    </w:p>
    <w:p w14:paraId="05757583" w14:textId="79E769C9" w:rsidR="6EF1DF30" w:rsidRPr="001B18E8" w:rsidRDefault="6EF1DF30" w:rsidP="65D9A205">
      <w:pPr>
        <w:widowControl w:val="0"/>
        <w:spacing w:after="160" w:line="259" w:lineRule="auto"/>
        <w:jc w:val="both"/>
        <w:rPr>
          <w:rFonts w:ascii="Calibri Light" w:eastAsia="Calibri Light" w:hAnsi="Calibri Light" w:cs="Calibri Light"/>
          <w:color w:val="2F5496"/>
          <w:sz w:val="26"/>
          <w:szCs w:val="26"/>
          <w:lang w:val="de-DE"/>
        </w:rPr>
      </w:pPr>
      <w:r w:rsidRPr="65D9A205">
        <w:rPr>
          <w:rFonts w:ascii="Calibri Light" w:eastAsia="Calibri Light" w:hAnsi="Calibri Light" w:cs="Calibri Light"/>
          <w:color w:val="2F5496"/>
          <w:sz w:val="26"/>
          <w:szCs w:val="26"/>
          <w:lang w:val="de-DE"/>
        </w:rPr>
        <w:t>HH AMR FP</w:t>
      </w:r>
    </w:p>
    <w:p w14:paraId="7F254BCF" w14:textId="25C2FE68" w:rsidR="6EF1DF30" w:rsidRPr="001B18E8" w:rsidRDefault="6EF1DF30" w:rsidP="65D9A205">
      <w:pPr>
        <w:widowControl w:val="0"/>
        <w:spacing w:after="160" w:line="259" w:lineRule="auto"/>
        <w:jc w:val="both"/>
        <w:rPr>
          <w:rFonts w:eastAsia="Calibri" w:cs="Calibri"/>
          <w:color w:val="000000"/>
          <w:lang w:val="de-DE"/>
        </w:rPr>
      </w:pPr>
      <w:r w:rsidRPr="65D9A205">
        <w:rPr>
          <w:rFonts w:eastAsia="Calibri" w:cs="Calibri"/>
          <w:b/>
          <w:bCs/>
          <w:color w:val="000000"/>
          <w:lang w:val="de-DE"/>
        </w:rPr>
        <w:t>KII name:</w:t>
      </w:r>
    </w:p>
    <w:p w14:paraId="269D1B48" w14:textId="21090407" w:rsidR="6EF1DF30" w:rsidRDefault="6EF1DF30" w:rsidP="65D9A205">
      <w:pPr>
        <w:widowControl w:val="0"/>
        <w:spacing w:after="160" w:line="259" w:lineRule="auto"/>
        <w:jc w:val="both"/>
        <w:rPr>
          <w:rFonts w:eastAsia="Calibri" w:cs="Calibri"/>
          <w:color w:val="000000"/>
        </w:rPr>
      </w:pPr>
      <w:r w:rsidRPr="65D9A205">
        <w:rPr>
          <w:rFonts w:eastAsia="Calibri" w:cs="Calibri"/>
          <w:b/>
          <w:bCs/>
          <w:color w:val="000000"/>
        </w:rPr>
        <w:t>KII date:</w:t>
      </w:r>
    </w:p>
    <w:p w14:paraId="721806C1" w14:textId="552E89D0" w:rsidR="6EF1DF30" w:rsidRPr="001B7050" w:rsidRDefault="6EF1DF30" w:rsidP="65D9A205">
      <w:pPr>
        <w:widowControl w:val="0"/>
        <w:spacing w:after="160" w:line="259" w:lineRule="auto"/>
        <w:jc w:val="both"/>
        <w:rPr>
          <w:rFonts w:eastAsia="Calibri" w:cs="Calibri"/>
          <w:color w:val="000000"/>
        </w:rPr>
      </w:pPr>
      <w:r w:rsidRPr="001B7050">
        <w:rPr>
          <w:rFonts w:eastAsia="Calibri" w:cs="Calibri"/>
          <w:b/>
          <w:bCs/>
          <w:color w:val="000000"/>
        </w:rPr>
        <w:t>KII interviewer(s):</w:t>
      </w:r>
    </w:p>
    <w:p w14:paraId="136F9C27" w14:textId="7C87EB2C" w:rsidR="6EF1DF30" w:rsidRPr="001B7050" w:rsidRDefault="6EF1DF30" w:rsidP="65D9A205">
      <w:pPr>
        <w:spacing w:after="160" w:line="259" w:lineRule="auto"/>
        <w:rPr>
          <w:rFonts w:eastAsia="Calibri" w:cs="Calibri"/>
          <w:color w:val="000000"/>
        </w:rPr>
      </w:pPr>
      <w:r w:rsidRPr="001B7050">
        <w:rPr>
          <w:rFonts w:eastAsia="Calibri" w:cs="Calibri"/>
          <w:b/>
          <w:bCs/>
          <w:color w:val="000000"/>
        </w:rPr>
        <w:t>Introduction</w:t>
      </w:r>
      <w:r w:rsidRPr="001B7050">
        <w:rPr>
          <w:rFonts w:eastAsia="Calibri" w:cs="Calibri"/>
          <w:color w:val="000000"/>
        </w:rPr>
        <w:t xml:space="preserve"> – please adapt and summarise according to the stakeholder / her knowledge of the evaluation etc </w:t>
      </w:r>
      <w:r w:rsidRPr="001B7050">
        <w:rPr>
          <w:rFonts w:ascii="Times New Roman" w:eastAsia="Times New Roman" w:hAnsi="Times New Roman" w:cs="Times New Roman"/>
          <w:color w:val="000000"/>
          <w:sz w:val="24"/>
          <w:szCs w:val="24"/>
        </w:rPr>
        <w:t>–</w:t>
      </w:r>
      <w:r w:rsidRPr="001B7050">
        <w:rPr>
          <w:rFonts w:eastAsia="Calibri" w:cs="Calibri"/>
          <w:color w:val="000000"/>
        </w:rPr>
        <w:t xml:space="preserve"> aim to get this intro as short as possible.</w:t>
      </w:r>
    </w:p>
    <w:p w14:paraId="2E56C2DE" w14:textId="60643025" w:rsidR="6EF1DF30" w:rsidRPr="001B7050" w:rsidRDefault="6EF1DF30" w:rsidP="65D9A205">
      <w:pPr>
        <w:spacing w:line="259" w:lineRule="auto"/>
        <w:rPr>
          <w:rFonts w:eastAsia="Calibri" w:cs="Calibri"/>
          <w:color w:val="000000"/>
        </w:rPr>
      </w:pPr>
      <w:r w:rsidRPr="001B7050">
        <w:rPr>
          <w:rFonts w:eastAsia="Calibri" w:cs="Calibri"/>
          <w:color w:val="000000"/>
        </w:rPr>
        <w:t xml:space="preserve"> • </w:t>
      </w:r>
      <w:r w:rsidRPr="001B7050">
        <w:rPr>
          <w:rFonts w:eastAsia="Calibri" w:cs="Calibri"/>
          <w:b/>
          <w:bCs/>
          <w:color w:val="000000"/>
        </w:rPr>
        <w:t>Thank you</w:t>
      </w:r>
      <w:r w:rsidRPr="001B7050">
        <w:rPr>
          <w:rFonts w:eastAsia="Calibri" w:cs="Calibri"/>
          <w:color w:val="000000"/>
        </w:rPr>
        <w:t xml:space="preserve"> – Thank you the interviewee for having accepted the meeting and for their time today. </w:t>
      </w:r>
    </w:p>
    <w:p w14:paraId="2F259D92" w14:textId="452DD68B" w:rsidR="6EF1DF30" w:rsidRPr="001B7050" w:rsidRDefault="6EF1DF30"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Introductions</w:t>
      </w:r>
      <w:r w:rsidRPr="001B7050">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3B6978B5" w14:textId="622D4E87" w:rsidR="6EF1DF30" w:rsidRPr="001B7050" w:rsidRDefault="6EF1DF30" w:rsidP="65D9A205">
      <w:pPr>
        <w:spacing w:line="259" w:lineRule="auto"/>
        <w:rPr>
          <w:rFonts w:eastAsia="Calibri" w:cs="Calibri"/>
          <w:color w:val="000000"/>
        </w:rPr>
      </w:pPr>
      <w:r w:rsidRPr="001B7050">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5603A49F" w14:textId="464E7D31" w:rsidR="6EF1DF30" w:rsidRPr="001B7050" w:rsidRDefault="6EF1DF30" w:rsidP="65D9A205">
      <w:pPr>
        <w:spacing w:line="259" w:lineRule="auto"/>
        <w:rPr>
          <w:rFonts w:eastAsia="Calibri" w:cs="Calibri"/>
          <w:color w:val="000000"/>
        </w:rPr>
      </w:pPr>
      <w:r w:rsidRPr="001B7050">
        <w:rPr>
          <w:rFonts w:eastAsia="Calibri" w:cs="Calibri"/>
          <w:color w:val="000000"/>
        </w:rPr>
        <w:t xml:space="preserve">[Let others introduce themselves or tell them there will be a chance after you have explained the purpose of the interview] </w:t>
      </w:r>
    </w:p>
    <w:p w14:paraId="47AFA83F" w14:textId="66DF9E55" w:rsidR="6EF1DF30" w:rsidRPr="001B7050" w:rsidRDefault="6EF1DF30" w:rsidP="65D9A205">
      <w:pPr>
        <w:spacing w:line="259" w:lineRule="auto"/>
        <w:rPr>
          <w:rFonts w:eastAsia="Calibri" w:cs="Calibri"/>
          <w:color w:val="000000"/>
        </w:rPr>
      </w:pPr>
      <w:r w:rsidRPr="001B7050">
        <w:rPr>
          <w:rFonts w:eastAsia="Calibri" w:cs="Calibri"/>
          <w:color w:val="000000"/>
        </w:rPr>
        <w:t xml:space="preserve">[Acknowledge whether we have already interviewed the stakeholder during CV1/2]  </w:t>
      </w:r>
    </w:p>
    <w:p w14:paraId="0AFAD1A9" w14:textId="7431AE4E" w:rsidR="6EF1DF30" w:rsidRPr="001B7050" w:rsidRDefault="6EF1DF30" w:rsidP="65D9A205">
      <w:pPr>
        <w:spacing w:line="259" w:lineRule="auto"/>
        <w:rPr>
          <w:rFonts w:eastAsia="Calibri" w:cs="Calibri"/>
          <w:color w:val="000000"/>
        </w:rPr>
      </w:pPr>
      <w:r w:rsidRPr="001B7050">
        <w:rPr>
          <w:rFonts w:eastAsia="Calibri" w:cs="Calibri"/>
          <w:color w:val="000000"/>
        </w:rPr>
        <w:t xml:space="preserve"> </w:t>
      </w:r>
    </w:p>
    <w:p w14:paraId="2081E2BA" w14:textId="4E6C319E" w:rsidR="6EF1DF30" w:rsidRPr="001B7050" w:rsidRDefault="6EF1DF30"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Purpose</w:t>
      </w:r>
      <w:r w:rsidRPr="001B7050">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5EAA47F3" w14:textId="4621F4F4" w:rsidR="6EF1DF30" w:rsidRPr="001B7050" w:rsidRDefault="6EF1DF30"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 xml:space="preserve">Focus </w:t>
      </w:r>
      <w:r w:rsidRPr="001B7050">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132733C8" w14:textId="70B142E6" w:rsidR="6EF1DF30" w:rsidRPr="001B7050" w:rsidRDefault="6EF1DF30" w:rsidP="00C6374D">
      <w:pPr>
        <w:pStyle w:val="ListParagraph"/>
        <w:numPr>
          <w:ilvl w:val="0"/>
          <w:numId w:val="11"/>
        </w:numPr>
        <w:spacing w:line="259" w:lineRule="auto"/>
        <w:rPr>
          <w:rFonts w:eastAsia="Calibri" w:cs="Calibri"/>
          <w:color w:val="000000"/>
        </w:rPr>
      </w:pPr>
      <w:r w:rsidRPr="001B7050">
        <w:rPr>
          <w:rFonts w:eastAsia="Calibri" w:cs="Calibri"/>
          <w:color w:val="000000"/>
        </w:rPr>
        <w:t xml:space="preserve">More and better AMR/C/U data produced and shared at country level  </w:t>
      </w:r>
    </w:p>
    <w:p w14:paraId="39DC6E41" w14:textId="6DAB38BC" w:rsidR="6EF1DF30" w:rsidRPr="001B7050" w:rsidRDefault="6EF1DF30" w:rsidP="00C6374D">
      <w:pPr>
        <w:pStyle w:val="ListParagraph"/>
        <w:numPr>
          <w:ilvl w:val="0"/>
          <w:numId w:val="11"/>
        </w:numPr>
        <w:spacing w:line="259" w:lineRule="auto"/>
        <w:rPr>
          <w:rFonts w:eastAsia="Calibri" w:cs="Calibri"/>
          <w:color w:val="000000"/>
        </w:rPr>
      </w:pPr>
      <w:r w:rsidRPr="001B7050">
        <w:rPr>
          <w:rFonts w:eastAsia="Calibri" w:cs="Calibri"/>
          <w:color w:val="000000"/>
        </w:rPr>
        <w:t xml:space="preserve">More and better AMR/C/U data shared internationally (with GLASS/OIE) </w:t>
      </w:r>
    </w:p>
    <w:p w14:paraId="66DA7FDA" w14:textId="2C9A2503" w:rsidR="6EF1DF30" w:rsidRPr="001B7050" w:rsidRDefault="6EF1DF30" w:rsidP="00C6374D">
      <w:pPr>
        <w:pStyle w:val="ListParagraph"/>
        <w:numPr>
          <w:ilvl w:val="0"/>
          <w:numId w:val="11"/>
        </w:numPr>
        <w:spacing w:line="259" w:lineRule="auto"/>
        <w:rPr>
          <w:rFonts w:eastAsia="Calibri" w:cs="Calibri"/>
          <w:color w:val="000000"/>
        </w:rPr>
      </w:pPr>
      <w:r w:rsidRPr="001B7050">
        <w:rPr>
          <w:rFonts w:eastAsia="Calibri" w:cs="Calibri"/>
          <w:color w:val="000000"/>
        </w:rPr>
        <w:t xml:space="preserve">Regulatory and policy change that can have an impact in reducing AMR </w:t>
      </w:r>
    </w:p>
    <w:p w14:paraId="56B01168" w14:textId="527FB5B5" w:rsidR="6EF1DF30" w:rsidRPr="001B7050" w:rsidRDefault="6EF1DF30" w:rsidP="00C6374D">
      <w:pPr>
        <w:pStyle w:val="ListParagraph"/>
        <w:numPr>
          <w:ilvl w:val="0"/>
          <w:numId w:val="11"/>
        </w:numPr>
        <w:spacing w:line="259" w:lineRule="auto"/>
        <w:rPr>
          <w:rFonts w:eastAsia="Calibri" w:cs="Calibri"/>
          <w:color w:val="000000"/>
        </w:rPr>
      </w:pPr>
      <w:r w:rsidRPr="001B7050">
        <w:rPr>
          <w:rFonts w:eastAsia="Calibri" w:cs="Calibri"/>
          <w:color w:val="000000"/>
        </w:rPr>
        <w:t xml:space="preserve">Changes in practice / attitude towards the use of antimicrobials.  </w:t>
      </w:r>
    </w:p>
    <w:p w14:paraId="76395714" w14:textId="66D923F8" w:rsidR="6EF1DF30" w:rsidRPr="001B7050" w:rsidRDefault="6EF1DF30" w:rsidP="65D9A205">
      <w:pPr>
        <w:spacing w:line="259" w:lineRule="auto"/>
        <w:rPr>
          <w:rFonts w:eastAsia="Calibri" w:cs="Calibri"/>
          <w:color w:val="000000"/>
        </w:rPr>
      </w:pPr>
      <w:r w:rsidRPr="001B7050">
        <w:rPr>
          <w:rFonts w:eastAsia="Calibri" w:cs="Calibri"/>
          <w:color w:val="000000"/>
        </w:rPr>
        <w:t xml:space="preserve"> </w:t>
      </w:r>
    </w:p>
    <w:p w14:paraId="79459795" w14:textId="0A9AF4B9" w:rsidR="6EF1DF30" w:rsidRPr="001B7050" w:rsidRDefault="6EF1DF30" w:rsidP="65D9A205">
      <w:pPr>
        <w:spacing w:line="259" w:lineRule="auto"/>
        <w:rPr>
          <w:rFonts w:eastAsia="Calibri" w:cs="Calibri"/>
          <w:color w:val="000000"/>
        </w:rPr>
      </w:pPr>
      <w:r w:rsidRPr="001B7050">
        <w:rPr>
          <w:rFonts w:eastAsia="Calibri" w:cs="Calibri"/>
          <w:color w:val="000000"/>
        </w:rPr>
        <w:t>We have also questions relate to coherence of Fleming Fund efforts with those of other actors in country, sustainability of FF results and Value for Money [adapt the list as appropriate].</w:t>
      </w:r>
    </w:p>
    <w:p w14:paraId="4071A16E" w14:textId="76C9B595" w:rsidR="6EF1DF30" w:rsidRPr="001B7050" w:rsidRDefault="6EF1DF30" w:rsidP="65D9A205">
      <w:pPr>
        <w:spacing w:line="259" w:lineRule="auto"/>
        <w:rPr>
          <w:rFonts w:eastAsia="Calibri" w:cs="Calibri"/>
          <w:color w:val="000000"/>
        </w:rPr>
      </w:pPr>
      <w:r w:rsidRPr="001B7050">
        <w:rPr>
          <w:rFonts w:eastAsia="Calibri" w:cs="Calibri"/>
          <w:color w:val="000000"/>
        </w:rPr>
        <w:t xml:space="preserve"> </w:t>
      </w:r>
    </w:p>
    <w:p w14:paraId="436D404C" w14:textId="5BAA4EDC" w:rsidR="6EF1DF30" w:rsidRPr="001B7050" w:rsidRDefault="6EF1DF30"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Confidentiality / permission to record</w:t>
      </w:r>
      <w:r w:rsidRPr="001B7050">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6D0B3E72" w14:textId="0652418A" w:rsidR="6EF1DF30" w:rsidRPr="001B7050" w:rsidRDefault="6EF1DF30" w:rsidP="65D9A205">
      <w:pPr>
        <w:spacing w:line="259" w:lineRule="auto"/>
        <w:rPr>
          <w:rFonts w:eastAsia="Calibri" w:cs="Calibri"/>
          <w:color w:val="000000"/>
        </w:rPr>
      </w:pPr>
      <w:r w:rsidRPr="001B7050">
        <w:rPr>
          <w:rFonts w:eastAsia="Calibri" w:cs="Calibri"/>
          <w:color w:val="000000"/>
        </w:rPr>
        <w:t xml:space="preserve"> </w:t>
      </w:r>
    </w:p>
    <w:p w14:paraId="1FF97E11" w14:textId="381C4A35" w:rsidR="6EF1DF30" w:rsidRDefault="6EF1DF30"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Duration</w:t>
      </w:r>
      <w:r w:rsidRPr="001B7050">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 know the answer to a question or prefer not to answer – just let me know and I’ll adapt the interview accordingly.</w:t>
      </w:r>
      <w:r w:rsidRPr="65D9A205">
        <w:rPr>
          <w:rFonts w:eastAsia="Calibri" w:cs="Calibri"/>
          <w:color w:val="000000"/>
        </w:rPr>
        <w:t xml:space="preserve">   </w:t>
      </w:r>
    </w:p>
    <w:p w14:paraId="3D61C343" w14:textId="68B6B803" w:rsidR="6EF1DF30" w:rsidRDefault="6EF1DF30" w:rsidP="65D9A205">
      <w:pPr>
        <w:spacing w:line="259" w:lineRule="auto"/>
        <w:rPr>
          <w:rFonts w:ascii="Segoe UI" w:eastAsia="Segoe UI" w:hAnsi="Segoe UI" w:cs="Segoe UI"/>
          <w:color w:val="000000"/>
        </w:rPr>
      </w:pPr>
      <w:r w:rsidRPr="65D9A205">
        <w:rPr>
          <w:rFonts w:ascii="Segoe UI" w:eastAsia="Segoe UI" w:hAnsi="Segoe UI" w:cs="Segoe UI"/>
          <w:color w:val="000000"/>
        </w:rPr>
        <w:t xml:space="preserve"> </w:t>
      </w:r>
    </w:p>
    <w:p w14:paraId="1232474B" w14:textId="66D616F9" w:rsidR="6EF1DF30" w:rsidRDefault="6EF1DF30" w:rsidP="65D9A205">
      <w:pPr>
        <w:spacing w:line="259" w:lineRule="auto"/>
        <w:rPr>
          <w:rFonts w:eastAsia="Calibri" w:cs="Calibri"/>
          <w:color w:val="000000"/>
        </w:rPr>
      </w:pPr>
      <w:r w:rsidRPr="65D9A205">
        <w:rPr>
          <w:rFonts w:eastAsia="Calibri" w:cs="Calibri"/>
          <w:color w:val="000000"/>
        </w:rPr>
        <w:t xml:space="preserve">• </w:t>
      </w:r>
      <w:r w:rsidRPr="65D9A205">
        <w:rPr>
          <w:rFonts w:eastAsia="Calibri" w:cs="Calibri"/>
          <w:b/>
          <w:bCs/>
          <w:color w:val="000000"/>
        </w:rPr>
        <w:t>Opportunity for questions</w:t>
      </w:r>
      <w:r w:rsidRPr="65D9A205">
        <w:rPr>
          <w:rFonts w:eastAsia="Calibri" w:cs="Calibri"/>
          <w:color w:val="000000"/>
        </w:rPr>
        <w:t xml:space="preserve"> – Do you have any questions before we start? Of course you are also welcome to ask questions through the interview if something is not clear.  </w:t>
      </w:r>
    </w:p>
    <w:p w14:paraId="0E50BF04" w14:textId="10188427" w:rsidR="65D9A205" w:rsidRDefault="65D9A205" w:rsidP="65D9A205">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50"/>
        <w:gridCol w:w="6270"/>
        <w:gridCol w:w="6270"/>
      </w:tblGrid>
      <w:tr w:rsidR="65D9A205" w14:paraId="2061CC88" w14:textId="77777777" w:rsidTr="00B02AA9">
        <w:trPr>
          <w:trHeight w:val="567"/>
          <w:tblHeader/>
        </w:trPr>
        <w:tc>
          <w:tcPr>
            <w:tcW w:w="105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738E08AF" w14:textId="6B622A36" w:rsidR="65D9A205" w:rsidRDefault="65D9A205" w:rsidP="00B02AA9">
            <w:pPr>
              <w:rPr>
                <w:rFonts w:eastAsia="Calibri" w:cs="Calibri"/>
                <w:color w:val="FFFFFF" w:themeColor="background1"/>
                <w:sz w:val="20"/>
                <w:szCs w:val="20"/>
              </w:rPr>
            </w:pPr>
            <w:r w:rsidRPr="65D9A205">
              <w:rPr>
                <w:rFonts w:eastAsia="Calibri" w:cs="Calibri"/>
                <w:color w:val="FFFFFF" w:themeColor="background1"/>
                <w:sz w:val="20"/>
                <w:szCs w:val="20"/>
              </w:rPr>
              <w:t>EQ</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36D3E6C2" w14:textId="389CF95D" w:rsidR="65D9A205" w:rsidRDefault="65D9A205" w:rsidP="00B02AA9">
            <w:pPr>
              <w:rPr>
                <w:rFonts w:eastAsia="Calibri" w:cs="Calibri"/>
                <w:color w:val="FFFFFF" w:themeColor="background1"/>
                <w:sz w:val="20"/>
                <w:szCs w:val="20"/>
              </w:rPr>
            </w:pPr>
            <w:r w:rsidRPr="65D9A205">
              <w:rPr>
                <w:rFonts w:eastAsia="Calibri" w:cs="Calibri"/>
                <w:color w:val="FFFFFF" w:themeColor="background1"/>
                <w:sz w:val="20"/>
                <w:szCs w:val="20"/>
              </w:rPr>
              <w:t xml:space="preserve">List of questions  </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2B746AE7" w14:textId="5CFB33EA" w:rsidR="65D9A205" w:rsidRDefault="65D9A205" w:rsidP="00B02AA9">
            <w:pPr>
              <w:rPr>
                <w:rFonts w:eastAsia="Calibri" w:cs="Calibri"/>
                <w:color w:val="FFFFFF" w:themeColor="background1"/>
                <w:sz w:val="20"/>
                <w:szCs w:val="20"/>
              </w:rPr>
            </w:pPr>
            <w:r w:rsidRPr="65D9A205">
              <w:rPr>
                <w:rFonts w:eastAsia="Calibri" w:cs="Calibri"/>
                <w:color w:val="FFFFFF" w:themeColor="background1"/>
                <w:sz w:val="20"/>
                <w:szCs w:val="20"/>
              </w:rPr>
              <w:t>Response</w:t>
            </w:r>
          </w:p>
        </w:tc>
      </w:tr>
      <w:tr w:rsidR="65D9A205" w14:paraId="31139603" w14:textId="77777777" w:rsidTr="65D9A205">
        <w:trPr>
          <w:trHeight w:val="12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2AF93EC" w14:textId="4FF0CBA2" w:rsidR="65D9A205" w:rsidRDefault="65D9A205" w:rsidP="65D9A205">
            <w:pPr>
              <w:rPr>
                <w:rFonts w:eastAsia="Calibri" w:cs="Calibri"/>
                <w:color w:val="000000"/>
              </w:rPr>
            </w:pPr>
            <w:r w:rsidRPr="65D9A205">
              <w:rPr>
                <w:rFonts w:eastAsia="Calibri" w:cs="Calibri"/>
                <w:color w:val="00000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1134703" w14:textId="1CCC6E72"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Fleming Fund's investments</w:t>
            </w:r>
            <w:r w:rsidRPr="65D9A205">
              <w:rPr>
                <w:rFonts w:eastAsia="Calibri" w:cs="Calibri"/>
                <w:color w:val="000000"/>
                <w:sz w:val="20"/>
                <w:szCs w:val="20"/>
              </w:rPr>
              <w:t xml:space="preserve"> been </w:t>
            </w:r>
            <w:r w:rsidRPr="65D9A205">
              <w:rPr>
                <w:rFonts w:eastAsia="Calibri" w:cs="Calibri"/>
                <w:b/>
                <w:bCs/>
                <w:color w:val="000000"/>
                <w:sz w:val="20"/>
                <w:szCs w:val="20"/>
              </w:rPr>
              <w:t>aligned</w:t>
            </w:r>
            <w:r w:rsidRPr="65D9A205">
              <w:rPr>
                <w:rFonts w:eastAsia="Calibri" w:cs="Calibri"/>
                <w:color w:val="000000"/>
                <w:sz w:val="20"/>
                <w:szCs w:val="20"/>
              </w:rPr>
              <w:t xml:space="preserve"> with the NAP and other government policies/plans?</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government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was alignment ensured?</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0F3DF833" w14:textId="563B21F6" w:rsidR="65D9A205" w:rsidRDefault="65D9A205" w:rsidP="65D9A205">
            <w:pPr>
              <w:rPr>
                <w:rFonts w:eastAsia="Calibri" w:cs="Calibri"/>
                <w:color w:val="000000"/>
                <w:sz w:val="20"/>
                <w:szCs w:val="20"/>
              </w:rPr>
            </w:pPr>
          </w:p>
        </w:tc>
      </w:tr>
      <w:tr w:rsidR="65D9A205" w14:paraId="62971AE8"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7DFBB71" w14:textId="109EA8CB" w:rsidR="65D9A205" w:rsidRDefault="65D9A205" w:rsidP="65D9A205">
            <w:pPr>
              <w:rPr>
                <w:rFonts w:eastAsia="Calibri" w:cs="Calibri"/>
                <w:color w:val="000000"/>
              </w:rPr>
            </w:pPr>
            <w:r w:rsidRPr="65D9A205">
              <w:rPr>
                <w:rFonts w:eastAsia="Calibri" w:cs="Calibri"/>
                <w:color w:val="00000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33D6E03" w14:textId="3ECE0295"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 xml:space="preserve">Fleming Fund's investments </w:t>
            </w:r>
            <w:r w:rsidRPr="65D9A205">
              <w:rPr>
                <w:rFonts w:eastAsia="Calibri" w:cs="Calibri"/>
                <w:color w:val="000000"/>
                <w:sz w:val="20"/>
                <w:szCs w:val="20"/>
              </w:rPr>
              <w:t xml:space="preserve">been </w:t>
            </w:r>
            <w:r w:rsidRPr="65D9A205">
              <w:rPr>
                <w:rFonts w:eastAsia="Calibri" w:cs="Calibri"/>
                <w:b/>
                <w:bCs/>
                <w:color w:val="000000"/>
                <w:sz w:val="20"/>
                <w:szCs w:val="20"/>
              </w:rPr>
              <w:t>aligned with interventions</w:t>
            </w:r>
            <w:r w:rsidRPr="65D9A205">
              <w:rPr>
                <w:rFonts w:eastAsia="Calibri" w:cs="Calibri"/>
                <w:color w:val="000000"/>
                <w:sz w:val="20"/>
                <w:szCs w:val="20"/>
              </w:rPr>
              <w:t xml:space="preserve"> funded </w:t>
            </w:r>
            <w:r w:rsidRPr="65D9A205">
              <w:rPr>
                <w:rFonts w:eastAsia="Calibri" w:cs="Calibri"/>
                <w:b/>
                <w:bCs/>
                <w:color w:val="000000"/>
                <w:sz w:val="20"/>
                <w:szCs w:val="20"/>
              </w:rPr>
              <w:t>by other DPs</w:t>
            </w:r>
            <w:r w:rsidRPr="65D9A205">
              <w:rPr>
                <w:rFonts w:eastAsia="Calibri" w:cs="Calibri"/>
                <w:color w:val="000000"/>
                <w:sz w:val="20"/>
                <w:szCs w:val="20"/>
              </w:rPr>
              <w:t>?</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DP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did the Fleming Fund coordinate with other DPs involved in AMR / lab strengthening in country?</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36486D4F" w14:textId="7ECECB8A" w:rsidR="65D9A205" w:rsidRDefault="65D9A205" w:rsidP="65D9A205">
            <w:pPr>
              <w:rPr>
                <w:rFonts w:eastAsia="Calibri" w:cs="Calibri"/>
                <w:color w:val="000000"/>
                <w:sz w:val="20"/>
                <w:szCs w:val="20"/>
              </w:rPr>
            </w:pPr>
          </w:p>
        </w:tc>
      </w:tr>
      <w:tr w:rsidR="65D9A205" w14:paraId="3F4F07DA"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5DEABEF" w14:textId="3C6CFADE"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40045E4" w14:textId="72396447" w:rsidR="65D9A205" w:rsidRDefault="65D9A205" w:rsidP="65D9A205">
            <w:pPr>
              <w:rPr>
                <w:rFonts w:eastAsia="Calibri" w:cs="Calibri"/>
                <w:color w:val="444444"/>
              </w:rPr>
            </w:pPr>
            <w:r w:rsidRPr="65D9A205">
              <w:rPr>
                <w:rFonts w:eastAsia="Calibri" w:cs="Calibri"/>
                <w:color w:val="444444"/>
              </w:rPr>
              <w:t xml:space="preserve"> 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5085FF8" w14:textId="4DB0C117" w:rsidR="65D9A205" w:rsidRDefault="65D9A205" w:rsidP="65D9A205">
            <w:pPr>
              <w:rPr>
                <w:rFonts w:eastAsia="Calibri" w:cs="Calibri"/>
                <w:color w:val="000000"/>
                <w:sz w:val="20"/>
                <w:szCs w:val="20"/>
              </w:rPr>
            </w:pPr>
          </w:p>
        </w:tc>
      </w:tr>
      <w:tr w:rsidR="65D9A205" w14:paraId="64B24E73"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C2EC154" w14:textId="5A1BB67C"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6577B13" w14:textId="12BF1088" w:rsidR="65D9A205" w:rsidRDefault="65D9A205" w:rsidP="65D9A205">
            <w:pPr>
              <w:rPr>
                <w:rFonts w:eastAsia="Calibri" w:cs="Calibri"/>
                <w:color w:val="444444"/>
              </w:rPr>
            </w:pPr>
            <w:r w:rsidRPr="65D9A205">
              <w:rPr>
                <w:rFonts w:eastAsia="Calibri" w:cs="Calibri"/>
                <w:color w:val="444444"/>
              </w:rPr>
              <w:t xml:space="preserve"> To what extent do you think staff are motivated to put new skills / responsibilities required to maintain AMR surveillence? PROBES: Is throughput sufficient? Are consumable supplies assured? Are managers and institutions (eg AMRCC) interested in outputs and providing feedback? Will competing demands crowd in? Are there adequate plans in place to address any concerns?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0EBE7D13" w14:textId="14867DA3" w:rsidR="65D9A205" w:rsidRDefault="65D9A205" w:rsidP="65D9A205">
            <w:pPr>
              <w:rPr>
                <w:rFonts w:eastAsia="Calibri" w:cs="Calibri"/>
                <w:color w:val="000000"/>
                <w:sz w:val="20"/>
                <w:szCs w:val="20"/>
              </w:rPr>
            </w:pPr>
          </w:p>
        </w:tc>
      </w:tr>
      <w:tr w:rsidR="65D9A205" w14:paraId="2581C1FD" w14:textId="77777777" w:rsidTr="65D9A205">
        <w:trPr>
          <w:trHeight w:val="150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F8514F2" w14:textId="528D492C"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58F56391" w14:textId="20D65781" w:rsidR="65D9A205" w:rsidRDefault="65D9A205" w:rsidP="65D9A205">
            <w:pPr>
              <w:rPr>
                <w:rFonts w:eastAsia="Calibri" w:cs="Calibri"/>
                <w:color w:val="000000"/>
                <w:sz w:val="20"/>
                <w:szCs w:val="20"/>
              </w:rPr>
            </w:pPr>
            <w:r w:rsidRPr="65D9A205">
              <w:rPr>
                <w:rFonts w:eastAsia="Calibri" w:cs="Calibri"/>
                <w:color w:val="000000"/>
                <w:sz w:val="20"/>
                <w:szCs w:val="20"/>
              </w:rPr>
              <w:t xml:space="preserve">Do you think that surveillance data is already being used to inform strong national actions on AMR (policy implementation, regulatory change or change to national clinical guidelines?)  If yes, please give examples  PROBE: How did Fleming Fund activities contribute to these actions? If no, do you think that the main use so far has been for general awareness-raising in professional and policy networks? PROBE: Do you think that we are still at an early stage of the cycle of AMR data analysis for policy?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AFDB53D" w14:textId="151497DD" w:rsidR="65D9A205" w:rsidRDefault="65D9A205" w:rsidP="65D9A205">
            <w:pPr>
              <w:rPr>
                <w:rFonts w:eastAsia="Calibri" w:cs="Calibri"/>
                <w:color w:val="000000"/>
                <w:sz w:val="20"/>
                <w:szCs w:val="20"/>
              </w:rPr>
            </w:pPr>
          </w:p>
        </w:tc>
      </w:tr>
      <w:tr w:rsidR="65D9A205" w14:paraId="0D4B4899" w14:textId="77777777" w:rsidTr="65D9A205">
        <w:trPr>
          <w:trHeight w:val="150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29EA370" w14:textId="3CA5DC1B"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24F1990" w14:textId="51837CE8" w:rsidR="65D9A205" w:rsidRDefault="65D9A205" w:rsidP="65D9A205">
            <w:pPr>
              <w:rPr>
                <w:rFonts w:eastAsia="Calibri" w:cs="Calibri"/>
                <w:color w:val="000000"/>
                <w:sz w:val="20"/>
                <w:szCs w:val="20"/>
              </w:rPr>
            </w:pPr>
            <w:r w:rsidRPr="65D9A205">
              <w:rPr>
                <w:rFonts w:eastAsia="Calibri" w:cs="Calibri"/>
                <w:color w:val="000000"/>
                <w:sz w:val="20"/>
                <w:szCs w:val="20"/>
              </w:rPr>
              <w:t>Thinking about the kinds of strong national actions that might be relevant to AMR (for example controls on certain uses of antimicrobials or initiatives to change professional practices), can you think of examples from the past (prior to FF) and/or not motivated by surveillance data?  PROBE: (Refer to any examples suggested by MSA analysis or other information gathered)  If yes, please give details. PROBE: what is different now / what motivates action if not surveillance data?</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21613F2D" w14:textId="7DDC03B8" w:rsidR="65D9A205" w:rsidRDefault="65D9A205" w:rsidP="65D9A205">
            <w:pPr>
              <w:rPr>
                <w:rFonts w:eastAsia="Calibri" w:cs="Calibri"/>
                <w:color w:val="000000"/>
                <w:sz w:val="20"/>
                <w:szCs w:val="20"/>
              </w:rPr>
            </w:pPr>
          </w:p>
        </w:tc>
      </w:tr>
      <w:tr w:rsidR="65D9A205" w14:paraId="79F2F6A2" w14:textId="77777777" w:rsidTr="00B02AA9">
        <w:trPr>
          <w:trHeight w:val="2438"/>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1704093B" w14:textId="139DFF17"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2CA02BE" w14:textId="6ECB2189" w:rsidR="65D9A205" w:rsidRDefault="65D9A205" w:rsidP="65D9A205">
            <w:pPr>
              <w:rPr>
                <w:rFonts w:eastAsia="Calibri" w:cs="Calibri"/>
                <w:color w:val="000000"/>
                <w:sz w:val="20"/>
                <w:szCs w:val="20"/>
              </w:rPr>
            </w:pPr>
            <w:r w:rsidRPr="65D9A205">
              <w:rPr>
                <w:rFonts w:eastAsia="Calibri" w:cs="Calibri"/>
                <w:color w:val="000000"/>
                <w:sz w:val="20"/>
                <w:szCs w:val="20"/>
              </w:rPr>
              <w:t>What factors do you think are most important for national policymakers when considering whether AMR is a very severe and urgent problem? PROBE: (Refer to MSA on Indicators/Problem stream, test analysis)</w:t>
            </w:r>
            <w:r>
              <w:br/>
            </w:r>
            <w:r w:rsidRPr="65D9A205">
              <w:rPr>
                <w:rFonts w:eastAsia="Calibri" w:cs="Calibri"/>
                <w:color w:val="000000"/>
                <w:sz w:val="20"/>
                <w:szCs w:val="20"/>
              </w:rPr>
              <w:t xml:space="preserve">§ (if need more information on MSA Load) How does AMR compare to other health policy problems? </w:t>
            </w:r>
            <w:r>
              <w:br/>
            </w:r>
            <w:r w:rsidRPr="65D9A205">
              <w:rPr>
                <w:rFonts w:eastAsia="Calibri" w:cs="Calibri"/>
                <w:color w:val="000000"/>
                <w:sz w:val="20"/>
                <w:szCs w:val="20"/>
              </w:rPr>
              <w:t xml:space="preserve">§ (if need more information on MSA Feedback / TrACSS suggest links to other plans) Have public policy activities to address other problems started to suggest that AMR is important? </w:t>
            </w:r>
            <w:r>
              <w:br/>
            </w:r>
            <w:r w:rsidRPr="65D9A205">
              <w:rPr>
                <w:rFonts w:eastAsia="Calibri" w:cs="Calibri"/>
                <w:color w:val="000000"/>
                <w:sz w:val="20"/>
                <w:szCs w:val="20"/>
              </w:rPr>
              <w:t xml:space="preserve">§ (need more information on MSA Focusing) What has or might focus policymakers’ attention on AMR?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6410B877" w14:textId="1B792FC6" w:rsidR="65D9A205" w:rsidRDefault="65D9A205" w:rsidP="65D9A205">
            <w:pPr>
              <w:rPr>
                <w:rFonts w:eastAsia="Calibri" w:cs="Calibri"/>
                <w:color w:val="000000"/>
                <w:sz w:val="20"/>
                <w:szCs w:val="20"/>
              </w:rPr>
            </w:pPr>
          </w:p>
        </w:tc>
      </w:tr>
      <w:tr w:rsidR="65D9A205" w14:paraId="3675A886" w14:textId="77777777" w:rsidTr="65D9A205">
        <w:trPr>
          <w:trHeight w:val="84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7AFAED1" w14:textId="373D7DF2"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3BE364AC" w14:textId="2C8E69F7" w:rsidR="65D9A205" w:rsidRDefault="65D9A205" w:rsidP="65D9A205">
            <w:pPr>
              <w:rPr>
                <w:rFonts w:eastAsia="Calibri" w:cs="Calibri"/>
                <w:color w:val="000000"/>
                <w:sz w:val="20"/>
                <w:szCs w:val="20"/>
              </w:rPr>
            </w:pPr>
            <w:r w:rsidRPr="65D9A205">
              <w:rPr>
                <w:rFonts w:eastAsia="Calibri" w:cs="Calibri"/>
                <w:color w:val="000000"/>
                <w:sz w:val="20"/>
                <w:szCs w:val="20"/>
              </w:rPr>
              <w:t>Has Covid-19 been a distraction, slowing down progress with the national AMR agenda?  PROBE: Has AMRCC met regularly since 2020, including at political as well as technical levels? Has it started to take significant decisions?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3A1115D" w14:textId="2561442F" w:rsidR="65D9A205" w:rsidRDefault="65D9A205" w:rsidP="65D9A205">
            <w:pPr>
              <w:rPr>
                <w:rFonts w:eastAsia="Calibri" w:cs="Calibri"/>
                <w:color w:val="000000"/>
                <w:sz w:val="20"/>
                <w:szCs w:val="20"/>
              </w:rPr>
            </w:pPr>
          </w:p>
        </w:tc>
      </w:tr>
      <w:tr w:rsidR="65D9A205" w14:paraId="24F991D7" w14:textId="77777777" w:rsidTr="00B02AA9">
        <w:trPr>
          <w:trHeight w:val="153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7D5180B" w14:textId="5A8AD1A8"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3B20DA6D" w14:textId="047641B0" w:rsidR="65D9A205" w:rsidRDefault="65D9A205" w:rsidP="65D9A205">
            <w:pPr>
              <w:rPr>
                <w:rFonts w:eastAsia="Calibri" w:cs="Calibri"/>
                <w:color w:val="000000"/>
                <w:sz w:val="20"/>
                <w:szCs w:val="20"/>
              </w:rPr>
            </w:pPr>
            <w:r w:rsidRPr="65D9A205">
              <w:rPr>
                <w:rFonts w:eastAsia="Calibri" w:cs="Calibri"/>
                <w:color w:val="000000"/>
                <w:sz w:val="20"/>
                <w:szCs w:val="20"/>
              </w:rPr>
              <w:t>Have NAP plans continued to develop strongly since 2020? (OR, if NAP expires in 2020-22, is there a process underway for its renewal; do you expect any delay in extending the NAP?)  PROBE: What factors explain the current situation in relation to the NAP?  (if need more information to complete NAP tool, apart from on budgeting) How exactly is the NAP moving from a plan to real action and change?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D9670EB" w14:textId="2D678C3D" w:rsidR="65D9A205" w:rsidRDefault="65D9A205" w:rsidP="65D9A205">
            <w:pPr>
              <w:rPr>
                <w:rFonts w:eastAsia="Calibri" w:cs="Calibri"/>
                <w:color w:val="000000"/>
                <w:sz w:val="20"/>
                <w:szCs w:val="20"/>
              </w:rPr>
            </w:pPr>
          </w:p>
        </w:tc>
      </w:tr>
      <w:tr w:rsidR="65D9A205" w14:paraId="68F7E1F5" w14:textId="77777777" w:rsidTr="65D9A205">
        <w:trPr>
          <w:trHeight w:val="61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1092B3F" w14:textId="4AAD3090"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FF9582B" w14:textId="58B6698B" w:rsidR="65D9A205" w:rsidRDefault="65D9A205" w:rsidP="65D9A205">
            <w:pPr>
              <w:rPr>
                <w:rFonts w:eastAsia="Calibri" w:cs="Calibri"/>
                <w:color w:val="000000"/>
                <w:sz w:val="20"/>
                <w:szCs w:val="20"/>
              </w:rPr>
            </w:pPr>
            <w:r w:rsidRPr="65D9A205">
              <w:rPr>
                <w:rFonts w:eastAsia="Calibri" w:cs="Calibri"/>
                <w:color w:val="000000"/>
                <w:sz w:val="20"/>
                <w:szCs w:val="20"/>
              </w:rPr>
              <w:t>Do you think that it is likely that there will be significant on-budget domestic funding for AMR initiatives in the foreseeable future?  If yes, please give reasons (have the reasons for prior budget decisions  changed?) If no, will funding from international supporters be sufficient?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70C53BF" w14:textId="028948C4" w:rsidR="65D9A205" w:rsidRDefault="65D9A205" w:rsidP="65D9A205">
            <w:pPr>
              <w:rPr>
                <w:rFonts w:eastAsia="Calibri" w:cs="Calibri"/>
                <w:color w:val="000000"/>
                <w:sz w:val="20"/>
                <w:szCs w:val="20"/>
              </w:rPr>
            </w:pPr>
          </w:p>
        </w:tc>
      </w:tr>
      <w:tr w:rsidR="65D9A205" w14:paraId="449DBC11" w14:textId="77777777" w:rsidTr="65D9A205">
        <w:trPr>
          <w:trHeight w:val="181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11EF9B9" w14:textId="3E0FBE4C" w:rsidR="65D9A205" w:rsidRDefault="65D9A205" w:rsidP="65D9A205">
            <w:pPr>
              <w:rPr>
                <w:rFonts w:eastAsia="Calibri" w:cs="Calibri"/>
                <w:color w:val="000000"/>
                <w:sz w:val="20"/>
                <w:szCs w:val="20"/>
              </w:rPr>
            </w:pPr>
            <w:r w:rsidRPr="65D9A205">
              <w:rPr>
                <w:rFonts w:eastAsia="Calibri" w:cs="Calibri"/>
                <w:color w:val="000000"/>
                <w:sz w:val="20"/>
                <w:szCs w:val="20"/>
              </w:rPr>
              <w:t>POLICY 4.2</w:t>
            </w:r>
            <w:r w:rsidRPr="00263CAE">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FB1DFD7" w14:textId="39ACA06A" w:rsidR="65D9A205" w:rsidRDefault="65D9A205" w:rsidP="65D9A205">
            <w:pPr>
              <w:rPr>
                <w:rFonts w:eastAsia="Calibri" w:cs="Calibri"/>
                <w:color w:val="000000"/>
                <w:sz w:val="20"/>
                <w:szCs w:val="20"/>
              </w:rPr>
            </w:pPr>
            <w:r w:rsidRPr="65D9A205">
              <w:rPr>
                <w:rFonts w:eastAsia="Calibri" w:cs="Calibri"/>
                <w:color w:val="000000"/>
                <w:sz w:val="20"/>
                <w:szCs w:val="20"/>
              </w:rPr>
              <w:t>Does AMRCC (or other national body in charge of the country AMR strategy) r</w:t>
            </w:r>
            <w:r w:rsidRPr="65D9A205">
              <w:rPr>
                <w:rFonts w:eastAsia="Calibri" w:cs="Calibri"/>
                <w:b/>
                <w:bCs/>
                <w:color w:val="000000"/>
                <w:sz w:val="20"/>
                <w:szCs w:val="20"/>
              </w:rPr>
              <w:t>eceive AMR data reports generated by surveillance sites at least once a year</w:t>
            </w:r>
            <w:r w:rsidRPr="65D9A205">
              <w:rPr>
                <w:rFonts w:eastAsia="Calibri" w:cs="Calibri"/>
                <w:color w:val="000000"/>
                <w:sz w:val="20"/>
                <w:szCs w:val="20"/>
              </w:rPr>
              <w:t>? Is that an improvement compared to 2018 (i.e. Prior to Fleming Fund activities starting)? PROBE if yes: which organisation(s) assembles and submits these reports? What form do they take, what are they called (descriptive summary or analytical)? Is there good sector representation and national coverage? If yes, do you think that the reports are sufficient to amend national AMR strategy and enable effective AMR decision-making? If no, why not?</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D7F808B" w14:textId="425A8F70" w:rsidR="65D9A205" w:rsidRDefault="65D9A205" w:rsidP="65D9A205">
            <w:pPr>
              <w:rPr>
                <w:rFonts w:eastAsia="Calibri" w:cs="Calibri"/>
                <w:color w:val="000000"/>
                <w:sz w:val="20"/>
                <w:szCs w:val="20"/>
              </w:rPr>
            </w:pPr>
          </w:p>
        </w:tc>
      </w:tr>
      <w:tr w:rsidR="65D9A205" w14:paraId="5489D7F2" w14:textId="77777777" w:rsidTr="65D9A205">
        <w:trPr>
          <w:trHeight w:val="130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32663C7" w14:textId="2D8C093A" w:rsidR="65D9A205" w:rsidRDefault="65D9A205" w:rsidP="65D9A205">
            <w:pPr>
              <w:rPr>
                <w:rFonts w:eastAsia="Calibri" w:cs="Calibri"/>
                <w:color w:val="000000"/>
                <w:sz w:val="20"/>
                <w:szCs w:val="20"/>
              </w:rPr>
            </w:pPr>
            <w:r w:rsidRPr="65D9A205">
              <w:rPr>
                <w:rFonts w:eastAsia="Calibri" w:cs="Calibri"/>
                <w:color w:val="000000"/>
                <w:sz w:val="20"/>
                <w:szCs w:val="20"/>
              </w:rPr>
              <w:t>EQ4</w:t>
            </w:r>
            <w:r w:rsidRPr="00263CAE">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147318C2" w14:textId="792BAE2E" w:rsidR="65D9A205" w:rsidRPr="00263CAE" w:rsidRDefault="65D9A205" w:rsidP="65D9A205">
            <w:pPr>
              <w:rPr>
                <w:rFonts w:eastAsia="Calibri" w:cs="Calibri"/>
                <w:color w:val="000000"/>
                <w:sz w:val="20"/>
                <w:szCs w:val="20"/>
              </w:rPr>
            </w:pPr>
            <w:r w:rsidRPr="00263CAE">
              <w:rPr>
                <w:rFonts w:eastAsia="Calibri" w:cs="Calibri"/>
                <w:sz w:val="20"/>
                <w:szCs w:val="20"/>
              </w:rPr>
              <w:t xml:space="preserve">What were the </w:t>
            </w:r>
            <w:r w:rsidRPr="00263CAE">
              <w:rPr>
                <w:rFonts w:eastAsia="Calibri" w:cs="Calibri"/>
                <w:b/>
                <w:bCs/>
                <w:sz w:val="20"/>
                <w:szCs w:val="20"/>
              </w:rPr>
              <w:t>key change drivers/factors</w:t>
            </w:r>
            <w:r w:rsidRPr="00263CAE">
              <w:rPr>
                <w:rFonts w:eastAsia="Calibri" w:cs="Calibri"/>
                <w:sz w:val="20"/>
                <w:szCs w:val="20"/>
              </w:rPr>
              <w:t xml:space="preserve">, </w:t>
            </w:r>
            <w:r w:rsidRPr="00263CAE">
              <w:rPr>
                <w:rFonts w:eastAsia="Calibri" w:cs="Calibri"/>
                <w:b/>
                <w:bCs/>
                <w:sz w:val="20"/>
                <w:szCs w:val="20"/>
              </w:rPr>
              <w:t>in order of importance</w:t>
            </w:r>
            <w:r w:rsidRPr="00263CAE">
              <w:rPr>
                <w:rFonts w:eastAsia="Calibri" w:cs="Calibri"/>
                <w:sz w:val="20"/>
                <w:szCs w:val="20"/>
              </w:rPr>
              <w:t>, behind such change? Probes: more and better data available from the surveillance system (in which case refer to QUANT &amp; QUAL contribution stories), data sharing processes and systems, resourcing, incentives, formal barriers, cooperation, governance, leadership demand, analytical entrepreneurs / champions, other</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691201CF" w14:textId="38D83240" w:rsidR="65D9A205" w:rsidRDefault="65D9A205" w:rsidP="65D9A205">
            <w:pPr>
              <w:rPr>
                <w:rFonts w:eastAsia="Calibri" w:cs="Calibri"/>
                <w:color w:val="000000"/>
                <w:sz w:val="20"/>
                <w:szCs w:val="20"/>
              </w:rPr>
            </w:pPr>
          </w:p>
        </w:tc>
      </w:tr>
      <w:tr w:rsidR="65D9A205" w14:paraId="618A30E3" w14:textId="77777777" w:rsidTr="65D9A205">
        <w:trPr>
          <w:trHeight w:val="126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FBBC652" w14:textId="367C8705" w:rsidR="65D9A205" w:rsidRDefault="65D9A205" w:rsidP="65D9A205">
            <w:pPr>
              <w:rPr>
                <w:rFonts w:eastAsia="Calibri" w:cs="Calibri"/>
                <w:color w:val="000000"/>
                <w:sz w:val="20"/>
                <w:szCs w:val="20"/>
              </w:rPr>
            </w:pPr>
            <w:r w:rsidRPr="65D9A205">
              <w:rPr>
                <w:rFonts w:eastAsia="Calibri" w:cs="Calibri"/>
                <w:color w:val="000000"/>
                <w:sz w:val="20"/>
                <w:szCs w:val="20"/>
              </w:rPr>
              <w:t>EQ4</w:t>
            </w:r>
            <w:r w:rsidRPr="00263CAE">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4FA033D9" w14:textId="7B462B64"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 to those drivers</w:t>
            </w:r>
            <w:r w:rsidRPr="65D9A205">
              <w:rPr>
                <w:rFonts w:eastAsia="Calibri" w:cs="Calibri"/>
                <w:color w:val="000000"/>
                <w:sz w:val="20"/>
                <w:szCs w:val="20"/>
              </w:rPr>
              <w:t>?</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16580EEF" w14:textId="2B8356F5" w:rsidR="65D9A205" w:rsidRDefault="65D9A205" w:rsidP="65D9A205">
            <w:pPr>
              <w:rPr>
                <w:rFonts w:eastAsia="Calibri" w:cs="Calibri"/>
                <w:color w:val="000000"/>
                <w:sz w:val="20"/>
                <w:szCs w:val="20"/>
              </w:rPr>
            </w:pPr>
          </w:p>
        </w:tc>
      </w:tr>
      <w:tr w:rsidR="65D9A205" w14:paraId="04143663" w14:textId="77777777" w:rsidTr="65D9A205">
        <w:trPr>
          <w:trHeight w:val="12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74BA443" w14:textId="78D60945" w:rsidR="65D9A205" w:rsidRDefault="65D9A205" w:rsidP="65D9A205">
            <w:pPr>
              <w:rPr>
                <w:rFonts w:eastAsia="Calibri" w:cs="Calibri"/>
                <w:color w:val="000000"/>
                <w:sz w:val="20"/>
                <w:szCs w:val="20"/>
              </w:rPr>
            </w:pPr>
            <w:r w:rsidRPr="65D9A205">
              <w:rPr>
                <w:rFonts w:eastAsia="Calibri" w:cs="Calibri"/>
                <w:color w:val="000000"/>
                <w:sz w:val="20"/>
                <w:szCs w:val="20"/>
              </w:rPr>
              <w:t>EQ4</w:t>
            </w:r>
            <w:r w:rsidRPr="00263CAE">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667CC07D" w14:textId="1398BACC"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 xml:space="preserve">no or negative change </w:t>
            </w:r>
            <w:r w:rsidRPr="65D9A205">
              <w:rPr>
                <w:rFonts w:eastAsia="Calibri" w:cs="Calibri"/>
                <w:color w:val="000000"/>
                <w:sz w:val="20"/>
                <w:szCs w:val="20"/>
              </w:rPr>
              <w:t xml:space="preserve">in this area, </w:t>
            </w:r>
            <w:r w:rsidRPr="65D9A205">
              <w:rPr>
                <w:rFonts w:eastAsia="Calibri" w:cs="Calibri"/>
                <w:b/>
                <w:bCs/>
                <w:color w:val="000000"/>
                <w:sz w:val="20"/>
                <w:szCs w:val="20"/>
              </w:rPr>
              <w:t>why</w:t>
            </w:r>
            <w:r w:rsidRPr="65D9A205">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094F7119" w14:textId="43166111" w:rsidR="65D9A205" w:rsidRDefault="65D9A205" w:rsidP="65D9A205">
            <w:pPr>
              <w:rPr>
                <w:rFonts w:eastAsia="Calibri" w:cs="Calibri"/>
                <w:color w:val="000000"/>
                <w:sz w:val="20"/>
                <w:szCs w:val="20"/>
              </w:rPr>
            </w:pPr>
          </w:p>
        </w:tc>
      </w:tr>
      <w:tr w:rsidR="65D9A205" w14:paraId="3F7A79B6" w14:textId="77777777" w:rsidTr="65D9A205">
        <w:trPr>
          <w:trHeight w:val="139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01BEDD2" w14:textId="2B4FC62F"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588A518B" w14:textId="71A65313" w:rsidR="65D9A205" w:rsidRPr="00263CAE" w:rsidRDefault="65D9A205" w:rsidP="65D9A205">
            <w:pPr>
              <w:spacing w:line="259" w:lineRule="auto"/>
              <w:rPr>
                <w:rFonts w:eastAsia="Calibri" w:cs="Calibri"/>
                <w:sz w:val="20"/>
                <w:szCs w:val="20"/>
              </w:rPr>
            </w:pPr>
            <w:r w:rsidRPr="00263CAE">
              <w:rPr>
                <w:rFonts w:eastAsia="Calibri" w:cs="Calibri"/>
                <w:sz w:val="20"/>
                <w:szCs w:val="20"/>
              </w:rPr>
              <w:t>Can you think of any other examples of relevant surveillance data being used to amend national strategy and/or inform decision-making’, apart from through data reports shared with AMRCC?</w:t>
            </w:r>
          </w:p>
          <w:p w14:paraId="7D4A5A6C" w14:textId="4D348F5E" w:rsidR="65D9A205" w:rsidRPr="00263CAE" w:rsidRDefault="65D9A205" w:rsidP="65D9A205">
            <w:pPr>
              <w:spacing w:line="259" w:lineRule="auto"/>
              <w:rPr>
                <w:rFonts w:eastAsia="Calibri" w:cs="Calibri"/>
                <w:sz w:val="20"/>
                <w:szCs w:val="20"/>
              </w:rPr>
            </w:pPr>
            <w:r w:rsidRPr="00263CAE">
              <w:rPr>
                <w:rFonts w:eastAsia="Calibri" w:cs="Calibri"/>
                <w:strike/>
                <w:sz w:val="20"/>
                <w:szCs w:val="20"/>
              </w:rPr>
              <w:t xml:space="preserve"> </w:t>
            </w:r>
          </w:p>
          <w:p w14:paraId="5DFDE3BE" w14:textId="08E096BF" w:rsidR="65D9A205" w:rsidRDefault="65D9A205" w:rsidP="00B02AA9">
            <w:pPr>
              <w:spacing w:line="259" w:lineRule="auto"/>
              <w:rPr>
                <w:rFonts w:eastAsia="Calibri" w:cs="Calibri"/>
                <w:color w:val="000000"/>
                <w:sz w:val="20"/>
                <w:szCs w:val="20"/>
              </w:rPr>
            </w:pPr>
            <w:r w:rsidRPr="00263CAE">
              <w:rPr>
                <w:rFonts w:eastAsia="Calibri" w:cs="Calibri"/>
                <w:sz w:val="20"/>
                <w:szCs w:val="20"/>
              </w:rPr>
              <w:t>If yes: Details? What data, in what form? Who are the decision-makers? One-off or routine? Current status?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D68634E" w14:textId="063B309D" w:rsidR="65D9A205" w:rsidRDefault="65D9A205" w:rsidP="65D9A205">
            <w:pPr>
              <w:rPr>
                <w:rFonts w:eastAsia="Calibri" w:cs="Calibri"/>
                <w:color w:val="000000"/>
                <w:sz w:val="20"/>
                <w:szCs w:val="20"/>
              </w:rPr>
            </w:pPr>
          </w:p>
        </w:tc>
      </w:tr>
      <w:tr w:rsidR="65D9A205" w14:paraId="7C68408E"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86139DF" w14:textId="41FD8B16"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65FA8EAC" w14:textId="00AB51D8" w:rsidR="65D9A205" w:rsidRDefault="65D9A205" w:rsidP="65D9A205">
            <w:pPr>
              <w:rPr>
                <w:rFonts w:eastAsia="Calibri" w:cs="Calibri"/>
                <w:color w:val="000000"/>
                <w:sz w:val="20"/>
                <w:szCs w:val="20"/>
              </w:rPr>
            </w:pPr>
            <w:r w:rsidRPr="65D9A205">
              <w:rPr>
                <w:rFonts w:eastAsia="Calibri" w:cs="Calibri"/>
                <w:color w:val="000000"/>
                <w:sz w:val="20"/>
                <w:szCs w:val="20"/>
              </w:rPr>
              <w:t>We understand the AMRCC is expected to facilitate sharing and joint analysis of AMR data across different sectors. What is the nature of cross-sector collaborations being convened by the AMRCC? Which are the key institutions involved from different ministries? What is the nature of their involvement? In addition to facilitating AMR data use, what have been some of the other achievements of the AMRCC in your country?</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D0A54BC" w14:textId="38080927" w:rsidR="65D9A205" w:rsidRDefault="65D9A205" w:rsidP="65D9A205">
            <w:pPr>
              <w:rPr>
                <w:rFonts w:eastAsia="Calibri" w:cs="Calibri"/>
                <w:color w:val="000000"/>
                <w:sz w:val="20"/>
                <w:szCs w:val="20"/>
              </w:rPr>
            </w:pPr>
          </w:p>
        </w:tc>
      </w:tr>
      <w:tr w:rsidR="65D9A205" w14:paraId="2AA8A4D4" w14:textId="77777777" w:rsidTr="65D9A205">
        <w:trPr>
          <w:trHeight w:val="234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DFC1A44" w14:textId="1C8DD587"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99CE4F3" w14:textId="0F0F8A5E" w:rsidR="65D9A205" w:rsidRDefault="65D9A205" w:rsidP="65D9A205">
            <w:pPr>
              <w:rPr>
                <w:rFonts w:eastAsia="Calibri" w:cs="Calibri"/>
                <w:color w:val="000000"/>
                <w:sz w:val="20"/>
                <w:szCs w:val="20"/>
              </w:rPr>
            </w:pPr>
            <w:r w:rsidRPr="65D9A205">
              <w:rPr>
                <w:rFonts w:eastAsia="Calibri" w:cs="Calibri"/>
                <w:color w:val="000000"/>
                <w:sz w:val="20"/>
                <w:szCs w:val="20"/>
              </w:rPr>
              <w:t>What are some of the other multisector coordination mechanisms in place to make decisions around AMR at the national and subnational levels? Are there any bodies or platforms or events where people from different sector meet outside the government? (e.g. seminars, AMR awareness week, etc.)  Can you recall some examples of collaborations between different sectors in the past, even if these do not specifically revolve around AMR?  Probe joint research activities; Training programmes, fellowships, including Fleming Fellows; Joint outbreak response activities, such as Avian Influenza, Ebola, etc.</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FA6DD2C" w14:textId="50EFD24E" w:rsidR="65D9A205" w:rsidRDefault="65D9A205" w:rsidP="65D9A205">
            <w:pPr>
              <w:rPr>
                <w:rFonts w:eastAsia="Calibri" w:cs="Calibri"/>
                <w:color w:val="000000"/>
                <w:sz w:val="20"/>
                <w:szCs w:val="20"/>
              </w:rPr>
            </w:pPr>
          </w:p>
        </w:tc>
      </w:tr>
      <w:tr w:rsidR="65D9A205" w14:paraId="396D98DF" w14:textId="77777777" w:rsidTr="65D9A205">
        <w:trPr>
          <w:trHeight w:val="259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1FDA448" w14:textId="3C71FF07"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43A53BF" w14:textId="50E0350B"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Where are these (formal and informal) coordination mechanisms located? Are these hosted by a ministry, government agency, academic body, think tank? (Probe for each of the collaborating mechanisms identified above, if possible): </w:t>
            </w:r>
            <w:r>
              <w:br/>
            </w:r>
            <w:r w:rsidRPr="65D9A205">
              <w:rPr>
                <w:rFonts w:eastAsia="Calibri" w:cs="Calibri"/>
                <w:color w:val="000000"/>
                <w:sz w:val="20"/>
                <w:szCs w:val="20"/>
              </w:rPr>
              <w:t>o Who chairs / leads the discussion?</w:t>
            </w:r>
            <w:r>
              <w:br/>
            </w:r>
            <w:r w:rsidRPr="65D9A205">
              <w:rPr>
                <w:rFonts w:eastAsia="Calibri" w:cs="Calibri"/>
                <w:color w:val="000000"/>
                <w:sz w:val="20"/>
                <w:szCs w:val="20"/>
              </w:rPr>
              <w:t xml:space="preserve">o Who sets the agenda? </w:t>
            </w:r>
            <w:r>
              <w:br/>
            </w:r>
            <w:r w:rsidRPr="65D9A205">
              <w:rPr>
                <w:rFonts w:eastAsia="Calibri" w:cs="Calibri"/>
                <w:color w:val="000000"/>
                <w:sz w:val="20"/>
                <w:szCs w:val="20"/>
              </w:rPr>
              <w:t>o What are its major functions/mandates?</w:t>
            </w:r>
            <w:r>
              <w:br/>
            </w:r>
            <w:r w:rsidRPr="65D9A205">
              <w:rPr>
                <w:rFonts w:eastAsia="Calibri" w:cs="Calibri"/>
                <w:color w:val="000000"/>
                <w:sz w:val="20"/>
                <w:szCs w:val="20"/>
              </w:rPr>
              <w:t>o How is it funded?</w:t>
            </w:r>
            <w:r>
              <w:br/>
            </w:r>
            <w:r w:rsidRPr="65D9A205">
              <w:rPr>
                <w:rFonts w:eastAsia="Calibri" w:cs="Calibri"/>
                <w:color w:val="000000"/>
                <w:sz w:val="20"/>
                <w:szCs w:val="20"/>
              </w:rPr>
              <w:t>o Can you describe any achievements / outcomes from these interactions?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9623B5D" w14:textId="6D754A16" w:rsidR="65D9A205" w:rsidRDefault="65D9A205" w:rsidP="65D9A205">
            <w:pPr>
              <w:rPr>
                <w:rFonts w:eastAsia="Calibri" w:cs="Calibri"/>
                <w:color w:val="000000"/>
                <w:sz w:val="20"/>
                <w:szCs w:val="20"/>
              </w:rPr>
            </w:pPr>
          </w:p>
        </w:tc>
      </w:tr>
      <w:tr w:rsidR="65D9A205" w14:paraId="38AB7557" w14:textId="77777777" w:rsidTr="65D9A205">
        <w:trPr>
          <w:trHeight w:val="261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22CDC24" w14:textId="3ABEAFCC"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88BDE91" w14:textId="41247643" w:rsidR="65D9A205" w:rsidRDefault="65D9A205" w:rsidP="65D9A205">
            <w:pPr>
              <w:rPr>
                <w:rFonts w:eastAsia="Calibri" w:cs="Calibri"/>
                <w:color w:val="000000"/>
                <w:sz w:val="20"/>
                <w:szCs w:val="20"/>
              </w:rPr>
            </w:pPr>
            <w:r w:rsidRPr="65D9A205">
              <w:rPr>
                <w:rFonts w:eastAsia="Calibri" w:cs="Calibri"/>
                <w:color w:val="000000"/>
                <w:sz w:val="20"/>
                <w:szCs w:val="20"/>
              </w:rPr>
              <w:t>Would you say that the national AMR effort includes a clear and effective strategy for informing specific national actions using surveillance data?o eg as opposed to international reporting or local clinical practice</w:t>
            </w:r>
            <w:r>
              <w:br/>
            </w:r>
            <w:r w:rsidRPr="65D9A205">
              <w:rPr>
                <w:rFonts w:eastAsia="Calibri" w:cs="Calibri"/>
                <w:color w:val="000000"/>
                <w:sz w:val="20"/>
                <w:szCs w:val="20"/>
              </w:rPr>
              <w:t>o If yes, how? What policy initiatives? What regulatory initiatives? What approach has been chosen to address practices and attitudes? (What approaches have been discarded?)</w:t>
            </w:r>
            <w:r>
              <w:br/>
            </w:r>
            <w:r w:rsidRPr="65D9A205">
              <w:rPr>
                <w:rFonts w:eastAsia="Calibri" w:cs="Calibri"/>
                <w:color w:val="000000"/>
                <w:sz w:val="20"/>
                <w:szCs w:val="20"/>
              </w:rPr>
              <w:t>o PROBE: are sectoral distinctions important, for example policy for gradual development of guidelines in human health but focused push to regulate certain antimicrobial uses in animal health?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5800CD7" w14:textId="29331699" w:rsidR="65D9A205" w:rsidRDefault="65D9A205" w:rsidP="65D9A205">
            <w:pPr>
              <w:rPr>
                <w:rFonts w:eastAsia="Calibri" w:cs="Calibri"/>
                <w:color w:val="000000"/>
                <w:sz w:val="20"/>
                <w:szCs w:val="20"/>
              </w:rPr>
            </w:pPr>
          </w:p>
        </w:tc>
      </w:tr>
      <w:tr w:rsidR="65D9A205" w14:paraId="52E06DA6" w14:textId="77777777" w:rsidTr="65D9A205">
        <w:trPr>
          <w:trHeight w:val="286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12F6EA09" w14:textId="0D34A745"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8FBC191" w14:textId="310FE8BB"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do you think should be the future priorities for the Fleming Fund when supporting national AMR actions using surveillance data? PROBES: </w:t>
            </w:r>
            <w:r>
              <w:br/>
            </w:r>
            <w:r w:rsidRPr="65D9A205">
              <w:rPr>
                <w:rFonts w:eastAsia="Calibri" w:cs="Calibri"/>
                <w:color w:val="000000"/>
                <w:sz w:val="20"/>
                <w:szCs w:val="20"/>
              </w:rPr>
              <w:t>o Do you think that it will be more effective to foster local change (‘bottom up’) or to concentrate on motivating national initiatives (‘top down’)</w:t>
            </w:r>
            <w:r>
              <w:br/>
            </w:r>
            <w:r w:rsidRPr="65D9A205">
              <w:rPr>
                <w:rFonts w:eastAsia="Calibri" w:cs="Calibri"/>
                <w:color w:val="000000"/>
                <w:sz w:val="20"/>
                <w:szCs w:val="20"/>
              </w:rPr>
              <w:t>o Will the data show a need for action (‘push’) or will intended actions show what data is needed (‘pull’)?</w:t>
            </w:r>
            <w:r>
              <w:br/>
            </w:r>
            <w:r w:rsidRPr="65D9A205">
              <w:rPr>
                <w:rFonts w:eastAsia="Calibri" w:cs="Calibri"/>
                <w:color w:val="000000"/>
                <w:sz w:val="20"/>
                <w:szCs w:val="20"/>
              </w:rPr>
              <w:t>o What is more important, Infection Prevention &amp; Control (IPC) or Antimicrobial Use controls (AMU)?</w:t>
            </w:r>
            <w:r>
              <w:br/>
            </w:r>
            <w:r w:rsidRPr="65D9A205">
              <w:rPr>
                <w:rFonts w:eastAsia="Calibri" w:cs="Calibri"/>
                <w:color w:val="000000"/>
                <w:sz w:val="20"/>
                <w:szCs w:val="20"/>
              </w:rPr>
              <w:t>o Why? What approaches would be required to address these priorities?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1FF373A" w14:textId="38C8206E" w:rsidR="65D9A205" w:rsidRDefault="65D9A205" w:rsidP="65D9A205">
            <w:pPr>
              <w:rPr>
                <w:rFonts w:eastAsia="Calibri" w:cs="Calibri"/>
                <w:color w:val="000000"/>
                <w:sz w:val="20"/>
                <w:szCs w:val="20"/>
              </w:rPr>
            </w:pPr>
          </w:p>
        </w:tc>
      </w:tr>
    </w:tbl>
    <w:p w14:paraId="7CADF81D" w14:textId="030EBDB3" w:rsidR="65D9A205" w:rsidRDefault="65D9A205">
      <w:r>
        <w:br w:type="page"/>
      </w:r>
    </w:p>
    <w:p w14:paraId="7E570C55" w14:textId="12DEF3D0" w:rsidR="4CE1AD5B" w:rsidRDefault="4CE1AD5B" w:rsidP="365D9676">
      <w:pPr>
        <w:pStyle w:val="ItadH3"/>
        <w:keepNext/>
        <w:spacing w:line="259" w:lineRule="auto"/>
      </w:pPr>
      <w:bookmarkStart w:id="469" w:name="_Toc142383253"/>
      <w:r w:rsidRPr="65D9A205">
        <w:rPr>
          <w:lang w:val="en-GB"/>
        </w:rPr>
        <w:t>KII Guide for HH Fellows</w:t>
      </w:r>
      <w:bookmarkEnd w:id="469"/>
    </w:p>
    <w:p w14:paraId="4ECD16A8" w14:textId="1A9C76A0" w:rsidR="6A8B2BFC" w:rsidRDefault="6A8B2BFC" w:rsidP="65D9A205">
      <w:pPr>
        <w:widowControl w:val="0"/>
        <w:spacing w:after="160" w:line="259" w:lineRule="auto"/>
        <w:jc w:val="both"/>
        <w:rPr>
          <w:rFonts w:ascii="Calibri Light" w:eastAsia="Calibri Light" w:hAnsi="Calibri Light" w:cs="Calibri Light"/>
          <w:color w:val="2F5496"/>
          <w:sz w:val="26"/>
          <w:szCs w:val="26"/>
        </w:rPr>
      </w:pPr>
      <w:r w:rsidRPr="65D9A205">
        <w:rPr>
          <w:rFonts w:ascii="Calibri Light" w:eastAsia="Calibri Light" w:hAnsi="Calibri Light" w:cs="Calibri Light"/>
          <w:color w:val="2F5496"/>
          <w:sz w:val="26"/>
          <w:szCs w:val="26"/>
          <w:lang w:val="de-DE"/>
        </w:rPr>
        <w:t>HH AMR FP</w:t>
      </w:r>
    </w:p>
    <w:p w14:paraId="5667C1DA" w14:textId="0CA2FBF4" w:rsidR="6A8B2BFC" w:rsidRDefault="6A8B2BFC" w:rsidP="65D9A205">
      <w:pPr>
        <w:widowControl w:val="0"/>
        <w:spacing w:after="160" w:line="259" w:lineRule="auto"/>
        <w:jc w:val="both"/>
        <w:rPr>
          <w:rFonts w:eastAsia="Calibri" w:cs="Calibri"/>
          <w:color w:val="000000"/>
        </w:rPr>
      </w:pPr>
      <w:r w:rsidRPr="65D9A205">
        <w:rPr>
          <w:rFonts w:eastAsia="Calibri" w:cs="Calibri"/>
          <w:b/>
          <w:bCs/>
          <w:color w:val="000000"/>
          <w:lang w:val="de-DE"/>
        </w:rPr>
        <w:t>KII name:</w:t>
      </w:r>
    </w:p>
    <w:p w14:paraId="583505A2" w14:textId="7CA56EC8" w:rsidR="6A8B2BFC" w:rsidRDefault="6A8B2BFC" w:rsidP="65D9A205">
      <w:pPr>
        <w:widowControl w:val="0"/>
        <w:spacing w:after="160" w:line="259" w:lineRule="auto"/>
        <w:jc w:val="both"/>
        <w:rPr>
          <w:rFonts w:eastAsia="Calibri" w:cs="Calibri"/>
          <w:color w:val="000000"/>
        </w:rPr>
      </w:pPr>
      <w:r w:rsidRPr="65D9A205">
        <w:rPr>
          <w:rFonts w:eastAsia="Calibri" w:cs="Calibri"/>
          <w:b/>
          <w:bCs/>
          <w:color w:val="000000"/>
        </w:rPr>
        <w:t>KII date:</w:t>
      </w:r>
    </w:p>
    <w:p w14:paraId="5FF5F552" w14:textId="46205498" w:rsidR="6A8B2BFC" w:rsidRDefault="6A8B2BFC" w:rsidP="65D9A205">
      <w:pPr>
        <w:widowControl w:val="0"/>
        <w:spacing w:after="160" w:line="259" w:lineRule="auto"/>
        <w:jc w:val="both"/>
        <w:rPr>
          <w:rFonts w:eastAsia="Calibri" w:cs="Calibri"/>
          <w:color w:val="000000"/>
        </w:rPr>
      </w:pPr>
      <w:r w:rsidRPr="65D9A205">
        <w:rPr>
          <w:rFonts w:eastAsia="Calibri" w:cs="Calibri"/>
          <w:b/>
          <w:bCs/>
          <w:color w:val="000000"/>
        </w:rPr>
        <w:t>KII interviewer(s):</w:t>
      </w:r>
    </w:p>
    <w:p w14:paraId="5640FC84" w14:textId="005980DE" w:rsidR="6A8B2BFC" w:rsidRPr="001B7050" w:rsidRDefault="6A8B2BFC" w:rsidP="65D9A205">
      <w:pPr>
        <w:spacing w:after="160" w:line="259" w:lineRule="auto"/>
        <w:rPr>
          <w:rFonts w:eastAsia="Calibri" w:cs="Calibri"/>
          <w:color w:val="000000"/>
        </w:rPr>
      </w:pPr>
      <w:r w:rsidRPr="001B7050">
        <w:rPr>
          <w:rFonts w:eastAsia="Calibri" w:cs="Calibri"/>
          <w:b/>
          <w:bCs/>
          <w:color w:val="000000"/>
        </w:rPr>
        <w:t>Introduction</w:t>
      </w:r>
      <w:r w:rsidRPr="001B7050">
        <w:rPr>
          <w:rFonts w:eastAsia="Calibri" w:cs="Calibri"/>
          <w:color w:val="000000"/>
        </w:rPr>
        <w:t xml:space="preserve"> – please adapt and summarise according to the stakeholder / her knowledge of the evaluation etc </w:t>
      </w:r>
      <w:r w:rsidRPr="001B7050">
        <w:rPr>
          <w:rFonts w:ascii="Times New Roman" w:eastAsia="Times New Roman" w:hAnsi="Times New Roman" w:cs="Times New Roman"/>
          <w:color w:val="000000"/>
          <w:sz w:val="24"/>
          <w:szCs w:val="24"/>
        </w:rPr>
        <w:t>–</w:t>
      </w:r>
      <w:r w:rsidRPr="001B7050">
        <w:rPr>
          <w:rFonts w:eastAsia="Calibri" w:cs="Calibri"/>
          <w:color w:val="000000"/>
        </w:rPr>
        <w:t xml:space="preserve"> aim to get this intro as short as possible.</w:t>
      </w:r>
    </w:p>
    <w:p w14:paraId="69B84F51" w14:textId="7B7A87AD" w:rsidR="6A8B2BFC" w:rsidRPr="001B7050" w:rsidRDefault="6A8B2BFC" w:rsidP="65D9A205">
      <w:pPr>
        <w:spacing w:line="259" w:lineRule="auto"/>
        <w:rPr>
          <w:rFonts w:eastAsia="Calibri" w:cs="Calibri"/>
          <w:color w:val="000000"/>
        </w:rPr>
      </w:pPr>
      <w:r w:rsidRPr="001B7050">
        <w:rPr>
          <w:rFonts w:eastAsia="Calibri" w:cs="Calibri"/>
          <w:color w:val="000000"/>
        </w:rPr>
        <w:t xml:space="preserve"> • </w:t>
      </w:r>
      <w:r w:rsidRPr="001B7050">
        <w:rPr>
          <w:rFonts w:eastAsia="Calibri" w:cs="Calibri"/>
          <w:b/>
          <w:bCs/>
          <w:color w:val="000000"/>
        </w:rPr>
        <w:t>Thank you</w:t>
      </w:r>
      <w:r w:rsidRPr="001B7050">
        <w:rPr>
          <w:rFonts w:eastAsia="Calibri" w:cs="Calibri"/>
          <w:color w:val="000000"/>
        </w:rPr>
        <w:t xml:space="preserve"> – Thank you the interviewee for having accepted the meeting and for their time today. </w:t>
      </w:r>
    </w:p>
    <w:p w14:paraId="0F790F59" w14:textId="7DAE8BF3" w:rsidR="6A8B2BFC" w:rsidRPr="001B7050" w:rsidRDefault="6A8B2BFC"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Introductions</w:t>
      </w:r>
      <w:r w:rsidRPr="001B7050">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11344A6E" w14:textId="602FE249" w:rsidR="6A8B2BFC" w:rsidRPr="001B7050" w:rsidRDefault="6A8B2BFC" w:rsidP="65D9A205">
      <w:pPr>
        <w:spacing w:line="259" w:lineRule="auto"/>
        <w:rPr>
          <w:rFonts w:eastAsia="Calibri" w:cs="Calibri"/>
          <w:color w:val="000000"/>
        </w:rPr>
      </w:pPr>
      <w:r w:rsidRPr="001B7050">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61D88201" w14:textId="3F1BF374" w:rsidR="6A8B2BFC" w:rsidRPr="001B7050" w:rsidRDefault="6A8B2BFC" w:rsidP="65D9A205">
      <w:pPr>
        <w:spacing w:line="259" w:lineRule="auto"/>
        <w:rPr>
          <w:rFonts w:eastAsia="Calibri" w:cs="Calibri"/>
          <w:color w:val="000000"/>
        </w:rPr>
      </w:pPr>
      <w:r w:rsidRPr="001B7050">
        <w:rPr>
          <w:rFonts w:eastAsia="Calibri" w:cs="Calibri"/>
          <w:color w:val="000000"/>
        </w:rPr>
        <w:t xml:space="preserve">[Let others introduce themselves or tell them there will be a chance after you have explained the purpose of the interview] </w:t>
      </w:r>
    </w:p>
    <w:p w14:paraId="2257E358" w14:textId="10B7539C" w:rsidR="6A8B2BFC" w:rsidRPr="001B7050" w:rsidRDefault="6A8B2BFC" w:rsidP="65D9A205">
      <w:pPr>
        <w:spacing w:line="259" w:lineRule="auto"/>
        <w:rPr>
          <w:rFonts w:eastAsia="Calibri" w:cs="Calibri"/>
          <w:color w:val="000000"/>
        </w:rPr>
      </w:pPr>
      <w:r w:rsidRPr="001B7050">
        <w:rPr>
          <w:rFonts w:eastAsia="Calibri" w:cs="Calibri"/>
          <w:color w:val="000000"/>
        </w:rPr>
        <w:t xml:space="preserve">[Acknowledge whether we have already interviewed the stakeholder during CV1/2]  </w:t>
      </w:r>
    </w:p>
    <w:p w14:paraId="1A720C9D" w14:textId="411029C0" w:rsidR="6A8B2BFC" w:rsidRPr="001B7050" w:rsidRDefault="6A8B2BFC" w:rsidP="65D9A205">
      <w:pPr>
        <w:spacing w:line="259" w:lineRule="auto"/>
        <w:rPr>
          <w:rFonts w:eastAsia="Calibri" w:cs="Calibri"/>
          <w:color w:val="000000"/>
        </w:rPr>
      </w:pPr>
      <w:r w:rsidRPr="001B7050">
        <w:rPr>
          <w:rFonts w:eastAsia="Calibri" w:cs="Calibri"/>
          <w:color w:val="000000"/>
        </w:rPr>
        <w:t xml:space="preserve"> </w:t>
      </w:r>
    </w:p>
    <w:p w14:paraId="6C5340D3" w14:textId="74001C44" w:rsidR="6A8B2BFC" w:rsidRPr="001B7050" w:rsidRDefault="6A8B2BFC"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Purpose</w:t>
      </w:r>
      <w:r w:rsidRPr="001B7050">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13FC42FE" w14:textId="13C16010" w:rsidR="6A8B2BFC" w:rsidRPr="001B7050" w:rsidRDefault="6A8B2BFC"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 xml:space="preserve">Focus </w:t>
      </w:r>
      <w:r w:rsidRPr="001B7050">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5FA4D7C3" w14:textId="18B125F1" w:rsidR="6A8B2BFC" w:rsidRPr="001B7050" w:rsidRDefault="6A8B2BFC" w:rsidP="00C6374D">
      <w:pPr>
        <w:pStyle w:val="ListParagraph"/>
        <w:numPr>
          <w:ilvl w:val="0"/>
          <w:numId w:val="10"/>
        </w:numPr>
        <w:spacing w:line="259" w:lineRule="auto"/>
        <w:rPr>
          <w:rFonts w:eastAsia="Calibri" w:cs="Calibri"/>
          <w:color w:val="000000"/>
        </w:rPr>
      </w:pPr>
      <w:r w:rsidRPr="001B7050">
        <w:rPr>
          <w:rFonts w:eastAsia="Calibri" w:cs="Calibri"/>
          <w:color w:val="000000"/>
        </w:rPr>
        <w:t xml:space="preserve">More and better AMR/C/U data produced and shared at country level  </w:t>
      </w:r>
    </w:p>
    <w:p w14:paraId="37454390" w14:textId="49D9FB42" w:rsidR="6A8B2BFC" w:rsidRPr="001B7050" w:rsidRDefault="6A8B2BFC" w:rsidP="00C6374D">
      <w:pPr>
        <w:pStyle w:val="ListParagraph"/>
        <w:numPr>
          <w:ilvl w:val="0"/>
          <w:numId w:val="10"/>
        </w:numPr>
        <w:spacing w:line="259" w:lineRule="auto"/>
        <w:rPr>
          <w:rFonts w:eastAsia="Calibri" w:cs="Calibri"/>
          <w:color w:val="000000"/>
        </w:rPr>
      </w:pPr>
      <w:r w:rsidRPr="001B7050">
        <w:rPr>
          <w:rFonts w:eastAsia="Calibri" w:cs="Calibri"/>
          <w:color w:val="000000"/>
        </w:rPr>
        <w:t xml:space="preserve">More and better AMR/C/U data shared internationally (with GLASS/OIE) </w:t>
      </w:r>
    </w:p>
    <w:p w14:paraId="76AC3FF0" w14:textId="345974B5" w:rsidR="6A8B2BFC" w:rsidRPr="001B7050" w:rsidRDefault="6A8B2BFC" w:rsidP="00C6374D">
      <w:pPr>
        <w:pStyle w:val="ListParagraph"/>
        <w:numPr>
          <w:ilvl w:val="0"/>
          <w:numId w:val="10"/>
        </w:numPr>
        <w:spacing w:line="259" w:lineRule="auto"/>
        <w:rPr>
          <w:rFonts w:eastAsia="Calibri" w:cs="Calibri"/>
          <w:color w:val="000000"/>
        </w:rPr>
      </w:pPr>
      <w:r w:rsidRPr="001B7050">
        <w:rPr>
          <w:rFonts w:eastAsia="Calibri" w:cs="Calibri"/>
          <w:color w:val="000000"/>
        </w:rPr>
        <w:t xml:space="preserve">Regulatory and policy change that can have an impact in reducing AMR </w:t>
      </w:r>
    </w:p>
    <w:p w14:paraId="01079536" w14:textId="005E8862" w:rsidR="6A8B2BFC" w:rsidRPr="001B7050" w:rsidRDefault="6A8B2BFC" w:rsidP="00C6374D">
      <w:pPr>
        <w:pStyle w:val="ListParagraph"/>
        <w:numPr>
          <w:ilvl w:val="0"/>
          <w:numId w:val="10"/>
        </w:numPr>
        <w:spacing w:line="259" w:lineRule="auto"/>
        <w:rPr>
          <w:rFonts w:eastAsia="Calibri" w:cs="Calibri"/>
          <w:color w:val="000000"/>
        </w:rPr>
      </w:pPr>
      <w:r w:rsidRPr="001B7050">
        <w:rPr>
          <w:rFonts w:eastAsia="Calibri" w:cs="Calibri"/>
          <w:color w:val="000000"/>
        </w:rPr>
        <w:t xml:space="preserve">Changes in practice / attitude towards the use of antimicrobials.  </w:t>
      </w:r>
    </w:p>
    <w:p w14:paraId="54CE165D" w14:textId="1365DE12" w:rsidR="6A8B2BFC" w:rsidRPr="001B7050" w:rsidRDefault="6A8B2BFC" w:rsidP="65D9A205">
      <w:pPr>
        <w:spacing w:line="259" w:lineRule="auto"/>
        <w:rPr>
          <w:rFonts w:eastAsia="Calibri" w:cs="Calibri"/>
          <w:color w:val="000000"/>
        </w:rPr>
      </w:pPr>
      <w:r w:rsidRPr="001B7050">
        <w:rPr>
          <w:rFonts w:eastAsia="Calibri" w:cs="Calibri"/>
          <w:color w:val="000000"/>
        </w:rPr>
        <w:t xml:space="preserve"> </w:t>
      </w:r>
    </w:p>
    <w:p w14:paraId="06169298" w14:textId="15C6A3EB" w:rsidR="6A8B2BFC" w:rsidRPr="001B7050" w:rsidRDefault="6A8B2BFC" w:rsidP="65D9A205">
      <w:pPr>
        <w:spacing w:line="259" w:lineRule="auto"/>
        <w:rPr>
          <w:rFonts w:eastAsia="Calibri" w:cs="Calibri"/>
          <w:color w:val="000000"/>
        </w:rPr>
      </w:pPr>
      <w:r w:rsidRPr="001B7050">
        <w:rPr>
          <w:rFonts w:eastAsia="Calibri" w:cs="Calibri"/>
          <w:color w:val="000000"/>
        </w:rPr>
        <w:t>We have also questions relate to coherence of Fleming Fund efforts with those of other actors in country, sustainability of FF results and Value for Money [adapt the list as appropriate].</w:t>
      </w:r>
    </w:p>
    <w:p w14:paraId="0279E6F4" w14:textId="7F104475" w:rsidR="6A8B2BFC" w:rsidRPr="001B7050" w:rsidRDefault="6A8B2BFC" w:rsidP="65D9A205">
      <w:pPr>
        <w:spacing w:line="259" w:lineRule="auto"/>
        <w:rPr>
          <w:rFonts w:eastAsia="Calibri" w:cs="Calibri"/>
          <w:color w:val="000000"/>
        </w:rPr>
      </w:pPr>
      <w:r w:rsidRPr="001B7050">
        <w:rPr>
          <w:rFonts w:eastAsia="Calibri" w:cs="Calibri"/>
          <w:color w:val="000000"/>
        </w:rPr>
        <w:t xml:space="preserve"> </w:t>
      </w:r>
    </w:p>
    <w:p w14:paraId="46CC53D1" w14:textId="5375A5BF" w:rsidR="6A8B2BFC" w:rsidRPr="001B7050" w:rsidRDefault="6A8B2BFC"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Confidentiality / permission to record</w:t>
      </w:r>
      <w:r w:rsidRPr="001B7050">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314293A6" w14:textId="77B256BE" w:rsidR="6A8B2BFC" w:rsidRPr="001B7050" w:rsidRDefault="6A8B2BFC" w:rsidP="65D9A205">
      <w:pPr>
        <w:spacing w:line="259" w:lineRule="auto"/>
        <w:rPr>
          <w:rFonts w:eastAsia="Calibri" w:cs="Calibri"/>
          <w:color w:val="000000"/>
        </w:rPr>
      </w:pPr>
      <w:r w:rsidRPr="001B7050">
        <w:rPr>
          <w:rFonts w:eastAsia="Calibri" w:cs="Calibri"/>
          <w:color w:val="000000"/>
        </w:rPr>
        <w:t xml:space="preserve"> </w:t>
      </w:r>
    </w:p>
    <w:p w14:paraId="05034B51" w14:textId="43F8E4AE" w:rsidR="6A8B2BFC" w:rsidRDefault="6A8B2BFC"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Duration</w:t>
      </w:r>
      <w:r w:rsidRPr="001B7050">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 know the answer to a question or prefer not to answer – just let me know and I’ll adapt the interview accordingly.</w:t>
      </w:r>
      <w:r w:rsidRPr="65D9A205">
        <w:rPr>
          <w:rFonts w:eastAsia="Calibri" w:cs="Calibri"/>
          <w:color w:val="000000"/>
        </w:rPr>
        <w:t xml:space="preserve">   </w:t>
      </w:r>
    </w:p>
    <w:p w14:paraId="58A3B787" w14:textId="215A065B" w:rsidR="6A8B2BFC" w:rsidRDefault="6A8B2BFC" w:rsidP="65D9A205">
      <w:pPr>
        <w:spacing w:line="259" w:lineRule="auto"/>
        <w:rPr>
          <w:rFonts w:ascii="Segoe UI" w:eastAsia="Segoe UI" w:hAnsi="Segoe UI" w:cs="Segoe UI"/>
          <w:color w:val="000000"/>
        </w:rPr>
      </w:pPr>
      <w:r w:rsidRPr="65D9A205">
        <w:rPr>
          <w:rFonts w:ascii="Segoe UI" w:eastAsia="Segoe UI" w:hAnsi="Segoe UI" w:cs="Segoe UI"/>
          <w:color w:val="000000"/>
        </w:rPr>
        <w:t xml:space="preserve"> </w:t>
      </w:r>
    </w:p>
    <w:p w14:paraId="37D7466E" w14:textId="7AE8996A" w:rsidR="6A8B2BFC" w:rsidRDefault="6A8B2BFC" w:rsidP="65D9A205">
      <w:pPr>
        <w:spacing w:line="259" w:lineRule="auto"/>
        <w:rPr>
          <w:rFonts w:eastAsia="Calibri" w:cs="Calibri"/>
          <w:color w:val="000000"/>
        </w:rPr>
      </w:pPr>
      <w:r w:rsidRPr="65D9A205">
        <w:rPr>
          <w:rFonts w:eastAsia="Calibri" w:cs="Calibri"/>
          <w:color w:val="000000"/>
        </w:rPr>
        <w:t xml:space="preserve">• </w:t>
      </w:r>
      <w:r w:rsidRPr="65D9A205">
        <w:rPr>
          <w:rFonts w:eastAsia="Calibri" w:cs="Calibri"/>
          <w:b/>
          <w:bCs/>
          <w:color w:val="000000"/>
        </w:rPr>
        <w:t>Opportunity for questions</w:t>
      </w:r>
      <w:r w:rsidRPr="65D9A205">
        <w:rPr>
          <w:rFonts w:eastAsia="Calibri" w:cs="Calibri"/>
          <w:color w:val="000000"/>
        </w:rPr>
        <w:t xml:space="preserve"> – Do you have any questions before we start? Of course you are also welcome to ask questions through the interview if something is not clear.  </w:t>
      </w:r>
    </w:p>
    <w:p w14:paraId="444A141C" w14:textId="5B94F4FB" w:rsidR="65D9A205" w:rsidRDefault="65D9A205" w:rsidP="65D9A205">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50"/>
        <w:gridCol w:w="6270"/>
        <w:gridCol w:w="6270"/>
      </w:tblGrid>
      <w:tr w:rsidR="65D9A205" w14:paraId="780A2C0E" w14:textId="77777777" w:rsidTr="0094656D">
        <w:trPr>
          <w:trHeight w:val="567"/>
        </w:trPr>
        <w:tc>
          <w:tcPr>
            <w:tcW w:w="105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6FC14829" w14:textId="6914E78F" w:rsidR="65D9A205" w:rsidRDefault="65D9A205" w:rsidP="0094656D">
            <w:pPr>
              <w:rPr>
                <w:rFonts w:eastAsia="Calibri" w:cs="Calibri"/>
                <w:color w:val="FFFFFF" w:themeColor="background1"/>
                <w:sz w:val="20"/>
                <w:szCs w:val="20"/>
              </w:rPr>
            </w:pPr>
            <w:r w:rsidRPr="65D9A205">
              <w:rPr>
                <w:rFonts w:eastAsia="Calibri" w:cs="Calibri"/>
                <w:color w:val="FFFFFF" w:themeColor="background1"/>
                <w:sz w:val="20"/>
                <w:szCs w:val="20"/>
              </w:rPr>
              <w:t>EQ</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415DFB8D" w14:textId="21A2FA05" w:rsidR="65D9A205" w:rsidRDefault="65D9A205" w:rsidP="0094656D">
            <w:pPr>
              <w:rPr>
                <w:rFonts w:eastAsia="Calibri" w:cs="Calibri"/>
                <w:color w:val="FFFFFF" w:themeColor="background1"/>
                <w:sz w:val="20"/>
                <w:szCs w:val="20"/>
              </w:rPr>
            </w:pPr>
            <w:r w:rsidRPr="65D9A205">
              <w:rPr>
                <w:rFonts w:eastAsia="Calibri" w:cs="Calibri"/>
                <w:color w:val="FFFFFF" w:themeColor="background1"/>
                <w:sz w:val="20"/>
                <w:szCs w:val="20"/>
              </w:rPr>
              <w:t xml:space="preserve">List of questions  </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226F3B2C" w14:textId="5F3FDE65" w:rsidR="65D9A205" w:rsidRDefault="65D9A205" w:rsidP="0094656D">
            <w:pPr>
              <w:rPr>
                <w:rFonts w:eastAsia="Calibri" w:cs="Calibri"/>
                <w:color w:val="FFFFFF" w:themeColor="background1"/>
                <w:sz w:val="20"/>
                <w:szCs w:val="20"/>
              </w:rPr>
            </w:pPr>
            <w:r w:rsidRPr="65D9A205">
              <w:rPr>
                <w:rFonts w:eastAsia="Calibri" w:cs="Calibri"/>
                <w:color w:val="FFFFFF" w:themeColor="background1"/>
                <w:sz w:val="20"/>
                <w:szCs w:val="20"/>
              </w:rPr>
              <w:t>Response</w:t>
            </w:r>
          </w:p>
        </w:tc>
      </w:tr>
      <w:tr w:rsidR="65D9A205" w14:paraId="0ED4635B" w14:textId="77777777" w:rsidTr="65D9A205">
        <w:trPr>
          <w:trHeight w:val="12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15BD588" w14:textId="47BD28AC" w:rsidR="65D9A205" w:rsidRPr="00263CAE" w:rsidRDefault="65D9A205" w:rsidP="65D9A205">
            <w:pPr>
              <w:rPr>
                <w:rFonts w:eastAsia="Calibri" w:cs="Calibri"/>
                <w:color w:val="000000"/>
                <w:sz w:val="20"/>
                <w:szCs w:val="20"/>
              </w:rPr>
            </w:pPr>
            <w:r w:rsidRPr="00263CAE">
              <w:rPr>
                <w:rFonts w:eastAsia="Calibri" w:cs="Calibri"/>
                <w:color w:val="000000"/>
                <w:sz w:val="20"/>
                <w:szCs w:val="2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04AE092" w14:textId="230F0E2E"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Fleming Fund's investments</w:t>
            </w:r>
            <w:r w:rsidRPr="65D9A205">
              <w:rPr>
                <w:rFonts w:eastAsia="Calibri" w:cs="Calibri"/>
                <w:color w:val="000000"/>
                <w:sz w:val="20"/>
                <w:szCs w:val="20"/>
              </w:rPr>
              <w:t xml:space="preserve"> been </w:t>
            </w:r>
            <w:r w:rsidRPr="65D9A205">
              <w:rPr>
                <w:rFonts w:eastAsia="Calibri" w:cs="Calibri"/>
                <w:b/>
                <w:bCs/>
                <w:color w:val="000000"/>
                <w:sz w:val="20"/>
                <w:szCs w:val="20"/>
              </w:rPr>
              <w:t>aligned</w:t>
            </w:r>
            <w:r w:rsidRPr="65D9A205">
              <w:rPr>
                <w:rFonts w:eastAsia="Calibri" w:cs="Calibri"/>
                <w:color w:val="000000"/>
                <w:sz w:val="20"/>
                <w:szCs w:val="20"/>
              </w:rPr>
              <w:t xml:space="preserve"> with the NAP and other government policies/plans?</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government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was alignment ensured?</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69836B59" w14:textId="09DF8121" w:rsidR="65D9A205" w:rsidRDefault="65D9A205" w:rsidP="65D9A205">
            <w:pPr>
              <w:rPr>
                <w:rFonts w:eastAsia="Calibri" w:cs="Calibri"/>
                <w:color w:val="000000"/>
                <w:sz w:val="20"/>
                <w:szCs w:val="20"/>
              </w:rPr>
            </w:pPr>
          </w:p>
        </w:tc>
      </w:tr>
      <w:tr w:rsidR="65D9A205" w14:paraId="32947D89"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323AC81" w14:textId="69BC94EF" w:rsidR="65D9A205" w:rsidRPr="00263CAE" w:rsidRDefault="65D9A205" w:rsidP="65D9A205">
            <w:pPr>
              <w:rPr>
                <w:rFonts w:eastAsia="Calibri" w:cs="Calibri"/>
                <w:color w:val="000000"/>
                <w:sz w:val="20"/>
                <w:szCs w:val="20"/>
              </w:rPr>
            </w:pPr>
            <w:r w:rsidRPr="00263CAE">
              <w:rPr>
                <w:rFonts w:eastAsia="Calibri" w:cs="Calibri"/>
                <w:color w:val="000000"/>
                <w:sz w:val="20"/>
                <w:szCs w:val="2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3153F9F" w14:textId="261A4185"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 xml:space="preserve">Fleming Fund's investments </w:t>
            </w:r>
            <w:r w:rsidRPr="65D9A205">
              <w:rPr>
                <w:rFonts w:eastAsia="Calibri" w:cs="Calibri"/>
                <w:color w:val="000000"/>
                <w:sz w:val="20"/>
                <w:szCs w:val="20"/>
              </w:rPr>
              <w:t xml:space="preserve">been </w:t>
            </w:r>
            <w:r w:rsidRPr="65D9A205">
              <w:rPr>
                <w:rFonts w:eastAsia="Calibri" w:cs="Calibri"/>
                <w:b/>
                <w:bCs/>
                <w:color w:val="000000"/>
                <w:sz w:val="20"/>
                <w:szCs w:val="20"/>
              </w:rPr>
              <w:t>aligned with interventions</w:t>
            </w:r>
            <w:r w:rsidRPr="65D9A205">
              <w:rPr>
                <w:rFonts w:eastAsia="Calibri" w:cs="Calibri"/>
                <w:color w:val="000000"/>
                <w:sz w:val="20"/>
                <w:szCs w:val="20"/>
              </w:rPr>
              <w:t xml:space="preserve"> funded </w:t>
            </w:r>
            <w:r w:rsidRPr="65D9A205">
              <w:rPr>
                <w:rFonts w:eastAsia="Calibri" w:cs="Calibri"/>
                <w:b/>
                <w:bCs/>
                <w:color w:val="000000"/>
                <w:sz w:val="20"/>
                <w:szCs w:val="20"/>
              </w:rPr>
              <w:t>by other DPs</w:t>
            </w:r>
            <w:r w:rsidRPr="65D9A205">
              <w:rPr>
                <w:rFonts w:eastAsia="Calibri" w:cs="Calibri"/>
                <w:color w:val="000000"/>
                <w:sz w:val="20"/>
                <w:szCs w:val="20"/>
              </w:rPr>
              <w:t>?</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DP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did the Fleming Fund coordinate with other DPs involved in AMR / lab strengthening in country?</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7C2FA125" w14:textId="37F53C6D" w:rsidR="65D9A205" w:rsidRDefault="65D9A205" w:rsidP="65D9A205">
            <w:pPr>
              <w:rPr>
                <w:rFonts w:eastAsia="Calibri" w:cs="Calibri"/>
                <w:color w:val="000000"/>
                <w:sz w:val="20"/>
                <w:szCs w:val="20"/>
              </w:rPr>
            </w:pPr>
          </w:p>
        </w:tc>
      </w:tr>
      <w:tr w:rsidR="65D9A205" w14:paraId="28FED32A"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22A34A3" w14:textId="411FC02A"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37226F4" w14:textId="3BB59D3A" w:rsidR="65D9A205" w:rsidRDefault="65D9A205" w:rsidP="65D9A205">
            <w:pPr>
              <w:rPr>
                <w:rFonts w:eastAsia="Calibri" w:cs="Calibri"/>
                <w:color w:val="444444"/>
              </w:rPr>
            </w:pPr>
            <w:r w:rsidRPr="65D9A205">
              <w:rPr>
                <w:rFonts w:eastAsia="Calibri" w:cs="Calibri"/>
                <w:color w:val="444444"/>
              </w:rPr>
              <w:t xml:space="preserve"> 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67DA9976" w14:textId="622B95D8" w:rsidR="65D9A205" w:rsidRDefault="65D9A205" w:rsidP="65D9A205">
            <w:pPr>
              <w:rPr>
                <w:rFonts w:eastAsia="Calibri" w:cs="Calibri"/>
                <w:color w:val="000000"/>
                <w:sz w:val="20"/>
                <w:szCs w:val="20"/>
              </w:rPr>
            </w:pPr>
          </w:p>
        </w:tc>
      </w:tr>
      <w:tr w:rsidR="65D9A205" w14:paraId="04C9E43E"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48B5BE3" w14:textId="7034746B"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CFBD167" w14:textId="0CA69375" w:rsidR="65D9A205" w:rsidRDefault="65D9A205" w:rsidP="65D9A205">
            <w:pPr>
              <w:rPr>
                <w:rFonts w:eastAsia="Calibri" w:cs="Calibri"/>
                <w:color w:val="444444"/>
              </w:rPr>
            </w:pPr>
            <w:r w:rsidRPr="65D9A205">
              <w:rPr>
                <w:rFonts w:eastAsia="Calibri" w:cs="Calibri"/>
                <w:color w:val="444444"/>
              </w:rPr>
              <w:t xml:space="preserve"> To what extent do you think staff are motivated to put new skills / responsibilities required to maintain AMR surveillence? PROBES: Is throughput sufficient? Are consumable supplies assured? Are managers and institutions (eg AMRCC) interested in outputs and providing feedback? Will competing demands crowd in? Are there adequate plans in place to address any concerns?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662B7B81" w14:textId="33D8B57D" w:rsidR="65D9A205" w:rsidRDefault="65D9A205" w:rsidP="65D9A205">
            <w:pPr>
              <w:rPr>
                <w:rFonts w:eastAsia="Calibri" w:cs="Calibri"/>
                <w:color w:val="000000"/>
                <w:sz w:val="20"/>
                <w:szCs w:val="20"/>
              </w:rPr>
            </w:pPr>
          </w:p>
        </w:tc>
      </w:tr>
      <w:tr w:rsidR="65D9A205" w14:paraId="01990A5C" w14:textId="77777777" w:rsidTr="65D9A205">
        <w:trPr>
          <w:trHeight w:val="150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AFB337C" w14:textId="2042AA99"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2D8856F" w14:textId="3AD403EE" w:rsidR="65D9A205" w:rsidRDefault="65D9A205" w:rsidP="65D9A205">
            <w:pPr>
              <w:rPr>
                <w:rFonts w:eastAsia="Calibri" w:cs="Calibri"/>
                <w:color w:val="000000"/>
                <w:sz w:val="20"/>
                <w:szCs w:val="20"/>
              </w:rPr>
            </w:pPr>
            <w:r w:rsidRPr="65D9A205">
              <w:rPr>
                <w:rFonts w:eastAsia="Calibri" w:cs="Calibri"/>
                <w:color w:val="000000"/>
                <w:sz w:val="20"/>
                <w:szCs w:val="20"/>
              </w:rPr>
              <w:t xml:space="preserve">Do you think that surveillance data is already being used to inform strong national actions on AMR (policy implementation, regulatory change or change to national clinical guidelines?)  If yes, please give examples  PROBE: How did Fleming Fund activities contribute to these actions? If no, do you think that the main use so far has been for general awareness-raising in professional and policy networks? PROBE: Do you think that we are still at an early stage of the cycle of AMR data analysis for policy?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44F5BEF4" w14:textId="2E48CB76" w:rsidR="65D9A205" w:rsidRDefault="65D9A205" w:rsidP="65D9A205">
            <w:pPr>
              <w:rPr>
                <w:rFonts w:eastAsia="Calibri" w:cs="Calibri"/>
                <w:color w:val="000000"/>
                <w:sz w:val="20"/>
                <w:szCs w:val="20"/>
              </w:rPr>
            </w:pPr>
          </w:p>
        </w:tc>
      </w:tr>
      <w:tr w:rsidR="65D9A205" w14:paraId="7DBDB2F1" w14:textId="77777777" w:rsidTr="65D9A205">
        <w:trPr>
          <w:trHeight w:val="150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1C65BDB1" w14:textId="692E1556"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3A59B786" w14:textId="46E12ADB" w:rsidR="65D9A205" w:rsidRDefault="65D9A205" w:rsidP="65D9A205">
            <w:pPr>
              <w:rPr>
                <w:rFonts w:eastAsia="Calibri" w:cs="Calibri"/>
                <w:color w:val="000000"/>
                <w:sz w:val="20"/>
                <w:szCs w:val="20"/>
              </w:rPr>
            </w:pPr>
            <w:r w:rsidRPr="65D9A205">
              <w:rPr>
                <w:rFonts w:eastAsia="Calibri" w:cs="Calibri"/>
                <w:color w:val="000000"/>
                <w:sz w:val="20"/>
                <w:szCs w:val="20"/>
              </w:rPr>
              <w:t>Thinking about the kinds of strong national actions that might be relevant to AMR (for example controls on certain uses of antimicrobials or initiatives to change professional practices), can you think of examples from the past (prior to FF) and/or not motivated by surveillance data?  PROBE: (Refer to any examples suggested by MSA analysis or other information gathered)  If yes, please give details. PROBE: what is different now / what motivates action if not surveillance data?</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D63175D" w14:textId="5897AA99" w:rsidR="65D9A205" w:rsidRDefault="65D9A205" w:rsidP="65D9A205">
            <w:pPr>
              <w:rPr>
                <w:rFonts w:eastAsia="Calibri" w:cs="Calibri"/>
                <w:color w:val="000000"/>
                <w:sz w:val="20"/>
                <w:szCs w:val="20"/>
              </w:rPr>
            </w:pPr>
          </w:p>
        </w:tc>
      </w:tr>
      <w:tr w:rsidR="65D9A205" w14:paraId="40BC0C79" w14:textId="77777777" w:rsidTr="65D9A205">
        <w:trPr>
          <w:trHeight w:val="261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0DD7E66" w14:textId="54B6AD36"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30D4D085" w14:textId="20095E95" w:rsidR="65D9A205" w:rsidRDefault="65D9A205" w:rsidP="65D9A205">
            <w:pPr>
              <w:rPr>
                <w:rFonts w:eastAsia="Calibri" w:cs="Calibri"/>
                <w:color w:val="000000"/>
                <w:sz w:val="20"/>
                <w:szCs w:val="20"/>
              </w:rPr>
            </w:pPr>
            <w:r w:rsidRPr="65D9A205">
              <w:rPr>
                <w:rFonts w:eastAsia="Calibri" w:cs="Calibri"/>
                <w:color w:val="000000"/>
                <w:sz w:val="20"/>
                <w:szCs w:val="20"/>
              </w:rPr>
              <w:t>What factors do you think are most important for national policymakers when considering whether AMR is a very severe and urgent problem? PROBE: (Refer to MSA on Indicators/Problem stream, test analysis)</w:t>
            </w:r>
            <w:r>
              <w:br/>
            </w:r>
            <w:r w:rsidRPr="65D9A205">
              <w:rPr>
                <w:rFonts w:eastAsia="Calibri" w:cs="Calibri"/>
                <w:color w:val="000000"/>
                <w:sz w:val="20"/>
                <w:szCs w:val="20"/>
              </w:rPr>
              <w:t xml:space="preserve">§ (if need more information on MSA Load) How does AMR compare to other health policy problems? </w:t>
            </w:r>
            <w:r>
              <w:br/>
            </w:r>
            <w:r w:rsidRPr="65D9A205">
              <w:rPr>
                <w:rFonts w:eastAsia="Calibri" w:cs="Calibri"/>
                <w:color w:val="000000"/>
                <w:sz w:val="20"/>
                <w:szCs w:val="20"/>
              </w:rPr>
              <w:t xml:space="preserve">§ (if need more information on MSA Feedback / TrACSS suggest links to other plans) Have public policy activities to address other problems started to suggest that AMR is important? </w:t>
            </w:r>
            <w:r>
              <w:br/>
            </w:r>
            <w:r w:rsidRPr="65D9A205">
              <w:rPr>
                <w:rFonts w:eastAsia="Calibri" w:cs="Calibri"/>
                <w:color w:val="000000"/>
                <w:sz w:val="20"/>
                <w:szCs w:val="20"/>
              </w:rPr>
              <w:t xml:space="preserve">§ (need more information on MSA Focusing) What has or might focus policymakers’ attention on AMR?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6A3618A" w14:textId="1CBC12E0" w:rsidR="65D9A205" w:rsidRDefault="65D9A205" w:rsidP="65D9A205">
            <w:pPr>
              <w:rPr>
                <w:rFonts w:eastAsia="Calibri" w:cs="Calibri"/>
                <w:color w:val="000000"/>
                <w:sz w:val="20"/>
                <w:szCs w:val="20"/>
              </w:rPr>
            </w:pPr>
          </w:p>
        </w:tc>
      </w:tr>
      <w:tr w:rsidR="65D9A205" w14:paraId="04A9F374" w14:textId="77777777" w:rsidTr="65D9A205">
        <w:trPr>
          <w:trHeight w:val="84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EEDB30D" w14:textId="6E5A3260"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1769FC19" w14:textId="648D73A6" w:rsidR="65D9A205" w:rsidRDefault="65D9A205" w:rsidP="65D9A205">
            <w:pPr>
              <w:rPr>
                <w:rFonts w:eastAsia="Calibri" w:cs="Calibri"/>
                <w:color w:val="000000"/>
                <w:sz w:val="20"/>
                <w:szCs w:val="20"/>
              </w:rPr>
            </w:pPr>
            <w:r w:rsidRPr="65D9A205">
              <w:rPr>
                <w:rFonts w:eastAsia="Calibri" w:cs="Calibri"/>
                <w:color w:val="000000"/>
                <w:sz w:val="20"/>
                <w:szCs w:val="20"/>
              </w:rPr>
              <w:t>Has Covid-19 been a distraction, slowing down progress with the national AMR agenda?  PROBE: Has AMRCC met regularly since 2020, including at political as well as technical levels? Has it started to take significant decisions?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42B7A82C" w14:textId="68BD8B9C" w:rsidR="65D9A205" w:rsidRDefault="65D9A205" w:rsidP="65D9A205">
            <w:pPr>
              <w:rPr>
                <w:rFonts w:eastAsia="Calibri" w:cs="Calibri"/>
                <w:color w:val="000000"/>
                <w:sz w:val="20"/>
                <w:szCs w:val="20"/>
              </w:rPr>
            </w:pPr>
          </w:p>
        </w:tc>
      </w:tr>
      <w:tr w:rsidR="65D9A205" w14:paraId="1DB47AB4" w14:textId="77777777" w:rsidTr="0094656D">
        <w:trPr>
          <w:trHeight w:val="1587"/>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137FC661" w14:textId="7DD06801"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B164C8B" w14:textId="3058482F" w:rsidR="65D9A205" w:rsidRDefault="65D9A205" w:rsidP="65D9A205">
            <w:pPr>
              <w:rPr>
                <w:rFonts w:eastAsia="Calibri" w:cs="Calibri"/>
                <w:color w:val="000000"/>
                <w:sz w:val="20"/>
                <w:szCs w:val="20"/>
              </w:rPr>
            </w:pPr>
            <w:r w:rsidRPr="65D9A205">
              <w:rPr>
                <w:rFonts w:eastAsia="Calibri" w:cs="Calibri"/>
                <w:color w:val="000000"/>
                <w:sz w:val="20"/>
                <w:szCs w:val="20"/>
              </w:rPr>
              <w:t>Have NAP plans continued to develop strongly since 2020? (OR, if NAP expires in 2020-22, is there a process underway for its renewal; do you expect any delay in extending the NAP?)  PROBE: What factors explain the current situation in relation to the NAP?  (if need more information to complete NAP tool, apart from on budgeting) How exactly is the NAP moving from a plan to real action and change?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6D830529" w14:textId="7D4F32C8" w:rsidR="65D9A205" w:rsidRDefault="65D9A205" w:rsidP="65D9A205">
            <w:pPr>
              <w:rPr>
                <w:rFonts w:eastAsia="Calibri" w:cs="Calibri"/>
                <w:color w:val="000000"/>
                <w:sz w:val="20"/>
                <w:szCs w:val="20"/>
              </w:rPr>
            </w:pPr>
          </w:p>
        </w:tc>
      </w:tr>
      <w:tr w:rsidR="65D9A205" w14:paraId="4DACECA9" w14:textId="77777777" w:rsidTr="65D9A205">
        <w:trPr>
          <w:trHeight w:val="61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8F9BA50" w14:textId="1918CBB4"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2BD0476" w14:textId="50E996E4" w:rsidR="65D9A205" w:rsidRDefault="65D9A205" w:rsidP="65D9A205">
            <w:pPr>
              <w:rPr>
                <w:rFonts w:eastAsia="Calibri" w:cs="Calibri"/>
                <w:color w:val="000000"/>
                <w:sz w:val="20"/>
                <w:szCs w:val="20"/>
              </w:rPr>
            </w:pPr>
            <w:r w:rsidRPr="65D9A205">
              <w:rPr>
                <w:rFonts w:eastAsia="Calibri" w:cs="Calibri"/>
                <w:color w:val="000000"/>
                <w:sz w:val="20"/>
                <w:szCs w:val="20"/>
              </w:rPr>
              <w:t>Do you think that it is likely that there will be significant on-budget domestic funding for AMR initiatives in the foreseeable future?  If yes, please give reasons (have the reasons for prior budget decisions  changed?) If no, will funding from international supporters be sufficient?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47ADD63" w14:textId="361DE29A" w:rsidR="65D9A205" w:rsidRDefault="65D9A205" w:rsidP="65D9A205">
            <w:pPr>
              <w:rPr>
                <w:rFonts w:eastAsia="Calibri" w:cs="Calibri"/>
                <w:color w:val="000000"/>
                <w:sz w:val="20"/>
                <w:szCs w:val="20"/>
              </w:rPr>
            </w:pPr>
          </w:p>
        </w:tc>
      </w:tr>
      <w:tr w:rsidR="65D9A205" w14:paraId="13ACAC88" w14:textId="77777777" w:rsidTr="65D9A205">
        <w:trPr>
          <w:trHeight w:val="181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8E40C7A" w14:textId="29D92505" w:rsidR="65D9A205" w:rsidRDefault="65D9A205" w:rsidP="65D9A205">
            <w:pPr>
              <w:rPr>
                <w:rFonts w:eastAsia="Calibri" w:cs="Calibri"/>
                <w:color w:val="000000"/>
                <w:sz w:val="20"/>
                <w:szCs w:val="20"/>
              </w:rPr>
            </w:pPr>
            <w:r w:rsidRPr="65D9A205">
              <w:rPr>
                <w:rFonts w:eastAsia="Calibri" w:cs="Calibri"/>
                <w:color w:val="000000"/>
                <w:sz w:val="20"/>
                <w:szCs w:val="20"/>
              </w:rPr>
              <w:t>POLICY 4.2</w:t>
            </w:r>
            <w:r w:rsidRPr="00263CAE">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5BBE9583" w14:textId="77DBCF98" w:rsidR="65D9A205" w:rsidRDefault="65D9A205" w:rsidP="65D9A205">
            <w:pPr>
              <w:rPr>
                <w:rFonts w:eastAsia="Calibri" w:cs="Calibri"/>
                <w:color w:val="000000"/>
                <w:sz w:val="20"/>
                <w:szCs w:val="20"/>
              </w:rPr>
            </w:pPr>
            <w:r w:rsidRPr="65D9A205">
              <w:rPr>
                <w:rFonts w:eastAsia="Calibri" w:cs="Calibri"/>
                <w:color w:val="000000"/>
                <w:sz w:val="20"/>
                <w:szCs w:val="20"/>
              </w:rPr>
              <w:t>Does AMRCC (or other national body in charge of the country AMR strategy) r</w:t>
            </w:r>
            <w:r w:rsidRPr="65D9A205">
              <w:rPr>
                <w:rFonts w:eastAsia="Calibri" w:cs="Calibri"/>
                <w:b/>
                <w:bCs/>
                <w:color w:val="000000"/>
                <w:sz w:val="20"/>
                <w:szCs w:val="20"/>
              </w:rPr>
              <w:t>eceive AMR data reports generated by surveillance sites at least once a year</w:t>
            </w:r>
            <w:r w:rsidRPr="65D9A205">
              <w:rPr>
                <w:rFonts w:eastAsia="Calibri" w:cs="Calibri"/>
                <w:color w:val="000000"/>
                <w:sz w:val="20"/>
                <w:szCs w:val="20"/>
              </w:rPr>
              <w:t>? Is that an improvement compared to 2018 (i.e. Prior to Fleming Fund activities starting)? PROBE if yes: which organisation(s) assembles and submits these reports? What form do they take, what are they called (descriptive summary or analytical)? Is there good sector representation and national coverage? If yes, do you think that the reports are sufficient to amend national AMR strategy and enable effective AMR decision-making? If no, why not?</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CF6ADDB" w14:textId="5A62B657" w:rsidR="65D9A205" w:rsidRDefault="65D9A205" w:rsidP="65D9A205">
            <w:pPr>
              <w:rPr>
                <w:rFonts w:eastAsia="Calibri" w:cs="Calibri"/>
                <w:color w:val="000000"/>
                <w:sz w:val="20"/>
                <w:szCs w:val="20"/>
              </w:rPr>
            </w:pPr>
          </w:p>
        </w:tc>
      </w:tr>
      <w:tr w:rsidR="65D9A205" w14:paraId="68854B6D" w14:textId="77777777" w:rsidTr="65D9A205">
        <w:trPr>
          <w:trHeight w:val="130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3BF8874" w14:textId="3AB20595" w:rsidR="65D9A205" w:rsidRDefault="65D9A205" w:rsidP="65D9A205">
            <w:pPr>
              <w:rPr>
                <w:rFonts w:eastAsia="Calibri" w:cs="Calibri"/>
                <w:color w:val="000000"/>
                <w:sz w:val="20"/>
                <w:szCs w:val="20"/>
              </w:rPr>
            </w:pPr>
            <w:r w:rsidRPr="65D9A205">
              <w:rPr>
                <w:rFonts w:eastAsia="Calibri" w:cs="Calibri"/>
                <w:color w:val="000000"/>
                <w:sz w:val="20"/>
                <w:szCs w:val="20"/>
              </w:rPr>
              <w:t>EQ4</w:t>
            </w:r>
            <w:r w:rsidRPr="00263CAE">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0DA03558" w14:textId="526A82A0" w:rsidR="65D9A205" w:rsidRPr="00263CAE" w:rsidRDefault="65D9A205" w:rsidP="65D9A205">
            <w:pPr>
              <w:rPr>
                <w:rFonts w:eastAsia="Calibri" w:cs="Calibri"/>
                <w:sz w:val="20"/>
                <w:szCs w:val="20"/>
              </w:rPr>
            </w:pPr>
            <w:r w:rsidRPr="00263CAE">
              <w:rPr>
                <w:rFonts w:eastAsia="Calibri" w:cs="Calibri"/>
                <w:sz w:val="20"/>
                <w:szCs w:val="20"/>
              </w:rPr>
              <w:t xml:space="preserve">What were the </w:t>
            </w:r>
            <w:r w:rsidRPr="00263CAE">
              <w:rPr>
                <w:rFonts w:eastAsia="Calibri" w:cs="Calibri"/>
                <w:b/>
                <w:bCs/>
                <w:sz w:val="20"/>
                <w:szCs w:val="20"/>
              </w:rPr>
              <w:t>key change drivers/factors</w:t>
            </w:r>
            <w:r w:rsidRPr="00263CAE">
              <w:rPr>
                <w:rFonts w:eastAsia="Calibri" w:cs="Calibri"/>
                <w:sz w:val="20"/>
                <w:szCs w:val="20"/>
              </w:rPr>
              <w:t xml:space="preserve">, </w:t>
            </w:r>
            <w:r w:rsidRPr="00263CAE">
              <w:rPr>
                <w:rFonts w:eastAsia="Calibri" w:cs="Calibri"/>
                <w:b/>
                <w:bCs/>
                <w:sz w:val="20"/>
                <w:szCs w:val="20"/>
              </w:rPr>
              <w:t>in order of importance</w:t>
            </w:r>
            <w:r w:rsidRPr="00263CAE">
              <w:rPr>
                <w:rFonts w:eastAsia="Calibri" w:cs="Calibri"/>
                <w:sz w:val="20"/>
                <w:szCs w:val="20"/>
              </w:rPr>
              <w:t>, behind such change? Probes: more and better data available from the surveillance system (in which case refer to QUANT &amp; QUAL contribution stories), data sharing processes and systems, resourcing, incentives, formal barriers, cooperation, governance, leadership demand, analytical entrepreneurs / champions, other</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7F4405D5" w14:textId="5EA02491" w:rsidR="65D9A205" w:rsidRDefault="65D9A205" w:rsidP="65D9A205">
            <w:pPr>
              <w:rPr>
                <w:rFonts w:eastAsia="Calibri" w:cs="Calibri"/>
                <w:color w:val="000000"/>
                <w:sz w:val="20"/>
                <w:szCs w:val="20"/>
              </w:rPr>
            </w:pPr>
          </w:p>
        </w:tc>
      </w:tr>
      <w:tr w:rsidR="65D9A205" w14:paraId="08BF1CE8" w14:textId="77777777" w:rsidTr="65D9A205">
        <w:trPr>
          <w:trHeight w:val="126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46A273F" w14:textId="392C22BB" w:rsidR="65D9A205" w:rsidRDefault="65D9A205" w:rsidP="65D9A205">
            <w:pPr>
              <w:rPr>
                <w:rFonts w:eastAsia="Calibri" w:cs="Calibri"/>
                <w:color w:val="000000"/>
                <w:sz w:val="20"/>
                <w:szCs w:val="20"/>
              </w:rPr>
            </w:pPr>
            <w:r w:rsidRPr="65D9A205">
              <w:rPr>
                <w:rFonts w:eastAsia="Calibri" w:cs="Calibri"/>
                <w:color w:val="000000"/>
                <w:sz w:val="20"/>
                <w:szCs w:val="20"/>
              </w:rPr>
              <w:t>EQ4</w:t>
            </w:r>
            <w:r w:rsidRPr="00263CAE">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518B0BA6" w14:textId="3DB9700C"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 to those drivers</w:t>
            </w:r>
            <w:r w:rsidRPr="65D9A205">
              <w:rPr>
                <w:rFonts w:eastAsia="Calibri" w:cs="Calibri"/>
                <w:color w:val="000000"/>
                <w:sz w:val="20"/>
                <w:szCs w:val="20"/>
              </w:rPr>
              <w:t>?</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637FA0CF" w14:textId="7849CE76" w:rsidR="65D9A205" w:rsidRDefault="65D9A205" w:rsidP="65D9A205">
            <w:pPr>
              <w:rPr>
                <w:rFonts w:eastAsia="Calibri" w:cs="Calibri"/>
                <w:color w:val="000000"/>
                <w:sz w:val="20"/>
                <w:szCs w:val="20"/>
              </w:rPr>
            </w:pPr>
          </w:p>
        </w:tc>
      </w:tr>
      <w:tr w:rsidR="65D9A205" w14:paraId="21838384" w14:textId="77777777" w:rsidTr="65D9A205">
        <w:trPr>
          <w:trHeight w:val="12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10BC89BA" w14:textId="323E223A" w:rsidR="65D9A205" w:rsidRDefault="65D9A205" w:rsidP="65D9A205">
            <w:pPr>
              <w:rPr>
                <w:rFonts w:eastAsia="Calibri" w:cs="Calibri"/>
                <w:color w:val="000000"/>
                <w:sz w:val="20"/>
                <w:szCs w:val="20"/>
              </w:rPr>
            </w:pPr>
            <w:r w:rsidRPr="65D9A205">
              <w:rPr>
                <w:rFonts w:eastAsia="Calibri" w:cs="Calibri"/>
                <w:color w:val="000000"/>
                <w:sz w:val="20"/>
                <w:szCs w:val="20"/>
              </w:rPr>
              <w:t>EQ4</w:t>
            </w:r>
            <w:r w:rsidRPr="00263CAE">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289F1468" w14:textId="7EBEF473"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 xml:space="preserve">no or negative change </w:t>
            </w:r>
            <w:r w:rsidRPr="65D9A205">
              <w:rPr>
                <w:rFonts w:eastAsia="Calibri" w:cs="Calibri"/>
                <w:color w:val="000000"/>
                <w:sz w:val="20"/>
                <w:szCs w:val="20"/>
              </w:rPr>
              <w:t xml:space="preserve">in this area, </w:t>
            </w:r>
            <w:r w:rsidRPr="65D9A205">
              <w:rPr>
                <w:rFonts w:eastAsia="Calibri" w:cs="Calibri"/>
                <w:b/>
                <w:bCs/>
                <w:color w:val="000000"/>
                <w:sz w:val="20"/>
                <w:szCs w:val="20"/>
              </w:rPr>
              <w:t>why</w:t>
            </w:r>
            <w:r w:rsidRPr="65D9A205">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2925FCBE" w14:textId="385BFF4C" w:rsidR="65D9A205" w:rsidRDefault="65D9A205" w:rsidP="65D9A205">
            <w:pPr>
              <w:rPr>
                <w:rFonts w:eastAsia="Calibri" w:cs="Calibri"/>
                <w:color w:val="000000"/>
                <w:sz w:val="20"/>
                <w:szCs w:val="20"/>
              </w:rPr>
            </w:pPr>
          </w:p>
        </w:tc>
      </w:tr>
      <w:tr w:rsidR="65D9A205" w14:paraId="6DB84589" w14:textId="77777777" w:rsidTr="65D9A205">
        <w:trPr>
          <w:trHeight w:val="139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6984968" w14:textId="2A5F89B8"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98D5BC0" w14:textId="372CBF1D" w:rsidR="65D9A205" w:rsidRPr="00263CAE" w:rsidRDefault="65D9A205" w:rsidP="65D9A205">
            <w:pPr>
              <w:spacing w:line="259" w:lineRule="auto"/>
              <w:rPr>
                <w:rFonts w:eastAsia="Calibri" w:cs="Calibri"/>
                <w:sz w:val="20"/>
                <w:szCs w:val="20"/>
              </w:rPr>
            </w:pPr>
            <w:r w:rsidRPr="00263CAE">
              <w:rPr>
                <w:rFonts w:eastAsia="Calibri" w:cs="Calibri"/>
                <w:sz w:val="20"/>
                <w:szCs w:val="20"/>
              </w:rPr>
              <w:t>Can you think of any other examples of relevant surveillance data being used to amend national strategy and/or inform decision-making’, apart from through data reports shared with AMRCC?</w:t>
            </w:r>
          </w:p>
          <w:p w14:paraId="402E5786" w14:textId="6B7DB617" w:rsidR="65D9A205" w:rsidRPr="00263CAE" w:rsidRDefault="65D9A205" w:rsidP="65D9A205">
            <w:pPr>
              <w:spacing w:line="259" w:lineRule="auto"/>
              <w:rPr>
                <w:rFonts w:eastAsia="Calibri" w:cs="Calibri"/>
                <w:sz w:val="20"/>
                <w:szCs w:val="20"/>
              </w:rPr>
            </w:pPr>
            <w:r w:rsidRPr="00263CAE">
              <w:rPr>
                <w:rFonts w:eastAsia="Calibri" w:cs="Calibri"/>
                <w:strike/>
                <w:sz w:val="20"/>
                <w:szCs w:val="20"/>
              </w:rPr>
              <w:t xml:space="preserve"> </w:t>
            </w:r>
          </w:p>
          <w:p w14:paraId="3B7D34D0" w14:textId="508B820A" w:rsidR="65D9A205" w:rsidRDefault="65D9A205" w:rsidP="0094656D">
            <w:pPr>
              <w:spacing w:line="259" w:lineRule="auto"/>
              <w:rPr>
                <w:rFonts w:eastAsia="Calibri" w:cs="Calibri"/>
                <w:color w:val="000000"/>
                <w:sz w:val="20"/>
                <w:szCs w:val="20"/>
              </w:rPr>
            </w:pPr>
            <w:r w:rsidRPr="00263CAE">
              <w:rPr>
                <w:rFonts w:eastAsia="Calibri" w:cs="Calibri"/>
                <w:sz w:val="20"/>
                <w:szCs w:val="20"/>
              </w:rPr>
              <w:t>If yes: Details? What data, in what form? Who are the decision-makers? One-off or routine? Current status?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11D0750" w14:textId="02DC7DA9" w:rsidR="65D9A205" w:rsidRDefault="65D9A205" w:rsidP="65D9A205">
            <w:pPr>
              <w:rPr>
                <w:rFonts w:eastAsia="Calibri" w:cs="Calibri"/>
                <w:color w:val="000000"/>
                <w:sz w:val="20"/>
                <w:szCs w:val="20"/>
              </w:rPr>
            </w:pPr>
          </w:p>
        </w:tc>
      </w:tr>
      <w:tr w:rsidR="65D9A205" w14:paraId="38CC41EA"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23072E6" w14:textId="0540C2CA"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54136EB" w14:textId="5E3216BC" w:rsidR="65D9A205" w:rsidRDefault="65D9A205" w:rsidP="65D9A205">
            <w:pPr>
              <w:rPr>
                <w:rFonts w:eastAsia="Calibri" w:cs="Calibri"/>
                <w:color w:val="000000"/>
                <w:sz w:val="20"/>
                <w:szCs w:val="20"/>
              </w:rPr>
            </w:pPr>
            <w:r w:rsidRPr="65D9A205">
              <w:rPr>
                <w:rFonts w:eastAsia="Calibri" w:cs="Calibri"/>
                <w:color w:val="000000"/>
                <w:sz w:val="20"/>
                <w:szCs w:val="20"/>
              </w:rPr>
              <w:t>We understand the AMRCC is expected to facilitate sharing and joint analysis of AMR data across different sectors. What is the nature of cross-sector collaborations being convened by the AMRCC? Which are the key institutions involved from different ministries? What is the nature of their involvement? In addition to facilitating AMR data use, what have been some of the other achievements of the AMRCC in your country?</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BC98238" w14:textId="526121D6" w:rsidR="65D9A205" w:rsidRDefault="65D9A205" w:rsidP="65D9A205">
            <w:pPr>
              <w:rPr>
                <w:rFonts w:eastAsia="Calibri" w:cs="Calibri"/>
                <w:color w:val="000000"/>
                <w:sz w:val="20"/>
                <w:szCs w:val="20"/>
              </w:rPr>
            </w:pPr>
          </w:p>
        </w:tc>
      </w:tr>
      <w:tr w:rsidR="65D9A205" w14:paraId="76E3DC47" w14:textId="77777777" w:rsidTr="65D9A205">
        <w:trPr>
          <w:trHeight w:val="234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94D0D99" w14:textId="2094A83D"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EE18ED6" w14:textId="1B89D409" w:rsidR="65D9A205" w:rsidRDefault="65D9A205" w:rsidP="65D9A205">
            <w:pPr>
              <w:rPr>
                <w:rFonts w:eastAsia="Calibri" w:cs="Calibri"/>
                <w:color w:val="000000"/>
                <w:sz w:val="20"/>
                <w:szCs w:val="20"/>
              </w:rPr>
            </w:pPr>
            <w:r w:rsidRPr="65D9A205">
              <w:rPr>
                <w:rFonts w:eastAsia="Calibri" w:cs="Calibri"/>
                <w:color w:val="000000"/>
                <w:sz w:val="20"/>
                <w:szCs w:val="20"/>
              </w:rPr>
              <w:t>What are some of the other multisector coordination mechanisms in place to make decisions around AMR at the national and subnational levels? Are there any bodies or platforms or events where people from different sector meet outside the government? (e.g. seminars, AMR awareness week, etc.)  Can you recall some examples of collaborations between different sectors in the past, even if these do not specifically revolve around AMR?  Probe joint research activities; Training programmes, fellowships, including Fleming Fellows; Joint outbreak response activities, such as Avian Influenza, Ebola, etc.</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4D55E2BF" w14:textId="7953A21F" w:rsidR="65D9A205" w:rsidRDefault="65D9A205" w:rsidP="65D9A205">
            <w:pPr>
              <w:rPr>
                <w:rFonts w:eastAsia="Calibri" w:cs="Calibri"/>
                <w:color w:val="000000"/>
                <w:sz w:val="20"/>
                <w:szCs w:val="20"/>
              </w:rPr>
            </w:pPr>
          </w:p>
        </w:tc>
      </w:tr>
      <w:tr w:rsidR="65D9A205" w14:paraId="77DC9B73" w14:textId="77777777" w:rsidTr="65D9A205">
        <w:trPr>
          <w:trHeight w:val="259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FB9DC5C" w14:textId="6531CD31"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2A2A23AF" w14:textId="19AE8492"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Where are these (formal and informal) coordination mechanisms located? Are these hosted by a ministry, government agency, academic body, think tank? (Probe for each of the collaborating mechanisms identified above, if possible): </w:t>
            </w:r>
            <w:r>
              <w:br/>
            </w:r>
            <w:r w:rsidRPr="65D9A205">
              <w:rPr>
                <w:rFonts w:eastAsia="Calibri" w:cs="Calibri"/>
                <w:color w:val="000000"/>
                <w:sz w:val="20"/>
                <w:szCs w:val="20"/>
              </w:rPr>
              <w:t>o Who chairs / leads the discussion?</w:t>
            </w:r>
            <w:r>
              <w:br/>
            </w:r>
            <w:r w:rsidRPr="65D9A205">
              <w:rPr>
                <w:rFonts w:eastAsia="Calibri" w:cs="Calibri"/>
                <w:color w:val="000000"/>
                <w:sz w:val="20"/>
                <w:szCs w:val="20"/>
              </w:rPr>
              <w:t xml:space="preserve">o Who sets the agenda? </w:t>
            </w:r>
            <w:r>
              <w:br/>
            </w:r>
            <w:r w:rsidRPr="65D9A205">
              <w:rPr>
                <w:rFonts w:eastAsia="Calibri" w:cs="Calibri"/>
                <w:color w:val="000000"/>
                <w:sz w:val="20"/>
                <w:szCs w:val="20"/>
              </w:rPr>
              <w:t>o What are its major functions/mandates?</w:t>
            </w:r>
            <w:r>
              <w:br/>
            </w:r>
            <w:r w:rsidRPr="65D9A205">
              <w:rPr>
                <w:rFonts w:eastAsia="Calibri" w:cs="Calibri"/>
                <w:color w:val="000000"/>
                <w:sz w:val="20"/>
                <w:szCs w:val="20"/>
              </w:rPr>
              <w:t>o How is it funded?</w:t>
            </w:r>
            <w:r>
              <w:br/>
            </w:r>
            <w:r w:rsidRPr="65D9A205">
              <w:rPr>
                <w:rFonts w:eastAsia="Calibri" w:cs="Calibri"/>
                <w:color w:val="000000"/>
                <w:sz w:val="20"/>
                <w:szCs w:val="20"/>
              </w:rPr>
              <w:t>o Can you describe any achievements / outcomes from these interactions?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E6ACCC2" w14:textId="46FBBA4C" w:rsidR="65D9A205" w:rsidRDefault="65D9A205" w:rsidP="65D9A205">
            <w:pPr>
              <w:rPr>
                <w:rFonts w:eastAsia="Calibri" w:cs="Calibri"/>
                <w:color w:val="000000"/>
                <w:sz w:val="20"/>
                <w:szCs w:val="20"/>
              </w:rPr>
            </w:pPr>
          </w:p>
        </w:tc>
      </w:tr>
      <w:tr w:rsidR="65D9A205" w14:paraId="1CB3EA3B" w14:textId="77777777" w:rsidTr="0094656D">
        <w:trPr>
          <w:trHeight w:val="221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2BA544F" w14:textId="643AA4EA"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9C1D0E8" w14:textId="51AECEB7" w:rsidR="65D9A205" w:rsidRDefault="65D9A205" w:rsidP="65D9A205">
            <w:pPr>
              <w:rPr>
                <w:rFonts w:eastAsia="Calibri" w:cs="Calibri"/>
                <w:color w:val="000000"/>
                <w:sz w:val="20"/>
                <w:szCs w:val="20"/>
              </w:rPr>
            </w:pPr>
            <w:r w:rsidRPr="65D9A205">
              <w:rPr>
                <w:rFonts w:eastAsia="Calibri" w:cs="Calibri"/>
                <w:color w:val="000000"/>
                <w:sz w:val="20"/>
                <w:szCs w:val="20"/>
              </w:rPr>
              <w:t>Would you say that the national AMR effort includes a clear and effective strategy for informing specific national actions using surveillance data?o eg as opposed to international reporting or local clinical practice</w:t>
            </w:r>
            <w:r>
              <w:br/>
            </w:r>
            <w:r w:rsidRPr="65D9A205">
              <w:rPr>
                <w:rFonts w:eastAsia="Calibri" w:cs="Calibri"/>
                <w:color w:val="000000"/>
                <w:sz w:val="20"/>
                <w:szCs w:val="20"/>
              </w:rPr>
              <w:t>o If yes, how? What policy initiatives? What regulatory initiatives? What approach has been chosen to address practices and attitudes? (What approaches have been discarded?)</w:t>
            </w:r>
            <w:r>
              <w:br/>
            </w:r>
            <w:r w:rsidRPr="65D9A205">
              <w:rPr>
                <w:rFonts w:eastAsia="Calibri" w:cs="Calibri"/>
                <w:color w:val="000000"/>
                <w:sz w:val="20"/>
                <w:szCs w:val="20"/>
              </w:rPr>
              <w:t>o PROBE: are sectoral distinctions important, for example policy for gradual development of guidelines in human health but focused push to regulate certain antimicrobial uses in animal health?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6C1BC054" w14:textId="4C5118B9" w:rsidR="65D9A205" w:rsidRDefault="65D9A205" w:rsidP="65D9A205">
            <w:pPr>
              <w:rPr>
                <w:rFonts w:eastAsia="Calibri" w:cs="Calibri"/>
                <w:color w:val="000000"/>
                <w:sz w:val="20"/>
                <w:szCs w:val="20"/>
              </w:rPr>
            </w:pPr>
          </w:p>
        </w:tc>
      </w:tr>
      <w:tr w:rsidR="65D9A205" w14:paraId="17B66BFA" w14:textId="77777777" w:rsidTr="0094656D">
        <w:trPr>
          <w:trHeight w:val="2494"/>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9953983" w14:textId="71821B35"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147623DC" w14:textId="0E7D948A"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do you think should be the future priorities for the Fleming Fund when supporting national AMR actions using surveillance data? PROBES: </w:t>
            </w:r>
            <w:r>
              <w:br/>
            </w:r>
            <w:r w:rsidRPr="65D9A205">
              <w:rPr>
                <w:rFonts w:eastAsia="Calibri" w:cs="Calibri"/>
                <w:color w:val="000000"/>
                <w:sz w:val="20"/>
                <w:szCs w:val="20"/>
              </w:rPr>
              <w:t>o Do you think that it will be more effective to foster local change (‘bottom up’) or to concentrate on motivating national initiatives (‘top down’)</w:t>
            </w:r>
            <w:r>
              <w:br/>
            </w:r>
            <w:r w:rsidRPr="65D9A205">
              <w:rPr>
                <w:rFonts w:eastAsia="Calibri" w:cs="Calibri"/>
                <w:color w:val="000000"/>
                <w:sz w:val="20"/>
                <w:szCs w:val="20"/>
              </w:rPr>
              <w:t>o Will the data show a need for action (‘push’) or will intended actions show what data is needed (‘pull’)?</w:t>
            </w:r>
            <w:r>
              <w:br/>
            </w:r>
            <w:r w:rsidRPr="65D9A205">
              <w:rPr>
                <w:rFonts w:eastAsia="Calibri" w:cs="Calibri"/>
                <w:color w:val="000000"/>
                <w:sz w:val="20"/>
                <w:szCs w:val="20"/>
              </w:rPr>
              <w:t>o What is more important, Infection Prevention &amp; Control (IPC) or Antimicrobial Use controls (AMU)?</w:t>
            </w:r>
            <w:r>
              <w:br/>
            </w:r>
            <w:r w:rsidRPr="65D9A205">
              <w:rPr>
                <w:rFonts w:eastAsia="Calibri" w:cs="Calibri"/>
                <w:color w:val="000000"/>
                <w:sz w:val="20"/>
                <w:szCs w:val="20"/>
              </w:rPr>
              <w:t>o Why? What approaches would be required to address these priorities?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2EE5A180" w14:textId="09E43A8E" w:rsidR="65D9A205" w:rsidRDefault="65D9A205" w:rsidP="65D9A205">
            <w:pPr>
              <w:rPr>
                <w:rFonts w:eastAsia="Calibri" w:cs="Calibri"/>
                <w:color w:val="000000"/>
                <w:sz w:val="20"/>
                <w:szCs w:val="20"/>
              </w:rPr>
            </w:pPr>
          </w:p>
        </w:tc>
      </w:tr>
    </w:tbl>
    <w:p w14:paraId="497B5CD3" w14:textId="003BC11B" w:rsidR="65D9A205" w:rsidRDefault="65D9A205" w:rsidP="65D9A205">
      <w:pPr>
        <w:spacing w:after="160" w:line="259" w:lineRule="auto"/>
        <w:rPr>
          <w:rFonts w:eastAsia="Calibri" w:cs="Calibri"/>
          <w:color w:val="000000"/>
        </w:rPr>
      </w:pPr>
    </w:p>
    <w:p w14:paraId="76BBC92E" w14:textId="484C8282" w:rsidR="65D9A205" w:rsidRDefault="65D9A205" w:rsidP="65D9A205">
      <w:pPr>
        <w:pStyle w:val="ItadNormalText"/>
        <w:keepNext/>
      </w:pPr>
    </w:p>
    <w:p w14:paraId="78DAEC80" w14:textId="5447CE1A" w:rsidR="65D9A205" w:rsidRDefault="65D9A205">
      <w:r>
        <w:br w:type="page"/>
      </w:r>
    </w:p>
    <w:p w14:paraId="554768F6" w14:textId="5F2FF36C" w:rsidR="4CE1AD5B" w:rsidRDefault="4CE1AD5B" w:rsidP="365D9676">
      <w:pPr>
        <w:pStyle w:val="ItadH3"/>
        <w:keepNext/>
        <w:spacing w:line="259" w:lineRule="auto"/>
      </w:pPr>
      <w:bookmarkStart w:id="470" w:name="_Toc142383254"/>
      <w:r w:rsidRPr="65D9A205">
        <w:rPr>
          <w:lang w:val="en-GB"/>
        </w:rPr>
        <w:t>KII Guide for HH NRL</w:t>
      </w:r>
      <w:bookmarkEnd w:id="470"/>
    </w:p>
    <w:p w14:paraId="4E2DA9D2" w14:textId="57A410EF" w:rsidR="65D9A205" w:rsidRDefault="7F7639DE" w:rsidP="65D9A205">
      <w:pPr>
        <w:widowControl w:val="0"/>
        <w:spacing w:after="160" w:line="259" w:lineRule="auto"/>
        <w:jc w:val="both"/>
        <w:rPr>
          <w:rFonts w:ascii="Calibri Light" w:eastAsia="Calibri Light" w:hAnsi="Calibri Light" w:cs="Calibri Light"/>
          <w:color w:val="2F5496"/>
          <w:sz w:val="26"/>
          <w:szCs w:val="26"/>
        </w:rPr>
      </w:pPr>
      <w:r w:rsidRPr="65D9A205">
        <w:rPr>
          <w:rFonts w:ascii="Calibri Light" w:eastAsia="Calibri Light" w:hAnsi="Calibri Light" w:cs="Calibri Light"/>
          <w:color w:val="2F5496"/>
          <w:sz w:val="26"/>
          <w:szCs w:val="26"/>
          <w:lang w:val="de-DE"/>
        </w:rPr>
        <w:t>HH NRL</w:t>
      </w:r>
    </w:p>
    <w:p w14:paraId="3935D1F7" w14:textId="08B684D0" w:rsidR="7F7639DE" w:rsidRDefault="7F7639DE" w:rsidP="65D9A205">
      <w:pPr>
        <w:widowControl w:val="0"/>
        <w:spacing w:after="160" w:line="259" w:lineRule="auto"/>
        <w:jc w:val="both"/>
        <w:rPr>
          <w:rFonts w:eastAsia="Calibri" w:cs="Calibri"/>
          <w:color w:val="000000"/>
        </w:rPr>
      </w:pPr>
      <w:r w:rsidRPr="00263CAE">
        <w:rPr>
          <w:rFonts w:eastAsia="Calibri" w:cs="Calibri"/>
          <w:b/>
          <w:bCs/>
          <w:color w:val="000000"/>
        </w:rPr>
        <w:t>KII name:</w:t>
      </w:r>
    </w:p>
    <w:p w14:paraId="66681F84" w14:textId="4C46E847" w:rsidR="7F7639DE" w:rsidRDefault="7F7639DE" w:rsidP="65D9A205">
      <w:pPr>
        <w:widowControl w:val="0"/>
        <w:spacing w:after="160" w:line="259" w:lineRule="auto"/>
        <w:jc w:val="both"/>
        <w:rPr>
          <w:rFonts w:eastAsia="Calibri" w:cs="Calibri"/>
          <w:color w:val="000000"/>
        </w:rPr>
      </w:pPr>
      <w:r w:rsidRPr="65D9A205">
        <w:rPr>
          <w:rFonts w:eastAsia="Calibri" w:cs="Calibri"/>
          <w:b/>
          <w:bCs/>
          <w:color w:val="000000"/>
        </w:rPr>
        <w:t>KII date:</w:t>
      </w:r>
    </w:p>
    <w:p w14:paraId="32351FDD" w14:textId="6D301DC4" w:rsidR="7F7639DE" w:rsidRPr="001B7050" w:rsidRDefault="7F7639DE" w:rsidP="65D9A205">
      <w:pPr>
        <w:widowControl w:val="0"/>
        <w:spacing w:after="160" w:line="259" w:lineRule="auto"/>
        <w:jc w:val="both"/>
        <w:rPr>
          <w:rFonts w:eastAsia="Calibri" w:cs="Calibri"/>
          <w:color w:val="000000"/>
        </w:rPr>
      </w:pPr>
      <w:r w:rsidRPr="001B7050">
        <w:rPr>
          <w:rFonts w:eastAsia="Calibri" w:cs="Calibri"/>
          <w:b/>
          <w:bCs/>
          <w:color w:val="000000"/>
        </w:rPr>
        <w:t>KII interviewer(s):</w:t>
      </w:r>
    </w:p>
    <w:p w14:paraId="1FC76C74" w14:textId="1AC59A10" w:rsidR="7F7639DE" w:rsidRPr="001B7050" w:rsidRDefault="7F7639DE" w:rsidP="65D9A205">
      <w:pPr>
        <w:spacing w:after="160" w:line="259" w:lineRule="auto"/>
        <w:rPr>
          <w:rFonts w:eastAsia="Calibri" w:cs="Calibri"/>
          <w:color w:val="000000"/>
        </w:rPr>
      </w:pPr>
      <w:r w:rsidRPr="001B7050">
        <w:rPr>
          <w:rFonts w:eastAsia="Calibri" w:cs="Calibri"/>
          <w:b/>
          <w:bCs/>
          <w:color w:val="000000"/>
        </w:rPr>
        <w:t>Introduction</w:t>
      </w:r>
      <w:r w:rsidRPr="001B7050">
        <w:rPr>
          <w:rFonts w:eastAsia="Calibri" w:cs="Calibri"/>
          <w:color w:val="000000"/>
        </w:rPr>
        <w:t xml:space="preserve"> – please adapt and summarise according to the stakeholder / her knowledge of the evaluation etc </w:t>
      </w:r>
      <w:r w:rsidRPr="001B7050">
        <w:rPr>
          <w:rFonts w:ascii="Times New Roman" w:eastAsia="Times New Roman" w:hAnsi="Times New Roman" w:cs="Times New Roman"/>
          <w:color w:val="000000"/>
          <w:sz w:val="24"/>
          <w:szCs w:val="24"/>
        </w:rPr>
        <w:t>–</w:t>
      </w:r>
      <w:r w:rsidRPr="001B7050">
        <w:rPr>
          <w:rFonts w:eastAsia="Calibri" w:cs="Calibri"/>
          <w:color w:val="000000"/>
        </w:rPr>
        <w:t xml:space="preserve"> aim to get this intro as short as possible.</w:t>
      </w:r>
    </w:p>
    <w:p w14:paraId="1354F5FC" w14:textId="5B3F4143" w:rsidR="7F7639DE" w:rsidRPr="001B7050" w:rsidRDefault="7F7639DE" w:rsidP="65D9A205">
      <w:pPr>
        <w:spacing w:line="259" w:lineRule="auto"/>
        <w:rPr>
          <w:rFonts w:eastAsia="Calibri" w:cs="Calibri"/>
          <w:color w:val="000000"/>
        </w:rPr>
      </w:pPr>
      <w:r w:rsidRPr="001B7050">
        <w:rPr>
          <w:rFonts w:eastAsia="Calibri" w:cs="Calibri"/>
          <w:color w:val="000000"/>
        </w:rPr>
        <w:t xml:space="preserve"> • </w:t>
      </w:r>
      <w:r w:rsidRPr="001B7050">
        <w:rPr>
          <w:rFonts w:eastAsia="Calibri" w:cs="Calibri"/>
          <w:b/>
          <w:bCs/>
          <w:color w:val="000000"/>
        </w:rPr>
        <w:t>Thank you</w:t>
      </w:r>
      <w:r w:rsidRPr="001B7050">
        <w:rPr>
          <w:rFonts w:eastAsia="Calibri" w:cs="Calibri"/>
          <w:color w:val="000000"/>
        </w:rPr>
        <w:t xml:space="preserve"> – Thank you the interviewee for having accepted the meeting and for their time today. </w:t>
      </w:r>
    </w:p>
    <w:p w14:paraId="0176286E" w14:textId="7B19D344" w:rsidR="7F7639DE" w:rsidRPr="001B7050" w:rsidRDefault="7F7639DE"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Introductions</w:t>
      </w:r>
      <w:r w:rsidRPr="001B7050">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7A4D4BDC" w14:textId="3609EC76" w:rsidR="7F7639DE" w:rsidRPr="001B7050" w:rsidRDefault="7F7639DE" w:rsidP="65D9A205">
      <w:pPr>
        <w:spacing w:line="259" w:lineRule="auto"/>
        <w:rPr>
          <w:rFonts w:eastAsia="Calibri" w:cs="Calibri"/>
          <w:color w:val="000000"/>
        </w:rPr>
      </w:pPr>
      <w:r w:rsidRPr="001B7050">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6D7EB34E" w14:textId="117A6204" w:rsidR="7F7639DE" w:rsidRPr="001B7050" w:rsidRDefault="7F7639DE" w:rsidP="65D9A205">
      <w:pPr>
        <w:spacing w:line="259" w:lineRule="auto"/>
        <w:rPr>
          <w:rFonts w:eastAsia="Calibri" w:cs="Calibri"/>
          <w:color w:val="000000"/>
        </w:rPr>
      </w:pPr>
      <w:r w:rsidRPr="001B7050">
        <w:rPr>
          <w:rFonts w:eastAsia="Calibri" w:cs="Calibri"/>
          <w:color w:val="000000"/>
        </w:rPr>
        <w:t xml:space="preserve">[Let others introduce themselves or tell them there will be a chance after you have explained the purpose of the interview] </w:t>
      </w:r>
    </w:p>
    <w:p w14:paraId="35359B8D" w14:textId="420B99B0" w:rsidR="7F7639DE" w:rsidRPr="001B7050" w:rsidRDefault="7F7639DE" w:rsidP="65D9A205">
      <w:pPr>
        <w:spacing w:line="259" w:lineRule="auto"/>
        <w:rPr>
          <w:rFonts w:eastAsia="Calibri" w:cs="Calibri"/>
          <w:color w:val="000000"/>
        </w:rPr>
      </w:pPr>
      <w:r w:rsidRPr="001B7050">
        <w:rPr>
          <w:rFonts w:eastAsia="Calibri" w:cs="Calibri"/>
          <w:color w:val="000000"/>
        </w:rPr>
        <w:t xml:space="preserve">[Acknowledge whether we have already interviewed the stakeholder during CV1/2]  </w:t>
      </w:r>
    </w:p>
    <w:p w14:paraId="2FF644E8" w14:textId="15ED7E76" w:rsidR="7F7639DE" w:rsidRPr="001B7050" w:rsidRDefault="7F7639DE" w:rsidP="65D9A205">
      <w:pPr>
        <w:spacing w:line="259" w:lineRule="auto"/>
        <w:rPr>
          <w:rFonts w:eastAsia="Calibri" w:cs="Calibri"/>
          <w:color w:val="000000"/>
        </w:rPr>
      </w:pPr>
      <w:r w:rsidRPr="001B7050">
        <w:rPr>
          <w:rFonts w:eastAsia="Calibri" w:cs="Calibri"/>
          <w:color w:val="000000"/>
        </w:rPr>
        <w:t xml:space="preserve"> </w:t>
      </w:r>
    </w:p>
    <w:p w14:paraId="3BF1AD14" w14:textId="44A592C1" w:rsidR="7F7639DE" w:rsidRPr="001B7050" w:rsidRDefault="7F7639DE"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Purpose</w:t>
      </w:r>
      <w:r w:rsidRPr="001B7050">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5E89FBFB" w14:textId="7D149FA3" w:rsidR="7F7639DE" w:rsidRPr="001B7050" w:rsidRDefault="7F7639DE"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 xml:space="preserve">Focus </w:t>
      </w:r>
      <w:r w:rsidRPr="001B7050">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79153348" w14:textId="7DB78AF3" w:rsidR="7F7639DE" w:rsidRPr="001B7050" w:rsidRDefault="7F7639DE" w:rsidP="00C6374D">
      <w:pPr>
        <w:pStyle w:val="ListParagraph"/>
        <w:numPr>
          <w:ilvl w:val="0"/>
          <w:numId w:val="9"/>
        </w:numPr>
        <w:spacing w:line="259" w:lineRule="auto"/>
        <w:rPr>
          <w:rFonts w:eastAsia="Calibri" w:cs="Calibri"/>
          <w:color w:val="000000"/>
        </w:rPr>
      </w:pPr>
      <w:r w:rsidRPr="001B7050">
        <w:rPr>
          <w:rFonts w:eastAsia="Calibri" w:cs="Calibri"/>
          <w:color w:val="000000"/>
        </w:rPr>
        <w:t xml:space="preserve">More and better AMR/C/U data produced and shared at country level  </w:t>
      </w:r>
    </w:p>
    <w:p w14:paraId="76F87DE1" w14:textId="581ADB4D" w:rsidR="7F7639DE" w:rsidRPr="001B7050" w:rsidRDefault="7F7639DE" w:rsidP="00C6374D">
      <w:pPr>
        <w:pStyle w:val="ListParagraph"/>
        <w:numPr>
          <w:ilvl w:val="0"/>
          <w:numId w:val="9"/>
        </w:numPr>
        <w:spacing w:line="259" w:lineRule="auto"/>
        <w:rPr>
          <w:rFonts w:eastAsia="Calibri" w:cs="Calibri"/>
          <w:color w:val="000000"/>
        </w:rPr>
      </w:pPr>
      <w:r w:rsidRPr="001B7050">
        <w:rPr>
          <w:rFonts w:eastAsia="Calibri" w:cs="Calibri"/>
          <w:color w:val="000000"/>
        </w:rPr>
        <w:t xml:space="preserve">More and better AMR/C/U data shared internationally (with GLASS/OIE) </w:t>
      </w:r>
    </w:p>
    <w:p w14:paraId="5B2AADEF" w14:textId="7EA7AAA3" w:rsidR="7F7639DE" w:rsidRPr="001B7050" w:rsidRDefault="7F7639DE" w:rsidP="00C6374D">
      <w:pPr>
        <w:pStyle w:val="ListParagraph"/>
        <w:numPr>
          <w:ilvl w:val="0"/>
          <w:numId w:val="9"/>
        </w:numPr>
        <w:spacing w:line="259" w:lineRule="auto"/>
        <w:rPr>
          <w:rFonts w:eastAsia="Calibri" w:cs="Calibri"/>
          <w:color w:val="000000"/>
        </w:rPr>
      </w:pPr>
      <w:r w:rsidRPr="001B7050">
        <w:rPr>
          <w:rFonts w:eastAsia="Calibri" w:cs="Calibri"/>
          <w:color w:val="000000"/>
        </w:rPr>
        <w:t xml:space="preserve">Regulatory and policy change that can have an impact in reducing AMR </w:t>
      </w:r>
    </w:p>
    <w:p w14:paraId="1CBB4004" w14:textId="7D7742E4" w:rsidR="7F7639DE" w:rsidRPr="001B7050" w:rsidRDefault="7F7639DE" w:rsidP="00C6374D">
      <w:pPr>
        <w:pStyle w:val="ListParagraph"/>
        <w:numPr>
          <w:ilvl w:val="0"/>
          <w:numId w:val="9"/>
        </w:numPr>
        <w:spacing w:line="259" w:lineRule="auto"/>
        <w:rPr>
          <w:rFonts w:eastAsia="Calibri" w:cs="Calibri"/>
          <w:color w:val="000000"/>
        </w:rPr>
      </w:pPr>
      <w:r w:rsidRPr="001B7050">
        <w:rPr>
          <w:rFonts w:eastAsia="Calibri" w:cs="Calibri"/>
          <w:color w:val="000000"/>
        </w:rPr>
        <w:t xml:space="preserve">Changes in practice / attitude towards the use of antimicrobials.  </w:t>
      </w:r>
    </w:p>
    <w:p w14:paraId="48F1FBC4" w14:textId="4D8284CD" w:rsidR="7F7639DE" w:rsidRPr="001B7050" w:rsidRDefault="7F7639DE" w:rsidP="65D9A205">
      <w:pPr>
        <w:spacing w:line="259" w:lineRule="auto"/>
        <w:rPr>
          <w:rFonts w:eastAsia="Calibri" w:cs="Calibri"/>
          <w:color w:val="000000"/>
        </w:rPr>
      </w:pPr>
      <w:r w:rsidRPr="001B7050">
        <w:rPr>
          <w:rFonts w:eastAsia="Calibri" w:cs="Calibri"/>
          <w:color w:val="000000"/>
        </w:rPr>
        <w:t xml:space="preserve"> </w:t>
      </w:r>
    </w:p>
    <w:p w14:paraId="4133AF4A" w14:textId="039F0DF7" w:rsidR="7F7639DE" w:rsidRPr="001B7050" w:rsidRDefault="7F7639DE" w:rsidP="65D9A205">
      <w:pPr>
        <w:spacing w:line="259" w:lineRule="auto"/>
        <w:rPr>
          <w:rFonts w:eastAsia="Calibri" w:cs="Calibri"/>
          <w:color w:val="000000"/>
        </w:rPr>
      </w:pPr>
      <w:r w:rsidRPr="001B7050">
        <w:rPr>
          <w:rFonts w:eastAsia="Calibri" w:cs="Calibri"/>
          <w:color w:val="000000"/>
        </w:rPr>
        <w:t>We have also questions relate to coherence of Fleming Fund efforts with those of other actors in country, sustainability of FF results and Value for Money [adapt the list as appropriate].</w:t>
      </w:r>
    </w:p>
    <w:p w14:paraId="0B782913" w14:textId="28D4B86D" w:rsidR="7F7639DE" w:rsidRPr="001B7050" w:rsidRDefault="7F7639DE" w:rsidP="65D9A205">
      <w:pPr>
        <w:spacing w:line="259" w:lineRule="auto"/>
        <w:rPr>
          <w:rFonts w:eastAsia="Calibri" w:cs="Calibri"/>
          <w:color w:val="000000"/>
        </w:rPr>
      </w:pPr>
      <w:r w:rsidRPr="001B7050">
        <w:rPr>
          <w:rFonts w:eastAsia="Calibri" w:cs="Calibri"/>
          <w:color w:val="000000"/>
        </w:rPr>
        <w:t xml:space="preserve"> </w:t>
      </w:r>
    </w:p>
    <w:p w14:paraId="3B3C5E36" w14:textId="3BD6ACAA" w:rsidR="7F7639DE" w:rsidRPr="001B7050" w:rsidRDefault="7F7639DE"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Confidentiality / permission to record</w:t>
      </w:r>
      <w:r w:rsidRPr="001B7050">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22A96A39" w14:textId="6B716579" w:rsidR="7F7639DE" w:rsidRPr="001B7050" w:rsidRDefault="7F7639DE" w:rsidP="65D9A205">
      <w:pPr>
        <w:spacing w:line="259" w:lineRule="auto"/>
        <w:rPr>
          <w:rFonts w:eastAsia="Calibri" w:cs="Calibri"/>
          <w:color w:val="000000"/>
        </w:rPr>
      </w:pPr>
      <w:r w:rsidRPr="001B7050">
        <w:rPr>
          <w:rFonts w:eastAsia="Calibri" w:cs="Calibri"/>
          <w:color w:val="000000"/>
        </w:rPr>
        <w:t xml:space="preserve"> </w:t>
      </w:r>
    </w:p>
    <w:p w14:paraId="6EDBF09A" w14:textId="6096BC62" w:rsidR="7F7639DE" w:rsidRDefault="7F7639DE"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Duration</w:t>
      </w:r>
      <w:r w:rsidRPr="001B7050">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 know the answer to a question</w:t>
      </w:r>
      <w:r w:rsidRPr="65D9A205">
        <w:rPr>
          <w:rFonts w:eastAsia="Calibri" w:cs="Calibri"/>
          <w:color w:val="000000"/>
        </w:rPr>
        <w:t xml:space="preserve"> or prefer not to answer – just let me know and I’ll adapt the interview accordingly.   </w:t>
      </w:r>
    </w:p>
    <w:p w14:paraId="2451DE0F" w14:textId="74AB90CA" w:rsidR="7F7639DE" w:rsidRDefault="7F7639DE" w:rsidP="65D9A205">
      <w:pPr>
        <w:spacing w:line="259" w:lineRule="auto"/>
        <w:rPr>
          <w:rFonts w:ascii="Segoe UI" w:eastAsia="Segoe UI" w:hAnsi="Segoe UI" w:cs="Segoe UI"/>
          <w:color w:val="000000"/>
        </w:rPr>
      </w:pPr>
      <w:r w:rsidRPr="65D9A205">
        <w:rPr>
          <w:rFonts w:ascii="Segoe UI" w:eastAsia="Segoe UI" w:hAnsi="Segoe UI" w:cs="Segoe UI"/>
          <w:color w:val="000000"/>
        </w:rPr>
        <w:t xml:space="preserve"> </w:t>
      </w:r>
    </w:p>
    <w:p w14:paraId="3E39950A" w14:textId="25CE7358" w:rsidR="7F7639DE" w:rsidRDefault="7F7639DE" w:rsidP="65D9A205">
      <w:pPr>
        <w:spacing w:line="259" w:lineRule="auto"/>
        <w:rPr>
          <w:rFonts w:eastAsia="Calibri" w:cs="Calibri"/>
          <w:color w:val="000000"/>
        </w:rPr>
      </w:pPr>
      <w:r w:rsidRPr="65D9A205">
        <w:rPr>
          <w:rFonts w:eastAsia="Calibri" w:cs="Calibri"/>
          <w:color w:val="000000"/>
        </w:rPr>
        <w:t xml:space="preserve">• </w:t>
      </w:r>
      <w:r w:rsidRPr="65D9A205">
        <w:rPr>
          <w:rFonts w:eastAsia="Calibri" w:cs="Calibri"/>
          <w:b/>
          <w:bCs/>
          <w:color w:val="000000"/>
        </w:rPr>
        <w:t>Opportunity for questions</w:t>
      </w:r>
      <w:r w:rsidRPr="65D9A205">
        <w:rPr>
          <w:rFonts w:eastAsia="Calibri" w:cs="Calibri"/>
          <w:color w:val="000000"/>
        </w:rPr>
        <w:t xml:space="preserve"> – Do you have any questions before we start? Of course you are also welcome to ask questions through the interview if something is not clear.  </w:t>
      </w:r>
    </w:p>
    <w:p w14:paraId="31F4626C" w14:textId="4C80BDEB" w:rsidR="65D9A205" w:rsidRDefault="65D9A205" w:rsidP="65D9A205">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75"/>
        <w:gridCol w:w="6345"/>
        <w:gridCol w:w="6345"/>
      </w:tblGrid>
      <w:tr w:rsidR="65D9A205" w14:paraId="4F863A02" w14:textId="77777777" w:rsidTr="0094656D">
        <w:trPr>
          <w:trHeight w:val="567"/>
          <w:tblHeader/>
        </w:trPr>
        <w:tc>
          <w:tcPr>
            <w:tcW w:w="97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05610D17" w14:textId="5F531EDB" w:rsidR="65D9A205" w:rsidRDefault="65D9A205" w:rsidP="0094656D">
            <w:pPr>
              <w:rPr>
                <w:rFonts w:eastAsia="Calibri" w:cs="Calibri"/>
                <w:color w:val="FFFFFF" w:themeColor="background1"/>
                <w:sz w:val="20"/>
                <w:szCs w:val="20"/>
              </w:rPr>
            </w:pPr>
            <w:r w:rsidRPr="65D9A205">
              <w:rPr>
                <w:rFonts w:eastAsia="Calibri" w:cs="Calibri"/>
                <w:color w:val="FFFFFF" w:themeColor="background1"/>
                <w:sz w:val="20"/>
                <w:szCs w:val="20"/>
              </w:rPr>
              <w:t>EQ</w:t>
            </w:r>
          </w:p>
        </w:tc>
        <w:tc>
          <w:tcPr>
            <w:tcW w:w="634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19166E6A" w14:textId="7D136FB2" w:rsidR="65D9A205" w:rsidRDefault="65D9A205" w:rsidP="0094656D">
            <w:pPr>
              <w:rPr>
                <w:rFonts w:eastAsia="Calibri" w:cs="Calibri"/>
                <w:color w:val="FFFFFF" w:themeColor="background1"/>
                <w:sz w:val="20"/>
                <w:szCs w:val="20"/>
              </w:rPr>
            </w:pPr>
            <w:r w:rsidRPr="65D9A205">
              <w:rPr>
                <w:rFonts w:eastAsia="Calibri" w:cs="Calibri"/>
                <w:color w:val="FFFFFF" w:themeColor="background1"/>
                <w:sz w:val="20"/>
                <w:szCs w:val="20"/>
              </w:rPr>
              <w:t xml:space="preserve">List of questions  </w:t>
            </w:r>
          </w:p>
        </w:tc>
        <w:tc>
          <w:tcPr>
            <w:tcW w:w="634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26C6C74B" w14:textId="11AE16C0" w:rsidR="65D9A205" w:rsidRDefault="65D9A205" w:rsidP="0094656D">
            <w:pPr>
              <w:rPr>
                <w:rFonts w:eastAsia="Calibri" w:cs="Calibri"/>
                <w:color w:val="FFFFFF" w:themeColor="background1"/>
                <w:sz w:val="20"/>
                <w:szCs w:val="20"/>
              </w:rPr>
            </w:pPr>
            <w:r w:rsidRPr="65D9A205">
              <w:rPr>
                <w:rFonts w:eastAsia="Calibri" w:cs="Calibri"/>
                <w:color w:val="FFFFFF" w:themeColor="background1"/>
                <w:sz w:val="20"/>
                <w:szCs w:val="20"/>
              </w:rPr>
              <w:t>Response</w:t>
            </w:r>
          </w:p>
        </w:tc>
      </w:tr>
      <w:tr w:rsidR="65D9A205" w14:paraId="296CC455" w14:textId="77777777" w:rsidTr="65D9A205">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6E0D63E" w14:textId="44181420" w:rsidR="65D9A205" w:rsidRDefault="65D9A205" w:rsidP="65D9A205">
            <w:pPr>
              <w:rPr>
                <w:rFonts w:eastAsia="Calibri" w:cs="Calibri"/>
                <w:color w:val="000000"/>
                <w:sz w:val="20"/>
                <w:szCs w:val="20"/>
              </w:rPr>
            </w:pPr>
            <w:r w:rsidRPr="65D9A205">
              <w:rPr>
                <w:rFonts w:eastAsia="Calibri" w:cs="Calibri"/>
                <w:color w:val="000000"/>
                <w:sz w:val="20"/>
                <w:szCs w:val="20"/>
              </w:rPr>
              <w:t>EQ1 (HH)</w:t>
            </w:r>
            <w:r w:rsidRPr="00263CAE">
              <w:rPr>
                <w:rFonts w:eastAsia="Calibri" w:cs="Calibri"/>
                <w:color w:val="000000"/>
                <w:sz w:val="20"/>
                <w:szCs w:val="20"/>
              </w:rPr>
              <w:t xml:space="preserve"> / Change 1a</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408C905" w14:textId="1A8AF710"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and in which ways do you think the </w:t>
            </w:r>
            <w:r w:rsidRPr="65D9A205">
              <w:rPr>
                <w:rFonts w:eastAsia="Calibri" w:cs="Calibri"/>
                <w:b/>
                <w:bCs/>
                <w:color w:val="000000"/>
                <w:sz w:val="20"/>
                <w:szCs w:val="20"/>
              </w:rPr>
              <w:t>quantity</w:t>
            </w:r>
            <w:r w:rsidRPr="65D9A205">
              <w:rPr>
                <w:rFonts w:eastAsia="Calibri" w:cs="Calibri"/>
                <w:color w:val="000000"/>
                <w:sz w:val="20"/>
                <w:szCs w:val="20"/>
              </w:rPr>
              <w:t xml:space="preserve"> of </w:t>
            </w:r>
            <w:r w:rsidRPr="65D9A205">
              <w:rPr>
                <w:color w:val="000000"/>
                <w:sz w:val="20"/>
                <w:szCs w:val="20"/>
                <w:u w:val="single"/>
              </w:rPr>
              <w:t>HH</w:t>
            </w:r>
            <w:r w:rsidRPr="65D9A205">
              <w:rPr>
                <w:rFonts w:eastAsia="Calibri" w:cs="Calibri"/>
                <w:color w:val="000000"/>
                <w:sz w:val="20"/>
                <w:szCs w:val="20"/>
              </w:rPr>
              <w:t xml:space="preserve"> AMR/C/U data generated has improved since 2018? Summarise our understanding of changes in data quantity (sites, pathogens, samples) obtained from document review.  To what extent your records on quantity of AMR/U/C data generated match with our understanding? </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432095DF" w14:textId="5BA737F1" w:rsidR="65D9A205" w:rsidRDefault="65D9A205" w:rsidP="65D9A205">
            <w:pPr>
              <w:rPr>
                <w:rFonts w:eastAsia="Calibri" w:cs="Calibri"/>
                <w:color w:val="000000"/>
                <w:sz w:val="20"/>
                <w:szCs w:val="20"/>
              </w:rPr>
            </w:pPr>
          </w:p>
        </w:tc>
      </w:tr>
      <w:tr w:rsidR="65D9A205" w14:paraId="1DFAD2F6" w14:textId="77777777" w:rsidTr="65D9A205">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159B7346" w14:textId="1BBC7604" w:rsidR="65D9A205" w:rsidRDefault="65D9A205" w:rsidP="65D9A205">
            <w:pPr>
              <w:rPr>
                <w:rFonts w:eastAsia="Calibri" w:cs="Calibri"/>
                <w:color w:val="000000"/>
                <w:sz w:val="20"/>
                <w:szCs w:val="20"/>
              </w:rPr>
            </w:pPr>
            <w:r w:rsidRPr="00263CAE">
              <w:rPr>
                <w:rFonts w:eastAsia="Calibri" w:cs="Calibri"/>
                <w:color w:val="000000"/>
                <w:sz w:val="20"/>
                <w:szCs w:val="20"/>
              </w:rPr>
              <w:t>EQ1 (HH) / Change 1a</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vAlign w:val="center"/>
          </w:tcPr>
          <w:p w14:paraId="273AA10D" w14:textId="3F99DF7B" w:rsidR="65D9A205" w:rsidRPr="00263CAE" w:rsidRDefault="65D9A205" w:rsidP="65D9A205">
            <w:pPr>
              <w:rPr>
                <w:rFonts w:eastAsia="Calibri" w:cs="Calibri"/>
                <w:sz w:val="20"/>
                <w:szCs w:val="20"/>
              </w:rPr>
            </w:pPr>
            <w:r w:rsidRPr="00263CAE">
              <w:rPr>
                <w:rFonts w:eastAsia="Calibri" w:cs="Calibri"/>
                <w:sz w:val="20"/>
                <w:szCs w:val="20"/>
              </w:rPr>
              <w:t xml:space="preserve">What were the </w:t>
            </w:r>
            <w:r w:rsidRPr="00263CAE">
              <w:rPr>
                <w:rFonts w:eastAsia="Calibri" w:cs="Calibri"/>
                <w:b/>
                <w:bCs/>
                <w:sz w:val="20"/>
                <w:szCs w:val="20"/>
              </w:rPr>
              <w:t>key change drivers/factors,</w:t>
            </w:r>
            <w:r w:rsidRPr="00263CAE">
              <w:rPr>
                <w:rFonts w:eastAsia="Calibri" w:cs="Calibri"/>
                <w:sz w:val="20"/>
                <w:szCs w:val="20"/>
              </w:rPr>
              <w:t xml:space="preserve"> in order of importance, behind such change? Probes: number of sites, number of pathogens, human capacity, renovation and equipment, consumable, prioritisation, governance, awareness, clinician/health facility´s engagement, patient numbers etc.</w:t>
            </w:r>
            <w:r w:rsidRPr="00263CAE">
              <w:rPr>
                <w:rFonts w:eastAsia="Calibri" w:cs="Calibri"/>
                <w:b/>
                <w:bCs/>
              </w:rPr>
              <w:t xml:space="preserve"> </w:t>
            </w:r>
            <w:r w:rsidRPr="00263CAE">
              <w:rPr>
                <w:rFonts w:eastAsia="Calibri" w:cs="Calibri"/>
                <w:sz w:val="20"/>
                <w:szCs w:val="20"/>
              </w:rPr>
              <w:t xml:space="preserve"> </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tcPr>
          <w:p w14:paraId="29DB6B6F" w14:textId="00917C17" w:rsidR="65D9A205" w:rsidRDefault="65D9A205" w:rsidP="65D9A205">
            <w:pPr>
              <w:rPr>
                <w:rFonts w:eastAsia="Calibri" w:cs="Calibri"/>
                <w:color w:val="000000"/>
                <w:sz w:val="20"/>
                <w:szCs w:val="20"/>
              </w:rPr>
            </w:pPr>
          </w:p>
        </w:tc>
      </w:tr>
      <w:tr w:rsidR="65D9A205" w14:paraId="44B9D0E0" w14:textId="77777777" w:rsidTr="65D9A205">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766B5708" w14:textId="0ACA8CCA" w:rsidR="65D9A205" w:rsidRDefault="65D9A205" w:rsidP="65D9A205">
            <w:pPr>
              <w:rPr>
                <w:rFonts w:eastAsia="Calibri" w:cs="Calibri"/>
                <w:color w:val="000000"/>
                <w:sz w:val="20"/>
                <w:szCs w:val="20"/>
              </w:rPr>
            </w:pPr>
            <w:r w:rsidRPr="00263CAE">
              <w:rPr>
                <w:rFonts w:eastAsia="Calibri" w:cs="Calibri"/>
                <w:color w:val="000000"/>
                <w:sz w:val="20"/>
                <w:szCs w:val="20"/>
              </w:rPr>
              <w:t>EQ1 (HH) / Change 1a</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vAlign w:val="center"/>
          </w:tcPr>
          <w:p w14:paraId="32AE68A0" w14:textId="43F10E18" w:rsidR="65D9A205" w:rsidRPr="00263CAE" w:rsidRDefault="65D9A205" w:rsidP="65D9A205">
            <w:pPr>
              <w:rPr>
                <w:rFonts w:eastAsia="Calibri" w:cs="Calibri"/>
                <w:sz w:val="20"/>
                <w:szCs w:val="20"/>
              </w:rPr>
            </w:pPr>
            <w:r w:rsidRPr="00263CAE">
              <w:rPr>
                <w:rFonts w:eastAsia="Calibri" w:cs="Calibri"/>
                <w:sz w:val="20"/>
                <w:szCs w:val="20"/>
              </w:rPr>
              <w:t>What was the Fleming Fund (</w:t>
            </w:r>
            <w:r w:rsidRPr="00263CAE">
              <w:rPr>
                <w:rFonts w:eastAsia="Calibri" w:cs="Calibri"/>
                <w:b/>
                <w:bCs/>
                <w:sz w:val="20"/>
                <w:szCs w:val="20"/>
              </w:rPr>
              <w:t>CG/RG/Fellows</w:t>
            </w:r>
            <w:r w:rsidRPr="00263CAE">
              <w:rPr>
                <w:rFonts w:eastAsia="Calibri" w:cs="Calibri"/>
                <w:sz w:val="20"/>
                <w:szCs w:val="20"/>
              </w:rPr>
              <w:t xml:space="preserve">) </w:t>
            </w:r>
            <w:r w:rsidRPr="00263CAE">
              <w:rPr>
                <w:rFonts w:eastAsia="Calibri" w:cs="Calibri"/>
                <w:b/>
                <w:bCs/>
                <w:sz w:val="20"/>
                <w:szCs w:val="20"/>
              </w:rPr>
              <w:t>contribution</w:t>
            </w:r>
            <w:r w:rsidRPr="00263CAE">
              <w:rPr>
                <w:rFonts w:eastAsia="Calibri" w:cs="Calibri"/>
                <w:sz w:val="20"/>
                <w:szCs w:val="20"/>
              </w:rPr>
              <w:t xml:space="preserve"> to those drivers?</w:t>
            </w:r>
            <w:r w:rsidRPr="00263CAE">
              <w:br/>
            </w:r>
            <w:r w:rsidRPr="00263CAE">
              <w:rPr>
                <w:rFonts w:eastAsia="Calibri" w:cs="Calibri"/>
                <w:sz w:val="20"/>
                <w:szCs w:val="20"/>
              </w:rPr>
              <w:t>How vital was that it compared to the contribution of:</w:t>
            </w:r>
            <w:r w:rsidRPr="00263CAE">
              <w:br/>
            </w:r>
            <w:r w:rsidRPr="00263CAE">
              <w:rPr>
                <w:rFonts w:eastAsia="Calibri" w:cs="Calibri"/>
                <w:sz w:val="20"/>
                <w:szCs w:val="20"/>
              </w:rPr>
              <w:t>-Global Projects (name any active in country)</w:t>
            </w:r>
            <w:r w:rsidRPr="00263CAE">
              <w:br/>
            </w:r>
            <w:r w:rsidRPr="00263CAE">
              <w:rPr>
                <w:rFonts w:eastAsia="Calibri" w:cs="Calibri"/>
                <w:sz w:val="20"/>
                <w:szCs w:val="20"/>
              </w:rPr>
              <w:t>-Other influencing factors (could be government activities, interventions by other DPs or exogenous factors such as COVID-19)?</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tcPr>
          <w:p w14:paraId="7D1BC85D" w14:textId="15C68F0A" w:rsidR="65D9A205" w:rsidRDefault="65D9A205" w:rsidP="65D9A205">
            <w:pPr>
              <w:rPr>
                <w:rFonts w:eastAsia="Calibri" w:cs="Calibri"/>
                <w:color w:val="000000"/>
                <w:sz w:val="20"/>
                <w:szCs w:val="20"/>
              </w:rPr>
            </w:pPr>
          </w:p>
        </w:tc>
      </w:tr>
      <w:tr w:rsidR="65D9A205" w14:paraId="34433EDA" w14:textId="77777777" w:rsidTr="65D9A205">
        <w:trPr>
          <w:trHeight w:val="55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393186AF" w14:textId="7051E36C" w:rsidR="65D9A205" w:rsidRDefault="65D9A205" w:rsidP="65D9A205">
            <w:pPr>
              <w:rPr>
                <w:rFonts w:eastAsia="Calibri" w:cs="Calibri"/>
                <w:color w:val="000000"/>
                <w:sz w:val="20"/>
                <w:szCs w:val="20"/>
              </w:rPr>
            </w:pPr>
            <w:r w:rsidRPr="00263CAE">
              <w:rPr>
                <w:rFonts w:eastAsia="Calibri" w:cs="Calibri"/>
                <w:color w:val="000000"/>
                <w:sz w:val="20"/>
                <w:szCs w:val="20"/>
              </w:rPr>
              <w:t>EQ1 (HH) / Change 1a</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vAlign w:val="bottom"/>
          </w:tcPr>
          <w:p w14:paraId="735096F7" w14:textId="44FCA28C" w:rsidR="65D9A205" w:rsidRPr="00263CAE" w:rsidRDefault="65D9A205" w:rsidP="65D9A205">
            <w:pPr>
              <w:rPr>
                <w:rFonts w:eastAsia="Calibri" w:cs="Calibri"/>
                <w:sz w:val="20"/>
                <w:szCs w:val="20"/>
              </w:rPr>
            </w:pPr>
            <w:r w:rsidRPr="00263CAE">
              <w:rPr>
                <w:rFonts w:eastAsia="Calibri" w:cs="Calibri"/>
                <w:sz w:val="20"/>
                <w:szCs w:val="20"/>
              </w:rPr>
              <w:t xml:space="preserve">If there was </w:t>
            </w:r>
            <w:r w:rsidRPr="00263CAE">
              <w:rPr>
                <w:rFonts w:eastAsia="Calibri" w:cs="Calibri"/>
                <w:b/>
                <w:bCs/>
                <w:sz w:val="20"/>
                <w:szCs w:val="20"/>
              </w:rPr>
              <w:t>no or negative change in this area, why</w:t>
            </w:r>
            <w:r w:rsidRPr="00263CAE">
              <w:rPr>
                <w:rFonts w:eastAsia="Calibri" w:cs="Calibri"/>
                <w:sz w:val="20"/>
                <w:szCs w:val="20"/>
              </w:rPr>
              <w:t xml:space="preserve"> was that? And what has the FF and others done to improve the situation?</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tcPr>
          <w:p w14:paraId="43D8D7BE" w14:textId="102934CC" w:rsidR="65D9A205" w:rsidRDefault="65D9A205" w:rsidP="65D9A205">
            <w:pPr>
              <w:rPr>
                <w:rFonts w:eastAsia="Calibri" w:cs="Calibri"/>
                <w:color w:val="000000"/>
                <w:sz w:val="20"/>
                <w:szCs w:val="20"/>
              </w:rPr>
            </w:pPr>
          </w:p>
        </w:tc>
      </w:tr>
      <w:tr w:rsidR="65D9A205" w14:paraId="45CC0F6A" w14:textId="77777777" w:rsidTr="65D9A205">
        <w:trPr>
          <w:trHeight w:val="196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0DC529C" w14:textId="7A547907" w:rsidR="65D9A205" w:rsidRDefault="65D9A205" w:rsidP="65D9A205">
            <w:pPr>
              <w:rPr>
                <w:rFonts w:eastAsia="Calibri" w:cs="Calibri"/>
                <w:color w:val="000000"/>
                <w:sz w:val="20"/>
                <w:szCs w:val="20"/>
              </w:rPr>
            </w:pPr>
            <w:r w:rsidRPr="65D9A205">
              <w:rPr>
                <w:rFonts w:eastAsia="Calibri" w:cs="Calibri"/>
                <w:color w:val="000000"/>
                <w:sz w:val="20"/>
                <w:szCs w:val="20"/>
              </w:rPr>
              <w:t>EQ1 (HH)</w:t>
            </w:r>
            <w:r w:rsidRPr="00263CAE">
              <w:rPr>
                <w:rFonts w:eastAsia="Calibri" w:cs="Calibri"/>
                <w:color w:val="000000"/>
                <w:sz w:val="20"/>
                <w:szCs w:val="20"/>
              </w:rPr>
              <w:t xml:space="preserve"> / Change 1b</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0D38804" w14:textId="1FB46E47"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and in which ways do you think the </w:t>
            </w:r>
            <w:r w:rsidRPr="65D9A205">
              <w:rPr>
                <w:rFonts w:eastAsia="Calibri" w:cs="Calibri"/>
                <w:b/>
                <w:bCs/>
                <w:color w:val="000000"/>
                <w:sz w:val="20"/>
                <w:szCs w:val="20"/>
              </w:rPr>
              <w:t>quality</w:t>
            </w:r>
            <w:r w:rsidRPr="65D9A205">
              <w:rPr>
                <w:rFonts w:eastAsia="Calibri" w:cs="Calibri"/>
                <w:color w:val="000000"/>
                <w:sz w:val="20"/>
                <w:szCs w:val="20"/>
              </w:rPr>
              <w:t xml:space="preserve"> of </w:t>
            </w:r>
            <w:r w:rsidRPr="65D9A205">
              <w:rPr>
                <w:rFonts w:eastAsia="Calibri" w:cs="Calibri"/>
                <w:color w:val="000000"/>
                <w:sz w:val="20"/>
                <w:szCs w:val="20"/>
                <w:u w:val="single"/>
              </w:rPr>
              <w:t>HH</w:t>
            </w:r>
            <w:r w:rsidRPr="65D9A205">
              <w:rPr>
                <w:rFonts w:eastAsia="Calibri" w:cs="Calibri"/>
                <w:color w:val="000000"/>
                <w:sz w:val="20"/>
                <w:szCs w:val="20"/>
              </w:rPr>
              <w:t xml:space="preserve"> AMR data has improved? </w:t>
            </w:r>
            <w:r>
              <w:br/>
            </w:r>
            <w:r w:rsidRPr="65D9A205">
              <w:rPr>
                <w:rFonts w:eastAsia="Calibri" w:cs="Calibri"/>
                <w:color w:val="000000"/>
                <w:sz w:val="20"/>
                <w:szCs w:val="20"/>
              </w:rPr>
              <w:t>-some prompts that maybe helpful for this question are (1) SOPs, (2) automated instruments, (3) internal and/or external quality assurance procedures, (4) better supplies of reagents/better quality equipment or infrastructure (eg fridges/freezers), (5) Training and/or supervision, (6) Quality manager, (7) Accreditation processes, (8) Reporting of data to clinicians (for HH).</w:t>
            </w:r>
            <w:r>
              <w:br/>
            </w:r>
            <w:r w:rsidRPr="65D9A205">
              <w:rPr>
                <w:rFonts w:eastAsia="Calibri" w:cs="Calibri"/>
                <w:color w:val="000000"/>
                <w:sz w:val="20"/>
                <w:szCs w:val="20"/>
              </w:rPr>
              <w:t>- Would be useful to get a feel for what level the improvements are at (references labs and/or surveillance sites or facility laboratories)</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38ED08EE" w14:textId="4C55E314" w:rsidR="65D9A205" w:rsidRDefault="65D9A205" w:rsidP="65D9A205">
            <w:pPr>
              <w:rPr>
                <w:rFonts w:eastAsia="Calibri" w:cs="Calibri"/>
                <w:color w:val="000000"/>
                <w:sz w:val="20"/>
                <w:szCs w:val="20"/>
              </w:rPr>
            </w:pPr>
          </w:p>
        </w:tc>
      </w:tr>
      <w:tr w:rsidR="65D9A205" w14:paraId="49673872" w14:textId="77777777" w:rsidTr="65D9A205">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85AEA9F" w14:textId="00FD7DB0" w:rsidR="65D9A205" w:rsidRDefault="65D9A205" w:rsidP="65D9A205">
            <w:pPr>
              <w:rPr>
                <w:rFonts w:eastAsia="Calibri" w:cs="Calibri"/>
                <w:color w:val="000000"/>
                <w:sz w:val="20"/>
                <w:szCs w:val="20"/>
              </w:rPr>
            </w:pPr>
            <w:r w:rsidRPr="65D9A205">
              <w:rPr>
                <w:rFonts w:eastAsia="Calibri" w:cs="Calibri"/>
                <w:color w:val="000000"/>
                <w:sz w:val="20"/>
                <w:szCs w:val="20"/>
              </w:rPr>
              <w:t>EQ1 (HH)</w:t>
            </w:r>
            <w:r w:rsidRPr="00263CAE">
              <w:rPr>
                <w:rFonts w:eastAsia="Calibri" w:cs="Calibri"/>
                <w:color w:val="000000"/>
                <w:sz w:val="20"/>
                <w:szCs w:val="20"/>
              </w:rPr>
              <w:t xml:space="preserve"> / Change 1b</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65F477BD" w14:textId="52D71A16" w:rsidR="65D9A205" w:rsidRPr="00263CAE" w:rsidRDefault="65D9A205" w:rsidP="65D9A205">
            <w:pPr>
              <w:rPr>
                <w:rFonts w:eastAsia="Calibri" w:cs="Calibri"/>
                <w:sz w:val="20"/>
                <w:szCs w:val="20"/>
              </w:rPr>
            </w:pPr>
            <w:r w:rsidRPr="00263CAE">
              <w:rPr>
                <w:rFonts w:eastAsia="Calibri" w:cs="Calibri"/>
                <w:sz w:val="20"/>
                <w:szCs w:val="20"/>
              </w:rPr>
              <w:t xml:space="preserve">What were the </w:t>
            </w:r>
            <w:r w:rsidRPr="00263CAE">
              <w:rPr>
                <w:rFonts w:eastAsia="Calibri" w:cs="Calibri"/>
                <w:b/>
                <w:bCs/>
                <w:sz w:val="20"/>
                <w:szCs w:val="20"/>
              </w:rPr>
              <w:t>key change drivers/factors,</w:t>
            </w:r>
            <w:r w:rsidRPr="00263CAE">
              <w:rPr>
                <w:rFonts w:eastAsia="Calibri" w:cs="Calibri"/>
                <w:sz w:val="20"/>
                <w:szCs w:val="20"/>
              </w:rPr>
              <w:t xml:space="preserve"> in order of importance, behind such change? Probes: investments in human capacity renovation work and improved equipment, reliable supply of reagents, SOP, QA, supervision, prioritisation, governance, other</w:t>
            </w:r>
            <w:r w:rsidRPr="00263CAE">
              <w:rPr>
                <w:rFonts w:eastAsia="Calibri" w:cs="Calibri"/>
                <w:strike/>
                <w:sz w:val="20"/>
                <w:szCs w:val="20"/>
              </w:rPr>
              <w:t xml:space="preserve"> </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7A81F73C" w14:textId="22726001" w:rsidR="65D9A205" w:rsidRDefault="65D9A205" w:rsidP="65D9A205">
            <w:pPr>
              <w:rPr>
                <w:rFonts w:eastAsia="Calibri" w:cs="Calibri"/>
                <w:color w:val="000000"/>
                <w:sz w:val="20"/>
                <w:szCs w:val="20"/>
              </w:rPr>
            </w:pPr>
          </w:p>
        </w:tc>
      </w:tr>
      <w:tr w:rsidR="65D9A205" w14:paraId="319FA97B"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A5242F5" w14:textId="633D840A" w:rsidR="65D9A205" w:rsidRDefault="65D9A205" w:rsidP="65D9A205">
            <w:pPr>
              <w:rPr>
                <w:rFonts w:eastAsia="Calibri" w:cs="Calibri"/>
                <w:color w:val="000000"/>
                <w:sz w:val="20"/>
                <w:szCs w:val="20"/>
              </w:rPr>
            </w:pPr>
            <w:r w:rsidRPr="65D9A205">
              <w:rPr>
                <w:rFonts w:eastAsia="Calibri" w:cs="Calibri"/>
                <w:color w:val="000000"/>
                <w:sz w:val="20"/>
                <w:szCs w:val="20"/>
              </w:rPr>
              <w:t>EQ1 (HH)</w:t>
            </w:r>
            <w:r w:rsidRPr="00263CAE">
              <w:rPr>
                <w:rFonts w:eastAsia="Calibri" w:cs="Calibri"/>
                <w:color w:val="000000"/>
                <w:sz w:val="20"/>
                <w:szCs w:val="20"/>
              </w:rPr>
              <w:t xml:space="preserve"> / Change 1b</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2716E5E0" w14:textId="3985988F"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w:t>
            </w:r>
            <w:r w:rsidRPr="65D9A205">
              <w:rPr>
                <w:rFonts w:eastAsia="Calibri" w:cs="Calibri"/>
                <w:color w:val="000000"/>
                <w:sz w:val="20"/>
                <w:szCs w:val="20"/>
              </w:rPr>
              <w:t xml:space="preserve"> to those drivers?</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4D303B17" w14:textId="7B3A65C6" w:rsidR="65D9A205" w:rsidRDefault="65D9A205" w:rsidP="65D9A205">
            <w:pPr>
              <w:rPr>
                <w:rFonts w:eastAsia="Calibri" w:cs="Calibri"/>
                <w:color w:val="000000"/>
                <w:sz w:val="20"/>
                <w:szCs w:val="20"/>
              </w:rPr>
            </w:pPr>
          </w:p>
        </w:tc>
      </w:tr>
      <w:tr w:rsidR="65D9A205" w14:paraId="3B356F88" w14:textId="77777777" w:rsidTr="65D9A205">
        <w:trPr>
          <w:trHeight w:val="52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E89F2E5" w14:textId="100DD373" w:rsidR="65D9A205" w:rsidRDefault="65D9A205" w:rsidP="65D9A205">
            <w:pPr>
              <w:rPr>
                <w:rFonts w:eastAsia="Calibri" w:cs="Calibri"/>
                <w:color w:val="000000"/>
                <w:sz w:val="20"/>
                <w:szCs w:val="20"/>
              </w:rPr>
            </w:pPr>
            <w:r w:rsidRPr="65D9A205">
              <w:rPr>
                <w:rFonts w:eastAsia="Calibri" w:cs="Calibri"/>
                <w:color w:val="000000"/>
                <w:sz w:val="20"/>
                <w:szCs w:val="20"/>
              </w:rPr>
              <w:t>EQ1 (HH)</w:t>
            </w:r>
            <w:r w:rsidRPr="00263CAE">
              <w:rPr>
                <w:rFonts w:eastAsia="Calibri" w:cs="Calibri"/>
                <w:color w:val="000000"/>
                <w:sz w:val="20"/>
                <w:szCs w:val="20"/>
              </w:rPr>
              <w:t xml:space="preserve"> / Change 1b</w:t>
            </w:r>
          </w:p>
        </w:tc>
        <w:tc>
          <w:tcPr>
            <w:tcW w:w="6345" w:type="dxa"/>
            <w:tcBorders>
              <w:top w:val="single" w:sz="6" w:space="0" w:color="auto"/>
              <w:left w:val="single" w:sz="6" w:space="0" w:color="auto"/>
              <w:bottom w:val="nil"/>
              <w:right w:val="nil"/>
            </w:tcBorders>
            <w:shd w:val="clear" w:color="auto" w:fill="FCE4D6"/>
            <w:tcMar>
              <w:left w:w="105" w:type="dxa"/>
              <w:right w:w="105" w:type="dxa"/>
            </w:tcMar>
            <w:vAlign w:val="bottom"/>
          </w:tcPr>
          <w:p w14:paraId="1FFAF274" w14:textId="5843A057"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no or negative change in this area, why</w:t>
            </w:r>
            <w:r w:rsidRPr="65D9A205">
              <w:rPr>
                <w:rFonts w:eastAsia="Calibri" w:cs="Calibri"/>
                <w:color w:val="000000"/>
                <w:sz w:val="20"/>
                <w:szCs w:val="20"/>
              </w:rPr>
              <w:t xml:space="preserve"> was that? And what has the FF and others done to improve the situation?</w:t>
            </w:r>
          </w:p>
        </w:tc>
        <w:tc>
          <w:tcPr>
            <w:tcW w:w="6345" w:type="dxa"/>
            <w:tcBorders>
              <w:top w:val="single" w:sz="6" w:space="0" w:color="auto"/>
              <w:left w:val="nil"/>
              <w:bottom w:val="nil"/>
              <w:right w:val="nil"/>
            </w:tcBorders>
            <w:shd w:val="clear" w:color="auto" w:fill="FCE4D6"/>
            <w:tcMar>
              <w:left w:w="105" w:type="dxa"/>
              <w:right w:w="105" w:type="dxa"/>
            </w:tcMar>
          </w:tcPr>
          <w:p w14:paraId="0149C568" w14:textId="53D66E2B" w:rsidR="65D9A205" w:rsidRDefault="65D9A205" w:rsidP="65D9A205">
            <w:pPr>
              <w:rPr>
                <w:rFonts w:eastAsia="Calibri" w:cs="Calibri"/>
                <w:color w:val="000000"/>
                <w:sz w:val="20"/>
                <w:szCs w:val="20"/>
              </w:rPr>
            </w:pPr>
          </w:p>
        </w:tc>
      </w:tr>
      <w:tr w:rsidR="65D9A205" w14:paraId="0738DD1C" w14:textId="77777777" w:rsidTr="65D9A205">
        <w:trPr>
          <w:trHeight w:val="85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335178D" w14:textId="0D61462D" w:rsidR="65D9A205" w:rsidRDefault="65D9A205" w:rsidP="65D9A205">
            <w:pPr>
              <w:rPr>
                <w:rFonts w:eastAsia="Calibri" w:cs="Calibri"/>
                <w:color w:val="000000"/>
                <w:sz w:val="20"/>
                <w:szCs w:val="20"/>
              </w:rPr>
            </w:pPr>
            <w:r w:rsidRPr="65D9A205">
              <w:rPr>
                <w:rFonts w:eastAsia="Calibri" w:cs="Calibri"/>
                <w:color w:val="000000"/>
                <w:sz w:val="20"/>
                <w:szCs w:val="20"/>
              </w:rPr>
              <w:t>EQ1 (HH)</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0F46548" w14:textId="4D18B4E5"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is it plausible that there will be </w:t>
            </w:r>
            <w:r w:rsidRPr="65D9A205">
              <w:rPr>
                <w:rFonts w:eastAsia="Calibri" w:cs="Calibri"/>
                <w:b/>
                <w:bCs/>
                <w:color w:val="000000"/>
                <w:sz w:val="20"/>
                <w:szCs w:val="20"/>
              </w:rPr>
              <w:t>significant additional change in the system</w:t>
            </w:r>
            <w:r w:rsidRPr="65D9A205">
              <w:rPr>
                <w:rFonts w:eastAsia="Calibri" w:cs="Calibri"/>
                <w:color w:val="000000"/>
                <w:sz w:val="20"/>
                <w:szCs w:val="20"/>
              </w:rPr>
              <w:t xml:space="preserve"> (in terms of increases in quantity and quality of AMR data) </w:t>
            </w:r>
            <w:r w:rsidRPr="65D9A205">
              <w:rPr>
                <w:rFonts w:eastAsia="Calibri" w:cs="Calibri"/>
                <w:b/>
                <w:bCs/>
                <w:color w:val="000000"/>
                <w:sz w:val="20"/>
                <w:szCs w:val="20"/>
              </w:rPr>
              <w:t>by end 2022</w:t>
            </w:r>
            <w:r w:rsidRPr="65D9A205">
              <w:rPr>
                <w:rFonts w:eastAsia="Calibri" w:cs="Calibri"/>
                <w:color w:val="000000"/>
                <w:sz w:val="20"/>
                <w:szCs w:val="20"/>
              </w:rPr>
              <w:t xml:space="preserve">?  </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313993FF" w14:textId="2C35F5B8" w:rsidR="65D9A205" w:rsidRDefault="65D9A205" w:rsidP="65D9A205">
            <w:pPr>
              <w:rPr>
                <w:rFonts w:eastAsia="Calibri" w:cs="Calibri"/>
                <w:color w:val="000000"/>
                <w:sz w:val="20"/>
                <w:szCs w:val="20"/>
              </w:rPr>
            </w:pPr>
          </w:p>
        </w:tc>
      </w:tr>
      <w:tr w:rsidR="65D9A205" w14:paraId="74208D90"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AAEDDA2" w14:textId="35C066F3" w:rsidR="65D9A205" w:rsidRDefault="65D9A205" w:rsidP="65D9A205">
            <w:pPr>
              <w:rPr>
                <w:rFonts w:eastAsia="Calibri" w:cs="Calibri"/>
                <w:color w:val="000000"/>
                <w:sz w:val="20"/>
                <w:szCs w:val="20"/>
              </w:rPr>
            </w:pPr>
            <w:r w:rsidRPr="65D9A205">
              <w:rPr>
                <w:rFonts w:eastAsia="Calibri" w:cs="Calibri"/>
                <w:color w:val="000000"/>
                <w:sz w:val="20"/>
                <w:szCs w:val="20"/>
              </w:rPr>
              <w:t>EQ5 (HH)</w:t>
            </w:r>
            <w:r w:rsidRPr="00263CAE">
              <w:rPr>
                <w:rFonts w:eastAsia="Calibri" w:cs="Calibri"/>
                <w:color w:val="000000"/>
                <w:sz w:val="20"/>
                <w:szCs w:val="20"/>
              </w:rPr>
              <w:t xml:space="preserve"> / Change 5</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6B77721" w14:textId="257104A3"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and in which ways do you think the </w:t>
            </w:r>
            <w:r w:rsidRPr="65D9A205">
              <w:rPr>
                <w:rFonts w:eastAsia="Calibri" w:cs="Calibri"/>
                <w:b/>
                <w:bCs/>
                <w:color w:val="000000"/>
                <w:sz w:val="20"/>
                <w:szCs w:val="20"/>
              </w:rPr>
              <w:t>quantity</w:t>
            </w:r>
            <w:r w:rsidRPr="65D9A205">
              <w:rPr>
                <w:rFonts w:eastAsia="Calibri" w:cs="Calibri"/>
                <w:color w:val="000000"/>
                <w:sz w:val="20"/>
                <w:szCs w:val="20"/>
              </w:rPr>
              <w:t xml:space="preserve"> of </w:t>
            </w:r>
            <w:r w:rsidRPr="65D9A205">
              <w:rPr>
                <w:color w:val="000000"/>
                <w:sz w:val="20"/>
                <w:szCs w:val="20"/>
                <w:u w:val="single"/>
              </w:rPr>
              <w:t>HH</w:t>
            </w:r>
            <w:r w:rsidRPr="65D9A205">
              <w:rPr>
                <w:rFonts w:eastAsia="Calibri" w:cs="Calibri"/>
                <w:color w:val="000000"/>
                <w:sz w:val="20"/>
                <w:szCs w:val="20"/>
              </w:rPr>
              <w:t xml:space="preserve"> AMR data </w:t>
            </w:r>
            <w:r w:rsidRPr="65D9A205">
              <w:rPr>
                <w:rFonts w:eastAsia="Calibri" w:cs="Calibri"/>
                <w:b/>
                <w:bCs/>
                <w:color w:val="000000"/>
                <w:sz w:val="20"/>
                <w:szCs w:val="20"/>
              </w:rPr>
              <w:t xml:space="preserve">reported to GLASS </w:t>
            </w:r>
            <w:r w:rsidRPr="65D9A205">
              <w:rPr>
                <w:rFonts w:eastAsia="Calibri" w:cs="Calibri"/>
                <w:color w:val="000000"/>
                <w:sz w:val="20"/>
                <w:szCs w:val="20"/>
              </w:rPr>
              <w:t>has improved since 2018? Summarise our understanding based on document review. To what extent do your records on quantity of AMR data reported matches our understanding?  [NB: note and clarify understanding where data generated at country level is higher than data reported to GLASS and reasons]</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7C37D90F" w14:textId="07CDDA92" w:rsidR="65D9A205" w:rsidRDefault="65D9A205" w:rsidP="65D9A205">
            <w:pPr>
              <w:rPr>
                <w:rFonts w:eastAsia="Calibri" w:cs="Calibri"/>
                <w:color w:val="000000"/>
                <w:sz w:val="20"/>
                <w:szCs w:val="20"/>
              </w:rPr>
            </w:pPr>
          </w:p>
        </w:tc>
      </w:tr>
      <w:tr w:rsidR="65D9A205" w14:paraId="3425418F" w14:textId="77777777" w:rsidTr="65D9A205">
        <w:trPr>
          <w:trHeight w:val="76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501F458" w14:textId="6348C251" w:rsidR="65D9A205" w:rsidRDefault="65D9A205" w:rsidP="65D9A205">
            <w:pPr>
              <w:rPr>
                <w:rFonts w:eastAsia="Calibri" w:cs="Calibri"/>
                <w:color w:val="000000"/>
                <w:sz w:val="20"/>
                <w:szCs w:val="20"/>
              </w:rPr>
            </w:pPr>
            <w:r w:rsidRPr="65D9A205">
              <w:rPr>
                <w:rFonts w:eastAsia="Calibri" w:cs="Calibri"/>
                <w:color w:val="000000"/>
                <w:sz w:val="20"/>
                <w:szCs w:val="20"/>
              </w:rPr>
              <w:t>EQ5 (HH)</w:t>
            </w:r>
            <w:r w:rsidRPr="00263CAE">
              <w:rPr>
                <w:rFonts w:eastAsia="Calibri" w:cs="Calibri"/>
                <w:color w:val="000000"/>
                <w:sz w:val="20"/>
                <w:szCs w:val="20"/>
              </w:rPr>
              <w:t xml:space="preserve"> / Change 5</w:t>
            </w:r>
          </w:p>
        </w:tc>
        <w:tc>
          <w:tcPr>
            <w:tcW w:w="634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C96758F" w14:textId="29C57E64"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and in which ways do you think the </w:t>
            </w:r>
            <w:r w:rsidRPr="65D9A205">
              <w:rPr>
                <w:rFonts w:eastAsia="Calibri" w:cs="Calibri"/>
                <w:b/>
                <w:bCs/>
                <w:color w:val="000000"/>
                <w:sz w:val="20"/>
                <w:szCs w:val="20"/>
              </w:rPr>
              <w:t>quality</w:t>
            </w:r>
            <w:r w:rsidRPr="65D9A205">
              <w:rPr>
                <w:rFonts w:eastAsia="Calibri" w:cs="Calibri"/>
                <w:color w:val="000000"/>
                <w:sz w:val="20"/>
                <w:szCs w:val="20"/>
              </w:rPr>
              <w:t xml:space="preserve"> of </w:t>
            </w:r>
            <w:r w:rsidRPr="65D9A205">
              <w:rPr>
                <w:color w:val="000000"/>
                <w:sz w:val="20"/>
                <w:szCs w:val="20"/>
                <w:u w:val="single"/>
              </w:rPr>
              <w:t>HH</w:t>
            </w:r>
            <w:r w:rsidRPr="65D9A205">
              <w:rPr>
                <w:rFonts w:eastAsia="Calibri" w:cs="Calibri"/>
                <w:color w:val="000000"/>
                <w:sz w:val="20"/>
                <w:szCs w:val="20"/>
              </w:rPr>
              <w:t xml:space="preserve"> AMR data </w:t>
            </w:r>
            <w:r w:rsidRPr="65D9A205">
              <w:rPr>
                <w:rFonts w:eastAsia="Calibri" w:cs="Calibri"/>
                <w:b/>
                <w:bCs/>
                <w:color w:val="000000"/>
                <w:sz w:val="20"/>
                <w:szCs w:val="20"/>
              </w:rPr>
              <w:t>reported to GLASS</w:t>
            </w:r>
            <w:r w:rsidRPr="65D9A205">
              <w:rPr>
                <w:rFonts w:eastAsia="Calibri" w:cs="Calibri"/>
                <w:color w:val="000000"/>
                <w:sz w:val="20"/>
                <w:szCs w:val="20"/>
              </w:rPr>
              <w:t xml:space="preserve"> has improved since 2020 (noting that 2018 data was reported in 2020)? </w:t>
            </w:r>
          </w:p>
        </w:tc>
        <w:tc>
          <w:tcPr>
            <w:tcW w:w="6345" w:type="dxa"/>
            <w:tcBorders>
              <w:top w:val="single" w:sz="6" w:space="0" w:color="auto"/>
              <w:left w:val="single" w:sz="6" w:space="0" w:color="auto"/>
              <w:bottom w:val="single" w:sz="6" w:space="0" w:color="auto"/>
              <w:right w:val="single" w:sz="6" w:space="0" w:color="auto"/>
            </w:tcBorders>
            <w:tcMar>
              <w:left w:w="105" w:type="dxa"/>
              <w:right w:w="105" w:type="dxa"/>
            </w:tcMar>
          </w:tcPr>
          <w:p w14:paraId="539CE6DB" w14:textId="59895E8D" w:rsidR="65D9A205" w:rsidRDefault="65D9A205" w:rsidP="65D9A205">
            <w:pPr>
              <w:rPr>
                <w:rFonts w:eastAsia="Calibri" w:cs="Calibri"/>
                <w:color w:val="000000"/>
                <w:sz w:val="20"/>
                <w:szCs w:val="20"/>
              </w:rPr>
            </w:pPr>
          </w:p>
        </w:tc>
      </w:tr>
      <w:tr w:rsidR="65D9A205" w14:paraId="240609C8" w14:textId="77777777" w:rsidTr="65D9A205">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D3847EA" w14:textId="51827934" w:rsidR="65D9A205" w:rsidRDefault="65D9A205" w:rsidP="65D9A205">
            <w:pPr>
              <w:rPr>
                <w:rFonts w:eastAsia="Calibri" w:cs="Calibri"/>
                <w:color w:val="000000"/>
                <w:sz w:val="20"/>
                <w:szCs w:val="20"/>
              </w:rPr>
            </w:pPr>
            <w:r w:rsidRPr="65D9A205">
              <w:rPr>
                <w:rFonts w:eastAsia="Calibri" w:cs="Calibri"/>
                <w:color w:val="000000"/>
                <w:sz w:val="20"/>
                <w:szCs w:val="20"/>
              </w:rPr>
              <w:t>EQ5 (HH)</w:t>
            </w:r>
            <w:r w:rsidRPr="00263CAE">
              <w:rPr>
                <w:rFonts w:eastAsia="Calibri" w:cs="Calibri"/>
                <w:color w:val="000000"/>
                <w:sz w:val="20"/>
                <w:szCs w:val="20"/>
              </w:rPr>
              <w:t xml:space="preserve"> / Change 5</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2397E5CF" w14:textId="58BB226C" w:rsidR="65D9A205" w:rsidRDefault="65D9A205" w:rsidP="65D9A205">
            <w:pPr>
              <w:rPr>
                <w:rFonts w:eastAsia="Calibri" w:cs="Calibri"/>
                <w:color w:val="000000"/>
                <w:sz w:val="20"/>
                <w:szCs w:val="20"/>
              </w:rPr>
            </w:pPr>
            <w:r w:rsidRPr="00D76906">
              <w:rPr>
                <w:rFonts w:eastAsia="Calibri" w:cs="Calibri"/>
                <w:color w:val="000000"/>
                <w:sz w:val="20"/>
                <w:szCs w:val="20"/>
              </w:rPr>
              <w:t xml:space="preserve">What were the </w:t>
            </w:r>
            <w:r w:rsidRPr="00D76906">
              <w:rPr>
                <w:rFonts w:eastAsia="Calibri" w:cs="Calibri"/>
                <w:b/>
                <w:bCs/>
                <w:color w:val="000000"/>
                <w:sz w:val="20"/>
                <w:szCs w:val="20"/>
              </w:rPr>
              <w:t>key change drivers/factors,</w:t>
            </w:r>
            <w:r w:rsidRPr="00D76906">
              <w:rPr>
                <w:rFonts w:eastAsia="Calibri" w:cs="Calibri"/>
                <w:color w:val="000000"/>
                <w:sz w:val="20"/>
                <w:szCs w:val="20"/>
              </w:rPr>
              <w:t xml:space="preserve"> in order of importance, behind such change? Probes: more and better data available from the surveillance system (in which case refer to QUANT &amp; QUAL contribution stories), data sharing processes &amp; systems, resources, incentives, legal factors, cooperation, TA, etc.</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71AAAFD4" w14:textId="54638ECC" w:rsidR="65D9A205" w:rsidRDefault="65D9A205" w:rsidP="65D9A205">
            <w:pPr>
              <w:rPr>
                <w:rFonts w:eastAsia="Calibri" w:cs="Calibri"/>
                <w:color w:val="000000"/>
                <w:sz w:val="20"/>
                <w:szCs w:val="20"/>
              </w:rPr>
            </w:pPr>
          </w:p>
        </w:tc>
      </w:tr>
      <w:tr w:rsidR="65D9A205" w14:paraId="5EBBDB9D"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148C8EB" w14:textId="40269C68" w:rsidR="65D9A205" w:rsidRDefault="65D9A205" w:rsidP="65D9A205">
            <w:pPr>
              <w:rPr>
                <w:rFonts w:eastAsia="Calibri" w:cs="Calibri"/>
                <w:color w:val="000000"/>
                <w:sz w:val="20"/>
                <w:szCs w:val="20"/>
              </w:rPr>
            </w:pPr>
            <w:r w:rsidRPr="65D9A205">
              <w:rPr>
                <w:rFonts w:eastAsia="Calibri" w:cs="Calibri"/>
                <w:color w:val="000000"/>
                <w:sz w:val="20"/>
                <w:szCs w:val="20"/>
              </w:rPr>
              <w:t>EQ5 EQ2</w:t>
            </w:r>
            <w:r w:rsidRPr="00263CAE">
              <w:rPr>
                <w:rFonts w:eastAsia="Calibri" w:cs="Calibri"/>
                <w:color w:val="000000"/>
                <w:sz w:val="20"/>
                <w:szCs w:val="20"/>
              </w:rPr>
              <w:t xml:space="preserve"> / Change 5</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259F6B3A" w14:textId="5A315CC5"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w:t>
            </w:r>
            <w:r w:rsidRPr="65D9A205">
              <w:rPr>
                <w:rFonts w:eastAsia="Calibri" w:cs="Calibri"/>
                <w:color w:val="000000"/>
                <w:sz w:val="20"/>
                <w:szCs w:val="20"/>
              </w:rPr>
              <w:t xml:space="preserve"> to those drivers?</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4C6C6670" w14:textId="3B56EDE7" w:rsidR="65D9A205" w:rsidRDefault="65D9A205" w:rsidP="65D9A205">
            <w:pPr>
              <w:rPr>
                <w:rFonts w:eastAsia="Calibri" w:cs="Calibri"/>
                <w:color w:val="000000"/>
                <w:sz w:val="20"/>
                <w:szCs w:val="20"/>
              </w:rPr>
            </w:pPr>
          </w:p>
        </w:tc>
      </w:tr>
      <w:tr w:rsidR="65D9A205" w14:paraId="4DB36D6E" w14:textId="77777777" w:rsidTr="65D9A205">
        <w:trPr>
          <w:trHeight w:val="52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3A5E2C7" w14:textId="44152C76" w:rsidR="65D9A205" w:rsidRDefault="65D9A205" w:rsidP="65D9A205">
            <w:pPr>
              <w:rPr>
                <w:rFonts w:eastAsia="Calibri" w:cs="Calibri"/>
                <w:color w:val="000000"/>
                <w:sz w:val="20"/>
                <w:szCs w:val="20"/>
              </w:rPr>
            </w:pPr>
            <w:r w:rsidRPr="65D9A205">
              <w:rPr>
                <w:rFonts w:eastAsia="Calibri" w:cs="Calibri"/>
                <w:color w:val="000000"/>
                <w:sz w:val="20"/>
                <w:szCs w:val="20"/>
              </w:rPr>
              <w:t>EQ5 (HH)</w:t>
            </w:r>
            <w:r w:rsidRPr="00263CAE">
              <w:rPr>
                <w:rFonts w:eastAsia="Calibri" w:cs="Calibri"/>
                <w:color w:val="000000"/>
                <w:sz w:val="20"/>
                <w:szCs w:val="20"/>
              </w:rPr>
              <w:t xml:space="preserve"> / Change 5</w:t>
            </w:r>
          </w:p>
        </w:tc>
        <w:tc>
          <w:tcPr>
            <w:tcW w:w="6345" w:type="dxa"/>
            <w:tcBorders>
              <w:top w:val="single" w:sz="6" w:space="0" w:color="auto"/>
              <w:left w:val="single" w:sz="6" w:space="0" w:color="auto"/>
              <w:bottom w:val="nil"/>
              <w:right w:val="nil"/>
            </w:tcBorders>
            <w:shd w:val="clear" w:color="auto" w:fill="FCE4D6"/>
            <w:tcMar>
              <w:left w:w="105" w:type="dxa"/>
              <w:right w:w="105" w:type="dxa"/>
            </w:tcMar>
            <w:vAlign w:val="bottom"/>
          </w:tcPr>
          <w:p w14:paraId="68EF0A7F" w14:textId="699ABD75"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no or negative change</w:t>
            </w:r>
            <w:r w:rsidRPr="65D9A205">
              <w:rPr>
                <w:rFonts w:eastAsia="Calibri" w:cs="Calibri"/>
                <w:color w:val="000000"/>
                <w:sz w:val="20"/>
                <w:szCs w:val="20"/>
              </w:rPr>
              <w:t xml:space="preserve"> in this area, </w:t>
            </w:r>
            <w:r w:rsidRPr="65D9A205">
              <w:rPr>
                <w:rFonts w:eastAsia="Calibri" w:cs="Calibri"/>
                <w:b/>
                <w:bCs/>
                <w:color w:val="000000"/>
                <w:sz w:val="20"/>
                <w:szCs w:val="20"/>
              </w:rPr>
              <w:t>why</w:t>
            </w:r>
            <w:r w:rsidRPr="65D9A205">
              <w:rPr>
                <w:rFonts w:eastAsia="Calibri" w:cs="Calibri"/>
                <w:color w:val="000000"/>
                <w:sz w:val="20"/>
                <w:szCs w:val="20"/>
              </w:rPr>
              <w:t xml:space="preserve"> was that? And what has the FF and others done to improve the situation?</w:t>
            </w:r>
          </w:p>
        </w:tc>
        <w:tc>
          <w:tcPr>
            <w:tcW w:w="6345" w:type="dxa"/>
            <w:tcBorders>
              <w:top w:val="single" w:sz="6" w:space="0" w:color="auto"/>
              <w:left w:val="nil"/>
              <w:bottom w:val="nil"/>
              <w:right w:val="nil"/>
            </w:tcBorders>
            <w:shd w:val="clear" w:color="auto" w:fill="FCE4D6"/>
            <w:tcMar>
              <w:left w:w="105" w:type="dxa"/>
              <w:right w:w="105" w:type="dxa"/>
            </w:tcMar>
          </w:tcPr>
          <w:p w14:paraId="0456A3DB" w14:textId="39FE487C" w:rsidR="65D9A205" w:rsidRDefault="65D9A205" w:rsidP="65D9A205">
            <w:pPr>
              <w:rPr>
                <w:rFonts w:eastAsia="Calibri" w:cs="Calibri"/>
                <w:color w:val="000000"/>
                <w:sz w:val="20"/>
                <w:szCs w:val="20"/>
              </w:rPr>
            </w:pPr>
          </w:p>
        </w:tc>
      </w:tr>
      <w:tr w:rsidR="65D9A205" w14:paraId="2CC25280"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ED89A3D" w14:textId="49C1182D"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345" w:type="dxa"/>
            <w:tcBorders>
              <w:top w:val="nil"/>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FB11E4A" w14:textId="5B02CEC4" w:rsidR="65D9A205" w:rsidRDefault="65D9A205" w:rsidP="65D9A205">
            <w:pPr>
              <w:rPr>
                <w:rFonts w:eastAsia="Calibri" w:cs="Calibri"/>
                <w:color w:val="444444"/>
              </w:rPr>
            </w:pPr>
            <w:r w:rsidRPr="65D9A205">
              <w:rPr>
                <w:rFonts w:eastAsia="Calibri" w:cs="Calibri"/>
                <w:color w:val="444444"/>
              </w:rPr>
              <w:t>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345" w:type="dxa"/>
            <w:tcBorders>
              <w:top w:val="nil"/>
              <w:left w:val="single" w:sz="6" w:space="0" w:color="auto"/>
              <w:bottom w:val="single" w:sz="6" w:space="0" w:color="auto"/>
              <w:right w:val="single" w:sz="6" w:space="0" w:color="auto"/>
            </w:tcBorders>
            <w:shd w:val="clear" w:color="auto" w:fill="FFFFFF" w:themeFill="background1"/>
            <w:tcMar>
              <w:left w:w="105" w:type="dxa"/>
              <w:right w:w="105" w:type="dxa"/>
            </w:tcMar>
          </w:tcPr>
          <w:p w14:paraId="027BE1DB" w14:textId="53752252" w:rsidR="65D9A205" w:rsidRDefault="65D9A205" w:rsidP="65D9A205">
            <w:pPr>
              <w:rPr>
                <w:rFonts w:eastAsia="Calibri" w:cs="Calibri"/>
                <w:color w:val="000000"/>
                <w:sz w:val="20"/>
                <w:szCs w:val="20"/>
              </w:rPr>
            </w:pPr>
          </w:p>
        </w:tc>
      </w:tr>
      <w:tr w:rsidR="65D9A205" w14:paraId="6498E20C"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46EAC2E" w14:textId="2B7E8ED7"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CE0D6EB" w14:textId="23B46D7D" w:rsidR="65D9A205" w:rsidRDefault="65D9A205" w:rsidP="65D9A205">
            <w:pPr>
              <w:rPr>
                <w:rFonts w:eastAsia="Calibri" w:cs="Calibri"/>
                <w:color w:val="444444"/>
              </w:rPr>
            </w:pPr>
            <w:r w:rsidRPr="65D9A205">
              <w:rPr>
                <w:rFonts w:eastAsia="Calibri" w:cs="Calibri"/>
                <w:color w:val="444444"/>
              </w:rPr>
              <w:t>To what extent do you think staff are motivated to put new skills / responsibilities required to maintain AMR surveillence? PROBES: Is throughput sufficient? Are consumable supplies assured? Are managers and institutions (eg AMRCC) interested in outputs and providing feedback? Will competing demands crowd in? Are there adequate plans in place to address any concerns? To what extent is FF focused on addressing these conditions?</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05E53AF2" w14:textId="25AEB4E6" w:rsidR="65D9A205" w:rsidRDefault="65D9A205" w:rsidP="65D9A205">
            <w:pPr>
              <w:rPr>
                <w:rFonts w:eastAsia="Calibri" w:cs="Calibri"/>
                <w:color w:val="000000"/>
                <w:sz w:val="20"/>
                <w:szCs w:val="20"/>
              </w:rPr>
            </w:pPr>
          </w:p>
        </w:tc>
      </w:tr>
    </w:tbl>
    <w:p w14:paraId="7807F592" w14:textId="77777777" w:rsidR="00263CAE" w:rsidRPr="001204CB" w:rsidRDefault="00263CAE" w:rsidP="001204CB">
      <w:bookmarkStart w:id="471" w:name="_Toc142383255"/>
    </w:p>
    <w:p w14:paraId="0A87F609" w14:textId="77777777" w:rsidR="00263CAE" w:rsidRDefault="00263CAE">
      <w:pPr>
        <w:rPr>
          <w:b/>
          <w:bCs/>
          <w:color w:val="767171" w:themeColor="background2" w:themeShade="80"/>
          <w:sz w:val="24"/>
          <w:szCs w:val="24"/>
        </w:rPr>
      </w:pPr>
      <w:r>
        <w:br w:type="page"/>
      </w:r>
    </w:p>
    <w:p w14:paraId="6530E0A3" w14:textId="07F98343" w:rsidR="00263CAE" w:rsidRDefault="4CE1AD5B" w:rsidP="00263CAE">
      <w:pPr>
        <w:pStyle w:val="ItadH3"/>
        <w:keepNext/>
        <w:spacing w:line="259" w:lineRule="auto"/>
        <w:rPr>
          <w:lang w:val="en-GB"/>
        </w:rPr>
      </w:pPr>
      <w:r w:rsidRPr="65D9A205">
        <w:rPr>
          <w:lang w:val="en-GB"/>
        </w:rPr>
        <w:t xml:space="preserve">KII Guide for HH </w:t>
      </w:r>
      <w:r w:rsidR="00F66B0E">
        <w:rPr>
          <w:lang w:val="en-GB"/>
        </w:rPr>
        <w:t>s</w:t>
      </w:r>
      <w:r w:rsidRPr="65D9A205">
        <w:rPr>
          <w:lang w:val="en-GB"/>
        </w:rPr>
        <w:t>ite</w:t>
      </w:r>
      <w:bookmarkEnd w:id="471"/>
    </w:p>
    <w:p w14:paraId="703AA00E" w14:textId="29A62046" w:rsidR="65D9A205" w:rsidRPr="001B18E8" w:rsidRDefault="24097814" w:rsidP="00263CAE">
      <w:pPr>
        <w:pStyle w:val="ItadH3"/>
        <w:keepNext/>
        <w:spacing w:line="259" w:lineRule="auto"/>
        <w:rPr>
          <w:rFonts w:ascii="Calibri Light" w:eastAsia="Calibri Light" w:hAnsi="Calibri Light" w:cs="Calibri Light"/>
          <w:b w:val="0"/>
          <w:bCs w:val="0"/>
          <w:color w:val="2F5496"/>
          <w:sz w:val="26"/>
          <w:szCs w:val="26"/>
          <w:lang w:val="en-GB"/>
        </w:rPr>
      </w:pPr>
      <w:r w:rsidRPr="001B18E8">
        <w:rPr>
          <w:rFonts w:ascii="Calibri Light" w:eastAsia="Calibri Light" w:hAnsi="Calibri Light" w:cs="Calibri Light"/>
          <w:b w:val="0"/>
          <w:bCs w:val="0"/>
          <w:color w:val="2F5496"/>
          <w:sz w:val="26"/>
          <w:szCs w:val="26"/>
          <w:lang w:val="en-GB"/>
        </w:rPr>
        <w:t>HH NRL</w:t>
      </w:r>
    </w:p>
    <w:p w14:paraId="50765CC7" w14:textId="4F81DB4C" w:rsidR="24097814" w:rsidRDefault="24097814" w:rsidP="65D9A205">
      <w:pPr>
        <w:widowControl w:val="0"/>
        <w:spacing w:after="160" w:line="259" w:lineRule="auto"/>
        <w:jc w:val="both"/>
        <w:rPr>
          <w:rFonts w:eastAsia="Calibri" w:cs="Calibri"/>
          <w:color w:val="000000"/>
        </w:rPr>
      </w:pPr>
      <w:r w:rsidRPr="00263CAE">
        <w:rPr>
          <w:rFonts w:eastAsia="Calibri" w:cs="Calibri"/>
          <w:b/>
          <w:bCs/>
          <w:color w:val="000000"/>
        </w:rPr>
        <w:t>KII name:</w:t>
      </w:r>
    </w:p>
    <w:p w14:paraId="282E2EB5" w14:textId="3EBC3FA4" w:rsidR="24097814" w:rsidRDefault="24097814" w:rsidP="65D9A205">
      <w:pPr>
        <w:widowControl w:val="0"/>
        <w:spacing w:after="160" w:line="259" w:lineRule="auto"/>
        <w:jc w:val="both"/>
        <w:rPr>
          <w:rFonts w:eastAsia="Calibri" w:cs="Calibri"/>
          <w:color w:val="000000"/>
        </w:rPr>
      </w:pPr>
      <w:r w:rsidRPr="65D9A205">
        <w:rPr>
          <w:rFonts w:eastAsia="Calibri" w:cs="Calibri"/>
          <w:b/>
          <w:bCs/>
          <w:color w:val="000000"/>
        </w:rPr>
        <w:t>KII date:</w:t>
      </w:r>
    </w:p>
    <w:p w14:paraId="583D296F" w14:textId="64E737A5" w:rsidR="24097814" w:rsidRDefault="24097814" w:rsidP="65D9A205">
      <w:pPr>
        <w:widowControl w:val="0"/>
        <w:spacing w:after="160" w:line="259" w:lineRule="auto"/>
        <w:jc w:val="both"/>
        <w:rPr>
          <w:rFonts w:eastAsia="Calibri" w:cs="Calibri"/>
          <w:color w:val="000000"/>
        </w:rPr>
      </w:pPr>
      <w:r w:rsidRPr="65D9A205">
        <w:rPr>
          <w:rFonts w:eastAsia="Calibri" w:cs="Calibri"/>
          <w:b/>
          <w:bCs/>
          <w:color w:val="000000"/>
        </w:rPr>
        <w:t>KII interviewer(s):</w:t>
      </w:r>
    </w:p>
    <w:p w14:paraId="762F383B" w14:textId="76ADB719" w:rsidR="24097814" w:rsidRPr="001B7050" w:rsidRDefault="24097814" w:rsidP="65D9A205">
      <w:pPr>
        <w:spacing w:after="160" w:line="259" w:lineRule="auto"/>
        <w:rPr>
          <w:rFonts w:eastAsia="Calibri" w:cs="Calibri"/>
          <w:color w:val="000000"/>
        </w:rPr>
      </w:pPr>
      <w:r w:rsidRPr="001B7050">
        <w:rPr>
          <w:rFonts w:eastAsia="Calibri" w:cs="Calibri"/>
          <w:b/>
          <w:bCs/>
          <w:color w:val="000000"/>
        </w:rPr>
        <w:t>Introduction</w:t>
      </w:r>
      <w:r w:rsidRPr="001B7050">
        <w:rPr>
          <w:rFonts w:eastAsia="Calibri" w:cs="Calibri"/>
          <w:color w:val="000000"/>
        </w:rPr>
        <w:t xml:space="preserve"> – please adapt and summarise according to the stakeholder / her knowledge of the evaluation etc </w:t>
      </w:r>
      <w:r w:rsidRPr="001B7050">
        <w:rPr>
          <w:rFonts w:ascii="Times New Roman" w:eastAsia="Times New Roman" w:hAnsi="Times New Roman" w:cs="Times New Roman"/>
          <w:color w:val="000000"/>
          <w:sz w:val="24"/>
          <w:szCs w:val="24"/>
        </w:rPr>
        <w:t>–</w:t>
      </w:r>
      <w:r w:rsidRPr="001B7050">
        <w:rPr>
          <w:rFonts w:eastAsia="Calibri" w:cs="Calibri"/>
          <w:color w:val="000000"/>
        </w:rPr>
        <w:t xml:space="preserve"> aim to get this intro as short as possible.</w:t>
      </w:r>
    </w:p>
    <w:p w14:paraId="465F4BA0" w14:textId="205AADD8" w:rsidR="24097814" w:rsidRPr="001B7050" w:rsidRDefault="24097814" w:rsidP="65D9A205">
      <w:pPr>
        <w:spacing w:line="259" w:lineRule="auto"/>
        <w:rPr>
          <w:rFonts w:eastAsia="Calibri" w:cs="Calibri"/>
          <w:color w:val="000000"/>
        </w:rPr>
      </w:pPr>
      <w:r w:rsidRPr="001B7050">
        <w:rPr>
          <w:rFonts w:eastAsia="Calibri" w:cs="Calibri"/>
          <w:color w:val="000000"/>
        </w:rPr>
        <w:t xml:space="preserve"> • </w:t>
      </w:r>
      <w:r w:rsidRPr="001B7050">
        <w:rPr>
          <w:rFonts w:eastAsia="Calibri" w:cs="Calibri"/>
          <w:b/>
          <w:bCs/>
          <w:color w:val="000000"/>
        </w:rPr>
        <w:t>Thank you</w:t>
      </w:r>
      <w:r w:rsidRPr="001B7050">
        <w:rPr>
          <w:rFonts w:eastAsia="Calibri" w:cs="Calibri"/>
          <w:color w:val="000000"/>
        </w:rPr>
        <w:t xml:space="preserve"> – Thank you the interviewee for having accepted the meeting and for their time today. </w:t>
      </w:r>
    </w:p>
    <w:p w14:paraId="6808076D" w14:textId="674C03F7" w:rsidR="24097814" w:rsidRPr="001B7050" w:rsidRDefault="24097814"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Introductions</w:t>
      </w:r>
      <w:r w:rsidRPr="001B7050">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49CB5C26" w14:textId="52B6C237" w:rsidR="24097814" w:rsidRPr="001B7050" w:rsidRDefault="24097814" w:rsidP="65D9A205">
      <w:pPr>
        <w:spacing w:line="259" w:lineRule="auto"/>
        <w:rPr>
          <w:rFonts w:eastAsia="Calibri" w:cs="Calibri"/>
          <w:color w:val="000000"/>
        </w:rPr>
      </w:pPr>
      <w:r w:rsidRPr="001B7050">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7A27906C" w14:textId="793D700E" w:rsidR="24097814" w:rsidRPr="001B7050" w:rsidRDefault="24097814" w:rsidP="65D9A205">
      <w:pPr>
        <w:spacing w:line="259" w:lineRule="auto"/>
        <w:rPr>
          <w:rFonts w:eastAsia="Calibri" w:cs="Calibri"/>
          <w:color w:val="000000"/>
        </w:rPr>
      </w:pPr>
      <w:r w:rsidRPr="001B7050">
        <w:rPr>
          <w:rFonts w:eastAsia="Calibri" w:cs="Calibri"/>
          <w:color w:val="000000"/>
        </w:rPr>
        <w:t xml:space="preserve">[Let others introduce themselves or tell them there will be a chance after you have explained the purpose of the interview] </w:t>
      </w:r>
    </w:p>
    <w:p w14:paraId="01E1066B" w14:textId="2882B655" w:rsidR="24097814" w:rsidRPr="001B7050" w:rsidRDefault="24097814" w:rsidP="65D9A205">
      <w:pPr>
        <w:spacing w:line="259" w:lineRule="auto"/>
        <w:rPr>
          <w:rFonts w:eastAsia="Calibri" w:cs="Calibri"/>
          <w:color w:val="000000"/>
        </w:rPr>
      </w:pPr>
      <w:r w:rsidRPr="001B7050">
        <w:rPr>
          <w:rFonts w:eastAsia="Calibri" w:cs="Calibri"/>
          <w:color w:val="000000"/>
        </w:rPr>
        <w:t xml:space="preserve">[Acknowledge whether we have already interviewed the stakeholder during CV1/2]  </w:t>
      </w:r>
    </w:p>
    <w:p w14:paraId="0C3E8DDC" w14:textId="18C5DD0E" w:rsidR="24097814" w:rsidRPr="001B7050" w:rsidRDefault="24097814" w:rsidP="65D9A205">
      <w:pPr>
        <w:spacing w:line="259" w:lineRule="auto"/>
        <w:rPr>
          <w:rFonts w:eastAsia="Calibri" w:cs="Calibri"/>
          <w:color w:val="000000"/>
        </w:rPr>
      </w:pPr>
      <w:r w:rsidRPr="001B7050">
        <w:rPr>
          <w:rFonts w:eastAsia="Calibri" w:cs="Calibri"/>
          <w:color w:val="000000"/>
        </w:rPr>
        <w:t xml:space="preserve"> </w:t>
      </w:r>
    </w:p>
    <w:p w14:paraId="4B1DDD0D" w14:textId="3AE1D0BD" w:rsidR="24097814" w:rsidRPr="001B7050" w:rsidRDefault="24097814"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Purpose</w:t>
      </w:r>
      <w:r w:rsidRPr="001B7050">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72B55C39" w14:textId="1C14C3A8" w:rsidR="24097814" w:rsidRPr="001B7050" w:rsidRDefault="24097814"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 xml:space="preserve">Focus </w:t>
      </w:r>
      <w:r w:rsidRPr="001B7050">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57749D76" w14:textId="2BB8D72F" w:rsidR="24097814" w:rsidRPr="001B7050" w:rsidRDefault="24097814" w:rsidP="00C6374D">
      <w:pPr>
        <w:pStyle w:val="ListParagraph"/>
        <w:numPr>
          <w:ilvl w:val="0"/>
          <w:numId w:val="8"/>
        </w:numPr>
        <w:spacing w:line="259" w:lineRule="auto"/>
        <w:rPr>
          <w:rFonts w:eastAsia="Calibri" w:cs="Calibri"/>
          <w:color w:val="000000"/>
        </w:rPr>
      </w:pPr>
      <w:r w:rsidRPr="001B7050">
        <w:rPr>
          <w:rFonts w:eastAsia="Calibri" w:cs="Calibri"/>
          <w:color w:val="000000"/>
        </w:rPr>
        <w:t xml:space="preserve">More and better AMR/C/U data produced and shared at country level  </w:t>
      </w:r>
    </w:p>
    <w:p w14:paraId="61E876CC" w14:textId="68F9C846" w:rsidR="24097814" w:rsidRPr="001B7050" w:rsidRDefault="24097814" w:rsidP="00C6374D">
      <w:pPr>
        <w:pStyle w:val="ListParagraph"/>
        <w:numPr>
          <w:ilvl w:val="0"/>
          <w:numId w:val="8"/>
        </w:numPr>
        <w:spacing w:line="259" w:lineRule="auto"/>
        <w:rPr>
          <w:rFonts w:eastAsia="Calibri" w:cs="Calibri"/>
          <w:color w:val="000000"/>
        </w:rPr>
      </w:pPr>
      <w:r w:rsidRPr="001B7050">
        <w:rPr>
          <w:rFonts w:eastAsia="Calibri" w:cs="Calibri"/>
          <w:color w:val="000000"/>
        </w:rPr>
        <w:t xml:space="preserve">More and better AMR/C/U data shared internationally (with GLASS/OIE) </w:t>
      </w:r>
    </w:p>
    <w:p w14:paraId="090C423E" w14:textId="17B47773" w:rsidR="24097814" w:rsidRPr="001B7050" w:rsidRDefault="24097814" w:rsidP="00C6374D">
      <w:pPr>
        <w:pStyle w:val="ListParagraph"/>
        <w:numPr>
          <w:ilvl w:val="0"/>
          <w:numId w:val="8"/>
        </w:numPr>
        <w:spacing w:line="259" w:lineRule="auto"/>
        <w:rPr>
          <w:rFonts w:eastAsia="Calibri" w:cs="Calibri"/>
          <w:color w:val="000000"/>
        </w:rPr>
      </w:pPr>
      <w:r w:rsidRPr="001B7050">
        <w:rPr>
          <w:rFonts w:eastAsia="Calibri" w:cs="Calibri"/>
          <w:color w:val="000000"/>
        </w:rPr>
        <w:t xml:space="preserve">Regulatory and policy change that can have an impact in reducing AMR </w:t>
      </w:r>
    </w:p>
    <w:p w14:paraId="166A3DA0" w14:textId="329096CD" w:rsidR="24097814" w:rsidRPr="001B7050" w:rsidRDefault="24097814" w:rsidP="00C6374D">
      <w:pPr>
        <w:pStyle w:val="ListParagraph"/>
        <w:numPr>
          <w:ilvl w:val="0"/>
          <w:numId w:val="8"/>
        </w:numPr>
        <w:spacing w:line="259" w:lineRule="auto"/>
        <w:rPr>
          <w:rFonts w:eastAsia="Calibri" w:cs="Calibri"/>
          <w:color w:val="000000"/>
        </w:rPr>
      </w:pPr>
      <w:r w:rsidRPr="001B7050">
        <w:rPr>
          <w:rFonts w:eastAsia="Calibri" w:cs="Calibri"/>
          <w:color w:val="000000"/>
        </w:rPr>
        <w:t xml:space="preserve">Changes in practice / attitude towards the use of antimicrobials.  </w:t>
      </w:r>
    </w:p>
    <w:p w14:paraId="59F79B71" w14:textId="05498E5B" w:rsidR="24097814" w:rsidRPr="001B7050" w:rsidRDefault="24097814" w:rsidP="65D9A205">
      <w:pPr>
        <w:spacing w:line="259" w:lineRule="auto"/>
        <w:rPr>
          <w:rFonts w:eastAsia="Calibri" w:cs="Calibri"/>
          <w:color w:val="000000"/>
        </w:rPr>
      </w:pPr>
      <w:r w:rsidRPr="001B7050">
        <w:rPr>
          <w:rFonts w:eastAsia="Calibri" w:cs="Calibri"/>
          <w:color w:val="000000"/>
        </w:rPr>
        <w:t xml:space="preserve"> </w:t>
      </w:r>
    </w:p>
    <w:p w14:paraId="06B885E9" w14:textId="46891AB3" w:rsidR="24097814" w:rsidRPr="001B7050" w:rsidRDefault="24097814" w:rsidP="65D9A205">
      <w:pPr>
        <w:spacing w:line="259" w:lineRule="auto"/>
        <w:rPr>
          <w:rFonts w:eastAsia="Calibri" w:cs="Calibri"/>
          <w:color w:val="000000"/>
        </w:rPr>
      </w:pPr>
      <w:r w:rsidRPr="001B7050">
        <w:rPr>
          <w:rFonts w:eastAsia="Calibri" w:cs="Calibri"/>
          <w:color w:val="000000"/>
        </w:rPr>
        <w:t>We have also questions relate to coherence of Fleming Fund efforts with those of other actors in country, sustainability of FF results and Value for Money [adapt the list as appropriate].</w:t>
      </w:r>
    </w:p>
    <w:p w14:paraId="38ABE955" w14:textId="40E04092" w:rsidR="24097814" w:rsidRPr="001B7050" w:rsidRDefault="24097814" w:rsidP="65D9A205">
      <w:pPr>
        <w:spacing w:line="259" w:lineRule="auto"/>
        <w:rPr>
          <w:rFonts w:eastAsia="Calibri" w:cs="Calibri"/>
          <w:color w:val="000000"/>
        </w:rPr>
      </w:pPr>
      <w:r w:rsidRPr="001B7050">
        <w:rPr>
          <w:rFonts w:eastAsia="Calibri" w:cs="Calibri"/>
          <w:color w:val="000000"/>
        </w:rPr>
        <w:t xml:space="preserve"> </w:t>
      </w:r>
    </w:p>
    <w:p w14:paraId="5DE35356" w14:textId="1A1B30DB" w:rsidR="24097814" w:rsidRPr="001B7050" w:rsidRDefault="24097814"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Confidentiality / permission to record</w:t>
      </w:r>
      <w:r w:rsidRPr="001B7050">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64935DB7" w14:textId="129D338E" w:rsidR="24097814" w:rsidRPr="001B7050" w:rsidRDefault="24097814" w:rsidP="65D9A205">
      <w:pPr>
        <w:spacing w:line="259" w:lineRule="auto"/>
        <w:rPr>
          <w:rFonts w:eastAsia="Calibri" w:cs="Calibri"/>
          <w:color w:val="000000"/>
        </w:rPr>
      </w:pPr>
      <w:r w:rsidRPr="001B7050">
        <w:rPr>
          <w:rFonts w:eastAsia="Calibri" w:cs="Calibri"/>
          <w:color w:val="000000"/>
        </w:rPr>
        <w:t xml:space="preserve"> </w:t>
      </w:r>
    </w:p>
    <w:p w14:paraId="3F824656" w14:textId="3EFC1197" w:rsidR="24097814" w:rsidRDefault="24097814"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Duration</w:t>
      </w:r>
      <w:r w:rsidRPr="001B7050">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 know the answer to a question</w:t>
      </w:r>
      <w:r w:rsidRPr="65D9A205">
        <w:rPr>
          <w:rFonts w:eastAsia="Calibri" w:cs="Calibri"/>
          <w:color w:val="000000"/>
        </w:rPr>
        <w:t xml:space="preserve"> or prefer not to answer – just let me know and I’ll adapt the interview accordingly.   </w:t>
      </w:r>
    </w:p>
    <w:p w14:paraId="33DCE593" w14:textId="2FBF5F6B" w:rsidR="24097814" w:rsidRDefault="24097814" w:rsidP="65D9A205">
      <w:pPr>
        <w:spacing w:line="259" w:lineRule="auto"/>
        <w:rPr>
          <w:rFonts w:ascii="Segoe UI" w:eastAsia="Segoe UI" w:hAnsi="Segoe UI" w:cs="Segoe UI"/>
          <w:color w:val="000000"/>
        </w:rPr>
      </w:pPr>
      <w:r w:rsidRPr="65D9A205">
        <w:rPr>
          <w:rFonts w:ascii="Segoe UI" w:eastAsia="Segoe UI" w:hAnsi="Segoe UI" w:cs="Segoe UI"/>
          <w:color w:val="000000"/>
        </w:rPr>
        <w:t xml:space="preserve"> </w:t>
      </w:r>
    </w:p>
    <w:p w14:paraId="799A9BB3" w14:textId="09B9451D" w:rsidR="24097814" w:rsidRDefault="24097814" w:rsidP="65D9A205">
      <w:pPr>
        <w:spacing w:line="259" w:lineRule="auto"/>
        <w:rPr>
          <w:rFonts w:eastAsia="Calibri" w:cs="Calibri"/>
          <w:color w:val="000000"/>
        </w:rPr>
      </w:pPr>
      <w:r w:rsidRPr="65D9A205">
        <w:rPr>
          <w:rFonts w:eastAsia="Calibri" w:cs="Calibri"/>
          <w:color w:val="000000"/>
        </w:rPr>
        <w:t xml:space="preserve">• </w:t>
      </w:r>
      <w:r w:rsidRPr="65D9A205">
        <w:rPr>
          <w:rFonts w:eastAsia="Calibri" w:cs="Calibri"/>
          <w:b/>
          <w:bCs/>
          <w:color w:val="000000"/>
        </w:rPr>
        <w:t>Opportunity for questions</w:t>
      </w:r>
      <w:r w:rsidRPr="65D9A205">
        <w:rPr>
          <w:rFonts w:eastAsia="Calibri" w:cs="Calibri"/>
          <w:color w:val="000000"/>
        </w:rPr>
        <w:t xml:space="preserve"> – Do you have any questions before we start? Of course you are also welcome to ask questions through the interview if something is not clear.  </w:t>
      </w:r>
    </w:p>
    <w:p w14:paraId="11C25AE2" w14:textId="4F2194FD" w:rsidR="65D9A205" w:rsidRDefault="65D9A205" w:rsidP="65D9A205">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75"/>
        <w:gridCol w:w="6345"/>
        <w:gridCol w:w="6345"/>
      </w:tblGrid>
      <w:tr w:rsidR="65D9A205" w14:paraId="7266EEAF" w14:textId="77777777" w:rsidTr="0094656D">
        <w:trPr>
          <w:trHeight w:val="567"/>
          <w:tblHeader/>
        </w:trPr>
        <w:tc>
          <w:tcPr>
            <w:tcW w:w="97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7C352033" w14:textId="2A742D87" w:rsidR="65D9A205" w:rsidRDefault="65D9A205" w:rsidP="0094656D">
            <w:pPr>
              <w:rPr>
                <w:rFonts w:eastAsia="Calibri" w:cs="Calibri"/>
                <w:color w:val="FFFFFF" w:themeColor="background1"/>
                <w:sz w:val="20"/>
                <w:szCs w:val="20"/>
              </w:rPr>
            </w:pPr>
            <w:r w:rsidRPr="65D9A205">
              <w:rPr>
                <w:rFonts w:eastAsia="Calibri" w:cs="Calibri"/>
                <w:color w:val="FFFFFF" w:themeColor="background1"/>
                <w:sz w:val="20"/>
                <w:szCs w:val="20"/>
              </w:rPr>
              <w:t>EQ</w:t>
            </w:r>
          </w:p>
        </w:tc>
        <w:tc>
          <w:tcPr>
            <w:tcW w:w="634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5B3B6912" w14:textId="7D03DF6C" w:rsidR="65D9A205" w:rsidRDefault="65D9A205" w:rsidP="0094656D">
            <w:pPr>
              <w:rPr>
                <w:rFonts w:eastAsia="Calibri" w:cs="Calibri"/>
                <w:color w:val="FFFFFF" w:themeColor="background1"/>
                <w:sz w:val="20"/>
                <w:szCs w:val="20"/>
              </w:rPr>
            </w:pPr>
            <w:r w:rsidRPr="65D9A205">
              <w:rPr>
                <w:rFonts w:eastAsia="Calibri" w:cs="Calibri"/>
                <w:color w:val="FFFFFF" w:themeColor="background1"/>
                <w:sz w:val="20"/>
                <w:szCs w:val="20"/>
              </w:rPr>
              <w:t xml:space="preserve">List of questions  </w:t>
            </w:r>
          </w:p>
        </w:tc>
        <w:tc>
          <w:tcPr>
            <w:tcW w:w="634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0477601A" w14:textId="279DA409" w:rsidR="65D9A205" w:rsidRDefault="65D9A205" w:rsidP="0094656D">
            <w:pPr>
              <w:rPr>
                <w:rFonts w:eastAsia="Calibri" w:cs="Calibri"/>
                <w:color w:val="FFFFFF" w:themeColor="background1"/>
                <w:sz w:val="20"/>
                <w:szCs w:val="20"/>
              </w:rPr>
            </w:pPr>
            <w:r w:rsidRPr="65D9A205">
              <w:rPr>
                <w:rFonts w:eastAsia="Calibri" w:cs="Calibri"/>
                <w:color w:val="FFFFFF" w:themeColor="background1"/>
                <w:sz w:val="20"/>
                <w:szCs w:val="20"/>
              </w:rPr>
              <w:t>Response</w:t>
            </w:r>
          </w:p>
        </w:tc>
      </w:tr>
      <w:tr w:rsidR="65D9A205" w14:paraId="05599771" w14:textId="77777777" w:rsidTr="65D9A205">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0404F66" w14:textId="1C797438" w:rsidR="65D9A205" w:rsidRDefault="65D9A205" w:rsidP="65D9A205">
            <w:pPr>
              <w:rPr>
                <w:rFonts w:eastAsia="Calibri" w:cs="Calibri"/>
                <w:color w:val="000000"/>
                <w:sz w:val="20"/>
                <w:szCs w:val="20"/>
              </w:rPr>
            </w:pPr>
            <w:r w:rsidRPr="65D9A205">
              <w:rPr>
                <w:rFonts w:eastAsia="Calibri" w:cs="Calibri"/>
                <w:color w:val="000000"/>
                <w:sz w:val="20"/>
                <w:szCs w:val="20"/>
              </w:rPr>
              <w:t>EQ1 (HH)</w:t>
            </w:r>
            <w:r w:rsidRPr="00263CAE">
              <w:rPr>
                <w:rFonts w:eastAsia="Calibri" w:cs="Calibri"/>
                <w:color w:val="000000"/>
                <w:sz w:val="20"/>
                <w:szCs w:val="20"/>
              </w:rPr>
              <w:t xml:space="preserve"> / Change 1a</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BB40A07" w14:textId="7FD509DA"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and in which ways do you think the </w:t>
            </w:r>
            <w:r w:rsidRPr="65D9A205">
              <w:rPr>
                <w:rFonts w:eastAsia="Calibri" w:cs="Calibri"/>
                <w:b/>
                <w:bCs/>
                <w:color w:val="000000"/>
                <w:sz w:val="20"/>
                <w:szCs w:val="20"/>
              </w:rPr>
              <w:t>quantity</w:t>
            </w:r>
            <w:r w:rsidRPr="65D9A205">
              <w:rPr>
                <w:rFonts w:eastAsia="Calibri" w:cs="Calibri"/>
                <w:color w:val="000000"/>
                <w:sz w:val="20"/>
                <w:szCs w:val="20"/>
              </w:rPr>
              <w:t xml:space="preserve"> of </w:t>
            </w:r>
            <w:r w:rsidRPr="65D9A205">
              <w:rPr>
                <w:color w:val="000000"/>
                <w:sz w:val="20"/>
                <w:szCs w:val="20"/>
                <w:u w:val="single"/>
              </w:rPr>
              <w:t>HH</w:t>
            </w:r>
            <w:r w:rsidRPr="65D9A205">
              <w:rPr>
                <w:rFonts w:eastAsia="Calibri" w:cs="Calibri"/>
                <w:color w:val="000000"/>
                <w:sz w:val="20"/>
                <w:szCs w:val="20"/>
              </w:rPr>
              <w:t xml:space="preserve"> AMR/C/U data generated has improved since 2018? Summarise our understanding of changes in data quantity (sites, pathogens, samples) obtained from document review.  To what extent your records on quantity of AMR/U/C data generated match with our understanding? </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0F0C071A" w14:textId="2E5B0002" w:rsidR="65D9A205" w:rsidRDefault="65D9A205" w:rsidP="65D9A205">
            <w:pPr>
              <w:rPr>
                <w:rFonts w:eastAsia="Calibri" w:cs="Calibri"/>
                <w:color w:val="000000"/>
                <w:sz w:val="20"/>
                <w:szCs w:val="20"/>
              </w:rPr>
            </w:pPr>
          </w:p>
        </w:tc>
      </w:tr>
      <w:tr w:rsidR="65D9A205" w14:paraId="2E315AB2" w14:textId="77777777" w:rsidTr="65D9A205">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B8F6783" w14:textId="02C56A57" w:rsidR="65D9A205" w:rsidRDefault="65D9A205" w:rsidP="65D9A205">
            <w:pPr>
              <w:rPr>
                <w:rFonts w:eastAsia="Calibri" w:cs="Calibri"/>
                <w:color w:val="000000"/>
                <w:sz w:val="20"/>
                <w:szCs w:val="20"/>
              </w:rPr>
            </w:pPr>
            <w:r w:rsidRPr="00263CAE">
              <w:rPr>
                <w:rFonts w:eastAsia="Calibri" w:cs="Calibri"/>
                <w:color w:val="000000"/>
                <w:sz w:val="20"/>
                <w:szCs w:val="20"/>
              </w:rPr>
              <w:t>EQ1 (HH) / Change 1a</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vAlign w:val="center"/>
          </w:tcPr>
          <w:p w14:paraId="70B578F9" w14:textId="0F7C4978" w:rsidR="65D9A205" w:rsidRDefault="65D9A205" w:rsidP="65D9A205">
            <w:pPr>
              <w:rPr>
                <w:rFonts w:eastAsia="Calibri" w:cs="Calibri"/>
                <w:color w:val="000000"/>
                <w:sz w:val="20"/>
                <w:szCs w:val="20"/>
              </w:rPr>
            </w:pPr>
            <w:r w:rsidRPr="00263CAE">
              <w:rPr>
                <w:rFonts w:eastAsia="Calibri" w:cs="Calibri"/>
                <w:color w:val="000000"/>
                <w:sz w:val="20"/>
                <w:szCs w:val="20"/>
              </w:rPr>
              <w:t xml:space="preserve">What were </w:t>
            </w:r>
            <w:r w:rsidRPr="00263CAE">
              <w:rPr>
                <w:rFonts w:eastAsia="Calibri" w:cs="Calibri"/>
                <w:b/>
                <w:bCs/>
                <w:color w:val="000000"/>
                <w:sz w:val="20"/>
                <w:szCs w:val="20"/>
              </w:rPr>
              <w:t>the key change drivers/factors, in</w:t>
            </w:r>
            <w:r w:rsidRPr="00263CAE">
              <w:rPr>
                <w:rFonts w:eastAsia="Calibri" w:cs="Calibri"/>
                <w:color w:val="000000"/>
                <w:sz w:val="20"/>
                <w:szCs w:val="20"/>
              </w:rPr>
              <w:t xml:space="preserve"> order of importance, behind such change? Probes: number of sites, number of pathogens, human capacity, renovation and equipment, consumable, prioritisation, governance, awareness, clinician/health facility´s engagement, patient numbers etc.  </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tcPr>
          <w:p w14:paraId="18363D33" w14:textId="412FC236" w:rsidR="65D9A205" w:rsidRDefault="65D9A205" w:rsidP="65D9A205">
            <w:pPr>
              <w:rPr>
                <w:rFonts w:eastAsia="Calibri" w:cs="Calibri"/>
                <w:color w:val="000000"/>
                <w:sz w:val="20"/>
                <w:szCs w:val="20"/>
              </w:rPr>
            </w:pPr>
          </w:p>
        </w:tc>
      </w:tr>
      <w:tr w:rsidR="65D9A205" w14:paraId="3108E735" w14:textId="77777777" w:rsidTr="65D9A205">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5E6142F7" w14:textId="2AD98C28" w:rsidR="65D9A205" w:rsidRDefault="65D9A205" w:rsidP="65D9A205">
            <w:pPr>
              <w:rPr>
                <w:rFonts w:eastAsia="Calibri" w:cs="Calibri"/>
                <w:color w:val="000000"/>
                <w:sz w:val="20"/>
                <w:szCs w:val="20"/>
              </w:rPr>
            </w:pPr>
            <w:r w:rsidRPr="00263CAE">
              <w:rPr>
                <w:rFonts w:eastAsia="Calibri" w:cs="Calibri"/>
                <w:color w:val="000000"/>
                <w:sz w:val="20"/>
                <w:szCs w:val="20"/>
              </w:rPr>
              <w:t>EQ1 (HH) / Change 1a</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vAlign w:val="center"/>
          </w:tcPr>
          <w:p w14:paraId="55B439F9" w14:textId="5A9847B3" w:rsidR="65D9A205" w:rsidRPr="00263CAE" w:rsidRDefault="65D9A205" w:rsidP="65D9A205">
            <w:pPr>
              <w:rPr>
                <w:rFonts w:eastAsia="Calibri" w:cs="Calibri"/>
                <w:sz w:val="20"/>
                <w:szCs w:val="20"/>
              </w:rPr>
            </w:pPr>
            <w:r w:rsidRPr="00263CAE">
              <w:rPr>
                <w:rFonts w:eastAsia="Calibri" w:cs="Calibri"/>
                <w:sz w:val="20"/>
                <w:szCs w:val="20"/>
              </w:rPr>
              <w:t>What was the Fleming Fund (</w:t>
            </w:r>
            <w:r w:rsidRPr="00263CAE">
              <w:rPr>
                <w:rFonts w:eastAsia="Calibri" w:cs="Calibri"/>
                <w:b/>
                <w:bCs/>
                <w:sz w:val="20"/>
                <w:szCs w:val="20"/>
              </w:rPr>
              <w:t>CG/RG/Fellows</w:t>
            </w:r>
            <w:r w:rsidRPr="00263CAE">
              <w:rPr>
                <w:rFonts w:eastAsia="Calibri" w:cs="Calibri"/>
                <w:sz w:val="20"/>
                <w:szCs w:val="20"/>
              </w:rPr>
              <w:t xml:space="preserve">) </w:t>
            </w:r>
            <w:r w:rsidRPr="00263CAE">
              <w:rPr>
                <w:rFonts w:eastAsia="Calibri" w:cs="Calibri"/>
                <w:b/>
                <w:bCs/>
                <w:sz w:val="20"/>
                <w:szCs w:val="20"/>
              </w:rPr>
              <w:t>contribution</w:t>
            </w:r>
            <w:r w:rsidRPr="00263CAE">
              <w:rPr>
                <w:rFonts w:eastAsia="Calibri" w:cs="Calibri"/>
                <w:sz w:val="20"/>
                <w:szCs w:val="20"/>
              </w:rPr>
              <w:t xml:space="preserve"> to those drivers?</w:t>
            </w:r>
            <w:r w:rsidRPr="00263CAE">
              <w:br/>
            </w:r>
            <w:r w:rsidRPr="00263CAE">
              <w:rPr>
                <w:rFonts w:eastAsia="Calibri" w:cs="Calibri"/>
                <w:sz w:val="20"/>
                <w:szCs w:val="20"/>
              </w:rPr>
              <w:t>How vital was that it compared to the contribution of:</w:t>
            </w:r>
            <w:r w:rsidRPr="00263CAE">
              <w:br/>
            </w:r>
            <w:r w:rsidRPr="00263CAE">
              <w:rPr>
                <w:rFonts w:eastAsia="Calibri" w:cs="Calibri"/>
                <w:sz w:val="20"/>
                <w:szCs w:val="20"/>
              </w:rPr>
              <w:t>-Global Projects (name any active in country)</w:t>
            </w:r>
            <w:r w:rsidRPr="00263CAE">
              <w:br/>
            </w:r>
            <w:r w:rsidRPr="00263CAE">
              <w:rPr>
                <w:rFonts w:eastAsia="Calibri" w:cs="Calibri"/>
                <w:sz w:val="20"/>
                <w:szCs w:val="20"/>
              </w:rPr>
              <w:t>-Other influencing factors (could be government activities, interventions by other DPs or exogenous factors such as COVID-19)?</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tcPr>
          <w:p w14:paraId="4C856D58" w14:textId="32FEFBEE" w:rsidR="65D9A205" w:rsidRDefault="65D9A205" w:rsidP="65D9A205">
            <w:pPr>
              <w:rPr>
                <w:rFonts w:eastAsia="Calibri" w:cs="Calibri"/>
                <w:color w:val="000000"/>
                <w:sz w:val="20"/>
                <w:szCs w:val="20"/>
              </w:rPr>
            </w:pPr>
          </w:p>
        </w:tc>
      </w:tr>
      <w:tr w:rsidR="65D9A205" w14:paraId="722F0CDA" w14:textId="77777777" w:rsidTr="0094656D">
        <w:trPr>
          <w:trHeight w:val="397"/>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0865374E" w14:textId="1A85D332" w:rsidR="65D9A205" w:rsidRDefault="65D9A205" w:rsidP="65D9A205">
            <w:pPr>
              <w:rPr>
                <w:rFonts w:eastAsia="Calibri" w:cs="Calibri"/>
                <w:color w:val="000000"/>
                <w:sz w:val="20"/>
                <w:szCs w:val="20"/>
              </w:rPr>
            </w:pPr>
            <w:r w:rsidRPr="00263CAE">
              <w:rPr>
                <w:rFonts w:eastAsia="Calibri" w:cs="Calibri"/>
                <w:color w:val="000000"/>
                <w:sz w:val="20"/>
                <w:szCs w:val="20"/>
              </w:rPr>
              <w:t>EQ1 (HH) / Change 1a</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vAlign w:val="center"/>
          </w:tcPr>
          <w:p w14:paraId="537DFDC0" w14:textId="508D54C7" w:rsidR="65D9A205" w:rsidRDefault="65D9A205" w:rsidP="0094656D">
            <w:pPr>
              <w:rPr>
                <w:rFonts w:eastAsia="Calibri" w:cs="Calibri"/>
                <w:color w:val="000000"/>
                <w:sz w:val="20"/>
                <w:szCs w:val="20"/>
              </w:rPr>
            </w:pPr>
            <w:r w:rsidRPr="00263CAE">
              <w:rPr>
                <w:rFonts w:eastAsia="Calibri" w:cs="Calibri"/>
                <w:color w:val="000000"/>
                <w:sz w:val="20"/>
                <w:szCs w:val="20"/>
              </w:rPr>
              <w:t xml:space="preserve">If there was </w:t>
            </w:r>
            <w:r w:rsidRPr="00263CAE">
              <w:rPr>
                <w:rFonts w:eastAsia="Calibri" w:cs="Calibri"/>
                <w:b/>
                <w:bCs/>
                <w:color w:val="000000"/>
                <w:sz w:val="20"/>
                <w:szCs w:val="20"/>
              </w:rPr>
              <w:t>no or negative change in this area</w:t>
            </w:r>
            <w:r w:rsidRPr="00263CAE">
              <w:rPr>
                <w:rFonts w:eastAsia="Calibri" w:cs="Calibri"/>
                <w:color w:val="000000"/>
                <w:sz w:val="20"/>
                <w:szCs w:val="20"/>
              </w:rPr>
              <w:t>, why was that? And what has the FF and others done to improve the situation?</w:t>
            </w:r>
          </w:p>
        </w:tc>
        <w:tc>
          <w:tcPr>
            <w:tcW w:w="6345" w:type="dxa"/>
            <w:tcBorders>
              <w:top w:val="single" w:sz="6" w:space="0" w:color="auto"/>
              <w:left w:val="single" w:sz="6" w:space="0" w:color="auto"/>
              <w:bottom w:val="single" w:sz="6" w:space="0" w:color="auto"/>
              <w:right w:val="single" w:sz="6" w:space="0" w:color="auto"/>
            </w:tcBorders>
            <w:shd w:val="clear" w:color="auto" w:fill="FBE4D5"/>
            <w:tcMar>
              <w:left w:w="105" w:type="dxa"/>
              <w:right w:w="105" w:type="dxa"/>
            </w:tcMar>
          </w:tcPr>
          <w:p w14:paraId="23512A4D" w14:textId="4E0D42BA" w:rsidR="65D9A205" w:rsidRDefault="65D9A205" w:rsidP="65D9A205">
            <w:pPr>
              <w:rPr>
                <w:rFonts w:eastAsia="Calibri" w:cs="Calibri"/>
                <w:color w:val="000000"/>
                <w:sz w:val="20"/>
                <w:szCs w:val="20"/>
              </w:rPr>
            </w:pPr>
          </w:p>
        </w:tc>
      </w:tr>
      <w:tr w:rsidR="65D9A205" w14:paraId="4C8F121F" w14:textId="77777777" w:rsidTr="65D9A205">
        <w:trPr>
          <w:trHeight w:val="196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AF29556" w14:textId="109467A5" w:rsidR="65D9A205" w:rsidRDefault="65D9A205" w:rsidP="65D9A205">
            <w:pPr>
              <w:rPr>
                <w:rFonts w:eastAsia="Calibri" w:cs="Calibri"/>
                <w:color w:val="000000"/>
                <w:sz w:val="20"/>
                <w:szCs w:val="20"/>
              </w:rPr>
            </w:pPr>
            <w:r w:rsidRPr="65D9A205">
              <w:rPr>
                <w:rFonts w:eastAsia="Calibri" w:cs="Calibri"/>
                <w:color w:val="000000"/>
                <w:sz w:val="20"/>
                <w:szCs w:val="20"/>
              </w:rPr>
              <w:t>EQ1 (HH)</w:t>
            </w:r>
            <w:r w:rsidRPr="00263CAE">
              <w:rPr>
                <w:rFonts w:eastAsia="Calibri" w:cs="Calibri"/>
                <w:color w:val="000000"/>
                <w:sz w:val="20"/>
                <w:szCs w:val="20"/>
              </w:rPr>
              <w:t xml:space="preserve"> / Change 1b</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C84E12C" w14:textId="3430A03A"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and in which ways do you think the </w:t>
            </w:r>
            <w:r w:rsidRPr="65D9A205">
              <w:rPr>
                <w:rFonts w:eastAsia="Calibri" w:cs="Calibri"/>
                <w:b/>
                <w:bCs/>
                <w:color w:val="000000"/>
                <w:sz w:val="20"/>
                <w:szCs w:val="20"/>
              </w:rPr>
              <w:t>quality</w:t>
            </w:r>
            <w:r w:rsidRPr="65D9A205">
              <w:rPr>
                <w:rFonts w:eastAsia="Calibri" w:cs="Calibri"/>
                <w:color w:val="000000"/>
                <w:sz w:val="20"/>
                <w:szCs w:val="20"/>
              </w:rPr>
              <w:t xml:space="preserve"> of </w:t>
            </w:r>
            <w:r w:rsidRPr="65D9A205">
              <w:rPr>
                <w:rFonts w:eastAsia="Calibri" w:cs="Calibri"/>
                <w:color w:val="000000"/>
                <w:sz w:val="20"/>
                <w:szCs w:val="20"/>
                <w:u w:val="single"/>
              </w:rPr>
              <w:t>HH</w:t>
            </w:r>
            <w:r w:rsidRPr="65D9A205">
              <w:rPr>
                <w:rFonts w:eastAsia="Calibri" w:cs="Calibri"/>
                <w:color w:val="000000"/>
                <w:sz w:val="20"/>
                <w:szCs w:val="20"/>
              </w:rPr>
              <w:t xml:space="preserve"> AMR data has improved? </w:t>
            </w:r>
            <w:r>
              <w:br/>
            </w:r>
            <w:r w:rsidRPr="65D9A205">
              <w:rPr>
                <w:rFonts w:eastAsia="Calibri" w:cs="Calibri"/>
                <w:color w:val="000000"/>
                <w:sz w:val="20"/>
                <w:szCs w:val="20"/>
              </w:rPr>
              <w:t>-some prompts that maybe helpful for this question are (1) SOPs, (2) automated instruments, (3) internal and/or external quality assurance procedures, (4) better supplies of reagents/better quality equipment or infrastructure (eg fridges/freezers), (5) Training and/or supervision, (6) Quality manager, (7) Accreditation processes, (8) Reporting of data to clinicians (for HH).</w:t>
            </w:r>
            <w:r>
              <w:br/>
            </w:r>
            <w:r w:rsidRPr="65D9A205">
              <w:rPr>
                <w:rFonts w:eastAsia="Calibri" w:cs="Calibri"/>
                <w:color w:val="000000"/>
                <w:sz w:val="20"/>
                <w:szCs w:val="20"/>
              </w:rPr>
              <w:t>- Would be useful to get a feel for what level the improvements are at (references labs and/or surveillance sites or facility laboratories)</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3F413741" w14:textId="641899AD" w:rsidR="65D9A205" w:rsidRDefault="65D9A205" w:rsidP="65D9A205">
            <w:pPr>
              <w:rPr>
                <w:rFonts w:eastAsia="Calibri" w:cs="Calibri"/>
                <w:color w:val="000000"/>
                <w:sz w:val="20"/>
                <w:szCs w:val="20"/>
              </w:rPr>
            </w:pPr>
          </w:p>
        </w:tc>
      </w:tr>
      <w:tr w:rsidR="65D9A205" w14:paraId="130A2A54" w14:textId="77777777" w:rsidTr="0094656D">
        <w:trPr>
          <w:trHeight w:val="1134"/>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9A07567" w14:textId="30C5452D" w:rsidR="65D9A205" w:rsidRDefault="65D9A205" w:rsidP="65D9A205">
            <w:pPr>
              <w:rPr>
                <w:rFonts w:eastAsia="Calibri" w:cs="Calibri"/>
                <w:color w:val="000000"/>
                <w:sz w:val="20"/>
                <w:szCs w:val="20"/>
              </w:rPr>
            </w:pPr>
            <w:r w:rsidRPr="65D9A205">
              <w:rPr>
                <w:rFonts w:eastAsia="Calibri" w:cs="Calibri"/>
                <w:color w:val="000000"/>
                <w:sz w:val="20"/>
                <w:szCs w:val="20"/>
              </w:rPr>
              <w:t>EQ1 (HH)</w:t>
            </w:r>
            <w:r w:rsidRPr="00263CAE">
              <w:rPr>
                <w:rFonts w:eastAsia="Calibri" w:cs="Calibri"/>
                <w:color w:val="000000"/>
                <w:sz w:val="20"/>
                <w:szCs w:val="20"/>
              </w:rPr>
              <w:t xml:space="preserve"> / Change 1b</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7D591097" w14:textId="1A0B30B8" w:rsidR="65D9A205" w:rsidRDefault="65D9A205" w:rsidP="65D9A205">
            <w:pPr>
              <w:rPr>
                <w:rFonts w:eastAsia="Calibri" w:cs="Calibri"/>
                <w:color w:val="000000"/>
                <w:sz w:val="20"/>
                <w:szCs w:val="20"/>
              </w:rPr>
            </w:pPr>
            <w:r w:rsidRPr="00263CAE">
              <w:rPr>
                <w:rFonts w:eastAsia="Calibri" w:cs="Calibri"/>
                <w:color w:val="000000"/>
                <w:sz w:val="20"/>
                <w:szCs w:val="20"/>
              </w:rPr>
              <w:t>What were the key</w:t>
            </w:r>
            <w:r w:rsidRPr="00263CAE">
              <w:rPr>
                <w:rFonts w:eastAsia="Calibri" w:cs="Calibri"/>
                <w:b/>
                <w:bCs/>
                <w:color w:val="000000"/>
                <w:sz w:val="20"/>
                <w:szCs w:val="20"/>
              </w:rPr>
              <w:t xml:space="preserve"> change drivers/factors,</w:t>
            </w:r>
            <w:r w:rsidRPr="65D9A205">
              <w:rPr>
                <w:rFonts w:eastAsia="Calibri" w:cs="Calibri"/>
                <w:color w:val="D13438"/>
                <w:sz w:val="20"/>
                <w:szCs w:val="20"/>
                <w:u w:val="single"/>
              </w:rPr>
              <w:t xml:space="preserve"> </w:t>
            </w:r>
            <w:r w:rsidRPr="00263CAE">
              <w:rPr>
                <w:rFonts w:eastAsia="Calibri" w:cs="Calibri"/>
                <w:color w:val="000000"/>
                <w:sz w:val="20"/>
                <w:szCs w:val="20"/>
              </w:rPr>
              <w:t>in order of importance, behind such change? Probes: investments in human capacity renovation work and improved equipment, reliable supply of reagents, SOP, QA, supervision, prioritisation, governance,</w:t>
            </w:r>
            <w:r w:rsidRPr="65D9A205">
              <w:rPr>
                <w:rFonts w:eastAsia="Calibri" w:cs="Calibri"/>
                <w:color w:val="D13438"/>
                <w:sz w:val="20"/>
                <w:szCs w:val="20"/>
                <w:u w:val="single"/>
              </w:rPr>
              <w:t xml:space="preserve"> </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6581B0A9" w14:textId="684EE54F" w:rsidR="65D9A205" w:rsidRDefault="65D9A205" w:rsidP="65D9A205">
            <w:pPr>
              <w:rPr>
                <w:rFonts w:eastAsia="Calibri" w:cs="Calibri"/>
                <w:color w:val="000000"/>
                <w:sz w:val="20"/>
                <w:szCs w:val="20"/>
              </w:rPr>
            </w:pPr>
          </w:p>
        </w:tc>
      </w:tr>
      <w:tr w:rsidR="65D9A205" w14:paraId="0EAFA283"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65362E9" w14:textId="6A9C1B63" w:rsidR="65D9A205" w:rsidRDefault="65D9A205" w:rsidP="65D9A205">
            <w:pPr>
              <w:rPr>
                <w:rFonts w:eastAsia="Calibri" w:cs="Calibri"/>
                <w:color w:val="000000"/>
                <w:sz w:val="20"/>
                <w:szCs w:val="20"/>
              </w:rPr>
            </w:pPr>
            <w:r w:rsidRPr="65D9A205">
              <w:rPr>
                <w:rFonts w:eastAsia="Calibri" w:cs="Calibri"/>
                <w:color w:val="000000"/>
                <w:sz w:val="20"/>
                <w:szCs w:val="20"/>
              </w:rPr>
              <w:t>EQ1 (HH)</w:t>
            </w:r>
            <w:r w:rsidRPr="00263CAE">
              <w:rPr>
                <w:rFonts w:eastAsia="Calibri" w:cs="Calibri"/>
                <w:color w:val="000000"/>
                <w:sz w:val="20"/>
                <w:szCs w:val="20"/>
              </w:rPr>
              <w:t xml:space="preserve"> / Change 1b</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69D23A9A" w14:textId="4DC79C93"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w:t>
            </w:r>
            <w:r w:rsidRPr="65D9A205">
              <w:rPr>
                <w:rFonts w:eastAsia="Calibri" w:cs="Calibri"/>
                <w:color w:val="000000"/>
                <w:sz w:val="20"/>
                <w:szCs w:val="20"/>
              </w:rPr>
              <w:t xml:space="preserve"> to those drivers?</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0E60C991" w14:textId="529EE1D3" w:rsidR="65D9A205" w:rsidRDefault="65D9A205" w:rsidP="65D9A205">
            <w:pPr>
              <w:rPr>
                <w:rFonts w:eastAsia="Calibri" w:cs="Calibri"/>
                <w:color w:val="000000"/>
                <w:sz w:val="20"/>
                <w:szCs w:val="20"/>
              </w:rPr>
            </w:pPr>
          </w:p>
        </w:tc>
      </w:tr>
      <w:tr w:rsidR="65D9A205" w14:paraId="0574EE32" w14:textId="77777777" w:rsidTr="0094656D">
        <w:trPr>
          <w:trHeight w:val="51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AAEB64C" w14:textId="676E8CDF" w:rsidR="65D9A205" w:rsidRDefault="65D9A205" w:rsidP="65D9A205">
            <w:pPr>
              <w:rPr>
                <w:rFonts w:eastAsia="Calibri" w:cs="Calibri"/>
                <w:color w:val="000000"/>
                <w:sz w:val="20"/>
                <w:szCs w:val="20"/>
              </w:rPr>
            </w:pPr>
            <w:r w:rsidRPr="65D9A205">
              <w:rPr>
                <w:rFonts w:eastAsia="Calibri" w:cs="Calibri"/>
                <w:color w:val="000000"/>
                <w:sz w:val="20"/>
                <w:szCs w:val="20"/>
              </w:rPr>
              <w:t>EQ1 (HH)</w:t>
            </w:r>
            <w:r w:rsidRPr="65D9A205">
              <w:rPr>
                <w:rFonts w:eastAsia="Calibri" w:cs="Calibri"/>
                <w:color w:val="D13438"/>
                <w:sz w:val="20"/>
                <w:szCs w:val="20"/>
                <w:u w:val="single"/>
              </w:rPr>
              <w:t xml:space="preserve"> </w:t>
            </w:r>
            <w:r w:rsidRPr="00263CAE">
              <w:rPr>
                <w:rFonts w:eastAsia="Calibri" w:cs="Calibri"/>
                <w:color w:val="000000"/>
                <w:sz w:val="20"/>
                <w:szCs w:val="20"/>
              </w:rPr>
              <w:t>/ Change 1b</w:t>
            </w:r>
          </w:p>
        </w:tc>
        <w:tc>
          <w:tcPr>
            <w:tcW w:w="6345" w:type="dxa"/>
            <w:tcBorders>
              <w:top w:val="single" w:sz="6" w:space="0" w:color="auto"/>
              <w:left w:val="single" w:sz="6" w:space="0" w:color="auto"/>
              <w:bottom w:val="nil"/>
              <w:right w:val="nil"/>
            </w:tcBorders>
            <w:shd w:val="clear" w:color="auto" w:fill="FCE4D6"/>
            <w:tcMar>
              <w:left w:w="105" w:type="dxa"/>
              <w:right w:w="105" w:type="dxa"/>
            </w:tcMar>
            <w:vAlign w:val="center"/>
          </w:tcPr>
          <w:p w14:paraId="101D36F6" w14:textId="2792ED46" w:rsidR="65D9A205" w:rsidRDefault="65D9A205" w:rsidP="0094656D">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no or negative change in this area, why</w:t>
            </w:r>
            <w:r w:rsidRPr="65D9A205">
              <w:rPr>
                <w:rFonts w:eastAsia="Calibri" w:cs="Calibri"/>
                <w:color w:val="000000"/>
                <w:sz w:val="20"/>
                <w:szCs w:val="20"/>
              </w:rPr>
              <w:t xml:space="preserve"> was that? And what has the FF and others done to improve the situation?</w:t>
            </w:r>
          </w:p>
        </w:tc>
        <w:tc>
          <w:tcPr>
            <w:tcW w:w="6345" w:type="dxa"/>
            <w:tcBorders>
              <w:top w:val="single" w:sz="6" w:space="0" w:color="auto"/>
              <w:left w:val="nil"/>
              <w:bottom w:val="nil"/>
              <w:right w:val="nil"/>
            </w:tcBorders>
            <w:shd w:val="clear" w:color="auto" w:fill="FCE4D6"/>
            <w:tcMar>
              <w:left w:w="105" w:type="dxa"/>
              <w:right w:w="105" w:type="dxa"/>
            </w:tcMar>
          </w:tcPr>
          <w:p w14:paraId="740E98A5" w14:textId="08E71935" w:rsidR="65D9A205" w:rsidRDefault="65D9A205" w:rsidP="65D9A205">
            <w:pPr>
              <w:rPr>
                <w:rFonts w:eastAsia="Calibri" w:cs="Calibri"/>
                <w:color w:val="000000"/>
                <w:sz w:val="20"/>
                <w:szCs w:val="20"/>
              </w:rPr>
            </w:pPr>
          </w:p>
        </w:tc>
      </w:tr>
      <w:tr w:rsidR="65D9A205" w14:paraId="0DB6150D" w14:textId="77777777" w:rsidTr="65D9A205">
        <w:trPr>
          <w:trHeight w:val="85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0886D03" w14:textId="3261BB02" w:rsidR="65D9A205" w:rsidRDefault="65D9A205" w:rsidP="65D9A205">
            <w:pPr>
              <w:rPr>
                <w:rFonts w:eastAsia="Calibri" w:cs="Calibri"/>
                <w:color w:val="000000"/>
                <w:sz w:val="20"/>
                <w:szCs w:val="20"/>
              </w:rPr>
            </w:pPr>
            <w:r w:rsidRPr="65D9A205">
              <w:rPr>
                <w:rFonts w:eastAsia="Calibri" w:cs="Calibri"/>
                <w:color w:val="000000"/>
                <w:sz w:val="20"/>
                <w:szCs w:val="20"/>
              </w:rPr>
              <w:t>EQ1 (HH)</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7148A2F" w14:textId="32B1C16D"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is it plausible that there will be </w:t>
            </w:r>
            <w:r w:rsidRPr="65D9A205">
              <w:rPr>
                <w:rFonts w:eastAsia="Calibri" w:cs="Calibri"/>
                <w:b/>
                <w:bCs/>
                <w:color w:val="000000"/>
                <w:sz w:val="20"/>
                <w:szCs w:val="20"/>
              </w:rPr>
              <w:t>significant additional change in the system</w:t>
            </w:r>
            <w:r w:rsidRPr="65D9A205">
              <w:rPr>
                <w:rFonts w:eastAsia="Calibri" w:cs="Calibri"/>
                <w:color w:val="000000"/>
                <w:sz w:val="20"/>
                <w:szCs w:val="20"/>
              </w:rPr>
              <w:t xml:space="preserve"> (in terms of increases in quantity and quality of AMR data) </w:t>
            </w:r>
            <w:r w:rsidRPr="65D9A205">
              <w:rPr>
                <w:rFonts w:eastAsia="Calibri" w:cs="Calibri"/>
                <w:b/>
                <w:bCs/>
                <w:color w:val="000000"/>
                <w:sz w:val="20"/>
                <w:szCs w:val="20"/>
              </w:rPr>
              <w:t>by end 2022</w:t>
            </w:r>
            <w:r w:rsidRPr="65D9A205">
              <w:rPr>
                <w:rFonts w:eastAsia="Calibri" w:cs="Calibri"/>
                <w:color w:val="000000"/>
                <w:sz w:val="20"/>
                <w:szCs w:val="20"/>
              </w:rPr>
              <w:t xml:space="preserve">?  </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AE4EE18" w14:textId="075A84C4" w:rsidR="65D9A205" w:rsidRDefault="65D9A205" w:rsidP="65D9A205">
            <w:pPr>
              <w:rPr>
                <w:rFonts w:eastAsia="Calibri" w:cs="Calibri"/>
                <w:color w:val="000000"/>
                <w:sz w:val="20"/>
                <w:szCs w:val="20"/>
              </w:rPr>
            </w:pPr>
          </w:p>
        </w:tc>
      </w:tr>
      <w:tr w:rsidR="65D9A205" w14:paraId="2853DE41"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5C9E81C" w14:textId="1AF1D09D" w:rsidR="65D9A205" w:rsidRDefault="65D9A205" w:rsidP="65D9A205">
            <w:pPr>
              <w:rPr>
                <w:rFonts w:eastAsia="Calibri" w:cs="Calibri"/>
                <w:color w:val="000000"/>
                <w:sz w:val="20"/>
                <w:szCs w:val="20"/>
              </w:rPr>
            </w:pPr>
            <w:r w:rsidRPr="65D9A205">
              <w:rPr>
                <w:rFonts w:eastAsia="Calibri" w:cs="Calibri"/>
                <w:color w:val="000000"/>
                <w:sz w:val="20"/>
                <w:szCs w:val="20"/>
              </w:rPr>
              <w:t>EQ5 (HH)</w:t>
            </w:r>
            <w:r w:rsidRPr="00263CAE">
              <w:rPr>
                <w:rFonts w:eastAsia="Calibri" w:cs="Calibri"/>
                <w:color w:val="000000"/>
                <w:sz w:val="20"/>
                <w:szCs w:val="20"/>
              </w:rPr>
              <w:t xml:space="preserve"> / Change 5</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9BE8977" w14:textId="1ADE6648"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and in which ways do you think the </w:t>
            </w:r>
            <w:r w:rsidRPr="65D9A205">
              <w:rPr>
                <w:rFonts w:eastAsia="Calibri" w:cs="Calibri"/>
                <w:b/>
                <w:bCs/>
                <w:color w:val="000000"/>
                <w:sz w:val="20"/>
                <w:szCs w:val="20"/>
              </w:rPr>
              <w:t>quantity</w:t>
            </w:r>
            <w:r w:rsidRPr="65D9A205">
              <w:rPr>
                <w:rFonts w:eastAsia="Calibri" w:cs="Calibri"/>
                <w:color w:val="000000"/>
                <w:sz w:val="20"/>
                <w:szCs w:val="20"/>
              </w:rPr>
              <w:t xml:space="preserve"> of </w:t>
            </w:r>
            <w:r w:rsidRPr="65D9A205">
              <w:rPr>
                <w:color w:val="000000"/>
                <w:sz w:val="20"/>
                <w:szCs w:val="20"/>
                <w:u w:val="single"/>
              </w:rPr>
              <w:t>HH</w:t>
            </w:r>
            <w:r w:rsidRPr="65D9A205">
              <w:rPr>
                <w:rFonts w:eastAsia="Calibri" w:cs="Calibri"/>
                <w:color w:val="000000"/>
                <w:sz w:val="20"/>
                <w:szCs w:val="20"/>
              </w:rPr>
              <w:t xml:space="preserve"> AMR data </w:t>
            </w:r>
            <w:r w:rsidRPr="65D9A205">
              <w:rPr>
                <w:rFonts w:eastAsia="Calibri" w:cs="Calibri"/>
                <w:b/>
                <w:bCs/>
                <w:color w:val="000000"/>
                <w:sz w:val="20"/>
                <w:szCs w:val="20"/>
              </w:rPr>
              <w:t xml:space="preserve">reported to GLASS </w:t>
            </w:r>
            <w:r w:rsidRPr="65D9A205">
              <w:rPr>
                <w:rFonts w:eastAsia="Calibri" w:cs="Calibri"/>
                <w:color w:val="000000"/>
                <w:sz w:val="20"/>
                <w:szCs w:val="20"/>
              </w:rPr>
              <w:t>has improved since 2018? Summarise our understanding based on document review. To what extent do your records on quantity of AMR data reported matches our understanding?  [NB: note and clarify understanding where data generated at country level is higher than data reported to GLASS and reasons]</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3A4B05C6" w14:textId="6CA997F1" w:rsidR="65D9A205" w:rsidRDefault="65D9A205" w:rsidP="65D9A205">
            <w:pPr>
              <w:rPr>
                <w:rFonts w:eastAsia="Calibri" w:cs="Calibri"/>
                <w:color w:val="000000"/>
                <w:sz w:val="20"/>
                <w:szCs w:val="20"/>
              </w:rPr>
            </w:pPr>
          </w:p>
        </w:tc>
      </w:tr>
      <w:tr w:rsidR="65D9A205" w14:paraId="1DFFB270" w14:textId="77777777" w:rsidTr="65D9A205">
        <w:trPr>
          <w:trHeight w:val="765"/>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5C935B3" w14:textId="7ABA03B4" w:rsidR="65D9A205" w:rsidRDefault="65D9A205" w:rsidP="65D9A205">
            <w:pPr>
              <w:rPr>
                <w:rFonts w:eastAsia="Calibri" w:cs="Calibri"/>
                <w:color w:val="000000"/>
                <w:sz w:val="20"/>
                <w:szCs w:val="20"/>
              </w:rPr>
            </w:pPr>
            <w:r w:rsidRPr="65D9A205">
              <w:rPr>
                <w:rFonts w:eastAsia="Calibri" w:cs="Calibri"/>
                <w:color w:val="000000"/>
                <w:sz w:val="20"/>
                <w:szCs w:val="20"/>
              </w:rPr>
              <w:t>EQ5 (HH)</w:t>
            </w:r>
            <w:r w:rsidRPr="00263CAE">
              <w:rPr>
                <w:rFonts w:eastAsia="Calibri" w:cs="Calibri"/>
                <w:color w:val="000000"/>
                <w:sz w:val="20"/>
                <w:szCs w:val="20"/>
              </w:rPr>
              <w:t xml:space="preserve"> / Change 5</w:t>
            </w:r>
          </w:p>
        </w:tc>
        <w:tc>
          <w:tcPr>
            <w:tcW w:w="634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4E59F62" w14:textId="65D6FB55"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and in which ways do you think the </w:t>
            </w:r>
            <w:r w:rsidRPr="65D9A205">
              <w:rPr>
                <w:rFonts w:eastAsia="Calibri" w:cs="Calibri"/>
                <w:b/>
                <w:bCs/>
                <w:color w:val="000000"/>
                <w:sz w:val="20"/>
                <w:szCs w:val="20"/>
              </w:rPr>
              <w:t>quality</w:t>
            </w:r>
            <w:r w:rsidRPr="65D9A205">
              <w:rPr>
                <w:rFonts w:eastAsia="Calibri" w:cs="Calibri"/>
                <w:color w:val="000000"/>
                <w:sz w:val="20"/>
                <w:szCs w:val="20"/>
              </w:rPr>
              <w:t xml:space="preserve"> of </w:t>
            </w:r>
            <w:r w:rsidRPr="65D9A205">
              <w:rPr>
                <w:color w:val="000000"/>
                <w:sz w:val="20"/>
                <w:szCs w:val="20"/>
                <w:u w:val="single"/>
              </w:rPr>
              <w:t>HH</w:t>
            </w:r>
            <w:r w:rsidRPr="65D9A205">
              <w:rPr>
                <w:rFonts w:eastAsia="Calibri" w:cs="Calibri"/>
                <w:color w:val="000000"/>
                <w:sz w:val="20"/>
                <w:szCs w:val="20"/>
              </w:rPr>
              <w:t xml:space="preserve"> AMR data </w:t>
            </w:r>
            <w:r w:rsidRPr="65D9A205">
              <w:rPr>
                <w:rFonts w:eastAsia="Calibri" w:cs="Calibri"/>
                <w:b/>
                <w:bCs/>
                <w:color w:val="000000"/>
                <w:sz w:val="20"/>
                <w:szCs w:val="20"/>
              </w:rPr>
              <w:t>reported to GLASS</w:t>
            </w:r>
            <w:r w:rsidRPr="65D9A205">
              <w:rPr>
                <w:rFonts w:eastAsia="Calibri" w:cs="Calibri"/>
                <w:color w:val="000000"/>
                <w:sz w:val="20"/>
                <w:szCs w:val="20"/>
              </w:rPr>
              <w:t xml:space="preserve"> has improved since 2020 (noting that 2018 data was reported in 2020)? </w:t>
            </w:r>
          </w:p>
        </w:tc>
        <w:tc>
          <w:tcPr>
            <w:tcW w:w="6345" w:type="dxa"/>
            <w:tcBorders>
              <w:top w:val="single" w:sz="6" w:space="0" w:color="auto"/>
              <w:left w:val="single" w:sz="6" w:space="0" w:color="auto"/>
              <w:bottom w:val="single" w:sz="6" w:space="0" w:color="auto"/>
              <w:right w:val="single" w:sz="6" w:space="0" w:color="auto"/>
            </w:tcBorders>
            <w:tcMar>
              <w:left w:w="105" w:type="dxa"/>
              <w:right w:w="105" w:type="dxa"/>
            </w:tcMar>
          </w:tcPr>
          <w:p w14:paraId="4B6505BC" w14:textId="249C201A" w:rsidR="65D9A205" w:rsidRDefault="65D9A205" w:rsidP="65D9A205">
            <w:pPr>
              <w:rPr>
                <w:rFonts w:eastAsia="Calibri" w:cs="Calibri"/>
                <w:color w:val="000000"/>
                <w:sz w:val="20"/>
                <w:szCs w:val="20"/>
              </w:rPr>
            </w:pPr>
          </w:p>
        </w:tc>
      </w:tr>
      <w:tr w:rsidR="65D9A205" w14:paraId="05791262" w14:textId="77777777" w:rsidTr="65D9A205">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79981FE" w14:textId="1F28FAA0" w:rsidR="65D9A205" w:rsidRDefault="65D9A205" w:rsidP="65D9A205">
            <w:pPr>
              <w:rPr>
                <w:rFonts w:eastAsia="Calibri" w:cs="Calibri"/>
                <w:color w:val="000000"/>
                <w:sz w:val="20"/>
                <w:szCs w:val="20"/>
              </w:rPr>
            </w:pPr>
            <w:r w:rsidRPr="65D9A205">
              <w:rPr>
                <w:rFonts w:eastAsia="Calibri" w:cs="Calibri"/>
                <w:color w:val="000000"/>
                <w:sz w:val="20"/>
                <w:szCs w:val="20"/>
              </w:rPr>
              <w:t>EQ5 (HH)</w:t>
            </w:r>
            <w:r w:rsidRPr="00263CAE">
              <w:rPr>
                <w:rFonts w:eastAsia="Calibri" w:cs="Calibri"/>
                <w:color w:val="000000"/>
                <w:sz w:val="20"/>
                <w:szCs w:val="20"/>
              </w:rPr>
              <w:t xml:space="preserve"> / Change 5</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522C4BA2" w14:textId="4BB8FE04" w:rsidR="65D9A205" w:rsidRDefault="65D9A205" w:rsidP="65D9A205">
            <w:pPr>
              <w:rPr>
                <w:rFonts w:eastAsia="Calibri" w:cs="Calibri"/>
                <w:color w:val="000000"/>
                <w:sz w:val="20"/>
                <w:szCs w:val="20"/>
              </w:rPr>
            </w:pPr>
            <w:r w:rsidRPr="00263CAE">
              <w:rPr>
                <w:rFonts w:eastAsia="Calibri" w:cs="Calibri"/>
                <w:color w:val="000000"/>
                <w:sz w:val="20"/>
                <w:szCs w:val="20"/>
              </w:rPr>
              <w:t xml:space="preserve">What were the </w:t>
            </w:r>
            <w:r w:rsidRPr="00263CAE">
              <w:rPr>
                <w:rFonts w:eastAsia="Calibri" w:cs="Calibri"/>
                <w:b/>
                <w:bCs/>
                <w:color w:val="000000"/>
                <w:sz w:val="20"/>
                <w:szCs w:val="20"/>
              </w:rPr>
              <w:t>key change drivers/factors, in order of importance</w:t>
            </w:r>
            <w:r w:rsidRPr="00263CAE">
              <w:rPr>
                <w:rFonts w:eastAsia="Calibri" w:cs="Calibri"/>
                <w:color w:val="000000"/>
                <w:sz w:val="20"/>
                <w:szCs w:val="20"/>
              </w:rPr>
              <w:t>, behind such change? Probes: more and better data available from the surveillance system (in which case refer to QUANT &amp; QUAL contribution stories), data sharing processes &amp; systems, resources, incentives, legal factors, cooperation, TA, etc</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6ABBFF29" w14:textId="3DA9BF16" w:rsidR="65D9A205" w:rsidRDefault="65D9A205" w:rsidP="65D9A205">
            <w:pPr>
              <w:rPr>
                <w:rFonts w:eastAsia="Calibri" w:cs="Calibri"/>
                <w:color w:val="000000"/>
                <w:sz w:val="20"/>
                <w:szCs w:val="20"/>
              </w:rPr>
            </w:pPr>
          </w:p>
        </w:tc>
      </w:tr>
      <w:tr w:rsidR="65D9A205" w14:paraId="47FF35BF"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6C4A634" w14:textId="2E17DCCB" w:rsidR="65D9A205" w:rsidRDefault="65D9A205" w:rsidP="65D9A205">
            <w:pPr>
              <w:rPr>
                <w:rFonts w:eastAsia="Calibri" w:cs="Calibri"/>
                <w:color w:val="000000"/>
                <w:sz w:val="20"/>
                <w:szCs w:val="20"/>
              </w:rPr>
            </w:pPr>
            <w:r w:rsidRPr="65D9A205">
              <w:rPr>
                <w:rFonts w:eastAsia="Calibri" w:cs="Calibri"/>
                <w:color w:val="000000"/>
                <w:sz w:val="20"/>
                <w:szCs w:val="20"/>
              </w:rPr>
              <w:t>EQ5 EQ2</w:t>
            </w:r>
            <w:r w:rsidRPr="00263CAE">
              <w:rPr>
                <w:rFonts w:eastAsia="Calibri" w:cs="Calibri"/>
                <w:color w:val="000000"/>
                <w:sz w:val="20"/>
                <w:szCs w:val="20"/>
              </w:rPr>
              <w:t xml:space="preserve"> / Change 5</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6985F506" w14:textId="35BA4274"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w:t>
            </w:r>
            <w:r w:rsidRPr="65D9A205">
              <w:rPr>
                <w:rFonts w:eastAsia="Calibri" w:cs="Calibri"/>
                <w:color w:val="000000"/>
                <w:sz w:val="20"/>
                <w:szCs w:val="20"/>
              </w:rPr>
              <w:t xml:space="preserve"> to those drivers?</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345"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6DF20D13" w14:textId="5FA48FBA" w:rsidR="65D9A205" w:rsidRDefault="65D9A205" w:rsidP="65D9A205">
            <w:pPr>
              <w:rPr>
                <w:rFonts w:eastAsia="Calibri" w:cs="Calibri"/>
                <w:color w:val="000000"/>
                <w:sz w:val="20"/>
                <w:szCs w:val="20"/>
              </w:rPr>
            </w:pPr>
          </w:p>
        </w:tc>
      </w:tr>
      <w:tr w:rsidR="65D9A205" w14:paraId="5D5B7E40" w14:textId="77777777" w:rsidTr="0094656D">
        <w:trPr>
          <w:trHeight w:val="51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24F0614" w14:textId="65548B2F" w:rsidR="65D9A205" w:rsidRDefault="65D9A205" w:rsidP="65D9A205">
            <w:pPr>
              <w:rPr>
                <w:rFonts w:eastAsia="Calibri" w:cs="Calibri"/>
                <w:color w:val="000000"/>
                <w:sz w:val="20"/>
                <w:szCs w:val="20"/>
              </w:rPr>
            </w:pPr>
            <w:r w:rsidRPr="65D9A205">
              <w:rPr>
                <w:rFonts w:eastAsia="Calibri" w:cs="Calibri"/>
                <w:color w:val="000000"/>
                <w:sz w:val="20"/>
                <w:szCs w:val="20"/>
              </w:rPr>
              <w:t>EQ5 (HH)</w:t>
            </w:r>
            <w:r w:rsidRPr="00263CAE">
              <w:rPr>
                <w:rFonts w:eastAsia="Calibri" w:cs="Calibri"/>
                <w:color w:val="000000"/>
                <w:sz w:val="20"/>
                <w:szCs w:val="20"/>
              </w:rPr>
              <w:t xml:space="preserve"> / Change 5</w:t>
            </w:r>
          </w:p>
        </w:tc>
        <w:tc>
          <w:tcPr>
            <w:tcW w:w="6345" w:type="dxa"/>
            <w:tcBorders>
              <w:top w:val="single" w:sz="6" w:space="0" w:color="auto"/>
              <w:left w:val="single" w:sz="6" w:space="0" w:color="auto"/>
              <w:bottom w:val="nil"/>
              <w:right w:val="nil"/>
            </w:tcBorders>
            <w:shd w:val="clear" w:color="auto" w:fill="FCE4D6"/>
            <w:tcMar>
              <w:left w:w="105" w:type="dxa"/>
              <w:right w:w="105" w:type="dxa"/>
            </w:tcMar>
            <w:vAlign w:val="center"/>
          </w:tcPr>
          <w:p w14:paraId="592BB124" w14:textId="0EB4E87F" w:rsidR="65D9A205" w:rsidRDefault="65D9A205" w:rsidP="0094656D">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no or negative change</w:t>
            </w:r>
            <w:r w:rsidRPr="65D9A205">
              <w:rPr>
                <w:rFonts w:eastAsia="Calibri" w:cs="Calibri"/>
                <w:color w:val="000000"/>
                <w:sz w:val="20"/>
                <w:szCs w:val="20"/>
              </w:rPr>
              <w:t xml:space="preserve"> in this area, </w:t>
            </w:r>
            <w:r w:rsidRPr="65D9A205">
              <w:rPr>
                <w:rFonts w:eastAsia="Calibri" w:cs="Calibri"/>
                <w:b/>
                <w:bCs/>
                <w:color w:val="000000"/>
                <w:sz w:val="20"/>
                <w:szCs w:val="20"/>
              </w:rPr>
              <w:t>why</w:t>
            </w:r>
            <w:r w:rsidRPr="65D9A205">
              <w:rPr>
                <w:rFonts w:eastAsia="Calibri" w:cs="Calibri"/>
                <w:color w:val="000000"/>
                <w:sz w:val="20"/>
                <w:szCs w:val="20"/>
              </w:rPr>
              <w:t xml:space="preserve"> was that? And what has the FF and others done to improve the situation?</w:t>
            </w:r>
          </w:p>
        </w:tc>
        <w:tc>
          <w:tcPr>
            <w:tcW w:w="6345" w:type="dxa"/>
            <w:tcBorders>
              <w:top w:val="single" w:sz="6" w:space="0" w:color="auto"/>
              <w:left w:val="nil"/>
              <w:bottom w:val="nil"/>
              <w:right w:val="nil"/>
            </w:tcBorders>
            <w:shd w:val="clear" w:color="auto" w:fill="FCE4D6"/>
            <w:tcMar>
              <w:left w:w="105" w:type="dxa"/>
              <w:right w:w="105" w:type="dxa"/>
            </w:tcMar>
          </w:tcPr>
          <w:p w14:paraId="47608204" w14:textId="0EBED6BF" w:rsidR="65D9A205" w:rsidRDefault="65D9A205" w:rsidP="65D9A205">
            <w:pPr>
              <w:rPr>
                <w:rFonts w:eastAsia="Calibri" w:cs="Calibri"/>
                <w:color w:val="000000"/>
                <w:sz w:val="20"/>
                <w:szCs w:val="20"/>
              </w:rPr>
            </w:pPr>
          </w:p>
        </w:tc>
      </w:tr>
      <w:tr w:rsidR="65D9A205" w14:paraId="33735954"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3D2E553" w14:textId="6E7749A3"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345" w:type="dxa"/>
            <w:tcBorders>
              <w:top w:val="nil"/>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0B9D28D" w14:textId="3C9FE4B9" w:rsidR="65D9A205" w:rsidRDefault="65D9A205" w:rsidP="65D9A205">
            <w:pPr>
              <w:rPr>
                <w:rFonts w:eastAsia="Calibri" w:cs="Calibri"/>
                <w:color w:val="444444"/>
              </w:rPr>
            </w:pPr>
            <w:r w:rsidRPr="65D9A205">
              <w:rPr>
                <w:rFonts w:eastAsia="Calibri" w:cs="Calibri"/>
                <w:color w:val="444444"/>
              </w:rPr>
              <w:t>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345" w:type="dxa"/>
            <w:tcBorders>
              <w:top w:val="nil"/>
              <w:left w:val="single" w:sz="6" w:space="0" w:color="auto"/>
              <w:bottom w:val="single" w:sz="6" w:space="0" w:color="auto"/>
              <w:right w:val="single" w:sz="6" w:space="0" w:color="auto"/>
            </w:tcBorders>
            <w:shd w:val="clear" w:color="auto" w:fill="FFFFFF" w:themeFill="background1"/>
            <w:tcMar>
              <w:left w:w="105" w:type="dxa"/>
              <w:right w:w="105" w:type="dxa"/>
            </w:tcMar>
          </w:tcPr>
          <w:p w14:paraId="28D093C9" w14:textId="5D9E8AFB" w:rsidR="65D9A205" w:rsidRDefault="65D9A205" w:rsidP="65D9A205">
            <w:pPr>
              <w:rPr>
                <w:rFonts w:eastAsia="Calibri" w:cs="Calibri"/>
                <w:color w:val="000000"/>
                <w:sz w:val="20"/>
                <w:szCs w:val="20"/>
              </w:rPr>
            </w:pPr>
          </w:p>
        </w:tc>
      </w:tr>
      <w:tr w:rsidR="65D9A205" w14:paraId="4BB0414B"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6CA6DA3" w14:textId="7BDF07D7"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95A3D00" w14:textId="2BF3299D" w:rsidR="65D9A205" w:rsidRDefault="65D9A205" w:rsidP="65D9A205">
            <w:pPr>
              <w:rPr>
                <w:rFonts w:eastAsia="Calibri" w:cs="Calibri"/>
                <w:color w:val="444444"/>
              </w:rPr>
            </w:pPr>
            <w:r w:rsidRPr="65D9A205">
              <w:rPr>
                <w:rFonts w:eastAsia="Calibri" w:cs="Calibri"/>
                <w:color w:val="444444"/>
              </w:rPr>
              <w:t>To what extent do you think staff are motivated to put new skills / responsibilities required to maintain AMR surveillence? PROBES: Is throughput sufficient? Are consumable supplies assured? Are managers and institutions (eg AMRCC) interested in outputs and providing feedback? Will competing demands crowd in? Are there adequate plans in place to address any concerns? To what extent is FF focused on addressing these conditions?</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34BD0BBD" w14:textId="6FF67DF9" w:rsidR="65D9A205" w:rsidRDefault="65D9A205" w:rsidP="65D9A205">
            <w:pPr>
              <w:rPr>
                <w:rFonts w:eastAsia="Calibri" w:cs="Calibri"/>
                <w:color w:val="000000"/>
                <w:sz w:val="20"/>
                <w:szCs w:val="20"/>
              </w:rPr>
            </w:pPr>
          </w:p>
        </w:tc>
      </w:tr>
    </w:tbl>
    <w:p w14:paraId="0E0714B7" w14:textId="0A17E9E3" w:rsidR="65D9A205" w:rsidRDefault="65D9A205">
      <w:r>
        <w:br w:type="page"/>
      </w:r>
    </w:p>
    <w:p w14:paraId="5929E05C" w14:textId="069174D7" w:rsidR="4CE1AD5B" w:rsidRPr="001B18E8" w:rsidRDefault="4CE1AD5B" w:rsidP="365D9676">
      <w:pPr>
        <w:pStyle w:val="ItadH3"/>
        <w:keepNext/>
        <w:spacing w:line="259" w:lineRule="auto"/>
        <w:rPr>
          <w:lang w:val="en-GB"/>
        </w:rPr>
      </w:pPr>
      <w:bookmarkStart w:id="472" w:name="_Toc142383256"/>
      <w:r w:rsidRPr="65D9A205">
        <w:rPr>
          <w:lang w:val="en-GB"/>
        </w:rPr>
        <w:t>KII Guide for HI teams</w:t>
      </w:r>
      <w:bookmarkEnd w:id="472"/>
    </w:p>
    <w:p w14:paraId="1B76124D" w14:textId="57F67737" w:rsidR="7B729AD6" w:rsidRDefault="7B729AD6" w:rsidP="65D9A205">
      <w:pPr>
        <w:widowControl w:val="0"/>
        <w:jc w:val="both"/>
        <w:rPr>
          <w:rFonts w:eastAsia="Calibri" w:cs="Calibri"/>
        </w:rPr>
      </w:pPr>
      <w:r w:rsidRPr="65D9A205">
        <w:rPr>
          <w:rFonts w:eastAsia="Calibri" w:cs="Calibri"/>
          <w:color w:val="2F5496"/>
          <w:sz w:val="26"/>
          <w:szCs w:val="26"/>
        </w:rPr>
        <w:t>HI teams</w:t>
      </w:r>
    </w:p>
    <w:p w14:paraId="100214D9" w14:textId="3E30A7FE" w:rsidR="7B729AD6" w:rsidRPr="001B7050" w:rsidRDefault="7B729AD6" w:rsidP="65D9A205">
      <w:pPr>
        <w:widowControl w:val="0"/>
        <w:jc w:val="both"/>
        <w:rPr>
          <w:rFonts w:eastAsia="Calibri" w:cs="Calibri"/>
          <w:color w:val="000000"/>
          <w:sz w:val="24"/>
          <w:szCs w:val="24"/>
        </w:rPr>
      </w:pPr>
      <w:r w:rsidRPr="001B7050">
        <w:rPr>
          <w:rFonts w:eastAsia="Calibri" w:cs="Calibri"/>
          <w:b/>
          <w:bCs/>
          <w:color w:val="000000"/>
          <w:sz w:val="24"/>
          <w:szCs w:val="24"/>
        </w:rPr>
        <w:t>KII name:</w:t>
      </w:r>
    </w:p>
    <w:p w14:paraId="65C22372" w14:textId="581DE782" w:rsidR="7B729AD6" w:rsidRPr="001B7050" w:rsidRDefault="7B729AD6" w:rsidP="65D9A205">
      <w:pPr>
        <w:widowControl w:val="0"/>
        <w:jc w:val="both"/>
        <w:rPr>
          <w:rFonts w:eastAsia="Calibri" w:cs="Calibri"/>
          <w:color w:val="000000"/>
          <w:sz w:val="24"/>
          <w:szCs w:val="24"/>
        </w:rPr>
      </w:pPr>
      <w:r w:rsidRPr="001B7050">
        <w:rPr>
          <w:rFonts w:eastAsia="Calibri" w:cs="Calibri"/>
          <w:b/>
          <w:bCs/>
          <w:color w:val="000000"/>
          <w:sz w:val="24"/>
          <w:szCs w:val="24"/>
        </w:rPr>
        <w:t>KII date:</w:t>
      </w:r>
    </w:p>
    <w:p w14:paraId="4B7D2EAA" w14:textId="6EFEC4D0" w:rsidR="7B729AD6" w:rsidRPr="001B7050" w:rsidRDefault="7B729AD6" w:rsidP="65D9A205">
      <w:pPr>
        <w:widowControl w:val="0"/>
        <w:jc w:val="both"/>
        <w:rPr>
          <w:rFonts w:eastAsia="Calibri" w:cs="Calibri"/>
          <w:color w:val="000000"/>
          <w:sz w:val="24"/>
          <w:szCs w:val="24"/>
        </w:rPr>
      </w:pPr>
      <w:r w:rsidRPr="001B7050">
        <w:rPr>
          <w:rFonts w:eastAsia="Calibri" w:cs="Calibri"/>
          <w:b/>
          <w:bCs/>
          <w:color w:val="000000"/>
          <w:sz w:val="24"/>
          <w:szCs w:val="24"/>
        </w:rPr>
        <w:t>KII interviewer(s):</w:t>
      </w:r>
    </w:p>
    <w:p w14:paraId="2CFE4D64" w14:textId="17209A5B" w:rsidR="65D9A205" w:rsidRPr="001B7050" w:rsidRDefault="65D9A205" w:rsidP="65D9A205">
      <w:pPr>
        <w:rPr>
          <w:rFonts w:eastAsia="Calibri" w:cs="Calibri"/>
          <w:color w:val="000000"/>
          <w:sz w:val="24"/>
          <w:szCs w:val="24"/>
        </w:rPr>
      </w:pPr>
    </w:p>
    <w:p w14:paraId="67045AFA" w14:textId="24C2F4EC" w:rsidR="7B729AD6" w:rsidRPr="001B7050" w:rsidRDefault="7B729AD6" w:rsidP="65D9A205">
      <w:pPr>
        <w:rPr>
          <w:rFonts w:eastAsia="Calibri" w:cs="Calibri"/>
          <w:color w:val="000000"/>
          <w:sz w:val="20"/>
          <w:szCs w:val="20"/>
        </w:rPr>
      </w:pPr>
      <w:r w:rsidRPr="001B7050">
        <w:rPr>
          <w:rFonts w:eastAsia="Calibri" w:cs="Calibri"/>
          <w:color w:val="000000"/>
          <w:sz w:val="20"/>
          <w:szCs w:val="20"/>
        </w:rPr>
        <w:t xml:space="preserve"> • </w:t>
      </w:r>
      <w:r w:rsidRPr="001B7050">
        <w:rPr>
          <w:rFonts w:eastAsia="Calibri" w:cs="Calibri"/>
          <w:b/>
          <w:bCs/>
          <w:color w:val="000000"/>
          <w:sz w:val="20"/>
          <w:szCs w:val="20"/>
        </w:rPr>
        <w:t>Thank you</w:t>
      </w:r>
      <w:r w:rsidRPr="001B7050">
        <w:rPr>
          <w:rFonts w:eastAsia="Calibri" w:cs="Calibri"/>
          <w:color w:val="000000"/>
          <w:sz w:val="20"/>
          <w:szCs w:val="20"/>
        </w:rPr>
        <w:t xml:space="preserve"> – Thank you the interviewee for having accepted the meeting and for their time today. </w:t>
      </w:r>
    </w:p>
    <w:p w14:paraId="6C146246" w14:textId="2DC0110B" w:rsidR="7B729AD6" w:rsidRPr="001B7050" w:rsidRDefault="7B729AD6" w:rsidP="65D9A205">
      <w:pPr>
        <w:rPr>
          <w:rFonts w:eastAsia="Calibri" w:cs="Calibri"/>
          <w:color w:val="000000"/>
          <w:sz w:val="20"/>
          <w:szCs w:val="20"/>
        </w:rPr>
      </w:pPr>
      <w:r w:rsidRPr="001B7050">
        <w:rPr>
          <w:rFonts w:eastAsia="Calibri" w:cs="Calibri"/>
          <w:color w:val="000000"/>
          <w:sz w:val="20"/>
          <w:szCs w:val="20"/>
        </w:rPr>
        <w:t xml:space="preserve">• </w:t>
      </w:r>
      <w:r w:rsidRPr="001B7050">
        <w:rPr>
          <w:rFonts w:eastAsia="Calibri" w:cs="Calibri"/>
          <w:b/>
          <w:bCs/>
          <w:color w:val="000000"/>
          <w:sz w:val="20"/>
          <w:szCs w:val="20"/>
        </w:rPr>
        <w:t>Introductions</w:t>
      </w:r>
      <w:r w:rsidRPr="001B7050">
        <w:rPr>
          <w:rFonts w:eastAsia="Calibri" w:cs="Calibri"/>
          <w:color w:val="000000"/>
          <w:sz w:val="20"/>
          <w:szCs w:val="2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3FFA080F" w14:textId="59B3E203" w:rsidR="7B729AD6" w:rsidRPr="001B7050" w:rsidRDefault="7B729AD6" w:rsidP="65D9A205">
      <w:pPr>
        <w:rPr>
          <w:rFonts w:eastAsia="Calibri" w:cs="Calibri"/>
          <w:color w:val="000000"/>
          <w:sz w:val="20"/>
          <w:szCs w:val="20"/>
        </w:rPr>
      </w:pPr>
      <w:r w:rsidRPr="001B7050">
        <w:rPr>
          <w:rFonts w:eastAsia="Calibri" w:cs="Calibri"/>
          <w:color w:val="000000"/>
          <w:sz w:val="20"/>
          <w:szCs w:val="20"/>
        </w:rPr>
        <w:t xml:space="preserve">We work for Itad Itad, an UK-based company specialised in Monitoring, Evaluation and Learning that has been commissioned by the UK Department of Health and Social Care to conduct the Independent Evaluation of the Fleming Fund.   </w:t>
      </w:r>
    </w:p>
    <w:p w14:paraId="39C84AFB" w14:textId="57C8330C" w:rsidR="7B729AD6" w:rsidRPr="001B7050" w:rsidRDefault="7B729AD6" w:rsidP="65D9A205">
      <w:pPr>
        <w:rPr>
          <w:rFonts w:eastAsia="Calibri" w:cs="Calibri"/>
          <w:color w:val="000000"/>
          <w:sz w:val="20"/>
          <w:szCs w:val="20"/>
        </w:rPr>
      </w:pPr>
      <w:r w:rsidRPr="001B7050">
        <w:rPr>
          <w:rFonts w:eastAsia="Calibri" w:cs="Calibri"/>
          <w:color w:val="000000"/>
          <w:sz w:val="20"/>
          <w:szCs w:val="20"/>
        </w:rPr>
        <w:t xml:space="preserve">[Let others introduce themselves or tell them there will be a chance after you have explained the purpose of the interview] </w:t>
      </w:r>
    </w:p>
    <w:p w14:paraId="13D65446" w14:textId="562742AF" w:rsidR="7B729AD6" w:rsidRPr="001B7050" w:rsidRDefault="7B729AD6" w:rsidP="65D9A205">
      <w:pPr>
        <w:rPr>
          <w:rFonts w:eastAsia="Calibri" w:cs="Calibri"/>
          <w:color w:val="000000"/>
          <w:sz w:val="20"/>
          <w:szCs w:val="20"/>
        </w:rPr>
      </w:pPr>
      <w:r w:rsidRPr="001B7050">
        <w:rPr>
          <w:rFonts w:eastAsia="Calibri" w:cs="Calibri"/>
          <w:color w:val="000000"/>
          <w:sz w:val="20"/>
          <w:szCs w:val="20"/>
        </w:rPr>
        <w:t xml:space="preserve">[Acknowledge whether we have already interviewed the stakeholder during CV1/2]  </w:t>
      </w:r>
    </w:p>
    <w:p w14:paraId="72BBF61B" w14:textId="5CBFED30" w:rsidR="7B729AD6" w:rsidRPr="001B7050" w:rsidRDefault="7B729AD6" w:rsidP="65D9A205">
      <w:pPr>
        <w:rPr>
          <w:rFonts w:eastAsia="Calibri" w:cs="Calibri"/>
          <w:color w:val="000000"/>
          <w:sz w:val="20"/>
          <w:szCs w:val="20"/>
        </w:rPr>
      </w:pPr>
      <w:r w:rsidRPr="001B7050">
        <w:rPr>
          <w:rFonts w:eastAsia="Calibri" w:cs="Calibri"/>
          <w:color w:val="000000"/>
          <w:sz w:val="20"/>
          <w:szCs w:val="20"/>
        </w:rPr>
        <w:t xml:space="preserve"> </w:t>
      </w:r>
    </w:p>
    <w:p w14:paraId="63E9F89B" w14:textId="5132E2CD" w:rsidR="7B729AD6" w:rsidRPr="001B7050" w:rsidRDefault="7B729AD6" w:rsidP="65D9A205">
      <w:pPr>
        <w:rPr>
          <w:rFonts w:eastAsia="Calibri" w:cs="Calibri"/>
          <w:color w:val="000000"/>
          <w:sz w:val="20"/>
          <w:szCs w:val="20"/>
        </w:rPr>
      </w:pPr>
      <w:r w:rsidRPr="001B7050">
        <w:rPr>
          <w:rFonts w:eastAsia="Calibri" w:cs="Calibri"/>
          <w:color w:val="000000"/>
          <w:sz w:val="20"/>
          <w:szCs w:val="20"/>
        </w:rPr>
        <w:t xml:space="preserve">• </w:t>
      </w:r>
      <w:r w:rsidRPr="001B7050">
        <w:rPr>
          <w:rFonts w:eastAsia="Calibri" w:cs="Calibri"/>
          <w:b/>
          <w:bCs/>
          <w:color w:val="000000"/>
          <w:sz w:val="20"/>
          <w:szCs w:val="20"/>
        </w:rPr>
        <w:t>Purpose</w:t>
      </w:r>
      <w:r w:rsidRPr="001B7050">
        <w:rPr>
          <w:rFonts w:eastAsia="Calibri" w:cs="Calibri"/>
          <w:color w:val="000000"/>
          <w:sz w:val="20"/>
          <w:szCs w:val="2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394BD13A" w14:textId="3EDC8593" w:rsidR="7B729AD6" w:rsidRPr="001B7050" w:rsidRDefault="7B729AD6" w:rsidP="65D9A205">
      <w:pPr>
        <w:rPr>
          <w:rFonts w:eastAsia="Calibri" w:cs="Calibri"/>
          <w:color w:val="000000"/>
          <w:sz w:val="20"/>
          <w:szCs w:val="20"/>
        </w:rPr>
      </w:pPr>
      <w:r w:rsidRPr="001B7050">
        <w:rPr>
          <w:rFonts w:eastAsia="Calibri" w:cs="Calibri"/>
          <w:color w:val="000000"/>
          <w:sz w:val="20"/>
          <w:szCs w:val="20"/>
        </w:rPr>
        <w:t xml:space="preserve">• </w:t>
      </w:r>
      <w:r w:rsidRPr="001B7050">
        <w:rPr>
          <w:rFonts w:eastAsia="Calibri" w:cs="Calibri"/>
          <w:b/>
          <w:bCs/>
          <w:color w:val="000000"/>
          <w:sz w:val="20"/>
          <w:szCs w:val="20"/>
        </w:rPr>
        <w:t xml:space="preserve">Focus </w:t>
      </w:r>
      <w:r w:rsidRPr="001B7050">
        <w:rPr>
          <w:rFonts w:eastAsia="Calibri" w:cs="Calibri"/>
          <w:color w:val="000000"/>
          <w:sz w:val="20"/>
          <w:szCs w:val="20"/>
        </w:rPr>
        <w:t>– We are not evaluating the performance of your organisation or that of the CG grantee. We are interested in [summarise focus as per below guide]</w:t>
      </w:r>
    </w:p>
    <w:p w14:paraId="3C3C2CAE" w14:textId="2224F8BF" w:rsidR="7B729AD6" w:rsidRDefault="7B729AD6" w:rsidP="65D9A205">
      <w:pPr>
        <w:rPr>
          <w:rFonts w:eastAsia="Calibri" w:cs="Calibri"/>
          <w:color w:val="000000"/>
          <w:sz w:val="20"/>
          <w:szCs w:val="20"/>
        </w:rPr>
      </w:pPr>
      <w:r w:rsidRPr="001B7050">
        <w:rPr>
          <w:rFonts w:eastAsia="Calibri" w:cs="Calibri"/>
          <w:color w:val="000000"/>
          <w:sz w:val="20"/>
          <w:szCs w:val="20"/>
        </w:rPr>
        <w:t xml:space="preserve">• </w:t>
      </w:r>
      <w:r w:rsidRPr="001B7050">
        <w:rPr>
          <w:rFonts w:eastAsia="Calibri" w:cs="Calibri"/>
          <w:b/>
          <w:bCs/>
          <w:color w:val="000000"/>
          <w:sz w:val="20"/>
          <w:szCs w:val="20"/>
        </w:rPr>
        <w:t>Confidentiality / permission to record</w:t>
      </w:r>
      <w:r w:rsidRPr="65D9A205">
        <w:rPr>
          <w:rFonts w:eastAsia="Calibri" w:cs="Calibri"/>
          <w:color w:val="000000"/>
          <w:sz w:val="20"/>
          <w:szCs w:val="20"/>
        </w:rPr>
        <w:t xml:space="preserve"> </w:t>
      </w:r>
    </w:p>
    <w:p w14:paraId="2D246C3D" w14:textId="77E269CB" w:rsidR="7B729AD6" w:rsidRDefault="7B729AD6" w:rsidP="65D9A205">
      <w:pPr>
        <w:rPr>
          <w:rFonts w:eastAsia="Calibri" w:cs="Calibri"/>
          <w:color w:val="000000"/>
          <w:sz w:val="20"/>
          <w:szCs w:val="20"/>
        </w:rPr>
      </w:pPr>
      <w:r w:rsidRPr="65D9A205">
        <w:rPr>
          <w:rFonts w:eastAsia="Calibri" w:cs="Calibri"/>
          <w:color w:val="000000"/>
          <w:sz w:val="20"/>
          <w:szCs w:val="20"/>
        </w:rPr>
        <w:t xml:space="preserve"> </w:t>
      </w:r>
    </w:p>
    <w:p w14:paraId="44904FB9" w14:textId="1B98CFDC" w:rsidR="7B729AD6" w:rsidRDefault="7B729AD6" w:rsidP="65D9A205">
      <w:pPr>
        <w:rPr>
          <w:rFonts w:eastAsia="Calibri" w:cs="Calibri"/>
          <w:color w:val="000000"/>
          <w:sz w:val="20"/>
          <w:szCs w:val="20"/>
        </w:rPr>
      </w:pPr>
      <w:r w:rsidRPr="65D9A205">
        <w:rPr>
          <w:rFonts w:eastAsia="Calibri" w:cs="Calibri"/>
          <w:color w:val="000000"/>
          <w:sz w:val="20"/>
          <w:szCs w:val="20"/>
        </w:rPr>
        <w:t xml:space="preserve">• </w:t>
      </w:r>
      <w:r w:rsidRPr="65D9A205">
        <w:rPr>
          <w:rFonts w:eastAsia="Calibri" w:cs="Calibri"/>
          <w:b/>
          <w:bCs/>
          <w:color w:val="000000"/>
          <w:sz w:val="20"/>
          <w:szCs w:val="20"/>
        </w:rPr>
        <w:t>Duration</w:t>
      </w:r>
      <w:r w:rsidRPr="65D9A205">
        <w:rPr>
          <w:rFonts w:eastAsia="Calibri" w:cs="Calibri"/>
          <w:color w:val="000000"/>
          <w:sz w:val="20"/>
          <w:szCs w:val="20"/>
        </w:rPr>
        <w:t xml:space="preserve"> </w:t>
      </w:r>
    </w:p>
    <w:p w14:paraId="1B94F209" w14:textId="731ACDF0" w:rsidR="7B729AD6" w:rsidRDefault="7B729AD6" w:rsidP="65D9A205">
      <w:pPr>
        <w:rPr>
          <w:rFonts w:eastAsia="Calibri" w:cs="Calibri"/>
          <w:color w:val="000000"/>
          <w:sz w:val="20"/>
          <w:szCs w:val="20"/>
        </w:rPr>
      </w:pPr>
      <w:r w:rsidRPr="65D9A205">
        <w:rPr>
          <w:rFonts w:eastAsia="Calibri" w:cs="Calibri"/>
          <w:color w:val="000000"/>
          <w:sz w:val="20"/>
          <w:szCs w:val="20"/>
        </w:rPr>
        <w:t xml:space="preserve"> </w:t>
      </w:r>
    </w:p>
    <w:p w14:paraId="664D491A" w14:textId="5A561137" w:rsidR="7B729AD6" w:rsidRDefault="7B729AD6" w:rsidP="65D9A205">
      <w:pPr>
        <w:rPr>
          <w:rFonts w:eastAsia="Calibri" w:cs="Calibri"/>
          <w:color w:val="000000"/>
          <w:sz w:val="20"/>
          <w:szCs w:val="20"/>
        </w:rPr>
      </w:pPr>
      <w:r w:rsidRPr="65D9A205">
        <w:rPr>
          <w:rFonts w:eastAsia="Calibri" w:cs="Calibri"/>
          <w:color w:val="000000"/>
          <w:sz w:val="20"/>
          <w:szCs w:val="20"/>
        </w:rPr>
        <w:t xml:space="preserve">• </w:t>
      </w:r>
      <w:r w:rsidRPr="65D9A205">
        <w:rPr>
          <w:rFonts w:eastAsia="Calibri" w:cs="Calibri"/>
          <w:b/>
          <w:bCs/>
          <w:color w:val="000000"/>
          <w:sz w:val="20"/>
          <w:szCs w:val="20"/>
        </w:rPr>
        <w:t>Opportunity for questions</w:t>
      </w:r>
      <w:r w:rsidRPr="65D9A205">
        <w:rPr>
          <w:rFonts w:eastAsia="Calibri" w:cs="Calibri"/>
          <w:color w:val="000000"/>
          <w:sz w:val="20"/>
          <w:szCs w:val="20"/>
        </w:rPr>
        <w:t xml:space="preserve"> </w:t>
      </w:r>
    </w:p>
    <w:p w14:paraId="2366EAD3" w14:textId="3AFAAF9D" w:rsidR="65D9A205" w:rsidRDefault="65D9A205" w:rsidP="65D9A205">
      <w:pPr>
        <w:rPr>
          <w:rFonts w:eastAsia="Calibri" w:cs="Calibri"/>
          <w:color w:val="000000"/>
          <w:sz w:val="24"/>
          <w:szCs w:val="24"/>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290"/>
        <w:gridCol w:w="6150"/>
        <w:gridCol w:w="6150"/>
      </w:tblGrid>
      <w:tr w:rsidR="65D9A205" w14:paraId="44C23A72" w14:textId="77777777" w:rsidTr="45CDE7E8">
        <w:trPr>
          <w:trHeight w:val="567"/>
          <w:tblHeader/>
        </w:trPr>
        <w:tc>
          <w:tcPr>
            <w:tcW w:w="1290" w:type="dxa"/>
            <w:tcBorders>
              <w:top w:val="single" w:sz="12" w:space="0" w:color="auto"/>
              <w:left w:val="single" w:sz="12" w:space="0" w:color="auto"/>
              <w:bottom w:val="single" w:sz="6" w:space="0" w:color="auto"/>
              <w:right w:val="single" w:sz="6" w:space="0" w:color="auto"/>
            </w:tcBorders>
            <w:shd w:val="clear" w:color="auto" w:fill="8496B0"/>
            <w:tcMar>
              <w:left w:w="105" w:type="dxa"/>
              <w:right w:w="105" w:type="dxa"/>
            </w:tcMar>
            <w:vAlign w:val="center"/>
          </w:tcPr>
          <w:p w14:paraId="3EA9EAFA" w14:textId="1FE6A818" w:rsidR="65D9A205" w:rsidRDefault="65D9A205" w:rsidP="0094656D">
            <w:pPr>
              <w:rPr>
                <w:rFonts w:eastAsia="Calibri" w:cs="Calibri"/>
                <w:sz w:val="20"/>
                <w:szCs w:val="20"/>
              </w:rPr>
            </w:pPr>
            <w:r w:rsidRPr="65D9A205">
              <w:rPr>
                <w:rFonts w:eastAsia="Calibri" w:cs="Calibri"/>
                <w:sz w:val="20"/>
                <w:szCs w:val="20"/>
              </w:rPr>
              <w:t>Theme</w:t>
            </w:r>
          </w:p>
        </w:tc>
        <w:tc>
          <w:tcPr>
            <w:tcW w:w="6150" w:type="dxa"/>
            <w:tcBorders>
              <w:top w:val="single" w:sz="12" w:space="0" w:color="auto"/>
              <w:left w:val="single" w:sz="6" w:space="0" w:color="auto"/>
              <w:bottom w:val="single" w:sz="6" w:space="0" w:color="auto"/>
              <w:right w:val="single" w:sz="12" w:space="0" w:color="auto"/>
            </w:tcBorders>
            <w:shd w:val="clear" w:color="auto" w:fill="8496B0"/>
            <w:tcMar>
              <w:left w:w="105" w:type="dxa"/>
              <w:right w:w="105" w:type="dxa"/>
            </w:tcMar>
            <w:vAlign w:val="center"/>
          </w:tcPr>
          <w:p w14:paraId="25DAD929" w14:textId="65F60F53" w:rsidR="65D9A205" w:rsidRDefault="65D9A205" w:rsidP="0094656D">
            <w:pPr>
              <w:rPr>
                <w:rFonts w:eastAsia="Calibri" w:cs="Calibri"/>
                <w:sz w:val="20"/>
                <w:szCs w:val="20"/>
              </w:rPr>
            </w:pPr>
            <w:r w:rsidRPr="65D9A205">
              <w:rPr>
                <w:rFonts w:eastAsia="Calibri" w:cs="Calibri"/>
                <w:sz w:val="20"/>
                <w:szCs w:val="20"/>
              </w:rPr>
              <w:t xml:space="preserve">List of questions  </w:t>
            </w:r>
          </w:p>
        </w:tc>
        <w:tc>
          <w:tcPr>
            <w:tcW w:w="6150" w:type="dxa"/>
            <w:tcBorders>
              <w:top w:val="single" w:sz="12" w:space="0" w:color="auto"/>
              <w:left w:val="single" w:sz="12" w:space="0" w:color="auto"/>
              <w:bottom w:val="single" w:sz="6" w:space="0" w:color="auto"/>
              <w:right w:val="single" w:sz="12" w:space="0" w:color="auto"/>
            </w:tcBorders>
            <w:shd w:val="clear" w:color="auto" w:fill="8496B0"/>
            <w:tcMar>
              <w:left w:w="105" w:type="dxa"/>
              <w:right w:w="105" w:type="dxa"/>
            </w:tcMar>
            <w:vAlign w:val="center"/>
          </w:tcPr>
          <w:p w14:paraId="2FFEEF5A" w14:textId="4D7FD6EA" w:rsidR="65D9A205" w:rsidRDefault="65D9A205" w:rsidP="0094656D">
            <w:pPr>
              <w:rPr>
                <w:rFonts w:eastAsia="Calibri" w:cs="Calibri"/>
                <w:sz w:val="20"/>
                <w:szCs w:val="20"/>
              </w:rPr>
            </w:pPr>
            <w:r w:rsidRPr="65D9A205">
              <w:rPr>
                <w:rFonts w:eastAsia="Calibri" w:cs="Calibri"/>
                <w:sz w:val="20"/>
                <w:szCs w:val="20"/>
              </w:rPr>
              <w:t>Response</w:t>
            </w:r>
          </w:p>
        </w:tc>
      </w:tr>
      <w:tr w:rsidR="65D9A205" w14:paraId="77A26F13" w14:textId="77777777" w:rsidTr="45CDE7E8">
        <w:trPr>
          <w:trHeight w:val="1290"/>
        </w:trPr>
        <w:tc>
          <w:tcPr>
            <w:tcW w:w="1290" w:type="dxa"/>
            <w:vMerge w:val="restart"/>
            <w:tcBorders>
              <w:top w:val="single" w:sz="6" w:space="0" w:color="auto"/>
              <w:left w:val="single" w:sz="12" w:space="0" w:color="auto"/>
              <w:right w:val="single" w:sz="6" w:space="0" w:color="auto"/>
            </w:tcBorders>
            <w:tcMar>
              <w:left w:w="105" w:type="dxa"/>
              <w:right w:w="105" w:type="dxa"/>
            </w:tcMar>
            <w:vAlign w:val="center"/>
          </w:tcPr>
          <w:p w14:paraId="2ED39417" w14:textId="5EC17D73" w:rsidR="65D9A205" w:rsidRDefault="65D9A205" w:rsidP="65D9A205">
            <w:pPr>
              <w:rPr>
                <w:rFonts w:eastAsia="Calibri" w:cs="Calibri"/>
                <w:color w:val="000000"/>
                <w:sz w:val="20"/>
                <w:szCs w:val="20"/>
              </w:rPr>
            </w:pPr>
            <w:r w:rsidRPr="65D9A205">
              <w:rPr>
                <w:rFonts w:eastAsia="Calibri" w:cs="Calibri"/>
                <w:color w:val="000000"/>
                <w:sz w:val="20"/>
                <w:szCs w:val="20"/>
              </w:rPr>
              <w:t>QUANT &amp; QUAL of HH data generated</w:t>
            </w:r>
          </w:p>
        </w:tc>
        <w:tc>
          <w:tcPr>
            <w:tcW w:w="6150" w:type="dxa"/>
            <w:tcBorders>
              <w:top w:val="single" w:sz="6" w:space="0" w:color="auto"/>
              <w:left w:val="single" w:sz="6" w:space="0" w:color="auto"/>
              <w:bottom w:val="single" w:sz="6" w:space="0" w:color="auto"/>
              <w:right w:val="single" w:sz="12" w:space="0" w:color="auto"/>
            </w:tcBorders>
            <w:tcMar>
              <w:left w:w="105" w:type="dxa"/>
              <w:right w:w="105" w:type="dxa"/>
            </w:tcMar>
            <w:vAlign w:val="center"/>
          </w:tcPr>
          <w:p w14:paraId="74601CD8" w14:textId="74C30283" w:rsidR="65D9A205" w:rsidRDefault="65D9A205" w:rsidP="65D9A205">
            <w:pPr>
              <w:rPr>
                <w:rFonts w:eastAsia="Calibri" w:cs="Calibri"/>
                <w:color w:val="000000"/>
                <w:sz w:val="20"/>
                <w:szCs w:val="20"/>
              </w:rPr>
            </w:pPr>
            <w:r w:rsidRPr="65D9A205">
              <w:rPr>
                <w:rFonts w:eastAsia="Calibri" w:cs="Calibri"/>
                <w:color w:val="000000"/>
                <w:sz w:val="20"/>
                <w:szCs w:val="20"/>
              </w:rPr>
              <w:t xml:space="preserve">Thinking about changes in QUANT &amp; QUAL of HH data generated in those countries, what were the </w:t>
            </w:r>
            <w:r w:rsidRPr="65D9A205">
              <w:rPr>
                <w:rFonts w:eastAsia="Calibri" w:cs="Calibri"/>
                <w:b/>
                <w:bCs/>
                <w:color w:val="000000"/>
                <w:sz w:val="20"/>
                <w:szCs w:val="20"/>
              </w:rPr>
              <w:t>key change drivers/factors,</w:t>
            </w:r>
            <w:r w:rsidRPr="65D9A205">
              <w:rPr>
                <w:rFonts w:eastAsia="Calibri" w:cs="Calibri"/>
                <w:color w:val="000000"/>
                <w:sz w:val="20"/>
                <w:szCs w:val="20"/>
              </w:rPr>
              <w:t xml:space="preserve"> behind such change? Probes: renovation work, improved equipment, reliable supply of reagents, investments in human resources, health seeking behaviours, clinicians’ engagement, increase in morale, partnerships, momentum etc. </w:t>
            </w:r>
          </w:p>
        </w:tc>
        <w:tc>
          <w:tcPr>
            <w:tcW w:w="6150" w:type="dxa"/>
            <w:vMerge w:val="restart"/>
            <w:tcBorders>
              <w:top w:val="single" w:sz="6" w:space="0" w:color="auto"/>
              <w:left w:val="single" w:sz="12" w:space="0" w:color="auto"/>
              <w:right w:val="single" w:sz="12" w:space="0" w:color="auto"/>
            </w:tcBorders>
            <w:tcMar>
              <w:left w:w="105" w:type="dxa"/>
              <w:right w:w="105" w:type="dxa"/>
            </w:tcMar>
          </w:tcPr>
          <w:p w14:paraId="02BA08C1" w14:textId="148CFA3E" w:rsidR="65D9A205" w:rsidRDefault="65D9A205" w:rsidP="65D9A205">
            <w:pPr>
              <w:rPr>
                <w:rFonts w:eastAsia="Calibri" w:cs="Calibri"/>
                <w:color w:val="000000"/>
                <w:sz w:val="20"/>
                <w:szCs w:val="20"/>
              </w:rPr>
            </w:pPr>
          </w:p>
        </w:tc>
      </w:tr>
      <w:tr w:rsidR="65D9A205" w14:paraId="1570D94C" w14:textId="77777777" w:rsidTr="45CDE7E8">
        <w:trPr>
          <w:trHeight w:val="1560"/>
        </w:trPr>
        <w:tc>
          <w:tcPr>
            <w:tcW w:w="1290" w:type="dxa"/>
            <w:vMerge/>
            <w:vAlign w:val="center"/>
          </w:tcPr>
          <w:p w14:paraId="4CE03022" w14:textId="77777777" w:rsidR="00817477" w:rsidRDefault="00817477"/>
        </w:tc>
        <w:tc>
          <w:tcPr>
            <w:tcW w:w="6150" w:type="dxa"/>
            <w:tcBorders>
              <w:top w:val="single" w:sz="6" w:space="0" w:color="auto"/>
              <w:left w:val="nil"/>
              <w:bottom w:val="single" w:sz="6" w:space="0" w:color="auto"/>
              <w:right w:val="single" w:sz="12" w:space="0" w:color="auto"/>
            </w:tcBorders>
            <w:tcMar>
              <w:left w:w="105" w:type="dxa"/>
              <w:right w:w="105" w:type="dxa"/>
            </w:tcMar>
            <w:vAlign w:val="center"/>
          </w:tcPr>
          <w:p w14:paraId="71AABC67" w14:textId="4AFA4761"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was the Fleming Fund </w:t>
            </w:r>
            <w:r w:rsidRPr="65D9A205">
              <w:rPr>
                <w:rFonts w:eastAsia="Calibri" w:cs="Calibri"/>
                <w:b/>
                <w:bCs/>
                <w:color w:val="000000"/>
                <w:sz w:val="20"/>
                <w:szCs w:val="20"/>
              </w:rPr>
              <w:t>Fellows</w:t>
            </w:r>
            <w:r w:rsidRPr="65D9A205">
              <w:rPr>
                <w:rFonts w:eastAsia="Calibri" w:cs="Calibri"/>
                <w:color w:val="000000"/>
                <w:sz w:val="20"/>
                <w:szCs w:val="20"/>
              </w:rPr>
              <w:t xml:space="preserve"> </w:t>
            </w:r>
            <w:r w:rsidRPr="65D9A205">
              <w:rPr>
                <w:rFonts w:eastAsia="Calibri" w:cs="Calibri"/>
                <w:b/>
                <w:bCs/>
                <w:color w:val="000000"/>
                <w:sz w:val="20"/>
                <w:szCs w:val="20"/>
              </w:rPr>
              <w:t>contribution</w:t>
            </w:r>
            <w:r w:rsidRPr="65D9A205">
              <w:rPr>
                <w:rFonts w:eastAsia="Calibri" w:cs="Calibri"/>
                <w:color w:val="000000"/>
                <w:sz w:val="20"/>
                <w:szCs w:val="20"/>
              </w:rPr>
              <w:t xml:space="preserve"> to those drivers?</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-CG/RG</w:t>
            </w:r>
          </w:p>
          <w:p w14:paraId="664C9686" w14:textId="4AB85FBF" w:rsidR="65D9A205" w:rsidRDefault="65D9A205" w:rsidP="65D9A205">
            <w:pPr>
              <w:rPr>
                <w:rFonts w:eastAsia="Calibri" w:cs="Calibri"/>
                <w:color w:val="000000"/>
                <w:sz w:val="20"/>
                <w:szCs w:val="20"/>
              </w:rPr>
            </w:pPr>
            <w:r w:rsidRPr="65D9A205">
              <w:rPr>
                <w:rFonts w:eastAsia="Calibri" w:cs="Calibri"/>
                <w:color w:val="000000"/>
                <w:sz w:val="20"/>
                <w:szCs w:val="20"/>
              </w:rPr>
              <w:t xml:space="preserve">- Global Projects </w:t>
            </w:r>
            <w:r>
              <w:br/>
            </w:r>
            <w:r w:rsidRPr="65D9A205">
              <w:rPr>
                <w:rFonts w:eastAsia="Calibri" w:cs="Calibri"/>
                <w:color w:val="000000"/>
                <w:sz w:val="20"/>
                <w:szCs w:val="20"/>
              </w:rPr>
              <w:t>-Other influencing factors (could be government activities, interventions by other DPs or exogenous factors such as COVID-19)?</w:t>
            </w:r>
          </w:p>
        </w:tc>
        <w:tc>
          <w:tcPr>
            <w:tcW w:w="6150" w:type="dxa"/>
            <w:vMerge/>
            <w:vAlign w:val="center"/>
          </w:tcPr>
          <w:p w14:paraId="4DD3BB72" w14:textId="77777777" w:rsidR="00817477" w:rsidRDefault="00817477"/>
        </w:tc>
      </w:tr>
      <w:tr w:rsidR="65D9A205" w14:paraId="363CC0AA" w14:textId="77777777" w:rsidTr="45CDE7E8">
        <w:trPr>
          <w:trHeight w:val="525"/>
        </w:trPr>
        <w:tc>
          <w:tcPr>
            <w:tcW w:w="1290" w:type="dxa"/>
            <w:vMerge/>
            <w:vAlign w:val="center"/>
          </w:tcPr>
          <w:p w14:paraId="2FEAD7F9" w14:textId="77777777" w:rsidR="00817477" w:rsidRDefault="00817477"/>
        </w:tc>
        <w:tc>
          <w:tcPr>
            <w:tcW w:w="615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70ED33B" w14:textId="33720791"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no or negative change in this area, why</w:t>
            </w:r>
            <w:r w:rsidRPr="65D9A205">
              <w:rPr>
                <w:rFonts w:eastAsia="Calibri" w:cs="Calibri"/>
                <w:color w:val="000000"/>
                <w:sz w:val="20"/>
                <w:szCs w:val="20"/>
              </w:rPr>
              <w:t xml:space="preserve"> was that? And what have the Fellows done to improve the situation?</w:t>
            </w:r>
          </w:p>
        </w:tc>
        <w:tc>
          <w:tcPr>
            <w:tcW w:w="6150" w:type="dxa"/>
            <w:vMerge/>
            <w:vAlign w:val="center"/>
          </w:tcPr>
          <w:p w14:paraId="73A6CAA7" w14:textId="77777777" w:rsidR="00817477" w:rsidRDefault="00817477"/>
        </w:tc>
      </w:tr>
      <w:tr w:rsidR="65D9A205" w14:paraId="4CE231DF" w14:textId="77777777" w:rsidTr="45CDE7E8">
        <w:trPr>
          <w:trHeight w:val="1485"/>
        </w:trPr>
        <w:tc>
          <w:tcPr>
            <w:tcW w:w="1290" w:type="dxa"/>
            <w:vMerge w:val="restart"/>
            <w:tcBorders>
              <w:top w:val="nil"/>
              <w:left w:val="single" w:sz="12" w:space="0" w:color="auto"/>
              <w:right w:val="single" w:sz="6" w:space="0" w:color="auto"/>
            </w:tcBorders>
            <w:tcMar>
              <w:left w:w="105" w:type="dxa"/>
              <w:right w:w="105" w:type="dxa"/>
            </w:tcMar>
            <w:vAlign w:val="center"/>
          </w:tcPr>
          <w:p w14:paraId="3519E8F9" w14:textId="47B302E5" w:rsidR="65D9A205" w:rsidRDefault="65D9A205" w:rsidP="65D9A205">
            <w:pPr>
              <w:rPr>
                <w:rFonts w:eastAsia="Calibri" w:cs="Calibri"/>
                <w:color w:val="000000"/>
                <w:sz w:val="20"/>
                <w:szCs w:val="20"/>
              </w:rPr>
            </w:pPr>
            <w:r w:rsidRPr="65D9A205">
              <w:rPr>
                <w:rFonts w:eastAsia="Calibri" w:cs="Calibri"/>
                <w:color w:val="000000"/>
                <w:sz w:val="20"/>
                <w:szCs w:val="20"/>
              </w:rPr>
              <w:t>QUANT &amp; QUAL of HH data generated</w:t>
            </w:r>
          </w:p>
        </w:tc>
        <w:tc>
          <w:tcPr>
            <w:tcW w:w="61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660BE53" w14:textId="4FBEBAD8" w:rsidR="65D9A205" w:rsidRDefault="65D9A205" w:rsidP="65D9A205">
            <w:pPr>
              <w:rPr>
                <w:rFonts w:eastAsia="Calibri" w:cs="Calibri"/>
                <w:color w:val="000000"/>
                <w:sz w:val="20"/>
                <w:szCs w:val="20"/>
              </w:rPr>
            </w:pPr>
            <w:r w:rsidRPr="65D9A205">
              <w:rPr>
                <w:rFonts w:eastAsia="Calibri" w:cs="Calibri"/>
                <w:color w:val="000000"/>
                <w:sz w:val="20"/>
                <w:szCs w:val="20"/>
              </w:rPr>
              <w:t xml:space="preserve">Thinking about changes in QUANT &amp; QUAL of AH data generated in those countries, what were the </w:t>
            </w:r>
            <w:r w:rsidRPr="65D9A205">
              <w:rPr>
                <w:rFonts w:eastAsia="Calibri" w:cs="Calibri"/>
                <w:b/>
                <w:bCs/>
                <w:color w:val="000000"/>
                <w:sz w:val="20"/>
                <w:szCs w:val="20"/>
              </w:rPr>
              <w:t>key change drivers/factors,</w:t>
            </w:r>
            <w:r w:rsidRPr="65D9A205">
              <w:rPr>
                <w:rFonts w:eastAsia="Calibri" w:cs="Calibri"/>
                <w:color w:val="000000"/>
                <w:sz w:val="20"/>
                <w:szCs w:val="20"/>
              </w:rPr>
              <w:t xml:space="preserve"> behind such change? Probes: renovation work, improved equipment, reliable supply of reagents, investments in human resources, health seeking behaviours, clinicians’ engagement, increase in morale, partnerships, momentum etc. </w:t>
            </w:r>
          </w:p>
        </w:tc>
        <w:tc>
          <w:tcPr>
            <w:tcW w:w="6150" w:type="dxa"/>
            <w:tcBorders>
              <w:top w:val="single" w:sz="6" w:space="0" w:color="auto"/>
              <w:left w:val="single" w:sz="6" w:space="0" w:color="auto"/>
              <w:bottom w:val="single" w:sz="6" w:space="0" w:color="auto"/>
              <w:right w:val="single" w:sz="6" w:space="0" w:color="auto"/>
            </w:tcBorders>
            <w:tcMar>
              <w:left w:w="105" w:type="dxa"/>
              <w:right w:w="105" w:type="dxa"/>
            </w:tcMar>
          </w:tcPr>
          <w:p w14:paraId="4ED097FE" w14:textId="3F46D741" w:rsidR="65D9A205" w:rsidRDefault="65D9A205" w:rsidP="65D9A205">
            <w:pPr>
              <w:rPr>
                <w:rFonts w:eastAsia="Calibri" w:cs="Calibri"/>
                <w:color w:val="000000"/>
                <w:sz w:val="20"/>
                <w:szCs w:val="20"/>
              </w:rPr>
            </w:pPr>
          </w:p>
        </w:tc>
      </w:tr>
      <w:tr w:rsidR="65D9A205" w14:paraId="3C74368D" w14:textId="77777777" w:rsidTr="45CDE7E8">
        <w:trPr>
          <w:trHeight w:val="1587"/>
        </w:trPr>
        <w:tc>
          <w:tcPr>
            <w:tcW w:w="1290" w:type="dxa"/>
            <w:vMerge/>
            <w:vAlign w:val="center"/>
          </w:tcPr>
          <w:p w14:paraId="1BB43396" w14:textId="77777777" w:rsidR="00817477" w:rsidRDefault="00817477"/>
        </w:tc>
        <w:tc>
          <w:tcPr>
            <w:tcW w:w="6150" w:type="dxa"/>
            <w:tcBorders>
              <w:top w:val="single" w:sz="6" w:space="0" w:color="auto"/>
              <w:left w:val="nil"/>
              <w:bottom w:val="single" w:sz="6" w:space="0" w:color="auto"/>
              <w:right w:val="single" w:sz="6" w:space="0" w:color="auto"/>
            </w:tcBorders>
            <w:tcMar>
              <w:left w:w="105" w:type="dxa"/>
              <w:right w:w="105" w:type="dxa"/>
            </w:tcMar>
            <w:vAlign w:val="center"/>
          </w:tcPr>
          <w:p w14:paraId="5387EE59" w14:textId="36BBD6D7"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was the Fleming Fund </w:t>
            </w:r>
            <w:r w:rsidRPr="65D9A205">
              <w:rPr>
                <w:rFonts w:eastAsia="Calibri" w:cs="Calibri"/>
                <w:b/>
                <w:bCs/>
                <w:color w:val="000000"/>
                <w:sz w:val="20"/>
                <w:szCs w:val="20"/>
              </w:rPr>
              <w:t>Fellows</w:t>
            </w:r>
            <w:r w:rsidRPr="65D9A205">
              <w:rPr>
                <w:rFonts w:eastAsia="Calibri" w:cs="Calibri"/>
                <w:color w:val="000000"/>
                <w:sz w:val="20"/>
                <w:szCs w:val="20"/>
              </w:rPr>
              <w:t xml:space="preserve"> </w:t>
            </w:r>
            <w:r w:rsidRPr="65D9A205">
              <w:rPr>
                <w:rFonts w:eastAsia="Calibri" w:cs="Calibri"/>
                <w:b/>
                <w:bCs/>
                <w:color w:val="000000"/>
                <w:sz w:val="20"/>
                <w:szCs w:val="20"/>
              </w:rPr>
              <w:t>contribution</w:t>
            </w:r>
            <w:r w:rsidRPr="65D9A205">
              <w:rPr>
                <w:rFonts w:eastAsia="Calibri" w:cs="Calibri"/>
                <w:color w:val="000000"/>
                <w:sz w:val="20"/>
                <w:szCs w:val="20"/>
              </w:rPr>
              <w:t xml:space="preserve"> to those drivers?</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-CG/RG</w:t>
            </w:r>
          </w:p>
          <w:p w14:paraId="01B00B9C" w14:textId="2B677C72" w:rsidR="65D9A205" w:rsidRDefault="65D9A205" w:rsidP="65D9A205">
            <w:pPr>
              <w:rPr>
                <w:rFonts w:eastAsia="Calibri" w:cs="Calibri"/>
                <w:color w:val="000000"/>
                <w:sz w:val="20"/>
                <w:szCs w:val="20"/>
              </w:rPr>
            </w:pPr>
            <w:r w:rsidRPr="65D9A205">
              <w:rPr>
                <w:rFonts w:eastAsia="Calibri" w:cs="Calibri"/>
                <w:color w:val="000000"/>
                <w:sz w:val="20"/>
                <w:szCs w:val="20"/>
              </w:rPr>
              <w:t xml:space="preserve">- Global Projects </w:t>
            </w:r>
            <w:r>
              <w:br/>
            </w:r>
            <w:r w:rsidRPr="65D9A205">
              <w:rPr>
                <w:rFonts w:eastAsia="Calibri" w:cs="Calibri"/>
                <w:color w:val="000000"/>
                <w:sz w:val="20"/>
                <w:szCs w:val="20"/>
              </w:rPr>
              <w:t>-Other influencing factors (could be government activities, interventions by other DPs or exogenous factors such as COVID-19)?</w:t>
            </w:r>
          </w:p>
        </w:tc>
        <w:tc>
          <w:tcPr>
            <w:tcW w:w="6150" w:type="dxa"/>
            <w:vMerge w:val="restart"/>
            <w:tcBorders>
              <w:top w:val="single" w:sz="6" w:space="0" w:color="auto"/>
              <w:left w:val="single" w:sz="6" w:space="0" w:color="auto"/>
              <w:right w:val="single" w:sz="6" w:space="0" w:color="auto"/>
            </w:tcBorders>
            <w:tcMar>
              <w:left w:w="105" w:type="dxa"/>
              <w:right w:w="105" w:type="dxa"/>
            </w:tcMar>
          </w:tcPr>
          <w:p w14:paraId="79F9C65A" w14:textId="68FAF7B3" w:rsidR="65D9A205" w:rsidRDefault="65D9A205" w:rsidP="65D9A205">
            <w:pPr>
              <w:rPr>
                <w:rFonts w:eastAsia="Calibri" w:cs="Calibri"/>
                <w:color w:val="000000"/>
                <w:sz w:val="20"/>
                <w:szCs w:val="20"/>
              </w:rPr>
            </w:pPr>
          </w:p>
        </w:tc>
      </w:tr>
      <w:tr w:rsidR="65D9A205" w14:paraId="59765F54" w14:textId="77777777" w:rsidTr="45CDE7E8">
        <w:trPr>
          <w:trHeight w:val="525"/>
        </w:trPr>
        <w:tc>
          <w:tcPr>
            <w:tcW w:w="1290" w:type="dxa"/>
            <w:vMerge/>
            <w:vAlign w:val="center"/>
          </w:tcPr>
          <w:p w14:paraId="37121AB0" w14:textId="77777777" w:rsidR="00817477" w:rsidRDefault="00817477"/>
        </w:tc>
        <w:tc>
          <w:tcPr>
            <w:tcW w:w="6150" w:type="dxa"/>
            <w:tcBorders>
              <w:top w:val="single" w:sz="6" w:space="0" w:color="auto"/>
              <w:left w:val="nil"/>
              <w:bottom w:val="single" w:sz="6" w:space="0" w:color="auto"/>
              <w:right w:val="single" w:sz="6" w:space="0" w:color="auto"/>
            </w:tcBorders>
            <w:tcMar>
              <w:left w:w="105" w:type="dxa"/>
              <w:right w:w="105" w:type="dxa"/>
            </w:tcMar>
            <w:vAlign w:val="bottom"/>
          </w:tcPr>
          <w:p w14:paraId="07C931C3" w14:textId="5477E8CE"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no or negative change in this area, why</w:t>
            </w:r>
            <w:r w:rsidRPr="65D9A205">
              <w:rPr>
                <w:rFonts w:eastAsia="Calibri" w:cs="Calibri"/>
                <w:color w:val="000000"/>
                <w:sz w:val="20"/>
                <w:szCs w:val="20"/>
              </w:rPr>
              <w:t xml:space="preserve"> was that? And what have the Fellows done to improve the situation?</w:t>
            </w:r>
          </w:p>
        </w:tc>
        <w:tc>
          <w:tcPr>
            <w:tcW w:w="6150" w:type="dxa"/>
            <w:vMerge/>
            <w:vAlign w:val="center"/>
          </w:tcPr>
          <w:p w14:paraId="5D277E9B" w14:textId="77777777" w:rsidR="00817477" w:rsidRDefault="00817477"/>
        </w:tc>
      </w:tr>
      <w:tr w:rsidR="65D9A205" w14:paraId="694C3818" w14:textId="77777777" w:rsidTr="45CDE7E8">
        <w:trPr>
          <w:trHeight w:val="1290"/>
        </w:trPr>
        <w:tc>
          <w:tcPr>
            <w:tcW w:w="1290" w:type="dxa"/>
            <w:vMerge w:val="restart"/>
            <w:tcBorders>
              <w:top w:val="nil"/>
              <w:left w:val="single" w:sz="12" w:space="0" w:color="auto"/>
              <w:right w:val="single" w:sz="6" w:space="0" w:color="auto"/>
            </w:tcBorders>
            <w:tcMar>
              <w:left w:w="105" w:type="dxa"/>
              <w:right w:w="105" w:type="dxa"/>
            </w:tcMar>
            <w:vAlign w:val="center"/>
          </w:tcPr>
          <w:p w14:paraId="556FF1AC" w14:textId="3DAD3B3E" w:rsidR="65D9A205" w:rsidRDefault="65D9A205" w:rsidP="65D9A205">
            <w:pPr>
              <w:rPr>
                <w:rFonts w:eastAsia="Calibri" w:cs="Calibri"/>
                <w:color w:val="000000"/>
                <w:sz w:val="20"/>
                <w:szCs w:val="20"/>
              </w:rPr>
            </w:pPr>
            <w:r w:rsidRPr="65D9A205">
              <w:rPr>
                <w:rFonts w:eastAsia="Calibri" w:cs="Calibri"/>
                <w:color w:val="000000"/>
                <w:sz w:val="20"/>
                <w:szCs w:val="20"/>
              </w:rPr>
              <w:t>QUANT &amp; QUAL of data reported to GLASS</w:t>
            </w:r>
          </w:p>
        </w:tc>
        <w:tc>
          <w:tcPr>
            <w:tcW w:w="61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69E366D" w14:textId="656BC738" w:rsidR="65D9A205" w:rsidRDefault="65D9A205" w:rsidP="65D9A205">
            <w:pPr>
              <w:rPr>
                <w:rFonts w:eastAsia="Calibri" w:cs="Calibri"/>
                <w:color w:val="000000"/>
                <w:sz w:val="20"/>
                <w:szCs w:val="20"/>
              </w:rPr>
            </w:pPr>
            <w:r w:rsidRPr="65D9A205">
              <w:rPr>
                <w:rFonts w:eastAsia="Calibri" w:cs="Calibri"/>
                <w:color w:val="000000"/>
                <w:sz w:val="20"/>
                <w:szCs w:val="20"/>
              </w:rPr>
              <w:t xml:space="preserve">Thinking about changes in QUANT &amp; QUAL of data reported to GLASS in those countries, what were the </w:t>
            </w:r>
            <w:r w:rsidRPr="65D9A205">
              <w:rPr>
                <w:rFonts w:eastAsia="Calibri" w:cs="Calibri"/>
                <w:b/>
                <w:bCs/>
                <w:color w:val="000000"/>
                <w:sz w:val="20"/>
                <w:szCs w:val="20"/>
              </w:rPr>
              <w:t>key change drivers/factors, in order of importance</w:t>
            </w:r>
            <w:r w:rsidRPr="65D9A205">
              <w:rPr>
                <w:rFonts w:eastAsia="Calibri" w:cs="Calibri"/>
                <w:color w:val="000000"/>
                <w:sz w:val="20"/>
                <w:szCs w:val="20"/>
              </w:rPr>
              <w:t>, behind such change? Probes: more and better data available from the surveillance system (in which case refer to QUANT &amp; QUAL contribution stories), increased access, increased willingness to make data available, momentum etc.</w:t>
            </w:r>
          </w:p>
        </w:tc>
        <w:tc>
          <w:tcPr>
            <w:tcW w:w="6150" w:type="dxa"/>
            <w:vMerge w:val="restart"/>
            <w:tcBorders>
              <w:top w:val="single" w:sz="6" w:space="0" w:color="auto"/>
              <w:left w:val="single" w:sz="6" w:space="0" w:color="auto"/>
              <w:right w:val="single" w:sz="6" w:space="0" w:color="auto"/>
            </w:tcBorders>
            <w:tcMar>
              <w:left w:w="105" w:type="dxa"/>
              <w:right w:w="105" w:type="dxa"/>
            </w:tcMar>
          </w:tcPr>
          <w:p w14:paraId="5C8B7C65" w14:textId="1EC56B46" w:rsidR="65D9A205" w:rsidRDefault="65D9A205" w:rsidP="65D9A205">
            <w:pPr>
              <w:rPr>
                <w:rFonts w:eastAsia="Calibri" w:cs="Calibri"/>
                <w:color w:val="000000"/>
                <w:sz w:val="20"/>
                <w:szCs w:val="20"/>
              </w:rPr>
            </w:pPr>
          </w:p>
        </w:tc>
      </w:tr>
      <w:tr w:rsidR="65D9A205" w14:paraId="1BE72858" w14:textId="77777777" w:rsidTr="45CDE7E8">
        <w:trPr>
          <w:trHeight w:val="1560"/>
        </w:trPr>
        <w:tc>
          <w:tcPr>
            <w:tcW w:w="1290" w:type="dxa"/>
            <w:vMerge/>
            <w:vAlign w:val="center"/>
          </w:tcPr>
          <w:p w14:paraId="518D1A00" w14:textId="77777777" w:rsidR="00817477" w:rsidRDefault="00817477"/>
        </w:tc>
        <w:tc>
          <w:tcPr>
            <w:tcW w:w="6150" w:type="dxa"/>
            <w:tcBorders>
              <w:top w:val="single" w:sz="6" w:space="0" w:color="auto"/>
              <w:left w:val="nil"/>
              <w:bottom w:val="single" w:sz="6" w:space="0" w:color="auto"/>
              <w:right w:val="single" w:sz="6" w:space="0" w:color="auto"/>
            </w:tcBorders>
            <w:tcMar>
              <w:left w:w="105" w:type="dxa"/>
              <w:right w:w="105" w:type="dxa"/>
            </w:tcMar>
            <w:vAlign w:val="center"/>
          </w:tcPr>
          <w:p w14:paraId="0636618B" w14:textId="67D8BA63"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was the Fleming Fund </w:t>
            </w:r>
            <w:r w:rsidRPr="65D9A205">
              <w:rPr>
                <w:rFonts w:eastAsia="Calibri" w:cs="Calibri"/>
                <w:b/>
                <w:bCs/>
                <w:color w:val="000000"/>
                <w:sz w:val="20"/>
                <w:szCs w:val="20"/>
              </w:rPr>
              <w:t>Fellows</w:t>
            </w:r>
            <w:r w:rsidRPr="65D9A205">
              <w:rPr>
                <w:rFonts w:eastAsia="Calibri" w:cs="Calibri"/>
                <w:color w:val="000000"/>
                <w:sz w:val="20"/>
                <w:szCs w:val="20"/>
              </w:rPr>
              <w:t xml:space="preserve"> </w:t>
            </w:r>
            <w:r w:rsidRPr="65D9A205">
              <w:rPr>
                <w:rFonts w:eastAsia="Calibri" w:cs="Calibri"/>
                <w:b/>
                <w:bCs/>
                <w:color w:val="000000"/>
                <w:sz w:val="20"/>
                <w:szCs w:val="20"/>
              </w:rPr>
              <w:t>contribution</w:t>
            </w:r>
            <w:r w:rsidRPr="65D9A205">
              <w:rPr>
                <w:rFonts w:eastAsia="Calibri" w:cs="Calibri"/>
                <w:color w:val="000000"/>
                <w:sz w:val="20"/>
                <w:szCs w:val="20"/>
              </w:rPr>
              <w:t xml:space="preserve"> to those drivers?</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-CG/RG</w:t>
            </w:r>
          </w:p>
          <w:p w14:paraId="19B370D7" w14:textId="25429D85" w:rsidR="65D9A205" w:rsidRDefault="65D9A205" w:rsidP="65D9A205">
            <w:pPr>
              <w:rPr>
                <w:rFonts w:eastAsia="Calibri" w:cs="Calibri"/>
                <w:color w:val="000000"/>
                <w:sz w:val="20"/>
                <w:szCs w:val="20"/>
              </w:rPr>
            </w:pPr>
            <w:r w:rsidRPr="65D9A205">
              <w:rPr>
                <w:rFonts w:eastAsia="Calibri" w:cs="Calibri"/>
                <w:color w:val="000000"/>
                <w:sz w:val="20"/>
                <w:szCs w:val="20"/>
              </w:rPr>
              <w:t xml:space="preserve">- Global Projects </w:t>
            </w:r>
            <w:r>
              <w:br/>
            </w:r>
            <w:r w:rsidRPr="65D9A205">
              <w:rPr>
                <w:rFonts w:eastAsia="Calibri" w:cs="Calibri"/>
                <w:color w:val="000000"/>
                <w:sz w:val="20"/>
                <w:szCs w:val="20"/>
              </w:rPr>
              <w:t>-Other influencing factors (could be government activities, interventions by other DPs or exogenous factors such as COVID-19)?</w:t>
            </w:r>
          </w:p>
        </w:tc>
        <w:tc>
          <w:tcPr>
            <w:tcW w:w="6150" w:type="dxa"/>
            <w:vMerge/>
            <w:vAlign w:val="center"/>
          </w:tcPr>
          <w:p w14:paraId="409EE7BB" w14:textId="77777777" w:rsidR="00817477" w:rsidRDefault="00817477"/>
        </w:tc>
      </w:tr>
      <w:tr w:rsidR="65D9A205" w14:paraId="55E97F4E" w14:textId="77777777" w:rsidTr="45CDE7E8">
        <w:trPr>
          <w:trHeight w:val="525"/>
        </w:trPr>
        <w:tc>
          <w:tcPr>
            <w:tcW w:w="1290" w:type="dxa"/>
            <w:vMerge/>
            <w:vAlign w:val="center"/>
          </w:tcPr>
          <w:p w14:paraId="093B4983" w14:textId="77777777" w:rsidR="00817477" w:rsidRDefault="00817477"/>
        </w:tc>
        <w:tc>
          <w:tcPr>
            <w:tcW w:w="6150" w:type="dxa"/>
            <w:tcBorders>
              <w:top w:val="single" w:sz="6" w:space="0" w:color="auto"/>
              <w:left w:val="nil"/>
              <w:bottom w:val="single" w:sz="6" w:space="0" w:color="auto"/>
              <w:right w:val="single" w:sz="6" w:space="0" w:color="auto"/>
            </w:tcBorders>
            <w:tcMar>
              <w:left w:w="105" w:type="dxa"/>
              <w:right w:w="105" w:type="dxa"/>
            </w:tcMar>
            <w:vAlign w:val="bottom"/>
          </w:tcPr>
          <w:p w14:paraId="1A02E2FE" w14:textId="5AA418F8"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no or negative change in this area, why</w:t>
            </w:r>
            <w:r w:rsidRPr="65D9A205">
              <w:rPr>
                <w:rFonts w:eastAsia="Calibri" w:cs="Calibri"/>
                <w:color w:val="000000"/>
                <w:sz w:val="20"/>
                <w:szCs w:val="20"/>
              </w:rPr>
              <w:t xml:space="preserve"> was that? And what have the Fellows done to improve the situation?</w:t>
            </w:r>
          </w:p>
        </w:tc>
        <w:tc>
          <w:tcPr>
            <w:tcW w:w="6150" w:type="dxa"/>
            <w:vMerge/>
            <w:vAlign w:val="center"/>
          </w:tcPr>
          <w:p w14:paraId="610A27B6" w14:textId="77777777" w:rsidR="00817477" w:rsidRDefault="00817477"/>
        </w:tc>
      </w:tr>
      <w:tr w:rsidR="65D9A205" w14:paraId="7471DC75" w14:textId="77777777" w:rsidTr="45CDE7E8">
        <w:trPr>
          <w:trHeight w:val="1515"/>
        </w:trPr>
        <w:tc>
          <w:tcPr>
            <w:tcW w:w="1290" w:type="dxa"/>
            <w:vMerge w:val="restart"/>
            <w:tcBorders>
              <w:top w:val="nil"/>
              <w:left w:val="single" w:sz="12" w:space="0" w:color="auto"/>
              <w:right w:val="single" w:sz="6" w:space="0" w:color="auto"/>
            </w:tcBorders>
            <w:tcMar>
              <w:left w:w="105" w:type="dxa"/>
              <w:right w:w="105" w:type="dxa"/>
            </w:tcMar>
            <w:vAlign w:val="center"/>
          </w:tcPr>
          <w:p w14:paraId="16727645" w14:textId="6FA88A9B" w:rsidR="65D9A205" w:rsidRDefault="65D9A205" w:rsidP="65D9A205">
            <w:pPr>
              <w:rPr>
                <w:rFonts w:eastAsia="Calibri" w:cs="Calibri"/>
                <w:color w:val="000000"/>
                <w:sz w:val="20"/>
                <w:szCs w:val="20"/>
              </w:rPr>
            </w:pPr>
            <w:r w:rsidRPr="65D9A205">
              <w:rPr>
                <w:rFonts w:eastAsia="Calibri" w:cs="Calibri"/>
                <w:color w:val="000000"/>
                <w:sz w:val="20"/>
                <w:szCs w:val="20"/>
              </w:rPr>
              <w:t>QUANT &amp; QUAL of data reported to OIE</w:t>
            </w:r>
          </w:p>
        </w:tc>
        <w:tc>
          <w:tcPr>
            <w:tcW w:w="6150" w:type="dxa"/>
            <w:tcBorders>
              <w:top w:val="single" w:sz="6" w:space="0" w:color="auto"/>
              <w:left w:val="single" w:sz="6" w:space="0" w:color="auto"/>
              <w:bottom w:val="single" w:sz="6" w:space="0" w:color="auto"/>
              <w:right w:val="single" w:sz="12" w:space="0" w:color="auto"/>
            </w:tcBorders>
            <w:tcMar>
              <w:left w:w="105" w:type="dxa"/>
              <w:right w:w="105" w:type="dxa"/>
            </w:tcMar>
            <w:vAlign w:val="center"/>
          </w:tcPr>
          <w:p w14:paraId="2DF59C5D" w14:textId="092BB58F" w:rsidR="65D9A205" w:rsidRDefault="65D9A205" w:rsidP="65D9A205">
            <w:pPr>
              <w:rPr>
                <w:rFonts w:eastAsia="Calibri" w:cs="Calibri"/>
                <w:color w:val="000000"/>
                <w:sz w:val="20"/>
                <w:szCs w:val="20"/>
              </w:rPr>
            </w:pPr>
            <w:r w:rsidRPr="65D9A205">
              <w:rPr>
                <w:rFonts w:eastAsia="Calibri" w:cs="Calibri"/>
                <w:color w:val="000000"/>
                <w:sz w:val="20"/>
                <w:szCs w:val="20"/>
              </w:rPr>
              <w:t xml:space="preserve">Thinking about changes in AMU data reported to OIE, what were the </w:t>
            </w:r>
            <w:r w:rsidRPr="65D9A205">
              <w:rPr>
                <w:rFonts w:eastAsia="Calibri" w:cs="Calibri"/>
                <w:b/>
                <w:bCs/>
                <w:color w:val="000000"/>
                <w:sz w:val="20"/>
                <w:szCs w:val="20"/>
              </w:rPr>
              <w:t>key change drivers/factors, in order of importance</w:t>
            </w:r>
            <w:r w:rsidRPr="65D9A205">
              <w:rPr>
                <w:rFonts w:eastAsia="Calibri" w:cs="Calibri"/>
                <w:color w:val="000000"/>
                <w:sz w:val="20"/>
                <w:szCs w:val="20"/>
              </w:rPr>
              <w:t>, behind such change? Probes: more and better data available from the surveillance system (in which case refer to QUANT &amp; QUAL contribution stories), increased access, increased willingness to make data available, momentum etc.</w:t>
            </w:r>
          </w:p>
        </w:tc>
        <w:tc>
          <w:tcPr>
            <w:tcW w:w="6150" w:type="dxa"/>
            <w:tcBorders>
              <w:top w:val="single" w:sz="6" w:space="0" w:color="auto"/>
              <w:left w:val="single" w:sz="12" w:space="0" w:color="auto"/>
              <w:bottom w:val="single" w:sz="6" w:space="0" w:color="auto"/>
              <w:right w:val="single" w:sz="12" w:space="0" w:color="auto"/>
            </w:tcBorders>
            <w:tcMar>
              <w:left w:w="105" w:type="dxa"/>
              <w:right w:w="105" w:type="dxa"/>
            </w:tcMar>
          </w:tcPr>
          <w:p w14:paraId="4E7F09CD" w14:textId="0CD11071" w:rsidR="65D9A205" w:rsidRDefault="65D9A205" w:rsidP="65D9A205">
            <w:pPr>
              <w:rPr>
                <w:rFonts w:eastAsia="Calibri" w:cs="Calibri"/>
                <w:color w:val="000000"/>
                <w:sz w:val="20"/>
                <w:szCs w:val="20"/>
              </w:rPr>
            </w:pPr>
          </w:p>
        </w:tc>
      </w:tr>
      <w:tr w:rsidR="65D9A205" w14:paraId="6220E887" w14:textId="77777777" w:rsidTr="45CDE7E8">
        <w:trPr>
          <w:trHeight w:val="1560"/>
        </w:trPr>
        <w:tc>
          <w:tcPr>
            <w:tcW w:w="1290" w:type="dxa"/>
            <w:vMerge/>
            <w:vAlign w:val="center"/>
          </w:tcPr>
          <w:p w14:paraId="58EC9C80" w14:textId="77777777" w:rsidR="00817477" w:rsidRDefault="00817477"/>
        </w:tc>
        <w:tc>
          <w:tcPr>
            <w:tcW w:w="6150" w:type="dxa"/>
            <w:tcBorders>
              <w:top w:val="single" w:sz="6" w:space="0" w:color="auto"/>
              <w:left w:val="nil"/>
              <w:bottom w:val="single" w:sz="6" w:space="0" w:color="auto"/>
              <w:right w:val="single" w:sz="12" w:space="0" w:color="auto"/>
            </w:tcBorders>
            <w:tcMar>
              <w:left w:w="105" w:type="dxa"/>
              <w:right w:w="105" w:type="dxa"/>
            </w:tcMar>
            <w:vAlign w:val="center"/>
          </w:tcPr>
          <w:p w14:paraId="300AE284" w14:textId="25952C9D"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was the Fleming Fund </w:t>
            </w:r>
            <w:r w:rsidRPr="65D9A205">
              <w:rPr>
                <w:rFonts w:eastAsia="Calibri" w:cs="Calibri"/>
                <w:b/>
                <w:bCs/>
                <w:color w:val="000000"/>
                <w:sz w:val="20"/>
                <w:szCs w:val="20"/>
              </w:rPr>
              <w:t>Fellows</w:t>
            </w:r>
            <w:r w:rsidRPr="65D9A205">
              <w:rPr>
                <w:rFonts w:eastAsia="Calibri" w:cs="Calibri"/>
                <w:color w:val="000000"/>
                <w:sz w:val="20"/>
                <w:szCs w:val="20"/>
              </w:rPr>
              <w:t xml:space="preserve"> </w:t>
            </w:r>
            <w:r w:rsidRPr="65D9A205">
              <w:rPr>
                <w:rFonts w:eastAsia="Calibri" w:cs="Calibri"/>
                <w:b/>
                <w:bCs/>
                <w:color w:val="000000"/>
                <w:sz w:val="20"/>
                <w:szCs w:val="20"/>
              </w:rPr>
              <w:t>contribution</w:t>
            </w:r>
            <w:r w:rsidRPr="65D9A205">
              <w:rPr>
                <w:rFonts w:eastAsia="Calibri" w:cs="Calibri"/>
                <w:color w:val="000000"/>
                <w:sz w:val="20"/>
                <w:szCs w:val="20"/>
              </w:rPr>
              <w:t xml:space="preserve"> to those drivers?</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-CG/RG</w:t>
            </w:r>
          </w:p>
          <w:p w14:paraId="0E5E00CD" w14:textId="694FC830" w:rsidR="65D9A205" w:rsidRDefault="65D9A205" w:rsidP="65D9A205">
            <w:pPr>
              <w:rPr>
                <w:rFonts w:eastAsia="Calibri" w:cs="Calibri"/>
                <w:color w:val="000000"/>
                <w:sz w:val="20"/>
                <w:szCs w:val="20"/>
              </w:rPr>
            </w:pPr>
            <w:r w:rsidRPr="65D9A205">
              <w:rPr>
                <w:rFonts w:eastAsia="Calibri" w:cs="Calibri"/>
                <w:color w:val="000000"/>
                <w:sz w:val="20"/>
                <w:szCs w:val="20"/>
              </w:rPr>
              <w:t xml:space="preserve">- Global Projects </w:t>
            </w:r>
            <w:r>
              <w:br/>
            </w:r>
            <w:r w:rsidRPr="65D9A205">
              <w:rPr>
                <w:rFonts w:eastAsia="Calibri" w:cs="Calibri"/>
                <w:color w:val="000000"/>
                <w:sz w:val="20"/>
                <w:szCs w:val="20"/>
              </w:rPr>
              <w:t>-Other influencing factors (could be government activities, interventions by other DPs or exogenous factors such as COVID-19)?</w:t>
            </w:r>
          </w:p>
        </w:tc>
        <w:tc>
          <w:tcPr>
            <w:tcW w:w="6150" w:type="dxa"/>
            <w:tcBorders>
              <w:top w:val="single" w:sz="6" w:space="0" w:color="auto"/>
              <w:left w:val="single" w:sz="12" w:space="0" w:color="auto"/>
              <w:bottom w:val="single" w:sz="6" w:space="0" w:color="auto"/>
              <w:right w:val="single" w:sz="12" w:space="0" w:color="auto"/>
            </w:tcBorders>
            <w:tcMar>
              <w:left w:w="105" w:type="dxa"/>
              <w:right w:w="105" w:type="dxa"/>
            </w:tcMar>
          </w:tcPr>
          <w:p w14:paraId="01C6A8CE" w14:textId="4FEF2550" w:rsidR="65D9A205" w:rsidRDefault="65D9A205" w:rsidP="65D9A205">
            <w:pPr>
              <w:rPr>
                <w:rFonts w:eastAsia="Calibri" w:cs="Calibri"/>
                <w:color w:val="000000"/>
                <w:sz w:val="20"/>
                <w:szCs w:val="20"/>
              </w:rPr>
            </w:pPr>
          </w:p>
        </w:tc>
      </w:tr>
      <w:tr w:rsidR="65D9A205" w14:paraId="050A6527" w14:textId="77777777" w:rsidTr="45CDE7E8">
        <w:trPr>
          <w:trHeight w:val="525"/>
        </w:trPr>
        <w:tc>
          <w:tcPr>
            <w:tcW w:w="1290" w:type="dxa"/>
            <w:vMerge/>
            <w:vAlign w:val="center"/>
          </w:tcPr>
          <w:p w14:paraId="1211F8AE" w14:textId="77777777" w:rsidR="00817477" w:rsidRDefault="00817477"/>
        </w:tc>
        <w:tc>
          <w:tcPr>
            <w:tcW w:w="6150" w:type="dxa"/>
            <w:tcBorders>
              <w:top w:val="single" w:sz="6" w:space="0" w:color="auto"/>
              <w:left w:val="nil"/>
              <w:bottom w:val="single" w:sz="6" w:space="0" w:color="auto"/>
              <w:right w:val="single" w:sz="6" w:space="0" w:color="auto"/>
            </w:tcBorders>
            <w:tcMar>
              <w:left w:w="105" w:type="dxa"/>
              <w:right w:w="105" w:type="dxa"/>
            </w:tcMar>
            <w:vAlign w:val="bottom"/>
          </w:tcPr>
          <w:p w14:paraId="761EC895" w14:textId="4C99011C"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no or negative change in this area, why</w:t>
            </w:r>
            <w:r w:rsidRPr="65D9A205">
              <w:rPr>
                <w:rFonts w:eastAsia="Calibri" w:cs="Calibri"/>
                <w:color w:val="000000"/>
                <w:sz w:val="20"/>
                <w:szCs w:val="20"/>
              </w:rPr>
              <w:t xml:space="preserve"> was that? And what have the Fellows done to improve the situation?</w:t>
            </w:r>
          </w:p>
        </w:tc>
        <w:tc>
          <w:tcPr>
            <w:tcW w:w="6150" w:type="dxa"/>
            <w:tcBorders>
              <w:top w:val="single" w:sz="6" w:space="0" w:color="auto"/>
              <w:left w:val="single" w:sz="6" w:space="0" w:color="auto"/>
              <w:bottom w:val="single" w:sz="6" w:space="0" w:color="auto"/>
              <w:right w:val="single" w:sz="6" w:space="0" w:color="auto"/>
            </w:tcBorders>
            <w:tcMar>
              <w:left w:w="105" w:type="dxa"/>
              <w:right w:w="105" w:type="dxa"/>
            </w:tcMar>
          </w:tcPr>
          <w:p w14:paraId="64463EAA" w14:textId="3F251268" w:rsidR="65D9A205" w:rsidRDefault="65D9A205" w:rsidP="65D9A205">
            <w:pPr>
              <w:rPr>
                <w:rFonts w:eastAsia="Calibri" w:cs="Calibri"/>
                <w:color w:val="000000"/>
                <w:sz w:val="20"/>
                <w:szCs w:val="20"/>
              </w:rPr>
            </w:pPr>
          </w:p>
        </w:tc>
      </w:tr>
      <w:tr w:rsidR="65D9A205" w14:paraId="506C3E6E" w14:textId="77777777" w:rsidTr="45CDE7E8">
        <w:trPr>
          <w:trHeight w:val="1815"/>
        </w:trPr>
        <w:tc>
          <w:tcPr>
            <w:tcW w:w="1290" w:type="dxa"/>
            <w:vMerge w:val="restart"/>
            <w:tcBorders>
              <w:top w:val="nil"/>
              <w:left w:val="single" w:sz="12" w:space="0" w:color="auto"/>
              <w:right w:val="single" w:sz="6" w:space="0" w:color="auto"/>
            </w:tcBorders>
            <w:tcMar>
              <w:left w:w="105" w:type="dxa"/>
              <w:right w:w="105" w:type="dxa"/>
            </w:tcMar>
            <w:vAlign w:val="center"/>
          </w:tcPr>
          <w:p w14:paraId="1D990631" w14:textId="1D214011" w:rsidR="65D9A205" w:rsidRDefault="65D9A205" w:rsidP="65D9A205">
            <w:pPr>
              <w:rPr>
                <w:rFonts w:eastAsia="Calibri" w:cs="Calibri"/>
                <w:color w:val="000000"/>
                <w:sz w:val="20"/>
                <w:szCs w:val="20"/>
              </w:rPr>
            </w:pPr>
            <w:r w:rsidRPr="65D9A205">
              <w:rPr>
                <w:rFonts w:eastAsia="Calibri" w:cs="Calibri"/>
                <w:color w:val="000000"/>
                <w:sz w:val="20"/>
                <w:szCs w:val="20"/>
              </w:rPr>
              <w:t>Coherence</w:t>
            </w:r>
          </w:p>
        </w:tc>
        <w:tc>
          <w:tcPr>
            <w:tcW w:w="61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A7E39D2" w14:textId="6397B7EA"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w:t>
            </w:r>
            <w:r w:rsidRPr="65D9A205">
              <w:rPr>
                <w:rFonts w:eastAsia="Calibri" w:cs="Calibri"/>
                <w:b/>
                <w:bCs/>
                <w:color w:val="000000"/>
                <w:sz w:val="20"/>
                <w:szCs w:val="20"/>
              </w:rPr>
              <w:t xml:space="preserve">CG, RG, Fellowships and Global Projects </w:t>
            </w:r>
            <w:r w:rsidRPr="65D9A205">
              <w:rPr>
                <w:rFonts w:eastAsia="Calibri" w:cs="Calibri"/>
                <w:color w:val="000000"/>
                <w:sz w:val="20"/>
                <w:szCs w:val="20"/>
              </w:rPr>
              <w:t>have been</w:t>
            </w:r>
            <w:r w:rsidRPr="65D9A205">
              <w:rPr>
                <w:rFonts w:eastAsia="Calibri" w:cs="Calibri"/>
                <w:b/>
                <w:bCs/>
                <w:color w:val="000000"/>
                <w:sz w:val="20"/>
                <w:szCs w:val="20"/>
              </w:rPr>
              <w:t xml:space="preserve"> well coordinated</w:t>
            </w:r>
            <w:r w:rsidRPr="65D9A205">
              <w:rPr>
                <w:rFonts w:eastAsia="Calibri" w:cs="Calibri"/>
                <w:color w:val="000000"/>
                <w:sz w:val="20"/>
                <w:szCs w:val="20"/>
              </w:rPr>
              <w:t xml:space="preserve"> and </w:t>
            </w:r>
            <w:r w:rsidRPr="65D9A205">
              <w:rPr>
                <w:rFonts w:eastAsia="Calibri" w:cs="Calibri"/>
                <w:b/>
                <w:bCs/>
                <w:color w:val="000000"/>
                <w:sz w:val="20"/>
                <w:szCs w:val="20"/>
              </w:rPr>
              <w:t>internally coherent</w:t>
            </w:r>
            <w:r w:rsidRPr="65D9A205">
              <w:rPr>
                <w:rFonts w:eastAsia="Calibri" w:cs="Calibri"/>
                <w:color w:val="000000"/>
                <w:sz w:val="20"/>
                <w:szCs w:val="20"/>
              </w:rPr>
              <w:t>?</w:t>
            </w:r>
            <w:r>
              <w:br/>
            </w:r>
            <w:r w:rsidRPr="65D9A205">
              <w:rPr>
                <w:rFonts w:eastAsia="Calibri" w:cs="Calibri"/>
                <w:color w:val="000000"/>
                <w:sz w:val="20"/>
                <w:szCs w:val="20"/>
              </w:rPr>
              <w:t xml:space="preserve">Probe: Are there any </w:t>
            </w:r>
            <w:r w:rsidRPr="65D9A205">
              <w:rPr>
                <w:rFonts w:eastAsia="Calibri" w:cs="Calibri"/>
                <w:color w:val="000000"/>
                <w:sz w:val="20"/>
                <w:szCs w:val="20"/>
                <w:u w:val="single"/>
              </w:rPr>
              <w:t>duplications</w:t>
            </w:r>
            <w:r w:rsidRPr="65D9A205">
              <w:rPr>
                <w:rFonts w:eastAsia="Calibri" w:cs="Calibri"/>
                <w:color w:val="000000"/>
                <w:sz w:val="20"/>
                <w:szCs w:val="20"/>
              </w:rPr>
              <w:t xml:space="preserve"> between CG, RG, Fellowships and Global Projects?</w:t>
            </w:r>
            <w:r>
              <w:br/>
            </w:r>
            <w:r w:rsidRPr="65D9A205">
              <w:rPr>
                <w:rFonts w:eastAsia="Calibri" w:cs="Calibri"/>
                <w:color w:val="000000"/>
                <w:sz w:val="20"/>
                <w:szCs w:val="20"/>
              </w:rPr>
              <w:t xml:space="preserve">Probe: How effective have been </w:t>
            </w:r>
            <w:r w:rsidRPr="65D9A205">
              <w:rPr>
                <w:rFonts w:eastAsia="Calibri" w:cs="Calibri"/>
                <w:color w:val="000000"/>
                <w:sz w:val="20"/>
                <w:szCs w:val="20"/>
                <w:u w:val="single"/>
              </w:rPr>
              <w:t>mechanisms</w:t>
            </w:r>
            <w:r w:rsidRPr="65D9A205">
              <w:rPr>
                <w:rFonts w:eastAsia="Calibri" w:cs="Calibri"/>
                <w:color w:val="000000"/>
                <w:sz w:val="20"/>
                <w:szCs w:val="20"/>
              </w:rPr>
              <w:t xml:space="preserve"> put in place by the MA to ensure internal coherence (such as the Country Coordination mechanisms) in delivering coherence?</w:t>
            </w:r>
          </w:p>
        </w:tc>
        <w:tc>
          <w:tcPr>
            <w:tcW w:w="6150" w:type="dxa"/>
            <w:tcBorders>
              <w:top w:val="single" w:sz="6" w:space="0" w:color="auto"/>
              <w:left w:val="single" w:sz="6" w:space="0" w:color="auto"/>
              <w:bottom w:val="single" w:sz="6" w:space="0" w:color="auto"/>
              <w:right w:val="single" w:sz="6" w:space="0" w:color="auto"/>
            </w:tcBorders>
            <w:tcMar>
              <w:left w:w="105" w:type="dxa"/>
              <w:right w:w="105" w:type="dxa"/>
            </w:tcMar>
          </w:tcPr>
          <w:p w14:paraId="6B7595A3" w14:textId="6D6D14ED" w:rsidR="65D9A205" w:rsidRDefault="65D9A205" w:rsidP="65D9A205">
            <w:pPr>
              <w:rPr>
                <w:rFonts w:eastAsia="Calibri" w:cs="Calibri"/>
                <w:color w:val="000000"/>
                <w:sz w:val="20"/>
                <w:szCs w:val="20"/>
              </w:rPr>
            </w:pPr>
          </w:p>
        </w:tc>
      </w:tr>
      <w:tr w:rsidR="65D9A205" w14:paraId="7837375A" w14:textId="77777777" w:rsidTr="45CDE7E8">
        <w:trPr>
          <w:trHeight w:val="1560"/>
        </w:trPr>
        <w:tc>
          <w:tcPr>
            <w:tcW w:w="1290" w:type="dxa"/>
            <w:vMerge/>
            <w:vAlign w:val="center"/>
          </w:tcPr>
          <w:p w14:paraId="511DC862" w14:textId="77777777" w:rsidR="00817477" w:rsidRDefault="00817477"/>
        </w:tc>
        <w:tc>
          <w:tcPr>
            <w:tcW w:w="6150" w:type="dxa"/>
            <w:tcBorders>
              <w:top w:val="single" w:sz="6" w:space="0" w:color="auto"/>
              <w:left w:val="nil"/>
              <w:bottom w:val="single" w:sz="6" w:space="0" w:color="auto"/>
              <w:right w:val="single" w:sz="12" w:space="0" w:color="auto"/>
            </w:tcBorders>
            <w:shd w:val="clear" w:color="auto" w:fill="FFF2CC"/>
            <w:tcMar>
              <w:left w:w="105" w:type="dxa"/>
              <w:right w:w="105" w:type="dxa"/>
            </w:tcMar>
            <w:vAlign w:val="center"/>
          </w:tcPr>
          <w:p w14:paraId="639E3F8A" w14:textId="62444199" w:rsidR="65D9A205" w:rsidRDefault="65D9A205" w:rsidP="65D9A205">
            <w:pPr>
              <w:rPr>
                <w:rFonts w:eastAsia="Calibri" w:cs="Calibri"/>
                <w:color w:val="000000"/>
                <w:sz w:val="20"/>
                <w:szCs w:val="20"/>
              </w:rPr>
            </w:pPr>
            <w:r w:rsidRPr="45CDE7E8">
              <w:rPr>
                <w:rFonts w:eastAsia="Calibri" w:cs="Calibri"/>
                <w:color w:val="000000"/>
                <w:sz w:val="20"/>
                <w:szCs w:val="20"/>
              </w:rPr>
              <w:t xml:space="preserve">To what extent have the </w:t>
            </w:r>
            <w:r w:rsidRPr="45CDE7E8">
              <w:rPr>
                <w:rFonts w:eastAsia="Calibri" w:cs="Calibri"/>
                <w:b/>
                <w:bCs/>
                <w:color w:val="000000"/>
                <w:sz w:val="20"/>
                <w:szCs w:val="20"/>
              </w:rPr>
              <w:t xml:space="preserve">Fleming Fund's investments </w:t>
            </w:r>
            <w:r w:rsidRPr="45CDE7E8">
              <w:rPr>
                <w:rFonts w:eastAsia="Calibri" w:cs="Calibri"/>
                <w:color w:val="000000"/>
                <w:sz w:val="20"/>
                <w:szCs w:val="20"/>
              </w:rPr>
              <w:t xml:space="preserve">been </w:t>
            </w:r>
            <w:r w:rsidRPr="45CDE7E8">
              <w:rPr>
                <w:rFonts w:eastAsia="Calibri" w:cs="Calibri"/>
                <w:b/>
                <w:bCs/>
                <w:color w:val="000000"/>
                <w:sz w:val="20"/>
                <w:szCs w:val="20"/>
              </w:rPr>
              <w:t>aligned with interventions</w:t>
            </w:r>
            <w:r w:rsidRPr="45CDE7E8">
              <w:rPr>
                <w:rFonts w:eastAsia="Calibri" w:cs="Calibri"/>
                <w:color w:val="000000"/>
                <w:sz w:val="20"/>
                <w:szCs w:val="20"/>
              </w:rPr>
              <w:t xml:space="preserve"> funded </w:t>
            </w:r>
            <w:r w:rsidRPr="45CDE7E8">
              <w:rPr>
                <w:rFonts w:eastAsia="Calibri" w:cs="Calibri"/>
                <w:b/>
                <w:bCs/>
                <w:color w:val="000000"/>
                <w:sz w:val="20"/>
                <w:szCs w:val="20"/>
              </w:rPr>
              <w:t>by other DPs</w:t>
            </w:r>
            <w:r w:rsidRPr="45CDE7E8">
              <w:rPr>
                <w:rFonts w:eastAsia="Calibri" w:cs="Calibri"/>
                <w:color w:val="000000"/>
                <w:sz w:val="20"/>
                <w:szCs w:val="20"/>
              </w:rPr>
              <w:t xml:space="preserve">? </w:t>
            </w:r>
            <w:r>
              <w:br/>
            </w:r>
            <w:r w:rsidRPr="45CDE7E8">
              <w:rPr>
                <w:rFonts w:eastAsia="Calibri" w:cs="Calibri"/>
                <w:color w:val="000000"/>
                <w:sz w:val="20"/>
                <w:szCs w:val="20"/>
              </w:rPr>
              <w:t xml:space="preserve">Probe: Are there any </w:t>
            </w:r>
            <w:r w:rsidRPr="45CDE7E8">
              <w:rPr>
                <w:rFonts w:eastAsia="Calibri" w:cs="Calibri"/>
                <w:color w:val="000000"/>
                <w:sz w:val="20"/>
                <w:szCs w:val="20"/>
                <w:u w:val="single"/>
              </w:rPr>
              <w:t>duplications</w:t>
            </w:r>
            <w:r w:rsidRPr="45CDE7E8">
              <w:rPr>
                <w:rFonts w:eastAsia="Calibri" w:cs="Calibri"/>
                <w:color w:val="000000"/>
                <w:sz w:val="20"/>
                <w:szCs w:val="20"/>
              </w:rPr>
              <w:t xml:space="preserve"> between Fleming Fund's investments and DP initiatives?</w:t>
            </w:r>
            <w:r>
              <w:br/>
            </w:r>
            <w:r w:rsidRPr="45CDE7E8">
              <w:rPr>
                <w:rFonts w:eastAsia="Calibri" w:cs="Calibri"/>
                <w:color w:val="000000"/>
                <w:sz w:val="20"/>
                <w:szCs w:val="20"/>
              </w:rPr>
              <w:t xml:space="preserve">Probe: Through which </w:t>
            </w:r>
            <w:r w:rsidRPr="45CDE7E8">
              <w:rPr>
                <w:rFonts w:eastAsia="Calibri" w:cs="Calibri"/>
                <w:color w:val="000000"/>
                <w:sz w:val="20"/>
                <w:szCs w:val="20"/>
                <w:u w:val="single"/>
              </w:rPr>
              <w:t>mechanisms</w:t>
            </w:r>
            <w:r w:rsidRPr="45CDE7E8">
              <w:rPr>
                <w:rFonts w:eastAsia="Calibri" w:cs="Calibri"/>
                <w:color w:val="000000"/>
                <w:sz w:val="20"/>
                <w:szCs w:val="20"/>
              </w:rPr>
              <w:t xml:space="preserve"> did the Fleming Fund coordinate with other DPs involved in AMR / lab strengthening in country?</w:t>
            </w:r>
          </w:p>
        </w:tc>
        <w:tc>
          <w:tcPr>
            <w:tcW w:w="6150" w:type="dxa"/>
            <w:tcBorders>
              <w:top w:val="single" w:sz="6" w:space="0" w:color="auto"/>
              <w:left w:val="single" w:sz="12" w:space="0" w:color="auto"/>
              <w:bottom w:val="single" w:sz="6" w:space="0" w:color="auto"/>
              <w:right w:val="single" w:sz="12" w:space="0" w:color="auto"/>
            </w:tcBorders>
            <w:shd w:val="clear" w:color="auto" w:fill="FFF2CC"/>
            <w:tcMar>
              <w:left w:w="105" w:type="dxa"/>
              <w:right w:w="105" w:type="dxa"/>
            </w:tcMar>
          </w:tcPr>
          <w:p w14:paraId="5CE4A3F3" w14:textId="27A7BF9E" w:rsidR="65D9A205" w:rsidRDefault="65D9A205" w:rsidP="65D9A205">
            <w:pPr>
              <w:rPr>
                <w:rFonts w:eastAsia="Calibri" w:cs="Calibri"/>
                <w:color w:val="000000"/>
                <w:sz w:val="20"/>
                <w:szCs w:val="20"/>
              </w:rPr>
            </w:pPr>
          </w:p>
        </w:tc>
      </w:tr>
      <w:tr w:rsidR="65D9A205" w14:paraId="193DD32B" w14:textId="77777777" w:rsidTr="45CDE7E8">
        <w:trPr>
          <w:trHeight w:val="1560"/>
        </w:trPr>
        <w:tc>
          <w:tcPr>
            <w:tcW w:w="1290" w:type="dxa"/>
            <w:vMerge w:val="restart"/>
            <w:tcBorders>
              <w:top w:val="nil"/>
              <w:left w:val="single" w:sz="12" w:space="0" w:color="auto"/>
              <w:right w:val="single" w:sz="6" w:space="0" w:color="auto"/>
            </w:tcBorders>
            <w:shd w:val="clear" w:color="auto" w:fill="FFFFFF" w:themeFill="background1"/>
            <w:tcMar>
              <w:left w:w="105" w:type="dxa"/>
              <w:right w:w="105" w:type="dxa"/>
            </w:tcMar>
            <w:vAlign w:val="center"/>
          </w:tcPr>
          <w:p w14:paraId="29EC58E3" w14:textId="6D81FD8D" w:rsidR="65D9A205" w:rsidRDefault="65D9A205" w:rsidP="65D9A205">
            <w:pPr>
              <w:rPr>
                <w:rFonts w:eastAsia="Calibri" w:cs="Calibri"/>
                <w:color w:val="000000"/>
                <w:sz w:val="20"/>
                <w:szCs w:val="20"/>
              </w:rPr>
            </w:pPr>
            <w:r w:rsidRPr="65D9A205">
              <w:rPr>
                <w:rFonts w:eastAsia="Calibri" w:cs="Calibri"/>
                <w:color w:val="000000"/>
                <w:sz w:val="20"/>
                <w:szCs w:val="20"/>
              </w:rPr>
              <w:t xml:space="preserve">Sustainability </w:t>
            </w:r>
          </w:p>
        </w:tc>
        <w:tc>
          <w:tcPr>
            <w:tcW w:w="615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vAlign w:val="center"/>
          </w:tcPr>
          <w:p w14:paraId="2FF387C1" w14:textId="123E97D5"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do you think the required </w:t>
            </w:r>
            <w:r w:rsidRPr="65D9A205">
              <w:rPr>
                <w:rFonts w:eastAsia="Calibri" w:cs="Calibri"/>
                <w:b/>
                <w:bCs/>
                <w:color w:val="000000"/>
                <w:sz w:val="20"/>
                <w:szCs w:val="20"/>
              </w:rPr>
              <w:t>capacity</w:t>
            </w:r>
            <w:r w:rsidRPr="65D9A205">
              <w:rPr>
                <w:rFonts w:eastAsia="Calibri" w:cs="Calibri"/>
                <w:color w:val="000000"/>
                <w:sz w:val="20"/>
                <w:szCs w:val="20"/>
              </w:rPr>
              <w:t xml:space="preserve"> exists to sustain these results (quantity, quality, int. sharing)?  PROBES: any concerns about turnover of staff, who conducts refresher training (in absence of FF), is AMR part of pre-service training (eg curriculum), are staff permanent or contactors (paid by whom)?  To what extent is FF focused on addressing these conditions?</w:t>
            </w:r>
          </w:p>
        </w:tc>
        <w:tc>
          <w:tcPr>
            <w:tcW w:w="6150" w:type="dxa"/>
            <w:vMerge w:val="restart"/>
            <w:tcBorders>
              <w:top w:val="single" w:sz="6" w:space="0" w:color="auto"/>
              <w:left w:val="single" w:sz="12" w:space="0" w:color="auto"/>
              <w:right w:val="single" w:sz="12" w:space="0" w:color="auto"/>
            </w:tcBorders>
            <w:shd w:val="clear" w:color="auto" w:fill="FFFFFF" w:themeFill="background1"/>
            <w:tcMar>
              <w:left w:w="105" w:type="dxa"/>
              <w:right w:w="105" w:type="dxa"/>
            </w:tcMar>
          </w:tcPr>
          <w:p w14:paraId="4F30C352" w14:textId="1E33D910" w:rsidR="65D9A205" w:rsidRDefault="65D9A205" w:rsidP="65D9A205">
            <w:pPr>
              <w:rPr>
                <w:rFonts w:eastAsia="Calibri" w:cs="Calibri"/>
                <w:color w:val="000000"/>
                <w:sz w:val="20"/>
                <w:szCs w:val="20"/>
              </w:rPr>
            </w:pPr>
          </w:p>
        </w:tc>
      </w:tr>
      <w:tr w:rsidR="65D9A205" w14:paraId="709EF63C" w14:textId="77777777" w:rsidTr="45CDE7E8">
        <w:trPr>
          <w:trHeight w:val="1560"/>
        </w:trPr>
        <w:tc>
          <w:tcPr>
            <w:tcW w:w="1290" w:type="dxa"/>
            <w:vMerge/>
            <w:vAlign w:val="center"/>
          </w:tcPr>
          <w:p w14:paraId="44CEFBDC" w14:textId="77777777" w:rsidR="00817477" w:rsidRDefault="00817477"/>
        </w:tc>
        <w:tc>
          <w:tcPr>
            <w:tcW w:w="6150" w:type="dxa"/>
            <w:tcBorders>
              <w:top w:val="single" w:sz="6" w:space="0" w:color="auto"/>
              <w:left w:val="nil"/>
              <w:bottom w:val="single" w:sz="6" w:space="0" w:color="auto"/>
              <w:right w:val="single" w:sz="12" w:space="0" w:color="auto"/>
            </w:tcBorders>
            <w:shd w:val="clear" w:color="auto" w:fill="FFFFFF" w:themeFill="background1"/>
            <w:tcMar>
              <w:left w:w="105" w:type="dxa"/>
              <w:right w:w="105" w:type="dxa"/>
            </w:tcMar>
            <w:vAlign w:val="center"/>
          </w:tcPr>
          <w:p w14:paraId="665AFFF8" w14:textId="71EB09D3"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do you think staff are </w:t>
            </w:r>
            <w:r w:rsidRPr="65D9A205">
              <w:rPr>
                <w:rFonts w:eastAsia="Calibri" w:cs="Calibri"/>
                <w:b/>
                <w:bCs/>
                <w:color w:val="000000"/>
                <w:sz w:val="20"/>
                <w:szCs w:val="20"/>
              </w:rPr>
              <w:t>motivated</w:t>
            </w:r>
            <w:r w:rsidRPr="65D9A205">
              <w:rPr>
                <w:rFonts w:eastAsia="Calibri" w:cs="Calibri"/>
                <w:color w:val="000000"/>
                <w:sz w:val="20"/>
                <w:szCs w:val="20"/>
              </w:rPr>
              <w:t xml:space="preserve"> to put new skills / responsibilities required to maintain AMR surveillence? PROBES: Is throughput sufficient?  Are consumable supplies assured? Are managers and institutions (eg AMRCC) interested in outputs and providing feedback? Will competing demands crowd in?  To what extent is FF focused on addressing these conditions?</w:t>
            </w:r>
          </w:p>
        </w:tc>
        <w:tc>
          <w:tcPr>
            <w:tcW w:w="6150" w:type="dxa"/>
            <w:vMerge/>
            <w:vAlign w:val="center"/>
          </w:tcPr>
          <w:p w14:paraId="568D41FC" w14:textId="77777777" w:rsidR="00817477" w:rsidRDefault="00817477"/>
        </w:tc>
      </w:tr>
      <w:tr w:rsidR="65D9A205" w14:paraId="49053B41" w14:textId="77777777" w:rsidTr="45CDE7E8">
        <w:trPr>
          <w:trHeight w:val="510"/>
        </w:trPr>
        <w:tc>
          <w:tcPr>
            <w:tcW w:w="1290" w:type="dxa"/>
            <w:vMerge/>
            <w:vAlign w:val="center"/>
          </w:tcPr>
          <w:p w14:paraId="31BF4570" w14:textId="77777777" w:rsidR="00817477" w:rsidRDefault="00817477"/>
        </w:tc>
        <w:tc>
          <w:tcPr>
            <w:tcW w:w="6150" w:type="dxa"/>
            <w:tcBorders>
              <w:top w:val="single" w:sz="6" w:space="0" w:color="auto"/>
              <w:left w:val="nil"/>
              <w:bottom w:val="single" w:sz="6" w:space="0" w:color="auto"/>
              <w:right w:val="single" w:sz="12" w:space="0" w:color="auto"/>
            </w:tcBorders>
            <w:shd w:val="clear" w:color="auto" w:fill="FFFFFF" w:themeFill="background1"/>
            <w:tcMar>
              <w:left w:w="105" w:type="dxa"/>
              <w:right w:w="105" w:type="dxa"/>
            </w:tcMar>
            <w:vAlign w:val="center"/>
          </w:tcPr>
          <w:p w14:paraId="4780CCB9" w14:textId="50E12268"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you formulated an </w:t>
            </w:r>
            <w:r w:rsidRPr="65D9A205">
              <w:rPr>
                <w:rFonts w:eastAsia="Calibri" w:cs="Calibri"/>
                <w:b/>
                <w:bCs/>
                <w:color w:val="000000"/>
                <w:sz w:val="20"/>
                <w:szCs w:val="20"/>
              </w:rPr>
              <w:t>exit plan</w:t>
            </w:r>
            <w:r w:rsidRPr="65D9A205">
              <w:rPr>
                <w:rFonts w:eastAsia="Calibri" w:cs="Calibri"/>
                <w:color w:val="000000"/>
                <w:sz w:val="20"/>
                <w:szCs w:val="20"/>
              </w:rPr>
              <w:t>? If not, why not? Has sustainability received sufficient attention to date? In what ways?</w:t>
            </w:r>
          </w:p>
        </w:tc>
        <w:tc>
          <w:tcPr>
            <w:tcW w:w="6150" w:type="dxa"/>
            <w:vMerge/>
            <w:vAlign w:val="center"/>
          </w:tcPr>
          <w:p w14:paraId="23BDEA19" w14:textId="77777777" w:rsidR="00817477" w:rsidRDefault="00817477"/>
        </w:tc>
      </w:tr>
      <w:tr w:rsidR="65D9A205" w14:paraId="30E84F13" w14:textId="77777777" w:rsidTr="45CDE7E8">
        <w:trPr>
          <w:trHeight w:val="270"/>
        </w:trPr>
        <w:tc>
          <w:tcPr>
            <w:tcW w:w="1290" w:type="dxa"/>
            <w:vMerge w:val="restart"/>
            <w:tcBorders>
              <w:left w:val="single" w:sz="12" w:space="0" w:color="auto"/>
              <w:right w:val="single" w:sz="6" w:space="0" w:color="auto"/>
            </w:tcBorders>
            <w:shd w:val="clear" w:color="auto" w:fill="FFFFFF" w:themeFill="background1"/>
            <w:tcMar>
              <w:left w:w="105" w:type="dxa"/>
              <w:right w:w="105" w:type="dxa"/>
            </w:tcMar>
          </w:tcPr>
          <w:p w14:paraId="07BED2CB" w14:textId="057195B5" w:rsidR="65D9A205" w:rsidRDefault="65D9A205" w:rsidP="65D9A205">
            <w:pPr>
              <w:rPr>
                <w:rFonts w:eastAsia="Calibri" w:cs="Calibri"/>
                <w:color w:val="000000"/>
                <w:sz w:val="20"/>
                <w:szCs w:val="20"/>
              </w:rPr>
            </w:pPr>
            <w:r w:rsidRPr="65D9A205">
              <w:rPr>
                <w:rFonts w:eastAsia="Calibri" w:cs="Calibri"/>
                <w:color w:val="000000"/>
                <w:sz w:val="20"/>
                <w:szCs w:val="20"/>
              </w:rPr>
              <w:t>VfM</w:t>
            </w:r>
          </w:p>
        </w:tc>
        <w:tc>
          <w:tcPr>
            <w:tcW w:w="6150"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tcPr>
          <w:p w14:paraId="720D3CA6" w14:textId="23E142D6" w:rsidR="65D9A205" w:rsidRDefault="65D9A205" w:rsidP="65D9A205">
            <w:pPr>
              <w:rPr>
                <w:rFonts w:eastAsia="Calibri" w:cs="Calibri"/>
                <w:color w:val="000000"/>
                <w:sz w:val="20"/>
                <w:szCs w:val="20"/>
              </w:rPr>
            </w:pPr>
            <w:r w:rsidRPr="65D9A205">
              <w:rPr>
                <w:rFonts w:eastAsia="Calibri" w:cs="Calibri"/>
                <w:color w:val="000000"/>
                <w:sz w:val="20"/>
                <w:szCs w:val="20"/>
              </w:rPr>
              <w:t>What steps have been taken to maximize economy (value for money in operational support)?  For example, are inputs purchased to ensure they are appropriate quality and the right price at country level (e.g. benchmarked/compared to market rates)?  Are prices / rates negotiated?  Any examples?</w:t>
            </w:r>
          </w:p>
        </w:tc>
        <w:tc>
          <w:tcPr>
            <w:tcW w:w="6150" w:type="dxa"/>
            <w:tcBorders>
              <w:top w:val="single" w:sz="6" w:space="0" w:color="auto"/>
              <w:left w:val="single" w:sz="12" w:space="0" w:color="auto"/>
              <w:bottom w:val="single" w:sz="6" w:space="0" w:color="auto"/>
              <w:right w:val="single" w:sz="12" w:space="0" w:color="auto"/>
            </w:tcBorders>
            <w:shd w:val="clear" w:color="auto" w:fill="FFFFFF" w:themeFill="background1"/>
            <w:tcMar>
              <w:left w:w="105" w:type="dxa"/>
              <w:right w:w="105" w:type="dxa"/>
            </w:tcMar>
          </w:tcPr>
          <w:p w14:paraId="2F4623FE" w14:textId="57DADFC2" w:rsidR="65D9A205" w:rsidRDefault="65D9A205" w:rsidP="65D9A205">
            <w:pPr>
              <w:rPr>
                <w:rFonts w:eastAsia="Calibri" w:cs="Calibri"/>
                <w:color w:val="000000"/>
                <w:sz w:val="20"/>
                <w:szCs w:val="20"/>
              </w:rPr>
            </w:pPr>
          </w:p>
        </w:tc>
      </w:tr>
      <w:tr w:rsidR="65D9A205" w14:paraId="6FD6FF2C" w14:textId="77777777" w:rsidTr="45CDE7E8">
        <w:trPr>
          <w:trHeight w:val="510"/>
        </w:trPr>
        <w:tc>
          <w:tcPr>
            <w:tcW w:w="1290" w:type="dxa"/>
            <w:vMerge/>
            <w:vAlign w:val="center"/>
          </w:tcPr>
          <w:p w14:paraId="0E7C34AD" w14:textId="77777777" w:rsidR="00817477" w:rsidRDefault="00817477"/>
        </w:tc>
        <w:tc>
          <w:tcPr>
            <w:tcW w:w="6150" w:type="dxa"/>
            <w:tcBorders>
              <w:top w:val="single" w:sz="6" w:space="0" w:color="auto"/>
              <w:left w:val="nil"/>
              <w:bottom w:val="single" w:sz="6" w:space="0" w:color="auto"/>
              <w:right w:val="single" w:sz="12" w:space="0" w:color="auto"/>
            </w:tcBorders>
            <w:shd w:val="clear" w:color="auto" w:fill="FFFFFF" w:themeFill="background1"/>
            <w:tcMar>
              <w:left w:w="105" w:type="dxa"/>
              <w:right w:w="105" w:type="dxa"/>
            </w:tcMar>
          </w:tcPr>
          <w:p w14:paraId="01C91ED4" w14:textId="164A41A1" w:rsidR="65D9A205" w:rsidRDefault="65D9A205" w:rsidP="65D9A205">
            <w:pPr>
              <w:rPr>
                <w:rFonts w:eastAsia="Calibri" w:cs="Calibri"/>
                <w:color w:val="000000"/>
                <w:sz w:val="20"/>
                <w:szCs w:val="20"/>
              </w:rPr>
            </w:pPr>
            <w:r w:rsidRPr="65D9A205">
              <w:rPr>
                <w:rFonts w:eastAsia="Calibri" w:cs="Calibri"/>
                <w:color w:val="000000"/>
                <w:sz w:val="20"/>
                <w:szCs w:val="20"/>
              </w:rPr>
              <w:t>What examples are there of efficiency, particularly in terms of achieving more results than planned within the original budget? Were there challenges with achieving efficiency and how were these managed?</w:t>
            </w:r>
          </w:p>
        </w:tc>
        <w:tc>
          <w:tcPr>
            <w:tcW w:w="6150" w:type="dxa"/>
            <w:tcBorders>
              <w:left w:val="single" w:sz="12" w:space="0" w:color="auto"/>
              <w:bottom w:val="single" w:sz="6" w:space="0" w:color="auto"/>
              <w:right w:val="single" w:sz="12" w:space="0" w:color="auto"/>
            </w:tcBorders>
            <w:shd w:val="clear" w:color="auto" w:fill="FFFFFF" w:themeFill="background1"/>
            <w:tcMar>
              <w:left w:w="105" w:type="dxa"/>
              <w:right w:w="105" w:type="dxa"/>
            </w:tcMar>
          </w:tcPr>
          <w:p w14:paraId="6F21E4BE" w14:textId="3EF5A6A0" w:rsidR="65D9A205" w:rsidRDefault="65D9A205" w:rsidP="65D9A205">
            <w:pPr>
              <w:rPr>
                <w:rFonts w:eastAsia="Calibri" w:cs="Calibri"/>
                <w:color w:val="000000"/>
                <w:sz w:val="20"/>
                <w:szCs w:val="20"/>
              </w:rPr>
            </w:pPr>
          </w:p>
        </w:tc>
      </w:tr>
      <w:tr w:rsidR="65D9A205" w14:paraId="2F5947E1" w14:textId="77777777" w:rsidTr="45CDE7E8">
        <w:trPr>
          <w:trHeight w:val="510"/>
        </w:trPr>
        <w:tc>
          <w:tcPr>
            <w:tcW w:w="1290" w:type="dxa"/>
            <w:vMerge/>
            <w:vAlign w:val="center"/>
          </w:tcPr>
          <w:p w14:paraId="449871EF" w14:textId="77777777" w:rsidR="00817477" w:rsidRDefault="00817477"/>
        </w:tc>
        <w:tc>
          <w:tcPr>
            <w:tcW w:w="6150" w:type="dxa"/>
            <w:tcBorders>
              <w:top w:val="single" w:sz="6" w:space="0" w:color="auto"/>
              <w:left w:val="nil"/>
              <w:bottom w:val="single" w:sz="6" w:space="0" w:color="auto"/>
              <w:right w:val="single" w:sz="12" w:space="0" w:color="auto"/>
            </w:tcBorders>
            <w:shd w:val="clear" w:color="auto" w:fill="FFFFFF" w:themeFill="background1"/>
            <w:tcMar>
              <w:left w:w="105" w:type="dxa"/>
              <w:right w:w="105" w:type="dxa"/>
            </w:tcMar>
          </w:tcPr>
          <w:p w14:paraId="343CB0A0" w14:textId="5F7AE652" w:rsidR="65D9A205" w:rsidRDefault="65D9A205" w:rsidP="65D9A205">
            <w:pPr>
              <w:rPr>
                <w:rFonts w:eastAsia="Calibri" w:cs="Calibri"/>
                <w:color w:val="000000"/>
                <w:sz w:val="20"/>
                <w:szCs w:val="20"/>
              </w:rPr>
            </w:pPr>
            <w:r w:rsidRPr="65D9A205">
              <w:rPr>
                <w:rFonts w:eastAsia="Calibri" w:cs="Calibri"/>
                <w:color w:val="000000"/>
                <w:sz w:val="20"/>
                <w:szCs w:val="20"/>
              </w:rPr>
              <w:t>Are any cost-sharing arrangements in place for the fellowship? e.g. with host institution or other partners? If yes, please describe</w:t>
            </w:r>
          </w:p>
        </w:tc>
        <w:tc>
          <w:tcPr>
            <w:tcW w:w="6150" w:type="dxa"/>
            <w:tcBorders>
              <w:left w:val="single" w:sz="12" w:space="0" w:color="auto"/>
              <w:bottom w:val="single" w:sz="6" w:space="0" w:color="auto"/>
              <w:right w:val="single" w:sz="12" w:space="0" w:color="auto"/>
            </w:tcBorders>
            <w:shd w:val="clear" w:color="auto" w:fill="FFFFFF" w:themeFill="background1"/>
            <w:tcMar>
              <w:left w:w="105" w:type="dxa"/>
              <w:right w:w="105" w:type="dxa"/>
            </w:tcMar>
          </w:tcPr>
          <w:p w14:paraId="6D251439" w14:textId="479E63EC" w:rsidR="65D9A205" w:rsidRDefault="65D9A205" w:rsidP="65D9A205">
            <w:pPr>
              <w:rPr>
                <w:rFonts w:eastAsia="Calibri" w:cs="Calibri"/>
                <w:color w:val="000000"/>
                <w:sz w:val="20"/>
                <w:szCs w:val="20"/>
              </w:rPr>
            </w:pPr>
          </w:p>
        </w:tc>
      </w:tr>
      <w:tr w:rsidR="65D9A205" w14:paraId="05583F8C" w14:textId="77777777" w:rsidTr="45CDE7E8">
        <w:trPr>
          <w:trHeight w:val="510"/>
        </w:trPr>
        <w:tc>
          <w:tcPr>
            <w:tcW w:w="1290" w:type="dxa"/>
            <w:tcBorders>
              <w:top w:val="nil"/>
              <w:left w:val="single" w:sz="12" w:space="0" w:color="auto"/>
              <w:bottom w:val="single" w:sz="6" w:space="0" w:color="auto"/>
              <w:right w:val="single" w:sz="6" w:space="0" w:color="auto"/>
            </w:tcBorders>
            <w:shd w:val="clear" w:color="auto" w:fill="FBE4D5"/>
            <w:tcMar>
              <w:left w:w="105" w:type="dxa"/>
              <w:right w:w="105" w:type="dxa"/>
            </w:tcMar>
            <w:vAlign w:val="center"/>
          </w:tcPr>
          <w:p w14:paraId="1291A7C1" w14:textId="13251A59" w:rsidR="65D9A205" w:rsidRDefault="65D9A205" w:rsidP="65D9A205">
            <w:pPr>
              <w:rPr>
                <w:rFonts w:eastAsia="Calibri" w:cs="Calibri"/>
                <w:color w:val="000000"/>
                <w:sz w:val="20"/>
                <w:szCs w:val="20"/>
              </w:rPr>
            </w:pPr>
            <w:r w:rsidRPr="65D9A205">
              <w:rPr>
                <w:rFonts w:eastAsia="Calibri" w:cs="Calibri"/>
                <w:i/>
                <w:iCs/>
                <w:color w:val="000000"/>
                <w:sz w:val="20"/>
                <w:szCs w:val="20"/>
              </w:rPr>
              <w:t xml:space="preserve">Archie’s note </w:t>
            </w:r>
          </w:p>
        </w:tc>
        <w:tc>
          <w:tcPr>
            <w:tcW w:w="6150" w:type="dxa"/>
            <w:tcBorders>
              <w:top w:val="single" w:sz="6" w:space="0" w:color="auto"/>
              <w:left w:val="single" w:sz="6" w:space="0" w:color="auto"/>
              <w:bottom w:val="single" w:sz="6" w:space="0" w:color="auto"/>
              <w:right w:val="single" w:sz="12" w:space="0" w:color="auto"/>
            </w:tcBorders>
            <w:shd w:val="clear" w:color="auto" w:fill="FBE4D5"/>
            <w:tcMar>
              <w:left w:w="105" w:type="dxa"/>
              <w:right w:w="105" w:type="dxa"/>
            </w:tcMar>
            <w:vAlign w:val="center"/>
          </w:tcPr>
          <w:p w14:paraId="37E23EC7" w14:textId="67E52523" w:rsidR="65D9A205" w:rsidRDefault="65D9A205" w:rsidP="65D9A205">
            <w:pPr>
              <w:rPr>
                <w:rFonts w:eastAsia="Calibri" w:cs="Calibri"/>
                <w:color w:val="000000"/>
                <w:sz w:val="20"/>
                <w:szCs w:val="20"/>
              </w:rPr>
            </w:pPr>
            <w:r w:rsidRPr="65D9A205">
              <w:rPr>
                <w:rFonts w:eastAsia="Calibri" w:cs="Calibri"/>
                <w:i/>
                <w:iCs/>
                <w:color w:val="000000"/>
                <w:sz w:val="20"/>
                <w:szCs w:val="20"/>
              </w:rPr>
              <w:t>Take time to frame by explaining EQ4 to them and asking whether/how they think work as HI to PFs fits into that</w:t>
            </w:r>
            <w:r w:rsidRPr="65D9A205">
              <w:rPr>
                <w:rStyle w:val="apple-converted-space"/>
                <w:rFonts w:eastAsia="Calibri" w:cs="Calibri"/>
                <w:i/>
                <w:iCs/>
                <w:color w:val="000000"/>
                <w:sz w:val="20"/>
                <w:szCs w:val="20"/>
              </w:rPr>
              <w:t> </w:t>
            </w:r>
          </w:p>
        </w:tc>
        <w:tc>
          <w:tcPr>
            <w:tcW w:w="6150" w:type="dxa"/>
            <w:tcBorders>
              <w:left w:val="single" w:sz="12" w:space="0" w:color="auto"/>
              <w:bottom w:val="single" w:sz="6" w:space="0" w:color="auto"/>
              <w:right w:val="single" w:sz="12" w:space="0" w:color="auto"/>
            </w:tcBorders>
            <w:shd w:val="clear" w:color="auto" w:fill="FBE4D5"/>
            <w:tcMar>
              <w:left w:w="105" w:type="dxa"/>
              <w:right w:w="105" w:type="dxa"/>
            </w:tcMar>
          </w:tcPr>
          <w:p w14:paraId="30644BCA" w14:textId="382B3D3B" w:rsidR="65D9A205" w:rsidRDefault="65D9A205" w:rsidP="65D9A205">
            <w:pPr>
              <w:rPr>
                <w:rFonts w:eastAsia="Calibri" w:cs="Calibri"/>
                <w:color w:val="000000"/>
                <w:sz w:val="20"/>
                <w:szCs w:val="20"/>
              </w:rPr>
            </w:pPr>
          </w:p>
        </w:tc>
      </w:tr>
      <w:tr w:rsidR="65D9A205" w14:paraId="1F072F6A" w14:textId="77777777" w:rsidTr="45CDE7E8">
        <w:trPr>
          <w:trHeight w:val="1185"/>
        </w:trPr>
        <w:tc>
          <w:tcPr>
            <w:tcW w:w="1290" w:type="dxa"/>
            <w:vMerge w:val="restart"/>
            <w:tcBorders>
              <w:top w:val="single" w:sz="6" w:space="0" w:color="auto"/>
              <w:left w:val="single" w:sz="12" w:space="0" w:color="auto"/>
              <w:right w:val="single" w:sz="6" w:space="0" w:color="auto"/>
            </w:tcBorders>
            <w:shd w:val="clear" w:color="auto" w:fill="FBE4D5"/>
            <w:tcMar>
              <w:left w:w="105" w:type="dxa"/>
              <w:right w:w="105" w:type="dxa"/>
            </w:tcMar>
          </w:tcPr>
          <w:p w14:paraId="46374407" w14:textId="5303DC79" w:rsidR="65D9A205" w:rsidRDefault="65D9A205" w:rsidP="65D9A205">
            <w:pPr>
              <w:rPr>
                <w:rFonts w:eastAsia="Calibri" w:cs="Calibri"/>
                <w:color w:val="000000"/>
                <w:sz w:val="20"/>
                <w:szCs w:val="20"/>
              </w:rPr>
            </w:pPr>
            <w:r w:rsidRPr="65D9A205">
              <w:rPr>
                <w:rFonts w:eastAsia="Calibri" w:cs="Calibri"/>
                <w:color w:val="000000"/>
                <w:sz w:val="20"/>
                <w:szCs w:val="20"/>
              </w:rPr>
              <w:t>ACTIONS 4.1 (only for Policy fellows HI)</w:t>
            </w:r>
          </w:p>
          <w:p w14:paraId="2D1423D5" w14:textId="20400BCC" w:rsidR="65D9A205" w:rsidRDefault="65D9A205" w:rsidP="65D9A205">
            <w:pPr>
              <w:rPr>
                <w:rFonts w:eastAsia="Calibri" w:cs="Calibri"/>
                <w:color w:val="000000"/>
                <w:sz w:val="20"/>
                <w:szCs w:val="20"/>
              </w:rPr>
            </w:pPr>
          </w:p>
        </w:tc>
        <w:tc>
          <w:tcPr>
            <w:tcW w:w="6150" w:type="dxa"/>
            <w:tcBorders>
              <w:top w:val="single" w:sz="6" w:space="0" w:color="auto"/>
              <w:left w:val="single" w:sz="6" w:space="0" w:color="auto"/>
              <w:bottom w:val="single" w:sz="6" w:space="0" w:color="auto"/>
              <w:right w:val="single" w:sz="12" w:space="0" w:color="auto"/>
            </w:tcBorders>
            <w:shd w:val="clear" w:color="auto" w:fill="FBE4D5"/>
            <w:tcMar>
              <w:left w:w="105" w:type="dxa"/>
              <w:right w:w="105" w:type="dxa"/>
            </w:tcMar>
            <w:vAlign w:val="bottom"/>
          </w:tcPr>
          <w:p w14:paraId="773AA548" w14:textId="25FB3DC8" w:rsidR="65D9A205" w:rsidRDefault="65D9A205" w:rsidP="65D9A205">
            <w:pPr>
              <w:rPr>
                <w:rFonts w:eastAsia="Calibri" w:cs="Calibri"/>
                <w:color w:val="000000"/>
                <w:sz w:val="20"/>
                <w:szCs w:val="20"/>
              </w:rPr>
            </w:pPr>
            <w:r w:rsidRPr="65D9A205">
              <w:rPr>
                <w:rFonts w:eastAsia="Calibri" w:cs="Calibri"/>
                <w:color w:val="000000"/>
                <w:sz w:val="20"/>
                <w:szCs w:val="20"/>
              </w:rPr>
              <w:t xml:space="preserve">Do you think that surveillance data is already being used to inform strong national actions on AMR (policy implementation, regulatory change or change to national clinical guidelines?)  If yes, please give examples  PROBE: How did Fleming Fund activities contribute to these actions? If no, do you think that the main use so far has been for general awareness-raising in professional and policy networks? PROBE: Do you think that we are still at an early stage of the cycle of AMR data analysis for policy? </w:t>
            </w:r>
          </w:p>
        </w:tc>
        <w:tc>
          <w:tcPr>
            <w:tcW w:w="6150" w:type="dxa"/>
            <w:vMerge w:val="restart"/>
            <w:tcBorders>
              <w:top w:val="single" w:sz="6" w:space="0" w:color="auto"/>
              <w:left w:val="single" w:sz="12" w:space="0" w:color="auto"/>
              <w:right w:val="single" w:sz="12" w:space="0" w:color="auto"/>
            </w:tcBorders>
            <w:shd w:val="clear" w:color="auto" w:fill="FBE4D5"/>
            <w:tcMar>
              <w:left w:w="105" w:type="dxa"/>
              <w:right w:w="105" w:type="dxa"/>
            </w:tcMar>
          </w:tcPr>
          <w:p w14:paraId="5CBD2C0D" w14:textId="5A12B8DF" w:rsidR="65D9A205" w:rsidRDefault="65D9A205" w:rsidP="65D9A205">
            <w:pPr>
              <w:rPr>
                <w:rFonts w:eastAsia="Calibri" w:cs="Calibri"/>
                <w:color w:val="000000"/>
                <w:sz w:val="20"/>
                <w:szCs w:val="20"/>
              </w:rPr>
            </w:pPr>
          </w:p>
          <w:p w14:paraId="629A0F4B" w14:textId="4E656315" w:rsidR="65D9A205" w:rsidRDefault="65D9A205" w:rsidP="65D9A205">
            <w:pPr>
              <w:rPr>
                <w:rFonts w:eastAsia="Calibri" w:cs="Calibri"/>
                <w:color w:val="000000"/>
                <w:sz w:val="20"/>
                <w:szCs w:val="20"/>
              </w:rPr>
            </w:pPr>
          </w:p>
          <w:p w14:paraId="6FC0491B" w14:textId="6C646EDC" w:rsidR="65D9A205" w:rsidRDefault="65D9A205" w:rsidP="65D9A205">
            <w:pPr>
              <w:rPr>
                <w:rFonts w:eastAsia="Calibri" w:cs="Calibri"/>
                <w:color w:val="000000"/>
                <w:sz w:val="20"/>
                <w:szCs w:val="20"/>
              </w:rPr>
            </w:pPr>
          </w:p>
          <w:p w14:paraId="2E52BA0D" w14:textId="16E9F53F" w:rsidR="65D9A205" w:rsidRDefault="65D9A205" w:rsidP="65D9A205">
            <w:pPr>
              <w:rPr>
                <w:rFonts w:eastAsia="Calibri" w:cs="Calibri"/>
                <w:color w:val="000000"/>
                <w:sz w:val="20"/>
                <w:szCs w:val="20"/>
              </w:rPr>
            </w:pPr>
          </w:p>
          <w:p w14:paraId="2D833688" w14:textId="49D19D95" w:rsidR="65D9A205" w:rsidRDefault="65D9A205" w:rsidP="65D9A205">
            <w:pPr>
              <w:rPr>
                <w:rFonts w:eastAsia="Calibri" w:cs="Calibri"/>
                <w:color w:val="000000"/>
                <w:sz w:val="20"/>
                <w:szCs w:val="20"/>
              </w:rPr>
            </w:pPr>
          </w:p>
          <w:p w14:paraId="1916C3C5" w14:textId="768B9E39" w:rsidR="65D9A205" w:rsidRDefault="65D9A205" w:rsidP="65D9A205">
            <w:pPr>
              <w:rPr>
                <w:rFonts w:eastAsia="Calibri" w:cs="Calibri"/>
                <w:color w:val="000000"/>
                <w:sz w:val="20"/>
                <w:szCs w:val="20"/>
              </w:rPr>
            </w:pPr>
          </w:p>
          <w:p w14:paraId="44E7B58E" w14:textId="5F6BA2C8" w:rsidR="65D9A205" w:rsidRDefault="65D9A205" w:rsidP="65D9A205">
            <w:pPr>
              <w:rPr>
                <w:rFonts w:eastAsia="Calibri" w:cs="Calibri"/>
                <w:color w:val="000000"/>
                <w:sz w:val="20"/>
                <w:szCs w:val="20"/>
              </w:rPr>
            </w:pPr>
          </w:p>
          <w:p w14:paraId="7DC10299" w14:textId="79EFB935" w:rsidR="65D9A205" w:rsidRDefault="65D9A205" w:rsidP="65D9A205">
            <w:pPr>
              <w:rPr>
                <w:rFonts w:eastAsia="Calibri" w:cs="Calibri"/>
                <w:color w:val="000000"/>
                <w:sz w:val="20"/>
                <w:szCs w:val="20"/>
              </w:rPr>
            </w:pPr>
          </w:p>
          <w:p w14:paraId="3702E5D2" w14:textId="504D4E14" w:rsidR="65D9A205" w:rsidRDefault="65D9A205" w:rsidP="65D9A205">
            <w:pPr>
              <w:rPr>
                <w:rFonts w:eastAsia="Calibri" w:cs="Calibri"/>
                <w:color w:val="000000"/>
                <w:sz w:val="20"/>
                <w:szCs w:val="20"/>
              </w:rPr>
            </w:pPr>
          </w:p>
          <w:p w14:paraId="32952F6B" w14:textId="31FBA12F" w:rsidR="65D9A205" w:rsidRDefault="65D9A205" w:rsidP="65D9A205">
            <w:pPr>
              <w:rPr>
                <w:rFonts w:eastAsia="Calibri" w:cs="Calibri"/>
                <w:color w:val="000000"/>
                <w:sz w:val="20"/>
                <w:szCs w:val="20"/>
              </w:rPr>
            </w:pPr>
          </w:p>
        </w:tc>
      </w:tr>
      <w:tr w:rsidR="65D9A205" w14:paraId="3055AF54" w14:textId="77777777" w:rsidTr="45CDE7E8">
        <w:trPr>
          <w:trHeight w:val="1440"/>
        </w:trPr>
        <w:tc>
          <w:tcPr>
            <w:tcW w:w="1290" w:type="dxa"/>
            <w:vMerge/>
            <w:vAlign w:val="center"/>
          </w:tcPr>
          <w:p w14:paraId="4848B3E6" w14:textId="77777777" w:rsidR="00817477" w:rsidRDefault="00817477"/>
        </w:tc>
        <w:tc>
          <w:tcPr>
            <w:tcW w:w="6150" w:type="dxa"/>
            <w:tcBorders>
              <w:top w:val="single" w:sz="6" w:space="0" w:color="auto"/>
              <w:left w:val="nil"/>
              <w:bottom w:val="single" w:sz="6" w:space="0" w:color="auto"/>
              <w:right w:val="single" w:sz="12" w:space="0" w:color="auto"/>
            </w:tcBorders>
            <w:shd w:val="clear" w:color="auto" w:fill="FBE4D5"/>
            <w:tcMar>
              <w:left w:w="105" w:type="dxa"/>
              <w:right w:w="105" w:type="dxa"/>
            </w:tcMar>
            <w:vAlign w:val="bottom"/>
          </w:tcPr>
          <w:p w14:paraId="56546917" w14:textId="55FC354F" w:rsidR="65D9A205" w:rsidRDefault="65D9A205" w:rsidP="65D9A205">
            <w:pPr>
              <w:rPr>
                <w:rFonts w:eastAsia="Calibri" w:cs="Calibri"/>
                <w:color w:val="000000"/>
                <w:sz w:val="20"/>
                <w:szCs w:val="20"/>
              </w:rPr>
            </w:pPr>
            <w:r w:rsidRPr="65D9A205">
              <w:rPr>
                <w:rFonts w:eastAsia="Calibri" w:cs="Calibri"/>
                <w:color w:val="000000"/>
                <w:sz w:val="20"/>
                <w:szCs w:val="20"/>
              </w:rPr>
              <w:t>Thinking about the kinds of strong national actions that might be relevant to AMR (for example controls on certain uses of antimicrobials or initiatives to change professional practices), can you think of examples from the past (prior to FF) and/or not motivated by surveillance data?  PROBE: (Refer to any examples suggested by MSA analysis or other information gathered)  If yes, please give details. PROBE: what is different now / what motivates action if not surveillance data?</w:t>
            </w:r>
          </w:p>
        </w:tc>
        <w:tc>
          <w:tcPr>
            <w:tcW w:w="6150" w:type="dxa"/>
            <w:vMerge/>
            <w:vAlign w:val="center"/>
          </w:tcPr>
          <w:p w14:paraId="0B5EB04B" w14:textId="77777777" w:rsidR="00817477" w:rsidRDefault="00817477"/>
        </w:tc>
      </w:tr>
      <w:tr w:rsidR="65D9A205" w14:paraId="31E2343D" w14:textId="77777777" w:rsidTr="45CDE7E8">
        <w:trPr>
          <w:trHeight w:val="1305"/>
        </w:trPr>
        <w:tc>
          <w:tcPr>
            <w:tcW w:w="1290" w:type="dxa"/>
            <w:vMerge w:val="restart"/>
            <w:tcBorders>
              <w:top w:val="nil"/>
              <w:left w:val="single" w:sz="12" w:space="0" w:color="auto"/>
              <w:right w:val="single" w:sz="6" w:space="0" w:color="auto"/>
            </w:tcBorders>
            <w:shd w:val="clear" w:color="auto" w:fill="FBE4D5"/>
            <w:tcMar>
              <w:left w:w="105" w:type="dxa"/>
              <w:right w:w="105" w:type="dxa"/>
            </w:tcMar>
          </w:tcPr>
          <w:p w14:paraId="0D54C109" w14:textId="70B37DA0" w:rsidR="65D9A205" w:rsidRDefault="65D9A205" w:rsidP="65D9A205">
            <w:pPr>
              <w:rPr>
                <w:rFonts w:eastAsia="Calibri" w:cs="Calibri"/>
                <w:color w:val="000000"/>
                <w:sz w:val="20"/>
                <w:szCs w:val="20"/>
              </w:rPr>
            </w:pPr>
            <w:r w:rsidRPr="65D9A205">
              <w:rPr>
                <w:rFonts w:eastAsia="Calibri" w:cs="Calibri"/>
                <w:color w:val="000000"/>
                <w:sz w:val="20"/>
                <w:szCs w:val="20"/>
              </w:rPr>
              <w:t>Sharing of data with relevant committees</w:t>
            </w:r>
          </w:p>
          <w:p w14:paraId="7A519586" w14:textId="53CCD65D" w:rsidR="65D9A205" w:rsidRDefault="65D9A205" w:rsidP="65D9A205">
            <w:pPr>
              <w:rPr>
                <w:rFonts w:eastAsia="Calibri" w:cs="Calibri"/>
                <w:color w:val="000000"/>
                <w:sz w:val="20"/>
                <w:szCs w:val="20"/>
              </w:rPr>
            </w:pPr>
            <w:r w:rsidRPr="65D9A205">
              <w:rPr>
                <w:rFonts w:eastAsia="Calibri" w:cs="Calibri"/>
                <w:color w:val="000000"/>
                <w:sz w:val="20"/>
                <w:szCs w:val="20"/>
              </w:rPr>
              <w:t>(only for Policy fellows HI)</w:t>
            </w:r>
          </w:p>
        </w:tc>
        <w:tc>
          <w:tcPr>
            <w:tcW w:w="6150" w:type="dxa"/>
            <w:tcBorders>
              <w:top w:val="single" w:sz="6" w:space="0" w:color="auto"/>
              <w:left w:val="single" w:sz="6" w:space="0" w:color="auto"/>
              <w:bottom w:val="single" w:sz="6" w:space="0" w:color="auto"/>
              <w:right w:val="single" w:sz="12" w:space="0" w:color="auto"/>
            </w:tcBorders>
            <w:shd w:val="clear" w:color="auto" w:fill="FCE4D6"/>
            <w:tcMar>
              <w:left w:w="105" w:type="dxa"/>
              <w:right w:w="105" w:type="dxa"/>
            </w:tcMar>
            <w:vAlign w:val="bottom"/>
          </w:tcPr>
          <w:p w14:paraId="36B97584" w14:textId="12514D5D"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were the </w:t>
            </w:r>
            <w:r w:rsidRPr="65D9A205">
              <w:rPr>
                <w:rFonts w:eastAsia="Calibri" w:cs="Calibri"/>
                <w:b/>
                <w:bCs/>
                <w:color w:val="000000"/>
                <w:sz w:val="20"/>
                <w:szCs w:val="20"/>
              </w:rPr>
              <w:t>key change drivers/factors</w:t>
            </w:r>
            <w:r w:rsidRPr="65D9A205">
              <w:rPr>
                <w:rFonts w:eastAsia="Calibri" w:cs="Calibri"/>
                <w:color w:val="000000"/>
                <w:sz w:val="20"/>
                <w:szCs w:val="20"/>
              </w:rPr>
              <w:t xml:space="preserve">, </w:t>
            </w:r>
            <w:r w:rsidRPr="65D9A205">
              <w:rPr>
                <w:rFonts w:eastAsia="Calibri" w:cs="Calibri"/>
                <w:b/>
                <w:bCs/>
                <w:color w:val="000000"/>
                <w:sz w:val="20"/>
                <w:szCs w:val="20"/>
              </w:rPr>
              <w:t>in order of importance</w:t>
            </w:r>
            <w:r w:rsidRPr="65D9A205">
              <w:rPr>
                <w:rFonts w:eastAsia="Calibri" w:cs="Calibri"/>
                <w:color w:val="000000"/>
                <w:sz w:val="20"/>
                <w:szCs w:val="20"/>
              </w:rPr>
              <w:t>, behind such change? Probes: more and better data available from the surveillance system (in which case refer to QUANT &amp; QUAL contribution stories), increased access, increased willingness to share data, increased capacity to analyse data, increase demand, momentum etc</w:t>
            </w:r>
          </w:p>
        </w:tc>
        <w:tc>
          <w:tcPr>
            <w:tcW w:w="6150" w:type="dxa"/>
            <w:vMerge w:val="restart"/>
            <w:tcBorders>
              <w:top w:val="nil"/>
              <w:left w:val="single" w:sz="12" w:space="0" w:color="auto"/>
              <w:right w:val="single" w:sz="12" w:space="0" w:color="auto"/>
            </w:tcBorders>
            <w:shd w:val="clear" w:color="auto" w:fill="FCE4D6"/>
            <w:tcMar>
              <w:left w:w="105" w:type="dxa"/>
              <w:right w:w="105" w:type="dxa"/>
            </w:tcMar>
          </w:tcPr>
          <w:p w14:paraId="57AFAFBA" w14:textId="2588D331" w:rsidR="65D9A205" w:rsidRDefault="65D9A205" w:rsidP="65D9A205">
            <w:pPr>
              <w:rPr>
                <w:rFonts w:eastAsia="Calibri" w:cs="Calibri"/>
                <w:color w:val="000000"/>
                <w:sz w:val="20"/>
                <w:szCs w:val="20"/>
              </w:rPr>
            </w:pPr>
          </w:p>
        </w:tc>
      </w:tr>
      <w:tr w:rsidR="65D9A205" w14:paraId="58C0E3B3" w14:textId="77777777" w:rsidTr="45CDE7E8">
        <w:trPr>
          <w:trHeight w:val="1305"/>
        </w:trPr>
        <w:tc>
          <w:tcPr>
            <w:tcW w:w="1290" w:type="dxa"/>
            <w:vMerge/>
            <w:vAlign w:val="center"/>
          </w:tcPr>
          <w:p w14:paraId="23CAF3E1" w14:textId="77777777" w:rsidR="00817477" w:rsidRDefault="00817477"/>
        </w:tc>
        <w:tc>
          <w:tcPr>
            <w:tcW w:w="6150" w:type="dxa"/>
            <w:tcBorders>
              <w:top w:val="single" w:sz="6" w:space="0" w:color="auto"/>
              <w:left w:val="nil"/>
              <w:bottom w:val="single" w:sz="6" w:space="0" w:color="auto"/>
              <w:right w:val="single" w:sz="12" w:space="0" w:color="auto"/>
            </w:tcBorders>
            <w:shd w:val="clear" w:color="auto" w:fill="FCE4D6"/>
            <w:tcMar>
              <w:left w:w="105" w:type="dxa"/>
              <w:right w:w="105" w:type="dxa"/>
            </w:tcMar>
            <w:vAlign w:val="bottom"/>
          </w:tcPr>
          <w:p w14:paraId="0A3118A2" w14:textId="00EE69F1"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 to those drivers</w:t>
            </w:r>
            <w:r w:rsidRPr="65D9A205">
              <w:rPr>
                <w:rFonts w:eastAsia="Calibri" w:cs="Calibri"/>
                <w:color w:val="000000"/>
                <w:sz w:val="20"/>
                <w:szCs w:val="20"/>
              </w:rPr>
              <w:t>?</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150" w:type="dxa"/>
            <w:vMerge/>
            <w:vAlign w:val="center"/>
          </w:tcPr>
          <w:p w14:paraId="449B29CF" w14:textId="77777777" w:rsidR="00817477" w:rsidRDefault="00817477"/>
        </w:tc>
      </w:tr>
      <w:tr w:rsidR="65D9A205" w14:paraId="1AAEA6E7" w14:textId="77777777" w:rsidTr="45CDE7E8">
        <w:trPr>
          <w:trHeight w:val="60"/>
        </w:trPr>
        <w:tc>
          <w:tcPr>
            <w:tcW w:w="1290" w:type="dxa"/>
            <w:vMerge/>
            <w:vAlign w:val="center"/>
          </w:tcPr>
          <w:p w14:paraId="38F608A3" w14:textId="77777777" w:rsidR="00817477" w:rsidRDefault="00817477"/>
        </w:tc>
        <w:tc>
          <w:tcPr>
            <w:tcW w:w="6150" w:type="dxa"/>
            <w:tcBorders>
              <w:top w:val="single" w:sz="6" w:space="0" w:color="auto"/>
              <w:left w:val="nil"/>
              <w:bottom w:val="single" w:sz="6" w:space="0" w:color="auto"/>
              <w:right w:val="single" w:sz="12" w:space="0" w:color="auto"/>
            </w:tcBorders>
            <w:shd w:val="clear" w:color="auto" w:fill="FCE4D6"/>
            <w:tcMar>
              <w:left w:w="105" w:type="dxa"/>
              <w:right w:w="105" w:type="dxa"/>
            </w:tcMar>
            <w:vAlign w:val="bottom"/>
          </w:tcPr>
          <w:p w14:paraId="2C111EC3" w14:textId="60E61918"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 xml:space="preserve">no or negative change </w:t>
            </w:r>
            <w:r w:rsidRPr="65D9A205">
              <w:rPr>
                <w:rFonts w:eastAsia="Calibri" w:cs="Calibri"/>
                <w:color w:val="000000"/>
                <w:sz w:val="20"/>
                <w:szCs w:val="20"/>
              </w:rPr>
              <w:t xml:space="preserve">in this area, </w:t>
            </w:r>
            <w:r w:rsidRPr="65D9A205">
              <w:rPr>
                <w:rFonts w:eastAsia="Calibri" w:cs="Calibri"/>
                <w:b/>
                <w:bCs/>
                <w:color w:val="000000"/>
                <w:sz w:val="20"/>
                <w:szCs w:val="20"/>
              </w:rPr>
              <w:t>why</w:t>
            </w:r>
            <w:r w:rsidRPr="65D9A205">
              <w:rPr>
                <w:rFonts w:eastAsia="Calibri" w:cs="Calibri"/>
                <w:color w:val="000000"/>
                <w:sz w:val="20"/>
                <w:szCs w:val="20"/>
              </w:rPr>
              <w:t xml:space="preserve"> was that? And what has the FF and others done to improve the situation?</w:t>
            </w:r>
          </w:p>
        </w:tc>
        <w:tc>
          <w:tcPr>
            <w:tcW w:w="6150" w:type="dxa"/>
            <w:vMerge/>
            <w:vAlign w:val="center"/>
          </w:tcPr>
          <w:p w14:paraId="0395C401" w14:textId="77777777" w:rsidR="00817477" w:rsidRDefault="00817477"/>
        </w:tc>
      </w:tr>
      <w:tr w:rsidR="65D9A205" w14:paraId="62289440" w14:textId="77777777" w:rsidTr="45CDE7E8">
        <w:trPr>
          <w:trHeight w:val="1830"/>
        </w:trPr>
        <w:tc>
          <w:tcPr>
            <w:tcW w:w="1290" w:type="dxa"/>
            <w:vMerge w:val="restart"/>
            <w:tcBorders>
              <w:top w:val="nil"/>
              <w:left w:val="single" w:sz="12" w:space="0" w:color="auto"/>
              <w:right w:val="single" w:sz="6" w:space="0" w:color="auto"/>
            </w:tcBorders>
            <w:shd w:val="clear" w:color="auto" w:fill="FBE4D5"/>
            <w:tcMar>
              <w:left w:w="105" w:type="dxa"/>
              <w:right w:w="105" w:type="dxa"/>
            </w:tcMar>
          </w:tcPr>
          <w:p w14:paraId="275A2A60" w14:textId="329E2658"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p w14:paraId="0EAAA048" w14:textId="427B5C75" w:rsidR="65D9A205" w:rsidRDefault="65D9A205" w:rsidP="65D9A205">
            <w:pPr>
              <w:rPr>
                <w:rFonts w:eastAsia="Calibri" w:cs="Calibri"/>
                <w:color w:val="000000"/>
                <w:sz w:val="20"/>
                <w:szCs w:val="20"/>
              </w:rPr>
            </w:pPr>
            <w:r w:rsidRPr="65D9A205">
              <w:rPr>
                <w:rFonts w:eastAsia="Calibri" w:cs="Calibri"/>
                <w:color w:val="000000"/>
                <w:sz w:val="20"/>
                <w:szCs w:val="20"/>
              </w:rPr>
              <w:t>(only for Policy fellows HI)</w:t>
            </w:r>
          </w:p>
          <w:p w14:paraId="505AC5D8" w14:textId="01088883" w:rsidR="65D9A205" w:rsidRDefault="65D9A205" w:rsidP="65D9A205">
            <w:pPr>
              <w:rPr>
                <w:rFonts w:eastAsia="Calibri" w:cs="Calibri"/>
                <w:color w:val="000000"/>
                <w:sz w:val="20"/>
                <w:szCs w:val="20"/>
              </w:rPr>
            </w:pPr>
          </w:p>
        </w:tc>
        <w:tc>
          <w:tcPr>
            <w:tcW w:w="6150" w:type="dxa"/>
            <w:tcBorders>
              <w:top w:val="single" w:sz="6" w:space="0" w:color="auto"/>
              <w:left w:val="single" w:sz="6" w:space="0" w:color="auto"/>
              <w:bottom w:val="single" w:sz="6" w:space="0" w:color="auto"/>
              <w:right w:val="single" w:sz="12" w:space="0" w:color="auto"/>
            </w:tcBorders>
            <w:shd w:val="clear" w:color="auto" w:fill="FBE4D5"/>
            <w:tcMar>
              <w:left w:w="105" w:type="dxa"/>
              <w:right w:w="105" w:type="dxa"/>
            </w:tcMar>
            <w:vAlign w:val="bottom"/>
          </w:tcPr>
          <w:p w14:paraId="4A64CE6D" w14:textId="6D09BA70" w:rsidR="65D9A205" w:rsidRDefault="65D9A205" w:rsidP="65D9A205">
            <w:pPr>
              <w:rPr>
                <w:rFonts w:eastAsia="Calibri" w:cs="Calibri"/>
                <w:color w:val="000000"/>
                <w:sz w:val="20"/>
                <w:szCs w:val="20"/>
              </w:rPr>
            </w:pPr>
            <w:r w:rsidRPr="65D9A205">
              <w:rPr>
                <w:rFonts w:eastAsia="Calibri" w:cs="Calibri"/>
                <w:color w:val="000000"/>
                <w:sz w:val="20"/>
                <w:szCs w:val="20"/>
              </w:rPr>
              <w:t xml:space="preserve">Would you say that the </w:t>
            </w:r>
            <w:r w:rsidRPr="65D9A205">
              <w:rPr>
                <w:rFonts w:eastAsia="Calibri" w:cs="Calibri"/>
                <w:b/>
                <w:bCs/>
                <w:color w:val="000000"/>
                <w:sz w:val="20"/>
                <w:szCs w:val="20"/>
              </w:rPr>
              <w:t xml:space="preserve">national AMR effort includes a clear and effective strategy for informing specific national actions using surveillance data? </w:t>
            </w:r>
            <w:r w:rsidRPr="65D9A205">
              <w:rPr>
                <w:rFonts w:eastAsia="Calibri" w:cs="Calibri"/>
                <w:color w:val="000000"/>
                <w:sz w:val="20"/>
                <w:szCs w:val="20"/>
              </w:rPr>
              <w:t>o eg as opposed to international reporting or local clinical practice</w:t>
            </w:r>
            <w:r>
              <w:br/>
            </w:r>
            <w:r w:rsidRPr="65D9A205">
              <w:rPr>
                <w:rFonts w:eastAsia="Calibri" w:cs="Calibri"/>
                <w:color w:val="000000"/>
                <w:sz w:val="20"/>
                <w:szCs w:val="20"/>
              </w:rPr>
              <w:t>o If yes, how? What policy initiatives? What regulatory initiatives? What approach has been chosen to address practices and attitudes? (What approaches have been discarded?)</w:t>
            </w:r>
            <w:r>
              <w:br/>
            </w:r>
            <w:r w:rsidRPr="65D9A205">
              <w:rPr>
                <w:rFonts w:eastAsia="Calibri" w:cs="Calibri"/>
                <w:color w:val="000000"/>
                <w:sz w:val="20"/>
                <w:szCs w:val="20"/>
              </w:rPr>
              <w:t>o PROBE: are sectoral distinctions important, for example policy for gradual development of guidelines in human health but focused push to regulate certain antimicrobial uses in animal health?</w:t>
            </w:r>
          </w:p>
        </w:tc>
        <w:tc>
          <w:tcPr>
            <w:tcW w:w="6150" w:type="dxa"/>
            <w:tcBorders>
              <w:top w:val="nil"/>
              <w:left w:val="single" w:sz="12" w:space="0" w:color="auto"/>
              <w:bottom w:val="single" w:sz="6" w:space="0" w:color="auto"/>
              <w:right w:val="single" w:sz="12" w:space="0" w:color="auto"/>
            </w:tcBorders>
            <w:shd w:val="clear" w:color="auto" w:fill="FBE4D5"/>
            <w:tcMar>
              <w:left w:w="105" w:type="dxa"/>
              <w:right w:w="105" w:type="dxa"/>
            </w:tcMar>
          </w:tcPr>
          <w:p w14:paraId="09A062BE" w14:textId="77D0F606" w:rsidR="65D9A205" w:rsidRDefault="65D9A205" w:rsidP="65D9A205">
            <w:pPr>
              <w:rPr>
                <w:rFonts w:eastAsia="Calibri" w:cs="Calibri"/>
                <w:color w:val="000000"/>
                <w:sz w:val="20"/>
                <w:szCs w:val="20"/>
              </w:rPr>
            </w:pPr>
          </w:p>
        </w:tc>
      </w:tr>
      <w:tr w:rsidR="65D9A205" w14:paraId="241E96B9" w14:textId="77777777" w:rsidTr="45CDE7E8">
        <w:trPr>
          <w:trHeight w:val="2040"/>
        </w:trPr>
        <w:tc>
          <w:tcPr>
            <w:tcW w:w="1290" w:type="dxa"/>
            <w:vMerge/>
            <w:vAlign w:val="center"/>
          </w:tcPr>
          <w:p w14:paraId="2645EA23" w14:textId="77777777" w:rsidR="00817477" w:rsidRDefault="00817477"/>
        </w:tc>
        <w:tc>
          <w:tcPr>
            <w:tcW w:w="6150" w:type="dxa"/>
            <w:tcBorders>
              <w:top w:val="single" w:sz="6" w:space="0" w:color="auto"/>
              <w:left w:val="nil"/>
              <w:bottom w:val="single" w:sz="6" w:space="0" w:color="auto"/>
              <w:right w:val="single" w:sz="12" w:space="0" w:color="auto"/>
            </w:tcBorders>
            <w:shd w:val="clear" w:color="auto" w:fill="FBE4D5"/>
            <w:tcMar>
              <w:left w:w="105" w:type="dxa"/>
              <w:right w:w="105" w:type="dxa"/>
            </w:tcMar>
            <w:vAlign w:val="bottom"/>
          </w:tcPr>
          <w:p w14:paraId="01FDEDE7" w14:textId="36EBBA8F" w:rsidR="65D9A205" w:rsidRDefault="65D9A205" w:rsidP="65D9A205">
            <w:pPr>
              <w:rPr>
                <w:rFonts w:eastAsia="Calibri" w:cs="Calibri"/>
                <w:color w:val="000000"/>
                <w:sz w:val="20"/>
                <w:szCs w:val="20"/>
              </w:rPr>
            </w:pPr>
            <w:r w:rsidRPr="65D9A205">
              <w:rPr>
                <w:rFonts w:eastAsia="Calibri" w:cs="Calibri"/>
                <w:b/>
                <w:bCs/>
                <w:color w:val="000000"/>
                <w:sz w:val="20"/>
                <w:szCs w:val="20"/>
              </w:rPr>
              <w:t>What do you think should be the future priorities for the Fleming Fund when supporting national AMR actions using surveillance data?</w:t>
            </w:r>
            <w:r w:rsidRPr="65D9A205">
              <w:rPr>
                <w:rFonts w:eastAsia="Calibri" w:cs="Calibri"/>
                <w:color w:val="000000"/>
                <w:sz w:val="20"/>
                <w:szCs w:val="20"/>
              </w:rPr>
              <w:t xml:space="preserve"> PROBES: </w:t>
            </w:r>
            <w:r>
              <w:br/>
            </w:r>
            <w:r w:rsidRPr="65D9A205">
              <w:rPr>
                <w:rFonts w:eastAsia="Calibri" w:cs="Calibri"/>
                <w:color w:val="000000"/>
                <w:sz w:val="20"/>
                <w:szCs w:val="20"/>
              </w:rPr>
              <w:t>o Do you think that it will be more effective to foster local change (‘bottom up’) or to concentrate on motivating national initiatives (‘top down’)</w:t>
            </w:r>
            <w:r>
              <w:br/>
            </w:r>
            <w:r w:rsidRPr="65D9A205">
              <w:rPr>
                <w:rFonts w:eastAsia="Calibri" w:cs="Calibri"/>
                <w:color w:val="000000"/>
                <w:sz w:val="20"/>
                <w:szCs w:val="20"/>
              </w:rPr>
              <w:t>o Will the data show a need for action (‘push’) or will intended actions show what data is needed (‘pull’)?</w:t>
            </w:r>
            <w:r>
              <w:br/>
            </w:r>
            <w:r w:rsidRPr="65D9A205">
              <w:rPr>
                <w:rFonts w:eastAsia="Calibri" w:cs="Calibri"/>
                <w:color w:val="000000"/>
                <w:sz w:val="20"/>
                <w:szCs w:val="20"/>
              </w:rPr>
              <w:t>o What is more important, Infection Prevention &amp; Control (IPC) or Antimicrobial Use controls (AMU)?</w:t>
            </w:r>
            <w:r>
              <w:br/>
            </w:r>
            <w:r w:rsidRPr="65D9A205">
              <w:rPr>
                <w:rFonts w:eastAsia="Calibri" w:cs="Calibri"/>
                <w:color w:val="000000"/>
                <w:sz w:val="20"/>
                <w:szCs w:val="20"/>
              </w:rPr>
              <w:t>o Why? What approaches would be required to address these priorities?</w:t>
            </w:r>
          </w:p>
        </w:tc>
        <w:tc>
          <w:tcPr>
            <w:tcW w:w="6150" w:type="dxa"/>
            <w:tcBorders>
              <w:top w:val="single" w:sz="6" w:space="0" w:color="auto"/>
              <w:left w:val="single" w:sz="12" w:space="0" w:color="auto"/>
              <w:bottom w:val="single" w:sz="6" w:space="0" w:color="auto"/>
              <w:right w:val="single" w:sz="12" w:space="0" w:color="auto"/>
            </w:tcBorders>
            <w:shd w:val="clear" w:color="auto" w:fill="FBE4D5"/>
            <w:tcMar>
              <w:left w:w="105" w:type="dxa"/>
              <w:right w:w="105" w:type="dxa"/>
            </w:tcMar>
          </w:tcPr>
          <w:p w14:paraId="7E352CA6" w14:textId="33A9828C" w:rsidR="65D9A205" w:rsidRDefault="65D9A205" w:rsidP="65D9A205">
            <w:pPr>
              <w:rPr>
                <w:rFonts w:eastAsia="Calibri" w:cs="Calibri"/>
                <w:color w:val="000000"/>
                <w:sz w:val="20"/>
                <w:szCs w:val="20"/>
              </w:rPr>
            </w:pPr>
          </w:p>
        </w:tc>
      </w:tr>
      <w:tr w:rsidR="65D9A205" w14:paraId="1DE561B8" w14:textId="77777777" w:rsidTr="45CDE7E8">
        <w:trPr>
          <w:trHeight w:val="1035"/>
        </w:trPr>
        <w:tc>
          <w:tcPr>
            <w:tcW w:w="1290" w:type="dxa"/>
            <w:vMerge/>
            <w:vAlign w:val="center"/>
          </w:tcPr>
          <w:p w14:paraId="45D89939" w14:textId="77777777" w:rsidR="00817477" w:rsidRDefault="00817477"/>
        </w:tc>
        <w:tc>
          <w:tcPr>
            <w:tcW w:w="6150" w:type="dxa"/>
            <w:tcBorders>
              <w:top w:val="single" w:sz="6" w:space="0" w:color="auto"/>
              <w:left w:val="nil"/>
              <w:bottom w:val="single" w:sz="6" w:space="0" w:color="auto"/>
              <w:right w:val="single" w:sz="12" w:space="0" w:color="auto"/>
            </w:tcBorders>
            <w:shd w:val="clear" w:color="auto" w:fill="FBE4D5"/>
            <w:tcMar>
              <w:left w:w="105" w:type="dxa"/>
              <w:right w:w="105" w:type="dxa"/>
            </w:tcMar>
            <w:vAlign w:val="bottom"/>
          </w:tcPr>
          <w:p w14:paraId="2EE40215" w14:textId="545DDA9E" w:rsidR="65D9A205" w:rsidRDefault="65D9A205" w:rsidP="65D9A205">
            <w:pPr>
              <w:rPr>
                <w:rFonts w:eastAsia="Calibri" w:cs="Calibri"/>
                <w:color w:val="000000"/>
                <w:sz w:val="20"/>
                <w:szCs w:val="20"/>
              </w:rPr>
            </w:pPr>
            <w:r w:rsidRPr="65D9A205">
              <w:rPr>
                <w:rFonts w:eastAsia="Calibri" w:cs="Calibri"/>
                <w:color w:val="000000"/>
                <w:sz w:val="20"/>
                <w:szCs w:val="20"/>
              </w:rPr>
              <w:t xml:space="preserve">Do you think that the Fleming Fund has already established </w:t>
            </w:r>
            <w:r w:rsidRPr="65D9A205">
              <w:rPr>
                <w:rFonts w:eastAsia="Calibri" w:cs="Calibri"/>
                <w:b/>
                <w:bCs/>
                <w:color w:val="000000"/>
                <w:sz w:val="20"/>
                <w:szCs w:val="20"/>
              </w:rPr>
              <w:t>clear expectations for programme partners about how national uses of AMR surveillance data should be promoted?</w:t>
            </w:r>
            <w:r w:rsidRPr="65D9A205">
              <w:rPr>
                <w:rFonts w:eastAsia="Calibri" w:cs="Calibri"/>
                <w:color w:val="000000"/>
                <w:sz w:val="20"/>
                <w:szCs w:val="20"/>
              </w:rPr>
              <w:t xml:space="preserve">  If yes, what are the expectations and how have they been established?</w:t>
            </w:r>
          </w:p>
        </w:tc>
        <w:tc>
          <w:tcPr>
            <w:tcW w:w="6150" w:type="dxa"/>
            <w:tcBorders>
              <w:top w:val="single" w:sz="6" w:space="0" w:color="auto"/>
              <w:left w:val="single" w:sz="12" w:space="0" w:color="auto"/>
              <w:bottom w:val="single" w:sz="6" w:space="0" w:color="auto"/>
              <w:right w:val="single" w:sz="12" w:space="0" w:color="auto"/>
            </w:tcBorders>
            <w:shd w:val="clear" w:color="auto" w:fill="FBE4D5"/>
            <w:tcMar>
              <w:left w:w="105" w:type="dxa"/>
              <w:right w:w="105" w:type="dxa"/>
            </w:tcMar>
          </w:tcPr>
          <w:p w14:paraId="042C21C7" w14:textId="74AA1D7F" w:rsidR="65D9A205" w:rsidRDefault="65D9A205" w:rsidP="65D9A205">
            <w:pPr>
              <w:rPr>
                <w:rFonts w:eastAsia="Calibri" w:cs="Calibri"/>
                <w:color w:val="000000"/>
                <w:sz w:val="20"/>
                <w:szCs w:val="20"/>
              </w:rPr>
            </w:pPr>
          </w:p>
        </w:tc>
      </w:tr>
      <w:tr w:rsidR="65D9A205" w14:paraId="577C42DD" w14:textId="77777777" w:rsidTr="45CDE7E8">
        <w:trPr>
          <w:trHeight w:val="1035"/>
        </w:trPr>
        <w:tc>
          <w:tcPr>
            <w:tcW w:w="1290" w:type="dxa"/>
            <w:vMerge/>
            <w:vAlign w:val="center"/>
          </w:tcPr>
          <w:p w14:paraId="0A124178" w14:textId="77777777" w:rsidR="00817477" w:rsidRDefault="00817477"/>
        </w:tc>
        <w:tc>
          <w:tcPr>
            <w:tcW w:w="6150" w:type="dxa"/>
            <w:tcBorders>
              <w:top w:val="single" w:sz="6" w:space="0" w:color="auto"/>
              <w:left w:val="nil"/>
              <w:bottom w:val="single" w:sz="6" w:space="0" w:color="auto"/>
              <w:right w:val="single" w:sz="12" w:space="0" w:color="auto"/>
            </w:tcBorders>
            <w:shd w:val="clear" w:color="auto" w:fill="FBE4D5"/>
            <w:tcMar>
              <w:left w:w="105" w:type="dxa"/>
              <w:right w:w="105" w:type="dxa"/>
            </w:tcMar>
            <w:vAlign w:val="bottom"/>
          </w:tcPr>
          <w:p w14:paraId="699E3636" w14:textId="3C437DBA" w:rsidR="65D9A205" w:rsidRDefault="65D9A205" w:rsidP="65D9A205">
            <w:pPr>
              <w:rPr>
                <w:rFonts w:eastAsia="Calibri" w:cs="Calibri"/>
                <w:color w:val="000000"/>
                <w:sz w:val="20"/>
                <w:szCs w:val="20"/>
              </w:rPr>
            </w:pPr>
            <w:r w:rsidRPr="65D9A205">
              <w:rPr>
                <w:rFonts w:eastAsia="Calibri" w:cs="Calibri"/>
                <w:color w:val="000000"/>
                <w:sz w:val="20"/>
                <w:szCs w:val="20"/>
              </w:rPr>
              <w:t>Do you think that your organisation’s interests and capabilities suggest specific opportunities and strengths for future Fleming Fund efforts to support national AMR actions using surveillance data?  o If yes, what are they?</w:t>
            </w:r>
          </w:p>
        </w:tc>
        <w:tc>
          <w:tcPr>
            <w:tcW w:w="6150" w:type="dxa"/>
            <w:tcBorders>
              <w:top w:val="single" w:sz="6" w:space="0" w:color="auto"/>
              <w:left w:val="single" w:sz="12" w:space="0" w:color="auto"/>
              <w:bottom w:val="single" w:sz="6" w:space="0" w:color="auto"/>
              <w:right w:val="single" w:sz="12" w:space="0" w:color="auto"/>
            </w:tcBorders>
            <w:shd w:val="clear" w:color="auto" w:fill="FBE4D5"/>
            <w:tcMar>
              <w:left w:w="105" w:type="dxa"/>
              <w:right w:w="105" w:type="dxa"/>
            </w:tcMar>
          </w:tcPr>
          <w:p w14:paraId="4B8E732E" w14:textId="0E8C2ECD" w:rsidR="65D9A205" w:rsidRDefault="65D9A205" w:rsidP="65D9A205">
            <w:pPr>
              <w:rPr>
                <w:rFonts w:eastAsia="Calibri" w:cs="Calibri"/>
                <w:color w:val="000000"/>
                <w:sz w:val="20"/>
                <w:szCs w:val="20"/>
              </w:rPr>
            </w:pPr>
          </w:p>
        </w:tc>
      </w:tr>
    </w:tbl>
    <w:p w14:paraId="5DE1C62D" w14:textId="30AB4E8D" w:rsidR="65D9A205" w:rsidRDefault="65D9A205" w:rsidP="65D9A205">
      <w:pPr>
        <w:rPr>
          <w:rFonts w:eastAsia="Calibri" w:cs="Calibri"/>
          <w:color w:val="000000"/>
          <w:sz w:val="24"/>
          <w:szCs w:val="24"/>
        </w:rPr>
      </w:pPr>
    </w:p>
    <w:p w14:paraId="20B051D2" w14:textId="77A732D1" w:rsidR="65D9A205" w:rsidRDefault="65D9A205" w:rsidP="65D9A205"/>
    <w:p w14:paraId="6F0C1376" w14:textId="3C2117EB" w:rsidR="65D9A205" w:rsidRDefault="65D9A205">
      <w:r>
        <w:br w:type="page"/>
      </w:r>
    </w:p>
    <w:p w14:paraId="6E0BEE08" w14:textId="34372086" w:rsidR="4CE1AD5B" w:rsidRPr="001B18E8" w:rsidRDefault="4CE1AD5B" w:rsidP="365D9676">
      <w:pPr>
        <w:pStyle w:val="ItadH3"/>
        <w:keepNext/>
        <w:spacing w:line="259" w:lineRule="auto"/>
        <w:rPr>
          <w:lang w:val="en-GB"/>
        </w:rPr>
      </w:pPr>
      <w:bookmarkStart w:id="473" w:name="_Toc142383257"/>
      <w:r w:rsidRPr="65D9A205">
        <w:rPr>
          <w:lang w:val="en-GB"/>
        </w:rPr>
        <w:t>KII Guide for MA Regional teams</w:t>
      </w:r>
      <w:bookmarkEnd w:id="473"/>
    </w:p>
    <w:p w14:paraId="7C66953A" w14:textId="0E4473BD" w:rsidR="65D9A205" w:rsidRDefault="6212DA76" w:rsidP="65D9A205">
      <w:pPr>
        <w:widowControl w:val="0"/>
        <w:spacing w:after="160" w:line="259" w:lineRule="auto"/>
        <w:jc w:val="both"/>
        <w:rPr>
          <w:rFonts w:ascii="Calibri Light" w:eastAsia="Calibri Light" w:hAnsi="Calibri Light" w:cs="Calibri Light"/>
          <w:color w:val="2F5496"/>
          <w:sz w:val="26"/>
          <w:szCs w:val="26"/>
        </w:rPr>
      </w:pPr>
      <w:r w:rsidRPr="65D9A205">
        <w:rPr>
          <w:rFonts w:ascii="Calibri Light" w:eastAsia="Calibri Light" w:hAnsi="Calibri Light" w:cs="Calibri Light"/>
          <w:color w:val="2F5496"/>
          <w:sz w:val="26"/>
          <w:szCs w:val="26"/>
        </w:rPr>
        <w:t>MA regional teams</w:t>
      </w:r>
    </w:p>
    <w:p w14:paraId="1CC88916" w14:textId="26319685" w:rsidR="6212DA76" w:rsidRDefault="6212DA76" w:rsidP="65D9A205">
      <w:pPr>
        <w:widowControl w:val="0"/>
        <w:spacing w:after="160" w:line="259" w:lineRule="auto"/>
        <w:jc w:val="both"/>
        <w:rPr>
          <w:rFonts w:eastAsia="Calibri" w:cs="Calibri"/>
          <w:color w:val="000000"/>
        </w:rPr>
      </w:pPr>
      <w:r w:rsidRPr="65D9A205">
        <w:rPr>
          <w:rFonts w:eastAsia="Calibri" w:cs="Calibri"/>
          <w:b/>
          <w:bCs/>
          <w:color w:val="000000"/>
        </w:rPr>
        <w:t>KII name:</w:t>
      </w:r>
    </w:p>
    <w:p w14:paraId="454175C7" w14:textId="1286FB53" w:rsidR="6212DA76" w:rsidRDefault="6212DA76" w:rsidP="65D9A205">
      <w:pPr>
        <w:widowControl w:val="0"/>
        <w:spacing w:after="160" w:line="259" w:lineRule="auto"/>
        <w:jc w:val="both"/>
        <w:rPr>
          <w:rFonts w:eastAsia="Calibri" w:cs="Calibri"/>
          <w:color w:val="000000"/>
        </w:rPr>
      </w:pPr>
      <w:r w:rsidRPr="65D9A205">
        <w:rPr>
          <w:rFonts w:eastAsia="Calibri" w:cs="Calibri"/>
          <w:b/>
          <w:bCs/>
          <w:color w:val="000000"/>
        </w:rPr>
        <w:t>KII date:</w:t>
      </w:r>
    </w:p>
    <w:p w14:paraId="28578D19" w14:textId="1638427F" w:rsidR="6212DA76" w:rsidRPr="001B7050" w:rsidRDefault="6212DA76" w:rsidP="65D9A205">
      <w:pPr>
        <w:widowControl w:val="0"/>
        <w:spacing w:after="160" w:line="259" w:lineRule="auto"/>
        <w:jc w:val="both"/>
        <w:rPr>
          <w:rFonts w:eastAsia="Calibri" w:cs="Calibri"/>
          <w:color w:val="000000"/>
        </w:rPr>
      </w:pPr>
      <w:r w:rsidRPr="001B7050">
        <w:rPr>
          <w:rFonts w:eastAsia="Calibri" w:cs="Calibri"/>
          <w:b/>
          <w:bCs/>
          <w:color w:val="000000"/>
        </w:rPr>
        <w:t>KII interviewer(s):</w:t>
      </w:r>
    </w:p>
    <w:p w14:paraId="4A37B820" w14:textId="0FAF6B29" w:rsidR="6212DA76" w:rsidRPr="001B7050" w:rsidRDefault="6212DA76" w:rsidP="65D9A205">
      <w:pPr>
        <w:spacing w:after="160" w:line="259" w:lineRule="auto"/>
        <w:rPr>
          <w:rFonts w:eastAsia="Calibri" w:cs="Calibri"/>
          <w:color w:val="000000"/>
        </w:rPr>
      </w:pPr>
      <w:r w:rsidRPr="001B7050">
        <w:rPr>
          <w:rFonts w:eastAsia="Calibri" w:cs="Calibri"/>
          <w:b/>
          <w:bCs/>
          <w:color w:val="000000"/>
        </w:rPr>
        <w:t>Introduction</w:t>
      </w:r>
      <w:r w:rsidRPr="001B7050">
        <w:rPr>
          <w:rFonts w:eastAsia="Calibri" w:cs="Calibri"/>
          <w:color w:val="000000"/>
        </w:rPr>
        <w:t xml:space="preserve"> – please adapt and summarise according to the stakeholder / her knowledge of the evaluation etc </w:t>
      </w:r>
      <w:r w:rsidRPr="001B7050">
        <w:rPr>
          <w:rFonts w:ascii="Times New Roman" w:eastAsia="Times New Roman" w:hAnsi="Times New Roman" w:cs="Times New Roman"/>
          <w:color w:val="000000"/>
          <w:sz w:val="24"/>
          <w:szCs w:val="24"/>
        </w:rPr>
        <w:t>–</w:t>
      </w:r>
      <w:r w:rsidRPr="001B7050">
        <w:rPr>
          <w:rFonts w:eastAsia="Calibri" w:cs="Calibri"/>
          <w:color w:val="000000"/>
        </w:rPr>
        <w:t xml:space="preserve"> aim to get this intro as short as possible.</w:t>
      </w:r>
    </w:p>
    <w:p w14:paraId="6F4B2779" w14:textId="418E640B" w:rsidR="6212DA76" w:rsidRPr="001B7050" w:rsidRDefault="6212DA76" w:rsidP="65D9A205">
      <w:pPr>
        <w:spacing w:line="259" w:lineRule="auto"/>
        <w:rPr>
          <w:rFonts w:eastAsia="Calibri" w:cs="Calibri"/>
          <w:color w:val="000000"/>
        </w:rPr>
      </w:pPr>
      <w:r w:rsidRPr="001B7050">
        <w:rPr>
          <w:rFonts w:eastAsia="Calibri" w:cs="Calibri"/>
          <w:color w:val="000000"/>
        </w:rPr>
        <w:t xml:space="preserve"> • </w:t>
      </w:r>
      <w:r w:rsidRPr="001B7050">
        <w:rPr>
          <w:rFonts w:eastAsia="Calibri" w:cs="Calibri"/>
          <w:b/>
          <w:bCs/>
          <w:color w:val="000000"/>
        </w:rPr>
        <w:t>Thank you</w:t>
      </w:r>
      <w:r w:rsidRPr="001B7050">
        <w:rPr>
          <w:rFonts w:eastAsia="Calibri" w:cs="Calibri"/>
          <w:color w:val="000000"/>
        </w:rPr>
        <w:t xml:space="preserve"> – Thank you the interviewee for having accepted the meeting and for their time today. </w:t>
      </w:r>
    </w:p>
    <w:p w14:paraId="306B6406" w14:textId="34A560BB" w:rsidR="6212DA76" w:rsidRPr="001B7050" w:rsidRDefault="6212DA76"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Introductions</w:t>
      </w:r>
      <w:r w:rsidRPr="001B7050">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068CD031" w14:textId="4D31FEC9" w:rsidR="6212DA76" w:rsidRPr="001B7050" w:rsidRDefault="6212DA76" w:rsidP="65D9A205">
      <w:pPr>
        <w:spacing w:line="259" w:lineRule="auto"/>
        <w:rPr>
          <w:rFonts w:eastAsia="Calibri" w:cs="Calibri"/>
          <w:color w:val="000000"/>
        </w:rPr>
      </w:pPr>
      <w:r w:rsidRPr="001B7050">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43EC970D" w14:textId="43939A8E" w:rsidR="6212DA76" w:rsidRPr="001B7050" w:rsidRDefault="6212DA76" w:rsidP="65D9A205">
      <w:pPr>
        <w:spacing w:line="259" w:lineRule="auto"/>
        <w:rPr>
          <w:rFonts w:eastAsia="Calibri" w:cs="Calibri"/>
          <w:color w:val="000000"/>
        </w:rPr>
      </w:pPr>
      <w:r w:rsidRPr="001B7050">
        <w:rPr>
          <w:rFonts w:eastAsia="Calibri" w:cs="Calibri"/>
          <w:color w:val="000000"/>
        </w:rPr>
        <w:t xml:space="preserve">[Let others introduce themselves or tell them there will be a chance after you have explained the purpose of the interview] </w:t>
      </w:r>
    </w:p>
    <w:p w14:paraId="2D27B2DA" w14:textId="677BD6D7" w:rsidR="6212DA76" w:rsidRPr="001B7050" w:rsidRDefault="6212DA76" w:rsidP="65D9A205">
      <w:pPr>
        <w:spacing w:line="259" w:lineRule="auto"/>
        <w:rPr>
          <w:rFonts w:eastAsia="Calibri" w:cs="Calibri"/>
          <w:color w:val="000000"/>
        </w:rPr>
      </w:pPr>
      <w:r w:rsidRPr="001B7050">
        <w:rPr>
          <w:rFonts w:eastAsia="Calibri" w:cs="Calibri"/>
          <w:color w:val="000000"/>
        </w:rPr>
        <w:t xml:space="preserve">[Acknowledge whether we have already interviewed the stakeholder during CV1/2]  </w:t>
      </w:r>
    </w:p>
    <w:p w14:paraId="51F12667" w14:textId="156D9D58" w:rsidR="6212DA76" w:rsidRPr="001B7050" w:rsidRDefault="6212DA76" w:rsidP="65D9A205">
      <w:pPr>
        <w:spacing w:line="259" w:lineRule="auto"/>
        <w:rPr>
          <w:rFonts w:eastAsia="Calibri" w:cs="Calibri"/>
          <w:color w:val="000000"/>
        </w:rPr>
      </w:pPr>
      <w:r w:rsidRPr="001B7050">
        <w:rPr>
          <w:rFonts w:eastAsia="Calibri" w:cs="Calibri"/>
          <w:color w:val="000000"/>
        </w:rPr>
        <w:t xml:space="preserve"> </w:t>
      </w:r>
    </w:p>
    <w:p w14:paraId="593C29A6" w14:textId="52D643A4" w:rsidR="6212DA76" w:rsidRPr="001B7050" w:rsidRDefault="6212DA76"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Purpose</w:t>
      </w:r>
      <w:r w:rsidRPr="001B7050">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0B7D4E0C" w14:textId="65CAA3FD" w:rsidR="6212DA76" w:rsidRPr="001B7050" w:rsidRDefault="6212DA76"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 xml:space="preserve">Focus </w:t>
      </w:r>
      <w:r w:rsidRPr="001B7050">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41FDB5A6" w14:textId="0462C4E0" w:rsidR="6212DA76" w:rsidRPr="001B7050" w:rsidRDefault="6212DA76" w:rsidP="00C6374D">
      <w:pPr>
        <w:pStyle w:val="ListParagraph"/>
        <w:numPr>
          <w:ilvl w:val="0"/>
          <w:numId w:val="7"/>
        </w:numPr>
        <w:spacing w:line="259" w:lineRule="auto"/>
        <w:rPr>
          <w:rFonts w:eastAsia="Calibri" w:cs="Calibri"/>
          <w:color w:val="000000"/>
        </w:rPr>
      </w:pPr>
      <w:r w:rsidRPr="001B7050">
        <w:rPr>
          <w:rFonts w:eastAsia="Calibri" w:cs="Calibri"/>
          <w:color w:val="000000"/>
        </w:rPr>
        <w:t xml:space="preserve">More and better AMR/C/U data produced and shared at country level  </w:t>
      </w:r>
    </w:p>
    <w:p w14:paraId="1B47DA01" w14:textId="502AE45F" w:rsidR="6212DA76" w:rsidRPr="001B7050" w:rsidRDefault="6212DA76" w:rsidP="00C6374D">
      <w:pPr>
        <w:pStyle w:val="ListParagraph"/>
        <w:numPr>
          <w:ilvl w:val="0"/>
          <w:numId w:val="7"/>
        </w:numPr>
        <w:spacing w:line="259" w:lineRule="auto"/>
        <w:rPr>
          <w:rFonts w:eastAsia="Calibri" w:cs="Calibri"/>
          <w:color w:val="000000"/>
        </w:rPr>
      </w:pPr>
      <w:r w:rsidRPr="001B7050">
        <w:rPr>
          <w:rFonts w:eastAsia="Calibri" w:cs="Calibri"/>
          <w:color w:val="000000"/>
        </w:rPr>
        <w:t xml:space="preserve">More and better AMR/C/U data shared internationally (with GLASS/OIE) </w:t>
      </w:r>
    </w:p>
    <w:p w14:paraId="256E5248" w14:textId="71AEA3DA" w:rsidR="6212DA76" w:rsidRPr="001B7050" w:rsidRDefault="6212DA76" w:rsidP="00C6374D">
      <w:pPr>
        <w:pStyle w:val="ListParagraph"/>
        <w:numPr>
          <w:ilvl w:val="0"/>
          <w:numId w:val="7"/>
        </w:numPr>
        <w:spacing w:line="259" w:lineRule="auto"/>
        <w:rPr>
          <w:rFonts w:eastAsia="Calibri" w:cs="Calibri"/>
          <w:color w:val="000000"/>
        </w:rPr>
      </w:pPr>
      <w:r w:rsidRPr="001B7050">
        <w:rPr>
          <w:rFonts w:eastAsia="Calibri" w:cs="Calibri"/>
          <w:color w:val="000000"/>
        </w:rPr>
        <w:t xml:space="preserve">Regulatory and policy change that can have an impact in reducing AMR </w:t>
      </w:r>
    </w:p>
    <w:p w14:paraId="21D85A79" w14:textId="0F42ECCD" w:rsidR="6212DA76" w:rsidRPr="001B7050" w:rsidRDefault="6212DA76" w:rsidP="00C6374D">
      <w:pPr>
        <w:pStyle w:val="ListParagraph"/>
        <w:numPr>
          <w:ilvl w:val="0"/>
          <w:numId w:val="7"/>
        </w:numPr>
        <w:spacing w:line="259" w:lineRule="auto"/>
        <w:rPr>
          <w:rFonts w:eastAsia="Calibri" w:cs="Calibri"/>
          <w:color w:val="000000"/>
        </w:rPr>
      </w:pPr>
      <w:r w:rsidRPr="001B7050">
        <w:rPr>
          <w:rFonts w:eastAsia="Calibri" w:cs="Calibri"/>
          <w:color w:val="000000"/>
        </w:rPr>
        <w:t xml:space="preserve">Changes in practice / attitude towards the use of antimicrobials.  </w:t>
      </w:r>
    </w:p>
    <w:p w14:paraId="633646F6" w14:textId="4F3BBAE4" w:rsidR="6212DA76" w:rsidRPr="001B7050" w:rsidRDefault="6212DA76" w:rsidP="65D9A205">
      <w:pPr>
        <w:spacing w:line="259" w:lineRule="auto"/>
        <w:rPr>
          <w:rFonts w:eastAsia="Calibri" w:cs="Calibri"/>
          <w:color w:val="000000"/>
        </w:rPr>
      </w:pPr>
      <w:r w:rsidRPr="001B7050">
        <w:rPr>
          <w:rFonts w:eastAsia="Calibri" w:cs="Calibri"/>
          <w:color w:val="000000"/>
        </w:rPr>
        <w:t xml:space="preserve"> </w:t>
      </w:r>
    </w:p>
    <w:p w14:paraId="5BBDF0B7" w14:textId="1F482458" w:rsidR="6212DA76" w:rsidRPr="001B7050" w:rsidRDefault="6212DA76" w:rsidP="65D9A205">
      <w:pPr>
        <w:spacing w:line="259" w:lineRule="auto"/>
        <w:rPr>
          <w:rFonts w:eastAsia="Calibri" w:cs="Calibri"/>
          <w:color w:val="000000"/>
        </w:rPr>
      </w:pPr>
      <w:r w:rsidRPr="001B7050">
        <w:rPr>
          <w:rFonts w:eastAsia="Calibri" w:cs="Calibri"/>
          <w:color w:val="000000"/>
        </w:rPr>
        <w:t>We have also questions relate to coherence of Fleming Fund efforts with those of other actors in country, sustainability of FF results and Value for Money [adapt the list as appropriate].</w:t>
      </w:r>
    </w:p>
    <w:p w14:paraId="5277DF50" w14:textId="3A46EC3A" w:rsidR="6212DA76" w:rsidRPr="001B7050" w:rsidRDefault="6212DA76" w:rsidP="65D9A205">
      <w:pPr>
        <w:spacing w:line="259" w:lineRule="auto"/>
        <w:rPr>
          <w:rFonts w:eastAsia="Calibri" w:cs="Calibri"/>
          <w:color w:val="000000"/>
        </w:rPr>
      </w:pPr>
      <w:r w:rsidRPr="001B7050">
        <w:rPr>
          <w:rFonts w:eastAsia="Calibri" w:cs="Calibri"/>
          <w:color w:val="000000"/>
        </w:rPr>
        <w:t xml:space="preserve"> </w:t>
      </w:r>
    </w:p>
    <w:p w14:paraId="05732193" w14:textId="4DA98E11" w:rsidR="6212DA76" w:rsidRPr="001B7050" w:rsidRDefault="6212DA76"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Confidentiality / permission to record</w:t>
      </w:r>
      <w:r w:rsidRPr="001B7050">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72B625D8" w14:textId="6E3AD927" w:rsidR="6212DA76" w:rsidRPr="001B7050" w:rsidRDefault="6212DA76" w:rsidP="65D9A205">
      <w:pPr>
        <w:spacing w:line="259" w:lineRule="auto"/>
        <w:rPr>
          <w:rFonts w:eastAsia="Calibri" w:cs="Calibri"/>
          <w:color w:val="000000"/>
        </w:rPr>
      </w:pPr>
      <w:r w:rsidRPr="001B7050">
        <w:rPr>
          <w:rFonts w:eastAsia="Calibri" w:cs="Calibri"/>
          <w:color w:val="000000"/>
        </w:rPr>
        <w:t xml:space="preserve"> </w:t>
      </w:r>
    </w:p>
    <w:p w14:paraId="2ECF374F" w14:textId="79BE4412" w:rsidR="6212DA76" w:rsidRDefault="6212DA76"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Duration</w:t>
      </w:r>
      <w:r w:rsidRPr="001B7050">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 know the</w:t>
      </w:r>
      <w:r w:rsidRPr="65D9A205">
        <w:rPr>
          <w:rFonts w:eastAsia="Calibri" w:cs="Calibri"/>
          <w:color w:val="000000"/>
        </w:rPr>
        <w:t xml:space="preserve"> answer to a question or prefer not to answer – just let me know and I’ll adapt the interview accordingly.   </w:t>
      </w:r>
    </w:p>
    <w:p w14:paraId="44C4B8C2" w14:textId="3721C157" w:rsidR="6212DA76" w:rsidRDefault="6212DA76" w:rsidP="65D9A205">
      <w:pPr>
        <w:spacing w:line="259" w:lineRule="auto"/>
        <w:rPr>
          <w:rFonts w:ascii="Segoe UI" w:eastAsia="Segoe UI" w:hAnsi="Segoe UI" w:cs="Segoe UI"/>
          <w:color w:val="000000"/>
        </w:rPr>
      </w:pPr>
      <w:r w:rsidRPr="65D9A205">
        <w:rPr>
          <w:rFonts w:ascii="Segoe UI" w:eastAsia="Segoe UI" w:hAnsi="Segoe UI" w:cs="Segoe UI"/>
          <w:color w:val="000000"/>
        </w:rPr>
        <w:t xml:space="preserve"> </w:t>
      </w:r>
    </w:p>
    <w:p w14:paraId="1D37B5DA" w14:textId="10A53DBA" w:rsidR="6212DA76" w:rsidRDefault="6212DA76" w:rsidP="65D9A205">
      <w:pPr>
        <w:spacing w:line="259" w:lineRule="auto"/>
        <w:rPr>
          <w:rFonts w:eastAsia="Calibri" w:cs="Calibri"/>
          <w:color w:val="000000"/>
        </w:rPr>
      </w:pPr>
      <w:r w:rsidRPr="65D9A205">
        <w:rPr>
          <w:rFonts w:eastAsia="Calibri" w:cs="Calibri"/>
          <w:color w:val="000000"/>
        </w:rPr>
        <w:t xml:space="preserve">• </w:t>
      </w:r>
      <w:r w:rsidRPr="65D9A205">
        <w:rPr>
          <w:rFonts w:eastAsia="Calibri" w:cs="Calibri"/>
          <w:b/>
          <w:bCs/>
          <w:color w:val="000000"/>
        </w:rPr>
        <w:t>Opportunity for questions</w:t>
      </w:r>
      <w:r w:rsidRPr="65D9A205">
        <w:rPr>
          <w:rFonts w:eastAsia="Calibri" w:cs="Calibri"/>
          <w:color w:val="000000"/>
        </w:rPr>
        <w:t xml:space="preserve"> – Do you have any questions before we start? Of course you are also welcome to ask questions through the interview if something is not clear.  </w:t>
      </w:r>
    </w:p>
    <w:p w14:paraId="62098153" w14:textId="4314F867" w:rsidR="65D9A205" w:rsidRDefault="65D9A205" w:rsidP="65D9A205">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75"/>
        <w:gridCol w:w="6345"/>
        <w:gridCol w:w="6345"/>
      </w:tblGrid>
      <w:tr w:rsidR="65D9A205" w14:paraId="2A160E33" w14:textId="77777777" w:rsidTr="00084C33">
        <w:trPr>
          <w:trHeight w:val="567"/>
          <w:tblHeader/>
        </w:trPr>
        <w:tc>
          <w:tcPr>
            <w:tcW w:w="975" w:type="dxa"/>
            <w:tcBorders>
              <w:top w:val="single" w:sz="12" w:space="0" w:color="auto"/>
              <w:left w:val="single" w:sz="12" w:space="0" w:color="auto"/>
              <w:bottom w:val="single" w:sz="6" w:space="0" w:color="auto"/>
              <w:right w:val="single" w:sz="6" w:space="0" w:color="auto"/>
            </w:tcBorders>
            <w:shd w:val="clear" w:color="auto" w:fill="8496B0"/>
            <w:tcMar>
              <w:left w:w="105" w:type="dxa"/>
              <w:right w:w="105" w:type="dxa"/>
            </w:tcMar>
            <w:vAlign w:val="center"/>
          </w:tcPr>
          <w:p w14:paraId="1B28B467" w14:textId="7D6F3C2C" w:rsidR="65D9A205" w:rsidRDefault="65D9A205" w:rsidP="0094656D">
            <w:pPr>
              <w:rPr>
                <w:rFonts w:eastAsia="Calibri" w:cs="Calibri"/>
                <w:color w:val="FFFFFF" w:themeColor="background1"/>
                <w:sz w:val="20"/>
                <w:szCs w:val="20"/>
              </w:rPr>
            </w:pPr>
            <w:r w:rsidRPr="65D9A205">
              <w:rPr>
                <w:rFonts w:eastAsia="Calibri" w:cs="Calibri"/>
                <w:color w:val="FFFFFF" w:themeColor="background1"/>
                <w:sz w:val="20"/>
                <w:szCs w:val="20"/>
              </w:rPr>
              <w:t>EQ</w:t>
            </w:r>
          </w:p>
        </w:tc>
        <w:tc>
          <w:tcPr>
            <w:tcW w:w="6345" w:type="dxa"/>
            <w:tcBorders>
              <w:top w:val="single" w:sz="12"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3F664A87" w14:textId="5FDA32FD" w:rsidR="65D9A205" w:rsidRDefault="65D9A205" w:rsidP="0094656D">
            <w:pPr>
              <w:rPr>
                <w:rFonts w:eastAsia="Calibri" w:cs="Calibri"/>
                <w:color w:val="FFFFFF" w:themeColor="background1"/>
                <w:sz w:val="20"/>
                <w:szCs w:val="20"/>
              </w:rPr>
            </w:pPr>
            <w:r w:rsidRPr="65D9A205">
              <w:rPr>
                <w:rFonts w:eastAsia="Calibri" w:cs="Calibri"/>
                <w:color w:val="FFFFFF" w:themeColor="background1"/>
                <w:sz w:val="20"/>
                <w:szCs w:val="20"/>
              </w:rPr>
              <w:t xml:space="preserve">List of questions  </w:t>
            </w:r>
          </w:p>
        </w:tc>
        <w:tc>
          <w:tcPr>
            <w:tcW w:w="6345" w:type="dxa"/>
            <w:tcBorders>
              <w:top w:val="single" w:sz="12" w:space="0" w:color="auto"/>
              <w:left w:val="single" w:sz="6" w:space="0" w:color="auto"/>
              <w:bottom w:val="single" w:sz="6" w:space="0" w:color="auto"/>
              <w:right w:val="single" w:sz="12" w:space="0" w:color="auto"/>
            </w:tcBorders>
            <w:shd w:val="clear" w:color="auto" w:fill="8496B0"/>
            <w:tcMar>
              <w:left w:w="105" w:type="dxa"/>
              <w:right w:w="105" w:type="dxa"/>
            </w:tcMar>
            <w:vAlign w:val="center"/>
          </w:tcPr>
          <w:p w14:paraId="35CE5E04" w14:textId="0BE51DE0" w:rsidR="65D9A205" w:rsidRDefault="65D9A205" w:rsidP="0094656D">
            <w:pPr>
              <w:rPr>
                <w:rFonts w:eastAsia="Calibri" w:cs="Calibri"/>
                <w:color w:val="FFFFFF" w:themeColor="background1"/>
                <w:sz w:val="20"/>
                <w:szCs w:val="20"/>
              </w:rPr>
            </w:pPr>
            <w:r w:rsidRPr="65D9A205">
              <w:rPr>
                <w:rFonts w:eastAsia="Calibri" w:cs="Calibri"/>
                <w:color w:val="FFFFFF" w:themeColor="background1"/>
                <w:sz w:val="20"/>
                <w:szCs w:val="20"/>
              </w:rPr>
              <w:t>Response</w:t>
            </w:r>
          </w:p>
        </w:tc>
      </w:tr>
      <w:tr w:rsidR="65D9A205" w14:paraId="5A0A8802" w14:textId="77777777" w:rsidTr="65D9A205">
        <w:trPr>
          <w:trHeight w:val="1290"/>
        </w:trPr>
        <w:tc>
          <w:tcPr>
            <w:tcW w:w="975"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71DC9900" w14:textId="3EC4F6CD" w:rsidR="65D9A205" w:rsidRDefault="65D9A205" w:rsidP="65D9A205">
            <w:pPr>
              <w:rPr>
                <w:rFonts w:eastAsia="Calibri" w:cs="Calibri"/>
                <w:color w:val="000000"/>
              </w:rPr>
            </w:pPr>
            <w:r w:rsidRPr="65D9A205">
              <w:rPr>
                <w:rFonts w:eastAsia="Calibri" w:cs="Calibri"/>
                <w:color w:val="000000"/>
              </w:rPr>
              <w:t>EQ2</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33B7571" w14:textId="67F3872B"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Fleming Fund's investments</w:t>
            </w:r>
            <w:r w:rsidRPr="65D9A205">
              <w:rPr>
                <w:rFonts w:eastAsia="Calibri" w:cs="Calibri"/>
                <w:color w:val="000000"/>
                <w:sz w:val="20"/>
                <w:szCs w:val="20"/>
              </w:rPr>
              <w:t xml:space="preserve"> been </w:t>
            </w:r>
            <w:r w:rsidRPr="65D9A205">
              <w:rPr>
                <w:rFonts w:eastAsia="Calibri" w:cs="Calibri"/>
                <w:b/>
                <w:bCs/>
                <w:color w:val="000000"/>
                <w:sz w:val="20"/>
                <w:szCs w:val="20"/>
              </w:rPr>
              <w:t>aligned</w:t>
            </w:r>
            <w:r w:rsidRPr="65D9A205">
              <w:rPr>
                <w:rFonts w:eastAsia="Calibri" w:cs="Calibri"/>
                <w:color w:val="000000"/>
                <w:sz w:val="20"/>
                <w:szCs w:val="20"/>
              </w:rPr>
              <w:t xml:space="preserve"> with the NAP and other government policies/plans?</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government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was alignment ensured?</w:t>
            </w:r>
          </w:p>
        </w:tc>
        <w:tc>
          <w:tcPr>
            <w:tcW w:w="6345"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tcPr>
          <w:p w14:paraId="1FA8D731" w14:textId="3BA750B9" w:rsidR="65D9A205" w:rsidRDefault="65D9A205" w:rsidP="65D9A205">
            <w:pPr>
              <w:rPr>
                <w:rFonts w:eastAsia="Calibri" w:cs="Calibri"/>
                <w:color w:val="000000"/>
                <w:sz w:val="20"/>
                <w:szCs w:val="20"/>
              </w:rPr>
            </w:pPr>
          </w:p>
        </w:tc>
      </w:tr>
      <w:tr w:rsidR="65D9A205" w14:paraId="0EBCCF3D" w14:textId="77777777" w:rsidTr="65D9A205">
        <w:trPr>
          <w:trHeight w:val="1815"/>
        </w:trPr>
        <w:tc>
          <w:tcPr>
            <w:tcW w:w="975"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3898C29A" w14:textId="7BCBAD1B" w:rsidR="65D9A205" w:rsidRDefault="65D9A205" w:rsidP="65D9A205">
            <w:pPr>
              <w:rPr>
                <w:rFonts w:eastAsia="Calibri" w:cs="Calibri"/>
                <w:color w:val="000000"/>
              </w:rPr>
            </w:pPr>
            <w:r w:rsidRPr="65D9A205">
              <w:rPr>
                <w:rFonts w:eastAsia="Calibri" w:cs="Calibri"/>
                <w:color w:val="000000"/>
              </w:rPr>
              <w:t>EQ2</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A2F20CF" w14:textId="5655A414"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w:t>
            </w:r>
            <w:r w:rsidRPr="65D9A205">
              <w:rPr>
                <w:rFonts w:eastAsia="Calibri" w:cs="Calibri"/>
                <w:b/>
                <w:bCs/>
                <w:color w:val="000000"/>
                <w:sz w:val="20"/>
                <w:szCs w:val="20"/>
              </w:rPr>
              <w:t xml:space="preserve">CG, RG, Fellowships and Global Projects </w:t>
            </w:r>
            <w:r w:rsidRPr="65D9A205">
              <w:rPr>
                <w:rFonts w:eastAsia="Calibri" w:cs="Calibri"/>
                <w:color w:val="000000"/>
                <w:sz w:val="20"/>
                <w:szCs w:val="20"/>
              </w:rPr>
              <w:t>have been</w:t>
            </w:r>
            <w:r w:rsidRPr="65D9A205">
              <w:rPr>
                <w:rFonts w:eastAsia="Calibri" w:cs="Calibri"/>
                <w:b/>
                <w:bCs/>
                <w:color w:val="000000"/>
                <w:sz w:val="20"/>
                <w:szCs w:val="20"/>
              </w:rPr>
              <w:t xml:space="preserve"> well coordinated</w:t>
            </w:r>
            <w:r w:rsidRPr="65D9A205">
              <w:rPr>
                <w:rFonts w:eastAsia="Calibri" w:cs="Calibri"/>
                <w:color w:val="000000"/>
                <w:sz w:val="20"/>
                <w:szCs w:val="20"/>
              </w:rPr>
              <w:t xml:space="preserve"> and </w:t>
            </w:r>
            <w:r w:rsidRPr="65D9A205">
              <w:rPr>
                <w:rFonts w:eastAsia="Calibri" w:cs="Calibri"/>
                <w:b/>
                <w:bCs/>
                <w:color w:val="000000"/>
                <w:sz w:val="20"/>
                <w:szCs w:val="20"/>
              </w:rPr>
              <w:t>internally coherent</w:t>
            </w:r>
            <w:r w:rsidRPr="65D9A205">
              <w:rPr>
                <w:rFonts w:eastAsia="Calibri" w:cs="Calibri"/>
                <w:color w:val="000000"/>
                <w:sz w:val="20"/>
                <w:szCs w:val="20"/>
              </w:rPr>
              <w:t>?</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CG, RG, Fellowships and Global Projects?</w:t>
            </w:r>
            <w:r>
              <w:br/>
            </w:r>
            <w:r w:rsidRPr="65D9A205">
              <w:rPr>
                <w:rFonts w:eastAsia="Calibri" w:cs="Calibri"/>
                <w:color w:val="000000"/>
                <w:sz w:val="20"/>
                <w:szCs w:val="20"/>
              </w:rPr>
              <w:t xml:space="preserve">Probe: How effective have been </w:t>
            </w:r>
            <w:r w:rsidRPr="65D9A205">
              <w:rPr>
                <w:color w:val="000000"/>
                <w:sz w:val="20"/>
                <w:szCs w:val="20"/>
                <w:u w:val="single"/>
              </w:rPr>
              <w:t>mechanisms</w:t>
            </w:r>
            <w:r w:rsidRPr="65D9A205">
              <w:rPr>
                <w:rFonts w:eastAsia="Calibri" w:cs="Calibri"/>
                <w:color w:val="000000"/>
                <w:sz w:val="20"/>
                <w:szCs w:val="20"/>
              </w:rPr>
              <w:t xml:space="preserve"> put in place by the MA to ensure internal coherence (such as the Country Coordination mechanisms) in delivering coherence?</w:t>
            </w:r>
          </w:p>
        </w:tc>
        <w:tc>
          <w:tcPr>
            <w:tcW w:w="6345"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tcPr>
          <w:p w14:paraId="6BA23844" w14:textId="76FB2B00" w:rsidR="65D9A205" w:rsidRDefault="65D9A205" w:rsidP="65D9A205">
            <w:pPr>
              <w:rPr>
                <w:rFonts w:eastAsia="Calibri" w:cs="Calibri"/>
                <w:color w:val="000000"/>
                <w:sz w:val="20"/>
                <w:szCs w:val="20"/>
              </w:rPr>
            </w:pPr>
          </w:p>
        </w:tc>
      </w:tr>
      <w:tr w:rsidR="65D9A205" w14:paraId="38C7D7D9" w14:textId="77777777" w:rsidTr="65D9A205">
        <w:trPr>
          <w:trHeight w:val="1560"/>
        </w:trPr>
        <w:tc>
          <w:tcPr>
            <w:tcW w:w="975"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334A09CE" w14:textId="0CB0E087"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5EA222C" w14:textId="1E7E86CC" w:rsidR="65D9A205" w:rsidRDefault="65D9A205" w:rsidP="65D9A205">
            <w:pPr>
              <w:rPr>
                <w:rFonts w:eastAsia="Calibri" w:cs="Calibri"/>
                <w:color w:val="444444"/>
              </w:rPr>
            </w:pPr>
            <w:r w:rsidRPr="65D9A205">
              <w:rPr>
                <w:rFonts w:eastAsia="Calibri" w:cs="Calibri"/>
                <w:color w:val="444444"/>
              </w:rPr>
              <w:t>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345"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tcPr>
          <w:p w14:paraId="5A0E8273" w14:textId="6A5CB820" w:rsidR="65D9A205" w:rsidRDefault="65D9A205" w:rsidP="65D9A205">
            <w:pPr>
              <w:rPr>
                <w:rFonts w:eastAsia="Calibri" w:cs="Calibri"/>
                <w:color w:val="000000"/>
                <w:sz w:val="20"/>
                <w:szCs w:val="20"/>
              </w:rPr>
            </w:pPr>
          </w:p>
        </w:tc>
      </w:tr>
      <w:tr w:rsidR="65D9A205" w14:paraId="422E85E9" w14:textId="77777777" w:rsidTr="65D9A205">
        <w:trPr>
          <w:trHeight w:val="1560"/>
        </w:trPr>
        <w:tc>
          <w:tcPr>
            <w:tcW w:w="975"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66FA0611" w14:textId="17225537"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25514A3" w14:textId="21AFC292" w:rsidR="65D9A205" w:rsidRDefault="65D9A205" w:rsidP="65D9A205">
            <w:pPr>
              <w:rPr>
                <w:rFonts w:eastAsia="Calibri" w:cs="Calibri"/>
                <w:color w:val="444444"/>
              </w:rPr>
            </w:pPr>
            <w:r w:rsidRPr="65D9A205">
              <w:rPr>
                <w:rFonts w:eastAsia="Calibri" w:cs="Calibri"/>
                <w:color w:val="444444"/>
              </w:rPr>
              <w:t>To what extent do you think staff are motivated to put new skills / responsibilities required to maintain AMR surveillence? PROBES: Is throughput sufficient? Are consumable supplies assured? Are managers and institutions (eg AMRCC) interested in outputs and providing feedback? Will competing demands crowd in? Are there adequate plans in place to address any concerns? To what extent is FF focused on addressing these conditions?</w:t>
            </w:r>
          </w:p>
        </w:tc>
        <w:tc>
          <w:tcPr>
            <w:tcW w:w="6345"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tcPr>
          <w:p w14:paraId="7DBDBAD8" w14:textId="4670F912" w:rsidR="65D9A205" w:rsidRDefault="65D9A205" w:rsidP="65D9A205">
            <w:pPr>
              <w:rPr>
                <w:rFonts w:eastAsia="Calibri" w:cs="Calibri"/>
                <w:color w:val="000000"/>
                <w:sz w:val="20"/>
                <w:szCs w:val="20"/>
              </w:rPr>
            </w:pPr>
          </w:p>
        </w:tc>
      </w:tr>
      <w:tr w:rsidR="65D9A205" w14:paraId="41C89676" w14:textId="77777777" w:rsidTr="65D9A205">
        <w:trPr>
          <w:trHeight w:val="510"/>
        </w:trPr>
        <w:tc>
          <w:tcPr>
            <w:tcW w:w="975" w:type="dxa"/>
            <w:tcBorders>
              <w:top w:val="single" w:sz="6" w:space="0" w:color="auto"/>
              <w:left w:val="single" w:sz="12" w:space="0" w:color="auto"/>
              <w:bottom w:val="single" w:sz="6" w:space="0" w:color="auto"/>
              <w:right w:val="single" w:sz="6" w:space="0" w:color="auto"/>
            </w:tcBorders>
            <w:shd w:val="clear" w:color="auto" w:fill="FFFFFF" w:themeFill="background1"/>
            <w:tcMar>
              <w:left w:w="105" w:type="dxa"/>
              <w:right w:w="105" w:type="dxa"/>
            </w:tcMar>
            <w:vAlign w:val="center"/>
          </w:tcPr>
          <w:p w14:paraId="406DE2FB" w14:textId="56EA2DEC"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CDD245D" w14:textId="6599195A" w:rsidR="65D9A205" w:rsidRDefault="65D9A205" w:rsidP="65D9A205">
            <w:pPr>
              <w:rPr>
                <w:rFonts w:eastAsia="Calibri" w:cs="Calibri"/>
                <w:color w:val="444444"/>
              </w:rPr>
            </w:pPr>
            <w:r w:rsidRPr="65D9A205">
              <w:rPr>
                <w:rFonts w:eastAsia="Calibri" w:cs="Calibri"/>
                <w:color w:val="444444"/>
              </w:rPr>
              <w:t>To what extent have you formulated and implemented an exit plan with milestones and shared objectives? If not, why not? Has sustainability received sufficient attention to date? In what ways?</w:t>
            </w:r>
          </w:p>
        </w:tc>
        <w:tc>
          <w:tcPr>
            <w:tcW w:w="6345" w:type="dxa"/>
            <w:tcBorders>
              <w:top w:val="single" w:sz="6" w:space="0" w:color="auto"/>
              <w:left w:val="single" w:sz="6" w:space="0" w:color="auto"/>
              <w:bottom w:val="single" w:sz="6" w:space="0" w:color="auto"/>
              <w:right w:val="single" w:sz="12" w:space="0" w:color="auto"/>
            </w:tcBorders>
            <w:shd w:val="clear" w:color="auto" w:fill="FFFFFF" w:themeFill="background1"/>
            <w:tcMar>
              <w:left w:w="105" w:type="dxa"/>
              <w:right w:w="105" w:type="dxa"/>
            </w:tcMar>
          </w:tcPr>
          <w:p w14:paraId="38109DF0" w14:textId="7D7E1712" w:rsidR="65D9A205" w:rsidRDefault="65D9A205" w:rsidP="0094656D">
            <w:pPr>
              <w:rPr>
                <w:rFonts w:eastAsia="Calibri" w:cs="Calibri"/>
                <w:color w:val="000000"/>
                <w:sz w:val="20"/>
                <w:szCs w:val="20"/>
              </w:rPr>
            </w:pPr>
          </w:p>
        </w:tc>
      </w:tr>
      <w:tr w:rsidR="65D9A205" w14:paraId="66A180CA" w14:textId="77777777" w:rsidTr="65D9A205">
        <w:trPr>
          <w:trHeight w:val="285"/>
        </w:trPr>
        <w:tc>
          <w:tcPr>
            <w:tcW w:w="975" w:type="dxa"/>
            <w:tcBorders>
              <w:top w:val="single" w:sz="6" w:space="0" w:color="auto"/>
              <w:left w:val="single" w:sz="12" w:space="0" w:color="auto"/>
              <w:bottom w:val="single" w:sz="12" w:space="0" w:color="auto"/>
              <w:right w:val="single" w:sz="6" w:space="0" w:color="auto"/>
            </w:tcBorders>
            <w:tcMar>
              <w:left w:w="105" w:type="dxa"/>
              <w:right w:w="105" w:type="dxa"/>
            </w:tcMar>
          </w:tcPr>
          <w:p w14:paraId="3EE119C5" w14:textId="01958759" w:rsidR="65D9A205" w:rsidRDefault="65D9A205" w:rsidP="65D9A205">
            <w:pPr>
              <w:rPr>
                <w:rFonts w:eastAsia="Calibri" w:cs="Calibri"/>
                <w:color w:val="000000"/>
                <w:sz w:val="20"/>
                <w:szCs w:val="20"/>
              </w:rPr>
            </w:pPr>
            <w:r w:rsidRPr="65D9A205">
              <w:rPr>
                <w:rFonts w:eastAsia="Calibri" w:cs="Calibri"/>
                <w:color w:val="000000"/>
                <w:sz w:val="20"/>
                <w:szCs w:val="20"/>
              </w:rPr>
              <w:t>EQ6</w:t>
            </w:r>
          </w:p>
        </w:tc>
        <w:tc>
          <w:tcPr>
            <w:tcW w:w="6345" w:type="dxa"/>
            <w:tcBorders>
              <w:top w:val="single" w:sz="6" w:space="0" w:color="auto"/>
              <w:left w:val="single" w:sz="6" w:space="0" w:color="auto"/>
              <w:bottom w:val="single" w:sz="12" w:space="0" w:color="auto"/>
              <w:right w:val="single" w:sz="6" w:space="0" w:color="auto"/>
            </w:tcBorders>
            <w:tcMar>
              <w:left w:w="105" w:type="dxa"/>
              <w:right w:w="105" w:type="dxa"/>
            </w:tcMar>
            <w:vAlign w:val="bottom"/>
          </w:tcPr>
          <w:p w14:paraId="309DD452" w14:textId="2C625936" w:rsidR="65D9A205" w:rsidRDefault="65D9A205" w:rsidP="65D9A205">
            <w:pPr>
              <w:rPr>
                <w:rFonts w:eastAsia="Calibri" w:cs="Calibri"/>
                <w:color w:val="000000"/>
                <w:sz w:val="20"/>
                <w:szCs w:val="20"/>
              </w:rPr>
            </w:pPr>
            <w:r w:rsidRPr="65D9A205">
              <w:rPr>
                <w:rFonts w:eastAsia="Calibri" w:cs="Calibri"/>
                <w:color w:val="000000"/>
                <w:sz w:val="20"/>
                <w:szCs w:val="20"/>
              </w:rPr>
              <w:t>VfM: you will receive tailored questions from Jennifer</w:t>
            </w:r>
          </w:p>
        </w:tc>
        <w:tc>
          <w:tcPr>
            <w:tcW w:w="6345" w:type="dxa"/>
            <w:tcBorders>
              <w:top w:val="single" w:sz="6" w:space="0" w:color="auto"/>
              <w:left w:val="single" w:sz="6" w:space="0" w:color="auto"/>
              <w:bottom w:val="single" w:sz="12" w:space="0" w:color="auto"/>
              <w:right w:val="single" w:sz="12" w:space="0" w:color="auto"/>
            </w:tcBorders>
            <w:tcMar>
              <w:left w:w="105" w:type="dxa"/>
              <w:right w:w="105" w:type="dxa"/>
            </w:tcMar>
          </w:tcPr>
          <w:p w14:paraId="642FAD58" w14:textId="0F083DAA" w:rsidR="65D9A205" w:rsidRDefault="65D9A205" w:rsidP="65D9A205">
            <w:pPr>
              <w:rPr>
                <w:rFonts w:eastAsia="Calibri" w:cs="Calibri"/>
                <w:color w:val="000000"/>
                <w:sz w:val="20"/>
                <w:szCs w:val="20"/>
              </w:rPr>
            </w:pPr>
          </w:p>
        </w:tc>
      </w:tr>
    </w:tbl>
    <w:p w14:paraId="480D6653" w14:textId="3D51374C" w:rsidR="65D9A205" w:rsidRDefault="65D9A205" w:rsidP="65D9A205">
      <w:pPr>
        <w:spacing w:after="160" w:line="259" w:lineRule="auto"/>
        <w:rPr>
          <w:rFonts w:eastAsia="Calibri" w:cs="Calibri"/>
          <w:color w:val="000000"/>
        </w:rPr>
      </w:pPr>
    </w:p>
    <w:p w14:paraId="22D90CE4" w14:textId="3C0E4B2C" w:rsidR="65D9A205" w:rsidRDefault="65D9A205" w:rsidP="65D9A205"/>
    <w:p w14:paraId="75E951A8" w14:textId="226C8BA5" w:rsidR="65D9A205" w:rsidRDefault="65D9A205">
      <w:r>
        <w:br w:type="page"/>
      </w:r>
    </w:p>
    <w:p w14:paraId="1A28B11D" w14:textId="7EDAF2EB" w:rsidR="4CE1AD5B" w:rsidRPr="001B18E8" w:rsidRDefault="4CE1AD5B" w:rsidP="365D9676">
      <w:pPr>
        <w:pStyle w:val="ItadH3"/>
        <w:keepNext/>
        <w:spacing w:line="259" w:lineRule="auto"/>
        <w:rPr>
          <w:lang w:val="en-GB"/>
        </w:rPr>
      </w:pPr>
      <w:bookmarkStart w:id="474" w:name="_Toc142383258"/>
      <w:r w:rsidRPr="65D9A205">
        <w:rPr>
          <w:lang w:val="en-GB"/>
        </w:rPr>
        <w:t>KII Guide for OIE FP</w:t>
      </w:r>
      <w:bookmarkEnd w:id="474"/>
    </w:p>
    <w:p w14:paraId="0404845C" w14:textId="29CD215B" w:rsidR="1A53D04A" w:rsidRDefault="1A53D04A" w:rsidP="65D9A205">
      <w:pPr>
        <w:widowControl w:val="0"/>
        <w:spacing w:after="160" w:line="259" w:lineRule="auto"/>
        <w:jc w:val="both"/>
        <w:rPr>
          <w:rFonts w:ascii="Calibri Light" w:eastAsia="Calibri Light" w:hAnsi="Calibri Light" w:cs="Calibri Light"/>
          <w:color w:val="2F5496"/>
          <w:sz w:val="26"/>
          <w:szCs w:val="26"/>
        </w:rPr>
      </w:pPr>
      <w:r w:rsidRPr="001B18E8">
        <w:rPr>
          <w:rFonts w:ascii="Calibri Light" w:eastAsia="Calibri Light" w:hAnsi="Calibri Light" w:cs="Calibri Light"/>
          <w:color w:val="2F5496"/>
          <w:sz w:val="26"/>
          <w:szCs w:val="26"/>
        </w:rPr>
        <w:t>OIE FP</w:t>
      </w:r>
    </w:p>
    <w:p w14:paraId="1FED062B" w14:textId="17D35330" w:rsidR="1A53D04A" w:rsidRDefault="1A53D04A" w:rsidP="65D9A205">
      <w:pPr>
        <w:widowControl w:val="0"/>
        <w:spacing w:after="160" w:line="259" w:lineRule="auto"/>
        <w:jc w:val="both"/>
        <w:rPr>
          <w:rFonts w:eastAsia="Calibri" w:cs="Calibri"/>
          <w:color w:val="000000"/>
        </w:rPr>
      </w:pPr>
      <w:r w:rsidRPr="001B18E8">
        <w:rPr>
          <w:rFonts w:eastAsia="Calibri" w:cs="Calibri"/>
          <w:b/>
          <w:bCs/>
          <w:color w:val="000000"/>
        </w:rPr>
        <w:t>KII name:</w:t>
      </w:r>
    </w:p>
    <w:p w14:paraId="7D0D8F6B" w14:textId="55628125" w:rsidR="1A53D04A" w:rsidRDefault="1A53D04A" w:rsidP="65D9A205">
      <w:pPr>
        <w:widowControl w:val="0"/>
        <w:spacing w:after="160" w:line="259" w:lineRule="auto"/>
        <w:jc w:val="both"/>
        <w:rPr>
          <w:rFonts w:eastAsia="Calibri" w:cs="Calibri"/>
          <w:color w:val="000000"/>
        </w:rPr>
      </w:pPr>
      <w:r w:rsidRPr="65D9A205">
        <w:rPr>
          <w:rFonts w:eastAsia="Calibri" w:cs="Calibri"/>
          <w:b/>
          <w:bCs/>
          <w:color w:val="000000"/>
        </w:rPr>
        <w:t>KII date:</w:t>
      </w:r>
    </w:p>
    <w:p w14:paraId="7D98EA65" w14:textId="74C27845" w:rsidR="1A53D04A" w:rsidRDefault="1A53D04A" w:rsidP="65D9A205">
      <w:pPr>
        <w:widowControl w:val="0"/>
        <w:spacing w:after="160" w:line="259" w:lineRule="auto"/>
        <w:jc w:val="both"/>
        <w:rPr>
          <w:rFonts w:eastAsia="Calibri" w:cs="Calibri"/>
          <w:color w:val="000000"/>
        </w:rPr>
      </w:pPr>
      <w:r w:rsidRPr="65D9A205">
        <w:rPr>
          <w:rFonts w:eastAsia="Calibri" w:cs="Calibri"/>
          <w:b/>
          <w:bCs/>
          <w:color w:val="000000"/>
        </w:rPr>
        <w:t>KII interviewer(s):</w:t>
      </w:r>
    </w:p>
    <w:p w14:paraId="59F725F8" w14:textId="491274A4" w:rsidR="1A53D04A" w:rsidRPr="001B7050" w:rsidRDefault="1A53D04A" w:rsidP="65D9A205">
      <w:pPr>
        <w:spacing w:after="160" w:line="259" w:lineRule="auto"/>
        <w:rPr>
          <w:rFonts w:eastAsia="Calibri" w:cs="Calibri"/>
          <w:color w:val="000000"/>
        </w:rPr>
      </w:pPr>
      <w:r w:rsidRPr="001B7050">
        <w:rPr>
          <w:rFonts w:eastAsia="Calibri" w:cs="Calibri"/>
          <w:b/>
          <w:bCs/>
          <w:color w:val="000000"/>
        </w:rPr>
        <w:t>Introduction</w:t>
      </w:r>
      <w:r w:rsidRPr="001B7050">
        <w:rPr>
          <w:rFonts w:eastAsia="Calibri" w:cs="Calibri"/>
          <w:color w:val="000000"/>
        </w:rPr>
        <w:t xml:space="preserve"> – please adapt and summarise according to the stakeholder / her knowledge of the evaluation etc </w:t>
      </w:r>
      <w:r w:rsidRPr="001B7050">
        <w:rPr>
          <w:rFonts w:ascii="Times New Roman" w:eastAsia="Times New Roman" w:hAnsi="Times New Roman" w:cs="Times New Roman"/>
          <w:color w:val="000000"/>
          <w:sz w:val="24"/>
          <w:szCs w:val="24"/>
        </w:rPr>
        <w:t>–</w:t>
      </w:r>
      <w:r w:rsidRPr="001B7050">
        <w:rPr>
          <w:rFonts w:eastAsia="Calibri" w:cs="Calibri"/>
          <w:color w:val="000000"/>
        </w:rPr>
        <w:t xml:space="preserve"> aim to get this intro as short as possible.</w:t>
      </w:r>
    </w:p>
    <w:p w14:paraId="652C1EBA" w14:textId="70FCBD03" w:rsidR="1A53D04A" w:rsidRPr="001B7050" w:rsidRDefault="1A53D04A" w:rsidP="65D9A205">
      <w:pPr>
        <w:spacing w:line="259" w:lineRule="auto"/>
        <w:rPr>
          <w:rFonts w:eastAsia="Calibri" w:cs="Calibri"/>
          <w:color w:val="000000"/>
        </w:rPr>
      </w:pPr>
      <w:r w:rsidRPr="001B7050">
        <w:rPr>
          <w:rFonts w:eastAsia="Calibri" w:cs="Calibri"/>
          <w:color w:val="000000"/>
        </w:rPr>
        <w:t xml:space="preserve"> • </w:t>
      </w:r>
      <w:r w:rsidRPr="001B7050">
        <w:rPr>
          <w:rFonts w:eastAsia="Calibri" w:cs="Calibri"/>
          <w:b/>
          <w:bCs/>
          <w:color w:val="000000"/>
        </w:rPr>
        <w:t>Thank you</w:t>
      </w:r>
      <w:r w:rsidRPr="001B7050">
        <w:rPr>
          <w:rFonts w:eastAsia="Calibri" w:cs="Calibri"/>
          <w:color w:val="000000"/>
        </w:rPr>
        <w:t xml:space="preserve"> – Thank you the interviewee for having accepted the meeting and for their time today. </w:t>
      </w:r>
    </w:p>
    <w:p w14:paraId="159E21C9" w14:textId="3DFC92B4" w:rsidR="1A53D04A" w:rsidRPr="001B7050" w:rsidRDefault="1A53D04A"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Introductions</w:t>
      </w:r>
      <w:r w:rsidRPr="001B7050">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187BDE35" w14:textId="216621C9" w:rsidR="1A53D04A" w:rsidRPr="001B7050" w:rsidRDefault="1A53D04A" w:rsidP="65D9A205">
      <w:pPr>
        <w:spacing w:line="259" w:lineRule="auto"/>
        <w:rPr>
          <w:rFonts w:eastAsia="Calibri" w:cs="Calibri"/>
          <w:color w:val="000000"/>
        </w:rPr>
      </w:pPr>
      <w:r w:rsidRPr="001B7050">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4C601AAA" w14:textId="6F92B667" w:rsidR="1A53D04A" w:rsidRPr="001B7050" w:rsidRDefault="1A53D04A" w:rsidP="65D9A205">
      <w:pPr>
        <w:spacing w:line="259" w:lineRule="auto"/>
        <w:rPr>
          <w:rFonts w:eastAsia="Calibri" w:cs="Calibri"/>
          <w:color w:val="000000"/>
        </w:rPr>
      </w:pPr>
      <w:r w:rsidRPr="001B7050">
        <w:rPr>
          <w:rFonts w:eastAsia="Calibri" w:cs="Calibri"/>
          <w:color w:val="000000"/>
        </w:rPr>
        <w:t xml:space="preserve">[Let others introduce themselves or tell them there will be a chance after you have explained the purpose of the interview] </w:t>
      </w:r>
    </w:p>
    <w:p w14:paraId="1ABC2C82" w14:textId="48663305" w:rsidR="1A53D04A" w:rsidRPr="001B7050" w:rsidRDefault="1A53D04A" w:rsidP="65D9A205">
      <w:pPr>
        <w:spacing w:line="259" w:lineRule="auto"/>
        <w:rPr>
          <w:rFonts w:eastAsia="Calibri" w:cs="Calibri"/>
          <w:color w:val="000000"/>
        </w:rPr>
      </w:pPr>
      <w:r w:rsidRPr="001B7050">
        <w:rPr>
          <w:rFonts w:eastAsia="Calibri" w:cs="Calibri"/>
          <w:color w:val="000000"/>
        </w:rPr>
        <w:t xml:space="preserve">[Acknowledge whether we have already interviewed the stakeholder during CV1/2]  </w:t>
      </w:r>
    </w:p>
    <w:p w14:paraId="72501716" w14:textId="5533984C" w:rsidR="1A53D04A" w:rsidRPr="001B7050" w:rsidRDefault="1A53D04A" w:rsidP="65D9A205">
      <w:pPr>
        <w:spacing w:line="259" w:lineRule="auto"/>
        <w:rPr>
          <w:rFonts w:eastAsia="Calibri" w:cs="Calibri"/>
          <w:color w:val="000000"/>
        </w:rPr>
      </w:pPr>
      <w:r w:rsidRPr="001B7050">
        <w:rPr>
          <w:rFonts w:eastAsia="Calibri" w:cs="Calibri"/>
          <w:color w:val="000000"/>
        </w:rPr>
        <w:t xml:space="preserve"> </w:t>
      </w:r>
    </w:p>
    <w:p w14:paraId="35C97D0E" w14:textId="1B8CCEBB" w:rsidR="1A53D04A" w:rsidRPr="001B7050" w:rsidRDefault="1A53D04A"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Purpose</w:t>
      </w:r>
      <w:r w:rsidRPr="001B7050">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42522900" w14:textId="672B7E66" w:rsidR="1A53D04A" w:rsidRPr="001B7050" w:rsidRDefault="1A53D04A"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 xml:space="preserve">Focus </w:t>
      </w:r>
      <w:r w:rsidRPr="001B7050">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0CF51CE8" w14:textId="37B9CD92" w:rsidR="1A53D04A" w:rsidRPr="001B7050" w:rsidRDefault="1A53D04A" w:rsidP="00C6374D">
      <w:pPr>
        <w:pStyle w:val="ListParagraph"/>
        <w:numPr>
          <w:ilvl w:val="0"/>
          <w:numId w:val="6"/>
        </w:numPr>
        <w:spacing w:line="259" w:lineRule="auto"/>
        <w:rPr>
          <w:rFonts w:eastAsia="Calibri" w:cs="Calibri"/>
          <w:color w:val="000000"/>
        </w:rPr>
      </w:pPr>
      <w:r w:rsidRPr="001B7050">
        <w:rPr>
          <w:rFonts w:eastAsia="Calibri" w:cs="Calibri"/>
          <w:color w:val="000000"/>
        </w:rPr>
        <w:t xml:space="preserve">More and better AMR/C/U data produced and shared at country level  </w:t>
      </w:r>
    </w:p>
    <w:p w14:paraId="2B0B4FA5" w14:textId="71C7EBF3" w:rsidR="1A53D04A" w:rsidRPr="001B7050" w:rsidRDefault="1A53D04A" w:rsidP="00C6374D">
      <w:pPr>
        <w:pStyle w:val="ListParagraph"/>
        <w:numPr>
          <w:ilvl w:val="0"/>
          <w:numId w:val="6"/>
        </w:numPr>
        <w:spacing w:line="259" w:lineRule="auto"/>
        <w:rPr>
          <w:rFonts w:eastAsia="Calibri" w:cs="Calibri"/>
          <w:color w:val="000000"/>
        </w:rPr>
      </w:pPr>
      <w:r w:rsidRPr="001B7050">
        <w:rPr>
          <w:rFonts w:eastAsia="Calibri" w:cs="Calibri"/>
          <w:color w:val="000000"/>
        </w:rPr>
        <w:t xml:space="preserve">More and better AMR/C/U data shared internationally (with GLASS/OIE) </w:t>
      </w:r>
    </w:p>
    <w:p w14:paraId="1AAF5A1C" w14:textId="4D6DE188" w:rsidR="1A53D04A" w:rsidRPr="001B7050" w:rsidRDefault="1A53D04A" w:rsidP="00C6374D">
      <w:pPr>
        <w:pStyle w:val="ListParagraph"/>
        <w:numPr>
          <w:ilvl w:val="0"/>
          <w:numId w:val="6"/>
        </w:numPr>
        <w:spacing w:line="259" w:lineRule="auto"/>
        <w:rPr>
          <w:rFonts w:eastAsia="Calibri" w:cs="Calibri"/>
          <w:color w:val="000000"/>
        </w:rPr>
      </w:pPr>
      <w:r w:rsidRPr="001B7050">
        <w:rPr>
          <w:rFonts w:eastAsia="Calibri" w:cs="Calibri"/>
          <w:color w:val="000000"/>
        </w:rPr>
        <w:t xml:space="preserve">Regulatory and policy change that can have an impact in reducing AMR </w:t>
      </w:r>
    </w:p>
    <w:p w14:paraId="56FF1710" w14:textId="660DF8EE" w:rsidR="1A53D04A" w:rsidRPr="001B7050" w:rsidRDefault="1A53D04A" w:rsidP="00C6374D">
      <w:pPr>
        <w:pStyle w:val="ListParagraph"/>
        <w:numPr>
          <w:ilvl w:val="0"/>
          <w:numId w:val="6"/>
        </w:numPr>
        <w:spacing w:line="259" w:lineRule="auto"/>
        <w:rPr>
          <w:rFonts w:eastAsia="Calibri" w:cs="Calibri"/>
          <w:color w:val="000000"/>
        </w:rPr>
      </w:pPr>
      <w:r w:rsidRPr="001B7050">
        <w:rPr>
          <w:rFonts w:eastAsia="Calibri" w:cs="Calibri"/>
          <w:color w:val="000000"/>
        </w:rPr>
        <w:t xml:space="preserve">Changes in practice / attitude towards the use of antimicrobials.  </w:t>
      </w:r>
    </w:p>
    <w:p w14:paraId="1CCC1306" w14:textId="5689AC0D" w:rsidR="1A53D04A" w:rsidRPr="001B7050" w:rsidRDefault="1A53D04A" w:rsidP="65D9A205">
      <w:pPr>
        <w:spacing w:line="259" w:lineRule="auto"/>
        <w:rPr>
          <w:rFonts w:eastAsia="Calibri" w:cs="Calibri"/>
          <w:color w:val="000000"/>
        </w:rPr>
      </w:pPr>
      <w:r w:rsidRPr="001B7050">
        <w:rPr>
          <w:rFonts w:eastAsia="Calibri" w:cs="Calibri"/>
          <w:color w:val="000000"/>
        </w:rPr>
        <w:t xml:space="preserve"> </w:t>
      </w:r>
    </w:p>
    <w:p w14:paraId="676ACA91" w14:textId="19F2CF5A" w:rsidR="1A53D04A" w:rsidRPr="001B7050" w:rsidRDefault="1A53D04A" w:rsidP="65D9A205">
      <w:pPr>
        <w:spacing w:line="259" w:lineRule="auto"/>
        <w:rPr>
          <w:rFonts w:eastAsia="Calibri" w:cs="Calibri"/>
          <w:color w:val="000000"/>
        </w:rPr>
      </w:pPr>
      <w:r w:rsidRPr="001B7050">
        <w:rPr>
          <w:rFonts w:eastAsia="Calibri" w:cs="Calibri"/>
          <w:color w:val="000000"/>
        </w:rPr>
        <w:t>We have also questions relate to coherence of Fleming Fund efforts with those of other actors in country, sustainability of FF results and Value for Money [adapt the list as appropriate].</w:t>
      </w:r>
    </w:p>
    <w:p w14:paraId="0AA45A52" w14:textId="5E55D87A" w:rsidR="1A53D04A" w:rsidRPr="001B7050" w:rsidRDefault="1A53D04A" w:rsidP="65D9A205">
      <w:pPr>
        <w:spacing w:line="259" w:lineRule="auto"/>
        <w:rPr>
          <w:rFonts w:eastAsia="Calibri" w:cs="Calibri"/>
          <w:color w:val="000000"/>
        </w:rPr>
      </w:pPr>
      <w:r w:rsidRPr="001B7050">
        <w:rPr>
          <w:rFonts w:eastAsia="Calibri" w:cs="Calibri"/>
          <w:color w:val="000000"/>
        </w:rPr>
        <w:t xml:space="preserve"> </w:t>
      </w:r>
    </w:p>
    <w:p w14:paraId="14F00887" w14:textId="33C26E1F" w:rsidR="1A53D04A" w:rsidRPr="001B7050" w:rsidRDefault="1A53D04A"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Confidentiality / permission to record</w:t>
      </w:r>
      <w:r w:rsidRPr="001B7050">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665CDEE8" w14:textId="232A476E" w:rsidR="1A53D04A" w:rsidRPr="001B7050" w:rsidRDefault="1A53D04A" w:rsidP="65D9A205">
      <w:pPr>
        <w:spacing w:line="259" w:lineRule="auto"/>
        <w:rPr>
          <w:rFonts w:eastAsia="Calibri" w:cs="Calibri"/>
          <w:color w:val="000000"/>
        </w:rPr>
      </w:pPr>
      <w:r w:rsidRPr="001B7050">
        <w:rPr>
          <w:rFonts w:eastAsia="Calibri" w:cs="Calibri"/>
          <w:color w:val="000000"/>
        </w:rPr>
        <w:t xml:space="preserve"> </w:t>
      </w:r>
    </w:p>
    <w:p w14:paraId="33F0ED49" w14:textId="35605501" w:rsidR="1A53D04A" w:rsidRDefault="1A53D04A"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Duration</w:t>
      </w:r>
      <w:r w:rsidRPr="001B7050">
        <w:rPr>
          <w:rFonts w:eastAsia="Calibri" w:cs="Calibri"/>
          <w:color w:val="000000"/>
        </w:rPr>
        <w:t xml:space="preserve"> – I expect the interview to take approximately [specify length] – is</w:t>
      </w:r>
      <w:r w:rsidRPr="65D9A205">
        <w:rPr>
          <w:rFonts w:eastAsia="Calibri" w:cs="Calibri"/>
          <w:color w:val="000000"/>
        </w:rPr>
        <w:t xml:space="preserve"> that okay? If you do not have that much time let me know and I can make sure that I focus on the more important questions. Also, it’s absolutely fine if you do not know the answer to a question or prefer not to answer – just let me know and I’ll adapt the interview accordingly.   </w:t>
      </w:r>
    </w:p>
    <w:p w14:paraId="5281D73A" w14:textId="0F4D07AA" w:rsidR="1A53D04A" w:rsidRDefault="1A53D04A" w:rsidP="65D9A205">
      <w:pPr>
        <w:spacing w:line="259" w:lineRule="auto"/>
        <w:rPr>
          <w:rFonts w:ascii="Segoe UI" w:eastAsia="Segoe UI" w:hAnsi="Segoe UI" w:cs="Segoe UI"/>
          <w:color w:val="000000"/>
        </w:rPr>
      </w:pPr>
      <w:r w:rsidRPr="65D9A205">
        <w:rPr>
          <w:rFonts w:ascii="Segoe UI" w:eastAsia="Segoe UI" w:hAnsi="Segoe UI" w:cs="Segoe UI"/>
          <w:color w:val="000000"/>
        </w:rPr>
        <w:t xml:space="preserve"> </w:t>
      </w:r>
    </w:p>
    <w:p w14:paraId="1BF483D7" w14:textId="21CFCA10" w:rsidR="1A53D04A" w:rsidRDefault="1A53D04A" w:rsidP="65D9A205">
      <w:pPr>
        <w:spacing w:line="259" w:lineRule="auto"/>
        <w:rPr>
          <w:rFonts w:eastAsia="Calibri" w:cs="Calibri"/>
          <w:color w:val="000000"/>
        </w:rPr>
      </w:pPr>
      <w:r w:rsidRPr="65D9A205">
        <w:rPr>
          <w:rFonts w:eastAsia="Calibri" w:cs="Calibri"/>
          <w:color w:val="000000"/>
        </w:rPr>
        <w:t xml:space="preserve">• </w:t>
      </w:r>
      <w:r w:rsidRPr="65D9A205">
        <w:rPr>
          <w:rFonts w:eastAsia="Calibri" w:cs="Calibri"/>
          <w:b/>
          <w:bCs/>
          <w:color w:val="000000"/>
        </w:rPr>
        <w:t>Opportunity for questions</w:t>
      </w:r>
      <w:r w:rsidRPr="65D9A205">
        <w:rPr>
          <w:rFonts w:eastAsia="Calibri" w:cs="Calibri"/>
          <w:color w:val="000000"/>
        </w:rPr>
        <w:t xml:space="preserve"> – Do you have any questions before we start? Of course you are also welcome to ask questions through the interview if something is not clear.  </w:t>
      </w:r>
    </w:p>
    <w:p w14:paraId="68C58DA6" w14:textId="0C5B5C5D" w:rsidR="65D9A205" w:rsidRDefault="65D9A205" w:rsidP="65D9A205">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50"/>
        <w:gridCol w:w="6270"/>
        <w:gridCol w:w="6270"/>
      </w:tblGrid>
      <w:tr w:rsidR="65D9A205" w14:paraId="7D9FB3B5" w14:textId="77777777" w:rsidTr="00C90FD0">
        <w:trPr>
          <w:trHeight w:val="567"/>
          <w:tblHeader/>
        </w:trPr>
        <w:tc>
          <w:tcPr>
            <w:tcW w:w="105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343EEA5F" w14:textId="43081C5A" w:rsidR="65D9A205" w:rsidRDefault="65D9A205" w:rsidP="65D9A205">
            <w:pPr>
              <w:rPr>
                <w:rFonts w:eastAsia="Calibri" w:cs="Calibri"/>
                <w:color w:val="FFFFFF" w:themeColor="background1"/>
                <w:sz w:val="20"/>
                <w:szCs w:val="20"/>
              </w:rPr>
            </w:pPr>
            <w:r w:rsidRPr="65D9A205">
              <w:rPr>
                <w:rFonts w:eastAsia="Calibri" w:cs="Calibri"/>
                <w:color w:val="FFFFFF" w:themeColor="background1"/>
                <w:sz w:val="20"/>
                <w:szCs w:val="20"/>
              </w:rPr>
              <w:t>EQ</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360B3D82" w14:textId="362BC494" w:rsidR="65D9A205" w:rsidRDefault="65D9A205" w:rsidP="65D9A205">
            <w:pPr>
              <w:rPr>
                <w:rFonts w:eastAsia="Calibri" w:cs="Calibri"/>
                <w:color w:val="FFFFFF" w:themeColor="background1"/>
                <w:sz w:val="20"/>
                <w:szCs w:val="20"/>
              </w:rPr>
            </w:pPr>
            <w:r w:rsidRPr="65D9A205">
              <w:rPr>
                <w:rFonts w:eastAsia="Calibri" w:cs="Calibri"/>
                <w:color w:val="FFFFFF" w:themeColor="background1"/>
                <w:sz w:val="20"/>
                <w:szCs w:val="20"/>
              </w:rPr>
              <w:t xml:space="preserve">List of questions  </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40BDD225" w14:textId="062DC323" w:rsidR="65D9A205" w:rsidRDefault="65D9A205" w:rsidP="00C90FD0">
            <w:pPr>
              <w:rPr>
                <w:rFonts w:eastAsia="Calibri" w:cs="Calibri"/>
                <w:color w:val="FFFFFF" w:themeColor="background1"/>
                <w:sz w:val="20"/>
                <w:szCs w:val="20"/>
              </w:rPr>
            </w:pPr>
            <w:r w:rsidRPr="65D9A205">
              <w:rPr>
                <w:rFonts w:eastAsia="Calibri" w:cs="Calibri"/>
                <w:color w:val="FFFFFF" w:themeColor="background1"/>
                <w:sz w:val="20"/>
                <w:szCs w:val="20"/>
              </w:rPr>
              <w:t>Response</w:t>
            </w:r>
          </w:p>
        </w:tc>
      </w:tr>
      <w:tr w:rsidR="65D9A205" w14:paraId="0E4A4400" w14:textId="77777777" w:rsidTr="00C90FD0">
        <w:trPr>
          <w:trHeight w:val="2835"/>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19E4883" w14:textId="515B31CC" w:rsidR="65D9A205" w:rsidRDefault="65D9A205" w:rsidP="65D9A205">
            <w:pPr>
              <w:rPr>
                <w:rFonts w:eastAsia="Calibri" w:cs="Calibri"/>
                <w:color w:val="000000"/>
                <w:sz w:val="20"/>
                <w:szCs w:val="20"/>
              </w:rPr>
            </w:pPr>
            <w:r w:rsidRPr="65D9A205">
              <w:rPr>
                <w:rFonts w:eastAsia="Calibri" w:cs="Calibri"/>
                <w:color w:val="000000"/>
                <w:sz w:val="20"/>
                <w:szCs w:val="20"/>
              </w:rPr>
              <w:t>EQ5 (AH)</w:t>
            </w:r>
            <w:r w:rsidRPr="00263CAE">
              <w:rPr>
                <w:rFonts w:eastAsia="Calibri" w:cs="Calibri"/>
                <w:color w:val="000000"/>
                <w:sz w:val="20"/>
                <w:szCs w:val="20"/>
              </w:rPr>
              <w:t xml:space="preserve"> / Change 5</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68E4BFF" w14:textId="1F9EE6EE" w:rsidR="65D9A205" w:rsidRDefault="65D9A205" w:rsidP="65D9A205">
            <w:pPr>
              <w:rPr>
                <w:rFonts w:eastAsia="Calibri" w:cs="Calibri"/>
                <w:sz w:val="20"/>
                <w:szCs w:val="20"/>
              </w:rPr>
            </w:pPr>
            <w:r w:rsidRPr="65D9A205">
              <w:rPr>
                <w:rFonts w:eastAsia="Calibri" w:cs="Calibri"/>
                <w:sz w:val="20"/>
                <w:szCs w:val="20"/>
              </w:rPr>
              <w:t xml:space="preserve">Has there been an improvement in quantity and quality of </w:t>
            </w:r>
            <w:r w:rsidRPr="65D9A205">
              <w:rPr>
                <w:sz w:val="20"/>
                <w:szCs w:val="20"/>
                <w:u w:val="single"/>
              </w:rPr>
              <w:t>AH</w:t>
            </w:r>
            <w:r w:rsidRPr="65D9A205">
              <w:rPr>
                <w:rFonts w:eastAsia="Calibri" w:cs="Calibri"/>
                <w:sz w:val="20"/>
                <w:szCs w:val="20"/>
              </w:rPr>
              <w:t xml:space="preserve"> </w:t>
            </w:r>
            <w:r w:rsidRPr="65D9A205">
              <w:rPr>
                <w:rFonts w:eastAsia="Calibri" w:cs="Calibri"/>
                <w:b/>
                <w:bCs/>
                <w:sz w:val="20"/>
                <w:szCs w:val="20"/>
              </w:rPr>
              <w:t>AMU data shared internationally</w:t>
            </w:r>
            <w:r w:rsidRPr="65D9A205">
              <w:rPr>
                <w:rFonts w:eastAsia="Calibri" w:cs="Calibri"/>
                <w:sz w:val="20"/>
                <w:szCs w:val="20"/>
              </w:rPr>
              <w:t xml:space="preserve"> with OIE since 2018? Which reporting option was used then and which reporting option is used now?:</w:t>
            </w:r>
            <w:r>
              <w:br/>
            </w:r>
            <w:r w:rsidRPr="65D9A205">
              <w:rPr>
                <w:rFonts w:eastAsia="Calibri" w:cs="Calibri"/>
                <w:sz w:val="20"/>
                <w:szCs w:val="20"/>
              </w:rPr>
              <w:t xml:space="preserve">Reporting Option 1: allows countries to distinguish </w:t>
            </w:r>
            <w:r w:rsidRPr="65D9A205">
              <w:rPr>
                <w:rFonts w:eastAsia="Calibri" w:cs="Calibri"/>
                <w:sz w:val="20"/>
                <w:szCs w:val="20"/>
                <w:u w:val="single"/>
              </w:rPr>
              <w:t>quantities</w:t>
            </w:r>
            <w:r w:rsidRPr="65D9A205">
              <w:rPr>
                <w:rFonts w:eastAsia="Calibri" w:cs="Calibri"/>
                <w:sz w:val="20"/>
                <w:szCs w:val="20"/>
              </w:rPr>
              <w:t xml:space="preserve"> of antimicrobial agents by </w:t>
            </w:r>
            <w:r w:rsidRPr="65D9A205">
              <w:rPr>
                <w:rFonts w:eastAsia="Calibri" w:cs="Calibri"/>
                <w:sz w:val="20"/>
                <w:szCs w:val="20"/>
                <w:u w:val="single"/>
              </w:rPr>
              <w:t>type of use</w:t>
            </w:r>
            <w:r w:rsidRPr="65D9A205">
              <w:rPr>
                <w:rFonts w:eastAsia="Calibri" w:cs="Calibri"/>
                <w:sz w:val="20"/>
                <w:szCs w:val="20"/>
              </w:rPr>
              <w:t xml:space="preserve"> (therapeutic or growth promotion);  </w:t>
            </w:r>
            <w:r>
              <w:br/>
            </w:r>
            <w:r w:rsidRPr="65D9A205">
              <w:rPr>
                <w:rFonts w:eastAsia="Calibri" w:cs="Calibri"/>
                <w:sz w:val="20"/>
                <w:szCs w:val="20"/>
              </w:rPr>
              <w:t xml:space="preserve">Reporting Option 2: allows countries to distinguish </w:t>
            </w:r>
            <w:r w:rsidRPr="65D9A205">
              <w:rPr>
                <w:rFonts w:eastAsia="Calibri" w:cs="Calibri"/>
                <w:sz w:val="20"/>
                <w:szCs w:val="20"/>
                <w:u w:val="single"/>
              </w:rPr>
              <w:t>quantities</w:t>
            </w:r>
            <w:r w:rsidRPr="65D9A205">
              <w:rPr>
                <w:rFonts w:eastAsia="Calibri" w:cs="Calibri"/>
                <w:sz w:val="20"/>
                <w:szCs w:val="20"/>
              </w:rPr>
              <w:t xml:space="preserve"> of antimicrobial agents by </w:t>
            </w:r>
            <w:r w:rsidRPr="65D9A205">
              <w:rPr>
                <w:rFonts w:eastAsia="Calibri" w:cs="Calibri"/>
                <w:sz w:val="20"/>
                <w:szCs w:val="20"/>
                <w:u w:val="single"/>
              </w:rPr>
              <w:t>type of use</w:t>
            </w:r>
            <w:r w:rsidRPr="65D9A205">
              <w:rPr>
                <w:rFonts w:eastAsia="Calibri" w:cs="Calibri"/>
                <w:sz w:val="20"/>
                <w:szCs w:val="20"/>
              </w:rPr>
              <w:t xml:space="preserve"> and </w:t>
            </w:r>
            <w:r w:rsidRPr="65D9A205">
              <w:rPr>
                <w:rFonts w:eastAsia="Calibri" w:cs="Calibri"/>
                <w:sz w:val="20"/>
                <w:szCs w:val="20"/>
                <w:u w:val="single"/>
              </w:rPr>
              <w:t>animal groups</w:t>
            </w:r>
            <w:r w:rsidRPr="65D9A205">
              <w:rPr>
                <w:rFonts w:eastAsia="Calibri" w:cs="Calibri"/>
                <w:sz w:val="20"/>
                <w:szCs w:val="20"/>
              </w:rPr>
              <w:t xml:space="preserve"> (food-producing terrestrial and aquatic species and companion animals);  </w:t>
            </w:r>
            <w:r>
              <w:br/>
            </w:r>
            <w:r w:rsidRPr="65D9A205">
              <w:rPr>
                <w:rFonts w:eastAsia="Calibri" w:cs="Calibri"/>
                <w:sz w:val="20"/>
                <w:szCs w:val="20"/>
              </w:rPr>
              <w:t xml:space="preserve">Reporting Option 3: allows countries to distinguish </w:t>
            </w:r>
            <w:r w:rsidRPr="65D9A205">
              <w:rPr>
                <w:rFonts w:eastAsia="Calibri" w:cs="Calibri"/>
                <w:sz w:val="20"/>
                <w:szCs w:val="20"/>
                <w:u w:val="single"/>
              </w:rPr>
              <w:t>quantities</w:t>
            </w:r>
            <w:r w:rsidRPr="65D9A205">
              <w:rPr>
                <w:rFonts w:eastAsia="Calibri" w:cs="Calibri"/>
                <w:sz w:val="20"/>
                <w:szCs w:val="20"/>
              </w:rPr>
              <w:t xml:space="preserve"> of antimicrobial agents by </w:t>
            </w:r>
            <w:r w:rsidRPr="65D9A205">
              <w:rPr>
                <w:rFonts w:eastAsia="Calibri" w:cs="Calibri"/>
                <w:sz w:val="20"/>
                <w:szCs w:val="20"/>
                <w:u w:val="single"/>
              </w:rPr>
              <w:t>type of use</w:t>
            </w:r>
            <w:r w:rsidRPr="65D9A205">
              <w:rPr>
                <w:rFonts w:eastAsia="Calibri" w:cs="Calibri"/>
                <w:sz w:val="20"/>
                <w:szCs w:val="20"/>
              </w:rPr>
              <w:t xml:space="preserve"> and (distinguishing by group of animals is optional)   </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6B904904" w14:textId="44D50CE2" w:rsidR="65D9A205" w:rsidRDefault="65D9A205" w:rsidP="65D9A205">
            <w:pPr>
              <w:rPr>
                <w:rFonts w:eastAsia="Calibri" w:cs="Calibri"/>
                <w:sz w:val="20"/>
                <w:szCs w:val="20"/>
              </w:rPr>
            </w:pPr>
          </w:p>
        </w:tc>
      </w:tr>
      <w:tr w:rsidR="65D9A205" w14:paraId="7D09B41D" w14:textId="77777777" w:rsidTr="65D9A205">
        <w:trPr>
          <w:trHeight w:val="945"/>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69A5D0E" w14:textId="3C4ED937" w:rsidR="65D9A205" w:rsidRDefault="65D9A205" w:rsidP="65D9A205">
            <w:pPr>
              <w:rPr>
                <w:rFonts w:eastAsia="Calibri" w:cs="Calibri"/>
                <w:color w:val="000000"/>
                <w:sz w:val="20"/>
                <w:szCs w:val="20"/>
              </w:rPr>
            </w:pPr>
            <w:r w:rsidRPr="65D9A205">
              <w:rPr>
                <w:rFonts w:eastAsia="Calibri" w:cs="Calibri"/>
                <w:color w:val="000000"/>
                <w:sz w:val="20"/>
                <w:szCs w:val="20"/>
              </w:rPr>
              <w:t>EQ5 (AH)</w:t>
            </w:r>
            <w:r w:rsidRPr="00263CAE">
              <w:rPr>
                <w:rFonts w:eastAsia="Calibri" w:cs="Calibri"/>
                <w:color w:val="000000"/>
                <w:sz w:val="20"/>
                <w:szCs w:val="20"/>
              </w:rPr>
              <w:t xml:space="preserve"> / Change 5</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52EDC71" w14:textId="037808E1"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and in which ways do you think the </w:t>
            </w:r>
            <w:r w:rsidRPr="65D9A205">
              <w:rPr>
                <w:rFonts w:eastAsia="Calibri" w:cs="Calibri"/>
                <w:b/>
                <w:bCs/>
                <w:color w:val="000000"/>
                <w:sz w:val="20"/>
                <w:szCs w:val="20"/>
              </w:rPr>
              <w:t>quality</w:t>
            </w:r>
            <w:r w:rsidRPr="65D9A205">
              <w:rPr>
                <w:rFonts w:eastAsia="Calibri" w:cs="Calibri"/>
                <w:color w:val="000000"/>
                <w:sz w:val="20"/>
                <w:szCs w:val="20"/>
              </w:rPr>
              <w:t xml:space="preserve"> of AMU data </w:t>
            </w:r>
            <w:r w:rsidRPr="65D9A205">
              <w:rPr>
                <w:rFonts w:eastAsia="Calibri" w:cs="Calibri"/>
                <w:b/>
                <w:bCs/>
                <w:color w:val="000000"/>
                <w:sz w:val="20"/>
                <w:szCs w:val="20"/>
              </w:rPr>
              <w:t xml:space="preserve">reported to OIE </w:t>
            </w:r>
            <w:r w:rsidRPr="65D9A205">
              <w:rPr>
                <w:rFonts w:eastAsia="Calibri" w:cs="Calibri"/>
                <w:color w:val="000000"/>
                <w:sz w:val="20"/>
                <w:szCs w:val="20"/>
              </w:rPr>
              <w:t>has improved since 2018? (including</w:t>
            </w:r>
            <w:r w:rsidRPr="65D9A205">
              <w:rPr>
                <w:rFonts w:eastAsia="Calibri" w:cs="Calibri"/>
                <w:color w:val="D13438"/>
                <w:sz w:val="20"/>
                <w:szCs w:val="20"/>
                <w:u w:val="single"/>
              </w:rPr>
              <w:t xml:space="preserve"> </w:t>
            </w:r>
            <w:r w:rsidRPr="65D9A205">
              <w:rPr>
                <w:rFonts w:eastAsia="Calibri" w:cs="Calibri"/>
                <w:color w:val="000000"/>
                <w:sz w:val="20"/>
                <w:szCs w:val="20"/>
              </w:rPr>
              <w:t>changes within reporting options)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1ADF9E4" w14:textId="072C3CCA" w:rsidR="65D9A205" w:rsidRDefault="65D9A205" w:rsidP="65D9A205">
            <w:pPr>
              <w:rPr>
                <w:rFonts w:eastAsia="Calibri" w:cs="Calibri"/>
                <w:color w:val="000000"/>
                <w:sz w:val="20"/>
                <w:szCs w:val="20"/>
              </w:rPr>
            </w:pPr>
          </w:p>
        </w:tc>
      </w:tr>
      <w:tr w:rsidR="65D9A205" w14:paraId="3676268A" w14:textId="77777777" w:rsidTr="65D9A205">
        <w:trPr>
          <w:trHeight w:val="1515"/>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A6B18FA" w14:textId="112BAF4E" w:rsidR="65D9A205" w:rsidRDefault="65D9A205" w:rsidP="65D9A205">
            <w:pPr>
              <w:rPr>
                <w:rFonts w:eastAsia="Calibri" w:cs="Calibri"/>
                <w:color w:val="000000"/>
                <w:sz w:val="20"/>
                <w:szCs w:val="20"/>
              </w:rPr>
            </w:pPr>
            <w:r w:rsidRPr="65D9A205">
              <w:rPr>
                <w:rFonts w:eastAsia="Calibri" w:cs="Calibri"/>
                <w:color w:val="000000"/>
                <w:sz w:val="20"/>
                <w:szCs w:val="20"/>
              </w:rPr>
              <w:t>EQ5 (AH)</w:t>
            </w:r>
            <w:r w:rsidRPr="00263CAE">
              <w:rPr>
                <w:rFonts w:eastAsia="Calibri" w:cs="Calibri"/>
                <w:color w:val="000000"/>
                <w:sz w:val="20"/>
                <w:szCs w:val="20"/>
              </w:rPr>
              <w:t xml:space="preserve"> / Change 5</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5CEB9104" w14:textId="2E0DF5E7"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were the </w:t>
            </w:r>
            <w:r w:rsidRPr="65D9A205">
              <w:rPr>
                <w:rFonts w:eastAsia="Calibri" w:cs="Calibri"/>
                <w:b/>
                <w:bCs/>
                <w:color w:val="000000"/>
                <w:sz w:val="20"/>
                <w:szCs w:val="20"/>
              </w:rPr>
              <w:t>key change drivers/factors, in order of importance</w:t>
            </w:r>
            <w:r w:rsidRPr="65D9A205">
              <w:rPr>
                <w:rFonts w:eastAsia="Calibri" w:cs="Calibri"/>
                <w:color w:val="000000"/>
                <w:sz w:val="20"/>
                <w:szCs w:val="20"/>
              </w:rPr>
              <w:t xml:space="preserve">, behind such change? </w:t>
            </w:r>
            <w:r w:rsidRPr="00263CAE">
              <w:rPr>
                <w:rFonts w:eastAsia="Calibri" w:cs="Calibri"/>
                <w:color w:val="000000"/>
                <w:sz w:val="20"/>
                <w:szCs w:val="20"/>
              </w:rPr>
              <w:t>Probes: more and better data available from the surveillance system (in which case refer to QUANT &amp; QUAL contribution stories), data sharing process and systems, resourcing, incentives, cooperation, TA etc</w:t>
            </w:r>
            <w:r w:rsidRPr="65D9A205">
              <w:rPr>
                <w:rFonts w:eastAsia="Calibri" w:cs="Calibri"/>
                <w:color w:val="D13438"/>
                <w:sz w:val="20"/>
                <w:szCs w:val="20"/>
                <w:u w:val="single"/>
              </w:rPr>
              <w:t xml:space="preserve"> </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46F7196C" w14:textId="459ECE05" w:rsidR="65D9A205" w:rsidRDefault="65D9A205" w:rsidP="65D9A205">
            <w:pPr>
              <w:rPr>
                <w:rFonts w:eastAsia="Calibri" w:cs="Calibri"/>
                <w:color w:val="000000"/>
                <w:sz w:val="20"/>
                <w:szCs w:val="20"/>
              </w:rPr>
            </w:pPr>
          </w:p>
        </w:tc>
      </w:tr>
      <w:tr w:rsidR="65D9A205" w14:paraId="37F06FF9"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89FBF6E" w14:textId="6D1A085E" w:rsidR="65D9A205" w:rsidRDefault="65D9A205" w:rsidP="65D9A205">
            <w:pPr>
              <w:rPr>
                <w:rFonts w:eastAsia="Calibri" w:cs="Calibri"/>
                <w:color w:val="000000"/>
                <w:sz w:val="20"/>
                <w:szCs w:val="20"/>
              </w:rPr>
            </w:pPr>
            <w:r w:rsidRPr="65D9A205">
              <w:rPr>
                <w:rFonts w:eastAsia="Calibri" w:cs="Calibri"/>
                <w:color w:val="000000"/>
                <w:sz w:val="20"/>
                <w:szCs w:val="20"/>
              </w:rPr>
              <w:t>EQ5 (AH)</w:t>
            </w:r>
            <w:r w:rsidRPr="00263CAE">
              <w:rPr>
                <w:rFonts w:eastAsia="Calibri" w:cs="Calibri"/>
                <w:color w:val="000000"/>
                <w:sz w:val="20"/>
                <w:szCs w:val="20"/>
              </w:rPr>
              <w:t xml:space="preserve"> / Change 5</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493BFC38" w14:textId="2200A8AF"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w:t>
            </w:r>
            <w:r w:rsidRPr="65D9A205">
              <w:rPr>
                <w:rFonts w:eastAsia="Calibri" w:cs="Calibri"/>
                <w:color w:val="000000"/>
                <w:sz w:val="20"/>
                <w:szCs w:val="20"/>
              </w:rPr>
              <w:t xml:space="preserve"> to those drivers?</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4BD6AAA3" w14:textId="640E2120" w:rsidR="65D9A205" w:rsidRDefault="65D9A205" w:rsidP="65D9A205">
            <w:pPr>
              <w:rPr>
                <w:rFonts w:eastAsia="Calibri" w:cs="Calibri"/>
                <w:color w:val="000000"/>
                <w:sz w:val="20"/>
                <w:szCs w:val="20"/>
              </w:rPr>
            </w:pPr>
          </w:p>
        </w:tc>
      </w:tr>
      <w:tr w:rsidR="65D9A205" w14:paraId="1025BB24" w14:textId="77777777" w:rsidTr="65D9A205">
        <w:trPr>
          <w:trHeight w:val="525"/>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B4CA147" w14:textId="76A7744E" w:rsidR="65D9A205" w:rsidRDefault="65D9A205" w:rsidP="65D9A205">
            <w:pPr>
              <w:rPr>
                <w:rFonts w:eastAsia="Calibri" w:cs="Calibri"/>
                <w:color w:val="000000"/>
                <w:sz w:val="20"/>
                <w:szCs w:val="20"/>
              </w:rPr>
            </w:pPr>
            <w:r w:rsidRPr="65D9A205">
              <w:rPr>
                <w:rFonts w:eastAsia="Calibri" w:cs="Calibri"/>
                <w:color w:val="000000"/>
                <w:sz w:val="20"/>
                <w:szCs w:val="20"/>
              </w:rPr>
              <w:t>EQ5 (AH)</w:t>
            </w:r>
            <w:r w:rsidRPr="00263CAE">
              <w:rPr>
                <w:rFonts w:eastAsia="Calibri" w:cs="Calibri"/>
                <w:color w:val="000000"/>
                <w:sz w:val="20"/>
                <w:szCs w:val="20"/>
              </w:rPr>
              <w:t xml:space="preserve"> / Change 5</w:t>
            </w:r>
          </w:p>
        </w:tc>
        <w:tc>
          <w:tcPr>
            <w:tcW w:w="6270" w:type="dxa"/>
            <w:tcBorders>
              <w:top w:val="single" w:sz="6" w:space="0" w:color="auto"/>
              <w:left w:val="single" w:sz="6" w:space="0" w:color="auto"/>
              <w:bottom w:val="nil"/>
              <w:right w:val="nil"/>
            </w:tcBorders>
            <w:shd w:val="clear" w:color="auto" w:fill="FCE4D6"/>
            <w:tcMar>
              <w:left w:w="105" w:type="dxa"/>
              <w:right w:w="105" w:type="dxa"/>
            </w:tcMar>
            <w:vAlign w:val="bottom"/>
          </w:tcPr>
          <w:p w14:paraId="1062B987" w14:textId="08D910A6"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no or negative change</w:t>
            </w:r>
            <w:r w:rsidRPr="65D9A205">
              <w:rPr>
                <w:rFonts w:eastAsia="Calibri" w:cs="Calibri"/>
                <w:color w:val="000000"/>
                <w:sz w:val="20"/>
                <w:szCs w:val="20"/>
              </w:rPr>
              <w:t xml:space="preserve"> in this area, </w:t>
            </w:r>
            <w:r w:rsidRPr="65D9A205">
              <w:rPr>
                <w:rFonts w:eastAsia="Calibri" w:cs="Calibri"/>
                <w:b/>
                <w:bCs/>
                <w:color w:val="000000"/>
                <w:sz w:val="20"/>
                <w:szCs w:val="20"/>
              </w:rPr>
              <w:t>why</w:t>
            </w:r>
            <w:r w:rsidRPr="65D9A205">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nil"/>
              <w:bottom w:val="nil"/>
              <w:right w:val="nil"/>
            </w:tcBorders>
            <w:shd w:val="clear" w:color="auto" w:fill="FCE4D6"/>
            <w:tcMar>
              <w:left w:w="105" w:type="dxa"/>
              <w:right w:w="105" w:type="dxa"/>
            </w:tcMar>
          </w:tcPr>
          <w:p w14:paraId="0720E4CB" w14:textId="3B7B6BFA" w:rsidR="65D9A205" w:rsidRDefault="65D9A205" w:rsidP="65D9A205">
            <w:pPr>
              <w:rPr>
                <w:rFonts w:eastAsia="Calibri" w:cs="Calibri"/>
                <w:color w:val="000000"/>
                <w:sz w:val="20"/>
                <w:szCs w:val="20"/>
              </w:rPr>
            </w:pPr>
          </w:p>
        </w:tc>
      </w:tr>
      <w:tr w:rsidR="65D9A205" w14:paraId="38DC173E" w14:textId="77777777" w:rsidTr="65D9A205">
        <w:trPr>
          <w:trHeight w:val="12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5D31DC4" w14:textId="4FD9F081" w:rsidR="65D9A205" w:rsidRDefault="65D9A205" w:rsidP="65D9A205">
            <w:pPr>
              <w:rPr>
                <w:rFonts w:eastAsia="Calibri" w:cs="Calibri"/>
                <w:color w:val="000000"/>
              </w:rPr>
            </w:pPr>
            <w:r w:rsidRPr="65D9A205">
              <w:rPr>
                <w:rFonts w:eastAsia="Calibri" w:cs="Calibri"/>
                <w:color w:val="00000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3B6DB53" w14:textId="1F24211D"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Fleming Fund's investments</w:t>
            </w:r>
            <w:r w:rsidRPr="65D9A205">
              <w:rPr>
                <w:rFonts w:eastAsia="Calibri" w:cs="Calibri"/>
                <w:color w:val="000000"/>
                <w:sz w:val="20"/>
                <w:szCs w:val="20"/>
              </w:rPr>
              <w:t xml:space="preserve"> been </w:t>
            </w:r>
            <w:r w:rsidRPr="65D9A205">
              <w:rPr>
                <w:rFonts w:eastAsia="Calibri" w:cs="Calibri"/>
                <w:b/>
                <w:bCs/>
                <w:color w:val="000000"/>
                <w:sz w:val="20"/>
                <w:szCs w:val="20"/>
              </w:rPr>
              <w:t>aligned</w:t>
            </w:r>
            <w:r w:rsidRPr="65D9A205">
              <w:rPr>
                <w:rFonts w:eastAsia="Calibri" w:cs="Calibri"/>
                <w:color w:val="000000"/>
                <w:sz w:val="20"/>
                <w:szCs w:val="20"/>
              </w:rPr>
              <w:t xml:space="preserve"> with the NAP and other government policies/plans?</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government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was alignment ensured?</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09AAD76F" w14:textId="47D77BF7" w:rsidR="65D9A205" w:rsidRDefault="65D9A205" w:rsidP="65D9A205">
            <w:pPr>
              <w:rPr>
                <w:rFonts w:eastAsia="Calibri" w:cs="Calibri"/>
                <w:color w:val="000000"/>
                <w:sz w:val="20"/>
                <w:szCs w:val="20"/>
              </w:rPr>
            </w:pPr>
          </w:p>
        </w:tc>
      </w:tr>
      <w:tr w:rsidR="65D9A205" w14:paraId="510CE3F4"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754E577" w14:textId="314133C4" w:rsidR="65D9A205" w:rsidRDefault="65D9A205" w:rsidP="65D9A205">
            <w:pPr>
              <w:rPr>
                <w:rFonts w:eastAsia="Calibri" w:cs="Calibri"/>
                <w:color w:val="000000"/>
              </w:rPr>
            </w:pPr>
            <w:r w:rsidRPr="65D9A205">
              <w:rPr>
                <w:rFonts w:eastAsia="Calibri" w:cs="Calibri"/>
                <w:color w:val="00000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E398B16" w14:textId="30240D55"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 xml:space="preserve">Fleming Fund's investments </w:t>
            </w:r>
            <w:r w:rsidRPr="65D9A205">
              <w:rPr>
                <w:rFonts w:eastAsia="Calibri" w:cs="Calibri"/>
                <w:color w:val="000000"/>
                <w:sz w:val="20"/>
                <w:szCs w:val="20"/>
              </w:rPr>
              <w:t xml:space="preserve">been </w:t>
            </w:r>
            <w:r w:rsidRPr="65D9A205">
              <w:rPr>
                <w:rFonts w:eastAsia="Calibri" w:cs="Calibri"/>
                <w:b/>
                <w:bCs/>
                <w:color w:val="000000"/>
                <w:sz w:val="20"/>
                <w:szCs w:val="20"/>
              </w:rPr>
              <w:t>aligned with interventions</w:t>
            </w:r>
            <w:r w:rsidRPr="65D9A205">
              <w:rPr>
                <w:rFonts w:eastAsia="Calibri" w:cs="Calibri"/>
                <w:color w:val="000000"/>
                <w:sz w:val="20"/>
                <w:szCs w:val="20"/>
              </w:rPr>
              <w:t xml:space="preserve"> funded </w:t>
            </w:r>
            <w:r w:rsidRPr="65D9A205">
              <w:rPr>
                <w:rFonts w:eastAsia="Calibri" w:cs="Calibri"/>
                <w:b/>
                <w:bCs/>
                <w:color w:val="000000"/>
                <w:sz w:val="20"/>
                <w:szCs w:val="20"/>
              </w:rPr>
              <w:t>by other DPs</w:t>
            </w:r>
            <w:r w:rsidRPr="65D9A205">
              <w:rPr>
                <w:rFonts w:eastAsia="Calibri" w:cs="Calibri"/>
                <w:color w:val="000000"/>
                <w:sz w:val="20"/>
                <w:szCs w:val="20"/>
              </w:rPr>
              <w:t>?</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DP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did the Fleming Fund coordinate with other DPs involved in AMR / lab strengthening in country?</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09D05659" w14:textId="6B54CAB1" w:rsidR="65D9A205" w:rsidRDefault="65D9A205" w:rsidP="65D9A205">
            <w:pPr>
              <w:rPr>
                <w:rFonts w:eastAsia="Calibri" w:cs="Calibri"/>
                <w:color w:val="000000"/>
                <w:sz w:val="20"/>
                <w:szCs w:val="20"/>
              </w:rPr>
            </w:pPr>
            <w:r w:rsidRPr="00263CAE">
              <w:rPr>
                <w:rFonts w:eastAsia="Calibri" w:cs="Calibri"/>
                <w:color w:val="000000"/>
                <w:sz w:val="20"/>
                <w:szCs w:val="20"/>
              </w:rPr>
              <w:t>Also ask about alignment btw fellowships and CG support, satisfaction with fellowship/mentor and whether enough time to complete the fellowship activities</w:t>
            </w:r>
            <w:r w:rsidRPr="65D9A205">
              <w:rPr>
                <w:rFonts w:eastAsia="Calibri" w:cs="Calibri"/>
                <w:color w:val="D13438"/>
                <w:sz w:val="20"/>
                <w:szCs w:val="20"/>
                <w:u w:val="single"/>
              </w:rPr>
              <w:t xml:space="preserve"> </w:t>
            </w:r>
          </w:p>
        </w:tc>
      </w:tr>
      <w:tr w:rsidR="65D9A205" w14:paraId="3E3FFBB0" w14:textId="77777777" w:rsidTr="00C90FD0">
        <w:trPr>
          <w:trHeight w:val="68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A4B116A" w14:textId="13A87FD5"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23359D7" w14:textId="0D60590B" w:rsidR="65D9A205" w:rsidRDefault="65D9A205" w:rsidP="65D9A205">
            <w:pPr>
              <w:rPr>
                <w:rFonts w:eastAsia="Calibri" w:cs="Calibri"/>
                <w:color w:val="444444"/>
              </w:rPr>
            </w:pPr>
            <w:r w:rsidRPr="65D9A205">
              <w:rPr>
                <w:rFonts w:eastAsia="Calibri" w:cs="Calibri"/>
                <w:strike/>
                <w:color w:val="D13438"/>
              </w:rPr>
              <w:t xml:space="preserve"> </w:t>
            </w:r>
            <w:r w:rsidRPr="65D9A205">
              <w:rPr>
                <w:rFonts w:eastAsia="Calibri" w:cs="Calibri"/>
                <w:color w:val="444444"/>
              </w:rPr>
              <w:t xml:space="preserve">To what extent do you think the required </w:t>
            </w:r>
            <w:r w:rsidRPr="65D9A205">
              <w:rPr>
                <w:rFonts w:eastAsia="Calibri" w:cs="Calibri"/>
                <w:b/>
                <w:bCs/>
                <w:color w:val="444444"/>
              </w:rPr>
              <w:t>capacity</w:t>
            </w:r>
            <w:r w:rsidRPr="65D9A205">
              <w:rPr>
                <w:rFonts w:eastAsia="Calibri" w:cs="Calibri"/>
                <w:color w:val="444444"/>
              </w:rPr>
              <w:t xml:space="preserve"> exists to </w:t>
            </w:r>
            <w:r w:rsidRPr="65D9A205">
              <w:rPr>
                <w:rFonts w:eastAsia="Calibri" w:cs="Calibri"/>
                <w:b/>
                <w:bCs/>
                <w:color w:val="444444"/>
              </w:rPr>
              <w:t>sustain</w:t>
            </w:r>
            <w:r w:rsidRPr="65D9A205">
              <w:rPr>
                <w:rFonts w:eastAsia="Calibri" w:cs="Calibri"/>
                <w:color w:val="444444"/>
              </w:rPr>
              <w:t xml:space="preserve">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719F95D4" w14:textId="1D7C0B5F" w:rsidR="65D9A205" w:rsidRDefault="65D9A205" w:rsidP="65D9A205">
            <w:pPr>
              <w:rPr>
                <w:rFonts w:eastAsia="Calibri" w:cs="Calibri"/>
                <w:color w:val="000000"/>
                <w:sz w:val="20"/>
                <w:szCs w:val="20"/>
              </w:rPr>
            </w:pPr>
          </w:p>
        </w:tc>
      </w:tr>
      <w:tr w:rsidR="65D9A205" w14:paraId="746B0236"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8E25EAB" w14:textId="2F40FB17"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CA86A3C" w14:textId="340C78D6" w:rsidR="65D9A205" w:rsidRDefault="65D9A205" w:rsidP="65D9A205">
            <w:pPr>
              <w:rPr>
                <w:rFonts w:eastAsia="Calibri" w:cs="Calibri"/>
                <w:color w:val="444444"/>
              </w:rPr>
            </w:pPr>
            <w:r w:rsidRPr="65D9A205">
              <w:rPr>
                <w:rFonts w:eastAsia="Calibri" w:cs="Calibri"/>
                <w:strike/>
                <w:color w:val="D13438"/>
              </w:rPr>
              <w:t xml:space="preserve"> </w:t>
            </w:r>
            <w:r w:rsidRPr="65D9A205">
              <w:rPr>
                <w:rFonts w:eastAsia="Calibri" w:cs="Calibri"/>
                <w:color w:val="444444"/>
              </w:rPr>
              <w:t xml:space="preserve">To what extent do you think staff are </w:t>
            </w:r>
            <w:r w:rsidRPr="65D9A205">
              <w:rPr>
                <w:rFonts w:eastAsia="Calibri" w:cs="Calibri"/>
                <w:b/>
                <w:bCs/>
                <w:color w:val="444444"/>
              </w:rPr>
              <w:t>motivated</w:t>
            </w:r>
            <w:r w:rsidRPr="65D9A205">
              <w:rPr>
                <w:rFonts w:eastAsia="Calibri" w:cs="Calibri"/>
                <w:color w:val="444444"/>
              </w:rPr>
              <w:t xml:space="preserve"> to put new skills / responsibilities required to maintain AMR surveillence? PROBES: Is throughput sufficient? Are consumable supplies assured? Are </w:t>
            </w:r>
            <w:r w:rsidRPr="65D9A205">
              <w:rPr>
                <w:rFonts w:eastAsia="Calibri" w:cs="Calibri"/>
                <w:b/>
                <w:bCs/>
                <w:color w:val="444444"/>
              </w:rPr>
              <w:t>managers</w:t>
            </w:r>
            <w:r w:rsidRPr="65D9A205">
              <w:rPr>
                <w:rFonts w:eastAsia="Calibri" w:cs="Calibri"/>
                <w:color w:val="444444"/>
              </w:rPr>
              <w:t xml:space="preserve"> and institutions (eg AMRCC) </w:t>
            </w:r>
            <w:r w:rsidRPr="65D9A205">
              <w:rPr>
                <w:rFonts w:eastAsia="Calibri" w:cs="Calibri"/>
                <w:b/>
                <w:bCs/>
                <w:color w:val="444444"/>
              </w:rPr>
              <w:t>interested</w:t>
            </w:r>
            <w:r w:rsidRPr="65D9A205">
              <w:rPr>
                <w:rFonts w:eastAsia="Calibri" w:cs="Calibri"/>
                <w:color w:val="444444"/>
              </w:rPr>
              <w:t xml:space="preserve"> in outputs and providing feedback? Will </w:t>
            </w:r>
            <w:r w:rsidRPr="65D9A205">
              <w:rPr>
                <w:rFonts w:eastAsia="Calibri" w:cs="Calibri"/>
                <w:b/>
                <w:bCs/>
                <w:color w:val="444444"/>
              </w:rPr>
              <w:t>competing demands</w:t>
            </w:r>
            <w:r w:rsidRPr="65D9A205">
              <w:rPr>
                <w:rFonts w:eastAsia="Calibri" w:cs="Calibri"/>
                <w:color w:val="444444"/>
              </w:rPr>
              <w:t xml:space="preserve"> crowd in? Are there adequate plans in place to address any concerns?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5BF8BF0E" w14:textId="3CB5E1DC" w:rsidR="65D9A205" w:rsidRDefault="65D9A205" w:rsidP="65D9A205">
            <w:pPr>
              <w:rPr>
                <w:rFonts w:eastAsia="Calibri" w:cs="Calibri"/>
                <w:color w:val="000000"/>
                <w:sz w:val="20"/>
                <w:szCs w:val="20"/>
              </w:rPr>
            </w:pPr>
          </w:p>
        </w:tc>
      </w:tr>
      <w:tr w:rsidR="65D9A205" w14:paraId="4C29810D" w14:textId="77777777" w:rsidTr="65D9A205">
        <w:trPr>
          <w:trHeight w:val="159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2B62595" w14:textId="334CFC38"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8EDBA3A" w14:textId="0E3243BE" w:rsidR="65D9A205" w:rsidRDefault="65D9A205" w:rsidP="65D9A205">
            <w:pPr>
              <w:rPr>
                <w:rFonts w:eastAsia="Calibri" w:cs="Calibri"/>
                <w:color w:val="000000"/>
                <w:sz w:val="20"/>
                <w:szCs w:val="20"/>
              </w:rPr>
            </w:pPr>
            <w:r w:rsidRPr="65D9A205">
              <w:rPr>
                <w:rFonts w:eastAsia="Calibri" w:cs="Calibri"/>
                <w:color w:val="000000"/>
                <w:sz w:val="20"/>
                <w:szCs w:val="20"/>
              </w:rPr>
              <w:t xml:space="preserve">Do you think that surveillance data is already being used to </w:t>
            </w:r>
            <w:r w:rsidRPr="65D9A205">
              <w:rPr>
                <w:rFonts w:eastAsia="Calibri" w:cs="Calibri"/>
                <w:b/>
                <w:bCs/>
                <w:color w:val="000000"/>
                <w:sz w:val="20"/>
                <w:szCs w:val="20"/>
              </w:rPr>
              <w:t>inform strong national actions on AMR</w:t>
            </w:r>
            <w:r w:rsidRPr="65D9A205">
              <w:rPr>
                <w:rFonts w:eastAsia="Calibri" w:cs="Calibri"/>
                <w:color w:val="000000"/>
                <w:sz w:val="20"/>
                <w:szCs w:val="20"/>
              </w:rPr>
              <w:t xml:space="preserve"> (policy implementation, regulatory change or change to national clinical guidelines?)  If yes, please give examples  PROBE: How did Fleming Fund activities contribute to these actions? If no, do you think that the main use so far has been for </w:t>
            </w:r>
            <w:r w:rsidRPr="65D9A205">
              <w:rPr>
                <w:rFonts w:eastAsia="Calibri" w:cs="Calibri"/>
                <w:b/>
                <w:bCs/>
                <w:color w:val="000000"/>
                <w:sz w:val="20"/>
                <w:szCs w:val="20"/>
              </w:rPr>
              <w:t>general awareness-</w:t>
            </w:r>
            <w:r w:rsidRPr="65D9A205">
              <w:rPr>
                <w:rFonts w:eastAsia="Calibri" w:cs="Calibri"/>
                <w:color w:val="000000"/>
                <w:sz w:val="20"/>
                <w:szCs w:val="20"/>
              </w:rPr>
              <w:t xml:space="preserve">raising in professional and policy networks? PROBE: Do you think that we are still at an early stage of the cycle of AMR data analysis for policy?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4802222" w14:textId="48FA1DE2" w:rsidR="65D9A205" w:rsidRDefault="65D9A205" w:rsidP="65D9A205">
            <w:pPr>
              <w:rPr>
                <w:rFonts w:eastAsia="Calibri" w:cs="Calibri"/>
                <w:color w:val="000000"/>
                <w:sz w:val="20"/>
                <w:szCs w:val="20"/>
              </w:rPr>
            </w:pPr>
          </w:p>
        </w:tc>
      </w:tr>
      <w:tr w:rsidR="65D9A205" w14:paraId="02547D75" w14:textId="77777777" w:rsidTr="65D9A205">
        <w:trPr>
          <w:trHeight w:val="129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CBFED42" w14:textId="022F2492"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63CD1C05" w14:textId="02A4CDC2" w:rsidR="65D9A205" w:rsidRDefault="65D9A205" w:rsidP="65D9A205">
            <w:pPr>
              <w:rPr>
                <w:rFonts w:eastAsia="Calibri" w:cs="Calibri"/>
                <w:color w:val="000000"/>
                <w:sz w:val="20"/>
                <w:szCs w:val="20"/>
              </w:rPr>
            </w:pPr>
            <w:r w:rsidRPr="65D9A205">
              <w:rPr>
                <w:rFonts w:eastAsia="Calibri" w:cs="Calibri"/>
                <w:color w:val="000000"/>
                <w:sz w:val="20"/>
                <w:szCs w:val="20"/>
              </w:rPr>
              <w:t xml:space="preserve">Thinking about the kinds of strong national actions that might be relevant to AMR (for example controls on certain uses of antimicrobials or initiatives to change professional practices), can you think of </w:t>
            </w:r>
            <w:r w:rsidRPr="65D9A205">
              <w:rPr>
                <w:rFonts w:eastAsia="Calibri" w:cs="Calibri"/>
                <w:b/>
                <w:bCs/>
                <w:color w:val="000000"/>
                <w:sz w:val="20"/>
                <w:szCs w:val="20"/>
              </w:rPr>
              <w:t>examples from the past (prior to FF) and/or not motivated by surveillance data</w:t>
            </w:r>
            <w:r w:rsidRPr="65D9A205">
              <w:rPr>
                <w:rFonts w:eastAsia="Calibri" w:cs="Calibri"/>
                <w:color w:val="000000"/>
                <w:sz w:val="20"/>
                <w:szCs w:val="20"/>
              </w:rPr>
              <w:t xml:space="preserve">?  PROBE: (Refer to any examples suggested by MSA analysis or other information gathered) </w:t>
            </w:r>
            <w:r w:rsidRPr="65D9A205">
              <w:rPr>
                <w:rFonts w:eastAsia="Calibri" w:cs="Calibri"/>
                <w:strike/>
                <w:color w:val="D13438"/>
                <w:sz w:val="20"/>
                <w:szCs w:val="20"/>
              </w:rPr>
              <w:t xml:space="preserve"> </w:t>
            </w:r>
            <w:r w:rsidRPr="65D9A205">
              <w:rPr>
                <w:rFonts w:eastAsia="Calibri" w:cs="Calibri"/>
                <w:color w:val="000000"/>
                <w:sz w:val="20"/>
                <w:szCs w:val="20"/>
              </w:rPr>
              <w:t>If yes, please give details. PROBE: what is different now / what motivates action if not surveillance data?</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CB66A43" w14:textId="7B4C6464" w:rsidR="65D9A205" w:rsidRDefault="65D9A205" w:rsidP="65D9A205">
            <w:pPr>
              <w:rPr>
                <w:rFonts w:eastAsia="Calibri" w:cs="Calibri"/>
                <w:color w:val="000000"/>
                <w:sz w:val="20"/>
                <w:szCs w:val="20"/>
              </w:rPr>
            </w:pPr>
          </w:p>
        </w:tc>
      </w:tr>
      <w:tr w:rsidR="65D9A205" w14:paraId="00F1FA9E" w14:textId="77777777" w:rsidTr="00C90FD0">
        <w:trPr>
          <w:trHeight w:val="624"/>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ABE95CA" w14:textId="1F68B3F1"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F9BBF8A" w14:textId="08236422" w:rsidR="65D9A205" w:rsidRDefault="65D9A205" w:rsidP="65D9A205">
            <w:pPr>
              <w:rPr>
                <w:rFonts w:eastAsia="Calibri" w:cs="Calibri"/>
                <w:color w:val="000000"/>
                <w:sz w:val="20"/>
                <w:szCs w:val="20"/>
              </w:rPr>
            </w:pPr>
            <w:r w:rsidRPr="65D9A205">
              <w:rPr>
                <w:rFonts w:eastAsia="Calibri" w:cs="Calibri"/>
                <w:color w:val="000000"/>
                <w:sz w:val="20"/>
                <w:szCs w:val="20"/>
              </w:rPr>
              <w:t>What factors do you think are most important for national policymakers when considering whether AMR is a very severe and urgent problem? PROBE: (Refer to MSA on Indicators/Problem stream, test analysis)</w:t>
            </w:r>
            <w:r>
              <w:br/>
            </w:r>
            <w:r w:rsidRPr="65D9A205">
              <w:rPr>
                <w:rFonts w:eastAsia="Calibri" w:cs="Calibri"/>
                <w:color w:val="000000"/>
                <w:sz w:val="20"/>
                <w:szCs w:val="20"/>
              </w:rPr>
              <w:t xml:space="preserve">§ (if need more information on MSA </w:t>
            </w:r>
            <w:r w:rsidRPr="65D9A205">
              <w:rPr>
                <w:rFonts w:eastAsia="Calibri" w:cs="Calibri"/>
                <w:b/>
                <w:bCs/>
                <w:color w:val="000000"/>
                <w:sz w:val="20"/>
                <w:szCs w:val="20"/>
              </w:rPr>
              <w:t>Load</w:t>
            </w:r>
            <w:r w:rsidRPr="65D9A205">
              <w:rPr>
                <w:rFonts w:eastAsia="Calibri" w:cs="Calibri"/>
                <w:color w:val="000000"/>
                <w:sz w:val="20"/>
                <w:szCs w:val="20"/>
              </w:rPr>
              <w:t xml:space="preserve">) How does AMR compare to other health policy problems? </w:t>
            </w:r>
            <w:r>
              <w:br/>
            </w:r>
            <w:r w:rsidRPr="65D9A205">
              <w:rPr>
                <w:rFonts w:eastAsia="Calibri" w:cs="Calibri"/>
                <w:color w:val="000000"/>
                <w:sz w:val="20"/>
                <w:szCs w:val="20"/>
              </w:rPr>
              <w:t xml:space="preserve">§ (if need more information on MSA Feedback / TrACSS suggest </w:t>
            </w:r>
            <w:r w:rsidRPr="65D9A205">
              <w:rPr>
                <w:rFonts w:eastAsia="Calibri" w:cs="Calibri"/>
                <w:b/>
                <w:bCs/>
                <w:color w:val="000000"/>
                <w:sz w:val="20"/>
                <w:szCs w:val="20"/>
              </w:rPr>
              <w:t>links to other plans</w:t>
            </w:r>
            <w:r w:rsidRPr="65D9A205">
              <w:rPr>
                <w:rFonts w:eastAsia="Calibri" w:cs="Calibri"/>
                <w:color w:val="000000"/>
                <w:sz w:val="20"/>
                <w:szCs w:val="20"/>
              </w:rPr>
              <w:t xml:space="preserve">) Have public policy activities to address other problems started to suggest that AMR is important? </w:t>
            </w:r>
            <w:r>
              <w:br/>
            </w:r>
            <w:r w:rsidRPr="65D9A205">
              <w:rPr>
                <w:rFonts w:eastAsia="Calibri" w:cs="Calibri"/>
                <w:color w:val="000000"/>
                <w:sz w:val="20"/>
                <w:szCs w:val="20"/>
              </w:rPr>
              <w:t xml:space="preserve">§ (need more information on MSA Focusing) What has or might focus policymakers’ attention on AMR?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5CE54E9" w14:textId="55076A55" w:rsidR="65D9A205" w:rsidRDefault="65D9A205" w:rsidP="65D9A205">
            <w:pPr>
              <w:rPr>
                <w:rFonts w:eastAsia="Calibri" w:cs="Calibri"/>
                <w:color w:val="000000"/>
                <w:sz w:val="20"/>
                <w:szCs w:val="20"/>
              </w:rPr>
            </w:pPr>
          </w:p>
        </w:tc>
      </w:tr>
      <w:tr w:rsidR="65D9A205" w14:paraId="5C0F74BD" w14:textId="77777777" w:rsidTr="65D9A205">
        <w:trPr>
          <w:trHeight w:val="61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17486A8" w14:textId="69D489C0"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5FDFD87A" w14:textId="70F2B398" w:rsidR="65D9A205" w:rsidRDefault="65D9A205" w:rsidP="65D9A205">
            <w:pPr>
              <w:rPr>
                <w:rFonts w:eastAsia="Calibri" w:cs="Calibri"/>
                <w:color w:val="000000"/>
                <w:sz w:val="20"/>
                <w:szCs w:val="20"/>
              </w:rPr>
            </w:pPr>
            <w:r w:rsidRPr="65D9A205">
              <w:rPr>
                <w:rFonts w:eastAsia="Calibri" w:cs="Calibri"/>
                <w:color w:val="000000"/>
                <w:sz w:val="20"/>
                <w:szCs w:val="20"/>
              </w:rPr>
              <w:t xml:space="preserve">Has </w:t>
            </w:r>
            <w:r w:rsidRPr="65D9A205">
              <w:rPr>
                <w:rFonts w:eastAsia="Calibri" w:cs="Calibri"/>
                <w:b/>
                <w:bCs/>
                <w:color w:val="000000"/>
                <w:sz w:val="20"/>
                <w:szCs w:val="20"/>
              </w:rPr>
              <w:t>Covid-19 been a distraction</w:t>
            </w:r>
            <w:r w:rsidRPr="65D9A205">
              <w:rPr>
                <w:rFonts w:eastAsia="Calibri" w:cs="Calibri"/>
                <w:color w:val="000000"/>
                <w:sz w:val="20"/>
                <w:szCs w:val="20"/>
              </w:rPr>
              <w:t>, slowing down progress with the national AMR agenda?  PROBE: Has AMRCC met regularly since 2020, including at political as well as technical levels? Has it started to take significant decisions?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10DA2FF" w14:textId="5D74ADEF" w:rsidR="65D9A205" w:rsidRDefault="65D9A205" w:rsidP="65D9A205">
            <w:pPr>
              <w:rPr>
                <w:rFonts w:eastAsia="Calibri" w:cs="Calibri"/>
                <w:color w:val="000000"/>
                <w:sz w:val="20"/>
                <w:szCs w:val="20"/>
              </w:rPr>
            </w:pPr>
          </w:p>
        </w:tc>
      </w:tr>
      <w:tr w:rsidR="65D9A205" w14:paraId="5E7B6F05" w14:textId="77777777" w:rsidTr="65D9A205">
        <w:trPr>
          <w:trHeight w:val="105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08663D5" w14:textId="37A8D3BF"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41AC1CF" w14:textId="3DDD6694" w:rsidR="65D9A205" w:rsidRDefault="65D9A205" w:rsidP="65D9A205">
            <w:pPr>
              <w:rPr>
                <w:rFonts w:eastAsia="Calibri" w:cs="Calibri"/>
                <w:color w:val="000000"/>
                <w:sz w:val="20"/>
                <w:szCs w:val="20"/>
              </w:rPr>
            </w:pPr>
            <w:r w:rsidRPr="65D9A205">
              <w:rPr>
                <w:rFonts w:eastAsia="Calibri" w:cs="Calibri"/>
                <w:color w:val="000000"/>
                <w:sz w:val="20"/>
                <w:szCs w:val="20"/>
              </w:rPr>
              <w:t xml:space="preserve">Have </w:t>
            </w:r>
            <w:r w:rsidRPr="65D9A205">
              <w:rPr>
                <w:rFonts w:eastAsia="Calibri" w:cs="Calibri"/>
                <w:b/>
                <w:bCs/>
                <w:color w:val="000000"/>
                <w:sz w:val="20"/>
                <w:szCs w:val="20"/>
              </w:rPr>
              <w:t>NAP plans continued to develop strongly since 2020</w:t>
            </w:r>
            <w:r w:rsidRPr="65D9A205">
              <w:rPr>
                <w:rFonts w:eastAsia="Calibri" w:cs="Calibri"/>
                <w:color w:val="000000"/>
                <w:sz w:val="20"/>
                <w:szCs w:val="20"/>
              </w:rPr>
              <w:t>? (OR, if NAP expires in 2020-22, is there a process underway for its renewal; do you expect any delay in extending the NAP?)  PROBE: What factors explain the current situation in relation to the NAP?  (if need more information to complete NAP tool, apart from on budgeting) How exactly is the NAP moving from a plan to real action and change?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95FD6AC" w14:textId="514CC035" w:rsidR="65D9A205" w:rsidRDefault="65D9A205" w:rsidP="65D9A205">
            <w:pPr>
              <w:rPr>
                <w:rFonts w:eastAsia="Calibri" w:cs="Calibri"/>
                <w:color w:val="000000"/>
                <w:sz w:val="20"/>
                <w:szCs w:val="20"/>
              </w:rPr>
            </w:pPr>
          </w:p>
        </w:tc>
      </w:tr>
      <w:tr w:rsidR="65D9A205" w14:paraId="24BA6F4E" w14:textId="77777777" w:rsidTr="65D9A205">
        <w:trPr>
          <w:trHeight w:val="85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D8AE24F" w14:textId="506737DF"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08FE98B" w14:textId="53CAF89B" w:rsidR="65D9A205" w:rsidRDefault="65D9A205" w:rsidP="65D9A205">
            <w:pPr>
              <w:rPr>
                <w:rFonts w:eastAsia="Calibri" w:cs="Calibri"/>
                <w:color w:val="000000"/>
                <w:sz w:val="20"/>
                <w:szCs w:val="20"/>
              </w:rPr>
            </w:pPr>
            <w:r w:rsidRPr="65D9A205">
              <w:rPr>
                <w:rFonts w:eastAsia="Calibri" w:cs="Calibri"/>
                <w:color w:val="000000"/>
                <w:sz w:val="20"/>
                <w:szCs w:val="20"/>
              </w:rPr>
              <w:t xml:space="preserve">Do you think that it is likely that there will be </w:t>
            </w:r>
            <w:r w:rsidRPr="65D9A205">
              <w:rPr>
                <w:rFonts w:eastAsia="Calibri" w:cs="Calibri"/>
                <w:b/>
                <w:bCs/>
                <w:color w:val="000000"/>
                <w:sz w:val="20"/>
                <w:szCs w:val="20"/>
              </w:rPr>
              <w:t>significant on-budget domestic funding</w:t>
            </w:r>
            <w:r w:rsidRPr="65D9A205">
              <w:rPr>
                <w:rFonts w:eastAsia="Calibri" w:cs="Calibri"/>
                <w:color w:val="000000"/>
                <w:sz w:val="20"/>
                <w:szCs w:val="20"/>
              </w:rPr>
              <w:t xml:space="preserve"> for AMR initiatives in the foreseeable future?  If yes, please give reasons (have the reasons for prior budget decisions  changed?) If no, will funding from international supporters be sufficient?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28EFD6E2" w14:textId="2B3A35DB" w:rsidR="65D9A205" w:rsidRDefault="65D9A205" w:rsidP="65D9A205">
            <w:pPr>
              <w:rPr>
                <w:rFonts w:eastAsia="Calibri" w:cs="Calibri"/>
                <w:color w:val="000000"/>
                <w:sz w:val="20"/>
                <w:szCs w:val="20"/>
              </w:rPr>
            </w:pPr>
          </w:p>
        </w:tc>
      </w:tr>
      <w:tr w:rsidR="65D9A205" w14:paraId="70C6E214" w14:textId="77777777" w:rsidTr="65D9A205">
        <w:trPr>
          <w:trHeight w:val="147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EB3D2FC" w14:textId="168CE3E9"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DC2A9E0" w14:textId="31717C4E" w:rsidR="65D9A205" w:rsidRDefault="65D9A205" w:rsidP="65D9A205">
            <w:pPr>
              <w:rPr>
                <w:rFonts w:eastAsia="Calibri" w:cs="Calibri"/>
                <w:color w:val="000000"/>
                <w:sz w:val="20"/>
                <w:szCs w:val="20"/>
              </w:rPr>
            </w:pPr>
            <w:r w:rsidRPr="65D9A205">
              <w:rPr>
                <w:rFonts w:eastAsia="Calibri" w:cs="Calibri"/>
                <w:color w:val="000000"/>
                <w:sz w:val="20"/>
                <w:szCs w:val="20"/>
              </w:rPr>
              <w:t>Does AMRCC (or other national body in charge of the country AMR strategy) r</w:t>
            </w:r>
            <w:r w:rsidRPr="65D9A205">
              <w:rPr>
                <w:rFonts w:eastAsia="Calibri" w:cs="Calibri"/>
                <w:b/>
                <w:bCs/>
                <w:color w:val="000000"/>
                <w:sz w:val="20"/>
                <w:szCs w:val="20"/>
              </w:rPr>
              <w:t>eceive AMR data reports generated by surveillance sites at least once a year</w:t>
            </w:r>
            <w:r w:rsidRPr="65D9A205">
              <w:rPr>
                <w:rFonts w:eastAsia="Calibri" w:cs="Calibri"/>
                <w:color w:val="000000"/>
                <w:sz w:val="20"/>
                <w:szCs w:val="20"/>
              </w:rPr>
              <w:t>? Is that an improvement compared to 2018 (i.e. Prior to Fleming Fund activities starting)? PROBE if yes: which organisation(s) assembles and submits these reports? What form do they take, what are they called (descriptive summary or analytical)? Is there good sector representation and national coverage? If yes, do you think that the reports are sufficient to amend national AMR strategy and enable effective AMR decision-making? If no, why not?</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233CECF7" w14:textId="354726EC" w:rsidR="65D9A205" w:rsidRDefault="65D9A205" w:rsidP="65D9A205">
            <w:pPr>
              <w:rPr>
                <w:rFonts w:eastAsia="Calibri" w:cs="Calibri"/>
                <w:color w:val="000000"/>
                <w:sz w:val="20"/>
                <w:szCs w:val="20"/>
              </w:rPr>
            </w:pPr>
          </w:p>
        </w:tc>
      </w:tr>
      <w:tr w:rsidR="65D9A205" w14:paraId="40520F28" w14:textId="77777777" w:rsidTr="65D9A205">
        <w:trPr>
          <w:trHeight w:val="130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400C31E" w14:textId="7495196C" w:rsidR="65D9A205" w:rsidRDefault="65D9A205" w:rsidP="65D9A205">
            <w:pPr>
              <w:rPr>
                <w:rFonts w:eastAsia="Calibri" w:cs="Calibri"/>
                <w:color w:val="000000"/>
                <w:sz w:val="20"/>
                <w:szCs w:val="20"/>
              </w:rPr>
            </w:pPr>
            <w:r w:rsidRPr="65D9A205">
              <w:rPr>
                <w:rFonts w:eastAsia="Calibri" w:cs="Calibri"/>
                <w:color w:val="000000"/>
                <w:sz w:val="20"/>
                <w:szCs w:val="20"/>
              </w:rPr>
              <w:t>EQ4</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602B489F" w14:textId="47DCAAA4"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were the </w:t>
            </w:r>
            <w:r w:rsidRPr="65D9A205">
              <w:rPr>
                <w:rFonts w:eastAsia="Calibri" w:cs="Calibri"/>
                <w:b/>
                <w:bCs/>
                <w:color w:val="000000"/>
                <w:sz w:val="20"/>
                <w:szCs w:val="20"/>
              </w:rPr>
              <w:t>key change drivers/factors</w:t>
            </w:r>
            <w:r w:rsidRPr="65D9A205">
              <w:rPr>
                <w:rFonts w:eastAsia="Calibri" w:cs="Calibri"/>
                <w:color w:val="000000"/>
                <w:sz w:val="20"/>
                <w:szCs w:val="20"/>
              </w:rPr>
              <w:t xml:space="preserve">, </w:t>
            </w:r>
            <w:r w:rsidRPr="65D9A205">
              <w:rPr>
                <w:rFonts w:eastAsia="Calibri" w:cs="Calibri"/>
                <w:b/>
                <w:bCs/>
                <w:color w:val="000000"/>
                <w:sz w:val="20"/>
                <w:szCs w:val="20"/>
              </w:rPr>
              <w:t>in order of importance</w:t>
            </w:r>
            <w:r w:rsidRPr="65D9A205">
              <w:rPr>
                <w:rFonts w:eastAsia="Calibri" w:cs="Calibri"/>
                <w:color w:val="000000"/>
                <w:sz w:val="20"/>
                <w:szCs w:val="20"/>
              </w:rPr>
              <w:t>, behind such change ? Probes: more and better data available from the surveillance system (in which case refer to QUANT &amp; QUAL contribution stories), increased access, increased willingness to share data, increased capacity to analyse data, increase demand, momentum etc</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71748899" w14:textId="2CD00DAB" w:rsidR="65D9A205" w:rsidRDefault="65D9A205" w:rsidP="65D9A205">
            <w:pPr>
              <w:rPr>
                <w:rFonts w:eastAsia="Calibri" w:cs="Calibri"/>
                <w:color w:val="000000"/>
                <w:sz w:val="20"/>
                <w:szCs w:val="20"/>
              </w:rPr>
            </w:pPr>
          </w:p>
        </w:tc>
      </w:tr>
      <w:tr w:rsidR="65D9A205" w14:paraId="05D6FA6B" w14:textId="77777777" w:rsidTr="65D9A205">
        <w:trPr>
          <w:trHeight w:val="196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3060484" w14:textId="4A7641D7" w:rsidR="65D9A205" w:rsidRDefault="65D9A205" w:rsidP="65D9A205">
            <w:pPr>
              <w:rPr>
                <w:rFonts w:eastAsia="Calibri" w:cs="Calibri"/>
                <w:color w:val="000000"/>
                <w:sz w:val="20"/>
                <w:szCs w:val="20"/>
              </w:rPr>
            </w:pPr>
            <w:r w:rsidRPr="65D9A205">
              <w:rPr>
                <w:rFonts w:eastAsia="Calibri" w:cs="Calibri"/>
                <w:color w:val="000000"/>
                <w:sz w:val="20"/>
                <w:szCs w:val="20"/>
              </w:rPr>
              <w:t>EQ4</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64ECA266" w14:textId="6F354188"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 to those drivers</w:t>
            </w:r>
            <w:r w:rsidRPr="65D9A205">
              <w:rPr>
                <w:rFonts w:eastAsia="Calibri" w:cs="Calibri"/>
                <w:color w:val="000000"/>
                <w:sz w:val="20"/>
                <w:szCs w:val="20"/>
              </w:rPr>
              <w:t>?</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48D589B5" w14:textId="6084F9EA" w:rsidR="65D9A205" w:rsidRDefault="65D9A205" w:rsidP="65D9A205">
            <w:pPr>
              <w:rPr>
                <w:rFonts w:eastAsia="Calibri" w:cs="Calibri"/>
                <w:color w:val="000000"/>
                <w:sz w:val="20"/>
                <w:szCs w:val="20"/>
              </w:rPr>
            </w:pPr>
          </w:p>
        </w:tc>
      </w:tr>
      <w:tr w:rsidR="65D9A205" w14:paraId="34A36FE2" w14:textId="77777777" w:rsidTr="65D9A205">
        <w:trPr>
          <w:trHeight w:val="48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166F03A" w14:textId="133F8267" w:rsidR="65D9A205" w:rsidRDefault="65D9A205" w:rsidP="65D9A205">
            <w:pPr>
              <w:rPr>
                <w:rFonts w:eastAsia="Calibri" w:cs="Calibri"/>
                <w:color w:val="000000"/>
                <w:sz w:val="20"/>
                <w:szCs w:val="20"/>
              </w:rPr>
            </w:pPr>
            <w:r w:rsidRPr="65D9A205">
              <w:rPr>
                <w:rFonts w:eastAsia="Calibri" w:cs="Calibri"/>
                <w:color w:val="000000"/>
                <w:sz w:val="20"/>
                <w:szCs w:val="20"/>
              </w:rPr>
              <w:t>EQ4</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5C53FD22" w14:textId="11A97B7E"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 xml:space="preserve">no or negative change </w:t>
            </w:r>
            <w:r w:rsidRPr="65D9A205">
              <w:rPr>
                <w:rFonts w:eastAsia="Calibri" w:cs="Calibri"/>
                <w:color w:val="000000"/>
                <w:sz w:val="20"/>
                <w:szCs w:val="20"/>
              </w:rPr>
              <w:t xml:space="preserve">in this area, </w:t>
            </w:r>
            <w:r w:rsidRPr="65D9A205">
              <w:rPr>
                <w:rFonts w:eastAsia="Calibri" w:cs="Calibri"/>
                <w:b/>
                <w:bCs/>
                <w:color w:val="000000"/>
                <w:sz w:val="20"/>
                <w:szCs w:val="20"/>
              </w:rPr>
              <w:t>why</w:t>
            </w:r>
            <w:r w:rsidRPr="65D9A205">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2446C0D6" w14:textId="11D749F7" w:rsidR="65D9A205" w:rsidRDefault="65D9A205" w:rsidP="65D9A205">
            <w:pPr>
              <w:rPr>
                <w:rFonts w:eastAsia="Calibri" w:cs="Calibri"/>
                <w:color w:val="000000"/>
                <w:sz w:val="20"/>
                <w:szCs w:val="20"/>
              </w:rPr>
            </w:pPr>
          </w:p>
        </w:tc>
      </w:tr>
      <w:tr w:rsidR="65D9A205" w14:paraId="03FEF866" w14:textId="77777777" w:rsidTr="65D9A205">
        <w:trPr>
          <w:trHeight w:val="162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5DA734A" w14:textId="0CB9D654"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1BDD6BFE" w14:textId="4231954D" w:rsidR="65D9A205" w:rsidRPr="00263CAE" w:rsidRDefault="65D9A205" w:rsidP="65D9A205">
            <w:pPr>
              <w:spacing w:line="259" w:lineRule="auto"/>
              <w:rPr>
                <w:rFonts w:eastAsia="Calibri" w:cs="Calibri"/>
                <w:color w:val="000000"/>
                <w:sz w:val="20"/>
                <w:szCs w:val="20"/>
              </w:rPr>
            </w:pPr>
            <w:r w:rsidRPr="00263CAE">
              <w:rPr>
                <w:rFonts w:eastAsia="Calibri" w:cs="Calibri"/>
                <w:color w:val="000000"/>
                <w:sz w:val="20"/>
                <w:szCs w:val="20"/>
              </w:rPr>
              <w:t>Can you think of any other examples of relevant surveillance data being used to amend national strategy and/or inform decision-making’, apart from through data reports shared with AMRCC?</w:t>
            </w:r>
          </w:p>
          <w:p w14:paraId="129E5F91" w14:textId="10A4A1AF" w:rsidR="65D9A205" w:rsidRPr="00263CAE" w:rsidRDefault="65D9A205" w:rsidP="65D9A205">
            <w:pPr>
              <w:spacing w:line="259" w:lineRule="auto"/>
              <w:rPr>
                <w:rFonts w:eastAsia="Calibri" w:cs="Calibri"/>
                <w:color w:val="000000"/>
                <w:sz w:val="20"/>
                <w:szCs w:val="20"/>
              </w:rPr>
            </w:pPr>
            <w:r w:rsidRPr="00263CAE">
              <w:rPr>
                <w:rFonts w:eastAsia="Calibri" w:cs="Calibri"/>
                <w:color w:val="000000"/>
                <w:sz w:val="20"/>
                <w:szCs w:val="20"/>
              </w:rPr>
              <w:t xml:space="preserve"> </w:t>
            </w:r>
          </w:p>
          <w:p w14:paraId="0E9B83AC" w14:textId="28F5B703" w:rsidR="65D9A205" w:rsidRDefault="65D9A205" w:rsidP="00C90FD0">
            <w:pPr>
              <w:spacing w:line="259" w:lineRule="auto"/>
              <w:rPr>
                <w:rFonts w:eastAsia="Calibri" w:cs="Calibri"/>
                <w:color w:val="000000"/>
                <w:sz w:val="20"/>
                <w:szCs w:val="20"/>
              </w:rPr>
            </w:pPr>
            <w:r w:rsidRPr="00263CAE">
              <w:rPr>
                <w:rFonts w:eastAsia="Calibri" w:cs="Calibri"/>
                <w:color w:val="000000"/>
                <w:sz w:val="20"/>
                <w:szCs w:val="20"/>
              </w:rPr>
              <w:t>If yes: Details? What data, in what form? Who are the decision-makers? One-off or routine? Current status?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7BA0056" w14:textId="4C19B020" w:rsidR="65D9A205" w:rsidRDefault="65D9A205" w:rsidP="65D9A205">
            <w:pPr>
              <w:rPr>
                <w:rFonts w:eastAsia="Calibri" w:cs="Calibri"/>
                <w:color w:val="000000"/>
                <w:sz w:val="20"/>
                <w:szCs w:val="20"/>
              </w:rPr>
            </w:pPr>
          </w:p>
        </w:tc>
      </w:tr>
      <w:tr w:rsidR="65D9A205" w14:paraId="15673445"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3941384" w14:textId="4D8A1F67"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BEC8C79" w14:textId="2C12322B" w:rsidR="65D9A205" w:rsidRDefault="65D9A205" w:rsidP="65D9A205">
            <w:pPr>
              <w:rPr>
                <w:rFonts w:eastAsia="Calibri" w:cs="Calibri"/>
                <w:color w:val="000000"/>
                <w:sz w:val="20"/>
                <w:szCs w:val="20"/>
              </w:rPr>
            </w:pPr>
            <w:r w:rsidRPr="65D9A205">
              <w:rPr>
                <w:rFonts w:eastAsia="Calibri" w:cs="Calibri"/>
                <w:color w:val="000000"/>
                <w:sz w:val="20"/>
                <w:szCs w:val="20"/>
              </w:rPr>
              <w:t xml:space="preserve">We understand the AMRCC is expected to facilitate sharing and joint analysis of AMR data across different sectors. What is the </w:t>
            </w:r>
            <w:r w:rsidRPr="65D9A205">
              <w:rPr>
                <w:rFonts w:eastAsia="Calibri" w:cs="Calibri"/>
                <w:b/>
                <w:bCs/>
                <w:color w:val="000000"/>
                <w:sz w:val="20"/>
                <w:szCs w:val="20"/>
              </w:rPr>
              <w:t xml:space="preserve">nature of cross-sector collaborations </w:t>
            </w:r>
            <w:r w:rsidRPr="65D9A205">
              <w:rPr>
                <w:rFonts w:eastAsia="Calibri" w:cs="Calibri"/>
                <w:color w:val="000000"/>
                <w:sz w:val="20"/>
                <w:szCs w:val="20"/>
              </w:rPr>
              <w:t>being convened by the AMRCC? Which are the key institutions involved from different ministries? What is the nature of their involvement? In addition to facilitating AMR data use, what have been some of the other achievements of the AMRCC in your country?</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4AF60A42" w14:textId="2677A261" w:rsidR="65D9A205" w:rsidRDefault="65D9A205" w:rsidP="65D9A205">
            <w:pPr>
              <w:rPr>
                <w:rFonts w:eastAsia="Calibri" w:cs="Calibri"/>
                <w:color w:val="000000"/>
                <w:sz w:val="20"/>
                <w:szCs w:val="20"/>
              </w:rPr>
            </w:pPr>
          </w:p>
        </w:tc>
      </w:tr>
      <w:tr w:rsidR="65D9A205" w14:paraId="661D56E1" w14:textId="77777777" w:rsidTr="65D9A205">
        <w:trPr>
          <w:trHeight w:val="234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439D933" w14:textId="2BED427C"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35FAEC7" w14:textId="40814820"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are some of the </w:t>
            </w:r>
            <w:r w:rsidRPr="65D9A205">
              <w:rPr>
                <w:rFonts w:eastAsia="Calibri" w:cs="Calibri"/>
                <w:b/>
                <w:bCs/>
                <w:color w:val="000000"/>
                <w:sz w:val="20"/>
                <w:szCs w:val="20"/>
              </w:rPr>
              <w:t>other multisector coordination mechanisms in place</w:t>
            </w:r>
            <w:r w:rsidRPr="65D9A205">
              <w:rPr>
                <w:rFonts w:eastAsia="Calibri" w:cs="Calibri"/>
                <w:color w:val="000000"/>
                <w:sz w:val="20"/>
                <w:szCs w:val="20"/>
              </w:rPr>
              <w:t xml:space="preserve"> to make decisions around AMR at the national and subnational levels? Are there any bodies or platforms or events where people from different sector meet outside the government? (e.g. seminars, AMR awareness week, etc.)  Can you recall some examples of collaborations between different sectors in the past, even if these do not specifically revolve around AMR?  Probe joint research activities; Training programmes, fellowships, including Fleming Fellows; Joint outbreak response activities, such as Avian Influenza, Ebola, etc.</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81090FA" w14:textId="26BBC4FD" w:rsidR="65D9A205" w:rsidRDefault="65D9A205" w:rsidP="65D9A205">
            <w:pPr>
              <w:rPr>
                <w:rFonts w:eastAsia="Calibri" w:cs="Calibri"/>
                <w:color w:val="000000"/>
                <w:sz w:val="20"/>
                <w:szCs w:val="20"/>
              </w:rPr>
            </w:pPr>
          </w:p>
        </w:tc>
      </w:tr>
      <w:tr w:rsidR="65D9A205" w14:paraId="303FEAE2" w14:textId="77777777" w:rsidTr="65D9A205">
        <w:trPr>
          <w:trHeight w:val="259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BB2EF08" w14:textId="3D268908"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848E227" w14:textId="368D08AD" w:rsidR="65D9A205" w:rsidRDefault="65D9A205" w:rsidP="65D9A205">
            <w:pPr>
              <w:rPr>
                <w:rFonts w:eastAsia="Calibri" w:cs="Calibri"/>
                <w:color w:val="000000"/>
                <w:sz w:val="20"/>
                <w:szCs w:val="20"/>
              </w:rPr>
            </w:pPr>
            <w:r w:rsidRPr="65D9A205">
              <w:rPr>
                <w:rFonts w:eastAsia="Calibri" w:cs="Calibri"/>
                <w:b/>
                <w:bCs/>
                <w:color w:val="000000"/>
                <w:sz w:val="20"/>
                <w:szCs w:val="20"/>
              </w:rPr>
              <w:t>Where are these (formal and informal) coordination mechanisms located?</w:t>
            </w:r>
            <w:r w:rsidRPr="65D9A205">
              <w:rPr>
                <w:rFonts w:eastAsia="Calibri" w:cs="Calibri"/>
                <w:color w:val="000000"/>
                <w:sz w:val="20"/>
                <w:szCs w:val="20"/>
              </w:rPr>
              <w:t xml:space="preserve"> Are these hosted by a ministry, government agency, academic body, think tank? (Probe for each of the collaborating mechanisms identified above, if possible): </w:t>
            </w:r>
            <w:r>
              <w:br/>
            </w:r>
            <w:r w:rsidRPr="65D9A205">
              <w:rPr>
                <w:rFonts w:eastAsia="Calibri" w:cs="Calibri"/>
                <w:color w:val="000000"/>
                <w:sz w:val="20"/>
                <w:szCs w:val="20"/>
              </w:rPr>
              <w:t>o Who chairs / leads the discussion?</w:t>
            </w:r>
            <w:r>
              <w:br/>
            </w:r>
            <w:r w:rsidRPr="65D9A205">
              <w:rPr>
                <w:rFonts w:eastAsia="Calibri" w:cs="Calibri"/>
                <w:color w:val="000000"/>
                <w:sz w:val="20"/>
                <w:szCs w:val="20"/>
              </w:rPr>
              <w:t xml:space="preserve">o Who sets the agenda? </w:t>
            </w:r>
            <w:r>
              <w:br/>
            </w:r>
            <w:r w:rsidRPr="65D9A205">
              <w:rPr>
                <w:rFonts w:eastAsia="Calibri" w:cs="Calibri"/>
                <w:color w:val="000000"/>
                <w:sz w:val="20"/>
                <w:szCs w:val="20"/>
              </w:rPr>
              <w:t>o What are its major functions/mandates?</w:t>
            </w:r>
            <w:r>
              <w:br/>
            </w:r>
            <w:r w:rsidRPr="65D9A205">
              <w:rPr>
                <w:rFonts w:eastAsia="Calibri" w:cs="Calibri"/>
                <w:color w:val="000000"/>
                <w:sz w:val="20"/>
                <w:szCs w:val="20"/>
              </w:rPr>
              <w:t>o How is it funded?</w:t>
            </w:r>
            <w:r>
              <w:br/>
            </w:r>
            <w:r w:rsidRPr="65D9A205">
              <w:rPr>
                <w:rFonts w:eastAsia="Calibri" w:cs="Calibri"/>
                <w:color w:val="000000"/>
                <w:sz w:val="20"/>
                <w:szCs w:val="20"/>
              </w:rPr>
              <w:t>o Can you describe any achievements / outcomes from these interactions?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3670235" w14:textId="28CEC4C9" w:rsidR="65D9A205" w:rsidRDefault="65D9A205" w:rsidP="65D9A205">
            <w:pPr>
              <w:rPr>
                <w:rFonts w:eastAsia="Calibri" w:cs="Calibri"/>
                <w:color w:val="000000"/>
                <w:sz w:val="20"/>
                <w:szCs w:val="20"/>
              </w:rPr>
            </w:pPr>
          </w:p>
        </w:tc>
      </w:tr>
      <w:tr w:rsidR="65D9A205" w14:paraId="201257AB" w14:textId="77777777" w:rsidTr="65D9A205">
        <w:trPr>
          <w:trHeight w:val="189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F0D3C88" w14:textId="568101BC"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35E0EDEA" w14:textId="67D7D46E" w:rsidR="65D9A205" w:rsidRDefault="65D9A205" w:rsidP="65D9A205">
            <w:pPr>
              <w:rPr>
                <w:rFonts w:eastAsia="Calibri" w:cs="Calibri"/>
                <w:color w:val="000000"/>
                <w:sz w:val="20"/>
                <w:szCs w:val="20"/>
              </w:rPr>
            </w:pPr>
            <w:r w:rsidRPr="65D9A205">
              <w:rPr>
                <w:rFonts w:eastAsia="Calibri" w:cs="Calibri"/>
                <w:color w:val="000000"/>
                <w:sz w:val="20"/>
                <w:szCs w:val="20"/>
              </w:rPr>
              <w:t xml:space="preserve">Would you say that the national AMR effort includes a </w:t>
            </w:r>
            <w:r w:rsidRPr="65D9A205">
              <w:rPr>
                <w:rFonts w:eastAsia="Calibri" w:cs="Calibri"/>
                <w:b/>
                <w:bCs/>
                <w:color w:val="000000"/>
                <w:sz w:val="20"/>
                <w:szCs w:val="20"/>
              </w:rPr>
              <w:t>clear and effective strategy for informing specific national actions using surveillance data</w:t>
            </w:r>
            <w:r w:rsidRPr="65D9A205">
              <w:rPr>
                <w:rFonts w:eastAsia="Calibri" w:cs="Calibri"/>
                <w:color w:val="000000"/>
                <w:sz w:val="20"/>
                <w:szCs w:val="20"/>
              </w:rPr>
              <w:t>?o eg as opposed to international reporting or local clinical practice</w:t>
            </w:r>
            <w:r>
              <w:br/>
            </w:r>
            <w:r w:rsidRPr="65D9A205">
              <w:rPr>
                <w:rFonts w:eastAsia="Calibri" w:cs="Calibri"/>
                <w:color w:val="000000"/>
                <w:sz w:val="20"/>
                <w:szCs w:val="20"/>
              </w:rPr>
              <w:t xml:space="preserve">o If yes, how? </w:t>
            </w:r>
            <w:r w:rsidRPr="65D9A205">
              <w:rPr>
                <w:rFonts w:eastAsia="Calibri" w:cs="Calibri"/>
                <w:b/>
                <w:bCs/>
                <w:color w:val="000000"/>
                <w:sz w:val="20"/>
                <w:szCs w:val="20"/>
              </w:rPr>
              <w:t>What policy initiatives? What regulatory initiatives</w:t>
            </w:r>
            <w:r w:rsidRPr="65D9A205">
              <w:rPr>
                <w:rFonts w:eastAsia="Calibri" w:cs="Calibri"/>
                <w:color w:val="000000"/>
                <w:sz w:val="20"/>
                <w:szCs w:val="20"/>
              </w:rPr>
              <w:t>? What approach has been chosen to address practices and attitudes? (What approaches have been discarded?)</w:t>
            </w:r>
            <w:r>
              <w:br/>
            </w:r>
            <w:r w:rsidRPr="65D9A205">
              <w:rPr>
                <w:rFonts w:eastAsia="Calibri" w:cs="Calibri"/>
                <w:color w:val="000000"/>
                <w:sz w:val="20"/>
                <w:szCs w:val="20"/>
              </w:rPr>
              <w:t>o PROBE: are sectoral distinctions important, for example policy for gradual development of guidelines in human health but focused push to regulate certain antimicrobial uses in animal health?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62C22E6B" w14:textId="6C5763C3" w:rsidR="65D9A205" w:rsidRDefault="65D9A205" w:rsidP="65D9A205">
            <w:pPr>
              <w:rPr>
                <w:rFonts w:eastAsia="Calibri" w:cs="Calibri"/>
                <w:color w:val="000000"/>
                <w:sz w:val="20"/>
                <w:szCs w:val="20"/>
              </w:rPr>
            </w:pPr>
          </w:p>
        </w:tc>
      </w:tr>
      <w:tr w:rsidR="65D9A205" w14:paraId="391FAC52" w14:textId="77777777" w:rsidTr="65D9A205">
        <w:trPr>
          <w:trHeight w:val="196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9FE8205" w14:textId="3E1833CD"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6EA2B68F" w14:textId="69C36296" w:rsidR="65D9A205" w:rsidRDefault="65D9A205" w:rsidP="65D9A205">
            <w:pPr>
              <w:rPr>
                <w:rFonts w:eastAsia="Calibri" w:cs="Calibri"/>
                <w:color w:val="000000"/>
                <w:sz w:val="20"/>
                <w:szCs w:val="20"/>
              </w:rPr>
            </w:pPr>
            <w:r w:rsidRPr="65D9A205">
              <w:rPr>
                <w:rFonts w:eastAsia="Calibri" w:cs="Calibri"/>
                <w:b/>
                <w:bCs/>
                <w:color w:val="000000"/>
                <w:sz w:val="20"/>
                <w:szCs w:val="20"/>
              </w:rPr>
              <w:t>What do you think should be the future priorities for the Fleming Fund when supporting national AMR actions using surveillance data</w:t>
            </w:r>
            <w:r w:rsidRPr="65D9A205">
              <w:rPr>
                <w:rFonts w:eastAsia="Calibri" w:cs="Calibri"/>
                <w:color w:val="000000"/>
                <w:sz w:val="20"/>
                <w:szCs w:val="20"/>
              </w:rPr>
              <w:t xml:space="preserve">? PROBES: </w:t>
            </w:r>
            <w:r>
              <w:br/>
            </w:r>
            <w:r w:rsidRPr="65D9A205">
              <w:rPr>
                <w:rFonts w:eastAsia="Calibri" w:cs="Calibri"/>
                <w:color w:val="000000"/>
                <w:sz w:val="20"/>
                <w:szCs w:val="20"/>
              </w:rPr>
              <w:t>o Do you think that it will be more effective to foster local change (‘bottom up’) or to concentrate on motivating national initiatives (‘top down’)</w:t>
            </w:r>
            <w:r>
              <w:br/>
            </w:r>
            <w:r w:rsidRPr="65D9A205">
              <w:rPr>
                <w:rFonts w:eastAsia="Calibri" w:cs="Calibri"/>
                <w:color w:val="000000"/>
                <w:sz w:val="20"/>
                <w:szCs w:val="20"/>
              </w:rPr>
              <w:t>o Will the data show a need for action (‘push’) or will intended actions show what data is needed (‘pull’)?</w:t>
            </w:r>
            <w:r>
              <w:br/>
            </w:r>
            <w:r w:rsidRPr="65D9A205">
              <w:rPr>
                <w:rFonts w:eastAsia="Calibri" w:cs="Calibri"/>
                <w:color w:val="000000"/>
                <w:sz w:val="20"/>
                <w:szCs w:val="20"/>
              </w:rPr>
              <w:t>o What is more important, Infection Prevention &amp; Control (IPC) or Antimicrobial Use controls (AMU)?</w:t>
            </w:r>
            <w:r>
              <w:br/>
            </w:r>
            <w:r w:rsidRPr="65D9A205">
              <w:rPr>
                <w:rFonts w:eastAsia="Calibri" w:cs="Calibri"/>
                <w:color w:val="000000"/>
                <w:sz w:val="20"/>
                <w:szCs w:val="20"/>
              </w:rPr>
              <w:t>o Why? What approaches would be required to address these priorities?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6A85B351" w14:textId="665AAA49" w:rsidR="65D9A205" w:rsidRDefault="65D9A205" w:rsidP="65D9A205">
            <w:pPr>
              <w:rPr>
                <w:rFonts w:eastAsia="Calibri" w:cs="Calibri"/>
                <w:color w:val="000000"/>
                <w:sz w:val="20"/>
                <w:szCs w:val="20"/>
              </w:rPr>
            </w:pPr>
          </w:p>
        </w:tc>
      </w:tr>
    </w:tbl>
    <w:p w14:paraId="52B59AE2" w14:textId="7AD388FC" w:rsidR="65D9A205" w:rsidRDefault="65D9A205" w:rsidP="65D9A205">
      <w:pPr>
        <w:spacing w:after="160" w:line="259" w:lineRule="auto"/>
        <w:rPr>
          <w:rFonts w:eastAsia="Calibri" w:cs="Calibri"/>
          <w:color w:val="000000"/>
        </w:rPr>
      </w:pPr>
    </w:p>
    <w:p w14:paraId="7438B909" w14:textId="63859796" w:rsidR="65D9A205" w:rsidRDefault="65D9A205" w:rsidP="65D9A205">
      <w:pPr>
        <w:pStyle w:val="ItadNormalText"/>
        <w:keepNext/>
      </w:pPr>
    </w:p>
    <w:p w14:paraId="63828743" w14:textId="685F6257" w:rsidR="65D9A205" w:rsidRDefault="65D9A205">
      <w:r>
        <w:br w:type="page"/>
      </w:r>
    </w:p>
    <w:p w14:paraId="18122426" w14:textId="08524525" w:rsidR="4CE1AD5B" w:rsidRPr="001B18E8" w:rsidRDefault="4CE1AD5B" w:rsidP="365D9676">
      <w:pPr>
        <w:pStyle w:val="ItadH3"/>
        <w:keepNext/>
        <w:spacing w:line="259" w:lineRule="auto"/>
        <w:rPr>
          <w:lang w:val="en-GB"/>
        </w:rPr>
      </w:pPr>
      <w:bookmarkStart w:id="475" w:name="_Toc142383259"/>
      <w:r w:rsidRPr="65D9A205">
        <w:rPr>
          <w:lang w:val="en-GB"/>
        </w:rPr>
        <w:t xml:space="preserve">KII Guide for </w:t>
      </w:r>
      <w:r w:rsidR="00F66B0E">
        <w:rPr>
          <w:lang w:val="en-GB"/>
        </w:rPr>
        <w:t>o</w:t>
      </w:r>
      <w:r w:rsidRPr="65D9A205">
        <w:rPr>
          <w:lang w:val="en-GB"/>
        </w:rPr>
        <w:t>ther decision makes</w:t>
      </w:r>
      <w:bookmarkEnd w:id="475"/>
    </w:p>
    <w:p w14:paraId="3AE866D9" w14:textId="7A638B99" w:rsidR="65D9A205" w:rsidRDefault="2187E676" w:rsidP="65D9A205">
      <w:pPr>
        <w:widowControl w:val="0"/>
        <w:spacing w:after="160" w:line="259" w:lineRule="auto"/>
        <w:jc w:val="both"/>
        <w:rPr>
          <w:rFonts w:ascii="Calibri Light" w:eastAsia="Calibri Light" w:hAnsi="Calibri Light" w:cs="Calibri Light"/>
          <w:color w:val="2F5496"/>
          <w:sz w:val="26"/>
          <w:szCs w:val="26"/>
        </w:rPr>
      </w:pPr>
      <w:r w:rsidRPr="65D9A205">
        <w:rPr>
          <w:rFonts w:ascii="Calibri Light" w:eastAsia="Calibri Light" w:hAnsi="Calibri Light" w:cs="Calibri Light"/>
          <w:color w:val="2F5496"/>
          <w:sz w:val="26"/>
          <w:szCs w:val="26"/>
        </w:rPr>
        <w:t>Other decision makers</w:t>
      </w:r>
    </w:p>
    <w:p w14:paraId="134231D3" w14:textId="3A6E02CD" w:rsidR="2187E676" w:rsidRDefault="2187E676" w:rsidP="65D9A205">
      <w:pPr>
        <w:widowControl w:val="0"/>
        <w:spacing w:after="160" w:line="259" w:lineRule="auto"/>
        <w:jc w:val="both"/>
        <w:rPr>
          <w:rFonts w:eastAsia="Calibri" w:cs="Calibri"/>
          <w:color w:val="000000"/>
        </w:rPr>
      </w:pPr>
      <w:r w:rsidRPr="65D9A205">
        <w:rPr>
          <w:rFonts w:eastAsia="Calibri" w:cs="Calibri"/>
          <w:b/>
          <w:bCs/>
          <w:color w:val="000000"/>
        </w:rPr>
        <w:t>KII name:</w:t>
      </w:r>
    </w:p>
    <w:p w14:paraId="479B73AD" w14:textId="6100B72E" w:rsidR="2187E676" w:rsidRDefault="2187E676" w:rsidP="65D9A205">
      <w:pPr>
        <w:widowControl w:val="0"/>
        <w:spacing w:after="160" w:line="259" w:lineRule="auto"/>
        <w:jc w:val="both"/>
        <w:rPr>
          <w:rFonts w:eastAsia="Calibri" w:cs="Calibri"/>
          <w:color w:val="000000"/>
        </w:rPr>
      </w:pPr>
      <w:r w:rsidRPr="65D9A205">
        <w:rPr>
          <w:rFonts w:eastAsia="Calibri" w:cs="Calibri"/>
          <w:b/>
          <w:bCs/>
          <w:color w:val="000000"/>
        </w:rPr>
        <w:t>KII date:</w:t>
      </w:r>
    </w:p>
    <w:p w14:paraId="52B68ACD" w14:textId="1C4708E4" w:rsidR="2187E676" w:rsidRPr="001B7050" w:rsidRDefault="2187E676" w:rsidP="65D9A205">
      <w:pPr>
        <w:widowControl w:val="0"/>
        <w:spacing w:after="160" w:line="259" w:lineRule="auto"/>
        <w:jc w:val="both"/>
        <w:rPr>
          <w:rFonts w:eastAsia="Calibri" w:cs="Calibri"/>
          <w:color w:val="000000"/>
        </w:rPr>
      </w:pPr>
      <w:r w:rsidRPr="001B7050">
        <w:rPr>
          <w:rFonts w:eastAsia="Calibri" w:cs="Calibri"/>
          <w:b/>
          <w:bCs/>
          <w:color w:val="000000"/>
        </w:rPr>
        <w:t>KII interviewer(s):</w:t>
      </w:r>
    </w:p>
    <w:p w14:paraId="0C1838A9" w14:textId="7DEB9DA9" w:rsidR="2187E676" w:rsidRPr="001B7050" w:rsidRDefault="2187E676" w:rsidP="65D9A205">
      <w:pPr>
        <w:spacing w:after="160" w:line="259" w:lineRule="auto"/>
        <w:rPr>
          <w:rFonts w:eastAsia="Calibri" w:cs="Calibri"/>
          <w:color w:val="000000"/>
        </w:rPr>
      </w:pPr>
      <w:r w:rsidRPr="001B7050">
        <w:rPr>
          <w:rFonts w:eastAsia="Calibri" w:cs="Calibri"/>
          <w:b/>
          <w:bCs/>
          <w:color w:val="000000"/>
        </w:rPr>
        <w:t>Introduction</w:t>
      </w:r>
      <w:r w:rsidRPr="001B7050">
        <w:rPr>
          <w:rFonts w:eastAsia="Calibri" w:cs="Calibri"/>
          <w:color w:val="000000"/>
        </w:rPr>
        <w:t xml:space="preserve"> – please adapt and summarise according to the stakeholder / her knowledge of the evaluation etc </w:t>
      </w:r>
      <w:r w:rsidRPr="001B7050">
        <w:rPr>
          <w:rFonts w:ascii="Times New Roman" w:eastAsia="Times New Roman" w:hAnsi="Times New Roman" w:cs="Times New Roman"/>
          <w:color w:val="000000"/>
          <w:sz w:val="24"/>
          <w:szCs w:val="24"/>
        </w:rPr>
        <w:t>–</w:t>
      </w:r>
      <w:r w:rsidRPr="001B7050">
        <w:rPr>
          <w:rFonts w:eastAsia="Calibri" w:cs="Calibri"/>
          <w:color w:val="000000"/>
        </w:rPr>
        <w:t xml:space="preserve"> aim to get this intro as short as possible.</w:t>
      </w:r>
    </w:p>
    <w:p w14:paraId="63D2D78D" w14:textId="2353577E" w:rsidR="2187E676" w:rsidRPr="001B7050" w:rsidRDefault="2187E676" w:rsidP="65D9A205">
      <w:pPr>
        <w:spacing w:line="259" w:lineRule="auto"/>
        <w:rPr>
          <w:rFonts w:eastAsia="Calibri" w:cs="Calibri"/>
          <w:color w:val="000000"/>
        </w:rPr>
      </w:pPr>
      <w:r w:rsidRPr="001B7050">
        <w:rPr>
          <w:rFonts w:eastAsia="Calibri" w:cs="Calibri"/>
          <w:color w:val="000000"/>
        </w:rPr>
        <w:t xml:space="preserve"> • </w:t>
      </w:r>
      <w:r w:rsidRPr="001B7050">
        <w:rPr>
          <w:rFonts w:eastAsia="Calibri" w:cs="Calibri"/>
          <w:b/>
          <w:bCs/>
          <w:color w:val="000000"/>
        </w:rPr>
        <w:t>Thank you</w:t>
      </w:r>
      <w:r w:rsidRPr="001B7050">
        <w:rPr>
          <w:rFonts w:eastAsia="Calibri" w:cs="Calibri"/>
          <w:color w:val="000000"/>
        </w:rPr>
        <w:t xml:space="preserve"> – Thank you the interviewee for having accepted the meeting and for their time today. </w:t>
      </w:r>
    </w:p>
    <w:p w14:paraId="7B9DA401" w14:textId="5533E6C8" w:rsidR="2187E676" w:rsidRPr="001B7050" w:rsidRDefault="2187E676"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Introductions</w:t>
      </w:r>
      <w:r w:rsidRPr="001B7050">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60A78B8C" w14:textId="7E84CA26" w:rsidR="2187E676" w:rsidRPr="001B7050" w:rsidRDefault="2187E676" w:rsidP="65D9A205">
      <w:pPr>
        <w:spacing w:line="259" w:lineRule="auto"/>
        <w:rPr>
          <w:rFonts w:eastAsia="Calibri" w:cs="Calibri"/>
          <w:color w:val="000000"/>
        </w:rPr>
      </w:pPr>
      <w:r w:rsidRPr="001B7050">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73B4DF89" w14:textId="14664709" w:rsidR="2187E676" w:rsidRPr="001B7050" w:rsidRDefault="2187E676" w:rsidP="65D9A205">
      <w:pPr>
        <w:spacing w:line="259" w:lineRule="auto"/>
        <w:rPr>
          <w:rFonts w:eastAsia="Calibri" w:cs="Calibri"/>
          <w:color w:val="000000"/>
        </w:rPr>
      </w:pPr>
      <w:r w:rsidRPr="001B7050">
        <w:rPr>
          <w:rFonts w:eastAsia="Calibri" w:cs="Calibri"/>
          <w:color w:val="000000"/>
        </w:rPr>
        <w:t xml:space="preserve">[Let others introduce themselves or tell them there will be a chance after you have explained the purpose of the interview] </w:t>
      </w:r>
    </w:p>
    <w:p w14:paraId="5F44ECC1" w14:textId="2598CAEE" w:rsidR="2187E676" w:rsidRPr="001B7050" w:rsidRDefault="2187E676" w:rsidP="65D9A205">
      <w:pPr>
        <w:spacing w:line="259" w:lineRule="auto"/>
        <w:rPr>
          <w:rFonts w:eastAsia="Calibri" w:cs="Calibri"/>
          <w:color w:val="000000"/>
        </w:rPr>
      </w:pPr>
      <w:r w:rsidRPr="001B7050">
        <w:rPr>
          <w:rFonts w:eastAsia="Calibri" w:cs="Calibri"/>
          <w:color w:val="000000"/>
        </w:rPr>
        <w:t xml:space="preserve">[Acknowledge whether we have already interviewed the stakeholder during CV1/2]  </w:t>
      </w:r>
    </w:p>
    <w:p w14:paraId="17EBB809" w14:textId="53F6E454" w:rsidR="2187E676" w:rsidRPr="001B7050" w:rsidRDefault="2187E676" w:rsidP="65D9A205">
      <w:pPr>
        <w:spacing w:line="259" w:lineRule="auto"/>
        <w:rPr>
          <w:rFonts w:eastAsia="Calibri" w:cs="Calibri"/>
          <w:color w:val="000000"/>
        </w:rPr>
      </w:pPr>
      <w:r w:rsidRPr="001B7050">
        <w:rPr>
          <w:rFonts w:eastAsia="Calibri" w:cs="Calibri"/>
          <w:color w:val="000000"/>
        </w:rPr>
        <w:t xml:space="preserve"> </w:t>
      </w:r>
    </w:p>
    <w:p w14:paraId="6910ED33" w14:textId="25D18ED3" w:rsidR="2187E676" w:rsidRDefault="2187E676"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Purpose</w:t>
      </w:r>
      <w:r w:rsidRPr="001B7050">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w:t>
      </w:r>
      <w:r w:rsidRPr="65D9A205">
        <w:rPr>
          <w:rFonts w:eastAsia="Calibri" w:cs="Calibri"/>
          <w:color w:val="000000"/>
        </w:rPr>
        <w:t xml:space="preserve"> </w:t>
      </w:r>
    </w:p>
    <w:p w14:paraId="743030AD" w14:textId="7780A1E0" w:rsidR="2187E676" w:rsidRDefault="2187E676" w:rsidP="65D9A205">
      <w:pPr>
        <w:spacing w:line="259" w:lineRule="auto"/>
        <w:rPr>
          <w:rFonts w:eastAsia="Calibri" w:cs="Calibri"/>
          <w:color w:val="000000"/>
        </w:rPr>
      </w:pPr>
      <w:r w:rsidRPr="65D9A205">
        <w:rPr>
          <w:rFonts w:eastAsia="Calibri" w:cs="Calibri"/>
          <w:color w:val="000000"/>
        </w:rPr>
        <w:t xml:space="preserve">• </w:t>
      </w:r>
      <w:r w:rsidRPr="65D9A205">
        <w:rPr>
          <w:rFonts w:eastAsia="Calibri" w:cs="Calibri"/>
          <w:b/>
          <w:bCs/>
          <w:color w:val="000000"/>
        </w:rPr>
        <w:t xml:space="preserve">Focus </w:t>
      </w:r>
      <w:r w:rsidRPr="65D9A205">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15BFEC4F" w14:textId="6F305056" w:rsidR="2187E676" w:rsidRPr="001B7050" w:rsidRDefault="2187E676" w:rsidP="00C6374D">
      <w:pPr>
        <w:pStyle w:val="ListParagraph"/>
        <w:numPr>
          <w:ilvl w:val="0"/>
          <w:numId w:val="5"/>
        </w:numPr>
        <w:spacing w:line="259" w:lineRule="auto"/>
        <w:rPr>
          <w:rFonts w:eastAsia="Calibri" w:cs="Calibri"/>
          <w:color w:val="000000"/>
        </w:rPr>
      </w:pPr>
      <w:r w:rsidRPr="001B7050">
        <w:rPr>
          <w:rFonts w:eastAsia="Calibri" w:cs="Calibri"/>
          <w:color w:val="000000"/>
        </w:rPr>
        <w:t xml:space="preserve">More and better AMR/C/U data produced and shared at country level  </w:t>
      </w:r>
    </w:p>
    <w:p w14:paraId="3088D984" w14:textId="2CBCEB0E" w:rsidR="2187E676" w:rsidRPr="001B7050" w:rsidRDefault="2187E676" w:rsidP="00C6374D">
      <w:pPr>
        <w:pStyle w:val="ListParagraph"/>
        <w:numPr>
          <w:ilvl w:val="0"/>
          <w:numId w:val="5"/>
        </w:numPr>
        <w:spacing w:line="259" w:lineRule="auto"/>
        <w:rPr>
          <w:rFonts w:eastAsia="Calibri" w:cs="Calibri"/>
          <w:color w:val="000000"/>
        </w:rPr>
      </w:pPr>
      <w:r w:rsidRPr="001B7050">
        <w:rPr>
          <w:rFonts w:eastAsia="Calibri" w:cs="Calibri"/>
          <w:color w:val="000000"/>
        </w:rPr>
        <w:t xml:space="preserve">More and better AMR/C/U data shared internationally (with GLASS/OIE) </w:t>
      </w:r>
    </w:p>
    <w:p w14:paraId="0106FB7B" w14:textId="0A513CB9" w:rsidR="2187E676" w:rsidRPr="001B7050" w:rsidRDefault="2187E676" w:rsidP="00C6374D">
      <w:pPr>
        <w:pStyle w:val="ListParagraph"/>
        <w:numPr>
          <w:ilvl w:val="0"/>
          <w:numId w:val="5"/>
        </w:numPr>
        <w:spacing w:line="259" w:lineRule="auto"/>
        <w:rPr>
          <w:rFonts w:eastAsia="Calibri" w:cs="Calibri"/>
          <w:color w:val="000000"/>
        </w:rPr>
      </w:pPr>
      <w:r w:rsidRPr="001B7050">
        <w:rPr>
          <w:rFonts w:eastAsia="Calibri" w:cs="Calibri"/>
          <w:color w:val="000000"/>
        </w:rPr>
        <w:t xml:space="preserve">Regulatory and policy change that can have an impact in reducing AMR </w:t>
      </w:r>
    </w:p>
    <w:p w14:paraId="08F4D6FC" w14:textId="7FCA978B" w:rsidR="2187E676" w:rsidRPr="001B7050" w:rsidRDefault="2187E676" w:rsidP="00C6374D">
      <w:pPr>
        <w:pStyle w:val="ListParagraph"/>
        <w:numPr>
          <w:ilvl w:val="0"/>
          <w:numId w:val="5"/>
        </w:numPr>
        <w:spacing w:line="259" w:lineRule="auto"/>
        <w:rPr>
          <w:rFonts w:eastAsia="Calibri" w:cs="Calibri"/>
          <w:color w:val="000000"/>
        </w:rPr>
      </w:pPr>
      <w:r w:rsidRPr="001B7050">
        <w:rPr>
          <w:rFonts w:eastAsia="Calibri" w:cs="Calibri"/>
          <w:color w:val="000000"/>
        </w:rPr>
        <w:t xml:space="preserve">Changes in practice / attitude towards the use of antimicrobials.  </w:t>
      </w:r>
    </w:p>
    <w:p w14:paraId="771227C5" w14:textId="0DE20271" w:rsidR="2187E676" w:rsidRPr="001B7050" w:rsidRDefault="2187E676" w:rsidP="65D9A205">
      <w:pPr>
        <w:spacing w:line="259" w:lineRule="auto"/>
        <w:rPr>
          <w:rFonts w:eastAsia="Calibri" w:cs="Calibri"/>
          <w:color w:val="000000"/>
        </w:rPr>
      </w:pPr>
      <w:r w:rsidRPr="001B7050">
        <w:rPr>
          <w:rFonts w:eastAsia="Calibri" w:cs="Calibri"/>
          <w:color w:val="000000"/>
        </w:rPr>
        <w:t xml:space="preserve"> </w:t>
      </w:r>
    </w:p>
    <w:p w14:paraId="12193CA2" w14:textId="361CA75A" w:rsidR="2187E676" w:rsidRPr="001B7050" w:rsidRDefault="2187E676" w:rsidP="65D9A205">
      <w:pPr>
        <w:spacing w:line="259" w:lineRule="auto"/>
        <w:rPr>
          <w:rFonts w:eastAsia="Calibri" w:cs="Calibri"/>
          <w:color w:val="000000"/>
        </w:rPr>
      </w:pPr>
      <w:r w:rsidRPr="001B7050">
        <w:rPr>
          <w:rFonts w:eastAsia="Calibri" w:cs="Calibri"/>
          <w:color w:val="000000"/>
        </w:rPr>
        <w:t>We have also questions relate to coherence of Fleming Fund efforts with those of other actors in country, sustainability of FF results and Value for Money [adapt the list as appropriate].</w:t>
      </w:r>
    </w:p>
    <w:p w14:paraId="6A78E421" w14:textId="78662D71" w:rsidR="2187E676" w:rsidRPr="001B7050" w:rsidRDefault="2187E676" w:rsidP="65D9A205">
      <w:pPr>
        <w:spacing w:line="259" w:lineRule="auto"/>
        <w:rPr>
          <w:rFonts w:eastAsia="Calibri" w:cs="Calibri"/>
          <w:color w:val="000000"/>
        </w:rPr>
      </w:pPr>
      <w:r w:rsidRPr="001B7050">
        <w:rPr>
          <w:rFonts w:eastAsia="Calibri" w:cs="Calibri"/>
          <w:color w:val="000000"/>
        </w:rPr>
        <w:t xml:space="preserve"> </w:t>
      </w:r>
    </w:p>
    <w:p w14:paraId="5C203AD5" w14:textId="037174EF" w:rsidR="2187E676" w:rsidRPr="001B7050" w:rsidRDefault="2187E676"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Confidentiality / permission to record</w:t>
      </w:r>
      <w:r w:rsidRPr="001B7050">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637AA2E2" w14:textId="4EB29A8F" w:rsidR="2187E676" w:rsidRPr="001B7050" w:rsidRDefault="2187E676" w:rsidP="65D9A205">
      <w:pPr>
        <w:spacing w:line="259" w:lineRule="auto"/>
        <w:rPr>
          <w:rFonts w:eastAsia="Calibri" w:cs="Calibri"/>
          <w:color w:val="000000"/>
        </w:rPr>
      </w:pPr>
      <w:r w:rsidRPr="001B7050">
        <w:rPr>
          <w:rFonts w:eastAsia="Calibri" w:cs="Calibri"/>
          <w:color w:val="000000"/>
        </w:rPr>
        <w:t xml:space="preserve"> </w:t>
      </w:r>
    </w:p>
    <w:p w14:paraId="1A78EDA3" w14:textId="63502C35" w:rsidR="2187E676" w:rsidRDefault="2187E676"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Duration</w:t>
      </w:r>
      <w:r w:rsidRPr="001B7050">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 know the answer to a question or prefer not to answer – just let me know and I’ll adapt the interview accordingly.</w:t>
      </w:r>
      <w:r w:rsidRPr="65D9A205">
        <w:rPr>
          <w:rFonts w:eastAsia="Calibri" w:cs="Calibri"/>
          <w:color w:val="000000"/>
        </w:rPr>
        <w:t xml:space="preserve">   </w:t>
      </w:r>
    </w:p>
    <w:p w14:paraId="144CD8E7" w14:textId="1F4625EF" w:rsidR="2187E676" w:rsidRDefault="2187E676" w:rsidP="65D9A205">
      <w:pPr>
        <w:spacing w:line="259" w:lineRule="auto"/>
        <w:rPr>
          <w:rFonts w:ascii="Segoe UI" w:eastAsia="Segoe UI" w:hAnsi="Segoe UI" w:cs="Segoe UI"/>
          <w:color w:val="000000"/>
        </w:rPr>
      </w:pPr>
      <w:r w:rsidRPr="65D9A205">
        <w:rPr>
          <w:rFonts w:ascii="Segoe UI" w:eastAsia="Segoe UI" w:hAnsi="Segoe UI" w:cs="Segoe UI"/>
          <w:color w:val="000000"/>
        </w:rPr>
        <w:t xml:space="preserve"> </w:t>
      </w:r>
    </w:p>
    <w:p w14:paraId="5778EE16" w14:textId="0D97CC2D" w:rsidR="2187E676" w:rsidRDefault="2187E676" w:rsidP="65D9A205">
      <w:pPr>
        <w:spacing w:line="259" w:lineRule="auto"/>
        <w:rPr>
          <w:rFonts w:eastAsia="Calibri" w:cs="Calibri"/>
          <w:color w:val="000000"/>
        </w:rPr>
      </w:pPr>
      <w:r w:rsidRPr="65D9A205">
        <w:rPr>
          <w:rFonts w:eastAsia="Calibri" w:cs="Calibri"/>
          <w:color w:val="000000"/>
        </w:rPr>
        <w:t xml:space="preserve">• </w:t>
      </w:r>
      <w:r w:rsidRPr="65D9A205">
        <w:rPr>
          <w:rFonts w:eastAsia="Calibri" w:cs="Calibri"/>
          <w:b/>
          <w:bCs/>
          <w:color w:val="000000"/>
        </w:rPr>
        <w:t>Opportunity for questions</w:t>
      </w:r>
      <w:r w:rsidRPr="65D9A205">
        <w:rPr>
          <w:rFonts w:eastAsia="Calibri" w:cs="Calibri"/>
          <w:color w:val="000000"/>
        </w:rPr>
        <w:t xml:space="preserve"> – Do you have any questions before we start? Of course you are also welcome to ask questions through the interview if something is not clear.  </w:t>
      </w:r>
    </w:p>
    <w:p w14:paraId="7E690561" w14:textId="6ED9EE9C" w:rsidR="65D9A205" w:rsidRDefault="65D9A205" w:rsidP="65D9A205">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50"/>
        <w:gridCol w:w="6270"/>
        <w:gridCol w:w="6270"/>
      </w:tblGrid>
      <w:tr w:rsidR="65D9A205" w14:paraId="646C829C" w14:textId="77777777" w:rsidTr="00C90FD0">
        <w:trPr>
          <w:trHeight w:val="567"/>
          <w:tblHeader/>
        </w:trPr>
        <w:tc>
          <w:tcPr>
            <w:tcW w:w="105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13B38CF8" w14:textId="11973809" w:rsidR="65D9A205" w:rsidRDefault="65D9A205" w:rsidP="00C90FD0">
            <w:pPr>
              <w:rPr>
                <w:rFonts w:eastAsia="Calibri" w:cs="Calibri"/>
                <w:color w:val="FFFFFF" w:themeColor="background1"/>
                <w:sz w:val="20"/>
                <w:szCs w:val="20"/>
              </w:rPr>
            </w:pPr>
            <w:r w:rsidRPr="65D9A205">
              <w:rPr>
                <w:rFonts w:eastAsia="Calibri" w:cs="Calibri"/>
                <w:color w:val="FFFFFF" w:themeColor="background1"/>
                <w:sz w:val="20"/>
                <w:szCs w:val="20"/>
              </w:rPr>
              <w:t>EQ</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1139B53A" w14:textId="67A4A086" w:rsidR="65D9A205" w:rsidRDefault="65D9A205" w:rsidP="00C90FD0">
            <w:pPr>
              <w:rPr>
                <w:rFonts w:eastAsia="Calibri" w:cs="Calibri"/>
                <w:color w:val="FFFFFF" w:themeColor="background1"/>
                <w:sz w:val="20"/>
                <w:szCs w:val="20"/>
              </w:rPr>
            </w:pPr>
            <w:r w:rsidRPr="65D9A205">
              <w:rPr>
                <w:rFonts w:eastAsia="Calibri" w:cs="Calibri"/>
                <w:color w:val="FFFFFF" w:themeColor="background1"/>
                <w:sz w:val="20"/>
                <w:szCs w:val="20"/>
              </w:rPr>
              <w:t xml:space="preserve">List of questions  </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3B58138B" w14:textId="57184F14" w:rsidR="65D9A205" w:rsidRDefault="65D9A205" w:rsidP="00C90FD0">
            <w:pPr>
              <w:rPr>
                <w:rFonts w:eastAsia="Calibri" w:cs="Calibri"/>
                <w:color w:val="FFFFFF" w:themeColor="background1"/>
                <w:sz w:val="20"/>
                <w:szCs w:val="20"/>
              </w:rPr>
            </w:pPr>
            <w:r w:rsidRPr="65D9A205">
              <w:rPr>
                <w:rFonts w:eastAsia="Calibri" w:cs="Calibri"/>
                <w:color w:val="FFFFFF" w:themeColor="background1"/>
                <w:sz w:val="20"/>
                <w:szCs w:val="20"/>
              </w:rPr>
              <w:t>Response</w:t>
            </w:r>
          </w:p>
        </w:tc>
      </w:tr>
      <w:tr w:rsidR="65D9A205" w14:paraId="06C18519" w14:textId="77777777" w:rsidTr="65D9A205">
        <w:trPr>
          <w:trHeight w:val="12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DE866C8" w14:textId="4C580EB2" w:rsidR="65D9A205" w:rsidRDefault="65D9A205" w:rsidP="65D9A205">
            <w:pPr>
              <w:rPr>
                <w:rFonts w:eastAsia="Calibri" w:cs="Calibri"/>
                <w:color w:val="000000"/>
              </w:rPr>
            </w:pPr>
            <w:r w:rsidRPr="65D9A205">
              <w:rPr>
                <w:rFonts w:eastAsia="Calibri" w:cs="Calibri"/>
                <w:color w:val="00000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5FF3087" w14:textId="2749B50B"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Fleming Fund's investments</w:t>
            </w:r>
            <w:r w:rsidRPr="65D9A205">
              <w:rPr>
                <w:rFonts w:eastAsia="Calibri" w:cs="Calibri"/>
                <w:color w:val="000000"/>
                <w:sz w:val="20"/>
                <w:szCs w:val="20"/>
              </w:rPr>
              <w:t xml:space="preserve"> been </w:t>
            </w:r>
            <w:r w:rsidRPr="65D9A205">
              <w:rPr>
                <w:rFonts w:eastAsia="Calibri" w:cs="Calibri"/>
                <w:b/>
                <w:bCs/>
                <w:color w:val="000000"/>
                <w:sz w:val="20"/>
                <w:szCs w:val="20"/>
              </w:rPr>
              <w:t>aligned</w:t>
            </w:r>
            <w:r w:rsidRPr="65D9A205">
              <w:rPr>
                <w:rFonts w:eastAsia="Calibri" w:cs="Calibri"/>
                <w:color w:val="000000"/>
                <w:sz w:val="20"/>
                <w:szCs w:val="20"/>
              </w:rPr>
              <w:t xml:space="preserve"> with the NAP and other government policies/plans?</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government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was alignment ensured?</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7CD629E4" w14:textId="78F33A8B" w:rsidR="65D9A205" w:rsidRDefault="65D9A205" w:rsidP="65D9A205">
            <w:pPr>
              <w:rPr>
                <w:rFonts w:eastAsia="Calibri" w:cs="Calibri"/>
                <w:color w:val="000000"/>
                <w:sz w:val="20"/>
                <w:szCs w:val="20"/>
              </w:rPr>
            </w:pPr>
          </w:p>
        </w:tc>
      </w:tr>
      <w:tr w:rsidR="65D9A205" w14:paraId="4743344C" w14:textId="77777777" w:rsidTr="00C90FD0">
        <w:trPr>
          <w:trHeight w:val="1814"/>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D907C97" w14:textId="1292188A"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58CA38E" w14:textId="5AC11774" w:rsidR="65D9A205" w:rsidRDefault="65D9A205" w:rsidP="65D9A205">
            <w:pPr>
              <w:rPr>
                <w:rFonts w:eastAsia="Calibri" w:cs="Calibri"/>
                <w:color w:val="000000"/>
                <w:sz w:val="20"/>
                <w:szCs w:val="20"/>
              </w:rPr>
            </w:pPr>
            <w:r w:rsidRPr="65D9A205">
              <w:rPr>
                <w:rFonts w:eastAsia="Calibri" w:cs="Calibri"/>
                <w:color w:val="000000"/>
                <w:sz w:val="20"/>
                <w:szCs w:val="20"/>
              </w:rPr>
              <w:t xml:space="preserve">Do you think that </w:t>
            </w:r>
            <w:r w:rsidRPr="65D9A205">
              <w:rPr>
                <w:rFonts w:eastAsia="Calibri" w:cs="Calibri"/>
                <w:b/>
                <w:bCs/>
                <w:color w:val="000000"/>
                <w:sz w:val="20"/>
                <w:szCs w:val="20"/>
              </w:rPr>
              <w:t>surveillance data is already being used to inform strong national actions on AMR</w:t>
            </w:r>
            <w:r w:rsidRPr="65D9A205">
              <w:rPr>
                <w:rFonts w:eastAsia="Calibri" w:cs="Calibri"/>
                <w:color w:val="000000"/>
                <w:sz w:val="20"/>
                <w:szCs w:val="20"/>
              </w:rPr>
              <w:t xml:space="preserve"> (policy implementation, regulatory change or change to national clinical guidelines?)  If yes, please give examples  PROBE: How did Fleming Fund activities contribute to these actions? If no, do you think that the main use so far has been for general awareness-raising in professional and policy networks? PROBE: Do you think that we are still at an early stage of the cycle of AMR data analysis for policy?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4E0CED43" w14:textId="6A5449F7" w:rsidR="65D9A205" w:rsidRDefault="65D9A205" w:rsidP="65D9A205">
            <w:pPr>
              <w:rPr>
                <w:rFonts w:eastAsia="Calibri" w:cs="Calibri"/>
                <w:color w:val="000000"/>
                <w:sz w:val="20"/>
                <w:szCs w:val="20"/>
              </w:rPr>
            </w:pPr>
          </w:p>
        </w:tc>
      </w:tr>
      <w:tr w:rsidR="65D9A205" w14:paraId="50DB9923" w14:textId="77777777" w:rsidTr="65D9A205">
        <w:trPr>
          <w:trHeight w:val="160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EA592F7" w14:textId="6BA72C0B"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33C5BCC" w14:textId="4EF0A2D0" w:rsidR="65D9A205" w:rsidRDefault="65D9A205" w:rsidP="65D9A205">
            <w:pPr>
              <w:rPr>
                <w:rFonts w:eastAsia="Calibri" w:cs="Calibri"/>
                <w:color w:val="000000"/>
                <w:sz w:val="20"/>
                <w:szCs w:val="20"/>
              </w:rPr>
            </w:pPr>
            <w:r w:rsidRPr="65D9A205">
              <w:rPr>
                <w:rFonts w:eastAsia="Calibri" w:cs="Calibri"/>
                <w:color w:val="000000"/>
                <w:sz w:val="20"/>
                <w:szCs w:val="20"/>
              </w:rPr>
              <w:t xml:space="preserve">Thinking about the kinds of strong national actions that might be relevant to AMR (for example controls on certain uses of antimicrobials or initiatives to change professional practices), can you think of </w:t>
            </w:r>
            <w:r w:rsidRPr="65D9A205">
              <w:rPr>
                <w:rFonts w:eastAsia="Calibri" w:cs="Calibri"/>
                <w:b/>
                <w:bCs/>
                <w:color w:val="000000"/>
                <w:sz w:val="20"/>
                <w:szCs w:val="20"/>
              </w:rPr>
              <w:t>examples from the past (prior to FF) and/or not motivated by surveillance data?</w:t>
            </w:r>
            <w:r w:rsidRPr="65D9A205">
              <w:rPr>
                <w:rFonts w:eastAsia="Calibri" w:cs="Calibri"/>
                <w:color w:val="000000"/>
                <w:sz w:val="20"/>
                <w:szCs w:val="20"/>
              </w:rPr>
              <w:t xml:space="preserve">  PROBE: (Refer to any examples suggested by MSA analysis or other information gathered)  If yes, please give details. PROBE: what is different now / what motivates action if not surveillance data?</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2AE809F9" w14:textId="1FC4941C" w:rsidR="65D9A205" w:rsidRDefault="65D9A205" w:rsidP="65D9A205">
            <w:pPr>
              <w:rPr>
                <w:rFonts w:eastAsia="Calibri" w:cs="Calibri"/>
                <w:color w:val="000000"/>
                <w:sz w:val="20"/>
                <w:szCs w:val="20"/>
              </w:rPr>
            </w:pPr>
          </w:p>
        </w:tc>
      </w:tr>
      <w:tr w:rsidR="65D9A205" w14:paraId="60D473EE" w14:textId="77777777" w:rsidTr="65D9A205">
        <w:trPr>
          <w:trHeight w:val="261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F7551AB" w14:textId="4C881EA5"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9E0AD4B" w14:textId="1358786E"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factors do you think are </w:t>
            </w:r>
            <w:r w:rsidRPr="65D9A205">
              <w:rPr>
                <w:rFonts w:eastAsia="Calibri" w:cs="Calibri"/>
                <w:b/>
                <w:bCs/>
                <w:color w:val="000000"/>
                <w:sz w:val="20"/>
                <w:szCs w:val="20"/>
              </w:rPr>
              <w:t>most important for national policymakers when considering whether AMR is a very severe and urgent problem</w:t>
            </w:r>
            <w:r w:rsidRPr="65D9A205">
              <w:rPr>
                <w:rFonts w:eastAsia="Calibri" w:cs="Calibri"/>
                <w:color w:val="000000"/>
                <w:sz w:val="20"/>
                <w:szCs w:val="20"/>
              </w:rPr>
              <w:t>? PROBE: (Refer to MSA on Indicators/Problem stream, test analysis)</w:t>
            </w:r>
            <w:r>
              <w:br/>
            </w:r>
            <w:r w:rsidRPr="65D9A205">
              <w:rPr>
                <w:rFonts w:eastAsia="Calibri" w:cs="Calibri"/>
                <w:color w:val="000000"/>
                <w:sz w:val="20"/>
                <w:szCs w:val="20"/>
              </w:rPr>
              <w:t xml:space="preserve">§ (if need more information on MSA Load) How does AMR compare to other health policy problems? </w:t>
            </w:r>
            <w:r>
              <w:br/>
            </w:r>
            <w:r w:rsidRPr="65D9A205">
              <w:rPr>
                <w:rFonts w:eastAsia="Calibri" w:cs="Calibri"/>
                <w:color w:val="000000"/>
                <w:sz w:val="20"/>
                <w:szCs w:val="20"/>
              </w:rPr>
              <w:t xml:space="preserve">§ (if need more information on MSA Feedback / TrACSS suggest links to other plans) Have public policy activities to address other problems started to suggest that AMR is important? </w:t>
            </w:r>
            <w:r>
              <w:br/>
            </w:r>
            <w:r w:rsidRPr="65D9A205">
              <w:rPr>
                <w:rFonts w:eastAsia="Calibri" w:cs="Calibri"/>
                <w:color w:val="000000"/>
                <w:sz w:val="20"/>
                <w:szCs w:val="20"/>
              </w:rPr>
              <w:t xml:space="preserve">§ (need more information on MSA Focusing) What has or might focus policymakers’ attention on AMR?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27ECFB8" w14:textId="1979D41E" w:rsidR="65D9A205" w:rsidRDefault="65D9A205" w:rsidP="65D9A205">
            <w:pPr>
              <w:rPr>
                <w:rFonts w:eastAsia="Calibri" w:cs="Calibri"/>
                <w:color w:val="000000"/>
                <w:sz w:val="20"/>
                <w:szCs w:val="20"/>
              </w:rPr>
            </w:pPr>
          </w:p>
        </w:tc>
      </w:tr>
      <w:tr w:rsidR="65D9A205" w14:paraId="64AAB5A9" w14:textId="77777777" w:rsidTr="00C90FD0">
        <w:trPr>
          <w:trHeight w:val="102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6318763" w14:textId="34CEF24E"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5EFC12E" w14:textId="6D39DD04" w:rsidR="65D9A205" w:rsidRDefault="65D9A205" w:rsidP="65D9A205">
            <w:pPr>
              <w:rPr>
                <w:rFonts w:eastAsia="Calibri" w:cs="Calibri"/>
                <w:color w:val="000000"/>
                <w:sz w:val="20"/>
                <w:szCs w:val="20"/>
              </w:rPr>
            </w:pPr>
            <w:r w:rsidRPr="65D9A205">
              <w:rPr>
                <w:rFonts w:eastAsia="Calibri" w:cs="Calibri"/>
                <w:b/>
                <w:bCs/>
                <w:color w:val="000000"/>
                <w:sz w:val="20"/>
                <w:szCs w:val="20"/>
              </w:rPr>
              <w:t>Has Covid-19 been a distraction, slowing down progress</w:t>
            </w:r>
            <w:r w:rsidRPr="65D9A205">
              <w:rPr>
                <w:rFonts w:eastAsia="Calibri" w:cs="Calibri"/>
                <w:color w:val="000000"/>
                <w:sz w:val="20"/>
                <w:szCs w:val="20"/>
              </w:rPr>
              <w:t xml:space="preserve"> with the national AMR agenda?  PROBE: Has AMRCC met regularly since 2020, including at political as well as technical levels? Has it started to take significant decisions?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41773231" w14:textId="40A24B49" w:rsidR="65D9A205" w:rsidRDefault="65D9A205" w:rsidP="65D9A205">
            <w:pPr>
              <w:rPr>
                <w:rFonts w:eastAsia="Calibri" w:cs="Calibri"/>
                <w:color w:val="000000"/>
                <w:sz w:val="20"/>
                <w:szCs w:val="20"/>
              </w:rPr>
            </w:pPr>
          </w:p>
        </w:tc>
      </w:tr>
      <w:tr w:rsidR="65D9A205" w14:paraId="4FCF3897" w14:textId="77777777" w:rsidTr="00C90FD0">
        <w:trPr>
          <w:trHeight w:val="153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088A8E5" w14:textId="010D305F"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4219568" w14:textId="38F0112F" w:rsidR="65D9A205" w:rsidRDefault="65D9A205" w:rsidP="65D9A205">
            <w:pPr>
              <w:rPr>
                <w:rFonts w:eastAsia="Calibri" w:cs="Calibri"/>
                <w:color w:val="000000"/>
                <w:sz w:val="20"/>
                <w:szCs w:val="20"/>
              </w:rPr>
            </w:pPr>
            <w:r w:rsidRPr="65D9A205">
              <w:rPr>
                <w:rFonts w:eastAsia="Calibri" w:cs="Calibri"/>
                <w:color w:val="000000"/>
                <w:sz w:val="20"/>
                <w:szCs w:val="20"/>
              </w:rPr>
              <w:t xml:space="preserve">Have </w:t>
            </w:r>
            <w:r w:rsidRPr="65D9A205">
              <w:rPr>
                <w:rFonts w:eastAsia="Calibri" w:cs="Calibri"/>
                <w:b/>
                <w:bCs/>
                <w:color w:val="000000"/>
                <w:sz w:val="20"/>
                <w:szCs w:val="20"/>
              </w:rPr>
              <w:t>NAP plans continued to develop strongly since 2020? (</w:t>
            </w:r>
            <w:r w:rsidRPr="65D9A205">
              <w:rPr>
                <w:rFonts w:eastAsia="Calibri" w:cs="Calibri"/>
                <w:color w:val="000000"/>
                <w:sz w:val="20"/>
                <w:szCs w:val="20"/>
              </w:rPr>
              <w:t>OR, if NAP expires in 2020-22, is there a process underway for its renewal; do you expect any delay in extending the NAP?)  PROBE: What factors explain the current situation in relation to the NAP?  (if need more information to complete NAP tool, apart from on budgeting) How exactly is the NAP moving from a plan to real action and change?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2ED41BF" w14:textId="6D025783" w:rsidR="65D9A205" w:rsidRDefault="65D9A205" w:rsidP="65D9A205">
            <w:pPr>
              <w:rPr>
                <w:rFonts w:eastAsia="Calibri" w:cs="Calibri"/>
                <w:color w:val="000000"/>
                <w:sz w:val="20"/>
                <w:szCs w:val="20"/>
              </w:rPr>
            </w:pPr>
          </w:p>
        </w:tc>
      </w:tr>
      <w:tr w:rsidR="65D9A205" w14:paraId="496C83C4" w14:textId="77777777" w:rsidTr="00C90FD0">
        <w:trPr>
          <w:trHeight w:val="136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50241B2" w14:textId="204160FB"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B66E3BB" w14:textId="0DC6512A" w:rsidR="65D9A205" w:rsidRDefault="65D9A205" w:rsidP="65D9A205">
            <w:pPr>
              <w:rPr>
                <w:rFonts w:eastAsia="Calibri" w:cs="Calibri"/>
                <w:color w:val="000000"/>
                <w:sz w:val="20"/>
                <w:szCs w:val="20"/>
              </w:rPr>
            </w:pPr>
            <w:r w:rsidRPr="65D9A205">
              <w:rPr>
                <w:rFonts w:eastAsia="Calibri" w:cs="Calibri"/>
                <w:color w:val="000000"/>
                <w:sz w:val="20"/>
                <w:szCs w:val="20"/>
              </w:rPr>
              <w:t xml:space="preserve">Do you think that it is likely that there will be </w:t>
            </w:r>
            <w:r w:rsidRPr="65D9A205">
              <w:rPr>
                <w:rFonts w:eastAsia="Calibri" w:cs="Calibri"/>
                <w:b/>
                <w:bCs/>
                <w:color w:val="000000"/>
                <w:sz w:val="20"/>
                <w:szCs w:val="20"/>
              </w:rPr>
              <w:t>significant on-budget domestic funding for AMR initiatives in the foreseeable future?</w:t>
            </w:r>
            <w:r w:rsidRPr="65D9A205">
              <w:rPr>
                <w:rFonts w:eastAsia="Calibri" w:cs="Calibri"/>
                <w:color w:val="000000"/>
                <w:sz w:val="20"/>
                <w:szCs w:val="20"/>
              </w:rPr>
              <w:t xml:space="preserve">  If yes, please give reasons (have the reasons for prior budget decisions  changed?) If no, will funding from international supporters be sufficient?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5E0BA0C" w14:textId="143381F6" w:rsidR="65D9A205" w:rsidRDefault="65D9A205" w:rsidP="65D9A205">
            <w:pPr>
              <w:rPr>
                <w:rFonts w:eastAsia="Calibri" w:cs="Calibri"/>
                <w:color w:val="000000"/>
                <w:sz w:val="20"/>
                <w:szCs w:val="20"/>
              </w:rPr>
            </w:pPr>
          </w:p>
        </w:tc>
      </w:tr>
      <w:tr w:rsidR="65D9A205" w14:paraId="7ABB4BF8" w14:textId="77777777" w:rsidTr="00C90FD0">
        <w:trPr>
          <w:trHeight w:val="2268"/>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C0741AD" w14:textId="764D32D3" w:rsidR="65D9A205" w:rsidRDefault="65D9A205" w:rsidP="65D9A205">
            <w:pPr>
              <w:rPr>
                <w:rFonts w:eastAsia="Calibri" w:cs="Calibri"/>
                <w:color w:val="000000"/>
                <w:sz w:val="20"/>
                <w:szCs w:val="20"/>
              </w:rPr>
            </w:pPr>
            <w:r w:rsidRPr="65D9A205">
              <w:rPr>
                <w:rFonts w:eastAsia="Calibri" w:cs="Calibri"/>
                <w:color w:val="000000"/>
                <w:sz w:val="20"/>
                <w:szCs w:val="20"/>
              </w:rPr>
              <w:t>POLICY 4.2</w:t>
            </w:r>
            <w:r w:rsidRPr="00263CAE">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3830EF19" w14:textId="1C5121A6" w:rsidR="65D9A205" w:rsidRDefault="65D9A205" w:rsidP="65D9A205">
            <w:pPr>
              <w:rPr>
                <w:rFonts w:eastAsia="Calibri" w:cs="Calibri"/>
                <w:color w:val="000000"/>
                <w:sz w:val="20"/>
                <w:szCs w:val="20"/>
              </w:rPr>
            </w:pPr>
            <w:r w:rsidRPr="65D9A205">
              <w:rPr>
                <w:rFonts w:eastAsia="Calibri" w:cs="Calibri"/>
                <w:color w:val="000000"/>
                <w:sz w:val="20"/>
                <w:szCs w:val="20"/>
              </w:rPr>
              <w:t>Does AMRCC (or other national body in charge of the country AMR strategy) r</w:t>
            </w:r>
            <w:r w:rsidRPr="65D9A205">
              <w:rPr>
                <w:rFonts w:eastAsia="Calibri" w:cs="Calibri"/>
                <w:b/>
                <w:bCs/>
                <w:color w:val="000000"/>
                <w:sz w:val="20"/>
                <w:szCs w:val="20"/>
              </w:rPr>
              <w:t>eceive AMR data reports generated by surveillance sites at least once a year</w:t>
            </w:r>
            <w:r w:rsidRPr="65D9A205">
              <w:rPr>
                <w:rFonts w:eastAsia="Calibri" w:cs="Calibri"/>
                <w:color w:val="000000"/>
                <w:sz w:val="20"/>
                <w:szCs w:val="20"/>
              </w:rPr>
              <w:t>? Is that an improvement compared to 2018 (i.e. Prior to Fleming Fund activities starting)? PROBE if yes: which organisation(s) assembles and submits these reports? What form do they take, what are they called (descriptive summary or analytical)? Is there good sector representation and national coverage? If yes, do you think that the reports are sufficient to amend national AMR strategy and enable effective AMR decision-making? If no, why not?</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71EFC19" w14:textId="5A4FDB1C" w:rsidR="65D9A205" w:rsidRDefault="65D9A205" w:rsidP="65D9A205">
            <w:pPr>
              <w:rPr>
                <w:rFonts w:eastAsia="Calibri" w:cs="Calibri"/>
                <w:color w:val="000000"/>
                <w:sz w:val="20"/>
                <w:szCs w:val="20"/>
              </w:rPr>
            </w:pPr>
          </w:p>
        </w:tc>
      </w:tr>
      <w:tr w:rsidR="65D9A205" w14:paraId="1DBB225D" w14:textId="77777777" w:rsidTr="65D9A205">
        <w:trPr>
          <w:trHeight w:val="130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E955237" w14:textId="6ACFE198" w:rsidR="65D9A205" w:rsidRDefault="65D9A205" w:rsidP="65D9A205">
            <w:pPr>
              <w:rPr>
                <w:rFonts w:eastAsia="Calibri" w:cs="Calibri"/>
                <w:color w:val="000000"/>
                <w:sz w:val="20"/>
                <w:szCs w:val="20"/>
              </w:rPr>
            </w:pPr>
            <w:r w:rsidRPr="65D9A205">
              <w:rPr>
                <w:rFonts w:eastAsia="Calibri" w:cs="Calibri"/>
                <w:color w:val="000000"/>
                <w:sz w:val="20"/>
                <w:szCs w:val="20"/>
              </w:rPr>
              <w:t>EQ4</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336E979D" w14:textId="32683277"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were the </w:t>
            </w:r>
            <w:r w:rsidRPr="65D9A205">
              <w:rPr>
                <w:rFonts w:eastAsia="Calibri" w:cs="Calibri"/>
                <w:b/>
                <w:bCs/>
                <w:color w:val="000000"/>
                <w:sz w:val="20"/>
                <w:szCs w:val="20"/>
              </w:rPr>
              <w:t>key change drivers/factors</w:t>
            </w:r>
            <w:r w:rsidRPr="65D9A205">
              <w:rPr>
                <w:rFonts w:eastAsia="Calibri" w:cs="Calibri"/>
                <w:color w:val="000000"/>
                <w:sz w:val="20"/>
                <w:szCs w:val="20"/>
              </w:rPr>
              <w:t xml:space="preserve">, </w:t>
            </w:r>
            <w:r w:rsidRPr="65D9A205">
              <w:rPr>
                <w:rFonts w:eastAsia="Calibri" w:cs="Calibri"/>
                <w:b/>
                <w:bCs/>
                <w:color w:val="000000"/>
                <w:sz w:val="20"/>
                <w:szCs w:val="20"/>
              </w:rPr>
              <w:t>in order of importance</w:t>
            </w:r>
            <w:r w:rsidRPr="65D9A205">
              <w:rPr>
                <w:rFonts w:eastAsia="Calibri" w:cs="Calibri"/>
                <w:color w:val="000000"/>
                <w:sz w:val="20"/>
                <w:szCs w:val="20"/>
              </w:rPr>
              <w:t xml:space="preserve">, behind such change ? </w:t>
            </w:r>
            <w:r w:rsidRPr="00263CAE">
              <w:rPr>
                <w:rFonts w:eastAsia="Calibri" w:cs="Calibri"/>
                <w:color w:val="000000"/>
                <w:sz w:val="20"/>
                <w:szCs w:val="20"/>
              </w:rPr>
              <w:t>Probes: more and better data available from the surveillance system (in which case refer to QUANT &amp; QUAL contribution stories), data sharing processes and systems, resourcing, incentives, formal barriers, cooperation, governance, leadership demand, analytical entrepreneurs / champions, other</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416A8F84" w14:textId="1FD9D6F1" w:rsidR="65D9A205" w:rsidRDefault="65D9A205" w:rsidP="65D9A205">
            <w:pPr>
              <w:rPr>
                <w:rFonts w:eastAsia="Calibri" w:cs="Calibri"/>
                <w:color w:val="000000"/>
                <w:sz w:val="20"/>
                <w:szCs w:val="20"/>
              </w:rPr>
            </w:pPr>
          </w:p>
        </w:tc>
      </w:tr>
      <w:tr w:rsidR="65D9A205" w14:paraId="18DE9700" w14:textId="77777777" w:rsidTr="00C90FD0">
        <w:trPr>
          <w:trHeight w:val="1474"/>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86CF742" w14:textId="613CB47A" w:rsidR="65D9A205" w:rsidRDefault="65D9A205" w:rsidP="65D9A205">
            <w:pPr>
              <w:rPr>
                <w:rFonts w:eastAsia="Calibri" w:cs="Calibri"/>
                <w:color w:val="000000"/>
                <w:sz w:val="20"/>
                <w:szCs w:val="20"/>
              </w:rPr>
            </w:pPr>
            <w:r w:rsidRPr="65D9A205">
              <w:rPr>
                <w:rFonts w:eastAsia="Calibri" w:cs="Calibri"/>
                <w:color w:val="000000"/>
                <w:sz w:val="20"/>
                <w:szCs w:val="20"/>
              </w:rPr>
              <w:t>EQ4</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19D71EB7" w14:textId="29BE4600"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 to those drivers</w:t>
            </w:r>
            <w:r w:rsidRPr="65D9A205">
              <w:rPr>
                <w:rFonts w:eastAsia="Calibri" w:cs="Calibri"/>
                <w:color w:val="000000"/>
                <w:sz w:val="20"/>
                <w:szCs w:val="20"/>
              </w:rPr>
              <w:t>?</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488CC53C" w14:textId="6385CB84" w:rsidR="65D9A205" w:rsidRDefault="65D9A205" w:rsidP="65D9A205">
            <w:pPr>
              <w:rPr>
                <w:rFonts w:eastAsia="Calibri" w:cs="Calibri"/>
                <w:color w:val="000000"/>
                <w:sz w:val="20"/>
                <w:szCs w:val="20"/>
              </w:rPr>
            </w:pPr>
          </w:p>
        </w:tc>
      </w:tr>
      <w:tr w:rsidR="65D9A205" w14:paraId="34953E64" w14:textId="77777777" w:rsidTr="00C90FD0">
        <w:trPr>
          <w:trHeight w:val="51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CD31005" w14:textId="3B3EA92B" w:rsidR="65D9A205" w:rsidRDefault="65D9A205" w:rsidP="65D9A205">
            <w:pPr>
              <w:rPr>
                <w:rFonts w:eastAsia="Calibri" w:cs="Calibri"/>
                <w:color w:val="000000"/>
                <w:sz w:val="20"/>
                <w:szCs w:val="20"/>
              </w:rPr>
            </w:pPr>
            <w:r w:rsidRPr="65D9A205">
              <w:rPr>
                <w:rFonts w:eastAsia="Calibri" w:cs="Calibri"/>
                <w:color w:val="000000"/>
                <w:sz w:val="20"/>
                <w:szCs w:val="20"/>
              </w:rPr>
              <w:t>EQ4</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34499690" w14:textId="77F9412B"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 xml:space="preserve">no or negative change </w:t>
            </w:r>
            <w:r w:rsidRPr="65D9A205">
              <w:rPr>
                <w:rFonts w:eastAsia="Calibri" w:cs="Calibri"/>
                <w:color w:val="000000"/>
                <w:sz w:val="20"/>
                <w:szCs w:val="20"/>
              </w:rPr>
              <w:t xml:space="preserve">in this area, </w:t>
            </w:r>
            <w:r w:rsidRPr="65D9A205">
              <w:rPr>
                <w:rFonts w:eastAsia="Calibri" w:cs="Calibri"/>
                <w:b/>
                <w:bCs/>
                <w:color w:val="000000"/>
                <w:sz w:val="20"/>
                <w:szCs w:val="20"/>
              </w:rPr>
              <w:t>why</w:t>
            </w:r>
            <w:r w:rsidRPr="65D9A205">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0B97B5DA" w14:textId="5B0EDCE0" w:rsidR="65D9A205" w:rsidRDefault="65D9A205" w:rsidP="65D9A205">
            <w:pPr>
              <w:rPr>
                <w:rFonts w:eastAsia="Calibri" w:cs="Calibri"/>
                <w:color w:val="000000"/>
                <w:sz w:val="20"/>
                <w:szCs w:val="20"/>
              </w:rPr>
            </w:pPr>
          </w:p>
        </w:tc>
      </w:tr>
      <w:tr w:rsidR="65D9A205" w14:paraId="50CAB0F9" w14:textId="77777777" w:rsidTr="00C90FD0">
        <w:trPr>
          <w:trHeight w:val="170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7597A75" w14:textId="41D3F364"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F96A987" w14:textId="66477C23" w:rsidR="65D9A205" w:rsidRPr="008130C8" w:rsidRDefault="65D9A205" w:rsidP="00C90FD0">
            <w:pPr>
              <w:spacing w:line="259" w:lineRule="auto"/>
              <w:rPr>
                <w:rFonts w:eastAsia="Calibri" w:cs="Calibri"/>
                <w:color w:val="000000"/>
                <w:sz w:val="20"/>
                <w:szCs w:val="20"/>
              </w:rPr>
            </w:pPr>
            <w:r w:rsidRPr="00263CAE">
              <w:rPr>
                <w:rFonts w:eastAsia="Calibri" w:cs="Calibri"/>
                <w:sz w:val="20"/>
                <w:szCs w:val="20"/>
              </w:rPr>
              <w:t xml:space="preserve">Can you </w:t>
            </w:r>
            <w:r w:rsidRPr="008130C8">
              <w:rPr>
                <w:rFonts w:eastAsia="Calibri" w:cs="Calibri"/>
                <w:color w:val="000000"/>
                <w:sz w:val="20"/>
                <w:szCs w:val="20"/>
              </w:rPr>
              <w:t>think of any other examples of relevant surveillance data being used to amend national strategy and/or inform decision-making’, apart from through data reports shared with AMRCC?</w:t>
            </w:r>
          </w:p>
          <w:p w14:paraId="4AE607D3" w14:textId="7873ECC8" w:rsidR="65D9A205" w:rsidRPr="008130C8" w:rsidRDefault="65D9A205" w:rsidP="00C90FD0">
            <w:pPr>
              <w:spacing w:line="259" w:lineRule="auto"/>
              <w:rPr>
                <w:rFonts w:eastAsia="Calibri" w:cs="Calibri"/>
                <w:color w:val="000000"/>
                <w:sz w:val="20"/>
                <w:szCs w:val="20"/>
              </w:rPr>
            </w:pPr>
            <w:r w:rsidRPr="008130C8">
              <w:rPr>
                <w:rFonts w:eastAsia="Calibri" w:cs="Calibri"/>
                <w:color w:val="000000"/>
                <w:sz w:val="20"/>
                <w:szCs w:val="20"/>
              </w:rPr>
              <w:t xml:space="preserve"> </w:t>
            </w:r>
          </w:p>
          <w:p w14:paraId="44C3546B" w14:textId="757AC29B" w:rsidR="65D9A205" w:rsidRDefault="65D9A205" w:rsidP="00C90FD0">
            <w:pPr>
              <w:spacing w:line="259" w:lineRule="auto"/>
              <w:rPr>
                <w:rFonts w:eastAsia="Calibri" w:cs="Calibri"/>
                <w:color w:val="000000"/>
                <w:sz w:val="20"/>
                <w:szCs w:val="20"/>
              </w:rPr>
            </w:pPr>
            <w:r w:rsidRPr="008130C8">
              <w:rPr>
                <w:rFonts w:eastAsia="Calibri" w:cs="Calibri"/>
                <w:color w:val="000000"/>
                <w:sz w:val="20"/>
                <w:szCs w:val="20"/>
              </w:rPr>
              <w:t>If yes: Details? What data, in what form? Who are the decision-makers? One-off or routine? Current status?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4ABD1492" w14:textId="60EDFA4B" w:rsidR="65D9A205" w:rsidRDefault="65D9A205" w:rsidP="65D9A205">
            <w:pPr>
              <w:rPr>
                <w:rFonts w:eastAsia="Calibri" w:cs="Calibri"/>
                <w:color w:val="000000"/>
                <w:sz w:val="20"/>
                <w:szCs w:val="20"/>
              </w:rPr>
            </w:pPr>
          </w:p>
        </w:tc>
      </w:tr>
      <w:tr w:rsidR="65D9A205" w14:paraId="0650C4C5"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FFA9963" w14:textId="5CE7A5B1"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31258570" w14:textId="03C821BF" w:rsidR="65D9A205" w:rsidRDefault="65D9A205" w:rsidP="65D9A205">
            <w:pPr>
              <w:rPr>
                <w:rFonts w:eastAsia="Calibri" w:cs="Calibri"/>
                <w:color w:val="000000"/>
                <w:sz w:val="20"/>
                <w:szCs w:val="20"/>
              </w:rPr>
            </w:pPr>
            <w:r w:rsidRPr="65D9A205">
              <w:rPr>
                <w:rFonts w:eastAsia="Calibri" w:cs="Calibri"/>
                <w:color w:val="000000"/>
                <w:sz w:val="20"/>
                <w:szCs w:val="20"/>
              </w:rPr>
              <w:t xml:space="preserve">We understand the AMRCC is expected to facilitate sharing and joint analysis of AMR data across different sectors. What is the </w:t>
            </w:r>
            <w:r w:rsidRPr="65D9A205">
              <w:rPr>
                <w:rFonts w:eastAsia="Calibri" w:cs="Calibri"/>
                <w:b/>
                <w:bCs/>
                <w:color w:val="000000"/>
                <w:sz w:val="20"/>
                <w:szCs w:val="20"/>
              </w:rPr>
              <w:t xml:space="preserve">nature of cross-sector collaborations being convened by the AMRCC? </w:t>
            </w:r>
            <w:r w:rsidRPr="65D9A205">
              <w:rPr>
                <w:rFonts w:eastAsia="Calibri" w:cs="Calibri"/>
                <w:color w:val="000000"/>
                <w:sz w:val="20"/>
                <w:szCs w:val="20"/>
              </w:rPr>
              <w:t>Which are the key institutions involved from different ministries? What is the nature of their involvement? In addition to facilitating AMR data use, what have been some of the other achievements of the AMRCC in your country?</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2CB38DE" w14:textId="269BC42F" w:rsidR="65D9A205" w:rsidRDefault="65D9A205" w:rsidP="65D9A205">
            <w:pPr>
              <w:rPr>
                <w:rFonts w:eastAsia="Calibri" w:cs="Calibri"/>
                <w:color w:val="000000"/>
                <w:sz w:val="20"/>
                <w:szCs w:val="20"/>
              </w:rPr>
            </w:pPr>
          </w:p>
        </w:tc>
      </w:tr>
      <w:tr w:rsidR="65D9A205" w14:paraId="02BE6DA9" w14:textId="77777777" w:rsidTr="65D9A205">
        <w:trPr>
          <w:trHeight w:val="234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FC301AE" w14:textId="5A722DC8"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57734C5" w14:textId="5E65E8FB"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are some of the </w:t>
            </w:r>
            <w:r w:rsidRPr="65D9A205">
              <w:rPr>
                <w:rFonts w:eastAsia="Calibri" w:cs="Calibri"/>
                <w:b/>
                <w:bCs/>
                <w:color w:val="000000"/>
                <w:sz w:val="20"/>
                <w:szCs w:val="20"/>
              </w:rPr>
              <w:t>other multisector coordination mechanisms in place to make decisions around AMR at the national and subnational levels</w:t>
            </w:r>
            <w:r w:rsidRPr="65D9A205">
              <w:rPr>
                <w:rFonts w:eastAsia="Calibri" w:cs="Calibri"/>
                <w:color w:val="000000"/>
                <w:sz w:val="20"/>
                <w:szCs w:val="20"/>
              </w:rPr>
              <w:t xml:space="preserve">? Are there any bodies or platforms or events where people from different sector meet outside the government? (e.g. seminars, AMR awareness week, etc.)  Can you recall some examples of collaborations between different sectors in the past, even if these do not specifically revolve around AMR?  Probe </w:t>
            </w:r>
            <w:r w:rsidRPr="65D9A205">
              <w:rPr>
                <w:rFonts w:eastAsia="Calibri" w:cs="Calibri"/>
                <w:b/>
                <w:bCs/>
                <w:color w:val="000000"/>
                <w:sz w:val="20"/>
                <w:szCs w:val="20"/>
              </w:rPr>
              <w:t>joint research activities</w:t>
            </w:r>
            <w:r w:rsidRPr="65D9A205">
              <w:rPr>
                <w:rFonts w:eastAsia="Calibri" w:cs="Calibri"/>
                <w:color w:val="000000"/>
                <w:sz w:val="20"/>
                <w:szCs w:val="20"/>
              </w:rPr>
              <w:t>; Training programmes, fellowships, including Fleming Fellows; Joint outbreak response activities, such as Avian Influenza, Ebola, etc.</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543B1D6" w14:textId="660D735D" w:rsidR="65D9A205" w:rsidRDefault="65D9A205" w:rsidP="65D9A205">
            <w:pPr>
              <w:rPr>
                <w:rFonts w:eastAsia="Calibri" w:cs="Calibri"/>
                <w:color w:val="000000"/>
                <w:sz w:val="20"/>
                <w:szCs w:val="20"/>
              </w:rPr>
            </w:pPr>
          </w:p>
        </w:tc>
      </w:tr>
      <w:tr w:rsidR="65D9A205" w14:paraId="10157D82" w14:textId="77777777" w:rsidTr="65D9A205">
        <w:trPr>
          <w:trHeight w:val="259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D1E66C3" w14:textId="21EC2974"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3FAFD38F" w14:textId="6D564474"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Where are these (formal and informal) coordination mechanisms located? Are these hosted by a ministry, government agency, academic body, think tank? (Probe for each of the collaborating mechanisms identified above, if possible): </w:t>
            </w:r>
            <w:r>
              <w:br/>
            </w:r>
            <w:r w:rsidRPr="65D9A205">
              <w:rPr>
                <w:rFonts w:eastAsia="Calibri" w:cs="Calibri"/>
                <w:color w:val="000000"/>
                <w:sz w:val="20"/>
                <w:szCs w:val="20"/>
              </w:rPr>
              <w:t>o Who chairs / leads the discussion?</w:t>
            </w:r>
            <w:r>
              <w:br/>
            </w:r>
            <w:r w:rsidRPr="65D9A205">
              <w:rPr>
                <w:rFonts w:eastAsia="Calibri" w:cs="Calibri"/>
                <w:color w:val="000000"/>
                <w:sz w:val="20"/>
                <w:szCs w:val="20"/>
              </w:rPr>
              <w:t xml:space="preserve">o Who sets the agenda? </w:t>
            </w:r>
            <w:r>
              <w:br/>
            </w:r>
            <w:r w:rsidRPr="65D9A205">
              <w:rPr>
                <w:rFonts w:eastAsia="Calibri" w:cs="Calibri"/>
                <w:color w:val="000000"/>
                <w:sz w:val="20"/>
                <w:szCs w:val="20"/>
              </w:rPr>
              <w:t>o What are its major functions/mandates?</w:t>
            </w:r>
            <w:r>
              <w:br/>
            </w:r>
            <w:r w:rsidRPr="65D9A205">
              <w:rPr>
                <w:rFonts w:eastAsia="Calibri" w:cs="Calibri"/>
                <w:color w:val="000000"/>
                <w:sz w:val="20"/>
                <w:szCs w:val="20"/>
              </w:rPr>
              <w:t>o How is it funded?</w:t>
            </w:r>
            <w:r>
              <w:br/>
            </w:r>
            <w:r w:rsidRPr="65D9A205">
              <w:rPr>
                <w:rFonts w:eastAsia="Calibri" w:cs="Calibri"/>
                <w:color w:val="000000"/>
                <w:sz w:val="20"/>
                <w:szCs w:val="20"/>
              </w:rPr>
              <w:t>o Can you describe any achievements / outcomes from these interactions?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20C0EF5" w14:textId="57F29DC1" w:rsidR="65D9A205" w:rsidRDefault="65D9A205" w:rsidP="65D9A205">
            <w:pPr>
              <w:rPr>
                <w:rFonts w:eastAsia="Calibri" w:cs="Calibri"/>
                <w:color w:val="000000"/>
                <w:sz w:val="20"/>
                <w:szCs w:val="20"/>
              </w:rPr>
            </w:pPr>
          </w:p>
        </w:tc>
      </w:tr>
      <w:tr w:rsidR="65D9A205" w14:paraId="3C8862CD" w14:textId="77777777" w:rsidTr="00C90FD0">
        <w:trPr>
          <w:trHeight w:val="2268"/>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EDB8694" w14:textId="75B5B401"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E40963C" w14:textId="2B0E1D76" w:rsidR="65D9A205" w:rsidRDefault="65D9A205" w:rsidP="65D9A205">
            <w:pPr>
              <w:rPr>
                <w:rFonts w:eastAsia="Calibri" w:cs="Calibri"/>
                <w:color w:val="000000"/>
                <w:sz w:val="20"/>
                <w:szCs w:val="20"/>
              </w:rPr>
            </w:pPr>
            <w:r w:rsidRPr="65D9A205">
              <w:rPr>
                <w:rFonts w:eastAsia="Calibri" w:cs="Calibri"/>
                <w:color w:val="000000"/>
                <w:sz w:val="20"/>
                <w:szCs w:val="20"/>
              </w:rPr>
              <w:t xml:space="preserve">Would you say that the national </w:t>
            </w:r>
            <w:r w:rsidRPr="65D9A205">
              <w:rPr>
                <w:rFonts w:eastAsia="Calibri" w:cs="Calibri"/>
                <w:b/>
                <w:bCs/>
                <w:color w:val="000000"/>
                <w:sz w:val="20"/>
                <w:szCs w:val="20"/>
              </w:rPr>
              <w:t>AMR effort includes a clear and effective strategy for informing specific national actions using surveillance data</w:t>
            </w:r>
            <w:r w:rsidRPr="65D9A205">
              <w:rPr>
                <w:rFonts w:eastAsia="Calibri" w:cs="Calibri"/>
                <w:color w:val="000000"/>
                <w:sz w:val="20"/>
                <w:szCs w:val="20"/>
              </w:rPr>
              <w:t>?o eg as opposed to international reporting or local clinical practice</w:t>
            </w:r>
            <w:r>
              <w:br/>
            </w:r>
            <w:r w:rsidRPr="65D9A205">
              <w:rPr>
                <w:rFonts w:eastAsia="Calibri" w:cs="Calibri"/>
                <w:color w:val="000000"/>
                <w:sz w:val="20"/>
                <w:szCs w:val="20"/>
              </w:rPr>
              <w:t>o If yes, how? What policy initiatives? What regulatory initiatives? What approach has been chosen to address practices and attitudes? (What approaches have been discarded?)</w:t>
            </w:r>
            <w:r>
              <w:br/>
            </w:r>
            <w:r w:rsidRPr="65D9A205">
              <w:rPr>
                <w:rFonts w:eastAsia="Calibri" w:cs="Calibri"/>
                <w:color w:val="000000"/>
                <w:sz w:val="20"/>
                <w:szCs w:val="20"/>
              </w:rPr>
              <w:t>o PROBE: are sectoral distinctions important, for example policy for gradual development of guidelines in human health but focused push to regulate certain antimicrobial uses in animal health?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4CE8CF26" w14:textId="49523C21" w:rsidR="65D9A205" w:rsidRDefault="65D9A205" w:rsidP="65D9A205">
            <w:pPr>
              <w:rPr>
                <w:rFonts w:eastAsia="Calibri" w:cs="Calibri"/>
                <w:color w:val="000000"/>
                <w:sz w:val="20"/>
                <w:szCs w:val="20"/>
              </w:rPr>
            </w:pPr>
          </w:p>
        </w:tc>
      </w:tr>
      <w:tr w:rsidR="65D9A205" w14:paraId="76BB2FB4" w14:textId="77777777" w:rsidTr="00C90FD0">
        <w:trPr>
          <w:trHeight w:val="2438"/>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19CA4579" w14:textId="747B926F"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5273E77E" w14:textId="52ED688A"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do you think should be the future </w:t>
            </w:r>
            <w:r w:rsidRPr="65D9A205">
              <w:rPr>
                <w:rFonts w:eastAsia="Calibri" w:cs="Calibri"/>
                <w:b/>
                <w:bCs/>
                <w:color w:val="000000"/>
                <w:sz w:val="20"/>
                <w:szCs w:val="20"/>
              </w:rPr>
              <w:t>priorities for the Fleming Fund when supporting national AMR actions using surveillance data</w:t>
            </w:r>
            <w:r w:rsidRPr="65D9A205">
              <w:rPr>
                <w:rFonts w:eastAsia="Calibri" w:cs="Calibri"/>
                <w:color w:val="000000"/>
                <w:sz w:val="20"/>
                <w:szCs w:val="20"/>
              </w:rPr>
              <w:t xml:space="preserve">? PROBES: </w:t>
            </w:r>
            <w:r>
              <w:br/>
            </w:r>
            <w:r w:rsidRPr="65D9A205">
              <w:rPr>
                <w:rFonts w:eastAsia="Calibri" w:cs="Calibri"/>
                <w:color w:val="000000"/>
                <w:sz w:val="20"/>
                <w:szCs w:val="20"/>
              </w:rPr>
              <w:t>o Do you think that it will be more effective to foster local change (‘bottom up’) or to concentrate on motivating national initiatives (‘top down’)</w:t>
            </w:r>
            <w:r>
              <w:br/>
            </w:r>
            <w:r w:rsidRPr="65D9A205">
              <w:rPr>
                <w:rFonts w:eastAsia="Calibri" w:cs="Calibri"/>
                <w:color w:val="000000"/>
                <w:sz w:val="20"/>
                <w:szCs w:val="20"/>
              </w:rPr>
              <w:t>o Will the data show a need for action (‘push’) or will intended actions show what data is needed (‘pull’)?</w:t>
            </w:r>
            <w:r>
              <w:br/>
            </w:r>
            <w:r w:rsidRPr="65D9A205">
              <w:rPr>
                <w:rFonts w:eastAsia="Calibri" w:cs="Calibri"/>
                <w:color w:val="000000"/>
                <w:sz w:val="20"/>
                <w:szCs w:val="20"/>
              </w:rPr>
              <w:t>o What is more important, Infection Prevention &amp; Control (IPC) or Antimicrobial Use controls (AMU)?</w:t>
            </w:r>
            <w:r>
              <w:br/>
            </w:r>
            <w:r w:rsidRPr="65D9A205">
              <w:rPr>
                <w:rFonts w:eastAsia="Calibri" w:cs="Calibri"/>
                <w:color w:val="000000"/>
                <w:sz w:val="20"/>
                <w:szCs w:val="20"/>
              </w:rPr>
              <w:t>o Why? What approaches would be required to address these priorities?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613AA733" w14:textId="395A0B88" w:rsidR="65D9A205" w:rsidRDefault="65D9A205" w:rsidP="65D9A205">
            <w:pPr>
              <w:rPr>
                <w:rFonts w:eastAsia="Calibri" w:cs="Calibri"/>
                <w:color w:val="000000"/>
                <w:sz w:val="20"/>
                <w:szCs w:val="20"/>
              </w:rPr>
            </w:pPr>
          </w:p>
        </w:tc>
      </w:tr>
    </w:tbl>
    <w:p w14:paraId="621A969F" w14:textId="721C445A" w:rsidR="65D9A205" w:rsidRDefault="65D9A205" w:rsidP="65D9A205">
      <w:pPr>
        <w:spacing w:after="160" w:line="259" w:lineRule="auto"/>
        <w:rPr>
          <w:rFonts w:eastAsia="Calibri" w:cs="Calibri"/>
          <w:color w:val="000000"/>
        </w:rPr>
      </w:pPr>
    </w:p>
    <w:p w14:paraId="27510877" w14:textId="114DB61E" w:rsidR="65D9A205" w:rsidRDefault="65D9A205" w:rsidP="65D9A205"/>
    <w:p w14:paraId="57043B5E" w14:textId="25BC0565" w:rsidR="65D9A205" w:rsidRDefault="65D9A205">
      <w:r>
        <w:br w:type="page"/>
      </w:r>
    </w:p>
    <w:p w14:paraId="608168B3" w14:textId="2F209339" w:rsidR="4CE1AD5B" w:rsidRDefault="4CE1AD5B" w:rsidP="365D9676">
      <w:pPr>
        <w:pStyle w:val="ItadH3"/>
        <w:keepNext/>
        <w:spacing w:line="259" w:lineRule="auto"/>
      </w:pPr>
      <w:bookmarkStart w:id="476" w:name="_Toc142383260"/>
      <w:r w:rsidRPr="65D9A205">
        <w:rPr>
          <w:lang w:val="en-GB"/>
        </w:rPr>
        <w:t>KII Guide for other DPs</w:t>
      </w:r>
      <w:bookmarkEnd w:id="476"/>
    </w:p>
    <w:p w14:paraId="65345CCA" w14:textId="1198411A" w:rsidR="65D9A205" w:rsidRDefault="7103D19F" w:rsidP="65D9A205">
      <w:pPr>
        <w:widowControl w:val="0"/>
        <w:spacing w:after="160" w:line="259" w:lineRule="auto"/>
        <w:jc w:val="both"/>
        <w:rPr>
          <w:rFonts w:ascii="Calibri Light" w:eastAsia="Calibri Light" w:hAnsi="Calibri Light" w:cs="Calibri Light"/>
          <w:color w:val="2F5496"/>
          <w:sz w:val="26"/>
          <w:szCs w:val="26"/>
        </w:rPr>
      </w:pPr>
      <w:r w:rsidRPr="65D9A205">
        <w:rPr>
          <w:rFonts w:ascii="Calibri Light" w:eastAsia="Calibri Light" w:hAnsi="Calibri Light" w:cs="Calibri Light"/>
          <w:color w:val="2F5496"/>
          <w:sz w:val="26"/>
          <w:szCs w:val="26"/>
        </w:rPr>
        <w:t>Other DPs</w:t>
      </w:r>
    </w:p>
    <w:p w14:paraId="1DE5DC2A" w14:textId="51B3E8EA" w:rsidR="7103D19F" w:rsidRDefault="7103D19F" w:rsidP="65D9A205">
      <w:pPr>
        <w:widowControl w:val="0"/>
        <w:spacing w:after="160" w:line="259" w:lineRule="auto"/>
        <w:jc w:val="both"/>
        <w:rPr>
          <w:rFonts w:eastAsia="Calibri" w:cs="Calibri"/>
          <w:color w:val="000000"/>
        </w:rPr>
      </w:pPr>
      <w:r w:rsidRPr="65D9A205">
        <w:rPr>
          <w:rFonts w:eastAsia="Calibri" w:cs="Calibri"/>
          <w:b/>
          <w:bCs/>
          <w:color w:val="000000"/>
        </w:rPr>
        <w:t>KII name:</w:t>
      </w:r>
    </w:p>
    <w:p w14:paraId="23CADA88" w14:textId="7D7BAAAD" w:rsidR="7103D19F" w:rsidRDefault="7103D19F" w:rsidP="65D9A205">
      <w:pPr>
        <w:widowControl w:val="0"/>
        <w:spacing w:after="160" w:line="259" w:lineRule="auto"/>
        <w:jc w:val="both"/>
        <w:rPr>
          <w:rFonts w:eastAsia="Calibri" w:cs="Calibri"/>
          <w:color w:val="000000"/>
        </w:rPr>
      </w:pPr>
      <w:r w:rsidRPr="65D9A205">
        <w:rPr>
          <w:rFonts w:eastAsia="Calibri" w:cs="Calibri"/>
          <w:b/>
          <w:bCs/>
          <w:color w:val="000000"/>
        </w:rPr>
        <w:t>KII date:</w:t>
      </w:r>
    </w:p>
    <w:p w14:paraId="4A2DCBD4" w14:textId="7FA72405" w:rsidR="7103D19F" w:rsidRPr="001B7050" w:rsidRDefault="7103D19F" w:rsidP="65D9A205">
      <w:pPr>
        <w:widowControl w:val="0"/>
        <w:spacing w:after="160" w:line="259" w:lineRule="auto"/>
        <w:jc w:val="both"/>
        <w:rPr>
          <w:rFonts w:eastAsia="Calibri" w:cs="Calibri"/>
          <w:color w:val="000000"/>
        </w:rPr>
      </w:pPr>
      <w:r w:rsidRPr="001B7050">
        <w:rPr>
          <w:rFonts w:eastAsia="Calibri" w:cs="Calibri"/>
          <w:b/>
          <w:bCs/>
          <w:color w:val="000000"/>
        </w:rPr>
        <w:t>KII interviewer(s):</w:t>
      </w:r>
    </w:p>
    <w:p w14:paraId="482C2FFE" w14:textId="2DD7EBCE" w:rsidR="7103D19F" w:rsidRPr="001B7050" w:rsidRDefault="7103D19F" w:rsidP="65D9A205">
      <w:pPr>
        <w:spacing w:after="160" w:line="259" w:lineRule="auto"/>
        <w:rPr>
          <w:rFonts w:eastAsia="Calibri" w:cs="Calibri"/>
          <w:color w:val="000000"/>
        </w:rPr>
      </w:pPr>
      <w:r w:rsidRPr="001B7050">
        <w:rPr>
          <w:rFonts w:eastAsia="Calibri" w:cs="Calibri"/>
          <w:b/>
          <w:bCs/>
          <w:color w:val="000000"/>
        </w:rPr>
        <w:t>Introduction</w:t>
      </w:r>
      <w:r w:rsidRPr="001B7050">
        <w:rPr>
          <w:rFonts w:eastAsia="Calibri" w:cs="Calibri"/>
          <w:color w:val="000000"/>
        </w:rPr>
        <w:t xml:space="preserve"> – please adapt and summarise according to the stakeholder / her knowledge of the evaluation etc </w:t>
      </w:r>
      <w:r w:rsidRPr="001B7050">
        <w:rPr>
          <w:rFonts w:ascii="Times New Roman" w:eastAsia="Times New Roman" w:hAnsi="Times New Roman" w:cs="Times New Roman"/>
          <w:color w:val="000000"/>
          <w:sz w:val="24"/>
          <w:szCs w:val="24"/>
        </w:rPr>
        <w:t>–</w:t>
      </w:r>
      <w:r w:rsidRPr="001B7050">
        <w:rPr>
          <w:rFonts w:eastAsia="Calibri" w:cs="Calibri"/>
          <w:color w:val="000000"/>
        </w:rPr>
        <w:t xml:space="preserve"> aim to get this intro as short as possible.</w:t>
      </w:r>
    </w:p>
    <w:p w14:paraId="36DED681" w14:textId="52EC825A" w:rsidR="7103D19F" w:rsidRPr="001B7050" w:rsidRDefault="7103D19F" w:rsidP="65D9A205">
      <w:pPr>
        <w:spacing w:line="259" w:lineRule="auto"/>
        <w:rPr>
          <w:rFonts w:eastAsia="Calibri" w:cs="Calibri"/>
          <w:color w:val="000000"/>
        </w:rPr>
      </w:pPr>
      <w:r w:rsidRPr="001B7050">
        <w:rPr>
          <w:rFonts w:eastAsia="Calibri" w:cs="Calibri"/>
          <w:color w:val="000000"/>
        </w:rPr>
        <w:t xml:space="preserve"> • </w:t>
      </w:r>
      <w:r w:rsidRPr="001B7050">
        <w:rPr>
          <w:rFonts w:eastAsia="Calibri" w:cs="Calibri"/>
          <w:b/>
          <w:bCs/>
          <w:color w:val="000000"/>
        </w:rPr>
        <w:t>Thank you</w:t>
      </w:r>
      <w:r w:rsidRPr="001B7050">
        <w:rPr>
          <w:rFonts w:eastAsia="Calibri" w:cs="Calibri"/>
          <w:color w:val="000000"/>
        </w:rPr>
        <w:t xml:space="preserve"> – Thank you the interviewee for having accepted the meeting and for their time today. </w:t>
      </w:r>
    </w:p>
    <w:p w14:paraId="5F731F70" w14:textId="4BDE369E" w:rsidR="7103D19F" w:rsidRPr="001B7050" w:rsidRDefault="7103D19F"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Introductions</w:t>
      </w:r>
      <w:r w:rsidRPr="001B7050">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0D6A78F7" w14:textId="4C5B85DA" w:rsidR="7103D19F" w:rsidRPr="001B7050" w:rsidRDefault="7103D19F" w:rsidP="65D9A205">
      <w:pPr>
        <w:spacing w:line="259" w:lineRule="auto"/>
        <w:rPr>
          <w:rFonts w:eastAsia="Calibri" w:cs="Calibri"/>
          <w:color w:val="000000"/>
        </w:rPr>
      </w:pPr>
      <w:r w:rsidRPr="001B7050">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75404DB4" w14:textId="7D2F8055" w:rsidR="7103D19F" w:rsidRPr="001B7050" w:rsidRDefault="7103D19F" w:rsidP="65D9A205">
      <w:pPr>
        <w:spacing w:line="259" w:lineRule="auto"/>
        <w:rPr>
          <w:rFonts w:eastAsia="Calibri" w:cs="Calibri"/>
          <w:color w:val="000000"/>
        </w:rPr>
      </w:pPr>
      <w:r w:rsidRPr="001B7050">
        <w:rPr>
          <w:rFonts w:eastAsia="Calibri" w:cs="Calibri"/>
          <w:color w:val="000000"/>
        </w:rPr>
        <w:t xml:space="preserve">[Let others introduce themselves or tell them there will be a chance after you have explained the purpose of the interview] </w:t>
      </w:r>
    </w:p>
    <w:p w14:paraId="5D374AFB" w14:textId="37740B20" w:rsidR="7103D19F" w:rsidRPr="001B7050" w:rsidRDefault="7103D19F" w:rsidP="65D9A205">
      <w:pPr>
        <w:spacing w:line="259" w:lineRule="auto"/>
        <w:rPr>
          <w:rFonts w:eastAsia="Calibri" w:cs="Calibri"/>
          <w:color w:val="000000"/>
        </w:rPr>
      </w:pPr>
      <w:r w:rsidRPr="001B7050">
        <w:rPr>
          <w:rFonts w:eastAsia="Calibri" w:cs="Calibri"/>
          <w:color w:val="000000"/>
        </w:rPr>
        <w:t xml:space="preserve">[Acknowledge whether we have already interviewed the stakeholder during CV1/2]  </w:t>
      </w:r>
    </w:p>
    <w:p w14:paraId="04E03592" w14:textId="738652EB" w:rsidR="7103D19F" w:rsidRPr="001B7050" w:rsidRDefault="7103D19F" w:rsidP="65D9A205">
      <w:pPr>
        <w:spacing w:line="259" w:lineRule="auto"/>
        <w:rPr>
          <w:rFonts w:eastAsia="Calibri" w:cs="Calibri"/>
          <w:color w:val="000000"/>
        </w:rPr>
      </w:pPr>
      <w:r w:rsidRPr="001B7050">
        <w:rPr>
          <w:rFonts w:eastAsia="Calibri" w:cs="Calibri"/>
          <w:color w:val="000000"/>
        </w:rPr>
        <w:t xml:space="preserve"> </w:t>
      </w:r>
    </w:p>
    <w:p w14:paraId="5D746F3A" w14:textId="184DFAE4" w:rsidR="7103D19F" w:rsidRPr="001B7050" w:rsidRDefault="7103D19F"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Purpose</w:t>
      </w:r>
      <w:r w:rsidRPr="001B7050">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26D4418D" w14:textId="21016903" w:rsidR="7103D19F" w:rsidRDefault="7103D19F" w:rsidP="65D9A205">
      <w:pPr>
        <w:spacing w:line="259" w:lineRule="auto"/>
        <w:rPr>
          <w:rFonts w:eastAsia="Calibri" w:cs="Calibri"/>
          <w:color w:val="000000"/>
        </w:rPr>
      </w:pPr>
      <w:r w:rsidRPr="001B7050">
        <w:rPr>
          <w:rFonts w:eastAsia="Calibri" w:cs="Calibri"/>
          <w:color w:val="000000"/>
        </w:rPr>
        <w:t xml:space="preserve">• </w:t>
      </w:r>
      <w:r w:rsidRPr="001B7050">
        <w:rPr>
          <w:rFonts w:eastAsia="Calibri" w:cs="Calibri"/>
          <w:b/>
          <w:bCs/>
          <w:color w:val="000000"/>
        </w:rPr>
        <w:t xml:space="preserve">Focus </w:t>
      </w:r>
      <w:r w:rsidRPr="001B7050">
        <w:rPr>
          <w:rFonts w:eastAsia="Calibri" w:cs="Calibri"/>
          <w:color w:val="000000"/>
        </w:rPr>
        <w:t>–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w:t>
      </w:r>
      <w:r w:rsidRPr="65D9A205">
        <w:rPr>
          <w:rFonts w:eastAsia="Calibri" w:cs="Calibri"/>
          <w:color w:val="000000"/>
        </w:rPr>
        <w:t xml:space="preserve"> FF’s outputs, together with interventions by government and other development partners, have contributed to the outcomes of interests of DHSC which are </w:t>
      </w:r>
    </w:p>
    <w:p w14:paraId="565FB81A" w14:textId="1844EE6C" w:rsidR="7103D19F" w:rsidRDefault="7103D19F" w:rsidP="00C6374D">
      <w:pPr>
        <w:pStyle w:val="ListParagraph"/>
        <w:numPr>
          <w:ilvl w:val="0"/>
          <w:numId w:val="4"/>
        </w:numPr>
        <w:spacing w:line="259" w:lineRule="auto"/>
        <w:rPr>
          <w:rFonts w:eastAsia="Calibri" w:cs="Calibri"/>
          <w:color w:val="000000"/>
        </w:rPr>
      </w:pPr>
      <w:r w:rsidRPr="65D9A205">
        <w:rPr>
          <w:rFonts w:eastAsia="Calibri" w:cs="Calibri"/>
          <w:color w:val="000000"/>
        </w:rPr>
        <w:t xml:space="preserve">More and better AMR/C/U data produced and shared at country level  </w:t>
      </w:r>
    </w:p>
    <w:p w14:paraId="76F0E93C" w14:textId="5FADF953" w:rsidR="7103D19F" w:rsidRDefault="7103D19F" w:rsidP="00C6374D">
      <w:pPr>
        <w:pStyle w:val="ListParagraph"/>
        <w:numPr>
          <w:ilvl w:val="0"/>
          <w:numId w:val="4"/>
        </w:numPr>
        <w:spacing w:line="259" w:lineRule="auto"/>
        <w:rPr>
          <w:rFonts w:eastAsia="Calibri" w:cs="Calibri"/>
          <w:color w:val="000000"/>
        </w:rPr>
      </w:pPr>
      <w:r w:rsidRPr="65D9A205">
        <w:rPr>
          <w:rFonts w:eastAsia="Calibri" w:cs="Calibri"/>
          <w:color w:val="000000"/>
        </w:rPr>
        <w:t xml:space="preserve">More and better AMR/C/U data shared internationally (with GLASS/OIE) </w:t>
      </w:r>
    </w:p>
    <w:p w14:paraId="13166DF9" w14:textId="2623131C" w:rsidR="7103D19F" w:rsidRDefault="7103D19F" w:rsidP="00C6374D">
      <w:pPr>
        <w:pStyle w:val="ListParagraph"/>
        <w:numPr>
          <w:ilvl w:val="0"/>
          <w:numId w:val="4"/>
        </w:numPr>
        <w:spacing w:line="259" w:lineRule="auto"/>
        <w:rPr>
          <w:rFonts w:eastAsia="Calibri" w:cs="Calibri"/>
          <w:color w:val="000000"/>
        </w:rPr>
      </w:pPr>
      <w:r w:rsidRPr="65D9A205">
        <w:rPr>
          <w:rFonts w:eastAsia="Calibri" w:cs="Calibri"/>
          <w:color w:val="000000"/>
        </w:rPr>
        <w:t xml:space="preserve">Regulatory and policy change that can have an impact in reducing AMR </w:t>
      </w:r>
    </w:p>
    <w:p w14:paraId="4E1E9912" w14:textId="216702CD" w:rsidR="7103D19F" w:rsidRDefault="7103D19F" w:rsidP="00C6374D">
      <w:pPr>
        <w:pStyle w:val="ListParagraph"/>
        <w:numPr>
          <w:ilvl w:val="0"/>
          <w:numId w:val="4"/>
        </w:numPr>
        <w:spacing w:line="259" w:lineRule="auto"/>
        <w:rPr>
          <w:rFonts w:eastAsia="Calibri" w:cs="Calibri"/>
          <w:color w:val="000000"/>
        </w:rPr>
      </w:pPr>
      <w:r w:rsidRPr="65D9A205">
        <w:rPr>
          <w:rFonts w:eastAsia="Calibri" w:cs="Calibri"/>
          <w:color w:val="000000"/>
        </w:rPr>
        <w:t xml:space="preserve">Changes in practice / attitude towards the use of antimicrobials.  </w:t>
      </w:r>
    </w:p>
    <w:p w14:paraId="34E69D4B" w14:textId="3D50BAD9" w:rsidR="7103D19F" w:rsidRDefault="7103D19F" w:rsidP="65D9A205">
      <w:pPr>
        <w:spacing w:line="259" w:lineRule="auto"/>
        <w:rPr>
          <w:rFonts w:eastAsia="Calibri" w:cs="Calibri"/>
          <w:color w:val="000000"/>
        </w:rPr>
      </w:pPr>
      <w:r w:rsidRPr="65D9A205">
        <w:rPr>
          <w:rFonts w:eastAsia="Calibri" w:cs="Calibri"/>
          <w:color w:val="000000"/>
        </w:rPr>
        <w:t xml:space="preserve"> </w:t>
      </w:r>
    </w:p>
    <w:p w14:paraId="217F2BFB" w14:textId="3CA1E4F4" w:rsidR="7103D19F" w:rsidRPr="00F83AA0" w:rsidRDefault="7103D19F" w:rsidP="65D9A205">
      <w:pPr>
        <w:spacing w:line="259" w:lineRule="auto"/>
        <w:rPr>
          <w:rFonts w:eastAsia="Calibri" w:cs="Calibri"/>
          <w:color w:val="000000"/>
        </w:rPr>
      </w:pPr>
      <w:r w:rsidRPr="00F83AA0">
        <w:rPr>
          <w:rFonts w:eastAsia="Calibri" w:cs="Calibri"/>
          <w:color w:val="000000"/>
        </w:rPr>
        <w:t>We have also questions relate to coherence of Fleming Fund efforts with those of other actors in country, sustainability of FF results and Value for Money [adapt the list as appropriate].</w:t>
      </w:r>
    </w:p>
    <w:p w14:paraId="573BD8B0" w14:textId="37B0638A" w:rsidR="7103D19F" w:rsidRPr="00F83AA0" w:rsidRDefault="7103D19F" w:rsidP="65D9A205">
      <w:pPr>
        <w:spacing w:line="259" w:lineRule="auto"/>
        <w:rPr>
          <w:rFonts w:eastAsia="Calibri" w:cs="Calibri"/>
          <w:color w:val="000000"/>
        </w:rPr>
      </w:pPr>
      <w:r w:rsidRPr="00F83AA0">
        <w:rPr>
          <w:rFonts w:eastAsia="Calibri" w:cs="Calibri"/>
          <w:color w:val="000000"/>
        </w:rPr>
        <w:t xml:space="preserve"> </w:t>
      </w:r>
    </w:p>
    <w:p w14:paraId="1056D507" w14:textId="532970A2" w:rsidR="7103D19F" w:rsidRPr="00F83AA0" w:rsidRDefault="7103D19F" w:rsidP="65D9A205">
      <w:pPr>
        <w:spacing w:line="259" w:lineRule="auto"/>
        <w:rPr>
          <w:rFonts w:eastAsia="Calibri" w:cs="Calibri"/>
          <w:color w:val="000000"/>
        </w:rPr>
      </w:pPr>
      <w:r w:rsidRPr="00F83AA0">
        <w:rPr>
          <w:rFonts w:eastAsia="Calibri" w:cs="Calibri"/>
          <w:color w:val="000000"/>
        </w:rPr>
        <w:t xml:space="preserve">• </w:t>
      </w:r>
      <w:r w:rsidRPr="00F83AA0">
        <w:rPr>
          <w:rFonts w:eastAsia="Calibri" w:cs="Calibri"/>
          <w:b/>
          <w:bCs/>
          <w:color w:val="000000"/>
        </w:rPr>
        <w:t>Confidentiality / permission to record</w:t>
      </w:r>
      <w:r w:rsidRPr="00F83AA0">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4BD855CF" w14:textId="6B2C6AFF" w:rsidR="7103D19F" w:rsidRPr="00F83AA0" w:rsidRDefault="7103D19F" w:rsidP="65D9A205">
      <w:pPr>
        <w:spacing w:line="259" w:lineRule="auto"/>
        <w:rPr>
          <w:rFonts w:eastAsia="Calibri" w:cs="Calibri"/>
          <w:color w:val="000000"/>
        </w:rPr>
      </w:pPr>
      <w:r w:rsidRPr="00F83AA0">
        <w:rPr>
          <w:rFonts w:eastAsia="Calibri" w:cs="Calibri"/>
          <w:color w:val="000000"/>
        </w:rPr>
        <w:t xml:space="preserve"> </w:t>
      </w:r>
    </w:p>
    <w:p w14:paraId="6D046FFF" w14:textId="0A3A4CFC" w:rsidR="7103D19F" w:rsidRDefault="7103D19F" w:rsidP="65D9A205">
      <w:pPr>
        <w:spacing w:line="259" w:lineRule="auto"/>
        <w:rPr>
          <w:rFonts w:eastAsia="Calibri" w:cs="Calibri"/>
          <w:color w:val="000000"/>
        </w:rPr>
      </w:pPr>
      <w:r w:rsidRPr="00F83AA0">
        <w:rPr>
          <w:rFonts w:eastAsia="Calibri" w:cs="Calibri"/>
          <w:color w:val="000000"/>
        </w:rPr>
        <w:t xml:space="preserve">• </w:t>
      </w:r>
      <w:r w:rsidRPr="00F83AA0">
        <w:rPr>
          <w:rFonts w:eastAsia="Calibri" w:cs="Calibri"/>
          <w:b/>
          <w:bCs/>
          <w:color w:val="000000"/>
        </w:rPr>
        <w:t>Duration</w:t>
      </w:r>
      <w:r w:rsidRPr="00F83AA0">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w:t>
      </w:r>
      <w:r w:rsidRPr="65D9A205">
        <w:rPr>
          <w:rFonts w:eastAsia="Calibri" w:cs="Calibri"/>
          <w:color w:val="000000"/>
        </w:rPr>
        <w:t xml:space="preserve"> know the answer to a question or prefer not to answer – just let me know and I’ll adapt the interview accordingly.   </w:t>
      </w:r>
    </w:p>
    <w:p w14:paraId="6E91C057" w14:textId="5939502D" w:rsidR="7103D19F" w:rsidRDefault="7103D19F" w:rsidP="65D9A205">
      <w:pPr>
        <w:spacing w:line="259" w:lineRule="auto"/>
        <w:rPr>
          <w:rFonts w:ascii="Segoe UI" w:eastAsia="Segoe UI" w:hAnsi="Segoe UI" w:cs="Segoe UI"/>
          <w:color w:val="000000"/>
        </w:rPr>
      </w:pPr>
      <w:r w:rsidRPr="65D9A205">
        <w:rPr>
          <w:rFonts w:ascii="Segoe UI" w:eastAsia="Segoe UI" w:hAnsi="Segoe UI" w:cs="Segoe UI"/>
          <w:color w:val="000000"/>
        </w:rPr>
        <w:t xml:space="preserve"> </w:t>
      </w:r>
    </w:p>
    <w:p w14:paraId="50C02B04" w14:textId="1324AAEA" w:rsidR="7103D19F" w:rsidRDefault="7103D19F" w:rsidP="65D9A205">
      <w:pPr>
        <w:spacing w:line="259" w:lineRule="auto"/>
        <w:rPr>
          <w:rFonts w:eastAsia="Calibri" w:cs="Calibri"/>
          <w:color w:val="000000"/>
        </w:rPr>
      </w:pPr>
      <w:r w:rsidRPr="65D9A205">
        <w:rPr>
          <w:rFonts w:eastAsia="Calibri" w:cs="Calibri"/>
          <w:color w:val="000000"/>
        </w:rPr>
        <w:t xml:space="preserve">• </w:t>
      </w:r>
      <w:r w:rsidRPr="65D9A205">
        <w:rPr>
          <w:rFonts w:eastAsia="Calibri" w:cs="Calibri"/>
          <w:b/>
          <w:bCs/>
          <w:color w:val="000000"/>
        </w:rPr>
        <w:t>Opportunity for questions</w:t>
      </w:r>
      <w:r w:rsidRPr="65D9A205">
        <w:rPr>
          <w:rFonts w:eastAsia="Calibri" w:cs="Calibri"/>
          <w:color w:val="000000"/>
        </w:rPr>
        <w:t xml:space="preserve"> – Do you have any questions before we start? Of course you are also welcome to ask questions through the interview if something is not clear.  </w:t>
      </w:r>
    </w:p>
    <w:p w14:paraId="61078BAF" w14:textId="79C893DE" w:rsidR="65D9A205" w:rsidRDefault="65D9A205" w:rsidP="65D9A205">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975"/>
        <w:gridCol w:w="6345"/>
        <w:gridCol w:w="6345"/>
      </w:tblGrid>
      <w:tr w:rsidR="65D9A205" w14:paraId="0C6C995B" w14:textId="77777777" w:rsidTr="00110FEA">
        <w:trPr>
          <w:trHeight w:val="567"/>
          <w:tblHeader/>
        </w:trPr>
        <w:tc>
          <w:tcPr>
            <w:tcW w:w="97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4E12D488" w14:textId="3B2C2544" w:rsidR="65D9A205" w:rsidRDefault="65D9A205" w:rsidP="00110FEA">
            <w:pPr>
              <w:rPr>
                <w:rFonts w:eastAsia="Calibri" w:cs="Calibri"/>
                <w:color w:val="FFFFFF" w:themeColor="background1"/>
                <w:sz w:val="20"/>
                <w:szCs w:val="20"/>
              </w:rPr>
            </w:pPr>
            <w:r w:rsidRPr="65D9A205">
              <w:rPr>
                <w:rFonts w:eastAsia="Calibri" w:cs="Calibri"/>
                <w:color w:val="FFFFFF" w:themeColor="background1"/>
                <w:sz w:val="20"/>
                <w:szCs w:val="20"/>
              </w:rPr>
              <w:t>EQ</w:t>
            </w:r>
          </w:p>
        </w:tc>
        <w:tc>
          <w:tcPr>
            <w:tcW w:w="634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72E756A5" w14:textId="5293D9B6" w:rsidR="65D9A205" w:rsidRDefault="65D9A205" w:rsidP="00110FEA">
            <w:pPr>
              <w:rPr>
                <w:rFonts w:eastAsia="Calibri" w:cs="Calibri"/>
                <w:color w:val="FFFFFF" w:themeColor="background1"/>
                <w:sz w:val="20"/>
                <w:szCs w:val="20"/>
              </w:rPr>
            </w:pPr>
            <w:r w:rsidRPr="65D9A205">
              <w:rPr>
                <w:rFonts w:eastAsia="Calibri" w:cs="Calibri"/>
                <w:color w:val="FFFFFF" w:themeColor="background1"/>
                <w:sz w:val="20"/>
                <w:szCs w:val="20"/>
              </w:rPr>
              <w:t xml:space="preserve">List of questions  </w:t>
            </w:r>
          </w:p>
        </w:tc>
        <w:tc>
          <w:tcPr>
            <w:tcW w:w="6345"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677E6895" w14:textId="36703612" w:rsidR="65D9A205" w:rsidRDefault="65D9A205" w:rsidP="00110FEA">
            <w:pPr>
              <w:rPr>
                <w:rFonts w:eastAsia="Calibri" w:cs="Calibri"/>
                <w:color w:val="FFFFFF" w:themeColor="background1"/>
                <w:sz w:val="20"/>
                <w:szCs w:val="20"/>
              </w:rPr>
            </w:pPr>
            <w:r w:rsidRPr="65D9A205">
              <w:rPr>
                <w:rFonts w:eastAsia="Calibri" w:cs="Calibri"/>
                <w:color w:val="FFFFFF" w:themeColor="background1"/>
                <w:sz w:val="20"/>
                <w:szCs w:val="20"/>
              </w:rPr>
              <w:t>Response</w:t>
            </w:r>
          </w:p>
        </w:tc>
      </w:tr>
      <w:tr w:rsidR="65D9A205" w14:paraId="160F23C8" w14:textId="77777777" w:rsidTr="65D9A205">
        <w:trPr>
          <w:trHeight w:val="129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C9790E9" w14:textId="6290F272" w:rsidR="65D9A205" w:rsidRDefault="65D9A205" w:rsidP="65D9A205">
            <w:pPr>
              <w:rPr>
                <w:rFonts w:eastAsia="Calibri" w:cs="Calibri"/>
                <w:color w:val="000000"/>
              </w:rPr>
            </w:pPr>
            <w:r w:rsidRPr="65D9A205">
              <w:rPr>
                <w:rFonts w:eastAsia="Calibri" w:cs="Calibri"/>
                <w:color w:val="000000"/>
              </w:rPr>
              <w:t>EQ2</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9C9C942" w14:textId="1C4B5D6D"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Fleming Fund's investments</w:t>
            </w:r>
            <w:r w:rsidRPr="65D9A205">
              <w:rPr>
                <w:rFonts w:eastAsia="Calibri" w:cs="Calibri"/>
                <w:color w:val="000000"/>
                <w:sz w:val="20"/>
                <w:szCs w:val="20"/>
              </w:rPr>
              <w:t xml:space="preserve"> been </w:t>
            </w:r>
            <w:r w:rsidRPr="65D9A205">
              <w:rPr>
                <w:rFonts w:eastAsia="Calibri" w:cs="Calibri"/>
                <w:b/>
                <w:bCs/>
                <w:color w:val="000000"/>
                <w:sz w:val="20"/>
                <w:szCs w:val="20"/>
              </w:rPr>
              <w:t>aligned</w:t>
            </w:r>
            <w:r w:rsidRPr="65D9A205">
              <w:rPr>
                <w:rFonts w:eastAsia="Calibri" w:cs="Calibri"/>
                <w:color w:val="000000"/>
                <w:sz w:val="20"/>
                <w:szCs w:val="20"/>
              </w:rPr>
              <w:t xml:space="preserve"> with the NAP and other government policies/plans?</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government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was alignment ensured?</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5691152B" w14:textId="44FC5F94" w:rsidR="65D9A205" w:rsidRDefault="65D9A205" w:rsidP="65D9A205">
            <w:pPr>
              <w:rPr>
                <w:rFonts w:eastAsia="Calibri" w:cs="Calibri"/>
                <w:color w:val="000000"/>
                <w:sz w:val="20"/>
                <w:szCs w:val="20"/>
              </w:rPr>
            </w:pPr>
          </w:p>
        </w:tc>
      </w:tr>
      <w:tr w:rsidR="65D9A205" w14:paraId="7B0A2BC2"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3E9438A" w14:textId="4DA54B49" w:rsidR="65D9A205" w:rsidRDefault="65D9A205" w:rsidP="65D9A205">
            <w:pPr>
              <w:rPr>
                <w:rFonts w:eastAsia="Calibri" w:cs="Calibri"/>
                <w:color w:val="000000"/>
              </w:rPr>
            </w:pPr>
            <w:r w:rsidRPr="65D9A205">
              <w:rPr>
                <w:rFonts w:eastAsia="Calibri" w:cs="Calibri"/>
                <w:color w:val="000000"/>
              </w:rPr>
              <w:t>EQ2</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5A6BD33" w14:textId="55796A4C"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 xml:space="preserve">Fleming Fund's investments </w:t>
            </w:r>
            <w:r w:rsidRPr="65D9A205">
              <w:rPr>
                <w:rFonts w:eastAsia="Calibri" w:cs="Calibri"/>
                <w:color w:val="000000"/>
                <w:sz w:val="20"/>
                <w:szCs w:val="20"/>
              </w:rPr>
              <w:t xml:space="preserve">been </w:t>
            </w:r>
            <w:r w:rsidRPr="65D9A205">
              <w:rPr>
                <w:rFonts w:eastAsia="Calibri" w:cs="Calibri"/>
                <w:b/>
                <w:bCs/>
                <w:color w:val="000000"/>
                <w:sz w:val="20"/>
                <w:szCs w:val="20"/>
              </w:rPr>
              <w:t>aligned with interventions</w:t>
            </w:r>
            <w:r w:rsidRPr="65D9A205">
              <w:rPr>
                <w:rFonts w:eastAsia="Calibri" w:cs="Calibri"/>
                <w:color w:val="000000"/>
                <w:sz w:val="20"/>
                <w:szCs w:val="20"/>
              </w:rPr>
              <w:t xml:space="preserve"> funded </w:t>
            </w:r>
            <w:r w:rsidRPr="65D9A205">
              <w:rPr>
                <w:rFonts w:eastAsia="Calibri" w:cs="Calibri"/>
                <w:b/>
                <w:bCs/>
                <w:color w:val="000000"/>
                <w:sz w:val="20"/>
                <w:szCs w:val="20"/>
              </w:rPr>
              <w:t>by other DPs</w:t>
            </w:r>
            <w:r w:rsidRPr="65D9A205">
              <w:rPr>
                <w:rFonts w:eastAsia="Calibri" w:cs="Calibri"/>
                <w:color w:val="000000"/>
                <w:sz w:val="20"/>
                <w:szCs w:val="20"/>
              </w:rPr>
              <w:t>?</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DP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did the Fleming Fund coordinate with other DPs involved in AMR / lab strengthening in country?</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084FC831" w14:textId="6991BA3C" w:rsidR="65D9A205" w:rsidRDefault="65D9A205" w:rsidP="65D9A205">
            <w:pPr>
              <w:rPr>
                <w:rFonts w:eastAsia="Calibri" w:cs="Calibri"/>
                <w:color w:val="000000"/>
                <w:sz w:val="20"/>
                <w:szCs w:val="20"/>
              </w:rPr>
            </w:pPr>
          </w:p>
        </w:tc>
      </w:tr>
      <w:tr w:rsidR="65D9A205" w14:paraId="5A36B26E"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EDA6E0C" w14:textId="382A3D5A"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414D652" w14:textId="1B3F9C71" w:rsidR="65D9A205" w:rsidRDefault="65D9A205" w:rsidP="65D9A205">
            <w:pPr>
              <w:rPr>
                <w:rFonts w:eastAsia="Calibri" w:cs="Calibri"/>
                <w:color w:val="444444"/>
              </w:rPr>
            </w:pPr>
            <w:r w:rsidRPr="65D9A205">
              <w:rPr>
                <w:rFonts w:eastAsia="Calibri" w:cs="Calibri"/>
                <w:color w:val="444444"/>
              </w:rPr>
              <w:t>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0D24CBCC" w14:textId="36479986" w:rsidR="65D9A205" w:rsidRDefault="65D9A205" w:rsidP="65D9A205">
            <w:pPr>
              <w:rPr>
                <w:rFonts w:eastAsia="Calibri" w:cs="Calibri"/>
                <w:color w:val="000000"/>
                <w:sz w:val="20"/>
                <w:szCs w:val="20"/>
              </w:rPr>
            </w:pPr>
          </w:p>
        </w:tc>
      </w:tr>
      <w:tr w:rsidR="65D9A205" w14:paraId="54FD46EB" w14:textId="77777777" w:rsidTr="65D9A205">
        <w:trPr>
          <w:trHeight w:val="1560"/>
        </w:trPr>
        <w:tc>
          <w:tcPr>
            <w:tcW w:w="97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5B29013" w14:textId="387024F2"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CC40226" w14:textId="3DB75A3C" w:rsidR="65D9A205" w:rsidRDefault="65D9A205" w:rsidP="65D9A205">
            <w:pPr>
              <w:rPr>
                <w:rFonts w:eastAsia="Calibri" w:cs="Calibri"/>
                <w:color w:val="444444"/>
              </w:rPr>
            </w:pPr>
            <w:r w:rsidRPr="65D9A205">
              <w:rPr>
                <w:rFonts w:eastAsia="Calibri" w:cs="Calibri"/>
                <w:color w:val="444444"/>
              </w:rPr>
              <w:t>To what extent do you think staff are motivated to put new skills / responsibilities required to maintain AMR surveillence? PROBES: Is throughput sufficient? Are consumable supplies assured? Are managers and institutions (eg AMRCC) interested in outputs and providing feedback? Will competing demands crowd in? Are there adequate plans in place to address any concerns? To what extent is FF focused on addressing these conditions?</w:t>
            </w:r>
          </w:p>
        </w:tc>
        <w:tc>
          <w:tcPr>
            <w:tcW w:w="6345"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6EEE44D" w14:textId="20E3FD82" w:rsidR="65D9A205" w:rsidRDefault="65D9A205" w:rsidP="65D9A205">
            <w:pPr>
              <w:rPr>
                <w:rFonts w:eastAsia="Calibri" w:cs="Calibri"/>
                <w:color w:val="000000"/>
                <w:sz w:val="20"/>
                <w:szCs w:val="20"/>
              </w:rPr>
            </w:pPr>
          </w:p>
        </w:tc>
      </w:tr>
    </w:tbl>
    <w:p w14:paraId="3D5D52B2" w14:textId="5359CF76" w:rsidR="65D9A205" w:rsidRDefault="65D9A205" w:rsidP="65D9A205">
      <w:pPr>
        <w:spacing w:after="160" w:line="259" w:lineRule="auto"/>
        <w:rPr>
          <w:rFonts w:eastAsia="Calibri" w:cs="Calibri"/>
          <w:color w:val="000000"/>
        </w:rPr>
      </w:pPr>
    </w:p>
    <w:p w14:paraId="6AE84D14" w14:textId="4AA2725E" w:rsidR="65D9A205" w:rsidRDefault="65D9A205" w:rsidP="65D9A205"/>
    <w:p w14:paraId="65C41B02" w14:textId="7A02B7AE" w:rsidR="65D9A205" w:rsidRDefault="65D9A205">
      <w:r>
        <w:br w:type="page"/>
      </w:r>
    </w:p>
    <w:p w14:paraId="1EBD3D09" w14:textId="7D5AB17B" w:rsidR="4CE1AD5B" w:rsidRPr="001B18E8" w:rsidRDefault="4CE1AD5B" w:rsidP="365D9676">
      <w:pPr>
        <w:pStyle w:val="ItadH3"/>
        <w:keepNext/>
        <w:spacing w:line="259" w:lineRule="auto"/>
        <w:rPr>
          <w:lang w:val="en-GB"/>
        </w:rPr>
      </w:pPr>
      <w:bookmarkStart w:id="477" w:name="_Toc142383261"/>
      <w:r w:rsidRPr="65D9A205">
        <w:rPr>
          <w:lang w:val="en-GB"/>
        </w:rPr>
        <w:t>KII Guide for Policy Fellows</w:t>
      </w:r>
      <w:bookmarkEnd w:id="477"/>
    </w:p>
    <w:p w14:paraId="340D0D67" w14:textId="42A6BC72" w:rsidR="65D9A205" w:rsidRDefault="3B35683E" w:rsidP="65D9A205">
      <w:pPr>
        <w:widowControl w:val="0"/>
        <w:spacing w:after="160" w:line="259" w:lineRule="auto"/>
        <w:jc w:val="both"/>
        <w:rPr>
          <w:rFonts w:ascii="Calibri Light" w:eastAsia="Calibri Light" w:hAnsi="Calibri Light" w:cs="Calibri Light"/>
          <w:color w:val="2F5496"/>
          <w:sz w:val="26"/>
          <w:szCs w:val="26"/>
        </w:rPr>
      </w:pPr>
      <w:r w:rsidRPr="001B18E8">
        <w:rPr>
          <w:rFonts w:ascii="Calibri Light" w:eastAsia="Calibri Light" w:hAnsi="Calibri Light" w:cs="Calibri Light"/>
          <w:color w:val="2F5496"/>
          <w:sz w:val="26"/>
          <w:szCs w:val="26"/>
        </w:rPr>
        <w:t>Policy Fellows</w:t>
      </w:r>
    </w:p>
    <w:p w14:paraId="52259AF8" w14:textId="6F92505E" w:rsidR="3B35683E" w:rsidRDefault="3B35683E" w:rsidP="65D9A205">
      <w:pPr>
        <w:widowControl w:val="0"/>
        <w:spacing w:after="160" w:line="259" w:lineRule="auto"/>
        <w:jc w:val="both"/>
        <w:rPr>
          <w:rFonts w:eastAsia="Calibri" w:cs="Calibri"/>
          <w:color w:val="000000"/>
        </w:rPr>
      </w:pPr>
      <w:r w:rsidRPr="008130C8">
        <w:rPr>
          <w:rFonts w:eastAsia="Calibri" w:cs="Calibri"/>
          <w:b/>
          <w:bCs/>
          <w:color w:val="000000"/>
        </w:rPr>
        <w:t>KII name:</w:t>
      </w:r>
    </w:p>
    <w:p w14:paraId="62ACFC82" w14:textId="52C66ABF" w:rsidR="3B35683E" w:rsidRPr="00F83AA0" w:rsidRDefault="3B35683E" w:rsidP="65D9A205">
      <w:pPr>
        <w:widowControl w:val="0"/>
        <w:spacing w:after="160" w:line="259" w:lineRule="auto"/>
        <w:jc w:val="both"/>
        <w:rPr>
          <w:rFonts w:eastAsia="Calibri" w:cs="Calibri"/>
          <w:color w:val="000000"/>
        </w:rPr>
      </w:pPr>
      <w:r w:rsidRPr="00F83AA0">
        <w:rPr>
          <w:rFonts w:eastAsia="Calibri" w:cs="Calibri"/>
          <w:b/>
          <w:bCs/>
          <w:color w:val="000000"/>
        </w:rPr>
        <w:t>KII date:</w:t>
      </w:r>
    </w:p>
    <w:p w14:paraId="3FB64CD5" w14:textId="4386C08C" w:rsidR="3B35683E" w:rsidRPr="00F83AA0" w:rsidRDefault="3B35683E" w:rsidP="65D9A205">
      <w:pPr>
        <w:widowControl w:val="0"/>
        <w:spacing w:after="160" w:line="259" w:lineRule="auto"/>
        <w:jc w:val="both"/>
        <w:rPr>
          <w:rFonts w:eastAsia="Calibri" w:cs="Calibri"/>
          <w:color w:val="000000"/>
        </w:rPr>
      </w:pPr>
      <w:r w:rsidRPr="00F83AA0">
        <w:rPr>
          <w:rFonts w:eastAsia="Calibri" w:cs="Calibri"/>
          <w:b/>
          <w:bCs/>
          <w:color w:val="000000"/>
        </w:rPr>
        <w:t>KII interviewer(s):</w:t>
      </w:r>
    </w:p>
    <w:p w14:paraId="6FA36846" w14:textId="06E4F0EA" w:rsidR="3B35683E" w:rsidRPr="00F83AA0" w:rsidRDefault="3B35683E" w:rsidP="65D9A205">
      <w:pPr>
        <w:spacing w:after="160" w:line="259" w:lineRule="auto"/>
        <w:rPr>
          <w:rFonts w:eastAsia="Calibri" w:cs="Calibri"/>
          <w:color w:val="000000"/>
        </w:rPr>
      </w:pPr>
      <w:r w:rsidRPr="00F83AA0">
        <w:rPr>
          <w:rFonts w:eastAsia="Calibri" w:cs="Calibri"/>
          <w:b/>
          <w:bCs/>
          <w:color w:val="000000"/>
        </w:rPr>
        <w:t>Introduction</w:t>
      </w:r>
      <w:r w:rsidRPr="00F83AA0">
        <w:rPr>
          <w:rFonts w:eastAsia="Calibri" w:cs="Calibri"/>
          <w:color w:val="000000"/>
        </w:rPr>
        <w:t xml:space="preserve"> – please adapt and summarise according to the stakeholder / her knowledge of the evaluation etc </w:t>
      </w:r>
      <w:r w:rsidRPr="00F83AA0">
        <w:rPr>
          <w:rFonts w:ascii="Times New Roman" w:eastAsia="Times New Roman" w:hAnsi="Times New Roman" w:cs="Times New Roman"/>
          <w:color w:val="000000"/>
          <w:sz w:val="24"/>
          <w:szCs w:val="24"/>
        </w:rPr>
        <w:t>–</w:t>
      </w:r>
      <w:r w:rsidRPr="00F83AA0">
        <w:rPr>
          <w:rFonts w:eastAsia="Calibri" w:cs="Calibri"/>
          <w:color w:val="000000"/>
        </w:rPr>
        <w:t xml:space="preserve"> aim to get this intro as short as possible.</w:t>
      </w:r>
    </w:p>
    <w:p w14:paraId="77BBED71" w14:textId="39A179D1" w:rsidR="3B35683E" w:rsidRPr="00F83AA0" w:rsidRDefault="3B35683E" w:rsidP="65D9A205">
      <w:pPr>
        <w:spacing w:line="259" w:lineRule="auto"/>
        <w:rPr>
          <w:rFonts w:eastAsia="Calibri" w:cs="Calibri"/>
          <w:color w:val="000000"/>
        </w:rPr>
      </w:pPr>
      <w:r w:rsidRPr="00F83AA0">
        <w:rPr>
          <w:rFonts w:eastAsia="Calibri" w:cs="Calibri"/>
          <w:color w:val="000000"/>
        </w:rPr>
        <w:t xml:space="preserve"> • </w:t>
      </w:r>
      <w:r w:rsidRPr="00F83AA0">
        <w:rPr>
          <w:rFonts w:eastAsia="Calibri" w:cs="Calibri"/>
          <w:b/>
          <w:bCs/>
          <w:color w:val="000000"/>
        </w:rPr>
        <w:t>Thank you</w:t>
      </w:r>
      <w:r w:rsidRPr="00F83AA0">
        <w:rPr>
          <w:rFonts w:eastAsia="Calibri" w:cs="Calibri"/>
          <w:color w:val="000000"/>
        </w:rPr>
        <w:t xml:space="preserve"> – Thank you the interviewee for having accepted the meeting and for their time today. </w:t>
      </w:r>
    </w:p>
    <w:p w14:paraId="35F1C5A4" w14:textId="5DECBF28" w:rsidR="3B35683E" w:rsidRPr="00F83AA0" w:rsidRDefault="3B35683E" w:rsidP="65D9A205">
      <w:pPr>
        <w:spacing w:line="259" w:lineRule="auto"/>
        <w:rPr>
          <w:rFonts w:eastAsia="Calibri" w:cs="Calibri"/>
          <w:color w:val="000000"/>
        </w:rPr>
      </w:pPr>
      <w:r w:rsidRPr="00F83AA0">
        <w:rPr>
          <w:rFonts w:eastAsia="Calibri" w:cs="Calibri"/>
          <w:color w:val="000000"/>
        </w:rPr>
        <w:t xml:space="preserve">• </w:t>
      </w:r>
      <w:r w:rsidRPr="00F83AA0">
        <w:rPr>
          <w:rFonts w:eastAsia="Calibri" w:cs="Calibri"/>
          <w:b/>
          <w:bCs/>
          <w:color w:val="000000"/>
        </w:rPr>
        <w:t>Introductions</w:t>
      </w:r>
      <w:r w:rsidRPr="00F83AA0">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2860F460" w14:textId="269C9FAD" w:rsidR="3B35683E" w:rsidRPr="00F83AA0" w:rsidRDefault="3B35683E" w:rsidP="65D9A205">
      <w:pPr>
        <w:spacing w:line="259" w:lineRule="auto"/>
        <w:rPr>
          <w:rFonts w:eastAsia="Calibri" w:cs="Calibri"/>
          <w:color w:val="000000"/>
        </w:rPr>
      </w:pPr>
      <w:r w:rsidRPr="00F83AA0">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77A5C267" w14:textId="0B15F0F6" w:rsidR="3B35683E" w:rsidRPr="00F83AA0" w:rsidRDefault="3B35683E" w:rsidP="65D9A205">
      <w:pPr>
        <w:spacing w:line="259" w:lineRule="auto"/>
        <w:rPr>
          <w:rFonts w:eastAsia="Calibri" w:cs="Calibri"/>
          <w:color w:val="000000"/>
        </w:rPr>
      </w:pPr>
      <w:r w:rsidRPr="00F83AA0">
        <w:rPr>
          <w:rFonts w:eastAsia="Calibri" w:cs="Calibri"/>
          <w:color w:val="000000"/>
        </w:rPr>
        <w:t xml:space="preserve">[Let others introduce themselves or tell them there will be a chance after you have explained the purpose of the interview] </w:t>
      </w:r>
    </w:p>
    <w:p w14:paraId="1E1C9E36" w14:textId="3D27D239" w:rsidR="3B35683E" w:rsidRPr="00F83AA0" w:rsidRDefault="3B35683E" w:rsidP="65D9A205">
      <w:pPr>
        <w:spacing w:line="259" w:lineRule="auto"/>
        <w:rPr>
          <w:rFonts w:eastAsia="Calibri" w:cs="Calibri"/>
          <w:color w:val="000000"/>
        </w:rPr>
      </w:pPr>
      <w:r w:rsidRPr="00F83AA0">
        <w:rPr>
          <w:rFonts w:eastAsia="Calibri" w:cs="Calibri"/>
          <w:color w:val="000000"/>
        </w:rPr>
        <w:t xml:space="preserve">[Acknowledge whether we have already interviewed the stakeholder during CV1/2]  </w:t>
      </w:r>
    </w:p>
    <w:p w14:paraId="6AD875CA" w14:textId="5C763B16" w:rsidR="3B35683E" w:rsidRPr="00F83AA0" w:rsidRDefault="3B35683E" w:rsidP="65D9A205">
      <w:pPr>
        <w:spacing w:line="259" w:lineRule="auto"/>
        <w:rPr>
          <w:rFonts w:eastAsia="Calibri" w:cs="Calibri"/>
          <w:color w:val="000000"/>
        </w:rPr>
      </w:pPr>
      <w:r w:rsidRPr="00F83AA0">
        <w:rPr>
          <w:rFonts w:eastAsia="Calibri" w:cs="Calibri"/>
          <w:color w:val="000000"/>
        </w:rPr>
        <w:t xml:space="preserve"> </w:t>
      </w:r>
    </w:p>
    <w:p w14:paraId="7B1CD21C" w14:textId="39DBEAC5" w:rsidR="3B35683E" w:rsidRPr="00F83AA0" w:rsidRDefault="3B35683E" w:rsidP="65D9A205">
      <w:pPr>
        <w:spacing w:line="259" w:lineRule="auto"/>
        <w:rPr>
          <w:rFonts w:eastAsia="Calibri" w:cs="Calibri"/>
          <w:color w:val="000000"/>
        </w:rPr>
      </w:pPr>
      <w:r w:rsidRPr="00F83AA0">
        <w:rPr>
          <w:rFonts w:eastAsia="Calibri" w:cs="Calibri"/>
          <w:color w:val="000000"/>
        </w:rPr>
        <w:t xml:space="preserve">• </w:t>
      </w:r>
      <w:r w:rsidRPr="00F83AA0">
        <w:rPr>
          <w:rFonts w:eastAsia="Calibri" w:cs="Calibri"/>
          <w:b/>
          <w:bCs/>
          <w:color w:val="000000"/>
        </w:rPr>
        <w:t>Purpose</w:t>
      </w:r>
      <w:r w:rsidRPr="00F83AA0">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43703DC5" w14:textId="30616C4D" w:rsidR="3B35683E" w:rsidRPr="00F83AA0" w:rsidRDefault="3B35683E" w:rsidP="65D9A205">
      <w:pPr>
        <w:spacing w:line="259" w:lineRule="auto"/>
        <w:rPr>
          <w:rFonts w:eastAsia="Calibri" w:cs="Calibri"/>
          <w:color w:val="000000"/>
        </w:rPr>
      </w:pPr>
      <w:r w:rsidRPr="00F83AA0">
        <w:rPr>
          <w:rFonts w:eastAsia="Calibri" w:cs="Calibri"/>
          <w:color w:val="000000"/>
        </w:rPr>
        <w:t xml:space="preserve">• </w:t>
      </w:r>
      <w:r w:rsidRPr="00F83AA0">
        <w:rPr>
          <w:rFonts w:eastAsia="Calibri" w:cs="Calibri"/>
          <w:b/>
          <w:bCs/>
          <w:color w:val="000000"/>
        </w:rPr>
        <w:t xml:space="preserve">Focus </w:t>
      </w:r>
      <w:r w:rsidRPr="00F83AA0">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2D4F1262" w14:textId="7992DB45" w:rsidR="3B35683E" w:rsidRPr="00F83AA0" w:rsidRDefault="3B35683E" w:rsidP="00C6374D">
      <w:pPr>
        <w:pStyle w:val="ListParagraph"/>
        <w:numPr>
          <w:ilvl w:val="0"/>
          <w:numId w:val="3"/>
        </w:numPr>
        <w:spacing w:line="259" w:lineRule="auto"/>
        <w:rPr>
          <w:rFonts w:eastAsia="Calibri" w:cs="Calibri"/>
          <w:color w:val="000000"/>
        </w:rPr>
      </w:pPr>
      <w:r w:rsidRPr="00F83AA0">
        <w:rPr>
          <w:rFonts w:eastAsia="Calibri" w:cs="Calibri"/>
          <w:color w:val="000000"/>
        </w:rPr>
        <w:t xml:space="preserve">More and better AMR/C/U data produced and shared at country level  </w:t>
      </w:r>
    </w:p>
    <w:p w14:paraId="1D1D967E" w14:textId="56C746B4" w:rsidR="3B35683E" w:rsidRPr="00F83AA0" w:rsidRDefault="3B35683E" w:rsidP="00C6374D">
      <w:pPr>
        <w:pStyle w:val="ListParagraph"/>
        <w:numPr>
          <w:ilvl w:val="0"/>
          <w:numId w:val="3"/>
        </w:numPr>
        <w:spacing w:line="259" w:lineRule="auto"/>
        <w:rPr>
          <w:rFonts w:eastAsia="Calibri" w:cs="Calibri"/>
          <w:color w:val="000000"/>
        </w:rPr>
      </w:pPr>
      <w:r w:rsidRPr="00F83AA0">
        <w:rPr>
          <w:rFonts w:eastAsia="Calibri" w:cs="Calibri"/>
          <w:color w:val="000000"/>
        </w:rPr>
        <w:t xml:space="preserve">More and better AMR/C/U data shared internationally (with GLASS/OIE) </w:t>
      </w:r>
    </w:p>
    <w:p w14:paraId="6BE88F65" w14:textId="51CB0AA1" w:rsidR="3B35683E" w:rsidRPr="00F83AA0" w:rsidRDefault="3B35683E" w:rsidP="00C6374D">
      <w:pPr>
        <w:pStyle w:val="ListParagraph"/>
        <w:numPr>
          <w:ilvl w:val="0"/>
          <w:numId w:val="3"/>
        </w:numPr>
        <w:spacing w:line="259" w:lineRule="auto"/>
        <w:rPr>
          <w:rFonts w:eastAsia="Calibri" w:cs="Calibri"/>
          <w:color w:val="000000"/>
        </w:rPr>
      </w:pPr>
      <w:r w:rsidRPr="00F83AA0">
        <w:rPr>
          <w:rFonts w:eastAsia="Calibri" w:cs="Calibri"/>
          <w:color w:val="000000"/>
        </w:rPr>
        <w:t xml:space="preserve">Regulatory and policy change that can have an impact in reducing AMR </w:t>
      </w:r>
    </w:p>
    <w:p w14:paraId="12CB50C3" w14:textId="270C861A" w:rsidR="3B35683E" w:rsidRPr="00F83AA0" w:rsidRDefault="3B35683E" w:rsidP="00C6374D">
      <w:pPr>
        <w:pStyle w:val="ListParagraph"/>
        <w:numPr>
          <w:ilvl w:val="0"/>
          <w:numId w:val="3"/>
        </w:numPr>
        <w:spacing w:line="259" w:lineRule="auto"/>
        <w:rPr>
          <w:rFonts w:eastAsia="Calibri" w:cs="Calibri"/>
          <w:color w:val="000000"/>
        </w:rPr>
      </w:pPr>
      <w:r w:rsidRPr="00F83AA0">
        <w:rPr>
          <w:rFonts w:eastAsia="Calibri" w:cs="Calibri"/>
          <w:color w:val="000000"/>
        </w:rPr>
        <w:t xml:space="preserve">Changes in practice / attitude towards the use of antimicrobials.  </w:t>
      </w:r>
    </w:p>
    <w:p w14:paraId="11DDDC07" w14:textId="1A5AA9EF" w:rsidR="3B35683E" w:rsidRPr="00F83AA0" w:rsidRDefault="3B35683E" w:rsidP="65D9A205">
      <w:pPr>
        <w:spacing w:line="259" w:lineRule="auto"/>
        <w:rPr>
          <w:rFonts w:eastAsia="Calibri" w:cs="Calibri"/>
          <w:color w:val="000000"/>
        </w:rPr>
      </w:pPr>
      <w:r w:rsidRPr="00F83AA0">
        <w:rPr>
          <w:rFonts w:eastAsia="Calibri" w:cs="Calibri"/>
          <w:color w:val="000000"/>
        </w:rPr>
        <w:t xml:space="preserve"> </w:t>
      </w:r>
    </w:p>
    <w:p w14:paraId="466B4AB1" w14:textId="0DFC8086" w:rsidR="3B35683E" w:rsidRPr="00F83AA0" w:rsidRDefault="3B35683E" w:rsidP="65D9A205">
      <w:pPr>
        <w:spacing w:line="259" w:lineRule="auto"/>
        <w:rPr>
          <w:rFonts w:eastAsia="Calibri" w:cs="Calibri"/>
          <w:color w:val="000000"/>
        </w:rPr>
      </w:pPr>
      <w:r w:rsidRPr="00F83AA0">
        <w:rPr>
          <w:rFonts w:eastAsia="Calibri" w:cs="Calibri"/>
          <w:color w:val="000000"/>
        </w:rPr>
        <w:t>We have also questions relate to coherence of Fleming Fund efforts with those of other actors in country, sustainability of FF results and Value for Money [adapt the list as appropriate].</w:t>
      </w:r>
    </w:p>
    <w:p w14:paraId="3CAF5A55" w14:textId="18BE8335" w:rsidR="3B35683E" w:rsidRPr="00F83AA0" w:rsidRDefault="3B35683E" w:rsidP="65D9A205">
      <w:pPr>
        <w:spacing w:line="259" w:lineRule="auto"/>
        <w:rPr>
          <w:rFonts w:eastAsia="Calibri" w:cs="Calibri"/>
          <w:color w:val="000000"/>
        </w:rPr>
      </w:pPr>
      <w:r w:rsidRPr="00F83AA0">
        <w:rPr>
          <w:rFonts w:eastAsia="Calibri" w:cs="Calibri"/>
          <w:color w:val="000000"/>
        </w:rPr>
        <w:t xml:space="preserve"> </w:t>
      </w:r>
    </w:p>
    <w:p w14:paraId="6B6246AB" w14:textId="30EE11EE" w:rsidR="3B35683E" w:rsidRDefault="3B35683E" w:rsidP="65D9A205">
      <w:pPr>
        <w:spacing w:line="259" w:lineRule="auto"/>
        <w:rPr>
          <w:rFonts w:eastAsia="Calibri" w:cs="Calibri"/>
          <w:color w:val="000000"/>
        </w:rPr>
      </w:pPr>
      <w:r w:rsidRPr="00F83AA0">
        <w:rPr>
          <w:rFonts w:eastAsia="Calibri" w:cs="Calibri"/>
          <w:color w:val="000000"/>
        </w:rPr>
        <w:t xml:space="preserve">• </w:t>
      </w:r>
      <w:r w:rsidRPr="00F83AA0">
        <w:rPr>
          <w:rFonts w:eastAsia="Calibri" w:cs="Calibri"/>
          <w:b/>
          <w:bCs/>
          <w:color w:val="000000"/>
        </w:rPr>
        <w:t>Confidentiality / permission to record</w:t>
      </w:r>
      <w:r w:rsidRPr="65D9A205">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07BFFFA4" w14:textId="0EE0A60D" w:rsidR="3B35683E" w:rsidRDefault="3B35683E" w:rsidP="65D9A205">
      <w:pPr>
        <w:spacing w:line="259" w:lineRule="auto"/>
        <w:rPr>
          <w:rFonts w:eastAsia="Calibri" w:cs="Calibri"/>
          <w:color w:val="000000"/>
        </w:rPr>
      </w:pPr>
      <w:r w:rsidRPr="65D9A205">
        <w:rPr>
          <w:rFonts w:eastAsia="Calibri" w:cs="Calibri"/>
          <w:color w:val="000000"/>
        </w:rPr>
        <w:t xml:space="preserve"> </w:t>
      </w:r>
    </w:p>
    <w:p w14:paraId="2E903472" w14:textId="7EFE49C9" w:rsidR="3B35683E" w:rsidRDefault="3B35683E" w:rsidP="65D9A205">
      <w:pPr>
        <w:spacing w:line="259" w:lineRule="auto"/>
        <w:rPr>
          <w:rFonts w:eastAsia="Calibri" w:cs="Calibri"/>
          <w:color w:val="000000"/>
        </w:rPr>
      </w:pPr>
      <w:r w:rsidRPr="65D9A205">
        <w:rPr>
          <w:rFonts w:eastAsia="Calibri" w:cs="Calibri"/>
          <w:color w:val="000000"/>
        </w:rPr>
        <w:t xml:space="preserve">• </w:t>
      </w:r>
      <w:r w:rsidRPr="65D9A205">
        <w:rPr>
          <w:rFonts w:eastAsia="Calibri" w:cs="Calibri"/>
          <w:b/>
          <w:bCs/>
          <w:color w:val="000000"/>
        </w:rPr>
        <w:t>Duration</w:t>
      </w:r>
      <w:r w:rsidRPr="65D9A205">
        <w:rPr>
          <w:rFonts w:eastAsia="Calibri" w:cs="Calibri"/>
          <w:color w:val="000000"/>
        </w:rPr>
        <w:t xml:space="preserve"> – I </w:t>
      </w:r>
      <w:r w:rsidRPr="00F83AA0">
        <w:rPr>
          <w:rFonts w:eastAsia="Calibri" w:cs="Calibri"/>
          <w:color w:val="000000"/>
        </w:rPr>
        <w:t>expect the interview to take approximately [specify length] – is that okay? If you do not have that much time let me know and I can make sure that I focus on the more important questions. Also, it’s absolutely fine if you do not know the answer to a question or prefer not to answer – just let me know and I’ll adapt the interview accordingly.</w:t>
      </w:r>
      <w:r w:rsidRPr="65D9A205">
        <w:rPr>
          <w:rFonts w:eastAsia="Calibri" w:cs="Calibri"/>
          <w:color w:val="000000"/>
        </w:rPr>
        <w:t xml:space="preserve">   </w:t>
      </w:r>
    </w:p>
    <w:p w14:paraId="74C732CB" w14:textId="05BFAE4A" w:rsidR="3B35683E" w:rsidRDefault="3B35683E" w:rsidP="65D9A205">
      <w:pPr>
        <w:spacing w:line="259" w:lineRule="auto"/>
        <w:rPr>
          <w:rFonts w:ascii="Segoe UI" w:eastAsia="Segoe UI" w:hAnsi="Segoe UI" w:cs="Segoe UI"/>
          <w:color w:val="000000"/>
        </w:rPr>
      </w:pPr>
      <w:r w:rsidRPr="65D9A205">
        <w:rPr>
          <w:rFonts w:ascii="Segoe UI" w:eastAsia="Segoe UI" w:hAnsi="Segoe UI" w:cs="Segoe UI"/>
          <w:color w:val="000000"/>
        </w:rPr>
        <w:t xml:space="preserve"> </w:t>
      </w:r>
    </w:p>
    <w:p w14:paraId="35D1163C" w14:textId="43380688" w:rsidR="3B35683E" w:rsidRDefault="3B35683E" w:rsidP="65D9A205">
      <w:pPr>
        <w:spacing w:line="259" w:lineRule="auto"/>
        <w:rPr>
          <w:rFonts w:eastAsia="Calibri" w:cs="Calibri"/>
          <w:color w:val="000000"/>
        </w:rPr>
      </w:pPr>
      <w:r w:rsidRPr="65D9A205">
        <w:rPr>
          <w:rFonts w:eastAsia="Calibri" w:cs="Calibri"/>
          <w:color w:val="000000"/>
        </w:rPr>
        <w:t xml:space="preserve">• </w:t>
      </w:r>
      <w:r w:rsidRPr="65D9A205">
        <w:rPr>
          <w:rFonts w:eastAsia="Calibri" w:cs="Calibri"/>
          <w:b/>
          <w:bCs/>
          <w:color w:val="000000"/>
        </w:rPr>
        <w:t>Opportunity for questions</w:t>
      </w:r>
      <w:r w:rsidRPr="65D9A205">
        <w:rPr>
          <w:rFonts w:eastAsia="Calibri" w:cs="Calibri"/>
          <w:color w:val="000000"/>
        </w:rPr>
        <w:t xml:space="preserve"> – Do you have any questions before we start? Of course you are also welcome to ask questions through the interview if something is not clear.  </w:t>
      </w:r>
    </w:p>
    <w:p w14:paraId="4B540A6E" w14:textId="75ABF383" w:rsidR="65D9A205" w:rsidRDefault="65D9A205" w:rsidP="65D9A205">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50"/>
        <w:gridCol w:w="6270"/>
        <w:gridCol w:w="6270"/>
      </w:tblGrid>
      <w:tr w:rsidR="65D9A205" w14:paraId="0009D0FE" w14:textId="77777777" w:rsidTr="00110FEA">
        <w:trPr>
          <w:trHeight w:val="567"/>
          <w:tblHeader/>
        </w:trPr>
        <w:tc>
          <w:tcPr>
            <w:tcW w:w="105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170DBFAD" w14:textId="517B1536" w:rsidR="65D9A205" w:rsidRDefault="65D9A205" w:rsidP="00110FEA">
            <w:pPr>
              <w:rPr>
                <w:rFonts w:eastAsia="Calibri" w:cs="Calibri"/>
                <w:color w:val="FFFFFF" w:themeColor="background1"/>
                <w:sz w:val="20"/>
                <w:szCs w:val="20"/>
              </w:rPr>
            </w:pPr>
            <w:r w:rsidRPr="65D9A205">
              <w:rPr>
                <w:rFonts w:eastAsia="Calibri" w:cs="Calibri"/>
                <w:color w:val="FFFFFF" w:themeColor="background1"/>
                <w:sz w:val="20"/>
                <w:szCs w:val="20"/>
              </w:rPr>
              <w:t>EQ</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121D00D2" w14:textId="0ADDD073" w:rsidR="65D9A205" w:rsidRDefault="65D9A205" w:rsidP="00110FEA">
            <w:pPr>
              <w:rPr>
                <w:rFonts w:eastAsia="Calibri" w:cs="Calibri"/>
                <w:color w:val="FFFFFF" w:themeColor="background1"/>
                <w:sz w:val="20"/>
                <w:szCs w:val="20"/>
              </w:rPr>
            </w:pPr>
            <w:r w:rsidRPr="65D9A205">
              <w:rPr>
                <w:rFonts w:eastAsia="Calibri" w:cs="Calibri"/>
                <w:color w:val="FFFFFF" w:themeColor="background1"/>
                <w:sz w:val="20"/>
                <w:szCs w:val="20"/>
              </w:rPr>
              <w:t xml:space="preserve">List of questions  </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19178F97" w14:textId="37105E82" w:rsidR="65D9A205" w:rsidRDefault="65D9A205" w:rsidP="00110FEA">
            <w:pPr>
              <w:rPr>
                <w:rFonts w:eastAsia="Calibri" w:cs="Calibri"/>
                <w:color w:val="FFFFFF" w:themeColor="background1"/>
                <w:sz w:val="20"/>
                <w:szCs w:val="20"/>
              </w:rPr>
            </w:pPr>
            <w:r w:rsidRPr="65D9A205">
              <w:rPr>
                <w:rFonts w:eastAsia="Calibri" w:cs="Calibri"/>
                <w:color w:val="FFFFFF" w:themeColor="background1"/>
                <w:sz w:val="20"/>
                <w:szCs w:val="20"/>
              </w:rPr>
              <w:t>Response</w:t>
            </w:r>
          </w:p>
        </w:tc>
      </w:tr>
      <w:tr w:rsidR="65D9A205" w14:paraId="22BE42AE" w14:textId="77777777" w:rsidTr="65D9A205">
        <w:trPr>
          <w:trHeight w:val="1815"/>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54EEC431" w14:textId="2CDDA3C1" w:rsidR="65D9A205" w:rsidRDefault="65D9A205" w:rsidP="65D9A205">
            <w:pPr>
              <w:rPr>
                <w:rFonts w:eastAsia="Calibri" w:cs="Calibri"/>
                <w:color w:val="000000"/>
              </w:rPr>
            </w:pPr>
            <w:r w:rsidRPr="65D9A205">
              <w:rPr>
                <w:rFonts w:eastAsia="Calibri" w:cs="Calibri"/>
                <w:color w:val="00000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13BCB6E" w14:textId="6570335C"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w:t>
            </w:r>
            <w:r w:rsidRPr="65D9A205">
              <w:rPr>
                <w:rFonts w:eastAsia="Calibri" w:cs="Calibri"/>
                <w:b/>
                <w:bCs/>
                <w:color w:val="000000"/>
                <w:sz w:val="20"/>
                <w:szCs w:val="20"/>
              </w:rPr>
              <w:t xml:space="preserve">CG, RG, Fellowships and Global Projects </w:t>
            </w:r>
            <w:r w:rsidRPr="65D9A205">
              <w:rPr>
                <w:rFonts w:eastAsia="Calibri" w:cs="Calibri"/>
                <w:color w:val="000000"/>
                <w:sz w:val="20"/>
                <w:szCs w:val="20"/>
              </w:rPr>
              <w:t>have been</w:t>
            </w:r>
            <w:r w:rsidRPr="65D9A205">
              <w:rPr>
                <w:rFonts w:eastAsia="Calibri" w:cs="Calibri"/>
                <w:b/>
                <w:bCs/>
                <w:color w:val="000000"/>
                <w:sz w:val="20"/>
                <w:szCs w:val="20"/>
              </w:rPr>
              <w:t xml:space="preserve"> well coordinated</w:t>
            </w:r>
            <w:r w:rsidRPr="65D9A205">
              <w:rPr>
                <w:rFonts w:eastAsia="Calibri" w:cs="Calibri"/>
                <w:color w:val="000000"/>
                <w:sz w:val="20"/>
                <w:szCs w:val="20"/>
              </w:rPr>
              <w:t xml:space="preserve"> and </w:t>
            </w:r>
            <w:r w:rsidRPr="65D9A205">
              <w:rPr>
                <w:rFonts w:eastAsia="Calibri" w:cs="Calibri"/>
                <w:b/>
                <w:bCs/>
                <w:color w:val="000000"/>
                <w:sz w:val="20"/>
                <w:szCs w:val="20"/>
              </w:rPr>
              <w:t>internally coherent</w:t>
            </w:r>
            <w:r w:rsidRPr="65D9A205">
              <w:rPr>
                <w:rFonts w:eastAsia="Calibri" w:cs="Calibri"/>
                <w:color w:val="000000"/>
                <w:sz w:val="20"/>
                <w:szCs w:val="20"/>
              </w:rPr>
              <w:t>?</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CG, RG, Fellowships and Global Projects?</w:t>
            </w:r>
            <w:r>
              <w:br/>
            </w:r>
            <w:r w:rsidRPr="65D9A205">
              <w:rPr>
                <w:rFonts w:eastAsia="Calibri" w:cs="Calibri"/>
                <w:color w:val="000000"/>
                <w:sz w:val="20"/>
                <w:szCs w:val="20"/>
              </w:rPr>
              <w:t xml:space="preserve">Probe: How effective have been </w:t>
            </w:r>
            <w:r w:rsidRPr="65D9A205">
              <w:rPr>
                <w:color w:val="000000"/>
                <w:sz w:val="20"/>
                <w:szCs w:val="20"/>
                <w:u w:val="single"/>
              </w:rPr>
              <w:t>mechanisms</w:t>
            </w:r>
            <w:r w:rsidRPr="65D9A205">
              <w:rPr>
                <w:rFonts w:eastAsia="Calibri" w:cs="Calibri"/>
                <w:color w:val="000000"/>
                <w:sz w:val="20"/>
                <w:szCs w:val="20"/>
              </w:rPr>
              <w:t xml:space="preserve"> put in place by the MA to ensure internal coherence (such as the Country Coordination mechanisms) in delivering coherence?</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6F827767" w14:textId="23B7044A" w:rsidR="65D9A205" w:rsidRDefault="65D9A205" w:rsidP="65D9A205">
            <w:pPr>
              <w:rPr>
                <w:rFonts w:eastAsia="Calibri" w:cs="Calibri"/>
                <w:color w:val="000000"/>
                <w:sz w:val="20"/>
                <w:szCs w:val="20"/>
              </w:rPr>
            </w:pPr>
          </w:p>
        </w:tc>
      </w:tr>
      <w:tr w:rsidR="65D9A205" w14:paraId="6EA65A98" w14:textId="77777777" w:rsidTr="65D9A205">
        <w:trPr>
          <w:trHeight w:val="51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59581E3" w14:textId="4A3B54AA"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BE4B8AF" w14:textId="45F09659" w:rsidR="65D9A205" w:rsidRDefault="65D9A205" w:rsidP="65D9A205">
            <w:pPr>
              <w:rPr>
                <w:rFonts w:eastAsia="Calibri" w:cs="Calibri"/>
                <w:color w:val="444444"/>
              </w:rPr>
            </w:pPr>
            <w:r w:rsidRPr="65D9A205">
              <w:rPr>
                <w:rFonts w:eastAsia="Calibri" w:cs="Calibri"/>
                <w:color w:val="444444"/>
              </w:rPr>
              <w:t xml:space="preserve"> To what extent have you formulated and implemented an exit plan with milestones and shared objectives? If not, why not? Has sustainability received sufficient attention to date? In what ways?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5FC6D33D" w14:textId="5AD23E2C" w:rsidR="65D9A205" w:rsidRDefault="65D9A205" w:rsidP="65D9A205">
            <w:pPr>
              <w:rPr>
                <w:rFonts w:eastAsia="Calibri" w:cs="Calibri"/>
                <w:color w:val="000000"/>
                <w:sz w:val="20"/>
                <w:szCs w:val="20"/>
              </w:rPr>
            </w:pPr>
          </w:p>
        </w:tc>
      </w:tr>
      <w:tr w:rsidR="65D9A205" w14:paraId="0C561F81" w14:textId="77777777" w:rsidTr="00110FEA">
        <w:trPr>
          <w:trHeight w:val="1928"/>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9DE3C7E" w14:textId="08E092BC"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2771891" w14:textId="6A937C7C" w:rsidR="65D9A205" w:rsidRDefault="65D9A205" w:rsidP="00110FEA">
            <w:pPr>
              <w:rPr>
                <w:rFonts w:eastAsia="Calibri" w:cs="Calibri"/>
                <w:color w:val="000000"/>
                <w:sz w:val="20"/>
                <w:szCs w:val="20"/>
              </w:rPr>
            </w:pPr>
            <w:r w:rsidRPr="65D9A205">
              <w:rPr>
                <w:rFonts w:eastAsia="Calibri" w:cs="Calibri"/>
                <w:color w:val="000000"/>
                <w:sz w:val="20"/>
                <w:szCs w:val="20"/>
              </w:rPr>
              <w:t xml:space="preserve">Do you think that surveillance data is already being used to inform strong national actions on AMR (policy implementation, regulatory change or change to national clinical guidelines?)  If yes, please give examples  PROBE: How did Fleming Fund activities contribute to these actions? If no, do you think that the main use so far has been for general awareness-raising in professional and policy networks? PROBE: Do you think that we are still at an early stage of the cycle of AMR data analysis for policy?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05FC7BE" w14:textId="1CCB4711" w:rsidR="65D9A205" w:rsidRDefault="65D9A205" w:rsidP="65D9A205">
            <w:pPr>
              <w:rPr>
                <w:rFonts w:eastAsia="Calibri" w:cs="Calibri"/>
                <w:color w:val="000000"/>
                <w:sz w:val="20"/>
                <w:szCs w:val="20"/>
              </w:rPr>
            </w:pPr>
          </w:p>
        </w:tc>
      </w:tr>
      <w:tr w:rsidR="65D9A205" w14:paraId="45B8574F" w14:textId="77777777" w:rsidTr="00110FEA">
        <w:trPr>
          <w:trHeight w:val="170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A8DEB5A" w14:textId="1ECF807F"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6373287E" w14:textId="4651EC77" w:rsidR="65D9A205" w:rsidRDefault="65D9A205" w:rsidP="65D9A205">
            <w:pPr>
              <w:rPr>
                <w:rFonts w:eastAsia="Calibri" w:cs="Calibri"/>
                <w:color w:val="000000"/>
                <w:sz w:val="20"/>
                <w:szCs w:val="20"/>
              </w:rPr>
            </w:pPr>
            <w:r w:rsidRPr="65D9A205">
              <w:rPr>
                <w:rFonts w:eastAsia="Calibri" w:cs="Calibri"/>
                <w:color w:val="000000"/>
                <w:sz w:val="20"/>
                <w:szCs w:val="20"/>
              </w:rPr>
              <w:t>Thinking about the kinds of strong national actions that might be relevant to AMR (for example controls on certain uses of antimicrobials or initiatives to change professional practices), can you think of examples from the past (prior to FF) and/or not motivated by surveillance data?  PROBE: (Refer to any examples suggested by MSA analysis or other information gathered)  If yes, please give details. PROBE: what is different now / what motivates action if not surveillance data?</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25C8877" w14:textId="1B100E11" w:rsidR="65D9A205" w:rsidRDefault="65D9A205" w:rsidP="65D9A205">
            <w:pPr>
              <w:rPr>
                <w:rFonts w:eastAsia="Calibri" w:cs="Calibri"/>
                <w:color w:val="000000"/>
                <w:sz w:val="20"/>
                <w:szCs w:val="20"/>
              </w:rPr>
            </w:pPr>
          </w:p>
        </w:tc>
      </w:tr>
      <w:tr w:rsidR="65D9A205" w14:paraId="65B50E58" w14:textId="77777777" w:rsidTr="65D9A205">
        <w:trPr>
          <w:trHeight w:val="234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6F83CD7" w14:textId="7D75BA38" w:rsidR="65D9A205" w:rsidRPr="008130C8" w:rsidRDefault="65D9A205" w:rsidP="65D9A205">
            <w:pPr>
              <w:rPr>
                <w:rFonts w:eastAsia="Calibri" w:cs="Calibri"/>
                <w:color w:val="000000"/>
                <w:sz w:val="20"/>
                <w:szCs w:val="20"/>
              </w:rPr>
            </w:pPr>
            <w:r w:rsidRPr="008130C8">
              <w:rPr>
                <w:rFonts w:eastAsia="Calibri" w:cs="Calibri"/>
                <w:color w:val="000000"/>
                <w:sz w:val="20"/>
                <w:szCs w:val="20"/>
              </w:rPr>
              <w:t>ACTIONS 4.1</w:t>
            </w:r>
          </w:p>
          <w:p w14:paraId="68CF36CE" w14:textId="39CEED92" w:rsidR="65D9A205" w:rsidRDefault="65D9A205" w:rsidP="65D9A205">
            <w:pPr>
              <w:rPr>
                <w:rFonts w:eastAsia="Calibri" w:cs="Calibri"/>
                <w:color w:val="000000"/>
                <w:sz w:val="20"/>
                <w:szCs w:val="20"/>
              </w:rPr>
            </w:pP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575B01FA" w14:textId="77EC5993" w:rsidR="65D9A205" w:rsidRPr="008130C8" w:rsidRDefault="65D9A205" w:rsidP="65D9A205">
            <w:pPr>
              <w:rPr>
                <w:rFonts w:eastAsia="Calibri" w:cs="Calibri"/>
                <w:color w:val="000000"/>
                <w:sz w:val="20"/>
                <w:szCs w:val="20"/>
              </w:rPr>
            </w:pPr>
            <w:r w:rsidRPr="008130C8">
              <w:rPr>
                <w:rFonts w:eastAsia="Calibri" w:cs="Calibri"/>
                <w:color w:val="000000"/>
                <w:sz w:val="20"/>
                <w:szCs w:val="20"/>
              </w:rPr>
              <w:t>If there are any examples from your work of surveillance data already being used by other people for taking decisions about actions related to AMR, for example:</w:t>
            </w:r>
          </w:p>
          <w:p w14:paraId="280C9537" w14:textId="41659395" w:rsidR="65D9A205" w:rsidRPr="008130C8" w:rsidRDefault="65D9A205" w:rsidP="00C6374D">
            <w:pPr>
              <w:pStyle w:val="ListParagraph"/>
              <w:numPr>
                <w:ilvl w:val="0"/>
                <w:numId w:val="2"/>
              </w:numPr>
              <w:rPr>
                <w:rFonts w:eastAsia="Calibri" w:cs="Calibri"/>
                <w:color w:val="000000"/>
                <w:sz w:val="20"/>
                <w:szCs w:val="20"/>
              </w:rPr>
            </w:pPr>
            <w:r w:rsidRPr="008130C8">
              <w:rPr>
                <w:rFonts w:eastAsia="Calibri" w:cs="Calibri"/>
                <w:color w:val="000000"/>
                <w:sz w:val="20"/>
                <w:szCs w:val="20"/>
              </w:rPr>
              <w:t>Local health professionals in treatment practices or guidelines</w:t>
            </w:r>
          </w:p>
          <w:p w14:paraId="621784CC" w14:textId="0D0988F4" w:rsidR="65D9A205" w:rsidRPr="008130C8" w:rsidRDefault="65D9A205" w:rsidP="00C6374D">
            <w:pPr>
              <w:pStyle w:val="ListParagraph"/>
              <w:numPr>
                <w:ilvl w:val="0"/>
                <w:numId w:val="2"/>
              </w:numPr>
              <w:rPr>
                <w:rFonts w:eastAsia="Calibri" w:cs="Calibri"/>
                <w:color w:val="000000"/>
                <w:sz w:val="20"/>
                <w:szCs w:val="20"/>
              </w:rPr>
            </w:pPr>
            <w:r w:rsidRPr="008130C8">
              <w:rPr>
                <w:rFonts w:eastAsia="Calibri" w:cs="Calibri"/>
                <w:color w:val="000000"/>
                <w:sz w:val="20"/>
                <w:szCs w:val="20"/>
              </w:rPr>
              <w:t>Patients or agricultural producers thinking about the way they use antimicrobials</w:t>
            </w:r>
          </w:p>
          <w:p w14:paraId="685D021E" w14:textId="06C95B69" w:rsidR="65D9A205" w:rsidRPr="008130C8" w:rsidRDefault="65D9A205" w:rsidP="65D9A205">
            <w:pPr>
              <w:rPr>
                <w:rFonts w:eastAsia="Calibri" w:cs="Calibri"/>
                <w:color w:val="000000"/>
                <w:sz w:val="20"/>
                <w:szCs w:val="20"/>
              </w:rPr>
            </w:pPr>
          </w:p>
          <w:p w14:paraId="50EDC89A" w14:textId="7B2DF067" w:rsidR="65D9A205" w:rsidRPr="008130C8" w:rsidRDefault="65D9A205" w:rsidP="65D9A205">
            <w:pPr>
              <w:rPr>
                <w:rFonts w:eastAsia="Calibri" w:cs="Calibri"/>
                <w:color w:val="000000"/>
                <w:sz w:val="20"/>
                <w:szCs w:val="20"/>
              </w:rPr>
            </w:pPr>
            <w:r w:rsidRPr="008130C8">
              <w:rPr>
                <w:rFonts w:eastAsia="Calibri" w:cs="Calibri"/>
                <w:color w:val="000000"/>
                <w:sz w:val="20"/>
                <w:szCs w:val="20"/>
              </w:rPr>
              <w:t>Please can we send you our Example of Use template for you to complete and return to us? This will help us communicate this success to Fleming Fund.</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877AABC" w14:textId="7E5BAB24" w:rsidR="65D9A205" w:rsidRDefault="65D9A205" w:rsidP="65D9A205">
            <w:pPr>
              <w:rPr>
                <w:rFonts w:eastAsia="Calibri" w:cs="Calibri"/>
                <w:color w:val="D13438"/>
                <w:sz w:val="20"/>
                <w:szCs w:val="20"/>
              </w:rPr>
            </w:pPr>
          </w:p>
        </w:tc>
      </w:tr>
      <w:tr w:rsidR="65D9A205" w14:paraId="52684BE5" w14:textId="77777777" w:rsidTr="00110FEA">
        <w:trPr>
          <w:trHeight w:val="255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901DB34" w14:textId="1E818C2E"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E74F712" w14:textId="3049A1E1" w:rsidR="65D9A205" w:rsidRDefault="65D9A205" w:rsidP="65D9A205">
            <w:pPr>
              <w:rPr>
                <w:rFonts w:eastAsia="Calibri" w:cs="Calibri"/>
                <w:color w:val="000000"/>
                <w:sz w:val="20"/>
                <w:szCs w:val="20"/>
              </w:rPr>
            </w:pPr>
            <w:r w:rsidRPr="65D9A205">
              <w:rPr>
                <w:rFonts w:eastAsia="Calibri" w:cs="Calibri"/>
                <w:color w:val="000000"/>
                <w:sz w:val="20"/>
                <w:szCs w:val="20"/>
              </w:rPr>
              <w:t>What factors do you think are most important for national policymakers when considering whether AMR is a very severe and urgent problem? PROBE: (Refer to MSA on Indicators/Problem stream, test analysis)</w:t>
            </w:r>
            <w:r>
              <w:br/>
            </w:r>
            <w:r w:rsidRPr="65D9A205">
              <w:rPr>
                <w:rFonts w:eastAsia="Calibri" w:cs="Calibri"/>
                <w:color w:val="000000"/>
                <w:sz w:val="20"/>
                <w:szCs w:val="20"/>
              </w:rPr>
              <w:t xml:space="preserve">§ (if need more information on MSA Load) How does AMR compare to other health policy problems? </w:t>
            </w:r>
            <w:r>
              <w:br/>
            </w:r>
            <w:r w:rsidRPr="65D9A205">
              <w:rPr>
                <w:rFonts w:eastAsia="Calibri" w:cs="Calibri"/>
                <w:color w:val="000000"/>
                <w:sz w:val="20"/>
                <w:szCs w:val="20"/>
              </w:rPr>
              <w:t xml:space="preserve">§ (if need more information on MSA Feedback / TrACSS suggest links to other plans) Have public policy activities to address other problems started to suggest that AMR is important? </w:t>
            </w:r>
            <w:r>
              <w:br/>
            </w:r>
            <w:r w:rsidRPr="65D9A205">
              <w:rPr>
                <w:rFonts w:eastAsia="Calibri" w:cs="Calibri"/>
                <w:color w:val="000000"/>
                <w:sz w:val="20"/>
                <w:szCs w:val="20"/>
              </w:rPr>
              <w:t xml:space="preserve">§ (need more information on MSA Focusing) What has or might focus policymakers’ attention on AMR?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53BADF6" w14:textId="3DA75379" w:rsidR="65D9A205" w:rsidRDefault="65D9A205" w:rsidP="65D9A205">
            <w:pPr>
              <w:rPr>
                <w:rFonts w:eastAsia="Calibri" w:cs="Calibri"/>
                <w:color w:val="000000"/>
                <w:sz w:val="20"/>
                <w:szCs w:val="20"/>
              </w:rPr>
            </w:pPr>
          </w:p>
        </w:tc>
      </w:tr>
      <w:tr w:rsidR="65D9A205" w14:paraId="2D68C636" w14:textId="77777777" w:rsidTr="00110FEA">
        <w:trPr>
          <w:trHeight w:val="102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8E6D2AC" w14:textId="41B1528C"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18A8D822" w14:textId="7E5A5E1D" w:rsidR="65D9A205" w:rsidRDefault="65D9A205" w:rsidP="65D9A205">
            <w:pPr>
              <w:rPr>
                <w:rFonts w:eastAsia="Calibri" w:cs="Calibri"/>
                <w:color w:val="000000"/>
                <w:sz w:val="20"/>
                <w:szCs w:val="20"/>
              </w:rPr>
            </w:pPr>
            <w:r w:rsidRPr="65D9A205">
              <w:rPr>
                <w:rFonts w:eastAsia="Calibri" w:cs="Calibri"/>
                <w:color w:val="000000"/>
                <w:sz w:val="20"/>
                <w:szCs w:val="20"/>
              </w:rPr>
              <w:t>Has Covid-19 been a distraction, slowing down progress with the national AMR agenda?  PROBE: Has AMRCC met regularly since 2020, including at political as well as technical levels? Has it started to take significant decisions?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26063D19" w14:textId="106F177C" w:rsidR="65D9A205" w:rsidRDefault="65D9A205" w:rsidP="65D9A205">
            <w:pPr>
              <w:rPr>
                <w:rFonts w:eastAsia="Calibri" w:cs="Calibri"/>
                <w:color w:val="000000"/>
                <w:sz w:val="20"/>
                <w:szCs w:val="20"/>
              </w:rPr>
            </w:pPr>
          </w:p>
        </w:tc>
      </w:tr>
      <w:tr w:rsidR="65D9A205" w14:paraId="2A41E6AB" w14:textId="77777777" w:rsidTr="00110FEA">
        <w:trPr>
          <w:trHeight w:val="1474"/>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F917B34" w14:textId="46F636EC"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5BD7181" w14:textId="2B14085C" w:rsidR="65D9A205" w:rsidRDefault="65D9A205" w:rsidP="65D9A205">
            <w:pPr>
              <w:rPr>
                <w:rFonts w:eastAsia="Calibri" w:cs="Calibri"/>
                <w:color w:val="000000"/>
                <w:sz w:val="20"/>
                <w:szCs w:val="20"/>
              </w:rPr>
            </w:pPr>
            <w:r w:rsidRPr="65D9A205">
              <w:rPr>
                <w:rFonts w:eastAsia="Calibri" w:cs="Calibri"/>
                <w:color w:val="000000"/>
                <w:sz w:val="20"/>
                <w:szCs w:val="20"/>
              </w:rPr>
              <w:t>Have NAP plans continued to develop strongly since 2020? (OR, if NAP expires in 2020-22, is there a process underway for its renewal; do you expect any delay in extending the NAP?)  PROBE: What factors explain the current situation in relation to the NAP?  (if need more information to complete NAP tool, apart from on budgeting) How exactly is the NAP moving from a plan to real action and change?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6BF3B9F2" w14:textId="1D902BD2" w:rsidR="65D9A205" w:rsidRDefault="65D9A205" w:rsidP="65D9A205">
            <w:pPr>
              <w:rPr>
                <w:rFonts w:eastAsia="Calibri" w:cs="Calibri"/>
                <w:color w:val="000000"/>
                <w:sz w:val="20"/>
                <w:szCs w:val="20"/>
              </w:rPr>
            </w:pPr>
          </w:p>
        </w:tc>
      </w:tr>
      <w:tr w:rsidR="65D9A205" w14:paraId="11F8132E" w14:textId="77777777" w:rsidTr="00110FEA">
        <w:trPr>
          <w:trHeight w:val="1304"/>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BFECDE1" w14:textId="372A5A12"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3A1416C5" w14:textId="6929D6F5" w:rsidR="65D9A205" w:rsidRDefault="65D9A205" w:rsidP="65D9A205">
            <w:pPr>
              <w:rPr>
                <w:rFonts w:eastAsia="Calibri" w:cs="Calibri"/>
                <w:color w:val="000000"/>
                <w:sz w:val="20"/>
                <w:szCs w:val="20"/>
              </w:rPr>
            </w:pPr>
            <w:r w:rsidRPr="65D9A205">
              <w:rPr>
                <w:rFonts w:eastAsia="Calibri" w:cs="Calibri"/>
                <w:color w:val="000000"/>
                <w:sz w:val="20"/>
                <w:szCs w:val="20"/>
              </w:rPr>
              <w:t>Do you think that it is likely that there will be significant on-budget domestic funding for AMR initiatives in the foreseeable future?  If yes, please give reasons (have the reasons for prior budget decisions  changed?) If no, will funding from international supporters be sufficient?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7DB9A11" w14:textId="7C087C01" w:rsidR="65D9A205" w:rsidRDefault="65D9A205" w:rsidP="65D9A205">
            <w:pPr>
              <w:rPr>
                <w:rFonts w:eastAsia="Calibri" w:cs="Calibri"/>
                <w:color w:val="000000"/>
                <w:sz w:val="20"/>
                <w:szCs w:val="20"/>
              </w:rPr>
            </w:pPr>
          </w:p>
        </w:tc>
      </w:tr>
      <w:tr w:rsidR="65D9A205" w14:paraId="3DDFB90D" w14:textId="77777777" w:rsidTr="00110FEA">
        <w:trPr>
          <w:trHeight w:val="2268"/>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A1CB39A" w14:textId="1986DE0C" w:rsidR="65D9A205" w:rsidRDefault="65D9A205" w:rsidP="65D9A205">
            <w:pPr>
              <w:rPr>
                <w:rFonts w:eastAsia="Calibri" w:cs="Calibri"/>
                <w:color w:val="000000"/>
                <w:sz w:val="20"/>
                <w:szCs w:val="20"/>
              </w:rPr>
            </w:pPr>
            <w:r w:rsidRPr="65D9A205">
              <w:rPr>
                <w:rFonts w:eastAsia="Calibri" w:cs="Calibri"/>
                <w:color w:val="000000"/>
                <w:sz w:val="20"/>
                <w:szCs w:val="20"/>
              </w:rPr>
              <w:t>POLICY 4.2</w:t>
            </w:r>
            <w:r w:rsidRPr="008130C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8BBE913" w14:textId="1D1B9B9E" w:rsidR="65D9A205" w:rsidRDefault="65D9A205" w:rsidP="65D9A205">
            <w:pPr>
              <w:rPr>
                <w:rFonts w:eastAsia="Calibri" w:cs="Calibri"/>
                <w:color w:val="000000"/>
                <w:sz w:val="20"/>
                <w:szCs w:val="20"/>
              </w:rPr>
            </w:pPr>
            <w:r w:rsidRPr="65D9A205">
              <w:rPr>
                <w:rFonts w:eastAsia="Calibri" w:cs="Calibri"/>
                <w:color w:val="000000"/>
                <w:sz w:val="20"/>
                <w:szCs w:val="20"/>
              </w:rPr>
              <w:t>Does AMRCC (or other national body in charge of the country AMR strategy) r</w:t>
            </w:r>
            <w:r w:rsidRPr="65D9A205">
              <w:rPr>
                <w:rFonts w:eastAsia="Calibri" w:cs="Calibri"/>
                <w:b/>
                <w:bCs/>
                <w:color w:val="000000"/>
                <w:sz w:val="20"/>
                <w:szCs w:val="20"/>
              </w:rPr>
              <w:t>eceive AMR data reports generated by surveillance sites at least once a year</w:t>
            </w:r>
            <w:r w:rsidRPr="65D9A205">
              <w:rPr>
                <w:rFonts w:eastAsia="Calibri" w:cs="Calibri"/>
                <w:color w:val="000000"/>
                <w:sz w:val="20"/>
                <w:szCs w:val="20"/>
              </w:rPr>
              <w:t>? Is that an improvement compared to 2018 (i.e. Prior to Fleming Fund activities starting)? PROBE if yes: which organisation(s) assembles and submits these reports? What form do they take, what are they called (descriptive summary or analytical)? Is there good sector representation and national coverage? If yes, do you think that the reports are sufficient to amend national AMR strategy and enable effective AMR decision-making? If no, why not?</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6DD12B60" w14:textId="173273C6" w:rsidR="65D9A205" w:rsidRDefault="65D9A205" w:rsidP="65D9A205">
            <w:pPr>
              <w:rPr>
                <w:rFonts w:eastAsia="Calibri" w:cs="Calibri"/>
                <w:color w:val="000000"/>
                <w:sz w:val="20"/>
                <w:szCs w:val="20"/>
              </w:rPr>
            </w:pPr>
          </w:p>
        </w:tc>
      </w:tr>
      <w:tr w:rsidR="65D9A205" w14:paraId="25788513" w14:textId="77777777" w:rsidTr="65D9A205">
        <w:trPr>
          <w:trHeight w:val="130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66B41A7" w14:textId="7E9806A8" w:rsidR="65D9A205" w:rsidRDefault="65D9A205" w:rsidP="65D9A205">
            <w:pPr>
              <w:rPr>
                <w:rFonts w:eastAsia="Calibri" w:cs="Calibri"/>
                <w:color w:val="000000"/>
                <w:sz w:val="20"/>
                <w:szCs w:val="20"/>
              </w:rPr>
            </w:pPr>
            <w:r w:rsidRPr="65D9A205">
              <w:rPr>
                <w:rFonts w:eastAsia="Calibri" w:cs="Calibri"/>
                <w:color w:val="000000"/>
                <w:sz w:val="20"/>
                <w:szCs w:val="20"/>
              </w:rPr>
              <w:t>EQ4</w:t>
            </w:r>
            <w:r w:rsidRPr="008130C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65897AF5" w14:textId="5FE6D50C"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were the </w:t>
            </w:r>
            <w:r w:rsidRPr="65D9A205">
              <w:rPr>
                <w:rFonts w:eastAsia="Calibri" w:cs="Calibri"/>
                <w:b/>
                <w:bCs/>
                <w:color w:val="000000"/>
                <w:sz w:val="20"/>
                <w:szCs w:val="20"/>
              </w:rPr>
              <w:t>key change drivers/factors</w:t>
            </w:r>
            <w:r w:rsidRPr="65D9A205">
              <w:rPr>
                <w:rFonts w:eastAsia="Calibri" w:cs="Calibri"/>
                <w:color w:val="000000"/>
                <w:sz w:val="20"/>
                <w:szCs w:val="20"/>
              </w:rPr>
              <w:t xml:space="preserve">, </w:t>
            </w:r>
            <w:r w:rsidRPr="65D9A205">
              <w:rPr>
                <w:rFonts w:eastAsia="Calibri" w:cs="Calibri"/>
                <w:b/>
                <w:bCs/>
                <w:color w:val="000000"/>
                <w:sz w:val="20"/>
                <w:szCs w:val="20"/>
              </w:rPr>
              <w:t>in order of importance</w:t>
            </w:r>
            <w:r w:rsidRPr="65D9A205">
              <w:rPr>
                <w:rFonts w:eastAsia="Calibri" w:cs="Calibri"/>
                <w:color w:val="000000"/>
                <w:sz w:val="20"/>
                <w:szCs w:val="20"/>
              </w:rPr>
              <w:t xml:space="preserve">, behind such change ? </w:t>
            </w:r>
            <w:r w:rsidRPr="008130C8">
              <w:rPr>
                <w:rFonts w:eastAsia="Calibri" w:cs="Calibri"/>
                <w:color w:val="000000"/>
                <w:sz w:val="20"/>
                <w:szCs w:val="20"/>
              </w:rPr>
              <w:t>Probes: more and better data available from the surveillance system (in which case refer to QUANT &amp; QUAL contribution stories), data sharing processes and systems, resourcing, incentives, formal barriers, cooperation, governance, leadership demand, analytical entrepreneurs / champions, other.</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07F67858" w14:textId="430E5BF0" w:rsidR="65D9A205" w:rsidRDefault="65D9A205" w:rsidP="65D9A205">
            <w:pPr>
              <w:rPr>
                <w:rFonts w:eastAsia="Calibri" w:cs="Calibri"/>
                <w:color w:val="000000"/>
                <w:sz w:val="20"/>
                <w:szCs w:val="20"/>
              </w:rPr>
            </w:pPr>
          </w:p>
        </w:tc>
      </w:tr>
      <w:tr w:rsidR="65D9A205" w14:paraId="434359B8" w14:textId="77777777" w:rsidTr="00110FEA">
        <w:trPr>
          <w:trHeight w:val="1474"/>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E23C54D" w14:textId="748DBFFB" w:rsidR="65D9A205" w:rsidRDefault="65D9A205" w:rsidP="65D9A205">
            <w:pPr>
              <w:rPr>
                <w:rFonts w:eastAsia="Calibri" w:cs="Calibri"/>
                <w:color w:val="000000"/>
                <w:sz w:val="20"/>
                <w:szCs w:val="20"/>
              </w:rPr>
            </w:pPr>
            <w:r w:rsidRPr="65D9A205">
              <w:rPr>
                <w:rFonts w:eastAsia="Calibri" w:cs="Calibri"/>
                <w:color w:val="000000"/>
                <w:sz w:val="20"/>
                <w:szCs w:val="20"/>
              </w:rPr>
              <w:t>EQ4</w:t>
            </w:r>
            <w:r w:rsidRPr="008130C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19A523E0" w14:textId="4DD3878A"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 to those drivers</w:t>
            </w:r>
            <w:r w:rsidRPr="65D9A205">
              <w:rPr>
                <w:rFonts w:eastAsia="Calibri" w:cs="Calibri"/>
                <w:color w:val="000000"/>
                <w:sz w:val="20"/>
                <w:szCs w:val="20"/>
              </w:rPr>
              <w:t>?</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4CE31E1E" w14:textId="06468958" w:rsidR="65D9A205" w:rsidRDefault="65D9A205" w:rsidP="65D9A205">
            <w:pPr>
              <w:rPr>
                <w:rFonts w:eastAsia="Calibri" w:cs="Calibri"/>
                <w:color w:val="000000"/>
                <w:sz w:val="20"/>
                <w:szCs w:val="20"/>
              </w:rPr>
            </w:pPr>
          </w:p>
        </w:tc>
      </w:tr>
      <w:tr w:rsidR="65D9A205" w14:paraId="4D597E57" w14:textId="77777777" w:rsidTr="00110FEA">
        <w:trPr>
          <w:trHeight w:val="737"/>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A7E4A4C" w14:textId="263326E7" w:rsidR="65D9A205" w:rsidRDefault="65D9A205" w:rsidP="65D9A205">
            <w:pPr>
              <w:rPr>
                <w:rFonts w:eastAsia="Calibri" w:cs="Calibri"/>
                <w:color w:val="000000"/>
                <w:sz w:val="20"/>
                <w:szCs w:val="20"/>
              </w:rPr>
            </w:pPr>
            <w:r w:rsidRPr="65D9A205">
              <w:rPr>
                <w:rFonts w:eastAsia="Calibri" w:cs="Calibri"/>
                <w:color w:val="000000"/>
                <w:sz w:val="20"/>
                <w:szCs w:val="20"/>
              </w:rPr>
              <w:t>EQ4</w:t>
            </w:r>
            <w:r w:rsidRPr="008130C8">
              <w:rPr>
                <w:rFonts w:eastAsia="Calibri" w:cs="Calibri"/>
                <w:color w:val="000000"/>
                <w:sz w:val="20"/>
                <w:szCs w:val="20"/>
              </w:rPr>
              <w:t xml:space="preserve">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5C906EFC" w14:textId="7C16B57A" w:rsidR="65D9A205" w:rsidRDefault="65D9A205" w:rsidP="00110FEA">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 xml:space="preserve">no or negative change </w:t>
            </w:r>
            <w:r w:rsidRPr="65D9A205">
              <w:rPr>
                <w:rFonts w:eastAsia="Calibri" w:cs="Calibri"/>
                <w:color w:val="000000"/>
                <w:sz w:val="20"/>
                <w:szCs w:val="20"/>
              </w:rPr>
              <w:t xml:space="preserve">in this area, </w:t>
            </w:r>
            <w:r w:rsidRPr="65D9A205">
              <w:rPr>
                <w:rFonts w:eastAsia="Calibri" w:cs="Calibri"/>
                <w:b/>
                <w:bCs/>
                <w:color w:val="000000"/>
                <w:sz w:val="20"/>
                <w:szCs w:val="20"/>
              </w:rPr>
              <w:t>why</w:t>
            </w:r>
            <w:r w:rsidRPr="65D9A205">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6F36619C" w14:textId="7139196E" w:rsidR="65D9A205" w:rsidRDefault="65D9A205" w:rsidP="65D9A205">
            <w:pPr>
              <w:rPr>
                <w:rFonts w:eastAsia="Calibri" w:cs="Calibri"/>
                <w:color w:val="000000"/>
                <w:sz w:val="20"/>
                <w:szCs w:val="20"/>
              </w:rPr>
            </w:pPr>
          </w:p>
        </w:tc>
      </w:tr>
      <w:tr w:rsidR="65D9A205" w14:paraId="7B5DC8EA" w14:textId="77777777" w:rsidTr="00110FEA">
        <w:trPr>
          <w:trHeight w:val="1587"/>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59E2D3D" w14:textId="37614086"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3C39F449" w14:textId="5AB49A57" w:rsidR="65D9A205" w:rsidRPr="008130C8" w:rsidRDefault="65D9A205" w:rsidP="65D9A205">
            <w:pPr>
              <w:spacing w:line="259" w:lineRule="auto"/>
              <w:rPr>
                <w:rFonts w:eastAsia="Calibri" w:cs="Calibri"/>
                <w:color w:val="000000"/>
                <w:sz w:val="20"/>
                <w:szCs w:val="20"/>
              </w:rPr>
            </w:pPr>
            <w:r w:rsidRPr="008130C8">
              <w:rPr>
                <w:rFonts w:eastAsia="Calibri" w:cs="Calibri"/>
                <w:color w:val="000000"/>
                <w:sz w:val="20"/>
                <w:szCs w:val="20"/>
              </w:rPr>
              <w:t>Can you think of any other examples of relevant surveillance data being used to amend national strategy and/or inform decision-making’, apart from through data reports shared with AMRCC?</w:t>
            </w:r>
          </w:p>
          <w:p w14:paraId="15B107C7" w14:textId="2A34D9DB" w:rsidR="65D9A205" w:rsidRPr="008130C8" w:rsidRDefault="65D9A205" w:rsidP="65D9A205">
            <w:pPr>
              <w:spacing w:line="259" w:lineRule="auto"/>
              <w:rPr>
                <w:rFonts w:eastAsia="Calibri" w:cs="Calibri"/>
                <w:color w:val="000000"/>
                <w:sz w:val="20"/>
                <w:szCs w:val="20"/>
              </w:rPr>
            </w:pPr>
            <w:r w:rsidRPr="008130C8">
              <w:rPr>
                <w:rFonts w:eastAsia="Calibri" w:cs="Calibri"/>
                <w:color w:val="000000"/>
                <w:sz w:val="20"/>
                <w:szCs w:val="20"/>
              </w:rPr>
              <w:t xml:space="preserve"> </w:t>
            </w:r>
          </w:p>
          <w:p w14:paraId="42467925" w14:textId="09D72A9B" w:rsidR="65D9A205" w:rsidRDefault="65D9A205" w:rsidP="00110FEA">
            <w:pPr>
              <w:spacing w:line="259" w:lineRule="auto"/>
              <w:rPr>
                <w:rFonts w:eastAsia="Calibri" w:cs="Calibri"/>
                <w:color w:val="000000"/>
                <w:sz w:val="20"/>
                <w:szCs w:val="20"/>
              </w:rPr>
            </w:pPr>
            <w:r w:rsidRPr="008130C8">
              <w:rPr>
                <w:rFonts w:eastAsia="Calibri" w:cs="Calibri"/>
                <w:color w:val="000000"/>
                <w:sz w:val="20"/>
                <w:szCs w:val="20"/>
              </w:rPr>
              <w:t>If yes: Details? What data, in what form? Who are the decision-makers? One-off or routine? Current status?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2B8AF59B" w14:textId="6B19045D" w:rsidR="65D9A205" w:rsidRDefault="65D9A205" w:rsidP="65D9A205">
            <w:pPr>
              <w:rPr>
                <w:rFonts w:eastAsia="Calibri" w:cs="Calibri"/>
                <w:color w:val="000000"/>
                <w:sz w:val="20"/>
                <w:szCs w:val="20"/>
              </w:rPr>
            </w:pPr>
          </w:p>
        </w:tc>
      </w:tr>
      <w:tr w:rsidR="65D9A205" w14:paraId="040B8565"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5E2DA776" w14:textId="7A6252E9"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2B172BC0" w14:textId="26B447F0" w:rsidR="65D9A205" w:rsidRDefault="65D9A205" w:rsidP="65D9A205">
            <w:pPr>
              <w:rPr>
                <w:rFonts w:eastAsia="Calibri" w:cs="Calibri"/>
                <w:color w:val="000000"/>
                <w:sz w:val="20"/>
                <w:szCs w:val="20"/>
              </w:rPr>
            </w:pPr>
            <w:r w:rsidRPr="65D9A205">
              <w:rPr>
                <w:rFonts w:eastAsia="Calibri" w:cs="Calibri"/>
                <w:color w:val="000000"/>
                <w:sz w:val="20"/>
                <w:szCs w:val="20"/>
              </w:rPr>
              <w:t>We understand the AMRCC is expected to facilitate sharing and joint analysis of AMR data across different sectors. What is the nature of cross-sector collaborations being convened by the AMRCC? Which are the key institutions involved from different ministries? What is the nature of their involvement? In addition to facilitating AMR data use, what have been some of the other achievements of the AMRCC in your country?</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6ECD1D5" w14:textId="073D0EE5" w:rsidR="65D9A205" w:rsidRDefault="65D9A205" w:rsidP="65D9A205">
            <w:pPr>
              <w:rPr>
                <w:rFonts w:eastAsia="Calibri" w:cs="Calibri"/>
                <w:color w:val="000000"/>
                <w:sz w:val="20"/>
                <w:szCs w:val="20"/>
              </w:rPr>
            </w:pPr>
          </w:p>
        </w:tc>
      </w:tr>
      <w:tr w:rsidR="65D9A205" w14:paraId="46846B74" w14:textId="77777777" w:rsidTr="00110FEA">
        <w:trPr>
          <w:trHeight w:val="2268"/>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1275C602" w14:textId="6ED8D635"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1943C6BD" w14:textId="3504B6B3" w:rsidR="65D9A205" w:rsidRDefault="65D9A205" w:rsidP="65D9A205">
            <w:pPr>
              <w:rPr>
                <w:rFonts w:eastAsia="Calibri" w:cs="Calibri"/>
                <w:color w:val="000000"/>
                <w:sz w:val="20"/>
                <w:szCs w:val="20"/>
              </w:rPr>
            </w:pPr>
            <w:r w:rsidRPr="65D9A205">
              <w:rPr>
                <w:rFonts w:eastAsia="Calibri" w:cs="Calibri"/>
                <w:color w:val="000000"/>
                <w:sz w:val="20"/>
                <w:szCs w:val="20"/>
              </w:rPr>
              <w:t>What are some of the other multisector coordination mechanisms in place to make decisions around AMR at the national and subnational levels? Are there any bodies or platforms or events where people from different sector meet outside the government? (e.g. seminars, AMR awareness week, etc.)  Can you recall some examples of collaborations between different sectors in the past, even if these do not specifically revolve around AMR?  Probe joint research activities; Training programmes, fellowships, including Fleming Fellows; Joint outbreak response activities, such as Avian Influenza, Ebola, etc.</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F534A41" w14:textId="7577F452" w:rsidR="65D9A205" w:rsidRDefault="65D9A205" w:rsidP="65D9A205">
            <w:pPr>
              <w:rPr>
                <w:rFonts w:eastAsia="Calibri" w:cs="Calibri"/>
                <w:color w:val="000000"/>
                <w:sz w:val="20"/>
                <w:szCs w:val="20"/>
              </w:rPr>
            </w:pPr>
          </w:p>
        </w:tc>
      </w:tr>
      <w:tr w:rsidR="65D9A205" w14:paraId="233D63C4" w14:textId="77777777" w:rsidTr="00110FEA">
        <w:trPr>
          <w:trHeight w:val="255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FB2367F" w14:textId="6BA6E743" w:rsidR="65D9A205" w:rsidRDefault="65D9A205" w:rsidP="65D9A205">
            <w:pPr>
              <w:rPr>
                <w:rFonts w:eastAsia="Calibri" w:cs="Calibri"/>
                <w:color w:val="000000"/>
                <w:sz w:val="20"/>
                <w:szCs w:val="20"/>
              </w:rPr>
            </w:pPr>
            <w:r w:rsidRPr="65D9A205">
              <w:rPr>
                <w:rFonts w:eastAsia="Calibri" w:cs="Calibri"/>
                <w:color w:val="000000"/>
                <w:sz w:val="20"/>
                <w:szCs w:val="20"/>
              </w:rPr>
              <w:t>4.3 [OH]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A0735C0" w14:textId="7914230C"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Where are these (formal and informal) coordination mechanisms located? Are these hosted by a ministry, government agency, academic body, think tank? (Probe for each of the collaborating mechanisms identified above, if possible): </w:t>
            </w:r>
            <w:r>
              <w:br/>
            </w:r>
            <w:r w:rsidRPr="65D9A205">
              <w:rPr>
                <w:rFonts w:eastAsia="Calibri" w:cs="Calibri"/>
                <w:color w:val="000000"/>
                <w:sz w:val="20"/>
                <w:szCs w:val="20"/>
              </w:rPr>
              <w:t>o Who chairs / leads the discussion?</w:t>
            </w:r>
            <w:r>
              <w:br/>
            </w:r>
            <w:r w:rsidRPr="65D9A205">
              <w:rPr>
                <w:rFonts w:eastAsia="Calibri" w:cs="Calibri"/>
                <w:color w:val="000000"/>
                <w:sz w:val="20"/>
                <w:szCs w:val="20"/>
              </w:rPr>
              <w:t xml:space="preserve">o Who sets the agenda? </w:t>
            </w:r>
            <w:r>
              <w:br/>
            </w:r>
            <w:r w:rsidRPr="65D9A205">
              <w:rPr>
                <w:rFonts w:eastAsia="Calibri" w:cs="Calibri"/>
                <w:color w:val="000000"/>
                <w:sz w:val="20"/>
                <w:szCs w:val="20"/>
              </w:rPr>
              <w:t>o What are its major functions/mandates?</w:t>
            </w:r>
            <w:r>
              <w:br/>
            </w:r>
            <w:r w:rsidRPr="65D9A205">
              <w:rPr>
                <w:rFonts w:eastAsia="Calibri" w:cs="Calibri"/>
                <w:color w:val="000000"/>
                <w:sz w:val="20"/>
                <w:szCs w:val="20"/>
              </w:rPr>
              <w:t>o How is it funded?</w:t>
            </w:r>
            <w:r>
              <w:br/>
            </w:r>
            <w:r w:rsidRPr="65D9A205">
              <w:rPr>
                <w:rFonts w:eastAsia="Calibri" w:cs="Calibri"/>
                <w:color w:val="000000"/>
                <w:sz w:val="20"/>
                <w:szCs w:val="20"/>
              </w:rPr>
              <w:t>o Can you describe any achievements / outcomes from these interactions?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5BB6605D" w14:textId="14DB8ECF" w:rsidR="65D9A205" w:rsidRDefault="65D9A205" w:rsidP="65D9A205">
            <w:pPr>
              <w:rPr>
                <w:rFonts w:eastAsia="Calibri" w:cs="Calibri"/>
                <w:color w:val="000000"/>
                <w:sz w:val="20"/>
                <w:szCs w:val="20"/>
              </w:rPr>
            </w:pPr>
          </w:p>
        </w:tc>
      </w:tr>
      <w:tr w:rsidR="65D9A205" w14:paraId="136D3AEE" w14:textId="77777777" w:rsidTr="00110FEA">
        <w:trPr>
          <w:trHeight w:val="221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0AF1B0AF" w14:textId="4712DE66"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A28E2D9" w14:textId="18DD3A34" w:rsidR="65D9A205" w:rsidRDefault="65D9A205" w:rsidP="65D9A205">
            <w:pPr>
              <w:rPr>
                <w:rFonts w:eastAsia="Calibri" w:cs="Calibri"/>
                <w:color w:val="000000"/>
                <w:sz w:val="20"/>
                <w:szCs w:val="20"/>
              </w:rPr>
            </w:pPr>
            <w:r w:rsidRPr="65D9A205">
              <w:rPr>
                <w:rFonts w:eastAsia="Calibri" w:cs="Calibri"/>
                <w:color w:val="000000"/>
                <w:sz w:val="20"/>
                <w:szCs w:val="20"/>
              </w:rPr>
              <w:t>Would you say that the national AMR effort includes a clear and effective strategy for informing specific national actions using surveillance data?o eg as opposed to international reporting or local clinical practice</w:t>
            </w:r>
            <w:r>
              <w:br/>
            </w:r>
            <w:r w:rsidRPr="65D9A205">
              <w:rPr>
                <w:rFonts w:eastAsia="Calibri" w:cs="Calibri"/>
                <w:color w:val="000000"/>
                <w:sz w:val="20"/>
                <w:szCs w:val="20"/>
              </w:rPr>
              <w:t>o If yes, how? What policy initiatives? What regulatory initiatives? What approach has been chosen to address practices and attitudes? (What approaches have been discarded?)</w:t>
            </w:r>
            <w:r>
              <w:br/>
            </w:r>
            <w:r w:rsidRPr="65D9A205">
              <w:rPr>
                <w:rFonts w:eastAsia="Calibri" w:cs="Calibri"/>
                <w:color w:val="000000"/>
                <w:sz w:val="20"/>
                <w:szCs w:val="20"/>
              </w:rPr>
              <w:t>o PROBE: are sectoral distinctions important, for example policy for gradual development of guidelines in human health but focused push to regulate certain antimicrobial uses in animal health?</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8041350" w14:textId="391A4C40" w:rsidR="65D9A205" w:rsidRDefault="65D9A205" w:rsidP="65D9A205">
            <w:pPr>
              <w:rPr>
                <w:rFonts w:eastAsia="Calibri" w:cs="Calibri"/>
                <w:color w:val="000000"/>
                <w:sz w:val="20"/>
                <w:szCs w:val="20"/>
              </w:rPr>
            </w:pPr>
          </w:p>
        </w:tc>
      </w:tr>
      <w:tr w:rsidR="65D9A205" w14:paraId="5C922AD9" w14:textId="77777777" w:rsidTr="00110FEA">
        <w:trPr>
          <w:trHeight w:val="2494"/>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2B80C97C" w14:textId="1CE1558C"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19DB3B2E" w14:textId="615A7114"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do you think should be the future priorities for the Fleming Fund when supporting national AMR actions using surveillance data? PROBES: </w:t>
            </w:r>
            <w:r>
              <w:br/>
            </w:r>
            <w:r w:rsidRPr="65D9A205">
              <w:rPr>
                <w:rFonts w:eastAsia="Calibri" w:cs="Calibri"/>
                <w:color w:val="000000"/>
                <w:sz w:val="20"/>
                <w:szCs w:val="20"/>
              </w:rPr>
              <w:t>o Do you think that it will be more effective to foster local change (‘bottom up’) or to concentrate on motivating national initiatives (‘top down’)</w:t>
            </w:r>
            <w:r>
              <w:br/>
            </w:r>
            <w:r w:rsidRPr="65D9A205">
              <w:rPr>
                <w:rFonts w:eastAsia="Calibri" w:cs="Calibri"/>
                <w:color w:val="000000"/>
                <w:sz w:val="20"/>
                <w:szCs w:val="20"/>
              </w:rPr>
              <w:t>o Will the data show a need for action (‘push’) or will intended actions show what data is needed (‘pull’)?</w:t>
            </w:r>
            <w:r>
              <w:br/>
            </w:r>
            <w:r w:rsidRPr="65D9A205">
              <w:rPr>
                <w:rFonts w:eastAsia="Calibri" w:cs="Calibri"/>
                <w:color w:val="000000"/>
                <w:sz w:val="20"/>
                <w:szCs w:val="20"/>
              </w:rPr>
              <w:t>o What is more important, Infection Prevention &amp; Control (IPC) or Antimicrobial Use controls (AMU)?</w:t>
            </w:r>
            <w:r>
              <w:br/>
            </w:r>
            <w:r w:rsidRPr="65D9A205">
              <w:rPr>
                <w:rFonts w:eastAsia="Calibri" w:cs="Calibri"/>
                <w:color w:val="000000"/>
                <w:sz w:val="20"/>
                <w:szCs w:val="20"/>
              </w:rPr>
              <w:t>o Why? What approaches would be required to address these priorities?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E5EA968" w14:textId="58315CE7" w:rsidR="65D9A205" w:rsidRDefault="65D9A205" w:rsidP="65D9A205">
            <w:pPr>
              <w:rPr>
                <w:rFonts w:eastAsia="Calibri" w:cs="Calibri"/>
                <w:color w:val="000000"/>
                <w:sz w:val="20"/>
                <w:szCs w:val="20"/>
              </w:rPr>
            </w:pPr>
          </w:p>
        </w:tc>
      </w:tr>
    </w:tbl>
    <w:p w14:paraId="103454C3" w14:textId="3B35EE29" w:rsidR="65D9A205" w:rsidRDefault="65D9A205" w:rsidP="65D9A205">
      <w:pPr>
        <w:spacing w:after="160" w:line="259" w:lineRule="auto"/>
        <w:rPr>
          <w:rFonts w:eastAsia="Calibri" w:cs="Calibri"/>
          <w:color w:val="000000"/>
        </w:rPr>
      </w:pPr>
    </w:p>
    <w:p w14:paraId="6067B4F8" w14:textId="7A5E165F" w:rsidR="65D9A205" w:rsidRDefault="65D9A205" w:rsidP="65D9A205"/>
    <w:p w14:paraId="3E413D1A" w14:textId="757693AD" w:rsidR="4CE1AD5B" w:rsidRDefault="4CE1AD5B" w:rsidP="365D9676">
      <w:pPr>
        <w:pStyle w:val="ItadH3"/>
        <w:keepNext/>
        <w:spacing w:line="259" w:lineRule="auto"/>
      </w:pPr>
      <w:bookmarkStart w:id="478" w:name="_Toc142383262"/>
      <w:r w:rsidRPr="65D9A205">
        <w:rPr>
          <w:lang w:val="en-GB"/>
        </w:rPr>
        <w:t>KII Guide for WHO</w:t>
      </w:r>
      <w:bookmarkEnd w:id="478"/>
    </w:p>
    <w:p w14:paraId="03F8E9BD" w14:textId="13C4C8AA" w:rsidR="6B8DB690" w:rsidRDefault="6B8DB690" w:rsidP="65D9A205">
      <w:pPr>
        <w:widowControl w:val="0"/>
        <w:spacing w:after="160" w:line="259" w:lineRule="auto"/>
        <w:jc w:val="both"/>
        <w:rPr>
          <w:rFonts w:ascii="Calibri Light" w:eastAsia="Calibri Light" w:hAnsi="Calibri Light" w:cs="Calibri Light"/>
          <w:color w:val="2F5496"/>
          <w:sz w:val="26"/>
          <w:szCs w:val="26"/>
        </w:rPr>
      </w:pPr>
      <w:r w:rsidRPr="65D9A205">
        <w:rPr>
          <w:rFonts w:ascii="Calibri Light" w:eastAsia="Calibri Light" w:hAnsi="Calibri Light" w:cs="Calibri Light"/>
          <w:color w:val="2F5496"/>
          <w:sz w:val="26"/>
          <w:szCs w:val="26"/>
        </w:rPr>
        <w:t>WHO</w:t>
      </w:r>
    </w:p>
    <w:p w14:paraId="6D63EFEB" w14:textId="6B83E022" w:rsidR="6B8DB690" w:rsidRDefault="6B8DB690" w:rsidP="65D9A205">
      <w:pPr>
        <w:widowControl w:val="0"/>
        <w:spacing w:after="160" w:line="259" w:lineRule="auto"/>
        <w:jc w:val="both"/>
        <w:rPr>
          <w:rFonts w:eastAsia="Calibri" w:cs="Calibri"/>
          <w:color w:val="000000"/>
        </w:rPr>
      </w:pPr>
      <w:r w:rsidRPr="65D9A205">
        <w:rPr>
          <w:rFonts w:eastAsia="Calibri" w:cs="Calibri"/>
          <w:b/>
          <w:bCs/>
          <w:color w:val="000000"/>
        </w:rPr>
        <w:t>KII name:</w:t>
      </w:r>
    </w:p>
    <w:p w14:paraId="1DC0B244" w14:textId="6D611F1E" w:rsidR="6B8DB690" w:rsidRDefault="6B8DB690" w:rsidP="65D9A205">
      <w:pPr>
        <w:widowControl w:val="0"/>
        <w:spacing w:after="160" w:line="259" w:lineRule="auto"/>
        <w:jc w:val="both"/>
        <w:rPr>
          <w:rFonts w:eastAsia="Calibri" w:cs="Calibri"/>
          <w:color w:val="000000"/>
        </w:rPr>
      </w:pPr>
      <w:r w:rsidRPr="65D9A205">
        <w:rPr>
          <w:rFonts w:eastAsia="Calibri" w:cs="Calibri"/>
          <w:b/>
          <w:bCs/>
          <w:color w:val="000000"/>
        </w:rPr>
        <w:t>KII date:</w:t>
      </w:r>
    </w:p>
    <w:p w14:paraId="6D82EF6F" w14:textId="44C06A43" w:rsidR="6B8DB690" w:rsidRPr="00F83AA0" w:rsidRDefault="6B8DB690" w:rsidP="65D9A205">
      <w:pPr>
        <w:widowControl w:val="0"/>
        <w:spacing w:after="160" w:line="259" w:lineRule="auto"/>
        <w:jc w:val="both"/>
        <w:rPr>
          <w:rFonts w:eastAsia="Calibri" w:cs="Calibri"/>
          <w:color w:val="000000"/>
        </w:rPr>
      </w:pPr>
      <w:r w:rsidRPr="00F83AA0">
        <w:rPr>
          <w:rFonts w:eastAsia="Calibri" w:cs="Calibri"/>
          <w:b/>
          <w:bCs/>
          <w:color w:val="000000"/>
        </w:rPr>
        <w:t>KII interviewer(s):</w:t>
      </w:r>
    </w:p>
    <w:p w14:paraId="136917B4" w14:textId="4D275197" w:rsidR="6B8DB690" w:rsidRPr="00F83AA0" w:rsidRDefault="6B8DB690" w:rsidP="65D9A205">
      <w:pPr>
        <w:spacing w:after="160" w:line="259" w:lineRule="auto"/>
        <w:rPr>
          <w:rFonts w:eastAsia="Calibri" w:cs="Calibri"/>
          <w:color w:val="000000"/>
        </w:rPr>
      </w:pPr>
      <w:r w:rsidRPr="00F83AA0">
        <w:rPr>
          <w:rFonts w:eastAsia="Calibri" w:cs="Calibri"/>
          <w:b/>
          <w:bCs/>
          <w:color w:val="000000"/>
        </w:rPr>
        <w:t>Introduction</w:t>
      </w:r>
      <w:r w:rsidRPr="00F83AA0">
        <w:rPr>
          <w:rFonts w:eastAsia="Calibri" w:cs="Calibri"/>
          <w:color w:val="000000"/>
        </w:rPr>
        <w:t xml:space="preserve"> – please adapt and summarise according to the stakeholder / her knowledge of the evaluation etc </w:t>
      </w:r>
      <w:r w:rsidRPr="00F83AA0">
        <w:rPr>
          <w:rFonts w:ascii="Times New Roman" w:eastAsia="Times New Roman" w:hAnsi="Times New Roman" w:cs="Times New Roman"/>
          <w:color w:val="000000"/>
          <w:sz w:val="24"/>
          <w:szCs w:val="24"/>
        </w:rPr>
        <w:t>–</w:t>
      </w:r>
      <w:r w:rsidRPr="00F83AA0">
        <w:rPr>
          <w:rFonts w:eastAsia="Calibri" w:cs="Calibri"/>
          <w:color w:val="000000"/>
        </w:rPr>
        <w:t xml:space="preserve"> aim to get this intro as short as possible.</w:t>
      </w:r>
    </w:p>
    <w:p w14:paraId="2C8E60C1" w14:textId="30DEBC90" w:rsidR="6B8DB690" w:rsidRPr="00F83AA0" w:rsidRDefault="6B8DB690" w:rsidP="65D9A205">
      <w:pPr>
        <w:spacing w:line="259" w:lineRule="auto"/>
        <w:rPr>
          <w:rFonts w:eastAsia="Calibri" w:cs="Calibri"/>
          <w:color w:val="000000"/>
        </w:rPr>
      </w:pPr>
      <w:r w:rsidRPr="00F83AA0">
        <w:rPr>
          <w:rFonts w:eastAsia="Calibri" w:cs="Calibri"/>
          <w:color w:val="000000"/>
        </w:rPr>
        <w:t xml:space="preserve"> • </w:t>
      </w:r>
      <w:r w:rsidRPr="00F83AA0">
        <w:rPr>
          <w:rFonts w:eastAsia="Calibri" w:cs="Calibri"/>
          <w:b/>
          <w:bCs/>
          <w:color w:val="000000"/>
        </w:rPr>
        <w:t>Thank you</w:t>
      </w:r>
      <w:r w:rsidRPr="00F83AA0">
        <w:rPr>
          <w:rFonts w:eastAsia="Calibri" w:cs="Calibri"/>
          <w:color w:val="000000"/>
        </w:rPr>
        <w:t xml:space="preserve"> – Thank you the interviewee for having accepted the meeting and for their time today. </w:t>
      </w:r>
    </w:p>
    <w:p w14:paraId="3CF7D3BE" w14:textId="0F39B083" w:rsidR="6B8DB690" w:rsidRPr="00F83AA0" w:rsidRDefault="6B8DB690" w:rsidP="65D9A205">
      <w:pPr>
        <w:spacing w:line="259" w:lineRule="auto"/>
        <w:rPr>
          <w:rFonts w:eastAsia="Calibri" w:cs="Calibri"/>
          <w:color w:val="000000"/>
        </w:rPr>
      </w:pPr>
      <w:r w:rsidRPr="00F83AA0">
        <w:rPr>
          <w:rFonts w:eastAsia="Calibri" w:cs="Calibri"/>
          <w:color w:val="000000"/>
        </w:rPr>
        <w:t xml:space="preserve">• </w:t>
      </w:r>
      <w:r w:rsidRPr="00F83AA0">
        <w:rPr>
          <w:rFonts w:eastAsia="Calibri" w:cs="Calibri"/>
          <w:b/>
          <w:bCs/>
          <w:color w:val="000000"/>
        </w:rPr>
        <w:t>Introductions</w:t>
      </w:r>
      <w:r w:rsidRPr="00F83AA0">
        <w:rPr>
          <w:rFonts w:eastAsia="Calibri" w:cs="Calibri"/>
          <w:color w:val="000000"/>
        </w:rPr>
        <w:t xml:space="preserve"> –My name is xxxxxxx. On the evaluation of the Fleming Fund I am [specify your role in the evaluation and the country team] and I am joined today by my colleague [name, role and explain if the CL is joining remotely that is because of travel restrictions]. </w:t>
      </w:r>
    </w:p>
    <w:p w14:paraId="620287FA" w14:textId="083E6BAD" w:rsidR="6B8DB690" w:rsidRPr="00F83AA0" w:rsidRDefault="6B8DB690" w:rsidP="65D9A205">
      <w:pPr>
        <w:spacing w:line="259" w:lineRule="auto"/>
        <w:rPr>
          <w:rFonts w:eastAsia="Calibri" w:cs="Calibri"/>
          <w:color w:val="000000"/>
        </w:rPr>
      </w:pPr>
      <w:r w:rsidRPr="00F83AA0">
        <w:rPr>
          <w:rFonts w:eastAsia="Calibri" w:cs="Calibri"/>
          <w:color w:val="000000"/>
        </w:rPr>
        <w:t xml:space="preserve">We work for Itad Itad, an UK-based company specialised in Monitoring, Evaluation and Learning that has been commissioned by the UK Department of Health and Social Care to conduct the Independent Evaluation of the Fleming Fund.   </w:t>
      </w:r>
    </w:p>
    <w:p w14:paraId="7C3140B3" w14:textId="0D41FFE3" w:rsidR="6B8DB690" w:rsidRPr="00F83AA0" w:rsidRDefault="6B8DB690" w:rsidP="65D9A205">
      <w:pPr>
        <w:spacing w:line="259" w:lineRule="auto"/>
        <w:rPr>
          <w:rFonts w:eastAsia="Calibri" w:cs="Calibri"/>
          <w:color w:val="000000"/>
        </w:rPr>
      </w:pPr>
      <w:r w:rsidRPr="00F83AA0">
        <w:rPr>
          <w:rFonts w:eastAsia="Calibri" w:cs="Calibri"/>
          <w:color w:val="000000"/>
        </w:rPr>
        <w:t xml:space="preserve">[Let others introduce themselves or tell them there will be a chance after you have explained the purpose of the interview] </w:t>
      </w:r>
    </w:p>
    <w:p w14:paraId="4020D793" w14:textId="3000175E" w:rsidR="6B8DB690" w:rsidRPr="00F83AA0" w:rsidRDefault="6B8DB690" w:rsidP="65D9A205">
      <w:pPr>
        <w:spacing w:line="259" w:lineRule="auto"/>
        <w:rPr>
          <w:rFonts w:eastAsia="Calibri" w:cs="Calibri"/>
          <w:color w:val="000000"/>
        </w:rPr>
      </w:pPr>
      <w:r w:rsidRPr="00F83AA0">
        <w:rPr>
          <w:rFonts w:eastAsia="Calibri" w:cs="Calibri"/>
          <w:color w:val="000000"/>
        </w:rPr>
        <w:t xml:space="preserve">[Acknowledge whether we have already interviewed the stakeholder during CV1/2]  </w:t>
      </w:r>
    </w:p>
    <w:p w14:paraId="57B9F63B" w14:textId="551935ED" w:rsidR="6B8DB690" w:rsidRPr="00F83AA0" w:rsidRDefault="6B8DB690" w:rsidP="65D9A205">
      <w:pPr>
        <w:spacing w:line="259" w:lineRule="auto"/>
        <w:rPr>
          <w:rFonts w:eastAsia="Calibri" w:cs="Calibri"/>
          <w:color w:val="000000"/>
        </w:rPr>
      </w:pPr>
      <w:r w:rsidRPr="00F83AA0">
        <w:rPr>
          <w:rFonts w:eastAsia="Calibri" w:cs="Calibri"/>
          <w:color w:val="000000"/>
        </w:rPr>
        <w:t xml:space="preserve"> </w:t>
      </w:r>
    </w:p>
    <w:p w14:paraId="56CD1949" w14:textId="0E21F0F3" w:rsidR="6B8DB690" w:rsidRPr="00F83AA0" w:rsidRDefault="6B8DB690" w:rsidP="65D9A205">
      <w:pPr>
        <w:spacing w:line="259" w:lineRule="auto"/>
        <w:rPr>
          <w:rFonts w:eastAsia="Calibri" w:cs="Calibri"/>
          <w:color w:val="000000"/>
        </w:rPr>
      </w:pPr>
      <w:r w:rsidRPr="00F83AA0">
        <w:rPr>
          <w:rFonts w:eastAsia="Calibri" w:cs="Calibri"/>
          <w:color w:val="000000"/>
        </w:rPr>
        <w:t xml:space="preserve">• </w:t>
      </w:r>
      <w:r w:rsidRPr="00F83AA0">
        <w:rPr>
          <w:rFonts w:eastAsia="Calibri" w:cs="Calibri"/>
          <w:b/>
          <w:bCs/>
          <w:color w:val="000000"/>
        </w:rPr>
        <w:t>Purpose</w:t>
      </w:r>
      <w:r w:rsidRPr="00F83AA0">
        <w:rPr>
          <w:rFonts w:eastAsia="Calibri" w:cs="Calibri"/>
          <w:color w:val="000000"/>
        </w:rPr>
        <w:t xml:space="preserve"> – The evaluation has a global focus and we collect data in a sample of 16 countries among which [name of the country in question]. This is the third and final data collection for now. The focus is to provide a summative judgement to our 6 Evaluation Questions. </w:t>
      </w:r>
    </w:p>
    <w:p w14:paraId="50F33CCE" w14:textId="743AE066" w:rsidR="6B8DB690" w:rsidRPr="00F83AA0" w:rsidRDefault="6B8DB690" w:rsidP="65D9A205">
      <w:pPr>
        <w:spacing w:line="259" w:lineRule="auto"/>
        <w:rPr>
          <w:rFonts w:eastAsia="Calibri" w:cs="Calibri"/>
          <w:color w:val="000000"/>
        </w:rPr>
      </w:pPr>
      <w:r w:rsidRPr="00F83AA0">
        <w:rPr>
          <w:rFonts w:eastAsia="Calibri" w:cs="Calibri"/>
          <w:color w:val="000000"/>
        </w:rPr>
        <w:t xml:space="preserve">• </w:t>
      </w:r>
      <w:r w:rsidRPr="00F83AA0">
        <w:rPr>
          <w:rFonts w:eastAsia="Calibri" w:cs="Calibri"/>
          <w:b/>
          <w:bCs/>
          <w:color w:val="000000"/>
        </w:rPr>
        <w:t xml:space="preserve">Focus </w:t>
      </w:r>
      <w:r w:rsidRPr="00F83AA0">
        <w:rPr>
          <w:rFonts w:eastAsia="Calibri" w:cs="Calibri"/>
          <w:color w:val="000000"/>
        </w:rPr>
        <w:t xml:space="preserve">– We are not evaluating the performance of your organisation or that of the CG grantee. We are interested in changes that have been achieved in the AMR surveillance system looking at the country/system level (rather than just those sites supported by the FF). We are interested in analysing to what extent the FF’s outputs, together with interventions by government and other development partners, have contributed to the outcomes of interests of DHSC which are </w:t>
      </w:r>
    </w:p>
    <w:p w14:paraId="2DCAF368" w14:textId="7AA3252F" w:rsidR="6B8DB690" w:rsidRPr="00F83AA0" w:rsidRDefault="6B8DB690" w:rsidP="00C6374D">
      <w:pPr>
        <w:pStyle w:val="ListParagraph"/>
        <w:numPr>
          <w:ilvl w:val="0"/>
          <w:numId w:val="1"/>
        </w:numPr>
        <w:spacing w:line="259" w:lineRule="auto"/>
        <w:rPr>
          <w:rFonts w:eastAsia="Calibri" w:cs="Calibri"/>
          <w:color w:val="000000"/>
        </w:rPr>
      </w:pPr>
      <w:r w:rsidRPr="00F83AA0">
        <w:rPr>
          <w:rFonts w:eastAsia="Calibri" w:cs="Calibri"/>
          <w:color w:val="000000"/>
        </w:rPr>
        <w:t xml:space="preserve">More and better AMR/C/U data produced and shared at country level  </w:t>
      </w:r>
    </w:p>
    <w:p w14:paraId="46CABDB2" w14:textId="570BCCA1" w:rsidR="6B8DB690" w:rsidRPr="00F83AA0" w:rsidRDefault="6B8DB690" w:rsidP="00C6374D">
      <w:pPr>
        <w:pStyle w:val="ListParagraph"/>
        <w:numPr>
          <w:ilvl w:val="0"/>
          <w:numId w:val="1"/>
        </w:numPr>
        <w:spacing w:line="259" w:lineRule="auto"/>
        <w:rPr>
          <w:rFonts w:eastAsia="Calibri" w:cs="Calibri"/>
          <w:color w:val="000000"/>
        </w:rPr>
      </w:pPr>
      <w:r w:rsidRPr="00F83AA0">
        <w:rPr>
          <w:rFonts w:eastAsia="Calibri" w:cs="Calibri"/>
          <w:color w:val="000000"/>
        </w:rPr>
        <w:t xml:space="preserve">More and better AMR/C/U data shared internationally (with GLASS/OIE) </w:t>
      </w:r>
    </w:p>
    <w:p w14:paraId="6C52898A" w14:textId="6A298032" w:rsidR="6B8DB690" w:rsidRPr="00F83AA0" w:rsidRDefault="6B8DB690" w:rsidP="00C6374D">
      <w:pPr>
        <w:pStyle w:val="ListParagraph"/>
        <w:numPr>
          <w:ilvl w:val="0"/>
          <w:numId w:val="1"/>
        </w:numPr>
        <w:spacing w:line="259" w:lineRule="auto"/>
        <w:rPr>
          <w:rFonts w:eastAsia="Calibri" w:cs="Calibri"/>
          <w:color w:val="000000"/>
        </w:rPr>
      </w:pPr>
      <w:r w:rsidRPr="00F83AA0">
        <w:rPr>
          <w:rFonts w:eastAsia="Calibri" w:cs="Calibri"/>
          <w:color w:val="000000"/>
        </w:rPr>
        <w:t xml:space="preserve">Regulatory and policy change that can have an impact in reducing AMR </w:t>
      </w:r>
    </w:p>
    <w:p w14:paraId="294E5820" w14:textId="2D9FAB6F" w:rsidR="6B8DB690" w:rsidRPr="00F83AA0" w:rsidRDefault="6B8DB690" w:rsidP="00C6374D">
      <w:pPr>
        <w:pStyle w:val="ListParagraph"/>
        <w:numPr>
          <w:ilvl w:val="0"/>
          <w:numId w:val="1"/>
        </w:numPr>
        <w:spacing w:line="259" w:lineRule="auto"/>
        <w:rPr>
          <w:rFonts w:eastAsia="Calibri" w:cs="Calibri"/>
          <w:color w:val="000000"/>
        </w:rPr>
      </w:pPr>
      <w:r w:rsidRPr="00F83AA0">
        <w:rPr>
          <w:rFonts w:eastAsia="Calibri" w:cs="Calibri"/>
          <w:color w:val="000000"/>
        </w:rPr>
        <w:t xml:space="preserve">Changes in practice / attitude towards the use of antimicrobials.  </w:t>
      </w:r>
    </w:p>
    <w:p w14:paraId="02B35C68" w14:textId="7BCEA1EF" w:rsidR="6B8DB690" w:rsidRPr="00F83AA0" w:rsidRDefault="6B8DB690" w:rsidP="65D9A205">
      <w:pPr>
        <w:spacing w:line="259" w:lineRule="auto"/>
        <w:rPr>
          <w:rFonts w:eastAsia="Calibri" w:cs="Calibri"/>
          <w:color w:val="000000"/>
        </w:rPr>
      </w:pPr>
      <w:r w:rsidRPr="00F83AA0">
        <w:rPr>
          <w:rFonts w:eastAsia="Calibri" w:cs="Calibri"/>
          <w:color w:val="000000"/>
        </w:rPr>
        <w:t xml:space="preserve"> </w:t>
      </w:r>
    </w:p>
    <w:p w14:paraId="18A4FF08" w14:textId="6876477E" w:rsidR="6B8DB690" w:rsidRPr="00F83AA0" w:rsidRDefault="6B8DB690" w:rsidP="65D9A205">
      <w:pPr>
        <w:spacing w:line="259" w:lineRule="auto"/>
        <w:rPr>
          <w:rFonts w:eastAsia="Calibri" w:cs="Calibri"/>
          <w:color w:val="000000"/>
        </w:rPr>
      </w:pPr>
      <w:r w:rsidRPr="00F83AA0">
        <w:rPr>
          <w:rFonts w:eastAsia="Calibri" w:cs="Calibri"/>
          <w:color w:val="000000"/>
        </w:rPr>
        <w:t>We have also questions relate to coherence of Fleming Fund efforts with those of other actors in country, sustainability of FF results and Value for Money [adapt the list as appropriate].</w:t>
      </w:r>
    </w:p>
    <w:p w14:paraId="340079F4" w14:textId="23F3E83B" w:rsidR="6B8DB690" w:rsidRPr="00F83AA0" w:rsidRDefault="6B8DB690" w:rsidP="65D9A205">
      <w:pPr>
        <w:spacing w:line="259" w:lineRule="auto"/>
        <w:rPr>
          <w:rFonts w:eastAsia="Calibri" w:cs="Calibri"/>
          <w:color w:val="000000"/>
        </w:rPr>
      </w:pPr>
      <w:r w:rsidRPr="00F83AA0">
        <w:rPr>
          <w:rFonts w:eastAsia="Calibri" w:cs="Calibri"/>
          <w:color w:val="000000"/>
        </w:rPr>
        <w:t xml:space="preserve"> </w:t>
      </w:r>
    </w:p>
    <w:p w14:paraId="1DD687CD" w14:textId="0A565597" w:rsidR="6B8DB690" w:rsidRPr="00F83AA0" w:rsidRDefault="6B8DB690" w:rsidP="65D9A205">
      <w:pPr>
        <w:spacing w:line="259" w:lineRule="auto"/>
        <w:rPr>
          <w:rFonts w:eastAsia="Calibri" w:cs="Calibri"/>
          <w:color w:val="000000"/>
        </w:rPr>
      </w:pPr>
      <w:r w:rsidRPr="00F83AA0">
        <w:rPr>
          <w:rFonts w:eastAsia="Calibri" w:cs="Calibri"/>
          <w:color w:val="000000"/>
        </w:rPr>
        <w:t xml:space="preserve">• </w:t>
      </w:r>
      <w:r w:rsidRPr="00F83AA0">
        <w:rPr>
          <w:rFonts w:eastAsia="Calibri" w:cs="Calibri"/>
          <w:b/>
          <w:bCs/>
          <w:color w:val="000000"/>
        </w:rPr>
        <w:t>Confidentiality / permission to record</w:t>
      </w:r>
      <w:r w:rsidRPr="00F83AA0">
        <w:rPr>
          <w:rFonts w:eastAsia="Calibri" w:cs="Calibri"/>
          <w:color w:val="000000"/>
        </w:rPr>
        <w:t xml:space="preserve"> – Would it be okay if I record this interview, just as a back-up to my notes? We will delete the recordings after we have finished typing and reviewing our notes.  This interview is entirely confidential and if at any time you are uncomfortable with our questions or you want to end the interview, please just tell us. Findings/quotations will not be attributed to any individuals. We can also send you a copy of the report/interview if you request. </w:t>
      </w:r>
    </w:p>
    <w:p w14:paraId="3E5B9805" w14:textId="06D0F22B" w:rsidR="6B8DB690" w:rsidRPr="00F83AA0" w:rsidRDefault="6B8DB690" w:rsidP="65D9A205">
      <w:pPr>
        <w:spacing w:line="259" w:lineRule="auto"/>
        <w:rPr>
          <w:rFonts w:eastAsia="Calibri" w:cs="Calibri"/>
          <w:color w:val="000000"/>
        </w:rPr>
      </w:pPr>
      <w:r w:rsidRPr="00F83AA0">
        <w:rPr>
          <w:rFonts w:eastAsia="Calibri" w:cs="Calibri"/>
          <w:color w:val="000000"/>
        </w:rPr>
        <w:t xml:space="preserve"> </w:t>
      </w:r>
    </w:p>
    <w:p w14:paraId="25570A64" w14:textId="57E1AE47" w:rsidR="6B8DB690" w:rsidRDefault="6B8DB690" w:rsidP="65D9A205">
      <w:pPr>
        <w:spacing w:line="259" w:lineRule="auto"/>
        <w:rPr>
          <w:rFonts w:eastAsia="Calibri" w:cs="Calibri"/>
          <w:color w:val="000000"/>
        </w:rPr>
      </w:pPr>
      <w:r w:rsidRPr="00F83AA0">
        <w:rPr>
          <w:rFonts w:eastAsia="Calibri" w:cs="Calibri"/>
          <w:color w:val="000000"/>
        </w:rPr>
        <w:t xml:space="preserve">• </w:t>
      </w:r>
      <w:r w:rsidRPr="00F83AA0">
        <w:rPr>
          <w:rFonts w:eastAsia="Calibri" w:cs="Calibri"/>
          <w:b/>
          <w:bCs/>
          <w:color w:val="000000"/>
        </w:rPr>
        <w:t>Duration</w:t>
      </w:r>
      <w:r w:rsidRPr="00F83AA0">
        <w:rPr>
          <w:rFonts w:eastAsia="Calibri" w:cs="Calibri"/>
          <w:color w:val="000000"/>
        </w:rPr>
        <w:t xml:space="preserve"> – I expect the interview to take approximately [specify length] – is that okay? If you do not have that much time let me know and I can make sure that I focus on the more important questions. Also, it’s absolutely fine if you do not know the answer</w:t>
      </w:r>
      <w:r w:rsidRPr="65D9A205">
        <w:rPr>
          <w:rFonts w:eastAsia="Calibri" w:cs="Calibri"/>
          <w:color w:val="000000"/>
        </w:rPr>
        <w:t xml:space="preserve"> to a question or prefer not to answer – just let me know and I’ll adapt the interview accordingly.   </w:t>
      </w:r>
    </w:p>
    <w:p w14:paraId="4A5DF525" w14:textId="114AE43F" w:rsidR="6B8DB690" w:rsidRDefault="6B8DB690" w:rsidP="65D9A205">
      <w:pPr>
        <w:spacing w:line="259" w:lineRule="auto"/>
        <w:rPr>
          <w:rFonts w:ascii="Segoe UI" w:eastAsia="Segoe UI" w:hAnsi="Segoe UI" w:cs="Segoe UI"/>
          <w:color w:val="000000"/>
        </w:rPr>
      </w:pPr>
      <w:r w:rsidRPr="65D9A205">
        <w:rPr>
          <w:rFonts w:ascii="Segoe UI" w:eastAsia="Segoe UI" w:hAnsi="Segoe UI" w:cs="Segoe UI"/>
          <w:color w:val="000000"/>
        </w:rPr>
        <w:t xml:space="preserve"> </w:t>
      </w:r>
    </w:p>
    <w:p w14:paraId="4FD82264" w14:textId="1F5033CF" w:rsidR="6B8DB690" w:rsidRDefault="6B8DB690" w:rsidP="65D9A205">
      <w:pPr>
        <w:spacing w:line="259" w:lineRule="auto"/>
        <w:rPr>
          <w:rFonts w:eastAsia="Calibri" w:cs="Calibri"/>
          <w:color w:val="000000"/>
        </w:rPr>
      </w:pPr>
      <w:r w:rsidRPr="65D9A205">
        <w:rPr>
          <w:rFonts w:eastAsia="Calibri" w:cs="Calibri"/>
          <w:color w:val="000000"/>
        </w:rPr>
        <w:t xml:space="preserve">• </w:t>
      </w:r>
      <w:r w:rsidRPr="65D9A205">
        <w:rPr>
          <w:rFonts w:eastAsia="Calibri" w:cs="Calibri"/>
          <w:b/>
          <w:bCs/>
          <w:color w:val="000000"/>
        </w:rPr>
        <w:t>Opportunity for questions</w:t>
      </w:r>
      <w:r w:rsidRPr="65D9A205">
        <w:rPr>
          <w:rFonts w:eastAsia="Calibri" w:cs="Calibri"/>
          <w:color w:val="000000"/>
        </w:rPr>
        <w:t xml:space="preserve"> – Do you have any questions before we start? Of course you are also welcome to ask questions through the interview if something is not clear.  </w:t>
      </w:r>
    </w:p>
    <w:p w14:paraId="4A49D2E1" w14:textId="3F2A142F" w:rsidR="65D9A205" w:rsidRDefault="65D9A205" w:rsidP="65D9A205">
      <w:pPr>
        <w:spacing w:after="160" w:line="259" w:lineRule="auto"/>
        <w:rPr>
          <w:rFonts w:eastAsia="Calibri" w:cs="Calibri"/>
          <w:color w:val="000000"/>
        </w:rPr>
      </w:pP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050"/>
        <w:gridCol w:w="6270"/>
        <w:gridCol w:w="6270"/>
      </w:tblGrid>
      <w:tr w:rsidR="65D9A205" w14:paraId="4BA0C34F" w14:textId="77777777" w:rsidTr="00110FEA">
        <w:trPr>
          <w:trHeight w:val="567"/>
          <w:tblHeader/>
        </w:trPr>
        <w:tc>
          <w:tcPr>
            <w:tcW w:w="105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20505444" w14:textId="5F41616D" w:rsidR="65D9A205" w:rsidRDefault="65D9A205" w:rsidP="00110FEA">
            <w:pPr>
              <w:rPr>
                <w:rFonts w:eastAsia="Calibri" w:cs="Calibri"/>
                <w:color w:val="FFFFFF" w:themeColor="background1"/>
                <w:sz w:val="20"/>
                <w:szCs w:val="20"/>
              </w:rPr>
            </w:pPr>
            <w:r w:rsidRPr="65D9A205">
              <w:rPr>
                <w:rFonts w:eastAsia="Calibri" w:cs="Calibri"/>
                <w:color w:val="FFFFFF" w:themeColor="background1"/>
                <w:sz w:val="20"/>
                <w:szCs w:val="20"/>
              </w:rPr>
              <w:t>EQ</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78C2B949" w14:textId="086D8F03" w:rsidR="65D9A205" w:rsidRDefault="65D9A205" w:rsidP="00110FEA">
            <w:pPr>
              <w:rPr>
                <w:rFonts w:eastAsia="Calibri" w:cs="Calibri"/>
                <w:color w:val="FFFFFF" w:themeColor="background1"/>
                <w:sz w:val="20"/>
                <w:szCs w:val="20"/>
              </w:rPr>
            </w:pPr>
            <w:r w:rsidRPr="65D9A205">
              <w:rPr>
                <w:rFonts w:eastAsia="Calibri" w:cs="Calibri"/>
                <w:color w:val="FFFFFF" w:themeColor="background1"/>
                <w:sz w:val="20"/>
                <w:szCs w:val="20"/>
              </w:rPr>
              <w:t xml:space="preserve">List of questions  </w:t>
            </w:r>
          </w:p>
        </w:tc>
        <w:tc>
          <w:tcPr>
            <w:tcW w:w="6270" w:type="dxa"/>
            <w:tcBorders>
              <w:top w:val="single" w:sz="6" w:space="0" w:color="auto"/>
              <w:left w:val="single" w:sz="6" w:space="0" w:color="auto"/>
              <w:bottom w:val="single" w:sz="6" w:space="0" w:color="auto"/>
              <w:right w:val="single" w:sz="6" w:space="0" w:color="auto"/>
            </w:tcBorders>
            <w:shd w:val="clear" w:color="auto" w:fill="8496B0"/>
            <w:tcMar>
              <w:left w:w="105" w:type="dxa"/>
              <w:right w:w="105" w:type="dxa"/>
            </w:tcMar>
            <w:vAlign w:val="center"/>
          </w:tcPr>
          <w:p w14:paraId="3223BF63" w14:textId="1E8A3C86" w:rsidR="65D9A205" w:rsidRDefault="65D9A205" w:rsidP="00110FEA">
            <w:pPr>
              <w:rPr>
                <w:rFonts w:eastAsia="Calibri" w:cs="Calibri"/>
                <w:color w:val="FFFFFF" w:themeColor="background1"/>
                <w:sz w:val="20"/>
                <w:szCs w:val="20"/>
              </w:rPr>
            </w:pPr>
            <w:r w:rsidRPr="65D9A205">
              <w:rPr>
                <w:rFonts w:eastAsia="Calibri" w:cs="Calibri"/>
                <w:color w:val="FFFFFF" w:themeColor="background1"/>
                <w:sz w:val="20"/>
                <w:szCs w:val="20"/>
              </w:rPr>
              <w:t>Response</w:t>
            </w:r>
          </w:p>
        </w:tc>
      </w:tr>
      <w:tr w:rsidR="65D9A205" w14:paraId="0E9035F5" w14:textId="77777777" w:rsidTr="65D9A205">
        <w:trPr>
          <w:trHeight w:val="12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F9B23A7" w14:textId="51763D30" w:rsidR="65D9A205" w:rsidRDefault="65D9A205" w:rsidP="65D9A205">
            <w:pPr>
              <w:rPr>
                <w:rFonts w:eastAsia="Calibri" w:cs="Calibri"/>
                <w:color w:val="000000"/>
                <w:sz w:val="20"/>
                <w:szCs w:val="20"/>
              </w:rPr>
            </w:pPr>
            <w:r w:rsidRPr="65D9A205">
              <w:rPr>
                <w:rFonts w:eastAsia="Calibri" w:cs="Calibri"/>
                <w:color w:val="000000"/>
                <w:sz w:val="20"/>
                <w:szCs w:val="20"/>
              </w:rPr>
              <w:t>EQ1 (HH) / Change 1a</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50A4D0F" w14:textId="087DF988"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and in which ways do you think the </w:t>
            </w:r>
            <w:r w:rsidRPr="65D9A205">
              <w:rPr>
                <w:rFonts w:eastAsia="Calibri" w:cs="Calibri"/>
                <w:b/>
                <w:bCs/>
                <w:color w:val="000000"/>
                <w:sz w:val="20"/>
                <w:szCs w:val="20"/>
              </w:rPr>
              <w:t>quantity</w:t>
            </w:r>
            <w:r w:rsidRPr="65D9A205">
              <w:rPr>
                <w:rFonts w:eastAsia="Calibri" w:cs="Calibri"/>
                <w:color w:val="000000"/>
                <w:sz w:val="20"/>
                <w:szCs w:val="20"/>
              </w:rPr>
              <w:t xml:space="preserve"> of </w:t>
            </w:r>
            <w:r w:rsidRPr="65D9A205">
              <w:rPr>
                <w:color w:val="000000"/>
                <w:sz w:val="20"/>
                <w:szCs w:val="20"/>
                <w:u w:val="single"/>
              </w:rPr>
              <w:t>HH</w:t>
            </w:r>
            <w:r w:rsidRPr="65D9A205">
              <w:rPr>
                <w:rFonts w:eastAsia="Calibri" w:cs="Calibri"/>
                <w:color w:val="000000"/>
                <w:sz w:val="20"/>
                <w:szCs w:val="20"/>
              </w:rPr>
              <w:t xml:space="preserve"> AMR/C/U data generated has improved since 2018? Summarise our understanding of changes in data quantity (with a focus on samples) obtained from document review.  To what extent your records on quantity of AMR/U/C data generated match with our understanding? </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38B66E92" w14:textId="3658A523" w:rsidR="65D9A205" w:rsidRDefault="65D9A205" w:rsidP="65D9A205">
            <w:pPr>
              <w:rPr>
                <w:rFonts w:eastAsia="Calibri" w:cs="Calibri"/>
                <w:color w:val="000000"/>
                <w:sz w:val="20"/>
                <w:szCs w:val="20"/>
              </w:rPr>
            </w:pPr>
          </w:p>
        </w:tc>
      </w:tr>
      <w:tr w:rsidR="65D9A205" w14:paraId="295508D9" w14:textId="77777777" w:rsidTr="65D9A205">
        <w:trPr>
          <w:trHeight w:val="12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669FA979" w14:textId="3048F5B1" w:rsidR="65D9A205" w:rsidRDefault="65D9A205" w:rsidP="65D9A205">
            <w:pPr>
              <w:rPr>
                <w:rFonts w:eastAsia="Calibri" w:cs="Calibri"/>
                <w:color w:val="000000"/>
                <w:sz w:val="20"/>
                <w:szCs w:val="20"/>
              </w:rPr>
            </w:pPr>
            <w:r w:rsidRPr="65D9A205">
              <w:rPr>
                <w:rFonts w:eastAsia="Calibri" w:cs="Calibri"/>
                <w:color w:val="000000"/>
                <w:sz w:val="20"/>
                <w:szCs w:val="20"/>
              </w:rPr>
              <w:t>EQ1 (HH) / Change 1a</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CAFE4C2" w14:textId="6D72AF07"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were the </w:t>
            </w:r>
            <w:r w:rsidRPr="65D9A205">
              <w:rPr>
                <w:rFonts w:eastAsia="Calibri" w:cs="Calibri"/>
                <w:b/>
                <w:bCs/>
                <w:color w:val="000000"/>
                <w:sz w:val="20"/>
                <w:szCs w:val="20"/>
              </w:rPr>
              <w:t>key change drivers/factors,</w:t>
            </w:r>
            <w:r w:rsidRPr="65D9A205">
              <w:rPr>
                <w:rFonts w:eastAsia="Calibri" w:cs="Calibri"/>
                <w:color w:val="000000"/>
                <w:sz w:val="20"/>
                <w:szCs w:val="20"/>
              </w:rPr>
              <w:t xml:space="preserve"> in order of importance, behind such change? Probes: number of sites, number of pathogens, human capacity, renovation and equipment, consumable, prioritisation, governance, awareness, clinician/health facility´s engagement, patient numbers etc.</w:t>
            </w:r>
            <w:r w:rsidRPr="65D9A205">
              <w:rPr>
                <w:rFonts w:eastAsia="Calibri" w:cs="Calibri"/>
                <w:b/>
                <w:bCs/>
              </w:rPr>
              <w:t xml:space="preserve"> </w:t>
            </w:r>
            <w:r w:rsidRPr="65D9A205">
              <w:rPr>
                <w:rFonts w:eastAsia="Calibri" w:cs="Calibri"/>
                <w:color w:val="000000"/>
                <w:sz w:val="20"/>
                <w:szCs w:val="20"/>
              </w:rPr>
              <w:t xml:space="preserve"> </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4A7DF67" w14:textId="5E84AC3F" w:rsidR="65D9A205" w:rsidRDefault="65D9A205" w:rsidP="65D9A205">
            <w:pPr>
              <w:rPr>
                <w:rFonts w:eastAsia="Calibri" w:cs="Calibri"/>
                <w:color w:val="000000"/>
                <w:sz w:val="20"/>
                <w:szCs w:val="20"/>
              </w:rPr>
            </w:pPr>
          </w:p>
        </w:tc>
      </w:tr>
      <w:tr w:rsidR="65D9A205" w14:paraId="522A1AEC" w14:textId="77777777" w:rsidTr="65D9A205">
        <w:trPr>
          <w:trHeight w:val="12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0BEBCCF6" w14:textId="0E4598F8" w:rsidR="65D9A205" w:rsidRDefault="65D9A205" w:rsidP="65D9A205">
            <w:pPr>
              <w:rPr>
                <w:rFonts w:eastAsia="Calibri" w:cs="Calibri"/>
                <w:color w:val="000000"/>
                <w:sz w:val="20"/>
                <w:szCs w:val="20"/>
              </w:rPr>
            </w:pPr>
            <w:r w:rsidRPr="65D9A205">
              <w:rPr>
                <w:rFonts w:eastAsia="Calibri" w:cs="Calibri"/>
                <w:color w:val="000000"/>
                <w:sz w:val="20"/>
                <w:szCs w:val="20"/>
              </w:rPr>
              <w:t>EQ1 (HH) / Change 1a</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D0E08C6" w14:textId="3FE92B77"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w:t>
            </w:r>
            <w:r w:rsidRPr="65D9A205">
              <w:rPr>
                <w:rFonts w:eastAsia="Calibri" w:cs="Calibri"/>
                <w:color w:val="000000"/>
                <w:sz w:val="20"/>
                <w:szCs w:val="20"/>
              </w:rPr>
              <w:t xml:space="preserve"> to those drivers?</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30E7133C" w14:textId="61CC09AF" w:rsidR="65D9A205" w:rsidRDefault="65D9A205" w:rsidP="65D9A205">
            <w:pPr>
              <w:rPr>
                <w:rFonts w:eastAsia="Calibri" w:cs="Calibri"/>
                <w:color w:val="000000"/>
                <w:sz w:val="20"/>
                <w:szCs w:val="20"/>
              </w:rPr>
            </w:pPr>
          </w:p>
        </w:tc>
      </w:tr>
      <w:tr w:rsidR="65D9A205" w14:paraId="73C4C211" w14:textId="77777777" w:rsidTr="65D9A205">
        <w:trPr>
          <w:trHeight w:val="12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220F872A" w14:textId="65689440" w:rsidR="65D9A205" w:rsidRDefault="65D9A205" w:rsidP="65D9A205">
            <w:pPr>
              <w:rPr>
                <w:rFonts w:eastAsia="Calibri" w:cs="Calibri"/>
                <w:color w:val="000000"/>
                <w:sz w:val="20"/>
                <w:szCs w:val="20"/>
              </w:rPr>
            </w:pPr>
            <w:r w:rsidRPr="65D9A205">
              <w:rPr>
                <w:rFonts w:eastAsia="Calibri" w:cs="Calibri"/>
                <w:color w:val="000000"/>
                <w:sz w:val="20"/>
                <w:szCs w:val="20"/>
              </w:rPr>
              <w:t>EQ1 (HH) / Change 1a</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bottom"/>
          </w:tcPr>
          <w:p w14:paraId="59819E0E" w14:textId="061A9D8D"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no or negative change in this area, why</w:t>
            </w:r>
            <w:r w:rsidRPr="65D9A205">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58754A6D" w14:textId="69EE64CD" w:rsidR="65D9A205" w:rsidRDefault="65D9A205" w:rsidP="65D9A205">
            <w:pPr>
              <w:rPr>
                <w:rFonts w:eastAsia="Calibri" w:cs="Calibri"/>
                <w:color w:val="000000"/>
                <w:sz w:val="20"/>
                <w:szCs w:val="20"/>
              </w:rPr>
            </w:pPr>
          </w:p>
        </w:tc>
      </w:tr>
      <w:tr w:rsidR="65D9A205" w14:paraId="7CB80DBA" w14:textId="77777777" w:rsidTr="65D9A205">
        <w:trPr>
          <w:trHeight w:val="12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075990C" w14:textId="6CF781FD" w:rsidR="65D9A205" w:rsidRDefault="65D9A205" w:rsidP="65D9A205">
            <w:pPr>
              <w:rPr>
                <w:rFonts w:eastAsia="Calibri" w:cs="Calibri"/>
                <w:color w:val="000000"/>
                <w:sz w:val="20"/>
                <w:szCs w:val="20"/>
              </w:rPr>
            </w:pPr>
            <w:r w:rsidRPr="65D9A205">
              <w:rPr>
                <w:rFonts w:eastAsia="Calibri" w:cs="Calibri"/>
                <w:color w:val="000000"/>
                <w:sz w:val="20"/>
                <w:szCs w:val="20"/>
              </w:rPr>
              <w:t>EQ1 (HH) / Change 1b</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56A1244" w14:textId="7B03F240"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and in which ways do you think the </w:t>
            </w:r>
            <w:r w:rsidRPr="65D9A205">
              <w:rPr>
                <w:rFonts w:eastAsia="Calibri" w:cs="Calibri"/>
                <w:b/>
                <w:bCs/>
                <w:color w:val="000000"/>
                <w:sz w:val="20"/>
                <w:szCs w:val="20"/>
              </w:rPr>
              <w:t>quality</w:t>
            </w:r>
            <w:r w:rsidRPr="65D9A205">
              <w:rPr>
                <w:rFonts w:eastAsia="Calibri" w:cs="Calibri"/>
                <w:color w:val="000000"/>
                <w:sz w:val="20"/>
                <w:szCs w:val="20"/>
              </w:rPr>
              <w:t xml:space="preserve"> of </w:t>
            </w:r>
            <w:r w:rsidRPr="65D9A205">
              <w:rPr>
                <w:rFonts w:eastAsia="Calibri" w:cs="Calibri"/>
                <w:color w:val="000000"/>
                <w:sz w:val="20"/>
                <w:szCs w:val="20"/>
                <w:u w:val="single"/>
              </w:rPr>
              <w:t>HH</w:t>
            </w:r>
            <w:r w:rsidRPr="65D9A205">
              <w:rPr>
                <w:rFonts w:eastAsia="Calibri" w:cs="Calibri"/>
                <w:color w:val="000000"/>
                <w:sz w:val="20"/>
                <w:szCs w:val="20"/>
              </w:rPr>
              <w:t xml:space="preserve"> AMR data has improved? </w:t>
            </w:r>
            <w:r>
              <w:br/>
            </w:r>
            <w:r w:rsidRPr="65D9A205">
              <w:rPr>
                <w:rFonts w:eastAsia="Calibri" w:cs="Calibri"/>
                <w:color w:val="000000"/>
                <w:sz w:val="20"/>
                <w:szCs w:val="20"/>
              </w:rPr>
              <w:t>-some prompts that maybe helpful for this question are (1) SOPs, (2) automated instruments, (3) internal and/or external quality assurance procedures, (4) better supplies of reagents/better quality equipment or infrastructure (eg fridges/freezers), (5) Training and/or supervision, (6) Quality manager, (7) Accreditation processes, (8) Reporting of data to clinicians (for HH).</w:t>
            </w:r>
            <w:r>
              <w:br/>
            </w:r>
            <w:r w:rsidRPr="65D9A205">
              <w:rPr>
                <w:rFonts w:eastAsia="Calibri" w:cs="Calibri"/>
                <w:color w:val="000000"/>
                <w:sz w:val="20"/>
                <w:szCs w:val="20"/>
              </w:rPr>
              <w:t>- Would be useful to get a feel for what level the improvements are at (references labs and/or surveillance sites or facility laboratories)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63B51031" w14:textId="56F98D24" w:rsidR="65D9A205" w:rsidRDefault="65D9A205" w:rsidP="65D9A205">
            <w:pPr>
              <w:rPr>
                <w:rFonts w:eastAsia="Calibri" w:cs="Calibri"/>
                <w:color w:val="000000"/>
                <w:sz w:val="20"/>
                <w:szCs w:val="20"/>
              </w:rPr>
            </w:pPr>
          </w:p>
        </w:tc>
      </w:tr>
      <w:tr w:rsidR="65D9A205" w14:paraId="12E3C33C" w14:textId="77777777" w:rsidTr="65D9A205">
        <w:trPr>
          <w:trHeight w:val="9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FF8CBD9" w14:textId="5249AE01" w:rsidR="65D9A205" w:rsidRDefault="65D9A205" w:rsidP="65D9A205">
            <w:pPr>
              <w:rPr>
                <w:rFonts w:eastAsia="Calibri" w:cs="Calibri"/>
                <w:color w:val="000000"/>
                <w:sz w:val="20"/>
                <w:szCs w:val="20"/>
              </w:rPr>
            </w:pPr>
            <w:r w:rsidRPr="65D9A205">
              <w:rPr>
                <w:rFonts w:eastAsia="Calibri" w:cs="Calibri"/>
                <w:color w:val="000000"/>
                <w:sz w:val="20"/>
                <w:szCs w:val="20"/>
              </w:rPr>
              <w:t>EQ1 (HH) / Change 1b</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2439581" w14:textId="1EA9E95A"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were the </w:t>
            </w:r>
            <w:r w:rsidRPr="65D9A205">
              <w:rPr>
                <w:rFonts w:eastAsia="Calibri" w:cs="Calibri"/>
                <w:b/>
                <w:bCs/>
                <w:color w:val="000000"/>
                <w:sz w:val="20"/>
                <w:szCs w:val="20"/>
              </w:rPr>
              <w:t>key change drivers/factors,</w:t>
            </w:r>
            <w:r w:rsidRPr="65D9A205">
              <w:rPr>
                <w:rFonts w:eastAsia="Calibri" w:cs="Calibri"/>
                <w:color w:val="000000"/>
                <w:sz w:val="20"/>
                <w:szCs w:val="20"/>
              </w:rPr>
              <w:t xml:space="preserve"> in order of importance, behind such change? Probes: investments in human capacity renovation work and improved equipment, reliable supply of reagents, SOP, QA, supervision, prioritisation, governance, other </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0AC2E452" w14:textId="5C3D1AE1" w:rsidR="65D9A205" w:rsidRDefault="65D9A205" w:rsidP="65D9A205">
            <w:pPr>
              <w:rPr>
                <w:rFonts w:eastAsia="Calibri" w:cs="Calibri"/>
                <w:color w:val="000000"/>
                <w:sz w:val="20"/>
                <w:szCs w:val="20"/>
              </w:rPr>
            </w:pPr>
          </w:p>
        </w:tc>
      </w:tr>
      <w:tr w:rsidR="65D9A205" w14:paraId="5E6B4560" w14:textId="77777777" w:rsidTr="65D9A205">
        <w:trPr>
          <w:trHeight w:val="12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4DCBF28" w14:textId="61604E6E" w:rsidR="65D9A205" w:rsidRDefault="65D9A205" w:rsidP="65D9A205">
            <w:pPr>
              <w:rPr>
                <w:rFonts w:eastAsia="Calibri" w:cs="Calibri"/>
                <w:color w:val="000000"/>
                <w:sz w:val="20"/>
                <w:szCs w:val="20"/>
              </w:rPr>
            </w:pPr>
            <w:r w:rsidRPr="65D9A205">
              <w:rPr>
                <w:rFonts w:eastAsia="Calibri" w:cs="Calibri"/>
                <w:color w:val="000000"/>
                <w:sz w:val="20"/>
                <w:szCs w:val="20"/>
              </w:rPr>
              <w:t>EQ1 (HH) / Change 1b</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center"/>
          </w:tcPr>
          <w:p w14:paraId="14704B8A" w14:textId="08178240"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w:t>
            </w:r>
            <w:r w:rsidRPr="65D9A205">
              <w:rPr>
                <w:rFonts w:eastAsia="Calibri" w:cs="Calibri"/>
                <w:color w:val="000000"/>
                <w:sz w:val="20"/>
                <w:szCs w:val="20"/>
              </w:rPr>
              <w:t xml:space="preserve"> to those drivers?</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7EFDC1F4" w14:textId="6CE3AFF1" w:rsidR="65D9A205" w:rsidRDefault="65D9A205" w:rsidP="65D9A205">
            <w:pPr>
              <w:rPr>
                <w:rFonts w:eastAsia="Calibri" w:cs="Calibri"/>
                <w:color w:val="000000"/>
                <w:sz w:val="20"/>
                <w:szCs w:val="20"/>
              </w:rPr>
            </w:pPr>
          </w:p>
        </w:tc>
      </w:tr>
      <w:tr w:rsidR="65D9A205" w14:paraId="70FF7D79" w14:textId="77777777" w:rsidTr="65D9A205">
        <w:trPr>
          <w:trHeight w:val="51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0FBEA179" w14:textId="153A159E" w:rsidR="65D9A205" w:rsidRDefault="65D9A205" w:rsidP="65D9A205">
            <w:pPr>
              <w:rPr>
                <w:rFonts w:eastAsia="Calibri" w:cs="Calibri"/>
                <w:color w:val="000000"/>
                <w:sz w:val="20"/>
                <w:szCs w:val="20"/>
              </w:rPr>
            </w:pPr>
            <w:r w:rsidRPr="65D9A205">
              <w:rPr>
                <w:rFonts w:eastAsia="Calibri" w:cs="Calibri"/>
                <w:color w:val="000000"/>
                <w:sz w:val="20"/>
                <w:szCs w:val="20"/>
              </w:rPr>
              <w:t>EQ1 (HH) / Change 1b</w:t>
            </w:r>
          </w:p>
        </w:tc>
        <w:tc>
          <w:tcPr>
            <w:tcW w:w="6270" w:type="dxa"/>
            <w:tcBorders>
              <w:top w:val="single" w:sz="6" w:space="0" w:color="auto"/>
              <w:left w:val="single" w:sz="6" w:space="0" w:color="auto"/>
              <w:bottom w:val="nil"/>
              <w:right w:val="nil"/>
            </w:tcBorders>
            <w:shd w:val="clear" w:color="auto" w:fill="FCE4D6"/>
            <w:tcMar>
              <w:left w:w="105" w:type="dxa"/>
              <w:right w:w="105" w:type="dxa"/>
            </w:tcMar>
            <w:vAlign w:val="bottom"/>
          </w:tcPr>
          <w:p w14:paraId="12E3833C" w14:textId="756357F2"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no or negative change in this area, why</w:t>
            </w:r>
            <w:r w:rsidRPr="65D9A205">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nil"/>
              <w:bottom w:val="nil"/>
              <w:right w:val="nil"/>
            </w:tcBorders>
            <w:shd w:val="clear" w:color="auto" w:fill="FCE4D6"/>
            <w:tcMar>
              <w:left w:w="105" w:type="dxa"/>
              <w:right w:w="105" w:type="dxa"/>
            </w:tcMar>
          </w:tcPr>
          <w:p w14:paraId="236A63B6" w14:textId="0B4F5593" w:rsidR="65D9A205" w:rsidRDefault="65D9A205" w:rsidP="65D9A205">
            <w:pPr>
              <w:rPr>
                <w:rFonts w:eastAsia="Calibri" w:cs="Calibri"/>
                <w:color w:val="000000"/>
                <w:sz w:val="20"/>
                <w:szCs w:val="20"/>
              </w:rPr>
            </w:pPr>
          </w:p>
        </w:tc>
      </w:tr>
      <w:tr w:rsidR="65D9A205" w14:paraId="56F892F1" w14:textId="77777777" w:rsidTr="65D9A205">
        <w:trPr>
          <w:trHeight w:val="855"/>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2384368" w14:textId="3D397318" w:rsidR="65D9A205" w:rsidRDefault="65D9A205" w:rsidP="65D9A205">
            <w:pPr>
              <w:rPr>
                <w:rFonts w:eastAsia="Calibri" w:cs="Calibri"/>
                <w:color w:val="000000"/>
                <w:sz w:val="20"/>
                <w:szCs w:val="20"/>
              </w:rPr>
            </w:pPr>
            <w:r w:rsidRPr="65D9A205">
              <w:rPr>
                <w:rFonts w:eastAsia="Calibri" w:cs="Calibri"/>
                <w:color w:val="000000"/>
                <w:sz w:val="20"/>
                <w:szCs w:val="20"/>
              </w:rPr>
              <w:t>EQ1 (HH)</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04752B3" w14:textId="61FA7AEC"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is it plausible that there will be </w:t>
            </w:r>
            <w:r w:rsidRPr="65D9A205">
              <w:rPr>
                <w:rFonts w:eastAsia="Calibri" w:cs="Calibri"/>
                <w:b/>
                <w:bCs/>
                <w:color w:val="000000"/>
                <w:sz w:val="20"/>
                <w:szCs w:val="20"/>
              </w:rPr>
              <w:t>significant additional change in the system</w:t>
            </w:r>
            <w:r w:rsidRPr="65D9A205">
              <w:rPr>
                <w:rFonts w:eastAsia="Calibri" w:cs="Calibri"/>
                <w:color w:val="000000"/>
                <w:sz w:val="20"/>
                <w:szCs w:val="20"/>
              </w:rPr>
              <w:t xml:space="preserve"> (in terms of increases in quantity and quality of AMR data) </w:t>
            </w:r>
            <w:r w:rsidRPr="65D9A205">
              <w:rPr>
                <w:rFonts w:eastAsia="Calibri" w:cs="Calibri"/>
                <w:b/>
                <w:bCs/>
                <w:color w:val="000000"/>
                <w:sz w:val="20"/>
                <w:szCs w:val="20"/>
              </w:rPr>
              <w:t>by end 2022</w:t>
            </w:r>
            <w:r w:rsidRPr="65D9A205">
              <w:rPr>
                <w:rFonts w:eastAsia="Calibri" w:cs="Calibri"/>
                <w:color w:val="000000"/>
                <w:sz w:val="20"/>
                <w:szCs w:val="20"/>
              </w:rPr>
              <w:t xml:space="preserve">?  </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75B20CEC" w14:textId="73CDF77E" w:rsidR="65D9A205" w:rsidRDefault="65D9A205" w:rsidP="65D9A205">
            <w:pPr>
              <w:rPr>
                <w:rFonts w:eastAsia="Calibri" w:cs="Calibri"/>
                <w:color w:val="000000"/>
                <w:sz w:val="20"/>
                <w:szCs w:val="20"/>
              </w:rPr>
            </w:pPr>
          </w:p>
        </w:tc>
      </w:tr>
      <w:tr w:rsidR="65D9A205" w14:paraId="6FE68993" w14:textId="77777777" w:rsidTr="65D9A205">
        <w:trPr>
          <w:trHeight w:val="129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32A02B50" w14:textId="37AD1E1B" w:rsidR="65D9A205" w:rsidRDefault="65D9A205" w:rsidP="65D9A205">
            <w:pPr>
              <w:rPr>
                <w:rFonts w:eastAsia="Calibri" w:cs="Calibri"/>
                <w:color w:val="000000"/>
              </w:rPr>
            </w:pPr>
            <w:r w:rsidRPr="65D9A205">
              <w:rPr>
                <w:rFonts w:eastAsia="Calibri" w:cs="Calibri"/>
                <w:color w:val="00000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CE51144" w14:textId="397E4E6D"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Fleming Fund's investments</w:t>
            </w:r>
            <w:r w:rsidRPr="65D9A205">
              <w:rPr>
                <w:rFonts w:eastAsia="Calibri" w:cs="Calibri"/>
                <w:color w:val="000000"/>
                <w:sz w:val="20"/>
                <w:szCs w:val="20"/>
              </w:rPr>
              <w:t xml:space="preserve"> been </w:t>
            </w:r>
            <w:r w:rsidRPr="65D9A205">
              <w:rPr>
                <w:rFonts w:eastAsia="Calibri" w:cs="Calibri"/>
                <w:b/>
                <w:bCs/>
                <w:color w:val="000000"/>
                <w:sz w:val="20"/>
                <w:szCs w:val="20"/>
              </w:rPr>
              <w:t>aligned</w:t>
            </w:r>
            <w:r w:rsidRPr="65D9A205">
              <w:rPr>
                <w:rFonts w:eastAsia="Calibri" w:cs="Calibri"/>
                <w:color w:val="000000"/>
                <w:sz w:val="20"/>
                <w:szCs w:val="20"/>
              </w:rPr>
              <w:t xml:space="preserve"> with the NAP and other government policies/plans?</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government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was alignment ensured?</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6B1F9AFD" w14:textId="261861A7" w:rsidR="65D9A205" w:rsidRDefault="65D9A205" w:rsidP="65D9A205">
            <w:pPr>
              <w:rPr>
                <w:rFonts w:eastAsia="Calibri" w:cs="Calibri"/>
                <w:color w:val="000000"/>
                <w:sz w:val="20"/>
                <w:szCs w:val="20"/>
              </w:rPr>
            </w:pPr>
          </w:p>
        </w:tc>
      </w:tr>
      <w:tr w:rsidR="65D9A205" w14:paraId="7E0E038E"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652A4C17" w14:textId="147058D4" w:rsidR="65D9A205" w:rsidRDefault="65D9A205" w:rsidP="65D9A205">
            <w:pPr>
              <w:rPr>
                <w:rFonts w:eastAsia="Calibri" w:cs="Calibri"/>
                <w:color w:val="000000"/>
              </w:rPr>
            </w:pPr>
            <w:r w:rsidRPr="65D9A205">
              <w:rPr>
                <w:rFonts w:eastAsia="Calibri" w:cs="Calibri"/>
                <w:color w:val="000000"/>
              </w:rPr>
              <w:t>EQ2</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20C608D8" w14:textId="0092732B" w:rsidR="65D9A205" w:rsidRDefault="65D9A205" w:rsidP="65D9A205">
            <w:pPr>
              <w:rPr>
                <w:rFonts w:eastAsia="Calibri" w:cs="Calibri"/>
                <w:color w:val="000000"/>
                <w:sz w:val="20"/>
                <w:szCs w:val="20"/>
              </w:rPr>
            </w:pPr>
            <w:r w:rsidRPr="65D9A205">
              <w:rPr>
                <w:rFonts w:eastAsia="Calibri" w:cs="Calibri"/>
                <w:color w:val="000000"/>
                <w:sz w:val="20"/>
                <w:szCs w:val="20"/>
              </w:rPr>
              <w:t xml:space="preserve">To what extent have the </w:t>
            </w:r>
            <w:r w:rsidRPr="65D9A205">
              <w:rPr>
                <w:rFonts w:eastAsia="Calibri" w:cs="Calibri"/>
                <w:b/>
                <w:bCs/>
                <w:color w:val="000000"/>
                <w:sz w:val="20"/>
                <w:szCs w:val="20"/>
              </w:rPr>
              <w:t xml:space="preserve">Fleming Fund's investments </w:t>
            </w:r>
            <w:r w:rsidRPr="65D9A205">
              <w:rPr>
                <w:rFonts w:eastAsia="Calibri" w:cs="Calibri"/>
                <w:color w:val="000000"/>
                <w:sz w:val="20"/>
                <w:szCs w:val="20"/>
              </w:rPr>
              <w:t xml:space="preserve">been </w:t>
            </w:r>
            <w:r w:rsidRPr="65D9A205">
              <w:rPr>
                <w:rFonts w:eastAsia="Calibri" w:cs="Calibri"/>
                <w:b/>
                <w:bCs/>
                <w:color w:val="000000"/>
                <w:sz w:val="20"/>
                <w:szCs w:val="20"/>
              </w:rPr>
              <w:t>aligned with interventions</w:t>
            </w:r>
            <w:r w:rsidRPr="65D9A205">
              <w:rPr>
                <w:rFonts w:eastAsia="Calibri" w:cs="Calibri"/>
                <w:color w:val="000000"/>
                <w:sz w:val="20"/>
                <w:szCs w:val="20"/>
              </w:rPr>
              <w:t xml:space="preserve"> funded </w:t>
            </w:r>
            <w:r w:rsidRPr="65D9A205">
              <w:rPr>
                <w:rFonts w:eastAsia="Calibri" w:cs="Calibri"/>
                <w:b/>
                <w:bCs/>
                <w:color w:val="000000"/>
                <w:sz w:val="20"/>
                <w:szCs w:val="20"/>
              </w:rPr>
              <w:t>by other DPs</w:t>
            </w:r>
            <w:r w:rsidRPr="65D9A205">
              <w:rPr>
                <w:rFonts w:eastAsia="Calibri" w:cs="Calibri"/>
                <w:color w:val="000000"/>
                <w:sz w:val="20"/>
                <w:szCs w:val="20"/>
              </w:rPr>
              <w:t>?</w:t>
            </w:r>
            <w:r>
              <w:br/>
            </w:r>
            <w:r w:rsidRPr="65D9A205">
              <w:rPr>
                <w:rFonts w:eastAsia="Calibri" w:cs="Calibri"/>
                <w:color w:val="000000"/>
                <w:sz w:val="20"/>
                <w:szCs w:val="20"/>
              </w:rPr>
              <w:t xml:space="preserve">Probe: Are there any </w:t>
            </w:r>
            <w:r w:rsidRPr="65D9A205">
              <w:rPr>
                <w:color w:val="000000"/>
                <w:sz w:val="20"/>
                <w:szCs w:val="20"/>
                <w:u w:val="single"/>
              </w:rPr>
              <w:t>duplications</w:t>
            </w:r>
            <w:r w:rsidRPr="65D9A205">
              <w:rPr>
                <w:rFonts w:eastAsia="Calibri" w:cs="Calibri"/>
                <w:color w:val="000000"/>
                <w:sz w:val="20"/>
                <w:szCs w:val="20"/>
              </w:rPr>
              <w:t xml:space="preserve"> between Fleming Fund's investments and DP initiatives?</w:t>
            </w:r>
            <w:r>
              <w:br/>
            </w:r>
            <w:r w:rsidRPr="65D9A205">
              <w:rPr>
                <w:rFonts w:eastAsia="Calibri" w:cs="Calibri"/>
                <w:color w:val="000000"/>
                <w:sz w:val="20"/>
                <w:szCs w:val="20"/>
              </w:rPr>
              <w:t xml:space="preserve">Probe: Through which </w:t>
            </w:r>
            <w:r w:rsidRPr="65D9A205">
              <w:rPr>
                <w:color w:val="000000"/>
                <w:sz w:val="20"/>
                <w:szCs w:val="20"/>
                <w:u w:val="single"/>
              </w:rPr>
              <w:t>mechanisms</w:t>
            </w:r>
            <w:r w:rsidRPr="65D9A205">
              <w:rPr>
                <w:rFonts w:eastAsia="Calibri" w:cs="Calibri"/>
                <w:color w:val="000000"/>
                <w:sz w:val="20"/>
                <w:szCs w:val="20"/>
              </w:rPr>
              <w:t xml:space="preserve"> did the Fleming Fund coordinate with other DPs involved in AMR / lab strengthening in country?</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46B1290E" w14:textId="1BA35F02" w:rsidR="65D9A205" w:rsidRDefault="65D9A205" w:rsidP="65D9A205">
            <w:pPr>
              <w:rPr>
                <w:rFonts w:eastAsia="Calibri" w:cs="Calibri"/>
                <w:color w:val="000000"/>
                <w:sz w:val="20"/>
                <w:szCs w:val="20"/>
              </w:rPr>
            </w:pPr>
          </w:p>
        </w:tc>
      </w:tr>
      <w:tr w:rsidR="65D9A205" w14:paraId="2C236E7C"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5ECE3AA" w14:textId="5602702A"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1144E960" w14:textId="62B965FD" w:rsidR="65D9A205" w:rsidRDefault="65D9A205" w:rsidP="65D9A205">
            <w:pPr>
              <w:rPr>
                <w:rFonts w:eastAsia="Calibri" w:cs="Calibri"/>
                <w:color w:val="444444"/>
              </w:rPr>
            </w:pPr>
            <w:r w:rsidRPr="65D9A205">
              <w:rPr>
                <w:rFonts w:eastAsia="Calibri" w:cs="Calibri"/>
                <w:color w:val="444444"/>
              </w:rPr>
              <w:t xml:space="preserve"> To what extent do you think the required capacity exists to sustain these results (quantity, quality, int. sharing)? PROBES: any concerns about turnover of staff, who conducts refresher training (in absence of FF), is AMR part of pre-service training (eg curriculum), are staff permanent or contactors (paid by whom)? Are there adequate plans in place to address any concerns?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68110FB1" w14:textId="2BA778B7" w:rsidR="65D9A205" w:rsidRDefault="65D9A205" w:rsidP="65D9A205">
            <w:pPr>
              <w:rPr>
                <w:rFonts w:eastAsia="Calibri" w:cs="Calibri"/>
                <w:color w:val="000000"/>
                <w:sz w:val="20"/>
                <w:szCs w:val="20"/>
              </w:rPr>
            </w:pPr>
          </w:p>
        </w:tc>
      </w:tr>
      <w:tr w:rsidR="65D9A205" w14:paraId="380E5BD4" w14:textId="77777777" w:rsidTr="65D9A205">
        <w:trPr>
          <w:trHeight w:val="1560"/>
        </w:trPr>
        <w:tc>
          <w:tcPr>
            <w:tcW w:w="105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4529691D" w14:textId="79F96583" w:rsidR="65D9A205" w:rsidRDefault="65D9A205" w:rsidP="65D9A205">
            <w:pPr>
              <w:rPr>
                <w:rFonts w:eastAsia="Calibri" w:cs="Calibri"/>
                <w:color w:val="000000"/>
                <w:sz w:val="20"/>
                <w:szCs w:val="20"/>
              </w:rPr>
            </w:pPr>
            <w:r w:rsidRPr="65D9A205">
              <w:rPr>
                <w:rFonts w:eastAsia="Calibri" w:cs="Calibri"/>
                <w:color w:val="000000"/>
                <w:sz w:val="20"/>
                <w:szCs w:val="20"/>
              </w:rPr>
              <w:t>EQ3</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vAlign w:val="center"/>
          </w:tcPr>
          <w:p w14:paraId="7CFEA1B8" w14:textId="08E87855" w:rsidR="65D9A205" w:rsidRDefault="65D9A205" w:rsidP="65D9A205">
            <w:pPr>
              <w:rPr>
                <w:rFonts w:eastAsia="Calibri" w:cs="Calibri"/>
                <w:color w:val="444444"/>
              </w:rPr>
            </w:pPr>
            <w:r w:rsidRPr="65D9A205">
              <w:rPr>
                <w:rFonts w:eastAsia="Calibri" w:cs="Calibri"/>
                <w:color w:val="444444"/>
              </w:rPr>
              <w:t xml:space="preserve"> To what extent do you think staff are motivated to put new skills / responsibilities required to maintain AMR surveillence? PROBES: Is throughput sufficient? Are consumable supplies assured? Are managers and institutions (eg AMRCC) interested in outputs and providing feedback? Will competing demands crowd in? Are there adequate plans in place to address any concerns?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shd w:val="clear" w:color="auto" w:fill="FFFFFF" w:themeFill="background1"/>
            <w:tcMar>
              <w:left w:w="105" w:type="dxa"/>
              <w:right w:w="105" w:type="dxa"/>
            </w:tcMar>
          </w:tcPr>
          <w:p w14:paraId="717FED7A" w14:textId="6C13DB5C" w:rsidR="65D9A205" w:rsidRDefault="65D9A205" w:rsidP="65D9A205">
            <w:pPr>
              <w:rPr>
                <w:rFonts w:eastAsia="Calibri" w:cs="Calibri"/>
                <w:color w:val="000000"/>
                <w:sz w:val="20"/>
                <w:szCs w:val="20"/>
              </w:rPr>
            </w:pPr>
          </w:p>
        </w:tc>
      </w:tr>
      <w:tr w:rsidR="65D9A205" w14:paraId="438C8AAF" w14:textId="77777777" w:rsidTr="65D9A205">
        <w:trPr>
          <w:trHeight w:val="147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296384C" w14:textId="41D6D559"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644FC0C4" w14:textId="5844E4F4" w:rsidR="65D9A205" w:rsidRDefault="65D9A205" w:rsidP="65D9A205">
            <w:pPr>
              <w:rPr>
                <w:rFonts w:eastAsia="Calibri" w:cs="Calibri"/>
                <w:color w:val="000000"/>
                <w:sz w:val="20"/>
                <w:szCs w:val="20"/>
              </w:rPr>
            </w:pPr>
            <w:r w:rsidRPr="65D9A205">
              <w:rPr>
                <w:rFonts w:eastAsia="Calibri" w:cs="Calibri"/>
                <w:color w:val="000000"/>
                <w:sz w:val="20"/>
                <w:szCs w:val="20"/>
              </w:rPr>
              <w:t xml:space="preserve">Do you think that surveillance data is already being used to inform strong national actions on AMR (policy implementation, regulatory change or change to national clinical guidelines?)  If yes, please give examples  PROBE: How did Fleming Fund activities contribute to these actions? If no, do you think that the main use so far has been for general awareness-raising in professional and policy networks? PROBE: Do you think that we are still at an early stage of the cycle of AMR data analysis for policy? </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67A1E35" w14:textId="7817651F" w:rsidR="65D9A205" w:rsidRDefault="65D9A205" w:rsidP="65D9A205">
            <w:pPr>
              <w:rPr>
                <w:rFonts w:eastAsia="Calibri" w:cs="Calibri"/>
                <w:color w:val="000000"/>
                <w:sz w:val="20"/>
                <w:szCs w:val="20"/>
              </w:rPr>
            </w:pPr>
          </w:p>
        </w:tc>
      </w:tr>
      <w:tr w:rsidR="65D9A205" w14:paraId="44107D7F" w14:textId="77777777" w:rsidTr="65D9A205">
        <w:trPr>
          <w:trHeight w:val="147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AF0F31D" w14:textId="56A562C6" w:rsidR="65D9A205" w:rsidRDefault="65D9A205" w:rsidP="65D9A205">
            <w:pPr>
              <w:rPr>
                <w:rFonts w:eastAsia="Calibri" w:cs="Calibri"/>
                <w:color w:val="000000"/>
                <w:sz w:val="20"/>
                <w:szCs w:val="20"/>
              </w:rPr>
            </w:pPr>
            <w:r w:rsidRPr="65D9A205">
              <w:rPr>
                <w:rFonts w:eastAsia="Calibri" w:cs="Calibri"/>
                <w:color w:val="000000"/>
                <w:sz w:val="20"/>
                <w:szCs w:val="20"/>
              </w:rPr>
              <w:t>ACTIONS 4.1</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E79E5EA" w14:textId="5F0A5BB1" w:rsidR="65D9A205" w:rsidRDefault="65D9A205" w:rsidP="65D9A205">
            <w:pPr>
              <w:rPr>
                <w:rFonts w:eastAsia="Calibri" w:cs="Calibri"/>
                <w:color w:val="000000"/>
                <w:sz w:val="20"/>
                <w:szCs w:val="20"/>
              </w:rPr>
            </w:pPr>
            <w:r w:rsidRPr="65D9A205">
              <w:rPr>
                <w:rFonts w:eastAsia="Calibri" w:cs="Calibri"/>
                <w:color w:val="000000"/>
                <w:sz w:val="20"/>
                <w:szCs w:val="20"/>
              </w:rPr>
              <w:t>Thinking about the kinds of strong national actions that might be relevant to AMR (for example controls on certain uses of antimicrobials or initiatives to change professional practices), can you think of examples from the past (prior to FF) and/or not motivated by surveillance data?  PROBE: (Refer to any examples suggested by MSA analysis or other information gathered)  If yes, please give details. PROBE: what is different now / what motivates action if not surveillance data?</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0E190EA1" w14:textId="37323C38" w:rsidR="65D9A205" w:rsidRDefault="65D9A205" w:rsidP="65D9A205">
            <w:pPr>
              <w:rPr>
                <w:rFonts w:eastAsia="Calibri" w:cs="Calibri"/>
                <w:color w:val="000000"/>
                <w:sz w:val="20"/>
                <w:szCs w:val="20"/>
              </w:rPr>
            </w:pPr>
          </w:p>
        </w:tc>
      </w:tr>
      <w:tr w:rsidR="65D9A205" w14:paraId="52355CAB" w14:textId="77777777" w:rsidTr="65D9A205">
        <w:trPr>
          <w:trHeight w:val="90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5CAE13A" w14:textId="002F4FF1"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177CDABF" w14:textId="091D9284" w:rsidR="65D9A205" w:rsidRDefault="65D9A205" w:rsidP="65D9A205">
            <w:pPr>
              <w:rPr>
                <w:rFonts w:eastAsia="Calibri" w:cs="Calibri"/>
                <w:color w:val="000000"/>
                <w:sz w:val="20"/>
                <w:szCs w:val="20"/>
              </w:rPr>
            </w:pPr>
            <w:r w:rsidRPr="65D9A205">
              <w:rPr>
                <w:rFonts w:eastAsia="Calibri" w:cs="Calibri"/>
                <w:color w:val="000000"/>
                <w:sz w:val="20"/>
                <w:szCs w:val="20"/>
              </w:rPr>
              <w:t>Has Covid-19 been a distraction, slowing down progress with the national AMR agenda?  PROBE: Has AMRCC met regularly since 2020, including at political as well as technical levels? Has it started to take significant decisions?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A2804E2" w14:textId="0D8877B5" w:rsidR="65D9A205" w:rsidRDefault="65D9A205" w:rsidP="65D9A205">
            <w:pPr>
              <w:rPr>
                <w:rFonts w:eastAsia="Calibri" w:cs="Calibri"/>
                <w:color w:val="000000"/>
                <w:sz w:val="20"/>
                <w:szCs w:val="20"/>
              </w:rPr>
            </w:pPr>
          </w:p>
        </w:tc>
      </w:tr>
      <w:tr w:rsidR="65D9A205" w14:paraId="4091ACAD" w14:textId="77777777" w:rsidTr="65D9A205">
        <w:trPr>
          <w:trHeight w:val="132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C999706" w14:textId="2DFCBB9B"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AE266F7" w14:textId="627A3E09" w:rsidR="65D9A205" w:rsidRDefault="65D9A205" w:rsidP="65D9A205">
            <w:pPr>
              <w:rPr>
                <w:rFonts w:eastAsia="Calibri" w:cs="Calibri"/>
                <w:color w:val="000000"/>
                <w:sz w:val="20"/>
                <w:szCs w:val="20"/>
              </w:rPr>
            </w:pPr>
            <w:r w:rsidRPr="65D9A205">
              <w:rPr>
                <w:rFonts w:eastAsia="Calibri" w:cs="Calibri"/>
                <w:color w:val="000000"/>
                <w:sz w:val="20"/>
                <w:szCs w:val="20"/>
              </w:rPr>
              <w:t>Have NAP plans continued to develop strongly since 2020? (OR, if NAP expires in 2020-22, is there a process underway for its renewal; do you expect any delay in extending the NAP?)  PROBE: What factors explain the current situation in relation to the NAP?  (if need more information to complete NAP tool, apart from on budgeting) How exactly is the NAP moving from a plan to real action and change?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871D8E2" w14:textId="597A1835" w:rsidR="65D9A205" w:rsidRDefault="65D9A205" w:rsidP="65D9A205">
            <w:pPr>
              <w:rPr>
                <w:rFonts w:eastAsia="Calibri" w:cs="Calibri"/>
                <w:color w:val="000000"/>
                <w:sz w:val="20"/>
                <w:szCs w:val="20"/>
              </w:rPr>
            </w:pPr>
          </w:p>
        </w:tc>
      </w:tr>
      <w:tr w:rsidR="65D9A205" w14:paraId="1BB79312" w14:textId="77777777" w:rsidTr="65D9A205">
        <w:trPr>
          <w:trHeight w:val="114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41164CE" w14:textId="4AF9B570"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06DF76F5" w14:textId="648A2F4C" w:rsidR="65D9A205" w:rsidRDefault="65D9A205" w:rsidP="65D9A205">
            <w:pPr>
              <w:rPr>
                <w:rFonts w:eastAsia="Calibri" w:cs="Calibri"/>
                <w:color w:val="000000"/>
                <w:sz w:val="20"/>
                <w:szCs w:val="20"/>
              </w:rPr>
            </w:pPr>
            <w:r w:rsidRPr="65D9A205">
              <w:rPr>
                <w:rFonts w:eastAsia="Calibri" w:cs="Calibri"/>
                <w:color w:val="000000"/>
                <w:sz w:val="20"/>
                <w:szCs w:val="20"/>
              </w:rPr>
              <w:t>Do you think that it is likely that there will be significant on-budget domestic funding for AMR initiatives in the foreseeable future?  If yes, please give reasons (have the reasons for prior budget decisions  changed?) If no, will funding from international supporters be sufficient?   To what extent is FF focused on addressing these conditions?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0C2E26F" w14:textId="77B3A1F3" w:rsidR="65D9A205" w:rsidRDefault="65D9A205" w:rsidP="65D9A205">
            <w:pPr>
              <w:rPr>
                <w:rFonts w:eastAsia="Calibri" w:cs="Calibri"/>
                <w:color w:val="000000"/>
                <w:sz w:val="20"/>
                <w:szCs w:val="20"/>
              </w:rPr>
            </w:pPr>
          </w:p>
        </w:tc>
      </w:tr>
      <w:tr w:rsidR="65D9A205" w14:paraId="3E9546CB" w14:textId="77777777" w:rsidTr="65D9A205">
        <w:trPr>
          <w:trHeight w:val="180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F248E17" w14:textId="7E8688D3" w:rsidR="65D9A205" w:rsidRDefault="65D9A205" w:rsidP="65D9A205">
            <w:pPr>
              <w:rPr>
                <w:rFonts w:eastAsia="Calibri" w:cs="Calibri"/>
                <w:color w:val="000000"/>
                <w:sz w:val="20"/>
                <w:szCs w:val="20"/>
              </w:rPr>
            </w:pPr>
            <w:r w:rsidRPr="65D9A205">
              <w:rPr>
                <w:rFonts w:eastAsia="Calibri" w:cs="Calibri"/>
                <w:color w:val="000000"/>
                <w:sz w:val="20"/>
                <w:szCs w:val="20"/>
              </w:rPr>
              <w:t>POLICY 4.2 / Change 3</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72D5F385" w14:textId="4C7B37EF" w:rsidR="65D9A205" w:rsidRDefault="65D9A205" w:rsidP="65D9A205">
            <w:pPr>
              <w:rPr>
                <w:rFonts w:eastAsia="Calibri" w:cs="Calibri"/>
                <w:color w:val="000000"/>
                <w:sz w:val="20"/>
                <w:szCs w:val="20"/>
              </w:rPr>
            </w:pPr>
            <w:r w:rsidRPr="65D9A205">
              <w:rPr>
                <w:rFonts w:eastAsia="Calibri" w:cs="Calibri"/>
                <w:color w:val="000000"/>
                <w:sz w:val="20"/>
                <w:szCs w:val="20"/>
              </w:rPr>
              <w:t>Does AMRCC (or other national body in charge of the country AMR strategy) r</w:t>
            </w:r>
            <w:r w:rsidRPr="65D9A205">
              <w:rPr>
                <w:rFonts w:eastAsia="Calibri" w:cs="Calibri"/>
                <w:b/>
                <w:bCs/>
                <w:color w:val="000000"/>
                <w:sz w:val="20"/>
                <w:szCs w:val="20"/>
              </w:rPr>
              <w:t>eceive AMR data reports generated by surveillance sites at least once a year</w:t>
            </w:r>
            <w:r w:rsidRPr="65D9A205">
              <w:rPr>
                <w:rFonts w:eastAsia="Calibri" w:cs="Calibri"/>
                <w:color w:val="000000"/>
                <w:sz w:val="20"/>
                <w:szCs w:val="20"/>
              </w:rPr>
              <w:t>? Is that an improvement compared to 2018 (i.e. Prior to Fleming Fund activities starting)? PROBE if yes: which organisation(s) assembles and submits these reports? What form do they take, what are they called (descriptive summary or analytical)? Is there good sector representation and national coverage? If yes, do you think that the reports are sufficient to amend national AMR strategy and enable effective AMR decision-making? If no, why not?</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7FE55C35" w14:textId="0A161F8A" w:rsidR="65D9A205" w:rsidRDefault="65D9A205" w:rsidP="65D9A205">
            <w:pPr>
              <w:rPr>
                <w:rFonts w:eastAsia="Calibri" w:cs="Calibri"/>
                <w:color w:val="000000"/>
                <w:sz w:val="20"/>
                <w:szCs w:val="20"/>
              </w:rPr>
            </w:pPr>
          </w:p>
        </w:tc>
      </w:tr>
      <w:tr w:rsidR="65D9A205" w14:paraId="4142E0C9" w14:textId="77777777" w:rsidTr="65D9A205">
        <w:trPr>
          <w:trHeight w:val="1305"/>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47B5ACC" w14:textId="31CCCC0F" w:rsidR="65D9A205" w:rsidRDefault="65D9A205" w:rsidP="65D9A205">
            <w:pPr>
              <w:rPr>
                <w:rFonts w:eastAsia="Calibri" w:cs="Calibri"/>
                <w:color w:val="000000"/>
                <w:sz w:val="20"/>
                <w:szCs w:val="20"/>
              </w:rPr>
            </w:pPr>
            <w:r w:rsidRPr="65D9A205">
              <w:rPr>
                <w:rFonts w:eastAsia="Calibri" w:cs="Calibri"/>
                <w:color w:val="000000"/>
                <w:sz w:val="20"/>
                <w:szCs w:val="20"/>
              </w:rPr>
              <w:t>EQ4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405E665E" w14:textId="197E196A"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were the </w:t>
            </w:r>
            <w:r w:rsidRPr="65D9A205">
              <w:rPr>
                <w:rFonts w:eastAsia="Calibri" w:cs="Calibri"/>
                <w:b/>
                <w:bCs/>
                <w:color w:val="000000"/>
                <w:sz w:val="20"/>
                <w:szCs w:val="20"/>
              </w:rPr>
              <w:t>key change drivers/factors</w:t>
            </w:r>
            <w:r w:rsidRPr="65D9A205">
              <w:rPr>
                <w:rFonts w:eastAsia="Calibri" w:cs="Calibri"/>
                <w:color w:val="000000"/>
                <w:sz w:val="20"/>
                <w:szCs w:val="20"/>
              </w:rPr>
              <w:t xml:space="preserve">, </w:t>
            </w:r>
            <w:r w:rsidRPr="65D9A205">
              <w:rPr>
                <w:rFonts w:eastAsia="Calibri" w:cs="Calibri"/>
                <w:b/>
                <w:bCs/>
                <w:color w:val="000000"/>
                <w:sz w:val="20"/>
                <w:szCs w:val="20"/>
              </w:rPr>
              <w:t>in order of importance</w:t>
            </w:r>
            <w:r w:rsidRPr="65D9A205">
              <w:rPr>
                <w:rFonts w:eastAsia="Calibri" w:cs="Calibri"/>
                <w:color w:val="000000"/>
                <w:sz w:val="20"/>
                <w:szCs w:val="20"/>
              </w:rPr>
              <w:t>, behind such change ? Probes: more and better data available from the surveillance system (in which case refer to QUANT &amp; QUAL contribution stories), data sharing processes and systems, resourcing, incentives, formal barriers, cooperation, governance, leadership demand, analytical entrepreneurs / champions, other..</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09021156" w14:textId="55D838F0" w:rsidR="65D9A205" w:rsidRDefault="65D9A205" w:rsidP="65D9A205">
            <w:pPr>
              <w:rPr>
                <w:rFonts w:eastAsia="Calibri" w:cs="Calibri"/>
                <w:color w:val="000000"/>
                <w:sz w:val="20"/>
                <w:szCs w:val="20"/>
              </w:rPr>
            </w:pPr>
          </w:p>
        </w:tc>
      </w:tr>
      <w:tr w:rsidR="65D9A205" w14:paraId="3F572881" w14:textId="77777777" w:rsidTr="65D9A205">
        <w:trPr>
          <w:trHeight w:val="99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6532890D" w14:textId="6826A51B" w:rsidR="65D9A205" w:rsidRDefault="65D9A205" w:rsidP="65D9A205">
            <w:pPr>
              <w:rPr>
                <w:rFonts w:eastAsia="Calibri" w:cs="Calibri"/>
                <w:color w:val="000000"/>
                <w:sz w:val="20"/>
                <w:szCs w:val="20"/>
              </w:rPr>
            </w:pPr>
            <w:r w:rsidRPr="65D9A205">
              <w:rPr>
                <w:rFonts w:eastAsia="Calibri" w:cs="Calibri"/>
                <w:color w:val="000000"/>
                <w:sz w:val="20"/>
                <w:szCs w:val="20"/>
              </w:rPr>
              <w:t>EQ4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6E47E788" w14:textId="0817E5CA" w:rsidR="65D9A205" w:rsidRDefault="65D9A205" w:rsidP="65D9A205">
            <w:pPr>
              <w:rPr>
                <w:rFonts w:eastAsia="Calibri" w:cs="Calibri"/>
                <w:color w:val="000000"/>
                <w:sz w:val="20"/>
                <w:szCs w:val="20"/>
              </w:rPr>
            </w:pPr>
            <w:r w:rsidRPr="65D9A205">
              <w:rPr>
                <w:rFonts w:eastAsia="Calibri" w:cs="Calibri"/>
                <w:color w:val="000000"/>
                <w:sz w:val="20"/>
                <w:szCs w:val="20"/>
              </w:rPr>
              <w:t>What was the Fleming Fund (</w:t>
            </w:r>
            <w:r w:rsidRPr="65D9A205">
              <w:rPr>
                <w:rFonts w:eastAsia="Calibri" w:cs="Calibri"/>
                <w:b/>
                <w:bCs/>
                <w:color w:val="000000"/>
                <w:sz w:val="20"/>
                <w:szCs w:val="20"/>
              </w:rPr>
              <w:t>CG/RG/Fellows</w:t>
            </w:r>
            <w:r w:rsidRPr="65D9A205">
              <w:rPr>
                <w:rFonts w:eastAsia="Calibri" w:cs="Calibri"/>
                <w:color w:val="000000"/>
                <w:sz w:val="20"/>
                <w:szCs w:val="20"/>
              </w:rPr>
              <w:t xml:space="preserve">) </w:t>
            </w:r>
            <w:r w:rsidRPr="65D9A205">
              <w:rPr>
                <w:rFonts w:eastAsia="Calibri" w:cs="Calibri"/>
                <w:b/>
                <w:bCs/>
                <w:color w:val="000000"/>
                <w:sz w:val="20"/>
                <w:szCs w:val="20"/>
              </w:rPr>
              <w:t>contribution to those drivers</w:t>
            </w:r>
            <w:r w:rsidRPr="65D9A205">
              <w:rPr>
                <w:rFonts w:eastAsia="Calibri" w:cs="Calibri"/>
                <w:color w:val="000000"/>
                <w:sz w:val="20"/>
                <w:szCs w:val="20"/>
              </w:rPr>
              <w:t>?</w:t>
            </w:r>
            <w:r>
              <w:br/>
            </w:r>
            <w:r w:rsidRPr="65D9A205">
              <w:rPr>
                <w:rFonts w:eastAsia="Calibri" w:cs="Calibri"/>
                <w:color w:val="000000"/>
                <w:sz w:val="20"/>
                <w:szCs w:val="20"/>
              </w:rPr>
              <w:t>How vital was that it compared to the contribution of:</w:t>
            </w:r>
            <w:r>
              <w:br/>
            </w:r>
            <w:r w:rsidRPr="65D9A205">
              <w:rPr>
                <w:rFonts w:eastAsia="Calibri" w:cs="Calibri"/>
                <w:color w:val="000000"/>
                <w:sz w:val="20"/>
                <w:szCs w:val="20"/>
              </w:rPr>
              <w:t>Global Projects (name any active in country)</w:t>
            </w:r>
            <w:r>
              <w:br/>
            </w:r>
            <w:r w:rsidRPr="65D9A205">
              <w:rPr>
                <w:rFonts w:eastAsia="Calibri" w:cs="Calibri"/>
                <w:color w:val="000000"/>
                <w:sz w:val="20"/>
                <w:szCs w:val="20"/>
              </w:rPr>
              <w:t>Other influencing factors (could be government activities, interventions by other DPs or exogenous factors such as COVID-19)?</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71A8FEA6" w14:textId="4B2E100B" w:rsidR="65D9A205" w:rsidRDefault="65D9A205" w:rsidP="65D9A205">
            <w:pPr>
              <w:rPr>
                <w:rFonts w:eastAsia="Calibri" w:cs="Calibri"/>
                <w:color w:val="000000"/>
                <w:sz w:val="20"/>
                <w:szCs w:val="20"/>
              </w:rPr>
            </w:pPr>
          </w:p>
        </w:tc>
      </w:tr>
      <w:tr w:rsidR="65D9A205" w14:paraId="36A4F791" w14:textId="77777777" w:rsidTr="65D9A205">
        <w:trPr>
          <w:trHeight w:val="60"/>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48D49D44" w14:textId="2F064A67" w:rsidR="65D9A205" w:rsidRDefault="65D9A205" w:rsidP="65D9A205">
            <w:pPr>
              <w:rPr>
                <w:rFonts w:eastAsia="Calibri" w:cs="Calibri"/>
                <w:color w:val="000000"/>
                <w:sz w:val="20"/>
                <w:szCs w:val="20"/>
              </w:rPr>
            </w:pPr>
            <w:r w:rsidRPr="65D9A205">
              <w:rPr>
                <w:rFonts w:eastAsia="Calibri" w:cs="Calibri"/>
                <w:color w:val="000000"/>
                <w:sz w:val="20"/>
                <w:szCs w:val="20"/>
              </w:rPr>
              <w:t>EQ4 / Change 3</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vAlign w:val="bottom"/>
          </w:tcPr>
          <w:p w14:paraId="6948D471" w14:textId="09D41472" w:rsidR="65D9A205" w:rsidRDefault="65D9A205" w:rsidP="65D9A205">
            <w:pPr>
              <w:rPr>
                <w:rFonts w:eastAsia="Calibri" w:cs="Calibri"/>
                <w:color w:val="000000"/>
                <w:sz w:val="20"/>
                <w:szCs w:val="20"/>
              </w:rPr>
            </w:pPr>
            <w:r w:rsidRPr="65D9A205">
              <w:rPr>
                <w:rFonts w:eastAsia="Calibri" w:cs="Calibri"/>
                <w:color w:val="000000"/>
                <w:sz w:val="20"/>
                <w:szCs w:val="20"/>
              </w:rPr>
              <w:t xml:space="preserve">If there was </w:t>
            </w:r>
            <w:r w:rsidRPr="65D9A205">
              <w:rPr>
                <w:rFonts w:eastAsia="Calibri" w:cs="Calibri"/>
                <w:b/>
                <w:bCs/>
                <w:color w:val="000000"/>
                <w:sz w:val="20"/>
                <w:szCs w:val="20"/>
              </w:rPr>
              <w:t xml:space="preserve">no or negative change </w:t>
            </w:r>
            <w:r w:rsidRPr="65D9A205">
              <w:rPr>
                <w:rFonts w:eastAsia="Calibri" w:cs="Calibri"/>
                <w:color w:val="000000"/>
                <w:sz w:val="20"/>
                <w:szCs w:val="20"/>
              </w:rPr>
              <w:t xml:space="preserve">in this area, </w:t>
            </w:r>
            <w:r w:rsidRPr="65D9A205">
              <w:rPr>
                <w:rFonts w:eastAsia="Calibri" w:cs="Calibri"/>
                <w:b/>
                <w:bCs/>
                <w:color w:val="000000"/>
                <w:sz w:val="20"/>
                <w:szCs w:val="20"/>
              </w:rPr>
              <w:t>why</w:t>
            </w:r>
            <w:r w:rsidRPr="65D9A205">
              <w:rPr>
                <w:rFonts w:eastAsia="Calibri" w:cs="Calibri"/>
                <w:color w:val="000000"/>
                <w:sz w:val="20"/>
                <w:szCs w:val="20"/>
              </w:rPr>
              <w:t xml:space="preserve"> was that? And what has the FF and others done to improve the situation?</w:t>
            </w:r>
          </w:p>
        </w:tc>
        <w:tc>
          <w:tcPr>
            <w:tcW w:w="6270" w:type="dxa"/>
            <w:tcBorders>
              <w:top w:val="single" w:sz="6" w:space="0" w:color="auto"/>
              <w:left w:val="single" w:sz="6" w:space="0" w:color="auto"/>
              <w:bottom w:val="single" w:sz="6" w:space="0" w:color="auto"/>
              <w:right w:val="single" w:sz="6" w:space="0" w:color="auto"/>
            </w:tcBorders>
            <w:shd w:val="clear" w:color="auto" w:fill="FCE4D6"/>
            <w:tcMar>
              <w:left w:w="105" w:type="dxa"/>
              <w:right w:w="105" w:type="dxa"/>
            </w:tcMar>
          </w:tcPr>
          <w:p w14:paraId="7804CA68" w14:textId="592AC879" w:rsidR="65D9A205" w:rsidRDefault="65D9A205" w:rsidP="65D9A205">
            <w:pPr>
              <w:rPr>
                <w:rFonts w:eastAsia="Calibri" w:cs="Calibri"/>
                <w:color w:val="000000"/>
                <w:sz w:val="20"/>
                <w:szCs w:val="20"/>
              </w:rPr>
            </w:pPr>
          </w:p>
        </w:tc>
      </w:tr>
      <w:tr w:rsidR="65D9A205" w14:paraId="5458EDBB" w14:textId="77777777" w:rsidTr="00342FEA">
        <w:trPr>
          <w:trHeight w:val="1701"/>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30F19C62" w14:textId="252DB8AB" w:rsidR="65D9A205" w:rsidRDefault="65D9A205" w:rsidP="65D9A205">
            <w:pPr>
              <w:rPr>
                <w:rFonts w:eastAsia="Calibri" w:cs="Calibri"/>
                <w:color w:val="000000"/>
                <w:sz w:val="20"/>
                <w:szCs w:val="20"/>
              </w:rPr>
            </w:pPr>
            <w:r w:rsidRPr="65D9A205">
              <w:rPr>
                <w:rFonts w:eastAsia="Calibri" w:cs="Calibri"/>
                <w:color w:val="000000"/>
                <w:sz w:val="20"/>
                <w:szCs w:val="20"/>
              </w:rPr>
              <w:t>POLICY 4.2</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A4746E0" w14:textId="33B1D970" w:rsidR="65D9A205" w:rsidRDefault="65D9A205" w:rsidP="00342FEA">
            <w:pPr>
              <w:spacing w:line="259" w:lineRule="auto"/>
              <w:rPr>
                <w:rFonts w:eastAsia="Calibri" w:cs="Calibri"/>
                <w:color w:val="000000"/>
                <w:sz w:val="20"/>
                <w:szCs w:val="20"/>
              </w:rPr>
            </w:pPr>
            <w:r w:rsidRPr="65D9A205">
              <w:rPr>
                <w:rFonts w:eastAsia="Calibri" w:cs="Calibri"/>
                <w:color w:val="000000"/>
                <w:sz w:val="20"/>
                <w:szCs w:val="20"/>
              </w:rPr>
              <w:t>Can you think of any other examples of relevant surveillance data being used to amend national strategy and/or inform decision-making’, apart from through data reports shared with AMRCC?</w:t>
            </w:r>
          </w:p>
          <w:p w14:paraId="7B710EF3" w14:textId="653E2266" w:rsidR="65D9A205" w:rsidRDefault="65D9A205" w:rsidP="00342FEA">
            <w:pPr>
              <w:spacing w:line="259" w:lineRule="auto"/>
              <w:rPr>
                <w:rFonts w:eastAsia="Calibri" w:cs="Calibri"/>
                <w:color w:val="000000"/>
                <w:sz w:val="20"/>
                <w:szCs w:val="20"/>
              </w:rPr>
            </w:pPr>
            <w:r w:rsidRPr="65D9A205">
              <w:rPr>
                <w:rFonts w:eastAsia="Calibri" w:cs="Calibri"/>
                <w:color w:val="000000"/>
                <w:sz w:val="20"/>
                <w:szCs w:val="20"/>
              </w:rPr>
              <w:t xml:space="preserve"> </w:t>
            </w:r>
          </w:p>
          <w:p w14:paraId="7628CD8F" w14:textId="3840ADB5" w:rsidR="65D9A205" w:rsidRDefault="65D9A205" w:rsidP="00342FEA">
            <w:pPr>
              <w:spacing w:line="259" w:lineRule="auto"/>
              <w:rPr>
                <w:rFonts w:eastAsia="Calibri" w:cs="Calibri"/>
                <w:color w:val="000000"/>
                <w:sz w:val="20"/>
                <w:szCs w:val="20"/>
              </w:rPr>
            </w:pPr>
            <w:r w:rsidRPr="65D9A205">
              <w:rPr>
                <w:rFonts w:eastAsia="Calibri" w:cs="Calibri"/>
                <w:color w:val="000000"/>
                <w:sz w:val="20"/>
                <w:szCs w:val="20"/>
              </w:rPr>
              <w:t>If yes: Details? What data, in what form? Who are the decision-makers? One-off or routine? Current status?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68F24A5A" w14:textId="67D9A0D9" w:rsidR="65D9A205" w:rsidRDefault="65D9A205" w:rsidP="65D9A205">
            <w:pPr>
              <w:rPr>
                <w:rFonts w:eastAsia="Calibri" w:cs="Calibri"/>
                <w:color w:val="000000"/>
                <w:sz w:val="20"/>
                <w:szCs w:val="20"/>
              </w:rPr>
            </w:pPr>
          </w:p>
        </w:tc>
      </w:tr>
      <w:tr w:rsidR="65D9A205" w14:paraId="7E523039" w14:textId="77777777" w:rsidTr="00342FEA">
        <w:trPr>
          <w:trHeight w:val="2494"/>
        </w:trPr>
        <w:tc>
          <w:tcPr>
            <w:tcW w:w="1050" w:type="dxa"/>
            <w:tcBorders>
              <w:top w:val="single" w:sz="6" w:space="0" w:color="auto"/>
              <w:left w:val="single" w:sz="6" w:space="0" w:color="auto"/>
              <w:bottom w:val="single" w:sz="6" w:space="0" w:color="auto"/>
              <w:right w:val="single" w:sz="6" w:space="0" w:color="auto"/>
            </w:tcBorders>
            <w:tcMar>
              <w:left w:w="105" w:type="dxa"/>
              <w:right w:w="105" w:type="dxa"/>
            </w:tcMar>
          </w:tcPr>
          <w:p w14:paraId="77230D4F" w14:textId="0503CAA3" w:rsidR="65D9A205" w:rsidRDefault="65D9A205" w:rsidP="65D9A205">
            <w:pPr>
              <w:rPr>
                <w:rFonts w:eastAsia="Calibri" w:cs="Calibri"/>
                <w:color w:val="000000"/>
                <w:sz w:val="20"/>
                <w:szCs w:val="20"/>
              </w:rPr>
            </w:pPr>
            <w:r w:rsidRPr="65D9A205">
              <w:rPr>
                <w:rFonts w:eastAsia="Calibri" w:cs="Calibri"/>
                <w:color w:val="000000"/>
                <w:sz w:val="20"/>
                <w:szCs w:val="20"/>
              </w:rPr>
              <w:t>4.4 INTENDED USE</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vAlign w:val="bottom"/>
          </w:tcPr>
          <w:p w14:paraId="47309659" w14:textId="4B68497D" w:rsidR="65D9A205" w:rsidRDefault="65D9A205" w:rsidP="65D9A205">
            <w:pPr>
              <w:rPr>
                <w:rFonts w:eastAsia="Calibri" w:cs="Calibri"/>
                <w:color w:val="000000"/>
                <w:sz w:val="20"/>
                <w:szCs w:val="20"/>
              </w:rPr>
            </w:pPr>
            <w:r w:rsidRPr="65D9A205">
              <w:rPr>
                <w:rFonts w:eastAsia="Calibri" w:cs="Calibri"/>
                <w:color w:val="000000"/>
                <w:sz w:val="20"/>
                <w:szCs w:val="20"/>
              </w:rPr>
              <w:t xml:space="preserve">What do you think should be the future priorities for the Fleming Fund when supporting national AMR actions using surveillance data? PROBES: </w:t>
            </w:r>
            <w:r>
              <w:br/>
            </w:r>
            <w:r w:rsidRPr="65D9A205">
              <w:rPr>
                <w:rFonts w:eastAsia="Calibri" w:cs="Calibri"/>
                <w:color w:val="000000"/>
                <w:sz w:val="20"/>
                <w:szCs w:val="20"/>
              </w:rPr>
              <w:t>o Do you think that it will be more effective to foster local change (‘bottom up’) or to concentrate on motivating national initiatives (‘top down’)</w:t>
            </w:r>
            <w:r>
              <w:br/>
            </w:r>
            <w:r w:rsidRPr="65D9A205">
              <w:rPr>
                <w:rFonts w:eastAsia="Calibri" w:cs="Calibri"/>
                <w:color w:val="000000"/>
                <w:sz w:val="20"/>
                <w:szCs w:val="20"/>
              </w:rPr>
              <w:t>o Will the data show a need for action (‘push’) or will intended actions show what data is needed (‘pull’)?</w:t>
            </w:r>
            <w:r>
              <w:br/>
            </w:r>
            <w:r w:rsidRPr="65D9A205">
              <w:rPr>
                <w:rFonts w:eastAsia="Calibri" w:cs="Calibri"/>
                <w:color w:val="000000"/>
                <w:sz w:val="20"/>
                <w:szCs w:val="20"/>
              </w:rPr>
              <w:t>o What is more important, Infection Prevention &amp; Control (IPC) or Antimicrobial Use controls (AMU)?</w:t>
            </w:r>
            <w:r>
              <w:br/>
            </w:r>
            <w:r w:rsidRPr="65D9A205">
              <w:rPr>
                <w:rFonts w:eastAsia="Calibri" w:cs="Calibri"/>
                <w:color w:val="000000"/>
                <w:sz w:val="20"/>
                <w:szCs w:val="20"/>
              </w:rPr>
              <w:t>o Why? What approaches would be required to address these priorities?</w:t>
            </w:r>
          </w:p>
        </w:tc>
        <w:tc>
          <w:tcPr>
            <w:tcW w:w="6270" w:type="dxa"/>
            <w:tcBorders>
              <w:top w:val="single" w:sz="6" w:space="0" w:color="auto"/>
              <w:left w:val="single" w:sz="6" w:space="0" w:color="auto"/>
              <w:bottom w:val="single" w:sz="6" w:space="0" w:color="auto"/>
              <w:right w:val="single" w:sz="6" w:space="0" w:color="auto"/>
            </w:tcBorders>
            <w:tcMar>
              <w:left w:w="105" w:type="dxa"/>
              <w:right w:w="105" w:type="dxa"/>
            </w:tcMar>
          </w:tcPr>
          <w:p w14:paraId="18B44492" w14:textId="0B3231B4" w:rsidR="65D9A205" w:rsidRDefault="65D9A205" w:rsidP="65D9A205">
            <w:pPr>
              <w:rPr>
                <w:rFonts w:eastAsia="Calibri" w:cs="Calibri"/>
                <w:color w:val="000000"/>
                <w:sz w:val="20"/>
                <w:szCs w:val="20"/>
              </w:rPr>
            </w:pPr>
          </w:p>
        </w:tc>
      </w:tr>
    </w:tbl>
    <w:p w14:paraId="168CFD42" w14:textId="23B9EA3E" w:rsidR="6001A257" w:rsidRDefault="6001A257" w:rsidP="6001A257">
      <w:pPr>
        <w:pStyle w:val="FFNormal"/>
        <w:sectPr w:rsidR="6001A257" w:rsidSect="00FB553C">
          <w:pgSz w:w="16840" w:h="11900" w:orient="landscape"/>
          <w:pgMar w:top="1191" w:right="1134" w:bottom="1191" w:left="1134" w:header="720" w:footer="255" w:gutter="0"/>
          <w:cols w:space="720"/>
          <w:titlePg/>
          <w:docGrid w:linePitch="360"/>
        </w:sectPr>
      </w:pPr>
    </w:p>
    <w:p w14:paraId="6B72C3F4" w14:textId="12AE8EFF" w:rsidR="002C4FBA" w:rsidRDefault="002C4FBA" w:rsidP="002C4FBA">
      <w:pPr>
        <w:spacing w:after="120"/>
        <w:rPr>
          <w:rFonts w:eastAsia="Times New Roman" w:cstheme="minorHAnsi"/>
          <w:b/>
          <w:bCs/>
          <w:lang w:eastAsia="en-GB"/>
        </w:rPr>
      </w:pPr>
    </w:p>
    <w:p w14:paraId="209E1405" w14:textId="77777777" w:rsidR="002C4FBA" w:rsidRDefault="002C4FBA"/>
    <w:p w14:paraId="54870CE7" w14:textId="77777777" w:rsidR="000B7513" w:rsidRPr="0068654A" w:rsidRDefault="000B7513"/>
    <w:p w14:paraId="5444E6E4" w14:textId="77777777" w:rsidR="000B7513" w:rsidRPr="0068654A" w:rsidRDefault="000B7513">
      <w:pPr>
        <w:rPr>
          <w:color w:val="3B3B3C" w:themeColor="text1"/>
        </w:rPr>
      </w:pPr>
    </w:p>
    <w:p w14:paraId="397F48F3" w14:textId="1D5CFBEE" w:rsidR="001D260D" w:rsidRPr="00BD77FE" w:rsidRDefault="00D56C48" w:rsidP="00215994">
      <w:pPr>
        <w:pStyle w:val="Itadtabletext"/>
      </w:pPr>
      <w:r>
        <w:rPr>
          <w:noProof/>
        </w:rPr>
        <w:drawing>
          <wp:anchor distT="0" distB="0" distL="114300" distR="114300" simplePos="0" relativeHeight="251658245" behindDoc="1" locked="1" layoutInCell="1" allowOverlap="1" wp14:anchorId="2B67F758" wp14:editId="3DE64370">
            <wp:simplePos x="0" y="0"/>
            <wp:positionH relativeFrom="page">
              <wp:posOffset>-17780</wp:posOffset>
            </wp:positionH>
            <wp:positionV relativeFrom="page">
              <wp:posOffset>0</wp:posOffset>
            </wp:positionV>
            <wp:extent cx="7575550" cy="10716260"/>
            <wp:effectExtent l="0" t="0" r="6350" b="889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98" cstate="print">
                      <a:extLst>
                        <a:ext uri="{28A0092B-C50C-407E-A947-70E740481C1C}">
                          <a14:useLocalDpi xmlns:a14="http://schemas.microsoft.com/office/drawing/2010/main" val="0"/>
                        </a:ext>
                      </a:extLst>
                    </a:blip>
                    <a:stretch>
                      <a:fillRect/>
                    </a:stretch>
                  </pic:blipFill>
                  <pic:spPr>
                    <a:xfrm>
                      <a:off x="0" y="0"/>
                      <a:ext cx="7575550" cy="10716260"/>
                    </a:xfrm>
                    <a:prstGeom prst="rect">
                      <a:avLst/>
                    </a:prstGeom>
                  </pic:spPr>
                </pic:pic>
              </a:graphicData>
            </a:graphic>
            <wp14:sizeRelH relativeFrom="margin">
              <wp14:pctWidth>0</wp14:pctWidth>
            </wp14:sizeRelH>
            <wp14:sizeRelV relativeFrom="margin">
              <wp14:pctHeight>0</wp14:pctHeight>
            </wp14:sizeRelV>
          </wp:anchor>
        </w:drawing>
      </w:r>
    </w:p>
    <w:sectPr w:rsidR="001D260D" w:rsidRPr="00BD77FE" w:rsidSect="007F63EF">
      <w:pgSz w:w="11900" w:h="16840"/>
      <w:pgMar w:top="1134" w:right="1191" w:bottom="1134" w:left="1191" w:header="720" w:footer="255"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F2F4B3" w14:textId="77777777" w:rsidR="000F3BB7" w:rsidRDefault="000F3BB7" w:rsidP="00967499">
      <w:r>
        <w:separator/>
      </w:r>
    </w:p>
    <w:p w14:paraId="48A23179" w14:textId="77777777" w:rsidR="000F3BB7" w:rsidRDefault="000F3BB7"/>
    <w:p w14:paraId="1150BC83" w14:textId="77777777" w:rsidR="000F3BB7" w:rsidRDefault="000F3BB7"/>
  </w:endnote>
  <w:endnote w:type="continuationSeparator" w:id="0">
    <w:p w14:paraId="3998FAFA" w14:textId="77777777" w:rsidR="000F3BB7" w:rsidRDefault="000F3BB7" w:rsidP="00967499">
      <w:r>
        <w:continuationSeparator/>
      </w:r>
    </w:p>
    <w:p w14:paraId="3CE12655" w14:textId="77777777" w:rsidR="000F3BB7" w:rsidRDefault="000F3BB7"/>
    <w:p w14:paraId="248858BB" w14:textId="77777777" w:rsidR="000F3BB7" w:rsidRDefault="000F3BB7"/>
  </w:endnote>
  <w:endnote w:type="continuationNotice" w:id="1">
    <w:p w14:paraId="088D4AD7" w14:textId="77777777" w:rsidR="000F3BB7" w:rsidRDefault="000F3BB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2791D47B-3283-46FD-BBB4-1B843A11198A}"/>
    <w:embedBold r:id="rId2" w:fontKey="{A5C885A5-7094-4A7F-8AC3-1CCF899734D8}"/>
    <w:embedItalic r:id="rId3" w:fontKey="{6C3B541D-F0CC-4EB7-A678-9C40159E07A0}"/>
    <w:embedBoldItalic r:id="rId4" w:fontKey="{F000B6DE-DFBE-4A82-A81B-F4728722651E}"/>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embedRegular r:id="rId5" w:fontKey="{6757D853-FC82-4725-A7FC-AFA87D372252}"/>
    <w:embedBold r:id="rId6" w:fontKey="{9D08C2DE-5519-4ECA-8F1F-36D6BED86A01}"/>
    <w:embedItalic r:id="rId7" w:fontKey="{3CE45DDA-1EF8-4994-8B45-FA653BDE4BFE}"/>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ubeOT">
    <w:altName w:val="Calibri"/>
    <w:charset w:val="00"/>
    <w:family w:val="swiss"/>
    <w:pitch w:val="variable"/>
    <w:sig w:usb0="800000EF" w:usb1="4000A04A" w:usb2="00000008" w:usb3="00000000" w:csb0="00000001" w:csb1="00000000"/>
  </w:font>
  <w:font w:name="Segoe UI">
    <w:panose1 w:val="020B0502040204020203"/>
    <w:charset w:val="00"/>
    <w:family w:val="swiss"/>
    <w:pitch w:val="variable"/>
    <w:sig w:usb0="E4002EFF" w:usb1="C000E47F" w:usb2="00000009" w:usb3="00000000" w:csb0="000001FF" w:csb1="00000000"/>
    <w:embedRegular r:id="rId8" w:subsetted="1" w:fontKey="{EEC3E096-85C1-4102-9C03-C78F168BB92A}"/>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FE04F" w14:textId="3CE2AEB9" w:rsidR="00215994" w:rsidRPr="001E52D0" w:rsidRDefault="00215994" w:rsidP="00215994">
    <w:pPr>
      <w:pStyle w:val="ItadFooter"/>
    </w:pPr>
    <w:r w:rsidRPr="007360F4">
      <w:t>Itad</w:t>
    </w:r>
    <w:r w:rsidR="007458AC">
      <w:t xml:space="preserve"> </w:t>
    </w:r>
    <w:r>
      <w:fldChar w:fldCharType="begin"/>
    </w:r>
    <w:r>
      <w:instrText xml:space="preserve"> DATE \@ "d MMMM yyyy" </w:instrText>
    </w:r>
    <w:r>
      <w:fldChar w:fldCharType="separate"/>
    </w:r>
    <w:r w:rsidR="007B247E">
      <w:rPr>
        <w:noProof/>
      </w:rPr>
      <w:t>24 April 2024</w:t>
    </w:r>
    <w:r>
      <w:fldChar w:fldCharType="end"/>
    </w:r>
    <w:r w:rsidRPr="007360F4">
      <w:tab/>
    </w:r>
    <w:r w:rsidRPr="007360F4">
      <w:tab/>
    </w:r>
    <w:r w:rsidRPr="007360F4">
      <w:fldChar w:fldCharType="begin"/>
    </w:r>
    <w:r w:rsidRPr="007360F4">
      <w:instrText xml:space="preserve"> PAGE   \* MERGEFORMAT </w:instrText>
    </w:r>
    <w:r w:rsidRPr="007360F4">
      <w:fldChar w:fldCharType="separate"/>
    </w:r>
    <w:r>
      <w:rPr>
        <w:noProof/>
      </w:rPr>
      <w:t>8</w:t>
    </w:r>
    <w:r w:rsidRPr="007360F4">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3A5AC" w14:textId="77777777" w:rsidR="00215994" w:rsidRPr="007360F4" w:rsidRDefault="00215994" w:rsidP="00215994">
    <w:pPr>
      <w:pStyle w:val="ItadFooter"/>
    </w:pPr>
    <w:r w:rsidRPr="007360F4">
      <w:t xml:space="preserve">Itad </w:t>
    </w:r>
  </w:p>
  <w:p w14:paraId="26677E85" w14:textId="40C56F7A" w:rsidR="00215994" w:rsidRPr="007360F4" w:rsidRDefault="00215994" w:rsidP="00215994">
    <w:pPr>
      <w:pStyle w:val="ItadFooter"/>
    </w:pPr>
    <w:r>
      <w:fldChar w:fldCharType="begin"/>
    </w:r>
    <w:r>
      <w:instrText xml:space="preserve"> DATE \@ "d MMMM yyyy" </w:instrText>
    </w:r>
    <w:r>
      <w:fldChar w:fldCharType="separate"/>
    </w:r>
    <w:r w:rsidR="007B247E">
      <w:rPr>
        <w:noProof/>
      </w:rPr>
      <w:t>24 April 2024</w:t>
    </w:r>
    <w:r>
      <w:fldChar w:fldCharType="end"/>
    </w:r>
    <w:r w:rsidRPr="007360F4">
      <w:tab/>
    </w:r>
    <w:r w:rsidRPr="007360F4">
      <w:tab/>
    </w:r>
    <w:r w:rsidRPr="007360F4">
      <w:fldChar w:fldCharType="begin"/>
    </w:r>
    <w:r w:rsidRPr="007360F4">
      <w:instrText xml:space="preserve"> PAGE   \* MERGEFORMAT </w:instrText>
    </w:r>
    <w:r w:rsidRPr="007360F4">
      <w:fldChar w:fldCharType="separate"/>
    </w:r>
    <w:r>
      <w:rPr>
        <w:noProof/>
      </w:rPr>
      <w:t>1</w:t>
    </w:r>
    <w:r w:rsidRPr="007360F4">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972CBA" w14:textId="77777777" w:rsidR="005530D3" w:rsidRPr="00FF6773" w:rsidRDefault="005530D3" w:rsidP="00215994">
    <w:pPr>
      <w:pStyle w:val="Itad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1AAF6" w14:textId="77777777" w:rsidR="00215994" w:rsidRPr="00FF6773" w:rsidRDefault="00215994" w:rsidP="00215994">
    <w:pPr>
      <w:pStyle w:val="Itad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E5F751" w14:textId="77777777" w:rsidR="000F3BB7" w:rsidRPr="009A300B" w:rsidRDefault="000F3BB7" w:rsidP="009A300B">
      <w:pPr>
        <w:pStyle w:val="Footer"/>
      </w:pPr>
      <w:r>
        <w:separator/>
      </w:r>
    </w:p>
  </w:footnote>
  <w:footnote w:type="continuationSeparator" w:id="0">
    <w:p w14:paraId="2E6D41E5" w14:textId="77777777" w:rsidR="000F3BB7" w:rsidRPr="00CA1D8F" w:rsidRDefault="000F3BB7" w:rsidP="00CA1D8F">
      <w:pPr>
        <w:pStyle w:val="Footer"/>
      </w:pPr>
    </w:p>
  </w:footnote>
  <w:footnote w:type="continuationNotice" w:id="1">
    <w:p w14:paraId="13D9B4CD" w14:textId="77777777" w:rsidR="000F3BB7" w:rsidRDefault="000F3BB7"/>
  </w:footnote>
  <w:footnote w:id="2">
    <w:p w14:paraId="2E7A471B" w14:textId="63E426FD" w:rsidR="0005594D" w:rsidRDefault="0005594D">
      <w:pPr>
        <w:pStyle w:val="FootnoteText"/>
      </w:pPr>
      <w:r>
        <w:rPr>
          <w:rStyle w:val="FootnoteReference"/>
        </w:rPr>
        <w:footnoteRef/>
      </w:r>
      <w:r>
        <w:t xml:space="preserve"> Note that this was not an impact evaluation and results at this level were not expected to be achieved during phase 1 of the Fleming Fund.  See Annex  18 for the Fleming Fund portfolio-level Theory of Change and a description of expected impact and timeframes for achieving this.</w:t>
      </w:r>
    </w:p>
  </w:footnote>
  <w:footnote w:id="3">
    <w:p w14:paraId="5684890E" w14:textId="7C1333B2" w:rsidR="003B2864" w:rsidRDefault="003B2864">
      <w:pPr>
        <w:pStyle w:val="FootnoteText"/>
      </w:pPr>
      <w:r>
        <w:rPr>
          <w:rStyle w:val="FootnoteReference"/>
        </w:rPr>
        <w:footnoteRef/>
      </w:r>
      <w:r>
        <w:t xml:space="preserve"> </w:t>
      </w:r>
      <w:r w:rsidR="00002C44">
        <w:t xml:space="preserve">Inception Report for the Independent </w:t>
      </w:r>
      <w:r w:rsidR="00B65879" w:rsidRPr="006558DB">
        <w:t xml:space="preserve">Evaluation of </w:t>
      </w:r>
      <w:r w:rsidR="00002C44">
        <w:t>t</w:t>
      </w:r>
      <w:r w:rsidR="00002C44" w:rsidRPr="006558DB">
        <w:t>he Fleming Fund</w:t>
      </w:r>
      <w:r w:rsidR="00002C44">
        <w:t xml:space="preserve"> Grants Programme – Vol I. and II. Itad (June 2018)</w:t>
      </w:r>
    </w:p>
  </w:footnote>
  <w:footnote w:id="4">
    <w:p w14:paraId="5188EA08" w14:textId="77777777" w:rsidR="00D970EC" w:rsidRPr="004F4677" w:rsidRDefault="00D970EC" w:rsidP="00BB4743">
      <w:pPr>
        <w:pStyle w:val="Itadfootnotestyle"/>
      </w:pPr>
      <w:r w:rsidRPr="004F4677">
        <w:rPr>
          <w:rStyle w:val="FootnoteReference"/>
          <w:sz w:val="18"/>
          <w:szCs w:val="18"/>
        </w:rPr>
        <w:footnoteRef/>
      </w:r>
      <w:r w:rsidRPr="004F4677">
        <w:t xml:space="preserve"> We have asked the MA what would be helpful for the evaluation to focus on and they have indicated that evaluation of the efficiency and effectiveness of the grant making process would be most useful in the first year.</w:t>
      </w:r>
    </w:p>
  </w:footnote>
  <w:footnote w:id="5">
    <w:p w14:paraId="0C8716C4" w14:textId="40D67559" w:rsidR="00D970EC" w:rsidRPr="00CB16D3" w:rsidRDefault="00D970EC" w:rsidP="00D970EC">
      <w:pPr>
        <w:pStyle w:val="FootnoteText"/>
        <w:rPr>
          <w:lang w:val="x-none"/>
        </w:rPr>
      </w:pPr>
      <w:r w:rsidRPr="00BB4743">
        <w:rPr>
          <w:rStyle w:val="FootnoteReference"/>
          <w:sz w:val="16"/>
          <w:szCs w:val="16"/>
        </w:rPr>
        <w:footnoteRef/>
      </w:r>
      <w:r w:rsidRPr="00CB16D3">
        <w:t xml:space="preserve"> </w:t>
      </w:r>
      <w:r w:rsidRPr="00BB4743">
        <w:rPr>
          <w:rFonts w:eastAsia="Calibri" w:cs="Calibri"/>
          <w:color w:val="000000"/>
        </w:rPr>
        <w:t xml:space="preserve">Bangladesh, Bhutan, Indonesia, Nigeria, Senegal, Sierra Leone, Kenya, Vietnam, Nepal, </w:t>
      </w:r>
      <w:r w:rsidR="00260B8A">
        <w:rPr>
          <w:rFonts w:eastAsia="Calibri" w:cs="Calibri"/>
          <w:color w:val="000000"/>
        </w:rPr>
        <w:t>Timor-Leste</w:t>
      </w:r>
      <w:r w:rsidRPr="00BB4743">
        <w:rPr>
          <w:rFonts w:eastAsia="Calibri" w:cs="Calibri"/>
          <w:color w:val="000000"/>
        </w:rPr>
        <w:t>, Uganda, Ghana, Tanzania, Zambia, Pakistan and Laos.</w:t>
      </w:r>
    </w:p>
  </w:footnote>
  <w:footnote w:id="6">
    <w:p w14:paraId="6CBD50EF" w14:textId="77777777" w:rsidR="00F642FD" w:rsidRPr="007F63EF" w:rsidRDefault="00F642FD" w:rsidP="00F642FD">
      <w:pPr>
        <w:pStyle w:val="FootnoteText"/>
        <w:jc w:val="both"/>
        <w:rPr>
          <w:rStyle w:val="ItadfootnotestyleChar"/>
        </w:rPr>
      </w:pPr>
      <w:r>
        <w:rPr>
          <w:rStyle w:val="FootnoteReference"/>
        </w:rPr>
        <w:footnoteRef/>
      </w:r>
      <w:r>
        <w:t xml:space="preserve"> </w:t>
      </w:r>
      <w:r w:rsidRPr="007F63EF">
        <w:rPr>
          <w:rStyle w:val="ItadfootnotestyleChar"/>
        </w:rPr>
        <w:t>Snowball sampling is an approach for identifying KIs.  The process begins by asking well situated people “Whom should I talk to?”  By asking a number of people who else to talk with, the snowball gets bigger and bigger as you accumulate new information on relevant KIs.  Patton M Q, (2002) Qualitative Research and Evaluation Options (3rd ed.) Thousand Oaks, California. Sage Publications</w:t>
      </w:r>
    </w:p>
  </w:footnote>
  <w:footnote w:id="7">
    <w:p w14:paraId="35D6D242" w14:textId="77777777" w:rsidR="00F642FD" w:rsidRPr="007F63EF" w:rsidRDefault="00F642FD" w:rsidP="00F642FD">
      <w:pPr>
        <w:pStyle w:val="FootnoteText"/>
        <w:jc w:val="both"/>
        <w:rPr>
          <w:rStyle w:val="ItadfootnotestyleChar"/>
        </w:rPr>
      </w:pPr>
      <w:r w:rsidRPr="008D7F10">
        <w:rPr>
          <w:rStyle w:val="FootnoteReference"/>
          <w:rFonts w:cstheme="minorHAnsi"/>
        </w:rPr>
        <w:footnoteRef/>
      </w:r>
      <w:r w:rsidRPr="008D7F10">
        <w:rPr>
          <w:rFonts w:asciiTheme="minorHAnsi" w:hAnsiTheme="minorHAnsi" w:cstheme="minorHAnsi"/>
        </w:rPr>
        <w:t xml:space="preserve"> </w:t>
      </w:r>
      <w:r w:rsidRPr="007F63EF">
        <w:rPr>
          <w:rStyle w:val="ItadfootnotestyleChar"/>
        </w:rPr>
        <w:t>The literature often talks about reaching ‘analytic saturation point’ – the point during the analysis of the data where the same themes are recurring, and no new insights are given by additional sources of data. </w:t>
      </w:r>
    </w:p>
  </w:footnote>
  <w:footnote w:id="8">
    <w:p w14:paraId="35811939" w14:textId="2F5263BB" w:rsidR="00D970EC" w:rsidRPr="00BB4743" w:rsidRDefault="00D970EC" w:rsidP="00D970EC">
      <w:pPr>
        <w:autoSpaceDE w:val="0"/>
        <w:autoSpaceDN w:val="0"/>
        <w:adjustRightInd w:val="0"/>
        <w:jc w:val="both"/>
        <w:rPr>
          <w:sz w:val="16"/>
          <w:szCs w:val="16"/>
        </w:rPr>
      </w:pPr>
      <w:r w:rsidRPr="00BB4743">
        <w:rPr>
          <w:rStyle w:val="FootnoteReference"/>
          <w:sz w:val="16"/>
          <w:szCs w:val="16"/>
        </w:rPr>
        <w:footnoteRef/>
      </w:r>
      <w:r w:rsidRPr="00BB4743">
        <w:rPr>
          <w:sz w:val="16"/>
          <w:szCs w:val="16"/>
        </w:rPr>
        <w:t xml:space="preserve"> </w:t>
      </w:r>
      <w:r w:rsidRPr="00BB4743">
        <w:rPr>
          <w:rFonts w:eastAsia="Calibri" w:cs="Calibri"/>
          <w:color w:val="000000"/>
          <w:sz w:val="16"/>
          <w:szCs w:val="16"/>
        </w:rPr>
        <w:t xml:space="preserve">One Health is the integrative effort of multiple disciplines working together locally, nationally and globally to attain optimal health for people, animals and the environment. </w:t>
      </w:r>
      <w:hyperlink r:id="rId1" w:history="1">
        <w:r w:rsidRPr="00BB4743">
          <w:rPr>
            <w:rStyle w:val="Hyperlink"/>
            <w:rFonts w:eastAsia="Calibri" w:cs="Calibri"/>
            <w:sz w:val="16"/>
            <w:szCs w:val="16"/>
          </w:rPr>
          <w:t>https://www.avma.org/onehealth</w:t>
        </w:r>
      </w:hyperlink>
      <w:r w:rsidR="007458AC" w:rsidRPr="00BB4743">
        <w:rPr>
          <w:rFonts w:eastAsia="Calibri" w:cs="Calibri"/>
          <w:color w:val="333333"/>
          <w:sz w:val="16"/>
          <w:szCs w:val="16"/>
        </w:rPr>
        <w:t xml:space="preserve"> </w:t>
      </w:r>
    </w:p>
  </w:footnote>
  <w:footnote w:id="9">
    <w:p w14:paraId="1F6A4E6F" w14:textId="77777777" w:rsidR="001357B3" w:rsidRPr="00FF090A" w:rsidRDefault="001357B3" w:rsidP="001357B3">
      <w:pPr>
        <w:pStyle w:val="Itadfootnotestyle"/>
      </w:pPr>
      <w:r>
        <w:rPr>
          <w:rStyle w:val="FootnoteReference"/>
        </w:rPr>
        <w:footnoteRef/>
      </w:r>
      <w:r>
        <w:t xml:space="preserve"> </w:t>
      </w:r>
      <w:r w:rsidRPr="00FF090A">
        <w:t xml:space="preserve">Snowball </w:t>
      </w:r>
      <w:r>
        <w:t>s</w:t>
      </w:r>
      <w:r w:rsidRPr="00FF090A">
        <w:t xml:space="preserve">ampling is an </w:t>
      </w:r>
      <w:r>
        <w:t>approach</w:t>
      </w:r>
      <w:r w:rsidRPr="00FF090A">
        <w:t xml:space="preserve"> for </w:t>
      </w:r>
      <w:r>
        <w:t>identifying KIs</w:t>
      </w:r>
      <w:r w:rsidRPr="00FF090A">
        <w:t>.</w:t>
      </w:r>
      <w:r>
        <w:t xml:space="preserve"> </w:t>
      </w:r>
      <w:r w:rsidRPr="00FF090A">
        <w:t xml:space="preserve">The process begins by asking </w:t>
      </w:r>
      <w:r>
        <w:t>well-situated</w:t>
      </w:r>
      <w:r w:rsidRPr="00FF090A">
        <w:t xml:space="preserve"> people “Whom should I talk to?” By asking a number of people who else to talk with, the snowball gets bigger and bigger as you accumulate new information</w:t>
      </w:r>
      <w:r>
        <w:t xml:space="preserve"> on relevant KIs</w:t>
      </w:r>
      <w:r w:rsidRPr="00FF090A">
        <w:t xml:space="preserve">. </w:t>
      </w:r>
      <w:r w:rsidRPr="00FF090A">
        <w:rPr>
          <w:shd w:val="clear" w:color="auto" w:fill="FFFFFF"/>
        </w:rPr>
        <w:t>Patton M Q, (2002) </w:t>
      </w:r>
      <w:r w:rsidRPr="00FF090A">
        <w:rPr>
          <w:i/>
          <w:iCs/>
          <w:shd w:val="clear" w:color="auto" w:fill="FFFFFF"/>
        </w:rPr>
        <w:t>Qualitative Research and Evaluation Options (</w:t>
      </w:r>
      <w:r w:rsidRPr="00FF090A">
        <w:rPr>
          <w:shd w:val="clear" w:color="auto" w:fill="FFFFFF"/>
        </w:rPr>
        <w:t>3</w:t>
      </w:r>
      <w:r w:rsidRPr="00FF090A">
        <w:rPr>
          <w:shd w:val="clear" w:color="auto" w:fill="FFFFFF"/>
          <w:vertAlign w:val="superscript"/>
        </w:rPr>
        <w:t>rd</w:t>
      </w:r>
      <w:r w:rsidRPr="00FF090A">
        <w:rPr>
          <w:shd w:val="clear" w:color="auto" w:fill="FFFFFF"/>
        </w:rPr>
        <w:t> ed.) Thousand Oaks, California. Sage Publications</w:t>
      </w:r>
    </w:p>
  </w:footnote>
  <w:footnote w:id="10">
    <w:p w14:paraId="4C4FB012" w14:textId="77777777" w:rsidR="001357B3" w:rsidRPr="008D7F10" w:rsidRDefault="001357B3" w:rsidP="001357B3">
      <w:pPr>
        <w:pStyle w:val="Itadfootnotestyle"/>
      </w:pPr>
      <w:r w:rsidRPr="008D7F10">
        <w:rPr>
          <w:rStyle w:val="FootnoteReference"/>
          <w:rFonts w:cstheme="minorHAnsi"/>
        </w:rPr>
        <w:footnoteRef/>
      </w:r>
      <w:r w:rsidRPr="008D7F10">
        <w:t xml:space="preserve"> </w:t>
      </w:r>
      <w:r w:rsidRPr="004F4677">
        <w:rPr>
          <w:shd w:val="clear" w:color="auto" w:fill="FFFFFF"/>
        </w:rPr>
        <w:t>The literature often talks about reaching ‘analytic saturation point’ – the point during the analysis of the data where the same themes are recurring, and no new insights are given by additional sources of data. </w:t>
      </w:r>
    </w:p>
  </w:footnote>
  <w:footnote w:id="11">
    <w:p w14:paraId="49C9C17F" w14:textId="5F376E1E" w:rsidR="00D970EC" w:rsidRPr="00BB4743" w:rsidRDefault="00D970EC" w:rsidP="00D970EC">
      <w:pPr>
        <w:pStyle w:val="FootnoteText"/>
        <w:rPr>
          <w:rFonts w:eastAsia="Calibri" w:cs="Calibri"/>
          <w:color w:val="000000"/>
        </w:rPr>
      </w:pPr>
      <w:r w:rsidRPr="00BB4743">
        <w:rPr>
          <w:rStyle w:val="FootnoteReference"/>
          <w:sz w:val="16"/>
          <w:szCs w:val="16"/>
        </w:rPr>
        <w:footnoteRef/>
      </w:r>
      <w:r w:rsidRPr="00CB16D3">
        <w:t xml:space="preserve"> </w:t>
      </w:r>
      <w:r w:rsidRPr="00BB4743">
        <w:rPr>
          <w:rFonts w:eastAsia="Calibri" w:cs="Calibri"/>
          <w:color w:val="000000"/>
        </w:rPr>
        <w:t xml:space="preserve">Wave 1 (Q1 2022) Bangladesh, Bhutan, Indonesia, Nigeria, Senegal, Sierra Leone, Vietnam and </w:t>
      </w:r>
      <w:r w:rsidR="00260B8A">
        <w:rPr>
          <w:rFonts w:eastAsia="Calibri" w:cs="Calibri"/>
          <w:color w:val="000000"/>
        </w:rPr>
        <w:t>Timor-Leste</w:t>
      </w:r>
      <w:r w:rsidRPr="00BB4743">
        <w:rPr>
          <w:rFonts w:eastAsia="Calibri" w:cs="Calibri"/>
          <w:color w:val="000000"/>
        </w:rPr>
        <w:t>. Wave 2 (Q2 &amp; 3 2022) Kenya, Nepal, Uganda, Ghana, Tanzania, Zambia, Pakistan and Laos.</w:t>
      </w:r>
    </w:p>
    <w:p w14:paraId="5C10EFD7" w14:textId="77777777" w:rsidR="00D970EC" w:rsidRPr="00757472" w:rsidRDefault="00D970EC" w:rsidP="00D970EC">
      <w:pPr>
        <w:pStyle w:val="FootnoteText"/>
        <w:rPr>
          <w:lang w:val="x-none"/>
        </w:rPr>
      </w:pPr>
    </w:p>
  </w:footnote>
  <w:footnote w:id="12">
    <w:p w14:paraId="579D275B" w14:textId="6234B7FB" w:rsidR="00C0704B" w:rsidRPr="00CB16D3" w:rsidRDefault="0064032E" w:rsidP="00BB4743">
      <w:pPr>
        <w:pStyle w:val="Itadfootnotestyle"/>
      </w:pPr>
      <w:r w:rsidRPr="00CB16D3">
        <w:rPr>
          <w:rStyle w:val="FootnoteReference"/>
          <w:rFonts w:ascii="Calibri" w:hAnsi="Calibri"/>
          <w:sz w:val="16"/>
          <w:szCs w:val="16"/>
        </w:rPr>
        <w:footnoteRef/>
      </w:r>
      <w:r w:rsidR="00F5133F" w:rsidRPr="00CB16D3">
        <w:rPr>
          <w:rStyle w:val="FootnoteReference"/>
          <w:rFonts w:ascii="Calibri" w:hAnsi="Calibri"/>
          <w:sz w:val="16"/>
          <w:szCs w:val="16"/>
          <w:vertAlign w:val="baseline"/>
        </w:rPr>
        <w:t xml:space="preserve"> </w:t>
      </w:r>
      <w:r w:rsidR="00C95090" w:rsidRPr="00CB16D3">
        <w:rPr>
          <w:rStyle w:val="FootnoteReference"/>
          <w:rFonts w:ascii="Calibri" w:hAnsi="Calibri"/>
          <w:sz w:val="16"/>
          <w:szCs w:val="16"/>
          <w:vertAlign w:val="baseline"/>
        </w:rPr>
        <w:t>Stern, E.; Stame, N.; Mayne, J.; Forss, K.; Davies, R.; Befani, B. (2012). DFID Working Paper 38. Broadening the range of designs and methods for impact evaluations. London: DFID.</w:t>
      </w:r>
      <w:r w:rsidR="00CB16D3">
        <w:t xml:space="preserve"> </w:t>
      </w:r>
      <w:r w:rsidR="0082589B" w:rsidRPr="00CB16D3">
        <w:t xml:space="preserve">Available at: </w:t>
      </w:r>
      <w:r w:rsidR="00C0704B" w:rsidRPr="00CB16D3">
        <w:t>https://www.gov.uk/research-for-development-outputs/dfid-working-paper-38-broadening-the-range-of-designs-and-methods-for-impact-evaluations</w:t>
      </w:r>
    </w:p>
  </w:footnote>
  <w:footnote w:id="13">
    <w:p w14:paraId="460B45DD" w14:textId="1B82F147" w:rsidR="005A7EF3" w:rsidRDefault="005A7EF3" w:rsidP="00BB4743">
      <w:pPr>
        <w:pStyle w:val="Itadfootnotestyle"/>
      </w:pPr>
      <w:r w:rsidRPr="00CB16D3">
        <w:rPr>
          <w:rStyle w:val="FootnoteReference"/>
          <w:rFonts w:ascii="Calibri" w:hAnsi="Calibri"/>
          <w:sz w:val="16"/>
          <w:szCs w:val="16"/>
        </w:rPr>
        <w:footnoteRef/>
      </w:r>
      <w:r w:rsidRPr="00CB16D3">
        <w:t xml:space="preserve"> </w:t>
      </w:r>
      <w:r w:rsidR="005436FF" w:rsidRPr="00CB16D3">
        <w:t xml:space="preserve">OECD iLibrary. (2022). 4. Understanding the six criteria: Definitions, elements for analysis and key challenges. Retrieved from OECD iLibrary: </w:t>
      </w:r>
      <w:hyperlink r:id="rId2" w:anchor="chapter-d1e2438" w:history="1">
        <w:r w:rsidR="005436FF" w:rsidRPr="00CB16D3">
          <w:rPr>
            <w:rStyle w:val="Hyperlink"/>
            <w:color w:val="auto"/>
            <w:u w:val="none"/>
          </w:rPr>
          <w:t>https://www.oecd-ilibrary.org/sites/543e84ed-en/1/3/4/index.html?itemId=/content/publication/543e84ed-en&amp;_csp_=535d2f2a848b7727d35502d7f36e4885&amp;itemIGO=oecd&amp;itemContentType=book#chapter-d1e2438</w:t>
        </w:r>
      </w:hyperlink>
    </w:p>
  </w:footnote>
  <w:footnote w:id="14">
    <w:p w14:paraId="5689C486" w14:textId="7E0CDEAD" w:rsidR="06450652" w:rsidRPr="00C83BFF" w:rsidRDefault="06450652" w:rsidP="00FC6A03">
      <w:pPr>
        <w:pStyle w:val="Itadfootnotestyle"/>
      </w:pPr>
      <w:r w:rsidRPr="00BB4743">
        <w:rPr>
          <w:vertAlign w:val="superscript"/>
        </w:rPr>
        <w:footnoteRef/>
      </w:r>
      <w:r>
        <w:t xml:space="preserve"> </w:t>
      </w:r>
      <w:r w:rsidRPr="00C83BFF">
        <w:t xml:space="preserve">See for example </w:t>
      </w:r>
      <w:r w:rsidR="005436FF" w:rsidRPr="00C83BFF">
        <w:t xml:space="preserve">Hassel, A., &amp; Wegrich, K. (2022). How to Set the Agenda. In </w:t>
      </w:r>
      <w:r w:rsidR="00DA6EA8" w:rsidRPr="00C83BFF">
        <w:t xml:space="preserve">Hassel, Anke, and Kai Wegrich, 'How to Set the Agenda', </w:t>
      </w:r>
      <w:r w:rsidR="00DA6EA8" w:rsidRPr="00BB4743">
        <w:rPr>
          <w:i/>
          <w:iCs/>
        </w:rPr>
        <w:t>How to Do Public Policy</w:t>
      </w:r>
      <w:r w:rsidR="00DA6EA8" w:rsidRPr="00C83BFF">
        <w:t xml:space="preserve"> (Oxford, 2022; online edn, Oxford Academic, 21 Apr. 2022).</w:t>
      </w:r>
      <w:r w:rsidR="005436FF" w:rsidRPr="00C83BFF">
        <w:t xml:space="preserve"> Available at: </w:t>
      </w:r>
      <w:hyperlink r:id="rId3">
        <w:r w:rsidRPr="00C83BFF">
          <w:rPr>
            <w:rStyle w:val="Hyperlink"/>
            <w:rFonts w:eastAsia="Calibri" w:cs="Calibri"/>
          </w:rPr>
          <w:t>https://doi.org/10.1093/oso/9780198747000.003.0003</w:t>
        </w:r>
      </w:hyperlink>
    </w:p>
  </w:footnote>
  <w:footnote w:id="15">
    <w:p w14:paraId="4CD8C40D" w14:textId="215D1107" w:rsidR="00FC6A03" w:rsidRPr="00C83BFF" w:rsidRDefault="00FC6A03" w:rsidP="00FC6A03">
      <w:pPr>
        <w:pStyle w:val="Itadfootnotestyle"/>
      </w:pPr>
      <w:r w:rsidRPr="00BB4743">
        <w:rPr>
          <w:rStyle w:val="FootnoteReference"/>
          <w:sz w:val="16"/>
          <w:szCs w:val="16"/>
        </w:rPr>
        <w:footnoteRef/>
      </w:r>
      <w:r w:rsidRPr="00C83BFF">
        <w:t xml:space="preserve"> Kingdon, J. (2010). Agendas, alternatives, and public policies, update</w:t>
      </w:r>
      <w:r w:rsidR="00564440">
        <w:t>d</w:t>
      </w:r>
      <w:r w:rsidRPr="00C83BFF">
        <w:t xml:space="preserve"> edition, with an epilogue on health care, 2nd edition. Boston: Pearson.</w:t>
      </w:r>
    </w:p>
    <w:p w14:paraId="7DE96ADA" w14:textId="32E5FCBE" w:rsidR="00FC6A03" w:rsidRDefault="00FC6A03">
      <w:pPr>
        <w:pStyle w:val="FootnoteText"/>
      </w:pPr>
    </w:p>
  </w:footnote>
  <w:footnote w:id="16">
    <w:p w14:paraId="515148BC" w14:textId="77EEBB43" w:rsidR="06450652" w:rsidRPr="0018207B" w:rsidRDefault="06450652" w:rsidP="06450652">
      <w:pPr>
        <w:rPr>
          <w:sz w:val="16"/>
          <w:szCs w:val="16"/>
          <w:lang w:val="nl-NL"/>
        </w:rPr>
      </w:pPr>
      <w:r w:rsidRPr="00BB4743">
        <w:rPr>
          <w:sz w:val="16"/>
          <w:szCs w:val="16"/>
        </w:rPr>
        <w:footnoteRef/>
      </w:r>
      <w:r w:rsidRPr="00BB4743">
        <w:rPr>
          <w:sz w:val="16"/>
          <w:szCs w:val="16"/>
        </w:rPr>
        <w:t xml:space="preserve"> See for example </w:t>
      </w:r>
      <w:r w:rsidRPr="00BB4743">
        <w:rPr>
          <w:rFonts w:eastAsia="Calibri" w:cs="Calibri"/>
          <w:sz w:val="16"/>
          <w:szCs w:val="16"/>
        </w:rPr>
        <w:t xml:space="preserve">Bailey, H. (2012). </w:t>
      </w:r>
      <w:r w:rsidRPr="00BB4743">
        <w:rPr>
          <w:rFonts w:eastAsia="Calibri" w:cs="Calibri"/>
          <w:i/>
          <w:iCs/>
          <w:sz w:val="16"/>
          <w:szCs w:val="16"/>
        </w:rPr>
        <w:t>Stories of Change</w:t>
      </w:r>
      <w:r w:rsidRPr="00BB4743">
        <w:rPr>
          <w:rFonts w:eastAsia="Calibri" w:cs="Calibri"/>
          <w:sz w:val="16"/>
          <w:szCs w:val="16"/>
        </w:rPr>
        <w:t xml:space="preserve">. </w:t>
      </w:r>
      <w:r w:rsidRPr="0018207B">
        <w:rPr>
          <w:rFonts w:eastAsia="Calibri" w:cs="Calibri"/>
          <w:sz w:val="16"/>
          <w:szCs w:val="16"/>
          <w:lang w:val="nl-NL"/>
        </w:rPr>
        <w:t xml:space="preserve">IDS. </w:t>
      </w:r>
      <w:hyperlink r:id="rId4">
        <w:r w:rsidRPr="0018207B">
          <w:rPr>
            <w:rStyle w:val="Hyperlink"/>
            <w:rFonts w:eastAsia="Calibri" w:cs="Calibri"/>
            <w:sz w:val="16"/>
            <w:szCs w:val="16"/>
            <w:lang w:val="nl-NL"/>
          </w:rPr>
          <w:t>https://opendocs.ids.ac.uk/opendocs/bitstream/handle/20.500.12413/7141/GOKH%20Stories%20of%20Change%20FINAL.pdf;sequence=1</w:t>
        </w:r>
      </w:hyperlink>
    </w:p>
  </w:footnote>
  <w:footnote w:id="17">
    <w:p w14:paraId="77DD9314" w14:textId="5749EF7B" w:rsidR="06450652" w:rsidRPr="00BB4743" w:rsidRDefault="06450652" w:rsidP="06450652">
      <w:pPr>
        <w:rPr>
          <w:sz w:val="16"/>
          <w:szCs w:val="16"/>
        </w:rPr>
      </w:pPr>
      <w:r w:rsidRPr="00BB4743">
        <w:rPr>
          <w:sz w:val="16"/>
          <w:szCs w:val="16"/>
        </w:rPr>
        <w:footnoteRef/>
      </w:r>
      <w:r w:rsidRPr="00BB4743">
        <w:rPr>
          <w:sz w:val="16"/>
          <w:szCs w:val="16"/>
        </w:rPr>
        <w:t xml:space="preserve"> See for example </w:t>
      </w:r>
      <w:r w:rsidRPr="00BB4743">
        <w:rPr>
          <w:rFonts w:eastAsia="Calibri" w:cs="Calibri"/>
          <w:sz w:val="16"/>
          <w:szCs w:val="16"/>
        </w:rPr>
        <w:t xml:space="preserve">Wilson-Grau, R. (2018). </w:t>
      </w:r>
      <w:r w:rsidRPr="00BB4743">
        <w:rPr>
          <w:rFonts w:eastAsia="Calibri" w:cs="Calibri"/>
          <w:i/>
          <w:iCs/>
          <w:sz w:val="16"/>
          <w:szCs w:val="16"/>
        </w:rPr>
        <w:t>Outcome Harvesting: Principles, Steps, and Evaluation Applications</w:t>
      </w:r>
      <w:r w:rsidRPr="00BB4743">
        <w:rPr>
          <w:rFonts w:eastAsia="Calibri" w:cs="Calibri"/>
          <w:sz w:val="16"/>
          <w:szCs w:val="16"/>
        </w:rPr>
        <w:t>. IAP.</w:t>
      </w:r>
    </w:p>
  </w:footnote>
  <w:footnote w:id="18">
    <w:p w14:paraId="4B3E1D82" w14:textId="6059B29F" w:rsidR="06450652" w:rsidRPr="004E066B" w:rsidRDefault="06450652" w:rsidP="00BB4743">
      <w:pPr>
        <w:pStyle w:val="Itadfootnotestyle"/>
      </w:pPr>
      <w:r w:rsidRPr="004E066B">
        <w:footnoteRef/>
      </w:r>
      <w:r w:rsidRPr="004E066B">
        <w:t xml:space="preserve"> See for example </w:t>
      </w:r>
      <w:r w:rsidRPr="00BB4743">
        <w:t xml:space="preserve">Frid-Nielsen, S. S., Rubin, O., &amp; Baekkeskov, E. (2019). The state of social science research on antimicrobial resistance. </w:t>
      </w:r>
      <w:r w:rsidRPr="00BB4743">
        <w:rPr>
          <w:i/>
          <w:iCs/>
        </w:rPr>
        <w:t>Social Science &amp; Medicine (1982)</w:t>
      </w:r>
      <w:r w:rsidRPr="00BB4743">
        <w:t xml:space="preserve">, </w:t>
      </w:r>
      <w:r w:rsidRPr="00BB4743">
        <w:rPr>
          <w:i/>
          <w:iCs/>
        </w:rPr>
        <w:t>242</w:t>
      </w:r>
      <w:r w:rsidRPr="00BB4743">
        <w:t xml:space="preserve">, 112596. </w:t>
      </w:r>
      <w:r w:rsidR="001069A8" w:rsidRPr="00BB4743">
        <w:t xml:space="preserve">Available at: </w:t>
      </w:r>
      <w:hyperlink r:id="rId5" w:history="1">
        <w:r w:rsidR="00D7532C" w:rsidRPr="004E066B">
          <w:rPr>
            <w:rStyle w:val="Hyperlink"/>
            <w:rFonts w:eastAsia="Calibri" w:cs="Calibri"/>
          </w:rPr>
          <w:t>https://doi.org/10.1016/j.socscimed.2019.112596</w:t>
        </w:r>
      </w:hyperlink>
      <w:r w:rsidR="007E2893" w:rsidRPr="004E066B">
        <w:rPr>
          <w:rStyle w:val="Hyperlink"/>
          <w:rFonts w:eastAsia="Calibri" w:cs="Calibri"/>
        </w:rPr>
        <w:t xml:space="preserve"> </w:t>
      </w:r>
    </w:p>
  </w:footnote>
  <w:footnote w:id="19">
    <w:p w14:paraId="767C5D48" w14:textId="4A7519F3" w:rsidR="002A0C0D" w:rsidRDefault="002A0C0D">
      <w:pPr>
        <w:pStyle w:val="FootnoteText"/>
      </w:pPr>
      <w:r>
        <w:rPr>
          <w:rStyle w:val="FootnoteReference"/>
        </w:rPr>
        <w:footnoteRef/>
      </w:r>
      <w:r w:rsidR="007E2893" w:rsidRPr="007E2893">
        <w:t>DFID. (2011). DFID’s Approach to Value for Money (VfM). London: DFID.</w:t>
      </w:r>
      <w:r w:rsidR="007E2893">
        <w:t xml:space="preserve"> Available at: </w:t>
      </w:r>
      <w:r w:rsidRPr="002A0C0D">
        <w:t>https://assets.publishing.service.gov.uk/government/uploads/system/uploads/attachment_data/file/49551/DFID-approach-value-money.pdf</w:t>
      </w:r>
    </w:p>
  </w:footnote>
  <w:footnote w:id="20">
    <w:p w14:paraId="12E3D3A2" w14:textId="5C4C6761" w:rsidR="00386198" w:rsidRDefault="00386198">
      <w:pPr>
        <w:pStyle w:val="FootnoteText"/>
      </w:pPr>
      <w:r>
        <w:rPr>
          <w:rStyle w:val="FootnoteReference"/>
        </w:rPr>
        <w:footnoteRef/>
      </w:r>
      <w:r>
        <w:t xml:space="preserve"> </w:t>
      </w:r>
      <w:r w:rsidR="007E2893" w:rsidRPr="007E2893">
        <w:t xml:space="preserve">Brown, C., &amp; Shorten, T. (2021, 07 21). Common elements of good practice for sustainability. Retrieved from The Fleming Fund: </w:t>
      </w:r>
      <w:hyperlink r:id="rId6" w:history="1">
        <w:r w:rsidR="007E2893" w:rsidRPr="00C20910">
          <w:rPr>
            <w:rStyle w:val="Hyperlink"/>
          </w:rPr>
          <w:t>https://www.flemingfund.org/publications/common-elements-of-good-practice-for-sustainability/</w:t>
        </w:r>
      </w:hyperlink>
      <w:r w:rsidR="00451336" w:rsidRPr="00451336">
        <w:t>/</w:t>
      </w:r>
    </w:p>
  </w:footnote>
  <w:footnote w:id="21">
    <w:p w14:paraId="66E71BE8" w14:textId="5A33275A" w:rsidR="003947A5" w:rsidRDefault="003947A5" w:rsidP="003947A5">
      <w:pPr>
        <w:textAlignment w:val="baseline"/>
        <w:rPr>
          <w:rFonts w:asciiTheme="minorHAnsi" w:hAnsiTheme="minorHAnsi" w:cstheme="minorBidi"/>
          <w:sz w:val="18"/>
          <w:szCs w:val="18"/>
        </w:rPr>
      </w:pPr>
      <w:r>
        <w:rPr>
          <w:rStyle w:val="FootnoteReference"/>
          <w:sz w:val="16"/>
          <w:szCs w:val="16"/>
        </w:rPr>
        <w:footnoteRef/>
      </w:r>
      <w:r>
        <w:rPr>
          <w:sz w:val="18"/>
          <w:szCs w:val="18"/>
        </w:rPr>
        <w:t xml:space="preserve"> </w:t>
      </w:r>
      <w:r>
        <w:rPr>
          <w:rFonts w:eastAsia="Times New Roman" w:cs="Calibri"/>
          <w:sz w:val="16"/>
          <w:szCs w:val="16"/>
          <w:lang w:eastAsia="en-GB"/>
        </w:rPr>
        <w:t>Gov</w:t>
      </w:r>
      <w:r w:rsidR="00D11917">
        <w:rPr>
          <w:rFonts w:eastAsia="Times New Roman" w:cs="Calibri"/>
          <w:sz w:val="16"/>
          <w:szCs w:val="16"/>
          <w:lang w:eastAsia="en-GB"/>
        </w:rPr>
        <w:t>ernmen</w:t>
      </w:r>
      <w:r>
        <w:rPr>
          <w:rFonts w:eastAsia="Times New Roman" w:cs="Calibri"/>
          <w:sz w:val="16"/>
          <w:szCs w:val="16"/>
          <w:lang w:eastAsia="en-GB"/>
        </w:rPr>
        <w:t>t resources; Investments in infrastructure, equipment and consumables; Donor funding </w:t>
      </w:r>
    </w:p>
  </w:footnote>
  <w:footnote w:id="22">
    <w:p w14:paraId="4B2691AF" w14:textId="77777777" w:rsidR="003947A5" w:rsidRDefault="003947A5" w:rsidP="003947A5">
      <w:pPr>
        <w:textAlignment w:val="baseline"/>
        <w:rPr>
          <w:sz w:val="18"/>
          <w:szCs w:val="18"/>
        </w:rPr>
      </w:pPr>
      <w:r>
        <w:rPr>
          <w:rStyle w:val="FootnoteReference"/>
          <w:sz w:val="16"/>
          <w:szCs w:val="16"/>
        </w:rPr>
        <w:footnoteRef/>
      </w:r>
      <w:r>
        <w:rPr>
          <w:rFonts w:eastAsia="Times New Roman" w:cs="Calibri"/>
          <w:sz w:val="16"/>
          <w:szCs w:val="16"/>
          <w:lang w:eastAsia="en-GB"/>
        </w:rPr>
        <w:t xml:space="preserve"> Human resource (enough posts, supply); Human resources (training) </w:t>
      </w:r>
    </w:p>
  </w:footnote>
  <w:footnote w:id="23">
    <w:p w14:paraId="21AFD0D3" w14:textId="316D8F3D" w:rsidR="003947A5" w:rsidRDefault="003947A5" w:rsidP="003947A5">
      <w:pPr>
        <w:pStyle w:val="FootnoteText"/>
        <w:rPr>
          <w:sz w:val="12"/>
          <w:szCs w:val="12"/>
        </w:rPr>
      </w:pPr>
      <w:r>
        <w:rPr>
          <w:rStyle w:val="FootnoteReference"/>
        </w:rPr>
        <w:footnoteRef/>
      </w:r>
      <w:r>
        <w:rPr>
          <w:sz w:val="12"/>
          <w:szCs w:val="12"/>
        </w:rPr>
        <w:t xml:space="preserve"> </w:t>
      </w:r>
      <w:r>
        <w:rPr>
          <w:rFonts w:asciiTheme="minorHAnsi" w:eastAsia="Times New Roman" w:hAnsiTheme="minorHAnsi" w:cs="Calibri"/>
          <w:lang w:eastAsia="en-GB"/>
        </w:rPr>
        <w:t xml:space="preserve">Staff are motivated to undertake functions, responsibilities/apply skills learned to maintain AMR surveillance beyond </w:t>
      </w:r>
      <w:r w:rsidR="00CB35D6">
        <w:rPr>
          <w:rFonts w:asciiTheme="minorHAnsi" w:eastAsia="Times New Roman" w:hAnsiTheme="minorHAnsi" w:cs="Calibri"/>
          <w:lang w:eastAsia="en-GB"/>
        </w:rPr>
        <w:t xml:space="preserve">the </w:t>
      </w:r>
      <w:r>
        <w:rPr>
          <w:rFonts w:asciiTheme="minorHAnsi" w:eastAsia="Times New Roman" w:hAnsiTheme="minorHAnsi" w:cs="Calibri"/>
          <w:lang w:eastAsia="en-GB"/>
        </w:rPr>
        <w:t xml:space="preserve">end </w:t>
      </w:r>
      <w:r w:rsidR="00CB35D6">
        <w:rPr>
          <w:rFonts w:asciiTheme="minorHAnsi" w:eastAsia="Times New Roman" w:hAnsiTheme="minorHAnsi" w:cs="Calibri"/>
          <w:lang w:eastAsia="en-GB"/>
        </w:rPr>
        <w:t xml:space="preserve">of </w:t>
      </w:r>
      <w:r>
        <w:rPr>
          <w:rFonts w:asciiTheme="minorHAnsi" w:eastAsia="Times New Roman" w:hAnsiTheme="minorHAnsi" w:cs="Calibri"/>
          <w:lang w:eastAsia="en-GB"/>
        </w:rPr>
        <w:t>2022.</w:t>
      </w:r>
      <w:r w:rsidR="007458AC">
        <w:rPr>
          <w:rFonts w:asciiTheme="minorHAnsi" w:eastAsia="Times New Roman" w:hAnsiTheme="minorHAnsi" w:cs="Calibri"/>
          <w:lang w:eastAsia="en-GB"/>
        </w:rPr>
        <w:t xml:space="preserve"> </w:t>
      </w:r>
      <w:r>
        <w:rPr>
          <w:rFonts w:asciiTheme="minorHAnsi" w:eastAsia="Times New Roman" w:hAnsiTheme="minorHAnsi" w:cs="Calibri"/>
          <w:lang w:eastAsia="en-GB"/>
        </w:rPr>
        <w:t>Note that, to ensure consistency with MA tools, indications of political commitment should be reflected under motivation (this was previously linked to ‘resources’ in our data collection tools).</w:t>
      </w:r>
    </w:p>
  </w:footnote>
  <w:footnote w:id="24">
    <w:p w14:paraId="33A73EFD" w14:textId="47BA9AAA" w:rsidR="0090729C" w:rsidRDefault="0090729C" w:rsidP="0090729C">
      <w:pPr>
        <w:pStyle w:val="FootnoteText"/>
      </w:pPr>
      <w:r w:rsidRPr="1CE87FA5">
        <w:rPr>
          <w:rStyle w:val="FootnoteReference"/>
        </w:rPr>
        <w:footnoteRef/>
      </w:r>
      <w:r>
        <w:t xml:space="preserve"> </w:t>
      </w:r>
      <w:r w:rsidRPr="008658EB">
        <w:rPr>
          <w:rFonts w:asciiTheme="minorHAnsi" w:hAnsiTheme="minorHAnsi" w:cstheme="minorHAnsi"/>
          <w:color w:val="000000"/>
        </w:rPr>
        <w:t xml:space="preserve">Snowball is an option for locating information rich </w:t>
      </w:r>
      <w:r w:rsidR="00892E27">
        <w:rPr>
          <w:rFonts w:asciiTheme="minorHAnsi" w:hAnsiTheme="minorHAnsi" w:cstheme="minorHAnsi"/>
          <w:color w:val="000000"/>
        </w:rPr>
        <w:t>KIs</w:t>
      </w:r>
      <w:r w:rsidRPr="008658EB">
        <w:rPr>
          <w:rFonts w:asciiTheme="minorHAnsi" w:hAnsiTheme="minorHAnsi" w:cstheme="minorHAnsi"/>
          <w:color w:val="000000"/>
        </w:rPr>
        <w:t xml:space="preserve"> and critical cases. The process begins by asking well situated people “Whom should I talk to?” By asking a number of people who else to talk </w:t>
      </w:r>
      <w:r w:rsidR="001F18BE">
        <w:rPr>
          <w:rFonts w:asciiTheme="minorHAnsi" w:hAnsiTheme="minorHAnsi" w:cstheme="minorHAnsi"/>
          <w:color w:val="000000"/>
        </w:rPr>
        <w:t>to</w:t>
      </w:r>
      <w:r w:rsidRPr="008658EB">
        <w:rPr>
          <w:rFonts w:asciiTheme="minorHAnsi" w:hAnsiTheme="minorHAnsi" w:cstheme="minorHAnsi"/>
          <w:color w:val="000000"/>
        </w:rPr>
        <w:t xml:space="preserve">, the snowball gets bigger and bigger as you accumulate new information-rich cases. </w:t>
      </w:r>
      <w:r w:rsidRPr="1CE87FA5">
        <w:rPr>
          <w:rFonts w:asciiTheme="minorHAnsi" w:hAnsiTheme="minorHAnsi" w:cstheme="minorBidi"/>
          <w:color w:val="000000"/>
        </w:rPr>
        <w:t>Patton M Q, (2002) </w:t>
      </w:r>
      <w:r w:rsidRPr="1CE87FA5">
        <w:rPr>
          <w:rFonts w:asciiTheme="minorHAnsi" w:hAnsiTheme="minorHAnsi" w:cstheme="minorBidi"/>
          <w:i/>
          <w:iCs/>
          <w:color w:val="000000"/>
        </w:rPr>
        <w:t>Qualitative Research and Evaluation Options (</w:t>
      </w:r>
      <w:r w:rsidR="001F18BE" w:rsidRPr="1CE87FA5">
        <w:rPr>
          <w:rFonts w:asciiTheme="minorHAnsi" w:hAnsiTheme="minorHAnsi" w:cstheme="minorBidi"/>
          <w:color w:val="000000"/>
        </w:rPr>
        <w:t>3</w:t>
      </w:r>
      <w:r w:rsidR="001F18BE" w:rsidRPr="1CE87FA5">
        <w:rPr>
          <w:rFonts w:asciiTheme="minorHAnsi" w:hAnsiTheme="minorHAnsi" w:cstheme="minorBidi"/>
          <w:color w:val="000000"/>
          <w:vertAlign w:val="superscript"/>
        </w:rPr>
        <w:t>rd</w:t>
      </w:r>
      <w:r w:rsidR="001F18BE">
        <w:rPr>
          <w:rFonts w:asciiTheme="minorHAnsi" w:hAnsiTheme="minorHAnsi" w:cstheme="minorBidi"/>
          <w:color w:val="000000"/>
        </w:rPr>
        <w:t xml:space="preserve"> </w:t>
      </w:r>
      <w:r w:rsidRPr="1CE87FA5">
        <w:rPr>
          <w:rFonts w:asciiTheme="minorHAnsi" w:hAnsiTheme="minorHAnsi" w:cstheme="minorBidi"/>
          <w:color w:val="000000"/>
        </w:rPr>
        <w:t>ed.) Thousand Oaks, California. Sage Publication</w:t>
      </w:r>
      <w:r w:rsidR="000B181A">
        <w:rPr>
          <w:rFonts w:asciiTheme="minorHAnsi" w:hAnsiTheme="minorHAnsi" w:cstheme="minorBidi"/>
          <w:color w:val="000000"/>
        </w:rPr>
        <w:t>s</w:t>
      </w:r>
    </w:p>
  </w:footnote>
  <w:footnote w:id="25">
    <w:p w14:paraId="322846AE" w14:textId="77777777" w:rsidR="0090729C" w:rsidRPr="008D7F10" w:rsidRDefault="0090729C" w:rsidP="0090729C">
      <w:pPr>
        <w:pStyle w:val="FootnoteText"/>
        <w:rPr>
          <w:rFonts w:asciiTheme="minorHAnsi" w:hAnsiTheme="minorHAnsi" w:cstheme="minorHAnsi"/>
        </w:rPr>
      </w:pPr>
      <w:r w:rsidRPr="00A00864">
        <w:rPr>
          <w:rStyle w:val="FootnoteReference"/>
          <w:rFonts w:cstheme="minorHAnsi"/>
        </w:rPr>
        <w:footnoteRef/>
      </w:r>
      <w:r w:rsidRPr="00A00864">
        <w:rPr>
          <w:rFonts w:asciiTheme="minorHAnsi" w:hAnsiTheme="minorHAnsi" w:cstheme="minorHAnsi"/>
        </w:rPr>
        <w:t xml:space="preserve"> </w:t>
      </w:r>
      <w:r w:rsidRPr="1CE87FA5">
        <w:rPr>
          <w:rFonts w:asciiTheme="minorHAnsi" w:hAnsiTheme="minorHAnsi" w:cstheme="minorBidi"/>
        </w:rPr>
        <w:t>The literature often talks about reaching ‘analytic saturation point’: this is the point during the analysis of the data where the same themes are recurring, and no new insights are given by additional sources of data.</w:t>
      </w:r>
      <w:r w:rsidRPr="1CE87FA5">
        <w:rPr>
          <w:rFonts w:asciiTheme="minorHAnsi" w:hAnsiTheme="minorHAnsi" w:cstheme="minorBidi"/>
          <w:sz w:val="18"/>
          <w:szCs w:val="18"/>
        </w:rPr>
        <w:t> </w:t>
      </w:r>
    </w:p>
  </w:footnote>
  <w:footnote w:id="26">
    <w:p w14:paraId="4E2C41B9" w14:textId="496BBED8" w:rsidR="0090729C" w:rsidRPr="00CD75E2" w:rsidRDefault="0090729C" w:rsidP="0090729C">
      <w:pPr>
        <w:pStyle w:val="FootnoteText"/>
      </w:pPr>
      <w:r w:rsidRPr="1CE87FA5">
        <w:rPr>
          <w:rStyle w:val="FootnoteReference"/>
        </w:rPr>
        <w:footnoteRef/>
      </w:r>
      <w:r w:rsidRPr="00CD75E2">
        <w:t xml:space="preserve"> </w:t>
      </w:r>
      <w:r w:rsidR="00022EF1" w:rsidRPr="00CD75E2">
        <w:t xml:space="preserve">Zambia, Ghana, Kenya, Laos, Nepal, Tanzania, Uganda, Vietnam, </w:t>
      </w:r>
      <w:r w:rsidR="00866097" w:rsidRPr="00CD75E2">
        <w:t xml:space="preserve">Nigeria, </w:t>
      </w:r>
      <w:r w:rsidR="00B029DE" w:rsidRPr="00CD75E2">
        <w:t xml:space="preserve">Bangladesh, Senegal, </w:t>
      </w:r>
      <w:r w:rsidR="00260B8A">
        <w:t>Timor-Leste</w:t>
      </w:r>
      <w:r w:rsidR="00224364" w:rsidRPr="00CD75E2">
        <w:t xml:space="preserve">, Pakistan, </w:t>
      </w:r>
      <w:r w:rsidR="001E6808">
        <w:t xml:space="preserve">and </w:t>
      </w:r>
      <w:r w:rsidR="00224364" w:rsidRPr="00CD75E2">
        <w:t>Bhutan</w:t>
      </w:r>
    </w:p>
  </w:footnote>
  <w:footnote w:id="27">
    <w:p w14:paraId="458860D9" w14:textId="6379EA59" w:rsidR="004F6472" w:rsidRDefault="00182A7E" w:rsidP="00182A7E">
      <w:pPr>
        <w:pStyle w:val="FootnoteText"/>
      </w:pPr>
      <w:r>
        <w:rPr>
          <w:rStyle w:val="FootnoteReference"/>
        </w:rPr>
        <w:footnoteRef/>
      </w:r>
      <w:r>
        <w:t xml:space="preserve"> </w:t>
      </w:r>
      <w:r w:rsidR="000B181A" w:rsidRPr="000B181A">
        <w:t>OECD. (2010). Quality Standards for Development Evaluation. OECD DAC Evaluation Network</w:t>
      </w:r>
    </w:p>
    <w:p w14:paraId="2B796A0E" w14:textId="301AC576" w:rsidR="00182A7E" w:rsidRDefault="004F6472" w:rsidP="00182A7E">
      <w:pPr>
        <w:pStyle w:val="FootnoteText"/>
      </w:pPr>
      <w:r w:rsidRPr="004F6472">
        <w:t>UK Evaluation Society. (2018). Guidelines for Good Practice in Evaluation. Hertfordshire: UK Evaluation Society.</w:t>
      </w:r>
    </w:p>
    <w:p w14:paraId="6BE65394" w14:textId="77777777" w:rsidR="00182A7E" w:rsidRDefault="00182A7E" w:rsidP="00182A7E">
      <w:pPr>
        <w:pStyle w:val="FootnoteText"/>
      </w:pPr>
      <w:r>
        <w:t xml:space="preserve"> Evaluation Association’s Competencies for International Development Evaluators.</w:t>
      </w:r>
    </w:p>
  </w:footnote>
  <w:footnote w:id="28">
    <w:p w14:paraId="7E215351" w14:textId="2A31D3ED" w:rsidR="00182A7E" w:rsidRDefault="00182A7E" w:rsidP="00182A7E">
      <w:pPr>
        <w:pStyle w:val="FootnoteText"/>
      </w:pPr>
      <w:r>
        <w:rPr>
          <w:rStyle w:val="FootnoteReference"/>
        </w:rPr>
        <w:footnoteRef/>
      </w:r>
      <w:r>
        <w:t xml:space="preserve"> Spencer L, Ritchie J, Lewis J and Dillon L (2003). Quality in Qualitative Evaluation: A framework for assessing research evidence. Government Chief Social Researcher’s Office. London: Cabinet Office</w:t>
      </w:r>
      <w:r w:rsidR="004F6472">
        <w:t xml:space="preserve"> </w:t>
      </w:r>
    </w:p>
  </w:footnote>
  <w:footnote w:id="29">
    <w:p w14:paraId="5F8642AF" w14:textId="5CCC478B" w:rsidR="00182A7E" w:rsidRPr="00EA1DDA" w:rsidRDefault="00182A7E" w:rsidP="00182A7E">
      <w:pPr>
        <w:pStyle w:val="FootnoteText"/>
      </w:pPr>
      <w:r>
        <w:rPr>
          <w:rStyle w:val="FootnoteReference"/>
        </w:rPr>
        <w:footnoteRef/>
      </w:r>
      <w:r w:rsidRPr="00EA1DDA">
        <w:t xml:space="preserve"> </w:t>
      </w:r>
      <w:r w:rsidR="00EA1DDA" w:rsidRPr="0003374C">
        <w:t>Stern, E.; Stame, N.; Mayne, J.; Forss, K.; Davies, R.; Befani, B. (2012). DFID Working Paper 38. Broadening the range of designs and methods for impact evaluations. London: DFID.</w:t>
      </w:r>
    </w:p>
  </w:footnote>
  <w:footnote w:id="30">
    <w:p w14:paraId="5D02EC17" w14:textId="1EE6E82A" w:rsidR="001A7D53" w:rsidRPr="0061151F" w:rsidRDefault="001A7D53" w:rsidP="001A7D53">
      <w:pPr>
        <w:pStyle w:val="FootnoteText"/>
        <w:rPr>
          <w:rFonts w:asciiTheme="majorHAnsi" w:eastAsia="Arial" w:hAnsiTheme="majorHAnsi" w:cstheme="majorHAnsi"/>
        </w:rPr>
      </w:pPr>
      <w:r w:rsidRPr="187C3E0F">
        <w:rPr>
          <w:rStyle w:val="FootnoteReference"/>
        </w:rPr>
        <w:footnoteRef/>
      </w:r>
      <w:r w:rsidRPr="187C3E0F">
        <w:t xml:space="preserve"> </w:t>
      </w:r>
      <w:r w:rsidR="00EA1DDA" w:rsidRPr="00EA1DDA">
        <w:t>The Review on Antimicrobial Resistance. (2016). Tackling Drug-Resistant Infections Globally: final report and recommendations. London.</w:t>
      </w:r>
    </w:p>
  </w:footnote>
  <w:footnote w:id="31">
    <w:p w14:paraId="542827F7" w14:textId="3B50362F" w:rsidR="001A7D53" w:rsidRDefault="001A7D53" w:rsidP="001A7D53">
      <w:pPr>
        <w:pStyle w:val="FootnoteText"/>
      </w:pPr>
      <w:r w:rsidRPr="0C9D1CA5">
        <w:rPr>
          <w:rStyle w:val="FootnoteReference"/>
        </w:rPr>
        <w:footnoteRef/>
      </w:r>
      <w:r w:rsidRPr="0C9D1CA5">
        <w:t xml:space="preserve"> </w:t>
      </w:r>
      <w:r w:rsidR="00EA1DDA" w:rsidRPr="00EA1DDA">
        <w:t xml:space="preserve">National Audit Office. (2022). Successful commissioning toolkit: Assessing value for money. Retrieved from National Audit Office: </w:t>
      </w:r>
      <w:hyperlink r:id="rId7" w:history="1">
        <w:r w:rsidR="00EA1DDA" w:rsidRPr="00C20910">
          <w:rPr>
            <w:rStyle w:val="Hyperlink"/>
          </w:rPr>
          <w:t>https://www.nao.org.uk/successful-commissioning/general-principles/value-for-money/assessing-value-for-money/</w:t>
        </w:r>
      </w:hyperlink>
    </w:p>
  </w:footnote>
  <w:footnote w:id="32">
    <w:p w14:paraId="39F9A38F" w14:textId="618C6D78" w:rsidR="00F90765" w:rsidRPr="0018207B" w:rsidRDefault="00F90765">
      <w:pPr>
        <w:pStyle w:val="FootnoteText"/>
      </w:pPr>
      <w:r>
        <w:rPr>
          <w:rStyle w:val="FootnoteReference"/>
        </w:rPr>
        <w:footnoteRef/>
      </w:r>
      <w:r w:rsidRPr="0018207B">
        <w:t xml:space="preserve"> Source: MA 2</w:t>
      </w:r>
      <w:r w:rsidRPr="0018207B">
        <w:rPr>
          <w:vertAlign w:val="superscript"/>
        </w:rPr>
        <w:t xml:space="preserve">nd </w:t>
      </w:r>
      <w:r w:rsidRPr="0018207B">
        <w:t xml:space="preserve"> </w:t>
      </w:r>
      <w:r w:rsidR="00443C5E" w:rsidRPr="0018207B">
        <w:t xml:space="preserve">VfM </w:t>
      </w:r>
      <w:r w:rsidRPr="0018207B">
        <w:t>Report.</w:t>
      </w:r>
    </w:p>
  </w:footnote>
  <w:footnote w:id="33">
    <w:p w14:paraId="31AA97CF" w14:textId="52A7F044" w:rsidR="00EE3F00" w:rsidRDefault="00EE3F00">
      <w:pPr>
        <w:pStyle w:val="FootnoteText"/>
      </w:pPr>
      <w:r>
        <w:rPr>
          <w:rStyle w:val="FootnoteReference"/>
        </w:rPr>
        <w:footnoteRef/>
      </w:r>
      <w:r>
        <w:t xml:space="preserve"> </w:t>
      </w:r>
      <w:r w:rsidRPr="00EE3F00">
        <w:t>Leveraged resources are those contributed by stakeholders including government and other institutions to implement programme activities. These include in-kind resources, such as consumables and meeting facilities, and cost-sharing.</w:t>
      </w:r>
    </w:p>
  </w:footnote>
  <w:footnote w:id="34">
    <w:p w14:paraId="23920101" w14:textId="1B6544DD" w:rsidR="001A7D53" w:rsidRDefault="001A7D53" w:rsidP="001A7D53">
      <w:pPr>
        <w:pStyle w:val="FootnoteText"/>
      </w:pPr>
      <w:r>
        <w:rPr>
          <w:rStyle w:val="FootnoteReference"/>
        </w:rPr>
        <w:footnoteRef/>
      </w:r>
      <w:r>
        <w:t xml:space="preserve"> Literature review of common approaches to </w:t>
      </w:r>
      <w:r w:rsidR="0044432D">
        <w:t>VfM</w:t>
      </w:r>
      <w:r>
        <w:t xml:space="preserve"> in fellowship schemes – Itad F</w:t>
      </w:r>
      <w:r w:rsidR="00B52BCE">
        <w:t xml:space="preserve">leming </w:t>
      </w:r>
      <w:r>
        <w:t>F</w:t>
      </w:r>
      <w:r w:rsidR="00B52BCE">
        <w:t>und</w:t>
      </w:r>
      <w:r>
        <w:t xml:space="preserve"> Evaluation</w:t>
      </w:r>
      <w:r w:rsidR="008F4945">
        <w:t>.</w:t>
      </w:r>
    </w:p>
  </w:footnote>
  <w:footnote w:id="35">
    <w:p w14:paraId="69339012" w14:textId="170F8F34" w:rsidR="001134AD" w:rsidRDefault="001134AD" w:rsidP="001134AD">
      <w:pPr>
        <w:pStyle w:val="FootnoteText"/>
      </w:pPr>
      <w:r>
        <w:rPr>
          <w:rStyle w:val="FootnoteReference"/>
        </w:rPr>
        <w:footnoteRef/>
      </w:r>
      <w:r>
        <w:t xml:space="preserve"> </w:t>
      </w:r>
      <w:r w:rsidR="00D96577" w:rsidRPr="00D96577">
        <w:t xml:space="preserve">United Nations. (2010, April 21). Hanoi Declaration Sets Global Framework for Avian Influenza, Pandemic Readiness, Proposes National Steps to Detect Animal-Human Transmission, Control Outbreaks. Retrieved from United Nations Meetings </w:t>
      </w:r>
      <w:r w:rsidR="002A387D" w:rsidRPr="00D96577">
        <w:t>Coverage</w:t>
      </w:r>
      <w:r w:rsidR="00D96577" w:rsidRPr="00D96577">
        <w:t xml:space="preserve"> and Press Releases: https://press.un.org/en/2010/sag433.doc.htm</w:t>
      </w:r>
    </w:p>
  </w:footnote>
  <w:footnote w:id="36">
    <w:p w14:paraId="7A2AE7EA" w14:textId="4AF58B37" w:rsidR="001134AD" w:rsidRDefault="001134AD" w:rsidP="001134AD">
      <w:pPr>
        <w:pStyle w:val="FootnoteText"/>
      </w:pPr>
      <w:r>
        <w:rPr>
          <w:rStyle w:val="FootnoteReference"/>
        </w:rPr>
        <w:footnoteRef/>
      </w:r>
      <w:r>
        <w:t xml:space="preserve"> </w:t>
      </w:r>
      <w:r w:rsidR="00E8551E">
        <w:t xml:space="preserve">The other </w:t>
      </w:r>
      <w:r>
        <w:t>three principles include: country ownership, alignment with other initiatives, and sustainability</w:t>
      </w:r>
      <w:r w:rsidR="001C376A">
        <w:t>.</w:t>
      </w:r>
    </w:p>
  </w:footnote>
  <w:footnote w:id="37">
    <w:p w14:paraId="5B0FF2FE" w14:textId="7D43694E" w:rsidR="001134AD" w:rsidRDefault="001134AD" w:rsidP="001134AD">
      <w:pPr>
        <w:pStyle w:val="FootnoteText"/>
      </w:pPr>
      <w:r>
        <w:rPr>
          <w:rStyle w:val="FootnoteReference"/>
        </w:rPr>
        <w:footnoteRef/>
      </w:r>
      <w:r>
        <w:t xml:space="preserve"> </w:t>
      </w:r>
      <w:r w:rsidR="00D96577" w:rsidRPr="00D96577">
        <w:t>World Health Organisation. (2022). Strengthening WHO preparedness for and response to health emergencies: Strengthening collaboration on One Health. World Health Organisation.</w:t>
      </w:r>
    </w:p>
  </w:footnote>
  <w:footnote w:id="38">
    <w:p w14:paraId="0DE9E533" w14:textId="13A5F5B5" w:rsidR="001134AD" w:rsidRDefault="001134AD" w:rsidP="001134AD">
      <w:pPr>
        <w:pStyle w:val="FootnoteText"/>
      </w:pPr>
      <w:r>
        <w:rPr>
          <w:rStyle w:val="FootnoteReference"/>
        </w:rPr>
        <w:footnoteRef/>
      </w:r>
      <w:r>
        <w:t xml:space="preserve"> </w:t>
      </w:r>
      <w:r w:rsidR="00D96577" w:rsidRPr="00D96577">
        <w:t>World Health Organisation. (2022). Tripartite Zoonoses Guide: Operational tools and approaches for zoonotic diseases. Retrieved from World Health Organisation: https://www.who.int/initiatives/tripartite-zoonosis-guide</w:t>
      </w:r>
    </w:p>
  </w:footnote>
  <w:footnote w:id="39">
    <w:p w14:paraId="610A90B8" w14:textId="7A119DE6" w:rsidR="001134AD" w:rsidRDefault="001134AD" w:rsidP="001134AD">
      <w:pPr>
        <w:pStyle w:val="FootnoteText"/>
      </w:pPr>
      <w:r>
        <w:rPr>
          <w:rStyle w:val="FootnoteReference"/>
        </w:rPr>
        <w:footnoteRef/>
      </w:r>
      <w:r>
        <w:t xml:space="preserve"> </w:t>
      </w:r>
      <w:r w:rsidR="00D96577" w:rsidRPr="00D96577">
        <w:t xml:space="preserve">World Health Organisation. Regional Office for the Western Pacific. (2008). Zoonotic </w:t>
      </w:r>
      <w:r w:rsidR="00BA7D29" w:rsidRPr="00D96577">
        <w:t>diseases:</w:t>
      </w:r>
      <w:r w:rsidR="00D96577" w:rsidRPr="00D96577">
        <w:t xml:space="preserve"> a guide to establishing collaboration between animal and human health sectors at the country level. WHO Regional Office for the Western Pacific.</w:t>
      </w:r>
    </w:p>
  </w:footnote>
  <w:footnote w:id="40">
    <w:p w14:paraId="6D5ECFB6" w14:textId="5290695C" w:rsidR="001134AD" w:rsidRDefault="001134AD" w:rsidP="001134AD">
      <w:pPr>
        <w:pStyle w:val="FootnoteText"/>
      </w:pPr>
      <w:r>
        <w:rPr>
          <w:rStyle w:val="FootnoteReference"/>
        </w:rPr>
        <w:footnoteRef/>
      </w:r>
      <w:r>
        <w:t xml:space="preserve"> </w:t>
      </w:r>
      <w:r w:rsidR="00D96577" w:rsidRPr="00D96577">
        <w:t>Seale, A., Gordon, N., &amp; Islam, J. e. (2017). AMR Surveillance in low and middle-income settings - A roadmap for participation in the Global Antimicrobial Surveillance System (GLASS). Wellcome Open Research, 2(92).</w:t>
      </w:r>
    </w:p>
  </w:footnote>
  <w:footnote w:id="41">
    <w:p w14:paraId="69537665" w14:textId="31EB8C59" w:rsidR="001134AD" w:rsidRDefault="001134AD" w:rsidP="001134AD">
      <w:pPr>
        <w:pStyle w:val="FootnoteText"/>
      </w:pPr>
      <w:r>
        <w:rPr>
          <w:rStyle w:val="FootnoteReference"/>
        </w:rPr>
        <w:footnoteRef/>
      </w:r>
      <w:r>
        <w:t xml:space="preserve"> </w:t>
      </w:r>
      <w:r w:rsidR="00D96577" w:rsidRPr="00D96577">
        <w:t>Abbas, S. S., Shorten, T., &amp; Rushton, J. (2022). Meanings and mechanisms of One Health partnerships: insights from a critical review of literature on cross-government collaborations. Health Policy and Planning, 37(3), 385-399.</w:t>
      </w:r>
    </w:p>
  </w:footnote>
  <w:footnote w:id="42">
    <w:p w14:paraId="6445F1FC" w14:textId="483197E9" w:rsidR="000B46C4" w:rsidRDefault="000B46C4">
      <w:pPr>
        <w:pStyle w:val="FootnoteText"/>
      </w:pPr>
      <w:r>
        <w:rPr>
          <w:rStyle w:val="FootnoteReference"/>
        </w:rPr>
        <w:footnoteRef/>
      </w:r>
      <w:r>
        <w:t xml:space="preserve"> </w:t>
      </w:r>
      <w:r w:rsidRPr="000B46C4">
        <w:t>https://pubmed.ncbi.nlm.nih.gov/26604806/</w:t>
      </w:r>
    </w:p>
  </w:footnote>
  <w:footnote w:id="43">
    <w:p w14:paraId="20EDB025" w14:textId="3F7F037F" w:rsidR="00F335F4" w:rsidRDefault="00F335F4">
      <w:pPr>
        <w:pStyle w:val="FootnoteText"/>
      </w:pPr>
      <w:r>
        <w:rPr>
          <w:rStyle w:val="FootnoteReference"/>
        </w:rPr>
        <w:footnoteRef/>
      </w:r>
      <w:r>
        <w:t xml:space="preserve"> Note that GARP </w:t>
      </w:r>
      <w:r w:rsidR="00C81313">
        <w:t xml:space="preserve">report for Laos was unavailable but process appears to have been undertaken there: </w:t>
      </w:r>
      <w:r w:rsidR="00C81313" w:rsidRPr="008A5F96">
        <w:rPr>
          <w:rStyle w:val="ItadfootnotestyleChar"/>
        </w:rPr>
        <w:t>One Health Trust. (2022). GARP. Retrieved from One Health Trust: https://onehealthtrust.org/projects/global-antibiotic-resistance-partnership/</w:t>
      </w:r>
    </w:p>
  </w:footnote>
  <w:footnote w:id="44">
    <w:p w14:paraId="17BB0407" w14:textId="2045E793" w:rsidR="00396321" w:rsidRDefault="00396321">
      <w:pPr>
        <w:pStyle w:val="FootnoteText"/>
      </w:pPr>
      <w:r>
        <w:rPr>
          <w:rStyle w:val="FootnoteReference"/>
        </w:rPr>
        <w:footnoteRef/>
      </w:r>
      <w:r>
        <w:t xml:space="preserve"> These key terms are explained in Vol</w:t>
      </w:r>
      <w:r w:rsidR="00C40AC0">
        <w:t>.</w:t>
      </w:r>
      <w:r>
        <w:t xml:space="preserve"> </w:t>
      </w:r>
      <w:r w:rsidR="00C40AC0">
        <w:t>1</w:t>
      </w:r>
      <w:r>
        <w:t xml:space="preserve">, Box 1. Patients tested is simply a count of the number of individuals from which samples were taken – recognising that multiple samples </w:t>
      </w:r>
      <w:r w:rsidR="009B5368">
        <w:t xml:space="preserve">Box </w:t>
      </w:r>
      <w:r>
        <w:t>could be taken from one patient.</w:t>
      </w:r>
    </w:p>
  </w:footnote>
  <w:footnote w:id="45">
    <w:p w14:paraId="3E1D7F49" w14:textId="2764DDCF" w:rsidR="000B0469" w:rsidRPr="00E467C3" w:rsidRDefault="000B0469" w:rsidP="000B0469">
      <w:pPr>
        <w:pStyle w:val="FootnoteText"/>
      </w:pPr>
      <w:r>
        <w:rPr>
          <w:rStyle w:val="FootnoteReference"/>
        </w:rPr>
        <w:footnoteRef/>
      </w:r>
      <w:r>
        <w:t xml:space="preserve"> </w:t>
      </w:r>
      <w:r w:rsidR="00CC5DE0" w:rsidRPr="00CC5DE0">
        <w:t>World Health Organisation. (2022). GLASS Resource Centre. Retrieved from World Health Organisation: https://www.who.int/initiatives/glass/resource-centre#glassreports</w:t>
      </w:r>
    </w:p>
  </w:footnote>
  <w:footnote w:id="46">
    <w:p w14:paraId="0CA8FAC6" w14:textId="5F29D203" w:rsidR="000B0469" w:rsidRPr="00E467C3" w:rsidRDefault="000B0469" w:rsidP="000B0469">
      <w:pPr>
        <w:pStyle w:val="FootnoteText"/>
      </w:pPr>
      <w:r>
        <w:rPr>
          <w:rStyle w:val="FootnoteReference"/>
        </w:rPr>
        <w:footnoteRef/>
      </w:r>
      <w:r>
        <w:t xml:space="preserve"> </w:t>
      </w:r>
      <w:r w:rsidR="00CC5DE0" w:rsidRPr="00CC5DE0">
        <w:t>World Health Organisation. (2022). GLASS Resource Centre. Retrieved from World Health Organisation: https://www.who.int/initiatives/glass/resource-centre#glassreports</w:t>
      </w:r>
    </w:p>
  </w:footnote>
  <w:footnote w:id="47">
    <w:p w14:paraId="3DC836C7" w14:textId="12E1F4A9" w:rsidR="006F7058" w:rsidRPr="008B24F4" w:rsidRDefault="006F7058" w:rsidP="006F7058">
      <w:pPr>
        <w:pStyle w:val="FootnoteText"/>
        <w:rPr>
          <w:lang w:val="fr-FR"/>
        </w:rPr>
      </w:pPr>
      <w:r>
        <w:rPr>
          <w:rStyle w:val="FootnoteReference"/>
        </w:rPr>
        <w:footnoteRef/>
      </w:r>
      <w:r w:rsidRPr="008B24F4">
        <w:rPr>
          <w:lang w:val="fr-FR"/>
        </w:rPr>
        <w:t xml:space="preserve"> </w:t>
      </w:r>
      <w:bookmarkStart w:id="224" w:name="_Hlk129440953"/>
      <w:r w:rsidRPr="00B3660F">
        <w:rPr>
          <w:lang w:val="fr-FR"/>
        </w:rPr>
        <w:t>Point Prevalence Survey</w:t>
      </w:r>
      <w:bookmarkEnd w:id="224"/>
    </w:p>
  </w:footnote>
  <w:footnote w:id="48">
    <w:p w14:paraId="49A93CF2" w14:textId="5D89F9D7" w:rsidR="000B0469" w:rsidRPr="008B24F4" w:rsidRDefault="000B0469" w:rsidP="000B0469">
      <w:pPr>
        <w:pStyle w:val="FootnoteText"/>
        <w:rPr>
          <w:lang w:val="fr-FR"/>
        </w:rPr>
      </w:pPr>
      <w:r>
        <w:rPr>
          <w:rStyle w:val="FootnoteReference"/>
        </w:rPr>
        <w:footnoteRef/>
      </w:r>
      <w:r w:rsidRPr="008B24F4">
        <w:rPr>
          <w:lang w:val="fr-FR"/>
        </w:rPr>
        <w:t xml:space="preserve"> </w:t>
      </w:r>
      <w:r w:rsidR="008B24F4" w:rsidRPr="008B24F4">
        <w:rPr>
          <w:lang w:val="fr-FR"/>
        </w:rPr>
        <w:t>https://doc.woah.org/dyn/portal/listalo.xhtml?page=listalo&amp;req=162</w:t>
      </w:r>
    </w:p>
  </w:footnote>
  <w:footnote w:id="49">
    <w:p w14:paraId="5DE81A9E" w14:textId="77777777" w:rsidR="003C2EEF" w:rsidRPr="003C2EEF" w:rsidRDefault="00A464D6" w:rsidP="003C2EEF">
      <w:pPr>
        <w:pStyle w:val="FootnoteText"/>
      </w:pPr>
      <w:r w:rsidRPr="003C2EEF">
        <w:rPr>
          <w:rStyle w:val="FootnoteReference"/>
        </w:rPr>
        <w:footnoteRef/>
      </w:r>
      <w:r w:rsidRPr="003C2EEF">
        <w:t xml:space="preserve"> </w:t>
      </w:r>
      <w:r w:rsidR="003C2EEF" w:rsidRPr="003C2EEF">
        <w:t xml:space="preserve">When reporting to WOAH, countries can choose from three reporting options: Reporting Option 1: allows countries to distinguish quantities of antimicrobial agents by type of use (therapeutic or growth promotion); </w:t>
      </w:r>
    </w:p>
    <w:p w14:paraId="2734D578" w14:textId="2C5216E9" w:rsidR="00A464D6" w:rsidRDefault="003C2EEF" w:rsidP="003C2EEF">
      <w:pPr>
        <w:pStyle w:val="FootnoteText"/>
      </w:pPr>
      <w:r w:rsidRPr="003C2EEF">
        <w:t>Reporting Option 2: allows countries to distinguish quantities of antimicrobial agents by type of use and animal groups (food-producing terrestrial and aquatic species and companion animals); Reporting Option 3: allows countries to distinguish quantities of antimicrobial agents by type of use and routes of administration (distinguishing by group of animals is optional)</w:t>
      </w:r>
      <w:r>
        <w:t xml:space="preserve">  </w:t>
      </w:r>
    </w:p>
  </w:footnote>
  <w:footnote w:id="50">
    <w:p w14:paraId="7C93E089" w14:textId="77777777" w:rsidR="000B0469" w:rsidRPr="00A241BF" w:rsidRDefault="000B0469" w:rsidP="000B0469">
      <w:pPr>
        <w:pStyle w:val="FootnoteText"/>
      </w:pPr>
      <w:r>
        <w:rPr>
          <w:rStyle w:val="FootnoteReference"/>
        </w:rPr>
        <w:footnoteRef/>
      </w:r>
      <w:r>
        <w:t xml:space="preserve"> Note that we have not assessed the quality of the data itself.</w:t>
      </w:r>
    </w:p>
  </w:footnote>
  <w:footnote w:id="51">
    <w:p w14:paraId="5CB67607" w14:textId="42898ADE" w:rsidR="008F71A3" w:rsidRPr="008F71A3" w:rsidRDefault="008653AA" w:rsidP="008F71A3">
      <w:pPr>
        <w:rPr>
          <w:rFonts w:cs="Calibri"/>
          <w:sz w:val="18"/>
          <w:szCs w:val="18"/>
        </w:rPr>
      </w:pPr>
      <w:r>
        <w:rPr>
          <w:rStyle w:val="FootnoteReference"/>
        </w:rPr>
        <w:footnoteRef/>
      </w:r>
      <w:r w:rsidRPr="008653AA">
        <w:t xml:space="preserve"> </w:t>
      </w:r>
      <w:r w:rsidR="008F71A3" w:rsidRPr="008F71A3">
        <w:rPr>
          <w:sz w:val="18"/>
          <w:szCs w:val="18"/>
        </w:rPr>
        <w:t>In terms of the definition and total number of ‘F</w:t>
      </w:r>
      <w:r w:rsidR="00AC167A">
        <w:rPr>
          <w:sz w:val="18"/>
          <w:szCs w:val="18"/>
        </w:rPr>
        <w:t xml:space="preserve">leming </w:t>
      </w:r>
      <w:r w:rsidR="008F71A3" w:rsidRPr="008F71A3">
        <w:rPr>
          <w:sz w:val="18"/>
          <w:szCs w:val="18"/>
        </w:rPr>
        <w:t>F</w:t>
      </w:r>
      <w:r w:rsidR="00AC167A">
        <w:rPr>
          <w:sz w:val="18"/>
          <w:szCs w:val="18"/>
        </w:rPr>
        <w:t>und</w:t>
      </w:r>
      <w:r w:rsidR="008F71A3" w:rsidRPr="008F71A3">
        <w:rPr>
          <w:sz w:val="18"/>
          <w:szCs w:val="18"/>
        </w:rPr>
        <w:t xml:space="preserve"> supported sites,’ it is important to note that this number may differ from the denominator in a given year KPI calculation because:</w:t>
      </w:r>
    </w:p>
    <w:p w14:paraId="5EDAD072" w14:textId="3E01D3A9" w:rsidR="008F71A3" w:rsidRPr="008F71A3" w:rsidRDefault="008F71A3" w:rsidP="00C6374D">
      <w:pPr>
        <w:pStyle w:val="ListParagraph"/>
        <w:numPr>
          <w:ilvl w:val="0"/>
          <w:numId w:val="110"/>
        </w:numPr>
        <w:contextualSpacing w:val="0"/>
        <w:rPr>
          <w:rFonts w:eastAsia="Times New Roman"/>
          <w:sz w:val="18"/>
          <w:szCs w:val="18"/>
        </w:rPr>
      </w:pPr>
      <w:r w:rsidRPr="008F71A3">
        <w:rPr>
          <w:rFonts w:eastAsia="Times New Roman"/>
          <w:sz w:val="18"/>
          <w:szCs w:val="18"/>
        </w:rPr>
        <w:t>Sites who are being supported but are supported for &lt; 9 months are not included in the KPI calculation</w:t>
      </w:r>
      <w:r w:rsidR="008B771D">
        <w:rPr>
          <w:rFonts w:eastAsia="Times New Roman"/>
          <w:sz w:val="18"/>
          <w:szCs w:val="18"/>
        </w:rPr>
        <w:t>.</w:t>
      </w:r>
    </w:p>
    <w:p w14:paraId="0B7B8075" w14:textId="752FF80B" w:rsidR="008F71A3" w:rsidRPr="008F71A3" w:rsidRDefault="008F71A3" w:rsidP="00C6374D">
      <w:pPr>
        <w:pStyle w:val="ListParagraph"/>
        <w:numPr>
          <w:ilvl w:val="0"/>
          <w:numId w:val="110"/>
        </w:numPr>
        <w:contextualSpacing w:val="0"/>
        <w:rPr>
          <w:rFonts w:eastAsia="Times New Roman"/>
          <w:sz w:val="18"/>
          <w:szCs w:val="18"/>
        </w:rPr>
      </w:pPr>
      <w:r w:rsidRPr="008F71A3">
        <w:rPr>
          <w:rFonts w:eastAsia="Times New Roman"/>
          <w:sz w:val="18"/>
          <w:szCs w:val="18"/>
        </w:rPr>
        <w:t>Sites who are supported but are in the environmental or food sectors are not included in the KPI calculation</w:t>
      </w:r>
      <w:r w:rsidR="008B771D">
        <w:rPr>
          <w:rFonts w:eastAsia="Times New Roman"/>
          <w:sz w:val="18"/>
          <w:szCs w:val="18"/>
        </w:rPr>
        <w:t>.</w:t>
      </w:r>
    </w:p>
    <w:p w14:paraId="1BFBB038" w14:textId="49AFCFB6" w:rsidR="008F71A3" w:rsidRPr="008F71A3" w:rsidRDefault="008F71A3" w:rsidP="00C6374D">
      <w:pPr>
        <w:pStyle w:val="ListParagraph"/>
        <w:numPr>
          <w:ilvl w:val="0"/>
          <w:numId w:val="110"/>
        </w:numPr>
        <w:contextualSpacing w:val="0"/>
        <w:rPr>
          <w:rFonts w:eastAsia="Times New Roman"/>
          <w:sz w:val="18"/>
          <w:szCs w:val="18"/>
        </w:rPr>
      </w:pPr>
      <w:r w:rsidRPr="008F71A3">
        <w:rPr>
          <w:rFonts w:eastAsia="Times New Roman"/>
          <w:sz w:val="18"/>
          <w:szCs w:val="18"/>
        </w:rPr>
        <w:t>Sites reported as ‘supported’ in quarterly monitoring reports do not include sites where support is no longer active (i.e. where grants have stopped like in Ghana), i.e. data monitoring reports are a ‘</w:t>
      </w:r>
      <w:r w:rsidR="008B771D" w:rsidRPr="008F71A3">
        <w:rPr>
          <w:rFonts w:eastAsia="Times New Roman"/>
          <w:sz w:val="18"/>
          <w:szCs w:val="18"/>
        </w:rPr>
        <w:t>snapshot</w:t>
      </w:r>
      <w:r w:rsidRPr="008F71A3">
        <w:rPr>
          <w:rFonts w:eastAsia="Times New Roman"/>
          <w:sz w:val="18"/>
          <w:szCs w:val="18"/>
        </w:rPr>
        <w:t>’ in time versus the overall cumulative number.</w:t>
      </w:r>
    </w:p>
    <w:p w14:paraId="62918C00" w14:textId="21A41229" w:rsidR="008653AA" w:rsidRPr="008653AA" w:rsidRDefault="008653AA">
      <w:pPr>
        <w:pStyle w:val="FootnoteText"/>
      </w:pPr>
    </w:p>
  </w:footnote>
  <w:footnote w:id="52">
    <w:p w14:paraId="123F4CA6" w14:textId="2CD4ECD2" w:rsidR="00A97636" w:rsidRDefault="00A97636">
      <w:pPr>
        <w:pStyle w:val="FootnoteText"/>
      </w:pPr>
      <w:r>
        <w:rPr>
          <w:rStyle w:val="FootnoteReference"/>
        </w:rPr>
        <w:footnoteRef/>
      </w:r>
      <w:r w:rsidRPr="00C53942">
        <w:t xml:space="preserve"> Cairney, P., &amp; Zahariadis, N. (2016). </w:t>
      </w:r>
      <w:r w:rsidRPr="00CC5DE0">
        <w:t>MSA: a flexible metaphor presents an opportunity to operationali</w:t>
      </w:r>
      <w:r w:rsidR="00D5128B">
        <w:t>s</w:t>
      </w:r>
      <w:r w:rsidRPr="00CC5DE0">
        <w:t xml:space="preserve">e </w:t>
      </w:r>
      <w:r w:rsidR="00D5128B">
        <w:t>agenda-setting</w:t>
      </w:r>
      <w:r w:rsidRPr="00CC5DE0">
        <w:t xml:space="preserve"> processes. In N. Zahariadis, Handbook of Public Policy Agenda Setting. Cheltenham, UK and Northampton, MA: Edward Elgar.</w:t>
      </w:r>
    </w:p>
  </w:footnote>
  <w:footnote w:id="53">
    <w:p w14:paraId="2894CA23" w14:textId="0F1A83A4" w:rsidR="00285413" w:rsidRPr="0003374C" w:rsidRDefault="00285413" w:rsidP="00BB4743">
      <w:pPr>
        <w:pStyle w:val="Itadfootnotestyle"/>
      </w:pPr>
      <w:r>
        <w:rPr>
          <w:rStyle w:val="FootnoteReference"/>
        </w:rPr>
        <w:footnoteRef/>
      </w:r>
      <w:r w:rsidRPr="0003374C">
        <w:t xml:space="preserve"> </w:t>
      </w:r>
      <w:r w:rsidR="00CC5DE0" w:rsidRPr="0003374C">
        <w:t>Jones, D. M., Peterson, H. L., Pierce, J. J., Herweg, N., Bernal, A., Lamberta Raney, H., &amp; Zahariadis, N. (2015). A River Runs Through It: A Multiple Streams Meta-Review. Policy Studies Journal, 44(1), 13-36.</w:t>
      </w:r>
    </w:p>
  </w:footnote>
  <w:footnote w:id="54">
    <w:p w14:paraId="4B3130FE" w14:textId="7D083575" w:rsidR="005348D3" w:rsidRDefault="005348D3">
      <w:pPr>
        <w:pStyle w:val="FootnoteText"/>
      </w:pPr>
      <w:r>
        <w:rPr>
          <w:rStyle w:val="FootnoteReference"/>
        </w:rPr>
        <w:footnoteRef/>
      </w:r>
      <w:r>
        <w:t xml:space="preserve"> </w:t>
      </w:r>
      <w:r>
        <w:rPr>
          <w:rFonts w:asciiTheme="minorHAnsi" w:hAnsiTheme="minorHAnsi" w:cstheme="minorHAnsi"/>
        </w:rPr>
        <w:t xml:space="preserve">In some cases (e.g. </w:t>
      </w:r>
      <w:r w:rsidR="00F25C0E">
        <w:rPr>
          <w:rFonts w:asciiTheme="minorHAnsi" w:hAnsiTheme="minorHAnsi" w:cstheme="minorHAnsi"/>
        </w:rPr>
        <w:t xml:space="preserve">laboratory </w:t>
      </w:r>
      <w:r>
        <w:rPr>
          <w:rFonts w:asciiTheme="minorHAnsi" w:hAnsiTheme="minorHAnsi" w:cstheme="minorHAnsi"/>
        </w:rPr>
        <w:t>capacities)</w:t>
      </w:r>
      <w:r w:rsidR="000D6D73">
        <w:rPr>
          <w:rFonts w:asciiTheme="minorHAnsi" w:hAnsiTheme="minorHAnsi" w:cstheme="minorHAnsi"/>
        </w:rPr>
        <w:t>,</w:t>
      </w:r>
      <w:r>
        <w:rPr>
          <w:rFonts w:asciiTheme="minorHAnsi" w:hAnsiTheme="minorHAnsi" w:cstheme="minorHAnsi"/>
        </w:rPr>
        <w:t xml:space="preserve"> this was not feasible within available resources. In many other cases (</w:t>
      </w:r>
      <w:r w:rsidR="000D6D73">
        <w:rPr>
          <w:rFonts w:asciiTheme="minorHAnsi" w:hAnsiTheme="minorHAnsi" w:cstheme="minorHAnsi"/>
        </w:rPr>
        <w:t>e.g.</w:t>
      </w:r>
      <w:r>
        <w:rPr>
          <w:rFonts w:asciiTheme="minorHAnsi" w:hAnsiTheme="minorHAnsi" w:cstheme="minorHAnsi"/>
        </w:rPr>
        <w:t xml:space="preserve"> data generated, AMRCCs functioning etc) the baseline was zero. We discuss differences between MA and Itad reporting on ‘data sharing’ in Vol.</w:t>
      </w:r>
      <w:r w:rsidR="000D6D73">
        <w:rPr>
          <w:rFonts w:asciiTheme="minorHAnsi" w:hAnsiTheme="minorHAnsi" w:cstheme="minorHAnsi"/>
        </w:rPr>
        <w:t xml:space="preserve"> </w:t>
      </w:r>
      <w:r>
        <w:rPr>
          <w:rFonts w:asciiTheme="minorHAnsi" w:hAnsiTheme="minorHAnsi" w:cstheme="minorHAnsi"/>
        </w:rPr>
        <w:t>I, section 2.2.</w:t>
      </w:r>
      <w:r w:rsidR="000D6D73">
        <w:rPr>
          <w:rFonts w:asciiTheme="minorHAnsi" w:hAnsiTheme="minorHAnsi" w:cstheme="minorHAnsi"/>
        </w:rPr>
        <w:t>6</w:t>
      </w:r>
      <w:r>
        <w:rPr>
          <w:rFonts w:asciiTheme="minorHAnsi" w:hAnsiTheme="minorHAnsi" w:cstheme="minorHAnsi"/>
        </w:rPr>
        <w:t>. The quality of the evaluation was not adversely affected by this approach</w:t>
      </w:r>
      <w:r w:rsidR="00811B25">
        <w:rPr>
          <w:rFonts w:asciiTheme="minorHAnsi" w:hAnsiTheme="minorHAnsi" w:cstheme="minorHAnsi"/>
        </w:rPr>
        <w:t xml:space="preserve">, </w:t>
      </w:r>
      <w:r w:rsidR="005807B6">
        <w:rPr>
          <w:rFonts w:asciiTheme="minorHAnsi" w:hAnsiTheme="minorHAnsi" w:cstheme="minorHAnsi"/>
        </w:rPr>
        <w:t>given the triangulation of reported data that was central to our analysis</w:t>
      </w:r>
      <w:r>
        <w:rPr>
          <w:rFonts w:asciiTheme="minorHAnsi" w:hAnsiTheme="minorHAnsi" w:cstheme="minorHAnsi"/>
        </w:rPr>
        <w:t xml:space="preserve">.  </w:t>
      </w:r>
    </w:p>
  </w:footnote>
  <w:footnote w:id="55">
    <w:p w14:paraId="4E669E84" w14:textId="51B2273F" w:rsidR="00520DBB" w:rsidRPr="0003374C" w:rsidRDefault="00520DBB" w:rsidP="00520DBB">
      <w:pPr>
        <w:pStyle w:val="FootnoteText"/>
      </w:pPr>
      <w:r>
        <w:rPr>
          <w:rStyle w:val="FootnoteReference"/>
        </w:rPr>
        <w:footnoteRef/>
      </w:r>
      <w:r w:rsidRPr="0003374C">
        <w:t xml:space="preserve"> </w:t>
      </w:r>
      <w:r w:rsidR="009B4311" w:rsidRPr="009B4311">
        <w:t xml:space="preserve">DFID. (2011). Withdrawn - DFID Ethics Principles </w:t>
      </w:r>
      <w:r w:rsidR="008B771D" w:rsidRPr="009B4311">
        <w:t>for</w:t>
      </w:r>
      <w:r w:rsidR="009B4311" w:rsidRPr="009B4311">
        <w:t xml:space="preserve"> Research and Evaluation. </w:t>
      </w:r>
      <w:r w:rsidR="009B4311">
        <w:t xml:space="preserve">Available at: </w:t>
      </w:r>
      <w:hyperlink r:id="rId8" w:history="1">
        <w:r w:rsidR="009B4311" w:rsidRPr="0003374C">
          <w:rPr>
            <w:rStyle w:val="Hyperlink"/>
          </w:rPr>
          <w:t>https://assets.publishing.service.gov.uk/government/uploads/system/uploads/attachment_data/file/1034125/dfid-ethics-prcpls-rsrch-eval-withdrawn.pdf</w:t>
        </w:r>
      </w:hyperlink>
    </w:p>
  </w:footnote>
  <w:footnote w:id="56">
    <w:p w14:paraId="51DC1C2C" w14:textId="04FAD99C" w:rsidR="00520DBB" w:rsidRPr="0003374C" w:rsidRDefault="00520DBB" w:rsidP="00520DBB">
      <w:pPr>
        <w:pStyle w:val="FootnoteText"/>
      </w:pPr>
      <w:r>
        <w:rPr>
          <w:rStyle w:val="FootnoteReference"/>
        </w:rPr>
        <w:footnoteRef/>
      </w:r>
      <w:r w:rsidR="00830D8A" w:rsidRPr="00830D8A">
        <w:t xml:space="preserve">Groves Williams, L. (2015). Review of Ethics Principles and Guidance in Evaluation and Research. </w:t>
      </w:r>
      <w:r w:rsidR="00830D8A">
        <w:t>Available at:</w:t>
      </w:r>
      <w:r w:rsidR="007458AC">
        <w:t xml:space="preserve"> </w:t>
      </w:r>
      <w:hyperlink r:id="rId9" w:history="1">
        <w:r w:rsidR="00830D8A" w:rsidRPr="0003374C">
          <w:rPr>
            <w:rStyle w:val="Hyperlink"/>
          </w:rPr>
          <w:t>https://www.oecd.org/dac/evaluation/DFID-Ethics-Principles-Report.pdf</w:t>
        </w:r>
      </w:hyperlink>
      <w:r w:rsidR="00830D8A" w:rsidRPr="0003374C">
        <w:t xml:space="preserve"> </w:t>
      </w:r>
    </w:p>
  </w:footnote>
  <w:footnote w:id="57">
    <w:p w14:paraId="264D6922" w14:textId="58E701A1" w:rsidR="0083517D" w:rsidRDefault="0083517D">
      <w:pPr>
        <w:pStyle w:val="FootnoteText"/>
      </w:pPr>
      <w:r>
        <w:rPr>
          <w:rStyle w:val="FootnoteReference"/>
        </w:rPr>
        <w:footnoteRef/>
      </w:r>
      <w:r>
        <w:t xml:space="preserve"> </w:t>
      </w:r>
      <w:r w:rsidRPr="0083517D">
        <w:t>https://www.gov.uk/government/publications/dfid-ethical-guidance-for-research-evaluation-and-monitoring-activities</w:t>
      </w:r>
    </w:p>
  </w:footnote>
  <w:footnote w:id="58">
    <w:p w14:paraId="34DAE04B" w14:textId="434B0940" w:rsidR="00E07358" w:rsidRDefault="00E07358">
      <w:pPr>
        <w:pStyle w:val="FootnoteText"/>
      </w:pPr>
      <w:r>
        <w:rPr>
          <w:rStyle w:val="FootnoteReference"/>
        </w:rPr>
        <w:footnoteRef/>
      </w:r>
      <w:r>
        <w:t xml:space="preserve"> </w:t>
      </w:r>
      <w:r w:rsidRPr="00E07358">
        <w:t xml:space="preserve">  The Fleming Fund started in 23 countries but subsequently pulled out of Sri Lanka and Myanmar decreasing the number of focus countries to 21.</w:t>
      </w:r>
    </w:p>
  </w:footnote>
  <w:footnote w:id="59">
    <w:p w14:paraId="47B669C1" w14:textId="32522C62" w:rsidR="00E30E4B" w:rsidRDefault="00E30E4B" w:rsidP="00E30E4B">
      <w:pPr>
        <w:pStyle w:val="FootnoteText"/>
      </w:pPr>
      <w:r>
        <w:rPr>
          <w:rStyle w:val="FootnoteReference"/>
          <w:rFonts w:eastAsiaTheme="majorEastAsia"/>
        </w:rPr>
        <w:footnoteRef/>
      </w:r>
      <w:r>
        <w:t xml:space="preserve"> For example, Itad produced a series of briefings on key questions in the Millennium Villages Project evaluation </w:t>
      </w:r>
      <w:hyperlink r:id="rId10" w:history="1">
        <w:r w:rsidRPr="00F729F2">
          <w:rPr>
            <w:rStyle w:val="Hyperlink"/>
          </w:rPr>
          <w:t>https://itad.com/knowledge-and-resources/mveval/</w:t>
        </w:r>
      </w:hyperlink>
      <w:r>
        <w:t xml:space="preserve"> </w:t>
      </w:r>
    </w:p>
  </w:footnote>
  <w:footnote w:id="60">
    <w:p w14:paraId="3E6EEA12" w14:textId="05C84A32" w:rsidR="00FC6116" w:rsidRDefault="00FC6116">
      <w:pPr>
        <w:pStyle w:val="FootnoteText"/>
      </w:pPr>
      <w:r>
        <w:rPr>
          <w:rStyle w:val="FootnoteReference"/>
        </w:rPr>
        <w:footnoteRef/>
      </w:r>
      <w:r>
        <w:t xml:space="preserve"> </w:t>
      </w:r>
      <w:r w:rsidRPr="007F63EF">
        <w:rPr>
          <w:rStyle w:val="cf01"/>
          <w:rFonts w:ascii="Calibri" w:hAnsi="Calibri" w:cs="Calibri"/>
          <w:sz w:val="16"/>
          <w:szCs w:val="16"/>
        </w:rPr>
        <w:t>https://www.w3.org/WAI/WCAG21/quickref/</w:t>
      </w:r>
    </w:p>
  </w:footnote>
  <w:footnote w:id="61">
    <w:p w14:paraId="3C03FD03" w14:textId="1CB3BF4D" w:rsidR="00E30E4B" w:rsidRDefault="00E30E4B" w:rsidP="00E30E4B">
      <w:pPr>
        <w:pStyle w:val="FootnoteText"/>
      </w:pPr>
      <w:r>
        <w:rPr>
          <w:rStyle w:val="FootnoteReference"/>
          <w:rFonts w:eastAsiaTheme="majorEastAsia"/>
        </w:rPr>
        <w:footnoteRef/>
      </w:r>
      <w:r>
        <w:t xml:space="preserve"> See for example</w:t>
      </w:r>
      <w:r w:rsidR="00830D8A">
        <w:t xml:space="preserve"> </w:t>
      </w:r>
      <w:r w:rsidR="00830D8A" w:rsidRPr="00830D8A">
        <w:t xml:space="preserve">Cooper, J. (2019, May 3). No time to wait: evaluating the fight against ‘Drugmageddon’. Retrieved from Itad: </w:t>
      </w:r>
      <w:hyperlink r:id="rId11" w:history="1">
        <w:r w:rsidR="00830D8A" w:rsidRPr="00C20910">
          <w:rPr>
            <w:rStyle w:val="Hyperlink"/>
          </w:rPr>
          <w:t>https://www.itad.com/article/no-time-to-wait-evaluating-the-fight-against-drugmageddon/</w:t>
        </w:r>
      </w:hyperlink>
    </w:p>
  </w:footnote>
  <w:footnote w:id="62">
    <w:p w14:paraId="000E2526" w14:textId="4A85A8CB" w:rsidR="00E30E4B" w:rsidRDefault="00E30E4B" w:rsidP="00E30E4B">
      <w:pPr>
        <w:pStyle w:val="FootnoteText"/>
      </w:pPr>
      <w:r>
        <w:rPr>
          <w:rStyle w:val="FootnoteReference"/>
          <w:rFonts w:eastAsiaTheme="majorEastAsia"/>
        </w:rPr>
        <w:footnoteRef/>
      </w:r>
      <w:r>
        <w:t xml:space="preserve"> See </w:t>
      </w:r>
      <w:r w:rsidR="00830D8A" w:rsidRPr="00830D8A">
        <w:t>One Health Commission. (2022). Resources / Services. Retrieved from One Health Commission: https://www.onehealthcommission.org/en/resources__services/</w:t>
      </w:r>
    </w:p>
  </w:footnote>
  <w:footnote w:id="63">
    <w:p w14:paraId="715F272F" w14:textId="0858F62F" w:rsidR="005C298E" w:rsidRDefault="005C298E" w:rsidP="007B4C54">
      <w:pPr>
        <w:pStyle w:val="FootnoteText"/>
      </w:pPr>
      <w:r>
        <w:rPr>
          <w:rStyle w:val="FootnoteReference"/>
        </w:rPr>
        <w:footnoteRef/>
      </w:r>
      <w:r>
        <w:t xml:space="preserve"> </w:t>
      </w:r>
      <w:r w:rsidR="00094D01">
        <w:t xml:space="preserve">We note that DHSC is keen to explore </w:t>
      </w:r>
      <w:r w:rsidR="0001364D">
        <w:t xml:space="preserve">the </w:t>
      </w:r>
      <w:r w:rsidR="00094D01">
        <w:t>potential for more than one workshop at the Delivery Partners Event</w:t>
      </w:r>
      <w:r w:rsidR="007B4C54">
        <w:t xml:space="preserve"> (DPE)</w:t>
      </w:r>
      <w:r w:rsidR="00094D01">
        <w:t xml:space="preserve">. Depending on how these are configured this </w:t>
      </w:r>
      <w:r w:rsidR="007B4C54">
        <w:t>may fall under phase 2 support. We remain open and ready for further discussion with</w:t>
      </w:r>
      <w:r w:rsidR="0001364D">
        <w:t xml:space="preserve"> the</w:t>
      </w:r>
      <w:r w:rsidR="007B4C54">
        <w:t xml:space="preserve"> DHSC as plans for the DPE evolve.</w:t>
      </w:r>
    </w:p>
  </w:footnote>
  <w:footnote w:id="64">
    <w:p w14:paraId="3E9BD68E" w14:textId="2DA4E5DB" w:rsidR="00C86D6A" w:rsidRDefault="00C86D6A">
      <w:pPr>
        <w:pStyle w:val="FootnoteText"/>
      </w:pPr>
      <w:r>
        <w:rPr>
          <w:rStyle w:val="FootnoteReference"/>
        </w:rPr>
        <w:footnoteRef/>
      </w:r>
      <w:r>
        <w:t xml:space="preserve"> </w:t>
      </w:r>
      <w:r w:rsidR="007A6C4A" w:rsidRPr="007A6C4A">
        <w:t>https://www.flemingfund.org/wp-content/uploads/d681876608d2adac1c86cb67f1fa15fa.pdf</w:t>
      </w:r>
    </w:p>
  </w:footnote>
  <w:footnote w:id="65">
    <w:p w14:paraId="14EBE377" w14:textId="77777777" w:rsidR="00FE0867" w:rsidRDefault="00FE0867" w:rsidP="0034108A">
      <w:pPr>
        <w:pStyle w:val="FootnoteText"/>
      </w:pPr>
      <w:r>
        <w:rPr>
          <w:rStyle w:val="FootnoteReference"/>
        </w:rPr>
        <w:footnoteRef/>
      </w:r>
      <w:r>
        <w:t xml:space="preserve"> Contribution to drivers was rated against the following scale: Vital / Important / Some / Limited / None / Negative</w:t>
      </w:r>
    </w:p>
  </w:footnote>
  <w:footnote w:id="66">
    <w:p w14:paraId="09DFE443" w14:textId="2C7A8DEC" w:rsidR="0077340E" w:rsidRDefault="0077340E">
      <w:pPr>
        <w:pStyle w:val="FootnoteText"/>
      </w:pPr>
      <w:r>
        <w:rPr>
          <w:rStyle w:val="FootnoteReference"/>
        </w:rPr>
        <w:footnoteRef/>
      </w:r>
      <w:r>
        <w:t xml:space="preserve"> </w:t>
      </w:r>
      <w:r w:rsidRPr="0077340E">
        <w:t xml:space="preserve">We do note the potential role that the Tricycle protocol could play in providing a tried and tested model, but also that this was published in 2021, so not available for Fleming Fund use for the majority of </w:t>
      </w:r>
      <w:r w:rsidR="008F6F94" w:rsidRPr="0077340E">
        <w:t>phase</w:t>
      </w:r>
      <w:r w:rsidRPr="0077340E">
        <w:t xml:space="preserve"> 1. https://www.who.int/publications/i/item/who-integrated-global-surveillance-on-esbl-producing-e.-coli-using-a-one-health-approach</w:t>
      </w:r>
    </w:p>
  </w:footnote>
  <w:footnote w:id="67">
    <w:p w14:paraId="6EBCEE9B" w14:textId="77777777" w:rsidR="0034108A" w:rsidRPr="00F42A3A" w:rsidRDefault="0034108A" w:rsidP="0034108A">
      <w:pPr>
        <w:pStyle w:val="FootnoteText"/>
      </w:pPr>
      <w:r w:rsidRPr="00F42A3A">
        <w:rPr>
          <w:rStyle w:val="FootnoteReference"/>
        </w:rPr>
        <w:footnoteRef/>
      </w:r>
      <w:r w:rsidRPr="00F42A3A">
        <w:t xml:space="preserve"> </w:t>
      </w:r>
      <w:r w:rsidRPr="009876C2">
        <w:t xml:space="preserve">DFID. (2020). DFID's Approach to </w:t>
      </w:r>
      <w:r>
        <w:t>VfM</w:t>
      </w:r>
      <w:r w:rsidRPr="009876C2">
        <w:t xml:space="preserve"> - Guidance for External Partners. London.</w:t>
      </w:r>
    </w:p>
  </w:footnote>
  <w:footnote w:id="68">
    <w:p w14:paraId="611A9011" w14:textId="77777777" w:rsidR="0034108A" w:rsidRPr="00F42A3A" w:rsidRDefault="0034108A" w:rsidP="0034108A">
      <w:pPr>
        <w:pStyle w:val="FootnoteText"/>
      </w:pPr>
      <w:r w:rsidRPr="00F42A3A">
        <w:rPr>
          <w:rStyle w:val="FootnoteReference"/>
        </w:rPr>
        <w:footnoteRef/>
      </w:r>
      <w:r w:rsidRPr="00F42A3A">
        <w:t xml:space="preserve"> </w:t>
      </w:r>
      <w:r w:rsidRPr="009876C2">
        <w:t xml:space="preserve">ICAI. (2018). DFID's approach to </w:t>
      </w:r>
      <w:r>
        <w:t>VfM</w:t>
      </w:r>
      <w:r w:rsidRPr="009876C2">
        <w:t xml:space="preserve"> in programme and portfolio management: a performance review. London: ICAI.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D2968" w14:textId="2E942FBA" w:rsidR="00215994" w:rsidRPr="007360F4" w:rsidRDefault="00B84E1D" w:rsidP="001A6FFB">
    <w:pPr>
      <w:pStyle w:val="ItadHeader"/>
      <w:rPr>
        <w:color w:val="808080" w:themeColor="background1" w:themeShade="80"/>
      </w:rPr>
    </w:pPr>
    <w:r>
      <w:rPr>
        <w:color w:val="808080" w:themeColor="background1" w:themeShade="80"/>
      </w:rPr>
      <w:t>Summative Report Annexes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8A2BC" w14:textId="6F3E0EBA" w:rsidR="000E5680" w:rsidRPr="007360F4" w:rsidRDefault="000E5680" w:rsidP="001A6FFB">
    <w:pPr>
      <w:pStyle w:val="ItadHeader"/>
      <w:rPr>
        <w:color w:val="808080" w:themeColor="background1" w:themeShade="80"/>
      </w:rPr>
    </w:pPr>
    <w:r>
      <w:rPr>
        <w:noProof/>
        <w:color w:val="808080" w:themeColor="background1" w:themeShade="80"/>
      </w:rPr>
      <w:drawing>
        <wp:anchor distT="0" distB="0" distL="114300" distR="114300" simplePos="0" relativeHeight="251658240" behindDoc="1" locked="0" layoutInCell="1" allowOverlap="1" wp14:anchorId="1DC9A07A" wp14:editId="5B1E2037">
          <wp:simplePos x="0" y="0"/>
          <wp:positionH relativeFrom="page">
            <wp:align>right</wp:align>
          </wp:positionH>
          <wp:positionV relativeFrom="paragraph">
            <wp:posOffset>-461010</wp:posOffset>
          </wp:positionV>
          <wp:extent cx="7559823" cy="487680"/>
          <wp:effectExtent l="0" t="0" r="3175" b="762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eep_logo_strip.png"/>
                  <pic:cNvPicPr/>
                </pic:nvPicPr>
                <pic:blipFill>
                  <a:blip r:embed="rId1">
                    <a:extLst>
                      <a:ext uri="{28A0092B-C50C-407E-A947-70E740481C1C}">
                        <a14:useLocalDpi xmlns:a14="http://schemas.microsoft.com/office/drawing/2010/main" val="0"/>
                      </a:ext>
                    </a:extLst>
                  </a:blip>
                  <a:stretch>
                    <a:fillRect/>
                  </a:stretch>
                </pic:blipFill>
                <pic:spPr>
                  <a:xfrm>
                    <a:off x="0" y="0"/>
                    <a:ext cx="7559823" cy="487680"/>
                  </a:xfrm>
                  <a:prstGeom prst="rect">
                    <a:avLst/>
                  </a:prstGeom>
                </pic:spPr>
              </pic:pic>
            </a:graphicData>
          </a:graphic>
          <wp14:sizeRelH relativeFrom="margin">
            <wp14:pctWidth>0</wp14:pctWidth>
          </wp14:sizeRelH>
          <wp14:sizeRelV relativeFrom="margin">
            <wp14:pctHeight>0</wp14:pctHeight>
          </wp14:sizeRelV>
        </wp:anchor>
      </w:drawing>
    </w:r>
    <w:r>
      <w:rPr>
        <w:color w:val="808080" w:themeColor="background1" w:themeShade="80"/>
      </w:rPr>
      <w:br/>
    </w:r>
    <w:r w:rsidR="005F0478">
      <w:rPr>
        <w:color w:val="808080" w:themeColor="background1" w:themeShade="80"/>
      </w:rPr>
      <w:t>Summative Report Annexes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3E47F" w14:textId="77777777" w:rsidR="005530D3" w:rsidRDefault="005530D3" w:rsidP="001A6FFB">
    <w:pPr>
      <w:pStyle w:val="ItadHeader"/>
    </w:pPr>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B49FF" w14:textId="77777777" w:rsidR="00215994" w:rsidRDefault="00215994" w:rsidP="001A6FFB">
    <w:pPr>
      <w:pStyle w:val="ItadHeader"/>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724C3"/>
    <w:multiLevelType w:val="hybridMultilevel"/>
    <w:tmpl w:val="1830430A"/>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4F3FDA"/>
    <w:multiLevelType w:val="hybridMultilevel"/>
    <w:tmpl w:val="A72A873C"/>
    <w:lvl w:ilvl="0" w:tplc="08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8FC4E73"/>
    <w:multiLevelType w:val="hybridMultilevel"/>
    <w:tmpl w:val="CB78350A"/>
    <w:lvl w:ilvl="0" w:tplc="126ADAD8">
      <w:start w:val="1"/>
      <w:numFmt w:val="decimal"/>
      <w:pStyle w:val="Itadboxnumbers"/>
      <w:lvlText w:val="Box %1."/>
      <w:lvlJc w:val="left"/>
      <w:pPr>
        <w:ind w:left="1352" w:hanging="360"/>
      </w:pPr>
    </w:lvl>
    <w:lvl w:ilvl="1" w:tplc="08090019" w:tentative="1">
      <w:start w:val="1"/>
      <w:numFmt w:val="lowerLetter"/>
      <w:lvlText w:val="%2."/>
      <w:lvlJc w:val="left"/>
      <w:pPr>
        <w:ind w:left="2072" w:hanging="360"/>
      </w:pPr>
    </w:lvl>
    <w:lvl w:ilvl="2" w:tplc="0809001B" w:tentative="1">
      <w:start w:val="1"/>
      <w:numFmt w:val="lowerRoman"/>
      <w:lvlText w:val="%3."/>
      <w:lvlJc w:val="right"/>
      <w:pPr>
        <w:ind w:left="2792" w:hanging="180"/>
      </w:pPr>
    </w:lvl>
    <w:lvl w:ilvl="3" w:tplc="0809000F" w:tentative="1">
      <w:start w:val="1"/>
      <w:numFmt w:val="decimal"/>
      <w:lvlText w:val="%4."/>
      <w:lvlJc w:val="left"/>
      <w:pPr>
        <w:ind w:left="3512" w:hanging="360"/>
      </w:pPr>
    </w:lvl>
    <w:lvl w:ilvl="4" w:tplc="08090019" w:tentative="1">
      <w:start w:val="1"/>
      <w:numFmt w:val="lowerLetter"/>
      <w:lvlText w:val="%5."/>
      <w:lvlJc w:val="left"/>
      <w:pPr>
        <w:ind w:left="4232" w:hanging="360"/>
      </w:pPr>
    </w:lvl>
    <w:lvl w:ilvl="5" w:tplc="0809001B" w:tentative="1">
      <w:start w:val="1"/>
      <w:numFmt w:val="lowerRoman"/>
      <w:lvlText w:val="%6."/>
      <w:lvlJc w:val="right"/>
      <w:pPr>
        <w:ind w:left="4952" w:hanging="180"/>
      </w:pPr>
    </w:lvl>
    <w:lvl w:ilvl="6" w:tplc="0809000F" w:tentative="1">
      <w:start w:val="1"/>
      <w:numFmt w:val="decimal"/>
      <w:lvlText w:val="%7."/>
      <w:lvlJc w:val="left"/>
      <w:pPr>
        <w:ind w:left="5672" w:hanging="360"/>
      </w:pPr>
    </w:lvl>
    <w:lvl w:ilvl="7" w:tplc="08090019" w:tentative="1">
      <w:start w:val="1"/>
      <w:numFmt w:val="lowerLetter"/>
      <w:lvlText w:val="%8."/>
      <w:lvlJc w:val="left"/>
      <w:pPr>
        <w:ind w:left="6392" w:hanging="360"/>
      </w:pPr>
    </w:lvl>
    <w:lvl w:ilvl="8" w:tplc="0809001B" w:tentative="1">
      <w:start w:val="1"/>
      <w:numFmt w:val="lowerRoman"/>
      <w:lvlText w:val="%9."/>
      <w:lvlJc w:val="right"/>
      <w:pPr>
        <w:ind w:left="7112" w:hanging="180"/>
      </w:pPr>
    </w:lvl>
  </w:abstractNum>
  <w:abstractNum w:abstractNumId="3" w15:restartNumberingAfterBreak="0">
    <w:nsid w:val="0942F7F7"/>
    <w:multiLevelType w:val="hybridMultilevel"/>
    <w:tmpl w:val="FFFFFFFF"/>
    <w:lvl w:ilvl="0" w:tplc="D58CFCCC">
      <w:start w:val="1"/>
      <w:numFmt w:val="bullet"/>
      <w:lvlText w:val="·"/>
      <w:lvlJc w:val="left"/>
      <w:pPr>
        <w:ind w:left="720" w:hanging="360"/>
      </w:pPr>
      <w:rPr>
        <w:rFonts w:ascii="Symbol" w:hAnsi="Symbol" w:hint="default"/>
      </w:rPr>
    </w:lvl>
    <w:lvl w:ilvl="1" w:tplc="E13A2446">
      <w:start w:val="1"/>
      <w:numFmt w:val="bullet"/>
      <w:lvlText w:val="o"/>
      <w:lvlJc w:val="left"/>
      <w:pPr>
        <w:ind w:left="1440" w:hanging="360"/>
      </w:pPr>
      <w:rPr>
        <w:rFonts w:ascii="Courier New" w:hAnsi="Courier New" w:hint="default"/>
      </w:rPr>
    </w:lvl>
    <w:lvl w:ilvl="2" w:tplc="DBEED024">
      <w:start w:val="1"/>
      <w:numFmt w:val="bullet"/>
      <w:lvlText w:val=""/>
      <w:lvlJc w:val="left"/>
      <w:pPr>
        <w:ind w:left="2160" w:hanging="360"/>
      </w:pPr>
      <w:rPr>
        <w:rFonts w:ascii="Wingdings" w:hAnsi="Wingdings" w:hint="default"/>
      </w:rPr>
    </w:lvl>
    <w:lvl w:ilvl="3" w:tplc="A72E349C">
      <w:start w:val="1"/>
      <w:numFmt w:val="bullet"/>
      <w:lvlText w:val=""/>
      <w:lvlJc w:val="left"/>
      <w:pPr>
        <w:ind w:left="2880" w:hanging="360"/>
      </w:pPr>
      <w:rPr>
        <w:rFonts w:ascii="Symbol" w:hAnsi="Symbol" w:hint="default"/>
      </w:rPr>
    </w:lvl>
    <w:lvl w:ilvl="4" w:tplc="AA8A20CE">
      <w:start w:val="1"/>
      <w:numFmt w:val="bullet"/>
      <w:lvlText w:val="o"/>
      <w:lvlJc w:val="left"/>
      <w:pPr>
        <w:ind w:left="3600" w:hanging="360"/>
      </w:pPr>
      <w:rPr>
        <w:rFonts w:ascii="Courier New" w:hAnsi="Courier New" w:hint="default"/>
      </w:rPr>
    </w:lvl>
    <w:lvl w:ilvl="5" w:tplc="D1543CB2">
      <w:start w:val="1"/>
      <w:numFmt w:val="bullet"/>
      <w:lvlText w:val=""/>
      <w:lvlJc w:val="left"/>
      <w:pPr>
        <w:ind w:left="4320" w:hanging="360"/>
      </w:pPr>
      <w:rPr>
        <w:rFonts w:ascii="Wingdings" w:hAnsi="Wingdings" w:hint="default"/>
      </w:rPr>
    </w:lvl>
    <w:lvl w:ilvl="6" w:tplc="CD3CEA7E">
      <w:start w:val="1"/>
      <w:numFmt w:val="bullet"/>
      <w:lvlText w:val=""/>
      <w:lvlJc w:val="left"/>
      <w:pPr>
        <w:ind w:left="5040" w:hanging="360"/>
      </w:pPr>
      <w:rPr>
        <w:rFonts w:ascii="Symbol" w:hAnsi="Symbol" w:hint="default"/>
      </w:rPr>
    </w:lvl>
    <w:lvl w:ilvl="7" w:tplc="94449CEA">
      <w:start w:val="1"/>
      <w:numFmt w:val="bullet"/>
      <w:lvlText w:val="o"/>
      <w:lvlJc w:val="left"/>
      <w:pPr>
        <w:ind w:left="5760" w:hanging="360"/>
      </w:pPr>
      <w:rPr>
        <w:rFonts w:ascii="Courier New" w:hAnsi="Courier New" w:hint="default"/>
      </w:rPr>
    </w:lvl>
    <w:lvl w:ilvl="8" w:tplc="47C49F46">
      <w:start w:val="1"/>
      <w:numFmt w:val="bullet"/>
      <w:lvlText w:val=""/>
      <w:lvlJc w:val="left"/>
      <w:pPr>
        <w:ind w:left="6480" w:hanging="360"/>
      </w:pPr>
      <w:rPr>
        <w:rFonts w:ascii="Wingdings" w:hAnsi="Wingdings" w:hint="default"/>
      </w:rPr>
    </w:lvl>
  </w:abstractNum>
  <w:abstractNum w:abstractNumId="4" w15:restartNumberingAfterBreak="0">
    <w:nsid w:val="0AB83BAC"/>
    <w:multiLevelType w:val="hybridMultilevel"/>
    <w:tmpl w:val="FFFFFFFF"/>
    <w:lvl w:ilvl="0" w:tplc="A8042930">
      <w:start w:val="1"/>
      <w:numFmt w:val="bullet"/>
      <w:lvlText w:val=""/>
      <w:lvlJc w:val="left"/>
      <w:pPr>
        <w:ind w:left="720" w:hanging="360"/>
      </w:pPr>
      <w:rPr>
        <w:rFonts w:ascii="Symbol" w:hAnsi="Symbol" w:hint="default"/>
      </w:rPr>
    </w:lvl>
    <w:lvl w:ilvl="1" w:tplc="87401146">
      <w:start w:val="1"/>
      <w:numFmt w:val="bullet"/>
      <w:lvlText w:val="o"/>
      <w:lvlJc w:val="left"/>
      <w:pPr>
        <w:ind w:left="1440" w:hanging="360"/>
      </w:pPr>
      <w:rPr>
        <w:rFonts w:ascii="Courier New" w:hAnsi="Courier New" w:hint="default"/>
      </w:rPr>
    </w:lvl>
    <w:lvl w:ilvl="2" w:tplc="2B860C3A">
      <w:start w:val="1"/>
      <w:numFmt w:val="bullet"/>
      <w:lvlText w:val=""/>
      <w:lvlJc w:val="left"/>
      <w:pPr>
        <w:ind w:left="2160" w:hanging="360"/>
      </w:pPr>
      <w:rPr>
        <w:rFonts w:ascii="Wingdings" w:hAnsi="Wingdings" w:hint="default"/>
      </w:rPr>
    </w:lvl>
    <w:lvl w:ilvl="3" w:tplc="57085A84">
      <w:start w:val="1"/>
      <w:numFmt w:val="bullet"/>
      <w:lvlText w:val=""/>
      <w:lvlJc w:val="left"/>
      <w:pPr>
        <w:ind w:left="2880" w:hanging="360"/>
      </w:pPr>
      <w:rPr>
        <w:rFonts w:ascii="Symbol" w:hAnsi="Symbol" w:hint="default"/>
      </w:rPr>
    </w:lvl>
    <w:lvl w:ilvl="4" w:tplc="0B18E084">
      <w:start w:val="1"/>
      <w:numFmt w:val="bullet"/>
      <w:lvlText w:val="o"/>
      <w:lvlJc w:val="left"/>
      <w:pPr>
        <w:ind w:left="3600" w:hanging="360"/>
      </w:pPr>
      <w:rPr>
        <w:rFonts w:ascii="Courier New" w:hAnsi="Courier New" w:hint="default"/>
      </w:rPr>
    </w:lvl>
    <w:lvl w:ilvl="5" w:tplc="A48ACC44">
      <w:start w:val="1"/>
      <w:numFmt w:val="bullet"/>
      <w:lvlText w:val=""/>
      <w:lvlJc w:val="left"/>
      <w:pPr>
        <w:ind w:left="4320" w:hanging="360"/>
      </w:pPr>
      <w:rPr>
        <w:rFonts w:ascii="Wingdings" w:hAnsi="Wingdings" w:hint="default"/>
      </w:rPr>
    </w:lvl>
    <w:lvl w:ilvl="6" w:tplc="E5FEF044">
      <w:start w:val="1"/>
      <w:numFmt w:val="bullet"/>
      <w:lvlText w:val=""/>
      <w:lvlJc w:val="left"/>
      <w:pPr>
        <w:ind w:left="5040" w:hanging="360"/>
      </w:pPr>
      <w:rPr>
        <w:rFonts w:ascii="Symbol" w:hAnsi="Symbol" w:hint="default"/>
      </w:rPr>
    </w:lvl>
    <w:lvl w:ilvl="7" w:tplc="F92217D0">
      <w:start w:val="1"/>
      <w:numFmt w:val="bullet"/>
      <w:lvlText w:val="o"/>
      <w:lvlJc w:val="left"/>
      <w:pPr>
        <w:ind w:left="5760" w:hanging="360"/>
      </w:pPr>
      <w:rPr>
        <w:rFonts w:ascii="Courier New" w:hAnsi="Courier New" w:hint="default"/>
      </w:rPr>
    </w:lvl>
    <w:lvl w:ilvl="8" w:tplc="E9CCBDCA">
      <w:start w:val="1"/>
      <w:numFmt w:val="bullet"/>
      <w:lvlText w:val=""/>
      <w:lvlJc w:val="left"/>
      <w:pPr>
        <w:ind w:left="6480" w:hanging="360"/>
      </w:pPr>
      <w:rPr>
        <w:rFonts w:ascii="Wingdings" w:hAnsi="Wingdings" w:hint="default"/>
      </w:rPr>
    </w:lvl>
  </w:abstractNum>
  <w:abstractNum w:abstractNumId="5" w15:restartNumberingAfterBreak="0">
    <w:nsid w:val="0AE703FB"/>
    <w:multiLevelType w:val="hybridMultilevel"/>
    <w:tmpl w:val="0DA0F0F2"/>
    <w:lvl w:ilvl="0" w:tplc="376E0526">
      <w:start w:val="1"/>
      <w:numFmt w:val="bullet"/>
      <w:lvlText w:val=""/>
      <w:lvlJc w:val="left"/>
      <w:pPr>
        <w:ind w:left="1080" w:hanging="360"/>
      </w:pPr>
      <w:rPr>
        <w:rFonts w:ascii="Symbol" w:hAnsi="Symbol" w:hint="default"/>
      </w:rPr>
    </w:lvl>
    <w:lvl w:ilvl="1" w:tplc="06D216EA">
      <w:start w:val="1"/>
      <w:numFmt w:val="bullet"/>
      <w:lvlText w:val="o"/>
      <w:lvlJc w:val="left"/>
      <w:pPr>
        <w:ind w:left="1440" w:hanging="360"/>
      </w:pPr>
      <w:rPr>
        <w:rFonts w:ascii="Courier New" w:hAnsi="Courier New" w:hint="default"/>
      </w:rPr>
    </w:lvl>
    <w:lvl w:ilvl="2" w:tplc="9732C30E">
      <w:start w:val="1"/>
      <w:numFmt w:val="bullet"/>
      <w:lvlText w:val=""/>
      <w:lvlJc w:val="left"/>
      <w:pPr>
        <w:ind w:left="2160" w:hanging="360"/>
      </w:pPr>
      <w:rPr>
        <w:rFonts w:ascii="Wingdings" w:hAnsi="Wingdings" w:hint="default"/>
      </w:rPr>
    </w:lvl>
    <w:lvl w:ilvl="3" w:tplc="9D86A126">
      <w:start w:val="1"/>
      <w:numFmt w:val="bullet"/>
      <w:lvlText w:val=""/>
      <w:lvlJc w:val="left"/>
      <w:pPr>
        <w:ind w:left="2880" w:hanging="360"/>
      </w:pPr>
      <w:rPr>
        <w:rFonts w:ascii="Symbol" w:hAnsi="Symbol" w:hint="default"/>
      </w:rPr>
    </w:lvl>
    <w:lvl w:ilvl="4" w:tplc="98383FE8">
      <w:start w:val="1"/>
      <w:numFmt w:val="bullet"/>
      <w:lvlText w:val="o"/>
      <w:lvlJc w:val="left"/>
      <w:pPr>
        <w:ind w:left="3600" w:hanging="360"/>
      </w:pPr>
      <w:rPr>
        <w:rFonts w:ascii="Courier New" w:hAnsi="Courier New" w:hint="default"/>
      </w:rPr>
    </w:lvl>
    <w:lvl w:ilvl="5" w:tplc="255C8952">
      <w:start w:val="1"/>
      <w:numFmt w:val="bullet"/>
      <w:lvlText w:val=""/>
      <w:lvlJc w:val="left"/>
      <w:pPr>
        <w:ind w:left="4320" w:hanging="360"/>
      </w:pPr>
      <w:rPr>
        <w:rFonts w:ascii="Wingdings" w:hAnsi="Wingdings" w:hint="default"/>
      </w:rPr>
    </w:lvl>
    <w:lvl w:ilvl="6" w:tplc="AB509EDA">
      <w:start w:val="1"/>
      <w:numFmt w:val="bullet"/>
      <w:lvlText w:val=""/>
      <w:lvlJc w:val="left"/>
      <w:pPr>
        <w:ind w:left="5040" w:hanging="360"/>
      </w:pPr>
      <w:rPr>
        <w:rFonts w:ascii="Symbol" w:hAnsi="Symbol" w:hint="default"/>
      </w:rPr>
    </w:lvl>
    <w:lvl w:ilvl="7" w:tplc="7E1435B4">
      <w:start w:val="1"/>
      <w:numFmt w:val="bullet"/>
      <w:lvlText w:val="o"/>
      <w:lvlJc w:val="left"/>
      <w:pPr>
        <w:ind w:left="5760" w:hanging="360"/>
      </w:pPr>
      <w:rPr>
        <w:rFonts w:ascii="Courier New" w:hAnsi="Courier New" w:hint="default"/>
      </w:rPr>
    </w:lvl>
    <w:lvl w:ilvl="8" w:tplc="BCEC4A32">
      <w:start w:val="1"/>
      <w:numFmt w:val="bullet"/>
      <w:lvlText w:val=""/>
      <w:lvlJc w:val="left"/>
      <w:pPr>
        <w:ind w:left="6480" w:hanging="360"/>
      </w:pPr>
      <w:rPr>
        <w:rFonts w:ascii="Wingdings" w:hAnsi="Wingdings" w:hint="default"/>
      </w:rPr>
    </w:lvl>
  </w:abstractNum>
  <w:abstractNum w:abstractNumId="6" w15:restartNumberingAfterBreak="0">
    <w:nsid w:val="0B0F6B51"/>
    <w:multiLevelType w:val="hybridMultilevel"/>
    <w:tmpl w:val="FFFFFFFF"/>
    <w:lvl w:ilvl="0" w:tplc="92DC67B6">
      <w:start w:val="1"/>
      <w:numFmt w:val="bullet"/>
      <w:lvlText w:val="·"/>
      <w:lvlJc w:val="left"/>
      <w:pPr>
        <w:ind w:left="720" w:hanging="360"/>
      </w:pPr>
      <w:rPr>
        <w:rFonts w:ascii="Symbol" w:hAnsi="Symbol" w:hint="default"/>
      </w:rPr>
    </w:lvl>
    <w:lvl w:ilvl="1" w:tplc="239A4666">
      <w:start w:val="1"/>
      <w:numFmt w:val="bullet"/>
      <w:lvlText w:val="o"/>
      <w:lvlJc w:val="left"/>
      <w:pPr>
        <w:ind w:left="1440" w:hanging="360"/>
      </w:pPr>
      <w:rPr>
        <w:rFonts w:ascii="Courier New" w:hAnsi="Courier New" w:hint="default"/>
      </w:rPr>
    </w:lvl>
    <w:lvl w:ilvl="2" w:tplc="40626EFA">
      <w:start w:val="1"/>
      <w:numFmt w:val="bullet"/>
      <w:lvlText w:val=""/>
      <w:lvlJc w:val="left"/>
      <w:pPr>
        <w:ind w:left="2160" w:hanging="360"/>
      </w:pPr>
      <w:rPr>
        <w:rFonts w:ascii="Wingdings" w:hAnsi="Wingdings" w:hint="default"/>
      </w:rPr>
    </w:lvl>
    <w:lvl w:ilvl="3" w:tplc="EAC071D6">
      <w:start w:val="1"/>
      <w:numFmt w:val="bullet"/>
      <w:lvlText w:val=""/>
      <w:lvlJc w:val="left"/>
      <w:pPr>
        <w:ind w:left="2880" w:hanging="360"/>
      </w:pPr>
      <w:rPr>
        <w:rFonts w:ascii="Symbol" w:hAnsi="Symbol" w:hint="default"/>
      </w:rPr>
    </w:lvl>
    <w:lvl w:ilvl="4" w:tplc="9DEE46F2">
      <w:start w:val="1"/>
      <w:numFmt w:val="bullet"/>
      <w:lvlText w:val="o"/>
      <w:lvlJc w:val="left"/>
      <w:pPr>
        <w:ind w:left="3600" w:hanging="360"/>
      </w:pPr>
      <w:rPr>
        <w:rFonts w:ascii="Courier New" w:hAnsi="Courier New" w:hint="default"/>
      </w:rPr>
    </w:lvl>
    <w:lvl w:ilvl="5" w:tplc="01069460">
      <w:start w:val="1"/>
      <w:numFmt w:val="bullet"/>
      <w:lvlText w:val=""/>
      <w:lvlJc w:val="left"/>
      <w:pPr>
        <w:ind w:left="4320" w:hanging="360"/>
      </w:pPr>
      <w:rPr>
        <w:rFonts w:ascii="Wingdings" w:hAnsi="Wingdings" w:hint="default"/>
      </w:rPr>
    </w:lvl>
    <w:lvl w:ilvl="6" w:tplc="C3F2BDEC">
      <w:start w:val="1"/>
      <w:numFmt w:val="bullet"/>
      <w:lvlText w:val=""/>
      <w:lvlJc w:val="left"/>
      <w:pPr>
        <w:ind w:left="5040" w:hanging="360"/>
      </w:pPr>
      <w:rPr>
        <w:rFonts w:ascii="Symbol" w:hAnsi="Symbol" w:hint="default"/>
      </w:rPr>
    </w:lvl>
    <w:lvl w:ilvl="7" w:tplc="B6C4FFA6">
      <w:start w:val="1"/>
      <w:numFmt w:val="bullet"/>
      <w:lvlText w:val="o"/>
      <w:lvlJc w:val="left"/>
      <w:pPr>
        <w:ind w:left="5760" w:hanging="360"/>
      </w:pPr>
      <w:rPr>
        <w:rFonts w:ascii="Courier New" w:hAnsi="Courier New" w:hint="default"/>
      </w:rPr>
    </w:lvl>
    <w:lvl w:ilvl="8" w:tplc="25B053D0">
      <w:start w:val="1"/>
      <w:numFmt w:val="bullet"/>
      <w:lvlText w:val=""/>
      <w:lvlJc w:val="left"/>
      <w:pPr>
        <w:ind w:left="6480" w:hanging="360"/>
      </w:pPr>
      <w:rPr>
        <w:rFonts w:ascii="Wingdings" w:hAnsi="Wingdings" w:hint="default"/>
      </w:rPr>
    </w:lvl>
  </w:abstractNum>
  <w:abstractNum w:abstractNumId="7" w15:restartNumberingAfterBreak="0">
    <w:nsid w:val="0B625AFA"/>
    <w:multiLevelType w:val="hybridMultilevel"/>
    <w:tmpl w:val="4912C444"/>
    <w:lvl w:ilvl="0" w:tplc="DC203540">
      <w:start w:val="1"/>
      <w:numFmt w:val="decimal"/>
      <w:pStyle w:val="Itadnumberedparas"/>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C0EB32F"/>
    <w:multiLevelType w:val="hybridMultilevel"/>
    <w:tmpl w:val="FFFFFFFF"/>
    <w:styleLink w:val="ListBullets"/>
    <w:lvl w:ilvl="0" w:tplc="7D1879E4">
      <w:start w:val="1"/>
      <w:numFmt w:val="bullet"/>
      <w:lvlText w:val=""/>
      <w:lvlJc w:val="left"/>
      <w:pPr>
        <w:ind w:left="720" w:hanging="360"/>
      </w:pPr>
      <w:rPr>
        <w:rFonts w:ascii="Symbol" w:hAnsi="Symbol" w:hint="default"/>
      </w:rPr>
    </w:lvl>
    <w:lvl w:ilvl="1" w:tplc="8396AEA6">
      <w:start w:val="1"/>
      <w:numFmt w:val="bullet"/>
      <w:lvlText w:val="o"/>
      <w:lvlJc w:val="left"/>
      <w:pPr>
        <w:ind w:left="1440" w:hanging="360"/>
      </w:pPr>
      <w:rPr>
        <w:rFonts w:ascii="Courier New" w:hAnsi="Courier New" w:hint="default"/>
      </w:rPr>
    </w:lvl>
    <w:lvl w:ilvl="2" w:tplc="825456D4">
      <w:start w:val="1"/>
      <w:numFmt w:val="bullet"/>
      <w:lvlText w:val=""/>
      <w:lvlJc w:val="left"/>
      <w:pPr>
        <w:ind w:left="2160" w:hanging="360"/>
      </w:pPr>
      <w:rPr>
        <w:rFonts w:ascii="Wingdings" w:hAnsi="Wingdings" w:hint="default"/>
      </w:rPr>
    </w:lvl>
    <w:lvl w:ilvl="3" w:tplc="7B60ADE2">
      <w:start w:val="1"/>
      <w:numFmt w:val="bullet"/>
      <w:lvlText w:val=""/>
      <w:lvlJc w:val="left"/>
      <w:pPr>
        <w:ind w:left="2880" w:hanging="360"/>
      </w:pPr>
      <w:rPr>
        <w:rFonts w:ascii="Symbol" w:hAnsi="Symbol" w:hint="default"/>
      </w:rPr>
    </w:lvl>
    <w:lvl w:ilvl="4" w:tplc="28F83F4C">
      <w:start w:val="1"/>
      <w:numFmt w:val="bullet"/>
      <w:lvlText w:val="o"/>
      <w:lvlJc w:val="left"/>
      <w:pPr>
        <w:ind w:left="3600" w:hanging="360"/>
      </w:pPr>
      <w:rPr>
        <w:rFonts w:ascii="Courier New" w:hAnsi="Courier New" w:hint="default"/>
      </w:rPr>
    </w:lvl>
    <w:lvl w:ilvl="5" w:tplc="D606259C">
      <w:start w:val="1"/>
      <w:numFmt w:val="bullet"/>
      <w:lvlText w:val=""/>
      <w:lvlJc w:val="left"/>
      <w:pPr>
        <w:ind w:left="4320" w:hanging="360"/>
      </w:pPr>
      <w:rPr>
        <w:rFonts w:ascii="Wingdings" w:hAnsi="Wingdings" w:hint="default"/>
      </w:rPr>
    </w:lvl>
    <w:lvl w:ilvl="6" w:tplc="2B6E9EDC">
      <w:start w:val="1"/>
      <w:numFmt w:val="bullet"/>
      <w:lvlText w:val=""/>
      <w:lvlJc w:val="left"/>
      <w:pPr>
        <w:ind w:left="5040" w:hanging="360"/>
      </w:pPr>
      <w:rPr>
        <w:rFonts w:ascii="Symbol" w:hAnsi="Symbol" w:hint="default"/>
      </w:rPr>
    </w:lvl>
    <w:lvl w:ilvl="7" w:tplc="EDC8BB62">
      <w:start w:val="1"/>
      <w:numFmt w:val="bullet"/>
      <w:lvlText w:val="o"/>
      <w:lvlJc w:val="left"/>
      <w:pPr>
        <w:ind w:left="5760" w:hanging="360"/>
      </w:pPr>
      <w:rPr>
        <w:rFonts w:ascii="Courier New" w:hAnsi="Courier New" w:hint="default"/>
      </w:rPr>
    </w:lvl>
    <w:lvl w:ilvl="8" w:tplc="4BBCBAB8">
      <w:start w:val="1"/>
      <w:numFmt w:val="bullet"/>
      <w:lvlText w:val=""/>
      <w:lvlJc w:val="left"/>
      <w:pPr>
        <w:ind w:left="6480" w:hanging="360"/>
      </w:pPr>
      <w:rPr>
        <w:rFonts w:ascii="Wingdings" w:hAnsi="Wingdings" w:hint="default"/>
      </w:rPr>
    </w:lvl>
  </w:abstractNum>
  <w:abstractNum w:abstractNumId="9" w15:restartNumberingAfterBreak="0">
    <w:nsid w:val="0C9A1773"/>
    <w:multiLevelType w:val="hybridMultilevel"/>
    <w:tmpl w:val="9C9ED15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D775BD2"/>
    <w:multiLevelType w:val="hybridMultilevel"/>
    <w:tmpl w:val="FFFFFFFF"/>
    <w:lvl w:ilvl="0" w:tplc="F042C12C">
      <w:start w:val="1"/>
      <w:numFmt w:val="bullet"/>
      <w:lvlText w:val="·"/>
      <w:lvlJc w:val="left"/>
      <w:pPr>
        <w:ind w:left="720" w:hanging="360"/>
      </w:pPr>
      <w:rPr>
        <w:rFonts w:ascii="Symbol" w:hAnsi="Symbol" w:hint="default"/>
      </w:rPr>
    </w:lvl>
    <w:lvl w:ilvl="1" w:tplc="6D3285F4">
      <w:start w:val="1"/>
      <w:numFmt w:val="bullet"/>
      <w:lvlText w:val="o"/>
      <w:lvlJc w:val="left"/>
      <w:pPr>
        <w:ind w:left="1440" w:hanging="360"/>
      </w:pPr>
      <w:rPr>
        <w:rFonts w:ascii="Courier New" w:hAnsi="Courier New" w:hint="default"/>
      </w:rPr>
    </w:lvl>
    <w:lvl w:ilvl="2" w:tplc="46AA3980">
      <w:start w:val="1"/>
      <w:numFmt w:val="bullet"/>
      <w:lvlText w:val=""/>
      <w:lvlJc w:val="left"/>
      <w:pPr>
        <w:ind w:left="2160" w:hanging="360"/>
      </w:pPr>
      <w:rPr>
        <w:rFonts w:ascii="Wingdings" w:hAnsi="Wingdings" w:hint="default"/>
      </w:rPr>
    </w:lvl>
    <w:lvl w:ilvl="3" w:tplc="394C84AC">
      <w:start w:val="1"/>
      <w:numFmt w:val="bullet"/>
      <w:lvlText w:val=""/>
      <w:lvlJc w:val="left"/>
      <w:pPr>
        <w:ind w:left="2880" w:hanging="360"/>
      </w:pPr>
      <w:rPr>
        <w:rFonts w:ascii="Symbol" w:hAnsi="Symbol" w:hint="default"/>
      </w:rPr>
    </w:lvl>
    <w:lvl w:ilvl="4" w:tplc="19B4605A">
      <w:start w:val="1"/>
      <w:numFmt w:val="bullet"/>
      <w:lvlText w:val="o"/>
      <w:lvlJc w:val="left"/>
      <w:pPr>
        <w:ind w:left="3600" w:hanging="360"/>
      </w:pPr>
      <w:rPr>
        <w:rFonts w:ascii="Courier New" w:hAnsi="Courier New" w:hint="default"/>
      </w:rPr>
    </w:lvl>
    <w:lvl w:ilvl="5" w:tplc="F844E2FC">
      <w:start w:val="1"/>
      <w:numFmt w:val="bullet"/>
      <w:lvlText w:val=""/>
      <w:lvlJc w:val="left"/>
      <w:pPr>
        <w:ind w:left="4320" w:hanging="360"/>
      </w:pPr>
      <w:rPr>
        <w:rFonts w:ascii="Wingdings" w:hAnsi="Wingdings" w:hint="default"/>
      </w:rPr>
    </w:lvl>
    <w:lvl w:ilvl="6" w:tplc="6A7EDAD6">
      <w:start w:val="1"/>
      <w:numFmt w:val="bullet"/>
      <w:lvlText w:val=""/>
      <w:lvlJc w:val="left"/>
      <w:pPr>
        <w:ind w:left="5040" w:hanging="360"/>
      </w:pPr>
      <w:rPr>
        <w:rFonts w:ascii="Symbol" w:hAnsi="Symbol" w:hint="default"/>
      </w:rPr>
    </w:lvl>
    <w:lvl w:ilvl="7" w:tplc="EBFA76E2">
      <w:start w:val="1"/>
      <w:numFmt w:val="bullet"/>
      <w:lvlText w:val="o"/>
      <w:lvlJc w:val="left"/>
      <w:pPr>
        <w:ind w:left="5760" w:hanging="360"/>
      </w:pPr>
      <w:rPr>
        <w:rFonts w:ascii="Courier New" w:hAnsi="Courier New" w:hint="default"/>
      </w:rPr>
    </w:lvl>
    <w:lvl w:ilvl="8" w:tplc="2D0683B4">
      <w:start w:val="1"/>
      <w:numFmt w:val="bullet"/>
      <w:lvlText w:val=""/>
      <w:lvlJc w:val="left"/>
      <w:pPr>
        <w:ind w:left="6480" w:hanging="360"/>
      </w:pPr>
      <w:rPr>
        <w:rFonts w:ascii="Wingdings" w:hAnsi="Wingdings" w:hint="default"/>
      </w:rPr>
    </w:lvl>
  </w:abstractNum>
  <w:abstractNum w:abstractNumId="11" w15:restartNumberingAfterBreak="0">
    <w:nsid w:val="0DF92944"/>
    <w:multiLevelType w:val="multilevel"/>
    <w:tmpl w:val="817258A2"/>
    <w:lvl w:ilvl="0">
      <w:start w:val="1"/>
      <w:numFmt w:val="decimal"/>
      <w:lvlText w:val="%1."/>
      <w:lvlJc w:val="left"/>
      <w:pPr>
        <w:tabs>
          <w:tab w:val="num" w:pos="720"/>
        </w:tabs>
        <w:ind w:left="720" w:hanging="360"/>
      </w:pPr>
    </w:lvl>
    <w:lvl w:ilvl="1">
      <w:start w:val="4"/>
      <w:numFmt w:val="bullet"/>
      <w:lvlText w:val="-"/>
      <w:lvlJc w:val="left"/>
      <w:pPr>
        <w:ind w:left="1440" w:hanging="360"/>
      </w:pPr>
      <w:rPr>
        <w:rFonts w:ascii="Calibri" w:eastAsia="Times New Roman" w:hAnsi="Calibri" w:cs="Calibri"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EDA1F1B"/>
    <w:multiLevelType w:val="hybridMultilevel"/>
    <w:tmpl w:val="FFFFFFFF"/>
    <w:lvl w:ilvl="0" w:tplc="1298AD2C">
      <w:start w:val="1"/>
      <w:numFmt w:val="bullet"/>
      <w:lvlText w:val=""/>
      <w:lvlJc w:val="left"/>
      <w:pPr>
        <w:ind w:left="720" w:hanging="360"/>
      </w:pPr>
      <w:rPr>
        <w:rFonts w:ascii="Symbol" w:hAnsi="Symbol" w:hint="default"/>
      </w:rPr>
    </w:lvl>
    <w:lvl w:ilvl="1" w:tplc="0A9C6CAE">
      <w:start w:val="1"/>
      <w:numFmt w:val="bullet"/>
      <w:lvlText w:val="o"/>
      <w:lvlJc w:val="left"/>
      <w:pPr>
        <w:ind w:left="1440" w:hanging="360"/>
      </w:pPr>
      <w:rPr>
        <w:rFonts w:ascii="Courier New" w:hAnsi="Courier New" w:hint="default"/>
      </w:rPr>
    </w:lvl>
    <w:lvl w:ilvl="2" w:tplc="EE165772">
      <w:start w:val="1"/>
      <w:numFmt w:val="bullet"/>
      <w:lvlText w:val=""/>
      <w:lvlJc w:val="left"/>
      <w:pPr>
        <w:ind w:left="2160" w:hanging="360"/>
      </w:pPr>
      <w:rPr>
        <w:rFonts w:ascii="Wingdings" w:hAnsi="Wingdings" w:hint="default"/>
      </w:rPr>
    </w:lvl>
    <w:lvl w:ilvl="3" w:tplc="47EA5718">
      <w:start w:val="1"/>
      <w:numFmt w:val="bullet"/>
      <w:lvlText w:val=""/>
      <w:lvlJc w:val="left"/>
      <w:pPr>
        <w:ind w:left="2880" w:hanging="360"/>
      </w:pPr>
      <w:rPr>
        <w:rFonts w:ascii="Symbol" w:hAnsi="Symbol" w:hint="default"/>
      </w:rPr>
    </w:lvl>
    <w:lvl w:ilvl="4" w:tplc="A94A0058">
      <w:start w:val="1"/>
      <w:numFmt w:val="bullet"/>
      <w:lvlText w:val="o"/>
      <w:lvlJc w:val="left"/>
      <w:pPr>
        <w:ind w:left="3600" w:hanging="360"/>
      </w:pPr>
      <w:rPr>
        <w:rFonts w:ascii="Courier New" w:hAnsi="Courier New" w:hint="default"/>
      </w:rPr>
    </w:lvl>
    <w:lvl w:ilvl="5" w:tplc="8200D9B2">
      <w:start w:val="1"/>
      <w:numFmt w:val="bullet"/>
      <w:lvlText w:val=""/>
      <w:lvlJc w:val="left"/>
      <w:pPr>
        <w:ind w:left="4320" w:hanging="360"/>
      </w:pPr>
      <w:rPr>
        <w:rFonts w:ascii="Wingdings" w:hAnsi="Wingdings" w:hint="default"/>
      </w:rPr>
    </w:lvl>
    <w:lvl w:ilvl="6" w:tplc="08A4BEE0">
      <w:start w:val="1"/>
      <w:numFmt w:val="bullet"/>
      <w:lvlText w:val=""/>
      <w:lvlJc w:val="left"/>
      <w:pPr>
        <w:ind w:left="5040" w:hanging="360"/>
      </w:pPr>
      <w:rPr>
        <w:rFonts w:ascii="Symbol" w:hAnsi="Symbol" w:hint="default"/>
      </w:rPr>
    </w:lvl>
    <w:lvl w:ilvl="7" w:tplc="0BD420CA">
      <w:start w:val="1"/>
      <w:numFmt w:val="bullet"/>
      <w:lvlText w:val="o"/>
      <w:lvlJc w:val="left"/>
      <w:pPr>
        <w:ind w:left="5760" w:hanging="360"/>
      </w:pPr>
      <w:rPr>
        <w:rFonts w:ascii="Courier New" w:hAnsi="Courier New" w:hint="default"/>
      </w:rPr>
    </w:lvl>
    <w:lvl w:ilvl="8" w:tplc="5120B9DA">
      <w:start w:val="1"/>
      <w:numFmt w:val="bullet"/>
      <w:lvlText w:val=""/>
      <w:lvlJc w:val="left"/>
      <w:pPr>
        <w:ind w:left="6480" w:hanging="360"/>
      </w:pPr>
      <w:rPr>
        <w:rFonts w:ascii="Wingdings" w:hAnsi="Wingdings" w:hint="default"/>
      </w:rPr>
    </w:lvl>
  </w:abstractNum>
  <w:abstractNum w:abstractNumId="13" w15:restartNumberingAfterBreak="0">
    <w:nsid w:val="10262E95"/>
    <w:multiLevelType w:val="multilevel"/>
    <w:tmpl w:val="894EF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6F206E2"/>
    <w:multiLevelType w:val="hybridMultilevel"/>
    <w:tmpl w:val="536EF346"/>
    <w:lvl w:ilvl="0" w:tplc="08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6948D1"/>
    <w:multiLevelType w:val="multilevel"/>
    <w:tmpl w:val="5DD8B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96A1D1F"/>
    <w:multiLevelType w:val="hybridMultilevel"/>
    <w:tmpl w:val="CE7C1BB6"/>
    <w:lvl w:ilvl="0" w:tplc="08090005">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96D1D73"/>
    <w:multiLevelType w:val="hybridMultilevel"/>
    <w:tmpl w:val="B32C3642"/>
    <w:lvl w:ilvl="0" w:tplc="D862A44C">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199B0587"/>
    <w:multiLevelType w:val="hybridMultilevel"/>
    <w:tmpl w:val="61648CD8"/>
    <w:lvl w:ilvl="0" w:tplc="08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9F73BF6"/>
    <w:multiLevelType w:val="hybridMultilevel"/>
    <w:tmpl w:val="AF66557E"/>
    <w:lvl w:ilvl="0" w:tplc="43C44852">
      <w:start w:val="1"/>
      <w:numFmt w:val="decimal"/>
      <w:lvlText w:val="%1."/>
      <w:lvlJc w:val="left"/>
      <w:pPr>
        <w:ind w:left="720" w:hanging="360"/>
      </w:pPr>
      <w:rPr>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A9B52E7"/>
    <w:multiLevelType w:val="hybridMultilevel"/>
    <w:tmpl w:val="001ECD42"/>
    <w:lvl w:ilvl="0" w:tplc="FF6A1874">
      <w:start w:val="1"/>
      <w:numFmt w:val="decimal"/>
      <w:pStyle w:val="ItadSectionTitleBlocknumbered"/>
      <w:lvlText w:val="%1."/>
      <w:lvlJc w:val="left"/>
      <w:pPr>
        <w:ind w:left="879" w:hanging="360"/>
      </w:pPr>
    </w:lvl>
    <w:lvl w:ilvl="1" w:tplc="08090019" w:tentative="1">
      <w:start w:val="1"/>
      <w:numFmt w:val="lowerLetter"/>
      <w:lvlText w:val="%2."/>
      <w:lvlJc w:val="left"/>
      <w:pPr>
        <w:ind w:left="1599" w:hanging="360"/>
      </w:pPr>
    </w:lvl>
    <w:lvl w:ilvl="2" w:tplc="0809001B" w:tentative="1">
      <w:start w:val="1"/>
      <w:numFmt w:val="lowerRoman"/>
      <w:lvlText w:val="%3."/>
      <w:lvlJc w:val="right"/>
      <w:pPr>
        <w:ind w:left="2319" w:hanging="180"/>
      </w:pPr>
    </w:lvl>
    <w:lvl w:ilvl="3" w:tplc="0809000F" w:tentative="1">
      <w:start w:val="1"/>
      <w:numFmt w:val="decimal"/>
      <w:lvlText w:val="%4."/>
      <w:lvlJc w:val="left"/>
      <w:pPr>
        <w:ind w:left="3039" w:hanging="360"/>
      </w:pPr>
    </w:lvl>
    <w:lvl w:ilvl="4" w:tplc="08090019" w:tentative="1">
      <w:start w:val="1"/>
      <w:numFmt w:val="lowerLetter"/>
      <w:lvlText w:val="%5."/>
      <w:lvlJc w:val="left"/>
      <w:pPr>
        <w:ind w:left="3759" w:hanging="360"/>
      </w:pPr>
    </w:lvl>
    <w:lvl w:ilvl="5" w:tplc="0809001B" w:tentative="1">
      <w:start w:val="1"/>
      <w:numFmt w:val="lowerRoman"/>
      <w:lvlText w:val="%6."/>
      <w:lvlJc w:val="right"/>
      <w:pPr>
        <w:ind w:left="4479" w:hanging="180"/>
      </w:pPr>
    </w:lvl>
    <w:lvl w:ilvl="6" w:tplc="0809000F" w:tentative="1">
      <w:start w:val="1"/>
      <w:numFmt w:val="decimal"/>
      <w:lvlText w:val="%7."/>
      <w:lvlJc w:val="left"/>
      <w:pPr>
        <w:ind w:left="5199" w:hanging="360"/>
      </w:pPr>
    </w:lvl>
    <w:lvl w:ilvl="7" w:tplc="08090019" w:tentative="1">
      <w:start w:val="1"/>
      <w:numFmt w:val="lowerLetter"/>
      <w:lvlText w:val="%8."/>
      <w:lvlJc w:val="left"/>
      <w:pPr>
        <w:ind w:left="5919" w:hanging="360"/>
      </w:pPr>
    </w:lvl>
    <w:lvl w:ilvl="8" w:tplc="0809001B" w:tentative="1">
      <w:start w:val="1"/>
      <w:numFmt w:val="lowerRoman"/>
      <w:lvlText w:val="%9."/>
      <w:lvlJc w:val="right"/>
      <w:pPr>
        <w:ind w:left="6639" w:hanging="180"/>
      </w:pPr>
    </w:lvl>
  </w:abstractNum>
  <w:abstractNum w:abstractNumId="21" w15:restartNumberingAfterBreak="0">
    <w:nsid w:val="1BCF0D5B"/>
    <w:multiLevelType w:val="hybridMultilevel"/>
    <w:tmpl w:val="3E84AF0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C8D0195"/>
    <w:multiLevelType w:val="hybridMultilevel"/>
    <w:tmpl w:val="BB46E40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DD8300D"/>
    <w:multiLevelType w:val="hybridMultilevel"/>
    <w:tmpl w:val="1F683D4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1EEA1ED2"/>
    <w:multiLevelType w:val="hybridMultilevel"/>
    <w:tmpl w:val="8DAA501E"/>
    <w:lvl w:ilvl="0" w:tplc="F836CDB8">
      <w:start w:val="1"/>
      <w:numFmt w:val="bullet"/>
      <w:pStyle w:val="ItadSubbullets"/>
      <w:lvlText w:val="o"/>
      <w:lvlJc w:val="left"/>
      <w:pPr>
        <w:ind w:left="1004" w:hanging="360"/>
      </w:pPr>
      <w:rPr>
        <w:rFonts w:ascii="Courier New" w:hAnsi="Courier New" w:cs="Courier New"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F386F69"/>
    <w:multiLevelType w:val="hybridMultilevel"/>
    <w:tmpl w:val="DD687140"/>
    <w:lvl w:ilvl="0" w:tplc="0056618E">
      <w:start w:val="1"/>
      <w:numFmt w:val="bullet"/>
      <w:pStyle w:val="ItadBullets"/>
      <w:lvlText w:val=""/>
      <w:lvlJc w:val="left"/>
      <w:pPr>
        <w:ind w:left="107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06921FA"/>
    <w:multiLevelType w:val="hybridMultilevel"/>
    <w:tmpl w:val="1DD6F5A2"/>
    <w:lvl w:ilvl="0" w:tplc="08090005">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7" w15:restartNumberingAfterBreak="0">
    <w:nsid w:val="211B4D20"/>
    <w:multiLevelType w:val="hybridMultilevel"/>
    <w:tmpl w:val="381C020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1526D89"/>
    <w:multiLevelType w:val="hybridMultilevel"/>
    <w:tmpl w:val="BBEE1830"/>
    <w:lvl w:ilvl="0" w:tplc="B4B2B7EC">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19D483A"/>
    <w:multiLevelType w:val="multilevel"/>
    <w:tmpl w:val="2B50F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2610D20"/>
    <w:multiLevelType w:val="hybridMultilevel"/>
    <w:tmpl w:val="804E9246"/>
    <w:lvl w:ilvl="0" w:tplc="B4B2B7EC">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3D25C51"/>
    <w:multiLevelType w:val="multilevel"/>
    <w:tmpl w:val="6ED8DC6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eastAsia="Calibri"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4407448"/>
    <w:multiLevelType w:val="multilevel"/>
    <w:tmpl w:val="6B563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4C781F4"/>
    <w:multiLevelType w:val="hybridMultilevel"/>
    <w:tmpl w:val="FFFFFFFF"/>
    <w:lvl w:ilvl="0" w:tplc="909E834A">
      <w:start w:val="1"/>
      <w:numFmt w:val="bullet"/>
      <w:lvlText w:val="·"/>
      <w:lvlJc w:val="left"/>
      <w:pPr>
        <w:ind w:left="720" w:hanging="360"/>
      </w:pPr>
      <w:rPr>
        <w:rFonts w:ascii="Symbol" w:hAnsi="Symbol" w:hint="default"/>
      </w:rPr>
    </w:lvl>
    <w:lvl w:ilvl="1" w:tplc="1E9473A2">
      <w:start w:val="1"/>
      <w:numFmt w:val="bullet"/>
      <w:lvlText w:val="o"/>
      <w:lvlJc w:val="left"/>
      <w:pPr>
        <w:ind w:left="1440" w:hanging="360"/>
      </w:pPr>
      <w:rPr>
        <w:rFonts w:ascii="Courier New" w:hAnsi="Courier New" w:hint="default"/>
      </w:rPr>
    </w:lvl>
    <w:lvl w:ilvl="2" w:tplc="7A4C2C7C">
      <w:start w:val="1"/>
      <w:numFmt w:val="bullet"/>
      <w:lvlText w:val=""/>
      <w:lvlJc w:val="left"/>
      <w:pPr>
        <w:ind w:left="2160" w:hanging="360"/>
      </w:pPr>
      <w:rPr>
        <w:rFonts w:ascii="Wingdings" w:hAnsi="Wingdings" w:hint="default"/>
      </w:rPr>
    </w:lvl>
    <w:lvl w:ilvl="3" w:tplc="0AD6FC18">
      <w:start w:val="1"/>
      <w:numFmt w:val="bullet"/>
      <w:lvlText w:val=""/>
      <w:lvlJc w:val="left"/>
      <w:pPr>
        <w:ind w:left="2880" w:hanging="360"/>
      </w:pPr>
      <w:rPr>
        <w:rFonts w:ascii="Symbol" w:hAnsi="Symbol" w:hint="default"/>
      </w:rPr>
    </w:lvl>
    <w:lvl w:ilvl="4" w:tplc="DB9C6C02">
      <w:start w:val="1"/>
      <w:numFmt w:val="bullet"/>
      <w:lvlText w:val="o"/>
      <w:lvlJc w:val="left"/>
      <w:pPr>
        <w:ind w:left="3600" w:hanging="360"/>
      </w:pPr>
      <w:rPr>
        <w:rFonts w:ascii="Courier New" w:hAnsi="Courier New" w:hint="default"/>
      </w:rPr>
    </w:lvl>
    <w:lvl w:ilvl="5" w:tplc="1EC008C8">
      <w:start w:val="1"/>
      <w:numFmt w:val="bullet"/>
      <w:lvlText w:val=""/>
      <w:lvlJc w:val="left"/>
      <w:pPr>
        <w:ind w:left="4320" w:hanging="360"/>
      </w:pPr>
      <w:rPr>
        <w:rFonts w:ascii="Wingdings" w:hAnsi="Wingdings" w:hint="default"/>
      </w:rPr>
    </w:lvl>
    <w:lvl w:ilvl="6" w:tplc="2760E8BE">
      <w:start w:val="1"/>
      <w:numFmt w:val="bullet"/>
      <w:lvlText w:val=""/>
      <w:lvlJc w:val="left"/>
      <w:pPr>
        <w:ind w:left="5040" w:hanging="360"/>
      </w:pPr>
      <w:rPr>
        <w:rFonts w:ascii="Symbol" w:hAnsi="Symbol" w:hint="default"/>
      </w:rPr>
    </w:lvl>
    <w:lvl w:ilvl="7" w:tplc="71623BDC">
      <w:start w:val="1"/>
      <w:numFmt w:val="bullet"/>
      <w:lvlText w:val="o"/>
      <w:lvlJc w:val="left"/>
      <w:pPr>
        <w:ind w:left="5760" w:hanging="360"/>
      </w:pPr>
      <w:rPr>
        <w:rFonts w:ascii="Courier New" w:hAnsi="Courier New" w:hint="default"/>
      </w:rPr>
    </w:lvl>
    <w:lvl w:ilvl="8" w:tplc="CC5461B6">
      <w:start w:val="1"/>
      <w:numFmt w:val="bullet"/>
      <w:lvlText w:val=""/>
      <w:lvlJc w:val="left"/>
      <w:pPr>
        <w:ind w:left="6480" w:hanging="360"/>
      </w:pPr>
      <w:rPr>
        <w:rFonts w:ascii="Wingdings" w:hAnsi="Wingdings" w:hint="default"/>
      </w:rPr>
    </w:lvl>
  </w:abstractNum>
  <w:abstractNum w:abstractNumId="34" w15:restartNumberingAfterBreak="0">
    <w:nsid w:val="27F22D54"/>
    <w:multiLevelType w:val="hybridMultilevel"/>
    <w:tmpl w:val="7BA26044"/>
    <w:lvl w:ilvl="0" w:tplc="08090005">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287C4EBD"/>
    <w:multiLevelType w:val="multilevel"/>
    <w:tmpl w:val="6D6EAB40"/>
    <w:lvl w:ilvl="0">
      <w:start w:val="1"/>
      <w:numFmt w:val="decimal"/>
      <w:pStyle w:val="Heading1"/>
      <w:lvlText w:val="%1"/>
      <w:lvlJc w:val="left"/>
      <w:pPr>
        <w:tabs>
          <w:tab w:val="num" w:pos="567"/>
        </w:tabs>
        <w:ind w:left="0" w:firstLine="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993"/>
        </w:tabs>
        <w:ind w:left="426" w:firstLine="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680"/>
        </w:tabs>
        <w:ind w:left="0" w:firstLine="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793"/>
        </w:tabs>
        <w:ind w:left="0" w:firstLine="567"/>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906"/>
        </w:tabs>
        <w:ind w:left="0" w:firstLine="906"/>
      </w:pPr>
      <w:rPr>
        <w:rFonts w:hint="default"/>
        <w:color w:val="3FB84E" w:themeColor="accent3"/>
      </w:rPr>
    </w:lvl>
    <w:lvl w:ilvl="5">
      <w:start w:val="1"/>
      <w:numFmt w:val="decimal"/>
      <w:lvlText w:val="%1.%2.%3.%4.%5.%6"/>
      <w:lvlJc w:val="left"/>
      <w:pPr>
        <w:tabs>
          <w:tab w:val="num" w:pos="1019"/>
        </w:tabs>
        <w:ind w:left="0" w:firstLine="1019"/>
      </w:pPr>
      <w:rPr>
        <w:rFonts w:hint="default"/>
        <w:color w:val="3FB84E" w:themeColor="accent3"/>
      </w:rPr>
    </w:lvl>
    <w:lvl w:ilvl="6">
      <w:start w:val="1"/>
      <w:numFmt w:val="decimal"/>
      <w:lvlText w:val="%1.%2.%3.%4.%5.%6.%7"/>
      <w:lvlJc w:val="left"/>
      <w:pPr>
        <w:tabs>
          <w:tab w:val="num" w:pos="1132"/>
        </w:tabs>
        <w:ind w:left="0" w:firstLine="1132"/>
      </w:pPr>
      <w:rPr>
        <w:rFonts w:hint="default"/>
        <w:color w:val="3FB84E" w:themeColor="accent3"/>
      </w:rPr>
    </w:lvl>
    <w:lvl w:ilvl="7">
      <w:start w:val="1"/>
      <w:numFmt w:val="decimal"/>
      <w:lvlText w:val="%1.%2.%3.%4.%5.%6.%7.%8"/>
      <w:lvlJc w:val="left"/>
      <w:pPr>
        <w:tabs>
          <w:tab w:val="num" w:pos="1245"/>
        </w:tabs>
        <w:ind w:left="0" w:firstLine="1245"/>
      </w:pPr>
      <w:rPr>
        <w:rFonts w:hint="default"/>
        <w:color w:val="3FB84E" w:themeColor="accent3"/>
      </w:rPr>
    </w:lvl>
    <w:lvl w:ilvl="8">
      <w:start w:val="1"/>
      <w:numFmt w:val="decimal"/>
      <w:lvlText w:val="%1.%2.%3.%4.%5.%6.%7.%8.%9"/>
      <w:lvlJc w:val="left"/>
      <w:pPr>
        <w:tabs>
          <w:tab w:val="num" w:pos="1358"/>
        </w:tabs>
        <w:ind w:left="0" w:firstLine="1358"/>
      </w:pPr>
      <w:rPr>
        <w:rFonts w:hint="default"/>
        <w:color w:val="3FB84E" w:themeColor="accent3"/>
      </w:rPr>
    </w:lvl>
  </w:abstractNum>
  <w:abstractNum w:abstractNumId="36" w15:restartNumberingAfterBreak="0">
    <w:nsid w:val="28DC4124"/>
    <w:multiLevelType w:val="hybridMultilevel"/>
    <w:tmpl w:val="715A1036"/>
    <w:lvl w:ilvl="0" w:tplc="B4B2B7EC">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97935D5"/>
    <w:multiLevelType w:val="hybridMultilevel"/>
    <w:tmpl w:val="2BA0E728"/>
    <w:lvl w:ilvl="0" w:tplc="FDFA049C">
      <w:start w:val="1"/>
      <w:numFmt w:val="decimal"/>
      <w:lvlText w:val="%1)"/>
      <w:lvlJc w:val="left"/>
      <w:pPr>
        <w:ind w:left="720" w:hanging="360"/>
      </w:pPr>
      <w:rPr>
        <w:rFonts w:ascii="Calibri" w:eastAsiaTheme="minorHAnsi" w:hAnsi="Calibri" w:cs="Arial" w:hint="default"/>
        <w:color w:val="auto"/>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29A96CDC"/>
    <w:multiLevelType w:val="hybridMultilevel"/>
    <w:tmpl w:val="E4728544"/>
    <w:lvl w:ilvl="0" w:tplc="B4B2B7EC">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A968B11"/>
    <w:multiLevelType w:val="hybridMultilevel"/>
    <w:tmpl w:val="FFFFFFFF"/>
    <w:lvl w:ilvl="0" w:tplc="D5CA3DA0">
      <w:start w:val="1"/>
      <w:numFmt w:val="bullet"/>
      <w:lvlText w:val="·"/>
      <w:lvlJc w:val="left"/>
      <w:pPr>
        <w:ind w:left="720" w:hanging="360"/>
      </w:pPr>
      <w:rPr>
        <w:rFonts w:ascii="Symbol" w:hAnsi="Symbol" w:hint="default"/>
      </w:rPr>
    </w:lvl>
    <w:lvl w:ilvl="1" w:tplc="6F685F32">
      <w:start w:val="1"/>
      <w:numFmt w:val="bullet"/>
      <w:lvlText w:val="o"/>
      <w:lvlJc w:val="left"/>
      <w:pPr>
        <w:ind w:left="1440" w:hanging="360"/>
      </w:pPr>
      <w:rPr>
        <w:rFonts w:ascii="Courier New" w:hAnsi="Courier New" w:hint="default"/>
      </w:rPr>
    </w:lvl>
    <w:lvl w:ilvl="2" w:tplc="9C2CB954">
      <w:start w:val="1"/>
      <w:numFmt w:val="bullet"/>
      <w:lvlText w:val=""/>
      <w:lvlJc w:val="left"/>
      <w:pPr>
        <w:ind w:left="2160" w:hanging="360"/>
      </w:pPr>
      <w:rPr>
        <w:rFonts w:ascii="Wingdings" w:hAnsi="Wingdings" w:hint="default"/>
      </w:rPr>
    </w:lvl>
    <w:lvl w:ilvl="3" w:tplc="605406C6">
      <w:start w:val="1"/>
      <w:numFmt w:val="bullet"/>
      <w:lvlText w:val=""/>
      <w:lvlJc w:val="left"/>
      <w:pPr>
        <w:ind w:left="2880" w:hanging="360"/>
      </w:pPr>
      <w:rPr>
        <w:rFonts w:ascii="Symbol" w:hAnsi="Symbol" w:hint="default"/>
      </w:rPr>
    </w:lvl>
    <w:lvl w:ilvl="4" w:tplc="17349C78">
      <w:start w:val="1"/>
      <w:numFmt w:val="bullet"/>
      <w:lvlText w:val="o"/>
      <w:lvlJc w:val="left"/>
      <w:pPr>
        <w:ind w:left="3600" w:hanging="360"/>
      </w:pPr>
      <w:rPr>
        <w:rFonts w:ascii="Courier New" w:hAnsi="Courier New" w:hint="default"/>
      </w:rPr>
    </w:lvl>
    <w:lvl w:ilvl="5" w:tplc="39A61A6C">
      <w:start w:val="1"/>
      <w:numFmt w:val="bullet"/>
      <w:lvlText w:val=""/>
      <w:lvlJc w:val="left"/>
      <w:pPr>
        <w:ind w:left="4320" w:hanging="360"/>
      </w:pPr>
      <w:rPr>
        <w:rFonts w:ascii="Wingdings" w:hAnsi="Wingdings" w:hint="default"/>
      </w:rPr>
    </w:lvl>
    <w:lvl w:ilvl="6" w:tplc="E092EF12">
      <w:start w:val="1"/>
      <w:numFmt w:val="bullet"/>
      <w:lvlText w:val=""/>
      <w:lvlJc w:val="left"/>
      <w:pPr>
        <w:ind w:left="5040" w:hanging="360"/>
      </w:pPr>
      <w:rPr>
        <w:rFonts w:ascii="Symbol" w:hAnsi="Symbol" w:hint="default"/>
      </w:rPr>
    </w:lvl>
    <w:lvl w:ilvl="7" w:tplc="44D86718">
      <w:start w:val="1"/>
      <w:numFmt w:val="bullet"/>
      <w:lvlText w:val="o"/>
      <w:lvlJc w:val="left"/>
      <w:pPr>
        <w:ind w:left="5760" w:hanging="360"/>
      </w:pPr>
      <w:rPr>
        <w:rFonts w:ascii="Courier New" w:hAnsi="Courier New" w:hint="default"/>
      </w:rPr>
    </w:lvl>
    <w:lvl w:ilvl="8" w:tplc="5FEC79F2">
      <w:start w:val="1"/>
      <w:numFmt w:val="bullet"/>
      <w:lvlText w:val=""/>
      <w:lvlJc w:val="left"/>
      <w:pPr>
        <w:ind w:left="6480" w:hanging="360"/>
      </w:pPr>
      <w:rPr>
        <w:rFonts w:ascii="Wingdings" w:hAnsi="Wingdings" w:hint="default"/>
      </w:rPr>
    </w:lvl>
  </w:abstractNum>
  <w:abstractNum w:abstractNumId="40" w15:restartNumberingAfterBreak="0">
    <w:nsid w:val="2C83637A"/>
    <w:multiLevelType w:val="hybridMultilevel"/>
    <w:tmpl w:val="332CABB2"/>
    <w:lvl w:ilvl="0" w:tplc="08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CAC400D"/>
    <w:multiLevelType w:val="hybridMultilevel"/>
    <w:tmpl w:val="4F144078"/>
    <w:lvl w:ilvl="0" w:tplc="A7088638">
      <w:start w:val="1"/>
      <w:numFmt w:val="bullet"/>
      <w:lvlText w:val=""/>
      <w:lvlJc w:val="left"/>
      <w:pPr>
        <w:ind w:left="720" w:hanging="360"/>
      </w:pPr>
      <w:rPr>
        <w:rFonts w:ascii="Symbol" w:hAnsi="Symbol" w:hint="default"/>
      </w:rPr>
    </w:lvl>
    <w:lvl w:ilvl="1" w:tplc="8F4CB850">
      <w:start w:val="1"/>
      <w:numFmt w:val="bullet"/>
      <w:lvlText w:val="o"/>
      <w:lvlJc w:val="left"/>
      <w:pPr>
        <w:ind w:left="1440" w:hanging="360"/>
      </w:pPr>
      <w:rPr>
        <w:rFonts w:ascii="Courier New" w:hAnsi="Courier New" w:hint="default"/>
      </w:rPr>
    </w:lvl>
    <w:lvl w:ilvl="2" w:tplc="8468F7EC">
      <w:start w:val="1"/>
      <w:numFmt w:val="bullet"/>
      <w:lvlText w:val=""/>
      <w:lvlJc w:val="left"/>
      <w:pPr>
        <w:ind w:left="2160" w:hanging="360"/>
      </w:pPr>
      <w:rPr>
        <w:rFonts w:ascii="Wingdings" w:hAnsi="Wingdings" w:hint="default"/>
      </w:rPr>
    </w:lvl>
    <w:lvl w:ilvl="3" w:tplc="B8C4BD1E">
      <w:start w:val="1"/>
      <w:numFmt w:val="bullet"/>
      <w:lvlText w:val=""/>
      <w:lvlJc w:val="left"/>
      <w:pPr>
        <w:ind w:left="2880" w:hanging="360"/>
      </w:pPr>
      <w:rPr>
        <w:rFonts w:ascii="Symbol" w:hAnsi="Symbol" w:hint="default"/>
      </w:rPr>
    </w:lvl>
    <w:lvl w:ilvl="4" w:tplc="D4B0F426">
      <w:start w:val="1"/>
      <w:numFmt w:val="bullet"/>
      <w:lvlText w:val="o"/>
      <w:lvlJc w:val="left"/>
      <w:pPr>
        <w:ind w:left="3600" w:hanging="360"/>
      </w:pPr>
      <w:rPr>
        <w:rFonts w:ascii="Courier New" w:hAnsi="Courier New" w:hint="default"/>
      </w:rPr>
    </w:lvl>
    <w:lvl w:ilvl="5" w:tplc="1CE4B116">
      <w:start w:val="1"/>
      <w:numFmt w:val="bullet"/>
      <w:lvlText w:val=""/>
      <w:lvlJc w:val="left"/>
      <w:pPr>
        <w:ind w:left="4320" w:hanging="360"/>
      </w:pPr>
      <w:rPr>
        <w:rFonts w:ascii="Wingdings" w:hAnsi="Wingdings" w:hint="default"/>
      </w:rPr>
    </w:lvl>
    <w:lvl w:ilvl="6" w:tplc="27949F70">
      <w:start w:val="1"/>
      <w:numFmt w:val="bullet"/>
      <w:lvlText w:val=""/>
      <w:lvlJc w:val="left"/>
      <w:pPr>
        <w:ind w:left="5040" w:hanging="360"/>
      </w:pPr>
      <w:rPr>
        <w:rFonts w:ascii="Symbol" w:hAnsi="Symbol" w:hint="default"/>
      </w:rPr>
    </w:lvl>
    <w:lvl w:ilvl="7" w:tplc="FAB6D42E">
      <w:start w:val="1"/>
      <w:numFmt w:val="bullet"/>
      <w:lvlText w:val="o"/>
      <w:lvlJc w:val="left"/>
      <w:pPr>
        <w:ind w:left="5760" w:hanging="360"/>
      </w:pPr>
      <w:rPr>
        <w:rFonts w:ascii="Courier New" w:hAnsi="Courier New" w:hint="default"/>
      </w:rPr>
    </w:lvl>
    <w:lvl w:ilvl="8" w:tplc="61BE0FDC">
      <w:start w:val="1"/>
      <w:numFmt w:val="bullet"/>
      <w:lvlText w:val=""/>
      <w:lvlJc w:val="left"/>
      <w:pPr>
        <w:ind w:left="6480" w:hanging="360"/>
      </w:pPr>
      <w:rPr>
        <w:rFonts w:ascii="Wingdings" w:hAnsi="Wingdings" w:hint="default"/>
      </w:rPr>
    </w:lvl>
  </w:abstractNum>
  <w:abstractNum w:abstractNumId="42" w15:restartNumberingAfterBreak="0">
    <w:nsid w:val="2D500835"/>
    <w:multiLevelType w:val="hybridMultilevel"/>
    <w:tmpl w:val="FFFFFFFF"/>
    <w:lvl w:ilvl="0" w:tplc="EA94BEB8">
      <w:start w:val="1"/>
      <w:numFmt w:val="bullet"/>
      <w:lvlText w:val=""/>
      <w:lvlJc w:val="left"/>
      <w:pPr>
        <w:ind w:left="720" w:hanging="360"/>
      </w:pPr>
      <w:rPr>
        <w:rFonts w:ascii="Symbol" w:hAnsi="Symbol" w:hint="default"/>
      </w:rPr>
    </w:lvl>
    <w:lvl w:ilvl="1" w:tplc="4A6EC15C">
      <w:start w:val="1"/>
      <w:numFmt w:val="bullet"/>
      <w:lvlText w:val="o"/>
      <w:lvlJc w:val="left"/>
      <w:pPr>
        <w:ind w:left="1440" w:hanging="360"/>
      </w:pPr>
      <w:rPr>
        <w:rFonts w:ascii="Courier New" w:hAnsi="Courier New" w:hint="default"/>
      </w:rPr>
    </w:lvl>
    <w:lvl w:ilvl="2" w:tplc="908018F2">
      <w:start w:val="1"/>
      <w:numFmt w:val="bullet"/>
      <w:lvlText w:val=""/>
      <w:lvlJc w:val="left"/>
      <w:pPr>
        <w:ind w:left="2160" w:hanging="360"/>
      </w:pPr>
      <w:rPr>
        <w:rFonts w:ascii="Wingdings" w:hAnsi="Wingdings" w:hint="default"/>
      </w:rPr>
    </w:lvl>
    <w:lvl w:ilvl="3" w:tplc="681A36F4">
      <w:start w:val="1"/>
      <w:numFmt w:val="bullet"/>
      <w:lvlText w:val=""/>
      <w:lvlJc w:val="left"/>
      <w:pPr>
        <w:ind w:left="2880" w:hanging="360"/>
      </w:pPr>
      <w:rPr>
        <w:rFonts w:ascii="Symbol" w:hAnsi="Symbol" w:hint="default"/>
      </w:rPr>
    </w:lvl>
    <w:lvl w:ilvl="4" w:tplc="BE92692C">
      <w:start w:val="1"/>
      <w:numFmt w:val="bullet"/>
      <w:lvlText w:val="o"/>
      <w:lvlJc w:val="left"/>
      <w:pPr>
        <w:ind w:left="3600" w:hanging="360"/>
      </w:pPr>
      <w:rPr>
        <w:rFonts w:ascii="Courier New" w:hAnsi="Courier New" w:hint="default"/>
      </w:rPr>
    </w:lvl>
    <w:lvl w:ilvl="5" w:tplc="25966BA6">
      <w:start w:val="1"/>
      <w:numFmt w:val="bullet"/>
      <w:lvlText w:val=""/>
      <w:lvlJc w:val="left"/>
      <w:pPr>
        <w:ind w:left="4320" w:hanging="360"/>
      </w:pPr>
      <w:rPr>
        <w:rFonts w:ascii="Wingdings" w:hAnsi="Wingdings" w:hint="default"/>
      </w:rPr>
    </w:lvl>
    <w:lvl w:ilvl="6" w:tplc="4ACE2584">
      <w:start w:val="1"/>
      <w:numFmt w:val="bullet"/>
      <w:lvlText w:val=""/>
      <w:lvlJc w:val="left"/>
      <w:pPr>
        <w:ind w:left="5040" w:hanging="360"/>
      </w:pPr>
      <w:rPr>
        <w:rFonts w:ascii="Symbol" w:hAnsi="Symbol" w:hint="default"/>
      </w:rPr>
    </w:lvl>
    <w:lvl w:ilvl="7" w:tplc="925C47A0">
      <w:start w:val="1"/>
      <w:numFmt w:val="bullet"/>
      <w:lvlText w:val="o"/>
      <w:lvlJc w:val="left"/>
      <w:pPr>
        <w:ind w:left="5760" w:hanging="360"/>
      </w:pPr>
      <w:rPr>
        <w:rFonts w:ascii="Courier New" w:hAnsi="Courier New" w:hint="default"/>
      </w:rPr>
    </w:lvl>
    <w:lvl w:ilvl="8" w:tplc="43907B76">
      <w:start w:val="1"/>
      <w:numFmt w:val="bullet"/>
      <w:lvlText w:val=""/>
      <w:lvlJc w:val="left"/>
      <w:pPr>
        <w:ind w:left="6480" w:hanging="360"/>
      </w:pPr>
      <w:rPr>
        <w:rFonts w:ascii="Wingdings" w:hAnsi="Wingdings" w:hint="default"/>
      </w:rPr>
    </w:lvl>
  </w:abstractNum>
  <w:abstractNum w:abstractNumId="43" w15:restartNumberingAfterBreak="0">
    <w:nsid w:val="2DBD744D"/>
    <w:multiLevelType w:val="hybridMultilevel"/>
    <w:tmpl w:val="51AA7866"/>
    <w:lvl w:ilvl="0" w:tplc="B4B2B7EC">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2DC93B85"/>
    <w:multiLevelType w:val="multilevel"/>
    <w:tmpl w:val="2EDE7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F2F8A24"/>
    <w:multiLevelType w:val="hybridMultilevel"/>
    <w:tmpl w:val="DE283780"/>
    <w:lvl w:ilvl="0" w:tplc="92FC4116">
      <w:start w:val="1"/>
      <w:numFmt w:val="bullet"/>
      <w:lvlText w:val=""/>
      <w:lvlJc w:val="left"/>
      <w:pPr>
        <w:ind w:left="360" w:hanging="360"/>
      </w:pPr>
      <w:rPr>
        <w:rFonts w:ascii="Symbol" w:hAnsi="Symbol" w:hint="default"/>
      </w:rPr>
    </w:lvl>
    <w:lvl w:ilvl="1" w:tplc="7436B29C">
      <w:start w:val="1"/>
      <w:numFmt w:val="bullet"/>
      <w:lvlText w:val="o"/>
      <w:lvlJc w:val="left"/>
      <w:pPr>
        <w:ind w:left="1440" w:hanging="360"/>
      </w:pPr>
      <w:rPr>
        <w:rFonts w:ascii="Courier New" w:hAnsi="Courier New" w:hint="default"/>
      </w:rPr>
    </w:lvl>
    <w:lvl w:ilvl="2" w:tplc="886E6772">
      <w:start w:val="1"/>
      <w:numFmt w:val="bullet"/>
      <w:lvlText w:val=""/>
      <w:lvlJc w:val="left"/>
      <w:pPr>
        <w:ind w:left="2160" w:hanging="360"/>
      </w:pPr>
      <w:rPr>
        <w:rFonts w:ascii="Wingdings" w:hAnsi="Wingdings" w:hint="default"/>
      </w:rPr>
    </w:lvl>
    <w:lvl w:ilvl="3" w:tplc="19B6A624">
      <w:start w:val="1"/>
      <w:numFmt w:val="bullet"/>
      <w:lvlText w:val=""/>
      <w:lvlJc w:val="left"/>
      <w:pPr>
        <w:ind w:left="2880" w:hanging="360"/>
      </w:pPr>
      <w:rPr>
        <w:rFonts w:ascii="Symbol" w:hAnsi="Symbol" w:hint="default"/>
      </w:rPr>
    </w:lvl>
    <w:lvl w:ilvl="4" w:tplc="43AC9F46">
      <w:start w:val="1"/>
      <w:numFmt w:val="bullet"/>
      <w:lvlText w:val="o"/>
      <w:lvlJc w:val="left"/>
      <w:pPr>
        <w:ind w:left="3600" w:hanging="360"/>
      </w:pPr>
      <w:rPr>
        <w:rFonts w:ascii="Courier New" w:hAnsi="Courier New" w:hint="default"/>
      </w:rPr>
    </w:lvl>
    <w:lvl w:ilvl="5" w:tplc="E642F73A">
      <w:start w:val="1"/>
      <w:numFmt w:val="bullet"/>
      <w:lvlText w:val=""/>
      <w:lvlJc w:val="left"/>
      <w:pPr>
        <w:ind w:left="4320" w:hanging="360"/>
      </w:pPr>
      <w:rPr>
        <w:rFonts w:ascii="Wingdings" w:hAnsi="Wingdings" w:hint="default"/>
      </w:rPr>
    </w:lvl>
    <w:lvl w:ilvl="6" w:tplc="31E20380">
      <w:start w:val="1"/>
      <w:numFmt w:val="bullet"/>
      <w:lvlText w:val=""/>
      <w:lvlJc w:val="left"/>
      <w:pPr>
        <w:ind w:left="5040" w:hanging="360"/>
      </w:pPr>
      <w:rPr>
        <w:rFonts w:ascii="Symbol" w:hAnsi="Symbol" w:hint="default"/>
      </w:rPr>
    </w:lvl>
    <w:lvl w:ilvl="7" w:tplc="87B471D0">
      <w:start w:val="1"/>
      <w:numFmt w:val="bullet"/>
      <w:lvlText w:val="o"/>
      <w:lvlJc w:val="left"/>
      <w:pPr>
        <w:ind w:left="5760" w:hanging="360"/>
      </w:pPr>
      <w:rPr>
        <w:rFonts w:ascii="Courier New" w:hAnsi="Courier New" w:hint="default"/>
      </w:rPr>
    </w:lvl>
    <w:lvl w:ilvl="8" w:tplc="B5BEE966">
      <w:start w:val="1"/>
      <w:numFmt w:val="bullet"/>
      <w:lvlText w:val=""/>
      <w:lvlJc w:val="left"/>
      <w:pPr>
        <w:ind w:left="6480" w:hanging="360"/>
      </w:pPr>
      <w:rPr>
        <w:rFonts w:ascii="Wingdings" w:hAnsi="Wingdings" w:hint="default"/>
      </w:rPr>
    </w:lvl>
  </w:abstractNum>
  <w:abstractNum w:abstractNumId="46" w15:restartNumberingAfterBreak="0">
    <w:nsid w:val="30253A06"/>
    <w:multiLevelType w:val="hybridMultilevel"/>
    <w:tmpl w:val="639A8A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31954C96"/>
    <w:multiLevelType w:val="hybridMultilevel"/>
    <w:tmpl w:val="D4DEFB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31F9617B"/>
    <w:multiLevelType w:val="multilevel"/>
    <w:tmpl w:val="D0CCC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22B5B42"/>
    <w:multiLevelType w:val="hybridMultilevel"/>
    <w:tmpl w:val="71343648"/>
    <w:lvl w:ilvl="0" w:tplc="B4B2B7EC">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365609C"/>
    <w:multiLevelType w:val="multilevel"/>
    <w:tmpl w:val="20387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34155427"/>
    <w:multiLevelType w:val="multilevel"/>
    <w:tmpl w:val="38602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54B4B6E"/>
    <w:multiLevelType w:val="hybridMultilevel"/>
    <w:tmpl w:val="464C1D5A"/>
    <w:lvl w:ilvl="0" w:tplc="6EDA0D8E">
      <w:start w:val="1"/>
      <w:numFmt w:val="decimal"/>
      <w:pStyle w:val="ItadFigureText"/>
      <w:lvlText w:val="Figure %1:"/>
      <w:lvlJc w:val="left"/>
      <w:pPr>
        <w:ind w:left="3903" w:hanging="360"/>
      </w:pPr>
      <w:rPr>
        <w:rFonts w:hint="default"/>
      </w:rPr>
    </w:lvl>
    <w:lvl w:ilvl="1" w:tplc="08090019" w:tentative="1">
      <w:start w:val="1"/>
      <w:numFmt w:val="lowerLetter"/>
      <w:lvlText w:val="%2."/>
      <w:lvlJc w:val="left"/>
      <w:pPr>
        <w:ind w:left="5332" w:hanging="360"/>
      </w:pPr>
    </w:lvl>
    <w:lvl w:ilvl="2" w:tplc="0809001B" w:tentative="1">
      <w:start w:val="1"/>
      <w:numFmt w:val="lowerRoman"/>
      <w:lvlText w:val="%3."/>
      <w:lvlJc w:val="right"/>
      <w:pPr>
        <w:ind w:left="6052" w:hanging="180"/>
      </w:pPr>
    </w:lvl>
    <w:lvl w:ilvl="3" w:tplc="0809000F" w:tentative="1">
      <w:start w:val="1"/>
      <w:numFmt w:val="decimal"/>
      <w:lvlText w:val="%4."/>
      <w:lvlJc w:val="left"/>
      <w:pPr>
        <w:ind w:left="6772" w:hanging="360"/>
      </w:pPr>
    </w:lvl>
    <w:lvl w:ilvl="4" w:tplc="08090019" w:tentative="1">
      <w:start w:val="1"/>
      <w:numFmt w:val="lowerLetter"/>
      <w:lvlText w:val="%5."/>
      <w:lvlJc w:val="left"/>
      <w:pPr>
        <w:ind w:left="7492" w:hanging="360"/>
      </w:pPr>
    </w:lvl>
    <w:lvl w:ilvl="5" w:tplc="0809001B" w:tentative="1">
      <w:start w:val="1"/>
      <w:numFmt w:val="lowerRoman"/>
      <w:lvlText w:val="%6."/>
      <w:lvlJc w:val="right"/>
      <w:pPr>
        <w:ind w:left="8212" w:hanging="180"/>
      </w:pPr>
    </w:lvl>
    <w:lvl w:ilvl="6" w:tplc="0809000F" w:tentative="1">
      <w:start w:val="1"/>
      <w:numFmt w:val="decimal"/>
      <w:lvlText w:val="%7."/>
      <w:lvlJc w:val="left"/>
      <w:pPr>
        <w:ind w:left="8932" w:hanging="360"/>
      </w:pPr>
    </w:lvl>
    <w:lvl w:ilvl="7" w:tplc="08090019" w:tentative="1">
      <w:start w:val="1"/>
      <w:numFmt w:val="lowerLetter"/>
      <w:lvlText w:val="%8."/>
      <w:lvlJc w:val="left"/>
      <w:pPr>
        <w:ind w:left="9652" w:hanging="360"/>
      </w:pPr>
    </w:lvl>
    <w:lvl w:ilvl="8" w:tplc="0809001B" w:tentative="1">
      <w:start w:val="1"/>
      <w:numFmt w:val="lowerRoman"/>
      <w:lvlText w:val="%9."/>
      <w:lvlJc w:val="right"/>
      <w:pPr>
        <w:ind w:left="10372" w:hanging="180"/>
      </w:pPr>
    </w:lvl>
  </w:abstractNum>
  <w:abstractNum w:abstractNumId="53" w15:restartNumberingAfterBreak="0">
    <w:nsid w:val="355C40C8"/>
    <w:multiLevelType w:val="hybridMultilevel"/>
    <w:tmpl w:val="49F6B394"/>
    <w:lvl w:ilvl="0" w:tplc="08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5926117"/>
    <w:multiLevelType w:val="hybridMultilevel"/>
    <w:tmpl w:val="0CF809D6"/>
    <w:lvl w:ilvl="0" w:tplc="08090005">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5" w15:restartNumberingAfterBreak="0">
    <w:nsid w:val="3593103D"/>
    <w:multiLevelType w:val="hybridMultilevel"/>
    <w:tmpl w:val="323EB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5D56E96"/>
    <w:multiLevelType w:val="hybridMultilevel"/>
    <w:tmpl w:val="6BD410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36F91D80"/>
    <w:multiLevelType w:val="hybridMultilevel"/>
    <w:tmpl w:val="C99CF3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 w15:restartNumberingAfterBreak="0">
    <w:nsid w:val="39373E96"/>
    <w:multiLevelType w:val="hybridMultilevel"/>
    <w:tmpl w:val="7570BC22"/>
    <w:lvl w:ilvl="0" w:tplc="08090005">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9" w15:restartNumberingAfterBreak="0">
    <w:nsid w:val="3A1F6FA0"/>
    <w:multiLevelType w:val="hybridMultilevel"/>
    <w:tmpl w:val="5C4AF9E2"/>
    <w:lvl w:ilvl="0" w:tplc="08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A9B7F9F"/>
    <w:multiLevelType w:val="multilevel"/>
    <w:tmpl w:val="973EC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CE85E03"/>
    <w:multiLevelType w:val="multilevel"/>
    <w:tmpl w:val="3A845AA4"/>
    <w:lvl w:ilvl="0">
      <w:start w:val="1"/>
      <w:numFmt w:val="decimal"/>
      <w:pStyle w:val="Itadnumberedlist"/>
      <w:lvlText w:val="%1"/>
      <w:lvlJc w:val="left"/>
      <w:pPr>
        <w:tabs>
          <w:tab w:val="num" w:pos="567"/>
        </w:tabs>
        <w:ind w:left="0" w:firstLine="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67"/>
        </w:tabs>
        <w:ind w:left="0" w:firstLine="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680"/>
        </w:tabs>
        <w:ind w:left="0" w:firstLine="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793"/>
        </w:tabs>
        <w:ind w:left="0" w:firstLine="567"/>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906"/>
        </w:tabs>
        <w:ind w:left="0" w:firstLine="906"/>
      </w:pPr>
      <w:rPr>
        <w:rFonts w:hint="default"/>
        <w:color w:val="3FB84E" w:themeColor="accent3"/>
      </w:rPr>
    </w:lvl>
    <w:lvl w:ilvl="5">
      <w:start w:val="1"/>
      <w:numFmt w:val="decimal"/>
      <w:lvlText w:val="%1.%2.%3.%4.%5.%6"/>
      <w:lvlJc w:val="left"/>
      <w:pPr>
        <w:tabs>
          <w:tab w:val="num" w:pos="1019"/>
        </w:tabs>
        <w:ind w:left="0" w:firstLine="1019"/>
      </w:pPr>
      <w:rPr>
        <w:rFonts w:hint="default"/>
        <w:color w:val="3FB84E" w:themeColor="accent3"/>
      </w:rPr>
    </w:lvl>
    <w:lvl w:ilvl="6">
      <w:start w:val="1"/>
      <w:numFmt w:val="decimal"/>
      <w:lvlText w:val="%1.%2.%3.%4.%5.%6.%7"/>
      <w:lvlJc w:val="left"/>
      <w:pPr>
        <w:tabs>
          <w:tab w:val="num" w:pos="1132"/>
        </w:tabs>
        <w:ind w:left="0" w:firstLine="1132"/>
      </w:pPr>
      <w:rPr>
        <w:rFonts w:hint="default"/>
        <w:color w:val="3FB84E" w:themeColor="accent3"/>
      </w:rPr>
    </w:lvl>
    <w:lvl w:ilvl="7">
      <w:start w:val="1"/>
      <w:numFmt w:val="decimal"/>
      <w:lvlText w:val="%1.%2.%3.%4.%5.%6.%7.%8"/>
      <w:lvlJc w:val="left"/>
      <w:pPr>
        <w:tabs>
          <w:tab w:val="num" w:pos="1245"/>
        </w:tabs>
        <w:ind w:left="0" w:firstLine="1245"/>
      </w:pPr>
      <w:rPr>
        <w:rFonts w:hint="default"/>
        <w:color w:val="3FB84E" w:themeColor="accent3"/>
      </w:rPr>
    </w:lvl>
    <w:lvl w:ilvl="8">
      <w:start w:val="1"/>
      <w:numFmt w:val="decimal"/>
      <w:lvlText w:val="%1.%2.%3.%4.%5.%6.%7.%8.%9"/>
      <w:lvlJc w:val="left"/>
      <w:pPr>
        <w:tabs>
          <w:tab w:val="num" w:pos="1358"/>
        </w:tabs>
        <w:ind w:left="0" w:firstLine="1358"/>
      </w:pPr>
      <w:rPr>
        <w:rFonts w:hint="default"/>
        <w:color w:val="3FB84E" w:themeColor="accent3"/>
      </w:rPr>
    </w:lvl>
  </w:abstractNum>
  <w:abstractNum w:abstractNumId="62" w15:restartNumberingAfterBreak="0">
    <w:nsid w:val="3D7054E0"/>
    <w:multiLevelType w:val="hybridMultilevel"/>
    <w:tmpl w:val="FFFFFFFF"/>
    <w:lvl w:ilvl="0" w:tplc="C77EC7FE">
      <w:start w:val="1"/>
      <w:numFmt w:val="bullet"/>
      <w:lvlText w:val="·"/>
      <w:lvlJc w:val="left"/>
      <w:pPr>
        <w:ind w:left="720" w:hanging="360"/>
      </w:pPr>
      <w:rPr>
        <w:rFonts w:ascii="Symbol" w:hAnsi="Symbol" w:hint="default"/>
      </w:rPr>
    </w:lvl>
    <w:lvl w:ilvl="1" w:tplc="DA069E88">
      <w:start w:val="1"/>
      <w:numFmt w:val="bullet"/>
      <w:lvlText w:val="o"/>
      <w:lvlJc w:val="left"/>
      <w:pPr>
        <w:ind w:left="1440" w:hanging="360"/>
      </w:pPr>
      <w:rPr>
        <w:rFonts w:ascii="Courier New" w:hAnsi="Courier New" w:hint="default"/>
      </w:rPr>
    </w:lvl>
    <w:lvl w:ilvl="2" w:tplc="72A81460">
      <w:start w:val="1"/>
      <w:numFmt w:val="bullet"/>
      <w:lvlText w:val=""/>
      <w:lvlJc w:val="left"/>
      <w:pPr>
        <w:ind w:left="2160" w:hanging="360"/>
      </w:pPr>
      <w:rPr>
        <w:rFonts w:ascii="Wingdings" w:hAnsi="Wingdings" w:hint="default"/>
      </w:rPr>
    </w:lvl>
    <w:lvl w:ilvl="3" w:tplc="ED1E1C84">
      <w:start w:val="1"/>
      <w:numFmt w:val="bullet"/>
      <w:lvlText w:val=""/>
      <w:lvlJc w:val="left"/>
      <w:pPr>
        <w:ind w:left="2880" w:hanging="360"/>
      </w:pPr>
      <w:rPr>
        <w:rFonts w:ascii="Symbol" w:hAnsi="Symbol" w:hint="default"/>
      </w:rPr>
    </w:lvl>
    <w:lvl w:ilvl="4" w:tplc="38A6B3F4">
      <w:start w:val="1"/>
      <w:numFmt w:val="bullet"/>
      <w:lvlText w:val="o"/>
      <w:lvlJc w:val="left"/>
      <w:pPr>
        <w:ind w:left="3600" w:hanging="360"/>
      </w:pPr>
      <w:rPr>
        <w:rFonts w:ascii="Courier New" w:hAnsi="Courier New" w:hint="default"/>
      </w:rPr>
    </w:lvl>
    <w:lvl w:ilvl="5" w:tplc="11F2EB88">
      <w:start w:val="1"/>
      <w:numFmt w:val="bullet"/>
      <w:lvlText w:val=""/>
      <w:lvlJc w:val="left"/>
      <w:pPr>
        <w:ind w:left="4320" w:hanging="360"/>
      </w:pPr>
      <w:rPr>
        <w:rFonts w:ascii="Wingdings" w:hAnsi="Wingdings" w:hint="default"/>
      </w:rPr>
    </w:lvl>
    <w:lvl w:ilvl="6" w:tplc="86EA2F72">
      <w:start w:val="1"/>
      <w:numFmt w:val="bullet"/>
      <w:lvlText w:val=""/>
      <w:lvlJc w:val="left"/>
      <w:pPr>
        <w:ind w:left="5040" w:hanging="360"/>
      </w:pPr>
      <w:rPr>
        <w:rFonts w:ascii="Symbol" w:hAnsi="Symbol" w:hint="default"/>
      </w:rPr>
    </w:lvl>
    <w:lvl w:ilvl="7" w:tplc="8522D7FE">
      <w:start w:val="1"/>
      <w:numFmt w:val="bullet"/>
      <w:lvlText w:val="o"/>
      <w:lvlJc w:val="left"/>
      <w:pPr>
        <w:ind w:left="5760" w:hanging="360"/>
      </w:pPr>
      <w:rPr>
        <w:rFonts w:ascii="Courier New" w:hAnsi="Courier New" w:hint="default"/>
      </w:rPr>
    </w:lvl>
    <w:lvl w:ilvl="8" w:tplc="CA8E2A00">
      <w:start w:val="1"/>
      <w:numFmt w:val="bullet"/>
      <w:lvlText w:val=""/>
      <w:lvlJc w:val="left"/>
      <w:pPr>
        <w:ind w:left="6480" w:hanging="360"/>
      </w:pPr>
      <w:rPr>
        <w:rFonts w:ascii="Wingdings" w:hAnsi="Wingdings" w:hint="default"/>
      </w:rPr>
    </w:lvl>
  </w:abstractNum>
  <w:abstractNum w:abstractNumId="63" w15:restartNumberingAfterBreak="0">
    <w:nsid w:val="3DB3497F"/>
    <w:multiLevelType w:val="hybridMultilevel"/>
    <w:tmpl w:val="BD480468"/>
    <w:lvl w:ilvl="0" w:tplc="A3520E46">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64" w15:restartNumberingAfterBreak="0">
    <w:nsid w:val="3F8D38BB"/>
    <w:multiLevelType w:val="hybridMultilevel"/>
    <w:tmpl w:val="520E359A"/>
    <w:lvl w:ilvl="0" w:tplc="08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3FF0205D"/>
    <w:multiLevelType w:val="hybridMultilevel"/>
    <w:tmpl w:val="8A704B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43514940"/>
    <w:multiLevelType w:val="hybridMultilevel"/>
    <w:tmpl w:val="2320F166"/>
    <w:lvl w:ilvl="0" w:tplc="0809000F">
      <w:start w:val="1"/>
      <w:numFmt w:val="bullet"/>
      <w:pStyle w:val="ListBullet1"/>
      <w:lvlText w:val=""/>
      <w:lvlJc w:val="left"/>
      <w:pPr>
        <w:tabs>
          <w:tab w:val="num" w:pos="714"/>
        </w:tabs>
        <w:ind w:left="714" w:hanging="357"/>
      </w:pPr>
      <w:rPr>
        <w:rFonts w:ascii="Symbol" w:hAnsi="Symbol" w:hint="default"/>
      </w:rPr>
    </w:lvl>
    <w:lvl w:ilvl="1" w:tplc="08090019" w:tentative="1">
      <w:start w:val="1"/>
      <w:numFmt w:val="bullet"/>
      <w:lvlText w:val="o"/>
      <w:lvlJc w:val="left"/>
      <w:pPr>
        <w:tabs>
          <w:tab w:val="num" w:pos="1797"/>
        </w:tabs>
        <w:ind w:left="1797" w:hanging="360"/>
      </w:pPr>
      <w:rPr>
        <w:rFonts w:ascii="Courier New" w:hAnsi="Courier New" w:cs="Courier New" w:hint="default"/>
      </w:rPr>
    </w:lvl>
    <w:lvl w:ilvl="2" w:tplc="0809001B" w:tentative="1">
      <w:start w:val="1"/>
      <w:numFmt w:val="bullet"/>
      <w:lvlText w:val=""/>
      <w:lvlJc w:val="left"/>
      <w:pPr>
        <w:tabs>
          <w:tab w:val="num" w:pos="2517"/>
        </w:tabs>
        <w:ind w:left="2517" w:hanging="360"/>
      </w:pPr>
      <w:rPr>
        <w:rFonts w:ascii="Wingdings" w:hAnsi="Wingdings" w:hint="default"/>
      </w:rPr>
    </w:lvl>
    <w:lvl w:ilvl="3" w:tplc="0809000F" w:tentative="1">
      <w:start w:val="1"/>
      <w:numFmt w:val="bullet"/>
      <w:lvlText w:val=""/>
      <w:lvlJc w:val="left"/>
      <w:pPr>
        <w:tabs>
          <w:tab w:val="num" w:pos="3237"/>
        </w:tabs>
        <w:ind w:left="3237" w:hanging="360"/>
      </w:pPr>
      <w:rPr>
        <w:rFonts w:ascii="Symbol" w:hAnsi="Symbol" w:hint="default"/>
      </w:rPr>
    </w:lvl>
    <w:lvl w:ilvl="4" w:tplc="08090019" w:tentative="1">
      <w:start w:val="1"/>
      <w:numFmt w:val="bullet"/>
      <w:lvlText w:val="o"/>
      <w:lvlJc w:val="left"/>
      <w:pPr>
        <w:tabs>
          <w:tab w:val="num" w:pos="3957"/>
        </w:tabs>
        <w:ind w:left="3957" w:hanging="360"/>
      </w:pPr>
      <w:rPr>
        <w:rFonts w:ascii="Courier New" w:hAnsi="Courier New" w:cs="Courier New" w:hint="default"/>
      </w:rPr>
    </w:lvl>
    <w:lvl w:ilvl="5" w:tplc="0809001B" w:tentative="1">
      <w:start w:val="1"/>
      <w:numFmt w:val="bullet"/>
      <w:lvlText w:val=""/>
      <w:lvlJc w:val="left"/>
      <w:pPr>
        <w:tabs>
          <w:tab w:val="num" w:pos="4677"/>
        </w:tabs>
        <w:ind w:left="4677" w:hanging="360"/>
      </w:pPr>
      <w:rPr>
        <w:rFonts w:ascii="Wingdings" w:hAnsi="Wingdings" w:hint="default"/>
      </w:rPr>
    </w:lvl>
    <w:lvl w:ilvl="6" w:tplc="0809000F" w:tentative="1">
      <w:start w:val="1"/>
      <w:numFmt w:val="bullet"/>
      <w:lvlText w:val=""/>
      <w:lvlJc w:val="left"/>
      <w:pPr>
        <w:tabs>
          <w:tab w:val="num" w:pos="5397"/>
        </w:tabs>
        <w:ind w:left="5397" w:hanging="360"/>
      </w:pPr>
      <w:rPr>
        <w:rFonts w:ascii="Symbol" w:hAnsi="Symbol" w:hint="default"/>
      </w:rPr>
    </w:lvl>
    <w:lvl w:ilvl="7" w:tplc="08090019" w:tentative="1">
      <w:start w:val="1"/>
      <w:numFmt w:val="bullet"/>
      <w:lvlText w:val="o"/>
      <w:lvlJc w:val="left"/>
      <w:pPr>
        <w:tabs>
          <w:tab w:val="num" w:pos="6117"/>
        </w:tabs>
        <w:ind w:left="6117" w:hanging="360"/>
      </w:pPr>
      <w:rPr>
        <w:rFonts w:ascii="Courier New" w:hAnsi="Courier New" w:cs="Courier New" w:hint="default"/>
      </w:rPr>
    </w:lvl>
    <w:lvl w:ilvl="8" w:tplc="0809001B" w:tentative="1">
      <w:start w:val="1"/>
      <w:numFmt w:val="bullet"/>
      <w:lvlText w:val=""/>
      <w:lvlJc w:val="left"/>
      <w:pPr>
        <w:tabs>
          <w:tab w:val="num" w:pos="6837"/>
        </w:tabs>
        <w:ind w:left="6837" w:hanging="360"/>
      </w:pPr>
      <w:rPr>
        <w:rFonts w:ascii="Wingdings" w:hAnsi="Wingdings" w:hint="default"/>
      </w:rPr>
    </w:lvl>
  </w:abstractNum>
  <w:abstractNum w:abstractNumId="67" w15:restartNumberingAfterBreak="0">
    <w:nsid w:val="43863191"/>
    <w:multiLevelType w:val="hybridMultilevel"/>
    <w:tmpl w:val="5AD2BB80"/>
    <w:lvl w:ilvl="0" w:tplc="CB0076BA">
      <w:start w:val="1"/>
      <w:numFmt w:val="decimal"/>
      <w:pStyle w:val="Itadtablestyle"/>
      <w:lvlText w:val="Table %1:"/>
      <w:lvlJc w:val="left"/>
      <w:pPr>
        <w:ind w:left="360" w:hanging="360"/>
      </w:pPr>
      <w:rPr>
        <w:lang w:val="en-US"/>
      </w:rPr>
    </w:lvl>
    <w:lvl w:ilvl="1" w:tplc="08090019" w:tentative="1">
      <w:start w:val="1"/>
      <w:numFmt w:val="lowerLetter"/>
      <w:lvlText w:val="%2."/>
      <w:lvlJc w:val="left"/>
      <w:pPr>
        <w:ind w:left="-1819" w:hanging="360"/>
      </w:pPr>
    </w:lvl>
    <w:lvl w:ilvl="2" w:tplc="0809001B" w:tentative="1">
      <w:start w:val="1"/>
      <w:numFmt w:val="lowerRoman"/>
      <w:lvlText w:val="%3."/>
      <w:lvlJc w:val="right"/>
      <w:pPr>
        <w:ind w:left="-1099" w:hanging="180"/>
      </w:pPr>
    </w:lvl>
    <w:lvl w:ilvl="3" w:tplc="0809000F" w:tentative="1">
      <w:start w:val="1"/>
      <w:numFmt w:val="decimal"/>
      <w:lvlText w:val="%4."/>
      <w:lvlJc w:val="left"/>
      <w:pPr>
        <w:ind w:left="-379" w:hanging="360"/>
      </w:pPr>
    </w:lvl>
    <w:lvl w:ilvl="4" w:tplc="08090019" w:tentative="1">
      <w:start w:val="1"/>
      <w:numFmt w:val="lowerLetter"/>
      <w:lvlText w:val="%5."/>
      <w:lvlJc w:val="left"/>
      <w:pPr>
        <w:ind w:left="341" w:hanging="360"/>
      </w:pPr>
    </w:lvl>
    <w:lvl w:ilvl="5" w:tplc="0809001B" w:tentative="1">
      <w:start w:val="1"/>
      <w:numFmt w:val="lowerRoman"/>
      <w:lvlText w:val="%6."/>
      <w:lvlJc w:val="right"/>
      <w:pPr>
        <w:ind w:left="1061" w:hanging="180"/>
      </w:pPr>
    </w:lvl>
    <w:lvl w:ilvl="6" w:tplc="0809000F" w:tentative="1">
      <w:start w:val="1"/>
      <w:numFmt w:val="decimal"/>
      <w:lvlText w:val="%7."/>
      <w:lvlJc w:val="left"/>
      <w:pPr>
        <w:ind w:left="1781" w:hanging="360"/>
      </w:pPr>
    </w:lvl>
    <w:lvl w:ilvl="7" w:tplc="08090019" w:tentative="1">
      <w:start w:val="1"/>
      <w:numFmt w:val="lowerLetter"/>
      <w:lvlText w:val="%8."/>
      <w:lvlJc w:val="left"/>
      <w:pPr>
        <w:ind w:left="2501" w:hanging="360"/>
      </w:pPr>
    </w:lvl>
    <w:lvl w:ilvl="8" w:tplc="0809001B" w:tentative="1">
      <w:start w:val="1"/>
      <w:numFmt w:val="lowerRoman"/>
      <w:lvlText w:val="%9."/>
      <w:lvlJc w:val="right"/>
      <w:pPr>
        <w:ind w:left="3221" w:hanging="180"/>
      </w:pPr>
    </w:lvl>
  </w:abstractNum>
  <w:abstractNum w:abstractNumId="68" w15:restartNumberingAfterBreak="0">
    <w:nsid w:val="44C16843"/>
    <w:multiLevelType w:val="multilevel"/>
    <w:tmpl w:val="38F44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472F21A3"/>
    <w:multiLevelType w:val="hybridMultilevel"/>
    <w:tmpl w:val="029C5AFE"/>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0" w15:restartNumberingAfterBreak="0">
    <w:nsid w:val="475D6C9E"/>
    <w:multiLevelType w:val="hybridMultilevel"/>
    <w:tmpl w:val="9490C55C"/>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9468776"/>
    <w:multiLevelType w:val="hybridMultilevel"/>
    <w:tmpl w:val="FFFFFFFF"/>
    <w:lvl w:ilvl="0" w:tplc="CB98013E">
      <w:start w:val="1"/>
      <w:numFmt w:val="bullet"/>
      <w:lvlText w:val="·"/>
      <w:lvlJc w:val="left"/>
      <w:pPr>
        <w:ind w:left="720" w:hanging="360"/>
      </w:pPr>
      <w:rPr>
        <w:rFonts w:ascii="Symbol" w:hAnsi="Symbol" w:hint="default"/>
      </w:rPr>
    </w:lvl>
    <w:lvl w:ilvl="1" w:tplc="E2740A5A">
      <w:start w:val="1"/>
      <w:numFmt w:val="bullet"/>
      <w:lvlText w:val="o"/>
      <w:lvlJc w:val="left"/>
      <w:pPr>
        <w:ind w:left="1440" w:hanging="360"/>
      </w:pPr>
      <w:rPr>
        <w:rFonts w:ascii="Courier New" w:hAnsi="Courier New" w:hint="default"/>
      </w:rPr>
    </w:lvl>
    <w:lvl w:ilvl="2" w:tplc="7884F26E">
      <w:start w:val="1"/>
      <w:numFmt w:val="bullet"/>
      <w:lvlText w:val=""/>
      <w:lvlJc w:val="left"/>
      <w:pPr>
        <w:ind w:left="2160" w:hanging="360"/>
      </w:pPr>
      <w:rPr>
        <w:rFonts w:ascii="Wingdings" w:hAnsi="Wingdings" w:hint="default"/>
      </w:rPr>
    </w:lvl>
    <w:lvl w:ilvl="3" w:tplc="FE92EB4E">
      <w:start w:val="1"/>
      <w:numFmt w:val="bullet"/>
      <w:lvlText w:val=""/>
      <w:lvlJc w:val="left"/>
      <w:pPr>
        <w:ind w:left="2880" w:hanging="360"/>
      </w:pPr>
      <w:rPr>
        <w:rFonts w:ascii="Symbol" w:hAnsi="Symbol" w:hint="default"/>
      </w:rPr>
    </w:lvl>
    <w:lvl w:ilvl="4" w:tplc="99108118">
      <w:start w:val="1"/>
      <w:numFmt w:val="bullet"/>
      <w:lvlText w:val="o"/>
      <w:lvlJc w:val="left"/>
      <w:pPr>
        <w:ind w:left="3600" w:hanging="360"/>
      </w:pPr>
      <w:rPr>
        <w:rFonts w:ascii="Courier New" w:hAnsi="Courier New" w:hint="default"/>
      </w:rPr>
    </w:lvl>
    <w:lvl w:ilvl="5" w:tplc="D29AE876">
      <w:start w:val="1"/>
      <w:numFmt w:val="bullet"/>
      <w:lvlText w:val=""/>
      <w:lvlJc w:val="left"/>
      <w:pPr>
        <w:ind w:left="4320" w:hanging="360"/>
      </w:pPr>
      <w:rPr>
        <w:rFonts w:ascii="Wingdings" w:hAnsi="Wingdings" w:hint="default"/>
      </w:rPr>
    </w:lvl>
    <w:lvl w:ilvl="6" w:tplc="B3124CFC">
      <w:start w:val="1"/>
      <w:numFmt w:val="bullet"/>
      <w:lvlText w:val=""/>
      <w:lvlJc w:val="left"/>
      <w:pPr>
        <w:ind w:left="5040" w:hanging="360"/>
      </w:pPr>
      <w:rPr>
        <w:rFonts w:ascii="Symbol" w:hAnsi="Symbol" w:hint="default"/>
      </w:rPr>
    </w:lvl>
    <w:lvl w:ilvl="7" w:tplc="B68EF63E">
      <w:start w:val="1"/>
      <w:numFmt w:val="bullet"/>
      <w:lvlText w:val="o"/>
      <w:lvlJc w:val="left"/>
      <w:pPr>
        <w:ind w:left="5760" w:hanging="360"/>
      </w:pPr>
      <w:rPr>
        <w:rFonts w:ascii="Courier New" w:hAnsi="Courier New" w:hint="default"/>
      </w:rPr>
    </w:lvl>
    <w:lvl w:ilvl="8" w:tplc="695C5C8A">
      <w:start w:val="1"/>
      <w:numFmt w:val="bullet"/>
      <w:lvlText w:val=""/>
      <w:lvlJc w:val="left"/>
      <w:pPr>
        <w:ind w:left="6480" w:hanging="360"/>
      </w:pPr>
      <w:rPr>
        <w:rFonts w:ascii="Wingdings" w:hAnsi="Wingdings" w:hint="default"/>
      </w:rPr>
    </w:lvl>
  </w:abstractNum>
  <w:abstractNum w:abstractNumId="72" w15:restartNumberingAfterBreak="0">
    <w:nsid w:val="49810C5D"/>
    <w:multiLevelType w:val="hybridMultilevel"/>
    <w:tmpl w:val="E82EB878"/>
    <w:lvl w:ilvl="0" w:tplc="08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A7234C2"/>
    <w:multiLevelType w:val="hybridMultilevel"/>
    <w:tmpl w:val="48600E7E"/>
    <w:lvl w:ilvl="0" w:tplc="B4B2B7EC">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4B802EC1"/>
    <w:multiLevelType w:val="hybridMultilevel"/>
    <w:tmpl w:val="C67AC5D6"/>
    <w:lvl w:ilvl="0" w:tplc="08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BAF44BD"/>
    <w:multiLevelType w:val="hybridMultilevel"/>
    <w:tmpl w:val="191831A8"/>
    <w:lvl w:ilvl="0" w:tplc="08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76" w15:restartNumberingAfterBreak="0">
    <w:nsid w:val="4D5D2A57"/>
    <w:multiLevelType w:val="hybridMultilevel"/>
    <w:tmpl w:val="1F009F96"/>
    <w:lvl w:ilvl="0" w:tplc="08090005">
      <w:start w:val="1"/>
      <w:numFmt w:val="bullet"/>
      <w:lvlText w:val=""/>
      <w:lvlJc w:val="left"/>
      <w:pPr>
        <w:ind w:left="360" w:hanging="360"/>
      </w:pPr>
      <w:rPr>
        <w:rFonts w:ascii="Wingdings" w:hAnsi="Wingdings" w:hint="default"/>
        <w:color w:val="3B3B3C" w:themeColor="text1"/>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7" w15:restartNumberingAfterBreak="0">
    <w:nsid w:val="4E0F4A35"/>
    <w:multiLevelType w:val="hybridMultilevel"/>
    <w:tmpl w:val="3DF682AE"/>
    <w:lvl w:ilvl="0" w:tplc="08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16E3642"/>
    <w:multiLevelType w:val="hybridMultilevel"/>
    <w:tmpl w:val="7A0456F6"/>
    <w:lvl w:ilvl="0" w:tplc="08090005">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533D278E"/>
    <w:multiLevelType w:val="hybridMultilevel"/>
    <w:tmpl w:val="FFFFFFFF"/>
    <w:lvl w:ilvl="0" w:tplc="F0E62960">
      <w:start w:val="1"/>
      <w:numFmt w:val="bullet"/>
      <w:lvlText w:val="·"/>
      <w:lvlJc w:val="left"/>
      <w:pPr>
        <w:ind w:left="720" w:hanging="360"/>
      </w:pPr>
      <w:rPr>
        <w:rFonts w:ascii="Symbol" w:hAnsi="Symbol" w:hint="default"/>
      </w:rPr>
    </w:lvl>
    <w:lvl w:ilvl="1" w:tplc="BA781C5A">
      <w:start w:val="1"/>
      <w:numFmt w:val="bullet"/>
      <w:lvlText w:val="o"/>
      <w:lvlJc w:val="left"/>
      <w:pPr>
        <w:ind w:left="1440" w:hanging="360"/>
      </w:pPr>
      <w:rPr>
        <w:rFonts w:ascii="Courier New" w:hAnsi="Courier New" w:hint="default"/>
      </w:rPr>
    </w:lvl>
    <w:lvl w:ilvl="2" w:tplc="2A7E8ED2">
      <w:start w:val="1"/>
      <w:numFmt w:val="bullet"/>
      <w:lvlText w:val=""/>
      <w:lvlJc w:val="left"/>
      <w:pPr>
        <w:ind w:left="2160" w:hanging="360"/>
      </w:pPr>
      <w:rPr>
        <w:rFonts w:ascii="Wingdings" w:hAnsi="Wingdings" w:hint="default"/>
      </w:rPr>
    </w:lvl>
    <w:lvl w:ilvl="3" w:tplc="7E2AB04C">
      <w:start w:val="1"/>
      <w:numFmt w:val="bullet"/>
      <w:lvlText w:val=""/>
      <w:lvlJc w:val="left"/>
      <w:pPr>
        <w:ind w:left="2880" w:hanging="360"/>
      </w:pPr>
      <w:rPr>
        <w:rFonts w:ascii="Symbol" w:hAnsi="Symbol" w:hint="default"/>
      </w:rPr>
    </w:lvl>
    <w:lvl w:ilvl="4" w:tplc="C48845E8">
      <w:start w:val="1"/>
      <w:numFmt w:val="bullet"/>
      <w:lvlText w:val="o"/>
      <w:lvlJc w:val="left"/>
      <w:pPr>
        <w:ind w:left="3600" w:hanging="360"/>
      </w:pPr>
      <w:rPr>
        <w:rFonts w:ascii="Courier New" w:hAnsi="Courier New" w:hint="default"/>
      </w:rPr>
    </w:lvl>
    <w:lvl w:ilvl="5" w:tplc="4BE035EA">
      <w:start w:val="1"/>
      <w:numFmt w:val="bullet"/>
      <w:lvlText w:val=""/>
      <w:lvlJc w:val="left"/>
      <w:pPr>
        <w:ind w:left="4320" w:hanging="360"/>
      </w:pPr>
      <w:rPr>
        <w:rFonts w:ascii="Wingdings" w:hAnsi="Wingdings" w:hint="default"/>
      </w:rPr>
    </w:lvl>
    <w:lvl w:ilvl="6" w:tplc="E47E6BAE">
      <w:start w:val="1"/>
      <w:numFmt w:val="bullet"/>
      <w:lvlText w:val=""/>
      <w:lvlJc w:val="left"/>
      <w:pPr>
        <w:ind w:left="5040" w:hanging="360"/>
      </w:pPr>
      <w:rPr>
        <w:rFonts w:ascii="Symbol" w:hAnsi="Symbol" w:hint="default"/>
      </w:rPr>
    </w:lvl>
    <w:lvl w:ilvl="7" w:tplc="8F5AE802">
      <w:start w:val="1"/>
      <w:numFmt w:val="bullet"/>
      <w:lvlText w:val="o"/>
      <w:lvlJc w:val="left"/>
      <w:pPr>
        <w:ind w:left="5760" w:hanging="360"/>
      </w:pPr>
      <w:rPr>
        <w:rFonts w:ascii="Courier New" w:hAnsi="Courier New" w:hint="default"/>
      </w:rPr>
    </w:lvl>
    <w:lvl w:ilvl="8" w:tplc="1554A746">
      <w:start w:val="1"/>
      <w:numFmt w:val="bullet"/>
      <w:lvlText w:val=""/>
      <w:lvlJc w:val="left"/>
      <w:pPr>
        <w:ind w:left="6480" w:hanging="360"/>
      </w:pPr>
      <w:rPr>
        <w:rFonts w:ascii="Wingdings" w:hAnsi="Wingdings" w:hint="default"/>
      </w:rPr>
    </w:lvl>
  </w:abstractNum>
  <w:abstractNum w:abstractNumId="80" w15:restartNumberingAfterBreak="0">
    <w:nsid w:val="53EB245F"/>
    <w:multiLevelType w:val="hybridMultilevel"/>
    <w:tmpl w:val="D33A1118"/>
    <w:lvl w:ilvl="0" w:tplc="08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1" w15:restartNumberingAfterBreak="0">
    <w:nsid w:val="54773309"/>
    <w:multiLevelType w:val="hybridMultilevel"/>
    <w:tmpl w:val="1E5867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555869A3"/>
    <w:multiLevelType w:val="hybridMultilevel"/>
    <w:tmpl w:val="A0624DEA"/>
    <w:lvl w:ilvl="0" w:tplc="08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7714A77"/>
    <w:multiLevelType w:val="hybridMultilevel"/>
    <w:tmpl w:val="D944A7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577E361A"/>
    <w:multiLevelType w:val="hybridMultilevel"/>
    <w:tmpl w:val="1CD8F718"/>
    <w:lvl w:ilvl="0" w:tplc="D520DB5A">
      <w:start w:val="1"/>
      <w:numFmt w:val="bullet"/>
      <w:lvlText w:val=""/>
      <w:lvlJc w:val="left"/>
      <w:pPr>
        <w:ind w:left="720" w:hanging="360"/>
      </w:pPr>
      <w:rPr>
        <w:rFonts w:ascii="Wingdings" w:hAnsi="Wingdings" w:hint="default"/>
      </w:rPr>
    </w:lvl>
    <w:lvl w:ilvl="1" w:tplc="B7389078">
      <w:start w:val="1"/>
      <w:numFmt w:val="bullet"/>
      <w:lvlText w:val="o"/>
      <w:lvlJc w:val="left"/>
      <w:pPr>
        <w:ind w:left="1440" w:hanging="360"/>
      </w:pPr>
      <w:rPr>
        <w:rFonts w:ascii="Courier New" w:hAnsi="Courier New" w:hint="default"/>
      </w:rPr>
    </w:lvl>
    <w:lvl w:ilvl="2" w:tplc="BC1891CA">
      <w:start w:val="1"/>
      <w:numFmt w:val="bullet"/>
      <w:lvlText w:val=""/>
      <w:lvlJc w:val="left"/>
      <w:pPr>
        <w:ind w:left="2160" w:hanging="360"/>
      </w:pPr>
      <w:rPr>
        <w:rFonts w:ascii="Wingdings" w:hAnsi="Wingdings" w:hint="default"/>
      </w:rPr>
    </w:lvl>
    <w:lvl w:ilvl="3" w:tplc="881C308C">
      <w:start w:val="1"/>
      <w:numFmt w:val="bullet"/>
      <w:lvlText w:val=""/>
      <w:lvlJc w:val="left"/>
      <w:pPr>
        <w:ind w:left="2880" w:hanging="360"/>
      </w:pPr>
      <w:rPr>
        <w:rFonts w:ascii="Symbol" w:hAnsi="Symbol" w:hint="default"/>
      </w:rPr>
    </w:lvl>
    <w:lvl w:ilvl="4" w:tplc="F85EC0C8">
      <w:start w:val="1"/>
      <w:numFmt w:val="bullet"/>
      <w:lvlText w:val="o"/>
      <w:lvlJc w:val="left"/>
      <w:pPr>
        <w:ind w:left="3600" w:hanging="360"/>
      </w:pPr>
      <w:rPr>
        <w:rFonts w:ascii="Courier New" w:hAnsi="Courier New" w:hint="default"/>
      </w:rPr>
    </w:lvl>
    <w:lvl w:ilvl="5" w:tplc="72C2E8AC">
      <w:start w:val="1"/>
      <w:numFmt w:val="bullet"/>
      <w:lvlText w:val=""/>
      <w:lvlJc w:val="left"/>
      <w:pPr>
        <w:ind w:left="4320" w:hanging="360"/>
      </w:pPr>
      <w:rPr>
        <w:rFonts w:ascii="Wingdings" w:hAnsi="Wingdings" w:hint="default"/>
      </w:rPr>
    </w:lvl>
    <w:lvl w:ilvl="6" w:tplc="A2DECD98">
      <w:start w:val="1"/>
      <w:numFmt w:val="bullet"/>
      <w:lvlText w:val=""/>
      <w:lvlJc w:val="left"/>
      <w:pPr>
        <w:ind w:left="5040" w:hanging="360"/>
      </w:pPr>
      <w:rPr>
        <w:rFonts w:ascii="Symbol" w:hAnsi="Symbol" w:hint="default"/>
      </w:rPr>
    </w:lvl>
    <w:lvl w:ilvl="7" w:tplc="EFC4E996">
      <w:start w:val="1"/>
      <w:numFmt w:val="bullet"/>
      <w:lvlText w:val="o"/>
      <w:lvlJc w:val="left"/>
      <w:pPr>
        <w:ind w:left="5760" w:hanging="360"/>
      </w:pPr>
      <w:rPr>
        <w:rFonts w:ascii="Courier New" w:hAnsi="Courier New" w:hint="default"/>
      </w:rPr>
    </w:lvl>
    <w:lvl w:ilvl="8" w:tplc="B422FC8C">
      <w:start w:val="1"/>
      <w:numFmt w:val="bullet"/>
      <w:lvlText w:val=""/>
      <w:lvlJc w:val="left"/>
      <w:pPr>
        <w:ind w:left="6480" w:hanging="360"/>
      </w:pPr>
      <w:rPr>
        <w:rFonts w:ascii="Wingdings" w:hAnsi="Wingdings" w:hint="default"/>
      </w:rPr>
    </w:lvl>
  </w:abstractNum>
  <w:abstractNum w:abstractNumId="85" w15:restartNumberingAfterBreak="0">
    <w:nsid w:val="581846F3"/>
    <w:multiLevelType w:val="hybridMultilevel"/>
    <w:tmpl w:val="41DADCF4"/>
    <w:lvl w:ilvl="0" w:tplc="72A8071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6" w15:restartNumberingAfterBreak="0">
    <w:nsid w:val="58829AD6"/>
    <w:multiLevelType w:val="multilevel"/>
    <w:tmpl w:val="3ED2790E"/>
    <w:lvl w:ilvl="0">
      <w:start w:val="1"/>
      <w:numFmt w:val="decimal"/>
      <w:lvlText w:val="%1."/>
      <w:lvlJc w:val="left"/>
      <w:pPr>
        <w:ind w:left="720" w:hanging="360"/>
      </w:pPr>
    </w:lvl>
    <w:lvl w:ilvl="1">
      <w:start w:val="1"/>
      <w:numFmt w:val="decimal"/>
      <w:lvlText w:val="%1.%2."/>
      <w:lvlJc w:val="left"/>
      <w:pPr>
        <w:ind w:left="1211" w:hanging="360"/>
      </w:pPr>
      <w:rPr>
        <w:b w:val="0"/>
        <w:bCs w:val="0"/>
        <w:color w:val="auto"/>
      </w:r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7" w15:restartNumberingAfterBreak="0">
    <w:nsid w:val="58C8FCB9"/>
    <w:multiLevelType w:val="hybridMultilevel"/>
    <w:tmpl w:val="FFFFFFFF"/>
    <w:lvl w:ilvl="0" w:tplc="DE82CE70">
      <w:start w:val="1"/>
      <w:numFmt w:val="bullet"/>
      <w:lvlText w:val="·"/>
      <w:lvlJc w:val="left"/>
      <w:pPr>
        <w:ind w:left="720" w:hanging="360"/>
      </w:pPr>
      <w:rPr>
        <w:rFonts w:ascii="Symbol" w:hAnsi="Symbol" w:hint="default"/>
      </w:rPr>
    </w:lvl>
    <w:lvl w:ilvl="1" w:tplc="23389A48">
      <w:start w:val="1"/>
      <w:numFmt w:val="bullet"/>
      <w:lvlText w:val="o"/>
      <w:lvlJc w:val="left"/>
      <w:pPr>
        <w:ind w:left="1440" w:hanging="360"/>
      </w:pPr>
      <w:rPr>
        <w:rFonts w:ascii="Courier New" w:hAnsi="Courier New" w:hint="default"/>
      </w:rPr>
    </w:lvl>
    <w:lvl w:ilvl="2" w:tplc="4EE07988">
      <w:start w:val="1"/>
      <w:numFmt w:val="bullet"/>
      <w:lvlText w:val=""/>
      <w:lvlJc w:val="left"/>
      <w:pPr>
        <w:ind w:left="2160" w:hanging="360"/>
      </w:pPr>
      <w:rPr>
        <w:rFonts w:ascii="Wingdings" w:hAnsi="Wingdings" w:hint="default"/>
      </w:rPr>
    </w:lvl>
    <w:lvl w:ilvl="3" w:tplc="E23CA69E">
      <w:start w:val="1"/>
      <w:numFmt w:val="bullet"/>
      <w:lvlText w:val=""/>
      <w:lvlJc w:val="left"/>
      <w:pPr>
        <w:ind w:left="2880" w:hanging="360"/>
      </w:pPr>
      <w:rPr>
        <w:rFonts w:ascii="Symbol" w:hAnsi="Symbol" w:hint="default"/>
      </w:rPr>
    </w:lvl>
    <w:lvl w:ilvl="4" w:tplc="92F64ECE">
      <w:start w:val="1"/>
      <w:numFmt w:val="bullet"/>
      <w:lvlText w:val="o"/>
      <w:lvlJc w:val="left"/>
      <w:pPr>
        <w:ind w:left="3600" w:hanging="360"/>
      </w:pPr>
      <w:rPr>
        <w:rFonts w:ascii="Courier New" w:hAnsi="Courier New" w:hint="default"/>
      </w:rPr>
    </w:lvl>
    <w:lvl w:ilvl="5" w:tplc="C7DE1176">
      <w:start w:val="1"/>
      <w:numFmt w:val="bullet"/>
      <w:lvlText w:val=""/>
      <w:lvlJc w:val="left"/>
      <w:pPr>
        <w:ind w:left="4320" w:hanging="360"/>
      </w:pPr>
      <w:rPr>
        <w:rFonts w:ascii="Wingdings" w:hAnsi="Wingdings" w:hint="default"/>
      </w:rPr>
    </w:lvl>
    <w:lvl w:ilvl="6" w:tplc="342286BC">
      <w:start w:val="1"/>
      <w:numFmt w:val="bullet"/>
      <w:lvlText w:val=""/>
      <w:lvlJc w:val="left"/>
      <w:pPr>
        <w:ind w:left="5040" w:hanging="360"/>
      </w:pPr>
      <w:rPr>
        <w:rFonts w:ascii="Symbol" w:hAnsi="Symbol" w:hint="default"/>
      </w:rPr>
    </w:lvl>
    <w:lvl w:ilvl="7" w:tplc="58760968">
      <w:start w:val="1"/>
      <w:numFmt w:val="bullet"/>
      <w:lvlText w:val="o"/>
      <w:lvlJc w:val="left"/>
      <w:pPr>
        <w:ind w:left="5760" w:hanging="360"/>
      </w:pPr>
      <w:rPr>
        <w:rFonts w:ascii="Courier New" w:hAnsi="Courier New" w:hint="default"/>
      </w:rPr>
    </w:lvl>
    <w:lvl w:ilvl="8" w:tplc="4CE6A3E6">
      <w:start w:val="1"/>
      <w:numFmt w:val="bullet"/>
      <w:lvlText w:val=""/>
      <w:lvlJc w:val="left"/>
      <w:pPr>
        <w:ind w:left="6480" w:hanging="360"/>
      </w:pPr>
      <w:rPr>
        <w:rFonts w:ascii="Wingdings" w:hAnsi="Wingdings" w:hint="default"/>
      </w:rPr>
    </w:lvl>
  </w:abstractNum>
  <w:abstractNum w:abstractNumId="88" w15:restartNumberingAfterBreak="0">
    <w:nsid w:val="58E349B7"/>
    <w:multiLevelType w:val="hybridMultilevel"/>
    <w:tmpl w:val="4926BACA"/>
    <w:lvl w:ilvl="0" w:tplc="08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9E330C4"/>
    <w:multiLevelType w:val="hybridMultilevel"/>
    <w:tmpl w:val="039E3CFA"/>
    <w:lvl w:ilvl="0" w:tplc="BB40285A">
      <w:start w:val="1"/>
      <w:numFmt w:val="bullet"/>
      <w:lvlText w:val="§"/>
      <w:lvlJc w:val="left"/>
      <w:pPr>
        <w:ind w:left="720" w:hanging="360"/>
      </w:pPr>
      <w:rPr>
        <w:rFonts w:ascii="Wingdings" w:hAnsi="Wingdings" w:hint="default"/>
      </w:rPr>
    </w:lvl>
    <w:lvl w:ilvl="1" w:tplc="7C52BF0C">
      <w:start w:val="1"/>
      <w:numFmt w:val="bullet"/>
      <w:lvlText w:val="o"/>
      <w:lvlJc w:val="left"/>
      <w:pPr>
        <w:ind w:left="1440" w:hanging="360"/>
      </w:pPr>
      <w:rPr>
        <w:rFonts w:ascii="Courier New" w:hAnsi="Courier New" w:hint="default"/>
      </w:rPr>
    </w:lvl>
    <w:lvl w:ilvl="2" w:tplc="E522D978">
      <w:start w:val="1"/>
      <w:numFmt w:val="bullet"/>
      <w:lvlText w:val=""/>
      <w:lvlJc w:val="left"/>
      <w:pPr>
        <w:ind w:left="2160" w:hanging="360"/>
      </w:pPr>
      <w:rPr>
        <w:rFonts w:ascii="Wingdings" w:hAnsi="Wingdings" w:hint="default"/>
      </w:rPr>
    </w:lvl>
    <w:lvl w:ilvl="3" w:tplc="66646A0A">
      <w:start w:val="1"/>
      <w:numFmt w:val="bullet"/>
      <w:lvlText w:val=""/>
      <w:lvlJc w:val="left"/>
      <w:pPr>
        <w:ind w:left="2880" w:hanging="360"/>
      </w:pPr>
      <w:rPr>
        <w:rFonts w:ascii="Symbol" w:hAnsi="Symbol" w:hint="default"/>
      </w:rPr>
    </w:lvl>
    <w:lvl w:ilvl="4" w:tplc="5B0EB7BA">
      <w:start w:val="1"/>
      <w:numFmt w:val="bullet"/>
      <w:lvlText w:val="o"/>
      <w:lvlJc w:val="left"/>
      <w:pPr>
        <w:ind w:left="3600" w:hanging="360"/>
      </w:pPr>
      <w:rPr>
        <w:rFonts w:ascii="Courier New" w:hAnsi="Courier New" w:hint="default"/>
      </w:rPr>
    </w:lvl>
    <w:lvl w:ilvl="5" w:tplc="DD4AE33A">
      <w:start w:val="1"/>
      <w:numFmt w:val="bullet"/>
      <w:lvlText w:val=""/>
      <w:lvlJc w:val="left"/>
      <w:pPr>
        <w:ind w:left="4320" w:hanging="360"/>
      </w:pPr>
      <w:rPr>
        <w:rFonts w:ascii="Wingdings" w:hAnsi="Wingdings" w:hint="default"/>
      </w:rPr>
    </w:lvl>
    <w:lvl w:ilvl="6" w:tplc="CAA6FF34">
      <w:start w:val="1"/>
      <w:numFmt w:val="bullet"/>
      <w:lvlText w:val=""/>
      <w:lvlJc w:val="left"/>
      <w:pPr>
        <w:ind w:left="5040" w:hanging="360"/>
      </w:pPr>
      <w:rPr>
        <w:rFonts w:ascii="Symbol" w:hAnsi="Symbol" w:hint="default"/>
      </w:rPr>
    </w:lvl>
    <w:lvl w:ilvl="7" w:tplc="FB1E705C">
      <w:start w:val="1"/>
      <w:numFmt w:val="bullet"/>
      <w:lvlText w:val="o"/>
      <w:lvlJc w:val="left"/>
      <w:pPr>
        <w:ind w:left="5760" w:hanging="360"/>
      </w:pPr>
      <w:rPr>
        <w:rFonts w:ascii="Courier New" w:hAnsi="Courier New" w:hint="default"/>
      </w:rPr>
    </w:lvl>
    <w:lvl w:ilvl="8" w:tplc="11D09BB8">
      <w:start w:val="1"/>
      <w:numFmt w:val="bullet"/>
      <w:lvlText w:val=""/>
      <w:lvlJc w:val="left"/>
      <w:pPr>
        <w:ind w:left="6480" w:hanging="360"/>
      </w:pPr>
      <w:rPr>
        <w:rFonts w:ascii="Wingdings" w:hAnsi="Wingdings" w:hint="default"/>
      </w:rPr>
    </w:lvl>
  </w:abstractNum>
  <w:abstractNum w:abstractNumId="90" w15:restartNumberingAfterBreak="0">
    <w:nsid w:val="5A57DEBA"/>
    <w:multiLevelType w:val="hybridMultilevel"/>
    <w:tmpl w:val="46A6AA08"/>
    <w:lvl w:ilvl="0" w:tplc="6B5E9662">
      <w:start w:val="1"/>
      <w:numFmt w:val="bullet"/>
      <w:lvlText w:val=""/>
      <w:lvlJc w:val="left"/>
      <w:pPr>
        <w:ind w:left="720" w:hanging="360"/>
      </w:pPr>
      <w:rPr>
        <w:rFonts w:ascii="Symbol" w:hAnsi="Symbol" w:hint="default"/>
      </w:rPr>
    </w:lvl>
    <w:lvl w:ilvl="1" w:tplc="C004F626">
      <w:start w:val="1"/>
      <w:numFmt w:val="bullet"/>
      <w:lvlText w:val="o"/>
      <w:lvlJc w:val="left"/>
      <w:pPr>
        <w:ind w:left="1440" w:hanging="360"/>
      </w:pPr>
      <w:rPr>
        <w:rFonts w:ascii="Courier New" w:hAnsi="Courier New" w:hint="default"/>
      </w:rPr>
    </w:lvl>
    <w:lvl w:ilvl="2" w:tplc="B4B2B7EC">
      <w:start w:val="1"/>
      <w:numFmt w:val="bullet"/>
      <w:lvlText w:val=""/>
      <w:lvlJc w:val="left"/>
      <w:pPr>
        <w:ind w:left="2160" w:hanging="360"/>
      </w:pPr>
      <w:rPr>
        <w:rFonts w:ascii="Wingdings" w:hAnsi="Wingdings" w:hint="default"/>
      </w:rPr>
    </w:lvl>
    <w:lvl w:ilvl="3" w:tplc="59DEEB44">
      <w:start w:val="1"/>
      <w:numFmt w:val="bullet"/>
      <w:lvlText w:val=""/>
      <w:lvlJc w:val="left"/>
      <w:pPr>
        <w:ind w:left="2880" w:hanging="360"/>
      </w:pPr>
      <w:rPr>
        <w:rFonts w:ascii="Symbol" w:hAnsi="Symbol" w:hint="default"/>
      </w:rPr>
    </w:lvl>
    <w:lvl w:ilvl="4" w:tplc="58506D42">
      <w:start w:val="1"/>
      <w:numFmt w:val="bullet"/>
      <w:lvlText w:val="o"/>
      <w:lvlJc w:val="left"/>
      <w:pPr>
        <w:ind w:left="3600" w:hanging="360"/>
      </w:pPr>
      <w:rPr>
        <w:rFonts w:ascii="Courier New" w:hAnsi="Courier New" w:hint="default"/>
      </w:rPr>
    </w:lvl>
    <w:lvl w:ilvl="5" w:tplc="E5D009A8">
      <w:start w:val="1"/>
      <w:numFmt w:val="bullet"/>
      <w:lvlText w:val=""/>
      <w:lvlJc w:val="left"/>
      <w:pPr>
        <w:ind w:left="4320" w:hanging="360"/>
      </w:pPr>
      <w:rPr>
        <w:rFonts w:ascii="Wingdings" w:hAnsi="Wingdings" w:hint="default"/>
      </w:rPr>
    </w:lvl>
    <w:lvl w:ilvl="6" w:tplc="F0D0E58C">
      <w:start w:val="1"/>
      <w:numFmt w:val="bullet"/>
      <w:lvlText w:val=""/>
      <w:lvlJc w:val="left"/>
      <w:pPr>
        <w:ind w:left="5040" w:hanging="360"/>
      </w:pPr>
      <w:rPr>
        <w:rFonts w:ascii="Symbol" w:hAnsi="Symbol" w:hint="default"/>
      </w:rPr>
    </w:lvl>
    <w:lvl w:ilvl="7" w:tplc="B1D86262">
      <w:start w:val="1"/>
      <w:numFmt w:val="bullet"/>
      <w:lvlText w:val="o"/>
      <w:lvlJc w:val="left"/>
      <w:pPr>
        <w:ind w:left="5760" w:hanging="360"/>
      </w:pPr>
      <w:rPr>
        <w:rFonts w:ascii="Courier New" w:hAnsi="Courier New" w:hint="default"/>
      </w:rPr>
    </w:lvl>
    <w:lvl w:ilvl="8" w:tplc="9F68EA14">
      <w:start w:val="1"/>
      <w:numFmt w:val="bullet"/>
      <w:lvlText w:val=""/>
      <w:lvlJc w:val="left"/>
      <w:pPr>
        <w:ind w:left="6480" w:hanging="360"/>
      </w:pPr>
      <w:rPr>
        <w:rFonts w:ascii="Wingdings" w:hAnsi="Wingdings" w:hint="default"/>
      </w:rPr>
    </w:lvl>
  </w:abstractNum>
  <w:abstractNum w:abstractNumId="91" w15:restartNumberingAfterBreak="0">
    <w:nsid w:val="5B4DF4E7"/>
    <w:multiLevelType w:val="hybridMultilevel"/>
    <w:tmpl w:val="FFFFFFFF"/>
    <w:lvl w:ilvl="0" w:tplc="8EC81C8C">
      <w:start w:val="1"/>
      <w:numFmt w:val="bullet"/>
      <w:lvlText w:val="·"/>
      <w:lvlJc w:val="left"/>
      <w:pPr>
        <w:ind w:left="720" w:hanging="360"/>
      </w:pPr>
      <w:rPr>
        <w:rFonts w:ascii="Symbol" w:hAnsi="Symbol" w:hint="default"/>
      </w:rPr>
    </w:lvl>
    <w:lvl w:ilvl="1" w:tplc="92483C6E">
      <w:start w:val="1"/>
      <w:numFmt w:val="bullet"/>
      <w:lvlText w:val="o"/>
      <w:lvlJc w:val="left"/>
      <w:pPr>
        <w:ind w:left="1440" w:hanging="360"/>
      </w:pPr>
      <w:rPr>
        <w:rFonts w:ascii="Courier New" w:hAnsi="Courier New" w:hint="default"/>
      </w:rPr>
    </w:lvl>
    <w:lvl w:ilvl="2" w:tplc="9FE6E478">
      <w:start w:val="1"/>
      <w:numFmt w:val="bullet"/>
      <w:lvlText w:val=""/>
      <w:lvlJc w:val="left"/>
      <w:pPr>
        <w:ind w:left="2160" w:hanging="360"/>
      </w:pPr>
      <w:rPr>
        <w:rFonts w:ascii="Wingdings" w:hAnsi="Wingdings" w:hint="default"/>
      </w:rPr>
    </w:lvl>
    <w:lvl w:ilvl="3" w:tplc="6D04AC5E">
      <w:start w:val="1"/>
      <w:numFmt w:val="bullet"/>
      <w:lvlText w:val=""/>
      <w:lvlJc w:val="left"/>
      <w:pPr>
        <w:ind w:left="2880" w:hanging="360"/>
      </w:pPr>
      <w:rPr>
        <w:rFonts w:ascii="Symbol" w:hAnsi="Symbol" w:hint="default"/>
      </w:rPr>
    </w:lvl>
    <w:lvl w:ilvl="4" w:tplc="225695A0">
      <w:start w:val="1"/>
      <w:numFmt w:val="bullet"/>
      <w:lvlText w:val="o"/>
      <w:lvlJc w:val="left"/>
      <w:pPr>
        <w:ind w:left="3600" w:hanging="360"/>
      </w:pPr>
      <w:rPr>
        <w:rFonts w:ascii="Courier New" w:hAnsi="Courier New" w:hint="default"/>
      </w:rPr>
    </w:lvl>
    <w:lvl w:ilvl="5" w:tplc="C56A22F2">
      <w:start w:val="1"/>
      <w:numFmt w:val="bullet"/>
      <w:lvlText w:val=""/>
      <w:lvlJc w:val="left"/>
      <w:pPr>
        <w:ind w:left="4320" w:hanging="360"/>
      </w:pPr>
      <w:rPr>
        <w:rFonts w:ascii="Wingdings" w:hAnsi="Wingdings" w:hint="default"/>
      </w:rPr>
    </w:lvl>
    <w:lvl w:ilvl="6" w:tplc="0E02DBF2">
      <w:start w:val="1"/>
      <w:numFmt w:val="bullet"/>
      <w:lvlText w:val=""/>
      <w:lvlJc w:val="left"/>
      <w:pPr>
        <w:ind w:left="5040" w:hanging="360"/>
      </w:pPr>
      <w:rPr>
        <w:rFonts w:ascii="Symbol" w:hAnsi="Symbol" w:hint="default"/>
      </w:rPr>
    </w:lvl>
    <w:lvl w:ilvl="7" w:tplc="88B8A146">
      <w:start w:val="1"/>
      <w:numFmt w:val="bullet"/>
      <w:lvlText w:val="o"/>
      <w:lvlJc w:val="left"/>
      <w:pPr>
        <w:ind w:left="5760" w:hanging="360"/>
      </w:pPr>
      <w:rPr>
        <w:rFonts w:ascii="Courier New" w:hAnsi="Courier New" w:hint="default"/>
      </w:rPr>
    </w:lvl>
    <w:lvl w:ilvl="8" w:tplc="9770480C">
      <w:start w:val="1"/>
      <w:numFmt w:val="bullet"/>
      <w:lvlText w:val=""/>
      <w:lvlJc w:val="left"/>
      <w:pPr>
        <w:ind w:left="6480" w:hanging="360"/>
      </w:pPr>
      <w:rPr>
        <w:rFonts w:ascii="Wingdings" w:hAnsi="Wingdings" w:hint="default"/>
      </w:rPr>
    </w:lvl>
  </w:abstractNum>
  <w:abstractNum w:abstractNumId="92" w15:restartNumberingAfterBreak="0">
    <w:nsid w:val="5D226484"/>
    <w:multiLevelType w:val="hybridMultilevel"/>
    <w:tmpl w:val="969A0790"/>
    <w:lvl w:ilvl="0" w:tplc="7BC25070">
      <w:start w:val="1"/>
      <w:numFmt w:val="bullet"/>
      <w:lvlText w:val=""/>
      <w:lvlJc w:val="left"/>
      <w:pPr>
        <w:ind w:left="720" w:hanging="360"/>
      </w:pPr>
      <w:rPr>
        <w:rFonts w:ascii="Symbol" w:hAnsi="Symbol" w:hint="default"/>
      </w:rPr>
    </w:lvl>
    <w:lvl w:ilvl="1" w:tplc="4C749482">
      <w:start w:val="1"/>
      <w:numFmt w:val="bullet"/>
      <w:lvlText w:val="o"/>
      <w:lvlJc w:val="left"/>
      <w:pPr>
        <w:ind w:left="1440" w:hanging="360"/>
      </w:pPr>
      <w:rPr>
        <w:rFonts w:ascii="Courier New" w:hAnsi="Courier New" w:hint="default"/>
      </w:rPr>
    </w:lvl>
    <w:lvl w:ilvl="2" w:tplc="D862A44C">
      <w:start w:val="1"/>
      <w:numFmt w:val="bullet"/>
      <w:lvlText w:val=""/>
      <w:lvlJc w:val="left"/>
      <w:pPr>
        <w:ind w:left="2160" w:hanging="360"/>
      </w:pPr>
      <w:rPr>
        <w:rFonts w:ascii="Wingdings" w:hAnsi="Wingdings" w:hint="default"/>
      </w:rPr>
    </w:lvl>
    <w:lvl w:ilvl="3" w:tplc="7AD23C98">
      <w:start w:val="1"/>
      <w:numFmt w:val="bullet"/>
      <w:lvlText w:val=""/>
      <w:lvlJc w:val="left"/>
      <w:pPr>
        <w:ind w:left="2880" w:hanging="360"/>
      </w:pPr>
      <w:rPr>
        <w:rFonts w:ascii="Symbol" w:hAnsi="Symbol" w:hint="default"/>
      </w:rPr>
    </w:lvl>
    <w:lvl w:ilvl="4" w:tplc="24366F02">
      <w:start w:val="1"/>
      <w:numFmt w:val="bullet"/>
      <w:lvlText w:val="o"/>
      <w:lvlJc w:val="left"/>
      <w:pPr>
        <w:ind w:left="3600" w:hanging="360"/>
      </w:pPr>
      <w:rPr>
        <w:rFonts w:ascii="Courier New" w:hAnsi="Courier New" w:hint="default"/>
      </w:rPr>
    </w:lvl>
    <w:lvl w:ilvl="5" w:tplc="3C3294BE">
      <w:start w:val="1"/>
      <w:numFmt w:val="bullet"/>
      <w:lvlText w:val=""/>
      <w:lvlJc w:val="left"/>
      <w:pPr>
        <w:ind w:left="4320" w:hanging="360"/>
      </w:pPr>
      <w:rPr>
        <w:rFonts w:ascii="Wingdings" w:hAnsi="Wingdings" w:hint="default"/>
      </w:rPr>
    </w:lvl>
    <w:lvl w:ilvl="6" w:tplc="E140D172">
      <w:start w:val="1"/>
      <w:numFmt w:val="bullet"/>
      <w:lvlText w:val=""/>
      <w:lvlJc w:val="left"/>
      <w:pPr>
        <w:ind w:left="5040" w:hanging="360"/>
      </w:pPr>
      <w:rPr>
        <w:rFonts w:ascii="Symbol" w:hAnsi="Symbol" w:hint="default"/>
      </w:rPr>
    </w:lvl>
    <w:lvl w:ilvl="7" w:tplc="8F7895CC">
      <w:start w:val="1"/>
      <w:numFmt w:val="bullet"/>
      <w:lvlText w:val="o"/>
      <w:lvlJc w:val="left"/>
      <w:pPr>
        <w:ind w:left="5760" w:hanging="360"/>
      </w:pPr>
      <w:rPr>
        <w:rFonts w:ascii="Courier New" w:hAnsi="Courier New" w:hint="default"/>
      </w:rPr>
    </w:lvl>
    <w:lvl w:ilvl="8" w:tplc="4864763C">
      <w:start w:val="1"/>
      <w:numFmt w:val="bullet"/>
      <w:lvlText w:val=""/>
      <w:lvlJc w:val="left"/>
      <w:pPr>
        <w:ind w:left="6480" w:hanging="360"/>
      </w:pPr>
      <w:rPr>
        <w:rFonts w:ascii="Wingdings" w:hAnsi="Wingdings" w:hint="default"/>
      </w:rPr>
    </w:lvl>
  </w:abstractNum>
  <w:abstractNum w:abstractNumId="93" w15:restartNumberingAfterBreak="0">
    <w:nsid w:val="5D2F0FF8"/>
    <w:multiLevelType w:val="hybridMultilevel"/>
    <w:tmpl w:val="9FA4E348"/>
    <w:lvl w:ilvl="0" w:tplc="08090005">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4" w15:restartNumberingAfterBreak="0">
    <w:nsid w:val="5DCB9E77"/>
    <w:multiLevelType w:val="hybridMultilevel"/>
    <w:tmpl w:val="FFFFFFFF"/>
    <w:lvl w:ilvl="0" w:tplc="1F567E96">
      <w:start w:val="1"/>
      <w:numFmt w:val="bullet"/>
      <w:lvlText w:val="·"/>
      <w:lvlJc w:val="left"/>
      <w:pPr>
        <w:ind w:left="720" w:hanging="360"/>
      </w:pPr>
      <w:rPr>
        <w:rFonts w:ascii="Symbol" w:hAnsi="Symbol" w:hint="default"/>
      </w:rPr>
    </w:lvl>
    <w:lvl w:ilvl="1" w:tplc="DFA07D12">
      <w:start w:val="1"/>
      <w:numFmt w:val="bullet"/>
      <w:lvlText w:val="o"/>
      <w:lvlJc w:val="left"/>
      <w:pPr>
        <w:ind w:left="1440" w:hanging="360"/>
      </w:pPr>
      <w:rPr>
        <w:rFonts w:ascii="Courier New" w:hAnsi="Courier New" w:hint="default"/>
      </w:rPr>
    </w:lvl>
    <w:lvl w:ilvl="2" w:tplc="A1DABA6E">
      <w:start w:val="1"/>
      <w:numFmt w:val="bullet"/>
      <w:lvlText w:val=""/>
      <w:lvlJc w:val="left"/>
      <w:pPr>
        <w:ind w:left="2160" w:hanging="360"/>
      </w:pPr>
      <w:rPr>
        <w:rFonts w:ascii="Wingdings" w:hAnsi="Wingdings" w:hint="default"/>
      </w:rPr>
    </w:lvl>
    <w:lvl w:ilvl="3" w:tplc="7D50FEE8">
      <w:start w:val="1"/>
      <w:numFmt w:val="bullet"/>
      <w:lvlText w:val=""/>
      <w:lvlJc w:val="left"/>
      <w:pPr>
        <w:ind w:left="2880" w:hanging="360"/>
      </w:pPr>
      <w:rPr>
        <w:rFonts w:ascii="Symbol" w:hAnsi="Symbol" w:hint="default"/>
      </w:rPr>
    </w:lvl>
    <w:lvl w:ilvl="4" w:tplc="90C44AEE">
      <w:start w:val="1"/>
      <w:numFmt w:val="bullet"/>
      <w:lvlText w:val="o"/>
      <w:lvlJc w:val="left"/>
      <w:pPr>
        <w:ind w:left="3600" w:hanging="360"/>
      </w:pPr>
      <w:rPr>
        <w:rFonts w:ascii="Courier New" w:hAnsi="Courier New" w:hint="default"/>
      </w:rPr>
    </w:lvl>
    <w:lvl w:ilvl="5" w:tplc="13F8968C">
      <w:start w:val="1"/>
      <w:numFmt w:val="bullet"/>
      <w:lvlText w:val=""/>
      <w:lvlJc w:val="left"/>
      <w:pPr>
        <w:ind w:left="4320" w:hanging="360"/>
      </w:pPr>
      <w:rPr>
        <w:rFonts w:ascii="Wingdings" w:hAnsi="Wingdings" w:hint="default"/>
      </w:rPr>
    </w:lvl>
    <w:lvl w:ilvl="6" w:tplc="284A0A9E">
      <w:start w:val="1"/>
      <w:numFmt w:val="bullet"/>
      <w:lvlText w:val=""/>
      <w:lvlJc w:val="left"/>
      <w:pPr>
        <w:ind w:left="5040" w:hanging="360"/>
      </w:pPr>
      <w:rPr>
        <w:rFonts w:ascii="Symbol" w:hAnsi="Symbol" w:hint="default"/>
      </w:rPr>
    </w:lvl>
    <w:lvl w:ilvl="7" w:tplc="8B2EE89C">
      <w:start w:val="1"/>
      <w:numFmt w:val="bullet"/>
      <w:lvlText w:val="o"/>
      <w:lvlJc w:val="left"/>
      <w:pPr>
        <w:ind w:left="5760" w:hanging="360"/>
      </w:pPr>
      <w:rPr>
        <w:rFonts w:ascii="Courier New" w:hAnsi="Courier New" w:hint="default"/>
      </w:rPr>
    </w:lvl>
    <w:lvl w:ilvl="8" w:tplc="38462EE0">
      <w:start w:val="1"/>
      <w:numFmt w:val="bullet"/>
      <w:lvlText w:val=""/>
      <w:lvlJc w:val="left"/>
      <w:pPr>
        <w:ind w:left="6480" w:hanging="360"/>
      </w:pPr>
      <w:rPr>
        <w:rFonts w:ascii="Wingdings" w:hAnsi="Wingdings" w:hint="default"/>
      </w:rPr>
    </w:lvl>
  </w:abstractNum>
  <w:abstractNum w:abstractNumId="95" w15:restartNumberingAfterBreak="0">
    <w:nsid w:val="6005744A"/>
    <w:multiLevelType w:val="hybridMultilevel"/>
    <w:tmpl w:val="FFFFFFFF"/>
    <w:lvl w:ilvl="0" w:tplc="77324F24">
      <w:start w:val="1"/>
      <w:numFmt w:val="bullet"/>
      <w:lvlText w:val=""/>
      <w:lvlJc w:val="left"/>
      <w:pPr>
        <w:ind w:left="720" w:hanging="360"/>
      </w:pPr>
      <w:rPr>
        <w:rFonts w:ascii="Symbol" w:hAnsi="Symbol" w:hint="default"/>
      </w:rPr>
    </w:lvl>
    <w:lvl w:ilvl="1" w:tplc="9EF48386">
      <w:start w:val="1"/>
      <w:numFmt w:val="bullet"/>
      <w:lvlText w:val="o"/>
      <w:lvlJc w:val="left"/>
      <w:pPr>
        <w:ind w:left="1440" w:hanging="360"/>
      </w:pPr>
      <w:rPr>
        <w:rFonts w:ascii="Courier New" w:hAnsi="Courier New" w:hint="default"/>
      </w:rPr>
    </w:lvl>
    <w:lvl w:ilvl="2" w:tplc="2C320356">
      <w:start w:val="1"/>
      <w:numFmt w:val="bullet"/>
      <w:lvlText w:val=""/>
      <w:lvlJc w:val="left"/>
      <w:pPr>
        <w:ind w:left="2160" w:hanging="360"/>
      </w:pPr>
      <w:rPr>
        <w:rFonts w:ascii="Wingdings" w:hAnsi="Wingdings" w:hint="default"/>
      </w:rPr>
    </w:lvl>
    <w:lvl w:ilvl="3" w:tplc="6AEEB216">
      <w:start w:val="1"/>
      <w:numFmt w:val="bullet"/>
      <w:lvlText w:val=""/>
      <w:lvlJc w:val="left"/>
      <w:pPr>
        <w:ind w:left="2880" w:hanging="360"/>
      </w:pPr>
      <w:rPr>
        <w:rFonts w:ascii="Symbol" w:hAnsi="Symbol" w:hint="default"/>
      </w:rPr>
    </w:lvl>
    <w:lvl w:ilvl="4" w:tplc="9C18DCC4">
      <w:start w:val="1"/>
      <w:numFmt w:val="bullet"/>
      <w:lvlText w:val="o"/>
      <w:lvlJc w:val="left"/>
      <w:pPr>
        <w:ind w:left="3600" w:hanging="360"/>
      </w:pPr>
      <w:rPr>
        <w:rFonts w:ascii="Courier New" w:hAnsi="Courier New" w:hint="default"/>
      </w:rPr>
    </w:lvl>
    <w:lvl w:ilvl="5" w:tplc="0AACCC2E">
      <w:start w:val="1"/>
      <w:numFmt w:val="bullet"/>
      <w:lvlText w:val=""/>
      <w:lvlJc w:val="left"/>
      <w:pPr>
        <w:ind w:left="4320" w:hanging="360"/>
      </w:pPr>
      <w:rPr>
        <w:rFonts w:ascii="Wingdings" w:hAnsi="Wingdings" w:hint="default"/>
      </w:rPr>
    </w:lvl>
    <w:lvl w:ilvl="6" w:tplc="A31E26E6">
      <w:start w:val="1"/>
      <w:numFmt w:val="bullet"/>
      <w:lvlText w:val=""/>
      <w:lvlJc w:val="left"/>
      <w:pPr>
        <w:ind w:left="5040" w:hanging="360"/>
      </w:pPr>
      <w:rPr>
        <w:rFonts w:ascii="Symbol" w:hAnsi="Symbol" w:hint="default"/>
      </w:rPr>
    </w:lvl>
    <w:lvl w:ilvl="7" w:tplc="C3C01CAE">
      <w:start w:val="1"/>
      <w:numFmt w:val="bullet"/>
      <w:lvlText w:val="o"/>
      <w:lvlJc w:val="left"/>
      <w:pPr>
        <w:ind w:left="5760" w:hanging="360"/>
      </w:pPr>
      <w:rPr>
        <w:rFonts w:ascii="Courier New" w:hAnsi="Courier New" w:hint="default"/>
      </w:rPr>
    </w:lvl>
    <w:lvl w:ilvl="8" w:tplc="8F902640">
      <w:start w:val="1"/>
      <w:numFmt w:val="bullet"/>
      <w:lvlText w:val=""/>
      <w:lvlJc w:val="left"/>
      <w:pPr>
        <w:ind w:left="6480" w:hanging="360"/>
      </w:pPr>
      <w:rPr>
        <w:rFonts w:ascii="Wingdings" w:hAnsi="Wingdings" w:hint="default"/>
      </w:rPr>
    </w:lvl>
  </w:abstractNum>
  <w:abstractNum w:abstractNumId="96" w15:restartNumberingAfterBreak="0">
    <w:nsid w:val="60432FC3"/>
    <w:multiLevelType w:val="hybridMultilevel"/>
    <w:tmpl w:val="0EA655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0B07966"/>
    <w:multiLevelType w:val="hybridMultilevel"/>
    <w:tmpl w:val="12FE18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61CF098F"/>
    <w:multiLevelType w:val="hybridMultilevel"/>
    <w:tmpl w:val="8E3E76E0"/>
    <w:lvl w:ilvl="0" w:tplc="D862A44C">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9" w15:restartNumberingAfterBreak="0">
    <w:nsid w:val="635D8700"/>
    <w:multiLevelType w:val="hybridMultilevel"/>
    <w:tmpl w:val="FFFFFFFF"/>
    <w:lvl w:ilvl="0" w:tplc="3AA4F6E6">
      <w:start w:val="1"/>
      <w:numFmt w:val="bullet"/>
      <w:lvlText w:val="·"/>
      <w:lvlJc w:val="left"/>
      <w:pPr>
        <w:ind w:left="720" w:hanging="360"/>
      </w:pPr>
      <w:rPr>
        <w:rFonts w:ascii="Symbol" w:hAnsi="Symbol" w:hint="default"/>
      </w:rPr>
    </w:lvl>
    <w:lvl w:ilvl="1" w:tplc="8CC258CE">
      <w:start w:val="1"/>
      <w:numFmt w:val="bullet"/>
      <w:lvlText w:val="o"/>
      <w:lvlJc w:val="left"/>
      <w:pPr>
        <w:ind w:left="1440" w:hanging="360"/>
      </w:pPr>
      <w:rPr>
        <w:rFonts w:ascii="Courier New" w:hAnsi="Courier New" w:hint="default"/>
      </w:rPr>
    </w:lvl>
    <w:lvl w:ilvl="2" w:tplc="4F585988">
      <w:start w:val="1"/>
      <w:numFmt w:val="bullet"/>
      <w:lvlText w:val=""/>
      <w:lvlJc w:val="left"/>
      <w:pPr>
        <w:ind w:left="2160" w:hanging="360"/>
      </w:pPr>
      <w:rPr>
        <w:rFonts w:ascii="Wingdings" w:hAnsi="Wingdings" w:hint="default"/>
      </w:rPr>
    </w:lvl>
    <w:lvl w:ilvl="3" w:tplc="2BFE1EB6">
      <w:start w:val="1"/>
      <w:numFmt w:val="bullet"/>
      <w:lvlText w:val=""/>
      <w:lvlJc w:val="left"/>
      <w:pPr>
        <w:ind w:left="2880" w:hanging="360"/>
      </w:pPr>
      <w:rPr>
        <w:rFonts w:ascii="Symbol" w:hAnsi="Symbol" w:hint="default"/>
      </w:rPr>
    </w:lvl>
    <w:lvl w:ilvl="4" w:tplc="762CD8E8">
      <w:start w:val="1"/>
      <w:numFmt w:val="bullet"/>
      <w:lvlText w:val="o"/>
      <w:lvlJc w:val="left"/>
      <w:pPr>
        <w:ind w:left="3600" w:hanging="360"/>
      </w:pPr>
      <w:rPr>
        <w:rFonts w:ascii="Courier New" w:hAnsi="Courier New" w:hint="default"/>
      </w:rPr>
    </w:lvl>
    <w:lvl w:ilvl="5" w:tplc="E8546EB6">
      <w:start w:val="1"/>
      <w:numFmt w:val="bullet"/>
      <w:lvlText w:val=""/>
      <w:lvlJc w:val="left"/>
      <w:pPr>
        <w:ind w:left="4320" w:hanging="360"/>
      </w:pPr>
      <w:rPr>
        <w:rFonts w:ascii="Wingdings" w:hAnsi="Wingdings" w:hint="default"/>
      </w:rPr>
    </w:lvl>
    <w:lvl w:ilvl="6" w:tplc="C75A7266">
      <w:start w:val="1"/>
      <w:numFmt w:val="bullet"/>
      <w:lvlText w:val=""/>
      <w:lvlJc w:val="left"/>
      <w:pPr>
        <w:ind w:left="5040" w:hanging="360"/>
      </w:pPr>
      <w:rPr>
        <w:rFonts w:ascii="Symbol" w:hAnsi="Symbol" w:hint="default"/>
      </w:rPr>
    </w:lvl>
    <w:lvl w:ilvl="7" w:tplc="4E546DF0">
      <w:start w:val="1"/>
      <w:numFmt w:val="bullet"/>
      <w:lvlText w:val="o"/>
      <w:lvlJc w:val="left"/>
      <w:pPr>
        <w:ind w:left="5760" w:hanging="360"/>
      </w:pPr>
      <w:rPr>
        <w:rFonts w:ascii="Courier New" w:hAnsi="Courier New" w:hint="default"/>
      </w:rPr>
    </w:lvl>
    <w:lvl w:ilvl="8" w:tplc="EEE09DAC">
      <w:start w:val="1"/>
      <w:numFmt w:val="bullet"/>
      <w:lvlText w:val=""/>
      <w:lvlJc w:val="left"/>
      <w:pPr>
        <w:ind w:left="6480" w:hanging="360"/>
      </w:pPr>
      <w:rPr>
        <w:rFonts w:ascii="Wingdings" w:hAnsi="Wingdings" w:hint="default"/>
      </w:rPr>
    </w:lvl>
  </w:abstractNum>
  <w:abstractNum w:abstractNumId="100" w15:restartNumberingAfterBreak="0">
    <w:nsid w:val="63F84684"/>
    <w:multiLevelType w:val="hybridMultilevel"/>
    <w:tmpl w:val="FFFFFFFF"/>
    <w:lvl w:ilvl="0" w:tplc="01FA4338">
      <w:start w:val="1"/>
      <w:numFmt w:val="bullet"/>
      <w:lvlText w:val="·"/>
      <w:lvlJc w:val="left"/>
      <w:pPr>
        <w:ind w:left="720" w:hanging="360"/>
      </w:pPr>
      <w:rPr>
        <w:rFonts w:ascii="Symbol" w:hAnsi="Symbol" w:hint="default"/>
      </w:rPr>
    </w:lvl>
    <w:lvl w:ilvl="1" w:tplc="2310900E">
      <w:start w:val="1"/>
      <w:numFmt w:val="bullet"/>
      <w:lvlText w:val="o"/>
      <w:lvlJc w:val="left"/>
      <w:pPr>
        <w:ind w:left="1440" w:hanging="360"/>
      </w:pPr>
      <w:rPr>
        <w:rFonts w:ascii="Courier New" w:hAnsi="Courier New" w:hint="default"/>
      </w:rPr>
    </w:lvl>
    <w:lvl w:ilvl="2" w:tplc="E13EA15A">
      <w:start w:val="1"/>
      <w:numFmt w:val="bullet"/>
      <w:lvlText w:val=""/>
      <w:lvlJc w:val="left"/>
      <w:pPr>
        <w:ind w:left="2160" w:hanging="360"/>
      </w:pPr>
      <w:rPr>
        <w:rFonts w:ascii="Wingdings" w:hAnsi="Wingdings" w:hint="default"/>
      </w:rPr>
    </w:lvl>
    <w:lvl w:ilvl="3" w:tplc="90F20178">
      <w:start w:val="1"/>
      <w:numFmt w:val="bullet"/>
      <w:lvlText w:val=""/>
      <w:lvlJc w:val="left"/>
      <w:pPr>
        <w:ind w:left="2880" w:hanging="360"/>
      </w:pPr>
      <w:rPr>
        <w:rFonts w:ascii="Symbol" w:hAnsi="Symbol" w:hint="default"/>
      </w:rPr>
    </w:lvl>
    <w:lvl w:ilvl="4" w:tplc="9768145C">
      <w:start w:val="1"/>
      <w:numFmt w:val="bullet"/>
      <w:lvlText w:val="o"/>
      <w:lvlJc w:val="left"/>
      <w:pPr>
        <w:ind w:left="3600" w:hanging="360"/>
      </w:pPr>
      <w:rPr>
        <w:rFonts w:ascii="Courier New" w:hAnsi="Courier New" w:hint="default"/>
      </w:rPr>
    </w:lvl>
    <w:lvl w:ilvl="5" w:tplc="89BEA0AA">
      <w:start w:val="1"/>
      <w:numFmt w:val="bullet"/>
      <w:lvlText w:val=""/>
      <w:lvlJc w:val="left"/>
      <w:pPr>
        <w:ind w:left="4320" w:hanging="360"/>
      </w:pPr>
      <w:rPr>
        <w:rFonts w:ascii="Wingdings" w:hAnsi="Wingdings" w:hint="default"/>
      </w:rPr>
    </w:lvl>
    <w:lvl w:ilvl="6" w:tplc="2EFCDBA6">
      <w:start w:val="1"/>
      <w:numFmt w:val="bullet"/>
      <w:lvlText w:val=""/>
      <w:lvlJc w:val="left"/>
      <w:pPr>
        <w:ind w:left="5040" w:hanging="360"/>
      </w:pPr>
      <w:rPr>
        <w:rFonts w:ascii="Symbol" w:hAnsi="Symbol" w:hint="default"/>
      </w:rPr>
    </w:lvl>
    <w:lvl w:ilvl="7" w:tplc="1AB4E7F4">
      <w:start w:val="1"/>
      <w:numFmt w:val="bullet"/>
      <w:lvlText w:val="o"/>
      <w:lvlJc w:val="left"/>
      <w:pPr>
        <w:ind w:left="5760" w:hanging="360"/>
      </w:pPr>
      <w:rPr>
        <w:rFonts w:ascii="Courier New" w:hAnsi="Courier New" w:hint="default"/>
      </w:rPr>
    </w:lvl>
    <w:lvl w:ilvl="8" w:tplc="162CD3E6">
      <w:start w:val="1"/>
      <w:numFmt w:val="bullet"/>
      <w:lvlText w:val=""/>
      <w:lvlJc w:val="left"/>
      <w:pPr>
        <w:ind w:left="6480" w:hanging="360"/>
      </w:pPr>
      <w:rPr>
        <w:rFonts w:ascii="Wingdings" w:hAnsi="Wingdings" w:hint="default"/>
      </w:rPr>
    </w:lvl>
  </w:abstractNum>
  <w:abstractNum w:abstractNumId="101" w15:restartNumberingAfterBreak="0">
    <w:nsid w:val="69291FE0"/>
    <w:multiLevelType w:val="hybridMultilevel"/>
    <w:tmpl w:val="0A36FB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6A205002"/>
    <w:multiLevelType w:val="hybridMultilevel"/>
    <w:tmpl w:val="5574DC72"/>
    <w:lvl w:ilvl="0" w:tplc="8DE8A4FC">
      <w:start w:val="1"/>
      <w:numFmt w:val="bullet"/>
      <w:lvlText w:val=""/>
      <w:lvlJc w:val="left"/>
      <w:pPr>
        <w:ind w:left="360" w:hanging="360"/>
      </w:pPr>
      <w:rPr>
        <w:rFonts w:ascii="Symbol" w:hAnsi="Symbol" w:hint="default"/>
      </w:rPr>
    </w:lvl>
    <w:lvl w:ilvl="1" w:tplc="E41453D4">
      <w:start w:val="1"/>
      <w:numFmt w:val="bullet"/>
      <w:lvlText w:val="o"/>
      <w:lvlJc w:val="left"/>
      <w:pPr>
        <w:ind w:left="1440" w:hanging="360"/>
      </w:pPr>
      <w:rPr>
        <w:rFonts w:ascii="Courier New" w:hAnsi="Courier New" w:hint="default"/>
      </w:rPr>
    </w:lvl>
    <w:lvl w:ilvl="2" w:tplc="655C1B16">
      <w:start w:val="1"/>
      <w:numFmt w:val="bullet"/>
      <w:lvlText w:val=""/>
      <w:lvlJc w:val="left"/>
      <w:pPr>
        <w:ind w:left="2160" w:hanging="360"/>
      </w:pPr>
      <w:rPr>
        <w:rFonts w:ascii="Wingdings" w:hAnsi="Wingdings" w:hint="default"/>
      </w:rPr>
    </w:lvl>
    <w:lvl w:ilvl="3" w:tplc="904C5C02">
      <w:start w:val="1"/>
      <w:numFmt w:val="bullet"/>
      <w:lvlText w:val=""/>
      <w:lvlJc w:val="left"/>
      <w:pPr>
        <w:ind w:left="2880" w:hanging="360"/>
      </w:pPr>
      <w:rPr>
        <w:rFonts w:ascii="Symbol" w:hAnsi="Symbol" w:hint="default"/>
      </w:rPr>
    </w:lvl>
    <w:lvl w:ilvl="4" w:tplc="27902748">
      <w:start w:val="1"/>
      <w:numFmt w:val="bullet"/>
      <w:lvlText w:val="o"/>
      <w:lvlJc w:val="left"/>
      <w:pPr>
        <w:ind w:left="3600" w:hanging="360"/>
      </w:pPr>
      <w:rPr>
        <w:rFonts w:ascii="Courier New" w:hAnsi="Courier New" w:hint="default"/>
      </w:rPr>
    </w:lvl>
    <w:lvl w:ilvl="5" w:tplc="7CCE7742">
      <w:start w:val="1"/>
      <w:numFmt w:val="bullet"/>
      <w:lvlText w:val=""/>
      <w:lvlJc w:val="left"/>
      <w:pPr>
        <w:ind w:left="4320" w:hanging="360"/>
      </w:pPr>
      <w:rPr>
        <w:rFonts w:ascii="Wingdings" w:hAnsi="Wingdings" w:hint="default"/>
      </w:rPr>
    </w:lvl>
    <w:lvl w:ilvl="6" w:tplc="B394BE76">
      <w:start w:val="1"/>
      <w:numFmt w:val="bullet"/>
      <w:lvlText w:val=""/>
      <w:lvlJc w:val="left"/>
      <w:pPr>
        <w:ind w:left="5040" w:hanging="360"/>
      </w:pPr>
      <w:rPr>
        <w:rFonts w:ascii="Symbol" w:hAnsi="Symbol" w:hint="default"/>
      </w:rPr>
    </w:lvl>
    <w:lvl w:ilvl="7" w:tplc="51FE01A8">
      <w:start w:val="1"/>
      <w:numFmt w:val="bullet"/>
      <w:lvlText w:val="o"/>
      <w:lvlJc w:val="left"/>
      <w:pPr>
        <w:ind w:left="5760" w:hanging="360"/>
      </w:pPr>
      <w:rPr>
        <w:rFonts w:ascii="Courier New" w:hAnsi="Courier New" w:hint="default"/>
      </w:rPr>
    </w:lvl>
    <w:lvl w:ilvl="8" w:tplc="CBC27AE6">
      <w:start w:val="1"/>
      <w:numFmt w:val="bullet"/>
      <w:lvlText w:val=""/>
      <w:lvlJc w:val="left"/>
      <w:pPr>
        <w:ind w:left="6480" w:hanging="360"/>
      </w:pPr>
      <w:rPr>
        <w:rFonts w:ascii="Wingdings" w:hAnsi="Wingdings" w:hint="default"/>
      </w:rPr>
    </w:lvl>
  </w:abstractNum>
  <w:abstractNum w:abstractNumId="103" w15:restartNumberingAfterBreak="0">
    <w:nsid w:val="6A46E570"/>
    <w:multiLevelType w:val="hybridMultilevel"/>
    <w:tmpl w:val="FFFFFFFF"/>
    <w:lvl w:ilvl="0" w:tplc="ED241C9C">
      <w:start w:val="1"/>
      <w:numFmt w:val="bullet"/>
      <w:lvlText w:val="·"/>
      <w:lvlJc w:val="left"/>
      <w:pPr>
        <w:ind w:left="720" w:hanging="360"/>
      </w:pPr>
      <w:rPr>
        <w:rFonts w:ascii="Symbol" w:hAnsi="Symbol" w:hint="default"/>
      </w:rPr>
    </w:lvl>
    <w:lvl w:ilvl="1" w:tplc="D2A24D54">
      <w:start w:val="1"/>
      <w:numFmt w:val="bullet"/>
      <w:lvlText w:val="o"/>
      <w:lvlJc w:val="left"/>
      <w:pPr>
        <w:ind w:left="1440" w:hanging="360"/>
      </w:pPr>
      <w:rPr>
        <w:rFonts w:ascii="Courier New" w:hAnsi="Courier New" w:hint="default"/>
      </w:rPr>
    </w:lvl>
    <w:lvl w:ilvl="2" w:tplc="047C752A">
      <w:start w:val="1"/>
      <w:numFmt w:val="bullet"/>
      <w:lvlText w:val=""/>
      <w:lvlJc w:val="left"/>
      <w:pPr>
        <w:ind w:left="2160" w:hanging="360"/>
      </w:pPr>
      <w:rPr>
        <w:rFonts w:ascii="Wingdings" w:hAnsi="Wingdings" w:hint="default"/>
      </w:rPr>
    </w:lvl>
    <w:lvl w:ilvl="3" w:tplc="53F083EE">
      <w:start w:val="1"/>
      <w:numFmt w:val="bullet"/>
      <w:lvlText w:val=""/>
      <w:lvlJc w:val="left"/>
      <w:pPr>
        <w:ind w:left="2880" w:hanging="360"/>
      </w:pPr>
      <w:rPr>
        <w:rFonts w:ascii="Symbol" w:hAnsi="Symbol" w:hint="default"/>
      </w:rPr>
    </w:lvl>
    <w:lvl w:ilvl="4" w:tplc="DA5C7FD6">
      <w:start w:val="1"/>
      <w:numFmt w:val="bullet"/>
      <w:lvlText w:val="o"/>
      <w:lvlJc w:val="left"/>
      <w:pPr>
        <w:ind w:left="3600" w:hanging="360"/>
      </w:pPr>
      <w:rPr>
        <w:rFonts w:ascii="Courier New" w:hAnsi="Courier New" w:hint="default"/>
      </w:rPr>
    </w:lvl>
    <w:lvl w:ilvl="5" w:tplc="CDC0E8C4">
      <w:start w:val="1"/>
      <w:numFmt w:val="bullet"/>
      <w:lvlText w:val=""/>
      <w:lvlJc w:val="left"/>
      <w:pPr>
        <w:ind w:left="4320" w:hanging="360"/>
      </w:pPr>
      <w:rPr>
        <w:rFonts w:ascii="Wingdings" w:hAnsi="Wingdings" w:hint="default"/>
      </w:rPr>
    </w:lvl>
    <w:lvl w:ilvl="6" w:tplc="6F68871C">
      <w:start w:val="1"/>
      <w:numFmt w:val="bullet"/>
      <w:lvlText w:val=""/>
      <w:lvlJc w:val="left"/>
      <w:pPr>
        <w:ind w:left="5040" w:hanging="360"/>
      </w:pPr>
      <w:rPr>
        <w:rFonts w:ascii="Symbol" w:hAnsi="Symbol" w:hint="default"/>
      </w:rPr>
    </w:lvl>
    <w:lvl w:ilvl="7" w:tplc="CDCCA6B2">
      <w:start w:val="1"/>
      <w:numFmt w:val="bullet"/>
      <w:lvlText w:val="o"/>
      <w:lvlJc w:val="left"/>
      <w:pPr>
        <w:ind w:left="5760" w:hanging="360"/>
      </w:pPr>
      <w:rPr>
        <w:rFonts w:ascii="Courier New" w:hAnsi="Courier New" w:hint="default"/>
      </w:rPr>
    </w:lvl>
    <w:lvl w:ilvl="8" w:tplc="84EE2460">
      <w:start w:val="1"/>
      <w:numFmt w:val="bullet"/>
      <w:lvlText w:val=""/>
      <w:lvlJc w:val="left"/>
      <w:pPr>
        <w:ind w:left="6480" w:hanging="360"/>
      </w:pPr>
      <w:rPr>
        <w:rFonts w:ascii="Wingdings" w:hAnsi="Wingdings" w:hint="default"/>
      </w:rPr>
    </w:lvl>
  </w:abstractNum>
  <w:abstractNum w:abstractNumId="104" w15:restartNumberingAfterBreak="0">
    <w:nsid w:val="6C7C2C99"/>
    <w:multiLevelType w:val="hybridMultilevel"/>
    <w:tmpl w:val="FB1AB912"/>
    <w:lvl w:ilvl="0" w:tplc="08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6CAAC691"/>
    <w:multiLevelType w:val="hybridMultilevel"/>
    <w:tmpl w:val="FFFFFFFF"/>
    <w:lvl w:ilvl="0" w:tplc="00643F2A">
      <w:start w:val="1"/>
      <w:numFmt w:val="bullet"/>
      <w:lvlText w:val="·"/>
      <w:lvlJc w:val="left"/>
      <w:pPr>
        <w:ind w:left="720" w:hanging="360"/>
      </w:pPr>
      <w:rPr>
        <w:rFonts w:ascii="Symbol" w:hAnsi="Symbol" w:hint="default"/>
      </w:rPr>
    </w:lvl>
    <w:lvl w:ilvl="1" w:tplc="905EFC2C">
      <w:start w:val="1"/>
      <w:numFmt w:val="bullet"/>
      <w:lvlText w:val="o"/>
      <w:lvlJc w:val="left"/>
      <w:pPr>
        <w:ind w:left="1440" w:hanging="360"/>
      </w:pPr>
      <w:rPr>
        <w:rFonts w:ascii="Courier New" w:hAnsi="Courier New" w:hint="default"/>
      </w:rPr>
    </w:lvl>
    <w:lvl w:ilvl="2" w:tplc="D52CBAF8">
      <w:start w:val="1"/>
      <w:numFmt w:val="bullet"/>
      <w:lvlText w:val=""/>
      <w:lvlJc w:val="left"/>
      <w:pPr>
        <w:ind w:left="2160" w:hanging="360"/>
      </w:pPr>
      <w:rPr>
        <w:rFonts w:ascii="Wingdings" w:hAnsi="Wingdings" w:hint="default"/>
      </w:rPr>
    </w:lvl>
    <w:lvl w:ilvl="3" w:tplc="2E68C030">
      <w:start w:val="1"/>
      <w:numFmt w:val="bullet"/>
      <w:lvlText w:val=""/>
      <w:lvlJc w:val="left"/>
      <w:pPr>
        <w:ind w:left="2880" w:hanging="360"/>
      </w:pPr>
      <w:rPr>
        <w:rFonts w:ascii="Symbol" w:hAnsi="Symbol" w:hint="default"/>
      </w:rPr>
    </w:lvl>
    <w:lvl w:ilvl="4" w:tplc="7B2E2376">
      <w:start w:val="1"/>
      <w:numFmt w:val="bullet"/>
      <w:lvlText w:val="o"/>
      <w:lvlJc w:val="left"/>
      <w:pPr>
        <w:ind w:left="3600" w:hanging="360"/>
      </w:pPr>
      <w:rPr>
        <w:rFonts w:ascii="Courier New" w:hAnsi="Courier New" w:hint="default"/>
      </w:rPr>
    </w:lvl>
    <w:lvl w:ilvl="5" w:tplc="E604B5D6">
      <w:start w:val="1"/>
      <w:numFmt w:val="bullet"/>
      <w:lvlText w:val=""/>
      <w:lvlJc w:val="left"/>
      <w:pPr>
        <w:ind w:left="4320" w:hanging="360"/>
      </w:pPr>
      <w:rPr>
        <w:rFonts w:ascii="Wingdings" w:hAnsi="Wingdings" w:hint="default"/>
      </w:rPr>
    </w:lvl>
    <w:lvl w:ilvl="6" w:tplc="6A243DF6">
      <w:start w:val="1"/>
      <w:numFmt w:val="bullet"/>
      <w:lvlText w:val=""/>
      <w:lvlJc w:val="left"/>
      <w:pPr>
        <w:ind w:left="5040" w:hanging="360"/>
      </w:pPr>
      <w:rPr>
        <w:rFonts w:ascii="Symbol" w:hAnsi="Symbol" w:hint="default"/>
      </w:rPr>
    </w:lvl>
    <w:lvl w:ilvl="7" w:tplc="68F05232">
      <w:start w:val="1"/>
      <w:numFmt w:val="bullet"/>
      <w:lvlText w:val="o"/>
      <w:lvlJc w:val="left"/>
      <w:pPr>
        <w:ind w:left="5760" w:hanging="360"/>
      </w:pPr>
      <w:rPr>
        <w:rFonts w:ascii="Courier New" w:hAnsi="Courier New" w:hint="default"/>
      </w:rPr>
    </w:lvl>
    <w:lvl w:ilvl="8" w:tplc="D70EECEA">
      <w:start w:val="1"/>
      <w:numFmt w:val="bullet"/>
      <w:lvlText w:val=""/>
      <w:lvlJc w:val="left"/>
      <w:pPr>
        <w:ind w:left="6480" w:hanging="360"/>
      </w:pPr>
      <w:rPr>
        <w:rFonts w:ascii="Wingdings" w:hAnsi="Wingdings" w:hint="default"/>
      </w:rPr>
    </w:lvl>
  </w:abstractNum>
  <w:abstractNum w:abstractNumId="106" w15:restartNumberingAfterBreak="0">
    <w:nsid w:val="6D702EEA"/>
    <w:multiLevelType w:val="multilevel"/>
    <w:tmpl w:val="52AAD7AA"/>
    <w:lvl w:ilvl="0">
      <w:start w:val="1"/>
      <w:numFmt w:val="bullet"/>
      <w:lvlText w:val=""/>
      <w:lvlJc w:val="left"/>
      <w:pPr>
        <w:ind w:left="720" w:hanging="360"/>
      </w:pPr>
      <w:rPr>
        <w:rFonts w:ascii="Wingdings" w:hAnsi="Wingdings" w:hint="default"/>
      </w:rPr>
    </w:lvl>
    <w:lvl w:ilvl="1">
      <w:start w:val="1"/>
      <w:numFmt w:val="decimal"/>
      <w:isLgl/>
      <w:lvlText w:val="%1.%2"/>
      <w:lvlJc w:val="left"/>
      <w:pPr>
        <w:ind w:left="940" w:hanging="58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7" w15:restartNumberingAfterBreak="0">
    <w:nsid w:val="731A7735"/>
    <w:multiLevelType w:val="hybridMultilevel"/>
    <w:tmpl w:val="2780C5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8" w15:restartNumberingAfterBreak="0">
    <w:nsid w:val="744990E9"/>
    <w:multiLevelType w:val="hybridMultilevel"/>
    <w:tmpl w:val="FFFFFFFF"/>
    <w:lvl w:ilvl="0" w:tplc="B3DCA85E">
      <w:start w:val="1"/>
      <w:numFmt w:val="bullet"/>
      <w:lvlText w:val=""/>
      <w:lvlJc w:val="left"/>
      <w:pPr>
        <w:ind w:left="720" w:hanging="360"/>
      </w:pPr>
      <w:rPr>
        <w:rFonts w:ascii="Symbol" w:hAnsi="Symbol" w:hint="default"/>
      </w:rPr>
    </w:lvl>
    <w:lvl w:ilvl="1" w:tplc="9F3433C0">
      <w:start w:val="1"/>
      <w:numFmt w:val="bullet"/>
      <w:lvlText w:val="o"/>
      <w:lvlJc w:val="left"/>
      <w:pPr>
        <w:ind w:left="1440" w:hanging="360"/>
      </w:pPr>
      <w:rPr>
        <w:rFonts w:ascii="Courier New" w:hAnsi="Courier New" w:hint="default"/>
      </w:rPr>
    </w:lvl>
    <w:lvl w:ilvl="2" w:tplc="DB0CE8F8">
      <w:start w:val="1"/>
      <w:numFmt w:val="bullet"/>
      <w:lvlText w:val=""/>
      <w:lvlJc w:val="left"/>
      <w:pPr>
        <w:ind w:left="2160" w:hanging="360"/>
      </w:pPr>
      <w:rPr>
        <w:rFonts w:ascii="Wingdings" w:hAnsi="Wingdings" w:hint="default"/>
      </w:rPr>
    </w:lvl>
    <w:lvl w:ilvl="3" w:tplc="38A810AE">
      <w:start w:val="1"/>
      <w:numFmt w:val="bullet"/>
      <w:lvlText w:val=""/>
      <w:lvlJc w:val="left"/>
      <w:pPr>
        <w:ind w:left="2880" w:hanging="360"/>
      </w:pPr>
      <w:rPr>
        <w:rFonts w:ascii="Symbol" w:hAnsi="Symbol" w:hint="default"/>
      </w:rPr>
    </w:lvl>
    <w:lvl w:ilvl="4" w:tplc="576645B0">
      <w:start w:val="1"/>
      <w:numFmt w:val="bullet"/>
      <w:lvlText w:val="o"/>
      <w:lvlJc w:val="left"/>
      <w:pPr>
        <w:ind w:left="3600" w:hanging="360"/>
      </w:pPr>
      <w:rPr>
        <w:rFonts w:ascii="Courier New" w:hAnsi="Courier New" w:hint="default"/>
      </w:rPr>
    </w:lvl>
    <w:lvl w:ilvl="5" w:tplc="E264D51C">
      <w:start w:val="1"/>
      <w:numFmt w:val="bullet"/>
      <w:lvlText w:val=""/>
      <w:lvlJc w:val="left"/>
      <w:pPr>
        <w:ind w:left="4320" w:hanging="360"/>
      </w:pPr>
      <w:rPr>
        <w:rFonts w:ascii="Wingdings" w:hAnsi="Wingdings" w:hint="default"/>
      </w:rPr>
    </w:lvl>
    <w:lvl w:ilvl="6" w:tplc="3E6413C2">
      <w:start w:val="1"/>
      <w:numFmt w:val="bullet"/>
      <w:lvlText w:val=""/>
      <w:lvlJc w:val="left"/>
      <w:pPr>
        <w:ind w:left="5040" w:hanging="360"/>
      </w:pPr>
      <w:rPr>
        <w:rFonts w:ascii="Symbol" w:hAnsi="Symbol" w:hint="default"/>
      </w:rPr>
    </w:lvl>
    <w:lvl w:ilvl="7" w:tplc="3C0C20B4">
      <w:start w:val="1"/>
      <w:numFmt w:val="bullet"/>
      <w:lvlText w:val="o"/>
      <w:lvlJc w:val="left"/>
      <w:pPr>
        <w:ind w:left="5760" w:hanging="360"/>
      </w:pPr>
      <w:rPr>
        <w:rFonts w:ascii="Courier New" w:hAnsi="Courier New" w:hint="default"/>
      </w:rPr>
    </w:lvl>
    <w:lvl w:ilvl="8" w:tplc="0EB82CA4">
      <w:start w:val="1"/>
      <w:numFmt w:val="bullet"/>
      <w:lvlText w:val=""/>
      <w:lvlJc w:val="left"/>
      <w:pPr>
        <w:ind w:left="6480" w:hanging="360"/>
      </w:pPr>
      <w:rPr>
        <w:rFonts w:ascii="Wingdings" w:hAnsi="Wingdings" w:hint="default"/>
      </w:rPr>
    </w:lvl>
  </w:abstractNum>
  <w:abstractNum w:abstractNumId="109" w15:restartNumberingAfterBreak="0">
    <w:nsid w:val="7638BA41"/>
    <w:multiLevelType w:val="hybridMultilevel"/>
    <w:tmpl w:val="30A82C82"/>
    <w:lvl w:ilvl="0" w:tplc="D17E4AE8">
      <w:start w:val="1"/>
      <w:numFmt w:val="bullet"/>
      <w:lvlText w:val=""/>
      <w:lvlJc w:val="left"/>
      <w:pPr>
        <w:ind w:left="720" w:hanging="360"/>
      </w:pPr>
      <w:rPr>
        <w:rFonts w:ascii="Symbol" w:hAnsi="Symbol" w:hint="default"/>
      </w:rPr>
    </w:lvl>
    <w:lvl w:ilvl="1" w:tplc="050E29D8">
      <w:start w:val="1"/>
      <w:numFmt w:val="bullet"/>
      <w:lvlText w:val="•"/>
      <w:lvlJc w:val="left"/>
      <w:pPr>
        <w:ind w:left="1440" w:hanging="360"/>
      </w:pPr>
      <w:rPr>
        <w:rFonts w:ascii="Arial" w:hAnsi="Arial" w:hint="default"/>
      </w:rPr>
    </w:lvl>
    <w:lvl w:ilvl="2" w:tplc="B242115C">
      <w:start w:val="1"/>
      <w:numFmt w:val="bullet"/>
      <w:lvlText w:val=""/>
      <w:lvlJc w:val="left"/>
      <w:pPr>
        <w:ind w:left="2160" w:hanging="360"/>
      </w:pPr>
      <w:rPr>
        <w:rFonts w:ascii="Wingdings" w:hAnsi="Wingdings" w:hint="default"/>
      </w:rPr>
    </w:lvl>
    <w:lvl w:ilvl="3" w:tplc="676059C2">
      <w:start w:val="1"/>
      <w:numFmt w:val="bullet"/>
      <w:lvlText w:val=""/>
      <w:lvlJc w:val="left"/>
      <w:pPr>
        <w:ind w:left="2880" w:hanging="360"/>
      </w:pPr>
      <w:rPr>
        <w:rFonts w:ascii="Symbol" w:hAnsi="Symbol" w:hint="default"/>
      </w:rPr>
    </w:lvl>
    <w:lvl w:ilvl="4" w:tplc="FE4403D0">
      <w:start w:val="1"/>
      <w:numFmt w:val="bullet"/>
      <w:lvlText w:val="o"/>
      <w:lvlJc w:val="left"/>
      <w:pPr>
        <w:ind w:left="3600" w:hanging="360"/>
      </w:pPr>
      <w:rPr>
        <w:rFonts w:ascii="Courier New" w:hAnsi="Courier New" w:hint="default"/>
      </w:rPr>
    </w:lvl>
    <w:lvl w:ilvl="5" w:tplc="C46AB602">
      <w:start w:val="1"/>
      <w:numFmt w:val="bullet"/>
      <w:lvlText w:val=""/>
      <w:lvlJc w:val="left"/>
      <w:pPr>
        <w:ind w:left="4320" w:hanging="360"/>
      </w:pPr>
      <w:rPr>
        <w:rFonts w:ascii="Wingdings" w:hAnsi="Wingdings" w:hint="default"/>
      </w:rPr>
    </w:lvl>
    <w:lvl w:ilvl="6" w:tplc="ECDE93E8">
      <w:start w:val="1"/>
      <w:numFmt w:val="bullet"/>
      <w:lvlText w:val=""/>
      <w:lvlJc w:val="left"/>
      <w:pPr>
        <w:ind w:left="5040" w:hanging="360"/>
      </w:pPr>
      <w:rPr>
        <w:rFonts w:ascii="Symbol" w:hAnsi="Symbol" w:hint="default"/>
      </w:rPr>
    </w:lvl>
    <w:lvl w:ilvl="7" w:tplc="9D3456A6">
      <w:start w:val="1"/>
      <w:numFmt w:val="bullet"/>
      <w:lvlText w:val="o"/>
      <w:lvlJc w:val="left"/>
      <w:pPr>
        <w:ind w:left="5760" w:hanging="360"/>
      </w:pPr>
      <w:rPr>
        <w:rFonts w:ascii="Courier New" w:hAnsi="Courier New" w:hint="default"/>
      </w:rPr>
    </w:lvl>
    <w:lvl w:ilvl="8" w:tplc="9CB099EE">
      <w:start w:val="1"/>
      <w:numFmt w:val="bullet"/>
      <w:lvlText w:val=""/>
      <w:lvlJc w:val="left"/>
      <w:pPr>
        <w:ind w:left="6480" w:hanging="360"/>
      </w:pPr>
      <w:rPr>
        <w:rFonts w:ascii="Wingdings" w:hAnsi="Wingdings" w:hint="default"/>
      </w:rPr>
    </w:lvl>
  </w:abstractNum>
  <w:abstractNum w:abstractNumId="110" w15:restartNumberingAfterBreak="0">
    <w:nsid w:val="76D5EEF6"/>
    <w:multiLevelType w:val="hybridMultilevel"/>
    <w:tmpl w:val="FFFFFFFF"/>
    <w:lvl w:ilvl="0" w:tplc="EEB67FB2">
      <w:start w:val="1"/>
      <w:numFmt w:val="bullet"/>
      <w:lvlText w:val="·"/>
      <w:lvlJc w:val="left"/>
      <w:pPr>
        <w:ind w:left="720" w:hanging="360"/>
      </w:pPr>
      <w:rPr>
        <w:rFonts w:ascii="Symbol" w:hAnsi="Symbol" w:hint="default"/>
      </w:rPr>
    </w:lvl>
    <w:lvl w:ilvl="1" w:tplc="7428A1EC">
      <w:start w:val="1"/>
      <w:numFmt w:val="bullet"/>
      <w:lvlText w:val="o"/>
      <w:lvlJc w:val="left"/>
      <w:pPr>
        <w:ind w:left="1440" w:hanging="360"/>
      </w:pPr>
      <w:rPr>
        <w:rFonts w:ascii="Courier New" w:hAnsi="Courier New" w:hint="default"/>
      </w:rPr>
    </w:lvl>
    <w:lvl w:ilvl="2" w:tplc="42BA3A20">
      <w:start w:val="1"/>
      <w:numFmt w:val="bullet"/>
      <w:lvlText w:val=""/>
      <w:lvlJc w:val="left"/>
      <w:pPr>
        <w:ind w:left="2160" w:hanging="360"/>
      </w:pPr>
      <w:rPr>
        <w:rFonts w:ascii="Wingdings" w:hAnsi="Wingdings" w:hint="default"/>
      </w:rPr>
    </w:lvl>
    <w:lvl w:ilvl="3" w:tplc="6FEADBBC">
      <w:start w:val="1"/>
      <w:numFmt w:val="bullet"/>
      <w:lvlText w:val=""/>
      <w:lvlJc w:val="left"/>
      <w:pPr>
        <w:ind w:left="2880" w:hanging="360"/>
      </w:pPr>
      <w:rPr>
        <w:rFonts w:ascii="Symbol" w:hAnsi="Symbol" w:hint="default"/>
      </w:rPr>
    </w:lvl>
    <w:lvl w:ilvl="4" w:tplc="35D0E2F4">
      <w:start w:val="1"/>
      <w:numFmt w:val="bullet"/>
      <w:lvlText w:val="o"/>
      <w:lvlJc w:val="left"/>
      <w:pPr>
        <w:ind w:left="3600" w:hanging="360"/>
      </w:pPr>
      <w:rPr>
        <w:rFonts w:ascii="Courier New" w:hAnsi="Courier New" w:hint="default"/>
      </w:rPr>
    </w:lvl>
    <w:lvl w:ilvl="5" w:tplc="70A60C3A">
      <w:start w:val="1"/>
      <w:numFmt w:val="bullet"/>
      <w:lvlText w:val=""/>
      <w:lvlJc w:val="left"/>
      <w:pPr>
        <w:ind w:left="4320" w:hanging="360"/>
      </w:pPr>
      <w:rPr>
        <w:rFonts w:ascii="Wingdings" w:hAnsi="Wingdings" w:hint="default"/>
      </w:rPr>
    </w:lvl>
    <w:lvl w:ilvl="6" w:tplc="6FEE7784">
      <w:start w:val="1"/>
      <w:numFmt w:val="bullet"/>
      <w:lvlText w:val=""/>
      <w:lvlJc w:val="left"/>
      <w:pPr>
        <w:ind w:left="5040" w:hanging="360"/>
      </w:pPr>
      <w:rPr>
        <w:rFonts w:ascii="Symbol" w:hAnsi="Symbol" w:hint="default"/>
      </w:rPr>
    </w:lvl>
    <w:lvl w:ilvl="7" w:tplc="846249C8">
      <w:start w:val="1"/>
      <w:numFmt w:val="bullet"/>
      <w:lvlText w:val="o"/>
      <w:lvlJc w:val="left"/>
      <w:pPr>
        <w:ind w:left="5760" w:hanging="360"/>
      </w:pPr>
      <w:rPr>
        <w:rFonts w:ascii="Courier New" w:hAnsi="Courier New" w:hint="default"/>
      </w:rPr>
    </w:lvl>
    <w:lvl w:ilvl="8" w:tplc="FA4E49F6">
      <w:start w:val="1"/>
      <w:numFmt w:val="bullet"/>
      <w:lvlText w:val=""/>
      <w:lvlJc w:val="left"/>
      <w:pPr>
        <w:ind w:left="6480" w:hanging="360"/>
      </w:pPr>
      <w:rPr>
        <w:rFonts w:ascii="Wingdings" w:hAnsi="Wingdings" w:hint="default"/>
      </w:rPr>
    </w:lvl>
  </w:abstractNum>
  <w:abstractNum w:abstractNumId="111" w15:restartNumberingAfterBreak="0">
    <w:nsid w:val="79FC074D"/>
    <w:multiLevelType w:val="hybridMultilevel"/>
    <w:tmpl w:val="01F214E2"/>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7A125E63"/>
    <w:multiLevelType w:val="hybridMultilevel"/>
    <w:tmpl w:val="73B2DABC"/>
    <w:lvl w:ilvl="0" w:tplc="08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3" w15:restartNumberingAfterBreak="0">
    <w:nsid w:val="7A5279BA"/>
    <w:multiLevelType w:val="hybridMultilevel"/>
    <w:tmpl w:val="C284BBA6"/>
    <w:lvl w:ilvl="0" w:tplc="B4B2B7EC">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4" w15:restartNumberingAfterBreak="0">
    <w:nsid w:val="7AC3335B"/>
    <w:multiLevelType w:val="hybridMultilevel"/>
    <w:tmpl w:val="FFFFFFFF"/>
    <w:lvl w:ilvl="0" w:tplc="569C069E">
      <w:start w:val="1"/>
      <w:numFmt w:val="bullet"/>
      <w:lvlText w:val="·"/>
      <w:lvlJc w:val="left"/>
      <w:pPr>
        <w:ind w:left="720" w:hanging="360"/>
      </w:pPr>
      <w:rPr>
        <w:rFonts w:ascii="Symbol" w:hAnsi="Symbol" w:hint="default"/>
      </w:rPr>
    </w:lvl>
    <w:lvl w:ilvl="1" w:tplc="478AC604">
      <w:start w:val="1"/>
      <w:numFmt w:val="bullet"/>
      <w:lvlText w:val="o"/>
      <w:lvlJc w:val="left"/>
      <w:pPr>
        <w:ind w:left="1440" w:hanging="360"/>
      </w:pPr>
      <w:rPr>
        <w:rFonts w:ascii="Courier New" w:hAnsi="Courier New" w:hint="default"/>
      </w:rPr>
    </w:lvl>
    <w:lvl w:ilvl="2" w:tplc="4502EC4C">
      <w:start w:val="1"/>
      <w:numFmt w:val="bullet"/>
      <w:lvlText w:val=""/>
      <w:lvlJc w:val="left"/>
      <w:pPr>
        <w:ind w:left="2160" w:hanging="360"/>
      </w:pPr>
      <w:rPr>
        <w:rFonts w:ascii="Wingdings" w:hAnsi="Wingdings" w:hint="default"/>
      </w:rPr>
    </w:lvl>
    <w:lvl w:ilvl="3" w:tplc="A77A7468">
      <w:start w:val="1"/>
      <w:numFmt w:val="bullet"/>
      <w:lvlText w:val=""/>
      <w:lvlJc w:val="left"/>
      <w:pPr>
        <w:ind w:left="2880" w:hanging="360"/>
      </w:pPr>
      <w:rPr>
        <w:rFonts w:ascii="Symbol" w:hAnsi="Symbol" w:hint="default"/>
      </w:rPr>
    </w:lvl>
    <w:lvl w:ilvl="4" w:tplc="48D2FD70">
      <w:start w:val="1"/>
      <w:numFmt w:val="bullet"/>
      <w:lvlText w:val="o"/>
      <w:lvlJc w:val="left"/>
      <w:pPr>
        <w:ind w:left="3600" w:hanging="360"/>
      </w:pPr>
      <w:rPr>
        <w:rFonts w:ascii="Courier New" w:hAnsi="Courier New" w:hint="default"/>
      </w:rPr>
    </w:lvl>
    <w:lvl w:ilvl="5" w:tplc="64BC053A">
      <w:start w:val="1"/>
      <w:numFmt w:val="bullet"/>
      <w:lvlText w:val=""/>
      <w:lvlJc w:val="left"/>
      <w:pPr>
        <w:ind w:left="4320" w:hanging="360"/>
      </w:pPr>
      <w:rPr>
        <w:rFonts w:ascii="Wingdings" w:hAnsi="Wingdings" w:hint="default"/>
      </w:rPr>
    </w:lvl>
    <w:lvl w:ilvl="6" w:tplc="D4AA0E50">
      <w:start w:val="1"/>
      <w:numFmt w:val="bullet"/>
      <w:lvlText w:val=""/>
      <w:lvlJc w:val="left"/>
      <w:pPr>
        <w:ind w:left="5040" w:hanging="360"/>
      </w:pPr>
      <w:rPr>
        <w:rFonts w:ascii="Symbol" w:hAnsi="Symbol" w:hint="default"/>
      </w:rPr>
    </w:lvl>
    <w:lvl w:ilvl="7" w:tplc="95BCB5C0">
      <w:start w:val="1"/>
      <w:numFmt w:val="bullet"/>
      <w:lvlText w:val="o"/>
      <w:lvlJc w:val="left"/>
      <w:pPr>
        <w:ind w:left="5760" w:hanging="360"/>
      </w:pPr>
      <w:rPr>
        <w:rFonts w:ascii="Courier New" w:hAnsi="Courier New" w:hint="default"/>
      </w:rPr>
    </w:lvl>
    <w:lvl w:ilvl="8" w:tplc="2FECFBF0">
      <w:start w:val="1"/>
      <w:numFmt w:val="bullet"/>
      <w:lvlText w:val=""/>
      <w:lvlJc w:val="left"/>
      <w:pPr>
        <w:ind w:left="6480" w:hanging="360"/>
      </w:pPr>
      <w:rPr>
        <w:rFonts w:ascii="Wingdings" w:hAnsi="Wingdings" w:hint="default"/>
      </w:rPr>
    </w:lvl>
  </w:abstractNum>
  <w:abstractNum w:abstractNumId="115" w15:restartNumberingAfterBreak="0">
    <w:nsid w:val="7B3B61E2"/>
    <w:multiLevelType w:val="hybridMultilevel"/>
    <w:tmpl w:val="3ED27F4E"/>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6" w15:restartNumberingAfterBreak="0">
    <w:nsid w:val="7B694667"/>
    <w:multiLevelType w:val="hybridMultilevel"/>
    <w:tmpl w:val="66D227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7B8C7A01"/>
    <w:multiLevelType w:val="hybridMultilevel"/>
    <w:tmpl w:val="99A28906"/>
    <w:lvl w:ilvl="0" w:tplc="3A0E7D80">
      <w:start w:val="1"/>
      <w:numFmt w:val="bullet"/>
      <w:lvlText w:val="▪"/>
      <w:lvlJc w:val="left"/>
      <w:pPr>
        <w:ind w:left="360" w:hanging="360"/>
      </w:pPr>
      <w:rPr>
        <w:rFonts w:ascii="Noto Sans Symbols" w:eastAsia="Noto Sans Symbols" w:hAnsi="Noto Sans Symbols" w:cs="Noto Sans Symbol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7C70541A"/>
    <w:multiLevelType w:val="hybridMultilevel"/>
    <w:tmpl w:val="FFFFFFFF"/>
    <w:lvl w:ilvl="0" w:tplc="D150785E">
      <w:start w:val="1"/>
      <w:numFmt w:val="bullet"/>
      <w:lvlText w:val="·"/>
      <w:lvlJc w:val="left"/>
      <w:pPr>
        <w:ind w:left="720" w:hanging="360"/>
      </w:pPr>
      <w:rPr>
        <w:rFonts w:ascii="Symbol" w:hAnsi="Symbol" w:hint="default"/>
      </w:rPr>
    </w:lvl>
    <w:lvl w:ilvl="1" w:tplc="35AA4A8E">
      <w:start w:val="1"/>
      <w:numFmt w:val="bullet"/>
      <w:lvlText w:val="o"/>
      <w:lvlJc w:val="left"/>
      <w:pPr>
        <w:ind w:left="1440" w:hanging="360"/>
      </w:pPr>
      <w:rPr>
        <w:rFonts w:ascii="Courier New" w:hAnsi="Courier New" w:hint="default"/>
      </w:rPr>
    </w:lvl>
    <w:lvl w:ilvl="2" w:tplc="AC3C1882">
      <w:start w:val="1"/>
      <w:numFmt w:val="bullet"/>
      <w:lvlText w:val=""/>
      <w:lvlJc w:val="left"/>
      <w:pPr>
        <w:ind w:left="2160" w:hanging="360"/>
      </w:pPr>
      <w:rPr>
        <w:rFonts w:ascii="Wingdings" w:hAnsi="Wingdings" w:hint="default"/>
      </w:rPr>
    </w:lvl>
    <w:lvl w:ilvl="3" w:tplc="9F9A41F4">
      <w:start w:val="1"/>
      <w:numFmt w:val="bullet"/>
      <w:lvlText w:val=""/>
      <w:lvlJc w:val="left"/>
      <w:pPr>
        <w:ind w:left="2880" w:hanging="360"/>
      </w:pPr>
      <w:rPr>
        <w:rFonts w:ascii="Symbol" w:hAnsi="Symbol" w:hint="default"/>
      </w:rPr>
    </w:lvl>
    <w:lvl w:ilvl="4" w:tplc="84FACB1A">
      <w:start w:val="1"/>
      <w:numFmt w:val="bullet"/>
      <w:lvlText w:val="o"/>
      <w:lvlJc w:val="left"/>
      <w:pPr>
        <w:ind w:left="3600" w:hanging="360"/>
      </w:pPr>
      <w:rPr>
        <w:rFonts w:ascii="Courier New" w:hAnsi="Courier New" w:hint="default"/>
      </w:rPr>
    </w:lvl>
    <w:lvl w:ilvl="5" w:tplc="4FE8095E">
      <w:start w:val="1"/>
      <w:numFmt w:val="bullet"/>
      <w:lvlText w:val=""/>
      <w:lvlJc w:val="left"/>
      <w:pPr>
        <w:ind w:left="4320" w:hanging="360"/>
      </w:pPr>
      <w:rPr>
        <w:rFonts w:ascii="Wingdings" w:hAnsi="Wingdings" w:hint="default"/>
      </w:rPr>
    </w:lvl>
    <w:lvl w:ilvl="6" w:tplc="C27EF2A0">
      <w:start w:val="1"/>
      <w:numFmt w:val="bullet"/>
      <w:lvlText w:val=""/>
      <w:lvlJc w:val="left"/>
      <w:pPr>
        <w:ind w:left="5040" w:hanging="360"/>
      </w:pPr>
      <w:rPr>
        <w:rFonts w:ascii="Symbol" w:hAnsi="Symbol" w:hint="default"/>
      </w:rPr>
    </w:lvl>
    <w:lvl w:ilvl="7" w:tplc="7930B2E2">
      <w:start w:val="1"/>
      <w:numFmt w:val="bullet"/>
      <w:lvlText w:val="o"/>
      <w:lvlJc w:val="left"/>
      <w:pPr>
        <w:ind w:left="5760" w:hanging="360"/>
      </w:pPr>
      <w:rPr>
        <w:rFonts w:ascii="Courier New" w:hAnsi="Courier New" w:hint="default"/>
      </w:rPr>
    </w:lvl>
    <w:lvl w:ilvl="8" w:tplc="40708A30">
      <w:start w:val="1"/>
      <w:numFmt w:val="bullet"/>
      <w:lvlText w:val=""/>
      <w:lvlJc w:val="left"/>
      <w:pPr>
        <w:ind w:left="6480" w:hanging="360"/>
      </w:pPr>
      <w:rPr>
        <w:rFonts w:ascii="Wingdings" w:hAnsi="Wingdings" w:hint="default"/>
      </w:rPr>
    </w:lvl>
  </w:abstractNum>
  <w:abstractNum w:abstractNumId="119" w15:restartNumberingAfterBreak="0">
    <w:nsid w:val="7C841D27"/>
    <w:multiLevelType w:val="hybridMultilevel"/>
    <w:tmpl w:val="34E4728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15:restartNumberingAfterBreak="0">
    <w:nsid w:val="7C965CD2"/>
    <w:multiLevelType w:val="hybridMultilevel"/>
    <w:tmpl w:val="66D227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7CE125E5"/>
    <w:multiLevelType w:val="hybridMultilevel"/>
    <w:tmpl w:val="1C62378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7D253F26"/>
    <w:multiLevelType w:val="multilevel"/>
    <w:tmpl w:val="A0C05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7DBF9A07"/>
    <w:multiLevelType w:val="hybridMultilevel"/>
    <w:tmpl w:val="FFFFFFFF"/>
    <w:lvl w:ilvl="0" w:tplc="E3E2E5DA">
      <w:start w:val="1"/>
      <w:numFmt w:val="bullet"/>
      <w:lvlText w:val=""/>
      <w:lvlJc w:val="left"/>
      <w:pPr>
        <w:ind w:left="720" w:hanging="360"/>
      </w:pPr>
      <w:rPr>
        <w:rFonts w:ascii="Symbol" w:hAnsi="Symbol" w:hint="default"/>
      </w:rPr>
    </w:lvl>
    <w:lvl w:ilvl="1" w:tplc="8544FF06">
      <w:start w:val="1"/>
      <w:numFmt w:val="bullet"/>
      <w:lvlText w:val="o"/>
      <w:lvlJc w:val="left"/>
      <w:pPr>
        <w:ind w:left="1440" w:hanging="360"/>
      </w:pPr>
      <w:rPr>
        <w:rFonts w:ascii="Courier New" w:hAnsi="Courier New" w:hint="default"/>
      </w:rPr>
    </w:lvl>
    <w:lvl w:ilvl="2" w:tplc="469AD660">
      <w:start w:val="1"/>
      <w:numFmt w:val="bullet"/>
      <w:lvlText w:val=""/>
      <w:lvlJc w:val="left"/>
      <w:pPr>
        <w:ind w:left="2160" w:hanging="360"/>
      </w:pPr>
      <w:rPr>
        <w:rFonts w:ascii="Wingdings" w:hAnsi="Wingdings" w:hint="default"/>
      </w:rPr>
    </w:lvl>
    <w:lvl w:ilvl="3" w:tplc="D10C403C">
      <w:start w:val="1"/>
      <w:numFmt w:val="bullet"/>
      <w:lvlText w:val=""/>
      <w:lvlJc w:val="left"/>
      <w:pPr>
        <w:ind w:left="2880" w:hanging="360"/>
      </w:pPr>
      <w:rPr>
        <w:rFonts w:ascii="Symbol" w:hAnsi="Symbol" w:hint="default"/>
      </w:rPr>
    </w:lvl>
    <w:lvl w:ilvl="4" w:tplc="D35E5E9E">
      <w:start w:val="1"/>
      <w:numFmt w:val="bullet"/>
      <w:lvlText w:val="o"/>
      <w:lvlJc w:val="left"/>
      <w:pPr>
        <w:ind w:left="3600" w:hanging="360"/>
      </w:pPr>
      <w:rPr>
        <w:rFonts w:ascii="Courier New" w:hAnsi="Courier New" w:hint="default"/>
      </w:rPr>
    </w:lvl>
    <w:lvl w:ilvl="5" w:tplc="62781902">
      <w:start w:val="1"/>
      <w:numFmt w:val="bullet"/>
      <w:lvlText w:val=""/>
      <w:lvlJc w:val="left"/>
      <w:pPr>
        <w:ind w:left="4320" w:hanging="360"/>
      </w:pPr>
      <w:rPr>
        <w:rFonts w:ascii="Wingdings" w:hAnsi="Wingdings" w:hint="default"/>
      </w:rPr>
    </w:lvl>
    <w:lvl w:ilvl="6" w:tplc="C6ECFCDC">
      <w:start w:val="1"/>
      <w:numFmt w:val="bullet"/>
      <w:lvlText w:val=""/>
      <w:lvlJc w:val="left"/>
      <w:pPr>
        <w:ind w:left="5040" w:hanging="360"/>
      </w:pPr>
      <w:rPr>
        <w:rFonts w:ascii="Symbol" w:hAnsi="Symbol" w:hint="default"/>
      </w:rPr>
    </w:lvl>
    <w:lvl w:ilvl="7" w:tplc="3A2E64F0">
      <w:start w:val="1"/>
      <w:numFmt w:val="bullet"/>
      <w:lvlText w:val="o"/>
      <w:lvlJc w:val="left"/>
      <w:pPr>
        <w:ind w:left="5760" w:hanging="360"/>
      </w:pPr>
      <w:rPr>
        <w:rFonts w:ascii="Courier New" w:hAnsi="Courier New" w:hint="default"/>
      </w:rPr>
    </w:lvl>
    <w:lvl w:ilvl="8" w:tplc="CDDAC11A">
      <w:start w:val="1"/>
      <w:numFmt w:val="bullet"/>
      <w:lvlText w:val=""/>
      <w:lvlJc w:val="left"/>
      <w:pPr>
        <w:ind w:left="6480" w:hanging="360"/>
      </w:pPr>
      <w:rPr>
        <w:rFonts w:ascii="Wingdings" w:hAnsi="Wingdings" w:hint="default"/>
      </w:rPr>
    </w:lvl>
  </w:abstractNum>
  <w:abstractNum w:abstractNumId="124" w15:restartNumberingAfterBreak="0">
    <w:nsid w:val="7E5E2E9A"/>
    <w:multiLevelType w:val="hybridMultilevel"/>
    <w:tmpl w:val="047C82B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6248893">
    <w:abstractNumId w:val="6"/>
  </w:num>
  <w:num w:numId="2" w16cid:durableId="1656227440">
    <w:abstractNumId w:val="12"/>
  </w:num>
  <w:num w:numId="3" w16cid:durableId="1713798053">
    <w:abstractNumId w:val="94"/>
  </w:num>
  <w:num w:numId="4" w16cid:durableId="1872259886">
    <w:abstractNumId w:val="71"/>
  </w:num>
  <w:num w:numId="5" w16cid:durableId="930894664">
    <w:abstractNumId w:val="79"/>
  </w:num>
  <w:num w:numId="6" w16cid:durableId="2111968921">
    <w:abstractNumId w:val="3"/>
  </w:num>
  <w:num w:numId="7" w16cid:durableId="1352955438">
    <w:abstractNumId w:val="87"/>
  </w:num>
  <w:num w:numId="8" w16cid:durableId="990258008">
    <w:abstractNumId w:val="10"/>
  </w:num>
  <w:num w:numId="9" w16cid:durableId="859707279">
    <w:abstractNumId w:val="105"/>
  </w:num>
  <w:num w:numId="10" w16cid:durableId="1316374540">
    <w:abstractNumId w:val="99"/>
  </w:num>
  <w:num w:numId="11" w16cid:durableId="1224683918">
    <w:abstractNumId w:val="103"/>
  </w:num>
  <w:num w:numId="12" w16cid:durableId="1022901238">
    <w:abstractNumId w:val="118"/>
  </w:num>
  <w:num w:numId="13" w16cid:durableId="289676718">
    <w:abstractNumId w:val="62"/>
  </w:num>
  <w:num w:numId="14" w16cid:durableId="370306348">
    <w:abstractNumId w:val="4"/>
  </w:num>
  <w:num w:numId="15" w16cid:durableId="365060717">
    <w:abstractNumId w:val="100"/>
  </w:num>
  <w:num w:numId="16" w16cid:durableId="1216743005">
    <w:abstractNumId w:val="8"/>
  </w:num>
  <w:num w:numId="17" w16cid:durableId="11345548">
    <w:abstractNumId w:val="108"/>
  </w:num>
  <w:num w:numId="18" w16cid:durableId="2003197348">
    <w:abstractNumId w:val="91"/>
  </w:num>
  <w:num w:numId="19" w16cid:durableId="2092189328">
    <w:abstractNumId w:val="42"/>
  </w:num>
  <w:num w:numId="20" w16cid:durableId="783228041">
    <w:abstractNumId w:val="110"/>
  </w:num>
  <w:num w:numId="21" w16cid:durableId="717319965">
    <w:abstractNumId w:val="123"/>
  </w:num>
  <w:num w:numId="22" w16cid:durableId="1116169726">
    <w:abstractNumId w:val="114"/>
  </w:num>
  <w:num w:numId="23" w16cid:durableId="151410230">
    <w:abstractNumId w:val="95"/>
  </w:num>
  <w:num w:numId="24" w16cid:durableId="1398821236">
    <w:abstractNumId w:val="39"/>
  </w:num>
  <w:num w:numId="25" w16cid:durableId="1826974249">
    <w:abstractNumId w:val="33"/>
  </w:num>
  <w:num w:numId="26" w16cid:durableId="1035156672">
    <w:abstractNumId w:val="90"/>
  </w:num>
  <w:num w:numId="27" w16cid:durableId="1249147792">
    <w:abstractNumId w:val="92"/>
  </w:num>
  <w:num w:numId="28" w16cid:durableId="1810318063">
    <w:abstractNumId w:val="84"/>
  </w:num>
  <w:num w:numId="29" w16cid:durableId="1015421408">
    <w:abstractNumId w:val="45"/>
  </w:num>
  <w:num w:numId="30" w16cid:durableId="999891264">
    <w:abstractNumId w:val="102"/>
  </w:num>
  <w:num w:numId="31" w16cid:durableId="494998648">
    <w:abstractNumId w:val="5"/>
  </w:num>
  <w:num w:numId="32" w16cid:durableId="379986166">
    <w:abstractNumId w:val="41"/>
  </w:num>
  <w:num w:numId="33" w16cid:durableId="826482058">
    <w:abstractNumId w:val="109"/>
  </w:num>
  <w:num w:numId="34" w16cid:durableId="1890409365">
    <w:abstractNumId w:val="86"/>
  </w:num>
  <w:num w:numId="35" w16cid:durableId="575164882">
    <w:abstractNumId w:val="25"/>
  </w:num>
  <w:num w:numId="36" w16cid:durableId="677082752">
    <w:abstractNumId w:val="35"/>
  </w:num>
  <w:num w:numId="37" w16cid:durableId="575014974">
    <w:abstractNumId w:val="7"/>
  </w:num>
  <w:num w:numId="38" w16cid:durableId="650139595">
    <w:abstractNumId w:val="24"/>
  </w:num>
  <w:num w:numId="39" w16cid:durableId="1701010415">
    <w:abstractNumId w:val="67"/>
  </w:num>
  <w:num w:numId="40" w16cid:durableId="1634092643">
    <w:abstractNumId w:val="52"/>
  </w:num>
  <w:num w:numId="41" w16cid:durableId="155611647">
    <w:abstractNumId w:val="20"/>
  </w:num>
  <w:num w:numId="42" w16cid:durableId="1208831942">
    <w:abstractNumId w:val="61"/>
  </w:num>
  <w:num w:numId="43" w16cid:durableId="1771048720">
    <w:abstractNumId w:val="2"/>
  </w:num>
  <w:num w:numId="44" w16cid:durableId="1116024083">
    <w:abstractNumId w:val="50"/>
  </w:num>
  <w:num w:numId="45" w16cid:durableId="1880585300">
    <w:abstractNumId w:val="13"/>
  </w:num>
  <w:num w:numId="46" w16cid:durableId="1160122035">
    <w:abstractNumId w:val="68"/>
  </w:num>
  <w:num w:numId="47" w16cid:durableId="166748631">
    <w:abstractNumId w:val="15"/>
  </w:num>
  <w:num w:numId="48" w16cid:durableId="1222642335">
    <w:abstractNumId w:val="32"/>
  </w:num>
  <w:num w:numId="49" w16cid:durableId="1370375038">
    <w:abstractNumId w:val="51"/>
  </w:num>
  <w:num w:numId="50" w16cid:durableId="631209217">
    <w:abstractNumId w:val="31"/>
  </w:num>
  <w:num w:numId="51" w16cid:durableId="479081687">
    <w:abstractNumId w:val="11"/>
  </w:num>
  <w:num w:numId="52" w16cid:durableId="1778327408">
    <w:abstractNumId w:val="119"/>
  </w:num>
  <w:num w:numId="53" w16cid:durableId="247278366">
    <w:abstractNumId w:val="21"/>
  </w:num>
  <w:num w:numId="54" w16cid:durableId="115874055">
    <w:abstractNumId w:val="111"/>
  </w:num>
  <w:num w:numId="55" w16cid:durableId="2013750783">
    <w:abstractNumId w:val="23"/>
  </w:num>
  <w:num w:numId="56" w16cid:durableId="288556936">
    <w:abstractNumId w:val="83"/>
  </w:num>
  <w:num w:numId="57" w16cid:durableId="780992841">
    <w:abstractNumId w:val="55"/>
  </w:num>
  <w:num w:numId="58" w16cid:durableId="1065372887">
    <w:abstractNumId w:val="64"/>
  </w:num>
  <w:num w:numId="59" w16cid:durableId="1851212692">
    <w:abstractNumId w:val="69"/>
  </w:num>
  <w:num w:numId="60" w16cid:durableId="1119950134">
    <w:abstractNumId w:val="63"/>
  </w:num>
  <w:num w:numId="61" w16cid:durableId="495146360">
    <w:abstractNumId w:val="115"/>
  </w:num>
  <w:num w:numId="62" w16cid:durableId="2106417265">
    <w:abstractNumId w:val="34"/>
  </w:num>
  <w:num w:numId="63" w16cid:durableId="625623166">
    <w:abstractNumId w:val="16"/>
  </w:num>
  <w:num w:numId="64" w16cid:durableId="160777970">
    <w:abstractNumId w:val="93"/>
  </w:num>
  <w:num w:numId="65" w16cid:durableId="1189636051">
    <w:abstractNumId w:val="26"/>
  </w:num>
  <w:num w:numId="66" w16cid:durableId="46153957">
    <w:abstractNumId w:val="66"/>
  </w:num>
  <w:num w:numId="67" w16cid:durableId="1442457591">
    <w:abstractNumId w:val="1"/>
  </w:num>
  <w:num w:numId="68" w16cid:durableId="641008291">
    <w:abstractNumId w:val="58"/>
  </w:num>
  <w:num w:numId="69" w16cid:durableId="1944141146">
    <w:abstractNumId w:val="78"/>
  </w:num>
  <w:num w:numId="70" w16cid:durableId="1996253768">
    <w:abstractNumId w:val="121"/>
  </w:num>
  <w:num w:numId="71" w16cid:durableId="792359539">
    <w:abstractNumId w:val="113"/>
  </w:num>
  <w:num w:numId="72" w16cid:durableId="1302661782">
    <w:abstractNumId w:val="38"/>
  </w:num>
  <w:num w:numId="73" w16cid:durableId="2046170951">
    <w:abstractNumId w:val="28"/>
  </w:num>
  <w:num w:numId="74" w16cid:durableId="1486118175">
    <w:abstractNumId w:val="30"/>
  </w:num>
  <w:num w:numId="75" w16cid:durableId="841163814">
    <w:abstractNumId w:val="43"/>
  </w:num>
  <w:num w:numId="76" w16cid:durableId="674496611">
    <w:abstractNumId w:val="49"/>
  </w:num>
  <w:num w:numId="77" w16cid:durableId="1794013048">
    <w:abstractNumId w:val="73"/>
  </w:num>
  <w:num w:numId="78" w16cid:durableId="1145007015">
    <w:abstractNumId w:val="36"/>
  </w:num>
  <w:num w:numId="79" w16cid:durableId="2030132439">
    <w:abstractNumId w:val="75"/>
  </w:num>
  <w:num w:numId="80" w16cid:durableId="1537431585">
    <w:abstractNumId w:val="80"/>
  </w:num>
  <w:num w:numId="81" w16cid:durableId="240675507">
    <w:abstractNumId w:val="112"/>
  </w:num>
  <w:num w:numId="82" w16cid:durableId="1947080647">
    <w:abstractNumId w:val="104"/>
  </w:num>
  <w:num w:numId="83" w16cid:durableId="1425151428">
    <w:abstractNumId w:val="54"/>
  </w:num>
  <w:num w:numId="84" w16cid:durableId="1328939741">
    <w:abstractNumId w:val="9"/>
  </w:num>
  <w:num w:numId="85" w16cid:durableId="579946266">
    <w:abstractNumId w:val="27"/>
  </w:num>
  <w:num w:numId="86" w16cid:durableId="1112436104">
    <w:abstractNumId w:val="89"/>
  </w:num>
  <w:num w:numId="87" w16cid:durableId="677998745">
    <w:abstractNumId w:val="117"/>
  </w:num>
  <w:num w:numId="88" w16cid:durableId="1817724303">
    <w:abstractNumId w:val="46"/>
  </w:num>
  <w:num w:numId="89" w16cid:durableId="1388148352">
    <w:abstractNumId w:val="0"/>
  </w:num>
  <w:num w:numId="90" w16cid:durableId="680083092">
    <w:abstractNumId w:val="116"/>
  </w:num>
  <w:num w:numId="91" w16cid:durableId="1667174055">
    <w:abstractNumId w:val="120"/>
  </w:num>
  <w:num w:numId="92" w16cid:durableId="810176688">
    <w:abstractNumId w:val="19"/>
  </w:num>
  <w:num w:numId="93" w16cid:durableId="725884339">
    <w:abstractNumId w:val="57"/>
  </w:num>
  <w:num w:numId="94" w16cid:durableId="1240752104">
    <w:abstractNumId w:val="98"/>
  </w:num>
  <w:num w:numId="95" w16cid:durableId="870847470">
    <w:abstractNumId w:val="106"/>
  </w:num>
  <w:num w:numId="96" w16cid:durableId="1969312660">
    <w:abstractNumId w:val="37"/>
  </w:num>
  <w:num w:numId="97" w16cid:durableId="178856336">
    <w:abstractNumId w:val="17"/>
  </w:num>
  <w:num w:numId="98" w16cid:durableId="85419640">
    <w:abstractNumId w:val="77"/>
  </w:num>
  <w:num w:numId="99" w16cid:durableId="568082323">
    <w:abstractNumId w:val="59"/>
  </w:num>
  <w:num w:numId="100" w16cid:durableId="314458606">
    <w:abstractNumId w:val="14"/>
  </w:num>
  <w:num w:numId="101" w16cid:durableId="819687236">
    <w:abstractNumId w:val="74"/>
  </w:num>
  <w:num w:numId="102" w16cid:durableId="1414233228">
    <w:abstractNumId w:val="82"/>
  </w:num>
  <w:num w:numId="103" w16cid:durableId="854854166">
    <w:abstractNumId w:val="40"/>
  </w:num>
  <w:num w:numId="104" w16cid:durableId="1255237927">
    <w:abstractNumId w:val="88"/>
  </w:num>
  <w:num w:numId="105" w16cid:durableId="1783304032">
    <w:abstractNumId w:val="18"/>
  </w:num>
  <w:num w:numId="106" w16cid:durableId="620115282">
    <w:abstractNumId w:val="72"/>
  </w:num>
  <w:num w:numId="107" w16cid:durableId="789208023">
    <w:abstractNumId w:val="53"/>
  </w:num>
  <w:num w:numId="108" w16cid:durableId="19816663">
    <w:abstractNumId w:val="76"/>
  </w:num>
  <w:num w:numId="109" w16cid:durableId="1791047201">
    <w:abstractNumId w:val="81"/>
  </w:num>
  <w:num w:numId="110" w16cid:durableId="986520593">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788743262">
    <w:abstractNumId w:val="96"/>
  </w:num>
  <w:num w:numId="112" w16cid:durableId="340788093">
    <w:abstractNumId w:val="124"/>
  </w:num>
  <w:num w:numId="113" w16cid:durableId="1459301983">
    <w:abstractNumId w:val="22"/>
  </w:num>
  <w:num w:numId="114" w16cid:durableId="473524486">
    <w:abstractNumId w:val="70"/>
  </w:num>
  <w:num w:numId="115" w16cid:durableId="61568250">
    <w:abstractNumId w:val="101"/>
  </w:num>
  <w:num w:numId="116" w16cid:durableId="1608998069">
    <w:abstractNumId w:val="44"/>
  </w:num>
  <w:num w:numId="117" w16cid:durableId="1169252021">
    <w:abstractNumId w:val="60"/>
  </w:num>
  <w:num w:numId="118" w16cid:durableId="311451059">
    <w:abstractNumId w:val="122"/>
  </w:num>
  <w:num w:numId="119" w16cid:durableId="1647782700">
    <w:abstractNumId w:val="48"/>
  </w:num>
  <w:num w:numId="120" w16cid:durableId="1727488796">
    <w:abstractNumId w:val="29"/>
  </w:num>
  <w:num w:numId="121" w16cid:durableId="65803207">
    <w:abstractNumId w:val="97"/>
  </w:num>
  <w:num w:numId="122" w16cid:durableId="1899320975">
    <w:abstractNumId w:val="47"/>
  </w:num>
  <w:num w:numId="123" w16cid:durableId="2061519127">
    <w:abstractNumId w:val="65"/>
  </w:num>
  <w:num w:numId="124" w16cid:durableId="1297106774">
    <w:abstractNumId w:val="107"/>
  </w:num>
  <w:num w:numId="125" w16cid:durableId="1978609059">
    <w:abstractNumId w:val="56"/>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saveSubsetFonts/>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stylePaneSortMethod w:val="0000"/>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MwMDG3tDQwMTM3MTdX0lEKTi0uzszPAykwtKgFAGC32CotAAAA"/>
  </w:docVars>
  <w:rsids>
    <w:rsidRoot w:val="008A27CE"/>
    <w:rsid w:val="00000150"/>
    <w:rsid w:val="000012AA"/>
    <w:rsid w:val="00001997"/>
    <w:rsid w:val="0000236B"/>
    <w:rsid w:val="00002C44"/>
    <w:rsid w:val="00002DC3"/>
    <w:rsid w:val="00003054"/>
    <w:rsid w:val="0000328B"/>
    <w:rsid w:val="00004776"/>
    <w:rsid w:val="00004CFF"/>
    <w:rsid w:val="000059D5"/>
    <w:rsid w:val="00005F6F"/>
    <w:rsid w:val="00006629"/>
    <w:rsid w:val="00007DD6"/>
    <w:rsid w:val="000103A0"/>
    <w:rsid w:val="00011406"/>
    <w:rsid w:val="00011E8B"/>
    <w:rsid w:val="000122BC"/>
    <w:rsid w:val="000131E7"/>
    <w:rsid w:val="000134D3"/>
    <w:rsid w:val="0001364D"/>
    <w:rsid w:val="00014E3F"/>
    <w:rsid w:val="0001604F"/>
    <w:rsid w:val="0002041E"/>
    <w:rsid w:val="000211EB"/>
    <w:rsid w:val="00021677"/>
    <w:rsid w:val="000228D3"/>
    <w:rsid w:val="00022CFB"/>
    <w:rsid w:val="00022EF1"/>
    <w:rsid w:val="00023287"/>
    <w:rsid w:val="0002517F"/>
    <w:rsid w:val="00025196"/>
    <w:rsid w:val="0002537F"/>
    <w:rsid w:val="0002644A"/>
    <w:rsid w:val="00026814"/>
    <w:rsid w:val="00026998"/>
    <w:rsid w:val="0002733E"/>
    <w:rsid w:val="0002761D"/>
    <w:rsid w:val="00027C7D"/>
    <w:rsid w:val="00027ED1"/>
    <w:rsid w:val="00030069"/>
    <w:rsid w:val="0003058B"/>
    <w:rsid w:val="00030734"/>
    <w:rsid w:val="000310FE"/>
    <w:rsid w:val="00031F80"/>
    <w:rsid w:val="000329B9"/>
    <w:rsid w:val="00032EE7"/>
    <w:rsid w:val="0003374C"/>
    <w:rsid w:val="00033DA3"/>
    <w:rsid w:val="000340E1"/>
    <w:rsid w:val="000348AE"/>
    <w:rsid w:val="00035054"/>
    <w:rsid w:val="00035959"/>
    <w:rsid w:val="00036337"/>
    <w:rsid w:val="000366EF"/>
    <w:rsid w:val="00036DA4"/>
    <w:rsid w:val="00036E15"/>
    <w:rsid w:val="00036F7B"/>
    <w:rsid w:val="00037B8C"/>
    <w:rsid w:val="00040549"/>
    <w:rsid w:val="000410A8"/>
    <w:rsid w:val="00041231"/>
    <w:rsid w:val="00041B22"/>
    <w:rsid w:val="00041D82"/>
    <w:rsid w:val="00042070"/>
    <w:rsid w:val="0004294D"/>
    <w:rsid w:val="0004318E"/>
    <w:rsid w:val="0004364C"/>
    <w:rsid w:val="00044165"/>
    <w:rsid w:val="00045C7C"/>
    <w:rsid w:val="000462B6"/>
    <w:rsid w:val="0004720A"/>
    <w:rsid w:val="00047735"/>
    <w:rsid w:val="00047FD9"/>
    <w:rsid w:val="00050DCD"/>
    <w:rsid w:val="00050E8E"/>
    <w:rsid w:val="000517C2"/>
    <w:rsid w:val="00051D27"/>
    <w:rsid w:val="000524BF"/>
    <w:rsid w:val="0005395D"/>
    <w:rsid w:val="0005594D"/>
    <w:rsid w:val="00056140"/>
    <w:rsid w:val="00056549"/>
    <w:rsid w:val="00057155"/>
    <w:rsid w:val="000576A1"/>
    <w:rsid w:val="00057927"/>
    <w:rsid w:val="0005799B"/>
    <w:rsid w:val="00057A8E"/>
    <w:rsid w:val="0006068E"/>
    <w:rsid w:val="0006093D"/>
    <w:rsid w:val="00060DB3"/>
    <w:rsid w:val="00061525"/>
    <w:rsid w:val="00061CAB"/>
    <w:rsid w:val="00062758"/>
    <w:rsid w:val="000628F2"/>
    <w:rsid w:val="00062DEB"/>
    <w:rsid w:val="000635A8"/>
    <w:rsid w:val="000638AC"/>
    <w:rsid w:val="00063BAF"/>
    <w:rsid w:val="000644A3"/>
    <w:rsid w:val="00064CEB"/>
    <w:rsid w:val="00064ED1"/>
    <w:rsid w:val="00065B5A"/>
    <w:rsid w:val="00065D90"/>
    <w:rsid w:val="00065F5C"/>
    <w:rsid w:val="00066AA4"/>
    <w:rsid w:val="00066E5B"/>
    <w:rsid w:val="000707A5"/>
    <w:rsid w:val="00071E41"/>
    <w:rsid w:val="000726C0"/>
    <w:rsid w:val="00072716"/>
    <w:rsid w:val="00072867"/>
    <w:rsid w:val="00073990"/>
    <w:rsid w:val="000746C9"/>
    <w:rsid w:val="00074883"/>
    <w:rsid w:val="00074A8A"/>
    <w:rsid w:val="00074E6D"/>
    <w:rsid w:val="0007580C"/>
    <w:rsid w:val="00075C99"/>
    <w:rsid w:val="00075EBD"/>
    <w:rsid w:val="000761F2"/>
    <w:rsid w:val="00076294"/>
    <w:rsid w:val="00076380"/>
    <w:rsid w:val="0007746A"/>
    <w:rsid w:val="00077971"/>
    <w:rsid w:val="00077CD1"/>
    <w:rsid w:val="0008011C"/>
    <w:rsid w:val="0008026C"/>
    <w:rsid w:val="00080292"/>
    <w:rsid w:val="0008060A"/>
    <w:rsid w:val="000806D3"/>
    <w:rsid w:val="00082321"/>
    <w:rsid w:val="00082354"/>
    <w:rsid w:val="000828DF"/>
    <w:rsid w:val="00082CB0"/>
    <w:rsid w:val="00082F3B"/>
    <w:rsid w:val="00083F0B"/>
    <w:rsid w:val="00084C33"/>
    <w:rsid w:val="00085745"/>
    <w:rsid w:val="00086F5E"/>
    <w:rsid w:val="000870B4"/>
    <w:rsid w:val="000875AF"/>
    <w:rsid w:val="00087F0A"/>
    <w:rsid w:val="00091050"/>
    <w:rsid w:val="000910E3"/>
    <w:rsid w:val="000912E7"/>
    <w:rsid w:val="0009225B"/>
    <w:rsid w:val="00092361"/>
    <w:rsid w:val="000925C4"/>
    <w:rsid w:val="00092E90"/>
    <w:rsid w:val="00093F07"/>
    <w:rsid w:val="0009453D"/>
    <w:rsid w:val="00094C0F"/>
    <w:rsid w:val="00094D01"/>
    <w:rsid w:val="000952E4"/>
    <w:rsid w:val="00095EF7"/>
    <w:rsid w:val="00096217"/>
    <w:rsid w:val="0009637F"/>
    <w:rsid w:val="000967FC"/>
    <w:rsid w:val="00096E6F"/>
    <w:rsid w:val="000978E8"/>
    <w:rsid w:val="000A0123"/>
    <w:rsid w:val="000A01C1"/>
    <w:rsid w:val="000A0E9F"/>
    <w:rsid w:val="000A1370"/>
    <w:rsid w:val="000A1398"/>
    <w:rsid w:val="000A2122"/>
    <w:rsid w:val="000A43B1"/>
    <w:rsid w:val="000A4959"/>
    <w:rsid w:val="000A4EB0"/>
    <w:rsid w:val="000A4EF2"/>
    <w:rsid w:val="000A546D"/>
    <w:rsid w:val="000A5A03"/>
    <w:rsid w:val="000A6151"/>
    <w:rsid w:val="000A638D"/>
    <w:rsid w:val="000A6AFD"/>
    <w:rsid w:val="000A6E05"/>
    <w:rsid w:val="000A70AB"/>
    <w:rsid w:val="000A7104"/>
    <w:rsid w:val="000A7ED2"/>
    <w:rsid w:val="000B007F"/>
    <w:rsid w:val="000B0469"/>
    <w:rsid w:val="000B062C"/>
    <w:rsid w:val="000B0C2D"/>
    <w:rsid w:val="000B0FD3"/>
    <w:rsid w:val="000B181A"/>
    <w:rsid w:val="000B1A2F"/>
    <w:rsid w:val="000B2261"/>
    <w:rsid w:val="000B2B62"/>
    <w:rsid w:val="000B2BED"/>
    <w:rsid w:val="000B2DEA"/>
    <w:rsid w:val="000B3487"/>
    <w:rsid w:val="000B4472"/>
    <w:rsid w:val="000B46C4"/>
    <w:rsid w:val="000B50AE"/>
    <w:rsid w:val="000B5158"/>
    <w:rsid w:val="000B5A53"/>
    <w:rsid w:val="000B7513"/>
    <w:rsid w:val="000B7675"/>
    <w:rsid w:val="000B77D0"/>
    <w:rsid w:val="000B78F6"/>
    <w:rsid w:val="000B7A34"/>
    <w:rsid w:val="000B7E3C"/>
    <w:rsid w:val="000B7EAD"/>
    <w:rsid w:val="000C0466"/>
    <w:rsid w:val="000C0958"/>
    <w:rsid w:val="000C0B4F"/>
    <w:rsid w:val="000C16EA"/>
    <w:rsid w:val="000C2A18"/>
    <w:rsid w:val="000C3442"/>
    <w:rsid w:val="000C36B1"/>
    <w:rsid w:val="000C3A26"/>
    <w:rsid w:val="000C3B92"/>
    <w:rsid w:val="000C5186"/>
    <w:rsid w:val="000C5680"/>
    <w:rsid w:val="000C598F"/>
    <w:rsid w:val="000C5B14"/>
    <w:rsid w:val="000C7077"/>
    <w:rsid w:val="000C7EE4"/>
    <w:rsid w:val="000C7F98"/>
    <w:rsid w:val="000D0664"/>
    <w:rsid w:val="000D17D2"/>
    <w:rsid w:val="000D22E1"/>
    <w:rsid w:val="000D2364"/>
    <w:rsid w:val="000D247D"/>
    <w:rsid w:val="000D3118"/>
    <w:rsid w:val="000D3501"/>
    <w:rsid w:val="000D3781"/>
    <w:rsid w:val="000D383A"/>
    <w:rsid w:val="000D47FD"/>
    <w:rsid w:val="000D4F0C"/>
    <w:rsid w:val="000D5037"/>
    <w:rsid w:val="000D68B1"/>
    <w:rsid w:val="000D6AC2"/>
    <w:rsid w:val="000D6B3A"/>
    <w:rsid w:val="000D6D73"/>
    <w:rsid w:val="000D6FD3"/>
    <w:rsid w:val="000D7A6D"/>
    <w:rsid w:val="000D7B3F"/>
    <w:rsid w:val="000D7DBB"/>
    <w:rsid w:val="000E1060"/>
    <w:rsid w:val="000E10CE"/>
    <w:rsid w:val="000E1385"/>
    <w:rsid w:val="000E1BA1"/>
    <w:rsid w:val="000E1EBA"/>
    <w:rsid w:val="000E2706"/>
    <w:rsid w:val="000E32DB"/>
    <w:rsid w:val="000E46AB"/>
    <w:rsid w:val="000E47FC"/>
    <w:rsid w:val="000E509E"/>
    <w:rsid w:val="000E5174"/>
    <w:rsid w:val="000E5680"/>
    <w:rsid w:val="000E5955"/>
    <w:rsid w:val="000E5A0A"/>
    <w:rsid w:val="000E61EB"/>
    <w:rsid w:val="000E6251"/>
    <w:rsid w:val="000E6C8B"/>
    <w:rsid w:val="000E72A3"/>
    <w:rsid w:val="000E7658"/>
    <w:rsid w:val="000F0DCE"/>
    <w:rsid w:val="000F36D9"/>
    <w:rsid w:val="000F3933"/>
    <w:rsid w:val="000F3AC3"/>
    <w:rsid w:val="000F3BB7"/>
    <w:rsid w:val="000F3BEC"/>
    <w:rsid w:val="000F3D12"/>
    <w:rsid w:val="000F4575"/>
    <w:rsid w:val="000F463A"/>
    <w:rsid w:val="000F46CE"/>
    <w:rsid w:val="000F47D8"/>
    <w:rsid w:val="000F4F88"/>
    <w:rsid w:val="000F5122"/>
    <w:rsid w:val="000F554E"/>
    <w:rsid w:val="000F55C7"/>
    <w:rsid w:val="000F5FC7"/>
    <w:rsid w:val="000F69A8"/>
    <w:rsid w:val="000F726F"/>
    <w:rsid w:val="000F74AC"/>
    <w:rsid w:val="000F76A1"/>
    <w:rsid w:val="000F7950"/>
    <w:rsid w:val="000F797B"/>
    <w:rsid w:val="00100C49"/>
    <w:rsid w:val="00100F75"/>
    <w:rsid w:val="0010110F"/>
    <w:rsid w:val="00102186"/>
    <w:rsid w:val="0010267F"/>
    <w:rsid w:val="001026C1"/>
    <w:rsid w:val="0010292A"/>
    <w:rsid w:val="00102B4C"/>
    <w:rsid w:val="001035A3"/>
    <w:rsid w:val="001041BA"/>
    <w:rsid w:val="0010471D"/>
    <w:rsid w:val="00104E0C"/>
    <w:rsid w:val="00105650"/>
    <w:rsid w:val="001069A8"/>
    <w:rsid w:val="00107075"/>
    <w:rsid w:val="001074F6"/>
    <w:rsid w:val="00107704"/>
    <w:rsid w:val="00110143"/>
    <w:rsid w:val="001103AF"/>
    <w:rsid w:val="001103DD"/>
    <w:rsid w:val="001109A1"/>
    <w:rsid w:val="00110FBD"/>
    <w:rsid w:val="00110FEA"/>
    <w:rsid w:val="0011174A"/>
    <w:rsid w:val="00111AEF"/>
    <w:rsid w:val="00112055"/>
    <w:rsid w:val="00112B18"/>
    <w:rsid w:val="00112D8F"/>
    <w:rsid w:val="001130A1"/>
    <w:rsid w:val="001134AD"/>
    <w:rsid w:val="0011350B"/>
    <w:rsid w:val="00113626"/>
    <w:rsid w:val="00113EAB"/>
    <w:rsid w:val="00115008"/>
    <w:rsid w:val="00116155"/>
    <w:rsid w:val="00116AAA"/>
    <w:rsid w:val="00117EB4"/>
    <w:rsid w:val="00120139"/>
    <w:rsid w:val="0012045E"/>
    <w:rsid w:val="001204CB"/>
    <w:rsid w:val="00120928"/>
    <w:rsid w:val="00120FD1"/>
    <w:rsid w:val="0012135C"/>
    <w:rsid w:val="00121372"/>
    <w:rsid w:val="00121426"/>
    <w:rsid w:val="001219D9"/>
    <w:rsid w:val="00121E83"/>
    <w:rsid w:val="001226B9"/>
    <w:rsid w:val="00122B56"/>
    <w:rsid w:val="0012305E"/>
    <w:rsid w:val="001231C2"/>
    <w:rsid w:val="00123CD0"/>
    <w:rsid w:val="00123D97"/>
    <w:rsid w:val="0012429A"/>
    <w:rsid w:val="001244D7"/>
    <w:rsid w:val="001245EA"/>
    <w:rsid w:val="0012492A"/>
    <w:rsid w:val="001249A2"/>
    <w:rsid w:val="00124C92"/>
    <w:rsid w:val="00125CF1"/>
    <w:rsid w:val="00125FAC"/>
    <w:rsid w:val="00126290"/>
    <w:rsid w:val="0012734C"/>
    <w:rsid w:val="00127F11"/>
    <w:rsid w:val="0013038F"/>
    <w:rsid w:val="001321B9"/>
    <w:rsid w:val="001321EC"/>
    <w:rsid w:val="00132EB2"/>
    <w:rsid w:val="0013323C"/>
    <w:rsid w:val="001336FE"/>
    <w:rsid w:val="00134BB6"/>
    <w:rsid w:val="00134C63"/>
    <w:rsid w:val="0013507B"/>
    <w:rsid w:val="001357B3"/>
    <w:rsid w:val="00135E03"/>
    <w:rsid w:val="0013613A"/>
    <w:rsid w:val="00136177"/>
    <w:rsid w:val="0013624D"/>
    <w:rsid w:val="00136576"/>
    <w:rsid w:val="0013677D"/>
    <w:rsid w:val="00137D89"/>
    <w:rsid w:val="00140C1F"/>
    <w:rsid w:val="00141E18"/>
    <w:rsid w:val="00141EA3"/>
    <w:rsid w:val="0014228D"/>
    <w:rsid w:val="0014297B"/>
    <w:rsid w:val="00143827"/>
    <w:rsid w:val="00143F16"/>
    <w:rsid w:val="001441A2"/>
    <w:rsid w:val="001443D5"/>
    <w:rsid w:val="0014463C"/>
    <w:rsid w:val="0014474E"/>
    <w:rsid w:val="00144DFE"/>
    <w:rsid w:val="001452AF"/>
    <w:rsid w:val="001453E9"/>
    <w:rsid w:val="00145633"/>
    <w:rsid w:val="001456A1"/>
    <w:rsid w:val="001467CA"/>
    <w:rsid w:val="00146E98"/>
    <w:rsid w:val="00147833"/>
    <w:rsid w:val="001503E4"/>
    <w:rsid w:val="001509FC"/>
    <w:rsid w:val="00150A7A"/>
    <w:rsid w:val="00150D87"/>
    <w:rsid w:val="00151232"/>
    <w:rsid w:val="001517E0"/>
    <w:rsid w:val="00152244"/>
    <w:rsid w:val="00152736"/>
    <w:rsid w:val="00152FDC"/>
    <w:rsid w:val="001531D8"/>
    <w:rsid w:val="00153B91"/>
    <w:rsid w:val="00153E56"/>
    <w:rsid w:val="001547E0"/>
    <w:rsid w:val="001549E6"/>
    <w:rsid w:val="001551CB"/>
    <w:rsid w:val="00155E7A"/>
    <w:rsid w:val="00155F5E"/>
    <w:rsid w:val="001566CA"/>
    <w:rsid w:val="00156E75"/>
    <w:rsid w:val="00156EAC"/>
    <w:rsid w:val="0015773D"/>
    <w:rsid w:val="00157C0D"/>
    <w:rsid w:val="00160368"/>
    <w:rsid w:val="001603DD"/>
    <w:rsid w:val="00160FB9"/>
    <w:rsid w:val="00161824"/>
    <w:rsid w:val="00161E2B"/>
    <w:rsid w:val="0016312B"/>
    <w:rsid w:val="001639B3"/>
    <w:rsid w:val="00163C39"/>
    <w:rsid w:val="00164140"/>
    <w:rsid w:val="00164886"/>
    <w:rsid w:val="0016575D"/>
    <w:rsid w:val="00165873"/>
    <w:rsid w:val="0016602F"/>
    <w:rsid w:val="0016717F"/>
    <w:rsid w:val="00167609"/>
    <w:rsid w:val="0016776A"/>
    <w:rsid w:val="00171BA4"/>
    <w:rsid w:val="00171EB0"/>
    <w:rsid w:val="00171FD7"/>
    <w:rsid w:val="001720FB"/>
    <w:rsid w:val="00172D1B"/>
    <w:rsid w:val="001731C6"/>
    <w:rsid w:val="001732A6"/>
    <w:rsid w:val="0017453A"/>
    <w:rsid w:val="00174DDD"/>
    <w:rsid w:val="00174F9D"/>
    <w:rsid w:val="0017534B"/>
    <w:rsid w:val="00175DBC"/>
    <w:rsid w:val="001770A9"/>
    <w:rsid w:val="001773BF"/>
    <w:rsid w:val="001778BD"/>
    <w:rsid w:val="00180ED4"/>
    <w:rsid w:val="0018207B"/>
    <w:rsid w:val="0018229C"/>
    <w:rsid w:val="0018231A"/>
    <w:rsid w:val="00182A7E"/>
    <w:rsid w:val="0018418C"/>
    <w:rsid w:val="001841FF"/>
    <w:rsid w:val="001848A4"/>
    <w:rsid w:val="00184A64"/>
    <w:rsid w:val="0018555A"/>
    <w:rsid w:val="00186318"/>
    <w:rsid w:val="00186343"/>
    <w:rsid w:val="00186611"/>
    <w:rsid w:val="001866CF"/>
    <w:rsid w:val="00186B71"/>
    <w:rsid w:val="00186E85"/>
    <w:rsid w:val="001874BC"/>
    <w:rsid w:val="00187D6F"/>
    <w:rsid w:val="00190404"/>
    <w:rsid w:val="00190702"/>
    <w:rsid w:val="00190AFF"/>
    <w:rsid w:val="0019191B"/>
    <w:rsid w:val="00193B05"/>
    <w:rsid w:val="00193ED2"/>
    <w:rsid w:val="00194027"/>
    <w:rsid w:val="001943C1"/>
    <w:rsid w:val="00194F66"/>
    <w:rsid w:val="00195145"/>
    <w:rsid w:val="0019560C"/>
    <w:rsid w:val="001957A5"/>
    <w:rsid w:val="001961C5"/>
    <w:rsid w:val="00196DBF"/>
    <w:rsid w:val="00196FD1"/>
    <w:rsid w:val="00197649"/>
    <w:rsid w:val="001A035A"/>
    <w:rsid w:val="001A0E3A"/>
    <w:rsid w:val="001A1A5F"/>
    <w:rsid w:val="001A1AC1"/>
    <w:rsid w:val="001A2874"/>
    <w:rsid w:val="001A2CBE"/>
    <w:rsid w:val="001A405F"/>
    <w:rsid w:val="001A406E"/>
    <w:rsid w:val="001A6241"/>
    <w:rsid w:val="001A6404"/>
    <w:rsid w:val="001A6FFB"/>
    <w:rsid w:val="001A7449"/>
    <w:rsid w:val="001A7B34"/>
    <w:rsid w:val="001A7D53"/>
    <w:rsid w:val="001B0D47"/>
    <w:rsid w:val="001B185D"/>
    <w:rsid w:val="001B18E8"/>
    <w:rsid w:val="001B2A96"/>
    <w:rsid w:val="001B2C60"/>
    <w:rsid w:val="001B3B5C"/>
    <w:rsid w:val="001B3E34"/>
    <w:rsid w:val="001B493E"/>
    <w:rsid w:val="001B50E8"/>
    <w:rsid w:val="001B6806"/>
    <w:rsid w:val="001B7050"/>
    <w:rsid w:val="001B7627"/>
    <w:rsid w:val="001B7F84"/>
    <w:rsid w:val="001C0A78"/>
    <w:rsid w:val="001C224B"/>
    <w:rsid w:val="001C23B6"/>
    <w:rsid w:val="001C2453"/>
    <w:rsid w:val="001C2757"/>
    <w:rsid w:val="001C2AAD"/>
    <w:rsid w:val="001C3522"/>
    <w:rsid w:val="001C3639"/>
    <w:rsid w:val="001C376A"/>
    <w:rsid w:val="001C3797"/>
    <w:rsid w:val="001C4BCB"/>
    <w:rsid w:val="001C571F"/>
    <w:rsid w:val="001C5AA5"/>
    <w:rsid w:val="001C6034"/>
    <w:rsid w:val="001C7008"/>
    <w:rsid w:val="001D0294"/>
    <w:rsid w:val="001D101A"/>
    <w:rsid w:val="001D1B87"/>
    <w:rsid w:val="001D260D"/>
    <w:rsid w:val="001D2F69"/>
    <w:rsid w:val="001D304C"/>
    <w:rsid w:val="001D3BF4"/>
    <w:rsid w:val="001D4975"/>
    <w:rsid w:val="001D4E08"/>
    <w:rsid w:val="001D5329"/>
    <w:rsid w:val="001D633B"/>
    <w:rsid w:val="001D6EAF"/>
    <w:rsid w:val="001D758B"/>
    <w:rsid w:val="001D78E6"/>
    <w:rsid w:val="001D796B"/>
    <w:rsid w:val="001D7E39"/>
    <w:rsid w:val="001E0BDC"/>
    <w:rsid w:val="001E1A3D"/>
    <w:rsid w:val="001E1C35"/>
    <w:rsid w:val="001E1DB1"/>
    <w:rsid w:val="001E1E8D"/>
    <w:rsid w:val="001E27D4"/>
    <w:rsid w:val="001E2975"/>
    <w:rsid w:val="001E3151"/>
    <w:rsid w:val="001E3A03"/>
    <w:rsid w:val="001E3A14"/>
    <w:rsid w:val="001E3C0B"/>
    <w:rsid w:val="001E409D"/>
    <w:rsid w:val="001E457A"/>
    <w:rsid w:val="001E45CF"/>
    <w:rsid w:val="001E4E3F"/>
    <w:rsid w:val="001E4E8E"/>
    <w:rsid w:val="001E52D0"/>
    <w:rsid w:val="001E64D3"/>
    <w:rsid w:val="001E6808"/>
    <w:rsid w:val="001F1784"/>
    <w:rsid w:val="001F18BE"/>
    <w:rsid w:val="001F2767"/>
    <w:rsid w:val="001F2984"/>
    <w:rsid w:val="001F29F4"/>
    <w:rsid w:val="001F2A35"/>
    <w:rsid w:val="001F2E7D"/>
    <w:rsid w:val="001F3419"/>
    <w:rsid w:val="001F3960"/>
    <w:rsid w:val="001F47DE"/>
    <w:rsid w:val="001F6286"/>
    <w:rsid w:val="001F643F"/>
    <w:rsid w:val="001F6507"/>
    <w:rsid w:val="001F6FB0"/>
    <w:rsid w:val="0020104C"/>
    <w:rsid w:val="0020265B"/>
    <w:rsid w:val="002029EB"/>
    <w:rsid w:val="0020343A"/>
    <w:rsid w:val="0020384F"/>
    <w:rsid w:val="00204E01"/>
    <w:rsid w:val="002052C9"/>
    <w:rsid w:val="00205996"/>
    <w:rsid w:val="00205CDB"/>
    <w:rsid w:val="00206098"/>
    <w:rsid w:val="0020676F"/>
    <w:rsid w:val="002067C3"/>
    <w:rsid w:val="002067F6"/>
    <w:rsid w:val="002076F6"/>
    <w:rsid w:val="0021001A"/>
    <w:rsid w:val="002104C4"/>
    <w:rsid w:val="002111C6"/>
    <w:rsid w:val="0021138E"/>
    <w:rsid w:val="00211929"/>
    <w:rsid w:val="00211F10"/>
    <w:rsid w:val="002125AC"/>
    <w:rsid w:val="00212759"/>
    <w:rsid w:val="00212E51"/>
    <w:rsid w:val="00214C55"/>
    <w:rsid w:val="00215994"/>
    <w:rsid w:val="00217258"/>
    <w:rsid w:val="0021766C"/>
    <w:rsid w:val="00217ED5"/>
    <w:rsid w:val="002204E8"/>
    <w:rsid w:val="00220C98"/>
    <w:rsid w:val="00220EDF"/>
    <w:rsid w:val="00220FB8"/>
    <w:rsid w:val="002232BE"/>
    <w:rsid w:val="002232DF"/>
    <w:rsid w:val="0022344B"/>
    <w:rsid w:val="002234D3"/>
    <w:rsid w:val="002240BD"/>
    <w:rsid w:val="00224364"/>
    <w:rsid w:val="0022546F"/>
    <w:rsid w:val="00225D45"/>
    <w:rsid w:val="00226292"/>
    <w:rsid w:val="00227335"/>
    <w:rsid w:val="002308FC"/>
    <w:rsid w:val="002337CE"/>
    <w:rsid w:val="00233E13"/>
    <w:rsid w:val="002347AD"/>
    <w:rsid w:val="00234FDE"/>
    <w:rsid w:val="0023559D"/>
    <w:rsid w:val="002355AF"/>
    <w:rsid w:val="00235A15"/>
    <w:rsid w:val="00235A2D"/>
    <w:rsid w:val="00235D76"/>
    <w:rsid w:val="00236060"/>
    <w:rsid w:val="00237B9D"/>
    <w:rsid w:val="00237D8C"/>
    <w:rsid w:val="00237DF5"/>
    <w:rsid w:val="00240E27"/>
    <w:rsid w:val="002411E2"/>
    <w:rsid w:val="002415BE"/>
    <w:rsid w:val="00241FA6"/>
    <w:rsid w:val="0024225B"/>
    <w:rsid w:val="00242299"/>
    <w:rsid w:val="00242724"/>
    <w:rsid w:val="00242945"/>
    <w:rsid w:val="00242C8B"/>
    <w:rsid w:val="00242F94"/>
    <w:rsid w:val="00243195"/>
    <w:rsid w:val="0024340E"/>
    <w:rsid w:val="00243846"/>
    <w:rsid w:val="0024434B"/>
    <w:rsid w:val="00244909"/>
    <w:rsid w:val="00244EF3"/>
    <w:rsid w:val="00245555"/>
    <w:rsid w:val="002456A9"/>
    <w:rsid w:val="00245CA7"/>
    <w:rsid w:val="00245F7E"/>
    <w:rsid w:val="0024603F"/>
    <w:rsid w:val="00246EFC"/>
    <w:rsid w:val="002475B4"/>
    <w:rsid w:val="00247D11"/>
    <w:rsid w:val="00250155"/>
    <w:rsid w:val="0025091E"/>
    <w:rsid w:val="00250B0B"/>
    <w:rsid w:val="00250C16"/>
    <w:rsid w:val="002513CF"/>
    <w:rsid w:val="00251E11"/>
    <w:rsid w:val="002522A3"/>
    <w:rsid w:val="0025239B"/>
    <w:rsid w:val="0025248E"/>
    <w:rsid w:val="00252BB1"/>
    <w:rsid w:val="002531A7"/>
    <w:rsid w:val="0025339F"/>
    <w:rsid w:val="00253EF2"/>
    <w:rsid w:val="002545C3"/>
    <w:rsid w:val="00254C81"/>
    <w:rsid w:val="00255C8F"/>
    <w:rsid w:val="002562DF"/>
    <w:rsid w:val="00256590"/>
    <w:rsid w:val="00256C1E"/>
    <w:rsid w:val="00256C6B"/>
    <w:rsid w:val="00256C7B"/>
    <w:rsid w:val="00257CE9"/>
    <w:rsid w:val="00257EE2"/>
    <w:rsid w:val="002609D9"/>
    <w:rsid w:val="00260B8A"/>
    <w:rsid w:val="00262952"/>
    <w:rsid w:val="00262EEB"/>
    <w:rsid w:val="002636A3"/>
    <w:rsid w:val="0026393B"/>
    <w:rsid w:val="00263CAE"/>
    <w:rsid w:val="0026478D"/>
    <w:rsid w:val="00264963"/>
    <w:rsid w:val="00264CBC"/>
    <w:rsid w:val="002650CB"/>
    <w:rsid w:val="00265143"/>
    <w:rsid w:val="00265A27"/>
    <w:rsid w:val="00266BB5"/>
    <w:rsid w:val="002672B5"/>
    <w:rsid w:val="0027031F"/>
    <w:rsid w:val="00270C9C"/>
    <w:rsid w:val="00270CB8"/>
    <w:rsid w:val="0027128C"/>
    <w:rsid w:val="0027140E"/>
    <w:rsid w:val="00271E9E"/>
    <w:rsid w:val="00272177"/>
    <w:rsid w:val="0027232E"/>
    <w:rsid w:val="00272BD3"/>
    <w:rsid w:val="00272EAF"/>
    <w:rsid w:val="002730E1"/>
    <w:rsid w:val="00273580"/>
    <w:rsid w:val="002743E7"/>
    <w:rsid w:val="002747D7"/>
    <w:rsid w:val="00274B4A"/>
    <w:rsid w:val="00274E13"/>
    <w:rsid w:val="00275182"/>
    <w:rsid w:val="0027536D"/>
    <w:rsid w:val="002755C5"/>
    <w:rsid w:val="002760F6"/>
    <w:rsid w:val="00276128"/>
    <w:rsid w:val="00276E3B"/>
    <w:rsid w:val="002771D9"/>
    <w:rsid w:val="0027727C"/>
    <w:rsid w:val="0027728F"/>
    <w:rsid w:val="00277DE7"/>
    <w:rsid w:val="00280268"/>
    <w:rsid w:val="00280963"/>
    <w:rsid w:val="00280A8C"/>
    <w:rsid w:val="002823EA"/>
    <w:rsid w:val="00283294"/>
    <w:rsid w:val="00283D87"/>
    <w:rsid w:val="00284063"/>
    <w:rsid w:val="00285413"/>
    <w:rsid w:val="002854FF"/>
    <w:rsid w:val="0028600E"/>
    <w:rsid w:val="00286F10"/>
    <w:rsid w:val="002903B3"/>
    <w:rsid w:val="002906DB"/>
    <w:rsid w:val="00290E4A"/>
    <w:rsid w:val="00290FA1"/>
    <w:rsid w:val="00291609"/>
    <w:rsid w:val="00291793"/>
    <w:rsid w:val="00292091"/>
    <w:rsid w:val="00292713"/>
    <w:rsid w:val="00293AF8"/>
    <w:rsid w:val="00293C5A"/>
    <w:rsid w:val="00294845"/>
    <w:rsid w:val="00294E1B"/>
    <w:rsid w:val="002959B9"/>
    <w:rsid w:val="00295AE5"/>
    <w:rsid w:val="00295F3C"/>
    <w:rsid w:val="0029606B"/>
    <w:rsid w:val="00297201"/>
    <w:rsid w:val="0029721E"/>
    <w:rsid w:val="00297769"/>
    <w:rsid w:val="002978FB"/>
    <w:rsid w:val="00297B86"/>
    <w:rsid w:val="002A082E"/>
    <w:rsid w:val="002A0C0D"/>
    <w:rsid w:val="002A1620"/>
    <w:rsid w:val="002A17A1"/>
    <w:rsid w:val="002A1AC8"/>
    <w:rsid w:val="002A22DF"/>
    <w:rsid w:val="002A23C6"/>
    <w:rsid w:val="002A2722"/>
    <w:rsid w:val="002A28D5"/>
    <w:rsid w:val="002A291D"/>
    <w:rsid w:val="002A2931"/>
    <w:rsid w:val="002A387D"/>
    <w:rsid w:val="002A47AF"/>
    <w:rsid w:val="002A4AA1"/>
    <w:rsid w:val="002A5E59"/>
    <w:rsid w:val="002A6028"/>
    <w:rsid w:val="002A6970"/>
    <w:rsid w:val="002A70C5"/>
    <w:rsid w:val="002B007D"/>
    <w:rsid w:val="002B044C"/>
    <w:rsid w:val="002B06D3"/>
    <w:rsid w:val="002B0A41"/>
    <w:rsid w:val="002B27B6"/>
    <w:rsid w:val="002B2841"/>
    <w:rsid w:val="002B2A0B"/>
    <w:rsid w:val="002B3A13"/>
    <w:rsid w:val="002B44FF"/>
    <w:rsid w:val="002B4567"/>
    <w:rsid w:val="002B4E01"/>
    <w:rsid w:val="002B54A2"/>
    <w:rsid w:val="002B6D96"/>
    <w:rsid w:val="002B6FB5"/>
    <w:rsid w:val="002B7143"/>
    <w:rsid w:val="002B7596"/>
    <w:rsid w:val="002B78FB"/>
    <w:rsid w:val="002B7F91"/>
    <w:rsid w:val="002C0881"/>
    <w:rsid w:val="002C0AE1"/>
    <w:rsid w:val="002C0C8A"/>
    <w:rsid w:val="002C1394"/>
    <w:rsid w:val="002C169A"/>
    <w:rsid w:val="002C2EFE"/>
    <w:rsid w:val="002C3470"/>
    <w:rsid w:val="002C3B1F"/>
    <w:rsid w:val="002C3D28"/>
    <w:rsid w:val="002C4664"/>
    <w:rsid w:val="002C4A4A"/>
    <w:rsid w:val="002C4FBA"/>
    <w:rsid w:val="002C5270"/>
    <w:rsid w:val="002C58B7"/>
    <w:rsid w:val="002C6526"/>
    <w:rsid w:val="002C689E"/>
    <w:rsid w:val="002C6D88"/>
    <w:rsid w:val="002C7182"/>
    <w:rsid w:val="002D0A99"/>
    <w:rsid w:val="002D0B54"/>
    <w:rsid w:val="002D1BF7"/>
    <w:rsid w:val="002D1F7F"/>
    <w:rsid w:val="002D2497"/>
    <w:rsid w:val="002D2890"/>
    <w:rsid w:val="002D2908"/>
    <w:rsid w:val="002D2C0E"/>
    <w:rsid w:val="002D2E33"/>
    <w:rsid w:val="002D2EF1"/>
    <w:rsid w:val="002D3667"/>
    <w:rsid w:val="002D494C"/>
    <w:rsid w:val="002D4A59"/>
    <w:rsid w:val="002D581B"/>
    <w:rsid w:val="002D5895"/>
    <w:rsid w:val="002D5BA4"/>
    <w:rsid w:val="002D678B"/>
    <w:rsid w:val="002D6A47"/>
    <w:rsid w:val="002E2782"/>
    <w:rsid w:val="002E3064"/>
    <w:rsid w:val="002E3501"/>
    <w:rsid w:val="002E37D5"/>
    <w:rsid w:val="002E43FD"/>
    <w:rsid w:val="002E4560"/>
    <w:rsid w:val="002E46A7"/>
    <w:rsid w:val="002E46C2"/>
    <w:rsid w:val="002E55F4"/>
    <w:rsid w:val="002E5B79"/>
    <w:rsid w:val="002E5D49"/>
    <w:rsid w:val="002E618E"/>
    <w:rsid w:val="002E62BD"/>
    <w:rsid w:val="002E67E8"/>
    <w:rsid w:val="002E68EA"/>
    <w:rsid w:val="002E6973"/>
    <w:rsid w:val="002E7045"/>
    <w:rsid w:val="002E720C"/>
    <w:rsid w:val="002E76A1"/>
    <w:rsid w:val="002F01EB"/>
    <w:rsid w:val="002F0674"/>
    <w:rsid w:val="002F0774"/>
    <w:rsid w:val="002F13A2"/>
    <w:rsid w:val="002F1591"/>
    <w:rsid w:val="002F40D4"/>
    <w:rsid w:val="002F46BB"/>
    <w:rsid w:val="002F4BB7"/>
    <w:rsid w:val="002F4D9A"/>
    <w:rsid w:val="002F5623"/>
    <w:rsid w:val="002F60F6"/>
    <w:rsid w:val="002F6681"/>
    <w:rsid w:val="002F6870"/>
    <w:rsid w:val="002F698E"/>
    <w:rsid w:val="002F6C8C"/>
    <w:rsid w:val="002FDBE7"/>
    <w:rsid w:val="0030093F"/>
    <w:rsid w:val="00300D85"/>
    <w:rsid w:val="00300FC0"/>
    <w:rsid w:val="00301972"/>
    <w:rsid w:val="003027EC"/>
    <w:rsid w:val="00302D4F"/>
    <w:rsid w:val="00303045"/>
    <w:rsid w:val="00303368"/>
    <w:rsid w:val="00304110"/>
    <w:rsid w:val="00304426"/>
    <w:rsid w:val="00304CA5"/>
    <w:rsid w:val="00305B58"/>
    <w:rsid w:val="00305CF1"/>
    <w:rsid w:val="00305D24"/>
    <w:rsid w:val="00306104"/>
    <w:rsid w:val="00307994"/>
    <w:rsid w:val="0031008C"/>
    <w:rsid w:val="00310245"/>
    <w:rsid w:val="0031105E"/>
    <w:rsid w:val="003114FF"/>
    <w:rsid w:val="00311729"/>
    <w:rsid w:val="003119BA"/>
    <w:rsid w:val="003123B9"/>
    <w:rsid w:val="00313499"/>
    <w:rsid w:val="00313F47"/>
    <w:rsid w:val="00314399"/>
    <w:rsid w:val="00314877"/>
    <w:rsid w:val="00314978"/>
    <w:rsid w:val="003153FC"/>
    <w:rsid w:val="003169E0"/>
    <w:rsid w:val="003175B8"/>
    <w:rsid w:val="003176C9"/>
    <w:rsid w:val="00317984"/>
    <w:rsid w:val="00317C7C"/>
    <w:rsid w:val="003201DB"/>
    <w:rsid w:val="003202A0"/>
    <w:rsid w:val="00320986"/>
    <w:rsid w:val="00320A67"/>
    <w:rsid w:val="00320CB3"/>
    <w:rsid w:val="00321067"/>
    <w:rsid w:val="00321BB9"/>
    <w:rsid w:val="00321F97"/>
    <w:rsid w:val="0032226B"/>
    <w:rsid w:val="003224B1"/>
    <w:rsid w:val="00323E28"/>
    <w:rsid w:val="00325542"/>
    <w:rsid w:val="00325C5E"/>
    <w:rsid w:val="0032651A"/>
    <w:rsid w:val="003270AA"/>
    <w:rsid w:val="00327728"/>
    <w:rsid w:val="003302CC"/>
    <w:rsid w:val="0033094D"/>
    <w:rsid w:val="00330ABC"/>
    <w:rsid w:val="00330BFA"/>
    <w:rsid w:val="00331C7E"/>
    <w:rsid w:val="003334D6"/>
    <w:rsid w:val="0033361A"/>
    <w:rsid w:val="00333A5F"/>
    <w:rsid w:val="00333B33"/>
    <w:rsid w:val="00333C8C"/>
    <w:rsid w:val="00334207"/>
    <w:rsid w:val="0033426C"/>
    <w:rsid w:val="003342F2"/>
    <w:rsid w:val="00334E2A"/>
    <w:rsid w:val="00335174"/>
    <w:rsid w:val="003355FE"/>
    <w:rsid w:val="00335CBD"/>
    <w:rsid w:val="0033686C"/>
    <w:rsid w:val="0033691F"/>
    <w:rsid w:val="00336E96"/>
    <w:rsid w:val="003378FD"/>
    <w:rsid w:val="00340B27"/>
    <w:rsid w:val="00340CA5"/>
    <w:rsid w:val="0034108A"/>
    <w:rsid w:val="00341954"/>
    <w:rsid w:val="00341D50"/>
    <w:rsid w:val="003427B6"/>
    <w:rsid w:val="003429F6"/>
    <w:rsid w:val="00342FEA"/>
    <w:rsid w:val="00343680"/>
    <w:rsid w:val="00343879"/>
    <w:rsid w:val="00344119"/>
    <w:rsid w:val="00344704"/>
    <w:rsid w:val="00344CA5"/>
    <w:rsid w:val="00344E06"/>
    <w:rsid w:val="0034517B"/>
    <w:rsid w:val="00345474"/>
    <w:rsid w:val="00345CB3"/>
    <w:rsid w:val="00346260"/>
    <w:rsid w:val="00346A20"/>
    <w:rsid w:val="00347985"/>
    <w:rsid w:val="00347AF3"/>
    <w:rsid w:val="003503EB"/>
    <w:rsid w:val="00350E06"/>
    <w:rsid w:val="003516A4"/>
    <w:rsid w:val="00351868"/>
    <w:rsid w:val="00352110"/>
    <w:rsid w:val="003529AC"/>
    <w:rsid w:val="00352BA7"/>
    <w:rsid w:val="00353068"/>
    <w:rsid w:val="00353D14"/>
    <w:rsid w:val="00353E9A"/>
    <w:rsid w:val="00354171"/>
    <w:rsid w:val="00354409"/>
    <w:rsid w:val="00354E96"/>
    <w:rsid w:val="00356020"/>
    <w:rsid w:val="00356176"/>
    <w:rsid w:val="0035687B"/>
    <w:rsid w:val="00356AAC"/>
    <w:rsid w:val="00357557"/>
    <w:rsid w:val="00357929"/>
    <w:rsid w:val="00357A69"/>
    <w:rsid w:val="00360738"/>
    <w:rsid w:val="00360A69"/>
    <w:rsid w:val="003614E2"/>
    <w:rsid w:val="00361723"/>
    <w:rsid w:val="003617C4"/>
    <w:rsid w:val="00361825"/>
    <w:rsid w:val="00361C9D"/>
    <w:rsid w:val="003623FC"/>
    <w:rsid w:val="003624B3"/>
    <w:rsid w:val="00362505"/>
    <w:rsid w:val="00363125"/>
    <w:rsid w:val="00363F4C"/>
    <w:rsid w:val="00364923"/>
    <w:rsid w:val="00364FEE"/>
    <w:rsid w:val="00365207"/>
    <w:rsid w:val="00365A6D"/>
    <w:rsid w:val="00365B12"/>
    <w:rsid w:val="003663B6"/>
    <w:rsid w:val="003665D1"/>
    <w:rsid w:val="003668EB"/>
    <w:rsid w:val="003672DE"/>
    <w:rsid w:val="003701FB"/>
    <w:rsid w:val="003714CF"/>
    <w:rsid w:val="003714DA"/>
    <w:rsid w:val="003722C1"/>
    <w:rsid w:val="003724EA"/>
    <w:rsid w:val="00372520"/>
    <w:rsid w:val="0037268B"/>
    <w:rsid w:val="00372758"/>
    <w:rsid w:val="00373A74"/>
    <w:rsid w:val="00374C59"/>
    <w:rsid w:val="00374CDF"/>
    <w:rsid w:val="00374FA9"/>
    <w:rsid w:val="003755B9"/>
    <w:rsid w:val="0037581E"/>
    <w:rsid w:val="0037667A"/>
    <w:rsid w:val="00377B4A"/>
    <w:rsid w:val="003804EB"/>
    <w:rsid w:val="0038096E"/>
    <w:rsid w:val="00380D63"/>
    <w:rsid w:val="003810CB"/>
    <w:rsid w:val="00381989"/>
    <w:rsid w:val="00381B79"/>
    <w:rsid w:val="00381E2D"/>
    <w:rsid w:val="003823DF"/>
    <w:rsid w:val="00382A7A"/>
    <w:rsid w:val="003832EB"/>
    <w:rsid w:val="00383A38"/>
    <w:rsid w:val="00383D42"/>
    <w:rsid w:val="003849FC"/>
    <w:rsid w:val="0038518B"/>
    <w:rsid w:val="0038528A"/>
    <w:rsid w:val="003855F8"/>
    <w:rsid w:val="00385772"/>
    <w:rsid w:val="0038588A"/>
    <w:rsid w:val="00385CF5"/>
    <w:rsid w:val="00386198"/>
    <w:rsid w:val="00386E26"/>
    <w:rsid w:val="00387F7C"/>
    <w:rsid w:val="00390A6B"/>
    <w:rsid w:val="00390FDC"/>
    <w:rsid w:val="00391282"/>
    <w:rsid w:val="00391345"/>
    <w:rsid w:val="003922D4"/>
    <w:rsid w:val="00393928"/>
    <w:rsid w:val="00393930"/>
    <w:rsid w:val="003947A5"/>
    <w:rsid w:val="0039520A"/>
    <w:rsid w:val="0039564A"/>
    <w:rsid w:val="003961E6"/>
    <w:rsid w:val="00396321"/>
    <w:rsid w:val="0039634D"/>
    <w:rsid w:val="00396A65"/>
    <w:rsid w:val="003A121D"/>
    <w:rsid w:val="003A13F2"/>
    <w:rsid w:val="003A1573"/>
    <w:rsid w:val="003A1D31"/>
    <w:rsid w:val="003A1EAB"/>
    <w:rsid w:val="003A1F1D"/>
    <w:rsid w:val="003A2AB5"/>
    <w:rsid w:val="003A5183"/>
    <w:rsid w:val="003A57DC"/>
    <w:rsid w:val="003A6B30"/>
    <w:rsid w:val="003A6B6F"/>
    <w:rsid w:val="003A6EA8"/>
    <w:rsid w:val="003A7701"/>
    <w:rsid w:val="003A78B7"/>
    <w:rsid w:val="003B016A"/>
    <w:rsid w:val="003B04A1"/>
    <w:rsid w:val="003B0BDF"/>
    <w:rsid w:val="003B0F44"/>
    <w:rsid w:val="003B10DB"/>
    <w:rsid w:val="003B147F"/>
    <w:rsid w:val="003B15E9"/>
    <w:rsid w:val="003B16D1"/>
    <w:rsid w:val="003B1D01"/>
    <w:rsid w:val="003B2864"/>
    <w:rsid w:val="003B290A"/>
    <w:rsid w:val="003B2E08"/>
    <w:rsid w:val="003B3A7F"/>
    <w:rsid w:val="003B3C3E"/>
    <w:rsid w:val="003B3C7C"/>
    <w:rsid w:val="003B3D42"/>
    <w:rsid w:val="003B4A72"/>
    <w:rsid w:val="003B5A66"/>
    <w:rsid w:val="003B61CB"/>
    <w:rsid w:val="003B6B7E"/>
    <w:rsid w:val="003B6E59"/>
    <w:rsid w:val="003B7448"/>
    <w:rsid w:val="003B75D8"/>
    <w:rsid w:val="003C00C8"/>
    <w:rsid w:val="003C0E5D"/>
    <w:rsid w:val="003C179F"/>
    <w:rsid w:val="003C21F3"/>
    <w:rsid w:val="003C2EEF"/>
    <w:rsid w:val="003C3BBE"/>
    <w:rsid w:val="003C4181"/>
    <w:rsid w:val="003C445B"/>
    <w:rsid w:val="003C4CC3"/>
    <w:rsid w:val="003C7009"/>
    <w:rsid w:val="003C712C"/>
    <w:rsid w:val="003C7546"/>
    <w:rsid w:val="003C76C5"/>
    <w:rsid w:val="003D0B59"/>
    <w:rsid w:val="003D1377"/>
    <w:rsid w:val="003D1536"/>
    <w:rsid w:val="003D1744"/>
    <w:rsid w:val="003D23B1"/>
    <w:rsid w:val="003D273A"/>
    <w:rsid w:val="003D2D36"/>
    <w:rsid w:val="003D2ECA"/>
    <w:rsid w:val="003D39C0"/>
    <w:rsid w:val="003D454F"/>
    <w:rsid w:val="003D45B3"/>
    <w:rsid w:val="003D4B7C"/>
    <w:rsid w:val="003D4BF5"/>
    <w:rsid w:val="003D591B"/>
    <w:rsid w:val="003D64EF"/>
    <w:rsid w:val="003D6A04"/>
    <w:rsid w:val="003D6DFC"/>
    <w:rsid w:val="003D6E68"/>
    <w:rsid w:val="003D777C"/>
    <w:rsid w:val="003D77F8"/>
    <w:rsid w:val="003E1126"/>
    <w:rsid w:val="003E1638"/>
    <w:rsid w:val="003E1D61"/>
    <w:rsid w:val="003E22FB"/>
    <w:rsid w:val="003E3D6B"/>
    <w:rsid w:val="003E48CC"/>
    <w:rsid w:val="003E497A"/>
    <w:rsid w:val="003E4E8B"/>
    <w:rsid w:val="003E4FB1"/>
    <w:rsid w:val="003E69AA"/>
    <w:rsid w:val="003E779F"/>
    <w:rsid w:val="003E7D64"/>
    <w:rsid w:val="003E7FD2"/>
    <w:rsid w:val="003F0CD5"/>
    <w:rsid w:val="003F1183"/>
    <w:rsid w:val="003F1E93"/>
    <w:rsid w:val="003F373D"/>
    <w:rsid w:val="003F40AA"/>
    <w:rsid w:val="003F4D5E"/>
    <w:rsid w:val="003F4DD9"/>
    <w:rsid w:val="003F5920"/>
    <w:rsid w:val="003F67C3"/>
    <w:rsid w:val="003F7615"/>
    <w:rsid w:val="003F7C17"/>
    <w:rsid w:val="00400192"/>
    <w:rsid w:val="004006B8"/>
    <w:rsid w:val="00400A00"/>
    <w:rsid w:val="00400B50"/>
    <w:rsid w:val="00401A2E"/>
    <w:rsid w:val="00401B00"/>
    <w:rsid w:val="00401B4F"/>
    <w:rsid w:val="00402D19"/>
    <w:rsid w:val="00403CEF"/>
    <w:rsid w:val="00404180"/>
    <w:rsid w:val="00405AE9"/>
    <w:rsid w:val="00406049"/>
    <w:rsid w:val="004062A7"/>
    <w:rsid w:val="004066FD"/>
    <w:rsid w:val="00406F8C"/>
    <w:rsid w:val="00407AB7"/>
    <w:rsid w:val="00407BC2"/>
    <w:rsid w:val="00407E39"/>
    <w:rsid w:val="00410589"/>
    <w:rsid w:val="0041082E"/>
    <w:rsid w:val="00411434"/>
    <w:rsid w:val="00411F89"/>
    <w:rsid w:val="00411FEF"/>
    <w:rsid w:val="00412D5B"/>
    <w:rsid w:val="00412E3B"/>
    <w:rsid w:val="00413099"/>
    <w:rsid w:val="00414185"/>
    <w:rsid w:val="004142F8"/>
    <w:rsid w:val="0041461E"/>
    <w:rsid w:val="004146FA"/>
    <w:rsid w:val="00414C33"/>
    <w:rsid w:val="00415215"/>
    <w:rsid w:val="0041748C"/>
    <w:rsid w:val="00417D67"/>
    <w:rsid w:val="00417EBB"/>
    <w:rsid w:val="00417F18"/>
    <w:rsid w:val="00420300"/>
    <w:rsid w:val="00421294"/>
    <w:rsid w:val="00422604"/>
    <w:rsid w:val="00423AD8"/>
    <w:rsid w:val="00423E0F"/>
    <w:rsid w:val="0042450E"/>
    <w:rsid w:val="00424A6D"/>
    <w:rsid w:val="00424AA3"/>
    <w:rsid w:val="00424B7F"/>
    <w:rsid w:val="00425825"/>
    <w:rsid w:val="00425875"/>
    <w:rsid w:val="004258F9"/>
    <w:rsid w:val="00425D48"/>
    <w:rsid w:val="00425F58"/>
    <w:rsid w:val="0042686A"/>
    <w:rsid w:val="0042699D"/>
    <w:rsid w:val="00426BB1"/>
    <w:rsid w:val="00426F65"/>
    <w:rsid w:val="00427092"/>
    <w:rsid w:val="00431190"/>
    <w:rsid w:val="004317EB"/>
    <w:rsid w:val="00431EE3"/>
    <w:rsid w:val="00431F84"/>
    <w:rsid w:val="004331B8"/>
    <w:rsid w:val="00434836"/>
    <w:rsid w:val="00434F6C"/>
    <w:rsid w:val="00434F93"/>
    <w:rsid w:val="00435404"/>
    <w:rsid w:val="004354E3"/>
    <w:rsid w:val="00435849"/>
    <w:rsid w:val="00435905"/>
    <w:rsid w:val="00435AA6"/>
    <w:rsid w:val="00435E2C"/>
    <w:rsid w:val="00436A4D"/>
    <w:rsid w:val="004376FA"/>
    <w:rsid w:val="0043790A"/>
    <w:rsid w:val="00437B6A"/>
    <w:rsid w:val="0044015D"/>
    <w:rsid w:val="00440566"/>
    <w:rsid w:val="004411CF"/>
    <w:rsid w:val="00441A58"/>
    <w:rsid w:val="00442E2E"/>
    <w:rsid w:val="00442EDF"/>
    <w:rsid w:val="00443031"/>
    <w:rsid w:val="0044341A"/>
    <w:rsid w:val="00443C5E"/>
    <w:rsid w:val="0044432D"/>
    <w:rsid w:val="00444400"/>
    <w:rsid w:val="00444674"/>
    <w:rsid w:val="00445060"/>
    <w:rsid w:val="0044562C"/>
    <w:rsid w:val="00445648"/>
    <w:rsid w:val="00445A15"/>
    <w:rsid w:val="0044664A"/>
    <w:rsid w:val="00447628"/>
    <w:rsid w:val="004477E6"/>
    <w:rsid w:val="00447F67"/>
    <w:rsid w:val="00450058"/>
    <w:rsid w:val="004503BD"/>
    <w:rsid w:val="004503F5"/>
    <w:rsid w:val="0045048E"/>
    <w:rsid w:val="004505D9"/>
    <w:rsid w:val="00450FEB"/>
    <w:rsid w:val="00451194"/>
    <w:rsid w:val="00451336"/>
    <w:rsid w:val="00451C56"/>
    <w:rsid w:val="00451CFB"/>
    <w:rsid w:val="00451D2E"/>
    <w:rsid w:val="00452A42"/>
    <w:rsid w:val="004549A9"/>
    <w:rsid w:val="00454DEE"/>
    <w:rsid w:val="00454E78"/>
    <w:rsid w:val="00455B90"/>
    <w:rsid w:val="00456015"/>
    <w:rsid w:val="004563CC"/>
    <w:rsid w:val="004569ED"/>
    <w:rsid w:val="00456BF0"/>
    <w:rsid w:val="00456D1A"/>
    <w:rsid w:val="004575BF"/>
    <w:rsid w:val="00457F98"/>
    <w:rsid w:val="00460403"/>
    <w:rsid w:val="00460954"/>
    <w:rsid w:val="00461276"/>
    <w:rsid w:val="004617CE"/>
    <w:rsid w:val="004619EC"/>
    <w:rsid w:val="0046221C"/>
    <w:rsid w:val="00463097"/>
    <w:rsid w:val="00463253"/>
    <w:rsid w:val="00463B81"/>
    <w:rsid w:val="004644F6"/>
    <w:rsid w:val="0046570A"/>
    <w:rsid w:val="00466061"/>
    <w:rsid w:val="004665E1"/>
    <w:rsid w:val="00466D80"/>
    <w:rsid w:val="00467D12"/>
    <w:rsid w:val="00470168"/>
    <w:rsid w:val="00470C7B"/>
    <w:rsid w:val="0047178D"/>
    <w:rsid w:val="00471B54"/>
    <w:rsid w:val="004728F8"/>
    <w:rsid w:val="00474F07"/>
    <w:rsid w:val="00476265"/>
    <w:rsid w:val="004807BF"/>
    <w:rsid w:val="00480BE7"/>
    <w:rsid w:val="00481089"/>
    <w:rsid w:val="00481460"/>
    <w:rsid w:val="0048157F"/>
    <w:rsid w:val="0048172F"/>
    <w:rsid w:val="00481C62"/>
    <w:rsid w:val="0048215B"/>
    <w:rsid w:val="00482B78"/>
    <w:rsid w:val="00482C30"/>
    <w:rsid w:val="00482CB7"/>
    <w:rsid w:val="00482FD4"/>
    <w:rsid w:val="00483A7E"/>
    <w:rsid w:val="00483B8A"/>
    <w:rsid w:val="00483D61"/>
    <w:rsid w:val="00483F31"/>
    <w:rsid w:val="004840F6"/>
    <w:rsid w:val="004841FB"/>
    <w:rsid w:val="00484485"/>
    <w:rsid w:val="00485D03"/>
    <w:rsid w:val="004866DC"/>
    <w:rsid w:val="004875C4"/>
    <w:rsid w:val="00487910"/>
    <w:rsid w:val="00487AC1"/>
    <w:rsid w:val="00487BE0"/>
    <w:rsid w:val="004903CA"/>
    <w:rsid w:val="0049045A"/>
    <w:rsid w:val="004904CB"/>
    <w:rsid w:val="00490537"/>
    <w:rsid w:val="0049094F"/>
    <w:rsid w:val="0049266B"/>
    <w:rsid w:val="00492741"/>
    <w:rsid w:val="004932C7"/>
    <w:rsid w:val="004935D1"/>
    <w:rsid w:val="00493BF8"/>
    <w:rsid w:val="00493F33"/>
    <w:rsid w:val="00493F9D"/>
    <w:rsid w:val="0049408A"/>
    <w:rsid w:val="00494A94"/>
    <w:rsid w:val="00496CCC"/>
    <w:rsid w:val="0049788A"/>
    <w:rsid w:val="00497B10"/>
    <w:rsid w:val="00497BB5"/>
    <w:rsid w:val="004A0010"/>
    <w:rsid w:val="004A02E2"/>
    <w:rsid w:val="004A081F"/>
    <w:rsid w:val="004A0BFE"/>
    <w:rsid w:val="004A194F"/>
    <w:rsid w:val="004A19D7"/>
    <w:rsid w:val="004A1B73"/>
    <w:rsid w:val="004A2120"/>
    <w:rsid w:val="004A2150"/>
    <w:rsid w:val="004A23B3"/>
    <w:rsid w:val="004A2D25"/>
    <w:rsid w:val="004A37EF"/>
    <w:rsid w:val="004A40B4"/>
    <w:rsid w:val="004A4AA9"/>
    <w:rsid w:val="004A4C2C"/>
    <w:rsid w:val="004A4D81"/>
    <w:rsid w:val="004AF4C3"/>
    <w:rsid w:val="004B010B"/>
    <w:rsid w:val="004B0B26"/>
    <w:rsid w:val="004B0B62"/>
    <w:rsid w:val="004B14AE"/>
    <w:rsid w:val="004B14BB"/>
    <w:rsid w:val="004B175C"/>
    <w:rsid w:val="004B1801"/>
    <w:rsid w:val="004B1C99"/>
    <w:rsid w:val="004B2764"/>
    <w:rsid w:val="004B2D21"/>
    <w:rsid w:val="004B3579"/>
    <w:rsid w:val="004B3DFF"/>
    <w:rsid w:val="004B4568"/>
    <w:rsid w:val="004B588D"/>
    <w:rsid w:val="004B5AF7"/>
    <w:rsid w:val="004B603A"/>
    <w:rsid w:val="004B61E3"/>
    <w:rsid w:val="004B6614"/>
    <w:rsid w:val="004B68E3"/>
    <w:rsid w:val="004B6BB0"/>
    <w:rsid w:val="004B6BDB"/>
    <w:rsid w:val="004B6D1F"/>
    <w:rsid w:val="004B77F8"/>
    <w:rsid w:val="004C05C9"/>
    <w:rsid w:val="004C08B7"/>
    <w:rsid w:val="004C1705"/>
    <w:rsid w:val="004C1D94"/>
    <w:rsid w:val="004C1F94"/>
    <w:rsid w:val="004C23DC"/>
    <w:rsid w:val="004C3006"/>
    <w:rsid w:val="004C3194"/>
    <w:rsid w:val="004C32EC"/>
    <w:rsid w:val="004C3378"/>
    <w:rsid w:val="004C3BBF"/>
    <w:rsid w:val="004C50C9"/>
    <w:rsid w:val="004C51E4"/>
    <w:rsid w:val="004C56AB"/>
    <w:rsid w:val="004C63AB"/>
    <w:rsid w:val="004C6640"/>
    <w:rsid w:val="004C76A6"/>
    <w:rsid w:val="004C7DF6"/>
    <w:rsid w:val="004CF894"/>
    <w:rsid w:val="004D035F"/>
    <w:rsid w:val="004D05C4"/>
    <w:rsid w:val="004D05F4"/>
    <w:rsid w:val="004D070B"/>
    <w:rsid w:val="004D14B5"/>
    <w:rsid w:val="004D2F9F"/>
    <w:rsid w:val="004D41DB"/>
    <w:rsid w:val="004D425A"/>
    <w:rsid w:val="004D4D75"/>
    <w:rsid w:val="004D5424"/>
    <w:rsid w:val="004D6112"/>
    <w:rsid w:val="004D64D3"/>
    <w:rsid w:val="004D6A3A"/>
    <w:rsid w:val="004D76C4"/>
    <w:rsid w:val="004D7FC2"/>
    <w:rsid w:val="004E066B"/>
    <w:rsid w:val="004E0AD9"/>
    <w:rsid w:val="004E25FB"/>
    <w:rsid w:val="004E30B5"/>
    <w:rsid w:val="004E3313"/>
    <w:rsid w:val="004E4390"/>
    <w:rsid w:val="004E47C2"/>
    <w:rsid w:val="004E4CD1"/>
    <w:rsid w:val="004E4FB5"/>
    <w:rsid w:val="004E53C9"/>
    <w:rsid w:val="004E5491"/>
    <w:rsid w:val="004E618B"/>
    <w:rsid w:val="004E72EC"/>
    <w:rsid w:val="004E7BDB"/>
    <w:rsid w:val="004F0F60"/>
    <w:rsid w:val="004F16D9"/>
    <w:rsid w:val="004F1B82"/>
    <w:rsid w:val="004F2001"/>
    <w:rsid w:val="004F2EDB"/>
    <w:rsid w:val="004F307D"/>
    <w:rsid w:val="004F3949"/>
    <w:rsid w:val="004F3CF4"/>
    <w:rsid w:val="004F4FDE"/>
    <w:rsid w:val="004F5513"/>
    <w:rsid w:val="004F5676"/>
    <w:rsid w:val="004F5962"/>
    <w:rsid w:val="004F6472"/>
    <w:rsid w:val="004F7855"/>
    <w:rsid w:val="0050018B"/>
    <w:rsid w:val="00500D5B"/>
    <w:rsid w:val="00500E56"/>
    <w:rsid w:val="00500FE1"/>
    <w:rsid w:val="005010CD"/>
    <w:rsid w:val="0050160C"/>
    <w:rsid w:val="005018D8"/>
    <w:rsid w:val="00501C18"/>
    <w:rsid w:val="00501C6A"/>
    <w:rsid w:val="0050239F"/>
    <w:rsid w:val="005028CB"/>
    <w:rsid w:val="00503300"/>
    <w:rsid w:val="0050362D"/>
    <w:rsid w:val="00503FF0"/>
    <w:rsid w:val="00504655"/>
    <w:rsid w:val="00504700"/>
    <w:rsid w:val="00504705"/>
    <w:rsid w:val="00504C97"/>
    <w:rsid w:val="00505907"/>
    <w:rsid w:val="00505C63"/>
    <w:rsid w:val="00505E75"/>
    <w:rsid w:val="00505ECD"/>
    <w:rsid w:val="005065FC"/>
    <w:rsid w:val="00509BCA"/>
    <w:rsid w:val="00512E51"/>
    <w:rsid w:val="00513694"/>
    <w:rsid w:val="00514071"/>
    <w:rsid w:val="0051427B"/>
    <w:rsid w:val="005148B0"/>
    <w:rsid w:val="005148E1"/>
    <w:rsid w:val="00514C23"/>
    <w:rsid w:val="00514CFC"/>
    <w:rsid w:val="00514EEE"/>
    <w:rsid w:val="00515328"/>
    <w:rsid w:val="005162FE"/>
    <w:rsid w:val="00516410"/>
    <w:rsid w:val="00516DCA"/>
    <w:rsid w:val="00516DF8"/>
    <w:rsid w:val="005178DE"/>
    <w:rsid w:val="0051795A"/>
    <w:rsid w:val="0052085C"/>
    <w:rsid w:val="00520DBB"/>
    <w:rsid w:val="0052193D"/>
    <w:rsid w:val="00521E47"/>
    <w:rsid w:val="00521EC8"/>
    <w:rsid w:val="005230CC"/>
    <w:rsid w:val="00523300"/>
    <w:rsid w:val="00523995"/>
    <w:rsid w:val="00523DB2"/>
    <w:rsid w:val="00523F74"/>
    <w:rsid w:val="00524E4F"/>
    <w:rsid w:val="00524E9F"/>
    <w:rsid w:val="005256CE"/>
    <w:rsid w:val="00525DB7"/>
    <w:rsid w:val="00525F6C"/>
    <w:rsid w:val="00526015"/>
    <w:rsid w:val="005263DB"/>
    <w:rsid w:val="005266F9"/>
    <w:rsid w:val="0052698C"/>
    <w:rsid w:val="00526F74"/>
    <w:rsid w:val="00527316"/>
    <w:rsid w:val="00527D9A"/>
    <w:rsid w:val="0053091A"/>
    <w:rsid w:val="00531478"/>
    <w:rsid w:val="00531AB8"/>
    <w:rsid w:val="005328B9"/>
    <w:rsid w:val="00532B63"/>
    <w:rsid w:val="00532C41"/>
    <w:rsid w:val="00532C77"/>
    <w:rsid w:val="00532DAE"/>
    <w:rsid w:val="0053303E"/>
    <w:rsid w:val="00533179"/>
    <w:rsid w:val="005333BC"/>
    <w:rsid w:val="00533FD7"/>
    <w:rsid w:val="00534881"/>
    <w:rsid w:val="005348B8"/>
    <w:rsid w:val="005348D3"/>
    <w:rsid w:val="0053497B"/>
    <w:rsid w:val="005349D6"/>
    <w:rsid w:val="00534AF8"/>
    <w:rsid w:val="00534E7E"/>
    <w:rsid w:val="005353A8"/>
    <w:rsid w:val="00535853"/>
    <w:rsid w:val="0053640E"/>
    <w:rsid w:val="00536978"/>
    <w:rsid w:val="00537319"/>
    <w:rsid w:val="00537683"/>
    <w:rsid w:val="00537901"/>
    <w:rsid w:val="00537C00"/>
    <w:rsid w:val="00537CE3"/>
    <w:rsid w:val="00537D93"/>
    <w:rsid w:val="00540D26"/>
    <w:rsid w:val="00540DD3"/>
    <w:rsid w:val="00540E7C"/>
    <w:rsid w:val="005411B2"/>
    <w:rsid w:val="00541332"/>
    <w:rsid w:val="00541587"/>
    <w:rsid w:val="005415D7"/>
    <w:rsid w:val="005418E5"/>
    <w:rsid w:val="005425F9"/>
    <w:rsid w:val="00542AAD"/>
    <w:rsid w:val="005436FF"/>
    <w:rsid w:val="00543A76"/>
    <w:rsid w:val="0054415E"/>
    <w:rsid w:val="00544902"/>
    <w:rsid w:val="00544CA4"/>
    <w:rsid w:val="00544EC4"/>
    <w:rsid w:val="00545369"/>
    <w:rsid w:val="005460CD"/>
    <w:rsid w:val="005463DA"/>
    <w:rsid w:val="005470A0"/>
    <w:rsid w:val="00550FFE"/>
    <w:rsid w:val="00551751"/>
    <w:rsid w:val="00552411"/>
    <w:rsid w:val="00552716"/>
    <w:rsid w:val="005530D3"/>
    <w:rsid w:val="005534DF"/>
    <w:rsid w:val="00553972"/>
    <w:rsid w:val="0055439A"/>
    <w:rsid w:val="005544F4"/>
    <w:rsid w:val="005567CC"/>
    <w:rsid w:val="00556EF0"/>
    <w:rsid w:val="005575BE"/>
    <w:rsid w:val="00560AE0"/>
    <w:rsid w:val="00560F58"/>
    <w:rsid w:val="00561A5B"/>
    <w:rsid w:val="00561D30"/>
    <w:rsid w:val="00561EE5"/>
    <w:rsid w:val="00562A4F"/>
    <w:rsid w:val="00562AC1"/>
    <w:rsid w:val="00562AF8"/>
    <w:rsid w:val="00562E3D"/>
    <w:rsid w:val="00563357"/>
    <w:rsid w:val="00563732"/>
    <w:rsid w:val="00563EC1"/>
    <w:rsid w:val="00564440"/>
    <w:rsid w:val="00564CAD"/>
    <w:rsid w:val="00565569"/>
    <w:rsid w:val="00565A67"/>
    <w:rsid w:val="005663C3"/>
    <w:rsid w:val="0056686A"/>
    <w:rsid w:val="00566C77"/>
    <w:rsid w:val="0056703B"/>
    <w:rsid w:val="005670F8"/>
    <w:rsid w:val="005672FB"/>
    <w:rsid w:val="0057022E"/>
    <w:rsid w:val="00570358"/>
    <w:rsid w:val="005717FC"/>
    <w:rsid w:val="005718A7"/>
    <w:rsid w:val="00572421"/>
    <w:rsid w:val="00572B7C"/>
    <w:rsid w:val="005737AE"/>
    <w:rsid w:val="005747F8"/>
    <w:rsid w:val="005756F2"/>
    <w:rsid w:val="00575750"/>
    <w:rsid w:val="00575973"/>
    <w:rsid w:val="005768DA"/>
    <w:rsid w:val="00577052"/>
    <w:rsid w:val="0057727C"/>
    <w:rsid w:val="005779E1"/>
    <w:rsid w:val="005806E1"/>
    <w:rsid w:val="005807B6"/>
    <w:rsid w:val="005812E1"/>
    <w:rsid w:val="00581CAD"/>
    <w:rsid w:val="00582C4C"/>
    <w:rsid w:val="00582E30"/>
    <w:rsid w:val="00582F8B"/>
    <w:rsid w:val="00583131"/>
    <w:rsid w:val="0058366F"/>
    <w:rsid w:val="00583675"/>
    <w:rsid w:val="0058383E"/>
    <w:rsid w:val="00584CEF"/>
    <w:rsid w:val="00584F9A"/>
    <w:rsid w:val="005851BE"/>
    <w:rsid w:val="00585440"/>
    <w:rsid w:val="00585DB2"/>
    <w:rsid w:val="00585DD1"/>
    <w:rsid w:val="0058679D"/>
    <w:rsid w:val="0058688A"/>
    <w:rsid w:val="0058691F"/>
    <w:rsid w:val="00586C55"/>
    <w:rsid w:val="005876F7"/>
    <w:rsid w:val="005879B9"/>
    <w:rsid w:val="00590546"/>
    <w:rsid w:val="00590FC3"/>
    <w:rsid w:val="005916EA"/>
    <w:rsid w:val="00591E03"/>
    <w:rsid w:val="00593859"/>
    <w:rsid w:val="00593B03"/>
    <w:rsid w:val="00594998"/>
    <w:rsid w:val="00595A3E"/>
    <w:rsid w:val="0059696C"/>
    <w:rsid w:val="00597238"/>
    <w:rsid w:val="005974C0"/>
    <w:rsid w:val="005979AD"/>
    <w:rsid w:val="00597A52"/>
    <w:rsid w:val="00597E63"/>
    <w:rsid w:val="005A0482"/>
    <w:rsid w:val="005A0F69"/>
    <w:rsid w:val="005A15BD"/>
    <w:rsid w:val="005A1C68"/>
    <w:rsid w:val="005A1CFB"/>
    <w:rsid w:val="005A21C5"/>
    <w:rsid w:val="005A25A9"/>
    <w:rsid w:val="005A2694"/>
    <w:rsid w:val="005A32AD"/>
    <w:rsid w:val="005A32F4"/>
    <w:rsid w:val="005A3A6B"/>
    <w:rsid w:val="005A3AEF"/>
    <w:rsid w:val="005A3BC3"/>
    <w:rsid w:val="005A416C"/>
    <w:rsid w:val="005A4CC6"/>
    <w:rsid w:val="005A4CF7"/>
    <w:rsid w:val="005A5DA6"/>
    <w:rsid w:val="005A5F08"/>
    <w:rsid w:val="005A65EE"/>
    <w:rsid w:val="005A71D2"/>
    <w:rsid w:val="005A7766"/>
    <w:rsid w:val="005A777B"/>
    <w:rsid w:val="005A7C0E"/>
    <w:rsid w:val="005A7EF2"/>
    <w:rsid w:val="005A7EF3"/>
    <w:rsid w:val="005B22B0"/>
    <w:rsid w:val="005B3011"/>
    <w:rsid w:val="005B3EAA"/>
    <w:rsid w:val="005B436C"/>
    <w:rsid w:val="005B452D"/>
    <w:rsid w:val="005B520B"/>
    <w:rsid w:val="005B54AD"/>
    <w:rsid w:val="005B5887"/>
    <w:rsid w:val="005B5B44"/>
    <w:rsid w:val="005B5D3E"/>
    <w:rsid w:val="005B5DB2"/>
    <w:rsid w:val="005B5FE1"/>
    <w:rsid w:val="005B615C"/>
    <w:rsid w:val="005B61F3"/>
    <w:rsid w:val="005B631A"/>
    <w:rsid w:val="005B6674"/>
    <w:rsid w:val="005B6AEB"/>
    <w:rsid w:val="005B6E00"/>
    <w:rsid w:val="005C0233"/>
    <w:rsid w:val="005C16E2"/>
    <w:rsid w:val="005C1943"/>
    <w:rsid w:val="005C1EB2"/>
    <w:rsid w:val="005C2754"/>
    <w:rsid w:val="005C27AC"/>
    <w:rsid w:val="005C298E"/>
    <w:rsid w:val="005C2C0E"/>
    <w:rsid w:val="005C2C97"/>
    <w:rsid w:val="005C2E60"/>
    <w:rsid w:val="005C2FAB"/>
    <w:rsid w:val="005C3132"/>
    <w:rsid w:val="005C3A67"/>
    <w:rsid w:val="005C49BE"/>
    <w:rsid w:val="005C4A5C"/>
    <w:rsid w:val="005C4E58"/>
    <w:rsid w:val="005C5A91"/>
    <w:rsid w:val="005C673E"/>
    <w:rsid w:val="005C744C"/>
    <w:rsid w:val="005D0311"/>
    <w:rsid w:val="005D1649"/>
    <w:rsid w:val="005D175E"/>
    <w:rsid w:val="005D18D2"/>
    <w:rsid w:val="005D23FD"/>
    <w:rsid w:val="005D3B70"/>
    <w:rsid w:val="005D5B38"/>
    <w:rsid w:val="005D5CE3"/>
    <w:rsid w:val="005D64F5"/>
    <w:rsid w:val="005D65B5"/>
    <w:rsid w:val="005D6AF7"/>
    <w:rsid w:val="005D6F26"/>
    <w:rsid w:val="005E0C9C"/>
    <w:rsid w:val="005E1C7C"/>
    <w:rsid w:val="005E1F60"/>
    <w:rsid w:val="005E2E80"/>
    <w:rsid w:val="005E32C2"/>
    <w:rsid w:val="005E3613"/>
    <w:rsid w:val="005E3F73"/>
    <w:rsid w:val="005E50F6"/>
    <w:rsid w:val="005E6A56"/>
    <w:rsid w:val="005F0177"/>
    <w:rsid w:val="005F0478"/>
    <w:rsid w:val="005F07EB"/>
    <w:rsid w:val="005F1014"/>
    <w:rsid w:val="005F2F77"/>
    <w:rsid w:val="005F31A6"/>
    <w:rsid w:val="005F39FD"/>
    <w:rsid w:val="005F3AE5"/>
    <w:rsid w:val="005F3C1B"/>
    <w:rsid w:val="005F3C9D"/>
    <w:rsid w:val="005F49F3"/>
    <w:rsid w:val="005F4C12"/>
    <w:rsid w:val="005F5039"/>
    <w:rsid w:val="005F532E"/>
    <w:rsid w:val="005F5871"/>
    <w:rsid w:val="005F59AA"/>
    <w:rsid w:val="005F5EE2"/>
    <w:rsid w:val="005F61D0"/>
    <w:rsid w:val="005F6405"/>
    <w:rsid w:val="005F6514"/>
    <w:rsid w:val="005F6817"/>
    <w:rsid w:val="005F68CC"/>
    <w:rsid w:val="005F709B"/>
    <w:rsid w:val="006003F4"/>
    <w:rsid w:val="00602166"/>
    <w:rsid w:val="00603455"/>
    <w:rsid w:val="00604138"/>
    <w:rsid w:val="006048A0"/>
    <w:rsid w:val="006048D0"/>
    <w:rsid w:val="00604D75"/>
    <w:rsid w:val="006051F6"/>
    <w:rsid w:val="00605AD9"/>
    <w:rsid w:val="00605EE4"/>
    <w:rsid w:val="00606C4E"/>
    <w:rsid w:val="00607388"/>
    <w:rsid w:val="0060760F"/>
    <w:rsid w:val="006079B6"/>
    <w:rsid w:val="00611138"/>
    <w:rsid w:val="00611926"/>
    <w:rsid w:val="00611DD2"/>
    <w:rsid w:val="00611F4C"/>
    <w:rsid w:val="00612D21"/>
    <w:rsid w:val="006130E1"/>
    <w:rsid w:val="006136BB"/>
    <w:rsid w:val="0061403A"/>
    <w:rsid w:val="00615482"/>
    <w:rsid w:val="00617187"/>
    <w:rsid w:val="006209DE"/>
    <w:rsid w:val="00620CA1"/>
    <w:rsid w:val="00620FDD"/>
    <w:rsid w:val="006219A4"/>
    <w:rsid w:val="006223FC"/>
    <w:rsid w:val="006226E7"/>
    <w:rsid w:val="00623415"/>
    <w:rsid w:val="006238A2"/>
    <w:rsid w:val="00623BCC"/>
    <w:rsid w:val="00623CF0"/>
    <w:rsid w:val="00624FC3"/>
    <w:rsid w:val="00625CA2"/>
    <w:rsid w:val="006271E9"/>
    <w:rsid w:val="00627A37"/>
    <w:rsid w:val="006302BC"/>
    <w:rsid w:val="0063050A"/>
    <w:rsid w:val="00631196"/>
    <w:rsid w:val="006311FE"/>
    <w:rsid w:val="006315E1"/>
    <w:rsid w:val="00631B45"/>
    <w:rsid w:val="00632476"/>
    <w:rsid w:val="00632712"/>
    <w:rsid w:val="0063324A"/>
    <w:rsid w:val="00634A55"/>
    <w:rsid w:val="00634BE6"/>
    <w:rsid w:val="006352CD"/>
    <w:rsid w:val="00635571"/>
    <w:rsid w:val="006357A9"/>
    <w:rsid w:val="00636670"/>
    <w:rsid w:val="00636A01"/>
    <w:rsid w:val="006379EE"/>
    <w:rsid w:val="0064032E"/>
    <w:rsid w:val="006404BE"/>
    <w:rsid w:val="006409BF"/>
    <w:rsid w:val="00641833"/>
    <w:rsid w:val="00641D54"/>
    <w:rsid w:val="00641EC8"/>
    <w:rsid w:val="0064225D"/>
    <w:rsid w:val="00642482"/>
    <w:rsid w:val="0064248B"/>
    <w:rsid w:val="0064284F"/>
    <w:rsid w:val="00642AB8"/>
    <w:rsid w:val="006433F8"/>
    <w:rsid w:val="00643E08"/>
    <w:rsid w:val="0064424E"/>
    <w:rsid w:val="00644537"/>
    <w:rsid w:val="006448D6"/>
    <w:rsid w:val="00645345"/>
    <w:rsid w:val="006455D4"/>
    <w:rsid w:val="00646653"/>
    <w:rsid w:val="0064708D"/>
    <w:rsid w:val="006477BD"/>
    <w:rsid w:val="00651B42"/>
    <w:rsid w:val="00651C0B"/>
    <w:rsid w:val="00651D3C"/>
    <w:rsid w:val="00653005"/>
    <w:rsid w:val="00653B24"/>
    <w:rsid w:val="006540D2"/>
    <w:rsid w:val="0065495A"/>
    <w:rsid w:val="00655668"/>
    <w:rsid w:val="006563ED"/>
    <w:rsid w:val="0065724C"/>
    <w:rsid w:val="006604D0"/>
    <w:rsid w:val="0066085A"/>
    <w:rsid w:val="00661286"/>
    <w:rsid w:val="00661370"/>
    <w:rsid w:val="0066140D"/>
    <w:rsid w:val="00662AB7"/>
    <w:rsid w:val="00662C9F"/>
    <w:rsid w:val="00662E0D"/>
    <w:rsid w:val="006635C2"/>
    <w:rsid w:val="006640EC"/>
    <w:rsid w:val="00664368"/>
    <w:rsid w:val="0066446D"/>
    <w:rsid w:val="00665252"/>
    <w:rsid w:val="00665598"/>
    <w:rsid w:val="00666081"/>
    <w:rsid w:val="0066666C"/>
    <w:rsid w:val="0066691C"/>
    <w:rsid w:val="00666E12"/>
    <w:rsid w:val="00667222"/>
    <w:rsid w:val="0066738F"/>
    <w:rsid w:val="00667469"/>
    <w:rsid w:val="00667E3C"/>
    <w:rsid w:val="006710AE"/>
    <w:rsid w:val="006713F0"/>
    <w:rsid w:val="0067181A"/>
    <w:rsid w:val="00671A03"/>
    <w:rsid w:val="00671E6B"/>
    <w:rsid w:val="006727DA"/>
    <w:rsid w:val="006729ED"/>
    <w:rsid w:val="00672C18"/>
    <w:rsid w:val="00673BEC"/>
    <w:rsid w:val="00673C65"/>
    <w:rsid w:val="0067469B"/>
    <w:rsid w:val="006764EA"/>
    <w:rsid w:val="00676E68"/>
    <w:rsid w:val="006802FD"/>
    <w:rsid w:val="00680B56"/>
    <w:rsid w:val="006811B8"/>
    <w:rsid w:val="00681B65"/>
    <w:rsid w:val="006829A9"/>
    <w:rsid w:val="00682B3B"/>
    <w:rsid w:val="00683A3C"/>
    <w:rsid w:val="00684665"/>
    <w:rsid w:val="006849B8"/>
    <w:rsid w:val="00684DFA"/>
    <w:rsid w:val="00685105"/>
    <w:rsid w:val="0068521A"/>
    <w:rsid w:val="00685350"/>
    <w:rsid w:val="00685968"/>
    <w:rsid w:val="00685C08"/>
    <w:rsid w:val="00686212"/>
    <w:rsid w:val="006863A4"/>
    <w:rsid w:val="0068654A"/>
    <w:rsid w:val="0068674F"/>
    <w:rsid w:val="0068751F"/>
    <w:rsid w:val="00687B10"/>
    <w:rsid w:val="00690474"/>
    <w:rsid w:val="006910DE"/>
    <w:rsid w:val="006911A6"/>
    <w:rsid w:val="00692ECA"/>
    <w:rsid w:val="006931B4"/>
    <w:rsid w:val="00693D2D"/>
    <w:rsid w:val="00693D4E"/>
    <w:rsid w:val="0069467D"/>
    <w:rsid w:val="00694C9B"/>
    <w:rsid w:val="006959C1"/>
    <w:rsid w:val="006959EA"/>
    <w:rsid w:val="00695B9F"/>
    <w:rsid w:val="006961E2"/>
    <w:rsid w:val="00697C09"/>
    <w:rsid w:val="006A1311"/>
    <w:rsid w:val="006A13A8"/>
    <w:rsid w:val="006A1473"/>
    <w:rsid w:val="006A2183"/>
    <w:rsid w:val="006A26FA"/>
    <w:rsid w:val="006A3212"/>
    <w:rsid w:val="006A5176"/>
    <w:rsid w:val="006A586A"/>
    <w:rsid w:val="006A5ADE"/>
    <w:rsid w:val="006A5C57"/>
    <w:rsid w:val="006A68DA"/>
    <w:rsid w:val="006A6BA2"/>
    <w:rsid w:val="006A7684"/>
    <w:rsid w:val="006A779E"/>
    <w:rsid w:val="006A7970"/>
    <w:rsid w:val="006B0768"/>
    <w:rsid w:val="006B0989"/>
    <w:rsid w:val="006B09C1"/>
    <w:rsid w:val="006B1148"/>
    <w:rsid w:val="006B13B9"/>
    <w:rsid w:val="006B1C50"/>
    <w:rsid w:val="006B1CB4"/>
    <w:rsid w:val="006B1EC1"/>
    <w:rsid w:val="006B2131"/>
    <w:rsid w:val="006B2D8B"/>
    <w:rsid w:val="006B33F3"/>
    <w:rsid w:val="006B399D"/>
    <w:rsid w:val="006B3A21"/>
    <w:rsid w:val="006B3DD5"/>
    <w:rsid w:val="006B3F38"/>
    <w:rsid w:val="006B4043"/>
    <w:rsid w:val="006B4082"/>
    <w:rsid w:val="006B426F"/>
    <w:rsid w:val="006B4B65"/>
    <w:rsid w:val="006B4EF6"/>
    <w:rsid w:val="006B51EC"/>
    <w:rsid w:val="006B6878"/>
    <w:rsid w:val="006B79FE"/>
    <w:rsid w:val="006B7E37"/>
    <w:rsid w:val="006B7FC1"/>
    <w:rsid w:val="006C002E"/>
    <w:rsid w:val="006C12DD"/>
    <w:rsid w:val="006C1425"/>
    <w:rsid w:val="006C1E82"/>
    <w:rsid w:val="006C207B"/>
    <w:rsid w:val="006C219A"/>
    <w:rsid w:val="006C2954"/>
    <w:rsid w:val="006C2FB8"/>
    <w:rsid w:val="006C36DA"/>
    <w:rsid w:val="006C3E11"/>
    <w:rsid w:val="006C4DDB"/>
    <w:rsid w:val="006C4F49"/>
    <w:rsid w:val="006C5E68"/>
    <w:rsid w:val="006C654F"/>
    <w:rsid w:val="006C67AA"/>
    <w:rsid w:val="006C6F86"/>
    <w:rsid w:val="006C75D2"/>
    <w:rsid w:val="006C7AD4"/>
    <w:rsid w:val="006D0FCB"/>
    <w:rsid w:val="006D119A"/>
    <w:rsid w:val="006D1896"/>
    <w:rsid w:val="006D23E8"/>
    <w:rsid w:val="006D2A60"/>
    <w:rsid w:val="006D2C3D"/>
    <w:rsid w:val="006D3615"/>
    <w:rsid w:val="006D44C6"/>
    <w:rsid w:val="006D4E06"/>
    <w:rsid w:val="006D5E29"/>
    <w:rsid w:val="006D5E94"/>
    <w:rsid w:val="006D6991"/>
    <w:rsid w:val="006E0000"/>
    <w:rsid w:val="006E0A30"/>
    <w:rsid w:val="006E1431"/>
    <w:rsid w:val="006E153F"/>
    <w:rsid w:val="006E1825"/>
    <w:rsid w:val="006E1FE7"/>
    <w:rsid w:val="006E2854"/>
    <w:rsid w:val="006E2A0E"/>
    <w:rsid w:val="006E2E5E"/>
    <w:rsid w:val="006E38BF"/>
    <w:rsid w:val="006E396F"/>
    <w:rsid w:val="006E3CA0"/>
    <w:rsid w:val="006E4623"/>
    <w:rsid w:val="006E4D02"/>
    <w:rsid w:val="006E504D"/>
    <w:rsid w:val="006E539A"/>
    <w:rsid w:val="006E5431"/>
    <w:rsid w:val="006E5BC6"/>
    <w:rsid w:val="006E6233"/>
    <w:rsid w:val="006E78B5"/>
    <w:rsid w:val="006E7ECD"/>
    <w:rsid w:val="006F001C"/>
    <w:rsid w:val="006F018C"/>
    <w:rsid w:val="006F0EDA"/>
    <w:rsid w:val="006F1888"/>
    <w:rsid w:val="006F1926"/>
    <w:rsid w:val="006F1A7E"/>
    <w:rsid w:val="006F280D"/>
    <w:rsid w:val="006F2AF1"/>
    <w:rsid w:val="006F2DED"/>
    <w:rsid w:val="006F35D5"/>
    <w:rsid w:val="006F4B46"/>
    <w:rsid w:val="006F5B90"/>
    <w:rsid w:val="006F5CCC"/>
    <w:rsid w:val="006F65FB"/>
    <w:rsid w:val="006F68DB"/>
    <w:rsid w:val="006F6E02"/>
    <w:rsid w:val="006F7058"/>
    <w:rsid w:val="007001EA"/>
    <w:rsid w:val="007008DA"/>
    <w:rsid w:val="0070120E"/>
    <w:rsid w:val="007025E0"/>
    <w:rsid w:val="007026C1"/>
    <w:rsid w:val="00702B1D"/>
    <w:rsid w:val="007031D0"/>
    <w:rsid w:val="007046BA"/>
    <w:rsid w:val="0070544B"/>
    <w:rsid w:val="007067EC"/>
    <w:rsid w:val="007069A6"/>
    <w:rsid w:val="007075DE"/>
    <w:rsid w:val="00707892"/>
    <w:rsid w:val="00707E43"/>
    <w:rsid w:val="00710402"/>
    <w:rsid w:val="007108BC"/>
    <w:rsid w:val="007118A1"/>
    <w:rsid w:val="00711AFC"/>
    <w:rsid w:val="00711BCF"/>
    <w:rsid w:val="00712634"/>
    <w:rsid w:val="007130C8"/>
    <w:rsid w:val="0071312C"/>
    <w:rsid w:val="00713861"/>
    <w:rsid w:val="00713923"/>
    <w:rsid w:val="00713E9C"/>
    <w:rsid w:val="007142A7"/>
    <w:rsid w:val="0071434A"/>
    <w:rsid w:val="00714753"/>
    <w:rsid w:val="00715146"/>
    <w:rsid w:val="00715FC6"/>
    <w:rsid w:val="007160DB"/>
    <w:rsid w:val="00716DC0"/>
    <w:rsid w:val="0071719D"/>
    <w:rsid w:val="00717561"/>
    <w:rsid w:val="00720006"/>
    <w:rsid w:val="007207E1"/>
    <w:rsid w:val="00720D17"/>
    <w:rsid w:val="00720EE5"/>
    <w:rsid w:val="00721676"/>
    <w:rsid w:val="00721D38"/>
    <w:rsid w:val="00721F2E"/>
    <w:rsid w:val="00722598"/>
    <w:rsid w:val="00722653"/>
    <w:rsid w:val="0072282E"/>
    <w:rsid w:val="00722B06"/>
    <w:rsid w:val="00722B9C"/>
    <w:rsid w:val="00723272"/>
    <w:rsid w:val="00723521"/>
    <w:rsid w:val="007237BD"/>
    <w:rsid w:val="007239CB"/>
    <w:rsid w:val="0072406A"/>
    <w:rsid w:val="00724204"/>
    <w:rsid w:val="00725013"/>
    <w:rsid w:val="00725337"/>
    <w:rsid w:val="00726750"/>
    <w:rsid w:val="00727976"/>
    <w:rsid w:val="00727F10"/>
    <w:rsid w:val="00730642"/>
    <w:rsid w:val="00731665"/>
    <w:rsid w:val="00733355"/>
    <w:rsid w:val="0073471B"/>
    <w:rsid w:val="00734C06"/>
    <w:rsid w:val="0073533D"/>
    <w:rsid w:val="00735771"/>
    <w:rsid w:val="007360F4"/>
    <w:rsid w:val="0073651E"/>
    <w:rsid w:val="007368F2"/>
    <w:rsid w:val="0073725C"/>
    <w:rsid w:val="0073760C"/>
    <w:rsid w:val="007377BD"/>
    <w:rsid w:val="00737A7E"/>
    <w:rsid w:val="00737C8C"/>
    <w:rsid w:val="00737FF0"/>
    <w:rsid w:val="00740448"/>
    <w:rsid w:val="00740659"/>
    <w:rsid w:val="00740F47"/>
    <w:rsid w:val="00740FE9"/>
    <w:rsid w:val="00741AD7"/>
    <w:rsid w:val="00742E6E"/>
    <w:rsid w:val="00743B2C"/>
    <w:rsid w:val="00744522"/>
    <w:rsid w:val="00744F88"/>
    <w:rsid w:val="007453D8"/>
    <w:rsid w:val="00745405"/>
    <w:rsid w:val="007458AC"/>
    <w:rsid w:val="0074665A"/>
    <w:rsid w:val="00746D02"/>
    <w:rsid w:val="0075017E"/>
    <w:rsid w:val="00750277"/>
    <w:rsid w:val="0075063B"/>
    <w:rsid w:val="00750E1D"/>
    <w:rsid w:val="0075181D"/>
    <w:rsid w:val="00751DD9"/>
    <w:rsid w:val="007531A7"/>
    <w:rsid w:val="007538AC"/>
    <w:rsid w:val="00753F1E"/>
    <w:rsid w:val="00754B21"/>
    <w:rsid w:val="00754B2C"/>
    <w:rsid w:val="00755029"/>
    <w:rsid w:val="00755720"/>
    <w:rsid w:val="00756D54"/>
    <w:rsid w:val="007572FE"/>
    <w:rsid w:val="007575E5"/>
    <w:rsid w:val="0075775E"/>
    <w:rsid w:val="0075785B"/>
    <w:rsid w:val="00757AD6"/>
    <w:rsid w:val="00760259"/>
    <w:rsid w:val="00760C5E"/>
    <w:rsid w:val="007628A7"/>
    <w:rsid w:val="00762AB4"/>
    <w:rsid w:val="007634FA"/>
    <w:rsid w:val="00763D99"/>
    <w:rsid w:val="00764349"/>
    <w:rsid w:val="007647CF"/>
    <w:rsid w:val="00764EB0"/>
    <w:rsid w:val="00765DFA"/>
    <w:rsid w:val="00765E55"/>
    <w:rsid w:val="00765EE5"/>
    <w:rsid w:val="00765EE6"/>
    <w:rsid w:val="007660AD"/>
    <w:rsid w:val="00766979"/>
    <w:rsid w:val="00766C32"/>
    <w:rsid w:val="00766D5C"/>
    <w:rsid w:val="007715A1"/>
    <w:rsid w:val="00771D34"/>
    <w:rsid w:val="00771DB5"/>
    <w:rsid w:val="00771E94"/>
    <w:rsid w:val="007726A1"/>
    <w:rsid w:val="00772DAE"/>
    <w:rsid w:val="0077329A"/>
    <w:rsid w:val="0077340E"/>
    <w:rsid w:val="00773FF7"/>
    <w:rsid w:val="0077444A"/>
    <w:rsid w:val="00774735"/>
    <w:rsid w:val="007747E8"/>
    <w:rsid w:val="007753CF"/>
    <w:rsid w:val="007755BE"/>
    <w:rsid w:val="0077653A"/>
    <w:rsid w:val="00776BDB"/>
    <w:rsid w:val="00776F77"/>
    <w:rsid w:val="007779FC"/>
    <w:rsid w:val="00777D12"/>
    <w:rsid w:val="00777D5A"/>
    <w:rsid w:val="00777FDB"/>
    <w:rsid w:val="00780B6E"/>
    <w:rsid w:val="00781187"/>
    <w:rsid w:val="00781CDC"/>
    <w:rsid w:val="00781E88"/>
    <w:rsid w:val="0078250A"/>
    <w:rsid w:val="007826D8"/>
    <w:rsid w:val="00783390"/>
    <w:rsid w:val="00783D49"/>
    <w:rsid w:val="00783DAE"/>
    <w:rsid w:val="007841AB"/>
    <w:rsid w:val="007841ED"/>
    <w:rsid w:val="00785EFA"/>
    <w:rsid w:val="00786972"/>
    <w:rsid w:val="00787049"/>
    <w:rsid w:val="007873F7"/>
    <w:rsid w:val="00787AFE"/>
    <w:rsid w:val="00787EFE"/>
    <w:rsid w:val="0079030B"/>
    <w:rsid w:val="00790403"/>
    <w:rsid w:val="007905F4"/>
    <w:rsid w:val="00790B91"/>
    <w:rsid w:val="00790D44"/>
    <w:rsid w:val="00792A94"/>
    <w:rsid w:val="007931C3"/>
    <w:rsid w:val="00795935"/>
    <w:rsid w:val="00795997"/>
    <w:rsid w:val="00797215"/>
    <w:rsid w:val="007A0808"/>
    <w:rsid w:val="007A09DE"/>
    <w:rsid w:val="007A0ECD"/>
    <w:rsid w:val="007A14FE"/>
    <w:rsid w:val="007A1981"/>
    <w:rsid w:val="007A1A35"/>
    <w:rsid w:val="007A1C95"/>
    <w:rsid w:val="007A22FA"/>
    <w:rsid w:val="007A2CDA"/>
    <w:rsid w:val="007A2CFC"/>
    <w:rsid w:val="007A3682"/>
    <w:rsid w:val="007A37F3"/>
    <w:rsid w:val="007A3C76"/>
    <w:rsid w:val="007A4269"/>
    <w:rsid w:val="007A48E3"/>
    <w:rsid w:val="007A52A7"/>
    <w:rsid w:val="007A6565"/>
    <w:rsid w:val="007A669D"/>
    <w:rsid w:val="007A6C4A"/>
    <w:rsid w:val="007A6FFA"/>
    <w:rsid w:val="007A709C"/>
    <w:rsid w:val="007A71C6"/>
    <w:rsid w:val="007A7398"/>
    <w:rsid w:val="007A77B8"/>
    <w:rsid w:val="007B0150"/>
    <w:rsid w:val="007B02FC"/>
    <w:rsid w:val="007B0701"/>
    <w:rsid w:val="007B0F49"/>
    <w:rsid w:val="007B0F97"/>
    <w:rsid w:val="007B133C"/>
    <w:rsid w:val="007B1F84"/>
    <w:rsid w:val="007B247E"/>
    <w:rsid w:val="007B2530"/>
    <w:rsid w:val="007B259B"/>
    <w:rsid w:val="007B2A9B"/>
    <w:rsid w:val="007B3224"/>
    <w:rsid w:val="007B4046"/>
    <w:rsid w:val="007B429E"/>
    <w:rsid w:val="007B4769"/>
    <w:rsid w:val="007B48BC"/>
    <w:rsid w:val="007B49BA"/>
    <w:rsid w:val="007B4C54"/>
    <w:rsid w:val="007B6213"/>
    <w:rsid w:val="007B65CD"/>
    <w:rsid w:val="007B71B3"/>
    <w:rsid w:val="007B734F"/>
    <w:rsid w:val="007B7D0B"/>
    <w:rsid w:val="007C0307"/>
    <w:rsid w:val="007C0CA2"/>
    <w:rsid w:val="007C105D"/>
    <w:rsid w:val="007C12A8"/>
    <w:rsid w:val="007C1779"/>
    <w:rsid w:val="007C1BC7"/>
    <w:rsid w:val="007C2958"/>
    <w:rsid w:val="007C298D"/>
    <w:rsid w:val="007C29AC"/>
    <w:rsid w:val="007C3B1B"/>
    <w:rsid w:val="007C51E2"/>
    <w:rsid w:val="007C54F9"/>
    <w:rsid w:val="007C5C09"/>
    <w:rsid w:val="007C61D0"/>
    <w:rsid w:val="007C6455"/>
    <w:rsid w:val="007C65F2"/>
    <w:rsid w:val="007C731D"/>
    <w:rsid w:val="007C7D9B"/>
    <w:rsid w:val="007D0AB6"/>
    <w:rsid w:val="007D0B0B"/>
    <w:rsid w:val="007D10DF"/>
    <w:rsid w:val="007D13B3"/>
    <w:rsid w:val="007D16E0"/>
    <w:rsid w:val="007D191E"/>
    <w:rsid w:val="007D1943"/>
    <w:rsid w:val="007D1D9B"/>
    <w:rsid w:val="007D31AA"/>
    <w:rsid w:val="007D4F06"/>
    <w:rsid w:val="007D5145"/>
    <w:rsid w:val="007D5156"/>
    <w:rsid w:val="007D62CC"/>
    <w:rsid w:val="007D74DF"/>
    <w:rsid w:val="007E003B"/>
    <w:rsid w:val="007E051A"/>
    <w:rsid w:val="007E0929"/>
    <w:rsid w:val="007E092D"/>
    <w:rsid w:val="007E09EB"/>
    <w:rsid w:val="007E0E0A"/>
    <w:rsid w:val="007E15A4"/>
    <w:rsid w:val="007E1B80"/>
    <w:rsid w:val="007E1BA8"/>
    <w:rsid w:val="007E2732"/>
    <w:rsid w:val="007E2893"/>
    <w:rsid w:val="007E28B9"/>
    <w:rsid w:val="007E2F4B"/>
    <w:rsid w:val="007E47BB"/>
    <w:rsid w:val="007E55E0"/>
    <w:rsid w:val="007E6106"/>
    <w:rsid w:val="007E6E7F"/>
    <w:rsid w:val="007E7392"/>
    <w:rsid w:val="007E7B36"/>
    <w:rsid w:val="007F00BB"/>
    <w:rsid w:val="007F04C2"/>
    <w:rsid w:val="007F1A87"/>
    <w:rsid w:val="007F1B4B"/>
    <w:rsid w:val="007F1D01"/>
    <w:rsid w:val="007F2128"/>
    <w:rsid w:val="007F286B"/>
    <w:rsid w:val="007F3199"/>
    <w:rsid w:val="007F34E0"/>
    <w:rsid w:val="007F3CC5"/>
    <w:rsid w:val="007F4313"/>
    <w:rsid w:val="007F44A3"/>
    <w:rsid w:val="007F4694"/>
    <w:rsid w:val="007F4A14"/>
    <w:rsid w:val="007F4A59"/>
    <w:rsid w:val="007F52CD"/>
    <w:rsid w:val="007F6110"/>
    <w:rsid w:val="007F63EF"/>
    <w:rsid w:val="007F653C"/>
    <w:rsid w:val="007F69FA"/>
    <w:rsid w:val="007F6D8D"/>
    <w:rsid w:val="007F7BE7"/>
    <w:rsid w:val="007F7D6F"/>
    <w:rsid w:val="007F7E7F"/>
    <w:rsid w:val="008009C1"/>
    <w:rsid w:val="00800BAD"/>
    <w:rsid w:val="00800D85"/>
    <w:rsid w:val="00800F7F"/>
    <w:rsid w:val="008024D4"/>
    <w:rsid w:val="008029CD"/>
    <w:rsid w:val="008031F3"/>
    <w:rsid w:val="008041DC"/>
    <w:rsid w:val="008042BA"/>
    <w:rsid w:val="00804C3A"/>
    <w:rsid w:val="00804FB1"/>
    <w:rsid w:val="00806677"/>
    <w:rsid w:val="008068CC"/>
    <w:rsid w:val="00807334"/>
    <w:rsid w:val="008076A8"/>
    <w:rsid w:val="0081066C"/>
    <w:rsid w:val="00811B25"/>
    <w:rsid w:val="00811FF7"/>
    <w:rsid w:val="008130C8"/>
    <w:rsid w:val="00813341"/>
    <w:rsid w:val="00813835"/>
    <w:rsid w:val="00813E4E"/>
    <w:rsid w:val="00813FEE"/>
    <w:rsid w:val="008142FB"/>
    <w:rsid w:val="00814B7D"/>
    <w:rsid w:val="00814FFE"/>
    <w:rsid w:val="0081504E"/>
    <w:rsid w:val="008158C1"/>
    <w:rsid w:val="00815961"/>
    <w:rsid w:val="00815974"/>
    <w:rsid w:val="0081638E"/>
    <w:rsid w:val="00816425"/>
    <w:rsid w:val="00816D10"/>
    <w:rsid w:val="00817477"/>
    <w:rsid w:val="00817BD0"/>
    <w:rsid w:val="0081E2A1"/>
    <w:rsid w:val="0082066B"/>
    <w:rsid w:val="00820BAA"/>
    <w:rsid w:val="008211AD"/>
    <w:rsid w:val="00821A7A"/>
    <w:rsid w:val="00821BFA"/>
    <w:rsid w:val="00821D32"/>
    <w:rsid w:val="00821E23"/>
    <w:rsid w:val="00822112"/>
    <w:rsid w:val="00823272"/>
    <w:rsid w:val="00823356"/>
    <w:rsid w:val="00823358"/>
    <w:rsid w:val="0082349C"/>
    <w:rsid w:val="008239CE"/>
    <w:rsid w:val="00823B11"/>
    <w:rsid w:val="00824A8D"/>
    <w:rsid w:val="008257D3"/>
    <w:rsid w:val="0082589B"/>
    <w:rsid w:val="0082604D"/>
    <w:rsid w:val="00826F2E"/>
    <w:rsid w:val="0083028E"/>
    <w:rsid w:val="00830368"/>
    <w:rsid w:val="00830D8A"/>
    <w:rsid w:val="008315C3"/>
    <w:rsid w:val="008324D4"/>
    <w:rsid w:val="0083318C"/>
    <w:rsid w:val="00833BB8"/>
    <w:rsid w:val="00833EE8"/>
    <w:rsid w:val="00833F00"/>
    <w:rsid w:val="00834930"/>
    <w:rsid w:val="0083517D"/>
    <w:rsid w:val="008357CD"/>
    <w:rsid w:val="00835882"/>
    <w:rsid w:val="00836364"/>
    <w:rsid w:val="00836FAA"/>
    <w:rsid w:val="00837526"/>
    <w:rsid w:val="00837577"/>
    <w:rsid w:val="0083757C"/>
    <w:rsid w:val="00840F19"/>
    <w:rsid w:val="008414B6"/>
    <w:rsid w:val="008419BB"/>
    <w:rsid w:val="00842A50"/>
    <w:rsid w:val="00842F15"/>
    <w:rsid w:val="00843FA5"/>
    <w:rsid w:val="0084496B"/>
    <w:rsid w:val="00844A0B"/>
    <w:rsid w:val="00845C3B"/>
    <w:rsid w:val="00845D54"/>
    <w:rsid w:val="00845E46"/>
    <w:rsid w:val="00846189"/>
    <w:rsid w:val="0084655F"/>
    <w:rsid w:val="00846957"/>
    <w:rsid w:val="00846A5D"/>
    <w:rsid w:val="00846D4B"/>
    <w:rsid w:val="00847024"/>
    <w:rsid w:val="0084710E"/>
    <w:rsid w:val="0084716D"/>
    <w:rsid w:val="00847B5C"/>
    <w:rsid w:val="00847C94"/>
    <w:rsid w:val="00847ECC"/>
    <w:rsid w:val="0085022A"/>
    <w:rsid w:val="00850265"/>
    <w:rsid w:val="008502BF"/>
    <w:rsid w:val="00850478"/>
    <w:rsid w:val="008508A0"/>
    <w:rsid w:val="00851533"/>
    <w:rsid w:val="0085271E"/>
    <w:rsid w:val="0085349B"/>
    <w:rsid w:val="0085412A"/>
    <w:rsid w:val="008544FD"/>
    <w:rsid w:val="00854698"/>
    <w:rsid w:val="00854F07"/>
    <w:rsid w:val="0085545E"/>
    <w:rsid w:val="0085569A"/>
    <w:rsid w:val="008556AB"/>
    <w:rsid w:val="00855D83"/>
    <w:rsid w:val="00856AA9"/>
    <w:rsid w:val="00856F40"/>
    <w:rsid w:val="0085737C"/>
    <w:rsid w:val="00857A7F"/>
    <w:rsid w:val="00857C02"/>
    <w:rsid w:val="00861CE5"/>
    <w:rsid w:val="00862283"/>
    <w:rsid w:val="00862409"/>
    <w:rsid w:val="008628EB"/>
    <w:rsid w:val="008629F5"/>
    <w:rsid w:val="00862B0F"/>
    <w:rsid w:val="00863229"/>
    <w:rsid w:val="00863508"/>
    <w:rsid w:val="0086383F"/>
    <w:rsid w:val="00864446"/>
    <w:rsid w:val="00864DD0"/>
    <w:rsid w:val="008653AA"/>
    <w:rsid w:val="00865439"/>
    <w:rsid w:val="00865471"/>
    <w:rsid w:val="0086557C"/>
    <w:rsid w:val="00865748"/>
    <w:rsid w:val="00865A84"/>
    <w:rsid w:val="00865CED"/>
    <w:rsid w:val="00865FB6"/>
    <w:rsid w:val="00866097"/>
    <w:rsid w:val="00866393"/>
    <w:rsid w:val="00867214"/>
    <w:rsid w:val="0087123B"/>
    <w:rsid w:val="00871E7A"/>
    <w:rsid w:val="00871FD1"/>
    <w:rsid w:val="008723CC"/>
    <w:rsid w:val="00872EDE"/>
    <w:rsid w:val="008735D9"/>
    <w:rsid w:val="008738DB"/>
    <w:rsid w:val="008745F8"/>
    <w:rsid w:val="00874FB0"/>
    <w:rsid w:val="00875361"/>
    <w:rsid w:val="008756A5"/>
    <w:rsid w:val="00876123"/>
    <w:rsid w:val="008764B5"/>
    <w:rsid w:val="008765A3"/>
    <w:rsid w:val="008767A9"/>
    <w:rsid w:val="008772D5"/>
    <w:rsid w:val="00877321"/>
    <w:rsid w:val="008805DA"/>
    <w:rsid w:val="00881CBD"/>
    <w:rsid w:val="00881D6E"/>
    <w:rsid w:val="0088334F"/>
    <w:rsid w:val="008833AF"/>
    <w:rsid w:val="00883851"/>
    <w:rsid w:val="00884089"/>
    <w:rsid w:val="008840D4"/>
    <w:rsid w:val="008846BB"/>
    <w:rsid w:val="0088497D"/>
    <w:rsid w:val="00884A61"/>
    <w:rsid w:val="00884D96"/>
    <w:rsid w:val="00884DFC"/>
    <w:rsid w:val="008850F1"/>
    <w:rsid w:val="0088566E"/>
    <w:rsid w:val="00885818"/>
    <w:rsid w:val="00885A2D"/>
    <w:rsid w:val="00886353"/>
    <w:rsid w:val="008878AB"/>
    <w:rsid w:val="008900FC"/>
    <w:rsid w:val="00890275"/>
    <w:rsid w:val="008906AF"/>
    <w:rsid w:val="00891194"/>
    <w:rsid w:val="008911FA"/>
    <w:rsid w:val="00891858"/>
    <w:rsid w:val="008918B2"/>
    <w:rsid w:val="00891B41"/>
    <w:rsid w:val="00891B8B"/>
    <w:rsid w:val="00892A2D"/>
    <w:rsid w:val="00892BD2"/>
    <w:rsid w:val="00892E27"/>
    <w:rsid w:val="00893C10"/>
    <w:rsid w:val="00895E78"/>
    <w:rsid w:val="008976DA"/>
    <w:rsid w:val="00897D95"/>
    <w:rsid w:val="008A0DAB"/>
    <w:rsid w:val="008A0F09"/>
    <w:rsid w:val="008A122C"/>
    <w:rsid w:val="008A1422"/>
    <w:rsid w:val="008A1F20"/>
    <w:rsid w:val="008A27CE"/>
    <w:rsid w:val="008A3BF0"/>
    <w:rsid w:val="008A3CEC"/>
    <w:rsid w:val="008A5125"/>
    <w:rsid w:val="008A565D"/>
    <w:rsid w:val="008A5AB6"/>
    <w:rsid w:val="008A6C13"/>
    <w:rsid w:val="008A7F33"/>
    <w:rsid w:val="008B0A81"/>
    <w:rsid w:val="008B143C"/>
    <w:rsid w:val="008B23BF"/>
    <w:rsid w:val="008B23CB"/>
    <w:rsid w:val="008B24F4"/>
    <w:rsid w:val="008B2602"/>
    <w:rsid w:val="008B2BE1"/>
    <w:rsid w:val="008B3191"/>
    <w:rsid w:val="008B335B"/>
    <w:rsid w:val="008B3C5E"/>
    <w:rsid w:val="008B3EAA"/>
    <w:rsid w:val="008B4062"/>
    <w:rsid w:val="008B487F"/>
    <w:rsid w:val="008B52AF"/>
    <w:rsid w:val="008B5F84"/>
    <w:rsid w:val="008B6689"/>
    <w:rsid w:val="008B691E"/>
    <w:rsid w:val="008B6DB5"/>
    <w:rsid w:val="008B7096"/>
    <w:rsid w:val="008B771D"/>
    <w:rsid w:val="008B7C5D"/>
    <w:rsid w:val="008C0692"/>
    <w:rsid w:val="008C1242"/>
    <w:rsid w:val="008C1A59"/>
    <w:rsid w:val="008C1A6D"/>
    <w:rsid w:val="008C1BFD"/>
    <w:rsid w:val="008C2D6D"/>
    <w:rsid w:val="008C3A96"/>
    <w:rsid w:val="008C4618"/>
    <w:rsid w:val="008C5CF2"/>
    <w:rsid w:val="008C5EB9"/>
    <w:rsid w:val="008C61C8"/>
    <w:rsid w:val="008C6AF0"/>
    <w:rsid w:val="008C6E7E"/>
    <w:rsid w:val="008C73C4"/>
    <w:rsid w:val="008C7496"/>
    <w:rsid w:val="008D0A14"/>
    <w:rsid w:val="008D0D62"/>
    <w:rsid w:val="008D142B"/>
    <w:rsid w:val="008D1656"/>
    <w:rsid w:val="008D1A05"/>
    <w:rsid w:val="008D1B0F"/>
    <w:rsid w:val="008D2170"/>
    <w:rsid w:val="008D2613"/>
    <w:rsid w:val="008D2F05"/>
    <w:rsid w:val="008D2F84"/>
    <w:rsid w:val="008D3191"/>
    <w:rsid w:val="008D347F"/>
    <w:rsid w:val="008D361C"/>
    <w:rsid w:val="008D4085"/>
    <w:rsid w:val="008D4417"/>
    <w:rsid w:val="008D46DE"/>
    <w:rsid w:val="008D540A"/>
    <w:rsid w:val="008D5843"/>
    <w:rsid w:val="008D6103"/>
    <w:rsid w:val="008D6D54"/>
    <w:rsid w:val="008D6F56"/>
    <w:rsid w:val="008D6F6B"/>
    <w:rsid w:val="008D7126"/>
    <w:rsid w:val="008E0FDD"/>
    <w:rsid w:val="008E2487"/>
    <w:rsid w:val="008E2E87"/>
    <w:rsid w:val="008E341B"/>
    <w:rsid w:val="008E4951"/>
    <w:rsid w:val="008E50EB"/>
    <w:rsid w:val="008E5154"/>
    <w:rsid w:val="008E5462"/>
    <w:rsid w:val="008E5AA6"/>
    <w:rsid w:val="008E605B"/>
    <w:rsid w:val="008E60FB"/>
    <w:rsid w:val="008E6563"/>
    <w:rsid w:val="008E6B7A"/>
    <w:rsid w:val="008E7AAC"/>
    <w:rsid w:val="008F023D"/>
    <w:rsid w:val="008F0D86"/>
    <w:rsid w:val="008F0ED0"/>
    <w:rsid w:val="008F1053"/>
    <w:rsid w:val="008F107D"/>
    <w:rsid w:val="008F19B7"/>
    <w:rsid w:val="008F1AA2"/>
    <w:rsid w:val="008F1DCE"/>
    <w:rsid w:val="008F2151"/>
    <w:rsid w:val="008F271F"/>
    <w:rsid w:val="008F29B0"/>
    <w:rsid w:val="008F2C88"/>
    <w:rsid w:val="008F39A3"/>
    <w:rsid w:val="008F3ACD"/>
    <w:rsid w:val="008F4945"/>
    <w:rsid w:val="008F52FD"/>
    <w:rsid w:val="008F5B45"/>
    <w:rsid w:val="008F62A0"/>
    <w:rsid w:val="008F6DDD"/>
    <w:rsid w:val="008F6F94"/>
    <w:rsid w:val="008F71A3"/>
    <w:rsid w:val="009001CB"/>
    <w:rsid w:val="00900C6B"/>
    <w:rsid w:val="00901A39"/>
    <w:rsid w:val="0090227C"/>
    <w:rsid w:val="009029DA"/>
    <w:rsid w:val="009031E7"/>
    <w:rsid w:val="00905298"/>
    <w:rsid w:val="00905399"/>
    <w:rsid w:val="0090584B"/>
    <w:rsid w:val="0090584F"/>
    <w:rsid w:val="00906133"/>
    <w:rsid w:val="0090640E"/>
    <w:rsid w:val="009064C8"/>
    <w:rsid w:val="00906697"/>
    <w:rsid w:val="009069A5"/>
    <w:rsid w:val="0090729C"/>
    <w:rsid w:val="009077B6"/>
    <w:rsid w:val="00907B83"/>
    <w:rsid w:val="009106F3"/>
    <w:rsid w:val="00910788"/>
    <w:rsid w:val="00911212"/>
    <w:rsid w:val="009114D9"/>
    <w:rsid w:val="0091198B"/>
    <w:rsid w:val="00913E01"/>
    <w:rsid w:val="00914D4D"/>
    <w:rsid w:val="009154CD"/>
    <w:rsid w:val="00915793"/>
    <w:rsid w:val="00915AA0"/>
    <w:rsid w:val="00915DDD"/>
    <w:rsid w:val="00916BF3"/>
    <w:rsid w:val="00916FF4"/>
    <w:rsid w:val="00917304"/>
    <w:rsid w:val="0091758F"/>
    <w:rsid w:val="00917DC1"/>
    <w:rsid w:val="00921D8B"/>
    <w:rsid w:val="00922E6B"/>
    <w:rsid w:val="00924C5F"/>
    <w:rsid w:val="00924F51"/>
    <w:rsid w:val="00925623"/>
    <w:rsid w:val="0092600F"/>
    <w:rsid w:val="00926A8D"/>
    <w:rsid w:val="00926DAE"/>
    <w:rsid w:val="00927601"/>
    <w:rsid w:val="0092787E"/>
    <w:rsid w:val="0092795E"/>
    <w:rsid w:val="00927A87"/>
    <w:rsid w:val="009301B1"/>
    <w:rsid w:val="009301F4"/>
    <w:rsid w:val="009304C7"/>
    <w:rsid w:val="009310A3"/>
    <w:rsid w:val="0093244D"/>
    <w:rsid w:val="00934219"/>
    <w:rsid w:val="0093425A"/>
    <w:rsid w:val="0093461E"/>
    <w:rsid w:val="009346DD"/>
    <w:rsid w:val="00934B30"/>
    <w:rsid w:val="00935E3E"/>
    <w:rsid w:val="00935EB6"/>
    <w:rsid w:val="009367A2"/>
    <w:rsid w:val="009371CF"/>
    <w:rsid w:val="00937856"/>
    <w:rsid w:val="00940110"/>
    <w:rsid w:val="009406D5"/>
    <w:rsid w:val="00940E00"/>
    <w:rsid w:val="00942661"/>
    <w:rsid w:val="0094288D"/>
    <w:rsid w:val="00942B00"/>
    <w:rsid w:val="00943576"/>
    <w:rsid w:val="0094388B"/>
    <w:rsid w:val="00944067"/>
    <w:rsid w:val="0094558D"/>
    <w:rsid w:val="0094600A"/>
    <w:rsid w:val="009462BE"/>
    <w:rsid w:val="0094656D"/>
    <w:rsid w:val="009475C9"/>
    <w:rsid w:val="009479B0"/>
    <w:rsid w:val="00947A46"/>
    <w:rsid w:val="009502E8"/>
    <w:rsid w:val="009505A4"/>
    <w:rsid w:val="0095132B"/>
    <w:rsid w:val="009524F1"/>
    <w:rsid w:val="00952EAD"/>
    <w:rsid w:val="00952EDD"/>
    <w:rsid w:val="009538EA"/>
    <w:rsid w:val="00954C94"/>
    <w:rsid w:val="00954DD5"/>
    <w:rsid w:val="00954FDE"/>
    <w:rsid w:val="00955F54"/>
    <w:rsid w:val="00955F5C"/>
    <w:rsid w:val="00956057"/>
    <w:rsid w:val="009567C2"/>
    <w:rsid w:val="0095690F"/>
    <w:rsid w:val="00956985"/>
    <w:rsid w:val="00956A64"/>
    <w:rsid w:val="00956FD7"/>
    <w:rsid w:val="009578DE"/>
    <w:rsid w:val="00957F2A"/>
    <w:rsid w:val="0096070E"/>
    <w:rsid w:val="00960B5F"/>
    <w:rsid w:val="00960BCB"/>
    <w:rsid w:val="00960C1B"/>
    <w:rsid w:val="00961B24"/>
    <w:rsid w:val="00961C30"/>
    <w:rsid w:val="00961D15"/>
    <w:rsid w:val="00961DF0"/>
    <w:rsid w:val="00963122"/>
    <w:rsid w:val="00963708"/>
    <w:rsid w:val="00964924"/>
    <w:rsid w:val="00964AE2"/>
    <w:rsid w:val="00966D5F"/>
    <w:rsid w:val="00967499"/>
    <w:rsid w:val="00967580"/>
    <w:rsid w:val="00967B29"/>
    <w:rsid w:val="00973171"/>
    <w:rsid w:val="00973539"/>
    <w:rsid w:val="00973881"/>
    <w:rsid w:val="00973CD3"/>
    <w:rsid w:val="00974020"/>
    <w:rsid w:val="009749D7"/>
    <w:rsid w:val="00975088"/>
    <w:rsid w:val="009767DC"/>
    <w:rsid w:val="0097683A"/>
    <w:rsid w:val="00976BB9"/>
    <w:rsid w:val="00976CAA"/>
    <w:rsid w:val="00977499"/>
    <w:rsid w:val="009775CD"/>
    <w:rsid w:val="009779E9"/>
    <w:rsid w:val="00980663"/>
    <w:rsid w:val="00982C1D"/>
    <w:rsid w:val="009830ED"/>
    <w:rsid w:val="00983B72"/>
    <w:rsid w:val="00983CCD"/>
    <w:rsid w:val="0098466D"/>
    <w:rsid w:val="0098507A"/>
    <w:rsid w:val="009856EB"/>
    <w:rsid w:val="009867CF"/>
    <w:rsid w:val="00986CC0"/>
    <w:rsid w:val="00987096"/>
    <w:rsid w:val="009873FB"/>
    <w:rsid w:val="009874EF"/>
    <w:rsid w:val="0098789F"/>
    <w:rsid w:val="00990BF3"/>
    <w:rsid w:val="0099111F"/>
    <w:rsid w:val="00991729"/>
    <w:rsid w:val="00992287"/>
    <w:rsid w:val="00992F1D"/>
    <w:rsid w:val="00993372"/>
    <w:rsid w:val="00993718"/>
    <w:rsid w:val="0099438E"/>
    <w:rsid w:val="0099448D"/>
    <w:rsid w:val="00994EDB"/>
    <w:rsid w:val="009951B9"/>
    <w:rsid w:val="00995535"/>
    <w:rsid w:val="00995AD9"/>
    <w:rsid w:val="00995BED"/>
    <w:rsid w:val="00995EB0"/>
    <w:rsid w:val="009974D2"/>
    <w:rsid w:val="00997EC2"/>
    <w:rsid w:val="009A07A0"/>
    <w:rsid w:val="009A13FF"/>
    <w:rsid w:val="009A1DA1"/>
    <w:rsid w:val="009A1DDB"/>
    <w:rsid w:val="009A2173"/>
    <w:rsid w:val="009A23DF"/>
    <w:rsid w:val="009A300B"/>
    <w:rsid w:val="009A35FA"/>
    <w:rsid w:val="009A383C"/>
    <w:rsid w:val="009A3ACB"/>
    <w:rsid w:val="009A3B7C"/>
    <w:rsid w:val="009A408F"/>
    <w:rsid w:val="009A4C75"/>
    <w:rsid w:val="009A5521"/>
    <w:rsid w:val="009A6A79"/>
    <w:rsid w:val="009A6B7C"/>
    <w:rsid w:val="009A73FA"/>
    <w:rsid w:val="009B0B67"/>
    <w:rsid w:val="009B154B"/>
    <w:rsid w:val="009B1816"/>
    <w:rsid w:val="009B2532"/>
    <w:rsid w:val="009B4311"/>
    <w:rsid w:val="009B4356"/>
    <w:rsid w:val="009B5368"/>
    <w:rsid w:val="009B56F8"/>
    <w:rsid w:val="009B5D3B"/>
    <w:rsid w:val="009B6033"/>
    <w:rsid w:val="009B7F02"/>
    <w:rsid w:val="009C00E0"/>
    <w:rsid w:val="009C182B"/>
    <w:rsid w:val="009C2447"/>
    <w:rsid w:val="009C2873"/>
    <w:rsid w:val="009C2943"/>
    <w:rsid w:val="009C2C0D"/>
    <w:rsid w:val="009C2E5B"/>
    <w:rsid w:val="009C2E77"/>
    <w:rsid w:val="009C3546"/>
    <w:rsid w:val="009C3687"/>
    <w:rsid w:val="009C389B"/>
    <w:rsid w:val="009C42F8"/>
    <w:rsid w:val="009C465E"/>
    <w:rsid w:val="009C4949"/>
    <w:rsid w:val="009C4A68"/>
    <w:rsid w:val="009C510E"/>
    <w:rsid w:val="009C5714"/>
    <w:rsid w:val="009C7213"/>
    <w:rsid w:val="009D09B7"/>
    <w:rsid w:val="009D1380"/>
    <w:rsid w:val="009D169F"/>
    <w:rsid w:val="009D1914"/>
    <w:rsid w:val="009D294E"/>
    <w:rsid w:val="009D2E35"/>
    <w:rsid w:val="009D3741"/>
    <w:rsid w:val="009D4A2C"/>
    <w:rsid w:val="009D4CF3"/>
    <w:rsid w:val="009D7D86"/>
    <w:rsid w:val="009E09CD"/>
    <w:rsid w:val="009E2878"/>
    <w:rsid w:val="009E2985"/>
    <w:rsid w:val="009E29AC"/>
    <w:rsid w:val="009E2AC2"/>
    <w:rsid w:val="009E2DA6"/>
    <w:rsid w:val="009E326D"/>
    <w:rsid w:val="009E38EF"/>
    <w:rsid w:val="009E58D8"/>
    <w:rsid w:val="009E6DF9"/>
    <w:rsid w:val="009E714E"/>
    <w:rsid w:val="009E717B"/>
    <w:rsid w:val="009E7371"/>
    <w:rsid w:val="009E7B14"/>
    <w:rsid w:val="009EB99B"/>
    <w:rsid w:val="009F0136"/>
    <w:rsid w:val="009F0472"/>
    <w:rsid w:val="009F074E"/>
    <w:rsid w:val="009F1790"/>
    <w:rsid w:val="009F18CC"/>
    <w:rsid w:val="009F1B79"/>
    <w:rsid w:val="009F1C2C"/>
    <w:rsid w:val="009F1D9B"/>
    <w:rsid w:val="009F286C"/>
    <w:rsid w:val="009F28DC"/>
    <w:rsid w:val="009F29BA"/>
    <w:rsid w:val="009F3C86"/>
    <w:rsid w:val="009F4658"/>
    <w:rsid w:val="009F47D3"/>
    <w:rsid w:val="009F6622"/>
    <w:rsid w:val="009F696A"/>
    <w:rsid w:val="009F6E65"/>
    <w:rsid w:val="009F74A7"/>
    <w:rsid w:val="009F798E"/>
    <w:rsid w:val="009F7B89"/>
    <w:rsid w:val="009F7CAA"/>
    <w:rsid w:val="00A0055C"/>
    <w:rsid w:val="00A005BB"/>
    <w:rsid w:val="00A00EC3"/>
    <w:rsid w:val="00A02482"/>
    <w:rsid w:val="00A02589"/>
    <w:rsid w:val="00A025DB"/>
    <w:rsid w:val="00A02721"/>
    <w:rsid w:val="00A028F3"/>
    <w:rsid w:val="00A03302"/>
    <w:rsid w:val="00A03A7C"/>
    <w:rsid w:val="00A03B53"/>
    <w:rsid w:val="00A04187"/>
    <w:rsid w:val="00A0439B"/>
    <w:rsid w:val="00A05DF5"/>
    <w:rsid w:val="00A06199"/>
    <w:rsid w:val="00A06208"/>
    <w:rsid w:val="00A06B9B"/>
    <w:rsid w:val="00A07028"/>
    <w:rsid w:val="00A07222"/>
    <w:rsid w:val="00A07595"/>
    <w:rsid w:val="00A07BC0"/>
    <w:rsid w:val="00A102A6"/>
    <w:rsid w:val="00A10C26"/>
    <w:rsid w:val="00A10EAE"/>
    <w:rsid w:val="00A118AC"/>
    <w:rsid w:val="00A11D6A"/>
    <w:rsid w:val="00A12974"/>
    <w:rsid w:val="00A13525"/>
    <w:rsid w:val="00A13ADD"/>
    <w:rsid w:val="00A13C9A"/>
    <w:rsid w:val="00A1415A"/>
    <w:rsid w:val="00A15854"/>
    <w:rsid w:val="00A158CE"/>
    <w:rsid w:val="00A15B3B"/>
    <w:rsid w:val="00A15C8A"/>
    <w:rsid w:val="00A161E0"/>
    <w:rsid w:val="00A16278"/>
    <w:rsid w:val="00A16B6A"/>
    <w:rsid w:val="00A20444"/>
    <w:rsid w:val="00A20CEB"/>
    <w:rsid w:val="00A21091"/>
    <w:rsid w:val="00A2165D"/>
    <w:rsid w:val="00A21A8A"/>
    <w:rsid w:val="00A2295E"/>
    <w:rsid w:val="00A22BFB"/>
    <w:rsid w:val="00A22E10"/>
    <w:rsid w:val="00A2368F"/>
    <w:rsid w:val="00A23EB0"/>
    <w:rsid w:val="00A2428B"/>
    <w:rsid w:val="00A25356"/>
    <w:rsid w:val="00A2579A"/>
    <w:rsid w:val="00A25914"/>
    <w:rsid w:val="00A25F0C"/>
    <w:rsid w:val="00A26D65"/>
    <w:rsid w:val="00A27EB5"/>
    <w:rsid w:val="00A30913"/>
    <w:rsid w:val="00A30E19"/>
    <w:rsid w:val="00A3181E"/>
    <w:rsid w:val="00A31F2A"/>
    <w:rsid w:val="00A321C8"/>
    <w:rsid w:val="00A32290"/>
    <w:rsid w:val="00A323EE"/>
    <w:rsid w:val="00A33034"/>
    <w:rsid w:val="00A333E1"/>
    <w:rsid w:val="00A33656"/>
    <w:rsid w:val="00A33824"/>
    <w:rsid w:val="00A340EE"/>
    <w:rsid w:val="00A34BF0"/>
    <w:rsid w:val="00A35286"/>
    <w:rsid w:val="00A377A9"/>
    <w:rsid w:val="00A377FC"/>
    <w:rsid w:val="00A37A0E"/>
    <w:rsid w:val="00A37E24"/>
    <w:rsid w:val="00A4026F"/>
    <w:rsid w:val="00A40649"/>
    <w:rsid w:val="00A40679"/>
    <w:rsid w:val="00A4152E"/>
    <w:rsid w:val="00A41B07"/>
    <w:rsid w:val="00A41FE8"/>
    <w:rsid w:val="00A425D2"/>
    <w:rsid w:val="00A42CBB"/>
    <w:rsid w:val="00A42DB6"/>
    <w:rsid w:val="00A4316F"/>
    <w:rsid w:val="00A44110"/>
    <w:rsid w:val="00A450ED"/>
    <w:rsid w:val="00A45563"/>
    <w:rsid w:val="00A4588B"/>
    <w:rsid w:val="00A45F4F"/>
    <w:rsid w:val="00A464D6"/>
    <w:rsid w:val="00A46851"/>
    <w:rsid w:val="00A46BD0"/>
    <w:rsid w:val="00A4797E"/>
    <w:rsid w:val="00A47999"/>
    <w:rsid w:val="00A50577"/>
    <w:rsid w:val="00A50941"/>
    <w:rsid w:val="00A51191"/>
    <w:rsid w:val="00A51420"/>
    <w:rsid w:val="00A51EB8"/>
    <w:rsid w:val="00A53D47"/>
    <w:rsid w:val="00A54049"/>
    <w:rsid w:val="00A562F9"/>
    <w:rsid w:val="00A563A2"/>
    <w:rsid w:val="00A565EC"/>
    <w:rsid w:val="00A602D5"/>
    <w:rsid w:val="00A609CA"/>
    <w:rsid w:val="00A60C54"/>
    <w:rsid w:val="00A61A7C"/>
    <w:rsid w:val="00A61F9D"/>
    <w:rsid w:val="00A626FF"/>
    <w:rsid w:val="00A635EE"/>
    <w:rsid w:val="00A63A05"/>
    <w:rsid w:val="00A63DCA"/>
    <w:rsid w:val="00A63E84"/>
    <w:rsid w:val="00A63EE3"/>
    <w:rsid w:val="00A640ED"/>
    <w:rsid w:val="00A64455"/>
    <w:rsid w:val="00A653FD"/>
    <w:rsid w:val="00A6629C"/>
    <w:rsid w:val="00A66C0C"/>
    <w:rsid w:val="00A678BF"/>
    <w:rsid w:val="00A70655"/>
    <w:rsid w:val="00A708DE"/>
    <w:rsid w:val="00A70FD9"/>
    <w:rsid w:val="00A71E97"/>
    <w:rsid w:val="00A72142"/>
    <w:rsid w:val="00A72301"/>
    <w:rsid w:val="00A72AAD"/>
    <w:rsid w:val="00A73099"/>
    <w:rsid w:val="00A73F43"/>
    <w:rsid w:val="00A74677"/>
    <w:rsid w:val="00A7467C"/>
    <w:rsid w:val="00A74ABC"/>
    <w:rsid w:val="00A74E9F"/>
    <w:rsid w:val="00A7567A"/>
    <w:rsid w:val="00A75CE7"/>
    <w:rsid w:val="00A76C20"/>
    <w:rsid w:val="00A76DAA"/>
    <w:rsid w:val="00A76EDE"/>
    <w:rsid w:val="00A77608"/>
    <w:rsid w:val="00A777B1"/>
    <w:rsid w:val="00A778BB"/>
    <w:rsid w:val="00A77F58"/>
    <w:rsid w:val="00A805E7"/>
    <w:rsid w:val="00A8098B"/>
    <w:rsid w:val="00A811C2"/>
    <w:rsid w:val="00A82322"/>
    <w:rsid w:val="00A823D9"/>
    <w:rsid w:val="00A82DFF"/>
    <w:rsid w:val="00A82E71"/>
    <w:rsid w:val="00A832AC"/>
    <w:rsid w:val="00A8412D"/>
    <w:rsid w:val="00A858BE"/>
    <w:rsid w:val="00A868FE"/>
    <w:rsid w:val="00A8720B"/>
    <w:rsid w:val="00A900E8"/>
    <w:rsid w:val="00A906B4"/>
    <w:rsid w:val="00A9111A"/>
    <w:rsid w:val="00A918B1"/>
    <w:rsid w:val="00A918BC"/>
    <w:rsid w:val="00A927E3"/>
    <w:rsid w:val="00A93891"/>
    <w:rsid w:val="00A93C53"/>
    <w:rsid w:val="00A93E37"/>
    <w:rsid w:val="00A95270"/>
    <w:rsid w:val="00A955E1"/>
    <w:rsid w:val="00A955FC"/>
    <w:rsid w:val="00A95893"/>
    <w:rsid w:val="00A96494"/>
    <w:rsid w:val="00A96E0A"/>
    <w:rsid w:val="00A97636"/>
    <w:rsid w:val="00A97686"/>
    <w:rsid w:val="00A977F0"/>
    <w:rsid w:val="00A97B2F"/>
    <w:rsid w:val="00AA063B"/>
    <w:rsid w:val="00AA0691"/>
    <w:rsid w:val="00AA104B"/>
    <w:rsid w:val="00AA16CC"/>
    <w:rsid w:val="00AA1983"/>
    <w:rsid w:val="00AA2E22"/>
    <w:rsid w:val="00AA31D2"/>
    <w:rsid w:val="00AA3572"/>
    <w:rsid w:val="00AA3C52"/>
    <w:rsid w:val="00AA4E6E"/>
    <w:rsid w:val="00AA4EEF"/>
    <w:rsid w:val="00AA524C"/>
    <w:rsid w:val="00AA6025"/>
    <w:rsid w:val="00AA64A9"/>
    <w:rsid w:val="00AA7A9C"/>
    <w:rsid w:val="00AA7BDC"/>
    <w:rsid w:val="00AB0901"/>
    <w:rsid w:val="00AB0AC5"/>
    <w:rsid w:val="00AB0CB8"/>
    <w:rsid w:val="00AB0FBA"/>
    <w:rsid w:val="00AB150D"/>
    <w:rsid w:val="00AB16B7"/>
    <w:rsid w:val="00AB17BF"/>
    <w:rsid w:val="00AB20CB"/>
    <w:rsid w:val="00AB338B"/>
    <w:rsid w:val="00AB33AC"/>
    <w:rsid w:val="00AB35C5"/>
    <w:rsid w:val="00AB382F"/>
    <w:rsid w:val="00AB3AB0"/>
    <w:rsid w:val="00AB3EB2"/>
    <w:rsid w:val="00AB424E"/>
    <w:rsid w:val="00AB44E3"/>
    <w:rsid w:val="00AB52E3"/>
    <w:rsid w:val="00AB54E9"/>
    <w:rsid w:val="00AB5B26"/>
    <w:rsid w:val="00AB6B8D"/>
    <w:rsid w:val="00AB7592"/>
    <w:rsid w:val="00AC0BAA"/>
    <w:rsid w:val="00AC10DF"/>
    <w:rsid w:val="00AC139B"/>
    <w:rsid w:val="00AC13FC"/>
    <w:rsid w:val="00AC167A"/>
    <w:rsid w:val="00AC1FB0"/>
    <w:rsid w:val="00AC2DAB"/>
    <w:rsid w:val="00AC33B5"/>
    <w:rsid w:val="00AC39A2"/>
    <w:rsid w:val="00AC3BA5"/>
    <w:rsid w:val="00AC4AC8"/>
    <w:rsid w:val="00AC4DC6"/>
    <w:rsid w:val="00AC51E7"/>
    <w:rsid w:val="00AC52AC"/>
    <w:rsid w:val="00AC5455"/>
    <w:rsid w:val="00AC5885"/>
    <w:rsid w:val="00AC5963"/>
    <w:rsid w:val="00AC6125"/>
    <w:rsid w:val="00AC6B57"/>
    <w:rsid w:val="00AC6E1C"/>
    <w:rsid w:val="00AC71ED"/>
    <w:rsid w:val="00AD09F9"/>
    <w:rsid w:val="00AD1D19"/>
    <w:rsid w:val="00AD222B"/>
    <w:rsid w:val="00AD2295"/>
    <w:rsid w:val="00AD24F3"/>
    <w:rsid w:val="00AD2684"/>
    <w:rsid w:val="00AD2785"/>
    <w:rsid w:val="00AD2AD3"/>
    <w:rsid w:val="00AD2C3C"/>
    <w:rsid w:val="00AD33A4"/>
    <w:rsid w:val="00AD3E46"/>
    <w:rsid w:val="00AD46A3"/>
    <w:rsid w:val="00AD4932"/>
    <w:rsid w:val="00AD5362"/>
    <w:rsid w:val="00AD5594"/>
    <w:rsid w:val="00AD56E8"/>
    <w:rsid w:val="00AD56FD"/>
    <w:rsid w:val="00AD6EFD"/>
    <w:rsid w:val="00AD6F77"/>
    <w:rsid w:val="00AD7249"/>
    <w:rsid w:val="00AD78C1"/>
    <w:rsid w:val="00AE0EF6"/>
    <w:rsid w:val="00AE14D5"/>
    <w:rsid w:val="00AE15EF"/>
    <w:rsid w:val="00AE1A97"/>
    <w:rsid w:val="00AE34D1"/>
    <w:rsid w:val="00AE3A0E"/>
    <w:rsid w:val="00AE4175"/>
    <w:rsid w:val="00AE4B90"/>
    <w:rsid w:val="00AE5481"/>
    <w:rsid w:val="00AE5838"/>
    <w:rsid w:val="00AE607F"/>
    <w:rsid w:val="00AE688B"/>
    <w:rsid w:val="00AE6B88"/>
    <w:rsid w:val="00AE7438"/>
    <w:rsid w:val="00AF064A"/>
    <w:rsid w:val="00AF0A6D"/>
    <w:rsid w:val="00AF1567"/>
    <w:rsid w:val="00AF17C8"/>
    <w:rsid w:val="00AF1938"/>
    <w:rsid w:val="00AF203E"/>
    <w:rsid w:val="00AF33E2"/>
    <w:rsid w:val="00AF35EB"/>
    <w:rsid w:val="00AF398C"/>
    <w:rsid w:val="00AF3992"/>
    <w:rsid w:val="00AF576C"/>
    <w:rsid w:val="00AF67AE"/>
    <w:rsid w:val="00AF6A1D"/>
    <w:rsid w:val="00AF708D"/>
    <w:rsid w:val="00AF7BE7"/>
    <w:rsid w:val="00AF7C4D"/>
    <w:rsid w:val="00B00ED9"/>
    <w:rsid w:val="00B00EE5"/>
    <w:rsid w:val="00B0196F"/>
    <w:rsid w:val="00B02342"/>
    <w:rsid w:val="00B028B8"/>
    <w:rsid w:val="00B029DE"/>
    <w:rsid w:val="00B02AA9"/>
    <w:rsid w:val="00B02ABF"/>
    <w:rsid w:val="00B02C21"/>
    <w:rsid w:val="00B04520"/>
    <w:rsid w:val="00B0486E"/>
    <w:rsid w:val="00B04B19"/>
    <w:rsid w:val="00B0502C"/>
    <w:rsid w:val="00B06499"/>
    <w:rsid w:val="00B06863"/>
    <w:rsid w:val="00B06891"/>
    <w:rsid w:val="00B06B2A"/>
    <w:rsid w:val="00B06DE9"/>
    <w:rsid w:val="00B076DB"/>
    <w:rsid w:val="00B104E9"/>
    <w:rsid w:val="00B11A0E"/>
    <w:rsid w:val="00B11CA0"/>
    <w:rsid w:val="00B11D59"/>
    <w:rsid w:val="00B11DF9"/>
    <w:rsid w:val="00B136FF"/>
    <w:rsid w:val="00B13743"/>
    <w:rsid w:val="00B14733"/>
    <w:rsid w:val="00B1474A"/>
    <w:rsid w:val="00B14D5C"/>
    <w:rsid w:val="00B166F2"/>
    <w:rsid w:val="00B17305"/>
    <w:rsid w:val="00B1748D"/>
    <w:rsid w:val="00B17522"/>
    <w:rsid w:val="00B17B82"/>
    <w:rsid w:val="00B17D35"/>
    <w:rsid w:val="00B207FE"/>
    <w:rsid w:val="00B212DA"/>
    <w:rsid w:val="00B21ECE"/>
    <w:rsid w:val="00B21EF9"/>
    <w:rsid w:val="00B221A8"/>
    <w:rsid w:val="00B2282A"/>
    <w:rsid w:val="00B22C9A"/>
    <w:rsid w:val="00B2323D"/>
    <w:rsid w:val="00B2341B"/>
    <w:rsid w:val="00B23AD1"/>
    <w:rsid w:val="00B23BF0"/>
    <w:rsid w:val="00B24767"/>
    <w:rsid w:val="00B25252"/>
    <w:rsid w:val="00B25D09"/>
    <w:rsid w:val="00B26CE5"/>
    <w:rsid w:val="00B27C91"/>
    <w:rsid w:val="00B301B6"/>
    <w:rsid w:val="00B3052A"/>
    <w:rsid w:val="00B308C0"/>
    <w:rsid w:val="00B3161A"/>
    <w:rsid w:val="00B32817"/>
    <w:rsid w:val="00B33748"/>
    <w:rsid w:val="00B341BD"/>
    <w:rsid w:val="00B34A40"/>
    <w:rsid w:val="00B35439"/>
    <w:rsid w:val="00B3554F"/>
    <w:rsid w:val="00B3576F"/>
    <w:rsid w:val="00B35B4B"/>
    <w:rsid w:val="00B36028"/>
    <w:rsid w:val="00B3660F"/>
    <w:rsid w:val="00B367C3"/>
    <w:rsid w:val="00B36F6B"/>
    <w:rsid w:val="00B370F3"/>
    <w:rsid w:val="00B37493"/>
    <w:rsid w:val="00B40869"/>
    <w:rsid w:val="00B415F7"/>
    <w:rsid w:val="00B42E3E"/>
    <w:rsid w:val="00B43AB9"/>
    <w:rsid w:val="00B44602"/>
    <w:rsid w:val="00B44DCB"/>
    <w:rsid w:val="00B4513E"/>
    <w:rsid w:val="00B4571A"/>
    <w:rsid w:val="00B471AD"/>
    <w:rsid w:val="00B47440"/>
    <w:rsid w:val="00B510B5"/>
    <w:rsid w:val="00B512B8"/>
    <w:rsid w:val="00B51A2B"/>
    <w:rsid w:val="00B51B95"/>
    <w:rsid w:val="00B52BCE"/>
    <w:rsid w:val="00B52CA8"/>
    <w:rsid w:val="00B52DA8"/>
    <w:rsid w:val="00B52EDC"/>
    <w:rsid w:val="00B5376A"/>
    <w:rsid w:val="00B5511F"/>
    <w:rsid w:val="00B56682"/>
    <w:rsid w:val="00B568BE"/>
    <w:rsid w:val="00B57446"/>
    <w:rsid w:val="00B57527"/>
    <w:rsid w:val="00B577AC"/>
    <w:rsid w:val="00B577FB"/>
    <w:rsid w:val="00B57DA4"/>
    <w:rsid w:val="00B6022A"/>
    <w:rsid w:val="00B6045D"/>
    <w:rsid w:val="00B61042"/>
    <w:rsid w:val="00B61434"/>
    <w:rsid w:val="00B6178E"/>
    <w:rsid w:val="00B61E23"/>
    <w:rsid w:val="00B635DB"/>
    <w:rsid w:val="00B639AD"/>
    <w:rsid w:val="00B63BF0"/>
    <w:rsid w:val="00B63DD6"/>
    <w:rsid w:val="00B6409F"/>
    <w:rsid w:val="00B6516A"/>
    <w:rsid w:val="00B65879"/>
    <w:rsid w:val="00B659B4"/>
    <w:rsid w:val="00B65E04"/>
    <w:rsid w:val="00B66309"/>
    <w:rsid w:val="00B66AA7"/>
    <w:rsid w:val="00B66CDC"/>
    <w:rsid w:val="00B702C4"/>
    <w:rsid w:val="00B70F68"/>
    <w:rsid w:val="00B7134F"/>
    <w:rsid w:val="00B71AFF"/>
    <w:rsid w:val="00B72100"/>
    <w:rsid w:val="00B728D8"/>
    <w:rsid w:val="00B72AAE"/>
    <w:rsid w:val="00B73508"/>
    <w:rsid w:val="00B7401E"/>
    <w:rsid w:val="00B74600"/>
    <w:rsid w:val="00B74DAD"/>
    <w:rsid w:val="00B75051"/>
    <w:rsid w:val="00B753A5"/>
    <w:rsid w:val="00B76B9E"/>
    <w:rsid w:val="00B776A6"/>
    <w:rsid w:val="00B800EC"/>
    <w:rsid w:val="00B8032C"/>
    <w:rsid w:val="00B80367"/>
    <w:rsid w:val="00B807AD"/>
    <w:rsid w:val="00B80C75"/>
    <w:rsid w:val="00B80C9D"/>
    <w:rsid w:val="00B81BAE"/>
    <w:rsid w:val="00B82041"/>
    <w:rsid w:val="00B82669"/>
    <w:rsid w:val="00B831F2"/>
    <w:rsid w:val="00B832C0"/>
    <w:rsid w:val="00B84E1D"/>
    <w:rsid w:val="00B853DA"/>
    <w:rsid w:val="00B8579D"/>
    <w:rsid w:val="00B85D06"/>
    <w:rsid w:val="00B86ED7"/>
    <w:rsid w:val="00B86FF9"/>
    <w:rsid w:val="00B872F7"/>
    <w:rsid w:val="00B875AC"/>
    <w:rsid w:val="00B87F2F"/>
    <w:rsid w:val="00B87FAF"/>
    <w:rsid w:val="00B87FB8"/>
    <w:rsid w:val="00B90F0D"/>
    <w:rsid w:val="00B91306"/>
    <w:rsid w:val="00B92447"/>
    <w:rsid w:val="00B9260B"/>
    <w:rsid w:val="00B92BFA"/>
    <w:rsid w:val="00B93102"/>
    <w:rsid w:val="00B93338"/>
    <w:rsid w:val="00B93A31"/>
    <w:rsid w:val="00B94658"/>
    <w:rsid w:val="00B94743"/>
    <w:rsid w:val="00B9526D"/>
    <w:rsid w:val="00B95F30"/>
    <w:rsid w:val="00B96AD2"/>
    <w:rsid w:val="00B974FE"/>
    <w:rsid w:val="00B97710"/>
    <w:rsid w:val="00BA1243"/>
    <w:rsid w:val="00BA1810"/>
    <w:rsid w:val="00BA1982"/>
    <w:rsid w:val="00BA244E"/>
    <w:rsid w:val="00BA2EC1"/>
    <w:rsid w:val="00BA2F88"/>
    <w:rsid w:val="00BA3491"/>
    <w:rsid w:val="00BA3B63"/>
    <w:rsid w:val="00BA3CA7"/>
    <w:rsid w:val="00BA47CC"/>
    <w:rsid w:val="00BA4D1F"/>
    <w:rsid w:val="00BA5639"/>
    <w:rsid w:val="00BA765A"/>
    <w:rsid w:val="00BA77C5"/>
    <w:rsid w:val="00BA786D"/>
    <w:rsid w:val="00BA7906"/>
    <w:rsid w:val="00BA7D29"/>
    <w:rsid w:val="00BA7E1A"/>
    <w:rsid w:val="00BA7E2D"/>
    <w:rsid w:val="00BB0602"/>
    <w:rsid w:val="00BB0F21"/>
    <w:rsid w:val="00BB10D4"/>
    <w:rsid w:val="00BB20BF"/>
    <w:rsid w:val="00BB244F"/>
    <w:rsid w:val="00BB3248"/>
    <w:rsid w:val="00BB35E1"/>
    <w:rsid w:val="00BB42A9"/>
    <w:rsid w:val="00BB4743"/>
    <w:rsid w:val="00BB476F"/>
    <w:rsid w:val="00BB5A80"/>
    <w:rsid w:val="00BB5AC7"/>
    <w:rsid w:val="00BB5B4B"/>
    <w:rsid w:val="00BB5C21"/>
    <w:rsid w:val="00BB622E"/>
    <w:rsid w:val="00BB63B8"/>
    <w:rsid w:val="00BB6992"/>
    <w:rsid w:val="00BB6DC4"/>
    <w:rsid w:val="00BB6E18"/>
    <w:rsid w:val="00BB7BD3"/>
    <w:rsid w:val="00BC0291"/>
    <w:rsid w:val="00BC0D15"/>
    <w:rsid w:val="00BC1303"/>
    <w:rsid w:val="00BC155B"/>
    <w:rsid w:val="00BC1AC4"/>
    <w:rsid w:val="00BC202E"/>
    <w:rsid w:val="00BC2641"/>
    <w:rsid w:val="00BC2C6C"/>
    <w:rsid w:val="00BC39B4"/>
    <w:rsid w:val="00BC3B3C"/>
    <w:rsid w:val="00BC3C1B"/>
    <w:rsid w:val="00BC452E"/>
    <w:rsid w:val="00BC4D76"/>
    <w:rsid w:val="00BC52F2"/>
    <w:rsid w:val="00BC67C2"/>
    <w:rsid w:val="00BC6A6C"/>
    <w:rsid w:val="00BD012E"/>
    <w:rsid w:val="00BD0769"/>
    <w:rsid w:val="00BD10FF"/>
    <w:rsid w:val="00BD1174"/>
    <w:rsid w:val="00BD156D"/>
    <w:rsid w:val="00BD16F7"/>
    <w:rsid w:val="00BD245D"/>
    <w:rsid w:val="00BD2C6A"/>
    <w:rsid w:val="00BD3678"/>
    <w:rsid w:val="00BD3A52"/>
    <w:rsid w:val="00BD3CC6"/>
    <w:rsid w:val="00BD3FCE"/>
    <w:rsid w:val="00BD4868"/>
    <w:rsid w:val="00BD4A6A"/>
    <w:rsid w:val="00BD4EB9"/>
    <w:rsid w:val="00BD538B"/>
    <w:rsid w:val="00BD545E"/>
    <w:rsid w:val="00BD5B71"/>
    <w:rsid w:val="00BD5D5A"/>
    <w:rsid w:val="00BD5FC1"/>
    <w:rsid w:val="00BD62B6"/>
    <w:rsid w:val="00BD6930"/>
    <w:rsid w:val="00BD6CAF"/>
    <w:rsid w:val="00BD77FE"/>
    <w:rsid w:val="00BD7953"/>
    <w:rsid w:val="00BD7C90"/>
    <w:rsid w:val="00BD7F13"/>
    <w:rsid w:val="00BE078D"/>
    <w:rsid w:val="00BE0844"/>
    <w:rsid w:val="00BE0F06"/>
    <w:rsid w:val="00BE1243"/>
    <w:rsid w:val="00BE1381"/>
    <w:rsid w:val="00BE13C1"/>
    <w:rsid w:val="00BE2072"/>
    <w:rsid w:val="00BE2903"/>
    <w:rsid w:val="00BE2AF9"/>
    <w:rsid w:val="00BE348F"/>
    <w:rsid w:val="00BE3B40"/>
    <w:rsid w:val="00BE4B78"/>
    <w:rsid w:val="00BE5950"/>
    <w:rsid w:val="00BE5A0A"/>
    <w:rsid w:val="00BE5A3F"/>
    <w:rsid w:val="00BE606D"/>
    <w:rsid w:val="00BE6D1E"/>
    <w:rsid w:val="00BE7B15"/>
    <w:rsid w:val="00BE7DB4"/>
    <w:rsid w:val="00BECA10"/>
    <w:rsid w:val="00BF101D"/>
    <w:rsid w:val="00BF168D"/>
    <w:rsid w:val="00BF18E1"/>
    <w:rsid w:val="00BF1AA7"/>
    <w:rsid w:val="00BF1DEF"/>
    <w:rsid w:val="00BF1E5D"/>
    <w:rsid w:val="00BF2C27"/>
    <w:rsid w:val="00BF3760"/>
    <w:rsid w:val="00BF38A6"/>
    <w:rsid w:val="00BF3A0E"/>
    <w:rsid w:val="00BF4197"/>
    <w:rsid w:val="00BF4814"/>
    <w:rsid w:val="00BF4DBC"/>
    <w:rsid w:val="00BF4EA2"/>
    <w:rsid w:val="00BF68E1"/>
    <w:rsid w:val="00BF6EEE"/>
    <w:rsid w:val="00BF7A5D"/>
    <w:rsid w:val="00BF7B6A"/>
    <w:rsid w:val="00C00AB4"/>
    <w:rsid w:val="00C00CC3"/>
    <w:rsid w:val="00C01306"/>
    <w:rsid w:val="00C02073"/>
    <w:rsid w:val="00C0281E"/>
    <w:rsid w:val="00C02B01"/>
    <w:rsid w:val="00C02BD1"/>
    <w:rsid w:val="00C0328E"/>
    <w:rsid w:val="00C032DC"/>
    <w:rsid w:val="00C035B0"/>
    <w:rsid w:val="00C03CF8"/>
    <w:rsid w:val="00C041D8"/>
    <w:rsid w:val="00C042C3"/>
    <w:rsid w:val="00C04409"/>
    <w:rsid w:val="00C0465A"/>
    <w:rsid w:val="00C04A11"/>
    <w:rsid w:val="00C04C3C"/>
    <w:rsid w:val="00C04E2A"/>
    <w:rsid w:val="00C04EBA"/>
    <w:rsid w:val="00C051C3"/>
    <w:rsid w:val="00C05B48"/>
    <w:rsid w:val="00C06312"/>
    <w:rsid w:val="00C065E9"/>
    <w:rsid w:val="00C0704B"/>
    <w:rsid w:val="00C0742A"/>
    <w:rsid w:val="00C0743E"/>
    <w:rsid w:val="00C0784A"/>
    <w:rsid w:val="00C07B57"/>
    <w:rsid w:val="00C07B9B"/>
    <w:rsid w:val="00C1040D"/>
    <w:rsid w:val="00C1046A"/>
    <w:rsid w:val="00C10828"/>
    <w:rsid w:val="00C1098A"/>
    <w:rsid w:val="00C10B61"/>
    <w:rsid w:val="00C11BAA"/>
    <w:rsid w:val="00C11BFA"/>
    <w:rsid w:val="00C11C2F"/>
    <w:rsid w:val="00C11C32"/>
    <w:rsid w:val="00C11DDC"/>
    <w:rsid w:val="00C12396"/>
    <w:rsid w:val="00C12A6E"/>
    <w:rsid w:val="00C13CA5"/>
    <w:rsid w:val="00C14CD9"/>
    <w:rsid w:val="00C152A0"/>
    <w:rsid w:val="00C15429"/>
    <w:rsid w:val="00C15C90"/>
    <w:rsid w:val="00C16220"/>
    <w:rsid w:val="00C163A8"/>
    <w:rsid w:val="00C17070"/>
    <w:rsid w:val="00C174C4"/>
    <w:rsid w:val="00C175AC"/>
    <w:rsid w:val="00C2036B"/>
    <w:rsid w:val="00C204EC"/>
    <w:rsid w:val="00C2121C"/>
    <w:rsid w:val="00C212FF"/>
    <w:rsid w:val="00C21770"/>
    <w:rsid w:val="00C21897"/>
    <w:rsid w:val="00C2253E"/>
    <w:rsid w:val="00C22541"/>
    <w:rsid w:val="00C22968"/>
    <w:rsid w:val="00C22E0C"/>
    <w:rsid w:val="00C22EF1"/>
    <w:rsid w:val="00C2419C"/>
    <w:rsid w:val="00C2427C"/>
    <w:rsid w:val="00C2487F"/>
    <w:rsid w:val="00C24D5C"/>
    <w:rsid w:val="00C24E67"/>
    <w:rsid w:val="00C2556E"/>
    <w:rsid w:val="00C25D14"/>
    <w:rsid w:val="00C25E8F"/>
    <w:rsid w:val="00C25ECF"/>
    <w:rsid w:val="00C26298"/>
    <w:rsid w:val="00C26B57"/>
    <w:rsid w:val="00C30D07"/>
    <w:rsid w:val="00C30FB9"/>
    <w:rsid w:val="00C3353E"/>
    <w:rsid w:val="00C33665"/>
    <w:rsid w:val="00C33771"/>
    <w:rsid w:val="00C338D2"/>
    <w:rsid w:val="00C33D65"/>
    <w:rsid w:val="00C3408B"/>
    <w:rsid w:val="00C34F49"/>
    <w:rsid w:val="00C35245"/>
    <w:rsid w:val="00C371A8"/>
    <w:rsid w:val="00C373B6"/>
    <w:rsid w:val="00C40251"/>
    <w:rsid w:val="00C407DB"/>
    <w:rsid w:val="00C40AC0"/>
    <w:rsid w:val="00C40D42"/>
    <w:rsid w:val="00C40DA5"/>
    <w:rsid w:val="00C4228C"/>
    <w:rsid w:val="00C42A23"/>
    <w:rsid w:val="00C43690"/>
    <w:rsid w:val="00C46126"/>
    <w:rsid w:val="00C46397"/>
    <w:rsid w:val="00C46473"/>
    <w:rsid w:val="00C46491"/>
    <w:rsid w:val="00C4679A"/>
    <w:rsid w:val="00C46C67"/>
    <w:rsid w:val="00C474A2"/>
    <w:rsid w:val="00C4751F"/>
    <w:rsid w:val="00C47CE9"/>
    <w:rsid w:val="00C500AB"/>
    <w:rsid w:val="00C501C6"/>
    <w:rsid w:val="00C502D7"/>
    <w:rsid w:val="00C50850"/>
    <w:rsid w:val="00C508CE"/>
    <w:rsid w:val="00C5098C"/>
    <w:rsid w:val="00C50FFC"/>
    <w:rsid w:val="00C510FB"/>
    <w:rsid w:val="00C513A5"/>
    <w:rsid w:val="00C51677"/>
    <w:rsid w:val="00C519DE"/>
    <w:rsid w:val="00C523D7"/>
    <w:rsid w:val="00C52F0F"/>
    <w:rsid w:val="00C53318"/>
    <w:rsid w:val="00C5343B"/>
    <w:rsid w:val="00C53942"/>
    <w:rsid w:val="00C539C2"/>
    <w:rsid w:val="00C53A36"/>
    <w:rsid w:val="00C540DD"/>
    <w:rsid w:val="00C5437D"/>
    <w:rsid w:val="00C54C75"/>
    <w:rsid w:val="00C5590C"/>
    <w:rsid w:val="00C56035"/>
    <w:rsid w:val="00C56AAB"/>
    <w:rsid w:val="00C56BCB"/>
    <w:rsid w:val="00C571CF"/>
    <w:rsid w:val="00C5760E"/>
    <w:rsid w:val="00C576D5"/>
    <w:rsid w:val="00C579BF"/>
    <w:rsid w:val="00C57C1C"/>
    <w:rsid w:val="00C60A49"/>
    <w:rsid w:val="00C613BA"/>
    <w:rsid w:val="00C6178C"/>
    <w:rsid w:val="00C62882"/>
    <w:rsid w:val="00C62D69"/>
    <w:rsid w:val="00C62F4B"/>
    <w:rsid w:val="00C63621"/>
    <w:rsid w:val="00C6374D"/>
    <w:rsid w:val="00C63C29"/>
    <w:rsid w:val="00C643D8"/>
    <w:rsid w:val="00C6442A"/>
    <w:rsid w:val="00C644BD"/>
    <w:rsid w:val="00C64A0A"/>
    <w:rsid w:val="00C65102"/>
    <w:rsid w:val="00C65D32"/>
    <w:rsid w:val="00C65E74"/>
    <w:rsid w:val="00C65F11"/>
    <w:rsid w:val="00C6669F"/>
    <w:rsid w:val="00C66919"/>
    <w:rsid w:val="00C6726A"/>
    <w:rsid w:val="00C67347"/>
    <w:rsid w:val="00C6750E"/>
    <w:rsid w:val="00C67F1F"/>
    <w:rsid w:val="00C7040C"/>
    <w:rsid w:val="00C7080A"/>
    <w:rsid w:val="00C711F6"/>
    <w:rsid w:val="00C713E4"/>
    <w:rsid w:val="00C71599"/>
    <w:rsid w:val="00C717F9"/>
    <w:rsid w:val="00C71FC5"/>
    <w:rsid w:val="00C72498"/>
    <w:rsid w:val="00C73922"/>
    <w:rsid w:val="00C7399D"/>
    <w:rsid w:val="00C743FB"/>
    <w:rsid w:val="00C74434"/>
    <w:rsid w:val="00C74FF7"/>
    <w:rsid w:val="00C755FD"/>
    <w:rsid w:val="00C76F03"/>
    <w:rsid w:val="00C80152"/>
    <w:rsid w:val="00C80669"/>
    <w:rsid w:val="00C80EC7"/>
    <w:rsid w:val="00C81313"/>
    <w:rsid w:val="00C8136F"/>
    <w:rsid w:val="00C8188A"/>
    <w:rsid w:val="00C81BBC"/>
    <w:rsid w:val="00C81D0B"/>
    <w:rsid w:val="00C81F61"/>
    <w:rsid w:val="00C8222C"/>
    <w:rsid w:val="00C82251"/>
    <w:rsid w:val="00C822F8"/>
    <w:rsid w:val="00C8376A"/>
    <w:rsid w:val="00C83BFF"/>
    <w:rsid w:val="00C84387"/>
    <w:rsid w:val="00C8452F"/>
    <w:rsid w:val="00C84618"/>
    <w:rsid w:val="00C8574B"/>
    <w:rsid w:val="00C85CE0"/>
    <w:rsid w:val="00C86674"/>
    <w:rsid w:val="00C867D1"/>
    <w:rsid w:val="00C868ED"/>
    <w:rsid w:val="00C86C32"/>
    <w:rsid w:val="00C86D6A"/>
    <w:rsid w:val="00C87BBA"/>
    <w:rsid w:val="00C87D5B"/>
    <w:rsid w:val="00C87E16"/>
    <w:rsid w:val="00C87ED3"/>
    <w:rsid w:val="00C90815"/>
    <w:rsid w:val="00C908A4"/>
    <w:rsid w:val="00C90BF7"/>
    <w:rsid w:val="00C90FD0"/>
    <w:rsid w:val="00C90FE7"/>
    <w:rsid w:val="00C91D4E"/>
    <w:rsid w:val="00C91E7F"/>
    <w:rsid w:val="00C9264A"/>
    <w:rsid w:val="00C92C9C"/>
    <w:rsid w:val="00C92D4C"/>
    <w:rsid w:val="00C9375F"/>
    <w:rsid w:val="00C94980"/>
    <w:rsid w:val="00C95090"/>
    <w:rsid w:val="00C9594E"/>
    <w:rsid w:val="00C95B2F"/>
    <w:rsid w:val="00C96798"/>
    <w:rsid w:val="00C969BD"/>
    <w:rsid w:val="00C96BBE"/>
    <w:rsid w:val="00C975EA"/>
    <w:rsid w:val="00CA0B75"/>
    <w:rsid w:val="00CA1334"/>
    <w:rsid w:val="00CA172E"/>
    <w:rsid w:val="00CA1D8F"/>
    <w:rsid w:val="00CA1E55"/>
    <w:rsid w:val="00CA1EE5"/>
    <w:rsid w:val="00CA1F7A"/>
    <w:rsid w:val="00CA247E"/>
    <w:rsid w:val="00CA2548"/>
    <w:rsid w:val="00CA2A50"/>
    <w:rsid w:val="00CA3139"/>
    <w:rsid w:val="00CA3C0B"/>
    <w:rsid w:val="00CA3D75"/>
    <w:rsid w:val="00CA4FA9"/>
    <w:rsid w:val="00CA6346"/>
    <w:rsid w:val="00CA6C07"/>
    <w:rsid w:val="00CA7EC8"/>
    <w:rsid w:val="00CB00A0"/>
    <w:rsid w:val="00CB068C"/>
    <w:rsid w:val="00CB0C9E"/>
    <w:rsid w:val="00CB13F4"/>
    <w:rsid w:val="00CB16D3"/>
    <w:rsid w:val="00CB1843"/>
    <w:rsid w:val="00CB1BC9"/>
    <w:rsid w:val="00CB2252"/>
    <w:rsid w:val="00CB2351"/>
    <w:rsid w:val="00CB2545"/>
    <w:rsid w:val="00CB2C9B"/>
    <w:rsid w:val="00CB35D6"/>
    <w:rsid w:val="00CB4924"/>
    <w:rsid w:val="00CB51CB"/>
    <w:rsid w:val="00CB53FD"/>
    <w:rsid w:val="00CB55B2"/>
    <w:rsid w:val="00CB5B75"/>
    <w:rsid w:val="00CB5D1E"/>
    <w:rsid w:val="00CB6C3C"/>
    <w:rsid w:val="00CB7539"/>
    <w:rsid w:val="00CC018F"/>
    <w:rsid w:val="00CC0AFC"/>
    <w:rsid w:val="00CC0F34"/>
    <w:rsid w:val="00CC144C"/>
    <w:rsid w:val="00CC200B"/>
    <w:rsid w:val="00CC2C32"/>
    <w:rsid w:val="00CC35D3"/>
    <w:rsid w:val="00CC38E9"/>
    <w:rsid w:val="00CC47C6"/>
    <w:rsid w:val="00CC4914"/>
    <w:rsid w:val="00CC5090"/>
    <w:rsid w:val="00CC5A33"/>
    <w:rsid w:val="00CC5DE0"/>
    <w:rsid w:val="00CC6FF2"/>
    <w:rsid w:val="00CC71AA"/>
    <w:rsid w:val="00CC7597"/>
    <w:rsid w:val="00CD0542"/>
    <w:rsid w:val="00CD0FF5"/>
    <w:rsid w:val="00CD18E0"/>
    <w:rsid w:val="00CD1B2D"/>
    <w:rsid w:val="00CD2056"/>
    <w:rsid w:val="00CD2417"/>
    <w:rsid w:val="00CD2474"/>
    <w:rsid w:val="00CD2C0B"/>
    <w:rsid w:val="00CD2DFD"/>
    <w:rsid w:val="00CD32D2"/>
    <w:rsid w:val="00CD34E1"/>
    <w:rsid w:val="00CD3561"/>
    <w:rsid w:val="00CD42A7"/>
    <w:rsid w:val="00CD43D9"/>
    <w:rsid w:val="00CD43FA"/>
    <w:rsid w:val="00CD44CC"/>
    <w:rsid w:val="00CD46B4"/>
    <w:rsid w:val="00CD4B01"/>
    <w:rsid w:val="00CD4CEF"/>
    <w:rsid w:val="00CD4D50"/>
    <w:rsid w:val="00CD545C"/>
    <w:rsid w:val="00CD556B"/>
    <w:rsid w:val="00CD58CA"/>
    <w:rsid w:val="00CD642A"/>
    <w:rsid w:val="00CD6EA4"/>
    <w:rsid w:val="00CD747A"/>
    <w:rsid w:val="00CD75E2"/>
    <w:rsid w:val="00CD7653"/>
    <w:rsid w:val="00CD76E1"/>
    <w:rsid w:val="00CE0130"/>
    <w:rsid w:val="00CE014E"/>
    <w:rsid w:val="00CE07B2"/>
    <w:rsid w:val="00CE07B8"/>
    <w:rsid w:val="00CE0F23"/>
    <w:rsid w:val="00CE1889"/>
    <w:rsid w:val="00CE2108"/>
    <w:rsid w:val="00CE24CE"/>
    <w:rsid w:val="00CE3552"/>
    <w:rsid w:val="00CE3658"/>
    <w:rsid w:val="00CE3A1E"/>
    <w:rsid w:val="00CE5414"/>
    <w:rsid w:val="00CE546C"/>
    <w:rsid w:val="00CE59BF"/>
    <w:rsid w:val="00CE7422"/>
    <w:rsid w:val="00CE7745"/>
    <w:rsid w:val="00CF0899"/>
    <w:rsid w:val="00CF092F"/>
    <w:rsid w:val="00CF0CAE"/>
    <w:rsid w:val="00CF0E2A"/>
    <w:rsid w:val="00CF1D27"/>
    <w:rsid w:val="00CF22D5"/>
    <w:rsid w:val="00CF271D"/>
    <w:rsid w:val="00CF3A2C"/>
    <w:rsid w:val="00CF3AC6"/>
    <w:rsid w:val="00CF40D3"/>
    <w:rsid w:val="00CF4B00"/>
    <w:rsid w:val="00CF4C51"/>
    <w:rsid w:val="00CF4E89"/>
    <w:rsid w:val="00CF5FB8"/>
    <w:rsid w:val="00CF6448"/>
    <w:rsid w:val="00CF659D"/>
    <w:rsid w:val="00CF7AEF"/>
    <w:rsid w:val="00CF7C99"/>
    <w:rsid w:val="00D01DE7"/>
    <w:rsid w:val="00D01E61"/>
    <w:rsid w:val="00D031D6"/>
    <w:rsid w:val="00D03372"/>
    <w:rsid w:val="00D034DD"/>
    <w:rsid w:val="00D03BEE"/>
    <w:rsid w:val="00D03BF9"/>
    <w:rsid w:val="00D03CC4"/>
    <w:rsid w:val="00D045D4"/>
    <w:rsid w:val="00D0484D"/>
    <w:rsid w:val="00D056A9"/>
    <w:rsid w:val="00D05B6B"/>
    <w:rsid w:val="00D06A74"/>
    <w:rsid w:val="00D06E26"/>
    <w:rsid w:val="00D10894"/>
    <w:rsid w:val="00D11152"/>
    <w:rsid w:val="00D11917"/>
    <w:rsid w:val="00D11AEE"/>
    <w:rsid w:val="00D1284E"/>
    <w:rsid w:val="00D136B2"/>
    <w:rsid w:val="00D1415E"/>
    <w:rsid w:val="00D1440F"/>
    <w:rsid w:val="00D144CE"/>
    <w:rsid w:val="00D147DF"/>
    <w:rsid w:val="00D14A32"/>
    <w:rsid w:val="00D14C6B"/>
    <w:rsid w:val="00D14FEC"/>
    <w:rsid w:val="00D1521E"/>
    <w:rsid w:val="00D1522D"/>
    <w:rsid w:val="00D153FE"/>
    <w:rsid w:val="00D15858"/>
    <w:rsid w:val="00D15ECC"/>
    <w:rsid w:val="00D205EE"/>
    <w:rsid w:val="00D210EA"/>
    <w:rsid w:val="00D214DB"/>
    <w:rsid w:val="00D215A4"/>
    <w:rsid w:val="00D21F92"/>
    <w:rsid w:val="00D222B0"/>
    <w:rsid w:val="00D223E6"/>
    <w:rsid w:val="00D23080"/>
    <w:rsid w:val="00D230E5"/>
    <w:rsid w:val="00D23223"/>
    <w:rsid w:val="00D25711"/>
    <w:rsid w:val="00D25CCD"/>
    <w:rsid w:val="00D27A19"/>
    <w:rsid w:val="00D27F0A"/>
    <w:rsid w:val="00D31995"/>
    <w:rsid w:val="00D31D4C"/>
    <w:rsid w:val="00D324AF"/>
    <w:rsid w:val="00D326CD"/>
    <w:rsid w:val="00D32EC8"/>
    <w:rsid w:val="00D34083"/>
    <w:rsid w:val="00D34D5C"/>
    <w:rsid w:val="00D351A5"/>
    <w:rsid w:val="00D35A78"/>
    <w:rsid w:val="00D35F36"/>
    <w:rsid w:val="00D367BF"/>
    <w:rsid w:val="00D3764D"/>
    <w:rsid w:val="00D37758"/>
    <w:rsid w:val="00D405A1"/>
    <w:rsid w:val="00D4090A"/>
    <w:rsid w:val="00D40A68"/>
    <w:rsid w:val="00D40DA6"/>
    <w:rsid w:val="00D40DBE"/>
    <w:rsid w:val="00D411B0"/>
    <w:rsid w:val="00D4193C"/>
    <w:rsid w:val="00D41AE6"/>
    <w:rsid w:val="00D42920"/>
    <w:rsid w:val="00D431CB"/>
    <w:rsid w:val="00D432AF"/>
    <w:rsid w:val="00D43FF3"/>
    <w:rsid w:val="00D44360"/>
    <w:rsid w:val="00D448A9"/>
    <w:rsid w:val="00D45712"/>
    <w:rsid w:val="00D45991"/>
    <w:rsid w:val="00D46817"/>
    <w:rsid w:val="00D46C78"/>
    <w:rsid w:val="00D46FD7"/>
    <w:rsid w:val="00D47711"/>
    <w:rsid w:val="00D47B99"/>
    <w:rsid w:val="00D5128B"/>
    <w:rsid w:val="00D512AE"/>
    <w:rsid w:val="00D51765"/>
    <w:rsid w:val="00D51C3B"/>
    <w:rsid w:val="00D52006"/>
    <w:rsid w:val="00D5207F"/>
    <w:rsid w:val="00D5234F"/>
    <w:rsid w:val="00D52649"/>
    <w:rsid w:val="00D526F4"/>
    <w:rsid w:val="00D5315C"/>
    <w:rsid w:val="00D541F4"/>
    <w:rsid w:val="00D54BAB"/>
    <w:rsid w:val="00D566F2"/>
    <w:rsid w:val="00D56819"/>
    <w:rsid w:val="00D56C48"/>
    <w:rsid w:val="00D56F4C"/>
    <w:rsid w:val="00D570FA"/>
    <w:rsid w:val="00D57391"/>
    <w:rsid w:val="00D600CF"/>
    <w:rsid w:val="00D60CF5"/>
    <w:rsid w:val="00D6119F"/>
    <w:rsid w:val="00D619D7"/>
    <w:rsid w:val="00D625CD"/>
    <w:rsid w:val="00D62EFB"/>
    <w:rsid w:val="00D63959"/>
    <w:rsid w:val="00D63A5C"/>
    <w:rsid w:val="00D63C36"/>
    <w:rsid w:val="00D63DBE"/>
    <w:rsid w:val="00D645F3"/>
    <w:rsid w:val="00D65693"/>
    <w:rsid w:val="00D65AF6"/>
    <w:rsid w:val="00D65CC2"/>
    <w:rsid w:val="00D65FB1"/>
    <w:rsid w:val="00D708BB"/>
    <w:rsid w:val="00D70906"/>
    <w:rsid w:val="00D71305"/>
    <w:rsid w:val="00D7235D"/>
    <w:rsid w:val="00D72CBA"/>
    <w:rsid w:val="00D72D65"/>
    <w:rsid w:val="00D72F08"/>
    <w:rsid w:val="00D73026"/>
    <w:rsid w:val="00D73409"/>
    <w:rsid w:val="00D734ED"/>
    <w:rsid w:val="00D73AFB"/>
    <w:rsid w:val="00D74C95"/>
    <w:rsid w:val="00D7532C"/>
    <w:rsid w:val="00D75B85"/>
    <w:rsid w:val="00D76189"/>
    <w:rsid w:val="00D76906"/>
    <w:rsid w:val="00D76D7B"/>
    <w:rsid w:val="00D770D4"/>
    <w:rsid w:val="00D803C9"/>
    <w:rsid w:val="00D82442"/>
    <w:rsid w:val="00D82A30"/>
    <w:rsid w:val="00D82A7F"/>
    <w:rsid w:val="00D830F2"/>
    <w:rsid w:val="00D83237"/>
    <w:rsid w:val="00D832C9"/>
    <w:rsid w:val="00D83B1E"/>
    <w:rsid w:val="00D83CEE"/>
    <w:rsid w:val="00D85A20"/>
    <w:rsid w:val="00D86D76"/>
    <w:rsid w:val="00D86DC8"/>
    <w:rsid w:val="00D879FA"/>
    <w:rsid w:val="00D87D1E"/>
    <w:rsid w:val="00D900A5"/>
    <w:rsid w:val="00D9010D"/>
    <w:rsid w:val="00D90154"/>
    <w:rsid w:val="00D90206"/>
    <w:rsid w:val="00D90317"/>
    <w:rsid w:val="00D903CD"/>
    <w:rsid w:val="00D9066C"/>
    <w:rsid w:val="00D90FAE"/>
    <w:rsid w:val="00D91244"/>
    <w:rsid w:val="00D91CDA"/>
    <w:rsid w:val="00D922F1"/>
    <w:rsid w:val="00D9253E"/>
    <w:rsid w:val="00D92746"/>
    <w:rsid w:val="00D92958"/>
    <w:rsid w:val="00D9567F"/>
    <w:rsid w:val="00D9596E"/>
    <w:rsid w:val="00D9625A"/>
    <w:rsid w:val="00D96577"/>
    <w:rsid w:val="00D970EC"/>
    <w:rsid w:val="00D978E2"/>
    <w:rsid w:val="00DA0172"/>
    <w:rsid w:val="00DA16E2"/>
    <w:rsid w:val="00DA1D75"/>
    <w:rsid w:val="00DA26A2"/>
    <w:rsid w:val="00DA2C21"/>
    <w:rsid w:val="00DA31CE"/>
    <w:rsid w:val="00DA33D5"/>
    <w:rsid w:val="00DA3549"/>
    <w:rsid w:val="00DA3F0F"/>
    <w:rsid w:val="00DA4265"/>
    <w:rsid w:val="00DA44C1"/>
    <w:rsid w:val="00DA49A2"/>
    <w:rsid w:val="00DA4F15"/>
    <w:rsid w:val="00DA5014"/>
    <w:rsid w:val="00DA5265"/>
    <w:rsid w:val="00DA5362"/>
    <w:rsid w:val="00DA5495"/>
    <w:rsid w:val="00DA5BA3"/>
    <w:rsid w:val="00DA6081"/>
    <w:rsid w:val="00DA63C1"/>
    <w:rsid w:val="00DA648C"/>
    <w:rsid w:val="00DA6E8F"/>
    <w:rsid w:val="00DA6EA8"/>
    <w:rsid w:val="00DA710E"/>
    <w:rsid w:val="00DA7464"/>
    <w:rsid w:val="00DA78D3"/>
    <w:rsid w:val="00DB0F1C"/>
    <w:rsid w:val="00DB0F63"/>
    <w:rsid w:val="00DB16BA"/>
    <w:rsid w:val="00DB2541"/>
    <w:rsid w:val="00DB3C5B"/>
    <w:rsid w:val="00DB3EEB"/>
    <w:rsid w:val="00DB448A"/>
    <w:rsid w:val="00DB4920"/>
    <w:rsid w:val="00DB4CA8"/>
    <w:rsid w:val="00DB5181"/>
    <w:rsid w:val="00DB56A4"/>
    <w:rsid w:val="00DB626A"/>
    <w:rsid w:val="00DB6428"/>
    <w:rsid w:val="00DB6DD7"/>
    <w:rsid w:val="00DB7408"/>
    <w:rsid w:val="00DB78BE"/>
    <w:rsid w:val="00DB7D1A"/>
    <w:rsid w:val="00DB7E09"/>
    <w:rsid w:val="00DC0CD5"/>
    <w:rsid w:val="00DC0E7E"/>
    <w:rsid w:val="00DC1397"/>
    <w:rsid w:val="00DC183D"/>
    <w:rsid w:val="00DC1B80"/>
    <w:rsid w:val="00DC1C62"/>
    <w:rsid w:val="00DC1F8E"/>
    <w:rsid w:val="00DC2684"/>
    <w:rsid w:val="00DC3792"/>
    <w:rsid w:val="00DC396B"/>
    <w:rsid w:val="00DC4BB3"/>
    <w:rsid w:val="00DC4CC2"/>
    <w:rsid w:val="00DC522E"/>
    <w:rsid w:val="00DC5C62"/>
    <w:rsid w:val="00DC5E52"/>
    <w:rsid w:val="00DC6AC8"/>
    <w:rsid w:val="00DD01D5"/>
    <w:rsid w:val="00DD0622"/>
    <w:rsid w:val="00DD06AD"/>
    <w:rsid w:val="00DD0F1A"/>
    <w:rsid w:val="00DD1723"/>
    <w:rsid w:val="00DD18B4"/>
    <w:rsid w:val="00DD20B9"/>
    <w:rsid w:val="00DD21F6"/>
    <w:rsid w:val="00DD2957"/>
    <w:rsid w:val="00DD3653"/>
    <w:rsid w:val="00DD3904"/>
    <w:rsid w:val="00DD3993"/>
    <w:rsid w:val="00DD3C75"/>
    <w:rsid w:val="00DD3FA4"/>
    <w:rsid w:val="00DD436F"/>
    <w:rsid w:val="00DD5029"/>
    <w:rsid w:val="00DD7C2E"/>
    <w:rsid w:val="00DD7CF1"/>
    <w:rsid w:val="00DD7F45"/>
    <w:rsid w:val="00DE00E0"/>
    <w:rsid w:val="00DE03E2"/>
    <w:rsid w:val="00DE0700"/>
    <w:rsid w:val="00DE193F"/>
    <w:rsid w:val="00DE2655"/>
    <w:rsid w:val="00DE2A33"/>
    <w:rsid w:val="00DE3A75"/>
    <w:rsid w:val="00DE3A7A"/>
    <w:rsid w:val="00DE41C0"/>
    <w:rsid w:val="00DE51EE"/>
    <w:rsid w:val="00DE5C42"/>
    <w:rsid w:val="00DE61AF"/>
    <w:rsid w:val="00DE68BF"/>
    <w:rsid w:val="00DE796A"/>
    <w:rsid w:val="00DF0318"/>
    <w:rsid w:val="00DF0BD7"/>
    <w:rsid w:val="00DF0D12"/>
    <w:rsid w:val="00DF1108"/>
    <w:rsid w:val="00DF2290"/>
    <w:rsid w:val="00DF2845"/>
    <w:rsid w:val="00DF35C5"/>
    <w:rsid w:val="00DF3A0B"/>
    <w:rsid w:val="00DF3B79"/>
    <w:rsid w:val="00DF42A9"/>
    <w:rsid w:val="00DF4A66"/>
    <w:rsid w:val="00DF5EA2"/>
    <w:rsid w:val="00DF6E50"/>
    <w:rsid w:val="00DF7963"/>
    <w:rsid w:val="00DF7991"/>
    <w:rsid w:val="00E00150"/>
    <w:rsid w:val="00E00668"/>
    <w:rsid w:val="00E006D6"/>
    <w:rsid w:val="00E007A1"/>
    <w:rsid w:val="00E00D76"/>
    <w:rsid w:val="00E00F69"/>
    <w:rsid w:val="00E01233"/>
    <w:rsid w:val="00E01248"/>
    <w:rsid w:val="00E01C55"/>
    <w:rsid w:val="00E033F3"/>
    <w:rsid w:val="00E03523"/>
    <w:rsid w:val="00E04320"/>
    <w:rsid w:val="00E043FF"/>
    <w:rsid w:val="00E046E7"/>
    <w:rsid w:val="00E05423"/>
    <w:rsid w:val="00E057CF"/>
    <w:rsid w:val="00E05D15"/>
    <w:rsid w:val="00E06186"/>
    <w:rsid w:val="00E06E0E"/>
    <w:rsid w:val="00E06F6A"/>
    <w:rsid w:val="00E0723F"/>
    <w:rsid w:val="00E07358"/>
    <w:rsid w:val="00E075B4"/>
    <w:rsid w:val="00E0D7DA"/>
    <w:rsid w:val="00E10957"/>
    <w:rsid w:val="00E109D3"/>
    <w:rsid w:val="00E10B13"/>
    <w:rsid w:val="00E11818"/>
    <w:rsid w:val="00E11B87"/>
    <w:rsid w:val="00E11C8F"/>
    <w:rsid w:val="00E12587"/>
    <w:rsid w:val="00E12B8E"/>
    <w:rsid w:val="00E1324F"/>
    <w:rsid w:val="00E13BE0"/>
    <w:rsid w:val="00E13CCB"/>
    <w:rsid w:val="00E13DCE"/>
    <w:rsid w:val="00E14096"/>
    <w:rsid w:val="00E141CD"/>
    <w:rsid w:val="00E144AB"/>
    <w:rsid w:val="00E14956"/>
    <w:rsid w:val="00E15255"/>
    <w:rsid w:val="00E159C1"/>
    <w:rsid w:val="00E15CDC"/>
    <w:rsid w:val="00E163D1"/>
    <w:rsid w:val="00E178D8"/>
    <w:rsid w:val="00E179C1"/>
    <w:rsid w:val="00E20B13"/>
    <w:rsid w:val="00E21FB7"/>
    <w:rsid w:val="00E22256"/>
    <w:rsid w:val="00E227DA"/>
    <w:rsid w:val="00E22F49"/>
    <w:rsid w:val="00E23B12"/>
    <w:rsid w:val="00E23B99"/>
    <w:rsid w:val="00E24215"/>
    <w:rsid w:val="00E2452C"/>
    <w:rsid w:val="00E245DA"/>
    <w:rsid w:val="00E24D1B"/>
    <w:rsid w:val="00E24EE6"/>
    <w:rsid w:val="00E258BF"/>
    <w:rsid w:val="00E25E4E"/>
    <w:rsid w:val="00E269F3"/>
    <w:rsid w:val="00E26E61"/>
    <w:rsid w:val="00E276B9"/>
    <w:rsid w:val="00E279B3"/>
    <w:rsid w:val="00E30E4B"/>
    <w:rsid w:val="00E314C0"/>
    <w:rsid w:val="00E321C4"/>
    <w:rsid w:val="00E32954"/>
    <w:rsid w:val="00E32BF5"/>
    <w:rsid w:val="00E32F7B"/>
    <w:rsid w:val="00E33736"/>
    <w:rsid w:val="00E33843"/>
    <w:rsid w:val="00E33AAD"/>
    <w:rsid w:val="00E33C74"/>
    <w:rsid w:val="00E34216"/>
    <w:rsid w:val="00E34488"/>
    <w:rsid w:val="00E34D87"/>
    <w:rsid w:val="00E34EA1"/>
    <w:rsid w:val="00E35E76"/>
    <w:rsid w:val="00E36486"/>
    <w:rsid w:val="00E3769B"/>
    <w:rsid w:val="00E37CD7"/>
    <w:rsid w:val="00E40166"/>
    <w:rsid w:val="00E40203"/>
    <w:rsid w:val="00E41535"/>
    <w:rsid w:val="00E42026"/>
    <w:rsid w:val="00E42573"/>
    <w:rsid w:val="00E43C88"/>
    <w:rsid w:val="00E440A0"/>
    <w:rsid w:val="00E44881"/>
    <w:rsid w:val="00E44925"/>
    <w:rsid w:val="00E45423"/>
    <w:rsid w:val="00E45836"/>
    <w:rsid w:val="00E4680C"/>
    <w:rsid w:val="00E46DC9"/>
    <w:rsid w:val="00E4750B"/>
    <w:rsid w:val="00E47946"/>
    <w:rsid w:val="00E505CE"/>
    <w:rsid w:val="00E50F5B"/>
    <w:rsid w:val="00E5195D"/>
    <w:rsid w:val="00E5316D"/>
    <w:rsid w:val="00E532DA"/>
    <w:rsid w:val="00E53C93"/>
    <w:rsid w:val="00E5420C"/>
    <w:rsid w:val="00E5553A"/>
    <w:rsid w:val="00E56838"/>
    <w:rsid w:val="00E56BB9"/>
    <w:rsid w:val="00E56E3E"/>
    <w:rsid w:val="00E5715F"/>
    <w:rsid w:val="00E57F6A"/>
    <w:rsid w:val="00E6021C"/>
    <w:rsid w:val="00E6023A"/>
    <w:rsid w:val="00E6074F"/>
    <w:rsid w:val="00E60ACF"/>
    <w:rsid w:val="00E6168C"/>
    <w:rsid w:val="00E619FA"/>
    <w:rsid w:val="00E620B2"/>
    <w:rsid w:val="00E628FC"/>
    <w:rsid w:val="00E63270"/>
    <w:rsid w:val="00E637D6"/>
    <w:rsid w:val="00E63EC9"/>
    <w:rsid w:val="00E64B80"/>
    <w:rsid w:val="00E651B6"/>
    <w:rsid w:val="00E65D64"/>
    <w:rsid w:val="00E66889"/>
    <w:rsid w:val="00E66BB8"/>
    <w:rsid w:val="00E67017"/>
    <w:rsid w:val="00E673C1"/>
    <w:rsid w:val="00E67ED8"/>
    <w:rsid w:val="00E707D6"/>
    <w:rsid w:val="00E70ADF"/>
    <w:rsid w:val="00E71582"/>
    <w:rsid w:val="00E71DAC"/>
    <w:rsid w:val="00E71F70"/>
    <w:rsid w:val="00E71FF5"/>
    <w:rsid w:val="00E720E9"/>
    <w:rsid w:val="00E7212D"/>
    <w:rsid w:val="00E72B4B"/>
    <w:rsid w:val="00E730C4"/>
    <w:rsid w:val="00E735D0"/>
    <w:rsid w:val="00E73662"/>
    <w:rsid w:val="00E74528"/>
    <w:rsid w:val="00E748FE"/>
    <w:rsid w:val="00E74C8A"/>
    <w:rsid w:val="00E7534B"/>
    <w:rsid w:val="00E7674C"/>
    <w:rsid w:val="00E76B9B"/>
    <w:rsid w:val="00E76D3B"/>
    <w:rsid w:val="00E76F00"/>
    <w:rsid w:val="00E77D0D"/>
    <w:rsid w:val="00E80482"/>
    <w:rsid w:val="00E809F9"/>
    <w:rsid w:val="00E80EB0"/>
    <w:rsid w:val="00E82117"/>
    <w:rsid w:val="00E8261C"/>
    <w:rsid w:val="00E82772"/>
    <w:rsid w:val="00E829B9"/>
    <w:rsid w:val="00E83B8C"/>
    <w:rsid w:val="00E84140"/>
    <w:rsid w:val="00E8436E"/>
    <w:rsid w:val="00E84CDA"/>
    <w:rsid w:val="00E85449"/>
    <w:rsid w:val="00E8551E"/>
    <w:rsid w:val="00E86338"/>
    <w:rsid w:val="00E86422"/>
    <w:rsid w:val="00E86BE4"/>
    <w:rsid w:val="00E86C26"/>
    <w:rsid w:val="00E8792A"/>
    <w:rsid w:val="00E87AB9"/>
    <w:rsid w:val="00E87B22"/>
    <w:rsid w:val="00E90134"/>
    <w:rsid w:val="00E906E5"/>
    <w:rsid w:val="00E90DDB"/>
    <w:rsid w:val="00E90F6F"/>
    <w:rsid w:val="00E91AB8"/>
    <w:rsid w:val="00E920C1"/>
    <w:rsid w:val="00E94858"/>
    <w:rsid w:val="00E94C04"/>
    <w:rsid w:val="00E951DB"/>
    <w:rsid w:val="00E959A6"/>
    <w:rsid w:val="00E95CD4"/>
    <w:rsid w:val="00E9624F"/>
    <w:rsid w:val="00E9652D"/>
    <w:rsid w:val="00E970C8"/>
    <w:rsid w:val="00E97997"/>
    <w:rsid w:val="00E97A8B"/>
    <w:rsid w:val="00E97BA5"/>
    <w:rsid w:val="00EA0123"/>
    <w:rsid w:val="00EA03AF"/>
    <w:rsid w:val="00EA06F2"/>
    <w:rsid w:val="00EA1DDA"/>
    <w:rsid w:val="00EA1F27"/>
    <w:rsid w:val="00EA2076"/>
    <w:rsid w:val="00EA2532"/>
    <w:rsid w:val="00EA2FB6"/>
    <w:rsid w:val="00EA37E9"/>
    <w:rsid w:val="00EA3E2F"/>
    <w:rsid w:val="00EA437E"/>
    <w:rsid w:val="00EA45E4"/>
    <w:rsid w:val="00EA4B26"/>
    <w:rsid w:val="00EA4B86"/>
    <w:rsid w:val="00EA5A37"/>
    <w:rsid w:val="00EA629C"/>
    <w:rsid w:val="00EA798A"/>
    <w:rsid w:val="00EA7ACE"/>
    <w:rsid w:val="00EA7BFE"/>
    <w:rsid w:val="00EB08F4"/>
    <w:rsid w:val="00EB0C8F"/>
    <w:rsid w:val="00EB1294"/>
    <w:rsid w:val="00EB1787"/>
    <w:rsid w:val="00EB2F7B"/>
    <w:rsid w:val="00EB33AE"/>
    <w:rsid w:val="00EB3902"/>
    <w:rsid w:val="00EB397B"/>
    <w:rsid w:val="00EB4693"/>
    <w:rsid w:val="00EB7143"/>
    <w:rsid w:val="00EB73B0"/>
    <w:rsid w:val="00EB796B"/>
    <w:rsid w:val="00EB7BA8"/>
    <w:rsid w:val="00EB7D8B"/>
    <w:rsid w:val="00EC0623"/>
    <w:rsid w:val="00EC0C0B"/>
    <w:rsid w:val="00EC1282"/>
    <w:rsid w:val="00EC1C44"/>
    <w:rsid w:val="00EC1CAE"/>
    <w:rsid w:val="00EC2B6F"/>
    <w:rsid w:val="00EC2C6A"/>
    <w:rsid w:val="00EC42D6"/>
    <w:rsid w:val="00EC4794"/>
    <w:rsid w:val="00EC4DB9"/>
    <w:rsid w:val="00EC59F9"/>
    <w:rsid w:val="00EC64DA"/>
    <w:rsid w:val="00EC6B97"/>
    <w:rsid w:val="00EC70F9"/>
    <w:rsid w:val="00EC771E"/>
    <w:rsid w:val="00EC7E97"/>
    <w:rsid w:val="00ED0674"/>
    <w:rsid w:val="00ED203F"/>
    <w:rsid w:val="00ED2AC8"/>
    <w:rsid w:val="00ED4F06"/>
    <w:rsid w:val="00ED4F9E"/>
    <w:rsid w:val="00ED510D"/>
    <w:rsid w:val="00ED53EA"/>
    <w:rsid w:val="00ED62EB"/>
    <w:rsid w:val="00ED65DA"/>
    <w:rsid w:val="00ED6810"/>
    <w:rsid w:val="00ED72A1"/>
    <w:rsid w:val="00ED74FF"/>
    <w:rsid w:val="00ED76E0"/>
    <w:rsid w:val="00ED7B42"/>
    <w:rsid w:val="00EE04BE"/>
    <w:rsid w:val="00EE17B7"/>
    <w:rsid w:val="00EE1885"/>
    <w:rsid w:val="00EE1B99"/>
    <w:rsid w:val="00EE2383"/>
    <w:rsid w:val="00EE2435"/>
    <w:rsid w:val="00EE3AAD"/>
    <w:rsid w:val="00EE3BF1"/>
    <w:rsid w:val="00EE3F00"/>
    <w:rsid w:val="00EE3FA4"/>
    <w:rsid w:val="00EE417F"/>
    <w:rsid w:val="00EE46F2"/>
    <w:rsid w:val="00EE5B29"/>
    <w:rsid w:val="00EE5C6B"/>
    <w:rsid w:val="00EE605A"/>
    <w:rsid w:val="00EE6658"/>
    <w:rsid w:val="00EE6970"/>
    <w:rsid w:val="00EE78C2"/>
    <w:rsid w:val="00EF00BC"/>
    <w:rsid w:val="00EF070B"/>
    <w:rsid w:val="00EF1301"/>
    <w:rsid w:val="00EF172C"/>
    <w:rsid w:val="00EF2191"/>
    <w:rsid w:val="00EF236B"/>
    <w:rsid w:val="00EF250B"/>
    <w:rsid w:val="00EF33A3"/>
    <w:rsid w:val="00EF341F"/>
    <w:rsid w:val="00EF3FD4"/>
    <w:rsid w:val="00EF4154"/>
    <w:rsid w:val="00EF4718"/>
    <w:rsid w:val="00EF4ECF"/>
    <w:rsid w:val="00EF530F"/>
    <w:rsid w:val="00EF59CD"/>
    <w:rsid w:val="00EF6D86"/>
    <w:rsid w:val="00EF73B8"/>
    <w:rsid w:val="00EF7CBF"/>
    <w:rsid w:val="00F0048C"/>
    <w:rsid w:val="00F00524"/>
    <w:rsid w:val="00F0111D"/>
    <w:rsid w:val="00F02052"/>
    <w:rsid w:val="00F022D3"/>
    <w:rsid w:val="00F02A1B"/>
    <w:rsid w:val="00F0306C"/>
    <w:rsid w:val="00F030ED"/>
    <w:rsid w:val="00F033E3"/>
    <w:rsid w:val="00F03CCC"/>
    <w:rsid w:val="00F03DDD"/>
    <w:rsid w:val="00F03E3C"/>
    <w:rsid w:val="00F047DD"/>
    <w:rsid w:val="00F05418"/>
    <w:rsid w:val="00F059D1"/>
    <w:rsid w:val="00F05D77"/>
    <w:rsid w:val="00F06F2B"/>
    <w:rsid w:val="00F070E3"/>
    <w:rsid w:val="00F078CD"/>
    <w:rsid w:val="00F07C83"/>
    <w:rsid w:val="00F101AF"/>
    <w:rsid w:val="00F10885"/>
    <w:rsid w:val="00F1090F"/>
    <w:rsid w:val="00F10CA3"/>
    <w:rsid w:val="00F11298"/>
    <w:rsid w:val="00F11EAD"/>
    <w:rsid w:val="00F1274B"/>
    <w:rsid w:val="00F12AA7"/>
    <w:rsid w:val="00F12DE9"/>
    <w:rsid w:val="00F13599"/>
    <w:rsid w:val="00F138E0"/>
    <w:rsid w:val="00F13E4A"/>
    <w:rsid w:val="00F13F64"/>
    <w:rsid w:val="00F1464A"/>
    <w:rsid w:val="00F15311"/>
    <w:rsid w:val="00F15F23"/>
    <w:rsid w:val="00F15F6B"/>
    <w:rsid w:val="00F161F0"/>
    <w:rsid w:val="00F164B8"/>
    <w:rsid w:val="00F1667E"/>
    <w:rsid w:val="00F166AB"/>
    <w:rsid w:val="00F16C7C"/>
    <w:rsid w:val="00F174B6"/>
    <w:rsid w:val="00F175A6"/>
    <w:rsid w:val="00F219FF"/>
    <w:rsid w:val="00F21C22"/>
    <w:rsid w:val="00F21D1C"/>
    <w:rsid w:val="00F22188"/>
    <w:rsid w:val="00F23D72"/>
    <w:rsid w:val="00F24891"/>
    <w:rsid w:val="00F25C0E"/>
    <w:rsid w:val="00F2672C"/>
    <w:rsid w:val="00F269DC"/>
    <w:rsid w:val="00F26A25"/>
    <w:rsid w:val="00F272B3"/>
    <w:rsid w:val="00F27652"/>
    <w:rsid w:val="00F27F22"/>
    <w:rsid w:val="00F3059B"/>
    <w:rsid w:val="00F30B9B"/>
    <w:rsid w:val="00F31109"/>
    <w:rsid w:val="00F31604"/>
    <w:rsid w:val="00F31DB6"/>
    <w:rsid w:val="00F320DA"/>
    <w:rsid w:val="00F327F7"/>
    <w:rsid w:val="00F32C36"/>
    <w:rsid w:val="00F32C39"/>
    <w:rsid w:val="00F3310F"/>
    <w:rsid w:val="00F335F4"/>
    <w:rsid w:val="00F33DED"/>
    <w:rsid w:val="00F3424F"/>
    <w:rsid w:val="00F35ED0"/>
    <w:rsid w:val="00F36440"/>
    <w:rsid w:val="00F367B3"/>
    <w:rsid w:val="00F368CF"/>
    <w:rsid w:val="00F36C80"/>
    <w:rsid w:val="00F376A7"/>
    <w:rsid w:val="00F37CEF"/>
    <w:rsid w:val="00F37D64"/>
    <w:rsid w:val="00F40390"/>
    <w:rsid w:val="00F4050F"/>
    <w:rsid w:val="00F40790"/>
    <w:rsid w:val="00F40899"/>
    <w:rsid w:val="00F40D95"/>
    <w:rsid w:val="00F4159A"/>
    <w:rsid w:val="00F416A9"/>
    <w:rsid w:val="00F44187"/>
    <w:rsid w:val="00F445AF"/>
    <w:rsid w:val="00F44D05"/>
    <w:rsid w:val="00F455CC"/>
    <w:rsid w:val="00F45A4B"/>
    <w:rsid w:val="00F476E7"/>
    <w:rsid w:val="00F47B30"/>
    <w:rsid w:val="00F47CAA"/>
    <w:rsid w:val="00F50A23"/>
    <w:rsid w:val="00F5133F"/>
    <w:rsid w:val="00F513D6"/>
    <w:rsid w:val="00F520A6"/>
    <w:rsid w:val="00F5269C"/>
    <w:rsid w:val="00F526CA"/>
    <w:rsid w:val="00F528AD"/>
    <w:rsid w:val="00F53C5E"/>
    <w:rsid w:val="00F53D6B"/>
    <w:rsid w:val="00F54094"/>
    <w:rsid w:val="00F5409D"/>
    <w:rsid w:val="00F541D3"/>
    <w:rsid w:val="00F54221"/>
    <w:rsid w:val="00F54EB0"/>
    <w:rsid w:val="00F57A74"/>
    <w:rsid w:val="00F6078B"/>
    <w:rsid w:val="00F60804"/>
    <w:rsid w:val="00F60CA9"/>
    <w:rsid w:val="00F61D8D"/>
    <w:rsid w:val="00F620B5"/>
    <w:rsid w:val="00F62E63"/>
    <w:rsid w:val="00F64270"/>
    <w:rsid w:val="00F642FD"/>
    <w:rsid w:val="00F64B37"/>
    <w:rsid w:val="00F64C4F"/>
    <w:rsid w:val="00F64E14"/>
    <w:rsid w:val="00F65223"/>
    <w:rsid w:val="00F65AFD"/>
    <w:rsid w:val="00F65DB8"/>
    <w:rsid w:val="00F66839"/>
    <w:rsid w:val="00F66B0E"/>
    <w:rsid w:val="00F66FD4"/>
    <w:rsid w:val="00F6704B"/>
    <w:rsid w:val="00F67C58"/>
    <w:rsid w:val="00F700A3"/>
    <w:rsid w:val="00F7054F"/>
    <w:rsid w:val="00F71688"/>
    <w:rsid w:val="00F73723"/>
    <w:rsid w:val="00F73835"/>
    <w:rsid w:val="00F739E2"/>
    <w:rsid w:val="00F74223"/>
    <w:rsid w:val="00F74259"/>
    <w:rsid w:val="00F74270"/>
    <w:rsid w:val="00F75AF5"/>
    <w:rsid w:val="00F75E1E"/>
    <w:rsid w:val="00F76117"/>
    <w:rsid w:val="00F767F3"/>
    <w:rsid w:val="00F768F9"/>
    <w:rsid w:val="00F76D86"/>
    <w:rsid w:val="00F810EF"/>
    <w:rsid w:val="00F81C3F"/>
    <w:rsid w:val="00F82DB8"/>
    <w:rsid w:val="00F82DF8"/>
    <w:rsid w:val="00F83281"/>
    <w:rsid w:val="00F83AA0"/>
    <w:rsid w:val="00F84947"/>
    <w:rsid w:val="00F84C8D"/>
    <w:rsid w:val="00F8547C"/>
    <w:rsid w:val="00F859F8"/>
    <w:rsid w:val="00F86B14"/>
    <w:rsid w:val="00F90765"/>
    <w:rsid w:val="00F9144F"/>
    <w:rsid w:val="00F91E38"/>
    <w:rsid w:val="00F92DB3"/>
    <w:rsid w:val="00F93507"/>
    <w:rsid w:val="00F93695"/>
    <w:rsid w:val="00F93EC9"/>
    <w:rsid w:val="00F940FA"/>
    <w:rsid w:val="00F9530C"/>
    <w:rsid w:val="00F95698"/>
    <w:rsid w:val="00F95821"/>
    <w:rsid w:val="00F95A7E"/>
    <w:rsid w:val="00F96D06"/>
    <w:rsid w:val="00F970FA"/>
    <w:rsid w:val="00F9748B"/>
    <w:rsid w:val="00F977F6"/>
    <w:rsid w:val="00FA1091"/>
    <w:rsid w:val="00FA130E"/>
    <w:rsid w:val="00FA1587"/>
    <w:rsid w:val="00FA2C15"/>
    <w:rsid w:val="00FA2D03"/>
    <w:rsid w:val="00FA3763"/>
    <w:rsid w:val="00FA3CFD"/>
    <w:rsid w:val="00FA3EC3"/>
    <w:rsid w:val="00FA451D"/>
    <w:rsid w:val="00FA5178"/>
    <w:rsid w:val="00FA6180"/>
    <w:rsid w:val="00FA639B"/>
    <w:rsid w:val="00FA6D0D"/>
    <w:rsid w:val="00FA7D7A"/>
    <w:rsid w:val="00FB0108"/>
    <w:rsid w:val="00FB0E8B"/>
    <w:rsid w:val="00FB10B9"/>
    <w:rsid w:val="00FB2CE0"/>
    <w:rsid w:val="00FB3898"/>
    <w:rsid w:val="00FB3EAC"/>
    <w:rsid w:val="00FB446E"/>
    <w:rsid w:val="00FB553C"/>
    <w:rsid w:val="00FB56B8"/>
    <w:rsid w:val="00FB57FB"/>
    <w:rsid w:val="00FB5B8F"/>
    <w:rsid w:val="00FB5E5C"/>
    <w:rsid w:val="00FB673F"/>
    <w:rsid w:val="00FB67B6"/>
    <w:rsid w:val="00FB7B03"/>
    <w:rsid w:val="00FB7FF3"/>
    <w:rsid w:val="00FB92FD"/>
    <w:rsid w:val="00FC032D"/>
    <w:rsid w:val="00FC0575"/>
    <w:rsid w:val="00FC0592"/>
    <w:rsid w:val="00FC060B"/>
    <w:rsid w:val="00FC0AE2"/>
    <w:rsid w:val="00FC0F56"/>
    <w:rsid w:val="00FC132C"/>
    <w:rsid w:val="00FC149F"/>
    <w:rsid w:val="00FC1F49"/>
    <w:rsid w:val="00FC2A82"/>
    <w:rsid w:val="00FC2B98"/>
    <w:rsid w:val="00FC38DE"/>
    <w:rsid w:val="00FC3E1F"/>
    <w:rsid w:val="00FC4252"/>
    <w:rsid w:val="00FC46E1"/>
    <w:rsid w:val="00FC4B42"/>
    <w:rsid w:val="00FC508F"/>
    <w:rsid w:val="00FC54BD"/>
    <w:rsid w:val="00FC609C"/>
    <w:rsid w:val="00FC6116"/>
    <w:rsid w:val="00FC65C1"/>
    <w:rsid w:val="00FC6A03"/>
    <w:rsid w:val="00FC6A88"/>
    <w:rsid w:val="00FC73B3"/>
    <w:rsid w:val="00FD02CB"/>
    <w:rsid w:val="00FD08A4"/>
    <w:rsid w:val="00FD18DA"/>
    <w:rsid w:val="00FD1FDB"/>
    <w:rsid w:val="00FD266B"/>
    <w:rsid w:val="00FD26FC"/>
    <w:rsid w:val="00FD293D"/>
    <w:rsid w:val="00FD2987"/>
    <w:rsid w:val="00FD2B58"/>
    <w:rsid w:val="00FD2C2A"/>
    <w:rsid w:val="00FD5419"/>
    <w:rsid w:val="00FD56C8"/>
    <w:rsid w:val="00FD6CA3"/>
    <w:rsid w:val="00FD726B"/>
    <w:rsid w:val="00FD7919"/>
    <w:rsid w:val="00FE0155"/>
    <w:rsid w:val="00FE04C2"/>
    <w:rsid w:val="00FE04C5"/>
    <w:rsid w:val="00FE0867"/>
    <w:rsid w:val="00FE1217"/>
    <w:rsid w:val="00FE1A80"/>
    <w:rsid w:val="00FE4649"/>
    <w:rsid w:val="00FE48BD"/>
    <w:rsid w:val="00FE5343"/>
    <w:rsid w:val="00FE74BA"/>
    <w:rsid w:val="00FF0046"/>
    <w:rsid w:val="00FF0176"/>
    <w:rsid w:val="00FF0692"/>
    <w:rsid w:val="00FF07B0"/>
    <w:rsid w:val="00FF0B5F"/>
    <w:rsid w:val="00FF0BBD"/>
    <w:rsid w:val="00FF0E25"/>
    <w:rsid w:val="00FF16BD"/>
    <w:rsid w:val="00FF1804"/>
    <w:rsid w:val="00FF1919"/>
    <w:rsid w:val="00FF3F13"/>
    <w:rsid w:val="00FF41DF"/>
    <w:rsid w:val="00FF54BC"/>
    <w:rsid w:val="00FF5953"/>
    <w:rsid w:val="00FF607F"/>
    <w:rsid w:val="00FF6773"/>
    <w:rsid w:val="00FF685E"/>
    <w:rsid w:val="00FF742D"/>
    <w:rsid w:val="00FF7FD3"/>
    <w:rsid w:val="0107664E"/>
    <w:rsid w:val="01161241"/>
    <w:rsid w:val="0129A800"/>
    <w:rsid w:val="0134DFF4"/>
    <w:rsid w:val="01477188"/>
    <w:rsid w:val="0151B1D8"/>
    <w:rsid w:val="015E95E1"/>
    <w:rsid w:val="016A18EB"/>
    <w:rsid w:val="016C0F47"/>
    <w:rsid w:val="017AC6BB"/>
    <w:rsid w:val="0184B55C"/>
    <w:rsid w:val="01917EC2"/>
    <w:rsid w:val="01946E91"/>
    <w:rsid w:val="01C6EBF5"/>
    <w:rsid w:val="01D214A9"/>
    <w:rsid w:val="01E2A587"/>
    <w:rsid w:val="01F42BBE"/>
    <w:rsid w:val="01FF135B"/>
    <w:rsid w:val="02016B31"/>
    <w:rsid w:val="02018FCA"/>
    <w:rsid w:val="021BD5D7"/>
    <w:rsid w:val="0221EC0D"/>
    <w:rsid w:val="02476218"/>
    <w:rsid w:val="024D75E2"/>
    <w:rsid w:val="025483E3"/>
    <w:rsid w:val="025C03B7"/>
    <w:rsid w:val="0260C2CB"/>
    <w:rsid w:val="0261B454"/>
    <w:rsid w:val="0273EE30"/>
    <w:rsid w:val="027BBFB4"/>
    <w:rsid w:val="027C1ADA"/>
    <w:rsid w:val="02A3DABA"/>
    <w:rsid w:val="02B2C162"/>
    <w:rsid w:val="02B38CE4"/>
    <w:rsid w:val="02BA52A8"/>
    <w:rsid w:val="02BCE25E"/>
    <w:rsid w:val="02C3C832"/>
    <w:rsid w:val="02CFE707"/>
    <w:rsid w:val="02D2DBA7"/>
    <w:rsid w:val="02D64822"/>
    <w:rsid w:val="02D7DD0D"/>
    <w:rsid w:val="02DFBD93"/>
    <w:rsid w:val="02EAE8C8"/>
    <w:rsid w:val="02FE17DC"/>
    <w:rsid w:val="0313AB9C"/>
    <w:rsid w:val="031E8EB5"/>
    <w:rsid w:val="03395FF5"/>
    <w:rsid w:val="0352833A"/>
    <w:rsid w:val="0355200D"/>
    <w:rsid w:val="03655FD9"/>
    <w:rsid w:val="037035F0"/>
    <w:rsid w:val="037B2C5F"/>
    <w:rsid w:val="0381E7B3"/>
    <w:rsid w:val="039F18BB"/>
    <w:rsid w:val="03B666F7"/>
    <w:rsid w:val="03E3E2D1"/>
    <w:rsid w:val="03ED9DBD"/>
    <w:rsid w:val="03F408A9"/>
    <w:rsid w:val="04052D75"/>
    <w:rsid w:val="0406AB84"/>
    <w:rsid w:val="04071F07"/>
    <w:rsid w:val="040EBB3B"/>
    <w:rsid w:val="04121E78"/>
    <w:rsid w:val="0426A4B4"/>
    <w:rsid w:val="04349EE2"/>
    <w:rsid w:val="043B474D"/>
    <w:rsid w:val="043F0710"/>
    <w:rsid w:val="04650658"/>
    <w:rsid w:val="0468C132"/>
    <w:rsid w:val="0479DC91"/>
    <w:rsid w:val="04AAD003"/>
    <w:rsid w:val="04B2B170"/>
    <w:rsid w:val="04C36AFD"/>
    <w:rsid w:val="04C58916"/>
    <w:rsid w:val="04CA0ECE"/>
    <w:rsid w:val="04DBAA10"/>
    <w:rsid w:val="04F0C749"/>
    <w:rsid w:val="04FBA662"/>
    <w:rsid w:val="04FDD463"/>
    <w:rsid w:val="0508F706"/>
    <w:rsid w:val="050C49A2"/>
    <w:rsid w:val="050F2F09"/>
    <w:rsid w:val="05288913"/>
    <w:rsid w:val="05325077"/>
    <w:rsid w:val="054CC310"/>
    <w:rsid w:val="056BD696"/>
    <w:rsid w:val="057B31B6"/>
    <w:rsid w:val="05ACE963"/>
    <w:rsid w:val="05CF130F"/>
    <w:rsid w:val="05D0D062"/>
    <w:rsid w:val="060364BF"/>
    <w:rsid w:val="06054AC5"/>
    <w:rsid w:val="061A35FA"/>
    <w:rsid w:val="0634A002"/>
    <w:rsid w:val="063F8166"/>
    <w:rsid w:val="06450652"/>
    <w:rsid w:val="064E00EA"/>
    <w:rsid w:val="06525B0D"/>
    <w:rsid w:val="066DA612"/>
    <w:rsid w:val="0679279A"/>
    <w:rsid w:val="0683AEE5"/>
    <w:rsid w:val="06895E93"/>
    <w:rsid w:val="06A462C0"/>
    <w:rsid w:val="06C81FE7"/>
    <w:rsid w:val="06CE9DA9"/>
    <w:rsid w:val="06E10E83"/>
    <w:rsid w:val="06E1CBA7"/>
    <w:rsid w:val="06EA8BB8"/>
    <w:rsid w:val="06EEF096"/>
    <w:rsid w:val="06EF8C2F"/>
    <w:rsid w:val="072263AA"/>
    <w:rsid w:val="075CEFFA"/>
    <w:rsid w:val="076CE306"/>
    <w:rsid w:val="0792951D"/>
    <w:rsid w:val="07A18424"/>
    <w:rsid w:val="07C32A98"/>
    <w:rsid w:val="07C3EED6"/>
    <w:rsid w:val="07D35A67"/>
    <w:rsid w:val="07D7057B"/>
    <w:rsid w:val="07DBB747"/>
    <w:rsid w:val="07E95FDE"/>
    <w:rsid w:val="080C1D41"/>
    <w:rsid w:val="08187AF7"/>
    <w:rsid w:val="082FA750"/>
    <w:rsid w:val="0833F383"/>
    <w:rsid w:val="085D21AD"/>
    <w:rsid w:val="0867A4DD"/>
    <w:rsid w:val="0867AD40"/>
    <w:rsid w:val="087C8610"/>
    <w:rsid w:val="08893589"/>
    <w:rsid w:val="088CF093"/>
    <w:rsid w:val="08AB5198"/>
    <w:rsid w:val="08B33C3A"/>
    <w:rsid w:val="08B6D2A7"/>
    <w:rsid w:val="08BCB6C0"/>
    <w:rsid w:val="08E4E516"/>
    <w:rsid w:val="08F76DD3"/>
    <w:rsid w:val="08FE5F70"/>
    <w:rsid w:val="09346487"/>
    <w:rsid w:val="094F3320"/>
    <w:rsid w:val="0955E100"/>
    <w:rsid w:val="095F9C3D"/>
    <w:rsid w:val="09807745"/>
    <w:rsid w:val="09834A2F"/>
    <w:rsid w:val="0988A635"/>
    <w:rsid w:val="0996DC20"/>
    <w:rsid w:val="0996E41E"/>
    <w:rsid w:val="09A873AC"/>
    <w:rsid w:val="09B764B2"/>
    <w:rsid w:val="09B8AE3F"/>
    <w:rsid w:val="09DF6575"/>
    <w:rsid w:val="09EC12EC"/>
    <w:rsid w:val="0A3313E7"/>
    <w:rsid w:val="0A423E1E"/>
    <w:rsid w:val="0A497405"/>
    <w:rsid w:val="0A650C5F"/>
    <w:rsid w:val="0A6CB609"/>
    <w:rsid w:val="0A8A7AA0"/>
    <w:rsid w:val="0A8E2320"/>
    <w:rsid w:val="0A930DA0"/>
    <w:rsid w:val="0AA8D74A"/>
    <w:rsid w:val="0AE18BDF"/>
    <w:rsid w:val="0AEB8B93"/>
    <w:rsid w:val="0B294DE8"/>
    <w:rsid w:val="0B400174"/>
    <w:rsid w:val="0B4EAC95"/>
    <w:rsid w:val="0B50D384"/>
    <w:rsid w:val="0B539E83"/>
    <w:rsid w:val="0B5882BF"/>
    <w:rsid w:val="0B5E1C4A"/>
    <w:rsid w:val="0B85E21D"/>
    <w:rsid w:val="0B8BA5B1"/>
    <w:rsid w:val="0B98E6DB"/>
    <w:rsid w:val="0BBA5C6C"/>
    <w:rsid w:val="0BBB6577"/>
    <w:rsid w:val="0BC4C819"/>
    <w:rsid w:val="0BCB850E"/>
    <w:rsid w:val="0BD1F853"/>
    <w:rsid w:val="0BE403EE"/>
    <w:rsid w:val="0BE664A1"/>
    <w:rsid w:val="0BE8960D"/>
    <w:rsid w:val="0BEEF4B6"/>
    <w:rsid w:val="0BEF3DB2"/>
    <w:rsid w:val="0BF2450F"/>
    <w:rsid w:val="0C011001"/>
    <w:rsid w:val="0C1F15A3"/>
    <w:rsid w:val="0C3EC7D3"/>
    <w:rsid w:val="0C402B1D"/>
    <w:rsid w:val="0C4AD332"/>
    <w:rsid w:val="0C6850FD"/>
    <w:rsid w:val="0C70DC2E"/>
    <w:rsid w:val="0C716EC0"/>
    <w:rsid w:val="0C7FF7B6"/>
    <w:rsid w:val="0C828BF8"/>
    <w:rsid w:val="0C843222"/>
    <w:rsid w:val="0C8BEA53"/>
    <w:rsid w:val="0C8CFC41"/>
    <w:rsid w:val="0C9566AF"/>
    <w:rsid w:val="0C9CFC4F"/>
    <w:rsid w:val="0CA0AE8B"/>
    <w:rsid w:val="0CAF78D4"/>
    <w:rsid w:val="0CC9EF93"/>
    <w:rsid w:val="0CDEB781"/>
    <w:rsid w:val="0CE19476"/>
    <w:rsid w:val="0D00EBEA"/>
    <w:rsid w:val="0D013820"/>
    <w:rsid w:val="0D03611B"/>
    <w:rsid w:val="0D118B27"/>
    <w:rsid w:val="0D12AF48"/>
    <w:rsid w:val="0D2562C3"/>
    <w:rsid w:val="0D37BED1"/>
    <w:rsid w:val="0D4370B5"/>
    <w:rsid w:val="0D53178E"/>
    <w:rsid w:val="0D5BB166"/>
    <w:rsid w:val="0D600704"/>
    <w:rsid w:val="0D6588C2"/>
    <w:rsid w:val="0D673839"/>
    <w:rsid w:val="0D6CBE36"/>
    <w:rsid w:val="0D750A71"/>
    <w:rsid w:val="0D84666E"/>
    <w:rsid w:val="0D8B18C4"/>
    <w:rsid w:val="0D8C59AF"/>
    <w:rsid w:val="0D9B7809"/>
    <w:rsid w:val="0DC654DA"/>
    <w:rsid w:val="0E192CA1"/>
    <w:rsid w:val="0E2052B4"/>
    <w:rsid w:val="0E224134"/>
    <w:rsid w:val="0E391810"/>
    <w:rsid w:val="0E457941"/>
    <w:rsid w:val="0E5B121D"/>
    <w:rsid w:val="0E6B9C86"/>
    <w:rsid w:val="0E9312F4"/>
    <w:rsid w:val="0E931FE4"/>
    <w:rsid w:val="0EA32358"/>
    <w:rsid w:val="0EA801F8"/>
    <w:rsid w:val="0EB12E6B"/>
    <w:rsid w:val="0EC34673"/>
    <w:rsid w:val="0ECB4446"/>
    <w:rsid w:val="0F022E04"/>
    <w:rsid w:val="0F02912F"/>
    <w:rsid w:val="0F215E62"/>
    <w:rsid w:val="0F37495B"/>
    <w:rsid w:val="0F374966"/>
    <w:rsid w:val="0F549D77"/>
    <w:rsid w:val="0F5E49A9"/>
    <w:rsid w:val="0F7AF4DB"/>
    <w:rsid w:val="0F7B049C"/>
    <w:rsid w:val="0F92DE98"/>
    <w:rsid w:val="0FAEB7F5"/>
    <w:rsid w:val="0FC834F1"/>
    <w:rsid w:val="0FCB26E4"/>
    <w:rsid w:val="0FDB226C"/>
    <w:rsid w:val="0FDC9DAF"/>
    <w:rsid w:val="0FE6C92C"/>
    <w:rsid w:val="0FE75BB8"/>
    <w:rsid w:val="0FEBF550"/>
    <w:rsid w:val="1009D9EC"/>
    <w:rsid w:val="101EBCE7"/>
    <w:rsid w:val="102038F3"/>
    <w:rsid w:val="104F8B64"/>
    <w:rsid w:val="10517365"/>
    <w:rsid w:val="1051AFEC"/>
    <w:rsid w:val="10536B60"/>
    <w:rsid w:val="105A3A86"/>
    <w:rsid w:val="1061ACDC"/>
    <w:rsid w:val="10695074"/>
    <w:rsid w:val="106EAD1A"/>
    <w:rsid w:val="106FD837"/>
    <w:rsid w:val="10A7FD68"/>
    <w:rsid w:val="10A8BC8F"/>
    <w:rsid w:val="10BE16AB"/>
    <w:rsid w:val="10C02AC3"/>
    <w:rsid w:val="10CABAD1"/>
    <w:rsid w:val="10E5D354"/>
    <w:rsid w:val="10F3D17C"/>
    <w:rsid w:val="10F7B458"/>
    <w:rsid w:val="10FF8068"/>
    <w:rsid w:val="110F8A46"/>
    <w:rsid w:val="1116BA88"/>
    <w:rsid w:val="1119DE96"/>
    <w:rsid w:val="111F7D78"/>
    <w:rsid w:val="11410C0D"/>
    <w:rsid w:val="1166D35A"/>
    <w:rsid w:val="116D29B7"/>
    <w:rsid w:val="1184F22F"/>
    <w:rsid w:val="11867AE1"/>
    <w:rsid w:val="119B1A3C"/>
    <w:rsid w:val="119EE24A"/>
    <w:rsid w:val="11A5CCFE"/>
    <w:rsid w:val="11ACCC85"/>
    <w:rsid w:val="11CEA247"/>
    <w:rsid w:val="11D4FB69"/>
    <w:rsid w:val="11E51D95"/>
    <w:rsid w:val="11E79D52"/>
    <w:rsid w:val="11EA57E9"/>
    <w:rsid w:val="11ED8F77"/>
    <w:rsid w:val="1200DD5F"/>
    <w:rsid w:val="120EB8C2"/>
    <w:rsid w:val="12224ED3"/>
    <w:rsid w:val="12334AE7"/>
    <w:rsid w:val="12439589"/>
    <w:rsid w:val="12468166"/>
    <w:rsid w:val="1253D302"/>
    <w:rsid w:val="1258FF24"/>
    <w:rsid w:val="125C792A"/>
    <w:rsid w:val="1260C534"/>
    <w:rsid w:val="12731294"/>
    <w:rsid w:val="128D1C99"/>
    <w:rsid w:val="1292CD81"/>
    <w:rsid w:val="129E5ABA"/>
    <w:rsid w:val="12A378DB"/>
    <w:rsid w:val="12EC28A4"/>
    <w:rsid w:val="1300079A"/>
    <w:rsid w:val="13055115"/>
    <w:rsid w:val="1307DB05"/>
    <w:rsid w:val="1385E1DB"/>
    <w:rsid w:val="13C6A1F4"/>
    <w:rsid w:val="13E954BC"/>
    <w:rsid w:val="13FB451F"/>
    <w:rsid w:val="1401F421"/>
    <w:rsid w:val="14327082"/>
    <w:rsid w:val="143532ED"/>
    <w:rsid w:val="14488C0A"/>
    <w:rsid w:val="145508B9"/>
    <w:rsid w:val="1483D632"/>
    <w:rsid w:val="149564EC"/>
    <w:rsid w:val="14A30F67"/>
    <w:rsid w:val="14BB48B2"/>
    <w:rsid w:val="14C5DAEC"/>
    <w:rsid w:val="14C80EBF"/>
    <w:rsid w:val="14D1BC40"/>
    <w:rsid w:val="14E4A9F4"/>
    <w:rsid w:val="14EA20A3"/>
    <w:rsid w:val="14EBD633"/>
    <w:rsid w:val="14FB1480"/>
    <w:rsid w:val="151CF675"/>
    <w:rsid w:val="15231D03"/>
    <w:rsid w:val="152B3F11"/>
    <w:rsid w:val="153FBF27"/>
    <w:rsid w:val="1548477A"/>
    <w:rsid w:val="154EF62D"/>
    <w:rsid w:val="15531BAB"/>
    <w:rsid w:val="155A2090"/>
    <w:rsid w:val="1569FAA0"/>
    <w:rsid w:val="1570615E"/>
    <w:rsid w:val="15849458"/>
    <w:rsid w:val="15953436"/>
    <w:rsid w:val="1599C66E"/>
    <w:rsid w:val="159DC482"/>
    <w:rsid w:val="15CEA438"/>
    <w:rsid w:val="15EF23D9"/>
    <w:rsid w:val="15FED724"/>
    <w:rsid w:val="160466D6"/>
    <w:rsid w:val="16087374"/>
    <w:rsid w:val="160EE723"/>
    <w:rsid w:val="1644CFD9"/>
    <w:rsid w:val="1654F405"/>
    <w:rsid w:val="1672FE77"/>
    <w:rsid w:val="16755F28"/>
    <w:rsid w:val="16A0B467"/>
    <w:rsid w:val="16A78C8C"/>
    <w:rsid w:val="16AAC0E2"/>
    <w:rsid w:val="16AE39F6"/>
    <w:rsid w:val="16B40CD2"/>
    <w:rsid w:val="16B7B1D8"/>
    <w:rsid w:val="16B8440A"/>
    <w:rsid w:val="16C4A449"/>
    <w:rsid w:val="16CFD868"/>
    <w:rsid w:val="16D8A673"/>
    <w:rsid w:val="16E7B657"/>
    <w:rsid w:val="1708F303"/>
    <w:rsid w:val="1731E0A5"/>
    <w:rsid w:val="1736086A"/>
    <w:rsid w:val="17502988"/>
    <w:rsid w:val="17538B2E"/>
    <w:rsid w:val="175D2EA4"/>
    <w:rsid w:val="1780E659"/>
    <w:rsid w:val="17923751"/>
    <w:rsid w:val="17AA23BB"/>
    <w:rsid w:val="17B56C5F"/>
    <w:rsid w:val="17C8FDEE"/>
    <w:rsid w:val="17D077F0"/>
    <w:rsid w:val="17D1740F"/>
    <w:rsid w:val="17E31890"/>
    <w:rsid w:val="17EA05E2"/>
    <w:rsid w:val="17FAA9E8"/>
    <w:rsid w:val="182741C8"/>
    <w:rsid w:val="1827F629"/>
    <w:rsid w:val="18296AAE"/>
    <w:rsid w:val="182A79F0"/>
    <w:rsid w:val="182F405C"/>
    <w:rsid w:val="18337A21"/>
    <w:rsid w:val="1835907E"/>
    <w:rsid w:val="1837F077"/>
    <w:rsid w:val="183C9F52"/>
    <w:rsid w:val="18422393"/>
    <w:rsid w:val="18446ECD"/>
    <w:rsid w:val="184A89A5"/>
    <w:rsid w:val="1853E80E"/>
    <w:rsid w:val="186DE9BD"/>
    <w:rsid w:val="187DB9F5"/>
    <w:rsid w:val="188ED6C2"/>
    <w:rsid w:val="18972E46"/>
    <w:rsid w:val="189CF82F"/>
    <w:rsid w:val="18F4FBC5"/>
    <w:rsid w:val="19195B41"/>
    <w:rsid w:val="191CB6BA"/>
    <w:rsid w:val="193D8CE7"/>
    <w:rsid w:val="19646446"/>
    <w:rsid w:val="1966F267"/>
    <w:rsid w:val="196B6DA6"/>
    <w:rsid w:val="196C4851"/>
    <w:rsid w:val="197C6723"/>
    <w:rsid w:val="1996E338"/>
    <w:rsid w:val="199794FC"/>
    <w:rsid w:val="1998DA70"/>
    <w:rsid w:val="199BB350"/>
    <w:rsid w:val="19B713A7"/>
    <w:rsid w:val="19D322BB"/>
    <w:rsid w:val="19D3FFDE"/>
    <w:rsid w:val="19DFFFF2"/>
    <w:rsid w:val="19E603A7"/>
    <w:rsid w:val="19E9B30A"/>
    <w:rsid w:val="19F771CA"/>
    <w:rsid w:val="1A0021B6"/>
    <w:rsid w:val="1A0DF109"/>
    <w:rsid w:val="1A1B7A4E"/>
    <w:rsid w:val="1A244C76"/>
    <w:rsid w:val="1A25A0F9"/>
    <w:rsid w:val="1A264920"/>
    <w:rsid w:val="1A2CF3FC"/>
    <w:rsid w:val="1A3E6214"/>
    <w:rsid w:val="1A53D04A"/>
    <w:rsid w:val="1A5708A9"/>
    <w:rsid w:val="1A796611"/>
    <w:rsid w:val="1A9B3C50"/>
    <w:rsid w:val="1AA271CA"/>
    <w:rsid w:val="1AA7F6C7"/>
    <w:rsid w:val="1AAFC52D"/>
    <w:rsid w:val="1ADEACBA"/>
    <w:rsid w:val="1AE57AE4"/>
    <w:rsid w:val="1B1364F1"/>
    <w:rsid w:val="1B2B06ED"/>
    <w:rsid w:val="1B2DB98C"/>
    <w:rsid w:val="1B4FF5F1"/>
    <w:rsid w:val="1B50BDD1"/>
    <w:rsid w:val="1B870EA9"/>
    <w:rsid w:val="1B92533A"/>
    <w:rsid w:val="1B974E3B"/>
    <w:rsid w:val="1B9DC62B"/>
    <w:rsid w:val="1B9E1EE8"/>
    <w:rsid w:val="1BA71B4E"/>
    <w:rsid w:val="1BB46D41"/>
    <w:rsid w:val="1BDC73DF"/>
    <w:rsid w:val="1C03D4A0"/>
    <w:rsid w:val="1C1D55CE"/>
    <w:rsid w:val="1C1FC234"/>
    <w:rsid w:val="1C6AC450"/>
    <w:rsid w:val="1C718DDA"/>
    <w:rsid w:val="1C732485"/>
    <w:rsid w:val="1C76B534"/>
    <w:rsid w:val="1C7AD4B0"/>
    <w:rsid w:val="1C8A4907"/>
    <w:rsid w:val="1C9D6DF8"/>
    <w:rsid w:val="1CE87FA5"/>
    <w:rsid w:val="1CFA182D"/>
    <w:rsid w:val="1D049C5F"/>
    <w:rsid w:val="1D096C72"/>
    <w:rsid w:val="1D10359B"/>
    <w:rsid w:val="1D1BCE6D"/>
    <w:rsid w:val="1D3E28FC"/>
    <w:rsid w:val="1D531B10"/>
    <w:rsid w:val="1D77031B"/>
    <w:rsid w:val="1D77857D"/>
    <w:rsid w:val="1D77AFA0"/>
    <w:rsid w:val="1D8A9717"/>
    <w:rsid w:val="1D938EC1"/>
    <w:rsid w:val="1D987A99"/>
    <w:rsid w:val="1DA509E2"/>
    <w:rsid w:val="1DA65BE1"/>
    <w:rsid w:val="1DE3EE0A"/>
    <w:rsid w:val="1DE8A052"/>
    <w:rsid w:val="1DECF498"/>
    <w:rsid w:val="1DF902D7"/>
    <w:rsid w:val="1E1200FF"/>
    <w:rsid w:val="1E611C95"/>
    <w:rsid w:val="1E7ACFDC"/>
    <w:rsid w:val="1E83E0A7"/>
    <w:rsid w:val="1E8D9E52"/>
    <w:rsid w:val="1EA17281"/>
    <w:rsid w:val="1EA24ACF"/>
    <w:rsid w:val="1EA693DE"/>
    <w:rsid w:val="1EAB4F13"/>
    <w:rsid w:val="1ED1C5CC"/>
    <w:rsid w:val="1ED3BCD4"/>
    <w:rsid w:val="1EDE953C"/>
    <w:rsid w:val="1EFCEB57"/>
    <w:rsid w:val="1F10959D"/>
    <w:rsid w:val="1F1B9ADB"/>
    <w:rsid w:val="1F307B8F"/>
    <w:rsid w:val="1F344AFA"/>
    <w:rsid w:val="1F365A99"/>
    <w:rsid w:val="1F39F2B4"/>
    <w:rsid w:val="1F41116E"/>
    <w:rsid w:val="1F541EFD"/>
    <w:rsid w:val="1F7973BF"/>
    <w:rsid w:val="1FB1692E"/>
    <w:rsid w:val="1FB1E6EF"/>
    <w:rsid w:val="1FBC1F07"/>
    <w:rsid w:val="1FCB81D0"/>
    <w:rsid w:val="1FDC85F4"/>
    <w:rsid w:val="1FE22FA2"/>
    <w:rsid w:val="1FEB5E08"/>
    <w:rsid w:val="200132B4"/>
    <w:rsid w:val="201912B9"/>
    <w:rsid w:val="2022F5ED"/>
    <w:rsid w:val="2027E088"/>
    <w:rsid w:val="2038ED5B"/>
    <w:rsid w:val="204671A3"/>
    <w:rsid w:val="2058E4CD"/>
    <w:rsid w:val="2063A345"/>
    <w:rsid w:val="206990CD"/>
    <w:rsid w:val="206CB849"/>
    <w:rsid w:val="207DD95E"/>
    <w:rsid w:val="20800520"/>
    <w:rsid w:val="2084D0E4"/>
    <w:rsid w:val="2093BF8D"/>
    <w:rsid w:val="20B46AA0"/>
    <w:rsid w:val="20D3863D"/>
    <w:rsid w:val="20DC714B"/>
    <w:rsid w:val="20EB7169"/>
    <w:rsid w:val="212EB9DB"/>
    <w:rsid w:val="2145FBDE"/>
    <w:rsid w:val="215ECAE9"/>
    <w:rsid w:val="21615920"/>
    <w:rsid w:val="2163FE22"/>
    <w:rsid w:val="2187E676"/>
    <w:rsid w:val="21CB33E1"/>
    <w:rsid w:val="21D7C393"/>
    <w:rsid w:val="21EDBE65"/>
    <w:rsid w:val="21F2B394"/>
    <w:rsid w:val="21FCAE45"/>
    <w:rsid w:val="22000ACA"/>
    <w:rsid w:val="220021A4"/>
    <w:rsid w:val="2202F756"/>
    <w:rsid w:val="221708B5"/>
    <w:rsid w:val="221BD581"/>
    <w:rsid w:val="221DFC7E"/>
    <w:rsid w:val="2238D389"/>
    <w:rsid w:val="2239AB7B"/>
    <w:rsid w:val="225FF1D1"/>
    <w:rsid w:val="2266098F"/>
    <w:rsid w:val="227A59E4"/>
    <w:rsid w:val="227F6F4A"/>
    <w:rsid w:val="2285D79F"/>
    <w:rsid w:val="22A1A26E"/>
    <w:rsid w:val="22B882A3"/>
    <w:rsid w:val="22B93034"/>
    <w:rsid w:val="22C39900"/>
    <w:rsid w:val="22C630F2"/>
    <w:rsid w:val="22C95B73"/>
    <w:rsid w:val="22D5F813"/>
    <w:rsid w:val="22DE76C4"/>
    <w:rsid w:val="2313CC53"/>
    <w:rsid w:val="2317F961"/>
    <w:rsid w:val="2318D7B7"/>
    <w:rsid w:val="2322221C"/>
    <w:rsid w:val="232D1DD7"/>
    <w:rsid w:val="235BCFB6"/>
    <w:rsid w:val="2375BBF2"/>
    <w:rsid w:val="23776714"/>
    <w:rsid w:val="23796DF9"/>
    <w:rsid w:val="23859C97"/>
    <w:rsid w:val="23CA4132"/>
    <w:rsid w:val="23ECFC25"/>
    <w:rsid w:val="24097814"/>
    <w:rsid w:val="241817EB"/>
    <w:rsid w:val="2443F886"/>
    <w:rsid w:val="244D0A64"/>
    <w:rsid w:val="245AC9F0"/>
    <w:rsid w:val="246C2FB5"/>
    <w:rsid w:val="2471C874"/>
    <w:rsid w:val="24720D3A"/>
    <w:rsid w:val="2490D276"/>
    <w:rsid w:val="2490FF93"/>
    <w:rsid w:val="2498F9E2"/>
    <w:rsid w:val="24BF2342"/>
    <w:rsid w:val="24BF5ED6"/>
    <w:rsid w:val="24C71367"/>
    <w:rsid w:val="24CD6AB2"/>
    <w:rsid w:val="24CF93EF"/>
    <w:rsid w:val="24D4321B"/>
    <w:rsid w:val="24D70E94"/>
    <w:rsid w:val="24DDC762"/>
    <w:rsid w:val="24EAEC7E"/>
    <w:rsid w:val="24F738D8"/>
    <w:rsid w:val="25062270"/>
    <w:rsid w:val="250BDADE"/>
    <w:rsid w:val="25127BD3"/>
    <w:rsid w:val="2516A048"/>
    <w:rsid w:val="25200D23"/>
    <w:rsid w:val="25297921"/>
    <w:rsid w:val="252EE07D"/>
    <w:rsid w:val="253FFE99"/>
    <w:rsid w:val="254D5297"/>
    <w:rsid w:val="254F09E6"/>
    <w:rsid w:val="2550FD55"/>
    <w:rsid w:val="255337CB"/>
    <w:rsid w:val="255BD5D9"/>
    <w:rsid w:val="25684240"/>
    <w:rsid w:val="25B3E84C"/>
    <w:rsid w:val="25B8EED8"/>
    <w:rsid w:val="25BD206A"/>
    <w:rsid w:val="25C45777"/>
    <w:rsid w:val="25CC032E"/>
    <w:rsid w:val="2621B6F6"/>
    <w:rsid w:val="264902BC"/>
    <w:rsid w:val="2659A638"/>
    <w:rsid w:val="265CD908"/>
    <w:rsid w:val="26642EAB"/>
    <w:rsid w:val="266B6DEE"/>
    <w:rsid w:val="26758AEA"/>
    <w:rsid w:val="269E1A1A"/>
    <w:rsid w:val="26DBD21D"/>
    <w:rsid w:val="26E6EE15"/>
    <w:rsid w:val="26E9762D"/>
    <w:rsid w:val="26ECD1FF"/>
    <w:rsid w:val="26F2CBFE"/>
    <w:rsid w:val="2713B9E3"/>
    <w:rsid w:val="27405C39"/>
    <w:rsid w:val="274D0A1C"/>
    <w:rsid w:val="274FF4EE"/>
    <w:rsid w:val="2758B365"/>
    <w:rsid w:val="27815C64"/>
    <w:rsid w:val="2783771A"/>
    <w:rsid w:val="27951077"/>
    <w:rsid w:val="279DBA15"/>
    <w:rsid w:val="27B1378E"/>
    <w:rsid w:val="27BA41DD"/>
    <w:rsid w:val="27BD8757"/>
    <w:rsid w:val="27C0E6FA"/>
    <w:rsid w:val="27CE0C6D"/>
    <w:rsid w:val="27DD1696"/>
    <w:rsid w:val="27ECFD2E"/>
    <w:rsid w:val="28151BE9"/>
    <w:rsid w:val="2822A0E3"/>
    <w:rsid w:val="284BC6DA"/>
    <w:rsid w:val="285AF62F"/>
    <w:rsid w:val="285DCFED"/>
    <w:rsid w:val="28660EFC"/>
    <w:rsid w:val="286F0231"/>
    <w:rsid w:val="286FC368"/>
    <w:rsid w:val="287360CB"/>
    <w:rsid w:val="287EBF5E"/>
    <w:rsid w:val="287F4FC2"/>
    <w:rsid w:val="288846C9"/>
    <w:rsid w:val="2893AB28"/>
    <w:rsid w:val="289AE443"/>
    <w:rsid w:val="289B75E4"/>
    <w:rsid w:val="28A6BEF8"/>
    <w:rsid w:val="28AAFC0A"/>
    <w:rsid w:val="28ABDCD5"/>
    <w:rsid w:val="28B9AAA8"/>
    <w:rsid w:val="28BFB5A4"/>
    <w:rsid w:val="28C7CBB6"/>
    <w:rsid w:val="28D06846"/>
    <w:rsid w:val="28FAD6C2"/>
    <w:rsid w:val="2905245A"/>
    <w:rsid w:val="29252871"/>
    <w:rsid w:val="293AC3FE"/>
    <w:rsid w:val="293BBB2E"/>
    <w:rsid w:val="293BFF6D"/>
    <w:rsid w:val="294581B8"/>
    <w:rsid w:val="294AD12E"/>
    <w:rsid w:val="294E82B0"/>
    <w:rsid w:val="2992B56F"/>
    <w:rsid w:val="29956F00"/>
    <w:rsid w:val="29B61197"/>
    <w:rsid w:val="29BD9358"/>
    <w:rsid w:val="29C3E107"/>
    <w:rsid w:val="29DF4C01"/>
    <w:rsid w:val="29F57951"/>
    <w:rsid w:val="2A0A597F"/>
    <w:rsid w:val="2A19245A"/>
    <w:rsid w:val="2A229E7C"/>
    <w:rsid w:val="2A240A6A"/>
    <w:rsid w:val="2A2462C9"/>
    <w:rsid w:val="2A26577D"/>
    <w:rsid w:val="2A55B23B"/>
    <w:rsid w:val="2A665607"/>
    <w:rsid w:val="2A6C8D74"/>
    <w:rsid w:val="2A6D161B"/>
    <w:rsid w:val="2A7798F3"/>
    <w:rsid w:val="2A7D24B8"/>
    <w:rsid w:val="2A892D3A"/>
    <w:rsid w:val="2A8B5DD2"/>
    <w:rsid w:val="2A9D8067"/>
    <w:rsid w:val="2AB4D48E"/>
    <w:rsid w:val="2ABE042F"/>
    <w:rsid w:val="2AC9CE9C"/>
    <w:rsid w:val="2ACA5E98"/>
    <w:rsid w:val="2AF995E1"/>
    <w:rsid w:val="2B180929"/>
    <w:rsid w:val="2B1DF55D"/>
    <w:rsid w:val="2B213030"/>
    <w:rsid w:val="2B2F98CD"/>
    <w:rsid w:val="2B39CDA8"/>
    <w:rsid w:val="2B5664B1"/>
    <w:rsid w:val="2B5A7299"/>
    <w:rsid w:val="2B7D2272"/>
    <w:rsid w:val="2B7D95A7"/>
    <w:rsid w:val="2B7F3BD2"/>
    <w:rsid w:val="2B841717"/>
    <w:rsid w:val="2B8822A4"/>
    <w:rsid w:val="2B9A2622"/>
    <w:rsid w:val="2B9FEFDE"/>
    <w:rsid w:val="2BB3535C"/>
    <w:rsid w:val="2BBD1844"/>
    <w:rsid w:val="2BC43B86"/>
    <w:rsid w:val="2BC684DF"/>
    <w:rsid w:val="2BCCA2F7"/>
    <w:rsid w:val="2BCCDE2F"/>
    <w:rsid w:val="2BD8217E"/>
    <w:rsid w:val="2BEA4E0A"/>
    <w:rsid w:val="2BEC718E"/>
    <w:rsid w:val="2BF1829C"/>
    <w:rsid w:val="2C13D863"/>
    <w:rsid w:val="2C176960"/>
    <w:rsid w:val="2C1908D6"/>
    <w:rsid w:val="2C1DF2BA"/>
    <w:rsid w:val="2C1F3264"/>
    <w:rsid w:val="2C23F42B"/>
    <w:rsid w:val="2C3161B8"/>
    <w:rsid w:val="2C3624A5"/>
    <w:rsid w:val="2C452DC5"/>
    <w:rsid w:val="2C504E7D"/>
    <w:rsid w:val="2C5C538A"/>
    <w:rsid w:val="2C91D7E3"/>
    <w:rsid w:val="2C92211C"/>
    <w:rsid w:val="2C93FEE5"/>
    <w:rsid w:val="2C961D2B"/>
    <w:rsid w:val="2CA17D90"/>
    <w:rsid w:val="2CBDA459"/>
    <w:rsid w:val="2CC60647"/>
    <w:rsid w:val="2CD39DA0"/>
    <w:rsid w:val="2CDA3835"/>
    <w:rsid w:val="2CE118DF"/>
    <w:rsid w:val="2CEBD0FD"/>
    <w:rsid w:val="2CEC8962"/>
    <w:rsid w:val="2CF09FCA"/>
    <w:rsid w:val="2CF6DA5E"/>
    <w:rsid w:val="2D075AB3"/>
    <w:rsid w:val="2D13294A"/>
    <w:rsid w:val="2D4AA059"/>
    <w:rsid w:val="2D4F23BD"/>
    <w:rsid w:val="2D6783FB"/>
    <w:rsid w:val="2D8598FD"/>
    <w:rsid w:val="2D8A17A8"/>
    <w:rsid w:val="2DB06806"/>
    <w:rsid w:val="2DB5269F"/>
    <w:rsid w:val="2DC27EAE"/>
    <w:rsid w:val="2DC93EB1"/>
    <w:rsid w:val="2E0FFD1B"/>
    <w:rsid w:val="2E2E244E"/>
    <w:rsid w:val="2E508FF6"/>
    <w:rsid w:val="2E7E4521"/>
    <w:rsid w:val="2E8C702B"/>
    <w:rsid w:val="2E9668A9"/>
    <w:rsid w:val="2EB0C9C9"/>
    <w:rsid w:val="2EB39C9D"/>
    <w:rsid w:val="2EB7AF5A"/>
    <w:rsid w:val="2EBD71FB"/>
    <w:rsid w:val="2EC8BE44"/>
    <w:rsid w:val="2EF44646"/>
    <w:rsid w:val="2EF9ECD8"/>
    <w:rsid w:val="2F118BE3"/>
    <w:rsid w:val="2F21695E"/>
    <w:rsid w:val="2F36DAA0"/>
    <w:rsid w:val="2F3B438C"/>
    <w:rsid w:val="2F45B88C"/>
    <w:rsid w:val="2F4B1561"/>
    <w:rsid w:val="2F589552"/>
    <w:rsid w:val="2F73D9F6"/>
    <w:rsid w:val="2F7F80EC"/>
    <w:rsid w:val="2F95F6E4"/>
    <w:rsid w:val="2F97523E"/>
    <w:rsid w:val="2F97F05B"/>
    <w:rsid w:val="2FABF0A3"/>
    <w:rsid w:val="2FBFE0D1"/>
    <w:rsid w:val="2FCEB18C"/>
    <w:rsid w:val="2FE91453"/>
    <w:rsid w:val="2FF793FD"/>
    <w:rsid w:val="2FFFA085"/>
    <w:rsid w:val="30212A61"/>
    <w:rsid w:val="30242A24"/>
    <w:rsid w:val="3025095A"/>
    <w:rsid w:val="302AA2C6"/>
    <w:rsid w:val="30523804"/>
    <w:rsid w:val="306FE83F"/>
    <w:rsid w:val="30798DF6"/>
    <w:rsid w:val="3079FDE8"/>
    <w:rsid w:val="308115DA"/>
    <w:rsid w:val="3088AFD3"/>
    <w:rsid w:val="30B84F3F"/>
    <w:rsid w:val="30C54280"/>
    <w:rsid w:val="30D3A6C3"/>
    <w:rsid w:val="30DAD4F1"/>
    <w:rsid w:val="3103F2B1"/>
    <w:rsid w:val="310A6826"/>
    <w:rsid w:val="310D842E"/>
    <w:rsid w:val="3124C0A1"/>
    <w:rsid w:val="315682BD"/>
    <w:rsid w:val="315B2C29"/>
    <w:rsid w:val="315EF567"/>
    <w:rsid w:val="3163E95F"/>
    <w:rsid w:val="318B3D8C"/>
    <w:rsid w:val="319672D7"/>
    <w:rsid w:val="31AE4D74"/>
    <w:rsid w:val="32067DB1"/>
    <w:rsid w:val="322AA359"/>
    <w:rsid w:val="322E14B1"/>
    <w:rsid w:val="3231AF71"/>
    <w:rsid w:val="324E1ECA"/>
    <w:rsid w:val="32501F98"/>
    <w:rsid w:val="325AA8CB"/>
    <w:rsid w:val="325EA406"/>
    <w:rsid w:val="3263C060"/>
    <w:rsid w:val="3278A031"/>
    <w:rsid w:val="32874653"/>
    <w:rsid w:val="3291F02B"/>
    <w:rsid w:val="32983B2E"/>
    <w:rsid w:val="32B316BD"/>
    <w:rsid w:val="32CCA22F"/>
    <w:rsid w:val="32D43FF8"/>
    <w:rsid w:val="32FF24C4"/>
    <w:rsid w:val="33082784"/>
    <w:rsid w:val="331423CB"/>
    <w:rsid w:val="3322CB1C"/>
    <w:rsid w:val="332423F8"/>
    <w:rsid w:val="333976AB"/>
    <w:rsid w:val="3357E56E"/>
    <w:rsid w:val="335EB9BB"/>
    <w:rsid w:val="336A021D"/>
    <w:rsid w:val="337996E2"/>
    <w:rsid w:val="339B0273"/>
    <w:rsid w:val="33C2CE2C"/>
    <w:rsid w:val="33D8750E"/>
    <w:rsid w:val="33DE0C9A"/>
    <w:rsid w:val="33F296FD"/>
    <w:rsid w:val="33F6D35F"/>
    <w:rsid w:val="34048207"/>
    <w:rsid w:val="340EB4AF"/>
    <w:rsid w:val="344CE448"/>
    <w:rsid w:val="344CEFC0"/>
    <w:rsid w:val="3461A7E6"/>
    <w:rsid w:val="3483D6C6"/>
    <w:rsid w:val="348B43BA"/>
    <w:rsid w:val="348DCDE3"/>
    <w:rsid w:val="3493E785"/>
    <w:rsid w:val="3495ED3F"/>
    <w:rsid w:val="3495F54F"/>
    <w:rsid w:val="34980C31"/>
    <w:rsid w:val="349ED9B4"/>
    <w:rsid w:val="34A3F7E5"/>
    <w:rsid w:val="34C63ADE"/>
    <w:rsid w:val="34C97D60"/>
    <w:rsid w:val="34D5470C"/>
    <w:rsid w:val="34F1B83E"/>
    <w:rsid w:val="34FA8A1C"/>
    <w:rsid w:val="3503CE2F"/>
    <w:rsid w:val="35200B4D"/>
    <w:rsid w:val="3521FEA8"/>
    <w:rsid w:val="3530AD26"/>
    <w:rsid w:val="3553A9BA"/>
    <w:rsid w:val="35683D21"/>
    <w:rsid w:val="35903A0E"/>
    <w:rsid w:val="35A087EB"/>
    <w:rsid w:val="35AA8510"/>
    <w:rsid w:val="35AF88A3"/>
    <w:rsid w:val="35BF34CB"/>
    <w:rsid w:val="35C101AB"/>
    <w:rsid w:val="35D0FA24"/>
    <w:rsid w:val="3602FB60"/>
    <w:rsid w:val="36166E43"/>
    <w:rsid w:val="3619054C"/>
    <w:rsid w:val="3622C7DD"/>
    <w:rsid w:val="3626F487"/>
    <w:rsid w:val="3629F39A"/>
    <w:rsid w:val="364A9722"/>
    <w:rsid w:val="36590FA4"/>
    <w:rsid w:val="36592E30"/>
    <w:rsid w:val="365D9676"/>
    <w:rsid w:val="36848A0B"/>
    <w:rsid w:val="369848D8"/>
    <w:rsid w:val="36ADBAA0"/>
    <w:rsid w:val="36D721B5"/>
    <w:rsid w:val="370AF826"/>
    <w:rsid w:val="3717D191"/>
    <w:rsid w:val="3732D65F"/>
    <w:rsid w:val="37339750"/>
    <w:rsid w:val="373753F8"/>
    <w:rsid w:val="373F575F"/>
    <w:rsid w:val="374A5180"/>
    <w:rsid w:val="3762C570"/>
    <w:rsid w:val="37956E4F"/>
    <w:rsid w:val="379A46B2"/>
    <w:rsid w:val="37D713AB"/>
    <w:rsid w:val="37DE2D35"/>
    <w:rsid w:val="37E77414"/>
    <w:rsid w:val="37EEC994"/>
    <w:rsid w:val="37F3BF71"/>
    <w:rsid w:val="37FE8A8D"/>
    <w:rsid w:val="380AB26A"/>
    <w:rsid w:val="3817176E"/>
    <w:rsid w:val="3818154C"/>
    <w:rsid w:val="382CBAED"/>
    <w:rsid w:val="383DD433"/>
    <w:rsid w:val="3840770D"/>
    <w:rsid w:val="384235EE"/>
    <w:rsid w:val="3847354D"/>
    <w:rsid w:val="3848DE55"/>
    <w:rsid w:val="384A2EE3"/>
    <w:rsid w:val="384F8235"/>
    <w:rsid w:val="385839D1"/>
    <w:rsid w:val="38624E8B"/>
    <w:rsid w:val="3863C77A"/>
    <w:rsid w:val="3871078F"/>
    <w:rsid w:val="388ADCE0"/>
    <w:rsid w:val="38A2599F"/>
    <w:rsid w:val="38AE4598"/>
    <w:rsid w:val="38D7F32A"/>
    <w:rsid w:val="3916E689"/>
    <w:rsid w:val="392573FF"/>
    <w:rsid w:val="393E1EC9"/>
    <w:rsid w:val="39445EDD"/>
    <w:rsid w:val="39536BDA"/>
    <w:rsid w:val="3976C5C7"/>
    <w:rsid w:val="398CB440"/>
    <w:rsid w:val="39979D7C"/>
    <w:rsid w:val="39AB9223"/>
    <w:rsid w:val="39B2C343"/>
    <w:rsid w:val="39CBEBA0"/>
    <w:rsid w:val="39CE5051"/>
    <w:rsid w:val="39D6A252"/>
    <w:rsid w:val="39E3E4AE"/>
    <w:rsid w:val="39EC9C51"/>
    <w:rsid w:val="39F84BF7"/>
    <w:rsid w:val="3A0BD4A6"/>
    <w:rsid w:val="3A117297"/>
    <w:rsid w:val="3A134F94"/>
    <w:rsid w:val="3A1E69CA"/>
    <w:rsid w:val="3A443512"/>
    <w:rsid w:val="3A4E17B1"/>
    <w:rsid w:val="3A50C40E"/>
    <w:rsid w:val="3A68BF4D"/>
    <w:rsid w:val="3A6A89B9"/>
    <w:rsid w:val="3A7CF059"/>
    <w:rsid w:val="3AA39745"/>
    <w:rsid w:val="3AE9FD69"/>
    <w:rsid w:val="3AEA41EF"/>
    <w:rsid w:val="3AECBC35"/>
    <w:rsid w:val="3AF546A4"/>
    <w:rsid w:val="3AF63900"/>
    <w:rsid w:val="3B334DB9"/>
    <w:rsid w:val="3B35683E"/>
    <w:rsid w:val="3B69CBA0"/>
    <w:rsid w:val="3B6B6B5F"/>
    <w:rsid w:val="3B78E890"/>
    <w:rsid w:val="3B962E7A"/>
    <w:rsid w:val="3B9BCE01"/>
    <w:rsid w:val="3BA7AAE5"/>
    <w:rsid w:val="3BBB9D8D"/>
    <w:rsid w:val="3BC982D4"/>
    <w:rsid w:val="3BE7FA27"/>
    <w:rsid w:val="3BEBA0CA"/>
    <w:rsid w:val="3BF09EA7"/>
    <w:rsid w:val="3BF31109"/>
    <w:rsid w:val="3C114344"/>
    <w:rsid w:val="3C174D09"/>
    <w:rsid w:val="3C1FAA14"/>
    <w:rsid w:val="3C24F62D"/>
    <w:rsid w:val="3C2FBAA9"/>
    <w:rsid w:val="3C5B7B65"/>
    <w:rsid w:val="3C6049BD"/>
    <w:rsid w:val="3C62EB25"/>
    <w:rsid w:val="3C6C379C"/>
    <w:rsid w:val="3C77BE5A"/>
    <w:rsid w:val="3C987662"/>
    <w:rsid w:val="3C9AEBA9"/>
    <w:rsid w:val="3CA1A881"/>
    <w:rsid w:val="3CA411BC"/>
    <w:rsid w:val="3CB46898"/>
    <w:rsid w:val="3CB699A5"/>
    <w:rsid w:val="3CBBC30F"/>
    <w:rsid w:val="3CC73094"/>
    <w:rsid w:val="3CC8409F"/>
    <w:rsid w:val="3CCC5495"/>
    <w:rsid w:val="3CE414DF"/>
    <w:rsid w:val="3CF444EF"/>
    <w:rsid w:val="3CFC9C66"/>
    <w:rsid w:val="3D00EABA"/>
    <w:rsid w:val="3D165EAA"/>
    <w:rsid w:val="3D20DE0E"/>
    <w:rsid w:val="3D296336"/>
    <w:rsid w:val="3D304862"/>
    <w:rsid w:val="3D57C67F"/>
    <w:rsid w:val="3D6F0512"/>
    <w:rsid w:val="3D73037B"/>
    <w:rsid w:val="3D923BF0"/>
    <w:rsid w:val="3D9ED710"/>
    <w:rsid w:val="3DA5BD28"/>
    <w:rsid w:val="3DCDB936"/>
    <w:rsid w:val="3DD8003D"/>
    <w:rsid w:val="3DE6E8B7"/>
    <w:rsid w:val="3DE81EDC"/>
    <w:rsid w:val="3DEDF9AC"/>
    <w:rsid w:val="3DEF61CF"/>
    <w:rsid w:val="3E010BE2"/>
    <w:rsid w:val="3E08620D"/>
    <w:rsid w:val="3E097869"/>
    <w:rsid w:val="3E1CC82E"/>
    <w:rsid w:val="3E2A6F3B"/>
    <w:rsid w:val="3E3D6559"/>
    <w:rsid w:val="3E589100"/>
    <w:rsid w:val="3E6A46CD"/>
    <w:rsid w:val="3E7B0945"/>
    <w:rsid w:val="3E863466"/>
    <w:rsid w:val="3E869E7D"/>
    <w:rsid w:val="3E881017"/>
    <w:rsid w:val="3E9F5CC3"/>
    <w:rsid w:val="3EAC6074"/>
    <w:rsid w:val="3ED29ADB"/>
    <w:rsid w:val="3EDF4BA7"/>
    <w:rsid w:val="3EE1CEE4"/>
    <w:rsid w:val="3EE6829B"/>
    <w:rsid w:val="3EEAE4E3"/>
    <w:rsid w:val="3EFD1725"/>
    <w:rsid w:val="3F120F30"/>
    <w:rsid w:val="3F4DC01C"/>
    <w:rsid w:val="3F5085AC"/>
    <w:rsid w:val="3F5A7D0C"/>
    <w:rsid w:val="3F668BBF"/>
    <w:rsid w:val="3F7A07D2"/>
    <w:rsid w:val="3F8E9BEA"/>
    <w:rsid w:val="3F92FD05"/>
    <w:rsid w:val="3F944DAB"/>
    <w:rsid w:val="3F9ADFD7"/>
    <w:rsid w:val="3FA104C4"/>
    <w:rsid w:val="3FA704FB"/>
    <w:rsid w:val="3FDBB27E"/>
    <w:rsid w:val="3FE0957C"/>
    <w:rsid w:val="3FE1F7BE"/>
    <w:rsid w:val="3FE8214E"/>
    <w:rsid w:val="3FEA1145"/>
    <w:rsid w:val="3FFDA0C6"/>
    <w:rsid w:val="4008D9B5"/>
    <w:rsid w:val="400BDCB9"/>
    <w:rsid w:val="4013E13A"/>
    <w:rsid w:val="4042C199"/>
    <w:rsid w:val="40452A49"/>
    <w:rsid w:val="40487022"/>
    <w:rsid w:val="405EB79D"/>
    <w:rsid w:val="406823B9"/>
    <w:rsid w:val="40769F72"/>
    <w:rsid w:val="40A715C1"/>
    <w:rsid w:val="40B2A15E"/>
    <w:rsid w:val="40C18B7D"/>
    <w:rsid w:val="40D848D2"/>
    <w:rsid w:val="40F9D3A9"/>
    <w:rsid w:val="41099A5A"/>
    <w:rsid w:val="41140ED3"/>
    <w:rsid w:val="411BACB1"/>
    <w:rsid w:val="412ECD66"/>
    <w:rsid w:val="4131D1A4"/>
    <w:rsid w:val="4134FB82"/>
    <w:rsid w:val="4136682A"/>
    <w:rsid w:val="4140B734"/>
    <w:rsid w:val="41531295"/>
    <w:rsid w:val="417B01C0"/>
    <w:rsid w:val="417CC588"/>
    <w:rsid w:val="419E7F13"/>
    <w:rsid w:val="41B0DA7B"/>
    <w:rsid w:val="41DC45ED"/>
    <w:rsid w:val="41E6D16F"/>
    <w:rsid w:val="41EF68A8"/>
    <w:rsid w:val="41F0540B"/>
    <w:rsid w:val="420352D0"/>
    <w:rsid w:val="42152796"/>
    <w:rsid w:val="4232A541"/>
    <w:rsid w:val="42358051"/>
    <w:rsid w:val="42415D8C"/>
    <w:rsid w:val="42496B44"/>
    <w:rsid w:val="424E71BF"/>
    <w:rsid w:val="425ADF5E"/>
    <w:rsid w:val="42714B4F"/>
    <w:rsid w:val="4272BAC8"/>
    <w:rsid w:val="42833217"/>
    <w:rsid w:val="4287CCE5"/>
    <w:rsid w:val="42894D16"/>
    <w:rsid w:val="428C2F46"/>
    <w:rsid w:val="42AF9C30"/>
    <w:rsid w:val="42B0B8E5"/>
    <w:rsid w:val="42E102F8"/>
    <w:rsid w:val="430655B6"/>
    <w:rsid w:val="43100ED2"/>
    <w:rsid w:val="4317AEE9"/>
    <w:rsid w:val="43217148"/>
    <w:rsid w:val="4329FA30"/>
    <w:rsid w:val="433793DA"/>
    <w:rsid w:val="433EC70C"/>
    <w:rsid w:val="4348E1F2"/>
    <w:rsid w:val="43603B71"/>
    <w:rsid w:val="436A3C10"/>
    <w:rsid w:val="437804B3"/>
    <w:rsid w:val="437C2DEF"/>
    <w:rsid w:val="4384E895"/>
    <w:rsid w:val="43A4DE91"/>
    <w:rsid w:val="43DB88B3"/>
    <w:rsid w:val="43E460EB"/>
    <w:rsid w:val="43EF3BE3"/>
    <w:rsid w:val="4407027F"/>
    <w:rsid w:val="4418D518"/>
    <w:rsid w:val="442612B4"/>
    <w:rsid w:val="4427BAE1"/>
    <w:rsid w:val="443E1BBB"/>
    <w:rsid w:val="445E6DD0"/>
    <w:rsid w:val="4476ECA7"/>
    <w:rsid w:val="44796321"/>
    <w:rsid w:val="447D0E10"/>
    <w:rsid w:val="448BF35B"/>
    <w:rsid w:val="44A12A40"/>
    <w:rsid w:val="44C4388E"/>
    <w:rsid w:val="44E40C78"/>
    <w:rsid w:val="44EBA605"/>
    <w:rsid w:val="44F379A8"/>
    <w:rsid w:val="450D040B"/>
    <w:rsid w:val="45162FE6"/>
    <w:rsid w:val="451791A7"/>
    <w:rsid w:val="4548A376"/>
    <w:rsid w:val="45534014"/>
    <w:rsid w:val="455F62E5"/>
    <w:rsid w:val="45633387"/>
    <w:rsid w:val="4572BB9B"/>
    <w:rsid w:val="45770773"/>
    <w:rsid w:val="45B93E81"/>
    <w:rsid w:val="45C4F8C3"/>
    <w:rsid w:val="45CDE7E8"/>
    <w:rsid w:val="45CDF2F2"/>
    <w:rsid w:val="45E44A6A"/>
    <w:rsid w:val="45E76DBE"/>
    <w:rsid w:val="46017915"/>
    <w:rsid w:val="4610C9AD"/>
    <w:rsid w:val="4643508C"/>
    <w:rsid w:val="4645FBD4"/>
    <w:rsid w:val="465AB108"/>
    <w:rsid w:val="465E7109"/>
    <w:rsid w:val="4661C98C"/>
    <w:rsid w:val="466E12DA"/>
    <w:rsid w:val="4691464B"/>
    <w:rsid w:val="469647FD"/>
    <w:rsid w:val="469E42B5"/>
    <w:rsid w:val="46A218CB"/>
    <w:rsid w:val="46A654BB"/>
    <w:rsid w:val="46AFA575"/>
    <w:rsid w:val="46B0F00C"/>
    <w:rsid w:val="46C90ECF"/>
    <w:rsid w:val="46CC480C"/>
    <w:rsid w:val="46CEFCBC"/>
    <w:rsid w:val="46DD5D78"/>
    <w:rsid w:val="46E13FF9"/>
    <w:rsid w:val="46F784F3"/>
    <w:rsid w:val="46F9E5DE"/>
    <w:rsid w:val="47049B5C"/>
    <w:rsid w:val="470A6D09"/>
    <w:rsid w:val="4717FB06"/>
    <w:rsid w:val="47215A53"/>
    <w:rsid w:val="4740947F"/>
    <w:rsid w:val="474CCABA"/>
    <w:rsid w:val="474FDBA4"/>
    <w:rsid w:val="47592669"/>
    <w:rsid w:val="475C20DD"/>
    <w:rsid w:val="4765E26C"/>
    <w:rsid w:val="4771FDD7"/>
    <w:rsid w:val="47842A08"/>
    <w:rsid w:val="4784E68D"/>
    <w:rsid w:val="479E0EEA"/>
    <w:rsid w:val="47AB017A"/>
    <w:rsid w:val="47AB1919"/>
    <w:rsid w:val="47B9DB46"/>
    <w:rsid w:val="47C6CED7"/>
    <w:rsid w:val="47D6DDDC"/>
    <w:rsid w:val="47E1CC35"/>
    <w:rsid w:val="47E37FF5"/>
    <w:rsid w:val="47E3E7D2"/>
    <w:rsid w:val="47E613B8"/>
    <w:rsid w:val="47E856C4"/>
    <w:rsid w:val="47F044A1"/>
    <w:rsid w:val="47F7DC1F"/>
    <w:rsid w:val="47FDC641"/>
    <w:rsid w:val="480D5522"/>
    <w:rsid w:val="482B5EE5"/>
    <w:rsid w:val="482EE314"/>
    <w:rsid w:val="483F315B"/>
    <w:rsid w:val="484B75D6"/>
    <w:rsid w:val="4856FB77"/>
    <w:rsid w:val="485DB6BA"/>
    <w:rsid w:val="487B5C57"/>
    <w:rsid w:val="4880BB2D"/>
    <w:rsid w:val="4889DB82"/>
    <w:rsid w:val="488CB176"/>
    <w:rsid w:val="48979606"/>
    <w:rsid w:val="489AABD2"/>
    <w:rsid w:val="48A6D0A2"/>
    <w:rsid w:val="48A9E5A3"/>
    <w:rsid w:val="48ADEE27"/>
    <w:rsid w:val="48CC5707"/>
    <w:rsid w:val="48D0CEB9"/>
    <w:rsid w:val="48F7EF52"/>
    <w:rsid w:val="49067B68"/>
    <w:rsid w:val="4913597B"/>
    <w:rsid w:val="49272DB0"/>
    <w:rsid w:val="492C62BB"/>
    <w:rsid w:val="493F50F8"/>
    <w:rsid w:val="494CD444"/>
    <w:rsid w:val="496820F6"/>
    <w:rsid w:val="49881B76"/>
    <w:rsid w:val="498C59AC"/>
    <w:rsid w:val="4999A0CE"/>
    <w:rsid w:val="49B8B4BF"/>
    <w:rsid w:val="49C8B18A"/>
    <w:rsid w:val="49CF3CF8"/>
    <w:rsid w:val="49DB01BC"/>
    <w:rsid w:val="49E9DA3F"/>
    <w:rsid w:val="49F5868F"/>
    <w:rsid w:val="4A17B578"/>
    <w:rsid w:val="4A1E729D"/>
    <w:rsid w:val="4A2309E1"/>
    <w:rsid w:val="4A260012"/>
    <w:rsid w:val="4A51FD66"/>
    <w:rsid w:val="4A5A24D2"/>
    <w:rsid w:val="4A6798E5"/>
    <w:rsid w:val="4A9D4127"/>
    <w:rsid w:val="4AB8CB07"/>
    <w:rsid w:val="4AC4D4F0"/>
    <w:rsid w:val="4AE094AA"/>
    <w:rsid w:val="4AE5104E"/>
    <w:rsid w:val="4AEB5961"/>
    <w:rsid w:val="4AFA0CF3"/>
    <w:rsid w:val="4AFBF4BC"/>
    <w:rsid w:val="4AFD38DC"/>
    <w:rsid w:val="4B1653F1"/>
    <w:rsid w:val="4B293774"/>
    <w:rsid w:val="4B434F01"/>
    <w:rsid w:val="4B43DD70"/>
    <w:rsid w:val="4B4E2F6A"/>
    <w:rsid w:val="4B54BE05"/>
    <w:rsid w:val="4B670DF1"/>
    <w:rsid w:val="4B864E4E"/>
    <w:rsid w:val="4B8B6E0F"/>
    <w:rsid w:val="4BE3D5E7"/>
    <w:rsid w:val="4BE68216"/>
    <w:rsid w:val="4BFAD818"/>
    <w:rsid w:val="4C310528"/>
    <w:rsid w:val="4C3CD6EA"/>
    <w:rsid w:val="4C425253"/>
    <w:rsid w:val="4C5D2531"/>
    <w:rsid w:val="4C8C2F1C"/>
    <w:rsid w:val="4C924BA2"/>
    <w:rsid w:val="4C9E1E57"/>
    <w:rsid w:val="4CAEF70C"/>
    <w:rsid w:val="4CBD4D2C"/>
    <w:rsid w:val="4CC7CA0C"/>
    <w:rsid w:val="4CD18777"/>
    <w:rsid w:val="4CD78E77"/>
    <w:rsid w:val="4CE1AD5B"/>
    <w:rsid w:val="4D136C81"/>
    <w:rsid w:val="4D217B01"/>
    <w:rsid w:val="4D219355"/>
    <w:rsid w:val="4D30FA08"/>
    <w:rsid w:val="4D388BA8"/>
    <w:rsid w:val="4D42E7AB"/>
    <w:rsid w:val="4D5E1CB2"/>
    <w:rsid w:val="4D812387"/>
    <w:rsid w:val="4D81C353"/>
    <w:rsid w:val="4D9497FD"/>
    <w:rsid w:val="4DBF9D82"/>
    <w:rsid w:val="4DCCAA6C"/>
    <w:rsid w:val="4DD8A4BA"/>
    <w:rsid w:val="4DDD31E2"/>
    <w:rsid w:val="4DE6C734"/>
    <w:rsid w:val="4E00F4B3"/>
    <w:rsid w:val="4E1563E0"/>
    <w:rsid w:val="4E28C9B8"/>
    <w:rsid w:val="4E3EE489"/>
    <w:rsid w:val="4E429338"/>
    <w:rsid w:val="4E550ED0"/>
    <w:rsid w:val="4E77D175"/>
    <w:rsid w:val="4E77F825"/>
    <w:rsid w:val="4E879626"/>
    <w:rsid w:val="4E9782C7"/>
    <w:rsid w:val="4E9D9CFD"/>
    <w:rsid w:val="4EA82FD0"/>
    <w:rsid w:val="4EAAB1E3"/>
    <w:rsid w:val="4EBF7DB2"/>
    <w:rsid w:val="4EC2A4E0"/>
    <w:rsid w:val="4ED55CA3"/>
    <w:rsid w:val="4ED66A8A"/>
    <w:rsid w:val="4EF83FE7"/>
    <w:rsid w:val="4EFBF2FA"/>
    <w:rsid w:val="4F016858"/>
    <w:rsid w:val="4F026407"/>
    <w:rsid w:val="4F0FF90A"/>
    <w:rsid w:val="4F284E59"/>
    <w:rsid w:val="4F373AEF"/>
    <w:rsid w:val="4F4B0AA1"/>
    <w:rsid w:val="4F4E5E91"/>
    <w:rsid w:val="4F585C9A"/>
    <w:rsid w:val="4F5F3A90"/>
    <w:rsid w:val="4F8893AF"/>
    <w:rsid w:val="4F941074"/>
    <w:rsid w:val="4F951BA4"/>
    <w:rsid w:val="4F95C22A"/>
    <w:rsid w:val="4FA46599"/>
    <w:rsid w:val="4FACBD60"/>
    <w:rsid w:val="4FCB719D"/>
    <w:rsid w:val="4FD57361"/>
    <w:rsid w:val="4FED52E4"/>
    <w:rsid w:val="500388B6"/>
    <w:rsid w:val="5021675D"/>
    <w:rsid w:val="503313D6"/>
    <w:rsid w:val="503E7E7C"/>
    <w:rsid w:val="50493C89"/>
    <w:rsid w:val="505C239D"/>
    <w:rsid w:val="507BA277"/>
    <w:rsid w:val="50926F6D"/>
    <w:rsid w:val="509749A0"/>
    <w:rsid w:val="509E6739"/>
    <w:rsid w:val="50B67635"/>
    <w:rsid w:val="50C4B724"/>
    <w:rsid w:val="50C95E46"/>
    <w:rsid w:val="50D7BF5C"/>
    <w:rsid w:val="50DBD5EC"/>
    <w:rsid w:val="50E2902F"/>
    <w:rsid w:val="50E7DC7C"/>
    <w:rsid w:val="50F48922"/>
    <w:rsid w:val="5120C5D6"/>
    <w:rsid w:val="51278347"/>
    <w:rsid w:val="5128AFE3"/>
    <w:rsid w:val="513A50D3"/>
    <w:rsid w:val="514BEA8B"/>
    <w:rsid w:val="514D6163"/>
    <w:rsid w:val="5160E6AC"/>
    <w:rsid w:val="516741FE"/>
    <w:rsid w:val="51764FCE"/>
    <w:rsid w:val="51886C16"/>
    <w:rsid w:val="51949731"/>
    <w:rsid w:val="519F5917"/>
    <w:rsid w:val="51BB4532"/>
    <w:rsid w:val="51C1DEE5"/>
    <w:rsid w:val="51DDF617"/>
    <w:rsid w:val="51DF1DAA"/>
    <w:rsid w:val="51E027DF"/>
    <w:rsid w:val="51E246A6"/>
    <w:rsid w:val="51E345AB"/>
    <w:rsid w:val="51F63AF0"/>
    <w:rsid w:val="520048BD"/>
    <w:rsid w:val="5205A6E4"/>
    <w:rsid w:val="52124EAB"/>
    <w:rsid w:val="521C2294"/>
    <w:rsid w:val="52246DE7"/>
    <w:rsid w:val="5228DE47"/>
    <w:rsid w:val="5235C097"/>
    <w:rsid w:val="5282812B"/>
    <w:rsid w:val="528F63FB"/>
    <w:rsid w:val="5291B20F"/>
    <w:rsid w:val="52A277D4"/>
    <w:rsid w:val="53047152"/>
    <w:rsid w:val="53051551"/>
    <w:rsid w:val="5313961D"/>
    <w:rsid w:val="5324E9C1"/>
    <w:rsid w:val="532C6C62"/>
    <w:rsid w:val="532C7C3F"/>
    <w:rsid w:val="534B0184"/>
    <w:rsid w:val="534E0066"/>
    <w:rsid w:val="5356D0CF"/>
    <w:rsid w:val="535BCF1C"/>
    <w:rsid w:val="535DAF46"/>
    <w:rsid w:val="53715E55"/>
    <w:rsid w:val="5399AE1E"/>
    <w:rsid w:val="539C0527"/>
    <w:rsid w:val="53AE5FF1"/>
    <w:rsid w:val="53AEEDD0"/>
    <w:rsid w:val="53DC1366"/>
    <w:rsid w:val="53F99D6F"/>
    <w:rsid w:val="541258CE"/>
    <w:rsid w:val="541CF5D5"/>
    <w:rsid w:val="54532CB4"/>
    <w:rsid w:val="5455DEAF"/>
    <w:rsid w:val="5479CD34"/>
    <w:rsid w:val="54B08E3B"/>
    <w:rsid w:val="54BBDC5C"/>
    <w:rsid w:val="54C94B8A"/>
    <w:rsid w:val="54CBF6E6"/>
    <w:rsid w:val="54E4E644"/>
    <w:rsid w:val="54F5611C"/>
    <w:rsid w:val="5508B61F"/>
    <w:rsid w:val="550C685B"/>
    <w:rsid w:val="5511EF9F"/>
    <w:rsid w:val="55137DC5"/>
    <w:rsid w:val="5532BAF5"/>
    <w:rsid w:val="553C8E19"/>
    <w:rsid w:val="554176B3"/>
    <w:rsid w:val="5546BCA7"/>
    <w:rsid w:val="554DE9B3"/>
    <w:rsid w:val="5571A58B"/>
    <w:rsid w:val="558B7F15"/>
    <w:rsid w:val="55A1992F"/>
    <w:rsid w:val="55AE962D"/>
    <w:rsid w:val="55EED18B"/>
    <w:rsid w:val="5602B4CC"/>
    <w:rsid w:val="56099D4C"/>
    <w:rsid w:val="560BA53E"/>
    <w:rsid w:val="56188504"/>
    <w:rsid w:val="5626ED77"/>
    <w:rsid w:val="562D3B90"/>
    <w:rsid w:val="5637C782"/>
    <w:rsid w:val="563E5B99"/>
    <w:rsid w:val="565592A3"/>
    <w:rsid w:val="56685679"/>
    <w:rsid w:val="56690552"/>
    <w:rsid w:val="566A9AA8"/>
    <w:rsid w:val="5672CA3A"/>
    <w:rsid w:val="567827F1"/>
    <w:rsid w:val="568C242A"/>
    <w:rsid w:val="568F96C3"/>
    <w:rsid w:val="56B1673A"/>
    <w:rsid w:val="56B33300"/>
    <w:rsid w:val="56B41072"/>
    <w:rsid w:val="56B79A85"/>
    <w:rsid w:val="56B954C0"/>
    <w:rsid w:val="56BA239E"/>
    <w:rsid w:val="56F77CA0"/>
    <w:rsid w:val="5701FB99"/>
    <w:rsid w:val="572195FB"/>
    <w:rsid w:val="572CF390"/>
    <w:rsid w:val="573E7505"/>
    <w:rsid w:val="57577A41"/>
    <w:rsid w:val="577EC090"/>
    <w:rsid w:val="57815FE6"/>
    <w:rsid w:val="5786D3C1"/>
    <w:rsid w:val="578C8B51"/>
    <w:rsid w:val="579EEFE4"/>
    <w:rsid w:val="57AA1304"/>
    <w:rsid w:val="57B3CEEC"/>
    <w:rsid w:val="57C168EB"/>
    <w:rsid w:val="57D9A4FB"/>
    <w:rsid w:val="57DD0187"/>
    <w:rsid w:val="57F55C50"/>
    <w:rsid w:val="5803C3DF"/>
    <w:rsid w:val="5804C104"/>
    <w:rsid w:val="5816D9D8"/>
    <w:rsid w:val="581B8B81"/>
    <w:rsid w:val="5831A080"/>
    <w:rsid w:val="5844A9DD"/>
    <w:rsid w:val="5846595B"/>
    <w:rsid w:val="5854AFD7"/>
    <w:rsid w:val="585A783B"/>
    <w:rsid w:val="586518AC"/>
    <w:rsid w:val="5876A9FB"/>
    <w:rsid w:val="5885FC2E"/>
    <w:rsid w:val="5889AFE9"/>
    <w:rsid w:val="589FDD2E"/>
    <w:rsid w:val="58CF86A4"/>
    <w:rsid w:val="58E357A9"/>
    <w:rsid w:val="58E7AF10"/>
    <w:rsid w:val="58FC7542"/>
    <w:rsid w:val="59107713"/>
    <w:rsid w:val="5920F8B1"/>
    <w:rsid w:val="5930C456"/>
    <w:rsid w:val="59410850"/>
    <w:rsid w:val="5946294F"/>
    <w:rsid w:val="594F46BD"/>
    <w:rsid w:val="5951D555"/>
    <w:rsid w:val="596DD267"/>
    <w:rsid w:val="597BD916"/>
    <w:rsid w:val="598D8A13"/>
    <w:rsid w:val="599470DC"/>
    <w:rsid w:val="59D4B644"/>
    <w:rsid w:val="59E1F0CD"/>
    <w:rsid w:val="59FDF8E6"/>
    <w:rsid w:val="5A042156"/>
    <w:rsid w:val="5A17BB6D"/>
    <w:rsid w:val="5A230A71"/>
    <w:rsid w:val="5A469327"/>
    <w:rsid w:val="5A53C30F"/>
    <w:rsid w:val="5A584B2E"/>
    <w:rsid w:val="5A69A576"/>
    <w:rsid w:val="5A6D7381"/>
    <w:rsid w:val="5A89A795"/>
    <w:rsid w:val="5AD6DC57"/>
    <w:rsid w:val="5AE32998"/>
    <w:rsid w:val="5B0FB26C"/>
    <w:rsid w:val="5B326894"/>
    <w:rsid w:val="5B471C6E"/>
    <w:rsid w:val="5B48A60C"/>
    <w:rsid w:val="5B4DB2C8"/>
    <w:rsid w:val="5B51B972"/>
    <w:rsid w:val="5B63C1C8"/>
    <w:rsid w:val="5B6B6534"/>
    <w:rsid w:val="5B7BBF27"/>
    <w:rsid w:val="5B9D19E4"/>
    <w:rsid w:val="5BD4AC05"/>
    <w:rsid w:val="5BD97649"/>
    <w:rsid w:val="5BE481B2"/>
    <w:rsid w:val="5BE88FDA"/>
    <w:rsid w:val="5BF331EC"/>
    <w:rsid w:val="5BF8B2E7"/>
    <w:rsid w:val="5C0C34B3"/>
    <w:rsid w:val="5C341D1B"/>
    <w:rsid w:val="5C3A2FE3"/>
    <w:rsid w:val="5C3FEFFF"/>
    <w:rsid w:val="5C474108"/>
    <w:rsid w:val="5C74778C"/>
    <w:rsid w:val="5C79B92F"/>
    <w:rsid w:val="5C7EF9F9"/>
    <w:rsid w:val="5C9307CD"/>
    <w:rsid w:val="5C966F7A"/>
    <w:rsid w:val="5C9F3E0C"/>
    <w:rsid w:val="5CA30D75"/>
    <w:rsid w:val="5CBA264B"/>
    <w:rsid w:val="5CC640D7"/>
    <w:rsid w:val="5CC6D012"/>
    <w:rsid w:val="5CCACB49"/>
    <w:rsid w:val="5CD26A25"/>
    <w:rsid w:val="5CD46D70"/>
    <w:rsid w:val="5CF06285"/>
    <w:rsid w:val="5CF5C645"/>
    <w:rsid w:val="5CFB48C0"/>
    <w:rsid w:val="5D07A249"/>
    <w:rsid w:val="5D0AB401"/>
    <w:rsid w:val="5D1FF64B"/>
    <w:rsid w:val="5D3722A7"/>
    <w:rsid w:val="5D3C094F"/>
    <w:rsid w:val="5D672BE7"/>
    <w:rsid w:val="5D733B55"/>
    <w:rsid w:val="5D74CB55"/>
    <w:rsid w:val="5D960D59"/>
    <w:rsid w:val="5DA15D99"/>
    <w:rsid w:val="5DB3B42E"/>
    <w:rsid w:val="5DCF6760"/>
    <w:rsid w:val="5DEA7C80"/>
    <w:rsid w:val="5DF5C9F2"/>
    <w:rsid w:val="5DF8547F"/>
    <w:rsid w:val="5E312274"/>
    <w:rsid w:val="5E38A541"/>
    <w:rsid w:val="5E4092C4"/>
    <w:rsid w:val="5E72B2B8"/>
    <w:rsid w:val="5E753C02"/>
    <w:rsid w:val="5E7F138F"/>
    <w:rsid w:val="5EA5D5BD"/>
    <w:rsid w:val="5EA96789"/>
    <w:rsid w:val="5EB44503"/>
    <w:rsid w:val="5EBFA04D"/>
    <w:rsid w:val="5ED6863A"/>
    <w:rsid w:val="5ED9375A"/>
    <w:rsid w:val="5EEE773F"/>
    <w:rsid w:val="5F000D76"/>
    <w:rsid w:val="5F20DE20"/>
    <w:rsid w:val="5F3AA7A6"/>
    <w:rsid w:val="5F738655"/>
    <w:rsid w:val="5FC933E6"/>
    <w:rsid w:val="5FD33DCA"/>
    <w:rsid w:val="5FD7D117"/>
    <w:rsid w:val="5FDA2700"/>
    <w:rsid w:val="5FDFAC25"/>
    <w:rsid w:val="5FDFFA49"/>
    <w:rsid w:val="5FE452B7"/>
    <w:rsid w:val="5FFF8804"/>
    <w:rsid w:val="6001A257"/>
    <w:rsid w:val="600B6434"/>
    <w:rsid w:val="6030F0ED"/>
    <w:rsid w:val="60346DCE"/>
    <w:rsid w:val="60348262"/>
    <w:rsid w:val="60659398"/>
    <w:rsid w:val="606F430E"/>
    <w:rsid w:val="6084D667"/>
    <w:rsid w:val="6086A6C0"/>
    <w:rsid w:val="60956FEB"/>
    <w:rsid w:val="60B5D4AB"/>
    <w:rsid w:val="60E777A6"/>
    <w:rsid w:val="610EF23D"/>
    <w:rsid w:val="611905FE"/>
    <w:rsid w:val="61276734"/>
    <w:rsid w:val="6136FED0"/>
    <w:rsid w:val="6141AB17"/>
    <w:rsid w:val="614C2EA0"/>
    <w:rsid w:val="614F33A1"/>
    <w:rsid w:val="6158946A"/>
    <w:rsid w:val="61658D1E"/>
    <w:rsid w:val="6168D5D5"/>
    <w:rsid w:val="616B4392"/>
    <w:rsid w:val="61759E1D"/>
    <w:rsid w:val="6193C842"/>
    <w:rsid w:val="61A94F84"/>
    <w:rsid w:val="61C003DB"/>
    <w:rsid w:val="61C89423"/>
    <w:rsid w:val="61D906CE"/>
    <w:rsid w:val="61DC0E1F"/>
    <w:rsid w:val="61DF3F0F"/>
    <w:rsid w:val="61E83B9C"/>
    <w:rsid w:val="61F8D070"/>
    <w:rsid w:val="61FFF5DE"/>
    <w:rsid w:val="6200986E"/>
    <w:rsid w:val="62100D45"/>
    <w:rsid w:val="621273C1"/>
    <w:rsid w:val="6212DA76"/>
    <w:rsid w:val="6239FC67"/>
    <w:rsid w:val="6244D139"/>
    <w:rsid w:val="625112E2"/>
    <w:rsid w:val="625A3BE3"/>
    <w:rsid w:val="6266694A"/>
    <w:rsid w:val="62679173"/>
    <w:rsid w:val="6285CC3B"/>
    <w:rsid w:val="62882AEC"/>
    <w:rsid w:val="62C1866B"/>
    <w:rsid w:val="62E1EE3C"/>
    <w:rsid w:val="62EFE4EB"/>
    <w:rsid w:val="62F89F7D"/>
    <w:rsid w:val="6308AF2A"/>
    <w:rsid w:val="631D7C94"/>
    <w:rsid w:val="63334B62"/>
    <w:rsid w:val="633824E5"/>
    <w:rsid w:val="6346DAAA"/>
    <w:rsid w:val="6347765E"/>
    <w:rsid w:val="634C12C7"/>
    <w:rsid w:val="63633B1A"/>
    <w:rsid w:val="6364782E"/>
    <w:rsid w:val="63657BF5"/>
    <w:rsid w:val="636F4B49"/>
    <w:rsid w:val="63727773"/>
    <w:rsid w:val="6393BF7B"/>
    <w:rsid w:val="63956C42"/>
    <w:rsid w:val="63AEE82E"/>
    <w:rsid w:val="63DEC588"/>
    <w:rsid w:val="63E00B15"/>
    <w:rsid w:val="63ED7569"/>
    <w:rsid w:val="63F0B888"/>
    <w:rsid w:val="63F202D0"/>
    <w:rsid w:val="6408BFA1"/>
    <w:rsid w:val="640A37FF"/>
    <w:rsid w:val="641D2AC2"/>
    <w:rsid w:val="641F1058"/>
    <w:rsid w:val="6420FFBD"/>
    <w:rsid w:val="6426720D"/>
    <w:rsid w:val="6429E407"/>
    <w:rsid w:val="64491C9A"/>
    <w:rsid w:val="64505B7E"/>
    <w:rsid w:val="64538938"/>
    <w:rsid w:val="6456A1C7"/>
    <w:rsid w:val="646F30DD"/>
    <w:rsid w:val="64898671"/>
    <w:rsid w:val="6499E9AC"/>
    <w:rsid w:val="64AF5A3E"/>
    <w:rsid w:val="64AF64D6"/>
    <w:rsid w:val="64C25A55"/>
    <w:rsid w:val="64C55F6E"/>
    <w:rsid w:val="64C6C65B"/>
    <w:rsid w:val="64CE46E2"/>
    <w:rsid w:val="64D242F1"/>
    <w:rsid w:val="650DCE97"/>
    <w:rsid w:val="65166EFD"/>
    <w:rsid w:val="651BA75F"/>
    <w:rsid w:val="652D83C2"/>
    <w:rsid w:val="652DFF04"/>
    <w:rsid w:val="6557EE4F"/>
    <w:rsid w:val="657A2B52"/>
    <w:rsid w:val="65803A51"/>
    <w:rsid w:val="6591A6E1"/>
    <w:rsid w:val="65B0613D"/>
    <w:rsid w:val="65CD4551"/>
    <w:rsid w:val="65D9A205"/>
    <w:rsid w:val="65E60B7C"/>
    <w:rsid w:val="65FB536B"/>
    <w:rsid w:val="6622A4C4"/>
    <w:rsid w:val="6626EE89"/>
    <w:rsid w:val="6631D54F"/>
    <w:rsid w:val="66337FF3"/>
    <w:rsid w:val="665545E3"/>
    <w:rsid w:val="6656C06D"/>
    <w:rsid w:val="665DFCD3"/>
    <w:rsid w:val="669C8FF0"/>
    <w:rsid w:val="66B0A3FA"/>
    <w:rsid w:val="66B7B2A1"/>
    <w:rsid w:val="66E4BCA9"/>
    <w:rsid w:val="66FB271A"/>
    <w:rsid w:val="67095A82"/>
    <w:rsid w:val="670F831A"/>
    <w:rsid w:val="6714F1D7"/>
    <w:rsid w:val="671EF1CC"/>
    <w:rsid w:val="673D9344"/>
    <w:rsid w:val="6744C647"/>
    <w:rsid w:val="6751924C"/>
    <w:rsid w:val="67531E19"/>
    <w:rsid w:val="677828DE"/>
    <w:rsid w:val="67AFF07C"/>
    <w:rsid w:val="67B1FAC7"/>
    <w:rsid w:val="67B34F4A"/>
    <w:rsid w:val="67BDCC9B"/>
    <w:rsid w:val="67C2150D"/>
    <w:rsid w:val="67D74FA0"/>
    <w:rsid w:val="67F5A6DA"/>
    <w:rsid w:val="6809AE44"/>
    <w:rsid w:val="680D03F6"/>
    <w:rsid w:val="680D3E8A"/>
    <w:rsid w:val="6811BF1F"/>
    <w:rsid w:val="6812E9FE"/>
    <w:rsid w:val="6813838E"/>
    <w:rsid w:val="681A8FDA"/>
    <w:rsid w:val="681C4782"/>
    <w:rsid w:val="682103FA"/>
    <w:rsid w:val="68221DD3"/>
    <w:rsid w:val="684F2E99"/>
    <w:rsid w:val="68548906"/>
    <w:rsid w:val="686029E5"/>
    <w:rsid w:val="687380A4"/>
    <w:rsid w:val="687B7E15"/>
    <w:rsid w:val="6891182C"/>
    <w:rsid w:val="689EC5F0"/>
    <w:rsid w:val="689FBDDB"/>
    <w:rsid w:val="68A704A6"/>
    <w:rsid w:val="68ABEA6F"/>
    <w:rsid w:val="68C62381"/>
    <w:rsid w:val="68E7348D"/>
    <w:rsid w:val="68F18C65"/>
    <w:rsid w:val="693DF5FB"/>
    <w:rsid w:val="693E9CE9"/>
    <w:rsid w:val="6956A58B"/>
    <w:rsid w:val="6974383F"/>
    <w:rsid w:val="6979B1B3"/>
    <w:rsid w:val="698071CD"/>
    <w:rsid w:val="69809C32"/>
    <w:rsid w:val="69CA51AF"/>
    <w:rsid w:val="69D2DD91"/>
    <w:rsid w:val="69ECE8F1"/>
    <w:rsid w:val="69F12E49"/>
    <w:rsid w:val="69FB86F7"/>
    <w:rsid w:val="6A0A407A"/>
    <w:rsid w:val="6A2755BF"/>
    <w:rsid w:val="6A380922"/>
    <w:rsid w:val="6A3B8E3C"/>
    <w:rsid w:val="6A4048FE"/>
    <w:rsid w:val="6A54B8B9"/>
    <w:rsid w:val="6A5CE08D"/>
    <w:rsid w:val="6A7A1474"/>
    <w:rsid w:val="6A7BF3BC"/>
    <w:rsid w:val="6A8B2BFC"/>
    <w:rsid w:val="6AA49C37"/>
    <w:rsid w:val="6AAECDE7"/>
    <w:rsid w:val="6ABE4B52"/>
    <w:rsid w:val="6AE8EEB8"/>
    <w:rsid w:val="6AF615E7"/>
    <w:rsid w:val="6B5F1555"/>
    <w:rsid w:val="6B7FF1B7"/>
    <w:rsid w:val="6B8DB690"/>
    <w:rsid w:val="6B977488"/>
    <w:rsid w:val="6BA9C8DC"/>
    <w:rsid w:val="6BBE84B3"/>
    <w:rsid w:val="6BC3E158"/>
    <w:rsid w:val="6BC6E279"/>
    <w:rsid w:val="6BE48AAC"/>
    <w:rsid w:val="6BF7BE96"/>
    <w:rsid w:val="6BF88752"/>
    <w:rsid w:val="6BFB599A"/>
    <w:rsid w:val="6C1B2C7A"/>
    <w:rsid w:val="6C1CC676"/>
    <w:rsid w:val="6C34F414"/>
    <w:rsid w:val="6C3DCDFC"/>
    <w:rsid w:val="6C42A6DF"/>
    <w:rsid w:val="6C4E1E49"/>
    <w:rsid w:val="6C505517"/>
    <w:rsid w:val="6C5CA30E"/>
    <w:rsid w:val="6C63C8F6"/>
    <w:rsid w:val="6C6AC57B"/>
    <w:rsid w:val="6C6FAE03"/>
    <w:rsid w:val="6C7A7222"/>
    <w:rsid w:val="6C871C5C"/>
    <w:rsid w:val="6C88D92D"/>
    <w:rsid w:val="6CA0A41F"/>
    <w:rsid w:val="6CA25262"/>
    <w:rsid w:val="6CA763E6"/>
    <w:rsid w:val="6CE8992B"/>
    <w:rsid w:val="6CF29A44"/>
    <w:rsid w:val="6CF6BBD2"/>
    <w:rsid w:val="6CFD49B7"/>
    <w:rsid w:val="6D0843EF"/>
    <w:rsid w:val="6D15700F"/>
    <w:rsid w:val="6D1BC218"/>
    <w:rsid w:val="6D27FA29"/>
    <w:rsid w:val="6D2DAF3B"/>
    <w:rsid w:val="6D351848"/>
    <w:rsid w:val="6D45E7F4"/>
    <w:rsid w:val="6D51718B"/>
    <w:rsid w:val="6D5F2708"/>
    <w:rsid w:val="6D83F885"/>
    <w:rsid w:val="6D8E851C"/>
    <w:rsid w:val="6D900E77"/>
    <w:rsid w:val="6D97924F"/>
    <w:rsid w:val="6D9AB305"/>
    <w:rsid w:val="6D9B283B"/>
    <w:rsid w:val="6D9DD47E"/>
    <w:rsid w:val="6DAE0AA3"/>
    <w:rsid w:val="6DB570D0"/>
    <w:rsid w:val="6DB6B815"/>
    <w:rsid w:val="6DBCFE05"/>
    <w:rsid w:val="6DBEF755"/>
    <w:rsid w:val="6DBF4BFA"/>
    <w:rsid w:val="6DC9F7F6"/>
    <w:rsid w:val="6DCB8FF0"/>
    <w:rsid w:val="6DDAE937"/>
    <w:rsid w:val="6DDB4888"/>
    <w:rsid w:val="6DE234A3"/>
    <w:rsid w:val="6DE3471D"/>
    <w:rsid w:val="6DEE7175"/>
    <w:rsid w:val="6DF0E9BD"/>
    <w:rsid w:val="6E09BA9D"/>
    <w:rsid w:val="6E1FF0B6"/>
    <w:rsid w:val="6E2F5686"/>
    <w:rsid w:val="6E3543D8"/>
    <w:rsid w:val="6E3E76F1"/>
    <w:rsid w:val="6E4EA588"/>
    <w:rsid w:val="6E548044"/>
    <w:rsid w:val="6E62BC96"/>
    <w:rsid w:val="6E634B9E"/>
    <w:rsid w:val="6E6B831A"/>
    <w:rsid w:val="6E8CC617"/>
    <w:rsid w:val="6EA76B84"/>
    <w:rsid w:val="6EAF0FC8"/>
    <w:rsid w:val="6EB0DD02"/>
    <w:rsid w:val="6EB3608C"/>
    <w:rsid w:val="6EB79279"/>
    <w:rsid w:val="6EBDBAD8"/>
    <w:rsid w:val="6ED6571F"/>
    <w:rsid w:val="6EF07E32"/>
    <w:rsid w:val="6EF1DF30"/>
    <w:rsid w:val="6EFF3B79"/>
    <w:rsid w:val="6F0182D7"/>
    <w:rsid w:val="6F05922F"/>
    <w:rsid w:val="6F244D74"/>
    <w:rsid w:val="6F38B506"/>
    <w:rsid w:val="6F3F05FD"/>
    <w:rsid w:val="6F522CD5"/>
    <w:rsid w:val="6F7A77D3"/>
    <w:rsid w:val="6F7C86EA"/>
    <w:rsid w:val="6F8F4795"/>
    <w:rsid w:val="6F977B8B"/>
    <w:rsid w:val="6FA682FA"/>
    <w:rsid w:val="6FA99045"/>
    <w:rsid w:val="6FBA869F"/>
    <w:rsid w:val="6FCBE1DC"/>
    <w:rsid w:val="6FCFD707"/>
    <w:rsid w:val="6FE8AEFF"/>
    <w:rsid w:val="70040745"/>
    <w:rsid w:val="70074A43"/>
    <w:rsid w:val="700CC7F7"/>
    <w:rsid w:val="701D6AC0"/>
    <w:rsid w:val="701DCBDD"/>
    <w:rsid w:val="701EF05F"/>
    <w:rsid w:val="702DD65D"/>
    <w:rsid w:val="703E47C1"/>
    <w:rsid w:val="703EA399"/>
    <w:rsid w:val="7052FFCB"/>
    <w:rsid w:val="70581DB8"/>
    <w:rsid w:val="707DCA9F"/>
    <w:rsid w:val="708064AA"/>
    <w:rsid w:val="7086A4D3"/>
    <w:rsid w:val="708B47F4"/>
    <w:rsid w:val="708C4413"/>
    <w:rsid w:val="708D7BA4"/>
    <w:rsid w:val="70C02C65"/>
    <w:rsid w:val="70CA0D0F"/>
    <w:rsid w:val="70CDB562"/>
    <w:rsid w:val="70E77D9B"/>
    <w:rsid w:val="70FB30C7"/>
    <w:rsid w:val="7103D19F"/>
    <w:rsid w:val="710459BC"/>
    <w:rsid w:val="712993FF"/>
    <w:rsid w:val="7129D36B"/>
    <w:rsid w:val="7139F9C6"/>
    <w:rsid w:val="713C865F"/>
    <w:rsid w:val="713CED2D"/>
    <w:rsid w:val="713E79C6"/>
    <w:rsid w:val="7141C28C"/>
    <w:rsid w:val="7144AAC0"/>
    <w:rsid w:val="716C38A5"/>
    <w:rsid w:val="716DC47D"/>
    <w:rsid w:val="718933B8"/>
    <w:rsid w:val="719624B6"/>
    <w:rsid w:val="71A1CE5B"/>
    <w:rsid w:val="71A3A9F3"/>
    <w:rsid w:val="71A7A41E"/>
    <w:rsid w:val="71C3663E"/>
    <w:rsid w:val="72018C31"/>
    <w:rsid w:val="7206923D"/>
    <w:rsid w:val="720DC0C5"/>
    <w:rsid w:val="72122B31"/>
    <w:rsid w:val="721787C3"/>
    <w:rsid w:val="721CACD7"/>
    <w:rsid w:val="7232CDAE"/>
    <w:rsid w:val="72392399"/>
    <w:rsid w:val="723E69FD"/>
    <w:rsid w:val="7249C821"/>
    <w:rsid w:val="7253C0E0"/>
    <w:rsid w:val="72578DBD"/>
    <w:rsid w:val="7267C8D6"/>
    <w:rsid w:val="728D12E4"/>
    <w:rsid w:val="728E460A"/>
    <w:rsid w:val="72985B4B"/>
    <w:rsid w:val="72BA7A59"/>
    <w:rsid w:val="72BEC7AF"/>
    <w:rsid w:val="72C2C8CD"/>
    <w:rsid w:val="72E35452"/>
    <w:rsid w:val="73063621"/>
    <w:rsid w:val="7308D628"/>
    <w:rsid w:val="7311170D"/>
    <w:rsid w:val="733ACBD8"/>
    <w:rsid w:val="7345CE55"/>
    <w:rsid w:val="73552EC9"/>
    <w:rsid w:val="73559BB6"/>
    <w:rsid w:val="736A9611"/>
    <w:rsid w:val="736DB30F"/>
    <w:rsid w:val="737219F2"/>
    <w:rsid w:val="738461DD"/>
    <w:rsid w:val="73954BC5"/>
    <w:rsid w:val="739A2EE9"/>
    <w:rsid w:val="73A78A7F"/>
    <w:rsid w:val="73C1AF2E"/>
    <w:rsid w:val="73FD4ADB"/>
    <w:rsid w:val="7402863A"/>
    <w:rsid w:val="74113CA6"/>
    <w:rsid w:val="741F1E5D"/>
    <w:rsid w:val="74246F64"/>
    <w:rsid w:val="742CCB01"/>
    <w:rsid w:val="7432EE9B"/>
    <w:rsid w:val="743AD104"/>
    <w:rsid w:val="745A8ABD"/>
    <w:rsid w:val="74814ADE"/>
    <w:rsid w:val="74BA11CB"/>
    <w:rsid w:val="74F23829"/>
    <w:rsid w:val="74F767A1"/>
    <w:rsid w:val="7547571D"/>
    <w:rsid w:val="754FD589"/>
    <w:rsid w:val="75533107"/>
    <w:rsid w:val="75594412"/>
    <w:rsid w:val="75600621"/>
    <w:rsid w:val="756BD76A"/>
    <w:rsid w:val="75826C90"/>
    <w:rsid w:val="7582DCEA"/>
    <w:rsid w:val="758ED690"/>
    <w:rsid w:val="759F6998"/>
    <w:rsid w:val="75A66FFA"/>
    <w:rsid w:val="75B33504"/>
    <w:rsid w:val="75CCF2A8"/>
    <w:rsid w:val="75CDFFDA"/>
    <w:rsid w:val="75D6172F"/>
    <w:rsid w:val="75DE2599"/>
    <w:rsid w:val="75F383BD"/>
    <w:rsid w:val="75F735F3"/>
    <w:rsid w:val="75F86DA6"/>
    <w:rsid w:val="75FA0353"/>
    <w:rsid w:val="7605E32E"/>
    <w:rsid w:val="760A2470"/>
    <w:rsid w:val="767E6589"/>
    <w:rsid w:val="768D0A96"/>
    <w:rsid w:val="76C1A991"/>
    <w:rsid w:val="76E30B60"/>
    <w:rsid w:val="76E554E9"/>
    <w:rsid w:val="76FBE506"/>
    <w:rsid w:val="77011DEF"/>
    <w:rsid w:val="7706CF81"/>
    <w:rsid w:val="77128D84"/>
    <w:rsid w:val="771BAF52"/>
    <w:rsid w:val="772163A2"/>
    <w:rsid w:val="7768A320"/>
    <w:rsid w:val="777939B5"/>
    <w:rsid w:val="777DC8E6"/>
    <w:rsid w:val="77B4A23B"/>
    <w:rsid w:val="77B65CAF"/>
    <w:rsid w:val="77DC91F8"/>
    <w:rsid w:val="77E1E16E"/>
    <w:rsid w:val="77E3A024"/>
    <w:rsid w:val="77E53F34"/>
    <w:rsid w:val="77F59653"/>
    <w:rsid w:val="780F83BE"/>
    <w:rsid w:val="7815D48F"/>
    <w:rsid w:val="7818EFD3"/>
    <w:rsid w:val="781C4C84"/>
    <w:rsid w:val="7835256D"/>
    <w:rsid w:val="7839EE90"/>
    <w:rsid w:val="783A657D"/>
    <w:rsid w:val="783B1233"/>
    <w:rsid w:val="787BE85A"/>
    <w:rsid w:val="78822EC2"/>
    <w:rsid w:val="78B86AE0"/>
    <w:rsid w:val="78C354F1"/>
    <w:rsid w:val="78D98AC7"/>
    <w:rsid w:val="78E9E5BE"/>
    <w:rsid w:val="78FC5468"/>
    <w:rsid w:val="791077AF"/>
    <w:rsid w:val="79129EEA"/>
    <w:rsid w:val="792ED6B5"/>
    <w:rsid w:val="7938E1C9"/>
    <w:rsid w:val="79394803"/>
    <w:rsid w:val="79519FC1"/>
    <w:rsid w:val="795740F3"/>
    <w:rsid w:val="795BA547"/>
    <w:rsid w:val="79887E5B"/>
    <w:rsid w:val="798E96D3"/>
    <w:rsid w:val="7991F90A"/>
    <w:rsid w:val="799C467C"/>
    <w:rsid w:val="79A9A187"/>
    <w:rsid w:val="79EA68F7"/>
    <w:rsid w:val="79F28C00"/>
    <w:rsid w:val="7A1EC18E"/>
    <w:rsid w:val="7A244195"/>
    <w:rsid w:val="7A2548FC"/>
    <w:rsid w:val="7A5628E7"/>
    <w:rsid w:val="7A635909"/>
    <w:rsid w:val="7A73DFE4"/>
    <w:rsid w:val="7A74C8DB"/>
    <w:rsid w:val="7A75B6DE"/>
    <w:rsid w:val="7A764584"/>
    <w:rsid w:val="7A78F849"/>
    <w:rsid w:val="7AC953CC"/>
    <w:rsid w:val="7AC9E68B"/>
    <w:rsid w:val="7ADF861E"/>
    <w:rsid w:val="7B0948CF"/>
    <w:rsid w:val="7B0C5591"/>
    <w:rsid w:val="7B1ABB7C"/>
    <w:rsid w:val="7B2DC96B"/>
    <w:rsid w:val="7B35120B"/>
    <w:rsid w:val="7B358208"/>
    <w:rsid w:val="7B3C1B0F"/>
    <w:rsid w:val="7B400AF9"/>
    <w:rsid w:val="7B412740"/>
    <w:rsid w:val="7B4541E2"/>
    <w:rsid w:val="7B5E1E1F"/>
    <w:rsid w:val="7B61481A"/>
    <w:rsid w:val="7B729AD6"/>
    <w:rsid w:val="7B756413"/>
    <w:rsid w:val="7B858115"/>
    <w:rsid w:val="7B8E2EAB"/>
    <w:rsid w:val="7BA64B3E"/>
    <w:rsid w:val="7BAB4026"/>
    <w:rsid w:val="7BACB2F0"/>
    <w:rsid w:val="7BC6AD4C"/>
    <w:rsid w:val="7BCC3433"/>
    <w:rsid w:val="7BCD21C4"/>
    <w:rsid w:val="7BD633E1"/>
    <w:rsid w:val="7BDD3914"/>
    <w:rsid w:val="7BE8FDDA"/>
    <w:rsid w:val="7BEFE090"/>
    <w:rsid w:val="7BF847FD"/>
    <w:rsid w:val="7C0531F8"/>
    <w:rsid w:val="7C0C8EE9"/>
    <w:rsid w:val="7C16D89C"/>
    <w:rsid w:val="7C269E24"/>
    <w:rsid w:val="7C2F1340"/>
    <w:rsid w:val="7C364C72"/>
    <w:rsid w:val="7C461075"/>
    <w:rsid w:val="7C5620A0"/>
    <w:rsid w:val="7C6302A8"/>
    <w:rsid w:val="7C7B393D"/>
    <w:rsid w:val="7C8CA9FB"/>
    <w:rsid w:val="7CAFB2D2"/>
    <w:rsid w:val="7CBEE0B2"/>
    <w:rsid w:val="7CC87EA6"/>
    <w:rsid w:val="7CC999CC"/>
    <w:rsid w:val="7CD33CB7"/>
    <w:rsid w:val="7CDC9EEC"/>
    <w:rsid w:val="7CDCFDC2"/>
    <w:rsid w:val="7CDE2F84"/>
    <w:rsid w:val="7D04760E"/>
    <w:rsid w:val="7D0EB958"/>
    <w:rsid w:val="7D1BF488"/>
    <w:rsid w:val="7D2F6E1A"/>
    <w:rsid w:val="7D39D368"/>
    <w:rsid w:val="7D5306F7"/>
    <w:rsid w:val="7D5C5963"/>
    <w:rsid w:val="7D763955"/>
    <w:rsid w:val="7D77C8F4"/>
    <w:rsid w:val="7D7BAF03"/>
    <w:rsid w:val="7D9FC7FB"/>
    <w:rsid w:val="7DA4FEAB"/>
    <w:rsid w:val="7DA5072B"/>
    <w:rsid w:val="7DAFC383"/>
    <w:rsid w:val="7DC1823A"/>
    <w:rsid w:val="7DC330B2"/>
    <w:rsid w:val="7DC80CCE"/>
    <w:rsid w:val="7DD9CBEB"/>
    <w:rsid w:val="7DDDA840"/>
    <w:rsid w:val="7DE7D285"/>
    <w:rsid w:val="7DEED79D"/>
    <w:rsid w:val="7E16DD37"/>
    <w:rsid w:val="7E3E0F9D"/>
    <w:rsid w:val="7E462BFA"/>
    <w:rsid w:val="7E7355B6"/>
    <w:rsid w:val="7E77ABBB"/>
    <w:rsid w:val="7E89D7D6"/>
    <w:rsid w:val="7E9D4C31"/>
    <w:rsid w:val="7EA335FC"/>
    <w:rsid w:val="7EA94C04"/>
    <w:rsid w:val="7EB1C12E"/>
    <w:rsid w:val="7EC99CC8"/>
    <w:rsid w:val="7EDE0358"/>
    <w:rsid w:val="7EEA1BE2"/>
    <w:rsid w:val="7EEB29DE"/>
    <w:rsid w:val="7EF9052A"/>
    <w:rsid w:val="7F05E876"/>
    <w:rsid w:val="7F1D4644"/>
    <w:rsid w:val="7F2B3323"/>
    <w:rsid w:val="7F33A882"/>
    <w:rsid w:val="7F3BC40A"/>
    <w:rsid w:val="7F478CA7"/>
    <w:rsid w:val="7F4CCC44"/>
    <w:rsid w:val="7F603758"/>
    <w:rsid w:val="7F620C45"/>
    <w:rsid w:val="7F7639DE"/>
    <w:rsid w:val="7F7F08FA"/>
    <w:rsid w:val="7F9D5700"/>
    <w:rsid w:val="7FAE3AA7"/>
    <w:rsid w:val="7FCCEDF8"/>
    <w:rsid w:val="7FD60236"/>
    <w:rsid w:val="7FF578F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42BCDC"/>
  <w15:docId w15:val="{3A4AC025-5062-4B6A-9960-51D3EBEA35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lsdException w:name="List Bullet" w:semiHidden="1" w:uiPriority="0" w:unhideWhenUsed="1" w:qFormat="1"/>
    <w:lsdException w:name="List Number" w:semiHidden="1" w:unhideWhenUsed="1"/>
    <w:lsdException w:name="List 2" w:semiHidden="1"/>
    <w:lsdException w:name="List 3" w:semiHidden="1"/>
    <w:lsdException w:name="List 4" w:semiHidden="1"/>
    <w:lsdException w:name="List 5" w:semiHidden="1"/>
    <w:lsdException w:name="List Bullet 2" w:semiHidden="1" w:uiPriority="0" w:qFormat="1"/>
    <w:lsdException w:name="List Bullet 3" w:semiHidden="1" w:uiPriority="0" w:qFormat="1"/>
    <w:lsdException w:name="List Bullet 4" w:semiHidden="1" w:uiPriority="0" w:qFormat="1"/>
    <w:lsdException w:name="List Bullet 5" w:semiHidden="1" w:uiPriority="0" w:qFormat="1"/>
    <w:lsdException w:name="List Number 2" w:semiHidden="1"/>
    <w:lsdException w:name="List Number 3" w:semiHidden="1"/>
    <w:lsdException w:name="List Number 4" w:semiHidden="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lsdException w:name="Body Text Indent 2" w:semiHidden="1"/>
    <w:lsdException w:name="Body Text Indent 3" w:semiHidden="1"/>
    <w:lsdException w:name="Block Text" w:semiHidden="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A5495"/>
    <w:rPr>
      <w:rFonts w:ascii="Calibri" w:hAnsi="Calibri" w:cs="Arial"/>
      <w:sz w:val="22"/>
      <w:szCs w:val="22"/>
    </w:rPr>
  </w:style>
  <w:style w:type="paragraph" w:styleId="Heading1">
    <w:name w:val="heading 1"/>
    <w:basedOn w:val="Normal"/>
    <w:next w:val="Normal"/>
    <w:link w:val="Heading1Char"/>
    <w:uiPriority w:val="9"/>
    <w:qFormat/>
    <w:rsid w:val="007F2128"/>
    <w:pPr>
      <w:numPr>
        <w:numId w:val="36"/>
      </w:numPr>
      <w:spacing w:before="120" w:after="120"/>
      <w:outlineLvl w:val="0"/>
    </w:pPr>
    <w:rPr>
      <w:color w:val="3FB84E"/>
      <w:sz w:val="32"/>
      <w:szCs w:val="32"/>
    </w:rPr>
  </w:style>
  <w:style w:type="paragraph" w:styleId="Heading2">
    <w:name w:val="heading 2"/>
    <w:basedOn w:val="Heading1"/>
    <w:next w:val="Normal"/>
    <w:link w:val="Heading2Char"/>
    <w:uiPriority w:val="9"/>
    <w:qFormat/>
    <w:rsid w:val="007F2128"/>
    <w:pPr>
      <w:numPr>
        <w:ilvl w:val="1"/>
      </w:numPr>
      <w:tabs>
        <w:tab w:val="num" w:pos="567"/>
        <w:tab w:val="left" w:pos="680"/>
      </w:tabs>
      <w:ind w:left="0"/>
      <w:outlineLvl w:val="1"/>
    </w:pPr>
  </w:style>
  <w:style w:type="paragraph" w:styleId="Heading3">
    <w:name w:val="heading 3"/>
    <w:basedOn w:val="Heading2"/>
    <w:next w:val="Normal"/>
    <w:link w:val="Heading3Char"/>
    <w:uiPriority w:val="9"/>
    <w:qFormat/>
    <w:rsid w:val="007F2128"/>
    <w:pPr>
      <w:numPr>
        <w:ilvl w:val="2"/>
      </w:numPr>
      <w:tabs>
        <w:tab w:val="clear" w:pos="993"/>
        <w:tab w:val="left" w:pos="907"/>
      </w:tabs>
      <w:spacing w:before="240"/>
      <w:outlineLvl w:val="2"/>
    </w:pPr>
  </w:style>
  <w:style w:type="paragraph" w:styleId="Heading4">
    <w:name w:val="heading 4"/>
    <w:basedOn w:val="Heading3"/>
    <w:next w:val="Normal"/>
    <w:link w:val="Heading4Char"/>
    <w:uiPriority w:val="9"/>
    <w:semiHidden/>
    <w:qFormat/>
    <w:rsid w:val="007F2128"/>
    <w:pPr>
      <w:numPr>
        <w:ilvl w:val="3"/>
      </w:numPr>
      <w:tabs>
        <w:tab w:val="clear" w:pos="907"/>
        <w:tab w:val="left" w:pos="1134"/>
      </w:tabs>
      <w:outlineLvl w:val="3"/>
    </w:pPr>
  </w:style>
  <w:style w:type="paragraph" w:styleId="Heading5">
    <w:name w:val="heading 5"/>
    <w:basedOn w:val="Normal"/>
    <w:next w:val="Normal"/>
    <w:link w:val="Heading5Char"/>
    <w:uiPriority w:val="9"/>
    <w:semiHidden/>
    <w:qFormat/>
    <w:rsid w:val="002609D9"/>
    <w:pPr>
      <w:keepNext/>
      <w:keepLines/>
      <w:spacing w:before="40"/>
      <w:outlineLvl w:val="4"/>
    </w:pPr>
    <w:rPr>
      <w:rFonts w:asciiTheme="majorHAnsi" w:eastAsiaTheme="majorEastAsia" w:hAnsiTheme="majorHAnsi" w:cstheme="majorBidi"/>
      <w:color w:val="665F2D" w:themeColor="accent1" w:themeShade="BF"/>
    </w:rPr>
  </w:style>
  <w:style w:type="paragraph" w:styleId="Heading6">
    <w:name w:val="heading 6"/>
    <w:basedOn w:val="Normal"/>
    <w:next w:val="Normal"/>
    <w:link w:val="Heading6Char"/>
    <w:uiPriority w:val="9"/>
    <w:semiHidden/>
    <w:qFormat/>
    <w:rsid w:val="002609D9"/>
    <w:pPr>
      <w:keepNext/>
      <w:keepLines/>
      <w:spacing w:before="40"/>
      <w:outlineLvl w:val="5"/>
    </w:pPr>
    <w:rPr>
      <w:rFonts w:asciiTheme="majorHAnsi" w:eastAsiaTheme="majorEastAsia" w:hAnsiTheme="majorHAnsi" w:cstheme="majorBidi"/>
      <w:color w:val="443F1E" w:themeColor="accent1" w:themeShade="7F"/>
    </w:rPr>
  </w:style>
  <w:style w:type="paragraph" w:styleId="Heading7">
    <w:name w:val="heading 7"/>
    <w:basedOn w:val="Normal"/>
    <w:next w:val="Normal"/>
    <w:link w:val="Heading7Char"/>
    <w:uiPriority w:val="9"/>
    <w:semiHidden/>
    <w:qFormat/>
    <w:rsid w:val="002609D9"/>
    <w:pPr>
      <w:keepNext/>
      <w:keepLines/>
      <w:spacing w:before="40"/>
      <w:outlineLvl w:val="6"/>
    </w:pPr>
    <w:rPr>
      <w:rFonts w:asciiTheme="majorHAnsi" w:eastAsiaTheme="majorEastAsia" w:hAnsiTheme="majorHAnsi" w:cstheme="majorBidi"/>
      <w:i/>
      <w:iCs/>
      <w:color w:val="443F1E" w:themeColor="accent1" w:themeShade="7F"/>
    </w:rPr>
  </w:style>
  <w:style w:type="paragraph" w:styleId="Heading8">
    <w:name w:val="heading 8"/>
    <w:basedOn w:val="Normal"/>
    <w:next w:val="Normal"/>
    <w:link w:val="Heading8Char"/>
    <w:uiPriority w:val="9"/>
    <w:semiHidden/>
    <w:qFormat/>
    <w:rsid w:val="002609D9"/>
    <w:pPr>
      <w:keepNext/>
      <w:keepLines/>
      <w:spacing w:before="40"/>
      <w:outlineLvl w:val="7"/>
    </w:pPr>
    <w:rPr>
      <w:rFonts w:asciiTheme="majorHAnsi" w:eastAsiaTheme="majorEastAsia" w:hAnsiTheme="majorHAnsi" w:cstheme="majorBidi"/>
      <w:color w:val="58585A" w:themeColor="text1" w:themeTint="D8"/>
      <w:sz w:val="21"/>
      <w:szCs w:val="21"/>
    </w:rPr>
  </w:style>
  <w:style w:type="paragraph" w:styleId="Heading9">
    <w:name w:val="heading 9"/>
    <w:basedOn w:val="Normal"/>
    <w:next w:val="Normal"/>
    <w:link w:val="Heading9Char"/>
    <w:uiPriority w:val="9"/>
    <w:semiHidden/>
    <w:qFormat/>
    <w:rsid w:val="002609D9"/>
    <w:pPr>
      <w:keepNext/>
      <w:keepLines/>
      <w:spacing w:before="40"/>
      <w:outlineLvl w:val="8"/>
    </w:pPr>
    <w:rPr>
      <w:rFonts w:asciiTheme="majorHAnsi" w:eastAsiaTheme="majorEastAsia" w:hAnsiTheme="majorHAnsi" w:cstheme="majorBidi"/>
      <w:i/>
      <w:iCs/>
      <w:color w:val="58585A"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367BF"/>
    <w:rPr>
      <w:rFonts w:eastAsiaTheme="minorEastAsia"/>
      <w:sz w:val="22"/>
      <w:szCs w:val="22"/>
      <w:lang w:val="en-US" w:eastAsia="zh-CN"/>
    </w:rPr>
  </w:style>
  <w:style w:type="character" w:customStyle="1" w:styleId="NoSpacingChar">
    <w:name w:val="No Spacing Char"/>
    <w:basedOn w:val="DefaultParagraphFont"/>
    <w:link w:val="NoSpacing"/>
    <w:uiPriority w:val="1"/>
    <w:semiHidden/>
    <w:rsid w:val="00DA5495"/>
    <w:rPr>
      <w:rFonts w:eastAsiaTheme="minorEastAsia"/>
      <w:sz w:val="22"/>
      <w:szCs w:val="22"/>
      <w:lang w:val="en-US" w:eastAsia="zh-CN"/>
    </w:rPr>
  </w:style>
  <w:style w:type="paragraph" w:customStyle="1" w:styleId="ItadCaption">
    <w:name w:val="Itad Caption"/>
    <w:basedOn w:val="Caption"/>
    <w:next w:val="ItadIntroText"/>
    <w:link w:val="ItadCaptionChar"/>
    <w:qFormat/>
    <w:rsid w:val="00C04C3C"/>
    <w:pPr>
      <w:keepNext/>
    </w:pPr>
  </w:style>
  <w:style w:type="paragraph" w:customStyle="1" w:styleId="ItadFigureText">
    <w:name w:val="Itad Figure Text"/>
    <w:basedOn w:val="ItadCaption"/>
    <w:next w:val="ItadNormalText"/>
    <w:link w:val="ItadFigureTextChar"/>
    <w:qFormat/>
    <w:rsid w:val="002111C6"/>
    <w:pPr>
      <w:numPr>
        <w:numId w:val="40"/>
      </w:numPr>
      <w:spacing w:before="240"/>
      <w:ind w:left="0" w:firstLine="0"/>
    </w:pPr>
    <w:rPr>
      <w:b/>
      <w:shd w:val="clear" w:color="auto" w:fill="FFFFFF"/>
    </w:rPr>
  </w:style>
  <w:style w:type="paragraph" w:styleId="Footer">
    <w:name w:val="footer"/>
    <w:basedOn w:val="Normal"/>
    <w:link w:val="FooterChar"/>
    <w:uiPriority w:val="99"/>
    <w:rsid w:val="00967499"/>
    <w:pPr>
      <w:tabs>
        <w:tab w:val="center" w:pos="4513"/>
        <w:tab w:val="right" w:pos="9026"/>
      </w:tabs>
    </w:pPr>
  </w:style>
  <w:style w:type="character" w:customStyle="1" w:styleId="FooterChar">
    <w:name w:val="Footer Char"/>
    <w:basedOn w:val="DefaultParagraphFont"/>
    <w:link w:val="Footer"/>
    <w:uiPriority w:val="99"/>
    <w:rsid w:val="00DA5495"/>
    <w:rPr>
      <w:rFonts w:ascii="Calibri" w:hAnsi="Calibri" w:cs="Arial"/>
      <w:sz w:val="22"/>
      <w:szCs w:val="22"/>
    </w:rPr>
  </w:style>
  <w:style w:type="table" w:customStyle="1" w:styleId="ItadGreenHeaderRow">
    <w:name w:val="Itad Green Header Row"/>
    <w:basedOn w:val="TableNormal"/>
    <w:uiPriority w:val="99"/>
    <w:qFormat/>
    <w:rsid w:val="00A72142"/>
    <w:rPr>
      <w:rFonts w:ascii="Calibri" w:hAnsi="Calibri" w:cs="Arial"/>
      <w:color w:val="3B3B3C" w:themeColor="text1"/>
      <w:sz w:val="22"/>
    </w:rPr>
    <w:tblPr>
      <w:tblStyleRowBandSize w:val="1"/>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cPr>
      <w:shd w:val="clear" w:color="auto" w:fill="F2F2F2" w:themeFill="background1" w:themeFillShade="F2"/>
    </w:tcPr>
    <w:tblStylePr w:type="firstRow">
      <w:tblPr/>
      <w:tcPr>
        <w:shd w:val="clear" w:color="auto" w:fill="96C286" w:themeFill="text2" w:themeFillTint="99"/>
      </w:tcPr>
    </w:tblStylePr>
    <w:tblStylePr w:type="lastRow">
      <w:tblPr/>
      <w:tcPr>
        <w:shd w:val="clear" w:color="auto" w:fill="E7E6E6" w:themeFill="background2"/>
      </w:tcPr>
    </w:tblStylePr>
    <w:tblStylePr w:type="band1Horz">
      <w:tblPr/>
      <w:tcPr>
        <w:shd w:val="clear" w:color="auto" w:fill="FFFFFF" w:themeFill="background1"/>
      </w:tcPr>
    </w:tblStylePr>
    <w:tblStylePr w:type="band2Horz">
      <w:tblPr/>
      <w:tcPr>
        <w:shd w:val="clear" w:color="auto" w:fill="FFFFFF" w:themeFill="background1"/>
      </w:tcPr>
    </w:tblStylePr>
  </w:style>
  <w:style w:type="paragraph" w:customStyle="1" w:styleId="ItadSectionTitleBlock">
    <w:name w:val="Itad Section Title Block"/>
    <w:basedOn w:val="Normal"/>
    <w:next w:val="ItadNormalText"/>
    <w:link w:val="ItadSectionTitleBlockChar"/>
    <w:qFormat/>
    <w:rsid w:val="000E1EBA"/>
    <w:pPr>
      <w:tabs>
        <w:tab w:val="left" w:pos="1420"/>
      </w:tabs>
      <w:spacing w:before="240" w:after="360"/>
      <w:contextualSpacing/>
      <w:outlineLvl w:val="0"/>
    </w:pPr>
    <w:rPr>
      <w:rFonts w:ascii="CubeOT" w:hAnsi="CubeOT" w:cs="CubeOT"/>
      <w:noProof/>
      <w:color w:val="767171" w:themeColor="background2" w:themeShade="80"/>
      <w:position w:val="-80"/>
      <w:sz w:val="56"/>
      <w:szCs w:val="56"/>
      <w:lang w:eastAsia="en-GB"/>
    </w:rPr>
  </w:style>
  <w:style w:type="character" w:styleId="PageNumber">
    <w:name w:val="page number"/>
    <w:basedOn w:val="DefaultParagraphFont"/>
    <w:uiPriority w:val="99"/>
    <w:semiHidden/>
    <w:rsid w:val="00A07595"/>
  </w:style>
  <w:style w:type="table" w:customStyle="1" w:styleId="Itademphasiseheaderandfirstcolumn">
    <w:name w:val="Itad emphasise header and first column"/>
    <w:basedOn w:val="TableNormal"/>
    <w:uiPriority w:val="99"/>
    <w:qFormat/>
    <w:rsid w:val="00CD76E1"/>
    <w:pPr>
      <w:ind w:left="57" w:right="57"/>
    </w:pPr>
    <w:tblPr>
      <w:tblStyleRowBandSize w:val="1"/>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2F2F2"/>
    </w:tcPr>
    <w:tblStylePr w:type="firstRow">
      <w:pPr>
        <w:wordWrap/>
        <w:spacing w:beforeLines="0" w:before="60" w:beforeAutospacing="0" w:afterLines="0" w:after="60" w:afterAutospacing="0"/>
        <w:ind w:leftChars="0" w:left="57" w:rightChars="0" w:right="0"/>
      </w:pPr>
      <w:rPr>
        <w:rFonts w:asciiTheme="minorHAnsi" w:hAnsiTheme="minorHAnsi"/>
        <w:color w:val="FFFFFF" w:themeColor="background1"/>
        <w:sz w:val="22"/>
      </w:rPr>
      <w:tblPr/>
      <w:tcPr>
        <w:tcBorders>
          <w:insideV w:val="single" w:sz="4" w:space="0" w:color="FFFFFF" w:themeColor="background1"/>
        </w:tcBorders>
        <w:shd w:val="clear" w:color="auto" w:fill="588B46" w:themeFill="text2"/>
      </w:tcPr>
    </w:tblStylePr>
    <w:tblStylePr w:type="firstCol">
      <w:rPr>
        <w:color w:val="3B3B3C" w:themeColor="text1"/>
      </w:rPr>
      <w:tblPr/>
      <w:tcPr>
        <w:shd w:val="clear" w:color="auto" w:fill="DCEAD6" w:themeFill="text2" w:themeFillTint="33"/>
      </w:tcPr>
    </w:tblStylePr>
    <w:tblStylePr w:type="band1Horz">
      <w:tblPr/>
      <w:tcPr>
        <w:shd w:val="clear" w:color="auto" w:fill="FFFFFF" w:themeFill="background1"/>
      </w:tcPr>
    </w:tblStylePr>
    <w:tblStylePr w:type="band2Horz">
      <w:tblPr/>
      <w:tcPr>
        <w:shd w:val="clear" w:color="auto" w:fill="FFFFFF" w:themeFill="background1"/>
      </w:tcPr>
    </w:tblStylePr>
  </w:style>
  <w:style w:type="table" w:customStyle="1" w:styleId="ItadPlain">
    <w:name w:val="Itad Plain"/>
    <w:basedOn w:val="TableNormal"/>
    <w:uiPriority w:val="99"/>
    <w:qFormat/>
    <w:rsid w:val="00F11EAD"/>
    <w:tblPr/>
    <w:tcPr>
      <w:vAlign w:val="center"/>
    </w:tcPr>
    <w:tblStylePr w:type="firstRow">
      <w:pPr>
        <w:jc w:val="left"/>
      </w:pPr>
      <w:rPr>
        <w:rFonts w:asciiTheme="minorHAnsi" w:hAnsiTheme="minorHAnsi"/>
        <w:b/>
        <w:color w:val="E37230" w:themeColor="accent2"/>
        <w:sz w:val="22"/>
      </w:rPr>
    </w:tblStylePr>
  </w:style>
  <w:style w:type="table" w:customStyle="1" w:styleId="ItadPull-outBoxgreen">
    <w:name w:val="Itad Pull-out Box green"/>
    <w:basedOn w:val="TableNormal"/>
    <w:uiPriority w:val="99"/>
    <w:qFormat/>
    <w:rsid w:val="00452A42"/>
    <w:pPr>
      <w:spacing w:after="60"/>
      <w:ind w:left="57" w:right="57"/>
    </w:pPr>
    <w:rPr>
      <w:rFonts w:ascii="Calibri" w:hAnsi="Calibri" w:cs="Arial"/>
    </w:rPr>
    <w:tblPr>
      <w:tblInd w:w="113"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Pr>
    <w:tcPr>
      <w:shd w:val="clear" w:color="auto" w:fill="DCEAD6" w:themeFill="text2" w:themeFillTint="33"/>
    </w:tcPr>
  </w:style>
  <w:style w:type="character" w:customStyle="1" w:styleId="Heading2Char">
    <w:name w:val="Heading 2 Char"/>
    <w:basedOn w:val="DefaultParagraphFont"/>
    <w:link w:val="Heading2"/>
    <w:uiPriority w:val="9"/>
    <w:rsid w:val="008D540A"/>
    <w:rPr>
      <w:rFonts w:ascii="Calibri" w:hAnsi="Calibri" w:cs="Arial"/>
      <w:color w:val="3FB84E"/>
      <w:sz w:val="32"/>
      <w:szCs w:val="32"/>
    </w:rPr>
  </w:style>
  <w:style w:type="character" w:customStyle="1" w:styleId="Heading3Char">
    <w:name w:val="Heading 3 Char"/>
    <w:basedOn w:val="DefaultParagraphFont"/>
    <w:link w:val="Heading3"/>
    <w:uiPriority w:val="9"/>
    <w:rsid w:val="008D540A"/>
    <w:rPr>
      <w:rFonts w:ascii="Calibri" w:hAnsi="Calibri" w:cs="Arial"/>
      <w:color w:val="3FB84E"/>
      <w:sz w:val="32"/>
      <w:szCs w:val="32"/>
    </w:rPr>
  </w:style>
  <w:style w:type="character" w:customStyle="1" w:styleId="Heading4Char">
    <w:name w:val="Heading 4 Char"/>
    <w:basedOn w:val="DefaultParagraphFont"/>
    <w:link w:val="Heading4"/>
    <w:uiPriority w:val="9"/>
    <w:semiHidden/>
    <w:rsid w:val="008D540A"/>
    <w:rPr>
      <w:rFonts w:ascii="Calibri" w:hAnsi="Calibri" w:cs="Arial"/>
      <w:color w:val="3FB84E"/>
      <w:sz w:val="32"/>
      <w:szCs w:val="32"/>
    </w:rPr>
  </w:style>
  <w:style w:type="character" w:customStyle="1" w:styleId="Heading5Char">
    <w:name w:val="Heading 5 Char"/>
    <w:basedOn w:val="DefaultParagraphFont"/>
    <w:link w:val="Heading5"/>
    <w:uiPriority w:val="9"/>
    <w:semiHidden/>
    <w:rsid w:val="008D540A"/>
    <w:rPr>
      <w:rFonts w:asciiTheme="majorHAnsi" w:eastAsiaTheme="majorEastAsia" w:hAnsiTheme="majorHAnsi" w:cstheme="majorBidi"/>
      <w:color w:val="665F2D" w:themeColor="accent1" w:themeShade="BF"/>
      <w:sz w:val="22"/>
      <w:szCs w:val="22"/>
    </w:rPr>
  </w:style>
  <w:style w:type="character" w:customStyle="1" w:styleId="Heading6Char">
    <w:name w:val="Heading 6 Char"/>
    <w:basedOn w:val="DefaultParagraphFont"/>
    <w:link w:val="Heading6"/>
    <w:uiPriority w:val="9"/>
    <w:semiHidden/>
    <w:rsid w:val="008D540A"/>
    <w:rPr>
      <w:rFonts w:asciiTheme="majorHAnsi" w:eastAsiaTheme="majorEastAsia" w:hAnsiTheme="majorHAnsi" w:cstheme="majorBidi"/>
      <w:color w:val="443F1E" w:themeColor="accent1" w:themeShade="7F"/>
      <w:sz w:val="22"/>
      <w:szCs w:val="22"/>
    </w:rPr>
  </w:style>
  <w:style w:type="character" w:customStyle="1" w:styleId="Heading7Char">
    <w:name w:val="Heading 7 Char"/>
    <w:basedOn w:val="DefaultParagraphFont"/>
    <w:link w:val="Heading7"/>
    <w:uiPriority w:val="9"/>
    <w:semiHidden/>
    <w:rsid w:val="008D540A"/>
    <w:rPr>
      <w:rFonts w:asciiTheme="majorHAnsi" w:eastAsiaTheme="majorEastAsia" w:hAnsiTheme="majorHAnsi" w:cstheme="majorBidi"/>
      <w:i/>
      <w:iCs/>
      <w:color w:val="443F1E" w:themeColor="accent1" w:themeShade="7F"/>
      <w:sz w:val="22"/>
      <w:szCs w:val="22"/>
    </w:rPr>
  </w:style>
  <w:style w:type="character" w:customStyle="1" w:styleId="Heading8Char">
    <w:name w:val="Heading 8 Char"/>
    <w:basedOn w:val="DefaultParagraphFont"/>
    <w:link w:val="Heading8"/>
    <w:uiPriority w:val="9"/>
    <w:semiHidden/>
    <w:rsid w:val="008D540A"/>
    <w:rPr>
      <w:rFonts w:asciiTheme="majorHAnsi" w:eastAsiaTheme="majorEastAsia" w:hAnsiTheme="majorHAnsi" w:cstheme="majorBidi"/>
      <w:color w:val="58585A" w:themeColor="text1" w:themeTint="D8"/>
      <w:sz w:val="21"/>
      <w:szCs w:val="21"/>
    </w:rPr>
  </w:style>
  <w:style w:type="character" w:customStyle="1" w:styleId="Heading9Char">
    <w:name w:val="Heading 9 Char"/>
    <w:basedOn w:val="DefaultParagraphFont"/>
    <w:link w:val="Heading9"/>
    <w:uiPriority w:val="9"/>
    <w:semiHidden/>
    <w:rsid w:val="008D540A"/>
    <w:rPr>
      <w:rFonts w:asciiTheme="majorHAnsi" w:eastAsiaTheme="majorEastAsia" w:hAnsiTheme="majorHAnsi" w:cstheme="majorBidi"/>
      <w:i/>
      <w:iCs/>
      <w:color w:val="58585A" w:themeColor="text1" w:themeTint="D8"/>
      <w:sz w:val="21"/>
      <w:szCs w:val="21"/>
    </w:rPr>
  </w:style>
  <w:style w:type="paragraph" w:styleId="TOC1">
    <w:name w:val="toc 1"/>
    <w:aliases w:val="TOC 1 ITAD V4"/>
    <w:basedOn w:val="Normal"/>
    <w:next w:val="Normal"/>
    <w:autoRedefine/>
    <w:uiPriority w:val="39"/>
    <w:rsid w:val="00084C33"/>
    <w:pPr>
      <w:tabs>
        <w:tab w:val="left" w:pos="284"/>
        <w:tab w:val="right" w:pos="9010"/>
      </w:tabs>
      <w:spacing w:before="240" w:after="120"/>
      <w:ind w:left="284" w:hanging="284"/>
    </w:pPr>
    <w:rPr>
      <w:rFonts w:eastAsiaTheme="minorEastAsia"/>
      <w:b/>
      <w:noProof/>
      <w:color w:val="3B3B3C" w:themeColor="text1"/>
      <w:lang w:eastAsia="en-GB"/>
    </w:rPr>
  </w:style>
  <w:style w:type="paragraph" w:styleId="TOC2">
    <w:name w:val="toc 2"/>
    <w:aliases w:val="TOC 2 ITAD V4"/>
    <w:basedOn w:val="Normal"/>
    <w:next w:val="Normal"/>
    <w:autoRedefine/>
    <w:uiPriority w:val="39"/>
    <w:rsid w:val="00E12B8E"/>
    <w:pPr>
      <w:tabs>
        <w:tab w:val="left" w:pos="1278"/>
        <w:tab w:val="right" w:pos="9010"/>
      </w:tabs>
      <w:spacing w:before="120" w:after="120"/>
      <w:ind w:left="1278" w:hanging="710"/>
    </w:pPr>
    <w:rPr>
      <w:iCs/>
      <w:noProof/>
    </w:rPr>
  </w:style>
  <w:style w:type="paragraph" w:styleId="TOC3">
    <w:name w:val="toc 3"/>
    <w:aliases w:val="TOC 3 ITAD V4"/>
    <w:basedOn w:val="Normal"/>
    <w:next w:val="Normal"/>
    <w:autoRedefine/>
    <w:uiPriority w:val="39"/>
    <w:rsid w:val="00E12B8E"/>
    <w:pPr>
      <w:tabs>
        <w:tab w:val="left" w:pos="1278"/>
        <w:tab w:val="right" w:pos="9010"/>
      </w:tabs>
      <w:spacing w:before="120" w:after="120"/>
      <w:ind w:left="1278" w:hanging="710"/>
    </w:pPr>
    <w:rPr>
      <w:noProof/>
    </w:rPr>
  </w:style>
  <w:style w:type="paragraph" w:styleId="TOC4">
    <w:name w:val="toc 4"/>
    <w:basedOn w:val="Normal"/>
    <w:next w:val="Normal"/>
    <w:autoRedefine/>
    <w:uiPriority w:val="39"/>
    <w:rsid w:val="003D273A"/>
    <w:pPr>
      <w:ind w:left="720"/>
    </w:pPr>
    <w:rPr>
      <w:sz w:val="20"/>
      <w:szCs w:val="20"/>
    </w:rPr>
  </w:style>
  <w:style w:type="paragraph" w:styleId="TOC5">
    <w:name w:val="toc 5"/>
    <w:basedOn w:val="Normal"/>
    <w:next w:val="Normal"/>
    <w:autoRedefine/>
    <w:uiPriority w:val="39"/>
    <w:rsid w:val="003D273A"/>
    <w:pPr>
      <w:ind w:left="960"/>
    </w:pPr>
    <w:rPr>
      <w:sz w:val="20"/>
      <w:szCs w:val="20"/>
    </w:rPr>
  </w:style>
  <w:style w:type="paragraph" w:styleId="TOC6">
    <w:name w:val="toc 6"/>
    <w:basedOn w:val="Normal"/>
    <w:next w:val="Normal"/>
    <w:autoRedefine/>
    <w:uiPriority w:val="39"/>
    <w:rsid w:val="003D273A"/>
    <w:pPr>
      <w:ind w:left="1200"/>
    </w:pPr>
    <w:rPr>
      <w:sz w:val="20"/>
      <w:szCs w:val="20"/>
    </w:rPr>
  </w:style>
  <w:style w:type="paragraph" w:styleId="TOC7">
    <w:name w:val="toc 7"/>
    <w:basedOn w:val="Normal"/>
    <w:next w:val="Normal"/>
    <w:autoRedefine/>
    <w:uiPriority w:val="39"/>
    <w:rsid w:val="003D273A"/>
    <w:pPr>
      <w:ind w:left="1440"/>
    </w:pPr>
    <w:rPr>
      <w:sz w:val="20"/>
      <w:szCs w:val="20"/>
    </w:rPr>
  </w:style>
  <w:style w:type="paragraph" w:styleId="TOC8">
    <w:name w:val="toc 8"/>
    <w:basedOn w:val="Normal"/>
    <w:next w:val="Normal"/>
    <w:autoRedefine/>
    <w:uiPriority w:val="39"/>
    <w:rsid w:val="003D273A"/>
    <w:pPr>
      <w:ind w:left="1680"/>
    </w:pPr>
    <w:rPr>
      <w:sz w:val="20"/>
      <w:szCs w:val="20"/>
    </w:rPr>
  </w:style>
  <w:style w:type="paragraph" w:styleId="TOC9">
    <w:name w:val="toc 9"/>
    <w:basedOn w:val="Normal"/>
    <w:next w:val="Normal"/>
    <w:autoRedefine/>
    <w:uiPriority w:val="39"/>
    <w:rsid w:val="003D273A"/>
    <w:pPr>
      <w:ind w:left="1920"/>
    </w:pPr>
    <w:rPr>
      <w:sz w:val="20"/>
      <w:szCs w:val="20"/>
    </w:rPr>
  </w:style>
  <w:style w:type="character" w:styleId="Hyperlink">
    <w:name w:val="Hyperlink"/>
    <w:basedOn w:val="DefaultParagraphFont"/>
    <w:uiPriority w:val="99"/>
    <w:rsid w:val="003D273A"/>
    <w:rPr>
      <w:color w:val="3B3B3C" w:themeColor="hyperlink"/>
      <w:u w:val="single"/>
    </w:rPr>
  </w:style>
  <w:style w:type="paragraph" w:styleId="FootnoteText">
    <w:name w:val="footnote text"/>
    <w:aliases w:val="single space,f,Footnote Text Char1,Footnote Text Char Char,Footnote Text Char11,Footnote Text Char Char1,Footnote Text Char Char Char1,Footnote Text Char1 Char Char,Footnote Text Char1 Char Char Char Char Char Char,ft,FOOTNOTES,fn,FOOTNOT"/>
    <w:basedOn w:val="Normal"/>
    <w:link w:val="FootnoteTextChar"/>
    <w:uiPriority w:val="99"/>
    <w:qFormat/>
    <w:rsid w:val="00D32EC8"/>
    <w:rPr>
      <w:sz w:val="16"/>
      <w:szCs w:val="16"/>
    </w:rPr>
  </w:style>
  <w:style w:type="character" w:customStyle="1" w:styleId="FootnoteTextChar">
    <w:name w:val="Footnote Text Char"/>
    <w:aliases w:val="single space Char,f Char,Footnote Text Char1 Char,Footnote Text Char Char Char,Footnote Text Char11 Char,Footnote Text Char Char1 Char,Footnote Text Char Char Char1 Char,Footnote Text Char1 Char Char Char,ft Char,FOOTNOTES Char"/>
    <w:basedOn w:val="DefaultParagraphFont"/>
    <w:link w:val="FootnoteText"/>
    <w:uiPriority w:val="99"/>
    <w:rsid w:val="00D32EC8"/>
    <w:rPr>
      <w:rFonts w:ascii="Calibri" w:hAnsi="Calibri" w:cs="Arial"/>
      <w:sz w:val="16"/>
      <w:szCs w:val="16"/>
    </w:rPr>
  </w:style>
  <w:style w:type="character" w:styleId="FootnoteReference">
    <w:name w:val="footnote reference"/>
    <w:aliases w:val="ftref,16 Point,Superscript 6 Point, BVI fnr,BVI fnr,Ref,de nota al pie,ASI Footer,BVI fnr Car Car,BVI fnr Car,BVI fnr Car Car Car Car,BVI fnr Car Car Car Car Char,Appel note de bas de p.,Error-Fußnotenzeichen5,Error-Fußnotenzeichen6"/>
    <w:basedOn w:val="DefaultParagraphFont"/>
    <w:link w:val="BVIfnrCharCar1CarChar"/>
    <w:uiPriority w:val="99"/>
    <w:qFormat/>
    <w:rsid w:val="00D65CC2"/>
    <w:rPr>
      <w:rFonts w:asciiTheme="minorHAnsi" w:hAnsiTheme="minorHAnsi" w:cs="Arial"/>
      <w:position w:val="0"/>
      <w:sz w:val="20"/>
      <w:szCs w:val="20"/>
      <w:vertAlign w:val="superscript"/>
    </w:rPr>
  </w:style>
  <w:style w:type="paragraph" w:customStyle="1" w:styleId="ItadBullets">
    <w:name w:val="Itad Bullets"/>
    <w:basedOn w:val="ItadNormalText"/>
    <w:link w:val="ItadBulletsChar"/>
    <w:qFormat/>
    <w:rsid w:val="009D1380"/>
    <w:pPr>
      <w:numPr>
        <w:numId w:val="35"/>
      </w:numPr>
      <w:ind w:left="284" w:hanging="284"/>
    </w:pPr>
    <w:rPr>
      <w:lang w:eastAsia="en-GB"/>
    </w:rPr>
  </w:style>
  <w:style w:type="table" w:styleId="TableGrid">
    <w:name w:val="Table Grid"/>
    <w:aliases w:val="Plain Table Grid,Header Table Grid,FF Table 1"/>
    <w:basedOn w:val="TableNormal"/>
    <w:uiPriority w:val="39"/>
    <w:rsid w:val="005A32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tadQuote">
    <w:name w:val="Itad Quote"/>
    <w:basedOn w:val="Normal"/>
    <w:next w:val="ItadNormalText"/>
    <w:qFormat/>
    <w:rsid w:val="00E6023A"/>
    <w:pPr>
      <w:tabs>
        <w:tab w:val="left" w:pos="1420"/>
      </w:tabs>
      <w:spacing w:before="360" w:after="360"/>
      <w:ind w:left="851" w:right="851"/>
    </w:pPr>
    <w:rPr>
      <w:i/>
      <w:iCs/>
      <w:color w:val="767171" w:themeColor="background2" w:themeShade="80"/>
      <w:shd w:val="clear" w:color="auto" w:fill="FFFFFF"/>
      <w:lang w:eastAsia="en-GB"/>
    </w:rPr>
  </w:style>
  <w:style w:type="paragraph" w:customStyle="1" w:styleId="ItadPull-outBold">
    <w:name w:val="Itad Pull-out Bold"/>
    <w:basedOn w:val="ItadQuote"/>
    <w:next w:val="ItadNormalText"/>
    <w:rsid w:val="00A323EE"/>
    <w:rPr>
      <w:b/>
      <w:i w:val="0"/>
    </w:rPr>
  </w:style>
  <w:style w:type="paragraph" w:customStyle="1" w:styleId="ItadPull-outTint">
    <w:name w:val="Itad Pull-out Tint"/>
    <w:basedOn w:val="ItadPull-outBold"/>
    <w:next w:val="ItadNormalText"/>
    <w:rsid w:val="002F13A2"/>
    <w:pPr>
      <w:pBdr>
        <w:top w:val="single" w:sz="24" w:space="0" w:color="F4F9E9"/>
        <w:left w:val="single" w:sz="24" w:space="4" w:color="F4F9E9"/>
        <w:bottom w:val="single" w:sz="24" w:space="1" w:color="F4F9E9"/>
        <w:right w:val="single" w:sz="24" w:space="4" w:color="F4F9E9"/>
      </w:pBdr>
      <w:shd w:val="clear" w:color="auto" w:fill="F4F9E9"/>
    </w:pPr>
    <w:rPr>
      <w:b w:val="0"/>
      <w:shd w:val="clear" w:color="auto" w:fill="F4F9E9"/>
    </w:rPr>
  </w:style>
  <w:style w:type="paragraph" w:customStyle="1" w:styleId="ItadPull-outBlock">
    <w:name w:val="Itad Pull-out Block"/>
    <w:basedOn w:val="Normal"/>
    <w:next w:val="ItadNormalText"/>
    <w:rsid w:val="0026393B"/>
    <w:pPr>
      <w:pBdr>
        <w:top w:val="single" w:sz="24" w:space="1" w:color="8CCA45"/>
        <w:left w:val="single" w:sz="24" w:space="4" w:color="8CCA45"/>
        <w:bottom w:val="single" w:sz="24" w:space="1" w:color="8CCA45"/>
        <w:right w:val="single" w:sz="24" w:space="4" w:color="8CCA45"/>
      </w:pBdr>
      <w:shd w:val="clear" w:color="auto" w:fill="8CCA45"/>
      <w:spacing w:before="360" w:after="360"/>
      <w:ind w:left="851" w:right="851"/>
    </w:pPr>
    <w:rPr>
      <w:color w:val="FFFFFF" w:themeColor="background1"/>
    </w:rPr>
  </w:style>
  <w:style w:type="paragraph" w:styleId="Header">
    <w:name w:val="header"/>
    <w:basedOn w:val="Normal"/>
    <w:link w:val="HeaderChar"/>
    <w:uiPriority w:val="99"/>
    <w:semiHidden/>
    <w:rsid w:val="00D46FD7"/>
    <w:pPr>
      <w:tabs>
        <w:tab w:val="center" w:pos="4513"/>
        <w:tab w:val="right" w:pos="9026"/>
      </w:tabs>
    </w:pPr>
  </w:style>
  <w:style w:type="character" w:customStyle="1" w:styleId="HeaderChar">
    <w:name w:val="Header Char"/>
    <w:basedOn w:val="DefaultParagraphFont"/>
    <w:link w:val="Header"/>
    <w:uiPriority w:val="99"/>
    <w:semiHidden/>
    <w:rsid w:val="00D65CC2"/>
    <w:rPr>
      <w:rFonts w:ascii="Calibri" w:hAnsi="Calibri" w:cs="Arial"/>
      <w:sz w:val="22"/>
      <w:szCs w:val="22"/>
    </w:rPr>
  </w:style>
  <w:style w:type="paragraph" w:styleId="BalloonText">
    <w:name w:val="Balloon Text"/>
    <w:basedOn w:val="Normal"/>
    <w:link w:val="BalloonTextChar"/>
    <w:uiPriority w:val="99"/>
    <w:semiHidden/>
    <w:rsid w:val="007E092D"/>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DA5495"/>
    <w:rPr>
      <w:rFonts w:ascii="Times New Roman" w:hAnsi="Times New Roman" w:cs="Times New Roman"/>
      <w:sz w:val="18"/>
      <w:szCs w:val="18"/>
    </w:rPr>
  </w:style>
  <w:style w:type="paragraph" w:customStyle="1" w:styleId="ItadIntroText">
    <w:name w:val="Itad Intro Text"/>
    <w:basedOn w:val="Normal"/>
    <w:next w:val="ItadNormalText"/>
    <w:autoRedefine/>
    <w:qFormat/>
    <w:rsid w:val="00CB16D3"/>
    <w:pPr>
      <w:spacing w:before="120" w:after="120" w:line="320" w:lineRule="atLeast"/>
    </w:pPr>
    <w:rPr>
      <w:color w:val="767171" w:themeColor="background2" w:themeShade="80"/>
      <w:sz w:val="28"/>
      <w:szCs w:val="28"/>
    </w:rPr>
  </w:style>
  <w:style w:type="paragraph" w:customStyle="1" w:styleId="ItadNormalText">
    <w:name w:val="Itad Normal Text"/>
    <w:basedOn w:val="NormalWeb"/>
    <w:link w:val="ItadNormalTextChar"/>
    <w:qFormat/>
    <w:rsid w:val="00C510FB"/>
    <w:pPr>
      <w:tabs>
        <w:tab w:val="left" w:pos="1418"/>
      </w:tabs>
      <w:spacing w:before="120" w:after="120"/>
    </w:pPr>
    <w:rPr>
      <w:rFonts w:ascii="Calibri" w:hAnsi="Calibri" w:cs="Arial"/>
    </w:rPr>
  </w:style>
  <w:style w:type="paragraph" w:customStyle="1" w:styleId="ItadNormalTextBold">
    <w:name w:val="Itad Normal Text (Bold)"/>
    <w:basedOn w:val="ItadNormalText"/>
    <w:next w:val="ItadNormalText"/>
    <w:qFormat/>
    <w:rsid w:val="009D1380"/>
    <w:rPr>
      <w:b/>
      <w:bCs/>
    </w:rPr>
  </w:style>
  <w:style w:type="paragraph" w:customStyle="1" w:styleId="ItadNormalTextWhite">
    <w:name w:val="Itad Normal Text (White)"/>
    <w:basedOn w:val="ItadNormalText"/>
    <w:next w:val="ItadNormalText"/>
    <w:qFormat/>
    <w:rsid w:val="00C407DB"/>
    <w:rPr>
      <w:color w:val="FFFFFF" w:themeColor="background1"/>
    </w:rPr>
  </w:style>
  <w:style w:type="paragraph" w:styleId="NormalWeb">
    <w:name w:val="Normal (Web)"/>
    <w:basedOn w:val="Normal"/>
    <w:link w:val="NormalWebChar"/>
    <w:uiPriority w:val="99"/>
    <w:semiHidden/>
    <w:rsid w:val="009D1380"/>
    <w:rPr>
      <w:rFonts w:ascii="Times New Roman" w:hAnsi="Times New Roman" w:cs="Times New Roman"/>
    </w:rPr>
  </w:style>
  <w:style w:type="paragraph" w:customStyle="1" w:styleId="ItadHeader">
    <w:name w:val="Itad Header"/>
    <w:basedOn w:val="Normal"/>
    <w:rsid w:val="00D32EC8"/>
    <w:pPr>
      <w:spacing w:after="480"/>
    </w:pPr>
    <w:rPr>
      <w:sz w:val="18"/>
      <w:szCs w:val="18"/>
    </w:rPr>
  </w:style>
  <w:style w:type="paragraph" w:customStyle="1" w:styleId="ItadFooter">
    <w:name w:val="Itad Footer"/>
    <w:basedOn w:val="ItadNormalText"/>
    <w:rsid w:val="001A6FFB"/>
    <w:pPr>
      <w:tabs>
        <w:tab w:val="clear" w:pos="1418"/>
        <w:tab w:val="right" w:pos="9072"/>
      </w:tabs>
      <w:spacing w:before="460" w:after="0"/>
      <w:contextualSpacing/>
    </w:pPr>
    <w:rPr>
      <w:sz w:val="18"/>
      <w:szCs w:val="18"/>
    </w:rPr>
  </w:style>
  <w:style w:type="character" w:customStyle="1" w:styleId="Heading1Char">
    <w:name w:val="Heading 1 Char"/>
    <w:basedOn w:val="DefaultParagraphFont"/>
    <w:link w:val="Heading1"/>
    <w:uiPriority w:val="9"/>
    <w:rsid w:val="008D540A"/>
    <w:rPr>
      <w:rFonts w:ascii="Calibri" w:hAnsi="Calibri" w:cs="Arial"/>
      <w:color w:val="3FB84E"/>
      <w:sz w:val="32"/>
      <w:szCs w:val="32"/>
    </w:rPr>
  </w:style>
  <w:style w:type="paragraph" w:customStyle="1" w:styleId="ItadH1Numbered">
    <w:name w:val="Itad H1 (Numbered)"/>
    <w:basedOn w:val="Heading1"/>
    <w:next w:val="ItadNormalText"/>
    <w:qFormat/>
    <w:rsid w:val="0045048E"/>
    <w:rPr>
      <w:b/>
      <w:bCs/>
      <w:color w:val="588B46" w:themeColor="text2"/>
    </w:rPr>
  </w:style>
  <w:style w:type="paragraph" w:customStyle="1" w:styleId="ItadH2Numbered">
    <w:name w:val="Itad H2 (Numbered)"/>
    <w:basedOn w:val="Heading2"/>
    <w:next w:val="ItadNormalText"/>
    <w:qFormat/>
    <w:rsid w:val="00764EB0"/>
    <w:pPr>
      <w:spacing w:before="240"/>
      <w:ind w:firstLine="0"/>
    </w:pPr>
    <w:rPr>
      <w:b/>
      <w:bCs/>
      <w:color w:val="E37230" w:themeColor="accent2"/>
      <w:sz w:val="28"/>
      <w:szCs w:val="28"/>
    </w:rPr>
  </w:style>
  <w:style w:type="paragraph" w:customStyle="1" w:styleId="ItadH3Numbered">
    <w:name w:val="Itad H3 (Numbered)"/>
    <w:basedOn w:val="Heading3"/>
    <w:next w:val="ItadNormalText"/>
    <w:qFormat/>
    <w:rsid w:val="00764EB0"/>
    <w:pPr>
      <w:ind w:firstLine="0"/>
    </w:pPr>
    <w:rPr>
      <w:b/>
      <w:bCs/>
      <w:color w:val="767171" w:themeColor="background2" w:themeShade="80"/>
      <w:sz w:val="24"/>
      <w:szCs w:val="24"/>
    </w:rPr>
  </w:style>
  <w:style w:type="paragraph" w:customStyle="1" w:styleId="ItadH4Numbered">
    <w:name w:val="Itad H4 (Numbered)"/>
    <w:basedOn w:val="Heading4"/>
    <w:qFormat/>
    <w:rsid w:val="009D2E35"/>
    <w:pPr>
      <w:ind w:left="907" w:hanging="907"/>
    </w:pPr>
    <w:rPr>
      <w:i/>
      <w:iCs/>
      <w:color w:val="767171" w:themeColor="background2" w:themeShade="80"/>
      <w:sz w:val="24"/>
      <w:szCs w:val="24"/>
    </w:rPr>
  </w:style>
  <w:style w:type="paragraph" w:customStyle="1" w:styleId="ItadH4">
    <w:name w:val="Itad H4"/>
    <w:basedOn w:val="Normal"/>
    <w:next w:val="ItadNormalText"/>
    <w:qFormat/>
    <w:rsid w:val="00115008"/>
    <w:pPr>
      <w:spacing w:before="240" w:after="120"/>
      <w:outlineLvl w:val="3"/>
    </w:pPr>
    <w:rPr>
      <w:b/>
      <w:bCs/>
      <w:color w:val="767171" w:themeColor="background2" w:themeShade="80"/>
      <w:szCs w:val="24"/>
    </w:rPr>
  </w:style>
  <w:style w:type="paragraph" w:customStyle="1" w:styleId="ItadH1">
    <w:name w:val="Itad H1"/>
    <w:basedOn w:val="ItadNormalText"/>
    <w:link w:val="ItadH1Char"/>
    <w:qFormat/>
    <w:rsid w:val="00E6023A"/>
    <w:pPr>
      <w:outlineLvl w:val="0"/>
    </w:pPr>
    <w:rPr>
      <w:b/>
      <w:bCs/>
      <w:color w:val="588B46" w:themeColor="text2"/>
      <w:sz w:val="32"/>
      <w:szCs w:val="32"/>
    </w:rPr>
  </w:style>
  <w:style w:type="paragraph" w:customStyle="1" w:styleId="ItadH2">
    <w:name w:val="Itad H2"/>
    <w:basedOn w:val="Normal"/>
    <w:next w:val="ItadNormalText"/>
    <w:qFormat/>
    <w:rsid w:val="0086557C"/>
    <w:pPr>
      <w:spacing w:before="240" w:after="120"/>
      <w:outlineLvl w:val="1"/>
    </w:pPr>
    <w:rPr>
      <w:b/>
      <w:bCs/>
      <w:color w:val="E37230" w:themeColor="accent2"/>
      <w:sz w:val="28"/>
      <w:szCs w:val="28"/>
    </w:rPr>
  </w:style>
  <w:style w:type="paragraph" w:customStyle="1" w:styleId="ItadH3">
    <w:name w:val="Itad H3"/>
    <w:basedOn w:val="Normal"/>
    <w:next w:val="ItadNormalText"/>
    <w:qFormat/>
    <w:rsid w:val="00115008"/>
    <w:pPr>
      <w:spacing w:before="240" w:after="120"/>
      <w:outlineLvl w:val="2"/>
    </w:pPr>
    <w:rPr>
      <w:b/>
      <w:bCs/>
      <w:color w:val="767171" w:themeColor="background2" w:themeShade="80"/>
      <w:sz w:val="24"/>
      <w:szCs w:val="24"/>
      <w:lang w:val="fr-FR"/>
    </w:rPr>
  </w:style>
  <w:style w:type="paragraph" w:customStyle="1" w:styleId="ItadMainTitle1">
    <w:name w:val="Itad Main Title 1"/>
    <w:basedOn w:val="Normal"/>
    <w:next w:val="ItadMainTitle2"/>
    <w:rsid w:val="00A51EB8"/>
    <w:pPr>
      <w:spacing w:after="440"/>
    </w:pPr>
    <w:rPr>
      <w:sz w:val="36"/>
      <w:szCs w:val="36"/>
    </w:rPr>
  </w:style>
  <w:style w:type="paragraph" w:customStyle="1" w:styleId="ItadMainTitle2">
    <w:name w:val="Itad Main Title 2"/>
    <w:basedOn w:val="Normal"/>
    <w:next w:val="ItadMainTitle3"/>
    <w:rsid w:val="00A51EB8"/>
    <w:rPr>
      <w:sz w:val="52"/>
      <w:szCs w:val="52"/>
    </w:rPr>
  </w:style>
  <w:style w:type="paragraph" w:customStyle="1" w:styleId="ItadMainTitle3">
    <w:name w:val="Itad Main Title 3"/>
    <w:basedOn w:val="Normal"/>
    <w:qFormat/>
    <w:rsid w:val="00390A6B"/>
    <w:pPr>
      <w:spacing w:before="260"/>
      <w:contextualSpacing/>
    </w:pPr>
    <w:rPr>
      <w:color w:val="3B3B3C" w:themeColor="text1"/>
    </w:rPr>
  </w:style>
  <w:style w:type="paragraph" w:customStyle="1" w:styleId="ItadHeading1Non-Contents">
    <w:name w:val="Itad Heading 1 (Non-Contents)"/>
    <w:basedOn w:val="ItadH1"/>
    <w:next w:val="ItadNormalText"/>
    <w:rsid w:val="00A51EB8"/>
  </w:style>
  <w:style w:type="paragraph" w:customStyle="1" w:styleId="ItadH4Tables">
    <w:name w:val="Itad H4 (Tables)"/>
    <w:basedOn w:val="ItadH4"/>
    <w:next w:val="ItadNormalText"/>
    <w:qFormat/>
    <w:rsid w:val="009D2E35"/>
    <w:pPr>
      <w:spacing w:before="0" w:after="0"/>
    </w:pPr>
    <w:rPr>
      <w:b w:val="0"/>
      <w:bCs w:val="0"/>
      <w:i/>
      <w:iCs/>
      <w:sz w:val="24"/>
    </w:rPr>
  </w:style>
  <w:style w:type="paragraph" w:customStyle="1" w:styleId="Itadnumberedparas">
    <w:name w:val="Itad numbered paras"/>
    <w:basedOn w:val="ItadNormalText"/>
    <w:qFormat/>
    <w:rsid w:val="00314399"/>
    <w:pPr>
      <w:numPr>
        <w:numId w:val="37"/>
      </w:numPr>
      <w:ind w:hanging="709"/>
    </w:pPr>
  </w:style>
  <w:style w:type="paragraph" w:customStyle="1" w:styleId="ItadSubbullets">
    <w:name w:val="Itad Sub bullets"/>
    <w:qFormat/>
    <w:rsid w:val="00E71DAC"/>
    <w:pPr>
      <w:numPr>
        <w:numId w:val="38"/>
      </w:numPr>
      <w:spacing w:before="120" w:after="120"/>
      <w:ind w:left="568" w:hanging="284"/>
    </w:pPr>
    <w:rPr>
      <w:rFonts w:ascii="Calibri" w:hAnsi="Calibri" w:cs="Arial"/>
      <w:color w:val="3B3B3C" w:themeColor="text1"/>
      <w:sz w:val="22"/>
      <w:szCs w:val="22"/>
      <w:lang w:eastAsia="en-GB"/>
    </w:rPr>
  </w:style>
  <w:style w:type="paragraph" w:customStyle="1" w:styleId="Bannerheader">
    <w:name w:val="Banner header"/>
    <w:basedOn w:val="ItadH1"/>
    <w:link w:val="BannerheaderChar"/>
    <w:rsid w:val="00B90F0D"/>
    <w:rPr>
      <w:rFonts w:asciiTheme="minorHAnsi" w:hAnsiTheme="minorHAnsi"/>
      <w:color w:val="FFFFFF" w:themeColor="background1"/>
      <w:sz w:val="36"/>
    </w:rPr>
  </w:style>
  <w:style w:type="character" w:customStyle="1" w:styleId="NormalWebChar">
    <w:name w:val="Normal (Web) Char"/>
    <w:basedOn w:val="DefaultParagraphFont"/>
    <w:link w:val="NormalWeb"/>
    <w:uiPriority w:val="99"/>
    <w:semiHidden/>
    <w:rsid w:val="0066140D"/>
    <w:rPr>
      <w:rFonts w:ascii="Times New Roman" w:hAnsi="Times New Roman" w:cs="Times New Roman"/>
      <w:sz w:val="22"/>
      <w:szCs w:val="22"/>
    </w:rPr>
  </w:style>
  <w:style w:type="character" w:customStyle="1" w:styleId="ItadNormalTextChar">
    <w:name w:val="Itad Normal Text Char"/>
    <w:basedOn w:val="NormalWebChar"/>
    <w:link w:val="ItadNormalText"/>
    <w:rsid w:val="00C510FB"/>
    <w:rPr>
      <w:rFonts w:ascii="Calibri" w:hAnsi="Calibri" w:cs="Arial"/>
      <w:sz w:val="22"/>
      <w:szCs w:val="22"/>
    </w:rPr>
  </w:style>
  <w:style w:type="character" w:customStyle="1" w:styleId="ItadH1Char">
    <w:name w:val="Itad H1 Char"/>
    <w:basedOn w:val="ItadNormalTextChar"/>
    <w:link w:val="ItadH1"/>
    <w:rsid w:val="00E6023A"/>
    <w:rPr>
      <w:rFonts w:ascii="Calibri" w:hAnsi="Calibri" w:cs="Arial"/>
      <w:b/>
      <w:bCs/>
      <w:color w:val="588B46" w:themeColor="text2"/>
      <w:sz w:val="32"/>
      <w:szCs w:val="32"/>
    </w:rPr>
  </w:style>
  <w:style w:type="character" w:customStyle="1" w:styleId="BannerheaderChar">
    <w:name w:val="Banner header Char"/>
    <w:basedOn w:val="ItadH1Char"/>
    <w:link w:val="Bannerheader"/>
    <w:rsid w:val="00B90F0D"/>
    <w:rPr>
      <w:rFonts w:ascii="Calibri" w:hAnsi="Calibri" w:cs="Arial"/>
      <w:b/>
      <w:bCs/>
      <w:color w:val="FFFFFF" w:themeColor="background1"/>
      <w:sz w:val="36"/>
      <w:szCs w:val="32"/>
    </w:rPr>
  </w:style>
  <w:style w:type="paragraph" w:styleId="TOCHeading">
    <w:name w:val="TOC Heading"/>
    <w:basedOn w:val="Heading1"/>
    <w:next w:val="Normal"/>
    <w:uiPriority w:val="39"/>
    <w:unhideWhenUsed/>
    <w:rsid w:val="009E38EF"/>
    <w:pPr>
      <w:keepNext/>
      <w:keepLines/>
      <w:numPr>
        <w:numId w:val="0"/>
      </w:numPr>
      <w:spacing w:before="240" w:after="0" w:line="259" w:lineRule="auto"/>
      <w:outlineLvl w:val="9"/>
    </w:pPr>
    <w:rPr>
      <w:rFonts w:asciiTheme="majorHAnsi" w:eastAsiaTheme="majorEastAsia" w:hAnsiTheme="majorHAnsi" w:cstheme="majorBidi"/>
      <w:color w:val="665F2D" w:themeColor="accent1" w:themeShade="BF"/>
      <w:lang w:val="en-US"/>
    </w:rPr>
  </w:style>
  <w:style w:type="paragraph" w:customStyle="1" w:styleId="Itadtablestyle">
    <w:name w:val="Itad table style"/>
    <w:basedOn w:val="ItadFigureText"/>
    <w:link w:val="ItadtablestyleChar"/>
    <w:qFormat/>
    <w:rsid w:val="008B3191"/>
    <w:pPr>
      <w:numPr>
        <w:numId w:val="39"/>
      </w:numPr>
    </w:pPr>
  </w:style>
  <w:style w:type="paragraph" w:styleId="Caption">
    <w:name w:val="caption"/>
    <w:basedOn w:val="Normal"/>
    <w:next w:val="Normal"/>
    <w:uiPriority w:val="35"/>
    <w:unhideWhenUsed/>
    <w:qFormat/>
    <w:rsid w:val="00C3353E"/>
    <w:pPr>
      <w:spacing w:after="200"/>
    </w:pPr>
    <w:rPr>
      <w:iCs/>
      <w:color w:val="3B3B3C" w:themeColor="text1"/>
      <w:sz w:val="18"/>
      <w:szCs w:val="18"/>
    </w:rPr>
  </w:style>
  <w:style w:type="character" w:customStyle="1" w:styleId="ItadCaptionChar">
    <w:name w:val="Itad Caption Char"/>
    <w:basedOn w:val="DefaultParagraphFont"/>
    <w:link w:val="ItadCaption"/>
    <w:rsid w:val="00C04C3C"/>
    <w:rPr>
      <w:rFonts w:ascii="Calibri" w:hAnsi="Calibri" w:cs="Arial"/>
      <w:iCs/>
      <w:color w:val="3B3B3C" w:themeColor="text1"/>
      <w:sz w:val="18"/>
      <w:szCs w:val="18"/>
    </w:rPr>
  </w:style>
  <w:style w:type="character" w:customStyle="1" w:styleId="ItadFigureTextChar">
    <w:name w:val="Itad Figure Text Char"/>
    <w:basedOn w:val="ItadCaptionChar"/>
    <w:link w:val="ItadFigureText"/>
    <w:rsid w:val="002111C6"/>
    <w:rPr>
      <w:rFonts w:ascii="Calibri" w:hAnsi="Calibri" w:cs="Arial"/>
      <w:b/>
      <w:iCs/>
      <w:color w:val="3B3B3C" w:themeColor="text1"/>
      <w:sz w:val="18"/>
      <w:szCs w:val="18"/>
    </w:rPr>
  </w:style>
  <w:style w:type="character" w:customStyle="1" w:styleId="ItadtablestyleChar">
    <w:name w:val="Itad table style Char"/>
    <w:basedOn w:val="ItadFigureTextChar"/>
    <w:link w:val="Itadtablestyle"/>
    <w:rsid w:val="008B3191"/>
    <w:rPr>
      <w:rFonts w:ascii="Calibri" w:hAnsi="Calibri" w:cs="Arial"/>
      <w:b/>
      <w:iCs/>
      <w:color w:val="3B3B3C" w:themeColor="text1"/>
      <w:sz w:val="18"/>
      <w:szCs w:val="18"/>
    </w:rPr>
  </w:style>
  <w:style w:type="paragraph" w:customStyle="1" w:styleId="ItadSectionTitleBlocknumbered">
    <w:name w:val="Itad Section Title Block numbered"/>
    <w:basedOn w:val="ItadSectionTitleBlock"/>
    <w:link w:val="ItadSectionTitleBlocknumberedChar"/>
    <w:qFormat/>
    <w:rsid w:val="00CB00A0"/>
    <w:pPr>
      <w:numPr>
        <w:numId w:val="41"/>
      </w:numPr>
      <w:tabs>
        <w:tab w:val="clear" w:pos="1420"/>
      </w:tabs>
      <w:ind w:firstLine="0"/>
    </w:pPr>
  </w:style>
  <w:style w:type="character" w:customStyle="1" w:styleId="ItadSectionTitleBlockChar">
    <w:name w:val="Itad Section Title Block Char"/>
    <w:basedOn w:val="DefaultParagraphFont"/>
    <w:link w:val="ItadSectionTitleBlock"/>
    <w:rsid w:val="000E1EBA"/>
    <w:rPr>
      <w:rFonts w:ascii="CubeOT" w:hAnsi="CubeOT" w:cs="CubeOT"/>
      <w:noProof/>
      <w:color w:val="767171" w:themeColor="background2" w:themeShade="80"/>
      <w:position w:val="-80"/>
      <w:sz w:val="56"/>
      <w:szCs w:val="56"/>
      <w:lang w:eastAsia="en-GB"/>
    </w:rPr>
  </w:style>
  <w:style w:type="character" w:customStyle="1" w:styleId="ItadSectionTitleBlocknumberedChar">
    <w:name w:val="Itad Section Title Block numbered Char"/>
    <w:basedOn w:val="ItadSectionTitleBlockChar"/>
    <w:link w:val="ItadSectionTitleBlocknumbered"/>
    <w:rsid w:val="00CB00A0"/>
    <w:rPr>
      <w:rFonts w:ascii="CubeOT" w:hAnsi="CubeOT" w:cs="CubeOT"/>
      <w:noProof/>
      <w:color w:val="767171" w:themeColor="background2" w:themeShade="80"/>
      <w:position w:val="-80"/>
      <w:sz w:val="56"/>
      <w:szCs w:val="56"/>
      <w:lang w:eastAsia="en-GB"/>
    </w:rPr>
  </w:style>
  <w:style w:type="paragraph" w:customStyle="1" w:styleId="Itadfootnotestyle">
    <w:name w:val="Itad footnote style"/>
    <w:basedOn w:val="FootnoteText"/>
    <w:link w:val="ItadfootnotestyleChar"/>
    <w:qFormat/>
    <w:rsid w:val="00D1522D"/>
  </w:style>
  <w:style w:type="character" w:styleId="CommentReference">
    <w:name w:val="annotation reference"/>
    <w:basedOn w:val="DefaultParagraphFont"/>
    <w:uiPriority w:val="99"/>
    <w:unhideWhenUsed/>
    <w:rsid w:val="006477BD"/>
    <w:rPr>
      <w:sz w:val="16"/>
      <w:szCs w:val="16"/>
    </w:rPr>
  </w:style>
  <w:style w:type="character" w:customStyle="1" w:styleId="ItadfootnotestyleChar">
    <w:name w:val="Itad footnote style Char"/>
    <w:basedOn w:val="FootnoteTextChar"/>
    <w:link w:val="Itadfootnotestyle"/>
    <w:rsid w:val="00D1522D"/>
    <w:rPr>
      <w:rFonts w:ascii="Calibri" w:hAnsi="Calibri" w:cs="Arial"/>
      <w:sz w:val="16"/>
      <w:szCs w:val="16"/>
    </w:rPr>
  </w:style>
  <w:style w:type="paragraph" w:styleId="CommentText">
    <w:name w:val="annotation text"/>
    <w:basedOn w:val="Normal"/>
    <w:link w:val="CommentTextChar"/>
    <w:uiPriority w:val="99"/>
    <w:unhideWhenUsed/>
    <w:rsid w:val="006477BD"/>
    <w:rPr>
      <w:sz w:val="20"/>
      <w:szCs w:val="20"/>
    </w:rPr>
  </w:style>
  <w:style w:type="character" w:customStyle="1" w:styleId="CommentTextChar">
    <w:name w:val="Comment Text Char"/>
    <w:basedOn w:val="DefaultParagraphFont"/>
    <w:link w:val="CommentText"/>
    <w:uiPriority w:val="99"/>
    <w:rsid w:val="006477BD"/>
    <w:rPr>
      <w:rFonts w:ascii="Calibri" w:hAnsi="Calibri" w:cs="Arial"/>
      <w:sz w:val="20"/>
      <w:szCs w:val="20"/>
    </w:rPr>
  </w:style>
  <w:style w:type="paragraph" w:styleId="CommentSubject">
    <w:name w:val="annotation subject"/>
    <w:basedOn w:val="CommentText"/>
    <w:next w:val="CommentText"/>
    <w:link w:val="CommentSubjectChar"/>
    <w:uiPriority w:val="99"/>
    <w:semiHidden/>
    <w:unhideWhenUsed/>
    <w:rsid w:val="006477BD"/>
    <w:rPr>
      <w:b/>
      <w:bCs/>
    </w:rPr>
  </w:style>
  <w:style w:type="character" w:customStyle="1" w:styleId="CommentSubjectChar">
    <w:name w:val="Comment Subject Char"/>
    <w:basedOn w:val="CommentTextChar"/>
    <w:link w:val="CommentSubject"/>
    <w:uiPriority w:val="99"/>
    <w:semiHidden/>
    <w:rsid w:val="006477BD"/>
    <w:rPr>
      <w:rFonts w:ascii="Calibri" w:hAnsi="Calibri" w:cs="Arial"/>
      <w:b/>
      <w:bCs/>
      <w:sz w:val="20"/>
      <w:szCs w:val="20"/>
    </w:rPr>
  </w:style>
  <w:style w:type="paragraph" w:customStyle="1" w:styleId="Itadtabletext">
    <w:name w:val="Itad table text"/>
    <w:basedOn w:val="ItadNormalText"/>
    <w:link w:val="ItadtabletextChar"/>
    <w:qFormat/>
    <w:rsid w:val="00215994"/>
    <w:pPr>
      <w:spacing w:before="60" w:after="60"/>
    </w:pPr>
    <w:rPr>
      <w:sz w:val="20"/>
    </w:rPr>
  </w:style>
  <w:style w:type="character" w:customStyle="1" w:styleId="ItadtabletextChar">
    <w:name w:val="Itad table text Char"/>
    <w:basedOn w:val="ItadNormalTextChar"/>
    <w:link w:val="Itadtabletext"/>
    <w:rsid w:val="00215994"/>
    <w:rPr>
      <w:rFonts w:ascii="Calibri" w:hAnsi="Calibri" w:cs="Arial"/>
      <w:color w:val="3B3B3C" w:themeColor="text1"/>
      <w:sz w:val="20"/>
      <w:szCs w:val="22"/>
    </w:rPr>
  </w:style>
  <w:style w:type="paragraph" w:customStyle="1" w:styleId="Figuresource">
    <w:name w:val="Figure source"/>
    <w:basedOn w:val="Normal"/>
    <w:link w:val="FiguresourceChar"/>
    <w:qFormat/>
    <w:rsid w:val="002111C6"/>
    <w:pPr>
      <w:jc w:val="right"/>
    </w:pPr>
    <w:rPr>
      <w:color w:val="767171" w:themeColor="background2" w:themeShade="80"/>
      <w:sz w:val="18"/>
      <w:szCs w:val="18"/>
    </w:rPr>
  </w:style>
  <w:style w:type="paragraph" w:customStyle="1" w:styleId="Sectionsubheading">
    <w:name w:val="Section subheading"/>
    <w:basedOn w:val="ItadH1"/>
    <w:link w:val="SectionsubheadingChar"/>
    <w:qFormat/>
    <w:rsid w:val="00115008"/>
    <w:rPr>
      <w:b w:val="0"/>
      <w:bCs w:val="0"/>
      <w:color w:val="767171" w:themeColor="background2" w:themeShade="80"/>
    </w:rPr>
  </w:style>
  <w:style w:type="character" w:customStyle="1" w:styleId="FiguresourceChar">
    <w:name w:val="Figure source Char"/>
    <w:basedOn w:val="DefaultParagraphFont"/>
    <w:link w:val="Figuresource"/>
    <w:rsid w:val="002111C6"/>
    <w:rPr>
      <w:rFonts w:ascii="Calibri" w:hAnsi="Calibri" w:cs="Arial"/>
      <w:color w:val="767171" w:themeColor="background2" w:themeShade="80"/>
      <w:sz w:val="18"/>
      <w:szCs w:val="18"/>
    </w:rPr>
  </w:style>
  <w:style w:type="character" w:customStyle="1" w:styleId="SectionsubheadingChar">
    <w:name w:val="Section subheading Char"/>
    <w:basedOn w:val="ItadH1Char"/>
    <w:link w:val="Sectionsubheading"/>
    <w:rsid w:val="00115008"/>
    <w:rPr>
      <w:rFonts w:ascii="Calibri" w:hAnsi="Calibri" w:cs="Arial"/>
      <w:b w:val="0"/>
      <w:bCs w:val="0"/>
      <w:color w:val="767171" w:themeColor="background2" w:themeShade="80"/>
      <w:sz w:val="32"/>
      <w:szCs w:val="32"/>
    </w:rPr>
  </w:style>
  <w:style w:type="table" w:customStyle="1" w:styleId="Itadpulloutboxorange">
    <w:name w:val="Itad pullout box orange"/>
    <w:basedOn w:val="ItadPull-outBoxgreen"/>
    <w:uiPriority w:val="99"/>
    <w:rsid w:val="00452A42"/>
    <w:tblPr/>
    <w:tcPr>
      <w:shd w:val="clear" w:color="auto" w:fill="F9E2D5" w:themeFill="accent2" w:themeFillTint="33"/>
    </w:tcPr>
  </w:style>
  <w:style w:type="table" w:customStyle="1" w:styleId="ItadPulloutBoxGrey">
    <w:name w:val="Itad Pullout Box Grey"/>
    <w:basedOn w:val="ItadPull-outBoxgreen"/>
    <w:uiPriority w:val="99"/>
    <w:rsid w:val="00452A42"/>
    <w:tblPr/>
    <w:tcPr>
      <w:shd w:val="clear" w:color="auto" w:fill="F2F2F2" w:themeFill="background1" w:themeFillShade="F2"/>
    </w:tcPr>
  </w:style>
  <w:style w:type="table" w:customStyle="1" w:styleId="Itadalternaterows">
    <w:name w:val="Itad alternate rows"/>
    <w:basedOn w:val="ItadGreenHeaderRow"/>
    <w:uiPriority w:val="99"/>
    <w:rsid w:val="00452A42"/>
    <w:tblPr/>
    <w:tcPr>
      <w:shd w:val="clear" w:color="auto" w:fill="F2F2F2" w:themeFill="background1" w:themeFillShade="F2"/>
    </w:tcPr>
    <w:tblStylePr w:type="firstRow">
      <w:tblPr/>
      <w:tcPr>
        <w:shd w:val="clear" w:color="auto" w:fill="96C286" w:themeFill="text2" w:themeFillTint="99"/>
      </w:tcPr>
    </w:tblStylePr>
    <w:tblStylePr w:type="lastRow">
      <w:tblPr/>
      <w:tcPr>
        <w:shd w:val="clear" w:color="auto" w:fill="FFFFFF" w:themeFill="background1"/>
      </w:tcPr>
    </w:tblStylePr>
    <w:tblStylePr w:type="band1Horz">
      <w:tblPr/>
      <w:tcPr>
        <w:shd w:val="clear" w:color="auto" w:fill="F2F2F2" w:themeFill="background1" w:themeFillShade="F2"/>
      </w:tcPr>
    </w:tblStylePr>
    <w:tblStylePr w:type="band2Horz">
      <w:tblPr/>
      <w:tcPr>
        <w:shd w:val="clear" w:color="auto" w:fill="FFFFFF" w:themeFill="background1"/>
      </w:tcPr>
    </w:tblStylePr>
  </w:style>
  <w:style w:type="table" w:styleId="TableGridLight">
    <w:name w:val="Grid Table Light"/>
    <w:basedOn w:val="TableNormal"/>
    <w:uiPriority w:val="40"/>
    <w:rsid w:val="0047016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FC54B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Itadplaingridgrey">
    <w:name w:val="Itad plain grid grey"/>
    <w:basedOn w:val="TableGridLight"/>
    <w:uiPriority w:val="99"/>
    <w:rsid w:val="00325542"/>
    <w:tblPr/>
    <w:tcPr>
      <w:vAlign w:val="center"/>
    </w:tcPr>
  </w:style>
  <w:style w:type="paragraph" w:customStyle="1" w:styleId="BoxHeader">
    <w:name w:val="Box Header"/>
    <w:basedOn w:val="ItadFigureText"/>
    <w:link w:val="BoxHeaderChar"/>
    <w:rsid w:val="00A95893"/>
    <w:rPr>
      <w:color w:val="E37230" w:themeColor="accent2"/>
      <w:sz w:val="24"/>
    </w:rPr>
  </w:style>
  <w:style w:type="character" w:styleId="UnresolvedMention">
    <w:name w:val="Unresolved Mention"/>
    <w:basedOn w:val="DefaultParagraphFont"/>
    <w:uiPriority w:val="99"/>
    <w:semiHidden/>
    <w:unhideWhenUsed/>
    <w:rsid w:val="00325542"/>
    <w:rPr>
      <w:color w:val="605E5C"/>
      <w:shd w:val="clear" w:color="auto" w:fill="E1DFDD"/>
    </w:rPr>
  </w:style>
  <w:style w:type="character" w:customStyle="1" w:styleId="BoxHeaderChar">
    <w:name w:val="Box Header Char"/>
    <w:basedOn w:val="ItadFigureTextChar"/>
    <w:link w:val="BoxHeader"/>
    <w:rsid w:val="00A95893"/>
    <w:rPr>
      <w:rFonts w:ascii="Calibri" w:hAnsi="Calibri" w:cs="Arial"/>
      <w:b/>
      <w:iCs/>
      <w:color w:val="E37230" w:themeColor="accent2"/>
      <w:sz w:val="18"/>
      <w:szCs w:val="18"/>
    </w:rPr>
  </w:style>
  <w:style w:type="character" w:styleId="FollowedHyperlink">
    <w:name w:val="FollowedHyperlink"/>
    <w:basedOn w:val="DefaultParagraphFont"/>
    <w:uiPriority w:val="99"/>
    <w:semiHidden/>
    <w:unhideWhenUsed/>
    <w:rsid w:val="00325542"/>
    <w:rPr>
      <w:color w:val="F3932D" w:themeColor="followedHyperlink"/>
      <w:u w:val="single"/>
    </w:rPr>
  </w:style>
  <w:style w:type="character" w:styleId="LineNumber">
    <w:name w:val="line number"/>
    <w:basedOn w:val="DefaultParagraphFont"/>
    <w:uiPriority w:val="99"/>
    <w:semiHidden/>
    <w:unhideWhenUsed/>
    <w:rsid w:val="00314399"/>
  </w:style>
  <w:style w:type="paragraph" w:customStyle="1" w:styleId="Itadnumberedlist">
    <w:name w:val="Itad numbered list"/>
    <w:basedOn w:val="ItadBullets"/>
    <w:link w:val="ItadnumberedlistChar"/>
    <w:qFormat/>
    <w:rsid w:val="00314399"/>
    <w:pPr>
      <w:numPr>
        <w:numId w:val="42"/>
      </w:numPr>
    </w:pPr>
    <w:rPr>
      <w:lang w:val="it-IT"/>
    </w:rPr>
  </w:style>
  <w:style w:type="character" w:customStyle="1" w:styleId="ItadBulletsChar">
    <w:name w:val="Itad Bullets Char"/>
    <w:basedOn w:val="ItadNormalTextChar"/>
    <w:link w:val="ItadBullets"/>
    <w:rsid w:val="00314399"/>
    <w:rPr>
      <w:rFonts w:ascii="Calibri" w:hAnsi="Calibri" w:cs="Arial"/>
      <w:sz w:val="22"/>
      <w:szCs w:val="22"/>
      <w:lang w:eastAsia="en-GB"/>
    </w:rPr>
  </w:style>
  <w:style w:type="character" w:customStyle="1" w:styleId="ItadnumberedlistChar">
    <w:name w:val="Itad numbered list Char"/>
    <w:basedOn w:val="ItadBulletsChar"/>
    <w:link w:val="Itadnumberedlist"/>
    <w:rsid w:val="00314399"/>
    <w:rPr>
      <w:rFonts w:ascii="Calibri" w:hAnsi="Calibri" w:cs="Arial"/>
      <w:sz w:val="22"/>
      <w:szCs w:val="22"/>
      <w:lang w:val="it-IT" w:eastAsia="en-GB"/>
    </w:rPr>
  </w:style>
  <w:style w:type="paragraph" w:customStyle="1" w:styleId="Itadboxnumbers">
    <w:name w:val="Itad box numbers"/>
    <w:basedOn w:val="ItadNormalText"/>
    <w:link w:val="ItadboxnumbersChar"/>
    <w:qFormat/>
    <w:rsid w:val="00E71DAC"/>
    <w:pPr>
      <w:framePr w:hSpace="180" w:wrap="around" w:vAnchor="text" w:hAnchor="margin" w:y="307"/>
      <w:numPr>
        <w:numId w:val="43"/>
      </w:numPr>
      <w:tabs>
        <w:tab w:val="left" w:pos="567"/>
      </w:tabs>
      <w:ind w:right="57"/>
    </w:pPr>
    <w:rPr>
      <w:b/>
      <w:bCs/>
      <w:color w:val="E37230" w:themeColor="accent2"/>
    </w:rPr>
  </w:style>
  <w:style w:type="character" w:customStyle="1" w:styleId="ItadboxnumbersChar">
    <w:name w:val="Itad box numbers Char"/>
    <w:basedOn w:val="ItadNormalTextChar"/>
    <w:link w:val="Itadboxnumbers"/>
    <w:rsid w:val="00E71DAC"/>
    <w:rPr>
      <w:rFonts w:ascii="Calibri" w:hAnsi="Calibri" w:cs="Arial"/>
      <w:b/>
      <w:bCs/>
      <w:color w:val="E37230" w:themeColor="accent2"/>
      <w:sz w:val="22"/>
      <w:szCs w:val="22"/>
    </w:rPr>
  </w:style>
  <w:style w:type="paragraph" w:customStyle="1" w:styleId="Itadheading1">
    <w:name w:val="Itad heading 1"/>
    <w:basedOn w:val="Normal"/>
    <w:link w:val="Itadheading1Char"/>
    <w:qFormat/>
    <w:rsid w:val="6A7BF3BC"/>
    <w:pPr>
      <w:keepNext/>
      <w:spacing w:after="240"/>
      <w:ind w:left="28"/>
      <w:outlineLvl w:val="0"/>
    </w:pPr>
    <w:rPr>
      <w:rFonts w:eastAsia="Times New Roman" w:cs="Times New Roman"/>
      <w:b/>
      <w:bCs/>
      <w:color w:val="73B632"/>
      <w:sz w:val="32"/>
      <w:szCs w:val="32"/>
      <w:lang w:val="en-US"/>
    </w:rPr>
  </w:style>
  <w:style w:type="character" w:customStyle="1" w:styleId="Itadheading1Char">
    <w:name w:val="Itad heading 1 Char"/>
    <w:basedOn w:val="DefaultParagraphFont"/>
    <w:link w:val="Itadheading1"/>
    <w:rsid w:val="6A7BF3BC"/>
    <w:rPr>
      <w:rFonts w:ascii="Calibri" w:eastAsia="Times New Roman" w:hAnsi="Calibri" w:cs="Times New Roman"/>
      <w:b/>
      <w:bCs/>
      <w:color w:val="73B632"/>
      <w:sz w:val="32"/>
      <w:szCs w:val="32"/>
      <w:lang w:val="en-US" w:eastAsia="en-GB"/>
    </w:rPr>
  </w:style>
  <w:style w:type="paragraph" w:customStyle="1" w:styleId="StyleHeading2">
    <w:name w:val="Style Heading 2"/>
    <w:basedOn w:val="Normal"/>
    <w:link w:val="StyleHeading2Char"/>
    <w:uiPriority w:val="1"/>
    <w:rsid w:val="6A7BF3BC"/>
    <w:rPr>
      <w:rFonts w:ascii="Arial" w:eastAsia="Times New Roman" w:hAnsi="Arial"/>
      <w:sz w:val="24"/>
      <w:szCs w:val="24"/>
    </w:rPr>
  </w:style>
  <w:style w:type="character" w:customStyle="1" w:styleId="StyleHeading2Char">
    <w:name w:val="Style Heading 2 Char"/>
    <w:basedOn w:val="DefaultParagraphFont"/>
    <w:link w:val="StyleHeading2"/>
    <w:uiPriority w:val="1"/>
    <w:rsid w:val="6A7BF3BC"/>
    <w:rPr>
      <w:rFonts w:ascii="Arial" w:eastAsia="Times New Roman" w:hAnsi="Arial" w:cs="Arial"/>
      <w:sz w:val="24"/>
      <w:szCs w:val="24"/>
      <w:lang w:eastAsia="en-US"/>
    </w:rPr>
  </w:style>
  <w:style w:type="paragraph" w:customStyle="1" w:styleId="InA">
    <w:name w:val="In_A"/>
    <w:basedOn w:val="Normal"/>
    <w:uiPriority w:val="1"/>
    <w:rsid w:val="6A7BF3BC"/>
    <w:pPr>
      <w:spacing w:before="60" w:after="60"/>
      <w:ind w:left="709"/>
      <w:jc w:val="both"/>
    </w:pPr>
    <w:rPr>
      <w:rFonts w:ascii="Arial" w:eastAsia="Times New Roman" w:hAnsi="Arial"/>
      <w:i/>
      <w:iCs/>
    </w:rPr>
  </w:style>
  <w:style w:type="paragraph" w:styleId="ListParagraph">
    <w:name w:val="List Paragraph"/>
    <w:aliases w:val="Dot pt,Numbered Para 1,No Spacing1,List Paragraph Char Char Char,Indicator Text,Bullet 1,Bullet Points,F5 List Paragraph,Colorful List - Accent 11,List Paragraph2,Normal numbered,OBC Bullet,Bullet Style,L,List Paragraph12,MAIN CONTENT"/>
    <w:basedOn w:val="Normal"/>
    <w:link w:val="ListParagraphChar"/>
    <w:uiPriority w:val="34"/>
    <w:qFormat/>
    <w:pPr>
      <w:ind w:left="720"/>
      <w:contextualSpacing/>
    </w:pPr>
  </w:style>
  <w:style w:type="character" w:styleId="Strong">
    <w:name w:val="Strong"/>
    <w:basedOn w:val="DefaultParagraphFont"/>
    <w:uiPriority w:val="22"/>
    <w:qFormat/>
    <w:rsid w:val="00997EC2"/>
    <w:rPr>
      <w:b/>
      <w:bCs/>
    </w:rPr>
  </w:style>
  <w:style w:type="table" w:styleId="GridTable6Colorful-Accent5">
    <w:name w:val="Grid Table 6 Colorful Accent 5"/>
    <w:basedOn w:val="TableNormal"/>
    <w:uiPriority w:val="51"/>
    <w:rsid w:val="00997EC2"/>
    <w:rPr>
      <w:color w:val="DBD70C" w:themeColor="accent5" w:themeShade="BF"/>
      <w:sz w:val="22"/>
      <w:szCs w:val="22"/>
    </w:rPr>
    <w:tblPr>
      <w:tblStyleRowBandSize w:val="1"/>
      <w:tblStyleColBandSize w:val="1"/>
      <w:tblBorders>
        <w:top w:val="single" w:sz="4" w:space="0" w:color="F8F68D" w:themeColor="accent5" w:themeTint="99"/>
        <w:left w:val="single" w:sz="4" w:space="0" w:color="F8F68D" w:themeColor="accent5" w:themeTint="99"/>
        <w:bottom w:val="single" w:sz="4" w:space="0" w:color="F8F68D" w:themeColor="accent5" w:themeTint="99"/>
        <w:right w:val="single" w:sz="4" w:space="0" w:color="F8F68D" w:themeColor="accent5" w:themeTint="99"/>
        <w:insideH w:val="single" w:sz="4" w:space="0" w:color="F8F68D" w:themeColor="accent5" w:themeTint="99"/>
        <w:insideV w:val="single" w:sz="4" w:space="0" w:color="F8F68D" w:themeColor="accent5" w:themeTint="99"/>
      </w:tblBorders>
    </w:tblPr>
    <w:tblStylePr w:type="firstRow">
      <w:rPr>
        <w:b/>
        <w:bCs/>
      </w:rPr>
      <w:tblPr/>
      <w:tcPr>
        <w:tcBorders>
          <w:bottom w:val="single" w:sz="12" w:space="0" w:color="F8F68D" w:themeColor="accent5" w:themeTint="99"/>
        </w:tcBorders>
      </w:tcPr>
    </w:tblStylePr>
    <w:tblStylePr w:type="lastRow">
      <w:rPr>
        <w:b/>
        <w:bCs/>
      </w:rPr>
      <w:tblPr/>
      <w:tcPr>
        <w:tcBorders>
          <w:top w:val="double" w:sz="4" w:space="0" w:color="F8F68D" w:themeColor="accent5" w:themeTint="99"/>
        </w:tcBorders>
      </w:tcPr>
    </w:tblStylePr>
    <w:tblStylePr w:type="firstCol">
      <w:rPr>
        <w:b/>
        <w:bCs/>
      </w:rPr>
    </w:tblStylePr>
    <w:tblStylePr w:type="lastCol">
      <w:rPr>
        <w:b/>
        <w:bCs/>
      </w:rPr>
    </w:tblStylePr>
    <w:tblStylePr w:type="band1Vert">
      <w:tblPr/>
      <w:tcPr>
        <w:shd w:val="clear" w:color="auto" w:fill="FCFCD9" w:themeFill="accent5" w:themeFillTint="33"/>
      </w:tcPr>
    </w:tblStylePr>
    <w:tblStylePr w:type="band1Horz">
      <w:tblPr/>
      <w:tcPr>
        <w:shd w:val="clear" w:color="auto" w:fill="FCFCD9" w:themeFill="accent5" w:themeFillTint="33"/>
      </w:tcPr>
    </w:tblStylePr>
  </w:style>
  <w:style w:type="table" w:styleId="GridTable4-Accent3">
    <w:name w:val="Grid Table 4 Accent 3"/>
    <w:basedOn w:val="TableNormal"/>
    <w:uiPriority w:val="49"/>
    <w:rsid w:val="00997EC2"/>
    <w:tblPr>
      <w:tblStyleRowBandSize w:val="1"/>
      <w:tblStyleColBandSize w:val="1"/>
      <w:tblBorders>
        <w:top w:val="single" w:sz="4" w:space="0" w:color="89D692" w:themeColor="accent3" w:themeTint="99"/>
        <w:left w:val="single" w:sz="4" w:space="0" w:color="89D692" w:themeColor="accent3" w:themeTint="99"/>
        <w:bottom w:val="single" w:sz="4" w:space="0" w:color="89D692" w:themeColor="accent3" w:themeTint="99"/>
        <w:right w:val="single" w:sz="4" w:space="0" w:color="89D692" w:themeColor="accent3" w:themeTint="99"/>
        <w:insideH w:val="single" w:sz="4" w:space="0" w:color="89D692" w:themeColor="accent3" w:themeTint="99"/>
        <w:insideV w:val="single" w:sz="4" w:space="0" w:color="89D692" w:themeColor="accent3" w:themeTint="99"/>
      </w:tblBorders>
    </w:tblPr>
    <w:tblStylePr w:type="firstRow">
      <w:rPr>
        <w:b/>
        <w:bCs/>
        <w:color w:val="FFFFFF" w:themeColor="background1"/>
      </w:rPr>
      <w:tblPr/>
      <w:tcPr>
        <w:tcBorders>
          <w:top w:val="single" w:sz="4" w:space="0" w:color="3FB84E" w:themeColor="accent3"/>
          <w:left w:val="single" w:sz="4" w:space="0" w:color="3FB84E" w:themeColor="accent3"/>
          <w:bottom w:val="single" w:sz="4" w:space="0" w:color="3FB84E" w:themeColor="accent3"/>
          <w:right w:val="single" w:sz="4" w:space="0" w:color="3FB84E" w:themeColor="accent3"/>
          <w:insideH w:val="nil"/>
          <w:insideV w:val="nil"/>
        </w:tcBorders>
        <w:shd w:val="clear" w:color="auto" w:fill="3FB84E" w:themeFill="accent3"/>
      </w:tcPr>
    </w:tblStylePr>
    <w:tblStylePr w:type="lastRow">
      <w:rPr>
        <w:b/>
        <w:bCs/>
      </w:rPr>
      <w:tblPr/>
      <w:tcPr>
        <w:tcBorders>
          <w:top w:val="double" w:sz="4" w:space="0" w:color="3FB84E" w:themeColor="accent3"/>
        </w:tcBorders>
      </w:tcPr>
    </w:tblStylePr>
    <w:tblStylePr w:type="firstCol">
      <w:rPr>
        <w:b/>
        <w:bCs/>
      </w:rPr>
    </w:tblStylePr>
    <w:tblStylePr w:type="lastCol">
      <w:rPr>
        <w:b/>
        <w:bCs/>
      </w:rPr>
    </w:tblStylePr>
    <w:tblStylePr w:type="band1Vert">
      <w:tblPr/>
      <w:tcPr>
        <w:shd w:val="clear" w:color="auto" w:fill="D7F1DA" w:themeFill="accent3" w:themeFillTint="33"/>
      </w:tcPr>
    </w:tblStylePr>
    <w:tblStylePr w:type="band1Horz">
      <w:tblPr/>
      <w:tcPr>
        <w:shd w:val="clear" w:color="auto" w:fill="D7F1DA" w:themeFill="accent3" w:themeFillTint="33"/>
      </w:tcPr>
    </w:tblStylePr>
  </w:style>
  <w:style w:type="paragraph" w:customStyle="1" w:styleId="paragraph">
    <w:name w:val="paragraph"/>
    <w:basedOn w:val="Normal"/>
    <w:rsid w:val="00C22E0C"/>
    <w:pPr>
      <w:spacing w:before="100" w:beforeAutospacing="1" w:after="100" w:afterAutospacing="1"/>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C22E0C"/>
  </w:style>
  <w:style w:type="character" w:customStyle="1" w:styleId="eop">
    <w:name w:val="eop"/>
    <w:basedOn w:val="DefaultParagraphFont"/>
    <w:rsid w:val="00C22E0C"/>
  </w:style>
  <w:style w:type="character" w:customStyle="1" w:styleId="tabchar">
    <w:name w:val="tabchar"/>
    <w:basedOn w:val="DefaultParagraphFont"/>
    <w:rsid w:val="00C22E0C"/>
  </w:style>
  <w:style w:type="character" w:customStyle="1" w:styleId="scxw216788131">
    <w:name w:val="scxw216788131"/>
    <w:basedOn w:val="DefaultParagraphFont"/>
    <w:rsid w:val="00C22E0C"/>
  </w:style>
  <w:style w:type="character" w:customStyle="1" w:styleId="superscript">
    <w:name w:val="superscript"/>
    <w:basedOn w:val="DefaultParagraphFont"/>
    <w:rsid w:val="005F0478"/>
  </w:style>
  <w:style w:type="table" w:styleId="GridTable1Light">
    <w:name w:val="Grid Table 1 Light"/>
    <w:basedOn w:val="TableNormal"/>
    <w:uiPriority w:val="46"/>
    <w:rsid w:val="00CD4B01"/>
    <w:tblPr>
      <w:tblStyleRowBandSize w:val="1"/>
      <w:tblStyleColBandSize w:val="1"/>
      <w:tblBorders>
        <w:top w:val="single" w:sz="4" w:space="0" w:color="B0B0B1" w:themeColor="text1" w:themeTint="66"/>
        <w:left w:val="single" w:sz="4" w:space="0" w:color="B0B0B1" w:themeColor="text1" w:themeTint="66"/>
        <w:bottom w:val="single" w:sz="4" w:space="0" w:color="B0B0B1" w:themeColor="text1" w:themeTint="66"/>
        <w:right w:val="single" w:sz="4" w:space="0" w:color="B0B0B1" w:themeColor="text1" w:themeTint="66"/>
        <w:insideH w:val="single" w:sz="4" w:space="0" w:color="B0B0B1" w:themeColor="text1" w:themeTint="66"/>
        <w:insideV w:val="single" w:sz="4" w:space="0" w:color="B0B0B1" w:themeColor="text1" w:themeTint="66"/>
      </w:tblBorders>
    </w:tblPr>
    <w:tblStylePr w:type="firstRow">
      <w:rPr>
        <w:b/>
        <w:bCs/>
      </w:rPr>
      <w:tblPr/>
      <w:tcPr>
        <w:tcBorders>
          <w:bottom w:val="single" w:sz="12" w:space="0" w:color="88888A" w:themeColor="text1" w:themeTint="99"/>
        </w:tcBorders>
      </w:tcPr>
    </w:tblStylePr>
    <w:tblStylePr w:type="lastRow">
      <w:rPr>
        <w:b/>
        <w:bCs/>
      </w:rPr>
      <w:tblPr/>
      <w:tcPr>
        <w:tcBorders>
          <w:top w:val="double" w:sz="2" w:space="0" w:color="88888A"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Dot pt Char,Numbered Para 1 Char,No Spacing1 Char,List Paragraph Char Char Char Char,Indicator Text Char,Bullet 1 Char,Bullet Points Char,F5 List Paragraph Char,Colorful List - Accent 11 Char,List Paragraph2 Char,Normal numbered Char"/>
    <w:link w:val="ListParagraph"/>
    <w:uiPriority w:val="34"/>
    <w:qFormat/>
    <w:locked/>
    <w:rsid w:val="008E4951"/>
    <w:rPr>
      <w:rFonts w:ascii="Calibri" w:hAnsi="Calibri" w:cs="Arial"/>
      <w:sz w:val="22"/>
      <w:szCs w:val="22"/>
    </w:rPr>
  </w:style>
  <w:style w:type="paragraph" w:customStyle="1" w:styleId="Default">
    <w:name w:val="Default"/>
    <w:rsid w:val="00C7080A"/>
    <w:pPr>
      <w:autoSpaceDE w:val="0"/>
      <w:autoSpaceDN w:val="0"/>
      <w:adjustRightInd w:val="0"/>
    </w:pPr>
    <w:rPr>
      <w:rFonts w:ascii="Arial" w:eastAsia="Calibri" w:hAnsi="Arial" w:cs="Arial"/>
      <w:color w:val="000000"/>
      <w:lang w:eastAsia="en-GB"/>
    </w:rPr>
  </w:style>
  <w:style w:type="numbering" w:customStyle="1" w:styleId="ListBullets">
    <w:name w:val="ListBullets"/>
    <w:uiPriority w:val="99"/>
    <w:rsid w:val="002C6D88"/>
    <w:pPr>
      <w:numPr>
        <w:numId w:val="16"/>
      </w:numPr>
    </w:pPr>
  </w:style>
  <w:style w:type="paragraph" w:styleId="ListBullet">
    <w:name w:val="List Bullet"/>
    <w:basedOn w:val="Normal"/>
    <w:qFormat/>
    <w:rsid w:val="002C6D88"/>
    <w:pPr>
      <w:spacing w:after="60" w:line="276" w:lineRule="atLeast"/>
      <w:ind w:left="1440" w:hanging="360"/>
    </w:pPr>
    <w:rPr>
      <w:rFonts w:ascii="Arial" w:eastAsia="Times New Roman" w:hAnsi="Arial" w:cs="Times New Roman"/>
      <w:szCs w:val="20"/>
    </w:rPr>
  </w:style>
  <w:style w:type="paragraph" w:styleId="ListBullet2">
    <w:name w:val="List Bullet 2"/>
    <w:basedOn w:val="Normal"/>
    <w:qFormat/>
    <w:rsid w:val="002C6D88"/>
    <w:pPr>
      <w:spacing w:after="60" w:line="276" w:lineRule="atLeast"/>
      <w:ind w:left="2160" w:hanging="360"/>
    </w:pPr>
    <w:rPr>
      <w:rFonts w:ascii="Arial" w:eastAsia="Times New Roman" w:hAnsi="Arial" w:cs="Times New Roman"/>
      <w:szCs w:val="20"/>
    </w:rPr>
  </w:style>
  <w:style w:type="paragraph" w:styleId="ListBullet3">
    <w:name w:val="List Bullet 3"/>
    <w:basedOn w:val="Normal"/>
    <w:qFormat/>
    <w:rsid w:val="002C6D88"/>
    <w:pPr>
      <w:spacing w:after="60" w:line="276" w:lineRule="atLeast"/>
      <w:ind w:left="2880" w:hanging="180"/>
    </w:pPr>
    <w:rPr>
      <w:rFonts w:ascii="Arial" w:eastAsia="Times New Roman" w:hAnsi="Arial" w:cs="Times New Roman"/>
      <w:szCs w:val="20"/>
    </w:rPr>
  </w:style>
  <w:style w:type="paragraph" w:styleId="ListBullet4">
    <w:name w:val="List Bullet 4"/>
    <w:basedOn w:val="Normal"/>
    <w:qFormat/>
    <w:rsid w:val="002C6D88"/>
    <w:pPr>
      <w:spacing w:after="60" w:line="276" w:lineRule="atLeast"/>
      <w:ind w:left="3600" w:hanging="360"/>
    </w:pPr>
    <w:rPr>
      <w:rFonts w:ascii="Arial" w:eastAsia="Times New Roman" w:hAnsi="Arial" w:cs="Times New Roman"/>
      <w:szCs w:val="20"/>
    </w:rPr>
  </w:style>
  <w:style w:type="paragraph" w:styleId="ListBullet5">
    <w:name w:val="List Bullet 5"/>
    <w:basedOn w:val="Normal"/>
    <w:qFormat/>
    <w:rsid w:val="002C6D88"/>
    <w:pPr>
      <w:spacing w:after="60" w:line="276" w:lineRule="atLeast"/>
      <w:ind w:left="4320" w:hanging="360"/>
    </w:pPr>
    <w:rPr>
      <w:rFonts w:ascii="Arial" w:eastAsia="Times New Roman" w:hAnsi="Arial" w:cs="Times New Roman"/>
      <w:szCs w:val="20"/>
    </w:rPr>
  </w:style>
  <w:style w:type="character" w:customStyle="1" w:styleId="cf01">
    <w:name w:val="cf01"/>
    <w:basedOn w:val="DefaultParagraphFont"/>
    <w:rsid w:val="00DA78D3"/>
    <w:rPr>
      <w:rFonts w:ascii="Segoe UI" w:hAnsi="Segoe UI" w:cs="Segoe UI" w:hint="default"/>
      <w:sz w:val="18"/>
      <w:szCs w:val="18"/>
    </w:rPr>
  </w:style>
  <w:style w:type="paragraph" w:customStyle="1" w:styleId="pf0">
    <w:name w:val="pf0"/>
    <w:basedOn w:val="Normal"/>
    <w:rsid w:val="00DA78D3"/>
    <w:pPr>
      <w:spacing w:before="100" w:beforeAutospacing="1" w:after="100" w:afterAutospacing="1"/>
    </w:pPr>
    <w:rPr>
      <w:rFonts w:ascii="Times New Roman" w:eastAsia="Times New Roman" w:hAnsi="Times New Roman" w:cs="Times New Roman"/>
      <w:sz w:val="24"/>
      <w:szCs w:val="24"/>
      <w:lang w:eastAsia="en-GB"/>
    </w:rPr>
  </w:style>
  <w:style w:type="paragraph" w:styleId="Revision">
    <w:name w:val="Revision"/>
    <w:hidden/>
    <w:uiPriority w:val="99"/>
    <w:semiHidden/>
    <w:rsid w:val="002C0C8A"/>
    <w:rPr>
      <w:rFonts w:ascii="Calibri" w:hAnsi="Calibri" w:cs="Arial"/>
      <w:sz w:val="22"/>
      <w:szCs w:val="22"/>
    </w:rPr>
  </w:style>
  <w:style w:type="paragraph" w:customStyle="1" w:styleId="BodyText1">
    <w:name w:val="Body Text1"/>
    <w:aliases w:val="OPM,OPM + 9 pt,Italic,OPM + 10 pt,Body text,OPM + Bold,OPM Char1 Char Char,OPMi,OPM + Bold + Bold,Italic + Bold + Bold,Italic + Bold,...,OPM Char1 Char,Body text Char Char + (Complex) 13.5 pt,Body text Char Char + B..."/>
    <w:basedOn w:val="Normal"/>
    <w:link w:val="BodytextChar"/>
    <w:qFormat/>
    <w:rsid w:val="00520DBB"/>
    <w:pPr>
      <w:spacing w:after="240"/>
      <w:jc w:val="both"/>
    </w:pPr>
    <w:rPr>
      <w:rFonts w:ascii="Arial" w:eastAsia="Times New Roman" w:hAnsi="Arial" w:cs="Times New Roman"/>
      <w:sz w:val="24"/>
      <w:szCs w:val="20"/>
      <w:lang w:val="x-none"/>
    </w:rPr>
  </w:style>
  <w:style w:type="character" w:customStyle="1" w:styleId="BodytextChar">
    <w:name w:val="Body text Char"/>
    <w:aliases w:val="OPM Char1,OPM Char,Body Text Char,OPM + Bold Char,OPM + Bold + Bold Char,Italic + Bold + Bold Char,Italic + Bold Char,... Char,OPM Char1 Char Char1,Body Text1 Char,OPM Char Char,Body text Char Char Char,Body Text Char2,bt Char,... Char Ch"/>
    <w:link w:val="BodyText1"/>
    <w:uiPriority w:val="1"/>
    <w:rsid w:val="00520DBB"/>
    <w:rPr>
      <w:rFonts w:ascii="Arial" w:eastAsia="Times New Roman" w:hAnsi="Arial" w:cs="Times New Roman"/>
      <w:szCs w:val="20"/>
      <w:lang w:val="x-none"/>
    </w:rPr>
  </w:style>
  <w:style w:type="paragraph" w:customStyle="1" w:styleId="ListBullet1">
    <w:name w:val="List Bullet1"/>
    <w:basedOn w:val="Normal"/>
    <w:link w:val="ListbulletChar"/>
    <w:rsid w:val="00520DBB"/>
    <w:pPr>
      <w:numPr>
        <w:numId w:val="66"/>
      </w:numPr>
      <w:spacing w:after="60"/>
      <w:jc w:val="both"/>
    </w:pPr>
    <w:rPr>
      <w:rFonts w:ascii="Arial" w:eastAsia="Times New Roman" w:hAnsi="Arial" w:cs="Times New Roman"/>
      <w:szCs w:val="20"/>
      <w:lang w:val="x-none"/>
    </w:rPr>
  </w:style>
  <w:style w:type="paragraph" w:customStyle="1" w:styleId="Listbulletfinal">
    <w:name w:val="List bullet final"/>
    <w:basedOn w:val="ListBullet1"/>
    <w:next w:val="BodyText1"/>
    <w:link w:val="ListbulletfinalChar"/>
    <w:rsid w:val="00520DBB"/>
    <w:pPr>
      <w:spacing w:after="240"/>
    </w:pPr>
  </w:style>
  <w:style w:type="character" w:customStyle="1" w:styleId="ListbulletChar">
    <w:name w:val="List bullet Char"/>
    <w:link w:val="ListBullet1"/>
    <w:rsid w:val="00520DBB"/>
    <w:rPr>
      <w:rFonts w:ascii="Arial" w:eastAsia="Times New Roman" w:hAnsi="Arial" w:cs="Times New Roman"/>
      <w:sz w:val="22"/>
      <w:szCs w:val="20"/>
      <w:lang w:val="x-none"/>
    </w:rPr>
  </w:style>
  <w:style w:type="character" w:customStyle="1" w:styleId="ListbulletfinalChar">
    <w:name w:val="List bullet final Char"/>
    <w:basedOn w:val="ListbulletChar"/>
    <w:link w:val="Listbulletfinal"/>
    <w:rsid w:val="00520DBB"/>
    <w:rPr>
      <w:rFonts w:ascii="Arial" w:eastAsia="Times New Roman" w:hAnsi="Arial" w:cs="Times New Roman"/>
      <w:sz w:val="22"/>
      <w:szCs w:val="20"/>
      <w:lang w:val="x-none"/>
    </w:rPr>
  </w:style>
  <w:style w:type="paragraph" w:customStyle="1" w:styleId="ListBullet11">
    <w:name w:val="List Bullet11"/>
    <w:basedOn w:val="Normal"/>
    <w:rsid w:val="00520DBB"/>
    <w:pPr>
      <w:tabs>
        <w:tab w:val="num" w:pos="714"/>
      </w:tabs>
      <w:spacing w:after="60"/>
      <w:ind w:left="714" w:hanging="357"/>
      <w:jc w:val="both"/>
    </w:pPr>
    <w:rPr>
      <w:rFonts w:ascii="Arial" w:eastAsia="Times New Roman" w:hAnsi="Arial" w:cs="Times New Roman"/>
      <w:szCs w:val="20"/>
    </w:rPr>
  </w:style>
  <w:style w:type="paragraph" w:customStyle="1" w:styleId="TableHead">
    <w:name w:val="Table Head"/>
    <w:basedOn w:val="Normal"/>
    <w:rsid w:val="00520DBB"/>
    <w:pPr>
      <w:spacing w:before="120" w:after="120"/>
      <w:ind w:left="74"/>
    </w:pPr>
    <w:rPr>
      <w:rFonts w:ascii="Arial" w:eastAsia="Times New Roman" w:hAnsi="Arial"/>
      <w:b/>
      <w:iCs/>
      <w:smallCaps/>
    </w:rPr>
  </w:style>
  <w:style w:type="paragraph" w:customStyle="1" w:styleId="FFNormal">
    <w:name w:val="FF Normal"/>
    <w:basedOn w:val="Normal"/>
    <w:link w:val="FFNormalChar"/>
    <w:qFormat/>
    <w:rsid w:val="00363F4C"/>
    <w:pPr>
      <w:spacing w:after="160" w:line="259" w:lineRule="auto"/>
    </w:pPr>
    <w:rPr>
      <w:rFonts w:eastAsia="Calibri" w:cs="Times New Roman"/>
    </w:rPr>
  </w:style>
  <w:style w:type="character" w:customStyle="1" w:styleId="FFNormalChar">
    <w:name w:val="FF Normal Char"/>
    <w:link w:val="FFNormal"/>
    <w:rsid w:val="00363F4C"/>
    <w:rPr>
      <w:rFonts w:ascii="Calibri" w:eastAsia="Calibri" w:hAnsi="Calibri" w:cs="Times New Roman"/>
      <w:sz w:val="22"/>
      <w:szCs w:val="22"/>
    </w:rPr>
  </w:style>
  <w:style w:type="table" w:styleId="ListTable3-Accent6">
    <w:name w:val="List Table 3 Accent 6"/>
    <w:basedOn w:val="TableNormal"/>
    <w:uiPriority w:val="48"/>
    <w:rsid w:val="00520DBB"/>
    <w:rPr>
      <w:sz w:val="22"/>
      <w:szCs w:val="22"/>
    </w:rPr>
    <w:tblPr>
      <w:tblStyleRowBandSize w:val="1"/>
      <w:tblStyleColBandSize w:val="1"/>
      <w:tblBorders>
        <w:top w:val="single" w:sz="4" w:space="0" w:color="8CCA45" w:themeColor="accent6"/>
        <w:left w:val="single" w:sz="4" w:space="0" w:color="8CCA45" w:themeColor="accent6"/>
        <w:bottom w:val="single" w:sz="4" w:space="0" w:color="8CCA45" w:themeColor="accent6"/>
        <w:right w:val="single" w:sz="4" w:space="0" w:color="8CCA45" w:themeColor="accent6"/>
      </w:tblBorders>
    </w:tblPr>
    <w:tblStylePr w:type="firstRow">
      <w:rPr>
        <w:b/>
        <w:bCs/>
        <w:color w:val="FFFFFF" w:themeColor="background1"/>
      </w:rPr>
      <w:tblPr/>
      <w:tcPr>
        <w:shd w:val="clear" w:color="auto" w:fill="8CCA45" w:themeFill="accent6"/>
      </w:tcPr>
    </w:tblStylePr>
    <w:tblStylePr w:type="lastRow">
      <w:rPr>
        <w:b/>
        <w:bCs/>
      </w:rPr>
      <w:tblPr/>
      <w:tcPr>
        <w:tcBorders>
          <w:top w:val="double" w:sz="4" w:space="0" w:color="8CCA45"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CCA45" w:themeColor="accent6"/>
          <w:right w:val="single" w:sz="4" w:space="0" w:color="8CCA45" w:themeColor="accent6"/>
        </w:tcBorders>
      </w:tcPr>
    </w:tblStylePr>
    <w:tblStylePr w:type="band1Horz">
      <w:tblPr/>
      <w:tcPr>
        <w:tcBorders>
          <w:top w:val="single" w:sz="4" w:space="0" w:color="8CCA45" w:themeColor="accent6"/>
          <w:bottom w:val="single" w:sz="4" w:space="0" w:color="8CCA45"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CCA45" w:themeColor="accent6"/>
          <w:left w:val="nil"/>
        </w:tcBorders>
      </w:tcPr>
    </w:tblStylePr>
    <w:tblStylePr w:type="swCell">
      <w:tblPr/>
      <w:tcPr>
        <w:tcBorders>
          <w:top w:val="double" w:sz="4" w:space="0" w:color="8CCA45" w:themeColor="accent6"/>
          <w:right w:val="nil"/>
        </w:tcBorders>
      </w:tcPr>
    </w:tblStylePr>
  </w:style>
  <w:style w:type="paragraph" w:styleId="BodyText">
    <w:name w:val="Body Text"/>
    <w:basedOn w:val="Normal"/>
    <w:uiPriority w:val="1"/>
    <w:qFormat/>
    <w:rsid w:val="00D86D76"/>
    <w:pPr>
      <w:widowControl w:val="0"/>
      <w:autoSpaceDE w:val="0"/>
      <w:autoSpaceDN w:val="0"/>
    </w:pPr>
    <w:rPr>
      <w:rFonts w:eastAsia="Calibri" w:cs="Calibri"/>
      <w:lang w:val="en-US"/>
    </w:rPr>
  </w:style>
  <w:style w:type="character" w:customStyle="1" w:styleId="BodyTextChar1">
    <w:name w:val="Body Text Char1"/>
    <w:basedOn w:val="DefaultParagraphFont"/>
    <w:uiPriority w:val="99"/>
    <w:rsid w:val="00D86D76"/>
    <w:rPr>
      <w:rFonts w:ascii="Calibri" w:hAnsi="Calibri" w:cs="Arial"/>
      <w:sz w:val="22"/>
      <w:szCs w:val="22"/>
    </w:rPr>
  </w:style>
  <w:style w:type="paragraph" w:customStyle="1" w:styleId="BVIfnrCharCar1CarChar">
    <w:name w:val="BVI fnr Char Car1 Car Char"/>
    <w:aliases w:val="BVI fnr Char Car Car Char,ftref Char Car Car Char,BVI fnr Char Car Char Char Car Car Char,ftref Char Car Char Char Car Car Char,BVI fnr Char, BVI fnr Char Car Char Char Car Car Char, BVI fnr Char"/>
    <w:basedOn w:val="Normal"/>
    <w:next w:val="Normal"/>
    <w:link w:val="FootnoteReference"/>
    <w:uiPriority w:val="99"/>
    <w:rsid w:val="00D970EC"/>
    <w:pPr>
      <w:spacing w:after="160" w:line="240" w:lineRule="exact"/>
      <w:jc w:val="both"/>
    </w:pPr>
    <w:rPr>
      <w:rFonts w:asciiTheme="minorHAnsi" w:hAnsiTheme="minorHAnsi"/>
      <w:sz w:val="20"/>
      <w:szCs w:val="20"/>
      <w:vertAlign w:val="superscript"/>
    </w:rPr>
  </w:style>
  <w:style w:type="character" w:customStyle="1" w:styleId="fontstyle01">
    <w:name w:val="fontstyle01"/>
    <w:rsid w:val="00D970EC"/>
    <w:rPr>
      <w:rFonts w:ascii="Arial" w:hAnsi="Arial" w:cs="Arial" w:hint="default"/>
      <w:b w:val="0"/>
      <w:bCs w:val="0"/>
      <w:i w:val="0"/>
      <w:iCs w:val="0"/>
      <w:color w:val="000000"/>
      <w:sz w:val="24"/>
      <w:szCs w:val="24"/>
    </w:rPr>
  </w:style>
  <w:style w:type="paragraph" w:customStyle="1" w:styleId="Itadsectionheading">
    <w:name w:val="Itad section heading"/>
    <w:basedOn w:val="Heading2"/>
    <w:link w:val="ItadsectionheadingChar"/>
    <w:qFormat/>
    <w:rsid w:val="00D970EC"/>
    <w:pPr>
      <w:keepNext/>
      <w:keepLines/>
      <w:numPr>
        <w:ilvl w:val="0"/>
        <w:numId w:val="0"/>
      </w:numPr>
      <w:tabs>
        <w:tab w:val="clear" w:pos="680"/>
      </w:tabs>
      <w:spacing w:before="0" w:after="160"/>
      <w:ind w:left="357" w:hanging="357"/>
    </w:pPr>
    <w:rPr>
      <w:rFonts w:eastAsia="Times New Roman" w:cs="Times New Roman"/>
      <w:b/>
      <w:bCs/>
      <w:color w:val="73B632"/>
      <w:sz w:val="28"/>
      <w:szCs w:val="28"/>
      <w:lang w:val="en-US" w:eastAsia="en-GB"/>
    </w:rPr>
  </w:style>
  <w:style w:type="character" w:customStyle="1" w:styleId="ItadsectionheadingChar">
    <w:name w:val="Itad section heading Char"/>
    <w:link w:val="Itadsectionheading"/>
    <w:rsid w:val="00D970EC"/>
    <w:rPr>
      <w:rFonts w:ascii="Calibri" w:eastAsia="Times New Roman" w:hAnsi="Calibri" w:cs="Times New Roman"/>
      <w:b/>
      <w:bCs/>
      <w:color w:val="73B632"/>
      <w:sz w:val="28"/>
      <w:szCs w:val="28"/>
      <w:lang w:val="en-US" w:eastAsia="en-GB"/>
    </w:rPr>
  </w:style>
  <w:style w:type="table" w:customStyle="1" w:styleId="TableGrid1">
    <w:name w:val="Table Grid1"/>
    <w:basedOn w:val="TableNormal"/>
    <w:next w:val="TableGrid"/>
    <w:uiPriority w:val="39"/>
    <w:rsid w:val="00D970EC"/>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xtext">
    <w:name w:val="Box text"/>
    <w:basedOn w:val="Normal"/>
    <w:rsid w:val="00D970EC"/>
    <w:pPr>
      <w:keepNext/>
      <w:spacing w:after="200"/>
      <w:ind w:left="170" w:right="170"/>
      <w:jc w:val="both"/>
    </w:pPr>
    <w:rPr>
      <w:rFonts w:ascii="Arial" w:eastAsia="Times New Roman" w:hAnsi="Arial" w:cs="Times New Roman"/>
      <w:sz w:val="20"/>
      <w:szCs w:val="20"/>
    </w:rPr>
  </w:style>
  <w:style w:type="character" w:customStyle="1" w:styleId="fontstyle11">
    <w:name w:val="fontstyle11"/>
    <w:basedOn w:val="DefaultParagraphFont"/>
    <w:rsid w:val="00D970EC"/>
    <w:rPr>
      <w:rFonts w:ascii="Cambria" w:hAnsi="Cambria" w:hint="default"/>
      <w:b w:val="0"/>
      <w:bCs w:val="0"/>
      <w:i w:val="0"/>
      <w:iCs w:val="0"/>
      <w:color w:val="000000"/>
      <w:sz w:val="40"/>
      <w:szCs w:val="40"/>
    </w:rPr>
  </w:style>
  <w:style w:type="character" w:customStyle="1" w:styleId="fontstyle31">
    <w:name w:val="fontstyle31"/>
    <w:basedOn w:val="DefaultParagraphFont"/>
    <w:rsid w:val="00D970EC"/>
    <w:rPr>
      <w:rFonts w:ascii="Calibri" w:hAnsi="Calibri" w:hint="default"/>
      <w:b w:val="0"/>
      <w:bCs w:val="0"/>
      <w:i w:val="0"/>
      <w:iCs w:val="0"/>
      <w:color w:val="000000"/>
      <w:sz w:val="22"/>
      <w:szCs w:val="22"/>
    </w:rPr>
  </w:style>
  <w:style w:type="character" w:customStyle="1" w:styleId="contextualspellingandgrammarerror">
    <w:name w:val="contextualspellingandgrammarerror"/>
    <w:basedOn w:val="DefaultParagraphFont"/>
    <w:rsid w:val="00D970EC"/>
  </w:style>
  <w:style w:type="paragraph" w:customStyle="1" w:styleId="00herabodytext">
    <w:name w:val="00 hera body text"/>
    <w:basedOn w:val="Normal"/>
    <w:link w:val="00herabodytextChar"/>
    <w:qFormat/>
    <w:rsid w:val="00D970EC"/>
    <w:pPr>
      <w:spacing w:after="200"/>
      <w:ind w:left="113"/>
    </w:pPr>
    <w:rPr>
      <w:rFonts w:asciiTheme="majorHAnsi" w:eastAsia="Times New Roman" w:hAnsiTheme="majorHAnsi" w:cs="Times New Roman"/>
      <w:color w:val="000000"/>
      <w:szCs w:val="24"/>
    </w:rPr>
  </w:style>
  <w:style w:type="character" w:customStyle="1" w:styleId="00herabodytextChar">
    <w:name w:val="00 hera body text Char"/>
    <w:basedOn w:val="DefaultParagraphFont"/>
    <w:link w:val="00herabodytext"/>
    <w:rsid w:val="00D970EC"/>
    <w:rPr>
      <w:rFonts w:asciiTheme="majorHAnsi" w:eastAsia="Times New Roman" w:hAnsiTheme="majorHAnsi" w:cs="Times New Roman"/>
      <w:color w:val="000000"/>
      <w:sz w:val="22"/>
    </w:rPr>
  </w:style>
  <w:style w:type="table" w:styleId="GridTable4-Accent6">
    <w:name w:val="Grid Table 4 Accent 6"/>
    <w:basedOn w:val="TableNormal"/>
    <w:uiPriority w:val="49"/>
    <w:rsid w:val="006F1A7E"/>
    <w:tblPr>
      <w:tblStyleRowBandSize w:val="1"/>
      <w:tblStyleColBandSize w:val="1"/>
      <w:tblBorders>
        <w:top w:val="single" w:sz="4" w:space="0" w:color="B9DF8F" w:themeColor="accent6" w:themeTint="99"/>
        <w:left w:val="single" w:sz="4" w:space="0" w:color="B9DF8F" w:themeColor="accent6" w:themeTint="99"/>
        <w:bottom w:val="single" w:sz="4" w:space="0" w:color="B9DF8F" w:themeColor="accent6" w:themeTint="99"/>
        <w:right w:val="single" w:sz="4" w:space="0" w:color="B9DF8F" w:themeColor="accent6" w:themeTint="99"/>
        <w:insideH w:val="single" w:sz="4" w:space="0" w:color="B9DF8F" w:themeColor="accent6" w:themeTint="99"/>
        <w:insideV w:val="single" w:sz="4" w:space="0" w:color="B9DF8F" w:themeColor="accent6" w:themeTint="99"/>
      </w:tblBorders>
    </w:tblPr>
    <w:tblStylePr w:type="firstRow">
      <w:rPr>
        <w:b/>
        <w:bCs/>
        <w:color w:val="FFFFFF" w:themeColor="background1"/>
      </w:rPr>
      <w:tblPr/>
      <w:tcPr>
        <w:tcBorders>
          <w:top w:val="single" w:sz="4" w:space="0" w:color="8CCA45" w:themeColor="accent6"/>
          <w:left w:val="single" w:sz="4" w:space="0" w:color="8CCA45" w:themeColor="accent6"/>
          <w:bottom w:val="single" w:sz="4" w:space="0" w:color="8CCA45" w:themeColor="accent6"/>
          <w:right w:val="single" w:sz="4" w:space="0" w:color="8CCA45" w:themeColor="accent6"/>
          <w:insideH w:val="nil"/>
          <w:insideV w:val="nil"/>
        </w:tcBorders>
        <w:shd w:val="clear" w:color="auto" w:fill="8CCA45" w:themeFill="accent6"/>
      </w:tcPr>
    </w:tblStylePr>
    <w:tblStylePr w:type="lastRow">
      <w:rPr>
        <w:b/>
        <w:bCs/>
      </w:rPr>
      <w:tblPr/>
      <w:tcPr>
        <w:tcBorders>
          <w:top w:val="double" w:sz="4" w:space="0" w:color="8CCA45" w:themeColor="accent6"/>
        </w:tcBorders>
      </w:tcPr>
    </w:tblStylePr>
    <w:tblStylePr w:type="firstCol">
      <w:rPr>
        <w:b/>
        <w:bCs/>
      </w:rPr>
    </w:tblStylePr>
    <w:tblStylePr w:type="lastCol">
      <w:rPr>
        <w:b/>
        <w:bCs/>
      </w:rPr>
    </w:tblStylePr>
    <w:tblStylePr w:type="band1Vert">
      <w:tblPr/>
      <w:tcPr>
        <w:shd w:val="clear" w:color="auto" w:fill="E7F4D9" w:themeFill="accent6" w:themeFillTint="33"/>
      </w:tcPr>
    </w:tblStylePr>
    <w:tblStylePr w:type="band1Horz">
      <w:tblPr/>
      <w:tcPr>
        <w:shd w:val="clear" w:color="auto" w:fill="E7F4D9" w:themeFill="accent6" w:themeFillTint="33"/>
      </w:tcPr>
    </w:tblStylePr>
  </w:style>
  <w:style w:type="character" w:customStyle="1" w:styleId="cf21">
    <w:name w:val="cf21"/>
    <w:basedOn w:val="DefaultParagraphFont"/>
    <w:rsid w:val="00751DD9"/>
    <w:rPr>
      <w:rFonts w:ascii="Segoe UI" w:hAnsi="Segoe UI" w:cs="Segoe UI" w:hint="default"/>
      <w:sz w:val="18"/>
      <w:szCs w:val="18"/>
      <w:shd w:val="clear" w:color="auto" w:fill="FFFF00"/>
    </w:rPr>
  </w:style>
  <w:style w:type="character" w:customStyle="1" w:styleId="cf11">
    <w:name w:val="cf11"/>
    <w:basedOn w:val="DefaultParagraphFont"/>
    <w:rsid w:val="00751DD9"/>
    <w:rPr>
      <w:rFonts w:ascii="Segoe UI" w:hAnsi="Segoe UI" w:cs="Segoe UI" w:hint="default"/>
      <w:sz w:val="18"/>
      <w:szCs w:val="18"/>
      <w:shd w:val="clear" w:color="auto" w:fill="FFFF00"/>
    </w:rPr>
  </w:style>
  <w:style w:type="character" w:customStyle="1" w:styleId="scxw56342844">
    <w:name w:val="scxw56342844"/>
    <w:basedOn w:val="DefaultParagraphFont"/>
    <w:rsid w:val="00751DD9"/>
  </w:style>
  <w:style w:type="character" w:customStyle="1" w:styleId="font211">
    <w:name w:val="font211"/>
    <w:basedOn w:val="DefaultParagraphFont"/>
    <w:rsid w:val="00751DD9"/>
    <w:rPr>
      <w:rFonts w:ascii="Calibri" w:hAnsi="Calibri" w:cs="Calibri" w:hint="default"/>
      <w:b/>
      <w:bCs/>
      <w:i w:val="0"/>
      <w:iCs w:val="0"/>
      <w:strike w:val="0"/>
      <w:dstrike w:val="0"/>
      <w:color w:val="000000"/>
      <w:sz w:val="22"/>
      <w:szCs w:val="22"/>
      <w:u w:val="none"/>
      <w:effect w:val="none"/>
    </w:rPr>
  </w:style>
  <w:style w:type="character" w:customStyle="1" w:styleId="font01">
    <w:name w:val="font01"/>
    <w:basedOn w:val="DefaultParagraphFont"/>
    <w:rsid w:val="00751DD9"/>
    <w:rPr>
      <w:rFonts w:ascii="Calibri" w:hAnsi="Calibri" w:cs="Calibri" w:hint="default"/>
      <w:b w:val="0"/>
      <w:bCs w:val="0"/>
      <w:i w:val="0"/>
      <w:iCs w:val="0"/>
      <w:strike w:val="0"/>
      <w:dstrike w:val="0"/>
      <w:color w:val="000000"/>
      <w:sz w:val="22"/>
      <w:szCs w:val="22"/>
      <w:u w:val="none"/>
      <w:effect w:val="none"/>
    </w:rPr>
  </w:style>
  <w:style w:type="character" w:customStyle="1" w:styleId="font231">
    <w:name w:val="font231"/>
    <w:basedOn w:val="DefaultParagraphFont"/>
    <w:rsid w:val="00751DD9"/>
    <w:rPr>
      <w:rFonts w:ascii="Times New Roman" w:hAnsi="Times New Roman" w:cs="Times New Roman" w:hint="default"/>
      <w:b/>
      <w:bCs/>
      <w:i w:val="0"/>
      <w:iCs w:val="0"/>
      <w:color w:val="008080"/>
      <w:sz w:val="14"/>
      <w:szCs w:val="14"/>
      <w:u w:val="single"/>
    </w:rPr>
  </w:style>
  <w:style w:type="character" w:customStyle="1" w:styleId="font221">
    <w:name w:val="font221"/>
    <w:basedOn w:val="DefaultParagraphFont"/>
    <w:rsid w:val="00751DD9"/>
    <w:rPr>
      <w:rFonts w:ascii="Calibri" w:hAnsi="Calibri" w:cs="Calibri" w:hint="default"/>
      <w:b/>
      <w:bCs/>
      <w:i w:val="0"/>
      <w:iCs w:val="0"/>
      <w:color w:val="008080"/>
      <w:sz w:val="22"/>
      <w:szCs w:val="22"/>
      <w:u w:val="single"/>
    </w:rPr>
  </w:style>
  <w:style w:type="character" w:customStyle="1" w:styleId="font241">
    <w:name w:val="font241"/>
    <w:basedOn w:val="DefaultParagraphFont"/>
    <w:rsid w:val="00751DD9"/>
    <w:rPr>
      <w:rFonts w:ascii="Calibri" w:hAnsi="Calibri" w:cs="Calibri" w:hint="default"/>
      <w:b/>
      <w:bCs/>
      <w:i w:val="0"/>
      <w:iCs w:val="0"/>
      <w:color w:val="008080"/>
      <w:sz w:val="22"/>
      <w:szCs w:val="22"/>
      <w:u w:val="single"/>
    </w:rPr>
  </w:style>
  <w:style w:type="character" w:customStyle="1" w:styleId="font261">
    <w:name w:val="font261"/>
    <w:basedOn w:val="DefaultParagraphFont"/>
    <w:rsid w:val="00751DD9"/>
    <w:rPr>
      <w:rFonts w:ascii="Calibri" w:hAnsi="Calibri" w:cs="Calibri" w:hint="default"/>
      <w:b/>
      <w:bCs/>
      <w:i w:val="0"/>
      <w:iCs w:val="0"/>
      <w:strike w:val="0"/>
      <w:dstrike w:val="0"/>
      <w:color w:val="FF0000"/>
      <w:sz w:val="22"/>
      <w:szCs w:val="22"/>
      <w:u w:val="none"/>
      <w:effect w:val="none"/>
    </w:rPr>
  </w:style>
  <w:style w:type="paragraph" w:styleId="TableofFigures">
    <w:name w:val="table of figures"/>
    <w:basedOn w:val="Normal"/>
    <w:next w:val="Normal"/>
    <w:uiPriority w:val="99"/>
    <w:unhideWhenUsed/>
    <w:rsid w:val="00857A7F"/>
  </w:style>
  <w:style w:type="paragraph" w:styleId="Bibliography">
    <w:name w:val="Bibliography"/>
    <w:basedOn w:val="Normal"/>
    <w:next w:val="Normal"/>
    <w:uiPriority w:val="37"/>
    <w:unhideWhenUsed/>
    <w:rsid w:val="005F3C9D"/>
  </w:style>
  <w:style w:type="character" w:customStyle="1" w:styleId="apple-converted-space">
    <w:name w:val="apple-converted-space"/>
    <w:basedOn w:val="DefaultParagraphFont"/>
    <w:uiPriority w:val="1"/>
    <w:rsid w:val="65D9A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24212">
      <w:bodyDiv w:val="1"/>
      <w:marLeft w:val="0"/>
      <w:marRight w:val="0"/>
      <w:marTop w:val="0"/>
      <w:marBottom w:val="0"/>
      <w:divBdr>
        <w:top w:val="none" w:sz="0" w:space="0" w:color="auto"/>
        <w:left w:val="none" w:sz="0" w:space="0" w:color="auto"/>
        <w:bottom w:val="none" w:sz="0" w:space="0" w:color="auto"/>
        <w:right w:val="none" w:sz="0" w:space="0" w:color="auto"/>
      </w:divBdr>
    </w:div>
    <w:div w:id="5329569">
      <w:bodyDiv w:val="1"/>
      <w:marLeft w:val="0"/>
      <w:marRight w:val="0"/>
      <w:marTop w:val="0"/>
      <w:marBottom w:val="0"/>
      <w:divBdr>
        <w:top w:val="none" w:sz="0" w:space="0" w:color="auto"/>
        <w:left w:val="none" w:sz="0" w:space="0" w:color="auto"/>
        <w:bottom w:val="none" w:sz="0" w:space="0" w:color="auto"/>
        <w:right w:val="none" w:sz="0" w:space="0" w:color="auto"/>
      </w:divBdr>
    </w:div>
    <w:div w:id="7948823">
      <w:bodyDiv w:val="1"/>
      <w:marLeft w:val="0"/>
      <w:marRight w:val="0"/>
      <w:marTop w:val="0"/>
      <w:marBottom w:val="0"/>
      <w:divBdr>
        <w:top w:val="none" w:sz="0" w:space="0" w:color="auto"/>
        <w:left w:val="none" w:sz="0" w:space="0" w:color="auto"/>
        <w:bottom w:val="none" w:sz="0" w:space="0" w:color="auto"/>
        <w:right w:val="none" w:sz="0" w:space="0" w:color="auto"/>
      </w:divBdr>
    </w:div>
    <w:div w:id="9454409">
      <w:bodyDiv w:val="1"/>
      <w:marLeft w:val="0"/>
      <w:marRight w:val="0"/>
      <w:marTop w:val="0"/>
      <w:marBottom w:val="0"/>
      <w:divBdr>
        <w:top w:val="none" w:sz="0" w:space="0" w:color="auto"/>
        <w:left w:val="none" w:sz="0" w:space="0" w:color="auto"/>
        <w:bottom w:val="none" w:sz="0" w:space="0" w:color="auto"/>
        <w:right w:val="none" w:sz="0" w:space="0" w:color="auto"/>
      </w:divBdr>
    </w:div>
    <w:div w:id="11760770">
      <w:bodyDiv w:val="1"/>
      <w:marLeft w:val="0"/>
      <w:marRight w:val="0"/>
      <w:marTop w:val="0"/>
      <w:marBottom w:val="0"/>
      <w:divBdr>
        <w:top w:val="none" w:sz="0" w:space="0" w:color="auto"/>
        <w:left w:val="none" w:sz="0" w:space="0" w:color="auto"/>
        <w:bottom w:val="none" w:sz="0" w:space="0" w:color="auto"/>
        <w:right w:val="none" w:sz="0" w:space="0" w:color="auto"/>
      </w:divBdr>
    </w:div>
    <w:div w:id="12266725">
      <w:bodyDiv w:val="1"/>
      <w:marLeft w:val="0"/>
      <w:marRight w:val="0"/>
      <w:marTop w:val="0"/>
      <w:marBottom w:val="0"/>
      <w:divBdr>
        <w:top w:val="none" w:sz="0" w:space="0" w:color="auto"/>
        <w:left w:val="none" w:sz="0" w:space="0" w:color="auto"/>
        <w:bottom w:val="none" w:sz="0" w:space="0" w:color="auto"/>
        <w:right w:val="none" w:sz="0" w:space="0" w:color="auto"/>
      </w:divBdr>
    </w:div>
    <w:div w:id="14121053">
      <w:bodyDiv w:val="1"/>
      <w:marLeft w:val="0"/>
      <w:marRight w:val="0"/>
      <w:marTop w:val="0"/>
      <w:marBottom w:val="0"/>
      <w:divBdr>
        <w:top w:val="none" w:sz="0" w:space="0" w:color="auto"/>
        <w:left w:val="none" w:sz="0" w:space="0" w:color="auto"/>
        <w:bottom w:val="none" w:sz="0" w:space="0" w:color="auto"/>
        <w:right w:val="none" w:sz="0" w:space="0" w:color="auto"/>
      </w:divBdr>
    </w:div>
    <w:div w:id="16277819">
      <w:bodyDiv w:val="1"/>
      <w:marLeft w:val="0"/>
      <w:marRight w:val="0"/>
      <w:marTop w:val="0"/>
      <w:marBottom w:val="0"/>
      <w:divBdr>
        <w:top w:val="none" w:sz="0" w:space="0" w:color="auto"/>
        <w:left w:val="none" w:sz="0" w:space="0" w:color="auto"/>
        <w:bottom w:val="none" w:sz="0" w:space="0" w:color="auto"/>
        <w:right w:val="none" w:sz="0" w:space="0" w:color="auto"/>
      </w:divBdr>
    </w:div>
    <w:div w:id="24252042">
      <w:bodyDiv w:val="1"/>
      <w:marLeft w:val="0"/>
      <w:marRight w:val="0"/>
      <w:marTop w:val="0"/>
      <w:marBottom w:val="0"/>
      <w:divBdr>
        <w:top w:val="none" w:sz="0" w:space="0" w:color="auto"/>
        <w:left w:val="none" w:sz="0" w:space="0" w:color="auto"/>
        <w:bottom w:val="none" w:sz="0" w:space="0" w:color="auto"/>
        <w:right w:val="none" w:sz="0" w:space="0" w:color="auto"/>
      </w:divBdr>
    </w:div>
    <w:div w:id="27799829">
      <w:bodyDiv w:val="1"/>
      <w:marLeft w:val="0"/>
      <w:marRight w:val="0"/>
      <w:marTop w:val="0"/>
      <w:marBottom w:val="0"/>
      <w:divBdr>
        <w:top w:val="none" w:sz="0" w:space="0" w:color="auto"/>
        <w:left w:val="none" w:sz="0" w:space="0" w:color="auto"/>
        <w:bottom w:val="none" w:sz="0" w:space="0" w:color="auto"/>
        <w:right w:val="none" w:sz="0" w:space="0" w:color="auto"/>
      </w:divBdr>
    </w:div>
    <w:div w:id="29384555">
      <w:bodyDiv w:val="1"/>
      <w:marLeft w:val="0"/>
      <w:marRight w:val="0"/>
      <w:marTop w:val="0"/>
      <w:marBottom w:val="0"/>
      <w:divBdr>
        <w:top w:val="none" w:sz="0" w:space="0" w:color="auto"/>
        <w:left w:val="none" w:sz="0" w:space="0" w:color="auto"/>
        <w:bottom w:val="none" w:sz="0" w:space="0" w:color="auto"/>
        <w:right w:val="none" w:sz="0" w:space="0" w:color="auto"/>
      </w:divBdr>
    </w:div>
    <w:div w:id="37824341">
      <w:bodyDiv w:val="1"/>
      <w:marLeft w:val="0"/>
      <w:marRight w:val="0"/>
      <w:marTop w:val="0"/>
      <w:marBottom w:val="0"/>
      <w:divBdr>
        <w:top w:val="none" w:sz="0" w:space="0" w:color="auto"/>
        <w:left w:val="none" w:sz="0" w:space="0" w:color="auto"/>
        <w:bottom w:val="none" w:sz="0" w:space="0" w:color="auto"/>
        <w:right w:val="none" w:sz="0" w:space="0" w:color="auto"/>
      </w:divBdr>
    </w:div>
    <w:div w:id="38209969">
      <w:bodyDiv w:val="1"/>
      <w:marLeft w:val="0"/>
      <w:marRight w:val="0"/>
      <w:marTop w:val="0"/>
      <w:marBottom w:val="0"/>
      <w:divBdr>
        <w:top w:val="none" w:sz="0" w:space="0" w:color="auto"/>
        <w:left w:val="none" w:sz="0" w:space="0" w:color="auto"/>
        <w:bottom w:val="none" w:sz="0" w:space="0" w:color="auto"/>
        <w:right w:val="none" w:sz="0" w:space="0" w:color="auto"/>
      </w:divBdr>
    </w:div>
    <w:div w:id="40786888">
      <w:bodyDiv w:val="1"/>
      <w:marLeft w:val="0"/>
      <w:marRight w:val="0"/>
      <w:marTop w:val="0"/>
      <w:marBottom w:val="0"/>
      <w:divBdr>
        <w:top w:val="none" w:sz="0" w:space="0" w:color="auto"/>
        <w:left w:val="none" w:sz="0" w:space="0" w:color="auto"/>
        <w:bottom w:val="none" w:sz="0" w:space="0" w:color="auto"/>
        <w:right w:val="none" w:sz="0" w:space="0" w:color="auto"/>
      </w:divBdr>
    </w:div>
    <w:div w:id="45960804">
      <w:bodyDiv w:val="1"/>
      <w:marLeft w:val="0"/>
      <w:marRight w:val="0"/>
      <w:marTop w:val="0"/>
      <w:marBottom w:val="0"/>
      <w:divBdr>
        <w:top w:val="none" w:sz="0" w:space="0" w:color="auto"/>
        <w:left w:val="none" w:sz="0" w:space="0" w:color="auto"/>
        <w:bottom w:val="none" w:sz="0" w:space="0" w:color="auto"/>
        <w:right w:val="none" w:sz="0" w:space="0" w:color="auto"/>
      </w:divBdr>
    </w:div>
    <w:div w:id="50887213">
      <w:bodyDiv w:val="1"/>
      <w:marLeft w:val="0"/>
      <w:marRight w:val="0"/>
      <w:marTop w:val="0"/>
      <w:marBottom w:val="0"/>
      <w:divBdr>
        <w:top w:val="none" w:sz="0" w:space="0" w:color="auto"/>
        <w:left w:val="none" w:sz="0" w:space="0" w:color="auto"/>
        <w:bottom w:val="none" w:sz="0" w:space="0" w:color="auto"/>
        <w:right w:val="none" w:sz="0" w:space="0" w:color="auto"/>
      </w:divBdr>
    </w:div>
    <w:div w:id="54277425">
      <w:bodyDiv w:val="1"/>
      <w:marLeft w:val="0"/>
      <w:marRight w:val="0"/>
      <w:marTop w:val="0"/>
      <w:marBottom w:val="0"/>
      <w:divBdr>
        <w:top w:val="none" w:sz="0" w:space="0" w:color="auto"/>
        <w:left w:val="none" w:sz="0" w:space="0" w:color="auto"/>
        <w:bottom w:val="none" w:sz="0" w:space="0" w:color="auto"/>
        <w:right w:val="none" w:sz="0" w:space="0" w:color="auto"/>
      </w:divBdr>
    </w:div>
    <w:div w:id="57173037">
      <w:bodyDiv w:val="1"/>
      <w:marLeft w:val="0"/>
      <w:marRight w:val="0"/>
      <w:marTop w:val="0"/>
      <w:marBottom w:val="0"/>
      <w:divBdr>
        <w:top w:val="none" w:sz="0" w:space="0" w:color="auto"/>
        <w:left w:val="none" w:sz="0" w:space="0" w:color="auto"/>
        <w:bottom w:val="none" w:sz="0" w:space="0" w:color="auto"/>
        <w:right w:val="none" w:sz="0" w:space="0" w:color="auto"/>
      </w:divBdr>
    </w:div>
    <w:div w:id="57822282">
      <w:bodyDiv w:val="1"/>
      <w:marLeft w:val="0"/>
      <w:marRight w:val="0"/>
      <w:marTop w:val="0"/>
      <w:marBottom w:val="0"/>
      <w:divBdr>
        <w:top w:val="none" w:sz="0" w:space="0" w:color="auto"/>
        <w:left w:val="none" w:sz="0" w:space="0" w:color="auto"/>
        <w:bottom w:val="none" w:sz="0" w:space="0" w:color="auto"/>
        <w:right w:val="none" w:sz="0" w:space="0" w:color="auto"/>
      </w:divBdr>
    </w:div>
    <w:div w:id="68814178">
      <w:bodyDiv w:val="1"/>
      <w:marLeft w:val="0"/>
      <w:marRight w:val="0"/>
      <w:marTop w:val="0"/>
      <w:marBottom w:val="0"/>
      <w:divBdr>
        <w:top w:val="none" w:sz="0" w:space="0" w:color="auto"/>
        <w:left w:val="none" w:sz="0" w:space="0" w:color="auto"/>
        <w:bottom w:val="none" w:sz="0" w:space="0" w:color="auto"/>
        <w:right w:val="none" w:sz="0" w:space="0" w:color="auto"/>
      </w:divBdr>
    </w:div>
    <w:div w:id="72901823">
      <w:bodyDiv w:val="1"/>
      <w:marLeft w:val="0"/>
      <w:marRight w:val="0"/>
      <w:marTop w:val="0"/>
      <w:marBottom w:val="0"/>
      <w:divBdr>
        <w:top w:val="none" w:sz="0" w:space="0" w:color="auto"/>
        <w:left w:val="none" w:sz="0" w:space="0" w:color="auto"/>
        <w:bottom w:val="none" w:sz="0" w:space="0" w:color="auto"/>
        <w:right w:val="none" w:sz="0" w:space="0" w:color="auto"/>
      </w:divBdr>
    </w:div>
    <w:div w:id="73280579">
      <w:bodyDiv w:val="1"/>
      <w:marLeft w:val="0"/>
      <w:marRight w:val="0"/>
      <w:marTop w:val="0"/>
      <w:marBottom w:val="0"/>
      <w:divBdr>
        <w:top w:val="none" w:sz="0" w:space="0" w:color="auto"/>
        <w:left w:val="none" w:sz="0" w:space="0" w:color="auto"/>
        <w:bottom w:val="none" w:sz="0" w:space="0" w:color="auto"/>
        <w:right w:val="none" w:sz="0" w:space="0" w:color="auto"/>
      </w:divBdr>
    </w:div>
    <w:div w:id="79446726">
      <w:bodyDiv w:val="1"/>
      <w:marLeft w:val="0"/>
      <w:marRight w:val="0"/>
      <w:marTop w:val="0"/>
      <w:marBottom w:val="0"/>
      <w:divBdr>
        <w:top w:val="none" w:sz="0" w:space="0" w:color="auto"/>
        <w:left w:val="none" w:sz="0" w:space="0" w:color="auto"/>
        <w:bottom w:val="none" w:sz="0" w:space="0" w:color="auto"/>
        <w:right w:val="none" w:sz="0" w:space="0" w:color="auto"/>
      </w:divBdr>
    </w:div>
    <w:div w:id="82797534">
      <w:bodyDiv w:val="1"/>
      <w:marLeft w:val="0"/>
      <w:marRight w:val="0"/>
      <w:marTop w:val="0"/>
      <w:marBottom w:val="0"/>
      <w:divBdr>
        <w:top w:val="none" w:sz="0" w:space="0" w:color="auto"/>
        <w:left w:val="none" w:sz="0" w:space="0" w:color="auto"/>
        <w:bottom w:val="none" w:sz="0" w:space="0" w:color="auto"/>
        <w:right w:val="none" w:sz="0" w:space="0" w:color="auto"/>
      </w:divBdr>
    </w:div>
    <w:div w:id="83189425">
      <w:bodyDiv w:val="1"/>
      <w:marLeft w:val="0"/>
      <w:marRight w:val="0"/>
      <w:marTop w:val="0"/>
      <w:marBottom w:val="0"/>
      <w:divBdr>
        <w:top w:val="none" w:sz="0" w:space="0" w:color="auto"/>
        <w:left w:val="none" w:sz="0" w:space="0" w:color="auto"/>
        <w:bottom w:val="none" w:sz="0" w:space="0" w:color="auto"/>
        <w:right w:val="none" w:sz="0" w:space="0" w:color="auto"/>
      </w:divBdr>
    </w:div>
    <w:div w:id="87119167">
      <w:bodyDiv w:val="1"/>
      <w:marLeft w:val="0"/>
      <w:marRight w:val="0"/>
      <w:marTop w:val="0"/>
      <w:marBottom w:val="0"/>
      <w:divBdr>
        <w:top w:val="none" w:sz="0" w:space="0" w:color="auto"/>
        <w:left w:val="none" w:sz="0" w:space="0" w:color="auto"/>
        <w:bottom w:val="none" w:sz="0" w:space="0" w:color="auto"/>
        <w:right w:val="none" w:sz="0" w:space="0" w:color="auto"/>
      </w:divBdr>
    </w:div>
    <w:div w:id="88432824">
      <w:bodyDiv w:val="1"/>
      <w:marLeft w:val="0"/>
      <w:marRight w:val="0"/>
      <w:marTop w:val="0"/>
      <w:marBottom w:val="0"/>
      <w:divBdr>
        <w:top w:val="none" w:sz="0" w:space="0" w:color="auto"/>
        <w:left w:val="none" w:sz="0" w:space="0" w:color="auto"/>
        <w:bottom w:val="none" w:sz="0" w:space="0" w:color="auto"/>
        <w:right w:val="none" w:sz="0" w:space="0" w:color="auto"/>
      </w:divBdr>
    </w:div>
    <w:div w:id="91703508">
      <w:bodyDiv w:val="1"/>
      <w:marLeft w:val="0"/>
      <w:marRight w:val="0"/>
      <w:marTop w:val="0"/>
      <w:marBottom w:val="0"/>
      <w:divBdr>
        <w:top w:val="none" w:sz="0" w:space="0" w:color="auto"/>
        <w:left w:val="none" w:sz="0" w:space="0" w:color="auto"/>
        <w:bottom w:val="none" w:sz="0" w:space="0" w:color="auto"/>
        <w:right w:val="none" w:sz="0" w:space="0" w:color="auto"/>
      </w:divBdr>
    </w:div>
    <w:div w:id="93719126">
      <w:bodyDiv w:val="1"/>
      <w:marLeft w:val="0"/>
      <w:marRight w:val="0"/>
      <w:marTop w:val="0"/>
      <w:marBottom w:val="0"/>
      <w:divBdr>
        <w:top w:val="none" w:sz="0" w:space="0" w:color="auto"/>
        <w:left w:val="none" w:sz="0" w:space="0" w:color="auto"/>
        <w:bottom w:val="none" w:sz="0" w:space="0" w:color="auto"/>
        <w:right w:val="none" w:sz="0" w:space="0" w:color="auto"/>
      </w:divBdr>
    </w:div>
    <w:div w:id="101997756">
      <w:bodyDiv w:val="1"/>
      <w:marLeft w:val="0"/>
      <w:marRight w:val="0"/>
      <w:marTop w:val="0"/>
      <w:marBottom w:val="0"/>
      <w:divBdr>
        <w:top w:val="none" w:sz="0" w:space="0" w:color="auto"/>
        <w:left w:val="none" w:sz="0" w:space="0" w:color="auto"/>
        <w:bottom w:val="none" w:sz="0" w:space="0" w:color="auto"/>
        <w:right w:val="none" w:sz="0" w:space="0" w:color="auto"/>
      </w:divBdr>
    </w:div>
    <w:div w:id="102461681">
      <w:bodyDiv w:val="1"/>
      <w:marLeft w:val="0"/>
      <w:marRight w:val="0"/>
      <w:marTop w:val="0"/>
      <w:marBottom w:val="0"/>
      <w:divBdr>
        <w:top w:val="none" w:sz="0" w:space="0" w:color="auto"/>
        <w:left w:val="none" w:sz="0" w:space="0" w:color="auto"/>
        <w:bottom w:val="none" w:sz="0" w:space="0" w:color="auto"/>
        <w:right w:val="none" w:sz="0" w:space="0" w:color="auto"/>
      </w:divBdr>
    </w:div>
    <w:div w:id="108091290">
      <w:bodyDiv w:val="1"/>
      <w:marLeft w:val="0"/>
      <w:marRight w:val="0"/>
      <w:marTop w:val="0"/>
      <w:marBottom w:val="0"/>
      <w:divBdr>
        <w:top w:val="none" w:sz="0" w:space="0" w:color="auto"/>
        <w:left w:val="none" w:sz="0" w:space="0" w:color="auto"/>
        <w:bottom w:val="none" w:sz="0" w:space="0" w:color="auto"/>
        <w:right w:val="none" w:sz="0" w:space="0" w:color="auto"/>
      </w:divBdr>
    </w:div>
    <w:div w:id="108667054">
      <w:bodyDiv w:val="1"/>
      <w:marLeft w:val="0"/>
      <w:marRight w:val="0"/>
      <w:marTop w:val="0"/>
      <w:marBottom w:val="0"/>
      <w:divBdr>
        <w:top w:val="none" w:sz="0" w:space="0" w:color="auto"/>
        <w:left w:val="none" w:sz="0" w:space="0" w:color="auto"/>
        <w:bottom w:val="none" w:sz="0" w:space="0" w:color="auto"/>
        <w:right w:val="none" w:sz="0" w:space="0" w:color="auto"/>
      </w:divBdr>
    </w:div>
    <w:div w:id="120268785">
      <w:bodyDiv w:val="1"/>
      <w:marLeft w:val="0"/>
      <w:marRight w:val="0"/>
      <w:marTop w:val="0"/>
      <w:marBottom w:val="0"/>
      <w:divBdr>
        <w:top w:val="none" w:sz="0" w:space="0" w:color="auto"/>
        <w:left w:val="none" w:sz="0" w:space="0" w:color="auto"/>
        <w:bottom w:val="none" w:sz="0" w:space="0" w:color="auto"/>
        <w:right w:val="none" w:sz="0" w:space="0" w:color="auto"/>
      </w:divBdr>
    </w:div>
    <w:div w:id="126240776">
      <w:bodyDiv w:val="1"/>
      <w:marLeft w:val="0"/>
      <w:marRight w:val="0"/>
      <w:marTop w:val="0"/>
      <w:marBottom w:val="0"/>
      <w:divBdr>
        <w:top w:val="none" w:sz="0" w:space="0" w:color="auto"/>
        <w:left w:val="none" w:sz="0" w:space="0" w:color="auto"/>
        <w:bottom w:val="none" w:sz="0" w:space="0" w:color="auto"/>
        <w:right w:val="none" w:sz="0" w:space="0" w:color="auto"/>
      </w:divBdr>
    </w:div>
    <w:div w:id="133331772">
      <w:bodyDiv w:val="1"/>
      <w:marLeft w:val="0"/>
      <w:marRight w:val="0"/>
      <w:marTop w:val="0"/>
      <w:marBottom w:val="0"/>
      <w:divBdr>
        <w:top w:val="none" w:sz="0" w:space="0" w:color="auto"/>
        <w:left w:val="none" w:sz="0" w:space="0" w:color="auto"/>
        <w:bottom w:val="none" w:sz="0" w:space="0" w:color="auto"/>
        <w:right w:val="none" w:sz="0" w:space="0" w:color="auto"/>
      </w:divBdr>
    </w:div>
    <w:div w:id="137383132">
      <w:bodyDiv w:val="1"/>
      <w:marLeft w:val="0"/>
      <w:marRight w:val="0"/>
      <w:marTop w:val="0"/>
      <w:marBottom w:val="0"/>
      <w:divBdr>
        <w:top w:val="none" w:sz="0" w:space="0" w:color="auto"/>
        <w:left w:val="none" w:sz="0" w:space="0" w:color="auto"/>
        <w:bottom w:val="none" w:sz="0" w:space="0" w:color="auto"/>
        <w:right w:val="none" w:sz="0" w:space="0" w:color="auto"/>
      </w:divBdr>
    </w:div>
    <w:div w:id="140854578">
      <w:bodyDiv w:val="1"/>
      <w:marLeft w:val="0"/>
      <w:marRight w:val="0"/>
      <w:marTop w:val="0"/>
      <w:marBottom w:val="0"/>
      <w:divBdr>
        <w:top w:val="none" w:sz="0" w:space="0" w:color="auto"/>
        <w:left w:val="none" w:sz="0" w:space="0" w:color="auto"/>
        <w:bottom w:val="none" w:sz="0" w:space="0" w:color="auto"/>
        <w:right w:val="none" w:sz="0" w:space="0" w:color="auto"/>
      </w:divBdr>
    </w:div>
    <w:div w:id="154227862">
      <w:bodyDiv w:val="1"/>
      <w:marLeft w:val="0"/>
      <w:marRight w:val="0"/>
      <w:marTop w:val="0"/>
      <w:marBottom w:val="0"/>
      <w:divBdr>
        <w:top w:val="none" w:sz="0" w:space="0" w:color="auto"/>
        <w:left w:val="none" w:sz="0" w:space="0" w:color="auto"/>
        <w:bottom w:val="none" w:sz="0" w:space="0" w:color="auto"/>
        <w:right w:val="none" w:sz="0" w:space="0" w:color="auto"/>
      </w:divBdr>
    </w:div>
    <w:div w:id="160005242">
      <w:bodyDiv w:val="1"/>
      <w:marLeft w:val="0"/>
      <w:marRight w:val="0"/>
      <w:marTop w:val="0"/>
      <w:marBottom w:val="0"/>
      <w:divBdr>
        <w:top w:val="none" w:sz="0" w:space="0" w:color="auto"/>
        <w:left w:val="none" w:sz="0" w:space="0" w:color="auto"/>
        <w:bottom w:val="none" w:sz="0" w:space="0" w:color="auto"/>
        <w:right w:val="none" w:sz="0" w:space="0" w:color="auto"/>
      </w:divBdr>
    </w:div>
    <w:div w:id="170028404">
      <w:bodyDiv w:val="1"/>
      <w:marLeft w:val="0"/>
      <w:marRight w:val="0"/>
      <w:marTop w:val="0"/>
      <w:marBottom w:val="0"/>
      <w:divBdr>
        <w:top w:val="none" w:sz="0" w:space="0" w:color="auto"/>
        <w:left w:val="none" w:sz="0" w:space="0" w:color="auto"/>
        <w:bottom w:val="none" w:sz="0" w:space="0" w:color="auto"/>
        <w:right w:val="none" w:sz="0" w:space="0" w:color="auto"/>
      </w:divBdr>
    </w:div>
    <w:div w:id="170413866">
      <w:bodyDiv w:val="1"/>
      <w:marLeft w:val="0"/>
      <w:marRight w:val="0"/>
      <w:marTop w:val="0"/>
      <w:marBottom w:val="0"/>
      <w:divBdr>
        <w:top w:val="none" w:sz="0" w:space="0" w:color="auto"/>
        <w:left w:val="none" w:sz="0" w:space="0" w:color="auto"/>
        <w:bottom w:val="none" w:sz="0" w:space="0" w:color="auto"/>
        <w:right w:val="none" w:sz="0" w:space="0" w:color="auto"/>
      </w:divBdr>
    </w:div>
    <w:div w:id="171144641">
      <w:bodyDiv w:val="1"/>
      <w:marLeft w:val="0"/>
      <w:marRight w:val="0"/>
      <w:marTop w:val="0"/>
      <w:marBottom w:val="0"/>
      <w:divBdr>
        <w:top w:val="none" w:sz="0" w:space="0" w:color="auto"/>
        <w:left w:val="none" w:sz="0" w:space="0" w:color="auto"/>
        <w:bottom w:val="none" w:sz="0" w:space="0" w:color="auto"/>
        <w:right w:val="none" w:sz="0" w:space="0" w:color="auto"/>
      </w:divBdr>
    </w:div>
    <w:div w:id="172303520">
      <w:bodyDiv w:val="1"/>
      <w:marLeft w:val="0"/>
      <w:marRight w:val="0"/>
      <w:marTop w:val="0"/>
      <w:marBottom w:val="0"/>
      <w:divBdr>
        <w:top w:val="none" w:sz="0" w:space="0" w:color="auto"/>
        <w:left w:val="none" w:sz="0" w:space="0" w:color="auto"/>
        <w:bottom w:val="none" w:sz="0" w:space="0" w:color="auto"/>
        <w:right w:val="none" w:sz="0" w:space="0" w:color="auto"/>
      </w:divBdr>
    </w:div>
    <w:div w:id="175115951">
      <w:bodyDiv w:val="1"/>
      <w:marLeft w:val="0"/>
      <w:marRight w:val="0"/>
      <w:marTop w:val="0"/>
      <w:marBottom w:val="0"/>
      <w:divBdr>
        <w:top w:val="none" w:sz="0" w:space="0" w:color="auto"/>
        <w:left w:val="none" w:sz="0" w:space="0" w:color="auto"/>
        <w:bottom w:val="none" w:sz="0" w:space="0" w:color="auto"/>
        <w:right w:val="none" w:sz="0" w:space="0" w:color="auto"/>
      </w:divBdr>
    </w:div>
    <w:div w:id="181362094">
      <w:bodyDiv w:val="1"/>
      <w:marLeft w:val="0"/>
      <w:marRight w:val="0"/>
      <w:marTop w:val="0"/>
      <w:marBottom w:val="0"/>
      <w:divBdr>
        <w:top w:val="none" w:sz="0" w:space="0" w:color="auto"/>
        <w:left w:val="none" w:sz="0" w:space="0" w:color="auto"/>
        <w:bottom w:val="none" w:sz="0" w:space="0" w:color="auto"/>
        <w:right w:val="none" w:sz="0" w:space="0" w:color="auto"/>
      </w:divBdr>
    </w:div>
    <w:div w:id="185338055">
      <w:bodyDiv w:val="1"/>
      <w:marLeft w:val="0"/>
      <w:marRight w:val="0"/>
      <w:marTop w:val="0"/>
      <w:marBottom w:val="0"/>
      <w:divBdr>
        <w:top w:val="none" w:sz="0" w:space="0" w:color="auto"/>
        <w:left w:val="none" w:sz="0" w:space="0" w:color="auto"/>
        <w:bottom w:val="none" w:sz="0" w:space="0" w:color="auto"/>
        <w:right w:val="none" w:sz="0" w:space="0" w:color="auto"/>
      </w:divBdr>
    </w:div>
    <w:div w:id="189492364">
      <w:bodyDiv w:val="1"/>
      <w:marLeft w:val="0"/>
      <w:marRight w:val="0"/>
      <w:marTop w:val="0"/>
      <w:marBottom w:val="0"/>
      <w:divBdr>
        <w:top w:val="none" w:sz="0" w:space="0" w:color="auto"/>
        <w:left w:val="none" w:sz="0" w:space="0" w:color="auto"/>
        <w:bottom w:val="none" w:sz="0" w:space="0" w:color="auto"/>
        <w:right w:val="none" w:sz="0" w:space="0" w:color="auto"/>
      </w:divBdr>
    </w:div>
    <w:div w:id="189881258">
      <w:bodyDiv w:val="1"/>
      <w:marLeft w:val="0"/>
      <w:marRight w:val="0"/>
      <w:marTop w:val="0"/>
      <w:marBottom w:val="0"/>
      <w:divBdr>
        <w:top w:val="none" w:sz="0" w:space="0" w:color="auto"/>
        <w:left w:val="none" w:sz="0" w:space="0" w:color="auto"/>
        <w:bottom w:val="none" w:sz="0" w:space="0" w:color="auto"/>
        <w:right w:val="none" w:sz="0" w:space="0" w:color="auto"/>
      </w:divBdr>
    </w:div>
    <w:div w:id="191039362">
      <w:bodyDiv w:val="1"/>
      <w:marLeft w:val="0"/>
      <w:marRight w:val="0"/>
      <w:marTop w:val="0"/>
      <w:marBottom w:val="0"/>
      <w:divBdr>
        <w:top w:val="none" w:sz="0" w:space="0" w:color="auto"/>
        <w:left w:val="none" w:sz="0" w:space="0" w:color="auto"/>
        <w:bottom w:val="none" w:sz="0" w:space="0" w:color="auto"/>
        <w:right w:val="none" w:sz="0" w:space="0" w:color="auto"/>
      </w:divBdr>
    </w:div>
    <w:div w:id="193081876">
      <w:bodyDiv w:val="1"/>
      <w:marLeft w:val="0"/>
      <w:marRight w:val="0"/>
      <w:marTop w:val="0"/>
      <w:marBottom w:val="0"/>
      <w:divBdr>
        <w:top w:val="none" w:sz="0" w:space="0" w:color="auto"/>
        <w:left w:val="none" w:sz="0" w:space="0" w:color="auto"/>
        <w:bottom w:val="none" w:sz="0" w:space="0" w:color="auto"/>
        <w:right w:val="none" w:sz="0" w:space="0" w:color="auto"/>
      </w:divBdr>
    </w:div>
    <w:div w:id="196477382">
      <w:bodyDiv w:val="1"/>
      <w:marLeft w:val="0"/>
      <w:marRight w:val="0"/>
      <w:marTop w:val="0"/>
      <w:marBottom w:val="0"/>
      <w:divBdr>
        <w:top w:val="none" w:sz="0" w:space="0" w:color="auto"/>
        <w:left w:val="none" w:sz="0" w:space="0" w:color="auto"/>
        <w:bottom w:val="none" w:sz="0" w:space="0" w:color="auto"/>
        <w:right w:val="none" w:sz="0" w:space="0" w:color="auto"/>
      </w:divBdr>
    </w:div>
    <w:div w:id="196509070">
      <w:bodyDiv w:val="1"/>
      <w:marLeft w:val="0"/>
      <w:marRight w:val="0"/>
      <w:marTop w:val="0"/>
      <w:marBottom w:val="0"/>
      <w:divBdr>
        <w:top w:val="none" w:sz="0" w:space="0" w:color="auto"/>
        <w:left w:val="none" w:sz="0" w:space="0" w:color="auto"/>
        <w:bottom w:val="none" w:sz="0" w:space="0" w:color="auto"/>
        <w:right w:val="none" w:sz="0" w:space="0" w:color="auto"/>
      </w:divBdr>
    </w:div>
    <w:div w:id="200435319">
      <w:bodyDiv w:val="1"/>
      <w:marLeft w:val="0"/>
      <w:marRight w:val="0"/>
      <w:marTop w:val="0"/>
      <w:marBottom w:val="0"/>
      <w:divBdr>
        <w:top w:val="none" w:sz="0" w:space="0" w:color="auto"/>
        <w:left w:val="none" w:sz="0" w:space="0" w:color="auto"/>
        <w:bottom w:val="none" w:sz="0" w:space="0" w:color="auto"/>
        <w:right w:val="none" w:sz="0" w:space="0" w:color="auto"/>
      </w:divBdr>
    </w:div>
    <w:div w:id="203180124">
      <w:bodyDiv w:val="1"/>
      <w:marLeft w:val="0"/>
      <w:marRight w:val="0"/>
      <w:marTop w:val="0"/>
      <w:marBottom w:val="0"/>
      <w:divBdr>
        <w:top w:val="none" w:sz="0" w:space="0" w:color="auto"/>
        <w:left w:val="none" w:sz="0" w:space="0" w:color="auto"/>
        <w:bottom w:val="none" w:sz="0" w:space="0" w:color="auto"/>
        <w:right w:val="none" w:sz="0" w:space="0" w:color="auto"/>
      </w:divBdr>
    </w:div>
    <w:div w:id="204371875">
      <w:bodyDiv w:val="1"/>
      <w:marLeft w:val="0"/>
      <w:marRight w:val="0"/>
      <w:marTop w:val="0"/>
      <w:marBottom w:val="0"/>
      <w:divBdr>
        <w:top w:val="none" w:sz="0" w:space="0" w:color="auto"/>
        <w:left w:val="none" w:sz="0" w:space="0" w:color="auto"/>
        <w:bottom w:val="none" w:sz="0" w:space="0" w:color="auto"/>
        <w:right w:val="none" w:sz="0" w:space="0" w:color="auto"/>
      </w:divBdr>
    </w:div>
    <w:div w:id="213929616">
      <w:bodyDiv w:val="1"/>
      <w:marLeft w:val="0"/>
      <w:marRight w:val="0"/>
      <w:marTop w:val="0"/>
      <w:marBottom w:val="0"/>
      <w:divBdr>
        <w:top w:val="none" w:sz="0" w:space="0" w:color="auto"/>
        <w:left w:val="none" w:sz="0" w:space="0" w:color="auto"/>
        <w:bottom w:val="none" w:sz="0" w:space="0" w:color="auto"/>
        <w:right w:val="none" w:sz="0" w:space="0" w:color="auto"/>
      </w:divBdr>
    </w:div>
    <w:div w:id="218983974">
      <w:bodyDiv w:val="1"/>
      <w:marLeft w:val="0"/>
      <w:marRight w:val="0"/>
      <w:marTop w:val="0"/>
      <w:marBottom w:val="0"/>
      <w:divBdr>
        <w:top w:val="none" w:sz="0" w:space="0" w:color="auto"/>
        <w:left w:val="none" w:sz="0" w:space="0" w:color="auto"/>
        <w:bottom w:val="none" w:sz="0" w:space="0" w:color="auto"/>
        <w:right w:val="none" w:sz="0" w:space="0" w:color="auto"/>
      </w:divBdr>
    </w:div>
    <w:div w:id="221907695">
      <w:bodyDiv w:val="1"/>
      <w:marLeft w:val="0"/>
      <w:marRight w:val="0"/>
      <w:marTop w:val="0"/>
      <w:marBottom w:val="0"/>
      <w:divBdr>
        <w:top w:val="none" w:sz="0" w:space="0" w:color="auto"/>
        <w:left w:val="none" w:sz="0" w:space="0" w:color="auto"/>
        <w:bottom w:val="none" w:sz="0" w:space="0" w:color="auto"/>
        <w:right w:val="none" w:sz="0" w:space="0" w:color="auto"/>
      </w:divBdr>
    </w:div>
    <w:div w:id="225459798">
      <w:bodyDiv w:val="1"/>
      <w:marLeft w:val="0"/>
      <w:marRight w:val="0"/>
      <w:marTop w:val="0"/>
      <w:marBottom w:val="0"/>
      <w:divBdr>
        <w:top w:val="none" w:sz="0" w:space="0" w:color="auto"/>
        <w:left w:val="none" w:sz="0" w:space="0" w:color="auto"/>
        <w:bottom w:val="none" w:sz="0" w:space="0" w:color="auto"/>
        <w:right w:val="none" w:sz="0" w:space="0" w:color="auto"/>
      </w:divBdr>
    </w:div>
    <w:div w:id="229120769">
      <w:bodyDiv w:val="1"/>
      <w:marLeft w:val="0"/>
      <w:marRight w:val="0"/>
      <w:marTop w:val="0"/>
      <w:marBottom w:val="0"/>
      <w:divBdr>
        <w:top w:val="none" w:sz="0" w:space="0" w:color="auto"/>
        <w:left w:val="none" w:sz="0" w:space="0" w:color="auto"/>
        <w:bottom w:val="none" w:sz="0" w:space="0" w:color="auto"/>
        <w:right w:val="none" w:sz="0" w:space="0" w:color="auto"/>
      </w:divBdr>
    </w:div>
    <w:div w:id="232543976">
      <w:bodyDiv w:val="1"/>
      <w:marLeft w:val="0"/>
      <w:marRight w:val="0"/>
      <w:marTop w:val="0"/>
      <w:marBottom w:val="0"/>
      <w:divBdr>
        <w:top w:val="none" w:sz="0" w:space="0" w:color="auto"/>
        <w:left w:val="none" w:sz="0" w:space="0" w:color="auto"/>
        <w:bottom w:val="none" w:sz="0" w:space="0" w:color="auto"/>
        <w:right w:val="none" w:sz="0" w:space="0" w:color="auto"/>
      </w:divBdr>
    </w:div>
    <w:div w:id="239757700">
      <w:bodyDiv w:val="1"/>
      <w:marLeft w:val="0"/>
      <w:marRight w:val="0"/>
      <w:marTop w:val="0"/>
      <w:marBottom w:val="0"/>
      <w:divBdr>
        <w:top w:val="none" w:sz="0" w:space="0" w:color="auto"/>
        <w:left w:val="none" w:sz="0" w:space="0" w:color="auto"/>
        <w:bottom w:val="none" w:sz="0" w:space="0" w:color="auto"/>
        <w:right w:val="none" w:sz="0" w:space="0" w:color="auto"/>
      </w:divBdr>
    </w:div>
    <w:div w:id="240213307">
      <w:bodyDiv w:val="1"/>
      <w:marLeft w:val="0"/>
      <w:marRight w:val="0"/>
      <w:marTop w:val="0"/>
      <w:marBottom w:val="0"/>
      <w:divBdr>
        <w:top w:val="none" w:sz="0" w:space="0" w:color="auto"/>
        <w:left w:val="none" w:sz="0" w:space="0" w:color="auto"/>
        <w:bottom w:val="none" w:sz="0" w:space="0" w:color="auto"/>
        <w:right w:val="none" w:sz="0" w:space="0" w:color="auto"/>
      </w:divBdr>
    </w:div>
    <w:div w:id="241524729">
      <w:bodyDiv w:val="1"/>
      <w:marLeft w:val="0"/>
      <w:marRight w:val="0"/>
      <w:marTop w:val="0"/>
      <w:marBottom w:val="0"/>
      <w:divBdr>
        <w:top w:val="none" w:sz="0" w:space="0" w:color="auto"/>
        <w:left w:val="none" w:sz="0" w:space="0" w:color="auto"/>
        <w:bottom w:val="none" w:sz="0" w:space="0" w:color="auto"/>
        <w:right w:val="none" w:sz="0" w:space="0" w:color="auto"/>
      </w:divBdr>
    </w:div>
    <w:div w:id="241724782">
      <w:bodyDiv w:val="1"/>
      <w:marLeft w:val="0"/>
      <w:marRight w:val="0"/>
      <w:marTop w:val="0"/>
      <w:marBottom w:val="0"/>
      <w:divBdr>
        <w:top w:val="none" w:sz="0" w:space="0" w:color="auto"/>
        <w:left w:val="none" w:sz="0" w:space="0" w:color="auto"/>
        <w:bottom w:val="none" w:sz="0" w:space="0" w:color="auto"/>
        <w:right w:val="none" w:sz="0" w:space="0" w:color="auto"/>
      </w:divBdr>
    </w:div>
    <w:div w:id="249704585">
      <w:bodyDiv w:val="1"/>
      <w:marLeft w:val="0"/>
      <w:marRight w:val="0"/>
      <w:marTop w:val="0"/>
      <w:marBottom w:val="0"/>
      <w:divBdr>
        <w:top w:val="none" w:sz="0" w:space="0" w:color="auto"/>
        <w:left w:val="none" w:sz="0" w:space="0" w:color="auto"/>
        <w:bottom w:val="none" w:sz="0" w:space="0" w:color="auto"/>
        <w:right w:val="none" w:sz="0" w:space="0" w:color="auto"/>
      </w:divBdr>
    </w:div>
    <w:div w:id="257954807">
      <w:bodyDiv w:val="1"/>
      <w:marLeft w:val="0"/>
      <w:marRight w:val="0"/>
      <w:marTop w:val="0"/>
      <w:marBottom w:val="0"/>
      <w:divBdr>
        <w:top w:val="none" w:sz="0" w:space="0" w:color="auto"/>
        <w:left w:val="none" w:sz="0" w:space="0" w:color="auto"/>
        <w:bottom w:val="none" w:sz="0" w:space="0" w:color="auto"/>
        <w:right w:val="none" w:sz="0" w:space="0" w:color="auto"/>
      </w:divBdr>
    </w:div>
    <w:div w:id="260577850">
      <w:bodyDiv w:val="1"/>
      <w:marLeft w:val="0"/>
      <w:marRight w:val="0"/>
      <w:marTop w:val="0"/>
      <w:marBottom w:val="0"/>
      <w:divBdr>
        <w:top w:val="none" w:sz="0" w:space="0" w:color="auto"/>
        <w:left w:val="none" w:sz="0" w:space="0" w:color="auto"/>
        <w:bottom w:val="none" w:sz="0" w:space="0" w:color="auto"/>
        <w:right w:val="none" w:sz="0" w:space="0" w:color="auto"/>
      </w:divBdr>
    </w:div>
    <w:div w:id="271010559">
      <w:bodyDiv w:val="1"/>
      <w:marLeft w:val="0"/>
      <w:marRight w:val="0"/>
      <w:marTop w:val="0"/>
      <w:marBottom w:val="0"/>
      <w:divBdr>
        <w:top w:val="none" w:sz="0" w:space="0" w:color="auto"/>
        <w:left w:val="none" w:sz="0" w:space="0" w:color="auto"/>
        <w:bottom w:val="none" w:sz="0" w:space="0" w:color="auto"/>
        <w:right w:val="none" w:sz="0" w:space="0" w:color="auto"/>
      </w:divBdr>
    </w:div>
    <w:div w:id="274604769">
      <w:bodyDiv w:val="1"/>
      <w:marLeft w:val="0"/>
      <w:marRight w:val="0"/>
      <w:marTop w:val="0"/>
      <w:marBottom w:val="0"/>
      <w:divBdr>
        <w:top w:val="none" w:sz="0" w:space="0" w:color="auto"/>
        <w:left w:val="none" w:sz="0" w:space="0" w:color="auto"/>
        <w:bottom w:val="none" w:sz="0" w:space="0" w:color="auto"/>
        <w:right w:val="none" w:sz="0" w:space="0" w:color="auto"/>
      </w:divBdr>
    </w:div>
    <w:div w:id="281113591">
      <w:bodyDiv w:val="1"/>
      <w:marLeft w:val="0"/>
      <w:marRight w:val="0"/>
      <w:marTop w:val="0"/>
      <w:marBottom w:val="0"/>
      <w:divBdr>
        <w:top w:val="none" w:sz="0" w:space="0" w:color="auto"/>
        <w:left w:val="none" w:sz="0" w:space="0" w:color="auto"/>
        <w:bottom w:val="none" w:sz="0" w:space="0" w:color="auto"/>
        <w:right w:val="none" w:sz="0" w:space="0" w:color="auto"/>
      </w:divBdr>
    </w:div>
    <w:div w:id="285890313">
      <w:bodyDiv w:val="1"/>
      <w:marLeft w:val="0"/>
      <w:marRight w:val="0"/>
      <w:marTop w:val="0"/>
      <w:marBottom w:val="0"/>
      <w:divBdr>
        <w:top w:val="none" w:sz="0" w:space="0" w:color="auto"/>
        <w:left w:val="none" w:sz="0" w:space="0" w:color="auto"/>
        <w:bottom w:val="none" w:sz="0" w:space="0" w:color="auto"/>
        <w:right w:val="none" w:sz="0" w:space="0" w:color="auto"/>
      </w:divBdr>
    </w:div>
    <w:div w:id="290598888">
      <w:bodyDiv w:val="1"/>
      <w:marLeft w:val="0"/>
      <w:marRight w:val="0"/>
      <w:marTop w:val="0"/>
      <w:marBottom w:val="0"/>
      <w:divBdr>
        <w:top w:val="none" w:sz="0" w:space="0" w:color="auto"/>
        <w:left w:val="none" w:sz="0" w:space="0" w:color="auto"/>
        <w:bottom w:val="none" w:sz="0" w:space="0" w:color="auto"/>
        <w:right w:val="none" w:sz="0" w:space="0" w:color="auto"/>
      </w:divBdr>
    </w:div>
    <w:div w:id="295450175">
      <w:bodyDiv w:val="1"/>
      <w:marLeft w:val="0"/>
      <w:marRight w:val="0"/>
      <w:marTop w:val="0"/>
      <w:marBottom w:val="0"/>
      <w:divBdr>
        <w:top w:val="none" w:sz="0" w:space="0" w:color="auto"/>
        <w:left w:val="none" w:sz="0" w:space="0" w:color="auto"/>
        <w:bottom w:val="none" w:sz="0" w:space="0" w:color="auto"/>
        <w:right w:val="none" w:sz="0" w:space="0" w:color="auto"/>
      </w:divBdr>
    </w:div>
    <w:div w:id="297878791">
      <w:bodyDiv w:val="1"/>
      <w:marLeft w:val="0"/>
      <w:marRight w:val="0"/>
      <w:marTop w:val="0"/>
      <w:marBottom w:val="0"/>
      <w:divBdr>
        <w:top w:val="none" w:sz="0" w:space="0" w:color="auto"/>
        <w:left w:val="none" w:sz="0" w:space="0" w:color="auto"/>
        <w:bottom w:val="none" w:sz="0" w:space="0" w:color="auto"/>
        <w:right w:val="none" w:sz="0" w:space="0" w:color="auto"/>
      </w:divBdr>
    </w:div>
    <w:div w:id="301662655">
      <w:bodyDiv w:val="1"/>
      <w:marLeft w:val="0"/>
      <w:marRight w:val="0"/>
      <w:marTop w:val="0"/>
      <w:marBottom w:val="0"/>
      <w:divBdr>
        <w:top w:val="none" w:sz="0" w:space="0" w:color="auto"/>
        <w:left w:val="none" w:sz="0" w:space="0" w:color="auto"/>
        <w:bottom w:val="none" w:sz="0" w:space="0" w:color="auto"/>
        <w:right w:val="none" w:sz="0" w:space="0" w:color="auto"/>
      </w:divBdr>
    </w:div>
    <w:div w:id="308024051">
      <w:bodyDiv w:val="1"/>
      <w:marLeft w:val="0"/>
      <w:marRight w:val="0"/>
      <w:marTop w:val="0"/>
      <w:marBottom w:val="0"/>
      <w:divBdr>
        <w:top w:val="none" w:sz="0" w:space="0" w:color="auto"/>
        <w:left w:val="none" w:sz="0" w:space="0" w:color="auto"/>
        <w:bottom w:val="none" w:sz="0" w:space="0" w:color="auto"/>
        <w:right w:val="none" w:sz="0" w:space="0" w:color="auto"/>
      </w:divBdr>
    </w:div>
    <w:div w:id="311107106">
      <w:bodyDiv w:val="1"/>
      <w:marLeft w:val="0"/>
      <w:marRight w:val="0"/>
      <w:marTop w:val="0"/>
      <w:marBottom w:val="0"/>
      <w:divBdr>
        <w:top w:val="none" w:sz="0" w:space="0" w:color="auto"/>
        <w:left w:val="none" w:sz="0" w:space="0" w:color="auto"/>
        <w:bottom w:val="none" w:sz="0" w:space="0" w:color="auto"/>
        <w:right w:val="none" w:sz="0" w:space="0" w:color="auto"/>
      </w:divBdr>
    </w:div>
    <w:div w:id="314067640">
      <w:bodyDiv w:val="1"/>
      <w:marLeft w:val="0"/>
      <w:marRight w:val="0"/>
      <w:marTop w:val="0"/>
      <w:marBottom w:val="0"/>
      <w:divBdr>
        <w:top w:val="none" w:sz="0" w:space="0" w:color="auto"/>
        <w:left w:val="none" w:sz="0" w:space="0" w:color="auto"/>
        <w:bottom w:val="none" w:sz="0" w:space="0" w:color="auto"/>
        <w:right w:val="none" w:sz="0" w:space="0" w:color="auto"/>
      </w:divBdr>
    </w:div>
    <w:div w:id="315495613">
      <w:bodyDiv w:val="1"/>
      <w:marLeft w:val="0"/>
      <w:marRight w:val="0"/>
      <w:marTop w:val="0"/>
      <w:marBottom w:val="0"/>
      <w:divBdr>
        <w:top w:val="none" w:sz="0" w:space="0" w:color="auto"/>
        <w:left w:val="none" w:sz="0" w:space="0" w:color="auto"/>
        <w:bottom w:val="none" w:sz="0" w:space="0" w:color="auto"/>
        <w:right w:val="none" w:sz="0" w:space="0" w:color="auto"/>
      </w:divBdr>
    </w:div>
    <w:div w:id="324287083">
      <w:bodyDiv w:val="1"/>
      <w:marLeft w:val="0"/>
      <w:marRight w:val="0"/>
      <w:marTop w:val="0"/>
      <w:marBottom w:val="0"/>
      <w:divBdr>
        <w:top w:val="none" w:sz="0" w:space="0" w:color="auto"/>
        <w:left w:val="none" w:sz="0" w:space="0" w:color="auto"/>
        <w:bottom w:val="none" w:sz="0" w:space="0" w:color="auto"/>
        <w:right w:val="none" w:sz="0" w:space="0" w:color="auto"/>
      </w:divBdr>
    </w:div>
    <w:div w:id="333340478">
      <w:bodyDiv w:val="1"/>
      <w:marLeft w:val="0"/>
      <w:marRight w:val="0"/>
      <w:marTop w:val="0"/>
      <w:marBottom w:val="0"/>
      <w:divBdr>
        <w:top w:val="none" w:sz="0" w:space="0" w:color="auto"/>
        <w:left w:val="none" w:sz="0" w:space="0" w:color="auto"/>
        <w:bottom w:val="none" w:sz="0" w:space="0" w:color="auto"/>
        <w:right w:val="none" w:sz="0" w:space="0" w:color="auto"/>
      </w:divBdr>
    </w:div>
    <w:div w:id="334695119">
      <w:bodyDiv w:val="1"/>
      <w:marLeft w:val="0"/>
      <w:marRight w:val="0"/>
      <w:marTop w:val="0"/>
      <w:marBottom w:val="0"/>
      <w:divBdr>
        <w:top w:val="none" w:sz="0" w:space="0" w:color="auto"/>
        <w:left w:val="none" w:sz="0" w:space="0" w:color="auto"/>
        <w:bottom w:val="none" w:sz="0" w:space="0" w:color="auto"/>
        <w:right w:val="none" w:sz="0" w:space="0" w:color="auto"/>
      </w:divBdr>
    </w:div>
    <w:div w:id="335158489">
      <w:bodyDiv w:val="1"/>
      <w:marLeft w:val="0"/>
      <w:marRight w:val="0"/>
      <w:marTop w:val="0"/>
      <w:marBottom w:val="0"/>
      <w:divBdr>
        <w:top w:val="none" w:sz="0" w:space="0" w:color="auto"/>
        <w:left w:val="none" w:sz="0" w:space="0" w:color="auto"/>
        <w:bottom w:val="none" w:sz="0" w:space="0" w:color="auto"/>
        <w:right w:val="none" w:sz="0" w:space="0" w:color="auto"/>
      </w:divBdr>
    </w:div>
    <w:div w:id="335688170">
      <w:bodyDiv w:val="1"/>
      <w:marLeft w:val="0"/>
      <w:marRight w:val="0"/>
      <w:marTop w:val="0"/>
      <w:marBottom w:val="0"/>
      <w:divBdr>
        <w:top w:val="none" w:sz="0" w:space="0" w:color="auto"/>
        <w:left w:val="none" w:sz="0" w:space="0" w:color="auto"/>
        <w:bottom w:val="none" w:sz="0" w:space="0" w:color="auto"/>
        <w:right w:val="none" w:sz="0" w:space="0" w:color="auto"/>
      </w:divBdr>
    </w:div>
    <w:div w:id="338778233">
      <w:bodyDiv w:val="1"/>
      <w:marLeft w:val="0"/>
      <w:marRight w:val="0"/>
      <w:marTop w:val="0"/>
      <w:marBottom w:val="0"/>
      <w:divBdr>
        <w:top w:val="none" w:sz="0" w:space="0" w:color="auto"/>
        <w:left w:val="none" w:sz="0" w:space="0" w:color="auto"/>
        <w:bottom w:val="none" w:sz="0" w:space="0" w:color="auto"/>
        <w:right w:val="none" w:sz="0" w:space="0" w:color="auto"/>
      </w:divBdr>
    </w:div>
    <w:div w:id="339355669">
      <w:bodyDiv w:val="1"/>
      <w:marLeft w:val="0"/>
      <w:marRight w:val="0"/>
      <w:marTop w:val="0"/>
      <w:marBottom w:val="0"/>
      <w:divBdr>
        <w:top w:val="none" w:sz="0" w:space="0" w:color="auto"/>
        <w:left w:val="none" w:sz="0" w:space="0" w:color="auto"/>
        <w:bottom w:val="none" w:sz="0" w:space="0" w:color="auto"/>
        <w:right w:val="none" w:sz="0" w:space="0" w:color="auto"/>
      </w:divBdr>
    </w:div>
    <w:div w:id="344214766">
      <w:bodyDiv w:val="1"/>
      <w:marLeft w:val="0"/>
      <w:marRight w:val="0"/>
      <w:marTop w:val="0"/>
      <w:marBottom w:val="0"/>
      <w:divBdr>
        <w:top w:val="none" w:sz="0" w:space="0" w:color="auto"/>
        <w:left w:val="none" w:sz="0" w:space="0" w:color="auto"/>
        <w:bottom w:val="none" w:sz="0" w:space="0" w:color="auto"/>
        <w:right w:val="none" w:sz="0" w:space="0" w:color="auto"/>
      </w:divBdr>
    </w:div>
    <w:div w:id="347371842">
      <w:bodyDiv w:val="1"/>
      <w:marLeft w:val="0"/>
      <w:marRight w:val="0"/>
      <w:marTop w:val="0"/>
      <w:marBottom w:val="0"/>
      <w:divBdr>
        <w:top w:val="none" w:sz="0" w:space="0" w:color="auto"/>
        <w:left w:val="none" w:sz="0" w:space="0" w:color="auto"/>
        <w:bottom w:val="none" w:sz="0" w:space="0" w:color="auto"/>
        <w:right w:val="none" w:sz="0" w:space="0" w:color="auto"/>
      </w:divBdr>
    </w:div>
    <w:div w:id="350497894">
      <w:bodyDiv w:val="1"/>
      <w:marLeft w:val="0"/>
      <w:marRight w:val="0"/>
      <w:marTop w:val="0"/>
      <w:marBottom w:val="0"/>
      <w:divBdr>
        <w:top w:val="none" w:sz="0" w:space="0" w:color="auto"/>
        <w:left w:val="none" w:sz="0" w:space="0" w:color="auto"/>
        <w:bottom w:val="none" w:sz="0" w:space="0" w:color="auto"/>
        <w:right w:val="none" w:sz="0" w:space="0" w:color="auto"/>
      </w:divBdr>
    </w:div>
    <w:div w:id="354236357">
      <w:bodyDiv w:val="1"/>
      <w:marLeft w:val="0"/>
      <w:marRight w:val="0"/>
      <w:marTop w:val="0"/>
      <w:marBottom w:val="0"/>
      <w:divBdr>
        <w:top w:val="none" w:sz="0" w:space="0" w:color="auto"/>
        <w:left w:val="none" w:sz="0" w:space="0" w:color="auto"/>
        <w:bottom w:val="none" w:sz="0" w:space="0" w:color="auto"/>
        <w:right w:val="none" w:sz="0" w:space="0" w:color="auto"/>
      </w:divBdr>
    </w:div>
    <w:div w:id="354423445">
      <w:bodyDiv w:val="1"/>
      <w:marLeft w:val="0"/>
      <w:marRight w:val="0"/>
      <w:marTop w:val="0"/>
      <w:marBottom w:val="0"/>
      <w:divBdr>
        <w:top w:val="none" w:sz="0" w:space="0" w:color="auto"/>
        <w:left w:val="none" w:sz="0" w:space="0" w:color="auto"/>
        <w:bottom w:val="none" w:sz="0" w:space="0" w:color="auto"/>
        <w:right w:val="none" w:sz="0" w:space="0" w:color="auto"/>
      </w:divBdr>
    </w:div>
    <w:div w:id="355160906">
      <w:bodyDiv w:val="1"/>
      <w:marLeft w:val="0"/>
      <w:marRight w:val="0"/>
      <w:marTop w:val="0"/>
      <w:marBottom w:val="0"/>
      <w:divBdr>
        <w:top w:val="none" w:sz="0" w:space="0" w:color="auto"/>
        <w:left w:val="none" w:sz="0" w:space="0" w:color="auto"/>
        <w:bottom w:val="none" w:sz="0" w:space="0" w:color="auto"/>
        <w:right w:val="none" w:sz="0" w:space="0" w:color="auto"/>
      </w:divBdr>
      <w:divsChild>
        <w:div w:id="1099063790">
          <w:marLeft w:val="360"/>
          <w:marRight w:val="0"/>
          <w:marTop w:val="200"/>
          <w:marBottom w:val="0"/>
          <w:divBdr>
            <w:top w:val="none" w:sz="0" w:space="0" w:color="auto"/>
            <w:left w:val="none" w:sz="0" w:space="0" w:color="auto"/>
            <w:bottom w:val="none" w:sz="0" w:space="0" w:color="auto"/>
            <w:right w:val="none" w:sz="0" w:space="0" w:color="auto"/>
          </w:divBdr>
        </w:div>
        <w:div w:id="2031179202">
          <w:marLeft w:val="360"/>
          <w:marRight w:val="0"/>
          <w:marTop w:val="200"/>
          <w:marBottom w:val="0"/>
          <w:divBdr>
            <w:top w:val="none" w:sz="0" w:space="0" w:color="auto"/>
            <w:left w:val="none" w:sz="0" w:space="0" w:color="auto"/>
            <w:bottom w:val="none" w:sz="0" w:space="0" w:color="auto"/>
            <w:right w:val="none" w:sz="0" w:space="0" w:color="auto"/>
          </w:divBdr>
        </w:div>
      </w:divsChild>
    </w:div>
    <w:div w:id="360404136">
      <w:bodyDiv w:val="1"/>
      <w:marLeft w:val="0"/>
      <w:marRight w:val="0"/>
      <w:marTop w:val="0"/>
      <w:marBottom w:val="0"/>
      <w:divBdr>
        <w:top w:val="none" w:sz="0" w:space="0" w:color="auto"/>
        <w:left w:val="none" w:sz="0" w:space="0" w:color="auto"/>
        <w:bottom w:val="none" w:sz="0" w:space="0" w:color="auto"/>
        <w:right w:val="none" w:sz="0" w:space="0" w:color="auto"/>
      </w:divBdr>
    </w:div>
    <w:div w:id="363604843">
      <w:bodyDiv w:val="1"/>
      <w:marLeft w:val="0"/>
      <w:marRight w:val="0"/>
      <w:marTop w:val="0"/>
      <w:marBottom w:val="0"/>
      <w:divBdr>
        <w:top w:val="none" w:sz="0" w:space="0" w:color="auto"/>
        <w:left w:val="none" w:sz="0" w:space="0" w:color="auto"/>
        <w:bottom w:val="none" w:sz="0" w:space="0" w:color="auto"/>
        <w:right w:val="none" w:sz="0" w:space="0" w:color="auto"/>
      </w:divBdr>
    </w:div>
    <w:div w:id="381907375">
      <w:bodyDiv w:val="1"/>
      <w:marLeft w:val="0"/>
      <w:marRight w:val="0"/>
      <w:marTop w:val="0"/>
      <w:marBottom w:val="0"/>
      <w:divBdr>
        <w:top w:val="none" w:sz="0" w:space="0" w:color="auto"/>
        <w:left w:val="none" w:sz="0" w:space="0" w:color="auto"/>
        <w:bottom w:val="none" w:sz="0" w:space="0" w:color="auto"/>
        <w:right w:val="none" w:sz="0" w:space="0" w:color="auto"/>
      </w:divBdr>
    </w:div>
    <w:div w:id="384109407">
      <w:bodyDiv w:val="1"/>
      <w:marLeft w:val="0"/>
      <w:marRight w:val="0"/>
      <w:marTop w:val="0"/>
      <w:marBottom w:val="0"/>
      <w:divBdr>
        <w:top w:val="none" w:sz="0" w:space="0" w:color="auto"/>
        <w:left w:val="none" w:sz="0" w:space="0" w:color="auto"/>
        <w:bottom w:val="none" w:sz="0" w:space="0" w:color="auto"/>
        <w:right w:val="none" w:sz="0" w:space="0" w:color="auto"/>
      </w:divBdr>
    </w:div>
    <w:div w:id="386538447">
      <w:bodyDiv w:val="1"/>
      <w:marLeft w:val="0"/>
      <w:marRight w:val="0"/>
      <w:marTop w:val="0"/>
      <w:marBottom w:val="0"/>
      <w:divBdr>
        <w:top w:val="none" w:sz="0" w:space="0" w:color="auto"/>
        <w:left w:val="none" w:sz="0" w:space="0" w:color="auto"/>
        <w:bottom w:val="none" w:sz="0" w:space="0" w:color="auto"/>
        <w:right w:val="none" w:sz="0" w:space="0" w:color="auto"/>
      </w:divBdr>
    </w:div>
    <w:div w:id="392193649">
      <w:bodyDiv w:val="1"/>
      <w:marLeft w:val="0"/>
      <w:marRight w:val="0"/>
      <w:marTop w:val="0"/>
      <w:marBottom w:val="0"/>
      <w:divBdr>
        <w:top w:val="none" w:sz="0" w:space="0" w:color="auto"/>
        <w:left w:val="none" w:sz="0" w:space="0" w:color="auto"/>
        <w:bottom w:val="none" w:sz="0" w:space="0" w:color="auto"/>
        <w:right w:val="none" w:sz="0" w:space="0" w:color="auto"/>
      </w:divBdr>
    </w:div>
    <w:div w:id="392583629">
      <w:bodyDiv w:val="1"/>
      <w:marLeft w:val="0"/>
      <w:marRight w:val="0"/>
      <w:marTop w:val="0"/>
      <w:marBottom w:val="0"/>
      <w:divBdr>
        <w:top w:val="none" w:sz="0" w:space="0" w:color="auto"/>
        <w:left w:val="none" w:sz="0" w:space="0" w:color="auto"/>
        <w:bottom w:val="none" w:sz="0" w:space="0" w:color="auto"/>
        <w:right w:val="none" w:sz="0" w:space="0" w:color="auto"/>
      </w:divBdr>
    </w:div>
    <w:div w:id="396590205">
      <w:bodyDiv w:val="1"/>
      <w:marLeft w:val="0"/>
      <w:marRight w:val="0"/>
      <w:marTop w:val="0"/>
      <w:marBottom w:val="0"/>
      <w:divBdr>
        <w:top w:val="none" w:sz="0" w:space="0" w:color="auto"/>
        <w:left w:val="none" w:sz="0" w:space="0" w:color="auto"/>
        <w:bottom w:val="none" w:sz="0" w:space="0" w:color="auto"/>
        <w:right w:val="none" w:sz="0" w:space="0" w:color="auto"/>
      </w:divBdr>
    </w:div>
    <w:div w:id="398214555">
      <w:bodyDiv w:val="1"/>
      <w:marLeft w:val="0"/>
      <w:marRight w:val="0"/>
      <w:marTop w:val="0"/>
      <w:marBottom w:val="0"/>
      <w:divBdr>
        <w:top w:val="none" w:sz="0" w:space="0" w:color="auto"/>
        <w:left w:val="none" w:sz="0" w:space="0" w:color="auto"/>
        <w:bottom w:val="none" w:sz="0" w:space="0" w:color="auto"/>
        <w:right w:val="none" w:sz="0" w:space="0" w:color="auto"/>
      </w:divBdr>
    </w:div>
    <w:div w:id="398598751">
      <w:bodyDiv w:val="1"/>
      <w:marLeft w:val="0"/>
      <w:marRight w:val="0"/>
      <w:marTop w:val="0"/>
      <w:marBottom w:val="0"/>
      <w:divBdr>
        <w:top w:val="none" w:sz="0" w:space="0" w:color="auto"/>
        <w:left w:val="none" w:sz="0" w:space="0" w:color="auto"/>
        <w:bottom w:val="none" w:sz="0" w:space="0" w:color="auto"/>
        <w:right w:val="none" w:sz="0" w:space="0" w:color="auto"/>
      </w:divBdr>
    </w:div>
    <w:div w:id="401949893">
      <w:bodyDiv w:val="1"/>
      <w:marLeft w:val="0"/>
      <w:marRight w:val="0"/>
      <w:marTop w:val="0"/>
      <w:marBottom w:val="0"/>
      <w:divBdr>
        <w:top w:val="none" w:sz="0" w:space="0" w:color="auto"/>
        <w:left w:val="none" w:sz="0" w:space="0" w:color="auto"/>
        <w:bottom w:val="none" w:sz="0" w:space="0" w:color="auto"/>
        <w:right w:val="none" w:sz="0" w:space="0" w:color="auto"/>
      </w:divBdr>
    </w:div>
    <w:div w:id="412430521">
      <w:bodyDiv w:val="1"/>
      <w:marLeft w:val="0"/>
      <w:marRight w:val="0"/>
      <w:marTop w:val="0"/>
      <w:marBottom w:val="0"/>
      <w:divBdr>
        <w:top w:val="none" w:sz="0" w:space="0" w:color="auto"/>
        <w:left w:val="none" w:sz="0" w:space="0" w:color="auto"/>
        <w:bottom w:val="none" w:sz="0" w:space="0" w:color="auto"/>
        <w:right w:val="none" w:sz="0" w:space="0" w:color="auto"/>
      </w:divBdr>
    </w:div>
    <w:div w:id="415977905">
      <w:bodyDiv w:val="1"/>
      <w:marLeft w:val="0"/>
      <w:marRight w:val="0"/>
      <w:marTop w:val="0"/>
      <w:marBottom w:val="0"/>
      <w:divBdr>
        <w:top w:val="none" w:sz="0" w:space="0" w:color="auto"/>
        <w:left w:val="none" w:sz="0" w:space="0" w:color="auto"/>
        <w:bottom w:val="none" w:sz="0" w:space="0" w:color="auto"/>
        <w:right w:val="none" w:sz="0" w:space="0" w:color="auto"/>
      </w:divBdr>
    </w:div>
    <w:div w:id="420418278">
      <w:bodyDiv w:val="1"/>
      <w:marLeft w:val="0"/>
      <w:marRight w:val="0"/>
      <w:marTop w:val="0"/>
      <w:marBottom w:val="0"/>
      <w:divBdr>
        <w:top w:val="none" w:sz="0" w:space="0" w:color="auto"/>
        <w:left w:val="none" w:sz="0" w:space="0" w:color="auto"/>
        <w:bottom w:val="none" w:sz="0" w:space="0" w:color="auto"/>
        <w:right w:val="none" w:sz="0" w:space="0" w:color="auto"/>
      </w:divBdr>
    </w:div>
    <w:div w:id="424574093">
      <w:bodyDiv w:val="1"/>
      <w:marLeft w:val="0"/>
      <w:marRight w:val="0"/>
      <w:marTop w:val="0"/>
      <w:marBottom w:val="0"/>
      <w:divBdr>
        <w:top w:val="none" w:sz="0" w:space="0" w:color="auto"/>
        <w:left w:val="none" w:sz="0" w:space="0" w:color="auto"/>
        <w:bottom w:val="none" w:sz="0" w:space="0" w:color="auto"/>
        <w:right w:val="none" w:sz="0" w:space="0" w:color="auto"/>
      </w:divBdr>
    </w:div>
    <w:div w:id="425074094">
      <w:bodyDiv w:val="1"/>
      <w:marLeft w:val="0"/>
      <w:marRight w:val="0"/>
      <w:marTop w:val="0"/>
      <w:marBottom w:val="0"/>
      <w:divBdr>
        <w:top w:val="none" w:sz="0" w:space="0" w:color="auto"/>
        <w:left w:val="none" w:sz="0" w:space="0" w:color="auto"/>
        <w:bottom w:val="none" w:sz="0" w:space="0" w:color="auto"/>
        <w:right w:val="none" w:sz="0" w:space="0" w:color="auto"/>
      </w:divBdr>
    </w:div>
    <w:div w:id="427895475">
      <w:bodyDiv w:val="1"/>
      <w:marLeft w:val="0"/>
      <w:marRight w:val="0"/>
      <w:marTop w:val="0"/>
      <w:marBottom w:val="0"/>
      <w:divBdr>
        <w:top w:val="none" w:sz="0" w:space="0" w:color="auto"/>
        <w:left w:val="none" w:sz="0" w:space="0" w:color="auto"/>
        <w:bottom w:val="none" w:sz="0" w:space="0" w:color="auto"/>
        <w:right w:val="none" w:sz="0" w:space="0" w:color="auto"/>
      </w:divBdr>
    </w:div>
    <w:div w:id="430079870">
      <w:bodyDiv w:val="1"/>
      <w:marLeft w:val="0"/>
      <w:marRight w:val="0"/>
      <w:marTop w:val="0"/>
      <w:marBottom w:val="0"/>
      <w:divBdr>
        <w:top w:val="none" w:sz="0" w:space="0" w:color="auto"/>
        <w:left w:val="none" w:sz="0" w:space="0" w:color="auto"/>
        <w:bottom w:val="none" w:sz="0" w:space="0" w:color="auto"/>
        <w:right w:val="none" w:sz="0" w:space="0" w:color="auto"/>
      </w:divBdr>
    </w:div>
    <w:div w:id="431513077">
      <w:bodyDiv w:val="1"/>
      <w:marLeft w:val="0"/>
      <w:marRight w:val="0"/>
      <w:marTop w:val="0"/>
      <w:marBottom w:val="0"/>
      <w:divBdr>
        <w:top w:val="none" w:sz="0" w:space="0" w:color="auto"/>
        <w:left w:val="none" w:sz="0" w:space="0" w:color="auto"/>
        <w:bottom w:val="none" w:sz="0" w:space="0" w:color="auto"/>
        <w:right w:val="none" w:sz="0" w:space="0" w:color="auto"/>
      </w:divBdr>
    </w:div>
    <w:div w:id="436218075">
      <w:bodyDiv w:val="1"/>
      <w:marLeft w:val="0"/>
      <w:marRight w:val="0"/>
      <w:marTop w:val="0"/>
      <w:marBottom w:val="0"/>
      <w:divBdr>
        <w:top w:val="none" w:sz="0" w:space="0" w:color="auto"/>
        <w:left w:val="none" w:sz="0" w:space="0" w:color="auto"/>
        <w:bottom w:val="none" w:sz="0" w:space="0" w:color="auto"/>
        <w:right w:val="none" w:sz="0" w:space="0" w:color="auto"/>
      </w:divBdr>
    </w:div>
    <w:div w:id="452331735">
      <w:bodyDiv w:val="1"/>
      <w:marLeft w:val="0"/>
      <w:marRight w:val="0"/>
      <w:marTop w:val="0"/>
      <w:marBottom w:val="0"/>
      <w:divBdr>
        <w:top w:val="none" w:sz="0" w:space="0" w:color="auto"/>
        <w:left w:val="none" w:sz="0" w:space="0" w:color="auto"/>
        <w:bottom w:val="none" w:sz="0" w:space="0" w:color="auto"/>
        <w:right w:val="none" w:sz="0" w:space="0" w:color="auto"/>
      </w:divBdr>
    </w:div>
    <w:div w:id="464350508">
      <w:bodyDiv w:val="1"/>
      <w:marLeft w:val="0"/>
      <w:marRight w:val="0"/>
      <w:marTop w:val="0"/>
      <w:marBottom w:val="0"/>
      <w:divBdr>
        <w:top w:val="none" w:sz="0" w:space="0" w:color="auto"/>
        <w:left w:val="none" w:sz="0" w:space="0" w:color="auto"/>
        <w:bottom w:val="none" w:sz="0" w:space="0" w:color="auto"/>
        <w:right w:val="none" w:sz="0" w:space="0" w:color="auto"/>
      </w:divBdr>
    </w:div>
    <w:div w:id="466556693">
      <w:bodyDiv w:val="1"/>
      <w:marLeft w:val="0"/>
      <w:marRight w:val="0"/>
      <w:marTop w:val="0"/>
      <w:marBottom w:val="0"/>
      <w:divBdr>
        <w:top w:val="none" w:sz="0" w:space="0" w:color="auto"/>
        <w:left w:val="none" w:sz="0" w:space="0" w:color="auto"/>
        <w:bottom w:val="none" w:sz="0" w:space="0" w:color="auto"/>
        <w:right w:val="none" w:sz="0" w:space="0" w:color="auto"/>
      </w:divBdr>
    </w:div>
    <w:div w:id="469976590">
      <w:bodyDiv w:val="1"/>
      <w:marLeft w:val="0"/>
      <w:marRight w:val="0"/>
      <w:marTop w:val="0"/>
      <w:marBottom w:val="0"/>
      <w:divBdr>
        <w:top w:val="none" w:sz="0" w:space="0" w:color="auto"/>
        <w:left w:val="none" w:sz="0" w:space="0" w:color="auto"/>
        <w:bottom w:val="none" w:sz="0" w:space="0" w:color="auto"/>
        <w:right w:val="none" w:sz="0" w:space="0" w:color="auto"/>
      </w:divBdr>
    </w:div>
    <w:div w:id="476919152">
      <w:bodyDiv w:val="1"/>
      <w:marLeft w:val="0"/>
      <w:marRight w:val="0"/>
      <w:marTop w:val="0"/>
      <w:marBottom w:val="0"/>
      <w:divBdr>
        <w:top w:val="none" w:sz="0" w:space="0" w:color="auto"/>
        <w:left w:val="none" w:sz="0" w:space="0" w:color="auto"/>
        <w:bottom w:val="none" w:sz="0" w:space="0" w:color="auto"/>
        <w:right w:val="none" w:sz="0" w:space="0" w:color="auto"/>
      </w:divBdr>
    </w:div>
    <w:div w:id="479538938">
      <w:bodyDiv w:val="1"/>
      <w:marLeft w:val="0"/>
      <w:marRight w:val="0"/>
      <w:marTop w:val="0"/>
      <w:marBottom w:val="0"/>
      <w:divBdr>
        <w:top w:val="none" w:sz="0" w:space="0" w:color="auto"/>
        <w:left w:val="none" w:sz="0" w:space="0" w:color="auto"/>
        <w:bottom w:val="none" w:sz="0" w:space="0" w:color="auto"/>
        <w:right w:val="none" w:sz="0" w:space="0" w:color="auto"/>
      </w:divBdr>
    </w:div>
    <w:div w:id="480392683">
      <w:bodyDiv w:val="1"/>
      <w:marLeft w:val="0"/>
      <w:marRight w:val="0"/>
      <w:marTop w:val="0"/>
      <w:marBottom w:val="0"/>
      <w:divBdr>
        <w:top w:val="none" w:sz="0" w:space="0" w:color="auto"/>
        <w:left w:val="none" w:sz="0" w:space="0" w:color="auto"/>
        <w:bottom w:val="none" w:sz="0" w:space="0" w:color="auto"/>
        <w:right w:val="none" w:sz="0" w:space="0" w:color="auto"/>
      </w:divBdr>
    </w:div>
    <w:div w:id="486939405">
      <w:bodyDiv w:val="1"/>
      <w:marLeft w:val="0"/>
      <w:marRight w:val="0"/>
      <w:marTop w:val="0"/>
      <w:marBottom w:val="0"/>
      <w:divBdr>
        <w:top w:val="none" w:sz="0" w:space="0" w:color="auto"/>
        <w:left w:val="none" w:sz="0" w:space="0" w:color="auto"/>
        <w:bottom w:val="none" w:sz="0" w:space="0" w:color="auto"/>
        <w:right w:val="none" w:sz="0" w:space="0" w:color="auto"/>
      </w:divBdr>
    </w:div>
    <w:div w:id="491721050">
      <w:bodyDiv w:val="1"/>
      <w:marLeft w:val="0"/>
      <w:marRight w:val="0"/>
      <w:marTop w:val="0"/>
      <w:marBottom w:val="0"/>
      <w:divBdr>
        <w:top w:val="none" w:sz="0" w:space="0" w:color="auto"/>
        <w:left w:val="none" w:sz="0" w:space="0" w:color="auto"/>
        <w:bottom w:val="none" w:sz="0" w:space="0" w:color="auto"/>
        <w:right w:val="none" w:sz="0" w:space="0" w:color="auto"/>
      </w:divBdr>
    </w:div>
    <w:div w:id="491876895">
      <w:bodyDiv w:val="1"/>
      <w:marLeft w:val="0"/>
      <w:marRight w:val="0"/>
      <w:marTop w:val="0"/>
      <w:marBottom w:val="0"/>
      <w:divBdr>
        <w:top w:val="none" w:sz="0" w:space="0" w:color="auto"/>
        <w:left w:val="none" w:sz="0" w:space="0" w:color="auto"/>
        <w:bottom w:val="none" w:sz="0" w:space="0" w:color="auto"/>
        <w:right w:val="none" w:sz="0" w:space="0" w:color="auto"/>
      </w:divBdr>
    </w:div>
    <w:div w:id="492600945">
      <w:bodyDiv w:val="1"/>
      <w:marLeft w:val="0"/>
      <w:marRight w:val="0"/>
      <w:marTop w:val="0"/>
      <w:marBottom w:val="0"/>
      <w:divBdr>
        <w:top w:val="none" w:sz="0" w:space="0" w:color="auto"/>
        <w:left w:val="none" w:sz="0" w:space="0" w:color="auto"/>
        <w:bottom w:val="none" w:sz="0" w:space="0" w:color="auto"/>
        <w:right w:val="none" w:sz="0" w:space="0" w:color="auto"/>
      </w:divBdr>
    </w:div>
    <w:div w:id="495733010">
      <w:bodyDiv w:val="1"/>
      <w:marLeft w:val="0"/>
      <w:marRight w:val="0"/>
      <w:marTop w:val="0"/>
      <w:marBottom w:val="0"/>
      <w:divBdr>
        <w:top w:val="none" w:sz="0" w:space="0" w:color="auto"/>
        <w:left w:val="none" w:sz="0" w:space="0" w:color="auto"/>
        <w:bottom w:val="none" w:sz="0" w:space="0" w:color="auto"/>
        <w:right w:val="none" w:sz="0" w:space="0" w:color="auto"/>
      </w:divBdr>
    </w:div>
    <w:div w:id="495926921">
      <w:bodyDiv w:val="1"/>
      <w:marLeft w:val="0"/>
      <w:marRight w:val="0"/>
      <w:marTop w:val="0"/>
      <w:marBottom w:val="0"/>
      <w:divBdr>
        <w:top w:val="none" w:sz="0" w:space="0" w:color="auto"/>
        <w:left w:val="none" w:sz="0" w:space="0" w:color="auto"/>
        <w:bottom w:val="none" w:sz="0" w:space="0" w:color="auto"/>
        <w:right w:val="none" w:sz="0" w:space="0" w:color="auto"/>
      </w:divBdr>
    </w:div>
    <w:div w:id="515509704">
      <w:bodyDiv w:val="1"/>
      <w:marLeft w:val="0"/>
      <w:marRight w:val="0"/>
      <w:marTop w:val="0"/>
      <w:marBottom w:val="0"/>
      <w:divBdr>
        <w:top w:val="none" w:sz="0" w:space="0" w:color="auto"/>
        <w:left w:val="none" w:sz="0" w:space="0" w:color="auto"/>
        <w:bottom w:val="none" w:sz="0" w:space="0" w:color="auto"/>
        <w:right w:val="none" w:sz="0" w:space="0" w:color="auto"/>
      </w:divBdr>
    </w:div>
    <w:div w:id="516120058">
      <w:bodyDiv w:val="1"/>
      <w:marLeft w:val="0"/>
      <w:marRight w:val="0"/>
      <w:marTop w:val="0"/>
      <w:marBottom w:val="0"/>
      <w:divBdr>
        <w:top w:val="none" w:sz="0" w:space="0" w:color="auto"/>
        <w:left w:val="none" w:sz="0" w:space="0" w:color="auto"/>
        <w:bottom w:val="none" w:sz="0" w:space="0" w:color="auto"/>
        <w:right w:val="none" w:sz="0" w:space="0" w:color="auto"/>
      </w:divBdr>
    </w:div>
    <w:div w:id="517544395">
      <w:bodyDiv w:val="1"/>
      <w:marLeft w:val="0"/>
      <w:marRight w:val="0"/>
      <w:marTop w:val="0"/>
      <w:marBottom w:val="0"/>
      <w:divBdr>
        <w:top w:val="none" w:sz="0" w:space="0" w:color="auto"/>
        <w:left w:val="none" w:sz="0" w:space="0" w:color="auto"/>
        <w:bottom w:val="none" w:sz="0" w:space="0" w:color="auto"/>
        <w:right w:val="none" w:sz="0" w:space="0" w:color="auto"/>
      </w:divBdr>
    </w:div>
    <w:div w:id="519317875">
      <w:bodyDiv w:val="1"/>
      <w:marLeft w:val="0"/>
      <w:marRight w:val="0"/>
      <w:marTop w:val="0"/>
      <w:marBottom w:val="0"/>
      <w:divBdr>
        <w:top w:val="none" w:sz="0" w:space="0" w:color="auto"/>
        <w:left w:val="none" w:sz="0" w:space="0" w:color="auto"/>
        <w:bottom w:val="none" w:sz="0" w:space="0" w:color="auto"/>
        <w:right w:val="none" w:sz="0" w:space="0" w:color="auto"/>
      </w:divBdr>
    </w:div>
    <w:div w:id="521285411">
      <w:bodyDiv w:val="1"/>
      <w:marLeft w:val="0"/>
      <w:marRight w:val="0"/>
      <w:marTop w:val="0"/>
      <w:marBottom w:val="0"/>
      <w:divBdr>
        <w:top w:val="none" w:sz="0" w:space="0" w:color="auto"/>
        <w:left w:val="none" w:sz="0" w:space="0" w:color="auto"/>
        <w:bottom w:val="none" w:sz="0" w:space="0" w:color="auto"/>
        <w:right w:val="none" w:sz="0" w:space="0" w:color="auto"/>
      </w:divBdr>
    </w:div>
    <w:div w:id="522784063">
      <w:bodyDiv w:val="1"/>
      <w:marLeft w:val="0"/>
      <w:marRight w:val="0"/>
      <w:marTop w:val="0"/>
      <w:marBottom w:val="0"/>
      <w:divBdr>
        <w:top w:val="none" w:sz="0" w:space="0" w:color="auto"/>
        <w:left w:val="none" w:sz="0" w:space="0" w:color="auto"/>
        <w:bottom w:val="none" w:sz="0" w:space="0" w:color="auto"/>
        <w:right w:val="none" w:sz="0" w:space="0" w:color="auto"/>
      </w:divBdr>
    </w:div>
    <w:div w:id="525144969">
      <w:bodyDiv w:val="1"/>
      <w:marLeft w:val="0"/>
      <w:marRight w:val="0"/>
      <w:marTop w:val="0"/>
      <w:marBottom w:val="0"/>
      <w:divBdr>
        <w:top w:val="none" w:sz="0" w:space="0" w:color="auto"/>
        <w:left w:val="none" w:sz="0" w:space="0" w:color="auto"/>
        <w:bottom w:val="none" w:sz="0" w:space="0" w:color="auto"/>
        <w:right w:val="none" w:sz="0" w:space="0" w:color="auto"/>
      </w:divBdr>
    </w:div>
    <w:div w:id="537006852">
      <w:bodyDiv w:val="1"/>
      <w:marLeft w:val="0"/>
      <w:marRight w:val="0"/>
      <w:marTop w:val="0"/>
      <w:marBottom w:val="0"/>
      <w:divBdr>
        <w:top w:val="none" w:sz="0" w:space="0" w:color="auto"/>
        <w:left w:val="none" w:sz="0" w:space="0" w:color="auto"/>
        <w:bottom w:val="none" w:sz="0" w:space="0" w:color="auto"/>
        <w:right w:val="none" w:sz="0" w:space="0" w:color="auto"/>
      </w:divBdr>
    </w:div>
    <w:div w:id="537551773">
      <w:bodyDiv w:val="1"/>
      <w:marLeft w:val="0"/>
      <w:marRight w:val="0"/>
      <w:marTop w:val="0"/>
      <w:marBottom w:val="0"/>
      <w:divBdr>
        <w:top w:val="none" w:sz="0" w:space="0" w:color="auto"/>
        <w:left w:val="none" w:sz="0" w:space="0" w:color="auto"/>
        <w:bottom w:val="none" w:sz="0" w:space="0" w:color="auto"/>
        <w:right w:val="none" w:sz="0" w:space="0" w:color="auto"/>
      </w:divBdr>
    </w:div>
    <w:div w:id="540096339">
      <w:bodyDiv w:val="1"/>
      <w:marLeft w:val="0"/>
      <w:marRight w:val="0"/>
      <w:marTop w:val="0"/>
      <w:marBottom w:val="0"/>
      <w:divBdr>
        <w:top w:val="none" w:sz="0" w:space="0" w:color="auto"/>
        <w:left w:val="none" w:sz="0" w:space="0" w:color="auto"/>
        <w:bottom w:val="none" w:sz="0" w:space="0" w:color="auto"/>
        <w:right w:val="none" w:sz="0" w:space="0" w:color="auto"/>
      </w:divBdr>
    </w:div>
    <w:div w:id="552274684">
      <w:bodyDiv w:val="1"/>
      <w:marLeft w:val="0"/>
      <w:marRight w:val="0"/>
      <w:marTop w:val="0"/>
      <w:marBottom w:val="0"/>
      <w:divBdr>
        <w:top w:val="none" w:sz="0" w:space="0" w:color="auto"/>
        <w:left w:val="none" w:sz="0" w:space="0" w:color="auto"/>
        <w:bottom w:val="none" w:sz="0" w:space="0" w:color="auto"/>
        <w:right w:val="none" w:sz="0" w:space="0" w:color="auto"/>
      </w:divBdr>
    </w:div>
    <w:div w:id="555507477">
      <w:bodyDiv w:val="1"/>
      <w:marLeft w:val="0"/>
      <w:marRight w:val="0"/>
      <w:marTop w:val="0"/>
      <w:marBottom w:val="0"/>
      <w:divBdr>
        <w:top w:val="none" w:sz="0" w:space="0" w:color="auto"/>
        <w:left w:val="none" w:sz="0" w:space="0" w:color="auto"/>
        <w:bottom w:val="none" w:sz="0" w:space="0" w:color="auto"/>
        <w:right w:val="none" w:sz="0" w:space="0" w:color="auto"/>
      </w:divBdr>
    </w:div>
    <w:div w:id="557280629">
      <w:bodyDiv w:val="1"/>
      <w:marLeft w:val="0"/>
      <w:marRight w:val="0"/>
      <w:marTop w:val="0"/>
      <w:marBottom w:val="0"/>
      <w:divBdr>
        <w:top w:val="none" w:sz="0" w:space="0" w:color="auto"/>
        <w:left w:val="none" w:sz="0" w:space="0" w:color="auto"/>
        <w:bottom w:val="none" w:sz="0" w:space="0" w:color="auto"/>
        <w:right w:val="none" w:sz="0" w:space="0" w:color="auto"/>
      </w:divBdr>
    </w:div>
    <w:div w:id="563641212">
      <w:bodyDiv w:val="1"/>
      <w:marLeft w:val="0"/>
      <w:marRight w:val="0"/>
      <w:marTop w:val="0"/>
      <w:marBottom w:val="0"/>
      <w:divBdr>
        <w:top w:val="none" w:sz="0" w:space="0" w:color="auto"/>
        <w:left w:val="none" w:sz="0" w:space="0" w:color="auto"/>
        <w:bottom w:val="none" w:sz="0" w:space="0" w:color="auto"/>
        <w:right w:val="none" w:sz="0" w:space="0" w:color="auto"/>
      </w:divBdr>
    </w:div>
    <w:div w:id="563951089">
      <w:bodyDiv w:val="1"/>
      <w:marLeft w:val="0"/>
      <w:marRight w:val="0"/>
      <w:marTop w:val="0"/>
      <w:marBottom w:val="0"/>
      <w:divBdr>
        <w:top w:val="none" w:sz="0" w:space="0" w:color="auto"/>
        <w:left w:val="none" w:sz="0" w:space="0" w:color="auto"/>
        <w:bottom w:val="none" w:sz="0" w:space="0" w:color="auto"/>
        <w:right w:val="none" w:sz="0" w:space="0" w:color="auto"/>
      </w:divBdr>
    </w:div>
    <w:div w:id="577902035">
      <w:bodyDiv w:val="1"/>
      <w:marLeft w:val="0"/>
      <w:marRight w:val="0"/>
      <w:marTop w:val="0"/>
      <w:marBottom w:val="0"/>
      <w:divBdr>
        <w:top w:val="none" w:sz="0" w:space="0" w:color="auto"/>
        <w:left w:val="none" w:sz="0" w:space="0" w:color="auto"/>
        <w:bottom w:val="none" w:sz="0" w:space="0" w:color="auto"/>
        <w:right w:val="none" w:sz="0" w:space="0" w:color="auto"/>
      </w:divBdr>
    </w:div>
    <w:div w:id="580020874">
      <w:bodyDiv w:val="1"/>
      <w:marLeft w:val="0"/>
      <w:marRight w:val="0"/>
      <w:marTop w:val="0"/>
      <w:marBottom w:val="0"/>
      <w:divBdr>
        <w:top w:val="none" w:sz="0" w:space="0" w:color="auto"/>
        <w:left w:val="none" w:sz="0" w:space="0" w:color="auto"/>
        <w:bottom w:val="none" w:sz="0" w:space="0" w:color="auto"/>
        <w:right w:val="none" w:sz="0" w:space="0" w:color="auto"/>
      </w:divBdr>
    </w:div>
    <w:div w:id="581328945">
      <w:bodyDiv w:val="1"/>
      <w:marLeft w:val="0"/>
      <w:marRight w:val="0"/>
      <w:marTop w:val="0"/>
      <w:marBottom w:val="0"/>
      <w:divBdr>
        <w:top w:val="none" w:sz="0" w:space="0" w:color="auto"/>
        <w:left w:val="none" w:sz="0" w:space="0" w:color="auto"/>
        <w:bottom w:val="none" w:sz="0" w:space="0" w:color="auto"/>
        <w:right w:val="none" w:sz="0" w:space="0" w:color="auto"/>
      </w:divBdr>
    </w:div>
    <w:div w:id="586230250">
      <w:bodyDiv w:val="1"/>
      <w:marLeft w:val="0"/>
      <w:marRight w:val="0"/>
      <w:marTop w:val="0"/>
      <w:marBottom w:val="0"/>
      <w:divBdr>
        <w:top w:val="none" w:sz="0" w:space="0" w:color="auto"/>
        <w:left w:val="none" w:sz="0" w:space="0" w:color="auto"/>
        <w:bottom w:val="none" w:sz="0" w:space="0" w:color="auto"/>
        <w:right w:val="none" w:sz="0" w:space="0" w:color="auto"/>
      </w:divBdr>
    </w:div>
    <w:div w:id="588923946">
      <w:bodyDiv w:val="1"/>
      <w:marLeft w:val="0"/>
      <w:marRight w:val="0"/>
      <w:marTop w:val="0"/>
      <w:marBottom w:val="0"/>
      <w:divBdr>
        <w:top w:val="none" w:sz="0" w:space="0" w:color="auto"/>
        <w:left w:val="none" w:sz="0" w:space="0" w:color="auto"/>
        <w:bottom w:val="none" w:sz="0" w:space="0" w:color="auto"/>
        <w:right w:val="none" w:sz="0" w:space="0" w:color="auto"/>
      </w:divBdr>
    </w:div>
    <w:div w:id="591160551">
      <w:bodyDiv w:val="1"/>
      <w:marLeft w:val="0"/>
      <w:marRight w:val="0"/>
      <w:marTop w:val="0"/>
      <w:marBottom w:val="0"/>
      <w:divBdr>
        <w:top w:val="none" w:sz="0" w:space="0" w:color="auto"/>
        <w:left w:val="none" w:sz="0" w:space="0" w:color="auto"/>
        <w:bottom w:val="none" w:sz="0" w:space="0" w:color="auto"/>
        <w:right w:val="none" w:sz="0" w:space="0" w:color="auto"/>
      </w:divBdr>
    </w:div>
    <w:div w:id="598418202">
      <w:bodyDiv w:val="1"/>
      <w:marLeft w:val="0"/>
      <w:marRight w:val="0"/>
      <w:marTop w:val="0"/>
      <w:marBottom w:val="0"/>
      <w:divBdr>
        <w:top w:val="none" w:sz="0" w:space="0" w:color="auto"/>
        <w:left w:val="none" w:sz="0" w:space="0" w:color="auto"/>
        <w:bottom w:val="none" w:sz="0" w:space="0" w:color="auto"/>
        <w:right w:val="none" w:sz="0" w:space="0" w:color="auto"/>
      </w:divBdr>
    </w:div>
    <w:div w:id="605618471">
      <w:bodyDiv w:val="1"/>
      <w:marLeft w:val="0"/>
      <w:marRight w:val="0"/>
      <w:marTop w:val="0"/>
      <w:marBottom w:val="0"/>
      <w:divBdr>
        <w:top w:val="none" w:sz="0" w:space="0" w:color="auto"/>
        <w:left w:val="none" w:sz="0" w:space="0" w:color="auto"/>
        <w:bottom w:val="none" w:sz="0" w:space="0" w:color="auto"/>
        <w:right w:val="none" w:sz="0" w:space="0" w:color="auto"/>
      </w:divBdr>
    </w:div>
    <w:div w:id="605622033">
      <w:bodyDiv w:val="1"/>
      <w:marLeft w:val="0"/>
      <w:marRight w:val="0"/>
      <w:marTop w:val="0"/>
      <w:marBottom w:val="0"/>
      <w:divBdr>
        <w:top w:val="none" w:sz="0" w:space="0" w:color="auto"/>
        <w:left w:val="none" w:sz="0" w:space="0" w:color="auto"/>
        <w:bottom w:val="none" w:sz="0" w:space="0" w:color="auto"/>
        <w:right w:val="none" w:sz="0" w:space="0" w:color="auto"/>
      </w:divBdr>
    </w:div>
    <w:div w:id="614798472">
      <w:bodyDiv w:val="1"/>
      <w:marLeft w:val="0"/>
      <w:marRight w:val="0"/>
      <w:marTop w:val="0"/>
      <w:marBottom w:val="0"/>
      <w:divBdr>
        <w:top w:val="none" w:sz="0" w:space="0" w:color="auto"/>
        <w:left w:val="none" w:sz="0" w:space="0" w:color="auto"/>
        <w:bottom w:val="none" w:sz="0" w:space="0" w:color="auto"/>
        <w:right w:val="none" w:sz="0" w:space="0" w:color="auto"/>
      </w:divBdr>
    </w:div>
    <w:div w:id="623854786">
      <w:bodyDiv w:val="1"/>
      <w:marLeft w:val="0"/>
      <w:marRight w:val="0"/>
      <w:marTop w:val="0"/>
      <w:marBottom w:val="0"/>
      <w:divBdr>
        <w:top w:val="none" w:sz="0" w:space="0" w:color="auto"/>
        <w:left w:val="none" w:sz="0" w:space="0" w:color="auto"/>
        <w:bottom w:val="none" w:sz="0" w:space="0" w:color="auto"/>
        <w:right w:val="none" w:sz="0" w:space="0" w:color="auto"/>
      </w:divBdr>
    </w:div>
    <w:div w:id="625311217">
      <w:bodyDiv w:val="1"/>
      <w:marLeft w:val="0"/>
      <w:marRight w:val="0"/>
      <w:marTop w:val="0"/>
      <w:marBottom w:val="0"/>
      <w:divBdr>
        <w:top w:val="none" w:sz="0" w:space="0" w:color="auto"/>
        <w:left w:val="none" w:sz="0" w:space="0" w:color="auto"/>
        <w:bottom w:val="none" w:sz="0" w:space="0" w:color="auto"/>
        <w:right w:val="none" w:sz="0" w:space="0" w:color="auto"/>
      </w:divBdr>
    </w:div>
    <w:div w:id="625694800">
      <w:bodyDiv w:val="1"/>
      <w:marLeft w:val="0"/>
      <w:marRight w:val="0"/>
      <w:marTop w:val="0"/>
      <w:marBottom w:val="0"/>
      <w:divBdr>
        <w:top w:val="none" w:sz="0" w:space="0" w:color="auto"/>
        <w:left w:val="none" w:sz="0" w:space="0" w:color="auto"/>
        <w:bottom w:val="none" w:sz="0" w:space="0" w:color="auto"/>
        <w:right w:val="none" w:sz="0" w:space="0" w:color="auto"/>
      </w:divBdr>
    </w:div>
    <w:div w:id="625936063">
      <w:bodyDiv w:val="1"/>
      <w:marLeft w:val="0"/>
      <w:marRight w:val="0"/>
      <w:marTop w:val="0"/>
      <w:marBottom w:val="0"/>
      <w:divBdr>
        <w:top w:val="none" w:sz="0" w:space="0" w:color="auto"/>
        <w:left w:val="none" w:sz="0" w:space="0" w:color="auto"/>
        <w:bottom w:val="none" w:sz="0" w:space="0" w:color="auto"/>
        <w:right w:val="none" w:sz="0" w:space="0" w:color="auto"/>
      </w:divBdr>
    </w:div>
    <w:div w:id="627471577">
      <w:bodyDiv w:val="1"/>
      <w:marLeft w:val="0"/>
      <w:marRight w:val="0"/>
      <w:marTop w:val="0"/>
      <w:marBottom w:val="0"/>
      <w:divBdr>
        <w:top w:val="none" w:sz="0" w:space="0" w:color="auto"/>
        <w:left w:val="none" w:sz="0" w:space="0" w:color="auto"/>
        <w:bottom w:val="none" w:sz="0" w:space="0" w:color="auto"/>
        <w:right w:val="none" w:sz="0" w:space="0" w:color="auto"/>
      </w:divBdr>
    </w:div>
    <w:div w:id="629046227">
      <w:bodyDiv w:val="1"/>
      <w:marLeft w:val="0"/>
      <w:marRight w:val="0"/>
      <w:marTop w:val="0"/>
      <w:marBottom w:val="0"/>
      <w:divBdr>
        <w:top w:val="none" w:sz="0" w:space="0" w:color="auto"/>
        <w:left w:val="none" w:sz="0" w:space="0" w:color="auto"/>
        <w:bottom w:val="none" w:sz="0" w:space="0" w:color="auto"/>
        <w:right w:val="none" w:sz="0" w:space="0" w:color="auto"/>
      </w:divBdr>
    </w:div>
    <w:div w:id="629288655">
      <w:bodyDiv w:val="1"/>
      <w:marLeft w:val="0"/>
      <w:marRight w:val="0"/>
      <w:marTop w:val="0"/>
      <w:marBottom w:val="0"/>
      <w:divBdr>
        <w:top w:val="none" w:sz="0" w:space="0" w:color="auto"/>
        <w:left w:val="none" w:sz="0" w:space="0" w:color="auto"/>
        <w:bottom w:val="none" w:sz="0" w:space="0" w:color="auto"/>
        <w:right w:val="none" w:sz="0" w:space="0" w:color="auto"/>
      </w:divBdr>
    </w:div>
    <w:div w:id="631398129">
      <w:bodyDiv w:val="1"/>
      <w:marLeft w:val="0"/>
      <w:marRight w:val="0"/>
      <w:marTop w:val="0"/>
      <w:marBottom w:val="0"/>
      <w:divBdr>
        <w:top w:val="none" w:sz="0" w:space="0" w:color="auto"/>
        <w:left w:val="none" w:sz="0" w:space="0" w:color="auto"/>
        <w:bottom w:val="none" w:sz="0" w:space="0" w:color="auto"/>
        <w:right w:val="none" w:sz="0" w:space="0" w:color="auto"/>
      </w:divBdr>
    </w:div>
    <w:div w:id="632172941">
      <w:bodyDiv w:val="1"/>
      <w:marLeft w:val="0"/>
      <w:marRight w:val="0"/>
      <w:marTop w:val="0"/>
      <w:marBottom w:val="0"/>
      <w:divBdr>
        <w:top w:val="none" w:sz="0" w:space="0" w:color="auto"/>
        <w:left w:val="none" w:sz="0" w:space="0" w:color="auto"/>
        <w:bottom w:val="none" w:sz="0" w:space="0" w:color="auto"/>
        <w:right w:val="none" w:sz="0" w:space="0" w:color="auto"/>
      </w:divBdr>
    </w:div>
    <w:div w:id="633566733">
      <w:bodyDiv w:val="1"/>
      <w:marLeft w:val="0"/>
      <w:marRight w:val="0"/>
      <w:marTop w:val="0"/>
      <w:marBottom w:val="0"/>
      <w:divBdr>
        <w:top w:val="none" w:sz="0" w:space="0" w:color="auto"/>
        <w:left w:val="none" w:sz="0" w:space="0" w:color="auto"/>
        <w:bottom w:val="none" w:sz="0" w:space="0" w:color="auto"/>
        <w:right w:val="none" w:sz="0" w:space="0" w:color="auto"/>
      </w:divBdr>
    </w:div>
    <w:div w:id="636255079">
      <w:bodyDiv w:val="1"/>
      <w:marLeft w:val="0"/>
      <w:marRight w:val="0"/>
      <w:marTop w:val="0"/>
      <w:marBottom w:val="0"/>
      <w:divBdr>
        <w:top w:val="none" w:sz="0" w:space="0" w:color="auto"/>
        <w:left w:val="none" w:sz="0" w:space="0" w:color="auto"/>
        <w:bottom w:val="none" w:sz="0" w:space="0" w:color="auto"/>
        <w:right w:val="none" w:sz="0" w:space="0" w:color="auto"/>
      </w:divBdr>
    </w:div>
    <w:div w:id="638808099">
      <w:bodyDiv w:val="1"/>
      <w:marLeft w:val="0"/>
      <w:marRight w:val="0"/>
      <w:marTop w:val="0"/>
      <w:marBottom w:val="0"/>
      <w:divBdr>
        <w:top w:val="none" w:sz="0" w:space="0" w:color="auto"/>
        <w:left w:val="none" w:sz="0" w:space="0" w:color="auto"/>
        <w:bottom w:val="none" w:sz="0" w:space="0" w:color="auto"/>
        <w:right w:val="none" w:sz="0" w:space="0" w:color="auto"/>
      </w:divBdr>
    </w:div>
    <w:div w:id="641077965">
      <w:bodyDiv w:val="1"/>
      <w:marLeft w:val="0"/>
      <w:marRight w:val="0"/>
      <w:marTop w:val="0"/>
      <w:marBottom w:val="0"/>
      <w:divBdr>
        <w:top w:val="none" w:sz="0" w:space="0" w:color="auto"/>
        <w:left w:val="none" w:sz="0" w:space="0" w:color="auto"/>
        <w:bottom w:val="none" w:sz="0" w:space="0" w:color="auto"/>
        <w:right w:val="none" w:sz="0" w:space="0" w:color="auto"/>
      </w:divBdr>
    </w:div>
    <w:div w:id="648904306">
      <w:bodyDiv w:val="1"/>
      <w:marLeft w:val="0"/>
      <w:marRight w:val="0"/>
      <w:marTop w:val="0"/>
      <w:marBottom w:val="0"/>
      <w:divBdr>
        <w:top w:val="none" w:sz="0" w:space="0" w:color="auto"/>
        <w:left w:val="none" w:sz="0" w:space="0" w:color="auto"/>
        <w:bottom w:val="none" w:sz="0" w:space="0" w:color="auto"/>
        <w:right w:val="none" w:sz="0" w:space="0" w:color="auto"/>
      </w:divBdr>
    </w:div>
    <w:div w:id="652953178">
      <w:bodyDiv w:val="1"/>
      <w:marLeft w:val="0"/>
      <w:marRight w:val="0"/>
      <w:marTop w:val="0"/>
      <w:marBottom w:val="0"/>
      <w:divBdr>
        <w:top w:val="none" w:sz="0" w:space="0" w:color="auto"/>
        <w:left w:val="none" w:sz="0" w:space="0" w:color="auto"/>
        <w:bottom w:val="none" w:sz="0" w:space="0" w:color="auto"/>
        <w:right w:val="none" w:sz="0" w:space="0" w:color="auto"/>
      </w:divBdr>
    </w:div>
    <w:div w:id="663970289">
      <w:bodyDiv w:val="1"/>
      <w:marLeft w:val="0"/>
      <w:marRight w:val="0"/>
      <w:marTop w:val="0"/>
      <w:marBottom w:val="0"/>
      <w:divBdr>
        <w:top w:val="none" w:sz="0" w:space="0" w:color="auto"/>
        <w:left w:val="none" w:sz="0" w:space="0" w:color="auto"/>
        <w:bottom w:val="none" w:sz="0" w:space="0" w:color="auto"/>
        <w:right w:val="none" w:sz="0" w:space="0" w:color="auto"/>
      </w:divBdr>
    </w:div>
    <w:div w:id="668486373">
      <w:bodyDiv w:val="1"/>
      <w:marLeft w:val="0"/>
      <w:marRight w:val="0"/>
      <w:marTop w:val="0"/>
      <w:marBottom w:val="0"/>
      <w:divBdr>
        <w:top w:val="none" w:sz="0" w:space="0" w:color="auto"/>
        <w:left w:val="none" w:sz="0" w:space="0" w:color="auto"/>
        <w:bottom w:val="none" w:sz="0" w:space="0" w:color="auto"/>
        <w:right w:val="none" w:sz="0" w:space="0" w:color="auto"/>
      </w:divBdr>
    </w:div>
    <w:div w:id="668949857">
      <w:bodyDiv w:val="1"/>
      <w:marLeft w:val="0"/>
      <w:marRight w:val="0"/>
      <w:marTop w:val="0"/>
      <w:marBottom w:val="0"/>
      <w:divBdr>
        <w:top w:val="none" w:sz="0" w:space="0" w:color="auto"/>
        <w:left w:val="none" w:sz="0" w:space="0" w:color="auto"/>
        <w:bottom w:val="none" w:sz="0" w:space="0" w:color="auto"/>
        <w:right w:val="none" w:sz="0" w:space="0" w:color="auto"/>
      </w:divBdr>
    </w:div>
    <w:div w:id="674302512">
      <w:bodyDiv w:val="1"/>
      <w:marLeft w:val="0"/>
      <w:marRight w:val="0"/>
      <w:marTop w:val="0"/>
      <w:marBottom w:val="0"/>
      <w:divBdr>
        <w:top w:val="none" w:sz="0" w:space="0" w:color="auto"/>
        <w:left w:val="none" w:sz="0" w:space="0" w:color="auto"/>
        <w:bottom w:val="none" w:sz="0" w:space="0" w:color="auto"/>
        <w:right w:val="none" w:sz="0" w:space="0" w:color="auto"/>
      </w:divBdr>
    </w:div>
    <w:div w:id="675815283">
      <w:bodyDiv w:val="1"/>
      <w:marLeft w:val="0"/>
      <w:marRight w:val="0"/>
      <w:marTop w:val="0"/>
      <w:marBottom w:val="0"/>
      <w:divBdr>
        <w:top w:val="none" w:sz="0" w:space="0" w:color="auto"/>
        <w:left w:val="none" w:sz="0" w:space="0" w:color="auto"/>
        <w:bottom w:val="none" w:sz="0" w:space="0" w:color="auto"/>
        <w:right w:val="none" w:sz="0" w:space="0" w:color="auto"/>
      </w:divBdr>
    </w:div>
    <w:div w:id="676922760">
      <w:bodyDiv w:val="1"/>
      <w:marLeft w:val="0"/>
      <w:marRight w:val="0"/>
      <w:marTop w:val="0"/>
      <w:marBottom w:val="0"/>
      <w:divBdr>
        <w:top w:val="none" w:sz="0" w:space="0" w:color="auto"/>
        <w:left w:val="none" w:sz="0" w:space="0" w:color="auto"/>
        <w:bottom w:val="none" w:sz="0" w:space="0" w:color="auto"/>
        <w:right w:val="none" w:sz="0" w:space="0" w:color="auto"/>
      </w:divBdr>
    </w:div>
    <w:div w:id="678775789">
      <w:bodyDiv w:val="1"/>
      <w:marLeft w:val="0"/>
      <w:marRight w:val="0"/>
      <w:marTop w:val="0"/>
      <w:marBottom w:val="0"/>
      <w:divBdr>
        <w:top w:val="none" w:sz="0" w:space="0" w:color="auto"/>
        <w:left w:val="none" w:sz="0" w:space="0" w:color="auto"/>
        <w:bottom w:val="none" w:sz="0" w:space="0" w:color="auto"/>
        <w:right w:val="none" w:sz="0" w:space="0" w:color="auto"/>
      </w:divBdr>
    </w:div>
    <w:div w:id="682781885">
      <w:bodyDiv w:val="1"/>
      <w:marLeft w:val="0"/>
      <w:marRight w:val="0"/>
      <w:marTop w:val="0"/>
      <w:marBottom w:val="0"/>
      <w:divBdr>
        <w:top w:val="none" w:sz="0" w:space="0" w:color="auto"/>
        <w:left w:val="none" w:sz="0" w:space="0" w:color="auto"/>
        <w:bottom w:val="none" w:sz="0" w:space="0" w:color="auto"/>
        <w:right w:val="none" w:sz="0" w:space="0" w:color="auto"/>
      </w:divBdr>
    </w:div>
    <w:div w:id="685055125">
      <w:bodyDiv w:val="1"/>
      <w:marLeft w:val="0"/>
      <w:marRight w:val="0"/>
      <w:marTop w:val="0"/>
      <w:marBottom w:val="0"/>
      <w:divBdr>
        <w:top w:val="none" w:sz="0" w:space="0" w:color="auto"/>
        <w:left w:val="none" w:sz="0" w:space="0" w:color="auto"/>
        <w:bottom w:val="none" w:sz="0" w:space="0" w:color="auto"/>
        <w:right w:val="none" w:sz="0" w:space="0" w:color="auto"/>
      </w:divBdr>
    </w:div>
    <w:div w:id="689992676">
      <w:bodyDiv w:val="1"/>
      <w:marLeft w:val="0"/>
      <w:marRight w:val="0"/>
      <w:marTop w:val="0"/>
      <w:marBottom w:val="0"/>
      <w:divBdr>
        <w:top w:val="none" w:sz="0" w:space="0" w:color="auto"/>
        <w:left w:val="none" w:sz="0" w:space="0" w:color="auto"/>
        <w:bottom w:val="none" w:sz="0" w:space="0" w:color="auto"/>
        <w:right w:val="none" w:sz="0" w:space="0" w:color="auto"/>
      </w:divBdr>
    </w:div>
    <w:div w:id="691079340">
      <w:bodyDiv w:val="1"/>
      <w:marLeft w:val="0"/>
      <w:marRight w:val="0"/>
      <w:marTop w:val="0"/>
      <w:marBottom w:val="0"/>
      <w:divBdr>
        <w:top w:val="none" w:sz="0" w:space="0" w:color="auto"/>
        <w:left w:val="none" w:sz="0" w:space="0" w:color="auto"/>
        <w:bottom w:val="none" w:sz="0" w:space="0" w:color="auto"/>
        <w:right w:val="none" w:sz="0" w:space="0" w:color="auto"/>
      </w:divBdr>
    </w:div>
    <w:div w:id="697702043">
      <w:bodyDiv w:val="1"/>
      <w:marLeft w:val="0"/>
      <w:marRight w:val="0"/>
      <w:marTop w:val="0"/>
      <w:marBottom w:val="0"/>
      <w:divBdr>
        <w:top w:val="none" w:sz="0" w:space="0" w:color="auto"/>
        <w:left w:val="none" w:sz="0" w:space="0" w:color="auto"/>
        <w:bottom w:val="none" w:sz="0" w:space="0" w:color="auto"/>
        <w:right w:val="none" w:sz="0" w:space="0" w:color="auto"/>
      </w:divBdr>
    </w:div>
    <w:div w:id="700741746">
      <w:bodyDiv w:val="1"/>
      <w:marLeft w:val="0"/>
      <w:marRight w:val="0"/>
      <w:marTop w:val="0"/>
      <w:marBottom w:val="0"/>
      <w:divBdr>
        <w:top w:val="none" w:sz="0" w:space="0" w:color="auto"/>
        <w:left w:val="none" w:sz="0" w:space="0" w:color="auto"/>
        <w:bottom w:val="none" w:sz="0" w:space="0" w:color="auto"/>
        <w:right w:val="none" w:sz="0" w:space="0" w:color="auto"/>
      </w:divBdr>
    </w:div>
    <w:div w:id="701395206">
      <w:bodyDiv w:val="1"/>
      <w:marLeft w:val="0"/>
      <w:marRight w:val="0"/>
      <w:marTop w:val="0"/>
      <w:marBottom w:val="0"/>
      <w:divBdr>
        <w:top w:val="none" w:sz="0" w:space="0" w:color="auto"/>
        <w:left w:val="none" w:sz="0" w:space="0" w:color="auto"/>
        <w:bottom w:val="none" w:sz="0" w:space="0" w:color="auto"/>
        <w:right w:val="none" w:sz="0" w:space="0" w:color="auto"/>
      </w:divBdr>
    </w:div>
    <w:div w:id="702052972">
      <w:bodyDiv w:val="1"/>
      <w:marLeft w:val="0"/>
      <w:marRight w:val="0"/>
      <w:marTop w:val="0"/>
      <w:marBottom w:val="0"/>
      <w:divBdr>
        <w:top w:val="none" w:sz="0" w:space="0" w:color="auto"/>
        <w:left w:val="none" w:sz="0" w:space="0" w:color="auto"/>
        <w:bottom w:val="none" w:sz="0" w:space="0" w:color="auto"/>
        <w:right w:val="none" w:sz="0" w:space="0" w:color="auto"/>
      </w:divBdr>
    </w:div>
    <w:div w:id="703558278">
      <w:bodyDiv w:val="1"/>
      <w:marLeft w:val="0"/>
      <w:marRight w:val="0"/>
      <w:marTop w:val="0"/>
      <w:marBottom w:val="0"/>
      <w:divBdr>
        <w:top w:val="none" w:sz="0" w:space="0" w:color="auto"/>
        <w:left w:val="none" w:sz="0" w:space="0" w:color="auto"/>
        <w:bottom w:val="none" w:sz="0" w:space="0" w:color="auto"/>
        <w:right w:val="none" w:sz="0" w:space="0" w:color="auto"/>
      </w:divBdr>
    </w:div>
    <w:div w:id="704907942">
      <w:bodyDiv w:val="1"/>
      <w:marLeft w:val="0"/>
      <w:marRight w:val="0"/>
      <w:marTop w:val="0"/>
      <w:marBottom w:val="0"/>
      <w:divBdr>
        <w:top w:val="none" w:sz="0" w:space="0" w:color="auto"/>
        <w:left w:val="none" w:sz="0" w:space="0" w:color="auto"/>
        <w:bottom w:val="none" w:sz="0" w:space="0" w:color="auto"/>
        <w:right w:val="none" w:sz="0" w:space="0" w:color="auto"/>
      </w:divBdr>
    </w:div>
    <w:div w:id="705453107">
      <w:bodyDiv w:val="1"/>
      <w:marLeft w:val="0"/>
      <w:marRight w:val="0"/>
      <w:marTop w:val="0"/>
      <w:marBottom w:val="0"/>
      <w:divBdr>
        <w:top w:val="none" w:sz="0" w:space="0" w:color="auto"/>
        <w:left w:val="none" w:sz="0" w:space="0" w:color="auto"/>
        <w:bottom w:val="none" w:sz="0" w:space="0" w:color="auto"/>
        <w:right w:val="none" w:sz="0" w:space="0" w:color="auto"/>
      </w:divBdr>
    </w:div>
    <w:div w:id="708993786">
      <w:bodyDiv w:val="1"/>
      <w:marLeft w:val="0"/>
      <w:marRight w:val="0"/>
      <w:marTop w:val="0"/>
      <w:marBottom w:val="0"/>
      <w:divBdr>
        <w:top w:val="none" w:sz="0" w:space="0" w:color="auto"/>
        <w:left w:val="none" w:sz="0" w:space="0" w:color="auto"/>
        <w:bottom w:val="none" w:sz="0" w:space="0" w:color="auto"/>
        <w:right w:val="none" w:sz="0" w:space="0" w:color="auto"/>
      </w:divBdr>
    </w:div>
    <w:div w:id="712730011">
      <w:bodyDiv w:val="1"/>
      <w:marLeft w:val="0"/>
      <w:marRight w:val="0"/>
      <w:marTop w:val="0"/>
      <w:marBottom w:val="0"/>
      <w:divBdr>
        <w:top w:val="none" w:sz="0" w:space="0" w:color="auto"/>
        <w:left w:val="none" w:sz="0" w:space="0" w:color="auto"/>
        <w:bottom w:val="none" w:sz="0" w:space="0" w:color="auto"/>
        <w:right w:val="none" w:sz="0" w:space="0" w:color="auto"/>
      </w:divBdr>
    </w:div>
    <w:div w:id="715201615">
      <w:bodyDiv w:val="1"/>
      <w:marLeft w:val="0"/>
      <w:marRight w:val="0"/>
      <w:marTop w:val="0"/>
      <w:marBottom w:val="0"/>
      <w:divBdr>
        <w:top w:val="none" w:sz="0" w:space="0" w:color="auto"/>
        <w:left w:val="none" w:sz="0" w:space="0" w:color="auto"/>
        <w:bottom w:val="none" w:sz="0" w:space="0" w:color="auto"/>
        <w:right w:val="none" w:sz="0" w:space="0" w:color="auto"/>
      </w:divBdr>
    </w:div>
    <w:div w:id="718432294">
      <w:bodyDiv w:val="1"/>
      <w:marLeft w:val="0"/>
      <w:marRight w:val="0"/>
      <w:marTop w:val="0"/>
      <w:marBottom w:val="0"/>
      <w:divBdr>
        <w:top w:val="none" w:sz="0" w:space="0" w:color="auto"/>
        <w:left w:val="none" w:sz="0" w:space="0" w:color="auto"/>
        <w:bottom w:val="none" w:sz="0" w:space="0" w:color="auto"/>
        <w:right w:val="none" w:sz="0" w:space="0" w:color="auto"/>
      </w:divBdr>
    </w:div>
    <w:div w:id="719403586">
      <w:bodyDiv w:val="1"/>
      <w:marLeft w:val="0"/>
      <w:marRight w:val="0"/>
      <w:marTop w:val="0"/>
      <w:marBottom w:val="0"/>
      <w:divBdr>
        <w:top w:val="none" w:sz="0" w:space="0" w:color="auto"/>
        <w:left w:val="none" w:sz="0" w:space="0" w:color="auto"/>
        <w:bottom w:val="none" w:sz="0" w:space="0" w:color="auto"/>
        <w:right w:val="none" w:sz="0" w:space="0" w:color="auto"/>
      </w:divBdr>
    </w:div>
    <w:div w:id="723212868">
      <w:bodyDiv w:val="1"/>
      <w:marLeft w:val="0"/>
      <w:marRight w:val="0"/>
      <w:marTop w:val="0"/>
      <w:marBottom w:val="0"/>
      <w:divBdr>
        <w:top w:val="none" w:sz="0" w:space="0" w:color="auto"/>
        <w:left w:val="none" w:sz="0" w:space="0" w:color="auto"/>
        <w:bottom w:val="none" w:sz="0" w:space="0" w:color="auto"/>
        <w:right w:val="none" w:sz="0" w:space="0" w:color="auto"/>
      </w:divBdr>
    </w:div>
    <w:div w:id="723528085">
      <w:bodyDiv w:val="1"/>
      <w:marLeft w:val="0"/>
      <w:marRight w:val="0"/>
      <w:marTop w:val="0"/>
      <w:marBottom w:val="0"/>
      <w:divBdr>
        <w:top w:val="none" w:sz="0" w:space="0" w:color="auto"/>
        <w:left w:val="none" w:sz="0" w:space="0" w:color="auto"/>
        <w:bottom w:val="none" w:sz="0" w:space="0" w:color="auto"/>
        <w:right w:val="none" w:sz="0" w:space="0" w:color="auto"/>
      </w:divBdr>
    </w:div>
    <w:div w:id="725106018">
      <w:bodyDiv w:val="1"/>
      <w:marLeft w:val="0"/>
      <w:marRight w:val="0"/>
      <w:marTop w:val="0"/>
      <w:marBottom w:val="0"/>
      <w:divBdr>
        <w:top w:val="none" w:sz="0" w:space="0" w:color="auto"/>
        <w:left w:val="none" w:sz="0" w:space="0" w:color="auto"/>
        <w:bottom w:val="none" w:sz="0" w:space="0" w:color="auto"/>
        <w:right w:val="none" w:sz="0" w:space="0" w:color="auto"/>
      </w:divBdr>
    </w:div>
    <w:div w:id="725951903">
      <w:bodyDiv w:val="1"/>
      <w:marLeft w:val="0"/>
      <w:marRight w:val="0"/>
      <w:marTop w:val="0"/>
      <w:marBottom w:val="0"/>
      <w:divBdr>
        <w:top w:val="none" w:sz="0" w:space="0" w:color="auto"/>
        <w:left w:val="none" w:sz="0" w:space="0" w:color="auto"/>
        <w:bottom w:val="none" w:sz="0" w:space="0" w:color="auto"/>
        <w:right w:val="none" w:sz="0" w:space="0" w:color="auto"/>
      </w:divBdr>
    </w:div>
    <w:div w:id="728841788">
      <w:bodyDiv w:val="1"/>
      <w:marLeft w:val="0"/>
      <w:marRight w:val="0"/>
      <w:marTop w:val="0"/>
      <w:marBottom w:val="0"/>
      <w:divBdr>
        <w:top w:val="none" w:sz="0" w:space="0" w:color="auto"/>
        <w:left w:val="none" w:sz="0" w:space="0" w:color="auto"/>
        <w:bottom w:val="none" w:sz="0" w:space="0" w:color="auto"/>
        <w:right w:val="none" w:sz="0" w:space="0" w:color="auto"/>
      </w:divBdr>
    </w:div>
    <w:div w:id="736781949">
      <w:bodyDiv w:val="1"/>
      <w:marLeft w:val="0"/>
      <w:marRight w:val="0"/>
      <w:marTop w:val="0"/>
      <w:marBottom w:val="0"/>
      <w:divBdr>
        <w:top w:val="none" w:sz="0" w:space="0" w:color="auto"/>
        <w:left w:val="none" w:sz="0" w:space="0" w:color="auto"/>
        <w:bottom w:val="none" w:sz="0" w:space="0" w:color="auto"/>
        <w:right w:val="none" w:sz="0" w:space="0" w:color="auto"/>
      </w:divBdr>
    </w:div>
    <w:div w:id="738400317">
      <w:bodyDiv w:val="1"/>
      <w:marLeft w:val="0"/>
      <w:marRight w:val="0"/>
      <w:marTop w:val="0"/>
      <w:marBottom w:val="0"/>
      <w:divBdr>
        <w:top w:val="none" w:sz="0" w:space="0" w:color="auto"/>
        <w:left w:val="none" w:sz="0" w:space="0" w:color="auto"/>
        <w:bottom w:val="none" w:sz="0" w:space="0" w:color="auto"/>
        <w:right w:val="none" w:sz="0" w:space="0" w:color="auto"/>
      </w:divBdr>
    </w:div>
    <w:div w:id="742601077">
      <w:bodyDiv w:val="1"/>
      <w:marLeft w:val="0"/>
      <w:marRight w:val="0"/>
      <w:marTop w:val="0"/>
      <w:marBottom w:val="0"/>
      <w:divBdr>
        <w:top w:val="none" w:sz="0" w:space="0" w:color="auto"/>
        <w:left w:val="none" w:sz="0" w:space="0" w:color="auto"/>
        <w:bottom w:val="none" w:sz="0" w:space="0" w:color="auto"/>
        <w:right w:val="none" w:sz="0" w:space="0" w:color="auto"/>
      </w:divBdr>
    </w:div>
    <w:div w:id="746880281">
      <w:bodyDiv w:val="1"/>
      <w:marLeft w:val="0"/>
      <w:marRight w:val="0"/>
      <w:marTop w:val="0"/>
      <w:marBottom w:val="0"/>
      <w:divBdr>
        <w:top w:val="none" w:sz="0" w:space="0" w:color="auto"/>
        <w:left w:val="none" w:sz="0" w:space="0" w:color="auto"/>
        <w:bottom w:val="none" w:sz="0" w:space="0" w:color="auto"/>
        <w:right w:val="none" w:sz="0" w:space="0" w:color="auto"/>
      </w:divBdr>
    </w:div>
    <w:div w:id="753165131">
      <w:bodyDiv w:val="1"/>
      <w:marLeft w:val="0"/>
      <w:marRight w:val="0"/>
      <w:marTop w:val="0"/>
      <w:marBottom w:val="0"/>
      <w:divBdr>
        <w:top w:val="none" w:sz="0" w:space="0" w:color="auto"/>
        <w:left w:val="none" w:sz="0" w:space="0" w:color="auto"/>
        <w:bottom w:val="none" w:sz="0" w:space="0" w:color="auto"/>
        <w:right w:val="none" w:sz="0" w:space="0" w:color="auto"/>
      </w:divBdr>
    </w:div>
    <w:div w:id="753429963">
      <w:bodyDiv w:val="1"/>
      <w:marLeft w:val="0"/>
      <w:marRight w:val="0"/>
      <w:marTop w:val="0"/>
      <w:marBottom w:val="0"/>
      <w:divBdr>
        <w:top w:val="none" w:sz="0" w:space="0" w:color="auto"/>
        <w:left w:val="none" w:sz="0" w:space="0" w:color="auto"/>
        <w:bottom w:val="none" w:sz="0" w:space="0" w:color="auto"/>
        <w:right w:val="none" w:sz="0" w:space="0" w:color="auto"/>
      </w:divBdr>
      <w:divsChild>
        <w:div w:id="69892045">
          <w:marLeft w:val="360"/>
          <w:marRight w:val="0"/>
          <w:marTop w:val="200"/>
          <w:marBottom w:val="0"/>
          <w:divBdr>
            <w:top w:val="none" w:sz="0" w:space="0" w:color="auto"/>
            <w:left w:val="none" w:sz="0" w:space="0" w:color="auto"/>
            <w:bottom w:val="none" w:sz="0" w:space="0" w:color="auto"/>
            <w:right w:val="none" w:sz="0" w:space="0" w:color="auto"/>
          </w:divBdr>
        </w:div>
        <w:div w:id="1375613705">
          <w:marLeft w:val="360"/>
          <w:marRight w:val="0"/>
          <w:marTop w:val="200"/>
          <w:marBottom w:val="0"/>
          <w:divBdr>
            <w:top w:val="none" w:sz="0" w:space="0" w:color="auto"/>
            <w:left w:val="none" w:sz="0" w:space="0" w:color="auto"/>
            <w:bottom w:val="none" w:sz="0" w:space="0" w:color="auto"/>
            <w:right w:val="none" w:sz="0" w:space="0" w:color="auto"/>
          </w:divBdr>
        </w:div>
      </w:divsChild>
    </w:div>
    <w:div w:id="757293913">
      <w:bodyDiv w:val="1"/>
      <w:marLeft w:val="0"/>
      <w:marRight w:val="0"/>
      <w:marTop w:val="0"/>
      <w:marBottom w:val="0"/>
      <w:divBdr>
        <w:top w:val="none" w:sz="0" w:space="0" w:color="auto"/>
        <w:left w:val="none" w:sz="0" w:space="0" w:color="auto"/>
        <w:bottom w:val="none" w:sz="0" w:space="0" w:color="auto"/>
        <w:right w:val="none" w:sz="0" w:space="0" w:color="auto"/>
      </w:divBdr>
    </w:div>
    <w:div w:id="758061639">
      <w:bodyDiv w:val="1"/>
      <w:marLeft w:val="0"/>
      <w:marRight w:val="0"/>
      <w:marTop w:val="0"/>
      <w:marBottom w:val="0"/>
      <w:divBdr>
        <w:top w:val="none" w:sz="0" w:space="0" w:color="auto"/>
        <w:left w:val="none" w:sz="0" w:space="0" w:color="auto"/>
        <w:bottom w:val="none" w:sz="0" w:space="0" w:color="auto"/>
        <w:right w:val="none" w:sz="0" w:space="0" w:color="auto"/>
      </w:divBdr>
    </w:div>
    <w:div w:id="762149258">
      <w:bodyDiv w:val="1"/>
      <w:marLeft w:val="0"/>
      <w:marRight w:val="0"/>
      <w:marTop w:val="0"/>
      <w:marBottom w:val="0"/>
      <w:divBdr>
        <w:top w:val="none" w:sz="0" w:space="0" w:color="auto"/>
        <w:left w:val="none" w:sz="0" w:space="0" w:color="auto"/>
        <w:bottom w:val="none" w:sz="0" w:space="0" w:color="auto"/>
        <w:right w:val="none" w:sz="0" w:space="0" w:color="auto"/>
      </w:divBdr>
    </w:div>
    <w:div w:id="765350162">
      <w:bodyDiv w:val="1"/>
      <w:marLeft w:val="0"/>
      <w:marRight w:val="0"/>
      <w:marTop w:val="0"/>
      <w:marBottom w:val="0"/>
      <w:divBdr>
        <w:top w:val="none" w:sz="0" w:space="0" w:color="auto"/>
        <w:left w:val="none" w:sz="0" w:space="0" w:color="auto"/>
        <w:bottom w:val="none" w:sz="0" w:space="0" w:color="auto"/>
        <w:right w:val="none" w:sz="0" w:space="0" w:color="auto"/>
      </w:divBdr>
    </w:div>
    <w:div w:id="767626454">
      <w:bodyDiv w:val="1"/>
      <w:marLeft w:val="0"/>
      <w:marRight w:val="0"/>
      <w:marTop w:val="0"/>
      <w:marBottom w:val="0"/>
      <w:divBdr>
        <w:top w:val="none" w:sz="0" w:space="0" w:color="auto"/>
        <w:left w:val="none" w:sz="0" w:space="0" w:color="auto"/>
        <w:bottom w:val="none" w:sz="0" w:space="0" w:color="auto"/>
        <w:right w:val="none" w:sz="0" w:space="0" w:color="auto"/>
      </w:divBdr>
    </w:div>
    <w:div w:id="773594215">
      <w:bodyDiv w:val="1"/>
      <w:marLeft w:val="0"/>
      <w:marRight w:val="0"/>
      <w:marTop w:val="0"/>
      <w:marBottom w:val="0"/>
      <w:divBdr>
        <w:top w:val="none" w:sz="0" w:space="0" w:color="auto"/>
        <w:left w:val="none" w:sz="0" w:space="0" w:color="auto"/>
        <w:bottom w:val="none" w:sz="0" w:space="0" w:color="auto"/>
        <w:right w:val="none" w:sz="0" w:space="0" w:color="auto"/>
      </w:divBdr>
    </w:div>
    <w:div w:id="773863439">
      <w:bodyDiv w:val="1"/>
      <w:marLeft w:val="0"/>
      <w:marRight w:val="0"/>
      <w:marTop w:val="0"/>
      <w:marBottom w:val="0"/>
      <w:divBdr>
        <w:top w:val="none" w:sz="0" w:space="0" w:color="auto"/>
        <w:left w:val="none" w:sz="0" w:space="0" w:color="auto"/>
        <w:bottom w:val="none" w:sz="0" w:space="0" w:color="auto"/>
        <w:right w:val="none" w:sz="0" w:space="0" w:color="auto"/>
      </w:divBdr>
    </w:div>
    <w:div w:id="782454321">
      <w:bodyDiv w:val="1"/>
      <w:marLeft w:val="0"/>
      <w:marRight w:val="0"/>
      <w:marTop w:val="0"/>
      <w:marBottom w:val="0"/>
      <w:divBdr>
        <w:top w:val="none" w:sz="0" w:space="0" w:color="auto"/>
        <w:left w:val="none" w:sz="0" w:space="0" w:color="auto"/>
        <w:bottom w:val="none" w:sz="0" w:space="0" w:color="auto"/>
        <w:right w:val="none" w:sz="0" w:space="0" w:color="auto"/>
      </w:divBdr>
    </w:div>
    <w:div w:id="783816596">
      <w:bodyDiv w:val="1"/>
      <w:marLeft w:val="0"/>
      <w:marRight w:val="0"/>
      <w:marTop w:val="0"/>
      <w:marBottom w:val="0"/>
      <w:divBdr>
        <w:top w:val="none" w:sz="0" w:space="0" w:color="auto"/>
        <w:left w:val="none" w:sz="0" w:space="0" w:color="auto"/>
        <w:bottom w:val="none" w:sz="0" w:space="0" w:color="auto"/>
        <w:right w:val="none" w:sz="0" w:space="0" w:color="auto"/>
      </w:divBdr>
    </w:div>
    <w:div w:id="785276601">
      <w:bodyDiv w:val="1"/>
      <w:marLeft w:val="0"/>
      <w:marRight w:val="0"/>
      <w:marTop w:val="0"/>
      <w:marBottom w:val="0"/>
      <w:divBdr>
        <w:top w:val="none" w:sz="0" w:space="0" w:color="auto"/>
        <w:left w:val="none" w:sz="0" w:space="0" w:color="auto"/>
        <w:bottom w:val="none" w:sz="0" w:space="0" w:color="auto"/>
        <w:right w:val="none" w:sz="0" w:space="0" w:color="auto"/>
      </w:divBdr>
    </w:div>
    <w:div w:id="785542303">
      <w:bodyDiv w:val="1"/>
      <w:marLeft w:val="0"/>
      <w:marRight w:val="0"/>
      <w:marTop w:val="0"/>
      <w:marBottom w:val="0"/>
      <w:divBdr>
        <w:top w:val="none" w:sz="0" w:space="0" w:color="auto"/>
        <w:left w:val="none" w:sz="0" w:space="0" w:color="auto"/>
        <w:bottom w:val="none" w:sz="0" w:space="0" w:color="auto"/>
        <w:right w:val="none" w:sz="0" w:space="0" w:color="auto"/>
      </w:divBdr>
    </w:div>
    <w:div w:id="789592451">
      <w:bodyDiv w:val="1"/>
      <w:marLeft w:val="0"/>
      <w:marRight w:val="0"/>
      <w:marTop w:val="0"/>
      <w:marBottom w:val="0"/>
      <w:divBdr>
        <w:top w:val="none" w:sz="0" w:space="0" w:color="auto"/>
        <w:left w:val="none" w:sz="0" w:space="0" w:color="auto"/>
        <w:bottom w:val="none" w:sz="0" w:space="0" w:color="auto"/>
        <w:right w:val="none" w:sz="0" w:space="0" w:color="auto"/>
      </w:divBdr>
    </w:div>
    <w:div w:id="791821619">
      <w:bodyDiv w:val="1"/>
      <w:marLeft w:val="0"/>
      <w:marRight w:val="0"/>
      <w:marTop w:val="0"/>
      <w:marBottom w:val="0"/>
      <w:divBdr>
        <w:top w:val="none" w:sz="0" w:space="0" w:color="auto"/>
        <w:left w:val="none" w:sz="0" w:space="0" w:color="auto"/>
        <w:bottom w:val="none" w:sz="0" w:space="0" w:color="auto"/>
        <w:right w:val="none" w:sz="0" w:space="0" w:color="auto"/>
      </w:divBdr>
    </w:div>
    <w:div w:id="799498004">
      <w:bodyDiv w:val="1"/>
      <w:marLeft w:val="0"/>
      <w:marRight w:val="0"/>
      <w:marTop w:val="0"/>
      <w:marBottom w:val="0"/>
      <w:divBdr>
        <w:top w:val="none" w:sz="0" w:space="0" w:color="auto"/>
        <w:left w:val="none" w:sz="0" w:space="0" w:color="auto"/>
        <w:bottom w:val="none" w:sz="0" w:space="0" w:color="auto"/>
        <w:right w:val="none" w:sz="0" w:space="0" w:color="auto"/>
      </w:divBdr>
    </w:div>
    <w:div w:id="805664154">
      <w:bodyDiv w:val="1"/>
      <w:marLeft w:val="0"/>
      <w:marRight w:val="0"/>
      <w:marTop w:val="0"/>
      <w:marBottom w:val="0"/>
      <w:divBdr>
        <w:top w:val="none" w:sz="0" w:space="0" w:color="auto"/>
        <w:left w:val="none" w:sz="0" w:space="0" w:color="auto"/>
        <w:bottom w:val="none" w:sz="0" w:space="0" w:color="auto"/>
        <w:right w:val="none" w:sz="0" w:space="0" w:color="auto"/>
      </w:divBdr>
    </w:div>
    <w:div w:id="806244706">
      <w:bodyDiv w:val="1"/>
      <w:marLeft w:val="0"/>
      <w:marRight w:val="0"/>
      <w:marTop w:val="0"/>
      <w:marBottom w:val="0"/>
      <w:divBdr>
        <w:top w:val="none" w:sz="0" w:space="0" w:color="auto"/>
        <w:left w:val="none" w:sz="0" w:space="0" w:color="auto"/>
        <w:bottom w:val="none" w:sz="0" w:space="0" w:color="auto"/>
        <w:right w:val="none" w:sz="0" w:space="0" w:color="auto"/>
      </w:divBdr>
    </w:div>
    <w:div w:id="807434234">
      <w:bodyDiv w:val="1"/>
      <w:marLeft w:val="0"/>
      <w:marRight w:val="0"/>
      <w:marTop w:val="0"/>
      <w:marBottom w:val="0"/>
      <w:divBdr>
        <w:top w:val="none" w:sz="0" w:space="0" w:color="auto"/>
        <w:left w:val="none" w:sz="0" w:space="0" w:color="auto"/>
        <w:bottom w:val="none" w:sz="0" w:space="0" w:color="auto"/>
        <w:right w:val="none" w:sz="0" w:space="0" w:color="auto"/>
      </w:divBdr>
    </w:div>
    <w:div w:id="831026401">
      <w:bodyDiv w:val="1"/>
      <w:marLeft w:val="0"/>
      <w:marRight w:val="0"/>
      <w:marTop w:val="0"/>
      <w:marBottom w:val="0"/>
      <w:divBdr>
        <w:top w:val="none" w:sz="0" w:space="0" w:color="auto"/>
        <w:left w:val="none" w:sz="0" w:space="0" w:color="auto"/>
        <w:bottom w:val="none" w:sz="0" w:space="0" w:color="auto"/>
        <w:right w:val="none" w:sz="0" w:space="0" w:color="auto"/>
      </w:divBdr>
    </w:div>
    <w:div w:id="835612695">
      <w:bodyDiv w:val="1"/>
      <w:marLeft w:val="0"/>
      <w:marRight w:val="0"/>
      <w:marTop w:val="0"/>
      <w:marBottom w:val="0"/>
      <w:divBdr>
        <w:top w:val="none" w:sz="0" w:space="0" w:color="auto"/>
        <w:left w:val="none" w:sz="0" w:space="0" w:color="auto"/>
        <w:bottom w:val="none" w:sz="0" w:space="0" w:color="auto"/>
        <w:right w:val="none" w:sz="0" w:space="0" w:color="auto"/>
      </w:divBdr>
    </w:div>
    <w:div w:id="836699083">
      <w:bodyDiv w:val="1"/>
      <w:marLeft w:val="0"/>
      <w:marRight w:val="0"/>
      <w:marTop w:val="0"/>
      <w:marBottom w:val="0"/>
      <w:divBdr>
        <w:top w:val="none" w:sz="0" w:space="0" w:color="auto"/>
        <w:left w:val="none" w:sz="0" w:space="0" w:color="auto"/>
        <w:bottom w:val="none" w:sz="0" w:space="0" w:color="auto"/>
        <w:right w:val="none" w:sz="0" w:space="0" w:color="auto"/>
      </w:divBdr>
    </w:div>
    <w:div w:id="837574641">
      <w:bodyDiv w:val="1"/>
      <w:marLeft w:val="0"/>
      <w:marRight w:val="0"/>
      <w:marTop w:val="0"/>
      <w:marBottom w:val="0"/>
      <w:divBdr>
        <w:top w:val="none" w:sz="0" w:space="0" w:color="auto"/>
        <w:left w:val="none" w:sz="0" w:space="0" w:color="auto"/>
        <w:bottom w:val="none" w:sz="0" w:space="0" w:color="auto"/>
        <w:right w:val="none" w:sz="0" w:space="0" w:color="auto"/>
      </w:divBdr>
    </w:div>
    <w:div w:id="839126406">
      <w:bodyDiv w:val="1"/>
      <w:marLeft w:val="0"/>
      <w:marRight w:val="0"/>
      <w:marTop w:val="0"/>
      <w:marBottom w:val="0"/>
      <w:divBdr>
        <w:top w:val="none" w:sz="0" w:space="0" w:color="auto"/>
        <w:left w:val="none" w:sz="0" w:space="0" w:color="auto"/>
        <w:bottom w:val="none" w:sz="0" w:space="0" w:color="auto"/>
        <w:right w:val="none" w:sz="0" w:space="0" w:color="auto"/>
      </w:divBdr>
    </w:div>
    <w:div w:id="839588413">
      <w:bodyDiv w:val="1"/>
      <w:marLeft w:val="0"/>
      <w:marRight w:val="0"/>
      <w:marTop w:val="0"/>
      <w:marBottom w:val="0"/>
      <w:divBdr>
        <w:top w:val="none" w:sz="0" w:space="0" w:color="auto"/>
        <w:left w:val="none" w:sz="0" w:space="0" w:color="auto"/>
        <w:bottom w:val="none" w:sz="0" w:space="0" w:color="auto"/>
        <w:right w:val="none" w:sz="0" w:space="0" w:color="auto"/>
      </w:divBdr>
    </w:div>
    <w:div w:id="843013434">
      <w:bodyDiv w:val="1"/>
      <w:marLeft w:val="0"/>
      <w:marRight w:val="0"/>
      <w:marTop w:val="0"/>
      <w:marBottom w:val="0"/>
      <w:divBdr>
        <w:top w:val="none" w:sz="0" w:space="0" w:color="auto"/>
        <w:left w:val="none" w:sz="0" w:space="0" w:color="auto"/>
        <w:bottom w:val="none" w:sz="0" w:space="0" w:color="auto"/>
        <w:right w:val="none" w:sz="0" w:space="0" w:color="auto"/>
      </w:divBdr>
    </w:div>
    <w:div w:id="847401945">
      <w:bodyDiv w:val="1"/>
      <w:marLeft w:val="0"/>
      <w:marRight w:val="0"/>
      <w:marTop w:val="0"/>
      <w:marBottom w:val="0"/>
      <w:divBdr>
        <w:top w:val="none" w:sz="0" w:space="0" w:color="auto"/>
        <w:left w:val="none" w:sz="0" w:space="0" w:color="auto"/>
        <w:bottom w:val="none" w:sz="0" w:space="0" w:color="auto"/>
        <w:right w:val="none" w:sz="0" w:space="0" w:color="auto"/>
      </w:divBdr>
    </w:div>
    <w:div w:id="852494423">
      <w:bodyDiv w:val="1"/>
      <w:marLeft w:val="0"/>
      <w:marRight w:val="0"/>
      <w:marTop w:val="0"/>
      <w:marBottom w:val="0"/>
      <w:divBdr>
        <w:top w:val="none" w:sz="0" w:space="0" w:color="auto"/>
        <w:left w:val="none" w:sz="0" w:space="0" w:color="auto"/>
        <w:bottom w:val="none" w:sz="0" w:space="0" w:color="auto"/>
        <w:right w:val="none" w:sz="0" w:space="0" w:color="auto"/>
      </w:divBdr>
    </w:div>
    <w:div w:id="856120133">
      <w:bodyDiv w:val="1"/>
      <w:marLeft w:val="0"/>
      <w:marRight w:val="0"/>
      <w:marTop w:val="0"/>
      <w:marBottom w:val="0"/>
      <w:divBdr>
        <w:top w:val="none" w:sz="0" w:space="0" w:color="auto"/>
        <w:left w:val="none" w:sz="0" w:space="0" w:color="auto"/>
        <w:bottom w:val="none" w:sz="0" w:space="0" w:color="auto"/>
        <w:right w:val="none" w:sz="0" w:space="0" w:color="auto"/>
      </w:divBdr>
    </w:div>
    <w:div w:id="860047612">
      <w:bodyDiv w:val="1"/>
      <w:marLeft w:val="0"/>
      <w:marRight w:val="0"/>
      <w:marTop w:val="0"/>
      <w:marBottom w:val="0"/>
      <w:divBdr>
        <w:top w:val="none" w:sz="0" w:space="0" w:color="auto"/>
        <w:left w:val="none" w:sz="0" w:space="0" w:color="auto"/>
        <w:bottom w:val="none" w:sz="0" w:space="0" w:color="auto"/>
        <w:right w:val="none" w:sz="0" w:space="0" w:color="auto"/>
      </w:divBdr>
    </w:div>
    <w:div w:id="861939239">
      <w:bodyDiv w:val="1"/>
      <w:marLeft w:val="0"/>
      <w:marRight w:val="0"/>
      <w:marTop w:val="0"/>
      <w:marBottom w:val="0"/>
      <w:divBdr>
        <w:top w:val="none" w:sz="0" w:space="0" w:color="auto"/>
        <w:left w:val="none" w:sz="0" w:space="0" w:color="auto"/>
        <w:bottom w:val="none" w:sz="0" w:space="0" w:color="auto"/>
        <w:right w:val="none" w:sz="0" w:space="0" w:color="auto"/>
      </w:divBdr>
    </w:div>
    <w:div w:id="867597191">
      <w:bodyDiv w:val="1"/>
      <w:marLeft w:val="0"/>
      <w:marRight w:val="0"/>
      <w:marTop w:val="0"/>
      <w:marBottom w:val="0"/>
      <w:divBdr>
        <w:top w:val="none" w:sz="0" w:space="0" w:color="auto"/>
        <w:left w:val="none" w:sz="0" w:space="0" w:color="auto"/>
        <w:bottom w:val="none" w:sz="0" w:space="0" w:color="auto"/>
        <w:right w:val="none" w:sz="0" w:space="0" w:color="auto"/>
      </w:divBdr>
    </w:div>
    <w:div w:id="871460506">
      <w:bodyDiv w:val="1"/>
      <w:marLeft w:val="0"/>
      <w:marRight w:val="0"/>
      <w:marTop w:val="0"/>
      <w:marBottom w:val="0"/>
      <w:divBdr>
        <w:top w:val="none" w:sz="0" w:space="0" w:color="auto"/>
        <w:left w:val="none" w:sz="0" w:space="0" w:color="auto"/>
        <w:bottom w:val="none" w:sz="0" w:space="0" w:color="auto"/>
        <w:right w:val="none" w:sz="0" w:space="0" w:color="auto"/>
      </w:divBdr>
    </w:div>
    <w:div w:id="873928302">
      <w:bodyDiv w:val="1"/>
      <w:marLeft w:val="0"/>
      <w:marRight w:val="0"/>
      <w:marTop w:val="0"/>
      <w:marBottom w:val="0"/>
      <w:divBdr>
        <w:top w:val="none" w:sz="0" w:space="0" w:color="auto"/>
        <w:left w:val="none" w:sz="0" w:space="0" w:color="auto"/>
        <w:bottom w:val="none" w:sz="0" w:space="0" w:color="auto"/>
        <w:right w:val="none" w:sz="0" w:space="0" w:color="auto"/>
      </w:divBdr>
      <w:divsChild>
        <w:div w:id="27024419">
          <w:marLeft w:val="0"/>
          <w:marRight w:val="0"/>
          <w:marTop w:val="0"/>
          <w:marBottom w:val="0"/>
          <w:divBdr>
            <w:top w:val="none" w:sz="0" w:space="0" w:color="auto"/>
            <w:left w:val="none" w:sz="0" w:space="0" w:color="auto"/>
            <w:bottom w:val="none" w:sz="0" w:space="0" w:color="auto"/>
            <w:right w:val="none" w:sz="0" w:space="0" w:color="auto"/>
          </w:divBdr>
        </w:div>
        <w:div w:id="46882187">
          <w:marLeft w:val="0"/>
          <w:marRight w:val="0"/>
          <w:marTop w:val="0"/>
          <w:marBottom w:val="0"/>
          <w:divBdr>
            <w:top w:val="none" w:sz="0" w:space="0" w:color="auto"/>
            <w:left w:val="none" w:sz="0" w:space="0" w:color="auto"/>
            <w:bottom w:val="none" w:sz="0" w:space="0" w:color="auto"/>
            <w:right w:val="none" w:sz="0" w:space="0" w:color="auto"/>
          </w:divBdr>
        </w:div>
        <w:div w:id="63797845">
          <w:marLeft w:val="0"/>
          <w:marRight w:val="0"/>
          <w:marTop w:val="0"/>
          <w:marBottom w:val="0"/>
          <w:divBdr>
            <w:top w:val="none" w:sz="0" w:space="0" w:color="auto"/>
            <w:left w:val="none" w:sz="0" w:space="0" w:color="auto"/>
            <w:bottom w:val="none" w:sz="0" w:space="0" w:color="auto"/>
            <w:right w:val="none" w:sz="0" w:space="0" w:color="auto"/>
          </w:divBdr>
        </w:div>
        <w:div w:id="87434220">
          <w:marLeft w:val="0"/>
          <w:marRight w:val="0"/>
          <w:marTop w:val="0"/>
          <w:marBottom w:val="0"/>
          <w:divBdr>
            <w:top w:val="none" w:sz="0" w:space="0" w:color="auto"/>
            <w:left w:val="none" w:sz="0" w:space="0" w:color="auto"/>
            <w:bottom w:val="none" w:sz="0" w:space="0" w:color="auto"/>
            <w:right w:val="none" w:sz="0" w:space="0" w:color="auto"/>
          </w:divBdr>
        </w:div>
        <w:div w:id="98062582">
          <w:marLeft w:val="0"/>
          <w:marRight w:val="0"/>
          <w:marTop w:val="0"/>
          <w:marBottom w:val="0"/>
          <w:divBdr>
            <w:top w:val="none" w:sz="0" w:space="0" w:color="auto"/>
            <w:left w:val="none" w:sz="0" w:space="0" w:color="auto"/>
            <w:bottom w:val="none" w:sz="0" w:space="0" w:color="auto"/>
            <w:right w:val="none" w:sz="0" w:space="0" w:color="auto"/>
          </w:divBdr>
        </w:div>
        <w:div w:id="140123656">
          <w:marLeft w:val="0"/>
          <w:marRight w:val="0"/>
          <w:marTop w:val="0"/>
          <w:marBottom w:val="0"/>
          <w:divBdr>
            <w:top w:val="none" w:sz="0" w:space="0" w:color="auto"/>
            <w:left w:val="none" w:sz="0" w:space="0" w:color="auto"/>
            <w:bottom w:val="none" w:sz="0" w:space="0" w:color="auto"/>
            <w:right w:val="none" w:sz="0" w:space="0" w:color="auto"/>
          </w:divBdr>
        </w:div>
        <w:div w:id="152335328">
          <w:marLeft w:val="0"/>
          <w:marRight w:val="0"/>
          <w:marTop w:val="0"/>
          <w:marBottom w:val="0"/>
          <w:divBdr>
            <w:top w:val="none" w:sz="0" w:space="0" w:color="auto"/>
            <w:left w:val="none" w:sz="0" w:space="0" w:color="auto"/>
            <w:bottom w:val="none" w:sz="0" w:space="0" w:color="auto"/>
            <w:right w:val="none" w:sz="0" w:space="0" w:color="auto"/>
          </w:divBdr>
        </w:div>
        <w:div w:id="163319797">
          <w:marLeft w:val="0"/>
          <w:marRight w:val="0"/>
          <w:marTop w:val="0"/>
          <w:marBottom w:val="0"/>
          <w:divBdr>
            <w:top w:val="none" w:sz="0" w:space="0" w:color="auto"/>
            <w:left w:val="none" w:sz="0" w:space="0" w:color="auto"/>
            <w:bottom w:val="none" w:sz="0" w:space="0" w:color="auto"/>
            <w:right w:val="none" w:sz="0" w:space="0" w:color="auto"/>
          </w:divBdr>
        </w:div>
        <w:div w:id="212617418">
          <w:marLeft w:val="0"/>
          <w:marRight w:val="0"/>
          <w:marTop w:val="0"/>
          <w:marBottom w:val="0"/>
          <w:divBdr>
            <w:top w:val="none" w:sz="0" w:space="0" w:color="auto"/>
            <w:left w:val="none" w:sz="0" w:space="0" w:color="auto"/>
            <w:bottom w:val="none" w:sz="0" w:space="0" w:color="auto"/>
            <w:right w:val="none" w:sz="0" w:space="0" w:color="auto"/>
          </w:divBdr>
        </w:div>
        <w:div w:id="283775935">
          <w:marLeft w:val="0"/>
          <w:marRight w:val="0"/>
          <w:marTop w:val="0"/>
          <w:marBottom w:val="0"/>
          <w:divBdr>
            <w:top w:val="none" w:sz="0" w:space="0" w:color="auto"/>
            <w:left w:val="none" w:sz="0" w:space="0" w:color="auto"/>
            <w:bottom w:val="none" w:sz="0" w:space="0" w:color="auto"/>
            <w:right w:val="none" w:sz="0" w:space="0" w:color="auto"/>
          </w:divBdr>
        </w:div>
        <w:div w:id="288316301">
          <w:marLeft w:val="0"/>
          <w:marRight w:val="0"/>
          <w:marTop w:val="0"/>
          <w:marBottom w:val="0"/>
          <w:divBdr>
            <w:top w:val="none" w:sz="0" w:space="0" w:color="auto"/>
            <w:left w:val="none" w:sz="0" w:space="0" w:color="auto"/>
            <w:bottom w:val="none" w:sz="0" w:space="0" w:color="auto"/>
            <w:right w:val="none" w:sz="0" w:space="0" w:color="auto"/>
          </w:divBdr>
        </w:div>
        <w:div w:id="319164273">
          <w:marLeft w:val="0"/>
          <w:marRight w:val="0"/>
          <w:marTop w:val="0"/>
          <w:marBottom w:val="0"/>
          <w:divBdr>
            <w:top w:val="none" w:sz="0" w:space="0" w:color="auto"/>
            <w:left w:val="none" w:sz="0" w:space="0" w:color="auto"/>
            <w:bottom w:val="none" w:sz="0" w:space="0" w:color="auto"/>
            <w:right w:val="none" w:sz="0" w:space="0" w:color="auto"/>
          </w:divBdr>
        </w:div>
        <w:div w:id="383868498">
          <w:marLeft w:val="0"/>
          <w:marRight w:val="0"/>
          <w:marTop w:val="0"/>
          <w:marBottom w:val="0"/>
          <w:divBdr>
            <w:top w:val="none" w:sz="0" w:space="0" w:color="auto"/>
            <w:left w:val="none" w:sz="0" w:space="0" w:color="auto"/>
            <w:bottom w:val="none" w:sz="0" w:space="0" w:color="auto"/>
            <w:right w:val="none" w:sz="0" w:space="0" w:color="auto"/>
          </w:divBdr>
        </w:div>
        <w:div w:id="508254189">
          <w:marLeft w:val="0"/>
          <w:marRight w:val="0"/>
          <w:marTop w:val="0"/>
          <w:marBottom w:val="0"/>
          <w:divBdr>
            <w:top w:val="none" w:sz="0" w:space="0" w:color="auto"/>
            <w:left w:val="none" w:sz="0" w:space="0" w:color="auto"/>
            <w:bottom w:val="none" w:sz="0" w:space="0" w:color="auto"/>
            <w:right w:val="none" w:sz="0" w:space="0" w:color="auto"/>
          </w:divBdr>
        </w:div>
        <w:div w:id="514883476">
          <w:marLeft w:val="0"/>
          <w:marRight w:val="0"/>
          <w:marTop w:val="0"/>
          <w:marBottom w:val="0"/>
          <w:divBdr>
            <w:top w:val="none" w:sz="0" w:space="0" w:color="auto"/>
            <w:left w:val="none" w:sz="0" w:space="0" w:color="auto"/>
            <w:bottom w:val="none" w:sz="0" w:space="0" w:color="auto"/>
            <w:right w:val="none" w:sz="0" w:space="0" w:color="auto"/>
          </w:divBdr>
        </w:div>
        <w:div w:id="575939037">
          <w:marLeft w:val="0"/>
          <w:marRight w:val="0"/>
          <w:marTop w:val="0"/>
          <w:marBottom w:val="0"/>
          <w:divBdr>
            <w:top w:val="none" w:sz="0" w:space="0" w:color="auto"/>
            <w:left w:val="none" w:sz="0" w:space="0" w:color="auto"/>
            <w:bottom w:val="none" w:sz="0" w:space="0" w:color="auto"/>
            <w:right w:val="none" w:sz="0" w:space="0" w:color="auto"/>
          </w:divBdr>
        </w:div>
        <w:div w:id="618612965">
          <w:marLeft w:val="0"/>
          <w:marRight w:val="0"/>
          <w:marTop w:val="0"/>
          <w:marBottom w:val="0"/>
          <w:divBdr>
            <w:top w:val="none" w:sz="0" w:space="0" w:color="auto"/>
            <w:left w:val="none" w:sz="0" w:space="0" w:color="auto"/>
            <w:bottom w:val="none" w:sz="0" w:space="0" w:color="auto"/>
            <w:right w:val="none" w:sz="0" w:space="0" w:color="auto"/>
          </w:divBdr>
        </w:div>
        <w:div w:id="655961640">
          <w:marLeft w:val="0"/>
          <w:marRight w:val="0"/>
          <w:marTop w:val="0"/>
          <w:marBottom w:val="0"/>
          <w:divBdr>
            <w:top w:val="none" w:sz="0" w:space="0" w:color="auto"/>
            <w:left w:val="none" w:sz="0" w:space="0" w:color="auto"/>
            <w:bottom w:val="none" w:sz="0" w:space="0" w:color="auto"/>
            <w:right w:val="none" w:sz="0" w:space="0" w:color="auto"/>
          </w:divBdr>
        </w:div>
        <w:div w:id="695621674">
          <w:marLeft w:val="0"/>
          <w:marRight w:val="0"/>
          <w:marTop w:val="0"/>
          <w:marBottom w:val="0"/>
          <w:divBdr>
            <w:top w:val="none" w:sz="0" w:space="0" w:color="auto"/>
            <w:left w:val="none" w:sz="0" w:space="0" w:color="auto"/>
            <w:bottom w:val="none" w:sz="0" w:space="0" w:color="auto"/>
            <w:right w:val="none" w:sz="0" w:space="0" w:color="auto"/>
          </w:divBdr>
        </w:div>
        <w:div w:id="730691800">
          <w:marLeft w:val="0"/>
          <w:marRight w:val="0"/>
          <w:marTop w:val="0"/>
          <w:marBottom w:val="0"/>
          <w:divBdr>
            <w:top w:val="none" w:sz="0" w:space="0" w:color="auto"/>
            <w:left w:val="none" w:sz="0" w:space="0" w:color="auto"/>
            <w:bottom w:val="none" w:sz="0" w:space="0" w:color="auto"/>
            <w:right w:val="none" w:sz="0" w:space="0" w:color="auto"/>
          </w:divBdr>
        </w:div>
        <w:div w:id="734200133">
          <w:marLeft w:val="-45"/>
          <w:marRight w:val="0"/>
          <w:marTop w:val="30"/>
          <w:marBottom w:val="30"/>
          <w:divBdr>
            <w:top w:val="none" w:sz="0" w:space="0" w:color="auto"/>
            <w:left w:val="none" w:sz="0" w:space="0" w:color="auto"/>
            <w:bottom w:val="none" w:sz="0" w:space="0" w:color="auto"/>
            <w:right w:val="none" w:sz="0" w:space="0" w:color="auto"/>
          </w:divBdr>
          <w:divsChild>
            <w:div w:id="151920824">
              <w:marLeft w:val="0"/>
              <w:marRight w:val="0"/>
              <w:marTop w:val="0"/>
              <w:marBottom w:val="0"/>
              <w:divBdr>
                <w:top w:val="none" w:sz="0" w:space="0" w:color="auto"/>
                <w:left w:val="none" w:sz="0" w:space="0" w:color="auto"/>
                <w:bottom w:val="none" w:sz="0" w:space="0" w:color="auto"/>
                <w:right w:val="none" w:sz="0" w:space="0" w:color="auto"/>
              </w:divBdr>
              <w:divsChild>
                <w:div w:id="36783441">
                  <w:marLeft w:val="0"/>
                  <w:marRight w:val="0"/>
                  <w:marTop w:val="0"/>
                  <w:marBottom w:val="0"/>
                  <w:divBdr>
                    <w:top w:val="none" w:sz="0" w:space="0" w:color="auto"/>
                    <w:left w:val="none" w:sz="0" w:space="0" w:color="auto"/>
                    <w:bottom w:val="none" w:sz="0" w:space="0" w:color="auto"/>
                    <w:right w:val="none" w:sz="0" w:space="0" w:color="auto"/>
                  </w:divBdr>
                </w:div>
                <w:div w:id="238444607">
                  <w:marLeft w:val="0"/>
                  <w:marRight w:val="0"/>
                  <w:marTop w:val="0"/>
                  <w:marBottom w:val="0"/>
                  <w:divBdr>
                    <w:top w:val="none" w:sz="0" w:space="0" w:color="auto"/>
                    <w:left w:val="none" w:sz="0" w:space="0" w:color="auto"/>
                    <w:bottom w:val="none" w:sz="0" w:space="0" w:color="auto"/>
                    <w:right w:val="none" w:sz="0" w:space="0" w:color="auto"/>
                  </w:divBdr>
                </w:div>
                <w:div w:id="399256597">
                  <w:marLeft w:val="0"/>
                  <w:marRight w:val="0"/>
                  <w:marTop w:val="0"/>
                  <w:marBottom w:val="0"/>
                  <w:divBdr>
                    <w:top w:val="none" w:sz="0" w:space="0" w:color="auto"/>
                    <w:left w:val="none" w:sz="0" w:space="0" w:color="auto"/>
                    <w:bottom w:val="none" w:sz="0" w:space="0" w:color="auto"/>
                    <w:right w:val="none" w:sz="0" w:space="0" w:color="auto"/>
                  </w:divBdr>
                </w:div>
                <w:div w:id="752244359">
                  <w:marLeft w:val="0"/>
                  <w:marRight w:val="0"/>
                  <w:marTop w:val="0"/>
                  <w:marBottom w:val="0"/>
                  <w:divBdr>
                    <w:top w:val="none" w:sz="0" w:space="0" w:color="auto"/>
                    <w:left w:val="none" w:sz="0" w:space="0" w:color="auto"/>
                    <w:bottom w:val="none" w:sz="0" w:space="0" w:color="auto"/>
                    <w:right w:val="none" w:sz="0" w:space="0" w:color="auto"/>
                  </w:divBdr>
                </w:div>
                <w:div w:id="878009584">
                  <w:marLeft w:val="0"/>
                  <w:marRight w:val="0"/>
                  <w:marTop w:val="0"/>
                  <w:marBottom w:val="0"/>
                  <w:divBdr>
                    <w:top w:val="none" w:sz="0" w:space="0" w:color="auto"/>
                    <w:left w:val="none" w:sz="0" w:space="0" w:color="auto"/>
                    <w:bottom w:val="none" w:sz="0" w:space="0" w:color="auto"/>
                    <w:right w:val="none" w:sz="0" w:space="0" w:color="auto"/>
                  </w:divBdr>
                </w:div>
                <w:div w:id="915867325">
                  <w:marLeft w:val="0"/>
                  <w:marRight w:val="0"/>
                  <w:marTop w:val="0"/>
                  <w:marBottom w:val="0"/>
                  <w:divBdr>
                    <w:top w:val="none" w:sz="0" w:space="0" w:color="auto"/>
                    <w:left w:val="none" w:sz="0" w:space="0" w:color="auto"/>
                    <w:bottom w:val="none" w:sz="0" w:space="0" w:color="auto"/>
                    <w:right w:val="none" w:sz="0" w:space="0" w:color="auto"/>
                  </w:divBdr>
                </w:div>
                <w:div w:id="1067537964">
                  <w:marLeft w:val="0"/>
                  <w:marRight w:val="0"/>
                  <w:marTop w:val="0"/>
                  <w:marBottom w:val="0"/>
                  <w:divBdr>
                    <w:top w:val="none" w:sz="0" w:space="0" w:color="auto"/>
                    <w:left w:val="none" w:sz="0" w:space="0" w:color="auto"/>
                    <w:bottom w:val="none" w:sz="0" w:space="0" w:color="auto"/>
                    <w:right w:val="none" w:sz="0" w:space="0" w:color="auto"/>
                  </w:divBdr>
                </w:div>
                <w:div w:id="1133598591">
                  <w:marLeft w:val="0"/>
                  <w:marRight w:val="0"/>
                  <w:marTop w:val="0"/>
                  <w:marBottom w:val="0"/>
                  <w:divBdr>
                    <w:top w:val="none" w:sz="0" w:space="0" w:color="auto"/>
                    <w:left w:val="none" w:sz="0" w:space="0" w:color="auto"/>
                    <w:bottom w:val="none" w:sz="0" w:space="0" w:color="auto"/>
                    <w:right w:val="none" w:sz="0" w:space="0" w:color="auto"/>
                  </w:divBdr>
                </w:div>
                <w:div w:id="1260915871">
                  <w:marLeft w:val="0"/>
                  <w:marRight w:val="0"/>
                  <w:marTop w:val="0"/>
                  <w:marBottom w:val="0"/>
                  <w:divBdr>
                    <w:top w:val="none" w:sz="0" w:space="0" w:color="auto"/>
                    <w:left w:val="none" w:sz="0" w:space="0" w:color="auto"/>
                    <w:bottom w:val="none" w:sz="0" w:space="0" w:color="auto"/>
                    <w:right w:val="none" w:sz="0" w:space="0" w:color="auto"/>
                  </w:divBdr>
                </w:div>
                <w:div w:id="1671984109">
                  <w:marLeft w:val="0"/>
                  <w:marRight w:val="0"/>
                  <w:marTop w:val="0"/>
                  <w:marBottom w:val="0"/>
                  <w:divBdr>
                    <w:top w:val="none" w:sz="0" w:space="0" w:color="auto"/>
                    <w:left w:val="none" w:sz="0" w:space="0" w:color="auto"/>
                    <w:bottom w:val="none" w:sz="0" w:space="0" w:color="auto"/>
                    <w:right w:val="none" w:sz="0" w:space="0" w:color="auto"/>
                  </w:divBdr>
                </w:div>
                <w:div w:id="2008359121">
                  <w:marLeft w:val="0"/>
                  <w:marRight w:val="0"/>
                  <w:marTop w:val="0"/>
                  <w:marBottom w:val="0"/>
                  <w:divBdr>
                    <w:top w:val="none" w:sz="0" w:space="0" w:color="auto"/>
                    <w:left w:val="none" w:sz="0" w:space="0" w:color="auto"/>
                    <w:bottom w:val="none" w:sz="0" w:space="0" w:color="auto"/>
                    <w:right w:val="none" w:sz="0" w:space="0" w:color="auto"/>
                  </w:divBdr>
                </w:div>
                <w:div w:id="2016422149">
                  <w:marLeft w:val="0"/>
                  <w:marRight w:val="0"/>
                  <w:marTop w:val="0"/>
                  <w:marBottom w:val="0"/>
                  <w:divBdr>
                    <w:top w:val="none" w:sz="0" w:space="0" w:color="auto"/>
                    <w:left w:val="none" w:sz="0" w:space="0" w:color="auto"/>
                    <w:bottom w:val="none" w:sz="0" w:space="0" w:color="auto"/>
                    <w:right w:val="none" w:sz="0" w:space="0" w:color="auto"/>
                  </w:divBdr>
                </w:div>
                <w:div w:id="2070373237">
                  <w:marLeft w:val="0"/>
                  <w:marRight w:val="0"/>
                  <w:marTop w:val="0"/>
                  <w:marBottom w:val="0"/>
                  <w:divBdr>
                    <w:top w:val="none" w:sz="0" w:space="0" w:color="auto"/>
                    <w:left w:val="none" w:sz="0" w:space="0" w:color="auto"/>
                    <w:bottom w:val="none" w:sz="0" w:space="0" w:color="auto"/>
                    <w:right w:val="none" w:sz="0" w:space="0" w:color="auto"/>
                  </w:divBdr>
                </w:div>
                <w:div w:id="2121994917">
                  <w:marLeft w:val="0"/>
                  <w:marRight w:val="0"/>
                  <w:marTop w:val="0"/>
                  <w:marBottom w:val="0"/>
                  <w:divBdr>
                    <w:top w:val="none" w:sz="0" w:space="0" w:color="auto"/>
                    <w:left w:val="none" w:sz="0" w:space="0" w:color="auto"/>
                    <w:bottom w:val="none" w:sz="0" w:space="0" w:color="auto"/>
                    <w:right w:val="none" w:sz="0" w:space="0" w:color="auto"/>
                  </w:divBdr>
                </w:div>
              </w:divsChild>
            </w:div>
            <w:div w:id="155541166">
              <w:marLeft w:val="0"/>
              <w:marRight w:val="0"/>
              <w:marTop w:val="0"/>
              <w:marBottom w:val="0"/>
              <w:divBdr>
                <w:top w:val="none" w:sz="0" w:space="0" w:color="auto"/>
                <w:left w:val="none" w:sz="0" w:space="0" w:color="auto"/>
                <w:bottom w:val="none" w:sz="0" w:space="0" w:color="auto"/>
                <w:right w:val="none" w:sz="0" w:space="0" w:color="auto"/>
              </w:divBdr>
              <w:divsChild>
                <w:div w:id="1461456297">
                  <w:marLeft w:val="0"/>
                  <w:marRight w:val="0"/>
                  <w:marTop w:val="0"/>
                  <w:marBottom w:val="0"/>
                  <w:divBdr>
                    <w:top w:val="none" w:sz="0" w:space="0" w:color="auto"/>
                    <w:left w:val="none" w:sz="0" w:space="0" w:color="auto"/>
                    <w:bottom w:val="none" w:sz="0" w:space="0" w:color="auto"/>
                    <w:right w:val="none" w:sz="0" w:space="0" w:color="auto"/>
                  </w:divBdr>
                </w:div>
              </w:divsChild>
            </w:div>
            <w:div w:id="158622899">
              <w:marLeft w:val="0"/>
              <w:marRight w:val="0"/>
              <w:marTop w:val="0"/>
              <w:marBottom w:val="0"/>
              <w:divBdr>
                <w:top w:val="none" w:sz="0" w:space="0" w:color="auto"/>
                <w:left w:val="none" w:sz="0" w:space="0" w:color="auto"/>
                <w:bottom w:val="none" w:sz="0" w:space="0" w:color="auto"/>
                <w:right w:val="none" w:sz="0" w:space="0" w:color="auto"/>
              </w:divBdr>
              <w:divsChild>
                <w:div w:id="1696495257">
                  <w:marLeft w:val="0"/>
                  <w:marRight w:val="0"/>
                  <w:marTop w:val="0"/>
                  <w:marBottom w:val="0"/>
                  <w:divBdr>
                    <w:top w:val="none" w:sz="0" w:space="0" w:color="auto"/>
                    <w:left w:val="none" w:sz="0" w:space="0" w:color="auto"/>
                    <w:bottom w:val="none" w:sz="0" w:space="0" w:color="auto"/>
                    <w:right w:val="none" w:sz="0" w:space="0" w:color="auto"/>
                  </w:divBdr>
                </w:div>
              </w:divsChild>
            </w:div>
            <w:div w:id="177038136">
              <w:marLeft w:val="0"/>
              <w:marRight w:val="0"/>
              <w:marTop w:val="0"/>
              <w:marBottom w:val="0"/>
              <w:divBdr>
                <w:top w:val="none" w:sz="0" w:space="0" w:color="auto"/>
                <w:left w:val="none" w:sz="0" w:space="0" w:color="auto"/>
                <w:bottom w:val="none" w:sz="0" w:space="0" w:color="auto"/>
                <w:right w:val="none" w:sz="0" w:space="0" w:color="auto"/>
              </w:divBdr>
              <w:divsChild>
                <w:div w:id="822501606">
                  <w:marLeft w:val="0"/>
                  <w:marRight w:val="0"/>
                  <w:marTop w:val="0"/>
                  <w:marBottom w:val="0"/>
                  <w:divBdr>
                    <w:top w:val="none" w:sz="0" w:space="0" w:color="auto"/>
                    <w:left w:val="none" w:sz="0" w:space="0" w:color="auto"/>
                    <w:bottom w:val="none" w:sz="0" w:space="0" w:color="auto"/>
                    <w:right w:val="none" w:sz="0" w:space="0" w:color="auto"/>
                  </w:divBdr>
                </w:div>
                <w:div w:id="1807241446">
                  <w:marLeft w:val="0"/>
                  <w:marRight w:val="0"/>
                  <w:marTop w:val="0"/>
                  <w:marBottom w:val="0"/>
                  <w:divBdr>
                    <w:top w:val="none" w:sz="0" w:space="0" w:color="auto"/>
                    <w:left w:val="none" w:sz="0" w:space="0" w:color="auto"/>
                    <w:bottom w:val="none" w:sz="0" w:space="0" w:color="auto"/>
                    <w:right w:val="none" w:sz="0" w:space="0" w:color="auto"/>
                  </w:divBdr>
                </w:div>
              </w:divsChild>
            </w:div>
            <w:div w:id="383257475">
              <w:marLeft w:val="0"/>
              <w:marRight w:val="0"/>
              <w:marTop w:val="0"/>
              <w:marBottom w:val="0"/>
              <w:divBdr>
                <w:top w:val="none" w:sz="0" w:space="0" w:color="auto"/>
                <w:left w:val="none" w:sz="0" w:space="0" w:color="auto"/>
                <w:bottom w:val="none" w:sz="0" w:space="0" w:color="auto"/>
                <w:right w:val="none" w:sz="0" w:space="0" w:color="auto"/>
              </w:divBdr>
              <w:divsChild>
                <w:div w:id="1200123462">
                  <w:marLeft w:val="0"/>
                  <w:marRight w:val="0"/>
                  <w:marTop w:val="0"/>
                  <w:marBottom w:val="0"/>
                  <w:divBdr>
                    <w:top w:val="none" w:sz="0" w:space="0" w:color="auto"/>
                    <w:left w:val="none" w:sz="0" w:space="0" w:color="auto"/>
                    <w:bottom w:val="none" w:sz="0" w:space="0" w:color="auto"/>
                    <w:right w:val="none" w:sz="0" w:space="0" w:color="auto"/>
                  </w:divBdr>
                </w:div>
              </w:divsChild>
            </w:div>
            <w:div w:id="430779149">
              <w:marLeft w:val="0"/>
              <w:marRight w:val="0"/>
              <w:marTop w:val="0"/>
              <w:marBottom w:val="0"/>
              <w:divBdr>
                <w:top w:val="none" w:sz="0" w:space="0" w:color="auto"/>
                <w:left w:val="none" w:sz="0" w:space="0" w:color="auto"/>
                <w:bottom w:val="none" w:sz="0" w:space="0" w:color="auto"/>
                <w:right w:val="none" w:sz="0" w:space="0" w:color="auto"/>
              </w:divBdr>
              <w:divsChild>
                <w:div w:id="1266765959">
                  <w:marLeft w:val="0"/>
                  <w:marRight w:val="0"/>
                  <w:marTop w:val="0"/>
                  <w:marBottom w:val="0"/>
                  <w:divBdr>
                    <w:top w:val="none" w:sz="0" w:space="0" w:color="auto"/>
                    <w:left w:val="none" w:sz="0" w:space="0" w:color="auto"/>
                    <w:bottom w:val="none" w:sz="0" w:space="0" w:color="auto"/>
                    <w:right w:val="none" w:sz="0" w:space="0" w:color="auto"/>
                  </w:divBdr>
                </w:div>
                <w:div w:id="1813868279">
                  <w:marLeft w:val="0"/>
                  <w:marRight w:val="0"/>
                  <w:marTop w:val="0"/>
                  <w:marBottom w:val="0"/>
                  <w:divBdr>
                    <w:top w:val="none" w:sz="0" w:space="0" w:color="auto"/>
                    <w:left w:val="none" w:sz="0" w:space="0" w:color="auto"/>
                    <w:bottom w:val="none" w:sz="0" w:space="0" w:color="auto"/>
                    <w:right w:val="none" w:sz="0" w:space="0" w:color="auto"/>
                  </w:divBdr>
                </w:div>
              </w:divsChild>
            </w:div>
            <w:div w:id="567613571">
              <w:marLeft w:val="0"/>
              <w:marRight w:val="0"/>
              <w:marTop w:val="0"/>
              <w:marBottom w:val="0"/>
              <w:divBdr>
                <w:top w:val="none" w:sz="0" w:space="0" w:color="auto"/>
                <w:left w:val="none" w:sz="0" w:space="0" w:color="auto"/>
                <w:bottom w:val="none" w:sz="0" w:space="0" w:color="auto"/>
                <w:right w:val="none" w:sz="0" w:space="0" w:color="auto"/>
              </w:divBdr>
              <w:divsChild>
                <w:div w:id="21134062">
                  <w:marLeft w:val="0"/>
                  <w:marRight w:val="0"/>
                  <w:marTop w:val="0"/>
                  <w:marBottom w:val="0"/>
                  <w:divBdr>
                    <w:top w:val="none" w:sz="0" w:space="0" w:color="auto"/>
                    <w:left w:val="none" w:sz="0" w:space="0" w:color="auto"/>
                    <w:bottom w:val="none" w:sz="0" w:space="0" w:color="auto"/>
                    <w:right w:val="none" w:sz="0" w:space="0" w:color="auto"/>
                  </w:divBdr>
                </w:div>
                <w:div w:id="1733649205">
                  <w:marLeft w:val="0"/>
                  <w:marRight w:val="0"/>
                  <w:marTop w:val="0"/>
                  <w:marBottom w:val="0"/>
                  <w:divBdr>
                    <w:top w:val="none" w:sz="0" w:space="0" w:color="auto"/>
                    <w:left w:val="none" w:sz="0" w:space="0" w:color="auto"/>
                    <w:bottom w:val="none" w:sz="0" w:space="0" w:color="auto"/>
                    <w:right w:val="none" w:sz="0" w:space="0" w:color="auto"/>
                  </w:divBdr>
                </w:div>
              </w:divsChild>
            </w:div>
            <w:div w:id="616761507">
              <w:marLeft w:val="0"/>
              <w:marRight w:val="0"/>
              <w:marTop w:val="0"/>
              <w:marBottom w:val="0"/>
              <w:divBdr>
                <w:top w:val="none" w:sz="0" w:space="0" w:color="auto"/>
                <w:left w:val="none" w:sz="0" w:space="0" w:color="auto"/>
                <w:bottom w:val="none" w:sz="0" w:space="0" w:color="auto"/>
                <w:right w:val="none" w:sz="0" w:space="0" w:color="auto"/>
              </w:divBdr>
              <w:divsChild>
                <w:div w:id="1542933327">
                  <w:marLeft w:val="0"/>
                  <w:marRight w:val="0"/>
                  <w:marTop w:val="0"/>
                  <w:marBottom w:val="0"/>
                  <w:divBdr>
                    <w:top w:val="none" w:sz="0" w:space="0" w:color="auto"/>
                    <w:left w:val="none" w:sz="0" w:space="0" w:color="auto"/>
                    <w:bottom w:val="none" w:sz="0" w:space="0" w:color="auto"/>
                    <w:right w:val="none" w:sz="0" w:space="0" w:color="auto"/>
                  </w:divBdr>
                </w:div>
              </w:divsChild>
            </w:div>
            <w:div w:id="630130491">
              <w:marLeft w:val="0"/>
              <w:marRight w:val="0"/>
              <w:marTop w:val="0"/>
              <w:marBottom w:val="0"/>
              <w:divBdr>
                <w:top w:val="none" w:sz="0" w:space="0" w:color="auto"/>
                <w:left w:val="none" w:sz="0" w:space="0" w:color="auto"/>
                <w:bottom w:val="none" w:sz="0" w:space="0" w:color="auto"/>
                <w:right w:val="none" w:sz="0" w:space="0" w:color="auto"/>
              </w:divBdr>
              <w:divsChild>
                <w:div w:id="1266188113">
                  <w:marLeft w:val="0"/>
                  <w:marRight w:val="0"/>
                  <w:marTop w:val="0"/>
                  <w:marBottom w:val="0"/>
                  <w:divBdr>
                    <w:top w:val="none" w:sz="0" w:space="0" w:color="auto"/>
                    <w:left w:val="none" w:sz="0" w:space="0" w:color="auto"/>
                    <w:bottom w:val="none" w:sz="0" w:space="0" w:color="auto"/>
                    <w:right w:val="none" w:sz="0" w:space="0" w:color="auto"/>
                  </w:divBdr>
                </w:div>
                <w:div w:id="2009284970">
                  <w:marLeft w:val="0"/>
                  <w:marRight w:val="0"/>
                  <w:marTop w:val="0"/>
                  <w:marBottom w:val="0"/>
                  <w:divBdr>
                    <w:top w:val="none" w:sz="0" w:space="0" w:color="auto"/>
                    <w:left w:val="none" w:sz="0" w:space="0" w:color="auto"/>
                    <w:bottom w:val="none" w:sz="0" w:space="0" w:color="auto"/>
                    <w:right w:val="none" w:sz="0" w:space="0" w:color="auto"/>
                  </w:divBdr>
                </w:div>
              </w:divsChild>
            </w:div>
            <w:div w:id="765658051">
              <w:marLeft w:val="0"/>
              <w:marRight w:val="0"/>
              <w:marTop w:val="0"/>
              <w:marBottom w:val="0"/>
              <w:divBdr>
                <w:top w:val="none" w:sz="0" w:space="0" w:color="auto"/>
                <w:left w:val="none" w:sz="0" w:space="0" w:color="auto"/>
                <w:bottom w:val="none" w:sz="0" w:space="0" w:color="auto"/>
                <w:right w:val="none" w:sz="0" w:space="0" w:color="auto"/>
              </w:divBdr>
              <w:divsChild>
                <w:div w:id="772940590">
                  <w:marLeft w:val="0"/>
                  <w:marRight w:val="0"/>
                  <w:marTop w:val="0"/>
                  <w:marBottom w:val="0"/>
                  <w:divBdr>
                    <w:top w:val="none" w:sz="0" w:space="0" w:color="auto"/>
                    <w:left w:val="none" w:sz="0" w:space="0" w:color="auto"/>
                    <w:bottom w:val="none" w:sz="0" w:space="0" w:color="auto"/>
                    <w:right w:val="none" w:sz="0" w:space="0" w:color="auto"/>
                  </w:divBdr>
                </w:div>
              </w:divsChild>
            </w:div>
            <w:div w:id="767896879">
              <w:marLeft w:val="0"/>
              <w:marRight w:val="0"/>
              <w:marTop w:val="0"/>
              <w:marBottom w:val="0"/>
              <w:divBdr>
                <w:top w:val="none" w:sz="0" w:space="0" w:color="auto"/>
                <w:left w:val="none" w:sz="0" w:space="0" w:color="auto"/>
                <w:bottom w:val="none" w:sz="0" w:space="0" w:color="auto"/>
                <w:right w:val="none" w:sz="0" w:space="0" w:color="auto"/>
              </w:divBdr>
              <w:divsChild>
                <w:div w:id="111559509">
                  <w:marLeft w:val="0"/>
                  <w:marRight w:val="0"/>
                  <w:marTop w:val="0"/>
                  <w:marBottom w:val="0"/>
                  <w:divBdr>
                    <w:top w:val="none" w:sz="0" w:space="0" w:color="auto"/>
                    <w:left w:val="none" w:sz="0" w:space="0" w:color="auto"/>
                    <w:bottom w:val="none" w:sz="0" w:space="0" w:color="auto"/>
                    <w:right w:val="none" w:sz="0" w:space="0" w:color="auto"/>
                  </w:divBdr>
                </w:div>
                <w:div w:id="806822295">
                  <w:marLeft w:val="0"/>
                  <w:marRight w:val="0"/>
                  <w:marTop w:val="0"/>
                  <w:marBottom w:val="0"/>
                  <w:divBdr>
                    <w:top w:val="none" w:sz="0" w:space="0" w:color="auto"/>
                    <w:left w:val="none" w:sz="0" w:space="0" w:color="auto"/>
                    <w:bottom w:val="none" w:sz="0" w:space="0" w:color="auto"/>
                    <w:right w:val="none" w:sz="0" w:space="0" w:color="auto"/>
                  </w:divBdr>
                </w:div>
                <w:div w:id="1066150072">
                  <w:marLeft w:val="0"/>
                  <w:marRight w:val="0"/>
                  <w:marTop w:val="0"/>
                  <w:marBottom w:val="0"/>
                  <w:divBdr>
                    <w:top w:val="none" w:sz="0" w:space="0" w:color="auto"/>
                    <w:left w:val="none" w:sz="0" w:space="0" w:color="auto"/>
                    <w:bottom w:val="none" w:sz="0" w:space="0" w:color="auto"/>
                    <w:right w:val="none" w:sz="0" w:space="0" w:color="auto"/>
                  </w:divBdr>
                </w:div>
                <w:div w:id="1441729214">
                  <w:marLeft w:val="0"/>
                  <w:marRight w:val="0"/>
                  <w:marTop w:val="0"/>
                  <w:marBottom w:val="0"/>
                  <w:divBdr>
                    <w:top w:val="none" w:sz="0" w:space="0" w:color="auto"/>
                    <w:left w:val="none" w:sz="0" w:space="0" w:color="auto"/>
                    <w:bottom w:val="none" w:sz="0" w:space="0" w:color="auto"/>
                    <w:right w:val="none" w:sz="0" w:space="0" w:color="auto"/>
                  </w:divBdr>
                </w:div>
              </w:divsChild>
            </w:div>
            <w:div w:id="1038973393">
              <w:marLeft w:val="0"/>
              <w:marRight w:val="0"/>
              <w:marTop w:val="0"/>
              <w:marBottom w:val="0"/>
              <w:divBdr>
                <w:top w:val="none" w:sz="0" w:space="0" w:color="auto"/>
                <w:left w:val="none" w:sz="0" w:space="0" w:color="auto"/>
                <w:bottom w:val="none" w:sz="0" w:space="0" w:color="auto"/>
                <w:right w:val="none" w:sz="0" w:space="0" w:color="auto"/>
              </w:divBdr>
              <w:divsChild>
                <w:div w:id="318970606">
                  <w:marLeft w:val="0"/>
                  <w:marRight w:val="0"/>
                  <w:marTop w:val="0"/>
                  <w:marBottom w:val="0"/>
                  <w:divBdr>
                    <w:top w:val="none" w:sz="0" w:space="0" w:color="auto"/>
                    <w:left w:val="none" w:sz="0" w:space="0" w:color="auto"/>
                    <w:bottom w:val="none" w:sz="0" w:space="0" w:color="auto"/>
                    <w:right w:val="none" w:sz="0" w:space="0" w:color="auto"/>
                  </w:divBdr>
                </w:div>
                <w:div w:id="644774945">
                  <w:marLeft w:val="0"/>
                  <w:marRight w:val="0"/>
                  <w:marTop w:val="0"/>
                  <w:marBottom w:val="0"/>
                  <w:divBdr>
                    <w:top w:val="none" w:sz="0" w:space="0" w:color="auto"/>
                    <w:left w:val="none" w:sz="0" w:space="0" w:color="auto"/>
                    <w:bottom w:val="none" w:sz="0" w:space="0" w:color="auto"/>
                    <w:right w:val="none" w:sz="0" w:space="0" w:color="auto"/>
                  </w:divBdr>
                </w:div>
                <w:div w:id="667905095">
                  <w:marLeft w:val="0"/>
                  <w:marRight w:val="0"/>
                  <w:marTop w:val="0"/>
                  <w:marBottom w:val="0"/>
                  <w:divBdr>
                    <w:top w:val="none" w:sz="0" w:space="0" w:color="auto"/>
                    <w:left w:val="none" w:sz="0" w:space="0" w:color="auto"/>
                    <w:bottom w:val="none" w:sz="0" w:space="0" w:color="auto"/>
                    <w:right w:val="none" w:sz="0" w:space="0" w:color="auto"/>
                  </w:divBdr>
                </w:div>
                <w:div w:id="725952569">
                  <w:marLeft w:val="0"/>
                  <w:marRight w:val="0"/>
                  <w:marTop w:val="0"/>
                  <w:marBottom w:val="0"/>
                  <w:divBdr>
                    <w:top w:val="none" w:sz="0" w:space="0" w:color="auto"/>
                    <w:left w:val="none" w:sz="0" w:space="0" w:color="auto"/>
                    <w:bottom w:val="none" w:sz="0" w:space="0" w:color="auto"/>
                    <w:right w:val="none" w:sz="0" w:space="0" w:color="auto"/>
                  </w:divBdr>
                </w:div>
                <w:div w:id="914512123">
                  <w:marLeft w:val="0"/>
                  <w:marRight w:val="0"/>
                  <w:marTop w:val="0"/>
                  <w:marBottom w:val="0"/>
                  <w:divBdr>
                    <w:top w:val="none" w:sz="0" w:space="0" w:color="auto"/>
                    <w:left w:val="none" w:sz="0" w:space="0" w:color="auto"/>
                    <w:bottom w:val="none" w:sz="0" w:space="0" w:color="auto"/>
                    <w:right w:val="none" w:sz="0" w:space="0" w:color="auto"/>
                  </w:divBdr>
                </w:div>
              </w:divsChild>
            </w:div>
            <w:div w:id="1357190753">
              <w:marLeft w:val="0"/>
              <w:marRight w:val="0"/>
              <w:marTop w:val="0"/>
              <w:marBottom w:val="0"/>
              <w:divBdr>
                <w:top w:val="none" w:sz="0" w:space="0" w:color="auto"/>
                <w:left w:val="none" w:sz="0" w:space="0" w:color="auto"/>
                <w:bottom w:val="none" w:sz="0" w:space="0" w:color="auto"/>
                <w:right w:val="none" w:sz="0" w:space="0" w:color="auto"/>
              </w:divBdr>
              <w:divsChild>
                <w:div w:id="300186284">
                  <w:marLeft w:val="0"/>
                  <w:marRight w:val="0"/>
                  <w:marTop w:val="0"/>
                  <w:marBottom w:val="0"/>
                  <w:divBdr>
                    <w:top w:val="none" w:sz="0" w:space="0" w:color="auto"/>
                    <w:left w:val="none" w:sz="0" w:space="0" w:color="auto"/>
                    <w:bottom w:val="none" w:sz="0" w:space="0" w:color="auto"/>
                    <w:right w:val="none" w:sz="0" w:space="0" w:color="auto"/>
                  </w:divBdr>
                </w:div>
              </w:divsChild>
            </w:div>
            <w:div w:id="1518228072">
              <w:marLeft w:val="0"/>
              <w:marRight w:val="0"/>
              <w:marTop w:val="0"/>
              <w:marBottom w:val="0"/>
              <w:divBdr>
                <w:top w:val="none" w:sz="0" w:space="0" w:color="auto"/>
                <w:left w:val="none" w:sz="0" w:space="0" w:color="auto"/>
                <w:bottom w:val="none" w:sz="0" w:space="0" w:color="auto"/>
                <w:right w:val="none" w:sz="0" w:space="0" w:color="auto"/>
              </w:divBdr>
              <w:divsChild>
                <w:div w:id="24840308">
                  <w:marLeft w:val="0"/>
                  <w:marRight w:val="0"/>
                  <w:marTop w:val="0"/>
                  <w:marBottom w:val="0"/>
                  <w:divBdr>
                    <w:top w:val="none" w:sz="0" w:space="0" w:color="auto"/>
                    <w:left w:val="none" w:sz="0" w:space="0" w:color="auto"/>
                    <w:bottom w:val="none" w:sz="0" w:space="0" w:color="auto"/>
                    <w:right w:val="none" w:sz="0" w:space="0" w:color="auto"/>
                  </w:divBdr>
                </w:div>
              </w:divsChild>
            </w:div>
            <w:div w:id="1550335438">
              <w:marLeft w:val="0"/>
              <w:marRight w:val="0"/>
              <w:marTop w:val="0"/>
              <w:marBottom w:val="0"/>
              <w:divBdr>
                <w:top w:val="none" w:sz="0" w:space="0" w:color="auto"/>
                <w:left w:val="none" w:sz="0" w:space="0" w:color="auto"/>
                <w:bottom w:val="none" w:sz="0" w:space="0" w:color="auto"/>
                <w:right w:val="none" w:sz="0" w:space="0" w:color="auto"/>
              </w:divBdr>
              <w:divsChild>
                <w:div w:id="80494603">
                  <w:marLeft w:val="0"/>
                  <w:marRight w:val="0"/>
                  <w:marTop w:val="0"/>
                  <w:marBottom w:val="0"/>
                  <w:divBdr>
                    <w:top w:val="none" w:sz="0" w:space="0" w:color="auto"/>
                    <w:left w:val="none" w:sz="0" w:space="0" w:color="auto"/>
                    <w:bottom w:val="none" w:sz="0" w:space="0" w:color="auto"/>
                    <w:right w:val="none" w:sz="0" w:space="0" w:color="auto"/>
                  </w:divBdr>
                </w:div>
                <w:div w:id="107626974">
                  <w:marLeft w:val="0"/>
                  <w:marRight w:val="0"/>
                  <w:marTop w:val="0"/>
                  <w:marBottom w:val="0"/>
                  <w:divBdr>
                    <w:top w:val="none" w:sz="0" w:space="0" w:color="auto"/>
                    <w:left w:val="none" w:sz="0" w:space="0" w:color="auto"/>
                    <w:bottom w:val="none" w:sz="0" w:space="0" w:color="auto"/>
                    <w:right w:val="none" w:sz="0" w:space="0" w:color="auto"/>
                  </w:divBdr>
                </w:div>
                <w:div w:id="464203468">
                  <w:marLeft w:val="0"/>
                  <w:marRight w:val="0"/>
                  <w:marTop w:val="0"/>
                  <w:marBottom w:val="0"/>
                  <w:divBdr>
                    <w:top w:val="none" w:sz="0" w:space="0" w:color="auto"/>
                    <w:left w:val="none" w:sz="0" w:space="0" w:color="auto"/>
                    <w:bottom w:val="none" w:sz="0" w:space="0" w:color="auto"/>
                    <w:right w:val="none" w:sz="0" w:space="0" w:color="auto"/>
                  </w:divBdr>
                </w:div>
                <w:div w:id="1551115547">
                  <w:marLeft w:val="0"/>
                  <w:marRight w:val="0"/>
                  <w:marTop w:val="0"/>
                  <w:marBottom w:val="0"/>
                  <w:divBdr>
                    <w:top w:val="none" w:sz="0" w:space="0" w:color="auto"/>
                    <w:left w:val="none" w:sz="0" w:space="0" w:color="auto"/>
                    <w:bottom w:val="none" w:sz="0" w:space="0" w:color="auto"/>
                    <w:right w:val="none" w:sz="0" w:space="0" w:color="auto"/>
                  </w:divBdr>
                </w:div>
                <w:div w:id="1557082144">
                  <w:marLeft w:val="0"/>
                  <w:marRight w:val="0"/>
                  <w:marTop w:val="0"/>
                  <w:marBottom w:val="0"/>
                  <w:divBdr>
                    <w:top w:val="none" w:sz="0" w:space="0" w:color="auto"/>
                    <w:left w:val="none" w:sz="0" w:space="0" w:color="auto"/>
                    <w:bottom w:val="none" w:sz="0" w:space="0" w:color="auto"/>
                    <w:right w:val="none" w:sz="0" w:space="0" w:color="auto"/>
                  </w:divBdr>
                </w:div>
                <w:div w:id="1589460253">
                  <w:marLeft w:val="0"/>
                  <w:marRight w:val="0"/>
                  <w:marTop w:val="0"/>
                  <w:marBottom w:val="0"/>
                  <w:divBdr>
                    <w:top w:val="none" w:sz="0" w:space="0" w:color="auto"/>
                    <w:left w:val="none" w:sz="0" w:space="0" w:color="auto"/>
                    <w:bottom w:val="none" w:sz="0" w:space="0" w:color="auto"/>
                    <w:right w:val="none" w:sz="0" w:space="0" w:color="auto"/>
                  </w:divBdr>
                </w:div>
                <w:div w:id="1749838424">
                  <w:marLeft w:val="0"/>
                  <w:marRight w:val="0"/>
                  <w:marTop w:val="0"/>
                  <w:marBottom w:val="0"/>
                  <w:divBdr>
                    <w:top w:val="none" w:sz="0" w:space="0" w:color="auto"/>
                    <w:left w:val="none" w:sz="0" w:space="0" w:color="auto"/>
                    <w:bottom w:val="none" w:sz="0" w:space="0" w:color="auto"/>
                    <w:right w:val="none" w:sz="0" w:space="0" w:color="auto"/>
                  </w:divBdr>
                </w:div>
                <w:div w:id="1915973396">
                  <w:marLeft w:val="0"/>
                  <w:marRight w:val="0"/>
                  <w:marTop w:val="0"/>
                  <w:marBottom w:val="0"/>
                  <w:divBdr>
                    <w:top w:val="none" w:sz="0" w:space="0" w:color="auto"/>
                    <w:left w:val="none" w:sz="0" w:space="0" w:color="auto"/>
                    <w:bottom w:val="none" w:sz="0" w:space="0" w:color="auto"/>
                    <w:right w:val="none" w:sz="0" w:space="0" w:color="auto"/>
                  </w:divBdr>
                </w:div>
                <w:div w:id="2110854501">
                  <w:marLeft w:val="0"/>
                  <w:marRight w:val="0"/>
                  <w:marTop w:val="0"/>
                  <w:marBottom w:val="0"/>
                  <w:divBdr>
                    <w:top w:val="none" w:sz="0" w:space="0" w:color="auto"/>
                    <w:left w:val="none" w:sz="0" w:space="0" w:color="auto"/>
                    <w:bottom w:val="none" w:sz="0" w:space="0" w:color="auto"/>
                    <w:right w:val="none" w:sz="0" w:space="0" w:color="auto"/>
                  </w:divBdr>
                </w:div>
              </w:divsChild>
            </w:div>
            <w:div w:id="1699891061">
              <w:marLeft w:val="0"/>
              <w:marRight w:val="0"/>
              <w:marTop w:val="0"/>
              <w:marBottom w:val="0"/>
              <w:divBdr>
                <w:top w:val="none" w:sz="0" w:space="0" w:color="auto"/>
                <w:left w:val="none" w:sz="0" w:space="0" w:color="auto"/>
                <w:bottom w:val="none" w:sz="0" w:space="0" w:color="auto"/>
                <w:right w:val="none" w:sz="0" w:space="0" w:color="auto"/>
              </w:divBdr>
              <w:divsChild>
                <w:div w:id="90320491">
                  <w:marLeft w:val="0"/>
                  <w:marRight w:val="0"/>
                  <w:marTop w:val="0"/>
                  <w:marBottom w:val="0"/>
                  <w:divBdr>
                    <w:top w:val="none" w:sz="0" w:space="0" w:color="auto"/>
                    <w:left w:val="none" w:sz="0" w:space="0" w:color="auto"/>
                    <w:bottom w:val="none" w:sz="0" w:space="0" w:color="auto"/>
                    <w:right w:val="none" w:sz="0" w:space="0" w:color="auto"/>
                  </w:divBdr>
                </w:div>
                <w:div w:id="227350989">
                  <w:marLeft w:val="0"/>
                  <w:marRight w:val="0"/>
                  <w:marTop w:val="0"/>
                  <w:marBottom w:val="0"/>
                  <w:divBdr>
                    <w:top w:val="none" w:sz="0" w:space="0" w:color="auto"/>
                    <w:left w:val="none" w:sz="0" w:space="0" w:color="auto"/>
                    <w:bottom w:val="none" w:sz="0" w:space="0" w:color="auto"/>
                    <w:right w:val="none" w:sz="0" w:space="0" w:color="auto"/>
                  </w:divBdr>
                </w:div>
                <w:div w:id="812871467">
                  <w:marLeft w:val="0"/>
                  <w:marRight w:val="0"/>
                  <w:marTop w:val="0"/>
                  <w:marBottom w:val="0"/>
                  <w:divBdr>
                    <w:top w:val="none" w:sz="0" w:space="0" w:color="auto"/>
                    <w:left w:val="none" w:sz="0" w:space="0" w:color="auto"/>
                    <w:bottom w:val="none" w:sz="0" w:space="0" w:color="auto"/>
                    <w:right w:val="none" w:sz="0" w:space="0" w:color="auto"/>
                  </w:divBdr>
                </w:div>
                <w:div w:id="919173419">
                  <w:marLeft w:val="0"/>
                  <w:marRight w:val="0"/>
                  <w:marTop w:val="0"/>
                  <w:marBottom w:val="0"/>
                  <w:divBdr>
                    <w:top w:val="none" w:sz="0" w:space="0" w:color="auto"/>
                    <w:left w:val="none" w:sz="0" w:space="0" w:color="auto"/>
                    <w:bottom w:val="none" w:sz="0" w:space="0" w:color="auto"/>
                    <w:right w:val="none" w:sz="0" w:space="0" w:color="auto"/>
                  </w:divBdr>
                </w:div>
                <w:div w:id="972372062">
                  <w:marLeft w:val="0"/>
                  <w:marRight w:val="0"/>
                  <w:marTop w:val="0"/>
                  <w:marBottom w:val="0"/>
                  <w:divBdr>
                    <w:top w:val="none" w:sz="0" w:space="0" w:color="auto"/>
                    <w:left w:val="none" w:sz="0" w:space="0" w:color="auto"/>
                    <w:bottom w:val="none" w:sz="0" w:space="0" w:color="auto"/>
                    <w:right w:val="none" w:sz="0" w:space="0" w:color="auto"/>
                  </w:divBdr>
                </w:div>
                <w:div w:id="1326087361">
                  <w:marLeft w:val="0"/>
                  <w:marRight w:val="0"/>
                  <w:marTop w:val="0"/>
                  <w:marBottom w:val="0"/>
                  <w:divBdr>
                    <w:top w:val="none" w:sz="0" w:space="0" w:color="auto"/>
                    <w:left w:val="none" w:sz="0" w:space="0" w:color="auto"/>
                    <w:bottom w:val="none" w:sz="0" w:space="0" w:color="auto"/>
                    <w:right w:val="none" w:sz="0" w:space="0" w:color="auto"/>
                  </w:divBdr>
                </w:div>
                <w:div w:id="1339505515">
                  <w:marLeft w:val="0"/>
                  <w:marRight w:val="0"/>
                  <w:marTop w:val="0"/>
                  <w:marBottom w:val="0"/>
                  <w:divBdr>
                    <w:top w:val="none" w:sz="0" w:space="0" w:color="auto"/>
                    <w:left w:val="none" w:sz="0" w:space="0" w:color="auto"/>
                    <w:bottom w:val="none" w:sz="0" w:space="0" w:color="auto"/>
                    <w:right w:val="none" w:sz="0" w:space="0" w:color="auto"/>
                  </w:divBdr>
                </w:div>
                <w:div w:id="1353343179">
                  <w:marLeft w:val="0"/>
                  <w:marRight w:val="0"/>
                  <w:marTop w:val="0"/>
                  <w:marBottom w:val="0"/>
                  <w:divBdr>
                    <w:top w:val="none" w:sz="0" w:space="0" w:color="auto"/>
                    <w:left w:val="none" w:sz="0" w:space="0" w:color="auto"/>
                    <w:bottom w:val="none" w:sz="0" w:space="0" w:color="auto"/>
                    <w:right w:val="none" w:sz="0" w:space="0" w:color="auto"/>
                  </w:divBdr>
                </w:div>
                <w:div w:id="1729066030">
                  <w:marLeft w:val="0"/>
                  <w:marRight w:val="0"/>
                  <w:marTop w:val="0"/>
                  <w:marBottom w:val="0"/>
                  <w:divBdr>
                    <w:top w:val="none" w:sz="0" w:space="0" w:color="auto"/>
                    <w:left w:val="none" w:sz="0" w:space="0" w:color="auto"/>
                    <w:bottom w:val="none" w:sz="0" w:space="0" w:color="auto"/>
                    <w:right w:val="none" w:sz="0" w:space="0" w:color="auto"/>
                  </w:divBdr>
                </w:div>
                <w:div w:id="1973291446">
                  <w:marLeft w:val="0"/>
                  <w:marRight w:val="0"/>
                  <w:marTop w:val="0"/>
                  <w:marBottom w:val="0"/>
                  <w:divBdr>
                    <w:top w:val="none" w:sz="0" w:space="0" w:color="auto"/>
                    <w:left w:val="none" w:sz="0" w:space="0" w:color="auto"/>
                    <w:bottom w:val="none" w:sz="0" w:space="0" w:color="auto"/>
                    <w:right w:val="none" w:sz="0" w:space="0" w:color="auto"/>
                  </w:divBdr>
                </w:div>
                <w:div w:id="2014723775">
                  <w:marLeft w:val="0"/>
                  <w:marRight w:val="0"/>
                  <w:marTop w:val="0"/>
                  <w:marBottom w:val="0"/>
                  <w:divBdr>
                    <w:top w:val="none" w:sz="0" w:space="0" w:color="auto"/>
                    <w:left w:val="none" w:sz="0" w:space="0" w:color="auto"/>
                    <w:bottom w:val="none" w:sz="0" w:space="0" w:color="auto"/>
                    <w:right w:val="none" w:sz="0" w:space="0" w:color="auto"/>
                  </w:divBdr>
                </w:div>
              </w:divsChild>
            </w:div>
            <w:div w:id="1734573837">
              <w:marLeft w:val="0"/>
              <w:marRight w:val="0"/>
              <w:marTop w:val="0"/>
              <w:marBottom w:val="0"/>
              <w:divBdr>
                <w:top w:val="none" w:sz="0" w:space="0" w:color="auto"/>
                <w:left w:val="none" w:sz="0" w:space="0" w:color="auto"/>
                <w:bottom w:val="none" w:sz="0" w:space="0" w:color="auto"/>
                <w:right w:val="none" w:sz="0" w:space="0" w:color="auto"/>
              </w:divBdr>
              <w:divsChild>
                <w:div w:id="826819583">
                  <w:marLeft w:val="0"/>
                  <w:marRight w:val="0"/>
                  <w:marTop w:val="0"/>
                  <w:marBottom w:val="0"/>
                  <w:divBdr>
                    <w:top w:val="none" w:sz="0" w:space="0" w:color="auto"/>
                    <w:left w:val="none" w:sz="0" w:space="0" w:color="auto"/>
                    <w:bottom w:val="none" w:sz="0" w:space="0" w:color="auto"/>
                    <w:right w:val="none" w:sz="0" w:space="0" w:color="auto"/>
                  </w:divBdr>
                </w:div>
                <w:div w:id="856164442">
                  <w:marLeft w:val="0"/>
                  <w:marRight w:val="0"/>
                  <w:marTop w:val="0"/>
                  <w:marBottom w:val="0"/>
                  <w:divBdr>
                    <w:top w:val="none" w:sz="0" w:space="0" w:color="auto"/>
                    <w:left w:val="none" w:sz="0" w:space="0" w:color="auto"/>
                    <w:bottom w:val="none" w:sz="0" w:space="0" w:color="auto"/>
                    <w:right w:val="none" w:sz="0" w:space="0" w:color="auto"/>
                  </w:divBdr>
                </w:div>
              </w:divsChild>
            </w:div>
            <w:div w:id="1941601983">
              <w:marLeft w:val="0"/>
              <w:marRight w:val="0"/>
              <w:marTop w:val="0"/>
              <w:marBottom w:val="0"/>
              <w:divBdr>
                <w:top w:val="none" w:sz="0" w:space="0" w:color="auto"/>
                <w:left w:val="none" w:sz="0" w:space="0" w:color="auto"/>
                <w:bottom w:val="none" w:sz="0" w:space="0" w:color="auto"/>
                <w:right w:val="none" w:sz="0" w:space="0" w:color="auto"/>
              </w:divBdr>
              <w:divsChild>
                <w:div w:id="1398357493">
                  <w:marLeft w:val="0"/>
                  <w:marRight w:val="0"/>
                  <w:marTop w:val="0"/>
                  <w:marBottom w:val="0"/>
                  <w:divBdr>
                    <w:top w:val="none" w:sz="0" w:space="0" w:color="auto"/>
                    <w:left w:val="none" w:sz="0" w:space="0" w:color="auto"/>
                    <w:bottom w:val="none" w:sz="0" w:space="0" w:color="auto"/>
                    <w:right w:val="none" w:sz="0" w:space="0" w:color="auto"/>
                  </w:divBdr>
                </w:div>
                <w:div w:id="2022930819">
                  <w:marLeft w:val="0"/>
                  <w:marRight w:val="0"/>
                  <w:marTop w:val="0"/>
                  <w:marBottom w:val="0"/>
                  <w:divBdr>
                    <w:top w:val="none" w:sz="0" w:space="0" w:color="auto"/>
                    <w:left w:val="none" w:sz="0" w:space="0" w:color="auto"/>
                    <w:bottom w:val="none" w:sz="0" w:space="0" w:color="auto"/>
                    <w:right w:val="none" w:sz="0" w:space="0" w:color="auto"/>
                  </w:divBdr>
                </w:div>
              </w:divsChild>
            </w:div>
            <w:div w:id="2031488345">
              <w:marLeft w:val="0"/>
              <w:marRight w:val="0"/>
              <w:marTop w:val="0"/>
              <w:marBottom w:val="0"/>
              <w:divBdr>
                <w:top w:val="none" w:sz="0" w:space="0" w:color="auto"/>
                <w:left w:val="none" w:sz="0" w:space="0" w:color="auto"/>
                <w:bottom w:val="none" w:sz="0" w:space="0" w:color="auto"/>
                <w:right w:val="none" w:sz="0" w:space="0" w:color="auto"/>
              </w:divBdr>
              <w:divsChild>
                <w:div w:id="1959950064">
                  <w:marLeft w:val="0"/>
                  <w:marRight w:val="0"/>
                  <w:marTop w:val="0"/>
                  <w:marBottom w:val="0"/>
                  <w:divBdr>
                    <w:top w:val="none" w:sz="0" w:space="0" w:color="auto"/>
                    <w:left w:val="none" w:sz="0" w:space="0" w:color="auto"/>
                    <w:bottom w:val="none" w:sz="0" w:space="0" w:color="auto"/>
                    <w:right w:val="none" w:sz="0" w:space="0" w:color="auto"/>
                  </w:divBdr>
                </w:div>
              </w:divsChild>
            </w:div>
            <w:div w:id="2056192857">
              <w:marLeft w:val="0"/>
              <w:marRight w:val="0"/>
              <w:marTop w:val="0"/>
              <w:marBottom w:val="0"/>
              <w:divBdr>
                <w:top w:val="none" w:sz="0" w:space="0" w:color="auto"/>
                <w:left w:val="none" w:sz="0" w:space="0" w:color="auto"/>
                <w:bottom w:val="none" w:sz="0" w:space="0" w:color="auto"/>
                <w:right w:val="none" w:sz="0" w:space="0" w:color="auto"/>
              </w:divBdr>
              <w:divsChild>
                <w:div w:id="408816417">
                  <w:marLeft w:val="0"/>
                  <w:marRight w:val="0"/>
                  <w:marTop w:val="0"/>
                  <w:marBottom w:val="0"/>
                  <w:divBdr>
                    <w:top w:val="none" w:sz="0" w:space="0" w:color="auto"/>
                    <w:left w:val="none" w:sz="0" w:space="0" w:color="auto"/>
                    <w:bottom w:val="none" w:sz="0" w:space="0" w:color="auto"/>
                    <w:right w:val="none" w:sz="0" w:space="0" w:color="auto"/>
                  </w:divBdr>
                </w:div>
                <w:div w:id="985361047">
                  <w:marLeft w:val="0"/>
                  <w:marRight w:val="0"/>
                  <w:marTop w:val="0"/>
                  <w:marBottom w:val="0"/>
                  <w:divBdr>
                    <w:top w:val="none" w:sz="0" w:space="0" w:color="auto"/>
                    <w:left w:val="none" w:sz="0" w:space="0" w:color="auto"/>
                    <w:bottom w:val="none" w:sz="0" w:space="0" w:color="auto"/>
                    <w:right w:val="none" w:sz="0" w:space="0" w:color="auto"/>
                  </w:divBdr>
                </w:div>
                <w:div w:id="1474985148">
                  <w:marLeft w:val="0"/>
                  <w:marRight w:val="0"/>
                  <w:marTop w:val="0"/>
                  <w:marBottom w:val="0"/>
                  <w:divBdr>
                    <w:top w:val="none" w:sz="0" w:space="0" w:color="auto"/>
                    <w:left w:val="none" w:sz="0" w:space="0" w:color="auto"/>
                    <w:bottom w:val="none" w:sz="0" w:space="0" w:color="auto"/>
                    <w:right w:val="none" w:sz="0" w:space="0" w:color="auto"/>
                  </w:divBdr>
                </w:div>
                <w:div w:id="1814129024">
                  <w:marLeft w:val="0"/>
                  <w:marRight w:val="0"/>
                  <w:marTop w:val="0"/>
                  <w:marBottom w:val="0"/>
                  <w:divBdr>
                    <w:top w:val="none" w:sz="0" w:space="0" w:color="auto"/>
                    <w:left w:val="none" w:sz="0" w:space="0" w:color="auto"/>
                    <w:bottom w:val="none" w:sz="0" w:space="0" w:color="auto"/>
                    <w:right w:val="none" w:sz="0" w:space="0" w:color="auto"/>
                  </w:divBdr>
                </w:div>
                <w:div w:id="1976790819">
                  <w:marLeft w:val="0"/>
                  <w:marRight w:val="0"/>
                  <w:marTop w:val="0"/>
                  <w:marBottom w:val="0"/>
                  <w:divBdr>
                    <w:top w:val="none" w:sz="0" w:space="0" w:color="auto"/>
                    <w:left w:val="none" w:sz="0" w:space="0" w:color="auto"/>
                    <w:bottom w:val="none" w:sz="0" w:space="0" w:color="auto"/>
                    <w:right w:val="none" w:sz="0" w:space="0" w:color="auto"/>
                  </w:divBdr>
                </w:div>
              </w:divsChild>
            </w:div>
            <w:div w:id="2147382741">
              <w:marLeft w:val="0"/>
              <w:marRight w:val="0"/>
              <w:marTop w:val="0"/>
              <w:marBottom w:val="0"/>
              <w:divBdr>
                <w:top w:val="none" w:sz="0" w:space="0" w:color="auto"/>
                <w:left w:val="none" w:sz="0" w:space="0" w:color="auto"/>
                <w:bottom w:val="none" w:sz="0" w:space="0" w:color="auto"/>
                <w:right w:val="none" w:sz="0" w:space="0" w:color="auto"/>
              </w:divBdr>
              <w:divsChild>
                <w:div w:id="293995550">
                  <w:marLeft w:val="0"/>
                  <w:marRight w:val="0"/>
                  <w:marTop w:val="0"/>
                  <w:marBottom w:val="0"/>
                  <w:divBdr>
                    <w:top w:val="none" w:sz="0" w:space="0" w:color="auto"/>
                    <w:left w:val="none" w:sz="0" w:space="0" w:color="auto"/>
                    <w:bottom w:val="none" w:sz="0" w:space="0" w:color="auto"/>
                    <w:right w:val="none" w:sz="0" w:space="0" w:color="auto"/>
                  </w:divBdr>
                </w:div>
                <w:div w:id="786117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126130">
          <w:marLeft w:val="0"/>
          <w:marRight w:val="0"/>
          <w:marTop w:val="0"/>
          <w:marBottom w:val="0"/>
          <w:divBdr>
            <w:top w:val="none" w:sz="0" w:space="0" w:color="auto"/>
            <w:left w:val="none" w:sz="0" w:space="0" w:color="auto"/>
            <w:bottom w:val="none" w:sz="0" w:space="0" w:color="auto"/>
            <w:right w:val="none" w:sz="0" w:space="0" w:color="auto"/>
          </w:divBdr>
        </w:div>
        <w:div w:id="892935389">
          <w:marLeft w:val="0"/>
          <w:marRight w:val="0"/>
          <w:marTop w:val="0"/>
          <w:marBottom w:val="0"/>
          <w:divBdr>
            <w:top w:val="none" w:sz="0" w:space="0" w:color="auto"/>
            <w:left w:val="none" w:sz="0" w:space="0" w:color="auto"/>
            <w:bottom w:val="none" w:sz="0" w:space="0" w:color="auto"/>
            <w:right w:val="none" w:sz="0" w:space="0" w:color="auto"/>
          </w:divBdr>
        </w:div>
        <w:div w:id="918755593">
          <w:marLeft w:val="0"/>
          <w:marRight w:val="0"/>
          <w:marTop w:val="0"/>
          <w:marBottom w:val="0"/>
          <w:divBdr>
            <w:top w:val="none" w:sz="0" w:space="0" w:color="auto"/>
            <w:left w:val="none" w:sz="0" w:space="0" w:color="auto"/>
            <w:bottom w:val="none" w:sz="0" w:space="0" w:color="auto"/>
            <w:right w:val="none" w:sz="0" w:space="0" w:color="auto"/>
          </w:divBdr>
        </w:div>
        <w:div w:id="921717269">
          <w:marLeft w:val="0"/>
          <w:marRight w:val="0"/>
          <w:marTop w:val="0"/>
          <w:marBottom w:val="0"/>
          <w:divBdr>
            <w:top w:val="none" w:sz="0" w:space="0" w:color="auto"/>
            <w:left w:val="none" w:sz="0" w:space="0" w:color="auto"/>
            <w:bottom w:val="none" w:sz="0" w:space="0" w:color="auto"/>
            <w:right w:val="none" w:sz="0" w:space="0" w:color="auto"/>
          </w:divBdr>
        </w:div>
        <w:div w:id="970866995">
          <w:marLeft w:val="0"/>
          <w:marRight w:val="0"/>
          <w:marTop w:val="0"/>
          <w:marBottom w:val="0"/>
          <w:divBdr>
            <w:top w:val="none" w:sz="0" w:space="0" w:color="auto"/>
            <w:left w:val="none" w:sz="0" w:space="0" w:color="auto"/>
            <w:bottom w:val="none" w:sz="0" w:space="0" w:color="auto"/>
            <w:right w:val="none" w:sz="0" w:space="0" w:color="auto"/>
          </w:divBdr>
        </w:div>
        <w:div w:id="1051537993">
          <w:marLeft w:val="0"/>
          <w:marRight w:val="0"/>
          <w:marTop w:val="0"/>
          <w:marBottom w:val="0"/>
          <w:divBdr>
            <w:top w:val="none" w:sz="0" w:space="0" w:color="auto"/>
            <w:left w:val="none" w:sz="0" w:space="0" w:color="auto"/>
            <w:bottom w:val="none" w:sz="0" w:space="0" w:color="auto"/>
            <w:right w:val="none" w:sz="0" w:space="0" w:color="auto"/>
          </w:divBdr>
        </w:div>
        <w:div w:id="1085807548">
          <w:marLeft w:val="0"/>
          <w:marRight w:val="0"/>
          <w:marTop w:val="0"/>
          <w:marBottom w:val="0"/>
          <w:divBdr>
            <w:top w:val="none" w:sz="0" w:space="0" w:color="auto"/>
            <w:left w:val="none" w:sz="0" w:space="0" w:color="auto"/>
            <w:bottom w:val="none" w:sz="0" w:space="0" w:color="auto"/>
            <w:right w:val="none" w:sz="0" w:space="0" w:color="auto"/>
          </w:divBdr>
        </w:div>
        <w:div w:id="1139033519">
          <w:marLeft w:val="0"/>
          <w:marRight w:val="0"/>
          <w:marTop w:val="0"/>
          <w:marBottom w:val="0"/>
          <w:divBdr>
            <w:top w:val="none" w:sz="0" w:space="0" w:color="auto"/>
            <w:left w:val="none" w:sz="0" w:space="0" w:color="auto"/>
            <w:bottom w:val="none" w:sz="0" w:space="0" w:color="auto"/>
            <w:right w:val="none" w:sz="0" w:space="0" w:color="auto"/>
          </w:divBdr>
        </w:div>
        <w:div w:id="1171069431">
          <w:marLeft w:val="0"/>
          <w:marRight w:val="0"/>
          <w:marTop w:val="0"/>
          <w:marBottom w:val="0"/>
          <w:divBdr>
            <w:top w:val="none" w:sz="0" w:space="0" w:color="auto"/>
            <w:left w:val="none" w:sz="0" w:space="0" w:color="auto"/>
            <w:bottom w:val="none" w:sz="0" w:space="0" w:color="auto"/>
            <w:right w:val="none" w:sz="0" w:space="0" w:color="auto"/>
          </w:divBdr>
        </w:div>
        <w:div w:id="1171874504">
          <w:marLeft w:val="-45"/>
          <w:marRight w:val="0"/>
          <w:marTop w:val="30"/>
          <w:marBottom w:val="30"/>
          <w:divBdr>
            <w:top w:val="none" w:sz="0" w:space="0" w:color="auto"/>
            <w:left w:val="none" w:sz="0" w:space="0" w:color="auto"/>
            <w:bottom w:val="none" w:sz="0" w:space="0" w:color="auto"/>
            <w:right w:val="none" w:sz="0" w:space="0" w:color="auto"/>
          </w:divBdr>
          <w:divsChild>
            <w:div w:id="228811874">
              <w:marLeft w:val="0"/>
              <w:marRight w:val="0"/>
              <w:marTop w:val="0"/>
              <w:marBottom w:val="0"/>
              <w:divBdr>
                <w:top w:val="none" w:sz="0" w:space="0" w:color="auto"/>
                <w:left w:val="none" w:sz="0" w:space="0" w:color="auto"/>
                <w:bottom w:val="none" w:sz="0" w:space="0" w:color="auto"/>
                <w:right w:val="none" w:sz="0" w:space="0" w:color="auto"/>
              </w:divBdr>
              <w:divsChild>
                <w:div w:id="393747431">
                  <w:marLeft w:val="0"/>
                  <w:marRight w:val="0"/>
                  <w:marTop w:val="0"/>
                  <w:marBottom w:val="0"/>
                  <w:divBdr>
                    <w:top w:val="none" w:sz="0" w:space="0" w:color="auto"/>
                    <w:left w:val="none" w:sz="0" w:space="0" w:color="auto"/>
                    <w:bottom w:val="none" w:sz="0" w:space="0" w:color="auto"/>
                    <w:right w:val="none" w:sz="0" w:space="0" w:color="auto"/>
                  </w:divBdr>
                </w:div>
              </w:divsChild>
            </w:div>
            <w:div w:id="918833475">
              <w:marLeft w:val="0"/>
              <w:marRight w:val="0"/>
              <w:marTop w:val="0"/>
              <w:marBottom w:val="0"/>
              <w:divBdr>
                <w:top w:val="none" w:sz="0" w:space="0" w:color="auto"/>
                <w:left w:val="none" w:sz="0" w:space="0" w:color="auto"/>
                <w:bottom w:val="none" w:sz="0" w:space="0" w:color="auto"/>
                <w:right w:val="none" w:sz="0" w:space="0" w:color="auto"/>
              </w:divBdr>
              <w:divsChild>
                <w:div w:id="587425154">
                  <w:marLeft w:val="0"/>
                  <w:marRight w:val="0"/>
                  <w:marTop w:val="0"/>
                  <w:marBottom w:val="0"/>
                  <w:divBdr>
                    <w:top w:val="none" w:sz="0" w:space="0" w:color="auto"/>
                    <w:left w:val="none" w:sz="0" w:space="0" w:color="auto"/>
                    <w:bottom w:val="none" w:sz="0" w:space="0" w:color="auto"/>
                    <w:right w:val="none" w:sz="0" w:space="0" w:color="auto"/>
                  </w:divBdr>
                </w:div>
                <w:div w:id="1321814946">
                  <w:marLeft w:val="0"/>
                  <w:marRight w:val="0"/>
                  <w:marTop w:val="0"/>
                  <w:marBottom w:val="0"/>
                  <w:divBdr>
                    <w:top w:val="none" w:sz="0" w:space="0" w:color="auto"/>
                    <w:left w:val="none" w:sz="0" w:space="0" w:color="auto"/>
                    <w:bottom w:val="none" w:sz="0" w:space="0" w:color="auto"/>
                    <w:right w:val="none" w:sz="0" w:space="0" w:color="auto"/>
                  </w:divBdr>
                </w:div>
              </w:divsChild>
            </w:div>
            <w:div w:id="947615053">
              <w:marLeft w:val="0"/>
              <w:marRight w:val="0"/>
              <w:marTop w:val="0"/>
              <w:marBottom w:val="0"/>
              <w:divBdr>
                <w:top w:val="none" w:sz="0" w:space="0" w:color="auto"/>
                <w:left w:val="none" w:sz="0" w:space="0" w:color="auto"/>
                <w:bottom w:val="none" w:sz="0" w:space="0" w:color="auto"/>
                <w:right w:val="none" w:sz="0" w:space="0" w:color="auto"/>
              </w:divBdr>
              <w:divsChild>
                <w:div w:id="558133621">
                  <w:marLeft w:val="0"/>
                  <w:marRight w:val="0"/>
                  <w:marTop w:val="0"/>
                  <w:marBottom w:val="0"/>
                  <w:divBdr>
                    <w:top w:val="none" w:sz="0" w:space="0" w:color="auto"/>
                    <w:left w:val="none" w:sz="0" w:space="0" w:color="auto"/>
                    <w:bottom w:val="none" w:sz="0" w:space="0" w:color="auto"/>
                    <w:right w:val="none" w:sz="0" w:space="0" w:color="auto"/>
                  </w:divBdr>
                </w:div>
              </w:divsChild>
            </w:div>
            <w:div w:id="985206030">
              <w:marLeft w:val="0"/>
              <w:marRight w:val="0"/>
              <w:marTop w:val="0"/>
              <w:marBottom w:val="0"/>
              <w:divBdr>
                <w:top w:val="none" w:sz="0" w:space="0" w:color="auto"/>
                <w:left w:val="none" w:sz="0" w:space="0" w:color="auto"/>
                <w:bottom w:val="none" w:sz="0" w:space="0" w:color="auto"/>
                <w:right w:val="none" w:sz="0" w:space="0" w:color="auto"/>
              </w:divBdr>
              <w:divsChild>
                <w:div w:id="989754524">
                  <w:marLeft w:val="0"/>
                  <w:marRight w:val="0"/>
                  <w:marTop w:val="0"/>
                  <w:marBottom w:val="0"/>
                  <w:divBdr>
                    <w:top w:val="none" w:sz="0" w:space="0" w:color="auto"/>
                    <w:left w:val="none" w:sz="0" w:space="0" w:color="auto"/>
                    <w:bottom w:val="none" w:sz="0" w:space="0" w:color="auto"/>
                    <w:right w:val="none" w:sz="0" w:space="0" w:color="auto"/>
                  </w:divBdr>
                </w:div>
              </w:divsChild>
            </w:div>
            <w:div w:id="1102578239">
              <w:marLeft w:val="0"/>
              <w:marRight w:val="0"/>
              <w:marTop w:val="0"/>
              <w:marBottom w:val="0"/>
              <w:divBdr>
                <w:top w:val="none" w:sz="0" w:space="0" w:color="auto"/>
                <w:left w:val="none" w:sz="0" w:space="0" w:color="auto"/>
                <w:bottom w:val="none" w:sz="0" w:space="0" w:color="auto"/>
                <w:right w:val="none" w:sz="0" w:space="0" w:color="auto"/>
              </w:divBdr>
              <w:divsChild>
                <w:div w:id="43605292">
                  <w:marLeft w:val="0"/>
                  <w:marRight w:val="0"/>
                  <w:marTop w:val="0"/>
                  <w:marBottom w:val="0"/>
                  <w:divBdr>
                    <w:top w:val="none" w:sz="0" w:space="0" w:color="auto"/>
                    <w:left w:val="none" w:sz="0" w:space="0" w:color="auto"/>
                    <w:bottom w:val="none" w:sz="0" w:space="0" w:color="auto"/>
                    <w:right w:val="none" w:sz="0" w:space="0" w:color="auto"/>
                  </w:divBdr>
                </w:div>
                <w:div w:id="75832520">
                  <w:marLeft w:val="0"/>
                  <w:marRight w:val="0"/>
                  <w:marTop w:val="0"/>
                  <w:marBottom w:val="0"/>
                  <w:divBdr>
                    <w:top w:val="none" w:sz="0" w:space="0" w:color="auto"/>
                    <w:left w:val="none" w:sz="0" w:space="0" w:color="auto"/>
                    <w:bottom w:val="none" w:sz="0" w:space="0" w:color="auto"/>
                    <w:right w:val="none" w:sz="0" w:space="0" w:color="auto"/>
                  </w:divBdr>
                </w:div>
              </w:divsChild>
            </w:div>
            <w:div w:id="1258631510">
              <w:marLeft w:val="0"/>
              <w:marRight w:val="0"/>
              <w:marTop w:val="0"/>
              <w:marBottom w:val="0"/>
              <w:divBdr>
                <w:top w:val="none" w:sz="0" w:space="0" w:color="auto"/>
                <w:left w:val="none" w:sz="0" w:space="0" w:color="auto"/>
                <w:bottom w:val="none" w:sz="0" w:space="0" w:color="auto"/>
                <w:right w:val="none" w:sz="0" w:space="0" w:color="auto"/>
              </w:divBdr>
              <w:divsChild>
                <w:div w:id="1208227123">
                  <w:marLeft w:val="0"/>
                  <w:marRight w:val="0"/>
                  <w:marTop w:val="0"/>
                  <w:marBottom w:val="0"/>
                  <w:divBdr>
                    <w:top w:val="none" w:sz="0" w:space="0" w:color="auto"/>
                    <w:left w:val="none" w:sz="0" w:space="0" w:color="auto"/>
                    <w:bottom w:val="none" w:sz="0" w:space="0" w:color="auto"/>
                    <w:right w:val="none" w:sz="0" w:space="0" w:color="auto"/>
                  </w:divBdr>
                </w:div>
              </w:divsChild>
            </w:div>
            <w:div w:id="1335301328">
              <w:marLeft w:val="0"/>
              <w:marRight w:val="0"/>
              <w:marTop w:val="0"/>
              <w:marBottom w:val="0"/>
              <w:divBdr>
                <w:top w:val="none" w:sz="0" w:space="0" w:color="auto"/>
                <w:left w:val="none" w:sz="0" w:space="0" w:color="auto"/>
                <w:bottom w:val="none" w:sz="0" w:space="0" w:color="auto"/>
                <w:right w:val="none" w:sz="0" w:space="0" w:color="auto"/>
              </w:divBdr>
              <w:divsChild>
                <w:div w:id="22294623">
                  <w:marLeft w:val="0"/>
                  <w:marRight w:val="0"/>
                  <w:marTop w:val="0"/>
                  <w:marBottom w:val="0"/>
                  <w:divBdr>
                    <w:top w:val="none" w:sz="0" w:space="0" w:color="auto"/>
                    <w:left w:val="none" w:sz="0" w:space="0" w:color="auto"/>
                    <w:bottom w:val="none" w:sz="0" w:space="0" w:color="auto"/>
                    <w:right w:val="none" w:sz="0" w:space="0" w:color="auto"/>
                  </w:divBdr>
                </w:div>
              </w:divsChild>
            </w:div>
            <w:div w:id="1387872677">
              <w:marLeft w:val="0"/>
              <w:marRight w:val="0"/>
              <w:marTop w:val="0"/>
              <w:marBottom w:val="0"/>
              <w:divBdr>
                <w:top w:val="none" w:sz="0" w:space="0" w:color="auto"/>
                <w:left w:val="none" w:sz="0" w:space="0" w:color="auto"/>
                <w:bottom w:val="none" w:sz="0" w:space="0" w:color="auto"/>
                <w:right w:val="none" w:sz="0" w:space="0" w:color="auto"/>
              </w:divBdr>
              <w:divsChild>
                <w:div w:id="1002778599">
                  <w:marLeft w:val="0"/>
                  <w:marRight w:val="0"/>
                  <w:marTop w:val="0"/>
                  <w:marBottom w:val="0"/>
                  <w:divBdr>
                    <w:top w:val="none" w:sz="0" w:space="0" w:color="auto"/>
                    <w:left w:val="none" w:sz="0" w:space="0" w:color="auto"/>
                    <w:bottom w:val="none" w:sz="0" w:space="0" w:color="auto"/>
                    <w:right w:val="none" w:sz="0" w:space="0" w:color="auto"/>
                  </w:divBdr>
                </w:div>
              </w:divsChild>
            </w:div>
            <w:div w:id="1425302618">
              <w:marLeft w:val="0"/>
              <w:marRight w:val="0"/>
              <w:marTop w:val="0"/>
              <w:marBottom w:val="0"/>
              <w:divBdr>
                <w:top w:val="none" w:sz="0" w:space="0" w:color="auto"/>
                <w:left w:val="none" w:sz="0" w:space="0" w:color="auto"/>
                <w:bottom w:val="none" w:sz="0" w:space="0" w:color="auto"/>
                <w:right w:val="none" w:sz="0" w:space="0" w:color="auto"/>
              </w:divBdr>
              <w:divsChild>
                <w:div w:id="598221789">
                  <w:marLeft w:val="0"/>
                  <w:marRight w:val="0"/>
                  <w:marTop w:val="0"/>
                  <w:marBottom w:val="0"/>
                  <w:divBdr>
                    <w:top w:val="none" w:sz="0" w:space="0" w:color="auto"/>
                    <w:left w:val="none" w:sz="0" w:space="0" w:color="auto"/>
                    <w:bottom w:val="none" w:sz="0" w:space="0" w:color="auto"/>
                    <w:right w:val="none" w:sz="0" w:space="0" w:color="auto"/>
                  </w:divBdr>
                </w:div>
              </w:divsChild>
            </w:div>
            <w:div w:id="1630210770">
              <w:marLeft w:val="0"/>
              <w:marRight w:val="0"/>
              <w:marTop w:val="0"/>
              <w:marBottom w:val="0"/>
              <w:divBdr>
                <w:top w:val="none" w:sz="0" w:space="0" w:color="auto"/>
                <w:left w:val="none" w:sz="0" w:space="0" w:color="auto"/>
                <w:bottom w:val="none" w:sz="0" w:space="0" w:color="auto"/>
                <w:right w:val="none" w:sz="0" w:space="0" w:color="auto"/>
              </w:divBdr>
              <w:divsChild>
                <w:div w:id="1682899123">
                  <w:marLeft w:val="0"/>
                  <w:marRight w:val="0"/>
                  <w:marTop w:val="0"/>
                  <w:marBottom w:val="0"/>
                  <w:divBdr>
                    <w:top w:val="none" w:sz="0" w:space="0" w:color="auto"/>
                    <w:left w:val="none" w:sz="0" w:space="0" w:color="auto"/>
                    <w:bottom w:val="none" w:sz="0" w:space="0" w:color="auto"/>
                    <w:right w:val="none" w:sz="0" w:space="0" w:color="auto"/>
                  </w:divBdr>
                </w:div>
              </w:divsChild>
            </w:div>
            <w:div w:id="1726102418">
              <w:marLeft w:val="0"/>
              <w:marRight w:val="0"/>
              <w:marTop w:val="0"/>
              <w:marBottom w:val="0"/>
              <w:divBdr>
                <w:top w:val="none" w:sz="0" w:space="0" w:color="auto"/>
                <w:left w:val="none" w:sz="0" w:space="0" w:color="auto"/>
                <w:bottom w:val="none" w:sz="0" w:space="0" w:color="auto"/>
                <w:right w:val="none" w:sz="0" w:space="0" w:color="auto"/>
              </w:divBdr>
              <w:divsChild>
                <w:div w:id="1533687241">
                  <w:marLeft w:val="0"/>
                  <w:marRight w:val="0"/>
                  <w:marTop w:val="0"/>
                  <w:marBottom w:val="0"/>
                  <w:divBdr>
                    <w:top w:val="none" w:sz="0" w:space="0" w:color="auto"/>
                    <w:left w:val="none" w:sz="0" w:space="0" w:color="auto"/>
                    <w:bottom w:val="none" w:sz="0" w:space="0" w:color="auto"/>
                    <w:right w:val="none" w:sz="0" w:space="0" w:color="auto"/>
                  </w:divBdr>
                </w:div>
              </w:divsChild>
            </w:div>
            <w:div w:id="2085686141">
              <w:marLeft w:val="0"/>
              <w:marRight w:val="0"/>
              <w:marTop w:val="0"/>
              <w:marBottom w:val="0"/>
              <w:divBdr>
                <w:top w:val="none" w:sz="0" w:space="0" w:color="auto"/>
                <w:left w:val="none" w:sz="0" w:space="0" w:color="auto"/>
                <w:bottom w:val="none" w:sz="0" w:space="0" w:color="auto"/>
                <w:right w:val="none" w:sz="0" w:space="0" w:color="auto"/>
              </w:divBdr>
              <w:divsChild>
                <w:div w:id="320305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994516">
          <w:marLeft w:val="0"/>
          <w:marRight w:val="0"/>
          <w:marTop w:val="0"/>
          <w:marBottom w:val="0"/>
          <w:divBdr>
            <w:top w:val="none" w:sz="0" w:space="0" w:color="auto"/>
            <w:left w:val="none" w:sz="0" w:space="0" w:color="auto"/>
            <w:bottom w:val="none" w:sz="0" w:space="0" w:color="auto"/>
            <w:right w:val="none" w:sz="0" w:space="0" w:color="auto"/>
          </w:divBdr>
        </w:div>
        <w:div w:id="1373312398">
          <w:marLeft w:val="0"/>
          <w:marRight w:val="0"/>
          <w:marTop w:val="0"/>
          <w:marBottom w:val="0"/>
          <w:divBdr>
            <w:top w:val="none" w:sz="0" w:space="0" w:color="auto"/>
            <w:left w:val="none" w:sz="0" w:space="0" w:color="auto"/>
            <w:bottom w:val="none" w:sz="0" w:space="0" w:color="auto"/>
            <w:right w:val="none" w:sz="0" w:space="0" w:color="auto"/>
          </w:divBdr>
        </w:div>
        <w:div w:id="1385790209">
          <w:marLeft w:val="0"/>
          <w:marRight w:val="0"/>
          <w:marTop w:val="0"/>
          <w:marBottom w:val="0"/>
          <w:divBdr>
            <w:top w:val="none" w:sz="0" w:space="0" w:color="auto"/>
            <w:left w:val="none" w:sz="0" w:space="0" w:color="auto"/>
            <w:bottom w:val="none" w:sz="0" w:space="0" w:color="auto"/>
            <w:right w:val="none" w:sz="0" w:space="0" w:color="auto"/>
          </w:divBdr>
        </w:div>
        <w:div w:id="1400521423">
          <w:marLeft w:val="0"/>
          <w:marRight w:val="0"/>
          <w:marTop w:val="0"/>
          <w:marBottom w:val="0"/>
          <w:divBdr>
            <w:top w:val="none" w:sz="0" w:space="0" w:color="auto"/>
            <w:left w:val="none" w:sz="0" w:space="0" w:color="auto"/>
            <w:bottom w:val="none" w:sz="0" w:space="0" w:color="auto"/>
            <w:right w:val="none" w:sz="0" w:space="0" w:color="auto"/>
          </w:divBdr>
        </w:div>
        <w:div w:id="1408764355">
          <w:marLeft w:val="0"/>
          <w:marRight w:val="0"/>
          <w:marTop w:val="0"/>
          <w:marBottom w:val="0"/>
          <w:divBdr>
            <w:top w:val="none" w:sz="0" w:space="0" w:color="auto"/>
            <w:left w:val="none" w:sz="0" w:space="0" w:color="auto"/>
            <w:bottom w:val="none" w:sz="0" w:space="0" w:color="auto"/>
            <w:right w:val="none" w:sz="0" w:space="0" w:color="auto"/>
          </w:divBdr>
        </w:div>
        <w:div w:id="1437561311">
          <w:marLeft w:val="0"/>
          <w:marRight w:val="0"/>
          <w:marTop w:val="0"/>
          <w:marBottom w:val="0"/>
          <w:divBdr>
            <w:top w:val="none" w:sz="0" w:space="0" w:color="auto"/>
            <w:left w:val="none" w:sz="0" w:space="0" w:color="auto"/>
            <w:bottom w:val="none" w:sz="0" w:space="0" w:color="auto"/>
            <w:right w:val="none" w:sz="0" w:space="0" w:color="auto"/>
          </w:divBdr>
        </w:div>
        <w:div w:id="1534418728">
          <w:marLeft w:val="0"/>
          <w:marRight w:val="0"/>
          <w:marTop w:val="0"/>
          <w:marBottom w:val="0"/>
          <w:divBdr>
            <w:top w:val="none" w:sz="0" w:space="0" w:color="auto"/>
            <w:left w:val="none" w:sz="0" w:space="0" w:color="auto"/>
            <w:bottom w:val="none" w:sz="0" w:space="0" w:color="auto"/>
            <w:right w:val="none" w:sz="0" w:space="0" w:color="auto"/>
          </w:divBdr>
        </w:div>
        <w:div w:id="1549611202">
          <w:marLeft w:val="0"/>
          <w:marRight w:val="0"/>
          <w:marTop w:val="0"/>
          <w:marBottom w:val="0"/>
          <w:divBdr>
            <w:top w:val="none" w:sz="0" w:space="0" w:color="auto"/>
            <w:left w:val="none" w:sz="0" w:space="0" w:color="auto"/>
            <w:bottom w:val="none" w:sz="0" w:space="0" w:color="auto"/>
            <w:right w:val="none" w:sz="0" w:space="0" w:color="auto"/>
          </w:divBdr>
        </w:div>
        <w:div w:id="1612319059">
          <w:marLeft w:val="0"/>
          <w:marRight w:val="0"/>
          <w:marTop w:val="0"/>
          <w:marBottom w:val="0"/>
          <w:divBdr>
            <w:top w:val="none" w:sz="0" w:space="0" w:color="auto"/>
            <w:left w:val="none" w:sz="0" w:space="0" w:color="auto"/>
            <w:bottom w:val="none" w:sz="0" w:space="0" w:color="auto"/>
            <w:right w:val="none" w:sz="0" w:space="0" w:color="auto"/>
          </w:divBdr>
        </w:div>
        <w:div w:id="1634561159">
          <w:marLeft w:val="0"/>
          <w:marRight w:val="0"/>
          <w:marTop w:val="0"/>
          <w:marBottom w:val="0"/>
          <w:divBdr>
            <w:top w:val="none" w:sz="0" w:space="0" w:color="auto"/>
            <w:left w:val="none" w:sz="0" w:space="0" w:color="auto"/>
            <w:bottom w:val="none" w:sz="0" w:space="0" w:color="auto"/>
            <w:right w:val="none" w:sz="0" w:space="0" w:color="auto"/>
          </w:divBdr>
        </w:div>
        <w:div w:id="1642735530">
          <w:marLeft w:val="0"/>
          <w:marRight w:val="0"/>
          <w:marTop w:val="0"/>
          <w:marBottom w:val="0"/>
          <w:divBdr>
            <w:top w:val="none" w:sz="0" w:space="0" w:color="auto"/>
            <w:left w:val="none" w:sz="0" w:space="0" w:color="auto"/>
            <w:bottom w:val="none" w:sz="0" w:space="0" w:color="auto"/>
            <w:right w:val="none" w:sz="0" w:space="0" w:color="auto"/>
          </w:divBdr>
        </w:div>
        <w:div w:id="1647928237">
          <w:marLeft w:val="0"/>
          <w:marRight w:val="0"/>
          <w:marTop w:val="0"/>
          <w:marBottom w:val="0"/>
          <w:divBdr>
            <w:top w:val="none" w:sz="0" w:space="0" w:color="auto"/>
            <w:left w:val="none" w:sz="0" w:space="0" w:color="auto"/>
            <w:bottom w:val="none" w:sz="0" w:space="0" w:color="auto"/>
            <w:right w:val="none" w:sz="0" w:space="0" w:color="auto"/>
          </w:divBdr>
        </w:div>
        <w:div w:id="1662078604">
          <w:marLeft w:val="0"/>
          <w:marRight w:val="0"/>
          <w:marTop w:val="0"/>
          <w:marBottom w:val="0"/>
          <w:divBdr>
            <w:top w:val="none" w:sz="0" w:space="0" w:color="auto"/>
            <w:left w:val="none" w:sz="0" w:space="0" w:color="auto"/>
            <w:bottom w:val="none" w:sz="0" w:space="0" w:color="auto"/>
            <w:right w:val="none" w:sz="0" w:space="0" w:color="auto"/>
          </w:divBdr>
        </w:div>
        <w:div w:id="1679381605">
          <w:marLeft w:val="0"/>
          <w:marRight w:val="0"/>
          <w:marTop w:val="0"/>
          <w:marBottom w:val="0"/>
          <w:divBdr>
            <w:top w:val="none" w:sz="0" w:space="0" w:color="auto"/>
            <w:left w:val="none" w:sz="0" w:space="0" w:color="auto"/>
            <w:bottom w:val="none" w:sz="0" w:space="0" w:color="auto"/>
            <w:right w:val="none" w:sz="0" w:space="0" w:color="auto"/>
          </w:divBdr>
        </w:div>
        <w:div w:id="1796753418">
          <w:marLeft w:val="0"/>
          <w:marRight w:val="0"/>
          <w:marTop w:val="0"/>
          <w:marBottom w:val="0"/>
          <w:divBdr>
            <w:top w:val="none" w:sz="0" w:space="0" w:color="auto"/>
            <w:left w:val="none" w:sz="0" w:space="0" w:color="auto"/>
            <w:bottom w:val="none" w:sz="0" w:space="0" w:color="auto"/>
            <w:right w:val="none" w:sz="0" w:space="0" w:color="auto"/>
          </w:divBdr>
        </w:div>
        <w:div w:id="1822499076">
          <w:marLeft w:val="0"/>
          <w:marRight w:val="0"/>
          <w:marTop w:val="0"/>
          <w:marBottom w:val="0"/>
          <w:divBdr>
            <w:top w:val="none" w:sz="0" w:space="0" w:color="auto"/>
            <w:left w:val="none" w:sz="0" w:space="0" w:color="auto"/>
            <w:bottom w:val="none" w:sz="0" w:space="0" w:color="auto"/>
            <w:right w:val="none" w:sz="0" w:space="0" w:color="auto"/>
          </w:divBdr>
        </w:div>
        <w:div w:id="1834755877">
          <w:marLeft w:val="0"/>
          <w:marRight w:val="0"/>
          <w:marTop w:val="0"/>
          <w:marBottom w:val="0"/>
          <w:divBdr>
            <w:top w:val="none" w:sz="0" w:space="0" w:color="auto"/>
            <w:left w:val="none" w:sz="0" w:space="0" w:color="auto"/>
            <w:bottom w:val="none" w:sz="0" w:space="0" w:color="auto"/>
            <w:right w:val="none" w:sz="0" w:space="0" w:color="auto"/>
          </w:divBdr>
        </w:div>
        <w:div w:id="1835028828">
          <w:marLeft w:val="0"/>
          <w:marRight w:val="0"/>
          <w:marTop w:val="0"/>
          <w:marBottom w:val="0"/>
          <w:divBdr>
            <w:top w:val="none" w:sz="0" w:space="0" w:color="auto"/>
            <w:left w:val="none" w:sz="0" w:space="0" w:color="auto"/>
            <w:bottom w:val="none" w:sz="0" w:space="0" w:color="auto"/>
            <w:right w:val="none" w:sz="0" w:space="0" w:color="auto"/>
          </w:divBdr>
        </w:div>
        <w:div w:id="1837646385">
          <w:marLeft w:val="0"/>
          <w:marRight w:val="0"/>
          <w:marTop w:val="0"/>
          <w:marBottom w:val="0"/>
          <w:divBdr>
            <w:top w:val="none" w:sz="0" w:space="0" w:color="auto"/>
            <w:left w:val="none" w:sz="0" w:space="0" w:color="auto"/>
            <w:bottom w:val="none" w:sz="0" w:space="0" w:color="auto"/>
            <w:right w:val="none" w:sz="0" w:space="0" w:color="auto"/>
          </w:divBdr>
        </w:div>
        <w:div w:id="1893421625">
          <w:marLeft w:val="0"/>
          <w:marRight w:val="0"/>
          <w:marTop w:val="0"/>
          <w:marBottom w:val="0"/>
          <w:divBdr>
            <w:top w:val="none" w:sz="0" w:space="0" w:color="auto"/>
            <w:left w:val="none" w:sz="0" w:space="0" w:color="auto"/>
            <w:bottom w:val="none" w:sz="0" w:space="0" w:color="auto"/>
            <w:right w:val="none" w:sz="0" w:space="0" w:color="auto"/>
          </w:divBdr>
        </w:div>
        <w:div w:id="2137864750">
          <w:marLeft w:val="0"/>
          <w:marRight w:val="0"/>
          <w:marTop w:val="0"/>
          <w:marBottom w:val="0"/>
          <w:divBdr>
            <w:top w:val="none" w:sz="0" w:space="0" w:color="auto"/>
            <w:left w:val="none" w:sz="0" w:space="0" w:color="auto"/>
            <w:bottom w:val="none" w:sz="0" w:space="0" w:color="auto"/>
            <w:right w:val="none" w:sz="0" w:space="0" w:color="auto"/>
          </w:divBdr>
        </w:div>
      </w:divsChild>
    </w:div>
    <w:div w:id="879707604">
      <w:bodyDiv w:val="1"/>
      <w:marLeft w:val="0"/>
      <w:marRight w:val="0"/>
      <w:marTop w:val="0"/>
      <w:marBottom w:val="0"/>
      <w:divBdr>
        <w:top w:val="none" w:sz="0" w:space="0" w:color="auto"/>
        <w:left w:val="none" w:sz="0" w:space="0" w:color="auto"/>
        <w:bottom w:val="none" w:sz="0" w:space="0" w:color="auto"/>
        <w:right w:val="none" w:sz="0" w:space="0" w:color="auto"/>
      </w:divBdr>
    </w:div>
    <w:div w:id="883179360">
      <w:bodyDiv w:val="1"/>
      <w:marLeft w:val="0"/>
      <w:marRight w:val="0"/>
      <w:marTop w:val="0"/>
      <w:marBottom w:val="0"/>
      <w:divBdr>
        <w:top w:val="none" w:sz="0" w:space="0" w:color="auto"/>
        <w:left w:val="none" w:sz="0" w:space="0" w:color="auto"/>
        <w:bottom w:val="none" w:sz="0" w:space="0" w:color="auto"/>
        <w:right w:val="none" w:sz="0" w:space="0" w:color="auto"/>
      </w:divBdr>
    </w:div>
    <w:div w:id="883828859">
      <w:bodyDiv w:val="1"/>
      <w:marLeft w:val="0"/>
      <w:marRight w:val="0"/>
      <w:marTop w:val="0"/>
      <w:marBottom w:val="0"/>
      <w:divBdr>
        <w:top w:val="none" w:sz="0" w:space="0" w:color="auto"/>
        <w:left w:val="none" w:sz="0" w:space="0" w:color="auto"/>
        <w:bottom w:val="none" w:sz="0" w:space="0" w:color="auto"/>
        <w:right w:val="none" w:sz="0" w:space="0" w:color="auto"/>
      </w:divBdr>
    </w:div>
    <w:div w:id="891038288">
      <w:bodyDiv w:val="1"/>
      <w:marLeft w:val="0"/>
      <w:marRight w:val="0"/>
      <w:marTop w:val="0"/>
      <w:marBottom w:val="0"/>
      <w:divBdr>
        <w:top w:val="none" w:sz="0" w:space="0" w:color="auto"/>
        <w:left w:val="none" w:sz="0" w:space="0" w:color="auto"/>
        <w:bottom w:val="none" w:sz="0" w:space="0" w:color="auto"/>
        <w:right w:val="none" w:sz="0" w:space="0" w:color="auto"/>
      </w:divBdr>
    </w:div>
    <w:div w:id="893003188">
      <w:bodyDiv w:val="1"/>
      <w:marLeft w:val="0"/>
      <w:marRight w:val="0"/>
      <w:marTop w:val="0"/>
      <w:marBottom w:val="0"/>
      <w:divBdr>
        <w:top w:val="none" w:sz="0" w:space="0" w:color="auto"/>
        <w:left w:val="none" w:sz="0" w:space="0" w:color="auto"/>
        <w:bottom w:val="none" w:sz="0" w:space="0" w:color="auto"/>
        <w:right w:val="none" w:sz="0" w:space="0" w:color="auto"/>
      </w:divBdr>
    </w:div>
    <w:div w:id="897983151">
      <w:bodyDiv w:val="1"/>
      <w:marLeft w:val="0"/>
      <w:marRight w:val="0"/>
      <w:marTop w:val="0"/>
      <w:marBottom w:val="0"/>
      <w:divBdr>
        <w:top w:val="none" w:sz="0" w:space="0" w:color="auto"/>
        <w:left w:val="none" w:sz="0" w:space="0" w:color="auto"/>
        <w:bottom w:val="none" w:sz="0" w:space="0" w:color="auto"/>
        <w:right w:val="none" w:sz="0" w:space="0" w:color="auto"/>
      </w:divBdr>
    </w:div>
    <w:div w:id="901404530">
      <w:bodyDiv w:val="1"/>
      <w:marLeft w:val="0"/>
      <w:marRight w:val="0"/>
      <w:marTop w:val="0"/>
      <w:marBottom w:val="0"/>
      <w:divBdr>
        <w:top w:val="none" w:sz="0" w:space="0" w:color="auto"/>
        <w:left w:val="none" w:sz="0" w:space="0" w:color="auto"/>
        <w:bottom w:val="none" w:sz="0" w:space="0" w:color="auto"/>
        <w:right w:val="none" w:sz="0" w:space="0" w:color="auto"/>
      </w:divBdr>
    </w:div>
    <w:div w:id="905802408">
      <w:bodyDiv w:val="1"/>
      <w:marLeft w:val="0"/>
      <w:marRight w:val="0"/>
      <w:marTop w:val="0"/>
      <w:marBottom w:val="0"/>
      <w:divBdr>
        <w:top w:val="none" w:sz="0" w:space="0" w:color="auto"/>
        <w:left w:val="none" w:sz="0" w:space="0" w:color="auto"/>
        <w:bottom w:val="none" w:sz="0" w:space="0" w:color="auto"/>
        <w:right w:val="none" w:sz="0" w:space="0" w:color="auto"/>
      </w:divBdr>
    </w:div>
    <w:div w:id="905802806">
      <w:bodyDiv w:val="1"/>
      <w:marLeft w:val="0"/>
      <w:marRight w:val="0"/>
      <w:marTop w:val="0"/>
      <w:marBottom w:val="0"/>
      <w:divBdr>
        <w:top w:val="none" w:sz="0" w:space="0" w:color="auto"/>
        <w:left w:val="none" w:sz="0" w:space="0" w:color="auto"/>
        <w:bottom w:val="none" w:sz="0" w:space="0" w:color="auto"/>
        <w:right w:val="none" w:sz="0" w:space="0" w:color="auto"/>
      </w:divBdr>
    </w:div>
    <w:div w:id="909729372">
      <w:bodyDiv w:val="1"/>
      <w:marLeft w:val="0"/>
      <w:marRight w:val="0"/>
      <w:marTop w:val="0"/>
      <w:marBottom w:val="0"/>
      <w:divBdr>
        <w:top w:val="none" w:sz="0" w:space="0" w:color="auto"/>
        <w:left w:val="none" w:sz="0" w:space="0" w:color="auto"/>
        <w:bottom w:val="none" w:sz="0" w:space="0" w:color="auto"/>
        <w:right w:val="none" w:sz="0" w:space="0" w:color="auto"/>
      </w:divBdr>
    </w:div>
    <w:div w:id="909735199">
      <w:bodyDiv w:val="1"/>
      <w:marLeft w:val="0"/>
      <w:marRight w:val="0"/>
      <w:marTop w:val="0"/>
      <w:marBottom w:val="0"/>
      <w:divBdr>
        <w:top w:val="none" w:sz="0" w:space="0" w:color="auto"/>
        <w:left w:val="none" w:sz="0" w:space="0" w:color="auto"/>
        <w:bottom w:val="none" w:sz="0" w:space="0" w:color="auto"/>
        <w:right w:val="none" w:sz="0" w:space="0" w:color="auto"/>
      </w:divBdr>
    </w:div>
    <w:div w:id="910845218">
      <w:bodyDiv w:val="1"/>
      <w:marLeft w:val="0"/>
      <w:marRight w:val="0"/>
      <w:marTop w:val="0"/>
      <w:marBottom w:val="0"/>
      <w:divBdr>
        <w:top w:val="none" w:sz="0" w:space="0" w:color="auto"/>
        <w:left w:val="none" w:sz="0" w:space="0" w:color="auto"/>
        <w:bottom w:val="none" w:sz="0" w:space="0" w:color="auto"/>
        <w:right w:val="none" w:sz="0" w:space="0" w:color="auto"/>
      </w:divBdr>
    </w:div>
    <w:div w:id="911082015">
      <w:bodyDiv w:val="1"/>
      <w:marLeft w:val="0"/>
      <w:marRight w:val="0"/>
      <w:marTop w:val="0"/>
      <w:marBottom w:val="0"/>
      <w:divBdr>
        <w:top w:val="none" w:sz="0" w:space="0" w:color="auto"/>
        <w:left w:val="none" w:sz="0" w:space="0" w:color="auto"/>
        <w:bottom w:val="none" w:sz="0" w:space="0" w:color="auto"/>
        <w:right w:val="none" w:sz="0" w:space="0" w:color="auto"/>
      </w:divBdr>
    </w:div>
    <w:div w:id="916330251">
      <w:bodyDiv w:val="1"/>
      <w:marLeft w:val="0"/>
      <w:marRight w:val="0"/>
      <w:marTop w:val="0"/>
      <w:marBottom w:val="0"/>
      <w:divBdr>
        <w:top w:val="none" w:sz="0" w:space="0" w:color="auto"/>
        <w:left w:val="none" w:sz="0" w:space="0" w:color="auto"/>
        <w:bottom w:val="none" w:sz="0" w:space="0" w:color="auto"/>
        <w:right w:val="none" w:sz="0" w:space="0" w:color="auto"/>
      </w:divBdr>
    </w:div>
    <w:div w:id="917907842">
      <w:bodyDiv w:val="1"/>
      <w:marLeft w:val="0"/>
      <w:marRight w:val="0"/>
      <w:marTop w:val="0"/>
      <w:marBottom w:val="0"/>
      <w:divBdr>
        <w:top w:val="none" w:sz="0" w:space="0" w:color="auto"/>
        <w:left w:val="none" w:sz="0" w:space="0" w:color="auto"/>
        <w:bottom w:val="none" w:sz="0" w:space="0" w:color="auto"/>
        <w:right w:val="none" w:sz="0" w:space="0" w:color="auto"/>
      </w:divBdr>
    </w:div>
    <w:div w:id="922102174">
      <w:bodyDiv w:val="1"/>
      <w:marLeft w:val="0"/>
      <w:marRight w:val="0"/>
      <w:marTop w:val="0"/>
      <w:marBottom w:val="0"/>
      <w:divBdr>
        <w:top w:val="none" w:sz="0" w:space="0" w:color="auto"/>
        <w:left w:val="none" w:sz="0" w:space="0" w:color="auto"/>
        <w:bottom w:val="none" w:sz="0" w:space="0" w:color="auto"/>
        <w:right w:val="none" w:sz="0" w:space="0" w:color="auto"/>
      </w:divBdr>
    </w:div>
    <w:div w:id="930890054">
      <w:bodyDiv w:val="1"/>
      <w:marLeft w:val="0"/>
      <w:marRight w:val="0"/>
      <w:marTop w:val="0"/>
      <w:marBottom w:val="0"/>
      <w:divBdr>
        <w:top w:val="none" w:sz="0" w:space="0" w:color="auto"/>
        <w:left w:val="none" w:sz="0" w:space="0" w:color="auto"/>
        <w:bottom w:val="none" w:sz="0" w:space="0" w:color="auto"/>
        <w:right w:val="none" w:sz="0" w:space="0" w:color="auto"/>
      </w:divBdr>
    </w:div>
    <w:div w:id="931280244">
      <w:bodyDiv w:val="1"/>
      <w:marLeft w:val="0"/>
      <w:marRight w:val="0"/>
      <w:marTop w:val="0"/>
      <w:marBottom w:val="0"/>
      <w:divBdr>
        <w:top w:val="none" w:sz="0" w:space="0" w:color="auto"/>
        <w:left w:val="none" w:sz="0" w:space="0" w:color="auto"/>
        <w:bottom w:val="none" w:sz="0" w:space="0" w:color="auto"/>
        <w:right w:val="none" w:sz="0" w:space="0" w:color="auto"/>
      </w:divBdr>
    </w:div>
    <w:div w:id="932972560">
      <w:bodyDiv w:val="1"/>
      <w:marLeft w:val="0"/>
      <w:marRight w:val="0"/>
      <w:marTop w:val="0"/>
      <w:marBottom w:val="0"/>
      <w:divBdr>
        <w:top w:val="none" w:sz="0" w:space="0" w:color="auto"/>
        <w:left w:val="none" w:sz="0" w:space="0" w:color="auto"/>
        <w:bottom w:val="none" w:sz="0" w:space="0" w:color="auto"/>
        <w:right w:val="none" w:sz="0" w:space="0" w:color="auto"/>
      </w:divBdr>
    </w:div>
    <w:div w:id="939222085">
      <w:bodyDiv w:val="1"/>
      <w:marLeft w:val="0"/>
      <w:marRight w:val="0"/>
      <w:marTop w:val="0"/>
      <w:marBottom w:val="0"/>
      <w:divBdr>
        <w:top w:val="none" w:sz="0" w:space="0" w:color="auto"/>
        <w:left w:val="none" w:sz="0" w:space="0" w:color="auto"/>
        <w:bottom w:val="none" w:sz="0" w:space="0" w:color="auto"/>
        <w:right w:val="none" w:sz="0" w:space="0" w:color="auto"/>
      </w:divBdr>
    </w:div>
    <w:div w:id="957490905">
      <w:bodyDiv w:val="1"/>
      <w:marLeft w:val="0"/>
      <w:marRight w:val="0"/>
      <w:marTop w:val="0"/>
      <w:marBottom w:val="0"/>
      <w:divBdr>
        <w:top w:val="none" w:sz="0" w:space="0" w:color="auto"/>
        <w:left w:val="none" w:sz="0" w:space="0" w:color="auto"/>
        <w:bottom w:val="none" w:sz="0" w:space="0" w:color="auto"/>
        <w:right w:val="none" w:sz="0" w:space="0" w:color="auto"/>
      </w:divBdr>
    </w:div>
    <w:div w:id="959918041">
      <w:bodyDiv w:val="1"/>
      <w:marLeft w:val="0"/>
      <w:marRight w:val="0"/>
      <w:marTop w:val="0"/>
      <w:marBottom w:val="0"/>
      <w:divBdr>
        <w:top w:val="none" w:sz="0" w:space="0" w:color="auto"/>
        <w:left w:val="none" w:sz="0" w:space="0" w:color="auto"/>
        <w:bottom w:val="none" w:sz="0" w:space="0" w:color="auto"/>
        <w:right w:val="none" w:sz="0" w:space="0" w:color="auto"/>
      </w:divBdr>
    </w:div>
    <w:div w:id="960724744">
      <w:bodyDiv w:val="1"/>
      <w:marLeft w:val="0"/>
      <w:marRight w:val="0"/>
      <w:marTop w:val="0"/>
      <w:marBottom w:val="0"/>
      <w:divBdr>
        <w:top w:val="none" w:sz="0" w:space="0" w:color="auto"/>
        <w:left w:val="none" w:sz="0" w:space="0" w:color="auto"/>
        <w:bottom w:val="none" w:sz="0" w:space="0" w:color="auto"/>
        <w:right w:val="none" w:sz="0" w:space="0" w:color="auto"/>
      </w:divBdr>
    </w:div>
    <w:div w:id="962227538">
      <w:bodyDiv w:val="1"/>
      <w:marLeft w:val="0"/>
      <w:marRight w:val="0"/>
      <w:marTop w:val="0"/>
      <w:marBottom w:val="0"/>
      <w:divBdr>
        <w:top w:val="none" w:sz="0" w:space="0" w:color="auto"/>
        <w:left w:val="none" w:sz="0" w:space="0" w:color="auto"/>
        <w:bottom w:val="none" w:sz="0" w:space="0" w:color="auto"/>
        <w:right w:val="none" w:sz="0" w:space="0" w:color="auto"/>
      </w:divBdr>
    </w:div>
    <w:div w:id="963656391">
      <w:bodyDiv w:val="1"/>
      <w:marLeft w:val="0"/>
      <w:marRight w:val="0"/>
      <w:marTop w:val="0"/>
      <w:marBottom w:val="0"/>
      <w:divBdr>
        <w:top w:val="none" w:sz="0" w:space="0" w:color="auto"/>
        <w:left w:val="none" w:sz="0" w:space="0" w:color="auto"/>
        <w:bottom w:val="none" w:sz="0" w:space="0" w:color="auto"/>
        <w:right w:val="none" w:sz="0" w:space="0" w:color="auto"/>
      </w:divBdr>
    </w:div>
    <w:div w:id="974678980">
      <w:bodyDiv w:val="1"/>
      <w:marLeft w:val="0"/>
      <w:marRight w:val="0"/>
      <w:marTop w:val="0"/>
      <w:marBottom w:val="0"/>
      <w:divBdr>
        <w:top w:val="none" w:sz="0" w:space="0" w:color="auto"/>
        <w:left w:val="none" w:sz="0" w:space="0" w:color="auto"/>
        <w:bottom w:val="none" w:sz="0" w:space="0" w:color="auto"/>
        <w:right w:val="none" w:sz="0" w:space="0" w:color="auto"/>
      </w:divBdr>
    </w:div>
    <w:div w:id="975721520">
      <w:bodyDiv w:val="1"/>
      <w:marLeft w:val="0"/>
      <w:marRight w:val="0"/>
      <w:marTop w:val="0"/>
      <w:marBottom w:val="0"/>
      <w:divBdr>
        <w:top w:val="none" w:sz="0" w:space="0" w:color="auto"/>
        <w:left w:val="none" w:sz="0" w:space="0" w:color="auto"/>
        <w:bottom w:val="none" w:sz="0" w:space="0" w:color="auto"/>
        <w:right w:val="none" w:sz="0" w:space="0" w:color="auto"/>
      </w:divBdr>
    </w:div>
    <w:div w:id="976374316">
      <w:bodyDiv w:val="1"/>
      <w:marLeft w:val="0"/>
      <w:marRight w:val="0"/>
      <w:marTop w:val="0"/>
      <w:marBottom w:val="0"/>
      <w:divBdr>
        <w:top w:val="none" w:sz="0" w:space="0" w:color="auto"/>
        <w:left w:val="none" w:sz="0" w:space="0" w:color="auto"/>
        <w:bottom w:val="none" w:sz="0" w:space="0" w:color="auto"/>
        <w:right w:val="none" w:sz="0" w:space="0" w:color="auto"/>
      </w:divBdr>
    </w:div>
    <w:div w:id="988750905">
      <w:bodyDiv w:val="1"/>
      <w:marLeft w:val="0"/>
      <w:marRight w:val="0"/>
      <w:marTop w:val="0"/>
      <w:marBottom w:val="0"/>
      <w:divBdr>
        <w:top w:val="none" w:sz="0" w:space="0" w:color="auto"/>
        <w:left w:val="none" w:sz="0" w:space="0" w:color="auto"/>
        <w:bottom w:val="none" w:sz="0" w:space="0" w:color="auto"/>
        <w:right w:val="none" w:sz="0" w:space="0" w:color="auto"/>
      </w:divBdr>
    </w:div>
    <w:div w:id="991526607">
      <w:bodyDiv w:val="1"/>
      <w:marLeft w:val="0"/>
      <w:marRight w:val="0"/>
      <w:marTop w:val="0"/>
      <w:marBottom w:val="0"/>
      <w:divBdr>
        <w:top w:val="none" w:sz="0" w:space="0" w:color="auto"/>
        <w:left w:val="none" w:sz="0" w:space="0" w:color="auto"/>
        <w:bottom w:val="none" w:sz="0" w:space="0" w:color="auto"/>
        <w:right w:val="none" w:sz="0" w:space="0" w:color="auto"/>
      </w:divBdr>
    </w:div>
    <w:div w:id="995106543">
      <w:bodyDiv w:val="1"/>
      <w:marLeft w:val="0"/>
      <w:marRight w:val="0"/>
      <w:marTop w:val="0"/>
      <w:marBottom w:val="0"/>
      <w:divBdr>
        <w:top w:val="none" w:sz="0" w:space="0" w:color="auto"/>
        <w:left w:val="none" w:sz="0" w:space="0" w:color="auto"/>
        <w:bottom w:val="none" w:sz="0" w:space="0" w:color="auto"/>
        <w:right w:val="none" w:sz="0" w:space="0" w:color="auto"/>
      </w:divBdr>
    </w:div>
    <w:div w:id="995112965">
      <w:bodyDiv w:val="1"/>
      <w:marLeft w:val="0"/>
      <w:marRight w:val="0"/>
      <w:marTop w:val="0"/>
      <w:marBottom w:val="0"/>
      <w:divBdr>
        <w:top w:val="none" w:sz="0" w:space="0" w:color="auto"/>
        <w:left w:val="none" w:sz="0" w:space="0" w:color="auto"/>
        <w:bottom w:val="none" w:sz="0" w:space="0" w:color="auto"/>
        <w:right w:val="none" w:sz="0" w:space="0" w:color="auto"/>
      </w:divBdr>
    </w:div>
    <w:div w:id="1002590473">
      <w:bodyDiv w:val="1"/>
      <w:marLeft w:val="0"/>
      <w:marRight w:val="0"/>
      <w:marTop w:val="0"/>
      <w:marBottom w:val="0"/>
      <w:divBdr>
        <w:top w:val="none" w:sz="0" w:space="0" w:color="auto"/>
        <w:left w:val="none" w:sz="0" w:space="0" w:color="auto"/>
        <w:bottom w:val="none" w:sz="0" w:space="0" w:color="auto"/>
        <w:right w:val="none" w:sz="0" w:space="0" w:color="auto"/>
      </w:divBdr>
    </w:div>
    <w:div w:id="1014451930">
      <w:bodyDiv w:val="1"/>
      <w:marLeft w:val="0"/>
      <w:marRight w:val="0"/>
      <w:marTop w:val="0"/>
      <w:marBottom w:val="0"/>
      <w:divBdr>
        <w:top w:val="none" w:sz="0" w:space="0" w:color="auto"/>
        <w:left w:val="none" w:sz="0" w:space="0" w:color="auto"/>
        <w:bottom w:val="none" w:sz="0" w:space="0" w:color="auto"/>
        <w:right w:val="none" w:sz="0" w:space="0" w:color="auto"/>
      </w:divBdr>
    </w:div>
    <w:div w:id="1015159437">
      <w:bodyDiv w:val="1"/>
      <w:marLeft w:val="0"/>
      <w:marRight w:val="0"/>
      <w:marTop w:val="0"/>
      <w:marBottom w:val="0"/>
      <w:divBdr>
        <w:top w:val="none" w:sz="0" w:space="0" w:color="auto"/>
        <w:left w:val="none" w:sz="0" w:space="0" w:color="auto"/>
        <w:bottom w:val="none" w:sz="0" w:space="0" w:color="auto"/>
        <w:right w:val="none" w:sz="0" w:space="0" w:color="auto"/>
      </w:divBdr>
      <w:divsChild>
        <w:div w:id="964314712">
          <w:marLeft w:val="1166"/>
          <w:marRight w:val="0"/>
          <w:marTop w:val="0"/>
          <w:marBottom w:val="0"/>
          <w:divBdr>
            <w:top w:val="none" w:sz="0" w:space="0" w:color="auto"/>
            <w:left w:val="none" w:sz="0" w:space="0" w:color="auto"/>
            <w:bottom w:val="none" w:sz="0" w:space="0" w:color="auto"/>
            <w:right w:val="none" w:sz="0" w:space="0" w:color="auto"/>
          </w:divBdr>
        </w:div>
        <w:div w:id="1166017647">
          <w:marLeft w:val="1166"/>
          <w:marRight w:val="0"/>
          <w:marTop w:val="0"/>
          <w:marBottom w:val="0"/>
          <w:divBdr>
            <w:top w:val="none" w:sz="0" w:space="0" w:color="auto"/>
            <w:left w:val="none" w:sz="0" w:space="0" w:color="auto"/>
            <w:bottom w:val="none" w:sz="0" w:space="0" w:color="auto"/>
            <w:right w:val="none" w:sz="0" w:space="0" w:color="auto"/>
          </w:divBdr>
        </w:div>
        <w:div w:id="1233195942">
          <w:marLeft w:val="446"/>
          <w:marRight w:val="0"/>
          <w:marTop w:val="0"/>
          <w:marBottom w:val="0"/>
          <w:divBdr>
            <w:top w:val="none" w:sz="0" w:space="0" w:color="auto"/>
            <w:left w:val="none" w:sz="0" w:space="0" w:color="auto"/>
            <w:bottom w:val="none" w:sz="0" w:space="0" w:color="auto"/>
            <w:right w:val="none" w:sz="0" w:space="0" w:color="auto"/>
          </w:divBdr>
        </w:div>
      </w:divsChild>
    </w:div>
    <w:div w:id="1017075073">
      <w:bodyDiv w:val="1"/>
      <w:marLeft w:val="0"/>
      <w:marRight w:val="0"/>
      <w:marTop w:val="0"/>
      <w:marBottom w:val="0"/>
      <w:divBdr>
        <w:top w:val="none" w:sz="0" w:space="0" w:color="auto"/>
        <w:left w:val="none" w:sz="0" w:space="0" w:color="auto"/>
        <w:bottom w:val="none" w:sz="0" w:space="0" w:color="auto"/>
        <w:right w:val="none" w:sz="0" w:space="0" w:color="auto"/>
      </w:divBdr>
    </w:div>
    <w:div w:id="1030111980">
      <w:bodyDiv w:val="1"/>
      <w:marLeft w:val="0"/>
      <w:marRight w:val="0"/>
      <w:marTop w:val="0"/>
      <w:marBottom w:val="0"/>
      <w:divBdr>
        <w:top w:val="none" w:sz="0" w:space="0" w:color="auto"/>
        <w:left w:val="none" w:sz="0" w:space="0" w:color="auto"/>
        <w:bottom w:val="none" w:sz="0" w:space="0" w:color="auto"/>
        <w:right w:val="none" w:sz="0" w:space="0" w:color="auto"/>
      </w:divBdr>
    </w:div>
    <w:div w:id="1031496540">
      <w:bodyDiv w:val="1"/>
      <w:marLeft w:val="0"/>
      <w:marRight w:val="0"/>
      <w:marTop w:val="0"/>
      <w:marBottom w:val="0"/>
      <w:divBdr>
        <w:top w:val="none" w:sz="0" w:space="0" w:color="auto"/>
        <w:left w:val="none" w:sz="0" w:space="0" w:color="auto"/>
        <w:bottom w:val="none" w:sz="0" w:space="0" w:color="auto"/>
        <w:right w:val="none" w:sz="0" w:space="0" w:color="auto"/>
      </w:divBdr>
    </w:div>
    <w:div w:id="1040401851">
      <w:bodyDiv w:val="1"/>
      <w:marLeft w:val="0"/>
      <w:marRight w:val="0"/>
      <w:marTop w:val="0"/>
      <w:marBottom w:val="0"/>
      <w:divBdr>
        <w:top w:val="none" w:sz="0" w:space="0" w:color="auto"/>
        <w:left w:val="none" w:sz="0" w:space="0" w:color="auto"/>
        <w:bottom w:val="none" w:sz="0" w:space="0" w:color="auto"/>
        <w:right w:val="none" w:sz="0" w:space="0" w:color="auto"/>
      </w:divBdr>
    </w:div>
    <w:div w:id="1044133880">
      <w:bodyDiv w:val="1"/>
      <w:marLeft w:val="0"/>
      <w:marRight w:val="0"/>
      <w:marTop w:val="0"/>
      <w:marBottom w:val="0"/>
      <w:divBdr>
        <w:top w:val="none" w:sz="0" w:space="0" w:color="auto"/>
        <w:left w:val="none" w:sz="0" w:space="0" w:color="auto"/>
        <w:bottom w:val="none" w:sz="0" w:space="0" w:color="auto"/>
        <w:right w:val="none" w:sz="0" w:space="0" w:color="auto"/>
      </w:divBdr>
    </w:div>
    <w:div w:id="1047533354">
      <w:bodyDiv w:val="1"/>
      <w:marLeft w:val="0"/>
      <w:marRight w:val="0"/>
      <w:marTop w:val="0"/>
      <w:marBottom w:val="0"/>
      <w:divBdr>
        <w:top w:val="none" w:sz="0" w:space="0" w:color="auto"/>
        <w:left w:val="none" w:sz="0" w:space="0" w:color="auto"/>
        <w:bottom w:val="none" w:sz="0" w:space="0" w:color="auto"/>
        <w:right w:val="none" w:sz="0" w:space="0" w:color="auto"/>
      </w:divBdr>
    </w:div>
    <w:div w:id="1049770638">
      <w:bodyDiv w:val="1"/>
      <w:marLeft w:val="0"/>
      <w:marRight w:val="0"/>
      <w:marTop w:val="0"/>
      <w:marBottom w:val="0"/>
      <w:divBdr>
        <w:top w:val="none" w:sz="0" w:space="0" w:color="auto"/>
        <w:left w:val="none" w:sz="0" w:space="0" w:color="auto"/>
        <w:bottom w:val="none" w:sz="0" w:space="0" w:color="auto"/>
        <w:right w:val="none" w:sz="0" w:space="0" w:color="auto"/>
      </w:divBdr>
    </w:div>
    <w:div w:id="1059279882">
      <w:bodyDiv w:val="1"/>
      <w:marLeft w:val="0"/>
      <w:marRight w:val="0"/>
      <w:marTop w:val="0"/>
      <w:marBottom w:val="0"/>
      <w:divBdr>
        <w:top w:val="none" w:sz="0" w:space="0" w:color="auto"/>
        <w:left w:val="none" w:sz="0" w:space="0" w:color="auto"/>
        <w:bottom w:val="none" w:sz="0" w:space="0" w:color="auto"/>
        <w:right w:val="none" w:sz="0" w:space="0" w:color="auto"/>
      </w:divBdr>
    </w:div>
    <w:div w:id="1062405849">
      <w:bodyDiv w:val="1"/>
      <w:marLeft w:val="0"/>
      <w:marRight w:val="0"/>
      <w:marTop w:val="0"/>
      <w:marBottom w:val="0"/>
      <w:divBdr>
        <w:top w:val="none" w:sz="0" w:space="0" w:color="auto"/>
        <w:left w:val="none" w:sz="0" w:space="0" w:color="auto"/>
        <w:bottom w:val="none" w:sz="0" w:space="0" w:color="auto"/>
        <w:right w:val="none" w:sz="0" w:space="0" w:color="auto"/>
      </w:divBdr>
    </w:div>
    <w:div w:id="1062798822">
      <w:bodyDiv w:val="1"/>
      <w:marLeft w:val="0"/>
      <w:marRight w:val="0"/>
      <w:marTop w:val="0"/>
      <w:marBottom w:val="0"/>
      <w:divBdr>
        <w:top w:val="none" w:sz="0" w:space="0" w:color="auto"/>
        <w:left w:val="none" w:sz="0" w:space="0" w:color="auto"/>
        <w:bottom w:val="none" w:sz="0" w:space="0" w:color="auto"/>
        <w:right w:val="none" w:sz="0" w:space="0" w:color="auto"/>
      </w:divBdr>
    </w:div>
    <w:div w:id="1063911833">
      <w:bodyDiv w:val="1"/>
      <w:marLeft w:val="0"/>
      <w:marRight w:val="0"/>
      <w:marTop w:val="0"/>
      <w:marBottom w:val="0"/>
      <w:divBdr>
        <w:top w:val="none" w:sz="0" w:space="0" w:color="auto"/>
        <w:left w:val="none" w:sz="0" w:space="0" w:color="auto"/>
        <w:bottom w:val="none" w:sz="0" w:space="0" w:color="auto"/>
        <w:right w:val="none" w:sz="0" w:space="0" w:color="auto"/>
      </w:divBdr>
    </w:div>
    <w:div w:id="1063941594">
      <w:bodyDiv w:val="1"/>
      <w:marLeft w:val="0"/>
      <w:marRight w:val="0"/>
      <w:marTop w:val="0"/>
      <w:marBottom w:val="0"/>
      <w:divBdr>
        <w:top w:val="none" w:sz="0" w:space="0" w:color="auto"/>
        <w:left w:val="none" w:sz="0" w:space="0" w:color="auto"/>
        <w:bottom w:val="none" w:sz="0" w:space="0" w:color="auto"/>
        <w:right w:val="none" w:sz="0" w:space="0" w:color="auto"/>
      </w:divBdr>
    </w:div>
    <w:div w:id="1065756879">
      <w:bodyDiv w:val="1"/>
      <w:marLeft w:val="0"/>
      <w:marRight w:val="0"/>
      <w:marTop w:val="0"/>
      <w:marBottom w:val="0"/>
      <w:divBdr>
        <w:top w:val="none" w:sz="0" w:space="0" w:color="auto"/>
        <w:left w:val="none" w:sz="0" w:space="0" w:color="auto"/>
        <w:bottom w:val="none" w:sz="0" w:space="0" w:color="auto"/>
        <w:right w:val="none" w:sz="0" w:space="0" w:color="auto"/>
      </w:divBdr>
    </w:div>
    <w:div w:id="1070931616">
      <w:bodyDiv w:val="1"/>
      <w:marLeft w:val="0"/>
      <w:marRight w:val="0"/>
      <w:marTop w:val="0"/>
      <w:marBottom w:val="0"/>
      <w:divBdr>
        <w:top w:val="none" w:sz="0" w:space="0" w:color="auto"/>
        <w:left w:val="none" w:sz="0" w:space="0" w:color="auto"/>
        <w:bottom w:val="none" w:sz="0" w:space="0" w:color="auto"/>
        <w:right w:val="none" w:sz="0" w:space="0" w:color="auto"/>
      </w:divBdr>
    </w:div>
    <w:div w:id="1073234788">
      <w:bodyDiv w:val="1"/>
      <w:marLeft w:val="0"/>
      <w:marRight w:val="0"/>
      <w:marTop w:val="0"/>
      <w:marBottom w:val="0"/>
      <w:divBdr>
        <w:top w:val="none" w:sz="0" w:space="0" w:color="auto"/>
        <w:left w:val="none" w:sz="0" w:space="0" w:color="auto"/>
        <w:bottom w:val="none" w:sz="0" w:space="0" w:color="auto"/>
        <w:right w:val="none" w:sz="0" w:space="0" w:color="auto"/>
      </w:divBdr>
    </w:div>
    <w:div w:id="1073895885">
      <w:bodyDiv w:val="1"/>
      <w:marLeft w:val="0"/>
      <w:marRight w:val="0"/>
      <w:marTop w:val="0"/>
      <w:marBottom w:val="0"/>
      <w:divBdr>
        <w:top w:val="none" w:sz="0" w:space="0" w:color="auto"/>
        <w:left w:val="none" w:sz="0" w:space="0" w:color="auto"/>
        <w:bottom w:val="none" w:sz="0" w:space="0" w:color="auto"/>
        <w:right w:val="none" w:sz="0" w:space="0" w:color="auto"/>
      </w:divBdr>
    </w:div>
    <w:div w:id="1074470447">
      <w:bodyDiv w:val="1"/>
      <w:marLeft w:val="0"/>
      <w:marRight w:val="0"/>
      <w:marTop w:val="0"/>
      <w:marBottom w:val="0"/>
      <w:divBdr>
        <w:top w:val="none" w:sz="0" w:space="0" w:color="auto"/>
        <w:left w:val="none" w:sz="0" w:space="0" w:color="auto"/>
        <w:bottom w:val="none" w:sz="0" w:space="0" w:color="auto"/>
        <w:right w:val="none" w:sz="0" w:space="0" w:color="auto"/>
      </w:divBdr>
    </w:div>
    <w:div w:id="1077022665">
      <w:bodyDiv w:val="1"/>
      <w:marLeft w:val="0"/>
      <w:marRight w:val="0"/>
      <w:marTop w:val="0"/>
      <w:marBottom w:val="0"/>
      <w:divBdr>
        <w:top w:val="none" w:sz="0" w:space="0" w:color="auto"/>
        <w:left w:val="none" w:sz="0" w:space="0" w:color="auto"/>
        <w:bottom w:val="none" w:sz="0" w:space="0" w:color="auto"/>
        <w:right w:val="none" w:sz="0" w:space="0" w:color="auto"/>
      </w:divBdr>
    </w:div>
    <w:div w:id="1088116505">
      <w:bodyDiv w:val="1"/>
      <w:marLeft w:val="0"/>
      <w:marRight w:val="0"/>
      <w:marTop w:val="0"/>
      <w:marBottom w:val="0"/>
      <w:divBdr>
        <w:top w:val="none" w:sz="0" w:space="0" w:color="auto"/>
        <w:left w:val="none" w:sz="0" w:space="0" w:color="auto"/>
        <w:bottom w:val="none" w:sz="0" w:space="0" w:color="auto"/>
        <w:right w:val="none" w:sz="0" w:space="0" w:color="auto"/>
      </w:divBdr>
    </w:div>
    <w:div w:id="1089081907">
      <w:bodyDiv w:val="1"/>
      <w:marLeft w:val="0"/>
      <w:marRight w:val="0"/>
      <w:marTop w:val="0"/>
      <w:marBottom w:val="0"/>
      <w:divBdr>
        <w:top w:val="none" w:sz="0" w:space="0" w:color="auto"/>
        <w:left w:val="none" w:sz="0" w:space="0" w:color="auto"/>
        <w:bottom w:val="none" w:sz="0" w:space="0" w:color="auto"/>
        <w:right w:val="none" w:sz="0" w:space="0" w:color="auto"/>
      </w:divBdr>
    </w:div>
    <w:div w:id="1090932262">
      <w:bodyDiv w:val="1"/>
      <w:marLeft w:val="0"/>
      <w:marRight w:val="0"/>
      <w:marTop w:val="0"/>
      <w:marBottom w:val="0"/>
      <w:divBdr>
        <w:top w:val="none" w:sz="0" w:space="0" w:color="auto"/>
        <w:left w:val="none" w:sz="0" w:space="0" w:color="auto"/>
        <w:bottom w:val="none" w:sz="0" w:space="0" w:color="auto"/>
        <w:right w:val="none" w:sz="0" w:space="0" w:color="auto"/>
      </w:divBdr>
    </w:div>
    <w:div w:id="1093816535">
      <w:bodyDiv w:val="1"/>
      <w:marLeft w:val="0"/>
      <w:marRight w:val="0"/>
      <w:marTop w:val="0"/>
      <w:marBottom w:val="0"/>
      <w:divBdr>
        <w:top w:val="none" w:sz="0" w:space="0" w:color="auto"/>
        <w:left w:val="none" w:sz="0" w:space="0" w:color="auto"/>
        <w:bottom w:val="none" w:sz="0" w:space="0" w:color="auto"/>
        <w:right w:val="none" w:sz="0" w:space="0" w:color="auto"/>
      </w:divBdr>
    </w:div>
    <w:div w:id="1095860183">
      <w:bodyDiv w:val="1"/>
      <w:marLeft w:val="0"/>
      <w:marRight w:val="0"/>
      <w:marTop w:val="0"/>
      <w:marBottom w:val="0"/>
      <w:divBdr>
        <w:top w:val="none" w:sz="0" w:space="0" w:color="auto"/>
        <w:left w:val="none" w:sz="0" w:space="0" w:color="auto"/>
        <w:bottom w:val="none" w:sz="0" w:space="0" w:color="auto"/>
        <w:right w:val="none" w:sz="0" w:space="0" w:color="auto"/>
      </w:divBdr>
    </w:div>
    <w:div w:id="1109355395">
      <w:bodyDiv w:val="1"/>
      <w:marLeft w:val="0"/>
      <w:marRight w:val="0"/>
      <w:marTop w:val="0"/>
      <w:marBottom w:val="0"/>
      <w:divBdr>
        <w:top w:val="none" w:sz="0" w:space="0" w:color="auto"/>
        <w:left w:val="none" w:sz="0" w:space="0" w:color="auto"/>
        <w:bottom w:val="none" w:sz="0" w:space="0" w:color="auto"/>
        <w:right w:val="none" w:sz="0" w:space="0" w:color="auto"/>
      </w:divBdr>
    </w:div>
    <w:div w:id="1109931274">
      <w:bodyDiv w:val="1"/>
      <w:marLeft w:val="0"/>
      <w:marRight w:val="0"/>
      <w:marTop w:val="0"/>
      <w:marBottom w:val="0"/>
      <w:divBdr>
        <w:top w:val="none" w:sz="0" w:space="0" w:color="auto"/>
        <w:left w:val="none" w:sz="0" w:space="0" w:color="auto"/>
        <w:bottom w:val="none" w:sz="0" w:space="0" w:color="auto"/>
        <w:right w:val="none" w:sz="0" w:space="0" w:color="auto"/>
      </w:divBdr>
    </w:div>
    <w:div w:id="1117876187">
      <w:bodyDiv w:val="1"/>
      <w:marLeft w:val="0"/>
      <w:marRight w:val="0"/>
      <w:marTop w:val="0"/>
      <w:marBottom w:val="0"/>
      <w:divBdr>
        <w:top w:val="none" w:sz="0" w:space="0" w:color="auto"/>
        <w:left w:val="none" w:sz="0" w:space="0" w:color="auto"/>
        <w:bottom w:val="none" w:sz="0" w:space="0" w:color="auto"/>
        <w:right w:val="none" w:sz="0" w:space="0" w:color="auto"/>
      </w:divBdr>
    </w:div>
    <w:div w:id="1123233929">
      <w:bodyDiv w:val="1"/>
      <w:marLeft w:val="0"/>
      <w:marRight w:val="0"/>
      <w:marTop w:val="0"/>
      <w:marBottom w:val="0"/>
      <w:divBdr>
        <w:top w:val="none" w:sz="0" w:space="0" w:color="auto"/>
        <w:left w:val="none" w:sz="0" w:space="0" w:color="auto"/>
        <w:bottom w:val="none" w:sz="0" w:space="0" w:color="auto"/>
        <w:right w:val="none" w:sz="0" w:space="0" w:color="auto"/>
      </w:divBdr>
    </w:div>
    <w:div w:id="1135640059">
      <w:bodyDiv w:val="1"/>
      <w:marLeft w:val="0"/>
      <w:marRight w:val="0"/>
      <w:marTop w:val="0"/>
      <w:marBottom w:val="0"/>
      <w:divBdr>
        <w:top w:val="none" w:sz="0" w:space="0" w:color="auto"/>
        <w:left w:val="none" w:sz="0" w:space="0" w:color="auto"/>
        <w:bottom w:val="none" w:sz="0" w:space="0" w:color="auto"/>
        <w:right w:val="none" w:sz="0" w:space="0" w:color="auto"/>
      </w:divBdr>
    </w:div>
    <w:div w:id="1144007277">
      <w:bodyDiv w:val="1"/>
      <w:marLeft w:val="0"/>
      <w:marRight w:val="0"/>
      <w:marTop w:val="0"/>
      <w:marBottom w:val="0"/>
      <w:divBdr>
        <w:top w:val="none" w:sz="0" w:space="0" w:color="auto"/>
        <w:left w:val="none" w:sz="0" w:space="0" w:color="auto"/>
        <w:bottom w:val="none" w:sz="0" w:space="0" w:color="auto"/>
        <w:right w:val="none" w:sz="0" w:space="0" w:color="auto"/>
      </w:divBdr>
    </w:div>
    <w:div w:id="1146631882">
      <w:bodyDiv w:val="1"/>
      <w:marLeft w:val="0"/>
      <w:marRight w:val="0"/>
      <w:marTop w:val="0"/>
      <w:marBottom w:val="0"/>
      <w:divBdr>
        <w:top w:val="none" w:sz="0" w:space="0" w:color="auto"/>
        <w:left w:val="none" w:sz="0" w:space="0" w:color="auto"/>
        <w:bottom w:val="none" w:sz="0" w:space="0" w:color="auto"/>
        <w:right w:val="none" w:sz="0" w:space="0" w:color="auto"/>
      </w:divBdr>
    </w:div>
    <w:div w:id="1147865147">
      <w:bodyDiv w:val="1"/>
      <w:marLeft w:val="0"/>
      <w:marRight w:val="0"/>
      <w:marTop w:val="0"/>
      <w:marBottom w:val="0"/>
      <w:divBdr>
        <w:top w:val="none" w:sz="0" w:space="0" w:color="auto"/>
        <w:left w:val="none" w:sz="0" w:space="0" w:color="auto"/>
        <w:bottom w:val="none" w:sz="0" w:space="0" w:color="auto"/>
        <w:right w:val="none" w:sz="0" w:space="0" w:color="auto"/>
      </w:divBdr>
    </w:div>
    <w:div w:id="1152211609">
      <w:bodyDiv w:val="1"/>
      <w:marLeft w:val="0"/>
      <w:marRight w:val="0"/>
      <w:marTop w:val="0"/>
      <w:marBottom w:val="0"/>
      <w:divBdr>
        <w:top w:val="none" w:sz="0" w:space="0" w:color="auto"/>
        <w:left w:val="none" w:sz="0" w:space="0" w:color="auto"/>
        <w:bottom w:val="none" w:sz="0" w:space="0" w:color="auto"/>
        <w:right w:val="none" w:sz="0" w:space="0" w:color="auto"/>
      </w:divBdr>
    </w:div>
    <w:div w:id="1152671882">
      <w:bodyDiv w:val="1"/>
      <w:marLeft w:val="0"/>
      <w:marRight w:val="0"/>
      <w:marTop w:val="0"/>
      <w:marBottom w:val="0"/>
      <w:divBdr>
        <w:top w:val="none" w:sz="0" w:space="0" w:color="auto"/>
        <w:left w:val="none" w:sz="0" w:space="0" w:color="auto"/>
        <w:bottom w:val="none" w:sz="0" w:space="0" w:color="auto"/>
        <w:right w:val="none" w:sz="0" w:space="0" w:color="auto"/>
      </w:divBdr>
    </w:div>
    <w:div w:id="1155144769">
      <w:bodyDiv w:val="1"/>
      <w:marLeft w:val="0"/>
      <w:marRight w:val="0"/>
      <w:marTop w:val="0"/>
      <w:marBottom w:val="0"/>
      <w:divBdr>
        <w:top w:val="none" w:sz="0" w:space="0" w:color="auto"/>
        <w:left w:val="none" w:sz="0" w:space="0" w:color="auto"/>
        <w:bottom w:val="none" w:sz="0" w:space="0" w:color="auto"/>
        <w:right w:val="none" w:sz="0" w:space="0" w:color="auto"/>
      </w:divBdr>
    </w:div>
    <w:div w:id="1166239533">
      <w:bodyDiv w:val="1"/>
      <w:marLeft w:val="0"/>
      <w:marRight w:val="0"/>
      <w:marTop w:val="0"/>
      <w:marBottom w:val="0"/>
      <w:divBdr>
        <w:top w:val="none" w:sz="0" w:space="0" w:color="auto"/>
        <w:left w:val="none" w:sz="0" w:space="0" w:color="auto"/>
        <w:bottom w:val="none" w:sz="0" w:space="0" w:color="auto"/>
        <w:right w:val="none" w:sz="0" w:space="0" w:color="auto"/>
      </w:divBdr>
    </w:div>
    <w:div w:id="1168710894">
      <w:bodyDiv w:val="1"/>
      <w:marLeft w:val="0"/>
      <w:marRight w:val="0"/>
      <w:marTop w:val="0"/>
      <w:marBottom w:val="0"/>
      <w:divBdr>
        <w:top w:val="none" w:sz="0" w:space="0" w:color="auto"/>
        <w:left w:val="none" w:sz="0" w:space="0" w:color="auto"/>
        <w:bottom w:val="none" w:sz="0" w:space="0" w:color="auto"/>
        <w:right w:val="none" w:sz="0" w:space="0" w:color="auto"/>
      </w:divBdr>
    </w:div>
    <w:div w:id="1172797587">
      <w:bodyDiv w:val="1"/>
      <w:marLeft w:val="0"/>
      <w:marRight w:val="0"/>
      <w:marTop w:val="0"/>
      <w:marBottom w:val="0"/>
      <w:divBdr>
        <w:top w:val="none" w:sz="0" w:space="0" w:color="auto"/>
        <w:left w:val="none" w:sz="0" w:space="0" w:color="auto"/>
        <w:bottom w:val="none" w:sz="0" w:space="0" w:color="auto"/>
        <w:right w:val="none" w:sz="0" w:space="0" w:color="auto"/>
      </w:divBdr>
    </w:div>
    <w:div w:id="1176531963">
      <w:bodyDiv w:val="1"/>
      <w:marLeft w:val="0"/>
      <w:marRight w:val="0"/>
      <w:marTop w:val="0"/>
      <w:marBottom w:val="0"/>
      <w:divBdr>
        <w:top w:val="none" w:sz="0" w:space="0" w:color="auto"/>
        <w:left w:val="none" w:sz="0" w:space="0" w:color="auto"/>
        <w:bottom w:val="none" w:sz="0" w:space="0" w:color="auto"/>
        <w:right w:val="none" w:sz="0" w:space="0" w:color="auto"/>
      </w:divBdr>
    </w:div>
    <w:div w:id="1178274683">
      <w:bodyDiv w:val="1"/>
      <w:marLeft w:val="0"/>
      <w:marRight w:val="0"/>
      <w:marTop w:val="0"/>
      <w:marBottom w:val="0"/>
      <w:divBdr>
        <w:top w:val="none" w:sz="0" w:space="0" w:color="auto"/>
        <w:left w:val="none" w:sz="0" w:space="0" w:color="auto"/>
        <w:bottom w:val="none" w:sz="0" w:space="0" w:color="auto"/>
        <w:right w:val="none" w:sz="0" w:space="0" w:color="auto"/>
      </w:divBdr>
    </w:div>
    <w:div w:id="1183587919">
      <w:bodyDiv w:val="1"/>
      <w:marLeft w:val="0"/>
      <w:marRight w:val="0"/>
      <w:marTop w:val="0"/>
      <w:marBottom w:val="0"/>
      <w:divBdr>
        <w:top w:val="none" w:sz="0" w:space="0" w:color="auto"/>
        <w:left w:val="none" w:sz="0" w:space="0" w:color="auto"/>
        <w:bottom w:val="none" w:sz="0" w:space="0" w:color="auto"/>
        <w:right w:val="none" w:sz="0" w:space="0" w:color="auto"/>
      </w:divBdr>
    </w:div>
    <w:div w:id="1184393980">
      <w:bodyDiv w:val="1"/>
      <w:marLeft w:val="0"/>
      <w:marRight w:val="0"/>
      <w:marTop w:val="0"/>
      <w:marBottom w:val="0"/>
      <w:divBdr>
        <w:top w:val="none" w:sz="0" w:space="0" w:color="auto"/>
        <w:left w:val="none" w:sz="0" w:space="0" w:color="auto"/>
        <w:bottom w:val="none" w:sz="0" w:space="0" w:color="auto"/>
        <w:right w:val="none" w:sz="0" w:space="0" w:color="auto"/>
      </w:divBdr>
    </w:div>
    <w:div w:id="1187910061">
      <w:bodyDiv w:val="1"/>
      <w:marLeft w:val="0"/>
      <w:marRight w:val="0"/>
      <w:marTop w:val="0"/>
      <w:marBottom w:val="0"/>
      <w:divBdr>
        <w:top w:val="none" w:sz="0" w:space="0" w:color="auto"/>
        <w:left w:val="none" w:sz="0" w:space="0" w:color="auto"/>
        <w:bottom w:val="none" w:sz="0" w:space="0" w:color="auto"/>
        <w:right w:val="none" w:sz="0" w:space="0" w:color="auto"/>
      </w:divBdr>
    </w:div>
    <w:div w:id="1194151608">
      <w:bodyDiv w:val="1"/>
      <w:marLeft w:val="0"/>
      <w:marRight w:val="0"/>
      <w:marTop w:val="0"/>
      <w:marBottom w:val="0"/>
      <w:divBdr>
        <w:top w:val="none" w:sz="0" w:space="0" w:color="auto"/>
        <w:left w:val="none" w:sz="0" w:space="0" w:color="auto"/>
        <w:bottom w:val="none" w:sz="0" w:space="0" w:color="auto"/>
        <w:right w:val="none" w:sz="0" w:space="0" w:color="auto"/>
      </w:divBdr>
    </w:div>
    <w:div w:id="1194802950">
      <w:bodyDiv w:val="1"/>
      <w:marLeft w:val="0"/>
      <w:marRight w:val="0"/>
      <w:marTop w:val="0"/>
      <w:marBottom w:val="0"/>
      <w:divBdr>
        <w:top w:val="none" w:sz="0" w:space="0" w:color="auto"/>
        <w:left w:val="none" w:sz="0" w:space="0" w:color="auto"/>
        <w:bottom w:val="none" w:sz="0" w:space="0" w:color="auto"/>
        <w:right w:val="none" w:sz="0" w:space="0" w:color="auto"/>
      </w:divBdr>
    </w:div>
    <w:div w:id="1196387031">
      <w:bodyDiv w:val="1"/>
      <w:marLeft w:val="0"/>
      <w:marRight w:val="0"/>
      <w:marTop w:val="0"/>
      <w:marBottom w:val="0"/>
      <w:divBdr>
        <w:top w:val="none" w:sz="0" w:space="0" w:color="auto"/>
        <w:left w:val="none" w:sz="0" w:space="0" w:color="auto"/>
        <w:bottom w:val="none" w:sz="0" w:space="0" w:color="auto"/>
        <w:right w:val="none" w:sz="0" w:space="0" w:color="auto"/>
      </w:divBdr>
    </w:div>
    <w:div w:id="1200237491">
      <w:bodyDiv w:val="1"/>
      <w:marLeft w:val="0"/>
      <w:marRight w:val="0"/>
      <w:marTop w:val="0"/>
      <w:marBottom w:val="0"/>
      <w:divBdr>
        <w:top w:val="none" w:sz="0" w:space="0" w:color="auto"/>
        <w:left w:val="none" w:sz="0" w:space="0" w:color="auto"/>
        <w:bottom w:val="none" w:sz="0" w:space="0" w:color="auto"/>
        <w:right w:val="none" w:sz="0" w:space="0" w:color="auto"/>
      </w:divBdr>
    </w:div>
    <w:div w:id="1201044187">
      <w:bodyDiv w:val="1"/>
      <w:marLeft w:val="0"/>
      <w:marRight w:val="0"/>
      <w:marTop w:val="0"/>
      <w:marBottom w:val="0"/>
      <w:divBdr>
        <w:top w:val="none" w:sz="0" w:space="0" w:color="auto"/>
        <w:left w:val="none" w:sz="0" w:space="0" w:color="auto"/>
        <w:bottom w:val="none" w:sz="0" w:space="0" w:color="auto"/>
        <w:right w:val="none" w:sz="0" w:space="0" w:color="auto"/>
      </w:divBdr>
    </w:div>
    <w:div w:id="1204103015">
      <w:bodyDiv w:val="1"/>
      <w:marLeft w:val="0"/>
      <w:marRight w:val="0"/>
      <w:marTop w:val="0"/>
      <w:marBottom w:val="0"/>
      <w:divBdr>
        <w:top w:val="none" w:sz="0" w:space="0" w:color="auto"/>
        <w:left w:val="none" w:sz="0" w:space="0" w:color="auto"/>
        <w:bottom w:val="none" w:sz="0" w:space="0" w:color="auto"/>
        <w:right w:val="none" w:sz="0" w:space="0" w:color="auto"/>
      </w:divBdr>
    </w:div>
    <w:div w:id="1206257962">
      <w:bodyDiv w:val="1"/>
      <w:marLeft w:val="0"/>
      <w:marRight w:val="0"/>
      <w:marTop w:val="0"/>
      <w:marBottom w:val="0"/>
      <w:divBdr>
        <w:top w:val="none" w:sz="0" w:space="0" w:color="auto"/>
        <w:left w:val="none" w:sz="0" w:space="0" w:color="auto"/>
        <w:bottom w:val="none" w:sz="0" w:space="0" w:color="auto"/>
        <w:right w:val="none" w:sz="0" w:space="0" w:color="auto"/>
      </w:divBdr>
    </w:div>
    <w:div w:id="1210990939">
      <w:bodyDiv w:val="1"/>
      <w:marLeft w:val="0"/>
      <w:marRight w:val="0"/>
      <w:marTop w:val="0"/>
      <w:marBottom w:val="0"/>
      <w:divBdr>
        <w:top w:val="none" w:sz="0" w:space="0" w:color="auto"/>
        <w:left w:val="none" w:sz="0" w:space="0" w:color="auto"/>
        <w:bottom w:val="none" w:sz="0" w:space="0" w:color="auto"/>
        <w:right w:val="none" w:sz="0" w:space="0" w:color="auto"/>
      </w:divBdr>
    </w:div>
    <w:div w:id="1211764880">
      <w:bodyDiv w:val="1"/>
      <w:marLeft w:val="0"/>
      <w:marRight w:val="0"/>
      <w:marTop w:val="0"/>
      <w:marBottom w:val="0"/>
      <w:divBdr>
        <w:top w:val="none" w:sz="0" w:space="0" w:color="auto"/>
        <w:left w:val="none" w:sz="0" w:space="0" w:color="auto"/>
        <w:bottom w:val="none" w:sz="0" w:space="0" w:color="auto"/>
        <w:right w:val="none" w:sz="0" w:space="0" w:color="auto"/>
      </w:divBdr>
    </w:div>
    <w:div w:id="1213423075">
      <w:bodyDiv w:val="1"/>
      <w:marLeft w:val="0"/>
      <w:marRight w:val="0"/>
      <w:marTop w:val="0"/>
      <w:marBottom w:val="0"/>
      <w:divBdr>
        <w:top w:val="none" w:sz="0" w:space="0" w:color="auto"/>
        <w:left w:val="none" w:sz="0" w:space="0" w:color="auto"/>
        <w:bottom w:val="none" w:sz="0" w:space="0" w:color="auto"/>
        <w:right w:val="none" w:sz="0" w:space="0" w:color="auto"/>
      </w:divBdr>
    </w:div>
    <w:div w:id="1220047134">
      <w:bodyDiv w:val="1"/>
      <w:marLeft w:val="0"/>
      <w:marRight w:val="0"/>
      <w:marTop w:val="0"/>
      <w:marBottom w:val="0"/>
      <w:divBdr>
        <w:top w:val="none" w:sz="0" w:space="0" w:color="auto"/>
        <w:left w:val="none" w:sz="0" w:space="0" w:color="auto"/>
        <w:bottom w:val="none" w:sz="0" w:space="0" w:color="auto"/>
        <w:right w:val="none" w:sz="0" w:space="0" w:color="auto"/>
      </w:divBdr>
    </w:div>
    <w:div w:id="1220047548">
      <w:bodyDiv w:val="1"/>
      <w:marLeft w:val="0"/>
      <w:marRight w:val="0"/>
      <w:marTop w:val="0"/>
      <w:marBottom w:val="0"/>
      <w:divBdr>
        <w:top w:val="none" w:sz="0" w:space="0" w:color="auto"/>
        <w:left w:val="none" w:sz="0" w:space="0" w:color="auto"/>
        <w:bottom w:val="none" w:sz="0" w:space="0" w:color="auto"/>
        <w:right w:val="none" w:sz="0" w:space="0" w:color="auto"/>
      </w:divBdr>
    </w:div>
    <w:div w:id="1226336629">
      <w:bodyDiv w:val="1"/>
      <w:marLeft w:val="0"/>
      <w:marRight w:val="0"/>
      <w:marTop w:val="0"/>
      <w:marBottom w:val="0"/>
      <w:divBdr>
        <w:top w:val="none" w:sz="0" w:space="0" w:color="auto"/>
        <w:left w:val="none" w:sz="0" w:space="0" w:color="auto"/>
        <w:bottom w:val="none" w:sz="0" w:space="0" w:color="auto"/>
        <w:right w:val="none" w:sz="0" w:space="0" w:color="auto"/>
      </w:divBdr>
    </w:div>
    <w:div w:id="1227451260">
      <w:bodyDiv w:val="1"/>
      <w:marLeft w:val="0"/>
      <w:marRight w:val="0"/>
      <w:marTop w:val="0"/>
      <w:marBottom w:val="0"/>
      <w:divBdr>
        <w:top w:val="none" w:sz="0" w:space="0" w:color="auto"/>
        <w:left w:val="none" w:sz="0" w:space="0" w:color="auto"/>
        <w:bottom w:val="none" w:sz="0" w:space="0" w:color="auto"/>
        <w:right w:val="none" w:sz="0" w:space="0" w:color="auto"/>
      </w:divBdr>
    </w:div>
    <w:div w:id="1234972401">
      <w:bodyDiv w:val="1"/>
      <w:marLeft w:val="0"/>
      <w:marRight w:val="0"/>
      <w:marTop w:val="0"/>
      <w:marBottom w:val="0"/>
      <w:divBdr>
        <w:top w:val="none" w:sz="0" w:space="0" w:color="auto"/>
        <w:left w:val="none" w:sz="0" w:space="0" w:color="auto"/>
        <w:bottom w:val="none" w:sz="0" w:space="0" w:color="auto"/>
        <w:right w:val="none" w:sz="0" w:space="0" w:color="auto"/>
      </w:divBdr>
    </w:div>
    <w:div w:id="1235699225">
      <w:bodyDiv w:val="1"/>
      <w:marLeft w:val="0"/>
      <w:marRight w:val="0"/>
      <w:marTop w:val="0"/>
      <w:marBottom w:val="0"/>
      <w:divBdr>
        <w:top w:val="none" w:sz="0" w:space="0" w:color="auto"/>
        <w:left w:val="none" w:sz="0" w:space="0" w:color="auto"/>
        <w:bottom w:val="none" w:sz="0" w:space="0" w:color="auto"/>
        <w:right w:val="none" w:sz="0" w:space="0" w:color="auto"/>
      </w:divBdr>
    </w:div>
    <w:div w:id="1251040801">
      <w:bodyDiv w:val="1"/>
      <w:marLeft w:val="0"/>
      <w:marRight w:val="0"/>
      <w:marTop w:val="0"/>
      <w:marBottom w:val="0"/>
      <w:divBdr>
        <w:top w:val="none" w:sz="0" w:space="0" w:color="auto"/>
        <w:left w:val="none" w:sz="0" w:space="0" w:color="auto"/>
        <w:bottom w:val="none" w:sz="0" w:space="0" w:color="auto"/>
        <w:right w:val="none" w:sz="0" w:space="0" w:color="auto"/>
      </w:divBdr>
    </w:div>
    <w:div w:id="1251310838">
      <w:bodyDiv w:val="1"/>
      <w:marLeft w:val="0"/>
      <w:marRight w:val="0"/>
      <w:marTop w:val="0"/>
      <w:marBottom w:val="0"/>
      <w:divBdr>
        <w:top w:val="none" w:sz="0" w:space="0" w:color="auto"/>
        <w:left w:val="none" w:sz="0" w:space="0" w:color="auto"/>
        <w:bottom w:val="none" w:sz="0" w:space="0" w:color="auto"/>
        <w:right w:val="none" w:sz="0" w:space="0" w:color="auto"/>
      </w:divBdr>
    </w:div>
    <w:div w:id="1259752269">
      <w:bodyDiv w:val="1"/>
      <w:marLeft w:val="0"/>
      <w:marRight w:val="0"/>
      <w:marTop w:val="0"/>
      <w:marBottom w:val="0"/>
      <w:divBdr>
        <w:top w:val="none" w:sz="0" w:space="0" w:color="auto"/>
        <w:left w:val="none" w:sz="0" w:space="0" w:color="auto"/>
        <w:bottom w:val="none" w:sz="0" w:space="0" w:color="auto"/>
        <w:right w:val="none" w:sz="0" w:space="0" w:color="auto"/>
      </w:divBdr>
    </w:div>
    <w:div w:id="1269699493">
      <w:bodyDiv w:val="1"/>
      <w:marLeft w:val="0"/>
      <w:marRight w:val="0"/>
      <w:marTop w:val="0"/>
      <w:marBottom w:val="0"/>
      <w:divBdr>
        <w:top w:val="none" w:sz="0" w:space="0" w:color="auto"/>
        <w:left w:val="none" w:sz="0" w:space="0" w:color="auto"/>
        <w:bottom w:val="none" w:sz="0" w:space="0" w:color="auto"/>
        <w:right w:val="none" w:sz="0" w:space="0" w:color="auto"/>
      </w:divBdr>
    </w:div>
    <w:div w:id="1272202569">
      <w:bodyDiv w:val="1"/>
      <w:marLeft w:val="0"/>
      <w:marRight w:val="0"/>
      <w:marTop w:val="0"/>
      <w:marBottom w:val="0"/>
      <w:divBdr>
        <w:top w:val="none" w:sz="0" w:space="0" w:color="auto"/>
        <w:left w:val="none" w:sz="0" w:space="0" w:color="auto"/>
        <w:bottom w:val="none" w:sz="0" w:space="0" w:color="auto"/>
        <w:right w:val="none" w:sz="0" w:space="0" w:color="auto"/>
      </w:divBdr>
    </w:div>
    <w:div w:id="1273441004">
      <w:bodyDiv w:val="1"/>
      <w:marLeft w:val="0"/>
      <w:marRight w:val="0"/>
      <w:marTop w:val="0"/>
      <w:marBottom w:val="0"/>
      <w:divBdr>
        <w:top w:val="none" w:sz="0" w:space="0" w:color="auto"/>
        <w:left w:val="none" w:sz="0" w:space="0" w:color="auto"/>
        <w:bottom w:val="none" w:sz="0" w:space="0" w:color="auto"/>
        <w:right w:val="none" w:sz="0" w:space="0" w:color="auto"/>
      </w:divBdr>
    </w:div>
    <w:div w:id="1276138652">
      <w:bodyDiv w:val="1"/>
      <w:marLeft w:val="0"/>
      <w:marRight w:val="0"/>
      <w:marTop w:val="0"/>
      <w:marBottom w:val="0"/>
      <w:divBdr>
        <w:top w:val="none" w:sz="0" w:space="0" w:color="auto"/>
        <w:left w:val="none" w:sz="0" w:space="0" w:color="auto"/>
        <w:bottom w:val="none" w:sz="0" w:space="0" w:color="auto"/>
        <w:right w:val="none" w:sz="0" w:space="0" w:color="auto"/>
      </w:divBdr>
    </w:div>
    <w:div w:id="1279870362">
      <w:bodyDiv w:val="1"/>
      <w:marLeft w:val="0"/>
      <w:marRight w:val="0"/>
      <w:marTop w:val="0"/>
      <w:marBottom w:val="0"/>
      <w:divBdr>
        <w:top w:val="none" w:sz="0" w:space="0" w:color="auto"/>
        <w:left w:val="none" w:sz="0" w:space="0" w:color="auto"/>
        <w:bottom w:val="none" w:sz="0" w:space="0" w:color="auto"/>
        <w:right w:val="none" w:sz="0" w:space="0" w:color="auto"/>
      </w:divBdr>
    </w:div>
    <w:div w:id="1285380155">
      <w:bodyDiv w:val="1"/>
      <w:marLeft w:val="0"/>
      <w:marRight w:val="0"/>
      <w:marTop w:val="0"/>
      <w:marBottom w:val="0"/>
      <w:divBdr>
        <w:top w:val="none" w:sz="0" w:space="0" w:color="auto"/>
        <w:left w:val="none" w:sz="0" w:space="0" w:color="auto"/>
        <w:bottom w:val="none" w:sz="0" w:space="0" w:color="auto"/>
        <w:right w:val="none" w:sz="0" w:space="0" w:color="auto"/>
      </w:divBdr>
    </w:div>
    <w:div w:id="1293246306">
      <w:bodyDiv w:val="1"/>
      <w:marLeft w:val="0"/>
      <w:marRight w:val="0"/>
      <w:marTop w:val="0"/>
      <w:marBottom w:val="0"/>
      <w:divBdr>
        <w:top w:val="none" w:sz="0" w:space="0" w:color="auto"/>
        <w:left w:val="none" w:sz="0" w:space="0" w:color="auto"/>
        <w:bottom w:val="none" w:sz="0" w:space="0" w:color="auto"/>
        <w:right w:val="none" w:sz="0" w:space="0" w:color="auto"/>
      </w:divBdr>
    </w:div>
    <w:div w:id="1297293165">
      <w:bodyDiv w:val="1"/>
      <w:marLeft w:val="0"/>
      <w:marRight w:val="0"/>
      <w:marTop w:val="0"/>
      <w:marBottom w:val="0"/>
      <w:divBdr>
        <w:top w:val="none" w:sz="0" w:space="0" w:color="auto"/>
        <w:left w:val="none" w:sz="0" w:space="0" w:color="auto"/>
        <w:bottom w:val="none" w:sz="0" w:space="0" w:color="auto"/>
        <w:right w:val="none" w:sz="0" w:space="0" w:color="auto"/>
      </w:divBdr>
    </w:div>
    <w:div w:id="1298103851">
      <w:bodyDiv w:val="1"/>
      <w:marLeft w:val="0"/>
      <w:marRight w:val="0"/>
      <w:marTop w:val="0"/>
      <w:marBottom w:val="0"/>
      <w:divBdr>
        <w:top w:val="none" w:sz="0" w:space="0" w:color="auto"/>
        <w:left w:val="none" w:sz="0" w:space="0" w:color="auto"/>
        <w:bottom w:val="none" w:sz="0" w:space="0" w:color="auto"/>
        <w:right w:val="none" w:sz="0" w:space="0" w:color="auto"/>
      </w:divBdr>
    </w:div>
    <w:div w:id="1303076517">
      <w:bodyDiv w:val="1"/>
      <w:marLeft w:val="0"/>
      <w:marRight w:val="0"/>
      <w:marTop w:val="0"/>
      <w:marBottom w:val="0"/>
      <w:divBdr>
        <w:top w:val="none" w:sz="0" w:space="0" w:color="auto"/>
        <w:left w:val="none" w:sz="0" w:space="0" w:color="auto"/>
        <w:bottom w:val="none" w:sz="0" w:space="0" w:color="auto"/>
        <w:right w:val="none" w:sz="0" w:space="0" w:color="auto"/>
      </w:divBdr>
    </w:div>
    <w:div w:id="1303388000">
      <w:bodyDiv w:val="1"/>
      <w:marLeft w:val="0"/>
      <w:marRight w:val="0"/>
      <w:marTop w:val="0"/>
      <w:marBottom w:val="0"/>
      <w:divBdr>
        <w:top w:val="none" w:sz="0" w:space="0" w:color="auto"/>
        <w:left w:val="none" w:sz="0" w:space="0" w:color="auto"/>
        <w:bottom w:val="none" w:sz="0" w:space="0" w:color="auto"/>
        <w:right w:val="none" w:sz="0" w:space="0" w:color="auto"/>
      </w:divBdr>
    </w:div>
    <w:div w:id="1308241171">
      <w:bodyDiv w:val="1"/>
      <w:marLeft w:val="0"/>
      <w:marRight w:val="0"/>
      <w:marTop w:val="0"/>
      <w:marBottom w:val="0"/>
      <w:divBdr>
        <w:top w:val="none" w:sz="0" w:space="0" w:color="auto"/>
        <w:left w:val="none" w:sz="0" w:space="0" w:color="auto"/>
        <w:bottom w:val="none" w:sz="0" w:space="0" w:color="auto"/>
        <w:right w:val="none" w:sz="0" w:space="0" w:color="auto"/>
      </w:divBdr>
    </w:div>
    <w:div w:id="1314487184">
      <w:bodyDiv w:val="1"/>
      <w:marLeft w:val="0"/>
      <w:marRight w:val="0"/>
      <w:marTop w:val="0"/>
      <w:marBottom w:val="0"/>
      <w:divBdr>
        <w:top w:val="none" w:sz="0" w:space="0" w:color="auto"/>
        <w:left w:val="none" w:sz="0" w:space="0" w:color="auto"/>
        <w:bottom w:val="none" w:sz="0" w:space="0" w:color="auto"/>
        <w:right w:val="none" w:sz="0" w:space="0" w:color="auto"/>
      </w:divBdr>
    </w:div>
    <w:div w:id="1331447372">
      <w:bodyDiv w:val="1"/>
      <w:marLeft w:val="0"/>
      <w:marRight w:val="0"/>
      <w:marTop w:val="0"/>
      <w:marBottom w:val="0"/>
      <w:divBdr>
        <w:top w:val="none" w:sz="0" w:space="0" w:color="auto"/>
        <w:left w:val="none" w:sz="0" w:space="0" w:color="auto"/>
        <w:bottom w:val="none" w:sz="0" w:space="0" w:color="auto"/>
        <w:right w:val="none" w:sz="0" w:space="0" w:color="auto"/>
      </w:divBdr>
    </w:div>
    <w:div w:id="1331715092">
      <w:bodyDiv w:val="1"/>
      <w:marLeft w:val="0"/>
      <w:marRight w:val="0"/>
      <w:marTop w:val="0"/>
      <w:marBottom w:val="0"/>
      <w:divBdr>
        <w:top w:val="none" w:sz="0" w:space="0" w:color="auto"/>
        <w:left w:val="none" w:sz="0" w:space="0" w:color="auto"/>
        <w:bottom w:val="none" w:sz="0" w:space="0" w:color="auto"/>
        <w:right w:val="none" w:sz="0" w:space="0" w:color="auto"/>
      </w:divBdr>
    </w:div>
    <w:div w:id="1332024241">
      <w:bodyDiv w:val="1"/>
      <w:marLeft w:val="0"/>
      <w:marRight w:val="0"/>
      <w:marTop w:val="0"/>
      <w:marBottom w:val="0"/>
      <w:divBdr>
        <w:top w:val="none" w:sz="0" w:space="0" w:color="auto"/>
        <w:left w:val="none" w:sz="0" w:space="0" w:color="auto"/>
        <w:bottom w:val="none" w:sz="0" w:space="0" w:color="auto"/>
        <w:right w:val="none" w:sz="0" w:space="0" w:color="auto"/>
      </w:divBdr>
    </w:div>
    <w:div w:id="1338071046">
      <w:bodyDiv w:val="1"/>
      <w:marLeft w:val="0"/>
      <w:marRight w:val="0"/>
      <w:marTop w:val="0"/>
      <w:marBottom w:val="0"/>
      <w:divBdr>
        <w:top w:val="none" w:sz="0" w:space="0" w:color="auto"/>
        <w:left w:val="none" w:sz="0" w:space="0" w:color="auto"/>
        <w:bottom w:val="none" w:sz="0" w:space="0" w:color="auto"/>
        <w:right w:val="none" w:sz="0" w:space="0" w:color="auto"/>
      </w:divBdr>
    </w:div>
    <w:div w:id="1338847964">
      <w:bodyDiv w:val="1"/>
      <w:marLeft w:val="0"/>
      <w:marRight w:val="0"/>
      <w:marTop w:val="0"/>
      <w:marBottom w:val="0"/>
      <w:divBdr>
        <w:top w:val="none" w:sz="0" w:space="0" w:color="auto"/>
        <w:left w:val="none" w:sz="0" w:space="0" w:color="auto"/>
        <w:bottom w:val="none" w:sz="0" w:space="0" w:color="auto"/>
        <w:right w:val="none" w:sz="0" w:space="0" w:color="auto"/>
      </w:divBdr>
    </w:div>
    <w:div w:id="1339503309">
      <w:bodyDiv w:val="1"/>
      <w:marLeft w:val="0"/>
      <w:marRight w:val="0"/>
      <w:marTop w:val="0"/>
      <w:marBottom w:val="0"/>
      <w:divBdr>
        <w:top w:val="none" w:sz="0" w:space="0" w:color="auto"/>
        <w:left w:val="none" w:sz="0" w:space="0" w:color="auto"/>
        <w:bottom w:val="none" w:sz="0" w:space="0" w:color="auto"/>
        <w:right w:val="none" w:sz="0" w:space="0" w:color="auto"/>
      </w:divBdr>
    </w:div>
    <w:div w:id="1341394288">
      <w:bodyDiv w:val="1"/>
      <w:marLeft w:val="0"/>
      <w:marRight w:val="0"/>
      <w:marTop w:val="0"/>
      <w:marBottom w:val="0"/>
      <w:divBdr>
        <w:top w:val="none" w:sz="0" w:space="0" w:color="auto"/>
        <w:left w:val="none" w:sz="0" w:space="0" w:color="auto"/>
        <w:bottom w:val="none" w:sz="0" w:space="0" w:color="auto"/>
        <w:right w:val="none" w:sz="0" w:space="0" w:color="auto"/>
      </w:divBdr>
    </w:div>
    <w:div w:id="1343701159">
      <w:bodyDiv w:val="1"/>
      <w:marLeft w:val="0"/>
      <w:marRight w:val="0"/>
      <w:marTop w:val="0"/>
      <w:marBottom w:val="0"/>
      <w:divBdr>
        <w:top w:val="none" w:sz="0" w:space="0" w:color="auto"/>
        <w:left w:val="none" w:sz="0" w:space="0" w:color="auto"/>
        <w:bottom w:val="none" w:sz="0" w:space="0" w:color="auto"/>
        <w:right w:val="none" w:sz="0" w:space="0" w:color="auto"/>
      </w:divBdr>
    </w:div>
    <w:div w:id="1349721107">
      <w:bodyDiv w:val="1"/>
      <w:marLeft w:val="0"/>
      <w:marRight w:val="0"/>
      <w:marTop w:val="0"/>
      <w:marBottom w:val="0"/>
      <w:divBdr>
        <w:top w:val="none" w:sz="0" w:space="0" w:color="auto"/>
        <w:left w:val="none" w:sz="0" w:space="0" w:color="auto"/>
        <w:bottom w:val="none" w:sz="0" w:space="0" w:color="auto"/>
        <w:right w:val="none" w:sz="0" w:space="0" w:color="auto"/>
      </w:divBdr>
    </w:div>
    <w:div w:id="1352225818">
      <w:bodyDiv w:val="1"/>
      <w:marLeft w:val="0"/>
      <w:marRight w:val="0"/>
      <w:marTop w:val="0"/>
      <w:marBottom w:val="0"/>
      <w:divBdr>
        <w:top w:val="none" w:sz="0" w:space="0" w:color="auto"/>
        <w:left w:val="none" w:sz="0" w:space="0" w:color="auto"/>
        <w:bottom w:val="none" w:sz="0" w:space="0" w:color="auto"/>
        <w:right w:val="none" w:sz="0" w:space="0" w:color="auto"/>
      </w:divBdr>
    </w:div>
    <w:div w:id="1352412802">
      <w:bodyDiv w:val="1"/>
      <w:marLeft w:val="0"/>
      <w:marRight w:val="0"/>
      <w:marTop w:val="0"/>
      <w:marBottom w:val="0"/>
      <w:divBdr>
        <w:top w:val="none" w:sz="0" w:space="0" w:color="auto"/>
        <w:left w:val="none" w:sz="0" w:space="0" w:color="auto"/>
        <w:bottom w:val="none" w:sz="0" w:space="0" w:color="auto"/>
        <w:right w:val="none" w:sz="0" w:space="0" w:color="auto"/>
      </w:divBdr>
    </w:div>
    <w:div w:id="1357541396">
      <w:bodyDiv w:val="1"/>
      <w:marLeft w:val="0"/>
      <w:marRight w:val="0"/>
      <w:marTop w:val="0"/>
      <w:marBottom w:val="0"/>
      <w:divBdr>
        <w:top w:val="none" w:sz="0" w:space="0" w:color="auto"/>
        <w:left w:val="none" w:sz="0" w:space="0" w:color="auto"/>
        <w:bottom w:val="none" w:sz="0" w:space="0" w:color="auto"/>
        <w:right w:val="none" w:sz="0" w:space="0" w:color="auto"/>
      </w:divBdr>
    </w:div>
    <w:div w:id="1358698751">
      <w:bodyDiv w:val="1"/>
      <w:marLeft w:val="0"/>
      <w:marRight w:val="0"/>
      <w:marTop w:val="0"/>
      <w:marBottom w:val="0"/>
      <w:divBdr>
        <w:top w:val="none" w:sz="0" w:space="0" w:color="auto"/>
        <w:left w:val="none" w:sz="0" w:space="0" w:color="auto"/>
        <w:bottom w:val="none" w:sz="0" w:space="0" w:color="auto"/>
        <w:right w:val="none" w:sz="0" w:space="0" w:color="auto"/>
      </w:divBdr>
    </w:div>
    <w:div w:id="1364087804">
      <w:bodyDiv w:val="1"/>
      <w:marLeft w:val="0"/>
      <w:marRight w:val="0"/>
      <w:marTop w:val="0"/>
      <w:marBottom w:val="0"/>
      <w:divBdr>
        <w:top w:val="none" w:sz="0" w:space="0" w:color="auto"/>
        <w:left w:val="none" w:sz="0" w:space="0" w:color="auto"/>
        <w:bottom w:val="none" w:sz="0" w:space="0" w:color="auto"/>
        <w:right w:val="none" w:sz="0" w:space="0" w:color="auto"/>
      </w:divBdr>
    </w:div>
    <w:div w:id="1364984594">
      <w:bodyDiv w:val="1"/>
      <w:marLeft w:val="0"/>
      <w:marRight w:val="0"/>
      <w:marTop w:val="0"/>
      <w:marBottom w:val="0"/>
      <w:divBdr>
        <w:top w:val="none" w:sz="0" w:space="0" w:color="auto"/>
        <w:left w:val="none" w:sz="0" w:space="0" w:color="auto"/>
        <w:bottom w:val="none" w:sz="0" w:space="0" w:color="auto"/>
        <w:right w:val="none" w:sz="0" w:space="0" w:color="auto"/>
      </w:divBdr>
    </w:div>
    <w:div w:id="1369991661">
      <w:bodyDiv w:val="1"/>
      <w:marLeft w:val="0"/>
      <w:marRight w:val="0"/>
      <w:marTop w:val="0"/>
      <w:marBottom w:val="0"/>
      <w:divBdr>
        <w:top w:val="none" w:sz="0" w:space="0" w:color="auto"/>
        <w:left w:val="none" w:sz="0" w:space="0" w:color="auto"/>
        <w:bottom w:val="none" w:sz="0" w:space="0" w:color="auto"/>
        <w:right w:val="none" w:sz="0" w:space="0" w:color="auto"/>
      </w:divBdr>
    </w:div>
    <w:div w:id="1370494506">
      <w:bodyDiv w:val="1"/>
      <w:marLeft w:val="0"/>
      <w:marRight w:val="0"/>
      <w:marTop w:val="0"/>
      <w:marBottom w:val="0"/>
      <w:divBdr>
        <w:top w:val="none" w:sz="0" w:space="0" w:color="auto"/>
        <w:left w:val="none" w:sz="0" w:space="0" w:color="auto"/>
        <w:bottom w:val="none" w:sz="0" w:space="0" w:color="auto"/>
        <w:right w:val="none" w:sz="0" w:space="0" w:color="auto"/>
      </w:divBdr>
    </w:div>
    <w:div w:id="1379088474">
      <w:bodyDiv w:val="1"/>
      <w:marLeft w:val="0"/>
      <w:marRight w:val="0"/>
      <w:marTop w:val="0"/>
      <w:marBottom w:val="0"/>
      <w:divBdr>
        <w:top w:val="none" w:sz="0" w:space="0" w:color="auto"/>
        <w:left w:val="none" w:sz="0" w:space="0" w:color="auto"/>
        <w:bottom w:val="none" w:sz="0" w:space="0" w:color="auto"/>
        <w:right w:val="none" w:sz="0" w:space="0" w:color="auto"/>
      </w:divBdr>
    </w:div>
    <w:div w:id="1379862607">
      <w:bodyDiv w:val="1"/>
      <w:marLeft w:val="0"/>
      <w:marRight w:val="0"/>
      <w:marTop w:val="0"/>
      <w:marBottom w:val="0"/>
      <w:divBdr>
        <w:top w:val="none" w:sz="0" w:space="0" w:color="auto"/>
        <w:left w:val="none" w:sz="0" w:space="0" w:color="auto"/>
        <w:bottom w:val="none" w:sz="0" w:space="0" w:color="auto"/>
        <w:right w:val="none" w:sz="0" w:space="0" w:color="auto"/>
      </w:divBdr>
    </w:div>
    <w:div w:id="1380713658">
      <w:bodyDiv w:val="1"/>
      <w:marLeft w:val="0"/>
      <w:marRight w:val="0"/>
      <w:marTop w:val="0"/>
      <w:marBottom w:val="0"/>
      <w:divBdr>
        <w:top w:val="none" w:sz="0" w:space="0" w:color="auto"/>
        <w:left w:val="none" w:sz="0" w:space="0" w:color="auto"/>
        <w:bottom w:val="none" w:sz="0" w:space="0" w:color="auto"/>
        <w:right w:val="none" w:sz="0" w:space="0" w:color="auto"/>
      </w:divBdr>
    </w:div>
    <w:div w:id="1387558862">
      <w:bodyDiv w:val="1"/>
      <w:marLeft w:val="0"/>
      <w:marRight w:val="0"/>
      <w:marTop w:val="0"/>
      <w:marBottom w:val="0"/>
      <w:divBdr>
        <w:top w:val="none" w:sz="0" w:space="0" w:color="auto"/>
        <w:left w:val="none" w:sz="0" w:space="0" w:color="auto"/>
        <w:bottom w:val="none" w:sz="0" w:space="0" w:color="auto"/>
        <w:right w:val="none" w:sz="0" w:space="0" w:color="auto"/>
      </w:divBdr>
    </w:div>
    <w:div w:id="1388458498">
      <w:bodyDiv w:val="1"/>
      <w:marLeft w:val="0"/>
      <w:marRight w:val="0"/>
      <w:marTop w:val="0"/>
      <w:marBottom w:val="0"/>
      <w:divBdr>
        <w:top w:val="none" w:sz="0" w:space="0" w:color="auto"/>
        <w:left w:val="none" w:sz="0" w:space="0" w:color="auto"/>
        <w:bottom w:val="none" w:sz="0" w:space="0" w:color="auto"/>
        <w:right w:val="none" w:sz="0" w:space="0" w:color="auto"/>
      </w:divBdr>
    </w:div>
    <w:div w:id="1391152734">
      <w:bodyDiv w:val="1"/>
      <w:marLeft w:val="0"/>
      <w:marRight w:val="0"/>
      <w:marTop w:val="0"/>
      <w:marBottom w:val="0"/>
      <w:divBdr>
        <w:top w:val="none" w:sz="0" w:space="0" w:color="auto"/>
        <w:left w:val="none" w:sz="0" w:space="0" w:color="auto"/>
        <w:bottom w:val="none" w:sz="0" w:space="0" w:color="auto"/>
        <w:right w:val="none" w:sz="0" w:space="0" w:color="auto"/>
      </w:divBdr>
      <w:divsChild>
        <w:div w:id="7102634">
          <w:marLeft w:val="0"/>
          <w:marRight w:val="0"/>
          <w:marTop w:val="0"/>
          <w:marBottom w:val="0"/>
          <w:divBdr>
            <w:top w:val="none" w:sz="0" w:space="0" w:color="auto"/>
            <w:left w:val="none" w:sz="0" w:space="0" w:color="auto"/>
            <w:bottom w:val="none" w:sz="0" w:space="0" w:color="auto"/>
            <w:right w:val="none" w:sz="0" w:space="0" w:color="auto"/>
          </w:divBdr>
        </w:div>
        <w:div w:id="27687412">
          <w:marLeft w:val="0"/>
          <w:marRight w:val="0"/>
          <w:marTop w:val="0"/>
          <w:marBottom w:val="0"/>
          <w:divBdr>
            <w:top w:val="none" w:sz="0" w:space="0" w:color="auto"/>
            <w:left w:val="none" w:sz="0" w:space="0" w:color="auto"/>
            <w:bottom w:val="none" w:sz="0" w:space="0" w:color="auto"/>
            <w:right w:val="none" w:sz="0" w:space="0" w:color="auto"/>
          </w:divBdr>
        </w:div>
        <w:div w:id="34936356">
          <w:marLeft w:val="0"/>
          <w:marRight w:val="0"/>
          <w:marTop w:val="0"/>
          <w:marBottom w:val="0"/>
          <w:divBdr>
            <w:top w:val="none" w:sz="0" w:space="0" w:color="auto"/>
            <w:left w:val="none" w:sz="0" w:space="0" w:color="auto"/>
            <w:bottom w:val="none" w:sz="0" w:space="0" w:color="auto"/>
            <w:right w:val="none" w:sz="0" w:space="0" w:color="auto"/>
          </w:divBdr>
        </w:div>
        <w:div w:id="46490577">
          <w:marLeft w:val="0"/>
          <w:marRight w:val="0"/>
          <w:marTop w:val="0"/>
          <w:marBottom w:val="0"/>
          <w:divBdr>
            <w:top w:val="none" w:sz="0" w:space="0" w:color="auto"/>
            <w:left w:val="none" w:sz="0" w:space="0" w:color="auto"/>
            <w:bottom w:val="none" w:sz="0" w:space="0" w:color="auto"/>
            <w:right w:val="none" w:sz="0" w:space="0" w:color="auto"/>
          </w:divBdr>
        </w:div>
        <w:div w:id="113332098">
          <w:marLeft w:val="0"/>
          <w:marRight w:val="0"/>
          <w:marTop w:val="0"/>
          <w:marBottom w:val="0"/>
          <w:divBdr>
            <w:top w:val="none" w:sz="0" w:space="0" w:color="auto"/>
            <w:left w:val="none" w:sz="0" w:space="0" w:color="auto"/>
            <w:bottom w:val="none" w:sz="0" w:space="0" w:color="auto"/>
            <w:right w:val="none" w:sz="0" w:space="0" w:color="auto"/>
          </w:divBdr>
        </w:div>
        <w:div w:id="176965294">
          <w:marLeft w:val="0"/>
          <w:marRight w:val="0"/>
          <w:marTop w:val="0"/>
          <w:marBottom w:val="0"/>
          <w:divBdr>
            <w:top w:val="none" w:sz="0" w:space="0" w:color="auto"/>
            <w:left w:val="none" w:sz="0" w:space="0" w:color="auto"/>
            <w:bottom w:val="none" w:sz="0" w:space="0" w:color="auto"/>
            <w:right w:val="none" w:sz="0" w:space="0" w:color="auto"/>
          </w:divBdr>
        </w:div>
        <w:div w:id="177474510">
          <w:marLeft w:val="0"/>
          <w:marRight w:val="0"/>
          <w:marTop w:val="0"/>
          <w:marBottom w:val="0"/>
          <w:divBdr>
            <w:top w:val="none" w:sz="0" w:space="0" w:color="auto"/>
            <w:left w:val="none" w:sz="0" w:space="0" w:color="auto"/>
            <w:bottom w:val="none" w:sz="0" w:space="0" w:color="auto"/>
            <w:right w:val="none" w:sz="0" w:space="0" w:color="auto"/>
          </w:divBdr>
        </w:div>
        <w:div w:id="186528016">
          <w:marLeft w:val="0"/>
          <w:marRight w:val="0"/>
          <w:marTop w:val="0"/>
          <w:marBottom w:val="0"/>
          <w:divBdr>
            <w:top w:val="none" w:sz="0" w:space="0" w:color="auto"/>
            <w:left w:val="none" w:sz="0" w:space="0" w:color="auto"/>
            <w:bottom w:val="none" w:sz="0" w:space="0" w:color="auto"/>
            <w:right w:val="none" w:sz="0" w:space="0" w:color="auto"/>
          </w:divBdr>
        </w:div>
        <w:div w:id="188570888">
          <w:marLeft w:val="0"/>
          <w:marRight w:val="0"/>
          <w:marTop w:val="0"/>
          <w:marBottom w:val="0"/>
          <w:divBdr>
            <w:top w:val="none" w:sz="0" w:space="0" w:color="auto"/>
            <w:left w:val="none" w:sz="0" w:space="0" w:color="auto"/>
            <w:bottom w:val="none" w:sz="0" w:space="0" w:color="auto"/>
            <w:right w:val="none" w:sz="0" w:space="0" w:color="auto"/>
          </w:divBdr>
        </w:div>
        <w:div w:id="189419164">
          <w:marLeft w:val="0"/>
          <w:marRight w:val="0"/>
          <w:marTop w:val="0"/>
          <w:marBottom w:val="0"/>
          <w:divBdr>
            <w:top w:val="none" w:sz="0" w:space="0" w:color="auto"/>
            <w:left w:val="none" w:sz="0" w:space="0" w:color="auto"/>
            <w:bottom w:val="none" w:sz="0" w:space="0" w:color="auto"/>
            <w:right w:val="none" w:sz="0" w:space="0" w:color="auto"/>
          </w:divBdr>
        </w:div>
        <w:div w:id="195389408">
          <w:marLeft w:val="0"/>
          <w:marRight w:val="0"/>
          <w:marTop w:val="0"/>
          <w:marBottom w:val="0"/>
          <w:divBdr>
            <w:top w:val="none" w:sz="0" w:space="0" w:color="auto"/>
            <w:left w:val="none" w:sz="0" w:space="0" w:color="auto"/>
            <w:bottom w:val="none" w:sz="0" w:space="0" w:color="auto"/>
            <w:right w:val="none" w:sz="0" w:space="0" w:color="auto"/>
          </w:divBdr>
        </w:div>
        <w:div w:id="231696355">
          <w:marLeft w:val="0"/>
          <w:marRight w:val="0"/>
          <w:marTop w:val="0"/>
          <w:marBottom w:val="0"/>
          <w:divBdr>
            <w:top w:val="none" w:sz="0" w:space="0" w:color="auto"/>
            <w:left w:val="none" w:sz="0" w:space="0" w:color="auto"/>
            <w:bottom w:val="none" w:sz="0" w:space="0" w:color="auto"/>
            <w:right w:val="none" w:sz="0" w:space="0" w:color="auto"/>
          </w:divBdr>
        </w:div>
        <w:div w:id="263733464">
          <w:marLeft w:val="0"/>
          <w:marRight w:val="0"/>
          <w:marTop w:val="0"/>
          <w:marBottom w:val="0"/>
          <w:divBdr>
            <w:top w:val="none" w:sz="0" w:space="0" w:color="auto"/>
            <w:left w:val="none" w:sz="0" w:space="0" w:color="auto"/>
            <w:bottom w:val="none" w:sz="0" w:space="0" w:color="auto"/>
            <w:right w:val="none" w:sz="0" w:space="0" w:color="auto"/>
          </w:divBdr>
        </w:div>
        <w:div w:id="301430548">
          <w:marLeft w:val="0"/>
          <w:marRight w:val="0"/>
          <w:marTop w:val="0"/>
          <w:marBottom w:val="0"/>
          <w:divBdr>
            <w:top w:val="none" w:sz="0" w:space="0" w:color="auto"/>
            <w:left w:val="none" w:sz="0" w:space="0" w:color="auto"/>
            <w:bottom w:val="none" w:sz="0" w:space="0" w:color="auto"/>
            <w:right w:val="none" w:sz="0" w:space="0" w:color="auto"/>
          </w:divBdr>
        </w:div>
        <w:div w:id="332876566">
          <w:marLeft w:val="0"/>
          <w:marRight w:val="0"/>
          <w:marTop w:val="0"/>
          <w:marBottom w:val="0"/>
          <w:divBdr>
            <w:top w:val="none" w:sz="0" w:space="0" w:color="auto"/>
            <w:left w:val="none" w:sz="0" w:space="0" w:color="auto"/>
            <w:bottom w:val="none" w:sz="0" w:space="0" w:color="auto"/>
            <w:right w:val="none" w:sz="0" w:space="0" w:color="auto"/>
          </w:divBdr>
        </w:div>
        <w:div w:id="343168768">
          <w:marLeft w:val="0"/>
          <w:marRight w:val="0"/>
          <w:marTop w:val="0"/>
          <w:marBottom w:val="0"/>
          <w:divBdr>
            <w:top w:val="none" w:sz="0" w:space="0" w:color="auto"/>
            <w:left w:val="none" w:sz="0" w:space="0" w:color="auto"/>
            <w:bottom w:val="none" w:sz="0" w:space="0" w:color="auto"/>
            <w:right w:val="none" w:sz="0" w:space="0" w:color="auto"/>
          </w:divBdr>
        </w:div>
        <w:div w:id="368339214">
          <w:marLeft w:val="0"/>
          <w:marRight w:val="0"/>
          <w:marTop w:val="0"/>
          <w:marBottom w:val="0"/>
          <w:divBdr>
            <w:top w:val="none" w:sz="0" w:space="0" w:color="auto"/>
            <w:left w:val="none" w:sz="0" w:space="0" w:color="auto"/>
            <w:bottom w:val="none" w:sz="0" w:space="0" w:color="auto"/>
            <w:right w:val="none" w:sz="0" w:space="0" w:color="auto"/>
          </w:divBdr>
        </w:div>
        <w:div w:id="389771309">
          <w:marLeft w:val="0"/>
          <w:marRight w:val="0"/>
          <w:marTop w:val="0"/>
          <w:marBottom w:val="0"/>
          <w:divBdr>
            <w:top w:val="none" w:sz="0" w:space="0" w:color="auto"/>
            <w:left w:val="none" w:sz="0" w:space="0" w:color="auto"/>
            <w:bottom w:val="none" w:sz="0" w:space="0" w:color="auto"/>
            <w:right w:val="none" w:sz="0" w:space="0" w:color="auto"/>
          </w:divBdr>
        </w:div>
        <w:div w:id="450366477">
          <w:marLeft w:val="0"/>
          <w:marRight w:val="0"/>
          <w:marTop w:val="0"/>
          <w:marBottom w:val="0"/>
          <w:divBdr>
            <w:top w:val="none" w:sz="0" w:space="0" w:color="auto"/>
            <w:left w:val="none" w:sz="0" w:space="0" w:color="auto"/>
            <w:bottom w:val="none" w:sz="0" w:space="0" w:color="auto"/>
            <w:right w:val="none" w:sz="0" w:space="0" w:color="auto"/>
          </w:divBdr>
        </w:div>
        <w:div w:id="467208218">
          <w:marLeft w:val="0"/>
          <w:marRight w:val="0"/>
          <w:marTop w:val="0"/>
          <w:marBottom w:val="0"/>
          <w:divBdr>
            <w:top w:val="none" w:sz="0" w:space="0" w:color="auto"/>
            <w:left w:val="none" w:sz="0" w:space="0" w:color="auto"/>
            <w:bottom w:val="none" w:sz="0" w:space="0" w:color="auto"/>
            <w:right w:val="none" w:sz="0" w:space="0" w:color="auto"/>
          </w:divBdr>
        </w:div>
        <w:div w:id="530383066">
          <w:marLeft w:val="0"/>
          <w:marRight w:val="0"/>
          <w:marTop w:val="0"/>
          <w:marBottom w:val="0"/>
          <w:divBdr>
            <w:top w:val="none" w:sz="0" w:space="0" w:color="auto"/>
            <w:left w:val="none" w:sz="0" w:space="0" w:color="auto"/>
            <w:bottom w:val="none" w:sz="0" w:space="0" w:color="auto"/>
            <w:right w:val="none" w:sz="0" w:space="0" w:color="auto"/>
          </w:divBdr>
        </w:div>
        <w:div w:id="531921784">
          <w:marLeft w:val="0"/>
          <w:marRight w:val="0"/>
          <w:marTop w:val="0"/>
          <w:marBottom w:val="0"/>
          <w:divBdr>
            <w:top w:val="none" w:sz="0" w:space="0" w:color="auto"/>
            <w:left w:val="none" w:sz="0" w:space="0" w:color="auto"/>
            <w:bottom w:val="none" w:sz="0" w:space="0" w:color="auto"/>
            <w:right w:val="none" w:sz="0" w:space="0" w:color="auto"/>
          </w:divBdr>
        </w:div>
        <w:div w:id="561791600">
          <w:marLeft w:val="0"/>
          <w:marRight w:val="0"/>
          <w:marTop w:val="0"/>
          <w:marBottom w:val="0"/>
          <w:divBdr>
            <w:top w:val="none" w:sz="0" w:space="0" w:color="auto"/>
            <w:left w:val="none" w:sz="0" w:space="0" w:color="auto"/>
            <w:bottom w:val="none" w:sz="0" w:space="0" w:color="auto"/>
            <w:right w:val="none" w:sz="0" w:space="0" w:color="auto"/>
          </w:divBdr>
        </w:div>
        <w:div w:id="576980593">
          <w:marLeft w:val="0"/>
          <w:marRight w:val="0"/>
          <w:marTop w:val="0"/>
          <w:marBottom w:val="0"/>
          <w:divBdr>
            <w:top w:val="none" w:sz="0" w:space="0" w:color="auto"/>
            <w:left w:val="none" w:sz="0" w:space="0" w:color="auto"/>
            <w:bottom w:val="none" w:sz="0" w:space="0" w:color="auto"/>
            <w:right w:val="none" w:sz="0" w:space="0" w:color="auto"/>
          </w:divBdr>
        </w:div>
        <w:div w:id="617839188">
          <w:marLeft w:val="0"/>
          <w:marRight w:val="0"/>
          <w:marTop w:val="0"/>
          <w:marBottom w:val="0"/>
          <w:divBdr>
            <w:top w:val="none" w:sz="0" w:space="0" w:color="auto"/>
            <w:left w:val="none" w:sz="0" w:space="0" w:color="auto"/>
            <w:bottom w:val="none" w:sz="0" w:space="0" w:color="auto"/>
            <w:right w:val="none" w:sz="0" w:space="0" w:color="auto"/>
          </w:divBdr>
        </w:div>
        <w:div w:id="684788623">
          <w:marLeft w:val="0"/>
          <w:marRight w:val="0"/>
          <w:marTop w:val="0"/>
          <w:marBottom w:val="0"/>
          <w:divBdr>
            <w:top w:val="none" w:sz="0" w:space="0" w:color="auto"/>
            <w:left w:val="none" w:sz="0" w:space="0" w:color="auto"/>
            <w:bottom w:val="none" w:sz="0" w:space="0" w:color="auto"/>
            <w:right w:val="none" w:sz="0" w:space="0" w:color="auto"/>
          </w:divBdr>
        </w:div>
        <w:div w:id="689450141">
          <w:marLeft w:val="0"/>
          <w:marRight w:val="0"/>
          <w:marTop w:val="0"/>
          <w:marBottom w:val="0"/>
          <w:divBdr>
            <w:top w:val="none" w:sz="0" w:space="0" w:color="auto"/>
            <w:left w:val="none" w:sz="0" w:space="0" w:color="auto"/>
            <w:bottom w:val="none" w:sz="0" w:space="0" w:color="auto"/>
            <w:right w:val="none" w:sz="0" w:space="0" w:color="auto"/>
          </w:divBdr>
        </w:div>
        <w:div w:id="697199940">
          <w:marLeft w:val="0"/>
          <w:marRight w:val="0"/>
          <w:marTop w:val="0"/>
          <w:marBottom w:val="0"/>
          <w:divBdr>
            <w:top w:val="none" w:sz="0" w:space="0" w:color="auto"/>
            <w:left w:val="none" w:sz="0" w:space="0" w:color="auto"/>
            <w:bottom w:val="none" w:sz="0" w:space="0" w:color="auto"/>
            <w:right w:val="none" w:sz="0" w:space="0" w:color="auto"/>
          </w:divBdr>
        </w:div>
        <w:div w:id="701630691">
          <w:marLeft w:val="0"/>
          <w:marRight w:val="0"/>
          <w:marTop w:val="0"/>
          <w:marBottom w:val="0"/>
          <w:divBdr>
            <w:top w:val="none" w:sz="0" w:space="0" w:color="auto"/>
            <w:left w:val="none" w:sz="0" w:space="0" w:color="auto"/>
            <w:bottom w:val="none" w:sz="0" w:space="0" w:color="auto"/>
            <w:right w:val="none" w:sz="0" w:space="0" w:color="auto"/>
          </w:divBdr>
        </w:div>
        <w:div w:id="711811265">
          <w:marLeft w:val="0"/>
          <w:marRight w:val="0"/>
          <w:marTop w:val="0"/>
          <w:marBottom w:val="0"/>
          <w:divBdr>
            <w:top w:val="none" w:sz="0" w:space="0" w:color="auto"/>
            <w:left w:val="none" w:sz="0" w:space="0" w:color="auto"/>
            <w:bottom w:val="none" w:sz="0" w:space="0" w:color="auto"/>
            <w:right w:val="none" w:sz="0" w:space="0" w:color="auto"/>
          </w:divBdr>
        </w:div>
        <w:div w:id="726413052">
          <w:marLeft w:val="0"/>
          <w:marRight w:val="0"/>
          <w:marTop w:val="0"/>
          <w:marBottom w:val="0"/>
          <w:divBdr>
            <w:top w:val="none" w:sz="0" w:space="0" w:color="auto"/>
            <w:left w:val="none" w:sz="0" w:space="0" w:color="auto"/>
            <w:bottom w:val="none" w:sz="0" w:space="0" w:color="auto"/>
            <w:right w:val="none" w:sz="0" w:space="0" w:color="auto"/>
          </w:divBdr>
        </w:div>
        <w:div w:id="736437714">
          <w:marLeft w:val="0"/>
          <w:marRight w:val="0"/>
          <w:marTop w:val="0"/>
          <w:marBottom w:val="0"/>
          <w:divBdr>
            <w:top w:val="none" w:sz="0" w:space="0" w:color="auto"/>
            <w:left w:val="none" w:sz="0" w:space="0" w:color="auto"/>
            <w:bottom w:val="none" w:sz="0" w:space="0" w:color="auto"/>
            <w:right w:val="none" w:sz="0" w:space="0" w:color="auto"/>
          </w:divBdr>
        </w:div>
        <w:div w:id="750388593">
          <w:marLeft w:val="0"/>
          <w:marRight w:val="0"/>
          <w:marTop w:val="0"/>
          <w:marBottom w:val="0"/>
          <w:divBdr>
            <w:top w:val="none" w:sz="0" w:space="0" w:color="auto"/>
            <w:left w:val="none" w:sz="0" w:space="0" w:color="auto"/>
            <w:bottom w:val="none" w:sz="0" w:space="0" w:color="auto"/>
            <w:right w:val="none" w:sz="0" w:space="0" w:color="auto"/>
          </w:divBdr>
        </w:div>
        <w:div w:id="759838357">
          <w:marLeft w:val="0"/>
          <w:marRight w:val="0"/>
          <w:marTop w:val="0"/>
          <w:marBottom w:val="0"/>
          <w:divBdr>
            <w:top w:val="none" w:sz="0" w:space="0" w:color="auto"/>
            <w:left w:val="none" w:sz="0" w:space="0" w:color="auto"/>
            <w:bottom w:val="none" w:sz="0" w:space="0" w:color="auto"/>
            <w:right w:val="none" w:sz="0" w:space="0" w:color="auto"/>
          </w:divBdr>
        </w:div>
        <w:div w:id="869680083">
          <w:marLeft w:val="0"/>
          <w:marRight w:val="0"/>
          <w:marTop w:val="0"/>
          <w:marBottom w:val="0"/>
          <w:divBdr>
            <w:top w:val="none" w:sz="0" w:space="0" w:color="auto"/>
            <w:left w:val="none" w:sz="0" w:space="0" w:color="auto"/>
            <w:bottom w:val="none" w:sz="0" w:space="0" w:color="auto"/>
            <w:right w:val="none" w:sz="0" w:space="0" w:color="auto"/>
          </w:divBdr>
        </w:div>
        <w:div w:id="893739264">
          <w:marLeft w:val="0"/>
          <w:marRight w:val="0"/>
          <w:marTop w:val="0"/>
          <w:marBottom w:val="0"/>
          <w:divBdr>
            <w:top w:val="none" w:sz="0" w:space="0" w:color="auto"/>
            <w:left w:val="none" w:sz="0" w:space="0" w:color="auto"/>
            <w:bottom w:val="none" w:sz="0" w:space="0" w:color="auto"/>
            <w:right w:val="none" w:sz="0" w:space="0" w:color="auto"/>
          </w:divBdr>
        </w:div>
        <w:div w:id="893925017">
          <w:marLeft w:val="0"/>
          <w:marRight w:val="0"/>
          <w:marTop w:val="0"/>
          <w:marBottom w:val="0"/>
          <w:divBdr>
            <w:top w:val="none" w:sz="0" w:space="0" w:color="auto"/>
            <w:left w:val="none" w:sz="0" w:space="0" w:color="auto"/>
            <w:bottom w:val="none" w:sz="0" w:space="0" w:color="auto"/>
            <w:right w:val="none" w:sz="0" w:space="0" w:color="auto"/>
          </w:divBdr>
        </w:div>
        <w:div w:id="905804928">
          <w:marLeft w:val="0"/>
          <w:marRight w:val="0"/>
          <w:marTop w:val="0"/>
          <w:marBottom w:val="0"/>
          <w:divBdr>
            <w:top w:val="none" w:sz="0" w:space="0" w:color="auto"/>
            <w:left w:val="none" w:sz="0" w:space="0" w:color="auto"/>
            <w:bottom w:val="none" w:sz="0" w:space="0" w:color="auto"/>
            <w:right w:val="none" w:sz="0" w:space="0" w:color="auto"/>
          </w:divBdr>
        </w:div>
        <w:div w:id="1026522393">
          <w:marLeft w:val="0"/>
          <w:marRight w:val="0"/>
          <w:marTop w:val="0"/>
          <w:marBottom w:val="0"/>
          <w:divBdr>
            <w:top w:val="none" w:sz="0" w:space="0" w:color="auto"/>
            <w:left w:val="none" w:sz="0" w:space="0" w:color="auto"/>
            <w:bottom w:val="none" w:sz="0" w:space="0" w:color="auto"/>
            <w:right w:val="none" w:sz="0" w:space="0" w:color="auto"/>
          </w:divBdr>
        </w:div>
        <w:div w:id="1054082993">
          <w:marLeft w:val="0"/>
          <w:marRight w:val="0"/>
          <w:marTop w:val="0"/>
          <w:marBottom w:val="0"/>
          <w:divBdr>
            <w:top w:val="none" w:sz="0" w:space="0" w:color="auto"/>
            <w:left w:val="none" w:sz="0" w:space="0" w:color="auto"/>
            <w:bottom w:val="none" w:sz="0" w:space="0" w:color="auto"/>
            <w:right w:val="none" w:sz="0" w:space="0" w:color="auto"/>
          </w:divBdr>
        </w:div>
        <w:div w:id="1095711792">
          <w:marLeft w:val="0"/>
          <w:marRight w:val="0"/>
          <w:marTop w:val="0"/>
          <w:marBottom w:val="0"/>
          <w:divBdr>
            <w:top w:val="none" w:sz="0" w:space="0" w:color="auto"/>
            <w:left w:val="none" w:sz="0" w:space="0" w:color="auto"/>
            <w:bottom w:val="none" w:sz="0" w:space="0" w:color="auto"/>
            <w:right w:val="none" w:sz="0" w:space="0" w:color="auto"/>
          </w:divBdr>
        </w:div>
        <w:div w:id="1113129083">
          <w:marLeft w:val="0"/>
          <w:marRight w:val="0"/>
          <w:marTop w:val="0"/>
          <w:marBottom w:val="0"/>
          <w:divBdr>
            <w:top w:val="none" w:sz="0" w:space="0" w:color="auto"/>
            <w:left w:val="none" w:sz="0" w:space="0" w:color="auto"/>
            <w:bottom w:val="none" w:sz="0" w:space="0" w:color="auto"/>
            <w:right w:val="none" w:sz="0" w:space="0" w:color="auto"/>
          </w:divBdr>
        </w:div>
        <w:div w:id="1149442487">
          <w:marLeft w:val="0"/>
          <w:marRight w:val="0"/>
          <w:marTop w:val="0"/>
          <w:marBottom w:val="0"/>
          <w:divBdr>
            <w:top w:val="none" w:sz="0" w:space="0" w:color="auto"/>
            <w:left w:val="none" w:sz="0" w:space="0" w:color="auto"/>
            <w:bottom w:val="none" w:sz="0" w:space="0" w:color="auto"/>
            <w:right w:val="none" w:sz="0" w:space="0" w:color="auto"/>
          </w:divBdr>
        </w:div>
        <w:div w:id="1173030315">
          <w:marLeft w:val="0"/>
          <w:marRight w:val="0"/>
          <w:marTop w:val="0"/>
          <w:marBottom w:val="0"/>
          <w:divBdr>
            <w:top w:val="none" w:sz="0" w:space="0" w:color="auto"/>
            <w:left w:val="none" w:sz="0" w:space="0" w:color="auto"/>
            <w:bottom w:val="none" w:sz="0" w:space="0" w:color="auto"/>
            <w:right w:val="none" w:sz="0" w:space="0" w:color="auto"/>
          </w:divBdr>
        </w:div>
        <w:div w:id="1177958393">
          <w:marLeft w:val="0"/>
          <w:marRight w:val="0"/>
          <w:marTop w:val="0"/>
          <w:marBottom w:val="0"/>
          <w:divBdr>
            <w:top w:val="none" w:sz="0" w:space="0" w:color="auto"/>
            <w:left w:val="none" w:sz="0" w:space="0" w:color="auto"/>
            <w:bottom w:val="none" w:sz="0" w:space="0" w:color="auto"/>
            <w:right w:val="none" w:sz="0" w:space="0" w:color="auto"/>
          </w:divBdr>
        </w:div>
        <w:div w:id="1179082873">
          <w:marLeft w:val="0"/>
          <w:marRight w:val="0"/>
          <w:marTop w:val="0"/>
          <w:marBottom w:val="0"/>
          <w:divBdr>
            <w:top w:val="none" w:sz="0" w:space="0" w:color="auto"/>
            <w:left w:val="none" w:sz="0" w:space="0" w:color="auto"/>
            <w:bottom w:val="none" w:sz="0" w:space="0" w:color="auto"/>
            <w:right w:val="none" w:sz="0" w:space="0" w:color="auto"/>
          </w:divBdr>
        </w:div>
        <w:div w:id="1205675221">
          <w:marLeft w:val="0"/>
          <w:marRight w:val="0"/>
          <w:marTop w:val="0"/>
          <w:marBottom w:val="0"/>
          <w:divBdr>
            <w:top w:val="none" w:sz="0" w:space="0" w:color="auto"/>
            <w:left w:val="none" w:sz="0" w:space="0" w:color="auto"/>
            <w:bottom w:val="none" w:sz="0" w:space="0" w:color="auto"/>
            <w:right w:val="none" w:sz="0" w:space="0" w:color="auto"/>
          </w:divBdr>
        </w:div>
        <w:div w:id="1215964351">
          <w:marLeft w:val="0"/>
          <w:marRight w:val="0"/>
          <w:marTop w:val="0"/>
          <w:marBottom w:val="0"/>
          <w:divBdr>
            <w:top w:val="none" w:sz="0" w:space="0" w:color="auto"/>
            <w:left w:val="none" w:sz="0" w:space="0" w:color="auto"/>
            <w:bottom w:val="none" w:sz="0" w:space="0" w:color="auto"/>
            <w:right w:val="none" w:sz="0" w:space="0" w:color="auto"/>
          </w:divBdr>
        </w:div>
        <w:div w:id="1257982986">
          <w:marLeft w:val="0"/>
          <w:marRight w:val="0"/>
          <w:marTop w:val="0"/>
          <w:marBottom w:val="0"/>
          <w:divBdr>
            <w:top w:val="none" w:sz="0" w:space="0" w:color="auto"/>
            <w:left w:val="none" w:sz="0" w:space="0" w:color="auto"/>
            <w:bottom w:val="none" w:sz="0" w:space="0" w:color="auto"/>
            <w:right w:val="none" w:sz="0" w:space="0" w:color="auto"/>
          </w:divBdr>
        </w:div>
        <w:div w:id="1282423975">
          <w:marLeft w:val="0"/>
          <w:marRight w:val="0"/>
          <w:marTop w:val="0"/>
          <w:marBottom w:val="0"/>
          <w:divBdr>
            <w:top w:val="none" w:sz="0" w:space="0" w:color="auto"/>
            <w:left w:val="none" w:sz="0" w:space="0" w:color="auto"/>
            <w:bottom w:val="none" w:sz="0" w:space="0" w:color="auto"/>
            <w:right w:val="none" w:sz="0" w:space="0" w:color="auto"/>
          </w:divBdr>
        </w:div>
        <w:div w:id="1297301323">
          <w:marLeft w:val="0"/>
          <w:marRight w:val="0"/>
          <w:marTop w:val="0"/>
          <w:marBottom w:val="0"/>
          <w:divBdr>
            <w:top w:val="none" w:sz="0" w:space="0" w:color="auto"/>
            <w:left w:val="none" w:sz="0" w:space="0" w:color="auto"/>
            <w:bottom w:val="none" w:sz="0" w:space="0" w:color="auto"/>
            <w:right w:val="none" w:sz="0" w:space="0" w:color="auto"/>
          </w:divBdr>
        </w:div>
        <w:div w:id="1356036019">
          <w:marLeft w:val="0"/>
          <w:marRight w:val="0"/>
          <w:marTop w:val="0"/>
          <w:marBottom w:val="0"/>
          <w:divBdr>
            <w:top w:val="none" w:sz="0" w:space="0" w:color="auto"/>
            <w:left w:val="none" w:sz="0" w:space="0" w:color="auto"/>
            <w:bottom w:val="none" w:sz="0" w:space="0" w:color="auto"/>
            <w:right w:val="none" w:sz="0" w:space="0" w:color="auto"/>
          </w:divBdr>
        </w:div>
        <w:div w:id="1466003977">
          <w:marLeft w:val="0"/>
          <w:marRight w:val="0"/>
          <w:marTop w:val="0"/>
          <w:marBottom w:val="0"/>
          <w:divBdr>
            <w:top w:val="none" w:sz="0" w:space="0" w:color="auto"/>
            <w:left w:val="none" w:sz="0" w:space="0" w:color="auto"/>
            <w:bottom w:val="none" w:sz="0" w:space="0" w:color="auto"/>
            <w:right w:val="none" w:sz="0" w:space="0" w:color="auto"/>
          </w:divBdr>
        </w:div>
        <w:div w:id="1507204795">
          <w:marLeft w:val="0"/>
          <w:marRight w:val="0"/>
          <w:marTop w:val="0"/>
          <w:marBottom w:val="0"/>
          <w:divBdr>
            <w:top w:val="none" w:sz="0" w:space="0" w:color="auto"/>
            <w:left w:val="none" w:sz="0" w:space="0" w:color="auto"/>
            <w:bottom w:val="none" w:sz="0" w:space="0" w:color="auto"/>
            <w:right w:val="none" w:sz="0" w:space="0" w:color="auto"/>
          </w:divBdr>
        </w:div>
        <w:div w:id="1510830762">
          <w:marLeft w:val="0"/>
          <w:marRight w:val="0"/>
          <w:marTop w:val="0"/>
          <w:marBottom w:val="0"/>
          <w:divBdr>
            <w:top w:val="none" w:sz="0" w:space="0" w:color="auto"/>
            <w:left w:val="none" w:sz="0" w:space="0" w:color="auto"/>
            <w:bottom w:val="none" w:sz="0" w:space="0" w:color="auto"/>
            <w:right w:val="none" w:sz="0" w:space="0" w:color="auto"/>
          </w:divBdr>
        </w:div>
        <w:div w:id="1547913643">
          <w:marLeft w:val="0"/>
          <w:marRight w:val="0"/>
          <w:marTop w:val="0"/>
          <w:marBottom w:val="0"/>
          <w:divBdr>
            <w:top w:val="none" w:sz="0" w:space="0" w:color="auto"/>
            <w:left w:val="none" w:sz="0" w:space="0" w:color="auto"/>
            <w:bottom w:val="none" w:sz="0" w:space="0" w:color="auto"/>
            <w:right w:val="none" w:sz="0" w:space="0" w:color="auto"/>
          </w:divBdr>
        </w:div>
        <w:div w:id="1551577986">
          <w:marLeft w:val="0"/>
          <w:marRight w:val="0"/>
          <w:marTop w:val="0"/>
          <w:marBottom w:val="0"/>
          <w:divBdr>
            <w:top w:val="none" w:sz="0" w:space="0" w:color="auto"/>
            <w:left w:val="none" w:sz="0" w:space="0" w:color="auto"/>
            <w:bottom w:val="none" w:sz="0" w:space="0" w:color="auto"/>
            <w:right w:val="none" w:sz="0" w:space="0" w:color="auto"/>
          </w:divBdr>
        </w:div>
        <w:div w:id="1591281274">
          <w:marLeft w:val="0"/>
          <w:marRight w:val="0"/>
          <w:marTop w:val="0"/>
          <w:marBottom w:val="0"/>
          <w:divBdr>
            <w:top w:val="none" w:sz="0" w:space="0" w:color="auto"/>
            <w:left w:val="none" w:sz="0" w:space="0" w:color="auto"/>
            <w:bottom w:val="none" w:sz="0" w:space="0" w:color="auto"/>
            <w:right w:val="none" w:sz="0" w:space="0" w:color="auto"/>
          </w:divBdr>
        </w:div>
        <w:div w:id="1632202032">
          <w:marLeft w:val="0"/>
          <w:marRight w:val="0"/>
          <w:marTop w:val="0"/>
          <w:marBottom w:val="0"/>
          <w:divBdr>
            <w:top w:val="none" w:sz="0" w:space="0" w:color="auto"/>
            <w:left w:val="none" w:sz="0" w:space="0" w:color="auto"/>
            <w:bottom w:val="none" w:sz="0" w:space="0" w:color="auto"/>
            <w:right w:val="none" w:sz="0" w:space="0" w:color="auto"/>
          </w:divBdr>
        </w:div>
        <w:div w:id="1684549641">
          <w:marLeft w:val="0"/>
          <w:marRight w:val="0"/>
          <w:marTop w:val="0"/>
          <w:marBottom w:val="0"/>
          <w:divBdr>
            <w:top w:val="none" w:sz="0" w:space="0" w:color="auto"/>
            <w:left w:val="none" w:sz="0" w:space="0" w:color="auto"/>
            <w:bottom w:val="none" w:sz="0" w:space="0" w:color="auto"/>
            <w:right w:val="none" w:sz="0" w:space="0" w:color="auto"/>
          </w:divBdr>
        </w:div>
        <w:div w:id="1728871880">
          <w:marLeft w:val="0"/>
          <w:marRight w:val="0"/>
          <w:marTop w:val="0"/>
          <w:marBottom w:val="0"/>
          <w:divBdr>
            <w:top w:val="none" w:sz="0" w:space="0" w:color="auto"/>
            <w:left w:val="none" w:sz="0" w:space="0" w:color="auto"/>
            <w:bottom w:val="none" w:sz="0" w:space="0" w:color="auto"/>
            <w:right w:val="none" w:sz="0" w:space="0" w:color="auto"/>
          </w:divBdr>
        </w:div>
        <w:div w:id="1764450035">
          <w:marLeft w:val="0"/>
          <w:marRight w:val="0"/>
          <w:marTop w:val="0"/>
          <w:marBottom w:val="0"/>
          <w:divBdr>
            <w:top w:val="none" w:sz="0" w:space="0" w:color="auto"/>
            <w:left w:val="none" w:sz="0" w:space="0" w:color="auto"/>
            <w:bottom w:val="none" w:sz="0" w:space="0" w:color="auto"/>
            <w:right w:val="none" w:sz="0" w:space="0" w:color="auto"/>
          </w:divBdr>
        </w:div>
        <w:div w:id="1765221540">
          <w:marLeft w:val="0"/>
          <w:marRight w:val="0"/>
          <w:marTop w:val="0"/>
          <w:marBottom w:val="0"/>
          <w:divBdr>
            <w:top w:val="none" w:sz="0" w:space="0" w:color="auto"/>
            <w:left w:val="none" w:sz="0" w:space="0" w:color="auto"/>
            <w:bottom w:val="none" w:sz="0" w:space="0" w:color="auto"/>
            <w:right w:val="none" w:sz="0" w:space="0" w:color="auto"/>
          </w:divBdr>
        </w:div>
        <w:div w:id="1790540646">
          <w:marLeft w:val="0"/>
          <w:marRight w:val="0"/>
          <w:marTop w:val="0"/>
          <w:marBottom w:val="0"/>
          <w:divBdr>
            <w:top w:val="none" w:sz="0" w:space="0" w:color="auto"/>
            <w:left w:val="none" w:sz="0" w:space="0" w:color="auto"/>
            <w:bottom w:val="none" w:sz="0" w:space="0" w:color="auto"/>
            <w:right w:val="none" w:sz="0" w:space="0" w:color="auto"/>
          </w:divBdr>
        </w:div>
        <w:div w:id="1837839670">
          <w:marLeft w:val="0"/>
          <w:marRight w:val="0"/>
          <w:marTop w:val="0"/>
          <w:marBottom w:val="0"/>
          <w:divBdr>
            <w:top w:val="none" w:sz="0" w:space="0" w:color="auto"/>
            <w:left w:val="none" w:sz="0" w:space="0" w:color="auto"/>
            <w:bottom w:val="none" w:sz="0" w:space="0" w:color="auto"/>
            <w:right w:val="none" w:sz="0" w:space="0" w:color="auto"/>
          </w:divBdr>
        </w:div>
        <w:div w:id="1839926855">
          <w:marLeft w:val="0"/>
          <w:marRight w:val="0"/>
          <w:marTop w:val="0"/>
          <w:marBottom w:val="0"/>
          <w:divBdr>
            <w:top w:val="none" w:sz="0" w:space="0" w:color="auto"/>
            <w:left w:val="none" w:sz="0" w:space="0" w:color="auto"/>
            <w:bottom w:val="none" w:sz="0" w:space="0" w:color="auto"/>
            <w:right w:val="none" w:sz="0" w:space="0" w:color="auto"/>
          </w:divBdr>
        </w:div>
        <w:div w:id="1865437343">
          <w:marLeft w:val="0"/>
          <w:marRight w:val="0"/>
          <w:marTop w:val="0"/>
          <w:marBottom w:val="0"/>
          <w:divBdr>
            <w:top w:val="none" w:sz="0" w:space="0" w:color="auto"/>
            <w:left w:val="none" w:sz="0" w:space="0" w:color="auto"/>
            <w:bottom w:val="none" w:sz="0" w:space="0" w:color="auto"/>
            <w:right w:val="none" w:sz="0" w:space="0" w:color="auto"/>
          </w:divBdr>
        </w:div>
        <w:div w:id="1883128921">
          <w:marLeft w:val="0"/>
          <w:marRight w:val="0"/>
          <w:marTop w:val="0"/>
          <w:marBottom w:val="0"/>
          <w:divBdr>
            <w:top w:val="none" w:sz="0" w:space="0" w:color="auto"/>
            <w:left w:val="none" w:sz="0" w:space="0" w:color="auto"/>
            <w:bottom w:val="none" w:sz="0" w:space="0" w:color="auto"/>
            <w:right w:val="none" w:sz="0" w:space="0" w:color="auto"/>
          </w:divBdr>
        </w:div>
        <w:div w:id="1909802466">
          <w:marLeft w:val="0"/>
          <w:marRight w:val="0"/>
          <w:marTop w:val="0"/>
          <w:marBottom w:val="0"/>
          <w:divBdr>
            <w:top w:val="none" w:sz="0" w:space="0" w:color="auto"/>
            <w:left w:val="none" w:sz="0" w:space="0" w:color="auto"/>
            <w:bottom w:val="none" w:sz="0" w:space="0" w:color="auto"/>
            <w:right w:val="none" w:sz="0" w:space="0" w:color="auto"/>
          </w:divBdr>
        </w:div>
        <w:div w:id="2023389797">
          <w:marLeft w:val="0"/>
          <w:marRight w:val="0"/>
          <w:marTop w:val="0"/>
          <w:marBottom w:val="0"/>
          <w:divBdr>
            <w:top w:val="none" w:sz="0" w:space="0" w:color="auto"/>
            <w:left w:val="none" w:sz="0" w:space="0" w:color="auto"/>
            <w:bottom w:val="none" w:sz="0" w:space="0" w:color="auto"/>
            <w:right w:val="none" w:sz="0" w:space="0" w:color="auto"/>
          </w:divBdr>
        </w:div>
        <w:div w:id="2039547646">
          <w:marLeft w:val="0"/>
          <w:marRight w:val="0"/>
          <w:marTop w:val="0"/>
          <w:marBottom w:val="0"/>
          <w:divBdr>
            <w:top w:val="none" w:sz="0" w:space="0" w:color="auto"/>
            <w:left w:val="none" w:sz="0" w:space="0" w:color="auto"/>
            <w:bottom w:val="none" w:sz="0" w:space="0" w:color="auto"/>
            <w:right w:val="none" w:sz="0" w:space="0" w:color="auto"/>
          </w:divBdr>
        </w:div>
        <w:div w:id="2077782677">
          <w:marLeft w:val="0"/>
          <w:marRight w:val="0"/>
          <w:marTop w:val="0"/>
          <w:marBottom w:val="0"/>
          <w:divBdr>
            <w:top w:val="none" w:sz="0" w:space="0" w:color="auto"/>
            <w:left w:val="none" w:sz="0" w:space="0" w:color="auto"/>
            <w:bottom w:val="none" w:sz="0" w:space="0" w:color="auto"/>
            <w:right w:val="none" w:sz="0" w:space="0" w:color="auto"/>
          </w:divBdr>
        </w:div>
        <w:div w:id="2097364848">
          <w:marLeft w:val="0"/>
          <w:marRight w:val="0"/>
          <w:marTop w:val="0"/>
          <w:marBottom w:val="0"/>
          <w:divBdr>
            <w:top w:val="none" w:sz="0" w:space="0" w:color="auto"/>
            <w:left w:val="none" w:sz="0" w:space="0" w:color="auto"/>
            <w:bottom w:val="none" w:sz="0" w:space="0" w:color="auto"/>
            <w:right w:val="none" w:sz="0" w:space="0" w:color="auto"/>
          </w:divBdr>
        </w:div>
        <w:div w:id="2139373709">
          <w:marLeft w:val="0"/>
          <w:marRight w:val="0"/>
          <w:marTop w:val="0"/>
          <w:marBottom w:val="0"/>
          <w:divBdr>
            <w:top w:val="none" w:sz="0" w:space="0" w:color="auto"/>
            <w:left w:val="none" w:sz="0" w:space="0" w:color="auto"/>
            <w:bottom w:val="none" w:sz="0" w:space="0" w:color="auto"/>
            <w:right w:val="none" w:sz="0" w:space="0" w:color="auto"/>
          </w:divBdr>
        </w:div>
        <w:div w:id="2141217777">
          <w:marLeft w:val="0"/>
          <w:marRight w:val="0"/>
          <w:marTop w:val="0"/>
          <w:marBottom w:val="0"/>
          <w:divBdr>
            <w:top w:val="none" w:sz="0" w:space="0" w:color="auto"/>
            <w:left w:val="none" w:sz="0" w:space="0" w:color="auto"/>
            <w:bottom w:val="none" w:sz="0" w:space="0" w:color="auto"/>
            <w:right w:val="none" w:sz="0" w:space="0" w:color="auto"/>
          </w:divBdr>
        </w:div>
      </w:divsChild>
    </w:div>
    <w:div w:id="1397168327">
      <w:bodyDiv w:val="1"/>
      <w:marLeft w:val="0"/>
      <w:marRight w:val="0"/>
      <w:marTop w:val="0"/>
      <w:marBottom w:val="0"/>
      <w:divBdr>
        <w:top w:val="none" w:sz="0" w:space="0" w:color="auto"/>
        <w:left w:val="none" w:sz="0" w:space="0" w:color="auto"/>
        <w:bottom w:val="none" w:sz="0" w:space="0" w:color="auto"/>
        <w:right w:val="none" w:sz="0" w:space="0" w:color="auto"/>
      </w:divBdr>
    </w:div>
    <w:div w:id="1399864012">
      <w:bodyDiv w:val="1"/>
      <w:marLeft w:val="0"/>
      <w:marRight w:val="0"/>
      <w:marTop w:val="0"/>
      <w:marBottom w:val="0"/>
      <w:divBdr>
        <w:top w:val="none" w:sz="0" w:space="0" w:color="auto"/>
        <w:left w:val="none" w:sz="0" w:space="0" w:color="auto"/>
        <w:bottom w:val="none" w:sz="0" w:space="0" w:color="auto"/>
        <w:right w:val="none" w:sz="0" w:space="0" w:color="auto"/>
      </w:divBdr>
    </w:div>
    <w:div w:id="1400904401">
      <w:bodyDiv w:val="1"/>
      <w:marLeft w:val="0"/>
      <w:marRight w:val="0"/>
      <w:marTop w:val="0"/>
      <w:marBottom w:val="0"/>
      <w:divBdr>
        <w:top w:val="none" w:sz="0" w:space="0" w:color="auto"/>
        <w:left w:val="none" w:sz="0" w:space="0" w:color="auto"/>
        <w:bottom w:val="none" w:sz="0" w:space="0" w:color="auto"/>
        <w:right w:val="none" w:sz="0" w:space="0" w:color="auto"/>
      </w:divBdr>
    </w:div>
    <w:div w:id="1405490691">
      <w:bodyDiv w:val="1"/>
      <w:marLeft w:val="0"/>
      <w:marRight w:val="0"/>
      <w:marTop w:val="0"/>
      <w:marBottom w:val="0"/>
      <w:divBdr>
        <w:top w:val="none" w:sz="0" w:space="0" w:color="auto"/>
        <w:left w:val="none" w:sz="0" w:space="0" w:color="auto"/>
        <w:bottom w:val="none" w:sz="0" w:space="0" w:color="auto"/>
        <w:right w:val="none" w:sz="0" w:space="0" w:color="auto"/>
      </w:divBdr>
    </w:div>
    <w:div w:id="1408460970">
      <w:bodyDiv w:val="1"/>
      <w:marLeft w:val="0"/>
      <w:marRight w:val="0"/>
      <w:marTop w:val="0"/>
      <w:marBottom w:val="0"/>
      <w:divBdr>
        <w:top w:val="none" w:sz="0" w:space="0" w:color="auto"/>
        <w:left w:val="none" w:sz="0" w:space="0" w:color="auto"/>
        <w:bottom w:val="none" w:sz="0" w:space="0" w:color="auto"/>
        <w:right w:val="none" w:sz="0" w:space="0" w:color="auto"/>
      </w:divBdr>
    </w:div>
    <w:div w:id="1411732168">
      <w:bodyDiv w:val="1"/>
      <w:marLeft w:val="0"/>
      <w:marRight w:val="0"/>
      <w:marTop w:val="0"/>
      <w:marBottom w:val="0"/>
      <w:divBdr>
        <w:top w:val="none" w:sz="0" w:space="0" w:color="auto"/>
        <w:left w:val="none" w:sz="0" w:space="0" w:color="auto"/>
        <w:bottom w:val="none" w:sz="0" w:space="0" w:color="auto"/>
        <w:right w:val="none" w:sz="0" w:space="0" w:color="auto"/>
      </w:divBdr>
    </w:div>
    <w:div w:id="1416783176">
      <w:bodyDiv w:val="1"/>
      <w:marLeft w:val="0"/>
      <w:marRight w:val="0"/>
      <w:marTop w:val="0"/>
      <w:marBottom w:val="0"/>
      <w:divBdr>
        <w:top w:val="none" w:sz="0" w:space="0" w:color="auto"/>
        <w:left w:val="none" w:sz="0" w:space="0" w:color="auto"/>
        <w:bottom w:val="none" w:sz="0" w:space="0" w:color="auto"/>
        <w:right w:val="none" w:sz="0" w:space="0" w:color="auto"/>
      </w:divBdr>
    </w:div>
    <w:div w:id="1417677527">
      <w:bodyDiv w:val="1"/>
      <w:marLeft w:val="0"/>
      <w:marRight w:val="0"/>
      <w:marTop w:val="0"/>
      <w:marBottom w:val="0"/>
      <w:divBdr>
        <w:top w:val="none" w:sz="0" w:space="0" w:color="auto"/>
        <w:left w:val="none" w:sz="0" w:space="0" w:color="auto"/>
        <w:bottom w:val="none" w:sz="0" w:space="0" w:color="auto"/>
        <w:right w:val="none" w:sz="0" w:space="0" w:color="auto"/>
      </w:divBdr>
    </w:div>
    <w:div w:id="1418206237">
      <w:bodyDiv w:val="1"/>
      <w:marLeft w:val="0"/>
      <w:marRight w:val="0"/>
      <w:marTop w:val="0"/>
      <w:marBottom w:val="0"/>
      <w:divBdr>
        <w:top w:val="none" w:sz="0" w:space="0" w:color="auto"/>
        <w:left w:val="none" w:sz="0" w:space="0" w:color="auto"/>
        <w:bottom w:val="none" w:sz="0" w:space="0" w:color="auto"/>
        <w:right w:val="none" w:sz="0" w:space="0" w:color="auto"/>
      </w:divBdr>
    </w:div>
    <w:div w:id="1418943809">
      <w:bodyDiv w:val="1"/>
      <w:marLeft w:val="0"/>
      <w:marRight w:val="0"/>
      <w:marTop w:val="0"/>
      <w:marBottom w:val="0"/>
      <w:divBdr>
        <w:top w:val="none" w:sz="0" w:space="0" w:color="auto"/>
        <w:left w:val="none" w:sz="0" w:space="0" w:color="auto"/>
        <w:bottom w:val="none" w:sz="0" w:space="0" w:color="auto"/>
        <w:right w:val="none" w:sz="0" w:space="0" w:color="auto"/>
      </w:divBdr>
    </w:div>
    <w:div w:id="1428189668">
      <w:bodyDiv w:val="1"/>
      <w:marLeft w:val="0"/>
      <w:marRight w:val="0"/>
      <w:marTop w:val="0"/>
      <w:marBottom w:val="0"/>
      <w:divBdr>
        <w:top w:val="none" w:sz="0" w:space="0" w:color="auto"/>
        <w:left w:val="none" w:sz="0" w:space="0" w:color="auto"/>
        <w:bottom w:val="none" w:sz="0" w:space="0" w:color="auto"/>
        <w:right w:val="none" w:sz="0" w:space="0" w:color="auto"/>
      </w:divBdr>
    </w:div>
    <w:div w:id="1430390623">
      <w:bodyDiv w:val="1"/>
      <w:marLeft w:val="0"/>
      <w:marRight w:val="0"/>
      <w:marTop w:val="0"/>
      <w:marBottom w:val="0"/>
      <w:divBdr>
        <w:top w:val="none" w:sz="0" w:space="0" w:color="auto"/>
        <w:left w:val="none" w:sz="0" w:space="0" w:color="auto"/>
        <w:bottom w:val="none" w:sz="0" w:space="0" w:color="auto"/>
        <w:right w:val="none" w:sz="0" w:space="0" w:color="auto"/>
      </w:divBdr>
    </w:div>
    <w:div w:id="1431655823">
      <w:bodyDiv w:val="1"/>
      <w:marLeft w:val="0"/>
      <w:marRight w:val="0"/>
      <w:marTop w:val="0"/>
      <w:marBottom w:val="0"/>
      <w:divBdr>
        <w:top w:val="none" w:sz="0" w:space="0" w:color="auto"/>
        <w:left w:val="none" w:sz="0" w:space="0" w:color="auto"/>
        <w:bottom w:val="none" w:sz="0" w:space="0" w:color="auto"/>
        <w:right w:val="none" w:sz="0" w:space="0" w:color="auto"/>
      </w:divBdr>
    </w:div>
    <w:div w:id="1432777147">
      <w:bodyDiv w:val="1"/>
      <w:marLeft w:val="0"/>
      <w:marRight w:val="0"/>
      <w:marTop w:val="0"/>
      <w:marBottom w:val="0"/>
      <w:divBdr>
        <w:top w:val="none" w:sz="0" w:space="0" w:color="auto"/>
        <w:left w:val="none" w:sz="0" w:space="0" w:color="auto"/>
        <w:bottom w:val="none" w:sz="0" w:space="0" w:color="auto"/>
        <w:right w:val="none" w:sz="0" w:space="0" w:color="auto"/>
      </w:divBdr>
    </w:div>
    <w:div w:id="1436628964">
      <w:bodyDiv w:val="1"/>
      <w:marLeft w:val="0"/>
      <w:marRight w:val="0"/>
      <w:marTop w:val="0"/>
      <w:marBottom w:val="0"/>
      <w:divBdr>
        <w:top w:val="none" w:sz="0" w:space="0" w:color="auto"/>
        <w:left w:val="none" w:sz="0" w:space="0" w:color="auto"/>
        <w:bottom w:val="none" w:sz="0" w:space="0" w:color="auto"/>
        <w:right w:val="none" w:sz="0" w:space="0" w:color="auto"/>
      </w:divBdr>
    </w:div>
    <w:div w:id="1437869837">
      <w:bodyDiv w:val="1"/>
      <w:marLeft w:val="0"/>
      <w:marRight w:val="0"/>
      <w:marTop w:val="0"/>
      <w:marBottom w:val="0"/>
      <w:divBdr>
        <w:top w:val="none" w:sz="0" w:space="0" w:color="auto"/>
        <w:left w:val="none" w:sz="0" w:space="0" w:color="auto"/>
        <w:bottom w:val="none" w:sz="0" w:space="0" w:color="auto"/>
        <w:right w:val="none" w:sz="0" w:space="0" w:color="auto"/>
      </w:divBdr>
    </w:div>
    <w:div w:id="1438521935">
      <w:bodyDiv w:val="1"/>
      <w:marLeft w:val="0"/>
      <w:marRight w:val="0"/>
      <w:marTop w:val="0"/>
      <w:marBottom w:val="0"/>
      <w:divBdr>
        <w:top w:val="none" w:sz="0" w:space="0" w:color="auto"/>
        <w:left w:val="none" w:sz="0" w:space="0" w:color="auto"/>
        <w:bottom w:val="none" w:sz="0" w:space="0" w:color="auto"/>
        <w:right w:val="none" w:sz="0" w:space="0" w:color="auto"/>
      </w:divBdr>
    </w:div>
    <w:div w:id="1444113228">
      <w:bodyDiv w:val="1"/>
      <w:marLeft w:val="0"/>
      <w:marRight w:val="0"/>
      <w:marTop w:val="0"/>
      <w:marBottom w:val="0"/>
      <w:divBdr>
        <w:top w:val="none" w:sz="0" w:space="0" w:color="auto"/>
        <w:left w:val="none" w:sz="0" w:space="0" w:color="auto"/>
        <w:bottom w:val="none" w:sz="0" w:space="0" w:color="auto"/>
        <w:right w:val="none" w:sz="0" w:space="0" w:color="auto"/>
      </w:divBdr>
    </w:div>
    <w:div w:id="1444181597">
      <w:bodyDiv w:val="1"/>
      <w:marLeft w:val="0"/>
      <w:marRight w:val="0"/>
      <w:marTop w:val="0"/>
      <w:marBottom w:val="0"/>
      <w:divBdr>
        <w:top w:val="none" w:sz="0" w:space="0" w:color="auto"/>
        <w:left w:val="none" w:sz="0" w:space="0" w:color="auto"/>
        <w:bottom w:val="none" w:sz="0" w:space="0" w:color="auto"/>
        <w:right w:val="none" w:sz="0" w:space="0" w:color="auto"/>
      </w:divBdr>
    </w:div>
    <w:div w:id="1445539282">
      <w:bodyDiv w:val="1"/>
      <w:marLeft w:val="0"/>
      <w:marRight w:val="0"/>
      <w:marTop w:val="0"/>
      <w:marBottom w:val="0"/>
      <w:divBdr>
        <w:top w:val="none" w:sz="0" w:space="0" w:color="auto"/>
        <w:left w:val="none" w:sz="0" w:space="0" w:color="auto"/>
        <w:bottom w:val="none" w:sz="0" w:space="0" w:color="auto"/>
        <w:right w:val="none" w:sz="0" w:space="0" w:color="auto"/>
      </w:divBdr>
    </w:div>
    <w:div w:id="1446382368">
      <w:bodyDiv w:val="1"/>
      <w:marLeft w:val="0"/>
      <w:marRight w:val="0"/>
      <w:marTop w:val="0"/>
      <w:marBottom w:val="0"/>
      <w:divBdr>
        <w:top w:val="none" w:sz="0" w:space="0" w:color="auto"/>
        <w:left w:val="none" w:sz="0" w:space="0" w:color="auto"/>
        <w:bottom w:val="none" w:sz="0" w:space="0" w:color="auto"/>
        <w:right w:val="none" w:sz="0" w:space="0" w:color="auto"/>
      </w:divBdr>
    </w:div>
    <w:div w:id="1446466694">
      <w:bodyDiv w:val="1"/>
      <w:marLeft w:val="0"/>
      <w:marRight w:val="0"/>
      <w:marTop w:val="0"/>
      <w:marBottom w:val="0"/>
      <w:divBdr>
        <w:top w:val="none" w:sz="0" w:space="0" w:color="auto"/>
        <w:left w:val="none" w:sz="0" w:space="0" w:color="auto"/>
        <w:bottom w:val="none" w:sz="0" w:space="0" w:color="auto"/>
        <w:right w:val="none" w:sz="0" w:space="0" w:color="auto"/>
      </w:divBdr>
    </w:div>
    <w:div w:id="1447306653">
      <w:bodyDiv w:val="1"/>
      <w:marLeft w:val="0"/>
      <w:marRight w:val="0"/>
      <w:marTop w:val="0"/>
      <w:marBottom w:val="0"/>
      <w:divBdr>
        <w:top w:val="none" w:sz="0" w:space="0" w:color="auto"/>
        <w:left w:val="none" w:sz="0" w:space="0" w:color="auto"/>
        <w:bottom w:val="none" w:sz="0" w:space="0" w:color="auto"/>
        <w:right w:val="none" w:sz="0" w:space="0" w:color="auto"/>
      </w:divBdr>
      <w:divsChild>
        <w:div w:id="786897234">
          <w:marLeft w:val="0"/>
          <w:marRight w:val="0"/>
          <w:marTop w:val="0"/>
          <w:marBottom w:val="120"/>
          <w:divBdr>
            <w:top w:val="none" w:sz="0" w:space="0" w:color="auto"/>
            <w:left w:val="none" w:sz="0" w:space="0" w:color="auto"/>
            <w:bottom w:val="none" w:sz="0" w:space="0" w:color="auto"/>
            <w:right w:val="none" w:sz="0" w:space="0" w:color="auto"/>
          </w:divBdr>
          <w:divsChild>
            <w:div w:id="2088258126">
              <w:marLeft w:val="0"/>
              <w:marRight w:val="0"/>
              <w:marTop w:val="0"/>
              <w:marBottom w:val="0"/>
              <w:divBdr>
                <w:top w:val="none" w:sz="0" w:space="0" w:color="auto"/>
                <w:left w:val="none" w:sz="0" w:space="0" w:color="auto"/>
                <w:bottom w:val="none" w:sz="0" w:space="0" w:color="auto"/>
                <w:right w:val="none" w:sz="0" w:space="0" w:color="auto"/>
              </w:divBdr>
            </w:div>
          </w:divsChild>
        </w:div>
        <w:div w:id="1103651208">
          <w:marLeft w:val="0"/>
          <w:marRight w:val="0"/>
          <w:marTop w:val="0"/>
          <w:marBottom w:val="120"/>
          <w:divBdr>
            <w:top w:val="none" w:sz="0" w:space="0" w:color="auto"/>
            <w:left w:val="none" w:sz="0" w:space="0" w:color="auto"/>
            <w:bottom w:val="none" w:sz="0" w:space="0" w:color="auto"/>
            <w:right w:val="none" w:sz="0" w:space="0" w:color="auto"/>
          </w:divBdr>
          <w:divsChild>
            <w:div w:id="189688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160636">
      <w:bodyDiv w:val="1"/>
      <w:marLeft w:val="0"/>
      <w:marRight w:val="0"/>
      <w:marTop w:val="0"/>
      <w:marBottom w:val="0"/>
      <w:divBdr>
        <w:top w:val="none" w:sz="0" w:space="0" w:color="auto"/>
        <w:left w:val="none" w:sz="0" w:space="0" w:color="auto"/>
        <w:bottom w:val="none" w:sz="0" w:space="0" w:color="auto"/>
        <w:right w:val="none" w:sz="0" w:space="0" w:color="auto"/>
      </w:divBdr>
    </w:div>
    <w:div w:id="1450903305">
      <w:bodyDiv w:val="1"/>
      <w:marLeft w:val="0"/>
      <w:marRight w:val="0"/>
      <w:marTop w:val="0"/>
      <w:marBottom w:val="0"/>
      <w:divBdr>
        <w:top w:val="none" w:sz="0" w:space="0" w:color="auto"/>
        <w:left w:val="none" w:sz="0" w:space="0" w:color="auto"/>
        <w:bottom w:val="none" w:sz="0" w:space="0" w:color="auto"/>
        <w:right w:val="none" w:sz="0" w:space="0" w:color="auto"/>
      </w:divBdr>
    </w:div>
    <w:div w:id="1456681691">
      <w:bodyDiv w:val="1"/>
      <w:marLeft w:val="0"/>
      <w:marRight w:val="0"/>
      <w:marTop w:val="0"/>
      <w:marBottom w:val="0"/>
      <w:divBdr>
        <w:top w:val="none" w:sz="0" w:space="0" w:color="auto"/>
        <w:left w:val="none" w:sz="0" w:space="0" w:color="auto"/>
        <w:bottom w:val="none" w:sz="0" w:space="0" w:color="auto"/>
        <w:right w:val="none" w:sz="0" w:space="0" w:color="auto"/>
      </w:divBdr>
    </w:div>
    <w:div w:id="1468015111">
      <w:bodyDiv w:val="1"/>
      <w:marLeft w:val="0"/>
      <w:marRight w:val="0"/>
      <w:marTop w:val="0"/>
      <w:marBottom w:val="0"/>
      <w:divBdr>
        <w:top w:val="none" w:sz="0" w:space="0" w:color="auto"/>
        <w:left w:val="none" w:sz="0" w:space="0" w:color="auto"/>
        <w:bottom w:val="none" w:sz="0" w:space="0" w:color="auto"/>
        <w:right w:val="none" w:sz="0" w:space="0" w:color="auto"/>
      </w:divBdr>
    </w:div>
    <w:div w:id="1470318824">
      <w:bodyDiv w:val="1"/>
      <w:marLeft w:val="0"/>
      <w:marRight w:val="0"/>
      <w:marTop w:val="0"/>
      <w:marBottom w:val="0"/>
      <w:divBdr>
        <w:top w:val="none" w:sz="0" w:space="0" w:color="auto"/>
        <w:left w:val="none" w:sz="0" w:space="0" w:color="auto"/>
        <w:bottom w:val="none" w:sz="0" w:space="0" w:color="auto"/>
        <w:right w:val="none" w:sz="0" w:space="0" w:color="auto"/>
      </w:divBdr>
    </w:div>
    <w:div w:id="1478111984">
      <w:bodyDiv w:val="1"/>
      <w:marLeft w:val="0"/>
      <w:marRight w:val="0"/>
      <w:marTop w:val="0"/>
      <w:marBottom w:val="0"/>
      <w:divBdr>
        <w:top w:val="none" w:sz="0" w:space="0" w:color="auto"/>
        <w:left w:val="none" w:sz="0" w:space="0" w:color="auto"/>
        <w:bottom w:val="none" w:sz="0" w:space="0" w:color="auto"/>
        <w:right w:val="none" w:sz="0" w:space="0" w:color="auto"/>
      </w:divBdr>
    </w:div>
    <w:div w:id="1490177016">
      <w:bodyDiv w:val="1"/>
      <w:marLeft w:val="0"/>
      <w:marRight w:val="0"/>
      <w:marTop w:val="0"/>
      <w:marBottom w:val="0"/>
      <w:divBdr>
        <w:top w:val="none" w:sz="0" w:space="0" w:color="auto"/>
        <w:left w:val="none" w:sz="0" w:space="0" w:color="auto"/>
        <w:bottom w:val="none" w:sz="0" w:space="0" w:color="auto"/>
        <w:right w:val="none" w:sz="0" w:space="0" w:color="auto"/>
      </w:divBdr>
    </w:div>
    <w:div w:id="1490711517">
      <w:bodyDiv w:val="1"/>
      <w:marLeft w:val="0"/>
      <w:marRight w:val="0"/>
      <w:marTop w:val="0"/>
      <w:marBottom w:val="0"/>
      <w:divBdr>
        <w:top w:val="none" w:sz="0" w:space="0" w:color="auto"/>
        <w:left w:val="none" w:sz="0" w:space="0" w:color="auto"/>
        <w:bottom w:val="none" w:sz="0" w:space="0" w:color="auto"/>
        <w:right w:val="none" w:sz="0" w:space="0" w:color="auto"/>
      </w:divBdr>
    </w:div>
    <w:div w:id="1500539258">
      <w:bodyDiv w:val="1"/>
      <w:marLeft w:val="0"/>
      <w:marRight w:val="0"/>
      <w:marTop w:val="0"/>
      <w:marBottom w:val="0"/>
      <w:divBdr>
        <w:top w:val="none" w:sz="0" w:space="0" w:color="auto"/>
        <w:left w:val="none" w:sz="0" w:space="0" w:color="auto"/>
        <w:bottom w:val="none" w:sz="0" w:space="0" w:color="auto"/>
        <w:right w:val="none" w:sz="0" w:space="0" w:color="auto"/>
      </w:divBdr>
    </w:div>
    <w:div w:id="1510950152">
      <w:bodyDiv w:val="1"/>
      <w:marLeft w:val="0"/>
      <w:marRight w:val="0"/>
      <w:marTop w:val="0"/>
      <w:marBottom w:val="0"/>
      <w:divBdr>
        <w:top w:val="none" w:sz="0" w:space="0" w:color="auto"/>
        <w:left w:val="none" w:sz="0" w:space="0" w:color="auto"/>
        <w:bottom w:val="none" w:sz="0" w:space="0" w:color="auto"/>
        <w:right w:val="none" w:sz="0" w:space="0" w:color="auto"/>
      </w:divBdr>
    </w:div>
    <w:div w:id="1512062333">
      <w:bodyDiv w:val="1"/>
      <w:marLeft w:val="0"/>
      <w:marRight w:val="0"/>
      <w:marTop w:val="0"/>
      <w:marBottom w:val="0"/>
      <w:divBdr>
        <w:top w:val="none" w:sz="0" w:space="0" w:color="auto"/>
        <w:left w:val="none" w:sz="0" w:space="0" w:color="auto"/>
        <w:bottom w:val="none" w:sz="0" w:space="0" w:color="auto"/>
        <w:right w:val="none" w:sz="0" w:space="0" w:color="auto"/>
      </w:divBdr>
    </w:div>
    <w:div w:id="1524442324">
      <w:bodyDiv w:val="1"/>
      <w:marLeft w:val="0"/>
      <w:marRight w:val="0"/>
      <w:marTop w:val="0"/>
      <w:marBottom w:val="0"/>
      <w:divBdr>
        <w:top w:val="none" w:sz="0" w:space="0" w:color="auto"/>
        <w:left w:val="none" w:sz="0" w:space="0" w:color="auto"/>
        <w:bottom w:val="none" w:sz="0" w:space="0" w:color="auto"/>
        <w:right w:val="none" w:sz="0" w:space="0" w:color="auto"/>
      </w:divBdr>
    </w:div>
    <w:div w:id="1524898635">
      <w:bodyDiv w:val="1"/>
      <w:marLeft w:val="0"/>
      <w:marRight w:val="0"/>
      <w:marTop w:val="0"/>
      <w:marBottom w:val="0"/>
      <w:divBdr>
        <w:top w:val="none" w:sz="0" w:space="0" w:color="auto"/>
        <w:left w:val="none" w:sz="0" w:space="0" w:color="auto"/>
        <w:bottom w:val="none" w:sz="0" w:space="0" w:color="auto"/>
        <w:right w:val="none" w:sz="0" w:space="0" w:color="auto"/>
      </w:divBdr>
    </w:div>
    <w:div w:id="1525165234">
      <w:bodyDiv w:val="1"/>
      <w:marLeft w:val="0"/>
      <w:marRight w:val="0"/>
      <w:marTop w:val="0"/>
      <w:marBottom w:val="0"/>
      <w:divBdr>
        <w:top w:val="none" w:sz="0" w:space="0" w:color="auto"/>
        <w:left w:val="none" w:sz="0" w:space="0" w:color="auto"/>
        <w:bottom w:val="none" w:sz="0" w:space="0" w:color="auto"/>
        <w:right w:val="none" w:sz="0" w:space="0" w:color="auto"/>
      </w:divBdr>
    </w:div>
    <w:div w:id="1532768917">
      <w:bodyDiv w:val="1"/>
      <w:marLeft w:val="0"/>
      <w:marRight w:val="0"/>
      <w:marTop w:val="0"/>
      <w:marBottom w:val="0"/>
      <w:divBdr>
        <w:top w:val="none" w:sz="0" w:space="0" w:color="auto"/>
        <w:left w:val="none" w:sz="0" w:space="0" w:color="auto"/>
        <w:bottom w:val="none" w:sz="0" w:space="0" w:color="auto"/>
        <w:right w:val="none" w:sz="0" w:space="0" w:color="auto"/>
      </w:divBdr>
    </w:div>
    <w:div w:id="1535968081">
      <w:bodyDiv w:val="1"/>
      <w:marLeft w:val="0"/>
      <w:marRight w:val="0"/>
      <w:marTop w:val="0"/>
      <w:marBottom w:val="0"/>
      <w:divBdr>
        <w:top w:val="none" w:sz="0" w:space="0" w:color="auto"/>
        <w:left w:val="none" w:sz="0" w:space="0" w:color="auto"/>
        <w:bottom w:val="none" w:sz="0" w:space="0" w:color="auto"/>
        <w:right w:val="none" w:sz="0" w:space="0" w:color="auto"/>
      </w:divBdr>
    </w:div>
    <w:div w:id="1536960815">
      <w:bodyDiv w:val="1"/>
      <w:marLeft w:val="0"/>
      <w:marRight w:val="0"/>
      <w:marTop w:val="0"/>
      <w:marBottom w:val="0"/>
      <w:divBdr>
        <w:top w:val="none" w:sz="0" w:space="0" w:color="auto"/>
        <w:left w:val="none" w:sz="0" w:space="0" w:color="auto"/>
        <w:bottom w:val="none" w:sz="0" w:space="0" w:color="auto"/>
        <w:right w:val="none" w:sz="0" w:space="0" w:color="auto"/>
      </w:divBdr>
    </w:div>
    <w:div w:id="1537043745">
      <w:bodyDiv w:val="1"/>
      <w:marLeft w:val="0"/>
      <w:marRight w:val="0"/>
      <w:marTop w:val="0"/>
      <w:marBottom w:val="0"/>
      <w:divBdr>
        <w:top w:val="none" w:sz="0" w:space="0" w:color="auto"/>
        <w:left w:val="none" w:sz="0" w:space="0" w:color="auto"/>
        <w:bottom w:val="none" w:sz="0" w:space="0" w:color="auto"/>
        <w:right w:val="none" w:sz="0" w:space="0" w:color="auto"/>
      </w:divBdr>
    </w:div>
    <w:div w:id="1542395597">
      <w:bodyDiv w:val="1"/>
      <w:marLeft w:val="0"/>
      <w:marRight w:val="0"/>
      <w:marTop w:val="0"/>
      <w:marBottom w:val="0"/>
      <w:divBdr>
        <w:top w:val="none" w:sz="0" w:space="0" w:color="auto"/>
        <w:left w:val="none" w:sz="0" w:space="0" w:color="auto"/>
        <w:bottom w:val="none" w:sz="0" w:space="0" w:color="auto"/>
        <w:right w:val="none" w:sz="0" w:space="0" w:color="auto"/>
      </w:divBdr>
    </w:div>
    <w:div w:id="1548108202">
      <w:bodyDiv w:val="1"/>
      <w:marLeft w:val="0"/>
      <w:marRight w:val="0"/>
      <w:marTop w:val="0"/>
      <w:marBottom w:val="0"/>
      <w:divBdr>
        <w:top w:val="none" w:sz="0" w:space="0" w:color="auto"/>
        <w:left w:val="none" w:sz="0" w:space="0" w:color="auto"/>
        <w:bottom w:val="none" w:sz="0" w:space="0" w:color="auto"/>
        <w:right w:val="none" w:sz="0" w:space="0" w:color="auto"/>
      </w:divBdr>
    </w:div>
    <w:div w:id="1549611149">
      <w:bodyDiv w:val="1"/>
      <w:marLeft w:val="0"/>
      <w:marRight w:val="0"/>
      <w:marTop w:val="0"/>
      <w:marBottom w:val="0"/>
      <w:divBdr>
        <w:top w:val="none" w:sz="0" w:space="0" w:color="auto"/>
        <w:left w:val="none" w:sz="0" w:space="0" w:color="auto"/>
        <w:bottom w:val="none" w:sz="0" w:space="0" w:color="auto"/>
        <w:right w:val="none" w:sz="0" w:space="0" w:color="auto"/>
      </w:divBdr>
    </w:div>
    <w:div w:id="1552038625">
      <w:bodyDiv w:val="1"/>
      <w:marLeft w:val="0"/>
      <w:marRight w:val="0"/>
      <w:marTop w:val="0"/>
      <w:marBottom w:val="0"/>
      <w:divBdr>
        <w:top w:val="none" w:sz="0" w:space="0" w:color="auto"/>
        <w:left w:val="none" w:sz="0" w:space="0" w:color="auto"/>
        <w:bottom w:val="none" w:sz="0" w:space="0" w:color="auto"/>
        <w:right w:val="none" w:sz="0" w:space="0" w:color="auto"/>
      </w:divBdr>
    </w:div>
    <w:div w:id="1555391434">
      <w:bodyDiv w:val="1"/>
      <w:marLeft w:val="0"/>
      <w:marRight w:val="0"/>
      <w:marTop w:val="0"/>
      <w:marBottom w:val="0"/>
      <w:divBdr>
        <w:top w:val="none" w:sz="0" w:space="0" w:color="auto"/>
        <w:left w:val="none" w:sz="0" w:space="0" w:color="auto"/>
        <w:bottom w:val="none" w:sz="0" w:space="0" w:color="auto"/>
        <w:right w:val="none" w:sz="0" w:space="0" w:color="auto"/>
      </w:divBdr>
    </w:div>
    <w:div w:id="1556235229">
      <w:bodyDiv w:val="1"/>
      <w:marLeft w:val="0"/>
      <w:marRight w:val="0"/>
      <w:marTop w:val="0"/>
      <w:marBottom w:val="0"/>
      <w:divBdr>
        <w:top w:val="none" w:sz="0" w:space="0" w:color="auto"/>
        <w:left w:val="none" w:sz="0" w:space="0" w:color="auto"/>
        <w:bottom w:val="none" w:sz="0" w:space="0" w:color="auto"/>
        <w:right w:val="none" w:sz="0" w:space="0" w:color="auto"/>
      </w:divBdr>
    </w:div>
    <w:div w:id="1558323389">
      <w:bodyDiv w:val="1"/>
      <w:marLeft w:val="0"/>
      <w:marRight w:val="0"/>
      <w:marTop w:val="0"/>
      <w:marBottom w:val="0"/>
      <w:divBdr>
        <w:top w:val="none" w:sz="0" w:space="0" w:color="auto"/>
        <w:left w:val="none" w:sz="0" w:space="0" w:color="auto"/>
        <w:bottom w:val="none" w:sz="0" w:space="0" w:color="auto"/>
        <w:right w:val="none" w:sz="0" w:space="0" w:color="auto"/>
      </w:divBdr>
    </w:div>
    <w:div w:id="1558517194">
      <w:bodyDiv w:val="1"/>
      <w:marLeft w:val="0"/>
      <w:marRight w:val="0"/>
      <w:marTop w:val="0"/>
      <w:marBottom w:val="0"/>
      <w:divBdr>
        <w:top w:val="none" w:sz="0" w:space="0" w:color="auto"/>
        <w:left w:val="none" w:sz="0" w:space="0" w:color="auto"/>
        <w:bottom w:val="none" w:sz="0" w:space="0" w:color="auto"/>
        <w:right w:val="none" w:sz="0" w:space="0" w:color="auto"/>
      </w:divBdr>
      <w:divsChild>
        <w:div w:id="509569571">
          <w:marLeft w:val="0"/>
          <w:marRight w:val="0"/>
          <w:marTop w:val="0"/>
          <w:marBottom w:val="120"/>
          <w:divBdr>
            <w:top w:val="none" w:sz="0" w:space="0" w:color="auto"/>
            <w:left w:val="none" w:sz="0" w:space="0" w:color="auto"/>
            <w:bottom w:val="none" w:sz="0" w:space="0" w:color="auto"/>
            <w:right w:val="none" w:sz="0" w:space="0" w:color="auto"/>
          </w:divBdr>
          <w:divsChild>
            <w:div w:id="1775133380">
              <w:marLeft w:val="0"/>
              <w:marRight w:val="0"/>
              <w:marTop w:val="0"/>
              <w:marBottom w:val="0"/>
              <w:divBdr>
                <w:top w:val="none" w:sz="0" w:space="0" w:color="auto"/>
                <w:left w:val="none" w:sz="0" w:space="0" w:color="auto"/>
                <w:bottom w:val="none" w:sz="0" w:space="0" w:color="auto"/>
                <w:right w:val="none" w:sz="0" w:space="0" w:color="auto"/>
              </w:divBdr>
            </w:div>
          </w:divsChild>
        </w:div>
        <w:div w:id="1819296712">
          <w:marLeft w:val="0"/>
          <w:marRight w:val="0"/>
          <w:marTop w:val="0"/>
          <w:marBottom w:val="120"/>
          <w:divBdr>
            <w:top w:val="none" w:sz="0" w:space="0" w:color="auto"/>
            <w:left w:val="none" w:sz="0" w:space="0" w:color="auto"/>
            <w:bottom w:val="none" w:sz="0" w:space="0" w:color="auto"/>
            <w:right w:val="none" w:sz="0" w:space="0" w:color="auto"/>
          </w:divBdr>
          <w:divsChild>
            <w:div w:id="1669795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803512">
      <w:bodyDiv w:val="1"/>
      <w:marLeft w:val="0"/>
      <w:marRight w:val="0"/>
      <w:marTop w:val="0"/>
      <w:marBottom w:val="0"/>
      <w:divBdr>
        <w:top w:val="none" w:sz="0" w:space="0" w:color="auto"/>
        <w:left w:val="none" w:sz="0" w:space="0" w:color="auto"/>
        <w:bottom w:val="none" w:sz="0" w:space="0" w:color="auto"/>
        <w:right w:val="none" w:sz="0" w:space="0" w:color="auto"/>
      </w:divBdr>
    </w:div>
    <w:div w:id="1569728435">
      <w:bodyDiv w:val="1"/>
      <w:marLeft w:val="0"/>
      <w:marRight w:val="0"/>
      <w:marTop w:val="0"/>
      <w:marBottom w:val="0"/>
      <w:divBdr>
        <w:top w:val="none" w:sz="0" w:space="0" w:color="auto"/>
        <w:left w:val="none" w:sz="0" w:space="0" w:color="auto"/>
        <w:bottom w:val="none" w:sz="0" w:space="0" w:color="auto"/>
        <w:right w:val="none" w:sz="0" w:space="0" w:color="auto"/>
      </w:divBdr>
    </w:div>
    <w:div w:id="1572885639">
      <w:bodyDiv w:val="1"/>
      <w:marLeft w:val="0"/>
      <w:marRight w:val="0"/>
      <w:marTop w:val="0"/>
      <w:marBottom w:val="0"/>
      <w:divBdr>
        <w:top w:val="none" w:sz="0" w:space="0" w:color="auto"/>
        <w:left w:val="none" w:sz="0" w:space="0" w:color="auto"/>
        <w:bottom w:val="none" w:sz="0" w:space="0" w:color="auto"/>
        <w:right w:val="none" w:sz="0" w:space="0" w:color="auto"/>
      </w:divBdr>
      <w:divsChild>
        <w:div w:id="1060635167">
          <w:marLeft w:val="0"/>
          <w:marRight w:val="0"/>
          <w:marTop w:val="0"/>
          <w:marBottom w:val="0"/>
          <w:divBdr>
            <w:top w:val="none" w:sz="0" w:space="0" w:color="auto"/>
            <w:left w:val="none" w:sz="0" w:space="0" w:color="auto"/>
            <w:bottom w:val="none" w:sz="0" w:space="0" w:color="auto"/>
            <w:right w:val="none" w:sz="0" w:space="0" w:color="auto"/>
          </w:divBdr>
        </w:div>
        <w:div w:id="1287270835">
          <w:marLeft w:val="0"/>
          <w:marRight w:val="0"/>
          <w:marTop w:val="0"/>
          <w:marBottom w:val="0"/>
          <w:divBdr>
            <w:top w:val="none" w:sz="0" w:space="0" w:color="auto"/>
            <w:left w:val="none" w:sz="0" w:space="0" w:color="auto"/>
            <w:bottom w:val="none" w:sz="0" w:space="0" w:color="auto"/>
            <w:right w:val="none" w:sz="0" w:space="0" w:color="auto"/>
          </w:divBdr>
        </w:div>
      </w:divsChild>
    </w:div>
    <w:div w:id="1574463707">
      <w:bodyDiv w:val="1"/>
      <w:marLeft w:val="0"/>
      <w:marRight w:val="0"/>
      <w:marTop w:val="0"/>
      <w:marBottom w:val="0"/>
      <w:divBdr>
        <w:top w:val="none" w:sz="0" w:space="0" w:color="auto"/>
        <w:left w:val="none" w:sz="0" w:space="0" w:color="auto"/>
        <w:bottom w:val="none" w:sz="0" w:space="0" w:color="auto"/>
        <w:right w:val="none" w:sz="0" w:space="0" w:color="auto"/>
      </w:divBdr>
    </w:div>
    <w:div w:id="1574855445">
      <w:bodyDiv w:val="1"/>
      <w:marLeft w:val="0"/>
      <w:marRight w:val="0"/>
      <w:marTop w:val="0"/>
      <w:marBottom w:val="0"/>
      <w:divBdr>
        <w:top w:val="none" w:sz="0" w:space="0" w:color="auto"/>
        <w:left w:val="none" w:sz="0" w:space="0" w:color="auto"/>
        <w:bottom w:val="none" w:sz="0" w:space="0" w:color="auto"/>
        <w:right w:val="none" w:sz="0" w:space="0" w:color="auto"/>
      </w:divBdr>
    </w:div>
    <w:div w:id="1574896952">
      <w:bodyDiv w:val="1"/>
      <w:marLeft w:val="0"/>
      <w:marRight w:val="0"/>
      <w:marTop w:val="0"/>
      <w:marBottom w:val="0"/>
      <w:divBdr>
        <w:top w:val="none" w:sz="0" w:space="0" w:color="auto"/>
        <w:left w:val="none" w:sz="0" w:space="0" w:color="auto"/>
        <w:bottom w:val="none" w:sz="0" w:space="0" w:color="auto"/>
        <w:right w:val="none" w:sz="0" w:space="0" w:color="auto"/>
      </w:divBdr>
    </w:div>
    <w:div w:id="1581256332">
      <w:bodyDiv w:val="1"/>
      <w:marLeft w:val="0"/>
      <w:marRight w:val="0"/>
      <w:marTop w:val="0"/>
      <w:marBottom w:val="0"/>
      <w:divBdr>
        <w:top w:val="none" w:sz="0" w:space="0" w:color="auto"/>
        <w:left w:val="none" w:sz="0" w:space="0" w:color="auto"/>
        <w:bottom w:val="none" w:sz="0" w:space="0" w:color="auto"/>
        <w:right w:val="none" w:sz="0" w:space="0" w:color="auto"/>
      </w:divBdr>
      <w:divsChild>
        <w:div w:id="687566528">
          <w:marLeft w:val="446"/>
          <w:marRight w:val="0"/>
          <w:marTop w:val="0"/>
          <w:marBottom w:val="0"/>
          <w:divBdr>
            <w:top w:val="none" w:sz="0" w:space="0" w:color="auto"/>
            <w:left w:val="none" w:sz="0" w:space="0" w:color="auto"/>
            <w:bottom w:val="none" w:sz="0" w:space="0" w:color="auto"/>
            <w:right w:val="none" w:sz="0" w:space="0" w:color="auto"/>
          </w:divBdr>
        </w:div>
        <w:div w:id="1276518425">
          <w:marLeft w:val="446"/>
          <w:marRight w:val="0"/>
          <w:marTop w:val="0"/>
          <w:marBottom w:val="0"/>
          <w:divBdr>
            <w:top w:val="none" w:sz="0" w:space="0" w:color="auto"/>
            <w:left w:val="none" w:sz="0" w:space="0" w:color="auto"/>
            <w:bottom w:val="none" w:sz="0" w:space="0" w:color="auto"/>
            <w:right w:val="none" w:sz="0" w:space="0" w:color="auto"/>
          </w:divBdr>
        </w:div>
      </w:divsChild>
    </w:div>
    <w:div w:id="1588028818">
      <w:bodyDiv w:val="1"/>
      <w:marLeft w:val="0"/>
      <w:marRight w:val="0"/>
      <w:marTop w:val="0"/>
      <w:marBottom w:val="0"/>
      <w:divBdr>
        <w:top w:val="none" w:sz="0" w:space="0" w:color="auto"/>
        <w:left w:val="none" w:sz="0" w:space="0" w:color="auto"/>
        <w:bottom w:val="none" w:sz="0" w:space="0" w:color="auto"/>
        <w:right w:val="none" w:sz="0" w:space="0" w:color="auto"/>
      </w:divBdr>
    </w:div>
    <w:div w:id="1595166963">
      <w:bodyDiv w:val="1"/>
      <w:marLeft w:val="0"/>
      <w:marRight w:val="0"/>
      <w:marTop w:val="0"/>
      <w:marBottom w:val="0"/>
      <w:divBdr>
        <w:top w:val="none" w:sz="0" w:space="0" w:color="auto"/>
        <w:left w:val="none" w:sz="0" w:space="0" w:color="auto"/>
        <w:bottom w:val="none" w:sz="0" w:space="0" w:color="auto"/>
        <w:right w:val="none" w:sz="0" w:space="0" w:color="auto"/>
      </w:divBdr>
    </w:div>
    <w:div w:id="1596209163">
      <w:bodyDiv w:val="1"/>
      <w:marLeft w:val="0"/>
      <w:marRight w:val="0"/>
      <w:marTop w:val="0"/>
      <w:marBottom w:val="0"/>
      <w:divBdr>
        <w:top w:val="none" w:sz="0" w:space="0" w:color="auto"/>
        <w:left w:val="none" w:sz="0" w:space="0" w:color="auto"/>
        <w:bottom w:val="none" w:sz="0" w:space="0" w:color="auto"/>
        <w:right w:val="none" w:sz="0" w:space="0" w:color="auto"/>
      </w:divBdr>
    </w:div>
    <w:div w:id="1596746518">
      <w:bodyDiv w:val="1"/>
      <w:marLeft w:val="0"/>
      <w:marRight w:val="0"/>
      <w:marTop w:val="0"/>
      <w:marBottom w:val="0"/>
      <w:divBdr>
        <w:top w:val="none" w:sz="0" w:space="0" w:color="auto"/>
        <w:left w:val="none" w:sz="0" w:space="0" w:color="auto"/>
        <w:bottom w:val="none" w:sz="0" w:space="0" w:color="auto"/>
        <w:right w:val="none" w:sz="0" w:space="0" w:color="auto"/>
      </w:divBdr>
    </w:div>
    <w:div w:id="1605454194">
      <w:bodyDiv w:val="1"/>
      <w:marLeft w:val="0"/>
      <w:marRight w:val="0"/>
      <w:marTop w:val="0"/>
      <w:marBottom w:val="0"/>
      <w:divBdr>
        <w:top w:val="none" w:sz="0" w:space="0" w:color="auto"/>
        <w:left w:val="none" w:sz="0" w:space="0" w:color="auto"/>
        <w:bottom w:val="none" w:sz="0" w:space="0" w:color="auto"/>
        <w:right w:val="none" w:sz="0" w:space="0" w:color="auto"/>
      </w:divBdr>
    </w:div>
    <w:div w:id="1612933018">
      <w:bodyDiv w:val="1"/>
      <w:marLeft w:val="0"/>
      <w:marRight w:val="0"/>
      <w:marTop w:val="0"/>
      <w:marBottom w:val="0"/>
      <w:divBdr>
        <w:top w:val="none" w:sz="0" w:space="0" w:color="auto"/>
        <w:left w:val="none" w:sz="0" w:space="0" w:color="auto"/>
        <w:bottom w:val="none" w:sz="0" w:space="0" w:color="auto"/>
        <w:right w:val="none" w:sz="0" w:space="0" w:color="auto"/>
      </w:divBdr>
    </w:div>
    <w:div w:id="1614701249">
      <w:bodyDiv w:val="1"/>
      <w:marLeft w:val="0"/>
      <w:marRight w:val="0"/>
      <w:marTop w:val="0"/>
      <w:marBottom w:val="0"/>
      <w:divBdr>
        <w:top w:val="none" w:sz="0" w:space="0" w:color="auto"/>
        <w:left w:val="none" w:sz="0" w:space="0" w:color="auto"/>
        <w:bottom w:val="none" w:sz="0" w:space="0" w:color="auto"/>
        <w:right w:val="none" w:sz="0" w:space="0" w:color="auto"/>
      </w:divBdr>
    </w:div>
    <w:div w:id="1615139078">
      <w:bodyDiv w:val="1"/>
      <w:marLeft w:val="0"/>
      <w:marRight w:val="0"/>
      <w:marTop w:val="0"/>
      <w:marBottom w:val="0"/>
      <w:divBdr>
        <w:top w:val="none" w:sz="0" w:space="0" w:color="auto"/>
        <w:left w:val="none" w:sz="0" w:space="0" w:color="auto"/>
        <w:bottom w:val="none" w:sz="0" w:space="0" w:color="auto"/>
        <w:right w:val="none" w:sz="0" w:space="0" w:color="auto"/>
      </w:divBdr>
    </w:div>
    <w:div w:id="1616206079">
      <w:bodyDiv w:val="1"/>
      <w:marLeft w:val="0"/>
      <w:marRight w:val="0"/>
      <w:marTop w:val="0"/>
      <w:marBottom w:val="0"/>
      <w:divBdr>
        <w:top w:val="none" w:sz="0" w:space="0" w:color="auto"/>
        <w:left w:val="none" w:sz="0" w:space="0" w:color="auto"/>
        <w:bottom w:val="none" w:sz="0" w:space="0" w:color="auto"/>
        <w:right w:val="none" w:sz="0" w:space="0" w:color="auto"/>
      </w:divBdr>
    </w:div>
    <w:div w:id="1618023060">
      <w:bodyDiv w:val="1"/>
      <w:marLeft w:val="0"/>
      <w:marRight w:val="0"/>
      <w:marTop w:val="0"/>
      <w:marBottom w:val="0"/>
      <w:divBdr>
        <w:top w:val="none" w:sz="0" w:space="0" w:color="auto"/>
        <w:left w:val="none" w:sz="0" w:space="0" w:color="auto"/>
        <w:bottom w:val="none" w:sz="0" w:space="0" w:color="auto"/>
        <w:right w:val="none" w:sz="0" w:space="0" w:color="auto"/>
      </w:divBdr>
    </w:div>
    <w:div w:id="1622102895">
      <w:bodyDiv w:val="1"/>
      <w:marLeft w:val="0"/>
      <w:marRight w:val="0"/>
      <w:marTop w:val="0"/>
      <w:marBottom w:val="0"/>
      <w:divBdr>
        <w:top w:val="none" w:sz="0" w:space="0" w:color="auto"/>
        <w:left w:val="none" w:sz="0" w:space="0" w:color="auto"/>
        <w:bottom w:val="none" w:sz="0" w:space="0" w:color="auto"/>
        <w:right w:val="none" w:sz="0" w:space="0" w:color="auto"/>
      </w:divBdr>
    </w:div>
    <w:div w:id="1628046800">
      <w:bodyDiv w:val="1"/>
      <w:marLeft w:val="0"/>
      <w:marRight w:val="0"/>
      <w:marTop w:val="0"/>
      <w:marBottom w:val="0"/>
      <w:divBdr>
        <w:top w:val="none" w:sz="0" w:space="0" w:color="auto"/>
        <w:left w:val="none" w:sz="0" w:space="0" w:color="auto"/>
        <w:bottom w:val="none" w:sz="0" w:space="0" w:color="auto"/>
        <w:right w:val="none" w:sz="0" w:space="0" w:color="auto"/>
      </w:divBdr>
    </w:div>
    <w:div w:id="1630013442">
      <w:bodyDiv w:val="1"/>
      <w:marLeft w:val="0"/>
      <w:marRight w:val="0"/>
      <w:marTop w:val="0"/>
      <w:marBottom w:val="0"/>
      <w:divBdr>
        <w:top w:val="none" w:sz="0" w:space="0" w:color="auto"/>
        <w:left w:val="none" w:sz="0" w:space="0" w:color="auto"/>
        <w:bottom w:val="none" w:sz="0" w:space="0" w:color="auto"/>
        <w:right w:val="none" w:sz="0" w:space="0" w:color="auto"/>
      </w:divBdr>
    </w:div>
    <w:div w:id="1638685534">
      <w:bodyDiv w:val="1"/>
      <w:marLeft w:val="0"/>
      <w:marRight w:val="0"/>
      <w:marTop w:val="0"/>
      <w:marBottom w:val="0"/>
      <w:divBdr>
        <w:top w:val="none" w:sz="0" w:space="0" w:color="auto"/>
        <w:left w:val="none" w:sz="0" w:space="0" w:color="auto"/>
        <w:bottom w:val="none" w:sz="0" w:space="0" w:color="auto"/>
        <w:right w:val="none" w:sz="0" w:space="0" w:color="auto"/>
      </w:divBdr>
    </w:div>
    <w:div w:id="1645116634">
      <w:bodyDiv w:val="1"/>
      <w:marLeft w:val="0"/>
      <w:marRight w:val="0"/>
      <w:marTop w:val="0"/>
      <w:marBottom w:val="0"/>
      <w:divBdr>
        <w:top w:val="none" w:sz="0" w:space="0" w:color="auto"/>
        <w:left w:val="none" w:sz="0" w:space="0" w:color="auto"/>
        <w:bottom w:val="none" w:sz="0" w:space="0" w:color="auto"/>
        <w:right w:val="none" w:sz="0" w:space="0" w:color="auto"/>
      </w:divBdr>
    </w:div>
    <w:div w:id="1645812341">
      <w:bodyDiv w:val="1"/>
      <w:marLeft w:val="0"/>
      <w:marRight w:val="0"/>
      <w:marTop w:val="0"/>
      <w:marBottom w:val="0"/>
      <w:divBdr>
        <w:top w:val="none" w:sz="0" w:space="0" w:color="auto"/>
        <w:left w:val="none" w:sz="0" w:space="0" w:color="auto"/>
        <w:bottom w:val="none" w:sz="0" w:space="0" w:color="auto"/>
        <w:right w:val="none" w:sz="0" w:space="0" w:color="auto"/>
      </w:divBdr>
    </w:div>
    <w:div w:id="1649162560">
      <w:bodyDiv w:val="1"/>
      <w:marLeft w:val="0"/>
      <w:marRight w:val="0"/>
      <w:marTop w:val="0"/>
      <w:marBottom w:val="0"/>
      <w:divBdr>
        <w:top w:val="none" w:sz="0" w:space="0" w:color="auto"/>
        <w:left w:val="none" w:sz="0" w:space="0" w:color="auto"/>
        <w:bottom w:val="none" w:sz="0" w:space="0" w:color="auto"/>
        <w:right w:val="none" w:sz="0" w:space="0" w:color="auto"/>
      </w:divBdr>
    </w:div>
    <w:div w:id="1651978424">
      <w:bodyDiv w:val="1"/>
      <w:marLeft w:val="0"/>
      <w:marRight w:val="0"/>
      <w:marTop w:val="0"/>
      <w:marBottom w:val="0"/>
      <w:divBdr>
        <w:top w:val="none" w:sz="0" w:space="0" w:color="auto"/>
        <w:left w:val="none" w:sz="0" w:space="0" w:color="auto"/>
        <w:bottom w:val="none" w:sz="0" w:space="0" w:color="auto"/>
        <w:right w:val="none" w:sz="0" w:space="0" w:color="auto"/>
      </w:divBdr>
    </w:div>
    <w:div w:id="1653216387">
      <w:bodyDiv w:val="1"/>
      <w:marLeft w:val="0"/>
      <w:marRight w:val="0"/>
      <w:marTop w:val="0"/>
      <w:marBottom w:val="0"/>
      <w:divBdr>
        <w:top w:val="none" w:sz="0" w:space="0" w:color="auto"/>
        <w:left w:val="none" w:sz="0" w:space="0" w:color="auto"/>
        <w:bottom w:val="none" w:sz="0" w:space="0" w:color="auto"/>
        <w:right w:val="none" w:sz="0" w:space="0" w:color="auto"/>
      </w:divBdr>
    </w:div>
    <w:div w:id="1664432302">
      <w:bodyDiv w:val="1"/>
      <w:marLeft w:val="0"/>
      <w:marRight w:val="0"/>
      <w:marTop w:val="0"/>
      <w:marBottom w:val="0"/>
      <w:divBdr>
        <w:top w:val="none" w:sz="0" w:space="0" w:color="auto"/>
        <w:left w:val="none" w:sz="0" w:space="0" w:color="auto"/>
        <w:bottom w:val="none" w:sz="0" w:space="0" w:color="auto"/>
        <w:right w:val="none" w:sz="0" w:space="0" w:color="auto"/>
      </w:divBdr>
    </w:div>
    <w:div w:id="1665476580">
      <w:bodyDiv w:val="1"/>
      <w:marLeft w:val="0"/>
      <w:marRight w:val="0"/>
      <w:marTop w:val="0"/>
      <w:marBottom w:val="0"/>
      <w:divBdr>
        <w:top w:val="none" w:sz="0" w:space="0" w:color="auto"/>
        <w:left w:val="none" w:sz="0" w:space="0" w:color="auto"/>
        <w:bottom w:val="none" w:sz="0" w:space="0" w:color="auto"/>
        <w:right w:val="none" w:sz="0" w:space="0" w:color="auto"/>
      </w:divBdr>
    </w:div>
    <w:div w:id="1666401100">
      <w:bodyDiv w:val="1"/>
      <w:marLeft w:val="0"/>
      <w:marRight w:val="0"/>
      <w:marTop w:val="0"/>
      <w:marBottom w:val="0"/>
      <w:divBdr>
        <w:top w:val="none" w:sz="0" w:space="0" w:color="auto"/>
        <w:left w:val="none" w:sz="0" w:space="0" w:color="auto"/>
        <w:bottom w:val="none" w:sz="0" w:space="0" w:color="auto"/>
        <w:right w:val="none" w:sz="0" w:space="0" w:color="auto"/>
      </w:divBdr>
    </w:div>
    <w:div w:id="1674911093">
      <w:bodyDiv w:val="1"/>
      <w:marLeft w:val="0"/>
      <w:marRight w:val="0"/>
      <w:marTop w:val="0"/>
      <w:marBottom w:val="0"/>
      <w:divBdr>
        <w:top w:val="none" w:sz="0" w:space="0" w:color="auto"/>
        <w:left w:val="none" w:sz="0" w:space="0" w:color="auto"/>
        <w:bottom w:val="none" w:sz="0" w:space="0" w:color="auto"/>
        <w:right w:val="none" w:sz="0" w:space="0" w:color="auto"/>
      </w:divBdr>
    </w:div>
    <w:div w:id="1679231580">
      <w:bodyDiv w:val="1"/>
      <w:marLeft w:val="0"/>
      <w:marRight w:val="0"/>
      <w:marTop w:val="0"/>
      <w:marBottom w:val="0"/>
      <w:divBdr>
        <w:top w:val="none" w:sz="0" w:space="0" w:color="auto"/>
        <w:left w:val="none" w:sz="0" w:space="0" w:color="auto"/>
        <w:bottom w:val="none" w:sz="0" w:space="0" w:color="auto"/>
        <w:right w:val="none" w:sz="0" w:space="0" w:color="auto"/>
      </w:divBdr>
    </w:div>
    <w:div w:id="1683891765">
      <w:bodyDiv w:val="1"/>
      <w:marLeft w:val="0"/>
      <w:marRight w:val="0"/>
      <w:marTop w:val="0"/>
      <w:marBottom w:val="0"/>
      <w:divBdr>
        <w:top w:val="none" w:sz="0" w:space="0" w:color="auto"/>
        <w:left w:val="none" w:sz="0" w:space="0" w:color="auto"/>
        <w:bottom w:val="none" w:sz="0" w:space="0" w:color="auto"/>
        <w:right w:val="none" w:sz="0" w:space="0" w:color="auto"/>
      </w:divBdr>
    </w:div>
    <w:div w:id="1686974895">
      <w:bodyDiv w:val="1"/>
      <w:marLeft w:val="0"/>
      <w:marRight w:val="0"/>
      <w:marTop w:val="0"/>
      <w:marBottom w:val="0"/>
      <w:divBdr>
        <w:top w:val="none" w:sz="0" w:space="0" w:color="auto"/>
        <w:left w:val="none" w:sz="0" w:space="0" w:color="auto"/>
        <w:bottom w:val="none" w:sz="0" w:space="0" w:color="auto"/>
        <w:right w:val="none" w:sz="0" w:space="0" w:color="auto"/>
      </w:divBdr>
    </w:div>
    <w:div w:id="1691445208">
      <w:bodyDiv w:val="1"/>
      <w:marLeft w:val="0"/>
      <w:marRight w:val="0"/>
      <w:marTop w:val="0"/>
      <w:marBottom w:val="0"/>
      <w:divBdr>
        <w:top w:val="none" w:sz="0" w:space="0" w:color="auto"/>
        <w:left w:val="none" w:sz="0" w:space="0" w:color="auto"/>
        <w:bottom w:val="none" w:sz="0" w:space="0" w:color="auto"/>
        <w:right w:val="none" w:sz="0" w:space="0" w:color="auto"/>
      </w:divBdr>
    </w:div>
    <w:div w:id="1692611626">
      <w:bodyDiv w:val="1"/>
      <w:marLeft w:val="0"/>
      <w:marRight w:val="0"/>
      <w:marTop w:val="0"/>
      <w:marBottom w:val="0"/>
      <w:divBdr>
        <w:top w:val="none" w:sz="0" w:space="0" w:color="auto"/>
        <w:left w:val="none" w:sz="0" w:space="0" w:color="auto"/>
        <w:bottom w:val="none" w:sz="0" w:space="0" w:color="auto"/>
        <w:right w:val="none" w:sz="0" w:space="0" w:color="auto"/>
      </w:divBdr>
    </w:div>
    <w:div w:id="1694458449">
      <w:bodyDiv w:val="1"/>
      <w:marLeft w:val="0"/>
      <w:marRight w:val="0"/>
      <w:marTop w:val="0"/>
      <w:marBottom w:val="0"/>
      <w:divBdr>
        <w:top w:val="none" w:sz="0" w:space="0" w:color="auto"/>
        <w:left w:val="none" w:sz="0" w:space="0" w:color="auto"/>
        <w:bottom w:val="none" w:sz="0" w:space="0" w:color="auto"/>
        <w:right w:val="none" w:sz="0" w:space="0" w:color="auto"/>
      </w:divBdr>
    </w:div>
    <w:div w:id="1695692013">
      <w:bodyDiv w:val="1"/>
      <w:marLeft w:val="0"/>
      <w:marRight w:val="0"/>
      <w:marTop w:val="0"/>
      <w:marBottom w:val="0"/>
      <w:divBdr>
        <w:top w:val="none" w:sz="0" w:space="0" w:color="auto"/>
        <w:left w:val="none" w:sz="0" w:space="0" w:color="auto"/>
        <w:bottom w:val="none" w:sz="0" w:space="0" w:color="auto"/>
        <w:right w:val="none" w:sz="0" w:space="0" w:color="auto"/>
      </w:divBdr>
    </w:div>
    <w:div w:id="1696955154">
      <w:bodyDiv w:val="1"/>
      <w:marLeft w:val="0"/>
      <w:marRight w:val="0"/>
      <w:marTop w:val="0"/>
      <w:marBottom w:val="0"/>
      <w:divBdr>
        <w:top w:val="none" w:sz="0" w:space="0" w:color="auto"/>
        <w:left w:val="none" w:sz="0" w:space="0" w:color="auto"/>
        <w:bottom w:val="none" w:sz="0" w:space="0" w:color="auto"/>
        <w:right w:val="none" w:sz="0" w:space="0" w:color="auto"/>
      </w:divBdr>
    </w:div>
    <w:div w:id="1697579782">
      <w:bodyDiv w:val="1"/>
      <w:marLeft w:val="0"/>
      <w:marRight w:val="0"/>
      <w:marTop w:val="0"/>
      <w:marBottom w:val="0"/>
      <w:divBdr>
        <w:top w:val="none" w:sz="0" w:space="0" w:color="auto"/>
        <w:left w:val="none" w:sz="0" w:space="0" w:color="auto"/>
        <w:bottom w:val="none" w:sz="0" w:space="0" w:color="auto"/>
        <w:right w:val="none" w:sz="0" w:space="0" w:color="auto"/>
      </w:divBdr>
    </w:div>
    <w:div w:id="1697807451">
      <w:bodyDiv w:val="1"/>
      <w:marLeft w:val="0"/>
      <w:marRight w:val="0"/>
      <w:marTop w:val="0"/>
      <w:marBottom w:val="0"/>
      <w:divBdr>
        <w:top w:val="none" w:sz="0" w:space="0" w:color="auto"/>
        <w:left w:val="none" w:sz="0" w:space="0" w:color="auto"/>
        <w:bottom w:val="none" w:sz="0" w:space="0" w:color="auto"/>
        <w:right w:val="none" w:sz="0" w:space="0" w:color="auto"/>
      </w:divBdr>
    </w:div>
    <w:div w:id="1699238680">
      <w:bodyDiv w:val="1"/>
      <w:marLeft w:val="0"/>
      <w:marRight w:val="0"/>
      <w:marTop w:val="0"/>
      <w:marBottom w:val="0"/>
      <w:divBdr>
        <w:top w:val="none" w:sz="0" w:space="0" w:color="auto"/>
        <w:left w:val="none" w:sz="0" w:space="0" w:color="auto"/>
        <w:bottom w:val="none" w:sz="0" w:space="0" w:color="auto"/>
        <w:right w:val="none" w:sz="0" w:space="0" w:color="auto"/>
      </w:divBdr>
    </w:div>
    <w:div w:id="1699771575">
      <w:bodyDiv w:val="1"/>
      <w:marLeft w:val="0"/>
      <w:marRight w:val="0"/>
      <w:marTop w:val="0"/>
      <w:marBottom w:val="0"/>
      <w:divBdr>
        <w:top w:val="none" w:sz="0" w:space="0" w:color="auto"/>
        <w:left w:val="none" w:sz="0" w:space="0" w:color="auto"/>
        <w:bottom w:val="none" w:sz="0" w:space="0" w:color="auto"/>
        <w:right w:val="none" w:sz="0" w:space="0" w:color="auto"/>
      </w:divBdr>
    </w:div>
    <w:div w:id="1700935655">
      <w:bodyDiv w:val="1"/>
      <w:marLeft w:val="0"/>
      <w:marRight w:val="0"/>
      <w:marTop w:val="0"/>
      <w:marBottom w:val="0"/>
      <w:divBdr>
        <w:top w:val="none" w:sz="0" w:space="0" w:color="auto"/>
        <w:left w:val="none" w:sz="0" w:space="0" w:color="auto"/>
        <w:bottom w:val="none" w:sz="0" w:space="0" w:color="auto"/>
        <w:right w:val="none" w:sz="0" w:space="0" w:color="auto"/>
      </w:divBdr>
    </w:div>
    <w:div w:id="1701393165">
      <w:bodyDiv w:val="1"/>
      <w:marLeft w:val="0"/>
      <w:marRight w:val="0"/>
      <w:marTop w:val="0"/>
      <w:marBottom w:val="0"/>
      <w:divBdr>
        <w:top w:val="none" w:sz="0" w:space="0" w:color="auto"/>
        <w:left w:val="none" w:sz="0" w:space="0" w:color="auto"/>
        <w:bottom w:val="none" w:sz="0" w:space="0" w:color="auto"/>
        <w:right w:val="none" w:sz="0" w:space="0" w:color="auto"/>
      </w:divBdr>
    </w:div>
    <w:div w:id="1703286837">
      <w:bodyDiv w:val="1"/>
      <w:marLeft w:val="0"/>
      <w:marRight w:val="0"/>
      <w:marTop w:val="0"/>
      <w:marBottom w:val="0"/>
      <w:divBdr>
        <w:top w:val="none" w:sz="0" w:space="0" w:color="auto"/>
        <w:left w:val="none" w:sz="0" w:space="0" w:color="auto"/>
        <w:bottom w:val="none" w:sz="0" w:space="0" w:color="auto"/>
        <w:right w:val="none" w:sz="0" w:space="0" w:color="auto"/>
      </w:divBdr>
    </w:div>
    <w:div w:id="1704402458">
      <w:bodyDiv w:val="1"/>
      <w:marLeft w:val="0"/>
      <w:marRight w:val="0"/>
      <w:marTop w:val="0"/>
      <w:marBottom w:val="0"/>
      <w:divBdr>
        <w:top w:val="none" w:sz="0" w:space="0" w:color="auto"/>
        <w:left w:val="none" w:sz="0" w:space="0" w:color="auto"/>
        <w:bottom w:val="none" w:sz="0" w:space="0" w:color="auto"/>
        <w:right w:val="none" w:sz="0" w:space="0" w:color="auto"/>
      </w:divBdr>
    </w:div>
    <w:div w:id="1708602926">
      <w:bodyDiv w:val="1"/>
      <w:marLeft w:val="0"/>
      <w:marRight w:val="0"/>
      <w:marTop w:val="0"/>
      <w:marBottom w:val="0"/>
      <w:divBdr>
        <w:top w:val="none" w:sz="0" w:space="0" w:color="auto"/>
        <w:left w:val="none" w:sz="0" w:space="0" w:color="auto"/>
        <w:bottom w:val="none" w:sz="0" w:space="0" w:color="auto"/>
        <w:right w:val="none" w:sz="0" w:space="0" w:color="auto"/>
      </w:divBdr>
    </w:div>
    <w:div w:id="1710104567">
      <w:bodyDiv w:val="1"/>
      <w:marLeft w:val="0"/>
      <w:marRight w:val="0"/>
      <w:marTop w:val="0"/>
      <w:marBottom w:val="0"/>
      <w:divBdr>
        <w:top w:val="none" w:sz="0" w:space="0" w:color="auto"/>
        <w:left w:val="none" w:sz="0" w:space="0" w:color="auto"/>
        <w:bottom w:val="none" w:sz="0" w:space="0" w:color="auto"/>
        <w:right w:val="none" w:sz="0" w:space="0" w:color="auto"/>
      </w:divBdr>
    </w:div>
    <w:div w:id="1729303327">
      <w:bodyDiv w:val="1"/>
      <w:marLeft w:val="0"/>
      <w:marRight w:val="0"/>
      <w:marTop w:val="0"/>
      <w:marBottom w:val="0"/>
      <w:divBdr>
        <w:top w:val="none" w:sz="0" w:space="0" w:color="auto"/>
        <w:left w:val="none" w:sz="0" w:space="0" w:color="auto"/>
        <w:bottom w:val="none" w:sz="0" w:space="0" w:color="auto"/>
        <w:right w:val="none" w:sz="0" w:space="0" w:color="auto"/>
      </w:divBdr>
    </w:div>
    <w:div w:id="1730416713">
      <w:bodyDiv w:val="1"/>
      <w:marLeft w:val="0"/>
      <w:marRight w:val="0"/>
      <w:marTop w:val="0"/>
      <w:marBottom w:val="0"/>
      <w:divBdr>
        <w:top w:val="none" w:sz="0" w:space="0" w:color="auto"/>
        <w:left w:val="none" w:sz="0" w:space="0" w:color="auto"/>
        <w:bottom w:val="none" w:sz="0" w:space="0" w:color="auto"/>
        <w:right w:val="none" w:sz="0" w:space="0" w:color="auto"/>
      </w:divBdr>
    </w:div>
    <w:div w:id="1730836011">
      <w:bodyDiv w:val="1"/>
      <w:marLeft w:val="0"/>
      <w:marRight w:val="0"/>
      <w:marTop w:val="0"/>
      <w:marBottom w:val="0"/>
      <w:divBdr>
        <w:top w:val="none" w:sz="0" w:space="0" w:color="auto"/>
        <w:left w:val="none" w:sz="0" w:space="0" w:color="auto"/>
        <w:bottom w:val="none" w:sz="0" w:space="0" w:color="auto"/>
        <w:right w:val="none" w:sz="0" w:space="0" w:color="auto"/>
      </w:divBdr>
    </w:div>
    <w:div w:id="1732146411">
      <w:bodyDiv w:val="1"/>
      <w:marLeft w:val="0"/>
      <w:marRight w:val="0"/>
      <w:marTop w:val="0"/>
      <w:marBottom w:val="0"/>
      <w:divBdr>
        <w:top w:val="none" w:sz="0" w:space="0" w:color="auto"/>
        <w:left w:val="none" w:sz="0" w:space="0" w:color="auto"/>
        <w:bottom w:val="none" w:sz="0" w:space="0" w:color="auto"/>
        <w:right w:val="none" w:sz="0" w:space="0" w:color="auto"/>
      </w:divBdr>
    </w:div>
    <w:div w:id="1733770721">
      <w:bodyDiv w:val="1"/>
      <w:marLeft w:val="0"/>
      <w:marRight w:val="0"/>
      <w:marTop w:val="0"/>
      <w:marBottom w:val="0"/>
      <w:divBdr>
        <w:top w:val="none" w:sz="0" w:space="0" w:color="auto"/>
        <w:left w:val="none" w:sz="0" w:space="0" w:color="auto"/>
        <w:bottom w:val="none" w:sz="0" w:space="0" w:color="auto"/>
        <w:right w:val="none" w:sz="0" w:space="0" w:color="auto"/>
      </w:divBdr>
    </w:div>
    <w:div w:id="1735739631">
      <w:bodyDiv w:val="1"/>
      <w:marLeft w:val="0"/>
      <w:marRight w:val="0"/>
      <w:marTop w:val="0"/>
      <w:marBottom w:val="0"/>
      <w:divBdr>
        <w:top w:val="none" w:sz="0" w:space="0" w:color="auto"/>
        <w:left w:val="none" w:sz="0" w:space="0" w:color="auto"/>
        <w:bottom w:val="none" w:sz="0" w:space="0" w:color="auto"/>
        <w:right w:val="none" w:sz="0" w:space="0" w:color="auto"/>
      </w:divBdr>
    </w:div>
    <w:div w:id="1736051641">
      <w:bodyDiv w:val="1"/>
      <w:marLeft w:val="0"/>
      <w:marRight w:val="0"/>
      <w:marTop w:val="0"/>
      <w:marBottom w:val="0"/>
      <w:divBdr>
        <w:top w:val="none" w:sz="0" w:space="0" w:color="auto"/>
        <w:left w:val="none" w:sz="0" w:space="0" w:color="auto"/>
        <w:bottom w:val="none" w:sz="0" w:space="0" w:color="auto"/>
        <w:right w:val="none" w:sz="0" w:space="0" w:color="auto"/>
      </w:divBdr>
    </w:div>
    <w:div w:id="1738019303">
      <w:bodyDiv w:val="1"/>
      <w:marLeft w:val="0"/>
      <w:marRight w:val="0"/>
      <w:marTop w:val="0"/>
      <w:marBottom w:val="0"/>
      <w:divBdr>
        <w:top w:val="none" w:sz="0" w:space="0" w:color="auto"/>
        <w:left w:val="none" w:sz="0" w:space="0" w:color="auto"/>
        <w:bottom w:val="none" w:sz="0" w:space="0" w:color="auto"/>
        <w:right w:val="none" w:sz="0" w:space="0" w:color="auto"/>
      </w:divBdr>
    </w:div>
    <w:div w:id="1750032287">
      <w:bodyDiv w:val="1"/>
      <w:marLeft w:val="0"/>
      <w:marRight w:val="0"/>
      <w:marTop w:val="0"/>
      <w:marBottom w:val="0"/>
      <w:divBdr>
        <w:top w:val="none" w:sz="0" w:space="0" w:color="auto"/>
        <w:left w:val="none" w:sz="0" w:space="0" w:color="auto"/>
        <w:bottom w:val="none" w:sz="0" w:space="0" w:color="auto"/>
        <w:right w:val="none" w:sz="0" w:space="0" w:color="auto"/>
      </w:divBdr>
    </w:div>
    <w:div w:id="1753162721">
      <w:bodyDiv w:val="1"/>
      <w:marLeft w:val="0"/>
      <w:marRight w:val="0"/>
      <w:marTop w:val="0"/>
      <w:marBottom w:val="0"/>
      <w:divBdr>
        <w:top w:val="none" w:sz="0" w:space="0" w:color="auto"/>
        <w:left w:val="none" w:sz="0" w:space="0" w:color="auto"/>
        <w:bottom w:val="none" w:sz="0" w:space="0" w:color="auto"/>
        <w:right w:val="none" w:sz="0" w:space="0" w:color="auto"/>
      </w:divBdr>
    </w:div>
    <w:div w:id="1754207693">
      <w:bodyDiv w:val="1"/>
      <w:marLeft w:val="0"/>
      <w:marRight w:val="0"/>
      <w:marTop w:val="0"/>
      <w:marBottom w:val="0"/>
      <w:divBdr>
        <w:top w:val="none" w:sz="0" w:space="0" w:color="auto"/>
        <w:left w:val="none" w:sz="0" w:space="0" w:color="auto"/>
        <w:bottom w:val="none" w:sz="0" w:space="0" w:color="auto"/>
        <w:right w:val="none" w:sz="0" w:space="0" w:color="auto"/>
      </w:divBdr>
    </w:div>
    <w:div w:id="1754624295">
      <w:bodyDiv w:val="1"/>
      <w:marLeft w:val="0"/>
      <w:marRight w:val="0"/>
      <w:marTop w:val="0"/>
      <w:marBottom w:val="0"/>
      <w:divBdr>
        <w:top w:val="none" w:sz="0" w:space="0" w:color="auto"/>
        <w:left w:val="none" w:sz="0" w:space="0" w:color="auto"/>
        <w:bottom w:val="none" w:sz="0" w:space="0" w:color="auto"/>
        <w:right w:val="none" w:sz="0" w:space="0" w:color="auto"/>
      </w:divBdr>
    </w:div>
    <w:div w:id="1761562876">
      <w:bodyDiv w:val="1"/>
      <w:marLeft w:val="0"/>
      <w:marRight w:val="0"/>
      <w:marTop w:val="0"/>
      <w:marBottom w:val="0"/>
      <w:divBdr>
        <w:top w:val="none" w:sz="0" w:space="0" w:color="auto"/>
        <w:left w:val="none" w:sz="0" w:space="0" w:color="auto"/>
        <w:bottom w:val="none" w:sz="0" w:space="0" w:color="auto"/>
        <w:right w:val="none" w:sz="0" w:space="0" w:color="auto"/>
      </w:divBdr>
    </w:div>
    <w:div w:id="1764111621">
      <w:bodyDiv w:val="1"/>
      <w:marLeft w:val="0"/>
      <w:marRight w:val="0"/>
      <w:marTop w:val="0"/>
      <w:marBottom w:val="0"/>
      <w:divBdr>
        <w:top w:val="none" w:sz="0" w:space="0" w:color="auto"/>
        <w:left w:val="none" w:sz="0" w:space="0" w:color="auto"/>
        <w:bottom w:val="none" w:sz="0" w:space="0" w:color="auto"/>
        <w:right w:val="none" w:sz="0" w:space="0" w:color="auto"/>
      </w:divBdr>
    </w:div>
    <w:div w:id="1764761478">
      <w:bodyDiv w:val="1"/>
      <w:marLeft w:val="0"/>
      <w:marRight w:val="0"/>
      <w:marTop w:val="0"/>
      <w:marBottom w:val="0"/>
      <w:divBdr>
        <w:top w:val="none" w:sz="0" w:space="0" w:color="auto"/>
        <w:left w:val="none" w:sz="0" w:space="0" w:color="auto"/>
        <w:bottom w:val="none" w:sz="0" w:space="0" w:color="auto"/>
        <w:right w:val="none" w:sz="0" w:space="0" w:color="auto"/>
      </w:divBdr>
    </w:div>
    <w:div w:id="1768311355">
      <w:bodyDiv w:val="1"/>
      <w:marLeft w:val="0"/>
      <w:marRight w:val="0"/>
      <w:marTop w:val="0"/>
      <w:marBottom w:val="0"/>
      <w:divBdr>
        <w:top w:val="none" w:sz="0" w:space="0" w:color="auto"/>
        <w:left w:val="none" w:sz="0" w:space="0" w:color="auto"/>
        <w:bottom w:val="none" w:sz="0" w:space="0" w:color="auto"/>
        <w:right w:val="none" w:sz="0" w:space="0" w:color="auto"/>
      </w:divBdr>
    </w:div>
    <w:div w:id="1769615153">
      <w:bodyDiv w:val="1"/>
      <w:marLeft w:val="0"/>
      <w:marRight w:val="0"/>
      <w:marTop w:val="0"/>
      <w:marBottom w:val="0"/>
      <w:divBdr>
        <w:top w:val="none" w:sz="0" w:space="0" w:color="auto"/>
        <w:left w:val="none" w:sz="0" w:space="0" w:color="auto"/>
        <w:bottom w:val="none" w:sz="0" w:space="0" w:color="auto"/>
        <w:right w:val="none" w:sz="0" w:space="0" w:color="auto"/>
      </w:divBdr>
    </w:div>
    <w:div w:id="1770926266">
      <w:bodyDiv w:val="1"/>
      <w:marLeft w:val="0"/>
      <w:marRight w:val="0"/>
      <w:marTop w:val="0"/>
      <w:marBottom w:val="0"/>
      <w:divBdr>
        <w:top w:val="none" w:sz="0" w:space="0" w:color="auto"/>
        <w:left w:val="none" w:sz="0" w:space="0" w:color="auto"/>
        <w:bottom w:val="none" w:sz="0" w:space="0" w:color="auto"/>
        <w:right w:val="none" w:sz="0" w:space="0" w:color="auto"/>
      </w:divBdr>
    </w:div>
    <w:div w:id="1775829331">
      <w:bodyDiv w:val="1"/>
      <w:marLeft w:val="0"/>
      <w:marRight w:val="0"/>
      <w:marTop w:val="0"/>
      <w:marBottom w:val="0"/>
      <w:divBdr>
        <w:top w:val="none" w:sz="0" w:space="0" w:color="auto"/>
        <w:left w:val="none" w:sz="0" w:space="0" w:color="auto"/>
        <w:bottom w:val="none" w:sz="0" w:space="0" w:color="auto"/>
        <w:right w:val="none" w:sz="0" w:space="0" w:color="auto"/>
      </w:divBdr>
    </w:div>
    <w:div w:id="1780953708">
      <w:bodyDiv w:val="1"/>
      <w:marLeft w:val="0"/>
      <w:marRight w:val="0"/>
      <w:marTop w:val="0"/>
      <w:marBottom w:val="0"/>
      <w:divBdr>
        <w:top w:val="none" w:sz="0" w:space="0" w:color="auto"/>
        <w:left w:val="none" w:sz="0" w:space="0" w:color="auto"/>
        <w:bottom w:val="none" w:sz="0" w:space="0" w:color="auto"/>
        <w:right w:val="none" w:sz="0" w:space="0" w:color="auto"/>
      </w:divBdr>
    </w:div>
    <w:div w:id="1781022861">
      <w:bodyDiv w:val="1"/>
      <w:marLeft w:val="0"/>
      <w:marRight w:val="0"/>
      <w:marTop w:val="0"/>
      <w:marBottom w:val="0"/>
      <w:divBdr>
        <w:top w:val="none" w:sz="0" w:space="0" w:color="auto"/>
        <w:left w:val="none" w:sz="0" w:space="0" w:color="auto"/>
        <w:bottom w:val="none" w:sz="0" w:space="0" w:color="auto"/>
        <w:right w:val="none" w:sz="0" w:space="0" w:color="auto"/>
      </w:divBdr>
    </w:div>
    <w:div w:id="1783575770">
      <w:bodyDiv w:val="1"/>
      <w:marLeft w:val="0"/>
      <w:marRight w:val="0"/>
      <w:marTop w:val="0"/>
      <w:marBottom w:val="0"/>
      <w:divBdr>
        <w:top w:val="none" w:sz="0" w:space="0" w:color="auto"/>
        <w:left w:val="none" w:sz="0" w:space="0" w:color="auto"/>
        <w:bottom w:val="none" w:sz="0" w:space="0" w:color="auto"/>
        <w:right w:val="none" w:sz="0" w:space="0" w:color="auto"/>
      </w:divBdr>
    </w:div>
    <w:div w:id="1784304801">
      <w:bodyDiv w:val="1"/>
      <w:marLeft w:val="0"/>
      <w:marRight w:val="0"/>
      <w:marTop w:val="0"/>
      <w:marBottom w:val="0"/>
      <w:divBdr>
        <w:top w:val="none" w:sz="0" w:space="0" w:color="auto"/>
        <w:left w:val="none" w:sz="0" w:space="0" w:color="auto"/>
        <w:bottom w:val="none" w:sz="0" w:space="0" w:color="auto"/>
        <w:right w:val="none" w:sz="0" w:space="0" w:color="auto"/>
      </w:divBdr>
    </w:div>
    <w:div w:id="1788309464">
      <w:bodyDiv w:val="1"/>
      <w:marLeft w:val="0"/>
      <w:marRight w:val="0"/>
      <w:marTop w:val="0"/>
      <w:marBottom w:val="0"/>
      <w:divBdr>
        <w:top w:val="none" w:sz="0" w:space="0" w:color="auto"/>
        <w:left w:val="none" w:sz="0" w:space="0" w:color="auto"/>
        <w:bottom w:val="none" w:sz="0" w:space="0" w:color="auto"/>
        <w:right w:val="none" w:sz="0" w:space="0" w:color="auto"/>
      </w:divBdr>
    </w:div>
    <w:div w:id="1790121017">
      <w:bodyDiv w:val="1"/>
      <w:marLeft w:val="0"/>
      <w:marRight w:val="0"/>
      <w:marTop w:val="0"/>
      <w:marBottom w:val="0"/>
      <w:divBdr>
        <w:top w:val="none" w:sz="0" w:space="0" w:color="auto"/>
        <w:left w:val="none" w:sz="0" w:space="0" w:color="auto"/>
        <w:bottom w:val="none" w:sz="0" w:space="0" w:color="auto"/>
        <w:right w:val="none" w:sz="0" w:space="0" w:color="auto"/>
      </w:divBdr>
    </w:div>
    <w:div w:id="1793133858">
      <w:bodyDiv w:val="1"/>
      <w:marLeft w:val="0"/>
      <w:marRight w:val="0"/>
      <w:marTop w:val="0"/>
      <w:marBottom w:val="0"/>
      <w:divBdr>
        <w:top w:val="none" w:sz="0" w:space="0" w:color="auto"/>
        <w:left w:val="none" w:sz="0" w:space="0" w:color="auto"/>
        <w:bottom w:val="none" w:sz="0" w:space="0" w:color="auto"/>
        <w:right w:val="none" w:sz="0" w:space="0" w:color="auto"/>
      </w:divBdr>
    </w:div>
    <w:div w:id="1796869767">
      <w:bodyDiv w:val="1"/>
      <w:marLeft w:val="0"/>
      <w:marRight w:val="0"/>
      <w:marTop w:val="0"/>
      <w:marBottom w:val="0"/>
      <w:divBdr>
        <w:top w:val="none" w:sz="0" w:space="0" w:color="auto"/>
        <w:left w:val="none" w:sz="0" w:space="0" w:color="auto"/>
        <w:bottom w:val="none" w:sz="0" w:space="0" w:color="auto"/>
        <w:right w:val="none" w:sz="0" w:space="0" w:color="auto"/>
      </w:divBdr>
    </w:div>
    <w:div w:id="1797407712">
      <w:bodyDiv w:val="1"/>
      <w:marLeft w:val="0"/>
      <w:marRight w:val="0"/>
      <w:marTop w:val="0"/>
      <w:marBottom w:val="0"/>
      <w:divBdr>
        <w:top w:val="none" w:sz="0" w:space="0" w:color="auto"/>
        <w:left w:val="none" w:sz="0" w:space="0" w:color="auto"/>
        <w:bottom w:val="none" w:sz="0" w:space="0" w:color="auto"/>
        <w:right w:val="none" w:sz="0" w:space="0" w:color="auto"/>
      </w:divBdr>
    </w:div>
    <w:div w:id="1801265069">
      <w:bodyDiv w:val="1"/>
      <w:marLeft w:val="0"/>
      <w:marRight w:val="0"/>
      <w:marTop w:val="0"/>
      <w:marBottom w:val="0"/>
      <w:divBdr>
        <w:top w:val="none" w:sz="0" w:space="0" w:color="auto"/>
        <w:left w:val="none" w:sz="0" w:space="0" w:color="auto"/>
        <w:bottom w:val="none" w:sz="0" w:space="0" w:color="auto"/>
        <w:right w:val="none" w:sz="0" w:space="0" w:color="auto"/>
      </w:divBdr>
    </w:div>
    <w:div w:id="1803840341">
      <w:bodyDiv w:val="1"/>
      <w:marLeft w:val="0"/>
      <w:marRight w:val="0"/>
      <w:marTop w:val="0"/>
      <w:marBottom w:val="0"/>
      <w:divBdr>
        <w:top w:val="none" w:sz="0" w:space="0" w:color="auto"/>
        <w:left w:val="none" w:sz="0" w:space="0" w:color="auto"/>
        <w:bottom w:val="none" w:sz="0" w:space="0" w:color="auto"/>
        <w:right w:val="none" w:sz="0" w:space="0" w:color="auto"/>
      </w:divBdr>
    </w:div>
    <w:div w:id="1804344432">
      <w:bodyDiv w:val="1"/>
      <w:marLeft w:val="0"/>
      <w:marRight w:val="0"/>
      <w:marTop w:val="0"/>
      <w:marBottom w:val="0"/>
      <w:divBdr>
        <w:top w:val="none" w:sz="0" w:space="0" w:color="auto"/>
        <w:left w:val="none" w:sz="0" w:space="0" w:color="auto"/>
        <w:bottom w:val="none" w:sz="0" w:space="0" w:color="auto"/>
        <w:right w:val="none" w:sz="0" w:space="0" w:color="auto"/>
      </w:divBdr>
    </w:div>
    <w:div w:id="1808861339">
      <w:bodyDiv w:val="1"/>
      <w:marLeft w:val="0"/>
      <w:marRight w:val="0"/>
      <w:marTop w:val="0"/>
      <w:marBottom w:val="0"/>
      <w:divBdr>
        <w:top w:val="none" w:sz="0" w:space="0" w:color="auto"/>
        <w:left w:val="none" w:sz="0" w:space="0" w:color="auto"/>
        <w:bottom w:val="none" w:sz="0" w:space="0" w:color="auto"/>
        <w:right w:val="none" w:sz="0" w:space="0" w:color="auto"/>
      </w:divBdr>
    </w:div>
    <w:div w:id="1811825500">
      <w:bodyDiv w:val="1"/>
      <w:marLeft w:val="0"/>
      <w:marRight w:val="0"/>
      <w:marTop w:val="0"/>
      <w:marBottom w:val="0"/>
      <w:divBdr>
        <w:top w:val="none" w:sz="0" w:space="0" w:color="auto"/>
        <w:left w:val="none" w:sz="0" w:space="0" w:color="auto"/>
        <w:bottom w:val="none" w:sz="0" w:space="0" w:color="auto"/>
        <w:right w:val="none" w:sz="0" w:space="0" w:color="auto"/>
      </w:divBdr>
    </w:div>
    <w:div w:id="1819178228">
      <w:bodyDiv w:val="1"/>
      <w:marLeft w:val="0"/>
      <w:marRight w:val="0"/>
      <w:marTop w:val="0"/>
      <w:marBottom w:val="0"/>
      <w:divBdr>
        <w:top w:val="none" w:sz="0" w:space="0" w:color="auto"/>
        <w:left w:val="none" w:sz="0" w:space="0" w:color="auto"/>
        <w:bottom w:val="none" w:sz="0" w:space="0" w:color="auto"/>
        <w:right w:val="none" w:sz="0" w:space="0" w:color="auto"/>
      </w:divBdr>
    </w:div>
    <w:div w:id="1820802678">
      <w:bodyDiv w:val="1"/>
      <w:marLeft w:val="0"/>
      <w:marRight w:val="0"/>
      <w:marTop w:val="0"/>
      <w:marBottom w:val="0"/>
      <w:divBdr>
        <w:top w:val="none" w:sz="0" w:space="0" w:color="auto"/>
        <w:left w:val="none" w:sz="0" w:space="0" w:color="auto"/>
        <w:bottom w:val="none" w:sz="0" w:space="0" w:color="auto"/>
        <w:right w:val="none" w:sz="0" w:space="0" w:color="auto"/>
      </w:divBdr>
    </w:div>
    <w:div w:id="1828400328">
      <w:bodyDiv w:val="1"/>
      <w:marLeft w:val="0"/>
      <w:marRight w:val="0"/>
      <w:marTop w:val="0"/>
      <w:marBottom w:val="0"/>
      <w:divBdr>
        <w:top w:val="none" w:sz="0" w:space="0" w:color="auto"/>
        <w:left w:val="none" w:sz="0" w:space="0" w:color="auto"/>
        <w:bottom w:val="none" w:sz="0" w:space="0" w:color="auto"/>
        <w:right w:val="none" w:sz="0" w:space="0" w:color="auto"/>
      </w:divBdr>
    </w:div>
    <w:div w:id="1830124905">
      <w:bodyDiv w:val="1"/>
      <w:marLeft w:val="0"/>
      <w:marRight w:val="0"/>
      <w:marTop w:val="0"/>
      <w:marBottom w:val="0"/>
      <w:divBdr>
        <w:top w:val="none" w:sz="0" w:space="0" w:color="auto"/>
        <w:left w:val="none" w:sz="0" w:space="0" w:color="auto"/>
        <w:bottom w:val="none" w:sz="0" w:space="0" w:color="auto"/>
        <w:right w:val="none" w:sz="0" w:space="0" w:color="auto"/>
      </w:divBdr>
    </w:div>
    <w:div w:id="1831166018">
      <w:bodyDiv w:val="1"/>
      <w:marLeft w:val="0"/>
      <w:marRight w:val="0"/>
      <w:marTop w:val="0"/>
      <w:marBottom w:val="0"/>
      <w:divBdr>
        <w:top w:val="none" w:sz="0" w:space="0" w:color="auto"/>
        <w:left w:val="none" w:sz="0" w:space="0" w:color="auto"/>
        <w:bottom w:val="none" w:sz="0" w:space="0" w:color="auto"/>
        <w:right w:val="none" w:sz="0" w:space="0" w:color="auto"/>
      </w:divBdr>
    </w:div>
    <w:div w:id="1831360460">
      <w:bodyDiv w:val="1"/>
      <w:marLeft w:val="0"/>
      <w:marRight w:val="0"/>
      <w:marTop w:val="0"/>
      <w:marBottom w:val="0"/>
      <w:divBdr>
        <w:top w:val="none" w:sz="0" w:space="0" w:color="auto"/>
        <w:left w:val="none" w:sz="0" w:space="0" w:color="auto"/>
        <w:bottom w:val="none" w:sz="0" w:space="0" w:color="auto"/>
        <w:right w:val="none" w:sz="0" w:space="0" w:color="auto"/>
      </w:divBdr>
    </w:div>
    <w:div w:id="1837450763">
      <w:bodyDiv w:val="1"/>
      <w:marLeft w:val="0"/>
      <w:marRight w:val="0"/>
      <w:marTop w:val="0"/>
      <w:marBottom w:val="0"/>
      <w:divBdr>
        <w:top w:val="none" w:sz="0" w:space="0" w:color="auto"/>
        <w:left w:val="none" w:sz="0" w:space="0" w:color="auto"/>
        <w:bottom w:val="none" w:sz="0" w:space="0" w:color="auto"/>
        <w:right w:val="none" w:sz="0" w:space="0" w:color="auto"/>
      </w:divBdr>
    </w:div>
    <w:div w:id="1838185740">
      <w:bodyDiv w:val="1"/>
      <w:marLeft w:val="0"/>
      <w:marRight w:val="0"/>
      <w:marTop w:val="0"/>
      <w:marBottom w:val="0"/>
      <w:divBdr>
        <w:top w:val="none" w:sz="0" w:space="0" w:color="auto"/>
        <w:left w:val="none" w:sz="0" w:space="0" w:color="auto"/>
        <w:bottom w:val="none" w:sz="0" w:space="0" w:color="auto"/>
        <w:right w:val="none" w:sz="0" w:space="0" w:color="auto"/>
      </w:divBdr>
    </w:div>
    <w:div w:id="1838422637">
      <w:bodyDiv w:val="1"/>
      <w:marLeft w:val="0"/>
      <w:marRight w:val="0"/>
      <w:marTop w:val="0"/>
      <w:marBottom w:val="0"/>
      <w:divBdr>
        <w:top w:val="none" w:sz="0" w:space="0" w:color="auto"/>
        <w:left w:val="none" w:sz="0" w:space="0" w:color="auto"/>
        <w:bottom w:val="none" w:sz="0" w:space="0" w:color="auto"/>
        <w:right w:val="none" w:sz="0" w:space="0" w:color="auto"/>
      </w:divBdr>
    </w:div>
    <w:div w:id="1842044365">
      <w:bodyDiv w:val="1"/>
      <w:marLeft w:val="0"/>
      <w:marRight w:val="0"/>
      <w:marTop w:val="0"/>
      <w:marBottom w:val="0"/>
      <w:divBdr>
        <w:top w:val="none" w:sz="0" w:space="0" w:color="auto"/>
        <w:left w:val="none" w:sz="0" w:space="0" w:color="auto"/>
        <w:bottom w:val="none" w:sz="0" w:space="0" w:color="auto"/>
        <w:right w:val="none" w:sz="0" w:space="0" w:color="auto"/>
      </w:divBdr>
    </w:div>
    <w:div w:id="1847479399">
      <w:bodyDiv w:val="1"/>
      <w:marLeft w:val="0"/>
      <w:marRight w:val="0"/>
      <w:marTop w:val="0"/>
      <w:marBottom w:val="0"/>
      <w:divBdr>
        <w:top w:val="none" w:sz="0" w:space="0" w:color="auto"/>
        <w:left w:val="none" w:sz="0" w:space="0" w:color="auto"/>
        <w:bottom w:val="none" w:sz="0" w:space="0" w:color="auto"/>
        <w:right w:val="none" w:sz="0" w:space="0" w:color="auto"/>
      </w:divBdr>
    </w:div>
    <w:div w:id="1850219573">
      <w:bodyDiv w:val="1"/>
      <w:marLeft w:val="0"/>
      <w:marRight w:val="0"/>
      <w:marTop w:val="0"/>
      <w:marBottom w:val="0"/>
      <w:divBdr>
        <w:top w:val="none" w:sz="0" w:space="0" w:color="auto"/>
        <w:left w:val="none" w:sz="0" w:space="0" w:color="auto"/>
        <w:bottom w:val="none" w:sz="0" w:space="0" w:color="auto"/>
        <w:right w:val="none" w:sz="0" w:space="0" w:color="auto"/>
      </w:divBdr>
    </w:div>
    <w:div w:id="1851793193">
      <w:bodyDiv w:val="1"/>
      <w:marLeft w:val="0"/>
      <w:marRight w:val="0"/>
      <w:marTop w:val="0"/>
      <w:marBottom w:val="0"/>
      <w:divBdr>
        <w:top w:val="none" w:sz="0" w:space="0" w:color="auto"/>
        <w:left w:val="none" w:sz="0" w:space="0" w:color="auto"/>
        <w:bottom w:val="none" w:sz="0" w:space="0" w:color="auto"/>
        <w:right w:val="none" w:sz="0" w:space="0" w:color="auto"/>
      </w:divBdr>
    </w:div>
    <w:div w:id="1855072414">
      <w:bodyDiv w:val="1"/>
      <w:marLeft w:val="0"/>
      <w:marRight w:val="0"/>
      <w:marTop w:val="0"/>
      <w:marBottom w:val="0"/>
      <w:divBdr>
        <w:top w:val="none" w:sz="0" w:space="0" w:color="auto"/>
        <w:left w:val="none" w:sz="0" w:space="0" w:color="auto"/>
        <w:bottom w:val="none" w:sz="0" w:space="0" w:color="auto"/>
        <w:right w:val="none" w:sz="0" w:space="0" w:color="auto"/>
      </w:divBdr>
    </w:div>
    <w:div w:id="1862932138">
      <w:bodyDiv w:val="1"/>
      <w:marLeft w:val="0"/>
      <w:marRight w:val="0"/>
      <w:marTop w:val="0"/>
      <w:marBottom w:val="0"/>
      <w:divBdr>
        <w:top w:val="none" w:sz="0" w:space="0" w:color="auto"/>
        <w:left w:val="none" w:sz="0" w:space="0" w:color="auto"/>
        <w:bottom w:val="none" w:sz="0" w:space="0" w:color="auto"/>
        <w:right w:val="none" w:sz="0" w:space="0" w:color="auto"/>
      </w:divBdr>
    </w:div>
    <w:div w:id="1863936345">
      <w:bodyDiv w:val="1"/>
      <w:marLeft w:val="0"/>
      <w:marRight w:val="0"/>
      <w:marTop w:val="0"/>
      <w:marBottom w:val="0"/>
      <w:divBdr>
        <w:top w:val="none" w:sz="0" w:space="0" w:color="auto"/>
        <w:left w:val="none" w:sz="0" w:space="0" w:color="auto"/>
        <w:bottom w:val="none" w:sz="0" w:space="0" w:color="auto"/>
        <w:right w:val="none" w:sz="0" w:space="0" w:color="auto"/>
      </w:divBdr>
    </w:div>
    <w:div w:id="1864054098">
      <w:bodyDiv w:val="1"/>
      <w:marLeft w:val="0"/>
      <w:marRight w:val="0"/>
      <w:marTop w:val="0"/>
      <w:marBottom w:val="0"/>
      <w:divBdr>
        <w:top w:val="none" w:sz="0" w:space="0" w:color="auto"/>
        <w:left w:val="none" w:sz="0" w:space="0" w:color="auto"/>
        <w:bottom w:val="none" w:sz="0" w:space="0" w:color="auto"/>
        <w:right w:val="none" w:sz="0" w:space="0" w:color="auto"/>
      </w:divBdr>
    </w:div>
    <w:div w:id="1866022518">
      <w:bodyDiv w:val="1"/>
      <w:marLeft w:val="0"/>
      <w:marRight w:val="0"/>
      <w:marTop w:val="0"/>
      <w:marBottom w:val="0"/>
      <w:divBdr>
        <w:top w:val="none" w:sz="0" w:space="0" w:color="auto"/>
        <w:left w:val="none" w:sz="0" w:space="0" w:color="auto"/>
        <w:bottom w:val="none" w:sz="0" w:space="0" w:color="auto"/>
        <w:right w:val="none" w:sz="0" w:space="0" w:color="auto"/>
      </w:divBdr>
    </w:div>
    <w:div w:id="1869104479">
      <w:bodyDiv w:val="1"/>
      <w:marLeft w:val="0"/>
      <w:marRight w:val="0"/>
      <w:marTop w:val="0"/>
      <w:marBottom w:val="0"/>
      <w:divBdr>
        <w:top w:val="none" w:sz="0" w:space="0" w:color="auto"/>
        <w:left w:val="none" w:sz="0" w:space="0" w:color="auto"/>
        <w:bottom w:val="none" w:sz="0" w:space="0" w:color="auto"/>
        <w:right w:val="none" w:sz="0" w:space="0" w:color="auto"/>
      </w:divBdr>
    </w:div>
    <w:div w:id="1873420217">
      <w:bodyDiv w:val="1"/>
      <w:marLeft w:val="0"/>
      <w:marRight w:val="0"/>
      <w:marTop w:val="0"/>
      <w:marBottom w:val="0"/>
      <w:divBdr>
        <w:top w:val="none" w:sz="0" w:space="0" w:color="auto"/>
        <w:left w:val="none" w:sz="0" w:space="0" w:color="auto"/>
        <w:bottom w:val="none" w:sz="0" w:space="0" w:color="auto"/>
        <w:right w:val="none" w:sz="0" w:space="0" w:color="auto"/>
      </w:divBdr>
    </w:div>
    <w:div w:id="1873689919">
      <w:bodyDiv w:val="1"/>
      <w:marLeft w:val="0"/>
      <w:marRight w:val="0"/>
      <w:marTop w:val="0"/>
      <w:marBottom w:val="0"/>
      <w:divBdr>
        <w:top w:val="none" w:sz="0" w:space="0" w:color="auto"/>
        <w:left w:val="none" w:sz="0" w:space="0" w:color="auto"/>
        <w:bottom w:val="none" w:sz="0" w:space="0" w:color="auto"/>
        <w:right w:val="none" w:sz="0" w:space="0" w:color="auto"/>
      </w:divBdr>
    </w:div>
    <w:div w:id="1874803204">
      <w:bodyDiv w:val="1"/>
      <w:marLeft w:val="0"/>
      <w:marRight w:val="0"/>
      <w:marTop w:val="0"/>
      <w:marBottom w:val="0"/>
      <w:divBdr>
        <w:top w:val="none" w:sz="0" w:space="0" w:color="auto"/>
        <w:left w:val="none" w:sz="0" w:space="0" w:color="auto"/>
        <w:bottom w:val="none" w:sz="0" w:space="0" w:color="auto"/>
        <w:right w:val="none" w:sz="0" w:space="0" w:color="auto"/>
      </w:divBdr>
    </w:div>
    <w:div w:id="1876237148">
      <w:bodyDiv w:val="1"/>
      <w:marLeft w:val="0"/>
      <w:marRight w:val="0"/>
      <w:marTop w:val="0"/>
      <w:marBottom w:val="0"/>
      <w:divBdr>
        <w:top w:val="none" w:sz="0" w:space="0" w:color="auto"/>
        <w:left w:val="none" w:sz="0" w:space="0" w:color="auto"/>
        <w:bottom w:val="none" w:sz="0" w:space="0" w:color="auto"/>
        <w:right w:val="none" w:sz="0" w:space="0" w:color="auto"/>
      </w:divBdr>
    </w:div>
    <w:div w:id="1879467757">
      <w:bodyDiv w:val="1"/>
      <w:marLeft w:val="0"/>
      <w:marRight w:val="0"/>
      <w:marTop w:val="0"/>
      <w:marBottom w:val="0"/>
      <w:divBdr>
        <w:top w:val="none" w:sz="0" w:space="0" w:color="auto"/>
        <w:left w:val="none" w:sz="0" w:space="0" w:color="auto"/>
        <w:bottom w:val="none" w:sz="0" w:space="0" w:color="auto"/>
        <w:right w:val="none" w:sz="0" w:space="0" w:color="auto"/>
      </w:divBdr>
    </w:div>
    <w:div w:id="1881281705">
      <w:bodyDiv w:val="1"/>
      <w:marLeft w:val="0"/>
      <w:marRight w:val="0"/>
      <w:marTop w:val="0"/>
      <w:marBottom w:val="0"/>
      <w:divBdr>
        <w:top w:val="none" w:sz="0" w:space="0" w:color="auto"/>
        <w:left w:val="none" w:sz="0" w:space="0" w:color="auto"/>
        <w:bottom w:val="none" w:sz="0" w:space="0" w:color="auto"/>
        <w:right w:val="none" w:sz="0" w:space="0" w:color="auto"/>
      </w:divBdr>
    </w:div>
    <w:div w:id="1882666986">
      <w:bodyDiv w:val="1"/>
      <w:marLeft w:val="0"/>
      <w:marRight w:val="0"/>
      <w:marTop w:val="0"/>
      <w:marBottom w:val="0"/>
      <w:divBdr>
        <w:top w:val="none" w:sz="0" w:space="0" w:color="auto"/>
        <w:left w:val="none" w:sz="0" w:space="0" w:color="auto"/>
        <w:bottom w:val="none" w:sz="0" w:space="0" w:color="auto"/>
        <w:right w:val="none" w:sz="0" w:space="0" w:color="auto"/>
      </w:divBdr>
    </w:div>
    <w:div w:id="1885872093">
      <w:bodyDiv w:val="1"/>
      <w:marLeft w:val="0"/>
      <w:marRight w:val="0"/>
      <w:marTop w:val="0"/>
      <w:marBottom w:val="0"/>
      <w:divBdr>
        <w:top w:val="none" w:sz="0" w:space="0" w:color="auto"/>
        <w:left w:val="none" w:sz="0" w:space="0" w:color="auto"/>
        <w:bottom w:val="none" w:sz="0" w:space="0" w:color="auto"/>
        <w:right w:val="none" w:sz="0" w:space="0" w:color="auto"/>
      </w:divBdr>
    </w:div>
    <w:div w:id="1892232116">
      <w:bodyDiv w:val="1"/>
      <w:marLeft w:val="0"/>
      <w:marRight w:val="0"/>
      <w:marTop w:val="0"/>
      <w:marBottom w:val="0"/>
      <w:divBdr>
        <w:top w:val="none" w:sz="0" w:space="0" w:color="auto"/>
        <w:left w:val="none" w:sz="0" w:space="0" w:color="auto"/>
        <w:bottom w:val="none" w:sz="0" w:space="0" w:color="auto"/>
        <w:right w:val="none" w:sz="0" w:space="0" w:color="auto"/>
      </w:divBdr>
    </w:div>
    <w:div w:id="1892574612">
      <w:bodyDiv w:val="1"/>
      <w:marLeft w:val="0"/>
      <w:marRight w:val="0"/>
      <w:marTop w:val="0"/>
      <w:marBottom w:val="0"/>
      <w:divBdr>
        <w:top w:val="none" w:sz="0" w:space="0" w:color="auto"/>
        <w:left w:val="none" w:sz="0" w:space="0" w:color="auto"/>
        <w:bottom w:val="none" w:sz="0" w:space="0" w:color="auto"/>
        <w:right w:val="none" w:sz="0" w:space="0" w:color="auto"/>
      </w:divBdr>
    </w:div>
    <w:div w:id="1895920629">
      <w:bodyDiv w:val="1"/>
      <w:marLeft w:val="0"/>
      <w:marRight w:val="0"/>
      <w:marTop w:val="0"/>
      <w:marBottom w:val="0"/>
      <w:divBdr>
        <w:top w:val="none" w:sz="0" w:space="0" w:color="auto"/>
        <w:left w:val="none" w:sz="0" w:space="0" w:color="auto"/>
        <w:bottom w:val="none" w:sz="0" w:space="0" w:color="auto"/>
        <w:right w:val="none" w:sz="0" w:space="0" w:color="auto"/>
      </w:divBdr>
    </w:div>
    <w:div w:id="1903785281">
      <w:bodyDiv w:val="1"/>
      <w:marLeft w:val="0"/>
      <w:marRight w:val="0"/>
      <w:marTop w:val="0"/>
      <w:marBottom w:val="0"/>
      <w:divBdr>
        <w:top w:val="none" w:sz="0" w:space="0" w:color="auto"/>
        <w:left w:val="none" w:sz="0" w:space="0" w:color="auto"/>
        <w:bottom w:val="none" w:sz="0" w:space="0" w:color="auto"/>
        <w:right w:val="none" w:sz="0" w:space="0" w:color="auto"/>
      </w:divBdr>
    </w:div>
    <w:div w:id="1914927953">
      <w:bodyDiv w:val="1"/>
      <w:marLeft w:val="0"/>
      <w:marRight w:val="0"/>
      <w:marTop w:val="0"/>
      <w:marBottom w:val="0"/>
      <w:divBdr>
        <w:top w:val="none" w:sz="0" w:space="0" w:color="auto"/>
        <w:left w:val="none" w:sz="0" w:space="0" w:color="auto"/>
        <w:bottom w:val="none" w:sz="0" w:space="0" w:color="auto"/>
        <w:right w:val="none" w:sz="0" w:space="0" w:color="auto"/>
      </w:divBdr>
    </w:div>
    <w:div w:id="1916816963">
      <w:bodyDiv w:val="1"/>
      <w:marLeft w:val="0"/>
      <w:marRight w:val="0"/>
      <w:marTop w:val="0"/>
      <w:marBottom w:val="0"/>
      <w:divBdr>
        <w:top w:val="none" w:sz="0" w:space="0" w:color="auto"/>
        <w:left w:val="none" w:sz="0" w:space="0" w:color="auto"/>
        <w:bottom w:val="none" w:sz="0" w:space="0" w:color="auto"/>
        <w:right w:val="none" w:sz="0" w:space="0" w:color="auto"/>
      </w:divBdr>
    </w:div>
    <w:div w:id="1919511931">
      <w:bodyDiv w:val="1"/>
      <w:marLeft w:val="0"/>
      <w:marRight w:val="0"/>
      <w:marTop w:val="0"/>
      <w:marBottom w:val="0"/>
      <w:divBdr>
        <w:top w:val="none" w:sz="0" w:space="0" w:color="auto"/>
        <w:left w:val="none" w:sz="0" w:space="0" w:color="auto"/>
        <w:bottom w:val="none" w:sz="0" w:space="0" w:color="auto"/>
        <w:right w:val="none" w:sz="0" w:space="0" w:color="auto"/>
      </w:divBdr>
    </w:div>
    <w:div w:id="1921405222">
      <w:bodyDiv w:val="1"/>
      <w:marLeft w:val="0"/>
      <w:marRight w:val="0"/>
      <w:marTop w:val="0"/>
      <w:marBottom w:val="0"/>
      <w:divBdr>
        <w:top w:val="none" w:sz="0" w:space="0" w:color="auto"/>
        <w:left w:val="none" w:sz="0" w:space="0" w:color="auto"/>
        <w:bottom w:val="none" w:sz="0" w:space="0" w:color="auto"/>
        <w:right w:val="none" w:sz="0" w:space="0" w:color="auto"/>
      </w:divBdr>
    </w:div>
    <w:div w:id="1928146316">
      <w:bodyDiv w:val="1"/>
      <w:marLeft w:val="0"/>
      <w:marRight w:val="0"/>
      <w:marTop w:val="0"/>
      <w:marBottom w:val="0"/>
      <w:divBdr>
        <w:top w:val="none" w:sz="0" w:space="0" w:color="auto"/>
        <w:left w:val="none" w:sz="0" w:space="0" w:color="auto"/>
        <w:bottom w:val="none" w:sz="0" w:space="0" w:color="auto"/>
        <w:right w:val="none" w:sz="0" w:space="0" w:color="auto"/>
      </w:divBdr>
    </w:div>
    <w:div w:id="1928685650">
      <w:bodyDiv w:val="1"/>
      <w:marLeft w:val="0"/>
      <w:marRight w:val="0"/>
      <w:marTop w:val="0"/>
      <w:marBottom w:val="0"/>
      <w:divBdr>
        <w:top w:val="none" w:sz="0" w:space="0" w:color="auto"/>
        <w:left w:val="none" w:sz="0" w:space="0" w:color="auto"/>
        <w:bottom w:val="none" w:sz="0" w:space="0" w:color="auto"/>
        <w:right w:val="none" w:sz="0" w:space="0" w:color="auto"/>
      </w:divBdr>
    </w:div>
    <w:div w:id="1932859625">
      <w:bodyDiv w:val="1"/>
      <w:marLeft w:val="0"/>
      <w:marRight w:val="0"/>
      <w:marTop w:val="0"/>
      <w:marBottom w:val="0"/>
      <w:divBdr>
        <w:top w:val="none" w:sz="0" w:space="0" w:color="auto"/>
        <w:left w:val="none" w:sz="0" w:space="0" w:color="auto"/>
        <w:bottom w:val="none" w:sz="0" w:space="0" w:color="auto"/>
        <w:right w:val="none" w:sz="0" w:space="0" w:color="auto"/>
      </w:divBdr>
    </w:div>
    <w:div w:id="1938057688">
      <w:bodyDiv w:val="1"/>
      <w:marLeft w:val="0"/>
      <w:marRight w:val="0"/>
      <w:marTop w:val="0"/>
      <w:marBottom w:val="0"/>
      <w:divBdr>
        <w:top w:val="none" w:sz="0" w:space="0" w:color="auto"/>
        <w:left w:val="none" w:sz="0" w:space="0" w:color="auto"/>
        <w:bottom w:val="none" w:sz="0" w:space="0" w:color="auto"/>
        <w:right w:val="none" w:sz="0" w:space="0" w:color="auto"/>
      </w:divBdr>
    </w:div>
    <w:div w:id="1943999952">
      <w:bodyDiv w:val="1"/>
      <w:marLeft w:val="0"/>
      <w:marRight w:val="0"/>
      <w:marTop w:val="0"/>
      <w:marBottom w:val="0"/>
      <w:divBdr>
        <w:top w:val="none" w:sz="0" w:space="0" w:color="auto"/>
        <w:left w:val="none" w:sz="0" w:space="0" w:color="auto"/>
        <w:bottom w:val="none" w:sz="0" w:space="0" w:color="auto"/>
        <w:right w:val="none" w:sz="0" w:space="0" w:color="auto"/>
      </w:divBdr>
    </w:div>
    <w:div w:id="1946844503">
      <w:bodyDiv w:val="1"/>
      <w:marLeft w:val="0"/>
      <w:marRight w:val="0"/>
      <w:marTop w:val="0"/>
      <w:marBottom w:val="0"/>
      <w:divBdr>
        <w:top w:val="none" w:sz="0" w:space="0" w:color="auto"/>
        <w:left w:val="none" w:sz="0" w:space="0" w:color="auto"/>
        <w:bottom w:val="none" w:sz="0" w:space="0" w:color="auto"/>
        <w:right w:val="none" w:sz="0" w:space="0" w:color="auto"/>
      </w:divBdr>
    </w:div>
    <w:div w:id="1954751366">
      <w:bodyDiv w:val="1"/>
      <w:marLeft w:val="0"/>
      <w:marRight w:val="0"/>
      <w:marTop w:val="0"/>
      <w:marBottom w:val="0"/>
      <w:divBdr>
        <w:top w:val="none" w:sz="0" w:space="0" w:color="auto"/>
        <w:left w:val="none" w:sz="0" w:space="0" w:color="auto"/>
        <w:bottom w:val="none" w:sz="0" w:space="0" w:color="auto"/>
        <w:right w:val="none" w:sz="0" w:space="0" w:color="auto"/>
      </w:divBdr>
    </w:div>
    <w:div w:id="1956132248">
      <w:bodyDiv w:val="1"/>
      <w:marLeft w:val="0"/>
      <w:marRight w:val="0"/>
      <w:marTop w:val="0"/>
      <w:marBottom w:val="0"/>
      <w:divBdr>
        <w:top w:val="none" w:sz="0" w:space="0" w:color="auto"/>
        <w:left w:val="none" w:sz="0" w:space="0" w:color="auto"/>
        <w:bottom w:val="none" w:sz="0" w:space="0" w:color="auto"/>
        <w:right w:val="none" w:sz="0" w:space="0" w:color="auto"/>
      </w:divBdr>
    </w:div>
    <w:div w:id="1956862937">
      <w:bodyDiv w:val="1"/>
      <w:marLeft w:val="0"/>
      <w:marRight w:val="0"/>
      <w:marTop w:val="0"/>
      <w:marBottom w:val="0"/>
      <w:divBdr>
        <w:top w:val="none" w:sz="0" w:space="0" w:color="auto"/>
        <w:left w:val="none" w:sz="0" w:space="0" w:color="auto"/>
        <w:bottom w:val="none" w:sz="0" w:space="0" w:color="auto"/>
        <w:right w:val="none" w:sz="0" w:space="0" w:color="auto"/>
      </w:divBdr>
    </w:div>
    <w:div w:id="1957254708">
      <w:bodyDiv w:val="1"/>
      <w:marLeft w:val="0"/>
      <w:marRight w:val="0"/>
      <w:marTop w:val="0"/>
      <w:marBottom w:val="0"/>
      <w:divBdr>
        <w:top w:val="none" w:sz="0" w:space="0" w:color="auto"/>
        <w:left w:val="none" w:sz="0" w:space="0" w:color="auto"/>
        <w:bottom w:val="none" w:sz="0" w:space="0" w:color="auto"/>
        <w:right w:val="none" w:sz="0" w:space="0" w:color="auto"/>
      </w:divBdr>
    </w:div>
    <w:div w:id="1959289949">
      <w:bodyDiv w:val="1"/>
      <w:marLeft w:val="0"/>
      <w:marRight w:val="0"/>
      <w:marTop w:val="0"/>
      <w:marBottom w:val="0"/>
      <w:divBdr>
        <w:top w:val="none" w:sz="0" w:space="0" w:color="auto"/>
        <w:left w:val="none" w:sz="0" w:space="0" w:color="auto"/>
        <w:bottom w:val="none" w:sz="0" w:space="0" w:color="auto"/>
        <w:right w:val="none" w:sz="0" w:space="0" w:color="auto"/>
      </w:divBdr>
    </w:div>
    <w:div w:id="1963804625">
      <w:bodyDiv w:val="1"/>
      <w:marLeft w:val="0"/>
      <w:marRight w:val="0"/>
      <w:marTop w:val="0"/>
      <w:marBottom w:val="0"/>
      <w:divBdr>
        <w:top w:val="none" w:sz="0" w:space="0" w:color="auto"/>
        <w:left w:val="none" w:sz="0" w:space="0" w:color="auto"/>
        <w:bottom w:val="none" w:sz="0" w:space="0" w:color="auto"/>
        <w:right w:val="none" w:sz="0" w:space="0" w:color="auto"/>
      </w:divBdr>
    </w:div>
    <w:div w:id="1964070805">
      <w:bodyDiv w:val="1"/>
      <w:marLeft w:val="0"/>
      <w:marRight w:val="0"/>
      <w:marTop w:val="0"/>
      <w:marBottom w:val="0"/>
      <w:divBdr>
        <w:top w:val="none" w:sz="0" w:space="0" w:color="auto"/>
        <w:left w:val="none" w:sz="0" w:space="0" w:color="auto"/>
        <w:bottom w:val="none" w:sz="0" w:space="0" w:color="auto"/>
        <w:right w:val="none" w:sz="0" w:space="0" w:color="auto"/>
      </w:divBdr>
    </w:div>
    <w:div w:id="1965043399">
      <w:bodyDiv w:val="1"/>
      <w:marLeft w:val="0"/>
      <w:marRight w:val="0"/>
      <w:marTop w:val="0"/>
      <w:marBottom w:val="0"/>
      <w:divBdr>
        <w:top w:val="none" w:sz="0" w:space="0" w:color="auto"/>
        <w:left w:val="none" w:sz="0" w:space="0" w:color="auto"/>
        <w:bottom w:val="none" w:sz="0" w:space="0" w:color="auto"/>
        <w:right w:val="none" w:sz="0" w:space="0" w:color="auto"/>
      </w:divBdr>
    </w:div>
    <w:div w:id="1971398889">
      <w:bodyDiv w:val="1"/>
      <w:marLeft w:val="0"/>
      <w:marRight w:val="0"/>
      <w:marTop w:val="0"/>
      <w:marBottom w:val="0"/>
      <w:divBdr>
        <w:top w:val="none" w:sz="0" w:space="0" w:color="auto"/>
        <w:left w:val="none" w:sz="0" w:space="0" w:color="auto"/>
        <w:bottom w:val="none" w:sz="0" w:space="0" w:color="auto"/>
        <w:right w:val="none" w:sz="0" w:space="0" w:color="auto"/>
      </w:divBdr>
    </w:div>
    <w:div w:id="1972207548">
      <w:bodyDiv w:val="1"/>
      <w:marLeft w:val="0"/>
      <w:marRight w:val="0"/>
      <w:marTop w:val="0"/>
      <w:marBottom w:val="0"/>
      <w:divBdr>
        <w:top w:val="none" w:sz="0" w:space="0" w:color="auto"/>
        <w:left w:val="none" w:sz="0" w:space="0" w:color="auto"/>
        <w:bottom w:val="none" w:sz="0" w:space="0" w:color="auto"/>
        <w:right w:val="none" w:sz="0" w:space="0" w:color="auto"/>
      </w:divBdr>
    </w:div>
    <w:div w:id="1977493940">
      <w:bodyDiv w:val="1"/>
      <w:marLeft w:val="0"/>
      <w:marRight w:val="0"/>
      <w:marTop w:val="0"/>
      <w:marBottom w:val="0"/>
      <w:divBdr>
        <w:top w:val="none" w:sz="0" w:space="0" w:color="auto"/>
        <w:left w:val="none" w:sz="0" w:space="0" w:color="auto"/>
        <w:bottom w:val="none" w:sz="0" w:space="0" w:color="auto"/>
        <w:right w:val="none" w:sz="0" w:space="0" w:color="auto"/>
      </w:divBdr>
    </w:div>
    <w:div w:id="1977758055">
      <w:bodyDiv w:val="1"/>
      <w:marLeft w:val="0"/>
      <w:marRight w:val="0"/>
      <w:marTop w:val="0"/>
      <w:marBottom w:val="0"/>
      <w:divBdr>
        <w:top w:val="none" w:sz="0" w:space="0" w:color="auto"/>
        <w:left w:val="none" w:sz="0" w:space="0" w:color="auto"/>
        <w:bottom w:val="none" w:sz="0" w:space="0" w:color="auto"/>
        <w:right w:val="none" w:sz="0" w:space="0" w:color="auto"/>
      </w:divBdr>
    </w:div>
    <w:div w:id="1977907978">
      <w:bodyDiv w:val="1"/>
      <w:marLeft w:val="0"/>
      <w:marRight w:val="0"/>
      <w:marTop w:val="0"/>
      <w:marBottom w:val="0"/>
      <w:divBdr>
        <w:top w:val="none" w:sz="0" w:space="0" w:color="auto"/>
        <w:left w:val="none" w:sz="0" w:space="0" w:color="auto"/>
        <w:bottom w:val="none" w:sz="0" w:space="0" w:color="auto"/>
        <w:right w:val="none" w:sz="0" w:space="0" w:color="auto"/>
      </w:divBdr>
    </w:div>
    <w:div w:id="1980500322">
      <w:bodyDiv w:val="1"/>
      <w:marLeft w:val="0"/>
      <w:marRight w:val="0"/>
      <w:marTop w:val="0"/>
      <w:marBottom w:val="0"/>
      <w:divBdr>
        <w:top w:val="none" w:sz="0" w:space="0" w:color="auto"/>
        <w:left w:val="none" w:sz="0" w:space="0" w:color="auto"/>
        <w:bottom w:val="none" w:sz="0" w:space="0" w:color="auto"/>
        <w:right w:val="none" w:sz="0" w:space="0" w:color="auto"/>
      </w:divBdr>
    </w:div>
    <w:div w:id="1980500791">
      <w:bodyDiv w:val="1"/>
      <w:marLeft w:val="0"/>
      <w:marRight w:val="0"/>
      <w:marTop w:val="0"/>
      <w:marBottom w:val="0"/>
      <w:divBdr>
        <w:top w:val="none" w:sz="0" w:space="0" w:color="auto"/>
        <w:left w:val="none" w:sz="0" w:space="0" w:color="auto"/>
        <w:bottom w:val="none" w:sz="0" w:space="0" w:color="auto"/>
        <w:right w:val="none" w:sz="0" w:space="0" w:color="auto"/>
      </w:divBdr>
    </w:div>
    <w:div w:id="1991597634">
      <w:bodyDiv w:val="1"/>
      <w:marLeft w:val="0"/>
      <w:marRight w:val="0"/>
      <w:marTop w:val="0"/>
      <w:marBottom w:val="0"/>
      <w:divBdr>
        <w:top w:val="none" w:sz="0" w:space="0" w:color="auto"/>
        <w:left w:val="none" w:sz="0" w:space="0" w:color="auto"/>
        <w:bottom w:val="none" w:sz="0" w:space="0" w:color="auto"/>
        <w:right w:val="none" w:sz="0" w:space="0" w:color="auto"/>
      </w:divBdr>
    </w:div>
    <w:div w:id="1994211236">
      <w:bodyDiv w:val="1"/>
      <w:marLeft w:val="0"/>
      <w:marRight w:val="0"/>
      <w:marTop w:val="0"/>
      <w:marBottom w:val="0"/>
      <w:divBdr>
        <w:top w:val="none" w:sz="0" w:space="0" w:color="auto"/>
        <w:left w:val="none" w:sz="0" w:space="0" w:color="auto"/>
        <w:bottom w:val="none" w:sz="0" w:space="0" w:color="auto"/>
        <w:right w:val="none" w:sz="0" w:space="0" w:color="auto"/>
      </w:divBdr>
    </w:div>
    <w:div w:id="2002655807">
      <w:bodyDiv w:val="1"/>
      <w:marLeft w:val="0"/>
      <w:marRight w:val="0"/>
      <w:marTop w:val="0"/>
      <w:marBottom w:val="0"/>
      <w:divBdr>
        <w:top w:val="none" w:sz="0" w:space="0" w:color="auto"/>
        <w:left w:val="none" w:sz="0" w:space="0" w:color="auto"/>
        <w:bottom w:val="none" w:sz="0" w:space="0" w:color="auto"/>
        <w:right w:val="none" w:sz="0" w:space="0" w:color="auto"/>
      </w:divBdr>
    </w:div>
    <w:div w:id="2008240696">
      <w:bodyDiv w:val="1"/>
      <w:marLeft w:val="0"/>
      <w:marRight w:val="0"/>
      <w:marTop w:val="0"/>
      <w:marBottom w:val="0"/>
      <w:divBdr>
        <w:top w:val="none" w:sz="0" w:space="0" w:color="auto"/>
        <w:left w:val="none" w:sz="0" w:space="0" w:color="auto"/>
        <w:bottom w:val="none" w:sz="0" w:space="0" w:color="auto"/>
        <w:right w:val="none" w:sz="0" w:space="0" w:color="auto"/>
      </w:divBdr>
    </w:div>
    <w:div w:id="2008554080">
      <w:bodyDiv w:val="1"/>
      <w:marLeft w:val="0"/>
      <w:marRight w:val="0"/>
      <w:marTop w:val="0"/>
      <w:marBottom w:val="0"/>
      <w:divBdr>
        <w:top w:val="none" w:sz="0" w:space="0" w:color="auto"/>
        <w:left w:val="none" w:sz="0" w:space="0" w:color="auto"/>
        <w:bottom w:val="none" w:sz="0" w:space="0" w:color="auto"/>
        <w:right w:val="none" w:sz="0" w:space="0" w:color="auto"/>
      </w:divBdr>
    </w:div>
    <w:div w:id="2010281582">
      <w:bodyDiv w:val="1"/>
      <w:marLeft w:val="0"/>
      <w:marRight w:val="0"/>
      <w:marTop w:val="0"/>
      <w:marBottom w:val="0"/>
      <w:divBdr>
        <w:top w:val="none" w:sz="0" w:space="0" w:color="auto"/>
        <w:left w:val="none" w:sz="0" w:space="0" w:color="auto"/>
        <w:bottom w:val="none" w:sz="0" w:space="0" w:color="auto"/>
        <w:right w:val="none" w:sz="0" w:space="0" w:color="auto"/>
      </w:divBdr>
    </w:div>
    <w:div w:id="2010984247">
      <w:bodyDiv w:val="1"/>
      <w:marLeft w:val="0"/>
      <w:marRight w:val="0"/>
      <w:marTop w:val="0"/>
      <w:marBottom w:val="0"/>
      <w:divBdr>
        <w:top w:val="none" w:sz="0" w:space="0" w:color="auto"/>
        <w:left w:val="none" w:sz="0" w:space="0" w:color="auto"/>
        <w:bottom w:val="none" w:sz="0" w:space="0" w:color="auto"/>
        <w:right w:val="none" w:sz="0" w:space="0" w:color="auto"/>
      </w:divBdr>
    </w:div>
    <w:div w:id="2012639867">
      <w:bodyDiv w:val="1"/>
      <w:marLeft w:val="0"/>
      <w:marRight w:val="0"/>
      <w:marTop w:val="0"/>
      <w:marBottom w:val="0"/>
      <w:divBdr>
        <w:top w:val="none" w:sz="0" w:space="0" w:color="auto"/>
        <w:left w:val="none" w:sz="0" w:space="0" w:color="auto"/>
        <w:bottom w:val="none" w:sz="0" w:space="0" w:color="auto"/>
        <w:right w:val="none" w:sz="0" w:space="0" w:color="auto"/>
      </w:divBdr>
    </w:div>
    <w:div w:id="2014066160">
      <w:bodyDiv w:val="1"/>
      <w:marLeft w:val="0"/>
      <w:marRight w:val="0"/>
      <w:marTop w:val="0"/>
      <w:marBottom w:val="0"/>
      <w:divBdr>
        <w:top w:val="none" w:sz="0" w:space="0" w:color="auto"/>
        <w:left w:val="none" w:sz="0" w:space="0" w:color="auto"/>
        <w:bottom w:val="none" w:sz="0" w:space="0" w:color="auto"/>
        <w:right w:val="none" w:sz="0" w:space="0" w:color="auto"/>
      </w:divBdr>
    </w:div>
    <w:div w:id="2016418562">
      <w:bodyDiv w:val="1"/>
      <w:marLeft w:val="0"/>
      <w:marRight w:val="0"/>
      <w:marTop w:val="0"/>
      <w:marBottom w:val="0"/>
      <w:divBdr>
        <w:top w:val="none" w:sz="0" w:space="0" w:color="auto"/>
        <w:left w:val="none" w:sz="0" w:space="0" w:color="auto"/>
        <w:bottom w:val="none" w:sz="0" w:space="0" w:color="auto"/>
        <w:right w:val="none" w:sz="0" w:space="0" w:color="auto"/>
      </w:divBdr>
    </w:div>
    <w:div w:id="2024866391">
      <w:bodyDiv w:val="1"/>
      <w:marLeft w:val="0"/>
      <w:marRight w:val="0"/>
      <w:marTop w:val="0"/>
      <w:marBottom w:val="0"/>
      <w:divBdr>
        <w:top w:val="none" w:sz="0" w:space="0" w:color="auto"/>
        <w:left w:val="none" w:sz="0" w:space="0" w:color="auto"/>
        <w:bottom w:val="none" w:sz="0" w:space="0" w:color="auto"/>
        <w:right w:val="none" w:sz="0" w:space="0" w:color="auto"/>
      </w:divBdr>
    </w:div>
    <w:div w:id="2025278286">
      <w:bodyDiv w:val="1"/>
      <w:marLeft w:val="0"/>
      <w:marRight w:val="0"/>
      <w:marTop w:val="0"/>
      <w:marBottom w:val="0"/>
      <w:divBdr>
        <w:top w:val="none" w:sz="0" w:space="0" w:color="auto"/>
        <w:left w:val="none" w:sz="0" w:space="0" w:color="auto"/>
        <w:bottom w:val="none" w:sz="0" w:space="0" w:color="auto"/>
        <w:right w:val="none" w:sz="0" w:space="0" w:color="auto"/>
      </w:divBdr>
    </w:div>
    <w:div w:id="2025747702">
      <w:bodyDiv w:val="1"/>
      <w:marLeft w:val="0"/>
      <w:marRight w:val="0"/>
      <w:marTop w:val="0"/>
      <w:marBottom w:val="0"/>
      <w:divBdr>
        <w:top w:val="none" w:sz="0" w:space="0" w:color="auto"/>
        <w:left w:val="none" w:sz="0" w:space="0" w:color="auto"/>
        <w:bottom w:val="none" w:sz="0" w:space="0" w:color="auto"/>
        <w:right w:val="none" w:sz="0" w:space="0" w:color="auto"/>
      </w:divBdr>
    </w:div>
    <w:div w:id="2028213143">
      <w:bodyDiv w:val="1"/>
      <w:marLeft w:val="0"/>
      <w:marRight w:val="0"/>
      <w:marTop w:val="0"/>
      <w:marBottom w:val="0"/>
      <w:divBdr>
        <w:top w:val="none" w:sz="0" w:space="0" w:color="auto"/>
        <w:left w:val="none" w:sz="0" w:space="0" w:color="auto"/>
        <w:bottom w:val="none" w:sz="0" w:space="0" w:color="auto"/>
        <w:right w:val="none" w:sz="0" w:space="0" w:color="auto"/>
      </w:divBdr>
    </w:div>
    <w:div w:id="2031485348">
      <w:bodyDiv w:val="1"/>
      <w:marLeft w:val="0"/>
      <w:marRight w:val="0"/>
      <w:marTop w:val="0"/>
      <w:marBottom w:val="0"/>
      <w:divBdr>
        <w:top w:val="none" w:sz="0" w:space="0" w:color="auto"/>
        <w:left w:val="none" w:sz="0" w:space="0" w:color="auto"/>
        <w:bottom w:val="none" w:sz="0" w:space="0" w:color="auto"/>
        <w:right w:val="none" w:sz="0" w:space="0" w:color="auto"/>
      </w:divBdr>
    </w:div>
    <w:div w:id="2042313802">
      <w:bodyDiv w:val="1"/>
      <w:marLeft w:val="0"/>
      <w:marRight w:val="0"/>
      <w:marTop w:val="0"/>
      <w:marBottom w:val="0"/>
      <w:divBdr>
        <w:top w:val="none" w:sz="0" w:space="0" w:color="auto"/>
        <w:left w:val="none" w:sz="0" w:space="0" w:color="auto"/>
        <w:bottom w:val="none" w:sz="0" w:space="0" w:color="auto"/>
        <w:right w:val="none" w:sz="0" w:space="0" w:color="auto"/>
      </w:divBdr>
    </w:div>
    <w:div w:id="2047292597">
      <w:bodyDiv w:val="1"/>
      <w:marLeft w:val="0"/>
      <w:marRight w:val="0"/>
      <w:marTop w:val="0"/>
      <w:marBottom w:val="0"/>
      <w:divBdr>
        <w:top w:val="none" w:sz="0" w:space="0" w:color="auto"/>
        <w:left w:val="none" w:sz="0" w:space="0" w:color="auto"/>
        <w:bottom w:val="none" w:sz="0" w:space="0" w:color="auto"/>
        <w:right w:val="none" w:sz="0" w:space="0" w:color="auto"/>
      </w:divBdr>
    </w:div>
    <w:div w:id="2060124710">
      <w:bodyDiv w:val="1"/>
      <w:marLeft w:val="0"/>
      <w:marRight w:val="0"/>
      <w:marTop w:val="0"/>
      <w:marBottom w:val="0"/>
      <w:divBdr>
        <w:top w:val="none" w:sz="0" w:space="0" w:color="auto"/>
        <w:left w:val="none" w:sz="0" w:space="0" w:color="auto"/>
        <w:bottom w:val="none" w:sz="0" w:space="0" w:color="auto"/>
        <w:right w:val="none" w:sz="0" w:space="0" w:color="auto"/>
      </w:divBdr>
    </w:div>
    <w:div w:id="2066752074">
      <w:bodyDiv w:val="1"/>
      <w:marLeft w:val="0"/>
      <w:marRight w:val="0"/>
      <w:marTop w:val="0"/>
      <w:marBottom w:val="0"/>
      <w:divBdr>
        <w:top w:val="none" w:sz="0" w:space="0" w:color="auto"/>
        <w:left w:val="none" w:sz="0" w:space="0" w:color="auto"/>
        <w:bottom w:val="none" w:sz="0" w:space="0" w:color="auto"/>
        <w:right w:val="none" w:sz="0" w:space="0" w:color="auto"/>
      </w:divBdr>
    </w:div>
    <w:div w:id="2081248890">
      <w:bodyDiv w:val="1"/>
      <w:marLeft w:val="0"/>
      <w:marRight w:val="0"/>
      <w:marTop w:val="0"/>
      <w:marBottom w:val="0"/>
      <w:divBdr>
        <w:top w:val="none" w:sz="0" w:space="0" w:color="auto"/>
        <w:left w:val="none" w:sz="0" w:space="0" w:color="auto"/>
        <w:bottom w:val="none" w:sz="0" w:space="0" w:color="auto"/>
        <w:right w:val="none" w:sz="0" w:space="0" w:color="auto"/>
      </w:divBdr>
    </w:div>
    <w:div w:id="2084376488">
      <w:bodyDiv w:val="1"/>
      <w:marLeft w:val="0"/>
      <w:marRight w:val="0"/>
      <w:marTop w:val="0"/>
      <w:marBottom w:val="0"/>
      <w:divBdr>
        <w:top w:val="none" w:sz="0" w:space="0" w:color="auto"/>
        <w:left w:val="none" w:sz="0" w:space="0" w:color="auto"/>
        <w:bottom w:val="none" w:sz="0" w:space="0" w:color="auto"/>
        <w:right w:val="none" w:sz="0" w:space="0" w:color="auto"/>
      </w:divBdr>
    </w:div>
    <w:div w:id="2089577566">
      <w:bodyDiv w:val="1"/>
      <w:marLeft w:val="0"/>
      <w:marRight w:val="0"/>
      <w:marTop w:val="0"/>
      <w:marBottom w:val="0"/>
      <w:divBdr>
        <w:top w:val="none" w:sz="0" w:space="0" w:color="auto"/>
        <w:left w:val="none" w:sz="0" w:space="0" w:color="auto"/>
        <w:bottom w:val="none" w:sz="0" w:space="0" w:color="auto"/>
        <w:right w:val="none" w:sz="0" w:space="0" w:color="auto"/>
      </w:divBdr>
    </w:div>
    <w:div w:id="2091267356">
      <w:bodyDiv w:val="1"/>
      <w:marLeft w:val="0"/>
      <w:marRight w:val="0"/>
      <w:marTop w:val="0"/>
      <w:marBottom w:val="0"/>
      <w:divBdr>
        <w:top w:val="none" w:sz="0" w:space="0" w:color="auto"/>
        <w:left w:val="none" w:sz="0" w:space="0" w:color="auto"/>
        <w:bottom w:val="none" w:sz="0" w:space="0" w:color="auto"/>
        <w:right w:val="none" w:sz="0" w:space="0" w:color="auto"/>
      </w:divBdr>
    </w:div>
    <w:div w:id="2095055558">
      <w:bodyDiv w:val="1"/>
      <w:marLeft w:val="0"/>
      <w:marRight w:val="0"/>
      <w:marTop w:val="0"/>
      <w:marBottom w:val="0"/>
      <w:divBdr>
        <w:top w:val="none" w:sz="0" w:space="0" w:color="auto"/>
        <w:left w:val="none" w:sz="0" w:space="0" w:color="auto"/>
        <w:bottom w:val="none" w:sz="0" w:space="0" w:color="auto"/>
        <w:right w:val="none" w:sz="0" w:space="0" w:color="auto"/>
      </w:divBdr>
    </w:div>
    <w:div w:id="2096901147">
      <w:bodyDiv w:val="1"/>
      <w:marLeft w:val="0"/>
      <w:marRight w:val="0"/>
      <w:marTop w:val="0"/>
      <w:marBottom w:val="0"/>
      <w:divBdr>
        <w:top w:val="none" w:sz="0" w:space="0" w:color="auto"/>
        <w:left w:val="none" w:sz="0" w:space="0" w:color="auto"/>
        <w:bottom w:val="none" w:sz="0" w:space="0" w:color="auto"/>
        <w:right w:val="none" w:sz="0" w:space="0" w:color="auto"/>
      </w:divBdr>
    </w:div>
    <w:div w:id="2099249499">
      <w:bodyDiv w:val="1"/>
      <w:marLeft w:val="0"/>
      <w:marRight w:val="0"/>
      <w:marTop w:val="0"/>
      <w:marBottom w:val="0"/>
      <w:divBdr>
        <w:top w:val="none" w:sz="0" w:space="0" w:color="auto"/>
        <w:left w:val="none" w:sz="0" w:space="0" w:color="auto"/>
        <w:bottom w:val="none" w:sz="0" w:space="0" w:color="auto"/>
        <w:right w:val="none" w:sz="0" w:space="0" w:color="auto"/>
      </w:divBdr>
    </w:div>
    <w:div w:id="2105369956">
      <w:bodyDiv w:val="1"/>
      <w:marLeft w:val="0"/>
      <w:marRight w:val="0"/>
      <w:marTop w:val="0"/>
      <w:marBottom w:val="0"/>
      <w:divBdr>
        <w:top w:val="none" w:sz="0" w:space="0" w:color="auto"/>
        <w:left w:val="none" w:sz="0" w:space="0" w:color="auto"/>
        <w:bottom w:val="none" w:sz="0" w:space="0" w:color="auto"/>
        <w:right w:val="none" w:sz="0" w:space="0" w:color="auto"/>
      </w:divBdr>
    </w:div>
    <w:div w:id="2108695467">
      <w:bodyDiv w:val="1"/>
      <w:marLeft w:val="0"/>
      <w:marRight w:val="0"/>
      <w:marTop w:val="0"/>
      <w:marBottom w:val="0"/>
      <w:divBdr>
        <w:top w:val="none" w:sz="0" w:space="0" w:color="auto"/>
        <w:left w:val="none" w:sz="0" w:space="0" w:color="auto"/>
        <w:bottom w:val="none" w:sz="0" w:space="0" w:color="auto"/>
        <w:right w:val="none" w:sz="0" w:space="0" w:color="auto"/>
      </w:divBdr>
    </w:div>
    <w:div w:id="2110154836">
      <w:bodyDiv w:val="1"/>
      <w:marLeft w:val="0"/>
      <w:marRight w:val="0"/>
      <w:marTop w:val="0"/>
      <w:marBottom w:val="0"/>
      <w:divBdr>
        <w:top w:val="none" w:sz="0" w:space="0" w:color="auto"/>
        <w:left w:val="none" w:sz="0" w:space="0" w:color="auto"/>
        <w:bottom w:val="none" w:sz="0" w:space="0" w:color="auto"/>
        <w:right w:val="none" w:sz="0" w:space="0" w:color="auto"/>
      </w:divBdr>
    </w:div>
    <w:div w:id="2113209991">
      <w:bodyDiv w:val="1"/>
      <w:marLeft w:val="0"/>
      <w:marRight w:val="0"/>
      <w:marTop w:val="0"/>
      <w:marBottom w:val="0"/>
      <w:divBdr>
        <w:top w:val="none" w:sz="0" w:space="0" w:color="auto"/>
        <w:left w:val="none" w:sz="0" w:space="0" w:color="auto"/>
        <w:bottom w:val="none" w:sz="0" w:space="0" w:color="auto"/>
        <w:right w:val="none" w:sz="0" w:space="0" w:color="auto"/>
      </w:divBdr>
    </w:div>
    <w:div w:id="2119175103">
      <w:bodyDiv w:val="1"/>
      <w:marLeft w:val="0"/>
      <w:marRight w:val="0"/>
      <w:marTop w:val="0"/>
      <w:marBottom w:val="0"/>
      <w:divBdr>
        <w:top w:val="none" w:sz="0" w:space="0" w:color="auto"/>
        <w:left w:val="none" w:sz="0" w:space="0" w:color="auto"/>
        <w:bottom w:val="none" w:sz="0" w:space="0" w:color="auto"/>
        <w:right w:val="none" w:sz="0" w:space="0" w:color="auto"/>
      </w:divBdr>
    </w:div>
    <w:div w:id="2121606950">
      <w:bodyDiv w:val="1"/>
      <w:marLeft w:val="0"/>
      <w:marRight w:val="0"/>
      <w:marTop w:val="0"/>
      <w:marBottom w:val="0"/>
      <w:divBdr>
        <w:top w:val="none" w:sz="0" w:space="0" w:color="auto"/>
        <w:left w:val="none" w:sz="0" w:space="0" w:color="auto"/>
        <w:bottom w:val="none" w:sz="0" w:space="0" w:color="auto"/>
        <w:right w:val="none" w:sz="0" w:space="0" w:color="auto"/>
      </w:divBdr>
    </w:div>
    <w:div w:id="2124111086">
      <w:bodyDiv w:val="1"/>
      <w:marLeft w:val="0"/>
      <w:marRight w:val="0"/>
      <w:marTop w:val="0"/>
      <w:marBottom w:val="0"/>
      <w:divBdr>
        <w:top w:val="none" w:sz="0" w:space="0" w:color="auto"/>
        <w:left w:val="none" w:sz="0" w:space="0" w:color="auto"/>
        <w:bottom w:val="none" w:sz="0" w:space="0" w:color="auto"/>
        <w:right w:val="none" w:sz="0" w:space="0" w:color="auto"/>
      </w:divBdr>
    </w:div>
    <w:div w:id="2126607627">
      <w:bodyDiv w:val="1"/>
      <w:marLeft w:val="0"/>
      <w:marRight w:val="0"/>
      <w:marTop w:val="0"/>
      <w:marBottom w:val="0"/>
      <w:divBdr>
        <w:top w:val="none" w:sz="0" w:space="0" w:color="auto"/>
        <w:left w:val="none" w:sz="0" w:space="0" w:color="auto"/>
        <w:bottom w:val="none" w:sz="0" w:space="0" w:color="auto"/>
        <w:right w:val="none" w:sz="0" w:space="0" w:color="auto"/>
      </w:divBdr>
    </w:div>
    <w:div w:id="2128113335">
      <w:bodyDiv w:val="1"/>
      <w:marLeft w:val="0"/>
      <w:marRight w:val="0"/>
      <w:marTop w:val="0"/>
      <w:marBottom w:val="0"/>
      <w:divBdr>
        <w:top w:val="none" w:sz="0" w:space="0" w:color="auto"/>
        <w:left w:val="none" w:sz="0" w:space="0" w:color="auto"/>
        <w:bottom w:val="none" w:sz="0" w:space="0" w:color="auto"/>
        <w:right w:val="none" w:sz="0" w:space="0" w:color="auto"/>
      </w:divBdr>
    </w:div>
    <w:div w:id="2131436715">
      <w:bodyDiv w:val="1"/>
      <w:marLeft w:val="0"/>
      <w:marRight w:val="0"/>
      <w:marTop w:val="0"/>
      <w:marBottom w:val="0"/>
      <w:divBdr>
        <w:top w:val="none" w:sz="0" w:space="0" w:color="auto"/>
        <w:left w:val="none" w:sz="0" w:space="0" w:color="auto"/>
        <w:bottom w:val="none" w:sz="0" w:space="0" w:color="auto"/>
        <w:right w:val="none" w:sz="0" w:space="0" w:color="auto"/>
      </w:divBdr>
    </w:div>
    <w:div w:id="2139108669">
      <w:bodyDiv w:val="1"/>
      <w:marLeft w:val="0"/>
      <w:marRight w:val="0"/>
      <w:marTop w:val="0"/>
      <w:marBottom w:val="0"/>
      <w:divBdr>
        <w:top w:val="none" w:sz="0" w:space="0" w:color="auto"/>
        <w:left w:val="none" w:sz="0" w:space="0" w:color="auto"/>
        <w:bottom w:val="none" w:sz="0" w:space="0" w:color="auto"/>
        <w:right w:val="none" w:sz="0" w:space="0" w:color="auto"/>
      </w:divBdr>
    </w:div>
    <w:div w:id="2140147273">
      <w:bodyDiv w:val="1"/>
      <w:marLeft w:val="0"/>
      <w:marRight w:val="0"/>
      <w:marTop w:val="0"/>
      <w:marBottom w:val="0"/>
      <w:divBdr>
        <w:top w:val="none" w:sz="0" w:space="0" w:color="auto"/>
        <w:left w:val="none" w:sz="0" w:space="0" w:color="auto"/>
        <w:bottom w:val="none" w:sz="0" w:space="0" w:color="auto"/>
        <w:right w:val="none" w:sz="0" w:space="0" w:color="auto"/>
      </w:divBdr>
    </w:div>
    <w:div w:id="2140758758">
      <w:bodyDiv w:val="1"/>
      <w:marLeft w:val="0"/>
      <w:marRight w:val="0"/>
      <w:marTop w:val="0"/>
      <w:marBottom w:val="0"/>
      <w:divBdr>
        <w:top w:val="none" w:sz="0" w:space="0" w:color="auto"/>
        <w:left w:val="none" w:sz="0" w:space="0" w:color="auto"/>
        <w:bottom w:val="none" w:sz="0" w:space="0" w:color="auto"/>
        <w:right w:val="none" w:sz="0" w:space="0" w:color="auto"/>
      </w:divBdr>
    </w:div>
    <w:div w:id="21445383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yperlink" Target="file:///C:/Users/Henri/Documents/Fleming%20Fund%20Summative%20Report%20Annexes%20Revised%20May%202023_proofread.docx" TargetMode="External"/><Relationship Id="rId34" Type="http://schemas.openxmlformats.org/officeDocument/2006/relationships/header" Target="header4.xml"/><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hyperlink" Target="https://www.flemingfund.org/publications/common-elements-of-good-practice-for-supporting-one-health/" TargetMode="External"/><Relationship Id="rId55" Type="http://schemas.openxmlformats.org/officeDocument/2006/relationships/image" Target="media/image23.png"/><Relationship Id="rId63" Type="http://schemas.openxmlformats.org/officeDocument/2006/relationships/hyperlink" Target="https://itadltd.sharepoint.com/:w:/r/sites/FlemingFund/Shared%20Documents/Country%20Visits/Kenya/CV3/3.%20Outputs%20(templates,%20drafts%20and%20completed%20tools%20saved%20here)/Tools/SUSTAINABILITY%20outputs_Kenya_CV3_complete.docx?d=w4585ff217a2f438e9ada02ac75262250&amp;csf=1&amp;web=1&amp;e=PpBBmu" TargetMode="External"/><Relationship Id="rId68" Type="http://schemas.openxmlformats.org/officeDocument/2006/relationships/hyperlink" Target="https://itadltd.sharepoint.com/:w:/r/sites/FlemingFund/Shared%20Documents/Country%20Visits/Senegal/CV3/3.%20Outputs%20(templates,%20drafts%20and%20completed%20tools%20saved%20here)/CV3%20tools%202/Finalised%20tools/SUSTAINABILITY%20outputs%20REVISED%20-%20Senegal.docx?d=w9d41fddd4d574a5ebc91c8d658373aa9&amp;csf=1&amp;web=1&amp;e=QPgFyI" TargetMode="External"/><Relationship Id="rId76" Type="http://schemas.openxmlformats.org/officeDocument/2006/relationships/hyperlink" Target="https://itadltd.sharepoint.com/:w:/r/sites/FlemingFund/Shared%20Documents/Country%20Visits/Bangladesh/CV3/3.%20Outputs%20(templates,%20drafts,%20completed%20tools%20saved%20here)/Revised%20tools%20for%20cross%20country%20analysis%20June%202022/SUSTAINABILITY%20outputs%20REVISED%20Bangladesh%20May.docx?d=w27c65c2bc06d4777b4355a2c24381caf&amp;csf=1&amp;web=1&amp;e=x8APvJ" TargetMode="External"/><Relationship Id="rId84" Type="http://schemas.openxmlformats.org/officeDocument/2006/relationships/hyperlink" Target="https://itadltd.sharepoint.com/:w:/r/sites/FlemingFund/Shared%20Documents/Country%20Visits/Pakistan/CV3/3.%20Outputs%20(templates,%20drafts%20and%20completed%20tools%20saved%20here)/Pakistan%20Data%20Collection%20July%202022/Pakistan_SUSTAINABILITY%20outputs%20REVISED%20updated%20July%202022.docx?d=w26c0e82e6bf7488eaea37df35f1ca498&amp;csf=1&amp;web=1&amp;e=5qh2Wm" TargetMode="External"/><Relationship Id="rId89" Type="http://schemas.openxmlformats.org/officeDocument/2006/relationships/hyperlink" Target="https://itadltd.sharepoint.com/:w:/r/sites/FlemingFund/Shared%20Documents/Country%20Visits/Uganda/CV3/3.%20Outputs%20(templates,%20drafts%20and%20completed%20tools%20saved%20here)/Completed%20tools/SUSTAINABILITY%20outputs%20FINAL%20Uganda.docx?d=w633bbe3e4c1f44029765c63597ac0fe0&amp;csf=1&amp;web=1&amp;e=KMeWHG" TargetMode="External"/><Relationship Id="rId97" Type="http://schemas.openxmlformats.org/officeDocument/2006/relationships/image" Target="media/image32.png"/><Relationship Id="rId7" Type="http://schemas.openxmlformats.org/officeDocument/2006/relationships/settings" Target="settings.xml"/><Relationship Id="rId71" Type="http://schemas.openxmlformats.org/officeDocument/2006/relationships/hyperlink" Target="https://itadltd.sharepoint.com/:w:/r/sites/FlemingFund/Shared%20Documents/Country%20Visits/Timor%20Leste/CV3/3.%20Outputs%20(templates,%20drafts%20and%20completed%20tools%20saved%20here)/Final%20Revised%20tools/SUSTAINABILITY%20outputs%20REVISED%20Timor%20Leste.docx?d=w210349d26cfa4a198b63d211c1d138d5&amp;csf=1&amp;web=1&amp;e=gnuBdY" TargetMode="External"/><Relationship Id="rId92" Type="http://schemas.openxmlformats.org/officeDocument/2006/relationships/image" Target="media/image27.png"/><Relationship Id="rId2" Type="http://schemas.openxmlformats.org/officeDocument/2006/relationships/customXml" Target="../customXml/item2.xml"/><Relationship Id="rId16" Type="http://schemas.openxmlformats.org/officeDocument/2006/relationships/hyperlink" Target="https://itadltd.sharepoint.com/sites/FlemingFund/Shared%20Documents/Reporting/Phase%201/Dec%202022%20-%20summative%20report/Revised%20EQUALs%20Review%20July%202023/Fleming%20Fund%20Summative%20Report%20Annexes%20Revised%20July%202023.docx" TargetMode="External"/><Relationship Id="rId29" Type="http://schemas.openxmlformats.org/officeDocument/2006/relationships/image" Target="media/image9.png"/><Relationship Id="rId11" Type="http://schemas.openxmlformats.org/officeDocument/2006/relationships/image" Target="media/image1.jpeg"/><Relationship Id="rId24" Type="http://schemas.openxmlformats.org/officeDocument/2006/relationships/image" Target="media/image4.png"/><Relationship Id="rId32" Type="http://schemas.openxmlformats.org/officeDocument/2006/relationships/footer" Target="footer3.xml"/><Relationship Id="rId37" Type="http://schemas.openxmlformats.org/officeDocument/2006/relationships/image" Target="media/image13.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chart" Target="charts/chart6.xml"/><Relationship Id="rId58" Type="http://schemas.openxmlformats.org/officeDocument/2006/relationships/image" Target="media/image26.png"/><Relationship Id="rId66" Type="http://schemas.openxmlformats.org/officeDocument/2006/relationships/hyperlink" Target="https://itadltd.sharepoint.com/:w:/r/sites/FlemingFund/Shared%20Documents/Country%20Visits/Nepal/CV3/3.%20Outputs%20(templates,%20drafts%20and%20completed%20tools%20saved%20here)/Draft%20tools/SUSTAINABILITY%20outputs%20FINAL_Nepal_CV3.docx?d=w0c33a0e9ec9a41e589cee30733c1b611&amp;csf=1&amp;web=1&amp;e=fquHpA" TargetMode="External"/><Relationship Id="rId74" Type="http://schemas.openxmlformats.org/officeDocument/2006/relationships/hyperlink" Target="https://itadltd.sharepoint.com/:w:/r/sites/FlemingFund/Shared%20Documents/Country%20Visits/Vietnam/CV3/3.%20Outputs%20(templates,%20drafts%20and%20completed%20tools%20saved%20here)/SUSTAINABILITY%20outputs%20REVISED-Vietnam-25May2022.docx?d=w524870cc617f41739b6c38d9f2470840&amp;csf=1&amp;web=1&amp;e=7zoQ1L" TargetMode="External"/><Relationship Id="rId79" Type="http://schemas.openxmlformats.org/officeDocument/2006/relationships/hyperlink" Target="https://itadltd.sharepoint.com/:w:/r/sites/FlemingFund/Shared%20Documents/Country%20Visits/Indonesia/CV3/3.%20Outputs%20(templates,%20drafts%20and%20completed%20tools%20saved%20here)/Revised%20tools%20for%20Cross%20Country%20Analysis%202022/SUSTAINABILITY%20outputs%20REVISED%20Indonesia%20May.docx?d=waa52ea22b4e0423f9046db904d357e4d&amp;csf=1&amp;web=1&amp;e=QYAU96" TargetMode="External"/><Relationship Id="rId87" Type="http://schemas.openxmlformats.org/officeDocument/2006/relationships/hyperlink" Target="https://itadltd.sharepoint.com/:w:/r/sites/FlemingFund/Shared%20Documents/Country%20Visits/Tanzania/CV3/3.%20Outputs%20(templates,%20drafts%20and%20completed%20tools%20saved%20here)/Outputs/Tanzania%20SUSTAINABILITY%20outputs_complete.docx?d=w6d58748ddf1a4828a6c7affccc8e3cc7&amp;csf=1&amp;web=1&amp;e=ZigEUi" TargetMode="External"/><Relationship Id="rId5" Type="http://schemas.openxmlformats.org/officeDocument/2006/relationships/numbering" Target="numbering.xml"/><Relationship Id="rId61" Type="http://schemas.openxmlformats.org/officeDocument/2006/relationships/hyperlink" Target="https://itadltd.sharepoint.com/:w:/r/sites/FlemingFund/Shared%20Documents/Country%20Visits/Ghana/CV3/3.%20Outputs%20(templates,%20drafts%20and%20completed%20tools%20saved%20here)/Ghana%20SUSTAINABILITY%20outputs%20REVISED%20with%20KIIs%20ad%20final.docx?d=we0b0be68a5f24211b3b516b7fa63978a&amp;csf=1&amp;web=1&amp;e=E48bzD" TargetMode="External"/><Relationship Id="rId82" Type="http://schemas.openxmlformats.org/officeDocument/2006/relationships/hyperlink" Target="https://itadltd.sharepoint.com/:w:/r/sites/FlemingFund/Shared%20Documents/Country%20Visits/Nepal/CV3/3.%20Outputs%20(templates,%20drafts%20and%20completed%20tools%20saved%20here)/Draft%20tools/SUSTAINABILITY%20outputs%20FINAL_Nepal_CV3.docx?d=w0c33a0e9ec9a41e589cee30733c1b611&amp;csf=1&amp;web=1&amp;e=fquHpA" TargetMode="External"/><Relationship Id="rId90" Type="http://schemas.openxmlformats.org/officeDocument/2006/relationships/hyperlink" Target="https://itadltd.sharepoint.com/:w:/r/sites/FlemingFund/Shared%20Documents/Country%20Visits/Vietnam/CV3/3.%20Outputs%20(templates,%20drafts%20and%20completed%20tools%20saved%20here)/SUSTAINABILITY%20outputs%20REVISED-Vietnam-25May2022.docx?d=w524870cc617f41739b6c38d9f2470840&amp;csf=1&amp;web=1&amp;e=7zoQ1L" TargetMode="External"/><Relationship Id="rId95" Type="http://schemas.openxmlformats.org/officeDocument/2006/relationships/image" Target="media/image30.png"/><Relationship Id="rId19" Type="http://schemas.openxmlformats.org/officeDocument/2006/relationships/hyperlink" Target="https://itadltd.sharepoint.com/sites/FlemingFund/Shared%20Documents/Reporting/Phase%201/Dec%202022%20-%20summative%20report/Revised%20EQUALs%20Review%20July%202023/Fleming%20Fund%20Summative%20Report%20Annexes%20Revised%20July%202023.docx" TargetMode="External"/><Relationship Id="rId14" Type="http://schemas.openxmlformats.org/officeDocument/2006/relationships/footer" Target="footer1.xml"/><Relationship Id="rId22" Type="http://schemas.openxmlformats.org/officeDocument/2006/relationships/hyperlink" Target="file:///C:/Users/Henri/Documents/Fleming%20Fund%20Summative%20Report%20Annexes%20Revised%20May%202023_proofread.docx" TargetMode="Externa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footer" Target="footer4.xml"/><Relationship Id="rId43" Type="http://schemas.openxmlformats.org/officeDocument/2006/relationships/image" Target="media/image17.png"/><Relationship Id="rId48" Type="http://schemas.openxmlformats.org/officeDocument/2006/relationships/chart" Target="charts/chart3.xml"/><Relationship Id="rId56" Type="http://schemas.openxmlformats.org/officeDocument/2006/relationships/image" Target="media/image24.png"/><Relationship Id="rId64" Type="http://schemas.openxmlformats.org/officeDocument/2006/relationships/hyperlink" Target="https://itadltd.sharepoint.com/:w:/r/sites/FlemingFund/Shared%20Documents/Country%20Visits/Laos/CV3/3.%20Outputs%20(templates,%20drafts%20and%20completed%20tools%20saved%20here)/SUSTAINABILITY%20Laos%205.8.22.docx?d=we8a8b987ed6c46abb41d651f528eff71&amp;csf=1&amp;web=1&amp;e=F8z6MJ" TargetMode="External"/><Relationship Id="rId69" Type="http://schemas.openxmlformats.org/officeDocument/2006/relationships/hyperlink" Target="https://itadltd.sharepoint.com/:w:/r/sites/FlemingFund/Shared%20Documents/Country%20Visits/Sierra%20Leone/CV3/3.%20Outputs%20(templates,%20drafts%20and%20completed%20tools%20saved%20here)/Tools/Final%20Revised%20Tools/SUSTAINABILITY%20outputs%20REVISED_Sierra%20Leone_CV3.docx?d=w0ef95513b2f84138992bff0f46550b6e&amp;csf=1&amp;web=1&amp;e=xPTaqS" TargetMode="External"/><Relationship Id="rId77" Type="http://schemas.openxmlformats.org/officeDocument/2006/relationships/hyperlink" Target="https://itadltd.sharepoint.com/:w:/r/sites/FlemingFund/Shared%20Documents/Country%20Visits/Bhutan/CV3/3.%20Outputs%20(templates,%20drafts%20and%20completed%20tools%20saved%20here)/Updated%20Tools/SUSTAINABILITY%20tool%20Bhutan%20Feb%202022_Final.docx?d=wfb5fe86446494162b82e6569a8b763e4&amp;csf=1&amp;web=1&amp;e=QbhoCx" TargetMode="External"/><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chart" Target="charts/chart4.xml"/><Relationship Id="rId72" Type="http://schemas.openxmlformats.org/officeDocument/2006/relationships/hyperlink" Target="https://itadltd.sharepoint.com/:w:/r/sites/FlemingFund/Shared%20Documents/Country%20Visits/Timor%20Leste/CV3/3.%20Outputs%20(templates,%20drafts%20and%20completed%20tools%20saved%20here)/Final%20Revised%20tools/SUSTAINABILITY%20outputs%20REVISED%20Timor%20Leste.docx?d=w210349d26cfa4a198b63d211c1d138d5&amp;csf=1&amp;web=1&amp;e=gnuBdY" TargetMode="External"/><Relationship Id="rId80" Type="http://schemas.openxmlformats.org/officeDocument/2006/relationships/hyperlink" Target="https://itadltd.sharepoint.com/:w:/r/sites/FlemingFund/Shared%20Documents/Country%20Visits/Kenya/CV3/3.%20Outputs%20(templates,%20drafts%20and%20completed%20tools%20saved%20here)/Tools/SUSTAINABILITY%20outputs_Kenya_CV3_complete.docx?d=w4585ff217a2f438e9ada02ac75262250&amp;csf=1&amp;web=1&amp;e=PpBBmu" TargetMode="External"/><Relationship Id="rId85" Type="http://schemas.openxmlformats.org/officeDocument/2006/relationships/hyperlink" Target="https://itadltd.sharepoint.com/:w:/r/sites/FlemingFund/Shared%20Documents/Country%20Visits/Senegal/CV3/3.%20Outputs%20(templates,%20drafts%20and%20completed%20tools%20saved%20here)/CV3%20tools%202/Finalised%20tools/SUSTAINABILITY%20outputs%20REVISED%20-%20Senegal.docx?d=w9d41fddd4d574a5ebc91c8d658373aa9&amp;csf=1&amp;web=1&amp;e=QPgFyI" TargetMode="External"/><Relationship Id="rId93" Type="http://schemas.openxmlformats.org/officeDocument/2006/relationships/image" Target="media/image28.png"/><Relationship Id="rId98" Type="http://schemas.openxmlformats.org/officeDocument/2006/relationships/image" Target="media/image33.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yperlink" Target="https://itadltd.sharepoint.com/sites/FlemingFund/Shared%20Documents/Reporting/Phase%201/Dec%202022%20-%20summative%20report/Revised%20EQUALs%20Review%20July%202023/Fleming%20Fund%20Summative%20Report%20Annexes%20Revised%20July%202023.docx" TargetMode="External"/><Relationship Id="rId25" Type="http://schemas.openxmlformats.org/officeDocument/2006/relationships/image" Target="media/image5.png"/><Relationship Id="rId33" Type="http://schemas.openxmlformats.org/officeDocument/2006/relationships/image" Target="media/image11.png"/><Relationship Id="rId38" Type="http://schemas.openxmlformats.org/officeDocument/2006/relationships/chart" Target="charts/chart1.xml"/><Relationship Id="rId46" Type="http://schemas.openxmlformats.org/officeDocument/2006/relationships/image" Target="media/image20.png"/><Relationship Id="rId59" Type="http://schemas.openxmlformats.org/officeDocument/2006/relationships/hyperlink" Target="https://itadltd.sharepoint.com/:w:/r/sites/FlemingFund/Shared%20Documents/Country%20Visits/Bangladesh/CV3/3.%20Outputs%20(templates,%20drafts,%20completed%20tools%20saved%20here)/Revised%20tools%20for%20cross%20country%20analysis%20June%202022/SUSTAINABILITY%20outputs%20REVISED%20Bangladesh%20May.docx?d=w27c65c2bc06d4777b4355a2c24381caf&amp;csf=1&amp;web=1&amp;e=x8APvJ" TargetMode="External"/><Relationship Id="rId67" Type="http://schemas.openxmlformats.org/officeDocument/2006/relationships/hyperlink" Target="https://itadltd.sharepoint.com/:w:/r/sites/FlemingFund/Shared%20Documents/Country%20Visits/Pakistan/CV3/3.%20Outputs%20(templates,%20drafts%20and%20completed%20tools%20saved%20here)/Pakistan%20Data%20Collection%20July%202022/Pakistan_SUSTAINABILITY%20outputs%20REVISED%20updated%20July%202022.docx?d=w26c0e82e6bf7488eaea37df35f1ca498&amp;csf=1&amp;web=1&amp;e=5qh2Wm" TargetMode="External"/><Relationship Id="rId20" Type="http://schemas.openxmlformats.org/officeDocument/2006/relationships/hyperlink" Target="https://itadltd.sharepoint.com/sites/FlemingFund/Shared%20Documents/Reporting/Phase%201/Dec%202022%20-%20summative%20report/Revised%20EQUALs%20Review%20July%202023/Fleming%20Fund%20Summative%20Report%20Annexes%20Revised%20July%202023.docx" TargetMode="External"/><Relationship Id="rId41" Type="http://schemas.openxmlformats.org/officeDocument/2006/relationships/image" Target="media/image15.png"/><Relationship Id="rId54" Type="http://schemas.openxmlformats.org/officeDocument/2006/relationships/image" Target="media/image22.png"/><Relationship Id="rId62" Type="http://schemas.openxmlformats.org/officeDocument/2006/relationships/hyperlink" Target="https://itadltd.sharepoint.com/:w:/r/sites/FlemingFund/Shared%20Documents/Country%20Visits/Indonesia/CV3/3.%20Outputs%20(templates,%20drafts%20and%20completed%20tools%20saved%20here)/Revised%20tools%20for%20Cross%20Country%20Analysis%202022/SUSTAINABILITY%20outputs%20REVISED%20Indonesia%20May.docx?d=waa52ea22b4e0423f9046db904d357e4d&amp;csf=1&amp;web=1&amp;e=QYAU96" TargetMode="External"/><Relationship Id="rId70" Type="http://schemas.openxmlformats.org/officeDocument/2006/relationships/hyperlink" Target="https://itadltd.sharepoint.com/:w:/r/sites/FlemingFund/Shared%20Documents/Country%20Visits/Tanzania/CV3/3.%20Outputs%20(templates,%20drafts%20and%20completed%20tools%20saved%20here)/Outputs/Tanzania%20SUSTAINABILITY%20outputs_complete.docx?d=w6d58748ddf1a4828a6c7affccc8e3cc7&amp;csf=1&amp;web=1&amp;e=ZigEUi" TargetMode="External"/><Relationship Id="rId75" Type="http://schemas.openxmlformats.org/officeDocument/2006/relationships/hyperlink" Target="https://itadltd.sharepoint.com/:w:/r/sites/FlemingFund/Shared%20Documents/Country%20Visits/Zambia/CV3/0.%20Outputs%20-%20Tools/SUSTAINABILITY%20outputs%20REVISED%20Zambia.docx?d=wa4c1724331b14069a5bb98c66a835de3&amp;csf=1&amp;web=1&amp;e=DrH5io" TargetMode="External"/><Relationship Id="rId83" Type="http://schemas.openxmlformats.org/officeDocument/2006/relationships/hyperlink" Target="https://itadltd.sharepoint.com/:w:/r/sites/FlemingFund/Shared%20Documents/Country%20Visits/Nigeria/CV3/3.%20Outputs%20(templates,%20drafts%20and%20completed%20tools%20saved%20here)/CV3%20tools/Finalised%20tools/SUSTAINABILITY%20outputs%20REVISED%20Nigeria%20May%202022.docx?d=w2505a6409530415a8fe43def97f407b4&amp;csf=1&amp;web=1&amp;e=7wQBE4" TargetMode="External"/><Relationship Id="rId88" Type="http://schemas.openxmlformats.org/officeDocument/2006/relationships/hyperlink" Target="https://itadltd.sharepoint.com/:w:/r/sites/FlemingFund/Shared%20Documents/Country%20Visits/Timor%20Leste/CV3/3.%20Outputs%20(templates,%20drafts%20and%20completed%20tools%20saved%20here)/Final%20Revised%20tools/SUSTAINABILITY%20outputs%20REVISED%20Timor%20Leste.docx?d=w210349d26cfa4a198b63d211c1d138d5&amp;csf=1&amp;web=1&amp;e=gnuBdY" TargetMode="External"/><Relationship Id="rId91" Type="http://schemas.openxmlformats.org/officeDocument/2006/relationships/hyperlink" Target="https://itadltd.sharepoint.com/:w:/r/sites/FlemingFund/Shared%20Documents/Country%20Visits/Zambia/CV3/0.%20Outputs%20-%20Tools/SUSTAINABILITY%20outputs%20REVISED%20Zambia.docx?d=wa4c1724331b14069a5bb98c66a835de3&amp;csf=1&amp;web=1&amp;e=DrH5io" TargetMode="External"/><Relationship Id="rId96"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eader" Target="header2.xml"/><Relationship Id="rId28" Type="http://schemas.openxmlformats.org/officeDocument/2006/relationships/image" Target="media/image8.png"/><Relationship Id="rId36" Type="http://schemas.openxmlformats.org/officeDocument/2006/relationships/image" Target="media/image12.png"/><Relationship Id="rId49" Type="http://schemas.openxmlformats.org/officeDocument/2006/relationships/hyperlink" Target="https://www.flemingfund.org/publications/common-elements-of-good-practice-for-supporting-one-health/" TargetMode="External"/><Relationship Id="rId57" Type="http://schemas.openxmlformats.org/officeDocument/2006/relationships/image" Target="media/image25.png"/><Relationship Id="rId10" Type="http://schemas.openxmlformats.org/officeDocument/2006/relationships/endnotes" Target="endnotes.xml"/><Relationship Id="rId31" Type="http://schemas.openxmlformats.org/officeDocument/2006/relationships/header" Target="header3.xml"/><Relationship Id="rId44" Type="http://schemas.openxmlformats.org/officeDocument/2006/relationships/image" Target="media/image18.png"/><Relationship Id="rId52" Type="http://schemas.openxmlformats.org/officeDocument/2006/relationships/chart" Target="charts/chart5.xml"/><Relationship Id="rId60" Type="http://schemas.openxmlformats.org/officeDocument/2006/relationships/hyperlink" Target="https://itadltd.sharepoint.com/:w:/r/sites/FlemingFund/Shared%20Documents/Country%20Visits/Bhutan/CV3/3.%20Outputs%20(templates,%20drafts%20and%20completed%20tools%20saved%20here)/Updated%20Tools/SUSTAINABILITY%20tool%20Bhutan%20Feb%202022_Final.docx?d=wfb5fe86446494162b82e6569a8b763e4&amp;csf=1&amp;web=1&amp;e=QbhoCx" TargetMode="External"/><Relationship Id="rId65" Type="http://schemas.openxmlformats.org/officeDocument/2006/relationships/hyperlink" Target="https://itadltd.sharepoint.com/:w:/r/sites/FlemingFund/Shared%20Documents/Country%20Visits/Nigeria/CV3/3.%20Outputs%20(templates,%20drafts%20and%20completed%20tools%20saved%20here)/CV3%20tools/Finalised%20tools/SUSTAINABILITY%20outputs%20REVISED%20Nigeria%20May%202022.docx?d=w2505a6409530415a8fe43def97f407b4&amp;csf=1&amp;web=1&amp;e=7wQBE4" TargetMode="External"/><Relationship Id="rId73" Type="http://schemas.openxmlformats.org/officeDocument/2006/relationships/hyperlink" Target="https://itadltd.sharepoint.com/:w:/r/sites/FlemingFund/Shared%20Documents/Country%20Visits/Uganda/CV3/3.%20Outputs%20(templates,%20drafts%20and%20completed%20tools%20saved%20here)/Completed%20tools/SUSTAINABILITY%20outputs%20FINAL%20Uganda.docx?d=w633bbe3e4c1f44029765c63597ac0fe0&amp;csf=1&amp;web=1&amp;e=KMeWHG" TargetMode="External"/><Relationship Id="rId78" Type="http://schemas.openxmlformats.org/officeDocument/2006/relationships/hyperlink" Target="https://itadltd.sharepoint.com/:w:/r/sites/FlemingFund/Shared%20Documents/Country%20Visits/Ghana/CV3/3.%20Outputs%20(templates,%20drafts%20and%20completed%20tools%20saved%20here)/Ghana%20SUSTAINABILITY%20outputs%20REVISED%20with%20KIIs%20ad%20final.docx?d=we0b0be68a5f24211b3b516b7fa63978a&amp;csf=1&amp;web=1&amp;e=E48bzD" TargetMode="External"/><Relationship Id="rId81" Type="http://schemas.openxmlformats.org/officeDocument/2006/relationships/hyperlink" Target="https://itadltd.sharepoint.com/:w:/r/sites/FlemingFund/Shared%20Documents/Country%20Visits/Laos/CV3/3.%20Outputs%20(templates,%20drafts%20and%20completed%20tools%20saved%20here)/SUSTAINABILITY%20Laos%205.8.22.docx?d=we8a8b987ed6c46abb41d651f528eff71&amp;csf=1&amp;web=1&amp;e=F8z6MJ" TargetMode="External"/><Relationship Id="rId86" Type="http://schemas.openxmlformats.org/officeDocument/2006/relationships/hyperlink" Target="https://itadltd.sharepoint.com/:w:/r/sites/FlemingFund/Shared%20Documents/Country%20Visits/Sierra%20Leone/CV3/3.%20Outputs%20(templates,%20drafts%20and%20completed%20tools%20saved%20here)/Tools/Final%20Revised%20Tools/SUSTAINABILITY%20outputs%20REVISED_Sierra%20Leone_CV3.docx?d=w0ef95513b2f84138992bff0f46550b6e&amp;csf=1&amp;web=1&amp;e=xPTaqS" TargetMode="External"/><Relationship Id="rId94" Type="http://schemas.openxmlformats.org/officeDocument/2006/relationships/image" Target="media/image29.png"/><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yperlink" Target="https://itadltd.sharepoint.com/sites/FlemingFund/Shared%20Documents/Reporting/Phase%201/Dec%202022%20-%20summative%20report/Revised%20EQUALs%20Review%20July%202023/Fleming%20Fund%20Summative%20Report%20Annexes%20Revised%20July%202023.docx" TargetMode="External"/><Relationship Id="rId39" Type="http://schemas.openxmlformats.org/officeDocument/2006/relationships/chart" Target="charts/chart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8" Type="http://schemas.openxmlformats.org/officeDocument/2006/relationships/hyperlink" Target="https://assets.publishing.service.gov.uk/government/uploads/system/uploads/attachment_data/file/1034125/dfid-ethics-prcpls-rsrch-eval-withdrawn.pdf" TargetMode="External"/><Relationship Id="rId3" Type="http://schemas.openxmlformats.org/officeDocument/2006/relationships/hyperlink" Target="https://doi.org/10.1093/oso/9780198747000.003.0003" TargetMode="External"/><Relationship Id="rId7" Type="http://schemas.openxmlformats.org/officeDocument/2006/relationships/hyperlink" Target="https://www.nao.org.uk/successful-commissioning/general-principles/value-for-money/assessing-value-for-money/" TargetMode="External"/><Relationship Id="rId2" Type="http://schemas.openxmlformats.org/officeDocument/2006/relationships/hyperlink" Target="https://www.oecd-ilibrary.org/sites/543e84ed-en/1/3/4/index.html?itemId=/content/publication/543e84ed-en&amp;_csp_=535d2f2a848b7727d35502d7f36e4885&amp;itemIGO=oecd&amp;itemContentType=book" TargetMode="External"/><Relationship Id="rId1" Type="http://schemas.openxmlformats.org/officeDocument/2006/relationships/hyperlink" Target="https://www.avma.org/onehealth" TargetMode="External"/><Relationship Id="rId6" Type="http://schemas.openxmlformats.org/officeDocument/2006/relationships/hyperlink" Target="https://www.flemingfund.org/publications/common-elements-of-good-practice-for-sustainability/" TargetMode="External"/><Relationship Id="rId11" Type="http://schemas.openxmlformats.org/officeDocument/2006/relationships/hyperlink" Target="https://www.itad.com/article/no-time-to-wait-evaluating-the-fight-against-drugmageddon/" TargetMode="External"/><Relationship Id="rId5" Type="http://schemas.openxmlformats.org/officeDocument/2006/relationships/hyperlink" Target="https://doi.org/10.1016/j.socscimed.2019.112596" TargetMode="External"/><Relationship Id="rId10" Type="http://schemas.openxmlformats.org/officeDocument/2006/relationships/hyperlink" Target="https://itad.com/knowledge-and-resources/mveval/" TargetMode="External"/><Relationship Id="rId4" Type="http://schemas.openxmlformats.org/officeDocument/2006/relationships/hyperlink" Target="https://opendocs.ids.ac.uk/opendocs/bitstream/handle/20.500.12413/7141/GOKH%20Stories%20of%20Change%20FINAL.pdf;sequence=1" TargetMode="External"/><Relationship Id="rId9" Type="http://schemas.openxmlformats.org/officeDocument/2006/relationships/hyperlink" Target="https://www.oecd.org/dac/evaluation/DFID-Ethics-Principles-Report.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cob.Brown\Desktop\Itad%20report%20template%202020%20(ID%20227179).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jenny\Documents\Lamp%20Development\Projects\Current\Fleming%20Fund\2021-22\Report\VFM%20CA%20investment%20type%20analysis_updated%2018%20Oc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instdevelopmentstudies-my.sharepoint.com/personal/syeda1_ids_ac_uk/Documents/Activities/ITAD%20Fleming%20Fund%20evaln/One%20Health/Analysis%20+%20Reflections/One%20Health%20analysis%20tool%20(Summative%20report%20CV3).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Julie-Anne.Darsley\OneDrive%20-%20Itad\Desktop\Copy%20of%20quant%20charts%20-%20Sept%20202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Julie-Anne.Darsley\OneDrive%20-%20Itad\Desktop\Copy%20of%20quant%20charts%20-%20Sept%202022.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dirty="0"/>
              <a:t>Fleming Fund Country Grants Expenditure </a:t>
            </a:r>
          </a:p>
          <a:p>
            <a:pPr>
              <a:defRPr/>
            </a:pPr>
            <a:r>
              <a:rPr lang="en-GB" sz="1100" dirty="0"/>
              <a:t>(Sep 2019-June</a:t>
            </a:r>
            <a:r>
              <a:rPr lang="en-GB" sz="1100" baseline="0" dirty="0"/>
              <a:t> </a:t>
            </a:r>
            <a:r>
              <a:rPr lang="en-GB" sz="1100" dirty="0"/>
              <a:t>2022)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percentStacked"/>
        <c:varyColors val="0"/>
        <c:ser>
          <c:idx val="0"/>
          <c:order val="0"/>
          <c:tx>
            <c:strRef>
              <c:f>'CG OH and IDC'!$D$30</c:f>
              <c:strCache>
                <c:ptCount val="1"/>
                <c:pt idx="0">
                  <c:v>Overhead (IDC)</c:v>
                </c:pt>
              </c:strCache>
            </c:strRef>
          </c:tx>
          <c:spPr>
            <a:solidFill>
              <a:schemeClr val="accent1"/>
            </a:solidFill>
            <a:ln>
              <a:noFill/>
            </a:ln>
            <a:effectLst/>
          </c:spPr>
          <c:invertIfNegative val="0"/>
          <c:cat>
            <c:strRef>
              <c:f>'CG OH and IDC'!$A$31:$A$45</c:f>
              <c:strCache>
                <c:ptCount val="15"/>
                <c:pt idx="0">
                  <c:v>Bhutan</c:v>
                </c:pt>
                <c:pt idx="1">
                  <c:v>Ghana</c:v>
                </c:pt>
                <c:pt idx="2">
                  <c:v>Uganda</c:v>
                </c:pt>
                <c:pt idx="3">
                  <c:v>Senegal</c:v>
                </c:pt>
                <c:pt idx="4">
                  <c:v>Kenya</c:v>
                </c:pt>
                <c:pt idx="5">
                  <c:v>Tanzania</c:v>
                </c:pt>
                <c:pt idx="6">
                  <c:v>Timor-Leste</c:v>
                </c:pt>
                <c:pt idx="7">
                  <c:v>Zambia</c:v>
                </c:pt>
                <c:pt idx="8">
                  <c:v>Nepal</c:v>
                </c:pt>
                <c:pt idx="9">
                  <c:v>Pakistan </c:v>
                </c:pt>
                <c:pt idx="10">
                  <c:v>Indonesia</c:v>
                </c:pt>
                <c:pt idx="11">
                  <c:v>Vietnam</c:v>
                </c:pt>
                <c:pt idx="12">
                  <c:v>Bangladesh</c:v>
                </c:pt>
                <c:pt idx="13">
                  <c:v>Laos</c:v>
                </c:pt>
                <c:pt idx="14">
                  <c:v>Nigeria</c:v>
                </c:pt>
              </c:strCache>
            </c:strRef>
          </c:cat>
          <c:val>
            <c:numRef>
              <c:f>'CG OH and IDC'!$D$31:$D$45</c:f>
              <c:numCache>
                <c:formatCode>_-* #,##0_-;\-* #,##0_-;_-* "-"??_-;_-@_-</c:formatCode>
                <c:ptCount val="15"/>
                <c:pt idx="1">
                  <c:v>113776.0275953403</c:v>
                </c:pt>
                <c:pt idx="2">
                  <c:v>320407.10957100458</c:v>
                </c:pt>
                <c:pt idx="3">
                  <c:v>109278.54195655098</c:v>
                </c:pt>
                <c:pt idx="4">
                  <c:v>439836.19859999965</c:v>
                </c:pt>
                <c:pt idx="5">
                  <c:v>437161.68929999985</c:v>
                </c:pt>
                <c:pt idx="6">
                  <c:v>581383.58960000006</c:v>
                </c:pt>
                <c:pt idx="7">
                  <c:v>353123.22810000007</c:v>
                </c:pt>
                <c:pt idx="8">
                  <c:v>517415.34040640009</c:v>
                </c:pt>
                <c:pt idx="9">
                  <c:v>1037514.1284942611</c:v>
                </c:pt>
                <c:pt idx="10">
                  <c:v>1027820.5968445</c:v>
                </c:pt>
                <c:pt idx="11">
                  <c:v>879484.87139999995</c:v>
                </c:pt>
                <c:pt idx="12">
                  <c:v>552658.83509659988</c:v>
                </c:pt>
                <c:pt idx="13">
                  <c:v>108155.43270622632</c:v>
                </c:pt>
                <c:pt idx="14">
                  <c:v>1428195.7336000004</c:v>
                </c:pt>
              </c:numCache>
            </c:numRef>
          </c:val>
          <c:extLst>
            <c:ext xmlns:c16="http://schemas.microsoft.com/office/drawing/2014/chart" uri="{C3380CC4-5D6E-409C-BE32-E72D297353CC}">
              <c16:uniqueId val="{00000000-F030-4323-B4DF-35E21EC4AA38}"/>
            </c:ext>
          </c:extLst>
        </c:ser>
        <c:ser>
          <c:idx val="1"/>
          <c:order val="1"/>
          <c:tx>
            <c:strRef>
              <c:f>'CG OH and IDC'!$E$30</c:f>
              <c:strCache>
                <c:ptCount val="1"/>
                <c:pt idx="0">
                  <c:v>Overhead (M&amp;OH)</c:v>
                </c:pt>
              </c:strCache>
            </c:strRef>
          </c:tx>
          <c:spPr>
            <a:solidFill>
              <a:schemeClr val="accent2"/>
            </a:solidFill>
            <a:ln>
              <a:noFill/>
            </a:ln>
            <a:effectLst/>
          </c:spPr>
          <c:invertIfNegative val="0"/>
          <c:cat>
            <c:strRef>
              <c:f>'CG OH and IDC'!$A$31:$A$45</c:f>
              <c:strCache>
                <c:ptCount val="15"/>
                <c:pt idx="0">
                  <c:v>Bhutan</c:v>
                </c:pt>
                <c:pt idx="1">
                  <c:v>Ghana</c:v>
                </c:pt>
                <c:pt idx="2">
                  <c:v>Uganda</c:v>
                </c:pt>
                <c:pt idx="3">
                  <c:v>Senegal</c:v>
                </c:pt>
                <c:pt idx="4">
                  <c:v>Kenya</c:v>
                </c:pt>
                <c:pt idx="5">
                  <c:v>Tanzania</c:v>
                </c:pt>
                <c:pt idx="6">
                  <c:v>Timor-Leste</c:v>
                </c:pt>
                <c:pt idx="7">
                  <c:v>Zambia</c:v>
                </c:pt>
                <c:pt idx="8">
                  <c:v>Nepal</c:v>
                </c:pt>
                <c:pt idx="9">
                  <c:v>Pakistan </c:v>
                </c:pt>
                <c:pt idx="10">
                  <c:v>Indonesia</c:v>
                </c:pt>
                <c:pt idx="11">
                  <c:v>Vietnam</c:v>
                </c:pt>
                <c:pt idx="12">
                  <c:v>Bangladesh</c:v>
                </c:pt>
                <c:pt idx="13">
                  <c:v>Laos</c:v>
                </c:pt>
                <c:pt idx="14">
                  <c:v>Nigeria</c:v>
                </c:pt>
              </c:strCache>
            </c:strRef>
          </c:cat>
          <c:val>
            <c:numRef>
              <c:f>'CG OH and IDC'!$E$31:$E$45</c:f>
              <c:numCache>
                <c:formatCode>_-* #,##0.0_-;\-* #,##0.0_-;_-* "-"??_-;_-@_-</c:formatCode>
                <c:ptCount val="15"/>
                <c:pt idx="0">
                  <c:v>56736.981054872362</c:v>
                </c:pt>
                <c:pt idx="1">
                  <c:v>144925.09814240292</c:v>
                </c:pt>
                <c:pt idx="2">
                  <c:v>244851.39786750282</c:v>
                </c:pt>
                <c:pt idx="3">
                  <c:v>26992.37</c:v>
                </c:pt>
                <c:pt idx="4">
                  <c:v>149030.24809999991</c:v>
                </c:pt>
                <c:pt idx="5">
                  <c:v>155865.68768600002</c:v>
                </c:pt>
                <c:pt idx="6">
                  <c:v>675681.43629999913</c:v>
                </c:pt>
                <c:pt idx="7">
                  <c:v>451125.38220000017</c:v>
                </c:pt>
                <c:pt idx="8">
                  <c:v>248384.59537440012</c:v>
                </c:pt>
                <c:pt idx="9">
                  <c:v>446679.57025741815</c:v>
                </c:pt>
                <c:pt idx="10">
                  <c:v>695488.31255313393</c:v>
                </c:pt>
                <c:pt idx="11">
                  <c:v>625833.77519999922</c:v>
                </c:pt>
                <c:pt idx="12">
                  <c:v>548478.5628730047</c:v>
                </c:pt>
                <c:pt idx="13">
                  <c:v>310548.25204718224</c:v>
                </c:pt>
                <c:pt idx="14">
                  <c:v>2192528.1851000264</c:v>
                </c:pt>
              </c:numCache>
            </c:numRef>
          </c:val>
          <c:extLst>
            <c:ext xmlns:c16="http://schemas.microsoft.com/office/drawing/2014/chart" uri="{C3380CC4-5D6E-409C-BE32-E72D297353CC}">
              <c16:uniqueId val="{00000001-F030-4323-B4DF-35E21EC4AA38}"/>
            </c:ext>
          </c:extLst>
        </c:ser>
        <c:ser>
          <c:idx val="2"/>
          <c:order val="2"/>
          <c:tx>
            <c:strRef>
              <c:f>'CG OH and IDC'!$F$30</c:f>
              <c:strCache>
                <c:ptCount val="1"/>
                <c:pt idx="0">
                  <c:v>Cross-cutting</c:v>
                </c:pt>
              </c:strCache>
            </c:strRef>
          </c:tx>
          <c:spPr>
            <a:solidFill>
              <a:schemeClr val="accent3"/>
            </a:solidFill>
            <a:ln>
              <a:noFill/>
            </a:ln>
            <a:effectLst/>
          </c:spPr>
          <c:invertIfNegative val="0"/>
          <c:cat>
            <c:strRef>
              <c:f>'CG OH and IDC'!$A$31:$A$45</c:f>
              <c:strCache>
                <c:ptCount val="15"/>
                <c:pt idx="0">
                  <c:v>Bhutan</c:v>
                </c:pt>
                <c:pt idx="1">
                  <c:v>Ghana</c:v>
                </c:pt>
                <c:pt idx="2">
                  <c:v>Uganda</c:v>
                </c:pt>
                <c:pt idx="3">
                  <c:v>Senegal</c:v>
                </c:pt>
                <c:pt idx="4">
                  <c:v>Kenya</c:v>
                </c:pt>
                <c:pt idx="5">
                  <c:v>Tanzania</c:v>
                </c:pt>
                <c:pt idx="6">
                  <c:v>Timor-Leste</c:v>
                </c:pt>
                <c:pt idx="7">
                  <c:v>Zambia</c:v>
                </c:pt>
                <c:pt idx="8">
                  <c:v>Nepal</c:v>
                </c:pt>
                <c:pt idx="9">
                  <c:v>Pakistan </c:v>
                </c:pt>
                <c:pt idx="10">
                  <c:v>Indonesia</c:v>
                </c:pt>
                <c:pt idx="11">
                  <c:v>Vietnam</c:v>
                </c:pt>
                <c:pt idx="12">
                  <c:v>Bangladesh</c:v>
                </c:pt>
                <c:pt idx="13">
                  <c:v>Laos</c:v>
                </c:pt>
                <c:pt idx="14">
                  <c:v>Nigeria</c:v>
                </c:pt>
              </c:strCache>
            </c:strRef>
          </c:cat>
          <c:val>
            <c:numRef>
              <c:f>'CG OH and IDC'!$F$31:$F$45</c:f>
              <c:numCache>
                <c:formatCode>General</c:formatCode>
                <c:ptCount val="15"/>
                <c:pt idx="0">
                  <c:v>103350.89429026414</c:v>
                </c:pt>
                <c:pt idx="1">
                  <c:v>315481.88852506725</c:v>
                </c:pt>
                <c:pt idx="2">
                  <c:v>1063717.5689934806</c:v>
                </c:pt>
                <c:pt idx="3">
                  <c:v>328332.18894420221</c:v>
                </c:pt>
                <c:pt idx="4">
                  <c:v>979003.8223999996</c:v>
                </c:pt>
                <c:pt idx="5">
                  <c:v>731536.50006210094</c:v>
                </c:pt>
                <c:pt idx="6">
                  <c:v>383654.03279999539</c:v>
                </c:pt>
                <c:pt idx="7">
                  <c:v>716047.61560000235</c:v>
                </c:pt>
                <c:pt idx="8">
                  <c:v>514466.59023940092</c:v>
                </c:pt>
                <c:pt idx="9">
                  <c:v>1343413.9858998868</c:v>
                </c:pt>
                <c:pt idx="10">
                  <c:v>1224692.347100006</c:v>
                </c:pt>
                <c:pt idx="11">
                  <c:v>1415750.7977000042</c:v>
                </c:pt>
                <c:pt idx="12">
                  <c:v>780258.24087531876</c:v>
                </c:pt>
                <c:pt idx="13">
                  <c:v>133891.67640435405</c:v>
                </c:pt>
                <c:pt idx="14">
                  <c:v>106405.37359998375</c:v>
                </c:pt>
              </c:numCache>
            </c:numRef>
          </c:val>
          <c:extLst>
            <c:ext xmlns:c16="http://schemas.microsoft.com/office/drawing/2014/chart" uri="{C3380CC4-5D6E-409C-BE32-E72D297353CC}">
              <c16:uniqueId val="{00000002-F030-4323-B4DF-35E21EC4AA38}"/>
            </c:ext>
          </c:extLst>
        </c:ser>
        <c:ser>
          <c:idx val="3"/>
          <c:order val="3"/>
          <c:tx>
            <c:strRef>
              <c:f>'CG OH and IDC'!$G$30</c:f>
              <c:strCache>
                <c:ptCount val="1"/>
                <c:pt idx="0">
                  <c:v>By investment area</c:v>
                </c:pt>
              </c:strCache>
            </c:strRef>
          </c:tx>
          <c:spPr>
            <a:solidFill>
              <a:schemeClr val="accent4"/>
            </a:solidFill>
            <a:ln>
              <a:noFill/>
            </a:ln>
            <a:effectLst/>
          </c:spPr>
          <c:invertIfNegative val="0"/>
          <c:cat>
            <c:strRef>
              <c:f>'CG OH and IDC'!$A$31:$A$45</c:f>
              <c:strCache>
                <c:ptCount val="15"/>
                <c:pt idx="0">
                  <c:v>Bhutan</c:v>
                </c:pt>
                <c:pt idx="1">
                  <c:v>Ghana</c:v>
                </c:pt>
                <c:pt idx="2">
                  <c:v>Uganda</c:v>
                </c:pt>
                <c:pt idx="3">
                  <c:v>Senegal</c:v>
                </c:pt>
                <c:pt idx="4">
                  <c:v>Kenya</c:v>
                </c:pt>
                <c:pt idx="5">
                  <c:v>Tanzania</c:v>
                </c:pt>
                <c:pt idx="6">
                  <c:v>Timor-Leste</c:v>
                </c:pt>
                <c:pt idx="7">
                  <c:v>Zambia</c:v>
                </c:pt>
                <c:pt idx="8">
                  <c:v>Nepal</c:v>
                </c:pt>
                <c:pt idx="9">
                  <c:v>Pakistan </c:v>
                </c:pt>
                <c:pt idx="10">
                  <c:v>Indonesia</c:v>
                </c:pt>
                <c:pt idx="11">
                  <c:v>Vietnam</c:v>
                </c:pt>
                <c:pt idx="12">
                  <c:v>Bangladesh</c:v>
                </c:pt>
                <c:pt idx="13">
                  <c:v>Laos</c:v>
                </c:pt>
                <c:pt idx="14">
                  <c:v>Nigeria</c:v>
                </c:pt>
              </c:strCache>
            </c:strRef>
          </c:cat>
          <c:val>
            <c:numRef>
              <c:f>'CG OH and IDC'!$G$31:$G$45</c:f>
              <c:numCache>
                <c:formatCode>_(* #,##0.00_);_(* \(#,##0.00\);_(* "-"??_);_(@_)</c:formatCode>
                <c:ptCount val="15"/>
                <c:pt idx="0">
                  <c:v>1519509.9475753694</c:v>
                </c:pt>
                <c:pt idx="1">
                  <c:v>1929278.4359544395</c:v>
                </c:pt>
                <c:pt idx="2">
                  <c:v>3024855.0663386779</c:v>
                </c:pt>
                <c:pt idx="3">
                  <c:v>445657.21006098797</c:v>
                </c:pt>
                <c:pt idx="4">
                  <c:v>1689214.8318000035</c:v>
                </c:pt>
                <c:pt idx="5">
                  <c:v>1474933.2648886973</c:v>
                </c:pt>
                <c:pt idx="6">
                  <c:v>3788554.2401757566</c:v>
                </c:pt>
                <c:pt idx="7">
                  <c:v>1889172.5377000005</c:v>
                </c:pt>
                <c:pt idx="8">
                  <c:v>1643979.3101905964</c:v>
                </c:pt>
                <c:pt idx="9">
                  <c:v>2361730.2936969181</c:v>
                </c:pt>
                <c:pt idx="10">
                  <c:v>2572592.6118000005</c:v>
                </c:pt>
                <c:pt idx="11">
                  <c:v>1200888.4015000118</c:v>
                </c:pt>
                <c:pt idx="12">
                  <c:v>1012952.7249213529</c:v>
                </c:pt>
                <c:pt idx="13">
                  <c:v>492284.15422997298</c:v>
                </c:pt>
                <c:pt idx="14">
                  <c:v>4502953.3933998831</c:v>
                </c:pt>
              </c:numCache>
            </c:numRef>
          </c:val>
          <c:extLst>
            <c:ext xmlns:c16="http://schemas.microsoft.com/office/drawing/2014/chart" uri="{C3380CC4-5D6E-409C-BE32-E72D297353CC}">
              <c16:uniqueId val="{00000003-F030-4323-B4DF-35E21EC4AA38}"/>
            </c:ext>
          </c:extLst>
        </c:ser>
        <c:dLbls>
          <c:showLegendKey val="0"/>
          <c:showVal val="0"/>
          <c:showCatName val="0"/>
          <c:showSerName val="0"/>
          <c:showPercent val="0"/>
          <c:showBubbleSize val="0"/>
        </c:dLbls>
        <c:gapWidth val="150"/>
        <c:overlap val="100"/>
        <c:axId val="339277632"/>
        <c:axId val="339270744"/>
      </c:barChart>
      <c:catAx>
        <c:axId val="339277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9270744"/>
        <c:crosses val="autoZero"/>
        <c:auto val="1"/>
        <c:lblAlgn val="ctr"/>
        <c:lblOffset val="100"/>
        <c:noMultiLvlLbl val="0"/>
      </c:catAx>
      <c:valAx>
        <c:axId val="3392707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92776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Country Grants by investment area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percentStacked"/>
        <c:varyColors val="0"/>
        <c:ser>
          <c:idx val="0"/>
          <c:order val="0"/>
          <c:tx>
            <c:strRef>
              <c:f>'investment area x driver'!$A$2</c:f>
              <c:strCache>
                <c:ptCount val="1"/>
                <c:pt idx="0">
                  <c:v>LAB</c:v>
                </c:pt>
              </c:strCache>
            </c:strRef>
          </c:tx>
          <c:spPr>
            <a:solidFill>
              <a:schemeClr val="accent1"/>
            </a:solidFill>
            <a:ln>
              <a:noFill/>
            </a:ln>
            <a:effectLst/>
          </c:spPr>
          <c:invertIfNegative val="0"/>
          <c:cat>
            <c:strRef>
              <c:f>('investment area x driver'!$B$1,'investment area x driver'!$D$1,'investment area x driver'!$F$1,'investment area x driver'!$H$1,'investment area x driver'!$J$1,'investment area x driver'!$L$1,'investment area x driver'!$N$1,'investment area x driver'!$P$1,'investment area x driver'!$R$1,'investment area x driver'!$T$1,'investment area x driver'!$V$1,'investment area x driver'!$X$1,'investment area x driver'!$Z$1,'investment area x driver'!$AB$1,'investment area x driver'!$AD$1)</c:f>
              <c:strCache>
                <c:ptCount val="15"/>
                <c:pt idx="0">
                  <c:v>Bangladesh</c:v>
                </c:pt>
                <c:pt idx="1">
                  <c:v>Bhutan</c:v>
                </c:pt>
                <c:pt idx="2">
                  <c:v>Indonesia</c:v>
                </c:pt>
                <c:pt idx="3">
                  <c:v>Laos</c:v>
                </c:pt>
                <c:pt idx="4">
                  <c:v>Nepal</c:v>
                </c:pt>
                <c:pt idx="5">
                  <c:v>Pakistan</c:v>
                </c:pt>
                <c:pt idx="6">
                  <c:v>Timor-Leste</c:v>
                </c:pt>
                <c:pt idx="7">
                  <c:v>Vietnam</c:v>
                </c:pt>
                <c:pt idx="8">
                  <c:v>Ghana</c:v>
                </c:pt>
                <c:pt idx="9">
                  <c:v>Kenya</c:v>
                </c:pt>
                <c:pt idx="10">
                  <c:v>Nigeria</c:v>
                </c:pt>
                <c:pt idx="11">
                  <c:v>Senegal</c:v>
                </c:pt>
                <c:pt idx="12">
                  <c:v>Tanzania</c:v>
                </c:pt>
                <c:pt idx="13">
                  <c:v>Uganda</c:v>
                </c:pt>
                <c:pt idx="14">
                  <c:v>Zambia</c:v>
                </c:pt>
              </c:strCache>
              <c:extLst/>
            </c:strRef>
          </c:cat>
          <c:val>
            <c:numRef>
              <c:f>('investment area x driver'!$B$2,'investment area x driver'!$D$2,'investment area x driver'!$F$2,'investment area x driver'!$H$2,'investment area x driver'!$J$2,'investment area x driver'!$L$2,'investment area x driver'!$N$2,'investment area x driver'!$P$2,'investment area x driver'!$R$2,'investment area x driver'!$T$2,'investment area x driver'!$V$2,'investment area x driver'!$X$2,'investment area x driver'!$Z$2,'investment area x driver'!$AB$2,'investment area x driver'!$AD$2)</c:f>
              <c:numCache>
                <c:formatCode>General</c:formatCode>
                <c:ptCount val="15"/>
                <c:pt idx="0">
                  <c:v>12</c:v>
                </c:pt>
                <c:pt idx="1">
                  <c:v>9</c:v>
                </c:pt>
                <c:pt idx="2">
                  <c:v>7</c:v>
                </c:pt>
                <c:pt idx="3">
                  <c:v>10</c:v>
                </c:pt>
                <c:pt idx="4">
                  <c:v>11</c:v>
                </c:pt>
                <c:pt idx="5">
                  <c:v>6</c:v>
                </c:pt>
                <c:pt idx="6">
                  <c:v>12</c:v>
                </c:pt>
                <c:pt idx="7">
                  <c:v>0</c:v>
                </c:pt>
                <c:pt idx="8">
                  <c:v>8</c:v>
                </c:pt>
                <c:pt idx="9">
                  <c:v>5</c:v>
                </c:pt>
                <c:pt idx="10">
                  <c:v>5</c:v>
                </c:pt>
                <c:pt idx="11">
                  <c:v>6</c:v>
                </c:pt>
                <c:pt idx="12">
                  <c:v>6</c:v>
                </c:pt>
                <c:pt idx="13">
                  <c:v>6</c:v>
                </c:pt>
                <c:pt idx="14">
                  <c:v>10</c:v>
                </c:pt>
              </c:numCache>
              <c:extLst/>
            </c:numRef>
          </c:val>
          <c:extLst>
            <c:ext xmlns:c16="http://schemas.microsoft.com/office/drawing/2014/chart" uri="{C3380CC4-5D6E-409C-BE32-E72D297353CC}">
              <c16:uniqueId val="{00000000-86BD-4D03-8045-9D906D348C69}"/>
            </c:ext>
          </c:extLst>
        </c:ser>
        <c:ser>
          <c:idx val="1"/>
          <c:order val="1"/>
          <c:tx>
            <c:strRef>
              <c:f>'investment area x driver'!$A$3</c:f>
              <c:strCache>
                <c:ptCount val="1"/>
                <c:pt idx="0">
                  <c:v>HR</c:v>
                </c:pt>
              </c:strCache>
            </c:strRef>
          </c:tx>
          <c:spPr>
            <a:solidFill>
              <a:schemeClr val="accent2"/>
            </a:solidFill>
            <a:ln>
              <a:noFill/>
            </a:ln>
            <a:effectLst/>
          </c:spPr>
          <c:invertIfNegative val="0"/>
          <c:cat>
            <c:strRef>
              <c:f>('investment area x driver'!$B$1,'investment area x driver'!$D$1,'investment area x driver'!$F$1,'investment area x driver'!$H$1,'investment area x driver'!$J$1,'investment area x driver'!$L$1,'investment area x driver'!$N$1,'investment area x driver'!$P$1,'investment area x driver'!$R$1,'investment area x driver'!$T$1,'investment area x driver'!$V$1,'investment area x driver'!$X$1,'investment area x driver'!$Z$1,'investment area x driver'!$AB$1,'investment area x driver'!$AD$1)</c:f>
              <c:strCache>
                <c:ptCount val="15"/>
                <c:pt idx="0">
                  <c:v>Bangladesh</c:v>
                </c:pt>
                <c:pt idx="1">
                  <c:v>Bhutan</c:v>
                </c:pt>
                <c:pt idx="2">
                  <c:v>Indonesia</c:v>
                </c:pt>
                <c:pt idx="3">
                  <c:v>Laos</c:v>
                </c:pt>
                <c:pt idx="4">
                  <c:v>Nepal</c:v>
                </c:pt>
                <c:pt idx="5">
                  <c:v>Pakistan</c:v>
                </c:pt>
                <c:pt idx="6">
                  <c:v>Timor-Leste</c:v>
                </c:pt>
                <c:pt idx="7">
                  <c:v>Vietnam</c:v>
                </c:pt>
                <c:pt idx="8">
                  <c:v>Ghana</c:v>
                </c:pt>
                <c:pt idx="9">
                  <c:v>Kenya</c:v>
                </c:pt>
                <c:pt idx="10">
                  <c:v>Nigeria</c:v>
                </c:pt>
                <c:pt idx="11">
                  <c:v>Senegal</c:v>
                </c:pt>
                <c:pt idx="12">
                  <c:v>Tanzania</c:v>
                </c:pt>
                <c:pt idx="13">
                  <c:v>Uganda</c:v>
                </c:pt>
                <c:pt idx="14">
                  <c:v>Zambia</c:v>
                </c:pt>
              </c:strCache>
              <c:extLst/>
            </c:strRef>
          </c:cat>
          <c:val>
            <c:numRef>
              <c:f>('investment area x driver'!$B$3,'investment area x driver'!$D$3,'investment area x driver'!$F$3,'investment area x driver'!$H$3,'investment area x driver'!$J$3,'investment area x driver'!$L$3,'investment area x driver'!$N$3,'investment area x driver'!$P$3,'investment area x driver'!$R$3,'investment area x driver'!$T$3,'investment area x driver'!$V$3,'investment area x driver'!$X$3,'investment area x driver'!$Z$3,'investment area x driver'!$AB$3,'investment area x driver'!$AD$3)</c:f>
              <c:numCache>
                <c:formatCode>General</c:formatCode>
                <c:ptCount val="15"/>
                <c:pt idx="0">
                  <c:v>8</c:v>
                </c:pt>
                <c:pt idx="1">
                  <c:v>8</c:v>
                </c:pt>
                <c:pt idx="2">
                  <c:v>7</c:v>
                </c:pt>
                <c:pt idx="3">
                  <c:v>10</c:v>
                </c:pt>
                <c:pt idx="4">
                  <c:v>12</c:v>
                </c:pt>
                <c:pt idx="5">
                  <c:v>11</c:v>
                </c:pt>
                <c:pt idx="6">
                  <c:v>12</c:v>
                </c:pt>
                <c:pt idx="7">
                  <c:v>6</c:v>
                </c:pt>
                <c:pt idx="8">
                  <c:v>5</c:v>
                </c:pt>
                <c:pt idx="9">
                  <c:v>6</c:v>
                </c:pt>
                <c:pt idx="10">
                  <c:v>0</c:v>
                </c:pt>
                <c:pt idx="11">
                  <c:v>4</c:v>
                </c:pt>
                <c:pt idx="12">
                  <c:v>8</c:v>
                </c:pt>
                <c:pt idx="13">
                  <c:v>10</c:v>
                </c:pt>
                <c:pt idx="14">
                  <c:v>8</c:v>
                </c:pt>
              </c:numCache>
              <c:extLst/>
            </c:numRef>
          </c:val>
          <c:extLst>
            <c:ext xmlns:c16="http://schemas.microsoft.com/office/drawing/2014/chart" uri="{C3380CC4-5D6E-409C-BE32-E72D297353CC}">
              <c16:uniqueId val="{00000001-86BD-4D03-8045-9D906D348C69}"/>
            </c:ext>
          </c:extLst>
        </c:ser>
        <c:ser>
          <c:idx val="2"/>
          <c:order val="2"/>
          <c:tx>
            <c:strRef>
              <c:f>'investment area x driver'!$A$4</c:f>
              <c:strCache>
                <c:ptCount val="1"/>
                <c:pt idx="0">
                  <c:v>GOV</c:v>
                </c:pt>
              </c:strCache>
            </c:strRef>
          </c:tx>
          <c:spPr>
            <a:solidFill>
              <a:schemeClr val="accent3"/>
            </a:solidFill>
            <a:ln>
              <a:noFill/>
            </a:ln>
            <a:effectLst/>
          </c:spPr>
          <c:invertIfNegative val="0"/>
          <c:cat>
            <c:strRef>
              <c:f>('investment area x driver'!$B$1,'investment area x driver'!$D$1,'investment area x driver'!$F$1,'investment area x driver'!$H$1,'investment area x driver'!$J$1,'investment area x driver'!$L$1,'investment area x driver'!$N$1,'investment area x driver'!$P$1,'investment area x driver'!$R$1,'investment area x driver'!$T$1,'investment area x driver'!$V$1,'investment area x driver'!$X$1,'investment area x driver'!$Z$1,'investment area x driver'!$AB$1,'investment area x driver'!$AD$1)</c:f>
              <c:strCache>
                <c:ptCount val="15"/>
                <c:pt idx="0">
                  <c:v>Bangladesh</c:v>
                </c:pt>
                <c:pt idx="1">
                  <c:v>Bhutan</c:v>
                </c:pt>
                <c:pt idx="2">
                  <c:v>Indonesia</c:v>
                </c:pt>
                <c:pt idx="3">
                  <c:v>Laos</c:v>
                </c:pt>
                <c:pt idx="4">
                  <c:v>Nepal</c:v>
                </c:pt>
                <c:pt idx="5">
                  <c:v>Pakistan</c:v>
                </c:pt>
                <c:pt idx="6">
                  <c:v>Timor-Leste</c:v>
                </c:pt>
                <c:pt idx="7">
                  <c:v>Vietnam</c:v>
                </c:pt>
                <c:pt idx="8">
                  <c:v>Ghana</c:v>
                </c:pt>
                <c:pt idx="9">
                  <c:v>Kenya</c:v>
                </c:pt>
                <c:pt idx="10">
                  <c:v>Nigeria</c:v>
                </c:pt>
                <c:pt idx="11">
                  <c:v>Senegal</c:v>
                </c:pt>
                <c:pt idx="12">
                  <c:v>Tanzania</c:v>
                </c:pt>
                <c:pt idx="13">
                  <c:v>Uganda</c:v>
                </c:pt>
                <c:pt idx="14">
                  <c:v>Zambia</c:v>
                </c:pt>
              </c:strCache>
              <c:extLst/>
            </c:strRef>
          </c:cat>
          <c:val>
            <c:numRef>
              <c:f>('investment area x driver'!$B$4,'investment area x driver'!$D$4,'investment area x driver'!$F$4,'investment area x driver'!$H$4,'investment area x driver'!$J$4,'investment area x driver'!$L$4,'investment area x driver'!$N$4,'investment area x driver'!$P$4,'investment area x driver'!$R$4,'investment area x driver'!$T$4,'investment area x driver'!$V$4,'investment area x driver'!$X$4,'investment area x driver'!$Z$4,'investment area x driver'!$AB$4,'investment area x driver'!$AD$4)</c:f>
              <c:numCache>
                <c:formatCode>General</c:formatCode>
                <c:ptCount val="15"/>
                <c:pt idx="0">
                  <c:v>10</c:v>
                </c:pt>
                <c:pt idx="1">
                  <c:v>0</c:v>
                </c:pt>
                <c:pt idx="2">
                  <c:v>2</c:v>
                </c:pt>
                <c:pt idx="3">
                  <c:v>0</c:v>
                </c:pt>
                <c:pt idx="4">
                  <c:v>0</c:v>
                </c:pt>
                <c:pt idx="5">
                  <c:v>5</c:v>
                </c:pt>
                <c:pt idx="6">
                  <c:v>2</c:v>
                </c:pt>
                <c:pt idx="7">
                  <c:v>0</c:v>
                </c:pt>
                <c:pt idx="8">
                  <c:v>5</c:v>
                </c:pt>
                <c:pt idx="9">
                  <c:v>4</c:v>
                </c:pt>
                <c:pt idx="10">
                  <c:v>7</c:v>
                </c:pt>
                <c:pt idx="11">
                  <c:v>2</c:v>
                </c:pt>
                <c:pt idx="12">
                  <c:v>2</c:v>
                </c:pt>
                <c:pt idx="13">
                  <c:v>0</c:v>
                </c:pt>
                <c:pt idx="14">
                  <c:v>4</c:v>
                </c:pt>
              </c:numCache>
              <c:extLst/>
            </c:numRef>
          </c:val>
          <c:extLst>
            <c:ext xmlns:c16="http://schemas.microsoft.com/office/drawing/2014/chart" uri="{C3380CC4-5D6E-409C-BE32-E72D297353CC}">
              <c16:uniqueId val="{00000002-86BD-4D03-8045-9D906D348C69}"/>
            </c:ext>
          </c:extLst>
        </c:ser>
        <c:ser>
          <c:idx val="4"/>
          <c:order val="4"/>
          <c:tx>
            <c:strRef>
              <c:f>'investment area x driver'!$A$6</c:f>
              <c:strCache>
                <c:ptCount val="1"/>
                <c:pt idx="0">
                  <c:v>USE</c:v>
                </c:pt>
              </c:strCache>
            </c:strRef>
          </c:tx>
          <c:spPr>
            <a:solidFill>
              <a:schemeClr val="accent4"/>
            </a:solidFill>
            <a:ln>
              <a:solidFill>
                <a:schemeClr val="accent4"/>
              </a:solidFill>
            </a:ln>
            <a:effectLst/>
          </c:spPr>
          <c:invertIfNegative val="0"/>
          <c:cat>
            <c:strRef>
              <c:f>('investment area x driver'!$B$1,'investment area x driver'!$D$1,'investment area x driver'!$F$1,'investment area x driver'!$H$1,'investment area x driver'!$J$1,'investment area x driver'!$L$1,'investment area x driver'!$N$1,'investment area x driver'!$P$1,'investment area x driver'!$R$1,'investment area x driver'!$T$1,'investment area x driver'!$V$1,'investment area x driver'!$X$1,'investment area x driver'!$Z$1,'investment area x driver'!$AB$1,'investment area x driver'!$AD$1)</c:f>
              <c:strCache>
                <c:ptCount val="15"/>
                <c:pt idx="0">
                  <c:v>Bangladesh</c:v>
                </c:pt>
                <c:pt idx="1">
                  <c:v>Bhutan</c:v>
                </c:pt>
                <c:pt idx="2">
                  <c:v>Indonesia</c:v>
                </c:pt>
                <c:pt idx="3">
                  <c:v>Laos</c:v>
                </c:pt>
                <c:pt idx="4">
                  <c:v>Nepal</c:v>
                </c:pt>
                <c:pt idx="5">
                  <c:v>Pakistan</c:v>
                </c:pt>
                <c:pt idx="6">
                  <c:v>Timor-Leste</c:v>
                </c:pt>
                <c:pt idx="7">
                  <c:v>Vietnam</c:v>
                </c:pt>
                <c:pt idx="8">
                  <c:v>Ghana</c:v>
                </c:pt>
                <c:pt idx="9">
                  <c:v>Kenya</c:v>
                </c:pt>
                <c:pt idx="10">
                  <c:v>Nigeria</c:v>
                </c:pt>
                <c:pt idx="11">
                  <c:v>Senegal</c:v>
                </c:pt>
                <c:pt idx="12">
                  <c:v>Tanzania</c:v>
                </c:pt>
                <c:pt idx="13">
                  <c:v>Uganda</c:v>
                </c:pt>
                <c:pt idx="14">
                  <c:v>Zambia</c:v>
                </c:pt>
              </c:strCache>
              <c:extLst/>
            </c:strRef>
          </c:cat>
          <c:val>
            <c:numRef>
              <c:f>('investment area x driver'!$B$6,'investment area x driver'!$D$6,'investment area x driver'!$F$6,'investment area x driver'!$H$6,'investment area x driver'!$J$6,'investment area x driver'!$L$6,'investment area x driver'!$N$6,'investment area x driver'!$P$6,'investment area x driver'!$R$6,'investment area x driver'!$T$6,'investment area x driver'!$V$6,'investment area x driver'!$X$6,'investment area x driver'!$Z$6,'investment area x driver'!$AB$6,'investment area x driver'!$AD$6)</c:f>
              <c:numCache>
                <c:formatCode>General</c:formatCode>
                <c:ptCount val="15"/>
                <c:pt idx="0">
                  <c:v>4</c:v>
                </c:pt>
                <c:pt idx="1">
                  <c:v>14</c:v>
                </c:pt>
                <c:pt idx="2">
                  <c:v>4</c:v>
                </c:pt>
                <c:pt idx="3">
                  <c:v>5</c:v>
                </c:pt>
                <c:pt idx="4">
                  <c:v>12</c:v>
                </c:pt>
                <c:pt idx="5">
                  <c:v>6</c:v>
                </c:pt>
                <c:pt idx="6">
                  <c:v>4</c:v>
                </c:pt>
                <c:pt idx="7">
                  <c:v>3</c:v>
                </c:pt>
                <c:pt idx="8">
                  <c:v>2</c:v>
                </c:pt>
                <c:pt idx="9">
                  <c:v>11</c:v>
                </c:pt>
                <c:pt idx="10">
                  <c:v>3</c:v>
                </c:pt>
                <c:pt idx="11">
                  <c:v>1</c:v>
                </c:pt>
                <c:pt idx="12">
                  <c:v>16</c:v>
                </c:pt>
                <c:pt idx="13">
                  <c:v>7</c:v>
                </c:pt>
                <c:pt idx="14">
                  <c:v>7</c:v>
                </c:pt>
              </c:numCache>
              <c:extLst/>
            </c:numRef>
          </c:val>
          <c:extLst>
            <c:ext xmlns:c16="http://schemas.microsoft.com/office/drawing/2014/chart" uri="{C3380CC4-5D6E-409C-BE32-E72D297353CC}">
              <c16:uniqueId val="{00000003-86BD-4D03-8045-9D906D348C69}"/>
            </c:ext>
          </c:extLst>
        </c:ser>
        <c:ser>
          <c:idx val="7"/>
          <c:order val="7"/>
          <c:tx>
            <c:strRef>
              <c:f>'investment area x driver'!$A$9</c:f>
              <c:strCache>
                <c:ptCount val="1"/>
                <c:pt idx="0">
                  <c:v>ATB Use</c:v>
                </c:pt>
              </c:strCache>
            </c:strRef>
          </c:tx>
          <c:spPr>
            <a:solidFill>
              <a:schemeClr val="accent2">
                <a:lumMod val="60000"/>
              </a:schemeClr>
            </a:solidFill>
            <a:ln>
              <a:noFill/>
            </a:ln>
            <a:effectLst/>
          </c:spPr>
          <c:invertIfNegative val="0"/>
          <c:cat>
            <c:strRef>
              <c:f>('investment area x driver'!$B$1,'investment area x driver'!$D$1,'investment area x driver'!$F$1,'investment area x driver'!$H$1,'investment area x driver'!$J$1,'investment area x driver'!$L$1,'investment area x driver'!$N$1,'investment area x driver'!$P$1,'investment area x driver'!$R$1,'investment area x driver'!$T$1,'investment area x driver'!$V$1,'investment area x driver'!$X$1,'investment area x driver'!$Z$1,'investment area x driver'!$AB$1,'investment area x driver'!$AD$1)</c:f>
              <c:strCache>
                <c:ptCount val="15"/>
                <c:pt idx="0">
                  <c:v>Bangladesh</c:v>
                </c:pt>
                <c:pt idx="1">
                  <c:v>Bhutan</c:v>
                </c:pt>
                <c:pt idx="2">
                  <c:v>Indonesia</c:v>
                </c:pt>
                <c:pt idx="3">
                  <c:v>Laos</c:v>
                </c:pt>
                <c:pt idx="4">
                  <c:v>Nepal</c:v>
                </c:pt>
                <c:pt idx="5">
                  <c:v>Pakistan</c:v>
                </c:pt>
                <c:pt idx="6">
                  <c:v>Timor-Leste</c:v>
                </c:pt>
                <c:pt idx="7">
                  <c:v>Vietnam</c:v>
                </c:pt>
                <c:pt idx="8">
                  <c:v>Ghana</c:v>
                </c:pt>
                <c:pt idx="9">
                  <c:v>Kenya</c:v>
                </c:pt>
                <c:pt idx="10">
                  <c:v>Nigeria</c:v>
                </c:pt>
                <c:pt idx="11">
                  <c:v>Senegal</c:v>
                </c:pt>
                <c:pt idx="12">
                  <c:v>Tanzania</c:v>
                </c:pt>
                <c:pt idx="13">
                  <c:v>Uganda</c:v>
                </c:pt>
                <c:pt idx="14">
                  <c:v>Zambia</c:v>
                </c:pt>
              </c:strCache>
              <c:extLst/>
            </c:strRef>
          </c:cat>
          <c:val>
            <c:numRef>
              <c:f>('investment area x driver'!$B$9,'investment area x driver'!$D$9,'investment area x driver'!$F$9,'investment area x driver'!$H$9,'investment area x driver'!$J$9,'investment area x driver'!$L$9,'investment area x driver'!$N$9,'investment area x driver'!$P$9,'investment area x driver'!$R$9,'investment area x driver'!$T$9,'investment area x driver'!$V$9,'investment area x driver'!$X$9,'investment area x driver'!$Z$9,'investment area x driver'!$AB$9,'investment area x driver'!$AD$9)</c:f>
              <c:numCache>
                <c:formatCode>General</c:formatCode>
                <c:ptCount val="15"/>
              </c:numCache>
              <c:extLst/>
            </c:numRef>
          </c:val>
          <c:extLst>
            <c:ext xmlns:c16="http://schemas.microsoft.com/office/drawing/2014/chart" uri="{C3380CC4-5D6E-409C-BE32-E72D297353CC}">
              <c16:uniqueId val="{00000004-86BD-4D03-8045-9D906D348C69}"/>
            </c:ext>
          </c:extLst>
        </c:ser>
        <c:dLbls>
          <c:showLegendKey val="0"/>
          <c:showVal val="0"/>
          <c:showCatName val="0"/>
          <c:showSerName val="0"/>
          <c:showPercent val="0"/>
          <c:showBubbleSize val="0"/>
        </c:dLbls>
        <c:gapWidth val="150"/>
        <c:overlap val="100"/>
        <c:axId val="532841432"/>
        <c:axId val="532841760"/>
        <c:extLst>
          <c:ext xmlns:c15="http://schemas.microsoft.com/office/drawing/2012/chart" uri="{02D57815-91ED-43cb-92C2-25804820EDAC}">
            <c15:filteredBarSeries>
              <c15:ser>
                <c:idx val="3"/>
                <c:order val="3"/>
                <c:tx>
                  <c:strRef>
                    <c:extLst>
                      <c:ext uri="{02D57815-91ED-43cb-92C2-25804820EDAC}">
                        <c15:formulaRef>
                          <c15:sqref>'investment area x driver'!$A$5</c15:sqref>
                        </c15:formulaRef>
                      </c:ext>
                    </c:extLst>
                    <c:strCache>
                      <c:ptCount val="1"/>
                    </c:strCache>
                  </c:strRef>
                </c:tx>
                <c:spPr>
                  <a:solidFill>
                    <a:schemeClr val="accent4"/>
                  </a:solidFill>
                  <a:ln>
                    <a:noFill/>
                  </a:ln>
                  <a:effectLst/>
                </c:spPr>
                <c:invertIfNegative val="0"/>
                <c:cat>
                  <c:strRef>
                    <c:extLst>
                      <c:ext uri="{02D57815-91ED-43cb-92C2-25804820EDAC}">
                        <c15:formulaRef>
                          <c15:sqref>('investment area x driver'!$B$1,'investment area x driver'!$D$1,'investment area x driver'!$F$1,'investment area x driver'!$H$1,'investment area x driver'!$J$1,'investment area x driver'!$L$1,'investment area x driver'!$N$1,'investment area x driver'!$P$1,'investment area x driver'!$R$1,'investment area x driver'!$T$1,'investment area x driver'!$V$1,'investment area x driver'!$X$1,'investment area x driver'!$Z$1,'investment area x driver'!$AB$1,'investment area x driver'!$AD$1)</c15:sqref>
                        </c15:formulaRef>
                      </c:ext>
                    </c:extLst>
                    <c:strCache>
                      <c:ptCount val="15"/>
                      <c:pt idx="0">
                        <c:v>Bangladesh</c:v>
                      </c:pt>
                      <c:pt idx="1">
                        <c:v>Bhutan</c:v>
                      </c:pt>
                      <c:pt idx="2">
                        <c:v>Indonesia</c:v>
                      </c:pt>
                      <c:pt idx="3">
                        <c:v>Laos</c:v>
                      </c:pt>
                      <c:pt idx="4">
                        <c:v>Nepal</c:v>
                      </c:pt>
                      <c:pt idx="5">
                        <c:v>Pakistan</c:v>
                      </c:pt>
                      <c:pt idx="6">
                        <c:v>Timor-Leste</c:v>
                      </c:pt>
                      <c:pt idx="7">
                        <c:v>Vietnam</c:v>
                      </c:pt>
                      <c:pt idx="8">
                        <c:v>Ghana</c:v>
                      </c:pt>
                      <c:pt idx="9">
                        <c:v>Kenya</c:v>
                      </c:pt>
                      <c:pt idx="10">
                        <c:v>Nigeria</c:v>
                      </c:pt>
                      <c:pt idx="11">
                        <c:v>Senegal</c:v>
                      </c:pt>
                      <c:pt idx="12">
                        <c:v>Tanzania</c:v>
                      </c:pt>
                      <c:pt idx="13">
                        <c:v>Uganda</c:v>
                      </c:pt>
                      <c:pt idx="14">
                        <c:v>Zambia</c:v>
                      </c:pt>
                    </c:strCache>
                  </c:strRef>
                </c:cat>
                <c:val>
                  <c:numRef>
                    <c:extLst>
                      <c:ext uri="{02D57815-91ED-43cb-92C2-25804820EDAC}">
                        <c15:formulaRef>
                          <c15:sqref>('investment area x driver'!$B$5,'investment area x driver'!$D$5,'investment area x driver'!$F$5,'investment area x driver'!$H$5,'investment area x driver'!$J$5,'investment area x driver'!$L$5,'investment area x driver'!$N$5,'investment area x driver'!$P$5,'investment area x driver'!$R$5,'investment area x driver'!$T$5,'investment area x driver'!$V$5,'investment area x driver'!$X$5,'investment area x driver'!$Z$5,'investment area x driver'!$AB$5,'investment area x driver'!$AD$5)</c15:sqref>
                        </c15:formulaRef>
                      </c:ext>
                    </c:extLst>
                    <c:numCache>
                      <c:formatCode>General</c:formatCode>
                      <c:ptCount val="1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numCache>
                  </c:numRef>
                </c:val>
                <c:extLst>
                  <c:ext xmlns:c16="http://schemas.microsoft.com/office/drawing/2014/chart" uri="{C3380CC4-5D6E-409C-BE32-E72D297353CC}">
                    <c16:uniqueId val="{00000005-86BD-4D03-8045-9D906D348C69}"/>
                  </c:ext>
                </c:extLst>
              </c15:ser>
            </c15:filteredBarSeries>
            <c15:filteredBarSeries>
              <c15:ser>
                <c:idx val="5"/>
                <c:order val="5"/>
                <c:tx>
                  <c:strRef>
                    <c:extLst xmlns:c15="http://schemas.microsoft.com/office/drawing/2012/chart">
                      <c:ext xmlns:c15="http://schemas.microsoft.com/office/drawing/2012/chart" uri="{02D57815-91ED-43cb-92C2-25804820EDAC}">
                        <c15:formulaRef>
                          <c15:sqref>'investment area x driver'!$A$7</c15:sqref>
                        </c15:formulaRef>
                      </c:ext>
                    </c:extLst>
                    <c:strCache>
                      <c:ptCount val="1"/>
                    </c:strCache>
                  </c:strRef>
                </c:tx>
                <c:spPr>
                  <a:solidFill>
                    <a:schemeClr val="accent6"/>
                  </a:solidFill>
                  <a:ln>
                    <a:noFill/>
                  </a:ln>
                  <a:effectLst/>
                </c:spPr>
                <c:invertIfNegative val="0"/>
                <c:cat>
                  <c:strRef>
                    <c:extLst xmlns:c15="http://schemas.microsoft.com/office/drawing/2012/chart">
                      <c:ext xmlns:c15="http://schemas.microsoft.com/office/drawing/2012/chart" uri="{02D57815-91ED-43cb-92C2-25804820EDAC}">
                        <c15:formulaRef>
                          <c15:sqref>('investment area x driver'!$B$1,'investment area x driver'!$D$1,'investment area x driver'!$F$1,'investment area x driver'!$H$1,'investment area x driver'!$J$1,'investment area x driver'!$L$1,'investment area x driver'!$N$1,'investment area x driver'!$P$1,'investment area x driver'!$R$1,'investment area x driver'!$T$1,'investment area x driver'!$V$1,'investment area x driver'!$X$1,'investment area x driver'!$Z$1,'investment area x driver'!$AB$1,'investment area x driver'!$AD$1)</c15:sqref>
                        </c15:formulaRef>
                      </c:ext>
                    </c:extLst>
                    <c:strCache>
                      <c:ptCount val="15"/>
                      <c:pt idx="0">
                        <c:v>Bangladesh</c:v>
                      </c:pt>
                      <c:pt idx="1">
                        <c:v>Bhutan</c:v>
                      </c:pt>
                      <c:pt idx="2">
                        <c:v>Indonesia</c:v>
                      </c:pt>
                      <c:pt idx="3">
                        <c:v>Laos</c:v>
                      </c:pt>
                      <c:pt idx="4">
                        <c:v>Nepal</c:v>
                      </c:pt>
                      <c:pt idx="5">
                        <c:v>Pakistan</c:v>
                      </c:pt>
                      <c:pt idx="6">
                        <c:v>Timor-Leste</c:v>
                      </c:pt>
                      <c:pt idx="7">
                        <c:v>Vietnam</c:v>
                      </c:pt>
                      <c:pt idx="8">
                        <c:v>Ghana</c:v>
                      </c:pt>
                      <c:pt idx="9">
                        <c:v>Kenya</c:v>
                      </c:pt>
                      <c:pt idx="10">
                        <c:v>Nigeria</c:v>
                      </c:pt>
                      <c:pt idx="11">
                        <c:v>Senegal</c:v>
                      </c:pt>
                      <c:pt idx="12">
                        <c:v>Tanzania</c:v>
                      </c:pt>
                      <c:pt idx="13">
                        <c:v>Uganda</c:v>
                      </c:pt>
                      <c:pt idx="14">
                        <c:v>Zambia</c:v>
                      </c:pt>
                    </c:strCache>
                  </c:strRef>
                </c:cat>
                <c:val>
                  <c:numRef>
                    <c:extLst xmlns:c15="http://schemas.microsoft.com/office/drawing/2012/chart">
                      <c:ext xmlns:c15="http://schemas.microsoft.com/office/drawing/2012/chart" uri="{02D57815-91ED-43cb-92C2-25804820EDAC}">
                        <c15:formulaRef>
                          <c15:sqref>('investment area x driver'!$B$7,'investment area x driver'!$D$7,'investment area x driver'!$F$7,'investment area x driver'!$H$7,'investment area x driver'!$J$7,'investment area x driver'!$L$7,'investment area x driver'!$N$7,'investment area x driver'!$P$7,'investment area x driver'!$R$7,'investment area x driver'!$T$7,'investment area x driver'!$V$7,'investment area x driver'!$X$7,'investment area x driver'!$Z$7,'investment area x driver'!$AB$7,'investment area x driver'!$AD$7)</c15:sqref>
                        </c15:formulaRef>
                      </c:ext>
                    </c:extLst>
                    <c:numCache>
                      <c:formatCode>General</c:formatCode>
                      <c:ptCount val="15"/>
                    </c:numCache>
                  </c:numRef>
                </c:val>
                <c:extLst xmlns:c15="http://schemas.microsoft.com/office/drawing/2012/chart">
                  <c:ext xmlns:c16="http://schemas.microsoft.com/office/drawing/2014/chart" uri="{C3380CC4-5D6E-409C-BE32-E72D297353CC}">
                    <c16:uniqueId val="{00000006-86BD-4D03-8045-9D906D348C69}"/>
                  </c:ext>
                </c:extLst>
              </c15:ser>
            </c15:filteredBarSeries>
            <c15:filteredBarSeries>
              <c15:ser>
                <c:idx val="6"/>
                <c:order val="6"/>
                <c:tx>
                  <c:strRef>
                    <c:extLst xmlns:c15="http://schemas.microsoft.com/office/drawing/2012/chart">
                      <c:ext xmlns:c15="http://schemas.microsoft.com/office/drawing/2012/chart" uri="{02D57815-91ED-43cb-92C2-25804820EDAC}">
                        <c15:formulaRef>
                          <c15:sqref>'investment area x driver'!$A$8</c15:sqref>
                        </c15:formulaRef>
                      </c:ext>
                    </c:extLst>
                    <c:strCache>
                      <c:ptCount val="1"/>
                      <c:pt idx="0">
                        <c:v>CROSS</c:v>
                      </c:pt>
                    </c:strCache>
                  </c:strRef>
                </c:tx>
                <c:spPr>
                  <a:solidFill>
                    <a:schemeClr val="accent1">
                      <a:lumMod val="60000"/>
                    </a:schemeClr>
                  </a:solidFill>
                  <a:ln>
                    <a:noFill/>
                  </a:ln>
                  <a:effectLst/>
                </c:spPr>
                <c:invertIfNegative val="0"/>
                <c:cat>
                  <c:strRef>
                    <c:extLst xmlns:c15="http://schemas.microsoft.com/office/drawing/2012/chart">
                      <c:ext xmlns:c15="http://schemas.microsoft.com/office/drawing/2012/chart" uri="{02D57815-91ED-43cb-92C2-25804820EDAC}">
                        <c15:formulaRef>
                          <c15:sqref>('investment area x driver'!$B$1,'investment area x driver'!$D$1,'investment area x driver'!$F$1,'investment area x driver'!$H$1,'investment area x driver'!$J$1,'investment area x driver'!$L$1,'investment area x driver'!$N$1,'investment area x driver'!$P$1,'investment area x driver'!$R$1,'investment area x driver'!$T$1,'investment area x driver'!$V$1,'investment area x driver'!$X$1,'investment area x driver'!$Z$1,'investment area x driver'!$AB$1,'investment area x driver'!$AD$1)</c15:sqref>
                        </c15:formulaRef>
                      </c:ext>
                    </c:extLst>
                    <c:strCache>
                      <c:ptCount val="15"/>
                      <c:pt idx="0">
                        <c:v>Bangladesh</c:v>
                      </c:pt>
                      <c:pt idx="1">
                        <c:v>Bhutan</c:v>
                      </c:pt>
                      <c:pt idx="2">
                        <c:v>Indonesia</c:v>
                      </c:pt>
                      <c:pt idx="3">
                        <c:v>Laos</c:v>
                      </c:pt>
                      <c:pt idx="4">
                        <c:v>Nepal</c:v>
                      </c:pt>
                      <c:pt idx="5">
                        <c:v>Pakistan</c:v>
                      </c:pt>
                      <c:pt idx="6">
                        <c:v>Timor-Leste</c:v>
                      </c:pt>
                      <c:pt idx="7">
                        <c:v>Vietnam</c:v>
                      </c:pt>
                      <c:pt idx="8">
                        <c:v>Ghana</c:v>
                      </c:pt>
                      <c:pt idx="9">
                        <c:v>Kenya</c:v>
                      </c:pt>
                      <c:pt idx="10">
                        <c:v>Nigeria</c:v>
                      </c:pt>
                      <c:pt idx="11">
                        <c:v>Senegal</c:v>
                      </c:pt>
                      <c:pt idx="12">
                        <c:v>Tanzania</c:v>
                      </c:pt>
                      <c:pt idx="13">
                        <c:v>Uganda</c:v>
                      </c:pt>
                      <c:pt idx="14">
                        <c:v>Zambia</c:v>
                      </c:pt>
                    </c:strCache>
                  </c:strRef>
                </c:cat>
                <c:val>
                  <c:numRef>
                    <c:extLst xmlns:c15="http://schemas.microsoft.com/office/drawing/2012/chart">
                      <c:ext xmlns:c15="http://schemas.microsoft.com/office/drawing/2012/chart" uri="{02D57815-91ED-43cb-92C2-25804820EDAC}">
                        <c15:formulaRef>
                          <c15:sqref>('investment area x driver'!$B$8,'investment area x driver'!$D$8,'investment area x driver'!$F$8,'investment area x driver'!$H$8,'investment area x driver'!$J$8,'investment area x driver'!$L$8,'investment area x driver'!$N$8,'investment area x driver'!$P$8,'investment area x driver'!$R$8,'investment area x driver'!$T$8,'investment area x driver'!$V$8,'investment area x driver'!$X$8,'investment area x driver'!$Z$8,'investment area x driver'!$AB$8,'investment area x driver'!$AD$8)</c15:sqref>
                        </c15:formulaRef>
                      </c:ext>
                    </c:extLst>
                    <c:numCache>
                      <c:formatCode>General</c:formatCode>
                      <c:ptCount val="15"/>
                    </c:numCache>
                  </c:numRef>
                </c:val>
                <c:extLst xmlns:c15="http://schemas.microsoft.com/office/drawing/2012/chart">
                  <c:ext xmlns:c16="http://schemas.microsoft.com/office/drawing/2014/chart" uri="{C3380CC4-5D6E-409C-BE32-E72D297353CC}">
                    <c16:uniqueId val="{00000007-86BD-4D03-8045-9D906D348C69}"/>
                  </c:ext>
                </c:extLst>
              </c15:ser>
            </c15:filteredBarSeries>
          </c:ext>
        </c:extLst>
      </c:barChart>
      <c:catAx>
        <c:axId val="532841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841760"/>
        <c:crosses val="autoZero"/>
        <c:auto val="1"/>
        <c:lblAlgn val="ctr"/>
        <c:lblOffset val="100"/>
        <c:noMultiLvlLbl val="0"/>
      </c:catAx>
      <c:valAx>
        <c:axId val="5328417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841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2000" b="0" i="0" u="none" strike="noStrike" kern="1200" spc="0" baseline="0">
                <a:solidFill>
                  <a:schemeClr val="tx1">
                    <a:lumMod val="65000"/>
                    <a:lumOff val="35000"/>
                  </a:schemeClr>
                </a:solidFill>
                <a:latin typeface="+mn-lt"/>
                <a:ea typeface="+mn-ea"/>
                <a:cs typeface="+mn-cs"/>
              </a:defRPr>
            </a:pPr>
            <a:r>
              <a:rPr lang="en-GB" sz="2000" dirty="0"/>
              <a:t>% Distribution of FF countries, by strength of One Health partnerships </a:t>
            </a:r>
          </a:p>
        </c:rich>
      </c:tx>
      <c:overlay val="0"/>
      <c:spPr>
        <a:noFill/>
        <a:ln>
          <a:noFill/>
        </a:ln>
        <a:effectLst/>
      </c:spPr>
      <c:txPr>
        <a:bodyPr rot="0" spcFirstLastPara="1" vertOverflow="ellipsis" vert="horz" wrap="square" anchor="ctr" anchorCtr="1"/>
        <a:lstStyle/>
        <a:p>
          <a:pPr>
            <a:defRPr sz="2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21963887292313108"/>
          <c:y val="0.24471975199033577"/>
          <c:w val="0.76246211033123046"/>
          <c:h val="0.68912726020153214"/>
        </c:manualLayout>
      </c:layout>
      <c:barChart>
        <c:barDir val="bar"/>
        <c:grouping val="clustered"/>
        <c:varyColors val="0"/>
        <c:ser>
          <c:idx val="0"/>
          <c:order val="0"/>
          <c:tx>
            <c:strRef>
              <c:f>'2022 CV3 dynamics'!$A$77</c:f>
              <c:strCache>
                <c:ptCount val="1"/>
                <c:pt idx="0">
                  <c:v>CV2: Active</c:v>
                </c:pt>
              </c:strCache>
            </c:strRef>
          </c:tx>
          <c:spPr>
            <a:solidFill>
              <a:schemeClr val="accent6"/>
            </a:solidFill>
            <a:ln>
              <a:noFill/>
            </a:ln>
            <a:effectLst/>
          </c:spPr>
          <c:invertIfNegative val="0"/>
          <c:cat>
            <c:strRef>
              <c:f>'2022 CV3 dynamics'!$B$76:$E$76</c:f>
              <c:strCache>
                <c:ptCount val="4"/>
                <c:pt idx="0">
                  <c:v>Silo-based</c:v>
                </c:pt>
                <c:pt idx="1">
                  <c:v>Coordination</c:v>
                </c:pt>
                <c:pt idx="2">
                  <c:v>Collaboration</c:v>
                </c:pt>
                <c:pt idx="3">
                  <c:v>Integration</c:v>
                </c:pt>
              </c:strCache>
            </c:strRef>
          </c:cat>
          <c:val>
            <c:numRef>
              <c:f>'2022 CV3 dynamics'!$B$77:$E$77</c:f>
              <c:numCache>
                <c:formatCode>0%</c:formatCode>
                <c:ptCount val="4"/>
                <c:pt idx="0">
                  <c:v>-1</c:v>
                </c:pt>
                <c:pt idx="1">
                  <c:v>-0.22222222222222221</c:v>
                </c:pt>
                <c:pt idx="2">
                  <c:v>0</c:v>
                </c:pt>
                <c:pt idx="3">
                  <c:v>0</c:v>
                </c:pt>
              </c:numCache>
            </c:numRef>
          </c:val>
          <c:extLst>
            <c:ext xmlns:c16="http://schemas.microsoft.com/office/drawing/2014/chart" uri="{C3380CC4-5D6E-409C-BE32-E72D297353CC}">
              <c16:uniqueId val="{00000000-57E6-4D71-8256-25362ED7754E}"/>
            </c:ext>
          </c:extLst>
        </c:ser>
        <c:ser>
          <c:idx val="1"/>
          <c:order val="1"/>
          <c:tx>
            <c:strRef>
              <c:f>'2022 CV3 dynamics'!$A$78</c:f>
              <c:strCache>
                <c:ptCount val="1"/>
                <c:pt idx="0">
                  <c:v>CV2: Possible</c:v>
                </c:pt>
              </c:strCache>
            </c:strRef>
          </c:tx>
          <c:spPr>
            <a:solidFill>
              <a:schemeClr val="accent4"/>
            </a:solidFill>
            <a:ln>
              <a:noFill/>
            </a:ln>
            <a:effectLst/>
          </c:spPr>
          <c:invertIfNegative val="0"/>
          <c:cat>
            <c:strRef>
              <c:f>'2022 CV3 dynamics'!$B$76:$E$76</c:f>
              <c:strCache>
                <c:ptCount val="4"/>
                <c:pt idx="0">
                  <c:v>Silo-based</c:v>
                </c:pt>
                <c:pt idx="1">
                  <c:v>Coordination</c:v>
                </c:pt>
                <c:pt idx="2">
                  <c:v>Collaboration</c:v>
                </c:pt>
                <c:pt idx="3">
                  <c:v>Integration</c:v>
                </c:pt>
              </c:strCache>
            </c:strRef>
          </c:cat>
          <c:val>
            <c:numRef>
              <c:f>'2022 CV3 dynamics'!$B$78:$E$78</c:f>
              <c:numCache>
                <c:formatCode>0%</c:formatCode>
                <c:ptCount val="4"/>
                <c:pt idx="0">
                  <c:v>0</c:v>
                </c:pt>
                <c:pt idx="1">
                  <c:v>-0.77777777777777779</c:v>
                </c:pt>
                <c:pt idx="2">
                  <c:v>-0.66666666666666663</c:v>
                </c:pt>
                <c:pt idx="3">
                  <c:v>0</c:v>
                </c:pt>
              </c:numCache>
            </c:numRef>
          </c:val>
          <c:extLst>
            <c:ext xmlns:c16="http://schemas.microsoft.com/office/drawing/2014/chart" uri="{C3380CC4-5D6E-409C-BE32-E72D297353CC}">
              <c16:uniqueId val="{00000001-57E6-4D71-8256-25362ED7754E}"/>
            </c:ext>
          </c:extLst>
        </c:ser>
        <c:ser>
          <c:idx val="2"/>
          <c:order val="2"/>
          <c:tx>
            <c:strRef>
              <c:f>'2022 CV3 dynamics'!$A$79</c:f>
              <c:strCache>
                <c:ptCount val="1"/>
                <c:pt idx="0">
                  <c:v>CV2: Unlikely</c:v>
                </c:pt>
              </c:strCache>
            </c:strRef>
          </c:tx>
          <c:spPr>
            <a:solidFill>
              <a:schemeClr val="accent2"/>
            </a:solidFill>
            <a:ln>
              <a:noFill/>
            </a:ln>
            <a:effectLst/>
          </c:spPr>
          <c:invertIfNegative val="0"/>
          <c:cat>
            <c:strRef>
              <c:f>'2022 CV3 dynamics'!$B$76:$E$76</c:f>
              <c:strCache>
                <c:ptCount val="4"/>
                <c:pt idx="0">
                  <c:v>Silo-based</c:v>
                </c:pt>
                <c:pt idx="1">
                  <c:v>Coordination</c:v>
                </c:pt>
                <c:pt idx="2">
                  <c:v>Collaboration</c:v>
                </c:pt>
                <c:pt idx="3">
                  <c:v>Integration</c:v>
                </c:pt>
              </c:strCache>
            </c:strRef>
          </c:cat>
          <c:val>
            <c:numRef>
              <c:f>'2022 CV3 dynamics'!$B$79:$E$79</c:f>
              <c:numCache>
                <c:formatCode>0%</c:formatCode>
                <c:ptCount val="4"/>
                <c:pt idx="0">
                  <c:v>0</c:v>
                </c:pt>
                <c:pt idx="1">
                  <c:v>0</c:v>
                </c:pt>
                <c:pt idx="2">
                  <c:v>-0.33333333333333331</c:v>
                </c:pt>
                <c:pt idx="3">
                  <c:v>-1</c:v>
                </c:pt>
              </c:numCache>
            </c:numRef>
          </c:val>
          <c:extLst>
            <c:ext xmlns:c16="http://schemas.microsoft.com/office/drawing/2014/chart" uri="{C3380CC4-5D6E-409C-BE32-E72D297353CC}">
              <c16:uniqueId val="{00000002-57E6-4D71-8256-25362ED7754E}"/>
            </c:ext>
          </c:extLst>
        </c:ser>
        <c:ser>
          <c:idx val="3"/>
          <c:order val="3"/>
          <c:tx>
            <c:strRef>
              <c:f>'2022 CV3 dynamics'!$A$80</c:f>
              <c:strCache>
                <c:ptCount val="1"/>
                <c:pt idx="0">
                  <c:v>CV3: Active</c:v>
                </c:pt>
              </c:strCache>
            </c:strRef>
          </c:tx>
          <c:spPr>
            <a:solidFill>
              <a:schemeClr val="accent6"/>
            </a:solidFill>
            <a:ln>
              <a:noFill/>
            </a:ln>
            <a:effectLst/>
          </c:spPr>
          <c:invertIfNegative val="0"/>
          <c:cat>
            <c:strRef>
              <c:f>'2022 CV3 dynamics'!$B$76:$E$76</c:f>
              <c:strCache>
                <c:ptCount val="4"/>
                <c:pt idx="0">
                  <c:v>Silo-based</c:v>
                </c:pt>
                <c:pt idx="1">
                  <c:v>Coordination</c:v>
                </c:pt>
                <c:pt idx="2">
                  <c:v>Collaboration</c:v>
                </c:pt>
                <c:pt idx="3">
                  <c:v>Integration</c:v>
                </c:pt>
              </c:strCache>
            </c:strRef>
          </c:cat>
          <c:val>
            <c:numRef>
              <c:f>'2022 CV3 dynamics'!$B$80:$E$80</c:f>
              <c:numCache>
                <c:formatCode>0%</c:formatCode>
                <c:ptCount val="4"/>
                <c:pt idx="0">
                  <c:v>1</c:v>
                </c:pt>
                <c:pt idx="1">
                  <c:v>0.625</c:v>
                </c:pt>
                <c:pt idx="2">
                  <c:v>0.25</c:v>
                </c:pt>
                <c:pt idx="3">
                  <c:v>0</c:v>
                </c:pt>
              </c:numCache>
            </c:numRef>
          </c:val>
          <c:extLst>
            <c:ext xmlns:c16="http://schemas.microsoft.com/office/drawing/2014/chart" uri="{C3380CC4-5D6E-409C-BE32-E72D297353CC}">
              <c16:uniqueId val="{00000003-57E6-4D71-8256-25362ED7754E}"/>
            </c:ext>
          </c:extLst>
        </c:ser>
        <c:ser>
          <c:idx val="4"/>
          <c:order val="4"/>
          <c:tx>
            <c:strRef>
              <c:f>'2022 CV3 dynamics'!$A$81</c:f>
              <c:strCache>
                <c:ptCount val="1"/>
                <c:pt idx="0">
                  <c:v>CV3: Possible</c:v>
                </c:pt>
              </c:strCache>
            </c:strRef>
          </c:tx>
          <c:spPr>
            <a:solidFill>
              <a:schemeClr val="accent4"/>
            </a:solidFill>
            <a:ln>
              <a:noFill/>
            </a:ln>
            <a:effectLst/>
          </c:spPr>
          <c:invertIfNegative val="0"/>
          <c:cat>
            <c:strRef>
              <c:f>'2022 CV3 dynamics'!$B$76:$E$76</c:f>
              <c:strCache>
                <c:ptCount val="4"/>
                <c:pt idx="0">
                  <c:v>Silo-based</c:v>
                </c:pt>
                <c:pt idx="1">
                  <c:v>Coordination</c:v>
                </c:pt>
                <c:pt idx="2">
                  <c:v>Collaboration</c:v>
                </c:pt>
                <c:pt idx="3">
                  <c:v>Integration</c:v>
                </c:pt>
              </c:strCache>
            </c:strRef>
          </c:cat>
          <c:val>
            <c:numRef>
              <c:f>'2022 CV3 dynamics'!$B$81:$E$81</c:f>
              <c:numCache>
                <c:formatCode>0%</c:formatCode>
                <c:ptCount val="4"/>
                <c:pt idx="0">
                  <c:v>0</c:v>
                </c:pt>
                <c:pt idx="1">
                  <c:v>0.375</c:v>
                </c:pt>
                <c:pt idx="2">
                  <c:v>0.4375</c:v>
                </c:pt>
                <c:pt idx="3">
                  <c:v>0.1875</c:v>
                </c:pt>
              </c:numCache>
            </c:numRef>
          </c:val>
          <c:extLst>
            <c:ext xmlns:c16="http://schemas.microsoft.com/office/drawing/2014/chart" uri="{C3380CC4-5D6E-409C-BE32-E72D297353CC}">
              <c16:uniqueId val="{00000004-57E6-4D71-8256-25362ED7754E}"/>
            </c:ext>
          </c:extLst>
        </c:ser>
        <c:ser>
          <c:idx val="5"/>
          <c:order val="5"/>
          <c:tx>
            <c:strRef>
              <c:f>'2022 CV3 dynamics'!$A$82</c:f>
              <c:strCache>
                <c:ptCount val="1"/>
                <c:pt idx="0">
                  <c:v>CV3: Unlikely</c:v>
                </c:pt>
              </c:strCache>
            </c:strRef>
          </c:tx>
          <c:spPr>
            <a:solidFill>
              <a:schemeClr val="accent2"/>
            </a:solidFill>
            <a:ln>
              <a:noFill/>
            </a:ln>
            <a:effectLst/>
          </c:spPr>
          <c:invertIfNegative val="0"/>
          <c:cat>
            <c:strRef>
              <c:f>'2022 CV3 dynamics'!$B$76:$E$76</c:f>
              <c:strCache>
                <c:ptCount val="4"/>
                <c:pt idx="0">
                  <c:v>Silo-based</c:v>
                </c:pt>
                <c:pt idx="1">
                  <c:v>Coordination</c:v>
                </c:pt>
                <c:pt idx="2">
                  <c:v>Collaboration</c:v>
                </c:pt>
                <c:pt idx="3">
                  <c:v>Integration</c:v>
                </c:pt>
              </c:strCache>
            </c:strRef>
          </c:cat>
          <c:val>
            <c:numRef>
              <c:f>'2022 CV3 dynamics'!$B$82:$E$82</c:f>
              <c:numCache>
                <c:formatCode>0%</c:formatCode>
                <c:ptCount val="4"/>
                <c:pt idx="0">
                  <c:v>0</c:v>
                </c:pt>
                <c:pt idx="1">
                  <c:v>0</c:v>
                </c:pt>
                <c:pt idx="2">
                  <c:v>0.3125</c:v>
                </c:pt>
                <c:pt idx="3">
                  <c:v>0.8125</c:v>
                </c:pt>
              </c:numCache>
            </c:numRef>
          </c:val>
          <c:extLst>
            <c:ext xmlns:c16="http://schemas.microsoft.com/office/drawing/2014/chart" uri="{C3380CC4-5D6E-409C-BE32-E72D297353CC}">
              <c16:uniqueId val="{00000005-57E6-4D71-8256-25362ED7754E}"/>
            </c:ext>
          </c:extLst>
        </c:ser>
        <c:dLbls>
          <c:showLegendKey val="0"/>
          <c:showVal val="0"/>
          <c:showCatName val="0"/>
          <c:showSerName val="0"/>
          <c:showPercent val="0"/>
          <c:showBubbleSize val="0"/>
        </c:dLbls>
        <c:gapWidth val="182"/>
        <c:overlap val="100"/>
        <c:axId val="125468256"/>
        <c:axId val="125469088"/>
      </c:barChart>
      <c:catAx>
        <c:axId val="125468256"/>
        <c:scaling>
          <c:orientation val="maxMin"/>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800" b="0" i="0" u="none" strike="noStrike" kern="1200" baseline="0">
                <a:solidFill>
                  <a:schemeClr val="tx1">
                    <a:lumMod val="65000"/>
                    <a:lumOff val="35000"/>
                  </a:schemeClr>
                </a:solidFill>
                <a:latin typeface="+mn-lt"/>
                <a:ea typeface="+mn-ea"/>
                <a:cs typeface="+mn-cs"/>
              </a:defRPr>
            </a:pPr>
            <a:endParaRPr lang="en-US"/>
          </a:p>
        </c:txPr>
        <c:crossAx val="125469088"/>
        <c:crosses val="autoZero"/>
        <c:auto val="1"/>
        <c:lblAlgn val="ctr"/>
        <c:lblOffset val="100"/>
        <c:noMultiLvlLbl val="0"/>
      </c:catAx>
      <c:valAx>
        <c:axId val="125469088"/>
        <c:scaling>
          <c:orientation val="minMax"/>
          <c:max val="1"/>
          <c:min val="-1"/>
        </c:scaling>
        <c:delete val="1"/>
        <c:axPos val="t"/>
        <c:numFmt formatCode="0%" sourceLinked="1"/>
        <c:majorTickMark val="none"/>
        <c:minorTickMark val="none"/>
        <c:tickLblPos val="nextTo"/>
        <c:crossAx val="1254682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800"/>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 GLASS pathogens tested in national systems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Pathogens BL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Bangladesh</c:v>
                </c:pt>
                <c:pt idx="1">
                  <c:v>Bhutan</c:v>
                </c:pt>
                <c:pt idx="2">
                  <c:v>Ghana</c:v>
                </c:pt>
                <c:pt idx="3">
                  <c:v>Indonesia</c:v>
                </c:pt>
                <c:pt idx="4">
                  <c:v>Kenya</c:v>
                </c:pt>
                <c:pt idx="5">
                  <c:v>Laos</c:v>
                </c:pt>
                <c:pt idx="6">
                  <c:v>Nepal</c:v>
                </c:pt>
                <c:pt idx="7">
                  <c:v>Nigeria</c:v>
                </c:pt>
                <c:pt idx="8">
                  <c:v>Pakistan</c:v>
                </c:pt>
                <c:pt idx="9">
                  <c:v>Senegal</c:v>
                </c:pt>
                <c:pt idx="10">
                  <c:v>Sierra Leone</c:v>
                </c:pt>
                <c:pt idx="11">
                  <c:v>Tanzania</c:v>
                </c:pt>
                <c:pt idx="12">
                  <c:v>Timor Leste</c:v>
                </c:pt>
                <c:pt idx="13">
                  <c:v>Uganda</c:v>
                </c:pt>
                <c:pt idx="14">
                  <c:v>Vietnam</c:v>
                </c:pt>
                <c:pt idx="15">
                  <c:v>Zambia</c:v>
                </c:pt>
              </c:strCache>
            </c:strRef>
          </c:cat>
          <c:val>
            <c:numRef>
              <c:f>Sheet1!$B$2:$B$17</c:f>
              <c:numCache>
                <c:formatCode>General</c:formatCode>
                <c:ptCount val="16"/>
                <c:pt idx="0">
                  <c:v>7</c:v>
                </c:pt>
                <c:pt idx="1">
                  <c:v>0</c:v>
                </c:pt>
                <c:pt idx="2">
                  <c:v>0</c:v>
                </c:pt>
                <c:pt idx="3">
                  <c:v>6</c:v>
                </c:pt>
                <c:pt idx="4">
                  <c:v>0</c:v>
                </c:pt>
                <c:pt idx="5">
                  <c:v>8</c:v>
                </c:pt>
                <c:pt idx="6">
                  <c:v>7</c:v>
                </c:pt>
                <c:pt idx="7">
                  <c:v>8</c:v>
                </c:pt>
                <c:pt idx="8">
                  <c:v>8</c:v>
                </c:pt>
                <c:pt idx="9">
                  <c:v>0</c:v>
                </c:pt>
                <c:pt idx="10">
                  <c:v>0</c:v>
                </c:pt>
                <c:pt idx="11">
                  <c:v>0</c:v>
                </c:pt>
                <c:pt idx="12">
                  <c:v>0</c:v>
                </c:pt>
                <c:pt idx="13">
                  <c:v>8</c:v>
                </c:pt>
                <c:pt idx="14">
                  <c:v>0</c:v>
                </c:pt>
                <c:pt idx="15">
                  <c:v>8</c:v>
                </c:pt>
              </c:numCache>
            </c:numRef>
          </c:val>
          <c:extLst>
            <c:ext xmlns:c16="http://schemas.microsoft.com/office/drawing/2014/chart" uri="{C3380CC4-5D6E-409C-BE32-E72D297353CC}">
              <c16:uniqueId val="{00000000-BCA1-473A-A553-9161FCFCC055}"/>
            </c:ext>
          </c:extLst>
        </c:ser>
        <c:ser>
          <c:idx val="1"/>
          <c:order val="1"/>
          <c:tx>
            <c:strRef>
              <c:f>Sheet1!$C$1</c:f>
              <c:strCache>
                <c:ptCount val="1"/>
                <c:pt idx="0">
                  <c:v>Pathogens LY</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Sheet1!$A$2:$A$17</c:f>
              <c:strCache>
                <c:ptCount val="16"/>
                <c:pt idx="0">
                  <c:v>Bangladesh</c:v>
                </c:pt>
                <c:pt idx="1">
                  <c:v>Bhutan</c:v>
                </c:pt>
                <c:pt idx="2">
                  <c:v>Ghana</c:v>
                </c:pt>
                <c:pt idx="3">
                  <c:v>Indonesia</c:v>
                </c:pt>
                <c:pt idx="4">
                  <c:v>Kenya</c:v>
                </c:pt>
                <c:pt idx="5">
                  <c:v>Laos</c:v>
                </c:pt>
                <c:pt idx="6">
                  <c:v>Nepal</c:v>
                </c:pt>
                <c:pt idx="7">
                  <c:v>Nigeria</c:v>
                </c:pt>
                <c:pt idx="8">
                  <c:v>Pakistan</c:v>
                </c:pt>
                <c:pt idx="9">
                  <c:v>Senegal</c:v>
                </c:pt>
                <c:pt idx="10">
                  <c:v>Sierra Leone</c:v>
                </c:pt>
                <c:pt idx="11">
                  <c:v>Tanzania</c:v>
                </c:pt>
                <c:pt idx="12">
                  <c:v>Timor Leste</c:v>
                </c:pt>
                <c:pt idx="13">
                  <c:v>Uganda</c:v>
                </c:pt>
                <c:pt idx="14">
                  <c:v>Vietnam</c:v>
                </c:pt>
                <c:pt idx="15">
                  <c:v>Zambia</c:v>
                </c:pt>
              </c:strCache>
            </c:strRef>
          </c:cat>
          <c:val>
            <c:numRef>
              <c:f>Sheet1!$C$2:$C$17</c:f>
              <c:numCache>
                <c:formatCode>General</c:formatCode>
                <c:ptCount val="16"/>
                <c:pt idx="0">
                  <c:v>7</c:v>
                </c:pt>
                <c:pt idx="1">
                  <c:v>6</c:v>
                </c:pt>
                <c:pt idx="2">
                  <c:v>0</c:v>
                </c:pt>
                <c:pt idx="3">
                  <c:v>7</c:v>
                </c:pt>
                <c:pt idx="4">
                  <c:v>8</c:v>
                </c:pt>
                <c:pt idx="5">
                  <c:v>8</c:v>
                </c:pt>
                <c:pt idx="6">
                  <c:v>8</c:v>
                </c:pt>
                <c:pt idx="7">
                  <c:v>6</c:v>
                </c:pt>
                <c:pt idx="8">
                  <c:v>8</c:v>
                </c:pt>
                <c:pt idx="9">
                  <c:v>0</c:v>
                </c:pt>
                <c:pt idx="10">
                  <c:v>0</c:v>
                </c:pt>
                <c:pt idx="11">
                  <c:v>8</c:v>
                </c:pt>
                <c:pt idx="12">
                  <c:v>5</c:v>
                </c:pt>
                <c:pt idx="13">
                  <c:v>8</c:v>
                </c:pt>
                <c:pt idx="14">
                  <c:v>0</c:v>
                </c:pt>
                <c:pt idx="15">
                  <c:v>5</c:v>
                </c:pt>
              </c:numCache>
            </c:numRef>
          </c:val>
          <c:extLst>
            <c:ext xmlns:c16="http://schemas.microsoft.com/office/drawing/2014/chart" uri="{C3380CC4-5D6E-409C-BE32-E72D297353CC}">
              <c16:uniqueId val="{00000001-BCA1-473A-A553-9161FCFCC055}"/>
            </c:ext>
          </c:extLst>
        </c:ser>
        <c:dLbls>
          <c:dLblPos val="outEnd"/>
          <c:showLegendKey val="0"/>
          <c:showVal val="1"/>
          <c:showCatName val="0"/>
          <c:showSerName val="0"/>
          <c:showPercent val="0"/>
          <c:showBubbleSize val="0"/>
        </c:dLbls>
        <c:gapWidth val="219"/>
        <c:overlap val="-27"/>
        <c:axId val="52732848"/>
        <c:axId val="2131846752"/>
      </c:barChart>
      <c:catAx>
        <c:axId val="52732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1846752"/>
        <c:crosses val="autoZero"/>
        <c:auto val="1"/>
        <c:lblAlgn val="ctr"/>
        <c:lblOffset val="100"/>
        <c:noMultiLvlLbl val="0"/>
      </c:catAx>
      <c:valAx>
        <c:axId val="213184675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732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Number of countries reporting</a:t>
            </a:r>
          </a:p>
        </c:rich>
      </c:tx>
      <c:layout>
        <c:manualLayout>
          <c:xMode val="edge"/>
          <c:yMode val="edge"/>
          <c:x val="0.32856933508311459"/>
          <c:y val="3.24074074074074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'charts ''22 GLASS report'!$B$2</c:f>
              <c:strCache>
                <c:ptCount val="1"/>
                <c:pt idx="0">
                  <c:v>2018</c:v>
                </c:pt>
              </c:strCache>
            </c:strRef>
          </c:tx>
          <c:spPr>
            <a:solidFill>
              <a:schemeClr val="accent1"/>
            </a:solidFill>
            <a:ln>
              <a:noFill/>
            </a:ln>
            <a:effectLst/>
          </c:spPr>
          <c:invertIfNegative val="0"/>
          <c:cat>
            <c:strRef>
              <c:f>'charts ''22 GLASS report'!$A$3:$A$6</c:f>
              <c:strCache>
                <c:ptCount val="4"/>
                <c:pt idx="0">
                  <c:v>Blood</c:v>
                </c:pt>
                <c:pt idx="1">
                  <c:v>Gonorrhoea</c:v>
                </c:pt>
                <c:pt idx="2">
                  <c:v>UTI</c:v>
                </c:pt>
                <c:pt idx="3">
                  <c:v>Gastrointestinal</c:v>
                </c:pt>
              </c:strCache>
            </c:strRef>
          </c:cat>
          <c:val>
            <c:numRef>
              <c:f>'charts ''22 GLASS report'!$B$3:$B$6</c:f>
              <c:numCache>
                <c:formatCode>General</c:formatCode>
                <c:ptCount val="4"/>
                <c:pt idx="0">
                  <c:v>7</c:v>
                </c:pt>
                <c:pt idx="1">
                  <c:v>4</c:v>
                </c:pt>
                <c:pt idx="2">
                  <c:v>6</c:v>
                </c:pt>
                <c:pt idx="3">
                  <c:v>5</c:v>
                </c:pt>
              </c:numCache>
            </c:numRef>
          </c:val>
          <c:extLst>
            <c:ext xmlns:c16="http://schemas.microsoft.com/office/drawing/2014/chart" uri="{C3380CC4-5D6E-409C-BE32-E72D297353CC}">
              <c16:uniqueId val="{00000000-2732-45DE-94DB-7B93BC34A179}"/>
            </c:ext>
          </c:extLst>
        </c:ser>
        <c:ser>
          <c:idx val="1"/>
          <c:order val="1"/>
          <c:tx>
            <c:strRef>
              <c:f>'charts ''22 GLASS report'!$C$2</c:f>
              <c:strCache>
                <c:ptCount val="1"/>
                <c:pt idx="0">
                  <c:v>2019</c:v>
                </c:pt>
              </c:strCache>
            </c:strRef>
          </c:tx>
          <c:spPr>
            <a:solidFill>
              <a:schemeClr val="accent2"/>
            </a:solidFill>
            <a:ln>
              <a:noFill/>
            </a:ln>
            <a:effectLst/>
          </c:spPr>
          <c:invertIfNegative val="0"/>
          <c:cat>
            <c:strRef>
              <c:f>'charts ''22 GLASS report'!$A$3:$A$6</c:f>
              <c:strCache>
                <c:ptCount val="4"/>
                <c:pt idx="0">
                  <c:v>Blood</c:v>
                </c:pt>
                <c:pt idx="1">
                  <c:v>Gonorrhoea</c:v>
                </c:pt>
                <c:pt idx="2">
                  <c:v>UTI</c:v>
                </c:pt>
                <c:pt idx="3">
                  <c:v>Gastrointestinal</c:v>
                </c:pt>
              </c:strCache>
            </c:strRef>
          </c:cat>
          <c:val>
            <c:numRef>
              <c:f>'charts ''22 GLASS report'!$C$3:$C$6</c:f>
              <c:numCache>
                <c:formatCode>General</c:formatCode>
                <c:ptCount val="4"/>
                <c:pt idx="0">
                  <c:v>8</c:v>
                </c:pt>
                <c:pt idx="1">
                  <c:v>3</c:v>
                </c:pt>
                <c:pt idx="2">
                  <c:v>7</c:v>
                </c:pt>
                <c:pt idx="3">
                  <c:v>6</c:v>
                </c:pt>
              </c:numCache>
            </c:numRef>
          </c:val>
          <c:extLst>
            <c:ext xmlns:c16="http://schemas.microsoft.com/office/drawing/2014/chart" uri="{C3380CC4-5D6E-409C-BE32-E72D297353CC}">
              <c16:uniqueId val="{00000001-2732-45DE-94DB-7B93BC34A179}"/>
            </c:ext>
          </c:extLst>
        </c:ser>
        <c:ser>
          <c:idx val="2"/>
          <c:order val="2"/>
          <c:tx>
            <c:strRef>
              <c:f>'charts ''22 GLASS report'!$D$2</c:f>
              <c:strCache>
                <c:ptCount val="1"/>
                <c:pt idx="0">
                  <c:v>2020</c:v>
                </c:pt>
              </c:strCache>
            </c:strRef>
          </c:tx>
          <c:spPr>
            <a:solidFill>
              <a:schemeClr val="accent3"/>
            </a:solidFill>
            <a:ln>
              <a:noFill/>
            </a:ln>
            <a:effectLst/>
          </c:spPr>
          <c:invertIfNegative val="0"/>
          <c:cat>
            <c:strRef>
              <c:f>'charts ''22 GLASS report'!$A$3:$A$6</c:f>
              <c:strCache>
                <c:ptCount val="4"/>
                <c:pt idx="0">
                  <c:v>Blood</c:v>
                </c:pt>
                <c:pt idx="1">
                  <c:v>Gonorrhoea</c:v>
                </c:pt>
                <c:pt idx="2">
                  <c:v>UTI</c:v>
                </c:pt>
                <c:pt idx="3">
                  <c:v>Gastrointestinal</c:v>
                </c:pt>
              </c:strCache>
            </c:strRef>
          </c:cat>
          <c:val>
            <c:numRef>
              <c:f>'charts ''22 GLASS report'!$D$3:$D$6</c:f>
              <c:numCache>
                <c:formatCode>General</c:formatCode>
                <c:ptCount val="4"/>
                <c:pt idx="0">
                  <c:v>13</c:v>
                </c:pt>
                <c:pt idx="1">
                  <c:v>4</c:v>
                </c:pt>
                <c:pt idx="2">
                  <c:v>11</c:v>
                </c:pt>
                <c:pt idx="3">
                  <c:v>9</c:v>
                </c:pt>
              </c:numCache>
            </c:numRef>
          </c:val>
          <c:extLst>
            <c:ext xmlns:c16="http://schemas.microsoft.com/office/drawing/2014/chart" uri="{C3380CC4-5D6E-409C-BE32-E72D297353CC}">
              <c16:uniqueId val="{00000002-2732-45DE-94DB-7B93BC34A179}"/>
            </c:ext>
          </c:extLst>
        </c:ser>
        <c:dLbls>
          <c:showLegendKey val="0"/>
          <c:showVal val="0"/>
          <c:showCatName val="0"/>
          <c:showSerName val="0"/>
          <c:showPercent val="0"/>
          <c:showBubbleSize val="0"/>
        </c:dLbls>
        <c:gapWidth val="219"/>
        <c:overlap val="-27"/>
        <c:axId val="2075419327"/>
        <c:axId val="2075415167"/>
      </c:barChart>
      <c:catAx>
        <c:axId val="20754193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5415167"/>
        <c:crosses val="autoZero"/>
        <c:auto val="1"/>
        <c:lblAlgn val="ctr"/>
        <c:lblOffset val="100"/>
        <c:noMultiLvlLbl val="0"/>
      </c:catAx>
      <c:valAx>
        <c:axId val="20754151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54193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Percentage of countries reporting more data (2018-2020)</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'charts ''22 GLASS report'!$K$2</c:f>
              <c:strCache>
                <c:ptCount val="1"/>
                <c:pt idx="0">
                  <c:v>Absolute number of BCIs with AST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'charts ''22 GLASS report'!$J$3:$J$6</c:f>
              <c:strCache>
                <c:ptCount val="4"/>
                <c:pt idx="0">
                  <c:v>Blood</c:v>
                </c:pt>
                <c:pt idx="1">
                  <c:v>Gonorrhoea</c:v>
                </c:pt>
                <c:pt idx="2">
                  <c:v>UTI</c:v>
                </c:pt>
                <c:pt idx="3">
                  <c:v>Gastrointestinal</c:v>
                </c:pt>
              </c:strCache>
            </c:strRef>
          </c:cat>
          <c:val>
            <c:numRef>
              <c:f>'charts ''22 GLASS report'!$K$3:$K$6</c:f>
              <c:numCache>
                <c:formatCode>0%</c:formatCode>
                <c:ptCount val="4"/>
                <c:pt idx="0">
                  <c:v>0.77</c:v>
                </c:pt>
                <c:pt idx="1">
                  <c:v>0</c:v>
                </c:pt>
                <c:pt idx="2">
                  <c:v>0.73</c:v>
                </c:pt>
                <c:pt idx="3">
                  <c:v>0.56000000000000005</c:v>
                </c:pt>
              </c:numCache>
            </c:numRef>
          </c:val>
          <c:extLst>
            <c:ext xmlns:c16="http://schemas.microsoft.com/office/drawing/2014/chart" uri="{C3380CC4-5D6E-409C-BE32-E72D297353CC}">
              <c16:uniqueId val="{00000000-93F4-495E-83DB-872F8E262EEC}"/>
            </c:ext>
          </c:extLst>
        </c:ser>
        <c:ser>
          <c:idx val="1"/>
          <c:order val="1"/>
          <c:tx>
            <c:strRef>
              <c:f>'charts ''22 GLASS report'!$L$2</c:f>
              <c:strCache>
                <c:ptCount val="1"/>
                <c:pt idx="0">
                  <c:v>% of BCIs with AST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'charts ''22 GLASS report'!$J$3:$J$6</c:f>
              <c:strCache>
                <c:ptCount val="4"/>
                <c:pt idx="0">
                  <c:v>Blood</c:v>
                </c:pt>
                <c:pt idx="1">
                  <c:v>Gonorrhoea</c:v>
                </c:pt>
                <c:pt idx="2">
                  <c:v>UTI</c:v>
                </c:pt>
                <c:pt idx="3">
                  <c:v>Gastrointestinal</c:v>
                </c:pt>
              </c:strCache>
            </c:strRef>
          </c:cat>
          <c:val>
            <c:numRef>
              <c:f>'charts ''22 GLASS report'!$L$3:$L$6</c:f>
              <c:numCache>
                <c:formatCode>0%</c:formatCode>
                <c:ptCount val="4"/>
                <c:pt idx="0">
                  <c:v>0.69</c:v>
                </c:pt>
                <c:pt idx="1">
                  <c:v>1</c:v>
                </c:pt>
                <c:pt idx="2">
                  <c:v>0.73</c:v>
                </c:pt>
                <c:pt idx="3">
                  <c:v>0.78</c:v>
                </c:pt>
              </c:numCache>
            </c:numRef>
          </c:val>
          <c:extLst>
            <c:ext xmlns:c16="http://schemas.microsoft.com/office/drawing/2014/chart" uri="{C3380CC4-5D6E-409C-BE32-E72D297353CC}">
              <c16:uniqueId val="{00000001-93F4-495E-83DB-872F8E262EEC}"/>
            </c:ext>
          </c:extLst>
        </c:ser>
        <c:dLbls>
          <c:dLblPos val="outEnd"/>
          <c:showLegendKey val="0"/>
          <c:showVal val="1"/>
          <c:showCatName val="0"/>
          <c:showSerName val="0"/>
          <c:showPercent val="0"/>
          <c:showBubbleSize val="0"/>
        </c:dLbls>
        <c:gapWidth val="219"/>
        <c:overlap val="-27"/>
        <c:axId val="847250703"/>
        <c:axId val="845673023"/>
      </c:barChart>
      <c:catAx>
        <c:axId val="8472507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45673023"/>
        <c:crosses val="autoZero"/>
        <c:auto val="1"/>
        <c:lblAlgn val="ctr"/>
        <c:lblOffset val="100"/>
        <c:noMultiLvlLbl val="0"/>
      </c:catAx>
      <c:valAx>
        <c:axId val="84567302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472507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Itad">
      <a:dk1>
        <a:srgbClr val="3B3B3C"/>
      </a:dk1>
      <a:lt1>
        <a:sysClr val="window" lastClr="FFFFFF"/>
      </a:lt1>
      <a:dk2>
        <a:srgbClr val="588B46"/>
      </a:dk2>
      <a:lt2>
        <a:srgbClr val="E7E6E6"/>
      </a:lt2>
      <a:accent1>
        <a:srgbClr val="89803D"/>
      </a:accent1>
      <a:accent2>
        <a:srgbClr val="E37230"/>
      </a:accent2>
      <a:accent3>
        <a:srgbClr val="3FB84E"/>
      </a:accent3>
      <a:accent4>
        <a:srgbClr val="F1B249"/>
      </a:accent4>
      <a:accent5>
        <a:srgbClr val="F4F142"/>
      </a:accent5>
      <a:accent6>
        <a:srgbClr val="8CCA45"/>
      </a:accent6>
      <a:hlink>
        <a:srgbClr val="3B3B3C"/>
      </a:hlink>
      <a:folHlink>
        <a:srgbClr val="F3932D"/>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5724-7c91-4237-853c-255501370aa0">
      <Terms xmlns="http://schemas.microsoft.com/office/infopath/2007/PartnerControls"/>
    </lcf76f155ced4ddcb4097134ff3c332f>
    <SharedWithUsers xmlns="7aa07ef2-f4ec-4a8c-98d7-e2e24130d9f5">
      <UserInfo>
        <DisplayName>Julie-Anne Darsley</DisplayName>
        <AccountId>12</AccountId>
        <AccountType/>
      </UserInfo>
      <UserInfo>
        <DisplayName>Zoe Bonnell</DisplayName>
        <AccountId>103</AccountId>
        <AccountType/>
      </UserInfo>
      <UserInfo>
        <DisplayName>Tahmina Begum</DisplayName>
        <AccountId>188</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b:Source>
    <b:Tag>Mur22</b:Tag>
    <b:SourceType>JournalArticle</b:SourceType>
    <b:Guid>{DC6AE072-1AD5-1D4C-A497-610F196972ED}</b:Guid>
    <b:Author>
      <b:Author>
        <b:NameList>
          <b:Person>
            <b:Last>Murray</b:Last>
            <b:First>J.</b:First>
            <b:Middle>L. C., et al.</b:Middle>
          </b:Person>
        </b:NameList>
      </b:Author>
    </b:Author>
    <b:Title>Global burden of bacterial antimicrobial resistance in 2019: a systematic analysis</b:Title>
    <b:JournalName>The Lancet</b:JournalName>
    <b:Year>2022</b:Year>
    <b:Pages>629-655</b:Pages>
    <b:Volume>399</b:Volume>
    <b:Issue>10325</b:Issue>
    <b:RefOrder>1</b:RefOrder>
  </b:Source>
  <b:Source>
    <b:Tag>Rev22</b:Tag>
    <b:SourceType>InternetSite</b:SourceType>
    <b:Guid>{F663403E-2776-7B43-8342-61ECF3781871}</b:Guid>
    <b:Title>Home</b:Title>
    <b:Year>2022</b:Year>
    <b:Author>
      <b:Author>
        <b:Corporate>Review on Antimicrobial Resistance</b:Corporate>
      </b:Author>
    </b:Author>
    <b:InternetSiteTitle>Review on Antimicrobial Resistance</b:InternetSiteTitle>
    <b:URL>https://amr-review.org/</b:URL>
    <b:RefOrder>2</b:RefOrder>
  </b:Source>
  <b:Source>
    <b:Tag>Ame22</b:Tag>
    <b:SourceType>InternetSite</b:SourceType>
    <b:Guid>{344A700E-F7EB-3749-94D2-D96B5DF75EBB}</b:Guid>
    <b:Title>One Health</b:Title>
    <b:Year>2022</b:Year>
    <b:Author>
      <b:Author>
        <b:Corporate>American Veterinary Medical Association</b:Corporate>
      </b:Author>
    </b:Author>
    <b:InternetSiteTitle>AVMA</b:InternetSiteTitle>
    <b:URL>https://www.avma.org/resources-tools/one-health</b:URL>
    <b:RefOrder>3</b:RefOrder>
  </b:Source>
  <b:Source>
    <b:Tag>BON12</b:Tag>
    <b:SourceType>Report</b:SourceType>
    <b:Guid>{AA0BA6F9-294E-FE4D-AF70-4C07F4984359}</b:Guid>
    <b:Author>
      <b:Author>
        <b:Corporate>BOND</b:Corporate>
      </b:Author>
    </b:Author>
    <b:Title>BOND’s Value for Money: what it means for UK NGOs</b:Title>
    <b:Publisher>BOND</b:Publisher>
    <b:Year>2012</b:Year>
    <b:RefOrder>4</b:RefOrder>
  </b:Source>
  <b:Source>
    <b:Tag>Bro21</b:Tag>
    <b:SourceType>InternetSite</b:SourceType>
    <b:Guid>{CD00EAC8-D2D6-C145-BE95-46F9E96922A3}</b:Guid>
    <b:Author>
      <b:Author>
        <b:NameList>
          <b:Person>
            <b:Last>Brown</b:Last>
            <b:First>C.</b:First>
          </b:Person>
          <b:Person>
            <b:Last>Shorten</b:Last>
            <b:First>T.</b:First>
          </b:Person>
        </b:NameList>
      </b:Author>
    </b:Author>
    <b:Title>Common elements of good practice for sustainability</b:Title>
    <b:Year>2021</b:Year>
    <b:InternetSiteTitle>The Fleming Fund</b:InternetSiteTitle>
    <b:URL>https://www.flemingfund.org/publications/common-elements-of-good-practice-for-sustainability/</b:URL>
    <b:Month>07</b:Month>
    <b:Day>21</b:Day>
    <b:RefOrder>5</b:RefOrder>
  </b:Source>
  <b:Source>
    <b:Tag>Chi20</b:Tag>
    <b:SourceType>JournalArticle</b:SourceType>
    <b:Guid>{47DED9BA-6D3B-BC4D-8288-687F8180BB36}</b:Guid>
    <b:Title>Glossary for Public Health Surveillance in the Age of Data Science</b:Title>
    <b:Year>2020</b:Year>
    <b:Author>
      <b:Author>
        <b:NameList>
          <b:Person>
            <b:Last>Chiolero</b:Last>
            <b:First>A.</b:First>
          </b:Person>
          <b:Person>
            <b:Last>Buckeridge</b:Last>
            <b:First>D.</b:First>
          </b:Person>
        </b:NameList>
      </b:Author>
    </b:Author>
    <b:JournalName>Journal of Epidemiology and Community Health</b:JournalName>
    <b:Pages>612-616</b:Pages>
    <b:Volume>74</b:Volume>
    <b:RefOrder>6</b:RefOrder>
  </b:Source>
  <b:Source>
    <b:Tag>Dep20</b:Tag>
    <b:SourceType>Report</b:SourceType>
    <b:Guid>{57D4486F-B3A3-0A43-98E0-FF14C32CC32B}</b:Guid>
    <b:Author>
      <b:Author>
        <b:Corporate>Department of Health and Social Care</b:Corporate>
      </b:Author>
    </b:Author>
    <b:Title>Fleming Fund annual review: January to December 2019</b:Title>
    <b:Publisher>Department of Health and Social Care</b:Publisher>
    <b:Year>2020</b:Year>
    <b:RefOrder>7</b:RefOrder>
  </b:Source>
  <b:Source>
    <b:Tag>For11</b:Tag>
    <b:SourceType>Book</b:SourceType>
    <b:Guid>{CE9D7E24-5969-DA4D-8FC2-5A0B3B27DCCE}</b:Guid>
    <b:Title>Contribution Analysis: Addressing Cause and Effect</b:Title>
    <b:Year>2011</b:Year>
    <b:Author>
      <b:Author>
        <b:NameList>
          <b:Person>
            <b:Last>Forss</b:Last>
            <b:First>K.</b:First>
          </b:Person>
          <b:Person>
            <b:Last>Marra</b:Last>
            <b:First>M.</b:First>
          </b:Person>
          <b:Person>
            <b:Last>Schwartz</b:Last>
            <b:First>R.</b:First>
            <b:Middle>(Eds.)</b:Middle>
          </b:Person>
        </b:NameList>
      </b:Author>
    </b:Author>
    <b:Publisher>Transaction Publishers</b:Publisher>
    <b:RefOrder>8</b:RefOrder>
  </b:Source>
  <b:Source>
    <b:Tag>HEA19</b:Tag>
    <b:SourceType>Report</b:SourceType>
    <b:Guid>{6432ECED-C00F-B545-BAC1-1BF4CFCA899A}</b:Guid>
    <b:Author>
      <b:Author>
        <b:Corporate>HEART</b:Corporate>
      </b:Author>
    </b:Author>
    <b:Title>Fleming Fund Implementation January-December 2018 Annual Review</b:Title>
    <b:Publisher>HEART</b:Publisher>
    <b:Year>2019</b:Year>
    <b:RefOrder>9</b:RefOrder>
  </b:Source>
  <b:Source>
    <b:Tag>Int</b:Tag>
    <b:SourceType>Report</b:SourceType>
    <b:Guid>{2859E0FC-36D2-6C46-BCF6-93D95467551A}</b:Guid>
    <b:Author>
      <b:Author>
        <b:Corporate>Interagency Coordination Group on Antimicrobial Resistance</b:Corporate>
      </b:Author>
    </b:Author>
    <b:Title>Antimicrobial resistance: national action plans </b:Title>
    <b:Publisher>Interagency Coordination Group on Antimicrobial Resistance</b:Publisher>
    <b:Year>2018</b:Year>
    <b:RefOrder>10</b:RefOrder>
  </b:Source>
  <b:Source>
    <b:Tag>Wel18</b:Tag>
    <b:SourceType>Report</b:SourceType>
    <b:Guid>{EAFF1C7C-77ED-EE4D-BBBD-9F5DA399626D}</b:Guid>
    <b:Author>
      <b:Author>
        <b:Corporate>Interagency Coordination Group on Antimicrobial Resistance</b:Corporate>
      </b:Author>
    </b:Author>
    <b:Title>Call to Action on Antimicrobial Resistance 2018</b:Title>
    <b:Year>2018</b:Year>
    <b:Publisher>Interagency Coordination Group on Antimicrobial Resistance</b:Publisher>
    <b:RefOrder>11</b:RefOrder>
  </b:Source>
  <b:Source>
    <b:Tag>Kin10</b:Tag>
    <b:SourceType>Book</b:SourceType>
    <b:Guid>{AB6ADCA1-935A-2345-8780-1664C8870041}</b:Guid>
    <b:Title>Agendas, alternatives, and public policies, update edition, with an epilogue on health care, 2nd edition</b:Title>
    <b:Year>2010</b:Year>
    <b:Author>
      <b:Author>
        <b:NameList>
          <b:Person>
            <b:Last>Kingdon</b:Last>
            <b:First>JW.</b:First>
          </b:Person>
        </b:NameList>
      </b:Author>
    </b:Author>
    <b:City>Boston</b:City>
    <b:Publisher>Pearson</b:Publisher>
    <b:RefOrder>12</b:RefOrder>
  </b:Source>
  <b:Source>
    <b:Tag>Lof21</b:Tag>
    <b:SourceType>Report</b:SourceType>
    <b:Guid>{75EA7260-2E3D-F441-8061-E960636CA70C}</b:Guid>
    <b:Author>
      <b:Author>
        <b:NameList>
          <b:Person>
            <b:Last>Loft</b:Last>
            <b:First>P.</b:First>
          </b:Person>
          <b:Person>
            <b:Last>Brien</b:Last>
            <b:First>P.</b:First>
          </b:Person>
        </b:NameList>
      </b:Author>
    </b:Author>
    <b:Title>Reducing the UK's aid spend in 2021</b:Title>
    <b:Year>2021</b:Year>
    <b:Publisher>House of Commons Library</b:Publisher>
    <b:RefOrder>13</b:RefOrder>
  </b:Source>
  <b:Source>
    <b:Tag>Nat22</b:Tag>
    <b:SourceType>InternetSite</b:SourceType>
    <b:Guid>{2876DF53-6BAB-614D-8D82-54AC6F0FFC5A}</b:Guid>
    <b:Author>
      <b:Author>
        <b:Corporate>National Audit Office</b:Corporate>
      </b:Author>
    </b:Author>
    <b:Title>Successful commissioning toolkit: Assessing value for money</b:Title>
    <b:Year>2022</b:Year>
    <b:InternetSiteTitle>National Audit Office</b:InternetSiteTitle>
    <b:URL>https://www.nao.org.uk/successful-commissioning/general-principles/value-for-money/assessing-value-for-money/</b:URL>
    <b:RefOrder>14</b:RefOrder>
  </b:Source>
  <b:Source>
    <b:Tag>OEC12</b:Tag>
    <b:SourceType>Report</b:SourceType>
    <b:Guid>{6BF75768-319D-2F4B-860B-4CD18FD9A85A}</b:Guid>
    <b:Author>
      <b:Author>
        <b:Corporate>OECD DAC Evaluation Network</b:Corporate>
      </b:Author>
    </b:Author>
    <b:Title>UK Evaluation Society Good Practice Guidelines, and International Development </b:Title>
    <b:Publisher>OECD DAC Evaluation Network (EvalNet)</b:Publisher>
    <b:Year>2012</b:Year>
    <b:RefOrder>15</b:RefOrder>
  </b:Source>
  <b:Source>
    <b:Tag>One22</b:Tag>
    <b:SourceType>InternetSite</b:SourceType>
    <b:Guid>{724DB44A-884A-684A-9562-3F467F2B86EC}</b:Guid>
    <b:Author>
      <b:Author>
        <b:Corporate>One Health Trust</b:Corporate>
      </b:Author>
    </b:Author>
    <b:Title>Global Antibiotic Resistance Partnership (GARP)</b:Title>
    <b:InternetSiteTitle>One Health Trust</b:InternetSiteTitle>
    <b:URL>https://onehealthtrust.org/projects/global-antibiotic-resistance-partnership/</b:URL>
    <b:Year>2022</b:Year>
    <b:RefOrder>16</b:RefOrder>
  </b:Source>
  <b:Source>
    <b:Tag>Pat02</b:Tag>
    <b:SourceType>Book</b:SourceType>
    <b:Guid>{BEECC3AD-227E-AE4E-95AB-69A094A966D6}</b:Guid>
    <b:Author>
      <b:Author>
        <b:NameList>
          <b:Person>
            <b:Last>Patton</b:Last>
            <b:First>M.</b:First>
            <b:Middle>Q.</b:Middle>
          </b:Person>
        </b:NameList>
      </b:Author>
    </b:Author>
    <b:Title>Qualitative Research and Evaluation Options (3rd ed.)</b:Title>
    <b:Publisher>Sage Publications</b:Publisher>
    <b:City>Thousand Oaks</b:City>
    <b:Year>2002</b:Year>
    <b:StateProvince>California</b:StateProvince>
    <b:RefOrder>17</b:RefOrder>
  </b:Source>
  <b:Source>
    <b:Tag>Sea17</b:Tag>
    <b:SourceType>JournalArticle</b:SourceType>
    <b:Guid>{CDC731BD-8E2E-C54B-8544-2C2AAF988CAB}</b:Guid>
    <b:Title>AMR Surveillance in low and middle-income settings - A roadmap for participation in the Global Antimicrobial Surveillance System (GLASS)</b:Title>
    <b:Year>2017</b:Year>
    <b:JournalName>Wellcome Open Research</b:JournalName>
    <b:Author>
      <b:Author>
        <b:NameList>
          <b:Person>
            <b:Last>Seale</b:Last>
            <b:First>AC.</b:First>
          </b:Person>
          <b:Person>
            <b:Last>Gordon</b:Last>
            <b:First>NC.</b:First>
          </b:Person>
          <b:Person>
            <b:Last>Islam</b:Last>
            <b:First>J.</b:First>
            <b:Middle>et al.</b:Middle>
          </b:Person>
        </b:NameList>
      </b:Author>
    </b:Author>
    <b:Volume>2</b:Volume>
    <b:Issue>92</b:Issue>
    <b:RefOrder>18</b:RefOrder>
  </b:Source>
  <b:Source>
    <b:Tag>Sie17</b:Tag>
    <b:SourceType>JournalArticle</b:SourceType>
    <b:Guid>{35BBB180-77ED-004C-B12D-7E37B77A1664}</b:Guid>
    <b:Title>Setting performance-based financing in the health sector agenda: a case study in Cameroon</b:Title>
    <b:Year>2017</b:Year>
    <b:Author>
      <b:Author>
        <b:NameList>
          <b:Person>
            <b:Last>Sieleunou</b:Last>
            <b:First>I.</b:First>
          </b:Person>
          <b:Person>
            <b:Last>Turcotte-Tremblay</b:Last>
            <b:First>A.-M.</b:First>
          </b:Person>
          <b:Person>
            <b:Last>Fotso</b:Last>
            <b:First>J.-C.T.</b:First>
          </b:Person>
          <b:Person>
            <b:Last>Tamga</b:Last>
            <b:First>D.M.</b:First>
          </b:Person>
          <b:Person>
            <b:Last>Yumo</b:Last>
            <b:First>H.A.</b:First>
          </b:Person>
          <b:Person>
            <b:Last>Kouokam</b:Last>
            <b:First>E.</b:First>
          </b:Person>
          <b:Person>
            <b:Last>Ridde</b:Last>
            <b:First>V.</b:First>
          </b:Person>
        </b:NameList>
      </b:Author>
    </b:Author>
    <b:JournalName>Globalization and Health</b:JournalName>
    <b:Volume>13</b:Volume>
    <b:Issue>52</b:Issue>
    <b:RefOrder>19</b:RefOrder>
  </b:Source>
  <b:Source>
    <b:Tag>Spe03</b:Tag>
    <b:SourceType>Report</b:SourceType>
    <b:Guid>{0831B60B-9E77-AD45-8DD2-C1DDFC88D4E0}</b:Guid>
    <b:Title>Quality in Qualitative Evaluation: A framework for assessing research evidence. Government Chief Social Researcher’s Office</b:Title>
    <b:City>London</b:City>
    <b:Publisher>Cabinet Office</b:Publisher>
    <b:Year>2003</b:Year>
    <b:Author>
      <b:Author>
        <b:NameList>
          <b:Person>
            <b:Last>Spencer</b:Last>
            <b:First>L.</b:First>
          </b:Person>
          <b:Person>
            <b:Last>Ritchie</b:Last>
            <b:First>J.</b:First>
          </b:Person>
          <b:Person>
            <b:Last>Lewis</b:Last>
            <b:First>J.</b:First>
          </b:Person>
          <b:Person>
            <b:Last>Dillon</b:Last>
            <b:First>L.</b:First>
          </b:Person>
        </b:NameList>
      </b:Author>
    </b:Author>
    <b:RefOrder>20</b:RefOrder>
  </b:Source>
  <b:Source>
    <b:Tag>The161</b:Tag>
    <b:SourceType>Report</b:SourceType>
    <b:Guid>{FED44D66-9DDB-6F45-AB56-A30CD9AFA224}</b:Guid>
    <b:Author>
      <b:Author>
        <b:Corporate>The Review on Antimicrobial Resistance</b:Corporate>
      </b:Author>
    </b:Author>
    <b:Title>Tackling drug-resistant infections globally: final report and recommendations</b:Title>
    <b:Publisher>The Review on Antimicrobial Resistance</b:Publisher>
    <b:Year>2016</b:Year>
    <b:RefOrder>21</b:RefOrder>
  </b:Source>
  <b:Source>
    <b:Tag>The16</b:Tag>
    <b:SourceType>Report</b:SourceType>
    <b:Guid>{F1CB2893-CEC8-3A48-B1B4-92C24D373A18}</b:Guid>
    <b:Title>Tackling Drug-Resistant Infections Globally: final report and recommendations</b:Title>
    <b:Year>2016</b:Year>
    <b:Author>
      <b:Author>
        <b:Corporate>The Review on Antimicrobial Resistance</b:Corporate>
      </b:Author>
    </b:Author>
    <b:Publisher>The Review on Antimicrobial Resistance</b:Publisher>
    <b:City>London</b:City>
    <b:RefOrder>22</b:RefOrder>
  </b:Source>
  <b:Source>
    <b:Tag>Wor20</b:Tag>
    <b:SourceType>InternetSite</b:SourceType>
    <b:Guid>{F5E65A57-4DBD-0C47-B3F0-4A206CE0E61C}</b:Guid>
    <b:Author>
      <b:Author>
        <b:Corporate>World Health Organisation</b:Corporate>
      </b:Author>
    </b:Author>
    <b:Title>Global Leaders Group Terms of Reference </b:Title>
    <b:Year>2020</b:Year>
    <b:InternetSiteTitle>World Health Organisation</b:InternetSiteTitle>
    <b:URL>https://www.who.int/news-room/articles-detail/global-leaders-group-terms-of-reference</b:URL>
    <b:Month>August</b:Month>
    <b:Day>10</b:Day>
    <b:RefOrder>23</b:RefOrder>
  </b:Source>
  <b:Source>
    <b:Tag>Wor223</b:Tag>
    <b:SourceType>InternetSite</b:SourceType>
    <b:Guid>{E02186F2-17A6-2A46-B3FA-58933BA9B914}</b:Guid>
    <b:Author>
      <b:Author>
        <b:Corporate>World Health Organisation</b:Corporate>
      </b:Author>
    </b:Author>
    <b:Title>Global Antimicrobial Resistance and Use Surveillance System (GLASS) </b:Title>
    <b:InternetSiteTitle>World Health Organisation</b:InternetSiteTitle>
    <b:URL>https://www.who.int/initiatives/glass</b:URL>
    <b:Year>2022</b:Year>
    <b:RefOrder>24</b:RefOrder>
  </b:Source>
  <b:Source>
    <b:Tag>Wor224</b:Tag>
    <b:SourceType>InternetSite</b:SourceType>
    <b:Guid>{EDB89B5C-CC5F-3E4F-917B-B38B3819F6E5}</b:Guid>
    <b:Author>
      <b:Author>
        <b:Corporate>World Health Organisation</b:Corporate>
      </b:Author>
    </b:Author>
    <b:Title>PPS-AMU: Point prevalence survey on antibiotic use in hospitals</b:Title>
    <b:InternetSiteTitle>World Health Organisation</b:InternetSiteTitle>
    <b:URL>https://www.who.int/initiatives/glass/glass-modules-8</b:URL>
    <b:Year>2022</b:Year>
    <b:RefOrder>25</b:RefOrder>
  </b:Source>
  <b:Source>
    <b:Tag>Wor225</b:Tag>
    <b:SourceType>Report</b:SourceType>
    <b:Guid>{227EC6A0-1D75-4F4C-8921-E05C1A7425E7}</b:Guid>
    <b:Title>Strengthening WHO preparedness for and response to health emergencies: Strengthening collaboration on One Health</b:Title>
    <b:Year>2022</b:Year>
    <b:Author>
      <b:Author>
        <b:Corporate>World Health Organisation</b:Corporate>
      </b:Author>
    </b:Author>
    <b:Publisher>World Health Organisation</b:Publisher>
    <b:RefOrder>26</b:RefOrder>
  </b:Source>
  <b:Source>
    <b:Tag>Wor211</b:Tag>
    <b:SourceType>InternetSite</b:SourceType>
    <b:Guid>{8A0F364E-3078-964E-AF92-1EE5007EC772}</b:Guid>
    <b:Title>Antimicrobial Resistance</b:Title>
    <b:Year>2021</b:Year>
    <b:Author>
      <b:Author>
        <b:Corporate>World Health Organisation</b:Corporate>
      </b:Author>
    </b:Author>
    <b:InternetSiteTitle>World Health Organisation</b:InternetSiteTitle>
    <b:URL>https://www.who.int/news-room/fact-sheets/detail/antimicrobial-resistance</b:URL>
    <b:Month>November</b:Month>
    <b:Day>17</b:Day>
    <b:RefOrder>27</b:RefOrder>
  </b:Source>
  <b:Source>
    <b:Tag>Wor222</b:Tag>
    <b:SourceType>Report</b:SourceType>
    <b:Guid>{DCE1408F-4996-B746-927E-7B0DD387B8BC}</b:Guid>
    <b:Author>
      <b:Author>
        <b:Corporate>World Health Organization; Food and Agriculture Organization of the United Nations; United Nations Environment Programme; World Organisation for Animal Health</b:Corporate>
      </b:Author>
    </b:Author>
    <b:Title>Antimicrobial Resistance Multi-Partner Trust Fund annual report 2021</b:Title>
    <b:Year>2022</b:Year>
    <b:Publisher>United Nations MTPF Office</b:Publisher>
    <b:City>Geneva</b:City>
    <b:RefOrder>28</b:RefOrder>
  </b:Source>
  <b:Source>
    <b:Tag>Wor212</b:Tag>
    <b:SourceType>Report</b:SourceType>
    <b:Guid>{AB1E0885-A773-DB4E-903B-B19CFBC178B1}</b:Guid>
    <b:Author>
      <b:Author>
        <b:Corporate>World Health Organisation</b:Corporate>
      </b:Author>
    </b:Author>
    <b:Title>Tripartite AMR Country Self-Assessment Survey (TrACSS) 2020-2021</b:Title>
    <b:Year>2021</b:Year>
    <b:Publisher>World Health Organisation</b:Publisher>
    <b:City>Geneva</b:City>
    <b:RefOrder>29</b:RefOrder>
  </b:Source>
  <b:Source>
    <b:Tag>Thi22</b:Tag>
    <b:SourceType>InternetSite</b:SourceType>
    <b:Guid>{C8ABE001-9967-F147-8168-22548EE18DAC}</b:Guid>
    <b:Title>Thinking and Working Politically Community of Practice </b:Title>
    <b:Year>2022</b:Year>
    <b:Author>
      <b:Author>
        <b:Corporate>Thinking and Working Politically Community of Practice </b:Corporate>
      </b:Author>
    </b:Author>
    <b:InternetSiteTitle>Thinking and Working Politically Community of Practice </b:InternetSiteTitle>
    <b:URL>https://twpcommunity.org/</b:URL>
    <b:RefOrder>30</b:RefOrder>
  </b:Source>
  <b:Source>
    <b:Tag>Mot21</b:Tag>
    <b:SourceType>Report</b:SourceType>
    <b:Guid>{4F8E3F68-ED0C-9048-902E-A2D9568874A7}</b:Guid>
    <b:Author>
      <b:Author>
        <b:Corporate>Mott MacDonald</b:Corporate>
      </b:Author>
    </b:Author>
    <b:Title>Fleming Fund Management Agent. Phase II Technical Proposal. March.</b:Title>
    <b:Year>2021</b:Year>
    <b:Publisher>Mott MacDonald</b:Publisher>
    <b:City>London</b:City>
    <b:RefOrder>31</b:RefOrder>
  </b:Source>
  <b:Source>
    <b:Tag>Mot18</b:Tag>
    <b:SourceType>Report</b:SourceType>
    <b:Guid>{5A5C898E-77CE-2C41-A1C0-DB4743BC6323}</b:Guid>
    <b:Author>
      <b:Author>
        <b:Corporate>Mott MacDonald</b:Corporate>
      </b:Author>
    </b:Author>
    <b:Title>Implementation Plan</b:Title>
    <b:Publisher>Mott MacDonald</b:Publisher>
    <b:City>London</b:City>
    <b:Year>2018</b:Year>
    <b:RefOrder>32</b:RefOrder>
  </b:Source>
  <b:Source>
    <b:Tag>DFI20</b:Tag>
    <b:SourceType>Report</b:SourceType>
    <b:Guid>{89DA0CF4-3CAC-C24F-A3EE-8C0CB0B074B1}</b:Guid>
    <b:Author>
      <b:Author>
        <b:Corporate>DFID</b:Corporate>
      </b:Author>
    </b:Author>
    <b:Title>DFID's Approach to Value for Monney - Guidance for External Partners</b:Title>
    <b:Publisher>DFID</b:Publisher>
    <b:City>London</b:City>
    <b:Year>2020</b:Year>
    <b:RefOrder>33</b:RefOrder>
  </b:Source>
  <b:Source>
    <b:Tag>ICA18</b:Tag>
    <b:SourceType>Report</b:SourceType>
    <b:Guid>{D0297132-F65A-374E-BFA0-365B685D972F}</b:Guid>
    <b:Author>
      <b:Author>
        <b:Corporate>ICAI</b:Corporate>
      </b:Author>
    </b:Author>
    <b:Title>DFID's approach to value for money in programme and portfolio mannagement: a performance review</b:Title>
    <b:Publisher>ICAI</b:Publisher>
    <b:City>London</b:City>
    <b:Year>2018</b:Year>
    <b:RefOrder>34</b:RefOrder>
  </b:Source>
  <b:Source>
    <b:Tag>OEC21</b:Tag>
    <b:SourceType>Report</b:SourceType>
    <b:Guid>{CABFAD6A-AB09-114A-BF11-E8EDCFAC785F}</b:Guid>
    <b:Author>
      <b:Author>
        <b:Corporate>OECD</b:Corporate>
      </b:Author>
    </b:Author>
    <b:Title>Applying Evaluation Criteria Thoughtfully</b:Title>
    <b:Publisher>OECD</b:Publisher>
    <b:Year>2021</b:Year>
    <b:RefOrder>35</b:RefOrder>
  </b:Source>
  <b:Source>
    <b:Tag>Wor213</b:Tag>
    <b:SourceType>Report</b:SourceType>
    <b:Guid>{8B83FD69-1F52-744D-ACE6-C61185A98E50}</b:Guid>
    <b:Author>
      <b:Author>
        <b:Corporate>World Health Organisation</b:Corporate>
      </b:Author>
    </b:Author>
    <b:Title>WHO integrated global surveillance on ESBL-producing E. coli using a “One Health” approach</b:Title>
    <b:Publisher>WHO</b:Publisher>
    <b:City>Geneva</b:City>
    <b:Year>2021</b:Year>
    <b:RefOrder>36</b:RefOrder>
  </b:Source>
  <b:Source>
    <b:Tag>Wor226</b:Tag>
    <b:SourceType>InternetSite</b:SourceType>
    <b:Guid>{FFD025E8-B1B3-B04E-8D08-246B3F9C86BE}</b:Guid>
    <b:Author>
      <b:Author>
        <b:Corporate>World Health Organisation</b:Corporate>
      </b:Author>
    </b:Author>
    <b:Title>Tripartite Zoonoses Guide: Operational tools and approaches for zoonotic diseases</b:Title>
    <b:Publisher>WHO</b:Publisher>
    <b:Year>2022</b:Year>
    <b:InternetSiteTitle>World Health Organisation</b:InternetSiteTitle>
    <b:URL>https://www.who.int/initiatives/tripartite-zoonosis-guide</b:URL>
    <b:RefOrder>37</b:RefOrder>
  </b:Source>
  <b:Source>
    <b:Tag>UKH15</b:Tag>
    <b:SourceType>InternetSite</b:SourceType>
    <b:Guid>{A978977F-838C-1749-BE0E-C88C89E00EF9}</b:Guid>
    <b:Author>
      <b:Author>
        <b:Corporate>UK Health Security Agency</b:Corporate>
      </b:Author>
    </b:Author>
    <b:Title>Human Animal Infections and Risk Surveillance group (HAIRS)</b:Title>
    <b:InternetSiteTitle>Gov.uk</b:InternetSiteTitle>
    <b:URL>https://www.gov.uk/government/collections/human-animal-infections-and-risk-surveillance-group-hairs#:~:text=Contents&amp;text=The%20Human%20Animal%20Infections%20and%20Risk%20Surveillance%20(%20HAIRS%20)%20group%20is,threat%20to%20UK%20public%20health</b:URL>
    <b:Year>2015</b:Year>
    <b:RefOrder>38</b:RefOrder>
  </b:Source>
  <b:Source>
    <b:Tag>Wor215</b:Tag>
    <b:SourceType>InternetSite</b:SourceType>
    <b:Guid>{3B11499C-AE2A-3D4F-9C68-32EA6B468512}</b:Guid>
    <b:Author>
      <b:Author>
        <b:Corporate>World Bank</b:Corporate>
      </b:Author>
    </b:Author>
    <b:Title>The World Bank</b:Title>
    <b:InternetSiteTitle>Safeguarding Animal, Human and Ecosystem Health: One Health at the World Bank </b:InternetSiteTitle>
    <b:URL>https://www.worldbank.org/en/topic/agriculture/brief/safeguarding-animal-human-and-ecosystem-health-one-health-at-the-world-bank</b:URL>
    <b:Year>2021</b:Year>
    <b:Month>June</b:Month>
    <b:Day>3</b:Day>
    <b:RefOrder>39</b:RefOrder>
  </b:Source>
  <b:Source>
    <b:Tag>ICA15</b:Tag>
    <b:SourceType>Report</b:SourceType>
    <b:Guid>{155A2D5B-E532-4A4B-B35C-7C2757CFFDC7}</b:Guid>
    <b:Author>
      <b:Author>
        <b:Corporate>ICAI</b:Corporate>
      </b:Author>
    </b:Author>
    <b:Title>DFID's approach to delivering impact</b:Title>
    <b:Year>2015</b:Year>
    <b:RefOrder>40</b:RefOrder>
  </b:Source>
  <b:Source>
    <b:Tag>Väh19</b:Tag>
    <b:SourceType>Report</b:SourceType>
    <b:Guid>{1270C56B-2EFB-2141-A37A-131FC2D68EFE}</b:Guid>
    <b:Title>Learning from Results-Based Management evaluations and reviews. OECD Development Co-Operation Working Paper 53</b:Title>
    <b:Publisher>OECD</b:Publisher>
    <b:City>Paris</b:City>
    <b:Year>2019</b:Year>
    <b:Author>
      <b:Author>
        <b:NameList>
          <b:Person>
            <b:Last>Vähämäki</b:Last>
            <b:First>J.</b:First>
          </b:Person>
          <b:Person>
            <b:Last>Verger</b:Last>
            <b:First>C.</b:First>
          </b:Person>
        </b:NameList>
      </b:Author>
    </b:Author>
    <b:RefOrder>41</b:RefOrder>
  </b:Source>
  <b:Source>
    <b:Tag>Dav12</b:Tag>
    <b:SourceType>Report</b:SourceType>
    <b:Guid>{F8418EC6-EBFA-B349-A452-B85912E1E314}</b:Guid>
    <b:Author>
      <b:Author>
        <b:NameList>
          <b:Person>
            <b:Last>Davies</b:Last>
            <b:First>R.,</b:First>
            <b:Middle>Mayne, J., Befani, B., Forss, K., Stame, N., Stern, E.</b:Middle>
          </b:Person>
        </b:NameList>
      </b:Author>
    </b:Author>
    <b:Title>DFID Working Paper 38. Broadening the range of designs and methods for impact evaluations. </b:Title>
    <b:Publisher>DFID</b:Publisher>
    <b:City>London</b:City>
    <b:Year>2012</b:Year>
    <b:RefOrder>42</b:RefOrder>
  </b:Source>
  <b:Source>
    <b:Tag>OEC22</b:Tag>
    <b:SourceType>InternetSite</b:SourceType>
    <b:Guid>{9F210ACB-1E45-7F41-9973-5A1416B13035}</b:Guid>
    <b:Title>4. Understanding the six criteria: Definitions, elements for analysis and key challenges </b:Title>
    <b:Year>2022</b:Year>
    <b:Author>
      <b:Author>
        <b:Corporate>OECD iLibrary</b:Corporate>
      </b:Author>
    </b:Author>
    <b:InternetSiteTitle>OECD iLibrary</b:InternetSiteTitle>
    <b:URL>https://www.oecd-ilibrary.org/sites/543e84ed-en/1/3/4/index.html?itemId=/content/publication/543e84ed-en&amp;_csp_=535d2f2a848b7727d35502d7f36e4885&amp;itemIGO=oecd&amp;itemContentType=book#chapter-d1e2438</b:URL>
    <b:RefOrder>43</b:RefOrder>
  </b:Source>
  <b:Source>
    <b:Tag>Has22</b:Tag>
    <b:SourceType>BookSection</b:SourceType>
    <b:Guid>{E5CF42C3-DE7B-DB4F-B5A3-E3EFBB92257B}</b:Guid>
    <b:Title>How to Set the Agenda</b:Title>
    <b:Year>2022</b:Year>
    <b:Pages>0</b:Pages>
    <b:Author>
      <b:Author>
        <b:NameList>
          <b:Person>
            <b:Last>Hassel</b:Last>
            <b:First>A.</b:First>
          </b:Person>
          <b:Person>
            <b:Last>Wegrich</b:Last>
            <b:First>K.</b:First>
          </b:Person>
        </b:NameList>
      </b:Author>
      <b:BookAuthor>
        <b:NameList>
          <b:Person>
            <b:Last>Hassel</b:Last>
            <b:First>A.</b:First>
          </b:Person>
          <b:Person>
            <b:Last>Wegrich</b:Last>
            <b:First>K.</b:First>
          </b:Person>
        </b:NameList>
      </b:BookAuthor>
    </b:Author>
    <b:BookTitle>How to Do Public Policy</b:BookTitle>
    <b:Publisher>Oxford University Press</b:Publisher>
    <b:RefOrder>44</b:RefOrder>
  </b:Source>
  <b:Source>
    <b:Tag>Bai12</b:Tag>
    <b:SourceType>Book</b:SourceType>
    <b:Guid>{B690E6B4-F405-4D4D-84C1-BC952CBB066D}</b:Guid>
    <b:Author>
      <b:Author>
        <b:NameList>
          <b:Person>
            <b:Last>Bailey</b:Last>
            <b:First>H.</b:First>
          </b:Person>
        </b:NameList>
      </b:Author>
    </b:Author>
    <b:Title>Stories of Change</b:Title>
    <b:City>Brighton</b:City>
    <b:Publisher>IDS</b:Publisher>
    <b:Year>2012</b:Year>
    <b:RefOrder>45</b:RefOrder>
  </b:Source>
  <b:Source>
    <b:Tag>Wil18</b:Tag>
    <b:SourceType>Book</b:SourceType>
    <b:Guid>{214F51CD-70BB-4E43-AA7E-4AF82166CF01}</b:Guid>
    <b:Author>
      <b:Author>
        <b:NameList>
          <b:Person>
            <b:Last>Wilson-Grau</b:Last>
            <b:First>R.</b:First>
          </b:Person>
        </b:NameList>
      </b:Author>
    </b:Author>
    <b:Title>Outcome Harvesting: Principles, Steps, and Evaluation Applications</b:Title>
    <b:Publisher>IAP</b:Publisher>
    <b:Year>2018</b:Year>
    <b:RefOrder>46</b:RefOrder>
  </b:Source>
  <b:Source>
    <b:Tag>Fri19</b:Tag>
    <b:SourceType>JournalArticle</b:SourceType>
    <b:Guid>{73EBAD61-F333-9C4D-A2DD-A0322972753C}</b:Guid>
    <b:Title>The state of social science research on antimicrobial resistance</b:Title>
    <b:Year>2019</b:Year>
    <b:Author>
      <b:Author>
        <b:NameList>
          <b:Person>
            <b:Last>Frid-Nielsen</b:Last>
            <b:First>S.</b:First>
            <b:Middle>S.</b:Middle>
          </b:Person>
          <b:Person>
            <b:Last>Rubin</b:Last>
            <b:First>O.</b:First>
          </b:Person>
          <b:Person>
            <b:Last>Baekkeskov</b:Last>
            <b:First>E.</b:First>
          </b:Person>
        </b:NameList>
      </b:Author>
    </b:Author>
    <b:JournalName>Social Science &amp; Medicine (1982)</b:JournalName>
    <b:Volume>242</b:Volume>
    <b:Issue>112596</b:Issue>
    <b:RefOrder>47</b:RefOrder>
  </b:Source>
  <b:Source>
    <b:Tag>DFI11</b:Tag>
    <b:SourceType>Report</b:SourceType>
    <b:Guid>{2414F902-5D71-2446-9687-55C9B6F598E9}</b:Guid>
    <b:Title>DFID’s Approach to Value for Money (VfM)</b:Title>
    <b:Year>2011</b:Year>
    <b:Author>
      <b:Author>
        <b:Corporate>DFID</b:Corporate>
      </b:Author>
    </b:Author>
    <b:Publisher>DFID</b:Publisher>
    <b:City>London</b:City>
    <b:RefOrder>48</b:RefOrder>
  </b:Source>
  <b:Source>
    <b:Tag>Pat021</b:Tag>
    <b:SourceType>Book</b:SourceType>
    <b:Guid>{B59E670B-F8EC-3740-BE6A-4EF5F7F46F1B}</b:Guid>
    <b:Title>Qualitative Research and Evaluation Options (3rd ed.)</b:Title>
    <b:Publisher>Sage Publications</b:Publisher>
    <b:City>Thousand Oaks, California</b:City>
    <b:Year>2002</b:Year>
    <b:Author>
      <b:Author>
        <b:NameList>
          <b:Person>
            <b:Last>Patton</b:Last>
            <b:First>M.,</b:First>
            <b:Middle>Q.</b:Middle>
          </b:Person>
        </b:NameList>
      </b:Author>
    </b:Author>
    <b:RefOrder>49</b:RefOrder>
  </b:Source>
  <b:Source>
    <b:Tag>OEC10</b:Tag>
    <b:SourceType>Report</b:SourceType>
    <b:Guid>{2335AAD3-45B8-5E4A-85BF-C137B2BB49FF}</b:Guid>
    <b:Title>Quality Standards for Development Evaluation</b:Title>
    <b:Publisher>OECD DAC Evaluation Network</b:Publisher>
    <b:Year>2010</b:Year>
    <b:Author>
      <b:Author>
        <b:Corporate>OECD</b:Corporate>
      </b:Author>
    </b:Author>
    <b:RefOrder>50</b:RefOrder>
  </b:Source>
  <b:Source>
    <b:Tag>UKE18</b:Tag>
    <b:SourceType>Report</b:SourceType>
    <b:Guid>{40793F1E-064A-BA4B-A691-8F7C8FDDEB22}</b:Guid>
    <b:Author>
      <b:Author>
        <b:Corporate>UK Evaluation Society</b:Corporate>
      </b:Author>
    </b:Author>
    <b:Title>Guidelines for Good Practice in Evaluation</b:Title>
    <b:Publisher>UK Evaluation Society</b:Publisher>
    <b:City>Hertfordshire</b:City>
    <b:Year>2018</b:Year>
    <b:RefOrder>51</b:RefOrder>
  </b:Source>
  <b:Source>
    <b:Tag>Spe</b:Tag>
    <b:SourceType>Report</b:SourceType>
    <b:Guid>{0D764B29-86C9-B943-8246-ED574FFEFDCF}</b:Guid>
    <b:Author>
      <b:Author>
        <b:NameList>
          <b:Person>
            <b:Last>Spencer</b:Last>
            <b:First>L</b:First>
          </b:Person>
          <b:Person>
            <b:Last>Ritchie</b:Last>
            <b:First>J</b:First>
          </b:Person>
          <b:Person>
            <b:Last>Lewis</b:Last>
            <b:First>J</b:First>
          </b:Person>
          <b:Person>
            <b:Last>Dillon</b:Last>
            <b:First>L.</b:First>
          </b:Person>
        </b:NameList>
      </b:Author>
    </b:Author>
    <b:Title>Quality in Qualitative Evaluation: A framework for assessing research evidence</b:Title>
    <b:Publisher>Government Chief Social Researcher’s Office</b:Publisher>
    <b:City>London</b:City>
    <b:Year>2003</b:Year>
    <b:RefOrder>52</b:RefOrder>
  </b:Source>
  <b:Source>
    <b:Tag>Uni10</b:Tag>
    <b:SourceType>DocumentFromInternetSite</b:SourceType>
    <b:Guid>{B67147B0-4B26-3242-A2D7-15BDE307E429}</b:Guid>
    <b:Title>Hanoi Declaration Sets Global Framework for Avian Influenza, Pandemic Readiness, Proposes National Steps to Detect Animal-Human Transmission, Control Outbreaks</b:Title>
    <b:Year>2010</b:Year>
    <b:Month>April</b:Month>
    <b:Day>21</b:Day>
    <b:InternetSiteTitle>United Nations Meetings Coveage and Press Releases</b:InternetSiteTitle>
    <b:URL>https://press.un.org/en/2010/sag433.doc.htm</b:URL>
    <b:Author>
      <b:Author>
        <b:Corporate>United Nations</b:Corporate>
      </b:Author>
    </b:Author>
    <b:RefOrder>53</b:RefOrder>
  </b:Source>
  <b:Source>
    <b:Tag>Wor08</b:Tag>
    <b:SourceType>Report</b:SourceType>
    <b:Guid>{4CF7C4C2-22F1-644F-8132-B17FA7792452}</b:Guid>
    <b:Author>
      <b:Author>
        <b:Corporate>World Health Organisation. Regional Office for the Western Pacific.</b:Corporate>
      </b:Author>
    </b:Author>
    <b:Title>Zoonotic diseases : a guide to establishing collaboration between animal and human health sectors at the country level. </b:Title>
    <b:Year>2008</b:Year>
    <b:Publisher>WHO Regional Office for the Western Pacific</b:Publisher>
    <b:RefOrder>54</b:RefOrder>
  </b:Source>
  <b:Source>
    <b:Tag>Abb22</b:Tag>
    <b:SourceType>JournalArticle</b:SourceType>
    <b:Guid>{3EE39542-75CF-614B-9267-BC768BF3F025}</b:Guid>
    <b:Title>Meanings and mechanisms of One Health partnerships: insights from a critical review of literature on cross-government collaborations</b:Title>
    <b:Year>2022</b:Year>
    <b:Author>
      <b:Author>
        <b:NameList>
          <b:Person>
            <b:Last>Abbas</b:Last>
            <b:First>S.</b:First>
            <b:Middle>S.</b:Middle>
          </b:Person>
          <b:Person>
            <b:Last>Shorten</b:Last>
            <b:First>T.</b:First>
          </b:Person>
          <b:Person>
            <b:Last>Rushton</b:Last>
            <b:First>J.</b:First>
          </b:Person>
        </b:NameList>
      </b:Author>
    </b:Author>
    <b:JournalName>Health Policy and Planning</b:JournalName>
    <b:Pages>385-399</b:Pages>
    <b:Volume>37</b:Volume>
    <b:Issue>3</b:Issue>
    <b:RefOrder>55</b:RefOrder>
  </b:Source>
  <b:Source>
    <b:Tag>Wor227</b:Tag>
    <b:SourceType>InternetSite</b:SourceType>
    <b:Guid>{9D9AA966-9D4F-C94E-B4C5-1756BA83E3DD}</b:Guid>
    <b:Title>GLASS Resource Centre</b:Title>
    <b:Year>2022</b:Year>
    <b:Author>
      <b:Author>
        <b:Corporate>World Health Organisation</b:Corporate>
      </b:Author>
    </b:Author>
    <b:InternetSiteTitle>World Health Organisation</b:InternetSiteTitle>
    <b:URL>https://www.who.int/initiatives/glass/resource-centre#glassreports</b:URL>
    <b:RefOrder>56</b:RefOrder>
  </b:Source>
  <b:Source>
    <b:Tag>Cai16</b:Tag>
    <b:SourceType>BookSection</b:SourceType>
    <b:Guid>{FD35D7A7-4974-9B42-BC09-CF1C7CF59D69}</b:Guid>
    <b:Title>MSA: a flexible metaphor presents an opportunity to operationalize agenda setting processes</b:Title>
    <b:Year>2016</b:Year>
    <b:Author>
      <b:Author>
        <b:NameList>
          <b:Person>
            <b:Last>Cairney</b:Last>
            <b:First>P.</b:First>
          </b:Person>
          <b:Person>
            <b:Last>Zahariadis</b:Last>
            <b:First>N.</b:First>
          </b:Person>
        </b:NameList>
      </b:Author>
      <b:BookAuthor>
        <b:NameList>
          <b:Person>
            <b:Last>Zahariadis</b:Last>
            <b:First>N.</b:First>
          </b:Person>
        </b:NameList>
      </b:BookAuthor>
    </b:Author>
    <b:BookTitle>Handbook of Public Policy Agenda Setting</b:BookTitle>
    <b:City>Cheltenham, UK and Northampton, MA:</b:City>
    <b:Publisher>Edward Elgar</b:Publisher>
    <b:RefOrder>57</b:RefOrder>
  </b:Source>
  <b:Source>
    <b:Tag>Jon15</b:Tag>
    <b:SourceType>JournalArticle</b:SourceType>
    <b:Guid>{90D432E1-4852-D546-B517-2BE9D02D61FC}</b:Guid>
    <b:Title>A River Runs Through It: A Multiple Streams Meta-Review</b:Title>
    <b:Year>2015</b:Year>
    <b:Pages>13-36</b:Pages>
    <b:JournalName>Policy Studies Journal</b:JournalName>
    <b:Author>
      <b:Author>
        <b:NameList>
          <b:Person>
            <b:Last>Jones</b:Last>
            <b:First>D.</b:First>
            <b:Middle>M.</b:Middle>
          </b:Person>
          <b:Person>
            <b:Last>Peterson</b:Last>
            <b:First>H.,</b:First>
            <b:Middle>L.</b:Middle>
          </b:Person>
          <b:Person>
            <b:Last>Pierce</b:Last>
            <b:First>J.,</b:First>
            <b:Middle>J.</b:Middle>
          </b:Person>
          <b:Person>
            <b:Last>Herweg</b:Last>
            <b:First>N.</b:First>
          </b:Person>
          <b:Person>
            <b:Last>Bernal</b:Last>
            <b:First>A.</b:First>
          </b:Person>
          <b:Person>
            <b:Last>Lamberta Raney</b:Last>
            <b:First>H.</b:First>
          </b:Person>
          <b:Person>
            <b:Last>Zahariadis</b:Last>
            <b:First>N.</b:First>
          </b:Person>
        </b:NameList>
      </b:Author>
    </b:Author>
    <b:Volume>44</b:Volume>
    <b:Issue>1</b:Issue>
    <b:RefOrder>58</b:RefOrder>
  </b:Source>
  <b:Source>
    <b:Tag>DFI111</b:Tag>
    <b:SourceType>Report</b:SourceType>
    <b:Guid>{866108E1-82EE-4E41-8284-F004C2CD035C}</b:Guid>
    <b:Title>Withdrawn - DFID Ethics Principles For Research and Evaluation</b:Title>
    <b:Year>2011</b:Year>
    <b:Author>
      <b:Author>
        <b:Corporate>DFID</b:Corporate>
      </b:Author>
    </b:Author>
    <b:RefOrder>59</b:RefOrder>
  </b:Source>
  <b:Source>
    <b:Tag>Gro15</b:Tag>
    <b:SourceType>Report</b:SourceType>
    <b:Guid>{CBF160C0-16DF-F04D-BF79-C2AED9077960}</b:Guid>
    <b:Author>
      <b:Author>
        <b:NameList>
          <b:Person>
            <b:Last>Groves Williams</b:Last>
            <b:First>L.</b:First>
          </b:Person>
        </b:NameList>
      </b:Author>
    </b:Author>
    <b:Title>Review of Ethics Principles and Guidance in Evaluation and Research</b:Title>
    <b:Year>2015</b:Year>
    <b:RefOrder>60</b:RefOrder>
  </b:Source>
  <b:Source>
    <b:Tag>Coo19</b:Tag>
    <b:SourceType>InternetSite</b:SourceType>
    <b:Guid>{3A8839C4-D71C-A149-8B80-0E4BBB168097}</b:Guid>
    <b:Author>
      <b:Author>
        <b:NameList>
          <b:Person>
            <b:Last>Cooper</b:Last>
            <b:First>J.</b:First>
          </b:Person>
        </b:NameList>
      </b:Author>
    </b:Author>
    <b:Title>No time to wait: evaluating the fight against ‘Drugmageddon’</b:Title>
    <b:Year>2019</b:Year>
    <b:InternetSiteTitle>Itad</b:InternetSiteTitle>
    <b:URL>https://www.itad.com/article/no-time-to-wait-evaluating-the-fight-against-drugmageddon/</b:URL>
    <b:Month>May</b:Month>
    <b:Day>3</b:Day>
    <b:RefOrder>61</b:RefOrder>
  </b:Source>
  <b:Source>
    <b:Tag>One221</b:Tag>
    <b:SourceType>InternetSite</b:SourceType>
    <b:Guid>{3935951F-BE76-6242-8E29-B60585CF671F}</b:Guid>
    <b:Author>
      <b:Author>
        <b:Corporate>One Health Commission</b:Corporate>
      </b:Author>
    </b:Author>
    <b:Title>Resources / Services</b:Title>
    <b:InternetSiteTitle>One Health Commission</b:InternetSiteTitle>
    <b:URL>https://www.onehealthcommission.org/en/resources__services/</b:URL>
    <b:Year>2022</b:Year>
    <b:RefOrder>62</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BE5D992F4F1BC4469E6B89EB86B8986A" ma:contentTypeVersion="8" ma:contentTypeDescription="Create a new document." ma:contentTypeScope="" ma:versionID="47d3eee47d6067f7f1c3c43eb0007236">
  <xsd:schema xmlns:xsd="http://www.w3.org/2001/XMLSchema" xmlns:xs="http://www.w3.org/2001/XMLSchema" xmlns:p="http://schemas.microsoft.com/office/2006/metadata/properties" xmlns:ns2="bdd75724-7c91-4237-853c-255501370aa0" xmlns:ns3="7aa07ef2-f4ec-4a8c-98d7-e2e24130d9f5" targetNamespace="http://schemas.microsoft.com/office/2006/metadata/properties" ma:root="true" ma:fieldsID="4afdbb87b07a28ba0bfb356767e59669" ns2:_="" ns3:_="">
    <xsd:import namespace="bdd75724-7c91-4237-853c-255501370aa0"/>
    <xsd:import namespace="7aa07ef2-f4ec-4a8c-98d7-e2e24130d9f5"/>
    <xsd:element name="properties">
      <xsd:complexType>
        <xsd:sequence>
          <xsd:element name="documentManagement">
            <xsd:complexType>
              <xsd:all>
                <xsd:element ref="ns2:lcf76f155ced4ddcb4097134ff3c332f" minOccurs="0"/>
                <xsd:element ref="ns3:SharedWithUsers" minOccurs="0"/>
                <xsd:element ref="ns3:SharedWithDetails"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5724-7c91-4237-853c-255501370aa0" elementFormDefault="qualified">
    <xsd:import namespace="http://schemas.microsoft.com/office/2006/documentManagement/types"/>
    <xsd:import namespace="http://schemas.microsoft.com/office/infopath/2007/PartnerControls"/>
    <xsd:element name="lcf76f155ced4ddcb4097134ff3c332f" ma:index="9" nillable="true" ma:taxonomy="true" ma:internalName="lcf76f155ced4ddcb4097134ff3c332f" ma:taxonomyFieldName="MediaServiceImageTags" ma:displayName="Image Tags" ma:readOnly="false" ma:fieldId="{5cf76f15-5ced-4ddc-b409-7134ff3c332f}" ma:taxonomyMulti="true" ma:sspId="1caf2c84-180d-4652-98d8-3773f236d385" ma:termSetId="09814cd3-568e-fe90-9814-8d621ff8fb84" ma:anchorId="fba54fb3-c3e1-fe81-a776-ca4b69148c4d" ma:open="true" ma:isKeyword="false">
      <xsd:complexType>
        <xsd:sequence>
          <xsd:element ref="pc:Terms" minOccurs="0" maxOccurs="1"/>
        </xsd:sequence>
      </xsd:complexType>
    </xsd:element>
    <xsd:element name="MediaLengthInSeconds" ma:index="12" nillable="true" ma:displayName="MediaLengthInSeconds" ma:hidden="true" ma:internalName="MediaLengthInSeconds" ma:readOnly="true">
      <xsd:simpleType>
        <xsd:restriction base="dms:Unknown"/>
      </xsd:simpleType>
    </xsd:element>
    <xsd:element name="MediaServiceObjectDetectorVersions" ma:index="1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1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a07ef2-f4ec-4a8c-98d7-e2e24130d9f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D7E8FF0-D539-4F83-A97A-0847A45EABEA}">
  <ds:schemaRefs>
    <ds:schemaRef ds:uri="http://schemas.microsoft.com/sharepoint/v3/contenttype/forms"/>
  </ds:schemaRefs>
</ds:datastoreItem>
</file>

<file path=customXml/itemProps2.xml><?xml version="1.0" encoding="utf-8"?>
<ds:datastoreItem xmlns:ds="http://schemas.openxmlformats.org/officeDocument/2006/customXml" ds:itemID="{4EA433E5-42A5-43B4-90E0-2AADFA63144F}">
  <ds:schemaRefs>
    <ds:schemaRef ds:uri="http://purl.org/dc/terms/"/>
    <ds:schemaRef ds:uri="http://schemas.microsoft.com/office/2006/documentManagement/types"/>
    <ds:schemaRef ds:uri="http://schemas.openxmlformats.org/package/2006/metadata/core-properties"/>
    <ds:schemaRef ds:uri="http://www.w3.org/XML/1998/namespace"/>
    <ds:schemaRef ds:uri="http://schemas.microsoft.com/office/infopath/2007/PartnerControls"/>
    <ds:schemaRef ds:uri="http://purl.org/dc/elements/1.1/"/>
    <ds:schemaRef ds:uri="http://schemas.microsoft.com/office/2006/metadata/properties"/>
    <ds:schemaRef ds:uri="http://purl.org/dc/dcmitype/"/>
    <ds:schemaRef ds:uri="7aa07ef2-f4ec-4a8c-98d7-e2e24130d9f5"/>
    <ds:schemaRef ds:uri="bdd75724-7c91-4237-853c-255501370aa0"/>
  </ds:schemaRefs>
</ds:datastoreItem>
</file>

<file path=customXml/itemProps3.xml><?xml version="1.0" encoding="utf-8"?>
<ds:datastoreItem xmlns:ds="http://schemas.openxmlformats.org/officeDocument/2006/customXml" ds:itemID="{3B470982-0C63-A74B-8668-C4EFEDEAFA79}">
  <ds:schemaRefs>
    <ds:schemaRef ds:uri="http://schemas.openxmlformats.org/officeDocument/2006/bibliography"/>
  </ds:schemaRefs>
</ds:datastoreItem>
</file>

<file path=customXml/itemProps4.xml><?xml version="1.0" encoding="utf-8"?>
<ds:datastoreItem xmlns:ds="http://schemas.openxmlformats.org/officeDocument/2006/customXml" ds:itemID="{750D53AB-0CC1-4152-A353-8C9E4C51DE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5724-7c91-4237-853c-255501370aa0"/>
    <ds:schemaRef ds:uri="7aa07ef2-f4ec-4a8c-98d7-e2e24130d9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Itad report template 2020 (ID 227179).dotx</Template>
  <TotalTime>0</TotalTime>
  <Pages>4</Pages>
  <Words>101898</Words>
  <Characters>580824</Characters>
  <Application>Microsoft Office Word</Application>
  <DocSecurity>0</DocSecurity>
  <Lines>4840</Lines>
  <Paragraphs>1362</Paragraphs>
  <ScaleCrop>false</ScaleCrop>
  <Company>Itad</Company>
  <LinksUpToDate>false</LinksUpToDate>
  <CharactersWithSpaces>681360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dc:title>
  <dc:subject/>
  <dc:creator>Jacob Brown</dc:creator>
  <cp:keywords>Report</cp:keywords>
  <dc:description/>
  <cp:lastModifiedBy>Kayuma, Mwaanga</cp:lastModifiedBy>
  <cp:revision>2</cp:revision>
  <cp:lastPrinted>2022-12-21T22:55:00Z</cp:lastPrinted>
  <dcterms:created xsi:type="dcterms:W3CDTF">2024-04-24T11:43:00Z</dcterms:created>
  <dcterms:modified xsi:type="dcterms:W3CDTF">2024-04-24T11:43:00Z</dcterms:modified>
  <cp:category>Template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
    <vt:lpwstr>Itad</vt:lpwstr>
  </property>
  <property fmtid="{D5CDD505-2E9C-101B-9397-08002B2CF9AE}" pid="3" name="Language">
    <vt:lpwstr>English (UK)</vt:lpwstr>
  </property>
  <property fmtid="{D5CDD505-2E9C-101B-9397-08002B2CF9AE}" pid="4" name="Owner">
    <vt:lpwstr>P L Kessler</vt:lpwstr>
  </property>
  <property fmtid="{D5CDD505-2E9C-101B-9397-08002B2CF9AE}" pid="5" name="Project">
    <vt:lpwstr>Fruit Design</vt:lpwstr>
  </property>
  <property fmtid="{D5CDD505-2E9C-101B-9397-08002B2CF9AE}" pid="6" name="Publisher">
    <vt:lpwstr>Kessler Associates</vt:lpwstr>
  </property>
  <property fmtid="{D5CDD505-2E9C-101B-9397-08002B2CF9AE}" pid="7" name="ContentTypeId">
    <vt:lpwstr>0x010100BE5D992F4F1BC4469E6B89EB86B8986A</vt:lpwstr>
  </property>
  <property fmtid="{D5CDD505-2E9C-101B-9397-08002B2CF9AE}" pid="8" name="MediaServiceImageTags">
    <vt:lpwstr/>
  </property>
  <property fmtid="{D5CDD505-2E9C-101B-9397-08002B2CF9AE}" pid="9" name="GrammarlyDocumentId">
    <vt:lpwstr>239c140dd8d828c9406690091de7a1f8cae93351b0ef262ec3aca2c67311860b</vt:lpwstr>
  </property>
  <property fmtid="{D5CDD505-2E9C-101B-9397-08002B2CF9AE}" pid="10" name="TaxCatchAll">
    <vt:lpwstr/>
  </property>
</Properties>
</file>